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c"/>
        <w:tblpPr w:leftFromText="180" w:rightFromText="180" w:vertAnchor="text" w:tblpXSpec="center" w:tblpY="1"/>
        <w:tblOverlap w:val="never"/>
        <w:bidiVisual/>
        <w:tblW w:w="9783"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3"/>
      </w:tblGrid>
      <w:tr w:rsidR="00172C0A" w:rsidRPr="006F34F2" w:rsidTr="00172C0A">
        <w:tc>
          <w:tcPr>
            <w:tcW w:w="9783" w:type="dxa"/>
          </w:tcPr>
          <w:p w:rsidR="00172C0A" w:rsidRPr="006F34F2" w:rsidRDefault="00172C0A" w:rsidP="00172C0A">
            <w:pPr>
              <w:spacing w:line="240" w:lineRule="auto"/>
              <w:rPr>
                <w:rFonts w:ascii="Tahoma" w:hAnsi="Tahoma" w:cs="Tahoma"/>
                <w:b/>
                <w:bCs/>
                <w:sz w:val="40"/>
                <w:szCs w:val="40"/>
                <w:rtl/>
              </w:rPr>
            </w:pPr>
            <w:bookmarkStart w:id="0" w:name="_Toc152837938"/>
            <w:bookmarkStart w:id="1" w:name="_Toc156386051"/>
            <w:bookmarkStart w:id="2" w:name="_Toc156901301"/>
            <w:bookmarkStart w:id="3" w:name="_Hlk175581339"/>
            <w:bookmarkStart w:id="4" w:name="_Hlk190160958"/>
            <w:bookmarkStart w:id="5" w:name="_Hlk172718036"/>
            <w:r w:rsidRPr="006F34F2">
              <w:rPr>
                <w:rFonts w:ascii="Tahoma" w:hAnsi="Tahoma" w:cs="Tahoma"/>
                <w:b/>
                <w:bCs/>
                <w:sz w:val="40"/>
                <w:szCs w:val="40"/>
                <w:rtl/>
              </w:rPr>
              <w:t xml:space="preserve">שימוש בכלים טכנולוגיים לצורכי אכיפה - </w:t>
            </w:r>
          </w:p>
          <w:p w:rsidR="00172C0A" w:rsidRPr="006F34F2" w:rsidRDefault="00172C0A" w:rsidP="00172C0A">
            <w:pPr>
              <w:spacing w:after="120" w:line="240" w:lineRule="auto"/>
              <w:rPr>
                <w:rFonts w:ascii="Tahoma" w:hAnsi="Tahoma" w:cs="Tahoma"/>
                <w:b/>
                <w:bCs/>
                <w:sz w:val="40"/>
                <w:szCs w:val="40"/>
                <w:rtl/>
              </w:rPr>
            </w:pPr>
            <w:r w:rsidRPr="006F34F2">
              <w:rPr>
                <w:rFonts w:ascii="Tahoma" w:hAnsi="Tahoma" w:cs="Tahoma"/>
                <w:b/>
                <w:bCs/>
                <w:sz w:val="40"/>
                <w:szCs w:val="40"/>
                <w:rtl/>
              </w:rPr>
              <w:t xml:space="preserve">האזנות סתר ונתוני תקשורת </w:t>
            </w:r>
          </w:p>
          <w:p w:rsidR="00172C0A" w:rsidRPr="006F34F2" w:rsidRDefault="00172C0A" w:rsidP="00172C0A">
            <w:pPr>
              <w:spacing w:line="288" w:lineRule="auto"/>
              <w:rPr>
                <w:rFonts w:ascii="Tahoma" w:hAnsi="Tahoma" w:cs="Tahoma"/>
                <w:rtl/>
              </w:rPr>
            </w:pPr>
            <w:r>
              <w:rPr>
                <w:rFonts w:ascii="Tahoma" w:hAnsi="Tahoma" w:cs="Tahoma" w:hint="cs"/>
                <w:sz w:val="36"/>
                <w:szCs w:val="36"/>
                <w:rtl/>
              </w:rPr>
              <w:t>הדוח המלא</w:t>
            </w:r>
          </w:p>
          <w:p w:rsidR="00172C0A" w:rsidRPr="006F34F2" w:rsidRDefault="00172C0A" w:rsidP="00172C0A">
            <w:pPr>
              <w:spacing w:line="288" w:lineRule="auto"/>
              <w:ind w:left="-851"/>
              <w:rPr>
                <w:rFonts w:ascii="Tahoma" w:hAnsi="Tahoma" w:cs="Tahoma"/>
                <w:rtl/>
              </w:rPr>
            </w:pPr>
          </w:p>
        </w:tc>
      </w:tr>
    </w:tbl>
    <w:p w:rsidR="0026556A" w:rsidRPr="005C4DD6" w:rsidRDefault="0026556A" w:rsidP="00604C3D">
      <w:pPr>
        <w:pStyle w:val="2"/>
        <w:spacing w:before="0" w:line="269" w:lineRule="auto"/>
        <w:rPr>
          <w:sz w:val="22"/>
          <w:szCs w:val="36"/>
          <w:rtl/>
        </w:rPr>
      </w:pPr>
      <w:bookmarkStart w:id="6" w:name="_Toc219286499"/>
      <w:r w:rsidRPr="005C4DD6">
        <w:rPr>
          <w:rFonts w:hint="cs"/>
          <w:sz w:val="22"/>
          <w:szCs w:val="36"/>
          <w:rtl/>
        </w:rPr>
        <w:t xml:space="preserve">תוכן </w:t>
      </w:r>
      <w:r w:rsidR="003F112F">
        <w:rPr>
          <w:rFonts w:hint="cs"/>
          <w:sz w:val="22"/>
          <w:szCs w:val="36"/>
          <w:rtl/>
        </w:rPr>
        <w:t>ה</w:t>
      </w:r>
      <w:r w:rsidRPr="005C4DD6">
        <w:rPr>
          <w:rFonts w:hint="cs"/>
          <w:sz w:val="22"/>
          <w:szCs w:val="36"/>
          <w:rtl/>
        </w:rPr>
        <w:t>עניינים</w:t>
      </w:r>
      <w:bookmarkEnd w:id="0"/>
      <w:bookmarkEnd w:id="1"/>
      <w:bookmarkEnd w:id="2"/>
      <w:bookmarkEnd w:id="6"/>
    </w:p>
    <w:sdt>
      <w:sdtPr>
        <w:rPr>
          <w:rFonts w:ascii="David" w:hAnsi="David" w:cs="David"/>
          <w:sz w:val="22"/>
          <w:szCs w:val="22"/>
          <w:rtl/>
          <w:cs/>
          <w:lang w:val="he-IL"/>
        </w:rPr>
        <w:id w:val="284557587"/>
        <w:docPartObj>
          <w:docPartGallery w:val="Table of Contents"/>
          <w:docPartUnique/>
        </w:docPartObj>
      </w:sdtPr>
      <w:sdtEndPr>
        <w:rPr>
          <w:rFonts w:asciiTheme="minorHAnsi" w:hAnsiTheme="minorHAnsi" w:cstheme="minorHAnsi"/>
          <w:b/>
          <w:bCs/>
          <w:sz w:val="20"/>
          <w:szCs w:val="20"/>
          <w:cs w:val="0"/>
        </w:rPr>
      </w:sdtEndPr>
      <w:sdtContent>
        <w:p w:rsidR="007737D9" w:rsidRDefault="00030855">
          <w:pPr>
            <w:pStyle w:val="TOC2"/>
            <w:rPr>
              <w:rFonts w:eastAsiaTheme="minorEastAsia" w:cstheme="minorBidi"/>
              <w:smallCaps w:val="0"/>
              <w:noProof/>
              <w:sz w:val="22"/>
              <w:szCs w:val="22"/>
              <w:rtl/>
            </w:rPr>
          </w:pPr>
          <w:r w:rsidRPr="00843B73">
            <w:rPr>
              <w:rFonts w:ascii="David" w:hAnsi="David" w:cs="David"/>
              <w:sz w:val="22"/>
              <w:szCs w:val="22"/>
              <w:rtl/>
              <w:cs/>
            </w:rPr>
            <w:fldChar w:fldCharType="begin"/>
          </w:r>
          <w:r w:rsidRPr="00843B73">
            <w:rPr>
              <w:rFonts w:ascii="David" w:hAnsi="David" w:cs="David"/>
              <w:sz w:val="22"/>
              <w:szCs w:val="22"/>
              <w:rtl/>
            </w:rPr>
            <w:instrText xml:space="preserve"> </w:instrText>
          </w:r>
          <w:r w:rsidRPr="00843B73">
            <w:rPr>
              <w:rFonts w:ascii="David" w:hAnsi="David" w:cs="David"/>
              <w:sz w:val="22"/>
              <w:szCs w:val="22"/>
            </w:rPr>
            <w:instrText>TOC</w:instrText>
          </w:r>
          <w:r w:rsidRPr="00843B73">
            <w:rPr>
              <w:rFonts w:ascii="David" w:hAnsi="David" w:cs="David"/>
              <w:sz w:val="22"/>
              <w:szCs w:val="22"/>
              <w:rtl/>
            </w:rPr>
            <w:instrText xml:space="preserve"> \</w:instrText>
          </w:r>
          <w:r w:rsidRPr="00843B73">
            <w:rPr>
              <w:rFonts w:ascii="David" w:hAnsi="David" w:cs="David"/>
              <w:sz w:val="22"/>
              <w:szCs w:val="22"/>
            </w:rPr>
            <w:instrText>o "1-4" \h \z \u</w:instrText>
          </w:r>
          <w:r w:rsidRPr="00843B73">
            <w:rPr>
              <w:rFonts w:ascii="David" w:hAnsi="David" w:cs="David"/>
              <w:sz w:val="22"/>
              <w:szCs w:val="22"/>
              <w:rtl/>
            </w:rPr>
            <w:instrText xml:space="preserve"> </w:instrText>
          </w:r>
          <w:r w:rsidRPr="00843B73">
            <w:rPr>
              <w:rFonts w:ascii="David" w:hAnsi="David" w:cs="David"/>
              <w:sz w:val="22"/>
              <w:szCs w:val="22"/>
              <w:rtl/>
              <w:cs/>
            </w:rPr>
            <w:fldChar w:fldCharType="separate"/>
          </w:r>
          <w:hyperlink w:anchor="_Toc219286499" w:history="1">
            <w:r w:rsidR="007737D9" w:rsidRPr="00D23EE9">
              <w:rPr>
                <w:rStyle w:val="Hyperlink"/>
                <w:noProof/>
                <w:rtl/>
              </w:rPr>
              <w:t>תוכן העניינים</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Toc219286499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1</w:t>
            </w:r>
            <w:r w:rsidR="007737D9">
              <w:rPr>
                <w:noProof/>
                <w:webHidden/>
                <w:rtl/>
              </w:rPr>
              <w:fldChar w:fldCharType="end"/>
            </w:r>
          </w:hyperlink>
        </w:p>
        <w:p w:rsidR="007737D9" w:rsidRDefault="00054BAE">
          <w:pPr>
            <w:pStyle w:val="TOC2"/>
            <w:rPr>
              <w:rFonts w:eastAsiaTheme="minorEastAsia" w:cstheme="minorBidi"/>
              <w:smallCaps w:val="0"/>
              <w:noProof/>
              <w:sz w:val="22"/>
              <w:szCs w:val="22"/>
              <w:rtl/>
            </w:rPr>
          </w:pPr>
          <w:hyperlink w:anchor="_Toc219286500" w:history="1">
            <w:r w:rsidR="007737D9" w:rsidRPr="00D23EE9">
              <w:rPr>
                <w:rStyle w:val="Hyperlink"/>
                <w:noProof/>
                <w:rtl/>
              </w:rPr>
              <w:t>קיצורים ומונחים</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Toc219286500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2</w:t>
            </w:r>
            <w:r w:rsidR="007737D9">
              <w:rPr>
                <w:noProof/>
                <w:webHidden/>
                <w:rtl/>
              </w:rPr>
              <w:fldChar w:fldCharType="end"/>
            </w:r>
          </w:hyperlink>
        </w:p>
        <w:p w:rsidR="007737D9" w:rsidRDefault="00054BAE">
          <w:pPr>
            <w:pStyle w:val="TOC3"/>
            <w:rPr>
              <w:rFonts w:eastAsiaTheme="minorEastAsia" w:cstheme="minorBidi"/>
              <w:sz w:val="22"/>
              <w:szCs w:val="22"/>
              <w:rtl/>
            </w:rPr>
          </w:pPr>
          <w:hyperlink w:anchor="_Toc219286501" w:history="1">
            <w:r w:rsidR="007737D9" w:rsidRPr="00D23EE9">
              <w:rPr>
                <w:rStyle w:val="Hyperlink"/>
                <w:rtl/>
              </w:rPr>
              <w:t>קיצורים</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Toc219286501 \h</w:instrText>
            </w:r>
            <w:r w:rsidR="007737D9">
              <w:rPr>
                <w:webHidden/>
                <w:rtl/>
              </w:rPr>
              <w:instrText xml:space="preserve"> </w:instrText>
            </w:r>
            <w:r w:rsidR="007737D9">
              <w:rPr>
                <w:webHidden/>
                <w:rtl/>
              </w:rPr>
            </w:r>
            <w:r w:rsidR="007737D9">
              <w:rPr>
                <w:webHidden/>
                <w:rtl/>
              </w:rPr>
              <w:fldChar w:fldCharType="separate"/>
            </w:r>
            <w:r w:rsidR="0056439C">
              <w:rPr>
                <w:webHidden/>
                <w:rtl/>
              </w:rPr>
              <w:t>2</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02" w:history="1">
            <w:r w:rsidR="007737D9" w:rsidRPr="00D23EE9">
              <w:rPr>
                <w:rStyle w:val="Hyperlink"/>
                <w:rtl/>
              </w:rPr>
              <w:t>מונחים</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Toc219286502 \h</w:instrText>
            </w:r>
            <w:r w:rsidR="007737D9">
              <w:rPr>
                <w:webHidden/>
                <w:rtl/>
              </w:rPr>
              <w:instrText xml:space="preserve"> </w:instrText>
            </w:r>
            <w:r w:rsidR="007737D9">
              <w:rPr>
                <w:webHidden/>
                <w:rtl/>
              </w:rPr>
            </w:r>
            <w:r w:rsidR="007737D9">
              <w:rPr>
                <w:webHidden/>
                <w:rtl/>
              </w:rPr>
              <w:fldChar w:fldCharType="separate"/>
            </w:r>
            <w:r w:rsidR="0056439C">
              <w:rPr>
                <w:webHidden/>
                <w:rtl/>
              </w:rPr>
              <w:t>3</w:t>
            </w:r>
            <w:r w:rsidR="007737D9">
              <w:rPr>
                <w:webHidden/>
                <w:rtl/>
              </w:rPr>
              <w:fldChar w:fldCharType="end"/>
            </w:r>
          </w:hyperlink>
        </w:p>
        <w:p w:rsidR="007737D9" w:rsidRDefault="00054BAE">
          <w:pPr>
            <w:pStyle w:val="TOC2"/>
            <w:rPr>
              <w:rFonts w:eastAsiaTheme="minorEastAsia" w:cstheme="minorBidi"/>
              <w:smallCaps w:val="0"/>
              <w:noProof/>
              <w:sz w:val="22"/>
              <w:szCs w:val="22"/>
              <w:rtl/>
            </w:rPr>
          </w:pPr>
          <w:hyperlink w:anchor="_Toc219286503" w:history="1">
            <w:r w:rsidR="007737D9" w:rsidRPr="00D23EE9">
              <w:rPr>
                <w:rStyle w:val="Hyperlink"/>
                <w:noProof/>
                <w:rtl/>
              </w:rPr>
              <w:t>מבוא כללי</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Toc219286503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7</w:t>
            </w:r>
            <w:r w:rsidR="007737D9">
              <w:rPr>
                <w:noProof/>
                <w:webHidden/>
                <w:rtl/>
              </w:rPr>
              <w:fldChar w:fldCharType="end"/>
            </w:r>
          </w:hyperlink>
        </w:p>
        <w:p w:rsidR="007737D9" w:rsidRDefault="00054BAE">
          <w:pPr>
            <w:pStyle w:val="TOC2"/>
            <w:tabs>
              <w:tab w:val="left" w:pos="800"/>
            </w:tabs>
            <w:rPr>
              <w:rFonts w:eastAsiaTheme="minorEastAsia" w:cstheme="minorBidi"/>
              <w:smallCaps w:val="0"/>
              <w:noProof/>
              <w:sz w:val="22"/>
              <w:szCs w:val="22"/>
              <w:rtl/>
            </w:rPr>
          </w:pPr>
          <w:hyperlink w:anchor="_Toc219286509" w:history="1">
            <w:r w:rsidR="007737D9" w:rsidRPr="00D23EE9">
              <w:rPr>
                <w:rStyle w:val="Hyperlink"/>
                <w:rFonts w:eastAsia="Times New Roman"/>
                <w:noProof/>
                <w:rtl/>
              </w:rPr>
              <w:t>1.</w:t>
            </w:r>
            <w:r w:rsidR="007737D9">
              <w:rPr>
                <w:rFonts w:eastAsiaTheme="minorEastAsia" w:cstheme="minorBidi"/>
                <w:smallCaps w:val="0"/>
                <w:noProof/>
                <w:sz w:val="22"/>
                <w:szCs w:val="22"/>
                <w:rtl/>
              </w:rPr>
              <w:tab/>
            </w:r>
            <w:r w:rsidR="007737D9" w:rsidRPr="00D23EE9">
              <w:rPr>
                <w:rStyle w:val="Hyperlink"/>
                <w:rFonts w:eastAsia="Times New Roman"/>
                <w:noProof/>
                <w:rtl/>
              </w:rPr>
              <w:t>ההסדרה המשפטית של השימוש בכלים טכנולוגיים בתחום האזנות הסתר ונתוני התקשורת</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Toc219286509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18</w:t>
            </w:r>
            <w:r w:rsidR="007737D9">
              <w:rPr>
                <w:noProof/>
                <w:webHidden/>
                <w:rtl/>
              </w:rPr>
              <w:fldChar w:fldCharType="end"/>
            </w:r>
          </w:hyperlink>
        </w:p>
        <w:p w:rsidR="007737D9" w:rsidRDefault="00054BAE">
          <w:pPr>
            <w:pStyle w:val="TOC3"/>
            <w:rPr>
              <w:rFonts w:eastAsiaTheme="minorEastAsia" w:cstheme="minorBidi"/>
              <w:sz w:val="22"/>
              <w:szCs w:val="22"/>
              <w:rtl/>
            </w:rPr>
          </w:pPr>
          <w:hyperlink w:anchor="_Toc219286510" w:history="1">
            <w:r w:rsidR="007737D9" w:rsidRPr="00D23EE9">
              <w:rPr>
                <w:rStyle w:val="Hyperlink"/>
                <w:rtl/>
              </w:rPr>
              <w:t>1.1 מבוא</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Toc219286510 \h</w:instrText>
            </w:r>
            <w:r w:rsidR="007737D9">
              <w:rPr>
                <w:webHidden/>
                <w:rtl/>
              </w:rPr>
              <w:instrText xml:space="preserve"> </w:instrText>
            </w:r>
            <w:r w:rsidR="007737D9">
              <w:rPr>
                <w:webHidden/>
                <w:rtl/>
              </w:rPr>
            </w:r>
            <w:r w:rsidR="007737D9">
              <w:rPr>
                <w:webHidden/>
                <w:rtl/>
              </w:rPr>
              <w:fldChar w:fldCharType="separate"/>
            </w:r>
            <w:r w:rsidR="0056439C">
              <w:rPr>
                <w:webHidden/>
                <w:rtl/>
              </w:rPr>
              <w:t>18</w:t>
            </w:r>
            <w:r w:rsidR="007737D9">
              <w:rPr>
                <w:webHidden/>
                <w:rtl/>
              </w:rPr>
              <w:fldChar w:fldCharType="end"/>
            </w:r>
          </w:hyperlink>
        </w:p>
        <w:p w:rsidR="007737D9" w:rsidRDefault="00054BAE">
          <w:pPr>
            <w:pStyle w:val="TOC3"/>
            <w:tabs>
              <w:tab w:val="left" w:pos="1200"/>
            </w:tabs>
            <w:rPr>
              <w:rFonts w:eastAsiaTheme="minorEastAsia" w:cstheme="minorBidi"/>
              <w:sz w:val="22"/>
              <w:szCs w:val="22"/>
              <w:rtl/>
            </w:rPr>
          </w:pPr>
          <w:hyperlink w:anchor="_Toc219286511" w:history="1">
            <w:r w:rsidR="007737D9" w:rsidRPr="00D23EE9">
              <w:rPr>
                <w:rStyle w:val="Hyperlink"/>
                <w:rtl/>
              </w:rPr>
              <w:t>1.2</w:t>
            </w:r>
            <w:r w:rsidR="007737D9">
              <w:rPr>
                <w:rFonts w:eastAsiaTheme="minorEastAsia" w:cstheme="minorBidi" w:hint="cs"/>
                <w:sz w:val="22"/>
                <w:szCs w:val="22"/>
                <w:rtl/>
              </w:rPr>
              <w:t xml:space="preserve"> </w:t>
            </w:r>
            <w:r w:rsidR="007737D9" w:rsidRPr="00D23EE9">
              <w:rPr>
                <w:rStyle w:val="Hyperlink"/>
                <w:rtl/>
              </w:rPr>
              <w:t>הטיפול המשפטי של המשטרה בפעולות וכלים טכנולוגיים</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Toc219286511 \h</w:instrText>
            </w:r>
            <w:r w:rsidR="007737D9">
              <w:rPr>
                <w:webHidden/>
                <w:rtl/>
              </w:rPr>
              <w:instrText xml:space="preserve"> </w:instrText>
            </w:r>
            <w:r w:rsidR="007737D9">
              <w:rPr>
                <w:webHidden/>
                <w:rtl/>
              </w:rPr>
            </w:r>
            <w:r w:rsidR="007737D9">
              <w:rPr>
                <w:webHidden/>
                <w:rtl/>
              </w:rPr>
              <w:fldChar w:fldCharType="separate"/>
            </w:r>
            <w:r w:rsidR="0056439C">
              <w:rPr>
                <w:webHidden/>
                <w:rtl/>
              </w:rPr>
              <w:t>22</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14" w:history="1">
            <w:r w:rsidR="007737D9" w:rsidRPr="00D23EE9">
              <w:rPr>
                <w:rStyle w:val="Hyperlink"/>
                <w:rtl/>
              </w:rPr>
              <w:t>1.3 הממשק עם הייעוץ המשפטי לממשלה בנוגע לפעולות וכלים טכנולוגיים</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Toc219286514 \h</w:instrText>
            </w:r>
            <w:r w:rsidR="007737D9">
              <w:rPr>
                <w:webHidden/>
                <w:rtl/>
              </w:rPr>
              <w:instrText xml:space="preserve"> </w:instrText>
            </w:r>
            <w:r w:rsidR="007737D9">
              <w:rPr>
                <w:webHidden/>
                <w:rtl/>
              </w:rPr>
            </w:r>
            <w:r w:rsidR="007737D9">
              <w:rPr>
                <w:webHidden/>
                <w:rtl/>
              </w:rPr>
              <w:fldChar w:fldCharType="separate"/>
            </w:r>
            <w:r w:rsidR="0056439C">
              <w:rPr>
                <w:webHidden/>
                <w:rtl/>
              </w:rPr>
              <w:t>26</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22" w:history="1">
            <w:r w:rsidR="007737D9" w:rsidRPr="00D23EE9">
              <w:rPr>
                <w:rStyle w:val="Hyperlink"/>
                <w:rtl/>
              </w:rPr>
              <w:t>1.4 הימשכות הטיפול של הייעוץ המשפטי לממשלה בבחינת מתווי התקנה וכלים טכנולוגיים</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Toc219286522 \h</w:instrText>
            </w:r>
            <w:r w:rsidR="007737D9">
              <w:rPr>
                <w:webHidden/>
                <w:rtl/>
              </w:rPr>
              <w:instrText xml:space="preserve"> </w:instrText>
            </w:r>
            <w:r w:rsidR="007737D9">
              <w:rPr>
                <w:webHidden/>
                <w:rtl/>
              </w:rPr>
            </w:r>
            <w:r w:rsidR="007737D9">
              <w:rPr>
                <w:webHidden/>
                <w:rtl/>
              </w:rPr>
              <w:fldChar w:fldCharType="separate"/>
            </w:r>
            <w:r w:rsidR="0056439C">
              <w:rPr>
                <w:webHidden/>
                <w:rtl/>
              </w:rPr>
              <w:t>30</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26" w:history="1">
            <w:r w:rsidR="007737D9" w:rsidRPr="00D23EE9">
              <w:rPr>
                <w:rStyle w:val="Hyperlink"/>
                <w:rtl/>
              </w:rPr>
              <w:t>1.5 זהות הגורם במשרד המשפטים</w:t>
            </w:r>
            <w:r w:rsidR="007737D9" w:rsidRPr="00D23EE9">
              <w:rPr>
                <w:rStyle w:val="Hyperlink"/>
                <w:rFonts w:ascii="David" w:hAnsi="David"/>
                <w:b/>
                <w:rtl/>
              </w:rPr>
              <w:t xml:space="preserve"> </w:t>
            </w:r>
            <w:r w:rsidR="007737D9" w:rsidRPr="00D23EE9">
              <w:rPr>
                <w:rStyle w:val="Hyperlink"/>
                <w:rtl/>
              </w:rPr>
              <w:t>המאשר את סמכות המשטרה להשתמש בכלים להאזנות סתר</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Toc219286526 \h</w:instrText>
            </w:r>
            <w:r w:rsidR="007737D9">
              <w:rPr>
                <w:webHidden/>
                <w:rtl/>
              </w:rPr>
              <w:instrText xml:space="preserve"> </w:instrText>
            </w:r>
            <w:r w:rsidR="007737D9">
              <w:rPr>
                <w:webHidden/>
                <w:rtl/>
              </w:rPr>
            </w:r>
            <w:r w:rsidR="007737D9">
              <w:rPr>
                <w:webHidden/>
                <w:rtl/>
              </w:rPr>
              <w:fldChar w:fldCharType="separate"/>
            </w:r>
            <w:r w:rsidR="0056439C">
              <w:rPr>
                <w:webHidden/>
                <w:rtl/>
              </w:rPr>
              <w:t>36</w:t>
            </w:r>
            <w:r w:rsidR="007737D9">
              <w:rPr>
                <w:webHidden/>
                <w:rtl/>
              </w:rPr>
              <w:fldChar w:fldCharType="end"/>
            </w:r>
          </w:hyperlink>
        </w:p>
        <w:p w:rsidR="007737D9" w:rsidRDefault="00054BAE">
          <w:pPr>
            <w:pStyle w:val="TOC2"/>
            <w:rPr>
              <w:rFonts w:eastAsiaTheme="minorEastAsia" w:cstheme="minorBidi"/>
              <w:smallCaps w:val="0"/>
              <w:noProof/>
              <w:sz w:val="22"/>
              <w:szCs w:val="22"/>
              <w:rtl/>
            </w:rPr>
          </w:pPr>
          <w:hyperlink w:anchor="_Toc219286527" w:history="1">
            <w:r w:rsidR="007737D9" w:rsidRPr="00D23EE9">
              <w:rPr>
                <w:rStyle w:val="Hyperlink"/>
                <w:rFonts w:eastAsia="Times New Roman"/>
                <w:noProof/>
                <w:rtl/>
              </w:rPr>
              <w:t>2. ביצוע</w:t>
            </w:r>
            <w:r w:rsidR="007737D9" w:rsidRPr="00D23EE9">
              <w:rPr>
                <w:rStyle w:val="Hyperlink"/>
                <w:noProof/>
                <w:rtl/>
              </w:rPr>
              <w:t xml:space="preserve"> האזנות סתר</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Toc219286527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44</w:t>
            </w:r>
            <w:r w:rsidR="007737D9">
              <w:rPr>
                <w:noProof/>
                <w:webHidden/>
                <w:rtl/>
              </w:rPr>
              <w:fldChar w:fldCharType="end"/>
            </w:r>
          </w:hyperlink>
        </w:p>
        <w:p w:rsidR="007737D9" w:rsidRDefault="00054BAE">
          <w:pPr>
            <w:pStyle w:val="TOC3"/>
            <w:rPr>
              <w:rFonts w:eastAsiaTheme="minorEastAsia" w:cstheme="minorBidi"/>
              <w:sz w:val="22"/>
              <w:szCs w:val="22"/>
              <w:rtl/>
            </w:rPr>
          </w:pPr>
          <w:hyperlink w:anchor="_Toc219286528" w:history="1">
            <w:r w:rsidR="007737D9" w:rsidRPr="00D23EE9">
              <w:rPr>
                <w:rStyle w:val="Hyperlink"/>
                <w:rtl/>
              </w:rPr>
              <w:t>2.1 מבוא</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Toc219286528 \h</w:instrText>
            </w:r>
            <w:r w:rsidR="007737D9">
              <w:rPr>
                <w:webHidden/>
                <w:rtl/>
              </w:rPr>
              <w:instrText xml:space="preserve"> </w:instrText>
            </w:r>
            <w:r w:rsidR="007737D9">
              <w:rPr>
                <w:webHidden/>
                <w:rtl/>
              </w:rPr>
            </w:r>
            <w:r w:rsidR="007737D9">
              <w:rPr>
                <w:webHidden/>
                <w:rtl/>
              </w:rPr>
              <w:fldChar w:fldCharType="separate"/>
            </w:r>
            <w:r w:rsidR="0056439C">
              <w:rPr>
                <w:webHidden/>
                <w:rtl/>
              </w:rPr>
              <w:t>44</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32" w:history="1">
            <w:r w:rsidR="007737D9" w:rsidRPr="00D23EE9">
              <w:rPr>
                <w:rStyle w:val="Hyperlink"/>
                <w:rtl/>
              </w:rPr>
              <w:t>2.2 הליכי הגשת בקשות להאזנות סתר</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Toc219286532 \h</w:instrText>
            </w:r>
            <w:r w:rsidR="007737D9">
              <w:rPr>
                <w:webHidden/>
                <w:rtl/>
              </w:rPr>
              <w:instrText xml:space="preserve"> </w:instrText>
            </w:r>
            <w:r w:rsidR="007737D9">
              <w:rPr>
                <w:webHidden/>
                <w:rtl/>
              </w:rPr>
            </w:r>
            <w:r w:rsidR="007737D9">
              <w:rPr>
                <w:webHidden/>
                <w:rtl/>
              </w:rPr>
              <w:fldChar w:fldCharType="separate"/>
            </w:r>
            <w:r w:rsidR="0056439C">
              <w:rPr>
                <w:webHidden/>
                <w:rtl/>
              </w:rPr>
              <w:t>46</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38" w:history="1">
            <w:r w:rsidR="007737D9" w:rsidRPr="00D23EE9">
              <w:rPr>
                <w:rStyle w:val="Hyperlink"/>
                <w:rtl/>
              </w:rPr>
              <w:t>2.3 התקנת כלים לצורכי האזנת סתר ואיסוף תוצרי האזנה</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Toc219286538 \h</w:instrText>
            </w:r>
            <w:r w:rsidR="007737D9">
              <w:rPr>
                <w:webHidden/>
                <w:rtl/>
              </w:rPr>
              <w:instrText xml:space="preserve"> </w:instrText>
            </w:r>
            <w:r w:rsidR="007737D9">
              <w:rPr>
                <w:webHidden/>
                <w:rtl/>
              </w:rPr>
            </w:r>
            <w:r w:rsidR="007737D9">
              <w:rPr>
                <w:webHidden/>
                <w:rtl/>
              </w:rPr>
              <w:fldChar w:fldCharType="separate"/>
            </w:r>
            <w:r w:rsidR="0056439C">
              <w:rPr>
                <w:webHidden/>
                <w:rtl/>
              </w:rPr>
              <w:t>101</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48" w:history="1">
            <w:r w:rsidR="007737D9" w:rsidRPr="00D23EE9">
              <w:rPr>
                <w:rStyle w:val="Hyperlink"/>
                <w:rtl/>
              </w:rPr>
              <w:t>2.4 הפקה ושימוש בתוצרי האזנת סתר</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Toc219286548 \h</w:instrText>
            </w:r>
            <w:r w:rsidR="007737D9">
              <w:rPr>
                <w:webHidden/>
                <w:rtl/>
              </w:rPr>
              <w:instrText xml:space="preserve"> </w:instrText>
            </w:r>
            <w:r w:rsidR="007737D9">
              <w:rPr>
                <w:webHidden/>
                <w:rtl/>
              </w:rPr>
            </w:r>
            <w:r w:rsidR="007737D9">
              <w:rPr>
                <w:webHidden/>
                <w:rtl/>
              </w:rPr>
              <w:fldChar w:fldCharType="separate"/>
            </w:r>
            <w:r w:rsidR="0056439C">
              <w:rPr>
                <w:webHidden/>
                <w:rtl/>
              </w:rPr>
              <w:t>133</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53" w:history="1">
            <w:r w:rsidR="007737D9" w:rsidRPr="00D23EE9">
              <w:rPr>
                <w:rStyle w:val="Hyperlink"/>
                <w:rtl/>
              </w:rPr>
              <w:t>2.5 ביעור חומרי האזנת סתר</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Toc219286553 \h</w:instrText>
            </w:r>
            <w:r w:rsidR="007737D9">
              <w:rPr>
                <w:webHidden/>
                <w:rtl/>
              </w:rPr>
              <w:instrText xml:space="preserve"> </w:instrText>
            </w:r>
            <w:r w:rsidR="007737D9">
              <w:rPr>
                <w:webHidden/>
                <w:rtl/>
              </w:rPr>
            </w:r>
            <w:r w:rsidR="007737D9">
              <w:rPr>
                <w:webHidden/>
                <w:rtl/>
              </w:rPr>
              <w:fldChar w:fldCharType="separate"/>
            </w:r>
            <w:r w:rsidR="0056439C">
              <w:rPr>
                <w:webHidden/>
                <w:rtl/>
              </w:rPr>
              <w:t>150</w:t>
            </w:r>
            <w:r w:rsidR="007737D9">
              <w:rPr>
                <w:webHidden/>
                <w:rtl/>
              </w:rPr>
              <w:fldChar w:fldCharType="end"/>
            </w:r>
          </w:hyperlink>
        </w:p>
        <w:p w:rsidR="007737D9" w:rsidRDefault="00054BAE">
          <w:pPr>
            <w:pStyle w:val="TOC2"/>
            <w:tabs>
              <w:tab w:val="left" w:pos="800"/>
            </w:tabs>
            <w:rPr>
              <w:rFonts w:eastAsiaTheme="minorEastAsia" w:cstheme="minorBidi"/>
              <w:smallCaps w:val="0"/>
              <w:noProof/>
              <w:sz w:val="22"/>
              <w:szCs w:val="22"/>
              <w:rtl/>
            </w:rPr>
          </w:pPr>
          <w:hyperlink w:anchor="_Toc219286554" w:history="1">
            <w:r w:rsidR="007737D9" w:rsidRPr="00D23EE9">
              <w:rPr>
                <w:rStyle w:val="Hyperlink"/>
                <w:rFonts w:eastAsia="Times New Roman"/>
                <w:noProof/>
                <w:rtl/>
              </w:rPr>
              <w:t>3.</w:t>
            </w:r>
            <w:r w:rsidR="007737D9">
              <w:rPr>
                <w:rFonts w:eastAsiaTheme="minorEastAsia" w:cstheme="minorBidi"/>
                <w:smallCaps w:val="0"/>
                <w:noProof/>
                <w:sz w:val="22"/>
                <w:szCs w:val="22"/>
                <w:rtl/>
              </w:rPr>
              <w:tab/>
            </w:r>
            <w:r w:rsidR="007737D9" w:rsidRPr="00D23EE9">
              <w:rPr>
                <w:rStyle w:val="Hyperlink"/>
                <w:rFonts w:eastAsia="Times New Roman"/>
                <w:noProof/>
                <w:rtl/>
              </w:rPr>
              <w:t>שימוש בנתוני תקשורת</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Toc219286554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154</w:t>
            </w:r>
            <w:r w:rsidR="007737D9">
              <w:rPr>
                <w:noProof/>
                <w:webHidden/>
                <w:rtl/>
              </w:rPr>
              <w:fldChar w:fldCharType="end"/>
            </w:r>
          </w:hyperlink>
        </w:p>
        <w:p w:rsidR="007737D9" w:rsidRDefault="00054BAE">
          <w:pPr>
            <w:pStyle w:val="TOC3"/>
            <w:rPr>
              <w:rFonts w:eastAsiaTheme="minorEastAsia" w:cstheme="minorBidi"/>
              <w:sz w:val="22"/>
              <w:szCs w:val="22"/>
              <w:rtl/>
            </w:rPr>
          </w:pPr>
          <w:hyperlink w:anchor="_Toc219286555" w:history="1">
            <w:r w:rsidR="007737D9" w:rsidRPr="00D23EE9">
              <w:rPr>
                <w:rStyle w:val="Hyperlink"/>
                <w:rtl/>
              </w:rPr>
              <w:t>3.1 מבוא</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Toc219286555 \h</w:instrText>
            </w:r>
            <w:r w:rsidR="007737D9">
              <w:rPr>
                <w:webHidden/>
                <w:rtl/>
              </w:rPr>
              <w:instrText xml:space="preserve"> </w:instrText>
            </w:r>
            <w:r w:rsidR="007737D9">
              <w:rPr>
                <w:webHidden/>
                <w:rtl/>
              </w:rPr>
            </w:r>
            <w:r w:rsidR="007737D9">
              <w:rPr>
                <w:webHidden/>
                <w:rtl/>
              </w:rPr>
              <w:fldChar w:fldCharType="separate"/>
            </w:r>
            <w:r w:rsidR="0056439C">
              <w:rPr>
                <w:webHidden/>
                <w:rtl/>
              </w:rPr>
              <w:t>154</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56" w:history="1">
            <w:r w:rsidR="007737D9" w:rsidRPr="00D23EE9">
              <w:rPr>
                <w:rStyle w:val="Hyperlink"/>
                <w:rtl/>
              </w:rPr>
              <w:t>3.2 ההליכים להוצאת צו שיפוטי</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Toc219286556 \h</w:instrText>
            </w:r>
            <w:r w:rsidR="007737D9">
              <w:rPr>
                <w:webHidden/>
                <w:rtl/>
              </w:rPr>
              <w:instrText xml:space="preserve"> </w:instrText>
            </w:r>
            <w:r w:rsidR="007737D9">
              <w:rPr>
                <w:webHidden/>
                <w:rtl/>
              </w:rPr>
            </w:r>
            <w:r w:rsidR="007737D9">
              <w:rPr>
                <w:webHidden/>
                <w:rtl/>
              </w:rPr>
              <w:fldChar w:fldCharType="separate"/>
            </w:r>
            <w:r w:rsidR="0056439C">
              <w:rPr>
                <w:webHidden/>
                <w:rtl/>
              </w:rPr>
              <w:t>157</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58" w:history="1">
            <w:r w:rsidR="007737D9" w:rsidRPr="00D23EE9">
              <w:rPr>
                <w:rStyle w:val="Hyperlink"/>
                <w:rtl/>
              </w:rPr>
              <w:t>3.3 ההליכים להוצאת היתר לקבלת נתוני תקשורת שלא באמצעות פנייה לבית משפט</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Toc219286558 \h</w:instrText>
            </w:r>
            <w:r w:rsidR="007737D9">
              <w:rPr>
                <w:webHidden/>
                <w:rtl/>
              </w:rPr>
              <w:instrText xml:space="preserve"> </w:instrText>
            </w:r>
            <w:r w:rsidR="007737D9">
              <w:rPr>
                <w:webHidden/>
                <w:rtl/>
              </w:rPr>
            </w:r>
            <w:r w:rsidR="007737D9">
              <w:rPr>
                <w:webHidden/>
                <w:rtl/>
              </w:rPr>
              <w:fldChar w:fldCharType="separate"/>
            </w:r>
            <w:r w:rsidR="0056439C">
              <w:rPr>
                <w:webHidden/>
                <w:rtl/>
              </w:rPr>
              <w:t>161</w:t>
            </w:r>
            <w:r w:rsidR="007737D9">
              <w:rPr>
                <w:webHidden/>
                <w:rtl/>
              </w:rPr>
              <w:fldChar w:fldCharType="end"/>
            </w:r>
          </w:hyperlink>
        </w:p>
        <w:p w:rsidR="007737D9" w:rsidRDefault="00054BAE">
          <w:pPr>
            <w:pStyle w:val="TOC2"/>
            <w:tabs>
              <w:tab w:val="left" w:pos="800"/>
            </w:tabs>
            <w:rPr>
              <w:rFonts w:eastAsiaTheme="minorEastAsia" w:cstheme="minorBidi"/>
              <w:smallCaps w:val="0"/>
              <w:noProof/>
              <w:sz w:val="22"/>
              <w:szCs w:val="22"/>
              <w:rtl/>
            </w:rPr>
          </w:pPr>
          <w:hyperlink w:anchor="_Toc219286563" w:history="1">
            <w:r w:rsidR="007737D9" w:rsidRPr="00D23EE9">
              <w:rPr>
                <w:rStyle w:val="Hyperlink"/>
                <w:noProof/>
                <w:rtl/>
              </w:rPr>
              <w:t>4.</w:t>
            </w:r>
            <w:r w:rsidR="007737D9">
              <w:rPr>
                <w:rFonts w:eastAsiaTheme="minorEastAsia" w:cstheme="minorBidi"/>
                <w:smallCaps w:val="0"/>
                <w:noProof/>
                <w:sz w:val="22"/>
                <w:szCs w:val="22"/>
                <w:rtl/>
              </w:rPr>
              <w:tab/>
            </w:r>
            <w:r w:rsidR="007737D9" w:rsidRPr="00D23EE9">
              <w:rPr>
                <w:rStyle w:val="Hyperlink"/>
                <w:noProof/>
                <w:rtl/>
              </w:rPr>
              <w:t>הפיקוח והבקרה של המשטרה על שימוש בנתוני תקשורת וביצוע האזנות סתר</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Toc219286563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174</w:t>
            </w:r>
            <w:r w:rsidR="007737D9">
              <w:rPr>
                <w:noProof/>
                <w:webHidden/>
                <w:rtl/>
              </w:rPr>
              <w:fldChar w:fldCharType="end"/>
            </w:r>
          </w:hyperlink>
        </w:p>
        <w:p w:rsidR="007737D9" w:rsidRDefault="00054BAE">
          <w:pPr>
            <w:pStyle w:val="TOC3"/>
            <w:tabs>
              <w:tab w:val="left" w:pos="1200"/>
            </w:tabs>
            <w:rPr>
              <w:rFonts w:eastAsiaTheme="minorEastAsia" w:cstheme="minorBidi"/>
              <w:sz w:val="22"/>
              <w:szCs w:val="22"/>
              <w:rtl/>
            </w:rPr>
          </w:pPr>
          <w:hyperlink w:anchor="_Toc219286564" w:history="1">
            <w:r w:rsidR="007737D9" w:rsidRPr="00D23EE9">
              <w:rPr>
                <w:rStyle w:val="Hyperlink"/>
                <w:rtl/>
              </w:rPr>
              <w:t>4.1</w:t>
            </w:r>
            <w:r w:rsidR="007737D9">
              <w:rPr>
                <w:rFonts w:eastAsiaTheme="minorEastAsia" w:cstheme="minorBidi"/>
                <w:sz w:val="22"/>
                <w:szCs w:val="22"/>
                <w:rtl/>
              </w:rPr>
              <w:tab/>
            </w:r>
            <w:r w:rsidR="007737D9" w:rsidRPr="00D23EE9">
              <w:rPr>
                <w:rStyle w:val="Hyperlink"/>
                <w:rtl/>
              </w:rPr>
              <w:t>מבוא</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Toc219286564 \h</w:instrText>
            </w:r>
            <w:r w:rsidR="007737D9">
              <w:rPr>
                <w:webHidden/>
                <w:rtl/>
              </w:rPr>
              <w:instrText xml:space="preserve"> </w:instrText>
            </w:r>
            <w:r w:rsidR="007737D9">
              <w:rPr>
                <w:webHidden/>
                <w:rtl/>
              </w:rPr>
            </w:r>
            <w:r w:rsidR="007737D9">
              <w:rPr>
                <w:webHidden/>
                <w:rtl/>
              </w:rPr>
              <w:fldChar w:fldCharType="separate"/>
            </w:r>
            <w:r w:rsidR="0056439C">
              <w:rPr>
                <w:webHidden/>
                <w:rtl/>
              </w:rPr>
              <w:t>174</w:t>
            </w:r>
            <w:r w:rsidR="007737D9">
              <w:rPr>
                <w:webHidden/>
                <w:rtl/>
              </w:rPr>
              <w:fldChar w:fldCharType="end"/>
            </w:r>
          </w:hyperlink>
        </w:p>
        <w:p w:rsidR="007737D9" w:rsidRDefault="00054BAE">
          <w:pPr>
            <w:pStyle w:val="TOC3"/>
            <w:tabs>
              <w:tab w:val="left" w:pos="1200"/>
            </w:tabs>
            <w:rPr>
              <w:rFonts w:eastAsiaTheme="minorEastAsia" w:cstheme="minorBidi"/>
              <w:sz w:val="22"/>
              <w:szCs w:val="22"/>
              <w:rtl/>
            </w:rPr>
          </w:pPr>
          <w:hyperlink w:anchor="_Toc219286565" w:history="1">
            <w:r w:rsidR="007737D9" w:rsidRPr="00D23EE9">
              <w:rPr>
                <w:rStyle w:val="Hyperlink"/>
                <w:rtl/>
              </w:rPr>
              <w:t>4.2</w:t>
            </w:r>
            <w:r w:rsidR="007737D9">
              <w:rPr>
                <w:rFonts w:eastAsiaTheme="minorEastAsia" w:cstheme="minorBidi"/>
                <w:sz w:val="22"/>
                <w:szCs w:val="22"/>
                <w:rtl/>
              </w:rPr>
              <w:tab/>
            </w:r>
            <w:r w:rsidR="007737D9" w:rsidRPr="00D23EE9">
              <w:rPr>
                <w:rStyle w:val="Hyperlink"/>
                <w:rtl/>
              </w:rPr>
              <w:t>ביצוע בקרות בתחומי נתוני תקשורת והאזנות סתר</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Toc219286565 \h</w:instrText>
            </w:r>
            <w:r w:rsidR="007737D9">
              <w:rPr>
                <w:webHidden/>
                <w:rtl/>
              </w:rPr>
              <w:instrText xml:space="preserve"> </w:instrText>
            </w:r>
            <w:r w:rsidR="007737D9">
              <w:rPr>
                <w:webHidden/>
                <w:rtl/>
              </w:rPr>
            </w:r>
            <w:r w:rsidR="007737D9">
              <w:rPr>
                <w:webHidden/>
                <w:rtl/>
              </w:rPr>
              <w:fldChar w:fldCharType="separate"/>
            </w:r>
            <w:r w:rsidR="0056439C">
              <w:rPr>
                <w:webHidden/>
                <w:rtl/>
              </w:rPr>
              <w:t>174</w:t>
            </w:r>
            <w:r w:rsidR="007737D9">
              <w:rPr>
                <w:webHidden/>
                <w:rtl/>
              </w:rPr>
              <w:fldChar w:fldCharType="end"/>
            </w:r>
          </w:hyperlink>
        </w:p>
        <w:p w:rsidR="007737D9" w:rsidRDefault="00054BAE">
          <w:pPr>
            <w:pStyle w:val="TOC3"/>
            <w:tabs>
              <w:tab w:val="left" w:pos="1200"/>
            </w:tabs>
            <w:rPr>
              <w:rFonts w:eastAsiaTheme="minorEastAsia" w:cstheme="minorBidi"/>
              <w:sz w:val="22"/>
              <w:szCs w:val="22"/>
              <w:rtl/>
            </w:rPr>
          </w:pPr>
          <w:hyperlink w:anchor="_Toc219286569" w:history="1">
            <w:r w:rsidR="007737D9" w:rsidRPr="00D23EE9">
              <w:rPr>
                <w:rStyle w:val="Hyperlink"/>
                <w:rtl/>
              </w:rPr>
              <w:t>4.3</w:t>
            </w:r>
            <w:r w:rsidR="007737D9">
              <w:rPr>
                <w:rFonts w:eastAsiaTheme="minorEastAsia" w:cstheme="minorBidi"/>
                <w:sz w:val="22"/>
                <w:szCs w:val="22"/>
                <w:rtl/>
              </w:rPr>
              <w:tab/>
            </w:r>
            <w:r w:rsidR="007737D9" w:rsidRPr="00D23EE9">
              <w:rPr>
                <w:rStyle w:val="Hyperlink"/>
                <w:rtl/>
              </w:rPr>
              <w:t>בקרת המפקד - ראש חטיבת הסייבר</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Toc219286569 \h</w:instrText>
            </w:r>
            <w:r w:rsidR="007737D9">
              <w:rPr>
                <w:webHidden/>
                <w:rtl/>
              </w:rPr>
              <w:instrText xml:space="preserve"> </w:instrText>
            </w:r>
            <w:r w:rsidR="007737D9">
              <w:rPr>
                <w:webHidden/>
                <w:rtl/>
              </w:rPr>
            </w:r>
            <w:r w:rsidR="007737D9">
              <w:rPr>
                <w:webHidden/>
                <w:rtl/>
              </w:rPr>
              <w:fldChar w:fldCharType="separate"/>
            </w:r>
            <w:r w:rsidR="0056439C">
              <w:rPr>
                <w:webHidden/>
                <w:rtl/>
              </w:rPr>
              <w:t>180</w:t>
            </w:r>
            <w:r w:rsidR="007737D9">
              <w:rPr>
                <w:webHidden/>
                <w:rtl/>
              </w:rPr>
              <w:fldChar w:fldCharType="end"/>
            </w:r>
          </w:hyperlink>
        </w:p>
        <w:p w:rsidR="007737D9" w:rsidRDefault="00054BAE">
          <w:pPr>
            <w:pStyle w:val="TOC3"/>
            <w:tabs>
              <w:tab w:val="left" w:pos="1200"/>
            </w:tabs>
            <w:rPr>
              <w:rFonts w:eastAsiaTheme="minorEastAsia" w:cstheme="minorBidi"/>
              <w:sz w:val="22"/>
              <w:szCs w:val="22"/>
              <w:rtl/>
            </w:rPr>
          </w:pPr>
          <w:hyperlink w:anchor="_Toc219286570" w:history="1">
            <w:r w:rsidR="007737D9" w:rsidRPr="00D23EE9">
              <w:rPr>
                <w:rStyle w:val="Hyperlink"/>
                <w:rtl/>
              </w:rPr>
              <w:t>4.4</w:t>
            </w:r>
            <w:r w:rsidR="007737D9">
              <w:rPr>
                <w:rFonts w:eastAsiaTheme="minorEastAsia" w:cstheme="minorBidi"/>
                <w:sz w:val="22"/>
                <w:szCs w:val="22"/>
                <w:rtl/>
              </w:rPr>
              <w:tab/>
            </w:r>
            <w:r w:rsidR="007737D9" w:rsidRPr="00D23EE9">
              <w:rPr>
                <w:rStyle w:val="Hyperlink"/>
                <w:rtl/>
              </w:rPr>
              <w:t>בקרות אבטחת מידע</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Toc219286570 \h</w:instrText>
            </w:r>
            <w:r w:rsidR="007737D9">
              <w:rPr>
                <w:webHidden/>
                <w:rtl/>
              </w:rPr>
              <w:instrText xml:space="preserve"> </w:instrText>
            </w:r>
            <w:r w:rsidR="007737D9">
              <w:rPr>
                <w:webHidden/>
                <w:rtl/>
              </w:rPr>
            </w:r>
            <w:r w:rsidR="007737D9">
              <w:rPr>
                <w:webHidden/>
                <w:rtl/>
              </w:rPr>
              <w:fldChar w:fldCharType="separate"/>
            </w:r>
            <w:r w:rsidR="0056439C">
              <w:rPr>
                <w:webHidden/>
                <w:rtl/>
              </w:rPr>
              <w:t>180</w:t>
            </w:r>
            <w:r w:rsidR="007737D9">
              <w:rPr>
                <w:webHidden/>
                <w:rtl/>
              </w:rPr>
              <w:fldChar w:fldCharType="end"/>
            </w:r>
          </w:hyperlink>
        </w:p>
        <w:p w:rsidR="007737D9" w:rsidRDefault="00054BAE">
          <w:pPr>
            <w:pStyle w:val="TOC2"/>
            <w:tabs>
              <w:tab w:val="left" w:pos="800"/>
            </w:tabs>
            <w:rPr>
              <w:rFonts w:eastAsiaTheme="minorEastAsia" w:cstheme="minorBidi"/>
              <w:smallCaps w:val="0"/>
              <w:noProof/>
              <w:sz w:val="22"/>
              <w:szCs w:val="22"/>
              <w:rtl/>
            </w:rPr>
          </w:pPr>
          <w:hyperlink w:anchor="_Toc219286573" w:history="1">
            <w:r w:rsidR="007737D9" w:rsidRPr="00D23EE9">
              <w:rPr>
                <w:rStyle w:val="Hyperlink"/>
                <w:rFonts w:eastAsia="Times New Roman"/>
                <w:noProof/>
                <w:rtl/>
              </w:rPr>
              <w:t>5.</w:t>
            </w:r>
            <w:r w:rsidR="007737D9">
              <w:rPr>
                <w:rFonts w:eastAsiaTheme="minorEastAsia" w:cstheme="minorBidi"/>
                <w:smallCaps w:val="0"/>
                <w:noProof/>
                <w:sz w:val="22"/>
                <w:szCs w:val="22"/>
                <w:rtl/>
              </w:rPr>
              <w:tab/>
            </w:r>
            <w:r w:rsidR="007737D9" w:rsidRPr="00D23EE9">
              <w:rPr>
                <w:rStyle w:val="Hyperlink"/>
                <w:rFonts w:eastAsia="Times New Roman"/>
                <w:noProof/>
                <w:rtl/>
              </w:rPr>
              <w:t xml:space="preserve">הפיקוח </w:t>
            </w:r>
            <w:r w:rsidR="007737D9" w:rsidRPr="00D23EE9">
              <w:rPr>
                <w:rStyle w:val="Hyperlink"/>
                <w:noProof/>
                <w:rtl/>
              </w:rPr>
              <w:t>בתחומי</w:t>
            </w:r>
            <w:r w:rsidR="007737D9" w:rsidRPr="00D23EE9">
              <w:rPr>
                <w:rStyle w:val="Hyperlink"/>
                <w:rFonts w:eastAsia="Times New Roman"/>
                <w:noProof/>
                <w:rtl/>
              </w:rPr>
              <w:t xml:space="preserve"> האזנות סתר ונתוני תקשורת במסגרת הליך החיסיון של חומרי החקירה</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Toc219286573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185</w:t>
            </w:r>
            <w:r w:rsidR="007737D9">
              <w:rPr>
                <w:noProof/>
                <w:webHidden/>
                <w:rtl/>
              </w:rPr>
              <w:fldChar w:fldCharType="end"/>
            </w:r>
          </w:hyperlink>
        </w:p>
        <w:p w:rsidR="007737D9" w:rsidRDefault="00054BAE">
          <w:pPr>
            <w:pStyle w:val="TOC3"/>
            <w:rPr>
              <w:rFonts w:eastAsiaTheme="minorEastAsia" w:cstheme="minorBidi"/>
              <w:sz w:val="22"/>
              <w:szCs w:val="22"/>
              <w:rtl/>
            </w:rPr>
          </w:pPr>
          <w:hyperlink w:anchor="_Toc219286574" w:history="1">
            <w:r w:rsidR="007737D9" w:rsidRPr="00D23EE9">
              <w:rPr>
                <w:rStyle w:val="Hyperlink"/>
                <w:rtl/>
              </w:rPr>
              <w:t>5.1 מעקב אחר הנתונים בדבר הטלת חסיונות בתיקי הפרקליטות ובתיקי חטיבת התביעות</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Toc219286574 \h</w:instrText>
            </w:r>
            <w:r w:rsidR="007737D9">
              <w:rPr>
                <w:webHidden/>
                <w:rtl/>
              </w:rPr>
              <w:instrText xml:space="preserve"> </w:instrText>
            </w:r>
            <w:r w:rsidR="007737D9">
              <w:rPr>
                <w:webHidden/>
                <w:rtl/>
              </w:rPr>
            </w:r>
            <w:r w:rsidR="007737D9">
              <w:rPr>
                <w:webHidden/>
                <w:rtl/>
              </w:rPr>
              <w:fldChar w:fldCharType="separate"/>
            </w:r>
            <w:r w:rsidR="0056439C">
              <w:rPr>
                <w:webHidden/>
                <w:rtl/>
              </w:rPr>
              <w:t>186</w:t>
            </w:r>
            <w:r w:rsidR="007737D9">
              <w:rPr>
                <w:webHidden/>
                <w:rtl/>
              </w:rPr>
              <w:fldChar w:fldCharType="end"/>
            </w:r>
          </w:hyperlink>
        </w:p>
        <w:p w:rsidR="007737D9" w:rsidRDefault="00054BAE">
          <w:pPr>
            <w:pStyle w:val="TOC3"/>
            <w:rPr>
              <w:rFonts w:eastAsiaTheme="minorEastAsia" w:cstheme="minorBidi"/>
              <w:sz w:val="22"/>
              <w:szCs w:val="22"/>
              <w:rtl/>
            </w:rPr>
          </w:pPr>
          <w:hyperlink w:anchor="_Toc219286578" w:history="1">
            <w:r w:rsidR="007737D9" w:rsidRPr="00D23EE9">
              <w:rPr>
                <w:rStyle w:val="Hyperlink"/>
                <w:rtl/>
              </w:rPr>
              <w:t>5.2 הפיקוח והבקרה של התביעה על סיווג המידע הנוגע להאזנות סתר על ידי המשטרה לצורך קבלת החלטה על גילויו או חיסויו</w:t>
            </w:r>
            <w:r w:rsidR="007737D9">
              <w:rPr>
                <w:webHidden/>
                <w:rtl/>
              </w:rPr>
              <w:tab/>
            </w:r>
            <w:r w:rsidR="007737D9">
              <w:rPr>
                <w:webHidden/>
                <w:rtl/>
              </w:rPr>
              <w:fldChar w:fldCharType="begin"/>
            </w:r>
            <w:r w:rsidR="007737D9">
              <w:rPr>
                <w:webHidden/>
                <w:rtl/>
              </w:rPr>
              <w:instrText xml:space="preserve"> </w:instrText>
            </w:r>
            <w:r w:rsidR="007737D9">
              <w:rPr>
                <w:webHidden/>
              </w:rPr>
              <w:instrText>PAGEREF</w:instrText>
            </w:r>
            <w:r w:rsidR="007737D9">
              <w:rPr>
                <w:webHidden/>
                <w:rtl/>
              </w:rPr>
              <w:instrText xml:space="preserve"> _</w:instrText>
            </w:r>
            <w:r w:rsidR="007737D9">
              <w:rPr>
                <w:webHidden/>
              </w:rPr>
              <w:instrText>Toc219286578 \h</w:instrText>
            </w:r>
            <w:r w:rsidR="007737D9">
              <w:rPr>
                <w:webHidden/>
                <w:rtl/>
              </w:rPr>
              <w:instrText xml:space="preserve"> </w:instrText>
            </w:r>
            <w:r w:rsidR="007737D9">
              <w:rPr>
                <w:webHidden/>
                <w:rtl/>
              </w:rPr>
            </w:r>
            <w:r w:rsidR="007737D9">
              <w:rPr>
                <w:webHidden/>
                <w:rtl/>
              </w:rPr>
              <w:fldChar w:fldCharType="separate"/>
            </w:r>
            <w:r w:rsidR="0056439C">
              <w:rPr>
                <w:webHidden/>
                <w:rtl/>
              </w:rPr>
              <w:t>192</w:t>
            </w:r>
            <w:r w:rsidR="007737D9">
              <w:rPr>
                <w:webHidden/>
                <w:rtl/>
              </w:rPr>
              <w:fldChar w:fldCharType="end"/>
            </w:r>
          </w:hyperlink>
        </w:p>
        <w:p w:rsidR="007737D9" w:rsidRDefault="00054BAE">
          <w:pPr>
            <w:pStyle w:val="TOC2"/>
            <w:tabs>
              <w:tab w:val="left" w:pos="800"/>
            </w:tabs>
            <w:rPr>
              <w:rFonts w:eastAsiaTheme="minorEastAsia" w:cstheme="minorBidi"/>
              <w:smallCaps w:val="0"/>
              <w:noProof/>
              <w:sz w:val="22"/>
              <w:szCs w:val="22"/>
              <w:rtl/>
            </w:rPr>
          </w:pPr>
          <w:hyperlink w:anchor="_Toc219286581" w:history="1">
            <w:r w:rsidR="007737D9" w:rsidRPr="00D23EE9">
              <w:rPr>
                <w:rStyle w:val="Hyperlink"/>
                <w:rFonts w:eastAsia="Times New Roman"/>
                <w:noProof/>
                <w:rtl/>
              </w:rPr>
              <w:t>6.</w:t>
            </w:r>
            <w:r w:rsidR="007737D9">
              <w:rPr>
                <w:rFonts w:eastAsiaTheme="minorEastAsia" w:cstheme="minorBidi"/>
                <w:smallCaps w:val="0"/>
                <w:noProof/>
                <w:sz w:val="22"/>
                <w:szCs w:val="22"/>
                <w:rtl/>
              </w:rPr>
              <w:tab/>
            </w:r>
            <w:r w:rsidR="007737D9" w:rsidRPr="00D23EE9">
              <w:rPr>
                <w:rStyle w:val="Hyperlink"/>
                <w:rFonts w:eastAsia="Times New Roman"/>
                <w:noProof/>
                <w:rtl/>
              </w:rPr>
              <w:t>הסדרה חקיקתית של השימוש בכלי האזנות סתר ונתוני תקשורת</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Toc219286581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195</w:t>
            </w:r>
            <w:r w:rsidR="007737D9">
              <w:rPr>
                <w:noProof/>
                <w:webHidden/>
                <w:rtl/>
              </w:rPr>
              <w:fldChar w:fldCharType="end"/>
            </w:r>
          </w:hyperlink>
        </w:p>
        <w:p w:rsidR="007737D9" w:rsidRDefault="00054BAE">
          <w:pPr>
            <w:pStyle w:val="TOC2"/>
            <w:rPr>
              <w:rFonts w:eastAsiaTheme="minorEastAsia" w:cstheme="minorBidi"/>
              <w:smallCaps w:val="0"/>
              <w:noProof/>
              <w:sz w:val="22"/>
              <w:szCs w:val="22"/>
              <w:rtl/>
            </w:rPr>
          </w:pPr>
          <w:hyperlink w:anchor="_Toc219286587" w:history="1">
            <w:r w:rsidR="007737D9" w:rsidRPr="00D23EE9">
              <w:rPr>
                <w:rStyle w:val="Hyperlink"/>
                <w:rFonts w:eastAsia="Times New Roman"/>
                <w:noProof/>
                <w:rtl/>
              </w:rPr>
              <w:t>סיכום כללי</w:t>
            </w:r>
            <w:r w:rsidR="007737D9">
              <w:rPr>
                <w:noProof/>
                <w:webHidden/>
                <w:rtl/>
              </w:rPr>
              <w:tab/>
            </w:r>
            <w:r w:rsidR="007737D9">
              <w:rPr>
                <w:noProof/>
                <w:webHidden/>
                <w:rtl/>
              </w:rPr>
              <w:fldChar w:fldCharType="begin"/>
            </w:r>
            <w:r w:rsidR="007737D9">
              <w:rPr>
                <w:noProof/>
                <w:webHidden/>
                <w:rtl/>
              </w:rPr>
              <w:instrText xml:space="preserve"> </w:instrText>
            </w:r>
            <w:r w:rsidR="007737D9">
              <w:rPr>
                <w:noProof/>
                <w:webHidden/>
              </w:rPr>
              <w:instrText>PAGEREF</w:instrText>
            </w:r>
            <w:r w:rsidR="007737D9">
              <w:rPr>
                <w:noProof/>
                <w:webHidden/>
                <w:rtl/>
              </w:rPr>
              <w:instrText xml:space="preserve"> _</w:instrText>
            </w:r>
            <w:r w:rsidR="007737D9">
              <w:rPr>
                <w:noProof/>
                <w:webHidden/>
              </w:rPr>
              <w:instrText>Toc219286587 \h</w:instrText>
            </w:r>
            <w:r w:rsidR="007737D9">
              <w:rPr>
                <w:noProof/>
                <w:webHidden/>
                <w:rtl/>
              </w:rPr>
              <w:instrText xml:space="preserve"> </w:instrText>
            </w:r>
            <w:r w:rsidR="007737D9">
              <w:rPr>
                <w:noProof/>
                <w:webHidden/>
                <w:rtl/>
              </w:rPr>
            </w:r>
            <w:r w:rsidR="007737D9">
              <w:rPr>
                <w:noProof/>
                <w:webHidden/>
                <w:rtl/>
              </w:rPr>
              <w:fldChar w:fldCharType="separate"/>
            </w:r>
            <w:r w:rsidR="0056439C">
              <w:rPr>
                <w:noProof/>
                <w:webHidden/>
                <w:rtl/>
              </w:rPr>
              <w:t>205</w:t>
            </w:r>
            <w:r w:rsidR="007737D9">
              <w:rPr>
                <w:noProof/>
                <w:webHidden/>
                <w:rtl/>
              </w:rPr>
              <w:fldChar w:fldCharType="end"/>
            </w:r>
          </w:hyperlink>
        </w:p>
        <w:p w:rsidR="00A27BF9" w:rsidRDefault="00030855" w:rsidP="00604C3D">
          <w:pPr>
            <w:pStyle w:val="TOC2"/>
            <w:spacing w:line="269" w:lineRule="auto"/>
          </w:pPr>
          <w:r w:rsidRPr="00843B73">
            <w:rPr>
              <w:rFonts w:ascii="David" w:hAnsi="David" w:cs="David"/>
              <w:sz w:val="22"/>
              <w:szCs w:val="22"/>
              <w:rtl/>
              <w:cs/>
            </w:rPr>
            <w:fldChar w:fldCharType="end"/>
          </w:r>
        </w:p>
      </w:sdtContent>
    </w:sdt>
    <w:p w:rsidR="00CE4A4D" w:rsidRDefault="00CE4A4D" w:rsidP="00604C3D">
      <w:pPr>
        <w:bidi w:val="0"/>
        <w:spacing w:line="269" w:lineRule="auto"/>
        <w:rPr>
          <w:rFonts w:eastAsiaTheme="majorEastAsia"/>
          <w:bCs/>
          <w:szCs w:val="32"/>
        </w:rPr>
      </w:pPr>
      <w:r>
        <w:rPr>
          <w:rtl/>
        </w:rPr>
        <w:br w:type="page"/>
      </w:r>
    </w:p>
    <w:p w:rsidR="0026556A" w:rsidRDefault="0026556A" w:rsidP="00A81CF9">
      <w:pPr>
        <w:pStyle w:val="2"/>
        <w:spacing w:before="0" w:line="269" w:lineRule="auto"/>
        <w:ind w:left="-1136"/>
        <w:rPr>
          <w:rtl/>
        </w:rPr>
      </w:pPr>
      <w:bookmarkStart w:id="7" w:name="_Toc219286500"/>
      <w:r w:rsidRPr="000B0027">
        <w:rPr>
          <w:rFonts w:hint="cs"/>
          <w:rtl/>
        </w:rPr>
        <w:t>קיצורים</w:t>
      </w:r>
      <w:r>
        <w:rPr>
          <w:rFonts w:hint="cs"/>
          <w:rtl/>
        </w:rPr>
        <w:t xml:space="preserve"> ומונחים</w:t>
      </w:r>
      <w:bookmarkEnd w:id="7"/>
      <w:r>
        <w:rPr>
          <w:rFonts w:hint="cs"/>
          <w:rtl/>
        </w:rPr>
        <w:t xml:space="preserve"> </w:t>
      </w:r>
    </w:p>
    <w:p w:rsidR="003230AD" w:rsidRPr="00C27CC0" w:rsidRDefault="003230AD" w:rsidP="00604C3D">
      <w:pPr>
        <w:spacing w:line="269" w:lineRule="auto"/>
        <w:rPr>
          <w:b/>
          <w:bCs/>
          <w:sz w:val="12"/>
          <w:szCs w:val="16"/>
          <w:rtl/>
        </w:rPr>
      </w:pPr>
    </w:p>
    <w:tbl>
      <w:tblPr>
        <w:tblStyle w:val="aff6"/>
        <w:bidiVisual/>
        <w:tblW w:w="0" w:type="auto"/>
        <w:tblInd w:w="-858" w:type="dxa"/>
        <w:tblLook w:val="04A0" w:firstRow="1" w:lastRow="0" w:firstColumn="1" w:lastColumn="0" w:noHBand="0" w:noVBand="1"/>
      </w:tblPr>
      <w:tblGrid>
        <w:gridCol w:w="2979"/>
        <w:gridCol w:w="6089"/>
      </w:tblGrid>
      <w:tr w:rsidR="00CF5E11" w:rsidRPr="00C27CC0" w:rsidTr="00C27CC0">
        <w:trPr>
          <w:trHeight w:val="363"/>
        </w:trPr>
        <w:tc>
          <w:tcPr>
            <w:tcW w:w="9068" w:type="dxa"/>
            <w:gridSpan w:val="2"/>
          </w:tcPr>
          <w:p w:rsidR="00CF5E11" w:rsidRPr="007A1F97" w:rsidRDefault="00CF5E11" w:rsidP="007A1F97">
            <w:pPr>
              <w:pStyle w:val="3"/>
              <w:spacing w:before="40" w:afterLines="22" w:after="52" w:line="269" w:lineRule="auto"/>
              <w:ind w:left="-567"/>
              <w:jc w:val="center"/>
              <w:outlineLvl w:val="2"/>
              <w:rPr>
                <w:sz w:val="28"/>
                <w:u w:val="none"/>
                <w:rtl/>
              </w:rPr>
            </w:pPr>
            <w:bookmarkStart w:id="8" w:name="_Toc219110284"/>
            <w:bookmarkStart w:id="9" w:name="_Toc219113725"/>
            <w:bookmarkStart w:id="10" w:name="_Toc219286501"/>
            <w:r w:rsidRPr="007A1F97">
              <w:rPr>
                <w:rFonts w:hint="eastAsia"/>
                <w:sz w:val="28"/>
                <w:u w:val="none"/>
                <w:rtl/>
              </w:rPr>
              <w:t>קיצורים</w:t>
            </w:r>
            <w:bookmarkEnd w:id="8"/>
            <w:bookmarkEnd w:id="9"/>
            <w:bookmarkEnd w:id="10"/>
          </w:p>
        </w:tc>
      </w:tr>
      <w:tr w:rsidR="001F6217" w:rsidRPr="00C27CC0" w:rsidTr="00C27CC0">
        <w:tc>
          <w:tcPr>
            <w:tcW w:w="2979" w:type="dxa"/>
          </w:tcPr>
          <w:p w:rsidR="001F6217" w:rsidRPr="00C27CC0" w:rsidRDefault="001F6217" w:rsidP="00B422AF">
            <w:pPr>
              <w:spacing w:afterLines="22" w:after="52" w:line="269" w:lineRule="auto"/>
              <w:rPr>
                <w:b/>
                <w:bCs/>
                <w:sz w:val="23"/>
                <w:szCs w:val="23"/>
                <w:rtl/>
              </w:rPr>
            </w:pPr>
            <w:r w:rsidRPr="00C27CC0">
              <w:rPr>
                <w:rFonts w:hint="cs"/>
                <w:b/>
                <w:bCs/>
                <w:sz w:val="23"/>
                <w:szCs w:val="23"/>
                <w:rtl/>
              </w:rPr>
              <w:t>אח"ם</w:t>
            </w:r>
          </w:p>
        </w:tc>
        <w:tc>
          <w:tcPr>
            <w:tcW w:w="6089" w:type="dxa"/>
          </w:tcPr>
          <w:p w:rsidR="001F6217" w:rsidRPr="00C27CC0" w:rsidRDefault="001F6217" w:rsidP="00B422AF">
            <w:pPr>
              <w:spacing w:afterLines="22" w:after="52" w:line="269" w:lineRule="auto"/>
              <w:rPr>
                <w:sz w:val="23"/>
                <w:szCs w:val="23"/>
                <w:rtl/>
              </w:rPr>
            </w:pPr>
            <w:r w:rsidRPr="00C27CC0">
              <w:rPr>
                <w:rFonts w:hint="cs"/>
                <w:sz w:val="23"/>
                <w:szCs w:val="23"/>
                <w:rtl/>
              </w:rPr>
              <w:t>אגף החקירות והמודיעין</w:t>
            </w:r>
            <w:r w:rsidR="003230AD" w:rsidRPr="00C27CC0">
              <w:rPr>
                <w:rFonts w:hint="cs"/>
                <w:sz w:val="23"/>
                <w:szCs w:val="23"/>
                <w:rtl/>
              </w:rPr>
              <w:t>.</w:t>
            </w:r>
          </w:p>
        </w:tc>
      </w:tr>
      <w:tr w:rsidR="001F6217" w:rsidRPr="00C27CC0" w:rsidTr="00C27CC0">
        <w:tc>
          <w:tcPr>
            <w:tcW w:w="2979" w:type="dxa"/>
          </w:tcPr>
          <w:p w:rsidR="001F6217" w:rsidRPr="00C27CC0" w:rsidRDefault="001F6217" w:rsidP="00B422AF">
            <w:pPr>
              <w:spacing w:afterLines="22" w:after="52" w:line="269" w:lineRule="auto"/>
              <w:rPr>
                <w:b/>
                <w:bCs/>
                <w:sz w:val="23"/>
                <w:szCs w:val="23"/>
                <w:rtl/>
              </w:rPr>
            </w:pPr>
            <w:r w:rsidRPr="00C27CC0">
              <w:rPr>
                <w:rFonts w:hint="eastAsia"/>
                <w:b/>
                <w:bCs/>
                <w:sz w:val="23"/>
                <w:szCs w:val="23"/>
                <w:rtl/>
              </w:rPr>
              <w:t>דוח</w:t>
            </w:r>
            <w:r w:rsidRPr="00C27CC0">
              <w:rPr>
                <w:b/>
                <w:bCs/>
                <w:sz w:val="23"/>
                <w:szCs w:val="23"/>
                <w:rtl/>
              </w:rPr>
              <w:t xml:space="preserve"> </w:t>
            </w:r>
            <w:r w:rsidRPr="00C27CC0">
              <w:rPr>
                <w:rFonts w:hint="eastAsia"/>
                <w:b/>
                <w:bCs/>
                <w:sz w:val="23"/>
                <w:szCs w:val="23"/>
                <w:rtl/>
              </w:rPr>
              <w:t>ברנר</w:t>
            </w:r>
          </w:p>
        </w:tc>
        <w:tc>
          <w:tcPr>
            <w:tcW w:w="6089" w:type="dxa"/>
          </w:tcPr>
          <w:p w:rsidR="001F6217" w:rsidRPr="00C27CC0" w:rsidRDefault="001F6217" w:rsidP="00B422AF">
            <w:pPr>
              <w:spacing w:afterLines="22" w:after="52" w:line="269" w:lineRule="auto"/>
              <w:rPr>
                <w:sz w:val="23"/>
                <w:szCs w:val="23"/>
                <w:rtl/>
              </w:rPr>
            </w:pPr>
            <w:r w:rsidRPr="00C27CC0">
              <w:rPr>
                <w:rFonts w:hint="cs"/>
                <w:sz w:val="23"/>
                <w:szCs w:val="23"/>
                <w:rtl/>
              </w:rPr>
              <w:t xml:space="preserve">משרד המשפטים, דוח בדיקה </w:t>
            </w:r>
            <w:r w:rsidR="00262337" w:rsidRPr="00C27CC0">
              <w:rPr>
                <w:rFonts w:hint="cs"/>
                <w:sz w:val="23"/>
                <w:szCs w:val="23"/>
                <w:rtl/>
              </w:rPr>
              <w:t xml:space="preserve">של כב' השופט (בדימוס) שלום ברנר </w:t>
            </w:r>
            <w:r w:rsidRPr="00C27CC0">
              <w:rPr>
                <w:rFonts w:hint="cs"/>
                <w:sz w:val="23"/>
                <w:szCs w:val="23"/>
                <w:rtl/>
              </w:rPr>
              <w:t xml:space="preserve">בנושא </w:t>
            </w:r>
            <w:r w:rsidR="00262337" w:rsidRPr="00C27CC0">
              <w:rPr>
                <w:rFonts w:hint="cs"/>
                <w:sz w:val="23"/>
                <w:szCs w:val="23"/>
                <w:rtl/>
              </w:rPr>
              <w:t>"</w:t>
            </w:r>
            <w:r w:rsidRPr="00C27CC0">
              <w:rPr>
                <w:rFonts w:hint="cs"/>
                <w:sz w:val="23"/>
                <w:szCs w:val="23"/>
                <w:rtl/>
              </w:rPr>
              <w:t xml:space="preserve">העברת תוצרי האזנת סתר בת"פ 5461/06 </w:t>
            </w:r>
            <w:r w:rsidRPr="00C27CC0">
              <w:rPr>
                <w:rFonts w:hint="eastAsia"/>
                <w:b/>
                <w:bCs/>
                <w:sz w:val="23"/>
                <w:szCs w:val="23"/>
                <w:rtl/>
              </w:rPr>
              <w:t>מ</w:t>
            </w:r>
            <w:r w:rsidRPr="00C27CC0">
              <w:rPr>
                <w:b/>
                <w:bCs/>
                <w:sz w:val="23"/>
                <w:szCs w:val="23"/>
                <w:rtl/>
              </w:rPr>
              <w:t>"י נ'</w:t>
            </w:r>
            <w:r w:rsidR="00262337" w:rsidRPr="00C27CC0">
              <w:rPr>
                <w:rFonts w:hint="cs"/>
                <w:b/>
                <w:bCs/>
                <w:sz w:val="23"/>
                <w:szCs w:val="23"/>
                <w:rtl/>
              </w:rPr>
              <w:t xml:space="preserve"> ח"כ חיים רמון</w:t>
            </w:r>
            <w:r w:rsidRPr="00C27CC0">
              <w:rPr>
                <w:rFonts w:hint="cs"/>
                <w:sz w:val="23"/>
                <w:szCs w:val="23"/>
                <w:rtl/>
              </w:rPr>
              <w:t xml:space="preserve">, </w:t>
            </w:r>
            <w:r w:rsidR="00C27CC0" w:rsidRPr="00C27CC0">
              <w:rPr>
                <w:sz w:val="23"/>
                <w:szCs w:val="23"/>
                <w:rtl/>
              </w:rPr>
              <w:br/>
            </w:r>
            <w:r w:rsidRPr="00C27CC0">
              <w:rPr>
                <w:rFonts w:hint="cs"/>
                <w:sz w:val="23"/>
                <w:szCs w:val="23"/>
                <w:rtl/>
              </w:rPr>
              <w:t>מ-12.7.07</w:t>
            </w:r>
            <w:r w:rsidR="003230AD" w:rsidRPr="00C27CC0">
              <w:rPr>
                <w:rFonts w:hint="cs"/>
                <w:sz w:val="23"/>
                <w:szCs w:val="23"/>
                <w:rtl/>
              </w:rPr>
              <w:t>.</w:t>
            </w:r>
          </w:p>
        </w:tc>
      </w:tr>
      <w:tr w:rsidR="001F6217" w:rsidRPr="00C27CC0" w:rsidTr="00C27CC0">
        <w:tc>
          <w:tcPr>
            <w:tcW w:w="2979" w:type="dxa"/>
          </w:tcPr>
          <w:p w:rsidR="001F6217" w:rsidRPr="00C27CC0" w:rsidRDefault="001F6217" w:rsidP="00B422AF">
            <w:pPr>
              <w:spacing w:afterLines="22" w:after="52" w:line="269" w:lineRule="auto"/>
              <w:rPr>
                <w:b/>
                <w:bCs/>
                <w:sz w:val="23"/>
                <w:szCs w:val="23"/>
                <w:rtl/>
              </w:rPr>
            </w:pPr>
            <w:r w:rsidRPr="00C27CC0">
              <w:rPr>
                <w:rFonts w:hint="eastAsia"/>
                <w:b/>
                <w:bCs/>
                <w:sz w:val="23"/>
                <w:szCs w:val="23"/>
                <w:rtl/>
              </w:rPr>
              <w:t>דוח</w:t>
            </w:r>
            <w:r w:rsidRPr="00C27CC0">
              <w:rPr>
                <w:b/>
                <w:bCs/>
                <w:sz w:val="23"/>
                <w:szCs w:val="23"/>
                <w:rtl/>
              </w:rPr>
              <w:t xml:space="preserve"> </w:t>
            </w:r>
            <w:r w:rsidRPr="00C27CC0">
              <w:rPr>
                <w:rFonts w:hint="eastAsia"/>
                <w:b/>
                <w:bCs/>
                <w:sz w:val="23"/>
                <w:szCs w:val="23"/>
                <w:rtl/>
              </w:rPr>
              <w:t>מבקר</w:t>
            </w:r>
            <w:r w:rsidRPr="00C27CC0">
              <w:rPr>
                <w:b/>
                <w:bCs/>
                <w:sz w:val="23"/>
                <w:szCs w:val="23"/>
                <w:rtl/>
              </w:rPr>
              <w:t xml:space="preserve"> </w:t>
            </w:r>
            <w:r w:rsidRPr="00C27CC0">
              <w:rPr>
                <w:rFonts w:hint="eastAsia"/>
                <w:b/>
                <w:bCs/>
                <w:sz w:val="23"/>
                <w:szCs w:val="23"/>
                <w:rtl/>
              </w:rPr>
              <w:t>המדינה</w:t>
            </w:r>
            <w:r w:rsidRPr="00C27CC0">
              <w:rPr>
                <w:b/>
                <w:bCs/>
                <w:sz w:val="23"/>
                <w:szCs w:val="23"/>
                <w:rtl/>
              </w:rPr>
              <w:t xml:space="preserve"> </w:t>
            </w:r>
            <w:r w:rsidRPr="00C27CC0">
              <w:rPr>
                <w:rFonts w:hint="eastAsia"/>
                <w:b/>
                <w:bCs/>
                <w:sz w:val="23"/>
                <w:szCs w:val="23"/>
                <w:rtl/>
              </w:rPr>
              <w:t>משנת</w:t>
            </w:r>
            <w:r w:rsidRPr="00C27CC0">
              <w:rPr>
                <w:b/>
                <w:bCs/>
                <w:sz w:val="23"/>
                <w:szCs w:val="23"/>
                <w:rtl/>
              </w:rPr>
              <w:t xml:space="preserve"> 2004</w:t>
            </w:r>
          </w:p>
        </w:tc>
        <w:tc>
          <w:tcPr>
            <w:tcW w:w="6089" w:type="dxa"/>
          </w:tcPr>
          <w:p w:rsidR="001F6217" w:rsidRPr="00C27CC0" w:rsidRDefault="001F6217" w:rsidP="00B422AF">
            <w:pPr>
              <w:spacing w:afterLines="22" w:after="52" w:line="269" w:lineRule="auto"/>
              <w:rPr>
                <w:sz w:val="23"/>
                <w:szCs w:val="23"/>
                <w:rtl/>
              </w:rPr>
            </w:pPr>
            <w:r w:rsidRPr="00C27CC0">
              <w:rPr>
                <w:rFonts w:hint="cs"/>
                <w:sz w:val="23"/>
                <w:szCs w:val="23"/>
                <w:rtl/>
              </w:rPr>
              <w:t xml:space="preserve">מבקר המדינה, </w:t>
            </w:r>
            <w:r w:rsidRPr="00C27CC0">
              <w:rPr>
                <w:rFonts w:hint="cs"/>
                <w:b/>
                <w:bCs/>
                <w:sz w:val="23"/>
                <w:szCs w:val="23"/>
                <w:rtl/>
              </w:rPr>
              <w:t>דוח שנתי 54ב</w:t>
            </w:r>
            <w:r w:rsidRPr="00C27CC0">
              <w:rPr>
                <w:rFonts w:hint="cs"/>
                <w:sz w:val="23"/>
                <w:szCs w:val="23"/>
                <w:rtl/>
              </w:rPr>
              <w:t xml:space="preserve"> (2004), "האזנות סתר", עמ' 279 - 304</w:t>
            </w:r>
            <w:r w:rsidR="003230AD" w:rsidRPr="00C27CC0">
              <w:rPr>
                <w:rFonts w:hint="cs"/>
                <w:sz w:val="23"/>
                <w:szCs w:val="23"/>
                <w:rtl/>
              </w:rPr>
              <w:t>.</w:t>
            </w:r>
          </w:p>
        </w:tc>
      </w:tr>
      <w:tr w:rsidR="001F6217" w:rsidRPr="00C27CC0" w:rsidTr="00C27CC0">
        <w:tc>
          <w:tcPr>
            <w:tcW w:w="2979" w:type="dxa"/>
          </w:tcPr>
          <w:p w:rsidR="001F6217" w:rsidRPr="00C27CC0" w:rsidRDefault="001F6217" w:rsidP="00B422AF">
            <w:pPr>
              <w:spacing w:afterLines="22" w:after="52" w:line="269" w:lineRule="auto"/>
              <w:rPr>
                <w:b/>
                <w:bCs/>
                <w:sz w:val="23"/>
                <w:szCs w:val="23"/>
                <w:rtl/>
              </w:rPr>
            </w:pPr>
            <w:r w:rsidRPr="00C27CC0">
              <w:rPr>
                <w:rFonts w:hint="cs"/>
                <w:b/>
                <w:bCs/>
                <w:sz w:val="23"/>
                <w:szCs w:val="23"/>
                <w:rtl/>
              </w:rPr>
              <w:t>דוח צוות מררי</w:t>
            </w:r>
          </w:p>
        </w:tc>
        <w:tc>
          <w:tcPr>
            <w:tcW w:w="6089" w:type="dxa"/>
          </w:tcPr>
          <w:p w:rsidR="001F6217" w:rsidRPr="00C27CC0" w:rsidRDefault="00262337" w:rsidP="00B422AF">
            <w:pPr>
              <w:spacing w:afterLines="22" w:after="52" w:line="269" w:lineRule="auto"/>
              <w:rPr>
                <w:sz w:val="23"/>
                <w:szCs w:val="23"/>
                <w:rtl/>
              </w:rPr>
            </w:pPr>
            <w:r w:rsidRPr="00C27CC0">
              <w:rPr>
                <w:rFonts w:hint="eastAsia"/>
                <w:b/>
                <w:bCs/>
                <w:sz w:val="23"/>
                <w:szCs w:val="23"/>
                <w:rtl/>
              </w:rPr>
              <w:t>דוח</w:t>
            </w:r>
            <w:r w:rsidRPr="00C27CC0">
              <w:rPr>
                <w:b/>
                <w:bCs/>
                <w:sz w:val="23"/>
                <w:szCs w:val="23"/>
                <w:rtl/>
              </w:rPr>
              <w:t xml:space="preserve"> </w:t>
            </w:r>
            <w:r w:rsidRPr="00C27CC0">
              <w:rPr>
                <w:rFonts w:hint="eastAsia"/>
                <w:b/>
                <w:bCs/>
                <w:sz w:val="23"/>
                <w:szCs w:val="23"/>
                <w:rtl/>
              </w:rPr>
              <w:t>הצוות</w:t>
            </w:r>
            <w:r w:rsidRPr="00C27CC0">
              <w:rPr>
                <w:b/>
                <w:bCs/>
                <w:sz w:val="23"/>
                <w:szCs w:val="23"/>
                <w:rtl/>
              </w:rPr>
              <w:t xml:space="preserve"> </w:t>
            </w:r>
            <w:r w:rsidRPr="00C27CC0">
              <w:rPr>
                <w:rFonts w:hint="eastAsia"/>
                <w:b/>
                <w:bCs/>
                <w:sz w:val="23"/>
                <w:szCs w:val="23"/>
                <w:rtl/>
              </w:rPr>
              <w:t>לבדיקת</w:t>
            </w:r>
            <w:r w:rsidRPr="00C27CC0">
              <w:rPr>
                <w:b/>
                <w:bCs/>
                <w:sz w:val="23"/>
                <w:szCs w:val="23"/>
                <w:rtl/>
              </w:rPr>
              <w:t xml:space="preserve"> </w:t>
            </w:r>
            <w:r w:rsidRPr="00C27CC0">
              <w:rPr>
                <w:rFonts w:hint="eastAsia"/>
                <w:b/>
                <w:bCs/>
                <w:sz w:val="23"/>
                <w:szCs w:val="23"/>
                <w:rtl/>
              </w:rPr>
              <w:t>האזנות</w:t>
            </w:r>
            <w:r w:rsidRPr="00C27CC0">
              <w:rPr>
                <w:b/>
                <w:bCs/>
                <w:sz w:val="23"/>
                <w:szCs w:val="23"/>
                <w:rtl/>
              </w:rPr>
              <w:t xml:space="preserve"> </w:t>
            </w:r>
            <w:r w:rsidRPr="00C27CC0">
              <w:rPr>
                <w:rFonts w:hint="eastAsia"/>
                <w:b/>
                <w:bCs/>
                <w:sz w:val="23"/>
                <w:szCs w:val="23"/>
                <w:rtl/>
              </w:rPr>
              <w:t>סתר</w:t>
            </w:r>
            <w:r w:rsidRPr="00C27CC0">
              <w:rPr>
                <w:b/>
                <w:bCs/>
                <w:sz w:val="23"/>
                <w:szCs w:val="23"/>
                <w:rtl/>
              </w:rPr>
              <w:t xml:space="preserve"> </w:t>
            </w:r>
            <w:r w:rsidRPr="00C27CC0">
              <w:rPr>
                <w:rFonts w:hint="eastAsia"/>
                <w:b/>
                <w:bCs/>
                <w:sz w:val="23"/>
                <w:szCs w:val="23"/>
                <w:rtl/>
              </w:rPr>
              <w:t>לתקשורת</w:t>
            </w:r>
            <w:r w:rsidRPr="00C27CC0">
              <w:rPr>
                <w:b/>
                <w:bCs/>
                <w:sz w:val="23"/>
                <w:szCs w:val="23"/>
                <w:rtl/>
              </w:rPr>
              <w:t xml:space="preserve"> </w:t>
            </w:r>
            <w:r w:rsidRPr="00C27CC0">
              <w:rPr>
                <w:rFonts w:hint="eastAsia"/>
                <w:b/>
                <w:bCs/>
                <w:sz w:val="23"/>
                <w:szCs w:val="23"/>
                <w:rtl/>
              </w:rPr>
              <w:t>בין</w:t>
            </w:r>
            <w:r w:rsidRPr="00C27CC0">
              <w:rPr>
                <w:b/>
                <w:bCs/>
                <w:sz w:val="23"/>
                <w:szCs w:val="23"/>
                <w:rtl/>
              </w:rPr>
              <w:t xml:space="preserve"> </w:t>
            </w:r>
            <w:r w:rsidRPr="00C27CC0">
              <w:rPr>
                <w:rFonts w:hint="eastAsia"/>
                <w:b/>
                <w:bCs/>
                <w:sz w:val="23"/>
                <w:szCs w:val="23"/>
                <w:rtl/>
              </w:rPr>
              <w:t>מחשבים</w:t>
            </w:r>
            <w:r w:rsidRPr="00C27CC0">
              <w:rPr>
                <w:rFonts w:hint="cs"/>
                <w:sz w:val="23"/>
                <w:szCs w:val="23"/>
                <w:rtl/>
              </w:rPr>
              <w:t xml:space="preserve">, אוגוסט 2022. </w:t>
            </w:r>
            <w:r w:rsidR="001F6217" w:rsidRPr="00C27CC0">
              <w:rPr>
                <w:rFonts w:hint="cs"/>
                <w:sz w:val="23"/>
                <w:szCs w:val="23"/>
                <w:rtl/>
              </w:rPr>
              <w:t>צוות בראשותה של המשנה ליועמ"ש לממשלה דאז, עו"ד עמית מררי</w:t>
            </w:r>
            <w:r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הנחיית היועמ"ש לממשלה</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הנחיית היועמ"ש לממשלה מספר 9.1000 בנושא "היועצים המשפטיים למשרדי הממשלה", עדכון אחרון, מאי 2015.</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eastAsia"/>
                <w:b/>
                <w:bCs/>
                <w:sz w:val="23"/>
                <w:szCs w:val="23"/>
                <w:rtl/>
              </w:rPr>
              <w:t>ועדת</w:t>
            </w:r>
            <w:r w:rsidRPr="00C27CC0">
              <w:rPr>
                <w:b/>
                <w:bCs/>
                <w:sz w:val="23"/>
                <w:szCs w:val="23"/>
                <w:rtl/>
              </w:rPr>
              <w:t xml:space="preserve"> </w:t>
            </w:r>
            <w:r w:rsidRPr="00C27CC0">
              <w:rPr>
                <w:rFonts w:hint="eastAsia"/>
                <w:b/>
                <w:bCs/>
                <w:sz w:val="23"/>
                <w:szCs w:val="23"/>
                <w:rtl/>
              </w:rPr>
              <w:t>החקירה</w:t>
            </w:r>
            <w:r w:rsidRPr="00C27CC0">
              <w:rPr>
                <w:b/>
                <w:bCs/>
                <w:sz w:val="23"/>
                <w:szCs w:val="23"/>
                <w:rtl/>
              </w:rPr>
              <w:tab/>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 xml:space="preserve">כנסת ישראל, </w:t>
            </w:r>
            <w:r w:rsidRPr="00C27CC0">
              <w:rPr>
                <w:rFonts w:hint="cs"/>
                <w:b/>
                <w:bCs/>
                <w:sz w:val="23"/>
                <w:szCs w:val="23"/>
                <w:rtl/>
              </w:rPr>
              <w:t>ועדת החקירה הפרלמנטרית בעניין האזנות סתר</w:t>
            </w:r>
            <w:r w:rsidRPr="00C27CC0">
              <w:rPr>
                <w:rFonts w:hint="cs"/>
                <w:sz w:val="23"/>
                <w:szCs w:val="23"/>
                <w:rtl/>
              </w:rPr>
              <w:t>, ינואר 2009</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חברת תקשורת</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ספק מורשה בעל רישיון בזק, לפי חוק סדר הדין הפלילי (סמכויות אכיפה - נתוני תקשורת), התשס"ח-2007.</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eastAsia"/>
                <w:b/>
                <w:bCs/>
                <w:sz w:val="23"/>
                <w:szCs w:val="23"/>
                <w:rtl/>
              </w:rPr>
              <w:t>חוות</w:t>
            </w:r>
            <w:r w:rsidRPr="00C27CC0">
              <w:rPr>
                <w:b/>
                <w:bCs/>
                <w:sz w:val="23"/>
                <w:szCs w:val="23"/>
                <w:rtl/>
              </w:rPr>
              <w:t xml:space="preserve"> </w:t>
            </w:r>
            <w:r w:rsidRPr="00C27CC0">
              <w:rPr>
                <w:rFonts w:hint="eastAsia"/>
                <w:b/>
                <w:bCs/>
                <w:sz w:val="23"/>
                <w:szCs w:val="23"/>
                <w:rtl/>
              </w:rPr>
              <w:t>דעת</w:t>
            </w:r>
            <w:r w:rsidRPr="00C27CC0">
              <w:rPr>
                <w:b/>
                <w:bCs/>
                <w:sz w:val="23"/>
                <w:szCs w:val="23"/>
                <w:rtl/>
              </w:rPr>
              <w:t xml:space="preserve"> </w:t>
            </w:r>
            <w:r w:rsidRPr="00C27CC0">
              <w:rPr>
                <w:rFonts w:hint="eastAsia"/>
                <w:b/>
                <w:bCs/>
                <w:sz w:val="23"/>
                <w:szCs w:val="23"/>
                <w:rtl/>
              </w:rPr>
              <w:t>מבקר</w:t>
            </w:r>
            <w:r w:rsidRPr="00C27CC0">
              <w:rPr>
                <w:b/>
                <w:bCs/>
                <w:sz w:val="23"/>
                <w:szCs w:val="23"/>
                <w:rtl/>
              </w:rPr>
              <w:t xml:space="preserve"> </w:t>
            </w:r>
            <w:r w:rsidRPr="00C27CC0">
              <w:rPr>
                <w:rFonts w:hint="eastAsia"/>
                <w:b/>
                <w:bCs/>
                <w:sz w:val="23"/>
                <w:szCs w:val="23"/>
                <w:rtl/>
              </w:rPr>
              <w:t>המדינה</w:t>
            </w:r>
            <w:r w:rsidRPr="00C27CC0">
              <w:rPr>
                <w:b/>
                <w:bCs/>
                <w:sz w:val="23"/>
                <w:szCs w:val="23"/>
                <w:rtl/>
              </w:rPr>
              <w:t xml:space="preserve"> </w:t>
            </w:r>
            <w:r w:rsidRPr="00C27CC0">
              <w:rPr>
                <w:rFonts w:hint="eastAsia"/>
                <w:b/>
                <w:bCs/>
                <w:sz w:val="23"/>
                <w:szCs w:val="23"/>
                <w:rtl/>
              </w:rPr>
              <w:t>משנת</w:t>
            </w:r>
            <w:r w:rsidRPr="00C27CC0">
              <w:rPr>
                <w:b/>
                <w:bCs/>
                <w:sz w:val="23"/>
                <w:szCs w:val="23"/>
                <w:rtl/>
              </w:rPr>
              <w:t xml:space="preserve"> 2010</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 xml:space="preserve">מבקר המדינה, </w:t>
            </w:r>
            <w:r w:rsidRPr="00C27CC0">
              <w:rPr>
                <w:rFonts w:hint="cs"/>
                <w:b/>
                <w:bCs/>
                <w:sz w:val="23"/>
                <w:szCs w:val="23"/>
                <w:rtl/>
              </w:rPr>
              <w:t>חוות דעת האזנות סתר בחקירות פליליות</w:t>
            </w:r>
            <w:r w:rsidRPr="00C27CC0">
              <w:rPr>
                <w:rFonts w:hint="cs"/>
                <w:sz w:val="23"/>
                <w:szCs w:val="23"/>
                <w:rtl/>
              </w:rPr>
              <w:t xml:space="preserve"> (2010)</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eastAsia"/>
                <w:b/>
                <w:bCs/>
                <w:sz w:val="23"/>
                <w:szCs w:val="23"/>
                <w:rtl/>
              </w:rPr>
              <w:t>חוות</w:t>
            </w:r>
            <w:r w:rsidRPr="00C27CC0">
              <w:rPr>
                <w:b/>
                <w:bCs/>
                <w:sz w:val="23"/>
                <w:szCs w:val="23"/>
                <w:rtl/>
              </w:rPr>
              <w:t xml:space="preserve"> </w:t>
            </w:r>
            <w:r w:rsidRPr="00C27CC0">
              <w:rPr>
                <w:rFonts w:hint="eastAsia"/>
                <w:b/>
                <w:bCs/>
                <w:sz w:val="23"/>
                <w:szCs w:val="23"/>
                <w:rtl/>
              </w:rPr>
              <w:t>דעת</w:t>
            </w:r>
            <w:r w:rsidRPr="00C27CC0">
              <w:rPr>
                <w:b/>
                <w:bCs/>
                <w:sz w:val="23"/>
                <w:szCs w:val="23"/>
                <w:rtl/>
              </w:rPr>
              <w:t xml:space="preserve"> </w:t>
            </w:r>
            <w:r w:rsidRPr="00C27CC0">
              <w:rPr>
                <w:rFonts w:hint="eastAsia"/>
                <w:b/>
                <w:bCs/>
                <w:sz w:val="23"/>
                <w:szCs w:val="23"/>
                <w:rtl/>
              </w:rPr>
              <w:t>פרשיית</w:t>
            </w:r>
            <w:r w:rsidRPr="00C27CC0">
              <w:rPr>
                <w:b/>
                <w:bCs/>
                <w:sz w:val="23"/>
                <w:szCs w:val="23"/>
                <w:rtl/>
              </w:rPr>
              <w:t xml:space="preserve"> </w:t>
            </w:r>
            <w:r w:rsidRPr="00C27CC0">
              <w:rPr>
                <w:rFonts w:hint="eastAsia"/>
                <w:b/>
                <w:bCs/>
                <w:sz w:val="23"/>
                <w:szCs w:val="23"/>
                <w:rtl/>
              </w:rPr>
              <w:t>חיים</w:t>
            </w:r>
            <w:r w:rsidRPr="00C27CC0">
              <w:rPr>
                <w:b/>
                <w:bCs/>
                <w:sz w:val="23"/>
                <w:szCs w:val="23"/>
                <w:rtl/>
              </w:rPr>
              <w:t xml:space="preserve"> </w:t>
            </w:r>
            <w:r w:rsidRPr="00C27CC0">
              <w:rPr>
                <w:rFonts w:hint="eastAsia"/>
                <w:b/>
                <w:bCs/>
                <w:sz w:val="23"/>
                <w:szCs w:val="23"/>
                <w:rtl/>
              </w:rPr>
              <w:t>רמון</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 xml:space="preserve">משרד המשפטים, המשנה ליועמ"ש לממשלה, </w:t>
            </w:r>
            <w:r w:rsidRPr="00C27CC0">
              <w:rPr>
                <w:rFonts w:hint="cs"/>
                <w:b/>
                <w:bCs/>
                <w:sz w:val="23"/>
                <w:szCs w:val="23"/>
                <w:rtl/>
              </w:rPr>
              <w:t>חוות דעת בהמשך לחוות דעת מבקר המדינה בנושא האזנות סתר בחקירות פליליות</w:t>
            </w:r>
            <w:r w:rsidRPr="00C27CC0">
              <w:rPr>
                <w:rFonts w:hint="cs"/>
                <w:sz w:val="23"/>
                <w:szCs w:val="23"/>
                <w:rtl/>
              </w:rPr>
              <w:t>, 2010</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חוק האזנת סתר</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חוק האזנת סתר, התשל"ט-1979</w:t>
            </w:r>
            <w:r w:rsidR="003230AD" w:rsidRPr="00C27CC0">
              <w:rPr>
                <w:rFonts w:hint="cs"/>
                <w:sz w:val="23"/>
                <w:szCs w:val="23"/>
                <w:rtl/>
              </w:rPr>
              <w:t>.</w:t>
            </w:r>
          </w:p>
        </w:tc>
      </w:tr>
      <w:tr w:rsidR="008E5BC5" w:rsidRPr="00C27CC0" w:rsidTr="00C27CC0">
        <w:tc>
          <w:tcPr>
            <w:tcW w:w="2979" w:type="dxa"/>
          </w:tcPr>
          <w:p w:rsidR="008E5BC5" w:rsidRPr="00C27CC0" w:rsidRDefault="008E5BC5" w:rsidP="00B422AF">
            <w:pPr>
              <w:spacing w:afterLines="22" w:after="52" w:line="269" w:lineRule="auto"/>
              <w:rPr>
                <w:b/>
                <w:bCs/>
                <w:sz w:val="23"/>
                <w:szCs w:val="23"/>
                <w:rtl/>
              </w:rPr>
            </w:pPr>
            <w:r w:rsidRPr="00C27CC0">
              <w:rPr>
                <w:rFonts w:hint="cs"/>
                <w:b/>
                <w:bCs/>
                <w:sz w:val="23"/>
                <w:szCs w:val="23"/>
                <w:rtl/>
              </w:rPr>
              <w:t>חוק החיפוש הסמוי</w:t>
            </w:r>
          </w:p>
        </w:tc>
        <w:tc>
          <w:tcPr>
            <w:tcW w:w="6089" w:type="dxa"/>
          </w:tcPr>
          <w:p w:rsidR="008E5BC5" w:rsidRPr="00C27CC0" w:rsidRDefault="008E5BC5" w:rsidP="00B422AF">
            <w:pPr>
              <w:spacing w:afterLines="22" w:after="52" w:line="269" w:lineRule="auto"/>
              <w:rPr>
                <w:sz w:val="23"/>
                <w:szCs w:val="23"/>
                <w:rtl/>
              </w:rPr>
            </w:pPr>
            <w:r w:rsidRPr="00C27CC0">
              <w:rPr>
                <w:rFonts w:hint="cs"/>
                <w:sz w:val="23"/>
                <w:szCs w:val="23"/>
                <w:rtl/>
              </w:rPr>
              <w:t>הצעת חוק סדר הדין הפלילי (סמכויות אכיפה - המצאה, חיפוש ותפיסה), התשע"ד-2014.</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חוק חסינות</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חוק חסינות חברי כנסת, זכויותיהם וחובותיהם, התשי"א-1951</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חוק נתוני תקשורת</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חוק סדר הדין הפלילי (סמכויות אכיפה - נתוני תקשורת), התשס"ח-2007</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חסד"פ</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חוק סדר הדין הפלילי [נוסח משולב], התשמ"ב-1982</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יועמ"ש</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יועץ משפטי</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מחת"ק</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 xml:space="preserve">מחקרי תקשורת. שם כללי לחקירה מאוחרת או עכשווית של סך נתוני </w:t>
            </w:r>
            <w:r w:rsidR="00E50A30" w:rsidRPr="00C27CC0">
              <w:rPr>
                <w:rFonts w:hint="cs"/>
                <w:sz w:val="23"/>
                <w:szCs w:val="23"/>
                <w:rtl/>
              </w:rPr>
              <w:t xml:space="preserve">התקשורת </w:t>
            </w:r>
            <w:r w:rsidRPr="00C27CC0">
              <w:rPr>
                <w:rFonts w:hint="cs"/>
                <w:sz w:val="23"/>
                <w:szCs w:val="23"/>
                <w:rtl/>
              </w:rPr>
              <w:t xml:space="preserve">של היעד. </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משל"ט</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מרכז שליטה, בדוח זה: מרכז שליטה סיגינטי המשתייך למחלקת המבצעים של חטיבת הסייבר. המשל"ט אמון על הטיפול באירועי חירום להצלת חיי אדם ואירועים מסוג פשע מתוקף חוק נתוני תקשורת</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נתק"ש</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נתוני תקשורת</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פקודת המשטרה</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פקודת המשטרה [נוסח חדש], התשל"א-1971</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פקודת הראיות</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פקודת הראיות [נוסח חדש], התשל"א-1971</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eastAsia"/>
                <w:b/>
                <w:bCs/>
                <w:sz w:val="23"/>
                <w:szCs w:val="23"/>
                <w:rtl/>
              </w:rPr>
              <w:t>צוות</w:t>
            </w:r>
            <w:r w:rsidRPr="00C27CC0">
              <w:rPr>
                <w:b/>
                <w:bCs/>
                <w:sz w:val="23"/>
                <w:szCs w:val="23"/>
                <w:rtl/>
              </w:rPr>
              <w:t xml:space="preserve"> </w:t>
            </w:r>
            <w:r w:rsidRPr="00C27CC0">
              <w:rPr>
                <w:rFonts w:hint="eastAsia"/>
                <w:b/>
                <w:bCs/>
                <w:sz w:val="23"/>
                <w:szCs w:val="23"/>
                <w:rtl/>
              </w:rPr>
              <w:t>לבנת</w:t>
            </w:r>
            <w:r w:rsidRPr="00C27CC0">
              <w:rPr>
                <w:b/>
                <w:bCs/>
                <w:sz w:val="23"/>
                <w:szCs w:val="23"/>
                <w:rtl/>
              </w:rPr>
              <w:t xml:space="preserve"> </w:t>
            </w:r>
            <w:r w:rsidRPr="00C27CC0">
              <w:rPr>
                <w:rFonts w:hint="eastAsia"/>
                <w:b/>
                <w:bCs/>
                <w:sz w:val="23"/>
                <w:szCs w:val="23"/>
                <w:rtl/>
              </w:rPr>
              <w:t>משיח</w:t>
            </w:r>
            <w:r w:rsidRPr="00C27CC0">
              <w:rPr>
                <w:b/>
                <w:bCs/>
                <w:sz w:val="23"/>
                <w:szCs w:val="23"/>
                <w:rtl/>
              </w:rPr>
              <w:t xml:space="preserve"> </w:t>
            </w:r>
            <w:r w:rsidRPr="00C27CC0">
              <w:rPr>
                <w:rFonts w:hint="eastAsia"/>
                <w:b/>
                <w:bCs/>
                <w:sz w:val="23"/>
                <w:szCs w:val="23"/>
                <w:rtl/>
              </w:rPr>
              <w:t>או</w:t>
            </w:r>
            <w:r w:rsidRPr="00C27CC0">
              <w:rPr>
                <w:b/>
                <w:bCs/>
                <w:sz w:val="23"/>
                <w:szCs w:val="23"/>
                <w:rtl/>
              </w:rPr>
              <w:t xml:space="preserve"> </w:t>
            </w:r>
            <w:r w:rsidRPr="00C27CC0">
              <w:rPr>
                <w:rFonts w:hint="eastAsia"/>
                <w:b/>
                <w:bCs/>
                <w:sz w:val="23"/>
                <w:szCs w:val="23"/>
                <w:rtl/>
              </w:rPr>
              <w:t>דוח</w:t>
            </w:r>
            <w:r w:rsidRPr="00C27CC0">
              <w:rPr>
                <w:b/>
                <w:bCs/>
                <w:sz w:val="23"/>
                <w:szCs w:val="23"/>
                <w:rtl/>
              </w:rPr>
              <w:t xml:space="preserve"> </w:t>
            </w:r>
            <w:r w:rsidRPr="00C27CC0">
              <w:rPr>
                <w:rFonts w:hint="eastAsia"/>
                <w:b/>
                <w:bCs/>
                <w:sz w:val="23"/>
                <w:szCs w:val="23"/>
                <w:rtl/>
              </w:rPr>
              <w:t>לבנת</w:t>
            </w:r>
            <w:r w:rsidRPr="00C27CC0">
              <w:rPr>
                <w:b/>
                <w:bCs/>
                <w:sz w:val="23"/>
                <w:szCs w:val="23"/>
                <w:rtl/>
              </w:rPr>
              <w:t xml:space="preserve"> </w:t>
            </w:r>
            <w:r w:rsidRPr="00C27CC0">
              <w:rPr>
                <w:rFonts w:hint="eastAsia"/>
                <w:b/>
                <w:bCs/>
                <w:sz w:val="23"/>
                <w:szCs w:val="23"/>
                <w:rtl/>
              </w:rPr>
              <w:t>משיח</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 xml:space="preserve">משרד המשפטים, </w:t>
            </w:r>
            <w:r w:rsidRPr="00C27CC0">
              <w:rPr>
                <w:rFonts w:hint="cs"/>
                <w:b/>
                <w:bCs/>
                <w:sz w:val="23"/>
                <w:szCs w:val="23"/>
                <w:rtl/>
              </w:rPr>
              <w:t>דוח צוות הבדיקה בנושא האזנות סתר</w:t>
            </w:r>
            <w:r w:rsidRPr="00C27CC0">
              <w:rPr>
                <w:rFonts w:hint="cs"/>
                <w:sz w:val="23"/>
                <w:szCs w:val="23"/>
                <w:rtl/>
              </w:rPr>
              <w:t xml:space="preserve"> בראשות עו"ד לבנת משיח, אפריל 2005</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תקנות בקשה להיתר האזנה</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תקנות האזנת סתר (בקשה להיתר האזנה), התשס"ז-2007</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תקנות האזנת סתר</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תקנות האזנת סתר, התשמ"ו-1986</w:t>
            </w:r>
            <w:r w:rsidR="003230AD" w:rsidRPr="00C27CC0">
              <w:rPr>
                <w:rFonts w:hint="cs"/>
                <w:sz w:val="23"/>
                <w:szCs w:val="23"/>
                <w:rtl/>
              </w:rPr>
              <w:t>.</w:t>
            </w:r>
          </w:p>
        </w:tc>
      </w:tr>
      <w:tr w:rsidR="006F46DA" w:rsidRPr="00C27CC0" w:rsidTr="00C27CC0">
        <w:tc>
          <w:tcPr>
            <w:tcW w:w="2979" w:type="dxa"/>
          </w:tcPr>
          <w:p w:rsidR="006F46DA" w:rsidRPr="00C27CC0" w:rsidRDefault="006F46DA" w:rsidP="00B422AF">
            <w:pPr>
              <w:spacing w:afterLines="22" w:after="52" w:line="269" w:lineRule="auto"/>
              <w:rPr>
                <w:b/>
                <w:bCs/>
                <w:sz w:val="23"/>
                <w:szCs w:val="23"/>
                <w:rtl/>
              </w:rPr>
            </w:pPr>
            <w:r w:rsidRPr="00C27CC0">
              <w:rPr>
                <w:rFonts w:hint="cs"/>
                <w:b/>
                <w:bCs/>
                <w:sz w:val="23"/>
                <w:szCs w:val="23"/>
                <w:rtl/>
              </w:rPr>
              <w:t>תקנות מאגרי נתוני תקשורת</w:t>
            </w:r>
          </w:p>
        </w:tc>
        <w:tc>
          <w:tcPr>
            <w:tcW w:w="6089" w:type="dxa"/>
          </w:tcPr>
          <w:p w:rsidR="006F46DA" w:rsidRPr="00C27CC0" w:rsidRDefault="006F46DA" w:rsidP="00B422AF">
            <w:pPr>
              <w:spacing w:afterLines="22" w:after="52" w:line="269" w:lineRule="auto"/>
              <w:rPr>
                <w:sz w:val="23"/>
                <w:szCs w:val="23"/>
                <w:rtl/>
              </w:rPr>
            </w:pPr>
            <w:r w:rsidRPr="00C27CC0">
              <w:rPr>
                <w:rFonts w:hint="cs"/>
                <w:sz w:val="23"/>
                <w:szCs w:val="23"/>
                <w:rtl/>
              </w:rPr>
              <w:t>תקנות סדר הדין הפלילי (סמכויות אכיפה - נתוני תקשורת) (מאגר נתוני זיהוי תקשורת), התשס"ט-2008</w:t>
            </w:r>
            <w:r w:rsidR="003230AD" w:rsidRPr="00C27CC0">
              <w:rPr>
                <w:rFonts w:hint="cs"/>
                <w:sz w:val="23"/>
                <w:szCs w:val="23"/>
                <w:rtl/>
              </w:rPr>
              <w:t>.</w:t>
            </w:r>
          </w:p>
        </w:tc>
      </w:tr>
    </w:tbl>
    <w:p w:rsidR="0026556A" w:rsidRDefault="0026556A" w:rsidP="00604C3D">
      <w:pPr>
        <w:spacing w:line="269" w:lineRule="auto"/>
        <w:rPr>
          <w:rtl/>
        </w:rPr>
      </w:pPr>
    </w:p>
    <w:p w:rsidR="003230AD" w:rsidRPr="007A7272" w:rsidRDefault="003230AD" w:rsidP="00604C3D">
      <w:pPr>
        <w:spacing w:line="269" w:lineRule="auto"/>
        <w:rPr>
          <w:b/>
          <w:bCs/>
          <w:rtl/>
        </w:rPr>
      </w:pPr>
    </w:p>
    <w:tbl>
      <w:tblPr>
        <w:tblStyle w:val="aff6"/>
        <w:bidiVisual/>
        <w:tblW w:w="0" w:type="auto"/>
        <w:tblInd w:w="-558" w:type="dxa"/>
        <w:tblLook w:val="04A0" w:firstRow="1" w:lastRow="0" w:firstColumn="1" w:lastColumn="0" w:noHBand="0" w:noVBand="1"/>
      </w:tblPr>
      <w:tblGrid>
        <w:gridCol w:w="2908"/>
        <w:gridCol w:w="5860"/>
      </w:tblGrid>
      <w:tr w:rsidR="00CF5E11" w:rsidTr="00CF5E11">
        <w:trPr>
          <w:tblHeader/>
        </w:trPr>
        <w:tc>
          <w:tcPr>
            <w:tcW w:w="8768" w:type="dxa"/>
            <w:gridSpan w:val="2"/>
          </w:tcPr>
          <w:p w:rsidR="00CF5E11" w:rsidRPr="00CF5E11" w:rsidRDefault="00CF5E11" w:rsidP="007A1F97">
            <w:pPr>
              <w:pStyle w:val="3"/>
              <w:spacing w:before="40" w:afterLines="22" w:after="52" w:line="269" w:lineRule="auto"/>
              <w:ind w:left="-567"/>
              <w:jc w:val="center"/>
              <w:outlineLvl w:val="2"/>
              <w:rPr>
                <w:u w:val="none"/>
                <w:rtl/>
              </w:rPr>
            </w:pPr>
            <w:bookmarkStart w:id="11" w:name="_Toc219110285"/>
            <w:bookmarkStart w:id="12" w:name="_Toc219113726"/>
            <w:bookmarkStart w:id="13" w:name="_Toc219286502"/>
            <w:r w:rsidRPr="00CF5E11">
              <w:rPr>
                <w:rFonts w:hint="eastAsia"/>
                <w:u w:val="none"/>
                <w:rtl/>
              </w:rPr>
              <w:t>מונחים</w:t>
            </w:r>
            <w:bookmarkEnd w:id="11"/>
            <w:bookmarkEnd w:id="12"/>
            <w:bookmarkEnd w:id="13"/>
          </w:p>
        </w:tc>
      </w:tr>
      <w:tr w:rsidR="0026556A" w:rsidTr="00B31768">
        <w:tc>
          <w:tcPr>
            <w:tcW w:w="2908" w:type="dxa"/>
          </w:tcPr>
          <w:p w:rsidR="0026556A" w:rsidRPr="00B422AF" w:rsidRDefault="0026556A" w:rsidP="00B422AF">
            <w:pPr>
              <w:spacing w:afterLines="40" w:after="96" w:line="269" w:lineRule="auto"/>
              <w:jc w:val="left"/>
              <w:rPr>
                <w:b/>
                <w:bCs/>
                <w:sz w:val="23"/>
                <w:szCs w:val="23"/>
                <w:rtl/>
              </w:rPr>
            </w:pPr>
            <w:r w:rsidRPr="00B422AF">
              <w:rPr>
                <w:rFonts w:hint="eastAsia"/>
                <w:b/>
                <w:bCs/>
                <w:sz w:val="23"/>
                <w:szCs w:val="23"/>
                <w:rtl/>
              </w:rPr>
              <w:t>איכון</w:t>
            </w:r>
          </w:p>
        </w:tc>
        <w:tc>
          <w:tcPr>
            <w:tcW w:w="5860" w:type="dxa"/>
          </w:tcPr>
          <w:p w:rsidR="0026556A" w:rsidRPr="00B422AF" w:rsidRDefault="0026556A" w:rsidP="00B422AF">
            <w:pPr>
              <w:spacing w:afterLines="40" w:after="96" w:line="269" w:lineRule="auto"/>
              <w:rPr>
                <w:sz w:val="23"/>
                <w:szCs w:val="23"/>
                <w:rtl/>
              </w:rPr>
            </w:pPr>
            <w:r w:rsidRPr="00B422AF">
              <w:rPr>
                <w:rFonts w:hint="cs"/>
                <w:sz w:val="23"/>
                <w:szCs w:val="23"/>
                <w:rtl/>
              </w:rPr>
              <w:t>זיהוי המיקום גיאוגרפי של מכשיר המשמש לתקשורת באמצעות רשתות ומערכות של חברות תקשורת.</w:t>
            </w:r>
          </w:p>
        </w:tc>
      </w:tr>
      <w:tr w:rsidR="004623DF" w:rsidTr="00B31768">
        <w:tc>
          <w:tcPr>
            <w:tcW w:w="2908" w:type="dxa"/>
          </w:tcPr>
          <w:p w:rsidR="004623DF" w:rsidRPr="00B422AF" w:rsidRDefault="004623DF" w:rsidP="00B422AF">
            <w:pPr>
              <w:spacing w:afterLines="40" w:after="96" w:line="269" w:lineRule="auto"/>
              <w:jc w:val="left"/>
              <w:rPr>
                <w:b/>
                <w:bCs/>
                <w:sz w:val="23"/>
                <w:szCs w:val="23"/>
                <w:rtl/>
              </w:rPr>
            </w:pPr>
            <w:r w:rsidRPr="00B422AF">
              <w:rPr>
                <w:rFonts w:hint="eastAsia"/>
                <w:b/>
                <w:bCs/>
                <w:sz w:val="23"/>
                <w:szCs w:val="23"/>
                <w:rtl/>
              </w:rPr>
              <w:t>אישור</w:t>
            </w:r>
            <w:r w:rsidRPr="00B422AF">
              <w:rPr>
                <w:b/>
                <w:bCs/>
                <w:sz w:val="23"/>
                <w:szCs w:val="23"/>
                <w:rtl/>
              </w:rPr>
              <w:t xml:space="preserve"> </w:t>
            </w:r>
            <w:r w:rsidRPr="00B422AF">
              <w:rPr>
                <w:rFonts w:hint="eastAsia"/>
                <w:b/>
                <w:bCs/>
                <w:sz w:val="23"/>
                <w:szCs w:val="23"/>
                <w:rtl/>
              </w:rPr>
              <w:t>משפטי</w:t>
            </w:r>
            <w:r w:rsidRPr="00B422AF">
              <w:rPr>
                <w:b/>
                <w:bCs/>
                <w:sz w:val="23"/>
                <w:szCs w:val="23"/>
                <w:rtl/>
              </w:rPr>
              <w:t xml:space="preserve"> </w:t>
            </w:r>
            <w:r w:rsidRPr="00B422AF">
              <w:rPr>
                <w:rFonts w:hint="eastAsia"/>
                <w:b/>
                <w:bCs/>
                <w:sz w:val="23"/>
                <w:szCs w:val="23"/>
                <w:rtl/>
              </w:rPr>
              <w:t>לכלי</w:t>
            </w:r>
            <w:r w:rsidRPr="00B422AF">
              <w:rPr>
                <w:b/>
                <w:bCs/>
                <w:sz w:val="23"/>
                <w:szCs w:val="23"/>
                <w:rtl/>
              </w:rPr>
              <w:t xml:space="preserve"> </w:t>
            </w:r>
            <w:r w:rsidRPr="00B422AF">
              <w:rPr>
                <w:rFonts w:hint="eastAsia"/>
                <w:b/>
                <w:bCs/>
                <w:sz w:val="23"/>
                <w:szCs w:val="23"/>
                <w:rtl/>
              </w:rPr>
              <w:t>טכנולוגי</w:t>
            </w:r>
          </w:p>
        </w:tc>
        <w:tc>
          <w:tcPr>
            <w:tcW w:w="5860" w:type="dxa"/>
          </w:tcPr>
          <w:p w:rsidR="004623DF" w:rsidRPr="00B422AF" w:rsidRDefault="004623DF" w:rsidP="00B422AF">
            <w:pPr>
              <w:spacing w:afterLines="40" w:after="96" w:line="269" w:lineRule="auto"/>
              <w:rPr>
                <w:sz w:val="23"/>
                <w:szCs w:val="23"/>
                <w:rtl/>
              </w:rPr>
            </w:pPr>
            <w:r w:rsidRPr="00B422AF">
              <w:rPr>
                <w:rFonts w:hint="cs"/>
                <w:sz w:val="23"/>
                <w:szCs w:val="23"/>
                <w:rtl/>
              </w:rPr>
              <w:t>חוות דעת של יועץ משפטי המתירה את</w:t>
            </w:r>
            <w:r w:rsidRPr="00B422AF">
              <w:rPr>
                <w:sz w:val="23"/>
                <w:szCs w:val="23"/>
                <w:rtl/>
              </w:rPr>
              <w:t xml:space="preserve"> </w:t>
            </w:r>
            <w:r w:rsidRPr="00B422AF">
              <w:rPr>
                <w:rFonts w:hint="cs"/>
                <w:sz w:val="23"/>
                <w:szCs w:val="23"/>
                <w:rtl/>
              </w:rPr>
              <w:t xml:space="preserve">השימוש בכלי טכנולוגי על ידי רשות מינהלית לאור העובדה כי השימוש מצוי </w:t>
            </w:r>
            <w:r w:rsidRPr="00B422AF">
              <w:rPr>
                <w:sz w:val="23"/>
                <w:szCs w:val="23"/>
                <w:rtl/>
              </w:rPr>
              <w:t>בגדרי סמכות</w:t>
            </w:r>
            <w:r w:rsidRPr="00B422AF">
              <w:rPr>
                <w:rFonts w:hint="cs"/>
                <w:sz w:val="23"/>
                <w:szCs w:val="23"/>
                <w:rtl/>
              </w:rPr>
              <w:t xml:space="preserve">ה </w:t>
            </w:r>
            <w:r w:rsidRPr="00B422AF">
              <w:rPr>
                <w:sz w:val="23"/>
                <w:szCs w:val="23"/>
                <w:rtl/>
              </w:rPr>
              <w:t>כפי שנקבעו בחוק</w:t>
            </w:r>
            <w:r w:rsidRPr="00B422AF">
              <w:rPr>
                <w:rFonts w:hint="cs"/>
                <w:sz w:val="23"/>
                <w:szCs w:val="23"/>
                <w:rtl/>
              </w:rPr>
              <w:t>.</w:t>
            </w:r>
          </w:p>
        </w:tc>
      </w:tr>
      <w:tr w:rsidR="0026556A" w:rsidTr="00B31768">
        <w:tc>
          <w:tcPr>
            <w:tcW w:w="2908" w:type="dxa"/>
          </w:tcPr>
          <w:p w:rsidR="0026556A" w:rsidRPr="00B422AF" w:rsidRDefault="0026556A" w:rsidP="00B422AF">
            <w:pPr>
              <w:spacing w:afterLines="40" w:after="96" w:line="269" w:lineRule="auto"/>
              <w:jc w:val="left"/>
              <w:rPr>
                <w:b/>
                <w:bCs/>
                <w:sz w:val="23"/>
                <w:szCs w:val="23"/>
                <w:rtl/>
              </w:rPr>
            </w:pPr>
            <w:r w:rsidRPr="00B422AF">
              <w:rPr>
                <w:rFonts w:hint="eastAsia"/>
                <w:b/>
                <w:bCs/>
                <w:sz w:val="23"/>
                <w:szCs w:val="23"/>
                <w:rtl/>
              </w:rPr>
              <w:t>אמצעי</w:t>
            </w:r>
            <w:r w:rsidRPr="00B422AF">
              <w:rPr>
                <w:b/>
                <w:bCs/>
                <w:sz w:val="23"/>
                <w:szCs w:val="23"/>
                <w:rtl/>
              </w:rPr>
              <w:t xml:space="preserve"> </w:t>
            </w:r>
            <w:r w:rsidRPr="00B422AF">
              <w:rPr>
                <w:rFonts w:hint="eastAsia"/>
                <w:b/>
                <w:bCs/>
                <w:sz w:val="23"/>
                <w:szCs w:val="23"/>
                <w:rtl/>
              </w:rPr>
              <w:t>מואזן</w:t>
            </w:r>
          </w:p>
        </w:tc>
        <w:tc>
          <w:tcPr>
            <w:tcW w:w="5860" w:type="dxa"/>
          </w:tcPr>
          <w:p w:rsidR="0026556A" w:rsidRPr="00B422AF" w:rsidRDefault="0026556A" w:rsidP="00B422AF">
            <w:pPr>
              <w:spacing w:afterLines="40" w:after="96" w:line="269" w:lineRule="auto"/>
              <w:rPr>
                <w:sz w:val="23"/>
                <w:szCs w:val="23"/>
                <w:rtl/>
              </w:rPr>
            </w:pPr>
            <w:r w:rsidRPr="00B422AF">
              <w:rPr>
                <w:rFonts w:hint="cs"/>
                <w:sz w:val="23"/>
                <w:szCs w:val="23"/>
                <w:rtl/>
              </w:rPr>
              <w:t xml:space="preserve">המכשיר או המקום הפיזי שכלפיו מופעלת ההאזנה. </w:t>
            </w:r>
          </w:p>
        </w:tc>
      </w:tr>
      <w:tr w:rsidR="0026556A" w:rsidTr="00B31768">
        <w:tc>
          <w:tcPr>
            <w:tcW w:w="2908" w:type="dxa"/>
          </w:tcPr>
          <w:p w:rsidR="0026556A" w:rsidRPr="00B422AF" w:rsidRDefault="0026556A" w:rsidP="00B422AF">
            <w:pPr>
              <w:spacing w:afterLines="40" w:after="96" w:line="269" w:lineRule="auto"/>
              <w:jc w:val="left"/>
              <w:rPr>
                <w:b/>
                <w:bCs/>
                <w:sz w:val="23"/>
                <w:szCs w:val="23"/>
                <w:rtl/>
              </w:rPr>
            </w:pPr>
            <w:r w:rsidRPr="00B422AF">
              <w:rPr>
                <w:rFonts w:hint="eastAsia"/>
                <w:b/>
                <w:bCs/>
                <w:sz w:val="23"/>
                <w:szCs w:val="23"/>
                <w:rtl/>
              </w:rPr>
              <w:t>בדיקת</w:t>
            </w:r>
            <w:r w:rsidRPr="00B422AF">
              <w:rPr>
                <w:b/>
                <w:bCs/>
                <w:sz w:val="23"/>
                <w:szCs w:val="23"/>
                <w:rtl/>
              </w:rPr>
              <w:t xml:space="preserve"> </w:t>
            </w:r>
            <w:r w:rsidRPr="00B422AF">
              <w:rPr>
                <w:rFonts w:hint="eastAsia"/>
                <w:b/>
                <w:bCs/>
                <w:sz w:val="23"/>
                <w:szCs w:val="23"/>
                <w:rtl/>
              </w:rPr>
              <w:t>היתכנות</w:t>
            </w:r>
          </w:p>
        </w:tc>
        <w:tc>
          <w:tcPr>
            <w:tcW w:w="5860" w:type="dxa"/>
          </w:tcPr>
          <w:p w:rsidR="0026556A" w:rsidRPr="00B422AF" w:rsidRDefault="0026556A" w:rsidP="00B422AF">
            <w:pPr>
              <w:spacing w:afterLines="40" w:after="96" w:line="269" w:lineRule="auto"/>
              <w:rPr>
                <w:sz w:val="23"/>
                <w:szCs w:val="23"/>
                <w:rtl/>
              </w:rPr>
            </w:pPr>
            <w:bookmarkStart w:id="14" w:name="_Hlk155590116"/>
            <w:r w:rsidRPr="00B422AF">
              <w:rPr>
                <w:rFonts w:hint="cs"/>
                <w:sz w:val="23"/>
                <w:szCs w:val="23"/>
                <w:rtl/>
              </w:rPr>
              <w:t>סדרת פעולות</w:t>
            </w:r>
            <w:r w:rsidR="00CB5D55" w:rsidRPr="00B422AF">
              <w:rPr>
                <w:rFonts w:hint="cs"/>
                <w:sz w:val="23"/>
                <w:szCs w:val="23"/>
                <w:rtl/>
              </w:rPr>
              <w:t xml:space="preserve"> </w:t>
            </w:r>
            <w:r w:rsidRPr="00B422AF">
              <w:rPr>
                <w:sz w:val="23"/>
                <w:szCs w:val="23"/>
                <w:rtl/>
              </w:rPr>
              <w:t xml:space="preserve">שמטרתן להעריך את הסתברות הצלחת האזנת הסתר </w:t>
            </w:r>
            <w:r w:rsidRPr="00B422AF">
              <w:rPr>
                <w:rFonts w:hint="cs"/>
                <w:sz w:val="23"/>
                <w:szCs w:val="23"/>
                <w:rtl/>
              </w:rPr>
              <w:t>באמצעות כלי טכנולוגי</w:t>
            </w:r>
            <w:r w:rsidRPr="00B422AF">
              <w:rPr>
                <w:sz w:val="23"/>
                <w:szCs w:val="23"/>
                <w:rtl/>
              </w:rPr>
              <w:t xml:space="preserve"> ובחירת מתווה ביצועה</w:t>
            </w:r>
            <w:r w:rsidRPr="00B422AF">
              <w:rPr>
                <w:rFonts w:hint="cs"/>
                <w:sz w:val="23"/>
                <w:szCs w:val="23"/>
                <w:rtl/>
              </w:rPr>
              <w:t>.</w:t>
            </w:r>
            <w:bookmarkEnd w:id="14"/>
          </w:p>
        </w:tc>
      </w:tr>
      <w:tr w:rsidR="0015214D" w:rsidTr="00B31768">
        <w:tc>
          <w:tcPr>
            <w:tcW w:w="2908" w:type="dxa"/>
          </w:tcPr>
          <w:p w:rsidR="0015214D" w:rsidRPr="00B422AF" w:rsidRDefault="0015214D" w:rsidP="00B422AF">
            <w:pPr>
              <w:spacing w:afterLines="40" w:after="96" w:line="269" w:lineRule="auto"/>
              <w:jc w:val="left"/>
              <w:rPr>
                <w:b/>
                <w:bCs/>
                <w:sz w:val="23"/>
                <w:szCs w:val="23"/>
                <w:rtl/>
              </w:rPr>
            </w:pPr>
            <w:bookmarkStart w:id="15" w:name="_Hlk179370605"/>
            <w:r w:rsidRPr="00B422AF">
              <w:rPr>
                <w:rFonts w:hint="eastAsia"/>
                <w:b/>
                <w:bCs/>
                <w:sz w:val="23"/>
                <w:szCs w:val="23"/>
                <w:rtl/>
              </w:rPr>
              <w:t>האזנת</w:t>
            </w:r>
            <w:r w:rsidRPr="00B422AF">
              <w:rPr>
                <w:b/>
                <w:bCs/>
                <w:sz w:val="23"/>
                <w:szCs w:val="23"/>
                <w:rtl/>
              </w:rPr>
              <w:t xml:space="preserve"> </w:t>
            </w:r>
            <w:r w:rsidRPr="00B422AF">
              <w:rPr>
                <w:rFonts w:hint="eastAsia"/>
                <w:b/>
                <w:bCs/>
                <w:sz w:val="23"/>
                <w:szCs w:val="23"/>
                <w:rtl/>
              </w:rPr>
              <w:t>סתר</w:t>
            </w:r>
          </w:p>
        </w:tc>
        <w:tc>
          <w:tcPr>
            <w:tcW w:w="5860" w:type="dxa"/>
          </w:tcPr>
          <w:p w:rsidR="0015214D" w:rsidRPr="00B422AF" w:rsidRDefault="006E467D" w:rsidP="00B422AF">
            <w:pPr>
              <w:spacing w:afterLines="40" w:after="96" w:line="269" w:lineRule="auto"/>
              <w:rPr>
                <w:sz w:val="23"/>
                <w:szCs w:val="23"/>
                <w:rtl/>
              </w:rPr>
            </w:pPr>
            <w:r w:rsidRPr="00B422AF">
              <w:rPr>
                <w:rFonts w:hint="cs"/>
                <w:sz w:val="23"/>
                <w:szCs w:val="23"/>
                <w:rtl/>
              </w:rPr>
              <w:t xml:space="preserve">האזנה, קליטה או העתקה של שיחת הזולת באמצעות מכשיר וללא הסכמה של אף אחד מבעלי השיחה. שיחה יכולה להיעשות בדיבור, לרבות בטלפון, ברדיו, במכשירי קשר, בפקס או בתקשורת בין מחשבים. </w:t>
            </w:r>
          </w:p>
        </w:tc>
      </w:tr>
      <w:tr w:rsidR="0026556A" w:rsidTr="00B31768">
        <w:tc>
          <w:tcPr>
            <w:tcW w:w="2908" w:type="dxa"/>
          </w:tcPr>
          <w:p w:rsidR="0026556A" w:rsidRPr="00B422AF" w:rsidRDefault="0026556A" w:rsidP="00B422AF">
            <w:pPr>
              <w:spacing w:afterLines="40" w:after="96" w:line="269" w:lineRule="auto"/>
              <w:jc w:val="left"/>
              <w:rPr>
                <w:b/>
                <w:bCs/>
                <w:sz w:val="23"/>
                <w:szCs w:val="23"/>
                <w:rtl/>
              </w:rPr>
            </w:pPr>
            <w:bookmarkStart w:id="16" w:name="_Hlk143525969"/>
            <w:bookmarkEnd w:id="15"/>
            <w:r w:rsidRPr="00B422AF">
              <w:rPr>
                <w:rFonts w:hint="eastAsia"/>
                <w:b/>
                <w:bCs/>
                <w:sz w:val="23"/>
                <w:szCs w:val="23"/>
                <w:rtl/>
              </w:rPr>
              <w:t>היתר</w:t>
            </w:r>
            <w:r w:rsidRPr="00B422AF">
              <w:rPr>
                <w:b/>
                <w:bCs/>
                <w:sz w:val="23"/>
                <w:szCs w:val="23"/>
                <w:rtl/>
              </w:rPr>
              <w:t xml:space="preserve"> </w:t>
            </w:r>
            <w:r w:rsidRPr="00B422AF">
              <w:rPr>
                <w:rFonts w:hint="eastAsia"/>
                <w:b/>
                <w:bCs/>
                <w:sz w:val="23"/>
                <w:szCs w:val="23"/>
                <w:rtl/>
              </w:rPr>
              <w:t>מינהלי</w:t>
            </w:r>
          </w:p>
        </w:tc>
        <w:tc>
          <w:tcPr>
            <w:tcW w:w="5860" w:type="dxa"/>
          </w:tcPr>
          <w:p w:rsidR="0026556A" w:rsidRPr="00B422AF" w:rsidRDefault="0026556A" w:rsidP="00B422AF">
            <w:pPr>
              <w:spacing w:afterLines="40" w:after="96" w:line="269" w:lineRule="auto"/>
              <w:rPr>
                <w:sz w:val="23"/>
                <w:szCs w:val="23"/>
                <w:rtl/>
              </w:rPr>
            </w:pPr>
            <w:r w:rsidRPr="00B422AF">
              <w:rPr>
                <w:rFonts w:hint="cs"/>
                <w:sz w:val="23"/>
                <w:szCs w:val="23"/>
                <w:rtl/>
              </w:rPr>
              <w:t>אישור שמוציאה רשות מינהלית בדבר סמכותה לפי חוק לבצע פעולה</w:t>
            </w:r>
            <w:r w:rsidR="00CF0FE8" w:rsidRPr="00B422AF">
              <w:rPr>
                <w:rFonts w:hint="cs"/>
                <w:sz w:val="23"/>
                <w:szCs w:val="23"/>
                <w:rtl/>
              </w:rPr>
              <w:t xml:space="preserve"> </w:t>
            </w:r>
            <w:r w:rsidR="003D6F75" w:rsidRPr="00B422AF">
              <w:rPr>
                <w:rFonts w:hint="cs"/>
                <w:sz w:val="23"/>
                <w:szCs w:val="23"/>
                <w:rtl/>
              </w:rPr>
              <w:t>-</w:t>
            </w:r>
            <w:r w:rsidR="00CF0FE8" w:rsidRPr="00B422AF">
              <w:rPr>
                <w:rFonts w:hint="cs"/>
                <w:sz w:val="23"/>
                <w:szCs w:val="23"/>
                <w:rtl/>
              </w:rPr>
              <w:t xml:space="preserve"> בדוח זה הכוונה לפעולת האזנת סתר או קבלת נתוני תקשורת</w:t>
            </w:r>
            <w:r w:rsidRPr="00B422AF">
              <w:rPr>
                <w:rFonts w:hint="cs"/>
                <w:sz w:val="23"/>
                <w:szCs w:val="23"/>
                <w:rtl/>
              </w:rPr>
              <w:t>.</w:t>
            </w:r>
          </w:p>
        </w:tc>
      </w:tr>
      <w:bookmarkEnd w:id="16"/>
      <w:tr w:rsidR="000D7DEF" w:rsidTr="00B31768">
        <w:tc>
          <w:tcPr>
            <w:tcW w:w="2908" w:type="dxa"/>
          </w:tcPr>
          <w:p w:rsidR="000D7DEF" w:rsidRPr="00B422AF" w:rsidRDefault="000D7DEF" w:rsidP="00B422AF">
            <w:pPr>
              <w:spacing w:afterLines="40" w:after="96" w:line="269" w:lineRule="auto"/>
              <w:jc w:val="left"/>
              <w:rPr>
                <w:b/>
                <w:bCs/>
                <w:sz w:val="23"/>
                <w:szCs w:val="23"/>
                <w:rtl/>
              </w:rPr>
            </w:pPr>
            <w:r w:rsidRPr="00B422AF">
              <w:rPr>
                <w:rFonts w:hint="eastAsia"/>
                <w:b/>
                <w:bCs/>
                <w:sz w:val="23"/>
                <w:szCs w:val="23"/>
                <w:rtl/>
              </w:rPr>
              <w:t>הפקת</w:t>
            </w:r>
            <w:r w:rsidRPr="00B422AF">
              <w:rPr>
                <w:b/>
                <w:bCs/>
                <w:sz w:val="23"/>
                <w:szCs w:val="23"/>
                <w:rtl/>
              </w:rPr>
              <w:t xml:space="preserve"> </w:t>
            </w:r>
            <w:r w:rsidRPr="00B422AF">
              <w:rPr>
                <w:rFonts w:hint="eastAsia"/>
                <w:b/>
                <w:bCs/>
                <w:sz w:val="23"/>
                <w:szCs w:val="23"/>
                <w:rtl/>
              </w:rPr>
              <w:t>תוצרי</w:t>
            </w:r>
            <w:r w:rsidRPr="00B422AF">
              <w:rPr>
                <w:b/>
                <w:bCs/>
                <w:sz w:val="23"/>
                <w:szCs w:val="23"/>
                <w:rtl/>
              </w:rPr>
              <w:t xml:space="preserve"> </w:t>
            </w:r>
            <w:r w:rsidRPr="00B422AF">
              <w:rPr>
                <w:rFonts w:hint="eastAsia"/>
                <w:b/>
                <w:bCs/>
                <w:sz w:val="23"/>
                <w:szCs w:val="23"/>
                <w:rtl/>
              </w:rPr>
              <w:t>האזנה</w:t>
            </w:r>
          </w:p>
        </w:tc>
        <w:tc>
          <w:tcPr>
            <w:tcW w:w="5860" w:type="dxa"/>
          </w:tcPr>
          <w:p w:rsidR="000D7DEF" w:rsidRPr="00B422AF" w:rsidRDefault="007F2BF8" w:rsidP="00B422AF">
            <w:pPr>
              <w:spacing w:afterLines="40" w:after="96" w:line="269" w:lineRule="auto"/>
              <w:rPr>
                <w:sz w:val="23"/>
                <w:szCs w:val="23"/>
                <w:rtl/>
              </w:rPr>
            </w:pPr>
            <w:bookmarkStart w:id="17" w:name="_Hlk187221910"/>
            <w:bookmarkStart w:id="18" w:name="_Hlk187743086"/>
            <w:r w:rsidRPr="00B422AF">
              <w:rPr>
                <w:rFonts w:hint="cs"/>
                <w:sz w:val="23"/>
                <w:szCs w:val="23"/>
                <w:rtl/>
              </w:rPr>
              <w:t xml:space="preserve">פעולות </w:t>
            </w:r>
            <w:r w:rsidR="003230AD" w:rsidRPr="00B422AF">
              <w:rPr>
                <w:rFonts w:hint="cs"/>
                <w:sz w:val="23"/>
                <w:szCs w:val="23"/>
                <w:rtl/>
              </w:rPr>
              <w:t>שמבצע</w:t>
            </w:r>
            <w:r w:rsidRPr="00B422AF">
              <w:rPr>
                <w:rFonts w:hint="cs"/>
                <w:sz w:val="23"/>
                <w:szCs w:val="23"/>
                <w:rtl/>
              </w:rPr>
              <w:t xml:space="preserve"> מפיק מוסמך שמטרתן עיבוד מידע מודיעיני גולמי </w:t>
            </w:r>
            <w:r w:rsidR="000E7A10" w:rsidRPr="00B422AF">
              <w:rPr>
                <w:rFonts w:hint="cs"/>
                <w:sz w:val="23"/>
                <w:szCs w:val="23"/>
                <w:rtl/>
              </w:rPr>
              <w:t>כדי</w:t>
            </w:r>
            <w:r w:rsidRPr="00B422AF">
              <w:rPr>
                <w:rFonts w:hint="cs"/>
                <w:sz w:val="23"/>
                <w:szCs w:val="23"/>
                <w:rtl/>
              </w:rPr>
              <w:t xml:space="preserve"> שניתן יהיה לעשות בו שימוש</w:t>
            </w:r>
            <w:bookmarkEnd w:id="17"/>
            <w:r w:rsidRPr="00B422AF">
              <w:rPr>
                <w:rFonts w:hint="cs"/>
                <w:sz w:val="23"/>
                <w:szCs w:val="23"/>
                <w:rtl/>
              </w:rPr>
              <w:t>:</w:t>
            </w:r>
            <w:r w:rsidRPr="00B422AF">
              <w:rPr>
                <w:rFonts w:hint="cs"/>
                <w:sz w:val="23"/>
                <w:szCs w:val="23"/>
              </w:rPr>
              <w:t xml:space="preserve"> </w:t>
            </w:r>
            <w:r w:rsidR="00695C60" w:rsidRPr="00B422AF">
              <w:rPr>
                <w:sz w:val="23"/>
                <w:szCs w:val="23"/>
                <w:rtl/>
              </w:rPr>
              <w:t xml:space="preserve">עיון בתוצרי ההאזנה (צפייה או האזנה); מיון וסיווג של התוצר לשם קביעת מידת הרלוונטיות שלו לחקירה; הכנת תקציר של התוצר ותמלולו - הפיכת תוצר ההאזנה שהוא חומר גולמי לידיעה מודיעינית שניתן לעבד אותה; עיבוד הידיעה המודיעינית לכדי מוצר מודיעין באמצעות ניתוח, הערכה והעשרה של הידיעה ; הכנת פרפרזה של מוצר המודיעין שהיא תמצית של המידע הרלוונטי שעולה ממנו לשימוש של צרכן </w:t>
            </w:r>
            <w:r w:rsidR="00CF0FE8" w:rsidRPr="00B422AF">
              <w:rPr>
                <w:rFonts w:hint="cs"/>
                <w:sz w:val="23"/>
                <w:szCs w:val="23"/>
                <w:rtl/>
              </w:rPr>
              <w:t xml:space="preserve">מידע </w:t>
            </w:r>
            <w:r w:rsidR="00695C60" w:rsidRPr="00B422AF">
              <w:rPr>
                <w:sz w:val="23"/>
                <w:szCs w:val="23"/>
                <w:rtl/>
              </w:rPr>
              <w:t>מסוים ותוך השמטה של מידע שחשיפתו לצרכן תסכן מקורות או מבצעים; ואיגום כמה מוצרי מודיעין לכדי תמונת מודיעין שמגובשת בדוח תובנות.</w:t>
            </w:r>
            <w:bookmarkEnd w:id="18"/>
          </w:p>
        </w:tc>
      </w:tr>
      <w:tr w:rsidR="00D94A21" w:rsidTr="00B31768">
        <w:tc>
          <w:tcPr>
            <w:tcW w:w="2908" w:type="dxa"/>
          </w:tcPr>
          <w:p w:rsidR="00D94A21" w:rsidRPr="00B422AF" w:rsidRDefault="00D94A21" w:rsidP="00B422AF">
            <w:pPr>
              <w:spacing w:afterLines="40" w:after="96" w:line="269" w:lineRule="auto"/>
              <w:jc w:val="left"/>
              <w:rPr>
                <w:b/>
                <w:bCs/>
                <w:sz w:val="23"/>
                <w:szCs w:val="23"/>
                <w:rtl/>
              </w:rPr>
            </w:pPr>
            <w:r w:rsidRPr="00B422AF">
              <w:rPr>
                <w:rFonts w:hint="eastAsia"/>
                <w:b/>
                <w:bCs/>
                <w:sz w:val="23"/>
                <w:szCs w:val="23"/>
                <w:rtl/>
              </w:rPr>
              <w:t>חיפוש</w:t>
            </w:r>
            <w:r w:rsidRPr="00B422AF">
              <w:rPr>
                <w:b/>
                <w:bCs/>
                <w:sz w:val="23"/>
                <w:szCs w:val="23"/>
                <w:rtl/>
              </w:rPr>
              <w:t xml:space="preserve"> </w:t>
            </w:r>
            <w:r w:rsidRPr="00B422AF">
              <w:rPr>
                <w:rFonts w:hint="eastAsia"/>
                <w:b/>
                <w:bCs/>
                <w:sz w:val="23"/>
                <w:szCs w:val="23"/>
                <w:rtl/>
              </w:rPr>
              <w:t>סמוי</w:t>
            </w:r>
          </w:p>
        </w:tc>
        <w:tc>
          <w:tcPr>
            <w:tcW w:w="5860" w:type="dxa"/>
          </w:tcPr>
          <w:p w:rsidR="00D94A21" w:rsidRPr="00B422AF" w:rsidRDefault="00D94A21" w:rsidP="00B422AF">
            <w:pPr>
              <w:spacing w:afterLines="40" w:after="96" w:line="269" w:lineRule="auto"/>
              <w:rPr>
                <w:sz w:val="23"/>
                <w:szCs w:val="23"/>
                <w:rtl/>
              </w:rPr>
            </w:pPr>
            <w:bookmarkStart w:id="19" w:name="_Hlk155590235"/>
            <w:r w:rsidRPr="00B422AF">
              <w:rPr>
                <w:sz w:val="23"/>
                <w:szCs w:val="23"/>
                <w:rtl/>
              </w:rPr>
              <w:t>איסוף של מידע אגור</w:t>
            </w:r>
            <w:r w:rsidRPr="00B422AF">
              <w:rPr>
                <w:rFonts w:hint="cs"/>
                <w:sz w:val="23"/>
                <w:szCs w:val="23"/>
                <w:rtl/>
              </w:rPr>
              <w:t xml:space="preserve"> במכשיר קצה</w:t>
            </w:r>
            <w:r w:rsidR="00BE35CC" w:rsidRPr="00B422AF">
              <w:rPr>
                <w:rFonts w:hint="cs"/>
                <w:sz w:val="23"/>
                <w:szCs w:val="23"/>
                <w:rtl/>
              </w:rPr>
              <w:t xml:space="preserve"> המתבצע ללא ידיעת בעל המכשיר</w:t>
            </w:r>
            <w:r w:rsidRPr="00B422AF">
              <w:rPr>
                <w:rFonts w:hint="cs"/>
                <w:sz w:val="23"/>
                <w:szCs w:val="23"/>
                <w:rtl/>
              </w:rPr>
              <w:t xml:space="preserve">, </w:t>
            </w:r>
            <w:r w:rsidR="00C57A5B" w:rsidRPr="00B422AF">
              <w:rPr>
                <w:rFonts w:hint="cs"/>
                <w:sz w:val="23"/>
                <w:szCs w:val="23"/>
                <w:rtl/>
              </w:rPr>
              <w:t xml:space="preserve">ובשונה מהאזנת סתר הוא </w:t>
            </w:r>
            <w:r w:rsidRPr="00B422AF">
              <w:rPr>
                <w:rFonts w:hint="cs"/>
                <w:sz w:val="23"/>
                <w:szCs w:val="23"/>
                <w:rtl/>
              </w:rPr>
              <w:t>צופה פני עבר.</w:t>
            </w:r>
            <w:bookmarkEnd w:id="19"/>
          </w:p>
        </w:tc>
      </w:tr>
      <w:tr w:rsidR="0026556A" w:rsidTr="00B31768">
        <w:tc>
          <w:tcPr>
            <w:tcW w:w="2908" w:type="dxa"/>
          </w:tcPr>
          <w:p w:rsidR="0026556A" w:rsidRPr="00B422AF" w:rsidRDefault="0026556A" w:rsidP="00B422AF">
            <w:pPr>
              <w:spacing w:afterLines="40" w:after="96" w:line="269" w:lineRule="auto"/>
              <w:jc w:val="left"/>
              <w:rPr>
                <w:b/>
                <w:bCs/>
                <w:sz w:val="23"/>
                <w:szCs w:val="23"/>
                <w:rtl/>
              </w:rPr>
            </w:pPr>
            <w:r w:rsidRPr="00B422AF">
              <w:rPr>
                <w:rFonts w:hint="eastAsia"/>
                <w:b/>
                <w:bCs/>
                <w:sz w:val="23"/>
                <w:szCs w:val="23"/>
                <w:rtl/>
              </w:rPr>
              <w:t>טופס</w:t>
            </w:r>
            <w:r w:rsidRPr="00B422AF">
              <w:rPr>
                <w:b/>
                <w:bCs/>
                <w:sz w:val="23"/>
                <w:szCs w:val="23"/>
                <w:rtl/>
              </w:rPr>
              <w:t xml:space="preserve"> </w:t>
            </w:r>
            <w:r w:rsidR="00BA1A48" w:rsidRPr="00B422AF">
              <w:rPr>
                <w:rFonts w:hint="eastAsia"/>
                <w:b/>
                <w:bCs/>
                <w:sz w:val="23"/>
                <w:szCs w:val="23"/>
                <w:rtl/>
              </w:rPr>
              <w:t>ייעודי</w:t>
            </w:r>
          </w:p>
        </w:tc>
        <w:tc>
          <w:tcPr>
            <w:tcW w:w="5860" w:type="dxa"/>
          </w:tcPr>
          <w:p w:rsidR="0026556A" w:rsidRPr="00B422AF" w:rsidRDefault="0026556A" w:rsidP="00B422AF">
            <w:pPr>
              <w:spacing w:afterLines="40" w:after="96" w:line="269" w:lineRule="auto"/>
              <w:rPr>
                <w:sz w:val="23"/>
                <w:szCs w:val="23"/>
                <w:rtl/>
              </w:rPr>
            </w:pPr>
            <w:r w:rsidRPr="00B422AF">
              <w:rPr>
                <w:rFonts w:hint="cs"/>
                <w:sz w:val="23"/>
                <w:szCs w:val="23"/>
                <w:rtl/>
              </w:rPr>
              <w:t>טופס שבאמצעותו מדווח הקצין המוסמך על היתר מ</w:t>
            </w:r>
            <w:r w:rsidR="00893EA0" w:rsidRPr="00B422AF">
              <w:rPr>
                <w:rFonts w:hint="cs"/>
                <w:sz w:val="23"/>
                <w:szCs w:val="23"/>
                <w:rtl/>
              </w:rPr>
              <w:t>י</w:t>
            </w:r>
            <w:r w:rsidRPr="00B422AF">
              <w:rPr>
                <w:rFonts w:hint="cs"/>
                <w:sz w:val="23"/>
                <w:szCs w:val="23"/>
                <w:rtl/>
              </w:rPr>
              <w:t>נהלי שנתן</w:t>
            </w:r>
            <w:r w:rsidR="00893EA0" w:rsidRPr="00B422AF">
              <w:rPr>
                <w:rFonts w:hint="cs"/>
                <w:sz w:val="23"/>
                <w:szCs w:val="23"/>
                <w:rtl/>
              </w:rPr>
              <w:t xml:space="preserve"> לקבלת נתוני תקשורת</w:t>
            </w:r>
            <w:r w:rsidRPr="00B422AF">
              <w:rPr>
                <w:rFonts w:hint="cs"/>
                <w:sz w:val="23"/>
                <w:szCs w:val="23"/>
                <w:rtl/>
              </w:rPr>
              <w:t>.</w:t>
            </w:r>
          </w:p>
        </w:tc>
      </w:tr>
      <w:tr w:rsidR="00BE1927" w:rsidTr="00B31768">
        <w:tc>
          <w:tcPr>
            <w:tcW w:w="2908" w:type="dxa"/>
          </w:tcPr>
          <w:p w:rsidR="00BE1927" w:rsidRPr="00B422AF" w:rsidRDefault="00BE1927" w:rsidP="00B422AF">
            <w:pPr>
              <w:spacing w:afterLines="40" w:after="96" w:line="269" w:lineRule="auto"/>
              <w:jc w:val="left"/>
              <w:rPr>
                <w:b/>
                <w:bCs/>
                <w:sz w:val="23"/>
                <w:szCs w:val="23"/>
                <w:rtl/>
              </w:rPr>
            </w:pPr>
            <w:r w:rsidRPr="00B422AF">
              <w:rPr>
                <w:rFonts w:hint="eastAsia"/>
                <w:b/>
                <w:bCs/>
                <w:sz w:val="23"/>
                <w:szCs w:val="23"/>
                <w:rtl/>
              </w:rPr>
              <w:t>יומני</w:t>
            </w:r>
            <w:r w:rsidRPr="00B422AF">
              <w:rPr>
                <w:b/>
                <w:bCs/>
                <w:sz w:val="23"/>
                <w:szCs w:val="23"/>
                <w:rtl/>
              </w:rPr>
              <w:t xml:space="preserve"> </w:t>
            </w:r>
            <w:r w:rsidRPr="00B422AF">
              <w:rPr>
                <w:rFonts w:hint="eastAsia"/>
                <w:b/>
                <w:bCs/>
                <w:sz w:val="23"/>
                <w:szCs w:val="23"/>
                <w:rtl/>
              </w:rPr>
              <w:t>הפקה</w:t>
            </w:r>
          </w:p>
        </w:tc>
        <w:tc>
          <w:tcPr>
            <w:tcW w:w="5860" w:type="dxa"/>
          </w:tcPr>
          <w:p w:rsidR="00BE1927" w:rsidRPr="00B422AF" w:rsidRDefault="00B533EA" w:rsidP="00B422AF">
            <w:pPr>
              <w:spacing w:afterLines="40" w:after="96" w:line="269" w:lineRule="auto"/>
              <w:rPr>
                <w:sz w:val="23"/>
                <w:szCs w:val="23"/>
                <w:rtl/>
              </w:rPr>
            </w:pPr>
            <w:r w:rsidRPr="00B422AF">
              <w:rPr>
                <w:rFonts w:hint="cs"/>
                <w:sz w:val="23"/>
                <w:szCs w:val="23"/>
                <w:rtl/>
              </w:rPr>
              <w:t xml:space="preserve">תרשומת של </w:t>
            </w:r>
            <w:r w:rsidR="00EA5B87" w:rsidRPr="00B422AF">
              <w:rPr>
                <w:sz w:val="23"/>
                <w:szCs w:val="23"/>
                <w:rtl/>
              </w:rPr>
              <w:t>תוצרי ההאזנה והעיבוד שלהם על ידי גורמי ההפקה</w:t>
            </w:r>
            <w:r w:rsidRPr="00B422AF">
              <w:rPr>
                <w:rFonts w:hint="cs"/>
                <w:sz w:val="23"/>
                <w:szCs w:val="23"/>
                <w:rtl/>
              </w:rPr>
              <w:t>.</w:t>
            </w:r>
          </w:p>
        </w:tc>
      </w:tr>
      <w:tr w:rsidR="0026556A" w:rsidTr="00B31768">
        <w:tc>
          <w:tcPr>
            <w:tcW w:w="2908" w:type="dxa"/>
          </w:tcPr>
          <w:p w:rsidR="0026556A" w:rsidRPr="00B422AF" w:rsidRDefault="0026556A" w:rsidP="00B422AF">
            <w:pPr>
              <w:spacing w:afterLines="40" w:after="96" w:line="269" w:lineRule="auto"/>
              <w:jc w:val="left"/>
              <w:rPr>
                <w:b/>
                <w:bCs/>
                <w:sz w:val="23"/>
                <w:szCs w:val="23"/>
                <w:rtl/>
              </w:rPr>
            </w:pPr>
            <w:r w:rsidRPr="00B422AF">
              <w:rPr>
                <w:rFonts w:hint="eastAsia"/>
                <w:b/>
                <w:bCs/>
                <w:sz w:val="23"/>
                <w:szCs w:val="23"/>
                <w:rtl/>
              </w:rPr>
              <w:t>יחידה</w:t>
            </w:r>
            <w:r w:rsidRPr="00B422AF">
              <w:rPr>
                <w:b/>
                <w:bCs/>
                <w:sz w:val="23"/>
                <w:szCs w:val="23"/>
                <w:rtl/>
              </w:rPr>
              <w:t xml:space="preserve"> </w:t>
            </w:r>
            <w:r w:rsidRPr="00B422AF">
              <w:rPr>
                <w:rFonts w:hint="eastAsia"/>
                <w:b/>
                <w:bCs/>
                <w:sz w:val="23"/>
                <w:szCs w:val="23"/>
                <w:rtl/>
              </w:rPr>
              <w:t>מזמינה</w:t>
            </w:r>
          </w:p>
        </w:tc>
        <w:tc>
          <w:tcPr>
            <w:tcW w:w="5860" w:type="dxa"/>
          </w:tcPr>
          <w:p w:rsidR="0026556A" w:rsidRPr="00B422AF" w:rsidRDefault="0026556A" w:rsidP="00B422AF">
            <w:pPr>
              <w:spacing w:afterLines="40" w:after="96" w:line="269" w:lineRule="auto"/>
              <w:rPr>
                <w:sz w:val="23"/>
                <w:szCs w:val="23"/>
                <w:rtl/>
              </w:rPr>
            </w:pPr>
            <w:r w:rsidRPr="00B422AF">
              <w:rPr>
                <w:sz w:val="23"/>
                <w:szCs w:val="23"/>
                <w:rtl/>
              </w:rPr>
              <w:t>יחידת חקירות המבקשת לבצע האזנת סתר במסגרת חקירה המתנהלת על ידה או יחידת מודיעין (גורם הערכה) המבקשת לבצע האזנת סתר במסגרת פרשיה מודיעינית</w:t>
            </w:r>
            <w:r w:rsidRPr="00B422AF">
              <w:rPr>
                <w:rFonts w:hint="cs"/>
                <w:sz w:val="23"/>
                <w:szCs w:val="23"/>
                <w:rtl/>
              </w:rPr>
              <w:t>.</w:t>
            </w:r>
          </w:p>
        </w:tc>
      </w:tr>
      <w:tr w:rsidR="0026556A" w:rsidRPr="006A50A3" w:rsidDel="00D36AD7" w:rsidTr="00B31768">
        <w:tc>
          <w:tcPr>
            <w:tcW w:w="2908" w:type="dxa"/>
          </w:tcPr>
          <w:p w:rsidR="0026556A" w:rsidRPr="00B422AF" w:rsidDel="00D36AD7" w:rsidRDefault="0026556A" w:rsidP="00B422AF">
            <w:pPr>
              <w:spacing w:afterLines="40" w:after="96" w:line="269" w:lineRule="auto"/>
              <w:jc w:val="left"/>
              <w:rPr>
                <w:b/>
                <w:bCs/>
                <w:sz w:val="23"/>
                <w:szCs w:val="23"/>
                <w:rtl/>
              </w:rPr>
            </w:pPr>
            <w:r w:rsidRPr="00B422AF">
              <w:rPr>
                <w:rFonts w:hint="eastAsia"/>
                <w:b/>
                <w:bCs/>
                <w:sz w:val="23"/>
                <w:szCs w:val="23"/>
                <w:rtl/>
              </w:rPr>
              <w:t>יעד</w:t>
            </w:r>
            <w:r w:rsidR="000D65CA" w:rsidRPr="00B422AF">
              <w:rPr>
                <w:b/>
                <w:bCs/>
                <w:sz w:val="23"/>
                <w:szCs w:val="23"/>
                <w:rtl/>
              </w:rPr>
              <w:t xml:space="preserve"> הבקשה</w:t>
            </w:r>
          </w:p>
        </w:tc>
        <w:tc>
          <w:tcPr>
            <w:tcW w:w="5860" w:type="dxa"/>
          </w:tcPr>
          <w:p w:rsidR="0026556A" w:rsidRPr="00B422AF" w:rsidDel="00D36AD7" w:rsidRDefault="0026556A" w:rsidP="00B422AF">
            <w:pPr>
              <w:spacing w:afterLines="40" w:after="96" w:line="269" w:lineRule="auto"/>
              <w:rPr>
                <w:sz w:val="23"/>
                <w:szCs w:val="23"/>
                <w:rtl/>
              </w:rPr>
            </w:pPr>
            <w:r w:rsidRPr="00B422AF">
              <w:rPr>
                <w:rFonts w:hint="cs"/>
                <w:sz w:val="23"/>
                <w:szCs w:val="23"/>
                <w:rtl/>
              </w:rPr>
              <w:t>אדם, מכשיר או מקום גיאוגרפי ש</w:t>
            </w:r>
            <w:r w:rsidR="00FA686C" w:rsidRPr="00B422AF">
              <w:rPr>
                <w:rFonts w:hint="cs"/>
                <w:sz w:val="23"/>
                <w:szCs w:val="23"/>
                <w:rtl/>
              </w:rPr>
              <w:t>בנוגע</w:t>
            </w:r>
            <w:r w:rsidRPr="00B422AF">
              <w:rPr>
                <w:rFonts w:hint="cs"/>
                <w:sz w:val="23"/>
                <w:szCs w:val="23"/>
                <w:rtl/>
              </w:rPr>
              <w:t xml:space="preserve"> אליו </w:t>
            </w:r>
            <w:r w:rsidR="001B3532" w:rsidRPr="00B422AF">
              <w:rPr>
                <w:rFonts w:hint="cs"/>
                <w:sz w:val="23"/>
                <w:szCs w:val="23"/>
                <w:rtl/>
              </w:rPr>
              <w:t xml:space="preserve">מוגשת בקשה להפקת </w:t>
            </w:r>
            <w:r w:rsidRPr="00B422AF">
              <w:rPr>
                <w:rFonts w:hint="cs"/>
                <w:sz w:val="23"/>
                <w:szCs w:val="23"/>
                <w:rtl/>
              </w:rPr>
              <w:t>נתוני תקשורת</w:t>
            </w:r>
            <w:r w:rsidR="003230AD" w:rsidRPr="00B422AF">
              <w:rPr>
                <w:rFonts w:hint="cs"/>
                <w:sz w:val="23"/>
                <w:szCs w:val="23"/>
                <w:rtl/>
              </w:rPr>
              <w:t>.</w:t>
            </w:r>
          </w:p>
        </w:tc>
      </w:tr>
      <w:tr w:rsidR="0026556A" w:rsidRPr="00891111" w:rsidTr="00B31768">
        <w:tc>
          <w:tcPr>
            <w:tcW w:w="2908" w:type="dxa"/>
          </w:tcPr>
          <w:p w:rsidR="0026556A" w:rsidRPr="00B422AF" w:rsidRDefault="0026556A" w:rsidP="00B422AF">
            <w:pPr>
              <w:spacing w:afterLines="40" w:after="96" w:line="269" w:lineRule="auto"/>
              <w:jc w:val="left"/>
              <w:rPr>
                <w:b/>
                <w:bCs/>
                <w:sz w:val="23"/>
                <w:szCs w:val="23"/>
                <w:rtl/>
              </w:rPr>
            </w:pPr>
            <w:r w:rsidRPr="00B422AF">
              <w:rPr>
                <w:rFonts w:hint="eastAsia"/>
                <w:b/>
                <w:bCs/>
                <w:sz w:val="23"/>
                <w:szCs w:val="23"/>
                <w:rtl/>
              </w:rPr>
              <w:t>יעד</w:t>
            </w:r>
            <w:r w:rsidRPr="00B422AF">
              <w:rPr>
                <w:b/>
                <w:bCs/>
                <w:sz w:val="23"/>
                <w:szCs w:val="23"/>
                <w:rtl/>
              </w:rPr>
              <w:t xml:space="preserve"> </w:t>
            </w:r>
            <w:r w:rsidRPr="00B422AF">
              <w:rPr>
                <w:rFonts w:hint="eastAsia"/>
                <w:b/>
                <w:bCs/>
                <w:sz w:val="23"/>
                <w:szCs w:val="23"/>
                <w:rtl/>
              </w:rPr>
              <w:t>האזנה</w:t>
            </w:r>
          </w:p>
        </w:tc>
        <w:tc>
          <w:tcPr>
            <w:tcW w:w="5860" w:type="dxa"/>
          </w:tcPr>
          <w:p w:rsidR="0026556A" w:rsidRPr="00B422AF" w:rsidRDefault="0026556A" w:rsidP="00B422AF">
            <w:pPr>
              <w:spacing w:afterLines="40" w:after="96" w:line="269" w:lineRule="auto"/>
              <w:rPr>
                <w:sz w:val="23"/>
                <w:szCs w:val="23"/>
                <w:rtl/>
              </w:rPr>
            </w:pPr>
            <w:bookmarkStart w:id="20" w:name="_Hlk156199996"/>
            <w:r w:rsidRPr="00B422AF">
              <w:rPr>
                <w:rFonts w:hint="cs"/>
                <w:sz w:val="23"/>
                <w:szCs w:val="23"/>
                <w:rtl/>
              </w:rPr>
              <w:t>האדם שכלפיו מופעלת ההאזנה</w:t>
            </w:r>
            <w:bookmarkEnd w:id="20"/>
            <w:r w:rsidR="003230AD" w:rsidRPr="00B422AF">
              <w:rPr>
                <w:rFonts w:hint="cs"/>
                <w:sz w:val="23"/>
                <w:szCs w:val="23"/>
                <w:rtl/>
              </w:rPr>
              <w:t>.</w:t>
            </w:r>
          </w:p>
        </w:tc>
      </w:tr>
      <w:tr w:rsidR="0026556A" w:rsidTr="00B31768">
        <w:tc>
          <w:tcPr>
            <w:tcW w:w="2908" w:type="dxa"/>
          </w:tcPr>
          <w:p w:rsidR="0026556A" w:rsidRPr="00B422AF" w:rsidRDefault="0026556A" w:rsidP="00B422AF">
            <w:pPr>
              <w:spacing w:afterLines="40" w:after="96" w:line="269" w:lineRule="auto"/>
              <w:jc w:val="left"/>
              <w:rPr>
                <w:b/>
                <w:bCs/>
                <w:sz w:val="23"/>
                <w:szCs w:val="23"/>
                <w:rtl/>
              </w:rPr>
            </w:pPr>
            <w:r w:rsidRPr="00B422AF">
              <w:rPr>
                <w:rFonts w:hint="eastAsia"/>
                <w:b/>
                <w:bCs/>
                <w:sz w:val="23"/>
                <w:szCs w:val="23"/>
                <w:rtl/>
              </w:rPr>
              <w:t>כלי</w:t>
            </w:r>
            <w:r w:rsidRPr="00B422AF">
              <w:rPr>
                <w:b/>
                <w:bCs/>
                <w:sz w:val="23"/>
                <w:szCs w:val="23"/>
                <w:rtl/>
              </w:rPr>
              <w:t xml:space="preserve"> </w:t>
            </w:r>
            <w:r w:rsidR="00E83EAB" w:rsidRPr="00B422AF">
              <w:rPr>
                <w:rFonts w:hint="eastAsia"/>
                <w:b/>
                <w:bCs/>
                <w:sz w:val="23"/>
                <w:szCs w:val="23"/>
                <w:rtl/>
              </w:rPr>
              <w:t>טכנולוגי</w:t>
            </w:r>
          </w:p>
        </w:tc>
        <w:tc>
          <w:tcPr>
            <w:tcW w:w="5860" w:type="dxa"/>
          </w:tcPr>
          <w:p w:rsidR="0026556A" w:rsidRPr="00B422AF" w:rsidRDefault="0026556A" w:rsidP="00B422AF">
            <w:pPr>
              <w:spacing w:afterLines="40" w:after="96" w:line="269" w:lineRule="auto"/>
              <w:rPr>
                <w:sz w:val="23"/>
                <w:szCs w:val="23"/>
                <w:rtl/>
              </w:rPr>
            </w:pPr>
            <w:r w:rsidRPr="00B422AF">
              <w:rPr>
                <w:rFonts w:hint="cs"/>
                <w:sz w:val="23"/>
                <w:szCs w:val="23"/>
                <w:rtl/>
              </w:rPr>
              <w:t xml:space="preserve">מערכת </w:t>
            </w:r>
            <w:r w:rsidR="00401D34" w:rsidRPr="00B422AF">
              <w:rPr>
                <w:rFonts w:hint="cs"/>
                <w:sz w:val="23"/>
                <w:szCs w:val="23"/>
                <w:rtl/>
              </w:rPr>
              <w:t xml:space="preserve">ממוחשבת, תוכנה </w:t>
            </w:r>
            <w:r w:rsidRPr="00B422AF">
              <w:rPr>
                <w:rFonts w:hint="cs"/>
                <w:sz w:val="23"/>
                <w:szCs w:val="23"/>
                <w:rtl/>
              </w:rPr>
              <w:t xml:space="preserve">או מכשיר המשמש לאיסוף מידע סיגינטי הדורש מומחיות לנוכח מורכבות איתור המידע, קבלתו או העתקתו תוך הסוואה וטשטוש של עקבות פעולת האיסוף. מכשירי הקלטת שמע נפוצים אינם כלולים </w:t>
            </w:r>
            <w:r w:rsidR="00BE35CC" w:rsidRPr="00B422AF">
              <w:rPr>
                <w:rFonts w:hint="cs"/>
                <w:sz w:val="23"/>
                <w:szCs w:val="23"/>
                <w:rtl/>
              </w:rPr>
              <w:t xml:space="preserve">בהגדרה </w:t>
            </w:r>
            <w:r w:rsidRPr="00B422AF">
              <w:rPr>
                <w:rFonts w:hint="cs"/>
                <w:sz w:val="23"/>
                <w:szCs w:val="23"/>
                <w:rtl/>
              </w:rPr>
              <w:t>זו.</w:t>
            </w:r>
            <w:r w:rsidR="00213D9F" w:rsidRPr="00B422AF">
              <w:rPr>
                <w:rFonts w:hint="cs"/>
                <w:sz w:val="23"/>
                <w:szCs w:val="23"/>
                <w:rtl/>
              </w:rPr>
              <w:t xml:space="preserve"> </w:t>
            </w:r>
          </w:p>
        </w:tc>
      </w:tr>
      <w:tr w:rsidR="0026556A" w:rsidTr="00B31768">
        <w:tc>
          <w:tcPr>
            <w:tcW w:w="2908" w:type="dxa"/>
          </w:tcPr>
          <w:p w:rsidR="0026556A" w:rsidRPr="00B422AF" w:rsidRDefault="0026556A" w:rsidP="00B422AF">
            <w:pPr>
              <w:spacing w:afterLines="40" w:after="96" w:line="269" w:lineRule="auto"/>
              <w:jc w:val="left"/>
              <w:rPr>
                <w:b/>
                <w:bCs/>
                <w:sz w:val="23"/>
                <w:szCs w:val="23"/>
                <w:rtl/>
              </w:rPr>
            </w:pPr>
            <w:r w:rsidRPr="00B422AF">
              <w:rPr>
                <w:rFonts w:hint="eastAsia"/>
                <w:b/>
                <w:bCs/>
                <w:sz w:val="23"/>
                <w:szCs w:val="23"/>
                <w:rtl/>
              </w:rPr>
              <w:t>מאגרי</w:t>
            </w:r>
            <w:r w:rsidRPr="00B422AF">
              <w:rPr>
                <w:b/>
                <w:bCs/>
                <w:sz w:val="23"/>
                <w:szCs w:val="23"/>
                <w:rtl/>
              </w:rPr>
              <w:t xml:space="preserve"> </w:t>
            </w:r>
            <w:r w:rsidRPr="00B422AF">
              <w:rPr>
                <w:rFonts w:hint="eastAsia"/>
                <w:b/>
                <w:bCs/>
                <w:sz w:val="23"/>
                <w:szCs w:val="23"/>
                <w:rtl/>
              </w:rPr>
              <w:t>נתוני</w:t>
            </w:r>
            <w:r w:rsidRPr="00B422AF">
              <w:rPr>
                <w:b/>
                <w:bCs/>
                <w:sz w:val="23"/>
                <w:szCs w:val="23"/>
                <w:rtl/>
              </w:rPr>
              <w:t xml:space="preserve"> </w:t>
            </w:r>
            <w:r w:rsidRPr="00B422AF">
              <w:rPr>
                <w:rFonts w:hint="eastAsia"/>
                <w:b/>
                <w:bCs/>
                <w:sz w:val="23"/>
                <w:szCs w:val="23"/>
                <w:rtl/>
              </w:rPr>
              <w:t>תקשורת</w:t>
            </w:r>
          </w:p>
        </w:tc>
        <w:tc>
          <w:tcPr>
            <w:tcW w:w="5860" w:type="dxa"/>
          </w:tcPr>
          <w:p w:rsidR="0026556A" w:rsidRPr="00B422AF" w:rsidRDefault="0026556A" w:rsidP="00B422AF">
            <w:pPr>
              <w:spacing w:afterLines="40" w:after="96" w:line="269" w:lineRule="auto"/>
              <w:rPr>
                <w:sz w:val="23"/>
                <w:szCs w:val="23"/>
                <w:rtl/>
              </w:rPr>
            </w:pPr>
            <w:r w:rsidRPr="00B422AF">
              <w:rPr>
                <w:rFonts w:hint="cs"/>
                <w:sz w:val="23"/>
                <w:szCs w:val="23"/>
                <w:rtl/>
              </w:rPr>
              <w:t>שני מאגרי מידע הכוללים מידע שחברות התקשורת מחויבות להעביר למשטרה. "מאגר בעלויות"</w:t>
            </w:r>
            <w:r w:rsidRPr="00B422AF">
              <w:rPr>
                <w:rFonts w:eastAsia="Calibri" w:hint="cs"/>
                <w:sz w:val="23"/>
                <w:szCs w:val="23"/>
                <w:rtl/>
              </w:rPr>
              <w:t xml:space="preserve"> כולל את נתוני הזיהוי של מנויי החברה ואת מספרי הזיהוי של מכשירי הטלפון או של רכיבי הטלפון. </w:t>
            </w:r>
            <w:r w:rsidRPr="00B422AF">
              <w:rPr>
                <w:rFonts w:hint="cs"/>
                <w:sz w:val="23"/>
                <w:szCs w:val="23"/>
                <w:rtl/>
              </w:rPr>
              <w:t xml:space="preserve">"מאגר אנטנות" </w:t>
            </w:r>
            <w:r w:rsidRPr="00B422AF">
              <w:rPr>
                <w:rFonts w:eastAsia="Calibri" w:hint="cs"/>
                <w:sz w:val="23"/>
                <w:szCs w:val="23"/>
                <w:rtl/>
              </w:rPr>
              <w:t>כולל את מפת מקום הימצאן של האנטנות המשמשות את החברה ואת אזורי הכיסוי שלהן</w:t>
            </w:r>
            <w:r w:rsidRPr="00B422AF">
              <w:rPr>
                <w:rFonts w:hint="cs"/>
                <w:sz w:val="23"/>
                <w:szCs w:val="23"/>
                <w:rtl/>
              </w:rPr>
              <w:t>.</w:t>
            </w:r>
          </w:p>
        </w:tc>
      </w:tr>
      <w:tr w:rsidR="0044664A" w:rsidTr="00B31768">
        <w:tc>
          <w:tcPr>
            <w:tcW w:w="2908" w:type="dxa"/>
          </w:tcPr>
          <w:p w:rsidR="0044664A" w:rsidRPr="00B422AF" w:rsidRDefault="0044664A" w:rsidP="00B422AF">
            <w:pPr>
              <w:spacing w:afterLines="40" w:after="96" w:line="269" w:lineRule="auto"/>
              <w:jc w:val="left"/>
              <w:rPr>
                <w:b/>
                <w:bCs/>
                <w:sz w:val="23"/>
                <w:szCs w:val="23"/>
                <w:rtl/>
              </w:rPr>
            </w:pPr>
            <w:r w:rsidRPr="00B422AF">
              <w:rPr>
                <w:rFonts w:hint="eastAsia"/>
                <w:b/>
                <w:bCs/>
                <w:sz w:val="23"/>
                <w:szCs w:val="23"/>
                <w:rtl/>
              </w:rPr>
              <w:t>מטא</w:t>
            </w:r>
            <w:r w:rsidRPr="00B422AF">
              <w:rPr>
                <w:b/>
                <w:bCs/>
                <w:sz w:val="23"/>
                <w:szCs w:val="23"/>
                <w:rtl/>
              </w:rPr>
              <w:t xml:space="preserve">-דאטה </w:t>
            </w:r>
          </w:p>
        </w:tc>
        <w:tc>
          <w:tcPr>
            <w:tcW w:w="5860" w:type="dxa"/>
          </w:tcPr>
          <w:p w:rsidR="0044664A" w:rsidRPr="00B422AF" w:rsidRDefault="0044664A" w:rsidP="00B422AF">
            <w:pPr>
              <w:spacing w:afterLines="40" w:after="96" w:line="269" w:lineRule="auto"/>
              <w:rPr>
                <w:sz w:val="23"/>
                <w:szCs w:val="23"/>
                <w:rtl/>
              </w:rPr>
            </w:pPr>
            <w:r w:rsidRPr="00B422AF">
              <w:rPr>
                <w:sz w:val="23"/>
                <w:szCs w:val="23"/>
                <w:rtl/>
              </w:rPr>
              <w:t>מידע על המידע. בענייננו מדובר בנתונים ובמידע בין היתר על אמצעי התקשורת, השימוש בהם והבעלות עליהם.</w:t>
            </w:r>
          </w:p>
        </w:tc>
      </w:tr>
      <w:tr w:rsidR="0044664A" w:rsidTr="00B31768">
        <w:tc>
          <w:tcPr>
            <w:tcW w:w="2908" w:type="dxa"/>
          </w:tcPr>
          <w:p w:rsidR="0044664A" w:rsidRPr="00B422AF" w:rsidRDefault="0044664A" w:rsidP="00B422AF">
            <w:pPr>
              <w:spacing w:afterLines="40" w:after="96" w:line="269" w:lineRule="auto"/>
              <w:jc w:val="left"/>
              <w:rPr>
                <w:b/>
                <w:bCs/>
                <w:sz w:val="23"/>
                <w:szCs w:val="23"/>
                <w:rtl/>
              </w:rPr>
            </w:pPr>
            <w:r w:rsidRPr="00B422AF">
              <w:rPr>
                <w:rFonts w:hint="eastAsia"/>
                <w:b/>
                <w:bCs/>
                <w:sz w:val="23"/>
                <w:szCs w:val="23"/>
                <w:rtl/>
              </w:rPr>
              <w:t>מטה</w:t>
            </w:r>
            <w:r w:rsidRPr="00B422AF">
              <w:rPr>
                <w:b/>
                <w:bCs/>
                <w:sz w:val="23"/>
                <w:szCs w:val="23"/>
                <w:rtl/>
              </w:rPr>
              <w:t xml:space="preserve"> </w:t>
            </w:r>
            <w:r w:rsidRPr="00B422AF">
              <w:rPr>
                <w:rFonts w:hint="eastAsia"/>
                <w:b/>
                <w:bCs/>
                <w:sz w:val="23"/>
                <w:szCs w:val="23"/>
                <w:rtl/>
              </w:rPr>
              <w:t>החטיבה</w:t>
            </w:r>
          </w:p>
        </w:tc>
        <w:tc>
          <w:tcPr>
            <w:tcW w:w="5860" w:type="dxa"/>
          </w:tcPr>
          <w:p w:rsidR="0044664A" w:rsidRPr="00B422AF" w:rsidRDefault="0044664A" w:rsidP="00B422AF">
            <w:pPr>
              <w:spacing w:afterLines="40" w:after="96" w:line="269" w:lineRule="auto"/>
              <w:rPr>
                <w:sz w:val="23"/>
                <w:szCs w:val="23"/>
                <w:rtl/>
              </w:rPr>
            </w:pPr>
            <w:r w:rsidRPr="00B422AF">
              <w:rPr>
                <w:rFonts w:hint="cs"/>
                <w:sz w:val="23"/>
                <w:szCs w:val="23"/>
                <w:rtl/>
              </w:rPr>
              <w:t xml:space="preserve">מטה חטיבת הסייבר </w:t>
            </w:r>
            <w:r w:rsidR="001759F0" w:rsidRPr="00B422AF">
              <w:rPr>
                <w:rFonts w:hint="cs"/>
                <w:sz w:val="23"/>
                <w:szCs w:val="23"/>
                <w:rtl/>
              </w:rPr>
              <w:t>ה</w:t>
            </w:r>
            <w:r w:rsidRPr="00B422AF">
              <w:rPr>
                <w:rFonts w:hint="cs"/>
                <w:sz w:val="23"/>
                <w:szCs w:val="23"/>
                <w:rtl/>
              </w:rPr>
              <w:t xml:space="preserve">כולל גורמים מנחים מקצועית </w:t>
            </w:r>
            <w:r w:rsidRPr="00B422AF">
              <w:rPr>
                <w:rFonts w:hint="eastAsia"/>
                <w:sz w:val="23"/>
                <w:szCs w:val="23"/>
                <w:rtl/>
              </w:rPr>
              <w:t>בתחום</w:t>
            </w:r>
            <w:r w:rsidRPr="00B422AF">
              <w:rPr>
                <w:sz w:val="23"/>
                <w:szCs w:val="23"/>
                <w:rtl/>
              </w:rPr>
              <w:t xml:space="preserve"> האזנות הסתר ונתוני התקשורת</w:t>
            </w:r>
            <w:r w:rsidR="00E50A30" w:rsidRPr="00B422AF">
              <w:rPr>
                <w:rFonts w:hint="cs"/>
                <w:sz w:val="23"/>
                <w:szCs w:val="23"/>
                <w:rtl/>
              </w:rPr>
              <w:t>,</w:t>
            </w:r>
            <w:r w:rsidRPr="00B422AF">
              <w:rPr>
                <w:rFonts w:hint="cs"/>
                <w:sz w:val="23"/>
                <w:szCs w:val="23"/>
                <w:rtl/>
              </w:rPr>
              <w:t xml:space="preserve"> וכן </w:t>
            </w:r>
            <w:r w:rsidRPr="00B422AF">
              <w:rPr>
                <w:rFonts w:hint="eastAsia"/>
                <w:sz w:val="23"/>
                <w:szCs w:val="23"/>
                <w:rtl/>
              </w:rPr>
              <w:t>כולל</w:t>
            </w:r>
            <w:r w:rsidRPr="00B422AF">
              <w:rPr>
                <w:sz w:val="23"/>
                <w:szCs w:val="23"/>
                <w:rtl/>
              </w:rPr>
              <w:t xml:space="preserve"> </w:t>
            </w:r>
            <w:r w:rsidRPr="00B422AF">
              <w:rPr>
                <w:rFonts w:hint="eastAsia"/>
                <w:sz w:val="23"/>
                <w:szCs w:val="23"/>
                <w:rtl/>
              </w:rPr>
              <w:t>יחידות</w:t>
            </w:r>
            <w:r w:rsidRPr="00B422AF">
              <w:rPr>
                <w:sz w:val="23"/>
                <w:szCs w:val="23"/>
                <w:rtl/>
              </w:rPr>
              <w:t xml:space="preserve"> </w:t>
            </w:r>
            <w:r w:rsidRPr="00B422AF">
              <w:rPr>
                <w:rFonts w:hint="eastAsia"/>
                <w:sz w:val="23"/>
                <w:szCs w:val="23"/>
                <w:rtl/>
              </w:rPr>
              <w:t>מבצעיות</w:t>
            </w:r>
            <w:r w:rsidRPr="00B422AF">
              <w:rPr>
                <w:sz w:val="23"/>
                <w:szCs w:val="23"/>
                <w:rtl/>
              </w:rPr>
              <w:t xml:space="preserve"> </w:t>
            </w:r>
            <w:r w:rsidR="00CA2237" w:rsidRPr="00B422AF">
              <w:rPr>
                <w:rFonts w:hint="cs"/>
                <w:sz w:val="23"/>
                <w:szCs w:val="23"/>
                <w:rtl/>
              </w:rPr>
              <w:t>ש</w:t>
            </w:r>
            <w:r w:rsidRPr="00B422AF">
              <w:rPr>
                <w:rFonts w:hint="eastAsia"/>
                <w:sz w:val="23"/>
                <w:szCs w:val="23"/>
                <w:rtl/>
              </w:rPr>
              <w:t>פעילות</w:t>
            </w:r>
            <w:r w:rsidRPr="00B422AF">
              <w:rPr>
                <w:sz w:val="23"/>
                <w:szCs w:val="23"/>
                <w:rtl/>
              </w:rPr>
              <w:t xml:space="preserve"> </w:t>
            </w:r>
            <w:r w:rsidRPr="00B422AF">
              <w:rPr>
                <w:rFonts w:hint="cs"/>
                <w:sz w:val="23"/>
                <w:szCs w:val="23"/>
                <w:rtl/>
              </w:rPr>
              <w:t>בתחומים אלה</w:t>
            </w:r>
            <w:r w:rsidR="003230AD" w:rsidRPr="00B422AF">
              <w:rPr>
                <w:rFonts w:hint="cs"/>
                <w:sz w:val="23"/>
                <w:szCs w:val="23"/>
                <w:rtl/>
              </w:rPr>
              <w:t>.</w:t>
            </w:r>
          </w:p>
        </w:tc>
      </w:tr>
      <w:tr w:rsidR="00625661" w:rsidTr="00B31768">
        <w:tc>
          <w:tcPr>
            <w:tcW w:w="2908" w:type="dxa"/>
          </w:tcPr>
          <w:p w:rsidR="00625661" w:rsidRPr="00B422AF" w:rsidRDefault="00625661" w:rsidP="00B422AF">
            <w:pPr>
              <w:spacing w:afterLines="40" w:after="96" w:line="269" w:lineRule="auto"/>
              <w:jc w:val="left"/>
              <w:rPr>
                <w:b/>
                <w:bCs/>
                <w:sz w:val="23"/>
                <w:szCs w:val="23"/>
                <w:rtl/>
              </w:rPr>
            </w:pPr>
            <w:r w:rsidRPr="00B422AF">
              <w:rPr>
                <w:rFonts w:hint="cs"/>
                <w:b/>
                <w:bCs/>
                <w:sz w:val="23"/>
                <w:szCs w:val="23"/>
                <w:rtl/>
              </w:rPr>
              <w:t>מטרה</w:t>
            </w:r>
          </w:p>
        </w:tc>
        <w:tc>
          <w:tcPr>
            <w:tcW w:w="5860" w:type="dxa"/>
          </w:tcPr>
          <w:p w:rsidR="00625661" w:rsidRPr="00B422AF" w:rsidRDefault="00625661" w:rsidP="00B422AF">
            <w:pPr>
              <w:spacing w:afterLines="40" w:after="96" w:line="269" w:lineRule="auto"/>
              <w:rPr>
                <w:sz w:val="23"/>
                <w:szCs w:val="23"/>
                <w:rtl/>
              </w:rPr>
            </w:pPr>
            <w:r w:rsidRPr="00B422AF">
              <w:rPr>
                <w:sz w:val="23"/>
                <w:szCs w:val="23"/>
                <w:rtl/>
              </w:rPr>
              <w:t>רישום של יעד האזנה שהמשטרה תתקין על מכשיר קצה שברשותו כלי טכנולוגי, וזיהויו מתבסס על נתון זיהוי חד-ערכי</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מסמך</w:t>
            </w:r>
            <w:r w:rsidRPr="00B422AF">
              <w:rPr>
                <w:b/>
                <w:bCs/>
                <w:sz w:val="23"/>
                <w:szCs w:val="23"/>
                <w:rtl/>
              </w:rPr>
              <w:t xml:space="preserve"> </w:t>
            </w:r>
            <w:r w:rsidRPr="00B422AF">
              <w:rPr>
                <w:rFonts w:hint="eastAsia"/>
                <w:b/>
                <w:bCs/>
                <w:sz w:val="23"/>
                <w:szCs w:val="23"/>
                <w:rtl/>
              </w:rPr>
              <w:t>א</w:t>
            </w:r>
            <w:r w:rsidRPr="00B422AF">
              <w:rPr>
                <w:b/>
                <w:bCs/>
                <w:sz w:val="23"/>
                <w:szCs w:val="23"/>
                <w:rtl/>
              </w:rPr>
              <w:t xml:space="preserve">', </w:t>
            </w:r>
            <w:r w:rsidRPr="00B422AF">
              <w:rPr>
                <w:rFonts w:hint="eastAsia"/>
                <w:b/>
                <w:bCs/>
                <w:sz w:val="23"/>
                <w:szCs w:val="23"/>
                <w:rtl/>
              </w:rPr>
              <w:t>מסמך</w:t>
            </w:r>
            <w:r w:rsidRPr="00B422AF">
              <w:rPr>
                <w:b/>
                <w:bCs/>
                <w:sz w:val="23"/>
                <w:szCs w:val="23"/>
                <w:rtl/>
              </w:rPr>
              <w:t xml:space="preserve"> </w:t>
            </w:r>
            <w:r w:rsidRPr="00B422AF">
              <w:rPr>
                <w:rFonts w:hint="eastAsia"/>
                <w:b/>
                <w:bCs/>
                <w:sz w:val="23"/>
                <w:szCs w:val="23"/>
                <w:rtl/>
              </w:rPr>
              <w:t>ב</w:t>
            </w:r>
            <w:r w:rsidRPr="00B422AF">
              <w:rPr>
                <w:b/>
                <w:bCs/>
                <w:sz w:val="23"/>
                <w:szCs w:val="23"/>
                <w:rtl/>
              </w:rPr>
              <w:t>'</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טפסים שהמשטרה מכינה לצורך היערכות לביצוע האזנת סתר, לרבות האזנת סתר לשמע והאזנת סתר לתקשורת בין מחשבים המצריכה התקנת כלים טכנולוגיים. </w:t>
            </w:r>
          </w:p>
        </w:tc>
      </w:tr>
      <w:tr w:rsidR="0044664A" w:rsidTr="00B31768">
        <w:tc>
          <w:tcPr>
            <w:tcW w:w="2908" w:type="dxa"/>
          </w:tcPr>
          <w:p w:rsidR="0044664A" w:rsidRPr="00B422AF" w:rsidRDefault="0044664A" w:rsidP="00B422AF">
            <w:pPr>
              <w:spacing w:afterLines="40" w:after="96" w:line="269" w:lineRule="auto"/>
              <w:jc w:val="left"/>
              <w:rPr>
                <w:b/>
                <w:bCs/>
                <w:sz w:val="23"/>
                <w:szCs w:val="23"/>
                <w:rtl/>
              </w:rPr>
            </w:pPr>
            <w:r w:rsidRPr="00B422AF">
              <w:rPr>
                <w:rFonts w:hint="eastAsia"/>
                <w:b/>
                <w:bCs/>
                <w:sz w:val="23"/>
                <w:szCs w:val="23"/>
                <w:rtl/>
              </w:rPr>
              <w:t>מתווה</w:t>
            </w:r>
            <w:r w:rsidRPr="00B422AF">
              <w:rPr>
                <w:b/>
                <w:bCs/>
                <w:sz w:val="23"/>
                <w:szCs w:val="23"/>
                <w:rtl/>
              </w:rPr>
              <w:t xml:space="preserve"> </w:t>
            </w:r>
            <w:r w:rsidR="00062A25" w:rsidRPr="00B422AF">
              <w:rPr>
                <w:rFonts w:hint="eastAsia"/>
                <w:b/>
                <w:bCs/>
                <w:sz w:val="23"/>
                <w:szCs w:val="23"/>
                <w:rtl/>
              </w:rPr>
              <w:t>התקנה</w:t>
            </w:r>
          </w:p>
        </w:tc>
        <w:tc>
          <w:tcPr>
            <w:tcW w:w="5860" w:type="dxa"/>
          </w:tcPr>
          <w:p w:rsidR="007E75AF" w:rsidRPr="00B422AF" w:rsidRDefault="0044664A" w:rsidP="00B422AF">
            <w:pPr>
              <w:tabs>
                <w:tab w:val="left" w:pos="1650"/>
              </w:tabs>
              <w:spacing w:afterLines="40" w:after="96" w:line="269" w:lineRule="auto"/>
              <w:rPr>
                <w:sz w:val="23"/>
                <w:szCs w:val="23"/>
                <w:rtl/>
              </w:rPr>
            </w:pPr>
            <w:r w:rsidRPr="00B422AF">
              <w:rPr>
                <w:sz w:val="23"/>
                <w:szCs w:val="23"/>
                <w:rtl/>
              </w:rPr>
              <w:t xml:space="preserve">הדרך הטכנית-טכנולוגית </w:t>
            </w:r>
            <w:r w:rsidR="007E75AF" w:rsidRPr="00B422AF">
              <w:rPr>
                <w:rFonts w:hint="cs"/>
                <w:sz w:val="23"/>
                <w:szCs w:val="23"/>
                <w:rtl/>
              </w:rPr>
              <w:t>המבוססת על שימוש בקוד מחשב המאפשרת</w:t>
            </w:r>
            <w:r w:rsidR="00732611" w:rsidRPr="00B422AF">
              <w:rPr>
                <w:sz w:val="23"/>
                <w:szCs w:val="23"/>
                <w:rtl/>
              </w:rPr>
              <w:t xml:space="preserve"> השתלטות מרחוק על מכשיר קצה </w:t>
            </w:r>
            <w:r w:rsidR="007E75AF" w:rsidRPr="00B422AF">
              <w:rPr>
                <w:rFonts w:hint="cs"/>
                <w:sz w:val="23"/>
                <w:szCs w:val="23"/>
                <w:rtl/>
              </w:rPr>
              <w:t xml:space="preserve">כלשהו </w:t>
            </w:r>
            <w:r w:rsidR="00732611" w:rsidRPr="00B422AF">
              <w:rPr>
                <w:sz w:val="23"/>
                <w:szCs w:val="23"/>
                <w:rtl/>
              </w:rPr>
              <w:t xml:space="preserve">או </w:t>
            </w:r>
            <w:r w:rsidR="007E75AF" w:rsidRPr="00B422AF">
              <w:rPr>
                <w:rFonts w:hint="cs"/>
                <w:sz w:val="23"/>
                <w:szCs w:val="23"/>
                <w:rtl/>
              </w:rPr>
              <w:t xml:space="preserve">ביצוע </w:t>
            </w:r>
            <w:r w:rsidR="008E0010" w:rsidRPr="00B422AF">
              <w:rPr>
                <w:rFonts w:hint="cs"/>
                <w:sz w:val="23"/>
                <w:szCs w:val="23"/>
                <w:rtl/>
              </w:rPr>
              <w:t xml:space="preserve">פעולה אחרת </w:t>
            </w:r>
            <w:r w:rsidR="007E75AF" w:rsidRPr="00B422AF">
              <w:rPr>
                <w:rFonts w:hint="cs"/>
                <w:sz w:val="23"/>
                <w:szCs w:val="23"/>
                <w:rtl/>
              </w:rPr>
              <w:t xml:space="preserve">על מכשיר כלשהו לצורך קבלת </w:t>
            </w:r>
            <w:r w:rsidR="0096640E" w:rsidRPr="00B422AF">
              <w:rPr>
                <w:rFonts w:hint="cs"/>
                <w:sz w:val="23"/>
                <w:szCs w:val="23"/>
                <w:rtl/>
              </w:rPr>
              <w:t>מידע</w:t>
            </w:r>
            <w:r w:rsidR="0049609C" w:rsidRPr="00B422AF">
              <w:rPr>
                <w:rFonts w:hint="cs"/>
                <w:sz w:val="23"/>
                <w:szCs w:val="23"/>
                <w:rtl/>
              </w:rPr>
              <w:t xml:space="preserve"> </w:t>
            </w:r>
            <w:r w:rsidR="007E75AF" w:rsidRPr="00B422AF">
              <w:rPr>
                <w:rFonts w:hint="cs"/>
                <w:sz w:val="23"/>
                <w:szCs w:val="23"/>
                <w:rtl/>
              </w:rPr>
              <w:t>שמקור</w:t>
            </w:r>
            <w:r w:rsidR="0096640E" w:rsidRPr="00B422AF">
              <w:rPr>
                <w:rFonts w:hint="cs"/>
                <w:sz w:val="23"/>
                <w:szCs w:val="23"/>
                <w:rtl/>
              </w:rPr>
              <w:t>ו</w:t>
            </w:r>
            <w:r w:rsidR="007E75AF" w:rsidRPr="00B422AF">
              <w:rPr>
                <w:rFonts w:hint="cs"/>
                <w:sz w:val="23"/>
                <w:szCs w:val="23"/>
                <w:rtl/>
              </w:rPr>
              <w:t xml:space="preserve"> במכשיר הקצה שהוא יעד ההאזנה.</w:t>
            </w:r>
            <w:r w:rsidR="00F26CA0" w:rsidRPr="00B422AF">
              <w:rPr>
                <w:rFonts w:hint="cs"/>
                <w:sz w:val="23"/>
                <w:szCs w:val="23"/>
                <w:rtl/>
              </w:rPr>
              <w:t xml:space="preserve"> פעולה זו מתבצעת באמצעות כלי טכנולוגי או באופן ידני.</w:t>
            </w:r>
            <w:r w:rsidR="00382AE8" w:rsidRPr="00B422AF">
              <w:rPr>
                <w:rFonts w:hint="cs"/>
                <w:sz w:val="23"/>
                <w:szCs w:val="23"/>
                <w:rtl/>
              </w:rPr>
              <w:t xml:space="preserve"> </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נימוקי</w:t>
            </w:r>
            <w:r w:rsidRPr="00B422AF">
              <w:rPr>
                <w:b/>
                <w:bCs/>
                <w:sz w:val="23"/>
                <w:szCs w:val="23"/>
                <w:rtl/>
              </w:rPr>
              <w:t xml:space="preserve"> </w:t>
            </w:r>
            <w:r w:rsidRPr="00B422AF">
              <w:rPr>
                <w:rFonts w:hint="eastAsia"/>
                <w:b/>
                <w:bCs/>
                <w:sz w:val="23"/>
                <w:szCs w:val="23"/>
                <w:rtl/>
              </w:rPr>
              <w:t>הבקשה</w:t>
            </w:r>
          </w:p>
        </w:tc>
        <w:tc>
          <w:tcPr>
            <w:tcW w:w="5860" w:type="dxa"/>
          </w:tcPr>
          <w:p w:rsidR="004236FD" w:rsidRPr="00B422AF" w:rsidRDefault="004236FD" w:rsidP="00B422AF">
            <w:pPr>
              <w:tabs>
                <w:tab w:val="left" w:pos="1650"/>
              </w:tabs>
              <w:spacing w:afterLines="40" w:after="96" w:line="269" w:lineRule="auto"/>
              <w:rPr>
                <w:sz w:val="23"/>
                <w:szCs w:val="23"/>
                <w:rtl/>
              </w:rPr>
            </w:pPr>
            <w:r w:rsidRPr="00B422AF">
              <w:rPr>
                <w:sz w:val="23"/>
                <w:szCs w:val="23"/>
                <w:rtl/>
              </w:rPr>
              <w:t xml:space="preserve">מסמך המצורף לטופס בקשה להאזנת סתר, והוא חלק בלתי נפרד ממנה, ובו מפורטת התשתית העובדתית </w:t>
            </w:r>
            <w:r w:rsidRPr="00B422AF">
              <w:rPr>
                <w:rFonts w:hint="cs"/>
                <w:sz w:val="23"/>
                <w:szCs w:val="23"/>
                <w:rtl/>
              </w:rPr>
              <w:t>ש</w:t>
            </w:r>
            <w:r w:rsidRPr="00B422AF">
              <w:rPr>
                <w:sz w:val="23"/>
                <w:szCs w:val="23"/>
                <w:rtl/>
              </w:rPr>
              <w:t xml:space="preserve">עליה מבוססת הבקשה וטעמי הבקשה וכן הנימוקים והשיקולים </w:t>
            </w:r>
            <w:r w:rsidRPr="00B422AF">
              <w:rPr>
                <w:rFonts w:hint="cs"/>
                <w:sz w:val="23"/>
                <w:szCs w:val="23"/>
                <w:rtl/>
              </w:rPr>
              <w:t>ש</w:t>
            </w:r>
            <w:r w:rsidRPr="00B422AF">
              <w:rPr>
                <w:sz w:val="23"/>
                <w:szCs w:val="23"/>
                <w:rtl/>
              </w:rPr>
              <w:t>נדרש לשקול לבחינ</w:t>
            </w:r>
            <w:r w:rsidRPr="00B422AF">
              <w:rPr>
                <w:rFonts w:hint="cs"/>
                <w:sz w:val="23"/>
                <w:szCs w:val="23"/>
                <w:rtl/>
              </w:rPr>
              <w:t>ת</w:t>
            </w:r>
            <w:r w:rsidRPr="00B422AF">
              <w:rPr>
                <w:sz w:val="23"/>
                <w:szCs w:val="23"/>
                <w:rtl/>
              </w:rPr>
              <w:t xml:space="preserve"> הצורך בביצוע ההאזנה מול הפגיעה הצפויה ביעד ההאזנה וסביבתו. מסמך זה מצורף לבקשה המוגשת במעמד צד אחד, ולאחר הגשת כתב אישום נבחנת הטלת חיסיון </w:t>
            </w:r>
            <w:r w:rsidRPr="00B422AF">
              <w:rPr>
                <w:rFonts w:hint="cs"/>
                <w:sz w:val="23"/>
                <w:szCs w:val="23"/>
                <w:rtl/>
              </w:rPr>
              <w:t>על</w:t>
            </w:r>
            <w:r w:rsidRPr="00B422AF">
              <w:rPr>
                <w:sz w:val="23"/>
                <w:szCs w:val="23"/>
                <w:rtl/>
              </w:rPr>
              <w:t xml:space="preserve"> כולו או</w:t>
            </w:r>
            <w:r w:rsidRPr="00B422AF">
              <w:rPr>
                <w:rFonts w:hint="cs"/>
                <w:sz w:val="23"/>
                <w:szCs w:val="23"/>
                <w:rtl/>
              </w:rPr>
              <w:t xml:space="preserve"> על</w:t>
            </w:r>
            <w:r w:rsidRPr="00B422AF">
              <w:rPr>
                <w:sz w:val="23"/>
                <w:szCs w:val="23"/>
                <w:rtl/>
              </w:rPr>
              <w:t xml:space="preserve"> חלקו</w:t>
            </w:r>
            <w:r w:rsidRPr="00B422AF">
              <w:rPr>
                <w:rStyle w:val="af"/>
                <w:sz w:val="23"/>
                <w:szCs w:val="23"/>
                <w:rtl/>
              </w:rPr>
              <w:footnoteReference w:id="1"/>
            </w:r>
            <w:r w:rsidRPr="00B422AF">
              <w:rPr>
                <w:rFonts w:hint="cs"/>
                <w:sz w:val="23"/>
                <w:szCs w:val="23"/>
                <w:rtl/>
              </w:rPr>
              <w:t xml:space="preserve">. </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נתוני</w:t>
            </w:r>
            <w:r w:rsidRPr="00B422AF">
              <w:rPr>
                <w:b/>
                <w:bCs/>
                <w:sz w:val="23"/>
                <w:szCs w:val="23"/>
                <w:rtl/>
              </w:rPr>
              <w:t xml:space="preserve"> </w:t>
            </w:r>
            <w:r w:rsidRPr="00B422AF">
              <w:rPr>
                <w:rFonts w:hint="eastAsia"/>
                <w:b/>
                <w:bCs/>
                <w:sz w:val="23"/>
                <w:szCs w:val="23"/>
                <w:rtl/>
              </w:rPr>
              <w:t>מיקום</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קבוצת נתוני התקשורת שכוללת </w:t>
            </w:r>
            <w:r w:rsidRPr="00B422AF">
              <w:rPr>
                <w:sz w:val="23"/>
                <w:szCs w:val="23"/>
                <w:rtl/>
              </w:rPr>
              <w:t>את נתוני האיכון של מכשיר הקצה</w:t>
            </w:r>
            <w:r w:rsidRPr="00B422AF">
              <w:rPr>
                <w:rFonts w:hint="cs"/>
                <w:sz w:val="23"/>
                <w:szCs w:val="23"/>
                <w:rtl/>
              </w:rPr>
              <w:t xml:space="preserve">. </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נתוני</w:t>
            </w:r>
            <w:r w:rsidRPr="00B422AF">
              <w:rPr>
                <w:b/>
                <w:bCs/>
                <w:sz w:val="23"/>
                <w:szCs w:val="23"/>
                <w:rtl/>
              </w:rPr>
              <w:t xml:space="preserve"> </w:t>
            </w:r>
            <w:r w:rsidRPr="00B422AF">
              <w:rPr>
                <w:rFonts w:hint="eastAsia"/>
                <w:b/>
                <w:bCs/>
                <w:sz w:val="23"/>
                <w:szCs w:val="23"/>
                <w:rtl/>
              </w:rPr>
              <w:t>מנוי</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קבוצת נתוני התקשורת שכוללת </w:t>
            </w:r>
            <w:r w:rsidRPr="00B422AF">
              <w:rPr>
                <w:sz w:val="23"/>
                <w:szCs w:val="23"/>
                <w:rtl/>
              </w:rPr>
              <w:t>פרטים מזהים של המנוי, כגון שם, כתובת ומספר הזיהוי של המנוי; פרטי אמצעי התשלום של המנוי; נתונים מזהים של המכשיר הנמצא בידי המנוי</w:t>
            </w:r>
            <w:r w:rsidR="0021269D" w:rsidRPr="00B422AF">
              <w:rPr>
                <w:rFonts w:hint="cs"/>
                <w:sz w:val="23"/>
                <w:szCs w:val="23"/>
                <w:rtl/>
              </w:rPr>
              <w:t xml:space="preserve"> </w:t>
            </w:r>
            <w:r w:rsidRPr="00B422AF">
              <w:rPr>
                <w:sz w:val="23"/>
                <w:szCs w:val="23"/>
                <w:rtl/>
              </w:rPr>
              <w:t xml:space="preserve">כגון מספר הטלפון של המנוי; סוג שירות </w:t>
            </w:r>
            <w:r w:rsidR="009B3A19" w:rsidRPr="00B422AF">
              <w:rPr>
                <w:rFonts w:hint="cs"/>
                <w:sz w:val="23"/>
                <w:szCs w:val="23"/>
                <w:rtl/>
              </w:rPr>
              <w:t xml:space="preserve">התקשורת </w:t>
            </w:r>
            <w:r w:rsidRPr="00B422AF">
              <w:rPr>
                <w:sz w:val="23"/>
                <w:szCs w:val="23"/>
                <w:rtl/>
              </w:rPr>
              <w:t xml:space="preserve">הניתן למנוי; הכתובת שבה הותקן אצל המנוי </w:t>
            </w:r>
            <w:r w:rsidR="009B3A19" w:rsidRPr="00B422AF">
              <w:rPr>
                <w:rFonts w:hint="cs"/>
                <w:sz w:val="23"/>
                <w:szCs w:val="23"/>
                <w:rtl/>
              </w:rPr>
              <w:t>ה</w:t>
            </w:r>
            <w:r w:rsidRPr="00B422AF">
              <w:rPr>
                <w:sz w:val="23"/>
                <w:szCs w:val="23"/>
                <w:rtl/>
              </w:rPr>
              <w:t>שירות.</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נתוני</w:t>
            </w:r>
            <w:r w:rsidRPr="00B422AF">
              <w:rPr>
                <w:b/>
                <w:bCs/>
                <w:sz w:val="23"/>
                <w:szCs w:val="23"/>
                <w:rtl/>
              </w:rPr>
              <w:t xml:space="preserve"> </w:t>
            </w:r>
            <w:r w:rsidRPr="00B422AF">
              <w:rPr>
                <w:rFonts w:hint="eastAsia"/>
                <w:b/>
                <w:bCs/>
                <w:sz w:val="23"/>
                <w:szCs w:val="23"/>
                <w:rtl/>
              </w:rPr>
              <w:t>תקשורת</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נתוני תקשורת הם מטא-דאטה של אמצעי התקשורת והשימוש בו. נתוני התקשורת שאותם רשאית המשטרה לקבל מחברות התקשורת נחלקים לשלוש קבוצות: נתוני מנוי, נתוני תעבורה ונתוני מיקום. נתוני התקשורת אינם כוללים את תוכני השיחות או ההודעות של המנוי.</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נתוני</w:t>
            </w:r>
            <w:r w:rsidRPr="00B422AF">
              <w:rPr>
                <w:b/>
                <w:bCs/>
                <w:sz w:val="23"/>
                <w:szCs w:val="23"/>
                <w:rtl/>
              </w:rPr>
              <w:t xml:space="preserve"> </w:t>
            </w:r>
            <w:r w:rsidRPr="00B422AF">
              <w:rPr>
                <w:rFonts w:hint="eastAsia"/>
                <w:b/>
                <w:bCs/>
                <w:sz w:val="23"/>
                <w:szCs w:val="23"/>
                <w:rtl/>
              </w:rPr>
              <w:t>תעבורה</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קבוצת נתוני התקשורת שכוללת את </w:t>
            </w:r>
            <w:r w:rsidRPr="00B422AF">
              <w:rPr>
                <w:sz w:val="23"/>
                <w:szCs w:val="23"/>
                <w:rtl/>
              </w:rPr>
              <w:t>סוג המידע המועבר בין מכשיר המנוי בין חברת התקשורת; נתונים מזהים על המכשיר המשמש להעברתו או לקבלתו של המידע או שדרכו מועבר המידע; נתונים מזהים של המנוי שהוא המקור או היעד של המידע המועבר; מועד השידור או הקבלה של המידע המועבר; משכו, נפחו והיקפו של המידע המועבר.</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סיגינט</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מודיעין אותות, נגזר מראשי התיבות </w:t>
            </w:r>
            <w:r w:rsidRPr="00B422AF">
              <w:rPr>
                <w:sz w:val="23"/>
                <w:szCs w:val="23"/>
              </w:rPr>
              <w:t xml:space="preserve">(SIGINT - </w:t>
            </w:r>
            <w:r w:rsidRPr="00B422AF">
              <w:rPr>
                <w:b/>
                <w:bCs/>
                <w:sz w:val="23"/>
                <w:szCs w:val="23"/>
              </w:rPr>
              <w:t>Sig</w:t>
            </w:r>
            <w:r w:rsidRPr="00B422AF">
              <w:rPr>
                <w:sz w:val="23"/>
                <w:szCs w:val="23"/>
              </w:rPr>
              <w:t xml:space="preserve">nals </w:t>
            </w:r>
            <w:r w:rsidRPr="00B422AF">
              <w:rPr>
                <w:b/>
                <w:bCs/>
                <w:sz w:val="23"/>
                <w:szCs w:val="23"/>
              </w:rPr>
              <w:t>Int</w:t>
            </w:r>
            <w:r w:rsidRPr="00B422AF">
              <w:rPr>
                <w:sz w:val="23"/>
                <w:szCs w:val="23"/>
              </w:rPr>
              <w:t>elligence)</w:t>
            </w:r>
            <w:r w:rsidRPr="00B422AF">
              <w:rPr>
                <w:rFonts w:hint="cs"/>
                <w:sz w:val="23"/>
                <w:szCs w:val="23"/>
                <w:rtl/>
              </w:rPr>
              <w:t xml:space="preserve"> הוא ענף של מודיעין העוסק באיסוף מידע על ידי יירוט תשדורות של אותות אלקטרוניים והפקת מידע מודיעיני מתוכן.</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b/>
                <w:bCs/>
                <w:sz w:val="23"/>
                <w:szCs w:val="23"/>
                <w:rtl/>
              </w:rPr>
              <w:t>עבירת פשע</w:t>
            </w:r>
          </w:p>
        </w:tc>
        <w:tc>
          <w:tcPr>
            <w:tcW w:w="5860" w:type="dxa"/>
          </w:tcPr>
          <w:p w:rsidR="004236FD" w:rsidRPr="00B422AF" w:rsidRDefault="004236FD" w:rsidP="00B422AF">
            <w:pPr>
              <w:spacing w:afterLines="40" w:after="96" w:line="269" w:lineRule="auto"/>
              <w:rPr>
                <w:sz w:val="23"/>
                <w:szCs w:val="23"/>
                <w:rtl/>
              </w:rPr>
            </w:pPr>
            <w:r w:rsidRPr="00B422AF">
              <w:rPr>
                <w:sz w:val="23"/>
                <w:szCs w:val="23"/>
                <w:rtl/>
              </w:rPr>
              <w:t>עבירה שנקבע כי העונש המרבי שיוטל על מבצעיה חמור ממאסר של שלוש שנים.</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צו</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הוראה שמוציאה הרשות השופטת בדבר סמכות של רשות מינהלית לבצע פעולה.</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צו</w:t>
            </w:r>
            <w:r w:rsidRPr="00B422AF">
              <w:rPr>
                <w:b/>
                <w:bCs/>
                <w:sz w:val="23"/>
                <w:szCs w:val="23"/>
                <w:rtl/>
              </w:rPr>
              <w:t xml:space="preserve"> </w:t>
            </w:r>
            <w:r w:rsidRPr="00B422AF">
              <w:rPr>
                <w:rFonts w:hint="eastAsia"/>
                <w:b/>
                <w:bCs/>
                <w:sz w:val="23"/>
                <w:szCs w:val="23"/>
                <w:rtl/>
              </w:rPr>
              <w:t>האזנה</w:t>
            </w:r>
            <w:r w:rsidRPr="00B422AF">
              <w:rPr>
                <w:b/>
                <w:bCs/>
                <w:sz w:val="23"/>
                <w:szCs w:val="23"/>
                <w:rtl/>
              </w:rPr>
              <w:t xml:space="preserve"> </w:t>
            </w:r>
            <w:r w:rsidRPr="00B422AF">
              <w:rPr>
                <w:rFonts w:hint="eastAsia"/>
                <w:b/>
                <w:bCs/>
                <w:sz w:val="23"/>
                <w:szCs w:val="23"/>
                <w:rtl/>
              </w:rPr>
              <w:t>לשמע</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צו האזנת סתר המאפשר קליטה והעתקה של שיחות המתבצעות, בין היתר, באמצעות מכשיר (כגון, טלפון קווי או טלפון סלולרי)</w:t>
            </w:r>
            <w:r w:rsidR="00E50A30" w:rsidRPr="00B422AF">
              <w:rPr>
                <w:rFonts w:hint="cs"/>
                <w:sz w:val="23"/>
                <w:szCs w:val="23"/>
                <w:rtl/>
              </w:rPr>
              <w:t>.</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צו</w:t>
            </w:r>
            <w:r w:rsidRPr="00B422AF">
              <w:rPr>
                <w:b/>
                <w:bCs/>
                <w:sz w:val="23"/>
                <w:szCs w:val="23"/>
                <w:rtl/>
              </w:rPr>
              <w:t xml:space="preserve"> </w:t>
            </w:r>
            <w:r w:rsidRPr="00B422AF">
              <w:rPr>
                <w:rFonts w:hint="eastAsia"/>
                <w:b/>
                <w:bCs/>
                <w:sz w:val="23"/>
                <w:szCs w:val="23"/>
                <w:rtl/>
              </w:rPr>
              <w:t>האזנה</w:t>
            </w:r>
            <w:r w:rsidRPr="00B422AF">
              <w:rPr>
                <w:b/>
                <w:bCs/>
                <w:sz w:val="23"/>
                <w:szCs w:val="23"/>
                <w:rtl/>
              </w:rPr>
              <w:t xml:space="preserve"> </w:t>
            </w:r>
            <w:r w:rsidRPr="00B422AF">
              <w:rPr>
                <w:rFonts w:hint="eastAsia"/>
                <w:b/>
                <w:bCs/>
                <w:sz w:val="23"/>
                <w:szCs w:val="23"/>
                <w:rtl/>
              </w:rPr>
              <w:t>לתקשורת</w:t>
            </w:r>
            <w:r w:rsidRPr="00B422AF">
              <w:rPr>
                <w:b/>
                <w:bCs/>
                <w:sz w:val="23"/>
                <w:szCs w:val="23"/>
                <w:rtl/>
              </w:rPr>
              <w:t xml:space="preserve"> </w:t>
            </w:r>
            <w:r w:rsidRPr="00B422AF">
              <w:rPr>
                <w:rFonts w:hint="eastAsia"/>
                <w:b/>
                <w:bCs/>
                <w:sz w:val="23"/>
                <w:szCs w:val="23"/>
                <w:rtl/>
              </w:rPr>
              <w:t>בין</w:t>
            </w:r>
            <w:r w:rsidRPr="00B422AF">
              <w:rPr>
                <w:b/>
                <w:bCs/>
                <w:sz w:val="23"/>
                <w:szCs w:val="23"/>
                <w:rtl/>
              </w:rPr>
              <w:t xml:space="preserve"> </w:t>
            </w:r>
            <w:r w:rsidRPr="00B422AF">
              <w:rPr>
                <w:rFonts w:hint="eastAsia"/>
                <w:b/>
                <w:bCs/>
                <w:sz w:val="23"/>
                <w:szCs w:val="23"/>
                <w:rtl/>
              </w:rPr>
              <w:t>מחשבים</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צו האזנת סתר המאפשר קליטה והעתקה של מכלול המידע העובר בתקשורת בין מחשבים, לרבות שיחות, הודעות, וכיו"ב. </w:t>
            </w:r>
            <w:r w:rsidRPr="00B422AF">
              <w:rPr>
                <w:sz w:val="23"/>
                <w:szCs w:val="23"/>
                <w:rtl/>
              </w:rPr>
              <w:t xml:space="preserve">היקף </w:t>
            </w:r>
            <w:r w:rsidRPr="00B422AF">
              <w:rPr>
                <w:rFonts w:hint="cs"/>
                <w:sz w:val="23"/>
                <w:szCs w:val="23"/>
                <w:rtl/>
              </w:rPr>
              <w:t>וסוג המידע העובר בתקשורת בין מחשבים</w:t>
            </w:r>
            <w:r w:rsidRPr="00B422AF">
              <w:rPr>
                <w:sz w:val="23"/>
                <w:szCs w:val="23"/>
                <w:rtl/>
              </w:rPr>
              <w:t xml:space="preserve"> עשוי להשתנות במידה ניכרת בהתאם לאורחות חייו הדיגיטליים של </w:t>
            </w:r>
            <w:r w:rsidRPr="00B422AF">
              <w:rPr>
                <w:rFonts w:hint="cs"/>
                <w:sz w:val="23"/>
                <w:szCs w:val="23"/>
                <w:rtl/>
              </w:rPr>
              <w:t xml:space="preserve">יעד ההאזנה. </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צו</w:t>
            </w:r>
            <w:r w:rsidRPr="00B422AF">
              <w:rPr>
                <w:b/>
                <w:bCs/>
                <w:sz w:val="23"/>
                <w:szCs w:val="23"/>
                <w:rtl/>
              </w:rPr>
              <w:t xml:space="preserve"> </w:t>
            </w:r>
            <w:r w:rsidRPr="00B422AF">
              <w:rPr>
                <w:rFonts w:hint="eastAsia"/>
                <w:b/>
                <w:bCs/>
                <w:sz w:val="23"/>
                <w:szCs w:val="23"/>
                <w:rtl/>
              </w:rPr>
              <w:t>חריג</w:t>
            </w:r>
            <w:r w:rsidRPr="00B422AF">
              <w:rPr>
                <w:b/>
                <w:bCs/>
                <w:sz w:val="23"/>
                <w:szCs w:val="23"/>
                <w:rtl/>
              </w:rPr>
              <w:t xml:space="preserve"> </w:t>
            </w:r>
            <w:r w:rsidRPr="00B422AF">
              <w:rPr>
                <w:rFonts w:hint="eastAsia"/>
                <w:b/>
                <w:bCs/>
                <w:sz w:val="23"/>
                <w:szCs w:val="23"/>
                <w:rtl/>
              </w:rPr>
              <w:t>א</w:t>
            </w:r>
            <w:r w:rsidRPr="00B422AF">
              <w:rPr>
                <w:b/>
                <w:bCs/>
                <w:sz w:val="23"/>
                <w:szCs w:val="23"/>
                <w:rtl/>
              </w:rPr>
              <w:t>'</w:t>
            </w:r>
          </w:p>
        </w:tc>
        <w:tc>
          <w:tcPr>
            <w:tcW w:w="5860" w:type="dxa"/>
          </w:tcPr>
          <w:p w:rsidR="004236FD" w:rsidRPr="00B422AF" w:rsidRDefault="004236FD" w:rsidP="00B422AF">
            <w:pPr>
              <w:spacing w:afterLines="40" w:after="96" w:line="269" w:lineRule="auto"/>
              <w:rPr>
                <w:sz w:val="23"/>
                <w:szCs w:val="23"/>
                <w:rtl/>
              </w:rPr>
            </w:pPr>
            <w:r w:rsidRPr="00B422AF">
              <w:rPr>
                <w:rFonts w:hint="eastAsia"/>
                <w:sz w:val="23"/>
                <w:szCs w:val="23"/>
                <w:rtl/>
              </w:rPr>
              <w:t>צו</w:t>
            </w:r>
            <w:r w:rsidRPr="00B422AF">
              <w:rPr>
                <w:sz w:val="23"/>
                <w:szCs w:val="23"/>
                <w:rtl/>
              </w:rPr>
              <w:t xml:space="preserve"> </w:t>
            </w:r>
            <w:r w:rsidRPr="00B422AF">
              <w:rPr>
                <w:rFonts w:hint="eastAsia"/>
                <w:sz w:val="23"/>
                <w:szCs w:val="23"/>
                <w:rtl/>
              </w:rPr>
              <w:t>האזנת</w:t>
            </w:r>
            <w:r w:rsidRPr="00B422AF">
              <w:rPr>
                <w:sz w:val="23"/>
                <w:szCs w:val="23"/>
                <w:rtl/>
              </w:rPr>
              <w:t xml:space="preserve"> </w:t>
            </w:r>
            <w:r w:rsidRPr="00B422AF">
              <w:rPr>
                <w:rFonts w:hint="eastAsia"/>
                <w:sz w:val="23"/>
                <w:szCs w:val="23"/>
                <w:rtl/>
              </w:rPr>
              <w:t>סתר</w:t>
            </w:r>
            <w:r w:rsidRPr="00B422AF">
              <w:rPr>
                <w:sz w:val="23"/>
                <w:szCs w:val="23"/>
                <w:rtl/>
              </w:rPr>
              <w:t xml:space="preserve"> </w:t>
            </w:r>
            <w:r w:rsidRPr="00B422AF">
              <w:rPr>
                <w:rFonts w:hint="eastAsia"/>
                <w:sz w:val="23"/>
                <w:szCs w:val="23"/>
                <w:rtl/>
              </w:rPr>
              <w:t>שאינו</w:t>
            </w:r>
            <w:r w:rsidRPr="00B422AF">
              <w:rPr>
                <w:sz w:val="23"/>
                <w:szCs w:val="23"/>
                <w:rtl/>
              </w:rPr>
              <w:t xml:space="preserve"> </w:t>
            </w:r>
            <w:r w:rsidRPr="00B422AF">
              <w:rPr>
                <w:rFonts w:hint="eastAsia"/>
                <w:sz w:val="23"/>
                <w:szCs w:val="23"/>
                <w:rtl/>
              </w:rPr>
              <w:t>מוגבל</w:t>
            </w:r>
            <w:r w:rsidRPr="00B422AF">
              <w:rPr>
                <w:sz w:val="23"/>
                <w:szCs w:val="23"/>
                <w:rtl/>
              </w:rPr>
              <w:t xml:space="preserve"> </w:t>
            </w:r>
            <w:r w:rsidRPr="00B422AF">
              <w:rPr>
                <w:rFonts w:hint="eastAsia"/>
                <w:sz w:val="23"/>
                <w:szCs w:val="23"/>
                <w:rtl/>
              </w:rPr>
              <w:t>רק</w:t>
            </w:r>
            <w:r w:rsidRPr="00B422AF">
              <w:rPr>
                <w:sz w:val="23"/>
                <w:szCs w:val="23"/>
                <w:rtl/>
              </w:rPr>
              <w:t xml:space="preserve"> </w:t>
            </w:r>
            <w:r w:rsidRPr="00B422AF">
              <w:rPr>
                <w:rFonts w:hint="eastAsia"/>
                <w:sz w:val="23"/>
                <w:szCs w:val="23"/>
                <w:rtl/>
              </w:rPr>
              <w:t>למספר</w:t>
            </w:r>
            <w:r w:rsidRPr="00B422AF">
              <w:rPr>
                <w:sz w:val="23"/>
                <w:szCs w:val="23"/>
                <w:rtl/>
              </w:rPr>
              <w:t xml:space="preserve"> </w:t>
            </w:r>
            <w:r w:rsidRPr="00B422AF">
              <w:rPr>
                <w:rFonts w:hint="eastAsia"/>
                <w:sz w:val="23"/>
                <w:szCs w:val="23"/>
                <w:rtl/>
              </w:rPr>
              <w:t>הטלפון</w:t>
            </w:r>
            <w:r w:rsidRPr="00B422AF">
              <w:rPr>
                <w:sz w:val="23"/>
                <w:szCs w:val="23"/>
                <w:rtl/>
              </w:rPr>
              <w:t xml:space="preserve"> </w:t>
            </w:r>
            <w:r w:rsidRPr="00B422AF">
              <w:rPr>
                <w:rFonts w:hint="eastAsia"/>
                <w:sz w:val="23"/>
                <w:szCs w:val="23"/>
                <w:rtl/>
              </w:rPr>
              <w:t>המסוים</w:t>
            </w:r>
            <w:r w:rsidRPr="00B422AF">
              <w:rPr>
                <w:sz w:val="23"/>
                <w:szCs w:val="23"/>
                <w:rtl/>
              </w:rPr>
              <w:t xml:space="preserve"> </w:t>
            </w:r>
            <w:r w:rsidRPr="00B422AF">
              <w:rPr>
                <w:rFonts w:hint="eastAsia"/>
                <w:sz w:val="23"/>
                <w:szCs w:val="23"/>
                <w:rtl/>
              </w:rPr>
              <w:t>שצוין</w:t>
            </w:r>
            <w:r w:rsidRPr="00B422AF">
              <w:rPr>
                <w:sz w:val="23"/>
                <w:szCs w:val="23"/>
                <w:rtl/>
              </w:rPr>
              <w:t xml:space="preserve"> </w:t>
            </w:r>
            <w:r w:rsidRPr="00B422AF">
              <w:rPr>
                <w:rFonts w:hint="eastAsia"/>
                <w:sz w:val="23"/>
                <w:szCs w:val="23"/>
                <w:rtl/>
              </w:rPr>
              <w:t>בבקשה</w:t>
            </w:r>
            <w:r w:rsidRPr="00B422AF">
              <w:rPr>
                <w:sz w:val="23"/>
                <w:szCs w:val="23"/>
                <w:rtl/>
              </w:rPr>
              <w:t xml:space="preserve"> </w:t>
            </w:r>
            <w:r w:rsidRPr="00B422AF">
              <w:rPr>
                <w:rFonts w:hint="eastAsia"/>
                <w:sz w:val="23"/>
                <w:szCs w:val="23"/>
                <w:rtl/>
              </w:rPr>
              <w:t>להיתר</w:t>
            </w:r>
            <w:r w:rsidRPr="00B422AF">
              <w:rPr>
                <w:sz w:val="23"/>
                <w:szCs w:val="23"/>
                <w:rtl/>
              </w:rPr>
              <w:t>.</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צו</w:t>
            </w:r>
            <w:r w:rsidRPr="00B422AF">
              <w:rPr>
                <w:b/>
                <w:bCs/>
                <w:sz w:val="23"/>
                <w:szCs w:val="23"/>
                <w:rtl/>
              </w:rPr>
              <w:t xml:space="preserve"> </w:t>
            </w:r>
            <w:r w:rsidRPr="00B422AF">
              <w:rPr>
                <w:rFonts w:hint="eastAsia"/>
                <w:b/>
                <w:bCs/>
                <w:sz w:val="23"/>
                <w:szCs w:val="23"/>
                <w:rtl/>
              </w:rPr>
              <w:t>חריג</w:t>
            </w:r>
            <w:r w:rsidRPr="00B422AF">
              <w:rPr>
                <w:b/>
                <w:bCs/>
                <w:sz w:val="23"/>
                <w:szCs w:val="23"/>
                <w:rtl/>
              </w:rPr>
              <w:t xml:space="preserve"> </w:t>
            </w:r>
            <w:r w:rsidRPr="00B422AF">
              <w:rPr>
                <w:rFonts w:hint="eastAsia"/>
                <w:b/>
                <w:bCs/>
                <w:sz w:val="23"/>
                <w:szCs w:val="23"/>
                <w:rtl/>
              </w:rPr>
              <w:t>ב</w:t>
            </w:r>
            <w:r w:rsidRPr="00B422AF">
              <w:rPr>
                <w:b/>
                <w:bCs/>
                <w:sz w:val="23"/>
                <w:szCs w:val="23"/>
                <w:rtl/>
              </w:rPr>
              <w:t>'</w:t>
            </w:r>
          </w:p>
        </w:tc>
        <w:tc>
          <w:tcPr>
            <w:tcW w:w="5860" w:type="dxa"/>
          </w:tcPr>
          <w:p w:rsidR="004236FD" w:rsidRPr="00B422AF" w:rsidRDefault="004236FD" w:rsidP="00B422AF">
            <w:pPr>
              <w:spacing w:afterLines="40" w:after="96" w:line="269" w:lineRule="auto"/>
              <w:rPr>
                <w:sz w:val="23"/>
                <w:szCs w:val="23"/>
                <w:rtl/>
              </w:rPr>
            </w:pPr>
            <w:r w:rsidRPr="00B422AF">
              <w:rPr>
                <w:rFonts w:hint="eastAsia"/>
                <w:sz w:val="23"/>
                <w:szCs w:val="23"/>
                <w:rtl/>
              </w:rPr>
              <w:t>צו</w:t>
            </w:r>
            <w:r w:rsidRPr="00B422AF">
              <w:rPr>
                <w:sz w:val="23"/>
                <w:szCs w:val="23"/>
                <w:rtl/>
              </w:rPr>
              <w:t xml:space="preserve"> </w:t>
            </w:r>
            <w:r w:rsidRPr="00B422AF">
              <w:rPr>
                <w:rFonts w:hint="eastAsia"/>
                <w:sz w:val="23"/>
                <w:szCs w:val="23"/>
                <w:rtl/>
              </w:rPr>
              <w:t>האזנת</w:t>
            </w:r>
            <w:r w:rsidRPr="00B422AF">
              <w:rPr>
                <w:sz w:val="23"/>
                <w:szCs w:val="23"/>
                <w:rtl/>
              </w:rPr>
              <w:t xml:space="preserve"> </w:t>
            </w:r>
            <w:r w:rsidRPr="00B422AF">
              <w:rPr>
                <w:rFonts w:hint="eastAsia"/>
                <w:sz w:val="23"/>
                <w:szCs w:val="23"/>
                <w:rtl/>
              </w:rPr>
              <w:t>סתר</w:t>
            </w:r>
            <w:r w:rsidRPr="00B422AF">
              <w:rPr>
                <w:sz w:val="23"/>
                <w:szCs w:val="23"/>
                <w:rtl/>
              </w:rPr>
              <w:t xml:space="preserve"> </w:t>
            </w:r>
            <w:r w:rsidRPr="00B422AF">
              <w:rPr>
                <w:rFonts w:hint="eastAsia"/>
                <w:sz w:val="23"/>
                <w:szCs w:val="23"/>
                <w:rtl/>
              </w:rPr>
              <w:t>נרחב</w:t>
            </w:r>
            <w:r w:rsidRPr="00B422AF">
              <w:rPr>
                <w:sz w:val="23"/>
                <w:szCs w:val="23"/>
                <w:rtl/>
              </w:rPr>
              <w:t xml:space="preserve"> </w:t>
            </w:r>
            <w:r w:rsidRPr="00B422AF">
              <w:rPr>
                <w:rFonts w:hint="eastAsia"/>
                <w:sz w:val="23"/>
                <w:szCs w:val="23"/>
                <w:rtl/>
              </w:rPr>
              <w:t>ש</w:t>
            </w:r>
            <w:r w:rsidRPr="00B422AF">
              <w:rPr>
                <w:sz w:val="23"/>
                <w:szCs w:val="23"/>
                <w:rtl/>
              </w:rPr>
              <w:t xml:space="preserve">כולל הקלות נוספות, לרבות </w:t>
            </w:r>
            <w:r w:rsidRPr="00B422AF">
              <w:rPr>
                <w:rFonts w:hint="eastAsia"/>
                <w:sz w:val="23"/>
                <w:szCs w:val="23"/>
                <w:rtl/>
              </w:rPr>
              <w:t>האפשרות</w:t>
            </w:r>
            <w:r w:rsidRPr="00B422AF">
              <w:rPr>
                <w:sz w:val="23"/>
                <w:szCs w:val="23"/>
                <w:rtl/>
              </w:rPr>
              <w:t xml:space="preserve"> להוספת יעדים </w:t>
            </w:r>
            <w:r w:rsidRPr="00B422AF">
              <w:rPr>
                <w:rFonts w:hint="eastAsia"/>
                <w:sz w:val="23"/>
                <w:szCs w:val="23"/>
                <w:rtl/>
              </w:rPr>
              <w:t>נוספים</w:t>
            </w:r>
            <w:r w:rsidRPr="00B422AF">
              <w:rPr>
                <w:sz w:val="23"/>
                <w:szCs w:val="23"/>
                <w:rtl/>
              </w:rPr>
              <w:t xml:space="preserve"> להאזנה אם יעלה כי הם מעורבים באותה פרשייה הנחקרת וכי הם אינם ידועים בשלב זה.</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צס</w:t>
            </w:r>
            <w:r w:rsidRPr="00B422AF">
              <w:rPr>
                <w:b/>
                <w:bCs/>
                <w:sz w:val="23"/>
                <w:szCs w:val="23"/>
                <w:rtl/>
              </w:rPr>
              <w:t>"ם</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צוות סיגינטי משולב - אגד של שוטרים העוסקים בתחומי הסיגינט והסייבר השונים </w:t>
            </w:r>
            <w:r w:rsidRPr="00B422AF">
              <w:rPr>
                <w:sz w:val="23"/>
                <w:szCs w:val="23"/>
                <w:rtl/>
              </w:rPr>
              <w:t>לטובת איסוף, ניתוח ועיבוד מעמיק של נתונים ותכנים מורכבים, לשם גילוי וסיכול פשיעה חמורה</w:t>
            </w:r>
            <w:r w:rsidRPr="00B422AF">
              <w:rPr>
                <w:rFonts w:hint="cs"/>
                <w:sz w:val="23"/>
                <w:szCs w:val="23"/>
                <w:rtl/>
              </w:rPr>
              <w:t>. בחטיבת הסייבר יש צס"ם ארצי האחראי להפקת תוצרים שמקורם בכלים טכנולוגיים מסוימים (להלן - צס"ם ארצי). כמו כן, בכל מחוז יש צס"ם מחוזי הכפוף מהבחינה הפיקודית לימ"ר המחוזי.</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כלי</w:t>
            </w:r>
            <w:r w:rsidRPr="00B422AF">
              <w:rPr>
                <w:b/>
                <w:bCs/>
                <w:sz w:val="23"/>
                <w:szCs w:val="23"/>
                <w:rtl/>
              </w:rPr>
              <w:t xml:space="preserve"> </w:t>
            </w:r>
            <w:r w:rsidRPr="00B422AF">
              <w:rPr>
                <w:rFonts w:hint="eastAsia"/>
                <w:b/>
                <w:bCs/>
                <w:sz w:val="23"/>
                <w:szCs w:val="23"/>
                <w:rtl/>
              </w:rPr>
              <w:t>טכנולוגי</w:t>
            </w:r>
            <w:r w:rsidRPr="00B422AF">
              <w:rPr>
                <w:b/>
                <w:bCs/>
                <w:sz w:val="23"/>
                <w:szCs w:val="23"/>
                <w:rtl/>
              </w:rPr>
              <w:t xml:space="preserve"> </w:t>
            </w:r>
            <w:r w:rsidRPr="00B422AF">
              <w:rPr>
                <w:rFonts w:hint="eastAsia"/>
                <w:b/>
                <w:bCs/>
                <w:sz w:val="23"/>
                <w:szCs w:val="23"/>
                <w:rtl/>
              </w:rPr>
              <w:t>להאזנת</w:t>
            </w:r>
            <w:r w:rsidRPr="00B422AF">
              <w:rPr>
                <w:b/>
                <w:bCs/>
                <w:sz w:val="23"/>
                <w:szCs w:val="23"/>
                <w:rtl/>
              </w:rPr>
              <w:t xml:space="preserve"> </w:t>
            </w:r>
            <w:r w:rsidRPr="00B422AF">
              <w:rPr>
                <w:rFonts w:hint="eastAsia"/>
                <w:b/>
                <w:bCs/>
                <w:sz w:val="23"/>
                <w:szCs w:val="23"/>
                <w:rtl/>
              </w:rPr>
              <w:t>סתר</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כלי טכנולוגי המבוסס על קוד מחשב (</w:t>
            </w:r>
            <w:r w:rsidRPr="00B422AF">
              <w:rPr>
                <w:sz w:val="23"/>
                <w:szCs w:val="23"/>
              </w:rPr>
              <w:t>spyware</w:t>
            </w:r>
            <w:r w:rsidRPr="00B422AF">
              <w:rPr>
                <w:rFonts w:hint="cs"/>
                <w:sz w:val="23"/>
                <w:szCs w:val="23"/>
                <w:rtl/>
              </w:rPr>
              <w:t>) המותקן במחשב ומקנה גישה לאמצעי המואזן.</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שימוש</w:t>
            </w:r>
            <w:r w:rsidRPr="00B422AF">
              <w:rPr>
                <w:b/>
                <w:bCs/>
                <w:sz w:val="23"/>
                <w:szCs w:val="23"/>
                <w:rtl/>
              </w:rPr>
              <w:t xml:space="preserve"> </w:t>
            </w:r>
            <w:r w:rsidRPr="00B422AF">
              <w:rPr>
                <w:rFonts w:hint="eastAsia"/>
                <w:b/>
                <w:bCs/>
                <w:sz w:val="23"/>
                <w:szCs w:val="23"/>
                <w:rtl/>
              </w:rPr>
              <w:t>בתוצרי</w:t>
            </w:r>
            <w:r w:rsidRPr="00B422AF">
              <w:rPr>
                <w:b/>
                <w:bCs/>
                <w:sz w:val="23"/>
                <w:szCs w:val="23"/>
                <w:rtl/>
              </w:rPr>
              <w:t xml:space="preserve"> </w:t>
            </w:r>
            <w:r w:rsidRPr="00B422AF">
              <w:rPr>
                <w:rFonts w:hint="eastAsia"/>
                <w:b/>
                <w:bCs/>
                <w:sz w:val="23"/>
                <w:szCs w:val="23"/>
                <w:rtl/>
              </w:rPr>
              <w:t>האזנה</w:t>
            </w:r>
          </w:p>
        </w:tc>
        <w:tc>
          <w:tcPr>
            <w:tcW w:w="5860" w:type="dxa"/>
          </w:tcPr>
          <w:p w:rsidR="004236FD" w:rsidRPr="00B422AF" w:rsidRDefault="004236FD" w:rsidP="00B422AF">
            <w:pPr>
              <w:spacing w:afterLines="40" w:after="96" w:line="269" w:lineRule="auto"/>
              <w:rPr>
                <w:sz w:val="23"/>
                <w:szCs w:val="23"/>
                <w:rtl/>
              </w:rPr>
            </w:pPr>
            <w:bookmarkStart w:id="21" w:name="_Hlk188194620"/>
            <w:r w:rsidRPr="00B422AF">
              <w:rPr>
                <w:rFonts w:hint="cs"/>
                <w:sz w:val="23"/>
                <w:szCs w:val="23"/>
                <w:rtl/>
              </w:rPr>
              <w:t xml:space="preserve">פעולות שמבצע </w:t>
            </w:r>
            <w:bookmarkStart w:id="22" w:name="_Hlk187222229"/>
            <w:r w:rsidRPr="00B422AF">
              <w:rPr>
                <w:rFonts w:hint="cs"/>
                <w:sz w:val="23"/>
                <w:szCs w:val="23"/>
                <w:rtl/>
              </w:rPr>
              <w:t>גורם משטרתי שאינו המפיק המוסמך, כגון, מפעיל כלים טכנולוגיים או נציגי היחידה המזמינה</w:t>
            </w:r>
            <w:bookmarkEnd w:id="22"/>
            <w:r w:rsidRPr="00B422AF">
              <w:rPr>
                <w:rFonts w:hint="cs"/>
                <w:sz w:val="23"/>
                <w:szCs w:val="23"/>
                <w:rtl/>
              </w:rPr>
              <w:t xml:space="preserve">. במסגרת הפעולות נוטלים תוצר האזנה גולמי, או מידע מודיעיני שמקורו בתוצר האזנה (ידיעה מודיעינית, מוצר מודיעיני, פרפרזה או דוח תובנות שמתבססים על תוצר האזנה), ומבצעים אחת או יותר מהפעולות הבאות: עיון, צפייה, אזכור במסמך אחר, עיבוד, העברה לגורם נוסף שאינו האדם האחראי על הפקת תוצרי ההאזנה שהתקבלו, העתקת המידע לצורך ביצוע פעולות אחרות כגון ביצוע מתווה התקנה, הגשת בקשות לביצוע פעולות חקירה נוספות גלויות או סמויות, או כל פעולה אחרת שעשויה להביא ליצירת מידע מודיעיני חדש או להוליד ראייה פלילית. </w:t>
            </w:r>
            <w:bookmarkEnd w:id="21"/>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שימוש</w:t>
            </w:r>
            <w:r w:rsidRPr="00B422AF">
              <w:rPr>
                <w:b/>
                <w:bCs/>
                <w:sz w:val="23"/>
                <w:szCs w:val="23"/>
                <w:rtl/>
              </w:rPr>
              <w:t xml:space="preserve"> </w:t>
            </w:r>
            <w:r w:rsidRPr="00B422AF">
              <w:rPr>
                <w:rFonts w:hint="eastAsia"/>
                <w:b/>
                <w:bCs/>
                <w:sz w:val="23"/>
                <w:szCs w:val="23"/>
                <w:rtl/>
              </w:rPr>
              <w:t>ראייתי</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הגשת חומר כראייה בהליך פלילי בהתאם לפקודת הראיות</w:t>
            </w:r>
            <w:r w:rsidRPr="00B422AF">
              <w:rPr>
                <w:rStyle w:val="af"/>
                <w:sz w:val="23"/>
                <w:szCs w:val="23"/>
                <w:rtl/>
              </w:rPr>
              <w:footnoteReference w:id="2"/>
            </w:r>
            <w:r w:rsidRPr="00B422AF">
              <w:rPr>
                <w:rFonts w:hint="cs"/>
                <w:sz w:val="23"/>
                <w:szCs w:val="23"/>
                <w:rtl/>
              </w:rPr>
              <w:t xml:space="preserve"> והנחיות פרקליט המדינה</w:t>
            </w:r>
            <w:r w:rsidRPr="00B422AF">
              <w:rPr>
                <w:rStyle w:val="af"/>
                <w:sz w:val="23"/>
                <w:szCs w:val="23"/>
                <w:rtl/>
              </w:rPr>
              <w:footnoteReference w:id="3"/>
            </w:r>
            <w:r w:rsidRPr="00B422AF">
              <w:rPr>
                <w:rFonts w:hint="cs"/>
                <w:sz w:val="23"/>
                <w:szCs w:val="23"/>
                <w:rtl/>
              </w:rPr>
              <w:t>, כדי לבסס עליו פסק דין. הגשת החומר נדרשת במישור הדיוני והמהותי לשם הוכחת עצם קיומו של החומר, העמדתו במבחן מהימנות בפני בית המשפט, וכהבאתו כראיה לאמיתות תוכנו</w:t>
            </w:r>
            <w:r w:rsidRPr="00B422AF">
              <w:rPr>
                <w:rStyle w:val="af"/>
                <w:sz w:val="23"/>
                <w:szCs w:val="23"/>
                <w:rtl/>
              </w:rPr>
              <w:footnoteReference w:id="4"/>
            </w:r>
            <w:r w:rsidRPr="00B422AF">
              <w:rPr>
                <w:rFonts w:hint="cs"/>
                <w:sz w:val="23"/>
                <w:szCs w:val="23"/>
                <w:rtl/>
              </w:rPr>
              <w:t xml:space="preserve">. </w:t>
            </w:r>
          </w:p>
          <w:p w:rsidR="004236FD" w:rsidRPr="00B422AF" w:rsidRDefault="004236FD" w:rsidP="00B422AF">
            <w:pPr>
              <w:spacing w:afterLines="40" w:after="96" w:line="269" w:lineRule="auto"/>
              <w:rPr>
                <w:sz w:val="23"/>
                <w:szCs w:val="23"/>
                <w:rtl/>
              </w:rPr>
            </w:pPr>
            <w:r w:rsidRPr="00B422AF">
              <w:rPr>
                <w:rFonts w:hint="cs"/>
                <w:sz w:val="23"/>
                <w:szCs w:val="23"/>
                <w:rtl/>
              </w:rPr>
              <w:t>לעניין שימוש ראייתי בתוצר האזנת סתר</w:t>
            </w:r>
            <w:r w:rsidR="00EF62F4" w:rsidRPr="00B422AF">
              <w:rPr>
                <w:rFonts w:hint="cs"/>
                <w:sz w:val="23"/>
                <w:szCs w:val="23"/>
                <w:rtl/>
              </w:rPr>
              <w:t>,</w:t>
            </w:r>
            <w:r w:rsidRPr="00B422AF">
              <w:rPr>
                <w:rFonts w:hint="cs"/>
                <w:sz w:val="23"/>
                <w:szCs w:val="23"/>
                <w:rtl/>
              </w:rPr>
              <w:t xml:space="preserve"> יובהר כי הוא עשוי להתקיים לאחר שנעשה שימוש בתוצרי ההאזנה על ידי גורם משטרתי ורק לאחר שהוחלט על הגשת כתב אישום בתיק חקירה. </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תוצר</w:t>
            </w:r>
            <w:r w:rsidRPr="00B422AF">
              <w:rPr>
                <w:b/>
                <w:bCs/>
                <w:sz w:val="23"/>
                <w:szCs w:val="23"/>
                <w:rtl/>
              </w:rPr>
              <w:t xml:space="preserve"> </w:t>
            </w:r>
            <w:r w:rsidRPr="00B422AF">
              <w:rPr>
                <w:rFonts w:hint="eastAsia"/>
                <w:b/>
                <w:bCs/>
                <w:sz w:val="23"/>
                <w:szCs w:val="23"/>
                <w:rtl/>
              </w:rPr>
              <w:t>האזנה</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פלט של פעולת ההאזנה המכיל תוכן שיחה לפי חוק האזנת סתר.</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תיקוף</w:t>
            </w:r>
            <w:r w:rsidRPr="00B422AF">
              <w:rPr>
                <w:b/>
                <w:bCs/>
                <w:sz w:val="23"/>
                <w:szCs w:val="23"/>
                <w:rtl/>
              </w:rPr>
              <w:t xml:space="preserve"> ראייתי </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חוות דעת משפטית של </w:t>
            </w:r>
            <w:r w:rsidRPr="00B422AF">
              <w:rPr>
                <w:sz w:val="23"/>
                <w:szCs w:val="23"/>
                <w:rtl/>
              </w:rPr>
              <w:t>מומחים בתחום המשפטי והטכנולוגי בפרקליטות</w:t>
            </w:r>
            <w:r w:rsidRPr="00B422AF">
              <w:rPr>
                <w:rFonts w:hint="cs"/>
                <w:sz w:val="23"/>
                <w:szCs w:val="23"/>
                <w:rtl/>
              </w:rPr>
              <w:t xml:space="preserve"> המתירה את</w:t>
            </w:r>
            <w:r w:rsidRPr="00B422AF">
              <w:rPr>
                <w:sz w:val="23"/>
                <w:szCs w:val="23"/>
                <w:rtl/>
              </w:rPr>
              <w:t xml:space="preserve"> </w:t>
            </w:r>
            <w:r w:rsidRPr="00B422AF">
              <w:rPr>
                <w:rFonts w:hint="cs"/>
                <w:sz w:val="23"/>
                <w:szCs w:val="23"/>
                <w:rtl/>
              </w:rPr>
              <w:t xml:space="preserve">השימוש בתוצר שמקורו בכלי טכנולוגי כראיה בהליך הפלילי. </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b/>
                <w:bCs/>
                <w:sz w:val="23"/>
                <w:szCs w:val="23"/>
                <w:rtl/>
              </w:rPr>
              <w:t>תעודת חיסיון</w:t>
            </w:r>
          </w:p>
        </w:tc>
        <w:tc>
          <w:tcPr>
            <w:tcW w:w="5860" w:type="dxa"/>
          </w:tcPr>
          <w:p w:rsidR="004236FD" w:rsidRPr="00B422AF" w:rsidRDefault="004236FD" w:rsidP="00B422AF">
            <w:pPr>
              <w:spacing w:afterLines="40" w:after="96" w:line="269" w:lineRule="auto"/>
              <w:rPr>
                <w:sz w:val="23"/>
                <w:szCs w:val="23"/>
                <w:rtl/>
              </w:rPr>
            </w:pPr>
            <w:r w:rsidRPr="00B422AF">
              <w:rPr>
                <w:sz w:val="23"/>
                <w:szCs w:val="23"/>
                <w:rtl/>
              </w:rPr>
              <w:t xml:space="preserve">תעודה </w:t>
            </w:r>
            <w:r w:rsidRPr="00B422AF">
              <w:rPr>
                <w:rFonts w:hint="cs"/>
                <w:sz w:val="23"/>
                <w:szCs w:val="23"/>
                <w:rtl/>
              </w:rPr>
              <w:t>חתומה בידי השר לביטחון לאומי ולפיה מסירת מידע המוזכר בה עלול לפגוע בעניין ציבורי, משום כך ו</w:t>
            </w:r>
            <w:r w:rsidRPr="00B422AF">
              <w:rPr>
                <w:sz w:val="23"/>
                <w:szCs w:val="23"/>
                <w:rtl/>
              </w:rPr>
              <w:t xml:space="preserve">לנאשם </w:t>
            </w:r>
            <w:r w:rsidRPr="00B422AF">
              <w:rPr>
                <w:rFonts w:hint="cs"/>
                <w:sz w:val="23"/>
                <w:szCs w:val="23"/>
                <w:rtl/>
              </w:rPr>
              <w:t xml:space="preserve">אין </w:t>
            </w:r>
            <w:r w:rsidRPr="00B422AF">
              <w:rPr>
                <w:sz w:val="23"/>
                <w:szCs w:val="23"/>
                <w:rtl/>
              </w:rPr>
              <w:t>זכות עיון בו</w:t>
            </w:r>
            <w:r w:rsidRPr="00B422AF">
              <w:rPr>
                <w:rFonts w:hint="cs"/>
                <w:sz w:val="23"/>
                <w:szCs w:val="23"/>
                <w:rtl/>
              </w:rPr>
              <w:t>.</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תפקידן</w:t>
            </w:r>
            <w:r w:rsidRPr="00B422AF">
              <w:rPr>
                <w:b/>
                <w:bCs/>
                <w:sz w:val="23"/>
                <w:szCs w:val="23"/>
                <w:rtl/>
              </w:rPr>
              <w:t xml:space="preserve"> </w:t>
            </w:r>
            <w:r w:rsidRPr="00B422AF">
              <w:rPr>
                <w:rFonts w:hint="eastAsia"/>
                <w:b/>
                <w:bCs/>
                <w:sz w:val="23"/>
                <w:szCs w:val="23"/>
                <w:rtl/>
              </w:rPr>
              <w:t>מחת</w:t>
            </w:r>
            <w:r w:rsidRPr="00B422AF">
              <w:rPr>
                <w:b/>
                <w:bCs/>
                <w:sz w:val="23"/>
                <w:szCs w:val="23"/>
                <w:rtl/>
              </w:rPr>
              <w:t>"ק</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 xml:space="preserve">שוטר העוסק במיצוי המידע ותחקור נתוני התקשורת ופועל בחוליית המחת"ק בחטיבת הסייבר או במערך הפרוס במחוזות. </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תפיסת</w:t>
            </w:r>
            <w:r w:rsidRPr="00B422AF">
              <w:rPr>
                <w:b/>
                <w:bCs/>
                <w:sz w:val="23"/>
                <w:szCs w:val="23"/>
                <w:rtl/>
              </w:rPr>
              <w:t xml:space="preserve"> </w:t>
            </w:r>
            <w:r w:rsidRPr="00B422AF">
              <w:rPr>
                <w:rFonts w:hint="eastAsia"/>
                <w:b/>
                <w:bCs/>
                <w:sz w:val="23"/>
                <w:szCs w:val="23"/>
                <w:rtl/>
              </w:rPr>
              <w:t>הפעלה</w:t>
            </w:r>
          </w:p>
        </w:tc>
        <w:tc>
          <w:tcPr>
            <w:tcW w:w="5860" w:type="dxa"/>
          </w:tcPr>
          <w:p w:rsidR="004236FD" w:rsidRPr="00B422AF" w:rsidRDefault="004236FD" w:rsidP="00B422AF">
            <w:pPr>
              <w:spacing w:afterLines="40" w:after="96" w:line="269" w:lineRule="auto"/>
              <w:rPr>
                <w:sz w:val="23"/>
                <w:szCs w:val="23"/>
                <w:rtl/>
              </w:rPr>
            </w:pPr>
            <w:bookmarkStart w:id="23" w:name="_Hlk171320933"/>
            <w:r w:rsidRPr="00B422AF">
              <w:rPr>
                <w:rFonts w:hint="cs"/>
                <w:sz w:val="23"/>
                <w:szCs w:val="23"/>
                <w:rtl/>
              </w:rPr>
              <w:t>מסמך המרכז את הנחות היסוד ודרכי הפעולה העיקריות של הגוף, המפרט את העקרונות המכוננים והבסיס החוקי לפעילות הגוף, ייעודו ותפקידיו בתחומי העשייה השונים, חלוקת הסמכות והאחריות לביצוע בין הגורמים בגוף</w:t>
            </w:r>
            <w:r w:rsidRPr="00B422AF">
              <w:rPr>
                <w:rStyle w:val="af"/>
                <w:sz w:val="23"/>
                <w:szCs w:val="23"/>
                <w:rtl/>
              </w:rPr>
              <w:footnoteReference w:id="5"/>
            </w:r>
            <w:r w:rsidRPr="00B422AF">
              <w:rPr>
                <w:rFonts w:hint="cs"/>
                <w:sz w:val="23"/>
                <w:szCs w:val="23"/>
                <w:rtl/>
              </w:rPr>
              <w:t xml:space="preserve">. </w:t>
            </w:r>
            <w:bookmarkEnd w:id="23"/>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התקנה</w:t>
            </w:r>
            <w:r w:rsidRPr="00B422AF">
              <w:rPr>
                <w:b/>
                <w:bCs/>
                <w:sz w:val="23"/>
                <w:szCs w:val="23"/>
                <w:rtl/>
              </w:rPr>
              <w:t xml:space="preserve"> </w:t>
            </w:r>
            <w:r w:rsidRPr="00B422AF">
              <w:rPr>
                <w:rFonts w:hint="eastAsia"/>
                <w:b/>
                <w:bCs/>
                <w:sz w:val="23"/>
                <w:szCs w:val="23"/>
                <w:rtl/>
              </w:rPr>
              <w:t>לצורכי</w:t>
            </w:r>
            <w:r w:rsidRPr="00B422AF">
              <w:rPr>
                <w:b/>
                <w:bCs/>
                <w:sz w:val="23"/>
                <w:szCs w:val="23"/>
                <w:rtl/>
              </w:rPr>
              <w:t xml:space="preserve"> </w:t>
            </w:r>
            <w:r w:rsidRPr="00B422AF">
              <w:rPr>
                <w:rFonts w:hint="eastAsia"/>
                <w:b/>
                <w:bCs/>
                <w:sz w:val="23"/>
                <w:szCs w:val="23"/>
                <w:rtl/>
              </w:rPr>
              <w:t>האזנת</w:t>
            </w:r>
            <w:r w:rsidRPr="00B422AF">
              <w:rPr>
                <w:b/>
                <w:bCs/>
                <w:sz w:val="23"/>
                <w:szCs w:val="23"/>
                <w:rtl/>
              </w:rPr>
              <w:t xml:space="preserve"> </w:t>
            </w:r>
            <w:r w:rsidRPr="00B422AF">
              <w:rPr>
                <w:rFonts w:hint="eastAsia"/>
                <w:b/>
                <w:bCs/>
                <w:sz w:val="23"/>
                <w:szCs w:val="23"/>
                <w:rtl/>
              </w:rPr>
              <w:t>סתר</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שימוש בקוד מחשב המאפשר</w:t>
            </w:r>
            <w:r w:rsidRPr="00B422AF">
              <w:rPr>
                <w:sz w:val="23"/>
                <w:szCs w:val="23"/>
                <w:rtl/>
              </w:rPr>
              <w:t xml:space="preserve"> השתלטות מרחוק על מכשיר קצה </w:t>
            </w:r>
            <w:r w:rsidRPr="00B422AF">
              <w:rPr>
                <w:rFonts w:hint="cs"/>
                <w:sz w:val="23"/>
                <w:szCs w:val="23"/>
                <w:rtl/>
              </w:rPr>
              <w:t xml:space="preserve">כלשהו </w:t>
            </w:r>
            <w:r w:rsidRPr="00B422AF">
              <w:rPr>
                <w:sz w:val="23"/>
                <w:szCs w:val="23"/>
                <w:rtl/>
              </w:rPr>
              <w:t xml:space="preserve">או </w:t>
            </w:r>
            <w:r w:rsidRPr="00B422AF">
              <w:rPr>
                <w:rFonts w:hint="cs"/>
                <w:sz w:val="23"/>
                <w:szCs w:val="23"/>
                <w:rtl/>
              </w:rPr>
              <w:t>ביצוע פעולה אחרת על מכשיר כלשהו לצורך קבלת מידע שמקורו במכשיר הקצה שהוא יעד ההאזנה.</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תקשורת</w:t>
            </w:r>
            <w:r w:rsidRPr="00B422AF">
              <w:rPr>
                <w:b/>
                <w:bCs/>
                <w:sz w:val="23"/>
                <w:szCs w:val="23"/>
                <w:rtl/>
              </w:rPr>
              <w:t xml:space="preserve"> </w:t>
            </w:r>
            <w:r w:rsidRPr="00B422AF">
              <w:rPr>
                <w:rFonts w:hint="eastAsia"/>
                <w:b/>
                <w:bCs/>
                <w:sz w:val="23"/>
                <w:szCs w:val="23"/>
                <w:rtl/>
              </w:rPr>
              <w:t>בין</w:t>
            </w:r>
            <w:r w:rsidRPr="00B422AF">
              <w:rPr>
                <w:b/>
                <w:bCs/>
                <w:sz w:val="23"/>
                <w:szCs w:val="23"/>
                <w:rtl/>
              </w:rPr>
              <w:t xml:space="preserve"> </w:t>
            </w:r>
            <w:r w:rsidRPr="00B422AF">
              <w:rPr>
                <w:rFonts w:hint="eastAsia"/>
                <w:b/>
                <w:bCs/>
                <w:sz w:val="23"/>
                <w:szCs w:val="23"/>
                <w:rtl/>
              </w:rPr>
              <w:t>מחשבים</w:t>
            </w:r>
          </w:p>
        </w:tc>
        <w:tc>
          <w:tcPr>
            <w:tcW w:w="5860" w:type="dxa"/>
          </w:tcPr>
          <w:p w:rsidR="004236FD" w:rsidRPr="00B422AF" w:rsidRDefault="004236FD" w:rsidP="00B422AF">
            <w:pPr>
              <w:spacing w:afterLines="40" w:after="96" w:line="269" w:lineRule="auto"/>
              <w:rPr>
                <w:sz w:val="23"/>
                <w:szCs w:val="23"/>
                <w:rtl/>
              </w:rPr>
            </w:pPr>
            <w:r w:rsidRPr="00B422AF">
              <w:rPr>
                <w:rFonts w:hint="cs"/>
                <w:sz w:val="23"/>
                <w:szCs w:val="23"/>
                <w:rtl/>
              </w:rPr>
              <w:t>תהליך שבו מידע שמופק על ידי מחשב נשלח כ</w:t>
            </w:r>
            <w:r w:rsidRPr="00B422AF">
              <w:rPr>
                <w:sz w:val="23"/>
                <w:szCs w:val="23"/>
                <w:rtl/>
              </w:rPr>
              <w:t>פלט</w:t>
            </w:r>
            <w:r w:rsidRPr="00B422AF">
              <w:rPr>
                <w:sz w:val="23"/>
                <w:szCs w:val="23"/>
                <w:vertAlign w:val="superscript"/>
                <w:rtl/>
              </w:rPr>
              <w:footnoteReference w:id="6"/>
            </w:r>
            <w:r w:rsidRPr="00B422AF">
              <w:rPr>
                <w:rFonts w:hint="cs"/>
                <w:sz w:val="23"/>
                <w:szCs w:val="23"/>
                <w:rtl/>
              </w:rPr>
              <w:t xml:space="preserve"> ממכשיר קצה אחד, עובר דרך חומר מתווך (כבל תקשורת פיזי, גלי רדיו וכיו"ב),</w:t>
            </w:r>
            <w:r w:rsidRPr="00B422AF">
              <w:rPr>
                <w:sz w:val="23"/>
                <w:szCs w:val="23"/>
                <w:rtl/>
              </w:rPr>
              <w:t xml:space="preserve"> </w:t>
            </w:r>
            <w:r w:rsidRPr="00B422AF">
              <w:rPr>
                <w:rFonts w:hint="cs"/>
                <w:sz w:val="23"/>
                <w:szCs w:val="23"/>
                <w:rtl/>
              </w:rPr>
              <w:t>ו</w:t>
            </w:r>
            <w:r w:rsidRPr="00B422AF">
              <w:rPr>
                <w:sz w:val="23"/>
                <w:szCs w:val="23"/>
                <w:rtl/>
              </w:rPr>
              <w:t>נ</w:t>
            </w:r>
            <w:r w:rsidRPr="00B422AF">
              <w:rPr>
                <w:rFonts w:hint="cs"/>
                <w:sz w:val="23"/>
                <w:szCs w:val="23"/>
                <w:rtl/>
              </w:rPr>
              <w:t>מסר כקלט</w:t>
            </w:r>
            <w:r w:rsidRPr="00B422AF">
              <w:rPr>
                <w:sz w:val="23"/>
                <w:szCs w:val="23"/>
                <w:rtl/>
              </w:rPr>
              <w:t xml:space="preserve"> במכשיר קצה</w:t>
            </w:r>
            <w:r w:rsidRPr="00B422AF">
              <w:rPr>
                <w:rFonts w:hint="cs"/>
                <w:sz w:val="23"/>
                <w:szCs w:val="23"/>
                <w:rtl/>
              </w:rPr>
              <w:t xml:space="preserve"> אחר. </w:t>
            </w:r>
          </w:p>
        </w:tc>
      </w:tr>
      <w:tr w:rsidR="004236FD" w:rsidTr="00B31768">
        <w:tc>
          <w:tcPr>
            <w:tcW w:w="2908" w:type="dxa"/>
          </w:tcPr>
          <w:p w:rsidR="004236FD" w:rsidRPr="00B422AF" w:rsidRDefault="004236FD" w:rsidP="00B422AF">
            <w:pPr>
              <w:spacing w:afterLines="40" w:after="96" w:line="269" w:lineRule="auto"/>
              <w:jc w:val="left"/>
              <w:rPr>
                <w:b/>
                <w:bCs/>
                <w:sz w:val="23"/>
                <w:szCs w:val="23"/>
                <w:rtl/>
              </w:rPr>
            </w:pPr>
            <w:r w:rsidRPr="00B422AF">
              <w:rPr>
                <w:rFonts w:hint="eastAsia"/>
                <w:b/>
                <w:bCs/>
                <w:sz w:val="23"/>
                <w:szCs w:val="23"/>
                <w:rtl/>
              </w:rPr>
              <w:t>המערך</w:t>
            </w:r>
            <w:r w:rsidRPr="00B422AF">
              <w:rPr>
                <w:b/>
                <w:bCs/>
                <w:sz w:val="23"/>
                <w:szCs w:val="23"/>
                <w:rtl/>
              </w:rPr>
              <w:t xml:space="preserve"> </w:t>
            </w:r>
            <w:r w:rsidRPr="00B422AF">
              <w:rPr>
                <w:rFonts w:hint="eastAsia"/>
                <w:b/>
                <w:bCs/>
                <w:sz w:val="23"/>
                <w:szCs w:val="23"/>
                <w:rtl/>
              </w:rPr>
              <w:t>הפרוס</w:t>
            </w:r>
          </w:p>
        </w:tc>
        <w:tc>
          <w:tcPr>
            <w:tcW w:w="5860" w:type="dxa"/>
          </w:tcPr>
          <w:p w:rsidR="004236FD" w:rsidRPr="00B422AF" w:rsidRDefault="004236FD" w:rsidP="00B422AF">
            <w:pPr>
              <w:spacing w:afterLines="40" w:after="96" w:line="269" w:lineRule="auto"/>
              <w:rPr>
                <w:sz w:val="23"/>
                <w:szCs w:val="23"/>
                <w:rtl/>
              </w:rPr>
            </w:pPr>
            <w:r w:rsidRPr="00B422AF">
              <w:rPr>
                <w:sz w:val="23"/>
                <w:szCs w:val="23"/>
                <w:rtl/>
              </w:rPr>
              <w:t xml:space="preserve">שוטרים או יחידות שתפקידם המקצועי הינו בתחומי הפעילות של חטיבת הסייבר, ופעילותם נערכת </w:t>
            </w:r>
            <w:r w:rsidRPr="00B422AF">
              <w:rPr>
                <w:rFonts w:hint="cs"/>
                <w:sz w:val="23"/>
                <w:szCs w:val="23"/>
                <w:rtl/>
              </w:rPr>
              <w:t xml:space="preserve">תחת </w:t>
            </w:r>
            <w:r w:rsidRPr="00B422AF">
              <w:rPr>
                <w:sz w:val="23"/>
                <w:szCs w:val="23"/>
                <w:rtl/>
              </w:rPr>
              <w:t>מחוזות המשטרה</w:t>
            </w:r>
            <w:r w:rsidRPr="00B422AF">
              <w:rPr>
                <w:rFonts w:hint="cs"/>
                <w:sz w:val="23"/>
                <w:szCs w:val="23"/>
                <w:rtl/>
              </w:rPr>
              <w:t>.</w:t>
            </w:r>
          </w:p>
        </w:tc>
      </w:tr>
    </w:tbl>
    <w:p w:rsidR="006A068E" w:rsidRPr="00A0596D" w:rsidRDefault="006A068E" w:rsidP="00604C3D">
      <w:pPr>
        <w:spacing w:line="269" w:lineRule="auto"/>
        <w:rPr>
          <w:rtl/>
        </w:rPr>
      </w:pPr>
    </w:p>
    <w:p w:rsidR="0021269D" w:rsidRDefault="0021269D" w:rsidP="00604C3D">
      <w:pPr>
        <w:bidi w:val="0"/>
        <w:spacing w:line="269" w:lineRule="auto"/>
        <w:rPr>
          <w:rFonts w:eastAsiaTheme="majorEastAsia"/>
          <w:bCs/>
          <w:szCs w:val="32"/>
        </w:rPr>
      </w:pPr>
      <w:r>
        <w:rPr>
          <w:rtl/>
        </w:rPr>
        <w:br w:type="page"/>
      </w:r>
    </w:p>
    <w:p w:rsidR="00B00214" w:rsidRDefault="00B00214" w:rsidP="00604C3D">
      <w:pPr>
        <w:pStyle w:val="2"/>
        <w:spacing w:before="0" w:line="269" w:lineRule="auto"/>
        <w:rPr>
          <w:rtl/>
        </w:rPr>
      </w:pPr>
      <w:bookmarkStart w:id="24" w:name="_Toc132608768"/>
      <w:bookmarkStart w:id="25" w:name="_Toc219286503"/>
      <w:bookmarkStart w:id="26" w:name="_Hlk172716599"/>
      <w:bookmarkEnd w:id="3"/>
      <w:r>
        <w:rPr>
          <w:rFonts w:hint="cs"/>
          <w:rtl/>
        </w:rPr>
        <w:t>מבוא</w:t>
      </w:r>
      <w:bookmarkEnd w:id="24"/>
      <w:r w:rsidR="00604C3D">
        <w:rPr>
          <w:rFonts w:hint="cs"/>
          <w:rtl/>
        </w:rPr>
        <w:t xml:space="preserve"> כללי</w:t>
      </w:r>
      <w:bookmarkEnd w:id="25"/>
    </w:p>
    <w:p w:rsidR="00271D14" w:rsidRDefault="00271D14" w:rsidP="00604C3D">
      <w:pPr>
        <w:spacing w:line="269" w:lineRule="auto"/>
        <w:rPr>
          <w:rFonts w:ascii="David" w:hAnsi="David"/>
          <w:sz w:val="24"/>
          <w:rtl/>
        </w:rPr>
      </w:pPr>
    </w:p>
    <w:p w:rsidR="00B00214" w:rsidRDefault="00B00214" w:rsidP="00604C3D">
      <w:pPr>
        <w:spacing w:line="269" w:lineRule="auto"/>
        <w:rPr>
          <w:rtl/>
        </w:rPr>
      </w:pPr>
      <w:r>
        <w:rPr>
          <w:rFonts w:ascii="David" w:hAnsi="David" w:hint="cs"/>
          <w:sz w:val="24"/>
          <w:rtl/>
        </w:rPr>
        <w:t>משטרת ישראל אמונה, על פי ייעודה, על אכיפת החוק; על מניעת עבירות וגילוין; על תפיסת עבריינים והעמדתם לדין; על קיום הסדר הציבורי ועל השמירה על ביטחון הנפש והרכוש</w:t>
      </w:r>
      <w:r>
        <w:rPr>
          <w:rStyle w:val="af"/>
          <w:rFonts w:ascii="David" w:hAnsi="David"/>
          <w:sz w:val="24"/>
          <w:rtl/>
        </w:rPr>
        <w:footnoteReference w:id="7"/>
      </w:r>
      <w:r>
        <w:rPr>
          <w:rFonts w:ascii="David" w:hAnsi="David" w:hint="cs"/>
          <w:sz w:val="24"/>
          <w:rtl/>
        </w:rPr>
        <w:t xml:space="preserve">. לעיתים </w:t>
      </w:r>
      <w:r w:rsidRPr="0010072B">
        <w:rPr>
          <w:rFonts w:ascii="David" w:hAnsi="David" w:hint="cs"/>
          <w:sz w:val="24"/>
          <w:rtl/>
        </w:rPr>
        <w:t>במסגרת מילוי תפקידיה נדרשת המשטרה לבצע פעולות הכרוכות בפגיעה בזכויות הפרט, כגון הזכות לחירות או הזכות לפרטיות</w:t>
      </w:r>
      <w:r>
        <w:rPr>
          <w:rFonts w:ascii="David" w:hAnsi="David" w:hint="cs"/>
          <w:sz w:val="24"/>
          <w:rtl/>
        </w:rPr>
        <w:t>.</w:t>
      </w:r>
      <w:r w:rsidRPr="0010072B">
        <w:rPr>
          <w:rFonts w:ascii="David" w:hAnsi="David" w:hint="cs"/>
          <w:sz w:val="24"/>
          <w:rtl/>
        </w:rPr>
        <w:t xml:space="preserve"> </w:t>
      </w:r>
      <w:bookmarkStart w:id="27" w:name="_Hlk187215633"/>
      <w:r>
        <w:rPr>
          <w:rFonts w:ascii="David" w:hAnsi="David" w:hint="cs"/>
          <w:sz w:val="24"/>
          <w:rtl/>
        </w:rPr>
        <w:t xml:space="preserve">אין חולק על חשיבות עבודת המשטרה ועל נחיצות חיזוקה כגוף האמון על הלחימה בפשיעה בעולם משתנה ודינמי המחייב אותה להתמודד עם שינויים והתפתחויות טכנולוגיות המנוצלות על ידי מחוללי פשיעה. לכן, המשטרה נדרשת להשתמש בכלים טכנולוגיים שונים המסייעים לה לעמוד בייעודה כגוף אכיפת חוק. </w:t>
      </w:r>
      <w:bookmarkEnd w:id="27"/>
      <w:r>
        <w:rPr>
          <w:rFonts w:ascii="David" w:hAnsi="David" w:hint="cs"/>
          <w:sz w:val="24"/>
          <w:rtl/>
        </w:rPr>
        <w:t xml:space="preserve">עם זאת, </w:t>
      </w:r>
      <w:r w:rsidRPr="00AE6580">
        <w:rPr>
          <w:rFonts w:ascii="David" w:hAnsi="David" w:hint="cs"/>
          <w:sz w:val="24"/>
          <w:rtl/>
        </w:rPr>
        <w:t xml:space="preserve">הפעלת הכוח </w:t>
      </w:r>
      <w:r>
        <w:rPr>
          <w:rFonts w:ascii="David" w:hAnsi="David" w:hint="cs"/>
          <w:sz w:val="24"/>
          <w:rtl/>
        </w:rPr>
        <w:t xml:space="preserve">על ידי המשטרה </w:t>
      </w:r>
      <w:r w:rsidRPr="00AE6580">
        <w:rPr>
          <w:rFonts w:ascii="David" w:hAnsi="David" w:hint="cs"/>
          <w:sz w:val="24"/>
          <w:rtl/>
        </w:rPr>
        <w:t>אינה בלתי מוגבלת</w:t>
      </w:r>
      <w:r>
        <w:rPr>
          <w:rFonts w:ascii="David" w:hAnsi="David" w:hint="cs"/>
          <w:sz w:val="24"/>
          <w:rtl/>
        </w:rPr>
        <w:t>,</w:t>
      </w:r>
      <w:r w:rsidRPr="00AE6580">
        <w:rPr>
          <w:rFonts w:ascii="David" w:hAnsi="David" w:hint="cs"/>
          <w:sz w:val="24"/>
          <w:rtl/>
        </w:rPr>
        <w:t xml:space="preserve"> והיא כפופה לדינים ולנורמות החלים על</w:t>
      </w:r>
      <w:r>
        <w:rPr>
          <w:rFonts w:ascii="David" w:hAnsi="David" w:hint="cs"/>
          <w:sz w:val="24"/>
          <w:rtl/>
        </w:rPr>
        <w:t xml:space="preserve"> </w:t>
      </w:r>
      <w:r w:rsidRPr="00AE6580">
        <w:rPr>
          <w:rFonts w:ascii="David" w:hAnsi="David" w:hint="cs"/>
          <w:sz w:val="24"/>
          <w:rtl/>
        </w:rPr>
        <w:t>ה</w:t>
      </w:r>
      <w:r>
        <w:rPr>
          <w:rFonts w:ascii="David" w:hAnsi="David" w:hint="cs"/>
          <w:sz w:val="24"/>
          <w:rtl/>
        </w:rPr>
        <w:t>משטרה</w:t>
      </w:r>
      <w:r>
        <w:rPr>
          <w:rStyle w:val="af"/>
          <w:rtl/>
        </w:rPr>
        <w:footnoteReference w:id="8"/>
      </w:r>
      <w:r>
        <w:rPr>
          <w:rFonts w:hint="cs"/>
          <w:rtl/>
        </w:rPr>
        <w:t xml:space="preserve">. </w:t>
      </w:r>
    </w:p>
    <w:p w:rsidR="00271D14" w:rsidRDefault="00271D14" w:rsidP="00604C3D">
      <w:pPr>
        <w:spacing w:line="269" w:lineRule="auto"/>
        <w:rPr>
          <w:rtl/>
        </w:rPr>
      </w:pPr>
    </w:p>
    <w:p w:rsidR="00B00214" w:rsidRDefault="00B00214" w:rsidP="00604C3D">
      <w:pPr>
        <w:spacing w:line="269" w:lineRule="auto"/>
        <w:rPr>
          <w:rtl/>
        </w:rPr>
      </w:pPr>
      <w:r>
        <w:rPr>
          <w:rFonts w:hint="cs"/>
          <w:rtl/>
        </w:rPr>
        <w:t>בהתאם למושכלת יסוד ולעיקרון בסיסי של המינהל הציבורי (עקרון חוקיות המינהל),</w:t>
      </w:r>
      <w:r>
        <w:rPr>
          <w:rFonts w:hint="cs"/>
        </w:rPr>
        <w:t xml:space="preserve"> </w:t>
      </w:r>
      <w:r w:rsidRPr="005F7965">
        <w:rPr>
          <w:rFonts w:hint="cs"/>
          <w:rtl/>
        </w:rPr>
        <w:t>רשות מ</w:t>
      </w:r>
      <w:r>
        <w:rPr>
          <w:rFonts w:hint="cs"/>
          <w:rtl/>
        </w:rPr>
        <w:t>י</w:t>
      </w:r>
      <w:r w:rsidRPr="005F7965">
        <w:rPr>
          <w:rFonts w:hint="cs"/>
          <w:rtl/>
        </w:rPr>
        <w:t xml:space="preserve">נהלית רשאית לבצע רק </w:t>
      </w:r>
      <w:r>
        <w:rPr>
          <w:rFonts w:hint="cs"/>
          <w:rtl/>
        </w:rPr>
        <w:t>פעולות שהיא הוסמכה לבצע</w:t>
      </w:r>
      <w:r w:rsidRPr="005F7965">
        <w:rPr>
          <w:rFonts w:hint="cs"/>
          <w:rtl/>
        </w:rPr>
        <w:t xml:space="preserve"> ב</w:t>
      </w:r>
      <w:r>
        <w:rPr>
          <w:rFonts w:hint="cs"/>
          <w:rtl/>
        </w:rPr>
        <w:t>תוקף ה</w:t>
      </w:r>
      <w:r w:rsidRPr="005F7965">
        <w:rPr>
          <w:rFonts w:hint="cs"/>
          <w:rtl/>
        </w:rPr>
        <w:t>חוק.</w:t>
      </w:r>
      <w:r>
        <w:rPr>
          <w:rFonts w:hint="cs"/>
          <w:rtl/>
        </w:rPr>
        <w:t xml:space="preserve"> עם השנים התגבשה בפסיקה ובספרות המשפטית העמדה כי מדובר בתנאי סף בלבד, וכי גם אם הרשות המינהלית קיבלה הסמכה חוקית להפעלת סמכות, עליה להפעיל סמכות זו באופן מידתי, ראוי והוגן ותוך יצירת איזון נאות בין הפגיעה הפוטנציאלית בזכויות הפרט במסגרת הפעלת סמכות זו ובין הצורך הציבורי בהפעלתה</w:t>
      </w:r>
      <w:r>
        <w:rPr>
          <w:rStyle w:val="af"/>
          <w:rtl/>
        </w:rPr>
        <w:footnoteReference w:id="9"/>
      </w:r>
      <w:r w:rsidRPr="005F7965">
        <w:rPr>
          <w:rFonts w:hint="cs"/>
          <w:rtl/>
        </w:rPr>
        <w:t>.</w:t>
      </w:r>
      <w:r w:rsidR="0049609C">
        <w:rPr>
          <w:rFonts w:hint="cs"/>
          <w:rtl/>
        </w:rPr>
        <w:t xml:space="preserve"> </w:t>
      </w:r>
    </w:p>
    <w:p w:rsidR="00271D14" w:rsidRDefault="00271D14" w:rsidP="00604C3D">
      <w:pPr>
        <w:spacing w:line="269" w:lineRule="auto"/>
        <w:rPr>
          <w:rtl/>
        </w:rPr>
      </w:pPr>
    </w:p>
    <w:p w:rsidR="00B00214" w:rsidRDefault="00B00214" w:rsidP="00604C3D">
      <w:pPr>
        <w:spacing w:line="269" w:lineRule="auto"/>
        <w:rPr>
          <w:rtl/>
        </w:rPr>
      </w:pPr>
      <w:r>
        <w:rPr>
          <w:rFonts w:hint="cs"/>
          <w:rtl/>
        </w:rPr>
        <w:t xml:space="preserve">טלפונים סלולריים חכמים ומחשבים משמשים רבות את הפרט בחברה המודרנית ומהווים כלי מרכזי להתנהלותו בחייו התעסוקתיים והאישיים. בכלים אלו נאגר מידע עצום לרבות מידע אישי של בעל המכשיר וכן מידע על צדדים שלישיים. החשיפה למידע זה מאפשרת התחקות אחר אורח חייו של הפרט על היבטיו השונים וחשיפה ממשית להתנהלותו ופעולותיו. </w:t>
      </w:r>
    </w:p>
    <w:p w:rsidR="00271D14" w:rsidRDefault="00271D14" w:rsidP="00604C3D">
      <w:pPr>
        <w:spacing w:line="269" w:lineRule="auto"/>
        <w:rPr>
          <w:rtl/>
        </w:rPr>
      </w:pPr>
    </w:p>
    <w:p w:rsidR="00B00214" w:rsidRDefault="00B00214" w:rsidP="00604C3D">
      <w:pPr>
        <w:spacing w:line="269" w:lineRule="auto"/>
        <w:rPr>
          <w:rtl/>
        </w:rPr>
      </w:pPr>
      <w:r w:rsidRPr="00EB72AB">
        <w:rPr>
          <w:rtl/>
        </w:rPr>
        <w:t>בשנת 2017 גיבשה המשטרה ת</w:t>
      </w:r>
      <w:r>
        <w:rPr>
          <w:rFonts w:hint="cs"/>
          <w:rtl/>
        </w:rPr>
        <w:t>ו</w:t>
      </w:r>
      <w:r w:rsidRPr="00EB72AB">
        <w:rPr>
          <w:rtl/>
        </w:rPr>
        <w:t>כנית עבודה שנתית לבניין כוח המשטרה</w:t>
      </w:r>
      <w:r>
        <w:rPr>
          <w:rStyle w:val="af"/>
          <w:rFonts w:ascii="Tahoma" w:hAnsi="Tahoma" w:cs="Tahoma"/>
          <w:sz w:val="19"/>
          <w:szCs w:val="19"/>
          <w:rtl/>
        </w:rPr>
        <w:footnoteReference w:id="10"/>
      </w:r>
      <w:r w:rsidRPr="00EB72AB">
        <w:rPr>
          <w:rtl/>
        </w:rPr>
        <w:t xml:space="preserve">, ולפיה משימות המשטרה יתבססו על כיווני פעולה חדשים, ובהם 'השיטור הגבוה' ו'השיטור החכם'. תכלית 'השיטור הגבוה' </w:t>
      </w:r>
      <w:bookmarkStart w:id="28" w:name="_Hlk187216140"/>
      <w:r w:rsidRPr="00EB72AB">
        <w:rPr>
          <w:rtl/>
        </w:rPr>
        <w:t xml:space="preserve">היא </w:t>
      </w:r>
      <w:r w:rsidR="00D3350A">
        <w:rPr>
          <w:rFonts w:hint="cs"/>
          <w:rtl/>
        </w:rPr>
        <w:t>לבסס את עבודת המשטרה</w:t>
      </w:r>
      <w:r w:rsidRPr="00EB72AB">
        <w:rPr>
          <w:rtl/>
        </w:rPr>
        <w:t xml:space="preserve"> על הכוונת המודיעין</w:t>
      </w:r>
      <w:r>
        <w:rPr>
          <w:rFonts w:hint="cs"/>
          <w:rtl/>
        </w:rPr>
        <w:t>,</w:t>
      </w:r>
      <w:r w:rsidRPr="00EB72AB">
        <w:rPr>
          <w:rtl/>
        </w:rPr>
        <w:t xml:space="preserve"> ולשם כך נדרש חיזוק דרמטי של היכולות הטכנולוגיות </w:t>
      </w:r>
      <w:r w:rsidR="00D3350A">
        <w:rPr>
          <w:rFonts w:hint="cs"/>
          <w:rtl/>
        </w:rPr>
        <w:t>לצורך ייצור</w:t>
      </w:r>
      <w:r w:rsidR="00D3350A" w:rsidRPr="00EB72AB">
        <w:rPr>
          <w:rtl/>
        </w:rPr>
        <w:t xml:space="preserve"> </w:t>
      </w:r>
      <w:r w:rsidRPr="00EB72AB">
        <w:rPr>
          <w:rtl/>
        </w:rPr>
        <w:t>מודיעין אפקטיבי יותר; תכלית 'השיטור החכם' היא מימוש קפיצת מדרגה ביכולות הטכנולוגיות של המשטרה.</w:t>
      </w:r>
    </w:p>
    <w:p w:rsidR="00271D14" w:rsidRDefault="00271D14" w:rsidP="00604C3D">
      <w:pPr>
        <w:spacing w:line="269" w:lineRule="auto"/>
        <w:rPr>
          <w:rtl/>
        </w:rPr>
      </w:pPr>
    </w:p>
    <w:p w:rsidR="007942A3" w:rsidRPr="007942A3" w:rsidRDefault="007942A3" w:rsidP="00604C3D">
      <w:pPr>
        <w:spacing w:line="269" w:lineRule="auto"/>
        <w:rPr>
          <w:rtl/>
        </w:rPr>
      </w:pPr>
      <w:r w:rsidRPr="007942A3">
        <w:rPr>
          <w:rFonts w:hint="cs"/>
          <w:rtl/>
        </w:rPr>
        <w:t>נושא האזנות הסתר נדון בעבר במסגרת דוחות מבקר המדינה (בשנים 1991, 2004</w:t>
      </w:r>
      <w:r w:rsidR="00A57819">
        <w:rPr>
          <w:rFonts w:hint="cs"/>
          <w:rtl/>
        </w:rPr>
        <w:t xml:space="preserve"> </w:t>
      </w:r>
      <w:r w:rsidRPr="007942A3">
        <w:rPr>
          <w:rFonts w:hint="cs"/>
          <w:rtl/>
        </w:rPr>
        <w:t>ו-2010)</w:t>
      </w:r>
      <w:r w:rsidRPr="007942A3">
        <w:rPr>
          <w:vertAlign w:val="superscript"/>
          <w:rtl/>
        </w:rPr>
        <w:footnoteReference w:id="11"/>
      </w:r>
      <w:r w:rsidRPr="007942A3">
        <w:rPr>
          <w:rFonts w:hint="cs"/>
          <w:rtl/>
        </w:rPr>
        <w:t xml:space="preserve"> וכן נדון בצוותים ממשלתיים (בשנים 2005, 2007 ו-2010)</w:t>
      </w:r>
      <w:r w:rsidRPr="007942A3">
        <w:rPr>
          <w:vertAlign w:val="superscript"/>
          <w:rtl/>
        </w:rPr>
        <w:footnoteReference w:id="12"/>
      </w:r>
      <w:r w:rsidRPr="007942A3">
        <w:rPr>
          <w:rFonts w:hint="cs"/>
          <w:rtl/>
        </w:rPr>
        <w:t xml:space="preserve"> ואף בוועדת חקירה</w:t>
      </w:r>
      <w:r w:rsidR="00D23DF8">
        <w:rPr>
          <w:rFonts w:hint="cs"/>
          <w:rtl/>
        </w:rPr>
        <w:t xml:space="preserve"> </w:t>
      </w:r>
      <w:r w:rsidRPr="007942A3">
        <w:rPr>
          <w:rFonts w:hint="cs"/>
          <w:rtl/>
        </w:rPr>
        <w:t>פרלמנטרית (בשנת 2009).</w:t>
      </w:r>
    </w:p>
    <w:p w:rsidR="007942A3" w:rsidRDefault="007942A3" w:rsidP="00604C3D">
      <w:pPr>
        <w:spacing w:line="269" w:lineRule="auto"/>
        <w:rPr>
          <w:rtl/>
        </w:rPr>
      </w:pPr>
    </w:p>
    <w:bookmarkEnd w:id="28"/>
    <w:p w:rsidR="00322E48" w:rsidRDefault="00322E48">
      <w:pPr>
        <w:bidi w:val="0"/>
        <w:spacing w:after="200" w:line="276" w:lineRule="auto"/>
        <w:rPr>
          <w:rFonts w:eastAsiaTheme="majorEastAsia"/>
          <w:bCs/>
          <w:szCs w:val="28"/>
          <w:u w:val="single"/>
        </w:rPr>
      </w:pPr>
      <w:r>
        <w:rPr>
          <w:rtl/>
        </w:rPr>
        <w:br w:type="page"/>
      </w:r>
    </w:p>
    <w:p w:rsidR="00B00214" w:rsidRPr="00572CD3" w:rsidRDefault="00B00214" w:rsidP="00572CD3">
      <w:pPr>
        <w:pStyle w:val="3"/>
      </w:pPr>
      <w:bookmarkStart w:id="29" w:name="_Toc219110288"/>
      <w:bookmarkStart w:id="30" w:name="_Toc219113729"/>
      <w:bookmarkStart w:id="31" w:name="_Toc219286504"/>
      <w:r w:rsidRPr="00572CD3">
        <w:rPr>
          <w:rFonts w:hint="cs"/>
          <w:rtl/>
        </w:rPr>
        <w:t>סמכויות המשטרה מכוח החוקים הרלוונטיים</w:t>
      </w:r>
      <w:bookmarkEnd w:id="29"/>
      <w:bookmarkEnd w:id="30"/>
      <w:bookmarkEnd w:id="31"/>
      <w:r w:rsidRPr="00572CD3">
        <w:rPr>
          <w:rFonts w:hint="cs"/>
          <w:rtl/>
        </w:rPr>
        <w:t xml:space="preserve"> </w:t>
      </w:r>
    </w:p>
    <w:p w:rsidR="00B00214" w:rsidRPr="00A0596D" w:rsidRDefault="00B00214" w:rsidP="00604C3D">
      <w:pPr>
        <w:spacing w:line="269" w:lineRule="auto"/>
        <w:rPr>
          <w:rtl/>
        </w:rPr>
      </w:pPr>
    </w:p>
    <w:p w:rsidR="00B00214" w:rsidRDefault="007B1D64" w:rsidP="008C598D">
      <w:pPr>
        <w:pStyle w:val="af2"/>
        <w:numPr>
          <w:ilvl w:val="0"/>
          <w:numId w:val="13"/>
        </w:numPr>
        <w:spacing w:line="269" w:lineRule="auto"/>
        <w:ind w:left="360"/>
      </w:pPr>
      <w:r>
        <w:rPr>
          <w:rFonts w:ascii="David" w:hAnsi="David" w:hint="eastAsia"/>
          <w:sz w:val="24"/>
          <w:rtl/>
        </w:rPr>
        <w:t>חוק האזנת סתר</w:t>
      </w:r>
      <w:r w:rsidR="00B00214" w:rsidRPr="00651B36">
        <w:rPr>
          <w:rFonts w:ascii="David" w:hAnsi="David" w:hint="cs"/>
          <w:sz w:val="24"/>
          <w:rtl/>
        </w:rPr>
        <w:t xml:space="preserve"> </w:t>
      </w:r>
      <w:r w:rsidR="00B00214" w:rsidRPr="00651B36">
        <w:rPr>
          <w:rFonts w:ascii="David" w:hAnsi="David"/>
          <w:sz w:val="24"/>
          <w:rtl/>
        </w:rPr>
        <w:t xml:space="preserve">נועד להגן על אדם מפני פגיעה בפרטיותו על ידי </w:t>
      </w:r>
      <w:r w:rsidR="00B00214" w:rsidRPr="00651B36">
        <w:rPr>
          <w:rFonts w:ascii="David" w:hAnsi="David" w:hint="cs"/>
          <w:sz w:val="24"/>
          <w:rtl/>
        </w:rPr>
        <w:t>קביעת איסור ל</w:t>
      </w:r>
      <w:r w:rsidR="00B00214" w:rsidRPr="00651B36">
        <w:rPr>
          <w:rFonts w:ascii="David" w:hAnsi="David"/>
          <w:sz w:val="24"/>
          <w:rtl/>
        </w:rPr>
        <w:t xml:space="preserve">האזנה לשיחותיו ללא </w:t>
      </w:r>
      <w:r w:rsidR="00B00214" w:rsidRPr="00651B36">
        <w:rPr>
          <w:rFonts w:ascii="David" w:hAnsi="David" w:hint="cs"/>
          <w:sz w:val="24"/>
          <w:rtl/>
        </w:rPr>
        <w:t>הסכמ</w:t>
      </w:r>
      <w:r w:rsidR="00B00214" w:rsidRPr="00651B36">
        <w:rPr>
          <w:rFonts w:ascii="David" w:hAnsi="David"/>
          <w:sz w:val="24"/>
          <w:rtl/>
        </w:rPr>
        <w:t>תו. לצד זאת החוק קבע חריגים ל</w:t>
      </w:r>
      <w:r w:rsidR="00B00214">
        <w:rPr>
          <w:rFonts w:ascii="David" w:hAnsi="David" w:hint="cs"/>
          <w:sz w:val="24"/>
          <w:rtl/>
        </w:rPr>
        <w:t>כך,</w:t>
      </w:r>
      <w:r w:rsidR="00B00214">
        <w:rPr>
          <w:rFonts w:ascii="David" w:hAnsi="David" w:hint="cs"/>
          <w:sz w:val="24"/>
        </w:rPr>
        <w:t xml:space="preserve"> </w:t>
      </w:r>
      <w:r w:rsidR="00B00214" w:rsidRPr="00651B36">
        <w:rPr>
          <w:rFonts w:ascii="David" w:hAnsi="David"/>
          <w:sz w:val="24"/>
          <w:rtl/>
        </w:rPr>
        <w:t>המתירים למשטרה לבצע האזנות סתר</w:t>
      </w:r>
      <w:r w:rsidR="00B00214">
        <w:rPr>
          <w:rFonts w:ascii="David" w:hAnsi="David" w:hint="cs"/>
          <w:sz w:val="24"/>
          <w:rtl/>
        </w:rPr>
        <w:t xml:space="preserve"> לאחר קבלת צו שיפוטי בעילות האלה: </w:t>
      </w:r>
      <w:r w:rsidR="00B00214" w:rsidRPr="00651B36">
        <w:rPr>
          <w:rFonts w:ascii="David" w:hAnsi="David" w:hint="cs"/>
          <w:sz w:val="24"/>
          <w:rtl/>
        </w:rPr>
        <w:t>גילוי, חקירה או מניע</w:t>
      </w:r>
      <w:r w:rsidR="00B00214">
        <w:rPr>
          <w:rFonts w:ascii="David" w:hAnsi="David" w:hint="cs"/>
          <w:sz w:val="24"/>
          <w:rtl/>
        </w:rPr>
        <w:t>ה של</w:t>
      </w:r>
      <w:r w:rsidR="00B00214" w:rsidRPr="00651B36">
        <w:rPr>
          <w:rFonts w:ascii="David" w:hAnsi="David" w:hint="cs"/>
          <w:sz w:val="24"/>
          <w:rtl/>
        </w:rPr>
        <w:t xml:space="preserve"> עבירות </w:t>
      </w:r>
      <w:bookmarkEnd w:id="26"/>
      <w:r w:rsidR="00B00214" w:rsidRPr="00651B36">
        <w:rPr>
          <w:rFonts w:ascii="David" w:hAnsi="David" w:hint="cs"/>
          <w:sz w:val="24"/>
          <w:rtl/>
        </w:rPr>
        <w:t>מסוג פשע</w:t>
      </w:r>
      <w:r w:rsidR="00B00214">
        <w:rPr>
          <w:rStyle w:val="af"/>
          <w:rtl/>
        </w:rPr>
        <w:footnoteReference w:id="13"/>
      </w:r>
      <w:r w:rsidR="00B00214" w:rsidRPr="00651B36">
        <w:rPr>
          <w:rFonts w:ascii="David" w:hAnsi="David" w:hint="cs"/>
          <w:sz w:val="24"/>
          <w:rtl/>
        </w:rPr>
        <w:t>; גילוי או תפיס</w:t>
      </w:r>
      <w:r w:rsidR="00B00214">
        <w:rPr>
          <w:rFonts w:ascii="David" w:hAnsi="David" w:hint="cs"/>
          <w:sz w:val="24"/>
          <w:rtl/>
        </w:rPr>
        <w:t>ה של</w:t>
      </w:r>
      <w:r w:rsidR="00B00214" w:rsidRPr="00651B36">
        <w:rPr>
          <w:rFonts w:ascii="David" w:hAnsi="David" w:hint="cs"/>
          <w:sz w:val="24"/>
          <w:rtl/>
        </w:rPr>
        <w:t xml:space="preserve"> עבריינים שעברו עבירות מסוג פשע; חקירה לצ</w:t>
      </w:r>
      <w:r w:rsidR="00B00214">
        <w:rPr>
          <w:rFonts w:ascii="David" w:hAnsi="David" w:hint="cs"/>
          <w:sz w:val="24"/>
          <w:rtl/>
        </w:rPr>
        <w:t>ו</w:t>
      </w:r>
      <w:r w:rsidR="00B00214" w:rsidRPr="00651B36">
        <w:rPr>
          <w:rFonts w:ascii="David" w:hAnsi="David" w:hint="cs"/>
          <w:sz w:val="24"/>
          <w:rtl/>
        </w:rPr>
        <w:t>רכי חילוט רכוש הקשור בעבירה שהיא פשע</w:t>
      </w:r>
      <w:r w:rsidR="00B00214">
        <w:rPr>
          <w:rStyle w:val="af"/>
          <w:rtl/>
        </w:rPr>
        <w:footnoteReference w:id="14"/>
      </w:r>
      <w:r w:rsidR="00B00214" w:rsidRPr="00651B36">
        <w:rPr>
          <w:rFonts w:ascii="David" w:hAnsi="David" w:hint="cs"/>
          <w:sz w:val="24"/>
          <w:rtl/>
        </w:rPr>
        <w:t>.</w:t>
      </w:r>
      <w:r w:rsidR="00B00214">
        <w:rPr>
          <w:rFonts w:hint="cs"/>
          <w:rtl/>
        </w:rPr>
        <w:t xml:space="preserve"> בצו של בית המשפט המחוזי המתיר למשטרה </w:t>
      </w:r>
      <w:r w:rsidR="00B00214" w:rsidRPr="002F4F1B">
        <w:rPr>
          <w:rtl/>
        </w:rPr>
        <w:t xml:space="preserve">לבצע האזנת סתר </w:t>
      </w:r>
      <w:r w:rsidR="00B00214">
        <w:rPr>
          <w:rFonts w:hint="cs"/>
          <w:rtl/>
        </w:rPr>
        <w:t>יפורטו זהות האדם אשר הותרה האזנה לשיחותיו</w:t>
      </w:r>
      <w:r w:rsidR="002858B7" w:rsidRPr="002858B7">
        <w:rPr>
          <w:vertAlign w:val="superscript"/>
          <w:rtl/>
        </w:rPr>
        <w:footnoteReference w:id="15"/>
      </w:r>
      <w:r w:rsidR="00382AE8">
        <w:rPr>
          <w:rFonts w:hint="cs"/>
          <w:vertAlign w:val="superscript"/>
          <w:rtl/>
        </w:rPr>
        <w:t xml:space="preserve"> </w:t>
      </w:r>
      <w:r w:rsidR="00B00214">
        <w:rPr>
          <w:rFonts w:hint="cs"/>
          <w:rtl/>
        </w:rPr>
        <w:t>או זהות האמצעי המיועד לשדר או לקבל את המסר (קו או מכשיר)</w:t>
      </w:r>
      <w:r w:rsidR="00265E9A">
        <w:rPr>
          <w:rFonts w:hint="cs"/>
          <w:rtl/>
        </w:rPr>
        <w:t>; ו</w:t>
      </w:r>
      <w:r w:rsidR="00B00214">
        <w:rPr>
          <w:rFonts w:hint="cs"/>
          <w:rtl/>
        </w:rPr>
        <w:t>מקום השיחות או סוג השיחות</w:t>
      </w:r>
      <w:r w:rsidR="00B00214">
        <w:rPr>
          <w:rStyle w:val="af"/>
          <w:rtl/>
        </w:rPr>
        <w:footnoteReference w:id="16"/>
      </w:r>
      <w:r w:rsidR="00B00214" w:rsidRPr="00655EB4">
        <w:rPr>
          <w:rFonts w:hint="eastAsia"/>
          <w:rtl/>
        </w:rPr>
        <w:t xml:space="preserve"> </w:t>
      </w:r>
      <w:r w:rsidR="00B00214">
        <w:rPr>
          <w:rFonts w:hint="cs"/>
          <w:rtl/>
        </w:rPr>
        <w:t xml:space="preserve">- </w:t>
      </w:r>
      <w:r w:rsidR="00B00214" w:rsidRPr="00655EB4">
        <w:rPr>
          <w:rFonts w:hint="eastAsia"/>
          <w:rtl/>
        </w:rPr>
        <w:t>הכ</w:t>
      </w:r>
      <w:r w:rsidR="00B00214">
        <w:rPr>
          <w:rFonts w:hint="cs"/>
          <w:rtl/>
        </w:rPr>
        <w:t>ו</w:t>
      </w:r>
      <w:r w:rsidR="00B00214" w:rsidRPr="00655EB4">
        <w:rPr>
          <w:rFonts w:hint="eastAsia"/>
          <w:rtl/>
        </w:rPr>
        <w:t>ל</w:t>
      </w:r>
      <w:r w:rsidR="00B00214" w:rsidRPr="00655EB4">
        <w:rPr>
          <w:rtl/>
        </w:rPr>
        <w:t xml:space="preserve"> </w:t>
      </w:r>
      <w:r w:rsidR="00B00214" w:rsidRPr="00655EB4">
        <w:rPr>
          <w:rFonts w:hint="eastAsia"/>
          <w:rtl/>
        </w:rPr>
        <w:t>אם</w:t>
      </w:r>
      <w:r w:rsidR="00B00214" w:rsidRPr="00655EB4">
        <w:rPr>
          <w:rtl/>
        </w:rPr>
        <w:t xml:space="preserve"> </w:t>
      </w:r>
      <w:r w:rsidR="00B00214" w:rsidRPr="00655EB4">
        <w:rPr>
          <w:rFonts w:hint="eastAsia"/>
          <w:rtl/>
        </w:rPr>
        <w:t>הם</w:t>
      </w:r>
      <w:r w:rsidR="00B00214" w:rsidRPr="00655EB4">
        <w:rPr>
          <w:rtl/>
        </w:rPr>
        <w:t xml:space="preserve"> </w:t>
      </w:r>
      <w:r w:rsidR="00B00214" w:rsidRPr="00655EB4">
        <w:rPr>
          <w:rFonts w:hint="eastAsia"/>
          <w:rtl/>
        </w:rPr>
        <w:t>ידועים</w:t>
      </w:r>
      <w:r w:rsidR="00B00214" w:rsidRPr="00655EB4">
        <w:rPr>
          <w:rtl/>
        </w:rPr>
        <w:t xml:space="preserve"> </w:t>
      </w:r>
      <w:r w:rsidR="00B00214" w:rsidRPr="00655EB4">
        <w:rPr>
          <w:rFonts w:hint="eastAsia"/>
          <w:rtl/>
        </w:rPr>
        <w:t>מראש</w:t>
      </w:r>
      <w:r w:rsidR="00B00214">
        <w:rPr>
          <w:rFonts w:hint="cs"/>
          <w:rtl/>
        </w:rPr>
        <w:t>. בכך החוק מקיף את כל</w:t>
      </w:r>
      <w:r w:rsidR="00B00214">
        <w:rPr>
          <w:rFonts w:hint="cs"/>
        </w:rPr>
        <w:t xml:space="preserve"> </w:t>
      </w:r>
      <w:r w:rsidR="00B00214">
        <w:rPr>
          <w:rFonts w:hint="cs"/>
          <w:rtl/>
        </w:rPr>
        <w:t xml:space="preserve">שיטות השיחה המודרניות: בדיבור פנים אל פנים, בדיבור באמצעות מכשיר או בתשדורת של מסרים בין מחשבים. </w:t>
      </w:r>
    </w:p>
    <w:p w:rsidR="00271D14" w:rsidRDefault="00271D14" w:rsidP="00604C3D">
      <w:pPr>
        <w:spacing w:line="269" w:lineRule="auto"/>
        <w:ind w:left="360"/>
        <w:rPr>
          <w:rFonts w:eastAsia="Century Gothic"/>
          <w:rtl/>
        </w:rPr>
      </w:pPr>
    </w:p>
    <w:p w:rsidR="00B00214" w:rsidRDefault="00B00214" w:rsidP="00604C3D">
      <w:pPr>
        <w:spacing w:line="269" w:lineRule="auto"/>
        <w:ind w:left="360"/>
        <w:rPr>
          <w:rtl/>
        </w:rPr>
      </w:pPr>
      <w:r w:rsidRPr="00175CB7">
        <w:rPr>
          <w:rFonts w:eastAsia="Century Gothic" w:hint="cs"/>
          <w:rtl/>
        </w:rPr>
        <w:t xml:space="preserve">בשנים 2019 - 2021 </w:t>
      </w:r>
      <w:r>
        <w:rPr>
          <w:rFonts w:eastAsia="Century Gothic" w:hint="cs"/>
          <w:rtl/>
        </w:rPr>
        <w:t>הכינה המשטרה</w:t>
      </w:r>
      <w:r w:rsidRPr="00175CB7">
        <w:rPr>
          <w:rFonts w:eastAsia="Century Gothic" w:hint="cs"/>
          <w:rtl/>
        </w:rPr>
        <w:t xml:space="preserve"> 14,284 בקשות לקבלת צווי האזנת סתר מסוגים שונים</w:t>
      </w:r>
      <w:r>
        <w:rPr>
          <w:rFonts w:eastAsia="Century Gothic" w:hint="cs"/>
          <w:rtl/>
        </w:rPr>
        <w:t xml:space="preserve"> -</w:t>
      </w:r>
      <w:r>
        <w:rPr>
          <w:rFonts w:eastAsia="Century Gothic" w:hint="cs"/>
        </w:rPr>
        <w:t xml:space="preserve"> </w:t>
      </w:r>
      <w:r w:rsidRPr="00C37437">
        <w:rPr>
          <w:rFonts w:eastAsia="Century Gothic" w:hint="cs"/>
          <w:rtl/>
        </w:rPr>
        <w:t>12,937</w:t>
      </w:r>
      <w:r>
        <w:rPr>
          <w:rFonts w:eastAsia="Century Gothic" w:hint="cs"/>
        </w:rPr>
        <w:t xml:space="preserve"> </w:t>
      </w:r>
      <w:r>
        <w:rPr>
          <w:rFonts w:eastAsia="Century Gothic" w:hint="cs"/>
          <w:rtl/>
        </w:rPr>
        <w:t>מה</w:t>
      </w:r>
      <w:r w:rsidR="0024640F">
        <w:rPr>
          <w:rFonts w:eastAsia="Century Gothic" w:hint="cs"/>
          <w:rtl/>
        </w:rPr>
        <w:t>ן</w:t>
      </w:r>
      <w:r>
        <w:rPr>
          <w:rFonts w:eastAsia="Century Gothic" w:hint="cs"/>
          <w:rtl/>
        </w:rPr>
        <w:t xml:space="preserve"> אושרו</w:t>
      </w:r>
      <w:bookmarkStart w:id="32" w:name="_Hlk185142032"/>
      <w:r w:rsidRPr="00C37437">
        <w:rPr>
          <w:rFonts w:eastAsia="Century Gothic"/>
          <w:vertAlign w:val="superscript"/>
          <w:rtl/>
        </w:rPr>
        <w:footnoteReference w:id="17"/>
      </w:r>
      <w:bookmarkEnd w:id="32"/>
      <w:r w:rsidRPr="00175CB7">
        <w:rPr>
          <w:rFonts w:eastAsia="Century Gothic" w:hint="cs"/>
          <w:rtl/>
        </w:rPr>
        <w:t>.</w:t>
      </w:r>
      <w:r>
        <w:rPr>
          <w:rFonts w:eastAsia="Century Gothic" w:hint="cs"/>
          <w:rtl/>
        </w:rPr>
        <w:t xml:space="preserve"> </w:t>
      </w:r>
      <w:r>
        <w:rPr>
          <w:rFonts w:hint="cs"/>
          <w:rtl/>
        </w:rPr>
        <w:t>בתרשים שלהלן מוצגות בקשות המשטרה שאושרו בחלוקה לפי שנים.</w:t>
      </w:r>
    </w:p>
    <w:p w:rsidR="00271D14" w:rsidRDefault="00271D14" w:rsidP="00604C3D">
      <w:pPr>
        <w:spacing w:line="269" w:lineRule="auto"/>
        <w:ind w:left="75"/>
        <w:contextualSpacing/>
        <w:jc w:val="center"/>
        <w:rPr>
          <w:rtl/>
        </w:rPr>
      </w:pPr>
    </w:p>
    <w:p w:rsidR="00B00214" w:rsidRDefault="00B00214" w:rsidP="00604C3D">
      <w:pPr>
        <w:spacing w:line="269" w:lineRule="auto"/>
        <w:ind w:left="75"/>
        <w:contextualSpacing/>
        <w:jc w:val="center"/>
        <w:rPr>
          <w:b/>
          <w:bCs/>
          <w:rtl/>
        </w:rPr>
      </w:pPr>
      <w:r w:rsidRPr="0017071A">
        <w:rPr>
          <w:rFonts w:hint="eastAsia"/>
          <w:rtl/>
        </w:rPr>
        <w:t>תרשים</w:t>
      </w:r>
      <w:r w:rsidR="00271D14">
        <w:rPr>
          <w:rFonts w:hint="cs"/>
          <w:rtl/>
        </w:rPr>
        <w:t xml:space="preserve"> 1</w:t>
      </w:r>
      <w:r w:rsidRPr="0017071A">
        <w:rPr>
          <w:rtl/>
        </w:rPr>
        <w:t>:</w:t>
      </w:r>
      <w:r w:rsidRPr="0017071A">
        <w:rPr>
          <w:rFonts w:hint="cs"/>
          <w:b/>
          <w:bCs/>
          <w:rtl/>
        </w:rPr>
        <w:t xml:space="preserve"> </w:t>
      </w:r>
      <w:r w:rsidR="00524701">
        <w:rPr>
          <w:rFonts w:hint="cs"/>
          <w:b/>
          <w:bCs/>
          <w:rtl/>
        </w:rPr>
        <w:t xml:space="preserve">מספר </w:t>
      </w:r>
      <w:r>
        <w:rPr>
          <w:rFonts w:hint="cs"/>
          <w:b/>
          <w:bCs/>
          <w:rtl/>
        </w:rPr>
        <w:t>בקשות</w:t>
      </w:r>
      <w:r w:rsidR="00524701">
        <w:rPr>
          <w:rFonts w:hint="cs"/>
          <w:b/>
          <w:bCs/>
          <w:rtl/>
        </w:rPr>
        <w:t xml:space="preserve"> המשטרה</w:t>
      </w:r>
      <w:r>
        <w:rPr>
          <w:rFonts w:hint="cs"/>
          <w:b/>
          <w:bCs/>
          <w:rtl/>
        </w:rPr>
        <w:t xml:space="preserve"> לקבלת צווי האזנות סתר שאושרו, 2019 </w:t>
      </w:r>
      <w:r>
        <w:rPr>
          <w:b/>
          <w:bCs/>
          <w:rtl/>
        </w:rPr>
        <w:t>-</w:t>
      </w:r>
      <w:r>
        <w:rPr>
          <w:rFonts w:hint="cs"/>
          <w:b/>
          <w:bCs/>
          <w:rtl/>
        </w:rPr>
        <w:t xml:space="preserve"> 2021</w:t>
      </w:r>
    </w:p>
    <w:p w:rsidR="00B00214" w:rsidRDefault="000E6ADB" w:rsidP="00604C3D">
      <w:pPr>
        <w:spacing w:line="269" w:lineRule="auto"/>
        <w:ind w:left="75"/>
        <w:contextualSpacing/>
        <w:jc w:val="center"/>
        <w:rPr>
          <w:b/>
          <w:bCs/>
          <w:rtl/>
        </w:rPr>
      </w:pPr>
      <w:r>
        <w:rPr>
          <w:b/>
          <w:bCs/>
          <w:noProof/>
        </w:rPr>
        <w:drawing>
          <wp:inline distT="0" distB="0" distL="0" distR="0" wp14:anchorId="454AAE34" wp14:editId="77CDEA63">
            <wp:extent cx="4584700" cy="2755900"/>
            <wp:effectExtent l="0" t="0" r="6350" b="635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5E9A" w:rsidRDefault="00265E9A" w:rsidP="00604C3D">
      <w:pPr>
        <w:pStyle w:val="a5"/>
        <w:spacing w:line="269" w:lineRule="auto"/>
        <w:ind w:left="0"/>
        <w:rPr>
          <w:rtl/>
        </w:rPr>
      </w:pPr>
      <w:r w:rsidRPr="00265E9A">
        <w:rPr>
          <w:rtl/>
        </w:rPr>
        <w:t>על פי נתוני המשטרה, בעיבוד משרד מבקר המדינה.</w:t>
      </w:r>
    </w:p>
    <w:p w:rsidR="00271D14" w:rsidRPr="00271D14" w:rsidRDefault="00271D14" w:rsidP="00604C3D">
      <w:pPr>
        <w:spacing w:line="269" w:lineRule="auto"/>
        <w:rPr>
          <w:rtl/>
        </w:rPr>
      </w:pPr>
    </w:p>
    <w:p w:rsidR="00B00214" w:rsidRDefault="00B00214" w:rsidP="008C598D">
      <w:pPr>
        <w:pStyle w:val="af2"/>
        <w:numPr>
          <w:ilvl w:val="0"/>
          <w:numId w:val="13"/>
        </w:numPr>
        <w:spacing w:line="269" w:lineRule="auto"/>
        <w:ind w:left="360"/>
        <w:rPr>
          <w:rtl/>
        </w:rPr>
      </w:pPr>
      <w:r>
        <w:rPr>
          <w:rtl/>
        </w:rPr>
        <w:t xml:space="preserve">חוק נתוני תקשורת מאפשר למשטרה קבלת נתוני תקשורת </w:t>
      </w:r>
      <w:r>
        <w:rPr>
          <w:rFonts w:hint="cs"/>
          <w:rtl/>
        </w:rPr>
        <w:t xml:space="preserve">מחברות התקשורת </w:t>
      </w:r>
      <w:r>
        <w:rPr>
          <w:rtl/>
        </w:rPr>
        <w:t xml:space="preserve">בשני מסלולים: </w:t>
      </w:r>
      <w:r>
        <w:rPr>
          <w:rFonts w:hint="cs"/>
          <w:rtl/>
        </w:rPr>
        <w:t xml:space="preserve">מסלול </w:t>
      </w:r>
      <w:r>
        <w:rPr>
          <w:rtl/>
        </w:rPr>
        <w:t>שגרה ו</w:t>
      </w:r>
      <w:r>
        <w:rPr>
          <w:rFonts w:hint="cs"/>
          <w:rtl/>
        </w:rPr>
        <w:t xml:space="preserve">מסלול </w:t>
      </w:r>
      <w:r>
        <w:rPr>
          <w:rtl/>
        </w:rPr>
        <w:t>חירום. בעת שגרה נדרשת המשטרה להגיש לבית משפט השלום</w:t>
      </w:r>
      <w:r>
        <w:rPr>
          <w:rFonts w:hint="cs"/>
          <w:rtl/>
        </w:rPr>
        <w:t xml:space="preserve"> בקשה לקבלת </w:t>
      </w:r>
      <w:r>
        <w:rPr>
          <w:rtl/>
        </w:rPr>
        <w:t xml:space="preserve">נתוני תקשורת </w:t>
      </w:r>
      <w:r>
        <w:rPr>
          <w:rFonts w:hint="cs"/>
          <w:rtl/>
        </w:rPr>
        <w:t xml:space="preserve">מחברות תקשורת, ובית המשפט </w:t>
      </w:r>
      <w:r>
        <w:rPr>
          <w:rtl/>
        </w:rPr>
        <w:t>רשאי לתת</w:t>
      </w:r>
      <w:r>
        <w:rPr>
          <w:rFonts w:hint="cs"/>
          <w:rtl/>
        </w:rPr>
        <w:t xml:space="preserve"> לה</w:t>
      </w:r>
      <w:r>
        <w:rPr>
          <w:rtl/>
        </w:rPr>
        <w:t xml:space="preserve"> צו </w:t>
      </w:r>
      <w:r w:rsidR="001F6217">
        <w:rPr>
          <w:rFonts w:hint="cs"/>
          <w:rtl/>
        </w:rPr>
        <w:t xml:space="preserve">לצורך זה </w:t>
      </w:r>
      <w:r>
        <w:rPr>
          <w:rtl/>
        </w:rPr>
        <w:t>שתוקפו עד 30 ימים. העילות שנקבעו בחוק לשם קבלת צו שיפוטי הן הצלת חיי אדם או הגנה עליהם; גילוי עבירות, חקירתן או מניעתן; גילוי עבריינים והעמדתם לדין וכן חילוט רכוש על פי דין.</w:t>
      </w:r>
      <w:r w:rsidRPr="000A5545">
        <w:rPr>
          <w:rtl/>
        </w:rPr>
        <w:t xml:space="preserve"> </w:t>
      </w:r>
      <w:r>
        <w:rPr>
          <w:rFonts w:hint="cs"/>
          <w:rtl/>
        </w:rPr>
        <w:t>אשר למסלול החירום:</w:t>
      </w:r>
      <w:r>
        <w:rPr>
          <w:rtl/>
        </w:rPr>
        <w:t xml:space="preserve"> במקרים שאינם סובלים דיחוי ו</w:t>
      </w:r>
      <w:r>
        <w:rPr>
          <w:rFonts w:hint="cs"/>
          <w:rtl/>
        </w:rPr>
        <w:t xml:space="preserve">בהם </w:t>
      </w:r>
      <w:r>
        <w:rPr>
          <w:rtl/>
        </w:rPr>
        <w:t xml:space="preserve">אין </w:t>
      </w:r>
      <w:r>
        <w:rPr>
          <w:rFonts w:hint="cs"/>
          <w:rtl/>
        </w:rPr>
        <w:t>למשטרה שהות מספקת</w:t>
      </w:r>
      <w:r>
        <w:rPr>
          <w:rtl/>
        </w:rPr>
        <w:t xml:space="preserve"> </w:t>
      </w:r>
      <w:r>
        <w:rPr>
          <w:rFonts w:hint="cs"/>
          <w:rtl/>
        </w:rPr>
        <w:t>להגיש</w:t>
      </w:r>
      <w:r>
        <w:rPr>
          <w:rtl/>
        </w:rPr>
        <w:t xml:space="preserve"> לבית המשפט</w:t>
      </w:r>
      <w:r>
        <w:rPr>
          <w:rFonts w:hint="cs"/>
          <w:rtl/>
        </w:rPr>
        <w:t xml:space="preserve"> בקשה לקבלת נתוני תקשורת</w:t>
      </w:r>
      <w:r>
        <w:rPr>
          <w:rtl/>
        </w:rPr>
        <w:t xml:space="preserve">, קצין מוסמך </w:t>
      </w:r>
      <w:r>
        <w:rPr>
          <w:rFonts w:hint="cs"/>
          <w:rtl/>
        </w:rPr>
        <w:t>רשאי</w:t>
      </w:r>
      <w:r>
        <w:rPr>
          <w:rtl/>
        </w:rPr>
        <w:t xml:space="preserve"> </w:t>
      </w:r>
      <w:r>
        <w:rPr>
          <w:rFonts w:hint="cs"/>
          <w:rtl/>
        </w:rPr>
        <w:t>לאשר</w:t>
      </w:r>
      <w:r>
        <w:rPr>
          <w:rtl/>
        </w:rPr>
        <w:t xml:space="preserve"> היתר מ</w:t>
      </w:r>
      <w:r>
        <w:rPr>
          <w:rFonts w:hint="cs"/>
          <w:rtl/>
        </w:rPr>
        <w:t>י</w:t>
      </w:r>
      <w:r>
        <w:rPr>
          <w:rtl/>
        </w:rPr>
        <w:t>נהלי לקבלת נתוני תקשורת מחברות תקשורת לפרק זמן של עד 24 שעות.</w:t>
      </w:r>
      <w:r>
        <w:rPr>
          <w:rFonts w:hint="cs"/>
          <w:rtl/>
        </w:rPr>
        <w:t xml:space="preserve"> </w:t>
      </w:r>
    </w:p>
    <w:p w:rsidR="00271D14" w:rsidRDefault="00271D14" w:rsidP="00604C3D">
      <w:pPr>
        <w:spacing w:line="269" w:lineRule="auto"/>
        <w:ind w:left="360"/>
        <w:rPr>
          <w:rtl/>
        </w:rPr>
      </w:pPr>
    </w:p>
    <w:p w:rsidR="00B00214" w:rsidRDefault="00B00214" w:rsidP="00604C3D">
      <w:pPr>
        <w:spacing w:line="269" w:lineRule="auto"/>
        <w:ind w:left="360"/>
        <w:rPr>
          <w:rtl/>
        </w:rPr>
      </w:pPr>
      <w:r>
        <w:rPr>
          <w:rFonts w:hint="cs"/>
          <w:rtl/>
        </w:rPr>
        <w:t xml:space="preserve">בשנים 2019 - 2021 אישרו בתי המשפט 118,152 בקשות לקבלת נתוני תקשורת. באותן שנים קצינים מוסמכים אישרו 48,966 היתרים מינהליים לקבלת נתוני תקשורת במקרים דחופים. בתרשימים שלהלן מוצגים </w:t>
      </w:r>
      <w:r w:rsidR="00A10124">
        <w:rPr>
          <w:rFonts w:hint="cs"/>
          <w:rtl/>
        </w:rPr>
        <w:t xml:space="preserve">מספר </w:t>
      </w:r>
      <w:r>
        <w:rPr>
          <w:rFonts w:hint="cs"/>
          <w:rtl/>
        </w:rPr>
        <w:t xml:space="preserve">בקשות המשטרה לקבלת צו לנתוני תקשורת </w:t>
      </w:r>
      <w:r w:rsidR="00A10124">
        <w:rPr>
          <w:rFonts w:hint="cs"/>
          <w:rtl/>
        </w:rPr>
        <w:t xml:space="preserve">שאושרו </w:t>
      </w:r>
      <w:r>
        <w:rPr>
          <w:rFonts w:hint="cs"/>
          <w:rtl/>
        </w:rPr>
        <w:t>ו</w:t>
      </w:r>
      <w:r w:rsidR="00A10124">
        <w:rPr>
          <w:rFonts w:hint="cs"/>
          <w:rtl/>
        </w:rPr>
        <w:t xml:space="preserve">מספר </w:t>
      </w:r>
      <w:r>
        <w:rPr>
          <w:rFonts w:hint="cs"/>
          <w:rtl/>
        </w:rPr>
        <w:t>ההיתרים המנהליים שאושרו לקבלת נתוני תקשורת בחלוקה לפי שנים.</w:t>
      </w:r>
    </w:p>
    <w:p w:rsidR="00D23DF8" w:rsidRDefault="00D23DF8" w:rsidP="00604C3D">
      <w:pPr>
        <w:spacing w:line="269" w:lineRule="auto"/>
        <w:ind w:left="360"/>
        <w:rPr>
          <w:rtl/>
        </w:rPr>
      </w:pPr>
    </w:p>
    <w:p w:rsidR="00B00214" w:rsidRDefault="00B00214" w:rsidP="00604C3D">
      <w:pPr>
        <w:spacing w:line="269" w:lineRule="auto"/>
        <w:ind w:left="75"/>
        <w:contextualSpacing/>
        <w:jc w:val="center"/>
        <w:rPr>
          <w:b/>
          <w:bCs/>
          <w:rtl/>
        </w:rPr>
      </w:pPr>
      <w:r w:rsidRPr="0017071A">
        <w:rPr>
          <w:rFonts w:hint="eastAsia"/>
          <w:rtl/>
        </w:rPr>
        <w:t>תרשים</w:t>
      </w:r>
      <w:r w:rsidR="00271D14">
        <w:rPr>
          <w:rFonts w:hint="cs"/>
          <w:rtl/>
        </w:rPr>
        <w:t xml:space="preserve"> 2</w:t>
      </w:r>
      <w:r w:rsidRPr="0017071A">
        <w:rPr>
          <w:rtl/>
        </w:rPr>
        <w:t>:</w:t>
      </w:r>
      <w:r w:rsidRPr="0017071A">
        <w:rPr>
          <w:rFonts w:hint="cs"/>
          <w:b/>
          <w:bCs/>
          <w:rtl/>
        </w:rPr>
        <w:t xml:space="preserve"> </w:t>
      </w:r>
      <w:r w:rsidR="00DC4155">
        <w:rPr>
          <w:rFonts w:hint="cs"/>
          <w:b/>
          <w:bCs/>
          <w:rtl/>
        </w:rPr>
        <w:t xml:space="preserve">מספר </w:t>
      </w:r>
      <w:r>
        <w:rPr>
          <w:rFonts w:hint="cs"/>
          <w:b/>
          <w:bCs/>
          <w:rtl/>
        </w:rPr>
        <w:t xml:space="preserve">בקשות המשטרה לקבלת צווים לנתוני תקשורת שאושרו, 2019 </w:t>
      </w:r>
      <w:r>
        <w:rPr>
          <w:b/>
          <w:bCs/>
          <w:rtl/>
        </w:rPr>
        <w:t>-</w:t>
      </w:r>
      <w:r>
        <w:rPr>
          <w:rFonts w:hint="cs"/>
          <w:b/>
          <w:bCs/>
          <w:rtl/>
        </w:rPr>
        <w:t xml:space="preserve"> 2021</w:t>
      </w:r>
    </w:p>
    <w:p w:rsidR="00B00214" w:rsidRDefault="000E6ADB" w:rsidP="00604C3D">
      <w:pPr>
        <w:spacing w:line="269" w:lineRule="auto"/>
        <w:ind w:left="75"/>
        <w:jc w:val="center"/>
        <w:rPr>
          <w:rtl/>
        </w:rPr>
      </w:pPr>
      <w:r>
        <w:rPr>
          <w:noProof/>
        </w:rPr>
        <w:drawing>
          <wp:inline distT="0" distB="0" distL="0" distR="0" wp14:anchorId="0FD05F41" wp14:editId="35476500">
            <wp:extent cx="4469130" cy="2615013"/>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889" cy="2616042"/>
                    </a:xfrm>
                    <a:prstGeom prst="rect">
                      <a:avLst/>
                    </a:prstGeom>
                    <a:noFill/>
                  </pic:spPr>
                </pic:pic>
              </a:graphicData>
            </a:graphic>
          </wp:inline>
        </w:drawing>
      </w:r>
    </w:p>
    <w:p w:rsidR="001F6217" w:rsidRDefault="001F6217" w:rsidP="00604C3D">
      <w:pPr>
        <w:spacing w:line="269" w:lineRule="auto"/>
        <w:ind w:firstLine="424"/>
        <w:rPr>
          <w:szCs w:val="20"/>
          <w:rtl/>
        </w:rPr>
      </w:pPr>
      <w:r w:rsidRPr="001F6217">
        <w:rPr>
          <w:szCs w:val="20"/>
          <w:rtl/>
        </w:rPr>
        <w:t>על פי נתוני המשטרה, בעיבוד משרד מבקר המדינה.</w:t>
      </w:r>
    </w:p>
    <w:p w:rsidR="00194843" w:rsidRPr="001F6217" w:rsidRDefault="00194843" w:rsidP="00604C3D">
      <w:pPr>
        <w:spacing w:line="269" w:lineRule="auto"/>
        <w:ind w:firstLine="424"/>
        <w:rPr>
          <w:szCs w:val="20"/>
          <w:rtl/>
        </w:rPr>
      </w:pPr>
    </w:p>
    <w:p w:rsidR="00B00214" w:rsidRDefault="00B00214" w:rsidP="00604C3D">
      <w:pPr>
        <w:pStyle w:val="a5"/>
        <w:spacing w:line="269" w:lineRule="auto"/>
        <w:ind w:left="0"/>
        <w:rPr>
          <w:rtl/>
        </w:rPr>
      </w:pPr>
    </w:p>
    <w:p w:rsidR="00B00214" w:rsidRDefault="00B00214" w:rsidP="00604C3D">
      <w:pPr>
        <w:spacing w:line="269" w:lineRule="auto"/>
        <w:ind w:left="75"/>
        <w:contextualSpacing/>
        <w:jc w:val="center"/>
        <w:rPr>
          <w:b/>
          <w:bCs/>
          <w:rtl/>
        </w:rPr>
      </w:pPr>
      <w:r w:rsidRPr="0017071A">
        <w:rPr>
          <w:rFonts w:hint="eastAsia"/>
          <w:rtl/>
        </w:rPr>
        <w:t>תרשים</w:t>
      </w:r>
      <w:r w:rsidR="00271D14">
        <w:rPr>
          <w:rFonts w:hint="cs"/>
          <w:rtl/>
        </w:rPr>
        <w:t xml:space="preserve"> 3</w:t>
      </w:r>
      <w:r w:rsidRPr="0017071A">
        <w:rPr>
          <w:rtl/>
        </w:rPr>
        <w:t>:</w:t>
      </w:r>
      <w:r w:rsidRPr="0017071A">
        <w:rPr>
          <w:rFonts w:hint="cs"/>
          <w:b/>
          <w:bCs/>
          <w:rtl/>
        </w:rPr>
        <w:t xml:space="preserve"> </w:t>
      </w:r>
      <w:r w:rsidR="00524701">
        <w:rPr>
          <w:rFonts w:hint="cs"/>
          <w:b/>
          <w:bCs/>
          <w:rtl/>
        </w:rPr>
        <w:t xml:space="preserve">מספר </w:t>
      </w:r>
      <w:r>
        <w:rPr>
          <w:rFonts w:hint="cs"/>
          <w:b/>
          <w:bCs/>
          <w:rtl/>
        </w:rPr>
        <w:t xml:space="preserve">ההיתרים המינהליים לקבלת נתוני תקשורת שאושרו, 2019 </w:t>
      </w:r>
      <w:r>
        <w:rPr>
          <w:b/>
          <w:bCs/>
          <w:rtl/>
        </w:rPr>
        <w:t>-</w:t>
      </w:r>
      <w:r>
        <w:rPr>
          <w:rFonts w:hint="cs"/>
          <w:b/>
          <w:bCs/>
          <w:rtl/>
        </w:rPr>
        <w:t xml:space="preserve"> 2021</w:t>
      </w:r>
    </w:p>
    <w:p w:rsidR="00B00214" w:rsidRDefault="00AE7C67" w:rsidP="00604C3D">
      <w:pPr>
        <w:spacing w:line="269" w:lineRule="auto"/>
        <w:ind w:firstLine="424"/>
        <w:rPr>
          <w:szCs w:val="20"/>
          <w:rtl/>
        </w:rPr>
      </w:pPr>
      <w:r>
        <w:rPr>
          <w:noProof/>
          <w:szCs w:val="20"/>
        </w:rPr>
        <w:drawing>
          <wp:inline distT="0" distB="0" distL="0" distR="0" wp14:anchorId="63BFB571" wp14:editId="4FE8E447">
            <wp:extent cx="4572635" cy="2743200"/>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1F6217" w:rsidRPr="001F6217" w:rsidRDefault="001F6217" w:rsidP="00604C3D">
      <w:pPr>
        <w:spacing w:line="269" w:lineRule="auto"/>
        <w:rPr>
          <w:szCs w:val="20"/>
          <w:rtl/>
        </w:rPr>
      </w:pPr>
      <w:r w:rsidRPr="001F6217">
        <w:rPr>
          <w:szCs w:val="20"/>
          <w:rtl/>
        </w:rPr>
        <w:t>על פי נתוני המשטרה, בעיבוד משרד מבקר המדינה.</w:t>
      </w:r>
    </w:p>
    <w:p w:rsidR="00B00214" w:rsidRPr="00F02C08" w:rsidRDefault="00B00214" w:rsidP="00604C3D">
      <w:pPr>
        <w:spacing w:line="269" w:lineRule="auto"/>
        <w:ind w:firstLine="424"/>
        <w:rPr>
          <w:szCs w:val="20"/>
          <w:rtl/>
        </w:rPr>
      </w:pPr>
    </w:p>
    <w:p w:rsidR="00322E48" w:rsidRDefault="00B00214" w:rsidP="00D23DF8">
      <w:pPr>
        <w:spacing w:line="269" w:lineRule="auto"/>
        <w:rPr>
          <w:rtl/>
        </w:rPr>
      </w:pPr>
      <w:r>
        <w:rPr>
          <w:rFonts w:hint="cs"/>
          <w:rtl/>
        </w:rPr>
        <w:t xml:space="preserve">החוקים האמורים מבחינים בין סוגי המידע שניתן לקבל באמצעותם - נתוני תקשורת ותוצרי האזנה; וכן בין הדרכים לאיסוף המידע ולקבלתו. שורש ההבחנה נעוץ בכך שבהאזנת סתר מתקבל תוכן השיחה (בכל שיטות השיחה המודרניות), לעומת נתוני תקשורת שהם </w:t>
      </w:r>
      <w:r w:rsidRPr="001173ED">
        <w:rPr>
          <w:rtl/>
        </w:rPr>
        <w:t xml:space="preserve">נתוני מנוי, נתוני תעבורה ונתוני מיקום. נתונים אלו אינם כוללים את </w:t>
      </w:r>
      <w:r>
        <w:rPr>
          <w:rFonts w:hint="cs"/>
          <w:rtl/>
        </w:rPr>
        <w:t>תוכן השיחה</w:t>
      </w:r>
      <w:r w:rsidRPr="001173ED">
        <w:rPr>
          <w:rtl/>
        </w:rPr>
        <w:t>, ו</w:t>
      </w:r>
      <w:r>
        <w:rPr>
          <w:rFonts w:hint="cs"/>
          <w:rtl/>
        </w:rPr>
        <w:t xml:space="preserve">הם </w:t>
      </w:r>
      <w:r w:rsidRPr="001173ED">
        <w:rPr>
          <w:rtl/>
        </w:rPr>
        <w:t xml:space="preserve">למעשה מטא-דאטה </w:t>
      </w:r>
      <w:r>
        <w:rPr>
          <w:rFonts w:hint="cs"/>
          <w:rtl/>
        </w:rPr>
        <w:t>ש</w:t>
      </w:r>
      <w:r w:rsidRPr="001173ED">
        <w:rPr>
          <w:rtl/>
        </w:rPr>
        <w:t>נוגע לאמצעי התקשורת ולשימוש בו</w:t>
      </w:r>
      <w:r>
        <w:rPr>
          <w:rStyle w:val="af"/>
          <w:rtl/>
        </w:rPr>
        <w:footnoteReference w:id="18"/>
      </w:r>
      <w:r w:rsidRPr="005F7965">
        <w:rPr>
          <w:rFonts w:hint="cs"/>
          <w:rtl/>
        </w:rPr>
        <w:t>.</w:t>
      </w:r>
    </w:p>
    <w:p w:rsidR="00194843" w:rsidRDefault="00194843" w:rsidP="00D23DF8">
      <w:pPr>
        <w:spacing w:line="269" w:lineRule="auto"/>
        <w:rPr>
          <w:rtl/>
        </w:rPr>
      </w:pPr>
    </w:p>
    <w:p w:rsidR="008541B9" w:rsidRDefault="00B00214" w:rsidP="00604C3D">
      <w:pPr>
        <w:pStyle w:val="3"/>
        <w:spacing w:before="0" w:line="269" w:lineRule="auto"/>
        <w:rPr>
          <w:rtl/>
        </w:rPr>
      </w:pPr>
      <w:bookmarkStart w:id="33" w:name="_Toc219110289"/>
      <w:bookmarkStart w:id="34" w:name="_Toc219113730"/>
      <w:bookmarkStart w:id="35" w:name="_Toc219286505"/>
      <w:r w:rsidRPr="00DD5727">
        <w:rPr>
          <w:rFonts w:eastAsiaTheme="minorHAnsi" w:hint="cs"/>
          <w:rtl/>
        </w:rPr>
        <w:t>בחינה והסדרה של השימוש בכלים טכנולוגיים</w:t>
      </w:r>
      <w:bookmarkEnd w:id="33"/>
      <w:bookmarkEnd w:id="34"/>
      <w:bookmarkEnd w:id="35"/>
      <w:r w:rsidRPr="008541B9">
        <w:rPr>
          <w:rFonts w:hint="cs"/>
          <w:rtl/>
        </w:rPr>
        <w:t xml:space="preserve"> </w:t>
      </w:r>
    </w:p>
    <w:p w:rsidR="00271D14" w:rsidRPr="00A0596D" w:rsidRDefault="00271D14" w:rsidP="00604C3D">
      <w:pPr>
        <w:spacing w:line="269" w:lineRule="auto"/>
        <w:rPr>
          <w:rtl/>
        </w:rPr>
      </w:pPr>
    </w:p>
    <w:p w:rsidR="00B00214" w:rsidRDefault="00B00214" w:rsidP="00604C3D">
      <w:pPr>
        <w:tabs>
          <w:tab w:val="left" w:pos="2975"/>
        </w:tabs>
        <w:spacing w:line="269" w:lineRule="auto"/>
        <w:rPr>
          <w:rFonts w:ascii="David" w:hAnsi="David"/>
          <w:sz w:val="24"/>
        </w:rPr>
      </w:pPr>
      <w:r w:rsidRPr="00B05D50">
        <w:rPr>
          <w:rFonts w:ascii="David" w:hAnsi="David"/>
          <w:sz w:val="24"/>
          <w:rtl/>
        </w:rPr>
        <w:t>כדי למלא את ייעודה ותפקידיה</w:t>
      </w:r>
      <w:r>
        <w:rPr>
          <w:rFonts w:ascii="David" w:hAnsi="David" w:hint="cs"/>
          <w:sz w:val="24"/>
          <w:rtl/>
        </w:rPr>
        <w:t xml:space="preserve"> משתמשת</w:t>
      </w:r>
      <w:r w:rsidRPr="00B05D50">
        <w:rPr>
          <w:rFonts w:ascii="David" w:hAnsi="David"/>
          <w:sz w:val="24"/>
          <w:rtl/>
        </w:rPr>
        <w:t xml:space="preserve"> המשטרה בכלים </w:t>
      </w:r>
      <w:r>
        <w:rPr>
          <w:rFonts w:ascii="David" w:hAnsi="David" w:hint="cs"/>
          <w:sz w:val="24"/>
          <w:rtl/>
        </w:rPr>
        <w:t xml:space="preserve">טכנולוגיים </w:t>
      </w:r>
      <w:r w:rsidRPr="00B05D50">
        <w:rPr>
          <w:rFonts w:ascii="David" w:hAnsi="David"/>
          <w:sz w:val="24"/>
          <w:rtl/>
        </w:rPr>
        <w:t>שונ</w:t>
      </w:r>
      <w:r w:rsidRPr="00B05D50">
        <w:rPr>
          <w:rFonts w:ascii="David" w:hAnsi="David" w:hint="cs"/>
          <w:sz w:val="24"/>
          <w:rtl/>
        </w:rPr>
        <w:t>ים</w:t>
      </w:r>
      <w:r w:rsidRPr="00B05D50">
        <w:rPr>
          <w:rFonts w:ascii="David" w:hAnsi="David"/>
          <w:sz w:val="24"/>
          <w:rtl/>
        </w:rPr>
        <w:t xml:space="preserve"> לצור</w:t>
      </w:r>
      <w:r>
        <w:rPr>
          <w:rFonts w:ascii="David" w:hAnsi="David" w:hint="cs"/>
          <w:sz w:val="24"/>
          <w:rtl/>
        </w:rPr>
        <w:t>כי</w:t>
      </w:r>
      <w:r w:rsidRPr="00B05D50">
        <w:rPr>
          <w:rFonts w:ascii="David" w:hAnsi="David"/>
          <w:sz w:val="24"/>
          <w:rtl/>
        </w:rPr>
        <w:t xml:space="preserve"> האזנה לשיחות והפקת נתוני תקשורת</w:t>
      </w:r>
      <w:r w:rsidRPr="00B05D50">
        <w:rPr>
          <w:rFonts w:ascii="David" w:hAnsi="David" w:hint="cs"/>
          <w:sz w:val="24"/>
          <w:rtl/>
        </w:rPr>
        <w:t>. כלי איסוף</w:t>
      </w:r>
      <w:r>
        <w:rPr>
          <w:rFonts w:ascii="David" w:hAnsi="David" w:hint="cs"/>
          <w:sz w:val="24"/>
          <w:rtl/>
        </w:rPr>
        <w:t xml:space="preserve"> המידע</w:t>
      </w:r>
      <w:r w:rsidRPr="00B05D50">
        <w:rPr>
          <w:rFonts w:ascii="David" w:hAnsi="David" w:hint="cs"/>
          <w:sz w:val="24"/>
          <w:rtl/>
        </w:rPr>
        <w:t xml:space="preserve"> העומדים לרשות </w:t>
      </w:r>
      <w:r>
        <w:rPr>
          <w:rFonts w:ascii="David" w:hAnsi="David" w:hint="cs"/>
          <w:sz w:val="24"/>
          <w:rtl/>
        </w:rPr>
        <w:t>המשטרה לצורך כך</w:t>
      </w:r>
      <w:r w:rsidRPr="00B05D50">
        <w:rPr>
          <w:rFonts w:ascii="David" w:hAnsi="David" w:hint="cs"/>
          <w:sz w:val="24"/>
          <w:rtl/>
        </w:rPr>
        <w:t xml:space="preserve"> הם</w:t>
      </w:r>
      <w:r>
        <w:rPr>
          <w:rFonts w:ascii="David" w:hAnsi="David" w:hint="cs"/>
          <w:sz w:val="24"/>
          <w:rtl/>
        </w:rPr>
        <w:t>,</w:t>
      </w:r>
      <w:r w:rsidRPr="00B05D50">
        <w:rPr>
          <w:rFonts w:ascii="David" w:hAnsi="David" w:hint="cs"/>
          <w:sz w:val="24"/>
          <w:rtl/>
        </w:rPr>
        <w:t xml:space="preserve"> בין היתר, </w:t>
      </w:r>
      <w:r>
        <w:rPr>
          <w:rFonts w:ascii="David" w:hAnsi="David" w:hint="cs"/>
          <w:sz w:val="24"/>
          <w:rtl/>
        </w:rPr>
        <w:t>כלים</w:t>
      </w:r>
      <w:r w:rsidRPr="00B05D50">
        <w:rPr>
          <w:rFonts w:ascii="David" w:hAnsi="David" w:hint="cs"/>
          <w:sz w:val="24"/>
          <w:rtl/>
        </w:rPr>
        <w:t xml:space="preserve"> להאזנה לשמע, </w:t>
      </w:r>
      <w:r>
        <w:rPr>
          <w:rFonts w:ascii="David" w:hAnsi="David" w:hint="cs"/>
          <w:sz w:val="24"/>
          <w:rtl/>
        </w:rPr>
        <w:t xml:space="preserve">כלים </w:t>
      </w:r>
      <w:r w:rsidRPr="00B05D50">
        <w:rPr>
          <w:rFonts w:ascii="David" w:hAnsi="David" w:hint="cs"/>
          <w:sz w:val="24"/>
          <w:rtl/>
        </w:rPr>
        <w:t>ל</w:t>
      </w:r>
      <w:r>
        <w:rPr>
          <w:rFonts w:ascii="David" w:hAnsi="David" w:hint="cs"/>
          <w:sz w:val="24"/>
          <w:rtl/>
        </w:rPr>
        <w:t>קליטת מידע המועבר ב</w:t>
      </w:r>
      <w:r w:rsidRPr="00B05D50">
        <w:rPr>
          <w:rFonts w:ascii="David" w:hAnsi="David" w:hint="cs"/>
          <w:sz w:val="24"/>
          <w:rtl/>
        </w:rPr>
        <w:t>תקשורת בין מחשבים ו</w:t>
      </w:r>
      <w:r>
        <w:rPr>
          <w:rFonts w:ascii="David" w:hAnsi="David" w:hint="cs"/>
          <w:sz w:val="24"/>
          <w:rtl/>
        </w:rPr>
        <w:t xml:space="preserve">כן כלים </w:t>
      </w:r>
      <w:r w:rsidRPr="00B05D50">
        <w:rPr>
          <w:rFonts w:ascii="David" w:hAnsi="David" w:hint="cs"/>
          <w:sz w:val="24"/>
          <w:rtl/>
        </w:rPr>
        <w:t>לאיסוף נתוני תקשורת.</w:t>
      </w:r>
    </w:p>
    <w:p w:rsidR="00271D14" w:rsidRPr="00A0596D" w:rsidRDefault="00271D14" w:rsidP="00604C3D">
      <w:pPr>
        <w:spacing w:line="269" w:lineRule="auto"/>
        <w:rPr>
          <w:rtl/>
        </w:rPr>
      </w:pPr>
    </w:p>
    <w:p w:rsidR="00B00214" w:rsidRPr="002C0C76" w:rsidRDefault="00B00214" w:rsidP="00604C3D">
      <w:pPr>
        <w:tabs>
          <w:tab w:val="left" w:pos="2975"/>
        </w:tabs>
        <w:spacing w:line="269" w:lineRule="auto"/>
        <w:rPr>
          <w:rStyle w:val="70"/>
          <w:szCs w:val="20"/>
          <w:rtl/>
        </w:rPr>
      </w:pPr>
      <w:r>
        <w:rPr>
          <w:rFonts w:ascii="David" w:hAnsi="David" w:hint="cs"/>
          <w:sz w:val="24"/>
          <w:rtl/>
        </w:rPr>
        <w:t>חלק מהכלים הטכנולוגיים מותקנ</w:t>
      </w:r>
      <w:r w:rsidR="003908A3">
        <w:rPr>
          <w:rFonts w:ascii="David" w:hAnsi="David" w:hint="cs"/>
          <w:sz w:val="24"/>
          <w:rtl/>
        </w:rPr>
        <w:t>ים</w:t>
      </w:r>
      <w:r>
        <w:rPr>
          <w:rFonts w:ascii="David" w:hAnsi="David" w:hint="cs"/>
          <w:sz w:val="24"/>
          <w:rtl/>
        </w:rPr>
        <w:t xml:space="preserve"> על מכשירי קצה ומאפשר</w:t>
      </w:r>
      <w:r w:rsidR="003908A3">
        <w:rPr>
          <w:rFonts w:ascii="David" w:hAnsi="David" w:hint="cs"/>
          <w:sz w:val="24"/>
          <w:rtl/>
        </w:rPr>
        <w:t>ים</w:t>
      </w:r>
      <w:r>
        <w:rPr>
          <w:rFonts w:ascii="David" w:hAnsi="David" w:hint="cs"/>
          <w:sz w:val="24"/>
          <w:rtl/>
        </w:rPr>
        <w:t xml:space="preserve"> קבלת גישה למידע האגור בהם ולמידע המועבר בזמן אמת ממכשיר הקצה באמצעות תקשורת בין מחשבים. זאת, ללא ידיעת יעדי ההאזנה. השימוש ב</w:t>
      </w:r>
      <w:r w:rsidR="003908A3">
        <w:rPr>
          <w:rFonts w:ascii="David" w:hAnsi="David" w:hint="cs"/>
          <w:sz w:val="24"/>
          <w:rtl/>
        </w:rPr>
        <w:t>כלים טכנולוגיים לצורך האזנות סתר</w:t>
      </w:r>
      <w:r>
        <w:rPr>
          <w:rFonts w:ascii="David" w:hAnsi="David" w:hint="cs"/>
          <w:sz w:val="24"/>
          <w:rtl/>
        </w:rPr>
        <w:t xml:space="preserve"> הוגדר על ידי הייעוץ המשפטי לממשלה כנקודת מפנה</w:t>
      </w:r>
      <w:r>
        <w:rPr>
          <w:rStyle w:val="af"/>
          <w:rFonts w:ascii="David" w:hAnsi="David"/>
          <w:sz w:val="24"/>
          <w:rtl/>
        </w:rPr>
        <w:footnoteReference w:id="19"/>
      </w:r>
      <w:r>
        <w:rPr>
          <w:rFonts w:ascii="David" w:hAnsi="David" w:hint="cs"/>
          <w:sz w:val="24"/>
          <w:rtl/>
        </w:rPr>
        <w:t xml:space="preserve">. </w:t>
      </w:r>
    </w:p>
    <w:p w:rsidR="00271D14" w:rsidRPr="00A0596D" w:rsidRDefault="00271D14" w:rsidP="00604C3D">
      <w:pPr>
        <w:spacing w:line="269" w:lineRule="auto"/>
        <w:rPr>
          <w:rtl/>
        </w:rPr>
      </w:pPr>
    </w:p>
    <w:p w:rsidR="00B00214" w:rsidRPr="00B05D50" w:rsidRDefault="00B00214" w:rsidP="00604C3D">
      <w:pPr>
        <w:tabs>
          <w:tab w:val="left" w:pos="2975"/>
        </w:tabs>
        <w:spacing w:line="269" w:lineRule="auto"/>
        <w:rPr>
          <w:rFonts w:ascii="David" w:hAnsi="David"/>
          <w:sz w:val="24"/>
          <w:rtl/>
        </w:rPr>
      </w:pPr>
      <w:r w:rsidRPr="00B05D50">
        <w:rPr>
          <w:rFonts w:ascii="David" w:hAnsi="David" w:hint="cs"/>
          <w:sz w:val="24"/>
          <w:rtl/>
        </w:rPr>
        <w:t xml:space="preserve">דוח </w:t>
      </w:r>
      <w:r w:rsidR="00A10124">
        <w:rPr>
          <w:rFonts w:ascii="David" w:hAnsi="David" w:hint="cs"/>
          <w:sz w:val="24"/>
          <w:rtl/>
        </w:rPr>
        <w:t xml:space="preserve">ביקורת </w:t>
      </w:r>
      <w:r w:rsidRPr="00B05D50">
        <w:rPr>
          <w:rFonts w:ascii="David" w:hAnsi="David" w:hint="cs"/>
          <w:sz w:val="24"/>
          <w:rtl/>
        </w:rPr>
        <w:t xml:space="preserve">זה עוסק בכלים </w:t>
      </w:r>
      <w:r>
        <w:rPr>
          <w:rFonts w:ascii="David" w:hAnsi="David" w:hint="cs"/>
          <w:sz w:val="24"/>
          <w:rtl/>
        </w:rPr>
        <w:t xml:space="preserve">הטכנולוגיים </w:t>
      </w:r>
      <w:r w:rsidRPr="00B05D50">
        <w:rPr>
          <w:rFonts w:ascii="David" w:hAnsi="David" w:hint="cs"/>
          <w:sz w:val="24"/>
          <w:rtl/>
        </w:rPr>
        <w:t xml:space="preserve">מתחום האזנות סתר ונתוני תקשורת </w:t>
      </w:r>
      <w:r>
        <w:rPr>
          <w:rFonts w:ascii="David" w:hAnsi="David" w:hint="cs"/>
          <w:sz w:val="24"/>
          <w:rtl/>
        </w:rPr>
        <w:t>ש</w:t>
      </w:r>
      <w:r w:rsidRPr="00B05D50">
        <w:rPr>
          <w:rFonts w:ascii="David" w:hAnsi="David" w:hint="cs"/>
          <w:sz w:val="24"/>
          <w:rtl/>
        </w:rPr>
        <w:t xml:space="preserve">בהם </w:t>
      </w:r>
      <w:r w:rsidR="0069473A">
        <w:rPr>
          <w:rFonts w:ascii="David" w:hAnsi="David" w:hint="cs"/>
          <w:sz w:val="24"/>
          <w:rtl/>
        </w:rPr>
        <w:t>השתמשה</w:t>
      </w:r>
      <w:r w:rsidR="0069473A" w:rsidRPr="00B05D50">
        <w:rPr>
          <w:rFonts w:ascii="David" w:hAnsi="David" w:hint="cs"/>
          <w:sz w:val="24"/>
          <w:rtl/>
        </w:rPr>
        <w:t xml:space="preserve"> </w:t>
      </w:r>
      <w:r w:rsidRPr="00B05D50">
        <w:rPr>
          <w:rFonts w:ascii="David" w:hAnsi="David" w:hint="cs"/>
          <w:sz w:val="24"/>
          <w:rtl/>
        </w:rPr>
        <w:t>המשטרה במסגרת המאבק בפשיעה. האזנת סתר ל</w:t>
      </w:r>
      <w:r w:rsidRPr="00B05D50">
        <w:rPr>
          <w:rFonts w:ascii="David" w:hAnsi="David"/>
          <w:sz w:val="24"/>
          <w:rtl/>
        </w:rPr>
        <w:t>שיח</w:t>
      </w:r>
      <w:r w:rsidRPr="00B05D50">
        <w:rPr>
          <w:rFonts w:ascii="David" w:hAnsi="David" w:hint="cs"/>
          <w:sz w:val="24"/>
          <w:rtl/>
        </w:rPr>
        <w:t xml:space="preserve">ה </w:t>
      </w:r>
      <w:r w:rsidRPr="00B05D50">
        <w:rPr>
          <w:rFonts w:ascii="David" w:hAnsi="David"/>
          <w:sz w:val="24"/>
          <w:rtl/>
        </w:rPr>
        <w:t>של אדם ללא ידיעתו פוגעת בזכותו לפרטיות</w:t>
      </w:r>
      <w:r w:rsidRPr="00B05D50">
        <w:rPr>
          <w:rFonts w:ascii="David" w:hAnsi="David" w:hint="cs"/>
          <w:sz w:val="24"/>
          <w:rtl/>
        </w:rPr>
        <w:t xml:space="preserve">, </w:t>
      </w:r>
      <w:r>
        <w:rPr>
          <w:rFonts w:ascii="David" w:hAnsi="David" w:hint="cs"/>
          <w:sz w:val="24"/>
          <w:rtl/>
        </w:rPr>
        <w:t>ו</w:t>
      </w:r>
      <w:r w:rsidRPr="00B05D50">
        <w:rPr>
          <w:rFonts w:ascii="David" w:hAnsi="David" w:hint="cs"/>
          <w:sz w:val="24"/>
          <w:rtl/>
        </w:rPr>
        <w:t xml:space="preserve">פגיעה זו </w:t>
      </w:r>
      <w:r w:rsidRPr="00B05D50">
        <w:rPr>
          <w:rFonts w:ascii="David" w:hAnsi="David"/>
          <w:sz w:val="24"/>
          <w:rtl/>
        </w:rPr>
        <w:t xml:space="preserve">מתעצמת כאשר </w:t>
      </w:r>
      <w:r w:rsidR="001F6217">
        <w:rPr>
          <w:rFonts w:ascii="David" w:hAnsi="David" w:hint="cs"/>
          <w:sz w:val="24"/>
          <w:rtl/>
        </w:rPr>
        <w:t xml:space="preserve">פעולת </w:t>
      </w:r>
      <w:r>
        <w:rPr>
          <w:rFonts w:ascii="David" w:hAnsi="David" w:hint="cs"/>
          <w:sz w:val="24"/>
          <w:rtl/>
        </w:rPr>
        <w:t>ה</w:t>
      </w:r>
      <w:r w:rsidRPr="00B05D50">
        <w:rPr>
          <w:rFonts w:ascii="David" w:hAnsi="David"/>
          <w:sz w:val="24"/>
          <w:rtl/>
        </w:rPr>
        <w:t>האזנה אינה מוגבלת לשמע אל</w:t>
      </w:r>
      <w:r w:rsidRPr="00B05D50">
        <w:rPr>
          <w:rFonts w:ascii="David" w:hAnsi="David" w:hint="cs"/>
          <w:sz w:val="24"/>
          <w:rtl/>
        </w:rPr>
        <w:t>א</w:t>
      </w:r>
      <w:r w:rsidRPr="00B05D50">
        <w:rPr>
          <w:rFonts w:ascii="David" w:hAnsi="David"/>
          <w:sz w:val="24"/>
          <w:rtl/>
        </w:rPr>
        <w:t xml:space="preserve"> מורחבת לקליטת </w:t>
      </w:r>
      <w:r w:rsidR="00C83176">
        <w:rPr>
          <w:rFonts w:ascii="David" w:hAnsi="David" w:hint="cs"/>
          <w:sz w:val="24"/>
          <w:rtl/>
        </w:rPr>
        <w:t>סוגי מידע</w:t>
      </w:r>
      <w:r w:rsidR="00C83176" w:rsidRPr="00B05D50">
        <w:rPr>
          <w:rFonts w:ascii="David" w:hAnsi="David"/>
          <w:sz w:val="24"/>
          <w:rtl/>
        </w:rPr>
        <w:t xml:space="preserve"> </w:t>
      </w:r>
      <w:r>
        <w:rPr>
          <w:rFonts w:ascii="David" w:hAnsi="David" w:hint="cs"/>
          <w:sz w:val="24"/>
          <w:rtl/>
        </w:rPr>
        <w:t>שונים ומגוונים העוברים בתקשורת בין מחשבים.</w:t>
      </w:r>
    </w:p>
    <w:p w:rsidR="00271D14" w:rsidRDefault="00271D14" w:rsidP="00604C3D">
      <w:pPr>
        <w:tabs>
          <w:tab w:val="left" w:pos="2975"/>
        </w:tabs>
        <w:spacing w:line="269" w:lineRule="auto"/>
        <w:rPr>
          <w:rFonts w:ascii="David" w:hAnsi="David"/>
          <w:sz w:val="24"/>
          <w:rtl/>
        </w:rPr>
      </w:pPr>
    </w:p>
    <w:p w:rsidR="00B00214" w:rsidRDefault="00B00214" w:rsidP="00604C3D">
      <w:pPr>
        <w:tabs>
          <w:tab w:val="left" w:pos="2975"/>
        </w:tabs>
        <w:spacing w:line="269" w:lineRule="auto"/>
        <w:rPr>
          <w:rFonts w:ascii="David" w:hAnsi="David"/>
          <w:sz w:val="24"/>
          <w:rtl/>
        </w:rPr>
      </w:pPr>
      <w:r>
        <w:rPr>
          <w:rFonts w:ascii="David" w:hAnsi="David" w:hint="cs"/>
          <w:sz w:val="24"/>
          <w:rtl/>
        </w:rPr>
        <w:t xml:space="preserve">הפעלת סמכותה של המשטרה להשתמש בכלים טכנולוגיים, כהפעלתן של שאר סמכויות המשטרה, מותנית בכך כי הפעולה תתבצע על פי דין. ראשית, על המשטרה להשתמש בכלי הטכנולוגי או להפעיל יכולת מסוימת של הכלי רק לאחר שנמצא כי בסמכותה להשתמש בכלי לצרכיה ולממש את יכולותיו. שנית, נדרש כי הסמכות תופעל באופן מידתי וסביר - תוך איזון בין </w:t>
      </w:r>
      <w:r w:rsidR="00EB43C6">
        <w:rPr>
          <w:rFonts w:ascii="David" w:hAnsi="David" w:hint="cs"/>
          <w:sz w:val="24"/>
          <w:rtl/>
        </w:rPr>
        <w:t xml:space="preserve">הצורך של המשטרה להשתמש בכלי טכנולוגי במסגרת מילוי תפקידה לבין השאיפה להפחית את </w:t>
      </w:r>
      <w:r>
        <w:rPr>
          <w:rFonts w:ascii="David" w:hAnsi="David" w:hint="cs"/>
          <w:sz w:val="24"/>
          <w:rtl/>
        </w:rPr>
        <w:t xml:space="preserve">הפגיעה האפשרית בזכויות </w:t>
      </w:r>
      <w:r w:rsidR="0014094F">
        <w:rPr>
          <w:rFonts w:ascii="David" w:hAnsi="David" w:hint="cs"/>
          <w:sz w:val="24"/>
          <w:rtl/>
        </w:rPr>
        <w:t>הפרט</w:t>
      </w:r>
      <w:r w:rsidR="00EB43C6">
        <w:rPr>
          <w:rFonts w:ascii="David" w:hAnsi="David" w:hint="cs"/>
          <w:sz w:val="24"/>
          <w:rtl/>
        </w:rPr>
        <w:t xml:space="preserve"> עקב </w:t>
      </w:r>
      <w:r>
        <w:rPr>
          <w:rFonts w:ascii="David" w:hAnsi="David" w:hint="cs"/>
          <w:sz w:val="24"/>
          <w:rtl/>
        </w:rPr>
        <w:t xml:space="preserve">השימוש </w:t>
      </w:r>
      <w:r w:rsidR="00EB43C6">
        <w:rPr>
          <w:rFonts w:ascii="David" w:hAnsi="David" w:hint="cs"/>
          <w:sz w:val="24"/>
          <w:rtl/>
        </w:rPr>
        <w:t>בו</w:t>
      </w:r>
      <w:r>
        <w:rPr>
          <w:rFonts w:ascii="David" w:hAnsi="David" w:hint="cs"/>
          <w:sz w:val="24"/>
          <w:rtl/>
        </w:rPr>
        <w:t xml:space="preserve">. זכויות </w:t>
      </w:r>
      <w:r w:rsidR="0014094F">
        <w:rPr>
          <w:rFonts w:ascii="David" w:hAnsi="David" w:hint="cs"/>
          <w:sz w:val="24"/>
          <w:rtl/>
        </w:rPr>
        <w:t>הפרט</w:t>
      </w:r>
      <w:r>
        <w:rPr>
          <w:rFonts w:ascii="David" w:hAnsi="David" w:hint="cs"/>
          <w:sz w:val="24"/>
          <w:rtl/>
        </w:rPr>
        <w:t xml:space="preserve"> העיקריות העלולות להיפגע כתוצאה מהשימוש בכלים טכנולוגיים</w:t>
      </w:r>
      <w:r w:rsidR="00BF0A1B">
        <w:rPr>
          <w:rFonts w:ascii="David" w:hAnsi="David" w:hint="cs"/>
          <w:sz w:val="24"/>
          <w:rtl/>
        </w:rPr>
        <w:t xml:space="preserve"> הן</w:t>
      </w:r>
      <w:r>
        <w:rPr>
          <w:rFonts w:ascii="David" w:hAnsi="David" w:hint="cs"/>
          <w:sz w:val="24"/>
          <w:rtl/>
        </w:rPr>
        <w:t xml:space="preserve"> הזכות לפרטיות וזכויות חשודים בהליכים פליליים. </w:t>
      </w:r>
    </w:p>
    <w:p w:rsidR="00271D14" w:rsidRDefault="00271D14" w:rsidP="00604C3D">
      <w:pPr>
        <w:spacing w:line="269" w:lineRule="auto"/>
        <w:ind w:left="-2"/>
        <w:rPr>
          <w:rtl/>
        </w:rPr>
      </w:pPr>
    </w:p>
    <w:p w:rsidR="00B00214" w:rsidRPr="00E7426C" w:rsidRDefault="00B00214" w:rsidP="00604C3D">
      <w:pPr>
        <w:spacing w:line="269" w:lineRule="auto"/>
        <w:ind w:left="-2"/>
        <w:rPr>
          <w:rFonts w:ascii="David" w:hAnsi="David"/>
          <w:sz w:val="24"/>
          <w:rtl/>
        </w:rPr>
      </w:pPr>
      <w:r>
        <w:rPr>
          <w:rFonts w:hint="cs"/>
          <w:rtl/>
        </w:rPr>
        <w:t xml:space="preserve">במסגרת ההחלטה אם לאשר למשטרה להשתמש בכלים טכנולוגיים נשקלים, בין היתר, אופי הכלי ומאפייני איסוף המידע באמצעותו, כדי להעריך את מידת הפגיעה הפוטנציאלית בפרטיותו של האדם שלגביו נאסף המידע </w:t>
      </w:r>
      <w:r w:rsidR="00EB43C6">
        <w:rPr>
          <w:rFonts w:hint="cs"/>
          <w:rtl/>
        </w:rPr>
        <w:t xml:space="preserve">באמצעות </w:t>
      </w:r>
      <w:r>
        <w:rPr>
          <w:rFonts w:hint="cs"/>
          <w:rtl/>
        </w:rPr>
        <w:t xml:space="preserve">השימוש בכלי זה. </w:t>
      </w:r>
      <w:r>
        <w:rPr>
          <w:rFonts w:ascii="David" w:hAnsi="David" w:hint="cs"/>
          <w:sz w:val="24"/>
          <w:rtl/>
        </w:rPr>
        <w:t xml:space="preserve">לפיכך </w:t>
      </w:r>
      <w:r w:rsidRPr="00A5091A">
        <w:rPr>
          <w:rFonts w:ascii="David" w:hAnsi="David"/>
          <w:sz w:val="24"/>
          <w:rtl/>
        </w:rPr>
        <w:t>על</w:t>
      </w:r>
      <w:r>
        <w:rPr>
          <w:rFonts w:ascii="David" w:hAnsi="David" w:hint="cs"/>
          <w:sz w:val="24"/>
          <w:rtl/>
        </w:rPr>
        <w:t xml:space="preserve"> המשטרה</w:t>
      </w:r>
      <w:r w:rsidRPr="00A5091A">
        <w:rPr>
          <w:rFonts w:ascii="David" w:hAnsi="David"/>
          <w:sz w:val="24"/>
          <w:rtl/>
        </w:rPr>
        <w:t xml:space="preserve"> ל</w:t>
      </w:r>
      <w:r>
        <w:rPr>
          <w:rFonts w:ascii="David" w:hAnsi="David" w:hint="cs"/>
          <w:sz w:val="24"/>
          <w:rtl/>
        </w:rPr>
        <w:t xml:space="preserve">וודא כי השימוש בכלים נעשה רק לאחר שהתקיימו כלל הבחינות המשפטיות, וכי </w:t>
      </w:r>
      <w:r w:rsidR="00EB43C6">
        <w:rPr>
          <w:rFonts w:ascii="David" w:hAnsi="David" w:hint="cs"/>
          <w:sz w:val="24"/>
          <w:rtl/>
        </w:rPr>
        <w:t xml:space="preserve">מסקנתן של הבחינות המשפטיות </w:t>
      </w:r>
      <w:r>
        <w:rPr>
          <w:rFonts w:ascii="David" w:hAnsi="David" w:hint="cs"/>
          <w:sz w:val="24"/>
          <w:rtl/>
        </w:rPr>
        <w:t xml:space="preserve">היא כי </w:t>
      </w:r>
      <w:r w:rsidR="00EB43C6">
        <w:rPr>
          <w:rFonts w:ascii="David" w:hAnsi="David" w:hint="cs"/>
          <w:sz w:val="24"/>
          <w:rtl/>
        </w:rPr>
        <w:t>המשטרה מוסמכת לעשות בכלים שימוש</w:t>
      </w:r>
      <w:r w:rsidRPr="00A5091A">
        <w:rPr>
          <w:rFonts w:ascii="David" w:hAnsi="David"/>
          <w:sz w:val="24"/>
          <w:rtl/>
        </w:rPr>
        <w:t xml:space="preserve">. </w:t>
      </w:r>
    </w:p>
    <w:p w:rsidR="00271D14" w:rsidRDefault="00271D14" w:rsidP="00604C3D">
      <w:pPr>
        <w:spacing w:line="269" w:lineRule="auto"/>
        <w:ind w:left="-2"/>
        <w:rPr>
          <w:rtl/>
        </w:rPr>
      </w:pPr>
    </w:p>
    <w:p w:rsidR="00B00214" w:rsidRDefault="00B00214" w:rsidP="00604C3D">
      <w:pPr>
        <w:spacing w:line="269" w:lineRule="auto"/>
        <w:ind w:left="-2"/>
        <w:rPr>
          <w:rtl/>
        </w:rPr>
      </w:pPr>
      <w:r>
        <w:rPr>
          <w:rFonts w:hint="cs"/>
          <w:rtl/>
        </w:rPr>
        <w:t>במסגרת פעילותה של המשטרה</w:t>
      </w:r>
      <w:r w:rsidRPr="005F7965">
        <w:rPr>
          <w:rFonts w:hint="cs"/>
          <w:rtl/>
        </w:rPr>
        <w:t xml:space="preserve"> </w:t>
      </w:r>
      <w:r>
        <w:rPr>
          <w:rFonts w:hint="cs"/>
          <w:rtl/>
        </w:rPr>
        <w:t xml:space="preserve">למאבק </w:t>
      </w:r>
      <w:r w:rsidRPr="005F7965">
        <w:rPr>
          <w:rFonts w:hint="cs"/>
          <w:rtl/>
        </w:rPr>
        <w:t>בפשיעה ו</w:t>
      </w:r>
      <w:r>
        <w:rPr>
          <w:rFonts w:hint="cs"/>
          <w:rtl/>
        </w:rPr>
        <w:t>ל</w:t>
      </w:r>
      <w:r w:rsidRPr="005F7965">
        <w:rPr>
          <w:rFonts w:hint="cs"/>
          <w:rtl/>
        </w:rPr>
        <w:t>סיכולה</w:t>
      </w:r>
      <w:r>
        <w:rPr>
          <w:rFonts w:hint="cs"/>
          <w:rtl/>
        </w:rPr>
        <w:t xml:space="preserve"> היא נמצאת ב</w:t>
      </w:r>
      <w:r w:rsidR="00A4503F">
        <w:rPr>
          <w:rFonts w:hint="cs"/>
          <w:rtl/>
        </w:rPr>
        <w:t>'</w:t>
      </w:r>
      <w:r>
        <w:rPr>
          <w:rFonts w:hint="cs"/>
          <w:rtl/>
        </w:rPr>
        <w:t>מרוץ חימוש בלתי פוסק</w:t>
      </w:r>
      <w:r w:rsidR="00A4503F">
        <w:rPr>
          <w:rFonts w:hint="cs"/>
          <w:rtl/>
        </w:rPr>
        <w:t>'</w:t>
      </w:r>
      <w:r>
        <w:rPr>
          <w:rFonts w:hint="cs"/>
          <w:rtl/>
        </w:rPr>
        <w:t xml:space="preserve"> </w:t>
      </w:r>
      <w:r w:rsidR="00A4503F">
        <w:rPr>
          <w:rFonts w:hint="cs"/>
          <w:rtl/>
        </w:rPr>
        <w:t>ו</w:t>
      </w:r>
      <w:r>
        <w:rPr>
          <w:rFonts w:hint="cs"/>
          <w:rtl/>
        </w:rPr>
        <w:t xml:space="preserve">עליה להצטייד במיטב הכלים החדישים ביותר כדי להתמודד עם ארגוני פשיעה ועם עבריינים </w:t>
      </w:r>
      <w:r>
        <w:rPr>
          <w:rFonts w:ascii="David" w:eastAsiaTheme="majorEastAsia" w:hAnsi="David" w:hint="cs"/>
          <w:sz w:val="24"/>
          <w:rtl/>
        </w:rPr>
        <w:t>המשתמשים</w:t>
      </w:r>
      <w:r w:rsidRPr="00267D77">
        <w:rPr>
          <w:rFonts w:ascii="David" w:eastAsiaTheme="majorEastAsia" w:hAnsi="David" w:hint="cs"/>
          <w:sz w:val="24"/>
          <w:rtl/>
        </w:rPr>
        <w:t xml:space="preserve"> באמצעי תקשורת מורכבים, מוצפנים ואנונימיים </w:t>
      </w:r>
      <w:r>
        <w:rPr>
          <w:rFonts w:ascii="David" w:eastAsiaTheme="majorEastAsia" w:hAnsi="David" w:hint="cs"/>
          <w:sz w:val="24"/>
          <w:rtl/>
        </w:rPr>
        <w:t>כדי</w:t>
      </w:r>
      <w:r w:rsidRPr="00267D77">
        <w:rPr>
          <w:rFonts w:ascii="David" w:eastAsiaTheme="majorEastAsia" w:hAnsi="David" w:hint="cs"/>
          <w:sz w:val="24"/>
          <w:rtl/>
        </w:rPr>
        <w:t xml:space="preserve"> להסוות את פעילותם הפלילית ולהימלט מאימת הדין</w:t>
      </w:r>
      <w:r>
        <w:rPr>
          <w:rFonts w:ascii="David" w:eastAsiaTheme="majorEastAsia" w:hAnsi="David" w:hint="cs"/>
          <w:sz w:val="24"/>
          <w:rtl/>
        </w:rPr>
        <w:t>.</w:t>
      </w:r>
      <w:r w:rsidRPr="004B3A96">
        <w:rPr>
          <w:rFonts w:hint="cs"/>
          <w:rtl/>
        </w:rPr>
        <w:t xml:space="preserve"> </w:t>
      </w:r>
      <w:r>
        <w:rPr>
          <w:rFonts w:hint="cs"/>
          <w:rtl/>
        </w:rPr>
        <w:t>לנוכח זאת</w:t>
      </w:r>
      <w:r>
        <w:rPr>
          <w:rFonts w:hint="cs"/>
        </w:rPr>
        <w:t xml:space="preserve"> </w:t>
      </w:r>
      <w:r w:rsidR="00A4503F">
        <w:rPr>
          <w:rFonts w:hint="cs"/>
          <w:rtl/>
        </w:rPr>
        <w:t>חיוני לאפשר</w:t>
      </w:r>
      <w:r>
        <w:rPr>
          <w:rFonts w:hint="cs"/>
          <w:rtl/>
        </w:rPr>
        <w:t xml:space="preserve"> למשטרה להשתמש בכלים טכנולוגיים מהמעלה הראשונה. </w:t>
      </w:r>
    </w:p>
    <w:p w:rsidR="00271D14" w:rsidRDefault="00271D14" w:rsidP="00604C3D">
      <w:pPr>
        <w:spacing w:line="269" w:lineRule="auto"/>
        <w:ind w:left="-2"/>
        <w:rPr>
          <w:rtl/>
        </w:rPr>
      </w:pPr>
    </w:p>
    <w:p w:rsidR="00B00214" w:rsidRDefault="00B00214" w:rsidP="00604C3D">
      <w:pPr>
        <w:spacing w:line="269" w:lineRule="auto"/>
        <w:ind w:left="-2"/>
        <w:rPr>
          <w:rtl/>
        </w:rPr>
      </w:pPr>
      <w:r>
        <w:rPr>
          <w:rFonts w:hint="cs"/>
          <w:rtl/>
        </w:rPr>
        <w:t>עם זאת, לא די בהטמעת השימוש בכלים טכנולוגיים מתקדמים</w:t>
      </w:r>
      <w:r w:rsidR="00A4503F">
        <w:rPr>
          <w:rFonts w:hint="cs"/>
          <w:rtl/>
        </w:rPr>
        <w:t>;</w:t>
      </w:r>
      <w:r>
        <w:rPr>
          <w:rFonts w:hint="cs"/>
          <w:rtl/>
        </w:rPr>
        <w:t xml:space="preserve"> </w:t>
      </w:r>
      <w:r w:rsidR="00A4503F" w:rsidRPr="00A4503F">
        <w:rPr>
          <w:rtl/>
        </w:rPr>
        <w:t>יש להתאים את ההסדרה החוקית לשינויים בתחום זה</w:t>
      </w:r>
      <w:r>
        <w:rPr>
          <w:rFonts w:hint="cs"/>
          <w:rtl/>
        </w:rPr>
        <w:t xml:space="preserve">. כמו כן, על המשטרה </w:t>
      </w:r>
      <w:r w:rsidR="00A4503F">
        <w:rPr>
          <w:rFonts w:hint="cs"/>
          <w:rtl/>
        </w:rPr>
        <w:t xml:space="preserve">לוודא </w:t>
      </w:r>
      <w:r>
        <w:rPr>
          <w:rFonts w:hint="cs"/>
          <w:rtl/>
        </w:rPr>
        <w:t xml:space="preserve">כי במסגרת השימוש בכלים, הלכה למעשה, היא שומרת על זכויות האדם ועומדת במגבלות הדין. </w:t>
      </w:r>
    </w:p>
    <w:p w:rsidR="0069473A" w:rsidRDefault="0069473A" w:rsidP="00604C3D">
      <w:pPr>
        <w:spacing w:line="269" w:lineRule="auto"/>
        <w:ind w:left="-2"/>
        <w:rPr>
          <w:rtl/>
        </w:rPr>
      </w:pPr>
    </w:p>
    <w:p w:rsidR="0069473A" w:rsidRDefault="0069473A" w:rsidP="00604C3D">
      <w:pPr>
        <w:spacing w:line="269" w:lineRule="auto"/>
        <w:ind w:left="-2"/>
        <w:rPr>
          <w:rtl/>
        </w:rPr>
      </w:pPr>
      <w:r>
        <w:rPr>
          <w:rFonts w:hint="cs"/>
          <w:rtl/>
        </w:rPr>
        <w:t xml:space="preserve">משרד מבקר המדינה בחן את </w:t>
      </w:r>
      <w:r w:rsidR="00BD702B">
        <w:rPr>
          <w:rFonts w:hint="cs"/>
          <w:rtl/>
        </w:rPr>
        <w:t>ה</w:t>
      </w:r>
      <w:r>
        <w:rPr>
          <w:rFonts w:hint="cs"/>
          <w:rtl/>
        </w:rPr>
        <w:t xml:space="preserve">כלים </w:t>
      </w:r>
      <w:r w:rsidR="00BD702B">
        <w:rPr>
          <w:rFonts w:hint="cs"/>
          <w:rtl/>
        </w:rPr>
        <w:t>ה</w:t>
      </w:r>
      <w:r>
        <w:rPr>
          <w:rFonts w:hint="cs"/>
          <w:rtl/>
        </w:rPr>
        <w:t xml:space="preserve">טכנולוגיים שהיו בהחזקת המשטרה ושימשו לצורכי האזנת סתר או איסוף נתוני תקשורת במהלך תקופת הבדיקה, החל משנת 2014 ועד לסוף שנת 2021. בחלוף הזמן, </w:t>
      </w:r>
      <w:r w:rsidR="00883980">
        <w:rPr>
          <w:rFonts w:hint="cs"/>
          <w:rtl/>
        </w:rPr>
        <w:t>מספר</w:t>
      </w:r>
      <w:r>
        <w:rPr>
          <w:rFonts w:hint="cs"/>
          <w:rtl/>
        </w:rPr>
        <w:t xml:space="preserve"> הכלים הטכנולוגיים שבהחזקת המשטרה השתנה</w:t>
      </w:r>
      <w:r w:rsidR="00883980">
        <w:rPr>
          <w:rFonts w:hint="cs"/>
          <w:rtl/>
        </w:rPr>
        <w:t xml:space="preserve">, יכולות הכלים השתנו ואף היקף השימוש בהם. </w:t>
      </w:r>
      <w:r w:rsidR="00C3412A">
        <w:rPr>
          <w:rFonts w:hint="cs"/>
          <w:rtl/>
        </w:rPr>
        <w:t>יוצא אפוא</w:t>
      </w:r>
      <w:r w:rsidR="00883980">
        <w:rPr>
          <w:rFonts w:hint="cs"/>
          <w:rtl/>
        </w:rPr>
        <w:t xml:space="preserve"> כי מספר הכלים הטכנולוגיים המוזכרים בדוח זה, וכן מספר מתווי ההתקנה</w:t>
      </w:r>
      <w:r w:rsidR="00C3412A">
        <w:rPr>
          <w:rFonts w:hint="cs"/>
          <w:rtl/>
        </w:rPr>
        <w:t xml:space="preserve"> וסוגי המידע הנאסף במסגרת סמכויות המשטרה לפי חוק האזנות סתר וחוק נתוני תקשורת השתנו במהלך תקופת הביקורת ואף לאחריה. ולכן, מוצע לראות במספרי הכלים, מתווי ה</w:t>
      </w:r>
      <w:r w:rsidR="00062A25">
        <w:rPr>
          <w:rFonts w:hint="cs"/>
          <w:rtl/>
        </w:rPr>
        <w:t>התקנה</w:t>
      </w:r>
      <w:r w:rsidR="00C3412A">
        <w:rPr>
          <w:rFonts w:hint="cs"/>
          <w:rtl/>
        </w:rPr>
        <w:t xml:space="preserve"> וסוגי המידע כאמות מידה לבחינת פעילות המשטרה באותן השנים, אך אין הם מצביעים</w:t>
      </w:r>
      <w:r w:rsidR="00561152">
        <w:rPr>
          <w:rFonts w:hint="cs"/>
          <w:rtl/>
        </w:rPr>
        <w:t xml:space="preserve"> בהכרח</w:t>
      </w:r>
      <w:r w:rsidR="00C3412A">
        <w:rPr>
          <w:rFonts w:hint="cs"/>
          <w:rtl/>
        </w:rPr>
        <w:t xml:space="preserve"> על יכולות המשטרה במועד פרסום הדוח. </w:t>
      </w:r>
    </w:p>
    <w:p w:rsidR="0062497B" w:rsidRDefault="0062497B" w:rsidP="00604C3D">
      <w:pPr>
        <w:spacing w:line="269" w:lineRule="auto"/>
        <w:ind w:left="-2"/>
        <w:rPr>
          <w:rtl/>
        </w:rPr>
      </w:pPr>
    </w:p>
    <w:p w:rsidR="0062497B" w:rsidRPr="00180D6E" w:rsidRDefault="0062497B" w:rsidP="00604C3D">
      <w:pPr>
        <w:spacing w:line="269" w:lineRule="auto"/>
        <w:rPr>
          <w:rtl/>
        </w:rPr>
      </w:pPr>
      <w:r w:rsidRPr="00180D6E">
        <w:rPr>
          <w:rFonts w:hint="cs"/>
          <w:rtl/>
        </w:rPr>
        <w:t xml:space="preserve">דוח ביקורת זה נעשה בראייה </w:t>
      </w:r>
      <w:r w:rsidRPr="00180D6E">
        <w:rPr>
          <w:rtl/>
        </w:rPr>
        <w:t>מערכתית של הנושא</w:t>
      </w:r>
      <w:r w:rsidRPr="00180D6E">
        <w:rPr>
          <w:rFonts w:hint="cs"/>
          <w:rtl/>
        </w:rPr>
        <w:t>,</w:t>
      </w:r>
      <w:r w:rsidRPr="00180D6E">
        <w:rPr>
          <w:rtl/>
        </w:rPr>
        <w:t xml:space="preserve"> </w:t>
      </w:r>
      <w:r w:rsidRPr="00180D6E">
        <w:rPr>
          <w:rFonts w:hint="cs"/>
          <w:rtl/>
        </w:rPr>
        <w:t xml:space="preserve">והוא </w:t>
      </w:r>
      <w:r w:rsidRPr="00180D6E">
        <w:rPr>
          <w:rtl/>
        </w:rPr>
        <w:t xml:space="preserve">אינו מתמקד בבעלי תפקידים ספציפיים אלא בליקויים במבנה הארגוני, בתהליכי </w:t>
      </w:r>
      <w:r w:rsidRPr="00180D6E">
        <w:rPr>
          <w:rFonts w:hint="cs"/>
          <w:rtl/>
        </w:rPr>
        <w:t>ה</w:t>
      </w:r>
      <w:r w:rsidRPr="00180D6E">
        <w:rPr>
          <w:rtl/>
        </w:rPr>
        <w:t>עבודה, במנגנוני שיתופי הפעולה ובתפקוד המתמשך של הגופים</w:t>
      </w:r>
      <w:r w:rsidRPr="00180D6E">
        <w:rPr>
          <w:rFonts w:hint="cs"/>
          <w:rtl/>
        </w:rPr>
        <w:t xml:space="preserve">. בהקשר זה ראוי להדגיש כי בנוגע לפעולות האסורות שביצעה המשטרה בחוסר סמכות או תוך חריגה מסמכות, עולה כי סיבות השורש שהובילו לכך הן היעדר הסדרה חקיקתית, ליקויים בהסדרה המשפטית ופערים בתהליכי העבודה של הגופים. בהקשר זה יצוין כי </w:t>
      </w:r>
      <w:r w:rsidRPr="00180D6E">
        <w:rPr>
          <w:rtl/>
        </w:rPr>
        <w:t>נציגי משרד מבקר המדינה נפגשו עם מספר רב של שוטרים והתרשמו באופן בלתי אמצעי מהפער בין שאיפתם של שוטרים אלו לבצע את המשימות המוטלות עליהם במסגרת הלחימה בפשיעה הגוברת לבין מחסור בהנחייתם המקצועית כמפורט בדוח זה</w:t>
      </w:r>
      <w:r w:rsidRPr="00180D6E">
        <w:rPr>
          <w:rFonts w:hint="cs"/>
          <w:rtl/>
        </w:rPr>
        <w:t xml:space="preserve">. </w:t>
      </w:r>
    </w:p>
    <w:p w:rsidR="00E44F20" w:rsidRDefault="00E44F20" w:rsidP="00604C3D">
      <w:pPr>
        <w:spacing w:line="269" w:lineRule="auto"/>
        <w:ind w:left="-2"/>
        <w:rPr>
          <w:rtl/>
        </w:rPr>
      </w:pPr>
    </w:p>
    <w:p w:rsidR="008541B9" w:rsidRDefault="00B00214" w:rsidP="00604C3D">
      <w:pPr>
        <w:pStyle w:val="3"/>
        <w:spacing w:before="0" w:line="269" w:lineRule="auto"/>
        <w:rPr>
          <w:rtl/>
        </w:rPr>
      </w:pPr>
      <w:bookmarkStart w:id="36" w:name="_Toc219110290"/>
      <w:bookmarkStart w:id="37" w:name="_Toc219113731"/>
      <w:bookmarkStart w:id="38" w:name="_Toc219286506"/>
      <w:r w:rsidRPr="00DD5727">
        <w:rPr>
          <w:rFonts w:hint="cs"/>
          <w:rtl/>
        </w:rPr>
        <w:t>הגורמים המעורבים בשימוש המשטרה בכלים טכנולוגיים</w:t>
      </w:r>
      <w:bookmarkEnd w:id="36"/>
      <w:bookmarkEnd w:id="37"/>
      <w:bookmarkEnd w:id="38"/>
      <w:r w:rsidRPr="0092333E">
        <w:rPr>
          <w:rFonts w:hint="cs"/>
          <w:rtl/>
        </w:rPr>
        <w:t xml:space="preserve"> </w:t>
      </w:r>
    </w:p>
    <w:p w:rsidR="00271D14" w:rsidRDefault="00271D14" w:rsidP="00604C3D">
      <w:pPr>
        <w:spacing w:line="269" w:lineRule="auto"/>
        <w:rPr>
          <w:rFonts w:ascii="David" w:hAnsi="David"/>
          <w:sz w:val="24"/>
          <w:rtl/>
        </w:rPr>
      </w:pPr>
    </w:p>
    <w:p w:rsidR="00B00214" w:rsidRPr="00DD5727" w:rsidRDefault="00B00214" w:rsidP="00604C3D">
      <w:pPr>
        <w:spacing w:line="269" w:lineRule="auto"/>
        <w:rPr>
          <w:rFonts w:ascii="David" w:hAnsi="David"/>
          <w:sz w:val="24"/>
          <w:rtl/>
        </w:rPr>
      </w:pPr>
      <w:r w:rsidRPr="00DD5727">
        <w:rPr>
          <w:rFonts w:ascii="David" w:hAnsi="David" w:hint="cs"/>
          <w:sz w:val="24"/>
          <w:rtl/>
        </w:rPr>
        <w:t xml:space="preserve">שני מערכים עיקריים במשטרה עוסקים בלחימה בפשיעה - מערך החקירות ומערך המודיעין. מערך החקירות מטפל בפשיעה המדווחת, באיתור ראיות ובקשירתן לעבריינים. מערך המודיעין מטפל בפשיעה הלא מדווחת, בסיכול פעילות עבריינית, בסיוע בטיפול בפשיעה המדווחת ובהצגת תמונת מצב של תופעות הפשיעה השונות. זאת בין היתר באמצעות איסוף ראיות הכרחיות לקשירה בין העבירות לעבריינים וכן באמצעות שימוש בכלים ובשיטות ייחודיים שאינם עומדים לרשות מערך החקירות. </w:t>
      </w:r>
    </w:p>
    <w:p w:rsidR="00271D14" w:rsidRDefault="00271D14" w:rsidP="00604C3D">
      <w:pPr>
        <w:spacing w:line="269" w:lineRule="auto"/>
        <w:ind w:left="-2"/>
        <w:rPr>
          <w:rtl/>
        </w:rPr>
      </w:pPr>
    </w:p>
    <w:p w:rsidR="00B00214" w:rsidRDefault="00B00214" w:rsidP="00604C3D">
      <w:pPr>
        <w:spacing w:line="269" w:lineRule="auto"/>
        <w:ind w:left="-2"/>
        <w:rPr>
          <w:rtl/>
        </w:rPr>
      </w:pPr>
      <w:r>
        <w:rPr>
          <w:rFonts w:hint="cs"/>
          <w:rtl/>
        </w:rPr>
        <w:t xml:space="preserve">חטיבת הסייבר באח"ם היא גורם המטה המקצועי המנחה בכל הנוגע לשימוש המשטרה בכלים להאזנות סתר ולקבלת נתוני תקשורת. חלק מהיכולות הטכנולוגיות של החטיבה בוזרו ליחידות השטח של המשטרה, וחלקן מופעלות על ידי יחידות החטיבה בלבד. באחריות החטיבה להנחות ולהכווין מהבחינה המקצועית את יחידות השטח המשתמשות בכלים הטכנולוגיים וכן לבצע פעולות פיקוח ובקרה עליהן. </w:t>
      </w:r>
    </w:p>
    <w:p w:rsidR="00271D14" w:rsidRDefault="00271D14" w:rsidP="00604C3D">
      <w:pPr>
        <w:spacing w:line="269" w:lineRule="auto"/>
        <w:ind w:left="-2"/>
        <w:rPr>
          <w:rtl/>
        </w:rPr>
      </w:pPr>
      <w:bookmarkStart w:id="39" w:name="_Hlk187219163"/>
    </w:p>
    <w:p w:rsidR="00B00214" w:rsidRDefault="00B00214" w:rsidP="00604C3D">
      <w:pPr>
        <w:spacing w:line="269" w:lineRule="auto"/>
        <w:ind w:left="-2"/>
        <w:rPr>
          <w:rtl/>
        </w:rPr>
      </w:pPr>
      <w:r>
        <w:rPr>
          <w:rFonts w:hint="cs"/>
          <w:rtl/>
        </w:rPr>
        <w:t xml:space="preserve">היועמ"שית לממשלה היא הגורם המייעץ והפרשן המוסמך של החוק עבור הרשות המבצעת וגופי המדינה, </w:t>
      </w:r>
      <w:r w:rsidR="00E562A7">
        <w:rPr>
          <w:rFonts w:hint="cs"/>
          <w:rtl/>
        </w:rPr>
        <w:t>ו</w:t>
      </w:r>
      <w:r>
        <w:rPr>
          <w:rFonts w:hint="cs"/>
          <w:rtl/>
        </w:rPr>
        <w:t xml:space="preserve">היא </w:t>
      </w:r>
      <w:r w:rsidR="00E562A7">
        <w:rPr>
          <w:rFonts w:hint="cs"/>
          <w:rtl/>
        </w:rPr>
        <w:t xml:space="preserve">גם </w:t>
      </w:r>
      <w:r>
        <w:rPr>
          <w:rFonts w:hint="cs"/>
          <w:rtl/>
        </w:rPr>
        <w:t xml:space="preserve">עומדת בראש מערכת התביעה של המדינה. </w:t>
      </w:r>
      <w:r w:rsidRPr="001433D0">
        <w:rPr>
          <w:rFonts w:hint="cs"/>
          <w:rtl/>
        </w:rPr>
        <w:t>מתוקף תפקידה</w:t>
      </w:r>
      <w:r>
        <w:rPr>
          <w:rFonts w:hint="cs"/>
          <w:rtl/>
        </w:rPr>
        <w:t>,</w:t>
      </w:r>
      <w:r w:rsidRPr="001433D0">
        <w:rPr>
          <w:rFonts w:hint="cs"/>
          <w:rtl/>
        </w:rPr>
        <w:t xml:space="preserve"> כאשר מתקבלת אצל גורמי הייעוץ המשפטי לממשלה אינדיקציה בדבר פעולה של הרשות המבצעת החורגת מסמכות או </w:t>
      </w:r>
      <w:r>
        <w:rPr>
          <w:rFonts w:hint="cs"/>
          <w:rtl/>
        </w:rPr>
        <w:t xml:space="preserve">בדבר </w:t>
      </w:r>
      <w:r w:rsidRPr="001433D0">
        <w:rPr>
          <w:rFonts w:hint="cs"/>
          <w:rtl/>
        </w:rPr>
        <w:t xml:space="preserve">כל פעולה אחרת שעשויה </w:t>
      </w:r>
      <w:r w:rsidR="008F01B0">
        <w:rPr>
          <w:rFonts w:hint="cs"/>
          <w:rtl/>
        </w:rPr>
        <w:t>אסורה</w:t>
      </w:r>
      <w:r>
        <w:rPr>
          <w:rFonts w:hint="cs"/>
          <w:rtl/>
        </w:rPr>
        <w:t>,</w:t>
      </w:r>
      <w:r w:rsidRPr="001433D0">
        <w:rPr>
          <w:rFonts w:hint="cs"/>
          <w:rtl/>
        </w:rPr>
        <w:t xml:space="preserve"> מחובתה להעמיק את הבחינה </w:t>
      </w:r>
      <w:r>
        <w:rPr>
          <w:rFonts w:hint="cs"/>
          <w:rtl/>
        </w:rPr>
        <w:t>ב</w:t>
      </w:r>
      <w:r w:rsidRPr="001433D0">
        <w:rPr>
          <w:rFonts w:hint="cs"/>
          <w:rtl/>
        </w:rPr>
        <w:t>נושא.</w:t>
      </w:r>
      <w:r>
        <w:rPr>
          <w:rFonts w:hint="cs"/>
          <w:rtl/>
        </w:rPr>
        <w:t xml:space="preserve"> היועמ"ש למשטרה אחראי למתן האישור המשפטי להשתמש בכלים טכנולוגיים. </w:t>
      </w:r>
      <w:r w:rsidRPr="00D51634">
        <w:rPr>
          <w:rFonts w:hint="cs"/>
          <w:rtl/>
        </w:rPr>
        <w:t>עם זאת</w:t>
      </w:r>
      <w:r w:rsidRPr="00246342">
        <w:rPr>
          <w:rFonts w:hint="cs"/>
          <w:rtl/>
        </w:rPr>
        <w:t xml:space="preserve">, </w:t>
      </w:r>
      <w:r w:rsidR="00BF0A1B" w:rsidRPr="00246342">
        <w:rPr>
          <w:rFonts w:hint="cs"/>
          <w:rtl/>
        </w:rPr>
        <w:t>בהתאם להמלצת דוח צוות מררי</w:t>
      </w:r>
      <w:r w:rsidR="00BF0A1B" w:rsidRPr="00D51634">
        <w:rPr>
          <w:rStyle w:val="af"/>
          <w:rtl/>
        </w:rPr>
        <w:footnoteReference w:id="20"/>
      </w:r>
      <w:r w:rsidR="00BF0A1B">
        <w:rPr>
          <w:rFonts w:hint="cs"/>
          <w:rtl/>
        </w:rPr>
        <w:t xml:space="preserve">, </w:t>
      </w:r>
      <w:r w:rsidRPr="00246342">
        <w:rPr>
          <w:rFonts w:hint="cs"/>
          <w:rtl/>
        </w:rPr>
        <w:t xml:space="preserve">אם המשטרה רוצה לרכוש, לפתח </w:t>
      </w:r>
      <w:r w:rsidR="00153072">
        <w:rPr>
          <w:rFonts w:hint="cs"/>
          <w:rtl/>
        </w:rPr>
        <w:t>בעצמה</w:t>
      </w:r>
      <w:r w:rsidRPr="00246342">
        <w:rPr>
          <w:rFonts w:hint="cs"/>
          <w:rtl/>
        </w:rPr>
        <w:t xml:space="preserve"> או </w:t>
      </w:r>
      <w:r w:rsidR="00153072">
        <w:rPr>
          <w:rFonts w:hint="cs"/>
          <w:rtl/>
        </w:rPr>
        <w:t>להכניס לשימוש</w:t>
      </w:r>
      <w:r w:rsidRPr="00246342">
        <w:rPr>
          <w:rFonts w:hint="cs"/>
          <w:rtl/>
        </w:rPr>
        <w:t xml:space="preserve"> כלי טכנולוגי שיש לו יכולת </w:t>
      </w:r>
      <w:r w:rsidR="00153072">
        <w:rPr>
          <w:rFonts w:hint="cs"/>
          <w:rtl/>
        </w:rPr>
        <w:t>ל</w:t>
      </w:r>
      <w:r w:rsidRPr="00246342">
        <w:rPr>
          <w:rFonts w:hint="cs"/>
          <w:rtl/>
        </w:rPr>
        <w:t>איסוף או עיבוד מידע, והוא בעל פוטנציאל לחריגה מסמכות המשטרה להשתמש בו, המשטרה אינה יכולה להסתפק באישורו של</w:t>
      </w:r>
      <w:r w:rsidR="0049609C">
        <w:rPr>
          <w:rFonts w:hint="cs"/>
          <w:rtl/>
        </w:rPr>
        <w:t xml:space="preserve"> </w:t>
      </w:r>
      <w:r w:rsidR="00DE4D6F">
        <w:rPr>
          <w:rFonts w:hint="cs"/>
          <w:rtl/>
        </w:rPr>
        <w:t>ה</w:t>
      </w:r>
      <w:r w:rsidRPr="00246342">
        <w:rPr>
          <w:rFonts w:hint="cs"/>
          <w:rtl/>
        </w:rPr>
        <w:t xml:space="preserve">יועמ"ש </w:t>
      </w:r>
      <w:r w:rsidR="00DE4D6F">
        <w:rPr>
          <w:rFonts w:hint="cs"/>
          <w:rtl/>
        </w:rPr>
        <w:t>ל</w:t>
      </w:r>
      <w:r w:rsidRPr="00246342">
        <w:rPr>
          <w:rFonts w:hint="cs"/>
          <w:rtl/>
        </w:rPr>
        <w:t>משטרה</w:t>
      </w:r>
      <w:r w:rsidR="00153072">
        <w:rPr>
          <w:rFonts w:hint="cs"/>
          <w:rtl/>
        </w:rPr>
        <w:t>;</w:t>
      </w:r>
      <w:r w:rsidRPr="00246342">
        <w:rPr>
          <w:rFonts w:hint="cs"/>
          <w:rtl/>
        </w:rPr>
        <w:t xml:space="preserve"> עליה למסור פרטים על הכלי הטכנולוגי </w:t>
      </w:r>
      <w:r w:rsidR="00153072">
        <w:rPr>
          <w:rFonts w:hint="cs"/>
          <w:rtl/>
        </w:rPr>
        <w:t>ל</w:t>
      </w:r>
      <w:r w:rsidRPr="00246342">
        <w:rPr>
          <w:rFonts w:hint="cs"/>
          <w:rtl/>
        </w:rPr>
        <w:t>יועמ"ש לממשלה</w:t>
      </w:r>
      <w:r w:rsidR="00DE4D6F">
        <w:rPr>
          <w:rFonts w:hint="cs"/>
          <w:rtl/>
        </w:rPr>
        <w:t xml:space="preserve"> </w:t>
      </w:r>
      <w:r w:rsidR="00153072" w:rsidRPr="00153072">
        <w:rPr>
          <w:rFonts w:hint="cs"/>
          <w:rtl/>
        </w:rPr>
        <w:t>ולבקש את אישורו</w:t>
      </w:r>
      <w:r w:rsidRPr="00D51634">
        <w:rPr>
          <w:rFonts w:hint="cs"/>
          <w:rtl/>
        </w:rPr>
        <w:t>. בבקשה</w:t>
      </w:r>
      <w:r w:rsidRPr="00246342">
        <w:rPr>
          <w:rFonts w:hint="cs"/>
          <w:rtl/>
        </w:rPr>
        <w:t xml:space="preserve"> לאישור על המשטרה לפרט את מאפייני הכלי</w:t>
      </w:r>
      <w:r>
        <w:rPr>
          <w:rFonts w:hint="cs"/>
          <w:rtl/>
        </w:rPr>
        <w:t xml:space="preserve"> ואת התנאים להפעלתו ולצרף גם חוות דעת משפטית בדבר מקור הסמכות של המשטרה להשתמש בו</w:t>
      </w:r>
      <w:r>
        <w:rPr>
          <w:rStyle w:val="af"/>
          <w:rtl/>
        </w:rPr>
        <w:footnoteReference w:id="21"/>
      </w:r>
      <w:r>
        <w:rPr>
          <w:rFonts w:hint="cs"/>
          <w:rtl/>
        </w:rPr>
        <w:t xml:space="preserve">. </w:t>
      </w:r>
    </w:p>
    <w:bookmarkEnd w:id="39"/>
    <w:p w:rsidR="00271D14" w:rsidRDefault="00271D14" w:rsidP="00604C3D">
      <w:pPr>
        <w:spacing w:line="269" w:lineRule="auto"/>
        <w:ind w:left="-2"/>
        <w:rPr>
          <w:rFonts w:ascii="David" w:eastAsia="Calibri" w:hAnsi="David"/>
          <w:sz w:val="24"/>
          <w:rtl/>
        </w:rPr>
      </w:pPr>
    </w:p>
    <w:p w:rsidR="00B00214" w:rsidRDefault="00B00214" w:rsidP="00604C3D">
      <w:pPr>
        <w:spacing w:line="269" w:lineRule="auto"/>
        <w:ind w:left="-2"/>
        <w:rPr>
          <w:rFonts w:ascii="David" w:eastAsia="Calibri" w:hAnsi="David"/>
          <w:sz w:val="24"/>
          <w:rtl/>
        </w:rPr>
      </w:pPr>
      <w:r w:rsidRPr="00B83889">
        <w:rPr>
          <w:rFonts w:ascii="David" w:eastAsia="Calibri" w:hAnsi="David" w:hint="cs"/>
          <w:sz w:val="24"/>
          <w:rtl/>
        </w:rPr>
        <w:t xml:space="preserve">הפרקליטות והתביעה המשטרתית הן הזרועות העיקריות של התביעה הכללית. הפרקליטות פועלת במשרד המשפטים באמצעות </w:t>
      </w:r>
      <w:r w:rsidR="002E727E">
        <w:rPr>
          <w:rFonts w:ascii="David" w:eastAsia="Calibri" w:hAnsi="David" w:hint="cs"/>
          <w:sz w:val="24"/>
          <w:rtl/>
        </w:rPr>
        <w:t>המטה</w:t>
      </w:r>
      <w:r w:rsidR="00BF0A1B" w:rsidRPr="00B83889">
        <w:rPr>
          <w:rFonts w:ascii="David" w:eastAsia="Calibri" w:hAnsi="David" w:hint="cs"/>
          <w:sz w:val="24"/>
          <w:rtl/>
        </w:rPr>
        <w:t xml:space="preserve"> </w:t>
      </w:r>
      <w:r w:rsidRPr="00B83889">
        <w:rPr>
          <w:rFonts w:ascii="David" w:eastAsia="Calibri" w:hAnsi="David" w:hint="cs"/>
          <w:sz w:val="24"/>
          <w:rtl/>
        </w:rPr>
        <w:t>שלה ו</w:t>
      </w:r>
      <w:r>
        <w:rPr>
          <w:rFonts w:ascii="David" w:eastAsia="Calibri" w:hAnsi="David" w:hint="cs"/>
          <w:sz w:val="24"/>
          <w:rtl/>
        </w:rPr>
        <w:t xml:space="preserve">באמצעות </w:t>
      </w:r>
      <w:r w:rsidRPr="00B83889">
        <w:rPr>
          <w:rFonts w:ascii="David" w:eastAsia="Calibri" w:hAnsi="David" w:hint="cs"/>
          <w:sz w:val="24"/>
          <w:rtl/>
        </w:rPr>
        <w:t xml:space="preserve">פרקליטויות המחוז, והתביעה המשטרתית פועלת באמצעות יחידות התביעה, הכפופות לראש יחידת התביעות במשטרה. </w:t>
      </w:r>
      <w:r>
        <w:rPr>
          <w:rFonts w:ascii="David" w:eastAsia="Calibri" w:hAnsi="David" w:hint="cs"/>
          <w:sz w:val="24"/>
          <w:rtl/>
        </w:rPr>
        <w:t xml:space="preserve">אופן </w:t>
      </w:r>
      <w:r w:rsidRPr="00B83889">
        <w:rPr>
          <w:rFonts w:ascii="David" w:eastAsia="Calibri" w:hAnsi="David" w:hint="cs"/>
          <w:sz w:val="24"/>
          <w:rtl/>
        </w:rPr>
        <w:t>חלוקת התיקים בין הפרקליטות לבין המשטרה קבוע בח</w:t>
      </w:r>
      <w:r>
        <w:rPr>
          <w:rFonts w:ascii="David" w:eastAsia="Calibri" w:hAnsi="David" w:hint="cs"/>
          <w:sz w:val="24"/>
          <w:rtl/>
        </w:rPr>
        <w:t xml:space="preserve">סד"פ, </w:t>
      </w:r>
      <w:r w:rsidRPr="00B83889">
        <w:rPr>
          <w:rFonts w:ascii="David" w:eastAsia="Calibri" w:hAnsi="David" w:hint="cs"/>
          <w:sz w:val="24"/>
          <w:rtl/>
        </w:rPr>
        <w:t>וה</w:t>
      </w:r>
      <w:r>
        <w:rPr>
          <w:rFonts w:ascii="David" w:eastAsia="Calibri" w:hAnsi="David" w:hint="cs"/>
          <w:sz w:val="24"/>
          <w:rtl/>
        </w:rPr>
        <w:t>ו</w:t>
      </w:r>
      <w:r w:rsidRPr="00B83889">
        <w:rPr>
          <w:rFonts w:ascii="David" w:eastAsia="Calibri" w:hAnsi="David" w:hint="cs"/>
          <w:sz w:val="24"/>
          <w:rtl/>
        </w:rPr>
        <w:t>א מתבסס על חומרת העבירה</w:t>
      </w:r>
      <w:r w:rsidRPr="00B83889">
        <w:rPr>
          <w:rFonts w:ascii="David" w:eastAsia="Calibri" w:hAnsi="David"/>
          <w:sz w:val="24"/>
          <w:vertAlign w:val="superscript"/>
          <w:rtl/>
        </w:rPr>
        <w:footnoteReference w:id="22"/>
      </w:r>
      <w:r w:rsidRPr="00B83889">
        <w:rPr>
          <w:rFonts w:ascii="David" w:eastAsia="Calibri" w:hAnsi="David" w:hint="cs"/>
          <w:sz w:val="24"/>
          <w:rtl/>
        </w:rPr>
        <w:t xml:space="preserve">. </w:t>
      </w:r>
      <w:r>
        <w:rPr>
          <w:rFonts w:ascii="David" w:eastAsia="Calibri" w:hAnsi="David" w:hint="cs"/>
          <w:sz w:val="24"/>
          <w:rtl/>
        </w:rPr>
        <w:t xml:space="preserve">גורמים אלו אחראים להגשת כתבי אישום, וכפועל יוצא מכך </w:t>
      </w:r>
      <w:r w:rsidR="00DE4D6F">
        <w:rPr>
          <w:rFonts w:ascii="David" w:eastAsia="Calibri" w:hAnsi="David" w:hint="cs"/>
          <w:sz w:val="24"/>
          <w:rtl/>
        </w:rPr>
        <w:t xml:space="preserve">הם אחראים </w:t>
      </w:r>
      <w:r>
        <w:rPr>
          <w:rFonts w:ascii="David" w:eastAsia="Calibri" w:hAnsi="David" w:hint="cs"/>
          <w:sz w:val="24"/>
          <w:rtl/>
        </w:rPr>
        <w:t xml:space="preserve">לסקירתם של חומרי החקירה והראיות שמקורן, בחלק מהמקרים, בכלים טכנולוגיים. </w:t>
      </w:r>
    </w:p>
    <w:p w:rsidR="00194843" w:rsidRDefault="00194843" w:rsidP="00604C3D">
      <w:pPr>
        <w:spacing w:line="269" w:lineRule="auto"/>
        <w:ind w:left="-2"/>
        <w:rPr>
          <w:rFonts w:ascii="David" w:eastAsia="Calibri" w:hAnsi="David"/>
          <w:sz w:val="24"/>
          <w:rtl/>
        </w:rPr>
      </w:pPr>
    </w:p>
    <w:p w:rsidR="00B00214" w:rsidRDefault="00B00214" w:rsidP="00604C3D">
      <w:pPr>
        <w:spacing w:line="269" w:lineRule="auto"/>
        <w:ind w:left="-2"/>
        <w:rPr>
          <w:rtl/>
        </w:rPr>
      </w:pPr>
      <w:r>
        <w:rPr>
          <w:rFonts w:hint="cs"/>
          <w:rtl/>
        </w:rPr>
        <w:t xml:space="preserve">כמו כן, אם המשטרה נדרשת </w:t>
      </w:r>
      <w:r w:rsidR="00BF0A1B">
        <w:rPr>
          <w:rFonts w:hint="cs"/>
          <w:rtl/>
        </w:rPr>
        <w:t xml:space="preserve">להגיש </w:t>
      </w:r>
      <w:r>
        <w:rPr>
          <w:rFonts w:hint="cs"/>
          <w:rtl/>
        </w:rPr>
        <w:t>תוצרי האזנת סתר או נתוני תקשורת כראיה</w:t>
      </w:r>
      <w:r w:rsidR="004D37E0">
        <w:rPr>
          <w:rFonts w:hint="cs"/>
          <w:rtl/>
        </w:rPr>
        <w:t xml:space="preserve"> קבילה</w:t>
      </w:r>
      <w:r>
        <w:rPr>
          <w:rFonts w:hint="cs"/>
          <w:rtl/>
        </w:rPr>
        <w:t xml:space="preserve"> </w:t>
      </w:r>
      <w:r w:rsidR="004D37E0">
        <w:rPr>
          <w:rFonts w:hint="cs"/>
          <w:rtl/>
        </w:rPr>
        <w:t>בהליך ה</w:t>
      </w:r>
      <w:r>
        <w:rPr>
          <w:rFonts w:hint="cs"/>
          <w:rtl/>
        </w:rPr>
        <w:t>פלילי, היא צריכה לקבל אישור לקבילות התוצר שמקורו בכלי הטכנולוגי ו</w:t>
      </w:r>
      <w:r w:rsidR="00DE4D6F">
        <w:rPr>
          <w:rFonts w:hint="cs"/>
          <w:rtl/>
        </w:rPr>
        <w:t xml:space="preserve">לבחינת </w:t>
      </w:r>
      <w:r>
        <w:rPr>
          <w:rFonts w:hint="cs"/>
          <w:rtl/>
        </w:rPr>
        <w:t>משקלו</w:t>
      </w:r>
      <w:r w:rsidR="00DE4D6F">
        <w:rPr>
          <w:rFonts w:hint="cs"/>
          <w:rtl/>
        </w:rPr>
        <w:t xml:space="preserve"> הראייתי של התוצר</w:t>
      </w:r>
      <w:r>
        <w:rPr>
          <w:rFonts w:hint="cs"/>
          <w:rtl/>
        </w:rPr>
        <w:t xml:space="preserve">. </w:t>
      </w:r>
      <w:r w:rsidRPr="005F32C9">
        <w:rPr>
          <w:rFonts w:ascii="David" w:eastAsia="Calibri" w:hAnsi="David" w:hint="cs"/>
          <w:sz w:val="24"/>
          <w:rtl/>
        </w:rPr>
        <w:t>על פי רוב, התיקוף הראייתי מתבצע על ידי מומחי</w:t>
      </w:r>
      <w:r>
        <w:rPr>
          <w:rFonts w:ascii="David" w:eastAsia="Calibri" w:hAnsi="David" w:hint="cs"/>
          <w:sz w:val="24"/>
          <w:rtl/>
        </w:rPr>
        <w:t>ם</w:t>
      </w:r>
      <w:r w:rsidRPr="005F32C9">
        <w:rPr>
          <w:rFonts w:ascii="David" w:eastAsia="Calibri" w:hAnsi="David" w:hint="cs"/>
          <w:sz w:val="24"/>
          <w:rtl/>
        </w:rPr>
        <w:t xml:space="preserve"> </w:t>
      </w:r>
      <w:r>
        <w:rPr>
          <w:rFonts w:ascii="David" w:eastAsia="Calibri" w:hAnsi="David" w:hint="cs"/>
          <w:sz w:val="24"/>
          <w:rtl/>
        </w:rPr>
        <w:t>בתחומי המ</w:t>
      </w:r>
      <w:r w:rsidRPr="005F32C9">
        <w:rPr>
          <w:rFonts w:ascii="David" w:eastAsia="Calibri" w:hAnsi="David" w:hint="cs"/>
          <w:sz w:val="24"/>
          <w:rtl/>
        </w:rPr>
        <w:t>שפט והטכנולוגי</w:t>
      </w:r>
      <w:r>
        <w:rPr>
          <w:rFonts w:ascii="David" w:eastAsia="Calibri" w:hAnsi="David" w:hint="cs"/>
          <w:sz w:val="24"/>
          <w:rtl/>
        </w:rPr>
        <w:t>ה</w:t>
      </w:r>
      <w:r w:rsidRPr="005F32C9">
        <w:rPr>
          <w:rFonts w:ascii="David" w:eastAsia="Calibri" w:hAnsi="David" w:hint="cs"/>
          <w:sz w:val="24"/>
          <w:rtl/>
        </w:rPr>
        <w:t xml:space="preserve"> בפרקליטות.</w:t>
      </w:r>
    </w:p>
    <w:p w:rsidR="00271D14" w:rsidRDefault="00271D14" w:rsidP="00604C3D">
      <w:pPr>
        <w:spacing w:line="269" w:lineRule="auto"/>
        <w:ind w:left="-2"/>
        <w:rPr>
          <w:rtl/>
        </w:rPr>
      </w:pPr>
    </w:p>
    <w:p w:rsidR="00B00214" w:rsidRDefault="00B00214" w:rsidP="00604C3D">
      <w:pPr>
        <w:spacing w:line="269" w:lineRule="auto"/>
        <w:ind w:left="-2"/>
        <w:rPr>
          <w:rtl/>
        </w:rPr>
      </w:pPr>
      <w:r>
        <w:rPr>
          <w:rFonts w:hint="cs"/>
          <w:rtl/>
        </w:rPr>
        <w:t xml:space="preserve">מכוח </w:t>
      </w:r>
      <w:r w:rsidR="007B1D64">
        <w:rPr>
          <w:rFonts w:hint="cs"/>
          <w:rtl/>
        </w:rPr>
        <w:t>חוק האזנת סתר</w:t>
      </w:r>
      <w:r>
        <w:rPr>
          <w:rFonts w:hint="cs"/>
          <w:rtl/>
        </w:rPr>
        <w:t xml:space="preserve"> וחוק נתוני תקשורת נדרשת המשטרה לדווח ליועמ"ש לממשלה על צווים שהיא קיבלה לביצוע האזנות סתר וכן על היתרים מינהליים לקבלת נתוני תקשורת במקרים דחופים. </w:t>
      </w:r>
      <w:r w:rsidRPr="00DC6F9B">
        <w:rPr>
          <w:rtl/>
        </w:rPr>
        <w:t>ככלל, אחת לחודש מתקיימת פגישה בין נציגי המשטרה ל</w:t>
      </w:r>
      <w:r>
        <w:rPr>
          <w:rFonts w:hint="cs"/>
          <w:rtl/>
        </w:rPr>
        <w:t xml:space="preserve">נציגי </w:t>
      </w:r>
      <w:r w:rsidR="005804AD">
        <w:rPr>
          <w:rFonts w:hint="cs"/>
          <w:rtl/>
        </w:rPr>
        <w:t>ה</w:t>
      </w:r>
      <w:r w:rsidR="005804AD" w:rsidRPr="001B7A13">
        <w:rPr>
          <w:rFonts w:hint="cs"/>
          <w:rtl/>
        </w:rPr>
        <w:t>ייעוץ המשפטי לממשלה</w:t>
      </w:r>
      <w:r w:rsidR="005804AD">
        <w:rPr>
          <w:rFonts w:hint="cs"/>
          <w:rtl/>
        </w:rPr>
        <w:t xml:space="preserve"> </w:t>
      </w:r>
      <w:r>
        <w:rPr>
          <w:rFonts w:hint="cs"/>
          <w:rtl/>
        </w:rPr>
        <w:t xml:space="preserve">במשרד המשפטים </w:t>
      </w:r>
      <w:r w:rsidRPr="00DC6F9B">
        <w:rPr>
          <w:rtl/>
        </w:rPr>
        <w:t>שבה מוצג דיווח על הבקשות שהוגשו. בפגיש</w:t>
      </w:r>
      <w:r>
        <w:rPr>
          <w:rFonts w:hint="cs"/>
          <w:rtl/>
        </w:rPr>
        <w:t xml:space="preserve">ות אלה מתקיים </w:t>
      </w:r>
      <w:r w:rsidRPr="00DC6F9B">
        <w:rPr>
          <w:rtl/>
        </w:rPr>
        <w:t>דיון כללי בסוגיות רוחב וכן דיון פרטני בתיקים ספציפיים.</w:t>
      </w:r>
      <w:r>
        <w:rPr>
          <w:rFonts w:hint="cs"/>
          <w:rtl/>
        </w:rPr>
        <w:t xml:space="preserve"> בעקבות פגישות אלה לעיתים עולות סוגיות עקרוניות, ואם נדרש, ניתנות הנחיות על ידי המשנה ליועמ"ש לממשלה (פלילי). אחת לתקופה מתקיימת ישיבה בראשות היועמ"ש לממשלה שבה מועלות סוגיות עקרוניות להכרעה.</w:t>
      </w:r>
      <w:r w:rsidRPr="00DC6F9B">
        <w:rPr>
          <w:rtl/>
        </w:rPr>
        <w:t xml:space="preserve"> </w:t>
      </w:r>
      <w:r>
        <w:rPr>
          <w:rFonts w:hint="cs"/>
          <w:rtl/>
        </w:rPr>
        <w:t>הדבר מאפשר ליועמ"ש לממשלה לבצע פיקוח ובקרה בדיעבד על היתרים שניתנו למשטרה. נוסף על כך היועמ"ש לממשלה או פרקליט המדינה נדרשים לאשר מראש את בקשות המשטרה לבצע האזנת סתר לאישי ציבור</w:t>
      </w:r>
      <w:r>
        <w:rPr>
          <w:rStyle w:val="af"/>
          <w:rtl/>
        </w:rPr>
        <w:footnoteReference w:id="23"/>
      </w:r>
      <w:r>
        <w:rPr>
          <w:rFonts w:hint="cs"/>
          <w:rtl/>
        </w:rPr>
        <w:t xml:space="preserve"> או לשיחות של </w:t>
      </w:r>
      <w:r w:rsidRPr="005A7C57">
        <w:rPr>
          <w:rtl/>
        </w:rPr>
        <w:t>בעלי מקצוע ששיחותיהם חסויות</w:t>
      </w:r>
      <w:r w:rsidR="005804AD">
        <w:rPr>
          <w:rFonts w:hint="cs"/>
          <w:rtl/>
        </w:rPr>
        <w:t xml:space="preserve"> על פי דין</w:t>
      </w:r>
      <w:r w:rsidRPr="005A7C57">
        <w:rPr>
          <w:rtl/>
        </w:rPr>
        <w:t xml:space="preserve"> - עורך דין, רופא, פסיכולוג, עובד סוציאלי או כהן דת</w:t>
      </w:r>
      <w:r w:rsidRPr="005A7C57">
        <w:rPr>
          <w:vertAlign w:val="superscript"/>
          <w:rtl/>
        </w:rPr>
        <w:footnoteReference w:id="24"/>
      </w:r>
      <w:r>
        <w:rPr>
          <w:rFonts w:hint="cs"/>
          <w:rtl/>
        </w:rPr>
        <w:t xml:space="preserve">. </w:t>
      </w:r>
    </w:p>
    <w:p w:rsidR="00B00214" w:rsidRPr="00B83889" w:rsidRDefault="00B00214" w:rsidP="00604C3D">
      <w:pPr>
        <w:pStyle w:val="a5"/>
        <w:spacing w:line="269" w:lineRule="auto"/>
        <w:rPr>
          <w:rtl/>
        </w:rPr>
      </w:pPr>
    </w:p>
    <w:p w:rsidR="008541B9" w:rsidRDefault="00B00214" w:rsidP="00604C3D">
      <w:pPr>
        <w:pStyle w:val="3"/>
        <w:spacing w:before="0" w:line="269" w:lineRule="auto"/>
        <w:rPr>
          <w:rtl/>
        </w:rPr>
      </w:pPr>
      <w:bookmarkStart w:id="40" w:name="_Toc219110291"/>
      <w:bookmarkStart w:id="41" w:name="_Toc219113732"/>
      <w:bookmarkStart w:id="42" w:name="_Toc219286507"/>
      <w:r w:rsidRPr="00DD5727">
        <w:rPr>
          <w:rFonts w:hint="cs"/>
          <w:rtl/>
        </w:rPr>
        <w:t>"פרשת פגסוס"</w:t>
      </w:r>
      <w:bookmarkStart w:id="43" w:name="_Hlk202697265"/>
      <w:bookmarkStart w:id="44" w:name="_Hlk188441529"/>
      <w:bookmarkStart w:id="45" w:name="_Hlk156158182"/>
      <w:bookmarkEnd w:id="40"/>
      <w:bookmarkEnd w:id="41"/>
      <w:bookmarkEnd w:id="42"/>
    </w:p>
    <w:p w:rsidR="00271D14" w:rsidRPr="00F8633C" w:rsidRDefault="00271D14" w:rsidP="00604C3D">
      <w:pPr>
        <w:spacing w:line="269" w:lineRule="auto"/>
        <w:rPr>
          <w:rtl/>
        </w:rPr>
      </w:pPr>
    </w:p>
    <w:p w:rsidR="00B00214" w:rsidRDefault="000061E9" w:rsidP="00604C3D">
      <w:pPr>
        <w:spacing w:line="269" w:lineRule="auto"/>
        <w:ind w:left="-2"/>
      </w:pPr>
      <w:r w:rsidRPr="000061E9">
        <w:rPr>
          <w:rFonts w:hint="cs"/>
          <w:rtl/>
        </w:rPr>
        <w:t xml:space="preserve">בחודש דצמבר 2020 החליט מבקר המדינה לכלול בתוכנית העבודה המשרדית לשנת 2022 מטלת ביקורת בנושא שימוש בכלים טכנולוגיים לצורכי אכיפה. </w:t>
      </w:r>
      <w:bookmarkEnd w:id="43"/>
      <w:r w:rsidR="00B00214">
        <w:rPr>
          <w:rFonts w:hint="cs"/>
          <w:rtl/>
        </w:rPr>
        <w:t xml:space="preserve">בינואר 2022 התפרסמה בעיתון "כלכליסט" סדרת כתבות ולפיהן המשטרה מבצעת </w:t>
      </w:r>
      <w:bookmarkStart w:id="46" w:name="_Hlk216251200"/>
      <w:r w:rsidR="0058044D">
        <w:rPr>
          <w:rFonts w:hint="cs"/>
          <w:rtl/>
        </w:rPr>
        <w:t xml:space="preserve">שימוש בכלי </w:t>
      </w:r>
      <w:r w:rsidR="00B00214">
        <w:rPr>
          <w:rFonts w:hint="cs"/>
          <w:rtl/>
        </w:rPr>
        <w:t xml:space="preserve">טכנולוגי </w:t>
      </w:r>
      <w:r w:rsidR="0058044D">
        <w:rPr>
          <w:rFonts w:hint="cs"/>
          <w:rtl/>
        </w:rPr>
        <w:t xml:space="preserve">שבאמצעותו </w:t>
      </w:r>
      <w:r w:rsidR="00B00214">
        <w:rPr>
          <w:rFonts w:hint="cs"/>
          <w:rtl/>
        </w:rPr>
        <w:t xml:space="preserve">מתקבל מידע אשר חורג מהמותר על פי </w:t>
      </w:r>
      <w:r w:rsidR="007B1D64">
        <w:rPr>
          <w:rFonts w:hint="cs"/>
          <w:rtl/>
        </w:rPr>
        <w:t>חוק האזנת סתר</w:t>
      </w:r>
      <w:bookmarkEnd w:id="46"/>
      <w:r w:rsidR="00B00214">
        <w:rPr>
          <w:rFonts w:hint="cs"/>
          <w:rtl/>
        </w:rPr>
        <w:t xml:space="preserve">. נוכח חומרת </w:t>
      </w:r>
      <w:r w:rsidR="00B00214" w:rsidRPr="006E3668">
        <w:rPr>
          <w:rFonts w:hint="cs"/>
          <w:rtl/>
        </w:rPr>
        <w:t>הטענות</w:t>
      </w:r>
      <w:r w:rsidR="0021022F" w:rsidRPr="006E3668">
        <w:rPr>
          <w:rFonts w:hint="cs"/>
          <w:rtl/>
        </w:rPr>
        <w:t xml:space="preserve"> ו</w:t>
      </w:r>
      <w:r w:rsidR="0021022F" w:rsidRPr="006E3668">
        <w:rPr>
          <w:rtl/>
        </w:rPr>
        <w:t>ל</w:t>
      </w:r>
      <w:r w:rsidR="0021022F" w:rsidRPr="006E3668">
        <w:rPr>
          <w:rFonts w:hint="cs"/>
          <w:rtl/>
        </w:rPr>
        <w:t>אור</w:t>
      </w:r>
      <w:r w:rsidR="0021022F" w:rsidRPr="0021022F">
        <w:rPr>
          <w:rtl/>
        </w:rPr>
        <w:t xml:space="preserve"> </w:t>
      </w:r>
      <w:r w:rsidR="00956E0A">
        <w:rPr>
          <w:rFonts w:hint="cs"/>
          <w:rtl/>
        </w:rPr>
        <w:t>ה</w:t>
      </w:r>
      <w:r w:rsidR="0021022F" w:rsidRPr="0021022F">
        <w:rPr>
          <w:rtl/>
        </w:rPr>
        <w:t xml:space="preserve">בחינה </w:t>
      </w:r>
      <w:r w:rsidR="00956E0A">
        <w:rPr>
          <w:rFonts w:hint="cs"/>
          <w:rtl/>
        </w:rPr>
        <w:t>ה</w:t>
      </w:r>
      <w:r w:rsidR="005804AD">
        <w:rPr>
          <w:rFonts w:hint="cs"/>
          <w:rtl/>
        </w:rPr>
        <w:t>מקדימה שנערכה</w:t>
      </w:r>
      <w:r w:rsidR="00382AE8">
        <w:rPr>
          <w:rtl/>
        </w:rPr>
        <w:t xml:space="preserve"> </w:t>
      </w:r>
      <w:r w:rsidR="0021022F" w:rsidRPr="0021022F">
        <w:rPr>
          <w:rtl/>
        </w:rPr>
        <w:t xml:space="preserve">במשרד מבקר המדינה בנושא </w:t>
      </w:r>
      <w:r w:rsidR="00956E0A">
        <w:rPr>
          <w:rFonts w:hint="cs"/>
          <w:rtl/>
        </w:rPr>
        <w:t>זה</w:t>
      </w:r>
      <w:r w:rsidR="0021022F" w:rsidRPr="0021022F">
        <w:rPr>
          <w:rFonts w:hint="cs"/>
          <w:rtl/>
        </w:rPr>
        <w:t>,</w:t>
      </w:r>
      <w:r w:rsidR="0021022F" w:rsidRPr="0021022F">
        <w:rPr>
          <w:rtl/>
        </w:rPr>
        <w:t xml:space="preserve"> הודיע מבקר המדינה על פתיח</w:t>
      </w:r>
      <w:r w:rsidR="0021022F" w:rsidRPr="0021022F">
        <w:rPr>
          <w:rFonts w:hint="cs"/>
          <w:rtl/>
        </w:rPr>
        <w:t>ת</w:t>
      </w:r>
      <w:r w:rsidR="0021022F" w:rsidRPr="0021022F">
        <w:rPr>
          <w:rtl/>
        </w:rPr>
        <w:t xml:space="preserve"> ביקורת בנושא</w:t>
      </w:r>
      <w:bookmarkStart w:id="47" w:name="_Hlk188441759"/>
      <w:r w:rsidR="00B00214" w:rsidRPr="00EA3C20">
        <w:rPr>
          <w:vertAlign w:val="superscript"/>
          <w:rtl/>
        </w:rPr>
        <w:footnoteReference w:id="25"/>
      </w:r>
      <w:bookmarkEnd w:id="47"/>
      <w:r w:rsidR="00B00214" w:rsidRPr="00EA3C20">
        <w:rPr>
          <w:rFonts w:hint="cs"/>
          <w:rtl/>
        </w:rPr>
        <w:t>. לאחר הודעת מבקר המדינה הודיע אף היוע</w:t>
      </w:r>
      <w:r w:rsidR="00B00214">
        <w:rPr>
          <w:rFonts w:hint="cs"/>
          <w:rtl/>
        </w:rPr>
        <w:t>מ"ש</w:t>
      </w:r>
      <w:r w:rsidR="00B00214" w:rsidRPr="00EA3C20">
        <w:rPr>
          <w:rFonts w:hint="cs"/>
          <w:rtl/>
        </w:rPr>
        <w:t xml:space="preserve"> לממשלה (דאז) על הקמת צוות לבדיקת הטענות </w:t>
      </w:r>
      <w:r w:rsidR="00B00214">
        <w:rPr>
          <w:rFonts w:hint="cs"/>
          <w:rtl/>
        </w:rPr>
        <w:t xml:space="preserve">וב-31.1.22 הוא מינה צוות לבדיקת </w:t>
      </w:r>
      <w:r w:rsidR="00B00214" w:rsidRPr="001433D0">
        <w:rPr>
          <w:rFonts w:hint="cs"/>
          <w:rtl/>
        </w:rPr>
        <w:t xml:space="preserve">האזנות סתר בדרך של תקשורת בין מחשבים </w:t>
      </w:r>
      <w:r w:rsidR="00B00214">
        <w:rPr>
          <w:rFonts w:hint="cs"/>
          <w:rtl/>
        </w:rPr>
        <w:t>בראשות המשנה ליועמ"ש לממשלה (פלילי) (דאז)</w:t>
      </w:r>
      <w:bookmarkStart w:id="48" w:name="_Hlk188441794"/>
      <w:r w:rsidR="00B00214" w:rsidRPr="001433D0">
        <w:rPr>
          <w:vertAlign w:val="superscript"/>
          <w:rtl/>
        </w:rPr>
        <w:footnoteReference w:id="26"/>
      </w:r>
      <w:r w:rsidR="00B00214">
        <w:rPr>
          <w:rFonts w:hint="cs"/>
          <w:rtl/>
        </w:rPr>
        <w:t>.</w:t>
      </w:r>
      <w:bookmarkEnd w:id="48"/>
      <w:r w:rsidR="00B00214">
        <w:rPr>
          <w:rFonts w:hint="cs"/>
          <w:rtl/>
        </w:rPr>
        <w:t xml:space="preserve"> בד בבד היועמ"ש לממשלה הורה </w:t>
      </w:r>
      <w:r w:rsidR="00B17800">
        <w:rPr>
          <w:rFonts w:hint="cs"/>
          <w:rtl/>
        </w:rPr>
        <w:t xml:space="preserve">באותה עת </w:t>
      </w:r>
      <w:r w:rsidR="00B00214">
        <w:rPr>
          <w:rFonts w:hint="cs"/>
          <w:rtl/>
        </w:rPr>
        <w:t>למשטרה להשעות את השימוש בכלי טכנולוגי מסוים עד שייקבע כי אין מניעה מלשוב ולהשתמש ב</w:t>
      </w:r>
      <w:r w:rsidR="00F81C51">
        <w:rPr>
          <w:rFonts w:hint="cs"/>
          <w:rtl/>
        </w:rPr>
        <w:t>ו</w:t>
      </w:r>
      <w:r w:rsidR="00B00214">
        <w:rPr>
          <w:rFonts w:hint="cs"/>
          <w:rtl/>
        </w:rPr>
        <w:t>.</w:t>
      </w:r>
      <w:r w:rsidR="009A2FFD">
        <w:rPr>
          <w:rFonts w:hint="cs"/>
          <w:rtl/>
        </w:rPr>
        <w:t xml:space="preserve"> </w:t>
      </w:r>
      <w:bookmarkStart w:id="49" w:name="_Hlk214435634"/>
      <w:r w:rsidR="009A2FFD" w:rsidRPr="00180D6E">
        <w:rPr>
          <w:rFonts w:hint="cs"/>
          <w:rtl/>
        </w:rPr>
        <w:t>נכון למועד סיום הביקורת טרם קיבלה המשטרה את אישור היועמ"שית לממשלה להשתמש בכלי</w:t>
      </w:r>
      <w:r w:rsidR="009A2FFD">
        <w:rPr>
          <w:rFonts w:hint="cs"/>
          <w:rtl/>
        </w:rPr>
        <w:t xml:space="preserve"> הטכנולוגי</w:t>
      </w:r>
      <w:r w:rsidR="009A2FFD" w:rsidRPr="00180D6E">
        <w:rPr>
          <w:rFonts w:hint="cs"/>
          <w:rtl/>
        </w:rPr>
        <w:t>.</w:t>
      </w:r>
      <w:bookmarkEnd w:id="49"/>
    </w:p>
    <w:p w:rsidR="00271D14" w:rsidRDefault="00271D14" w:rsidP="00604C3D">
      <w:pPr>
        <w:spacing w:line="269" w:lineRule="auto"/>
        <w:rPr>
          <w:rtl/>
        </w:rPr>
      </w:pPr>
    </w:p>
    <w:p w:rsidR="00B00214" w:rsidRDefault="00B00214" w:rsidP="00604C3D">
      <w:pPr>
        <w:spacing w:line="269" w:lineRule="auto"/>
        <w:rPr>
          <w:rtl/>
        </w:rPr>
      </w:pPr>
      <w:r>
        <w:rPr>
          <w:rFonts w:hint="cs"/>
          <w:rtl/>
        </w:rPr>
        <w:t xml:space="preserve">ב-21.2.22 פרסם משרד המשפטים </w:t>
      </w:r>
      <w:r w:rsidR="00827DC7">
        <w:rPr>
          <w:rFonts w:hint="cs"/>
          <w:rtl/>
        </w:rPr>
        <w:t xml:space="preserve">ממצאי ביניים </w:t>
      </w:r>
      <w:r w:rsidR="005D7BFF">
        <w:rPr>
          <w:rFonts w:hint="cs"/>
          <w:rtl/>
        </w:rPr>
        <w:t>-</w:t>
      </w:r>
      <w:r>
        <w:rPr>
          <w:rFonts w:hint="cs"/>
          <w:rtl/>
        </w:rPr>
        <w:t xml:space="preserve"> "ממצאי צוות הבדיקה בעניין האזנות סתר בדרך של תקשורת בין מחשבים לעניין הפרסום באתר 'כלכליסט' מיום 7.2.22". באוגוסט 2022 פרסם משרד המשפטים את "דין וחשבון הצוות לבדיקת האזנות סתר לתקשורת בין מחשבים" - הוא דוח צוות מררי. </w:t>
      </w:r>
      <w:bookmarkEnd w:id="44"/>
      <w:r>
        <w:rPr>
          <w:rFonts w:hint="cs"/>
          <w:rtl/>
        </w:rPr>
        <w:t xml:space="preserve">דוח צוות מררי מחולק לשניים: </w:t>
      </w:r>
    </w:p>
    <w:p w:rsidR="00B00214" w:rsidRDefault="00B00214" w:rsidP="00604C3D">
      <w:pPr>
        <w:spacing w:line="269" w:lineRule="auto"/>
        <w:ind w:left="424"/>
        <w:rPr>
          <w:rtl/>
        </w:rPr>
      </w:pPr>
    </w:p>
    <w:p w:rsidR="00B00214" w:rsidRDefault="00B00214" w:rsidP="008C598D">
      <w:pPr>
        <w:pStyle w:val="af2"/>
        <w:numPr>
          <w:ilvl w:val="0"/>
          <w:numId w:val="39"/>
        </w:numPr>
        <w:spacing w:line="269" w:lineRule="auto"/>
        <w:ind w:left="312"/>
      </w:pPr>
      <w:r>
        <w:rPr>
          <w:rFonts w:hint="cs"/>
          <w:rtl/>
        </w:rPr>
        <w:t xml:space="preserve">בדיקות שבוצעו על ידי צוות מררי ובהן בחינה של כלים טכנולוגיים ספציפיים שהופעלו על ידי המשטרה; בדיקה אם בוצעו האזנות סתר באמצעות כלים טכנולוגיים ללא צו; ובדיקה קונקרטית אם בוצעה האזנת סתר שלא כדין לכמה גורמים בכירים ששמותיהם פורסמו. צוות מררי </w:t>
      </w:r>
      <w:r w:rsidR="00346569">
        <w:rPr>
          <w:rFonts w:hint="cs"/>
          <w:rtl/>
        </w:rPr>
        <w:t>קבע</w:t>
      </w:r>
      <w:r>
        <w:rPr>
          <w:rFonts w:hint="cs"/>
          <w:rtl/>
        </w:rPr>
        <w:t xml:space="preserve"> כי לא נמצאה אינדיקציה לכך שהמשטרה </w:t>
      </w:r>
      <w:r w:rsidR="00514DAF">
        <w:rPr>
          <w:rFonts w:hint="cs"/>
          <w:rtl/>
        </w:rPr>
        <w:t xml:space="preserve">התקינה את </w:t>
      </w:r>
      <w:r>
        <w:rPr>
          <w:rFonts w:hint="cs"/>
          <w:rtl/>
        </w:rPr>
        <w:t xml:space="preserve">הכלי </w:t>
      </w:r>
      <w:r w:rsidR="00514DAF">
        <w:rPr>
          <w:rFonts w:hint="cs"/>
          <w:rtl/>
        </w:rPr>
        <w:t>ב</w:t>
      </w:r>
      <w:r>
        <w:rPr>
          <w:rFonts w:hint="cs"/>
          <w:rtl/>
        </w:rPr>
        <w:t xml:space="preserve">טלפונים ניידים ללא היתר כדין, למעט ארבעה מקרים שבהם ניסיונות </w:t>
      </w:r>
      <w:r w:rsidR="003F3D04">
        <w:rPr>
          <w:rFonts w:hint="cs"/>
          <w:rtl/>
        </w:rPr>
        <w:t xml:space="preserve">ההתקנה </w:t>
      </w:r>
      <w:r>
        <w:rPr>
          <w:rFonts w:hint="cs"/>
          <w:rtl/>
        </w:rPr>
        <w:t xml:space="preserve">לא צלחו ולא התקבלו תוצרים. </w:t>
      </w:r>
    </w:p>
    <w:p w:rsidR="00B00214" w:rsidRDefault="00B00214" w:rsidP="008C598D">
      <w:pPr>
        <w:pStyle w:val="af2"/>
        <w:numPr>
          <w:ilvl w:val="0"/>
          <w:numId w:val="39"/>
        </w:numPr>
        <w:spacing w:line="269" w:lineRule="auto"/>
        <w:ind w:left="312"/>
        <w:rPr>
          <w:rtl/>
        </w:rPr>
      </w:pPr>
      <w:r w:rsidRPr="00C37A36">
        <w:rPr>
          <w:rFonts w:hint="cs"/>
          <w:rtl/>
        </w:rPr>
        <w:t>חוות דעת משפטית מאוגוסט 2022 שהוכנה על ידי הייעוץ המשפטי לממשלה ואושרה על ידי היוע</w:t>
      </w:r>
      <w:r>
        <w:rPr>
          <w:rFonts w:hint="cs"/>
          <w:rtl/>
        </w:rPr>
        <w:t>מ"שית</w:t>
      </w:r>
      <w:r w:rsidRPr="00C37A36">
        <w:rPr>
          <w:rFonts w:hint="cs"/>
          <w:rtl/>
        </w:rPr>
        <w:t xml:space="preserve"> לממשלה</w:t>
      </w:r>
      <w:r w:rsidR="0021022F">
        <w:rPr>
          <w:rFonts w:hint="cs"/>
          <w:rtl/>
        </w:rPr>
        <w:t xml:space="preserve"> (להלן </w:t>
      </w:r>
      <w:r w:rsidR="003D6F75">
        <w:rPr>
          <w:rFonts w:hint="cs"/>
          <w:rtl/>
        </w:rPr>
        <w:t>-</w:t>
      </w:r>
      <w:r w:rsidR="0021022F">
        <w:rPr>
          <w:rFonts w:hint="cs"/>
          <w:rtl/>
        </w:rPr>
        <w:t xml:space="preserve"> העמדה המשפטית)</w:t>
      </w:r>
      <w:r w:rsidR="006E3668">
        <w:rPr>
          <w:rFonts w:hint="cs"/>
          <w:rtl/>
        </w:rPr>
        <w:t xml:space="preserve"> </w:t>
      </w:r>
      <w:r>
        <w:rPr>
          <w:rFonts w:hint="cs"/>
          <w:rtl/>
        </w:rPr>
        <w:t xml:space="preserve">לעניין גדרי הסמכות לביצוע האזנת סתר באמצעות כלים טכנולוגיים. בחוות הדעת המשפטית נקבע, בין היתר, כי ניתן לפרש את חוק האזנת סתר כמתיר חדירה למכשיר טלפון לצורך התקנת כלים טכנולוגיים להאזנת סתר, אך עם זאת נקבע כי יש לבחון כל </w:t>
      </w:r>
      <w:r w:rsidR="000B27FA">
        <w:rPr>
          <w:rFonts w:hint="cs"/>
          <w:rtl/>
        </w:rPr>
        <w:t xml:space="preserve">כלי טכנולוגי </w:t>
      </w:r>
      <w:r>
        <w:rPr>
          <w:rFonts w:hint="cs"/>
          <w:rtl/>
        </w:rPr>
        <w:t>לגופ</w:t>
      </w:r>
      <w:r w:rsidR="000B27FA">
        <w:rPr>
          <w:rFonts w:hint="cs"/>
          <w:rtl/>
        </w:rPr>
        <w:t>ו</w:t>
      </w:r>
      <w:r>
        <w:rPr>
          <w:rFonts w:hint="cs"/>
          <w:rtl/>
        </w:rPr>
        <w:t xml:space="preserve"> מבחינת היקף הפעולות שה</w:t>
      </w:r>
      <w:r w:rsidR="000B27FA">
        <w:rPr>
          <w:rFonts w:hint="cs"/>
          <w:rtl/>
        </w:rPr>
        <w:t>וא</w:t>
      </w:r>
      <w:r>
        <w:rPr>
          <w:rFonts w:hint="cs"/>
          <w:rtl/>
        </w:rPr>
        <w:t xml:space="preserve"> יכול לבצע והיקף המידע שביכולת</w:t>
      </w:r>
      <w:r w:rsidR="000B27FA">
        <w:rPr>
          <w:rFonts w:hint="cs"/>
          <w:rtl/>
        </w:rPr>
        <w:t>ו</w:t>
      </w:r>
      <w:r>
        <w:rPr>
          <w:rFonts w:hint="cs"/>
          <w:rtl/>
        </w:rPr>
        <w:t xml:space="preserve"> לאסוף. </w:t>
      </w:r>
      <w:bookmarkStart w:id="50" w:name="_Hlk178679752"/>
      <w:r w:rsidR="00514DAF">
        <w:rPr>
          <w:rFonts w:hint="cs"/>
          <w:rtl/>
        </w:rPr>
        <w:t xml:space="preserve">בנוסף, </w:t>
      </w:r>
      <w:r>
        <w:rPr>
          <w:rFonts w:hint="cs"/>
          <w:rtl/>
        </w:rPr>
        <w:t>הצוות מצא כי קיימות חריגות ביכולות של הכלים הטכנולוגיים המאפשרות לקבל סוגי תוצרים שלמשטרה אסור לקבלם לפי חוק האזנת סתר ושהמשטרה אספה</w:t>
      </w:r>
      <w:r w:rsidR="005D7BFF">
        <w:rPr>
          <w:rFonts w:hint="cs"/>
          <w:rtl/>
        </w:rPr>
        <w:t xml:space="preserve"> </w:t>
      </w:r>
      <w:r>
        <w:rPr>
          <w:rFonts w:hint="cs"/>
          <w:rtl/>
        </w:rPr>
        <w:t>מידע אגור מהטלפונים הניידים שהודבקו</w:t>
      </w:r>
      <w:bookmarkEnd w:id="50"/>
      <w:r w:rsidR="005E1BED">
        <w:rPr>
          <w:rFonts w:hint="cs"/>
          <w:rtl/>
        </w:rPr>
        <w:t xml:space="preserve"> אף שאסור היה לה לפעול כך</w:t>
      </w:r>
      <w:r>
        <w:rPr>
          <w:rFonts w:hint="cs"/>
          <w:rtl/>
        </w:rPr>
        <w:t>.</w:t>
      </w:r>
      <w:r w:rsidR="0049609C">
        <w:rPr>
          <w:rFonts w:hint="cs"/>
          <w:rtl/>
        </w:rPr>
        <w:t xml:space="preserve"> </w:t>
      </w:r>
      <w:r w:rsidR="00514DAF">
        <w:rPr>
          <w:rFonts w:hint="cs"/>
          <w:rtl/>
        </w:rPr>
        <w:t>כמו כן המליץ הצוות לבצע תיקוני חקיקה לחוק האזנת סתר כדי להתאימו למציאות הטכנולוגית המודרנית</w:t>
      </w:r>
      <w:r w:rsidR="00514DAF">
        <w:rPr>
          <w:rStyle w:val="af"/>
          <w:rtl/>
        </w:rPr>
        <w:footnoteReference w:id="27"/>
      </w:r>
      <w:r w:rsidR="00514DAF">
        <w:rPr>
          <w:rFonts w:hint="cs"/>
          <w:rtl/>
        </w:rPr>
        <w:t>.</w:t>
      </w:r>
    </w:p>
    <w:p w:rsidR="00B00214" w:rsidRDefault="00B00214" w:rsidP="00604C3D">
      <w:pPr>
        <w:spacing w:line="269" w:lineRule="auto"/>
        <w:ind w:left="424"/>
        <w:rPr>
          <w:rtl/>
        </w:rPr>
      </w:pPr>
    </w:p>
    <w:p w:rsidR="00B00214" w:rsidRDefault="00B00214" w:rsidP="00604C3D">
      <w:pPr>
        <w:spacing w:line="269" w:lineRule="auto"/>
        <w:rPr>
          <w:rtl/>
        </w:rPr>
      </w:pPr>
      <w:r w:rsidRPr="002D7AD6">
        <w:rPr>
          <w:rFonts w:hint="cs"/>
          <w:rtl/>
        </w:rPr>
        <w:t xml:space="preserve">בעקבות דוח צוות מררי </w:t>
      </w:r>
      <w:r w:rsidR="00514DAF">
        <w:rPr>
          <w:rFonts w:hint="cs"/>
          <w:rtl/>
        </w:rPr>
        <w:t xml:space="preserve">הורה </w:t>
      </w:r>
      <w:r w:rsidRPr="002D7AD6">
        <w:rPr>
          <w:rFonts w:hint="cs"/>
          <w:rtl/>
        </w:rPr>
        <w:t xml:space="preserve">המפכ"ל דאז ליישם </w:t>
      </w:r>
      <w:r w:rsidR="00514DAF">
        <w:rPr>
          <w:rFonts w:hint="cs"/>
          <w:rtl/>
        </w:rPr>
        <w:t xml:space="preserve">את </w:t>
      </w:r>
      <w:r w:rsidRPr="002D7AD6">
        <w:rPr>
          <w:rFonts w:hint="cs"/>
          <w:rtl/>
        </w:rPr>
        <w:t xml:space="preserve">המלצות הצוות ומינה לצורך כך צוות בראשותו של סגן ראש אח"ם. בחטיבת </w:t>
      </w:r>
      <w:r w:rsidR="00354948">
        <w:rPr>
          <w:rFonts w:hint="cs"/>
          <w:rtl/>
        </w:rPr>
        <w:t>ה</w:t>
      </w:r>
      <w:r w:rsidRPr="002D7AD6">
        <w:rPr>
          <w:rFonts w:hint="cs"/>
          <w:rtl/>
        </w:rPr>
        <w:t>סייבר הוקמו ארבעה צוותי</w:t>
      </w:r>
      <w:r w:rsidR="00514DAF">
        <w:rPr>
          <w:rFonts w:hint="cs"/>
          <w:rtl/>
        </w:rPr>
        <w:t xml:space="preserve"> משנה</w:t>
      </w:r>
      <w:r w:rsidRPr="002D7AD6">
        <w:rPr>
          <w:rFonts w:hint="cs"/>
          <w:rtl/>
        </w:rPr>
        <w:t xml:space="preserve"> לטיפול בנושאים האלה: (א) ביצוע התאמות טכנולוגיות למערכות וכתיבת </w:t>
      </w:r>
      <w:r w:rsidR="00990EE3">
        <w:rPr>
          <w:rFonts w:hint="cs"/>
          <w:rtl/>
        </w:rPr>
        <w:t>הנחיות מתאימות</w:t>
      </w:r>
      <w:r w:rsidRPr="002D7AD6">
        <w:rPr>
          <w:rFonts w:hint="cs"/>
          <w:rtl/>
        </w:rPr>
        <w:t xml:space="preserve">; (ב) ביצוע התאמות </w:t>
      </w:r>
      <w:r w:rsidR="0021022F" w:rsidRPr="002D7AD6">
        <w:rPr>
          <w:rFonts w:hint="cs"/>
          <w:rtl/>
        </w:rPr>
        <w:t xml:space="preserve">של </w:t>
      </w:r>
      <w:r w:rsidRPr="002D7AD6">
        <w:rPr>
          <w:rFonts w:hint="cs"/>
          <w:rtl/>
        </w:rPr>
        <w:t xml:space="preserve">תהליך </w:t>
      </w:r>
      <w:r w:rsidR="0021022F" w:rsidRPr="002D7AD6">
        <w:rPr>
          <w:rFonts w:hint="cs"/>
          <w:rtl/>
        </w:rPr>
        <w:t>ה</w:t>
      </w:r>
      <w:r w:rsidRPr="002D7AD6">
        <w:rPr>
          <w:rFonts w:hint="cs"/>
          <w:rtl/>
        </w:rPr>
        <w:t>פיתוח ו</w:t>
      </w:r>
      <w:r w:rsidR="0021022F" w:rsidRPr="002D7AD6">
        <w:rPr>
          <w:rFonts w:hint="cs"/>
          <w:rtl/>
        </w:rPr>
        <w:t>ה</w:t>
      </w:r>
      <w:r w:rsidRPr="002D7AD6">
        <w:rPr>
          <w:rFonts w:hint="cs"/>
          <w:rtl/>
        </w:rPr>
        <w:t xml:space="preserve">רכש </w:t>
      </w:r>
      <w:r w:rsidR="0021022F" w:rsidRPr="002D7AD6">
        <w:rPr>
          <w:rFonts w:hint="cs"/>
          <w:rtl/>
        </w:rPr>
        <w:t>ה</w:t>
      </w:r>
      <w:r w:rsidRPr="002D7AD6">
        <w:rPr>
          <w:rFonts w:hint="cs"/>
          <w:rtl/>
        </w:rPr>
        <w:t xml:space="preserve">טכנולוגי למערכות רגישות; (ג) </w:t>
      </w:r>
      <w:r w:rsidR="007D0201">
        <w:rPr>
          <w:rFonts w:hint="cs"/>
          <w:rtl/>
        </w:rPr>
        <w:t>שינוי הפירוט ב</w:t>
      </w:r>
      <w:r w:rsidRPr="002D7AD6">
        <w:rPr>
          <w:rFonts w:hint="cs"/>
          <w:rtl/>
        </w:rPr>
        <w:t>דיווחים ליועמ"ש הממשלה על אודות היתרי האזנות סתר; (ד) התאמת תוכניות העבודה בנוגע לשרשרת האזנה, נוסחי צווים ובקרות מקצועיות</w:t>
      </w:r>
      <w:r w:rsidR="00BA5AA2">
        <w:rPr>
          <w:rFonts w:hint="cs"/>
          <w:rtl/>
        </w:rPr>
        <w:t xml:space="preserve">. </w:t>
      </w:r>
    </w:p>
    <w:p w:rsidR="00271D14" w:rsidRDefault="00271D14" w:rsidP="00604C3D">
      <w:pPr>
        <w:spacing w:line="269" w:lineRule="auto"/>
        <w:rPr>
          <w:rtl/>
        </w:rPr>
      </w:pPr>
    </w:p>
    <w:p w:rsidR="00711506" w:rsidRDefault="00B00214" w:rsidP="00604C3D">
      <w:pPr>
        <w:spacing w:line="269" w:lineRule="auto"/>
        <w:rPr>
          <w:rtl/>
        </w:rPr>
      </w:pPr>
      <w:r>
        <w:rPr>
          <w:rFonts w:hint="cs"/>
          <w:rtl/>
        </w:rPr>
        <w:t xml:space="preserve">ב-27.8.23 </w:t>
      </w:r>
      <w:r w:rsidR="00711506">
        <w:rPr>
          <w:rFonts w:hint="cs"/>
          <w:rtl/>
        </w:rPr>
        <w:t xml:space="preserve">התקבלה החלטת </w:t>
      </w:r>
      <w:r>
        <w:rPr>
          <w:rFonts w:hint="cs"/>
          <w:rtl/>
        </w:rPr>
        <w:t xml:space="preserve">ממשלה </w:t>
      </w:r>
      <w:r w:rsidR="00711506">
        <w:rPr>
          <w:rFonts w:hint="cs"/>
          <w:rtl/>
        </w:rPr>
        <w:t>בנושא</w:t>
      </w:r>
      <w:r>
        <w:rPr>
          <w:rFonts w:hint="cs"/>
          <w:rtl/>
        </w:rPr>
        <w:t xml:space="preserve"> "הענקת סמכויות של ועדת חקירה לוועדת הבדיקה הממשלתית בעניין רכש, מעקב ואיסוף מידע בכלים קיברנטיים אחר אזרחים ונושאי משרה המבוצעים על ידי גורמי אכיפה"</w:t>
      </w:r>
      <w:r>
        <w:rPr>
          <w:rStyle w:val="af"/>
          <w:rtl/>
        </w:rPr>
        <w:footnoteReference w:id="28"/>
      </w:r>
      <w:r>
        <w:rPr>
          <w:rFonts w:hint="cs"/>
          <w:rtl/>
        </w:rPr>
        <w:t xml:space="preserve">. הוועדה הוקמה כדי לבדוק את "התנהלות גורמי המשטרה, פרקליטות המדינה, הייעוץ המשפטי לממשלה והמחלקה לחקירות שוטרים בכל הקשור לביצוע פעולות רכש, מעקב ואיסוף בכלים קיברנטיים אחר אזרחים ונושאי משרה, לרבות מעקב טכנולוגי אחר אנשים באמצעות תוכנת פגסוס". עוד הוחלט כי הוועדה תקבע ממצאים ומסקנות בכל המישורים בנוגע לעבר וכן המלצות לעתיד. </w:t>
      </w:r>
      <w:r w:rsidR="00711506">
        <w:rPr>
          <w:rFonts w:hint="cs"/>
          <w:rtl/>
        </w:rPr>
        <w:t xml:space="preserve">נכון לתקופת הביקורת, הוועדה טרם סיימה את עבודתה. </w:t>
      </w:r>
    </w:p>
    <w:p w:rsidR="00180D6E" w:rsidRDefault="00180D6E" w:rsidP="00604C3D">
      <w:pPr>
        <w:spacing w:line="269" w:lineRule="auto"/>
        <w:rPr>
          <w:rtl/>
        </w:rPr>
      </w:pPr>
    </w:p>
    <w:p w:rsidR="00180D6E" w:rsidRPr="00180D6E" w:rsidRDefault="00180D6E" w:rsidP="00604C3D">
      <w:pPr>
        <w:pStyle w:val="3"/>
        <w:spacing w:before="0" w:line="269" w:lineRule="auto"/>
        <w:rPr>
          <w:rtl/>
        </w:rPr>
      </w:pPr>
      <w:bookmarkStart w:id="51" w:name="_Toc219110292"/>
      <w:bookmarkStart w:id="52" w:name="_Toc219113733"/>
      <w:bookmarkStart w:id="53" w:name="_Toc219286508"/>
      <w:bookmarkStart w:id="54" w:name="_Hlk216252179"/>
      <w:bookmarkStart w:id="55" w:name="_Hlk213052956"/>
      <w:r w:rsidRPr="00180D6E">
        <w:rPr>
          <w:rFonts w:hint="cs"/>
          <w:rtl/>
        </w:rPr>
        <w:t xml:space="preserve">פעולות התיקון, העדכון והשיפור </w:t>
      </w:r>
      <w:r w:rsidR="00816F46">
        <w:rPr>
          <w:rFonts w:hint="cs"/>
          <w:rtl/>
        </w:rPr>
        <w:t xml:space="preserve">שנקטו </w:t>
      </w:r>
      <w:r w:rsidR="00E20E23">
        <w:rPr>
          <w:rFonts w:hint="cs"/>
          <w:rtl/>
        </w:rPr>
        <w:t>המשטרה ומשרד המשפטים</w:t>
      </w:r>
      <w:bookmarkEnd w:id="51"/>
      <w:bookmarkEnd w:id="52"/>
      <w:bookmarkEnd w:id="53"/>
    </w:p>
    <w:bookmarkEnd w:id="54"/>
    <w:p w:rsidR="00180D6E" w:rsidRPr="00180D6E" w:rsidRDefault="00180D6E" w:rsidP="00604C3D">
      <w:pPr>
        <w:spacing w:line="269" w:lineRule="auto"/>
        <w:rPr>
          <w:rtl/>
        </w:rPr>
      </w:pPr>
    </w:p>
    <w:p w:rsidR="00180D6E" w:rsidRPr="00180D6E" w:rsidRDefault="00180D6E" w:rsidP="00604C3D">
      <w:pPr>
        <w:spacing w:line="269" w:lineRule="auto"/>
        <w:rPr>
          <w:rtl/>
        </w:rPr>
      </w:pPr>
      <w:r w:rsidRPr="00180D6E">
        <w:rPr>
          <w:rFonts w:hint="cs"/>
          <w:rtl/>
        </w:rPr>
        <w:t xml:space="preserve">מאז הפרסומים בינואר 2022 המשטרה נתונה לבדיקה הנוגעת לנושא זה בידי כמה גורמים, ובכלל זה משרד מבקר המדינה; צוות שמינה היועמ"ש לממשלה דאז בראשות המשנה ליועמ"ש לממשלה (פלילי) דאז (צוות מררי); וועדת בדיקה ממשלתית שהוקמה בעקבות החלטת ממשלה בנושא. </w:t>
      </w:r>
    </w:p>
    <w:p w:rsidR="00D254C6" w:rsidRDefault="00D254C6" w:rsidP="00604C3D">
      <w:pPr>
        <w:spacing w:line="269" w:lineRule="auto"/>
        <w:rPr>
          <w:rtl/>
        </w:rPr>
      </w:pPr>
    </w:p>
    <w:p w:rsidR="00D254C6" w:rsidRDefault="00D254C6" w:rsidP="00604C3D">
      <w:pPr>
        <w:spacing w:line="269" w:lineRule="auto"/>
        <w:rPr>
          <w:rtl/>
        </w:rPr>
      </w:pPr>
      <w:bookmarkStart w:id="56" w:name="_Hlk216252206"/>
      <w:bookmarkStart w:id="57" w:name="_Hlk216258373"/>
      <w:bookmarkStart w:id="58" w:name="_Hlk217473779"/>
      <w:r>
        <w:rPr>
          <w:rFonts w:hint="cs"/>
          <w:rtl/>
        </w:rPr>
        <w:t xml:space="preserve">להלן פירוט פעולות התיקון, העדכון והשיפור שהמשטרה ומשרד המשפטים ביקשו </w:t>
      </w:r>
      <w:r w:rsidR="00B619D4">
        <w:rPr>
          <w:rFonts w:hint="cs"/>
          <w:rtl/>
        </w:rPr>
        <w:t>למסור ל</w:t>
      </w:r>
      <w:r>
        <w:rPr>
          <w:rFonts w:hint="cs"/>
          <w:rtl/>
        </w:rPr>
        <w:t>משרד מבקר המדינה לאחר קבלת טיוטת דוח ביקורת זה</w:t>
      </w:r>
      <w:bookmarkEnd w:id="56"/>
      <w:r>
        <w:rPr>
          <w:rFonts w:hint="cs"/>
          <w:rtl/>
        </w:rPr>
        <w:t xml:space="preserve">: </w:t>
      </w:r>
    </w:p>
    <w:p w:rsidR="00D254C6" w:rsidRDefault="00D254C6" w:rsidP="00604C3D">
      <w:pPr>
        <w:spacing w:line="269" w:lineRule="auto"/>
        <w:rPr>
          <w:rtl/>
        </w:rPr>
      </w:pPr>
    </w:p>
    <w:p w:rsidR="00605830" w:rsidRDefault="00996FB2" w:rsidP="00604C3D">
      <w:pPr>
        <w:spacing w:line="269" w:lineRule="auto"/>
        <w:rPr>
          <w:rtl/>
        </w:rPr>
      </w:pPr>
      <w:r w:rsidRPr="009D0BE5">
        <w:rPr>
          <w:rStyle w:val="70"/>
          <w:rFonts w:hint="cs"/>
          <w:rtl/>
        </w:rPr>
        <w:t>הייעוץ המשפטי לממשלה</w:t>
      </w:r>
      <w:r w:rsidRPr="00A858C3">
        <w:rPr>
          <w:rFonts w:hint="cs"/>
          <w:b/>
          <w:bCs/>
          <w:rtl/>
        </w:rPr>
        <w:t>:</w:t>
      </w:r>
      <w:r>
        <w:rPr>
          <w:rFonts w:hint="cs"/>
          <w:rtl/>
        </w:rPr>
        <w:t xml:space="preserve"> </w:t>
      </w:r>
      <w:r w:rsidR="00D254C6">
        <w:rPr>
          <w:rFonts w:hint="cs"/>
          <w:rtl/>
        </w:rPr>
        <w:t xml:space="preserve">משרד המשפטים כתב בדצמבר 2025 </w:t>
      </w:r>
      <w:bookmarkStart w:id="59" w:name="_Hlk216252301"/>
      <w:r w:rsidR="00D254C6">
        <w:rPr>
          <w:rFonts w:hint="cs"/>
          <w:rtl/>
        </w:rPr>
        <w:t xml:space="preserve">כי </w:t>
      </w:r>
      <w:r w:rsidR="00605830">
        <w:rPr>
          <w:rFonts w:hint="cs"/>
          <w:rtl/>
        </w:rPr>
        <w:t xml:space="preserve">בשנים האחרונות ביצעו הייעוץ המשפטי לממשלה ופרקליטות המדינה </w:t>
      </w:r>
      <w:r w:rsidR="00A858C3">
        <w:rPr>
          <w:rFonts w:hint="cs"/>
          <w:rtl/>
        </w:rPr>
        <w:t>כמה</w:t>
      </w:r>
      <w:r w:rsidR="00605830">
        <w:rPr>
          <w:rFonts w:hint="cs"/>
          <w:rtl/>
        </w:rPr>
        <w:t xml:space="preserve"> פעולות משמעותיות לשיפור יכולות הליווי המשפטי, הפיקוח והבקרה על השימוש של גופי ממשל, לרבות המשטרה, בכלים טכנולוגיים</w:t>
      </w:r>
      <w:bookmarkEnd w:id="59"/>
      <w:r w:rsidR="00605830">
        <w:rPr>
          <w:rFonts w:hint="cs"/>
          <w:rtl/>
        </w:rPr>
        <w:t>:</w:t>
      </w:r>
    </w:p>
    <w:p w:rsidR="00605830" w:rsidRDefault="00605830" w:rsidP="00604C3D">
      <w:pPr>
        <w:spacing w:line="269" w:lineRule="auto"/>
        <w:rPr>
          <w:rtl/>
        </w:rPr>
      </w:pPr>
    </w:p>
    <w:p w:rsidR="00605830" w:rsidRDefault="00342C07" w:rsidP="008C598D">
      <w:pPr>
        <w:pStyle w:val="af2"/>
        <w:numPr>
          <w:ilvl w:val="0"/>
          <w:numId w:val="43"/>
        </w:numPr>
        <w:spacing w:line="269" w:lineRule="auto"/>
        <w:ind w:left="312"/>
      </w:pPr>
      <w:r w:rsidRPr="00A858C3">
        <w:rPr>
          <w:rStyle w:val="80"/>
          <w:rFonts w:hint="cs"/>
          <w:rtl/>
        </w:rPr>
        <w:t xml:space="preserve">גיבוש </w:t>
      </w:r>
      <w:r w:rsidR="00CE2C1F" w:rsidRPr="00A858C3">
        <w:rPr>
          <w:rStyle w:val="80"/>
          <w:rFonts w:hint="cs"/>
          <w:rtl/>
        </w:rPr>
        <w:t>דוח</w:t>
      </w:r>
      <w:r w:rsidR="00605830" w:rsidRPr="00A858C3">
        <w:rPr>
          <w:rStyle w:val="80"/>
          <w:rFonts w:hint="cs"/>
          <w:rtl/>
        </w:rPr>
        <w:t xml:space="preserve"> צוות מררי</w:t>
      </w:r>
      <w:r w:rsidR="00A858C3">
        <w:rPr>
          <w:rStyle w:val="80"/>
          <w:rFonts w:hint="cs"/>
          <w:rtl/>
        </w:rPr>
        <w:t>:</w:t>
      </w:r>
      <w:r w:rsidR="00CE2C1F">
        <w:rPr>
          <w:rFonts w:hint="cs"/>
          <w:rtl/>
        </w:rPr>
        <w:t xml:space="preserve"> היועץ המשפטי לממשלה (דאז), הניע עם פרסום הפרשה </w:t>
      </w:r>
      <w:r w:rsidR="00B10EB4">
        <w:rPr>
          <w:rFonts w:hint="cs"/>
          <w:rtl/>
        </w:rPr>
        <w:t>את</w:t>
      </w:r>
      <w:r w:rsidR="00995F46">
        <w:rPr>
          <w:rFonts w:hint="cs"/>
          <w:rtl/>
        </w:rPr>
        <w:t xml:space="preserve"> </w:t>
      </w:r>
      <w:r w:rsidR="00B10EB4">
        <w:rPr>
          <w:rFonts w:hint="cs"/>
          <w:rtl/>
        </w:rPr>
        <w:t xml:space="preserve">הבדיקה </w:t>
      </w:r>
      <w:r w:rsidR="000126BC">
        <w:rPr>
          <w:rFonts w:hint="cs"/>
          <w:rtl/>
        </w:rPr>
        <w:t xml:space="preserve">במטרה </w:t>
      </w:r>
      <w:r w:rsidR="00816F46">
        <w:rPr>
          <w:rFonts w:hint="cs"/>
          <w:rtl/>
        </w:rPr>
        <w:t>לבחון האם יש אמת בפרסום לפיו המשטרה הפעילה כלים טכנולוגיים ללא סמכות</w:t>
      </w:r>
      <w:r w:rsidR="0009426E">
        <w:rPr>
          <w:rFonts w:hint="cs"/>
          <w:rtl/>
        </w:rPr>
        <w:t>. הבדיקה</w:t>
      </w:r>
      <w:r w:rsidR="000E5D32">
        <w:rPr>
          <w:rFonts w:hint="cs"/>
          <w:rtl/>
        </w:rPr>
        <w:t xml:space="preserve"> כללה בחינה משמעותית של פעולות שבוצעו במשרד המשפטים ובמשטרה מתוך תפיסה לפיה קיימת חשיבות עליונה לבחינה האם המשטרה השתמשה בכלים טכנולוגיים ללא צווים</w:t>
      </w:r>
      <w:r w:rsidR="00D96A85">
        <w:rPr>
          <w:rFonts w:hint="cs"/>
          <w:rtl/>
        </w:rPr>
        <w:t xml:space="preserve">. </w:t>
      </w:r>
      <w:r w:rsidR="00E20CF5">
        <w:rPr>
          <w:rFonts w:hint="cs"/>
          <w:rtl/>
        </w:rPr>
        <w:t>על רקע ממצאי הדוח</w:t>
      </w:r>
      <w:r w:rsidR="00E427A0">
        <w:rPr>
          <w:rFonts w:hint="cs"/>
          <w:rtl/>
        </w:rPr>
        <w:t>, גיבש צוות הבדיקה שורה של המלצות הנוגעות להיבטי אישור כלים טכנולוגיים</w:t>
      </w:r>
      <w:r w:rsidR="00946BD2">
        <w:rPr>
          <w:rFonts w:hint="cs"/>
          <w:rtl/>
        </w:rPr>
        <w:t>;</w:t>
      </w:r>
      <w:r w:rsidR="00E427A0">
        <w:rPr>
          <w:rFonts w:hint="cs"/>
          <w:rtl/>
        </w:rPr>
        <w:t xml:space="preserve"> פיקוח ובקרה על השימוש בכלים בפועל</w:t>
      </w:r>
      <w:r w:rsidR="00946BD2">
        <w:rPr>
          <w:rFonts w:hint="cs"/>
          <w:rtl/>
        </w:rPr>
        <w:t>;</w:t>
      </w:r>
      <w:r w:rsidR="00E427A0">
        <w:rPr>
          <w:rFonts w:hint="cs"/>
          <w:rtl/>
        </w:rPr>
        <w:t xml:space="preserve"> </w:t>
      </w:r>
      <w:r w:rsidR="00946BD2">
        <w:rPr>
          <w:rFonts w:hint="cs"/>
          <w:rtl/>
        </w:rPr>
        <w:t>שינוי במערך הייעוץ המשפטי של המשטרה; העמקת ידע טכנולוגי במשרד המשפטים; תיקוני חקיקה;</w:t>
      </w:r>
      <w:r w:rsidR="00946BD2">
        <w:rPr>
          <w:rFonts w:hint="cs"/>
        </w:rPr>
        <w:t xml:space="preserve"> </w:t>
      </w:r>
      <w:r w:rsidR="00946BD2">
        <w:rPr>
          <w:rFonts w:hint="cs"/>
          <w:rtl/>
        </w:rPr>
        <w:t>התאמות בכלים הטכנולוגיים הקיימים; וטיוב נוסח הבקשות המוגשות לבית המשפט.</w:t>
      </w:r>
      <w:r w:rsidR="00382AE8">
        <w:rPr>
          <w:rFonts w:hint="cs"/>
          <w:rtl/>
        </w:rPr>
        <w:t xml:space="preserve"> </w:t>
      </w:r>
    </w:p>
    <w:p w:rsidR="009A79D3" w:rsidRPr="00F8633C" w:rsidRDefault="009A79D3" w:rsidP="00604C3D">
      <w:pPr>
        <w:spacing w:line="269" w:lineRule="auto"/>
      </w:pPr>
    </w:p>
    <w:p w:rsidR="00605830" w:rsidRDefault="00605830" w:rsidP="008C598D">
      <w:pPr>
        <w:pStyle w:val="af2"/>
        <w:numPr>
          <w:ilvl w:val="0"/>
          <w:numId w:val="43"/>
        </w:numPr>
        <w:spacing w:line="269" w:lineRule="auto"/>
        <w:ind w:left="312"/>
      </w:pPr>
      <w:r w:rsidRPr="00A858C3">
        <w:rPr>
          <w:rStyle w:val="80"/>
          <w:rFonts w:hint="cs"/>
          <w:rtl/>
        </w:rPr>
        <w:t>ליווי הפקת הלקחים של המשטרה ויישום דוח צוות מררי</w:t>
      </w:r>
      <w:r w:rsidR="00A858C3">
        <w:rPr>
          <w:rStyle w:val="80"/>
          <w:rFonts w:hint="cs"/>
          <w:rtl/>
        </w:rPr>
        <w:t>:</w:t>
      </w:r>
      <w:r w:rsidR="00CE2C1F">
        <w:rPr>
          <w:rFonts w:hint="cs"/>
          <w:rtl/>
        </w:rPr>
        <w:t xml:space="preserve"> הייעוץ המשפטי לממשלה ליווה את</w:t>
      </w:r>
      <w:r w:rsidR="004B631C">
        <w:rPr>
          <w:rFonts w:hint="cs"/>
          <w:rtl/>
        </w:rPr>
        <w:t xml:space="preserve"> הפקת הלקחים שביצעה המשטרה במספר מישורים: (א)</w:t>
      </w:r>
      <w:r w:rsidR="00CE2C1F">
        <w:rPr>
          <w:rFonts w:hint="cs"/>
          <w:rtl/>
        </w:rPr>
        <w:t xml:space="preserve"> </w:t>
      </w:r>
      <w:r w:rsidR="004B631C">
        <w:rPr>
          <w:rFonts w:hint="cs"/>
          <w:rtl/>
        </w:rPr>
        <w:t xml:space="preserve">ליווי משפטי של </w:t>
      </w:r>
      <w:r w:rsidR="00CE2C1F">
        <w:rPr>
          <w:rFonts w:hint="cs"/>
          <w:rtl/>
        </w:rPr>
        <w:t>מיסוד הליכי הרכש והפיתוח של הכלים הטכנולוגיים במשטרה והכנת הנהלים המשטרתיים בנושא זה</w:t>
      </w:r>
      <w:r w:rsidR="004B631C">
        <w:rPr>
          <w:rFonts w:hint="cs"/>
          <w:rtl/>
        </w:rPr>
        <w:t>;</w:t>
      </w:r>
      <w:r w:rsidR="00CE2C1F">
        <w:rPr>
          <w:rFonts w:hint="cs"/>
          <w:rtl/>
        </w:rPr>
        <w:t xml:space="preserve"> </w:t>
      </w:r>
      <w:r w:rsidR="004B631C">
        <w:rPr>
          <w:rFonts w:hint="cs"/>
          <w:rtl/>
        </w:rPr>
        <w:t>(ב) בקרה על שיפור הדיווחים העתיים על האזנות סתר אותם מגישה המשטרה לייעוץ המשפטי לממשלה</w:t>
      </w:r>
      <w:r w:rsidR="0009426E">
        <w:rPr>
          <w:rFonts w:hint="cs"/>
          <w:rtl/>
        </w:rPr>
        <w:t>,</w:t>
      </w:r>
      <w:r w:rsidR="00674069">
        <w:rPr>
          <w:rFonts w:hint="cs"/>
          <w:rtl/>
        </w:rPr>
        <w:t xml:space="preserve"> לרבות אזכור שמות הכלים בהם התבצעה ההאזנה</w:t>
      </w:r>
      <w:r w:rsidR="004B631C">
        <w:rPr>
          <w:rFonts w:hint="cs"/>
          <w:rtl/>
        </w:rPr>
        <w:t>; (ג)</w:t>
      </w:r>
      <w:r w:rsidR="004B631C">
        <w:rPr>
          <w:rFonts w:hint="cs"/>
        </w:rPr>
        <w:t xml:space="preserve"> </w:t>
      </w:r>
      <w:r w:rsidR="00B77C21">
        <w:rPr>
          <w:rFonts w:hint="cs"/>
          <w:rtl/>
        </w:rPr>
        <w:t>בקרה על התקדמות הליכי הניוון של הכלים הטכנולוגיים</w:t>
      </w:r>
      <w:r w:rsidR="00EA772D">
        <w:rPr>
          <w:rFonts w:hint="cs"/>
          <w:rtl/>
        </w:rPr>
        <w:t>; (ד) בקרה על השינוי הארגוני ביועמ"ש המשטרה; (ה) אישור נהלים מעודכנים של המשטרה בנושא האזנות סתר ושימוש בכלים.</w:t>
      </w:r>
      <w:r w:rsidR="00B77C21">
        <w:rPr>
          <w:rFonts w:hint="cs"/>
          <w:rtl/>
        </w:rPr>
        <w:t xml:space="preserve"> </w:t>
      </w:r>
      <w:r w:rsidR="00512DB0">
        <w:rPr>
          <w:rFonts w:hint="cs"/>
          <w:rtl/>
        </w:rPr>
        <w:t>נכון לדצמבר 2025</w:t>
      </w:r>
      <w:r w:rsidR="00B77C21">
        <w:rPr>
          <w:rFonts w:hint="cs"/>
          <w:rtl/>
        </w:rPr>
        <w:t>, מלאכת ליווי הפקת הלקחים ויישום המלצות הדוח עדיין לא תמה.</w:t>
      </w:r>
      <w:r w:rsidR="00382AE8">
        <w:rPr>
          <w:rFonts w:hint="cs"/>
          <w:rtl/>
        </w:rPr>
        <w:t xml:space="preserve"> </w:t>
      </w:r>
    </w:p>
    <w:p w:rsidR="009A79D3" w:rsidRPr="00F8633C" w:rsidRDefault="009A79D3" w:rsidP="00604C3D">
      <w:pPr>
        <w:spacing w:line="269" w:lineRule="auto"/>
      </w:pPr>
    </w:p>
    <w:p w:rsidR="00C56962" w:rsidRDefault="00C56962" w:rsidP="008C598D">
      <w:pPr>
        <w:pStyle w:val="af2"/>
        <w:numPr>
          <w:ilvl w:val="0"/>
          <w:numId w:val="43"/>
        </w:numPr>
        <w:spacing w:line="269" w:lineRule="auto"/>
        <w:ind w:left="312"/>
      </w:pPr>
      <w:r w:rsidRPr="00A858C3">
        <w:rPr>
          <w:rStyle w:val="80"/>
          <w:rFonts w:hint="cs"/>
          <w:rtl/>
        </w:rPr>
        <w:t>שינויים בהליכי אישור השימוש בכלים טכנולוגיים</w:t>
      </w:r>
      <w:r w:rsidR="00A858C3">
        <w:rPr>
          <w:rStyle w:val="80"/>
          <w:rFonts w:hint="cs"/>
          <w:rtl/>
        </w:rPr>
        <w:t>:</w:t>
      </w:r>
      <w:r>
        <w:rPr>
          <w:rFonts w:hint="cs"/>
          <w:rtl/>
        </w:rPr>
        <w:t xml:space="preserve"> הייעוץ המשפטי לממשלה פעל לשינוי הסטנדרט הנדרש מגופי ממשל לקבל</w:t>
      </w:r>
      <w:r w:rsidR="0009426E">
        <w:rPr>
          <w:rFonts w:hint="cs"/>
          <w:rtl/>
        </w:rPr>
        <w:t>ת</w:t>
      </w:r>
      <w:r>
        <w:rPr>
          <w:rFonts w:hint="cs"/>
          <w:rtl/>
        </w:rPr>
        <w:t xml:space="preserve"> אישורו להפעלת כלים טכנולוגיים. בין היתר, נקבע כי בקשה לאישור הפעלת כלים טכנולוגיים תכלול חוות דעת משפטית מסודרת של הייעוץ המשפטי של גוף הממשל בצירוף חוות דעת הנדסית-טכנולוגית</w:t>
      </w:r>
      <w:r w:rsidR="00946BD2">
        <w:rPr>
          <w:rFonts w:hint="cs"/>
          <w:rtl/>
        </w:rPr>
        <w:t>, וכן הדגמה של השימוש בכלים במקרה הצורך</w:t>
      </w:r>
      <w:r>
        <w:rPr>
          <w:rFonts w:hint="cs"/>
          <w:rtl/>
        </w:rPr>
        <w:t xml:space="preserve">; הייעוץ המשפטי פועל להגברת האוריינות הטכנולוגית של עובדי המחלקה, ובכך, שיפר את הייעוץ המשפטי הניתן בתחום זה, את הליכי בירור העובדות והבקרה על חוות הדעת המשפטיות של היועצים המשפטיים לגופי הממשל. כל זאת, במטרה לשפר את יכולות גורמי הייעוץ המשפטי ללוות הליכי אישור מורכבים </w:t>
      </w:r>
      <w:r w:rsidR="00EA772D">
        <w:rPr>
          <w:rFonts w:hint="cs"/>
          <w:rtl/>
        </w:rPr>
        <w:t>אלו.</w:t>
      </w:r>
    </w:p>
    <w:p w:rsidR="009A79D3" w:rsidRPr="00F8633C" w:rsidRDefault="009A79D3" w:rsidP="00604C3D">
      <w:pPr>
        <w:spacing w:line="269" w:lineRule="auto"/>
      </w:pPr>
    </w:p>
    <w:p w:rsidR="00EA772D" w:rsidRDefault="00EA772D" w:rsidP="008C598D">
      <w:pPr>
        <w:pStyle w:val="af2"/>
        <w:numPr>
          <w:ilvl w:val="0"/>
          <w:numId w:val="43"/>
        </w:numPr>
        <w:spacing w:line="269" w:lineRule="auto"/>
        <w:ind w:left="312"/>
      </w:pPr>
      <w:r w:rsidRPr="00A858C3">
        <w:rPr>
          <w:rStyle w:val="80"/>
          <w:rFonts w:hint="cs"/>
          <w:rtl/>
        </w:rPr>
        <w:t>קידום עבודת מטה לתיקוני חקיקה</w:t>
      </w:r>
      <w:r w:rsidR="00A858C3">
        <w:rPr>
          <w:rStyle w:val="80"/>
          <w:rFonts w:hint="cs"/>
          <w:rtl/>
        </w:rPr>
        <w:t>:</w:t>
      </w:r>
      <w:r>
        <w:rPr>
          <w:rFonts w:hint="cs"/>
          <w:rtl/>
        </w:rPr>
        <w:t xml:space="preserve"> בין היתר, תיקון לפקודת המשטרה בנושא חיפוש סמוי</w:t>
      </w:r>
      <w:r w:rsidR="00995F46">
        <w:rPr>
          <w:rFonts w:hint="cs"/>
          <w:rtl/>
        </w:rPr>
        <w:t>,</w:t>
      </w:r>
      <w:r>
        <w:rPr>
          <w:rFonts w:hint="cs"/>
          <w:rtl/>
        </w:rPr>
        <w:t xml:space="preserve"> תיקון חוק האזנת סתר</w:t>
      </w:r>
      <w:r w:rsidR="00DF4599">
        <w:rPr>
          <w:rFonts w:hint="cs"/>
          <w:rtl/>
        </w:rPr>
        <w:t>, ותיקון חוק נתוני תקשורת</w:t>
      </w:r>
      <w:r>
        <w:rPr>
          <w:rFonts w:hint="cs"/>
          <w:rtl/>
        </w:rPr>
        <w:t xml:space="preserve">. יחד עם זאת, </w:t>
      </w:r>
      <w:r w:rsidR="00DF4599">
        <w:rPr>
          <w:rFonts w:hint="cs"/>
          <w:rtl/>
        </w:rPr>
        <w:t xml:space="preserve">נכון לדצמבר 2025, </w:t>
      </w:r>
      <w:r w:rsidR="00E862F6">
        <w:rPr>
          <w:rFonts w:hint="cs"/>
          <w:rtl/>
        </w:rPr>
        <w:t xml:space="preserve">תיקוני </w:t>
      </w:r>
      <w:r>
        <w:rPr>
          <w:rFonts w:hint="cs"/>
          <w:rtl/>
        </w:rPr>
        <w:t>החקיקה</w:t>
      </w:r>
      <w:r w:rsidR="00E862F6">
        <w:rPr>
          <w:rFonts w:hint="cs"/>
          <w:rtl/>
        </w:rPr>
        <w:t xml:space="preserve"> לא הושלמו</w:t>
      </w:r>
      <w:r>
        <w:rPr>
          <w:rFonts w:hint="cs"/>
          <w:rtl/>
        </w:rPr>
        <w:t xml:space="preserve">. </w:t>
      </w:r>
    </w:p>
    <w:p w:rsidR="009A79D3" w:rsidRPr="00F8633C" w:rsidRDefault="009A79D3" w:rsidP="00604C3D">
      <w:pPr>
        <w:spacing w:line="269" w:lineRule="auto"/>
        <w:rPr>
          <w:rtl/>
        </w:rPr>
      </w:pPr>
    </w:p>
    <w:p w:rsidR="00F728EB" w:rsidRDefault="00CE2C1F" w:rsidP="008C598D">
      <w:pPr>
        <w:pStyle w:val="af2"/>
        <w:numPr>
          <w:ilvl w:val="0"/>
          <w:numId w:val="43"/>
        </w:numPr>
        <w:spacing w:line="269" w:lineRule="auto"/>
        <w:ind w:left="312"/>
      </w:pPr>
      <w:r w:rsidRPr="00A858C3">
        <w:rPr>
          <w:rStyle w:val="80"/>
          <w:rFonts w:hint="cs"/>
          <w:rtl/>
        </w:rPr>
        <w:t>שינויים בליווי המשפטי למשטרה בתחומי האזנת הסתר ונתוני התקשורת</w:t>
      </w:r>
      <w:r w:rsidR="002C1F17">
        <w:rPr>
          <w:rStyle w:val="80"/>
          <w:rFonts w:hint="cs"/>
          <w:rtl/>
        </w:rPr>
        <w:t>:</w:t>
      </w:r>
      <w:r>
        <w:rPr>
          <w:rFonts w:hint="cs"/>
          <w:rtl/>
        </w:rPr>
        <w:t xml:space="preserve"> </w:t>
      </w:r>
      <w:r w:rsidR="00F728EB">
        <w:rPr>
          <w:rFonts w:hint="cs"/>
          <w:rtl/>
        </w:rPr>
        <w:t>משרד המשפטים פעל לשיפור הליווי המשפטי הניתן בתחומי האזנת סתר ונתוני תקשורת לנוכח השימוש בכלים טכנולוגיים במספר חזיתות:</w:t>
      </w:r>
    </w:p>
    <w:p w:rsidR="00996FB2" w:rsidRDefault="00996FB2" w:rsidP="00604C3D">
      <w:pPr>
        <w:spacing w:line="269" w:lineRule="auto"/>
      </w:pPr>
    </w:p>
    <w:p w:rsidR="00D213DD" w:rsidRDefault="00F728EB" w:rsidP="008C598D">
      <w:pPr>
        <w:pStyle w:val="af2"/>
        <w:numPr>
          <w:ilvl w:val="1"/>
          <w:numId w:val="44"/>
        </w:numPr>
        <w:spacing w:line="269" w:lineRule="auto"/>
        <w:ind w:left="709"/>
      </w:pPr>
      <w:r w:rsidRPr="002C1F17">
        <w:rPr>
          <w:rFonts w:hint="eastAsia"/>
          <w:b/>
          <w:bCs/>
          <w:rtl/>
        </w:rPr>
        <w:t>הייעוץ</w:t>
      </w:r>
      <w:r w:rsidRPr="002C1F17">
        <w:rPr>
          <w:b/>
          <w:bCs/>
          <w:rtl/>
        </w:rPr>
        <w:t xml:space="preserve"> </w:t>
      </w:r>
      <w:r w:rsidRPr="002C1F17">
        <w:rPr>
          <w:rFonts w:hint="eastAsia"/>
          <w:b/>
          <w:bCs/>
          <w:rtl/>
        </w:rPr>
        <w:t>המשפטי</w:t>
      </w:r>
      <w:r w:rsidRPr="002C1F17">
        <w:rPr>
          <w:b/>
          <w:bCs/>
          <w:rtl/>
        </w:rPr>
        <w:t xml:space="preserve"> </w:t>
      </w:r>
      <w:r w:rsidRPr="002C1F17">
        <w:rPr>
          <w:rFonts w:hint="eastAsia"/>
          <w:b/>
          <w:bCs/>
          <w:rtl/>
        </w:rPr>
        <w:t>לממשלה</w:t>
      </w:r>
      <w:r w:rsidR="002C1F17" w:rsidRPr="002C1F17">
        <w:rPr>
          <w:rFonts w:hint="cs"/>
          <w:b/>
          <w:bCs/>
          <w:rtl/>
        </w:rPr>
        <w:t>:</w:t>
      </w:r>
      <w:r>
        <w:rPr>
          <w:rFonts w:hint="cs"/>
          <w:rtl/>
        </w:rPr>
        <w:t xml:space="preserve"> </w:t>
      </w:r>
      <w:r w:rsidR="004B631C">
        <w:rPr>
          <w:rFonts w:hint="cs"/>
          <w:rtl/>
        </w:rPr>
        <w:t xml:space="preserve">נוסף על </w:t>
      </w:r>
      <w:r w:rsidR="00B77C21">
        <w:rPr>
          <w:rFonts w:hint="cs"/>
          <w:rtl/>
        </w:rPr>
        <w:t xml:space="preserve">הבקרה </w:t>
      </w:r>
      <w:r w:rsidR="008A3459">
        <w:rPr>
          <w:rFonts w:hint="cs"/>
          <w:rtl/>
        </w:rPr>
        <w:t xml:space="preserve">שבוצעה על שיפור </w:t>
      </w:r>
      <w:r w:rsidR="004B631C">
        <w:rPr>
          <w:rFonts w:hint="cs"/>
          <w:rtl/>
        </w:rPr>
        <w:t>הדיווח</w:t>
      </w:r>
      <w:r w:rsidR="00E954CA">
        <w:rPr>
          <w:rFonts w:hint="cs"/>
          <w:rtl/>
        </w:rPr>
        <w:t>ים העיתיים</w:t>
      </w:r>
      <w:r w:rsidR="00512DB0">
        <w:rPr>
          <w:rFonts w:hint="cs"/>
          <w:rtl/>
        </w:rPr>
        <w:t xml:space="preserve"> של המשטרה</w:t>
      </w:r>
      <w:r w:rsidR="00B77C21">
        <w:rPr>
          <w:rFonts w:hint="cs"/>
          <w:rtl/>
        </w:rPr>
        <w:t>,</w:t>
      </w:r>
      <w:r w:rsidR="004B631C">
        <w:rPr>
          <w:rFonts w:hint="cs"/>
          <w:rtl/>
        </w:rPr>
        <w:t xml:space="preserve"> </w:t>
      </w:r>
      <w:r w:rsidR="008A3459">
        <w:rPr>
          <w:rFonts w:hint="cs"/>
          <w:rtl/>
        </w:rPr>
        <w:t xml:space="preserve">הייעוץ המשפטי לממשלה </w:t>
      </w:r>
      <w:r w:rsidR="00D96DC5">
        <w:rPr>
          <w:rFonts w:hint="cs"/>
          <w:rtl/>
        </w:rPr>
        <w:t>הגביר את הליכי הפיקוח על דיווחי המשטרה על האזנות סתר</w:t>
      </w:r>
      <w:r w:rsidR="004B631C">
        <w:rPr>
          <w:rFonts w:hint="cs"/>
          <w:rtl/>
        </w:rPr>
        <w:t xml:space="preserve"> באמצעות</w:t>
      </w:r>
      <w:r w:rsidR="00B77C21">
        <w:rPr>
          <w:rFonts w:hint="cs"/>
          <w:rtl/>
        </w:rPr>
        <w:t>:</w:t>
      </w:r>
      <w:r w:rsidR="004B631C">
        <w:rPr>
          <w:rFonts w:hint="cs"/>
          <w:rtl/>
        </w:rPr>
        <w:t xml:space="preserve"> </w:t>
      </w:r>
      <w:r w:rsidR="00790EDB">
        <w:rPr>
          <w:rFonts w:hint="cs"/>
          <w:rtl/>
        </w:rPr>
        <w:t xml:space="preserve">גיבוש נוהל משותף עם המשטרה בנושא סדרי פיקוח על הדיווחים (עדיין לא הסתיים); </w:t>
      </w:r>
      <w:r w:rsidR="00B77C21">
        <w:rPr>
          <w:rFonts w:hint="cs"/>
          <w:rtl/>
        </w:rPr>
        <w:t>הקצאת משאבים נוספים לביצוע הבקרה על דיווחי המשטרה; הג</w:t>
      </w:r>
      <w:r w:rsidR="008A3459">
        <w:rPr>
          <w:rFonts w:hint="cs"/>
          <w:rtl/>
        </w:rPr>
        <w:t>דל</w:t>
      </w:r>
      <w:r w:rsidR="00B77C21">
        <w:rPr>
          <w:rFonts w:hint="cs"/>
          <w:rtl/>
        </w:rPr>
        <w:t>ת הבקשות להשלמת התייחסות והבהרות ביחס לתיקים בהם דווח על שימוש בהאזנות סתר; וקיום שיח שוטף ורציף עם נציגי המשטרה בנוגע לתיקים אלו</w:t>
      </w:r>
      <w:r w:rsidR="00D96DC5">
        <w:rPr>
          <w:rFonts w:hint="cs"/>
          <w:rtl/>
        </w:rPr>
        <w:t>.</w:t>
      </w:r>
    </w:p>
    <w:p w:rsidR="00F728EB" w:rsidRPr="00F8633C" w:rsidRDefault="00D96DC5" w:rsidP="00604C3D">
      <w:pPr>
        <w:spacing w:line="269" w:lineRule="auto"/>
      </w:pPr>
      <w:r w:rsidRPr="00F8633C">
        <w:rPr>
          <w:rFonts w:hint="cs"/>
          <w:rtl/>
        </w:rPr>
        <w:t xml:space="preserve"> </w:t>
      </w:r>
    </w:p>
    <w:p w:rsidR="00880595" w:rsidRDefault="00C56962" w:rsidP="008C598D">
      <w:pPr>
        <w:pStyle w:val="af2"/>
        <w:numPr>
          <w:ilvl w:val="1"/>
          <w:numId w:val="44"/>
        </w:numPr>
        <w:spacing w:line="269" w:lineRule="auto"/>
      </w:pPr>
      <w:r w:rsidRPr="002C1F17">
        <w:rPr>
          <w:rFonts w:hint="eastAsia"/>
          <w:b/>
          <w:bCs/>
          <w:rtl/>
        </w:rPr>
        <w:t>הפרקליטות</w:t>
      </w:r>
      <w:r w:rsidR="002C1F17" w:rsidRPr="002C1F17">
        <w:rPr>
          <w:rFonts w:hint="cs"/>
          <w:b/>
          <w:bCs/>
          <w:rtl/>
        </w:rPr>
        <w:t>:</w:t>
      </w:r>
      <w:r>
        <w:rPr>
          <w:rFonts w:hint="cs"/>
          <w:rtl/>
        </w:rPr>
        <w:t xml:space="preserve"> </w:t>
      </w:r>
      <w:r w:rsidR="00711C0D">
        <w:rPr>
          <w:rFonts w:hint="cs"/>
          <w:rtl/>
        </w:rPr>
        <w:t>הפרקליטות</w:t>
      </w:r>
      <w:r w:rsidR="0078388C">
        <w:rPr>
          <w:rFonts w:hint="cs"/>
          <w:rtl/>
        </w:rPr>
        <w:t>,</w:t>
      </w:r>
      <w:r w:rsidR="00711C0D">
        <w:rPr>
          <w:rFonts w:hint="cs"/>
          <w:rtl/>
        </w:rPr>
        <w:t xml:space="preserve"> </w:t>
      </w:r>
      <w:r w:rsidR="0078388C">
        <w:rPr>
          <w:rFonts w:hint="cs"/>
          <w:rtl/>
        </w:rPr>
        <w:t xml:space="preserve">בהנחיית פרקליט המדינה, </w:t>
      </w:r>
      <w:r w:rsidR="00711C0D">
        <w:rPr>
          <w:rFonts w:hint="cs"/>
          <w:rtl/>
        </w:rPr>
        <w:t>ביצעה מהלך מורכב של איתור ובדיקה של תיקים פליליים המתנהלים בבית משפט ובהם בוצעו האזנות סתר, כדי לאתר מקרים בהם נעשה שימוש בכלים טכנולוגיים לצורכי האזנת הסתר. לאחר איתור תיקים מסוג זה</w:t>
      </w:r>
      <w:r w:rsidR="00142632">
        <w:rPr>
          <w:rFonts w:hint="cs"/>
          <w:rtl/>
        </w:rPr>
        <w:t xml:space="preserve"> ערכ</w:t>
      </w:r>
      <w:r w:rsidR="00711C0D">
        <w:rPr>
          <w:rFonts w:hint="cs"/>
          <w:rtl/>
        </w:rPr>
        <w:t xml:space="preserve">ה הפרקליטות מול המשטרה בדיקה באשר </w:t>
      </w:r>
      <w:r w:rsidR="00A0248B">
        <w:rPr>
          <w:rFonts w:hint="cs"/>
          <w:rtl/>
        </w:rPr>
        <w:t>לאופי השימוש שנעשה בכלים הטכנולוגיים,</w:t>
      </w:r>
      <w:r w:rsidR="00880595">
        <w:rPr>
          <w:rFonts w:hint="cs"/>
          <w:rtl/>
        </w:rPr>
        <w:t xml:space="preserve"> </w:t>
      </w:r>
      <w:r w:rsidR="002921D0">
        <w:rPr>
          <w:rFonts w:hint="cs"/>
          <w:rtl/>
        </w:rPr>
        <w:t>ו</w:t>
      </w:r>
      <w:r w:rsidR="00880595">
        <w:rPr>
          <w:rFonts w:hint="cs"/>
          <w:rtl/>
        </w:rPr>
        <w:t>מצאה כי התקבל מידע חורג בכלים בכל ההליכים</w:t>
      </w:r>
      <w:r w:rsidR="002921D0">
        <w:rPr>
          <w:rFonts w:hint="cs"/>
          <w:rtl/>
        </w:rPr>
        <w:t>.</w:t>
      </w:r>
      <w:r w:rsidR="00BB1C84">
        <w:rPr>
          <w:rFonts w:hint="cs"/>
          <w:rtl/>
        </w:rPr>
        <w:t xml:space="preserve"> עקב כך, הכינה הפרקליטות פרפראזה גלויה לסניגורים בדבר ממצאי הבדיקה ואף תוקנו תעודות חיסיון.</w:t>
      </w:r>
      <w:r w:rsidR="002921D0">
        <w:rPr>
          <w:rFonts w:hint="cs"/>
          <w:rtl/>
        </w:rPr>
        <w:t xml:space="preserve"> עוד</w:t>
      </w:r>
      <w:r w:rsidR="00A0248B">
        <w:rPr>
          <w:rFonts w:hint="cs"/>
          <w:rtl/>
        </w:rPr>
        <w:t xml:space="preserve"> בחנה </w:t>
      </w:r>
      <w:r w:rsidR="002921D0">
        <w:rPr>
          <w:rFonts w:hint="cs"/>
          <w:rtl/>
        </w:rPr>
        <w:t xml:space="preserve">הפרקליטות </w:t>
      </w:r>
      <w:r w:rsidR="00A0248B">
        <w:rPr>
          <w:rFonts w:hint="cs"/>
          <w:rtl/>
        </w:rPr>
        <w:t xml:space="preserve">אם נעשה שימוש ראייתי בתוצרים אסורים, ופעלה למשיכת ראיות </w:t>
      </w:r>
      <w:r w:rsidR="00880595">
        <w:rPr>
          <w:rFonts w:hint="cs"/>
          <w:rtl/>
        </w:rPr>
        <w:t>מתיק פלילי אחד בו נמצא שימוש ראייתי שכזה</w:t>
      </w:r>
      <w:r w:rsidR="00A0248B">
        <w:rPr>
          <w:rFonts w:hint="cs"/>
          <w:rtl/>
        </w:rPr>
        <w:t>.</w:t>
      </w:r>
      <w:r w:rsidR="002921D0">
        <w:rPr>
          <w:rFonts w:hint="cs"/>
          <w:rtl/>
        </w:rPr>
        <w:t xml:space="preserve"> </w:t>
      </w:r>
      <w:r w:rsidR="00BB1C84">
        <w:rPr>
          <w:rFonts w:hint="cs"/>
          <w:rtl/>
        </w:rPr>
        <w:t xml:space="preserve">בנוסף, הפרקליטות בחנה </w:t>
      </w:r>
      <w:r w:rsidR="002921D0">
        <w:rPr>
          <w:rFonts w:hint="cs"/>
          <w:rtl/>
        </w:rPr>
        <w:t>האם יש תוצרים שהופקו ועשויים לסייע להגנת הנאשם ואף ניהלה עתירות לגילוי ראיה</w:t>
      </w:r>
      <w:r w:rsidR="00BB1C84">
        <w:rPr>
          <w:rFonts w:hint="cs"/>
          <w:rtl/>
        </w:rPr>
        <w:t xml:space="preserve"> בשמונה הליכים פליליים מתנהלים</w:t>
      </w:r>
      <w:r w:rsidR="002921D0">
        <w:rPr>
          <w:rFonts w:hint="cs"/>
          <w:rtl/>
        </w:rPr>
        <w:t xml:space="preserve">. </w:t>
      </w:r>
      <w:r w:rsidR="00880595">
        <w:rPr>
          <w:rFonts w:hint="cs"/>
          <w:rtl/>
        </w:rPr>
        <w:t>בהמשך, הבחינה הורחבה להליכים פליליים שהסתיימו בהרשעה והפכו חלוטים.</w:t>
      </w:r>
    </w:p>
    <w:p w:rsidR="00D213DD" w:rsidRPr="00F8633C" w:rsidRDefault="00D213DD" w:rsidP="00604C3D">
      <w:pPr>
        <w:spacing w:line="269" w:lineRule="auto"/>
        <w:rPr>
          <w:rtl/>
        </w:rPr>
      </w:pPr>
    </w:p>
    <w:p w:rsidR="00F728EB" w:rsidRDefault="00A0248B" w:rsidP="00604C3D">
      <w:pPr>
        <w:spacing w:line="269" w:lineRule="auto"/>
        <w:ind w:left="680"/>
      </w:pPr>
      <w:r>
        <w:rPr>
          <w:rFonts w:hint="cs"/>
          <w:rtl/>
        </w:rPr>
        <w:t xml:space="preserve">כמו כן, הפרקליטות </w:t>
      </w:r>
      <w:r w:rsidRPr="00F8633C">
        <w:rPr>
          <w:rFonts w:hint="cs"/>
          <w:rtl/>
        </w:rPr>
        <w:t>פועלת</w:t>
      </w:r>
      <w:r>
        <w:rPr>
          <w:rFonts w:hint="cs"/>
          <w:rtl/>
        </w:rPr>
        <w:t xml:space="preserve"> לשפר את הליכי </w:t>
      </w:r>
      <w:r w:rsidR="00512DB0">
        <w:rPr>
          <w:rFonts w:hint="cs"/>
          <w:rtl/>
        </w:rPr>
        <w:t xml:space="preserve">בדיקת </w:t>
      </w:r>
      <w:r>
        <w:rPr>
          <w:rFonts w:hint="cs"/>
          <w:rtl/>
        </w:rPr>
        <w:t>תיקי החקירה שכוללים האזנות סתר תוך שימוש בכלים טכנולוגיים עם קבלתם</w:t>
      </w:r>
      <w:r w:rsidR="00711C0D">
        <w:rPr>
          <w:rFonts w:hint="cs"/>
          <w:rtl/>
        </w:rPr>
        <w:t xml:space="preserve"> </w:t>
      </w:r>
      <w:r>
        <w:rPr>
          <w:rFonts w:hint="cs"/>
          <w:rtl/>
        </w:rPr>
        <w:t xml:space="preserve">בתביעה </w:t>
      </w:r>
      <w:r w:rsidR="00512DB0">
        <w:rPr>
          <w:rFonts w:hint="cs"/>
          <w:rtl/>
        </w:rPr>
        <w:t>ו</w:t>
      </w:r>
      <w:r>
        <w:rPr>
          <w:rFonts w:hint="cs"/>
          <w:rtl/>
        </w:rPr>
        <w:t>את הטיפול בדיוני החיסיון</w:t>
      </w:r>
      <w:r w:rsidR="0074258C">
        <w:rPr>
          <w:rFonts w:hint="cs"/>
          <w:rtl/>
        </w:rPr>
        <w:t>, בין היתר על ידי שיפור אוריינות פ</w:t>
      </w:r>
      <w:r w:rsidR="009A79D3">
        <w:rPr>
          <w:rFonts w:hint="cs"/>
          <w:rtl/>
        </w:rPr>
        <w:t>רקליטים וגיבוש הנחיות פרקליט בנושא</w:t>
      </w:r>
      <w:r w:rsidR="009A79D3">
        <w:rPr>
          <w:rStyle w:val="af"/>
          <w:rtl/>
        </w:rPr>
        <w:footnoteReference w:id="29"/>
      </w:r>
      <w:r>
        <w:rPr>
          <w:rFonts w:hint="cs"/>
          <w:rtl/>
        </w:rPr>
        <w:t xml:space="preserve">. </w:t>
      </w:r>
    </w:p>
    <w:bookmarkEnd w:id="57"/>
    <w:p w:rsidR="00180D6E" w:rsidRPr="00180D6E" w:rsidRDefault="00180D6E" w:rsidP="00604C3D">
      <w:pPr>
        <w:spacing w:line="269" w:lineRule="auto"/>
        <w:rPr>
          <w:rtl/>
        </w:rPr>
      </w:pPr>
    </w:p>
    <w:p w:rsidR="00180D6E" w:rsidRPr="00180D6E" w:rsidRDefault="00996FB2" w:rsidP="00604C3D">
      <w:pPr>
        <w:spacing w:line="269" w:lineRule="auto"/>
        <w:rPr>
          <w:rtl/>
        </w:rPr>
      </w:pPr>
      <w:r w:rsidRPr="002C1F17">
        <w:rPr>
          <w:rStyle w:val="70"/>
          <w:rFonts w:hint="cs"/>
          <w:rtl/>
        </w:rPr>
        <w:t>משטרת ישראל:</w:t>
      </w:r>
      <w:r w:rsidRPr="00996FB2">
        <w:rPr>
          <w:rStyle w:val="50"/>
          <w:rFonts w:hint="cs"/>
          <w:rtl/>
        </w:rPr>
        <w:t xml:space="preserve"> </w:t>
      </w:r>
      <w:r w:rsidR="00180D6E" w:rsidRPr="00180D6E">
        <w:rPr>
          <w:rFonts w:hint="cs"/>
          <w:rtl/>
        </w:rPr>
        <w:t xml:space="preserve">המשטרה כתבה בתשובותיה מיוני 2024, מפברואר 2025 ומיולי 2025 למשרד מבקר המדינה כי </w:t>
      </w:r>
      <w:r w:rsidR="009A2FFD" w:rsidRPr="009A2FFD">
        <w:rPr>
          <w:rFonts w:hint="cs"/>
          <w:rtl/>
        </w:rPr>
        <w:t xml:space="preserve">קיימת הכרה ארגונית כי על המשטרה לעמוד כל העת על המשמר בהקפדה על זכויות הפרט. כך גם בתחום הסייבר בו נערכים הליכי חשיבה ותכנון מתמידים להתאמת עבודת המשטרה ואתגריה בעולם הטכנולוגי המתפתח. </w:t>
      </w:r>
      <w:r w:rsidR="00834AE5" w:rsidRPr="00180D6E">
        <w:rPr>
          <w:rFonts w:hint="cs"/>
          <w:rtl/>
        </w:rPr>
        <w:t>ל</w:t>
      </w:r>
      <w:r w:rsidR="00834AE5">
        <w:rPr>
          <w:rFonts w:hint="cs"/>
          <w:rtl/>
        </w:rPr>
        <w:t>משך</w:t>
      </w:r>
      <w:r w:rsidR="00834AE5" w:rsidRPr="00180D6E">
        <w:rPr>
          <w:rFonts w:hint="cs"/>
          <w:rtl/>
        </w:rPr>
        <w:t xml:space="preserve"> זמני הבדיקות</w:t>
      </w:r>
      <w:r w:rsidR="00834AE5">
        <w:rPr>
          <w:rFonts w:hint="cs"/>
          <w:rtl/>
        </w:rPr>
        <w:t xml:space="preserve"> </w:t>
      </w:r>
      <w:r w:rsidR="00834AE5" w:rsidRPr="00180D6E">
        <w:rPr>
          <w:rFonts w:hint="cs"/>
          <w:rtl/>
        </w:rPr>
        <w:t>בד בבד עם השעיית השימוש בכלי הטכנולוגי יש השפעות ישירות על יכולתה של המשטרה להמשיך ולהילחם בפשיעה החמורה בכלל ולטפל בפשיעה הגואה במגזר הערבי בפרט.</w:t>
      </w:r>
      <w:r w:rsidR="00834AE5">
        <w:rPr>
          <w:rFonts w:hint="cs"/>
          <w:rtl/>
        </w:rPr>
        <w:t xml:space="preserve"> </w:t>
      </w:r>
      <w:r w:rsidR="00180D6E" w:rsidRPr="00180D6E">
        <w:rPr>
          <w:rFonts w:hint="cs"/>
          <w:rtl/>
        </w:rPr>
        <w:t xml:space="preserve">בשנים האחרונות היא נקטה מגוון פעולות לתיקון עבודתה, לעדכונה ולשיפורה בכלים הטכנולוגיים. בין היתר, הוקם במשטרה צוות בראשות סגן ראש אח"ם </w:t>
      </w:r>
      <w:r w:rsidR="00D213DD">
        <w:rPr>
          <w:rFonts w:hint="cs"/>
          <w:rtl/>
        </w:rPr>
        <w:t>(</w:t>
      </w:r>
      <w:r w:rsidR="00180D6E" w:rsidRPr="00180D6E">
        <w:rPr>
          <w:rFonts w:hint="cs"/>
          <w:rtl/>
        </w:rPr>
        <w:t>דאז</w:t>
      </w:r>
      <w:r w:rsidR="00D213DD">
        <w:rPr>
          <w:rFonts w:hint="cs"/>
          <w:rtl/>
        </w:rPr>
        <w:t>)</w:t>
      </w:r>
      <w:r w:rsidR="00180D6E" w:rsidRPr="00180D6E">
        <w:rPr>
          <w:rFonts w:hint="cs"/>
          <w:rtl/>
        </w:rPr>
        <w:t xml:space="preserve"> ליישום המלצות דוח צוות מררי ולצורך הטמעת תהליכי העבודה לשימוש בכלים טכנולוגיים בתחום הסיגינט-סייבר בהתאם לסמכותה על פי דין. </w:t>
      </w:r>
      <w:r w:rsidR="009A2FFD" w:rsidRPr="009A2FFD">
        <w:rPr>
          <w:rFonts w:hint="cs"/>
          <w:rtl/>
        </w:rPr>
        <w:t xml:space="preserve">עוד מסרה המשטרה כי ההמלצות המקצועיות של צוות מררי יושמו למעט שתי המלצות. לגבי שתי המלצות אלו מסרה המשטרה כי משרד המשפטים קיבל את טענתה שהן לא ניתנות ליישום. </w:t>
      </w:r>
      <w:r w:rsidR="00180D6E" w:rsidRPr="00180D6E">
        <w:rPr>
          <w:rFonts w:hint="cs"/>
          <w:rtl/>
        </w:rPr>
        <w:t>הטמעת השינויים ותהליכי העבודה במשטרה לוותה בכתיבת נהלים והנחיות מתאימים</w:t>
      </w:r>
      <w:r w:rsidR="009A2FFD">
        <w:rPr>
          <w:rFonts w:hint="cs"/>
          <w:rtl/>
        </w:rPr>
        <w:t>.</w:t>
      </w:r>
      <w:r w:rsidR="00180D6E" w:rsidRPr="00180D6E">
        <w:rPr>
          <w:rFonts w:hint="cs"/>
          <w:rtl/>
        </w:rPr>
        <w:t xml:space="preserve"> להלן</w:t>
      </w:r>
      <w:r w:rsidR="009A2FFD">
        <w:rPr>
          <w:rFonts w:hint="cs"/>
          <w:rtl/>
        </w:rPr>
        <w:t xml:space="preserve"> </w:t>
      </w:r>
      <w:r w:rsidR="009A2FFD" w:rsidRPr="009A2FFD">
        <w:rPr>
          <w:rFonts w:hint="cs"/>
          <w:rtl/>
        </w:rPr>
        <w:t>פעולות התיקון העדכון והשיפור שערכה המשטרה כפי שמסרה למשרד מבקר המדינה:</w:t>
      </w:r>
    </w:p>
    <w:p w:rsidR="00180D6E" w:rsidRPr="00180D6E" w:rsidRDefault="00180D6E" w:rsidP="00604C3D">
      <w:pPr>
        <w:spacing w:line="269" w:lineRule="auto"/>
        <w:rPr>
          <w:rtl/>
        </w:rPr>
      </w:pPr>
    </w:p>
    <w:p w:rsidR="00180D6E" w:rsidRPr="00180D6E" w:rsidRDefault="00180D6E" w:rsidP="008C598D">
      <w:pPr>
        <w:pStyle w:val="af2"/>
        <w:numPr>
          <w:ilvl w:val="0"/>
          <w:numId w:val="61"/>
        </w:numPr>
        <w:spacing w:line="269" w:lineRule="auto"/>
      </w:pPr>
      <w:r w:rsidRPr="002C1F17">
        <w:rPr>
          <w:rStyle w:val="80"/>
          <w:rFonts w:hint="eastAsia"/>
          <w:rtl/>
        </w:rPr>
        <w:t>שינויים</w:t>
      </w:r>
      <w:r w:rsidRPr="002C1F17">
        <w:rPr>
          <w:rStyle w:val="80"/>
          <w:rtl/>
        </w:rPr>
        <w:t xml:space="preserve"> </w:t>
      </w:r>
      <w:r w:rsidRPr="002C1F17">
        <w:rPr>
          <w:rStyle w:val="80"/>
          <w:rFonts w:hint="eastAsia"/>
          <w:rtl/>
        </w:rPr>
        <w:t>במערך</w:t>
      </w:r>
      <w:r w:rsidRPr="002C1F17">
        <w:rPr>
          <w:rStyle w:val="80"/>
          <w:rtl/>
        </w:rPr>
        <w:t xml:space="preserve"> </w:t>
      </w:r>
      <w:r w:rsidRPr="002C1F17">
        <w:rPr>
          <w:rStyle w:val="80"/>
          <w:rFonts w:hint="eastAsia"/>
          <w:rtl/>
        </w:rPr>
        <w:t>הייעוץ</w:t>
      </w:r>
      <w:r w:rsidRPr="002C1F17">
        <w:rPr>
          <w:rStyle w:val="80"/>
          <w:rtl/>
        </w:rPr>
        <w:t xml:space="preserve"> </w:t>
      </w:r>
      <w:r w:rsidRPr="002C1F17">
        <w:rPr>
          <w:rStyle w:val="80"/>
          <w:rFonts w:hint="eastAsia"/>
          <w:rtl/>
        </w:rPr>
        <w:t>המשפטי</w:t>
      </w:r>
      <w:r w:rsidRPr="002C1F17">
        <w:rPr>
          <w:rStyle w:val="80"/>
          <w:rtl/>
        </w:rPr>
        <w:t xml:space="preserve"> </w:t>
      </w:r>
      <w:r w:rsidRPr="002C1F17">
        <w:rPr>
          <w:rStyle w:val="80"/>
          <w:rFonts w:hint="eastAsia"/>
          <w:rtl/>
        </w:rPr>
        <w:t>של</w:t>
      </w:r>
      <w:r w:rsidRPr="002C1F17">
        <w:rPr>
          <w:rStyle w:val="80"/>
          <w:rtl/>
        </w:rPr>
        <w:t xml:space="preserve"> </w:t>
      </w:r>
      <w:r w:rsidRPr="002C1F17">
        <w:rPr>
          <w:rStyle w:val="80"/>
          <w:rFonts w:hint="eastAsia"/>
          <w:rtl/>
        </w:rPr>
        <w:t>המשטרה</w:t>
      </w:r>
      <w:r w:rsidR="00604C3D">
        <w:rPr>
          <w:rStyle w:val="80"/>
          <w:rFonts w:hint="cs"/>
          <w:rtl/>
        </w:rPr>
        <w:t>:</w:t>
      </w:r>
      <w:r w:rsidRPr="00180D6E">
        <w:rPr>
          <w:rFonts w:hint="cs"/>
          <w:rtl/>
        </w:rPr>
        <w:t xml:space="preserve"> במחלקת הייעוץ המשפטי של המשטרה נוספו תקנים למשפטנים העוסקים בתחום הסיגינט-סייבר; במערך הייעוץ המשפטי הוקמה מחלקת אח"ם</w:t>
      </w:r>
      <w:r w:rsidR="003029E9">
        <w:rPr>
          <w:rFonts w:hint="cs"/>
          <w:rtl/>
        </w:rPr>
        <w:t xml:space="preserve"> </w:t>
      </w:r>
      <w:r w:rsidR="003029E9" w:rsidRPr="003029E9">
        <w:rPr>
          <w:rFonts w:hint="cs"/>
          <w:rtl/>
        </w:rPr>
        <w:t>וטכנולוגיות ובה חולייה ייעודית לייעוץ בתחום הסייבר וזו עוסקת באישור כלים ובבדיקה של כלים ותוצריהם</w:t>
      </w:r>
      <w:r w:rsidRPr="00180D6E">
        <w:rPr>
          <w:rFonts w:hint="cs"/>
          <w:rtl/>
        </w:rPr>
        <w:t xml:space="preserve">; והיועצים המשפטיים החטיבתיים הוכפפו ליועמ"ש המשטרה. כמו כן, מערך הייעוץ המשפטי של החטיבה הורחב, ויש בו שלושה תקנים. </w:t>
      </w:r>
      <w:r w:rsidR="003029E9" w:rsidRPr="003029E9">
        <w:rPr>
          <w:rFonts w:hint="cs"/>
          <w:rtl/>
        </w:rPr>
        <w:t>כפועל יוצא מכך, שיתוף הפעולה בין הייעוץ המשפטי למשטרה לחטיבת הסייבר התהדק ומתקיימות ישיבות משותפות תכופות והתייעצויות מקצועיות על בסיס יומיומי.</w:t>
      </w:r>
    </w:p>
    <w:p w:rsidR="00180D6E" w:rsidRPr="00180D6E" w:rsidRDefault="00180D6E" w:rsidP="00604C3D">
      <w:pPr>
        <w:spacing w:line="269" w:lineRule="auto"/>
        <w:ind w:left="312"/>
      </w:pPr>
    </w:p>
    <w:p w:rsidR="00180D6E" w:rsidRPr="00180D6E" w:rsidRDefault="00180D6E" w:rsidP="008C598D">
      <w:pPr>
        <w:pStyle w:val="af2"/>
        <w:numPr>
          <w:ilvl w:val="0"/>
          <w:numId w:val="61"/>
        </w:numPr>
        <w:spacing w:line="269" w:lineRule="auto"/>
      </w:pPr>
      <w:r w:rsidRPr="002C1F17">
        <w:rPr>
          <w:rStyle w:val="80"/>
          <w:rFonts w:hint="eastAsia"/>
          <w:rtl/>
        </w:rPr>
        <w:t>מיסוד</w:t>
      </w:r>
      <w:r w:rsidRPr="002C1F17">
        <w:rPr>
          <w:rStyle w:val="80"/>
          <w:rtl/>
        </w:rPr>
        <w:t xml:space="preserve"> </w:t>
      </w:r>
      <w:r w:rsidRPr="002C1F17">
        <w:rPr>
          <w:rStyle w:val="80"/>
          <w:rFonts w:hint="eastAsia"/>
          <w:rtl/>
        </w:rPr>
        <w:t>הליכי</w:t>
      </w:r>
      <w:r w:rsidRPr="002C1F17">
        <w:rPr>
          <w:rStyle w:val="80"/>
          <w:rtl/>
        </w:rPr>
        <w:t xml:space="preserve"> </w:t>
      </w:r>
      <w:r w:rsidRPr="002C1F17">
        <w:rPr>
          <w:rStyle w:val="80"/>
          <w:rFonts w:hint="eastAsia"/>
          <w:rtl/>
        </w:rPr>
        <w:t>רכש</w:t>
      </w:r>
      <w:r w:rsidRPr="002C1F17">
        <w:rPr>
          <w:rStyle w:val="80"/>
          <w:rtl/>
        </w:rPr>
        <w:t xml:space="preserve"> </w:t>
      </w:r>
      <w:r w:rsidRPr="002C1F17">
        <w:rPr>
          <w:rStyle w:val="80"/>
          <w:rFonts w:hint="eastAsia"/>
          <w:rtl/>
        </w:rPr>
        <w:t>ופיתוח</w:t>
      </w:r>
      <w:r w:rsidRPr="002C1F17">
        <w:rPr>
          <w:rStyle w:val="80"/>
          <w:rtl/>
        </w:rPr>
        <w:t xml:space="preserve"> </w:t>
      </w:r>
      <w:r w:rsidRPr="002C1F17">
        <w:rPr>
          <w:rStyle w:val="80"/>
          <w:rFonts w:hint="eastAsia"/>
          <w:rtl/>
        </w:rPr>
        <w:t>של</w:t>
      </w:r>
      <w:r w:rsidRPr="002C1F17">
        <w:rPr>
          <w:rStyle w:val="80"/>
          <w:rtl/>
        </w:rPr>
        <w:t xml:space="preserve"> </w:t>
      </w:r>
      <w:r w:rsidRPr="002C1F17">
        <w:rPr>
          <w:rStyle w:val="80"/>
          <w:rFonts w:hint="eastAsia"/>
          <w:rtl/>
        </w:rPr>
        <w:t>כלים</w:t>
      </w:r>
      <w:r w:rsidRPr="002C1F17">
        <w:rPr>
          <w:rStyle w:val="80"/>
          <w:rtl/>
        </w:rPr>
        <w:t xml:space="preserve"> </w:t>
      </w:r>
      <w:r w:rsidRPr="002C1F17">
        <w:rPr>
          <w:rStyle w:val="80"/>
          <w:rFonts w:hint="eastAsia"/>
          <w:rtl/>
        </w:rPr>
        <w:t>טכנולוגיים</w:t>
      </w:r>
      <w:r w:rsidR="00604C3D">
        <w:rPr>
          <w:rStyle w:val="80"/>
          <w:rFonts w:hint="cs"/>
          <w:rtl/>
        </w:rPr>
        <w:t>:</w:t>
      </w:r>
      <w:r w:rsidRPr="00180D6E">
        <w:rPr>
          <w:rFonts w:hint="cs"/>
          <w:rtl/>
        </w:rPr>
        <w:t xml:space="preserve"> הייעוץ המשפטי של המשטרה, ובמקרה הצורך הייעוץ המשפטי לממשלה, מעורבים כבר בשלב הרכש או הפיתוח של הכלי הטכנולוגי. לשם כך עיגנה המשטרה נהלים חדשים בנושא</w:t>
      </w:r>
      <w:r w:rsidR="003029E9" w:rsidRPr="003029E9">
        <w:rPr>
          <w:rFonts w:hint="cs"/>
          <w:rtl/>
        </w:rPr>
        <w:t>, לרבות נוהל כלל ארגוני המסדיר הכנסת מערכות טכנולוגיות לשימוש המשטרה</w:t>
      </w:r>
      <w:r w:rsidRPr="00180D6E">
        <w:rPr>
          <w:rFonts w:hint="cs"/>
          <w:rtl/>
        </w:rPr>
        <w:t xml:space="preserve">. </w:t>
      </w:r>
    </w:p>
    <w:p w:rsidR="00180D6E" w:rsidRPr="00180D6E" w:rsidRDefault="00180D6E" w:rsidP="00604C3D">
      <w:pPr>
        <w:spacing w:line="269" w:lineRule="auto"/>
        <w:ind w:left="312"/>
      </w:pPr>
    </w:p>
    <w:p w:rsidR="00180D6E" w:rsidRPr="00180D6E" w:rsidRDefault="00180D6E" w:rsidP="008C598D">
      <w:pPr>
        <w:pStyle w:val="af2"/>
        <w:numPr>
          <w:ilvl w:val="0"/>
          <w:numId w:val="61"/>
        </w:numPr>
        <w:spacing w:line="269" w:lineRule="auto"/>
      </w:pPr>
      <w:r w:rsidRPr="002C1F17">
        <w:rPr>
          <w:rStyle w:val="80"/>
          <w:rFonts w:hint="eastAsia"/>
          <w:rtl/>
        </w:rPr>
        <w:t>אישור</w:t>
      </w:r>
      <w:r w:rsidRPr="002C1F17">
        <w:rPr>
          <w:rStyle w:val="80"/>
          <w:rtl/>
        </w:rPr>
        <w:t xml:space="preserve"> </w:t>
      </w:r>
      <w:r w:rsidRPr="002C1F17">
        <w:rPr>
          <w:rStyle w:val="80"/>
          <w:rFonts w:hint="eastAsia"/>
          <w:rtl/>
        </w:rPr>
        <w:t>שימוש</w:t>
      </w:r>
      <w:r w:rsidRPr="002C1F17">
        <w:rPr>
          <w:rStyle w:val="80"/>
          <w:rtl/>
        </w:rPr>
        <w:t xml:space="preserve"> </w:t>
      </w:r>
      <w:r w:rsidRPr="002C1F17">
        <w:rPr>
          <w:rStyle w:val="80"/>
          <w:rFonts w:hint="eastAsia"/>
          <w:rtl/>
        </w:rPr>
        <w:t>בכלים</w:t>
      </w:r>
      <w:r w:rsidRPr="002C1F17">
        <w:rPr>
          <w:rStyle w:val="80"/>
          <w:rtl/>
        </w:rPr>
        <w:t xml:space="preserve"> </w:t>
      </w:r>
      <w:r w:rsidRPr="002C1F17">
        <w:rPr>
          <w:rStyle w:val="80"/>
          <w:rFonts w:hint="eastAsia"/>
          <w:rtl/>
        </w:rPr>
        <w:t>טכנולוגיים</w:t>
      </w:r>
      <w:r w:rsidR="0016145B">
        <w:rPr>
          <w:rStyle w:val="80"/>
          <w:rFonts w:hint="cs"/>
          <w:rtl/>
        </w:rPr>
        <w:t>:</w:t>
      </w:r>
      <w:r w:rsidRPr="00180D6E">
        <w:rPr>
          <w:rFonts w:hint="cs"/>
          <w:rtl/>
        </w:rPr>
        <w:t xml:space="preserve"> אישור השימוש בכלים טכנולוגיים מועבר לבחינת נציגי יועמ"ש המשטרה בצירוף חוות דעת טכנולוגית, חוות דעת משפטית ובה פירוט מקור הסמכות של המשטרה להשתמש בכלי, הנחי</w:t>
      </w:r>
      <w:r w:rsidR="00CC257A">
        <w:rPr>
          <w:rFonts w:hint="cs"/>
          <w:rtl/>
        </w:rPr>
        <w:t>ו</w:t>
      </w:r>
      <w:r w:rsidRPr="00180D6E">
        <w:rPr>
          <w:rFonts w:hint="cs"/>
          <w:rtl/>
        </w:rPr>
        <w:t xml:space="preserve">ת עבודה למפיק התוצר </w:t>
      </w:r>
      <w:r w:rsidR="00B449F3">
        <w:rPr>
          <w:rFonts w:hint="cs"/>
          <w:rtl/>
        </w:rPr>
        <w:t>ו</w:t>
      </w:r>
      <w:r w:rsidRPr="00180D6E">
        <w:rPr>
          <w:rFonts w:hint="cs"/>
          <w:rtl/>
        </w:rPr>
        <w:t xml:space="preserve">למפעילי הכלי. לאחר קבלת האישור המשפטי המשטרתי כי השימוש בכלי הוא בהתאם לסמכותה של המשטרה, מועבר עדכון על כך לגורמי הייעוץ המשפטי לממשלה. אם בכלי הטכנולוגי קיים פוטנציאל לחריגה מסמכות המשטרה או שמתעורר קושי משפטי אחר, מועברים המסמכים בצירוף חוות הדעת של יועמ"ש המשטרה לאישור גורמי הייעוץ המשפטי לממשלה. </w:t>
      </w:r>
    </w:p>
    <w:p w:rsidR="00180D6E" w:rsidRPr="00180D6E" w:rsidRDefault="00180D6E" w:rsidP="00604C3D">
      <w:pPr>
        <w:spacing w:line="269" w:lineRule="auto"/>
        <w:ind w:left="312"/>
      </w:pPr>
    </w:p>
    <w:p w:rsidR="003029E9" w:rsidRPr="000B3A33" w:rsidRDefault="00180D6E" w:rsidP="008C598D">
      <w:pPr>
        <w:pStyle w:val="af2"/>
        <w:numPr>
          <w:ilvl w:val="0"/>
          <w:numId w:val="61"/>
        </w:numPr>
        <w:spacing w:line="269" w:lineRule="auto"/>
      </w:pPr>
      <w:r w:rsidRPr="002C1F17">
        <w:rPr>
          <w:rStyle w:val="80"/>
          <w:rFonts w:hint="cs"/>
          <w:rtl/>
        </w:rPr>
        <w:t>שיפור הליכי הבקרה על הפעלת הכלים</w:t>
      </w:r>
      <w:r w:rsidR="005A7233">
        <w:rPr>
          <w:rStyle w:val="80"/>
          <w:rFonts w:hint="cs"/>
          <w:rtl/>
        </w:rPr>
        <w:t>:</w:t>
      </w:r>
      <w:r w:rsidRPr="00180D6E">
        <w:rPr>
          <w:rFonts w:hint="cs"/>
          <w:bCs/>
          <w:rtl/>
        </w:rPr>
        <w:t xml:space="preserve"> </w:t>
      </w:r>
      <w:r w:rsidR="002F4F7E">
        <w:rPr>
          <w:rFonts w:hint="cs"/>
          <w:b/>
          <w:rtl/>
        </w:rPr>
        <w:t>במטרה</w:t>
      </w:r>
      <w:r w:rsidRPr="000B3A33">
        <w:rPr>
          <w:b/>
          <w:rtl/>
        </w:rPr>
        <w:t xml:space="preserve"> </w:t>
      </w:r>
      <w:r w:rsidRPr="000B3A33">
        <w:rPr>
          <w:rFonts w:hint="eastAsia"/>
          <w:b/>
          <w:rtl/>
        </w:rPr>
        <w:t>לוודא</w:t>
      </w:r>
      <w:r w:rsidRPr="000B3A33">
        <w:rPr>
          <w:b/>
          <w:rtl/>
        </w:rPr>
        <w:t xml:space="preserve"> </w:t>
      </w:r>
      <w:r w:rsidRPr="000B3A33">
        <w:rPr>
          <w:rFonts w:hint="eastAsia"/>
          <w:b/>
          <w:rtl/>
        </w:rPr>
        <w:t>שהפעלת</w:t>
      </w:r>
      <w:r w:rsidRPr="000B3A33">
        <w:rPr>
          <w:b/>
          <w:rtl/>
        </w:rPr>
        <w:t xml:space="preserve"> </w:t>
      </w:r>
      <w:r w:rsidRPr="000B3A33">
        <w:rPr>
          <w:rFonts w:hint="eastAsia"/>
          <w:b/>
          <w:rtl/>
        </w:rPr>
        <w:t>הכלים</w:t>
      </w:r>
      <w:r w:rsidRPr="000B3A33">
        <w:rPr>
          <w:b/>
          <w:rtl/>
        </w:rPr>
        <w:t xml:space="preserve"> </w:t>
      </w:r>
      <w:r w:rsidRPr="000B3A33">
        <w:rPr>
          <w:rFonts w:hint="eastAsia"/>
          <w:b/>
          <w:rtl/>
        </w:rPr>
        <w:t>תיעשה</w:t>
      </w:r>
      <w:r w:rsidRPr="000B3A33">
        <w:rPr>
          <w:b/>
          <w:rtl/>
        </w:rPr>
        <w:t xml:space="preserve"> </w:t>
      </w:r>
      <w:r w:rsidRPr="000B3A33">
        <w:rPr>
          <w:rFonts w:hint="eastAsia"/>
          <w:b/>
          <w:rtl/>
        </w:rPr>
        <w:t>בגדרי</w:t>
      </w:r>
      <w:r w:rsidRPr="000B3A33">
        <w:rPr>
          <w:b/>
          <w:rtl/>
        </w:rPr>
        <w:t xml:space="preserve"> </w:t>
      </w:r>
      <w:r w:rsidRPr="000B3A33">
        <w:rPr>
          <w:rFonts w:hint="eastAsia"/>
          <w:b/>
          <w:rtl/>
        </w:rPr>
        <w:t>סמכותה</w:t>
      </w:r>
      <w:r w:rsidRPr="000B3A33">
        <w:rPr>
          <w:b/>
          <w:rtl/>
        </w:rPr>
        <w:t xml:space="preserve"> </w:t>
      </w:r>
      <w:r w:rsidRPr="000B3A33">
        <w:rPr>
          <w:rFonts w:hint="eastAsia"/>
          <w:b/>
          <w:rtl/>
        </w:rPr>
        <w:t>וכדי</w:t>
      </w:r>
      <w:r w:rsidRPr="000B3A33">
        <w:rPr>
          <w:b/>
          <w:rtl/>
        </w:rPr>
        <w:t xml:space="preserve"> </w:t>
      </w:r>
      <w:r w:rsidRPr="000B3A33">
        <w:rPr>
          <w:rFonts w:hint="eastAsia"/>
          <w:b/>
          <w:rtl/>
        </w:rPr>
        <w:t>לצמצם</w:t>
      </w:r>
      <w:r w:rsidRPr="000B3A33">
        <w:rPr>
          <w:b/>
          <w:rtl/>
        </w:rPr>
        <w:t xml:space="preserve"> </w:t>
      </w:r>
      <w:r w:rsidRPr="000B3A33">
        <w:rPr>
          <w:rFonts w:hint="eastAsia"/>
          <w:b/>
          <w:rtl/>
        </w:rPr>
        <w:t>את</w:t>
      </w:r>
      <w:r w:rsidRPr="000B3A33">
        <w:rPr>
          <w:b/>
          <w:rtl/>
        </w:rPr>
        <w:t xml:space="preserve"> </w:t>
      </w:r>
      <w:r w:rsidRPr="000B3A33">
        <w:rPr>
          <w:rFonts w:hint="eastAsia"/>
          <w:b/>
          <w:rtl/>
        </w:rPr>
        <w:t>מרחב</w:t>
      </w:r>
      <w:r w:rsidRPr="000B3A33">
        <w:rPr>
          <w:b/>
          <w:rtl/>
        </w:rPr>
        <w:t xml:space="preserve"> </w:t>
      </w:r>
      <w:r w:rsidRPr="000B3A33">
        <w:rPr>
          <w:rFonts w:hint="eastAsia"/>
          <w:b/>
          <w:rtl/>
        </w:rPr>
        <w:t>התקלה</w:t>
      </w:r>
      <w:r w:rsidRPr="000B3A33">
        <w:rPr>
          <w:b/>
          <w:rtl/>
        </w:rPr>
        <w:t xml:space="preserve"> </w:t>
      </w:r>
      <w:r w:rsidRPr="000B3A33">
        <w:rPr>
          <w:rFonts w:hint="eastAsia"/>
          <w:b/>
          <w:rtl/>
        </w:rPr>
        <w:t>האפשרית</w:t>
      </w:r>
      <w:r w:rsidRPr="000B3A33">
        <w:rPr>
          <w:b/>
          <w:rtl/>
        </w:rPr>
        <w:t xml:space="preserve"> </w:t>
      </w:r>
      <w:r w:rsidRPr="000B3A33">
        <w:rPr>
          <w:rFonts w:hint="eastAsia"/>
          <w:b/>
          <w:rtl/>
        </w:rPr>
        <w:t>בשימוש</w:t>
      </w:r>
      <w:r w:rsidRPr="000B3A33">
        <w:rPr>
          <w:b/>
          <w:rtl/>
        </w:rPr>
        <w:t xml:space="preserve"> </w:t>
      </w:r>
      <w:r w:rsidRPr="000B3A33">
        <w:rPr>
          <w:rFonts w:hint="eastAsia"/>
          <w:b/>
          <w:rtl/>
        </w:rPr>
        <w:t>בכלי</w:t>
      </w:r>
      <w:r w:rsidRPr="000B3A33">
        <w:rPr>
          <w:b/>
          <w:rtl/>
        </w:rPr>
        <w:t xml:space="preserve"> </w:t>
      </w:r>
      <w:r w:rsidRPr="00B449F3">
        <w:rPr>
          <w:rFonts w:hint="eastAsia"/>
          <w:b/>
          <w:rtl/>
        </w:rPr>
        <w:t>הטכנולוגי</w:t>
      </w:r>
      <w:r w:rsidR="003029E9" w:rsidRPr="00B449F3">
        <w:rPr>
          <w:rFonts w:hint="cs"/>
          <w:b/>
          <w:rtl/>
        </w:rPr>
        <w:t xml:space="preserve">. </w:t>
      </w:r>
      <w:r w:rsidR="003029E9" w:rsidRPr="00B449F3">
        <w:rPr>
          <w:rFonts w:hint="eastAsia"/>
          <w:b/>
          <w:rtl/>
        </w:rPr>
        <w:t>המשטרה</w:t>
      </w:r>
      <w:r w:rsidR="003029E9" w:rsidRPr="000B3A33">
        <w:rPr>
          <w:rtl/>
        </w:rPr>
        <w:t xml:space="preserve"> מסרה בעניין זה כי תפיסת הבקרה המשולבת (טכנולוגית </w:t>
      </w:r>
      <w:r w:rsidR="003029E9" w:rsidRPr="000B3A33">
        <w:rPr>
          <w:rFonts w:hint="eastAsia"/>
          <w:rtl/>
        </w:rPr>
        <w:t>ומתודולוגית</w:t>
      </w:r>
      <w:r w:rsidR="003029E9" w:rsidRPr="000B3A33">
        <w:rPr>
          <w:rtl/>
        </w:rPr>
        <w:t>)</w:t>
      </w:r>
      <w:r w:rsidR="003029E9" w:rsidRPr="000B3A33">
        <w:t xml:space="preserve"> </w:t>
      </w:r>
      <w:r w:rsidR="003029E9" w:rsidRPr="000B3A33">
        <w:rPr>
          <w:rFonts w:hint="eastAsia"/>
          <w:rtl/>
        </w:rPr>
        <w:t>גובשה</w:t>
      </w:r>
      <w:r w:rsidR="003029E9" w:rsidRPr="000B3A33">
        <w:rPr>
          <w:rtl/>
        </w:rPr>
        <w:t xml:space="preserve"> </w:t>
      </w:r>
      <w:r w:rsidR="003029E9" w:rsidRPr="000B3A33">
        <w:rPr>
          <w:rFonts w:hint="eastAsia"/>
          <w:rtl/>
        </w:rPr>
        <w:t>מת</w:t>
      </w:r>
      <w:r w:rsidR="00E26170">
        <w:rPr>
          <w:rFonts w:hint="cs"/>
          <w:rtl/>
        </w:rPr>
        <w:t>ו</w:t>
      </w:r>
      <w:r w:rsidR="003029E9" w:rsidRPr="000B3A33">
        <w:rPr>
          <w:rFonts w:hint="eastAsia"/>
          <w:rtl/>
        </w:rPr>
        <w:t>ך</w:t>
      </w:r>
      <w:r w:rsidR="003029E9" w:rsidRPr="000B3A33">
        <w:rPr>
          <w:rtl/>
        </w:rPr>
        <w:t xml:space="preserve"> </w:t>
      </w:r>
      <w:r w:rsidR="003029E9" w:rsidRPr="000B3A33">
        <w:rPr>
          <w:rFonts w:hint="eastAsia"/>
          <w:rtl/>
        </w:rPr>
        <w:t>הבנה</w:t>
      </w:r>
      <w:r w:rsidR="003029E9" w:rsidRPr="000B3A33">
        <w:rPr>
          <w:rtl/>
        </w:rPr>
        <w:t xml:space="preserve"> </w:t>
      </w:r>
      <w:r w:rsidR="003029E9" w:rsidRPr="000B3A33">
        <w:rPr>
          <w:rFonts w:hint="eastAsia"/>
          <w:rtl/>
        </w:rPr>
        <w:t>של</w:t>
      </w:r>
      <w:r w:rsidR="003029E9" w:rsidRPr="000B3A33">
        <w:rPr>
          <w:rtl/>
        </w:rPr>
        <w:t xml:space="preserve"> </w:t>
      </w:r>
      <w:r w:rsidR="003029E9" w:rsidRPr="000B3A33">
        <w:rPr>
          <w:rFonts w:hint="eastAsia"/>
          <w:rtl/>
        </w:rPr>
        <w:t>המשטרה</w:t>
      </w:r>
      <w:r w:rsidR="003029E9" w:rsidRPr="000B3A33">
        <w:rPr>
          <w:rtl/>
        </w:rPr>
        <w:t xml:space="preserve"> </w:t>
      </w:r>
      <w:r w:rsidR="003029E9" w:rsidRPr="000B3A33">
        <w:rPr>
          <w:rFonts w:hint="eastAsia"/>
          <w:rtl/>
        </w:rPr>
        <w:t>כי</w:t>
      </w:r>
      <w:r w:rsidR="003029E9" w:rsidRPr="000B3A33">
        <w:rPr>
          <w:rtl/>
        </w:rPr>
        <w:t xml:space="preserve"> </w:t>
      </w:r>
      <w:r w:rsidR="003029E9" w:rsidRPr="000B3A33">
        <w:rPr>
          <w:rFonts w:hint="eastAsia"/>
          <w:rtl/>
        </w:rPr>
        <w:t>לא</w:t>
      </w:r>
      <w:r w:rsidR="003029E9" w:rsidRPr="000B3A33">
        <w:rPr>
          <w:rtl/>
        </w:rPr>
        <w:t xml:space="preserve"> </w:t>
      </w:r>
      <w:r w:rsidR="003029E9" w:rsidRPr="000B3A33">
        <w:rPr>
          <w:rFonts w:hint="eastAsia"/>
          <w:rtl/>
        </w:rPr>
        <w:t>ניתן</w:t>
      </w:r>
      <w:r w:rsidR="003029E9" w:rsidRPr="000B3A33">
        <w:rPr>
          <w:rtl/>
        </w:rPr>
        <w:t xml:space="preserve"> </w:t>
      </w:r>
      <w:r w:rsidR="003029E9" w:rsidRPr="000B3A33">
        <w:rPr>
          <w:rFonts w:hint="eastAsia"/>
          <w:rtl/>
        </w:rPr>
        <w:t>להתאים</w:t>
      </w:r>
      <w:r w:rsidR="003029E9" w:rsidRPr="000B3A33">
        <w:rPr>
          <w:rtl/>
        </w:rPr>
        <w:t xml:space="preserve"> </w:t>
      </w:r>
      <w:r w:rsidR="003029E9" w:rsidRPr="000B3A33">
        <w:rPr>
          <w:rFonts w:hint="eastAsia"/>
          <w:rtl/>
        </w:rPr>
        <w:t>באופן</w:t>
      </w:r>
      <w:r w:rsidR="003029E9" w:rsidRPr="000B3A33">
        <w:rPr>
          <w:rtl/>
        </w:rPr>
        <w:t xml:space="preserve"> </w:t>
      </w:r>
      <w:r w:rsidR="003029E9" w:rsidRPr="000B3A33">
        <w:rPr>
          <w:rFonts w:hint="eastAsia"/>
          <w:rtl/>
        </w:rPr>
        <w:t>מוחלט</w:t>
      </w:r>
      <w:r w:rsidR="003029E9" w:rsidRPr="000B3A33">
        <w:rPr>
          <w:rtl/>
        </w:rPr>
        <w:t xml:space="preserve"> </w:t>
      </w:r>
      <w:r w:rsidR="003029E9" w:rsidRPr="000B3A33">
        <w:rPr>
          <w:rFonts w:hint="eastAsia"/>
          <w:rtl/>
        </w:rPr>
        <w:t>את</w:t>
      </w:r>
      <w:r w:rsidR="003029E9" w:rsidRPr="000B3A33">
        <w:rPr>
          <w:rtl/>
        </w:rPr>
        <w:t xml:space="preserve"> </w:t>
      </w:r>
      <w:r w:rsidR="003029E9" w:rsidRPr="000B3A33">
        <w:rPr>
          <w:rFonts w:hint="eastAsia"/>
          <w:rtl/>
        </w:rPr>
        <w:t>כלל</w:t>
      </w:r>
      <w:r w:rsidR="003029E9" w:rsidRPr="000B3A33">
        <w:rPr>
          <w:rtl/>
        </w:rPr>
        <w:t xml:space="preserve"> </w:t>
      </w:r>
      <w:r w:rsidR="003029E9" w:rsidRPr="000B3A33">
        <w:rPr>
          <w:rFonts w:hint="eastAsia"/>
          <w:rtl/>
        </w:rPr>
        <w:t>המערכות</w:t>
      </w:r>
      <w:r w:rsidR="003029E9" w:rsidRPr="000B3A33">
        <w:rPr>
          <w:rtl/>
        </w:rPr>
        <w:t xml:space="preserve"> </w:t>
      </w:r>
      <w:r w:rsidR="003029E9" w:rsidRPr="000B3A33">
        <w:rPr>
          <w:rFonts w:hint="eastAsia"/>
          <w:rtl/>
        </w:rPr>
        <w:t>הטכנולוגיות</w:t>
      </w:r>
      <w:r w:rsidR="003029E9" w:rsidRPr="000B3A33">
        <w:rPr>
          <w:rtl/>
        </w:rPr>
        <w:t xml:space="preserve"> </w:t>
      </w:r>
      <w:r w:rsidR="003029E9" w:rsidRPr="000B3A33">
        <w:rPr>
          <w:rFonts w:hint="eastAsia"/>
          <w:rtl/>
        </w:rPr>
        <w:t>הנרכשות</w:t>
      </w:r>
      <w:r w:rsidR="003029E9" w:rsidRPr="000B3A33">
        <w:rPr>
          <w:rtl/>
        </w:rPr>
        <w:t xml:space="preserve"> </w:t>
      </w:r>
      <w:r w:rsidR="003029E9" w:rsidRPr="000B3A33">
        <w:rPr>
          <w:rFonts w:hint="eastAsia"/>
          <w:rtl/>
        </w:rPr>
        <w:t>באופן</w:t>
      </w:r>
      <w:r w:rsidR="003029E9" w:rsidRPr="000B3A33">
        <w:rPr>
          <w:rtl/>
        </w:rPr>
        <w:t xml:space="preserve"> </w:t>
      </w:r>
      <w:r w:rsidR="003029E9" w:rsidRPr="000B3A33">
        <w:rPr>
          <w:rFonts w:hint="eastAsia"/>
          <w:rtl/>
        </w:rPr>
        <w:t>שימנע</w:t>
      </w:r>
      <w:r w:rsidR="003029E9" w:rsidRPr="000B3A33">
        <w:rPr>
          <w:rtl/>
        </w:rPr>
        <w:t xml:space="preserve"> </w:t>
      </w:r>
      <w:r w:rsidR="003029E9" w:rsidRPr="000B3A33">
        <w:rPr>
          <w:rFonts w:hint="eastAsia"/>
          <w:rtl/>
        </w:rPr>
        <w:t>כל</w:t>
      </w:r>
      <w:r w:rsidR="003029E9" w:rsidRPr="000B3A33">
        <w:rPr>
          <w:rtl/>
        </w:rPr>
        <w:t xml:space="preserve"> </w:t>
      </w:r>
      <w:r w:rsidR="003029E9" w:rsidRPr="000B3A33">
        <w:rPr>
          <w:rFonts w:hint="eastAsia"/>
          <w:rtl/>
        </w:rPr>
        <w:t>אפשרות</w:t>
      </w:r>
      <w:r w:rsidR="003029E9" w:rsidRPr="000B3A33">
        <w:rPr>
          <w:rtl/>
        </w:rPr>
        <w:t xml:space="preserve"> </w:t>
      </w:r>
      <w:r w:rsidR="003029E9" w:rsidRPr="000B3A33">
        <w:rPr>
          <w:rFonts w:hint="eastAsia"/>
          <w:rtl/>
        </w:rPr>
        <w:t>לחריגה</w:t>
      </w:r>
      <w:r w:rsidR="003029E9" w:rsidRPr="000B3A33">
        <w:rPr>
          <w:rtl/>
        </w:rPr>
        <w:t xml:space="preserve"> </w:t>
      </w:r>
      <w:r w:rsidR="003029E9" w:rsidRPr="000B3A33">
        <w:rPr>
          <w:rFonts w:hint="eastAsia"/>
          <w:rtl/>
        </w:rPr>
        <w:t>מסמכויות</w:t>
      </w:r>
      <w:r w:rsidR="003029E9" w:rsidRPr="000B3A33">
        <w:rPr>
          <w:rtl/>
        </w:rPr>
        <w:t xml:space="preserve"> </w:t>
      </w:r>
      <w:r w:rsidR="003029E9" w:rsidRPr="000B3A33">
        <w:rPr>
          <w:rFonts w:hint="eastAsia"/>
          <w:rtl/>
        </w:rPr>
        <w:t>המשטרה</w:t>
      </w:r>
      <w:r w:rsidR="003029E9" w:rsidRPr="000B3A33">
        <w:rPr>
          <w:rtl/>
        </w:rPr>
        <w:t xml:space="preserve">. </w:t>
      </w:r>
      <w:r w:rsidR="003029E9" w:rsidRPr="000B3A33">
        <w:rPr>
          <w:rFonts w:hint="eastAsia"/>
          <w:rtl/>
        </w:rPr>
        <w:t>להלן</w:t>
      </w:r>
      <w:r w:rsidR="003029E9" w:rsidRPr="000B3A33">
        <w:rPr>
          <w:rtl/>
        </w:rPr>
        <w:t xml:space="preserve"> </w:t>
      </w:r>
      <w:r w:rsidR="003029E9" w:rsidRPr="000B3A33">
        <w:rPr>
          <w:rFonts w:hint="eastAsia"/>
          <w:rtl/>
        </w:rPr>
        <w:t>פירוט</w:t>
      </w:r>
      <w:r w:rsidR="003029E9" w:rsidRPr="000B3A33">
        <w:rPr>
          <w:rtl/>
        </w:rPr>
        <w:t xml:space="preserve"> </w:t>
      </w:r>
      <w:r w:rsidR="003029E9" w:rsidRPr="000B3A33">
        <w:rPr>
          <w:rFonts w:hint="eastAsia"/>
          <w:rtl/>
        </w:rPr>
        <w:t>על</w:t>
      </w:r>
      <w:r w:rsidR="003029E9" w:rsidRPr="000B3A33">
        <w:rPr>
          <w:rtl/>
        </w:rPr>
        <w:t xml:space="preserve"> </w:t>
      </w:r>
      <w:r w:rsidR="003029E9" w:rsidRPr="000B3A33">
        <w:rPr>
          <w:rFonts w:hint="eastAsia"/>
          <w:rtl/>
        </w:rPr>
        <w:t>הליכי</w:t>
      </w:r>
      <w:r w:rsidR="003029E9" w:rsidRPr="000B3A33">
        <w:rPr>
          <w:rtl/>
        </w:rPr>
        <w:t xml:space="preserve"> </w:t>
      </w:r>
      <w:r w:rsidR="003029E9" w:rsidRPr="000B3A33">
        <w:rPr>
          <w:rFonts w:hint="eastAsia"/>
          <w:rtl/>
        </w:rPr>
        <w:t>הבקרה</w:t>
      </w:r>
      <w:r w:rsidR="003029E9" w:rsidRPr="000B3A33">
        <w:rPr>
          <w:rtl/>
        </w:rPr>
        <w:t xml:space="preserve"> </w:t>
      </w:r>
      <w:r w:rsidR="003029E9" w:rsidRPr="000B3A33">
        <w:rPr>
          <w:rFonts w:hint="eastAsia"/>
          <w:rtl/>
        </w:rPr>
        <w:t>ששופרו</w:t>
      </w:r>
      <w:r w:rsidR="003029E9" w:rsidRPr="000B3A33">
        <w:rPr>
          <w:rtl/>
        </w:rPr>
        <w:t>:</w:t>
      </w:r>
    </w:p>
    <w:p w:rsidR="00180D6E" w:rsidRPr="00180D6E" w:rsidRDefault="00180D6E" w:rsidP="00604C3D">
      <w:pPr>
        <w:spacing w:line="269" w:lineRule="auto"/>
        <w:ind w:left="-48"/>
      </w:pPr>
    </w:p>
    <w:p w:rsidR="00180D6E" w:rsidRPr="00180D6E" w:rsidRDefault="00180D6E" w:rsidP="008C598D">
      <w:pPr>
        <w:pStyle w:val="af2"/>
        <w:numPr>
          <w:ilvl w:val="1"/>
          <w:numId w:val="66"/>
        </w:numPr>
        <w:spacing w:line="269" w:lineRule="auto"/>
      </w:pPr>
      <w:r w:rsidRPr="002C1F17">
        <w:rPr>
          <w:rFonts w:hint="eastAsia"/>
          <w:b/>
          <w:bCs/>
          <w:rtl/>
        </w:rPr>
        <w:t>בקרה</w:t>
      </w:r>
      <w:r w:rsidRPr="002C1F17">
        <w:rPr>
          <w:b/>
          <w:bCs/>
          <w:rtl/>
        </w:rPr>
        <w:t xml:space="preserve"> </w:t>
      </w:r>
      <w:r w:rsidRPr="002C1F17">
        <w:rPr>
          <w:rFonts w:hint="eastAsia"/>
          <w:b/>
          <w:bCs/>
          <w:rtl/>
        </w:rPr>
        <w:t>מאתרת</w:t>
      </w:r>
      <w:r w:rsidR="002C1F17">
        <w:rPr>
          <w:rFonts w:hint="cs"/>
          <w:b/>
          <w:bCs/>
          <w:rtl/>
        </w:rPr>
        <w:t>:</w:t>
      </w:r>
      <w:r w:rsidRPr="00180D6E">
        <w:rPr>
          <w:rFonts w:hint="cs"/>
          <w:rtl/>
        </w:rPr>
        <w:t xml:space="preserve"> המשטרה מבצעת </w:t>
      </w:r>
      <w:r w:rsidR="003029E9">
        <w:rPr>
          <w:rFonts w:hint="cs"/>
          <w:rtl/>
        </w:rPr>
        <w:t>בקרות</w:t>
      </w:r>
      <w:r w:rsidR="003029E9" w:rsidRPr="00180D6E">
        <w:rPr>
          <w:rFonts w:hint="cs"/>
          <w:rtl/>
        </w:rPr>
        <w:t xml:space="preserve"> </w:t>
      </w:r>
      <w:r w:rsidRPr="00180D6E">
        <w:rPr>
          <w:rFonts w:hint="cs"/>
          <w:rtl/>
        </w:rPr>
        <w:t>פיקודיות וטכנולוגיות במטרה לאתר תקלות או חריגות בשימוש בכלים. בין היתר, המשטרה פעלה לשיפור מסדי הנתונים המשמשים לבקרה על הכלים הטכנולוגיים (</w:t>
      </w:r>
      <w:r w:rsidRPr="00180D6E">
        <w:rPr>
          <w:rFonts w:hint="cs"/>
        </w:rPr>
        <w:t>AUDIT TRAIL</w:t>
      </w:r>
      <w:r w:rsidRPr="00180D6E">
        <w:rPr>
          <w:rFonts w:hint="cs"/>
          <w:rtl/>
        </w:rPr>
        <w:t>)</w:t>
      </w:r>
      <w:r w:rsidR="003029E9" w:rsidRPr="003029E9">
        <w:rPr>
          <w:rFonts w:ascii="Tahoma" w:hAnsi="Tahoma" w:cs="Tahoma" w:hint="cs"/>
          <w:sz w:val="19"/>
          <w:szCs w:val="19"/>
          <w:rtl/>
        </w:rPr>
        <w:t xml:space="preserve"> </w:t>
      </w:r>
      <w:r w:rsidR="003029E9" w:rsidRPr="003029E9">
        <w:rPr>
          <w:rFonts w:hint="cs"/>
          <w:rtl/>
        </w:rPr>
        <w:t>וגיבשה הליכי בקרות יזומות נוספות למול הכלים ומפעיליהם</w:t>
      </w:r>
      <w:r w:rsidRPr="00180D6E">
        <w:rPr>
          <w:rFonts w:hint="cs"/>
          <w:rtl/>
        </w:rPr>
        <w:t>.</w:t>
      </w:r>
    </w:p>
    <w:p w:rsidR="00180D6E" w:rsidRPr="00180D6E" w:rsidRDefault="00180D6E" w:rsidP="00604C3D">
      <w:pPr>
        <w:spacing w:line="269" w:lineRule="auto"/>
        <w:ind w:left="709"/>
        <w:rPr>
          <w:rtl/>
        </w:rPr>
      </w:pPr>
    </w:p>
    <w:p w:rsidR="00180D6E" w:rsidRPr="00180D6E" w:rsidRDefault="00180D6E" w:rsidP="008C598D">
      <w:pPr>
        <w:pStyle w:val="af2"/>
        <w:numPr>
          <w:ilvl w:val="1"/>
          <w:numId w:val="66"/>
        </w:numPr>
        <w:spacing w:line="269" w:lineRule="auto"/>
      </w:pPr>
      <w:r w:rsidRPr="002C1F17">
        <w:rPr>
          <w:rFonts w:hint="eastAsia"/>
          <w:b/>
          <w:bCs/>
          <w:rtl/>
        </w:rPr>
        <w:t>בקרה</w:t>
      </w:r>
      <w:r w:rsidRPr="002C1F17">
        <w:rPr>
          <w:b/>
          <w:bCs/>
          <w:rtl/>
        </w:rPr>
        <w:t xml:space="preserve"> </w:t>
      </w:r>
      <w:r w:rsidRPr="002C1F17">
        <w:rPr>
          <w:rFonts w:hint="eastAsia"/>
          <w:b/>
          <w:bCs/>
          <w:rtl/>
        </w:rPr>
        <w:t>מונעת</w:t>
      </w:r>
      <w:r w:rsidR="002C1F17">
        <w:rPr>
          <w:rFonts w:hint="cs"/>
          <w:b/>
          <w:bCs/>
          <w:rtl/>
        </w:rPr>
        <w:t>:</w:t>
      </w:r>
      <w:r w:rsidRPr="00180D6E">
        <w:rPr>
          <w:rFonts w:hint="cs"/>
          <w:b/>
          <w:bCs/>
          <w:rtl/>
        </w:rPr>
        <w:t xml:space="preserve"> </w:t>
      </w:r>
      <w:r w:rsidRPr="00180D6E">
        <w:rPr>
          <w:rFonts w:hint="eastAsia"/>
          <w:rtl/>
        </w:rPr>
        <w:t>המשטרה</w:t>
      </w:r>
      <w:r w:rsidRPr="00180D6E">
        <w:rPr>
          <w:rtl/>
        </w:rPr>
        <w:t xml:space="preserve"> מבצעת פעולות משולבות למניעת תקלות או חריגות באמצעות </w:t>
      </w:r>
      <w:r w:rsidRPr="00180D6E">
        <w:rPr>
          <w:rFonts w:hint="eastAsia"/>
          <w:rtl/>
        </w:rPr>
        <w:t>גידור</w:t>
      </w:r>
      <w:r w:rsidRPr="00180D6E">
        <w:rPr>
          <w:rFonts w:hint="cs"/>
          <w:rtl/>
        </w:rPr>
        <w:t xml:space="preserve"> מקדים של </w:t>
      </w:r>
      <w:r w:rsidRPr="00180D6E">
        <w:rPr>
          <w:rFonts w:hint="eastAsia"/>
          <w:rtl/>
        </w:rPr>
        <w:t>פעולות</w:t>
      </w:r>
      <w:r w:rsidRPr="00180D6E">
        <w:rPr>
          <w:rtl/>
        </w:rPr>
        <w:t xml:space="preserve"> הכלים: </w:t>
      </w:r>
    </w:p>
    <w:p w:rsidR="00180D6E" w:rsidRPr="00180D6E" w:rsidRDefault="00180D6E" w:rsidP="00604C3D">
      <w:pPr>
        <w:spacing w:line="269" w:lineRule="auto"/>
        <w:rPr>
          <w:rtl/>
        </w:rPr>
      </w:pPr>
    </w:p>
    <w:p w:rsidR="00180D6E" w:rsidRPr="00180D6E" w:rsidRDefault="00180D6E" w:rsidP="008C598D">
      <w:pPr>
        <w:numPr>
          <w:ilvl w:val="0"/>
          <w:numId w:val="42"/>
        </w:numPr>
        <w:spacing w:line="269" w:lineRule="auto"/>
        <w:ind w:left="1054"/>
      </w:pPr>
      <w:r w:rsidRPr="002C1F17">
        <w:rPr>
          <w:rFonts w:hint="eastAsia"/>
          <w:u w:val="single"/>
          <w:rtl/>
        </w:rPr>
        <w:t>גידור</w:t>
      </w:r>
      <w:r w:rsidRPr="002C1F17">
        <w:rPr>
          <w:u w:val="single"/>
          <w:rtl/>
        </w:rPr>
        <w:t xml:space="preserve"> </w:t>
      </w:r>
      <w:r w:rsidRPr="002C1F17">
        <w:rPr>
          <w:rFonts w:hint="eastAsia"/>
          <w:u w:val="single"/>
          <w:rtl/>
        </w:rPr>
        <w:t>טכנולוגי</w:t>
      </w:r>
      <w:r w:rsidR="002C1F17" w:rsidRPr="00194843">
        <w:rPr>
          <w:rFonts w:hint="cs"/>
          <w:rtl/>
        </w:rPr>
        <w:t>:</w:t>
      </w:r>
      <w:r w:rsidRPr="00180D6E">
        <w:rPr>
          <w:rFonts w:hint="cs"/>
          <w:rtl/>
        </w:rPr>
        <w:t xml:space="preserve"> המשטרה </w:t>
      </w:r>
      <w:r w:rsidR="0079402E">
        <w:rPr>
          <w:rFonts w:hint="cs"/>
          <w:rtl/>
        </w:rPr>
        <w:t>ביצעה</w:t>
      </w:r>
      <w:r w:rsidR="0079402E" w:rsidRPr="00180D6E">
        <w:rPr>
          <w:rFonts w:hint="cs"/>
          <w:rtl/>
        </w:rPr>
        <w:t xml:space="preserve"> </w:t>
      </w:r>
      <w:r w:rsidRPr="00180D6E">
        <w:rPr>
          <w:rFonts w:hint="cs"/>
          <w:rtl/>
        </w:rPr>
        <w:t>התאמות טכנולוגיות וניוו</w:t>
      </w:r>
      <w:r w:rsidR="0079402E">
        <w:rPr>
          <w:rFonts w:hint="cs"/>
          <w:rtl/>
        </w:rPr>
        <w:t>נים</w:t>
      </w:r>
      <w:r w:rsidR="00D97114">
        <w:rPr>
          <w:rFonts w:hint="cs"/>
          <w:rtl/>
        </w:rPr>
        <w:t xml:space="preserve"> של</w:t>
      </w:r>
      <w:r w:rsidRPr="00180D6E">
        <w:rPr>
          <w:rFonts w:hint="cs"/>
          <w:rtl/>
        </w:rPr>
        <w:t xml:space="preserve"> יכולות בכלים הטכנולוגיים בתחום הסיגינט-סייבר כדי שהשימוש העתידי בכלים אלו לא יחרוג מסמכויות המשטרה ולא יכלול פעולות אסורות. </w:t>
      </w:r>
    </w:p>
    <w:p w:rsidR="00180D6E" w:rsidRPr="002C1F17" w:rsidRDefault="00180D6E" w:rsidP="00604C3D">
      <w:pPr>
        <w:spacing w:line="269" w:lineRule="auto"/>
        <w:ind w:left="1054"/>
      </w:pPr>
    </w:p>
    <w:p w:rsidR="00180D6E" w:rsidRPr="00180D6E" w:rsidRDefault="00180D6E" w:rsidP="008C598D">
      <w:pPr>
        <w:numPr>
          <w:ilvl w:val="0"/>
          <w:numId w:val="42"/>
        </w:numPr>
        <w:spacing w:line="269" w:lineRule="auto"/>
        <w:ind w:left="1054"/>
      </w:pPr>
      <w:r w:rsidRPr="002C1F17">
        <w:rPr>
          <w:rFonts w:hint="eastAsia"/>
          <w:u w:val="single"/>
          <w:rtl/>
        </w:rPr>
        <w:t>גידור</w:t>
      </w:r>
      <w:r w:rsidRPr="002C1F17">
        <w:rPr>
          <w:u w:val="single"/>
          <w:rtl/>
        </w:rPr>
        <w:t xml:space="preserve"> </w:t>
      </w:r>
      <w:r w:rsidRPr="002C1F17">
        <w:rPr>
          <w:rFonts w:hint="eastAsia"/>
          <w:u w:val="single"/>
          <w:rtl/>
        </w:rPr>
        <w:t>מתודולוגי</w:t>
      </w:r>
      <w:r w:rsidR="002C1F17" w:rsidRPr="00194843">
        <w:rPr>
          <w:rFonts w:hint="cs"/>
          <w:rtl/>
        </w:rPr>
        <w:t>:</w:t>
      </w:r>
      <w:r w:rsidRPr="00180D6E">
        <w:rPr>
          <w:rFonts w:hint="cs"/>
          <w:rtl/>
        </w:rPr>
        <w:t xml:space="preserve"> המשטרה פועלת לעדכון הנחיות עבודה למפיקי תוצרי האזנת הסתר המתקבלים מהכלים הטכנולוגיים ולכתיבת </w:t>
      </w:r>
      <w:r w:rsidR="002C0815">
        <w:rPr>
          <w:rFonts w:hint="cs"/>
          <w:rtl/>
        </w:rPr>
        <w:t>הנחיות</w:t>
      </w:r>
      <w:r w:rsidRPr="00180D6E">
        <w:rPr>
          <w:rFonts w:hint="cs"/>
          <w:rtl/>
        </w:rPr>
        <w:t xml:space="preserve"> למפעילי הכלים הטכנולוגיים.</w:t>
      </w:r>
      <w:r w:rsidR="00E657AC">
        <w:rPr>
          <w:rFonts w:hint="cs"/>
          <w:rtl/>
        </w:rPr>
        <w:t xml:space="preserve"> </w:t>
      </w:r>
      <w:r w:rsidR="00E657AC" w:rsidRPr="00E657AC">
        <w:rPr>
          <w:rFonts w:hint="cs"/>
          <w:rtl/>
        </w:rPr>
        <w:t>כמו כן, המשטרה עדכנה הנחיות ונהלים בתחום אבטחת המידע של חטיבת הסייבר.</w:t>
      </w:r>
    </w:p>
    <w:p w:rsidR="00180D6E" w:rsidRPr="00180D6E" w:rsidRDefault="00180D6E" w:rsidP="00604C3D">
      <w:pPr>
        <w:spacing w:line="269" w:lineRule="auto"/>
      </w:pPr>
    </w:p>
    <w:p w:rsidR="00180D6E" w:rsidRPr="00180D6E" w:rsidRDefault="00180D6E" w:rsidP="008C598D">
      <w:pPr>
        <w:pStyle w:val="af2"/>
        <w:numPr>
          <w:ilvl w:val="0"/>
          <w:numId w:val="61"/>
        </w:numPr>
        <w:spacing w:line="269" w:lineRule="auto"/>
      </w:pPr>
      <w:r w:rsidRPr="002C1F17">
        <w:rPr>
          <w:rStyle w:val="80"/>
          <w:rFonts w:hint="eastAsia"/>
          <w:rtl/>
        </w:rPr>
        <w:t>דיווח</w:t>
      </w:r>
      <w:r w:rsidRPr="002C1F17">
        <w:rPr>
          <w:rStyle w:val="80"/>
          <w:rtl/>
        </w:rPr>
        <w:t xml:space="preserve"> </w:t>
      </w:r>
      <w:r w:rsidRPr="002C1F17">
        <w:rPr>
          <w:rStyle w:val="80"/>
          <w:rFonts w:hint="eastAsia"/>
          <w:rtl/>
        </w:rPr>
        <w:t>ע</w:t>
      </w:r>
      <w:r w:rsidRPr="002C1F17">
        <w:rPr>
          <w:rStyle w:val="80"/>
          <w:rFonts w:hint="cs"/>
          <w:rtl/>
        </w:rPr>
        <w:t>י</w:t>
      </w:r>
      <w:r w:rsidRPr="002C1F17">
        <w:rPr>
          <w:rStyle w:val="80"/>
          <w:rFonts w:hint="eastAsia"/>
          <w:rtl/>
        </w:rPr>
        <w:t>תי</w:t>
      </w:r>
      <w:r w:rsidRPr="002C1F17">
        <w:rPr>
          <w:rStyle w:val="80"/>
          <w:rtl/>
        </w:rPr>
        <w:t xml:space="preserve"> </w:t>
      </w:r>
      <w:r w:rsidRPr="002C1F17">
        <w:rPr>
          <w:rStyle w:val="80"/>
          <w:rFonts w:hint="eastAsia"/>
          <w:rtl/>
        </w:rPr>
        <w:t>ליועמ</w:t>
      </w:r>
      <w:r w:rsidRPr="002C1F17">
        <w:rPr>
          <w:rStyle w:val="80"/>
          <w:rtl/>
        </w:rPr>
        <w:t xml:space="preserve">"ש </w:t>
      </w:r>
      <w:r w:rsidRPr="002C1F17">
        <w:rPr>
          <w:rStyle w:val="80"/>
          <w:rFonts w:hint="eastAsia"/>
          <w:rtl/>
        </w:rPr>
        <w:t>לממשלה</w:t>
      </w:r>
      <w:r w:rsidR="002C1F17">
        <w:rPr>
          <w:rStyle w:val="80"/>
          <w:rFonts w:hint="cs"/>
          <w:rtl/>
        </w:rPr>
        <w:t>:</w:t>
      </w:r>
      <w:r w:rsidRPr="00180D6E">
        <w:rPr>
          <w:rFonts w:hint="cs"/>
          <w:b/>
          <w:bCs/>
          <w:rtl/>
        </w:rPr>
        <w:t xml:space="preserve"> </w:t>
      </w:r>
      <w:r w:rsidRPr="00180D6E">
        <w:rPr>
          <w:rFonts w:hint="cs"/>
          <w:rtl/>
        </w:rPr>
        <w:t>המשטרה הרחיבה את הפירוט בדיווח העיתי ליועמ"ש לממשלה כך שיכלול גם את שם הכלי הטכנולוגי שבאמצעותו בוצעה ה</w:t>
      </w:r>
      <w:r w:rsidR="00056A98">
        <w:rPr>
          <w:rFonts w:hint="cs"/>
          <w:rtl/>
        </w:rPr>
        <w:t>ה</w:t>
      </w:r>
      <w:r w:rsidRPr="00180D6E">
        <w:rPr>
          <w:rFonts w:hint="cs"/>
          <w:rtl/>
        </w:rPr>
        <w:t>אזנ</w:t>
      </w:r>
      <w:r w:rsidR="00056A98">
        <w:rPr>
          <w:rFonts w:hint="cs"/>
          <w:rtl/>
        </w:rPr>
        <w:t>ה</w:t>
      </w:r>
      <w:r w:rsidRPr="00180D6E">
        <w:rPr>
          <w:rFonts w:hint="cs"/>
          <w:rtl/>
        </w:rPr>
        <w:t xml:space="preserve">. כמו כן, המשטרה עיגנה בקרה נוספת של נציגי היועמ"ש למשטרה קודם העברת הדיווח ליועמ"ש לממשלה. </w:t>
      </w:r>
      <w:r w:rsidR="00E657AC" w:rsidRPr="00E657AC">
        <w:rPr>
          <w:rFonts w:hint="cs"/>
          <w:rtl/>
        </w:rPr>
        <w:t>עוד מסרה המשטרה כי נוהל עבודה משותף למשטרה ולמשרד המשפטים ביחס להליך הפיקוח והדיווח נמצא בהליכי כתיבה.</w:t>
      </w:r>
    </w:p>
    <w:p w:rsidR="00180D6E" w:rsidRPr="00180D6E" w:rsidRDefault="00180D6E" w:rsidP="00604C3D">
      <w:pPr>
        <w:spacing w:line="269" w:lineRule="auto"/>
        <w:ind w:left="312"/>
      </w:pPr>
    </w:p>
    <w:p w:rsidR="00180D6E" w:rsidRPr="00180D6E" w:rsidRDefault="00180D6E" w:rsidP="008C598D">
      <w:pPr>
        <w:pStyle w:val="af2"/>
        <w:numPr>
          <w:ilvl w:val="0"/>
          <w:numId w:val="61"/>
        </w:numPr>
        <w:spacing w:line="269" w:lineRule="auto"/>
      </w:pPr>
      <w:r w:rsidRPr="002C1F17">
        <w:rPr>
          <w:rStyle w:val="80"/>
          <w:rFonts w:hint="eastAsia"/>
          <w:rtl/>
        </w:rPr>
        <w:t>הזנת</w:t>
      </w:r>
      <w:r w:rsidRPr="002C1F17">
        <w:rPr>
          <w:rStyle w:val="80"/>
          <w:rtl/>
        </w:rPr>
        <w:t xml:space="preserve"> </w:t>
      </w:r>
      <w:r w:rsidRPr="002C1F17">
        <w:rPr>
          <w:rStyle w:val="80"/>
          <w:rFonts w:hint="eastAsia"/>
          <w:rtl/>
        </w:rPr>
        <w:t>מועדי</w:t>
      </w:r>
      <w:r w:rsidRPr="002C1F17">
        <w:rPr>
          <w:rStyle w:val="80"/>
          <w:rtl/>
        </w:rPr>
        <w:t xml:space="preserve"> </w:t>
      </w:r>
      <w:r w:rsidRPr="002C1F17">
        <w:rPr>
          <w:rStyle w:val="80"/>
          <w:rFonts w:hint="eastAsia"/>
          <w:rtl/>
        </w:rPr>
        <w:t>הצו</w:t>
      </w:r>
      <w:r w:rsidRPr="002C1F17">
        <w:rPr>
          <w:rStyle w:val="80"/>
          <w:rtl/>
        </w:rPr>
        <w:t xml:space="preserve"> </w:t>
      </w:r>
      <w:r w:rsidRPr="002C1F17">
        <w:rPr>
          <w:rStyle w:val="80"/>
          <w:rFonts w:hint="eastAsia"/>
          <w:rtl/>
        </w:rPr>
        <w:t>להאזנת</w:t>
      </w:r>
      <w:r w:rsidRPr="002C1F17">
        <w:rPr>
          <w:rStyle w:val="80"/>
          <w:rtl/>
        </w:rPr>
        <w:t xml:space="preserve"> </w:t>
      </w:r>
      <w:r w:rsidRPr="002C1F17">
        <w:rPr>
          <w:rStyle w:val="80"/>
          <w:rFonts w:hint="eastAsia"/>
          <w:rtl/>
        </w:rPr>
        <w:t>סתר</w:t>
      </w:r>
      <w:r w:rsidR="002C1F17">
        <w:rPr>
          <w:rStyle w:val="80"/>
          <w:rFonts w:hint="cs"/>
          <w:rtl/>
        </w:rPr>
        <w:t>:</w:t>
      </w:r>
      <w:r w:rsidRPr="00180D6E">
        <w:rPr>
          <w:rFonts w:hint="cs"/>
          <w:b/>
          <w:bCs/>
          <w:rtl/>
        </w:rPr>
        <w:t xml:space="preserve"> </w:t>
      </w:r>
      <w:r w:rsidRPr="00180D6E">
        <w:rPr>
          <w:rFonts w:hint="cs"/>
          <w:rtl/>
        </w:rPr>
        <w:t>המשטרה מזינה את מועדי הצו השיפוטי להאזנת סתר במערכת לניהול צווים.</w:t>
      </w:r>
    </w:p>
    <w:p w:rsidR="00180D6E" w:rsidRPr="00180D6E" w:rsidRDefault="00180D6E" w:rsidP="00604C3D">
      <w:pPr>
        <w:spacing w:line="269" w:lineRule="auto"/>
        <w:ind w:left="312"/>
      </w:pPr>
    </w:p>
    <w:p w:rsidR="00180D6E" w:rsidRPr="00180D6E" w:rsidRDefault="00180D6E" w:rsidP="008C598D">
      <w:pPr>
        <w:pStyle w:val="af2"/>
        <w:numPr>
          <w:ilvl w:val="0"/>
          <w:numId w:val="61"/>
        </w:numPr>
        <w:spacing w:line="269" w:lineRule="auto"/>
      </w:pPr>
      <w:r w:rsidRPr="002C1F17">
        <w:rPr>
          <w:rStyle w:val="60"/>
          <w:rFonts w:hint="eastAsia"/>
          <w:rtl/>
        </w:rPr>
        <w:t>פיתוח</w:t>
      </w:r>
      <w:r w:rsidRPr="002C1F17">
        <w:rPr>
          <w:rStyle w:val="60"/>
          <w:rtl/>
        </w:rPr>
        <w:t xml:space="preserve"> </w:t>
      </w:r>
      <w:r w:rsidRPr="00E95723">
        <w:rPr>
          <w:rStyle w:val="80"/>
          <w:rFonts w:hint="eastAsia"/>
          <w:rtl/>
        </w:rPr>
        <w:t>מערכות</w:t>
      </w:r>
      <w:r w:rsidRPr="002C1F17">
        <w:rPr>
          <w:rStyle w:val="60"/>
          <w:rtl/>
        </w:rPr>
        <w:t xml:space="preserve"> </w:t>
      </w:r>
      <w:r w:rsidRPr="002C1F17">
        <w:rPr>
          <w:rStyle w:val="60"/>
          <w:rFonts w:hint="eastAsia"/>
          <w:rtl/>
        </w:rPr>
        <w:t>עזר</w:t>
      </w:r>
      <w:r w:rsidRPr="002C1F17">
        <w:rPr>
          <w:rStyle w:val="60"/>
          <w:rtl/>
        </w:rPr>
        <w:t xml:space="preserve"> </w:t>
      </w:r>
      <w:r w:rsidRPr="002C1F17">
        <w:rPr>
          <w:rStyle w:val="60"/>
          <w:rFonts w:hint="eastAsia"/>
          <w:rtl/>
        </w:rPr>
        <w:t>נוספות</w:t>
      </w:r>
      <w:r w:rsidRPr="002C1F17">
        <w:rPr>
          <w:rStyle w:val="60"/>
          <w:rtl/>
        </w:rPr>
        <w:t xml:space="preserve"> לניהול האזנות סתר</w:t>
      </w:r>
    </w:p>
    <w:p w:rsidR="00180D6E" w:rsidRPr="00180D6E" w:rsidRDefault="00180D6E" w:rsidP="00604C3D">
      <w:pPr>
        <w:spacing w:line="269" w:lineRule="auto"/>
        <w:ind w:left="312"/>
      </w:pPr>
    </w:p>
    <w:p w:rsidR="00180D6E" w:rsidRPr="00572CD3" w:rsidRDefault="00180D6E" w:rsidP="008C598D">
      <w:pPr>
        <w:pStyle w:val="af2"/>
        <w:numPr>
          <w:ilvl w:val="1"/>
          <w:numId w:val="67"/>
        </w:numPr>
        <w:spacing w:line="269" w:lineRule="auto"/>
      </w:pPr>
      <w:r w:rsidRPr="00180D6E">
        <w:rPr>
          <w:rFonts w:hint="cs"/>
          <w:rtl/>
        </w:rPr>
        <w:t xml:space="preserve">המשטרה פיתחה </w:t>
      </w:r>
      <w:r w:rsidRPr="00180D6E">
        <w:rPr>
          <w:rFonts w:hint="eastAsia"/>
          <w:rtl/>
        </w:rPr>
        <w:t>מערכת</w:t>
      </w:r>
      <w:r w:rsidRPr="00180D6E">
        <w:rPr>
          <w:rtl/>
        </w:rPr>
        <w:t xml:space="preserve"> </w:t>
      </w:r>
      <w:r w:rsidRPr="00180D6E">
        <w:rPr>
          <w:rFonts w:hint="eastAsia"/>
          <w:rtl/>
        </w:rPr>
        <w:t>לניהול</w:t>
      </w:r>
      <w:r w:rsidRPr="00180D6E">
        <w:rPr>
          <w:rtl/>
        </w:rPr>
        <w:t xml:space="preserve"> </w:t>
      </w:r>
      <w:r w:rsidRPr="00180D6E">
        <w:rPr>
          <w:rFonts w:hint="eastAsia"/>
          <w:rtl/>
        </w:rPr>
        <w:t>יומן</w:t>
      </w:r>
      <w:r w:rsidRPr="00180D6E">
        <w:rPr>
          <w:rFonts w:hint="cs"/>
          <w:rtl/>
        </w:rPr>
        <w:t xml:space="preserve"> מבצעים אשר תלווה את התהליכים המבוצעים במהלך האזנת הסתר ואת השימוש בכלים </w:t>
      </w:r>
      <w:r w:rsidRPr="00572CD3">
        <w:rPr>
          <w:rFonts w:hint="cs"/>
          <w:rtl/>
        </w:rPr>
        <w:t>הטכנולוגיים.</w:t>
      </w:r>
    </w:p>
    <w:p w:rsidR="00180D6E" w:rsidRPr="00180D6E" w:rsidRDefault="00180D6E" w:rsidP="00604C3D">
      <w:pPr>
        <w:spacing w:line="269" w:lineRule="auto"/>
        <w:ind w:left="709"/>
      </w:pPr>
    </w:p>
    <w:p w:rsidR="00180D6E" w:rsidRPr="00180D6E" w:rsidRDefault="00180D6E" w:rsidP="008C598D">
      <w:pPr>
        <w:pStyle w:val="af2"/>
        <w:numPr>
          <w:ilvl w:val="1"/>
          <w:numId w:val="67"/>
        </w:numPr>
        <w:spacing w:line="269" w:lineRule="auto"/>
      </w:pPr>
      <w:r w:rsidRPr="00180D6E">
        <w:rPr>
          <w:rFonts w:hint="cs"/>
          <w:rtl/>
        </w:rPr>
        <w:t xml:space="preserve">המשטרה אפיינה את הדרישות לגבי מערכת ניהול האזנת סתר לתקשורת בין מחשבים </w:t>
      </w:r>
      <w:bookmarkStart w:id="60" w:name="_Hlk214189367"/>
      <w:r w:rsidRPr="00180D6E">
        <w:rPr>
          <w:rFonts w:hint="cs"/>
          <w:rtl/>
        </w:rPr>
        <w:t>ל</w:t>
      </w:r>
      <w:r w:rsidR="00E332BC">
        <w:rPr>
          <w:rFonts w:hint="cs"/>
          <w:rtl/>
        </w:rPr>
        <w:t>כלי טכנולוגי מסוים</w:t>
      </w:r>
      <w:bookmarkEnd w:id="60"/>
      <w:r w:rsidRPr="00180D6E">
        <w:rPr>
          <w:rFonts w:hint="cs"/>
          <w:rtl/>
        </w:rPr>
        <w:t xml:space="preserve"> בדומה למאפייני המערכת לניהול האזנת סתר לתקשורת בין מחשבים לטלפונים סלולריים. </w:t>
      </w:r>
    </w:p>
    <w:p w:rsidR="00180D6E" w:rsidRPr="00180D6E" w:rsidRDefault="00180D6E" w:rsidP="00604C3D">
      <w:pPr>
        <w:spacing w:line="269" w:lineRule="auto"/>
        <w:rPr>
          <w:b/>
          <w:bCs/>
          <w:rtl/>
        </w:rPr>
      </w:pPr>
    </w:p>
    <w:p w:rsidR="00180D6E" w:rsidRPr="00180D6E" w:rsidRDefault="00180D6E" w:rsidP="00604C3D">
      <w:pPr>
        <w:spacing w:line="269" w:lineRule="auto"/>
        <w:rPr>
          <w:b/>
          <w:bCs/>
          <w:rtl/>
        </w:rPr>
      </w:pPr>
      <w:bookmarkStart w:id="61" w:name="_Hlk216255862"/>
      <w:r w:rsidRPr="00180D6E">
        <w:rPr>
          <w:rFonts w:hint="cs"/>
          <w:b/>
          <w:bCs/>
          <w:rtl/>
        </w:rPr>
        <w:t>מומלץ כי הייעוץ המשפטי לממשלה יבחן את פעולות התיקון שביצעה המשטרה בהתאם להודעותיה, כפי שפורטו בהתייחסותה לדוח ביקורת זה, ובכלל זה ההתאמות הטכנולוגיות וניוון היכולות בכלים הטכנולוגיים הנדרשים כדי להבטיח כי השימוש בכלים אלו נעשה כדין. לאחר מכן יוכל הייעוץ המשפטי לממשלה לבחון את האפשרות לאשר למשטרה לחזור להפעלה מבצעית של הכלי הטכנולוגי אשר השימוש ב</w:t>
      </w:r>
      <w:r w:rsidR="00980A41">
        <w:rPr>
          <w:rFonts w:hint="cs"/>
          <w:b/>
          <w:bCs/>
          <w:rtl/>
        </w:rPr>
        <w:t>ו</w:t>
      </w:r>
      <w:r w:rsidRPr="00180D6E">
        <w:rPr>
          <w:rFonts w:hint="cs"/>
          <w:b/>
          <w:bCs/>
          <w:rtl/>
        </w:rPr>
        <w:t xml:space="preserve"> הושעה.</w:t>
      </w:r>
      <w:r w:rsidR="00AB2D4E">
        <w:rPr>
          <w:rFonts w:hint="cs"/>
          <w:b/>
          <w:bCs/>
          <w:rtl/>
        </w:rPr>
        <w:t xml:space="preserve"> זאת, בכפוף לשיקול דעתו באשר לדרך ההסדרה הנדרשת - הסדרה משפטית או הסדרה חקיקתית, ובהתאם להחלטות בג"ץ בנושא.</w:t>
      </w:r>
      <w:r w:rsidRPr="00180D6E">
        <w:rPr>
          <w:rFonts w:hint="cs"/>
          <w:b/>
          <w:bCs/>
          <w:rtl/>
        </w:rPr>
        <w:t xml:space="preserve"> לצד האמור, אין הדבר גורע מאחריות כלל הגורמים - משטרת ישראל והייעוץ המשפטי לממשלה - להשלים את פעולות התיקון של כלל הליקויים שעלו בדוח זה.</w:t>
      </w:r>
    </w:p>
    <w:p w:rsidR="00180D6E" w:rsidRPr="00180D6E" w:rsidRDefault="00180D6E" w:rsidP="00604C3D">
      <w:pPr>
        <w:spacing w:line="269" w:lineRule="auto"/>
        <w:rPr>
          <w:b/>
          <w:bCs/>
          <w:rtl/>
        </w:rPr>
      </w:pPr>
    </w:p>
    <w:p w:rsidR="00180D6E" w:rsidRDefault="00180D6E" w:rsidP="00604C3D">
      <w:pPr>
        <w:spacing w:line="269" w:lineRule="auto"/>
        <w:rPr>
          <w:b/>
          <w:bCs/>
          <w:rtl/>
        </w:rPr>
      </w:pPr>
      <w:r w:rsidRPr="00180D6E">
        <w:rPr>
          <w:rFonts w:hint="cs"/>
          <w:b/>
          <w:bCs/>
          <w:rtl/>
        </w:rPr>
        <w:t xml:space="preserve">שימוש בכלים טכנולוגיים יאפשר למשטרה למלא את תפקידה וייעודה למנוע עבירות, להעמיד עבריינים לדין ולעמוד באתגרי הפשיעה החמורה בדגש על הפשיעה </w:t>
      </w:r>
      <w:r w:rsidR="005E113F">
        <w:rPr>
          <w:rFonts w:hint="cs"/>
          <w:b/>
          <w:bCs/>
          <w:rtl/>
        </w:rPr>
        <w:t>ב</w:t>
      </w:r>
      <w:r w:rsidRPr="00180D6E">
        <w:rPr>
          <w:rFonts w:hint="cs"/>
          <w:b/>
          <w:bCs/>
          <w:rtl/>
        </w:rPr>
        <w:t>מגזר הערבי, ולצמצם את פערי הטיפול בפשיעה הגואה.</w:t>
      </w:r>
      <w:bookmarkEnd w:id="55"/>
    </w:p>
    <w:p w:rsidR="00322E48" w:rsidRPr="00180D6E" w:rsidRDefault="00322E48" w:rsidP="00604C3D">
      <w:pPr>
        <w:spacing w:line="269" w:lineRule="auto"/>
        <w:rPr>
          <w:b/>
          <w:bCs/>
          <w:rtl/>
        </w:rPr>
      </w:pPr>
    </w:p>
    <w:p w:rsidR="00CF5E11" w:rsidRDefault="00D23DF8" w:rsidP="00D23DF8">
      <w:pPr>
        <w:bidi w:val="0"/>
        <w:spacing w:after="200" w:line="276" w:lineRule="auto"/>
        <w:rPr>
          <w:rFonts w:eastAsia="Times New Roman"/>
          <w:bCs/>
          <w:szCs w:val="32"/>
        </w:rPr>
      </w:pPr>
      <w:bookmarkStart w:id="62" w:name="_ההסדרה_המשפטית_של"/>
      <w:bookmarkStart w:id="63" w:name="_Hlk190161365"/>
      <w:bookmarkEnd w:id="4"/>
      <w:bookmarkEnd w:id="45"/>
      <w:bookmarkEnd w:id="58"/>
      <w:bookmarkEnd w:id="61"/>
      <w:bookmarkEnd w:id="62"/>
      <w:r>
        <w:rPr>
          <w:rFonts w:eastAsia="Times New Roman"/>
          <w:bCs/>
          <w:szCs w:val="32"/>
        </w:rPr>
        <w:br w:type="page"/>
      </w:r>
    </w:p>
    <w:p w:rsidR="00082C78" w:rsidRPr="00082C78" w:rsidRDefault="00082C78" w:rsidP="008C598D">
      <w:pPr>
        <w:pStyle w:val="2"/>
        <w:numPr>
          <w:ilvl w:val="0"/>
          <w:numId w:val="65"/>
        </w:numPr>
        <w:spacing w:before="0" w:line="269" w:lineRule="auto"/>
        <w:rPr>
          <w:rFonts w:eastAsia="Times New Roman"/>
          <w:rtl/>
        </w:rPr>
      </w:pPr>
      <w:bookmarkStart w:id="64" w:name="_Hlk196637914"/>
      <w:bookmarkStart w:id="65" w:name="_Toc219286509"/>
      <w:r w:rsidRPr="00082C78">
        <w:rPr>
          <w:rFonts w:eastAsia="Times New Roman" w:hint="cs"/>
          <w:rtl/>
        </w:rPr>
        <w:t>ההסדרה המשפטית של ה</w:t>
      </w:r>
      <w:r w:rsidRPr="00082C78">
        <w:rPr>
          <w:rFonts w:eastAsia="Times New Roman"/>
          <w:rtl/>
        </w:rPr>
        <w:t xml:space="preserve">שימוש בכלים </w:t>
      </w:r>
      <w:r w:rsidRPr="00082C78">
        <w:rPr>
          <w:rFonts w:eastAsia="Times New Roman" w:hint="cs"/>
          <w:rtl/>
        </w:rPr>
        <w:t xml:space="preserve">טכנולוגיים בתחום האזנות </w:t>
      </w:r>
      <w:r w:rsidR="00271D14">
        <w:rPr>
          <w:rFonts w:eastAsia="Times New Roman" w:hint="cs"/>
          <w:rtl/>
        </w:rPr>
        <w:t>ה</w:t>
      </w:r>
      <w:r w:rsidRPr="00082C78">
        <w:rPr>
          <w:rFonts w:eastAsia="Times New Roman" w:hint="cs"/>
          <w:rtl/>
        </w:rPr>
        <w:t xml:space="preserve">סתר ונתוני </w:t>
      </w:r>
      <w:r w:rsidR="00271D14">
        <w:rPr>
          <w:rFonts w:eastAsia="Times New Roman" w:hint="cs"/>
          <w:rtl/>
        </w:rPr>
        <w:t>ה</w:t>
      </w:r>
      <w:r w:rsidRPr="00082C78">
        <w:rPr>
          <w:rFonts w:eastAsia="Times New Roman" w:hint="cs"/>
          <w:rtl/>
        </w:rPr>
        <w:t>תקשורת</w:t>
      </w:r>
      <w:bookmarkEnd w:id="64"/>
      <w:bookmarkEnd w:id="65"/>
    </w:p>
    <w:p w:rsidR="00082C78" w:rsidRPr="00082C78" w:rsidRDefault="00082C78" w:rsidP="00604C3D">
      <w:pPr>
        <w:spacing w:line="269" w:lineRule="auto"/>
        <w:ind w:left="720"/>
        <w:contextualSpacing/>
        <w:rPr>
          <w:rFonts w:eastAsia="Calibri"/>
          <w:rtl/>
        </w:rPr>
      </w:pPr>
    </w:p>
    <w:p w:rsidR="00082C78" w:rsidRPr="00082C78" w:rsidRDefault="00CF5E11" w:rsidP="00604C3D">
      <w:pPr>
        <w:pStyle w:val="3"/>
        <w:spacing w:before="0" w:line="269" w:lineRule="auto"/>
        <w:rPr>
          <w:rFonts w:eastAsia="Times New Roman"/>
          <w:rtl/>
        </w:rPr>
      </w:pPr>
      <w:bookmarkStart w:id="66" w:name="_Toc193282947"/>
      <w:bookmarkStart w:id="67" w:name="_Toc219286510"/>
      <w:r>
        <w:rPr>
          <w:rFonts w:eastAsia="Times New Roman" w:hint="cs"/>
          <w:rtl/>
        </w:rPr>
        <w:t xml:space="preserve">1.1 </w:t>
      </w:r>
      <w:r w:rsidR="00082C78" w:rsidRPr="00082C78">
        <w:rPr>
          <w:rFonts w:eastAsia="Times New Roman" w:hint="cs"/>
          <w:rtl/>
        </w:rPr>
        <w:t>מבוא</w:t>
      </w:r>
      <w:bookmarkEnd w:id="66"/>
      <w:bookmarkEnd w:id="67"/>
    </w:p>
    <w:p w:rsidR="0013734E" w:rsidRDefault="0013734E" w:rsidP="00604C3D">
      <w:pPr>
        <w:spacing w:line="269" w:lineRule="auto"/>
        <w:ind w:left="-2"/>
        <w:contextualSpacing/>
        <w:rPr>
          <w:rFonts w:ascii="David" w:eastAsia="Calibri" w:hAnsi="David"/>
          <w:sz w:val="24"/>
          <w:rtl/>
        </w:rPr>
      </w:pPr>
      <w:bookmarkStart w:id="68" w:name="_Hlk216256893"/>
    </w:p>
    <w:p w:rsidR="00082C78" w:rsidRPr="00082C78" w:rsidRDefault="00082C78" w:rsidP="00604C3D">
      <w:pPr>
        <w:spacing w:line="269" w:lineRule="auto"/>
        <w:ind w:left="-2"/>
        <w:contextualSpacing/>
        <w:rPr>
          <w:rFonts w:eastAsia="Calibri"/>
        </w:rPr>
      </w:pPr>
      <w:r w:rsidRPr="00082C78">
        <w:rPr>
          <w:rFonts w:ascii="David" w:eastAsia="Calibri" w:hAnsi="David" w:hint="cs"/>
          <w:sz w:val="24"/>
          <w:rtl/>
        </w:rPr>
        <w:t>על המשטרה מוטלת האחריות להבטחת הביטחון והסדר הציבורי</w:t>
      </w:r>
      <w:bookmarkEnd w:id="68"/>
      <w:r w:rsidRPr="00082C78">
        <w:rPr>
          <w:rFonts w:ascii="David" w:eastAsia="Calibri" w:hAnsi="David" w:hint="cs"/>
          <w:sz w:val="24"/>
          <w:rtl/>
        </w:rPr>
        <w:t xml:space="preserve">, ולצורך מילוי תפקידה היא נאלצת להפעיל כוח ולעיתים לפגוע, מתוקף סמכותה, בזכויות </w:t>
      </w:r>
      <w:r w:rsidR="0014094F">
        <w:rPr>
          <w:rFonts w:ascii="David" w:eastAsia="Calibri" w:hAnsi="David" w:hint="cs"/>
          <w:sz w:val="24"/>
          <w:rtl/>
        </w:rPr>
        <w:t>הפרט</w:t>
      </w:r>
      <w:r w:rsidRPr="00082C78">
        <w:rPr>
          <w:rFonts w:ascii="David" w:eastAsia="Calibri" w:hAnsi="David" w:hint="cs"/>
          <w:sz w:val="24"/>
          <w:rtl/>
        </w:rPr>
        <w:t xml:space="preserve"> ובהן הזכות לפרטיות. עם זאת, הפעלת הכוח השלטוני באמצעות המשטרה והפגיעה בזכויות </w:t>
      </w:r>
      <w:r w:rsidR="0014094F">
        <w:rPr>
          <w:rFonts w:ascii="David" w:eastAsia="Calibri" w:hAnsi="David" w:hint="cs"/>
          <w:sz w:val="24"/>
          <w:rtl/>
        </w:rPr>
        <w:t>הפרט</w:t>
      </w:r>
      <w:r w:rsidRPr="00082C78">
        <w:rPr>
          <w:rFonts w:ascii="David" w:eastAsia="Calibri" w:hAnsi="David" w:hint="cs"/>
          <w:sz w:val="24"/>
          <w:rtl/>
        </w:rPr>
        <w:t xml:space="preserve"> אינן בלתי מוגבלות, והן כפופות לדינים ולנורמות החלים עליה, ויש בכך כדי להפחית משמעותית את הסכנה כי הכוח הרב הנתון בידה ינוצל לרעה ויופעל באופן שרירותי או לקידום מטרות זרות</w:t>
      </w:r>
      <w:r w:rsidRPr="00082C78">
        <w:rPr>
          <w:rFonts w:eastAsia="Calibri"/>
          <w:vertAlign w:val="superscript"/>
          <w:rtl/>
        </w:rPr>
        <w:footnoteReference w:id="30"/>
      </w:r>
      <w:r w:rsidRPr="00082C78">
        <w:rPr>
          <w:rFonts w:eastAsia="Calibri" w:hint="cs"/>
          <w:rtl/>
        </w:rPr>
        <w:t xml:space="preserve">. </w:t>
      </w:r>
    </w:p>
    <w:p w:rsidR="0013734E" w:rsidRDefault="0013734E" w:rsidP="00604C3D">
      <w:pPr>
        <w:spacing w:line="269" w:lineRule="auto"/>
        <w:ind w:left="-2"/>
        <w:rPr>
          <w:rFonts w:eastAsia="Calibri"/>
          <w:sz w:val="16"/>
          <w:szCs w:val="16"/>
          <w:rtl/>
        </w:rPr>
      </w:pPr>
      <w:bookmarkStart w:id="69" w:name="_Hlk147930806"/>
    </w:p>
    <w:p w:rsidR="008A39ED" w:rsidRPr="00082C78" w:rsidRDefault="008A39ED" w:rsidP="00604C3D">
      <w:pPr>
        <w:spacing w:line="269" w:lineRule="auto"/>
        <w:ind w:left="-2"/>
        <w:rPr>
          <w:rFonts w:ascii="David" w:eastAsia="Calibri" w:hAnsi="David"/>
          <w:sz w:val="24"/>
          <w:rtl/>
        </w:rPr>
      </w:pPr>
      <w:r w:rsidRPr="00082C78">
        <w:rPr>
          <w:rFonts w:ascii="David" w:eastAsia="Calibri" w:hAnsi="David"/>
          <w:sz w:val="24"/>
          <w:rtl/>
        </w:rPr>
        <w:t xml:space="preserve">כדי למלא את ייעודה ותפקידיה המשטרה </w:t>
      </w:r>
      <w:r w:rsidRPr="00082C78">
        <w:rPr>
          <w:rFonts w:ascii="David" w:eastAsia="Calibri" w:hAnsi="David" w:hint="cs"/>
          <w:sz w:val="24"/>
          <w:rtl/>
        </w:rPr>
        <w:t>מ</w:t>
      </w:r>
      <w:r w:rsidRPr="00082C78">
        <w:rPr>
          <w:rFonts w:ascii="David" w:eastAsia="Calibri" w:hAnsi="David"/>
          <w:sz w:val="24"/>
          <w:rtl/>
        </w:rPr>
        <w:t>ש</w:t>
      </w:r>
      <w:r w:rsidRPr="00082C78">
        <w:rPr>
          <w:rFonts w:ascii="David" w:eastAsia="Calibri" w:hAnsi="David" w:hint="cs"/>
          <w:sz w:val="24"/>
          <w:rtl/>
        </w:rPr>
        <w:t>ת</w:t>
      </w:r>
      <w:r w:rsidRPr="00082C78">
        <w:rPr>
          <w:rFonts w:ascii="David" w:eastAsia="Calibri" w:hAnsi="David"/>
          <w:sz w:val="24"/>
          <w:rtl/>
        </w:rPr>
        <w:t>מש</w:t>
      </w:r>
      <w:r w:rsidRPr="00082C78">
        <w:rPr>
          <w:rFonts w:ascii="David" w:eastAsia="Calibri" w:hAnsi="David" w:hint="cs"/>
          <w:sz w:val="24"/>
          <w:rtl/>
        </w:rPr>
        <w:t>ת</w:t>
      </w:r>
      <w:r w:rsidRPr="00082C78">
        <w:rPr>
          <w:rFonts w:ascii="David" w:eastAsia="Calibri" w:hAnsi="David"/>
          <w:sz w:val="24"/>
          <w:rtl/>
        </w:rPr>
        <w:t xml:space="preserve"> בכלים שונ</w:t>
      </w:r>
      <w:r w:rsidRPr="00082C78">
        <w:rPr>
          <w:rFonts w:ascii="David" w:eastAsia="Calibri" w:hAnsi="David" w:hint="cs"/>
          <w:sz w:val="24"/>
          <w:rtl/>
        </w:rPr>
        <w:t>ים</w:t>
      </w:r>
      <w:r w:rsidRPr="00082C78">
        <w:rPr>
          <w:rFonts w:ascii="David" w:eastAsia="Calibri" w:hAnsi="David"/>
          <w:sz w:val="24"/>
          <w:rtl/>
        </w:rPr>
        <w:t xml:space="preserve"> ומגוונ</w:t>
      </w:r>
      <w:r w:rsidRPr="00082C78">
        <w:rPr>
          <w:rFonts w:ascii="David" w:eastAsia="Calibri" w:hAnsi="David" w:hint="cs"/>
          <w:sz w:val="24"/>
          <w:rtl/>
        </w:rPr>
        <w:t>ים</w:t>
      </w:r>
      <w:r w:rsidRPr="00082C78">
        <w:rPr>
          <w:rFonts w:ascii="David" w:eastAsia="Calibri" w:hAnsi="David"/>
          <w:sz w:val="24"/>
          <w:rtl/>
        </w:rPr>
        <w:t xml:space="preserve"> לצורך האזנה לשיחות ולהפקת נתוני תקשורת. עם זאת, לנוכח </w:t>
      </w:r>
      <w:r w:rsidRPr="00082C78">
        <w:rPr>
          <w:rFonts w:ascii="David" w:eastAsia="Calibri" w:hAnsi="David" w:hint="eastAsia"/>
          <w:sz w:val="24"/>
          <w:rtl/>
        </w:rPr>
        <w:t>הפגיעה</w:t>
      </w:r>
      <w:r w:rsidRPr="00082C78">
        <w:rPr>
          <w:rFonts w:ascii="David" w:eastAsia="Calibri" w:hAnsi="David"/>
          <w:sz w:val="24"/>
          <w:rtl/>
        </w:rPr>
        <w:t xml:space="preserve"> </w:t>
      </w:r>
      <w:r w:rsidRPr="00082C78">
        <w:rPr>
          <w:rFonts w:ascii="David" w:eastAsia="Calibri" w:hAnsi="David" w:hint="eastAsia"/>
          <w:sz w:val="24"/>
          <w:rtl/>
        </w:rPr>
        <w:t>החריפה</w:t>
      </w:r>
      <w:r w:rsidRPr="00082C78">
        <w:rPr>
          <w:rFonts w:ascii="David" w:eastAsia="Calibri" w:hAnsi="David"/>
          <w:sz w:val="24"/>
          <w:rtl/>
        </w:rPr>
        <w:t xml:space="preserve"> </w:t>
      </w:r>
      <w:r w:rsidRPr="00082C78">
        <w:rPr>
          <w:rFonts w:ascii="David" w:eastAsia="Calibri" w:hAnsi="David" w:hint="eastAsia"/>
          <w:sz w:val="24"/>
          <w:rtl/>
        </w:rPr>
        <w:t>בפרטיותו</w:t>
      </w:r>
      <w:r w:rsidRPr="00082C78">
        <w:rPr>
          <w:rFonts w:ascii="David" w:eastAsia="Calibri" w:hAnsi="David"/>
          <w:sz w:val="24"/>
          <w:rtl/>
        </w:rPr>
        <w:t xml:space="preserve"> </w:t>
      </w:r>
      <w:r w:rsidRPr="00082C78">
        <w:rPr>
          <w:rFonts w:ascii="David" w:eastAsia="Calibri" w:hAnsi="David" w:hint="eastAsia"/>
          <w:sz w:val="24"/>
          <w:rtl/>
        </w:rPr>
        <w:t>של</w:t>
      </w:r>
      <w:r w:rsidRPr="00082C78">
        <w:rPr>
          <w:rFonts w:ascii="David" w:eastAsia="Calibri" w:hAnsi="David"/>
          <w:sz w:val="24"/>
          <w:rtl/>
        </w:rPr>
        <w:t xml:space="preserve"> </w:t>
      </w:r>
      <w:r w:rsidRPr="00082C78">
        <w:rPr>
          <w:rFonts w:ascii="David" w:eastAsia="Calibri" w:hAnsi="David" w:hint="cs"/>
          <w:sz w:val="24"/>
          <w:rtl/>
        </w:rPr>
        <w:t>ה</w:t>
      </w:r>
      <w:r w:rsidRPr="00082C78">
        <w:rPr>
          <w:rFonts w:ascii="David" w:eastAsia="Calibri" w:hAnsi="David" w:hint="eastAsia"/>
          <w:sz w:val="24"/>
          <w:rtl/>
        </w:rPr>
        <w:t>אדם</w:t>
      </w:r>
      <w:r w:rsidRPr="00082C78">
        <w:rPr>
          <w:rFonts w:eastAsia="Calibri"/>
          <w:vertAlign w:val="superscript"/>
          <w:rtl/>
        </w:rPr>
        <w:footnoteReference w:id="31"/>
      </w:r>
      <w:r w:rsidRPr="00082C78">
        <w:rPr>
          <w:rFonts w:ascii="David" w:eastAsia="Calibri" w:hAnsi="David"/>
          <w:sz w:val="24"/>
          <w:rtl/>
        </w:rPr>
        <w:t xml:space="preserve">, </w:t>
      </w:r>
      <w:r w:rsidRPr="00082C78">
        <w:rPr>
          <w:rFonts w:ascii="David" w:eastAsia="Calibri" w:hAnsi="David" w:hint="eastAsia"/>
          <w:sz w:val="24"/>
          <w:rtl/>
        </w:rPr>
        <w:t>אשר</w:t>
      </w:r>
      <w:r w:rsidRPr="00082C78">
        <w:rPr>
          <w:rFonts w:ascii="David" w:eastAsia="Calibri" w:hAnsi="David"/>
          <w:sz w:val="24"/>
          <w:rtl/>
        </w:rPr>
        <w:t xml:space="preserve"> </w:t>
      </w:r>
      <w:r w:rsidRPr="00082C78">
        <w:rPr>
          <w:rFonts w:ascii="David" w:eastAsia="Calibri" w:hAnsi="David" w:hint="eastAsia"/>
          <w:sz w:val="24"/>
          <w:rtl/>
        </w:rPr>
        <w:t>קיימת</w:t>
      </w:r>
      <w:r w:rsidRPr="00082C78">
        <w:rPr>
          <w:rFonts w:ascii="David" w:eastAsia="Calibri" w:hAnsi="David"/>
          <w:sz w:val="24"/>
          <w:rtl/>
        </w:rPr>
        <w:t xml:space="preserve"> </w:t>
      </w:r>
      <w:r w:rsidRPr="00082C78">
        <w:rPr>
          <w:rFonts w:ascii="David" w:eastAsia="Calibri" w:hAnsi="David" w:hint="eastAsia"/>
          <w:sz w:val="24"/>
          <w:rtl/>
        </w:rPr>
        <w:t>כבר</w:t>
      </w:r>
      <w:r w:rsidRPr="00082C78">
        <w:rPr>
          <w:rFonts w:ascii="David" w:eastAsia="Calibri" w:hAnsi="David"/>
          <w:sz w:val="24"/>
          <w:rtl/>
        </w:rPr>
        <w:t xml:space="preserve"> </w:t>
      </w:r>
      <w:r w:rsidRPr="00082C78">
        <w:rPr>
          <w:rFonts w:ascii="David" w:eastAsia="Calibri" w:hAnsi="David" w:hint="eastAsia"/>
          <w:sz w:val="24"/>
          <w:rtl/>
        </w:rPr>
        <w:t>בעצם</w:t>
      </w:r>
      <w:r w:rsidRPr="00082C78">
        <w:rPr>
          <w:rFonts w:ascii="David" w:eastAsia="Calibri" w:hAnsi="David"/>
          <w:sz w:val="24"/>
          <w:rtl/>
        </w:rPr>
        <w:t xml:space="preserve"> </w:t>
      </w:r>
      <w:r w:rsidRPr="00082C78">
        <w:rPr>
          <w:rFonts w:ascii="David" w:eastAsia="Calibri" w:hAnsi="David" w:hint="cs"/>
          <w:sz w:val="24"/>
          <w:rtl/>
        </w:rPr>
        <w:t>ה</w:t>
      </w:r>
      <w:r w:rsidRPr="00082C78">
        <w:rPr>
          <w:rFonts w:ascii="David" w:eastAsia="Calibri" w:hAnsi="David" w:hint="eastAsia"/>
          <w:sz w:val="24"/>
          <w:rtl/>
        </w:rPr>
        <w:t>איסוף</w:t>
      </w:r>
      <w:r w:rsidRPr="00082C78">
        <w:rPr>
          <w:rFonts w:ascii="David" w:eastAsia="Calibri" w:hAnsi="David"/>
          <w:sz w:val="24"/>
          <w:rtl/>
        </w:rPr>
        <w:t xml:space="preserve"> </w:t>
      </w:r>
      <w:r w:rsidRPr="00082C78">
        <w:rPr>
          <w:rFonts w:ascii="David" w:eastAsia="Calibri" w:hAnsi="David" w:hint="cs"/>
          <w:sz w:val="24"/>
          <w:rtl/>
        </w:rPr>
        <w:t xml:space="preserve">והאגירה של </w:t>
      </w:r>
      <w:r w:rsidRPr="00082C78">
        <w:rPr>
          <w:rFonts w:ascii="David" w:eastAsia="Calibri" w:hAnsi="David" w:hint="eastAsia"/>
          <w:sz w:val="24"/>
          <w:rtl/>
        </w:rPr>
        <w:t>מידע</w:t>
      </w:r>
      <w:r w:rsidRPr="00082C78">
        <w:rPr>
          <w:rFonts w:ascii="David" w:eastAsia="Calibri" w:hAnsi="David"/>
          <w:sz w:val="24"/>
          <w:rtl/>
        </w:rPr>
        <w:t xml:space="preserve"> </w:t>
      </w:r>
      <w:r w:rsidRPr="00082C78">
        <w:rPr>
          <w:rFonts w:ascii="David" w:eastAsia="Calibri" w:hAnsi="David" w:hint="eastAsia"/>
          <w:sz w:val="24"/>
          <w:rtl/>
        </w:rPr>
        <w:t>הנוגע</w:t>
      </w:r>
      <w:r w:rsidRPr="00082C78">
        <w:rPr>
          <w:rFonts w:ascii="David" w:eastAsia="Calibri" w:hAnsi="David"/>
          <w:sz w:val="24"/>
          <w:rtl/>
        </w:rPr>
        <w:t xml:space="preserve"> </w:t>
      </w:r>
      <w:r w:rsidRPr="00082C78">
        <w:rPr>
          <w:rFonts w:ascii="David" w:eastAsia="Calibri" w:hAnsi="David" w:hint="eastAsia"/>
          <w:sz w:val="24"/>
          <w:rtl/>
        </w:rPr>
        <w:t>ל</w:t>
      </w:r>
      <w:r w:rsidRPr="00082C78">
        <w:rPr>
          <w:rFonts w:ascii="David" w:eastAsia="Calibri" w:hAnsi="David" w:hint="cs"/>
          <w:sz w:val="24"/>
          <w:rtl/>
        </w:rPr>
        <w:t>ו</w:t>
      </w:r>
      <w:r w:rsidRPr="00082C78">
        <w:rPr>
          <w:rFonts w:eastAsia="Calibri"/>
          <w:vertAlign w:val="superscript"/>
          <w:rtl/>
        </w:rPr>
        <w:footnoteReference w:id="32"/>
      </w:r>
      <w:r w:rsidRPr="00082C78">
        <w:rPr>
          <w:rFonts w:ascii="David" w:eastAsia="Calibri" w:hAnsi="David"/>
          <w:sz w:val="24"/>
          <w:rtl/>
        </w:rPr>
        <w:t>, עליה לקבל אישור משפטי שהשימוש שהיא עושה בכלים</w:t>
      </w:r>
      <w:r w:rsidRPr="00082C78">
        <w:rPr>
          <w:rFonts w:ascii="David" w:eastAsia="Calibri" w:hAnsi="David" w:hint="cs"/>
          <w:sz w:val="24"/>
          <w:rtl/>
        </w:rPr>
        <w:t xml:space="preserve"> אלו </w:t>
      </w:r>
      <w:r w:rsidRPr="00082C78">
        <w:rPr>
          <w:rFonts w:ascii="David" w:eastAsia="Calibri" w:hAnsi="David"/>
          <w:sz w:val="24"/>
          <w:rtl/>
        </w:rPr>
        <w:t>ה</w:t>
      </w:r>
      <w:r w:rsidRPr="00082C78">
        <w:rPr>
          <w:rFonts w:ascii="David" w:eastAsia="Calibri" w:hAnsi="David" w:hint="cs"/>
          <w:sz w:val="24"/>
          <w:rtl/>
        </w:rPr>
        <w:t>וא</w:t>
      </w:r>
      <w:r w:rsidRPr="00082C78">
        <w:rPr>
          <w:rFonts w:ascii="David" w:eastAsia="Calibri" w:hAnsi="David"/>
          <w:sz w:val="24"/>
          <w:rtl/>
        </w:rPr>
        <w:t xml:space="preserve"> בגדרי סמכותה כפי שנקבעו בחוק. </w:t>
      </w:r>
      <w:r w:rsidRPr="00082C78">
        <w:rPr>
          <w:rFonts w:ascii="David" w:eastAsia="Calibri" w:hAnsi="David" w:hint="cs"/>
          <w:sz w:val="24"/>
          <w:rtl/>
        </w:rPr>
        <w:t>את ה</w:t>
      </w:r>
      <w:r w:rsidRPr="00082C78">
        <w:rPr>
          <w:rFonts w:ascii="David" w:eastAsia="Calibri" w:hAnsi="David"/>
          <w:sz w:val="24"/>
          <w:rtl/>
        </w:rPr>
        <w:t xml:space="preserve">אישורים </w:t>
      </w:r>
      <w:r w:rsidRPr="00082C78">
        <w:rPr>
          <w:rFonts w:ascii="David" w:eastAsia="Calibri" w:hAnsi="David" w:hint="cs"/>
          <w:sz w:val="24"/>
          <w:rtl/>
        </w:rPr>
        <w:t>ה</w:t>
      </w:r>
      <w:r w:rsidRPr="00082C78">
        <w:rPr>
          <w:rFonts w:ascii="David" w:eastAsia="Calibri" w:hAnsi="David"/>
          <w:sz w:val="24"/>
          <w:rtl/>
        </w:rPr>
        <w:t>אלו נ</w:t>
      </w:r>
      <w:r w:rsidRPr="00082C78">
        <w:rPr>
          <w:rFonts w:ascii="David" w:eastAsia="Calibri" w:hAnsi="David" w:hint="cs"/>
          <w:sz w:val="24"/>
          <w:rtl/>
        </w:rPr>
        <w:t>ו</w:t>
      </w:r>
      <w:r w:rsidRPr="00082C78">
        <w:rPr>
          <w:rFonts w:ascii="David" w:eastAsia="Calibri" w:hAnsi="David"/>
          <w:sz w:val="24"/>
          <w:rtl/>
        </w:rPr>
        <w:t>ת</w:t>
      </w:r>
      <w:r w:rsidRPr="00082C78">
        <w:rPr>
          <w:rFonts w:ascii="David" w:eastAsia="Calibri" w:hAnsi="David" w:hint="cs"/>
          <w:sz w:val="24"/>
          <w:rtl/>
        </w:rPr>
        <w:t>ן</w:t>
      </w:r>
      <w:r w:rsidRPr="00082C78">
        <w:rPr>
          <w:rFonts w:ascii="David" w:eastAsia="Calibri" w:hAnsi="David"/>
          <w:sz w:val="24"/>
          <w:rtl/>
        </w:rPr>
        <w:t xml:space="preserve"> הייעוץ המשפטי למשטרה</w:t>
      </w:r>
      <w:r w:rsidR="00BF5AAB">
        <w:rPr>
          <w:rFonts w:ascii="David" w:eastAsia="Calibri" w:hAnsi="David" w:hint="cs"/>
          <w:sz w:val="24"/>
          <w:rtl/>
        </w:rPr>
        <w:t xml:space="preserve"> </w:t>
      </w:r>
      <w:r w:rsidR="00867BBA" w:rsidRPr="00867BBA">
        <w:rPr>
          <w:rFonts w:ascii="David" w:eastAsia="Calibri" w:hAnsi="David"/>
          <w:sz w:val="24"/>
          <w:rtl/>
        </w:rPr>
        <w:t>ו</w:t>
      </w:r>
      <w:r w:rsidR="00867BBA" w:rsidRPr="00867BBA">
        <w:rPr>
          <w:rFonts w:ascii="David" w:eastAsia="Calibri" w:hAnsi="David" w:hint="cs"/>
          <w:sz w:val="24"/>
          <w:rtl/>
        </w:rPr>
        <w:t>בנושאים</w:t>
      </w:r>
      <w:r w:rsidR="00BF5AAB">
        <w:rPr>
          <w:rFonts w:ascii="David" w:eastAsia="Calibri" w:hAnsi="David" w:hint="cs"/>
          <w:sz w:val="24"/>
          <w:rtl/>
        </w:rPr>
        <w:t xml:space="preserve"> </w:t>
      </w:r>
      <w:r w:rsidR="001429B8">
        <w:rPr>
          <w:rFonts w:ascii="David" w:eastAsia="Calibri" w:hAnsi="David" w:hint="cs"/>
          <w:sz w:val="24"/>
          <w:rtl/>
        </w:rPr>
        <w:t>מסוימים</w:t>
      </w:r>
      <w:r w:rsidR="00867BBA" w:rsidRPr="00867BBA">
        <w:rPr>
          <w:rFonts w:ascii="David" w:eastAsia="Calibri" w:hAnsi="David" w:hint="cs"/>
          <w:sz w:val="24"/>
          <w:rtl/>
        </w:rPr>
        <w:t xml:space="preserve"> -</w:t>
      </w:r>
      <w:r w:rsidR="00867BBA" w:rsidRPr="00867BBA">
        <w:rPr>
          <w:rFonts w:ascii="David" w:eastAsia="Calibri" w:hAnsi="David"/>
          <w:sz w:val="24"/>
          <w:rtl/>
        </w:rPr>
        <w:t xml:space="preserve"> </w:t>
      </w:r>
      <w:r w:rsidR="00867BBA" w:rsidRPr="00867BBA">
        <w:rPr>
          <w:rFonts w:ascii="David" w:eastAsia="Calibri" w:hAnsi="David" w:hint="cs"/>
          <w:sz w:val="24"/>
          <w:rtl/>
        </w:rPr>
        <w:t xml:space="preserve">נותנים </w:t>
      </w:r>
      <w:r w:rsidRPr="00082C78">
        <w:rPr>
          <w:rFonts w:ascii="David" w:eastAsia="Calibri" w:hAnsi="David" w:hint="cs"/>
          <w:sz w:val="24"/>
          <w:rtl/>
        </w:rPr>
        <w:t xml:space="preserve">אותם גורמי </w:t>
      </w:r>
      <w:r w:rsidRPr="00082C78">
        <w:rPr>
          <w:rFonts w:ascii="David" w:eastAsia="Calibri" w:hAnsi="David"/>
          <w:sz w:val="24"/>
          <w:rtl/>
        </w:rPr>
        <w:t>הייעוץ המשפטי לממשלה</w:t>
      </w:r>
      <w:r w:rsidRPr="00082C78">
        <w:rPr>
          <w:rFonts w:ascii="David" w:eastAsia="Calibri" w:hAnsi="David" w:hint="cs"/>
          <w:sz w:val="24"/>
          <w:rtl/>
        </w:rPr>
        <w:t>, כפי שיפורט בהמשך.</w:t>
      </w:r>
    </w:p>
    <w:p w:rsidR="0013734E" w:rsidRDefault="0013734E" w:rsidP="00604C3D">
      <w:pPr>
        <w:spacing w:line="269" w:lineRule="auto"/>
        <w:ind w:left="-2"/>
        <w:contextualSpacing/>
        <w:rPr>
          <w:rFonts w:ascii="David" w:eastAsia="Calibri" w:hAnsi="David"/>
          <w:sz w:val="16"/>
          <w:szCs w:val="16"/>
          <w:rtl/>
        </w:rPr>
      </w:pPr>
      <w:bookmarkStart w:id="70" w:name="_Hlk147931066"/>
      <w:bookmarkStart w:id="71" w:name="_Toc138576057"/>
      <w:bookmarkEnd w:id="69"/>
    </w:p>
    <w:p w:rsidR="00082C78" w:rsidRPr="00082C78" w:rsidRDefault="00082C78" w:rsidP="00604C3D">
      <w:pPr>
        <w:spacing w:line="269" w:lineRule="auto"/>
        <w:ind w:left="-2"/>
        <w:contextualSpacing/>
        <w:rPr>
          <w:rFonts w:ascii="David" w:eastAsia="Calibri" w:hAnsi="David"/>
          <w:sz w:val="24"/>
          <w:rtl/>
        </w:rPr>
      </w:pPr>
      <w:r w:rsidRPr="00082C78">
        <w:rPr>
          <w:rFonts w:ascii="David" w:eastAsia="Calibri" w:hAnsi="David" w:hint="cs"/>
          <w:sz w:val="24"/>
          <w:rtl/>
        </w:rPr>
        <w:t xml:space="preserve">המשטרה היא זרוע ביטחונית של המדינה, וחלים עליה חוקי המדינה וכללי המשפט המינהלי. </w:t>
      </w:r>
      <w:r w:rsidRPr="00082C78">
        <w:rPr>
          <w:rFonts w:ascii="David" w:eastAsia="Calibri" w:hAnsi="David"/>
          <w:sz w:val="24"/>
          <w:rtl/>
        </w:rPr>
        <w:t xml:space="preserve">אחד מעקרונות היסוד של המשפט המינהלי הוא </w:t>
      </w:r>
      <w:r w:rsidRPr="00082C78">
        <w:rPr>
          <w:rFonts w:ascii="David" w:eastAsia="Calibri" w:hAnsi="David" w:hint="cs"/>
          <w:sz w:val="24"/>
          <w:rtl/>
        </w:rPr>
        <w:t>עקרון חוקיות המינהל ו</w:t>
      </w:r>
      <w:r w:rsidRPr="00082C78">
        <w:rPr>
          <w:rFonts w:ascii="David" w:eastAsia="Calibri" w:hAnsi="David"/>
          <w:sz w:val="24"/>
          <w:rtl/>
        </w:rPr>
        <w:t xml:space="preserve">לפיו לרשות מינהלית "אין </w:t>
      </w:r>
      <w:r w:rsidRPr="00082C78">
        <w:rPr>
          <w:rFonts w:ascii="David" w:eastAsia="Calibri" w:hAnsi="David" w:hint="cs"/>
          <w:sz w:val="24"/>
          <w:rtl/>
        </w:rPr>
        <w:t>לה</w:t>
      </w:r>
      <w:r w:rsidRPr="00082C78">
        <w:rPr>
          <w:rFonts w:ascii="David" w:eastAsia="Calibri" w:hAnsi="David"/>
          <w:sz w:val="24"/>
          <w:rtl/>
        </w:rPr>
        <w:t xml:space="preserve"> סמכות אלא אותה סמכות שהוענקה לה לפי חוק"</w:t>
      </w:r>
      <w:r w:rsidRPr="00082C78">
        <w:rPr>
          <w:rFonts w:ascii="David" w:eastAsia="Calibri" w:hAnsi="David"/>
          <w:sz w:val="24"/>
          <w:vertAlign w:val="superscript"/>
          <w:rtl/>
        </w:rPr>
        <w:footnoteReference w:id="33"/>
      </w:r>
      <w:r w:rsidRPr="00082C78">
        <w:rPr>
          <w:rFonts w:ascii="David" w:eastAsia="Calibri" w:hAnsi="David"/>
          <w:sz w:val="24"/>
          <w:rtl/>
        </w:rPr>
        <w:t xml:space="preserve">. עיקרון </w:t>
      </w:r>
      <w:r w:rsidRPr="00082C78">
        <w:rPr>
          <w:rFonts w:ascii="David" w:eastAsia="Calibri" w:hAnsi="David" w:hint="cs"/>
          <w:sz w:val="24"/>
          <w:rtl/>
        </w:rPr>
        <w:t>זה</w:t>
      </w:r>
      <w:r w:rsidRPr="00082C78">
        <w:rPr>
          <w:rFonts w:ascii="David" w:eastAsia="Calibri" w:hAnsi="David"/>
          <w:sz w:val="24"/>
          <w:rtl/>
        </w:rPr>
        <w:t xml:space="preserve"> נובע מע</w:t>
      </w:r>
      <w:r w:rsidRPr="00082C78">
        <w:rPr>
          <w:rFonts w:ascii="David" w:eastAsia="Calibri" w:hAnsi="David" w:hint="cs"/>
          <w:sz w:val="24"/>
          <w:rtl/>
        </w:rPr>
        <w:t>י</w:t>
      </w:r>
      <w:r w:rsidRPr="00082C78">
        <w:rPr>
          <w:rFonts w:ascii="David" w:eastAsia="Calibri" w:hAnsi="David"/>
          <w:sz w:val="24"/>
          <w:rtl/>
        </w:rPr>
        <w:t xml:space="preserve">קרון רחב יותר </w:t>
      </w:r>
      <w:r w:rsidRPr="00082C78">
        <w:rPr>
          <w:rFonts w:ascii="David" w:eastAsia="Calibri" w:hAnsi="David" w:hint="cs"/>
          <w:sz w:val="24"/>
          <w:rtl/>
        </w:rPr>
        <w:t>-</w:t>
      </w:r>
      <w:r w:rsidRPr="00082C78">
        <w:rPr>
          <w:rFonts w:ascii="David" w:eastAsia="Calibri" w:hAnsi="David"/>
          <w:sz w:val="24"/>
          <w:rtl/>
        </w:rPr>
        <w:t xml:space="preserve"> עקרון שלטון החוק, קרי </w:t>
      </w:r>
      <w:r w:rsidRPr="00082C78">
        <w:rPr>
          <w:rFonts w:ascii="David" w:eastAsia="Calibri" w:hAnsi="David" w:hint="cs"/>
          <w:sz w:val="24"/>
          <w:rtl/>
        </w:rPr>
        <w:t xml:space="preserve">- </w:t>
      </w:r>
      <w:r w:rsidRPr="00082C78">
        <w:rPr>
          <w:rFonts w:ascii="David" w:eastAsia="Calibri" w:hAnsi="David"/>
          <w:sz w:val="24"/>
          <w:rtl/>
        </w:rPr>
        <w:t>כולם חייבים לפעול בהתאם לחוק. בהתאם לעיקרון זה, המשטרה</w:t>
      </w:r>
      <w:r w:rsidRPr="00082C78">
        <w:rPr>
          <w:rFonts w:ascii="David" w:eastAsia="Calibri" w:hAnsi="David" w:hint="cs"/>
          <w:sz w:val="24"/>
          <w:rtl/>
        </w:rPr>
        <w:t>,</w:t>
      </w:r>
      <w:r w:rsidRPr="00082C78">
        <w:rPr>
          <w:rFonts w:ascii="David" w:eastAsia="Calibri" w:hAnsi="David"/>
          <w:sz w:val="24"/>
          <w:rtl/>
        </w:rPr>
        <w:t xml:space="preserve"> ככל רשות מינהלית, היא גוף משפטי שנוצר על ידי החוק, אין לו קיום אלא על פי החוק, היקף סמכויותי</w:t>
      </w:r>
      <w:r w:rsidRPr="00082C78">
        <w:rPr>
          <w:rFonts w:ascii="David" w:eastAsia="Calibri" w:hAnsi="David" w:hint="cs"/>
          <w:sz w:val="24"/>
          <w:rtl/>
        </w:rPr>
        <w:t>ו</w:t>
      </w:r>
      <w:r w:rsidRPr="00082C78">
        <w:rPr>
          <w:rFonts w:ascii="David" w:eastAsia="Calibri" w:hAnsi="David"/>
          <w:sz w:val="24"/>
          <w:rtl/>
        </w:rPr>
        <w:t xml:space="preserve"> מוגדר על פי החוק, וכל פעולה שה</w:t>
      </w:r>
      <w:r w:rsidRPr="00082C78">
        <w:rPr>
          <w:rFonts w:ascii="David" w:eastAsia="Calibri" w:hAnsi="David" w:hint="cs"/>
          <w:sz w:val="24"/>
          <w:rtl/>
        </w:rPr>
        <w:t>וא</w:t>
      </w:r>
      <w:r w:rsidRPr="00082C78">
        <w:rPr>
          <w:rFonts w:ascii="David" w:eastAsia="Calibri" w:hAnsi="David"/>
          <w:sz w:val="24"/>
          <w:rtl/>
        </w:rPr>
        <w:t xml:space="preserve"> מבצע החורג</w:t>
      </w:r>
      <w:r w:rsidRPr="00082C78">
        <w:rPr>
          <w:rFonts w:ascii="David" w:eastAsia="Calibri" w:hAnsi="David" w:hint="cs"/>
          <w:sz w:val="24"/>
          <w:rtl/>
        </w:rPr>
        <w:t>ת</w:t>
      </w:r>
      <w:r w:rsidRPr="00082C78">
        <w:rPr>
          <w:rFonts w:ascii="David" w:eastAsia="Calibri" w:hAnsi="David"/>
          <w:sz w:val="24"/>
          <w:rtl/>
        </w:rPr>
        <w:t xml:space="preserve"> מד' אמותיו של החוק בטל</w:t>
      </w:r>
      <w:r w:rsidRPr="00082C78">
        <w:rPr>
          <w:rFonts w:ascii="David" w:eastAsia="Calibri" w:hAnsi="David" w:hint="cs"/>
          <w:sz w:val="24"/>
          <w:rtl/>
        </w:rPr>
        <w:t>ה</w:t>
      </w:r>
      <w:r w:rsidRPr="00082C78">
        <w:rPr>
          <w:rFonts w:ascii="David" w:eastAsia="Calibri" w:hAnsi="David"/>
          <w:sz w:val="24"/>
          <w:rtl/>
        </w:rPr>
        <w:t xml:space="preserve"> ומבוטל</w:t>
      </w:r>
      <w:r w:rsidRPr="00082C78">
        <w:rPr>
          <w:rFonts w:ascii="David" w:eastAsia="Calibri" w:hAnsi="David" w:hint="cs"/>
          <w:sz w:val="24"/>
          <w:rtl/>
        </w:rPr>
        <w:t>ת</w:t>
      </w:r>
      <w:r w:rsidRPr="00082C78">
        <w:rPr>
          <w:rFonts w:ascii="David" w:eastAsia="Calibri" w:hAnsi="David"/>
          <w:sz w:val="24"/>
          <w:vertAlign w:val="superscript"/>
          <w:rtl/>
        </w:rPr>
        <w:footnoteReference w:id="34"/>
      </w:r>
      <w:r w:rsidRPr="00082C78">
        <w:rPr>
          <w:rFonts w:ascii="David" w:eastAsia="Calibri" w:hAnsi="David"/>
          <w:sz w:val="24"/>
          <w:rtl/>
        </w:rPr>
        <w:t>. עיקרון זה של שלטון החוק גובר על אינטרסים ציבוריים אחרים ואף גובר על האינטרס הביטחוני</w:t>
      </w:r>
      <w:r w:rsidRPr="00082C78">
        <w:rPr>
          <w:rFonts w:ascii="David" w:eastAsia="Calibri" w:hAnsi="David"/>
          <w:sz w:val="24"/>
          <w:vertAlign w:val="superscript"/>
          <w:rtl/>
        </w:rPr>
        <w:footnoteReference w:id="35"/>
      </w:r>
      <w:r w:rsidRPr="00082C78">
        <w:rPr>
          <w:rFonts w:ascii="David" w:eastAsia="Calibri" w:hAnsi="David"/>
          <w:sz w:val="24"/>
          <w:rtl/>
        </w:rPr>
        <w:t xml:space="preserve">. </w:t>
      </w:r>
      <w:r w:rsidRPr="00082C78">
        <w:rPr>
          <w:rFonts w:ascii="David" w:eastAsia="Calibri" w:hAnsi="David" w:hint="cs"/>
          <w:sz w:val="24"/>
          <w:rtl/>
        </w:rPr>
        <w:t xml:space="preserve">עקרון שלטון החוק ועקרון חוקיות המינהל מחייבים להסדיר בחקיקה את סמכויות המשטרה להשתמש בכלים הטכנולוגיים המגלמים את רמת הפגיעה המשמעותית והעמוקה ביותר בזכויות האדם, בדגש על הזכות לפרטיות. </w:t>
      </w:r>
      <w:bookmarkEnd w:id="70"/>
    </w:p>
    <w:p w:rsidR="0013734E" w:rsidRDefault="0013734E" w:rsidP="00604C3D">
      <w:pPr>
        <w:spacing w:line="269" w:lineRule="auto"/>
        <w:ind w:left="-2"/>
        <w:rPr>
          <w:rFonts w:ascii="David" w:eastAsia="Calibri" w:hAnsi="David"/>
          <w:sz w:val="16"/>
          <w:szCs w:val="16"/>
          <w:rtl/>
        </w:rPr>
      </w:pPr>
    </w:p>
    <w:p w:rsidR="00082C78" w:rsidRDefault="00082C78" w:rsidP="00604C3D">
      <w:pPr>
        <w:spacing w:line="269" w:lineRule="auto"/>
        <w:ind w:left="-2"/>
        <w:rPr>
          <w:rFonts w:ascii="David" w:eastAsia="Calibri" w:hAnsi="David"/>
          <w:sz w:val="24"/>
          <w:rtl/>
        </w:rPr>
      </w:pPr>
      <w:r w:rsidRPr="00082C78">
        <w:rPr>
          <w:rFonts w:ascii="David" w:eastAsia="Calibri" w:hAnsi="David" w:hint="cs"/>
          <w:sz w:val="24"/>
          <w:rtl/>
        </w:rPr>
        <w:t xml:space="preserve">חוק האזנת סתר </w:t>
      </w:r>
      <w:r w:rsidRPr="00082C78">
        <w:rPr>
          <w:rFonts w:ascii="David" w:eastAsia="Calibri" w:hAnsi="David"/>
          <w:sz w:val="24"/>
          <w:rtl/>
        </w:rPr>
        <w:t xml:space="preserve">נועד להגן על </w:t>
      </w:r>
      <w:r w:rsidRPr="00082C78">
        <w:rPr>
          <w:rFonts w:ascii="David" w:eastAsia="Calibri" w:hAnsi="David" w:hint="cs"/>
          <w:sz w:val="24"/>
          <w:rtl/>
        </w:rPr>
        <w:t>ה</w:t>
      </w:r>
      <w:r w:rsidRPr="00082C78">
        <w:rPr>
          <w:rFonts w:ascii="David" w:eastAsia="Calibri" w:hAnsi="David"/>
          <w:sz w:val="24"/>
          <w:rtl/>
        </w:rPr>
        <w:t xml:space="preserve">אדם מפני פגיעה בפרטיותו </w:t>
      </w:r>
      <w:r w:rsidRPr="00082C78">
        <w:rPr>
          <w:rFonts w:ascii="David" w:eastAsia="Calibri" w:hAnsi="David" w:hint="cs"/>
          <w:sz w:val="24"/>
          <w:rtl/>
        </w:rPr>
        <w:t>באמצעות</w:t>
      </w:r>
      <w:r w:rsidRPr="00082C78">
        <w:rPr>
          <w:rFonts w:ascii="David" w:eastAsia="Calibri" w:hAnsi="David"/>
          <w:sz w:val="24"/>
          <w:rtl/>
        </w:rPr>
        <w:t xml:space="preserve"> האזנה לשיחותיו ללא ידיעתו. לצד זאת החוק קובע חריגים לאיסור המתירים למשטרה לבצע האזנות סתר </w:t>
      </w:r>
      <w:r w:rsidRPr="00082C78">
        <w:rPr>
          <w:rFonts w:ascii="David" w:eastAsia="Calibri" w:hAnsi="David" w:hint="cs"/>
          <w:sz w:val="24"/>
          <w:rtl/>
        </w:rPr>
        <w:t>ולקבל</w:t>
      </w:r>
      <w:r w:rsidRPr="00082C78">
        <w:rPr>
          <w:rFonts w:ascii="David" w:eastAsia="Calibri" w:hAnsi="David"/>
          <w:sz w:val="24"/>
          <w:rtl/>
        </w:rPr>
        <w:t xml:space="preserve"> נתוני תקשורת בנסיבות שבהן הפגיעה בזכות לפרטיות מוצדקת לשם הגנה על הציבור או על ב</w:t>
      </w:r>
      <w:r w:rsidRPr="00082C78">
        <w:rPr>
          <w:rFonts w:ascii="David" w:eastAsia="Calibri" w:hAnsi="David" w:hint="cs"/>
          <w:sz w:val="24"/>
          <w:rtl/>
        </w:rPr>
        <w:t>י</w:t>
      </w:r>
      <w:r w:rsidRPr="00082C78">
        <w:rPr>
          <w:rFonts w:ascii="David" w:eastAsia="Calibri" w:hAnsi="David"/>
          <w:sz w:val="24"/>
          <w:rtl/>
        </w:rPr>
        <w:t>טחון המדינה.</w:t>
      </w:r>
      <w:r w:rsidRPr="00082C78">
        <w:rPr>
          <w:rFonts w:ascii="David" w:eastAsia="Calibri" w:hAnsi="David" w:hint="cs"/>
          <w:sz w:val="24"/>
          <w:rtl/>
        </w:rPr>
        <w:t xml:space="preserve"> החוק תוקן בשנת 1995 לעניין תחום התקשורת בין מחשבים אולם הוא אינו נותן מענה לכלל ההיבטים הייחודיים הנובעים מהשינויים הטכנולוגיים המהירים המתרחשים בתחום זה. על הפער שבין המצב החקיקתי לבין קצב התפתחות הטכנולוגיה עמד בית המשפט העליון: "המשפט משתרך -</w:t>
      </w:r>
      <w:r w:rsidR="001429B8">
        <w:rPr>
          <w:rFonts w:ascii="David" w:eastAsia="Calibri" w:hAnsi="David" w:hint="cs"/>
          <w:sz w:val="24"/>
          <w:rtl/>
        </w:rPr>
        <w:t xml:space="preserve"> </w:t>
      </w:r>
      <w:r w:rsidRPr="00082C78">
        <w:rPr>
          <w:rFonts w:ascii="David" w:eastAsia="Calibri" w:hAnsi="David" w:hint="cs"/>
          <w:sz w:val="24"/>
          <w:rtl/>
        </w:rPr>
        <w:t>הולך לו בעקבות חידושי המדע והטכנולוגיה. כך היה בעבר, כך הוא בימינו, וכך יהיה בימים יבואו. פיגור זה שבזמן טבוע במהותם של דברים"</w:t>
      </w:r>
      <w:r w:rsidRPr="00082C78">
        <w:rPr>
          <w:rFonts w:ascii="David" w:eastAsia="Calibri" w:hAnsi="David"/>
          <w:sz w:val="24"/>
          <w:vertAlign w:val="superscript"/>
          <w:rtl/>
        </w:rPr>
        <w:footnoteReference w:id="36"/>
      </w:r>
      <w:r w:rsidRPr="00082C78">
        <w:rPr>
          <w:rFonts w:ascii="David" w:eastAsia="Calibri" w:hAnsi="David" w:hint="cs"/>
          <w:sz w:val="24"/>
          <w:rtl/>
        </w:rPr>
        <w:t>. בפרק שיובא בסוף הדוח בנושא הסדרה חקיקתית</w:t>
      </w:r>
      <w:r w:rsidR="00382AE8">
        <w:rPr>
          <w:rFonts w:ascii="David" w:eastAsia="Calibri" w:hAnsi="David" w:hint="cs"/>
          <w:sz w:val="24"/>
          <w:rtl/>
        </w:rPr>
        <w:t xml:space="preserve"> </w:t>
      </w:r>
      <w:r w:rsidRPr="00082C78">
        <w:rPr>
          <w:rFonts w:ascii="David" w:eastAsia="Calibri" w:hAnsi="David" w:hint="cs"/>
          <w:sz w:val="24"/>
          <w:rtl/>
        </w:rPr>
        <w:t xml:space="preserve">נעמוד על התמשכות הליכי החקיקה בנושא האזנות סתר ונתוני תקשורת. </w:t>
      </w:r>
    </w:p>
    <w:p w:rsidR="00AD67B3" w:rsidRPr="00082C78" w:rsidRDefault="00AD67B3" w:rsidP="00604C3D">
      <w:pPr>
        <w:spacing w:line="269" w:lineRule="auto"/>
        <w:ind w:left="-2"/>
        <w:rPr>
          <w:rFonts w:ascii="David" w:eastAsia="Calibri" w:hAnsi="David"/>
          <w:sz w:val="24"/>
          <w:rtl/>
        </w:rPr>
      </w:pPr>
    </w:p>
    <w:p w:rsidR="00082C78" w:rsidRPr="00082C78" w:rsidRDefault="00082C78" w:rsidP="00604C3D">
      <w:pPr>
        <w:spacing w:line="269" w:lineRule="auto"/>
        <w:ind w:left="-2"/>
        <w:contextualSpacing/>
        <w:rPr>
          <w:rFonts w:ascii="David" w:eastAsia="Calibri" w:hAnsi="David"/>
          <w:sz w:val="24"/>
          <w:rtl/>
        </w:rPr>
      </w:pPr>
      <w:bookmarkStart w:id="72" w:name="_Hlk148003062"/>
      <w:bookmarkStart w:id="73" w:name="_Hlk147931532"/>
      <w:bookmarkStart w:id="74" w:name="_Hlk147748693"/>
      <w:r w:rsidRPr="00082C78">
        <w:rPr>
          <w:rFonts w:ascii="David" w:eastAsia="Calibri" w:hAnsi="David" w:hint="cs"/>
          <w:b/>
          <w:bCs/>
          <w:sz w:val="24"/>
          <w:rtl/>
        </w:rPr>
        <w:t>בעשור האחרון המשטרה רכשה ופיתחה בעבודתה שורה ארוכה של כלים טכנולוגיים בעלי יכולות חדשניות ומהפכניות ובעלי פוטנציאל פגיעה דרמטי בזכויות הפרט ובזכות לפרטיות. השימוש בכלים אלו התאפשר בהתאם לתשתית חקיקתית קיימת, ישנה ובלתי מתאימה.</w:t>
      </w:r>
      <w:bookmarkEnd w:id="72"/>
      <w:bookmarkEnd w:id="73"/>
      <w:r w:rsidRPr="00082C78">
        <w:rPr>
          <w:rFonts w:ascii="David" w:eastAsia="Calibri" w:hAnsi="David" w:hint="cs"/>
          <w:b/>
          <w:bCs/>
          <w:sz w:val="24"/>
          <w:rtl/>
        </w:rPr>
        <w:t xml:space="preserve"> </w:t>
      </w:r>
    </w:p>
    <w:p w:rsidR="00082C78" w:rsidRPr="00082C78" w:rsidRDefault="00082C78" w:rsidP="00604C3D">
      <w:pPr>
        <w:spacing w:line="269" w:lineRule="auto"/>
        <w:ind w:left="-2"/>
        <w:contextualSpacing/>
        <w:rPr>
          <w:rFonts w:ascii="David" w:eastAsia="Calibri" w:hAnsi="David"/>
          <w:sz w:val="24"/>
          <w:rtl/>
        </w:rPr>
      </w:pPr>
    </w:p>
    <w:p w:rsidR="00082C78" w:rsidRPr="00082C78" w:rsidRDefault="00082C78" w:rsidP="00604C3D">
      <w:pPr>
        <w:spacing w:line="269" w:lineRule="auto"/>
        <w:ind w:left="-2"/>
        <w:contextualSpacing/>
        <w:rPr>
          <w:rFonts w:ascii="David" w:eastAsia="Calibri" w:hAnsi="David"/>
          <w:sz w:val="24"/>
          <w:rtl/>
        </w:rPr>
      </w:pPr>
      <w:r w:rsidRPr="00082C78">
        <w:rPr>
          <w:rFonts w:ascii="David" w:eastAsia="Calibri" w:hAnsi="David" w:hint="cs"/>
          <w:sz w:val="24"/>
          <w:rtl/>
        </w:rPr>
        <w:t>המשטרה כתבה בתשובתה כי היא פועלת לקידום חקיקה שתיתן מענה לעולם הטכנולוגי המתחדש אולם בו-זמנית היא נאלצת לפעול במסגרת הנורמטיבית הקיימת. עוד כתבה המשטרה כי כאשר היו חריגות בהפעלת הכלים הטכנולוגיים, היא עשתה ככל יכולתה והבנתה באותה העת לפעול במסגרת הסמכות החוקית הקיימת.</w:t>
      </w:r>
    </w:p>
    <w:bookmarkEnd w:id="74"/>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Pr>
      </w:pPr>
      <w:r w:rsidRPr="00082C78">
        <w:rPr>
          <w:rFonts w:ascii="David" w:eastAsia="Calibri" w:hAnsi="David" w:hint="cs"/>
          <w:sz w:val="24"/>
          <w:rtl/>
        </w:rPr>
        <w:t xml:space="preserve">המציאות כאמור בכל הנוגע לשימוש בכלים טכנולוגיים שעושה המשטרה בכפוף להסדרה החוקית הקיימת חייבה מתן מענה </w:t>
      </w:r>
      <w:bookmarkStart w:id="75" w:name="_Hlk181187719"/>
      <w:r w:rsidRPr="00082C78">
        <w:rPr>
          <w:rFonts w:ascii="David" w:eastAsia="Calibri" w:hAnsi="David" w:hint="cs"/>
          <w:sz w:val="24"/>
          <w:rtl/>
        </w:rPr>
        <w:t>בדרך של חוות דעת משפטית שבמסגרתה התקיימו הליכי בחינה ואישור מפורטים של השימוש בכלים טכנולוגיים חדשים בידי גורם משפטי בכיר</w:t>
      </w:r>
      <w:bookmarkEnd w:id="75"/>
      <w:r w:rsidRPr="00082C78">
        <w:rPr>
          <w:rFonts w:ascii="David" w:eastAsia="Calibri" w:hAnsi="David" w:hint="cs"/>
          <w:sz w:val="24"/>
          <w:rtl/>
        </w:rPr>
        <w:t>. בחינה ואישור כאמור אמורים להבטיח בין היתר ניתוח והתעמקות לגבי ההיבטים שלהלן: (א) ההיבט הטכנולוגי</w:t>
      </w:r>
      <w:r w:rsidRPr="00082C78">
        <w:rPr>
          <w:rFonts w:ascii="David" w:eastAsia="Calibri" w:hAnsi="David"/>
          <w:sz w:val="24"/>
          <w:vertAlign w:val="superscript"/>
          <w:rtl/>
        </w:rPr>
        <w:footnoteReference w:id="37"/>
      </w:r>
      <w:r w:rsidRPr="00082C78">
        <w:rPr>
          <w:rFonts w:ascii="David" w:eastAsia="Calibri" w:hAnsi="David" w:hint="cs"/>
          <w:sz w:val="24"/>
          <w:rtl/>
        </w:rPr>
        <w:t xml:space="preserve"> (כיצד פועל הכלי שבו המשטרה משתמשת); (ב) ניתוח מהות התוצרים שמקורם בכלי; (ג) הבנת הצרכים האכיפתיים והמבצעיים; (ד) ניתוח משפטי של הפגיעה בזכויות האדם הנובעת משימוש בכלי הטכנולוגי לרבות זכויות נאשמים; (ה) סיכום האיזון המשפטי בין הצרכים האכיפתיים והמבצעיים לבין פגיעה בזכויות האדם הנובעת משימוש בכלי הטכנולוגי.</w:t>
      </w:r>
    </w:p>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Pr>
      </w:pPr>
      <w:r w:rsidRPr="00082C78">
        <w:rPr>
          <w:rFonts w:ascii="David" w:eastAsia="Calibri" w:hAnsi="David" w:hint="cs"/>
          <w:sz w:val="24"/>
          <w:rtl/>
        </w:rPr>
        <w:t xml:space="preserve">ככלל, ייעוץ משפטי לרשות שלטונית יינתן על ידי הייעוץ המשפטי של הרשות, ובמקרים מסוימים על היועץ המשפטי של הרשות לפנות </w:t>
      </w:r>
      <w:r w:rsidR="00100210">
        <w:rPr>
          <w:rFonts w:ascii="David" w:eastAsia="Calibri" w:hAnsi="David" w:hint="cs"/>
          <w:sz w:val="24"/>
          <w:rtl/>
        </w:rPr>
        <w:t>לגורמי הייעוץ המשפטי</w:t>
      </w:r>
      <w:r w:rsidR="00BF5AAB">
        <w:rPr>
          <w:rFonts w:ascii="David" w:eastAsia="Calibri" w:hAnsi="David" w:hint="cs"/>
          <w:sz w:val="24"/>
          <w:rtl/>
        </w:rPr>
        <w:t xml:space="preserve"> לממשלה</w:t>
      </w:r>
      <w:r w:rsidRPr="00082C78">
        <w:rPr>
          <w:rFonts w:ascii="David" w:eastAsia="Calibri" w:hAnsi="David" w:hint="cs"/>
          <w:sz w:val="24"/>
          <w:rtl/>
        </w:rPr>
        <w:t xml:space="preserve"> לקבלת הכוונה והנחיה, וזאת כדי לשמור על אחידות וקוהרנטיות משפטית של הרשות המבצעת. העקרונות הכלליים לחלוקת העבודה בין הייעוץ המשפטי של רשות שלטונית לגורמי הייעוץ המשפטי לממשלה נקבעו בהנחיית היועמ"ש לממשלה</w:t>
      </w:r>
      <w:r w:rsidRPr="00082C78">
        <w:rPr>
          <w:rFonts w:ascii="David" w:eastAsia="Calibri" w:hAnsi="David"/>
          <w:sz w:val="24"/>
          <w:vertAlign w:val="superscript"/>
          <w:rtl/>
        </w:rPr>
        <w:footnoteReference w:id="38"/>
      </w:r>
      <w:r w:rsidRPr="00082C78">
        <w:rPr>
          <w:rFonts w:ascii="David" w:eastAsia="Calibri" w:hAnsi="David" w:hint="cs"/>
          <w:sz w:val="24"/>
          <w:rtl/>
        </w:rPr>
        <w:t xml:space="preserve">. </w:t>
      </w:r>
    </w:p>
    <w:p w:rsidR="00271D14" w:rsidRDefault="00271D14" w:rsidP="00604C3D">
      <w:pPr>
        <w:spacing w:line="269" w:lineRule="auto"/>
        <w:ind w:left="-2"/>
        <w:contextualSpacing/>
        <w:rPr>
          <w:rFonts w:ascii="David" w:eastAsia="Calibri" w:hAnsi="David"/>
          <w:sz w:val="16"/>
          <w:szCs w:val="16"/>
          <w:rtl/>
        </w:rPr>
      </w:pPr>
    </w:p>
    <w:p w:rsidR="00082C78" w:rsidRPr="00082C78" w:rsidRDefault="008A39ED" w:rsidP="00604C3D">
      <w:pPr>
        <w:spacing w:line="269" w:lineRule="auto"/>
        <w:ind w:left="-2"/>
        <w:contextualSpacing/>
        <w:rPr>
          <w:rFonts w:ascii="David" w:eastAsia="Calibri" w:hAnsi="David"/>
          <w:sz w:val="24"/>
          <w:rtl/>
        </w:rPr>
      </w:pPr>
      <w:r w:rsidRPr="00082C78">
        <w:rPr>
          <w:rFonts w:ascii="David" w:eastAsia="Calibri" w:hAnsi="David" w:hint="cs"/>
          <w:sz w:val="24"/>
          <w:rtl/>
        </w:rPr>
        <w:t xml:space="preserve">הנחיית היועמ"ש לממשלה קובעת כי, ככלל, יש לשאוף לפעילות עצמאית של היועצים המשפטיים בענייני משרדיהם. עם זאת, ההנחיה קובעת אמות מידה עקרוניות למקרים שבהם יש או ניתן על היועצים המשפטיים לרשויות השלטון לפנות לגורמי הייעוץ המשפטי לממשלה, המשמשים מנחים מקצועיים של היועצים המשפטיים. הפנייה לגורמי הייעוץ המשפטי לממשלה נעשית לצורך קבלת אישור בנוגע </w:t>
      </w:r>
      <w:r w:rsidRPr="00082C78">
        <w:rPr>
          <w:rFonts w:ascii="David" w:eastAsia="Calibri" w:hAnsi="David" w:hint="eastAsia"/>
          <w:sz w:val="24"/>
          <w:rtl/>
        </w:rPr>
        <w:t>לבעיות</w:t>
      </w:r>
      <w:r w:rsidRPr="00082C78">
        <w:rPr>
          <w:rFonts w:ascii="David" w:eastAsia="Calibri" w:hAnsi="David"/>
          <w:sz w:val="24"/>
          <w:rtl/>
        </w:rPr>
        <w:t xml:space="preserve"> </w:t>
      </w:r>
      <w:r w:rsidRPr="00082C78">
        <w:rPr>
          <w:rFonts w:ascii="David" w:eastAsia="Calibri" w:hAnsi="David" w:hint="eastAsia"/>
          <w:sz w:val="24"/>
          <w:rtl/>
        </w:rPr>
        <w:t>ולנושאים</w:t>
      </w:r>
      <w:r w:rsidRPr="00082C78">
        <w:rPr>
          <w:rFonts w:ascii="David" w:eastAsia="Calibri" w:hAnsi="David"/>
          <w:sz w:val="24"/>
          <w:rtl/>
        </w:rPr>
        <w:t xml:space="preserve"> </w:t>
      </w:r>
      <w:r w:rsidRPr="00082C78">
        <w:rPr>
          <w:rFonts w:ascii="David" w:eastAsia="Calibri" w:hAnsi="David" w:hint="eastAsia"/>
          <w:sz w:val="24"/>
          <w:rtl/>
        </w:rPr>
        <w:t>בעלי</w:t>
      </w:r>
      <w:r w:rsidRPr="00082C78">
        <w:rPr>
          <w:rFonts w:ascii="David" w:eastAsia="Calibri" w:hAnsi="David"/>
          <w:sz w:val="24"/>
          <w:rtl/>
        </w:rPr>
        <w:t xml:space="preserve"> </w:t>
      </w:r>
      <w:r w:rsidRPr="00082C78">
        <w:rPr>
          <w:rFonts w:ascii="David" w:eastAsia="Calibri" w:hAnsi="David" w:hint="eastAsia"/>
          <w:sz w:val="24"/>
          <w:rtl/>
        </w:rPr>
        <w:t>רגישות</w:t>
      </w:r>
      <w:r w:rsidRPr="00082C78">
        <w:rPr>
          <w:rFonts w:ascii="David" w:eastAsia="Calibri" w:hAnsi="David"/>
          <w:sz w:val="24"/>
          <w:rtl/>
        </w:rPr>
        <w:t xml:space="preserve"> </w:t>
      </w:r>
      <w:r w:rsidRPr="00082C78">
        <w:rPr>
          <w:rFonts w:ascii="David" w:eastAsia="Calibri" w:hAnsi="David" w:hint="eastAsia"/>
          <w:sz w:val="24"/>
          <w:rtl/>
        </w:rPr>
        <w:t>מיוחדת</w:t>
      </w:r>
      <w:r w:rsidRPr="00082C78">
        <w:rPr>
          <w:rFonts w:ascii="David" w:eastAsia="Calibri" w:hAnsi="David" w:hint="cs"/>
          <w:sz w:val="24"/>
          <w:rtl/>
        </w:rPr>
        <w:t xml:space="preserve">, ציבורית או אחרת, או לצורך מענה על שאלות רוחב משמעותיות בנוגע למשרדים נוספים או שאלות </w:t>
      </w:r>
      <w:r w:rsidRPr="00082C78">
        <w:rPr>
          <w:rFonts w:ascii="David" w:eastAsia="Calibri" w:hAnsi="David" w:hint="eastAsia"/>
          <w:sz w:val="24"/>
          <w:rtl/>
        </w:rPr>
        <w:t>בעלות</w:t>
      </w:r>
      <w:r w:rsidRPr="00082C78">
        <w:rPr>
          <w:rFonts w:ascii="David" w:eastAsia="Calibri" w:hAnsi="David"/>
          <w:sz w:val="24"/>
          <w:rtl/>
        </w:rPr>
        <w:t xml:space="preserve"> </w:t>
      </w:r>
      <w:r w:rsidRPr="00082C78">
        <w:rPr>
          <w:rFonts w:ascii="David" w:eastAsia="Calibri" w:hAnsi="David" w:hint="eastAsia"/>
          <w:sz w:val="24"/>
          <w:rtl/>
        </w:rPr>
        <w:t>השלכות</w:t>
      </w:r>
      <w:r w:rsidRPr="00082C78">
        <w:rPr>
          <w:rFonts w:ascii="David" w:eastAsia="Calibri" w:hAnsi="David"/>
          <w:sz w:val="24"/>
          <w:rtl/>
        </w:rPr>
        <w:t xml:space="preserve"> </w:t>
      </w:r>
      <w:r w:rsidRPr="00082C78">
        <w:rPr>
          <w:rFonts w:ascii="David" w:eastAsia="Calibri" w:hAnsi="David" w:hint="eastAsia"/>
          <w:sz w:val="24"/>
          <w:rtl/>
        </w:rPr>
        <w:t>בתחומי</w:t>
      </w:r>
      <w:r w:rsidRPr="00082C78">
        <w:rPr>
          <w:rFonts w:ascii="David" w:eastAsia="Calibri" w:hAnsi="David"/>
          <w:sz w:val="24"/>
          <w:rtl/>
        </w:rPr>
        <w:t xml:space="preserve"> </w:t>
      </w:r>
      <w:r w:rsidRPr="00082C78">
        <w:rPr>
          <w:rFonts w:ascii="David" w:eastAsia="Calibri" w:hAnsi="David" w:hint="eastAsia"/>
          <w:sz w:val="24"/>
          <w:rtl/>
        </w:rPr>
        <w:t>העונשין</w:t>
      </w:r>
      <w:r w:rsidRPr="00082C78">
        <w:rPr>
          <w:rFonts w:ascii="David" w:eastAsia="Calibri" w:hAnsi="David"/>
          <w:sz w:val="24"/>
          <w:vertAlign w:val="superscript"/>
          <w:rtl/>
        </w:rPr>
        <w:footnoteReference w:id="39"/>
      </w:r>
      <w:r w:rsidRPr="00082C78">
        <w:rPr>
          <w:rFonts w:ascii="David" w:eastAsia="Calibri" w:hAnsi="David"/>
          <w:sz w:val="24"/>
          <w:rtl/>
        </w:rPr>
        <w:t>.</w:t>
      </w:r>
    </w:p>
    <w:p w:rsidR="00082C78" w:rsidRDefault="00082C78"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Pr>
      </w:pPr>
      <w:r w:rsidRPr="00082C78">
        <w:rPr>
          <w:rFonts w:ascii="David" w:eastAsia="Calibri" w:hAnsi="David" w:hint="cs"/>
          <w:sz w:val="24"/>
          <w:rtl/>
        </w:rPr>
        <w:t>מנוסח ההנחיה האמורה של היועמ"שית לממשלה ניתן ללמוד כי במקרים של כלים טכנולוגיים שלשימוש בהם יש פוטנציאל לחריגה מסמכות או שהם מעוררים שאלות מהותיות של פגיעה בזכויות חוקתיות, ובהינתן האתגרים שמציבות ההתפתחויות הטכנולוגיות החדשות אל מול החקיקה הקיימת</w:t>
      </w:r>
      <w:r w:rsidRPr="00082C78">
        <w:rPr>
          <w:rFonts w:ascii="David" w:eastAsia="Calibri" w:hAnsi="David"/>
          <w:sz w:val="24"/>
          <w:vertAlign w:val="superscript"/>
          <w:rtl/>
        </w:rPr>
        <w:footnoteReference w:id="40"/>
      </w:r>
      <w:r w:rsidRPr="00082C78">
        <w:rPr>
          <w:rFonts w:ascii="David" w:eastAsia="Calibri" w:hAnsi="David" w:hint="cs"/>
          <w:sz w:val="24"/>
          <w:rtl/>
        </w:rPr>
        <w:t>,</w:t>
      </w:r>
      <w:r w:rsidR="00382AE8">
        <w:rPr>
          <w:rFonts w:ascii="David" w:eastAsia="Calibri" w:hAnsi="David" w:hint="cs"/>
          <w:sz w:val="24"/>
          <w:rtl/>
        </w:rPr>
        <w:t xml:space="preserve"> </w:t>
      </w:r>
      <w:r w:rsidRPr="00082C78">
        <w:rPr>
          <w:rFonts w:ascii="David" w:eastAsia="Calibri" w:hAnsi="David" w:hint="cs"/>
          <w:sz w:val="24"/>
          <w:rtl/>
        </w:rPr>
        <w:t xml:space="preserve">היה מקום שהייעוץ המשפטי למשטרה יפנה </w:t>
      </w:r>
      <w:r w:rsidR="00685EBB">
        <w:rPr>
          <w:rFonts w:ascii="David" w:eastAsia="Calibri" w:hAnsi="David" w:hint="cs"/>
          <w:sz w:val="24"/>
          <w:rtl/>
        </w:rPr>
        <w:t>לייעוץ המשפטי לממשלה</w:t>
      </w:r>
      <w:r w:rsidRPr="00082C78">
        <w:rPr>
          <w:rFonts w:ascii="David" w:eastAsia="Calibri" w:hAnsi="David" w:hint="cs"/>
          <w:sz w:val="24"/>
          <w:rtl/>
        </w:rPr>
        <w:t xml:space="preserve"> לשם קבלת אישור מהיועץ המשפטי לממשלה. מסקנה זו נשענת על שני עוגנים:</w:t>
      </w:r>
      <w:r w:rsidRPr="00082C78">
        <w:rPr>
          <w:rFonts w:ascii="David" w:eastAsia="Calibri" w:hAnsi="David" w:hint="cs"/>
          <w:sz w:val="24"/>
        </w:rPr>
        <w:t xml:space="preserve"> </w:t>
      </w:r>
    </w:p>
    <w:p w:rsidR="00271D14" w:rsidRPr="00271D14" w:rsidRDefault="00271D14" w:rsidP="00604C3D">
      <w:pPr>
        <w:spacing w:line="269" w:lineRule="auto"/>
        <w:ind w:left="382"/>
        <w:rPr>
          <w:rFonts w:ascii="David" w:eastAsia="Calibri" w:hAnsi="David"/>
          <w:sz w:val="24"/>
        </w:rPr>
      </w:pPr>
    </w:p>
    <w:p w:rsidR="00271D14" w:rsidRPr="00D23DF8" w:rsidRDefault="00082C78" w:rsidP="008C598D">
      <w:pPr>
        <w:pStyle w:val="af2"/>
        <w:numPr>
          <w:ilvl w:val="0"/>
          <w:numId w:val="68"/>
        </w:numPr>
        <w:spacing w:line="269" w:lineRule="auto"/>
        <w:rPr>
          <w:rFonts w:ascii="David" w:eastAsia="Calibri" w:hAnsi="David"/>
          <w:sz w:val="24"/>
        </w:rPr>
      </w:pPr>
      <w:r w:rsidRPr="00910E19">
        <w:rPr>
          <w:rFonts w:ascii="David" w:eastAsia="Calibri" w:hAnsi="David" w:hint="cs"/>
          <w:sz w:val="24"/>
          <w:rtl/>
        </w:rPr>
        <w:t>השימוש של המשטרה בכלים טכנולוגיים במסגרת הליכי אכיפה, ובעיקר בכלים שיש להם יכולות שעלולות להוות חריגה מסמכות, הוא נושא שבמהותו הוא בעל רגישות מיוחדת, והוא מגלם ס</w:t>
      </w:r>
      <w:r w:rsidRPr="00910E19">
        <w:rPr>
          <w:rFonts w:ascii="David" w:eastAsia="Calibri" w:hAnsi="David"/>
          <w:sz w:val="24"/>
          <w:rtl/>
        </w:rPr>
        <w:t xml:space="preserve">וגיות משפטיות עקרוניות </w:t>
      </w:r>
      <w:r w:rsidRPr="00910E19">
        <w:rPr>
          <w:rFonts w:ascii="David" w:eastAsia="Calibri" w:hAnsi="David" w:hint="cs"/>
          <w:sz w:val="24"/>
          <w:rtl/>
        </w:rPr>
        <w:t>ו</w:t>
      </w:r>
      <w:r w:rsidRPr="00910E19">
        <w:rPr>
          <w:rFonts w:ascii="David" w:eastAsia="Calibri" w:hAnsi="David"/>
          <w:sz w:val="24"/>
          <w:rtl/>
        </w:rPr>
        <w:t xml:space="preserve">סבוכות </w:t>
      </w:r>
      <w:r w:rsidRPr="00910E19">
        <w:rPr>
          <w:rFonts w:ascii="David" w:eastAsia="Calibri" w:hAnsi="David" w:hint="cs"/>
          <w:sz w:val="24"/>
          <w:rtl/>
        </w:rPr>
        <w:t>ש</w:t>
      </w:r>
      <w:r w:rsidRPr="00910E19">
        <w:rPr>
          <w:rFonts w:ascii="David" w:eastAsia="Calibri" w:hAnsi="David"/>
          <w:sz w:val="24"/>
          <w:rtl/>
        </w:rPr>
        <w:t>נוגעות ל</w:t>
      </w:r>
      <w:r w:rsidRPr="00910E19">
        <w:rPr>
          <w:rFonts w:ascii="David" w:eastAsia="Calibri" w:hAnsi="David" w:hint="cs"/>
          <w:sz w:val="24"/>
          <w:rtl/>
        </w:rPr>
        <w:t>כמה</w:t>
      </w:r>
      <w:r w:rsidRPr="00910E19">
        <w:rPr>
          <w:rFonts w:ascii="David" w:eastAsia="Calibri" w:hAnsi="David"/>
          <w:sz w:val="24"/>
          <w:rtl/>
        </w:rPr>
        <w:t xml:space="preserve"> תחומים משפטיים ובהם המפגש בין האזנ</w:t>
      </w:r>
      <w:r w:rsidRPr="00910E19">
        <w:rPr>
          <w:rFonts w:ascii="David" w:eastAsia="Calibri" w:hAnsi="David" w:hint="cs"/>
          <w:sz w:val="24"/>
          <w:rtl/>
        </w:rPr>
        <w:t>ו</w:t>
      </w:r>
      <w:r w:rsidRPr="00910E19">
        <w:rPr>
          <w:rFonts w:ascii="David" w:eastAsia="Calibri" w:hAnsi="David"/>
          <w:sz w:val="24"/>
          <w:rtl/>
        </w:rPr>
        <w:t>ת סתר, סמכויות חיפוש ופגיעה בזכויות יסוד</w:t>
      </w:r>
      <w:r w:rsidRPr="00910E19">
        <w:rPr>
          <w:rFonts w:ascii="David" w:eastAsia="Calibri" w:hAnsi="David" w:hint="cs"/>
          <w:sz w:val="24"/>
          <w:rtl/>
        </w:rPr>
        <w:t xml:space="preserve">. </w:t>
      </w:r>
    </w:p>
    <w:p w:rsidR="00082C78" w:rsidRPr="00082C78" w:rsidRDefault="00082C78" w:rsidP="008C598D">
      <w:pPr>
        <w:pStyle w:val="af2"/>
        <w:numPr>
          <w:ilvl w:val="0"/>
          <w:numId w:val="68"/>
        </w:numPr>
        <w:spacing w:line="269" w:lineRule="auto"/>
        <w:rPr>
          <w:rFonts w:ascii="David" w:eastAsia="Calibri" w:hAnsi="David"/>
          <w:sz w:val="24"/>
          <w:rtl/>
        </w:rPr>
      </w:pPr>
      <w:r w:rsidRPr="00082C78">
        <w:rPr>
          <w:rFonts w:ascii="David" w:eastAsia="Calibri" w:hAnsi="David" w:hint="cs"/>
          <w:sz w:val="24"/>
          <w:rtl/>
        </w:rPr>
        <w:t xml:space="preserve">להפעלת הכלים </w:t>
      </w:r>
      <w:r w:rsidR="000B27FA">
        <w:rPr>
          <w:rFonts w:ascii="David" w:eastAsia="Calibri" w:hAnsi="David" w:hint="cs"/>
          <w:sz w:val="24"/>
          <w:rtl/>
        </w:rPr>
        <w:t>הטכנולוגיים</w:t>
      </w:r>
      <w:r w:rsidR="000B27FA" w:rsidRPr="00082C78">
        <w:rPr>
          <w:rFonts w:ascii="David" w:eastAsia="Calibri" w:hAnsi="David" w:hint="cs"/>
          <w:sz w:val="24"/>
          <w:rtl/>
        </w:rPr>
        <w:t xml:space="preserve"> </w:t>
      </w:r>
      <w:r w:rsidRPr="00082C78">
        <w:rPr>
          <w:rFonts w:ascii="David" w:eastAsia="Calibri" w:hAnsi="David" w:hint="cs"/>
          <w:sz w:val="24"/>
          <w:rtl/>
        </w:rPr>
        <w:t xml:space="preserve">הללו עלולות להיות </w:t>
      </w:r>
      <w:r w:rsidRPr="00082C78">
        <w:rPr>
          <w:rFonts w:ascii="David" w:eastAsia="Calibri" w:hAnsi="David"/>
          <w:sz w:val="24"/>
          <w:rtl/>
        </w:rPr>
        <w:t>הש</w:t>
      </w:r>
      <w:r w:rsidRPr="00082C78">
        <w:rPr>
          <w:rFonts w:ascii="David" w:eastAsia="Calibri" w:hAnsi="David" w:hint="cs"/>
          <w:sz w:val="24"/>
          <w:rtl/>
        </w:rPr>
        <w:t>לכות</w:t>
      </w:r>
      <w:r w:rsidRPr="00082C78">
        <w:rPr>
          <w:rFonts w:ascii="David" w:eastAsia="Calibri" w:hAnsi="David"/>
          <w:sz w:val="24"/>
          <w:rtl/>
        </w:rPr>
        <w:t xml:space="preserve"> מהמעלה הראשונה בתחומי העונשין. </w:t>
      </w:r>
    </w:p>
    <w:p w:rsidR="00082C78" w:rsidRPr="00082C78" w:rsidRDefault="00082C78" w:rsidP="00604C3D">
      <w:pPr>
        <w:spacing w:line="269" w:lineRule="auto"/>
        <w:rPr>
          <w:rFonts w:ascii="David" w:eastAsia="Calibri" w:hAnsi="David"/>
          <w:sz w:val="24"/>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בתשובת המשטרה נכתב כי הציפייה העולה מהביקורת שכל פעולה תובא לאישור גורמי הייעוץ המשפטי לממשלה מרוקנת מתוכן את תפקידם של היועצים המשפטיים בתוך המשטרה ואינה עולה בקנה אחד עם הנחיית היועמ"ש לממשלה. לשיטתה אין היא צריכה לפנות לאישור גורמי הייעוץ המשפטי לממשלה בכל כלי טכנולוגי ובכל פעולה. הציפייה שכך ייעשה - אין לה בסיס, היא בלתי סבירה ואינה ישימה, וכאשר היא נוקטת פעולה מכוח החוק, לא דרוש לדעתה אישור מהייעוץ המשפטי לממשלה אלא אם כן סבר הייעוץ המשפטי למשטרה אחרת.</w:t>
      </w:r>
    </w:p>
    <w:p w:rsidR="00082C78" w:rsidRPr="00082C78" w:rsidRDefault="00082C78" w:rsidP="00604C3D">
      <w:pPr>
        <w:spacing w:line="269" w:lineRule="auto"/>
        <w:rPr>
          <w:rFonts w:ascii="David" w:eastAsia="Calibri" w:hAnsi="David"/>
          <w:sz w:val="24"/>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 xml:space="preserve">עוד כתבה המשטרה בתשובתה כי הביקורת בוחנת פעולות שנעשו לפני שנים רבות, משנת מיסודה של חטיבת הסיגינט בשנת 2008, במשקפיים של שנת 2024 ובהתאם לידוע היום בנוגע להיקף המידע והטכנולוגיות שלא היה ידוע בשעתו בעת מתן האישורים המשפטיים. לתפיסתה, המשטרה פעלה מתוך מחשבה שהאישורים שניתנו עולים בקנה אחד עם החוק ובמסגרת המותר בחוק האזנת סתר, ולכן אינם מעוררים סוגיות משפטיות בעלות רגישות מיוחדת המצדיקות את אישורי היועמ"ש לממשלה מבעוד מועד. לאורך שנים היא פעלה בשקיפות מלאה מול משרד המשפטים והפרקליטות כאשר עלו סוגיות מורכבות, והייעוץ המשפטי למשטרה פעל מול משרד המשפטים לקבלת אישורם. </w:t>
      </w:r>
    </w:p>
    <w:p w:rsidR="00082C78" w:rsidRPr="00082C78" w:rsidRDefault="00082C78" w:rsidP="00604C3D">
      <w:pPr>
        <w:spacing w:line="269" w:lineRule="auto"/>
        <w:rPr>
          <w:rFonts w:ascii="David" w:eastAsia="Calibri" w:hAnsi="David"/>
          <w:sz w:val="24"/>
          <w:rtl/>
        </w:rPr>
      </w:pPr>
    </w:p>
    <w:p w:rsidR="00082C78" w:rsidRPr="00082C78" w:rsidRDefault="00082C78" w:rsidP="00604C3D">
      <w:pPr>
        <w:spacing w:line="269" w:lineRule="auto"/>
        <w:rPr>
          <w:rFonts w:ascii="David" w:eastAsia="Calibri" w:hAnsi="David"/>
          <w:sz w:val="24"/>
          <w:rtl/>
        </w:rPr>
      </w:pPr>
      <w:bookmarkStart w:id="76" w:name="_Hlk190089101"/>
      <w:r w:rsidRPr="00082C78">
        <w:rPr>
          <w:rFonts w:ascii="David" w:eastAsia="Calibri" w:hAnsi="David" w:hint="cs"/>
          <w:sz w:val="24"/>
          <w:rtl/>
        </w:rPr>
        <w:t xml:space="preserve">בתשובות משרד המשפטים נכתב כי נוסח ההנחיה אינו מוביל למסקנה הגורפת כי בהיעדר הסדרה חקיקתית מפורשת נדרש היה להביא לאישור הייעוץ המשפטי לממשלה כל כלי טכנולוגי ששימש להאזנת סתר ולאיסוף נתוני תקשורת. </w:t>
      </w:r>
      <w:r w:rsidRPr="00082C78">
        <w:rPr>
          <w:rFonts w:ascii="David" w:eastAsia="Calibri" w:hAnsi="David"/>
          <w:sz w:val="24"/>
          <w:rtl/>
        </w:rPr>
        <w:t xml:space="preserve">אימוץ תפיסה כללית וגורפת </w:t>
      </w:r>
      <w:r w:rsidRPr="00082C78">
        <w:rPr>
          <w:rFonts w:ascii="David" w:eastAsia="Calibri" w:hAnsi="David" w:hint="cs"/>
          <w:sz w:val="24"/>
          <w:rtl/>
        </w:rPr>
        <w:t>של "אקטיביזם ייעוצי" ו</w:t>
      </w:r>
      <w:r w:rsidRPr="00082C78">
        <w:rPr>
          <w:rFonts w:ascii="David" w:eastAsia="Calibri" w:hAnsi="David"/>
          <w:sz w:val="24"/>
          <w:rtl/>
        </w:rPr>
        <w:t>לפיה האחריות השוטפת לאישור כלים טכנולוגיים מוטלת מלכתחילה על הייעוץ המשפטי לממשלה חסרה כל בסיס בדין, לרבות בחוק האזנת</w:t>
      </w:r>
      <w:r w:rsidRPr="00082C78">
        <w:rPr>
          <w:rFonts w:ascii="David" w:eastAsia="Calibri" w:hAnsi="David" w:hint="cs"/>
          <w:sz w:val="24"/>
          <w:rtl/>
        </w:rPr>
        <w:t xml:space="preserve"> </w:t>
      </w:r>
      <w:r w:rsidRPr="00082C78">
        <w:rPr>
          <w:rFonts w:ascii="David" w:eastAsia="Calibri" w:hAnsi="David"/>
          <w:sz w:val="24"/>
          <w:rtl/>
        </w:rPr>
        <w:t>סתר</w:t>
      </w:r>
      <w:r w:rsidRPr="00082C78">
        <w:rPr>
          <w:rFonts w:ascii="David" w:eastAsia="Calibri" w:hAnsi="David" w:hint="cs"/>
          <w:sz w:val="24"/>
          <w:rtl/>
        </w:rPr>
        <w:t xml:space="preserve">. </w:t>
      </w:r>
      <w:r w:rsidRPr="00082C78">
        <w:rPr>
          <w:rFonts w:ascii="David" w:eastAsia="Calibri" w:hAnsi="David"/>
          <w:sz w:val="24"/>
          <w:rtl/>
        </w:rPr>
        <w:t>אימוצה משמעו</w:t>
      </w:r>
      <w:r w:rsidRPr="00082C78">
        <w:rPr>
          <w:rFonts w:ascii="David" w:eastAsia="Calibri" w:hAnsi="David" w:hint="cs"/>
          <w:sz w:val="24"/>
          <w:rtl/>
        </w:rPr>
        <w:t xml:space="preserve"> החלפת היועצים המשפטיים של משרדי הממשלה דה פקטו</w:t>
      </w:r>
      <w:r w:rsidRPr="00082C78">
        <w:rPr>
          <w:rFonts w:ascii="David" w:eastAsia="Calibri" w:hAnsi="David"/>
          <w:sz w:val="24"/>
          <w:rtl/>
        </w:rPr>
        <w:t xml:space="preserve"> </w:t>
      </w:r>
      <w:r w:rsidRPr="00082C78">
        <w:rPr>
          <w:rFonts w:ascii="David" w:eastAsia="Calibri" w:hAnsi="David" w:hint="cs"/>
          <w:sz w:val="24"/>
          <w:rtl/>
        </w:rPr>
        <w:t>ו</w:t>
      </w:r>
      <w:r w:rsidRPr="00082C78">
        <w:rPr>
          <w:rFonts w:ascii="David" w:eastAsia="Calibri" w:hAnsi="David"/>
          <w:sz w:val="24"/>
          <w:rtl/>
        </w:rPr>
        <w:t>הטלת תפקיד בעל היבטים ניהוליים ביצועיים על הייעוץ המשפטי</w:t>
      </w:r>
      <w:r w:rsidRPr="00082C78">
        <w:rPr>
          <w:rFonts w:ascii="David" w:eastAsia="Calibri" w:hAnsi="David" w:hint="cs"/>
          <w:sz w:val="24"/>
          <w:rtl/>
        </w:rPr>
        <w:t xml:space="preserve"> </w:t>
      </w:r>
      <w:r w:rsidRPr="00082C78">
        <w:rPr>
          <w:rFonts w:ascii="David" w:eastAsia="Calibri" w:hAnsi="David"/>
          <w:sz w:val="24"/>
          <w:rtl/>
        </w:rPr>
        <w:t>לממשלה</w:t>
      </w:r>
      <w:r w:rsidRPr="00082C78">
        <w:rPr>
          <w:rFonts w:ascii="David" w:eastAsia="Calibri" w:hAnsi="David" w:hint="cs"/>
          <w:sz w:val="24"/>
          <w:rtl/>
        </w:rPr>
        <w:t>. משמעות הדבר בנוגע למשטרת ישראל</w:t>
      </w:r>
      <w:r w:rsidRPr="00082C78">
        <w:rPr>
          <w:rFonts w:ascii="David" w:eastAsia="Calibri" w:hAnsi="David"/>
          <w:sz w:val="24"/>
          <w:rtl/>
        </w:rPr>
        <w:t xml:space="preserve"> </w:t>
      </w:r>
      <w:r w:rsidRPr="00082C78">
        <w:rPr>
          <w:rFonts w:ascii="David" w:eastAsia="Calibri" w:hAnsi="David" w:hint="cs"/>
          <w:sz w:val="24"/>
          <w:rtl/>
        </w:rPr>
        <w:t xml:space="preserve">היא </w:t>
      </w:r>
      <w:r w:rsidRPr="00082C78">
        <w:rPr>
          <w:rFonts w:ascii="David" w:eastAsia="Calibri" w:hAnsi="David"/>
          <w:sz w:val="24"/>
          <w:rtl/>
        </w:rPr>
        <w:t>התעלמות משרשרת הפיקוד</w:t>
      </w:r>
      <w:r w:rsidRPr="00082C78">
        <w:rPr>
          <w:rFonts w:ascii="David" w:eastAsia="Calibri" w:hAnsi="David" w:hint="cs"/>
          <w:sz w:val="24"/>
          <w:rtl/>
        </w:rPr>
        <w:t xml:space="preserve"> </w:t>
      </w:r>
      <w:r w:rsidRPr="00082C78">
        <w:rPr>
          <w:rFonts w:ascii="David" w:eastAsia="Calibri" w:hAnsi="David"/>
          <w:sz w:val="24"/>
          <w:rtl/>
        </w:rPr>
        <w:t>ובעלי התפקידים במשטרה. הדבר אינו תואם את הפרקטיקה הנוהגת של הייעוץ המשפטי</w:t>
      </w:r>
      <w:r w:rsidRPr="00082C78">
        <w:rPr>
          <w:rFonts w:ascii="David" w:eastAsia="Calibri" w:hAnsi="David" w:hint="cs"/>
          <w:sz w:val="24"/>
          <w:rtl/>
        </w:rPr>
        <w:t xml:space="preserve"> </w:t>
      </w:r>
      <w:r w:rsidRPr="00082C78">
        <w:rPr>
          <w:rFonts w:ascii="David" w:eastAsia="Calibri" w:hAnsi="David"/>
          <w:sz w:val="24"/>
          <w:rtl/>
        </w:rPr>
        <w:t>לממשלה</w:t>
      </w:r>
      <w:r w:rsidRPr="00082C78">
        <w:rPr>
          <w:rFonts w:ascii="David" w:eastAsia="Calibri" w:hAnsi="David" w:hint="cs"/>
          <w:sz w:val="24"/>
          <w:rtl/>
        </w:rPr>
        <w:t xml:space="preserve">, ולפיה </w:t>
      </w:r>
      <w:r w:rsidR="00AD4FF3">
        <w:rPr>
          <w:rFonts w:ascii="David" w:eastAsia="Calibri" w:hAnsi="David" w:hint="cs"/>
          <w:sz w:val="24"/>
          <w:rtl/>
        </w:rPr>
        <w:t>הוא</w:t>
      </w:r>
      <w:r w:rsidRPr="00082C78">
        <w:rPr>
          <w:rFonts w:ascii="David" w:eastAsia="Calibri" w:hAnsi="David" w:hint="cs"/>
          <w:sz w:val="24"/>
          <w:rtl/>
        </w:rPr>
        <w:t xml:space="preserve"> פועל בהתאם לחוות דעת מקצועיות ועל פי פניות מגורמי הממשלה הרלוונטיים. לפיכך</w:t>
      </w:r>
      <w:r w:rsidRPr="00082C78">
        <w:rPr>
          <w:rFonts w:ascii="David" w:eastAsia="Calibri" w:hAnsi="David"/>
          <w:sz w:val="24"/>
          <w:rtl/>
        </w:rPr>
        <w:t>,</w:t>
      </w:r>
      <w:r w:rsidRPr="00082C78">
        <w:rPr>
          <w:rFonts w:ascii="David" w:eastAsia="Calibri" w:hAnsi="David" w:hint="cs"/>
          <w:sz w:val="24"/>
          <w:rtl/>
        </w:rPr>
        <w:t xml:space="preserve"> לעמדת משרד המשפטים, אימוץ התפיסה של "אקטיביזם ייעוצי" אינו תואם</w:t>
      </w:r>
      <w:r w:rsidRPr="00082C78">
        <w:rPr>
          <w:rFonts w:ascii="David" w:eastAsia="Calibri" w:hAnsi="David"/>
          <w:sz w:val="24"/>
          <w:rtl/>
        </w:rPr>
        <w:t xml:space="preserve"> את המבנה הארגוני של</w:t>
      </w:r>
      <w:r w:rsidRPr="00082C78">
        <w:rPr>
          <w:rFonts w:ascii="David" w:eastAsia="Calibri" w:hAnsi="David" w:hint="cs"/>
          <w:sz w:val="24"/>
          <w:rtl/>
        </w:rPr>
        <w:t>ו</w:t>
      </w:r>
      <w:r w:rsidRPr="00082C78">
        <w:rPr>
          <w:rFonts w:ascii="David" w:eastAsia="Calibri" w:hAnsi="David"/>
          <w:sz w:val="24"/>
          <w:rtl/>
        </w:rPr>
        <w:t>, את המשאבים העומדים לרשות</w:t>
      </w:r>
      <w:r w:rsidRPr="00082C78">
        <w:rPr>
          <w:rFonts w:ascii="David" w:eastAsia="Calibri" w:hAnsi="David" w:hint="cs"/>
          <w:sz w:val="24"/>
          <w:rtl/>
        </w:rPr>
        <w:t xml:space="preserve">ו </w:t>
      </w:r>
      <w:r w:rsidRPr="00082C78">
        <w:rPr>
          <w:rFonts w:ascii="David" w:eastAsia="Calibri" w:hAnsi="David"/>
          <w:sz w:val="24"/>
          <w:rtl/>
        </w:rPr>
        <w:t>ואת הדין</w:t>
      </w:r>
      <w:r w:rsidRPr="00082C78">
        <w:rPr>
          <w:rFonts w:ascii="David" w:eastAsia="Calibri" w:hAnsi="David" w:hint="cs"/>
          <w:sz w:val="24"/>
          <w:rtl/>
        </w:rPr>
        <w:t>.</w:t>
      </w:r>
    </w:p>
    <w:p w:rsidR="00082C78" w:rsidRPr="00082C78" w:rsidRDefault="00082C78" w:rsidP="00604C3D">
      <w:pPr>
        <w:spacing w:line="269" w:lineRule="auto"/>
        <w:rPr>
          <w:rFonts w:ascii="David" w:eastAsia="Calibri" w:hAnsi="David"/>
          <w:sz w:val="24"/>
          <w:rtl/>
        </w:rPr>
      </w:pPr>
    </w:p>
    <w:bookmarkEnd w:id="76"/>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עם זאת, משרד המשפטים הפנה בתשובתו למסקנות צוות מררי אשר מצא קושי ניכר בהיעדר כפיפות ישירה מקצועית ופיקודית של היועצים המשפטיים במשטרה ליועץ המשפטי למשטרה והמליץ כי נושא זה ייבחן בעבודת מטה במשטרה; כמו כן הצוות קבע שנדרש ליווי משפטי הדוק לאחר הטמעת כלים חדשים; שנדרשת מעורבות הייעוץ המשפטי למשטרה בהנחיית חטיבת הסייבר; וכן שנדרש לקיים דיון בשאלות עקרוניות הנוגעות לפרשנות החוק למול הייעוץ המשפטי לממשלה.</w:t>
      </w:r>
      <w:r w:rsidR="00382AE8">
        <w:rPr>
          <w:rFonts w:ascii="David" w:eastAsia="Calibri" w:hAnsi="David" w:hint="cs"/>
          <w:sz w:val="24"/>
          <w:rtl/>
        </w:rPr>
        <w:t xml:space="preserve"> </w:t>
      </w:r>
    </w:p>
    <w:p w:rsidR="006318B1" w:rsidRPr="006318B1" w:rsidRDefault="006318B1" w:rsidP="00604C3D">
      <w:pPr>
        <w:spacing w:line="269" w:lineRule="auto"/>
        <w:rPr>
          <w:rFonts w:ascii="David" w:eastAsia="Calibri" w:hAnsi="David"/>
          <w:sz w:val="24"/>
          <w:rtl/>
        </w:rPr>
      </w:pPr>
      <w:r w:rsidRPr="006318B1">
        <w:rPr>
          <w:rFonts w:ascii="David" w:hAnsi="David"/>
          <w:sz w:val="24"/>
          <w:rtl/>
        </w:rPr>
        <w:t xml:space="preserve"> </w:t>
      </w:r>
    </w:p>
    <w:p w:rsidR="006318B1" w:rsidRPr="006318B1" w:rsidRDefault="006318B1" w:rsidP="00604C3D">
      <w:pPr>
        <w:spacing w:line="269" w:lineRule="auto"/>
        <w:rPr>
          <w:rFonts w:ascii="David" w:eastAsia="Calibri" w:hAnsi="David"/>
          <w:b/>
          <w:bCs/>
          <w:sz w:val="24"/>
          <w:rtl/>
        </w:rPr>
      </w:pPr>
      <w:bookmarkStart w:id="77" w:name="_Hlk190089277"/>
      <w:r w:rsidRPr="006318B1">
        <w:rPr>
          <w:rFonts w:ascii="David" w:eastAsia="Calibri" w:hAnsi="David" w:hint="eastAsia"/>
          <w:b/>
          <w:bCs/>
          <w:sz w:val="24"/>
          <w:rtl/>
        </w:rPr>
        <w:t>בנוגע</w:t>
      </w:r>
      <w:r w:rsidRPr="006318B1">
        <w:rPr>
          <w:rFonts w:ascii="David" w:eastAsia="Calibri" w:hAnsi="David"/>
          <w:b/>
          <w:bCs/>
          <w:sz w:val="24"/>
          <w:rtl/>
        </w:rPr>
        <w:t xml:space="preserve"> לתשוב</w:t>
      </w:r>
      <w:r w:rsidRPr="006318B1">
        <w:rPr>
          <w:rFonts w:ascii="David" w:eastAsia="Calibri" w:hAnsi="David" w:hint="cs"/>
          <w:b/>
          <w:bCs/>
          <w:sz w:val="24"/>
          <w:rtl/>
        </w:rPr>
        <w:t>ו</w:t>
      </w:r>
      <w:r w:rsidRPr="006318B1">
        <w:rPr>
          <w:rFonts w:ascii="David" w:eastAsia="Calibri" w:hAnsi="David"/>
          <w:b/>
          <w:bCs/>
          <w:sz w:val="24"/>
          <w:rtl/>
        </w:rPr>
        <w:t xml:space="preserve">ת </w:t>
      </w:r>
      <w:r w:rsidR="00685EBB">
        <w:rPr>
          <w:rFonts w:ascii="David" w:eastAsia="Calibri" w:hAnsi="David" w:hint="cs"/>
          <w:b/>
          <w:bCs/>
          <w:sz w:val="24"/>
          <w:rtl/>
        </w:rPr>
        <w:t>הייעוץ המשפטי לממשלה ב</w:t>
      </w:r>
      <w:r w:rsidRPr="006318B1">
        <w:rPr>
          <w:rFonts w:ascii="David" w:eastAsia="Calibri" w:hAnsi="David"/>
          <w:b/>
          <w:bCs/>
          <w:sz w:val="24"/>
          <w:rtl/>
        </w:rPr>
        <w:t xml:space="preserve">משרד המשפטים והמשטרה, </w:t>
      </w:r>
      <w:r w:rsidRPr="006318B1">
        <w:rPr>
          <w:rFonts w:ascii="David" w:eastAsia="Calibri" w:hAnsi="David" w:hint="cs"/>
          <w:b/>
          <w:bCs/>
          <w:sz w:val="24"/>
          <w:rtl/>
        </w:rPr>
        <w:t>יודגש כי אין ב</w:t>
      </w:r>
      <w:r w:rsidRPr="006318B1">
        <w:rPr>
          <w:rFonts w:ascii="David" w:eastAsia="Calibri" w:hAnsi="David" w:hint="eastAsia"/>
          <w:b/>
          <w:bCs/>
          <w:sz w:val="24"/>
          <w:rtl/>
        </w:rPr>
        <w:t>עמדת</w:t>
      </w:r>
      <w:r w:rsidRPr="006318B1">
        <w:rPr>
          <w:rFonts w:ascii="David" w:eastAsia="Calibri" w:hAnsi="David"/>
          <w:b/>
          <w:bCs/>
          <w:sz w:val="24"/>
          <w:rtl/>
        </w:rPr>
        <w:t xml:space="preserve"> </w:t>
      </w:r>
      <w:r w:rsidRPr="006318B1">
        <w:rPr>
          <w:rFonts w:ascii="David" w:eastAsia="Calibri" w:hAnsi="David" w:hint="eastAsia"/>
          <w:b/>
          <w:bCs/>
          <w:sz w:val="24"/>
          <w:rtl/>
        </w:rPr>
        <w:t>משרד</w:t>
      </w:r>
      <w:r w:rsidRPr="006318B1">
        <w:rPr>
          <w:rFonts w:ascii="David" w:eastAsia="Calibri" w:hAnsi="David"/>
          <w:b/>
          <w:bCs/>
          <w:sz w:val="24"/>
          <w:rtl/>
        </w:rPr>
        <w:t xml:space="preserve"> מבקר המדינה</w:t>
      </w:r>
      <w:r w:rsidRPr="006318B1">
        <w:rPr>
          <w:rFonts w:ascii="David" w:eastAsia="Calibri" w:hAnsi="David" w:hint="cs"/>
          <w:b/>
          <w:bCs/>
          <w:sz w:val="24"/>
          <w:rtl/>
        </w:rPr>
        <w:t xml:space="preserve"> כדי לגרוע מסמכויות היועץ המשפטי למשטרה</w:t>
      </w:r>
      <w:r w:rsidRPr="006318B1">
        <w:rPr>
          <w:rFonts w:ascii="David" w:eastAsia="Calibri" w:hAnsi="David"/>
          <w:b/>
          <w:bCs/>
          <w:sz w:val="24"/>
          <w:rtl/>
        </w:rPr>
        <w:t xml:space="preserve"> </w:t>
      </w:r>
      <w:r w:rsidRPr="006318B1">
        <w:rPr>
          <w:rFonts w:ascii="David" w:eastAsia="Calibri" w:hAnsi="David" w:hint="eastAsia"/>
          <w:b/>
          <w:bCs/>
          <w:sz w:val="24"/>
          <w:rtl/>
        </w:rPr>
        <w:t>להכריע</w:t>
      </w:r>
      <w:r w:rsidRPr="006318B1">
        <w:rPr>
          <w:rFonts w:ascii="David" w:eastAsia="Calibri" w:hAnsi="David"/>
          <w:b/>
          <w:bCs/>
          <w:sz w:val="24"/>
          <w:rtl/>
        </w:rPr>
        <w:t xml:space="preserve"> </w:t>
      </w:r>
      <w:r w:rsidRPr="006318B1">
        <w:rPr>
          <w:rFonts w:ascii="David" w:eastAsia="Calibri" w:hAnsi="David" w:hint="eastAsia"/>
          <w:b/>
          <w:bCs/>
          <w:sz w:val="24"/>
          <w:rtl/>
        </w:rPr>
        <w:t>ב</w:t>
      </w:r>
      <w:r w:rsidRPr="006318B1">
        <w:rPr>
          <w:rFonts w:ascii="David" w:eastAsia="Calibri" w:hAnsi="David" w:hint="cs"/>
          <w:b/>
          <w:bCs/>
          <w:sz w:val="24"/>
          <w:rtl/>
        </w:rPr>
        <w:t xml:space="preserve">מכלול נרחב של </w:t>
      </w:r>
      <w:r w:rsidRPr="006318B1">
        <w:rPr>
          <w:rFonts w:ascii="David" w:eastAsia="Calibri" w:hAnsi="David" w:hint="eastAsia"/>
          <w:b/>
          <w:bCs/>
          <w:sz w:val="24"/>
          <w:rtl/>
        </w:rPr>
        <w:t>החלטות</w:t>
      </w:r>
      <w:r w:rsidRPr="006318B1">
        <w:rPr>
          <w:rFonts w:ascii="David" w:eastAsia="Calibri" w:hAnsi="David"/>
          <w:b/>
          <w:bCs/>
          <w:sz w:val="24"/>
          <w:rtl/>
        </w:rPr>
        <w:t xml:space="preserve"> </w:t>
      </w:r>
      <w:r w:rsidRPr="006318B1">
        <w:rPr>
          <w:rFonts w:ascii="David" w:eastAsia="Calibri" w:hAnsi="David" w:hint="eastAsia"/>
          <w:b/>
          <w:bCs/>
          <w:sz w:val="24"/>
          <w:rtl/>
        </w:rPr>
        <w:t>הנוגעות</w:t>
      </w:r>
      <w:r w:rsidRPr="006318B1">
        <w:rPr>
          <w:rFonts w:ascii="David" w:eastAsia="Calibri" w:hAnsi="David"/>
          <w:b/>
          <w:bCs/>
          <w:sz w:val="24"/>
          <w:rtl/>
        </w:rPr>
        <w:t xml:space="preserve"> </w:t>
      </w:r>
      <w:r w:rsidRPr="006318B1">
        <w:rPr>
          <w:rFonts w:ascii="David" w:eastAsia="Calibri" w:hAnsi="David" w:hint="eastAsia"/>
          <w:b/>
          <w:bCs/>
          <w:sz w:val="24"/>
          <w:rtl/>
        </w:rPr>
        <w:t>לענייני</w:t>
      </w:r>
      <w:r w:rsidRPr="006318B1">
        <w:rPr>
          <w:rFonts w:ascii="David" w:eastAsia="Calibri" w:hAnsi="David"/>
          <w:b/>
          <w:bCs/>
          <w:sz w:val="24"/>
          <w:rtl/>
        </w:rPr>
        <w:t xml:space="preserve"> </w:t>
      </w:r>
      <w:r w:rsidRPr="006318B1">
        <w:rPr>
          <w:rFonts w:ascii="David" w:eastAsia="Calibri" w:hAnsi="David" w:hint="eastAsia"/>
          <w:b/>
          <w:bCs/>
          <w:sz w:val="24"/>
          <w:rtl/>
        </w:rPr>
        <w:t>המשטרה</w:t>
      </w:r>
      <w:r w:rsidRPr="006318B1">
        <w:rPr>
          <w:rFonts w:ascii="David" w:eastAsia="Calibri" w:hAnsi="David" w:hint="cs"/>
          <w:b/>
          <w:bCs/>
          <w:sz w:val="24"/>
          <w:rtl/>
        </w:rPr>
        <w:t>, אלא להדגיש ולהבהיר כי לפי</w:t>
      </w:r>
      <w:r w:rsidR="002B122E">
        <w:rPr>
          <w:rFonts w:ascii="David" w:eastAsia="Calibri" w:hAnsi="David" w:hint="cs"/>
          <w:b/>
          <w:bCs/>
          <w:sz w:val="24"/>
          <w:rtl/>
        </w:rPr>
        <w:t xml:space="preserve"> </w:t>
      </w:r>
      <w:r w:rsidRPr="006318B1">
        <w:rPr>
          <w:rFonts w:ascii="David" w:eastAsia="Calibri" w:hAnsi="David" w:hint="cs"/>
          <w:b/>
          <w:bCs/>
          <w:sz w:val="24"/>
          <w:rtl/>
        </w:rPr>
        <w:t>הנחיית היועמ"ש לממשלה:</w:t>
      </w:r>
      <w:r w:rsidRPr="006318B1">
        <w:rPr>
          <w:rFonts w:ascii="David" w:eastAsia="Calibri" w:hAnsi="David"/>
          <w:b/>
          <w:bCs/>
          <w:sz w:val="24"/>
          <w:rtl/>
        </w:rPr>
        <w:t xml:space="preserve"> </w:t>
      </w:r>
      <w:r w:rsidRPr="006318B1">
        <w:rPr>
          <w:rFonts w:ascii="David" w:eastAsia="Calibri" w:hAnsi="David" w:hint="eastAsia"/>
          <w:b/>
          <w:bCs/>
          <w:sz w:val="24"/>
          <w:rtl/>
        </w:rPr>
        <w:t>כאשר</w:t>
      </w:r>
      <w:r w:rsidRPr="006318B1">
        <w:rPr>
          <w:rFonts w:ascii="David" w:eastAsia="Calibri" w:hAnsi="David"/>
          <w:b/>
          <w:bCs/>
          <w:sz w:val="24"/>
          <w:rtl/>
        </w:rPr>
        <w:t xml:space="preserve"> עולות </w:t>
      </w:r>
      <w:r w:rsidRPr="006318B1">
        <w:rPr>
          <w:rFonts w:ascii="David" w:eastAsia="Calibri" w:hAnsi="David" w:hint="eastAsia"/>
          <w:b/>
          <w:bCs/>
          <w:sz w:val="24"/>
          <w:rtl/>
        </w:rPr>
        <w:t>סוגיות</w:t>
      </w:r>
      <w:r w:rsidRPr="006318B1">
        <w:rPr>
          <w:rFonts w:ascii="David" w:eastAsia="Calibri" w:hAnsi="David"/>
          <w:b/>
          <w:bCs/>
          <w:sz w:val="24"/>
          <w:rtl/>
        </w:rPr>
        <w:t xml:space="preserve"> בעלות רגישות מיוחדת </w:t>
      </w:r>
      <w:r w:rsidRPr="006318B1">
        <w:rPr>
          <w:rFonts w:ascii="David" w:eastAsia="Calibri" w:hAnsi="David" w:hint="eastAsia"/>
          <w:b/>
          <w:bCs/>
          <w:sz w:val="24"/>
          <w:rtl/>
        </w:rPr>
        <w:t>כמו</w:t>
      </w:r>
      <w:r w:rsidRPr="006318B1">
        <w:rPr>
          <w:rFonts w:ascii="David" w:eastAsia="Calibri" w:hAnsi="David"/>
          <w:b/>
          <w:bCs/>
          <w:sz w:val="24"/>
          <w:rtl/>
        </w:rPr>
        <w:t xml:space="preserve"> </w:t>
      </w:r>
      <w:r w:rsidRPr="006318B1">
        <w:rPr>
          <w:rFonts w:ascii="David" w:eastAsia="Calibri" w:hAnsi="David" w:hint="eastAsia"/>
          <w:b/>
          <w:bCs/>
          <w:sz w:val="24"/>
          <w:rtl/>
        </w:rPr>
        <w:t>פגיעה</w:t>
      </w:r>
      <w:r w:rsidRPr="006318B1">
        <w:rPr>
          <w:rFonts w:ascii="David" w:eastAsia="Calibri" w:hAnsi="David"/>
          <w:b/>
          <w:bCs/>
          <w:sz w:val="24"/>
          <w:rtl/>
        </w:rPr>
        <w:t xml:space="preserve"> </w:t>
      </w:r>
      <w:r w:rsidRPr="006318B1">
        <w:rPr>
          <w:rFonts w:ascii="David" w:eastAsia="Calibri" w:hAnsi="David" w:hint="eastAsia"/>
          <w:b/>
          <w:bCs/>
          <w:sz w:val="24"/>
          <w:rtl/>
        </w:rPr>
        <w:t>בזכויות</w:t>
      </w:r>
      <w:r w:rsidRPr="006318B1">
        <w:rPr>
          <w:rFonts w:ascii="David" w:eastAsia="Calibri" w:hAnsi="David"/>
          <w:b/>
          <w:bCs/>
          <w:sz w:val="24"/>
          <w:rtl/>
        </w:rPr>
        <w:t xml:space="preserve"> </w:t>
      </w:r>
      <w:r w:rsidRPr="006318B1">
        <w:rPr>
          <w:rFonts w:ascii="David" w:eastAsia="Calibri" w:hAnsi="David" w:hint="eastAsia"/>
          <w:b/>
          <w:bCs/>
          <w:sz w:val="24"/>
          <w:rtl/>
        </w:rPr>
        <w:t>שעלולה</w:t>
      </w:r>
      <w:r w:rsidRPr="006318B1">
        <w:rPr>
          <w:rFonts w:ascii="David" w:eastAsia="Calibri" w:hAnsi="David"/>
          <w:b/>
          <w:bCs/>
          <w:sz w:val="24"/>
          <w:rtl/>
        </w:rPr>
        <w:t xml:space="preserve"> </w:t>
      </w:r>
      <w:r w:rsidRPr="006318B1">
        <w:rPr>
          <w:rFonts w:ascii="David" w:eastAsia="Calibri" w:hAnsi="David" w:hint="eastAsia"/>
          <w:b/>
          <w:bCs/>
          <w:sz w:val="24"/>
          <w:rtl/>
        </w:rPr>
        <w:t>להביא</w:t>
      </w:r>
      <w:r w:rsidRPr="006318B1">
        <w:rPr>
          <w:rFonts w:ascii="David" w:eastAsia="Calibri" w:hAnsi="David"/>
          <w:b/>
          <w:bCs/>
          <w:sz w:val="24"/>
          <w:rtl/>
        </w:rPr>
        <w:t xml:space="preserve"> </w:t>
      </w:r>
      <w:r w:rsidRPr="006318B1">
        <w:rPr>
          <w:rFonts w:ascii="David" w:eastAsia="Calibri" w:hAnsi="David" w:hint="eastAsia"/>
          <w:b/>
          <w:bCs/>
          <w:sz w:val="24"/>
          <w:rtl/>
        </w:rPr>
        <w:t>לחריגה</w:t>
      </w:r>
      <w:r w:rsidRPr="006318B1">
        <w:rPr>
          <w:rFonts w:ascii="David" w:eastAsia="Calibri" w:hAnsi="David"/>
          <w:b/>
          <w:bCs/>
          <w:sz w:val="24"/>
          <w:rtl/>
        </w:rPr>
        <w:t xml:space="preserve"> </w:t>
      </w:r>
      <w:r w:rsidRPr="006318B1">
        <w:rPr>
          <w:rFonts w:ascii="David" w:eastAsia="Calibri" w:hAnsi="David" w:hint="eastAsia"/>
          <w:b/>
          <w:bCs/>
          <w:sz w:val="24"/>
          <w:rtl/>
        </w:rPr>
        <w:t>מסמכות</w:t>
      </w:r>
      <w:r w:rsidRPr="006318B1">
        <w:rPr>
          <w:rFonts w:ascii="David" w:eastAsia="Calibri" w:hAnsi="David"/>
          <w:b/>
          <w:bCs/>
          <w:sz w:val="24"/>
          <w:rtl/>
        </w:rPr>
        <w:t xml:space="preserve"> </w:t>
      </w:r>
      <w:r w:rsidRPr="006318B1">
        <w:rPr>
          <w:rFonts w:ascii="David" w:eastAsia="Calibri" w:hAnsi="David" w:hint="eastAsia"/>
          <w:b/>
          <w:bCs/>
          <w:sz w:val="24"/>
          <w:rtl/>
        </w:rPr>
        <w:t>המשטרה</w:t>
      </w:r>
      <w:r w:rsidRPr="006318B1">
        <w:rPr>
          <w:rFonts w:ascii="David" w:eastAsia="Calibri" w:hAnsi="David"/>
          <w:b/>
          <w:bCs/>
          <w:sz w:val="24"/>
          <w:rtl/>
        </w:rPr>
        <w:t xml:space="preserve">, </w:t>
      </w:r>
      <w:r w:rsidRPr="006318B1">
        <w:rPr>
          <w:rFonts w:ascii="David" w:eastAsia="Calibri" w:hAnsi="David" w:hint="eastAsia"/>
          <w:b/>
          <w:bCs/>
          <w:sz w:val="24"/>
          <w:rtl/>
        </w:rPr>
        <w:t>יש</w:t>
      </w:r>
      <w:r w:rsidRPr="006318B1">
        <w:rPr>
          <w:rFonts w:ascii="David" w:eastAsia="Calibri" w:hAnsi="David"/>
          <w:b/>
          <w:bCs/>
          <w:sz w:val="24"/>
          <w:rtl/>
        </w:rPr>
        <w:t xml:space="preserve"> מקום </w:t>
      </w:r>
      <w:r w:rsidRPr="006318B1">
        <w:rPr>
          <w:rFonts w:ascii="David" w:eastAsia="Calibri" w:hAnsi="David" w:hint="eastAsia"/>
          <w:b/>
          <w:bCs/>
          <w:sz w:val="24"/>
          <w:rtl/>
        </w:rPr>
        <w:t>להביא</w:t>
      </w:r>
      <w:r w:rsidRPr="006318B1">
        <w:rPr>
          <w:rFonts w:ascii="David" w:eastAsia="Calibri" w:hAnsi="David"/>
          <w:b/>
          <w:bCs/>
          <w:sz w:val="24"/>
          <w:rtl/>
        </w:rPr>
        <w:t xml:space="preserve"> </w:t>
      </w:r>
      <w:r w:rsidRPr="006318B1">
        <w:rPr>
          <w:rFonts w:ascii="David" w:eastAsia="Calibri" w:hAnsi="David" w:hint="eastAsia"/>
          <w:b/>
          <w:bCs/>
          <w:sz w:val="24"/>
          <w:rtl/>
        </w:rPr>
        <w:t>את</w:t>
      </w:r>
      <w:r w:rsidRPr="006318B1">
        <w:rPr>
          <w:rFonts w:ascii="David" w:eastAsia="Calibri" w:hAnsi="David"/>
          <w:b/>
          <w:bCs/>
          <w:sz w:val="24"/>
          <w:rtl/>
        </w:rPr>
        <w:t xml:space="preserve"> </w:t>
      </w:r>
      <w:r w:rsidRPr="006318B1">
        <w:rPr>
          <w:rFonts w:ascii="David" w:eastAsia="Calibri" w:hAnsi="David" w:hint="eastAsia"/>
          <w:b/>
          <w:bCs/>
          <w:sz w:val="24"/>
          <w:rtl/>
        </w:rPr>
        <w:t>הנושא</w:t>
      </w:r>
      <w:r w:rsidRPr="006318B1">
        <w:rPr>
          <w:rFonts w:ascii="David" w:eastAsia="Calibri" w:hAnsi="David"/>
          <w:b/>
          <w:bCs/>
          <w:sz w:val="24"/>
          <w:rtl/>
        </w:rPr>
        <w:t xml:space="preserve"> </w:t>
      </w:r>
      <w:r w:rsidRPr="006318B1">
        <w:rPr>
          <w:rFonts w:ascii="David" w:eastAsia="Calibri" w:hAnsi="David" w:hint="eastAsia"/>
          <w:b/>
          <w:bCs/>
          <w:sz w:val="24"/>
          <w:rtl/>
        </w:rPr>
        <w:t>לאישור</w:t>
      </w:r>
      <w:r w:rsidRPr="006318B1">
        <w:rPr>
          <w:rFonts w:ascii="David" w:eastAsia="Calibri" w:hAnsi="David"/>
          <w:b/>
          <w:bCs/>
          <w:sz w:val="24"/>
          <w:rtl/>
        </w:rPr>
        <w:t xml:space="preserve"> </w:t>
      </w:r>
      <w:r w:rsidRPr="006318B1">
        <w:rPr>
          <w:rFonts w:ascii="David" w:eastAsia="Calibri" w:hAnsi="David" w:hint="eastAsia"/>
          <w:b/>
          <w:bCs/>
          <w:sz w:val="24"/>
          <w:rtl/>
        </w:rPr>
        <w:t>גורמי</w:t>
      </w:r>
      <w:r w:rsidRPr="006318B1">
        <w:rPr>
          <w:rFonts w:ascii="David" w:eastAsia="Calibri" w:hAnsi="David"/>
          <w:b/>
          <w:bCs/>
          <w:sz w:val="24"/>
          <w:rtl/>
        </w:rPr>
        <w:t xml:space="preserve"> </w:t>
      </w:r>
      <w:r w:rsidRPr="006318B1">
        <w:rPr>
          <w:rFonts w:ascii="David" w:eastAsia="Calibri" w:hAnsi="David" w:hint="eastAsia"/>
          <w:b/>
          <w:bCs/>
          <w:sz w:val="24"/>
          <w:rtl/>
        </w:rPr>
        <w:t>הייעוץ</w:t>
      </w:r>
      <w:r w:rsidRPr="006318B1">
        <w:rPr>
          <w:rFonts w:ascii="David" w:eastAsia="Calibri" w:hAnsi="David"/>
          <w:b/>
          <w:bCs/>
          <w:sz w:val="24"/>
          <w:rtl/>
        </w:rPr>
        <w:t xml:space="preserve"> </w:t>
      </w:r>
      <w:r w:rsidRPr="006318B1">
        <w:rPr>
          <w:rFonts w:ascii="David" w:eastAsia="Calibri" w:hAnsi="David" w:hint="eastAsia"/>
          <w:b/>
          <w:bCs/>
          <w:sz w:val="24"/>
          <w:rtl/>
        </w:rPr>
        <w:t>המשפטי</w:t>
      </w:r>
      <w:r w:rsidRPr="006318B1">
        <w:rPr>
          <w:rFonts w:ascii="David" w:eastAsia="Calibri" w:hAnsi="David"/>
          <w:b/>
          <w:bCs/>
          <w:sz w:val="24"/>
          <w:rtl/>
        </w:rPr>
        <w:t xml:space="preserve"> </w:t>
      </w:r>
      <w:r w:rsidRPr="006318B1">
        <w:rPr>
          <w:rFonts w:ascii="David" w:eastAsia="Calibri" w:hAnsi="David" w:hint="eastAsia"/>
          <w:b/>
          <w:bCs/>
          <w:sz w:val="24"/>
          <w:rtl/>
        </w:rPr>
        <w:t>לממשלה</w:t>
      </w:r>
      <w:r w:rsidRPr="006318B1">
        <w:rPr>
          <w:rFonts w:ascii="David" w:eastAsia="Calibri" w:hAnsi="David"/>
          <w:b/>
          <w:bCs/>
          <w:sz w:val="24"/>
          <w:rtl/>
        </w:rPr>
        <w:t>.</w:t>
      </w:r>
      <w:r w:rsidR="00382AE8">
        <w:rPr>
          <w:rFonts w:ascii="David" w:eastAsia="Calibri" w:hAnsi="David"/>
          <w:b/>
          <w:bCs/>
          <w:sz w:val="24"/>
          <w:rtl/>
        </w:rPr>
        <w:t xml:space="preserve"> </w:t>
      </w:r>
    </w:p>
    <w:bookmarkEnd w:id="77"/>
    <w:p w:rsidR="00082C78" w:rsidRPr="00082C78" w:rsidRDefault="00082C78" w:rsidP="00604C3D">
      <w:pPr>
        <w:spacing w:line="269" w:lineRule="auto"/>
        <w:rPr>
          <w:rFonts w:ascii="David" w:eastAsia="Calibri" w:hAnsi="David"/>
          <w:sz w:val="24"/>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 xml:space="preserve">כך גם עולה מהמלצת צוות מררי ולפיה </w:t>
      </w:r>
      <w:r w:rsidRPr="00082C78">
        <w:rPr>
          <w:rFonts w:eastAsia="Calibri" w:hint="cs"/>
          <w:rtl/>
        </w:rPr>
        <w:t xml:space="preserve">"על המשטרה לוודא כי כל מערכת טכנולוגית שלה יכולת חדשה מבחינת איסוף או עיבוד המידע, ושהיא בעלת פוטנציאל לחריגה מהסמכות הקבועה בחוק, תועבר לאישור הייעוץ המשפטי לממשלה </w:t>
      </w:r>
      <w:r w:rsidRPr="00082C78">
        <w:rPr>
          <w:rFonts w:eastAsia="Calibri" w:hint="cs"/>
          <w:b/>
          <w:bCs/>
          <w:rtl/>
        </w:rPr>
        <w:t>טרם</w:t>
      </w:r>
      <w:r w:rsidRPr="00082C78">
        <w:rPr>
          <w:rFonts w:eastAsia="Calibri" w:hint="cs"/>
          <w:rtl/>
        </w:rPr>
        <w:t xml:space="preserve"> השימוש בה. זאת, תוך פירוט כלל מאפייני המערכת והתנאים להפעלתה, בצירוף עמדה משפטית בדבר מקור הסמכות" (הדגשה במקור)</w:t>
      </w:r>
      <w:r w:rsidRPr="00082C78">
        <w:rPr>
          <w:rFonts w:eastAsia="Calibri"/>
          <w:vertAlign w:val="superscript"/>
          <w:rtl/>
        </w:rPr>
        <w:footnoteReference w:id="41"/>
      </w:r>
      <w:r w:rsidRPr="00082C78">
        <w:rPr>
          <w:rFonts w:eastAsia="Calibri" w:hint="cs"/>
          <w:rtl/>
        </w:rPr>
        <w:t>.</w:t>
      </w:r>
      <w:r w:rsidRPr="00082C78">
        <w:rPr>
          <w:rFonts w:ascii="David" w:eastAsia="Calibri" w:hAnsi="David" w:hint="cs"/>
          <w:sz w:val="24"/>
          <w:rtl/>
        </w:rPr>
        <w:t xml:space="preserve"> יתרה מזאת, בפועל, כפי שעולה מהדוגמאות שיוצגו בהמשך, בכמה מקרים שבהם המשטרה השתמשה בכלים שלאחר מכן הוצגו בפני גורמי הייעוץ המשפטי לממשלה לצורך קבלת אישור בדיעבד, היועמ"שית לממשלה קבעה כי לא היה בסמכותה של המשטרה לעשות שימוש בכלים אלו או בחלק מיכולותיהם. </w:t>
      </w:r>
    </w:p>
    <w:p w:rsidR="00082C78" w:rsidRPr="00082C78" w:rsidRDefault="00082C78" w:rsidP="00604C3D">
      <w:pPr>
        <w:spacing w:line="269" w:lineRule="auto"/>
        <w:rPr>
          <w:rFonts w:ascii="David" w:eastAsia="Calibri" w:hAnsi="David"/>
          <w:sz w:val="24"/>
          <w:rtl/>
        </w:rPr>
      </w:pPr>
    </w:p>
    <w:p w:rsidR="00082C78" w:rsidRPr="00082C78" w:rsidRDefault="00082C78" w:rsidP="00604C3D">
      <w:pPr>
        <w:spacing w:line="269" w:lineRule="auto"/>
        <w:rPr>
          <w:rFonts w:ascii="David" w:eastAsia="Calibri" w:hAnsi="David"/>
          <w:b/>
          <w:bCs/>
          <w:sz w:val="24"/>
        </w:rPr>
      </w:pPr>
      <w:r w:rsidRPr="00082C78">
        <w:rPr>
          <w:rFonts w:ascii="David" w:eastAsia="Calibri" w:hAnsi="David" w:hint="cs"/>
          <w:b/>
          <w:bCs/>
          <w:sz w:val="24"/>
          <w:rtl/>
        </w:rPr>
        <w:t>יוצא אפוא כי על המשטרה להביא לידיעה ולאישור של הייעוץ המשפטי לממשלה כל כלי חדש שיש לו פוטנציאל לחריגה מהסמכות הקבועה בחוק; כמו כן מן הראוי ששאלות שעולות לגבי כלים חדשים</w:t>
      </w:r>
      <w:r w:rsidR="00DB042E">
        <w:rPr>
          <w:rFonts w:ascii="David" w:eastAsia="Calibri" w:hAnsi="David" w:hint="cs"/>
          <w:b/>
          <w:bCs/>
          <w:sz w:val="24"/>
          <w:rtl/>
        </w:rPr>
        <w:t>,</w:t>
      </w:r>
      <w:r w:rsidRPr="00082C78">
        <w:rPr>
          <w:rFonts w:ascii="David" w:eastAsia="Calibri" w:hAnsi="David" w:hint="cs"/>
          <w:b/>
          <w:bCs/>
          <w:sz w:val="24"/>
          <w:rtl/>
        </w:rPr>
        <w:t xml:space="preserve"> לגבי היכולות הטכנולוגיות שלהם </w:t>
      </w:r>
      <w:r w:rsidR="00BD2BFA">
        <w:rPr>
          <w:rFonts w:ascii="David" w:eastAsia="Calibri" w:hAnsi="David" w:hint="cs"/>
          <w:b/>
          <w:bCs/>
          <w:sz w:val="24"/>
          <w:rtl/>
        </w:rPr>
        <w:t>ו</w:t>
      </w:r>
      <w:r w:rsidR="00DB042E">
        <w:rPr>
          <w:rFonts w:ascii="David" w:eastAsia="Calibri" w:hAnsi="David" w:hint="cs"/>
          <w:b/>
          <w:bCs/>
          <w:sz w:val="24"/>
          <w:rtl/>
        </w:rPr>
        <w:t>לגבי</w:t>
      </w:r>
      <w:r w:rsidR="00341A10">
        <w:rPr>
          <w:rFonts w:ascii="David" w:eastAsia="Calibri" w:hAnsi="David" w:hint="cs"/>
          <w:b/>
          <w:bCs/>
          <w:sz w:val="24"/>
          <w:rtl/>
        </w:rPr>
        <w:t xml:space="preserve"> </w:t>
      </w:r>
      <w:r w:rsidR="00BD2BFA">
        <w:rPr>
          <w:rFonts w:ascii="David" w:eastAsia="Calibri" w:hAnsi="David" w:hint="cs"/>
          <w:b/>
          <w:bCs/>
          <w:sz w:val="24"/>
          <w:rtl/>
        </w:rPr>
        <w:t>ה</w:t>
      </w:r>
      <w:r w:rsidRPr="00082C78">
        <w:rPr>
          <w:rFonts w:ascii="David" w:eastAsia="Calibri" w:hAnsi="David" w:hint="cs"/>
          <w:b/>
          <w:bCs/>
          <w:sz w:val="24"/>
          <w:rtl/>
        </w:rPr>
        <w:t>קשיים המשפטיים שנובעים מנושנות החקיקה, יידונו בין גורמי המשטרה לגורמי הייעוץ המשפטי לממשלה.</w:t>
      </w:r>
    </w:p>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tl/>
        </w:rPr>
      </w:pPr>
      <w:r w:rsidRPr="00082C78">
        <w:rPr>
          <w:rFonts w:ascii="David" w:eastAsia="Calibri" w:hAnsi="David" w:hint="cs"/>
          <w:sz w:val="24"/>
          <w:rtl/>
        </w:rPr>
        <w:t xml:space="preserve">משרד המשפטים עצמו (הדרג הבכיר בפרקליטות המדינה וכן היועמ"ש לממשלה בכובעו כראש מערך התביעה) נחשף לעיתים במסגרת עבודתו השוטפת לקיומם של כלים טכנולוגיים בתחום האזנות סתר ונתוני תקשורת. </w:t>
      </w:r>
    </w:p>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tl/>
        </w:rPr>
      </w:pPr>
      <w:r w:rsidRPr="00082C78">
        <w:rPr>
          <w:rFonts w:ascii="David" w:eastAsia="Calibri" w:hAnsi="David" w:hint="cs"/>
          <w:sz w:val="24"/>
          <w:rtl/>
        </w:rPr>
        <w:t>ואומנם את הצורך של המשטרה לפנות למשרד המשפטים ולקבל ממנו אישור להפעלת כלים להאזנות סתר העלו כבר לפני כעשור גורמים מקצועיים ומשפטיים בתוך המשטרה:</w:t>
      </w:r>
    </w:p>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Pr>
      </w:pPr>
      <w:r w:rsidRPr="00082C78">
        <w:rPr>
          <w:rFonts w:ascii="David" w:eastAsia="Calibri" w:hAnsi="David" w:hint="cs"/>
          <w:sz w:val="24"/>
          <w:rtl/>
        </w:rPr>
        <w:t xml:space="preserve">בינואר 2013 כתבה </w:t>
      </w:r>
      <w:r w:rsidR="00181AAD">
        <w:rPr>
          <w:rFonts w:ascii="David" w:eastAsia="Calibri" w:hAnsi="David" w:hint="cs"/>
          <w:sz w:val="24"/>
          <w:rtl/>
        </w:rPr>
        <w:t>נציגת חטיבת הסייבר</w:t>
      </w:r>
      <w:r w:rsidRPr="00082C78">
        <w:rPr>
          <w:rFonts w:ascii="David" w:eastAsia="Calibri" w:hAnsi="David" w:hint="cs"/>
          <w:sz w:val="24"/>
          <w:rtl/>
        </w:rPr>
        <w:t xml:space="preserve"> </w:t>
      </w:r>
      <w:r w:rsidR="00181AAD">
        <w:rPr>
          <w:rFonts w:ascii="David" w:eastAsia="Calibri" w:hAnsi="David" w:hint="cs"/>
          <w:sz w:val="24"/>
          <w:rtl/>
        </w:rPr>
        <w:t>ל</w:t>
      </w:r>
      <w:r w:rsidRPr="00082C78">
        <w:rPr>
          <w:rFonts w:ascii="David" w:eastAsia="Calibri" w:hAnsi="David" w:hint="cs"/>
          <w:sz w:val="24"/>
          <w:rtl/>
        </w:rPr>
        <w:t>גורמים נוספים</w:t>
      </w:r>
      <w:r w:rsidR="00181AAD">
        <w:rPr>
          <w:rFonts w:ascii="David" w:eastAsia="Calibri" w:hAnsi="David" w:hint="cs"/>
          <w:sz w:val="24"/>
          <w:rtl/>
        </w:rPr>
        <w:t xml:space="preserve"> בחטיבה</w:t>
      </w:r>
      <w:r w:rsidRPr="00082C78">
        <w:rPr>
          <w:rFonts w:ascii="David" w:eastAsia="Calibri" w:hAnsi="David" w:hint="cs"/>
          <w:sz w:val="24"/>
          <w:rtl/>
        </w:rPr>
        <w:t xml:space="preserve">, </w:t>
      </w:r>
      <w:r w:rsidR="00181AAD">
        <w:rPr>
          <w:rFonts w:ascii="David" w:eastAsia="Calibri" w:hAnsi="David" w:hint="cs"/>
          <w:sz w:val="24"/>
          <w:rtl/>
        </w:rPr>
        <w:t>ול</w:t>
      </w:r>
      <w:r w:rsidRPr="00082C78">
        <w:rPr>
          <w:rFonts w:ascii="David" w:eastAsia="Calibri" w:hAnsi="David" w:hint="cs"/>
          <w:sz w:val="24"/>
          <w:rtl/>
        </w:rPr>
        <w:t>גורמים בייעוץ המשפטי של המשטרה, בקשר ליכולות מערכת שבכוונת המשטרה לרכוש ושיש לה יכולות יירוט אשר אינן כלולות ב</w:t>
      </w:r>
      <w:r w:rsidR="007B1D64">
        <w:rPr>
          <w:rFonts w:ascii="David" w:eastAsia="Calibri" w:hAnsi="David" w:hint="cs"/>
          <w:sz w:val="24"/>
          <w:rtl/>
        </w:rPr>
        <w:t>חוק האזנת סתר</w:t>
      </w:r>
      <w:r w:rsidRPr="00082C78">
        <w:rPr>
          <w:rFonts w:ascii="David" w:eastAsia="Calibri" w:hAnsi="David" w:hint="cs"/>
          <w:sz w:val="24"/>
          <w:rtl/>
        </w:rPr>
        <w:t xml:space="preserve">, שאם יוחלט על רכישתה יידרש אישור משרד המשפטים. </w:t>
      </w:r>
    </w:p>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tl/>
        </w:rPr>
      </w:pPr>
      <w:r w:rsidRPr="00082C78">
        <w:rPr>
          <w:rFonts w:ascii="David" w:eastAsia="Calibri" w:hAnsi="David" w:hint="cs"/>
          <w:sz w:val="24"/>
          <w:rtl/>
        </w:rPr>
        <w:t xml:space="preserve">גם בדיון שהתקיים ביום 22.1.15 </w:t>
      </w:r>
      <w:r w:rsidR="00181AAD">
        <w:rPr>
          <w:rFonts w:ascii="David" w:eastAsia="Calibri" w:hAnsi="David" w:hint="cs"/>
          <w:sz w:val="24"/>
          <w:rtl/>
        </w:rPr>
        <w:t>בחטיבת הסייבר</w:t>
      </w:r>
      <w:r w:rsidRPr="00082C78">
        <w:rPr>
          <w:rFonts w:ascii="David" w:eastAsia="Calibri" w:hAnsi="David" w:hint="cs"/>
          <w:sz w:val="24"/>
          <w:rtl/>
        </w:rPr>
        <w:t xml:space="preserve"> בנוגע להיבטים המשפטיים שבשימוש בכלי טכנולוגי מסוים, אמר </w:t>
      </w:r>
      <w:r w:rsidR="00181AAD">
        <w:rPr>
          <w:rFonts w:ascii="David" w:eastAsia="Calibri" w:hAnsi="David" w:hint="cs"/>
          <w:sz w:val="24"/>
          <w:rtl/>
        </w:rPr>
        <w:t>נציג</w:t>
      </w:r>
      <w:r w:rsidR="00181AAD" w:rsidRPr="00082C78">
        <w:rPr>
          <w:rFonts w:ascii="David" w:eastAsia="Calibri" w:hAnsi="David" w:hint="cs"/>
          <w:sz w:val="24"/>
          <w:rtl/>
        </w:rPr>
        <w:t xml:space="preserve"> </w:t>
      </w:r>
      <w:r w:rsidRPr="00082C78">
        <w:rPr>
          <w:rFonts w:ascii="David" w:eastAsia="Calibri" w:hAnsi="David" w:hint="cs"/>
          <w:sz w:val="24"/>
          <w:rtl/>
        </w:rPr>
        <w:t>יועמ"ש המשטרה כי נדרש שיתוף הפרקליטות ומשרד המשפטים בנוגע לאישור השימוש ביכולות הכלי.</w:t>
      </w:r>
    </w:p>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Pr>
      </w:pPr>
      <w:r w:rsidRPr="00082C78">
        <w:rPr>
          <w:rFonts w:ascii="David" w:eastAsia="Calibri" w:hAnsi="David" w:hint="cs"/>
          <w:sz w:val="24"/>
          <w:rtl/>
        </w:rPr>
        <w:t xml:space="preserve">ואכן, כפי שיפורט בפרקים שלהלן, במהלך השנים יזמה המשטרה במקרים שונים פנייה לגורמי הייעוץ המשפטי לממשלה לצורך קיום בחינה משפטית וקבלת אישור לשימוש בכלים טכנולוגיים או להפעלת יכולות מסוימות באמצעות הכלי. </w:t>
      </w:r>
    </w:p>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Pr>
      </w:pPr>
      <w:r w:rsidRPr="00082C78">
        <w:rPr>
          <w:rFonts w:ascii="David" w:eastAsia="Calibri" w:hAnsi="David" w:hint="cs"/>
          <w:sz w:val="24"/>
          <w:rtl/>
        </w:rPr>
        <w:t xml:space="preserve">צוות מררי כתב כי "במבט לאחור... המשמעות הדרמטית של הכנסת מערכת בעלת יכולות טכנולוגיות פוטנציאליות רחבות היקף המהווה נקודת מפנה מבחינת עולם האזנות הסתר לתקשורת בין מחשבים לא הובנה לאשורה על ידי הגורמים הבכירים במשטרה. לאורך השנים לא יוחסה מלוא המשמעות המתבקשת להיקף היכולות הפוטנציאליות של המערכת ולעצם הכנסת חומרים אסורים אל מערכות המשטרה ומשמעות החריגה מסמכות, אף אם לא ייעשה בהם שימוש בפועל. בכל השלבים... סוגיות עקרוניות אלה לא הובאו לאישור הייעוץ המשפטי לממשלה". </w:t>
      </w:r>
    </w:p>
    <w:p w:rsidR="00271D14" w:rsidRDefault="00271D14" w:rsidP="00604C3D">
      <w:pPr>
        <w:spacing w:line="269" w:lineRule="auto"/>
        <w:ind w:left="-2"/>
        <w:contextualSpacing/>
        <w:rPr>
          <w:rFonts w:ascii="David" w:eastAsia="Calibri" w:hAnsi="David"/>
          <w:sz w:val="16"/>
          <w:szCs w:val="16"/>
          <w:rtl/>
        </w:rPr>
      </w:pPr>
    </w:p>
    <w:p w:rsidR="00082C78" w:rsidRPr="00082C78" w:rsidRDefault="00082C78" w:rsidP="00604C3D">
      <w:pPr>
        <w:spacing w:line="269" w:lineRule="auto"/>
        <w:ind w:left="-2"/>
        <w:contextualSpacing/>
        <w:rPr>
          <w:rFonts w:ascii="David" w:eastAsia="Calibri" w:hAnsi="David"/>
          <w:sz w:val="24"/>
          <w:rtl/>
        </w:rPr>
      </w:pPr>
      <w:r w:rsidRPr="00082C78">
        <w:rPr>
          <w:rFonts w:ascii="David" w:eastAsia="Calibri" w:hAnsi="David" w:hint="cs"/>
          <w:sz w:val="24"/>
          <w:rtl/>
        </w:rPr>
        <w:t>עוד ציין הצוות כי "...לא הועברו לידי משרד המשפטים... כלל מאפייני המערכת, ובאופן ספציפי מידע ביחס ליכולות הטכנולוגיות של המערכת אשר חורגות מהסמכות לפי חוק האזנת סתר. משלא הובאה המערכת לאישור הייעוץ המשפטי לממשלה, על כלל מאפייניה</w:t>
      </w:r>
      <w:r w:rsidRPr="00082C78">
        <w:rPr>
          <w:rFonts w:ascii="David" w:eastAsia="Calibri" w:hAnsi="David"/>
          <w:b/>
          <w:bCs/>
          <w:sz w:val="24"/>
          <w:rtl/>
        </w:rPr>
        <w:t xml:space="preserve">, </w:t>
      </w:r>
      <w:r w:rsidRPr="00082C78">
        <w:rPr>
          <w:rFonts w:ascii="David" w:eastAsia="Calibri" w:hAnsi="David" w:hint="cs"/>
          <w:b/>
          <w:bCs/>
          <w:sz w:val="24"/>
          <w:rtl/>
        </w:rPr>
        <w:t>כפי שהיה נדרש</w:t>
      </w:r>
      <w:r w:rsidRPr="00082C78">
        <w:rPr>
          <w:rFonts w:ascii="David" w:eastAsia="Calibri" w:hAnsi="David"/>
          <w:b/>
          <w:bCs/>
          <w:sz w:val="24"/>
          <w:rtl/>
        </w:rPr>
        <w:t>,</w:t>
      </w:r>
      <w:r w:rsidRPr="00082C78">
        <w:rPr>
          <w:rFonts w:ascii="David" w:eastAsia="Calibri" w:hAnsi="David" w:hint="cs"/>
          <w:sz w:val="24"/>
          <w:rtl/>
        </w:rPr>
        <w:t xml:space="preserve"> ממילא לא התקיים דיון עקרוני בנושא בייעוץ המשפטי לממשלה... אף סוגיות עקרוניות שהתעוררו במהלך הפעלת הכלי, ואושרו על ידי הייעוץ המשפטי למשטרה, לא הובאו לידיעת הייעוץ המשפטי לממשלה" (הדגשה אינה במקור). נוסף על כך, בעמדה המשפטית של היועמ"שית לממשלה בקשר לשימוש </w:t>
      </w:r>
      <w:r w:rsidR="00045ECB">
        <w:rPr>
          <w:rFonts w:ascii="David" w:eastAsia="Calibri" w:hAnsi="David" w:hint="cs"/>
          <w:sz w:val="24"/>
          <w:rtl/>
        </w:rPr>
        <w:t>שעשתה</w:t>
      </w:r>
      <w:r w:rsidR="00045ECB" w:rsidRPr="00082C78">
        <w:rPr>
          <w:rFonts w:ascii="David" w:eastAsia="Calibri" w:hAnsi="David" w:hint="cs"/>
          <w:sz w:val="24"/>
          <w:rtl/>
        </w:rPr>
        <w:t xml:space="preserve"> </w:t>
      </w:r>
      <w:r w:rsidRPr="00082C78">
        <w:rPr>
          <w:rFonts w:ascii="David" w:eastAsia="Calibri" w:hAnsi="David" w:hint="cs"/>
          <w:sz w:val="24"/>
          <w:rtl/>
        </w:rPr>
        <w:t xml:space="preserve">המשטרה </w:t>
      </w:r>
      <w:r w:rsidR="000B27FA">
        <w:rPr>
          <w:rFonts w:ascii="David" w:eastAsia="Calibri" w:hAnsi="David" w:hint="cs"/>
          <w:sz w:val="24"/>
          <w:rtl/>
        </w:rPr>
        <w:t>בכלי טכנולוגי מסוים</w:t>
      </w:r>
      <w:r w:rsidR="000B27FA" w:rsidRPr="00082C78">
        <w:rPr>
          <w:rFonts w:ascii="David" w:eastAsia="Calibri" w:hAnsi="David" w:hint="cs"/>
          <w:sz w:val="24"/>
          <w:rtl/>
        </w:rPr>
        <w:t xml:space="preserve"> </w:t>
      </w:r>
      <w:r w:rsidRPr="00082C78">
        <w:rPr>
          <w:rFonts w:ascii="David" w:eastAsia="Calibri" w:hAnsi="David" w:hint="cs"/>
          <w:sz w:val="24"/>
          <w:rtl/>
        </w:rPr>
        <w:t>נכתב כי "מאחר שהחוק לא נדרש במפורש לשאלה של חדירה למחשב לשם התקנת אמצעי להאזנת סתר, נדרשת התייחסות זהירה במיוחד בבחינה המשפטית בדבר התאמת אמצעי האזנה".</w:t>
      </w:r>
    </w:p>
    <w:p w:rsidR="00271D14" w:rsidRDefault="00271D14" w:rsidP="00604C3D">
      <w:pPr>
        <w:spacing w:line="269" w:lineRule="auto"/>
        <w:ind w:left="-2"/>
        <w:rPr>
          <w:rFonts w:ascii="David" w:eastAsia="Calibri" w:hAnsi="David"/>
          <w:sz w:val="16"/>
          <w:szCs w:val="16"/>
          <w:rtl/>
        </w:rPr>
      </w:pPr>
    </w:p>
    <w:p w:rsidR="00082C78" w:rsidRPr="00082C78" w:rsidRDefault="00082C78" w:rsidP="00604C3D">
      <w:pPr>
        <w:spacing w:line="269" w:lineRule="auto"/>
        <w:ind w:left="-2"/>
        <w:rPr>
          <w:rFonts w:ascii="David" w:eastAsia="Calibri" w:hAnsi="David"/>
          <w:sz w:val="24"/>
          <w:rtl/>
        </w:rPr>
      </w:pPr>
      <w:r w:rsidRPr="00082C78">
        <w:rPr>
          <w:rFonts w:ascii="David" w:eastAsia="Calibri" w:hAnsi="David" w:hint="cs"/>
          <w:sz w:val="24"/>
          <w:rtl/>
        </w:rPr>
        <w:t xml:space="preserve">במהלך השנים </w:t>
      </w:r>
      <w:r w:rsidR="00685EBB">
        <w:rPr>
          <w:rFonts w:ascii="David" w:eastAsia="Calibri" w:hAnsi="David" w:hint="cs"/>
          <w:sz w:val="24"/>
          <w:rtl/>
        </w:rPr>
        <w:t>בחן</w:t>
      </w:r>
      <w:r w:rsidRPr="00082C78">
        <w:rPr>
          <w:rFonts w:ascii="David" w:eastAsia="Calibri" w:hAnsi="David" w:hint="cs"/>
          <w:sz w:val="24"/>
          <w:rtl/>
        </w:rPr>
        <w:t xml:space="preserve"> </w:t>
      </w:r>
      <w:r w:rsidR="00685EBB">
        <w:rPr>
          <w:rFonts w:ascii="David" w:eastAsia="Calibri" w:hAnsi="David" w:hint="cs"/>
          <w:sz w:val="24"/>
          <w:rtl/>
        </w:rPr>
        <w:t>ה</w:t>
      </w:r>
      <w:r w:rsidRPr="00082C78">
        <w:rPr>
          <w:rFonts w:ascii="David" w:eastAsia="Calibri" w:hAnsi="David" w:hint="cs"/>
          <w:sz w:val="24"/>
          <w:rtl/>
        </w:rPr>
        <w:t xml:space="preserve">ייעוץ </w:t>
      </w:r>
      <w:r w:rsidR="00685EBB">
        <w:rPr>
          <w:rFonts w:ascii="David" w:eastAsia="Calibri" w:hAnsi="David" w:hint="cs"/>
          <w:sz w:val="24"/>
          <w:rtl/>
        </w:rPr>
        <w:t xml:space="preserve">המשפטי לממשלה </w:t>
      </w:r>
      <w:r w:rsidRPr="00082C78">
        <w:rPr>
          <w:rFonts w:ascii="David" w:eastAsia="Calibri" w:hAnsi="David" w:hint="cs"/>
          <w:sz w:val="24"/>
          <w:rtl/>
        </w:rPr>
        <w:t xml:space="preserve">במשרד המשפטים </w:t>
      </w:r>
      <w:r w:rsidRPr="00082C78">
        <w:rPr>
          <w:rFonts w:ascii="David" w:eastAsia="Calibri" w:hAnsi="David" w:hint="eastAsia"/>
          <w:sz w:val="24"/>
          <w:rtl/>
        </w:rPr>
        <w:t>כלים</w:t>
      </w:r>
      <w:r w:rsidRPr="00082C78">
        <w:rPr>
          <w:rFonts w:ascii="David" w:eastAsia="Calibri" w:hAnsi="David" w:hint="cs"/>
          <w:sz w:val="24"/>
          <w:rtl/>
        </w:rPr>
        <w:t xml:space="preserve"> טכנולוגיים מסוימים. בחלק מהמקרים </w:t>
      </w:r>
      <w:r w:rsidR="00685EBB">
        <w:rPr>
          <w:rFonts w:ascii="David" w:eastAsia="Calibri" w:hAnsi="David" w:hint="cs"/>
          <w:sz w:val="24"/>
          <w:rtl/>
        </w:rPr>
        <w:t>הוא</w:t>
      </w:r>
      <w:r w:rsidRPr="00082C78">
        <w:rPr>
          <w:rFonts w:ascii="David" w:eastAsia="Calibri" w:hAnsi="David" w:hint="cs"/>
          <w:sz w:val="24"/>
          <w:rtl/>
        </w:rPr>
        <w:t xml:space="preserve"> סבר כי נדרש תיקון חקיקה לשם מתן הסמכה למשטרה להשתמש בכלי (או ביכולת מסוימת שלו) בהיעדר סמכות בדין. במקרים אחרים, כאשר אפשר היה לקבוע כי ניתן להשתמש ב</w:t>
      </w:r>
      <w:r w:rsidRPr="00082C78">
        <w:rPr>
          <w:rFonts w:ascii="David" w:eastAsia="Calibri" w:hAnsi="David" w:hint="eastAsia"/>
          <w:sz w:val="24"/>
          <w:rtl/>
        </w:rPr>
        <w:t>אותם</w:t>
      </w:r>
      <w:r w:rsidRPr="00082C78">
        <w:rPr>
          <w:rFonts w:ascii="David" w:eastAsia="Calibri" w:hAnsi="David"/>
          <w:sz w:val="24"/>
          <w:rtl/>
        </w:rPr>
        <w:t xml:space="preserve"> </w:t>
      </w:r>
      <w:r w:rsidRPr="00082C78">
        <w:rPr>
          <w:rFonts w:ascii="David" w:eastAsia="Calibri" w:hAnsi="David" w:hint="cs"/>
          <w:sz w:val="24"/>
          <w:rtl/>
        </w:rPr>
        <w:t xml:space="preserve">כלים בהסתמך על פרשנות תכליתית של הדין הקיים - אישר זאת </w:t>
      </w:r>
      <w:r w:rsidR="00685EBB">
        <w:rPr>
          <w:rFonts w:ascii="David" w:eastAsia="Calibri" w:hAnsi="David" w:hint="cs"/>
          <w:sz w:val="24"/>
          <w:rtl/>
        </w:rPr>
        <w:t>הייעוץ המשפטי לממשלה</w:t>
      </w:r>
      <w:r w:rsidRPr="00082C78">
        <w:rPr>
          <w:rFonts w:ascii="David" w:eastAsia="Calibri" w:hAnsi="David" w:hint="cs"/>
          <w:sz w:val="24"/>
          <w:rtl/>
        </w:rPr>
        <w:t>, בתנאי שהשימוש נעשה תוך עמידה בכללי המשפטי המינהלי ובתנאים של סבירות ומידתיות</w:t>
      </w:r>
      <w:r w:rsidRPr="00082C78">
        <w:rPr>
          <w:rFonts w:ascii="David" w:eastAsia="Calibri" w:hAnsi="David"/>
          <w:sz w:val="24"/>
          <w:vertAlign w:val="superscript"/>
          <w:rtl/>
        </w:rPr>
        <w:footnoteReference w:id="42"/>
      </w:r>
      <w:r w:rsidRPr="00082C78">
        <w:rPr>
          <w:rFonts w:ascii="David" w:eastAsia="Calibri" w:hAnsi="David" w:hint="cs"/>
          <w:sz w:val="24"/>
          <w:rtl/>
        </w:rPr>
        <w:t xml:space="preserve">. </w:t>
      </w:r>
    </w:p>
    <w:p w:rsidR="00082C78" w:rsidRPr="00082C78" w:rsidRDefault="00082C78" w:rsidP="00604C3D">
      <w:pPr>
        <w:spacing w:line="269" w:lineRule="auto"/>
        <w:ind w:left="-2"/>
        <w:rPr>
          <w:rFonts w:ascii="David" w:eastAsia="Calibri" w:hAnsi="David"/>
          <w:sz w:val="24"/>
          <w:rtl/>
        </w:rPr>
      </w:pPr>
    </w:p>
    <w:p w:rsidR="00082C78" w:rsidRPr="008A39ED" w:rsidRDefault="00E17BB0" w:rsidP="00604C3D">
      <w:pPr>
        <w:spacing w:line="269" w:lineRule="auto"/>
        <w:ind w:left="-2"/>
        <w:rPr>
          <w:rFonts w:ascii="David" w:eastAsia="Calibri" w:hAnsi="David"/>
          <w:sz w:val="24"/>
        </w:rPr>
      </w:pPr>
      <w:r>
        <w:rPr>
          <w:rFonts w:ascii="David" w:eastAsia="Calibri" w:hAnsi="David" w:hint="cs"/>
          <w:sz w:val="24"/>
          <w:rtl/>
        </w:rPr>
        <w:t>בהקשר זה יש לציין ש</w:t>
      </w:r>
      <w:r w:rsidR="008A39ED" w:rsidRPr="00082C78">
        <w:rPr>
          <w:rFonts w:ascii="David" w:eastAsia="Calibri" w:hAnsi="David" w:hint="cs"/>
          <w:sz w:val="24"/>
          <w:rtl/>
        </w:rPr>
        <w:t>משרד המשפטים כתב בתשובתו</w:t>
      </w:r>
      <w:r>
        <w:rPr>
          <w:rFonts w:ascii="David" w:eastAsia="Calibri" w:hAnsi="David" w:hint="cs"/>
          <w:sz w:val="24"/>
          <w:rtl/>
        </w:rPr>
        <w:t xml:space="preserve"> למשרד מבקר המדינה </w:t>
      </w:r>
      <w:r w:rsidR="008A39ED" w:rsidRPr="00082C78">
        <w:rPr>
          <w:rFonts w:ascii="David" w:eastAsia="Calibri" w:hAnsi="David" w:hint="cs"/>
          <w:sz w:val="24"/>
          <w:rtl/>
        </w:rPr>
        <w:t>כי "באיזון שבין צרכי המשטרה לצורך מילוי תפקידה לבין הצורך למנוע פגיעה עודפת בזכויות אדם לא תמיד מוצדק לעגן סמכויות פוגעניות בחקיקה".</w:t>
      </w:r>
    </w:p>
    <w:p w:rsidR="00271D14" w:rsidRDefault="00271D14" w:rsidP="00604C3D">
      <w:pPr>
        <w:spacing w:line="269" w:lineRule="auto"/>
        <w:rPr>
          <w:rFonts w:ascii="David" w:eastAsia="Calibri" w:hAnsi="David"/>
          <w:sz w:val="16"/>
          <w:szCs w:val="16"/>
          <w:rtl/>
        </w:rPr>
      </w:pPr>
    </w:p>
    <w:p w:rsidR="008A39ED" w:rsidRPr="00082C78" w:rsidRDefault="008A39ED" w:rsidP="00604C3D">
      <w:pPr>
        <w:spacing w:line="269" w:lineRule="auto"/>
        <w:rPr>
          <w:rFonts w:ascii="David" w:eastAsia="Calibri" w:hAnsi="David"/>
          <w:b/>
          <w:bCs/>
          <w:sz w:val="24"/>
          <w:rtl/>
        </w:rPr>
      </w:pPr>
      <w:r w:rsidRPr="00082C78">
        <w:rPr>
          <w:rFonts w:ascii="David" w:eastAsia="Calibri" w:hAnsi="David" w:hint="cs"/>
          <w:b/>
          <w:bCs/>
          <w:sz w:val="24"/>
          <w:rtl/>
        </w:rPr>
        <w:t>לפי עמדת הייעוץ המשפטי לממשלה, במקרים בהם יש סמכות בחוק להשתמש בטכנולוגיות חדשות, ומדובר בטכנולוגיות שעלולות להביא לפגיעה</w:t>
      </w:r>
      <w:r w:rsidR="00382AE8">
        <w:rPr>
          <w:rFonts w:ascii="David" w:eastAsia="Calibri" w:hAnsi="David" w:hint="cs"/>
          <w:b/>
          <w:bCs/>
          <w:sz w:val="24"/>
          <w:rtl/>
        </w:rPr>
        <w:t xml:space="preserve"> </w:t>
      </w:r>
      <w:r w:rsidRPr="00082C78">
        <w:rPr>
          <w:rFonts w:ascii="David" w:eastAsia="Calibri" w:hAnsi="David" w:hint="cs"/>
          <w:b/>
          <w:bCs/>
          <w:sz w:val="24"/>
          <w:rtl/>
        </w:rPr>
        <w:t>בזכויות הפרט,</w:t>
      </w:r>
      <w:r w:rsidR="00382AE8">
        <w:rPr>
          <w:rFonts w:ascii="David" w:eastAsia="Calibri" w:hAnsi="David" w:hint="cs"/>
          <w:b/>
          <w:bCs/>
          <w:sz w:val="24"/>
          <w:rtl/>
        </w:rPr>
        <w:t xml:space="preserve"> </w:t>
      </w:r>
      <w:r w:rsidRPr="00082C78">
        <w:rPr>
          <w:rFonts w:ascii="David" w:eastAsia="Calibri" w:hAnsi="David" w:hint="cs"/>
          <w:b/>
          <w:bCs/>
          <w:sz w:val="24"/>
          <w:rtl/>
        </w:rPr>
        <w:t xml:space="preserve">ומתעוררת שאלה פרשנית בנוגע לסמכות המשטרה לעשות כן - ראוי </w:t>
      </w:r>
      <w:r w:rsidR="00EC5330">
        <w:rPr>
          <w:rFonts w:ascii="David" w:eastAsia="Calibri" w:hAnsi="David" w:hint="cs"/>
          <w:b/>
          <w:bCs/>
          <w:sz w:val="24"/>
          <w:rtl/>
        </w:rPr>
        <w:t>ש</w:t>
      </w:r>
      <w:r w:rsidR="00685EBB">
        <w:rPr>
          <w:rFonts w:ascii="David" w:eastAsia="Calibri" w:hAnsi="David" w:hint="cs"/>
          <w:b/>
          <w:bCs/>
          <w:sz w:val="24"/>
          <w:rtl/>
        </w:rPr>
        <w:t xml:space="preserve">ההסדרה המשפטית של </w:t>
      </w:r>
      <w:r w:rsidR="00EC5330">
        <w:rPr>
          <w:rFonts w:ascii="David" w:eastAsia="Calibri" w:hAnsi="David" w:hint="cs"/>
          <w:b/>
          <w:bCs/>
          <w:sz w:val="24"/>
          <w:rtl/>
        </w:rPr>
        <w:t xml:space="preserve">השימוש </w:t>
      </w:r>
      <w:r w:rsidR="00685EBB">
        <w:rPr>
          <w:rFonts w:ascii="David" w:eastAsia="Calibri" w:hAnsi="David" w:hint="cs"/>
          <w:b/>
          <w:bCs/>
          <w:sz w:val="24"/>
          <w:rtl/>
        </w:rPr>
        <w:t>ת</w:t>
      </w:r>
      <w:r w:rsidR="00EC5330">
        <w:rPr>
          <w:rFonts w:ascii="David" w:eastAsia="Calibri" w:hAnsi="David" w:hint="cs"/>
          <w:b/>
          <w:bCs/>
          <w:sz w:val="24"/>
          <w:rtl/>
        </w:rPr>
        <w:t>יעשה תוך עמידה בכללי המשפט המנהלי ובתנאים של סבירות ומידתיות.</w:t>
      </w:r>
      <w:r>
        <w:rPr>
          <w:rFonts w:ascii="David" w:eastAsia="Calibri" w:hAnsi="David" w:hint="cs"/>
          <w:b/>
          <w:bCs/>
          <w:sz w:val="24"/>
          <w:rtl/>
        </w:rPr>
        <w:t xml:space="preserve"> </w:t>
      </w:r>
      <w:r w:rsidR="002C6FEC">
        <w:rPr>
          <w:rFonts w:ascii="David" w:eastAsia="Calibri" w:hAnsi="David" w:hint="cs"/>
          <w:b/>
          <w:bCs/>
          <w:sz w:val="24"/>
          <w:rtl/>
        </w:rPr>
        <w:t xml:space="preserve">לדעת משרד מבקר המדינה </w:t>
      </w:r>
      <w:r w:rsidRPr="00082C78">
        <w:rPr>
          <w:rFonts w:ascii="David" w:eastAsia="Calibri" w:hAnsi="David" w:hint="cs"/>
          <w:b/>
          <w:bCs/>
          <w:sz w:val="24"/>
          <w:rtl/>
        </w:rPr>
        <w:t xml:space="preserve">בהיעדרה של הסדרה </w:t>
      </w:r>
      <w:r w:rsidR="00685EBB">
        <w:rPr>
          <w:rFonts w:ascii="David" w:eastAsia="Calibri" w:hAnsi="David" w:hint="cs"/>
          <w:b/>
          <w:bCs/>
          <w:sz w:val="24"/>
          <w:rtl/>
        </w:rPr>
        <w:t xml:space="preserve">חקיקתית או משפטית </w:t>
      </w:r>
      <w:r w:rsidRPr="00082C78">
        <w:rPr>
          <w:rFonts w:ascii="David" w:eastAsia="Calibri" w:hAnsi="David" w:hint="cs"/>
          <w:b/>
          <w:bCs/>
          <w:sz w:val="24"/>
          <w:rtl/>
        </w:rPr>
        <w:t xml:space="preserve">מפורשת כזו, ראוי היה כי גורמי הייעוץ המשפטי לממשלה יובילו את הליכי הבחינה והאישור של השימוש בכלים אלו. </w:t>
      </w:r>
    </w:p>
    <w:p w:rsidR="00082C78" w:rsidRPr="00082C78" w:rsidRDefault="00082C78" w:rsidP="00604C3D">
      <w:pPr>
        <w:spacing w:line="269" w:lineRule="auto"/>
        <w:rPr>
          <w:rFonts w:ascii="David" w:eastAsia="Calibri" w:hAnsi="David"/>
          <w:b/>
          <w:bCs/>
          <w:sz w:val="24"/>
          <w:rtl/>
        </w:rPr>
      </w:pPr>
    </w:p>
    <w:p w:rsidR="006318B1" w:rsidRPr="006318B1" w:rsidRDefault="006318B1" w:rsidP="00604C3D">
      <w:pPr>
        <w:spacing w:line="269" w:lineRule="auto"/>
        <w:rPr>
          <w:rFonts w:ascii="David" w:eastAsia="Calibri" w:hAnsi="David"/>
          <w:b/>
          <w:bCs/>
          <w:sz w:val="24"/>
          <w:rtl/>
        </w:rPr>
      </w:pPr>
      <w:bookmarkStart w:id="78" w:name="_Hlk190089402"/>
      <w:bookmarkStart w:id="79" w:name="_Hlk190004173"/>
      <w:r w:rsidRPr="006318B1">
        <w:rPr>
          <w:rFonts w:ascii="David" w:eastAsia="Calibri" w:hAnsi="David" w:hint="cs"/>
          <w:b/>
          <w:bCs/>
          <w:sz w:val="24"/>
          <w:rtl/>
        </w:rPr>
        <w:t xml:space="preserve">השימוש </w:t>
      </w:r>
      <w:bookmarkStart w:id="80" w:name="_Hlk190004223"/>
      <w:r w:rsidRPr="006318B1">
        <w:rPr>
          <w:rFonts w:ascii="David" w:eastAsia="Calibri" w:hAnsi="David" w:hint="cs"/>
          <w:b/>
          <w:bCs/>
          <w:sz w:val="24"/>
          <w:rtl/>
        </w:rPr>
        <w:t xml:space="preserve">של המשטרה בכלים טכנולוגיים בתחום האזנות הסתר ונתוני התקשורת מצוי בליבת ההליך הפלילי ומגלם פוטנציאל לפגיעה יסודית בזכויות הפרט. במהלך השנים עמד בפני הייעוץ המשפטי לממשלה מידע </w:t>
      </w:r>
      <w:r w:rsidR="00ED686D">
        <w:rPr>
          <w:rFonts w:ascii="David" w:eastAsia="Calibri" w:hAnsi="David" w:hint="cs"/>
          <w:b/>
          <w:bCs/>
          <w:sz w:val="24"/>
          <w:rtl/>
        </w:rPr>
        <w:t>שעלול להעיד</w:t>
      </w:r>
      <w:r w:rsidR="00ED686D" w:rsidRPr="006318B1">
        <w:rPr>
          <w:rFonts w:ascii="David" w:eastAsia="Calibri" w:hAnsi="David" w:hint="cs"/>
          <w:b/>
          <w:bCs/>
          <w:sz w:val="24"/>
          <w:rtl/>
        </w:rPr>
        <w:t xml:space="preserve"> </w:t>
      </w:r>
      <w:r w:rsidRPr="006318B1">
        <w:rPr>
          <w:rFonts w:ascii="David" w:eastAsia="Calibri" w:hAnsi="David" w:hint="cs"/>
          <w:b/>
          <w:bCs/>
          <w:sz w:val="24"/>
          <w:rtl/>
        </w:rPr>
        <w:t xml:space="preserve">כי המשטרה </w:t>
      </w:r>
      <w:r w:rsidR="00A43849">
        <w:rPr>
          <w:rFonts w:ascii="David" w:eastAsia="Calibri" w:hAnsi="David" w:hint="cs"/>
          <w:b/>
          <w:bCs/>
          <w:sz w:val="24"/>
          <w:rtl/>
        </w:rPr>
        <w:t>השתמשה</w:t>
      </w:r>
      <w:r w:rsidR="00A43849" w:rsidRPr="006318B1">
        <w:rPr>
          <w:rFonts w:ascii="David" w:eastAsia="Calibri" w:hAnsi="David" w:hint="cs"/>
          <w:b/>
          <w:bCs/>
          <w:sz w:val="24"/>
          <w:rtl/>
        </w:rPr>
        <w:t xml:space="preserve"> </w:t>
      </w:r>
      <w:r w:rsidRPr="006318B1">
        <w:rPr>
          <w:rFonts w:ascii="David" w:eastAsia="Calibri" w:hAnsi="David" w:hint="cs"/>
          <w:b/>
          <w:bCs/>
          <w:sz w:val="24"/>
          <w:rtl/>
        </w:rPr>
        <w:t xml:space="preserve">בכלים טכנולוגיים שונים (ראו להלן), ראוי היה כי הייעוץ המשפטי לממשלה ייזום מצידו קיום דיון שבמסגרתו ייבחנו היכולות וההשלכות של השימוש בכלים </w:t>
      </w:r>
      <w:r w:rsidR="005A4043">
        <w:rPr>
          <w:rFonts w:ascii="David" w:eastAsia="Calibri" w:hAnsi="David" w:hint="cs"/>
          <w:b/>
          <w:bCs/>
          <w:sz w:val="24"/>
          <w:rtl/>
        </w:rPr>
        <w:t>אלו</w:t>
      </w:r>
      <w:r w:rsidRPr="006318B1">
        <w:rPr>
          <w:rFonts w:ascii="David" w:eastAsia="Calibri" w:hAnsi="David" w:hint="cs"/>
          <w:b/>
          <w:bCs/>
          <w:sz w:val="24"/>
          <w:rtl/>
        </w:rPr>
        <w:t xml:space="preserve">. בכך ניתן היה להבטיח את המענה האסדרתי הדרוש לנושא </w:t>
      </w:r>
      <w:r w:rsidRPr="006318B1">
        <w:rPr>
          <w:rFonts w:ascii="David" w:eastAsia="Calibri" w:hAnsi="David" w:hint="eastAsia"/>
          <w:b/>
          <w:bCs/>
          <w:sz w:val="24"/>
          <w:rtl/>
        </w:rPr>
        <w:t>רגיש</w:t>
      </w:r>
      <w:r w:rsidRPr="006318B1">
        <w:rPr>
          <w:rFonts w:ascii="David" w:eastAsia="Calibri" w:hAnsi="David"/>
          <w:b/>
          <w:bCs/>
          <w:sz w:val="24"/>
          <w:rtl/>
        </w:rPr>
        <w:t xml:space="preserve"> במיוחד </w:t>
      </w:r>
      <w:r w:rsidRPr="006318B1">
        <w:rPr>
          <w:rFonts w:ascii="David" w:eastAsia="Calibri" w:hAnsi="David" w:hint="eastAsia"/>
          <w:b/>
          <w:bCs/>
          <w:sz w:val="24"/>
          <w:rtl/>
        </w:rPr>
        <w:t>מ</w:t>
      </w:r>
      <w:r w:rsidRPr="006318B1">
        <w:rPr>
          <w:rFonts w:ascii="David" w:eastAsia="Calibri" w:hAnsi="David" w:hint="cs"/>
          <w:b/>
          <w:bCs/>
          <w:sz w:val="24"/>
          <w:rtl/>
        </w:rPr>
        <w:t>ה</w:t>
      </w:r>
      <w:r w:rsidRPr="006318B1">
        <w:rPr>
          <w:rFonts w:ascii="David" w:eastAsia="Calibri" w:hAnsi="David" w:hint="eastAsia"/>
          <w:b/>
          <w:bCs/>
          <w:sz w:val="24"/>
          <w:rtl/>
        </w:rPr>
        <w:t>בחינה</w:t>
      </w:r>
      <w:r w:rsidRPr="006318B1">
        <w:rPr>
          <w:rFonts w:ascii="David" w:eastAsia="Calibri" w:hAnsi="David"/>
          <w:b/>
          <w:bCs/>
          <w:sz w:val="24"/>
          <w:rtl/>
        </w:rPr>
        <w:t xml:space="preserve"> </w:t>
      </w:r>
      <w:r w:rsidRPr="006318B1">
        <w:rPr>
          <w:rFonts w:ascii="David" w:eastAsia="Calibri" w:hAnsi="David" w:hint="cs"/>
          <w:b/>
          <w:bCs/>
          <w:sz w:val="24"/>
          <w:rtl/>
        </w:rPr>
        <w:t>ה</w:t>
      </w:r>
      <w:r w:rsidRPr="006318B1">
        <w:rPr>
          <w:rFonts w:ascii="David" w:eastAsia="Calibri" w:hAnsi="David" w:hint="eastAsia"/>
          <w:b/>
          <w:bCs/>
          <w:sz w:val="24"/>
          <w:rtl/>
        </w:rPr>
        <w:t>ציבורית</w:t>
      </w:r>
      <w:r w:rsidRPr="006318B1">
        <w:rPr>
          <w:rFonts w:ascii="David" w:eastAsia="Calibri" w:hAnsi="David" w:hint="cs"/>
          <w:b/>
          <w:bCs/>
          <w:sz w:val="24"/>
          <w:rtl/>
        </w:rPr>
        <w:t xml:space="preserve"> </w:t>
      </w:r>
      <w:r w:rsidR="005A4043">
        <w:rPr>
          <w:rFonts w:ascii="David" w:eastAsia="Calibri" w:hAnsi="David" w:hint="cs"/>
          <w:b/>
          <w:bCs/>
          <w:sz w:val="24"/>
          <w:rtl/>
        </w:rPr>
        <w:t>ולתת מענה על שאלות</w:t>
      </w:r>
      <w:r w:rsidRPr="006318B1">
        <w:rPr>
          <w:rFonts w:ascii="David" w:eastAsia="Calibri" w:hAnsi="David"/>
          <w:b/>
          <w:bCs/>
          <w:sz w:val="24"/>
          <w:rtl/>
        </w:rPr>
        <w:t xml:space="preserve"> </w:t>
      </w:r>
      <w:r w:rsidRPr="006318B1">
        <w:rPr>
          <w:rFonts w:ascii="David" w:eastAsia="Calibri" w:hAnsi="David" w:hint="eastAsia"/>
          <w:b/>
          <w:bCs/>
          <w:sz w:val="24"/>
          <w:rtl/>
        </w:rPr>
        <w:t>בעלות</w:t>
      </w:r>
      <w:r w:rsidRPr="006318B1">
        <w:rPr>
          <w:rFonts w:ascii="David" w:eastAsia="Calibri" w:hAnsi="David"/>
          <w:b/>
          <w:bCs/>
          <w:sz w:val="24"/>
          <w:rtl/>
        </w:rPr>
        <w:t xml:space="preserve"> </w:t>
      </w:r>
      <w:r w:rsidRPr="006318B1">
        <w:rPr>
          <w:rFonts w:ascii="David" w:eastAsia="Calibri" w:hAnsi="David" w:hint="eastAsia"/>
          <w:b/>
          <w:bCs/>
          <w:sz w:val="24"/>
          <w:rtl/>
        </w:rPr>
        <w:t>השלכות</w:t>
      </w:r>
      <w:r w:rsidRPr="006318B1">
        <w:rPr>
          <w:rFonts w:ascii="David" w:eastAsia="Calibri" w:hAnsi="David"/>
          <w:b/>
          <w:bCs/>
          <w:sz w:val="24"/>
          <w:rtl/>
        </w:rPr>
        <w:t xml:space="preserve"> </w:t>
      </w:r>
      <w:r w:rsidRPr="006318B1">
        <w:rPr>
          <w:rFonts w:ascii="David" w:eastAsia="Calibri" w:hAnsi="David" w:hint="eastAsia"/>
          <w:b/>
          <w:bCs/>
          <w:sz w:val="24"/>
          <w:rtl/>
        </w:rPr>
        <w:t>בתחומי</w:t>
      </w:r>
      <w:r w:rsidRPr="006318B1">
        <w:rPr>
          <w:rFonts w:ascii="David" w:eastAsia="Calibri" w:hAnsi="David"/>
          <w:b/>
          <w:bCs/>
          <w:sz w:val="24"/>
          <w:rtl/>
        </w:rPr>
        <w:t xml:space="preserve"> </w:t>
      </w:r>
      <w:r w:rsidRPr="006318B1">
        <w:rPr>
          <w:rFonts w:ascii="David" w:eastAsia="Calibri" w:hAnsi="David" w:hint="eastAsia"/>
          <w:b/>
          <w:bCs/>
          <w:sz w:val="24"/>
          <w:rtl/>
        </w:rPr>
        <w:t>העונשין</w:t>
      </w:r>
      <w:r w:rsidRPr="006318B1">
        <w:rPr>
          <w:rFonts w:ascii="David" w:eastAsia="Calibri" w:hAnsi="David"/>
          <w:b/>
          <w:bCs/>
          <w:sz w:val="24"/>
          <w:rtl/>
        </w:rPr>
        <w:t>.</w:t>
      </w:r>
      <w:r w:rsidR="00382AE8">
        <w:rPr>
          <w:rFonts w:ascii="David" w:eastAsia="Calibri" w:hAnsi="David"/>
          <w:b/>
          <w:bCs/>
          <w:sz w:val="24"/>
          <w:rtl/>
        </w:rPr>
        <w:t xml:space="preserve"> </w:t>
      </w:r>
      <w:bookmarkEnd w:id="78"/>
      <w:bookmarkEnd w:id="80"/>
    </w:p>
    <w:bookmarkEnd w:id="79"/>
    <w:p w:rsidR="00082C78" w:rsidRPr="00082C78" w:rsidRDefault="00082C78" w:rsidP="00604C3D">
      <w:pPr>
        <w:spacing w:line="269" w:lineRule="auto"/>
        <w:rPr>
          <w:rFonts w:ascii="David" w:eastAsia="Calibri" w:hAnsi="David"/>
          <w:b/>
          <w:bCs/>
          <w:sz w:val="24"/>
          <w:rtl/>
        </w:rPr>
      </w:pPr>
    </w:p>
    <w:p w:rsidR="00082C78" w:rsidRDefault="00917C5D" w:rsidP="008C598D">
      <w:pPr>
        <w:pStyle w:val="3"/>
        <w:numPr>
          <w:ilvl w:val="1"/>
          <w:numId w:val="69"/>
        </w:numPr>
        <w:spacing w:before="0" w:line="269" w:lineRule="auto"/>
        <w:rPr>
          <w:rFonts w:eastAsia="Times New Roman"/>
          <w:rtl/>
        </w:rPr>
      </w:pPr>
      <w:bookmarkStart w:id="81" w:name="_Hlk147749064"/>
      <w:bookmarkStart w:id="82" w:name="_Toc219286511"/>
      <w:bookmarkStart w:id="83" w:name="_Hlk187582070"/>
      <w:r>
        <w:rPr>
          <w:rFonts w:eastAsia="Times New Roman" w:hint="cs"/>
          <w:rtl/>
        </w:rPr>
        <w:t>ה</w:t>
      </w:r>
      <w:r w:rsidR="00571CB9">
        <w:rPr>
          <w:rFonts w:eastAsia="Times New Roman" w:hint="cs"/>
          <w:rtl/>
        </w:rPr>
        <w:t xml:space="preserve">טיפול </w:t>
      </w:r>
      <w:r>
        <w:rPr>
          <w:rFonts w:eastAsia="Times New Roman" w:hint="cs"/>
          <w:rtl/>
        </w:rPr>
        <w:t xml:space="preserve">המשפטי של </w:t>
      </w:r>
      <w:r w:rsidR="00571CB9">
        <w:rPr>
          <w:rFonts w:eastAsia="Times New Roman" w:hint="cs"/>
          <w:rtl/>
        </w:rPr>
        <w:t xml:space="preserve">המשטרה </w:t>
      </w:r>
      <w:r>
        <w:rPr>
          <w:rFonts w:eastAsia="Times New Roman" w:hint="cs"/>
          <w:rtl/>
        </w:rPr>
        <w:t>בפעולות וכלים טכנולוגיים</w:t>
      </w:r>
      <w:bookmarkEnd w:id="81"/>
      <w:bookmarkEnd w:id="82"/>
    </w:p>
    <w:p w:rsidR="00B15AD6" w:rsidRPr="00B15AD6" w:rsidRDefault="00B15AD6" w:rsidP="00604C3D">
      <w:pPr>
        <w:spacing w:line="269" w:lineRule="auto"/>
        <w:rPr>
          <w:rtl/>
        </w:rPr>
      </w:pPr>
    </w:p>
    <w:p w:rsidR="00082C78" w:rsidRPr="00082C78" w:rsidRDefault="00082C78" w:rsidP="008C598D">
      <w:pPr>
        <w:pStyle w:val="4"/>
        <w:numPr>
          <w:ilvl w:val="1"/>
          <w:numId w:val="65"/>
        </w:numPr>
        <w:spacing w:before="0" w:line="269" w:lineRule="auto"/>
        <w:ind w:left="367"/>
        <w:rPr>
          <w:rFonts w:eastAsia="Times New Roman"/>
        </w:rPr>
      </w:pPr>
      <w:bookmarkStart w:id="84" w:name="_Toc211521905"/>
      <w:bookmarkStart w:id="85" w:name="_Toc219110296"/>
      <w:bookmarkStart w:id="86" w:name="_Toc219113737"/>
      <w:bookmarkStart w:id="87" w:name="_Toc219286512"/>
      <w:bookmarkStart w:id="88" w:name="_Hlk187582158"/>
      <w:bookmarkEnd w:id="71"/>
      <w:bookmarkEnd w:id="83"/>
      <w:r w:rsidRPr="00082C78">
        <w:rPr>
          <w:rFonts w:eastAsia="Times New Roman" w:hint="cs"/>
          <w:rtl/>
        </w:rPr>
        <w:t xml:space="preserve">רכישת </w:t>
      </w:r>
      <w:r w:rsidR="000B27FA">
        <w:rPr>
          <w:rFonts w:eastAsia="Times New Roman" w:hint="cs"/>
          <w:rtl/>
        </w:rPr>
        <w:t>כלי טכנולוגי</w:t>
      </w:r>
      <w:r w:rsidRPr="00082C78">
        <w:rPr>
          <w:rFonts w:eastAsia="Times New Roman" w:hint="cs"/>
          <w:rtl/>
        </w:rPr>
        <w:t xml:space="preserve"> במשטרה ללא בחינה ואישור משפטי של השימוש ב</w:t>
      </w:r>
      <w:r w:rsidR="000B27FA">
        <w:rPr>
          <w:rFonts w:eastAsia="Times New Roman" w:hint="cs"/>
          <w:rtl/>
        </w:rPr>
        <w:t>ו</w:t>
      </w:r>
      <w:bookmarkEnd w:id="84"/>
      <w:bookmarkEnd w:id="85"/>
      <w:bookmarkEnd w:id="86"/>
      <w:bookmarkEnd w:id="87"/>
    </w:p>
    <w:p w:rsidR="00271D14" w:rsidRDefault="00271D14" w:rsidP="00604C3D">
      <w:pPr>
        <w:spacing w:line="269" w:lineRule="auto"/>
        <w:ind w:hanging="2"/>
        <w:rPr>
          <w:rFonts w:eastAsia="Calibri"/>
          <w:szCs w:val="20"/>
          <w:rtl/>
        </w:rPr>
      </w:pPr>
      <w:bookmarkStart w:id="89" w:name="_Toc138576058"/>
    </w:p>
    <w:p w:rsidR="00082C78" w:rsidRPr="00082C78" w:rsidRDefault="00082C78" w:rsidP="00520E80">
      <w:pPr>
        <w:spacing w:line="269" w:lineRule="auto"/>
        <w:ind w:left="360"/>
        <w:rPr>
          <w:rFonts w:ascii="David" w:eastAsia="Calibri" w:hAnsi="David"/>
          <w:sz w:val="24"/>
          <w:rtl/>
        </w:rPr>
      </w:pPr>
      <w:r w:rsidRPr="00520E80">
        <w:rPr>
          <w:rFonts w:eastAsia="Century Gothic" w:hint="cs"/>
          <w:rtl/>
        </w:rPr>
        <w:t>המשטרה</w:t>
      </w:r>
      <w:r w:rsidRPr="00082C78">
        <w:rPr>
          <w:rFonts w:ascii="David" w:eastAsia="Calibri" w:hAnsi="David" w:hint="cs"/>
          <w:sz w:val="24"/>
          <w:rtl/>
        </w:rPr>
        <w:t xml:space="preserve"> מחזיקה בכלי טכנולוגי מסוים, בעל יכולות שונות ומגוונות, המשמש אותה לצורך ביצוע האזנות סתר. </w:t>
      </w:r>
    </w:p>
    <w:p w:rsidR="00271D14" w:rsidRPr="000F0462" w:rsidRDefault="00271D14" w:rsidP="00604C3D">
      <w:pPr>
        <w:spacing w:line="269" w:lineRule="auto"/>
        <w:ind w:hanging="2"/>
        <w:contextualSpacing/>
        <w:rPr>
          <w:rFonts w:ascii="David" w:eastAsia="Calibri" w:hAnsi="David"/>
          <w:sz w:val="24"/>
          <w:rtl/>
        </w:rPr>
      </w:pPr>
    </w:p>
    <w:p w:rsidR="008A39ED" w:rsidRPr="00082C78" w:rsidRDefault="008A39ED" w:rsidP="00520E80">
      <w:pPr>
        <w:spacing w:line="269" w:lineRule="auto"/>
        <w:ind w:left="360"/>
        <w:rPr>
          <w:rFonts w:ascii="David" w:eastAsia="Calibri" w:hAnsi="David"/>
          <w:sz w:val="24"/>
          <w:rtl/>
        </w:rPr>
      </w:pPr>
      <w:r w:rsidRPr="00082C78">
        <w:rPr>
          <w:rFonts w:ascii="David" w:eastAsia="Calibri" w:hAnsi="David" w:hint="cs"/>
          <w:sz w:val="24"/>
          <w:rtl/>
        </w:rPr>
        <w:t>בנובמבר 2012, במסגרת פגיש</w:t>
      </w:r>
      <w:r w:rsidR="007A43BB">
        <w:rPr>
          <w:rFonts w:ascii="David" w:eastAsia="Calibri" w:hAnsi="David" w:hint="cs"/>
          <w:sz w:val="24"/>
          <w:rtl/>
        </w:rPr>
        <w:t>ו</w:t>
      </w:r>
      <w:r w:rsidRPr="00082C78">
        <w:rPr>
          <w:rFonts w:ascii="David" w:eastAsia="Calibri" w:hAnsi="David" w:hint="cs"/>
          <w:sz w:val="24"/>
          <w:rtl/>
        </w:rPr>
        <w:t>ת עבודה בין החברה המפתחת לבין גורמי המשטרה</w:t>
      </w:r>
      <w:r w:rsidR="00382AE8">
        <w:rPr>
          <w:rFonts w:ascii="David" w:eastAsia="Calibri" w:hAnsi="David" w:hint="cs"/>
          <w:sz w:val="24"/>
          <w:rtl/>
        </w:rPr>
        <w:t xml:space="preserve"> </w:t>
      </w:r>
      <w:r w:rsidRPr="00082C78">
        <w:rPr>
          <w:rFonts w:ascii="David" w:eastAsia="Calibri" w:hAnsi="David" w:hint="cs"/>
          <w:sz w:val="24"/>
          <w:rtl/>
        </w:rPr>
        <w:t>הוצג הכלי הטכנולוגי</w:t>
      </w:r>
      <w:r w:rsidR="00A63A99">
        <w:rPr>
          <w:rFonts w:ascii="David" w:eastAsia="Calibri" w:hAnsi="David" w:hint="cs"/>
          <w:sz w:val="24"/>
          <w:rtl/>
        </w:rPr>
        <w:t xml:space="preserve">. </w:t>
      </w:r>
      <w:r w:rsidR="007A43BB">
        <w:rPr>
          <w:rFonts w:ascii="David" w:eastAsia="Calibri" w:hAnsi="David" w:hint="cs"/>
          <w:sz w:val="24"/>
          <w:rtl/>
        </w:rPr>
        <w:t>לאחר מכן,</w:t>
      </w:r>
      <w:r w:rsidRPr="00082C78">
        <w:rPr>
          <w:rFonts w:ascii="David" w:eastAsia="Calibri" w:hAnsi="David" w:hint="cs"/>
          <w:sz w:val="24"/>
          <w:rtl/>
        </w:rPr>
        <w:t xml:space="preserve"> </w:t>
      </w:r>
      <w:bookmarkStart w:id="90" w:name="_Hlk203284982"/>
      <w:r w:rsidRPr="00082C78">
        <w:rPr>
          <w:rFonts w:ascii="David" w:eastAsia="Calibri" w:hAnsi="David" w:hint="cs"/>
          <w:sz w:val="24"/>
          <w:rtl/>
        </w:rPr>
        <w:t xml:space="preserve">התייחס גורם ביחידה מקצועית בחטיבת הסייבר </w:t>
      </w:r>
      <w:r w:rsidR="002D09C9" w:rsidRPr="002D09C9">
        <w:rPr>
          <w:rFonts w:ascii="David" w:eastAsia="Calibri" w:hAnsi="David" w:hint="cs"/>
          <w:sz w:val="24"/>
          <w:rtl/>
        </w:rPr>
        <w:t xml:space="preserve">שאינו גורם משפטי מוסמך </w:t>
      </w:r>
      <w:r w:rsidR="00287F4C">
        <w:rPr>
          <w:rFonts w:ascii="David" w:eastAsia="Calibri" w:hAnsi="David" w:hint="cs"/>
          <w:sz w:val="24"/>
          <w:rtl/>
        </w:rPr>
        <w:t xml:space="preserve">במסמך </w:t>
      </w:r>
      <w:r w:rsidR="00287F4C" w:rsidRPr="00520E80">
        <w:rPr>
          <w:rFonts w:eastAsia="Century Gothic" w:hint="cs"/>
          <w:rtl/>
        </w:rPr>
        <w:t>פנים</w:t>
      </w:r>
      <w:r w:rsidR="00287F4C">
        <w:rPr>
          <w:rFonts w:ascii="David" w:eastAsia="Calibri" w:hAnsi="David" w:hint="cs"/>
          <w:sz w:val="24"/>
          <w:rtl/>
        </w:rPr>
        <w:t xml:space="preserve">-משטרתי </w:t>
      </w:r>
      <w:r w:rsidRPr="00082C78">
        <w:rPr>
          <w:rFonts w:ascii="David" w:eastAsia="Calibri" w:hAnsi="David" w:hint="cs"/>
          <w:sz w:val="24"/>
          <w:rtl/>
        </w:rPr>
        <w:t>להיבטים משפטיים הנוגעים לכלי ואישר כי מהבחינה המשפטית המשטרה מוסמכת להשתמש בו.</w:t>
      </w:r>
      <w:r w:rsidR="00EF3E96">
        <w:rPr>
          <w:rFonts w:ascii="David" w:eastAsia="Calibri" w:hAnsi="David" w:hint="cs"/>
          <w:sz w:val="24"/>
          <w:rtl/>
        </w:rPr>
        <w:t xml:space="preserve"> </w:t>
      </w:r>
      <w:bookmarkStart w:id="91" w:name="_Hlk204771548"/>
      <w:r w:rsidR="00EF3E96">
        <w:rPr>
          <w:rFonts w:ascii="David" w:eastAsia="Calibri" w:hAnsi="David" w:hint="cs"/>
          <w:sz w:val="24"/>
          <w:rtl/>
        </w:rPr>
        <w:t xml:space="preserve">מסמך זה הופץ גם </w:t>
      </w:r>
      <w:r w:rsidR="003933C3">
        <w:rPr>
          <w:rFonts w:ascii="David" w:eastAsia="Calibri" w:hAnsi="David" w:hint="cs"/>
          <w:sz w:val="24"/>
          <w:rtl/>
        </w:rPr>
        <w:t>ל</w:t>
      </w:r>
      <w:r w:rsidR="00EF3E96">
        <w:rPr>
          <w:rFonts w:ascii="David" w:eastAsia="Calibri" w:hAnsi="David" w:hint="cs"/>
          <w:sz w:val="24"/>
          <w:rtl/>
        </w:rPr>
        <w:t>ייעוץ המשפטי למשטרה</w:t>
      </w:r>
      <w:bookmarkEnd w:id="91"/>
      <w:r w:rsidR="00EF3E96">
        <w:rPr>
          <w:rFonts w:ascii="David" w:eastAsia="Calibri" w:hAnsi="David" w:hint="cs"/>
          <w:sz w:val="24"/>
          <w:rtl/>
        </w:rPr>
        <w:t>.</w:t>
      </w:r>
      <w:r w:rsidRPr="00082C78">
        <w:rPr>
          <w:rFonts w:ascii="David" w:eastAsia="Calibri" w:hAnsi="David" w:hint="cs"/>
          <w:sz w:val="24"/>
          <w:rtl/>
        </w:rPr>
        <w:t xml:space="preserve"> </w:t>
      </w:r>
      <w:bookmarkEnd w:id="90"/>
      <w:r w:rsidRPr="00082C78">
        <w:rPr>
          <w:rFonts w:ascii="David" w:eastAsia="Calibri" w:hAnsi="David" w:hint="cs"/>
          <w:sz w:val="24"/>
          <w:rtl/>
        </w:rPr>
        <w:t>בהתאם לאישור נקבע כי "בנימוק הבקשה שמוגשת לבית המשפט להוצאת צו להאזנת סתר תפורט הדרך בה מבוצעת האזנת סתר באמצעות חדירה מרחוק למכשיר</w:t>
      </w:r>
      <w:r w:rsidR="00746A11">
        <w:rPr>
          <w:rFonts w:ascii="David" w:eastAsia="Calibri" w:hAnsi="David" w:hint="cs"/>
          <w:sz w:val="24"/>
          <w:rtl/>
        </w:rPr>
        <w:t>.</w:t>
      </w:r>
      <w:r w:rsidR="00D12B38">
        <w:rPr>
          <w:rFonts w:ascii="David" w:eastAsia="Calibri" w:hAnsi="David" w:hint="cs"/>
          <w:sz w:val="24"/>
          <w:rtl/>
        </w:rPr>
        <w:t>..</w:t>
      </w:r>
      <w:r w:rsidRPr="00082C78">
        <w:rPr>
          <w:rFonts w:ascii="David" w:eastAsia="Calibri" w:hAnsi="David" w:hint="cs"/>
          <w:sz w:val="24"/>
          <w:rtl/>
        </w:rPr>
        <w:t>"</w:t>
      </w:r>
      <w:r w:rsidRPr="00082C78">
        <w:rPr>
          <w:rFonts w:ascii="David" w:eastAsia="Calibri" w:hAnsi="David" w:hint="cs"/>
          <w:rtl/>
        </w:rPr>
        <w:t>.</w:t>
      </w:r>
    </w:p>
    <w:p w:rsidR="00082C78" w:rsidRPr="00082C78" w:rsidRDefault="00082C78" w:rsidP="00604C3D">
      <w:pPr>
        <w:spacing w:line="269" w:lineRule="auto"/>
        <w:ind w:hanging="2"/>
        <w:contextualSpacing/>
        <w:rPr>
          <w:rFonts w:ascii="David" w:eastAsia="Calibri" w:hAnsi="David"/>
          <w:sz w:val="24"/>
          <w:rtl/>
        </w:rPr>
      </w:pPr>
    </w:p>
    <w:p w:rsidR="00082C78" w:rsidRPr="00082C78" w:rsidRDefault="00082C78" w:rsidP="00520E80">
      <w:pPr>
        <w:spacing w:line="269" w:lineRule="auto"/>
        <w:ind w:left="360"/>
        <w:rPr>
          <w:rFonts w:ascii="David" w:eastAsia="Calibri" w:hAnsi="David"/>
          <w:sz w:val="24"/>
          <w:rtl/>
        </w:rPr>
      </w:pPr>
      <w:bookmarkStart w:id="92" w:name="_Hlk181188033"/>
      <w:r w:rsidRPr="00082C78">
        <w:rPr>
          <w:rFonts w:ascii="David" w:eastAsia="Calibri" w:hAnsi="David" w:hint="cs"/>
          <w:sz w:val="24"/>
          <w:rtl/>
        </w:rPr>
        <w:t xml:space="preserve">בשנת 2013 סיפקה </w:t>
      </w:r>
      <w:r w:rsidRPr="00520E80">
        <w:rPr>
          <w:rFonts w:eastAsia="Century Gothic" w:hint="cs"/>
          <w:rtl/>
        </w:rPr>
        <w:t>החברה</w:t>
      </w:r>
      <w:r w:rsidRPr="00082C78">
        <w:rPr>
          <w:rFonts w:ascii="David" w:eastAsia="Calibri" w:hAnsi="David" w:hint="cs"/>
          <w:sz w:val="24"/>
          <w:rtl/>
        </w:rPr>
        <w:t xml:space="preserve"> המפתחת למשטרה את הכלי, והיא החלה לבצע בו ניסויי הפעלה: הוא הותקן על שרת ועל מחשב של המשטרה והופעל על כמה </w:t>
      </w:r>
      <w:r w:rsidR="002D6137">
        <w:rPr>
          <w:rFonts w:ascii="David" w:eastAsia="Calibri" w:hAnsi="David" w:hint="cs"/>
          <w:sz w:val="24"/>
          <w:rtl/>
        </w:rPr>
        <w:t xml:space="preserve">אמצעים </w:t>
      </w:r>
      <w:r w:rsidRPr="00082C78">
        <w:rPr>
          <w:rFonts w:ascii="David" w:eastAsia="Calibri" w:hAnsi="David" w:hint="cs"/>
          <w:sz w:val="24"/>
          <w:rtl/>
        </w:rPr>
        <w:t>שלה. ניסויים אלו נמשכו כשנתיים.</w:t>
      </w:r>
    </w:p>
    <w:bookmarkEnd w:id="92"/>
    <w:p w:rsidR="00082C78" w:rsidRPr="00082C78" w:rsidRDefault="00082C78" w:rsidP="00604C3D">
      <w:pPr>
        <w:spacing w:line="269" w:lineRule="auto"/>
        <w:ind w:left="-58"/>
        <w:contextualSpacing/>
        <w:rPr>
          <w:rFonts w:ascii="David" w:eastAsia="Calibri" w:hAnsi="David"/>
          <w:color w:val="FF0000"/>
          <w:sz w:val="24"/>
          <w:rtl/>
        </w:rPr>
      </w:pPr>
    </w:p>
    <w:p w:rsidR="00082C78" w:rsidRPr="00082C78" w:rsidRDefault="00082C78" w:rsidP="00520E80">
      <w:pPr>
        <w:spacing w:line="269" w:lineRule="auto"/>
        <w:ind w:left="360"/>
        <w:rPr>
          <w:rFonts w:ascii="David" w:eastAsia="Calibri" w:hAnsi="David"/>
          <w:sz w:val="24"/>
          <w:rtl/>
        </w:rPr>
      </w:pPr>
      <w:r w:rsidRPr="00082C78">
        <w:rPr>
          <w:rFonts w:ascii="David" w:eastAsia="Calibri" w:hAnsi="David" w:hint="cs"/>
          <w:sz w:val="24"/>
          <w:rtl/>
        </w:rPr>
        <w:t>בשנת 2014 התנהל הליך של הצגת דרישות המשטרה לחברה המפתחת; בינואר 2015 רכשה המשטרה את הכלי, וביוני 2015 נחתם מסמך תכולות עבודה</w:t>
      </w:r>
      <w:r w:rsidR="00AB3CBC">
        <w:rPr>
          <w:rStyle w:val="af"/>
          <w:rFonts w:ascii="David" w:eastAsia="Calibri" w:hAnsi="David"/>
          <w:sz w:val="24"/>
          <w:rtl/>
        </w:rPr>
        <w:footnoteReference w:id="43"/>
      </w:r>
      <w:r w:rsidRPr="00082C78">
        <w:rPr>
          <w:rFonts w:ascii="David" w:eastAsia="Calibri" w:hAnsi="David" w:hint="cs"/>
          <w:sz w:val="24"/>
          <w:rtl/>
        </w:rPr>
        <w:t>.</w:t>
      </w:r>
    </w:p>
    <w:p w:rsidR="00082C78" w:rsidRPr="00082C78" w:rsidRDefault="00082C78" w:rsidP="00604C3D">
      <w:pPr>
        <w:spacing w:line="269" w:lineRule="auto"/>
        <w:ind w:left="-2"/>
        <w:contextualSpacing/>
        <w:rPr>
          <w:rFonts w:ascii="David" w:eastAsia="Calibri" w:hAnsi="David"/>
          <w:sz w:val="24"/>
          <w:rtl/>
        </w:rPr>
      </w:pPr>
    </w:p>
    <w:p w:rsidR="00082C78" w:rsidRPr="00082C78" w:rsidRDefault="00082C78" w:rsidP="00520E80">
      <w:pPr>
        <w:spacing w:line="269" w:lineRule="auto"/>
        <w:ind w:left="360"/>
        <w:rPr>
          <w:rFonts w:ascii="David" w:eastAsia="Calibri" w:hAnsi="David"/>
          <w:sz w:val="24"/>
          <w:rtl/>
        </w:rPr>
      </w:pPr>
      <w:r w:rsidRPr="00082C78">
        <w:rPr>
          <w:rFonts w:ascii="David" w:eastAsia="Calibri" w:hAnsi="David" w:hint="cs"/>
          <w:sz w:val="24"/>
          <w:rtl/>
        </w:rPr>
        <w:t xml:space="preserve">בינואר 2015 נערך דיון </w:t>
      </w:r>
      <w:r w:rsidR="00181AAD">
        <w:rPr>
          <w:rFonts w:ascii="David" w:eastAsia="Calibri" w:hAnsi="David" w:hint="cs"/>
          <w:sz w:val="24"/>
          <w:rtl/>
        </w:rPr>
        <w:t>בחטיבת הסייבר</w:t>
      </w:r>
      <w:r w:rsidR="00181AAD" w:rsidRPr="00082C78">
        <w:rPr>
          <w:rFonts w:ascii="David" w:eastAsia="Calibri" w:hAnsi="David" w:hint="cs"/>
          <w:sz w:val="24"/>
          <w:rtl/>
        </w:rPr>
        <w:t xml:space="preserve"> </w:t>
      </w:r>
      <w:r w:rsidRPr="00082C78">
        <w:rPr>
          <w:rFonts w:ascii="David" w:eastAsia="Calibri" w:hAnsi="David" w:hint="cs"/>
          <w:sz w:val="24"/>
          <w:rtl/>
        </w:rPr>
        <w:t xml:space="preserve">בהשתתפות </w:t>
      </w:r>
      <w:r w:rsidR="00181AAD">
        <w:rPr>
          <w:rFonts w:ascii="David" w:eastAsia="Calibri" w:hAnsi="David" w:hint="cs"/>
          <w:sz w:val="24"/>
          <w:rtl/>
        </w:rPr>
        <w:t xml:space="preserve">נציגי </w:t>
      </w:r>
      <w:r w:rsidRPr="00082C78">
        <w:rPr>
          <w:rFonts w:ascii="David" w:eastAsia="Calibri" w:hAnsi="David" w:hint="cs"/>
          <w:sz w:val="24"/>
          <w:rtl/>
        </w:rPr>
        <w:t>יועמ"ש המשטרה וגורמים נוספים שמטרתו "הכרת מדיניות הפעלת הכלי ובחינת הרחבה לשימושים נוספים". בדיון קבע רח"ט סיגינט כי נדרשת בחינה מעמיקה למיפוי המותר והאסור בשימוש בכלי, ושיש לבחון כיצד להרחיב את השימוש בכלי זה תחת "כנפי החוק". ביוני 2015 נקבע כי יש לנטרל יכולות מסוימות שיש בכלי שאסורות משפטית לשימוש אך לא נקבע לוח זמנים לנטרולן.</w:t>
      </w:r>
    </w:p>
    <w:p w:rsidR="00082C78" w:rsidRPr="00082C78" w:rsidRDefault="00082C78" w:rsidP="000F0462">
      <w:pPr>
        <w:spacing w:line="269" w:lineRule="auto"/>
        <w:ind w:left="-2"/>
        <w:contextualSpacing/>
        <w:rPr>
          <w:rFonts w:ascii="David" w:eastAsia="Calibri" w:hAnsi="David"/>
          <w:color w:val="FF0000"/>
          <w:sz w:val="24"/>
          <w:rtl/>
        </w:rPr>
      </w:pPr>
    </w:p>
    <w:p w:rsidR="00AC2F7C" w:rsidRPr="00BE6755" w:rsidRDefault="00AC2F7C" w:rsidP="00520E80">
      <w:pPr>
        <w:spacing w:line="269" w:lineRule="auto"/>
        <w:ind w:left="360"/>
        <w:rPr>
          <w:rFonts w:ascii="David" w:eastAsia="Calibri" w:hAnsi="David"/>
          <w:b/>
          <w:bCs/>
          <w:sz w:val="24"/>
        </w:rPr>
      </w:pPr>
      <w:bookmarkStart w:id="93" w:name="_Hlk203284618"/>
      <w:r w:rsidRPr="00BE6755">
        <w:rPr>
          <w:rFonts w:ascii="David" w:eastAsia="Calibri" w:hAnsi="David" w:hint="eastAsia"/>
          <w:b/>
          <w:bCs/>
          <w:sz w:val="24"/>
          <w:rtl/>
        </w:rPr>
        <w:t>בינואר</w:t>
      </w:r>
      <w:r w:rsidRPr="00BE6755">
        <w:rPr>
          <w:rFonts w:ascii="David" w:eastAsia="Calibri" w:hAnsi="David"/>
          <w:b/>
          <w:bCs/>
          <w:sz w:val="24"/>
          <w:rtl/>
        </w:rPr>
        <w:t xml:space="preserve"> 2016 </w:t>
      </w:r>
      <w:r w:rsidRPr="00BE6755">
        <w:rPr>
          <w:rFonts w:ascii="David" w:eastAsia="Calibri" w:hAnsi="David" w:hint="eastAsia"/>
          <w:b/>
          <w:bCs/>
          <w:sz w:val="24"/>
          <w:rtl/>
        </w:rPr>
        <w:t>פירט</w:t>
      </w:r>
      <w:r w:rsidRPr="00BE6755">
        <w:rPr>
          <w:rFonts w:ascii="David" w:eastAsia="Calibri" w:hAnsi="David"/>
          <w:b/>
          <w:bCs/>
          <w:sz w:val="24"/>
          <w:rtl/>
        </w:rPr>
        <w:t xml:space="preserve"> </w:t>
      </w:r>
      <w:r w:rsidRPr="00BE6755">
        <w:rPr>
          <w:rFonts w:ascii="David" w:eastAsia="Calibri" w:hAnsi="David" w:hint="eastAsia"/>
          <w:b/>
          <w:bCs/>
          <w:sz w:val="24"/>
          <w:rtl/>
        </w:rPr>
        <w:t>גורם</w:t>
      </w:r>
      <w:r w:rsidRPr="00BE6755">
        <w:rPr>
          <w:rFonts w:ascii="David" w:eastAsia="Calibri" w:hAnsi="David"/>
          <w:b/>
          <w:bCs/>
          <w:sz w:val="24"/>
          <w:rtl/>
        </w:rPr>
        <w:t xml:space="preserve"> </w:t>
      </w:r>
      <w:r w:rsidRPr="00BE6755">
        <w:rPr>
          <w:rFonts w:ascii="David" w:eastAsia="Calibri" w:hAnsi="David" w:hint="eastAsia"/>
          <w:b/>
          <w:bCs/>
          <w:sz w:val="24"/>
          <w:rtl/>
        </w:rPr>
        <w:t>מקצועי</w:t>
      </w:r>
      <w:r w:rsidRPr="00BE6755">
        <w:rPr>
          <w:rFonts w:ascii="David" w:eastAsia="Calibri" w:hAnsi="David"/>
          <w:b/>
          <w:bCs/>
          <w:sz w:val="24"/>
          <w:rtl/>
        </w:rPr>
        <w:t xml:space="preserve"> </w:t>
      </w:r>
      <w:r w:rsidRPr="00BE6755">
        <w:rPr>
          <w:rFonts w:ascii="David" w:eastAsia="Calibri" w:hAnsi="David" w:hint="eastAsia"/>
          <w:b/>
          <w:bCs/>
          <w:sz w:val="24"/>
          <w:rtl/>
        </w:rPr>
        <w:t>בחטיבת</w:t>
      </w:r>
      <w:r w:rsidRPr="00BE6755">
        <w:rPr>
          <w:rFonts w:ascii="David" w:eastAsia="Calibri" w:hAnsi="David"/>
          <w:b/>
          <w:bCs/>
          <w:sz w:val="24"/>
          <w:rtl/>
        </w:rPr>
        <w:t xml:space="preserve"> </w:t>
      </w:r>
      <w:r w:rsidRPr="00BE6755">
        <w:rPr>
          <w:rFonts w:ascii="David" w:eastAsia="Calibri" w:hAnsi="David" w:hint="eastAsia"/>
          <w:b/>
          <w:bCs/>
          <w:sz w:val="24"/>
          <w:rtl/>
        </w:rPr>
        <w:t>הסייבר</w:t>
      </w:r>
      <w:r w:rsidR="008149C7" w:rsidRPr="00BE6755">
        <w:rPr>
          <w:rFonts w:ascii="David" w:eastAsia="Calibri" w:hAnsi="David"/>
          <w:b/>
          <w:bCs/>
          <w:sz w:val="24"/>
          <w:rtl/>
        </w:rPr>
        <w:t xml:space="preserve"> במסמך</w:t>
      </w:r>
      <w:r w:rsidRPr="00BE6755">
        <w:rPr>
          <w:rFonts w:ascii="David" w:eastAsia="Calibri" w:hAnsi="David"/>
          <w:b/>
          <w:bCs/>
          <w:sz w:val="24"/>
          <w:rtl/>
        </w:rPr>
        <w:t xml:space="preserve"> </w:t>
      </w:r>
      <w:r w:rsidR="0073487A">
        <w:rPr>
          <w:rFonts w:ascii="David" w:eastAsia="Calibri" w:hAnsi="David" w:hint="cs"/>
          <w:b/>
          <w:bCs/>
          <w:sz w:val="24"/>
          <w:rtl/>
        </w:rPr>
        <w:t xml:space="preserve">פנימי </w:t>
      </w:r>
      <w:r w:rsidRPr="00BE6755">
        <w:rPr>
          <w:rFonts w:ascii="David" w:eastAsia="Calibri" w:hAnsi="David" w:hint="eastAsia"/>
          <w:b/>
          <w:bCs/>
          <w:sz w:val="24"/>
          <w:rtl/>
        </w:rPr>
        <w:t>את</w:t>
      </w:r>
      <w:r w:rsidRPr="00BE6755">
        <w:rPr>
          <w:rFonts w:ascii="David" w:eastAsia="Calibri" w:hAnsi="David"/>
          <w:b/>
          <w:bCs/>
          <w:sz w:val="24"/>
          <w:rtl/>
        </w:rPr>
        <w:t xml:space="preserve"> כל סוגי התוצרים המתקבלים </w:t>
      </w:r>
      <w:r w:rsidRPr="00520E80">
        <w:rPr>
          <w:rFonts w:ascii="David" w:eastAsia="Calibri" w:hAnsi="David"/>
          <w:sz w:val="24"/>
          <w:rtl/>
        </w:rPr>
        <w:t>בכלי</w:t>
      </w:r>
      <w:r w:rsidRPr="00BE6755">
        <w:rPr>
          <w:rFonts w:ascii="David" w:eastAsia="Calibri" w:hAnsi="David"/>
          <w:b/>
          <w:bCs/>
          <w:sz w:val="24"/>
          <w:rtl/>
        </w:rPr>
        <w:t xml:space="preserve"> זה </w:t>
      </w:r>
      <w:r w:rsidRPr="00BE6755">
        <w:rPr>
          <w:rFonts w:ascii="David" w:eastAsia="Calibri" w:hAnsi="David" w:hint="eastAsia"/>
          <w:b/>
          <w:bCs/>
          <w:sz w:val="24"/>
          <w:rtl/>
        </w:rPr>
        <w:t>במטרה</w:t>
      </w:r>
      <w:r w:rsidRPr="00BE6755">
        <w:rPr>
          <w:rFonts w:ascii="David" w:eastAsia="Calibri" w:hAnsi="David"/>
          <w:b/>
          <w:bCs/>
          <w:sz w:val="24"/>
          <w:rtl/>
        </w:rPr>
        <w:t xml:space="preserve"> </w:t>
      </w:r>
      <w:r w:rsidRPr="00BE6755">
        <w:rPr>
          <w:rFonts w:ascii="David" w:eastAsia="Calibri" w:hAnsi="David" w:hint="eastAsia"/>
          <w:b/>
          <w:bCs/>
          <w:sz w:val="24"/>
          <w:rtl/>
        </w:rPr>
        <w:t>לקבל</w:t>
      </w:r>
      <w:r w:rsidRPr="00BE6755">
        <w:rPr>
          <w:rFonts w:ascii="David" w:eastAsia="Calibri" w:hAnsi="David"/>
          <w:b/>
          <w:bCs/>
          <w:sz w:val="24"/>
          <w:rtl/>
        </w:rPr>
        <w:t xml:space="preserve"> </w:t>
      </w:r>
      <w:r w:rsidRPr="00BE6755">
        <w:rPr>
          <w:rFonts w:ascii="David" w:eastAsia="Calibri" w:hAnsi="David" w:hint="eastAsia"/>
          <w:b/>
          <w:bCs/>
          <w:sz w:val="24"/>
          <w:rtl/>
        </w:rPr>
        <w:t>אישור</w:t>
      </w:r>
      <w:r w:rsidRPr="00BE6755">
        <w:rPr>
          <w:rFonts w:ascii="David" w:eastAsia="Calibri" w:hAnsi="David"/>
          <w:b/>
          <w:bCs/>
          <w:sz w:val="24"/>
          <w:rtl/>
        </w:rPr>
        <w:t xml:space="preserve"> </w:t>
      </w:r>
      <w:r w:rsidRPr="00BE6755">
        <w:rPr>
          <w:rFonts w:ascii="David" w:eastAsia="Calibri" w:hAnsi="David" w:hint="eastAsia"/>
          <w:b/>
          <w:bCs/>
          <w:sz w:val="24"/>
          <w:rtl/>
        </w:rPr>
        <w:t>משפטי</w:t>
      </w:r>
      <w:r w:rsidRPr="00BE6755">
        <w:rPr>
          <w:rFonts w:ascii="David" w:eastAsia="Calibri" w:hAnsi="David"/>
          <w:b/>
          <w:bCs/>
          <w:sz w:val="24"/>
          <w:rtl/>
        </w:rPr>
        <w:t xml:space="preserve"> </w:t>
      </w:r>
      <w:r w:rsidRPr="00BE6755">
        <w:rPr>
          <w:rFonts w:ascii="David" w:eastAsia="Calibri" w:hAnsi="David" w:hint="eastAsia"/>
          <w:b/>
          <w:bCs/>
          <w:sz w:val="24"/>
          <w:rtl/>
        </w:rPr>
        <w:t>לקבלתם</w:t>
      </w:r>
      <w:r w:rsidRPr="00BE6755">
        <w:rPr>
          <w:rFonts w:ascii="David" w:eastAsia="Calibri" w:hAnsi="David"/>
          <w:b/>
          <w:bCs/>
          <w:sz w:val="24"/>
          <w:rtl/>
        </w:rPr>
        <w:t xml:space="preserve">. </w:t>
      </w:r>
      <w:r w:rsidRPr="00BE6755">
        <w:rPr>
          <w:rFonts w:ascii="David" w:eastAsia="Calibri" w:hAnsi="David" w:hint="eastAsia"/>
          <w:b/>
          <w:bCs/>
          <w:sz w:val="24"/>
          <w:rtl/>
        </w:rPr>
        <w:t>בפירוט</w:t>
      </w:r>
      <w:r w:rsidRPr="00BE6755">
        <w:rPr>
          <w:rFonts w:ascii="David" w:eastAsia="Calibri" w:hAnsi="David"/>
          <w:b/>
          <w:bCs/>
          <w:sz w:val="24"/>
          <w:rtl/>
        </w:rPr>
        <w:t xml:space="preserve"> </w:t>
      </w:r>
      <w:r w:rsidRPr="00BE6755">
        <w:rPr>
          <w:rFonts w:ascii="David" w:eastAsia="Calibri" w:hAnsi="David" w:hint="eastAsia"/>
          <w:b/>
          <w:bCs/>
          <w:sz w:val="24"/>
          <w:rtl/>
        </w:rPr>
        <w:t>נכללו</w:t>
      </w:r>
      <w:r w:rsidRPr="00BE6755">
        <w:rPr>
          <w:rFonts w:ascii="David" w:eastAsia="Calibri" w:hAnsi="David"/>
          <w:b/>
          <w:bCs/>
          <w:sz w:val="24"/>
          <w:rtl/>
        </w:rPr>
        <w:t xml:space="preserve"> </w:t>
      </w:r>
      <w:r w:rsidRPr="00BE6755">
        <w:rPr>
          <w:rFonts w:ascii="David" w:eastAsia="Calibri" w:hAnsi="David" w:hint="eastAsia"/>
          <w:b/>
          <w:bCs/>
          <w:sz w:val="24"/>
          <w:rtl/>
        </w:rPr>
        <w:t>כעשרה</w:t>
      </w:r>
      <w:r w:rsidRPr="00BE6755">
        <w:rPr>
          <w:rFonts w:ascii="David" w:eastAsia="Calibri" w:hAnsi="David"/>
          <w:b/>
          <w:bCs/>
          <w:sz w:val="24"/>
          <w:rtl/>
        </w:rPr>
        <w:t xml:space="preserve"> </w:t>
      </w:r>
      <w:r w:rsidRPr="00BE6755">
        <w:rPr>
          <w:rFonts w:ascii="David" w:eastAsia="Calibri" w:hAnsi="David" w:hint="eastAsia"/>
          <w:b/>
          <w:bCs/>
          <w:sz w:val="24"/>
          <w:rtl/>
        </w:rPr>
        <w:t>תוצרים</w:t>
      </w:r>
      <w:r w:rsidRPr="00BE6755">
        <w:rPr>
          <w:rFonts w:ascii="David" w:eastAsia="Calibri" w:hAnsi="David"/>
          <w:b/>
          <w:bCs/>
          <w:sz w:val="24"/>
          <w:rtl/>
        </w:rPr>
        <w:t xml:space="preserve"> </w:t>
      </w:r>
      <w:r w:rsidRPr="00BE6755">
        <w:rPr>
          <w:rFonts w:ascii="David" w:eastAsia="Calibri" w:hAnsi="David" w:hint="eastAsia"/>
          <w:b/>
          <w:bCs/>
          <w:sz w:val="24"/>
          <w:rtl/>
        </w:rPr>
        <w:t>ויכולות</w:t>
      </w:r>
      <w:r w:rsidR="00382AE8">
        <w:rPr>
          <w:rFonts w:ascii="David" w:eastAsia="Calibri" w:hAnsi="David"/>
          <w:b/>
          <w:bCs/>
          <w:sz w:val="24"/>
          <w:rtl/>
        </w:rPr>
        <w:t xml:space="preserve"> </w:t>
      </w:r>
      <w:r w:rsidR="002555B2">
        <w:rPr>
          <w:rFonts w:ascii="David" w:eastAsia="Calibri" w:hAnsi="David" w:hint="cs"/>
          <w:b/>
          <w:bCs/>
          <w:sz w:val="24"/>
          <w:rtl/>
        </w:rPr>
        <w:t>אסורים</w:t>
      </w:r>
      <w:r w:rsidR="00734F6D">
        <w:rPr>
          <w:rFonts w:ascii="David" w:eastAsia="Calibri" w:hAnsi="David" w:hint="cs"/>
          <w:b/>
          <w:bCs/>
          <w:sz w:val="24"/>
          <w:rtl/>
        </w:rPr>
        <w:t xml:space="preserve">, </w:t>
      </w:r>
      <w:r w:rsidRPr="00BE6755">
        <w:rPr>
          <w:rFonts w:ascii="David" w:eastAsia="Calibri" w:hAnsi="David"/>
          <w:b/>
          <w:bCs/>
          <w:sz w:val="24"/>
          <w:rtl/>
        </w:rPr>
        <w:t>אולם אלו לא נוטרלו.</w:t>
      </w:r>
    </w:p>
    <w:bookmarkEnd w:id="93"/>
    <w:p w:rsidR="00271D14" w:rsidRPr="000F0462" w:rsidRDefault="00271D14" w:rsidP="000F0462">
      <w:pPr>
        <w:spacing w:line="269" w:lineRule="auto"/>
        <w:ind w:left="-2"/>
        <w:rPr>
          <w:rFonts w:ascii="David" w:eastAsia="Calibri" w:hAnsi="David"/>
          <w:sz w:val="24"/>
          <w:rtl/>
        </w:rPr>
      </w:pPr>
    </w:p>
    <w:p w:rsidR="00082C78" w:rsidRPr="00082C78" w:rsidRDefault="00082C78" w:rsidP="00520E80">
      <w:pPr>
        <w:spacing w:line="269" w:lineRule="auto"/>
        <w:ind w:left="360"/>
        <w:rPr>
          <w:rFonts w:ascii="David" w:eastAsia="Calibri" w:hAnsi="David"/>
          <w:sz w:val="24"/>
          <w:rtl/>
        </w:rPr>
      </w:pPr>
      <w:r w:rsidRPr="00082C78">
        <w:rPr>
          <w:rFonts w:ascii="David" w:eastAsia="Calibri" w:hAnsi="David" w:hint="cs"/>
          <w:sz w:val="24"/>
          <w:rtl/>
        </w:rPr>
        <w:t xml:space="preserve">בשנת 2016 החלה המשטרה לעשות שימוש מבצעי בכלי טכנולוגי זה. </w:t>
      </w:r>
    </w:p>
    <w:p w:rsidR="00271D14" w:rsidRPr="000F0462" w:rsidRDefault="00271D14" w:rsidP="000F0462">
      <w:pPr>
        <w:spacing w:line="269" w:lineRule="auto"/>
        <w:ind w:left="-2"/>
        <w:rPr>
          <w:rFonts w:ascii="David" w:eastAsia="Calibri" w:hAnsi="David"/>
          <w:sz w:val="24"/>
          <w:rtl/>
        </w:rPr>
      </w:pPr>
    </w:p>
    <w:p w:rsidR="00082C78" w:rsidRPr="00082C78" w:rsidRDefault="00082C78" w:rsidP="00520E80">
      <w:pPr>
        <w:spacing w:line="269" w:lineRule="auto"/>
        <w:ind w:left="360"/>
        <w:rPr>
          <w:rFonts w:ascii="David" w:eastAsia="Calibri" w:hAnsi="David"/>
          <w:sz w:val="24"/>
        </w:rPr>
      </w:pPr>
      <w:r w:rsidRPr="00082C78">
        <w:rPr>
          <w:rFonts w:ascii="David" w:eastAsia="Calibri" w:hAnsi="David" w:hint="cs"/>
          <w:sz w:val="24"/>
          <w:rtl/>
        </w:rPr>
        <w:t xml:space="preserve">יש לציין כי לטענת המשטרה השימוש בכלי אושר על ידי היועמ"ש למשטרה אולם פרט לנוכחותו של </w:t>
      </w:r>
      <w:r w:rsidR="007C661A">
        <w:rPr>
          <w:rFonts w:ascii="David" w:eastAsia="Calibri" w:hAnsi="David" w:hint="cs"/>
          <w:sz w:val="24"/>
          <w:rtl/>
        </w:rPr>
        <w:t>נציג</w:t>
      </w:r>
      <w:r w:rsidR="002D09C9">
        <w:rPr>
          <w:rFonts w:ascii="David" w:eastAsia="Calibri" w:hAnsi="David" w:hint="cs"/>
          <w:sz w:val="24"/>
          <w:rtl/>
        </w:rPr>
        <w:t xml:space="preserve"> </w:t>
      </w:r>
      <w:r w:rsidRPr="00082C78">
        <w:rPr>
          <w:rFonts w:ascii="David" w:eastAsia="Calibri" w:hAnsi="David" w:hint="cs"/>
          <w:sz w:val="24"/>
          <w:rtl/>
        </w:rPr>
        <w:t xml:space="preserve">יועמ"ש המשטרה בדיון </w:t>
      </w:r>
      <w:r w:rsidR="00181AAD">
        <w:rPr>
          <w:rFonts w:ascii="David" w:eastAsia="Calibri" w:hAnsi="David" w:hint="cs"/>
          <w:sz w:val="24"/>
          <w:rtl/>
        </w:rPr>
        <w:t>בחטיבת הסייבר</w:t>
      </w:r>
      <w:r w:rsidRPr="00082C78">
        <w:rPr>
          <w:rFonts w:ascii="David" w:eastAsia="Calibri" w:hAnsi="David" w:hint="cs"/>
          <w:sz w:val="24"/>
          <w:rtl/>
        </w:rPr>
        <w:t xml:space="preserve"> על כלי</w:t>
      </w:r>
      <w:r w:rsidR="003933C3">
        <w:rPr>
          <w:rFonts w:ascii="David" w:eastAsia="Calibri" w:hAnsi="David" w:hint="cs"/>
          <w:sz w:val="24"/>
          <w:rtl/>
        </w:rPr>
        <w:t xml:space="preserve"> וכיתובו למסמך של החטיבה משנת 2012,</w:t>
      </w:r>
      <w:r w:rsidRPr="00082C78">
        <w:rPr>
          <w:rFonts w:ascii="David" w:eastAsia="Calibri" w:hAnsi="David" w:hint="cs"/>
          <w:sz w:val="24"/>
          <w:rtl/>
        </w:rPr>
        <w:t xml:space="preserve"> אין חוות דעת של גורם משפטי מוסמך כלשהו המאשרת את השימוש בכלי בטרם החלה המשטרה לעשות בו שימוש מבצעי. </w:t>
      </w:r>
    </w:p>
    <w:p w:rsidR="00271D14" w:rsidRPr="000F0462" w:rsidRDefault="00271D14" w:rsidP="000F0462">
      <w:pPr>
        <w:spacing w:line="269" w:lineRule="auto"/>
        <w:rPr>
          <w:rFonts w:ascii="David" w:eastAsia="Calibri" w:hAnsi="David"/>
          <w:sz w:val="24"/>
          <w:rtl/>
        </w:rPr>
      </w:pPr>
    </w:p>
    <w:p w:rsidR="00082C78" w:rsidRPr="00082C78" w:rsidRDefault="00082C78" w:rsidP="00520E80">
      <w:pPr>
        <w:spacing w:line="269" w:lineRule="auto"/>
        <w:ind w:left="360"/>
        <w:rPr>
          <w:rFonts w:ascii="David" w:eastAsia="Calibri" w:hAnsi="David"/>
          <w:sz w:val="24"/>
          <w:rtl/>
        </w:rPr>
      </w:pPr>
      <w:r w:rsidRPr="00082C78">
        <w:rPr>
          <w:rFonts w:ascii="David" w:eastAsia="Calibri" w:hAnsi="David" w:hint="cs"/>
          <w:sz w:val="24"/>
          <w:rtl/>
        </w:rPr>
        <w:t xml:space="preserve">עוד יצוין כי במהלך השנים </w:t>
      </w:r>
      <w:r w:rsidR="00683AAA">
        <w:rPr>
          <w:rFonts w:ascii="David" w:eastAsia="Calibri" w:hAnsi="David" w:hint="cs"/>
          <w:sz w:val="24"/>
          <w:rtl/>
        </w:rPr>
        <w:t>אישר</w:t>
      </w:r>
      <w:r w:rsidRPr="00082C78">
        <w:rPr>
          <w:rFonts w:ascii="David" w:eastAsia="Calibri" w:hAnsi="David" w:hint="cs"/>
          <w:sz w:val="24"/>
          <w:rtl/>
        </w:rPr>
        <w:t xml:space="preserve"> הייעוץ המשפטי למשטרה שימושים בכלי הטכנולוגי לצורך יכולות מסוימות שלו, ואולם אין מדובר באישור של הכלי בשלב הפעלתו המבצעית ולגבי כלל יכולותיו ומתווי ההפעלה שלו. </w:t>
      </w:r>
    </w:p>
    <w:p w:rsidR="00082C78" w:rsidRPr="00082C78" w:rsidRDefault="00082C78" w:rsidP="00520E80">
      <w:pPr>
        <w:spacing w:line="269" w:lineRule="auto"/>
        <w:ind w:left="360"/>
        <w:rPr>
          <w:rFonts w:ascii="David" w:eastAsia="Calibri" w:hAnsi="David"/>
          <w:sz w:val="24"/>
          <w:rtl/>
        </w:rPr>
      </w:pPr>
    </w:p>
    <w:p w:rsidR="00082C78" w:rsidRPr="00082C78" w:rsidRDefault="00082C78" w:rsidP="00520E80">
      <w:pPr>
        <w:spacing w:line="269" w:lineRule="auto"/>
        <w:ind w:left="360"/>
        <w:rPr>
          <w:rFonts w:ascii="David" w:eastAsia="Calibri" w:hAnsi="David"/>
          <w:sz w:val="24"/>
          <w:rtl/>
        </w:rPr>
      </w:pPr>
      <w:r w:rsidRPr="00082C78">
        <w:rPr>
          <w:rFonts w:ascii="David" w:eastAsia="Calibri" w:hAnsi="David" w:hint="cs"/>
          <w:sz w:val="24"/>
          <w:rtl/>
        </w:rPr>
        <w:t>בתשובתה כתבה המשטרה כי הכלי</w:t>
      </w:r>
      <w:r w:rsidR="00382AE8">
        <w:rPr>
          <w:rFonts w:ascii="David" w:eastAsia="Calibri" w:hAnsi="David" w:hint="cs"/>
          <w:sz w:val="24"/>
          <w:rtl/>
        </w:rPr>
        <w:t xml:space="preserve"> </w:t>
      </w:r>
      <w:r w:rsidRPr="00082C78">
        <w:rPr>
          <w:rFonts w:ascii="David" w:eastAsia="Calibri" w:hAnsi="David" w:hint="cs"/>
          <w:sz w:val="24"/>
          <w:rtl/>
        </w:rPr>
        <w:t>פותח על ידי החברה עבור השוק הפרטי ולכן אינו מותאם באופן מלא לחקיקה בישראל; הליך הרכש של הכלי נעשה תוך התאמת השימוש בו לגבולות של חוק האזנת סתר, לרבות ניוון חלק מהיכולות שלו באופן טכנולוגי. נוסף על כך, המשטרה הסדירה בנוהלי עבודתה את האיסור להפיק ממנו תוצרים מסוימים</w:t>
      </w:r>
      <w:r w:rsidR="00382AE8">
        <w:rPr>
          <w:rFonts w:ascii="David" w:eastAsia="Calibri" w:hAnsi="David" w:hint="cs"/>
          <w:sz w:val="24"/>
          <w:rtl/>
        </w:rPr>
        <w:t xml:space="preserve"> </w:t>
      </w:r>
      <w:r w:rsidRPr="00082C78">
        <w:rPr>
          <w:rFonts w:ascii="David" w:eastAsia="Calibri" w:hAnsi="David" w:hint="cs"/>
          <w:sz w:val="24"/>
          <w:rtl/>
        </w:rPr>
        <w:t xml:space="preserve">(גידור מתודולוגי). </w:t>
      </w:r>
    </w:p>
    <w:p w:rsidR="00082C78" w:rsidRPr="00082C78" w:rsidRDefault="00082C78" w:rsidP="00520E80">
      <w:pPr>
        <w:spacing w:line="269" w:lineRule="auto"/>
        <w:ind w:left="360"/>
        <w:rPr>
          <w:rFonts w:ascii="David" w:eastAsia="Calibri" w:hAnsi="David"/>
          <w:sz w:val="24"/>
          <w:rtl/>
        </w:rPr>
      </w:pPr>
      <w:r w:rsidRPr="00082C78">
        <w:rPr>
          <w:rFonts w:ascii="David" w:eastAsia="Calibri" w:hAnsi="David" w:hint="cs"/>
          <w:sz w:val="24"/>
          <w:rtl/>
        </w:rPr>
        <w:t xml:space="preserve"> </w:t>
      </w:r>
    </w:p>
    <w:p w:rsidR="00AC2F7C" w:rsidRPr="00082C78" w:rsidRDefault="00AC2F7C" w:rsidP="00520E80">
      <w:pPr>
        <w:spacing w:line="269" w:lineRule="auto"/>
        <w:ind w:left="360"/>
        <w:rPr>
          <w:rFonts w:ascii="David" w:eastAsia="Calibri" w:hAnsi="David"/>
          <w:sz w:val="24"/>
          <w:rtl/>
        </w:rPr>
      </w:pPr>
      <w:r w:rsidRPr="00082C78">
        <w:rPr>
          <w:rFonts w:ascii="David" w:eastAsia="Calibri" w:hAnsi="David" w:hint="cs"/>
          <w:sz w:val="24"/>
          <w:rtl/>
        </w:rPr>
        <w:t xml:space="preserve">המשטרה </w:t>
      </w:r>
      <w:r w:rsidR="00683AAA">
        <w:rPr>
          <w:rFonts w:ascii="David" w:eastAsia="Calibri" w:hAnsi="David" w:hint="cs"/>
          <w:sz w:val="24"/>
          <w:rtl/>
        </w:rPr>
        <w:t>הוסיפה</w:t>
      </w:r>
      <w:r w:rsidR="00683AAA" w:rsidRPr="00082C78">
        <w:rPr>
          <w:rFonts w:ascii="David" w:eastAsia="Calibri" w:hAnsi="David" w:hint="cs"/>
          <w:sz w:val="24"/>
          <w:rtl/>
        </w:rPr>
        <w:t xml:space="preserve"> </w:t>
      </w:r>
      <w:r w:rsidRPr="00082C78">
        <w:rPr>
          <w:rFonts w:ascii="David" w:eastAsia="Calibri" w:hAnsi="David" w:hint="cs"/>
          <w:sz w:val="24"/>
          <w:rtl/>
        </w:rPr>
        <w:t xml:space="preserve">כי לאורך שנים </w:t>
      </w:r>
      <w:r w:rsidR="00683AAA">
        <w:rPr>
          <w:rFonts w:ascii="David" w:eastAsia="Calibri" w:hAnsi="David" w:hint="cs"/>
          <w:sz w:val="24"/>
          <w:rtl/>
        </w:rPr>
        <w:t>אופן הפעלתה את</w:t>
      </w:r>
      <w:r w:rsidRPr="00082C78">
        <w:rPr>
          <w:rFonts w:ascii="David" w:eastAsia="Calibri" w:hAnsi="David" w:hint="cs"/>
          <w:sz w:val="24"/>
          <w:rtl/>
        </w:rPr>
        <w:t xml:space="preserve"> הכלי הובא בפני בתי המשפט, והם אישרו את הצווים. במקרים אחדים השופטים ביקשו לקבל חוות דעת משפטיות מיועמ"ש המשטרה ומהפרקליטות בנושא סמכות המשטרה להשתמש בכלי. עם זאת, כתבה המשטרה, במרבית המקרים בתי המשפט אישרו את הבקשות לצווים ללא התעמקות בפן הטכני או בסוגי החומרים שנתפסו באמצעות הכלי, ועל בסיס ההנחה שמדובר בכלי אשר מבצע אך ורק האזנה לתקשורת בין מחשבים. עוד הוסיפה המשטרה כי במהלך השנים התברר ליועמ"ש הממשלה במסגרת הדיווחים העיתיים על צווי האזנת סתר על השימוש שהמשטרה </w:t>
      </w:r>
      <w:r w:rsidR="00045ECB">
        <w:rPr>
          <w:rFonts w:ascii="David" w:eastAsia="Calibri" w:hAnsi="David" w:hint="cs"/>
          <w:sz w:val="24"/>
          <w:rtl/>
        </w:rPr>
        <w:t>עשתה</w:t>
      </w:r>
      <w:r w:rsidR="00045ECB" w:rsidRPr="00082C78">
        <w:rPr>
          <w:rFonts w:ascii="David" w:eastAsia="Calibri" w:hAnsi="David" w:hint="cs"/>
          <w:sz w:val="24"/>
          <w:rtl/>
        </w:rPr>
        <w:t xml:space="preserve"> </w:t>
      </w:r>
      <w:r w:rsidRPr="00082C78">
        <w:rPr>
          <w:rFonts w:ascii="David" w:eastAsia="Calibri" w:hAnsi="David" w:hint="cs"/>
          <w:sz w:val="24"/>
          <w:rtl/>
        </w:rPr>
        <w:t xml:space="preserve">בכלי. עוד ציינה המשטרה בתשובתה כי לאור מסקנות דוח צוות מררי נכתבו הנחיות רכש ופיתוח חדשות בתחום הסייבר </w:t>
      </w:r>
      <w:r w:rsidR="00653609">
        <w:rPr>
          <w:rFonts w:ascii="David" w:eastAsia="Calibri" w:hAnsi="David" w:hint="cs"/>
          <w:sz w:val="24"/>
          <w:rtl/>
        </w:rPr>
        <w:t>והנחיות</w:t>
      </w:r>
      <w:r w:rsidRPr="00082C78">
        <w:rPr>
          <w:rFonts w:ascii="David" w:eastAsia="Calibri" w:hAnsi="David" w:hint="cs"/>
          <w:sz w:val="24"/>
          <w:rtl/>
        </w:rPr>
        <w:t xml:space="preserve"> עדכניות למפעילי הכלי.</w:t>
      </w:r>
    </w:p>
    <w:p w:rsidR="00082C78" w:rsidRPr="00082C78" w:rsidRDefault="00082C78" w:rsidP="00520E80">
      <w:pPr>
        <w:spacing w:line="269" w:lineRule="auto"/>
        <w:ind w:left="360"/>
        <w:rPr>
          <w:rFonts w:ascii="David" w:eastAsia="Calibri" w:hAnsi="David"/>
          <w:sz w:val="24"/>
          <w:rtl/>
        </w:rPr>
      </w:pPr>
    </w:p>
    <w:p w:rsidR="00082C78" w:rsidRPr="00082C78" w:rsidRDefault="00082C78" w:rsidP="00520E80">
      <w:pPr>
        <w:spacing w:line="269" w:lineRule="auto"/>
        <w:ind w:left="360"/>
        <w:rPr>
          <w:rFonts w:ascii="David" w:eastAsia="Calibri" w:hAnsi="David"/>
          <w:sz w:val="24"/>
          <w:rtl/>
        </w:rPr>
      </w:pPr>
      <w:r w:rsidRPr="00082C78">
        <w:rPr>
          <w:rFonts w:ascii="David" w:eastAsia="Calibri" w:hAnsi="David" w:hint="cs"/>
          <w:sz w:val="24"/>
          <w:rtl/>
        </w:rPr>
        <w:t>משרד המשפטים כתב בתשובתו כי בהתאם לעמדת הייעוץ המשפטי לממשלה, כפי שנכתב בנספח המשפטי לדוח צוות מררי, ניתן לפרש את חוק האזנת סתר כמתיר חדירה למחשב לצורך התקנת אמצעי להאזנת סתר. עוד נכתב בתשובת משרד המשפטים כי "הפגם המרכזי בהפעלת המערכת נבע מאיסוף מידע שאינו נכנס לגדרי 'שיחה' באמצעות 'תקשורת בין מחשבים' ולא לעצם השימוש בכלי הטכנולוגי לשם ביצוע האזנת סתר, לכך הייתה סמכות".</w:t>
      </w:r>
      <w:r w:rsidR="00C6263E">
        <w:rPr>
          <w:rFonts w:ascii="David" w:eastAsia="Calibri" w:hAnsi="David" w:hint="cs"/>
          <w:sz w:val="24"/>
          <w:rtl/>
        </w:rPr>
        <w:t xml:space="preserve"> </w:t>
      </w:r>
      <w:r w:rsidR="005871BF">
        <w:rPr>
          <w:rFonts w:ascii="David" w:eastAsia="Calibri" w:hAnsi="David" w:hint="cs"/>
          <w:sz w:val="24"/>
          <w:rtl/>
        </w:rPr>
        <w:t xml:space="preserve">באשר לדיווחים העיתיים, </w:t>
      </w:r>
      <w:r w:rsidR="005871BF" w:rsidRPr="005871BF">
        <w:rPr>
          <w:rFonts w:ascii="David" w:eastAsia="Calibri" w:hAnsi="David" w:hint="cs"/>
          <w:sz w:val="24"/>
          <w:rtl/>
        </w:rPr>
        <w:t>נמסר ממשרד המשפטים</w:t>
      </w:r>
      <w:r w:rsidR="005E2246">
        <w:rPr>
          <w:rFonts w:ascii="David" w:eastAsia="Calibri" w:hAnsi="David" w:hint="cs"/>
          <w:sz w:val="24"/>
          <w:rtl/>
        </w:rPr>
        <w:t xml:space="preserve"> כי</w:t>
      </w:r>
      <w:r w:rsidR="005871BF" w:rsidRPr="005871BF">
        <w:rPr>
          <w:rFonts w:ascii="David" w:eastAsia="Calibri" w:hAnsi="David" w:hint="cs"/>
          <w:sz w:val="24"/>
          <w:rtl/>
        </w:rPr>
        <w:t xml:space="preserve"> גורמי הייעוץ המשפטי לממשלה לא ידעו אם נעשה שימוש בכלים טכנולוגיים</w:t>
      </w:r>
      <w:r w:rsidR="005871BF">
        <w:rPr>
          <w:rFonts w:ascii="David" w:eastAsia="Calibri" w:hAnsi="David" w:hint="cs"/>
          <w:sz w:val="24"/>
          <w:rtl/>
        </w:rPr>
        <w:t xml:space="preserve"> בהיעדר פירוט </w:t>
      </w:r>
      <w:r w:rsidR="000B3A33">
        <w:rPr>
          <w:rFonts w:ascii="David" w:eastAsia="Calibri" w:hAnsi="David" w:hint="cs"/>
          <w:sz w:val="24"/>
          <w:rtl/>
        </w:rPr>
        <w:t xml:space="preserve">על </w:t>
      </w:r>
      <w:r w:rsidR="005871BF">
        <w:rPr>
          <w:rFonts w:ascii="David" w:eastAsia="Calibri" w:hAnsi="David" w:hint="cs"/>
          <w:sz w:val="24"/>
          <w:rtl/>
        </w:rPr>
        <w:t xml:space="preserve">אודות שימוש בכלים </w:t>
      </w:r>
      <w:r w:rsidR="000B3A33">
        <w:rPr>
          <w:rFonts w:ascii="David" w:eastAsia="Calibri" w:hAnsi="David" w:hint="cs"/>
          <w:sz w:val="24"/>
          <w:rtl/>
        </w:rPr>
        <w:t xml:space="preserve">טכנולוגיים </w:t>
      </w:r>
      <w:r w:rsidR="005871BF">
        <w:rPr>
          <w:rFonts w:ascii="David" w:eastAsia="Calibri" w:hAnsi="David" w:hint="cs"/>
          <w:sz w:val="24"/>
          <w:rtl/>
        </w:rPr>
        <w:t>בדיווחי</w:t>
      </w:r>
      <w:r w:rsidR="000B3A33">
        <w:rPr>
          <w:rFonts w:ascii="David" w:eastAsia="Calibri" w:hAnsi="David" w:hint="cs"/>
          <w:sz w:val="24"/>
          <w:rtl/>
        </w:rPr>
        <w:t xml:space="preserve">ם </w:t>
      </w:r>
      <w:r w:rsidR="005E2246">
        <w:rPr>
          <w:rFonts w:ascii="David" w:eastAsia="Calibri" w:hAnsi="David" w:hint="cs"/>
          <w:sz w:val="24"/>
          <w:rtl/>
        </w:rPr>
        <w:t>אלו</w:t>
      </w:r>
      <w:r w:rsidR="005871BF">
        <w:rPr>
          <w:rFonts w:ascii="David" w:eastAsia="Calibri" w:hAnsi="David" w:hint="cs"/>
          <w:sz w:val="24"/>
          <w:rtl/>
        </w:rPr>
        <w:t>.</w:t>
      </w:r>
    </w:p>
    <w:p w:rsidR="00271D14" w:rsidRPr="00520E80" w:rsidRDefault="00271D14" w:rsidP="00520E80">
      <w:pPr>
        <w:spacing w:line="269" w:lineRule="auto"/>
        <w:ind w:left="360"/>
        <w:rPr>
          <w:rFonts w:ascii="David" w:eastAsia="Calibri" w:hAnsi="David"/>
          <w:sz w:val="24"/>
          <w:rtl/>
        </w:rPr>
      </w:pPr>
    </w:p>
    <w:p w:rsidR="00082C78" w:rsidRPr="00082C78" w:rsidRDefault="00082C78" w:rsidP="00520E80">
      <w:pPr>
        <w:spacing w:line="269" w:lineRule="auto"/>
        <w:ind w:left="360"/>
        <w:rPr>
          <w:rFonts w:ascii="David" w:eastAsia="Calibri" w:hAnsi="David"/>
          <w:b/>
          <w:bCs/>
          <w:sz w:val="24"/>
          <w:highlight w:val="yellow"/>
          <w:rtl/>
        </w:rPr>
      </w:pPr>
      <w:r w:rsidRPr="00520E80">
        <w:rPr>
          <w:rFonts w:ascii="David" w:eastAsia="Calibri" w:hAnsi="David" w:hint="cs"/>
          <w:sz w:val="24"/>
          <w:rtl/>
        </w:rPr>
        <w:t xml:space="preserve">עולה אם כן כי </w:t>
      </w:r>
      <w:bookmarkStart w:id="94" w:name="_Hlk147749110"/>
      <w:r w:rsidRPr="00520E80">
        <w:rPr>
          <w:rFonts w:ascii="David" w:eastAsia="Calibri" w:hAnsi="David" w:hint="cs"/>
          <w:sz w:val="24"/>
          <w:rtl/>
        </w:rPr>
        <w:t>משנת 2016 השתמשה המשטרה בכלי טכנולוגי מסוים מאות פעמים בלי שהוא נבחן ואושר על ידי גורמי הייעוץ המשפטי לממשלה עד להקמת צוות מררי; ובלי שהמשטרה</w:t>
      </w:r>
      <w:r w:rsidRPr="00082C78">
        <w:rPr>
          <w:rFonts w:ascii="David" w:eastAsia="Calibri" w:hAnsi="David" w:hint="cs"/>
          <w:b/>
          <w:bCs/>
          <w:sz w:val="24"/>
          <w:rtl/>
        </w:rPr>
        <w:t xml:space="preserve"> קיימה דיון משפטי עקרוני בנושא עם גורמי הייעוץ המשפטי לממשלה. ההתייחסות המשפטית בנוגע להפעלתו של כלי זה ניתנה במסגרת הקשרים שקיימה המשטרה עם </w:t>
      </w:r>
      <w:r w:rsidRPr="00082C78">
        <w:rPr>
          <w:rFonts w:ascii="David" w:eastAsia="Calibri" w:hAnsi="David"/>
          <w:b/>
          <w:bCs/>
          <w:sz w:val="24"/>
          <w:rtl/>
        </w:rPr>
        <w:t xml:space="preserve">גורמי </w:t>
      </w:r>
      <w:r w:rsidRPr="00082C78">
        <w:rPr>
          <w:rFonts w:ascii="David" w:eastAsia="Calibri" w:hAnsi="David" w:hint="cs"/>
          <w:b/>
          <w:bCs/>
          <w:sz w:val="24"/>
          <w:rtl/>
        </w:rPr>
        <w:t>ה</w:t>
      </w:r>
      <w:r w:rsidRPr="00082C78">
        <w:rPr>
          <w:rFonts w:ascii="David" w:eastAsia="Calibri" w:hAnsi="David"/>
          <w:b/>
          <w:bCs/>
          <w:sz w:val="24"/>
          <w:rtl/>
        </w:rPr>
        <w:t>חב</w:t>
      </w:r>
      <w:r w:rsidRPr="00082C78">
        <w:rPr>
          <w:rFonts w:ascii="David" w:eastAsia="Calibri" w:hAnsi="David" w:hint="cs"/>
          <w:b/>
          <w:bCs/>
          <w:sz w:val="24"/>
          <w:rtl/>
        </w:rPr>
        <w:t>רה המפתחת. אומנם בעת רכישת הכלי ניוונה המשטרה כמה מהיכולות שיש בו מטעמים של גבולות סמכותה, ואולם</w:t>
      </w:r>
      <w:r w:rsidRPr="00082C78">
        <w:rPr>
          <w:rFonts w:ascii="David" w:eastAsia="Calibri" w:hAnsi="David" w:hint="eastAsia"/>
          <w:b/>
          <w:bCs/>
          <w:sz w:val="24"/>
          <w:rtl/>
        </w:rPr>
        <w:t xml:space="preserve"> בפועל</w:t>
      </w:r>
      <w:r w:rsidRPr="00082C78">
        <w:rPr>
          <w:rFonts w:ascii="David" w:eastAsia="Calibri" w:hAnsi="David" w:hint="cs"/>
          <w:b/>
          <w:bCs/>
          <w:sz w:val="24"/>
          <w:rtl/>
        </w:rPr>
        <w:t xml:space="preserve"> נותרו בכלי יכולות איסוף מידע שחרגו מגדרי סמכותה ולכן אסור היה לה להשתמש בו, כפי שקבעה היועמ"שית לממשלה בדיעבד בדוח צוות מררי. </w:t>
      </w:r>
    </w:p>
    <w:p w:rsidR="00082C78" w:rsidRPr="00082C78" w:rsidRDefault="00082C78" w:rsidP="00604C3D">
      <w:pPr>
        <w:spacing w:line="269" w:lineRule="auto"/>
        <w:rPr>
          <w:rFonts w:ascii="David" w:eastAsia="Calibri" w:hAnsi="David"/>
          <w:b/>
          <w:bCs/>
          <w:sz w:val="24"/>
          <w:highlight w:val="yellow"/>
          <w:rtl/>
        </w:rPr>
      </w:pPr>
    </w:p>
    <w:p w:rsidR="00082C78" w:rsidRPr="00082C78" w:rsidRDefault="00082C78" w:rsidP="00520E80">
      <w:pPr>
        <w:spacing w:line="269" w:lineRule="auto"/>
        <w:ind w:left="360"/>
        <w:rPr>
          <w:rFonts w:ascii="David" w:eastAsia="Calibri" w:hAnsi="David"/>
          <w:b/>
          <w:bCs/>
          <w:sz w:val="24"/>
          <w:rtl/>
        </w:rPr>
      </w:pPr>
      <w:r w:rsidRPr="00082C78">
        <w:rPr>
          <w:rFonts w:ascii="David" w:eastAsia="Calibri" w:hAnsi="David" w:hint="eastAsia"/>
          <w:b/>
          <w:bCs/>
          <w:sz w:val="24"/>
          <w:rtl/>
        </w:rPr>
        <w:t>נוסף</w:t>
      </w:r>
      <w:r w:rsidRPr="00082C78">
        <w:rPr>
          <w:rFonts w:ascii="David" w:eastAsia="Calibri" w:hAnsi="David" w:hint="cs"/>
          <w:b/>
          <w:bCs/>
          <w:sz w:val="24"/>
          <w:rtl/>
        </w:rPr>
        <w:t xml:space="preserve"> על כך</w:t>
      </w:r>
      <w:r w:rsidRPr="00082C78">
        <w:rPr>
          <w:rFonts w:ascii="David" w:eastAsia="Calibri" w:hAnsi="David"/>
          <w:b/>
          <w:bCs/>
          <w:sz w:val="24"/>
          <w:rtl/>
        </w:rPr>
        <w:t xml:space="preserve">, </w:t>
      </w:r>
      <w:r w:rsidRPr="00082C78">
        <w:rPr>
          <w:rFonts w:ascii="David" w:eastAsia="Calibri" w:hAnsi="David" w:hint="eastAsia"/>
          <w:b/>
          <w:bCs/>
          <w:sz w:val="24"/>
          <w:rtl/>
        </w:rPr>
        <w:t>ה</w:t>
      </w:r>
      <w:r w:rsidRPr="00082C78">
        <w:rPr>
          <w:rFonts w:ascii="David" w:eastAsia="Calibri" w:hAnsi="David" w:hint="cs"/>
          <w:b/>
          <w:bCs/>
          <w:sz w:val="24"/>
          <w:rtl/>
        </w:rPr>
        <w:t>ה</w:t>
      </w:r>
      <w:r w:rsidRPr="00082C78">
        <w:rPr>
          <w:rFonts w:ascii="David" w:eastAsia="Calibri" w:hAnsi="David" w:hint="eastAsia"/>
          <w:b/>
          <w:bCs/>
          <w:sz w:val="24"/>
          <w:rtl/>
        </w:rPr>
        <w:t>תייחסות</w:t>
      </w:r>
      <w:r w:rsidRPr="00082C78">
        <w:rPr>
          <w:rFonts w:ascii="David" w:eastAsia="Calibri" w:hAnsi="David"/>
          <w:b/>
          <w:bCs/>
          <w:sz w:val="24"/>
          <w:rtl/>
        </w:rPr>
        <w:t xml:space="preserve"> </w:t>
      </w:r>
      <w:r w:rsidRPr="00082C78">
        <w:rPr>
          <w:rFonts w:ascii="David" w:eastAsia="Calibri" w:hAnsi="David" w:hint="cs"/>
          <w:b/>
          <w:bCs/>
          <w:sz w:val="24"/>
          <w:rtl/>
        </w:rPr>
        <w:t xml:space="preserve">המשפטית בנוגע לכלי </w:t>
      </w:r>
      <w:r w:rsidRPr="00082C78">
        <w:rPr>
          <w:rFonts w:ascii="David" w:eastAsia="Calibri" w:hAnsi="David" w:hint="eastAsia"/>
          <w:b/>
          <w:bCs/>
          <w:sz w:val="24"/>
          <w:rtl/>
        </w:rPr>
        <w:t>לא</w:t>
      </w:r>
      <w:r w:rsidRPr="00082C78">
        <w:rPr>
          <w:rFonts w:ascii="David" w:eastAsia="Calibri" w:hAnsi="David"/>
          <w:b/>
          <w:bCs/>
          <w:sz w:val="24"/>
          <w:rtl/>
        </w:rPr>
        <w:t xml:space="preserve"> </w:t>
      </w:r>
      <w:r w:rsidRPr="00082C78">
        <w:rPr>
          <w:rFonts w:ascii="David" w:eastAsia="Calibri" w:hAnsi="David" w:hint="eastAsia"/>
          <w:b/>
          <w:bCs/>
          <w:sz w:val="24"/>
          <w:rtl/>
        </w:rPr>
        <w:t>ניתנה</w:t>
      </w:r>
      <w:r w:rsidRPr="00082C78">
        <w:rPr>
          <w:rFonts w:ascii="David" w:eastAsia="Calibri" w:hAnsi="David"/>
          <w:b/>
          <w:bCs/>
          <w:sz w:val="24"/>
          <w:rtl/>
        </w:rPr>
        <w:t xml:space="preserve"> </w:t>
      </w:r>
      <w:r w:rsidRPr="00082C78">
        <w:rPr>
          <w:rFonts w:ascii="David" w:eastAsia="Calibri" w:hAnsi="David" w:hint="eastAsia"/>
          <w:b/>
          <w:bCs/>
          <w:sz w:val="24"/>
          <w:rtl/>
        </w:rPr>
        <w:t>על</w:t>
      </w:r>
      <w:r w:rsidRPr="00082C78">
        <w:rPr>
          <w:rFonts w:ascii="David" w:eastAsia="Calibri" w:hAnsi="David"/>
          <w:b/>
          <w:bCs/>
          <w:sz w:val="24"/>
          <w:rtl/>
        </w:rPr>
        <w:t xml:space="preserve"> </w:t>
      </w:r>
      <w:r w:rsidRPr="00082C78">
        <w:rPr>
          <w:rFonts w:ascii="David" w:eastAsia="Calibri" w:hAnsi="David" w:hint="eastAsia"/>
          <w:b/>
          <w:bCs/>
          <w:sz w:val="24"/>
          <w:rtl/>
        </w:rPr>
        <w:t>ידי</w:t>
      </w:r>
      <w:r w:rsidRPr="00082C78">
        <w:rPr>
          <w:rFonts w:ascii="David" w:eastAsia="Calibri" w:hAnsi="David"/>
          <w:b/>
          <w:bCs/>
          <w:sz w:val="24"/>
          <w:rtl/>
        </w:rPr>
        <w:t xml:space="preserve"> </w:t>
      </w:r>
      <w:r w:rsidRPr="00082C78">
        <w:rPr>
          <w:rFonts w:ascii="David" w:eastAsia="Calibri" w:hAnsi="David" w:hint="eastAsia"/>
          <w:b/>
          <w:bCs/>
          <w:sz w:val="24"/>
          <w:rtl/>
        </w:rPr>
        <w:t>גורם</w:t>
      </w:r>
      <w:r w:rsidRPr="00082C78">
        <w:rPr>
          <w:rFonts w:ascii="David" w:eastAsia="Calibri" w:hAnsi="David"/>
          <w:b/>
          <w:bCs/>
          <w:sz w:val="24"/>
          <w:rtl/>
        </w:rPr>
        <w:t xml:space="preserve"> </w:t>
      </w:r>
      <w:r w:rsidRPr="00082C78">
        <w:rPr>
          <w:rFonts w:ascii="David" w:eastAsia="Calibri" w:hAnsi="David" w:hint="eastAsia"/>
          <w:b/>
          <w:bCs/>
          <w:sz w:val="24"/>
          <w:rtl/>
        </w:rPr>
        <w:t>משפטי</w:t>
      </w:r>
      <w:r w:rsidRPr="00082C78">
        <w:rPr>
          <w:rFonts w:ascii="David" w:eastAsia="Calibri" w:hAnsi="David"/>
          <w:b/>
          <w:bCs/>
          <w:sz w:val="24"/>
          <w:rtl/>
        </w:rPr>
        <w:t xml:space="preserve"> </w:t>
      </w:r>
      <w:r w:rsidRPr="00082C78">
        <w:rPr>
          <w:rFonts w:ascii="David" w:eastAsia="Calibri" w:hAnsi="David" w:hint="eastAsia"/>
          <w:b/>
          <w:bCs/>
          <w:sz w:val="24"/>
          <w:rtl/>
        </w:rPr>
        <w:t>מוסמך</w:t>
      </w:r>
      <w:r w:rsidRPr="00082C78">
        <w:rPr>
          <w:rFonts w:ascii="David" w:eastAsia="Calibri" w:hAnsi="David"/>
          <w:b/>
          <w:bCs/>
          <w:sz w:val="24"/>
          <w:rtl/>
        </w:rPr>
        <w:t xml:space="preserve"> </w:t>
      </w:r>
      <w:r w:rsidRPr="00082C78">
        <w:rPr>
          <w:rFonts w:ascii="David" w:eastAsia="Calibri" w:hAnsi="David" w:hint="eastAsia"/>
          <w:b/>
          <w:bCs/>
          <w:sz w:val="24"/>
          <w:rtl/>
        </w:rPr>
        <w:t>אלא</w:t>
      </w:r>
      <w:r w:rsidRPr="00082C78">
        <w:rPr>
          <w:rFonts w:ascii="David" w:eastAsia="Calibri" w:hAnsi="David"/>
          <w:b/>
          <w:bCs/>
          <w:sz w:val="24"/>
          <w:rtl/>
        </w:rPr>
        <w:t xml:space="preserve"> </w:t>
      </w:r>
      <w:r w:rsidRPr="00082C78">
        <w:rPr>
          <w:rFonts w:ascii="David" w:eastAsia="Calibri" w:hAnsi="David" w:hint="eastAsia"/>
          <w:b/>
          <w:bCs/>
          <w:sz w:val="24"/>
          <w:rtl/>
        </w:rPr>
        <w:t>על</w:t>
      </w:r>
      <w:r w:rsidRPr="00082C78">
        <w:rPr>
          <w:rFonts w:ascii="David" w:eastAsia="Calibri" w:hAnsi="David"/>
          <w:b/>
          <w:bCs/>
          <w:sz w:val="24"/>
          <w:rtl/>
        </w:rPr>
        <w:t xml:space="preserve"> </w:t>
      </w:r>
      <w:r w:rsidRPr="00082C78">
        <w:rPr>
          <w:rFonts w:ascii="David" w:eastAsia="Calibri" w:hAnsi="David" w:hint="eastAsia"/>
          <w:b/>
          <w:bCs/>
          <w:sz w:val="24"/>
          <w:rtl/>
        </w:rPr>
        <w:t>ידי</w:t>
      </w:r>
      <w:r w:rsidRPr="00082C78">
        <w:rPr>
          <w:rFonts w:ascii="David" w:eastAsia="Calibri" w:hAnsi="David"/>
          <w:b/>
          <w:bCs/>
          <w:sz w:val="24"/>
          <w:rtl/>
        </w:rPr>
        <w:t xml:space="preserve"> </w:t>
      </w:r>
      <w:r w:rsidRPr="00082C78">
        <w:rPr>
          <w:rFonts w:ascii="David" w:eastAsia="Calibri" w:hAnsi="David" w:hint="eastAsia"/>
          <w:b/>
          <w:bCs/>
          <w:sz w:val="24"/>
          <w:rtl/>
        </w:rPr>
        <w:t>גורם</w:t>
      </w:r>
      <w:r w:rsidRPr="00082C78">
        <w:rPr>
          <w:rFonts w:ascii="David" w:eastAsia="Calibri" w:hAnsi="David" w:hint="cs"/>
          <w:b/>
          <w:bCs/>
          <w:sz w:val="24"/>
          <w:rtl/>
        </w:rPr>
        <w:t xml:space="preserve"> </w:t>
      </w:r>
      <w:r w:rsidRPr="00082C78">
        <w:rPr>
          <w:rFonts w:ascii="David" w:eastAsia="Calibri" w:hAnsi="David" w:hint="eastAsia"/>
          <w:b/>
          <w:bCs/>
          <w:sz w:val="24"/>
          <w:rtl/>
        </w:rPr>
        <w:t>ב</w:t>
      </w:r>
      <w:r w:rsidRPr="00082C78">
        <w:rPr>
          <w:rFonts w:ascii="David" w:eastAsia="Calibri" w:hAnsi="David"/>
          <w:b/>
          <w:bCs/>
          <w:sz w:val="24"/>
          <w:rtl/>
        </w:rPr>
        <w:t>יחידה מקצועית בחטיבת הסי</w:t>
      </w:r>
      <w:r w:rsidRPr="00082C78">
        <w:rPr>
          <w:rFonts w:ascii="David" w:eastAsia="Calibri" w:hAnsi="David" w:hint="eastAsia"/>
          <w:b/>
          <w:bCs/>
          <w:sz w:val="24"/>
          <w:rtl/>
        </w:rPr>
        <w:t>יבר</w:t>
      </w:r>
      <w:r w:rsidRPr="00082C78">
        <w:rPr>
          <w:rFonts w:ascii="David" w:eastAsia="Calibri" w:hAnsi="David"/>
          <w:b/>
          <w:bCs/>
          <w:sz w:val="24"/>
          <w:rtl/>
        </w:rPr>
        <w:t>.</w:t>
      </w:r>
      <w:r w:rsidRPr="00082C78">
        <w:rPr>
          <w:rFonts w:ascii="David" w:eastAsia="Calibri" w:hAnsi="David" w:hint="cs"/>
          <w:b/>
          <w:bCs/>
          <w:sz w:val="24"/>
          <w:rtl/>
        </w:rPr>
        <w:t xml:space="preserve"> </w:t>
      </w:r>
      <w:bookmarkEnd w:id="94"/>
      <w:r w:rsidRPr="00082C78">
        <w:rPr>
          <w:rFonts w:ascii="David" w:eastAsia="Calibri" w:hAnsi="David" w:hint="cs"/>
          <w:b/>
          <w:bCs/>
          <w:sz w:val="24"/>
          <w:rtl/>
        </w:rPr>
        <w:t xml:space="preserve">יש לציין בהקשר זה כי צוות מררי מצא קושי משמעותי בהיעדר כפיפות ישירה מקצועית ופיקודית של היועמ"ש לחטיבת הסייבר ליועמ"ש למשטרה והמליץ על שינוי ארגוני של מערך הייעוץ המשפטי למשטרה, </w:t>
      </w:r>
      <w:r w:rsidRPr="00082C78">
        <w:rPr>
          <w:rFonts w:ascii="David" w:eastAsia="Calibri" w:hAnsi="David" w:hint="eastAsia"/>
          <w:b/>
          <w:bCs/>
          <w:sz w:val="24"/>
          <w:rtl/>
        </w:rPr>
        <w:t>זאת</w:t>
      </w:r>
      <w:r w:rsidRPr="00082C78">
        <w:rPr>
          <w:rFonts w:ascii="David" w:eastAsia="Calibri" w:hAnsi="David"/>
          <w:b/>
          <w:bCs/>
          <w:sz w:val="24"/>
          <w:rtl/>
        </w:rPr>
        <w:t xml:space="preserve"> </w:t>
      </w:r>
      <w:r w:rsidRPr="00082C78">
        <w:rPr>
          <w:rFonts w:ascii="David" w:eastAsia="Calibri" w:hAnsi="David" w:hint="cs"/>
          <w:b/>
          <w:bCs/>
          <w:sz w:val="24"/>
          <w:rtl/>
        </w:rPr>
        <w:t>כדי להבטיח כי הייעוץ המשפטי למשטרה יהיה מעורב ויתווה את התפיסה המשפטית ביחידת הסייבר.</w:t>
      </w:r>
    </w:p>
    <w:p w:rsidR="00271D14" w:rsidRDefault="00271D14" w:rsidP="00604C3D">
      <w:pPr>
        <w:spacing w:line="269" w:lineRule="auto"/>
        <w:rPr>
          <w:rFonts w:ascii="David" w:eastAsia="Calibri" w:hAnsi="David"/>
          <w:b/>
          <w:bCs/>
          <w:sz w:val="16"/>
          <w:szCs w:val="16"/>
          <w:rtl/>
        </w:rPr>
      </w:pPr>
      <w:bookmarkStart w:id="95" w:name="_Hlk147749150"/>
    </w:p>
    <w:p w:rsidR="00082C78" w:rsidRPr="00082C78" w:rsidRDefault="00082C78" w:rsidP="00520E80">
      <w:pPr>
        <w:spacing w:line="269" w:lineRule="auto"/>
        <w:ind w:left="360"/>
        <w:rPr>
          <w:rFonts w:ascii="David" w:eastAsia="Calibri" w:hAnsi="David"/>
          <w:b/>
          <w:bCs/>
          <w:sz w:val="24"/>
          <w:rtl/>
        </w:rPr>
      </w:pPr>
      <w:r w:rsidRPr="00082C78">
        <w:rPr>
          <w:rFonts w:ascii="David" w:eastAsia="Calibri" w:hAnsi="David" w:hint="cs"/>
          <w:b/>
          <w:bCs/>
          <w:sz w:val="24"/>
          <w:rtl/>
        </w:rPr>
        <w:t>כמו כן במשך השנים ה</w:t>
      </w:r>
      <w:r w:rsidRPr="00082C78">
        <w:rPr>
          <w:rFonts w:ascii="David" w:eastAsia="Calibri" w:hAnsi="David" w:hint="eastAsia"/>
          <w:b/>
          <w:bCs/>
          <w:sz w:val="24"/>
          <w:rtl/>
        </w:rPr>
        <w:t>משטרה</w:t>
      </w:r>
      <w:r w:rsidRPr="00082C78">
        <w:rPr>
          <w:rFonts w:ascii="David" w:eastAsia="Calibri" w:hAnsi="David"/>
          <w:b/>
          <w:bCs/>
          <w:sz w:val="24"/>
          <w:rtl/>
        </w:rPr>
        <w:t xml:space="preserve"> </w:t>
      </w:r>
      <w:r w:rsidRPr="00082C78">
        <w:rPr>
          <w:rFonts w:ascii="David" w:eastAsia="Calibri" w:hAnsi="David" w:hint="cs"/>
          <w:b/>
          <w:bCs/>
          <w:sz w:val="24"/>
          <w:rtl/>
        </w:rPr>
        <w:t>לא הסדירה בנהלים את עצם הצורך בקבלת</w:t>
      </w:r>
      <w:r w:rsidRPr="00082C78">
        <w:rPr>
          <w:rFonts w:ascii="David" w:eastAsia="Calibri" w:hAnsi="David"/>
          <w:b/>
          <w:bCs/>
          <w:sz w:val="24"/>
          <w:rtl/>
        </w:rPr>
        <w:t xml:space="preserve"> אישור משפטי </w:t>
      </w:r>
      <w:r w:rsidRPr="00082C78">
        <w:rPr>
          <w:rFonts w:ascii="David" w:eastAsia="Calibri" w:hAnsi="David" w:hint="cs"/>
          <w:b/>
          <w:bCs/>
          <w:sz w:val="24"/>
          <w:rtl/>
        </w:rPr>
        <w:t>ל</w:t>
      </w:r>
      <w:r w:rsidRPr="00082C78">
        <w:rPr>
          <w:rFonts w:ascii="David" w:eastAsia="Calibri" w:hAnsi="David"/>
          <w:b/>
          <w:bCs/>
          <w:sz w:val="24"/>
          <w:rtl/>
        </w:rPr>
        <w:t>שימוש ב</w:t>
      </w:r>
      <w:r w:rsidRPr="00082C78">
        <w:rPr>
          <w:rFonts w:ascii="David" w:eastAsia="Calibri" w:hAnsi="David" w:hint="cs"/>
          <w:b/>
          <w:bCs/>
          <w:sz w:val="24"/>
          <w:rtl/>
        </w:rPr>
        <w:t>כלים</w:t>
      </w:r>
      <w:r w:rsidRPr="00082C78">
        <w:rPr>
          <w:rFonts w:ascii="David" w:eastAsia="Calibri" w:hAnsi="David"/>
          <w:b/>
          <w:bCs/>
          <w:sz w:val="24"/>
          <w:rtl/>
        </w:rPr>
        <w:t xml:space="preserve"> טכנולוגיים</w:t>
      </w:r>
      <w:r w:rsidRPr="00082C78">
        <w:rPr>
          <w:rFonts w:ascii="David" w:eastAsia="Calibri" w:hAnsi="David" w:hint="cs"/>
          <w:b/>
          <w:bCs/>
          <w:sz w:val="24"/>
          <w:rtl/>
        </w:rPr>
        <w:t xml:space="preserve"> ולדרכי השימוש בהם ואת הליך הבחינה הדרוש לצורך קבלת אישור כאמור</w:t>
      </w:r>
      <w:bookmarkEnd w:id="95"/>
      <w:r w:rsidRPr="00082C78">
        <w:rPr>
          <w:rFonts w:ascii="David" w:eastAsia="Calibri" w:hAnsi="David" w:hint="cs"/>
          <w:b/>
          <w:bCs/>
          <w:sz w:val="24"/>
          <w:rtl/>
        </w:rPr>
        <w:t xml:space="preserve">. </w:t>
      </w:r>
    </w:p>
    <w:p w:rsidR="00271D14" w:rsidRDefault="00271D14" w:rsidP="00604C3D">
      <w:pPr>
        <w:spacing w:line="269" w:lineRule="auto"/>
        <w:rPr>
          <w:rFonts w:ascii="David" w:eastAsia="Calibri" w:hAnsi="David"/>
          <w:b/>
          <w:bCs/>
          <w:sz w:val="16"/>
          <w:szCs w:val="16"/>
          <w:rtl/>
        </w:rPr>
      </w:pPr>
      <w:bookmarkStart w:id="96" w:name="_Hlk147749440"/>
      <w:bookmarkEnd w:id="89"/>
    </w:p>
    <w:p w:rsidR="00082C78" w:rsidRPr="00316C38" w:rsidRDefault="00082C78" w:rsidP="00520E80">
      <w:pPr>
        <w:spacing w:line="269" w:lineRule="auto"/>
        <w:ind w:left="360"/>
        <w:rPr>
          <w:rFonts w:ascii="David" w:eastAsia="Calibri" w:hAnsi="David"/>
          <w:sz w:val="24"/>
          <w:rtl/>
        </w:rPr>
      </w:pPr>
      <w:r w:rsidRPr="002821A8">
        <w:rPr>
          <w:rFonts w:ascii="David" w:eastAsia="Calibri" w:hAnsi="David" w:hint="eastAsia"/>
          <w:sz w:val="24"/>
          <w:rtl/>
        </w:rPr>
        <w:t>מדוח</w:t>
      </w:r>
      <w:r w:rsidRPr="002821A8">
        <w:rPr>
          <w:rFonts w:ascii="David" w:eastAsia="Calibri" w:hAnsi="David"/>
          <w:sz w:val="24"/>
          <w:rtl/>
        </w:rPr>
        <w:t xml:space="preserve"> צוות מררי</w:t>
      </w:r>
      <w:r w:rsidR="00382AE8">
        <w:rPr>
          <w:rFonts w:ascii="David" w:eastAsia="Calibri" w:hAnsi="David"/>
          <w:sz w:val="24"/>
          <w:rtl/>
        </w:rPr>
        <w:t xml:space="preserve"> </w:t>
      </w:r>
      <w:r w:rsidR="00710388" w:rsidRPr="002821A8">
        <w:rPr>
          <w:rFonts w:ascii="David" w:eastAsia="Calibri" w:hAnsi="David" w:hint="eastAsia"/>
          <w:sz w:val="24"/>
          <w:rtl/>
        </w:rPr>
        <w:t>עולה</w:t>
      </w:r>
      <w:r w:rsidR="00710388" w:rsidRPr="002821A8">
        <w:rPr>
          <w:rFonts w:ascii="David" w:eastAsia="Calibri" w:hAnsi="David"/>
          <w:sz w:val="24"/>
          <w:rtl/>
        </w:rPr>
        <w:t xml:space="preserve"> </w:t>
      </w:r>
      <w:r w:rsidRPr="002821A8">
        <w:rPr>
          <w:rFonts w:ascii="David" w:eastAsia="Calibri" w:hAnsi="David"/>
          <w:sz w:val="24"/>
          <w:rtl/>
        </w:rPr>
        <w:t xml:space="preserve">כי </w:t>
      </w:r>
      <w:bookmarkStart w:id="97" w:name="_Hlk147749392"/>
      <w:bookmarkEnd w:id="96"/>
      <w:r w:rsidRPr="002821A8">
        <w:rPr>
          <w:rFonts w:ascii="David" w:eastAsia="Calibri" w:hAnsi="David" w:hint="eastAsia"/>
          <w:sz w:val="24"/>
          <w:rtl/>
        </w:rPr>
        <w:t>במשך</w:t>
      </w:r>
      <w:r w:rsidRPr="002821A8">
        <w:rPr>
          <w:rFonts w:ascii="David" w:eastAsia="Calibri" w:hAnsi="David"/>
          <w:sz w:val="24"/>
          <w:rtl/>
        </w:rPr>
        <w:t xml:space="preserve"> שנים </w:t>
      </w:r>
      <w:r w:rsidRPr="002821A8">
        <w:rPr>
          <w:rFonts w:ascii="David" w:eastAsia="Calibri" w:hAnsi="David" w:hint="eastAsia"/>
          <w:sz w:val="24"/>
          <w:rtl/>
        </w:rPr>
        <w:t>היה</w:t>
      </w:r>
      <w:r w:rsidRPr="002821A8">
        <w:rPr>
          <w:rFonts w:ascii="David" w:eastAsia="Calibri" w:hAnsi="David"/>
          <w:sz w:val="24"/>
          <w:rtl/>
        </w:rPr>
        <w:t xml:space="preserve"> ידוע </w:t>
      </w:r>
      <w:r w:rsidRPr="002821A8">
        <w:rPr>
          <w:rFonts w:ascii="David" w:eastAsia="Calibri" w:hAnsi="David" w:hint="eastAsia"/>
          <w:sz w:val="24"/>
          <w:rtl/>
        </w:rPr>
        <w:t>לגורמי</w:t>
      </w:r>
      <w:r w:rsidRPr="002821A8">
        <w:rPr>
          <w:rFonts w:ascii="David" w:eastAsia="Calibri" w:hAnsi="David"/>
          <w:sz w:val="24"/>
          <w:rtl/>
        </w:rPr>
        <w:t xml:space="preserve"> </w:t>
      </w:r>
      <w:r w:rsidRPr="002821A8">
        <w:rPr>
          <w:rFonts w:ascii="David" w:eastAsia="Calibri" w:hAnsi="David" w:hint="eastAsia"/>
          <w:sz w:val="24"/>
          <w:rtl/>
        </w:rPr>
        <w:t>הייעוץ</w:t>
      </w:r>
      <w:r w:rsidRPr="002821A8">
        <w:rPr>
          <w:rFonts w:ascii="David" w:eastAsia="Calibri" w:hAnsi="David"/>
          <w:sz w:val="24"/>
          <w:rtl/>
        </w:rPr>
        <w:t xml:space="preserve"> המשפטי לממשלה כי </w:t>
      </w:r>
      <w:r w:rsidRPr="002821A8">
        <w:rPr>
          <w:rFonts w:ascii="David" w:eastAsia="Calibri" w:hAnsi="David" w:hint="eastAsia"/>
          <w:sz w:val="24"/>
          <w:rtl/>
        </w:rPr>
        <w:t>המשטרה</w:t>
      </w:r>
      <w:r w:rsidRPr="002821A8">
        <w:rPr>
          <w:rFonts w:ascii="David" w:eastAsia="Calibri" w:hAnsi="David"/>
          <w:sz w:val="24"/>
          <w:rtl/>
        </w:rPr>
        <w:t xml:space="preserve"> </w:t>
      </w:r>
      <w:r w:rsidR="00A43849">
        <w:rPr>
          <w:rFonts w:ascii="David" w:eastAsia="Calibri" w:hAnsi="David" w:hint="cs"/>
          <w:sz w:val="24"/>
          <w:rtl/>
        </w:rPr>
        <w:t>השתמשה</w:t>
      </w:r>
      <w:r w:rsidR="00A43849" w:rsidRPr="002821A8">
        <w:rPr>
          <w:rFonts w:ascii="David" w:eastAsia="Calibri" w:hAnsi="David"/>
          <w:sz w:val="24"/>
          <w:rtl/>
        </w:rPr>
        <w:t xml:space="preserve"> </w:t>
      </w:r>
      <w:r w:rsidRPr="002821A8">
        <w:rPr>
          <w:rFonts w:ascii="David" w:eastAsia="Calibri" w:hAnsi="David"/>
          <w:sz w:val="24"/>
          <w:rtl/>
        </w:rPr>
        <w:t>ב</w:t>
      </w:r>
      <w:r w:rsidRPr="002821A8">
        <w:rPr>
          <w:rFonts w:ascii="David" w:eastAsia="Calibri" w:hAnsi="David" w:hint="eastAsia"/>
          <w:sz w:val="24"/>
          <w:rtl/>
        </w:rPr>
        <w:t>כלי</w:t>
      </w:r>
      <w:r w:rsidRPr="002821A8">
        <w:rPr>
          <w:rFonts w:ascii="David" w:eastAsia="Calibri" w:hAnsi="David"/>
          <w:sz w:val="24"/>
          <w:rtl/>
        </w:rPr>
        <w:t xml:space="preserve"> </w:t>
      </w:r>
      <w:r w:rsidRPr="002821A8">
        <w:rPr>
          <w:rFonts w:ascii="David" w:eastAsia="Calibri" w:hAnsi="David" w:hint="eastAsia"/>
          <w:sz w:val="24"/>
          <w:rtl/>
        </w:rPr>
        <w:t>להאזנות</w:t>
      </w:r>
      <w:r w:rsidRPr="002821A8">
        <w:rPr>
          <w:rFonts w:ascii="David" w:eastAsia="Calibri" w:hAnsi="David"/>
          <w:sz w:val="24"/>
          <w:rtl/>
        </w:rPr>
        <w:t xml:space="preserve"> </w:t>
      </w:r>
      <w:r w:rsidRPr="002821A8">
        <w:rPr>
          <w:rFonts w:ascii="David" w:eastAsia="Calibri" w:hAnsi="David" w:hint="eastAsia"/>
          <w:sz w:val="24"/>
          <w:rtl/>
        </w:rPr>
        <w:t>סתר</w:t>
      </w:r>
      <w:r w:rsidR="00CC5F4F" w:rsidRPr="002821A8">
        <w:rPr>
          <w:rFonts w:ascii="David" w:eastAsia="Calibri" w:hAnsi="David"/>
          <w:sz w:val="24"/>
          <w:rtl/>
        </w:rPr>
        <w:t xml:space="preserve"> לתקשורת בין מחשבים</w:t>
      </w:r>
      <w:r w:rsidR="005871BF" w:rsidRPr="002821A8">
        <w:rPr>
          <w:rFonts w:ascii="David" w:eastAsia="Calibri" w:hAnsi="David"/>
          <w:sz w:val="24"/>
          <w:rtl/>
        </w:rPr>
        <w:t>.</w:t>
      </w:r>
      <w:r w:rsidRPr="002821A8">
        <w:rPr>
          <w:rFonts w:ascii="David" w:eastAsia="Calibri" w:hAnsi="David"/>
          <w:sz w:val="24"/>
          <w:rtl/>
        </w:rPr>
        <w:t xml:space="preserve"> </w:t>
      </w:r>
      <w:r w:rsidR="005871BF" w:rsidRPr="002821A8">
        <w:rPr>
          <w:rFonts w:ascii="David" w:eastAsia="Calibri" w:hAnsi="David" w:hint="eastAsia"/>
          <w:sz w:val="24"/>
          <w:rtl/>
        </w:rPr>
        <w:t>ואולם</w:t>
      </w:r>
      <w:r w:rsidR="005871BF" w:rsidRPr="002821A8">
        <w:rPr>
          <w:rFonts w:ascii="David" w:eastAsia="Calibri" w:hAnsi="David"/>
          <w:sz w:val="24"/>
          <w:rtl/>
        </w:rPr>
        <w:t>,</w:t>
      </w:r>
      <w:r w:rsidRPr="002821A8">
        <w:rPr>
          <w:rFonts w:ascii="David" w:eastAsia="Calibri" w:hAnsi="David"/>
          <w:sz w:val="24"/>
          <w:rtl/>
        </w:rPr>
        <w:t xml:space="preserve"> </w:t>
      </w:r>
      <w:r w:rsidRPr="002821A8">
        <w:rPr>
          <w:rFonts w:ascii="David" w:eastAsia="Calibri" w:hAnsi="David" w:hint="eastAsia"/>
          <w:sz w:val="24"/>
          <w:rtl/>
        </w:rPr>
        <w:t>עצם</w:t>
      </w:r>
      <w:r w:rsidRPr="002821A8">
        <w:rPr>
          <w:rFonts w:ascii="David" w:eastAsia="Calibri" w:hAnsi="David"/>
          <w:sz w:val="24"/>
          <w:rtl/>
        </w:rPr>
        <w:t xml:space="preserve"> השימוש בכלי </w:t>
      </w:r>
      <w:r w:rsidR="005871BF" w:rsidRPr="002821A8">
        <w:rPr>
          <w:rFonts w:ascii="David" w:eastAsia="Calibri" w:hAnsi="David" w:hint="eastAsia"/>
          <w:sz w:val="24"/>
          <w:rtl/>
        </w:rPr>
        <w:t>לא</w:t>
      </w:r>
      <w:r w:rsidR="005871BF" w:rsidRPr="002821A8">
        <w:rPr>
          <w:rFonts w:ascii="David" w:eastAsia="Calibri" w:hAnsi="David"/>
          <w:sz w:val="24"/>
          <w:rtl/>
        </w:rPr>
        <w:t xml:space="preserve"> </w:t>
      </w:r>
      <w:r w:rsidRPr="002821A8">
        <w:rPr>
          <w:rFonts w:ascii="David" w:eastAsia="Calibri" w:hAnsi="David" w:hint="eastAsia"/>
          <w:sz w:val="24"/>
          <w:rtl/>
        </w:rPr>
        <w:t>הובא</w:t>
      </w:r>
      <w:r w:rsidRPr="002821A8">
        <w:rPr>
          <w:rFonts w:ascii="David" w:eastAsia="Calibri" w:hAnsi="David"/>
          <w:sz w:val="24"/>
          <w:rtl/>
        </w:rPr>
        <w:t xml:space="preserve"> לבחינה ולאישור </w:t>
      </w:r>
      <w:r w:rsidR="00710388" w:rsidRPr="002821A8">
        <w:rPr>
          <w:rFonts w:ascii="David" w:eastAsia="Calibri" w:hAnsi="David" w:hint="eastAsia"/>
          <w:sz w:val="24"/>
          <w:rtl/>
        </w:rPr>
        <w:t>הייעוץ</w:t>
      </w:r>
      <w:r w:rsidR="00710388" w:rsidRPr="002821A8">
        <w:rPr>
          <w:rFonts w:ascii="David" w:eastAsia="Calibri" w:hAnsi="David"/>
          <w:sz w:val="24"/>
          <w:rtl/>
        </w:rPr>
        <w:t xml:space="preserve"> </w:t>
      </w:r>
      <w:r w:rsidR="00710388" w:rsidRPr="002821A8">
        <w:rPr>
          <w:rFonts w:ascii="David" w:eastAsia="Calibri" w:hAnsi="David" w:hint="eastAsia"/>
          <w:sz w:val="24"/>
          <w:rtl/>
        </w:rPr>
        <w:t>המשפטי</w:t>
      </w:r>
      <w:r w:rsidR="00710388" w:rsidRPr="002821A8">
        <w:rPr>
          <w:rFonts w:ascii="David" w:eastAsia="Calibri" w:hAnsi="David"/>
          <w:sz w:val="24"/>
          <w:rtl/>
        </w:rPr>
        <w:t xml:space="preserve"> </w:t>
      </w:r>
      <w:r w:rsidR="00710388" w:rsidRPr="002821A8">
        <w:rPr>
          <w:rFonts w:ascii="David" w:eastAsia="Calibri" w:hAnsi="David" w:hint="eastAsia"/>
          <w:sz w:val="24"/>
          <w:rtl/>
        </w:rPr>
        <w:t>לממשלה</w:t>
      </w:r>
      <w:r w:rsidRPr="002821A8">
        <w:rPr>
          <w:rFonts w:ascii="David" w:eastAsia="Calibri" w:hAnsi="David"/>
          <w:sz w:val="24"/>
          <w:rtl/>
        </w:rPr>
        <w:t>.</w:t>
      </w:r>
      <w:r w:rsidR="00382AE8">
        <w:rPr>
          <w:rFonts w:ascii="David" w:eastAsia="Calibri" w:hAnsi="David"/>
          <w:sz w:val="24"/>
          <w:rtl/>
        </w:rPr>
        <w:t xml:space="preserve"> </w:t>
      </w:r>
    </w:p>
    <w:p w:rsidR="00082C78" w:rsidRPr="00082C78" w:rsidRDefault="00082C78" w:rsidP="00604C3D">
      <w:pPr>
        <w:spacing w:line="269" w:lineRule="auto"/>
        <w:rPr>
          <w:rFonts w:ascii="David" w:eastAsia="Calibri" w:hAnsi="David"/>
          <w:b/>
          <w:bCs/>
          <w:sz w:val="24"/>
          <w:rtl/>
        </w:rPr>
      </w:pPr>
    </w:p>
    <w:p w:rsidR="00082C78" w:rsidRPr="00082C78" w:rsidRDefault="00082C78" w:rsidP="00520E80">
      <w:pPr>
        <w:spacing w:line="269" w:lineRule="auto"/>
        <w:ind w:left="360"/>
        <w:rPr>
          <w:rFonts w:ascii="David" w:eastAsia="Calibri" w:hAnsi="David"/>
          <w:sz w:val="24"/>
          <w:rtl/>
        </w:rPr>
      </w:pPr>
      <w:r w:rsidRPr="00082C78">
        <w:rPr>
          <w:rFonts w:ascii="David" w:eastAsia="Calibri" w:hAnsi="David" w:hint="cs"/>
          <w:sz w:val="24"/>
          <w:rtl/>
        </w:rPr>
        <w:t>משרד המשפטים כתב בתשובתו כי אופן פעולת הכלי, היקף פוטנציאל היכולות שלו מבחינת החריגה מהסמכויות הנתונות למשטרה על פי דין וסוגיות עקרוניות שהתעוררו במהלך הפעלתו ואושרו על ידי הייעוץ המשפטי למשטרה לאורך שנים לא הועברו לידיעת הייעוץ המשפטי לממשלה ולא היו מוכרות לו. עוד כתב משרד המשפטים כי בהתאם להנחיית היועמ"ש לממשלה יש לפנות אל</w:t>
      </w:r>
      <w:r w:rsidR="00380499">
        <w:rPr>
          <w:rFonts w:ascii="David" w:eastAsia="Calibri" w:hAnsi="David" w:hint="cs"/>
          <w:sz w:val="24"/>
          <w:rtl/>
        </w:rPr>
        <w:t xml:space="preserve"> היועמ"שית לממשלה</w:t>
      </w:r>
      <w:r w:rsidRPr="00082C78">
        <w:rPr>
          <w:rFonts w:ascii="David" w:eastAsia="Calibri" w:hAnsi="David" w:hint="cs"/>
          <w:sz w:val="24"/>
          <w:rtl/>
        </w:rPr>
        <w:t xml:space="preserve"> ולערבה במקרים הדורשים זאת.</w:t>
      </w:r>
      <w:r w:rsidR="00F43F76">
        <w:rPr>
          <w:rFonts w:ascii="David" w:eastAsia="Calibri" w:hAnsi="David" w:hint="cs"/>
          <w:sz w:val="24"/>
          <w:rtl/>
        </w:rPr>
        <w:t xml:space="preserve"> </w:t>
      </w:r>
    </w:p>
    <w:p w:rsidR="00082C78" w:rsidRPr="00082C78" w:rsidRDefault="00082C78" w:rsidP="00604C3D">
      <w:pPr>
        <w:spacing w:line="269" w:lineRule="auto"/>
        <w:rPr>
          <w:rFonts w:ascii="David" w:eastAsia="Calibri" w:hAnsi="David"/>
          <w:b/>
          <w:bCs/>
          <w:sz w:val="24"/>
          <w:rtl/>
        </w:rPr>
      </w:pPr>
    </w:p>
    <w:p w:rsidR="006318B1" w:rsidRDefault="00710388" w:rsidP="00520E80">
      <w:pPr>
        <w:spacing w:line="269" w:lineRule="auto"/>
        <w:ind w:left="360"/>
        <w:rPr>
          <w:rFonts w:ascii="David" w:eastAsia="Calibri" w:hAnsi="David"/>
          <w:b/>
          <w:bCs/>
          <w:sz w:val="24"/>
          <w:rtl/>
        </w:rPr>
      </w:pPr>
      <w:bookmarkStart w:id="98" w:name="_Hlk190089559"/>
      <w:bookmarkEnd w:id="97"/>
      <w:r>
        <w:rPr>
          <w:rFonts w:ascii="David" w:eastAsia="Calibri" w:hAnsi="David" w:hint="cs"/>
          <w:b/>
          <w:bCs/>
          <w:sz w:val="24"/>
          <w:rtl/>
        </w:rPr>
        <w:t>עולה כי ה</w:t>
      </w:r>
      <w:r w:rsidR="002A5589">
        <w:rPr>
          <w:rFonts w:ascii="David" w:eastAsia="Calibri" w:hAnsi="David" w:hint="cs"/>
          <w:b/>
          <w:bCs/>
          <w:sz w:val="24"/>
          <w:rtl/>
        </w:rPr>
        <w:t xml:space="preserve">דיון משנת 2019 </w:t>
      </w:r>
      <w:r>
        <w:rPr>
          <w:rFonts w:ascii="David" w:eastAsia="Calibri" w:hAnsi="David" w:hint="cs"/>
          <w:b/>
          <w:bCs/>
          <w:sz w:val="24"/>
          <w:rtl/>
        </w:rPr>
        <w:t xml:space="preserve">כלל התייחסויות </w:t>
      </w:r>
      <w:r w:rsidR="00DE5D38">
        <w:rPr>
          <w:rFonts w:ascii="David" w:eastAsia="Calibri" w:hAnsi="David" w:hint="cs"/>
          <w:b/>
          <w:bCs/>
          <w:sz w:val="24"/>
          <w:rtl/>
        </w:rPr>
        <w:t>ש</w:t>
      </w:r>
      <w:r w:rsidR="002A5589" w:rsidRPr="002A5589">
        <w:rPr>
          <w:rFonts w:ascii="David" w:eastAsia="Calibri" w:hAnsi="David" w:hint="cs"/>
          <w:b/>
          <w:bCs/>
          <w:sz w:val="24"/>
          <w:rtl/>
        </w:rPr>
        <w:t>עשויות היו ללמד</w:t>
      </w:r>
      <w:r w:rsidR="002A5589">
        <w:rPr>
          <w:rFonts w:ascii="David" w:eastAsia="Calibri" w:hAnsi="David" w:hint="cs"/>
          <w:b/>
          <w:bCs/>
          <w:sz w:val="24"/>
          <w:rtl/>
        </w:rPr>
        <w:t xml:space="preserve"> את גורמי הייעוץ המשפטי לממשלה</w:t>
      </w:r>
      <w:r w:rsidR="002A5589" w:rsidRPr="002A5589">
        <w:rPr>
          <w:rFonts w:ascii="David" w:eastAsia="Calibri" w:hAnsi="David" w:hint="cs"/>
          <w:b/>
          <w:bCs/>
          <w:sz w:val="24"/>
          <w:rtl/>
        </w:rPr>
        <w:t xml:space="preserve"> על קיומו של פוטנציאל יכולות</w:t>
      </w:r>
      <w:r w:rsidR="00DE5D38">
        <w:rPr>
          <w:rFonts w:ascii="David" w:eastAsia="Calibri" w:hAnsi="David" w:hint="cs"/>
          <w:b/>
          <w:bCs/>
          <w:sz w:val="24"/>
          <w:rtl/>
        </w:rPr>
        <w:t xml:space="preserve"> חורגות</w:t>
      </w:r>
      <w:r w:rsidR="002A5589" w:rsidRPr="002A5589">
        <w:rPr>
          <w:rFonts w:ascii="David" w:eastAsia="Calibri" w:hAnsi="David" w:hint="cs"/>
          <w:b/>
          <w:bCs/>
          <w:sz w:val="24"/>
          <w:rtl/>
        </w:rPr>
        <w:t xml:space="preserve"> של כלי</w:t>
      </w:r>
      <w:r w:rsidR="002A5589">
        <w:rPr>
          <w:rFonts w:ascii="David" w:eastAsia="Calibri" w:hAnsi="David" w:hint="cs"/>
          <w:b/>
          <w:bCs/>
          <w:sz w:val="24"/>
          <w:rtl/>
        </w:rPr>
        <w:t xml:space="preserve"> טכנולוגי</w:t>
      </w:r>
      <w:r w:rsidR="00382AE8">
        <w:rPr>
          <w:rFonts w:ascii="David" w:eastAsia="Calibri" w:hAnsi="David" w:hint="cs"/>
          <w:b/>
          <w:bCs/>
          <w:sz w:val="24"/>
          <w:rtl/>
        </w:rPr>
        <w:t xml:space="preserve"> </w:t>
      </w:r>
      <w:r w:rsidR="00DE5D38">
        <w:rPr>
          <w:rFonts w:ascii="David" w:eastAsia="Calibri" w:hAnsi="David" w:hint="cs"/>
          <w:b/>
          <w:bCs/>
          <w:sz w:val="24"/>
          <w:rtl/>
        </w:rPr>
        <w:t>ו</w:t>
      </w:r>
      <w:r w:rsidR="006318B1" w:rsidRPr="006318B1">
        <w:rPr>
          <w:rFonts w:ascii="David" w:eastAsia="Calibri" w:hAnsi="David" w:hint="cs"/>
          <w:b/>
          <w:bCs/>
          <w:sz w:val="24"/>
          <w:rtl/>
        </w:rPr>
        <w:t xml:space="preserve">על השימוש שעושה המשטרה </w:t>
      </w:r>
      <w:r w:rsidR="00DE5D38">
        <w:rPr>
          <w:rFonts w:ascii="David" w:eastAsia="Calibri" w:hAnsi="David" w:hint="cs"/>
          <w:b/>
          <w:bCs/>
          <w:sz w:val="24"/>
          <w:rtl/>
        </w:rPr>
        <w:t>בו</w:t>
      </w:r>
      <w:r w:rsidR="00DE5D38" w:rsidRPr="006318B1">
        <w:rPr>
          <w:rFonts w:ascii="David" w:eastAsia="Calibri" w:hAnsi="David" w:hint="cs"/>
          <w:b/>
          <w:bCs/>
          <w:sz w:val="24"/>
          <w:rtl/>
        </w:rPr>
        <w:t xml:space="preserve"> </w:t>
      </w:r>
      <w:r w:rsidR="006318B1" w:rsidRPr="006318B1">
        <w:rPr>
          <w:rFonts w:ascii="David" w:eastAsia="Calibri" w:hAnsi="David" w:hint="cs"/>
          <w:b/>
          <w:bCs/>
          <w:sz w:val="24"/>
          <w:rtl/>
        </w:rPr>
        <w:t>(ראו להלן בפרק הבא)</w:t>
      </w:r>
      <w:r>
        <w:rPr>
          <w:rFonts w:ascii="David" w:eastAsia="Calibri" w:hAnsi="David" w:hint="cs"/>
          <w:b/>
          <w:bCs/>
          <w:sz w:val="24"/>
          <w:rtl/>
        </w:rPr>
        <w:t>. לכן</w:t>
      </w:r>
      <w:r w:rsidR="006318B1" w:rsidRPr="006318B1">
        <w:rPr>
          <w:rFonts w:ascii="David" w:eastAsia="Calibri" w:hAnsi="David" w:hint="cs"/>
          <w:b/>
          <w:bCs/>
          <w:sz w:val="24"/>
          <w:rtl/>
        </w:rPr>
        <w:t xml:space="preserve"> </w:t>
      </w:r>
      <w:r w:rsidRPr="006318B1">
        <w:rPr>
          <w:rFonts w:ascii="David" w:eastAsia="Calibri" w:hAnsi="David" w:hint="cs"/>
          <w:b/>
          <w:bCs/>
          <w:sz w:val="24"/>
          <w:rtl/>
        </w:rPr>
        <w:t xml:space="preserve">לדעת משרד מבקר המדינה, </w:t>
      </w:r>
      <w:r w:rsidR="006318B1" w:rsidRPr="006318B1">
        <w:rPr>
          <w:rFonts w:ascii="David" w:eastAsia="Calibri" w:hAnsi="David" w:hint="cs"/>
          <w:b/>
          <w:bCs/>
          <w:sz w:val="24"/>
          <w:rtl/>
        </w:rPr>
        <w:t>היה עליהם</w:t>
      </w:r>
      <w:r w:rsidR="006318B1" w:rsidRPr="006318B1">
        <w:rPr>
          <w:rFonts w:ascii="David" w:eastAsia="Calibri" w:hAnsi="David"/>
          <w:b/>
          <w:bCs/>
          <w:sz w:val="24"/>
          <w:rtl/>
        </w:rPr>
        <w:t xml:space="preserve"> </w:t>
      </w:r>
      <w:r w:rsidR="006318B1" w:rsidRPr="006318B1">
        <w:rPr>
          <w:rFonts w:ascii="David" w:eastAsia="Calibri" w:hAnsi="David" w:hint="cs"/>
          <w:b/>
          <w:bCs/>
          <w:sz w:val="24"/>
          <w:rtl/>
        </w:rPr>
        <w:t xml:space="preserve">ליזום </w:t>
      </w:r>
      <w:r w:rsidR="006318B1" w:rsidRPr="006318B1">
        <w:rPr>
          <w:rFonts w:ascii="David" w:eastAsia="Calibri" w:hAnsi="David"/>
          <w:b/>
          <w:bCs/>
          <w:sz w:val="24"/>
          <w:rtl/>
        </w:rPr>
        <w:t>פנייה</w:t>
      </w:r>
      <w:r w:rsidR="006318B1" w:rsidRPr="006318B1">
        <w:rPr>
          <w:rFonts w:ascii="David" w:eastAsia="Calibri" w:hAnsi="David" w:hint="cs"/>
          <w:b/>
          <w:bCs/>
          <w:sz w:val="24"/>
          <w:rtl/>
        </w:rPr>
        <w:t xml:space="preserve"> למשטרה</w:t>
      </w:r>
      <w:r w:rsidR="006318B1" w:rsidRPr="006318B1">
        <w:rPr>
          <w:rFonts w:ascii="David" w:eastAsia="Calibri" w:hAnsi="David"/>
          <w:b/>
          <w:bCs/>
          <w:sz w:val="24"/>
          <w:rtl/>
        </w:rPr>
        <w:t xml:space="preserve"> לצורך קבלת מידע מפורט </w:t>
      </w:r>
      <w:r w:rsidR="006318B1" w:rsidRPr="006318B1">
        <w:rPr>
          <w:rFonts w:ascii="David" w:eastAsia="Calibri" w:hAnsi="David" w:hint="cs"/>
          <w:b/>
          <w:bCs/>
          <w:sz w:val="24"/>
          <w:rtl/>
        </w:rPr>
        <w:t xml:space="preserve">ומלא </w:t>
      </w:r>
      <w:r w:rsidR="006318B1" w:rsidRPr="006318B1">
        <w:rPr>
          <w:rFonts w:ascii="David" w:eastAsia="Calibri" w:hAnsi="David"/>
          <w:b/>
          <w:bCs/>
          <w:sz w:val="24"/>
          <w:rtl/>
        </w:rPr>
        <w:t>בנוגע ל</w:t>
      </w:r>
      <w:r w:rsidR="006318B1" w:rsidRPr="006318B1">
        <w:rPr>
          <w:rFonts w:ascii="David" w:eastAsia="Calibri" w:hAnsi="David" w:hint="cs"/>
          <w:b/>
          <w:bCs/>
          <w:sz w:val="24"/>
          <w:rtl/>
        </w:rPr>
        <w:t xml:space="preserve">כלל </w:t>
      </w:r>
      <w:r w:rsidR="006318B1" w:rsidRPr="006318B1">
        <w:rPr>
          <w:rFonts w:ascii="David" w:eastAsia="Calibri" w:hAnsi="David"/>
          <w:b/>
          <w:bCs/>
          <w:sz w:val="24"/>
          <w:rtl/>
        </w:rPr>
        <w:t>יכולות ה</w:t>
      </w:r>
      <w:r w:rsidR="006318B1" w:rsidRPr="006318B1">
        <w:rPr>
          <w:rFonts w:ascii="David" w:eastAsia="Calibri" w:hAnsi="David" w:hint="cs"/>
          <w:b/>
          <w:bCs/>
          <w:sz w:val="24"/>
          <w:rtl/>
        </w:rPr>
        <w:t>כלי</w:t>
      </w:r>
      <w:r w:rsidR="006318B1" w:rsidRPr="006318B1">
        <w:rPr>
          <w:rFonts w:ascii="David" w:eastAsia="Calibri" w:hAnsi="David"/>
          <w:b/>
          <w:bCs/>
          <w:sz w:val="24"/>
          <w:rtl/>
        </w:rPr>
        <w:t xml:space="preserve"> ו</w:t>
      </w:r>
      <w:r w:rsidR="006318B1" w:rsidRPr="006318B1">
        <w:rPr>
          <w:rFonts w:ascii="David" w:eastAsia="Calibri" w:hAnsi="David" w:hint="cs"/>
          <w:b/>
          <w:bCs/>
          <w:sz w:val="24"/>
          <w:rtl/>
        </w:rPr>
        <w:t>ל</w:t>
      </w:r>
      <w:r w:rsidR="006318B1" w:rsidRPr="006318B1">
        <w:rPr>
          <w:rFonts w:ascii="David" w:eastAsia="Calibri" w:hAnsi="David"/>
          <w:b/>
          <w:bCs/>
          <w:sz w:val="24"/>
          <w:rtl/>
        </w:rPr>
        <w:t>אופן השימוש ב</w:t>
      </w:r>
      <w:r w:rsidR="006318B1" w:rsidRPr="006318B1">
        <w:rPr>
          <w:rFonts w:ascii="David" w:eastAsia="Calibri" w:hAnsi="David" w:hint="cs"/>
          <w:b/>
          <w:bCs/>
          <w:sz w:val="24"/>
          <w:rtl/>
        </w:rPr>
        <w:t>ו,</w:t>
      </w:r>
      <w:r w:rsidR="006318B1" w:rsidRPr="006318B1">
        <w:rPr>
          <w:rFonts w:ascii="David" w:eastAsia="Calibri" w:hAnsi="David"/>
          <w:b/>
          <w:bCs/>
          <w:sz w:val="24"/>
          <w:rtl/>
        </w:rPr>
        <w:t xml:space="preserve"> </w:t>
      </w:r>
      <w:r w:rsidR="006318B1" w:rsidRPr="006318B1">
        <w:rPr>
          <w:rFonts w:ascii="David" w:eastAsia="Calibri" w:hAnsi="David" w:hint="cs"/>
          <w:b/>
          <w:bCs/>
          <w:sz w:val="24"/>
          <w:rtl/>
        </w:rPr>
        <w:t>כדי לבחון את ה</w:t>
      </w:r>
      <w:r w:rsidR="006318B1" w:rsidRPr="006318B1">
        <w:rPr>
          <w:rFonts w:ascii="David" w:eastAsia="Calibri" w:hAnsi="David"/>
          <w:b/>
          <w:bCs/>
          <w:sz w:val="24"/>
          <w:rtl/>
        </w:rPr>
        <w:t xml:space="preserve">צורך </w:t>
      </w:r>
      <w:r w:rsidR="006318B1" w:rsidRPr="006318B1">
        <w:rPr>
          <w:rFonts w:ascii="David" w:eastAsia="Calibri" w:hAnsi="David" w:hint="cs"/>
          <w:b/>
          <w:bCs/>
          <w:sz w:val="24"/>
          <w:rtl/>
        </w:rPr>
        <w:t>ב</w:t>
      </w:r>
      <w:r w:rsidR="006318B1" w:rsidRPr="006318B1">
        <w:rPr>
          <w:rFonts w:ascii="David" w:eastAsia="Calibri" w:hAnsi="David"/>
          <w:b/>
          <w:bCs/>
          <w:sz w:val="24"/>
          <w:rtl/>
        </w:rPr>
        <w:t xml:space="preserve">קיום בחינות משפטיות. </w:t>
      </w:r>
      <w:r w:rsidR="00933F61">
        <w:rPr>
          <w:rFonts w:ascii="David" w:eastAsia="Calibri" w:hAnsi="David" w:hint="cs"/>
          <w:b/>
          <w:bCs/>
          <w:sz w:val="24"/>
          <w:rtl/>
        </w:rPr>
        <w:t>זאת,</w:t>
      </w:r>
      <w:r w:rsidR="006318B1" w:rsidRPr="006318B1">
        <w:rPr>
          <w:rFonts w:ascii="David" w:eastAsia="Calibri" w:hAnsi="David" w:hint="cs"/>
          <w:b/>
          <w:bCs/>
          <w:sz w:val="24"/>
          <w:rtl/>
        </w:rPr>
        <w:t xml:space="preserve"> במיוחד לנוכח השימוש הנרחב שנעשה </w:t>
      </w:r>
      <w:r w:rsidR="00933F61">
        <w:rPr>
          <w:rFonts w:ascii="David" w:eastAsia="Calibri" w:hAnsi="David" w:hint="cs"/>
          <w:b/>
          <w:bCs/>
          <w:sz w:val="24"/>
          <w:rtl/>
        </w:rPr>
        <w:t>בכלי משמעותי זה</w:t>
      </w:r>
      <w:r w:rsidR="006318B1" w:rsidRPr="006318B1">
        <w:rPr>
          <w:rFonts w:ascii="David" w:eastAsia="Calibri" w:hAnsi="David"/>
          <w:b/>
          <w:bCs/>
          <w:sz w:val="24"/>
          <w:rtl/>
        </w:rPr>
        <w:t>.</w:t>
      </w:r>
      <w:bookmarkEnd w:id="98"/>
      <w:r w:rsidR="00382AE8">
        <w:rPr>
          <w:rFonts w:ascii="David" w:eastAsia="Calibri" w:hAnsi="David"/>
          <w:b/>
          <w:bCs/>
          <w:sz w:val="24"/>
          <w:rtl/>
        </w:rPr>
        <w:t xml:space="preserve"> </w:t>
      </w:r>
    </w:p>
    <w:p w:rsidR="00C86567" w:rsidRPr="006318B1" w:rsidRDefault="00C86567" w:rsidP="00604C3D">
      <w:pPr>
        <w:spacing w:line="269" w:lineRule="auto"/>
        <w:rPr>
          <w:rFonts w:ascii="David" w:eastAsia="Calibri" w:hAnsi="David"/>
          <w:b/>
          <w:bCs/>
          <w:sz w:val="24"/>
          <w:rtl/>
        </w:rPr>
      </w:pPr>
    </w:p>
    <w:p w:rsidR="00082C78" w:rsidRPr="00082C78" w:rsidRDefault="00082C78" w:rsidP="008C598D">
      <w:pPr>
        <w:pStyle w:val="4"/>
        <w:numPr>
          <w:ilvl w:val="1"/>
          <w:numId w:val="65"/>
        </w:numPr>
        <w:spacing w:before="0" w:line="269" w:lineRule="auto"/>
        <w:ind w:left="367"/>
        <w:rPr>
          <w:rFonts w:eastAsia="Times New Roman"/>
          <w:rtl/>
        </w:rPr>
      </w:pPr>
      <w:bookmarkStart w:id="99" w:name="_Toc211521906"/>
      <w:bookmarkStart w:id="100" w:name="_Toc219110297"/>
      <w:bookmarkStart w:id="101" w:name="_Toc219113738"/>
      <w:bookmarkStart w:id="102" w:name="_Toc219286513"/>
      <w:r w:rsidRPr="00082C78">
        <w:rPr>
          <w:rFonts w:eastAsia="Times New Roman" w:hint="cs"/>
          <w:rtl/>
        </w:rPr>
        <w:t>תהליכי אישור והסדרה של השימוש ב</w:t>
      </w:r>
      <w:r w:rsidR="00C05AB5">
        <w:rPr>
          <w:rFonts w:eastAsia="Times New Roman" w:hint="cs"/>
          <w:rtl/>
        </w:rPr>
        <w:t>כלי טכנולוגי</w:t>
      </w:r>
      <w:r w:rsidRPr="00082C78">
        <w:rPr>
          <w:rFonts w:eastAsia="Times New Roman" w:hint="cs"/>
          <w:rtl/>
        </w:rPr>
        <w:t xml:space="preserve"> מסוי</w:t>
      </w:r>
      <w:r w:rsidR="00C05AB5">
        <w:rPr>
          <w:rFonts w:eastAsia="Times New Roman" w:hint="cs"/>
          <w:rtl/>
        </w:rPr>
        <w:t>ם</w:t>
      </w:r>
      <w:bookmarkEnd w:id="99"/>
      <w:bookmarkEnd w:id="100"/>
      <w:bookmarkEnd w:id="101"/>
      <w:bookmarkEnd w:id="102"/>
      <w:r w:rsidRPr="00082C78">
        <w:rPr>
          <w:rFonts w:eastAsia="Times New Roman" w:hint="cs"/>
          <w:rtl/>
        </w:rPr>
        <w:t xml:space="preserve"> </w:t>
      </w:r>
    </w:p>
    <w:p w:rsidR="00271D14" w:rsidRDefault="00271D14" w:rsidP="00604C3D">
      <w:pPr>
        <w:spacing w:line="269" w:lineRule="auto"/>
        <w:rPr>
          <w:rFonts w:ascii="David" w:eastAsia="Calibri" w:hAnsi="David"/>
          <w:b/>
          <w:bCs/>
          <w:sz w:val="16"/>
          <w:szCs w:val="16"/>
          <w:rtl/>
        </w:rPr>
      </w:pPr>
    </w:p>
    <w:p w:rsidR="00082C78" w:rsidRPr="00082C78" w:rsidRDefault="00082C78" w:rsidP="00520E80">
      <w:pPr>
        <w:spacing w:line="269" w:lineRule="auto"/>
        <w:ind w:left="360"/>
        <w:rPr>
          <w:rFonts w:ascii="David" w:eastAsia="Calibri" w:hAnsi="David"/>
          <w:sz w:val="24"/>
          <w:rtl/>
        </w:rPr>
      </w:pPr>
      <w:r w:rsidRPr="00912F9B">
        <w:rPr>
          <w:rFonts w:ascii="David" w:eastAsia="Calibri" w:hAnsi="David" w:hint="cs"/>
          <w:sz w:val="24"/>
          <w:rtl/>
        </w:rPr>
        <w:t>ישיבות</w:t>
      </w:r>
      <w:r w:rsidRPr="00082C78">
        <w:rPr>
          <w:rFonts w:ascii="David" w:eastAsia="Calibri" w:hAnsi="David" w:hint="cs"/>
          <w:sz w:val="24"/>
          <w:rtl/>
        </w:rPr>
        <w:t xml:space="preserve"> </w:t>
      </w:r>
      <w:r w:rsidR="00680B49">
        <w:rPr>
          <w:rFonts w:ascii="David" w:eastAsia="Calibri" w:hAnsi="David" w:hint="cs"/>
          <w:sz w:val="24"/>
          <w:rtl/>
        </w:rPr>
        <w:t>בנושא</w:t>
      </w:r>
      <w:r w:rsidR="00680B49" w:rsidRPr="00082C78">
        <w:rPr>
          <w:rFonts w:ascii="David" w:eastAsia="Calibri" w:hAnsi="David" w:hint="cs"/>
          <w:sz w:val="24"/>
          <w:rtl/>
        </w:rPr>
        <w:t xml:space="preserve"> </w:t>
      </w:r>
      <w:r w:rsidRPr="00082C78">
        <w:rPr>
          <w:rFonts w:ascii="David" w:eastAsia="Calibri" w:hAnsi="David" w:hint="cs"/>
          <w:sz w:val="24"/>
          <w:rtl/>
        </w:rPr>
        <w:t>בקשות היתרי האזנות סתר</w:t>
      </w:r>
      <w:r w:rsidR="00F961DA">
        <w:rPr>
          <w:rFonts w:ascii="David" w:eastAsia="Calibri" w:hAnsi="David" w:hint="cs"/>
          <w:sz w:val="24"/>
          <w:rtl/>
        </w:rPr>
        <w:t xml:space="preserve"> התקיימו בייעוץ המשפטי לממשלה</w:t>
      </w:r>
      <w:r w:rsidRPr="00082C78">
        <w:rPr>
          <w:rFonts w:ascii="David" w:eastAsia="Calibri" w:hAnsi="David"/>
          <w:vertAlign w:val="superscript"/>
          <w:rtl/>
        </w:rPr>
        <w:footnoteReference w:id="44"/>
      </w:r>
      <w:r w:rsidRPr="00082C78">
        <w:rPr>
          <w:rFonts w:ascii="David" w:eastAsia="Calibri" w:hAnsi="David"/>
          <w:vertAlign w:val="superscript"/>
          <w:rtl/>
        </w:rPr>
        <w:t xml:space="preserve"> </w:t>
      </w:r>
      <w:r w:rsidRPr="00082C78">
        <w:rPr>
          <w:rFonts w:ascii="David" w:eastAsia="Calibri" w:hAnsi="David" w:hint="cs"/>
          <w:sz w:val="24"/>
          <w:rtl/>
        </w:rPr>
        <w:t>ב-16.12.18 וב-30.1.19</w:t>
      </w:r>
      <w:r w:rsidRPr="00082C78">
        <w:rPr>
          <w:rFonts w:ascii="David" w:eastAsia="Calibri" w:hAnsi="David"/>
          <w:vertAlign w:val="superscript"/>
          <w:rtl/>
        </w:rPr>
        <w:footnoteReference w:id="45"/>
      </w:r>
      <w:r w:rsidRPr="00082C78">
        <w:rPr>
          <w:rFonts w:ascii="David" w:eastAsia="Calibri" w:hAnsi="David" w:hint="cs"/>
          <w:sz w:val="24"/>
          <w:rtl/>
        </w:rPr>
        <w:t xml:space="preserve">. בסיכום הפגישה </w:t>
      </w:r>
      <w:r w:rsidR="00B07431" w:rsidRPr="00082C78">
        <w:rPr>
          <w:rFonts w:ascii="David" w:eastAsia="Calibri" w:hAnsi="David" w:hint="cs"/>
          <w:sz w:val="24"/>
          <w:rtl/>
        </w:rPr>
        <w:t>מ</w:t>
      </w:r>
      <w:r w:rsidR="00B07431">
        <w:rPr>
          <w:rFonts w:ascii="David" w:eastAsia="Calibri" w:hAnsi="David" w:hint="cs"/>
          <w:sz w:val="24"/>
          <w:rtl/>
        </w:rPr>
        <w:t>-</w:t>
      </w:r>
      <w:r w:rsidRPr="00082C78">
        <w:rPr>
          <w:rFonts w:ascii="David" w:eastAsia="Calibri" w:hAnsi="David" w:hint="cs"/>
          <w:sz w:val="24"/>
          <w:rtl/>
        </w:rPr>
        <w:t xml:space="preserve">20.12.18 </w:t>
      </w:r>
      <w:r w:rsidR="00F961DA">
        <w:rPr>
          <w:rFonts w:ascii="David" w:eastAsia="Calibri" w:hAnsi="David" w:hint="cs"/>
          <w:sz w:val="24"/>
          <w:rtl/>
        </w:rPr>
        <w:t>כתב נציג הייעוץ המשפטי לממשלה</w:t>
      </w:r>
      <w:r w:rsidRPr="00082C78">
        <w:rPr>
          <w:rFonts w:ascii="David" w:eastAsia="Calibri" w:hAnsi="David" w:hint="cs"/>
          <w:sz w:val="24"/>
          <w:rtl/>
        </w:rPr>
        <w:t>: "במסגרת הישיבה המשטרה הציגה אמצעי האזנה של תקשורת בין מחשבים במקרים של טלפונים חכמים. על מנת להציג את אמצעי ההאזנה ליועץ המשפטי לממשלה וכן לקיים דיון עקרוני בנושא נבקש כי לקראת הישיבה יובא צו הכולל אמצעי האזנה מסוג זה וכן את הנוהל המשטרתי בנושא"</w:t>
      </w:r>
      <w:r w:rsidRPr="00082C78">
        <w:rPr>
          <w:rFonts w:ascii="David" w:eastAsia="Calibri" w:hAnsi="David" w:hint="cs"/>
          <w:sz w:val="18"/>
          <w:szCs w:val="18"/>
          <w:rtl/>
        </w:rPr>
        <w:t>.</w:t>
      </w:r>
      <w:r w:rsidRPr="00082C78">
        <w:rPr>
          <w:rFonts w:ascii="David" w:eastAsia="Calibri" w:hAnsi="David" w:hint="cs"/>
          <w:sz w:val="24"/>
          <w:rtl/>
        </w:rPr>
        <w:t xml:space="preserve"> </w:t>
      </w:r>
    </w:p>
    <w:p w:rsidR="00271D14" w:rsidRDefault="00271D14" w:rsidP="00604C3D">
      <w:pPr>
        <w:spacing w:line="269" w:lineRule="auto"/>
        <w:rPr>
          <w:rFonts w:ascii="David" w:eastAsia="Calibri" w:hAnsi="David"/>
          <w:b/>
          <w:bCs/>
          <w:sz w:val="16"/>
          <w:szCs w:val="16"/>
          <w:rtl/>
        </w:rPr>
      </w:pPr>
    </w:p>
    <w:p w:rsidR="00082C78" w:rsidRPr="00082C78" w:rsidRDefault="00082C78" w:rsidP="00912F9B">
      <w:pPr>
        <w:spacing w:line="269" w:lineRule="auto"/>
        <w:ind w:left="360"/>
        <w:rPr>
          <w:rFonts w:ascii="David" w:eastAsia="Calibri" w:hAnsi="David"/>
          <w:sz w:val="24"/>
          <w:rtl/>
        </w:rPr>
      </w:pPr>
      <w:r w:rsidRPr="00082C78">
        <w:rPr>
          <w:rFonts w:ascii="David" w:eastAsia="Calibri" w:hAnsi="David" w:hint="cs"/>
          <w:sz w:val="24"/>
          <w:rtl/>
        </w:rPr>
        <w:t>משורה של מסמכים נוספים שגובשו בשנים 2018 - 2021 עולה כי משרד המשפטים המשיך וביקש לקדם את הטיפול בנוגע לאמצעי האזנה לתקשורת בין מחשבים במקרים של טלפונים חכמים, ועלו לדיון היכולות הספציפיות של הכלי.</w:t>
      </w:r>
    </w:p>
    <w:p w:rsidR="00271D14" w:rsidRPr="00271D14" w:rsidRDefault="00271D14" w:rsidP="0075209E">
      <w:pPr>
        <w:spacing w:line="269" w:lineRule="auto"/>
        <w:ind w:left="567"/>
        <w:contextualSpacing/>
        <w:rPr>
          <w:rFonts w:eastAsia="Calibri"/>
        </w:rPr>
      </w:pPr>
      <w:bookmarkStart w:id="103" w:name="_Hlk190089614"/>
    </w:p>
    <w:p w:rsidR="00082C78" w:rsidRPr="00B15AD6" w:rsidRDefault="00082C78" w:rsidP="008C598D">
      <w:pPr>
        <w:pStyle w:val="af2"/>
        <w:numPr>
          <w:ilvl w:val="2"/>
          <w:numId w:val="65"/>
        </w:numPr>
        <w:spacing w:line="269" w:lineRule="auto"/>
        <w:rPr>
          <w:rFonts w:eastAsia="Calibri"/>
        </w:rPr>
      </w:pPr>
      <w:r w:rsidRPr="00B15AD6">
        <w:rPr>
          <w:rFonts w:eastAsia="Calibri" w:hint="eastAsia"/>
          <w:rtl/>
        </w:rPr>
        <w:t>ב</w:t>
      </w:r>
      <w:r w:rsidR="008B37E3" w:rsidRPr="00B15AD6">
        <w:rPr>
          <w:rFonts w:eastAsia="Calibri" w:hint="cs"/>
          <w:rtl/>
        </w:rPr>
        <w:t>-</w:t>
      </w:r>
      <w:r w:rsidRPr="00B15AD6">
        <w:rPr>
          <w:rFonts w:eastAsia="Calibri"/>
          <w:rtl/>
        </w:rPr>
        <w:t>2.6.19</w:t>
      </w:r>
      <w:r w:rsidRPr="00B15AD6">
        <w:rPr>
          <w:rFonts w:eastAsia="Calibri"/>
        </w:rPr>
        <w:t xml:space="preserve"> </w:t>
      </w:r>
      <w:r w:rsidRPr="00B15AD6">
        <w:rPr>
          <w:rFonts w:eastAsia="Calibri" w:hint="eastAsia"/>
          <w:rtl/>
        </w:rPr>
        <w:t>נערכה</w:t>
      </w:r>
      <w:r w:rsidRPr="00B15AD6">
        <w:rPr>
          <w:rFonts w:eastAsia="Calibri"/>
          <w:rtl/>
        </w:rPr>
        <w:t xml:space="preserve"> ישיבה עיתית על צווי האזנת סתר </w:t>
      </w:r>
      <w:r w:rsidRPr="00B15AD6">
        <w:rPr>
          <w:rFonts w:eastAsia="Calibri" w:hint="cs"/>
          <w:rtl/>
        </w:rPr>
        <w:t>שניתנו ב</w:t>
      </w:r>
      <w:r w:rsidRPr="00B15AD6">
        <w:rPr>
          <w:rFonts w:eastAsia="Calibri"/>
          <w:rtl/>
        </w:rPr>
        <w:t>יולי</w:t>
      </w:r>
      <w:r w:rsidR="00382AE8" w:rsidRPr="00B15AD6">
        <w:rPr>
          <w:rFonts w:eastAsia="Calibri"/>
          <w:rtl/>
        </w:rPr>
        <w:t xml:space="preserve"> </w:t>
      </w:r>
      <w:r w:rsidRPr="00B15AD6">
        <w:rPr>
          <w:rFonts w:eastAsia="Calibri" w:hint="cs"/>
          <w:rtl/>
        </w:rPr>
        <w:t>עד</w:t>
      </w:r>
      <w:r w:rsidRPr="00B15AD6">
        <w:rPr>
          <w:rFonts w:eastAsia="Calibri"/>
          <w:rtl/>
        </w:rPr>
        <w:t xml:space="preserve"> דצמבר 2018 </w:t>
      </w:r>
      <w:r w:rsidRPr="00B15AD6">
        <w:rPr>
          <w:rFonts w:eastAsia="Calibri" w:hint="eastAsia"/>
          <w:rtl/>
        </w:rPr>
        <w:t>בראשותו</w:t>
      </w:r>
      <w:r w:rsidRPr="00B15AD6">
        <w:rPr>
          <w:rFonts w:eastAsia="Calibri"/>
          <w:rtl/>
        </w:rPr>
        <w:t xml:space="preserve"> של היועמ"ש לממשלה דאז ובהשתתפות </w:t>
      </w:r>
      <w:r w:rsidR="0031235E" w:rsidRPr="00B15AD6">
        <w:rPr>
          <w:rFonts w:eastAsia="Calibri" w:hint="cs"/>
          <w:rtl/>
        </w:rPr>
        <w:t>נציגי משרד המשפטים והמשטרה</w:t>
      </w:r>
      <w:r w:rsidRPr="00B15AD6">
        <w:rPr>
          <w:rFonts w:eastAsia="Calibri"/>
          <w:rtl/>
        </w:rPr>
        <w:t xml:space="preserve">. בישיבה </w:t>
      </w:r>
      <w:r w:rsidR="00CA573C" w:rsidRPr="00B15AD6">
        <w:rPr>
          <w:rFonts w:eastAsia="Calibri" w:hint="cs"/>
          <w:rtl/>
        </w:rPr>
        <w:t>ציינה המשטרה שמדובר</w:t>
      </w:r>
      <w:r w:rsidRPr="00B15AD6">
        <w:rPr>
          <w:rFonts w:eastAsia="Calibri"/>
          <w:rtl/>
        </w:rPr>
        <w:t xml:space="preserve"> </w:t>
      </w:r>
      <w:r w:rsidR="00CA573C" w:rsidRPr="00B15AD6">
        <w:rPr>
          <w:rFonts w:eastAsia="Calibri" w:hint="cs"/>
          <w:rtl/>
        </w:rPr>
        <w:t>ב</w:t>
      </w:r>
      <w:r w:rsidRPr="00B15AD6">
        <w:rPr>
          <w:rFonts w:eastAsia="Calibri"/>
          <w:rtl/>
        </w:rPr>
        <w:t xml:space="preserve">"אמצעי האזנה ייחודי". </w:t>
      </w:r>
      <w:r w:rsidR="0031235E" w:rsidRPr="00B15AD6">
        <w:rPr>
          <w:rFonts w:eastAsia="Calibri" w:hint="cs"/>
          <w:rtl/>
        </w:rPr>
        <w:t>נציג משרד המשפטים</w:t>
      </w:r>
      <w:r w:rsidRPr="00B15AD6">
        <w:rPr>
          <w:rFonts w:eastAsia="Calibri"/>
          <w:rtl/>
        </w:rPr>
        <w:t xml:space="preserve"> </w:t>
      </w:r>
      <w:r w:rsidR="00CA573C" w:rsidRPr="00B15AD6">
        <w:rPr>
          <w:rFonts w:eastAsia="Calibri" w:hint="cs"/>
          <w:rtl/>
        </w:rPr>
        <w:t>ציין</w:t>
      </w:r>
      <w:r w:rsidR="00CA573C" w:rsidRPr="00B15AD6">
        <w:rPr>
          <w:rFonts w:eastAsia="Calibri"/>
          <w:rtl/>
        </w:rPr>
        <w:t xml:space="preserve"> </w:t>
      </w:r>
      <w:r w:rsidRPr="00B15AD6">
        <w:rPr>
          <w:rFonts w:eastAsia="Calibri" w:hint="eastAsia"/>
          <w:rtl/>
        </w:rPr>
        <w:t>כי</w:t>
      </w:r>
      <w:r w:rsidRPr="00B15AD6">
        <w:rPr>
          <w:rFonts w:eastAsia="Calibri"/>
          <w:rtl/>
        </w:rPr>
        <w:t xml:space="preserve"> </w:t>
      </w:r>
      <w:r w:rsidR="00CA573C" w:rsidRPr="00B15AD6">
        <w:rPr>
          <w:rFonts w:eastAsia="Calibri" w:hint="cs"/>
          <w:rtl/>
        </w:rPr>
        <w:t>מדובר בהתקנה של</w:t>
      </w:r>
      <w:r w:rsidRPr="00B15AD6">
        <w:rPr>
          <w:rFonts w:eastAsia="Calibri"/>
          <w:rtl/>
        </w:rPr>
        <w:t xml:space="preserve"> </w:t>
      </w:r>
      <w:r w:rsidR="00CC5F4F" w:rsidRPr="00B15AD6">
        <w:rPr>
          <w:rFonts w:eastAsia="Calibri" w:hint="eastAsia"/>
          <w:rtl/>
        </w:rPr>
        <w:t>כלי</w:t>
      </w:r>
      <w:r w:rsidR="00CC5F4F" w:rsidRPr="00B15AD6">
        <w:rPr>
          <w:rFonts w:eastAsia="Calibri"/>
          <w:rtl/>
        </w:rPr>
        <w:t xml:space="preserve"> </w:t>
      </w:r>
      <w:r w:rsidR="00CC5F4F" w:rsidRPr="00B15AD6">
        <w:rPr>
          <w:rFonts w:eastAsia="Calibri" w:hint="eastAsia"/>
          <w:rtl/>
        </w:rPr>
        <w:t>מסוים</w:t>
      </w:r>
      <w:r w:rsidR="00CC5F4F" w:rsidRPr="00B15AD6">
        <w:rPr>
          <w:rFonts w:eastAsia="Calibri"/>
          <w:rtl/>
        </w:rPr>
        <w:t xml:space="preserve"> </w:t>
      </w:r>
      <w:r w:rsidR="00CC5F4F" w:rsidRPr="00B15AD6">
        <w:rPr>
          <w:rFonts w:eastAsia="Calibri" w:hint="eastAsia"/>
          <w:rtl/>
        </w:rPr>
        <w:t>ב</w:t>
      </w:r>
      <w:r w:rsidRPr="00B15AD6">
        <w:rPr>
          <w:rFonts w:eastAsia="Calibri" w:hint="eastAsia"/>
          <w:rtl/>
        </w:rPr>
        <w:t>מכשיר</w:t>
      </w:r>
      <w:r w:rsidRPr="00B15AD6">
        <w:rPr>
          <w:rFonts w:eastAsia="Calibri"/>
          <w:rtl/>
        </w:rPr>
        <w:t xml:space="preserve"> </w:t>
      </w:r>
      <w:r w:rsidRPr="00B15AD6">
        <w:rPr>
          <w:rFonts w:eastAsia="Calibri" w:hint="eastAsia"/>
          <w:rtl/>
        </w:rPr>
        <w:t>הטלפון</w:t>
      </w:r>
      <w:r w:rsidRPr="00B15AD6">
        <w:rPr>
          <w:rFonts w:eastAsia="Calibri"/>
          <w:rtl/>
        </w:rPr>
        <w:t xml:space="preserve"> </w:t>
      </w:r>
      <w:r w:rsidRPr="00B15AD6">
        <w:rPr>
          <w:rFonts w:eastAsia="Calibri" w:hint="eastAsia"/>
          <w:rtl/>
        </w:rPr>
        <w:t>עצמו</w:t>
      </w:r>
      <w:r w:rsidRPr="00B15AD6">
        <w:rPr>
          <w:rFonts w:eastAsia="Calibri"/>
          <w:rtl/>
        </w:rPr>
        <w:t>,</w:t>
      </w:r>
      <w:r w:rsidR="001F3E5C" w:rsidRPr="00B15AD6">
        <w:rPr>
          <w:rFonts w:eastAsia="Calibri" w:hint="cs"/>
          <w:rtl/>
        </w:rPr>
        <w:t xml:space="preserve"> </w:t>
      </w:r>
      <w:r w:rsidR="0031235E" w:rsidRPr="00B15AD6">
        <w:rPr>
          <w:rFonts w:eastAsia="Calibri" w:hint="cs"/>
          <w:rtl/>
        </w:rPr>
        <w:t>ונציג נוסף</w:t>
      </w:r>
      <w:r w:rsidRPr="00B15AD6">
        <w:rPr>
          <w:rFonts w:eastAsia="Calibri"/>
          <w:rtl/>
        </w:rPr>
        <w:t xml:space="preserve"> </w:t>
      </w:r>
      <w:r w:rsidR="001F3E5C" w:rsidRPr="00B15AD6">
        <w:rPr>
          <w:rFonts w:eastAsia="Calibri" w:hint="cs"/>
          <w:rtl/>
        </w:rPr>
        <w:t xml:space="preserve">התייחס אף </w:t>
      </w:r>
      <w:r w:rsidR="00CA573C" w:rsidRPr="00B15AD6">
        <w:rPr>
          <w:rFonts w:eastAsia="Calibri" w:hint="cs"/>
          <w:rtl/>
        </w:rPr>
        <w:t xml:space="preserve">הוא </w:t>
      </w:r>
      <w:r w:rsidR="001F3E5C" w:rsidRPr="00B15AD6">
        <w:rPr>
          <w:rFonts w:eastAsia="Calibri" w:hint="cs"/>
          <w:rtl/>
        </w:rPr>
        <w:t>לכלי</w:t>
      </w:r>
      <w:r w:rsidRPr="00B15AD6">
        <w:rPr>
          <w:rFonts w:eastAsia="Calibri"/>
          <w:rtl/>
        </w:rPr>
        <w:t xml:space="preserve">. </w:t>
      </w:r>
      <w:r w:rsidR="00077B81" w:rsidRPr="00B15AD6">
        <w:rPr>
          <w:rFonts w:eastAsia="Calibri" w:hint="cs"/>
          <w:rtl/>
        </w:rPr>
        <w:t>לאחר מכן, נציג ה</w:t>
      </w:r>
      <w:r w:rsidRPr="00B15AD6">
        <w:rPr>
          <w:rFonts w:eastAsia="Calibri"/>
          <w:rtl/>
        </w:rPr>
        <w:t xml:space="preserve">משטרה </w:t>
      </w:r>
      <w:r w:rsidRPr="00B15AD6">
        <w:rPr>
          <w:rFonts w:eastAsia="Calibri" w:hint="cs"/>
          <w:rtl/>
        </w:rPr>
        <w:t xml:space="preserve">התייחס ליכולת </w:t>
      </w:r>
      <w:r w:rsidR="00077B81" w:rsidRPr="00B15AD6">
        <w:rPr>
          <w:rFonts w:eastAsia="Calibri" w:hint="cs"/>
          <w:rtl/>
        </w:rPr>
        <w:t xml:space="preserve">מסוימת </w:t>
      </w:r>
      <w:r w:rsidRPr="00B15AD6">
        <w:rPr>
          <w:rFonts w:eastAsia="Calibri" w:hint="cs"/>
          <w:rtl/>
        </w:rPr>
        <w:t>של הכלי ו</w:t>
      </w:r>
      <w:r w:rsidRPr="00B15AD6">
        <w:rPr>
          <w:rFonts w:eastAsia="Calibri"/>
          <w:rtl/>
        </w:rPr>
        <w:t>הסביר כי</w:t>
      </w:r>
      <w:r w:rsidRPr="00B15AD6">
        <w:rPr>
          <w:rFonts w:eastAsia="Calibri" w:hint="cs"/>
          <w:rtl/>
        </w:rPr>
        <w:t xml:space="preserve"> המשטרה אינה מנצלת את מלוא היכולות</w:t>
      </w:r>
      <w:r w:rsidR="00BF61AE" w:rsidRPr="00B15AD6">
        <w:rPr>
          <w:rFonts w:eastAsia="Calibri" w:hint="cs"/>
          <w:rtl/>
        </w:rPr>
        <w:t xml:space="preserve"> </w:t>
      </w:r>
      <w:r w:rsidR="008D4750" w:rsidRPr="00B15AD6">
        <w:rPr>
          <w:rFonts w:eastAsia="Calibri"/>
          <w:rtl/>
        </w:rPr>
        <w:t>של הטלפונים</w:t>
      </w:r>
      <w:r w:rsidR="008D4750" w:rsidRPr="00B15AD6">
        <w:rPr>
          <w:rFonts w:eastAsia="Calibri" w:hint="cs"/>
          <w:rtl/>
        </w:rPr>
        <w:t xml:space="preserve"> וכי האזנת הסתר מבוצעת מכאן והלאה</w:t>
      </w:r>
      <w:r w:rsidRPr="00B15AD6">
        <w:rPr>
          <w:rFonts w:eastAsia="Calibri" w:hint="cs"/>
          <w:rtl/>
        </w:rPr>
        <w:t xml:space="preserve">. בהקשר </w:t>
      </w:r>
      <w:r w:rsidR="00077B81" w:rsidRPr="00B15AD6">
        <w:rPr>
          <w:rFonts w:eastAsia="Calibri" w:hint="cs"/>
          <w:rtl/>
        </w:rPr>
        <w:t xml:space="preserve">זה </w:t>
      </w:r>
      <w:r w:rsidRPr="00B15AD6">
        <w:rPr>
          <w:rFonts w:eastAsia="Calibri" w:hint="cs"/>
          <w:rtl/>
        </w:rPr>
        <w:t>הוער כי מדובר בניצול מרבי של הסמכויות בחוק, וכי אין בסמכות המשטרה לבצע היבט מסוים הנוגע לאותה יכולת;</w:t>
      </w:r>
      <w:r w:rsidRPr="00B15AD6">
        <w:rPr>
          <w:rFonts w:eastAsia="Calibri"/>
          <w:rtl/>
        </w:rPr>
        <w:t xml:space="preserve"> </w:t>
      </w:r>
      <w:r w:rsidR="00A11411" w:rsidRPr="00B15AD6">
        <w:rPr>
          <w:rFonts w:eastAsia="Calibri" w:hint="cs"/>
          <w:rtl/>
        </w:rPr>
        <w:t>ואילו נציג משרד המשפטים</w:t>
      </w:r>
      <w:r w:rsidR="00382AE8" w:rsidRPr="00B15AD6">
        <w:rPr>
          <w:rFonts w:eastAsia="Calibri" w:hint="cs"/>
          <w:rtl/>
        </w:rPr>
        <w:t xml:space="preserve"> </w:t>
      </w:r>
      <w:r w:rsidRPr="00B15AD6">
        <w:rPr>
          <w:rFonts w:eastAsia="Calibri" w:hint="cs"/>
          <w:rtl/>
        </w:rPr>
        <w:t xml:space="preserve">התייחס לאמירה זו </w:t>
      </w:r>
      <w:r w:rsidR="00B54646" w:rsidRPr="00B15AD6">
        <w:rPr>
          <w:rFonts w:eastAsia="Calibri" w:hint="cs"/>
          <w:rtl/>
        </w:rPr>
        <w:t xml:space="preserve">ואמר שבכל הנוגע ליכולת הנוספת אין סמכות בחוק. </w:t>
      </w:r>
    </w:p>
    <w:p w:rsidR="00082C78" w:rsidRPr="00082C78" w:rsidRDefault="00082C78" w:rsidP="00604C3D">
      <w:pPr>
        <w:spacing w:line="269" w:lineRule="auto"/>
        <w:ind w:left="565" w:hanging="567"/>
        <w:contextualSpacing/>
        <w:rPr>
          <w:rFonts w:eastAsia="Calibri"/>
          <w:rtl/>
        </w:rPr>
      </w:pPr>
    </w:p>
    <w:bookmarkEnd w:id="103"/>
    <w:p w:rsidR="00AC2F7C" w:rsidRPr="00082C78" w:rsidRDefault="00AC2F7C" w:rsidP="00AE46AF">
      <w:pPr>
        <w:spacing w:line="269" w:lineRule="auto"/>
        <w:ind w:left="1077"/>
        <w:contextualSpacing/>
        <w:rPr>
          <w:rFonts w:eastAsia="Calibri"/>
          <w:rtl/>
        </w:rPr>
      </w:pPr>
      <w:r w:rsidRPr="00082C78">
        <w:rPr>
          <w:rFonts w:eastAsia="Calibri" w:hint="cs"/>
          <w:rtl/>
        </w:rPr>
        <w:t>יצוין כי מדובר בתרשומת שנשמרה בכספת בלשכת היועמ"שי</w:t>
      </w:r>
      <w:r w:rsidRPr="00082C78">
        <w:rPr>
          <w:rFonts w:eastAsia="Calibri" w:hint="eastAsia"/>
          <w:rtl/>
        </w:rPr>
        <w:t>ת</w:t>
      </w:r>
      <w:r w:rsidRPr="00082C78">
        <w:rPr>
          <w:rFonts w:eastAsia="Calibri" w:hint="cs"/>
          <w:rtl/>
        </w:rPr>
        <w:t xml:space="preserve"> לממשלה כתיעוד לפגישה. עם זאת, בהתייחסות משרד המשפטים לטיוטת דוח זה נמסר כי מדובר בטיוטת תרשומת שנכתבה על ידי מתמחה שלא הופצה ולא אושרה על פי נוהל העבודה, והתוכן שלה עוות. משרד מבקר </w:t>
      </w:r>
      <w:r>
        <w:rPr>
          <w:rFonts w:eastAsia="Calibri" w:hint="cs"/>
          <w:rtl/>
        </w:rPr>
        <w:t>ה</w:t>
      </w:r>
      <w:r w:rsidRPr="00082C78">
        <w:rPr>
          <w:rFonts w:eastAsia="Calibri" w:hint="cs"/>
          <w:rtl/>
        </w:rPr>
        <w:t xml:space="preserve">מדינה סבר כי ההתייחסות לשתי היכולות </w:t>
      </w:r>
      <w:r w:rsidR="00DE5D38">
        <w:rPr>
          <w:rFonts w:eastAsia="Calibri" w:hint="cs"/>
          <w:rtl/>
        </w:rPr>
        <w:t xml:space="preserve">בדיון </w:t>
      </w:r>
      <w:r w:rsidRPr="00082C78">
        <w:rPr>
          <w:rFonts w:eastAsia="Calibri" w:hint="cs"/>
          <w:rtl/>
        </w:rPr>
        <w:t>ברורה ומפורשת.</w:t>
      </w:r>
    </w:p>
    <w:p w:rsidR="00271D14" w:rsidRPr="00271D14" w:rsidRDefault="00271D14" w:rsidP="00604C3D">
      <w:pPr>
        <w:spacing w:line="269" w:lineRule="auto"/>
        <w:ind w:left="565"/>
        <w:contextualSpacing/>
        <w:rPr>
          <w:rFonts w:ascii="David" w:eastAsia="Calibri" w:hAnsi="David"/>
          <w:sz w:val="24"/>
        </w:rPr>
      </w:pPr>
    </w:p>
    <w:p w:rsidR="00082C78" w:rsidRPr="00082C78" w:rsidRDefault="00082C78" w:rsidP="008C598D">
      <w:pPr>
        <w:pStyle w:val="af2"/>
        <w:numPr>
          <w:ilvl w:val="2"/>
          <w:numId w:val="65"/>
        </w:numPr>
        <w:spacing w:line="269" w:lineRule="auto"/>
        <w:rPr>
          <w:rFonts w:ascii="David" w:eastAsia="Calibri" w:hAnsi="David"/>
          <w:sz w:val="24"/>
        </w:rPr>
      </w:pPr>
      <w:r w:rsidRPr="00082C78">
        <w:rPr>
          <w:rFonts w:ascii="David" w:eastAsia="Calibri" w:hAnsi="David" w:hint="cs"/>
          <w:sz w:val="24"/>
          <w:rtl/>
        </w:rPr>
        <w:t xml:space="preserve">בהודעת דוא"ל </w:t>
      </w:r>
      <w:r w:rsidR="008B37E3" w:rsidRPr="00082C78">
        <w:rPr>
          <w:rFonts w:ascii="David" w:eastAsia="Calibri" w:hAnsi="David" w:hint="cs"/>
          <w:sz w:val="24"/>
          <w:rtl/>
        </w:rPr>
        <w:t>מ</w:t>
      </w:r>
      <w:r w:rsidR="008B37E3">
        <w:rPr>
          <w:rFonts w:ascii="David" w:eastAsia="Calibri" w:hAnsi="David" w:hint="cs"/>
          <w:sz w:val="24"/>
          <w:rtl/>
        </w:rPr>
        <w:t>-</w:t>
      </w:r>
      <w:r w:rsidRPr="00082C78">
        <w:rPr>
          <w:rFonts w:ascii="David" w:eastAsia="Calibri" w:hAnsi="David" w:hint="cs"/>
          <w:sz w:val="24"/>
          <w:rtl/>
        </w:rPr>
        <w:t xml:space="preserve">12.7.21 נכתב כי </w:t>
      </w:r>
      <w:r w:rsidR="00F961DA">
        <w:rPr>
          <w:rFonts w:ascii="David" w:eastAsia="Calibri" w:hAnsi="David" w:hint="cs"/>
          <w:sz w:val="24"/>
          <w:rtl/>
        </w:rPr>
        <w:t>בהמשך לדיונים שהתקיימו בינואר 2019 ובמסגרת ישיבות דיווח על האזנות סתר אצל הייעוץ המשפטי לממשלה,</w:t>
      </w:r>
      <w:r w:rsidRPr="00082C78">
        <w:rPr>
          <w:rFonts w:ascii="David" w:eastAsia="Calibri" w:hAnsi="David" w:hint="cs"/>
          <w:sz w:val="24"/>
          <w:rtl/>
        </w:rPr>
        <w:t xml:space="preserve"> </w:t>
      </w:r>
      <w:r w:rsidR="00F961DA">
        <w:rPr>
          <w:rFonts w:ascii="David" w:eastAsia="Calibri" w:hAnsi="David" w:hint="cs"/>
          <w:sz w:val="24"/>
          <w:rtl/>
        </w:rPr>
        <w:t>ה</w:t>
      </w:r>
      <w:r w:rsidRPr="00082C78">
        <w:rPr>
          <w:rFonts w:ascii="David" w:eastAsia="Calibri" w:hAnsi="David" w:hint="cs"/>
          <w:sz w:val="24"/>
          <w:rtl/>
        </w:rPr>
        <w:t>תבקש</w:t>
      </w:r>
      <w:r w:rsidR="00F961DA">
        <w:rPr>
          <w:rFonts w:ascii="David" w:eastAsia="Calibri" w:hAnsi="David" w:hint="cs"/>
          <w:sz w:val="24"/>
          <w:rtl/>
        </w:rPr>
        <w:t>ה</w:t>
      </w:r>
      <w:r w:rsidRPr="00082C78">
        <w:rPr>
          <w:rFonts w:ascii="David" w:eastAsia="Calibri" w:hAnsi="David" w:hint="cs"/>
          <w:sz w:val="24"/>
          <w:rtl/>
        </w:rPr>
        <w:t xml:space="preserve"> המשטרה להציג את ההתקדמות בתיקון הנוהל בנוגע לכלי ההאזנה החריג הספציפי שנדון. כמו כן התבקשה </w:t>
      </w:r>
      <w:r w:rsidRPr="00AE46AF">
        <w:rPr>
          <w:rFonts w:eastAsia="Calibri" w:hint="cs"/>
          <w:rtl/>
        </w:rPr>
        <w:t>המשטרה</w:t>
      </w:r>
      <w:r w:rsidRPr="00082C78">
        <w:rPr>
          <w:rFonts w:ascii="David" w:eastAsia="Calibri" w:hAnsi="David" w:hint="cs"/>
          <w:sz w:val="24"/>
          <w:rtl/>
        </w:rPr>
        <w:t xml:space="preserve"> להציג את אמות המידה שלפיהן היא מבקשת להשתמש באמצעי האזנה זה. </w:t>
      </w:r>
    </w:p>
    <w:p w:rsidR="00271D14" w:rsidRPr="00271D14" w:rsidRDefault="00271D14" w:rsidP="00604C3D">
      <w:pPr>
        <w:spacing w:line="269" w:lineRule="auto"/>
        <w:ind w:left="565"/>
        <w:contextualSpacing/>
        <w:rPr>
          <w:rFonts w:ascii="David" w:eastAsia="Calibri" w:hAnsi="David"/>
          <w:sz w:val="24"/>
        </w:rPr>
      </w:pPr>
    </w:p>
    <w:p w:rsidR="00082C78" w:rsidRPr="00082C78" w:rsidRDefault="00082C78" w:rsidP="008C598D">
      <w:pPr>
        <w:pStyle w:val="af2"/>
        <w:numPr>
          <w:ilvl w:val="2"/>
          <w:numId w:val="65"/>
        </w:numPr>
        <w:spacing w:line="269" w:lineRule="auto"/>
        <w:rPr>
          <w:rFonts w:ascii="David" w:eastAsia="Calibri" w:hAnsi="David"/>
          <w:sz w:val="24"/>
        </w:rPr>
      </w:pPr>
      <w:r w:rsidRPr="00082C78">
        <w:rPr>
          <w:rFonts w:ascii="David" w:eastAsia="Calibri" w:hAnsi="David" w:hint="cs"/>
          <w:sz w:val="24"/>
          <w:rtl/>
        </w:rPr>
        <w:t xml:space="preserve">באוגוסט 2021, התבקשה המשטרה לתקן את הנוהל המשטרתי העוסק בנושא תקשורת בין מחשבים כך שיכלול התייחסות למידת הפגיעה בפרטיות הנובעת מהפעלת </w:t>
      </w:r>
      <w:r w:rsidR="003A27C8">
        <w:rPr>
          <w:rFonts w:ascii="David" w:eastAsia="Calibri" w:hAnsi="David" w:hint="cs"/>
          <w:sz w:val="24"/>
          <w:rtl/>
        </w:rPr>
        <w:t>יכולת מסוימת</w:t>
      </w:r>
      <w:r w:rsidRPr="00082C78">
        <w:rPr>
          <w:rFonts w:ascii="David" w:eastAsia="Calibri" w:hAnsi="David" w:hint="cs"/>
          <w:sz w:val="24"/>
          <w:rtl/>
        </w:rPr>
        <w:t>.</w:t>
      </w:r>
      <w:r w:rsidR="00E858FF">
        <w:rPr>
          <w:rFonts w:ascii="David" w:eastAsia="Calibri" w:hAnsi="David" w:hint="cs"/>
          <w:sz w:val="24"/>
          <w:rtl/>
        </w:rPr>
        <w:t xml:space="preserve"> </w:t>
      </w:r>
      <w:r w:rsidRPr="00082C78">
        <w:rPr>
          <w:rFonts w:ascii="David" w:eastAsia="Calibri" w:hAnsi="David" w:hint="cs"/>
          <w:sz w:val="24"/>
          <w:rtl/>
        </w:rPr>
        <w:t xml:space="preserve">בשיחה </w:t>
      </w:r>
      <w:r w:rsidR="008B37E3" w:rsidRPr="00082C78">
        <w:rPr>
          <w:rFonts w:ascii="David" w:eastAsia="Calibri" w:hAnsi="David" w:hint="cs"/>
          <w:sz w:val="24"/>
          <w:rtl/>
        </w:rPr>
        <w:t>מ</w:t>
      </w:r>
      <w:r w:rsidR="008B37E3">
        <w:rPr>
          <w:rFonts w:ascii="David" w:eastAsia="Calibri" w:hAnsi="David" w:hint="cs"/>
          <w:sz w:val="24"/>
          <w:rtl/>
        </w:rPr>
        <w:t>-</w:t>
      </w:r>
      <w:r w:rsidRPr="00082C78">
        <w:rPr>
          <w:rFonts w:ascii="David" w:eastAsia="Calibri" w:hAnsi="David" w:hint="cs"/>
          <w:sz w:val="24"/>
          <w:rtl/>
        </w:rPr>
        <w:t xml:space="preserve">21.10.21 </w:t>
      </w:r>
      <w:r w:rsidR="00F961DA">
        <w:rPr>
          <w:rFonts w:ascii="David" w:eastAsia="Calibri" w:hAnsi="David" w:hint="cs"/>
          <w:sz w:val="24"/>
          <w:rtl/>
        </w:rPr>
        <w:t>אישר נציג הייעוץ המשפטי לחטיבת הסייבר</w:t>
      </w:r>
      <w:r w:rsidRPr="00082C78">
        <w:rPr>
          <w:rFonts w:ascii="David" w:eastAsia="Calibri" w:hAnsi="David" w:hint="cs"/>
          <w:sz w:val="24"/>
          <w:rtl/>
        </w:rPr>
        <w:t xml:space="preserve"> </w:t>
      </w:r>
      <w:r w:rsidR="00286C00">
        <w:rPr>
          <w:rFonts w:ascii="David" w:eastAsia="Calibri" w:hAnsi="David" w:hint="cs"/>
          <w:sz w:val="24"/>
          <w:rtl/>
        </w:rPr>
        <w:t>לייעו</w:t>
      </w:r>
      <w:r w:rsidR="00637B45">
        <w:rPr>
          <w:rFonts w:ascii="David" w:eastAsia="Calibri" w:hAnsi="David" w:hint="cs"/>
          <w:sz w:val="24"/>
          <w:rtl/>
        </w:rPr>
        <w:t>ץ</w:t>
      </w:r>
      <w:r w:rsidR="00286C00">
        <w:rPr>
          <w:rFonts w:ascii="David" w:eastAsia="Calibri" w:hAnsi="David" w:hint="cs"/>
          <w:sz w:val="24"/>
          <w:rtl/>
        </w:rPr>
        <w:t xml:space="preserve"> המשפטי לממשלה </w:t>
      </w:r>
      <w:r w:rsidRPr="00082C78">
        <w:rPr>
          <w:rFonts w:ascii="David" w:eastAsia="Calibri" w:hAnsi="David" w:hint="cs"/>
          <w:sz w:val="24"/>
          <w:rtl/>
        </w:rPr>
        <w:t xml:space="preserve">כי הנוהל האמור יתוקן, ותתווסף בו התייחסות בעניין הפגיעה בפרטיות. </w:t>
      </w:r>
    </w:p>
    <w:p w:rsidR="00082C78" w:rsidRPr="00082C78" w:rsidRDefault="00082C78" w:rsidP="00604C3D">
      <w:pPr>
        <w:spacing w:line="269" w:lineRule="auto"/>
        <w:ind w:left="565" w:hanging="567"/>
        <w:contextualSpacing/>
        <w:rPr>
          <w:rFonts w:ascii="David" w:eastAsia="Calibri" w:hAnsi="David"/>
          <w:sz w:val="24"/>
        </w:rPr>
      </w:pPr>
    </w:p>
    <w:p w:rsidR="00082C78" w:rsidRPr="00082C78" w:rsidRDefault="00082C78" w:rsidP="008C598D">
      <w:pPr>
        <w:pStyle w:val="af2"/>
        <w:numPr>
          <w:ilvl w:val="2"/>
          <w:numId w:val="65"/>
        </w:numPr>
        <w:spacing w:line="269" w:lineRule="auto"/>
        <w:rPr>
          <w:rFonts w:ascii="David" w:eastAsia="Calibri" w:hAnsi="David"/>
          <w:sz w:val="24"/>
        </w:rPr>
      </w:pPr>
      <w:r w:rsidRPr="00082C78">
        <w:rPr>
          <w:rFonts w:ascii="David" w:eastAsia="Calibri" w:hAnsi="David" w:hint="cs"/>
          <w:sz w:val="24"/>
          <w:rtl/>
        </w:rPr>
        <w:t xml:space="preserve">בהודעת דוא"ל </w:t>
      </w:r>
      <w:r w:rsidR="008B37E3" w:rsidRPr="00082C78">
        <w:rPr>
          <w:rFonts w:ascii="David" w:eastAsia="Calibri" w:hAnsi="David" w:hint="cs"/>
          <w:sz w:val="24"/>
          <w:rtl/>
        </w:rPr>
        <w:t>מ</w:t>
      </w:r>
      <w:r w:rsidR="008B37E3">
        <w:rPr>
          <w:rFonts w:ascii="David" w:eastAsia="Calibri" w:hAnsi="David" w:hint="cs"/>
          <w:sz w:val="24"/>
          <w:rtl/>
        </w:rPr>
        <w:t>-</w:t>
      </w:r>
      <w:r w:rsidRPr="00082C78">
        <w:rPr>
          <w:rFonts w:ascii="David" w:eastAsia="Calibri" w:hAnsi="David" w:hint="cs"/>
          <w:sz w:val="24"/>
          <w:rtl/>
        </w:rPr>
        <w:t xml:space="preserve">1.11.21, ולקראת ישיבה בראשות היועמ"ש לממשלה, התבקשה המשטרה בין היתר להציג את נוהל </w:t>
      </w:r>
      <w:r w:rsidR="00FA6AE4">
        <w:rPr>
          <w:rFonts w:ascii="David" w:eastAsia="Calibri" w:hAnsi="David" w:hint="cs"/>
          <w:sz w:val="24"/>
          <w:rtl/>
        </w:rPr>
        <w:t xml:space="preserve">תקשורת בין מחשבים </w:t>
      </w:r>
      <w:r w:rsidRPr="00082C78">
        <w:rPr>
          <w:rFonts w:ascii="David" w:eastAsia="Calibri" w:hAnsi="David" w:hint="cs"/>
          <w:sz w:val="24"/>
          <w:rtl/>
        </w:rPr>
        <w:t>"ואופן השימוש באמצעי זה, על כלל מרכיביו".</w:t>
      </w:r>
    </w:p>
    <w:p w:rsidR="00082C78" w:rsidRPr="00082C78" w:rsidRDefault="00082C78" w:rsidP="00604C3D">
      <w:pPr>
        <w:spacing w:line="269" w:lineRule="auto"/>
        <w:ind w:left="312"/>
        <w:rPr>
          <w:rFonts w:ascii="David" w:eastAsia="Calibri" w:hAnsi="David"/>
          <w:sz w:val="24"/>
          <w:rtl/>
        </w:rPr>
      </w:pPr>
    </w:p>
    <w:p w:rsidR="00D2052F" w:rsidRDefault="00082C78" w:rsidP="00AE46AF">
      <w:pPr>
        <w:spacing w:line="269" w:lineRule="auto"/>
        <w:ind w:left="680"/>
        <w:rPr>
          <w:rFonts w:ascii="David" w:eastAsia="Calibri" w:hAnsi="David"/>
          <w:sz w:val="24"/>
          <w:rtl/>
        </w:rPr>
      </w:pPr>
      <w:r w:rsidRPr="00082C78">
        <w:rPr>
          <w:rFonts w:ascii="David" w:eastAsia="Calibri" w:hAnsi="David" w:hint="eastAsia"/>
          <w:sz w:val="24"/>
          <w:rtl/>
        </w:rPr>
        <w:t>המשטרה</w:t>
      </w:r>
      <w:r w:rsidRPr="00082C78">
        <w:rPr>
          <w:rFonts w:ascii="David" w:eastAsia="Calibri" w:hAnsi="David"/>
          <w:sz w:val="24"/>
          <w:rtl/>
        </w:rPr>
        <w:t xml:space="preserve"> </w:t>
      </w:r>
      <w:r w:rsidRPr="00082C78">
        <w:rPr>
          <w:rFonts w:ascii="David" w:eastAsia="Calibri" w:hAnsi="David" w:hint="eastAsia"/>
          <w:sz w:val="24"/>
          <w:rtl/>
        </w:rPr>
        <w:t>כתבה</w:t>
      </w:r>
      <w:r w:rsidRPr="00082C78">
        <w:rPr>
          <w:rFonts w:ascii="David" w:eastAsia="Calibri" w:hAnsi="David"/>
          <w:sz w:val="24"/>
          <w:rtl/>
        </w:rPr>
        <w:t xml:space="preserve"> </w:t>
      </w:r>
      <w:r w:rsidRPr="00082C78">
        <w:rPr>
          <w:rFonts w:ascii="David" w:eastAsia="Calibri" w:hAnsi="David" w:hint="eastAsia"/>
          <w:sz w:val="24"/>
          <w:rtl/>
        </w:rPr>
        <w:t>בתשובתה</w:t>
      </w:r>
      <w:r w:rsidRPr="00082C78">
        <w:rPr>
          <w:rFonts w:ascii="David" w:eastAsia="Calibri" w:hAnsi="David"/>
          <w:sz w:val="24"/>
          <w:rtl/>
        </w:rPr>
        <w:t xml:space="preserve"> </w:t>
      </w:r>
      <w:r w:rsidR="0021600D">
        <w:rPr>
          <w:rFonts w:ascii="David" w:eastAsia="Calibri" w:hAnsi="David" w:hint="cs"/>
          <w:sz w:val="24"/>
          <w:rtl/>
        </w:rPr>
        <w:t xml:space="preserve">לדוח זה </w:t>
      </w:r>
      <w:r w:rsidRPr="00082C78">
        <w:rPr>
          <w:rFonts w:ascii="David" w:eastAsia="Calibri" w:hAnsi="David"/>
          <w:sz w:val="24"/>
          <w:rtl/>
        </w:rPr>
        <w:t xml:space="preserve">כי </w:t>
      </w:r>
      <w:r w:rsidRPr="00082C78">
        <w:rPr>
          <w:rFonts w:ascii="David" w:eastAsia="Calibri" w:hAnsi="David" w:hint="eastAsia"/>
          <w:sz w:val="24"/>
          <w:rtl/>
        </w:rPr>
        <w:t>משרד</w:t>
      </w:r>
      <w:r w:rsidRPr="00082C78">
        <w:rPr>
          <w:rFonts w:ascii="David" w:eastAsia="Calibri" w:hAnsi="David"/>
          <w:sz w:val="24"/>
          <w:rtl/>
        </w:rPr>
        <w:t xml:space="preserve"> המשפטים ביקש הבהרו</w:t>
      </w:r>
      <w:r w:rsidRPr="00082C78">
        <w:rPr>
          <w:rFonts w:ascii="David" w:eastAsia="Calibri" w:hAnsi="David" w:hint="cs"/>
          <w:sz w:val="24"/>
          <w:rtl/>
        </w:rPr>
        <w:t xml:space="preserve">ת בנוגע לשימוש </w:t>
      </w:r>
      <w:r w:rsidR="00045ECB">
        <w:rPr>
          <w:rFonts w:ascii="David" w:eastAsia="Calibri" w:hAnsi="David" w:hint="cs"/>
          <w:sz w:val="24"/>
          <w:rtl/>
        </w:rPr>
        <w:t>שעשתה</w:t>
      </w:r>
      <w:r w:rsidR="00045ECB" w:rsidRPr="00082C78">
        <w:rPr>
          <w:rFonts w:ascii="David" w:eastAsia="Calibri" w:hAnsi="David" w:hint="cs"/>
          <w:sz w:val="24"/>
          <w:rtl/>
        </w:rPr>
        <w:t xml:space="preserve"> </w:t>
      </w:r>
      <w:r w:rsidRPr="00082C78">
        <w:rPr>
          <w:rFonts w:ascii="David" w:eastAsia="Calibri" w:hAnsi="David" w:hint="cs"/>
          <w:sz w:val="24"/>
          <w:rtl/>
        </w:rPr>
        <w:t>המשטרה ביכולת מסוימת באמצעות הכלי</w:t>
      </w:r>
      <w:r w:rsidRPr="00082C78">
        <w:rPr>
          <w:rFonts w:ascii="David" w:eastAsia="Calibri" w:hAnsi="David"/>
          <w:sz w:val="24"/>
          <w:rtl/>
        </w:rPr>
        <w:t xml:space="preserve"> ו</w:t>
      </w:r>
      <w:r w:rsidRPr="00082C78">
        <w:rPr>
          <w:rFonts w:ascii="David" w:eastAsia="Calibri" w:hAnsi="David" w:hint="cs"/>
          <w:sz w:val="24"/>
          <w:rtl/>
        </w:rPr>
        <w:t>בנוגע ל</w:t>
      </w:r>
      <w:r w:rsidRPr="00082C78">
        <w:rPr>
          <w:rFonts w:ascii="David" w:eastAsia="Calibri" w:hAnsi="David" w:hint="eastAsia"/>
          <w:sz w:val="24"/>
          <w:rtl/>
        </w:rPr>
        <w:t>אופן</w:t>
      </w:r>
      <w:r w:rsidRPr="00082C78">
        <w:rPr>
          <w:rFonts w:ascii="David" w:eastAsia="Calibri" w:hAnsi="David"/>
          <w:sz w:val="24"/>
          <w:rtl/>
        </w:rPr>
        <w:t xml:space="preserve"> הוצאת צו האזנת סתר לתקשורת בין מחשבים לטלפון סלולרי </w:t>
      </w:r>
      <w:r w:rsidRPr="00082C78">
        <w:rPr>
          <w:rFonts w:ascii="David" w:eastAsia="Calibri" w:hAnsi="David" w:hint="eastAsia"/>
          <w:sz w:val="24"/>
          <w:rtl/>
        </w:rPr>
        <w:t>בקשר</w:t>
      </w:r>
      <w:r w:rsidRPr="00082C78">
        <w:rPr>
          <w:rFonts w:ascii="David" w:eastAsia="Calibri" w:hAnsi="David"/>
          <w:sz w:val="24"/>
          <w:rtl/>
        </w:rPr>
        <w:t xml:space="preserve"> </w:t>
      </w:r>
      <w:r w:rsidRPr="00082C78">
        <w:rPr>
          <w:rFonts w:ascii="David" w:eastAsia="Calibri" w:hAnsi="David" w:hint="eastAsia"/>
          <w:sz w:val="24"/>
          <w:rtl/>
        </w:rPr>
        <w:t>ל</w:t>
      </w:r>
      <w:r w:rsidRPr="00082C78">
        <w:rPr>
          <w:rFonts w:ascii="David" w:eastAsia="Calibri" w:hAnsi="David" w:hint="cs"/>
          <w:sz w:val="24"/>
          <w:rtl/>
        </w:rPr>
        <w:t>אותה היכולת.</w:t>
      </w:r>
      <w:r w:rsidR="005075D2">
        <w:rPr>
          <w:rFonts w:ascii="David" w:eastAsia="Calibri" w:hAnsi="David" w:hint="cs"/>
          <w:sz w:val="24"/>
          <w:rtl/>
        </w:rPr>
        <w:t xml:space="preserve"> </w:t>
      </w:r>
    </w:p>
    <w:p w:rsidR="00D2052F" w:rsidRDefault="00D2052F" w:rsidP="00AE46AF">
      <w:pPr>
        <w:spacing w:line="269" w:lineRule="auto"/>
        <w:ind w:left="338"/>
        <w:rPr>
          <w:rFonts w:ascii="David" w:eastAsia="Calibri" w:hAnsi="David"/>
          <w:sz w:val="24"/>
          <w:rtl/>
        </w:rPr>
      </w:pPr>
    </w:p>
    <w:p w:rsidR="00734A98" w:rsidRDefault="00082C78" w:rsidP="00AE46AF">
      <w:pPr>
        <w:spacing w:line="269" w:lineRule="auto"/>
        <w:ind w:left="680"/>
        <w:rPr>
          <w:rFonts w:ascii="David" w:eastAsia="Calibri" w:hAnsi="David"/>
          <w:sz w:val="24"/>
          <w:rtl/>
        </w:rPr>
      </w:pPr>
      <w:r w:rsidRPr="00082C78">
        <w:rPr>
          <w:rFonts w:ascii="David" w:eastAsia="Calibri" w:hAnsi="David" w:hint="cs"/>
          <w:sz w:val="24"/>
          <w:rtl/>
        </w:rPr>
        <w:t>משרד המשפטים כתב בתשובתו כי המסמכים אינם מצביעים על היכרות של גורמי הייעוץ המשפטי לממשלה עם הכלי ויכולותיו</w:t>
      </w:r>
      <w:r w:rsidR="00152E41">
        <w:rPr>
          <w:rFonts w:ascii="David" w:eastAsia="Calibri" w:hAnsi="David" w:hint="cs"/>
          <w:sz w:val="24"/>
          <w:rtl/>
        </w:rPr>
        <w:t>. מסמכים אלו</w:t>
      </w:r>
      <w:r w:rsidRPr="00082C78">
        <w:rPr>
          <w:rFonts w:ascii="David" w:eastAsia="Calibri" w:hAnsi="David" w:hint="cs"/>
          <w:sz w:val="24"/>
          <w:rtl/>
        </w:rPr>
        <w:t xml:space="preserve"> משקפים את הדיון שנערך בייעוץ המשפטי לממשלה משנודע לו במסגרת ישיבת דיווחים עיתית</w:t>
      </w:r>
      <w:r w:rsidR="005075D2">
        <w:rPr>
          <w:rFonts w:ascii="David" w:eastAsia="Calibri" w:hAnsi="David" w:hint="cs"/>
          <w:sz w:val="24"/>
          <w:rtl/>
        </w:rPr>
        <w:t xml:space="preserve"> </w:t>
      </w:r>
      <w:r w:rsidRPr="00082C78">
        <w:rPr>
          <w:rFonts w:ascii="David" w:eastAsia="Calibri" w:hAnsi="David" w:hint="cs"/>
          <w:sz w:val="24"/>
          <w:rtl/>
        </w:rPr>
        <w:t>על אודות יכולת מסוימת</w:t>
      </w:r>
      <w:r w:rsidR="00734A98">
        <w:rPr>
          <w:rFonts w:ascii="David" w:eastAsia="Calibri" w:hAnsi="David" w:hint="cs"/>
          <w:sz w:val="24"/>
          <w:rtl/>
        </w:rPr>
        <w:t>.</w:t>
      </w:r>
      <w:r w:rsidR="00152E41">
        <w:rPr>
          <w:rFonts w:ascii="David" w:eastAsia="Calibri" w:hAnsi="David" w:hint="cs"/>
          <w:sz w:val="24"/>
          <w:rtl/>
        </w:rPr>
        <w:t xml:space="preserve"> בעקבותיו, ביקש הייעוץ המשפטי לממשלה כי המשטרה תעביר מידע נוסף על אודות הצווים שעל בסיסם נעשה שימוש ביכולת הספציפית שעלתה בדיון וכן את הנוהל שעל בסיסו הוצאו צווים לעניין זה. </w:t>
      </w:r>
      <w:r w:rsidR="00724B45">
        <w:rPr>
          <w:rFonts w:ascii="David" w:eastAsia="Calibri" w:hAnsi="David" w:hint="cs"/>
          <w:sz w:val="24"/>
          <w:rtl/>
        </w:rPr>
        <w:t xml:space="preserve">זאת, לאור הבנת הייעוץ המשפטי לממשלה כי היכולת עצמה דורשת </w:t>
      </w:r>
      <w:r w:rsidR="00990685">
        <w:rPr>
          <w:rFonts w:ascii="David" w:eastAsia="Calibri" w:hAnsi="David" w:hint="cs"/>
          <w:sz w:val="24"/>
          <w:rtl/>
        </w:rPr>
        <w:t>בחינה של</w:t>
      </w:r>
      <w:r w:rsidR="00724B45">
        <w:rPr>
          <w:rFonts w:ascii="David" w:eastAsia="Calibri" w:hAnsi="David" w:hint="cs"/>
          <w:sz w:val="24"/>
          <w:rtl/>
        </w:rPr>
        <w:t xml:space="preserve"> </w:t>
      </w:r>
      <w:r w:rsidR="00990685">
        <w:rPr>
          <w:rFonts w:ascii="David" w:eastAsia="Calibri" w:hAnsi="David" w:hint="cs"/>
          <w:sz w:val="24"/>
          <w:rtl/>
        </w:rPr>
        <w:t>ה</w:t>
      </w:r>
      <w:r w:rsidR="00724B45">
        <w:rPr>
          <w:rFonts w:ascii="David" w:eastAsia="Calibri" w:hAnsi="David" w:hint="cs"/>
          <w:sz w:val="24"/>
          <w:rtl/>
        </w:rPr>
        <w:t>נוהל ו</w:t>
      </w:r>
      <w:r w:rsidR="00990685">
        <w:rPr>
          <w:rFonts w:ascii="David" w:eastAsia="Calibri" w:hAnsi="David" w:hint="cs"/>
          <w:sz w:val="24"/>
          <w:rtl/>
        </w:rPr>
        <w:t>ה</w:t>
      </w:r>
      <w:r w:rsidR="00724B45">
        <w:rPr>
          <w:rFonts w:ascii="David" w:eastAsia="Calibri" w:hAnsi="David" w:hint="cs"/>
          <w:sz w:val="24"/>
          <w:rtl/>
        </w:rPr>
        <w:t>צו המוגש לבית המשפט.</w:t>
      </w:r>
      <w:r w:rsidR="00382AE8">
        <w:rPr>
          <w:rFonts w:ascii="David" w:eastAsia="Calibri" w:hAnsi="David" w:hint="cs"/>
          <w:sz w:val="24"/>
          <w:rtl/>
        </w:rPr>
        <w:t xml:space="preserve"> </w:t>
      </w:r>
    </w:p>
    <w:p w:rsidR="00271D14" w:rsidRDefault="00271D14" w:rsidP="00AE46AF">
      <w:pPr>
        <w:spacing w:line="269" w:lineRule="auto"/>
        <w:ind w:left="344"/>
        <w:rPr>
          <w:rFonts w:ascii="David" w:eastAsia="Calibri" w:hAnsi="David"/>
          <w:b/>
          <w:bCs/>
          <w:sz w:val="16"/>
          <w:szCs w:val="16"/>
          <w:rtl/>
        </w:rPr>
      </w:pPr>
    </w:p>
    <w:p w:rsidR="00082C78" w:rsidRPr="00082C78" w:rsidRDefault="00082C78" w:rsidP="00AE46AF">
      <w:pPr>
        <w:spacing w:line="269" w:lineRule="auto"/>
        <w:ind w:left="680"/>
        <w:rPr>
          <w:rFonts w:ascii="David" w:eastAsia="Calibri" w:hAnsi="David"/>
          <w:b/>
          <w:bCs/>
          <w:sz w:val="24"/>
          <w:rtl/>
        </w:rPr>
      </w:pPr>
      <w:r w:rsidRPr="00082C78">
        <w:rPr>
          <w:rFonts w:ascii="David" w:eastAsia="Calibri" w:hAnsi="David" w:hint="cs"/>
          <w:b/>
          <w:bCs/>
          <w:sz w:val="24"/>
          <w:rtl/>
        </w:rPr>
        <w:t xml:space="preserve">עולה כי </w:t>
      </w:r>
      <w:bookmarkStart w:id="104" w:name="_Hlk147749523"/>
      <w:r w:rsidR="00173734">
        <w:rPr>
          <w:rFonts w:ascii="David" w:eastAsia="Calibri" w:hAnsi="David" w:hint="cs"/>
          <w:b/>
          <w:bCs/>
          <w:sz w:val="24"/>
          <w:rtl/>
        </w:rPr>
        <w:t xml:space="preserve">במהלך השנים </w:t>
      </w:r>
      <w:r w:rsidR="00382792">
        <w:rPr>
          <w:rFonts w:ascii="David" w:eastAsia="Calibri" w:hAnsi="David" w:hint="cs"/>
          <w:b/>
          <w:bCs/>
          <w:sz w:val="24"/>
          <w:rtl/>
        </w:rPr>
        <w:t>הובאו בפני</w:t>
      </w:r>
      <w:r w:rsidR="00382792" w:rsidRPr="00082C78">
        <w:rPr>
          <w:rFonts w:ascii="David" w:eastAsia="Calibri" w:hAnsi="David" w:hint="cs"/>
          <w:b/>
          <w:bCs/>
          <w:sz w:val="24"/>
          <w:rtl/>
        </w:rPr>
        <w:t xml:space="preserve"> </w:t>
      </w:r>
      <w:r w:rsidRPr="00082C78">
        <w:rPr>
          <w:rFonts w:ascii="David" w:eastAsia="Calibri" w:hAnsi="David" w:hint="cs"/>
          <w:b/>
          <w:bCs/>
          <w:sz w:val="24"/>
          <w:rtl/>
        </w:rPr>
        <w:t xml:space="preserve">גורמי הייעוץ המשפטי לממשלה </w:t>
      </w:r>
      <w:r w:rsidR="00382792">
        <w:rPr>
          <w:rFonts w:ascii="David" w:eastAsia="Calibri" w:hAnsi="David" w:hint="cs"/>
          <w:b/>
          <w:bCs/>
          <w:sz w:val="24"/>
          <w:rtl/>
        </w:rPr>
        <w:t xml:space="preserve">התייחסויות אשר עשויות ללמד </w:t>
      </w:r>
      <w:r w:rsidR="00793083">
        <w:rPr>
          <w:rFonts w:ascii="David" w:eastAsia="Calibri" w:hAnsi="David" w:hint="cs"/>
          <w:b/>
          <w:bCs/>
          <w:sz w:val="24"/>
          <w:rtl/>
        </w:rPr>
        <w:t xml:space="preserve">על </w:t>
      </w:r>
      <w:r w:rsidR="00793083" w:rsidRPr="00082C78">
        <w:rPr>
          <w:rFonts w:ascii="David" w:eastAsia="Calibri" w:hAnsi="David" w:hint="cs"/>
          <w:b/>
          <w:bCs/>
          <w:sz w:val="24"/>
          <w:rtl/>
        </w:rPr>
        <w:t xml:space="preserve">קיומו של כלי האזנה </w:t>
      </w:r>
      <w:r w:rsidR="00793083">
        <w:rPr>
          <w:rFonts w:ascii="David" w:eastAsia="Calibri" w:hAnsi="David" w:hint="cs"/>
          <w:b/>
          <w:bCs/>
          <w:sz w:val="24"/>
          <w:rtl/>
        </w:rPr>
        <w:t>ל</w:t>
      </w:r>
      <w:r w:rsidR="00793083" w:rsidRPr="00082C78">
        <w:rPr>
          <w:rFonts w:ascii="David" w:eastAsia="Calibri" w:hAnsi="David" w:hint="cs"/>
          <w:b/>
          <w:bCs/>
          <w:sz w:val="24"/>
          <w:rtl/>
        </w:rPr>
        <w:t>תקשורת בין מחשבים</w:t>
      </w:r>
      <w:r w:rsidR="00793083">
        <w:rPr>
          <w:rFonts w:ascii="David" w:eastAsia="Calibri" w:hAnsi="David" w:hint="cs"/>
          <w:b/>
          <w:bCs/>
          <w:sz w:val="24"/>
          <w:rtl/>
        </w:rPr>
        <w:t xml:space="preserve">, </w:t>
      </w:r>
      <w:r w:rsidR="00A3251D">
        <w:rPr>
          <w:rFonts w:ascii="David" w:eastAsia="Calibri" w:hAnsi="David" w:hint="cs"/>
          <w:b/>
          <w:bCs/>
          <w:sz w:val="24"/>
          <w:rtl/>
        </w:rPr>
        <w:t xml:space="preserve">החל מסוף </w:t>
      </w:r>
      <w:r w:rsidR="00A3251D" w:rsidRPr="00082C78">
        <w:rPr>
          <w:rFonts w:ascii="David" w:eastAsia="Calibri" w:hAnsi="David" w:hint="cs"/>
          <w:b/>
          <w:bCs/>
          <w:sz w:val="24"/>
          <w:rtl/>
        </w:rPr>
        <w:t xml:space="preserve">שנת 2018 </w:t>
      </w:r>
      <w:r w:rsidR="00173734">
        <w:rPr>
          <w:rFonts w:ascii="David" w:eastAsia="Calibri" w:hAnsi="David" w:hint="cs"/>
          <w:b/>
          <w:bCs/>
          <w:sz w:val="24"/>
          <w:rtl/>
        </w:rPr>
        <w:t xml:space="preserve">הובאו התייחסויות העלולות ללמד </w:t>
      </w:r>
      <w:r w:rsidR="00382792">
        <w:rPr>
          <w:rFonts w:ascii="David" w:eastAsia="Calibri" w:hAnsi="David" w:hint="cs"/>
          <w:b/>
          <w:bCs/>
          <w:sz w:val="24"/>
          <w:rtl/>
        </w:rPr>
        <w:t xml:space="preserve">על </w:t>
      </w:r>
      <w:r w:rsidR="00720BE4">
        <w:rPr>
          <w:rFonts w:ascii="David" w:eastAsia="Calibri" w:hAnsi="David" w:hint="cs"/>
          <w:b/>
          <w:bCs/>
          <w:sz w:val="24"/>
          <w:rtl/>
        </w:rPr>
        <w:t xml:space="preserve">פוטנציאל יכולת </w:t>
      </w:r>
      <w:r w:rsidR="0078741A">
        <w:rPr>
          <w:rFonts w:ascii="David" w:eastAsia="Calibri" w:hAnsi="David" w:hint="cs"/>
          <w:b/>
          <w:bCs/>
          <w:sz w:val="24"/>
          <w:rtl/>
        </w:rPr>
        <w:t>מסוימת שדרשה בחינה.</w:t>
      </w:r>
      <w:r w:rsidR="00720BE4">
        <w:rPr>
          <w:rFonts w:ascii="David" w:eastAsia="Calibri" w:hAnsi="David" w:hint="cs"/>
          <w:b/>
          <w:bCs/>
          <w:sz w:val="24"/>
          <w:rtl/>
        </w:rPr>
        <w:t xml:space="preserve"> בשנת 2019 </w:t>
      </w:r>
      <w:r w:rsidR="00A3251D">
        <w:rPr>
          <w:rFonts w:ascii="David" w:eastAsia="Calibri" w:hAnsi="David" w:hint="cs"/>
          <w:b/>
          <w:bCs/>
          <w:sz w:val="24"/>
          <w:rtl/>
        </w:rPr>
        <w:t xml:space="preserve">הובאו התייחסויות אשר עשויות ללמד על </w:t>
      </w:r>
      <w:r w:rsidR="00720BE4">
        <w:rPr>
          <w:rFonts w:ascii="David" w:eastAsia="Calibri" w:hAnsi="David" w:hint="cs"/>
          <w:b/>
          <w:bCs/>
          <w:sz w:val="24"/>
          <w:rtl/>
        </w:rPr>
        <w:t xml:space="preserve">פוטנציאל </w:t>
      </w:r>
      <w:r w:rsidR="00173734">
        <w:rPr>
          <w:rFonts w:ascii="David" w:eastAsia="Calibri" w:hAnsi="David" w:hint="cs"/>
          <w:b/>
          <w:bCs/>
          <w:sz w:val="24"/>
          <w:rtl/>
        </w:rPr>
        <w:t xml:space="preserve">הקושר בין </w:t>
      </w:r>
      <w:r w:rsidR="00720BE4">
        <w:rPr>
          <w:rFonts w:ascii="David" w:eastAsia="Calibri" w:hAnsi="David" w:hint="cs"/>
          <w:b/>
          <w:bCs/>
          <w:sz w:val="24"/>
          <w:rtl/>
        </w:rPr>
        <w:t>יכולת</w:t>
      </w:r>
      <w:r w:rsidR="00173734">
        <w:rPr>
          <w:rFonts w:ascii="David" w:eastAsia="Calibri" w:hAnsi="David" w:hint="cs"/>
          <w:b/>
          <w:bCs/>
          <w:sz w:val="24"/>
          <w:rtl/>
        </w:rPr>
        <w:t xml:space="preserve"> מסוימת לבין</w:t>
      </w:r>
      <w:r w:rsidR="00720BE4">
        <w:rPr>
          <w:rFonts w:ascii="David" w:eastAsia="Calibri" w:hAnsi="David" w:hint="cs"/>
          <w:b/>
          <w:bCs/>
          <w:sz w:val="24"/>
          <w:rtl/>
        </w:rPr>
        <w:t xml:space="preserve"> כלי</w:t>
      </w:r>
      <w:r w:rsidR="00793083">
        <w:rPr>
          <w:rFonts w:ascii="David" w:eastAsia="Calibri" w:hAnsi="David" w:hint="cs"/>
          <w:b/>
          <w:bCs/>
          <w:sz w:val="24"/>
          <w:rtl/>
        </w:rPr>
        <w:t xml:space="preserve"> מסוים</w:t>
      </w:r>
      <w:r w:rsidR="00720BE4">
        <w:rPr>
          <w:rFonts w:ascii="David" w:eastAsia="Calibri" w:hAnsi="David" w:hint="cs"/>
          <w:b/>
          <w:bCs/>
          <w:sz w:val="24"/>
          <w:rtl/>
        </w:rPr>
        <w:t>.</w:t>
      </w:r>
      <w:r w:rsidRPr="00082C78">
        <w:rPr>
          <w:rFonts w:ascii="David" w:eastAsia="Calibri" w:hAnsi="David" w:hint="cs"/>
          <w:b/>
          <w:bCs/>
          <w:sz w:val="24"/>
          <w:rtl/>
        </w:rPr>
        <w:t xml:space="preserve"> </w:t>
      </w:r>
      <w:bookmarkStart w:id="105" w:name="_Hlk216263215"/>
      <w:r w:rsidR="00720BE4">
        <w:rPr>
          <w:rFonts w:ascii="David" w:eastAsia="Calibri" w:hAnsi="David" w:hint="cs"/>
          <w:b/>
          <w:bCs/>
          <w:sz w:val="24"/>
          <w:rtl/>
        </w:rPr>
        <w:t xml:space="preserve">גורמי הייעוץ המשפטי לממשלה </w:t>
      </w:r>
      <w:r w:rsidRPr="00082C78">
        <w:rPr>
          <w:rFonts w:ascii="David" w:eastAsia="Calibri" w:hAnsi="David" w:hint="cs"/>
          <w:b/>
          <w:bCs/>
          <w:sz w:val="24"/>
          <w:rtl/>
        </w:rPr>
        <w:t xml:space="preserve">ביקשו כי המשטרה תציג את </w:t>
      </w:r>
      <w:r w:rsidR="00A3251D">
        <w:rPr>
          <w:rFonts w:ascii="David" w:eastAsia="Calibri" w:hAnsi="David" w:hint="cs"/>
          <w:b/>
          <w:bCs/>
          <w:sz w:val="24"/>
          <w:rtl/>
        </w:rPr>
        <w:t>הנוהל והצווים הרלוונטיים</w:t>
      </w:r>
      <w:r w:rsidR="008C752B" w:rsidRPr="00082C78">
        <w:rPr>
          <w:rFonts w:ascii="David" w:eastAsia="Calibri" w:hAnsi="David" w:hint="cs"/>
          <w:b/>
          <w:bCs/>
          <w:sz w:val="24"/>
          <w:rtl/>
        </w:rPr>
        <w:t xml:space="preserve"> </w:t>
      </w:r>
      <w:r w:rsidRPr="00082C78">
        <w:rPr>
          <w:rFonts w:ascii="David" w:eastAsia="Calibri" w:hAnsi="David" w:hint="cs"/>
          <w:b/>
          <w:bCs/>
          <w:sz w:val="24"/>
          <w:rtl/>
        </w:rPr>
        <w:t>בפני היועמ"ש לממשלה</w:t>
      </w:r>
      <w:r w:rsidR="00460994">
        <w:rPr>
          <w:rFonts w:ascii="David" w:eastAsia="Calibri" w:hAnsi="David" w:hint="cs"/>
          <w:b/>
          <w:bCs/>
          <w:sz w:val="24"/>
          <w:rtl/>
        </w:rPr>
        <w:t xml:space="preserve"> </w:t>
      </w:r>
      <w:r w:rsidRPr="00082C78">
        <w:rPr>
          <w:rFonts w:ascii="David" w:eastAsia="Calibri" w:hAnsi="David" w:hint="cs"/>
          <w:b/>
          <w:bCs/>
          <w:sz w:val="24"/>
          <w:rtl/>
        </w:rPr>
        <w:t xml:space="preserve">ותקיים עימם דיון עקרוני בנושא. </w:t>
      </w:r>
      <w:r w:rsidR="00720BE4">
        <w:rPr>
          <w:rFonts w:ascii="David" w:eastAsia="Calibri" w:hAnsi="David" w:hint="cs"/>
          <w:b/>
          <w:bCs/>
          <w:sz w:val="24"/>
          <w:rtl/>
        </w:rPr>
        <w:t>עוד</w:t>
      </w:r>
      <w:r w:rsidRPr="00082C78">
        <w:rPr>
          <w:rFonts w:ascii="David" w:eastAsia="Calibri" w:hAnsi="David" w:hint="cs"/>
          <w:b/>
          <w:bCs/>
          <w:sz w:val="24"/>
          <w:rtl/>
        </w:rPr>
        <w:t xml:space="preserve"> התברר כי </w:t>
      </w:r>
      <w:r w:rsidR="00E85251">
        <w:rPr>
          <w:rFonts w:ascii="David" w:eastAsia="Calibri" w:hAnsi="David" w:hint="cs"/>
          <w:b/>
          <w:bCs/>
          <w:sz w:val="24"/>
          <w:rtl/>
        </w:rPr>
        <w:t xml:space="preserve">בין השנים 2019 - 2021 </w:t>
      </w:r>
      <w:r w:rsidRPr="00082C78">
        <w:rPr>
          <w:rFonts w:ascii="David" w:eastAsia="Calibri" w:hAnsi="David" w:hint="cs"/>
          <w:b/>
          <w:bCs/>
          <w:sz w:val="24"/>
          <w:rtl/>
        </w:rPr>
        <w:t>משרד המשפטים ביקש</w:t>
      </w:r>
      <w:r w:rsidR="00531C04">
        <w:rPr>
          <w:rFonts w:ascii="David" w:eastAsia="Calibri" w:hAnsi="David" w:hint="cs"/>
          <w:b/>
          <w:bCs/>
          <w:sz w:val="24"/>
          <w:rtl/>
        </w:rPr>
        <w:t xml:space="preserve"> בבקשות חוזרות ונשנות</w:t>
      </w:r>
      <w:r w:rsidRPr="00082C78">
        <w:rPr>
          <w:rFonts w:ascii="David" w:eastAsia="Calibri" w:hAnsi="David" w:hint="cs"/>
          <w:b/>
          <w:bCs/>
          <w:sz w:val="24"/>
          <w:rtl/>
        </w:rPr>
        <w:t xml:space="preserve"> מהמשטרה להעביר מידע בנוגע ליכולת מסוימת של הכלי. כמו כן </w:t>
      </w:r>
      <w:r w:rsidR="00CA51A5">
        <w:rPr>
          <w:rFonts w:ascii="David" w:eastAsia="Calibri" w:hAnsi="David" w:hint="cs"/>
          <w:b/>
          <w:bCs/>
          <w:sz w:val="24"/>
          <w:rtl/>
        </w:rPr>
        <w:t>בי</w:t>
      </w:r>
      <w:r w:rsidR="008B37E3">
        <w:rPr>
          <w:rFonts w:ascii="David" w:eastAsia="Calibri" w:hAnsi="David" w:hint="cs"/>
          <w:b/>
          <w:bCs/>
          <w:sz w:val="24"/>
          <w:rtl/>
        </w:rPr>
        <w:t>ק</w:t>
      </w:r>
      <w:r w:rsidR="00CA51A5">
        <w:rPr>
          <w:rFonts w:ascii="David" w:eastAsia="Calibri" w:hAnsi="David" w:hint="cs"/>
          <w:b/>
          <w:bCs/>
          <w:sz w:val="24"/>
          <w:rtl/>
        </w:rPr>
        <w:t>ש הייעוץ המשפטי לממשלה</w:t>
      </w:r>
      <w:r w:rsidR="00CA51A5" w:rsidRPr="00082C78">
        <w:rPr>
          <w:rFonts w:ascii="David" w:eastAsia="Calibri" w:hAnsi="David" w:hint="cs"/>
          <w:b/>
          <w:bCs/>
          <w:sz w:val="24"/>
          <w:rtl/>
        </w:rPr>
        <w:t xml:space="preserve"> </w:t>
      </w:r>
      <w:r w:rsidR="00CA51A5">
        <w:rPr>
          <w:rFonts w:ascii="David" w:eastAsia="Calibri" w:hAnsi="David" w:hint="cs"/>
          <w:b/>
          <w:bCs/>
          <w:sz w:val="24"/>
          <w:rtl/>
        </w:rPr>
        <w:t>מ</w:t>
      </w:r>
      <w:r w:rsidRPr="00082C78">
        <w:rPr>
          <w:rFonts w:ascii="David" w:eastAsia="Calibri" w:hAnsi="David" w:hint="cs"/>
          <w:b/>
          <w:bCs/>
          <w:sz w:val="24"/>
          <w:rtl/>
        </w:rPr>
        <w:t>המשטרה להציג את הנוהל המשטרתי בנוגע ל</w:t>
      </w:r>
      <w:r w:rsidR="00724B45">
        <w:rPr>
          <w:rFonts w:ascii="David" w:eastAsia="Calibri" w:hAnsi="David" w:hint="cs"/>
          <w:b/>
          <w:bCs/>
          <w:sz w:val="24"/>
          <w:rtl/>
        </w:rPr>
        <w:t>אותה יכולת</w:t>
      </w:r>
      <w:r w:rsidR="004918F8">
        <w:rPr>
          <w:rFonts w:ascii="David" w:eastAsia="Calibri" w:hAnsi="David" w:hint="cs"/>
          <w:b/>
          <w:bCs/>
          <w:sz w:val="24"/>
          <w:rtl/>
        </w:rPr>
        <w:t xml:space="preserve"> של</w:t>
      </w:r>
      <w:r w:rsidR="00724B45">
        <w:rPr>
          <w:rFonts w:ascii="David" w:eastAsia="Calibri" w:hAnsi="David" w:hint="cs"/>
          <w:b/>
          <w:bCs/>
          <w:sz w:val="24"/>
          <w:rtl/>
        </w:rPr>
        <w:t xml:space="preserve"> </w:t>
      </w:r>
      <w:r w:rsidRPr="00082C78">
        <w:rPr>
          <w:rFonts w:ascii="David" w:eastAsia="Calibri" w:hAnsi="David" w:hint="cs"/>
          <w:b/>
          <w:bCs/>
          <w:sz w:val="24"/>
          <w:rtl/>
        </w:rPr>
        <w:t xml:space="preserve">כלי ההאזנה האמור שהוגדר חריג ואת התיקונים שהוטמעו בו. </w:t>
      </w:r>
      <w:bookmarkEnd w:id="105"/>
    </w:p>
    <w:p w:rsidR="00082C78" w:rsidRPr="00082C78" w:rsidRDefault="00082C78" w:rsidP="00AE46AF">
      <w:pPr>
        <w:spacing w:line="269" w:lineRule="auto"/>
        <w:ind w:left="344"/>
        <w:rPr>
          <w:rFonts w:ascii="David" w:eastAsia="Calibri" w:hAnsi="David"/>
          <w:b/>
          <w:bCs/>
          <w:sz w:val="24"/>
          <w:rtl/>
        </w:rPr>
      </w:pPr>
    </w:p>
    <w:p w:rsidR="00082C78" w:rsidRPr="00082C78" w:rsidRDefault="00082C78" w:rsidP="00AE46AF">
      <w:pPr>
        <w:spacing w:line="269" w:lineRule="auto"/>
        <w:ind w:left="680"/>
        <w:rPr>
          <w:rFonts w:ascii="David" w:eastAsia="Calibri" w:hAnsi="David"/>
          <w:b/>
          <w:bCs/>
          <w:sz w:val="24"/>
          <w:rtl/>
        </w:rPr>
      </w:pPr>
      <w:r w:rsidRPr="00082C78">
        <w:rPr>
          <w:rFonts w:ascii="David" w:eastAsia="Calibri" w:hAnsi="David" w:hint="cs"/>
          <w:b/>
          <w:bCs/>
          <w:sz w:val="24"/>
          <w:rtl/>
        </w:rPr>
        <w:t>ואולם, למרות שהתקיים בין הגופים שיח פעיל על יכולת מסוימת של הכלי,</w:t>
      </w:r>
      <w:r w:rsidR="00531C04">
        <w:rPr>
          <w:rFonts w:ascii="David" w:eastAsia="Calibri" w:hAnsi="David" w:hint="cs"/>
          <w:b/>
          <w:bCs/>
          <w:sz w:val="24"/>
          <w:rtl/>
        </w:rPr>
        <w:t xml:space="preserve"> וחרף פניות משרד המשפטים לקבל מידע,</w:t>
      </w:r>
      <w:r w:rsidRPr="00082C78">
        <w:rPr>
          <w:rFonts w:ascii="David" w:eastAsia="Calibri" w:hAnsi="David" w:hint="cs"/>
          <w:b/>
          <w:bCs/>
          <w:sz w:val="24"/>
          <w:rtl/>
        </w:rPr>
        <w:t xml:space="preserve"> המשטרה לא העבירה את פירוט מלוא היכולות הטכנולוגיות שלו לידיעת משרד המשפטים. </w:t>
      </w:r>
      <w:r w:rsidR="00DC4B0B">
        <w:rPr>
          <w:rFonts w:ascii="David" w:eastAsia="Calibri" w:hAnsi="David" w:hint="cs"/>
          <w:b/>
          <w:bCs/>
          <w:sz w:val="24"/>
          <w:rtl/>
        </w:rPr>
        <w:t xml:space="preserve">כמו כן, </w:t>
      </w:r>
      <w:r w:rsidRPr="00082C78">
        <w:rPr>
          <w:rFonts w:ascii="David" w:eastAsia="Calibri" w:hAnsi="David" w:hint="cs"/>
          <w:b/>
          <w:bCs/>
          <w:sz w:val="24"/>
          <w:rtl/>
        </w:rPr>
        <w:t xml:space="preserve">גורמי הייעוץ המשפטי לממשלה לא </w:t>
      </w:r>
      <w:bookmarkEnd w:id="104"/>
      <w:r w:rsidRPr="00082C78">
        <w:rPr>
          <w:rFonts w:ascii="David" w:eastAsia="Calibri" w:hAnsi="David" w:hint="cs"/>
          <w:b/>
          <w:bCs/>
          <w:sz w:val="24"/>
          <w:rtl/>
        </w:rPr>
        <w:t xml:space="preserve">ביקשו לקבל הסברים בנוגע למלוא יכולותיו, </w:t>
      </w:r>
      <w:r w:rsidR="00BB56F3">
        <w:rPr>
          <w:rFonts w:ascii="David" w:eastAsia="Calibri" w:hAnsi="David" w:hint="cs"/>
          <w:b/>
          <w:bCs/>
          <w:sz w:val="24"/>
          <w:rtl/>
        </w:rPr>
        <w:t>שלאחת מהן</w:t>
      </w:r>
      <w:r w:rsidR="00BB56F3" w:rsidRPr="00082C78">
        <w:rPr>
          <w:rFonts w:ascii="David" w:eastAsia="Calibri" w:hAnsi="David" w:hint="cs"/>
          <w:b/>
          <w:bCs/>
          <w:sz w:val="24"/>
          <w:rtl/>
        </w:rPr>
        <w:t xml:space="preserve"> </w:t>
      </w:r>
      <w:r w:rsidRPr="00082C78">
        <w:rPr>
          <w:rFonts w:ascii="David" w:eastAsia="Calibri" w:hAnsi="David" w:hint="cs"/>
          <w:b/>
          <w:bCs/>
          <w:sz w:val="24"/>
          <w:rtl/>
        </w:rPr>
        <w:t xml:space="preserve">הם נחשפו כבר ביוני 2019, ולא דרשו מהמשטרה חוות דעת טכנולוגיות ומשפטיות המאשרות שהשימוש בכלי חדשני זה אינו חורג מסמכות המשטרה. </w:t>
      </w:r>
    </w:p>
    <w:p w:rsidR="00082C78" w:rsidRPr="00082C78" w:rsidRDefault="00082C78" w:rsidP="00AE46AF">
      <w:pPr>
        <w:spacing w:line="269" w:lineRule="auto"/>
        <w:ind w:left="680"/>
        <w:rPr>
          <w:rFonts w:ascii="David" w:eastAsia="Calibri" w:hAnsi="David"/>
          <w:b/>
          <w:bCs/>
          <w:sz w:val="24"/>
          <w:rtl/>
        </w:rPr>
      </w:pPr>
    </w:p>
    <w:p w:rsidR="00082C78" w:rsidRDefault="00082C78" w:rsidP="00AE46AF">
      <w:pPr>
        <w:spacing w:line="269" w:lineRule="auto"/>
        <w:ind w:left="680"/>
        <w:rPr>
          <w:rFonts w:ascii="David" w:eastAsia="Calibri" w:hAnsi="David"/>
          <w:b/>
          <w:bCs/>
          <w:sz w:val="24"/>
          <w:rtl/>
        </w:rPr>
      </w:pPr>
      <w:r w:rsidRPr="00082C78">
        <w:rPr>
          <w:rFonts w:ascii="David" w:eastAsia="Calibri" w:hAnsi="David" w:hint="cs"/>
          <w:b/>
          <w:bCs/>
          <w:sz w:val="24"/>
          <w:rtl/>
        </w:rPr>
        <w:t xml:space="preserve">במשך שנים הפעילה המשטרה </w:t>
      </w:r>
      <w:r w:rsidR="00C05AB5">
        <w:rPr>
          <w:rFonts w:ascii="David" w:eastAsia="Calibri" w:hAnsi="David" w:hint="cs"/>
          <w:b/>
          <w:bCs/>
          <w:sz w:val="24"/>
          <w:rtl/>
        </w:rPr>
        <w:t xml:space="preserve">כלי טכנולוגי </w:t>
      </w:r>
      <w:r w:rsidRPr="00082C78">
        <w:rPr>
          <w:rFonts w:ascii="David" w:eastAsia="Calibri" w:hAnsi="David" w:hint="cs"/>
          <w:b/>
          <w:bCs/>
          <w:sz w:val="24"/>
          <w:rtl/>
        </w:rPr>
        <w:t xml:space="preserve">להאזנת סתר לתקשורת בין מחשבים שהיועמ"שית לממשלה קבעה </w:t>
      </w:r>
      <w:r w:rsidR="000300B0">
        <w:rPr>
          <w:rFonts w:ascii="David" w:eastAsia="Calibri" w:hAnsi="David" w:hint="cs"/>
          <w:b/>
          <w:bCs/>
          <w:sz w:val="24"/>
          <w:rtl/>
        </w:rPr>
        <w:t>כפי שפורסם בדוח</w:t>
      </w:r>
      <w:r w:rsidR="00380499">
        <w:rPr>
          <w:rFonts w:ascii="David" w:eastAsia="Calibri" w:hAnsi="David" w:hint="cs"/>
          <w:b/>
          <w:bCs/>
          <w:sz w:val="24"/>
          <w:rtl/>
        </w:rPr>
        <w:t xml:space="preserve"> צוות</w:t>
      </w:r>
      <w:r w:rsidR="000300B0">
        <w:rPr>
          <w:rFonts w:ascii="David" w:eastAsia="Calibri" w:hAnsi="David" w:hint="cs"/>
          <w:b/>
          <w:bCs/>
          <w:sz w:val="24"/>
          <w:rtl/>
        </w:rPr>
        <w:t xml:space="preserve"> מררי </w:t>
      </w:r>
      <w:r w:rsidRPr="00082C78">
        <w:rPr>
          <w:rFonts w:ascii="David" w:eastAsia="Calibri" w:hAnsi="David" w:hint="cs"/>
          <w:b/>
          <w:bCs/>
          <w:sz w:val="24"/>
          <w:rtl/>
        </w:rPr>
        <w:t xml:space="preserve">בדיעבד, </w:t>
      </w:r>
      <w:r w:rsidR="000300B0">
        <w:rPr>
          <w:rFonts w:ascii="David" w:eastAsia="Calibri" w:hAnsi="David" w:hint="cs"/>
          <w:b/>
          <w:bCs/>
          <w:sz w:val="24"/>
          <w:rtl/>
        </w:rPr>
        <w:t>ו</w:t>
      </w:r>
      <w:r w:rsidRPr="00082C78">
        <w:rPr>
          <w:rFonts w:ascii="David" w:eastAsia="Calibri" w:hAnsi="David" w:hint="cs"/>
          <w:b/>
          <w:bCs/>
          <w:sz w:val="24"/>
          <w:rtl/>
        </w:rPr>
        <w:t>לאחר שהוצגו בפניה מלוא יכולות הכלי</w:t>
      </w:r>
      <w:r w:rsidR="000300B0">
        <w:rPr>
          <w:rFonts w:ascii="David" w:eastAsia="Calibri" w:hAnsi="David" w:hint="cs"/>
          <w:b/>
          <w:bCs/>
          <w:sz w:val="24"/>
          <w:rtl/>
        </w:rPr>
        <w:t xml:space="preserve"> לאחר פרוץ "פרשת פגסוס"</w:t>
      </w:r>
      <w:r w:rsidRPr="00082C78">
        <w:rPr>
          <w:rFonts w:ascii="David" w:eastAsia="Calibri" w:hAnsi="David" w:hint="cs"/>
          <w:b/>
          <w:bCs/>
          <w:sz w:val="24"/>
          <w:rtl/>
        </w:rPr>
        <w:t>, כי יכולות מסוימות שלו חורגות מסמכות המשטרה לפי חוק האזנת סתר ולכן אסור למשטרה להשתמש בו עד לניוון אותן יכולות.</w:t>
      </w:r>
    </w:p>
    <w:p w:rsidR="00AA605E" w:rsidRDefault="00AA605E" w:rsidP="00AE46AF">
      <w:pPr>
        <w:spacing w:line="269" w:lineRule="auto"/>
        <w:ind w:left="680"/>
        <w:rPr>
          <w:rFonts w:ascii="David" w:eastAsia="Calibri" w:hAnsi="David"/>
          <w:b/>
          <w:bCs/>
          <w:sz w:val="24"/>
          <w:rtl/>
        </w:rPr>
      </w:pPr>
    </w:p>
    <w:p w:rsidR="00AA605E" w:rsidRPr="00082C78" w:rsidRDefault="00AA605E" w:rsidP="00AE46AF">
      <w:pPr>
        <w:spacing w:line="269" w:lineRule="auto"/>
        <w:ind w:left="680"/>
        <w:rPr>
          <w:rFonts w:ascii="David" w:eastAsia="Calibri" w:hAnsi="David"/>
          <w:b/>
          <w:bCs/>
          <w:sz w:val="24"/>
          <w:rtl/>
        </w:rPr>
      </w:pPr>
      <w:r w:rsidRPr="00082C78">
        <w:rPr>
          <w:rFonts w:ascii="David" w:eastAsia="Calibri" w:hAnsi="David" w:hint="cs"/>
          <w:b/>
          <w:bCs/>
          <w:sz w:val="24"/>
          <w:rtl/>
        </w:rPr>
        <w:t>העובדות המובאות בפרק זה</w:t>
      </w:r>
      <w:r>
        <w:rPr>
          <w:rFonts w:ascii="David" w:eastAsia="Calibri" w:hAnsi="David" w:hint="cs"/>
          <w:b/>
          <w:bCs/>
          <w:sz w:val="24"/>
          <w:rtl/>
        </w:rPr>
        <w:t xml:space="preserve"> בנוגע ל</w:t>
      </w:r>
      <w:r w:rsidR="00C05AB5">
        <w:rPr>
          <w:rFonts w:ascii="David" w:eastAsia="Calibri" w:hAnsi="David" w:hint="cs"/>
          <w:b/>
          <w:bCs/>
          <w:sz w:val="24"/>
          <w:rtl/>
        </w:rPr>
        <w:t xml:space="preserve">כלי טכנולוגי </w:t>
      </w:r>
      <w:r>
        <w:rPr>
          <w:rFonts w:ascii="David" w:eastAsia="Calibri" w:hAnsi="David" w:hint="cs"/>
          <w:b/>
          <w:bCs/>
          <w:sz w:val="24"/>
          <w:rtl/>
        </w:rPr>
        <w:t>מסוי</w:t>
      </w:r>
      <w:r w:rsidR="00C05AB5">
        <w:rPr>
          <w:rFonts w:ascii="David" w:eastAsia="Calibri" w:hAnsi="David" w:hint="cs"/>
          <w:b/>
          <w:bCs/>
          <w:sz w:val="24"/>
          <w:rtl/>
        </w:rPr>
        <w:t>ם</w:t>
      </w:r>
      <w:r>
        <w:rPr>
          <w:rFonts w:ascii="David" w:eastAsia="Calibri" w:hAnsi="David" w:hint="cs"/>
          <w:b/>
          <w:bCs/>
          <w:sz w:val="24"/>
          <w:rtl/>
        </w:rPr>
        <w:t>,</w:t>
      </w:r>
      <w:r w:rsidRPr="00082C78">
        <w:rPr>
          <w:rFonts w:ascii="David" w:eastAsia="Calibri" w:hAnsi="David" w:hint="cs"/>
          <w:b/>
          <w:bCs/>
          <w:sz w:val="24"/>
          <w:rtl/>
        </w:rPr>
        <w:t xml:space="preserve"> היו אמורות להוביל לייזום דיון עקרוני ומעשי, על ידי הייעוץ המשפטי לממשלה, כדי לבחון את חוקיות פעולות המשטרה בהפעלת כלים טכנולוגיים במסגרת מילוי תפקידה</w:t>
      </w:r>
      <w:r>
        <w:rPr>
          <w:rFonts w:ascii="David" w:eastAsia="Calibri" w:hAnsi="David" w:hint="cs"/>
          <w:b/>
          <w:bCs/>
          <w:sz w:val="24"/>
          <w:rtl/>
        </w:rPr>
        <w:t>, באופן כללי</w:t>
      </w:r>
      <w:r w:rsidRPr="00082C78">
        <w:rPr>
          <w:rFonts w:ascii="David" w:eastAsia="Calibri" w:hAnsi="David" w:hint="cs"/>
          <w:b/>
          <w:bCs/>
          <w:sz w:val="24"/>
          <w:rtl/>
        </w:rPr>
        <w:t xml:space="preserve">. בדיון כזה ניתן היה לבחון את מפת היכולות של כלים שונים שבהם </w:t>
      </w:r>
      <w:r w:rsidR="00045ECB">
        <w:rPr>
          <w:rFonts w:ascii="David" w:eastAsia="Calibri" w:hAnsi="David" w:hint="cs"/>
          <w:b/>
          <w:bCs/>
          <w:sz w:val="24"/>
          <w:rtl/>
        </w:rPr>
        <w:t>עשתה</w:t>
      </w:r>
      <w:r w:rsidR="00045ECB" w:rsidRPr="00082C78">
        <w:rPr>
          <w:rFonts w:ascii="David" w:eastAsia="Calibri" w:hAnsi="David" w:hint="cs"/>
          <w:b/>
          <w:bCs/>
          <w:sz w:val="24"/>
          <w:rtl/>
        </w:rPr>
        <w:t xml:space="preserve"> </w:t>
      </w:r>
      <w:r w:rsidRPr="00082C78">
        <w:rPr>
          <w:rFonts w:ascii="David" w:eastAsia="Calibri" w:hAnsi="David" w:hint="cs"/>
          <w:b/>
          <w:bCs/>
          <w:sz w:val="24"/>
          <w:rtl/>
        </w:rPr>
        <w:t xml:space="preserve">המשטרה שימוש ולחוות עמדה משפטית, עקרונית ומעשית בנוגע לגבולות השימוש בכלים ובנוגע לאסדרה הנדרשת לצורך מיצוי יכולות נוספות של הכלים. בפועל דיון </w:t>
      </w:r>
      <w:r w:rsidR="00D14A6E">
        <w:rPr>
          <w:rFonts w:ascii="David" w:eastAsia="Calibri" w:hAnsi="David" w:hint="cs"/>
          <w:b/>
          <w:bCs/>
          <w:sz w:val="24"/>
          <w:rtl/>
        </w:rPr>
        <w:t xml:space="preserve">עקרוני ומהותי </w:t>
      </w:r>
      <w:r w:rsidRPr="00082C78">
        <w:rPr>
          <w:rFonts w:ascii="David" w:eastAsia="Calibri" w:hAnsi="David" w:hint="cs"/>
          <w:b/>
          <w:bCs/>
          <w:sz w:val="24"/>
          <w:rtl/>
        </w:rPr>
        <w:t xml:space="preserve">כזה לא התקיים במהלך השנים עד לפרוץ </w:t>
      </w:r>
      <w:r>
        <w:rPr>
          <w:rFonts w:ascii="David" w:eastAsia="Calibri" w:hAnsi="David" w:hint="cs"/>
          <w:b/>
          <w:bCs/>
          <w:sz w:val="24"/>
          <w:rtl/>
        </w:rPr>
        <w:t>"</w:t>
      </w:r>
      <w:r w:rsidRPr="00082C78">
        <w:rPr>
          <w:rFonts w:ascii="David" w:eastAsia="Calibri" w:hAnsi="David" w:hint="cs"/>
          <w:b/>
          <w:bCs/>
          <w:sz w:val="24"/>
          <w:rtl/>
        </w:rPr>
        <w:t>פרש</w:t>
      </w:r>
      <w:r>
        <w:rPr>
          <w:rFonts w:ascii="David" w:eastAsia="Calibri" w:hAnsi="David" w:hint="cs"/>
          <w:b/>
          <w:bCs/>
          <w:sz w:val="24"/>
          <w:rtl/>
        </w:rPr>
        <w:t>ת פגסוס"</w:t>
      </w:r>
      <w:r w:rsidRPr="00082C78">
        <w:rPr>
          <w:rFonts w:ascii="David" w:eastAsia="Calibri" w:hAnsi="David" w:hint="cs"/>
          <w:b/>
          <w:bCs/>
          <w:sz w:val="24"/>
          <w:rtl/>
        </w:rPr>
        <w:t xml:space="preserve">. </w:t>
      </w:r>
      <w:r w:rsidR="00316C38" w:rsidRPr="00316C38">
        <w:rPr>
          <w:rFonts w:ascii="David" w:eastAsia="Calibri" w:hAnsi="David" w:hint="cs"/>
          <w:b/>
          <w:bCs/>
          <w:sz w:val="24"/>
          <w:rtl/>
        </w:rPr>
        <w:t xml:space="preserve">לדעת מבקר המדינה </w:t>
      </w:r>
      <w:r w:rsidRPr="00082C78">
        <w:rPr>
          <w:rFonts w:ascii="David" w:eastAsia="Calibri" w:hAnsi="David" w:hint="cs"/>
          <w:b/>
          <w:bCs/>
          <w:sz w:val="24"/>
          <w:rtl/>
        </w:rPr>
        <w:t xml:space="preserve">מדובר בליקוי מהותי. בקיום הדיון האמור היה כדי לממש את תפקיד הייעוץ המשפטי לממשלה כאחראי למערך התביעה ולפיקוח על פעילות המשטרה בתחום האזנות סתר בהתאם לחוק האזנת סתר. </w:t>
      </w:r>
    </w:p>
    <w:p w:rsidR="007B0569" w:rsidRDefault="007B0569" w:rsidP="00604C3D">
      <w:pPr>
        <w:bidi w:val="0"/>
        <w:spacing w:line="269" w:lineRule="auto"/>
        <w:rPr>
          <w:rFonts w:eastAsia="Times New Roman"/>
          <w:bCs/>
          <w:szCs w:val="28"/>
          <w:u w:val="single"/>
        </w:rPr>
      </w:pPr>
      <w:bookmarkStart w:id="106" w:name="_Toc193282951"/>
      <w:bookmarkStart w:id="107" w:name="_Hlk187582226"/>
      <w:bookmarkEnd w:id="88"/>
    </w:p>
    <w:p w:rsidR="00082C78" w:rsidRPr="00082C78" w:rsidRDefault="00082C78" w:rsidP="00604C3D">
      <w:pPr>
        <w:pStyle w:val="3"/>
        <w:spacing w:before="0" w:line="269" w:lineRule="auto"/>
        <w:rPr>
          <w:rFonts w:ascii="David" w:eastAsia="Times New Roman" w:hAnsi="David"/>
          <w:b/>
          <w:sz w:val="28"/>
          <w:rtl/>
        </w:rPr>
      </w:pPr>
      <w:bookmarkStart w:id="108" w:name="_Toc219286514"/>
      <w:r w:rsidRPr="00082C78">
        <w:rPr>
          <w:rFonts w:eastAsia="Times New Roman" w:hint="cs"/>
          <w:rtl/>
        </w:rPr>
        <w:t xml:space="preserve">1.3 </w:t>
      </w:r>
      <w:bookmarkEnd w:id="106"/>
      <w:r w:rsidR="00917C5D">
        <w:rPr>
          <w:rFonts w:eastAsia="Times New Roman" w:hint="cs"/>
          <w:rtl/>
        </w:rPr>
        <w:t>ה</w:t>
      </w:r>
      <w:r w:rsidR="001E6CC5">
        <w:rPr>
          <w:rFonts w:eastAsia="Times New Roman" w:hint="cs"/>
          <w:rtl/>
        </w:rPr>
        <w:t>ממשק עם</w:t>
      </w:r>
      <w:r w:rsidR="00917C5D">
        <w:rPr>
          <w:rFonts w:eastAsia="Times New Roman" w:hint="cs"/>
          <w:rtl/>
        </w:rPr>
        <w:t xml:space="preserve"> הייעוץ המשפטי לממשלה ב</w:t>
      </w:r>
      <w:r w:rsidR="001E6CC5">
        <w:rPr>
          <w:rFonts w:eastAsia="Times New Roman" w:hint="cs"/>
          <w:rtl/>
        </w:rPr>
        <w:t>נוגע ל</w:t>
      </w:r>
      <w:r w:rsidR="00917C5D">
        <w:rPr>
          <w:rFonts w:eastAsia="Times New Roman" w:hint="cs"/>
          <w:rtl/>
        </w:rPr>
        <w:t>פעולות וכלים טכנולוגיים</w:t>
      </w:r>
      <w:bookmarkEnd w:id="108"/>
    </w:p>
    <w:p w:rsidR="00271D14" w:rsidRDefault="00271D14" w:rsidP="00604C3D">
      <w:pPr>
        <w:spacing w:line="269" w:lineRule="auto"/>
        <w:ind w:left="-2"/>
        <w:rPr>
          <w:rFonts w:ascii="David" w:eastAsia="Calibri" w:hAnsi="David"/>
          <w:b/>
          <w:bCs/>
          <w:sz w:val="16"/>
          <w:szCs w:val="16"/>
          <w:rtl/>
        </w:rPr>
      </w:pPr>
      <w:bookmarkStart w:id="109" w:name="_Hlk147752665"/>
      <w:bookmarkStart w:id="110" w:name="_Toc138576060"/>
      <w:bookmarkEnd w:id="107"/>
    </w:p>
    <w:p w:rsidR="00082C78" w:rsidRPr="00082C78" w:rsidRDefault="00082C78" w:rsidP="00604C3D">
      <w:pPr>
        <w:spacing w:line="269" w:lineRule="auto"/>
        <w:ind w:left="-2"/>
        <w:rPr>
          <w:rFonts w:ascii="David" w:eastAsia="Calibri" w:hAnsi="David"/>
          <w:sz w:val="24"/>
          <w:rtl/>
        </w:rPr>
      </w:pPr>
      <w:r w:rsidRPr="00082C78">
        <w:rPr>
          <w:rFonts w:ascii="David" w:eastAsia="Calibri" w:hAnsi="David" w:hint="cs"/>
          <w:sz w:val="24"/>
          <w:rtl/>
        </w:rPr>
        <w:t xml:space="preserve">במקרים </w:t>
      </w:r>
      <w:r w:rsidRPr="00082C78">
        <w:rPr>
          <w:rFonts w:ascii="David" w:eastAsia="Calibri" w:hAnsi="David" w:hint="eastAsia"/>
          <w:sz w:val="24"/>
          <w:rtl/>
        </w:rPr>
        <w:t>רבים</w:t>
      </w:r>
      <w:r w:rsidRPr="00082C78">
        <w:rPr>
          <w:rFonts w:ascii="David" w:eastAsia="Calibri" w:hAnsi="David" w:hint="cs"/>
          <w:sz w:val="24"/>
          <w:rtl/>
        </w:rPr>
        <w:t xml:space="preserve"> השתמשה המשטרה בכלים טכנולוגיים ובמתווים של </w:t>
      </w:r>
      <w:r w:rsidR="00062A25">
        <w:rPr>
          <w:rFonts w:ascii="David" w:eastAsia="Calibri" w:hAnsi="David" w:hint="cs"/>
          <w:sz w:val="24"/>
          <w:rtl/>
        </w:rPr>
        <w:t>התקנה</w:t>
      </w:r>
      <w:r w:rsidRPr="00082C78">
        <w:rPr>
          <w:rFonts w:ascii="David" w:eastAsia="Calibri" w:hAnsi="David" w:hint="cs"/>
          <w:sz w:val="24"/>
          <w:rtl/>
        </w:rPr>
        <w:t xml:space="preserve"> באמצעות אותם כלים בלא שהועברו לבחינה ולאישור של גורמי הייעוץ המשפטי לממשלה. </w:t>
      </w:r>
      <w:bookmarkEnd w:id="109"/>
    </w:p>
    <w:p w:rsidR="00082C78" w:rsidRPr="00082C78" w:rsidRDefault="00082C78" w:rsidP="00604C3D">
      <w:pPr>
        <w:spacing w:line="269" w:lineRule="auto"/>
        <w:ind w:left="-2"/>
        <w:rPr>
          <w:rFonts w:ascii="David" w:eastAsia="Calibri" w:hAnsi="David"/>
          <w:sz w:val="24"/>
          <w:rtl/>
        </w:rPr>
      </w:pPr>
    </w:p>
    <w:p w:rsidR="00082C78" w:rsidRPr="00082C78" w:rsidRDefault="00082C78" w:rsidP="00604C3D">
      <w:pPr>
        <w:spacing w:line="269" w:lineRule="auto"/>
        <w:ind w:left="-2"/>
        <w:contextualSpacing/>
        <w:rPr>
          <w:rFonts w:ascii="David" w:eastAsia="Calibri" w:hAnsi="David"/>
          <w:sz w:val="24"/>
          <w:rtl/>
        </w:rPr>
      </w:pPr>
      <w:r w:rsidRPr="00082C78">
        <w:rPr>
          <w:rFonts w:ascii="David" w:eastAsia="Calibri" w:hAnsi="David" w:hint="eastAsia"/>
          <w:sz w:val="24"/>
          <w:rtl/>
        </w:rPr>
        <w:t>המשטרה</w:t>
      </w:r>
      <w:r w:rsidRPr="00082C78">
        <w:rPr>
          <w:rFonts w:ascii="David" w:eastAsia="Calibri" w:hAnsi="David"/>
          <w:sz w:val="24"/>
          <w:rtl/>
        </w:rPr>
        <w:t xml:space="preserve"> כתבה בתשובתה </w:t>
      </w:r>
      <w:r w:rsidRPr="00082C78">
        <w:rPr>
          <w:rFonts w:ascii="David" w:eastAsia="Calibri" w:hAnsi="David" w:hint="eastAsia"/>
          <w:sz w:val="24"/>
          <w:rtl/>
        </w:rPr>
        <w:t>כי</w:t>
      </w:r>
      <w:r w:rsidRPr="00082C78">
        <w:rPr>
          <w:rFonts w:ascii="David" w:eastAsia="Calibri" w:hAnsi="David"/>
          <w:sz w:val="24"/>
          <w:rtl/>
        </w:rPr>
        <w:t xml:space="preserve"> יועמ"ש המשטרה </w:t>
      </w:r>
      <w:r w:rsidRPr="00082C78">
        <w:rPr>
          <w:rFonts w:ascii="David" w:eastAsia="Calibri" w:hAnsi="David" w:hint="cs"/>
          <w:sz w:val="24"/>
          <w:rtl/>
        </w:rPr>
        <w:t xml:space="preserve">איננו "צינור" להעברת מידע למשרד המשפטים ויש לו </w:t>
      </w:r>
      <w:r w:rsidRPr="00082C78">
        <w:rPr>
          <w:rFonts w:ascii="David" w:eastAsia="Calibri" w:hAnsi="David" w:hint="eastAsia"/>
          <w:sz w:val="24"/>
          <w:rtl/>
        </w:rPr>
        <w:t>שיקול</w:t>
      </w:r>
      <w:r w:rsidRPr="00082C78">
        <w:rPr>
          <w:rFonts w:ascii="David" w:eastAsia="Calibri" w:hAnsi="David"/>
          <w:sz w:val="24"/>
          <w:rtl/>
        </w:rPr>
        <w:t xml:space="preserve"> </w:t>
      </w:r>
      <w:r w:rsidRPr="00082C78">
        <w:rPr>
          <w:rFonts w:ascii="David" w:eastAsia="Calibri" w:hAnsi="David" w:hint="eastAsia"/>
          <w:sz w:val="24"/>
          <w:rtl/>
        </w:rPr>
        <w:t>דעת</w:t>
      </w:r>
      <w:r w:rsidRPr="00082C78">
        <w:rPr>
          <w:rFonts w:ascii="David" w:eastAsia="Calibri" w:hAnsi="David"/>
          <w:sz w:val="24"/>
          <w:rtl/>
        </w:rPr>
        <w:t xml:space="preserve"> </w:t>
      </w:r>
      <w:r w:rsidRPr="00082C78">
        <w:rPr>
          <w:rFonts w:ascii="David" w:eastAsia="Calibri" w:hAnsi="David" w:hint="eastAsia"/>
          <w:sz w:val="24"/>
          <w:rtl/>
        </w:rPr>
        <w:t>עצמאי</w:t>
      </w:r>
      <w:r w:rsidRPr="00082C78">
        <w:rPr>
          <w:rFonts w:ascii="David" w:eastAsia="Calibri" w:hAnsi="David"/>
          <w:sz w:val="24"/>
          <w:rtl/>
        </w:rPr>
        <w:t xml:space="preserve">, </w:t>
      </w:r>
      <w:r w:rsidRPr="00082C78">
        <w:rPr>
          <w:rFonts w:ascii="David" w:eastAsia="Calibri" w:hAnsi="David" w:hint="eastAsia"/>
          <w:sz w:val="24"/>
          <w:rtl/>
        </w:rPr>
        <w:t>ועל</w:t>
      </w:r>
      <w:r w:rsidRPr="00082C78">
        <w:rPr>
          <w:rFonts w:ascii="David" w:eastAsia="Calibri" w:hAnsi="David"/>
          <w:sz w:val="24"/>
          <w:rtl/>
        </w:rPr>
        <w:t xml:space="preserve"> </w:t>
      </w:r>
      <w:r w:rsidRPr="00082C78">
        <w:rPr>
          <w:rFonts w:ascii="David" w:eastAsia="Calibri" w:hAnsi="David" w:hint="eastAsia"/>
          <w:sz w:val="24"/>
          <w:rtl/>
        </w:rPr>
        <w:t>פי</w:t>
      </w:r>
      <w:r w:rsidRPr="00082C78">
        <w:rPr>
          <w:rFonts w:ascii="David" w:eastAsia="Calibri" w:hAnsi="David"/>
          <w:sz w:val="24"/>
          <w:rtl/>
        </w:rPr>
        <w:t xml:space="preserve"> </w:t>
      </w:r>
      <w:r w:rsidRPr="00082C78">
        <w:rPr>
          <w:rFonts w:ascii="David" w:eastAsia="Calibri" w:hAnsi="David" w:hint="eastAsia"/>
          <w:sz w:val="24"/>
          <w:rtl/>
        </w:rPr>
        <w:t>שיקול</w:t>
      </w:r>
      <w:r w:rsidRPr="00082C78">
        <w:rPr>
          <w:rFonts w:ascii="David" w:eastAsia="Calibri" w:hAnsi="David"/>
          <w:sz w:val="24"/>
          <w:rtl/>
        </w:rPr>
        <w:t xml:space="preserve"> </w:t>
      </w:r>
      <w:r w:rsidRPr="00082C78">
        <w:rPr>
          <w:rFonts w:ascii="David" w:eastAsia="Calibri" w:hAnsi="David" w:hint="eastAsia"/>
          <w:sz w:val="24"/>
          <w:rtl/>
        </w:rPr>
        <w:t>דעתו</w:t>
      </w:r>
      <w:r w:rsidRPr="00082C78">
        <w:rPr>
          <w:rFonts w:ascii="David" w:eastAsia="Calibri" w:hAnsi="David"/>
          <w:sz w:val="24"/>
          <w:rtl/>
        </w:rPr>
        <w:t xml:space="preserve"> </w:t>
      </w:r>
      <w:r w:rsidRPr="00082C78">
        <w:rPr>
          <w:rFonts w:ascii="David" w:eastAsia="Calibri" w:hAnsi="David" w:hint="eastAsia"/>
          <w:sz w:val="24"/>
          <w:rtl/>
        </w:rPr>
        <w:t>הוא</w:t>
      </w:r>
      <w:r w:rsidRPr="00082C78">
        <w:rPr>
          <w:rFonts w:ascii="David" w:eastAsia="Calibri" w:hAnsi="David"/>
          <w:sz w:val="24"/>
          <w:rtl/>
        </w:rPr>
        <w:t xml:space="preserve"> </w:t>
      </w:r>
      <w:r w:rsidRPr="00082C78">
        <w:rPr>
          <w:rFonts w:ascii="David" w:eastAsia="Calibri" w:hAnsi="David" w:hint="eastAsia"/>
          <w:sz w:val="24"/>
          <w:rtl/>
        </w:rPr>
        <w:t>פונה</w:t>
      </w:r>
      <w:r w:rsidRPr="00082C78">
        <w:rPr>
          <w:rFonts w:ascii="David" w:eastAsia="Calibri" w:hAnsi="David"/>
          <w:sz w:val="24"/>
          <w:rtl/>
        </w:rPr>
        <w:t xml:space="preserve"> </w:t>
      </w:r>
      <w:r w:rsidRPr="00082C78">
        <w:rPr>
          <w:rFonts w:ascii="David" w:eastAsia="Calibri" w:hAnsi="David" w:hint="eastAsia"/>
          <w:sz w:val="24"/>
          <w:rtl/>
        </w:rPr>
        <w:t>למשרד</w:t>
      </w:r>
      <w:r w:rsidRPr="00082C78">
        <w:rPr>
          <w:rFonts w:ascii="David" w:eastAsia="Calibri" w:hAnsi="David"/>
          <w:sz w:val="24"/>
          <w:rtl/>
        </w:rPr>
        <w:t xml:space="preserve"> </w:t>
      </w:r>
      <w:r w:rsidRPr="00082C78">
        <w:rPr>
          <w:rFonts w:ascii="David" w:eastAsia="Calibri" w:hAnsi="David" w:hint="eastAsia"/>
          <w:sz w:val="24"/>
          <w:rtl/>
        </w:rPr>
        <w:t>המשפטים</w:t>
      </w:r>
      <w:r w:rsidRPr="00082C78">
        <w:rPr>
          <w:rFonts w:ascii="David" w:eastAsia="Calibri" w:hAnsi="David"/>
          <w:sz w:val="24"/>
          <w:rtl/>
        </w:rPr>
        <w:t xml:space="preserve"> ל</w:t>
      </w:r>
      <w:r w:rsidRPr="00082C78">
        <w:rPr>
          <w:rFonts w:ascii="David" w:eastAsia="Calibri" w:hAnsi="David" w:hint="cs"/>
          <w:sz w:val="24"/>
          <w:rtl/>
        </w:rPr>
        <w:t xml:space="preserve">צורך </w:t>
      </w:r>
      <w:r w:rsidRPr="00082C78">
        <w:rPr>
          <w:rFonts w:ascii="David" w:eastAsia="Calibri" w:hAnsi="David" w:hint="eastAsia"/>
          <w:sz w:val="24"/>
          <w:rtl/>
        </w:rPr>
        <w:t>קבלת</w:t>
      </w:r>
      <w:r w:rsidRPr="00082C78">
        <w:rPr>
          <w:rFonts w:ascii="David" w:eastAsia="Calibri" w:hAnsi="David"/>
          <w:sz w:val="24"/>
          <w:rtl/>
        </w:rPr>
        <w:t xml:space="preserve"> </w:t>
      </w:r>
      <w:r w:rsidRPr="00082C78">
        <w:rPr>
          <w:rFonts w:ascii="David" w:eastAsia="Calibri" w:hAnsi="David" w:hint="eastAsia"/>
          <w:sz w:val="24"/>
          <w:rtl/>
        </w:rPr>
        <w:t>אישור</w:t>
      </w:r>
      <w:r w:rsidRPr="00082C78">
        <w:rPr>
          <w:rFonts w:ascii="David" w:eastAsia="Calibri" w:hAnsi="David"/>
          <w:sz w:val="24"/>
          <w:rtl/>
        </w:rPr>
        <w:t xml:space="preserve">, </w:t>
      </w:r>
      <w:r w:rsidRPr="00082C78">
        <w:rPr>
          <w:rFonts w:ascii="David" w:eastAsia="Calibri" w:hAnsi="David" w:hint="eastAsia"/>
          <w:sz w:val="24"/>
          <w:rtl/>
        </w:rPr>
        <w:t>היוועצות</w:t>
      </w:r>
      <w:r w:rsidRPr="00082C78">
        <w:rPr>
          <w:rFonts w:ascii="David" w:eastAsia="Calibri" w:hAnsi="David"/>
          <w:sz w:val="24"/>
          <w:rtl/>
        </w:rPr>
        <w:t xml:space="preserve"> </w:t>
      </w:r>
      <w:r w:rsidRPr="00082C78">
        <w:rPr>
          <w:rFonts w:ascii="David" w:eastAsia="Calibri" w:hAnsi="David" w:hint="eastAsia"/>
          <w:sz w:val="24"/>
          <w:rtl/>
        </w:rPr>
        <w:t>או</w:t>
      </w:r>
      <w:r w:rsidRPr="00082C78">
        <w:rPr>
          <w:rFonts w:ascii="David" w:eastAsia="Calibri" w:hAnsi="David"/>
          <w:sz w:val="24"/>
          <w:rtl/>
        </w:rPr>
        <w:t xml:space="preserve"> </w:t>
      </w:r>
      <w:r w:rsidRPr="00082C78">
        <w:rPr>
          <w:rFonts w:ascii="David" w:eastAsia="Calibri" w:hAnsi="David" w:hint="eastAsia"/>
          <w:sz w:val="24"/>
          <w:rtl/>
        </w:rPr>
        <w:t>עדכון</w:t>
      </w:r>
      <w:r w:rsidRPr="00082C78">
        <w:rPr>
          <w:rFonts w:ascii="David" w:eastAsia="Calibri" w:hAnsi="David"/>
          <w:sz w:val="24"/>
          <w:rtl/>
        </w:rPr>
        <w:t xml:space="preserve">. </w:t>
      </w:r>
      <w:r w:rsidRPr="00082C78">
        <w:rPr>
          <w:rFonts w:ascii="David" w:eastAsia="Calibri" w:hAnsi="David" w:hint="eastAsia"/>
          <w:sz w:val="24"/>
          <w:rtl/>
        </w:rPr>
        <w:t>לתפיסתה</w:t>
      </w:r>
      <w:r w:rsidRPr="00082C78">
        <w:rPr>
          <w:rFonts w:ascii="David" w:eastAsia="Calibri" w:hAnsi="David" w:hint="cs"/>
          <w:sz w:val="24"/>
          <w:rtl/>
        </w:rPr>
        <w:t xml:space="preserve">, </w:t>
      </w:r>
      <w:r w:rsidRPr="00082C78">
        <w:rPr>
          <w:rFonts w:ascii="David" w:eastAsia="Calibri" w:hAnsi="David" w:hint="eastAsia"/>
          <w:sz w:val="24"/>
          <w:rtl/>
        </w:rPr>
        <w:t>כלים</w:t>
      </w:r>
      <w:r w:rsidRPr="00082C78">
        <w:rPr>
          <w:rFonts w:ascii="David" w:eastAsia="Calibri" w:hAnsi="David"/>
          <w:sz w:val="24"/>
          <w:rtl/>
        </w:rPr>
        <w:t xml:space="preserve"> </w:t>
      </w:r>
      <w:r w:rsidRPr="00082C78">
        <w:rPr>
          <w:rFonts w:ascii="David" w:eastAsia="Calibri" w:hAnsi="David" w:hint="eastAsia"/>
          <w:sz w:val="24"/>
          <w:rtl/>
        </w:rPr>
        <w:t>המופעלים</w:t>
      </w:r>
      <w:r w:rsidRPr="00082C78">
        <w:rPr>
          <w:rFonts w:ascii="David" w:eastAsia="Calibri" w:hAnsi="David"/>
          <w:sz w:val="24"/>
          <w:rtl/>
        </w:rPr>
        <w:t xml:space="preserve"> </w:t>
      </w:r>
      <w:r w:rsidRPr="00082C78">
        <w:rPr>
          <w:rFonts w:ascii="David" w:eastAsia="Calibri" w:hAnsi="David" w:hint="eastAsia"/>
          <w:sz w:val="24"/>
          <w:rtl/>
        </w:rPr>
        <w:t>בהתאם</w:t>
      </w:r>
      <w:r w:rsidRPr="00082C78">
        <w:rPr>
          <w:rFonts w:ascii="David" w:eastAsia="Calibri" w:hAnsi="David"/>
          <w:sz w:val="24"/>
          <w:rtl/>
        </w:rPr>
        <w:t xml:space="preserve"> </w:t>
      </w:r>
      <w:r w:rsidRPr="00082C78">
        <w:rPr>
          <w:rFonts w:ascii="David" w:eastAsia="Calibri" w:hAnsi="David" w:hint="eastAsia"/>
          <w:sz w:val="24"/>
          <w:rtl/>
        </w:rPr>
        <w:t>לסמכות</w:t>
      </w:r>
      <w:r w:rsidRPr="00082C78">
        <w:rPr>
          <w:rFonts w:ascii="David" w:eastAsia="Calibri" w:hAnsi="David"/>
          <w:sz w:val="24"/>
          <w:rtl/>
        </w:rPr>
        <w:t xml:space="preserve"> </w:t>
      </w:r>
      <w:r w:rsidRPr="00082C78">
        <w:rPr>
          <w:rFonts w:ascii="David" w:eastAsia="Calibri" w:hAnsi="David" w:hint="eastAsia"/>
          <w:sz w:val="24"/>
          <w:rtl/>
        </w:rPr>
        <w:t>החוקית</w:t>
      </w:r>
      <w:r w:rsidRPr="00082C78">
        <w:rPr>
          <w:rFonts w:ascii="David" w:eastAsia="Calibri" w:hAnsi="David"/>
          <w:sz w:val="24"/>
          <w:rtl/>
        </w:rPr>
        <w:t xml:space="preserve"> </w:t>
      </w:r>
      <w:r w:rsidRPr="00082C78">
        <w:rPr>
          <w:rFonts w:ascii="David" w:eastAsia="Calibri" w:hAnsi="David" w:hint="eastAsia"/>
          <w:sz w:val="24"/>
          <w:rtl/>
        </w:rPr>
        <w:t>שניתנה</w:t>
      </w:r>
      <w:r w:rsidRPr="00082C78">
        <w:rPr>
          <w:rFonts w:ascii="David" w:eastAsia="Calibri" w:hAnsi="David"/>
          <w:sz w:val="24"/>
          <w:rtl/>
        </w:rPr>
        <w:t xml:space="preserve"> </w:t>
      </w:r>
      <w:r w:rsidRPr="00082C78">
        <w:rPr>
          <w:rFonts w:ascii="David" w:eastAsia="Calibri" w:hAnsi="David" w:hint="eastAsia"/>
          <w:sz w:val="24"/>
          <w:rtl/>
        </w:rPr>
        <w:t>למשטרה</w:t>
      </w:r>
      <w:r w:rsidRPr="00082C78">
        <w:rPr>
          <w:rFonts w:ascii="David" w:eastAsia="Calibri" w:hAnsi="David"/>
          <w:sz w:val="24"/>
          <w:rtl/>
        </w:rPr>
        <w:t xml:space="preserve"> </w:t>
      </w:r>
      <w:r w:rsidRPr="00082C78">
        <w:rPr>
          <w:rFonts w:ascii="David" w:eastAsia="Calibri" w:hAnsi="David" w:hint="eastAsia"/>
          <w:sz w:val="24"/>
          <w:rtl/>
        </w:rPr>
        <w:t>ובמסגרת</w:t>
      </w:r>
      <w:r w:rsidRPr="00082C78">
        <w:rPr>
          <w:rFonts w:ascii="David" w:eastAsia="Calibri" w:hAnsi="David"/>
          <w:sz w:val="24"/>
          <w:rtl/>
        </w:rPr>
        <w:t xml:space="preserve"> </w:t>
      </w:r>
      <w:r w:rsidRPr="00082C78">
        <w:rPr>
          <w:rFonts w:ascii="David" w:eastAsia="Calibri" w:hAnsi="David" w:hint="eastAsia"/>
          <w:sz w:val="24"/>
          <w:rtl/>
        </w:rPr>
        <w:t>החוק</w:t>
      </w:r>
      <w:r w:rsidRPr="00082C78">
        <w:rPr>
          <w:rFonts w:ascii="David" w:eastAsia="Calibri" w:hAnsi="David" w:hint="cs"/>
          <w:sz w:val="24"/>
          <w:rtl/>
        </w:rPr>
        <w:t>,</w:t>
      </w:r>
      <w:r w:rsidRPr="00082C78">
        <w:rPr>
          <w:rFonts w:ascii="David" w:eastAsia="Calibri" w:hAnsi="David"/>
          <w:sz w:val="24"/>
          <w:rtl/>
        </w:rPr>
        <w:t xml:space="preserve"> </w:t>
      </w:r>
      <w:r w:rsidRPr="00082C78">
        <w:rPr>
          <w:rFonts w:ascii="David" w:eastAsia="Calibri" w:hAnsi="David" w:hint="eastAsia"/>
          <w:sz w:val="24"/>
          <w:rtl/>
        </w:rPr>
        <w:t>ואינם</w:t>
      </w:r>
      <w:r w:rsidRPr="00082C78">
        <w:rPr>
          <w:rFonts w:ascii="David" w:eastAsia="Calibri" w:hAnsi="David"/>
          <w:sz w:val="24"/>
          <w:rtl/>
        </w:rPr>
        <w:t xml:space="preserve"> </w:t>
      </w:r>
      <w:r w:rsidRPr="00082C78">
        <w:rPr>
          <w:rFonts w:ascii="David" w:eastAsia="Calibri" w:hAnsi="David" w:hint="eastAsia"/>
          <w:sz w:val="24"/>
          <w:rtl/>
        </w:rPr>
        <w:t>מעוררים</w:t>
      </w:r>
      <w:r w:rsidRPr="00082C78">
        <w:rPr>
          <w:rFonts w:ascii="David" w:eastAsia="Calibri" w:hAnsi="David"/>
          <w:sz w:val="24"/>
          <w:rtl/>
        </w:rPr>
        <w:t xml:space="preserve"> </w:t>
      </w:r>
      <w:r w:rsidRPr="00082C78">
        <w:rPr>
          <w:rFonts w:ascii="David" w:eastAsia="Calibri" w:hAnsi="David" w:hint="eastAsia"/>
          <w:sz w:val="24"/>
          <w:rtl/>
        </w:rPr>
        <w:t>שאלה</w:t>
      </w:r>
      <w:r w:rsidRPr="00082C78">
        <w:rPr>
          <w:rFonts w:ascii="David" w:eastAsia="Calibri" w:hAnsi="David"/>
          <w:sz w:val="24"/>
          <w:rtl/>
        </w:rPr>
        <w:t xml:space="preserve"> </w:t>
      </w:r>
      <w:r w:rsidRPr="00082C78">
        <w:rPr>
          <w:rFonts w:ascii="David" w:eastAsia="Calibri" w:hAnsi="David" w:hint="eastAsia"/>
          <w:sz w:val="24"/>
          <w:rtl/>
        </w:rPr>
        <w:t>משפטית</w:t>
      </w:r>
      <w:r w:rsidRPr="00082C78">
        <w:rPr>
          <w:rFonts w:ascii="David" w:eastAsia="Calibri" w:hAnsi="David"/>
          <w:sz w:val="24"/>
          <w:rtl/>
        </w:rPr>
        <w:t xml:space="preserve"> </w:t>
      </w:r>
      <w:r w:rsidRPr="00082C78">
        <w:rPr>
          <w:rFonts w:ascii="David" w:eastAsia="Calibri" w:hAnsi="David" w:hint="eastAsia"/>
          <w:sz w:val="24"/>
          <w:rtl/>
        </w:rPr>
        <w:t>מורכבת</w:t>
      </w:r>
      <w:r w:rsidRPr="00082C78">
        <w:rPr>
          <w:rFonts w:ascii="David" w:eastAsia="Calibri" w:hAnsi="David"/>
          <w:sz w:val="24"/>
          <w:rtl/>
        </w:rPr>
        <w:t xml:space="preserve">, </w:t>
      </w:r>
      <w:r w:rsidRPr="00082C78">
        <w:rPr>
          <w:rFonts w:ascii="David" w:eastAsia="Calibri" w:hAnsi="David" w:hint="eastAsia"/>
          <w:sz w:val="24"/>
          <w:rtl/>
        </w:rPr>
        <w:t>לא</w:t>
      </w:r>
      <w:r w:rsidRPr="00082C78">
        <w:rPr>
          <w:rFonts w:ascii="David" w:eastAsia="Calibri" w:hAnsi="David"/>
          <w:sz w:val="24"/>
          <w:rtl/>
        </w:rPr>
        <w:t xml:space="preserve"> </w:t>
      </w:r>
      <w:r w:rsidR="0087365A">
        <w:rPr>
          <w:rFonts w:ascii="David" w:eastAsia="Calibri" w:hAnsi="David" w:hint="cs"/>
          <w:sz w:val="24"/>
          <w:rtl/>
        </w:rPr>
        <w:t>דורשים</w:t>
      </w:r>
      <w:r w:rsidR="0087365A" w:rsidRPr="00082C78">
        <w:rPr>
          <w:rFonts w:ascii="David" w:eastAsia="Calibri" w:hAnsi="David"/>
          <w:sz w:val="24"/>
          <w:rtl/>
        </w:rPr>
        <w:t xml:space="preserve"> </w:t>
      </w:r>
      <w:r w:rsidRPr="00082C78">
        <w:rPr>
          <w:rFonts w:ascii="David" w:eastAsia="Calibri" w:hAnsi="David" w:hint="eastAsia"/>
          <w:sz w:val="24"/>
          <w:rtl/>
        </w:rPr>
        <w:t>אישורו</w:t>
      </w:r>
      <w:r w:rsidRPr="00082C78">
        <w:rPr>
          <w:rFonts w:ascii="David" w:eastAsia="Calibri" w:hAnsi="David"/>
          <w:sz w:val="24"/>
          <w:rtl/>
        </w:rPr>
        <w:t xml:space="preserve"> </w:t>
      </w:r>
      <w:r w:rsidRPr="00082C78">
        <w:rPr>
          <w:rFonts w:ascii="David" w:eastAsia="Calibri" w:hAnsi="David" w:hint="eastAsia"/>
          <w:sz w:val="24"/>
          <w:rtl/>
        </w:rPr>
        <w:t>של</w:t>
      </w:r>
      <w:r w:rsidRPr="00082C78">
        <w:rPr>
          <w:rFonts w:ascii="David" w:eastAsia="Calibri" w:hAnsi="David"/>
          <w:sz w:val="24"/>
          <w:rtl/>
        </w:rPr>
        <w:t xml:space="preserve"> </w:t>
      </w:r>
      <w:r w:rsidRPr="00082C78">
        <w:rPr>
          <w:rFonts w:ascii="David" w:eastAsia="Calibri" w:hAnsi="David" w:hint="eastAsia"/>
          <w:sz w:val="24"/>
          <w:rtl/>
        </w:rPr>
        <w:t>משרד</w:t>
      </w:r>
      <w:r w:rsidRPr="00082C78">
        <w:rPr>
          <w:rFonts w:ascii="David" w:eastAsia="Calibri" w:hAnsi="David"/>
          <w:sz w:val="24"/>
          <w:rtl/>
        </w:rPr>
        <w:t xml:space="preserve"> </w:t>
      </w:r>
      <w:r w:rsidRPr="00082C78">
        <w:rPr>
          <w:rFonts w:ascii="David" w:eastAsia="Calibri" w:hAnsi="David" w:hint="eastAsia"/>
          <w:sz w:val="24"/>
          <w:rtl/>
        </w:rPr>
        <w:t>המשפטים</w:t>
      </w:r>
      <w:r w:rsidRPr="00082C78">
        <w:rPr>
          <w:rFonts w:ascii="David" w:eastAsia="Calibri" w:hAnsi="David"/>
          <w:sz w:val="24"/>
          <w:rtl/>
        </w:rPr>
        <w:t>.</w:t>
      </w:r>
    </w:p>
    <w:p w:rsidR="00082C78" w:rsidRPr="00082C78" w:rsidRDefault="00082C78" w:rsidP="00604C3D">
      <w:pPr>
        <w:spacing w:line="269" w:lineRule="auto"/>
        <w:ind w:left="-2"/>
        <w:rPr>
          <w:rFonts w:ascii="David" w:eastAsia="Calibri" w:hAnsi="David"/>
          <w:sz w:val="24"/>
          <w:rtl/>
        </w:rPr>
      </w:pPr>
    </w:p>
    <w:p w:rsidR="00082C78" w:rsidRDefault="00082C78" w:rsidP="00604C3D">
      <w:pPr>
        <w:spacing w:line="269" w:lineRule="auto"/>
        <w:ind w:left="-2"/>
        <w:rPr>
          <w:rFonts w:ascii="David" w:eastAsia="Calibri" w:hAnsi="David"/>
          <w:sz w:val="24"/>
          <w:rtl/>
        </w:rPr>
      </w:pPr>
      <w:r w:rsidRPr="00082C78">
        <w:rPr>
          <w:rFonts w:ascii="David" w:eastAsia="Calibri" w:hAnsi="David" w:hint="cs"/>
          <w:sz w:val="24"/>
          <w:rtl/>
        </w:rPr>
        <w:t>להלן מקרים שבהם לפי</w:t>
      </w:r>
      <w:r w:rsidR="00382AE8">
        <w:rPr>
          <w:rFonts w:ascii="David" w:eastAsia="Calibri" w:hAnsi="David" w:hint="cs"/>
          <w:sz w:val="24"/>
          <w:rtl/>
        </w:rPr>
        <w:t xml:space="preserve"> </w:t>
      </w:r>
      <w:r w:rsidRPr="00082C78">
        <w:rPr>
          <w:rFonts w:ascii="David" w:eastAsia="Calibri" w:hAnsi="David" w:hint="eastAsia"/>
          <w:sz w:val="24"/>
          <w:rtl/>
        </w:rPr>
        <w:t>הביקורת</w:t>
      </w:r>
      <w:r w:rsidRPr="00082C78">
        <w:rPr>
          <w:rFonts w:ascii="David" w:eastAsia="Calibri" w:hAnsi="David"/>
          <w:sz w:val="24"/>
          <w:rtl/>
        </w:rPr>
        <w:t xml:space="preserve"> </w:t>
      </w:r>
      <w:r w:rsidRPr="00082C78">
        <w:rPr>
          <w:rFonts w:ascii="David" w:eastAsia="Calibri" w:hAnsi="David" w:hint="cs"/>
          <w:sz w:val="24"/>
          <w:rtl/>
        </w:rPr>
        <w:t xml:space="preserve">קיים </w:t>
      </w:r>
      <w:r w:rsidRPr="00082C78">
        <w:rPr>
          <w:rFonts w:ascii="David" w:eastAsia="Calibri" w:hAnsi="David" w:hint="eastAsia"/>
          <w:sz w:val="24"/>
          <w:rtl/>
        </w:rPr>
        <w:t>פוטנציאל</w:t>
      </w:r>
      <w:r w:rsidRPr="00082C78">
        <w:rPr>
          <w:rFonts w:ascii="David" w:eastAsia="Calibri" w:hAnsi="David"/>
          <w:sz w:val="24"/>
          <w:rtl/>
        </w:rPr>
        <w:t xml:space="preserve"> </w:t>
      </w:r>
      <w:r w:rsidRPr="00082C78">
        <w:rPr>
          <w:rFonts w:ascii="David" w:eastAsia="Calibri" w:hAnsi="David" w:hint="eastAsia"/>
          <w:sz w:val="24"/>
          <w:rtl/>
        </w:rPr>
        <w:t>לחריגה</w:t>
      </w:r>
      <w:r w:rsidRPr="00082C78">
        <w:rPr>
          <w:rFonts w:ascii="David" w:eastAsia="Calibri" w:hAnsi="David"/>
          <w:sz w:val="24"/>
          <w:rtl/>
        </w:rPr>
        <w:t xml:space="preserve"> </w:t>
      </w:r>
      <w:r w:rsidRPr="00082C78">
        <w:rPr>
          <w:rFonts w:ascii="David" w:eastAsia="Calibri" w:hAnsi="David" w:hint="eastAsia"/>
          <w:sz w:val="24"/>
          <w:rtl/>
        </w:rPr>
        <w:t>מסמכות</w:t>
      </w:r>
      <w:r w:rsidRPr="00082C78">
        <w:rPr>
          <w:rFonts w:ascii="David" w:eastAsia="Calibri" w:hAnsi="David"/>
          <w:sz w:val="24"/>
          <w:rtl/>
        </w:rPr>
        <w:t xml:space="preserve"> </w:t>
      </w:r>
      <w:r w:rsidRPr="00082C78">
        <w:rPr>
          <w:rFonts w:ascii="David" w:eastAsia="Calibri" w:hAnsi="David" w:hint="eastAsia"/>
          <w:sz w:val="24"/>
          <w:rtl/>
        </w:rPr>
        <w:t>ועל</w:t>
      </w:r>
      <w:r w:rsidRPr="00082C78">
        <w:rPr>
          <w:rFonts w:ascii="David" w:eastAsia="Calibri" w:hAnsi="David"/>
          <w:sz w:val="24"/>
          <w:rtl/>
        </w:rPr>
        <w:t xml:space="preserve"> </w:t>
      </w:r>
      <w:r w:rsidRPr="00082C78">
        <w:rPr>
          <w:rFonts w:ascii="David" w:eastAsia="Calibri" w:hAnsi="David" w:hint="eastAsia"/>
          <w:sz w:val="24"/>
          <w:rtl/>
        </w:rPr>
        <w:t>כן</w:t>
      </w:r>
      <w:r w:rsidRPr="00082C78">
        <w:rPr>
          <w:rFonts w:ascii="David" w:eastAsia="Calibri" w:hAnsi="David"/>
          <w:sz w:val="24"/>
          <w:rtl/>
        </w:rPr>
        <w:t xml:space="preserve"> </w:t>
      </w:r>
      <w:r w:rsidRPr="00082C78">
        <w:rPr>
          <w:rFonts w:ascii="David" w:eastAsia="Calibri" w:hAnsi="David" w:hint="eastAsia"/>
          <w:sz w:val="24"/>
          <w:rtl/>
        </w:rPr>
        <w:t>היה</w:t>
      </w:r>
      <w:r w:rsidRPr="00082C78">
        <w:rPr>
          <w:rFonts w:ascii="David" w:eastAsia="Calibri" w:hAnsi="David"/>
          <w:sz w:val="24"/>
          <w:rtl/>
        </w:rPr>
        <w:t xml:space="preserve"> </w:t>
      </w:r>
      <w:r w:rsidRPr="00082C78">
        <w:rPr>
          <w:rFonts w:ascii="David" w:eastAsia="Calibri" w:hAnsi="David" w:hint="eastAsia"/>
          <w:sz w:val="24"/>
          <w:rtl/>
        </w:rPr>
        <w:t>על</w:t>
      </w:r>
      <w:r w:rsidRPr="00082C78">
        <w:rPr>
          <w:rFonts w:ascii="David" w:eastAsia="Calibri" w:hAnsi="David"/>
          <w:sz w:val="24"/>
          <w:rtl/>
        </w:rPr>
        <w:t xml:space="preserve"> </w:t>
      </w:r>
      <w:r w:rsidRPr="00082C78">
        <w:rPr>
          <w:rFonts w:ascii="David" w:eastAsia="Calibri" w:hAnsi="David" w:hint="eastAsia"/>
          <w:sz w:val="24"/>
          <w:rtl/>
        </w:rPr>
        <w:t>הייעוץ</w:t>
      </w:r>
      <w:r w:rsidRPr="00082C78">
        <w:rPr>
          <w:rFonts w:ascii="David" w:eastAsia="Calibri" w:hAnsi="David"/>
          <w:sz w:val="24"/>
          <w:rtl/>
        </w:rPr>
        <w:t xml:space="preserve"> </w:t>
      </w:r>
      <w:r w:rsidRPr="00082C78">
        <w:rPr>
          <w:rFonts w:ascii="David" w:eastAsia="Calibri" w:hAnsi="David" w:hint="eastAsia"/>
          <w:sz w:val="24"/>
          <w:rtl/>
        </w:rPr>
        <w:t>המשפטי</w:t>
      </w:r>
      <w:r w:rsidRPr="00082C78">
        <w:rPr>
          <w:rFonts w:ascii="David" w:eastAsia="Calibri" w:hAnsi="David"/>
          <w:sz w:val="24"/>
          <w:rtl/>
        </w:rPr>
        <w:t xml:space="preserve"> </w:t>
      </w:r>
      <w:r w:rsidRPr="00082C78">
        <w:rPr>
          <w:rFonts w:ascii="David" w:eastAsia="Calibri" w:hAnsi="David" w:hint="eastAsia"/>
          <w:sz w:val="24"/>
          <w:rtl/>
        </w:rPr>
        <w:t>למשטרה</w:t>
      </w:r>
      <w:r w:rsidRPr="00082C78">
        <w:rPr>
          <w:rFonts w:ascii="David" w:eastAsia="Calibri" w:hAnsi="David"/>
          <w:sz w:val="24"/>
          <w:rtl/>
        </w:rPr>
        <w:t xml:space="preserve"> לפנות </w:t>
      </w:r>
      <w:r w:rsidRPr="00082C78">
        <w:rPr>
          <w:rFonts w:ascii="David" w:eastAsia="Calibri" w:hAnsi="David" w:hint="eastAsia"/>
          <w:sz w:val="24"/>
          <w:rtl/>
        </w:rPr>
        <w:t>בעניינם</w:t>
      </w:r>
      <w:r w:rsidRPr="00082C78">
        <w:rPr>
          <w:rFonts w:ascii="David" w:eastAsia="Calibri" w:hAnsi="David"/>
          <w:sz w:val="24"/>
          <w:rtl/>
        </w:rPr>
        <w:t xml:space="preserve"> </w:t>
      </w:r>
      <w:r w:rsidRPr="00082C78">
        <w:rPr>
          <w:rFonts w:ascii="David" w:eastAsia="Calibri" w:hAnsi="David" w:hint="eastAsia"/>
          <w:sz w:val="24"/>
          <w:rtl/>
        </w:rPr>
        <w:t>לבחינה</w:t>
      </w:r>
      <w:r w:rsidRPr="00082C78">
        <w:rPr>
          <w:rFonts w:ascii="David" w:eastAsia="Calibri" w:hAnsi="David"/>
          <w:sz w:val="24"/>
          <w:rtl/>
        </w:rPr>
        <w:t xml:space="preserve"> ולאישור </w:t>
      </w:r>
      <w:r w:rsidRPr="00082C78">
        <w:rPr>
          <w:rFonts w:ascii="David" w:eastAsia="Calibri" w:hAnsi="David" w:hint="cs"/>
          <w:sz w:val="24"/>
          <w:rtl/>
        </w:rPr>
        <w:t xml:space="preserve">של </w:t>
      </w:r>
      <w:r w:rsidRPr="00082C78">
        <w:rPr>
          <w:rFonts w:ascii="David" w:eastAsia="Calibri" w:hAnsi="David"/>
          <w:sz w:val="24"/>
          <w:rtl/>
        </w:rPr>
        <w:t xml:space="preserve">הייעוץ המשפטי </w:t>
      </w:r>
      <w:r w:rsidRPr="00082C78">
        <w:rPr>
          <w:rFonts w:ascii="David" w:eastAsia="Calibri" w:hAnsi="David" w:hint="eastAsia"/>
          <w:sz w:val="24"/>
          <w:rtl/>
        </w:rPr>
        <w:t>לממשלה</w:t>
      </w:r>
      <w:r w:rsidRPr="00082C78">
        <w:rPr>
          <w:rFonts w:ascii="David" w:eastAsia="Calibri" w:hAnsi="David" w:hint="cs"/>
          <w:sz w:val="24"/>
          <w:rtl/>
        </w:rPr>
        <w:t xml:space="preserve">, אך האישור המשפטי בעניינם ניתן על ידי הייעוץ המשפטי למשטרה בלבד: </w:t>
      </w:r>
    </w:p>
    <w:p w:rsidR="0010202A" w:rsidRPr="00082C78" w:rsidRDefault="0010202A" w:rsidP="00604C3D">
      <w:pPr>
        <w:spacing w:line="269" w:lineRule="auto"/>
        <w:ind w:left="-2"/>
        <w:rPr>
          <w:rFonts w:ascii="David" w:eastAsia="Calibri" w:hAnsi="David"/>
          <w:sz w:val="24"/>
          <w:rtl/>
        </w:rPr>
      </w:pPr>
    </w:p>
    <w:p w:rsidR="00082C78" w:rsidRPr="00082C78" w:rsidRDefault="00082C78" w:rsidP="008C598D">
      <w:pPr>
        <w:pStyle w:val="4"/>
        <w:numPr>
          <w:ilvl w:val="1"/>
          <w:numId w:val="61"/>
        </w:numPr>
        <w:spacing w:before="0" w:line="269" w:lineRule="auto"/>
        <w:ind w:left="339"/>
        <w:rPr>
          <w:rFonts w:eastAsia="Times New Roman"/>
        </w:rPr>
      </w:pPr>
      <w:bookmarkStart w:id="111" w:name="_Toc138576064"/>
      <w:bookmarkStart w:id="112" w:name="_Hlk147752755"/>
      <w:bookmarkStart w:id="113" w:name="_Toc211521908"/>
      <w:bookmarkStart w:id="114" w:name="_Toc219110299"/>
      <w:bookmarkStart w:id="115" w:name="_Toc219113740"/>
      <w:bookmarkStart w:id="116" w:name="_Toc219286515"/>
      <w:bookmarkStart w:id="117" w:name="_Hlk187582233"/>
      <w:r w:rsidRPr="00082C78">
        <w:rPr>
          <w:rFonts w:eastAsia="Times New Roman"/>
          <w:rtl/>
        </w:rPr>
        <w:t xml:space="preserve">אישור ההפעלה של </w:t>
      </w:r>
      <w:r w:rsidRPr="00082C78">
        <w:rPr>
          <w:rFonts w:eastAsia="Times New Roman" w:hint="cs"/>
          <w:rtl/>
        </w:rPr>
        <w:t>שני כלים</w:t>
      </w:r>
      <w:bookmarkEnd w:id="111"/>
      <w:r w:rsidR="00382AE8">
        <w:rPr>
          <w:rFonts w:eastAsia="Times New Roman"/>
          <w:rtl/>
        </w:rPr>
        <w:t xml:space="preserve"> </w:t>
      </w:r>
      <w:bookmarkEnd w:id="112"/>
      <w:r w:rsidRPr="00082C78">
        <w:rPr>
          <w:rFonts w:eastAsia="Times New Roman"/>
          <w:rtl/>
        </w:rPr>
        <w:t>והשימוש בה</w:t>
      </w:r>
      <w:r w:rsidRPr="00082C78">
        <w:rPr>
          <w:rFonts w:eastAsia="Times New Roman" w:hint="cs"/>
          <w:rtl/>
        </w:rPr>
        <w:t>ם</w:t>
      </w:r>
      <w:bookmarkEnd w:id="113"/>
      <w:bookmarkEnd w:id="114"/>
      <w:bookmarkEnd w:id="115"/>
      <w:bookmarkEnd w:id="116"/>
      <w:r w:rsidRPr="00082C78">
        <w:rPr>
          <w:rFonts w:eastAsia="Times New Roman" w:hint="cs"/>
          <w:rtl/>
        </w:rPr>
        <w:t xml:space="preserve"> </w:t>
      </w:r>
    </w:p>
    <w:p w:rsidR="00271D14" w:rsidRDefault="00271D14" w:rsidP="00604C3D">
      <w:pPr>
        <w:spacing w:line="269" w:lineRule="auto"/>
        <w:ind w:left="-2"/>
        <w:rPr>
          <w:rFonts w:ascii="David" w:eastAsia="Calibri" w:hAnsi="David"/>
          <w:sz w:val="24"/>
          <w:rtl/>
        </w:rPr>
      </w:pPr>
      <w:bookmarkStart w:id="118" w:name="_Hlk187582248"/>
      <w:bookmarkEnd w:id="117"/>
    </w:p>
    <w:p w:rsidR="00082C78" w:rsidRPr="00082C78" w:rsidRDefault="00576E5A" w:rsidP="003F66B6">
      <w:pPr>
        <w:spacing w:line="269" w:lineRule="auto"/>
        <w:ind w:left="360"/>
        <w:rPr>
          <w:rFonts w:ascii="David" w:eastAsia="Calibri" w:hAnsi="David"/>
          <w:sz w:val="24"/>
          <w:rtl/>
        </w:rPr>
      </w:pPr>
      <w:r>
        <w:rPr>
          <w:rFonts w:ascii="David" w:eastAsia="Calibri" w:hAnsi="David" w:hint="cs"/>
          <w:sz w:val="24"/>
          <w:rtl/>
        </w:rPr>
        <w:t xml:space="preserve">בשנת 2011 פיתחה המשטרה </w:t>
      </w:r>
      <w:r w:rsidR="00734A98" w:rsidRPr="00517296">
        <w:rPr>
          <w:rFonts w:ascii="David" w:eastAsia="Calibri" w:hAnsi="David" w:hint="cs"/>
          <w:sz w:val="24"/>
          <w:rtl/>
        </w:rPr>
        <w:t>כלי טכנולוגי מסוים</w:t>
      </w:r>
      <w:r w:rsidR="00A51B7A">
        <w:rPr>
          <w:rFonts w:ascii="David" w:eastAsia="Calibri" w:hAnsi="David" w:hint="cs"/>
          <w:sz w:val="24"/>
          <w:rtl/>
        </w:rPr>
        <w:t xml:space="preserve"> </w:t>
      </w:r>
      <w:r w:rsidR="0087365A">
        <w:rPr>
          <w:rFonts w:ascii="David" w:eastAsia="Calibri" w:hAnsi="David" w:hint="cs"/>
          <w:sz w:val="24"/>
          <w:rtl/>
        </w:rPr>
        <w:t>אשר</w:t>
      </w:r>
      <w:r w:rsidR="0087365A" w:rsidRPr="00082C78">
        <w:rPr>
          <w:rFonts w:ascii="David" w:eastAsia="Calibri" w:hAnsi="David" w:hint="cs"/>
          <w:sz w:val="24"/>
          <w:rtl/>
        </w:rPr>
        <w:t xml:space="preserve"> </w:t>
      </w:r>
      <w:r w:rsidR="00082C78" w:rsidRPr="00082C78">
        <w:rPr>
          <w:rFonts w:ascii="David" w:eastAsia="Calibri" w:hAnsi="David" w:hint="cs"/>
          <w:sz w:val="24"/>
          <w:rtl/>
        </w:rPr>
        <w:t xml:space="preserve">שימש </w:t>
      </w:r>
      <w:r w:rsidR="0087365A">
        <w:rPr>
          <w:rFonts w:ascii="David" w:eastAsia="Calibri" w:hAnsi="David" w:hint="cs"/>
          <w:sz w:val="24"/>
          <w:rtl/>
        </w:rPr>
        <w:t>אותה</w:t>
      </w:r>
      <w:r w:rsidR="00082C78" w:rsidRPr="00082C78">
        <w:rPr>
          <w:rFonts w:ascii="David" w:eastAsia="Calibri" w:hAnsi="David" w:hint="cs"/>
          <w:sz w:val="24"/>
          <w:rtl/>
        </w:rPr>
        <w:t xml:space="preserve"> במסגרת פעילותה המבצעית עד שנת 2021. מדובר</w:t>
      </w:r>
      <w:r w:rsidR="00082C78" w:rsidRPr="00082C78">
        <w:rPr>
          <w:rFonts w:ascii="David" w:eastAsia="Calibri" w:hAnsi="David"/>
          <w:sz w:val="24"/>
          <w:rtl/>
        </w:rPr>
        <w:t xml:space="preserve"> </w:t>
      </w:r>
      <w:r w:rsidR="00082C78" w:rsidRPr="00082C78">
        <w:rPr>
          <w:rFonts w:ascii="David" w:eastAsia="Calibri" w:hAnsi="David" w:hint="cs"/>
          <w:sz w:val="24"/>
          <w:rtl/>
        </w:rPr>
        <w:t>בכלי</w:t>
      </w:r>
      <w:r w:rsidR="00082C78" w:rsidRPr="00082C78">
        <w:rPr>
          <w:rFonts w:ascii="David" w:eastAsia="Calibri" w:hAnsi="David"/>
          <w:sz w:val="24"/>
          <w:rtl/>
        </w:rPr>
        <w:t xml:space="preserve"> להאזנ</w:t>
      </w:r>
      <w:r w:rsidR="00082C78" w:rsidRPr="00082C78">
        <w:rPr>
          <w:rFonts w:ascii="David" w:eastAsia="Calibri" w:hAnsi="David" w:hint="cs"/>
          <w:sz w:val="24"/>
          <w:rtl/>
        </w:rPr>
        <w:t>ת סתר</w:t>
      </w:r>
      <w:r w:rsidR="00082C78" w:rsidRPr="00082C78">
        <w:rPr>
          <w:rFonts w:ascii="David" w:eastAsia="Calibri" w:hAnsi="David"/>
          <w:sz w:val="24"/>
          <w:rtl/>
        </w:rPr>
        <w:t xml:space="preserve"> לתק</w:t>
      </w:r>
      <w:r w:rsidR="00082C78" w:rsidRPr="00082C78">
        <w:rPr>
          <w:rFonts w:ascii="David" w:eastAsia="Calibri" w:hAnsi="David" w:hint="cs"/>
          <w:sz w:val="24"/>
          <w:rtl/>
        </w:rPr>
        <w:t xml:space="preserve">שורת </w:t>
      </w:r>
      <w:r w:rsidR="00082C78" w:rsidRPr="00082C78">
        <w:rPr>
          <w:rFonts w:ascii="David" w:eastAsia="Calibri" w:hAnsi="David"/>
          <w:sz w:val="24"/>
          <w:rtl/>
        </w:rPr>
        <w:t xml:space="preserve">בין מחשבים </w:t>
      </w:r>
      <w:r w:rsidR="00082C78" w:rsidRPr="00BE6755">
        <w:rPr>
          <w:rFonts w:ascii="David" w:eastAsia="Calibri" w:hAnsi="David" w:hint="eastAsia"/>
          <w:sz w:val="24"/>
          <w:rtl/>
        </w:rPr>
        <w:t>באמצעות</w:t>
      </w:r>
      <w:r w:rsidR="00082C78" w:rsidRPr="00BE6755">
        <w:rPr>
          <w:rFonts w:ascii="David" w:eastAsia="Calibri" w:hAnsi="David"/>
          <w:sz w:val="24"/>
          <w:rtl/>
        </w:rPr>
        <w:t xml:space="preserve"> התקנה של קוד </w:t>
      </w:r>
      <w:r w:rsidR="00082C78" w:rsidRPr="003F66B6">
        <w:rPr>
          <w:rFonts w:ascii="David" w:eastAsia="Calibri" w:hAnsi="David" w:hint="eastAsia"/>
          <w:sz w:val="24"/>
          <w:rtl/>
        </w:rPr>
        <w:t>במחשב</w:t>
      </w:r>
      <w:r w:rsidR="00382AE8" w:rsidRPr="003F66B6">
        <w:rPr>
          <w:rFonts w:ascii="David" w:eastAsia="Calibri" w:hAnsi="David" w:hint="cs"/>
          <w:sz w:val="24"/>
          <w:rtl/>
        </w:rPr>
        <w:t xml:space="preserve"> </w:t>
      </w:r>
      <w:r w:rsidR="00082C78" w:rsidRPr="00082C78">
        <w:rPr>
          <w:rFonts w:ascii="David" w:eastAsia="Calibri" w:hAnsi="David" w:hint="cs"/>
          <w:sz w:val="24"/>
          <w:rtl/>
        </w:rPr>
        <w:t xml:space="preserve">שנועד לתת מענה להאזנה לתקשורת בין מחשבים, והיה לו פוטנציאל פגיעה בפרטיות ויכולת נוספת המעוררת מורכבות משפטית שאינה </w:t>
      </w:r>
      <w:r w:rsidR="00082C78" w:rsidRPr="00082C78">
        <w:rPr>
          <w:rFonts w:ascii="David" w:eastAsia="Calibri" w:hAnsi="David" w:hint="eastAsia"/>
          <w:sz w:val="24"/>
          <w:rtl/>
        </w:rPr>
        <w:t>בסמכות</w:t>
      </w:r>
      <w:r w:rsidR="00082C78" w:rsidRPr="00082C78">
        <w:rPr>
          <w:rFonts w:ascii="David" w:eastAsia="Calibri" w:hAnsi="David"/>
          <w:sz w:val="24"/>
          <w:rtl/>
        </w:rPr>
        <w:t xml:space="preserve"> </w:t>
      </w:r>
      <w:r w:rsidR="00082C78" w:rsidRPr="00082C78">
        <w:rPr>
          <w:rFonts w:ascii="David" w:eastAsia="Calibri" w:hAnsi="David" w:hint="eastAsia"/>
          <w:sz w:val="24"/>
          <w:rtl/>
        </w:rPr>
        <w:t>המשטרה</w:t>
      </w:r>
      <w:r w:rsidR="00082C78" w:rsidRPr="00082C78">
        <w:rPr>
          <w:rFonts w:ascii="David" w:eastAsia="Calibri" w:hAnsi="David"/>
          <w:sz w:val="24"/>
          <w:rtl/>
        </w:rPr>
        <w:t xml:space="preserve"> </w:t>
      </w:r>
      <w:r w:rsidR="00082C78" w:rsidRPr="00082C78">
        <w:rPr>
          <w:rFonts w:ascii="David" w:eastAsia="Calibri" w:hAnsi="David" w:hint="cs"/>
          <w:sz w:val="24"/>
          <w:rtl/>
        </w:rPr>
        <w:t xml:space="preserve">להשתמש בה </w:t>
      </w:r>
      <w:r w:rsidR="00082C78" w:rsidRPr="00082C78">
        <w:rPr>
          <w:rFonts w:ascii="David" w:eastAsia="Calibri" w:hAnsi="David" w:hint="eastAsia"/>
          <w:sz w:val="24"/>
          <w:rtl/>
        </w:rPr>
        <w:t>לפי</w:t>
      </w:r>
      <w:r w:rsidR="00082C78" w:rsidRPr="00082C78">
        <w:rPr>
          <w:rFonts w:ascii="David" w:eastAsia="Calibri" w:hAnsi="David"/>
          <w:sz w:val="24"/>
          <w:rtl/>
        </w:rPr>
        <w:t xml:space="preserve"> </w:t>
      </w:r>
      <w:r w:rsidR="00082C78" w:rsidRPr="00082C78">
        <w:rPr>
          <w:rFonts w:ascii="David" w:eastAsia="Calibri" w:hAnsi="David" w:hint="eastAsia"/>
          <w:sz w:val="24"/>
          <w:rtl/>
        </w:rPr>
        <w:t>חוק</w:t>
      </w:r>
      <w:r w:rsidR="00082C78" w:rsidRPr="00082C78">
        <w:rPr>
          <w:rFonts w:ascii="David" w:eastAsia="Calibri" w:hAnsi="David"/>
          <w:sz w:val="24"/>
          <w:rtl/>
        </w:rPr>
        <w:t xml:space="preserve"> </w:t>
      </w:r>
      <w:r w:rsidR="00082C78" w:rsidRPr="00082C78">
        <w:rPr>
          <w:rFonts w:ascii="David" w:eastAsia="Calibri" w:hAnsi="David" w:hint="eastAsia"/>
          <w:sz w:val="24"/>
          <w:rtl/>
        </w:rPr>
        <w:t>האזנת</w:t>
      </w:r>
      <w:r w:rsidR="00082C78" w:rsidRPr="00082C78">
        <w:rPr>
          <w:rFonts w:ascii="David" w:eastAsia="Calibri" w:hAnsi="David"/>
          <w:sz w:val="24"/>
          <w:rtl/>
        </w:rPr>
        <w:t xml:space="preserve"> </w:t>
      </w:r>
      <w:r w:rsidR="00082C78" w:rsidRPr="00082C78">
        <w:rPr>
          <w:rFonts w:ascii="David" w:eastAsia="Calibri" w:hAnsi="David" w:hint="eastAsia"/>
          <w:sz w:val="24"/>
          <w:rtl/>
        </w:rPr>
        <w:t>סתר</w:t>
      </w:r>
      <w:r w:rsidR="00082C78" w:rsidRPr="00082C78">
        <w:rPr>
          <w:rFonts w:ascii="David" w:eastAsia="Calibri" w:hAnsi="David" w:hint="cs"/>
          <w:sz w:val="24"/>
          <w:rtl/>
        </w:rPr>
        <w:t>.</w:t>
      </w:r>
      <w:r w:rsidR="00082C78" w:rsidRPr="00082C78">
        <w:rPr>
          <w:rFonts w:ascii="David" w:eastAsia="Calibri" w:hAnsi="David"/>
          <w:sz w:val="24"/>
          <w:rtl/>
        </w:rPr>
        <w:t xml:space="preserve"> </w:t>
      </w:r>
      <w:r w:rsidR="00517296">
        <w:rPr>
          <w:rFonts w:eastAsia="Calibri" w:hint="cs"/>
          <w:rtl/>
        </w:rPr>
        <w:t>כלי טכנולוגי נוסף</w:t>
      </w:r>
      <w:r w:rsidR="00082C78" w:rsidRPr="00082C78">
        <w:rPr>
          <w:rFonts w:eastAsia="Calibri" w:hint="cs"/>
          <w:rtl/>
        </w:rPr>
        <w:t xml:space="preserve"> הוא כלי להאזנת סתר לתקשורת בין מחשבים באמצעות </w:t>
      </w:r>
      <w:r w:rsidR="00082C78" w:rsidRPr="00534BC8">
        <w:rPr>
          <w:rFonts w:eastAsia="Calibri" w:hint="cs"/>
          <w:rtl/>
        </w:rPr>
        <w:t>התקנה של קוד</w:t>
      </w:r>
      <w:r w:rsidR="001D0551" w:rsidRPr="00534BC8">
        <w:rPr>
          <w:rFonts w:eastAsia="Calibri" w:hint="cs"/>
          <w:rtl/>
        </w:rPr>
        <w:t xml:space="preserve"> מחשב</w:t>
      </w:r>
      <w:r w:rsidR="00082C78" w:rsidRPr="00534BC8">
        <w:rPr>
          <w:rFonts w:eastAsia="Calibri" w:hint="cs"/>
          <w:rtl/>
        </w:rPr>
        <w:t xml:space="preserve"> בטלפון סלולרי</w:t>
      </w:r>
      <w:r w:rsidR="00082C78" w:rsidRPr="00082C78">
        <w:rPr>
          <w:rFonts w:eastAsia="Calibri" w:hint="cs"/>
          <w:rtl/>
        </w:rPr>
        <w:t xml:space="preserve">. הוא פותח במשטרה בשנת 2014, ושימש אותה במסגרת פעילותה המבצעית בשנים 2014 </w:t>
      </w:r>
      <w:r w:rsidR="00451065">
        <w:rPr>
          <w:rFonts w:eastAsia="Calibri" w:hint="cs"/>
          <w:rtl/>
        </w:rPr>
        <w:t>-</w:t>
      </w:r>
      <w:r w:rsidR="00082C78" w:rsidRPr="00082C78">
        <w:rPr>
          <w:rFonts w:eastAsia="Calibri" w:hint="cs"/>
          <w:rtl/>
        </w:rPr>
        <w:t xml:space="preserve"> 2017</w:t>
      </w:r>
      <w:r w:rsidR="00082C78" w:rsidRPr="00082C78">
        <w:rPr>
          <w:rFonts w:ascii="David" w:eastAsia="Calibri" w:hAnsi="David" w:hint="cs"/>
          <w:bCs/>
          <w:spacing w:val="40"/>
          <w:sz w:val="24"/>
          <w:rtl/>
        </w:rPr>
        <w:t xml:space="preserve"> </w:t>
      </w:r>
      <w:r w:rsidR="00082C78" w:rsidRPr="00082C78">
        <w:rPr>
          <w:rFonts w:ascii="David" w:eastAsia="Calibri" w:hAnsi="David" w:hint="cs"/>
          <w:sz w:val="24"/>
          <w:rtl/>
        </w:rPr>
        <w:t xml:space="preserve">לביצוע </w:t>
      </w:r>
      <w:r w:rsidR="00082C78" w:rsidRPr="00082C78">
        <w:rPr>
          <w:rFonts w:ascii="David" w:eastAsia="Calibri" w:hAnsi="David"/>
          <w:sz w:val="24"/>
          <w:rtl/>
        </w:rPr>
        <w:t>האזנות</w:t>
      </w:r>
      <w:r w:rsidR="00082C78" w:rsidRPr="00082C78">
        <w:rPr>
          <w:rFonts w:ascii="David" w:eastAsia="Calibri" w:hAnsi="David" w:hint="cs"/>
          <w:sz w:val="24"/>
          <w:rtl/>
        </w:rPr>
        <w:t xml:space="preserve"> לתקשורת בין מחשבים</w:t>
      </w:r>
      <w:r w:rsidR="00734A98">
        <w:rPr>
          <w:rFonts w:ascii="David" w:eastAsia="Calibri" w:hAnsi="David" w:hint="cs"/>
          <w:sz w:val="24"/>
          <w:rtl/>
        </w:rPr>
        <w:t>.</w:t>
      </w:r>
      <w:r w:rsidR="00382AE8">
        <w:rPr>
          <w:rFonts w:ascii="David" w:eastAsia="Calibri" w:hAnsi="David" w:hint="cs"/>
          <w:sz w:val="24"/>
          <w:rtl/>
        </w:rPr>
        <w:t xml:space="preserve"> </w:t>
      </w:r>
    </w:p>
    <w:p w:rsidR="00082C78" w:rsidRPr="00082C78" w:rsidRDefault="00082C78" w:rsidP="003F66B6">
      <w:pPr>
        <w:spacing w:line="269" w:lineRule="auto"/>
        <w:ind w:left="360"/>
        <w:rPr>
          <w:rFonts w:ascii="David" w:eastAsia="Calibri" w:hAnsi="David"/>
          <w:sz w:val="24"/>
          <w:rtl/>
        </w:rPr>
      </w:pPr>
    </w:p>
    <w:p w:rsidR="00AC2F7C" w:rsidRPr="00082C78" w:rsidRDefault="00AC2F7C" w:rsidP="003F66B6">
      <w:pPr>
        <w:spacing w:line="269" w:lineRule="auto"/>
        <w:ind w:left="360"/>
        <w:rPr>
          <w:rFonts w:ascii="David" w:eastAsia="Calibri" w:hAnsi="David"/>
          <w:sz w:val="24"/>
          <w:rtl/>
        </w:rPr>
      </w:pPr>
      <w:r w:rsidRPr="00082C78">
        <w:rPr>
          <w:rFonts w:ascii="David" w:eastAsia="Calibri" w:hAnsi="David" w:hint="cs"/>
          <w:sz w:val="24"/>
          <w:rtl/>
        </w:rPr>
        <w:t xml:space="preserve">המשטרה כתבה בתשובתה כי שני הכלים הופעלו במסגרת חוק האזנת סתר ולכן לא נדרש אישור של גורמי הייעוץ המשפטי לממשלה לשימוש בהם. עוד כתבה המשטרה כי השימוש בכלים נעשה בכפוף לצו שיפוטי, בידיעת הפרקליטות ומשרד המשפטים קיבל על כך דיווח במסגרת דיווחי האזנות סתר. </w:t>
      </w:r>
    </w:p>
    <w:p w:rsidR="00271D14" w:rsidRDefault="00271D14" w:rsidP="003F66B6">
      <w:pPr>
        <w:spacing w:line="269" w:lineRule="auto"/>
        <w:ind w:left="360"/>
        <w:contextualSpacing/>
        <w:rPr>
          <w:rFonts w:ascii="David" w:eastAsia="Calibri" w:hAnsi="David"/>
          <w:b/>
          <w:bCs/>
          <w:sz w:val="24"/>
          <w:rtl/>
        </w:rPr>
      </w:pPr>
    </w:p>
    <w:p w:rsidR="00082C78" w:rsidRDefault="00082C78" w:rsidP="003F66B6">
      <w:pPr>
        <w:spacing w:line="269" w:lineRule="auto"/>
        <w:ind w:left="360"/>
        <w:contextualSpacing/>
        <w:rPr>
          <w:rFonts w:ascii="David" w:eastAsia="Calibri" w:hAnsi="David"/>
          <w:b/>
          <w:bCs/>
          <w:sz w:val="24"/>
          <w:rtl/>
        </w:rPr>
      </w:pPr>
      <w:r w:rsidRPr="00082C78">
        <w:rPr>
          <w:rFonts w:ascii="David" w:eastAsia="Calibri" w:hAnsi="David"/>
          <w:b/>
          <w:bCs/>
          <w:sz w:val="24"/>
          <w:rtl/>
        </w:rPr>
        <w:t>האישור</w:t>
      </w:r>
      <w:r w:rsidRPr="00082C78">
        <w:rPr>
          <w:rFonts w:ascii="David" w:eastAsia="Calibri" w:hAnsi="David" w:hint="cs"/>
          <w:b/>
          <w:bCs/>
          <w:sz w:val="24"/>
          <w:rtl/>
        </w:rPr>
        <w:t xml:space="preserve"> </w:t>
      </w:r>
      <w:r w:rsidRPr="00082C78">
        <w:rPr>
          <w:rFonts w:ascii="David" w:eastAsia="Calibri" w:hAnsi="David"/>
          <w:b/>
          <w:bCs/>
          <w:sz w:val="24"/>
          <w:rtl/>
        </w:rPr>
        <w:t>המשפטי להפעלת</w:t>
      </w:r>
      <w:r w:rsidRPr="00082C78">
        <w:rPr>
          <w:rFonts w:ascii="David" w:eastAsia="Calibri" w:hAnsi="David" w:hint="cs"/>
          <w:b/>
          <w:bCs/>
          <w:sz w:val="24"/>
          <w:rtl/>
        </w:rPr>
        <w:t xml:space="preserve"> מערכות </w:t>
      </w:r>
      <w:r w:rsidRPr="00082C78">
        <w:rPr>
          <w:rFonts w:ascii="David" w:eastAsia="Calibri" w:hAnsi="David"/>
          <w:b/>
          <w:bCs/>
          <w:sz w:val="24"/>
          <w:rtl/>
        </w:rPr>
        <w:t>להאזנ</w:t>
      </w:r>
      <w:r w:rsidRPr="00082C78">
        <w:rPr>
          <w:rFonts w:ascii="David" w:eastAsia="Calibri" w:hAnsi="David" w:hint="cs"/>
          <w:b/>
          <w:bCs/>
          <w:sz w:val="24"/>
          <w:rtl/>
        </w:rPr>
        <w:t>ו</w:t>
      </w:r>
      <w:r w:rsidRPr="00082C78">
        <w:rPr>
          <w:rFonts w:ascii="David" w:eastAsia="Calibri" w:hAnsi="David"/>
          <w:b/>
          <w:bCs/>
          <w:sz w:val="24"/>
          <w:rtl/>
        </w:rPr>
        <w:t>ת סתר</w:t>
      </w:r>
      <w:r w:rsidRPr="00082C78">
        <w:rPr>
          <w:rFonts w:ascii="David" w:eastAsia="Calibri" w:hAnsi="David" w:hint="cs"/>
          <w:b/>
          <w:bCs/>
          <w:sz w:val="24"/>
          <w:rtl/>
        </w:rPr>
        <w:t>,</w:t>
      </w:r>
      <w:r w:rsidRPr="00082C78">
        <w:rPr>
          <w:rFonts w:ascii="David" w:eastAsia="Calibri" w:hAnsi="David"/>
          <w:b/>
          <w:bCs/>
          <w:sz w:val="24"/>
          <w:rtl/>
        </w:rPr>
        <w:t xml:space="preserve"> על יכולותיה</w:t>
      </w:r>
      <w:r w:rsidRPr="00082C78">
        <w:rPr>
          <w:rFonts w:ascii="David" w:eastAsia="Calibri" w:hAnsi="David" w:hint="cs"/>
          <w:b/>
          <w:bCs/>
          <w:sz w:val="24"/>
          <w:rtl/>
        </w:rPr>
        <w:t>ן</w:t>
      </w:r>
      <w:r w:rsidRPr="00082C78">
        <w:rPr>
          <w:rFonts w:ascii="David" w:eastAsia="Calibri" w:hAnsi="David"/>
          <w:b/>
          <w:bCs/>
          <w:sz w:val="24"/>
          <w:rtl/>
        </w:rPr>
        <w:t xml:space="preserve"> החדשניות לזמנ</w:t>
      </w:r>
      <w:r w:rsidRPr="00082C78">
        <w:rPr>
          <w:rFonts w:ascii="David" w:eastAsia="Calibri" w:hAnsi="David" w:hint="cs"/>
          <w:b/>
          <w:bCs/>
          <w:sz w:val="24"/>
          <w:rtl/>
        </w:rPr>
        <w:t>ן, אשר עוררו בזמנו מורכבות משפטית בקשר לסמכות המשטרה לעשות בהן שימוש לפי חוק האזנת סתר</w:t>
      </w:r>
      <w:r w:rsidRPr="00082C78">
        <w:rPr>
          <w:rFonts w:ascii="David" w:eastAsia="Calibri" w:hAnsi="David"/>
          <w:b/>
          <w:bCs/>
          <w:sz w:val="24"/>
          <w:rtl/>
        </w:rPr>
        <w:t>, נית</w:t>
      </w:r>
      <w:r w:rsidRPr="00082C78">
        <w:rPr>
          <w:rFonts w:ascii="David" w:eastAsia="Calibri" w:hAnsi="David" w:hint="cs"/>
          <w:b/>
          <w:bCs/>
          <w:sz w:val="24"/>
          <w:rtl/>
        </w:rPr>
        <w:t>ן</w:t>
      </w:r>
      <w:r w:rsidRPr="00082C78">
        <w:rPr>
          <w:rFonts w:ascii="David" w:eastAsia="Calibri" w:hAnsi="David"/>
          <w:b/>
          <w:bCs/>
          <w:sz w:val="24"/>
          <w:rtl/>
        </w:rPr>
        <w:t xml:space="preserve"> על ידי </w:t>
      </w:r>
      <w:r w:rsidRPr="00082C78">
        <w:rPr>
          <w:rFonts w:ascii="David" w:eastAsia="Calibri" w:hAnsi="David" w:hint="cs"/>
          <w:b/>
          <w:bCs/>
          <w:sz w:val="24"/>
          <w:rtl/>
        </w:rPr>
        <w:t xml:space="preserve">הייעוץ המשפטי של המשטרה, ללא עירוב של הייעוץ המשפטי לממשלה בהליך הבחינה והאישור שלהן. </w:t>
      </w:r>
      <w:r w:rsidR="006318B1" w:rsidRPr="006318B1">
        <w:rPr>
          <w:rFonts w:ascii="David" w:eastAsia="Calibri" w:hAnsi="David" w:hint="cs"/>
          <w:b/>
          <w:bCs/>
          <w:sz w:val="24"/>
          <w:rtl/>
        </w:rPr>
        <w:t xml:space="preserve">יצוין כי במסגרת דיווחי האזנות סתר שהעבירה המשטרה </w:t>
      </w:r>
      <w:r w:rsidR="00844501">
        <w:rPr>
          <w:rFonts w:ascii="David" w:eastAsia="Calibri" w:hAnsi="David" w:hint="cs"/>
          <w:b/>
          <w:bCs/>
          <w:sz w:val="24"/>
          <w:rtl/>
        </w:rPr>
        <w:t>לייעוץ המשפטי לממשלה</w:t>
      </w:r>
      <w:r w:rsidR="007B3608">
        <w:rPr>
          <w:rFonts w:ascii="David" w:eastAsia="Calibri" w:hAnsi="David" w:hint="cs"/>
          <w:b/>
          <w:bCs/>
          <w:sz w:val="24"/>
          <w:rtl/>
        </w:rPr>
        <w:t xml:space="preserve"> באותה העת</w:t>
      </w:r>
      <w:r w:rsidR="006318B1" w:rsidRPr="006318B1">
        <w:rPr>
          <w:rFonts w:ascii="David" w:eastAsia="Calibri" w:hAnsi="David" w:hint="cs"/>
          <w:b/>
          <w:bCs/>
          <w:sz w:val="24"/>
          <w:rtl/>
        </w:rPr>
        <w:t xml:space="preserve"> לא נרשמו הכלים בהם השתמשה המשטרה.</w:t>
      </w:r>
    </w:p>
    <w:p w:rsidR="00C86567" w:rsidRPr="00082C78" w:rsidRDefault="00C86567" w:rsidP="00604C3D">
      <w:pPr>
        <w:spacing w:line="269" w:lineRule="auto"/>
        <w:ind w:left="-2"/>
        <w:contextualSpacing/>
        <w:rPr>
          <w:rFonts w:ascii="David" w:eastAsia="Calibri" w:hAnsi="David"/>
          <w:b/>
          <w:bCs/>
          <w:sz w:val="24"/>
          <w:rtl/>
        </w:rPr>
      </w:pPr>
    </w:p>
    <w:p w:rsidR="00082C78" w:rsidRPr="00082C78" w:rsidRDefault="00082C78" w:rsidP="008C598D">
      <w:pPr>
        <w:pStyle w:val="4"/>
        <w:numPr>
          <w:ilvl w:val="1"/>
          <w:numId w:val="61"/>
        </w:numPr>
        <w:spacing w:before="0" w:line="269" w:lineRule="auto"/>
        <w:ind w:left="339"/>
        <w:rPr>
          <w:rFonts w:eastAsia="Times New Roman"/>
          <w:rtl/>
        </w:rPr>
      </w:pPr>
      <w:bookmarkStart w:id="119" w:name="_Toc211521909"/>
      <w:bookmarkStart w:id="120" w:name="_Toc219110300"/>
      <w:bookmarkStart w:id="121" w:name="_Toc219113741"/>
      <w:bookmarkStart w:id="122" w:name="_Toc219286516"/>
      <w:bookmarkEnd w:id="118"/>
      <w:r w:rsidRPr="00082C78">
        <w:rPr>
          <w:rFonts w:eastAsia="Times New Roman"/>
          <w:rtl/>
        </w:rPr>
        <w:t>מערכת להצלבת נתונים</w:t>
      </w:r>
      <w:bookmarkEnd w:id="119"/>
      <w:bookmarkEnd w:id="120"/>
      <w:bookmarkEnd w:id="121"/>
      <w:bookmarkEnd w:id="122"/>
      <w:r w:rsidRPr="00082C78">
        <w:rPr>
          <w:rFonts w:eastAsia="Times New Roman"/>
          <w:rtl/>
        </w:rPr>
        <w:t xml:space="preserve"> </w:t>
      </w:r>
    </w:p>
    <w:bookmarkEnd w:id="110"/>
    <w:p w:rsidR="00271D14" w:rsidRDefault="00271D14" w:rsidP="00604C3D">
      <w:pPr>
        <w:spacing w:line="269" w:lineRule="auto"/>
        <w:rPr>
          <w:rFonts w:eastAsia="Calibri"/>
          <w:rtl/>
        </w:rPr>
      </w:pPr>
    </w:p>
    <w:p w:rsidR="00082C78" w:rsidRPr="00082C78" w:rsidRDefault="00082C78" w:rsidP="003F66B6">
      <w:pPr>
        <w:spacing w:line="269" w:lineRule="auto"/>
        <w:ind w:left="340"/>
        <w:rPr>
          <w:rFonts w:eastAsia="Calibri"/>
          <w:rtl/>
        </w:rPr>
      </w:pPr>
      <w:r w:rsidRPr="00082C78">
        <w:rPr>
          <w:rFonts w:eastAsia="Calibri" w:hint="cs"/>
          <w:rtl/>
        </w:rPr>
        <w:t>ב</w:t>
      </w:r>
      <w:r w:rsidR="00622344">
        <w:rPr>
          <w:rFonts w:eastAsia="Calibri" w:hint="cs"/>
          <w:rtl/>
        </w:rPr>
        <w:t xml:space="preserve">מהלך </w:t>
      </w:r>
      <w:r w:rsidRPr="00082C78">
        <w:rPr>
          <w:rFonts w:eastAsia="Calibri" w:hint="cs"/>
          <w:rtl/>
        </w:rPr>
        <w:t>שנת 2018 החלה המשטרה לפתח מערכת ממוחשבת להצלבת נתוני תקשורת עם נתונים נוספים.</w:t>
      </w:r>
      <w:r w:rsidR="00382AE8">
        <w:rPr>
          <w:rFonts w:ascii="David" w:eastAsia="Times New Roman" w:hAnsi="David" w:hint="cs"/>
          <w:b/>
          <w:sz w:val="24"/>
          <w:rtl/>
        </w:rPr>
        <w:t xml:space="preserve"> </w:t>
      </w:r>
      <w:r w:rsidRPr="00082C78">
        <w:rPr>
          <w:rFonts w:ascii="David" w:eastAsia="Times New Roman" w:hAnsi="David" w:hint="cs"/>
          <w:b/>
          <w:sz w:val="24"/>
          <w:rtl/>
        </w:rPr>
        <w:t xml:space="preserve">בשנת 2019 החלה </w:t>
      </w:r>
      <w:r w:rsidR="007B223A">
        <w:rPr>
          <w:rFonts w:ascii="David" w:eastAsia="Times New Roman" w:hAnsi="David" w:hint="cs"/>
          <w:b/>
          <w:sz w:val="24"/>
          <w:rtl/>
        </w:rPr>
        <w:t xml:space="preserve">המשטרה </w:t>
      </w:r>
      <w:r w:rsidRPr="00082C78">
        <w:rPr>
          <w:rFonts w:ascii="David" w:eastAsia="Times New Roman" w:hAnsi="David" w:hint="cs"/>
          <w:b/>
          <w:sz w:val="24"/>
          <w:rtl/>
        </w:rPr>
        <w:t xml:space="preserve">להפעיל את </w:t>
      </w:r>
      <w:r w:rsidRPr="00082C78">
        <w:rPr>
          <w:rFonts w:eastAsia="Calibri" w:hint="eastAsia"/>
          <w:rtl/>
        </w:rPr>
        <w:t>המערכת</w:t>
      </w:r>
      <w:r w:rsidRPr="00082C78">
        <w:rPr>
          <w:rFonts w:eastAsia="Calibri" w:hint="cs"/>
          <w:rtl/>
        </w:rPr>
        <w:t>.</w:t>
      </w:r>
      <w:r w:rsidR="00382AE8">
        <w:rPr>
          <w:rFonts w:eastAsia="Calibri" w:hint="cs"/>
          <w:rtl/>
        </w:rPr>
        <w:t xml:space="preserve"> </w:t>
      </w:r>
    </w:p>
    <w:p w:rsidR="00271D14" w:rsidRDefault="00271D14" w:rsidP="003F66B6">
      <w:pPr>
        <w:spacing w:line="269" w:lineRule="auto"/>
        <w:ind w:left="340"/>
        <w:rPr>
          <w:rFonts w:eastAsia="Calibri"/>
          <w:rtl/>
        </w:rPr>
      </w:pPr>
    </w:p>
    <w:p w:rsidR="00AC2F7C" w:rsidRPr="00082C78" w:rsidRDefault="00AC2F7C" w:rsidP="003F66B6">
      <w:pPr>
        <w:spacing w:line="269" w:lineRule="auto"/>
        <w:ind w:left="340"/>
        <w:rPr>
          <w:rFonts w:eastAsia="Calibri"/>
          <w:rtl/>
        </w:rPr>
      </w:pPr>
      <w:r w:rsidRPr="00082C78">
        <w:rPr>
          <w:rFonts w:eastAsia="Calibri" w:hint="cs"/>
          <w:rtl/>
        </w:rPr>
        <w:t>בנובמבר 2018 הכינה חטיבת הסייבר טיוטת הנחיה בנושא שימוש במערכת</w:t>
      </w:r>
      <w:r w:rsidR="00913E09">
        <w:rPr>
          <w:rFonts w:eastAsia="Calibri" w:hint="cs"/>
          <w:rtl/>
        </w:rPr>
        <w:t xml:space="preserve"> המפרטת את יכולותיה</w:t>
      </w:r>
      <w:r w:rsidRPr="00082C78">
        <w:rPr>
          <w:rFonts w:eastAsia="Calibri" w:hint="cs"/>
          <w:rtl/>
        </w:rPr>
        <w:t xml:space="preserve">. </w:t>
      </w:r>
      <w:r w:rsidRPr="00082C78">
        <w:rPr>
          <w:rFonts w:eastAsia="Calibri" w:hint="eastAsia"/>
          <w:rtl/>
        </w:rPr>
        <w:t>בנובמבר</w:t>
      </w:r>
      <w:r w:rsidRPr="00082C78">
        <w:rPr>
          <w:rFonts w:eastAsia="Calibri"/>
          <w:rtl/>
        </w:rPr>
        <w:t xml:space="preserve"> 2019 </w:t>
      </w:r>
      <w:r w:rsidRPr="00082C78">
        <w:rPr>
          <w:rFonts w:eastAsia="Calibri" w:hint="cs"/>
          <w:rtl/>
        </w:rPr>
        <w:t xml:space="preserve">אישרה לשכת היועמ"ש למשטרה </w:t>
      </w:r>
      <w:r w:rsidR="00913E09">
        <w:rPr>
          <w:rFonts w:eastAsia="Calibri" w:hint="cs"/>
          <w:rtl/>
        </w:rPr>
        <w:t>את הטיוטה</w:t>
      </w:r>
      <w:r w:rsidRPr="00082C78">
        <w:rPr>
          <w:rFonts w:eastAsia="Calibri" w:hint="cs"/>
          <w:rtl/>
        </w:rPr>
        <w:t xml:space="preserve">. </w:t>
      </w:r>
    </w:p>
    <w:p w:rsidR="00082C78" w:rsidRPr="00082C78" w:rsidRDefault="00082C78" w:rsidP="003F66B6">
      <w:pPr>
        <w:spacing w:line="269" w:lineRule="auto"/>
        <w:contextualSpacing/>
        <w:rPr>
          <w:rFonts w:eastAsia="Calibri"/>
          <w:sz w:val="16"/>
          <w:szCs w:val="16"/>
          <w:rtl/>
        </w:rPr>
      </w:pPr>
    </w:p>
    <w:p w:rsidR="00082C78" w:rsidRPr="00082C78" w:rsidRDefault="00082C78" w:rsidP="003F66B6">
      <w:pPr>
        <w:spacing w:line="269" w:lineRule="auto"/>
        <w:ind w:left="340"/>
        <w:rPr>
          <w:rFonts w:ascii="David" w:eastAsia="Times New Roman" w:hAnsi="David"/>
          <w:b/>
          <w:sz w:val="24"/>
          <w:rtl/>
        </w:rPr>
      </w:pPr>
      <w:r w:rsidRPr="00082C78">
        <w:rPr>
          <w:rFonts w:ascii="David" w:eastAsia="Times New Roman" w:hAnsi="David" w:hint="cs"/>
          <w:b/>
          <w:sz w:val="24"/>
          <w:rtl/>
        </w:rPr>
        <w:t xml:space="preserve">בתשובתה כתבה המשטרה כי הפגיעה בפרטיות בשימוש במערכת, היא מצומצמת, והמידע שנשמר </w:t>
      </w:r>
      <w:r w:rsidR="009E1EFC">
        <w:rPr>
          <w:rFonts w:ascii="David" w:eastAsia="Times New Roman" w:hAnsi="David" w:hint="cs"/>
          <w:b/>
          <w:sz w:val="24"/>
          <w:rtl/>
        </w:rPr>
        <w:t>הינו לפרק זמן מוגבל</w:t>
      </w:r>
      <w:r w:rsidRPr="00082C78">
        <w:rPr>
          <w:rFonts w:ascii="David" w:eastAsia="Times New Roman" w:hAnsi="David" w:hint="cs"/>
          <w:b/>
          <w:sz w:val="24"/>
          <w:rtl/>
        </w:rPr>
        <w:t>. עוד כתבה המשטרה כי השימוש במערכת אינו מעורר קושי משפטי ולכן לא היה צורך להעביר מערכת זו לבחינה ולאישור של הייעוץ המשפטי לממשלה.</w:t>
      </w:r>
    </w:p>
    <w:p w:rsidR="00271D14" w:rsidRDefault="00271D14" w:rsidP="003F66B6">
      <w:pPr>
        <w:spacing w:line="269" w:lineRule="auto"/>
        <w:ind w:left="340"/>
        <w:rPr>
          <w:rFonts w:eastAsia="Calibri"/>
          <w:b/>
          <w:bCs/>
          <w:rtl/>
        </w:rPr>
      </w:pPr>
    </w:p>
    <w:p w:rsidR="00082C78" w:rsidRDefault="00082C78" w:rsidP="003F66B6">
      <w:pPr>
        <w:spacing w:line="269" w:lineRule="auto"/>
        <w:ind w:left="340"/>
        <w:rPr>
          <w:rFonts w:ascii="David" w:eastAsia="Times New Roman" w:hAnsi="David"/>
          <w:bCs/>
          <w:sz w:val="24"/>
          <w:rtl/>
        </w:rPr>
      </w:pPr>
      <w:r w:rsidRPr="00082C78">
        <w:rPr>
          <w:rFonts w:eastAsia="Calibri" w:hint="cs"/>
          <w:b/>
          <w:bCs/>
          <w:rtl/>
        </w:rPr>
        <w:t xml:space="preserve">חרף </w:t>
      </w:r>
      <w:r w:rsidR="00913E09">
        <w:rPr>
          <w:rFonts w:eastAsia="Calibri" w:hint="cs"/>
          <w:b/>
          <w:bCs/>
          <w:rtl/>
        </w:rPr>
        <w:t>תשובת</w:t>
      </w:r>
      <w:r w:rsidR="00913E09" w:rsidRPr="00082C78">
        <w:rPr>
          <w:rFonts w:eastAsia="Calibri" w:hint="cs"/>
          <w:b/>
          <w:bCs/>
          <w:rtl/>
        </w:rPr>
        <w:t xml:space="preserve"> </w:t>
      </w:r>
      <w:r w:rsidRPr="00082C78">
        <w:rPr>
          <w:rFonts w:eastAsia="Calibri" w:hint="cs"/>
          <w:b/>
          <w:bCs/>
          <w:rtl/>
        </w:rPr>
        <w:t>המשטרה שעל פיה השימוש בכלי אינו מעורר קושי משפטי, משרד מבקר המדינה מדגיש כי הפגיעה בזכות לפרטיות המגולמת בשימוש במערכת להצלבת נתונים מצריכה חוות דעת משפטית בנושא. אולם</w:t>
      </w:r>
      <w:r w:rsidRPr="00082C78">
        <w:rPr>
          <w:rFonts w:eastAsia="Calibri"/>
          <w:b/>
          <w:bCs/>
          <w:rtl/>
        </w:rPr>
        <w:t xml:space="preserve"> </w:t>
      </w:r>
      <w:r w:rsidRPr="00082C78">
        <w:rPr>
          <w:rFonts w:eastAsia="Calibri" w:hint="eastAsia"/>
          <w:b/>
          <w:bCs/>
          <w:rtl/>
        </w:rPr>
        <w:t>לא</w:t>
      </w:r>
      <w:r w:rsidRPr="00082C78">
        <w:rPr>
          <w:rFonts w:ascii="David" w:eastAsia="Times New Roman" w:hAnsi="David"/>
          <w:bCs/>
          <w:sz w:val="24"/>
          <w:rtl/>
        </w:rPr>
        <w:t xml:space="preserve"> </w:t>
      </w:r>
      <w:r w:rsidRPr="00082C78">
        <w:rPr>
          <w:rFonts w:ascii="David" w:eastAsia="Times New Roman" w:hAnsi="David" w:hint="eastAsia"/>
          <w:bCs/>
          <w:sz w:val="24"/>
          <w:rtl/>
        </w:rPr>
        <w:t>אותרה</w:t>
      </w:r>
      <w:r w:rsidRPr="00082C78">
        <w:rPr>
          <w:rFonts w:ascii="David" w:eastAsia="Times New Roman" w:hAnsi="David"/>
          <w:bCs/>
          <w:sz w:val="24"/>
          <w:rtl/>
        </w:rPr>
        <w:t xml:space="preserve"> </w:t>
      </w:r>
      <w:r w:rsidRPr="00082C78">
        <w:rPr>
          <w:rFonts w:ascii="David" w:eastAsia="Times New Roman" w:hAnsi="David" w:hint="eastAsia"/>
          <w:bCs/>
          <w:sz w:val="24"/>
          <w:rtl/>
        </w:rPr>
        <w:t>חוות</w:t>
      </w:r>
      <w:r w:rsidRPr="00082C78">
        <w:rPr>
          <w:rFonts w:ascii="David" w:eastAsia="Times New Roman" w:hAnsi="David"/>
          <w:bCs/>
          <w:sz w:val="24"/>
          <w:rtl/>
        </w:rPr>
        <w:t xml:space="preserve"> </w:t>
      </w:r>
      <w:r w:rsidRPr="00082C78">
        <w:rPr>
          <w:rFonts w:ascii="David" w:eastAsia="Times New Roman" w:hAnsi="David" w:hint="eastAsia"/>
          <w:bCs/>
          <w:sz w:val="24"/>
          <w:rtl/>
        </w:rPr>
        <w:t>דעת</w:t>
      </w:r>
      <w:r w:rsidRPr="00082C78">
        <w:rPr>
          <w:rFonts w:ascii="David" w:eastAsia="Times New Roman" w:hAnsi="David"/>
          <w:bCs/>
          <w:sz w:val="24"/>
          <w:rtl/>
        </w:rPr>
        <w:t xml:space="preserve"> </w:t>
      </w:r>
      <w:r w:rsidRPr="00082C78">
        <w:rPr>
          <w:rFonts w:ascii="David" w:eastAsia="Times New Roman" w:hAnsi="David" w:hint="eastAsia"/>
          <w:bCs/>
          <w:sz w:val="24"/>
          <w:rtl/>
        </w:rPr>
        <w:t>משפטית</w:t>
      </w:r>
      <w:r w:rsidRPr="00082C78">
        <w:rPr>
          <w:rFonts w:ascii="David" w:eastAsia="Times New Roman" w:hAnsi="David"/>
          <w:bCs/>
          <w:sz w:val="24"/>
          <w:rtl/>
        </w:rPr>
        <w:t xml:space="preserve"> </w:t>
      </w:r>
      <w:r w:rsidRPr="00082C78">
        <w:rPr>
          <w:rFonts w:ascii="David" w:eastAsia="Times New Roman" w:hAnsi="David" w:hint="eastAsia"/>
          <w:bCs/>
          <w:sz w:val="24"/>
          <w:rtl/>
        </w:rPr>
        <w:t>של</w:t>
      </w:r>
      <w:r w:rsidRPr="00082C78">
        <w:rPr>
          <w:rFonts w:ascii="David" w:eastAsia="Times New Roman" w:hAnsi="David"/>
          <w:bCs/>
          <w:sz w:val="24"/>
          <w:rtl/>
        </w:rPr>
        <w:t xml:space="preserve"> </w:t>
      </w:r>
      <w:r w:rsidRPr="00082C78">
        <w:rPr>
          <w:rFonts w:ascii="David" w:eastAsia="Times New Roman" w:hAnsi="David" w:hint="eastAsia"/>
          <w:bCs/>
          <w:sz w:val="24"/>
          <w:rtl/>
        </w:rPr>
        <w:t>היועמ</w:t>
      </w:r>
      <w:r w:rsidRPr="00082C78">
        <w:rPr>
          <w:rFonts w:ascii="David" w:eastAsia="Times New Roman" w:hAnsi="David"/>
          <w:bCs/>
          <w:sz w:val="24"/>
          <w:rtl/>
        </w:rPr>
        <w:t xml:space="preserve">"ש </w:t>
      </w:r>
      <w:r w:rsidRPr="00082C78">
        <w:rPr>
          <w:rFonts w:ascii="David" w:eastAsia="Times New Roman" w:hAnsi="David" w:hint="eastAsia"/>
          <w:bCs/>
          <w:sz w:val="24"/>
          <w:rtl/>
        </w:rPr>
        <w:t>למשטרה</w:t>
      </w:r>
      <w:r w:rsidRPr="00082C78">
        <w:rPr>
          <w:rFonts w:ascii="David" w:eastAsia="Times New Roman" w:hAnsi="David"/>
          <w:bCs/>
          <w:sz w:val="24"/>
          <w:rtl/>
        </w:rPr>
        <w:t xml:space="preserve"> </w:t>
      </w:r>
      <w:r w:rsidRPr="00082C78">
        <w:rPr>
          <w:rFonts w:ascii="David" w:eastAsia="Times New Roman" w:hAnsi="David" w:hint="eastAsia"/>
          <w:bCs/>
          <w:sz w:val="24"/>
          <w:rtl/>
        </w:rPr>
        <w:t>בנושא</w:t>
      </w:r>
      <w:r w:rsidRPr="00082C78">
        <w:rPr>
          <w:rFonts w:ascii="David" w:eastAsia="Times New Roman" w:hAnsi="David"/>
          <w:bCs/>
          <w:sz w:val="24"/>
          <w:rtl/>
        </w:rPr>
        <w:t xml:space="preserve"> </w:t>
      </w:r>
      <w:r w:rsidRPr="00082C78">
        <w:rPr>
          <w:rFonts w:ascii="David" w:eastAsia="Times New Roman" w:hAnsi="David" w:hint="eastAsia"/>
          <w:bCs/>
          <w:sz w:val="24"/>
          <w:rtl/>
        </w:rPr>
        <w:t>סמכות</w:t>
      </w:r>
      <w:r w:rsidRPr="00082C78">
        <w:rPr>
          <w:rFonts w:ascii="David" w:eastAsia="Times New Roman" w:hAnsi="David"/>
          <w:bCs/>
          <w:sz w:val="24"/>
          <w:rtl/>
        </w:rPr>
        <w:t xml:space="preserve"> </w:t>
      </w:r>
      <w:r w:rsidRPr="00082C78">
        <w:rPr>
          <w:rFonts w:ascii="David" w:eastAsia="Times New Roman" w:hAnsi="David" w:hint="eastAsia"/>
          <w:bCs/>
          <w:sz w:val="24"/>
          <w:rtl/>
        </w:rPr>
        <w:t>השימוש</w:t>
      </w:r>
      <w:r w:rsidRPr="00082C78">
        <w:rPr>
          <w:rFonts w:ascii="David" w:eastAsia="Times New Roman" w:hAnsi="David"/>
          <w:bCs/>
          <w:sz w:val="24"/>
          <w:rtl/>
        </w:rPr>
        <w:t xml:space="preserve"> </w:t>
      </w:r>
      <w:r w:rsidRPr="00082C78">
        <w:rPr>
          <w:rFonts w:ascii="David" w:eastAsia="Times New Roman" w:hAnsi="David" w:hint="eastAsia"/>
          <w:bCs/>
          <w:sz w:val="24"/>
          <w:rtl/>
        </w:rPr>
        <w:t>במערכת</w:t>
      </w:r>
      <w:r w:rsidRPr="00082C78">
        <w:rPr>
          <w:rFonts w:ascii="David" w:eastAsia="Times New Roman" w:hAnsi="David"/>
          <w:bCs/>
          <w:sz w:val="24"/>
          <w:rtl/>
        </w:rPr>
        <w:t xml:space="preserve"> </w:t>
      </w:r>
      <w:r w:rsidRPr="00082C78">
        <w:rPr>
          <w:rFonts w:ascii="David" w:eastAsia="Times New Roman" w:hAnsi="David" w:hint="eastAsia"/>
          <w:bCs/>
          <w:sz w:val="24"/>
          <w:rtl/>
        </w:rPr>
        <w:t>זו</w:t>
      </w:r>
      <w:r w:rsidRPr="00082C78">
        <w:rPr>
          <w:rFonts w:ascii="David" w:eastAsia="Times New Roman" w:hAnsi="David"/>
          <w:bCs/>
          <w:sz w:val="24"/>
          <w:rtl/>
        </w:rPr>
        <w:t xml:space="preserve">. </w:t>
      </w:r>
    </w:p>
    <w:p w:rsidR="00687DD6" w:rsidRPr="00082C78" w:rsidRDefault="00687DD6" w:rsidP="00604C3D">
      <w:pPr>
        <w:spacing w:line="269" w:lineRule="auto"/>
        <w:rPr>
          <w:rFonts w:ascii="David" w:eastAsia="Times New Roman" w:hAnsi="David"/>
          <w:bCs/>
          <w:sz w:val="24"/>
          <w:rtl/>
        </w:rPr>
      </w:pPr>
    </w:p>
    <w:p w:rsidR="00517296" w:rsidRPr="00517296" w:rsidRDefault="00082C78" w:rsidP="008C598D">
      <w:pPr>
        <w:pStyle w:val="4"/>
        <w:numPr>
          <w:ilvl w:val="1"/>
          <w:numId w:val="61"/>
        </w:numPr>
        <w:spacing w:before="0" w:line="269" w:lineRule="auto"/>
        <w:ind w:left="339"/>
        <w:rPr>
          <w:rFonts w:eastAsia="Times New Roman"/>
          <w:rtl/>
        </w:rPr>
      </w:pPr>
      <w:bookmarkStart w:id="123" w:name="_Toc156160942"/>
      <w:bookmarkStart w:id="124" w:name="_Toc156386063"/>
      <w:bookmarkStart w:id="125" w:name="_Toc156160944"/>
      <w:bookmarkStart w:id="126" w:name="_Toc156386065"/>
      <w:bookmarkStart w:id="127" w:name="_Toc156160945"/>
      <w:bookmarkStart w:id="128" w:name="_Toc156386066"/>
      <w:bookmarkStart w:id="129" w:name="_Toc211521910"/>
      <w:bookmarkStart w:id="130" w:name="_Toc219110301"/>
      <w:bookmarkStart w:id="131" w:name="_Toc219113742"/>
      <w:bookmarkStart w:id="132" w:name="_Toc219286517"/>
      <w:bookmarkStart w:id="133" w:name="_Toc138576061"/>
      <w:bookmarkEnd w:id="123"/>
      <w:bookmarkEnd w:id="124"/>
      <w:bookmarkEnd w:id="125"/>
      <w:bookmarkEnd w:id="126"/>
      <w:bookmarkEnd w:id="127"/>
      <w:bookmarkEnd w:id="128"/>
      <w:r w:rsidRPr="00517296">
        <w:rPr>
          <w:rFonts w:eastAsia="Times New Roman" w:hint="cs"/>
          <w:rtl/>
        </w:rPr>
        <w:t>קבלת מידע אגור באמצעות כלי מסוים</w:t>
      </w:r>
      <w:bookmarkEnd w:id="129"/>
      <w:bookmarkEnd w:id="130"/>
      <w:bookmarkEnd w:id="131"/>
      <w:bookmarkEnd w:id="132"/>
      <w:r w:rsidRPr="00517296">
        <w:rPr>
          <w:rFonts w:eastAsia="Times New Roman" w:hint="cs"/>
          <w:rtl/>
        </w:rPr>
        <w:t xml:space="preserve"> </w:t>
      </w:r>
    </w:p>
    <w:p w:rsidR="00271D14" w:rsidRDefault="00271D14" w:rsidP="00604C3D">
      <w:pPr>
        <w:spacing w:line="269" w:lineRule="auto"/>
        <w:ind w:left="-2"/>
        <w:rPr>
          <w:rFonts w:ascii="David" w:eastAsia="Calibri" w:hAnsi="David"/>
          <w:sz w:val="24"/>
          <w:rtl/>
        </w:rPr>
      </w:pPr>
    </w:p>
    <w:p w:rsidR="00082C78" w:rsidRPr="00082C78" w:rsidRDefault="002417CC" w:rsidP="003F66B6">
      <w:pPr>
        <w:spacing w:line="269" w:lineRule="auto"/>
        <w:ind w:left="340"/>
        <w:rPr>
          <w:rFonts w:ascii="David" w:eastAsia="Calibri" w:hAnsi="David"/>
          <w:sz w:val="16"/>
          <w:szCs w:val="16"/>
          <w:rtl/>
        </w:rPr>
      </w:pPr>
      <w:r w:rsidRPr="002417CC">
        <w:rPr>
          <w:rFonts w:ascii="David" w:eastAsia="Calibri" w:hAnsi="David" w:hint="cs"/>
          <w:sz w:val="24"/>
          <w:rtl/>
        </w:rPr>
        <w:t xml:space="preserve">כאמור, אחד מהכלים הטכנולוגיים בהם המשטרה עשתה שימוש הוא כלי טקטי מרכזי בתווך האינטרנטי לביצוע </w:t>
      </w:r>
      <w:r w:rsidRPr="002417CC">
        <w:rPr>
          <w:rFonts w:ascii="David" w:eastAsia="Calibri" w:hAnsi="David"/>
          <w:sz w:val="24"/>
          <w:rtl/>
        </w:rPr>
        <w:t>האזנ</w:t>
      </w:r>
      <w:r w:rsidRPr="002417CC">
        <w:rPr>
          <w:rFonts w:ascii="David" w:eastAsia="Calibri" w:hAnsi="David" w:hint="cs"/>
          <w:sz w:val="24"/>
          <w:rtl/>
        </w:rPr>
        <w:t>ו</w:t>
      </w:r>
      <w:r w:rsidRPr="002417CC">
        <w:rPr>
          <w:rFonts w:ascii="David" w:eastAsia="Calibri" w:hAnsi="David"/>
          <w:sz w:val="24"/>
          <w:rtl/>
        </w:rPr>
        <w:t xml:space="preserve">ת סתר </w:t>
      </w:r>
      <w:r w:rsidRPr="002417CC">
        <w:rPr>
          <w:rFonts w:ascii="David" w:eastAsia="Calibri" w:hAnsi="David" w:hint="cs"/>
          <w:sz w:val="24"/>
          <w:rtl/>
        </w:rPr>
        <w:t>למכשירי טלפון סלולריים.</w:t>
      </w:r>
      <w:r w:rsidRPr="002417CC">
        <w:rPr>
          <w:rFonts w:ascii="David" w:eastAsia="Calibri" w:hAnsi="David"/>
          <w:sz w:val="24"/>
          <w:rtl/>
        </w:rPr>
        <w:t xml:space="preserve"> </w:t>
      </w:r>
      <w:r w:rsidRPr="002417CC">
        <w:rPr>
          <w:rFonts w:ascii="David" w:eastAsia="Calibri" w:hAnsi="David" w:hint="cs"/>
          <w:sz w:val="24"/>
          <w:rtl/>
        </w:rPr>
        <w:t xml:space="preserve">ביולי 2018 אישר הייעוץ המשפטי למשטרה </w:t>
      </w:r>
      <w:r w:rsidRPr="002417CC">
        <w:rPr>
          <w:rFonts w:ascii="David" w:eastAsia="Calibri" w:hAnsi="David"/>
          <w:sz w:val="24"/>
          <w:rtl/>
        </w:rPr>
        <w:t xml:space="preserve">לבצע </w:t>
      </w:r>
      <w:r w:rsidRPr="002417CC">
        <w:rPr>
          <w:rFonts w:ascii="David" w:eastAsia="Calibri" w:hAnsi="David" w:hint="cs"/>
          <w:sz w:val="24"/>
          <w:rtl/>
        </w:rPr>
        <w:t>פעולה בכלי זה</w:t>
      </w:r>
      <w:r>
        <w:rPr>
          <w:rFonts w:ascii="David" w:eastAsia="Calibri" w:hAnsi="David" w:hint="cs"/>
          <w:sz w:val="24"/>
          <w:rtl/>
        </w:rPr>
        <w:t>.</w:t>
      </w:r>
      <w:r w:rsidR="00382AE8">
        <w:rPr>
          <w:rFonts w:ascii="David" w:eastAsia="Calibri" w:hAnsi="David" w:hint="cs"/>
          <w:sz w:val="24"/>
          <w:rtl/>
        </w:rPr>
        <w:t xml:space="preserve"> </w:t>
      </w:r>
    </w:p>
    <w:p w:rsidR="00271D14" w:rsidRDefault="00271D14" w:rsidP="003F66B6">
      <w:pPr>
        <w:spacing w:line="269" w:lineRule="auto"/>
        <w:ind w:left="340"/>
        <w:rPr>
          <w:rFonts w:ascii="David" w:eastAsia="Calibri" w:hAnsi="David"/>
          <w:b/>
          <w:bCs/>
          <w:sz w:val="24"/>
          <w:rtl/>
        </w:rPr>
      </w:pPr>
    </w:p>
    <w:p w:rsidR="00082C78" w:rsidRPr="00082C78" w:rsidRDefault="00082C78" w:rsidP="003F66B6">
      <w:pPr>
        <w:spacing w:line="269" w:lineRule="auto"/>
        <w:ind w:left="340"/>
        <w:rPr>
          <w:rFonts w:ascii="David" w:eastAsia="Calibri" w:hAnsi="David"/>
          <w:b/>
          <w:szCs w:val="28"/>
          <w:u w:val="single"/>
          <w:rtl/>
        </w:rPr>
      </w:pPr>
      <w:r w:rsidRPr="00082C78">
        <w:rPr>
          <w:rFonts w:ascii="David" w:eastAsia="Calibri" w:hAnsi="David" w:hint="cs"/>
          <w:b/>
          <w:bCs/>
          <w:sz w:val="24"/>
          <w:rtl/>
        </w:rPr>
        <w:t xml:space="preserve">על פי עמדת היועמ"שית לממשלה הנשענת על המלצות צוות מררי, פעולה זו </w:t>
      </w:r>
      <w:r w:rsidRPr="00082C78">
        <w:rPr>
          <w:rFonts w:ascii="David" w:eastAsia="Calibri" w:hAnsi="David"/>
          <w:b/>
          <w:bCs/>
          <w:sz w:val="24"/>
          <w:rtl/>
        </w:rPr>
        <w:t xml:space="preserve">אינה </w:t>
      </w:r>
      <w:r w:rsidRPr="00082C78">
        <w:rPr>
          <w:rFonts w:ascii="David" w:eastAsia="Calibri" w:hAnsi="David" w:hint="cs"/>
          <w:b/>
          <w:bCs/>
          <w:sz w:val="24"/>
          <w:rtl/>
        </w:rPr>
        <w:t xml:space="preserve">מהווה פעולה מסוג </w:t>
      </w:r>
      <w:r w:rsidRPr="00082C78">
        <w:rPr>
          <w:rFonts w:ascii="David" w:eastAsia="Calibri" w:hAnsi="David"/>
          <w:b/>
          <w:bCs/>
          <w:sz w:val="24"/>
          <w:rtl/>
        </w:rPr>
        <w:t xml:space="preserve">האזנת סתר </w:t>
      </w:r>
      <w:r w:rsidRPr="00082C78">
        <w:rPr>
          <w:rFonts w:ascii="David" w:eastAsia="Calibri" w:hAnsi="David" w:hint="cs"/>
          <w:b/>
          <w:bCs/>
          <w:sz w:val="24"/>
          <w:rtl/>
        </w:rPr>
        <w:t xml:space="preserve">ועל כן היא אינה מותרת. נמצא כי המשטרה השתמשה </w:t>
      </w:r>
      <w:r w:rsidRPr="00082C78">
        <w:rPr>
          <w:rFonts w:ascii="David" w:eastAsia="Calibri" w:hAnsi="David" w:hint="eastAsia"/>
          <w:b/>
          <w:bCs/>
          <w:sz w:val="24"/>
          <w:rtl/>
        </w:rPr>
        <w:t>ב</w:t>
      </w:r>
      <w:r w:rsidRPr="00082C78">
        <w:rPr>
          <w:rFonts w:ascii="David" w:eastAsia="Calibri" w:hAnsi="David" w:hint="cs"/>
          <w:b/>
          <w:bCs/>
          <w:sz w:val="24"/>
          <w:rtl/>
        </w:rPr>
        <w:t xml:space="preserve">שיטת פעולה זו לצרכים מבצעיים משנת 2016, אף שהאישור המשפטי לכך ניתן </w:t>
      </w:r>
      <w:r w:rsidRPr="00082C78">
        <w:rPr>
          <w:rFonts w:ascii="David" w:eastAsia="Calibri" w:hAnsi="David" w:hint="eastAsia"/>
          <w:b/>
          <w:bCs/>
          <w:sz w:val="24"/>
          <w:rtl/>
        </w:rPr>
        <w:t>שנתיים</w:t>
      </w:r>
      <w:r w:rsidRPr="00082C78">
        <w:rPr>
          <w:rFonts w:ascii="David" w:eastAsia="Calibri" w:hAnsi="David"/>
          <w:b/>
          <w:bCs/>
          <w:sz w:val="24"/>
          <w:rtl/>
        </w:rPr>
        <w:t xml:space="preserve"> </w:t>
      </w:r>
      <w:r w:rsidRPr="00082C78">
        <w:rPr>
          <w:rFonts w:ascii="David" w:eastAsia="Calibri" w:hAnsi="David" w:hint="eastAsia"/>
          <w:b/>
          <w:bCs/>
          <w:sz w:val="24"/>
          <w:rtl/>
        </w:rPr>
        <w:t>מאוחר</w:t>
      </w:r>
      <w:r w:rsidRPr="00082C78">
        <w:rPr>
          <w:rFonts w:ascii="David" w:eastAsia="Calibri" w:hAnsi="David"/>
          <w:b/>
          <w:bCs/>
          <w:sz w:val="24"/>
          <w:rtl/>
        </w:rPr>
        <w:t xml:space="preserve"> </w:t>
      </w:r>
      <w:r w:rsidRPr="00082C78">
        <w:rPr>
          <w:rFonts w:ascii="David" w:eastAsia="Calibri" w:hAnsi="David" w:hint="eastAsia"/>
          <w:b/>
          <w:bCs/>
          <w:sz w:val="24"/>
          <w:rtl/>
        </w:rPr>
        <w:t>יותר</w:t>
      </w:r>
      <w:r w:rsidRPr="00082C78">
        <w:rPr>
          <w:rFonts w:ascii="David" w:eastAsia="Calibri" w:hAnsi="David" w:hint="cs"/>
          <w:b/>
          <w:bCs/>
          <w:sz w:val="24"/>
          <w:rtl/>
        </w:rPr>
        <w:t xml:space="preserve"> על ידי הייעוץ המשפטי למשטרה. שיטת פעולה זו לא הובאה לבחינה ולאישור של גורמי הייעוץ המשפטי לממשלה עד להקמת צוות מררי. </w:t>
      </w:r>
    </w:p>
    <w:p w:rsidR="00082C78" w:rsidRPr="00082C78" w:rsidRDefault="00082C78" w:rsidP="003F66B6">
      <w:pPr>
        <w:spacing w:line="269" w:lineRule="auto"/>
        <w:ind w:left="340"/>
        <w:rPr>
          <w:rFonts w:ascii="David" w:eastAsia="Calibri" w:hAnsi="David"/>
          <w:b/>
          <w:szCs w:val="28"/>
          <w:u w:val="single"/>
          <w:rtl/>
        </w:rPr>
      </w:pPr>
    </w:p>
    <w:p w:rsidR="00082C78" w:rsidRDefault="00082C78" w:rsidP="003F66B6">
      <w:pPr>
        <w:spacing w:line="269" w:lineRule="auto"/>
        <w:ind w:left="340"/>
        <w:rPr>
          <w:rFonts w:eastAsia="Calibri"/>
          <w:sz w:val="24"/>
          <w:rtl/>
        </w:rPr>
      </w:pPr>
      <w:r w:rsidRPr="00082C78">
        <w:rPr>
          <w:rFonts w:eastAsia="Calibri" w:hint="eastAsia"/>
          <w:sz w:val="24"/>
          <w:rtl/>
        </w:rPr>
        <w:t>בתשובתה</w:t>
      </w:r>
      <w:r w:rsidRPr="00082C78">
        <w:rPr>
          <w:rFonts w:eastAsia="Calibri"/>
          <w:sz w:val="24"/>
          <w:rtl/>
        </w:rPr>
        <w:t xml:space="preserve"> </w:t>
      </w:r>
      <w:r w:rsidRPr="00082C78">
        <w:rPr>
          <w:rFonts w:eastAsia="Calibri" w:hint="eastAsia"/>
          <w:sz w:val="24"/>
          <w:rtl/>
        </w:rPr>
        <w:t>כתבה</w:t>
      </w:r>
      <w:r w:rsidRPr="00082C78">
        <w:rPr>
          <w:rFonts w:eastAsia="Calibri"/>
          <w:sz w:val="24"/>
          <w:rtl/>
        </w:rPr>
        <w:t xml:space="preserve"> המשטרה כי </w:t>
      </w:r>
      <w:r w:rsidRPr="00082C78">
        <w:rPr>
          <w:rFonts w:eastAsia="Calibri" w:hint="cs"/>
          <w:sz w:val="24"/>
          <w:rtl/>
        </w:rPr>
        <w:t>לאורך שנים שיטת פעולה זו אושרה על ידי היועמ"ש למשטרה שכן הוא סבר שפעולה זו עולה בקנה אחד עם הגדרת "האזנה" בחוק. משהיועמ"שית לממשלה קבעה פרשנות מחייבת בנוגע לפעולה</w:t>
      </w:r>
      <w:r w:rsidR="00382AE8">
        <w:rPr>
          <w:rFonts w:eastAsia="Calibri" w:hint="cs"/>
          <w:sz w:val="24"/>
          <w:rtl/>
        </w:rPr>
        <w:t xml:space="preserve"> </w:t>
      </w:r>
      <w:r w:rsidRPr="00082C78">
        <w:rPr>
          <w:rFonts w:eastAsia="Calibri" w:hint="eastAsia"/>
          <w:sz w:val="24"/>
          <w:rtl/>
        </w:rPr>
        <w:t>היא</w:t>
      </w:r>
      <w:r w:rsidRPr="00082C78">
        <w:rPr>
          <w:rFonts w:eastAsia="Calibri" w:hint="cs"/>
          <w:sz w:val="24"/>
          <w:rtl/>
        </w:rPr>
        <w:t xml:space="preserve"> </w:t>
      </w:r>
      <w:r w:rsidRPr="00082C78">
        <w:rPr>
          <w:rFonts w:eastAsia="Calibri" w:hint="eastAsia"/>
          <w:sz w:val="24"/>
          <w:rtl/>
        </w:rPr>
        <w:t>תפעל</w:t>
      </w:r>
      <w:r w:rsidRPr="00082C78">
        <w:rPr>
          <w:rFonts w:eastAsia="Calibri"/>
          <w:sz w:val="24"/>
          <w:rtl/>
        </w:rPr>
        <w:t xml:space="preserve"> </w:t>
      </w:r>
      <w:r w:rsidRPr="00082C78">
        <w:rPr>
          <w:rFonts w:eastAsia="Calibri" w:hint="eastAsia"/>
          <w:sz w:val="24"/>
          <w:rtl/>
        </w:rPr>
        <w:t>בהתאם</w:t>
      </w:r>
      <w:r w:rsidRPr="00082C78">
        <w:rPr>
          <w:rFonts w:eastAsia="Calibri"/>
          <w:sz w:val="24"/>
          <w:rtl/>
        </w:rPr>
        <w:t xml:space="preserve"> </w:t>
      </w:r>
      <w:r w:rsidRPr="00082C78">
        <w:rPr>
          <w:rFonts w:eastAsia="Calibri" w:hint="eastAsia"/>
          <w:sz w:val="24"/>
          <w:rtl/>
        </w:rPr>
        <w:t>לפרשנות</w:t>
      </w:r>
      <w:r w:rsidRPr="00082C78">
        <w:rPr>
          <w:rFonts w:eastAsia="Calibri" w:hint="cs"/>
          <w:sz w:val="24"/>
          <w:rtl/>
        </w:rPr>
        <w:t>ה</w:t>
      </w:r>
      <w:r w:rsidRPr="00082C78">
        <w:rPr>
          <w:rFonts w:eastAsia="Calibri"/>
          <w:sz w:val="24"/>
          <w:rtl/>
        </w:rPr>
        <w:t xml:space="preserve"> </w:t>
      </w:r>
      <w:r w:rsidRPr="00082C78">
        <w:rPr>
          <w:rFonts w:eastAsia="Calibri" w:hint="eastAsia"/>
          <w:sz w:val="24"/>
          <w:rtl/>
        </w:rPr>
        <w:t>המחייבת</w:t>
      </w:r>
      <w:r w:rsidRPr="00082C78">
        <w:rPr>
          <w:rFonts w:eastAsia="Calibri" w:hint="cs"/>
          <w:sz w:val="24"/>
          <w:rtl/>
        </w:rPr>
        <w:t xml:space="preserve">, ולא ייעשה שימוש </w:t>
      </w:r>
      <w:r w:rsidR="00F51BDE">
        <w:rPr>
          <w:rFonts w:eastAsia="Calibri" w:hint="cs"/>
          <w:sz w:val="24"/>
          <w:rtl/>
        </w:rPr>
        <w:t>בפעולה זו</w:t>
      </w:r>
      <w:r w:rsidRPr="00082C78">
        <w:rPr>
          <w:rFonts w:eastAsia="Calibri" w:hint="cs"/>
          <w:sz w:val="24"/>
          <w:rtl/>
        </w:rPr>
        <w:t>.</w:t>
      </w:r>
    </w:p>
    <w:p w:rsidR="00687DD6" w:rsidRPr="00082C78" w:rsidRDefault="00687DD6" w:rsidP="00604C3D">
      <w:pPr>
        <w:spacing w:line="269" w:lineRule="auto"/>
        <w:ind w:left="-2"/>
        <w:rPr>
          <w:rFonts w:eastAsia="Calibri"/>
          <w:sz w:val="24"/>
          <w:rtl/>
        </w:rPr>
      </w:pPr>
    </w:p>
    <w:p w:rsidR="002417CC" w:rsidRDefault="00082C78" w:rsidP="008C598D">
      <w:pPr>
        <w:pStyle w:val="4"/>
        <w:numPr>
          <w:ilvl w:val="1"/>
          <w:numId w:val="61"/>
        </w:numPr>
        <w:spacing w:before="0" w:line="269" w:lineRule="auto"/>
        <w:ind w:left="339"/>
        <w:rPr>
          <w:rFonts w:eastAsia="Times New Roman"/>
          <w:rtl/>
        </w:rPr>
      </w:pPr>
      <w:bookmarkStart w:id="134" w:name="_Toc211521911"/>
      <w:bookmarkStart w:id="135" w:name="_Toc219110302"/>
      <w:bookmarkStart w:id="136" w:name="_Toc219113743"/>
      <w:bookmarkStart w:id="137" w:name="_Toc219286518"/>
      <w:bookmarkStart w:id="138" w:name="_Hlk147753156"/>
      <w:r w:rsidRPr="002417CC">
        <w:rPr>
          <w:rFonts w:eastAsia="Times New Roman" w:hint="cs"/>
          <w:rtl/>
        </w:rPr>
        <w:t>שיטת פעולה מסוימת</w:t>
      </w:r>
      <w:bookmarkEnd w:id="134"/>
      <w:bookmarkEnd w:id="135"/>
      <w:bookmarkEnd w:id="136"/>
      <w:bookmarkEnd w:id="137"/>
      <w:r w:rsidRPr="00082C78">
        <w:rPr>
          <w:rFonts w:eastAsia="Times New Roman" w:hint="cs"/>
          <w:rtl/>
        </w:rPr>
        <w:t xml:space="preserve"> </w:t>
      </w:r>
      <w:bookmarkEnd w:id="138"/>
    </w:p>
    <w:p w:rsidR="00271D14" w:rsidRDefault="00271D14" w:rsidP="003F66B6">
      <w:pPr>
        <w:keepNext/>
        <w:keepLines/>
        <w:spacing w:line="269" w:lineRule="auto"/>
        <w:rPr>
          <w:rFonts w:ascii="David" w:eastAsia="Calibri" w:hAnsi="David"/>
          <w:sz w:val="24"/>
          <w:rtl/>
        </w:rPr>
      </w:pPr>
    </w:p>
    <w:p w:rsidR="00082C78" w:rsidRPr="00082C78" w:rsidRDefault="00082C78" w:rsidP="003F66B6">
      <w:pPr>
        <w:spacing w:line="269" w:lineRule="auto"/>
        <w:ind w:left="340"/>
        <w:rPr>
          <w:rFonts w:eastAsia="Calibri"/>
          <w:rtl/>
        </w:rPr>
      </w:pPr>
      <w:r w:rsidRPr="00082C78">
        <w:rPr>
          <w:rFonts w:ascii="David" w:eastAsia="Calibri" w:hAnsi="David" w:hint="cs"/>
          <w:sz w:val="24"/>
          <w:rtl/>
        </w:rPr>
        <w:t xml:space="preserve">כבר בשנת 2013 אישר </w:t>
      </w:r>
      <w:r w:rsidR="00420D22">
        <w:rPr>
          <w:rFonts w:ascii="David" w:eastAsia="Calibri" w:hAnsi="David" w:hint="cs"/>
          <w:sz w:val="24"/>
          <w:rtl/>
        </w:rPr>
        <w:t xml:space="preserve">נציג </w:t>
      </w:r>
      <w:r w:rsidRPr="00082C78">
        <w:rPr>
          <w:rFonts w:ascii="David" w:eastAsia="Calibri" w:hAnsi="David" w:hint="cs"/>
          <w:sz w:val="24"/>
          <w:rtl/>
        </w:rPr>
        <w:t xml:space="preserve">יועמ"ש המשטרה לחטיבת הסייבר להשתמש </w:t>
      </w:r>
      <w:r w:rsidRPr="00082C78">
        <w:rPr>
          <w:rFonts w:ascii="David" w:eastAsia="Calibri" w:hAnsi="David" w:hint="eastAsia"/>
          <w:sz w:val="24"/>
          <w:rtl/>
        </w:rPr>
        <w:t>בשיטת</w:t>
      </w:r>
      <w:r w:rsidRPr="00082C78">
        <w:rPr>
          <w:rFonts w:ascii="David" w:eastAsia="Calibri" w:hAnsi="David"/>
          <w:sz w:val="24"/>
          <w:rtl/>
        </w:rPr>
        <w:t xml:space="preserve"> </w:t>
      </w:r>
      <w:r w:rsidRPr="00082C78">
        <w:rPr>
          <w:rFonts w:ascii="David" w:eastAsia="Calibri" w:hAnsi="David" w:hint="eastAsia"/>
          <w:sz w:val="24"/>
          <w:rtl/>
        </w:rPr>
        <w:t>פעולה</w:t>
      </w:r>
      <w:r w:rsidRPr="00082C78">
        <w:rPr>
          <w:rFonts w:ascii="David" w:eastAsia="Calibri" w:hAnsi="David"/>
          <w:sz w:val="24"/>
          <w:rtl/>
        </w:rPr>
        <w:t xml:space="preserve"> מסוימת</w:t>
      </w:r>
      <w:r w:rsidRPr="00082C78">
        <w:rPr>
          <w:rFonts w:ascii="David" w:eastAsia="Calibri" w:hAnsi="David" w:hint="cs"/>
          <w:sz w:val="24"/>
          <w:rtl/>
        </w:rPr>
        <w:t xml:space="preserve">. שיטת פעולה זו אושרה שוב בשנת 2016 על ידי הייעוץ המשפטי של חטיבת הסייבר לאחר דיון </w:t>
      </w:r>
      <w:r w:rsidR="00183420">
        <w:rPr>
          <w:rFonts w:ascii="David" w:eastAsia="Calibri" w:hAnsi="David" w:hint="cs"/>
          <w:sz w:val="24"/>
          <w:rtl/>
        </w:rPr>
        <w:t xml:space="preserve">בהשתתפות נציגי החטיבה, </w:t>
      </w:r>
      <w:r w:rsidRPr="00082C78">
        <w:rPr>
          <w:rFonts w:ascii="David" w:eastAsia="Calibri" w:hAnsi="David" w:hint="cs"/>
          <w:sz w:val="24"/>
          <w:rtl/>
        </w:rPr>
        <w:t>יועמ"ש המשטרה וגורמים נוספים במשטרה, ובו נקבע כי ניתן ליישמה מכוח סעיף 10א לחוק האזנת סתר במסגרת סמכויות עזר להאזנה ובלבד שבנימוקי הבקשה יירשמו פרטים על אודות שיטת פעולה זו</w:t>
      </w:r>
      <w:r w:rsidRPr="00082C78">
        <w:rPr>
          <w:rFonts w:eastAsia="Calibri" w:hint="cs"/>
          <w:rtl/>
        </w:rPr>
        <w:t>. באוגוסט 2023 דחו גורמי הייעוץ המשפטי לממשלה את הפרשנות של הייעוץ המשפטי למשטרה בנוגע לשיטת הפעולה, והיא לא אושרה.</w:t>
      </w:r>
    </w:p>
    <w:p w:rsidR="00082C78" w:rsidRPr="00082C78" w:rsidRDefault="00082C78" w:rsidP="003F66B6">
      <w:pPr>
        <w:spacing w:line="269" w:lineRule="auto"/>
        <w:ind w:left="340"/>
        <w:rPr>
          <w:rFonts w:eastAsia="Calibri"/>
          <w:rtl/>
        </w:rPr>
      </w:pPr>
    </w:p>
    <w:p w:rsidR="00082C78" w:rsidRDefault="00082C78" w:rsidP="003F66B6">
      <w:pPr>
        <w:spacing w:line="269" w:lineRule="auto"/>
        <w:ind w:left="340"/>
        <w:rPr>
          <w:rFonts w:eastAsia="Calibri"/>
          <w:rtl/>
        </w:rPr>
      </w:pPr>
      <w:r w:rsidRPr="00082C78">
        <w:rPr>
          <w:rFonts w:eastAsia="Calibri" w:hint="cs"/>
          <w:rtl/>
        </w:rPr>
        <w:t xml:space="preserve">בתשובתה כתבה המשטרה כי אף שהתקיימו במשטרה דיונים בנושא, וניתן אישור משפטי על ידי </w:t>
      </w:r>
      <w:r w:rsidR="00183420">
        <w:rPr>
          <w:rFonts w:eastAsia="Calibri" w:hint="cs"/>
          <w:rtl/>
        </w:rPr>
        <w:t>נציג</w:t>
      </w:r>
      <w:r w:rsidR="00183420" w:rsidRPr="00082C78">
        <w:rPr>
          <w:rFonts w:eastAsia="Calibri" w:hint="cs"/>
          <w:rtl/>
        </w:rPr>
        <w:t xml:space="preserve"> </w:t>
      </w:r>
      <w:r w:rsidRPr="00082C78">
        <w:rPr>
          <w:rFonts w:eastAsia="Calibri" w:hint="cs"/>
          <w:rtl/>
        </w:rPr>
        <w:t xml:space="preserve">יועמ"ש המשטרה למתווה פעולה מסוים, דרך הפעולה מעולם לא יושמה. עוד כתבה המשטרה כי באוגוסט 2023 גורמי הייעוץ המשפטי לממשלה לא קיבלו את פרשנות הייעוץ המשפטי למשטרה בנוגע לשיטת הפעולה, אולם משהתברר שדרך הפעולה לא מיושמת, לא נעשתה פנייה חוזרת למשרד המשפטים בבקשה לדון בנושא בשנית. </w:t>
      </w:r>
    </w:p>
    <w:p w:rsidR="0075209E" w:rsidRPr="00082C78" w:rsidRDefault="0075209E" w:rsidP="003F66B6">
      <w:pPr>
        <w:spacing w:line="269" w:lineRule="auto"/>
        <w:ind w:left="340"/>
        <w:rPr>
          <w:rFonts w:eastAsia="Calibri"/>
          <w:rtl/>
        </w:rPr>
      </w:pPr>
    </w:p>
    <w:p w:rsidR="00082C78" w:rsidRDefault="00082C78" w:rsidP="003F66B6">
      <w:pPr>
        <w:spacing w:line="269" w:lineRule="auto"/>
        <w:ind w:left="340"/>
        <w:contextualSpacing/>
        <w:rPr>
          <w:rFonts w:ascii="David" w:eastAsia="Calibri" w:hAnsi="David"/>
          <w:b/>
          <w:bCs/>
          <w:sz w:val="24"/>
          <w:rtl/>
        </w:rPr>
      </w:pPr>
      <w:r w:rsidRPr="00082C78">
        <w:rPr>
          <w:rFonts w:ascii="David" w:eastAsia="Calibri" w:hAnsi="David" w:hint="cs"/>
          <w:b/>
          <w:bCs/>
          <w:sz w:val="24"/>
          <w:rtl/>
        </w:rPr>
        <w:t xml:space="preserve">בשנת 2013 אישר </w:t>
      </w:r>
      <w:r w:rsidR="00183420">
        <w:rPr>
          <w:rFonts w:ascii="David" w:eastAsia="Calibri" w:hAnsi="David" w:hint="cs"/>
          <w:b/>
          <w:bCs/>
          <w:sz w:val="24"/>
          <w:rtl/>
        </w:rPr>
        <w:t>נציג</w:t>
      </w:r>
      <w:r w:rsidR="00183420" w:rsidRPr="00082C78">
        <w:rPr>
          <w:rFonts w:ascii="David" w:eastAsia="Calibri" w:hAnsi="David" w:hint="cs"/>
          <w:b/>
          <w:bCs/>
          <w:sz w:val="24"/>
          <w:rtl/>
        </w:rPr>
        <w:t xml:space="preserve"> </w:t>
      </w:r>
      <w:r w:rsidRPr="00082C78">
        <w:rPr>
          <w:rFonts w:ascii="David" w:eastAsia="Calibri" w:hAnsi="David" w:hint="cs"/>
          <w:b/>
          <w:bCs/>
          <w:sz w:val="24"/>
          <w:rtl/>
        </w:rPr>
        <w:t>יועמ"ש המשטרה לחטיבת הסייבר במשטרה ליישם שיטת פעולה מסוימת הנוגעת לצרכיה המבצעיים. מדובר בפעולה אקטיבית, בעלת פוטנציאל פגיעה ניכר. מהבחינה המשפטית הפעולה משלבת סמכויות מורכבות, ובכלל זה שימוש בהאזנות סתר בשילוב צו חיפוש, והיא מחייבת התייחסות והסבר מפורש של המשטרה לבית המשפט כאשר היא מגישה בקשה לקבלת צו בית משפט שנערך במעמד צד אחד.</w:t>
      </w:r>
      <w:r w:rsidRPr="00082C78">
        <w:rPr>
          <w:rFonts w:eastAsia="Calibri" w:hint="cs"/>
          <w:b/>
          <w:bCs/>
          <w:rtl/>
        </w:rPr>
        <w:t xml:space="preserve"> </w:t>
      </w:r>
      <w:r w:rsidRPr="00082C78">
        <w:rPr>
          <w:rFonts w:ascii="David" w:eastAsia="Calibri" w:hAnsi="David" w:hint="cs"/>
          <w:b/>
          <w:bCs/>
          <w:sz w:val="24"/>
          <w:rtl/>
        </w:rPr>
        <w:t xml:space="preserve">נמצא כי האישור המשפטי </w:t>
      </w:r>
      <w:r w:rsidRPr="00082C78">
        <w:rPr>
          <w:rFonts w:ascii="David" w:eastAsia="Calibri" w:hAnsi="David" w:hint="eastAsia"/>
          <w:b/>
          <w:bCs/>
          <w:sz w:val="24"/>
          <w:rtl/>
        </w:rPr>
        <w:t>לפעולה</w:t>
      </w:r>
      <w:r w:rsidRPr="00082C78">
        <w:rPr>
          <w:rFonts w:ascii="David" w:eastAsia="Calibri" w:hAnsi="David"/>
          <w:b/>
          <w:bCs/>
          <w:sz w:val="24"/>
          <w:rtl/>
        </w:rPr>
        <w:t xml:space="preserve"> </w:t>
      </w:r>
      <w:r w:rsidRPr="00082C78">
        <w:rPr>
          <w:rFonts w:ascii="David" w:eastAsia="Calibri" w:hAnsi="David" w:hint="eastAsia"/>
          <w:b/>
          <w:bCs/>
          <w:sz w:val="24"/>
          <w:rtl/>
        </w:rPr>
        <w:t>זו</w:t>
      </w:r>
      <w:r w:rsidRPr="00082C78">
        <w:rPr>
          <w:rFonts w:ascii="David" w:eastAsia="Calibri" w:hAnsi="David" w:hint="cs"/>
          <w:b/>
          <w:bCs/>
          <w:sz w:val="24"/>
          <w:rtl/>
        </w:rPr>
        <w:t xml:space="preserve"> ניתן על ידי הייעוץ המשפטי של המשטרה בלי </w:t>
      </w:r>
      <w:r w:rsidRPr="00082C78">
        <w:rPr>
          <w:rFonts w:ascii="David" w:eastAsia="Calibri" w:hAnsi="David" w:hint="eastAsia"/>
          <w:b/>
          <w:bCs/>
          <w:sz w:val="24"/>
          <w:rtl/>
        </w:rPr>
        <w:t>ש</w:t>
      </w:r>
      <w:r w:rsidRPr="00082C78">
        <w:rPr>
          <w:rFonts w:ascii="David" w:eastAsia="Calibri" w:hAnsi="David" w:hint="cs"/>
          <w:b/>
          <w:bCs/>
          <w:sz w:val="24"/>
          <w:rtl/>
        </w:rPr>
        <w:t>שיטת פעולה ייחודית זו נבחנה ואושרה על ידי הייעוץ המשפטי לממשלה. רק עשר שנים מאוחר יותר, בשנת 2023, הביע הייעוץ המשפטי לממשלה את עמדתו ולפיה הוא אינו מקבל את הפרשנות של הייעוץ המשפטי למשטרה בנוגע לסמכות המשטרה לבצע את שיטת הפעולה.</w:t>
      </w:r>
      <w:r w:rsidRPr="00082C78" w:rsidDel="00FD1175">
        <w:rPr>
          <w:rFonts w:eastAsia="Calibri"/>
          <w:sz w:val="16"/>
          <w:szCs w:val="16"/>
          <w:rtl/>
        </w:rPr>
        <w:t xml:space="preserve"> </w:t>
      </w:r>
    </w:p>
    <w:p w:rsidR="00082C78" w:rsidRDefault="00382AE8" w:rsidP="00604C3D">
      <w:pPr>
        <w:pStyle w:val="a5"/>
        <w:spacing w:line="269" w:lineRule="auto"/>
        <w:rPr>
          <w:rFonts w:eastAsia="Calibri"/>
          <w:rtl/>
        </w:rPr>
      </w:pPr>
      <w:r>
        <w:rPr>
          <w:rFonts w:hint="cs"/>
          <w:rtl/>
        </w:rPr>
        <w:t xml:space="preserve"> </w:t>
      </w:r>
    </w:p>
    <w:p w:rsidR="00082C78" w:rsidRPr="00C86567" w:rsidRDefault="00082C78" w:rsidP="008C598D">
      <w:pPr>
        <w:pStyle w:val="4"/>
        <w:numPr>
          <w:ilvl w:val="1"/>
          <w:numId w:val="61"/>
        </w:numPr>
        <w:spacing w:before="0" w:line="269" w:lineRule="auto"/>
        <w:ind w:left="339"/>
        <w:rPr>
          <w:rFonts w:ascii="David" w:eastAsia="Times New Roman" w:hAnsi="David"/>
          <w:b/>
          <w:bCs w:val="0"/>
          <w:sz w:val="24"/>
          <w:rtl/>
        </w:rPr>
      </w:pPr>
      <w:bookmarkStart w:id="139" w:name="_Toc156386069"/>
      <w:bookmarkStart w:id="140" w:name="_Toc156386070"/>
      <w:bookmarkStart w:id="141" w:name="_Toc211521912"/>
      <w:bookmarkStart w:id="142" w:name="_Hlk147753179"/>
      <w:bookmarkStart w:id="143" w:name="_Toc219110303"/>
      <w:bookmarkStart w:id="144" w:name="_Toc219113744"/>
      <w:bookmarkStart w:id="145" w:name="_Toc219286519"/>
      <w:bookmarkEnd w:id="139"/>
      <w:bookmarkEnd w:id="140"/>
      <w:r w:rsidRPr="00C86567">
        <w:rPr>
          <w:rStyle w:val="40"/>
          <w:rFonts w:hint="cs"/>
          <w:b/>
          <w:bCs/>
          <w:rtl/>
        </w:rPr>
        <w:t xml:space="preserve">הסמכות להוצאת צווים לפעולת </w:t>
      </w:r>
      <w:r w:rsidR="00062A25" w:rsidRPr="00C86567">
        <w:rPr>
          <w:rStyle w:val="40"/>
          <w:rFonts w:hint="cs"/>
          <w:b/>
          <w:bCs/>
          <w:rtl/>
        </w:rPr>
        <w:t>התקנה</w:t>
      </w:r>
      <w:r w:rsidRPr="00C86567">
        <w:rPr>
          <w:rStyle w:val="40"/>
          <w:rFonts w:hint="cs"/>
          <w:b/>
          <w:bCs/>
          <w:rtl/>
        </w:rPr>
        <w:t xml:space="preserve"> מסוימת</w:t>
      </w:r>
      <w:bookmarkEnd w:id="133"/>
      <w:bookmarkEnd w:id="141"/>
      <w:bookmarkEnd w:id="142"/>
      <w:bookmarkEnd w:id="143"/>
      <w:bookmarkEnd w:id="144"/>
      <w:bookmarkEnd w:id="145"/>
      <w:r w:rsidR="00382AE8" w:rsidRPr="00C86567">
        <w:rPr>
          <w:rFonts w:eastAsia="Times New Roman" w:hint="cs"/>
          <w:b/>
          <w:bCs w:val="0"/>
          <w:rtl/>
        </w:rPr>
        <w:t xml:space="preserve"> </w:t>
      </w:r>
    </w:p>
    <w:p w:rsidR="00271D14" w:rsidRDefault="00271D14" w:rsidP="00604C3D">
      <w:pPr>
        <w:spacing w:line="269" w:lineRule="auto"/>
        <w:ind w:left="-2"/>
        <w:rPr>
          <w:rFonts w:ascii="David" w:eastAsia="Calibri" w:hAnsi="David"/>
          <w:sz w:val="24"/>
          <w:rtl/>
        </w:rPr>
      </w:pPr>
    </w:p>
    <w:p w:rsidR="00082C78" w:rsidRPr="00082C78" w:rsidRDefault="00082C78" w:rsidP="003F66B6">
      <w:pPr>
        <w:spacing w:line="269" w:lineRule="auto"/>
        <w:ind w:left="340"/>
        <w:rPr>
          <w:rFonts w:ascii="David" w:eastAsia="Calibri" w:hAnsi="David"/>
          <w:sz w:val="24"/>
        </w:rPr>
      </w:pPr>
      <w:r w:rsidRPr="00082C78">
        <w:rPr>
          <w:rFonts w:ascii="David" w:eastAsia="Calibri" w:hAnsi="David" w:hint="cs"/>
          <w:sz w:val="24"/>
          <w:rtl/>
        </w:rPr>
        <w:t>משנת 2018 לערך המשטרה אוספת נתונים על אודות מכשירי קצה</w:t>
      </w:r>
      <w:r w:rsidR="00382AE8">
        <w:rPr>
          <w:rFonts w:ascii="David" w:eastAsia="Calibri" w:hAnsi="David" w:hint="cs"/>
          <w:sz w:val="24"/>
          <w:rtl/>
        </w:rPr>
        <w:t xml:space="preserve"> </w:t>
      </w:r>
      <w:r w:rsidRPr="00082C78">
        <w:rPr>
          <w:rFonts w:ascii="David" w:eastAsia="Calibri" w:hAnsi="David" w:hint="cs"/>
          <w:sz w:val="24"/>
          <w:rtl/>
        </w:rPr>
        <w:t xml:space="preserve">במתווה </w:t>
      </w:r>
      <w:r w:rsidR="00062A25">
        <w:rPr>
          <w:rFonts w:ascii="David" w:eastAsia="Calibri" w:hAnsi="David" w:hint="cs"/>
          <w:sz w:val="24"/>
          <w:rtl/>
        </w:rPr>
        <w:t>התקנה</w:t>
      </w:r>
      <w:r w:rsidRPr="00082C78">
        <w:rPr>
          <w:rFonts w:ascii="David" w:eastAsia="Calibri" w:hAnsi="David" w:hint="cs"/>
          <w:sz w:val="24"/>
          <w:rtl/>
        </w:rPr>
        <w:t xml:space="preserve"> מסוים</w:t>
      </w:r>
      <w:r w:rsidRPr="00082C78">
        <w:rPr>
          <w:rFonts w:ascii="David" w:eastAsia="Calibri" w:hAnsi="David"/>
          <w:sz w:val="24"/>
          <w:vertAlign w:val="superscript"/>
          <w:rtl/>
        </w:rPr>
        <w:footnoteReference w:id="46"/>
      </w:r>
      <w:r w:rsidR="00AB426C">
        <w:rPr>
          <w:rFonts w:ascii="David" w:eastAsia="Calibri" w:hAnsi="David" w:hint="cs"/>
          <w:sz w:val="24"/>
          <w:rtl/>
        </w:rPr>
        <w:t>.</w:t>
      </w:r>
      <w:r w:rsidRPr="00082C78">
        <w:rPr>
          <w:rFonts w:ascii="David" w:eastAsia="Calibri" w:hAnsi="David" w:hint="cs"/>
          <w:sz w:val="24"/>
          <w:rtl/>
        </w:rPr>
        <w:t xml:space="preserve"> </w:t>
      </w:r>
    </w:p>
    <w:p w:rsidR="00271D14" w:rsidRDefault="00271D14" w:rsidP="003F66B6">
      <w:pPr>
        <w:spacing w:line="269" w:lineRule="auto"/>
        <w:ind w:left="340"/>
        <w:contextualSpacing/>
        <w:rPr>
          <w:rFonts w:ascii="David" w:eastAsia="Calibri" w:hAnsi="David"/>
          <w:sz w:val="24"/>
          <w:rtl/>
        </w:rPr>
      </w:pPr>
    </w:p>
    <w:p w:rsidR="00AC2F7C" w:rsidRPr="00082C78" w:rsidRDefault="00F51BDE" w:rsidP="003F66B6">
      <w:pPr>
        <w:spacing w:line="269" w:lineRule="auto"/>
        <w:ind w:left="340"/>
        <w:contextualSpacing/>
        <w:rPr>
          <w:rFonts w:ascii="David" w:eastAsia="Calibri" w:hAnsi="David"/>
          <w:sz w:val="24"/>
          <w:rtl/>
        </w:rPr>
      </w:pPr>
      <w:r w:rsidRPr="00082C78">
        <w:rPr>
          <w:rFonts w:ascii="David" w:eastAsia="Calibri" w:hAnsi="David" w:hint="cs"/>
          <w:sz w:val="24"/>
          <w:rtl/>
        </w:rPr>
        <w:t>ב</w:t>
      </w:r>
      <w:r>
        <w:rPr>
          <w:rFonts w:ascii="David" w:eastAsia="Calibri" w:hAnsi="David" w:hint="cs"/>
          <w:sz w:val="24"/>
          <w:rtl/>
        </w:rPr>
        <w:t>-</w:t>
      </w:r>
      <w:r w:rsidR="00AC2F7C" w:rsidRPr="00082C78">
        <w:rPr>
          <w:rFonts w:ascii="David" w:eastAsia="Calibri" w:hAnsi="David" w:hint="cs"/>
          <w:sz w:val="24"/>
          <w:rtl/>
        </w:rPr>
        <w:t xml:space="preserve">10.10.19 התקיים דיון משפטי בהשתתפות </w:t>
      </w:r>
      <w:r w:rsidR="00A11411">
        <w:rPr>
          <w:rFonts w:ascii="David" w:eastAsia="Calibri" w:hAnsi="David" w:hint="cs"/>
          <w:sz w:val="24"/>
          <w:rtl/>
        </w:rPr>
        <w:t>גורמים במשרד המשפטים</w:t>
      </w:r>
      <w:r w:rsidR="00AC2F7C" w:rsidRPr="00082C78">
        <w:rPr>
          <w:rFonts w:ascii="David" w:eastAsia="Calibri" w:hAnsi="David" w:hint="cs"/>
          <w:sz w:val="24"/>
          <w:rtl/>
        </w:rPr>
        <w:t xml:space="preserve">, </w:t>
      </w:r>
      <w:r w:rsidR="00A11411">
        <w:rPr>
          <w:rFonts w:ascii="David" w:eastAsia="Calibri" w:hAnsi="David" w:hint="cs"/>
          <w:sz w:val="24"/>
          <w:rtl/>
        </w:rPr>
        <w:t>וגורמים נוספים</w:t>
      </w:r>
      <w:r w:rsidR="00AC2F7C" w:rsidRPr="00082C78">
        <w:rPr>
          <w:rFonts w:ascii="David" w:eastAsia="Calibri" w:hAnsi="David" w:hint="cs"/>
          <w:sz w:val="24"/>
          <w:rtl/>
        </w:rPr>
        <w:t xml:space="preserve"> במשטרה</w:t>
      </w:r>
      <w:r w:rsidR="00A11411">
        <w:rPr>
          <w:rFonts w:ascii="David" w:eastAsia="Calibri" w:hAnsi="David" w:hint="cs"/>
          <w:sz w:val="24"/>
          <w:rtl/>
        </w:rPr>
        <w:t xml:space="preserve"> ובייעוץ המשפטי למשטרה</w:t>
      </w:r>
      <w:r w:rsidR="00AC2F7C" w:rsidRPr="00082C78">
        <w:rPr>
          <w:rFonts w:ascii="David" w:eastAsia="Calibri" w:hAnsi="David" w:hint="cs"/>
          <w:sz w:val="24"/>
          <w:rtl/>
        </w:rPr>
        <w:t xml:space="preserve"> בנוגע לאופן ביצוע שיטת הפעולה הזו. בסיכום הדיון קבע יועמ"ש חטיבת הסייבר כי ניתן להשתמש בשיטת הפעולה להאזנת סתר בכפוף להגשת בקשות מתאימות בבית המשפט</w:t>
      </w:r>
      <w:r w:rsidR="00746A11">
        <w:rPr>
          <w:rFonts w:ascii="David" w:eastAsia="Calibri" w:hAnsi="David" w:hint="cs"/>
          <w:sz w:val="24"/>
          <w:rtl/>
        </w:rPr>
        <w:t>.</w:t>
      </w:r>
      <w:r w:rsidR="00AC2F7C" w:rsidRPr="00082C78">
        <w:rPr>
          <w:rFonts w:ascii="David" w:eastAsia="Calibri" w:hAnsi="David" w:hint="cs"/>
          <w:sz w:val="24"/>
          <w:rtl/>
        </w:rPr>
        <w:t xml:space="preserve"> </w:t>
      </w:r>
    </w:p>
    <w:p w:rsidR="00082C78" w:rsidRPr="00082C78" w:rsidRDefault="00082C78" w:rsidP="003F66B6">
      <w:pPr>
        <w:spacing w:line="269" w:lineRule="auto"/>
        <w:ind w:left="340"/>
        <w:contextualSpacing/>
        <w:rPr>
          <w:rFonts w:ascii="David" w:eastAsia="Calibri" w:hAnsi="David"/>
          <w:sz w:val="24"/>
          <w:rtl/>
        </w:rPr>
      </w:pPr>
    </w:p>
    <w:p w:rsidR="00082C78" w:rsidRPr="00082C78" w:rsidRDefault="00082C78" w:rsidP="003F66B6">
      <w:pPr>
        <w:spacing w:line="269" w:lineRule="auto"/>
        <w:ind w:left="340"/>
        <w:contextualSpacing/>
        <w:rPr>
          <w:rFonts w:ascii="David" w:eastAsia="Calibri" w:hAnsi="David"/>
          <w:sz w:val="24"/>
          <w:rtl/>
        </w:rPr>
      </w:pPr>
      <w:r w:rsidRPr="00082C78">
        <w:rPr>
          <w:rFonts w:ascii="David" w:eastAsia="Calibri" w:hAnsi="David" w:hint="cs"/>
          <w:sz w:val="24"/>
          <w:rtl/>
        </w:rPr>
        <w:t>ב</w:t>
      </w:r>
      <w:r w:rsidR="007B223A">
        <w:rPr>
          <w:rFonts w:ascii="David" w:eastAsia="Calibri" w:hAnsi="David" w:hint="cs"/>
          <w:sz w:val="24"/>
          <w:rtl/>
        </w:rPr>
        <w:t>-</w:t>
      </w:r>
      <w:r w:rsidRPr="00082C78">
        <w:rPr>
          <w:rFonts w:ascii="David" w:eastAsia="Calibri" w:hAnsi="David" w:hint="cs"/>
          <w:sz w:val="24"/>
          <w:rtl/>
        </w:rPr>
        <w:t xml:space="preserve">16.3.20 יועמ"ש המשטרה </w:t>
      </w:r>
      <w:r w:rsidR="00420D22">
        <w:rPr>
          <w:rFonts w:ascii="David" w:eastAsia="Calibri" w:hAnsi="David" w:hint="cs"/>
          <w:sz w:val="24"/>
          <w:rtl/>
        </w:rPr>
        <w:t>פירט את</w:t>
      </w:r>
      <w:r w:rsidR="00420D22" w:rsidRPr="00082C78">
        <w:rPr>
          <w:rFonts w:ascii="David" w:eastAsia="Calibri" w:hAnsi="David" w:hint="cs"/>
          <w:sz w:val="24"/>
          <w:rtl/>
        </w:rPr>
        <w:t xml:space="preserve"> </w:t>
      </w:r>
      <w:r w:rsidRPr="00082C78">
        <w:rPr>
          <w:rFonts w:ascii="David" w:eastAsia="Calibri" w:hAnsi="David" w:hint="cs"/>
          <w:sz w:val="24"/>
          <w:rtl/>
        </w:rPr>
        <w:t>עמדת הייעוץ המשפטי למשטרה בנוגע לסמכויות האכיפה של המשטרה לביצוע שיטת הפעולה.</w:t>
      </w:r>
      <w:r w:rsidR="00382AE8">
        <w:rPr>
          <w:rFonts w:ascii="David" w:eastAsia="Calibri" w:hAnsi="David" w:hint="cs"/>
          <w:sz w:val="24"/>
          <w:rtl/>
        </w:rPr>
        <w:t xml:space="preserve"> </w:t>
      </w:r>
    </w:p>
    <w:p w:rsidR="00271D14" w:rsidRDefault="00271D14" w:rsidP="003F66B6">
      <w:pPr>
        <w:spacing w:line="269" w:lineRule="auto"/>
        <w:ind w:left="340"/>
        <w:contextualSpacing/>
        <w:rPr>
          <w:rFonts w:ascii="David" w:eastAsia="Calibri" w:hAnsi="David"/>
          <w:sz w:val="24"/>
          <w:rtl/>
        </w:rPr>
      </w:pPr>
    </w:p>
    <w:p w:rsidR="00082C78" w:rsidRPr="00082C78" w:rsidRDefault="00082C78" w:rsidP="003F66B6">
      <w:pPr>
        <w:spacing w:line="269" w:lineRule="auto"/>
        <w:ind w:left="340"/>
        <w:contextualSpacing/>
        <w:rPr>
          <w:rFonts w:ascii="David" w:eastAsia="Calibri" w:hAnsi="David"/>
          <w:sz w:val="24"/>
          <w:rtl/>
        </w:rPr>
      </w:pPr>
      <w:r w:rsidRPr="00082C78">
        <w:rPr>
          <w:rFonts w:ascii="David" w:eastAsia="Calibri" w:hAnsi="David" w:hint="cs"/>
          <w:sz w:val="24"/>
          <w:rtl/>
        </w:rPr>
        <w:t>ב</w:t>
      </w:r>
      <w:r w:rsidR="007B223A">
        <w:rPr>
          <w:rFonts w:ascii="David" w:eastAsia="Calibri" w:hAnsi="David" w:hint="cs"/>
          <w:sz w:val="24"/>
          <w:rtl/>
        </w:rPr>
        <w:t>-</w:t>
      </w:r>
      <w:r w:rsidRPr="00082C78">
        <w:rPr>
          <w:rFonts w:ascii="David" w:eastAsia="Calibri" w:hAnsi="David" w:hint="cs"/>
          <w:sz w:val="24"/>
          <w:rtl/>
        </w:rPr>
        <w:t>5.1.21 אישר הייעוץ המשפטי של המשטרה פעולה נוספת הנוגעת למתווה ה</w:t>
      </w:r>
      <w:r w:rsidR="00062A25">
        <w:rPr>
          <w:rFonts w:ascii="David" w:eastAsia="Calibri" w:hAnsi="David" w:hint="cs"/>
          <w:sz w:val="24"/>
          <w:rtl/>
        </w:rPr>
        <w:t>התקנה</w:t>
      </w:r>
      <w:r w:rsidRPr="00082C78">
        <w:rPr>
          <w:rFonts w:ascii="David" w:eastAsia="Calibri" w:hAnsi="David" w:hint="cs"/>
          <w:sz w:val="24"/>
          <w:rtl/>
        </w:rPr>
        <w:t xml:space="preserve"> האמור</w:t>
      </w:r>
      <w:r w:rsidR="00237AB4">
        <w:rPr>
          <w:rFonts w:ascii="David" w:eastAsia="Calibri" w:hAnsi="David" w:hint="cs"/>
          <w:sz w:val="24"/>
          <w:rtl/>
        </w:rPr>
        <w:t>.</w:t>
      </w:r>
      <w:r w:rsidRPr="00082C78">
        <w:rPr>
          <w:rFonts w:ascii="David" w:eastAsia="Calibri" w:hAnsi="David" w:hint="cs"/>
          <w:sz w:val="24"/>
          <w:rtl/>
        </w:rPr>
        <w:t xml:space="preserve"> </w:t>
      </w:r>
    </w:p>
    <w:p w:rsidR="00082C78" w:rsidRPr="00082C78" w:rsidRDefault="00082C78" w:rsidP="003F66B6">
      <w:pPr>
        <w:spacing w:line="269" w:lineRule="auto"/>
        <w:ind w:left="340"/>
        <w:contextualSpacing/>
        <w:rPr>
          <w:rFonts w:ascii="David" w:eastAsia="Calibri" w:hAnsi="David"/>
          <w:sz w:val="24"/>
          <w:rtl/>
        </w:rPr>
      </w:pPr>
    </w:p>
    <w:p w:rsidR="00082C78" w:rsidRPr="00082C78" w:rsidRDefault="00AC2F7C" w:rsidP="003F66B6">
      <w:pPr>
        <w:spacing w:line="269" w:lineRule="auto"/>
        <w:ind w:left="340"/>
        <w:contextualSpacing/>
        <w:rPr>
          <w:rFonts w:ascii="David" w:eastAsia="Calibri" w:hAnsi="David"/>
          <w:sz w:val="24"/>
          <w:rtl/>
        </w:rPr>
      </w:pPr>
      <w:r w:rsidRPr="00082C78">
        <w:rPr>
          <w:rFonts w:ascii="David" w:eastAsia="Calibri" w:hAnsi="David" w:hint="cs"/>
          <w:sz w:val="24"/>
          <w:rtl/>
        </w:rPr>
        <w:t xml:space="preserve">המשטרה כתבה בתשובתה כי הפעולה מורכבת מהבחינה הטכנולוגית ומבחינת הצורך להצטייד בכמה צווים שונים מבית המשפט אולם מהבחינה המשפטית, בנוגע לכל אחד מהשלבים בשרשרת, יש מענה חוקי שניתן על ידי היועמ"ש למשטרה והם נעשים בידיעת </w:t>
      </w:r>
      <w:r w:rsidR="00F51BDE">
        <w:rPr>
          <w:rFonts w:ascii="David" w:eastAsia="Calibri" w:hAnsi="David" w:hint="cs"/>
          <w:sz w:val="24"/>
          <w:rtl/>
        </w:rPr>
        <w:t>ה</w:t>
      </w:r>
      <w:r w:rsidRPr="00082C78">
        <w:rPr>
          <w:rFonts w:ascii="David" w:eastAsia="Calibri" w:hAnsi="David" w:hint="cs"/>
          <w:sz w:val="24"/>
          <w:rtl/>
        </w:rPr>
        <w:t xml:space="preserve">גורמים </w:t>
      </w:r>
      <w:r w:rsidR="00F51BDE">
        <w:rPr>
          <w:rFonts w:ascii="David" w:eastAsia="Calibri" w:hAnsi="David" w:hint="cs"/>
          <w:sz w:val="24"/>
          <w:rtl/>
        </w:rPr>
        <w:t xml:space="preserve">הרלוונטיים </w:t>
      </w:r>
      <w:r w:rsidRPr="00082C78">
        <w:rPr>
          <w:rFonts w:ascii="David" w:eastAsia="Calibri" w:hAnsi="David" w:hint="cs"/>
          <w:sz w:val="24"/>
          <w:rtl/>
        </w:rPr>
        <w:t>בפרקליטות המדינה.</w:t>
      </w:r>
    </w:p>
    <w:p w:rsidR="00271D14" w:rsidRDefault="00271D14" w:rsidP="003F66B6">
      <w:pPr>
        <w:spacing w:line="269" w:lineRule="auto"/>
        <w:ind w:left="340"/>
        <w:contextualSpacing/>
        <w:rPr>
          <w:rFonts w:ascii="David" w:eastAsia="Calibri" w:hAnsi="David"/>
          <w:b/>
          <w:bCs/>
          <w:sz w:val="24"/>
          <w:rtl/>
        </w:rPr>
      </w:pPr>
    </w:p>
    <w:p w:rsidR="00082C78" w:rsidRDefault="00082C78" w:rsidP="003F66B6">
      <w:pPr>
        <w:spacing w:line="269" w:lineRule="auto"/>
        <w:ind w:left="340"/>
        <w:contextualSpacing/>
        <w:rPr>
          <w:rFonts w:ascii="David" w:eastAsia="Calibri" w:hAnsi="David"/>
          <w:b/>
          <w:bCs/>
          <w:sz w:val="24"/>
          <w:rtl/>
        </w:rPr>
      </w:pPr>
      <w:r w:rsidRPr="00082C78">
        <w:rPr>
          <w:rFonts w:ascii="David" w:eastAsia="Calibri" w:hAnsi="David" w:hint="cs"/>
          <w:b/>
          <w:bCs/>
          <w:sz w:val="24"/>
          <w:rtl/>
        </w:rPr>
        <w:t>במסגרת פעילותה המבצעית המשטרה מבצעת זה שנים פעולות להנגשת מכשירי קצה.</w:t>
      </w:r>
      <w:r w:rsidRPr="00082C78">
        <w:rPr>
          <w:rFonts w:ascii="David" w:eastAsia="Calibri" w:hAnsi="David"/>
          <w:b/>
          <w:bCs/>
          <w:sz w:val="24"/>
          <w:rtl/>
        </w:rPr>
        <w:t xml:space="preserve"> </w:t>
      </w:r>
      <w:r w:rsidRPr="00082C78">
        <w:rPr>
          <w:rFonts w:ascii="David" w:eastAsia="Calibri" w:hAnsi="David" w:hint="cs"/>
          <w:b/>
          <w:bCs/>
          <w:sz w:val="24"/>
          <w:rtl/>
        </w:rPr>
        <w:t xml:space="preserve">יודגש כי ביצוע פעולה זו מחייבת בחינה ואישור משפטי למול מקורות משפטיים שונים לנוכח מורכבות הפעולה. בפועל, האישור לפעולות האמורות ניתן על ידי הייעוץ המשפטי למשטרה, בידיעת </w:t>
      </w:r>
      <w:r w:rsidRPr="00082C78">
        <w:rPr>
          <w:rFonts w:ascii="David" w:eastAsia="Calibri" w:hAnsi="David" w:hint="eastAsia"/>
          <w:b/>
          <w:bCs/>
          <w:sz w:val="24"/>
          <w:rtl/>
        </w:rPr>
        <w:t>המשנה</w:t>
      </w:r>
      <w:r w:rsidRPr="00082C78">
        <w:rPr>
          <w:rFonts w:ascii="David" w:eastAsia="Calibri" w:hAnsi="David"/>
          <w:b/>
          <w:bCs/>
          <w:sz w:val="24"/>
          <w:rtl/>
        </w:rPr>
        <w:t xml:space="preserve"> </w:t>
      </w:r>
      <w:r w:rsidRPr="00082C78">
        <w:rPr>
          <w:rFonts w:ascii="David" w:eastAsia="Calibri" w:hAnsi="David" w:hint="cs"/>
          <w:b/>
          <w:bCs/>
          <w:sz w:val="24"/>
          <w:rtl/>
        </w:rPr>
        <w:t xml:space="preserve">ליועמ"ש למשטרה וגורמים בפרקליטות המדינה, ולא נדון עם הייעוץ המשפטי לממשלה. יתרה מזאת, מורכבות הפעולה מחייבת הוצאה של כמה צווים משפטיים אשר עלולה לגרום לאי-בהירות משפטית בנוגע לאופי הפעולה הנדרשת ולמידע המתקבל. </w:t>
      </w:r>
    </w:p>
    <w:p w:rsidR="0075209E" w:rsidRPr="00082C78" w:rsidRDefault="0075209E" w:rsidP="00604C3D">
      <w:pPr>
        <w:spacing w:line="269" w:lineRule="auto"/>
        <w:ind w:left="-2"/>
        <w:contextualSpacing/>
        <w:rPr>
          <w:rFonts w:ascii="David" w:eastAsia="Calibri" w:hAnsi="David"/>
          <w:b/>
          <w:bCs/>
          <w:sz w:val="24"/>
          <w:rtl/>
        </w:rPr>
      </w:pPr>
    </w:p>
    <w:p w:rsidR="00082C78" w:rsidRPr="00C86567" w:rsidRDefault="00082C78" w:rsidP="008C598D">
      <w:pPr>
        <w:pStyle w:val="4"/>
        <w:numPr>
          <w:ilvl w:val="1"/>
          <w:numId w:val="61"/>
        </w:numPr>
        <w:spacing w:before="0" w:line="269" w:lineRule="auto"/>
        <w:ind w:left="339"/>
        <w:rPr>
          <w:rFonts w:ascii="David" w:eastAsia="Times New Roman" w:hAnsi="David"/>
          <w:b/>
          <w:bCs w:val="0"/>
          <w:sz w:val="24"/>
        </w:rPr>
      </w:pPr>
      <w:bookmarkStart w:id="146" w:name="_Toc211521913"/>
      <w:bookmarkStart w:id="147" w:name="_Toc219110304"/>
      <w:bookmarkStart w:id="148" w:name="_Toc219113745"/>
      <w:bookmarkStart w:id="149" w:name="_Toc219286520"/>
      <w:bookmarkStart w:id="150" w:name="_Toc138576062"/>
      <w:r w:rsidRPr="00C86567">
        <w:rPr>
          <w:rStyle w:val="40"/>
          <w:rFonts w:hint="cs"/>
          <w:b/>
          <w:bCs/>
          <w:rtl/>
        </w:rPr>
        <w:t>פעולה מסוימת הנעשית באמצעות כלי טכנולוגי</w:t>
      </w:r>
      <w:bookmarkEnd w:id="146"/>
      <w:bookmarkEnd w:id="147"/>
      <w:bookmarkEnd w:id="148"/>
      <w:bookmarkEnd w:id="149"/>
      <w:r w:rsidRPr="00C86567">
        <w:rPr>
          <w:rFonts w:eastAsia="Times New Roman" w:hint="cs"/>
          <w:b/>
          <w:bCs w:val="0"/>
          <w:rtl/>
        </w:rPr>
        <w:t xml:space="preserve"> </w:t>
      </w:r>
      <w:bookmarkEnd w:id="150"/>
    </w:p>
    <w:p w:rsidR="00271D14" w:rsidRDefault="00271D14" w:rsidP="00604C3D">
      <w:pPr>
        <w:spacing w:line="269" w:lineRule="auto"/>
        <w:ind w:left="-2"/>
        <w:rPr>
          <w:rFonts w:ascii="David" w:eastAsia="Calibri" w:hAnsi="David"/>
          <w:sz w:val="24"/>
          <w:rtl/>
        </w:rPr>
      </w:pPr>
    </w:p>
    <w:p w:rsidR="00082C78" w:rsidRPr="00082C78" w:rsidRDefault="00082C78" w:rsidP="003F66B6">
      <w:pPr>
        <w:spacing w:line="269" w:lineRule="auto"/>
        <w:ind w:left="340"/>
        <w:rPr>
          <w:rFonts w:ascii="David" w:eastAsia="Calibri" w:hAnsi="David"/>
          <w:sz w:val="24"/>
        </w:rPr>
      </w:pPr>
      <w:r w:rsidRPr="00082C78">
        <w:rPr>
          <w:rFonts w:ascii="David" w:eastAsia="Calibri" w:hAnsi="David" w:hint="cs"/>
          <w:sz w:val="24"/>
          <w:rtl/>
        </w:rPr>
        <w:t xml:space="preserve">משנת 2019 המשטרה </w:t>
      </w:r>
      <w:r w:rsidR="00A43849">
        <w:rPr>
          <w:rFonts w:ascii="David" w:eastAsia="Calibri" w:hAnsi="David" w:hint="cs"/>
          <w:sz w:val="24"/>
          <w:rtl/>
        </w:rPr>
        <w:t>השתמשה</w:t>
      </w:r>
      <w:r w:rsidR="00A43849" w:rsidRPr="00082C78">
        <w:rPr>
          <w:rFonts w:ascii="David" w:eastAsia="Calibri" w:hAnsi="David" w:hint="cs"/>
          <w:sz w:val="24"/>
          <w:rtl/>
        </w:rPr>
        <w:t xml:space="preserve"> </w:t>
      </w:r>
      <w:r w:rsidRPr="00082C78">
        <w:rPr>
          <w:rFonts w:ascii="David" w:eastAsia="Calibri" w:hAnsi="David" w:hint="cs"/>
          <w:sz w:val="24"/>
          <w:rtl/>
        </w:rPr>
        <w:t xml:space="preserve">לצרכיה המבצעיים בתחום המאבק בעבירות </w:t>
      </w:r>
      <w:r w:rsidR="006103BD">
        <w:rPr>
          <w:rFonts w:ascii="David" w:eastAsia="Calibri" w:hAnsi="David" w:hint="cs"/>
          <w:sz w:val="24"/>
          <w:rtl/>
        </w:rPr>
        <w:t>מסוימות</w:t>
      </w:r>
      <w:r w:rsidRPr="00082C78">
        <w:rPr>
          <w:rFonts w:ascii="David" w:eastAsia="Calibri" w:hAnsi="David" w:hint="cs"/>
          <w:sz w:val="24"/>
        </w:rPr>
        <w:t xml:space="preserve"> </w:t>
      </w:r>
      <w:r w:rsidRPr="00082C78">
        <w:rPr>
          <w:rFonts w:ascii="David" w:eastAsia="Calibri" w:hAnsi="David" w:hint="cs"/>
          <w:sz w:val="24"/>
          <w:rtl/>
        </w:rPr>
        <w:t xml:space="preserve">בכלי טכנולוגי המאפשר ביצוע פעולה מסוימת. </w:t>
      </w:r>
    </w:p>
    <w:p w:rsidR="00271D14" w:rsidRDefault="00271D14" w:rsidP="003F66B6">
      <w:pPr>
        <w:spacing w:line="269" w:lineRule="auto"/>
        <w:ind w:left="340"/>
        <w:contextualSpacing/>
        <w:rPr>
          <w:rFonts w:ascii="David" w:eastAsia="Calibri" w:hAnsi="David"/>
          <w:sz w:val="24"/>
          <w:rtl/>
        </w:rPr>
      </w:pPr>
    </w:p>
    <w:p w:rsidR="00082C78" w:rsidRPr="00082C78" w:rsidRDefault="00082C78" w:rsidP="003F66B6">
      <w:pPr>
        <w:spacing w:line="269" w:lineRule="auto"/>
        <w:ind w:left="340"/>
        <w:contextualSpacing/>
        <w:rPr>
          <w:rFonts w:ascii="David" w:eastAsia="Calibri" w:hAnsi="David"/>
          <w:sz w:val="24"/>
          <w:rtl/>
        </w:rPr>
      </w:pPr>
      <w:r w:rsidRPr="00082C78">
        <w:rPr>
          <w:rFonts w:ascii="David" w:eastAsia="Calibri" w:hAnsi="David" w:hint="cs"/>
          <w:sz w:val="24"/>
          <w:rtl/>
        </w:rPr>
        <w:t>ממסמכי המשטרה עולה שבעבר הייעוץ המשפטי ל</w:t>
      </w:r>
      <w:r w:rsidRPr="00082C78">
        <w:rPr>
          <w:rFonts w:ascii="David" w:eastAsia="Calibri" w:hAnsi="David"/>
          <w:sz w:val="24"/>
          <w:rtl/>
        </w:rPr>
        <w:t xml:space="preserve">משטרה </w:t>
      </w:r>
      <w:r w:rsidRPr="00082C78">
        <w:rPr>
          <w:rFonts w:ascii="David" w:eastAsia="Calibri" w:hAnsi="David" w:hint="cs"/>
          <w:sz w:val="24"/>
          <w:rtl/>
        </w:rPr>
        <w:t>לא אישר את הפעולה</w:t>
      </w:r>
      <w:r w:rsidR="00382AE8">
        <w:rPr>
          <w:rFonts w:ascii="David" w:eastAsia="Calibri" w:hAnsi="David" w:hint="cs"/>
          <w:sz w:val="24"/>
          <w:rtl/>
        </w:rPr>
        <w:t xml:space="preserve"> </w:t>
      </w:r>
      <w:r w:rsidRPr="00082C78">
        <w:rPr>
          <w:rFonts w:ascii="David" w:eastAsia="Calibri" w:hAnsi="David" w:hint="cs"/>
          <w:sz w:val="24"/>
          <w:rtl/>
        </w:rPr>
        <w:t xml:space="preserve">משום שהוא סבר כי מדובר בפעולה גבולית מהבחינה החוקית. עם זאת הוא סבר כי </w:t>
      </w:r>
      <w:r w:rsidRPr="00082C78">
        <w:rPr>
          <w:rFonts w:ascii="David" w:eastAsia="Calibri" w:hAnsi="David"/>
          <w:sz w:val="24"/>
          <w:rtl/>
        </w:rPr>
        <w:t xml:space="preserve">ניתן למצוא בסיס חוקי </w:t>
      </w:r>
      <w:r w:rsidRPr="00082C78">
        <w:rPr>
          <w:rFonts w:ascii="David" w:eastAsia="Calibri" w:hAnsi="David" w:hint="cs"/>
          <w:sz w:val="24"/>
          <w:rtl/>
        </w:rPr>
        <w:t xml:space="preserve">לפעולה כזו </w:t>
      </w:r>
      <w:r w:rsidRPr="00082C78">
        <w:rPr>
          <w:rFonts w:ascii="David" w:eastAsia="Calibri" w:hAnsi="David"/>
          <w:sz w:val="24"/>
          <w:rtl/>
        </w:rPr>
        <w:t>במסגרת האזנת סתר ועל פי צו בית משפט</w:t>
      </w:r>
      <w:r w:rsidRPr="00082C78">
        <w:rPr>
          <w:rFonts w:ascii="David" w:eastAsia="Calibri" w:hAnsi="David" w:hint="cs"/>
          <w:sz w:val="24"/>
          <w:rtl/>
        </w:rPr>
        <w:t>.</w:t>
      </w:r>
      <w:r w:rsidRPr="00082C78">
        <w:rPr>
          <w:rFonts w:ascii="David" w:eastAsia="Calibri" w:hAnsi="David"/>
          <w:sz w:val="24"/>
          <w:rtl/>
        </w:rPr>
        <w:t xml:space="preserve"> </w:t>
      </w:r>
      <w:r w:rsidRPr="00082C78">
        <w:rPr>
          <w:rFonts w:ascii="David" w:eastAsia="Calibri" w:hAnsi="David" w:hint="cs"/>
          <w:sz w:val="24"/>
          <w:rtl/>
        </w:rPr>
        <w:t xml:space="preserve">מאוחר יותר, </w:t>
      </w:r>
      <w:r w:rsidR="00264D96" w:rsidRPr="00082C78">
        <w:rPr>
          <w:rFonts w:ascii="David" w:eastAsia="Calibri" w:hAnsi="David" w:hint="eastAsia"/>
          <w:sz w:val="24"/>
          <w:rtl/>
        </w:rPr>
        <w:t>ב</w:t>
      </w:r>
      <w:r w:rsidR="00264D96">
        <w:rPr>
          <w:rFonts w:ascii="David" w:eastAsia="Calibri" w:hAnsi="David" w:hint="cs"/>
          <w:sz w:val="24"/>
          <w:rtl/>
        </w:rPr>
        <w:t>-</w:t>
      </w:r>
      <w:r w:rsidRPr="00082C78">
        <w:rPr>
          <w:rFonts w:ascii="David" w:eastAsia="Calibri" w:hAnsi="David"/>
          <w:sz w:val="24"/>
          <w:rtl/>
        </w:rPr>
        <w:t>23.10.19</w:t>
      </w:r>
      <w:r w:rsidRPr="00082C78">
        <w:rPr>
          <w:rFonts w:ascii="David" w:eastAsia="Calibri" w:hAnsi="David" w:hint="cs"/>
          <w:sz w:val="24"/>
          <w:rtl/>
        </w:rPr>
        <w:t>,</w:t>
      </w:r>
      <w:r w:rsidRPr="00082C78">
        <w:rPr>
          <w:rFonts w:ascii="David" w:eastAsia="Calibri" w:hAnsi="David"/>
          <w:sz w:val="24"/>
          <w:rtl/>
        </w:rPr>
        <w:t xml:space="preserve"> </w:t>
      </w:r>
      <w:r w:rsidRPr="00082C78">
        <w:rPr>
          <w:rFonts w:ascii="David" w:eastAsia="Calibri" w:hAnsi="David" w:hint="eastAsia"/>
          <w:sz w:val="24"/>
          <w:rtl/>
        </w:rPr>
        <w:t>אישר</w:t>
      </w:r>
      <w:r w:rsidRPr="00082C78">
        <w:rPr>
          <w:rFonts w:ascii="David" w:eastAsia="Calibri" w:hAnsi="David"/>
          <w:sz w:val="24"/>
          <w:rtl/>
        </w:rPr>
        <w:t xml:space="preserve"> </w:t>
      </w:r>
      <w:r w:rsidRPr="00082C78">
        <w:rPr>
          <w:rFonts w:ascii="David" w:eastAsia="Calibri" w:hAnsi="David" w:hint="cs"/>
          <w:sz w:val="24"/>
          <w:rtl/>
        </w:rPr>
        <w:t>הייעוץ המשפטי ל</w:t>
      </w:r>
      <w:r w:rsidRPr="00082C78">
        <w:rPr>
          <w:rFonts w:ascii="David" w:eastAsia="Calibri" w:hAnsi="David" w:hint="eastAsia"/>
          <w:sz w:val="24"/>
          <w:rtl/>
        </w:rPr>
        <w:t>משטרה</w:t>
      </w:r>
      <w:r w:rsidRPr="00082C78">
        <w:rPr>
          <w:rFonts w:ascii="David" w:eastAsia="Calibri" w:hAnsi="David"/>
          <w:sz w:val="24"/>
          <w:rtl/>
        </w:rPr>
        <w:t xml:space="preserve"> </w:t>
      </w:r>
      <w:r w:rsidRPr="00082C78">
        <w:rPr>
          <w:rFonts w:ascii="David" w:eastAsia="Calibri" w:hAnsi="David" w:hint="cs"/>
          <w:sz w:val="24"/>
          <w:rtl/>
        </w:rPr>
        <w:t>לבצע את הפעולה לצורך המאבק של המשטרה בעבירות</w:t>
      </w:r>
      <w:r w:rsidRPr="00082C78">
        <w:rPr>
          <w:rFonts w:ascii="David" w:eastAsia="Calibri" w:hAnsi="David"/>
          <w:sz w:val="24"/>
          <w:rtl/>
        </w:rPr>
        <w:t xml:space="preserve"> </w:t>
      </w:r>
      <w:r w:rsidR="00046E9A">
        <w:rPr>
          <w:rFonts w:ascii="David" w:eastAsia="Calibri" w:hAnsi="David" w:hint="cs"/>
          <w:sz w:val="24"/>
          <w:rtl/>
        </w:rPr>
        <w:t>מסוימות</w:t>
      </w:r>
      <w:r w:rsidRPr="00082C78">
        <w:rPr>
          <w:rFonts w:ascii="David" w:eastAsia="Calibri" w:hAnsi="David"/>
          <w:sz w:val="24"/>
          <w:rtl/>
        </w:rPr>
        <w:t xml:space="preserve"> בלבד</w:t>
      </w:r>
      <w:r w:rsidRPr="00082C78">
        <w:rPr>
          <w:rFonts w:ascii="David" w:eastAsia="Calibri" w:hAnsi="David" w:hint="cs"/>
          <w:sz w:val="24"/>
          <w:rtl/>
        </w:rPr>
        <w:t>,</w:t>
      </w:r>
      <w:r w:rsidRPr="00082C78">
        <w:rPr>
          <w:rFonts w:ascii="David" w:eastAsia="Calibri" w:hAnsi="David"/>
          <w:sz w:val="24"/>
          <w:rtl/>
        </w:rPr>
        <w:t xml:space="preserve"> ולאחר </w:t>
      </w:r>
      <w:r w:rsidRPr="00082C78">
        <w:rPr>
          <w:rFonts w:ascii="David" w:eastAsia="Calibri" w:hAnsi="David" w:hint="cs"/>
          <w:sz w:val="24"/>
          <w:rtl/>
        </w:rPr>
        <w:t xml:space="preserve">קבלת </w:t>
      </w:r>
      <w:r w:rsidRPr="00082C78">
        <w:rPr>
          <w:rFonts w:ascii="David" w:eastAsia="Calibri" w:hAnsi="David"/>
          <w:sz w:val="24"/>
          <w:rtl/>
        </w:rPr>
        <w:t xml:space="preserve">צו </w:t>
      </w:r>
      <w:r w:rsidRPr="00082C78">
        <w:rPr>
          <w:rFonts w:ascii="David" w:eastAsia="Calibri" w:hAnsi="David" w:hint="cs"/>
          <w:sz w:val="24"/>
          <w:rtl/>
        </w:rPr>
        <w:t xml:space="preserve">האזנת סתר </w:t>
      </w:r>
      <w:r w:rsidRPr="00082C78">
        <w:rPr>
          <w:rFonts w:ascii="David" w:eastAsia="Calibri" w:hAnsi="David"/>
          <w:sz w:val="24"/>
          <w:rtl/>
        </w:rPr>
        <w:t>מבית המשפט</w:t>
      </w:r>
      <w:r w:rsidRPr="00082C78">
        <w:rPr>
          <w:rFonts w:ascii="David" w:eastAsia="Calibri" w:hAnsi="David" w:hint="cs"/>
          <w:sz w:val="24"/>
          <w:rtl/>
        </w:rPr>
        <w:t xml:space="preserve"> וציון פרט מסוים בבקשה</w:t>
      </w:r>
      <w:r w:rsidR="00237AB4">
        <w:rPr>
          <w:rFonts w:ascii="David" w:eastAsia="Calibri" w:hAnsi="David" w:hint="cs"/>
          <w:sz w:val="24"/>
          <w:rtl/>
        </w:rPr>
        <w:t xml:space="preserve">. </w:t>
      </w:r>
      <w:r w:rsidR="00264D96" w:rsidRPr="00082C78">
        <w:rPr>
          <w:rFonts w:ascii="David" w:eastAsia="Calibri" w:hAnsi="David"/>
          <w:sz w:val="24"/>
          <w:rtl/>
        </w:rPr>
        <w:t>ב</w:t>
      </w:r>
      <w:r w:rsidR="00264D96">
        <w:rPr>
          <w:rFonts w:ascii="David" w:eastAsia="Calibri" w:hAnsi="David" w:hint="cs"/>
          <w:sz w:val="24"/>
          <w:rtl/>
        </w:rPr>
        <w:t>-</w:t>
      </w:r>
      <w:r w:rsidRPr="00082C78">
        <w:rPr>
          <w:rFonts w:ascii="David" w:eastAsia="Calibri" w:hAnsi="David"/>
          <w:sz w:val="24"/>
          <w:rtl/>
        </w:rPr>
        <w:t xml:space="preserve">25.5.20 אישרה יועמ"ש חטיבת </w:t>
      </w:r>
      <w:r w:rsidRPr="00082C78">
        <w:rPr>
          <w:rFonts w:ascii="David" w:eastAsia="Calibri" w:hAnsi="David" w:hint="eastAsia"/>
          <w:sz w:val="24"/>
          <w:rtl/>
        </w:rPr>
        <w:t>הסי</w:t>
      </w:r>
      <w:r w:rsidRPr="00082C78">
        <w:rPr>
          <w:rFonts w:ascii="David" w:eastAsia="Calibri" w:hAnsi="David" w:hint="cs"/>
          <w:sz w:val="24"/>
          <w:rtl/>
        </w:rPr>
        <w:t>יבר את</w:t>
      </w:r>
      <w:r w:rsidR="00237AB4">
        <w:rPr>
          <w:rFonts w:ascii="David" w:eastAsia="Calibri" w:hAnsi="David" w:hint="cs"/>
          <w:sz w:val="24"/>
          <w:rtl/>
        </w:rPr>
        <w:t xml:space="preserve"> ביצוע</w:t>
      </w:r>
      <w:r w:rsidRPr="00082C78">
        <w:rPr>
          <w:rFonts w:ascii="David" w:eastAsia="Calibri" w:hAnsi="David" w:hint="cs"/>
          <w:sz w:val="24"/>
          <w:rtl/>
        </w:rPr>
        <w:t xml:space="preserve"> הפעולה</w:t>
      </w:r>
      <w:r w:rsidRPr="00082C78">
        <w:rPr>
          <w:rFonts w:ascii="David" w:eastAsia="Calibri" w:hAnsi="David"/>
          <w:sz w:val="24"/>
          <w:rtl/>
        </w:rPr>
        <w:t xml:space="preserve"> באמצעות </w:t>
      </w:r>
      <w:r w:rsidRPr="00082C78">
        <w:rPr>
          <w:rFonts w:ascii="David" w:eastAsia="Calibri" w:hAnsi="David" w:hint="cs"/>
          <w:sz w:val="24"/>
          <w:rtl/>
        </w:rPr>
        <w:t>כלי</w:t>
      </w:r>
      <w:r w:rsidRPr="00082C78">
        <w:rPr>
          <w:rFonts w:ascii="David" w:eastAsia="Calibri" w:hAnsi="David"/>
          <w:sz w:val="24"/>
          <w:rtl/>
        </w:rPr>
        <w:t xml:space="preserve"> </w:t>
      </w:r>
      <w:r w:rsidRPr="00082C78">
        <w:rPr>
          <w:rFonts w:ascii="David" w:eastAsia="Calibri" w:hAnsi="David" w:hint="cs"/>
          <w:sz w:val="24"/>
          <w:rtl/>
        </w:rPr>
        <w:t xml:space="preserve">נוסף </w:t>
      </w:r>
      <w:r w:rsidRPr="00082C78">
        <w:rPr>
          <w:rFonts w:ascii="David" w:eastAsia="Calibri" w:hAnsi="David"/>
          <w:sz w:val="24"/>
          <w:rtl/>
        </w:rPr>
        <w:t xml:space="preserve">בעבירות </w:t>
      </w:r>
      <w:r w:rsidR="00046E9A">
        <w:rPr>
          <w:rFonts w:ascii="David" w:eastAsia="Calibri" w:hAnsi="David" w:hint="cs"/>
          <w:sz w:val="24"/>
          <w:rtl/>
        </w:rPr>
        <w:t>מסוימות</w:t>
      </w:r>
      <w:r w:rsidRPr="00082C78">
        <w:rPr>
          <w:rFonts w:ascii="David" w:eastAsia="Calibri" w:hAnsi="David"/>
          <w:sz w:val="24"/>
          <w:rtl/>
        </w:rPr>
        <w:t xml:space="preserve"> בלבד</w:t>
      </w:r>
      <w:r w:rsidRPr="00082C78">
        <w:rPr>
          <w:rFonts w:ascii="David" w:eastAsia="Calibri" w:hAnsi="David" w:hint="cs"/>
          <w:sz w:val="24"/>
          <w:rtl/>
        </w:rPr>
        <w:t>,</w:t>
      </w:r>
      <w:r w:rsidRPr="00082C78">
        <w:rPr>
          <w:rFonts w:ascii="David" w:eastAsia="Calibri" w:hAnsi="David"/>
          <w:sz w:val="24"/>
          <w:rtl/>
        </w:rPr>
        <w:t xml:space="preserve"> </w:t>
      </w:r>
      <w:r w:rsidRPr="00082C78">
        <w:rPr>
          <w:rFonts w:ascii="David" w:eastAsia="Calibri" w:hAnsi="David" w:hint="cs"/>
          <w:sz w:val="24"/>
          <w:rtl/>
        </w:rPr>
        <w:t xml:space="preserve">זאת </w:t>
      </w:r>
      <w:r w:rsidRPr="00082C78">
        <w:rPr>
          <w:rFonts w:ascii="David" w:eastAsia="Calibri" w:hAnsi="David"/>
          <w:sz w:val="24"/>
          <w:rtl/>
        </w:rPr>
        <w:t xml:space="preserve">בדומה לאישור שניתן </w:t>
      </w:r>
      <w:r w:rsidRPr="00082C78">
        <w:rPr>
          <w:rFonts w:ascii="David" w:eastAsia="Calibri" w:hAnsi="David" w:hint="cs"/>
          <w:sz w:val="24"/>
          <w:rtl/>
        </w:rPr>
        <w:t>להאזנת סתר תוך שימוש</w:t>
      </w:r>
      <w:r w:rsidRPr="00082C78">
        <w:rPr>
          <w:rFonts w:ascii="David" w:eastAsia="Calibri" w:hAnsi="David"/>
          <w:sz w:val="24"/>
          <w:rtl/>
        </w:rPr>
        <w:t xml:space="preserve"> </w:t>
      </w:r>
      <w:r w:rsidRPr="00082C78">
        <w:rPr>
          <w:rFonts w:ascii="David" w:eastAsia="Calibri" w:hAnsi="David" w:hint="cs"/>
          <w:sz w:val="24"/>
          <w:rtl/>
        </w:rPr>
        <w:t xml:space="preserve">בכלי הראשון. </w:t>
      </w:r>
      <w:r w:rsidRPr="00082C78">
        <w:rPr>
          <w:rFonts w:ascii="David" w:eastAsia="Calibri" w:hAnsi="David" w:hint="eastAsia"/>
          <w:sz w:val="24"/>
          <w:rtl/>
        </w:rPr>
        <w:t>בסופו</w:t>
      </w:r>
      <w:r w:rsidRPr="00082C78">
        <w:rPr>
          <w:rFonts w:ascii="David" w:eastAsia="Calibri" w:hAnsi="David"/>
          <w:sz w:val="24"/>
          <w:rtl/>
        </w:rPr>
        <w:t xml:space="preserve"> </w:t>
      </w:r>
      <w:r w:rsidRPr="00082C78">
        <w:rPr>
          <w:rFonts w:ascii="David" w:eastAsia="Calibri" w:hAnsi="David" w:hint="eastAsia"/>
          <w:sz w:val="24"/>
          <w:rtl/>
        </w:rPr>
        <w:t>של</w:t>
      </w:r>
      <w:r w:rsidRPr="00082C78">
        <w:rPr>
          <w:rFonts w:ascii="David" w:eastAsia="Calibri" w:hAnsi="David"/>
          <w:sz w:val="24"/>
          <w:rtl/>
        </w:rPr>
        <w:t xml:space="preserve"> </w:t>
      </w:r>
      <w:r w:rsidRPr="00082C78">
        <w:rPr>
          <w:rFonts w:ascii="David" w:eastAsia="Calibri" w:hAnsi="David" w:hint="eastAsia"/>
          <w:sz w:val="24"/>
          <w:rtl/>
        </w:rPr>
        <w:t>דבר</w:t>
      </w:r>
      <w:r w:rsidRPr="00082C78">
        <w:rPr>
          <w:rFonts w:ascii="David" w:eastAsia="Calibri" w:hAnsi="David" w:hint="cs"/>
          <w:sz w:val="24"/>
          <w:rtl/>
        </w:rPr>
        <w:t xml:space="preserve"> פעולה זו לא מומשה בכלי הנוסף</w:t>
      </w:r>
      <w:r w:rsidR="00382AE8">
        <w:rPr>
          <w:rFonts w:ascii="David" w:eastAsia="Calibri" w:hAnsi="David" w:hint="cs"/>
          <w:sz w:val="24"/>
          <w:rtl/>
        </w:rPr>
        <w:t xml:space="preserve"> </w:t>
      </w:r>
      <w:r w:rsidRPr="00082C78">
        <w:rPr>
          <w:rFonts w:ascii="David" w:eastAsia="Calibri" w:hAnsi="David" w:hint="cs"/>
          <w:sz w:val="24"/>
          <w:rtl/>
        </w:rPr>
        <w:t>מפני שלא הייתה לו יכולת טכנולוגית כזאת.</w:t>
      </w:r>
    </w:p>
    <w:p w:rsidR="00082C78" w:rsidRPr="00082C78" w:rsidRDefault="00082C78" w:rsidP="003F66B6">
      <w:pPr>
        <w:spacing w:line="269" w:lineRule="auto"/>
        <w:ind w:left="340"/>
        <w:contextualSpacing/>
        <w:rPr>
          <w:rFonts w:ascii="David" w:eastAsia="Calibri" w:hAnsi="David"/>
          <w:sz w:val="24"/>
          <w:rtl/>
        </w:rPr>
      </w:pPr>
    </w:p>
    <w:p w:rsidR="00082C78" w:rsidRPr="00082C78" w:rsidRDefault="00082C78" w:rsidP="003F66B6">
      <w:pPr>
        <w:spacing w:line="269" w:lineRule="auto"/>
        <w:ind w:left="340"/>
        <w:contextualSpacing/>
        <w:rPr>
          <w:rFonts w:ascii="David" w:eastAsia="Calibri" w:hAnsi="David"/>
          <w:sz w:val="24"/>
          <w:rtl/>
        </w:rPr>
      </w:pPr>
      <w:r w:rsidRPr="00082C78">
        <w:rPr>
          <w:rFonts w:ascii="David" w:eastAsia="Calibri" w:hAnsi="David" w:hint="cs"/>
          <w:sz w:val="24"/>
          <w:rtl/>
        </w:rPr>
        <w:t>בתשובתה כתבה המשטרה כי עקב רגישות הכלי ועקב העובדה כי היכולת הטכנולוגית המיוחדת שלו הייתה נתונה במחלוקת, המשטרה השתמשה בו במהלך השנים באופן מצומצם. הייעוץ המשפטי למשטרה אישר לה להשתמש ביכולת הטכנולוגית הזאת באופן מוגבל באירועי</w:t>
      </w:r>
      <w:r w:rsidR="00046E9A">
        <w:rPr>
          <w:rFonts w:ascii="David" w:eastAsia="Calibri" w:hAnsi="David" w:hint="cs"/>
          <w:sz w:val="24"/>
          <w:rtl/>
        </w:rPr>
        <w:t>ם מסוימים</w:t>
      </w:r>
      <w:r w:rsidRPr="00082C78">
        <w:rPr>
          <w:rFonts w:ascii="David" w:eastAsia="Calibri" w:hAnsi="David" w:hint="cs"/>
          <w:sz w:val="24"/>
          <w:rtl/>
        </w:rPr>
        <w:t xml:space="preserve"> זאת לנוכח סיכון החיים המובהק בעבירות אלו, והצורך של המשטרה לנקוט בכל סמכות חוקית לצמצמן. המשטרה הוסיפה בתשובתה כי מתווה פעולה זה שאושר ממחיש את הזהירות ואת שיקול הדעת שהופעל בהקשרים אלה, בשל רגישותם מחד גיסא, והצורך האקוטי שעימו מתמודדת המשטרה מאידך גיסא, המחייב מציאת פתרונות טכנולוגיים במסגרת החוק. עוד כתבה המשטרה כי האישור שנתן הייעוץ המשפטי למשטרה בנוגע לפעילות בתחום </w:t>
      </w:r>
      <w:r w:rsidR="00046E9A">
        <w:rPr>
          <w:rFonts w:ascii="David" w:eastAsia="Calibri" w:hAnsi="David" w:hint="cs"/>
          <w:sz w:val="24"/>
          <w:rtl/>
        </w:rPr>
        <w:t>המסוים</w:t>
      </w:r>
      <w:r w:rsidRPr="00082C78">
        <w:rPr>
          <w:rFonts w:ascii="David" w:eastAsia="Calibri" w:hAnsi="David" w:hint="cs"/>
          <w:sz w:val="24"/>
          <w:rtl/>
        </w:rPr>
        <w:t xml:space="preserve"> צוין באופן ברור בבקשה לקבלת צו מבית המשפט, והמשטרה התבקשה לעדכן את הייעוץ המשפטי למשטרה בנוגע לצווים מסוג זה שהוצאו, לתוצאות ההליך המשפטי וללקחים מהפעילות המבצעית.</w:t>
      </w:r>
    </w:p>
    <w:p w:rsidR="00082C78" w:rsidRPr="00082C78" w:rsidRDefault="00082C78" w:rsidP="003F66B6">
      <w:pPr>
        <w:spacing w:line="269" w:lineRule="auto"/>
        <w:ind w:left="340"/>
        <w:contextualSpacing/>
        <w:rPr>
          <w:rFonts w:ascii="David" w:eastAsia="Calibri" w:hAnsi="David"/>
          <w:sz w:val="24"/>
          <w:rtl/>
        </w:rPr>
      </w:pPr>
    </w:p>
    <w:p w:rsidR="00082C78" w:rsidRPr="00082C78" w:rsidRDefault="00082C78" w:rsidP="003F66B6">
      <w:pPr>
        <w:spacing w:line="269" w:lineRule="auto"/>
        <w:ind w:left="340"/>
        <w:contextualSpacing/>
        <w:rPr>
          <w:rFonts w:ascii="David" w:eastAsia="Calibri" w:hAnsi="David"/>
          <w:sz w:val="24"/>
        </w:rPr>
      </w:pPr>
      <w:r w:rsidRPr="00082C78">
        <w:rPr>
          <w:rFonts w:ascii="David" w:eastAsia="Calibri" w:hAnsi="David" w:hint="cs"/>
          <w:sz w:val="24"/>
          <w:rtl/>
        </w:rPr>
        <w:t xml:space="preserve">משרד המשפטים כתב בתשובתו כי היועמ"שית לממשלה קיבלה את המלצת צוות מררי, והשימוש ביכולת הטכנולוגית המיוחדת לא אושרה. </w:t>
      </w:r>
    </w:p>
    <w:p w:rsidR="00271D14" w:rsidRDefault="00271D14" w:rsidP="003F66B6">
      <w:pPr>
        <w:spacing w:line="269" w:lineRule="auto"/>
        <w:ind w:left="340"/>
        <w:contextualSpacing/>
        <w:rPr>
          <w:rFonts w:ascii="David" w:eastAsia="Calibri" w:hAnsi="David"/>
          <w:b/>
          <w:bCs/>
          <w:sz w:val="24"/>
          <w:rtl/>
        </w:rPr>
      </w:pPr>
    </w:p>
    <w:p w:rsidR="00082C78" w:rsidRPr="00082C78" w:rsidRDefault="00082C78" w:rsidP="003F66B6">
      <w:pPr>
        <w:spacing w:line="269" w:lineRule="auto"/>
        <w:ind w:left="340"/>
        <w:contextualSpacing/>
        <w:rPr>
          <w:rFonts w:ascii="David" w:eastAsia="Calibri" w:hAnsi="David"/>
          <w:b/>
          <w:bCs/>
          <w:sz w:val="24"/>
          <w:rtl/>
        </w:rPr>
      </w:pPr>
      <w:r w:rsidRPr="00082C78">
        <w:rPr>
          <w:rFonts w:ascii="David" w:eastAsia="Calibri" w:hAnsi="David" w:hint="cs"/>
          <w:b/>
          <w:bCs/>
          <w:sz w:val="24"/>
          <w:rtl/>
        </w:rPr>
        <w:t>סמכות המשטרה לבצע פעולה מסוימת באמצעות כלי טכנולוגי</w:t>
      </w:r>
      <w:r w:rsidR="00382AE8">
        <w:rPr>
          <w:rFonts w:ascii="David" w:eastAsia="Calibri" w:hAnsi="David" w:hint="cs"/>
          <w:b/>
          <w:bCs/>
          <w:sz w:val="24"/>
          <w:rtl/>
        </w:rPr>
        <w:t xml:space="preserve"> </w:t>
      </w:r>
      <w:r w:rsidRPr="00082C78">
        <w:rPr>
          <w:rFonts w:ascii="David" w:eastAsia="Calibri" w:hAnsi="David" w:hint="cs"/>
          <w:b/>
          <w:bCs/>
          <w:sz w:val="24"/>
          <w:rtl/>
        </w:rPr>
        <w:t>מעוררת קשיים משפטיים, גם לעמדת המשטרה, מפני שפעולה זו אינה שייכת לתחום התקשורת בין מחשבים</w:t>
      </w:r>
      <w:r w:rsidRPr="00082C78">
        <w:rPr>
          <w:rFonts w:ascii="David" w:eastAsia="Calibri" w:hAnsi="David"/>
          <w:b/>
          <w:bCs/>
          <w:sz w:val="24"/>
          <w:vertAlign w:val="superscript"/>
          <w:rtl/>
        </w:rPr>
        <w:footnoteReference w:id="47"/>
      </w:r>
      <w:r w:rsidRPr="00082C78">
        <w:rPr>
          <w:rFonts w:ascii="David" w:eastAsia="Calibri" w:hAnsi="David" w:hint="cs"/>
          <w:b/>
          <w:bCs/>
          <w:sz w:val="24"/>
          <w:rtl/>
        </w:rPr>
        <w:t xml:space="preserve">. בשנת 2019 אישר הייעוץ המשפטי של המשטרה את הפעולה לאחר שקודם לכן לא אושר השימוש במתווה זה, תוך הגבלתו למאבק בעבירות </w:t>
      </w:r>
      <w:r w:rsidR="00046E9A">
        <w:rPr>
          <w:rFonts w:ascii="David" w:eastAsia="Calibri" w:hAnsi="David" w:hint="cs"/>
          <w:b/>
          <w:bCs/>
          <w:sz w:val="24"/>
          <w:rtl/>
        </w:rPr>
        <w:t>מסוימות</w:t>
      </w:r>
      <w:r w:rsidRPr="00082C78">
        <w:rPr>
          <w:rFonts w:ascii="David" w:eastAsia="Calibri" w:hAnsi="David" w:hint="cs"/>
          <w:b/>
          <w:bCs/>
          <w:sz w:val="24"/>
          <w:rtl/>
        </w:rPr>
        <w:t>. נמצא כי הייעוץ המשפטי לממשלה לא היה מעורב בבחינה ובאישור של מתווה</w:t>
      </w:r>
      <w:r w:rsidRPr="00082C78">
        <w:rPr>
          <w:rFonts w:ascii="David" w:eastAsia="Calibri" w:hAnsi="David"/>
          <w:b/>
          <w:bCs/>
          <w:sz w:val="24"/>
          <w:rtl/>
        </w:rPr>
        <w:t xml:space="preserve"> </w:t>
      </w:r>
      <w:r w:rsidRPr="00082C78">
        <w:rPr>
          <w:rFonts w:ascii="David" w:eastAsia="Calibri" w:hAnsi="David" w:hint="eastAsia"/>
          <w:b/>
          <w:bCs/>
          <w:sz w:val="24"/>
          <w:rtl/>
        </w:rPr>
        <w:t>פעולה</w:t>
      </w:r>
      <w:r w:rsidRPr="00082C78">
        <w:rPr>
          <w:rFonts w:ascii="David" w:eastAsia="Calibri" w:hAnsi="David"/>
          <w:b/>
          <w:bCs/>
          <w:sz w:val="24"/>
          <w:rtl/>
        </w:rPr>
        <w:t xml:space="preserve"> </w:t>
      </w:r>
      <w:r w:rsidRPr="00082C78">
        <w:rPr>
          <w:rFonts w:ascii="David" w:eastAsia="Calibri" w:hAnsi="David" w:hint="eastAsia"/>
          <w:b/>
          <w:bCs/>
          <w:sz w:val="24"/>
          <w:rtl/>
        </w:rPr>
        <w:t>זה</w:t>
      </w:r>
      <w:r w:rsidRPr="00082C78">
        <w:rPr>
          <w:rFonts w:ascii="David" w:eastAsia="Calibri" w:hAnsi="David" w:hint="cs"/>
          <w:b/>
          <w:bCs/>
          <w:sz w:val="24"/>
          <w:rtl/>
        </w:rPr>
        <w:t>. הצורך בפנייה לייעוץ המשפטי לממשלה כדי לקיים בחינה משפטית ולקבל אישור לשימוש במתווה כאמור, מקבל במקרה זה משנה תוקף לנוכח הקשיים המשפטיים שזיהתה המשטרה בנושא.</w:t>
      </w:r>
    </w:p>
    <w:p w:rsidR="00082C78" w:rsidRPr="00082C78" w:rsidRDefault="00082C78" w:rsidP="003F66B6">
      <w:pPr>
        <w:spacing w:line="269" w:lineRule="auto"/>
        <w:ind w:left="340"/>
        <w:contextualSpacing/>
        <w:rPr>
          <w:rFonts w:ascii="David" w:eastAsia="Calibri" w:hAnsi="David"/>
          <w:b/>
          <w:bCs/>
          <w:sz w:val="24"/>
          <w:rtl/>
        </w:rPr>
      </w:pPr>
    </w:p>
    <w:p w:rsidR="00082C78" w:rsidRDefault="00082C78" w:rsidP="003F66B6">
      <w:pPr>
        <w:spacing w:line="269" w:lineRule="auto"/>
        <w:ind w:left="340"/>
        <w:contextualSpacing/>
        <w:rPr>
          <w:rFonts w:ascii="David" w:eastAsia="Calibri" w:hAnsi="David"/>
          <w:b/>
          <w:bCs/>
          <w:sz w:val="24"/>
          <w:rtl/>
        </w:rPr>
      </w:pPr>
      <w:r w:rsidRPr="00082C78">
        <w:rPr>
          <w:rFonts w:ascii="David" w:eastAsia="Calibri" w:hAnsi="David" w:hint="cs"/>
          <w:b/>
          <w:bCs/>
          <w:sz w:val="24"/>
          <w:rtl/>
        </w:rPr>
        <w:t xml:space="preserve">לאחר פרסום דוח צוות מררי, לדרישת </w:t>
      </w:r>
      <w:r w:rsidR="00844501">
        <w:rPr>
          <w:rFonts w:ascii="David" w:eastAsia="Calibri" w:hAnsi="David" w:hint="cs"/>
          <w:b/>
          <w:bCs/>
          <w:sz w:val="24"/>
          <w:rtl/>
        </w:rPr>
        <w:t>הייעוץ המשפטי לממשלה ב</w:t>
      </w:r>
      <w:r w:rsidRPr="00082C78">
        <w:rPr>
          <w:rFonts w:ascii="David" w:eastAsia="Calibri" w:hAnsi="David" w:hint="cs"/>
          <w:b/>
          <w:bCs/>
          <w:sz w:val="24"/>
          <w:rtl/>
        </w:rPr>
        <w:t>משרד המשפטים, וכתנאי למתן אישור משפטי של היועמ"שית לממשלה להשתמש בכלי הטכנולוגי, ניוונה המשטרה את היכולת לבצע פעולה זו באמצעות הכלי</w:t>
      </w:r>
      <w:r w:rsidR="00237AB4">
        <w:rPr>
          <w:rFonts w:ascii="David" w:eastAsia="Calibri" w:hAnsi="David" w:hint="cs"/>
          <w:b/>
          <w:bCs/>
          <w:sz w:val="24"/>
          <w:rtl/>
        </w:rPr>
        <w:t>.</w:t>
      </w:r>
      <w:r w:rsidRPr="00082C78">
        <w:rPr>
          <w:rFonts w:ascii="David" w:eastAsia="Calibri" w:hAnsi="David" w:hint="cs"/>
          <w:b/>
          <w:bCs/>
          <w:sz w:val="24"/>
          <w:rtl/>
        </w:rPr>
        <w:t xml:space="preserve"> </w:t>
      </w:r>
    </w:p>
    <w:p w:rsidR="005A7233" w:rsidRPr="00082C78" w:rsidRDefault="005A7233" w:rsidP="00604C3D">
      <w:pPr>
        <w:spacing w:line="269" w:lineRule="auto"/>
        <w:ind w:left="-2"/>
        <w:contextualSpacing/>
        <w:rPr>
          <w:rFonts w:ascii="David" w:eastAsia="Calibri" w:hAnsi="David"/>
          <w:b/>
          <w:bCs/>
          <w:sz w:val="24"/>
        </w:rPr>
      </w:pPr>
    </w:p>
    <w:p w:rsidR="00082C78" w:rsidRPr="00C86567" w:rsidRDefault="00082C78" w:rsidP="008C598D">
      <w:pPr>
        <w:pStyle w:val="4"/>
        <w:numPr>
          <w:ilvl w:val="1"/>
          <w:numId w:val="61"/>
        </w:numPr>
        <w:spacing w:before="0" w:line="269" w:lineRule="auto"/>
        <w:ind w:left="339"/>
        <w:rPr>
          <w:rStyle w:val="40"/>
          <w:b/>
          <w:rtl/>
        </w:rPr>
      </w:pPr>
      <w:bookmarkStart w:id="151" w:name="_Toc211521914"/>
      <w:bookmarkStart w:id="152" w:name="_Toc219110305"/>
      <w:bookmarkStart w:id="153" w:name="_Toc219113746"/>
      <w:bookmarkStart w:id="154" w:name="_Toc219286521"/>
      <w:bookmarkStart w:id="155" w:name="_Hlk147753230"/>
      <w:r w:rsidRPr="00C86567">
        <w:rPr>
          <w:rStyle w:val="40"/>
          <w:rFonts w:hint="cs"/>
          <w:b/>
          <w:bCs/>
          <w:rtl/>
        </w:rPr>
        <w:t>פעולה מסוימת הנעשית באמצעות כלי טכנולוגי</w:t>
      </w:r>
      <w:bookmarkEnd w:id="151"/>
      <w:bookmarkEnd w:id="152"/>
      <w:bookmarkEnd w:id="153"/>
      <w:bookmarkEnd w:id="154"/>
      <w:r w:rsidRPr="00C86567">
        <w:rPr>
          <w:rStyle w:val="40"/>
          <w:rFonts w:hint="cs"/>
          <w:b/>
          <w:rtl/>
        </w:rPr>
        <w:t xml:space="preserve"> </w:t>
      </w:r>
      <w:bookmarkEnd w:id="155"/>
    </w:p>
    <w:p w:rsidR="00271D14" w:rsidRDefault="00271D14" w:rsidP="003F66B6">
      <w:pPr>
        <w:keepNext/>
        <w:keepLines/>
        <w:spacing w:line="269" w:lineRule="auto"/>
        <w:rPr>
          <w:rFonts w:ascii="David" w:eastAsia="Calibri" w:hAnsi="David"/>
          <w:sz w:val="24"/>
          <w:rtl/>
        </w:rPr>
      </w:pPr>
    </w:p>
    <w:p w:rsidR="00082C78" w:rsidRPr="00082C78" w:rsidRDefault="00082C78" w:rsidP="003F66B6">
      <w:pPr>
        <w:spacing w:line="269" w:lineRule="auto"/>
        <w:ind w:left="340"/>
        <w:rPr>
          <w:rFonts w:ascii="David" w:eastAsia="Calibri" w:hAnsi="David"/>
          <w:sz w:val="24"/>
          <w:rtl/>
        </w:rPr>
      </w:pPr>
      <w:r w:rsidRPr="00082C78">
        <w:rPr>
          <w:rFonts w:ascii="David" w:eastAsia="Calibri" w:hAnsi="David" w:hint="cs"/>
          <w:sz w:val="24"/>
          <w:rtl/>
        </w:rPr>
        <w:t xml:space="preserve">על פי ממצאי צוות מררי קבעה היועמ"שית לממשלה כי פעולה מסוימת המבוצעת </w:t>
      </w:r>
      <w:r w:rsidR="006B14A5">
        <w:rPr>
          <w:rFonts w:ascii="David" w:eastAsia="Calibri" w:hAnsi="David" w:hint="cs"/>
          <w:sz w:val="24"/>
          <w:rtl/>
        </w:rPr>
        <w:t xml:space="preserve">בשיטה מסוימת </w:t>
      </w:r>
      <w:r w:rsidRPr="00082C78">
        <w:rPr>
          <w:rFonts w:ascii="David" w:eastAsia="Calibri" w:hAnsi="David" w:hint="cs"/>
          <w:sz w:val="24"/>
          <w:rtl/>
        </w:rPr>
        <w:t xml:space="preserve">באמצעות כלי טכנולוגי מסוים </w:t>
      </w:r>
      <w:r w:rsidRPr="00082C78">
        <w:rPr>
          <w:rFonts w:ascii="David" w:eastAsia="Calibri" w:hAnsi="David" w:hint="eastAsia"/>
          <w:sz w:val="24"/>
          <w:rtl/>
        </w:rPr>
        <w:t>אינ</w:t>
      </w:r>
      <w:r w:rsidRPr="00082C78">
        <w:rPr>
          <w:rFonts w:ascii="David" w:eastAsia="Calibri" w:hAnsi="David" w:hint="cs"/>
          <w:sz w:val="24"/>
          <w:rtl/>
        </w:rPr>
        <w:t>ה</w:t>
      </w:r>
      <w:r w:rsidRPr="00082C78">
        <w:rPr>
          <w:rFonts w:ascii="David" w:eastAsia="Calibri" w:hAnsi="David"/>
          <w:sz w:val="24"/>
          <w:rtl/>
        </w:rPr>
        <w:t xml:space="preserve"> מצוי</w:t>
      </w:r>
      <w:r w:rsidRPr="00082C78">
        <w:rPr>
          <w:rFonts w:ascii="David" w:eastAsia="Calibri" w:hAnsi="David" w:hint="cs"/>
          <w:sz w:val="24"/>
          <w:rtl/>
        </w:rPr>
        <w:t>ה</w:t>
      </w:r>
      <w:r w:rsidRPr="00082C78">
        <w:rPr>
          <w:rFonts w:ascii="David" w:eastAsia="Calibri" w:hAnsi="David"/>
          <w:sz w:val="24"/>
          <w:rtl/>
        </w:rPr>
        <w:t xml:space="preserve"> בסמכות המשטרה על פי חוק האזנת סתר. </w:t>
      </w:r>
    </w:p>
    <w:p w:rsidR="00271D14" w:rsidRDefault="00271D14" w:rsidP="003F66B6">
      <w:pPr>
        <w:spacing w:line="269" w:lineRule="auto"/>
        <w:ind w:left="340"/>
        <w:contextualSpacing/>
        <w:rPr>
          <w:rFonts w:ascii="David" w:eastAsia="Calibri" w:hAnsi="David"/>
          <w:sz w:val="24"/>
          <w:rtl/>
        </w:rPr>
      </w:pPr>
    </w:p>
    <w:p w:rsidR="00082C78" w:rsidRDefault="00082C78" w:rsidP="003F66B6">
      <w:pPr>
        <w:spacing w:line="269" w:lineRule="auto"/>
        <w:ind w:left="340"/>
        <w:contextualSpacing/>
        <w:rPr>
          <w:rFonts w:ascii="David" w:eastAsia="Calibri" w:hAnsi="David"/>
          <w:sz w:val="24"/>
          <w:rtl/>
        </w:rPr>
      </w:pPr>
      <w:r w:rsidRPr="00082C78">
        <w:rPr>
          <w:rFonts w:ascii="David" w:eastAsia="Calibri" w:hAnsi="David" w:hint="cs"/>
          <w:sz w:val="24"/>
          <w:rtl/>
        </w:rPr>
        <w:t>נמצא כי המשטרה מבצעת לצרכיה המבצעיים פעולה מסוימת משנת</w:t>
      </w:r>
      <w:r w:rsidRPr="00082C78">
        <w:rPr>
          <w:rFonts w:ascii="David" w:eastAsia="Calibri" w:hAnsi="David"/>
          <w:sz w:val="24"/>
          <w:rtl/>
        </w:rPr>
        <w:t xml:space="preserve"> 2016 </w:t>
      </w:r>
      <w:r w:rsidRPr="00082C78">
        <w:rPr>
          <w:rFonts w:ascii="David" w:eastAsia="Calibri" w:hAnsi="David" w:hint="cs"/>
          <w:sz w:val="24"/>
          <w:rtl/>
        </w:rPr>
        <w:t xml:space="preserve">על סמך </w:t>
      </w:r>
      <w:r w:rsidRPr="00082C78">
        <w:rPr>
          <w:rFonts w:ascii="David" w:eastAsia="Calibri" w:hAnsi="David"/>
          <w:sz w:val="24"/>
          <w:rtl/>
        </w:rPr>
        <w:t xml:space="preserve">אישור משפטי של הייעוץ המשפטי למשטרה </w:t>
      </w:r>
      <w:r w:rsidRPr="00082C78">
        <w:rPr>
          <w:rFonts w:ascii="David" w:eastAsia="Calibri" w:hAnsi="David" w:hint="cs"/>
          <w:sz w:val="24"/>
          <w:rtl/>
        </w:rPr>
        <w:t xml:space="preserve">ובתנאי שיירשם </w:t>
      </w:r>
      <w:r w:rsidRPr="00082C78">
        <w:rPr>
          <w:rFonts w:ascii="David" w:eastAsia="Calibri" w:hAnsi="David"/>
          <w:sz w:val="24"/>
          <w:rtl/>
        </w:rPr>
        <w:t xml:space="preserve">בבקשה להיתר ההאזנה </w:t>
      </w:r>
      <w:r w:rsidRPr="00082C78">
        <w:rPr>
          <w:rFonts w:ascii="David" w:eastAsia="Calibri" w:hAnsi="David" w:hint="cs"/>
          <w:sz w:val="24"/>
          <w:rtl/>
        </w:rPr>
        <w:t xml:space="preserve">פרט מסוים </w:t>
      </w:r>
      <w:r w:rsidR="00795998" w:rsidRPr="00082C78">
        <w:rPr>
          <w:rFonts w:ascii="David" w:eastAsia="Calibri" w:hAnsi="David" w:hint="cs"/>
          <w:sz w:val="24"/>
          <w:rtl/>
        </w:rPr>
        <w:t>הנו</w:t>
      </w:r>
      <w:r w:rsidR="00795998">
        <w:rPr>
          <w:rFonts w:ascii="David" w:eastAsia="Calibri" w:hAnsi="David" w:hint="cs"/>
          <w:sz w:val="24"/>
          <w:rtl/>
        </w:rPr>
        <w:t>ג</w:t>
      </w:r>
      <w:r w:rsidR="00795998" w:rsidRPr="00082C78">
        <w:rPr>
          <w:rFonts w:ascii="David" w:eastAsia="Calibri" w:hAnsi="David" w:hint="cs"/>
          <w:sz w:val="24"/>
          <w:rtl/>
        </w:rPr>
        <w:t xml:space="preserve">ע </w:t>
      </w:r>
      <w:r w:rsidRPr="00082C78">
        <w:rPr>
          <w:rFonts w:ascii="David" w:eastAsia="Calibri" w:hAnsi="David" w:hint="cs"/>
          <w:sz w:val="24"/>
          <w:rtl/>
        </w:rPr>
        <w:t>לעניין זה. עוד נמצא כי במסמך תכולות עבודה של הכלי מפורטת הדרישה המבצעית של המשטרה הכוללת את</w:t>
      </w:r>
      <w:r w:rsidR="006B14A5">
        <w:rPr>
          <w:rFonts w:ascii="David" w:eastAsia="Calibri" w:hAnsi="David" w:hint="cs"/>
          <w:sz w:val="24"/>
          <w:rtl/>
        </w:rPr>
        <w:t xml:space="preserve"> ביצוע הפעולה תוך שימוש בשתי שיטות, לרבות שיטה</w:t>
      </w:r>
      <w:r w:rsidR="00382AE8">
        <w:rPr>
          <w:rFonts w:ascii="David" w:eastAsia="Calibri" w:hAnsi="David" w:hint="cs"/>
          <w:sz w:val="24"/>
          <w:rtl/>
        </w:rPr>
        <w:t xml:space="preserve"> </w:t>
      </w:r>
      <w:r w:rsidRPr="00082C78">
        <w:rPr>
          <w:rFonts w:ascii="David" w:eastAsia="Calibri" w:hAnsi="David" w:hint="cs"/>
          <w:sz w:val="24"/>
          <w:rtl/>
        </w:rPr>
        <w:t>שאינה בסמכות המשטרה</w:t>
      </w:r>
      <w:r w:rsidR="00B21330">
        <w:rPr>
          <w:rFonts w:ascii="David" w:eastAsia="Calibri" w:hAnsi="David" w:hint="cs"/>
          <w:sz w:val="24"/>
          <w:rtl/>
        </w:rPr>
        <w:t>.</w:t>
      </w:r>
      <w:r w:rsidRPr="00082C78">
        <w:rPr>
          <w:rFonts w:ascii="David" w:eastAsia="Calibri" w:hAnsi="David" w:hint="cs"/>
          <w:sz w:val="24"/>
          <w:rtl/>
        </w:rPr>
        <w:t xml:space="preserve"> </w:t>
      </w:r>
    </w:p>
    <w:p w:rsidR="00B21330" w:rsidRPr="00082C78" w:rsidRDefault="00B21330" w:rsidP="003F66B6">
      <w:pPr>
        <w:spacing w:line="269" w:lineRule="auto"/>
        <w:ind w:left="340"/>
        <w:contextualSpacing/>
        <w:rPr>
          <w:rFonts w:ascii="David" w:eastAsia="Calibri" w:hAnsi="David"/>
          <w:sz w:val="24"/>
          <w:rtl/>
        </w:rPr>
      </w:pPr>
    </w:p>
    <w:p w:rsidR="00082C78" w:rsidRPr="00082C78" w:rsidRDefault="00082C78" w:rsidP="003F66B6">
      <w:pPr>
        <w:spacing w:line="269" w:lineRule="auto"/>
        <w:ind w:left="340"/>
        <w:contextualSpacing/>
        <w:rPr>
          <w:rFonts w:ascii="David" w:eastAsia="Calibri" w:hAnsi="David"/>
          <w:sz w:val="24"/>
        </w:rPr>
      </w:pPr>
      <w:r w:rsidRPr="00082C78">
        <w:rPr>
          <w:rFonts w:ascii="David" w:eastAsia="Calibri" w:hAnsi="David" w:hint="cs"/>
          <w:sz w:val="24"/>
          <w:rtl/>
        </w:rPr>
        <w:t xml:space="preserve">בתשובתה כתבה המשטרה כי קיימות שתי דרכי פעולה להשגת אותה מטרה המבוצעות באמצעות הכלי הטכנולוגי: אחת מותרת ואחת שאינה בסמכות המשטרה. </w:t>
      </w:r>
      <w:r w:rsidR="006B14A5">
        <w:rPr>
          <w:rFonts w:ascii="David" w:eastAsia="Calibri" w:hAnsi="David" w:hint="cs"/>
          <w:sz w:val="24"/>
          <w:rtl/>
        </w:rPr>
        <w:t xml:space="preserve">היכולת שאושרה על ידי יועמ"ש המשטרה הינה זו המותרת. </w:t>
      </w:r>
    </w:p>
    <w:p w:rsidR="00271D14" w:rsidRDefault="00271D14" w:rsidP="003F66B6">
      <w:pPr>
        <w:spacing w:line="269" w:lineRule="auto"/>
        <w:ind w:left="340"/>
        <w:contextualSpacing/>
        <w:rPr>
          <w:rFonts w:ascii="David" w:eastAsia="Calibri" w:hAnsi="David"/>
          <w:b/>
          <w:bCs/>
          <w:sz w:val="24"/>
          <w:rtl/>
        </w:rPr>
      </w:pPr>
    </w:p>
    <w:p w:rsidR="00082C78" w:rsidRPr="00082C78" w:rsidRDefault="00082C78" w:rsidP="003F66B6">
      <w:pPr>
        <w:spacing w:line="269" w:lineRule="auto"/>
        <w:ind w:left="340"/>
        <w:contextualSpacing/>
        <w:rPr>
          <w:rFonts w:ascii="David" w:eastAsia="Calibri" w:hAnsi="David"/>
          <w:b/>
          <w:bCs/>
          <w:sz w:val="24"/>
          <w:rtl/>
        </w:rPr>
      </w:pPr>
      <w:r w:rsidRPr="00082C78">
        <w:rPr>
          <w:rFonts w:ascii="David" w:eastAsia="Calibri" w:hAnsi="David" w:hint="cs"/>
          <w:b/>
          <w:bCs/>
          <w:sz w:val="24"/>
          <w:rtl/>
        </w:rPr>
        <w:t xml:space="preserve">עולה </w:t>
      </w:r>
      <w:r w:rsidRPr="00082C78">
        <w:rPr>
          <w:rFonts w:ascii="David" w:eastAsia="Calibri" w:hAnsi="David" w:hint="eastAsia"/>
          <w:b/>
          <w:bCs/>
          <w:sz w:val="24"/>
          <w:rtl/>
        </w:rPr>
        <w:t>שהמשטרה</w:t>
      </w:r>
      <w:r w:rsidRPr="00082C78">
        <w:rPr>
          <w:rFonts w:ascii="David" w:eastAsia="Calibri" w:hAnsi="David"/>
          <w:b/>
          <w:bCs/>
          <w:sz w:val="24"/>
          <w:rtl/>
        </w:rPr>
        <w:t xml:space="preserve"> </w:t>
      </w:r>
      <w:r w:rsidRPr="00082C78">
        <w:rPr>
          <w:rFonts w:ascii="David" w:eastAsia="Calibri" w:hAnsi="David" w:hint="eastAsia"/>
          <w:b/>
          <w:bCs/>
          <w:sz w:val="24"/>
          <w:rtl/>
        </w:rPr>
        <w:t>רכשה</w:t>
      </w:r>
      <w:r w:rsidRPr="00082C78">
        <w:rPr>
          <w:rFonts w:ascii="David" w:eastAsia="Calibri" w:hAnsi="David"/>
          <w:b/>
          <w:bCs/>
          <w:sz w:val="24"/>
          <w:rtl/>
        </w:rPr>
        <w:t xml:space="preserve"> </w:t>
      </w:r>
      <w:r w:rsidR="00264D96">
        <w:rPr>
          <w:rFonts w:ascii="David" w:eastAsia="Calibri" w:hAnsi="David" w:hint="cs"/>
          <w:b/>
          <w:bCs/>
          <w:sz w:val="24"/>
          <w:rtl/>
        </w:rPr>
        <w:t>כלי</w:t>
      </w:r>
      <w:r w:rsidR="00264D96" w:rsidRPr="00082C78">
        <w:rPr>
          <w:rFonts w:ascii="David" w:eastAsia="Calibri" w:hAnsi="David"/>
          <w:b/>
          <w:bCs/>
          <w:sz w:val="24"/>
          <w:rtl/>
        </w:rPr>
        <w:t xml:space="preserve"> </w:t>
      </w:r>
      <w:r w:rsidR="00077BF9">
        <w:rPr>
          <w:rFonts w:ascii="David" w:eastAsia="Calibri" w:hAnsi="David" w:hint="cs"/>
          <w:b/>
          <w:bCs/>
          <w:sz w:val="24"/>
          <w:rtl/>
        </w:rPr>
        <w:t xml:space="preserve">טכנולוגי </w:t>
      </w:r>
      <w:r w:rsidRPr="00082C78">
        <w:rPr>
          <w:rFonts w:ascii="David" w:eastAsia="Calibri" w:hAnsi="David" w:hint="eastAsia"/>
          <w:b/>
          <w:bCs/>
          <w:sz w:val="24"/>
          <w:rtl/>
        </w:rPr>
        <w:t>בעל</w:t>
      </w:r>
      <w:r w:rsidRPr="00082C78">
        <w:rPr>
          <w:rFonts w:ascii="David" w:eastAsia="Calibri" w:hAnsi="David"/>
          <w:b/>
          <w:bCs/>
          <w:sz w:val="24"/>
          <w:rtl/>
        </w:rPr>
        <w:t xml:space="preserve"> </w:t>
      </w:r>
      <w:r w:rsidRPr="00082C78">
        <w:rPr>
          <w:rFonts w:ascii="David" w:eastAsia="Calibri" w:hAnsi="David" w:hint="eastAsia"/>
          <w:b/>
          <w:bCs/>
          <w:sz w:val="24"/>
          <w:rtl/>
        </w:rPr>
        <w:t>יכולת</w:t>
      </w:r>
      <w:r w:rsidRPr="00082C78">
        <w:rPr>
          <w:rFonts w:ascii="David" w:eastAsia="Calibri" w:hAnsi="David"/>
          <w:b/>
          <w:bCs/>
          <w:sz w:val="24"/>
          <w:rtl/>
        </w:rPr>
        <w:t xml:space="preserve"> </w:t>
      </w:r>
      <w:r w:rsidRPr="00082C78">
        <w:rPr>
          <w:rFonts w:ascii="David" w:eastAsia="Calibri" w:hAnsi="David" w:hint="eastAsia"/>
          <w:b/>
          <w:bCs/>
          <w:sz w:val="24"/>
          <w:rtl/>
        </w:rPr>
        <w:t>שאינה</w:t>
      </w:r>
      <w:r w:rsidRPr="00082C78">
        <w:rPr>
          <w:rFonts w:ascii="David" w:eastAsia="Calibri" w:hAnsi="David"/>
          <w:b/>
          <w:bCs/>
          <w:sz w:val="24"/>
          <w:rtl/>
        </w:rPr>
        <w:t xml:space="preserve"> </w:t>
      </w:r>
      <w:r w:rsidRPr="00082C78">
        <w:rPr>
          <w:rFonts w:ascii="David" w:eastAsia="Calibri" w:hAnsi="David" w:hint="eastAsia"/>
          <w:b/>
          <w:bCs/>
          <w:sz w:val="24"/>
          <w:rtl/>
        </w:rPr>
        <w:t>מותרת</w:t>
      </w:r>
      <w:r w:rsidRPr="00082C78">
        <w:rPr>
          <w:rFonts w:ascii="David" w:eastAsia="Calibri" w:hAnsi="David"/>
          <w:b/>
          <w:bCs/>
          <w:sz w:val="24"/>
          <w:rtl/>
        </w:rPr>
        <w:t xml:space="preserve"> </w:t>
      </w:r>
      <w:r w:rsidRPr="00082C78">
        <w:rPr>
          <w:rFonts w:ascii="David" w:eastAsia="Calibri" w:hAnsi="David" w:hint="eastAsia"/>
          <w:b/>
          <w:bCs/>
          <w:sz w:val="24"/>
          <w:rtl/>
        </w:rPr>
        <w:t>בהתאם</w:t>
      </w:r>
      <w:r w:rsidRPr="00082C78">
        <w:rPr>
          <w:rFonts w:ascii="David" w:eastAsia="Calibri" w:hAnsi="David"/>
          <w:b/>
          <w:bCs/>
          <w:sz w:val="24"/>
          <w:rtl/>
        </w:rPr>
        <w:t xml:space="preserve"> </w:t>
      </w:r>
      <w:r w:rsidRPr="00082C78">
        <w:rPr>
          <w:rFonts w:ascii="David" w:eastAsia="Calibri" w:hAnsi="David" w:hint="eastAsia"/>
          <w:b/>
          <w:bCs/>
          <w:sz w:val="24"/>
          <w:rtl/>
        </w:rPr>
        <w:t>לחוק</w:t>
      </w:r>
      <w:r w:rsidRPr="00082C78">
        <w:rPr>
          <w:rFonts w:ascii="David" w:eastAsia="Calibri" w:hAnsi="David"/>
          <w:b/>
          <w:bCs/>
          <w:sz w:val="24"/>
          <w:rtl/>
        </w:rPr>
        <w:t xml:space="preserve"> </w:t>
      </w:r>
      <w:r w:rsidRPr="00082C78">
        <w:rPr>
          <w:rFonts w:ascii="David" w:eastAsia="Calibri" w:hAnsi="David" w:hint="eastAsia"/>
          <w:b/>
          <w:bCs/>
          <w:sz w:val="24"/>
          <w:rtl/>
        </w:rPr>
        <w:t>האזנת</w:t>
      </w:r>
      <w:r w:rsidRPr="00082C78">
        <w:rPr>
          <w:rFonts w:ascii="David" w:eastAsia="Calibri" w:hAnsi="David"/>
          <w:b/>
          <w:bCs/>
          <w:sz w:val="24"/>
          <w:rtl/>
        </w:rPr>
        <w:t xml:space="preserve"> </w:t>
      </w:r>
      <w:r w:rsidRPr="00082C78">
        <w:rPr>
          <w:rFonts w:ascii="David" w:eastAsia="Calibri" w:hAnsi="David" w:hint="eastAsia"/>
          <w:b/>
          <w:bCs/>
          <w:sz w:val="24"/>
          <w:rtl/>
        </w:rPr>
        <w:t>סתר</w:t>
      </w:r>
      <w:r w:rsidRPr="00082C78">
        <w:rPr>
          <w:rFonts w:ascii="David" w:eastAsia="Calibri" w:hAnsi="David" w:hint="cs"/>
          <w:b/>
          <w:bCs/>
          <w:sz w:val="24"/>
          <w:rtl/>
        </w:rPr>
        <w:t xml:space="preserve">. בשנת 2016 נתן הייעוץ המשפטי למשטרה אישור </w:t>
      </w:r>
      <w:r w:rsidR="00B21330">
        <w:rPr>
          <w:rFonts w:ascii="David" w:eastAsia="Calibri" w:hAnsi="David" w:hint="cs"/>
          <w:b/>
          <w:bCs/>
          <w:sz w:val="24"/>
          <w:rtl/>
        </w:rPr>
        <w:t>ל</w:t>
      </w:r>
      <w:r w:rsidRPr="00082C78">
        <w:rPr>
          <w:rFonts w:ascii="David" w:eastAsia="Calibri" w:hAnsi="David" w:hint="cs"/>
          <w:b/>
          <w:bCs/>
          <w:sz w:val="24"/>
          <w:rtl/>
        </w:rPr>
        <w:t>שימוש ב</w:t>
      </w:r>
      <w:r w:rsidR="00C05AB5">
        <w:rPr>
          <w:rFonts w:ascii="David" w:eastAsia="Calibri" w:hAnsi="David" w:hint="cs"/>
          <w:b/>
          <w:bCs/>
          <w:sz w:val="24"/>
          <w:rtl/>
        </w:rPr>
        <w:t>כלי טכנולוגי</w:t>
      </w:r>
      <w:r w:rsidRPr="00082C78">
        <w:rPr>
          <w:rFonts w:ascii="David" w:eastAsia="Calibri" w:hAnsi="David" w:hint="cs"/>
          <w:b/>
          <w:bCs/>
          <w:sz w:val="24"/>
          <w:rtl/>
        </w:rPr>
        <w:t xml:space="preserve"> לביצוע פעולה מסוימת בלא שהתקיימה התייעצות עם גורמי הייעוץ המשפטי לממשלה. </w:t>
      </w:r>
    </w:p>
    <w:p w:rsidR="00082C78" w:rsidRPr="00082C78" w:rsidRDefault="00082C78" w:rsidP="003F66B6">
      <w:pPr>
        <w:spacing w:line="269" w:lineRule="auto"/>
        <w:ind w:left="340"/>
        <w:contextualSpacing/>
        <w:rPr>
          <w:rFonts w:ascii="David" w:eastAsia="Calibri" w:hAnsi="David"/>
          <w:b/>
          <w:bCs/>
          <w:sz w:val="24"/>
          <w:rtl/>
        </w:rPr>
      </w:pPr>
    </w:p>
    <w:p w:rsidR="00082C78" w:rsidRDefault="00082C78" w:rsidP="003F66B6">
      <w:pPr>
        <w:spacing w:line="269" w:lineRule="auto"/>
        <w:ind w:left="340"/>
        <w:contextualSpacing/>
        <w:rPr>
          <w:rFonts w:ascii="David" w:eastAsia="Calibri" w:hAnsi="David"/>
          <w:b/>
          <w:bCs/>
          <w:sz w:val="24"/>
          <w:rtl/>
        </w:rPr>
      </w:pPr>
      <w:r w:rsidRPr="00082C78">
        <w:rPr>
          <w:rFonts w:ascii="David" w:eastAsia="Calibri" w:hAnsi="David" w:hint="cs"/>
          <w:b/>
          <w:bCs/>
          <w:sz w:val="24"/>
          <w:rtl/>
        </w:rPr>
        <w:t xml:space="preserve">שנים מספר מאוחר יותר, ועל בסיס ממצאי צוות מררי, עמדת היועמ"שית לממשלה הייתה כי דרך פעולה זו חורגת מסמכות המשטרה על פי חוק האזנת סתר. </w:t>
      </w:r>
    </w:p>
    <w:p w:rsidR="005C7A71" w:rsidRDefault="005C7A71" w:rsidP="00604C3D">
      <w:pPr>
        <w:spacing w:line="269" w:lineRule="auto"/>
        <w:ind w:left="-2"/>
        <w:contextualSpacing/>
        <w:rPr>
          <w:rFonts w:ascii="David" w:eastAsia="Calibri" w:hAnsi="David"/>
          <w:b/>
          <w:bCs/>
          <w:sz w:val="24"/>
          <w:rtl/>
        </w:rPr>
      </w:pPr>
    </w:p>
    <w:p w:rsidR="00082C78" w:rsidRPr="00082C78" w:rsidRDefault="00082C78" w:rsidP="00604C3D">
      <w:pPr>
        <w:spacing w:line="269" w:lineRule="auto"/>
        <w:ind w:left="-483"/>
        <w:contextualSpacing/>
        <w:jc w:val="center"/>
        <w:rPr>
          <w:rFonts w:ascii="David" w:eastAsia="Calibri" w:hAnsi="David"/>
          <w:b/>
          <w:bCs/>
          <w:sz w:val="24"/>
          <w:rtl/>
        </w:rPr>
      </w:pPr>
      <w:r w:rsidRPr="00082C78">
        <w:rPr>
          <w:rFonts w:ascii="Segoe UI Symbol" w:eastAsia="Calibri" w:hAnsi="Segoe UI Symbol" w:cs="Segoe UI Symbol" w:hint="cs"/>
          <w:b/>
          <w:bCs/>
          <w:sz w:val="36"/>
          <w:rtl/>
        </w:rPr>
        <w:t>✰</w:t>
      </w:r>
    </w:p>
    <w:p w:rsidR="00271D14" w:rsidRDefault="00271D14"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b/>
          <w:bCs/>
          <w:sz w:val="24"/>
          <w:rtl/>
        </w:rPr>
      </w:pPr>
      <w:r w:rsidRPr="00082C78">
        <w:rPr>
          <w:rFonts w:ascii="David" w:eastAsia="Calibri" w:hAnsi="David" w:hint="cs"/>
          <w:b/>
          <w:bCs/>
          <w:sz w:val="24"/>
          <w:rtl/>
        </w:rPr>
        <w:t xml:space="preserve">כדי שהמשטרה תוכל להשתמש בכלים טכנולוגיים מתקדמים לצורך מאבק בפשיעה, ובכלל זה כלים </w:t>
      </w:r>
      <w:r w:rsidR="00264D96">
        <w:rPr>
          <w:rFonts w:ascii="David" w:eastAsia="Calibri" w:hAnsi="David" w:hint="cs"/>
          <w:b/>
          <w:bCs/>
          <w:sz w:val="24"/>
          <w:rtl/>
        </w:rPr>
        <w:t>שהשימוש בהם מעלה</w:t>
      </w:r>
      <w:r w:rsidR="00264D96" w:rsidRPr="00082C78">
        <w:rPr>
          <w:rFonts w:ascii="David" w:eastAsia="Calibri" w:hAnsi="David" w:hint="cs"/>
          <w:b/>
          <w:bCs/>
          <w:sz w:val="24"/>
          <w:rtl/>
        </w:rPr>
        <w:t xml:space="preserve"> </w:t>
      </w:r>
      <w:r w:rsidRPr="00082C78">
        <w:rPr>
          <w:rFonts w:ascii="David" w:eastAsia="Calibri" w:hAnsi="David" w:hint="cs"/>
          <w:b/>
          <w:bCs/>
          <w:sz w:val="24"/>
          <w:rtl/>
        </w:rPr>
        <w:t>סוגיות משפטיות סבוכות הנוגעות לתחום האזנות סתר, לסמכויות חיפוש ולפגיעה בזכויות יסוד, ושיש בהם פוטנציאל לחריגה מהסמכות הקבועה בחוק, עליה לוודא שאין היא חורגת מתחומי סמכותה בשימוש שהיא עושה בהם. לצורך כך, על היועץ המשפטי למשטרה לפנות מבעוד מועד לגורמי הייעוץ המשפטי לממשלה, להציג בפניהם את המפרט הטכני ואת היכולות של כלים אלו ולקבל את האישור המשפטי להפעלתם מהיועצת המשפטית לממשלה.</w:t>
      </w:r>
    </w:p>
    <w:p w:rsidR="00124943" w:rsidRDefault="00124943" w:rsidP="00604C3D">
      <w:pPr>
        <w:pStyle w:val="a5"/>
        <w:spacing w:line="269" w:lineRule="auto"/>
        <w:rPr>
          <w:rtl/>
        </w:rPr>
      </w:pPr>
    </w:p>
    <w:p w:rsidR="00082C78" w:rsidRDefault="00082C78" w:rsidP="00604C3D">
      <w:pPr>
        <w:spacing w:line="269" w:lineRule="auto"/>
        <w:rPr>
          <w:rFonts w:ascii="David" w:eastAsia="Calibri" w:hAnsi="David"/>
          <w:sz w:val="24"/>
          <w:rtl/>
        </w:rPr>
      </w:pPr>
      <w:r w:rsidRPr="00082C78">
        <w:rPr>
          <w:rFonts w:ascii="David" w:eastAsia="Calibri" w:hAnsi="David" w:hint="cs"/>
          <w:sz w:val="24"/>
          <w:rtl/>
        </w:rPr>
        <w:t>המשטרה מסרה</w:t>
      </w:r>
      <w:r w:rsidR="00AB56E1">
        <w:rPr>
          <w:rFonts w:ascii="David" w:eastAsia="Calibri" w:hAnsi="David" w:hint="cs"/>
          <w:sz w:val="24"/>
          <w:rtl/>
        </w:rPr>
        <w:t xml:space="preserve"> ביוני 2024</w:t>
      </w:r>
      <w:r w:rsidRPr="00082C78">
        <w:rPr>
          <w:rFonts w:ascii="David" w:eastAsia="Calibri" w:hAnsi="David" w:hint="cs"/>
          <w:sz w:val="24"/>
          <w:rtl/>
        </w:rPr>
        <w:t xml:space="preserve"> כי </w:t>
      </w:r>
      <w:r w:rsidRPr="00082C78">
        <w:rPr>
          <w:rFonts w:ascii="David" w:eastAsia="Calibri" w:hAnsi="David" w:hint="eastAsia"/>
          <w:sz w:val="24"/>
          <w:rtl/>
        </w:rPr>
        <w:t>מ</w:t>
      </w:r>
      <w:r w:rsidR="002E13E4">
        <w:rPr>
          <w:rFonts w:ascii="David" w:eastAsia="Calibri" w:hAnsi="David" w:hint="cs"/>
          <w:sz w:val="24"/>
          <w:rtl/>
        </w:rPr>
        <w:t xml:space="preserve">אז </w:t>
      </w:r>
      <w:r w:rsidRPr="00082C78">
        <w:rPr>
          <w:rFonts w:ascii="David" w:eastAsia="Calibri" w:hAnsi="David" w:hint="eastAsia"/>
          <w:sz w:val="24"/>
          <w:rtl/>
        </w:rPr>
        <w:t>פרסום</w:t>
      </w:r>
      <w:r w:rsidRPr="00082C78">
        <w:rPr>
          <w:rFonts w:ascii="David" w:eastAsia="Calibri" w:hAnsi="David"/>
          <w:sz w:val="24"/>
          <w:rtl/>
        </w:rPr>
        <w:t xml:space="preserve"> </w:t>
      </w:r>
      <w:r w:rsidRPr="00082C78">
        <w:rPr>
          <w:rFonts w:ascii="David" w:eastAsia="Calibri" w:hAnsi="David" w:hint="eastAsia"/>
          <w:sz w:val="24"/>
          <w:rtl/>
        </w:rPr>
        <w:t>דוח</w:t>
      </w:r>
      <w:r w:rsidRPr="00082C78">
        <w:rPr>
          <w:rFonts w:ascii="David" w:eastAsia="Calibri" w:hAnsi="David"/>
          <w:sz w:val="24"/>
          <w:rtl/>
        </w:rPr>
        <w:t xml:space="preserve"> צוות מררי</w:t>
      </w:r>
      <w:r w:rsidRPr="00082C78">
        <w:rPr>
          <w:rFonts w:ascii="David" w:eastAsia="Calibri" w:hAnsi="David" w:hint="cs"/>
          <w:sz w:val="24"/>
          <w:rtl/>
        </w:rPr>
        <w:t xml:space="preserve"> היא פועלת</w:t>
      </w:r>
      <w:r w:rsidRPr="00082C78">
        <w:rPr>
          <w:rFonts w:ascii="David" w:eastAsia="Calibri" w:hAnsi="David"/>
          <w:sz w:val="24"/>
          <w:rtl/>
        </w:rPr>
        <w:t xml:space="preserve"> </w:t>
      </w:r>
      <w:r w:rsidRPr="00082C78">
        <w:rPr>
          <w:rFonts w:ascii="David" w:eastAsia="Calibri" w:hAnsi="David" w:hint="cs"/>
          <w:sz w:val="24"/>
          <w:rtl/>
        </w:rPr>
        <w:t xml:space="preserve">לפיתוח </w:t>
      </w:r>
      <w:r w:rsidRPr="00082C78">
        <w:rPr>
          <w:rFonts w:ascii="David" w:eastAsia="Calibri" w:hAnsi="David" w:hint="eastAsia"/>
          <w:sz w:val="24"/>
          <w:rtl/>
        </w:rPr>
        <w:t>מתודולוגיה</w:t>
      </w:r>
      <w:r w:rsidRPr="00082C78">
        <w:rPr>
          <w:rFonts w:ascii="David" w:eastAsia="Calibri" w:hAnsi="David"/>
          <w:sz w:val="24"/>
          <w:rtl/>
        </w:rPr>
        <w:t xml:space="preserve"> ב</w:t>
      </w:r>
      <w:r w:rsidRPr="00082C78">
        <w:rPr>
          <w:rFonts w:ascii="David" w:eastAsia="Calibri" w:hAnsi="David" w:hint="cs"/>
          <w:sz w:val="24"/>
          <w:rtl/>
        </w:rPr>
        <w:t>נוגע</w:t>
      </w:r>
      <w:r w:rsidRPr="00082C78">
        <w:rPr>
          <w:rFonts w:ascii="David" w:eastAsia="Calibri" w:hAnsi="David"/>
          <w:sz w:val="24"/>
          <w:rtl/>
        </w:rPr>
        <w:t xml:space="preserve"> לאישור </w:t>
      </w:r>
      <w:r w:rsidRPr="00082C78">
        <w:rPr>
          <w:rFonts w:ascii="David" w:eastAsia="Calibri" w:hAnsi="David" w:hint="cs"/>
          <w:sz w:val="24"/>
          <w:rtl/>
        </w:rPr>
        <w:t xml:space="preserve">כלים טכנולוגיים </w:t>
      </w:r>
      <w:r w:rsidRPr="00082C78">
        <w:rPr>
          <w:rFonts w:ascii="David" w:eastAsia="Calibri" w:hAnsi="David"/>
          <w:sz w:val="24"/>
          <w:rtl/>
        </w:rPr>
        <w:t xml:space="preserve">והשימוש בהם </w:t>
      </w:r>
      <w:r w:rsidR="00AC2F7C">
        <w:rPr>
          <w:rFonts w:ascii="David" w:eastAsia="Calibri" w:hAnsi="David" w:hint="cs"/>
          <w:sz w:val="24"/>
          <w:rtl/>
        </w:rPr>
        <w:t>ה</w:t>
      </w:r>
      <w:r w:rsidRPr="00082C78">
        <w:rPr>
          <w:rFonts w:ascii="David" w:eastAsia="Calibri" w:hAnsi="David"/>
          <w:sz w:val="24"/>
          <w:rtl/>
        </w:rPr>
        <w:t>מחייבת, בין היתר</w:t>
      </w:r>
      <w:r w:rsidRPr="00082C78">
        <w:rPr>
          <w:rFonts w:ascii="David" w:eastAsia="Calibri" w:hAnsi="David" w:hint="cs"/>
          <w:sz w:val="24"/>
          <w:rtl/>
        </w:rPr>
        <w:t>,</w:t>
      </w:r>
      <w:r w:rsidRPr="00082C78">
        <w:rPr>
          <w:rFonts w:ascii="David" w:eastAsia="Calibri" w:hAnsi="David"/>
          <w:sz w:val="24"/>
          <w:rtl/>
        </w:rPr>
        <w:t xml:space="preserve"> </w:t>
      </w:r>
      <w:r w:rsidRPr="00082C78">
        <w:rPr>
          <w:rFonts w:ascii="David" w:eastAsia="Calibri" w:hAnsi="David" w:hint="eastAsia"/>
          <w:sz w:val="24"/>
          <w:rtl/>
        </w:rPr>
        <w:t>קבל</w:t>
      </w:r>
      <w:r w:rsidRPr="00082C78">
        <w:rPr>
          <w:rFonts w:ascii="David" w:eastAsia="Calibri" w:hAnsi="David" w:hint="cs"/>
          <w:sz w:val="24"/>
          <w:rtl/>
        </w:rPr>
        <w:t>ת</w:t>
      </w:r>
      <w:r w:rsidRPr="00082C78">
        <w:rPr>
          <w:rFonts w:ascii="David" w:eastAsia="Calibri" w:hAnsi="David"/>
          <w:sz w:val="24"/>
          <w:rtl/>
        </w:rPr>
        <w:t xml:space="preserve"> אישור</w:t>
      </w:r>
      <w:r w:rsidRPr="00082C78">
        <w:rPr>
          <w:rFonts w:ascii="David" w:eastAsia="Calibri" w:hAnsi="David" w:hint="cs"/>
          <w:sz w:val="24"/>
          <w:rtl/>
        </w:rPr>
        <w:t xml:space="preserve"> יועמ"ש המשטרה</w:t>
      </w:r>
      <w:r w:rsidRPr="00082C78">
        <w:rPr>
          <w:rFonts w:ascii="David" w:eastAsia="Calibri" w:hAnsi="David"/>
          <w:sz w:val="24"/>
          <w:rtl/>
        </w:rPr>
        <w:t xml:space="preserve"> </w:t>
      </w:r>
      <w:r w:rsidRPr="00082C78">
        <w:rPr>
          <w:rFonts w:ascii="David" w:eastAsia="Calibri" w:hAnsi="David" w:hint="cs"/>
          <w:sz w:val="24"/>
          <w:rtl/>
        </w:rPr>
        <w:t>וגורמי הייעוץ המשפטי לממשלה</w:t>
      </w:r>
      <w:r w:rsidRPr="00082C78">
        <w:rPr>
          <w:rFonts w:ascii="David" w:eastAsia="Calibri" w:hAnsi="David"/>
          <w:sz w:val="24"/>
          <w:rtl/>
        </w:rPr>
        <w:t xml:space="preserve">, </w:t>
      </w:r>
      <w:r w:rsidRPr="00082C78">
        <w:rPr>
          <w:rFonts w:ascii="David" w:eastAsia="Calibri" w:hAnsi="David" w:hint="eastAsia"/>
          <w:sz w:val="24"/>
          <w:rtl/>
        </w:rPr>
        <w:t>הן</w:t>
      </w:r>
      <w:r w:rsidRPr="00082C78">
        <w:rPr>
          <w:rFonts w:ascii="David" w:eastAsia="Calibri" w:hAnsi="David"/>
          <w:sz w:val="24"/>
          <w:rtl/>
        </w:rPr>
        <w:t xml:space="preserve"> </w:t>
      </w:r>
      <w:r w:rsidRPr="00082C78">
        <w:rPr>
          <w:rFonts w:ascii="David" w:eastAsia="Calibri" w:hAnsi="David" w:hint="eastAsia"/>
          <w:sz w:val="24"/>
          <w:rtl/>
        </w:rPr>
        <w:t>ב</w:t>
      </w:r>
      <w:r w:rsidRPr="00082C78">
        <w:rPr>
          <w:rFonts w:ascii="David" w:eastAsia="Calibri" w:hAnsi="David" w:hint="cs"/>
          <w:sz w:val="24"/>
          <w:rtl/>
        </w:rPr>
        <w:t>עניין</w:t>
      </w:r>
      <w:r w:rsidRPr="00082C78">
        <w:rPr>
          <w:rFonts w:ascii="David" w:eastAsia="Calibri" w:hAnsi="David"/>
          <w:sz w:val="24"/>
          <w:rtl/>
        </w:rPr>
        <w:t xml:space="preserve"> </w:t>
      </w:r>
      <w:r w:rsidRPr="00082C78">
        <w:rPr>
          <w:rFonts w:ascii="David" w:eastAsia="Calibri" w:hAnsi="David" w:hint="eastAsia"/>
          <w:sz w:val="24"/>
          <w:rtl/>
        </w:rPr>
        <w:t>רכש</w:t>
      </w:r>
      <w:r w:rsidR="000D2A9B">
        <w:rPr>
          <w:rFonts w:ascii="David" w:eastAsia="Calibri" w:hAnsi="David" w:hint="cs"/>
          <w:sz w:val="24"/>
          <w:rtl/>
        </w:rPr>
        <w:t xml:space="preserve"> הכלים</w:t>
      </w:r>
      <w:r w:rsidRPr="00082C78">
        <w:rPr>
          <w:rFonts w:ascii="David" w:eastAsia="Calibri" w:hAnsi="David"/>
          <w:sz w:val="24"/>
          <w:rtl/>
        </w:rPr>
        <w:t xml:space="preserve"> </w:t>
      </w:r>
      <w:r w:rsidRPr="00082C78">
        <w:rPr>
          <w:rFonts w:ascii="David" w:eastAsia="Calibri" w:hAnsi="David" w:hint="eastAsia"/>
          <w:sz w:val="24"/>
          <w:rtl/>
        </w:rPr>
        <w:t>והן</w:t>
      </w:r>
      <w:r w:rsidRPr="00082C78">
        <w:rPr>
          <w:rFonts w:ascii="David" w:eastAsia="Calibri" w:hAnsi="David"/>
          <w:sz w:val="24"/>
          <w:rtl/>
        </w:rPr>
        <w:t xml:space="preserve"> </w:t>
      </w:r>
      <w:r w:rsidRPr="00082C78">
        <w:rPr>
          <w:rFonts w:ascii="David" w:eastAsia="Calibri" w:hAnsi="David" w:hint="eastAsia"/>
          <w:sz w:val="24"/>
          <w:rtl/>
        </w:rPr>
        <w:t>ב</w:t>
      </w:r>
      <w:r w:rsidRPr="00082C78">
        <w:rPr>
          <w:rFonts w:ascii="David" w:eastAsia="Calibri" w:hAnsi="David" w:hint="cs"/>
          <w:sz w:val="24"/>
          <w:rtl/>
        </w:rPr>
        <w:t>עניין</w:t>
      </w:r>
      <w:r w:rsidRPr="00082C78">
        <w:rPr>
          <w:rFonts w:ascii="David" w:eastAsia="Calibri" w:hAnsi="David"/>
          <w:sz w:val="24"/>
          <w:rtl/>
        </w:rPr>
        <w:t xml:space="preserve"> </w:t>
      </w:r>
      <w:r w:rsidRPr="00082C78">
        <w:rPr>
          <w:rFonts w:ascii="David" w:eastAsia="Calibri" w:hAnsi="David" w:hint="eastAsia"/>
          <w:sz w:val="24"/>
          <w:rtl/>
        </w:rPr>
        <w:t>הפעל</w:t>
      </w:r>
      <w:r w:rsidR="004F7E5E">
        <w:rPr>
          <w:rFonts w:ascii="David" w:eastAsia="Calibri" w:hAnsi="David" w:hint="cs"/>
          <w:sz w:val="24"/>
          <w:rtl/>
        </w:rPr>
        <w:t>ת</w:t>
      </w:r>
      <w:r w:rsidR="000D2A9B">
        <w:rPr>
          <w:rFonts w:ascii="David" w:eastAsia="Calibri" w:hAnsi="David" w:hint="cs"/>
          <w:sz w:val="24"/>
          <w:rtl/>
        </w:rPr>
        <w:t>ם</w:t>
      </w:r>
      <w:r w:rsidRPr="00082C78">
        <w:rPr>
          <w:rFonts w:ascii="David" w:eastAsia="Calibri" w:hAnsi="David" w:hint="cs"/>
          <w:sz w:val="24"/>
          <w:rtl/>
        </w:rPr>
        <w:t xml:space="preserve">. כך בשנים 2022 - 2023 היא הגישה בקשה לאישור גורמי הייעוץ המשפטי לממשלה לאישור הפעלה בנוגע לשני כלים אשר גובתה </w:t>
      </w:r>
      <w:r w:rsidR="00824240">
        <w:rPr>
          <w:rFonts w:ascii="David" w:eastAsia="Calibri" w:hAnsi="David" w:hint="cs"/>
          <w:sz w:val="24"/>
          <w:rtl/>
        </w:rPr>
        <w:t>בכלל המסמכים הנוספים הדרושים</w:t>
      </w:r>
      <w:r w:rsidRPr="00082C78">
        <w:rPr>
          <w:rFonts w:ascii="David" w:eastAsia="Calibri" w:hAnsi="David" w:hint="cs"/>
          <w:sz w:val="24"/>
          <w:rtl/>
        </w:rPr>
        <w:t>.</w:t>
      </w:r>
    </w:p>
    <w:p w:rsidR="005A7233" w:rsidRPr="00082C78" w:rsidRDefault="005A7233" w:rsidP="00604C3D">
      <w:pPr>
        <w:spacing w:line="269" w:lineRule="auto"/>
        <w:rPr>
          <w:rFonts w:ascii="David" w:eastAsia="Calibri" w:hAnsi="David"/>
          <w:sz w:val="24"/>
          <w:rtl/>
        </w:rPr>
      </w:pPr>
    </w:p>
    <w:p w:rsidR="00082C78" w:rsidRPr="00082C78" w:rsidRDefault="00082C78" w:rsidP="00604C3D">
      <w:pPr>
        <w:pStyle w:val="3"/>
        <w:spacing w:before="0" w:line="269" w:lineRule="auto"/>
        <w:rPr>
          <w:rFonts w:eastAsia="Times New Roman"/>
          <w:rtl/>
        </w:rPr>
      </w:pPr>
      <w:bookmarkStart w:id="156" w:name="_Toc193282959"/>
      <w:bookmarkStart w:id="157" w:name="_Toc219286522"/>
      <w:bookmarkStart w:id="158" w:name="_Hlk147753656"/>
      <w:r w:rsidRPr="00082C78">
        <w:rPr>
          <w:rFonts w:eastAsia="Times New Roman" w:hint="cs"/>
          <w:rtl/>
        </w:rPr>
        <w:t xml:space="preserve">1.4 הימשכות </w:t>
      </w:r>
      <w:r w:rsidRPr="00082C78">
        <w:rPr>
          <w:rFonts w:eastAsia="Times New Roman"/>
          <w:rtl/>
        </w:rPr>
        <w:t xml:space="preserve">הטיפול של הייעוץ המשפטי לממשלה </w:t>
      </w:r>
      <w:r w:rsidRPr="00082C78">
        <w:rPr>
          <w:rFonts w:eastAsia="Times New Roman" w:hint="cs"/>
          <w:rtl/>
        </w:rPr>
        <w:t>בבחינת</w:t>
      </w:r>
      <w:r w:rsidRPr="00082C78">
        <w:rPr>
          <w:rFonts w:eastAsia="Times New Roman"/>
          <w:rtl/>
        </w:rPr>
        <w:t xml:space="preserve"> מתווי</w:t>
      </w:r>
      <w:r w:rsidRPr="00082C78">
        <w:rPr>
          <w:rFonts w:eastAsia="Times New Roman" w:hint="cs"/>
          <w:rtl/>
        </w:rPr>
        <w:t xml:space="preserve"> </w:t>
      </w:r>
      <w:r w:rsidR="00062A25">
        <w:rPr>
          <w:rFonts w:eastAsia="Times New Roman" w:hint="cs"/>
          <w:rtl/>
        </w:rPr>
        <w:t>התקנה</w:t>
      </w:r>
      <w:r w:rsidRPr="00082C78">
        <w:rPr>
          <w:rFonts w:eastAsia="Times New Roman"/>
          <w:rtl/>
        </w:rPr>
        <w:t xml:space="preserve"> וכלים </w:t>
      </w:r>
      <w:r w:rsidRPr="00082C78">
        <w:rPr>
          <w:rFonts w:eastAsia="Times New Roman" w:hint="cs"/>
          <w:rtl/>
        </w:rPr>
        <w:t>טכנולוגיים</w:t>
      </w:r>
      <w:bookmarkEnd w:id="156"/>
      <w:bookmarkEnd w:id="157"/>
    </w:p>
    <w:bookmarkEnd w:id="158"/>
    <w:p w:rsidR="00271D14" w:rsidRDefault="00271D14" w:rsidP="00604C3D">
      <w:pPr>
        <w:spacing w:line="269" w:lineRule="auto"/>
        <w:ind w:left="-2"/>
        <w:rPr>
          <w:rFonts w:ascii="David" w:eastAsia="Calibri" w:hAnsi="David"/>
          <w:sz w:val="24"/>
          <w:rtl/>
        </w:rPr>
      </w:pPr>
    </w:p>
    <w:p w:rsidR="00082C78" w:rsidRPr="00082C78" w:rsidRDefault="00082C78" w:rsidP="00604C3D">
      <w:pPr>
        <w:spacing w:line="269" w:lineRule="auto"/>
        <w:ind w:left="-2"/>
        <w:rPr>
          <w:rFonts w:ascii="David" w:eastAsia="Calibri" w:hAnsi="David"/>
          <w:sz w:val="24"/>
          <w:rtl/>
        </w:rPr>
      </w:pPr>
      <w:r w:rsidRPr="00082C78">
        <w:rPr>
          <w:rFonts w:ascii="David" w:eastAsia="Calibri" w:hAnsi="David" w:hint="cs"/>
          <w:sz w:val="24"/>
          <w:rtl/>
        </w:rPr>
        <w:t xml:space="preserve">במקרים מסוימים החליט היועמ"ש למשטרה לפנות </w:t>
      </w:r>
      <w:r w:rsidR="00844501">
        <w:rPr>
          <w:rFonts w:ascii="David" w:eastAsia="Calibri" w:hAnsi="David" w:hint="cs"/>
          <w:sz w:val="24"/>
          <w:rtl/>
        </w:rPr>
        <w:t>לייעוץ המשפטי לממשלה</w:t>
      </w:r>
      <w:r w:rsidRPr="00082C78">
        <w:rPr>
          <w:rFonts w:ascii="David" w:eastAsia="Calibri" w:hAnsi="David" w:hint="cs"/>
          <w:sz w:val="24"/>
          <w:rtl/>
        </w:rPr>
        <w:t xml:space="preserve"> לצורך בחינה של ההיבטים המשפטיים הכרוכים בהפעלת כלים </w:t>
      </w:r>
      <w:r w:rsidR="000D2A9B">
        <w:rPr>
          <w:rFonts w:ascii="David" w:eastAsia="Calibri" w:hAnsi="David" w:hint="cs"/>
          <w:sz w:val="24"/>
          <w:rtl/>
        </w:rPr>
        <w:t xml:space="preserve">טכנולוגיים </w:t>
      </w:r>
      <w:r w:rsidRPr="00082C78">
        <w:rPr>
          <w:rFonts w:ascii="David" w:eastAsia="Calibri" w:hAnsi="David" w:hint="cs"/>
          <w:sz w:val="24"/>
          <w:rtl/>
        </w:rPr>
        <w:t>ושל מתווי הפעולה ואישורם. במקרים אלו נודעת חשיבות לקיום הליך בחינה והחלטה יעילים, מהירים ותכליתיים כדי לאפשר את המשך פעולתה של המשטרה בכל הנוגע למאבק בפשיעה ולהבטחת הסדר הציבורי.</w:t>
      </w:r>
    </w:p>
    <w:p w:rsidR="00271D14" w:rsidRDefault="00271D14" w:rsidP="00604C3D">
      <w:pPr>
        <w:spacing w:line="269" w:lineRule="auto"/>
        <w:ind w:left="-2"/>
        <w:rPr>
          <w:rFonts w:ascii="David" w:eastAsia="Calibri" w:hAnsi="David"/>
          <w:sz w:val="24"/>
          <w:rtl/>
        </w:rPr>
      </w:pPr>
      <w:bookmarkStart w:id="159" w:name="_Hlk147754583"/>
    </w:p>
    <w:p w:rsidR="00082C78" w:rsidRPr="00082C78" w:rsidRDefault="00082C78" w:rsidP="00604C3D">
      <w:pPr>
        <w:spacing w:line="269" w:lineRule="auto"/>
        <w:ind w:left="-2"/>
        <w:rPr>
          <w:rFonts w:ascii="David" w:eastAsia="Calibri" w:hAnsi="David"/>
          <w:sz w:val="24"/>
          <w:rtl/>
        </w:rPr>
      </w:pPr>
      <w:r w:rsidRPr="00082C78">
        <w:rPr>
          <w:rFonts w:ascii="David" w:eastAsia="Calibri" w:hAnsi="David" w:hint="cs"/>
          <w:sz w:val="24"/>
          <w:rtl/>
        </w:rPr>
        <w:t xml:space="preserve">בביקורת עלו מקרים שבהם המשטרה העבירה לבחינת </w:t>
      </w:r>
      <w:r w:rsidR="00844501">
        <w:rPr>
          <w:rFonts w:ascii="David" w:eastAsia="Calibri" w:hAnsi="David" w:hint="cs"/>
          <w:sz w:val="24"/>
          <w:rtl/>
        </w:rPr>
        <w:t>הייעוץ המשפטי לממשלה</w:t>
      </w:r>
      <w:r w:rsidRPr="00082C78">
        <w:rPr>
          <w:rFonts w:ascii="David" w:eastAsia="Calibri" w:hAnsi="David" w:hint="cs"/>
          <w:sz w:val="24"/>
          <w:rtl/>
        </w:rPr>
        <w:t xml:space="preserve"> נושאים הנוגעים לשימוש בכלים טכנולוגיים אולם ההכרעה בעניינים אלו התעכבה או שהתקבלה החלטה ללא פירוט של נימוקים שעומדים ביסודה. </w:t>
      </w:r>
      <w:bookmarkEnd w:id="159"/>
      <w:r w:rsidRPr="00082C78">
        <w:rPr>
          <w:rFonts w:ascii="David" w:eastAsia="Calibri" w:hAnsi="David" w:hint="cs"/>
          <w:sz w:val="24"/>
          <w:rtl/>
        </w:rPr>
        <w:t xml:space="preserve">במקרים מסוימים התברר כי המשטרה השתמשה </w:t>
      </w:r>
      <w:r w:rsidR="00B8312B" w:rsidRPr="00082C78">
        <w:rPr>
          <w:rFonts w:ascii="David" w:eastAsia="Calibri" w:hAnsi="David" w:hint="cs"/>
          <w:sz w:val="24"/>
          <w:rtl/>
        </w:rPr>
        <w:t>ב</w:t>
      </w:r>
      <w:r w:rsidR="00B8312B">
        <w:rPr>
          <w:rFonts w:ascii="David" w:eastAsia="Calibri" w:hAnsi="David" w:hint="cs"/>
          <w:sz w:val="24"/>
          <w:rtl/>
        </w:rPr>
        <w:t>כלים</w:t>
      </w:r>
      <w:r w:rsidR="00B8312B" w:rsidRPr="00082C78">
        <w:rPr>
          <w:rFonts w:ascii="David" w:eastAsia="Calibri" w:hAnsi="David" w:hint="cs"/>
          <w:sz w:val="24"/>
          <w:rtl/>
        </w:rPr>
        <w:t xml:space="preserve"> </w:t>
      </w:r>
      <w:r w:rsidRPr="00082C78">
        <w:rPr>
          <w:rFonts w:ascii="David" w:eastAsia="Calibri" w:hAnsi="David" w:hint="cs"/>
          <w:sz w:val="24"/>
          <w:rtl/>
        </w:rPr>
        <w:t xml:space="preserve">ללא אישור </w:t>
      </w:r>
      <w:r w:rsidR="00844501">
        <w:rPr>
          <w:rFonts w:ascii="David" w:eastAsia="Calibri" w:hAnsi="David" w:hint="cs"/>
          <w:sz w:val="24"/>
          <w:rtl/>
        </w:rPr>
        <w:t>הייעוץ המשפטי לממשלה</w:t>
      </w:r>
      <w:r w:rsidRPr="00082C78">
        <w:rPr>
          <w:rFonts w:ascii="David" w:eastAsia="Calibri" w:hAnsi="David" w:hint="cs"/>
          <w:sz w:val="24"/>
          <w:rtl/>
        </w:rPr>
        <w:t xml:space="preserve">, ובמקרים אחרים היא חדלה משימוש </w:t>
      </w:r>
      <w:r w:rsidR="00FA3F44" w:rsidRPr="00082C78">
        <w:rPr>
          <w:rFonts w:ascii="David" w:eastAsia="Calibri" w:hAnsi="David" w:hint="cs"/>
          <w:sz w:val="24"/>
          <w:rtl/>
        </w:rPr>
        <w:t>ב</w:t>
      </w:r>
      <w:r w:rsidR="00FA3F44">
        <w:rPr>
          <w:rFonts w:ascii="David" w:eastAsia="Calibri" w:hAnsi="David" w:hint="cs"/>
          <w:sz w:val="24"/>
          <w:rtl/>
        </w:rPr>
        <w:t>כלים</w:t>
      </w:r>
      <w:r w:rsidR="00FA3F44" w:rsidRPr="00082C78">
        <w:rPr>
          <w:rFonts w:ascii="David" w:eastAsia="Calibri" w:hAnsi="David" w:hint="cs"/>
          <w:sz w:val="24"/>
          <w:rtl/>
        </w:rPr>
        <w:t xml:space="preserve"> </w:t>
      </w:r>
      <w:r w:rsidRPr="00082C78">
        <w:rPr>
          <w:rFonts w:ascii="David" w:eastAsia="Calibri" w:hAnsi="David" w:hint="cs"/>
          <w:sz w:val="24"/>
          <w:rtl/>
        </w:rPr>
        <w:t>בשל אי-מתן הכרעה בדבר סמכות המשטרה להשתמש באמצעים אלו.</w:t>
      </w:r>
    </w:p>
    <w:p w:rsidR="00082C78" w:rsidRPr="00082C78" w:rsidRDefault="00082C78" w:rsidP="00604C3D">
      <w:pPr>
        <w:spacing w:line="269" w:lineRule="auto"/>
        <w:ind w:left="-2"/>
        <w:rPr>
          <w:rFonts w:ascii="David" w:eastAsia="Calibri" w:hAnsi="David"/>
          <w:sz w:val="24"/>
          <w:rtl/>
        </w:rPr>
      </w:pPr>
    </w:p>
    <w:p w:rsidR="00082C78" w:rsidRPr="00082C78" w:rsidRDefault="00082C78" w:rsidP="00604C3D">
      <w:pPr>
        <w:spacing w:line="269" w:lineRule="auto"/>
        <w:ind w:left="-2"/>
        <w:rPr>
          <w:rFonts w:ascii="David" w:eastAsia="Calibri" w:hAnsi="David"/>
          <w:sz w:val="24"/>
          <w:rtl/>
        </w:rPr>
      </w:pPr>
      <w:r w:rsidRPr="00082C78">
        <w:rPr>
          <w:rFonts w:ascii="David" w:eastAsia="Calibri" w:hAnsi="David" w:hint="cs"/>
          <w:sz w:val="24"/>
          <w:rtl/>
        </w:rPr>
        <w:t>משרד המשפטים כתב בתשובתו כי לא ניתן להצדיק שימוש ללא סמכות בשל עיכוב באישור, ועם זאת לא ניתן לזקוף לחובת גורמי הייעוץ המשפטי לממשלה שימוש משטרתי בכלים טכנולוגיים בלי להמתין לאישור הייעוץ המשפטי לממשלה. העיכובים נבעו מצורך במידע נוסף או מהצורך בבירורים אם קיימים תנאים או מתווים אפשריים לאישור.</w:t>
      </w:r>
    </w:p>
    <w:p w:rsidR="00082C78" w:rsidRPr="00082C78" w:rsidRDefault="00082C78" w:rsidP="00604C3D">
      <w:pPr>
        <w:spacing w:line="269" w:lineRule="auto"/>
        <w:ind w:left="-58"/>
        <w:rPr>
          <w:rFonts w:ascii="David" w:eastAsia="Calibri" w:hAnsi="David"/>
          <w:sz w:val="24"/>
        </w:rPr>
      </w:pPr>
    </w:p>
    <w:p w:rsidR="00082C78" w:rsidRPr="0010202A" w:rsidRDefault="00082C78" w:rsidP="008C598D">
      <w:pPr>
        <w:pStyle w:val="4"/>
        <w:numPr>
          <w:ilvl w:val="1"/>
          <w:numId w:val="43"/>
        </w:numPr>
        <w:spacing w:before="0" w:line="269" w:lineRule="auto"/>
        <w:ind w:left="367"/>
        <w:rPr>
          <w:rFonts w:ascii="David" w:eastAsia="Times New Roman" w:hAnsi="David"/>
          <w:sz w:val="24"/>
          <w:rtl/>
        </w:rPr>
      </w:pPr>
      <w:bookmarkStart w:id="160" w:name="_Toc211521916"/>
      <w:bookmarkStart w:id="161" w:name="_Toc138576068"/>
      <w:bookmarkStart w:id="162" w:name="_Toc219110307"/>
      <w:bookmarkStart w:id="163" w:name="_Toc219113748"/>
      <w:bookmarkStart w:id="164" w:name="_Toc219286523"/>
      <w:r w:rsidRPr="00C9417D">
        <w:rPr>
          <w:rStyle w:val="40"/>
          <w:rFonts w:hint="eastAsia"/>
          <w:bCs/>
          <w:rtl/>
        </w:rPr>
        <w:t>אישור</w:t>
      </w:r>
      <w:r w:rsidRPr="00082C78">
        <w:rPr>
          <w:rFonts w:eastAsia="Times New Roman" w:hint="cs"/>
          <w:rtl/>
        </w:rPr>
        <w:t xml:space="preserve"> פעולה מסוימת באמצעות כלי טכנולוגי</w:t>
      </w:r>
      <w:bookmarkEnd w:id="160"/>
      <w:bookmarkEnd w:id="161"/>
      <w:bookmarkEnd w:id="162"/>
      <w:bookmarkEnd w:id="163"/>
      <w:bookmarkEnd w:id="164"/>
      <w:r w:rsidR="00382AE8">
        <w:rPr>
          <w:rFonts w:eastAsia="Times New Roman" w:hint="cs"/>
          <w:rtl/>
        </w:rPr>
        <w:t xml:space="preserve"> </w:t>
      </w:r>
    </w:p>
    <w:p w:rsidR="00271D14" w:rsidRDefault="00271D14" w:rsidP="00604C3D">
      <w:pPr>
        <w:spacing w:line="269" w:lineRule="auto"/>
        <w:rPr>
          <w:rFonts w:eastAsia="Calibri"/>
          <w:szCs w:val="20"/>
          <w:rtl/>
        </w:rPr>
      </w:pPr>
    </w:p>
    <w:p w:rsidR="00082C78" w:rsidRPr="00082C78" w:rsidRDefault="00250285" w:rsidP="00C9417D">
      <w:pPr>
        <w:spacing w:line="269" w:lineRule="auto"/>
        <w:ind w:left="340"/>
        <w:rPr>
          <w:rFonts w:ascii="David" w:eastAsia="Calibri" w:hAnsi="David"/>
          <w:sz w:val="24"/>
          <w:rtl/>
        </w:rPr>
      </w:pPr>
      <w:r w:rsidRPr="00250285">
        <w:rPr>
          <w:rFonts w:ascii="David" w:eastAsia="Calibri" w:hAnsi="David" w:hint="cs"/>
          <w:sz w:val="24"/>
          <w:rtl/>
        </w:rPr>
        <w:t xml:space="preserve">פעולה מסוימת </w:t>
      </w:r>
      <w:r w:rsidR="000D2A9B">
        <w:rPr>
          <w:rFonts w:ascii="David" w:eastAsia="Calibri" w:hAnsi="David" w:hint="cs"/>
          <w:sz w:val="24"/>
          <w:rtl/>
        </w:rPr>
        <w:t>המבוצעת</w:t>
      </w:r>
      <w:r w:rsidR="000D2A9B" w:rsidRPr="00250285">
        <w:rPr>
          <w:rFonts w:ascii="David" w:eastAsia="Calibri" w:hAnsi="David" w:hint="cs"/>
          <w:sz w:val="24"/>
          <w:rtl/>
        </w:rPr>
        <w:t xml:space="preserve"> </w:t>
      </w:r>
      <w:r w:rsidRPr="00250285">
        <w:rPr>
          <w:rFonts w:ascii="David" w:eastAsia="Calibri" w:hAnsi="David" w:hint="cs"/>
          <w:sz w:val="24"/>
          <w:rtl/>
        </w:rPr>
        <w:t>באמצעות כלי טכנולוגי אושרה על ידי גורם בחטיבת הסייבר</w:t>
      </w:r>
      <w:r w:rsidRPr="00250285">
        <w:rPr>
          <w:rFonts w:ascii="David" w:eastAsia="Calibri" w:hAnsi="David"/>
          <w:sz w:val="24"/>
          <w:rtl/>
        </w:rPr>
        <w:t xml:space="preserve"> </w:t>
      </w:r>
      <w:r>
        <w:rPr>
          <w:rFonts w:ascii="David" w:eastAsia="Calibri" w:hAnsi="David" w:hint="cs"/>
          <w:sz w:val="24"/>
          <w:rtl/>
        </w:rPr>
        <w:t>ו</w:t>
      </w:r>
      <w:r w:rsidR="00082C78" w:rsidRPr="00082C78">
        <w:rPr>
          <w:rFonts w:ascii="David" w:eastAsia="Calibri" w:hAnsi="David"/>
          <w:sz w:val="24"/>
          <w:rtl/>
        </w:rPr>
        <w:t xml:space="preserve">בשנת 2014 </w:t>
      </w:r>
      <w:r w:rsidR="000D2A9B">
        <w:rPr>
          <w:rFonts w:ascii="David" w:eastAsia="Calibri" w:hAnsi="David" w:hint="cs"/>
          <w:sz w:val="24"/>
          <w:rtl/>
        </w:rPr>
        <w:t>אישר</w:t>
      </w:r>
      <w:r w:rsidR="000D2A9B" w:rsidRPr="00082C78">
        <w:rPr>
          <w:rFonts w:ascii="David" w:eastAsia="Calibri" w:hAnsi="David"/>
          <w:sz w:val="24"/>
          <w:rtl/>
        </w:rPr>
        <w:t xml:space="preserve"> </w:t>
      </w:r>
      <w:r w:rsidR="00082C78" w:rsidRPr="00082C78">
        <w:rPr>
          <w:rFonts w:ascii="David" w:eastAsia="Calibri" w:hAnsi="David" w:hint="cs"/>
          <w:sz w:val="24"/>
          <w:rtl/>
        </w:rPr>
        <w:t>יועמ"ש חטיבת הסייבר לבצע את הפעולה, והכלי הטכנולוגי שבאמצעותו ניתן לבצע את הפעולה נרכש והופעל מבצעית בשנת 2016. בהנחיות ובהוראות משנת 2017 בנוגע לכלי טכנולוגי מסוים</w:t>
      </w:r>
      <w:r>
        <w:rPr>
          <w:rFonts w:ascii="David" w:eastAsia="Calibri" w:hAnsi="David" w:hint="cs"/>
          <w:sz w:val="24"/>
          <w:rtl/>
        </w:rPr>
        <w:t xml:space="preserve"> </w:t>
      </w:r>
      <w:r w:rsidR="00082C78" w:rsidRPr="00082C78">
        <w:rPr>
          <w:rFonts w:ascii="David" w:eastAsia="Calibri" w:hAnsi="David" w:hint="cs"/>
          <w:sz w:val="24"/>
          <w:rtl/>
        </w:rPr>
        <w:t>נכתב כי ניתן להפיק ממנו תוצר זה</w:t>
      </w:r>
      <w:r>
        <w:rPr>
          <w:rFonts w:ascii="David" w:eastAsia="Calibri" w:hAnsi="David" w:hint="cs"/>
          <w:sz w:val="24"/>
          <w:rtl/>
        </w:rPr>
        <w:t>.</w:t>
      </w:r>
    </w:p>
    <w:p w:rsidR="00271D14" w:rsidRDefault="00271D14" w:rsidP="00C9417D">
      <w:pPr>
        <w:spacing w:line="269" w:lineRule="auto"/>
        <w:ind w:left="340"/>
        <w:rPr>
          <w:rFonts w:ascii="David" w:eastAsia="Calibri" w:hAnsi="David"/>
          <w:sz w:val="16"/>
          <w:szCs w:val="16"/>
          <w:rtl/>
        </w:rPr>
      </w:pPr>
    </w:p>
    <w:p w:rsidR="00082C78" w:rsidRPr="00082C78" w:rsidRDefault="00082C78" w:rsidP="00C9417D">
      <w:pPr>
        <w:spacing w:line="269" w:lineRule="auto"/>
        <w:ind w:left="340"/>
        <w:rPr>
          <w:rFonts w:ascii="David" w:eastAsia="Calibri" w:hAnsi="David"/>
          <w:sz w:val="24"/>
          <w:rtl/>
        </w:rPr>
      </w:pPr>
      <w:r w:rsidRPr="00082C78">
        <w:rPr>
          <w:rFonts w:ascii="David" w:eastAsia="Calibri" w:hAnsi="David"/>
          <w:sz w:val="24"/>
          <w:rtl/>
        </w:rPr>
        <w:t xml:space="preserve">בשנת </w:t>
      </w:r>
      <w:r w:rsidRPr="00082C78">
        <w:rPr>
          <w:rFonts w:ascii="David" w:eastAsia="Calibri" w:hAnsi="David" w:hint="cs"/>
          <w:sz w:val="24"/>
          <w:rtl/>
        </w:rPr>
        <w:t>2019,</w:t>
      </w:r>
      <w:r w:rsidRPr="00082C78">
        <w:rPr>
          <w:rFonts w:ascii="David" w:eastAsia="Calibri" w:hAnsi="David"/>
          <w:sz w:val="24"/>
          <w:rtl/>
        </w:rPr>
        <w:t xml:space="preserve"> במסגרת דיווחי האזנות סתר של המשטרה </w:t>
      </w:r>
      <w:r w:rsidR="00844501">
        <w:rPr>
          <w:rFonts w:ascii="David" w:eastAsia="Calibri" w:hAnsi="David"/>
          <w:sz w:val="24"/>
          <w:rtl/>
        </w:rPr>
        <w:t>לייעוץ המשפטי לממשלה</w:t>
      </w:r>
      <w:r w:rsidRPr="00082C78">
        <w:rPr>
          <w:rFonts w:ascii="David" w:eastAsia="Calibri" w:hAnsi="David"/>
          <w:sz w:val="24"/>
          <w:rtl/>
        </w:rPr>
        <w:t xml:space="preserve">, נודע </w:t>
      </w:r>
      <w:r w:rsidR="00844501">
        <w:rPr>
          <w:rFonts w:ascii="David" w:eastAsia="Calibri" w:hAnsi="David" w:hint="cs"/>
          <w:sz w:val="24"/>
          <w:rtl/>
        </w:rPr>
        <w:t>להם</w:t>
      </w:r>
      <w:r w:rsidRPr="00082C78">
        <w:rPr>
          <w:rFonts w:ascii="David" w:eastAsia="Calibri" w:hAnsi="David"/>
          <w:sz w:val="24"/>
          <w:rtl/>
        </w:rPr>
        <w:t xml:space="preserve"> לראשונה על </w:t>
      </w:r>
      <w:r w:rsidRPr="00082C78">
        <w:rPr>
          <w:rFonts w:ascii="David" w:eastAsia="Calibri" w:hAnsi="David" w:hint="cs"/>
          <w:sz w:val="24"/>
          <w:rtl/>
        </w:rPr>
        <w:t>הפעולה האמורה</w:t>
      </w:r>
      <w:r w:rsidRPr="00082C78">
        <w:rPr>
          <w:rFonts w:ascii="David" w:eastAsia="Calibri" w:hAnsi="David"/>
          <w:sz w:val="24"/>
          <w:rtl/>
        </w:rPr>
        <w:t xml:space="preserve">. </w:t>
      </w:r>
      <w:r w:rsidRPr="00082C78">
        <w:rPr>
          <w:rFonts w:ascii="David" w:eastAsia="Calibri" w:hAnsi="David" w:hint="cs"/>
          <w:sz w:val="24"/>
          <w:rtl/>
        </w:rPr>
        <w:t>עקב כך,</w:t>
      </w:r>
      <w:r w:rsidR="00382AE8">
        <w:rPr>
          <w:rFonts w:ascii="David" w:eastAsia="Calibri" w:hAnsi="David" w:hint="cs"/>
          <w:sz w:val="24"/>
          <w:rtl/>
        </w:rPr>
        <w:t xml:space="preserve"> </w:t>
      </w:r>
      <w:r w:rsidRPr="00082C78">
        <w:rPr>
          <w:rFonts w:ascii="David" w:eastAsia="Calibri" w:hAnsi="David" w:hint="cs"/>
          <w:sz w:val="24"/>
          <w:rtl/>
        </w:rPr>
        <w:t xml:space="preserve">גורמי הייעוץ המשפטי לממשלה </w:t>
      </w:r>
      <w:r w:rsidR="000D2A9B">
        <w:rPr>
          <w:rFonts w:ascii="David" w:eastAsia="Calibri" w:hAnsi="David" w:hint="cs"/>
          <w:sz w:val="24"/>
          <w:rtl/>
        </w:rPr>
        <w:t xml:space="preserve">ביקשו מחטיבת הסייבר </w:t>
      </w:r>
      <w:r w:rsidRPr="00082C78">
        <w:rPr>
          <w:rFonts w:ascii="David" w:eastAsia="Calibri" w:hAnsi="David" w:hint="cs"/>
          <w:sz w:val="24"/>
          <w:rtl/>
        </w:rPr>
        <w:t xml:space="preserve">להציג בישיבת הדיווח העיתית את הכלי ואת הנוהל המסדיר </w:t>
      </w:r>
      <w:r w:rsidR="000D2A9B">
        <w:rPr>
          <w:rFonts w:ascii="David" w:eastAsia="Calibri" w:hAnsi="David" w:hint="cs"/>
          <w:sz w:val="24"/>
          <w:rtl/>
        </w:rPr>
        <w:t>את השימוש בו</w:t>
      </w:r>
      <w:r w:rsidRPr="00082C78">
        <w:rPr>
          <w:rFonts w:ascii="David" w:eastAsia="Calibri" w:hAnsi="David" w:hint="cs"/>
          <w:sz w:val="24"/>
          <w:rtl/>
        </w:rPr>
        <w:t>. בתגובה</w:t>
      </w:r>
      <w:r w:rsidR="00E67AF5">
        <w:rPr>
          <w:rFonts w:ascii="David" w:eastAsia="Calibri" w:hAnsi="David" w:hint="cs"/>
          <w:sz w:val="24"/>
          <w:rtl/>
        </w:rPr>
        <w:t xml:space="preserve"> </w:t>
      </w:r>
      <w:r w:rsidR="000D2A9B">
        <w:rPr>
          <w:rFonts w:ascii="David" w:eastAsia="Calibri" w:hAnsi="David" w:hint="cs"/>
          <w:sz w:val="24"/>
          <w:rtl/>
        </w:rPr>
        <w:t xml:space="preserve">הסביר </w:t>
      </w:r>
      <w:r w:rsidRPr="00082C78">
        <w:rPr>
          <w:rFonts w:ascii="David" w:eastAsia="Calibri" w:hAnsi="David" w:hint="cs"/>
          <w:sz w:val="24"/>
          <w:rtl/>
        </w:rPr>
        <w:t xml:space="preserve">הייעוץ המשפטי לחטיבת הסייבר לגורמי הייעוץ המשפטי לממשלה כי אין נוהל </w:t>
      </w:r>
      <w:r w:rsidR="00433B24">
        <w:rPr>
          <w:rFonts w:ascii="David" w:eastAsia="Calibri" w:hAnsi="David" w:hint="cs"/>
          <w:sz w:val="24"/>
          <w:rtl/>
        </w:rPr>
        <w:t xml:space="preserve">ייעודי </w:t>
      </w:r>
      <w:r w:rsidRPr="00082C78">
        <w:rPr>
          <w:rFonts w:ascii="David" w:eastAsia="Calibri" w:hAnsi="David" w:hint="cs"/>
          <w:sz w:val="24"/>
          <w:rtl/>
        </w:rPr>
        <w:t>המסדיר את הסוגיה, ו</w:t>
      </w:r>
      <w:r w:rsidR="00433B24">
        <w:rPr>
          <w:rFonts w:ascii="David" w:eastAsia="Calibri" w:hAnsi="David" w:hint="cs"/>
          <w:sz w:val="24"/>
          <w:rtl/>
        </w:rPr>
        <w:t xml:space="preserve">כי </w:t>
      </w:r>
      <w:r w:rsidRPr="00082C78">
        <w:rPr>
          <w:rFonts w:ascii="David" w:eastAsia="Calibri" w:hAnsi="David" w:hint="cs"/>
          <w:sz w:val="24"/>
          <w:rtl/>
        </w:rPr>
        <w:t xml:space="preserve">הוא יגובש בהמשך ויועבר לעיון </w:t>
      </w:r>
      <w:r w:rsidR="00844501">
        <w:rPr>
          <w:rFonts w:ascii="David" w:eastAsia="Calibri" w:hAnsi="David" w:hint="cs"/>
          <w:sz w:val="24"/>
          <w:rtl/>
        </w:rPr>
        <w:t>הייעוץ המשפטי לממשלה</w:t>
      </w:r>
      <w:r w:rsidRPr="00082C78">
        <w:rPr>
          <w:rFonts w:ascii="David" w:eastAsia="Calibri" w:hAnsi="David" w:hint="cs"/>
          <w:sz w:val="24"/>
          <w:rtl/>
        </w:rPr>
        <w:t xml:space="preserve">. </w:t>
      </w:r>
      <w:r w:rsidR="00183420">
        <w:rPr>
          <w:rFonts w:ascii="David" w:eastAsia="Calibri" w:hAnsi="David" w:hint="cs"/>
          <w:sz w:val="24"/>
          <w:rtl/>
        </w:rPr>
        <w:t>נציג הייעוץ המשפטי לממשלה</w:t>
      </w:r>
      <w:r w:rsidRPr="00082C78">
        <w:rPr>
          <w:rFonts w:ascii="David" w:eastAsia="Calibri" w:hAnsi="David" w:hint="cs"/>
          <w:sz w:val="24"/>
          <w:rtl/>
        </w:rPr>
        <w:t xml:space="preserve"> קבע כי מותר למשטרה לבצע את הפעולה בכפוף למתן צו בית משפט בהגבלה מסוימת על מספר הפעמים שבהן ניתן להשתמש בפעולה זו. בשנת 2020 ניתנה הנחיה מקצועית בנושא, והיועמ"ש לחטיבה אישרה את השימוש בפעולה זו </w:t>
      </w:r>
      <w:r w:rsidR="00B2335E">
        <w:rPr>
          <w:rFonts w:ascii="David" w:eastAsia="Calibri" w:hAnsi="David" w:hint="cs"/>
          <w:sz w:val="24"/>
          <w:rtl/>
        </w:rPr>
        <w:t xml:space="preserve">גם </w:t>
      </w:r>
      <w:r w:rsidRPr="00082C78">
        <w:rPr>
          <w:rFonts w:ascii="David" w:eastAsia="Calibri" w:hAnsi="David" w:hint="cs"/>
          <w:sz w:val="24"/>
          <w:rtl/>
        </w:rPr>
        <w:t>בכלי טכנולוגי נוסף</w:t>
      </w:r>
      <w:r w:rsidR="00250285">
        <w:rPr>
          <w:rFonts w:ascii="David" w:eastAsia="Calibri" w:hAnsi="David" w:hint="cs"/>
          <w:sz w:val="24"/>
          <w:rtl/>
        </w:rPr>
        <w:t>.</w:t>
      </w:r>
      <w:r w:rsidR="00382AE8">
        <w:rPr>
          <w:rFonts w:ascii="David" w:eastAsia="Calibri" w:hAnsi="David" w:hint="cs"/>
          <w:sz w:val="24"/>
          <w:rtl/>
        </w:rPr>
        <w:t xml:space="preserve"> </w:t>
      </w:r>
    </w:p>
    <w:p w:rsidR="00271D14" w:rsidRDefault="00271D14" w:rsidP="00C9417D">
      <w:pPr>
        <w:spacing w:line="269" w:lineRule="auto"/>
        <w:ind w:left="340"/>
        <w:rPr>
          <w:rFonts w:ascii="David" w:eastAsia="Calibri" w:hAnsi="David"/>
          <w:sz w:val="24"/>
          <w:rtl/>
        </w:rPr>
      </w:pPr>
    </w:p>
    <w:p w:rsidR="00082C78" w:rsidRPr="00082C78" w:rsidRDefault="00082C78" w:rsidP="00C9417D">
      <w:pPr>
        <w:spacing w:line="269" w:lineRule="auto"/>
        <w:ind w:left="340"/>
        <w:rPr>
          <w:rFonts w:ascii="David" w:eastAsia="Calibri" w:hAnsi="David"/>
          <w:sz w:val="24"/>
          <w:rtl/>
        </w:rPr>
      </w:pPr>
      <w:r w:rsidRPr="00082C78">
        <w:rPr>
          <w:rFonts w:ascii="David" w:eastAsia="Calibri" w:hAnsi="David"/>
          <w:sz w:val="24"/>
          <w:rtl/>
        </w:rPr>
        <w:t>בשנת 2021</w:t>
      </w:r>
      <w:r w:rsidRPr="00082C78">
        <w:rPr>
          <w:rFonts w:ascii="David" w:eastAsia="Calibri" w:hAnsi="David" w:hint="cs"/>
          <w:sz w:val="24"/>
          <w:rtl/>
        </w:rPr>
        <w:t xml:space="preserve">, אגב הדיונים העיתיים </w:t>
      </w:r>
      <w:r w:rsidR="000659FF">
        <w:rPr>
          <w:rFonts w:ascii="David" w:eastAsia="Calibri" w:hAnsi="David" w:hint="cs"/>
          <w:sz w:val="24"/>
          <w:rtl/>
        </w:rPr>
        <w:t xml:space="preserve">שהתנהלו </w:t>
      </w:r>
      <w:r w:rsidRPr="00082C78">
        <w:rPr>
          <w:rFonts w:ascii="David" w:eastAsia="Calibri" w:hAnsi="David" w:hint="cs"/>
          <w:sz w:val="24"/>
          <w:rtl/>
        </w:rPr>
        <w:t>אצל היועמ"ש לממשלה דאז בנושא האזנ</w:t>
      </w:r>
      <w:r w:rsidR="000659FF">
        <w:rPr>
          <w:rFonts w:ascii="David" w:eastAsia="Calibri" w:hAnsi="David" w:hint="cs"/>
          <w:sz w:val="24"/>
          <w:rtl/>
        </w:rPr>
        <w:t>ו</w:t>
      </w:r>
      <w:r w:rsidRPr="00082C78">
        <w:rPr>
          <w:rFonts w:ascii="David" w:eastAsia="Calibri" w:hAnsi="David" w:hint="cs"/>
          <w:sz w:val="24"/>
          <w:rtl/>
        </w:rPr>
        <w:t>ת סתר,</w:t>
      </w:r>
      <w:r w:rsidRPr="00082C78">
        <w:rPr>
          <w:rFonts w:ascii="David" w:eastAsia="Calibri" w:hAnsi="David"/>
          <w:sz w:val="24"/>
          <w:rtl/>
        </w:rPr>
        <w:t xml:space="preserve"> נדונה</w:t>
      </w:r>
      <w:r w:rsidRPr="00082C78">
        <w:rPr>
          <w:rFonts w:ascii="David" w:eastAsia="Calibri" w:hAnsi="David" w:hint="cs"/>
          <w:sz w:val="24"/>
          <w:rtl/>
        </w:rPr>
        <w:t xml:space="preserve"> בפניו</w:t>
      </w:r>
      <w:r w:rsidRPr="00082C78">
        <w:rPr>
          <w:rFonts w:ascii="David" w:eastAsia="Calibri" w:hAnsi="David"/>
          <w:sz w:val="24"/>
          <w:rtl/>
        </w:rPr>
        <w:t xml:space="preserve"> סוגיה זו ביוזמת </w:t>
      </w:r>
      <w:r w:rsidR="00844501">
        <w:rPr>
          <w:rFonts w:ascii="David" w:eastAsia="Calibri" w:hAnsi="David" w:hint="eastAsia"/>
          <w:sz w:val="24"/>
          <w:rtl/>
        </w:rPr>
        <w:t>הייעוץ המשפטי לממשלה</w:t>
      </w:r>
      <w:r w:rsidRPr="00082C78">
        <w:rPr>
          <w:rFonts w:ascii="David" w:eastAsia="Calibri" w:hAnsi="David"/>
          <w:sz w:val="24"/>
          <w:rtl/>
        </w:rPr>
        <w:t>. המשטרה הציגה בדיון את</w:t>
      </w:r>
      <w:r w:rsidRPr="00082C78">
        <w:rPr>
          <w:rFonts w:ascii="David" w:eastAsia="Calibri" w:hAnsi="David" w:hint="cs"/>
          <w:sz w:val="24"/>
          <w:rtl/>
        </w:rPr>
        <w:t xml:space="preserve"> היכולת של אחד מהכלים הטכנולוגיים לבצע את הפעולה</w:t>
      </w:r>
      <w:r w:rsidR="00250285">
        <w:rPr>
          <w:rFonts w:ascii="David" w:eastAsia="Calibri" w:hAnsi="David" w:hint="cs"/>
          <w:sz w:val="24"/>
          <w:rtl/>
        </w:rPr>
        <w:t>.</w:t>
      </w:r>
      <w:r w:rsidRPr="00082C78">
        <w:rPr>
          <w:rFonts w:ascii="David" w:eastAsia="Calibri" w:hAnsi="David"/>
          <w:sz w:val="24"/>
          <w:rtl/>
        </w:rPr>
        <w:t xml:space="preserve"> </w:t>
      </w:r>
      <w:r w:rsidRPr="00082C78">
        <w:rPr>
          <w:rFonts w:ascii="David" w:eastAsia="Calibri" w:hAnsi="David" w:hint="eastAsia"/>
          <w:sz w:val="24"/>
          <w:rtl/>
        </w:rPr>
        <w:t>היועמ</w:t>
      </w:r>
      <w:r w:rsidRPr="00082C78">
        <w:rPr>
          <w:rFonts w:ascii="David" w:eastAsia="Calibri" w:hAnsi="David"/>
          <w:sz w:val="24"/>
          <w:rtl/>
        </w:rPr>
        <w:t xml:space="preserve">"ש </w:t>
      </w:r>
      <w:r w:rsidRPr="00082C78">
        <w:rPr>
          <w:rFonts w:ascii="David" w:eastAsia="Calibri" w:hAnsi="David" w:hint="eastAsia"/>
          <w:sz w:val="24"/>
          <w:rtl/>
        </w:rPr>
        <w:t>לממשלה</w:t>
      </w:r>
      <w:r w:rsidRPr="00082C78">
        <w:rPr>
          <w:rFonts w:ascii="David" w:eastAsia="Calibri" w:hAnsi="David"/>
          <w:sz w:val="24"/>
          <w:rtl/>
        </w:rPr>
        <w:t xml:space="preserve"> </w:t>
      </w:r>
      <w:r w:rsidRPr="00082C78">
        <w:rPr>
          <w:rFonts w:ascii="David" w:eastAsia="Calibri" w:hAnsi="David" w:hint="eastAsia"/>
          <w:sz w:val="24"/>
          <w:rtl/>
        </w:rPr>
        <w:t>אישר</w:t>
      </w:r>
      <w:r w:rsidRPr="00082C78">
        <w:rPr>
          <w:rFonts w:ascii="David" w:eastAsia="Calibri" w:hAnsi="David"/>
          <w:sz w:val="24"/>
          <w:rtl/>
        </w:rPr>
        <w:t xml:space="preserve"> </w:t>
      </w:r>
      <w:r w:rsidRPr="00082C78">
        <w:rPr>
          <w:rFonts w:ascii="David" w:eastAsia="Calibri" w:hAnsi="David" w:hint="eastAsia"/>
          <w:sz w:val="24"/>
          <w:rtl/>
        </w:rPr>
        <w:t>באותו</w:t>
      </w:r>
      <w:r w:rsidRPr="00082C78">
        <w:rPr>
          <w:rFonts w:ascii="David" w:eastAsia="Calibri" w:hAnsi="David"/>
          <w:sz w:val="24"/>
          <w:rtl/>
        </w:rPr>
        <w:t xml:space="preserve"> </w:t>
      </w:r>
      <w:r w:rsidRPr="00082C78">
        <w:rPr>
          <w:rFonts w:ascii="David" w:eastAsia="Calibri" w:hAnsi="David" w:hint="eastAsia"/>
          <w:sz w:val="24"/>
          <w:rtl/>
        </w:rPr>
        <w:t>הדיון</w:t>
      </w:r>
      <w:r w:rsidRPr="00082C78">
        <w:rPr>
          <w:rFonts w:ascii="David" w:eastAsia="Calibri" w:hAnsi="David"/>
          <w:sz w:val="24"/>
          <w:rtl/>
        </w:rPr>
        <w:t xml:space="preserve"> </w:t>
      </w:r>
      <w:r w:rsidRPr="00082C78">
        <w:rPr>
          <w:rFonts w:ascii="David" w:eastAsia="Calibri" w:hAnsi="David" w:hint="eastAsia"/>
          <w:sz w:val="24"/>
          <w:rtl/>
        </w:rPr>
        <w:t>את</w:t>
      </w:r>
      <w:r w:rsidRPr="00082C78">
        <w:rPr>
          <w:rFonts w:ascii="David" w:eastAsia="Calibri" w:hAnsi="David"/>
          <w:sz w:val="24"/>
          <w:rtl/>
        </w:rPr>
        <w:t xml:space="preserve"> </w:t>
      </w:r>
      <w:r w:rsidRPr="00082C78">
        <w:rPr>
          <w:rFonts w:ascii="David" w:eastAsia="Calibri" w:hAnsi="David" w:hint="cs"/>
          <w:sz w:val="24"/>
          <w:rtl/>
        </w:rPr>
        <w:t xml:space="preserve">הפעולה ואת ההגבלה </w:t>
      </w:r>
      <w:r w:rsidR="000659FF">
        <w:rPr>
          <w:rFonts w:ascii="David" w:eastAsia="Calibri" w:hAnsi="David" w:hint="cs"/>
          <w:sz w:val="24"/>
          <w:rtl/>
        </w:rPr>
        <w:t>שקבע</w:t>
      </w:r>
      <w:r w:rsidR="00183420">
        <w:rPr>
          <w:rFonts w:ascii="David" w:eastAsia="Calibri" w:hAnsi="David" w:hint="cs"/>
          <w:sz w:val="24"/>
          <w:rtl/>
        </w:rPr>
        <w:t xml:space="preserve"> נציג הייעוץ המשפטי לממשלה</w:t>
      </w:r>
      <w:r w:rsidRPr="00082C78">
        <w:rPr>
          <w:rFonts w:ascii="David" w:eastAsia="Calibri" w:hAnsi="David"/>
          <w:sz w:val="24"/>
          <w:rtl/>
        </w:rPr>
        <w:t>.</w:t>
      </w:r>
    </w:p>
    <w:p w:rsidR="00082C78" w:rsidRPr="00082C78" w:rsidRDefault="00082C78" w:rsidP="00C9417D">
      <w:pPr>
        <w:spacing w:line="269" w:lineRule="auto"/>
        <w:contextualSpacing/>
        <w:rPr>
          <w:rFonts w:ascii="David" w:eastAsia="Calibri" w:hAnsi="David"/>
          <w:sz w:val="16"/>
          <w:szCs w:val="16"/>
          <w:rtl/>
        </w:rPr>
      </w:pPr>
    </w:p>
    <w:p w:rsidR="00082C78" w:rsidRPr="00082C78" w:rsidRDefault="00082C78" w:rsidP="00C9417D">
      <w:pPr>
        <w:spacing w:line="269" w:lineRule="auto"/>
        <w:ind w:left="340"/>
        <w:rPr>
          <w:rFonts w:ascii="David" w:eastAsia="Calibri" w:hAnsi="David"/>
          <w:sz w:val="24"/>
        </w:rPr>
      </w:pPr>
      <w:r w:rsidRPr="00082C78">
        <w:rPr>
          <w:rFonts w:ascii="David" w:eastAsia="Calibri" w:hAnsi="David" w:hint="cs"/>
          <w:sz w:val="24"/>
          <w:rtl/>
        </w:rPr>
        <w:t xml:space="preserve">המשטרה כתבה בתשובתה כי הפעולה האמורה עולה בקנה אחד עם פרשנות </w:t>
      </w:r>
      <w:r w:rsidR="007B1D64">
        <w:rPr>
          <w:rFonts w:ascii="David" w:eastAsia="Calibri" w:hAnsi="David" w:hint="cs"/>
          <w:sz w:val="24"/>
          <w:rtl/>
        </w:rPr>
        <w:t>חוק האזנת סתר</w:t>
      </w:r>
      <w:r w:rsidRPr="00082C78">
        <w:rPr>
          <w:rFonts w:ascii="David" w:eastAsia="Calibri" w:hAnsi="David" w:hint="cs"/>
          <w:sz w:val="24"/>
          <w:rtl/>
        </w:rPr>
        <w:t>; כי גורמים בפרקליטות חיוו דעתם בנושא ואישרו את דרך האזנה; וכי דרך פעולה זו הובאה לידיעת בתי המשפט בבקשות למתן צו להאזנת סתר.</w:t>
      </w:r>
    </w:p>
    <w:p w:rsidR="00271D14" w:rsidRDefault="00271D14" w:rsidP="00C9417D">
      <w:pPr>
        <w:spacing w:line="269" w:lineRule="auto"/>
        <w:ind w:left="338"/>
        <w:contextualSpacing/>
        <w:rPr>
          <w:rFonts w:ascii="David" w:eastAsia="Calibri" w:hAnsi="David"/>
          <w:sz w:val="16"/>
          <w:szCs w:val="16"/>
          <w:rtl/>
        </w:rPr>
      </w:pPr>
    </w:p>
    <w:p w:rsidR="00082C78" w:rsidRPr="00082C78" w:rsidRDefault="00082C78" w:rsidP="00C9417D">
      <w:pPr>
        <w:spacing w:line="269" w:lineRule="auto"/>
        <w:ind w:left="338"/>
        <w:contextualSpacing/>
        <w:rPr>
          <w:rFonts w:ascii="David" w:eastAsia="Calibri" w:hAnsi="David"/>
          <w:b/>
          <w:bCs/>
          <w:sz w:val="24"/>
          <w:rtl/>
        </w:rPr>
      </w:pPr>
      <w:r w:rsidRPr="00082C78">
        <w:rPr>
          <w:rFonts w:ascii="David" w:eastAsia="Calibri" w:hAnsi="David"/>
          <w:b/>
          <w:bCs/>
          <w:sz w:val="24"/>
          <w:rtl/>
        </w:rPr>
        <w:t xml:space="preserve">מהביקורת עלה כי </w:t>
      </w:r>
      <w:r w:rsidRPr="00082C78">
        <w:rPr>
          <w:rFonts w:ascii="David" w:eastAsia="Calibri" w:hAnsi="David" w:hint="cs"/>
          <w:b/>
          <w:bCs/>
          <w:sz w:val="24"/>
          <w:rtl/>
        </w:rPr>
        <w:t>בשנים 2016 - 2018 ו</w:t>
      </w:r>
      <w:r w:rsidRPr="00082C78">
        <w:rPr>
          <w:rFonts w:ascii="David" w:eastAsia="Calibri" w:hAnsi="David"/>
          <w:b/>
          <w:bCs/>
          <w:sz w:val="24"/>
          <w:rtl/>
        </w:rPr>
        <w:t>במשך</w:t>
      </w:r>
      <w:r w:rsidR="00382AE8">
        <w:rPr>
          <w:rFonts w:ascii="David" w:eastAsia="Calibri" w:hAnsi="David"/>
          <w:b/>
          <w:bCs/>
          <w:sz w:val="24"/>
          <w:rtl/>
        </w:rPr>
        <w:t xml:space="preserve"> </w:t>
      </w:r>
      <w:r w:rsidRPr="00082C78">
        <w:rPr>
          <w:rFonts w:ascii="David" w:eastAsia="Calibri" w:hAnsi="David" w:hint="cs"/>
          <w:b/>
          <w:bCs/>
          <w:sz w:val="24"/>
          <w:rtl/>
        </w:rPr>
        <w:t xml:space="preserve">שנתיים </w:t>
      </w:r>
      <w:r w:rsidRPr="00082C78">
        <w:rPr>
          <w:rFonts w:ascii="David" w:eastAsia="Calibri" w:hAnsi="David"/>
          <w:b/>
          <w:bCs/>
          <w:sz w:val="24"/>
          <w:rtl/>
        </w:rPr>
        <w:t xml:space="preserve">נהגה המשטרה </w:t>
      </w:r>
      <w:r w:rsidRPr="00082C78">
        <w:rPr>
          <w:rFonts w:ascii="David" w:eastAsia="Calibri" w:hAnsi="David" w:hint="cs"/>
          <w:b/>
          <w:bCs/>
          <w:sz w:val="24"/>
          <w:rtl/>
        </w:rPr>
        <w:t>לבצע פעולה</w:t>
      </w:r>
      <w:r w:rsidRPr="00082C78">
        <w:rPr>
          <w:rFonts w:ascii="David" w:eastAsia="Calibri" w:hAnsi="David"/>
          <w:b/>
          <w:bCs/>
          <w:sz w:val="24"/>
          <w:rtl/>
        </w:rPr>
        <w:t xml:space="preserve"> באישור </w:t>
      </w:r>
      <w:r w:rsidRPr="00082C78">
        <w:rPr>
          <w:rFonts w:ascii="David" w:eastAsia="Calibri" w:hAnsi="David" w:hint="cs"/>
          <w:b/>
          <w:bCs/>
          <w:sz w:val="24"/>
          <w:rtl/>
        </w:rPr>
        <w:t>היועמ"ש לחטיבת הסייבר</w:t>
      </w:r>
      <w:r w:rsidRPr="00082C78">
        <w:rPr>
          <w:rFonts w:ascii="David" w:eastAsia="Calibri" w:hAnsi="David"/>
          <w:b/>
          <w:bCs/>
          <w:sz w:val="24"/>
          <w:rtl/>
        </w:rPr>
        <w:t xml:space="preserve"> במשטרה ולאחר קבלת צו האזנה מתאים מבית המשפט. האישור המשפטי לכך שפעולה זו היא בגדרי סמכות המשטרה</w:t>
      </w:r>
      <w:r w:rsidRPr="00082C78">
        <w:rPr>
          <w:rFonts w:ascii="David" w:eastAsia="Calibri" w:hAnsi="David" w:hint="cs"/>
          <w:b/>
          <w:bCs/>
          <w:sz w:val="24"/>
          <w:rtl/>
        </w:rPr>
        <w:t>, בהגבלה מסוימת,</w:t>
      </w:r>
      <w:r w:rsidRPr="00082C78">
        <w:rPr>
          <w:rFonts w:ascii="David" w:eastAsia="Calibri" w:hAnsi="David"/>
          <w:b/>
          <w:bCs/>
          <w:sz w:val="24"/>
          <w:rtl/>
        </w:rPr>
        <w:t xml:space="preserve"> נ</w:t>
      </w:r>
      <w:r w:rsidRPr="00082C78">
        <w:rPr>
          <w:rFonts w:ascii="David" w:eastAsia="Calibri" w:hAnsi="David" w:hint="cs"/>
          <w:b/>
          <w:bCs/>
          <w:sz w:val="24"/>
          <w:rtl/>
        </w:rPr>
        <w:t>י</w:t>
      </w:r>
      <w:r w:rsidRPr="00082C78">
        <w:rPr>
          <w:rFonts w:ascii="David" w:eastAsia="Calibri" w:hAnsi="David"/>
          <w:b/>
          <w:bCs/>
          <w:sz w:val="24"/>
          <w:rtl/>
        </w:rPr>
        <w:t>ת</w:t>
      </w:r>
      <w:r w:rsidRPr="00082C78">
        <w:rPr>
          <w:rFonts w:ascii="David" w:eastAsia="Calibri" w:hAnsi="David" w:hint="cs"/>
          <w:b/>
          <w:bCs/>
          <w:sz w:val="24"/>
          <w:rtl/>
        </w:rPr>
        <w:t xml:space="preserve">ן על ידי </w:t>
      </w:r>
      <w:r w:rsidR="00200360">
        <w:rPr>
          <w:rFonts w:ascii="David" w:eastAsia="Calibri" w:hAnsi="David" w:hint="cs"/>
          <w:b/>
          <w:bCs/>
          <w:sz w:val="24"/>
          <w:rtl/>
        </w:rPr>
        <w:t>נציג הייעוץ המשפטי לממשלה</w:t>
      </w:r>
      <w:r w:rsidRPr="00082C78">
        <w:rPr>
          <w:rFonts w:ascii="David" w:eastAsia="Calibri" w:hAnsi="David" w:hint="cs"/>
          <w:b/>
          <w:bCs/>
          <w:sz w:val="24"/>
          <w:rtl/>
        </w:rPr>
        <w:t xml:space="preserve"> </w:t>
      </w:r>
      <w:r w:rsidRPr="00082C78">
        <w:rPr>
          <w:rFonts w:ascii="David" w:eastAsia="Calibri" w:hAnsi="David"/>
          <w:b/>
          <w:bCs/>
          <w:sz w:val="24"/>
          <w:rtl/>
        </w:rPr>
        <w:t>בשנת 20</w:t>
      </w:r>
      <w:r w:rsidRPr="00082C78">
        <w:rPr>
          <w:rFonts w:ascii="David" w:eastAsia="Calibri" w:hAnsi="David" w:hint="cs"/>
          <w:b/>
          <w:bCs/>
          <w:sz w:val="24"/>
          <w:rtl/>
        </w:rPr>
        <w:t xml:space="preserve">19. </w:t>
      </w:r>
      <w:r w:rsidRPr="00082C78">
        <w:rPr>
          <w:rFonts w:ascii="David" w:eastAsia="Calibri" w:hAnsi="David"/>
          <w:b/>
          <w:bCs/>
          <w:sz w:val="24"/>
          <w:rtl/>
        </w:rPr>
        <w:t>איש</w:t>
      </w:r>
      <w:r w:rsidRPr="00082C78">
        <w:rPr>
          <w:rFonts w:ascii="David" w:eastAsia="Calibri" w:hAnsi="David" w:hint="cs"/>
          <w:b/>
          <w:bCs/>
          <w:sz w:val="24"/>
          <w:rtl/>
        </w:rPr>
        <w:t>ו</w:t>
      </w:r>
      <w:r w:rsidRPr="00082C78">
        <w:rPr>
          <w:rFonts w:ascii="David" w:eastAsia="Calibri" w:hAnsi="David"/>
          <w:b/>
          <w:bCs/>
          <w:sz w:val="24"/>
          <w:rtl/>
        </w:rPr>
        <w:t>ר היוע</w:t>
      </w:r>
      <w:r w:rsidRPr="00082C78">
        <w:rPr>
          <w:rFonts w:ascii="David" w:eastAsia="Calibri" w:hAnsi="David" w:hint="cs"/>
          <w:b/>
          <w:bCs/>
          <w:sz w:val="24"/>
          <w:rtl/>
        </w:rPr>
        <w:t>מ"ש</w:t>
      </w:r>
      <w:r w:rsidRPr="00082C78">
        <w:rPr>
          <w:rFonts w:ascii="David" w:eastAsia="Calibri" w:hAnsi="David"/>
          <w:b/>
          <w:bCs/>
          <w:sz w:val="24"/>
          <w:rtl/>
        </w:rPr>
        <w:t xml:space="preserve"> לממשלה </w:t>
      </w:r>
      <w:r w:rsidRPr="00082C78">
        <w:rPr>
          <w:rFonts w:ascii="David" w:eastAsia="Calibri" w:hAnsi="David" w:hint="cs"/>
          <w:b/>
          <w:bCs/>
          <w:sz w:val="24"/>
          <w:rtl/>
        </w:rPr>
        <w:t>לביצוע ה</w:t>
      </w:r>
      <w:r w:rsidRPr="00082C78">
        <w:rPr>
          <w:rFonts w:ascii="David" w:eastAsia="Calibri" w:hAnsi="David" w:hint="eastAsia"/>
          <w:b/>
          <w:bCs/>
          <w:sz w:val="24"/>
          <w:rtl/>
        </w:rPr>
        <w:t>פעולה</w:t>
      </w:r>
      <w:r w:rsidRPr="00082C78">
        <w:rPr>
          <w:rFonts w:ascii="David" w:eastAsia="Calibri" w:hAnsi="David"/>
          <w:b/>
          <w:bCs/>
          <w:sz w:val="24"/>
          <w:rtl/>
        </w:rPr>
        <w:t xml:space="preserve"> </w:t>
      </w:r>
      <w:r w:rsidRPr="00082C78">
        <w:rPr>
          <w:rFonts w:ascii="David" w:eastAsia="Calibri" w:hAnsi="David" w:hint="eastAsia"/>
          <w:b/>
          <w:bCs/>
          <w:sz w:val="24"/>
          <w:rtl/>
        </w:rPr>
        <w:t>בהגבלה</w:t>
      </w:r>
      <w:r w:rsidRPr="00082C78">
        <w:rPr>
          <w:rFonts w:ascii="David" w:eastAsia="Calibri" w:hAnsi="David"/>
          <w:b/>
          <w:bCs/>
          <w:sz w:val="24"/>
          <w:rtl/>
        </w:rPr>
        <w:t xml:space="preserve"> </w:t>
      </w:r>
      <w:r w:rsidRPr="00082C78">
        <w:rPr>
          <w:rFonts w:ascii="David" w:eastAsia="Calibri" w:hAnsi="David" w:hint="eastAsia"/>
          <w:b/>
          <w:bCs/>
          <w:sz w:val="24"/>
          <w:rtl/>
        </w:rPr>
        <w:t>מסוימת</w:t>
      </w:r>
      <w:r w:rsidRPr="00082C78">
        <w:rPr>
          <w:rFonts w:ascii="David" w:eastAsia="Calibri" w:hAnsi="David"/>
          <w:b/>
          <w:bCs/>
          <w:sz w:val="24"/>
          <w:rtl/>
        </w:rPr>
        <w:t xml:space="preserve"> ניתן בשנת 2021, שלוש שנים </w:t>
      </w:r>
      <w:r w:rsidRPr="00082C78">
        <w:rPr>
          <w:rFonts w:ascii="David" w:eastAsia="Calibri" w:hAnsi="David" w:hint="eastAsia"/>
          <w:b/>
          <w:bCs/>
          <w:sz w:val="24"/>
          <w:rtl/>
        </w:rPr>
        <w:t>לאחר</w:t>
      </w:r>
      <w:r w:rsidRPr="00082C78">
        <w:rPr>
          <w:rFonts w:ascii="David" w:eastAsia="Calibri" w:hAnsi="David"/>
          <w:b/>
          <w:bCs/>
          <w:sz w:val="24"/>
          <w:rtl/>
        </w:rPr>
        <w:t xml:space="preserve"> </w:t>
      </w:r>
      <w:r w:rsidRPr="00082C78">
        <w:rPr>
          <w:rFonts w:ascii="David" w:eastAsia="Calibri" w:hAnsi="David" w:hint="eastAsia"/>
          <w:b/>
          <w:bCs/>
          <w:sz w:val="24"/>
          <w:rtl/>
        </w:rPr>
        <w:t>היוודע</w:t>
      </w:r>
      <w:r w:rsidRPr="00082C78">
        <w:rPr>
          <w:rFonts w:ascii="David" w:eastAsia="Calibri" w:hAnsi="David"/>
          <w:b/>
          <w:bCs/>
          <w:sz w:val="24"/>
          <w:rtl/>
        </w:rPr>
        <w:t xml:space="preserve"> </w:t>
      </w:r>
      <w:r w:rsidRPr="00082C78">
        <w:rPr>
          <w:rFonts w:ascii="David" w:eastAsia="Calibri" w:hAnsi="David" w:hint="eastAsia"/>
          <w:b/>
          <w:bCs/>
          <w:sz w:val="24"/>
          <w:rtl/>
        </w:rPr>
        <w:t>לגורמי</w:t>
      </w:r>
      <w:r w:rsidRPr="00082C78">
        <w:rPr>
          <w:rFonts w:ascii="David" w:eastAsia="Calibri" w:hAnsi="David"/>
          <w:b/>
          <w:bCs/>
          <w:sz w:val="24"/>
          <w:rtl/>
        </w:rPr>
        <w:t xml:space="preserve"> </w:t>
      </w:r>
      <w:r w:rsidRPr="00082C78">
        <w:rPr>
          <w:rFonts w:ascii="David" w:eastAsia="Calibri" w:hAnsi="David" w:hint="eastAsia"/>
          <w:b/>
          <w:bCs/>
          <w:sz w:val="24"/>
          <w:rtl/>
        </w:rPr>
        <w:t>הייעוץ</w:t>
      </w:r>
      <w:r w:rsidRPr="00082C78">
        <w:rPr>
          <w:rFonts w:ascii="David" w:eastAsia="Calibri" w:hAnsi="David"/>
          <w:b/>
          <w:bCs/>
          <w:sz w:val="24"/>
          <w:rtl/>
        </w:rPr>
        <w:t xml:space="preserve"> </w:t>
      </w:r>
      <w:r w:rsidRPr="00082C78">
        <w:rPr>
          <w:rFonts w:ascii="David" w:eastAsia="Calibri" w:hAnsi="David" w:hint="eastAsia"/>
          <w:b/>
          <w:bCs/>
          <w:sz w:val="24"/>
          <w:rtl/>
        </w:rPr>
        <w:t>המשפטי</w:t>
      </w:r>
      <w:r w:rsidRPr="00082C78">
        <w:rPr>
          <w:rFonts w:ascii="David" w:eastAsia="Calibri" w:hAnsi="David"/>
          <w:b/>
          <w:bCs/>
          <w:sz w:val="24"/>
          <w:rtl/>
        </w:rPr>
        <w:t xml:space="preserve"> </w:t>
      </w:r>
      <w:r w:rsidRPr="00082C78">
        <w:rPr>
          <w:rFonts w:ascii="David" w:eastAsia="Calibri" w:hAnsi="David" w:hint="eastAsia"/>
          <w:b/>
          <w:bCs/>
          <w:sz w:val="24"/>
          <w:rtl/>
        </w:rPr>
        <w:t>לממשלה</w:t>
      </w:r>
      <w:r w:rsidRPr="00082C78">
        <w:rPr>
          <w:rFonts w:ascii="David" w:eastAsia="Calibri" w:hAnsi="David"/>
          <w:b/>
          <w:bCs/>
          <w:sz w:val="24"/>
          <w:rtl/>
        </w:rPr>
        <w:t xml:space="preserve"> על הפעולה האמורה.</w:t>
      </w:r>
    </w:p>
    <w:p w:rsidR="00271D14" w:rsidRDefault="00271D14" w:rsidP="00C9417D">
      <w:pPr>
        <w:spacing w:line="269" w:lineRule="auto"/>
        <w:ind w:left="338"/>
        <w:rPr>
          <w:rFonts w:ascii="David" w:eastAsia="Calibri" w:hAnsi="David"/>
          <w:sz w:val="16"/>
          <w:szCs w:val="16"/>
          <w:rtl/>
        </w:rPr>
      </w:pPr>
    </w:p>
    <w:p w:rsidR="00082C78" w:rsidRPr="00082C78" w:rsidRDefault="00082C78" w:rsidP="00C9417D">
      <w:pPr>
        <w:spacing w:line="269" w:lineRule="auto"/>
        <w:ind w:left="338"/>
        <w:rPr>
          <w:rFonts w:ascii="David" w:eastAsia="Calibri" w:hAnsi="David"/>
          <w:b/>
          <w:bCs/>
          <w:sz w:val="24"/>
          <w:rtl/>
        </w:rPr>
      </w:pPr>
      <w:r w:rsidRPr="00082C78">
        <w:rPr>
          <w:rFonts w:ascii="David" w:eastAsia="Calibri" w:hAnsi="David" w:hint="cs"/>
          <w:b/>
          <w:bCs/>
          <w:sz w:val="24"/>
          <w:rtl/>
        </w:rPr>
        <w:t xml:space="preserve">עוד נמצא כי אישור היועמ"ש לממשלה לכך שהמשטרה תוכל לעשות שימוש בפעולה מסוימת תחת הגבלה </w:t>
      </w:r>
      <w:r w:rsidR="009C2626">
        <w:rPr>
          <w:rFonts w:ascii="David" w:eastAsia="Calibri" w:hAnsi="David" w:hint="cs"/>
          <w:b/>
          <w:bCs/>
          <w:sz w:val="24"/>
          <w:rtl/>
        </w:rPr>
        <w:t>מ</w:t>
      </w:r>
      <w:r w:rsidR="009C2626" w:rsidRPr="00082C78">
        <w:rPr>
          <w:rFonts w:ascii="David" w:eastAsia="Calibri" w:hAnsi="David" w:hint="cs"/>
          <w:b/>
          <w:bCs/>
          <w:sz w:val="24"/>
          <w:rtl/>
        </w:rPr>
        <w:t xml:space="preserve">שנת 2021 </w:t>
      </w:r>
      <w:r w:rsidRPr="00082C78">
        <w:rPr>
          <w:rFonts w:ascii="David" w:eastAsia="Calibri" w:hAnsi="David" w:hint="cs"/>
          <w:b/>
          <w:bCs/>
          <w:sz w:val="24"/>
          <w:rtl/>
        </w:rPr>
        <w:t xml:space="preserve">נכתב על ידי גורמים </w:t>
      </w:r>
      <w:r w:rsidR="008B03FA">
        <w:rPr>
          <w:rFonts w:ascii="David" w:eastAsia="Calibri" w:hAnsi="David" w:hint="cs"/>
          <w:b/>
          <w:bCs/>
          <w:sz w:val="24"/>
          <w:rtl/>
        </w:rPr>
        <w:t>בייעוץ המשפטי לממשלה</w:t>
      </w:r>
      <w:r w:rsidRPr="00082C78">
        <w:rPr>
          <w:rFonts w:ascii="David" w:eastAsia="Calibri" w:hAnsi="David" w:hint="cs"/>
          <w:b/>
          <w:bCs/>
          <w:sz w:val="24"/>
          <w:rtl/>
        </w:rPr>
        <w:t xml:space="preserve"> בכתב יד, באופן תמציתי, ללא נימוקים וללא חוות דעת משפטית שביססה את ההחלטה. כמו כן, במהלך הדיון שבו התקבל אישור זה לא נכתב פרוטוקול שממנו ניתן ללמוד על השיקולים שנשקלו ועל המידע שהובא בפני היועמ"ש לממשלה בבואו לתת למשטרה את האישור המשפטי לשימוש באותה פעולה וליידע אותה בדבר המגבלות שהוטלו עליה. </w:t>
      </w:r>
    </w:p>
    <w:p w:rsidR="00082C78" w:rsidRPr="00082C78" w:rsidRDefault="00082C78" w:rsidP="00C9417D">
      <w:pPr>
        <w:spacing w:line="269" w:lineRule="auto"/>
        <w:ind w:left="338"/>
        <w:rPr>
          <w:rFonts w:ascii="David" w:eastAsia="Calibri" w:hAnsi="David"/>
          <w:b/>
          <w:bCs/>
          <w:sz w:val="24"/>
          <w:rtl/>
        </w:rPr>
      </w:pPr>
    </w:p>
    <w:p w:rsidR="00082C78" w:rsidRPr="00082C78" w:rsidRDefault="00082C78" w:rsidP="00C9417D">
      <w:pPr>
        <w:spacing w:line="269" w:lineRule="auto"/>
        <w:ind w:left="338"/>
        <w:rPr>
          <w:rFonts w:ascii="David" w:eastAsia="Calibri" w:hAnsi="David"/>
          <w:sz w:val="24"/>
          <w:rtl/>
        </w:rPr>
      </w:pPr>
      <w:r w:rsidRPr="00082C78">
        <w:rPr>
          <w:rFonts w:ascii="David" w:eastAsia="Calibri" w:hAnsi="David" w:hint="cs"/>
          <w:sz w:val="24"/>
          <w:rtl/>
        </w:rPr>
        <w:t xml:space="preserve">משרד המשפטים כתב בתשובתו כי המזכר הפנימי נכתב אומנם בכתב יד וללא נימוקים אך הדבר נובע מכך שהתנאים לביצוע הפעולה היו ידועים למשטרה כבר בשנת 2019 בהתאם </w:t>
      </w:r>
      <w:r w:rsidR="00200360">
        <w:rPr>
          <w:rFonts w:ascii="David" w:eastAsia="Calibri" w:hAnsi="David" w:hint="cs"/>
          <w:sz w:val="24"/>
          <w:rtl/>
        </w:rPr>
        <w:t>להתייחסות נציג הייעוץ המשפטי לממשלה</w:t>
      </w:r>
      <w:r w:rsidRPr="00082C78">
        <w:rPr>
          <w:rFonts w:ascii="David" w:eastAsia="Calibri" w:hAnsi="David" w:hint="cs"/>
          <w:sz w:val="24"/>
          <w:rtl/>
        </w:rPr>
        <w:t xml:space="preserve">. עוד כתב משרד המשפטים בתגובתו כי </w:t>
      </w:r>
      <w:r w:rsidRPr="00082C78">
        <w:rPr>
          <w:rFonts w:ascii="David" w:eastAsia="Calibri" w:hAnsi="David" w:hint="eastAsia"/>
          <w:sz w:val="24"/>
          <w:rtl/>
        </w:rPr>
        <w:t>משנודע</w:t>
      </w:r>
      <w:r w:rsidRPr="00082C78">
        <w:rPr>
          <w:rFonts w:ascii="David" w:eastAsia="Calibri" w:hAnsi="David"/>
          <w:sz w:val="24"/>
          <w:rtl/>
        </w:rPr>
        <w:t xml:space="preserve"> </w:t>
      </w:r>
      <w:r w:rsidR="00A979CD" w:rsidRPr="00082C78">
        <w:rPr>
          <w:rFonts w:ascii="David" w:eastAsia="Calibri" w:hAnsi="David" w:hint="eastAsia"/>
          <w:sz w:val="24"/>
          <w:rtl/>
        </w:rPr>
        <w:t>ל</w:t>
      </w:r>
      <w:r w:rsidR="00A979CD">
        <w:rPr>
          <w:rFonts w:ascii="David" w:eastAsia="Calibri" w:hAnsi="David" w:hint="cs"/>
          <w:sz w:val="24"/>
          <w:rtl/>
        </w:rPr>
        <w:t>ו</w:t>
      </w:r>
      <w:r w:rsidR="00A979CD" w:rsidRPr="00082C78">
        <w:rPr>
          <w:rFonts w:ascii="David" w:eastAsia="Calibri" w:hAnsi="David"/>
          <w:sz w:val="24"/>
          <w:rtl/>
        </w:rPr>
        <w:t xml:space="preserve"> </w:t>
      </w:r>
      <w:r w:rsidRPr="00082C78">
        <w:rPr>
          <w:rFonts w:ascii="David" w:eastAsia="Calibri" w:hAnsi="David" w:hint="eastAsia"/>
          <w:sz w:val="24"/>
          <w:rtl/>
        </w:rPr>
        <w:t>על</w:t>
      </w:r>
      <w:r w:rsidRPr="00082C78">
        <w:rPr>
          <w:rFonts w:ascii="David" w:eastAsia="Calibri" w:hAnsi="David"/>
          <w:sz w:val="24"/>
          <w:rtl/>
        </w:rPr>
        <w:t xml:space="preserve"> הפרקטיקה הנוהגת במשטרה </w:t>
      </w:r>
      <w:r w:rsidRPr="00082C78">
        <w:rPr>
          <w:rFonts w:ascii="David" w:eastAsia="Calibri" w:hAnsi="David" w:hint="eastAsia"/>
          <w:sz w:val="24"/>
          <w:rtl/>
        </w:rPr>
        <w:t>של</w:t>
      </w:r>
      <w:r w:rsidRPr="00082C78">
        <w:rPr>
          <w:rFonts w:ascii="David" w:eastAsia="Calibri" w:hAnsi="David"/>
          <w:sz w:val="24"/>
          <w:rtl/>
        </w:rPr>
        <w:t xml:space="preserve"> הגשת בקש</w:t>
      </w:r>
      <w:r w:rsidRPr="00082C78">
        <w:rPr>
          <w:rFonts w:ascii="David" w:eastAsia="Calibri" w:hAnsi="David" w:hint="cs"/>
          <w:sz w:val="24"/>
          <w:rtl/>
        </w:rPr>
        <w:t>ות אלו</w:t>
      </w:r>
      <w:r w:rsidRPr="00082C78">
        <w:rPr>
          <w:rFonts w:ascii="David" w:eastAsia="Calibri" w:hAnsi="David"/>
          <w:sz w:val="24"/>
          <w:rtl/>
        </w:rPr>
        <w:t xml:space="preserve"> </w:t>
      </w:r>
      <w:r w:rsidRPr="00082C78">
        <w:rPr>
          <w:rFonts w:ascii="David" w:eastAsia="Calibri" w:hAnsi="David" w:hint="cs"/>
          <w:sz w:val="24"/>
          <w:rtl/>
        </w:rPr>
        <w:t>ללא ההגבלה המסוימת</w:t>
      </w:r>
      <w:r w:rsidRPr="00082C78">
        <w:rPr>
          <w:rFonts w:ascii="David" w:eastAsia="Calibri" w:hAnsi="David"/>
          <w:sz w:val="24"/>
          <w:rtl/>
        </w:rPr>
        <w:t>,</w:t>
      </w:r>
      <w:r w:rsidRPr="00082C78">
        <w:rPr>
          <w:rFonts w:ascii="David" w:eastAsia="Calibri" w:hAnsi="David" w:hint="cs"/>
          <w:sz w:val="24"/>
          <w:rtl/>
        </w:rPr>
        <w:t xml:space="preserve"> </w:t>
      </w:r>
      <w:r w:rsidRPr="00082C78">
        <w:rPr>
          <w:rFonts w:ascii="David" w:eastAsia="Calibri" w:hAnsi="David" w:hint="eastAsia"/>
          <w:sz w:val="24"/>
          <w:rtl/>
        </w:rPr>
        <w:t>הורה</w:t>
      </w:r>
      <w:r w:rsidRPr="00082C78">
        <w:rPr>
          <w:rFonts w:ascii="David" w:eastAsia="Calibri" w:hAnsi="David"/>
          <w:sz w:val="24"/>
          <w:rtl/>
        </w:rPr>
        <w:t xml:space="preserve"> </w:t>
      </w:r>
      <w:r w:rsidR="00200360">
        <w:rPr>
          <w:rFonts w:ascii="David" w:eastAsia="Calibri" w:hAnsi="David" w:hint="cs"/>
          <w:sz w:val="24"/>
          <w:rtl/>
        </w:rPr>
        <w:t>הנציג</w:t>
      </w:r>
      <w:r w:rsidRPr="00082C78">
        <w:rPr>
          <w:rFonts w:ascii="David" w:eastAsia="Calibri" w:hAnsi="David"/>
          <w:sz w:val="24"/>
          <w:rtl/>
        </w:rPr>
        <w:t xml:space="preserve"> </w:t>
      </w:r>
      <w:r w:rsidRPr="00082C78">
        <w:rPr>
          <w:rFonts w:ascii="David" w:eastAsia="Calibri" w:hAnsi="David" w:hint="eastAsia"/>
          <w:sz w:val="24"/>
          <w:rtl/>
        </w:rPr>
        <w:t>על</w:t>
      </w:r>
      <w:r w:rsidRPr="00082C78">
        <w:rPr>
          <w:rFonts w:ascii="David" w:eastAsia="Calibri" w:hAnsi="David"/>
          <w:sz w:val="24"/>
          <w:rtl/>
        </w:rPr>
        <w:t xml:space="preserve"> </w:t>
      </w:r>
      <w:r w:rsidRPr="00082C78">
        <w:rPr>
          <w:rFonts w:ascii="David" w:eastAsia="Calibri" w:hAnsi="David" w:hint="eastAsia"/>
          <w:sz w:val="24"/>
          <w:rtl/>
        </w:rPr>
        <w:t>הפסקת</w:t>
      </w:r>
      <w:r w:rsidRPr="00082C78">
        <w:rPr>
          <w:rFonts w:ascii="David" w:eastAsia="Calibri" w:hAnsi="David"/>
          <w:sz w:val="24"/>
          <w:rtl/>
        </w:rPr>
        <w:t xml:space="preserve"> הפרקטיקה </w:t>
      </w:r>
      <w:r w:rsidRPr="00082C78">
        <w:rPr>
          <w:rFonts w:ascii="David" w:eastAsia="Calibri" w:hAnsi="David" w:hint="eastAsia"/>
          <w:sz w:val="24"/>
          <w:rtl/>
        </w:rPr>
        <w:t>הנהוגה</w:t>
      </w:r>
      <w:r w:rsidRPr="00082C78">
        <w:rPr>
          <w:rFonts w:ascii="David" w:eastAsia="Calibri" w:hAnsi="David"/>
          <w:sz w:val="24"/>
          <w:rtl/>
        </w:rPr>
        <w:t>.</w:t>
      </w:r>
      <w:r w:rsidRPr="00082C78">
        <w:rPr>
          <w:rFonts w:ascii="David" w:eastAsia="Calibri" w:hAnsi="David" w:hint="cs"/>
          <w:sz w:val="24"/>
          <w:rtl/>
        </w:rPr>
        <w:t xml:space="preserve"> במשך שנתיים התקיים שיח בין הייעוץ המשפטי למשטרה לבין הייעוץ המשפטי לממשלה על אודות הנוהל המשטרתי הרלוונטי; הערות הועברו בין שני הצדדים, והמשטרה הכירה את עמדת הייעוץ המשפטי לממשלה בדבר ההגבלה הנדרשת.</w:t>
      </w:r>
    </w:p>
    <w:p w:rsidR="00082C78" w:rsidRPr="00082C78" w:rsidRDefault="00082C78" w:rsidP="00C9417D">
      <w:pPr>
        <w:spacing w:line="269" w:lineRule="auto"/>
        <w:ind w:left="338"/>
        <w:rPr>
          <w:rFonts w:ascii="David" w:eastAsia="Calibri" w:hAnsi="David"/>
          <w:sz w:val="16"/>
          <w:szCs w:val="16"/>
          <w:rtl/>
        </w:rPr>
      </w:pPr>
    </w:p>
    <w:p w:rsidR="00082C78" w:rsidRPr="00082C78" w:rsidRDefault="00082C78" w:rsidP="00C9417D">
      <w:pPr>
        <w:spacing w:line="269" w:lineRule="auto"/>
        <w:ind w:left="338"/>
        <w:rPr>
          <w:rFonts w:ascii="David" w:eastAsia="Calibri" w:hAnsi="David"/>
          <w:b/>
          <w:bCs/>
          <w:sz w:val="24"/>
          <w:rtl/>
        </w:rPr>
      </w:pPr>
      <w:r w:rsidRPr="00082C78">
        <w:rPr>
          <w:rFonts w:ascii="David" w:eastAsia="Calibri" w:hAnsi="David" w:hint="cs"/>
          <w:b/>
          <w:bCs/>
          <w:sz w:val="24"/>
          <w:rtl/>
        </w:rPr>
        <w:t xml:space="preserve">משרד מבקר המדינה מעיר כי </w:t>
      </w:r>
      <w:r w:rsidRPr="00082C78">
        <w:rPr>
          <w:rFonts w:ascii="David" w:eastAsia="Calibri" w:hAnsi="David" w:hint="eastAsia"/>
          <w:b/>
          <w:bCs/>
          <w:sz w:val="24"/>
          <w:rtl/>
        </w:rPr>
        <w:t>אינו</w:t>
      </w:r>
      <w:r w:rsidRPr="00082C78">
        <w:rPr>
          <w:rFonts w:ascii="David" w:eastAsia="Calibri" w:hAnsi="David"/>
          <w:b/>
          <w:bCs/>
          <w:sz w:val="24"/>
          <w:rtl/>
        </w:rPr>
        <w:t xml:space="preserve"> </w:t>
      </w:r>
      <w:r w:rsidRPr="00082C78">
        <w:rPr>
          <w:rFonts w:ascii="David" w:eastAsia="Calibri" w:hAnsi="David" w:hint="eastAsia"/>
          <w:b/>
          <w:bCs/>
          <w:sz w:val="24"/>
          <w:rtl/>
        </w:rPr>
        <w:t>מקבל</w:t>
      </w:r>
      <w:r w:rsidRPr="00082C78">
        <w:rPr>
          <w:rFonts w:ascii="David" w:eastAsia="Calibri" w:hAnsi="David"/>
          <w:b/>
          <w:bCs/>
          <w:sz w:val="24"/>
          <w:rtl/>
        </w:rPr>
        <w:t xml:space="preserve"> </w:t>
      </w:r>
      <w:r w:rsidRPr="00082C78">
        <w:rPr>
          <w:rFonts w:ascii="David" w:eastAsia="Calibri" w:hAnsi="David" w:hint="eastAsia"/>
          <w:b/>
          <w:bCs/>
          <w:sz w:val="24"/>
          <w:rtl/>
        </w:rPr>
        <w:t>את</w:t>
      </w:r>
      <w:r w:rsidRPr="00082C78">
        <w:rPr>
          <w:rFonts w:ascii="David" w:eastAsia="Calibri" w:hAnsi="David" w:hint="cs"/>
          <w:b/>
          <w:bCs/>
          <w:sz w:val="24"/>
          <w:rtl/>
        </w:rPr>
        <w:t xml:space="preserve"> </w:t>
      </w:r>
      <w:r w:rsidRPr="00082C78">
        <w:rPr>
          <w:rFonts w:ascii="David" w:eastAsia="Calibri" w:hAnsi="David" w:hint="eastAsia"/>
          <w:b/>
          <w:bCs/>
          <w:sz w:val="24"/>
          <w:rtl/>
        </w:rPr>
        <w:t>עמדת</w:t>
      </w:r>
      <w:r w:rsidR="008B03FA">
        <w:rPr>
          <w:rFonts w:ascii="David" w:eastAsia="Calibri" w:hAnsi="David" w:hint="cs"/>
          <w:b/>
          <w:bCs/>
          <w:sz w:val="24"/>
          <w:rtl/>
        </w:rPr>
        <w:t xml:space="preserve"> הייעוץ המשפטי לממשלה</w:t>
      </w:r>
      <w:r w:rsidRPr="00082C78">
        <w:rPr>
          <w:rFonts w:ascii="David" w:eastAsia="Calibri" w:hAnsi="David" w:hint="cs"/>
          <w:b/>
          <w:bCs/>
          <w:sz w:val="24"/>
          <w:rtl/>
        </w:rPr>
        <w:t xml:space="preserve"> </w:t>
      </w:r>
      <w:r w:rsidR="008B03FA">
        <w:rPr>
          <w:rFonts w:ascii="David" w:eastAsia="Calibri" w:hAnsi="David" w:hint="cs"/>
          <w:b/>
          <w:bCs/>
          <w:sz w:val="24"/>
          <w:rtl/>
        </w:rPr>
        <w:t>ב</w:t>
      </w:r>
      <w:r w:rsidRPr="00082C78">
        <w:rPr>
          <w:rFonts w:ascii="David" w:eastAsia="Calibri" w:hAnsi="David" w:hint="cs"/>
          <w:b/>
          <w:bCs/>
          <w:sz w:val="24"/>
          <w:rtl/>
        </w:rPr>
        <w:t>משרד המשפטים ולפיה ניתן לראות ב</w:t>
      </w:r>
      <w:r w:rsidRPr="00082C78">
        <w:rPr>
          <w:rFonts w:ascii="David" w:eastAsia="Calibri" w:hAnsi="David" w:hint="eastAsia"/>
          <w:b/>
          <w:bCs/>
          <w:sz w:val="24"/>
          <w:rtl/>
        </w:rPr>
        <w:t>סיכום</w:t>
      </w:r>
      <w:r w:rsidRPr="00082C78">
        <w:rPr>
          <w:rFonts w:ascii="David" w:eastAsia="Calibri" w:hAnsi="David"/>
          <w:b/>
          <w:bCs/>
          <w:sz w:val="24"/>
          <w:rtl/>
        </w:rPr>
        <w:t xml:space="preserve"> </w:t>
      </w:r>
      <w:r w:rsidRPr="00082C78">
        <w:rPr>
          <w:rFonts w:ascii="David" w:eastAsia="Calibri" w:hAnsi="David" w:hint="eastAsia"/>
          <w:b/>
          <w:bCs/>
          <w:sz w:val="24"/>
          <w:rtl/>
        </w:rPr>
        <w:t>של</w:t>
      </w:r>
      <w:r w:rsidRPr="00082C78">
        <w:rPr>
          <w:rFonts w:ascii="David" w:eastAsia="Calibri" w:hAnsi="David" w:hint="cs"/>
          <w:b/>
          <w:bCs/>
          <w:sz w:val="24"/>
          <w:rtl/>
        </w:rPr>
        <w:t xml:space="preserve"> "שיח </w:t>
      </w:r>
      <w:r w:rsidRPr="00082C78">
        <w:rPr>
          <w:rFonts w:ascii="David" w:eastAsia="Calibri" w:hAnsi="David" w:hint="eastAsia"/>
          <w:b/>
          <w:bCs/>
          <w:sz w:val="24"/>
          <w:rtl/>
        </w:rPr>
        <w:t>משפטי</w:t>
      </w:r>
      <w:r w:rsidRPr="00082C78">
        <w:rPr>
          <w:rFonts w:ascii="David" w:eastAsia="Calibri" w:hAnsi="David" w:hint="cs"/>
          <w:b/>
          <w:bCs/>
          <w:sz w:val="24"/>
          <w:rtl/>
        </w:rPr>
        <w:t xml:space="preserve">" שנמשך שנים בין הייעוץ המשפטי למשטרה לבין גורמי הייעוץ המשפטי לממשלה "אישור" הנוגע לסמכות המשטרה לבצע פעולה באמצעות כלים טכנולוגיים רגישים במיוחד ובעלי השלכות משמעותיות על תחומי העונשין ועל זכויות האדם. </w:t>
      </w:r>
      <w:r w:rsidR="00A979CD">
        <w:rPr>
          <w:rFonts w:ascii="David" w:eastAsia="Calibri" w:hAnsi="David" w:hint="cs"/>
          <w:b/>
          <w:bCs/>
          <w:sz w:val="24"/>
          <w:rtl/>
        </w:rPr>
        <w:t xml:space="preserve">כמו כן, </w:t>
      </w:r>
      <w:r w:rsidRPr="00082C78">
        <w:rPr>
          <w:rFonts w:ascii="David" w:eastAsia="Calibri" w:hAnsi="David" w:hint="eastAsia"/>
          <w:b/>
          <w:bCs/>
          <w:sz w:val="24"/>
          <w:rtl/>
        </w:rPr>
        <w:t>מזכר</w:t>
      </w:r>
      <w:r w:rsidRPr="00082C78">
        <w:rPr>
          <w:rFonts w:ascii="David" w:eastAsia="Calibri" w:hAnsi="David"/>
          <w:b/>
          <w:bCs/>
          <w:sz w:val="24"/>
          <w:rtl/>
        </w:rPr>
        <w:t xml:space="preserve"> </w:t>
      </w:r>
      <w:r w:rsidRPr="00082C78">
        <w:rPr>
          <w:rFonts w:ascii="David" w:eastAsia="Calibri" w:hAnsi="David" w:hint="eastAsia"/>
          <w:b/>
          <w:bCs/>
          <w:sz w:val="24"/>
          <w:rtl/>
        </w:rPr>
        <w:t>פנימי</w:t>
      </w:r>
      <w:r w:rsidRPr="00082C78">
        <w:rPr>
          <w:rFonts w:ascii="David" w:eastAsia="Calibri" w:hAnsi="David"/>
          <w:b/>
          <w:bCs/>
          <w:sz w:val="24"/>
          <w:rtl/>
        </w:rPr>
        <w:t xml:space="preserve"> </w:t>
      </w:r>
      <w:r w:rsidRPr="00082C78">
        <w:rPr>
          <w:rFonts w:ascii="David" w:eastAsia="Calibri" w:hAnsi="David" w:hint="eastAsia"/>
          <w:b/>
          <w:bCs/>
          <w:sz w:val="24"/>
          <w:rtl/>
        </w:rPr>
        <w:t>תמציתי</w:t>
      </w:r>
      <w:r w:rsidRPr="00082C78">
        <w:rPr>
          <w:rFonts w:ascii="David" w:eastAsia="Calibri" w:hAnsi="David"/>
          <w:b/>
          <w:bCs/>
          <w:sz w:val="24"/>
          <w:rtl/>
        </w:rPr>
        <w:t xml:space="preserve"> </w:t>
      </w:r>
      <w:r w:rsidRPr="00082C78">
        <w:rPr>
          <w:rFonts w:ascii="David" w:eastAsia="Calibri" w:hAnsi="David" w:hint="eastAsia"/>
          <w:b/>
          <w:bCs/>
          <w:sz w:val="24"/>
          <w:rtl/>
        </w:rPr>
        <w:t>אינו</w:t>
      </w:r>
      <w:r w:rsidRPr="00082C78">
        <w:rPr>
          <w:rFonts w:ascii="David" w:eastAsia="Calibri" w:hAnsi="David"/>
          <w:b/>
          <w:bCs/>
          <w:sz w:val="24"/>
          <w:rtl/>
        </w:rPr>
        <w:t xml:space="preserve"> </w:t>
      </w:r>
      <w:r w:rsidRPr="00082C78">
        <w:rPr>
          <w:rFonts w:ascii="David" w:eastAsia="Calibri" w:hAnsi="David" w:hint="eastAsia"/>
          <w:b/>
          <w:bCs/>
          <w:sz w:val="24"/>
          <w:rtl/>
        </w:rPr>
        <w:t>יכול</w:t>
      </w:r>
      <w:r w:rsidRPr="00082C78">
        <w:rPr>
          <w:rFonts w:ascii="David" w:eastAsia="Calibri" w:hAnsi="David"/>
          <w:b/>
          <w:bCs/>
          <w:sz w:val="24"/>
          <w:rtl/>
        </w:rPr>
        <w:t xml:space="preserve"> </w:t>
      </w:r>
      <w:r w:rsidRPr="00082C78">
        <w:rPr>
          <w:rFonts w:ascii="David" w:eastAsia="Calibri" w:hAnsi="David" w:hint="cs"/>
          <w:b/>
          <w:bCs/>
          <w:sz w:val="24"/>
          <w:rtl/>
        </w:rPr>
        <w:t xml:space="preserve">להחליף הליכי בחינה מפורטים ומתועדים לרבות סיכום עמדות הצדדים, חוות דעת משפטיות והחלטות מנומקות של גורמי הייעוץ המשפטי לממשלה </w:t>
      </w:r>
      <w:r w:rsidRPr="00082C78">
        <w:rPr>
          <w:rFonts w:ascii="David" w:eastAsia="Calibri" w:hAnsi="David" w:hint="eastAsia"/>
          <w:b/>
          <w:bCs/>
          <w:sz w:val="24"/>
          <w:rtl/>
        </w:rPr>
        <w:t>שהובעו</w:t>
      </w:r>
      <w:r w:rsidRPr="00082C78">
        <w:rPr>
          <w:rFonts w:ascii="David" w:eastAsia="Calibri" w:hAnsi="David"/>
          <w:b/>
          <w:bCs/>
          <w:sz w:val="24"/>
          <w:rtl/>
        </w:rPr>
        <w:t xml:space="preserve"> </w:t>
      </w:r>
      <w:r w:rsidRPr="00082C78">
        <w:rPr>
          <w:rFonts w:ascii="David" w:eastAsia="Calibri" w:hAnsi="David" w:hint="eastAsia"/>
          <w:b/>
          <w:bCs/>
          <w:sz w:val="24"/>
          <w:rtl/>
        </w:rPr>
        <w:t>בדיון</w:t>
      </w:r>
      <w:r w:rsidRPr="00082C78">
        <w:rPr>
          <w:rFonts w:ascii="David" w:eastAsia="Calibri" w:hAnsi="David"/>
          <w:b/>
          <w:bCs/>
          <w:sz w:val="24"/>
          <w:rtl/>
        </w:rPr>
        <w:t xml:space="preserve">. </w:t>
      </w:r>
      <w:r w:rsidRPr="00082C78">
        <w:rPr>
          <w:rFonts w:ascii="David" w:eastAsia="Calibri" w:hAnsi="David" w:hint="cs"/>
          <w:b/>
          <w:bCs/>
          <w:sz w:val="24"/>
          <w:rtl/>
        </w:rPr>
        <w:t>מתווה בחינה סדור ומקצועי כזה יאפשר הן קיום בקרות פנימיות וביקורות חיצוניות על הליכי קבלת ההחלטות ב</w:t>
      </w:r>
      <w:r w:rsidR="008B03FA">
        <w:rPr>
          <w:rFonts w:ascii="David" w:eastAsia="Calibri" w:hAnsi="David" w:hint="cs"/>
          <w:b/>
          <w:bCs/>
          <w:sz w:val="24"/>
          <w:rtl/>
        </w:rPr>
        <w:t>ייעוץ המשפטי לממשלה ב</w:t>
      </w:r>
      <w:r w:rsidRPr="00082C78">
        <w:rPr>
          <w:rFonts w:ascii="David" w:eastAsia="Calibri" w:hAnsi="David" w:hint="cs"/>
          <w:b/>
          <w:bCs/>
          <w:sz w:val="24"/>
          <w:rtl/>
        </w:rPr>
        <w:t>משרד המשפטים, בהקשרים אלו, והן ביקורת שיפוטית ככל שתידרש.</w:t>
      </w:r>
    </w:p>
    <w:p w:rsidR="00271D14" w:rsidRDefault="00271D14" w:rsidP="00C9417D">
      <w:pPr>
        <w:spacing w:line="269" w:lineRule="auto"/>
        <w:ind w:left="338"/>
        <w:rPr>
          <w:rFonts w:ascii="David" w:eastAsia="Calibri" w:hAnsi="David"/>
          <w:sz w:val="16"/>
          <w:szCs w:val="16"/>
          <w:rtl/>
        </w:rPr>
      </w:pPr>
    </w:p>
    <w:p w:rsidR="00082C78" w:rsidRPr="00082C78" w:rsidRDefault="00082C78" w:rsidP="00C9417D">
      <w:pPr>
        <w:spacing w:line="269" w:lineRule="auto"/>
        <w:ind w:left="338"/>
        <w:rPr>
          <w:rFonts w:ascii="David" w:eastAsia="Calibri" w:hAnsi="David"/>
          <w:bCs/>
          <w:sz w:val="24"/>
          <w:rtl/>
        </w:rPr>
      </w:pPr>
      <w:r w:rsidRPr="00082C78">
        <w:rPr>
          <w:rFonts w:ascii="David" w:eastAsia="Calibri" w:hAnsi="David" w:hint="cs"/>
          <w:b/>
          <w:sz w:val="24"/>
          <w:rtl/>
        </w:rPr>
        <w:t xml:space="preserve">בשנת 2022, </w:t>
      </w:r>
      <w:r w:rsidRPr="00082C78">
        <w:rPr>
          <w:rFonts w:ascii="David" w:eastAsia="Calibri" w:hAnsi="David" w:hint="eastAsia"/>
          <w:b/>
          <w:sz w:val="24"/>
          <w:rtl/>
        </w:rPr>
        <w:t>בעמדה</w:t>
      </w:r>
      <w:r w:rsidRPr="00082C78">
        <w:rPr>
          <w:rFonts w:ascii="David" w:eastAsia="Calibri" w:hAnsi="David"/>
          <w:b/>
          <w:sz w:val="24"/>
          <w:rtl/>
        </w:rPr>
        <w:t xml:space="preserve"> </w:t>
      </w:r>
      <w:r w:rsidRPr="00082C78">
        <w:rPr>
          <w:rFonts w:ascii="David" w:eastAsia="Calibri" w:hAnsi="David" w:hint="eastAsia"/>
          <w:b/>
          <w:sz w:val="24"/>
          <w:rtl/>
        </w:rPr>
        <w:t>המשפטית</w:t>
      </w:r>
      <w:r w:rsidRPr="00082C78">
        <w:rPr>
          <w:rFonts w:ascii="David" w:eastAsia="Calibri" w:hAnsi="David"/>
          <w:b/>
          <w:sz w:val="24"/>
          <w:rtl/>
        </w:rPr>
        <w:t xml:space="preserve"> </w:t>
      </w:r>
      <w:r w:rsidRPr="00082C78">
        <w:rPr>
          <w:rFonts w:ascii="David" w:eastAsia="Calibri" w:hAnsi="David" w:hint="eastAsia"/>
          <w:b/>
          <w:sz w:val="24"/>
          <w:rtl/>
        </w:rPr>
        <w:t>שבדוח</w:t>
      </w:r>
      <w:r w:rsidRPr="00082C78">
        <w:rPr>
          <w:rFonts w:ascii="David" w:eastAsia="Calibri" w:hAnsi="David"/>
          <w:b/>
          <w:sz w:val="24"/>
          <w:rtl/>
        </w:rPr>
        <w:t xml:space="preserve"> </w:t>
      </w:r>
      <w:r w:rsidRPr="00082C78">
        <w:rPr>
          <w:rFonts w:ascii="David" w:eastAsia="Calibri" w:hAnsi="David" w:hint="eastAsia"/>
          <w:b/>
          <w:sz w:val="24"/>
          <w:rtl/>
        </w:rPr>
        <w:t>צוות</w:t>
      </w:r>
      <w:r w:rsidRPr="00082C78">
        <w:rPr>
          <w:rFonts w:ascii="David" w:eastAsia="Calibri" w:hAnsi="David"/>
          <w:b/>
          <w:sz w:val="24"/>
          <w:rtl/>
        </w:rPr>
        <w:t xml:space="preserve"> </w:t>
      </w:r>
      <w:r w:rsidRPr="00082C78">
        <w:rPr>
          <w:rFonts w:ascii="David" w:eastAsia="Calibri" w:hAnsi="David" w:hint="eastAsia"/>
          <w:b/>
          <w:sz w:val="24"/>
          <w:rtl/>
        </w:rPr>
        <w:t>מררי</w:t>
      </w:r>
      <w:r w:rsidRPr="00082C78">
        <w:rPr>
          <w:rFonts w:ascii="David" w:eastAsia="Calibri" w:hAnsi="David"/>
          <w:b/>
          <w:sz w:val="24"/>
          <w:rtl/>
        </w:rPr>
        <w:t xml:space="preserve">, </w:t>
      </w:r>
      <w:r w:rsidRPr="00082C78">
        <w:rPr>
          <w:rFonts w:ascii="David" w:eastAsia="Calibri" w:hAnsi="David" w:hint="eastAsia"/>
          <w:b/>
          <w:sz w:val="24"/>
          <w:rtl/>
        </w:rPr>
        <w:t>נקבע</w:t>
      </w:r>
      <w:r w:rsidRPr="00082C78">
        <w:rPr>
          <w:rFonts w:ascii="David" w:eastAsia="Calibri" w:hAnsi="David"/>
          <w:b/>
          <w:sz w:val="24"/>
          <w:rtl/>
        </w:rPr>
        <w:t xml:space="preserve"> כי המשטרה מוסמכת</w:t>
      </w:r>
      <w:r w:rsidRPr="00082C78">
        <w:rPr>
          <w:rFonts w:ascii="David" w:eastAsia="Calibri" w:hAnsi="David" w:hint="cs"/>
          <w:b/>
          <w:sz w:val="24"/>
          <w:rtl/>
        </w:rPr>
        <w:t xml:space="preserve"> לבצע את הפעולה המסוימת</w:t>
      </w:r>
      <w:r w:rsidR="002F480B">
        <w:rPr>
          <w:rFonts w:ascii="David" w:eastAsia="Calibri" w:hAnsi="David" w:hint="cs"/>
          <w:b/>
          <w:sz w:val="24"/>
          <w:rtl/>
        </w:rPr>
        <w:t xml:space="preserve">. </w:t>
      </w:r>
      <w:r w:rsidRPr="00082C78">
        <w:rPr>
          <w:rFonts w:ascii="David" w:eastAsia="Calibri" w:hAnsi="David"/>
          <w:b/>
          <w:sz w:val="24"/>
          <w:rtl/>
        </w:rPr>
        <w:t xml:space="preserve">עם זאת, </w:t>
      </w:r>
      <w:r w:rsidR="0001219C">
        <w:rPr>
          <w:rFonts w:ascii="David" w:eastAsia="Calibri" w:hAnsi="David" w:hint="cs"/>
          <w:b/>
          <w:sz w:val="24"/>
          <w:rtl/>
        </w:rPr>
        <w:t>היות ו</w:t>
      </w:r>
      <w:r w:rsidRPr="00082C78">
        <w:rPr>
          <w:rFonts w:ascii="David" w:eastAsia="Calibri" w:hAnsi="David"/>
          <w:b/>
          <w:sz w:val="24"/>
          <w:rtl/>
        </w:rPr>
        <w:t xml:space="preserve">הפגיעה הנגרמת עקב </w:t>
      </w:r>
      <w:r w:rsidRPr="00082C78">
        <w:rPr>
          <w:rFonts w:ascii="David" w:eastAsia="Calibri" w:hAnsi="David" w:hint="cs"/>
          <w:b/>
          <w:sz w:val="24"/>
          <w:rtl/>
        </w:rPr>
        <w:t>ביצוע הפעולה גדולה יותר מפעולות דומות אחרות</w:t>
      </w:r>
      <w:r w:rsidR="00D84923">
        <w:rPr>
          <w:rFonts w:ascii="David" w:eastAsia="Calibri" w:hAnsi="David" w:hint="cs"/>
          <w:b/>
          <w:sz w:val="24"/>
          <w:rtl/>
        </w:rPr>
        <w:t>,</w:t>
      </w:r>
      <w:r w:rsidRPr="00082C78">
        <w:rPr>
          <w:rFonts w:ascii="David" w:eastAsia="Calibri" w:hAnsi="David"/>
          <w:b/>
          <w:sz w:val="24"/>
          <w:rtl/>
        </w:rPr>
        <w:t xml:space="preserve"> יש לבצע את הפעולה במקרים חריגים בלבד.</w:t>
      </w:r>
      <w:r w:rsidRPr="00082C78">
        <w:rPr>
          <w:rFonts w:ascii="David" w:eastAsia="Calibri" w:hAnsi="David"/>
          <w:bCs/>
          <w:sz w:val="24"/>
          <w:rtl/>
        </w:rPr>
        <w:t xml:space="preserve"> </w:t>
      </w:r>
    </w:p>
    <w:p w:rsidR="00271D14" w:rsidRDefault="00271D14" w:rsidP="00C9417D">
      <w:pPr>
        <w:spacing w:line="269" w:lineRule="auto"/>
        <w:ind w:left="338"/>
        <w:rPr>
          <w:rFonts w:ascii="David" w:eastAsia="Calibri" w:hAnsi="David"/>
          <w:sz w:val="16"/>
          <w:szCs w:val="16"/>
          <w:rtl/>
        </w:rPr>
      </w:pPr>
    </w:p>
    <w:p w:rsidR="00082C78" w:rsidRPr="00082C78" w:rsidRDefault="00082C78" w:rsidP="00C9417D">
      <w:pPr>
        <w:spacing w:line="269" w:lineRule="auto"/>
        <w:ind w:left="338"/>
        <w:rPr>
          <w:rFonts w:ascii="David" w:eastAsia="Calibri" w:hAnsi="David"/>
          <w:sz w:val="24"/>
          <w:rtl/>
        </w:rPr>
      </w:pPr>
      <w:r w:rsidRPr="00082C78">
        <w:rPr>
          <w:rFonts w:ascii="David" w:eastAsia="Calibri" w:hAnsi="David" w:hint="cs"/>
          <w:b/>
          <w:bCs/>
          <w:sz w:val="24"/>
          <w:rtl/>
        </w:rPr>
        <w:t>חרף העמדה המשפטית שניתנה בשנת 2019 כי יש להפסיק את הפרקטיקה של הגשת הבקשות לביצוע פעולה מסוימת באופן גורף, וחרף החזרה על העמדה בדוח צוות מררי משנת 2022, ולפיה הפעולה תתבצע במקרים חריגים,</w:t>
      </w:r>
      <w:r w:rsidRPr="00082C78">
        <w:rPr>
          <w:rFonts w:ascii="David" w:eastAsia="Calibri" w:hAnsi="David" w:hint="cs"/>
          <w:sz w:val="24"/>
          <w:rtl/>
        </w:rPr>
        <w:t xml:space="preserve"> </w:t>
      </w:r>
      <w:r w:rsidR="008B03FA">
        <w:rPr>
          <w:rFonts w:ascii="David" w:eastAsia="Calibri" w:hAnsi="David" w:hint="cs"/>
          <w:b/>
          <w:bCs/>
          <w:sz w:val="24"/>
          <w:rtl/>
        </w:rPr>
        <w:t>הייעוץ המשפטי לממשלה ב</w:t>
      </w:r>
      <w:r w:rsidRPr="00082C78">
        <w:rPr>
          <w:rFonts w:ascii="David" w:eastAsia="Calibri" w:hAnsi="David" w:hint="cs"/>
          <w:b/>
          <w:bCs/>
          <w:sz w:val="24"/>
          <w:rtl/>
        </w:rPr>
        <w:t>משרד המשפטים והמשטרה לא קבעו תבחינים למקרים החריגים המצדיקים את ביצוע פעולה זו</w:t>
      </w:r>
      <w:r w:rsidR="002F480B">
        <w:rPr>
          <w:rFonts w:ascii="David" w:eastAsia="Calibri" w:hAnsi="David" w:hint="cs"/>
          <w:sz w:val="24"/>
          <w:rtl/>
        </w:rPr>
        <w:t>.</w:t>
      </w:r>
    </w:p>
    <w:p w:rsidR="00271D14" w:rsidRDefault="00271D14" w:rsidP="00C9417D">
      <w:pPr>
        <w:spacing w:line="269" w:lineRule="auto"/>
        <w:ind w:left="338"/>
        <w:rPr>
          <w:rFonts w:ascii="David" w:eastAsia="Calibri" w:hAnsi="David"/>
          <w:sz w:val="16"/>
          <w:szCs w:val="16"/>
          <w:rtl/>
        </w:rPr>
      </w:pPr>
    </w:p>
    <w:p w:rsidR="0003777B" w:rsidRPr="0003777B" w:rsidRDefault="0003777B" w:rsidP="00C9417D">
      <w:pPr>
        <w:spacing w:line="269" w:lineRule="auto"/>
        <w:ind w:left="338"/>
        <w:rPr>
          <w:rFonts w:ascii="David" w:eastAsia="Calibri" w:hAnsi="David"/>
          <w:b/>
          <w:bCs/>
          <w:sz w:val="24"/>
          <w:rtl/>
        </w:rPr>
      </w:pPr>
      <w:r w:rsidRPr="0003777B">
        <w:rPr>
          <w:rFonts w:ascii="David" w:eastAsia="Calibri" w:hAnsi="David" w:hint="cs"/>
          <w:b/>
          <w:bCs/>
          <w:sz w:val="24"/>
          <w:rtl/>
        </w:rPr>
        <w:t xml:space="preserve">נמצא כי אף שלא נקבעו תבחינים אשר יביאו לכך שהפעולה תתבצע במקרים חריגים בלבד, </w:t>
      </w:r>
      <w:r w:rsidRPr="0003777B">
        <w:rPr>
          <w:rFonts w:ascii="David" w:eastAsia="Calibri" w:hAnsi="David"/>
          <w:b/>
          <w:bCs/>
          <w:sz w:val="24"/>
          <w:rtl/>
        </w:rPr>
        <w:t xml:space="preserve">מתחילת שנת 2018 ועד תחילת שנת 2022 </w:t>
      </w:r>
      <w:r w:rsidRPr="0003777B">
        <w:rPr>
          <w:rFonts w:ascii="David" w:eastAsia="Calibri" w:hAnsi="David" w:hint="cs"/>
          <w:b/>
          <w:bCs/>
          <w:sz w:val="24"/>
          <w:rtl/>
        </w:rPr>
        <w:t>השתמשה המשטרה בכלי טכנולוגי מסוים לצורך ביצוע פעולה מסוימת</w:t>
      </w:r>
      <w:r w:rsidR="00382AE8">
        <w:rPr>
          <w:rFonts w:ascii="David" w:eastAsia="Calibri" w:hAnsi="David" w:hint="cs"/>
          <w:b/>
          <w:bCs/>
          <w:sz w:val="24"/>
          <w:rtl/>
        </w:rPr>
        <w:t xml:space="preserve"> </w:t>
      </w:r>
      <w:r w:rsidR="005E61E7">
        <w:rPr>
          <w:rFonts w:ascii="David" w:eastAsia="Calibri" w:hAnsi="David" w:hint="cs"/>
          <w:b/>
          <w:bCs/>
          <w:sz w:val="24"/>
          <w:rtl/>
        </w:rPr>
        <w:t>ב-19% מהמטרות</w:t>
      </w:r>
      <w:r w:rsidRPr="0003777B">
        <w:rPr>
          <w:rFonts w:ascii="David" w:eastAsia="Calibri" w:hAnsi="David" w:hint="cs"/>
          <w:b/>
          <w:bCs/>
          <w:sz w:val="24"/>
          <w:rtl/>
        </w:rPr>
        <w:t xml:space="preserve">. </w:t>
      </w:r>
    </w:p>
    <w:p w:rsidR="00271D14" w:rsidRDefault="00271D14" w:rsidP="00C9417D">
      <w:pPr>
        <w:spacing w:line="269" w:lineRule="auto"/>
        <w:ind w:left="338"/>
        <w:rPr>
          <w:rFonts w:ascii="David" w:eastAsia="Calibri" w:hAnsi="David"/>
          <w:sz w:val="16"/>
          <w:szCs w:val="16"/>
          <w:rtl/>
        </w:rPr>
      </w:pPr>
    </w:p>
    <w:p w:rsidR="00082C78" w:rsidRPr="00082C78" w:rsidRDefault="00082C78" w:rsidP="00C9417D">
      <w:pPr>
        <w:spacing w:line="269" w:lineRule="auto"/>
        <w:ind w:left="338"/>
        <w:rPr>
          <w:rFonts w:ascii="David" w:eastAsia="Calibri" w:hAnsi="David"/>
          <w:b/>
          <w:bCs/>
          <w:sz w:val="24"/>
          <w:rtl/>
        </w:rPr>
      </w:pPr>
      <w:r w:rsidRPr="00082C78">
        <w:rPr>
          <w:rFonts w:ascii="David" w:eastAsia="Calibri" w:hAnsi="David" w:hint="cs"/>
          <w:b/>
          <w:bCs/>
          <w:sz w:val="24"/>
          <w:rtl/>
        </w:rPr>
        <w:t>מומלץ כי המשטרה תקבע תבחינים ברורים לעניין המקרים החריגים המצדיקים את ביצוע פעולה חריגה זו, וכי היא תאשר את התבחינים האלה מול גורמי הייעוץ המשפטי לממשלה. עוד מומלץ כי המשטרה תקבע מדרג אישורים לביצוע הפעולה ומדד כמותי ברור לגבי מספר המטרות והתוצרים הנאספים בדרך זו כדי לוודא כי הפעולה תתבצע במקרים חריגים בלבד. מוצע כי התבחינים ומדרג האישורים לביצוע הפעולה יוגדרו בצמצום לנוכח הקביעה בעמדה המשפטית שבדוח</w:t>
      </w:r>
      <w:r w:rsidR="00382AE8">
        <w:rPr>
          <w:rFonts w:ascii="David" w:eastAsia="Calibri" w:hAnsi="David" w:hint="cs"/>
          <w:b/>
          <w:bCs/>
          <w:sz w:val="24"/>
          <w:rtl/>
        </w:rPr>
        <w:t xml:space="preserve"> </w:t>
      </w:r>
      <w:r w:rsidRPr="00082C78">
        <w:rPr>
          <w:rFonts w:ascii="David" w:eastAsia="Calibri" w:hAnsi="David" w:hint="cs"/>
          <w:b/>
          <w:bCs/>
          <w:sz w:val="24"/>
          <w:rtl/>
        </w:rPr>
        <w:t>צוות מררי כי ביצוע פעולה זו יאושר במקרים חריגים בלבד.</w:t>
      </w:r>
      <w:r w:rsidR="00382AE8">
        <w:rPr>
          <w:rFonts w:ascii="David" w:eastAsia="Calibri" w:hAnsi="David" w:hint="cs"/>
          <w:b/>
          <w:bCs/>
          <w:sz w:val="24"/>
          <w:rtl/>
        </w:rPr>
        <w:t xml:space="preserve"> </w:t>
      </w:r>
    </w:p>
    <w:p w:rsidR="002B2F2E" w:rsidRPr="002B2F2E" w:rsidRDefault="00382AE8" w:rsidP="00604C3D">
      <w:pPr>
        <w:pStyle w:val="a5"/>
        <w:spacing w:line="269" w:lineRule="auto"/>
      </w:pPr>
      <w:r>
        <w:rPr>
          <w:rFonts w:eastAsia="Calibri" w:hint="cs"/>
          <w:sz w:val="16"/>
          <w:szCs w:val="16"/>
          <w:rtl/>
        </w:rPr>
        <w:t xml:space="preserve"> </w:t>
      </w:r>
      <w:bookmarkStart w:id="165" w:name="_Toc138576072"/>
    </w:p>
    <w:p w:rsidR="00082C78" w:rsidRPr="00082C78" w:rsidRDefault="00082C78" w:rsidP="008C598D">
      <w:pPr>
        <w:pStyle w:val="4"/>
        <w:numPr>
          <w:ilvl w:val="1"/>
          <w:numId w:val="43"/>
        </w:numPr>
        <w:spacing w:before="0" w:line="269" w:lineRule="auto"/>
        <w:ind w:left="367"/>
        <w:rPr>
          <w:rFonts w:ascii="David" w:eastAsia="Times New Roman" w:hAnsi="David"/>
          <w:b/>
          <w:sz w:val="24"/>
          <w:rtl/>
        </w:rPr>
      </w:pPr>
      <w:bookmarkStart w:id="166" w:name="_Toc211521918"/>
      <w:bookmarkStart w:id="167" w:name="_Toc219110308"/>
      <w:bookmarkStart w:id="168" w:name="_Toc219113749"/>
      <w:bookmarkStart w:id="169" w:name="_Toc219286524"/>
      <w:r w:rsidRPr="00082C78">
        <w:rPr>
          <w:rFonts w:eastAsia="Times New Roman" w:hint="eastAsia"/>
          <w:rtl/>
        </w:rPr>
        <w:t>שיטת</w:t>
      </w:r>
      <w:r w:rsidRPr="00082C78">
        <w:rPr>
          <w:rFonts w:eastAsia="Times New Roman"/>
          <w:rtl/>
        </w:rPr>
        <w:t xml:space="preserve"> </w:t>
      </w:r>
      <w:r w:rsidRPr="00082C78">
        <w:rPr>
          <w:rFonts w:eastAsia="Times New Roman" w:hint="cs"/>
          <w:rtl/>
        </w:rPr>
        <w:t>ה</w:t>
      </w:r>
      <w:r w:rsidRPr="00082C78">
        <w:rPr>
          <w:rFonts w:eastAsia="Times New Roman" w:hint="eastAsia"/>
          <w:rtl/>
        </w:rPr>
        <w:t>עבודה</w:t>
      </w:r>
      <w:r w:rsidRPr="00082C78">
        <w:rPr>
          <w:rFonts w:eastAsia="Times New Roman"/>
          <w:rtl/>
        </w:rPr>
        <w:t xml:space="preserve"> </w:t>
      </w:r>
      <w:r w:rsidRPr="00082C78">
        <w:rPr>
          <w:rFonts w:eastAsia="Times New Roman" w:hint="eastAsia"/>
          <w:rtl/>
        </w:rPr>
        <w:t>לביצוע</w:t>
      </w:r>
      <w:r w:rsidRPr="00082C78">
        <w:rPr>
          <w:rFonts w:eastAsia="Times New Roman"/>
          <w:rtl/>
        </w:rPr>
        <w:t xml:space="preserve"> </w:t>
      </w:r>
      <w:r w:rsidRPr="00082C78">
        <w:rPr>
          <w:rFonts w:eastAsia="Times New Roman" w:hint="eastAsia"/>
          <w:rtl/>
        </w:rPr>
        <w:t>האזנת</w:t>
      </w:r>
      <w:r w:rsidRPr="00082C78">
        <w:rPr>
          <w:rFonts w:eastAsia="Times New Roman"/>
          <w:rtl/>
        </w:rPr>
        <w:t xml:space="preserve"> </w:t>
      </w:r>
      <w:r w:rsidRPr="00082C78">
        <w:rPr>
          <w:rFonts w:eastAsia="Times New Roman" w:hint="eastAsia"/>
          <w:rtl/>
        </w:rPr>
        <w:t>סתר</w:t>
      </w:r>
      <w:bookmarkEnd w:id="165"/>
      <w:bookmarkEnd w:id="166"/>
      <w:bookmarkEnd w:id="167"/>
      <w:bookmarkEnd w:id="168"/>
      <w:bookmarkEnd w:id="169"/>
      <w:r w:rsidR="00382AE8">
        <w:rPr>
          <w:rFonts w:eastAsia="Times New Roman"/>
          <w:rtl/>
        </w:rPr>
        <w:t xml:space="preserve"> </w:t>
      </w:r>
    </w:p>
    <w:p w:rsidR="00082C78" w:rsidRPr="00082C78" w:rsidRDefault="00382AE8" w:rsidP="00604C3D">
      <w:pPr>
        <w:pStyle w:val="a5"/>
        <w:spacing w:line="269" w:lineRule="auto"/>
        <w:rPr>
          <w:rFonts w:eastAsia="Calibri"/>
          <w:rtl/>
        </w:rPr>
      </w:pPr>
      <w:r>
        <w:rPr>
          <w:rFonts w:hint="cs"/>
          <w:rtl/>
        </w:rPr>
        <w:t xml:space="preserve"> </w:t>
      </w:r>
    </w:p>
    <w:p w:rsidR="00082C78" w:rsidRPr="009E0CD0" w:rsidRDefault="00082C78" w:rsidP="008C598D">
      <w:pPr>
        <w:pStyle w:val="af2"/>
        <w:numPr>
          <w:ilvl w:val="2"/>
          <w:numId w:val="43"/>
        </w:numPr>
        <w:spacing w:line="269" w:lineRule="auto"/>
        <w:ind w:left="717"/>
        <w:rPr>
          <w:rFonts w:ascii="David" w:eastAsia="Times New Roman" w:hAnsi="David"/>
        </w:rPr>
      </w:pPr>
      <w:r w:rsidRPr="009E0CD0">
        <w:rPr>
          <w:rStyle w:val="70"/>
          <w:rFonts w:hint="eastAsia"/>
          <w:rtl/>
        </w:rPr>
        <w:t>היעדר</w:t>
      </w:r>
      <w:r w:rsidRPr="009E0CD0">
        <w:rPr>
          <w:rStyle w:val="70"/>
          <w:rtl/>
        </w:rPr>
        <w:t xml:space="preserve"> חוות דעת </w:t>
      </w:r>
      <w:r w:rsidRPr="009E0CD0">
        <w:rPr>
          <w:rStyle w:val="70"/>
          <w:rFonts w:hint="eastAsia"/>
          <w:rtl/>
        </w:rPr>
        <w:t>משפטית</w:t>
      </w:r>
      <w:r w:rsidRPr="009E0CD0">
        <w:rPr>
          <w:rStyle w:val="70"/>
          <w:rtl/>
        </w:rPr>
        <w:t xml:space="preserve"> </w:t>
      </w:r>
      <w:r w:rsidRPr="009E0CD0">
        <w:rPr>
          <w:rStyle w:val="70"/>
          <w:rFonts w:hint="eastAsia"/>
          <w:rtl/>
        </w:rPr>
        <w:t>המסדירה</w:t>
      </w:r>
      <w:r w:rsidRPr="009E0CD0">
        <w:rPr>
          <w:rStyle w:val="70"/>
          <w:rtl/>
        </w:rPr>
        <w:t xml:space="preserve"> </w:t>
      </w:r>
      <w:r w:rsidRPr="009E0CD0">
        <w:rPr>
          <w:rStyle w:val="70"/>
          <w:rFonts w:hint="eastAsia"/>
          <w:rtl/>
        </w:rPr>
        <w:t>את</w:t>
      </w:r>
      <w:r w:rsidRPr="009E0CD0">
        <w:rPr>
          <w:rStyle w:val="70"/>
          <w:rtl/>
        </w:rPr>
        <w:t xml:space="preserve"> </w:t>
      </w:r>
      <w:r w:rsidRPr="009E0CD0">
        <w:rPr>
          <w:rStyle w:val="70"/>
          <w:rFonts w:hint="eastAsia"/>
          <w:rtl/>
        </w:rPr>
        <w:t>סמכות</w:t>
      </w:r>
      <w:r w:rsidRPr="009E0CD0">
        <w:rPr>
          <w:rStyle w:val="70"/>
          <w:rtl/>
        </w:rPr>
        <w:t xml:space="preserve"> </w:t>
      </w:r>
      <w:r w:rsidRPr="009E0CD0">
        <w:rPr>
          <w:rStyle w:val="70"/>
          <w:rFonts w:hint="eastAsia"/>
          <w:rtl/>
        </w:rPr>
        <w:t>המשטרה</w:t>
      </w:r>
      <w:r w:rsidRPr="009E0CD0">
        <w:rPr>
          <w:rStyle w:val="70"/>
          <w:rtl/>
        </w:rPr>
        <w:t>:</w:t>
      </w:r>
      <w:r w:rsidRPr="009E0CD0">
        <w:rPr>
          <w:rFonts w:ascii="David" w:eastAsia="Calibri" w:hAnsi="David" w:hint="cs"/>
          <w:sz w:val="24"/>
          <w:rtl/>
        </w:rPr>
        <w:t xml:space="preserve"> </w:t>
      </w:r>
      <w:r w:rsidRPr="009E0CD0">
        <w:rPr>
          <w:rFonts w:ascii="David" w:eastAsia="Calibri" w:hAnsi="David" w:hint="eastAsia"/>
          <w:sz w:val="24"/>
          <w:rtl/>
        </w:rPr>
        <w:t>זה</w:t>
      </w:r>
      <w:r w:rsidRPr="009E0CD0">
        <w:rPr>
          <w:rFonts w:ascii="David" w:eastAsia="Calibri" w:hAnsi="David"/>
          <w:sz w:val="24"/>
          <w:rtl/>
        </w:rPr>
        <w:t xml:space="preserve"> </w:t>
      </w:r>
      <w:r w:rsidRPr="009E0CD0">
        <w:rPr>
          <w:rFonts w:ascii="David" w:eastAsia="Calibri" w:hAnsi="David" w:hint="eastAsia"/>
          <w:sz w:val="24"/>
          <w:rtl/>
        </w:rPr>
        <w:t>שנים</w:t>
      </w:r>
      <w:r w:rsidRPr="009E0CD0">
        <w:rPr>
          <w:rFonts w:ascii="David" w:eastAsia="Calibri" w:hAnsi="David" w:hint="cs"/>
          <w:sz w:val="24"/>
          <w:rtl/>
        </w:rPr>
        <w:t xml:space="preserve"> </w:t>
      </w:r>
      <w:r w:rsidRPr="009E0CD0">
        <w:rPr>
          <w:rFonts w:ascii="David" w:eastAsia="Calibri" w:hAnsi="David" w:hint="eastAsia"/>
          <w:sz w:val="24"/>
          <w:rtl/>
        </w:rPr>
        <w:t>מספר</w:t>
      </w:r>
      <w:r w:rsidRPr="009E0CD0">
        <w:rPr>
          <w:rFonts w:ascii="David" w:eastAsia="Calibri" w:hAnsi="David"/>
          <w:sz w:val="24"/>
          <w:rtl/>
        </w:rPr>
        <w:t xml:space="preserve"> </w:t>
      </w:r>
      <w:r w:rsidRPr="009E0CD0">
        <w:rPr>
          <w:rFonts w:ascii="David" w:eastAsia="Calibri" w:hAnsi="David" w:hint="cs"/>
          <w:sz w:val="24"/>
          <w:rtl/>
        </w:rPr>
        <w:t xml:space="preserve">המשטרה פועלת בשיטת עבודה מסוימת לצורך האזנת סתר למכשירי קצה. במרץ 2018 התקיימה ישיבת דיווחים עיתיים בראשות היועמ"ש לממשלה, ובמהלכה הוא ביקש </w:t>
      </w:r>
      <w:r w:rsidR="00AC2F7C" w:rsidRPr="009E0CD0">
        <w:rPr>
          <w:rFonts w:ascii="David" w:eastAsia="Calibri" w:hAnsi="David" w:hint="cs"/>
          <w:sz w:val="24"/>
          <w:rtl/>
        </w:rPr>
        <w:t xml:space="preserve">שתוכן חוות דעת </w:t>
      </w:r>
      <w:r w:rsidRPr="009E0CD0">
        <w:rPr>
          <w:rFonts w:ascii="David" w:eastAsia="Calibri" w:hAnsi="David" w:hint="cs"/>
          <w:sz w:val="24"/>
          <w:rtl/>
        </w:rPr>
        <w:t xml:space="preserve">בנושא זה. ביולי 2018 התקיים דיון </w:t>
      </w:r>
      <w:r w:rsidR="009E6082" w:rsidRPr="009E0CD0">
        <w:rPr>
          <w:rFonts w:ascii="David" w:eastAsia="Calibri" w:hAnsi="David" w:hint="cs"/>
          <w:sz w:val="24"/>
          <w:rtl/>
        </w:rPr>
        <w:t>בהשתתפות נציגי משרד המשפטים</w:t>
      </w:r>
      <w:r w:rsidRPr="009E0CD0">
        <w:rPr>
          <w:rFonts w:ascii="David" w:eastAsia="Calibri" w:hAnsi="David" w:hint="cs"/>
          <w:sz w:val="24"/>
          <w:rtl/>
        </w:rPr>
        <w:t xml:space="preserve"> </w:t>
      </w:r>
      <w:r w:rsidR="009E6082" w:rsidRPr="009E0CD0">
        <w:rPr>
          <w:rFonts w:ascii="David" w:eastAsia="Calibri" w:hAnsi="David" w:hint="cs"/>
          <w:sz w:val="24"/>
          <w:rtl/>
        </w:rPr>
        <w:t>ו</w:t>
      </w:r>
      <w:r w:rsidRPr="009E0CD0">
        <w:rPr>
          <w:rFonts w:ascii="David" w:eastAsia="Calibri" w:hAnsi="David" w:hint="cs"/>
          <w:sz w:val="24"/>
          <w:rtl/>
        </w:rPr>
        <w:t>המשטרה ובו הציגה המשטרה את שיטת העבודה, המיושמת מכוח צו שיפוטי ובידיעת הפרקליטות. במהלך הישיבה מסרה המשטרה כי נכון למועד הדיון היא קיבלה 40 - 50 צווים בשנה, ועל בסיסם מומשה שיטת העבודה האמורה. בסיכום הדיון נכתבה פסקה שכותרתה "אבני דרך ראשוניות לקראת חוות-דעת משפטית"</w:t>
      </w:r>
      <w:r w:rsidRPr="009E0CD0">
        <w:rPr>
          <w:rFonts w:ascii="David" w:eastAsia="Calibri" w:hAnsi="David"/>
          <w:sz w:val="24"/>
          <w:rtl/>
        </w:rPr>
        <w:t xml:space="preserve">. </w:t>
      </w:r>
    </w:p>
    <w:p w:rsidR="00082C78" w:rsidRPr="00082C78" w:rsidRDefault="00082C78" w:rsidP="00604C3D">
      <w:pPr>
        <w:spacing w:line="269" w:lineRule="auto"/>
        <w:rPr>
          <w:rFonts w:ascii="David" w:eastAsia="Times New Roman" w:hAnsi="David"/>
          <w:rtl/>
        </w:rPr>
      </w:pPr>
    </w:p>
    <w:p w:rsidR="00082C78" w:rsidRPr="00082C78" w:rsidRDefault="00AC2F7C" w:rsidP="00604C3D">
      <w:pPr>
        <w:spacing w:line="269" w:lineRule="auto"/>
        <w:ind w:left="680"/>
        <w:rPr>
          <w:rFonts w:ascii="David" w:eastAsia="Times New Roman" w:hAnsi="David"/>
          <w:rtl/>
        </w:rPr>
      </w:pPr>
      <w:r w:rsidRPr="00082C78">
        <w:rPr>
          <w:rFonts w:ascii="David" w:eastAsia="Times New Roman" w:hAnsi="David" w:hint="cs"/>
          <w:rtl/>
        </w:rPr>
        <w:t>המשטרה כתבה בתשובתה כי בנושא זה ביצעה המשטרה פעולות שונות במסגרת חוק האזנת סתר, ופעולות אלו המבוצעות על פי צווי בית משפט אינן מעוררות לעמדתה קושי משפטי.</w:t>
      </w:r>
    </w:p>
    <w:p w:rsidR="00082C78" w:rsidRPr="00082C78" w:rsidRDefault="00082C78" w:rsidP="00604C3D">
      <w:pPr>
        <w:spacing w:line="269" w:lineRule="auto"/>
        <w:ind w:left="282"/>
        <w:rPr>
          <w:rFonts w:ascii="David" w:eastAsia="Times New Roman" w:hAnsi="David"/>
          <w:rtl/>
        </w:rPr>
      </w:pPr>
    </w:p>
    <w:p w:rsidR="00082C78" w:rsidRPr="00082C78" w:rsidRDefault="00082C78" w:rsidP="00604C3D">
      <w:pPr>
        <w:spacing w:line="269" w:lineRule="auto"/>
        <w:ind w:left="680"/>
        <w:rPr>
          <w:rFonts w:ascii="David" w:eastAsia="Times New Roman" w:hAnsi="David"/>
          <w:rtl/>
        </w:rPr>
      </w:pPr>
      <w:r w:rsidRPr="00082C78">
        <w:rPr>
          <w:rFonts w:ascii="David" w:eastAsia="Times New Roman" w:hAnsi="David" w:hint="cs"/>
          <w:rtl/>
        </w:rPr>
        <w:t>משרד המשפטים כתב בתשובתו כי בשום שלב לא התבקש אישור לשיטת העבודה; גורמי הייעוץ המשפטי לממשלה לא ראו מניעה משפטית בשימוש בפרקטיקה; ובשום שלב לא התבקשה המשטרה להפסיק את השימוש בה.</w:t>
      </w:r>
    </w:p>
    <w:p w:rsidR="00271D14" w:rsidRDefault="00271D14" w:rsidP="00604C3D">
      <w:pPr>
        <w:spacing w:line="269" w:lineRule="auto"/>
        <w:ind w:left="282"/>
        <w:contextualSpacing/>
        <w:rPr>
          <w:rFonts w:ascii="David" w:eastAsia="Calibri" w:hAnsi="David"/>
          <w:b/>
          <w:bCs/>
          <w:sz w:val="24"/>
          <w:rtl/>
        </w:rPr>
      </w:pPr>
    </w:p>
    <w:p w:rsidR="00082C78" w:rsidRPr="00082C78" w:rsidRDefault="00082C78" w:rsidP="00604C3D">
      <w:pPr>
        <w:spacing w:line="269" w:lineRule="auto"/>
        <w:ind w:left="680"/>
        <w:contextualSpacing/>
        <w:rPr>
          <w:rFonts w:ascii="David" w:eastAsia="Calibri" w:hAnsi="David"/>
          <w:sz w:val="24"/>
          <w:rtl/>
        </w:rPr>
      </w:pPr>
      <w:r w:rsidRPr="00082C78">
        <w:rPr>
          <w:rFonts w:ascii="David" w:eastAsia="Calibri" w:hAnsi="David" w:hint="cs"/>
          <w:b/>
          <w:bCs/>
          <w:sz w:val="24"/>
          <w:rtl/>
        </w:rPr>
        <w:t xml:space="preserve">באוגוסט 2018 </w:t>
      </w:r>
      <w:r w:rsidR="008D2BA6">
        <w:rPr>
          <w:rFonts w:ascii="David" w:eastAsia="Calibri" w:hAnsi="David" w:hint="cs"/>
          <w:b/>
          <w:bCs/>
          <w:sz w:val="24"/>
          <w:rtl/>
        </w:rPr>
        <w:t>הכין</w:t>
      </w:r>
      <w:r w:rsidR="008D2BA6" w:rsidRPr="00082C78">
        <w:rPr>
          <w:rFonts w:ascii="David" w:eastAsia="Calibri" w:hAnsi="David" w:hint="cs"/>
          <w:b/>
          <w:bCs/>
          <w:sz w:val="24"/>
          <w:rtl/>
        </w:rPr>
        <w:t xml:space="preserve"> </w:t>
      </w:r>
      <w:r w:rsidR="008B03FA">
        <w:rPr>
          <w:rFonts w:ascii="David" w:eastAsia="Calibri" w:hAnsi="David" w:hint="cs"/>
          <w:b/>
          <w:bCs/>
          <w:sz w:val="24"/>
          <w:rtl/>
        </w:rPr>
        <w:t xml:space="preserve">הייעוץ המשפטי לממשלה </w:t>
      </w:r>
      <w:r w:rsidR="00E34FC8">
        <w:rPr>
          <w:rFonts w:ascii="David" w:eastAsia="Calibri" w:hAnsi="David" w:hint="cs"/>
          <w:b/>
          <w:bCs/>
          <w:sz w:val="24"/>
          <w:rtl/>
        </w:rPr>
        <w:t>טיוטת חוות דעת משפטית</w:t>
      </w:r>
      <w:r w:rsidRPr="00082C78">
        <w:rPr>
          <w:rFonts w:ascii="David" w:eastAsia="Calibri" w:hAnsi="David" w:hint="cs"/>
          <w:b/>
          <w:bCs/>
          <w:sz w:val="24"/>
          <w:rtl/>
        </w:rPr>
        <w:t xml:space="preserve"> בעניין סמכות המשטרה</w:t>
      </w:r>
      <w:r w:rsidR="00382AE8">
        <w:rPr>
          <w:rFonts w:ascii="David" w:eastAsia="Calibri" w:hAnsi="David" w:hint="cs"/>
          <w:b/>
          <w:bCs/>
          <w:sz w:val="24"/>
          <w:rtl/>
        </w:rPr>
        <w:t xml:space="preserve"> </w:t>
      </w:r>
      <w:r w:rsidRPr="00082C78">
        <w:rPr>
          <w:rFonts w:ascii="David" w:eastAsia="Calibri" w:hAnsi="David" w:hint="cs"/>
          <w:b/>
          <w:bCs/>
          <w:sz w:val="24"/>
          <w:rtl/>
        </w:rPr>
        <w:t>לבצע האזנת סתר בדרך מסוימת, וזאת לבקשת היועמ"ש לממשלה. גורמי הייעוץ המשפטי לממשלה גיבשו מתווה לחוות הדעת והמשטרה לא נדרשה במהלך השנים שלאחר מכן להפסיק שיטת עבודה זו. אולם עד מועד סיום הביקורת, שש שנים לאחר מועד הכנתה, טרם אושרה חוות הדעת על ידי</w:t>
      </w:r>
      <w:r w:rsidR="00382AE8">
        <w:rPr>
          <w:rFonts w:ascii="David" w:eastAsia="Calibri" w:hAnsi="David" w:hint="cs"/>
          <w:b/>
          <w:bCs/>
          <w:sz w:val="24"/>
          <w:rtl/>
        </w:rPr>
        <w:t xml:space="preserve"> </w:t>
      </w:r>
      <w:r w:rsidR="00200360">
        <w:rPr>
          <w:rFonts w:ascii="David" w:eastAsia="Calibri" w:hAnsi="David" w:hint="cs"/>
          <w:b/>
          <w:bCs/>
          <w:sz w:val="24"/>
          <w:rtl/>
        </w:rPr>
        <w:t>הייעוץ המשפטי לממשלה</w:t>
      </w:r>
      <w:r w:rsidRPr="00082C78">
        <w:rPr>
          <w:rFonts w:ascii="David" w:eastAsia="Calibri" w:hAnsi="David" w:hint="cs"/>
          <w:b/>
          <w:bCs/>
          <w:sz w:val="24"/>
          <w:rtl/>
        </w:rPr>
        <w:t xml:space="preserve">, והיא לא הופצה למשטרה כחוות דעת מנחה בנושא. </w:t>
      </w:r>
    </w:p>
    <w:p w:rsidR="00082C78" w:rsidRPr="00082C78" w:rsidRDefault="00082C78" w:rsidP="00604C3D">
      <w:pPr>
        <w:spacing w:line="269" w:lineRule="auto"/>
        <w:ind w:left="282"/>
        <w:contextualSpacing/>
        <w:rPr>
          <w:rFonts w:ascii="David" w:eastAsia="Calibri" w:hAnsi="David"/>
          <w:sz w:val="24"/>
          <w:rtl/>
        </w:rPr>
      </w:pPr>
    </w:p>
    <w:p w:rsidR="00082C78" w:rsidRPr="00082C78" w:rsidRDefault="00082C78" w:rsidP="00604C3D">
      <w:pPr>
        <w:spacing w:line="269" w:lineRule="auto"/>
        <w:ind w:left="680"/>
        <w:contextualSpacing/>
        <w:rPr>
          <w:rFonts w:ascii="David" w:eastAsia="Calibri" w:hAnsi="David"/>
          <w:sz w:val="24"/>
        </w:rPr>
      </w:pPr>
      <w:r w:rsidRPr="00082C78">
        <w:rPr>
          <w:rFonts w:ascii="David" w:eastAsia="Calibri" w:hAnsi="David" w:hint="cs"/>
          <w:sz w:val="24"/>
          <w:rtl/>
        </w:rPr>
        <w:t xml:space="preserve">משרד המשפטים אישר בתשובתו כי הפצת חוות הדעת מתעכבת בגלל עניין פנימי-ניהולי בתוך הייעוץ המשפטי לממשלה. </w:t>
      </w:r>
      <w:r w:rsidRPr="00082C78">
        <w:rPr>
          <w:rFonts w:ascii="David" w:eastAsia="Calibri" w:hAnsi="David" w:hint="eastAsia"/>
          <w:sz w:val="24"/>
          <w:rtl/>
        </w:rPr>
        <w:t>עוד</w:t>
      </w:r>
      <w:r w:rsidRPr="00082C78">
        <w:rPr>
          <w:rFonts w:ascii="David" w:eastAsia="Calibri" w:hAnsi="David"/>
          <w:sz w:val="24"/>
          <w:rtl/>
        </w:rPr>
        <w:t xml:space="preserve"> נכתב בתשובת משרד המשפטים כי </w:t>
      </w:r>
      <w:r w:rsidRPr="00082C78">
        <w:rPr>
          <w:rFonts w:ascii="David" w:eastAsia="Calibri" w:hAnsi="David" w:hint="eastAsia"/>
          <w:sz w:val="24"/>
          <w:rtl/>
        </w:rPr>
        <w:t>לוחות</w:t>
      </w:r>
      <w:r w:rsidRPr="00082C78">
        <w:rPr>
          <w:rFonts w:ascii="David" w:eastAsia="Calibri" w:hAnsi="David"/>
          <w:sz w:val="24"/>
          <w:rtl/>
        </w:rPr>
        <w:t xml:space="preserve"> הזמנים </w:t>
      </w:r>
      <w:r w:rsidRPr="00082C78">
        <w:rPr>
          <w:rFonts w:ascii="David" w:eastAsia="Calibri" w:hAnsi="David" w:hint="eastAsia"/>
          <w:sz w:val="24"/>
          <w:rtl/>
        </w:rPr>
        <w:t>לגיבוש</w:t>
      </w:r>
      <w:r w:rsidRPr="00082C78">
        <w:rPr>
          <w:rFonts w:ascii="David" w:eastAsia="Calibri" w:hAnsi="David"/>
          <w:sz w:val="24"/>
          <w:rtl/>
        </w:rPr>
        <w:t xml:space="preserve"> </w:t>
      </w:r>
      <w:r w:rsidRPr="00082C78">
        <w:rPr>
          <w:rFonts w:ascii="David" w:eastAsia="Calibri" w:hAnsi="David" w:hint="eastAsia"/>
          <w:sz w:val="24"/>
          <w:rtl/>
        </w:rPr>
        <w:t>חוות</w:t>
      </w:r>
      <w:r w:rsidRPr="00082C78">
        <w:rPr>
          <w:rFonts w:ascii="David" w:eastAsia="Calibri" w:hAnsi="David"/>
          <w:sz w:val="24"/>
          <w:rtl/>
        </w:rPr>
        <w:t xml:space="preserve"> </w:t>
      </w:r>
      <w:r w:rsidRPr="00082C78">
        <w:rPr>
          <w:rFonts w:ascii="David" w:eastAsia="Calibri" w:hAnsi="David" w:hint="eastAsia"/>
          <w:sz w:val="24"/>
          <w:rtl/>
        </w:rPr>
        <w:t>דעת</w:t>
      </w:r>
      <w:r w:rsidRPr="00082C78">
        <w:rPr>
          <w:rFonts w:ascii="David" w:eastAsia="Calibri" w:hAnsi="David"/>
          <w:sz w:val="24"/>
          <w:rtl/>
        </w:rPr>
        <w:t xml:space="preserve"> </w:t>
      </w:r>
      <w:r w:rsidRPr="00082C78">
        <w:rPr>
          <w:rFonts w:ascii="David" w:eastAsia="Calibri" w:hAnsi="David" w:hint="eastAsia"/>
          <w:sz w:val="24"/>
          <w:rtl/>
        </w:rPr>
        <w:t>משפטיות</w:t>
      </w:r>
      <w:r w:rsidRPr="00082C78">
        <w:rPr>
          <w:rFonts w:ascii="David" w:eastAsia="Calibri" w:hAnsi="David"/>
          <w:sz w:val="24"/>
          <w:rtl/>
        </w:rPr>
        <w:t xml:space="preserve"> </w:t>
      </w:r>
      <w:r w:rsidRPr="00082C78">
        <w:rPr>
          <w:rFonts w:ascii="David" w:eastAsia="Calibri" w:hAnsi="David" w:hint="eastAsia"/>
          <w:sz w:val="24"/>
          <w:rtl/>
        </w:rPr>
        <w:t>נקבעים</w:t>
      </w:r>
      <w:r w:rsidRPr="00082C78">
        <w:rPr>
          <w:rFonts w:ascii="David" w:eastAsia="Calibri" w:hAnsi="David"/>
          <w:sz w:val="24"/>
          <w:rtl/>
        </w:rPr>
        <w:t xml:space="preserve"> </w:t>
      </w:r>
      <w:r w:rsidRPr="00082C78">
        <w:rPr>
          <w:rFonts w:ascii="David" w:eastAsia="Calibri" w:hAnsi="David" w:hint="eastAsia"/>
          <w:sz w:val="24"/>
          <w:rtl/>
        </w:rPr>
        <w:t>בכל</w:t>
      </w:r>
      <w:r w:rsidRPr="00082C78">
        <w:rPr>
          <w:rFonts w:ascii="David" w:eastAsia="Calibri" w:hAnsi="David"/>
          <w:sz w:val="24"/>
          <w:rtl/>
        </w:rPr>
        <w:t xml:space="preserve"> </w:t>
      </w:r>
      <w:r w:rsidRPr="00082C78">
        <w:rPr>
          <w:rFonts w:ascii="David" w:eastAsia="Calibri" w:hAnsi="David" w:hint="eastAsia"/>
          <w:sz w:val="24"/>
          <w:rtl/>
        </w:rPr>
        <w:t>מקרה</w:t>
      </w:r>
      <w:r w:rsidRPr="00082C78">
        <w:rPr>
          <w:rFonts w:ascii="David" w:eastAsia="Calibri" w:hAnsi="David"/>
          <w:sz w:val="24"/>
          <w:rtl/>
        </w:rPr>
        <w:t xml:space="preserve"> </w:t>
      </w:r>
      <w:r w:rsidRPr="00082C78">
        <w:rPr>
          <w:rFonts w:ascii="David" w:eastAsia="Calibri" w:hAnsi="David" w:hint="eastAsia"/>
          <w:sz w:val="24"/>
          <w:rtl/>
        </w:rPr>
        <w:t>בהתאם</w:t>
      </w:r>
      <w:r w:rsidRPr="00082C78">
        <w:rPr>
          <w:rFonts w:ascii="David" w:eastAsia="Calibri" w:hAnsi="David"/>
          <w:sz w:val="24"/>
          <w:rtl/>
        </w:rPr>
        <w:t xml:space="preserve"> </w:t>
      </w:r>
      <w:r w:rsidRPr="00082C78">
        <w:rPr>
          <w:rFonts w:ascii="David" w:eastAsia="Calibri" w:hAnsi="David" w:hint="eastAsia"/>
          <w:sz w:val="24"/>
          <w:rtl/>
        </w:rPr>
        <w:t>לנסיבות</w:t>
      </w:r>
      <w:r w:rsidRPr="00082C78">
        <w:rPr>
          <w:rFonts w:ascii="David" w:eastAsia="Calibri" w:hAnsi="David"/>
          <w:sz w:val="24"/>
          <w:rtl/>
        </w:rPr>
        <w:t xml:space="preserve"> </w:t>
      </w:r>
      <w:r w:rsidRPr="00082C78">
        <w:rPr>
          <w:rFonts w:ascii="David" w:eastAsia="Calibri" w:hAnsi="David" w:hint="eastAsia"/>
          <w:sz w:val="24"/>
          <w:rtl/>
        </w:rPr>
        <w:t>הפרטניות</w:t>
      </w:r>
      <w:r w:rsidRPr="00082C78">
        <w:rPr>
          <w:rFonts w:ascii="David" w:eastAsia="Calibri" w:hAnsi="David"/>
          <w:sz w:val="24"/>
          <w:rtl/>
        </w:rPr>
        <w:t xml:space="preserve"> </w:t>
      </w:r>
      <w:r w:rsidRPr="00082C78">
        <w:rPr>
          <w:rFonts w:ascii="David" w:eastAsia="Calibri" w:hAnsi="David" w:hint="eastAsia"/>
          <w:sz w:val="24"/>
          <w:rtl/>
        </w:rPr>
        <w:t>של</w:t>
      </w:r>
      <w:r w:rsidRPr="00082C78">
        <w:rPr>
          <w:rFonts w:ascii="David" w:eastAsia="Calibri" w:hAnsi="David"/>
          <w:sz w:val="24"/>
          <w:rtl/>
        </w:rPr>
        <w:t xml:space="preserve"> </w:t>
      </w:r>
      <w:r w:rsidRPr="00082C78">
        <w:rPr>
          <w:rFonts w:ascii="David" w:eastAsia="Calibri" w:hAnsi="David" w:hint="eastAsia"/>
          <w:sz w:val="24"/>
          <w:rtl/>
        </w:rPr>
        <w:t>המקרה</w:t>
      </w:r>
      <w:r w:rsidRPr="00082C78">
        <w:rPr>
          <w:rFonts w:ascii="David" w:eastAsia="Calibri" w:hAnsi="David"/>
          <w:sz w:val="24"/>
          <w:rtl/>
        </w:rPr>
        <w:t>.</w:t>
      </w:r>
    </w:p>
    <w:p w:rsidR="00271D14" w:rsidRPr="00271D14" w:rsidRDefault="00271D14" w:rsidP="00604C3D">
      <w:pPr>
        <w:spacing w:line="269" w:lineRule="auto"/>
        <w:ind w:left="282"/>
        <w:rPr>
          <w:rFonts w:ascii="David" w:eastAsia="Calibri" w:hAnsi="David"/>
          <w:sz w:val="24"/>
        </w:rPr>
      </w:pPr>
    </w:p>
    <w:p w:rsidR="00082C78" w:rsidRPr="00082C78" w:rsidRDefault="00082C78" w:rsidP="008C598D">
      <w:pPr>
        <w:pStyle w:val="af2"/>
        <w:numPr>
          <w:ilvl w:val="2"/>
          <w:numId w:val="43"/>
        </w:numPr>
        <w:spacing w:line="269" w:lineRule="auto"/>
        <w:ind w:left="717"/>
        <w:rPr>
          <w:rFonts w:ascii="David" w:eastAsia="Calibri" w:hAnsi="David"/>
          <w:sz w:val="24"/>
          <w:rtl/>
        </w:rPr>
      </w:pPr>
      <w:r w:rsidRPr="009E0CD0">
        <w:rPr>
          <w:rStyle w:val="70"/>
          <w:rFonts w:hint="eastAsia"/>
          <w:rtl/>
        </w:rPr>
        <w:t>שימוש</w:t>
      </w:r>
      <w:r w:rsidRPr="009E0CD0">
        <w:rPr>
          <w:rStyle w:val="70"/>
          <w:rtl/>
        </w:rPr>
        <w:t xml:space="preserve"> בכלי </w:t>
      </w:r>
      <w:r w:rsidRPr="009E0CD0">
        <w:rPr>
          <w:rStyle w:val="70"/>
          <w:rFonts w:hint="cs"/>
          <w:rtl/>
        </w:rPr>
        <w:t>קודם</w:t>
      </w:r>
      <w:r w:rsidRPr="009E0CD0">
        <w:rPr>
          <w:rStyle w:val="70"/>
          <w:rtl/>
        </w:rPr>
        <w:t xml:space="preserve"> קבלת אישור </w:t>
      </w:r>
      <w:r w:rsidRPr="009E0CD0">
        <w:rPr>
          <w:rStyle w:val="70"/>
          <w:rFonts w:hint="eastAsia"/>
          <w:rtl/>
        </w:rPr>
        <w:t>משפטי</w:t>
      </w:r>
      <w:r w:rsidRPr="009E0CD0">
        <w:rPr>
          <w:rStyle w:val="70"/>
          <w:rtl/>
        </w:rPr>
        <w:t xml:space="preserve"> </w:t>
      </w:r>
      <w:r w:rsidRPr="009E0CD0">
        <w:rPr>
          <w:rStyle w:val="70"/>
          <w:rFonts w:hint="eastAsia"/>
          <w:rtl/>
        </w:rPr>
        <w:t>וה</w:t>
      </w:r>
      <w:r w:rsidRPr="009E0CD0">
        <w:rPr>
          <w:rStyle w:val="70"/>
          <w:rFonts w:hint="cs"/>
          <w:rtl/>
        </w:rPr>
        <w:t>י</w:t>
      </w:r>
      <w:r w:rsidRPr="009E0CD0">
        <w:rPr>
          <w:rStyle w:val="70"/>
          <w:rFonts w:hint="eastAsia"/>
          <w:rtl/>
        </w:rPr>
        <w:t>עדר</w:t>
      </w:r>
      <w:r w:rsidRPr="009E0CD0">
        <w:rPr>
          <w:rStyle w:val="70"/>
          <w:rtl/>
        </w:rPr>
        <w:t xml:space="preserve"> </w:t>
      </w:r>
      <w:r w:rsidRPr="009E0CD0">
        <w:rPr>
          <w:rStyle w:val="70"/>
          <w:rFonts w:hint="eastAsia"/>
          <w:rtl/>
        </w:rPr>
        <w:t>חוות</w:t>
      </w:r>
      <w:r w:rsidRPr="009E0CD0">
        <w:rPr>
          <w:rStyle w:val="70"/>
          <w:rtl/>
        </w:rPr>
        <w:t xml:space="preserve"> </w:t>
      </w:r>
      <w:r w:rsidRPr="009E0CD0">
        <w:rPr>
          <w:rStyle w:val="70"/>
          <w:rFonts w:hint="eastAsia"/>
          <w:rtl/>
        </w:rPr>
        <w:t>דעת</w:t>
      </w:r>
      <w:r w:rsidRPr="009E0CD0">
        <w:rPr>
          <w:rStyle w:val="70"/>
          <w:rtl/>
        </w:rPr>
        <w:t xml:space="preserve"> </w:t>
      </w:r>
      <w:r w:rsidRPr="009E0CD0">
        <w:rPr>
          <w:rStyle w:val="70"/>
          <w:rFonts w:hint="eastAsia"/>
          <w:rtl/>
        </w:rPr>
        <w:t>משפטית</w:t>
      </w:r>
      <w:r w:rsidRPr="009E0CD0">
        <w:rPr>
          <w:rStyle w:val="70"/>
          <w:rFonts w:hint="cs"/>
          <w:rtl/>
        </w:rPr>
        <w:t>:</w:t>
      </w:r>
      <w:r w:rsidRPr="00082C78">
        <w:rPr>
          <w:rFonts w:ascii="David" w:eastAsia="Calibri" w:hAnsi="David" w:hint="cs"/>
          <w:sz w:val="24"/>
          <w:rtl/>
        </w:rPr>
        <w:t xml:space="preserve"> באוגוסט 2022, בישיבה </w:t>
      </w:r>
      <w:r w:rsidR="00691C64">
        <w:rPr>
          <w:rFonts w:ascii="David" w:eastAsia="Calibri" w:hAnsi="David" w:hint="cs"/>
          <w:sz w:val="24"/>
          <w:rtl/>
        </w:rPr>
        <w:t>עם נציגי משרד המשפטים</w:t>
      </w:r>
      <w:r w:rsidRPr="00082C78">
        <w:rPr>
          <w:rFonts w:ascii="David" w:eastAsia="Calibri" w:hAnsi="David" w:hint="cs"/>
          <w:sz w:val="24"/>
          <w:rtl/>
        </w:rPr>
        <w:t xml:space="preserve">, הציגה המשטרה כלי טכנולוגי לביצוע האזנות סתר. ביום 12.12.22 </w:t>
      </w:r>
      <w:r w:rsidR="00691C64">
        <w:rPr>
          <w:rFonts w:ascii="David" w:eastAsia="Calibri" w:hAnsi="David" w:hint="cs"/>
          <w:sz w:val="24"/>
          <w:rtl/>
        </w:rPr>
        <w:t xml:space="preserve">דנו נציגי הייעוץ המשפטי לממשלה </w:t>
      </w:r>
      <w:r w:rsidRPr="00082C78">
        <w:rPr>
          <w:rFonts w:ascii="David" w:eastAsia="Calibri" w:hAnsi="David" w:hint="cs"/>
          <w:sz w:val="24"/>
          <w:rtl/>
        </w:rPr>
        <w:t xml:space="preserve">בכלי הטכנולוגי ובחוות דעת משפטית מטעם המשטרה בנוגע לסמכותה להשתמש בה. </w:t>
      </w:r>
    </w:p>
    <w:p w:rsidR="00271D14" w:rsidRDefault="00271D14" w:rsidP="00604C3D">
      <w:pPr>
        <w:spacing w:line="269" w:lineRule="auto"/>
        <w:ind w:left="282"/>
        <w:contextualSpacing/>
        <w:rPr>
          <w:rFonts w:ascii="David" w:eastAsia="Calibri" w:hAnsi="David"/>
          <w:sz w:val="24"/>
          <w:rtl/>
        </w:rPr>
      </w:pPr>
    </w:p>
    <w:p w:rsidR="00082C78" w:rsidRPr="00082C78" w:rsidRDefault="00082C78" w:rsidP="00604C3D">
      <w:pPr>
        <w:spacing w:line="269" w:lineRule="auto"/>
        <w:ind w:left="680"/>
        <w:contextualSpacing/>
        <w:rPr>
          <w:rFonts w:ascii="David" w:eastAsia="Calibri" w:hAnsi="David"/>
          <w:sz w:val="24"/>
          <w:rtl/>
        </w:rPr>
      </w:pPr>
      <w:r w:rsidRPr="00082C78">
        <w:rPr>
          <w:rFonts w:ascii="David" w:eastAsia="Calibri" w:hAnsi="David" w:hint="cs"/>
          <w:sz w:val="24"/>
          <w:rtl/>
        </w:rPr>
        <w:t xml:space="preserve">בדיון </w:t>
      </w:r>
      <w:r w:rsidR="00691C64">
        <w:rPr>
          <w:rFonts w:ascii="David" w:eastAsia="Calibri" w:hAnsi="David" w:hint="cs"/>
          <w:sz w:val="24"/>
          <w:rtl/>
        </w:rPr>
        <w:t>הייעוץ המשפטי לממשלה אושרה</w:t>
      </w:r>
      <w:r w:rsidRPr="00082C78">
        <w:rPr>
          <w:rFonts w:ascii="David" w:eastAsia="Calibri" w:hAnsi="David" w:hint="cs"/>
          <w:sz w:val="24"/>
          <w:rtl/>
        </w:rPr>
        <w:t xml:space="preserve"> רכישה של הכלי אך לא את הפעלתו. נקבע כי במסגרת ההתקשרות עם החברה על המשטרה לבקש ממנה ניוון יכולות מסוימות. </w:t>
      </w:r>
      <w:r w:rsidR="00200360">
        <w:rPr>
          <w:rFonts w:ascii="David" w:eastAsia="Calibri" w:hAnsi="David" w:hint="cs"/>
          <w:sz w:val="24"/>
          <w:rtl/>
        </w:rPr>
        <w:t>נציג הייעוץ המשפטי לממשלה הורה</w:t>
      </w:r>
      <w:r w:rsidRPr="00082C78">
        <w:rPr>
          <w:rFonts w:ascii="David" w:eastAsia="Calibri" w:hAnsi="David" w:hint="cs"/>
          <w:sz w:val="24"/>
          <w:rtl/>
        </w:rPr>
        <w:t xml:space="preserve"> למשטרה להכין חוות דעת משפטית עדכנית בנושא הכלי לשם אישורו הסופי. </w:t>
      </w:r>
    </w:p>
    <w:p w:rsidR="009F2637" w:rsidRDefault="00382AE8" w:rsidP="00604C3D">
      <w:pPr>
        <w:pStyle w:val="a5"/>
        <w:spacing w:line="269" w:lineRule="auto"/>
        <w:ind w:left="282"/>
        <w:rPr>
          <w:rtl/>
        </w:rPr>
      </w:pPr>
      <w:r>
        <w:rPr>
          <w:rFonts w:hint="cs"/>
          <w:rtl/>
        </w:rPr>
        <w:t xml:space="preserve"> </w:t>
      </w:r>
    </w:p>
    <w:p w:rsidR="00082C78" w:rsidRPr="00082C78" w:rsidRDefault="00E34FC8" w:rsidP="00604C3D">
      <w:pPr>
        <w:spacing w:line="269" w:lineRule="auto"/>
        <w:ind w:left="680"/>
        <w:contextualSpacing/>
        <w:rPr>
          <w:rFonts w:ascii="David" w:eastAsia="Calibri" w:hAnsi="David"/>
          <w:sz w:val="24"/>
          <w:rtl/>
        </w:rPr>
      </w:pPr>
      <w:r w:rsidRPr="00082C78">
        <w:rPr>
          <w:rFonts w:ascii="David" w:eastAsia="Calibri" w:hAnsi="David" w:hint="cs"/>
          <w:sz w:val="24"/>
          <w:rtl/>
        </w:rPr>
        <w:t>ב</w:t>
      </w:r>
      <w:r>
        <w:rPr>
          <w:rFonts w:ascii="David" w:eastAsia="Calibri" w:hAnsi="David" w:hint="cs"/>
          <w:sz w:val="24"/>
          <w:rtl/>
        </w:rPr>
        <w:t>-</w:t>
      </w:r>
      <w:r w:rsidR="00082C78" w:rsidRPr="00082C78">
        <w:rPr>
          <w:rFonts w:ascii="David" w:eastAsia="Calibri" w:hAnsi="David" w:hint="cs"/>
          <w:sz w:val="24"/>
          <w:rtl/>
        </w:rPr>
        <w:t xml:space="preserve">3.4.23 העבירה המשטרה חוות דעת משפטית מטעם הייעוץ המשפטי של המשטרה </w:t>
      </w:r>
      <w:r w:rsidR="003C6C56">
        <w:rPr>
          <w:rFonts w:ascii="David" w:eastAsia="Calibri" w:hAnsi="David" w:hint="cs"/>
          <w:sz w:val="24"/>
          <w:rtl/>
        </w:rPr>
        <w:t>לייעוץ המשפטי לממשלה</w:t>
      </w:r>
      <w:r w:rsidR="00082C78" w:rsidRPr="00082C78">
        <w:rPr>
          <w:rFonts w:ascii="David" w:eastAsia="Calibri" w:hAnsi="David" w:hint="cs"/>
          <w:sz w:val="24"/>
          <w:rtl/>
        </w:rPr>
        <w:t xml:space="preserve">. חוות הדעת כללה מסמכים נוספים ובכלל זה מסמך טכנולוגי והנחיות עבודה נוספות. בחוות הדעת נכתב בין היתר כי במערכת נוונו יכולות בהתאם לדרישת </w:t>
      </w:r>
      <w:r w:rsidR="00200360">
        <w:rPr>
          <w:rFonts w:ascii="David" w:eastAsia="Calibri" w:hAnsi="David" w:hint="cs"/>
          <w:sz w:val="24"/>
          <w:rtl/>
        </w:rPr>
        <w:t>הייעוץ המשפטי לממשלה</w:t>
      </w:r>
      <w:r w:rsidR="00082C78" w:rsidRPr="00082C78">
        <w:rPr>
          <w:rFonts w:ascii="David" w:eastAsia="Calibri" w:hAnsi="David" w:hint="cs"/>
          <w:sz w:val="24"/>
          <w:rtl/>
        </w:rPr>
        <w:t xml:space="preserve">. בספטמבר 2023 התקיים מפגש בחטיבת הסייבר של המשטרה עם נציגות הייעוץ המשפטי לממשלה, והמשטרה הדגימה את יכולותיו הטכנולוגיות של הכלי ואת כלל השינויים וההתאמות שנערכו בו. בספטמבר 2023 העבירה המשטרה חוות דעת משפטית מעודכנת, ובאוקטובר 2023, לבקשת גורמי הייעוץ המשפטי לממשלה, העבירה המשטרה למשרד המשפטים </w:t>
      </w:r>
      <w:r w:rsidR="005D24AC">
        <w:rPr>
          <w:rFonts w:ascii="David" w:eastAsia="Calibri" w:hAnsi="David" w:hint="cs"/>
          <w:sz w:val="24"/>
          <w:rtl/>
        </w:rPr>
        <w:t>מסמכים נוספים לבקשתם</w:t>
      </w:r>
      <w:r w:rsidR="007C58BB">
        <w:rPr>
          <w:rFonts w:ascii="David" w:eastAsia="Calibri" w:hAnsi="David" w:hint="cs"/>
          <w:sz w:val="24"/>
          <w:rtl/>
        </w:rPr>
        <w:t>.</w:t>
      </w:r>
    </w:p>
    <w:p w:rsidR="00271D14" w:rsidRDefault="00271D14" w:rsidP="00604C3D">
      <w:pPr>
        <w:spacing w:line="269" w:lineRule="auto"/>
        <w:ind w:left="282"/>
        <w:contextualSpacing/>
        <w:rPr>
          <w:rFonts w:ascii="David" w:eastAsia="Calibri" w:hAnsi="David"/>
          <w:b/>
          <w:bCs/>
          <w:sz w:val="24"/>
          <w:rtl/>
        </w:rPr>
      </w:pPr>
    </w:p>
    <w:p w:rsidR="00082C78" w:rsidRPr="00082C78" w:rsidRDefault="00082C78" w:rsidP="00604C3D">
      <w:pPr>
        <w:spacing w:line="269" w:lineRule="auto"/>
        <w:ind w:left="680"/>
        <w:contextualSpacing/>
        <w:rPr>
          <w:rFonts w:ascii="David" w:eastAsia="Calibri" w:hAnsi="David"/>
          <w:b/>
          <w:bCs/>
          <w:sz w:val="24"/>
          <w:rtl/>
        </w:rPr>
      </w:pPr>
      <w:r w:rsidRPr="00082C78">
        <w:rPr>
          <w:rFonts w:ascii="David" w:eastAsia="Calibri" w:hAnsi="David" w:hint="cs"/>
          <w:b/>
          <w:bCs/>
          <w:sz w:val="24"/>
          <w:rtl/>
        </w:rPr>
        <w:t xml:space="preserve">נמצא כי מסוף שנת 2022 עוסק הייעוץ המשפטי לממשלה בבחינה ובאישור של רכש והפעלה של כלי טכנולוגי המיועד לסייע בביצוע האזנות סתר, זאת אף שכשנתיים קודם לכן כבר החלה המשטרה בביצוע הליך הרכש של הכלי הטכנולוגי. כמו כן, בשנת 2021, עוד טרם הוצגו הכלי ויכולותיו בפני </w:t>
      </w:r>
      <w:r w:rsidR="008B03FA">
        <w:rPr>
          <w:rFonts w:ascii="David" w:eastAsia="Calibri" w:hAnsi="David" w:hint="cs"/>
          <w:b/>
          <w:bCs/>
          <w:sz w:val="24"/>
          <w:rtl/>
        </w:rPr>
        <w:t>הייעוץ המשפטי לממשלה במשרד המשפטים</w:t>
      </w:r>
      <w:r w:rsidRPr="00082C78">
        <w:rPr>
          <w:rFonts w:ascii="David" w:eastAsia="Calibri" w:hAnsi="David" w:hint="cs"/>
          <w:b/>
          <w:bCs/>
          <w:sz w:val="24"/>
          <w:rtl/>
        </w:rPr>
        <w:t>, הופעל הכלי במסגרת פעילות מבצעית של המשטרה. כך שבפועל המשטרה השתמשה בכלי ללא קבלת אישור משפטי בנוגע לסמכותה לעשות שימוש בו.</w:t>
      </w:r>
    </w:p>
    <w:p w:rsidR="00082C78" w:rsidRPr="00082C78" w:rsidRDefault="00082C78" w:rsidP="00604C3D">
      <w:pPr>
        <w:spacing w:line="269" w:lineRule="auto"/>
        <w:ind w:left="282"/>
        <w:contextualSpacing/>
        <w:rPr>
          <w:rFonts w:ascii="David" w:eastAsia="Calibri" w:hAnsi="David"/>
          <w:b/>
          <w:bCs/>
          <w:sz w:val="24"/>
          <w:rtl/>
        </w:rPr>
      </w:pPr>
    </w:p>
    <w:p w:rsidR="0085114A" w:rsidRPr="00082C78" w:rsidRDefault="0085114A" w:rsidP="00604C3D">
      <w:pPr>
        <w:spacing w:line="269" w:lineRule="auto"/>
        <w:ind w:left="680"/>
        <w:contextualSpacing/>
        <w:rPr>
          <w:rFonts w:ascii="David" w:eastAsia="Calibri" w:hAnsi="David"/>
          <w:sz w:val="24"/>
          <w:rtl/>
        </w:rPr>
      </w:pPr>
      <w:r w:rsidRPr="00082C78">
        <w:rPr>
          <w:rFonts w:ascii="David" w:eastAsia="Calibri" w:hAnsi="David" w:hint="eastAsia"/>
          <w:sz w:val="24"/>
          <w:rtl/>
        </w:rPr>
        <w:t>המשטרה</w:t>
      </w:r>
      <w:r w:rsidRPr="00082C78">
        <w:rPr>
          <w:rFonts w:ascii="David" w:eastAsia="Calibri" w:hAnsi="David"/>
          <w:sz w:val="24"/>
          <w:rtl/>
        </w:rPr>
        <w:t xml:space="preserve"> כתבה בתשובתה כי </w:t>
      </w:r>
      <w:r w:rsidR="00F37562">
        <w:rPr>
          <w:rFonts w:ascii="David" w:eastAsia="Calibri" w:hAnsi="David" w:hint="cs"/>
          <w:sz w:val="24"/>
          <w:rtl/>
        </w:rPr>
        <w:t xml:space="preserve">אמנם </w:t>
      </w:r>
      <w:r w:rsidRPr="00082C78">
        <w:rPr>
          <w:rFonts w:ascii="David" w:eastAsia="Calibri" w:hAnsi="David" w:hint="cs"/>
          <w:sz w:val="24"/>
          <w:rtl/>
        </w:rPr>
        <w:t xml:space="preserve">הגורמים הטכנולוגיים </w:t>
      </w:r>
      <w:r w:rsidR="00F37562">
        <w:rPr>
          <w:rFonts w:ascii="David" w:eastAsia="Calibri" w:hAnsi="David" w:hint="cs"/>
          <w:sz w:val="24"/>
          <w:rtl/>
        </w:rPr>
        <w:t xml:space="preserve">במשטרה </w:t>
      </w:r>
      <w:r w:rsidRPr="00082C78">
        <w:rPr>
          <w:rFonts w:ascii="David" w:eastAsia="Calibri" w:hAnsi="David" w:hint="cs"/>
          <w:sz w:val="24"/>
          <w:rtl/>
        </w:rPr>
        <w:t xml:space="preserve">הפעילו את הכלי בטרם ניתן אישור משפטי להשתמש בו, </w:t>
      </w:r>
      <w:r w:rsidR="00F37562">
        <w:rPr>
          <w:rFonts w:ascii="David" w:eastAsia="Calibri" w:hAnsi="David" w:hint="cs"/>
          <w:sz w:val="24"/>
          <w:rtl/>
        </w:rPr>
        <w:t xml:space="preserve">אך הדבר נעשה </w:t>
      </w:r>
      <w:r w:rsidRPr="00082C78">
        <w:rPr>
          <w:rFonts w:ascii="David" w:eastAsia="Calibri" w:hAnsi="David" w:hint="cs"/>
          <w:sz w:val="24"/>
          <w:rtl/>
        </w:rPr>
        <w:t>בכפוף לצו שיפוטי שאישר את הפעולה. עוד כתבה המשטרה כי "מבלי להקל ראש באמור, אין בכך כדי לגרוע מההליך הסדור שהתקיים ביחס להליכי הרכש ואישור המערכת כשנה לאחר מכן. בנוסף, לאור הנהלים שנכתבו ומיסוד הליכי הרכש, הסיכוי להישנות האמור, הינו קלוש עד אפסי".</w:t>
      </w:r>
      <w:r w:rsidR="00DD5546">
        <w:rPr>
          <w:rFonts w:ascii="David" w:eastAsia="Calibri" w:hAnsi="David" w:hint="cs"/>
          <w:sz w:val="24"/>
          <w:rtl/>
        </w:rPr>
        <w:t xml:space="preserve"> בהקשר זה הבהירה המשטרה כי בהליך ההסדרה המשפטית הנוסף ביחס לכלי זה, שהתקיים באוקטובר 2023, הופקו לקחים בנושא העברת מידע ומסמכים למשרד המשפטים ואופן ניהול הדיונים עימם. </w:t>
      </w:r>
    </w:p>
    <w:p w:rsidR="00082C78" w:rsidRPr="00082C78" w:rsidRDefault="00082C78" w:rsidP="00604C3D">
      <w:pPr>
        <w:spacing w:line="269" w:lineRule="auto"/>
        <w:ind w:left="282"/>
        <w:contextualSpacing/>
        <w:rPr>
          <w:rFonts w:ascii="David" w:eastAsia="Calibri" w:hAnsi="David"/>
          <w:sz w:val="24"/>
          <w:rtl/>
        </w:rPr>
      </w:pPr>
    </w:p>
    <w:p w:rsidR="00082C78" w:rsidRPr="00082C78" w:rsidRDefault="00082C78" w:rsidP="00604C3D">
      <w:pPr>
        <w:spacing w:line="269" w:lineRule="auto"/>
        <w:ind w:left="680"/>
        <w:contextualSpacing/>
        <w:rPr>
          <w:rFonts w:ascii="David" w:eastAsia="Calibri" w:hAnsi="David"/>
          <w:sz w:val="24"/>
          <w:rtl/>
        </w:rPr>
      </w:pPr>
      <w:r w:rsidRPr="00082C78">
        <w:rPr>
          <w:rFonts w:ascii="David" w:eastAsia="Calibri" w:hAnsi="David" w:hint="cs"/>
          <w:sz w:val="24"/>
          <w:rtl/>
        </w:rPr>
        <w:t>משרד המשפטים כתב בתשובתו כי נוכח השתלשלות האירועים מאוגוסט 2022, אין לראות בהליכי האישור של הכלי עיכוב שיש לזקוף לחובת הייעוץ המשפטי לממשלה. עוד כתב משרד המשפטים בתשובתו כי השימוש בכלי ללא אישור משפטי אינו מוכר לגורמי הייעוץ המשפטי לממשלה.</w:t>
      </w:r>
      <w:r w:rsidR="00382AE8">
        <w:rPr>
          <w:rFonts w:ascii="David" w:eastAsia="Calibri" w:hAnsi="David" w:hint="cs"/>
          <w:sz w:val="24"/>
          <w:rtl/>
        </w:rPr>
        <w:t xml:space="preserve"> </w:t>
      </w:r>
    </w:p>
    <w:p w:rsidR="00271D14" w:rsidRDefault="00271D14" w:rsidP="00604C3D">
      <w:pPr>
        <w:spacing w:line="269" w:lineRule="auto"/>
        <w:ind w:left="282"/>
        <w:contextualSpacing/>
        <w:rPr>
          <w:rFonts w:ascii="David" w:eastAsia="Calibri" w:hAnsi="David"/>
          <w:b/>
          <w:bCs/>
          <w:sz w:val="24"/>
          <w:rtl/>
        </w:rPr>
      </w:pPr>
    </w:p>
    <w:p w:rsidR="00082C78" w:rsidRPr="00082C78" w:rsidRDefault="00082C78" w:rsidP="00604C3D">
      <w:pPr>
        <w:spacing w:line="269" w:lineRule="auto"/>
        <w:ind w:left="680"/>
        <w:contextualSpacing/>
        <w:rPr>
          <w:rFonts w:ascii="David" w:eastAsia="Calibri" w:hAnsi="David"/>
          <w:b/>
          <w:bCs/>
          <w:sz w:val="24"/>
          <w:rtl/>
        </w:rPr>
      </w:pPr>
      <w:r w:rsidRPr="00082C78">
        <w:rPr>
          <w:rFonts w:ascii="David" w:eastAsia="Calibri" w:hAnsi="David" w:hint="cs"/>
          <w:b/>
          <w:bCs/>
          <w:sz w:val="24"/>
          <w:rtl/>
        </w:rPr>
        <w:t xml:space="preserve">יצוין כי </w:t>
      </w:r>
      <w:r w:rsidRPr="00082C78">
        <w:rPr>
          <w:rFonts w:ascii="David" w:eastAsia="Calibri" w:hAnsi="David" w:hint="eastAsia"/>
          <w:b/>
          <w:bCs/>
          <w:sz w:val="24"/>
          <w:rtl/>
        </w:rPr>
        <w:t>גם</w:t>
      </w:r>
      <w:r w:rsidRPr="00082C78">
        <w:rPr>
          <w:rFonts w:ascii="David" w:eastAsia="Calibri" w:hAnsi="David"/>
          <w:b/>
          <w:bCs/>
          <w:sz w:val="24"/>
          <w:rtl/>
        </w:rPr>
        <w:t xml:space="preserve"> </w:t>
      </w:r>
      <w:r w:rsidRPr="00082C78">
        <w:rPr>
          <w:rFonts w:ascii="David" w:eastAsia="Calibri" w:hAnsi="David" w:hint="eastAsia"/>
          <w:b/>
          <w:bCs/>
          <w:sz w:val="24"/>
          <w:rtl/>
        </w:rPr>
        <w:t>לאחר</w:t>
      </w:r>
      <w:r w:rsidRPr="00082C78">
        <w:rPr>
          <w:rFonts w:ascii="David" w:eastAsia="Calibri" w:hAnsi="David"/>
          <w:b/>
          <w:bCs/>
          <w:sz w:val="24"/>
          <w:rtl/>
        </w:rPr>
        <w:t xml:space="preserve"> </w:t>
      </w:r>
      <w:r w:rsidRPr="00082C78">
        <w:rPr>
          <w:rFonts w:ascii="David" w:eastAsia="Calibri" w:hAnsi="David" w:hint="eastAsia"/>
          <w:b/>
          <w:bCs/>
          <w:sz w:val="24"/>
          <w:rtl/>
        </w:rPr>
        <w:t>הצגת</w:t>
      </w:r>
      <w:r w:rsidRPr="00082C78">
        <w:rPr>
          <w:rFonts w:ascii="David" w:eastAsia="Calibri" w:hAnsi="David"/>
          <w:b/>
          <w:bCs/>
          <w:sz w:val="24"/>
          <w:rtl/>
        </w:rPr>
        <w:t xml:space="preserve"> </w:t>
      </w:r>
      <w:r w:rsidRPr="00082C78">
        <w:rPr>
          <w:rFonts w:ascii="David" w:eastAsia="Calibri" w:hAnsi="David" w:hint="eastAsia"/>
          <w:b/>
          <w:bCs/>
          <w:sz w:val="24"/>
          <w:rtl/>
        </w:rPr>
        <w:t>הכלי</w:t>
      </w:r>
      <w:r w:rsidRPr="00082C78">
        <w:rPr>
          <w:rFonts w:ascii="David" w:eastAsia="Calibri" w:hAnsi="David"/>
          <w:b/>
          <w:bCs/>
          <w:sz w:val="24"/>
          <w:rtl/>
        </w:rPr>
        <w:t xml:space="preserve"> בפני </w:t>
      </w:r>
      <w:r w:rsidR="00844501">
        <w:rPr>
          <w:rFonts w:ascii="David" w:eastAsia="Calibri" w:hAnsi="David" w:hint="eastAsia"/>
          <w:b/>
          <w:bCs/>
          <w:sz w:val="24"/>
          <w:rtl/>
        </w:rPr>
        <w:t>הייעוץ המשפטי לממשלה</w:t>
      </w:r>
      <w:r w:rsidR="008B03FA">
        <w:rPr>
          <w:rFonts w:ascii="David" w:eastAsia="Calibri" w:hAnsi="David" w:hint="cs"/>
          <w:b/>
          <w:bCs/>
          <w:sz w:val="24"/>
          <w:rtl/>
        </w:rPr>
        <w:t xml:space="preserve"> במשרד המשפטים</w:t>
      </w:r>
      <w:r w:rsidRPr="00082C78">
        <w:rPr>
          <w:rFonts w:ascii="David" w:eastAsia="Calibri" w:hAnsi="David"/>
          <w:b/>
          <w:bCs/>
          <w:sz w:val="24"/>
          <w:rtl/>
        </w:rPr>
        <w:t xml:space="preserve">, </w:t>
      </w:r>
      <w:r w:rsidRPr="00082C78">
        <w:rPr>
          <w:rFonts w:ascii="David" w:eastAsia="Calibri" w:hAnsi="David" w:hint="cs"/>
          <w:b/>
          <w:bCs/>
          <w:sz w:val="24"/>
          <w:rtl/>
        </w:rPr>
        <w:t>מספטמבר 2023 עד ספטמבר 2024 לא</w:t>
      </w:r>
      <w:r w:rsidRPr="00082C78">
        <w:rPr>
          <w:rFonts w:ascii="David" w:eastAsia="Calibri" w:hAnsi="David"/>
          <w:b/>
          <w:bCs/>
          <w:sz w:val="24"/>
          <w:rtl/>
        </w:rPr>
        <w:t xml:space="preserve"> </w:t>
      </w:r>
      <w:r w:rsidRPr="00082C78">
        <w:rPr>
          <w:rFonts w:ascii="David" w:eastAsia="Calibri" w:hAnsi="David" w:hint="cs"/>
          <w:b/>
          <w:bCs/>
          <w:sz w:val="24"/>
          <w:rtl/>
        </w:rPr>
        <w:t>נתנה היועמ"שית לממשלה אישור משפטי</w:t>
      </w:r>
      <w:r w:rsidRPr="00082C78">
        <w:rPr>
          <w:rFonts w:ascii="David" w:eastAsia="Calibri" w:hAnsi="David"/>
          <w:b/>
          <w:bCs/>
          <w:sz w:val="24"/>
          <w:rtl/>
        </w:rPr>
        <w:t xml:space="preserve"> </w:t>
      </w:r>
      <w:r w:rsidRPr="00082C78">
        <w:rPr>
          <w:rFonts w:ascii="David" w:eastAsia="Calibri" w:hAnsi="David" w:hint="eastAsia"/>
          <w:b/>
          <w:bCs/>
          <w:sz w:val="24"/>
          <w:rtl/>
        </w:rPr>
        <w:t>ל</w:t>
      </w:r>
      <w:r w:rsidRPr="00082C78">
        <w:rPr>
          <w:rFonts w:ascii="David" w:eastAsia="Calibri" w:hAnsi="David" w:hint="cs"/>
          <w:b/>
          <w:bCs/>
          <w:sz w:val="24"/>
          <w:rtl/>
        </w:rPr>
        <w:t>השתמש</w:t>
      </w:r>
      <w:r w:rsidRPr="00082C78">
        <w:rPr>
          <w:rFonts w:ascii="David" w:eastAsia="Calibri" w:hAnsi="David"/>
          <w:b/>
          <w:bCs/>
          <w:sz w:val="24"/>
          <w:rtl/>
        </w:rPr>
        <w:t xml:space="preserve"> </w:t>
      </w:r>
      <w:r w:rsidRPr="00082C78">
        <w:rPr>
          <w:rFonts w:ascii="David" w:eastAsia="Calibri" w:hAnsi="David" w:hint="eastAsia"/>
          <w:b/>
          <w:bCs/>
          <w:sz w:val="24"/>
          <w:rtl/>
        </w:rPr>
        <w:t>בכלי</w:t>
      </w:r>
      <w:r w:rsidRPr="00082C78">
        <w:rPr>
          <w:rFonts w:ascii="David" w:eastAsia="Calibri" w:hAnsi="David"/>
          <w:b/>
          <w:bCs/>
          <w:sz w:val="24"/>
          <w:rtl/>
        </w:rPr>
        <w:t xml:space="preserve"> </w:t>
      </w:r>
      <w:r w:rsidRPr="00082C78">
        <w:rPr>
          <w:rFonts w:ascii="David" w:eastAsia="Calibri" w:hAnsi="David" w:hint="cs"/>
          <w:b/>
          <w:bCs/>
          <w:sz w:val="24"/>
          <w:rtl/>
        </w:rPr>
        <w:t>האמור</w:t>
      </w:r>
      <w:r w:rsidR="00990EE3">
        <w:rPr>
          <w:rFonts w:ascii="David" w:eastAsia="Calibri" w:hAnsi="David" w:hint="cs"/>
          <w:b/>
          <w:bCs/>
          <w:sz w:val="24"/>
          <w:rtl/>
        </w:rPr>
        <w:t>.</w:t>
      </w:r>
      <w:r w:rsidRPr="00082C78">
        <w:rPr>
          <w:rFonts w:ascii="David" w:eastAsia="Calibri" w:hAnsi="David" w:hint="cs"/>
          <w:b/>
          <w:bCs/>
          <w:sz w:val="24"/>
          <w:rtl/>
        </w:rPr>
        <w:t xml:space="preserve"> </w:t>
      </w:r>
    </w:p>
    <w:p w:rsidR="00082C78" w:rsidRPr="00082C78" w:rsidRDefault="00082C78" w:rsidP="00604C3D">
      <w:pPr>
        <w:spacing w:line="269" w:lineRule="auto"/>
        <w:ind w:left="282"/>
        <w:contextualSpacing/>
        <w:rPr>
          <w:rFonts w:ascii="David" w:eastAsia="Calibri" w:hAnsi="David"/>
          <w:sz w:val="24"/>
          <w:rtl/>
        </w:rPr>
      </w:pPr>
    </w:p>
    <w:p w:rsidR="00082C78" w:rsidRPr="00082C78" w:rsidRDefault="00082C78" w:rsidP="00604C3D">
      <w:pPr>
        <w:spacing w:line="269" w:lineRule="auto"/>
        <w:ind w:left="680"/>
        <w:contextualSpacing/>
        <w:rPr>
          <w:rFonts w:ascii="David" w:eastAsia="Calibri" w:hAnsi="David"/>
          <w:sz w:val="24"/>
          <w:rtl/>
        </w:rPr>
      </w:pPr>
      <w:r w:rsidRPr="00082C78">
        <w:rPr>
          <w:rFonts w:ascii="David" w:eastAsia="Calibri" w:hAnsi="David" w:hint="cs"/>
          <w:sz w:val="24"/>
          <w:rtl/>
        </w:rPr>
        <w:t>משרד המשפטים כתב בתשובתו כי בנובמבר 2023 הוצגה חוות דעת משפטית של הייעוץ המשפטי לממשלה בפני היועמ"שית לממשלה, אך היא החליטה להמתין לדוח סופי</w:t>
      </w:r>
      <w:r w:rsidR="00F37562">
        <w:rPr>
          <w:rFonts w:ascii="David" w:eastAsia="Calibri" w:hAnsi="David" w:hint="cs"/>
          <w:sz w:val="24"/>
          <w:rtl/>
        </w:rPr>
        <w:t xml:space="preserve"> זה</w:t>
      </w:r>
      <w:r w:rsidRPr="00082C78">
        <w:rPr>
          <w:rFonts w:ascii="David" w:eastAsia="Calibri" w:hAnsi="David" w:hint="cs"/>
          <w:sz w:val="24"/>
          <w:rtl/>
        </w:rPr>
        <w:t xml:space="preserve"> של מבקר המדינה, ורק לאחר שהוא יילמד היא תקבל החלטה בעניין. </w:t>
      </w:r>
    </w:p>
    <w:p w:rsidR="00082C78" w:rsidRPr="00082C78" w:rsidRDefault="00082C78" w:rsidP="00604C3D">
      <w:pPr>
        <w:spacing w:line="269" w:lineRule="auto"/>
        <w:ind w:left="282"/>
        <w:contextualSpacing/>
        <w:rPr>
          <w:rFonts w:ascii="David" w:eastAsia="Calibri" w:hAnsi="David"/>
          <w:b/>
          <w:bCs/>
          <w:sz w:val="24"/>
          <w:rtl/>
        </w:rPr>
      </w:pPr>
    </w:p>
    <w:p w:rsidR="00082C78" w:rsidRPr="00082C78" w:rsidRDefault="00082C78" w:rsidP="00604C3D">
      <w:pPr>
        <w:spacing w:line="269" w:lineRule="auto"/>
        <w:ind w:left="680"/>
        <w:contextualSpacing/>
        <w:rPr>
          <w:rFonts w:ascii="David" w:eastAsia="Calibri" w:hAnsi="David"/>
          <w:sz w:val="24"/>
          <w:rtl/>
        </w:rPr>
      </w:pPr>
      <w:r w:rsidRPr="00082C78">
        <w:rPr>
          <w:rFonts w:ascii="David" w:eastAsia="Calibri" w:hAnsi="David" w:hint="cs"/>
          <w:sz w:val="24"/>
          <w:rtl/>
        </w:rPr>
        <w:t xml:space="preserve">בספטמבר 2024 כתב </w:t>
      </w:r>
      <w:r w:rsidR="003C6C56">
        <w:rPr>
          <w:rFonts w:ascii="David" w:eastAsia="Calibri" w:hAnsi="David" w:hint="cs"/>
          <w:sz w:val="24"/>
          <w:rtl/>
        </w:rPr>
        <w:t>נציג</w:t>
      </w:r>
      <w:r w:rsidRPr="00082C78">
        <w:rPr>
          <w:rFonts w:ascii="David" w:eastAsia="Calibri" w:hAnsi="David" w:hint="cs"/>
          <w:sz w:val="24"/>
          <w:rtl/>
        </w:rPr>
        <w:t xml:space="preserve"> </w:t>
      </w:r>
      <w:r w:rsidR="003C6C56">
        <w:rPr>
          <w:rFonts w:ascii="David" w:eastAsia="Calibri" w:hAnsi="David" w:hint="cs"/>
          <w:sz w:val="24"/>
          <w:rtl/>
        </w:rPr>
        <w:t>ה</w:t>
      </w:r>
      <w:r w:rsidRPr="00082C78">
        <w:rPr>
          <w:rFonts w:ascii="David" w:eastAsia="Calibri" w:hAnsi="David" w:hint="cs"/>
          <w:sz w:val="24"/>
          <w:rtl/>
        </w:rPr>
        <w:t xml:space="preserve">ייעוץ המשפטי למשטרה </w:t>
      </w:r>
      <w:r w:rsidR="003C6C56">
        <w:rPr>
          <w:rFonts w:ascii="David" w:eastAsia="Calibri" w:hAnsi="David" w:hint="cs"/>
          <w:sz w:val="24"/>
          <w:rtl/>
        </w:rPr>
        <w:t>לייעוץ המשפטי לממשלה</w:t>
      </w:r>
      <w:r w:rsidRPr="00082C78">
        <w:rPr>
          <w:rFonts w:ascii="David" w:eastAsia="Calibri" w:hAnsi="David" w:hint="cs"/>
          <w:sz w:val="24"/>
          <w:rtl/>
        </w:rPr>
        <w:t xml:space="preserve"> כי הכלי תואם את דרישות משרד המשפטים ואת סמכויות המשטרה לביצוע פעולה מסוימת של האזנת סתר, ושאין מניעה משפטית להפעלתו. נוכח העובדה שחלף זמן רב מאז המשטרה ביקשה ממשרד המשפטים אישור להפעלתו ושטרם ניתן האישור לכך, הייעוץ המשפטי למשטרה עומד לאשר "באופן הדרגתי, הפעלה של המערכת לצרכים מבצעיים". עוד כתבה המשטרה למשרד המשפטים כי בסיום ההפעלה הראשונה יתקיים תחקיר, ועיקרי ממצאיו יועברו למשרד המשפטים כחלק מהליך הדיווח לגבי האזנות סתר. </w:t>
      </w:r>
    </w:p>
    <w:p w:rsidR="00082C78" w:rsidRPr="00082C78" w:rsidRDefault="00082C78" w:rsidP="00604C3D">
      <w:pPr>
        <w:spacing w:line="269" w:lineRule="auto"/>
        <w:ind w:left="282"/>
        <w:contextualSpacing/>
        <w:rPr>
          <w:rFonts w:ascii="David" w:eastAsia="Calibri" w:hAnsi="David"/>
          <w:sz w:val="24"/>
          <w:rtl/>
        </w:rPr>
      </w:pPr>
    </w:p>
    <w:p w:rsidR="00082C78" w:rsidRPr="00082C78" w:rsidRDefault="00082C78" w:rsidP="00604C3D">
      <w:pPr>
        <w:spacing w:line="269" w:lineRule="auto"/>
        <w:ind w:left="680"/>
        <w:contextualSpacing/>
        <w:rPr>
          <w:rFonts w:ascii="David" w:eastAsia="Calibri" w:hAnsi="David"/>
          <w:b/>
          <w:bCs/>
          <w:sz w:val="24"/>
          <w:rtl/>
        </w:rPr>
      </w:pPr>
      <w:r w:rsidRPr="00082C78">
        <w:rPr>
          <w:rFonts w:ascii="David" w:eastAsia="Calibri" w:hAnsi="David" w:hint="cs"/>
          <w:sz w:val="24"/>
          <w:rtl/>
        </w:rPr>
        <w:t xml:space="preserve">בישיבה העיתית לבחינת דיווחי האזנות סתר </w:t>
      </w:r>
      <w:r w:rsidR="00F37562" w:rsidRPr="00082C78">
        <w:rPr>
          <w:rFonts w:ascii="David" w:eastAsia="Calibri" w:hAnsi="David" w:hint="cs"/>
          <w:sz w:val="24"/>
          <w:rtl/>
        </w:rPr>
        <w:t>מ</w:t>
      </w:r>
      <w:r w:rsidR="00F37562">
        <w:rPr>
          <w:rFonts w:ascii="David" w:eastAsia="Calibri" w:hAnsi="David" w:hint="cs"/>
          <w:sz w:val="24"/>
          <w:rtl/>
        </w:rPr>
        <w:t>-</w:t>
      </w:r>
      <w:r w:rsidRPr="00082C78">
        <w:rPr>
          <w:rFonts w:ascii="David" w:eastAsia="Calibri" w:hAnsi="David" w:hint="cs"/>
          <w:sz w:val="24"/>
          <w:rtl/>
        </w:rPr>
        <w:t xml:space="preserve">23.9.24 </w:t>
      </w:r>
      <w:r w:rsidR="00F37562">
        <w:rPr>
          <w:rFonts w:ascii="David" w:eastAsia="Calibri" w:hAnsi="David" w:hint="cs"/>
          <w:sz w:val="24"/>
          <w:rtl/>
        </w:rPr>
        <w:t>הסכימו</w:t>
      </w:r>
      <w:r w:rsidRPr="00082C78">
        <w:rPr>
          <w:rFonts w:ascii="David" w:eastAsia="Calibri" w:hAnsi="David" w:hint="cs"/>
          <w:sz w:val="24"/>
          <w:rtl/>
        </w:rPr>
        <w:t xml:space="preserve"> גורמי הייעוץ המשפטי לממשלה כי בנסיבות אלו שבהן נוונו יכולות בכלי בהתאם לדרישות הייעוץ המשפטי לממשלה ולעמדת הייעוץ המשפטי למשטרה, הכלי אינו בעל פוטנציאל לחריגה מהסמכות החוקית של המשטרה ועומד בדרישות החוק; לא נדרש להביא את הכלי לאישור הייעוץ המשפטי לממשלה; ואישור הכלי על ידי הייעוץ המשפטי למשטרה הובא לצורך יידוע משרד המשפטים בלבד.</w:t>
      </w:r>
      <w:r w:rsidRPr="00082C78">
        <w:rPr>
          <w:rFonts w:ascii="David" w:eastAsia="Calibri" w:hAnsi="David" w:hint="cs"/>
          <w:b/>
          <w:bCs/>
          <w:sz w:val="24"/>
          <w:rtl/>
        </w:rPr>
        <w:t xml:space="preserve"> </w:t>
      </w:r>
    </w:p>
    <w:p w:rsidR="00271D14" w:rsidRDefault="00271D14" w:rsidP="00604C3D">
      <w:pPr>
        <w:spacing w:line="269" w:lineRule="auto"/>
        <w:ind w:left="282"/>
        <w:contextualSpacing/>
        <w:rPr>
          <w:rFonts w:ascii="David" w:eastAsia="Calibri" w:hAnsi="David"/>
          <w:b/>
          <w:bCs/>
          <w:sz w:val="24"/>
          <w:rtl/>
        </w:rPr>
      </w:pPr>
    </w:p>
    <w:p w:rsidR="00082C78" w:rsidRPr="00082C78" w:rsidRDefault="00082C78" w:rsidP="00604C3D">
      <w:pPr>
        <w:spacing w:line="269" w:lineRule="auto"/>
        <w:ind w:left="680"/>
        <w:contextualSpacing/>
        <w:rPr>
          <w:rFonts w:ascii="David" w:eastAsia="Calibri" w:hAnsi="David"/>
          <w:b/>
          <w:bCs/>
          <w:sz w:val="24"/>
          <w:rtl/>
        </w:rPr>
      </w:pPr>
      <w:r w:rsidRPr="00082C78">
        <w:rPr>
          <w:rFonts w:ascii="David" w:eastAsia="Calibri" w:hAnsi="David" w:hint="cs"/>
          <w:b/>
          <w:bCs/>
          <w:sz w:val="24"/>
          <w:rtl/>
        </w:rPr>
        <w:t xml:space="preserve">מהנתונים עולה כי המשטרה השתמשה </w:t>
      </w:r>
      <w:r w:rsidRPr="0035785C">
        <w:rPr>
          <w:rFonts w:ascii="David" w:eastAsia="Calibri" w:hAnsi="David" w:hint="cs"/>
          <w:b/>
          <w:bCs/>
          <w:sz w:val="24"/>
          <w:rtl/>
        </w:rPr>
        <w:t>בעבר וכן הודיעה ל</w:t>
      </w:r>
      <w:r w:rsidR="002B2F2E" w:rsidRPr="0035785C">
        <w:rPr>
          <w:rFonts w:ascii="David" w:eastAsia="Calibri" w:hAnsi="David" w:hint="cs"/>
          <w:b/>
          <w:bCs/>
          <w:sz w:val="24"/>
          <w:rtl/>
        </w:rPr>
        <w:t>ייעוץ המשפטי לממשלה ב</w:t>
      </w:r>
      <w:r w:rsidRPr="0035785C">
        <w:rPr>
          <w:rFonts w:ascii="David" w:eastAsia="Calibri" w:hAnsi="David" w:hint="cs"/>
          <w:b/>
          <w:bCs/>
          <w:sz w:val="24"/>
          <w:rtl/>
        </w:rPr>
        <w:t xml:space="preserve">משרד המשפטים כי בכוונתה לחזור ולהשתמש בכלי </w:t>
      </w:r>
      <w:r w:rsidR="001F3E5C" w:rsidRPr="0035785C">
        <w:rPr>
          <w:rFonts w:ascii="David" w:eastAsia="Calibri" w:hAnsi="David" w:hint="cs"/>
          <w:b/>
          <w:bCs/>
          <w:sz w:val="24"/>
          <w:rtl/>
        </w:rPr>
        <w:t xml:space="preserve">מסוים </w:t>
      </w:r>
      <w:r w:rsidRPr="0035785C">
        <w:rPr>
          <w:rFonts w:ascii="David" w:eastAsia="Calibri" w:hAnsi="David" w:hint="cs"/>
          <w:b/>
          <w:bCs/>
          <w:sz w:val="24"/>
          <w:rtl/>
        </w:rPr>
        <w:t xml:space="preserve">להאזנת סתר </w:t>
      </w:r>
      <w:r w:rsidR="007C58BB" w:rsidRPr="0035785C">
        <w:rPr>
          <w:rFonts w:ascii="David" w:eastAsia="Calibri" w:hAnsi="David" w:hint="cs"/>
          <w:b/>
          <w:bCs/>
          <w:sz w:val="24"/>
          <w:rtl/>
        </w:rPr>
        <w:t>ה</w:t>
      </w:r>
      <w:r w:rsidRPr="0035785C">
        <w:rPr>
          <w:rFonts w:ascii="David" w:eastAsia="Calibri" w:hAnsi="David" w:hint="cs"/>
          <w:b/>
          <w:bCs/>
          <w:sz w:val="24"/>
          <w:rtl/>
        </w:rPr>
        <w:t>חל בספטמבר 2024 בלא קבלת אישור משפטי מהיועמ"שית לממשלה בנוגע לסמכות המשטרה להפעלתו.</w:t>
      </w:r>
      <w:r w:rsidRPr="0035785C">
        <w:rPr>
          <w:rFonts w:ascii="David" w:eastAsia="Calibri" w:hAnsi="David" w:hint="cs"/>
          <w:sz w:val="24"/>
          <w:rtl/>
        </w:rPr>
        <w:t xml:space="preserve"> </w:t>
      </w:r>
      <w:r w:rsidRPr="0035785C">
        <w:rPr>
          <w:rFonts w:ascii="David" w:eastAsia="Calibri" w:hAnsi="David" w:hint="eastAsia"/>
          <w:b/>
          <w:bCs/>
          <w:sz w:val="24"/>
          <w:rtl/>
        </w:rPr>
        <w:t>השיהוי</w:t>
      </w:r>
      <w:r w:rsidRPr="0035785C">
        <w:rPr>
          <w:rFonts w:ascii="David" w:eastAsia="Calibri" w:hAnsi="David"/>
          <w:b/>
          <w:bCs/>
          <w:sz w:val="24"/>
          <w:rtl/>
        </w:rPr>
        <w:t xml:space="preserve"> בקבלת האישור</w:t>
      </w:r>
      <w:r w:rsidRPr="0035785C">
        <w:rPr>
          <w:rFonts w:ascii="David" w:eastAsia="Calibri" w:hAnsi="David" w:hint="cs"/>
          <w:b/>
          <w:bCs/>
          <w:sz w:val="24"/>
          <w:rtl/>
        </w:rPr>
        <w:t xml:space="preserve"> מ</w:t>
      </w:r>
      <w:r w:rsidR="002B2F2E" w:rsidRPr="0035785C">
        <w:rPr>
          <w:rFonts w:ascii="David" w:eastAsia="Calibri" w:hAnsi="David" w:hint="cs"/>
          <w:b/>
          <w:bCs/>
          <w:sz w:val="24"/>
          <w:rtl/>
        </w:rPr>
        <w:t>הייעוץ המשפטי לממשלה</w:t>
      </w:r>
      <w:r w:rsidRPr="0035785C">
        <w:rPr>
          <w:rFonts w:ascii="David" w:eastAsia="Calibri" w:hAnsi="David"/>
          <w:b/>
          <w:bCs/>
          <w:sz w:val="24"/>
          <w:rtl/>
        </w:rPr>
        <w:t xml:space="preserve">, אף לאחר ניוון היכולות שאין בסמכות המשטרה </w:t>
      </w:r>
      <w:r w:rsidRPr="0035785C">
        <w:rPr>
          <w:rFonts w:ascii="David" w:eastAsia="Calibri" w:hAnsi="David" w:hint="eastAsia"/>
          <w:b/>
          <w:bCs/>
          <w:sz w:val="24"/>
          <w:rtl/>
        </w:rPr>
        <w:t>ל</w:t>
      </w:r>
      <w:r w:rsidRPr="0035785C">
        <w:rPr>
          <w:rFonts w:ascii="David" w:eastAsia="Calibri" w:hAnsi="David" w:hint="cs"/>
          <w:b/>
          <w:bCs/>
          <w:sz w:val="24"/>
          <w:rtl/>
        </w:rPr>
        <w:t>השתמש</w:t>
      </w:r>
      <w:r w:rsidRPr="0035785C">
        <w:rPr>
          <w:rFonts w:ascii="David" w:eastAsia="Calibri" w:hAnsi="David"/>
          <w:b/>
          <w:bCs/>
          <w:sz w:val="24"/>
          <w:rtl/>
        </w:rPr>
        <w:t xml:space="preserve"> </w:t>
      </w:r>
      <w:r w:rsidRPr="0035785C">
        <w:rPr>
          <w:rFonts w:ascii="David" w:eastAsia="Calibri" w:hAnsi="David" w:hint="eastAsia"/>
          <w:b/>
          <w:bCs/>
          <w:sz w:val="24"/>
          <w:rtl/>
        </w:rPr>
        <w:t>בה</w:t>
      </w:r>
      <w:r w:rsidRPr="0035785C">
        <w:rPr>
          <w:rFonts w:ascii="David" w:eastAsia="Calibri" w:hAnsi="David" w:hint="cs"/>
          <w:b/>
          <w:bCs/>
          <w:sz w:val="24"/>
          <w:rtl/>
        </w:rPr>
        <w:t>ן</w:t>
      </w:r>
      <w:r w:rsidRPr="0035785C">
        <w:rPr>
          <w:rFonts w:ascii="David" w:eastAsia="Calibri" w:hAnsi="David"/>
          <w:b/>
          <w:bCs/>
          <w:sz w:val="24"/>
          <w:rtl/>
        </w:rPr>
        <w:t xml:space="preserve">, </w:t>
      </w:r>
      <w:r w:rsidRPr="0035785C">
        <w:rPr>
          <w:rFonts w:ascii="David" w:eastAsia="Calibri" w:hAnsi="David" w:hint="eastAsia"/>
          <w:b/>
          <w:bCs/>
          <w:sz w:val="24"/>
          <w:rtl/>
        </w:rPr>
        <w:t>ע</w:t>
      </w:r>
      <w:r w:rsidRPr="0035785C">
        <w:rPr>
          <w:rFonts w:ascii="David" w:eastAsia="Calibri" w:hAnsi="David" w:hint="cs"/>
          <w:b/>
          <w:bCs/>
          <w:sz w:val="24"/>
          <w:rtl/>
        </w:rPr>
        <w:t>י</w:t>
      </w:r>
      <w:r w:rsidRPr="0035785C">
        <w:rPr>
          <w:rFonts w:ascii="David" w:eastAsia="Calibri" w:hAnsi="David" w:hint="eastAsia"/>
          <w:b/>
          <w:bCs/>
          <w:sz w:val="24"/>
          <w:rtl/>
        </w:rPr>
        <w:t>כב</w:t>
      </w:r>
      <w:r w:rsidRPr="0035785C">
        <w:rPr>
          <w:rFonts w:ascii="David" w:eastAsia="Calibri" w:hAnsi="David"/>
          <w:b/>
          <w:bCs/>
          <w:sz w:val="24"/>
          <w:rtl/>
        </w:rPr>
        <w:t xml:space="preserve"> </w:t>
      </w:r>
      <w:r w:rsidRPr="0035785C">
        <w:rPr>
          <w:rFonts w:ascii="David" w:eastAsia="Calibri" w:hAnsi="David" w:hint="eastAsia"/>
          <w:b/>
          <w:bCs/>
          <w:sz w:val="24"/>
          <w:rtl/>
        </w:rPr>
        <w:t>את</w:t>
      </w:r>
      <w:r w:rsidRPr="0035785C">
        <w:rPr>
          <w:rFonts w:ascii="David" w:eastAsia="Calibri" w:hAnsi="David"/>
          <w:b/>
          <w:bCs/>
          <w:sz w:val="24"/>
          <w:rtl/>
        </w:rPr>
        <w:t xml:space="preserve"> </w:t>
      </w:r>
      <w:r w:rsidRPr="0035785C">
        <w:rPr>
          <w:rFonts w:ascii="David" w:eastAsia="Calibri" w:hAnsi="David" w:hint="eastAsia"/>
          <w:b/>
          <w:bCs/>
          <w:sz w:val="24"/>
          <w:rtl/>
        </w:rPr>
        <w:t>הפעלת</w:t>
      </w:r>
      <w:r w:rsidRPr="0035785C">
        <w:rPr>
          <w:rFonts w:ascii="David" w:eastAsia="Calibri" w:hAnsi="David"/>
          <w:b/>
          <w:bCs/>
          <w:sz w:val="24"/>
          <w:rtl/>
        </w:rPr>
        <w:t xml:space="preserve"> </w:t>
      </w:r>
      <w:r w:rsidRPr="0035785C">
        <w:rPr>
          <w:rFonts w:ascii="David" w:eastAsia="Calibri" w:hAnsi="David" w:hint="eastAsia"/>
          <w:b/>
          <w:bCs/>
          <w:sz w:val="24"/>
          <w:rtl/>
        </w:rPr>
        <w:t>הכלי</w:t>
      </w:r>
      <w:r w:rsidRPr="0035785C">
        <w:rPr>
          <w:rFonts w:ascii="David" w:eastAsia="Calibri" w:hAnsi="David"/>
          <w:b/>
          <w:bCs/>
          <w:sz w:val="24"/>
          <w:rtl/>
        </w:rPr>
        <w:t xml:space="preserve"> </w:t>
      </w:r>
      <w:r w:rsidRPr="0035785C">
        <w:rPr>
          <w:rFonts w:ascii="David" w:eastAsia="Calibri" w:hAnsi="David" w:hint="eastAsia"/>
          <w:b/>
          <w:bCs/>
          <w:sz w:val="24"/>
          <w:rtl/>
        </w:rPr>
        <w:t>בחודשים</w:t>
      </w:r>
      <w:r w:rsidRPr="00082C78">
        <w:rPr>
          <w:rFonts w:ascii="David" w:eastAsia="Calibri" w:hAnsi="David"/>
          <w:b/>
          <w:bCs/>
          <w:sz w:val="24"/>
          <w:rtl/>
        </w:rPr>
        <w:t xml:space="preserve"> </w:t>
      </w:r>
      <w:r w:rsidRPr="00082C78">
        <w:rPr>
          <w:rFonts w:ascii="David" w:eastAsia="Calibri" w:hAnsi="David" w:hint="eastAsia"/>
          <w:b/>
          <w:bCs/>
          <w:sz w:val="24"/>
          <w:rtl/>
        </w:rPr>
        <w:t>ארוכים</w:t>
      </w:r>
      <w:r w:rsidRPr="00082C78">
        <w:rPr>
          <w:rFonts w:ascii="David" w:eastAsia="Calibri" w:hAnsi="David"/>
          <w:b/>
          <w:bCs/>
          <w:sz w:val="24"/>
          <w:rtl/>
        </w:rPr>
        <w:t xml:space="preserve"> </w:t>
      </w:r>
      <w:r w:rsidRPr="00082C78">
        <w:rPr>
          <w:rFonts w:ascii="David" w:eastAsia="Calibri" w:hAnsi="David" w:hint="eastAsia"/>
          <w:b/>
          <w:bCs/>
          <w:sz w:val="24"/>
          <w:rtl/>
        </w:rPr>
        <w:t>ועלול</w:t>
      </w:r>
      <w:r w:rsidRPr="00082C78">
        <w:rPr>
          <w:rFonts w:ascii="David" w:eastAsia="Calibri" w:hAnsi="David"/>
          <w:b/>
          <w:bCs/>
          <w:sz w:val="24"/>
          <w:rtl/>
        </w:rPr>
        <w:t xml:space="preserve"> </w:t>
      </w:r>
      <w:r w:rsidRPr="00082C78">
        <w:rPr>
          <w:rFonts w:ascii="David" w:eastAsia="Calibri" w:hAnsi="David" w:hint="cs"/>
          <w:b/>
          <w:bCs/>
          <w:sz w:val="24"/>
          <w:rtl/>
        </w:rPr>
        <w:t xml:space="preserve">היה </w:t>
      </w:r>
      <w:r w:rsidRPr="00082C78">
        <w:rPr>
          <w:rFonts w:ascii="David" w:eastAsia="Calibri" w:hAnsi="David" w:hint="eastAsia"/>
          <w:b/>
          <w:bCs/>
          <w:sz w:val="24"/>
          <w:rtl/>
        </w:rPr>
        <w:t>לפגוע</w:t>
      </w:r>
      <w:r w:rsidRPr="00082C78">
        <w:rPr>
          <w:rFonts w:ascii="David" w:eastAsia="Calibri" w:hAnsi="David"/>
          <w:b/>
          <w:bCs/>
          <w:sz w:val="24"/>
          <w:rtl/>
        </w:rPr>
        <w:t xml:space="preserve"> </w:t>
      </w:r>
      <w:r w:rsidRPr="00082C78">
        <w:rPr>
          <w:rFonts w:ascii="David" w:eastAsia="Calibri" w:hAnsi="David" w:hint="eastAsia"/>
          <w:b/>
          <w:bCs/>
          <w:sz w:val="24"/>
          <w:rtl/>
        </w:rPr>
        <w:t>ביכולת</w:t>
      </w:r>
      <w:r w:rsidRPr="00082C78">
        <w:rPr>
          <w:rFonts w:ascii="David" w:eastAsia="Calibri" w:hAnsi="David"/>
          <w:b/>
          <w:bCs/>
          <w:sz w:val="24"/>
          <w:rtl/>
        </w:rPr>
        <w:t xml:space="preserve"> </w:t>
      </w:r>
      <w:r w:rsidRPr="00082C78">
        <w:rPr>
          <w:rFonts w:ascii="David" w:eastAsia="Calibri" w:hAnsi="David" w:hint="eastAsia"/>
          <w:b/>
          <w:bCs/>
          <w:sz w:val="24"/>
          <w:rtl/>
        </w:rPr>
        <w:t>המשטרה</w:t>
      </w:r>
      <w:r w:rsidRPr="00082C78">
        <w:rPr>
          <w:rFonts w:ascii="David" w:eastAsia="Calibri" w:hAnsi="David"/>
          <w:b/>
          <w:bCs/>
          <w:sz w:val="24"/>
          <w:rtl/>
        </w:rPr>
        <w:t xml:space="preserve"> </w:t>
      </w:r>
      <w:r w:rsidRPr="00082C78">
        <w:rPr>
          <w:rFonts w:ascii="David" w:eastAsia="Calibri" w:hAnsi="David" w:hint="eastAsia"/>
          <w:b/>
          <w:bCs/>
          <w:sz w:val="24"/>
          <w:rtl/>
        </w:rPr>
        <w:t>להילחם</w:t>
      </w:r>
      <w:r w:rsidRPr="00082C78">
        <w:rPr>
          <w:rFonts w:ascii="David" w:eastAsia="Calibri" w:hAnsi="David"/>
          <w:b/>
          <w:bCs/>
          <w:sz w:val="24"/>
          <w:rtl/>
        </w:rPr>
        <w:t xml:space="preserve"> </w:t>
      </w:r>
      <w:r w:rsidRPr="00082C78">
        <w:rPr>
          <w:rFonts w:ascii="David" w:eastAsia="Calibri" w:hAnsi="David" w:hint="eastAsia"/>
          <w:b/>
          <w:bCs/>
          <w:sz w:val="24"/>
          <w:rtl/>
        </w:rPr>
        <w:t>בפשיעה</w:t>
      </w:r>
      <w:r w:rsidRPr="00082C78">
        <w:rPr>
          <w:rFonts w:ascii="David" w:eastAsia="Calibri" w:hAnsi="David"/>
          <w:b/>
          <w:bCs/>
          <w:sz w:val="24"/>
          <w:rtl/>
        </w:rPr>
        <w:t xml:space="preserve"> </w:t>
      </w:r>
      <w:r w:rsidRPr="00082C78">
        <w:rPr>
          <w:rFonts w:ascii="David" w:eastAsia="Calibri" w:hAnsi="David" w:hint="eastAsia"/>
          <w:b/>
          <w:bCs/>
          <w:sz w:val="24"/>
          <w:rtl/>
        </w:rPr>
        <w:t>החמורה</w:t>
      </w:r>
      <w:r w:rsidRPr="00082C78">
        <w:rPr>
          <w:rFonts w:ascii="David" w:eastAsia="Calibri" w:hAnsi="David" w:hint="cs"/>
          <w:b/>
          <w:bCs/>
          <w:sz w:val="24"/>
          <w:rtl/>
        </w:rPr>
        <w:t xml:space="preserve"> ולמנוע עבירות.</w:t>
      </w:r>
    </w:p>
    <w:p w:rsidR="00082C78" w:rsidRPr="00082C78" w:rsidRDefault="00082C78" w:rsidP="00604C3D">
      <w:pPr>
        <w:spacing w:line="269" w:lineRule="auto"/>
        <w:ind w:left="282"/>
        <w:contextualSpacing/>
        <w:rPr>
          <w:rFonts w:ascii="David" w:eastAsia="Calibri" w:hAnsi="David"/>
          <w:b/>
          <w:bCs/>
          <w:sz w:val="24"/>
          <w:rtl/>
        </w:rPr>
      </w:pPr>
      <w:r w:rsidRPr="00082C78">
        <w:rPr>
          <w:rFonts w:ascii="David" w:eastAsia="Calibri" w:hAnsi="David" w:hint="cs"/>
          <w:b/>
          <w:bCs/>
          <w:sz w:val="24"/>
          <w:rtl/>
        </w:rPr>
        <w:t xml:space="preserve"> </w:t>
      </w:r>
    </w:p>
    <w:p w:rsidR="00082C78" w:rsidRDefault="00082C78" w:rsidP="00604C3D">
      <w:pPr>
        <w:spacing w:line="269" w:lineRule="auto"/>
        <w:ind w:left="680"/>
        <w:contextualSpacing/>
        <w:rPr>
          <w:rFonts w:ascii="David" w:eastAsia="Calibri" w:hAnsi="David"/>
          <w:b/>
          <w:bCs/>
          <w:sz w:val="24"/>
          <w:rtl/>
        </w:rPr>
      </w:pPr>
      <w:r w:rsidRPr="00082C78">
        <w:rPr>
          <w:rFonts w:ascii="David" w:eastAsia="Calibri" w:hAnsi="David" w:hint="cs"/>
          <w:b/>
          <w:bCs/>
          <w:sz w:val="24"/>
          <w:rtl/>
        </w:rPr>
        <w:t>משרד מבקר המדינה מעיר כי מן הראוי שהאישור המשתמע של</w:t>
      </w:r>
      <w:r w:rsidR="00382AE8">
        <w:rPr>
          <w:rFonts w:ascii="David" w:eastAsia="Calibri" w:hAnsi="David" w:hint="cs"/>
          <w:b/>
          <w:bCs/>
          <w:sz w:val="24"/>
          <w:rtl/>
        </w:rPr>
        <w:t xml:space="preserve"> </w:t>
      </w:r>
      <w:r w:rsidR="002B2F2E">
        <w:rPr>
          <w:rFonts w:ascii="David" w:eastAsia="Calibri" w:hAnsi="David" w:hint="cs"/>
          <w:b/>
          <w:bCs/>
          <w:sz w:val="24"/>
          <w:rtl/>
        </w:rPr>
        <w:t>הייעוץ המשפטי לממשלה ב</w:t>
      </w:r>
      <w:r w:rsidRPr="00082C78">
        <w:rPr>
          <w:rFonts w:ascii="David" w:eastAsia="Calibri" w:hAnsi="David" w:hint="cs"/>
          <w:b/>
          <w:bCs/>
          <w:sz w:val="24"/>
          <w:rtl/>
        </w:rPr>
        <w:t xml:space="preserve">משרד המשפטים מספטמבר 2024 לשימוש המשטרה ביכולות שיש בהן פגיעה בזכויות אדם יינתן בפירוש ובכתב, תוך ביסוסו על נימוקים רלוונטיים. </w:t>
      </w:r>
    </w:p>
    <w:p w:rsidR="00122E00" w:rsidRPr="00082C78" w:rsidRDefault="00122E00" w:rsidP="00604C3D">
      <w:pPr>
        <w:spacing w:line="269" w:lineRule="auto"/>
        <w:ind w:left="282"/>
        <w:contextualSpacing/>
        <w:rPr>
          <w:rFonts w:ascii="David" w:eastAsia="Calibri" w:hAnsi="David"/>
          <w:b/>
          <w:bCs/>
          <w:sz w:val="24"/>
          <w:rtl/>
        </w:rPr>
      </w:pPr>
    </w:p>
    <w:p w:rsidR="00082C78" w:rsidRPr="00082C78" w:rsidRDefault="00082C78" w:rsidP="008C598D">
      <w:pPr>
        <w:pStyle w:val="4"/>
        <w:numPr>
          <w:ilvl w:val="1"/>
          <w:numId w:val="43"/>
        </w:numPr>
        <w:spacing w:before="0" w:line="269" w:lineRule="auto"/>
        <w:ind w:left="367"/>
        <w:rPr>
          <w:rFonts w:eastAsia="Times New Roman"/>
          <w:bCs w:val="0"/>
          <w:rtl/>
        </w:rPr>
      </w:pPr>
      <w:bookmarkStart w:id="170" w:name="_Toc156160958"/>
      <w:bookmarkStart w:id="171" w:name="_Toc156386080"/>
      <w:bookmarkStart w:id="172" w:name="_Toc219110309"/>
      <w:bookmarkStart w:id="173" w:name="_Toc219113750"/>
      <w:bookmarkStart w:id="174" w:name="_Toc219286525"/>
      <w:bookmarkStart w:id="175" w:name="_Toc211521919"/>
      <w:bookmarkStart w:id="176" w:name="_Hlk144049461"/>
      <w:bookmarkEnd w:id="170"/>
      <w:bookmarkEnd w:id="171"/>
      <w:r w:rsidRPr="00122E00">
        <w:rPr>
          <w:rFonts w:eastAsia="Times New Roman" w:hint="eastAsia"/>
          <w:rtl/>
        </w:rPr>
        <w:t>אישור</w:t>
      </w:r>
      <w:r w:rsidRPr="00082C78">
        <w:rPr>
          <w:rFonts w:eastAsia="Times New Roman"/>
          <w:bCs w:val="0"/>
          <w:rtl/>
        </w:rPr>
        <w:t xml:space="preserve"> </w:t>
      </w:r>
      <w:r w:rsidRPr="00CF0395">
        <w:rPr>
          <w:rStyle w:val="40"/>
          <w:rFonts w:hint="eastAsia"/>
          <w:rtl/>
        </w:rPr>
        <w:t>ה</w:t>
      </w:r>
      <w:r w:rsidRPr="00CF0395">
        <w:rPr>
          <w:rStyle w:val="40"/>
          <w:rtl/>
        </w:rPr>
        <w:t>שימוש</w:t>
      </w:r>
      <w:r w:rsidRPr="00122E00">
        <w:rPr>
          <w:rFonts w:eastAsia="Times New Roman"/>
          <w:rtl/>
        </w:rPr>
        <w:t xml:space="preserve"> </w:t>
      </w:r>
      <w:r w:rsidRPr="00122E00">
        <w:rPr>
          <w:rFonts w:eastAsia="Times New Roman" w:hint="eastAsia"/>
          <w:rtl/>
        </w:rPr>
        <w:t>בכלי</w:t>
      </w:r>
      <w:r w:rsidRPr="00122E00">
        <w:rPr>
          <w:rFonts w:eastAsia="Times New Roman"/>
          <w:rtl/>
        </w:rPr>
        <w:t xml:space="preserve"> </w:t>
      </w:r>
      <w:r w:rsidRPr="00122E00">
        <w:rPr>
          <w:rFonts w:eastAsia="Times New Roman" w:hint="eastAsia"/>
          <w:rtl/>
        </w:rPr>
        <w:t>לאיסוף</w:t>
      </w:r>
      <w:r w:rsidRPr="00122E00">
        <w:rPr>
          <w:rFonts w:eastAsia="Times New Roman"/>
          <w:rtl/>
        </w:rPr>
        <w:t xml:space="preserve"> מידע</w:t>
      </w:r>
      <w:bookmarkEnd w:id="172"/>
      <w:bookmarkEnd w:id="173"/>
      <w:bookmarkEnd w:id="174"/>
      <w:r w:rsidRPr="00082C78">
        <w:rPr>
          <w:rFonts w:eastAsia="Times New Roman"/>
          <w:bCs w:val="0"/>
          <w:rtl/>
        </w:rPr>
        <w:t xml:space="preserve"> </w:t>
      </w:r>
      <w:bookmarkEnd w:id="175"/>
    </w:p>
    <w:p w:rsidR="00271D14" w:rsidRDefault="00271D14" w:rsidP="00604C3D">
      <w:pPr>
        <w:spacing w:line="269" w:lineRule="auto"/>
        <w:ind w:left="-2"/>
        <w:contextualSpacing/>
        <w:rPr>
          <w:rFonts w:ascii="David" w:eastAsia="Calibri" w:hAnsi="David"/>
          <w:sz w:val="24"/>
          <w:rtl/>
        </w:rPr>
      </w:pPr>
    </w:p>
    <w:p w:rsidR="005A7497" w:rsidRDefault="00082C78" w:rsidP="00C9417D">
      <w:pPr>
        <w:spacing w:line="269" w:lineRule="auto"/>
        <w:ind w:left="340"/>
        <w:contextualSpacing/>
        <w:rPr>
          <w:rFonts w:ascii="David" w:eastAsia="Calibri" w:hAnsi="David"/>
          <w:sz w:val="24"/>
          <w:rtl/>
        </w:rPr>
      </w:pPr>
      <w:r w:rsidRPr="00082C78">
        <w:rPr>
          <w:rFonts w:ascii="David" w:eastAsia="Calibri" w:hAnsi="David" w:hint="eastAsia"/>
          <w:sz w:val="24"/>
          <w:rtl/>
        </w:rPr>
        <w:t>כלי</w:t>
      </w:r>
      <w:r w:rsidRPr="00082C78">
        <w:rPr>
          <w:rFonts w:ascii="David" w:eastAsia="Calibri" w:hAnsi="David"/>
          <w:sz w:val="24"/>
          <w:rtl/>
        </w:rPr>
        <w:t xml:space="preserve"> זה</w:t>
      </w:r>
      <w:r w:rsidR="00382AE8">
        <w:rPr>
          <w:rFonts w:ascii="David" w:eastAsia="Calibri" w:hAnsi="David"/>
          <w:sz w:val="24"/>
          <w:rtl/>
        </w:rPr>
        <w:t xml:space="preserve"> </w:t>
      </w:r>
      <w:r w:rsidRPr="00082C78">
        <w:rPr>
          <w:rFonts w:ascii="David" w:eastAsia="Calibri" w:hAnsi="David"/>
          <w:sz w:val="24"/>
          <w:rtl/>
        </w:rPr>
        <w:t>משמש את המשטרה משנת</w:t>
      </w:r>
      <w:r w:rsidRPr="00082C78">
        <w:rPr>
          <w:rFonts w:ascii="David" w:eastAsia="Calibri" w:hAnsi="David"/>
          <w:sz w:val="24"/>
        </w:rPr>
        <w:t xml:space="preserve"> </w:t>
      </w:r>
      <w:r w:rsidRPr="00082C78">
        <w:rPr>
          <w:rFonts w:ascii="David" w:eastAsia="Calibri" w:hAnsi="David"/>
          <w:sz w:val="24"/>
          <w:rtl/>
        </w:rPr>
        <w:t>2017</w:t>
      </w:r>
      <w:r w:rsidR="005A7497">
        <w:rPr>
          <w:rFonts w:ascii="David" w:eastAsia="Calibri" w:hAnsi="David" w:hint="cs"/>
          <w:sz w:val="24"/>
          <w:rtl/>
        </w:rPr>
        <w:t>.</w:t>
      </w:r>
      <w:r w:rsidRPr="00082C78">
        <w:rPr>
          <w:rFonts w:ascii="David" w:eastAsia="Calibri" w:hAnsi="David"/>
          <w:sz w:val="24"/>
          <w:rtl/>
        </w:rPr>
        <w:t xml:space="preserve"> </w:t>
      </w:r>
    </w:p>
    <w:p w:rsidR="00271D14" w:rsidRDefault="00271D14" w:rsidP="00C9417D">
      <w:pPr>
        <w:spacing w:line="269" w:lineRule="auto"/>
        <w:ind w:left="340"/>
        <w:contextualSpacing/>
        <w:rPr>
          <w:rFonts w:ascii="David" w:eastAsia="Calibri" w:hAnsi="David"/>
          <w:sz w:val="24"/>
          <w:rtl/>
        </w:rPr>
      </w:pPr>
    </w:p>
    <w:p w:rsidR="00082C78" w:rsidRPr="00082C78" w:rsidRDefault="00082C78" w:rsidP="00C9417D">
      <w:pPr>
        <w:spacing w:line="269" w:lineRule="auto"/>
        <w:ind w:left="340"/>
        <w:contextualSpacing/>
        <w:rPr>
          <w:rFonts w:ascii="David" w:eastAsia="Calibri" w:hAnsi="David"/>
          <w:sz w:val="24"/>
          <w:rtl/>
        </w:rPr>
      </w:pPr>
      <w:r w:rsidRPr="00082C78">
        <w:rPr>
          <w:rFonts w:ascii="David" w:eastAsia="Calibri" w:hAnsi="David" w:hint="cs"/>
          <w:sz w:val="24"/>
          <w:rtl/>
        </w:rPr>
        <w:t>בשנת 2017 קבע היועמ"ש ל</w:t>
      </w:r>
      <w:r w:rsidRPr="00082C78">
        <w:rPr>
          <w:rFonts w:ascii="David" w:eastAsia="Calibri" w:hAnsi="David" w:hint="eastAsia"/>
          <w:sz w:val="24"/>
          <w:rtl/>
        </w:rPr>
        <w:t>משטרה</w:t>
      </w:r>
      <w:r w:rsidRPr="00082C78">
        <w:rPr>
          <w:rFonts w:ascii="David" w:eastAsia="Calibri" w:hAnsi="David"/>
          <w:sz w:val="24"/>
          <w:rtl/>
        </w:rPr>
        <w:t xml:space="preserve"> </w:t>
      </w:r>
      <w:r w:rsidRPr="00082C78">
        <w:rPr>
          <w:rFonts w:ascii="David" w:eastAsia="Calibri" w:hAnsi="David" w:hint="eastAsia"/>
          <w:sz w:val="24"/>
          <w:rtl/>
        </w:rPr>
        <w:t>כי</w:t>
      </w:r>
      <w:r w:rsidRPr="00082C78">
        <w:rPr>
          <w:rFonts w:ascii="David" w:eastAsia="Calibri" w:hAnsi="David"/>
          <w:sz w:val="24"/>
          <w:rtl/>
        </w:rPr>
        <w:t xml:space="preserve"> </w:t>
      </w:r>
      <w:r w:rsidRPr="00082C78">
        <w:rPr>
          <w:rFonts w:ascii="David" w:eastAsia="Calibri" w:hAnsi="David" w:hint="cs"/>
          <w:sz w:val="24"/>
          <w:rtl/>
        </w:rPr>
        <w:t xml:space="preserve">ניתן </w:t>
      </w:r>
      <w:r w:rsidRPr="00082C78">
        <w:rPr>
          <w:rFonts w:ascii="David" w:eastAsia="Calibri" w:hAnsi="David" w:hint="eastAsia"/>
          <w:sz w:val="24"/>
          <w:rtl/>
        </w:rPr>
        <w:t>ל</w:t>
      </w:r>
      <w:r w:rsidRPr="00082C78">
        <w:rPr>
          <w:rFonts w:ascii="David" w:eastAsia="Calibri" w:hAnsi="David" w:hint="cs"/>
          <w:sz w:val="24"/>
          <w:rtl/>
        </w:rPr>
        <w:t>השתמש</w:t>
      </w:r>
      <w:r w:rsidRPr="00082C78">
        <w:rPr>
          <w:rFonts w:ascii="David" w:eastAsia="Calibri" w:hAnsi="David"/>
          <w:sz w:val="24"/>
          <w:rtl/>
        </w:rPr>
        <w:t xml:space="preserve"> </w:t>
      </w:r>
      <w:r w:rsidRPr="00082C78">
        <w:rPr>
          <w:rFonts w:ascii="David" w:eastAsia="Calibri" w:hAnsi="David" w:hint="eastAsia"/>
          <w:sz w:val="24"/>
          <w:rtl/>
        </w:rPr>
        <w:t>ב</w:t>
      </w:r>
      <w:r w:rsidRPr="00082C78">
        <w:rPr>
          <w:rFonts w:ascii="David" w:eastAsia="Calibri" w:hAnsi="David" w:hint="cs"/>
          <w:sz w:val="24"/>
          <w:rtl/>
        </w:rPr>
        <w:t>כלי</w:t>
      </w:r>
      <w:r w:rsidRPr="00082C78">
        <w:rPr>
          <w:rFonts w:ascii="David" w:eastAsia="Calibri" w:hAnsi="David"/>
          <w:sz w:val="24"/>
          <w:rtl/>
        </w:rPr>
        <w:t xml:space="preserve"> </w:t>
      </w:r>
      <w:r w:rsidRPr="00082C78">
        <w:rPr>
          <w:rFonts w:ascii="David" w:eastAsia="Calibri" w:hAnsi="David" w:hint="cs"/>
          <w:sz w:val="24"/>
          <w:rtl/>
        </w:rPr>
        <w:t xml:space="preserve">לצרכים מבצעיים, </w:t>
      </w:r>
      <w:r w:rsidRPr="00082C78">
        <w:rPr>
          <w:rFonts w:ascii="David" w:eastAsia="Calibri" w:hAnsi="David" w:hint="eastAsia"/>
          <w:sz w:val="24"/>
          <w:rtl/>
        </w:rPr>
        <w:t>בא</w:t>
      </w:r>
      <w:r w:rsidRPr="00082C78">
        <w:rPr>
          <w:rFonts w:ascii="David" w:eastAsia="Calibri" w:hAnsi="David" w:hint="cs"/>
          <w:sz w:val="24"/>
          <w:rtl/>
        </w:rPr>
        <w:t>זור</w:t>
      </w:r>
      <w:r w:rsidRPr="00082C78">
        <w:rPr>
          <w:rFonts w:ascii="David" w:eastAsia="Calibri" w:hAnsi="David"/>
          <w:sz w:val="24"/>
          <w:rtl/>
        </w:rPr>
        <w:t xml:space="preserve"> </w:t>
      </w:r>
      <w:r w:rsidRPr="00082C78">
        <w:rPr>
          <w:rFonts w:ascii="David" w:eastAsia="Calibri" w:hAnsi="David" w:hint="eastAsia"/>
          <w:sz w:val="24"/>
          <w:rtl/>
        </w:rPr>
        <w:t>נקודתי</w:t>
      </w:r>
      <w:r w:rsidRPr="00082C78">
        <w:rPr>
          <w:rFonts w:ascii="David" w:eastAsia="Calibri" w:hAnsi="David" w:hint="cs"/>
          <w:sz w:val="24"/>
          <w:rtl/>
        </w:rPr>
        <w:t>,</w:t>
      </w:r>
      <w:r w:rsidRPr="00082C78">
        <w:rPr>
          <w:rFonts w:ascii="David" w:eastAsia="Calibri" w:hAnsi="David"/>
          <w:sz w:val="24"/>
          <w:rtl/>
        </w:rPr>
        <w:t xml:space="preserve"> </w:t>
      </w:r>
      <w:r w:rsidRPr="00082C78">
        <w:rPr>
          <w:rFonts w:ascii="David" w:eastAsia="Calibri" w:hAnsi="David" w:hint="eastAsia"/>
          <w:sz w:val="24"/>
          <w:rtl/>
        </w:rPr>
        <w:t>אף</w:t>
      </w:r>
      <w:r w:rsidRPr="00082C78">
        <w:rPr>
          <w:rFonts w:ascii="David" w:eastAsia="Calibri" w:hAnsi="David"/>
          <w:sz w:val="24"/>
          <w:rtl/>
        </w:rPr>
        <w:t xml:space="preserve"> </w:t>
      </w:r>
      <w:r w:rsidRPr="00082C78">
        <w:rPr>
          <w:rFonts w:ascii="David" w:eastAsia="Calibri" w:hAnsi="David" w:hint="eastAsia"/>
          <w:sz w:val="24"/>
          <w:rtl/>
        </w:rPr>
        <w:t>ללא</w:t>
      </w:r>
      <w:r w:rsidRPr="00082C78">
        <w:rPr>
          <w:rFonts w:ascii="David" w:eastAsia="Calibri" w:hAnsi="David"/>
          <w:sz w:val="24"/>
          <w:rtl/>
        </w:rPr>
        <w:t xml:space="preserve"> </w:t>
      </w:r>
      <w:r w:rsidRPr="00082C78">
        <w:rPr>
          <w:rFonts w:ascii="David" w:eastAsia="Calibri" w:hAnsi="David" w:hint="eastAsia"/>
          <w:sz w:val="24"/>
          <w:rtl/>
        </w:rPr>
        <w:t>קבלת</w:t>
      </w:r>
      <w:r w:rsidRPr="00082C78">
        <w:rPr>
          <w:rFonts w:ascii="David" w:eastAsia="Calibri" w:hAnsi="David"/>
          <w:sz w:val="24"/>
          <w:rtl/>
        </w:rPr>
        <w:t xml:space="preserve"> </w:t>
      </w:r>
      <w:r w:rsidRPr="00082C78">
        <w:rPr>
          <w:rFonts w:ascii="David" w:eastAsia="Calibri" w:hAnsi="David" w:hint="eastAsia"/>
          <w:sz w:val="24"/>
          <w:rtl/>
        </w:rPr>
        <w:t>צו</w:t>
      </w:r>
      <w:r w:rsidRPr="00082C78">
        <w:rPr>
          <w:rFonts w:ascii="David" w:eastAsia="Calibri" w:hAnsi="David" w:hint="cs"/>
          <w:sz w:val="24"/>
          <w:rtl/>
        </w:rPr>
        <w:t xml:space="preserve"> שיפוטי. כמו כן הוא </w:t>
      </w:r>
      <w:r w:rsidRPr="00082C78">
        <w:rPr>
          <w:rFonts w:ascii="David" w:eastAsia="Calibri" w:hAnsi="David" w:hint="eastAsia"/>
          <w:sz w:val="24"/>
          <w:rtl/>
        </w:rPr>
        <w:t>הורה</w:t>
      </w:r>
      <w:r w:rsidRPr="00082C78">
        <w:rPr>
          <w:rFonts w:ascii="David" w:eastAsia="Calibri" w:hAnsi="David"/>
          <w:sz w:val="24"/>
          <w:rtl/>
        </w:rPr>
        <w:t xml:space="preserve"> </w:t>
      </w:r>
      <w:r w:rsidRPr="00082C78">
        <w:rPr>
          <w:rFonts w:ascii="David" w:eastAsia="Calibri" w:hAnsi="David" w:hint="cs"/>
          <w:sz w:val="24"/>
          <w:rtl/>
        </w:rPr>
        <w:t xml:space="preserve">לחטיבת הסייבר </w:t>
      </w:r>
      <w:r w:rsidRPr="00082C78">
        <w:rPr>
          <w:rFonts w:ascii="David" w:eastAsia="Calibri" w:hAnsi="David" w:hint="eastAsia"/>
          <w:sz w:val="24"/>
          <w:rtl/>
        </w:rPr>
        <w:t>לכתוב</w:t>
      </w:r>
      <w:r w:rsidRPr="00082C78">
        <w:rPr>
          <w:rFonts w:ascii="David" w:eastAsia="Calibri" w:hAnsi="David"/>
          <w:sz w:val="24"/>
          <w:rtl/>
        </w:rPr>
        <w:t xml:space="preserve"> </w:t>
      </w:r>
      <w:r w:rsidRPr="00082C78">
        <w:rPr>
          <w:rFonts w:ascii="David" w:eastAsia="Calibri" w:hAnsi="David" w:hint="eastAsia"/>
          <w:sz w:val="24"/>
          <w:rtl/>
        </w:rPr>
        <w:t>נוהל</w:t>
      </w:r>
      <w:r w:rsidRPr="00082C78">
        <w:rPr>
          <w:rFonts w:ascii="David" w:eastAsia="Calibri" w:hAnsi="David"/>
          <w:sz w:val="24"/>
          <w:rtl/>
        </w:rPr>
        <w:t xml:space="preserve"> </w:t>
      </w:r>
      <w:r w:rsidRPr="00082C78">
        <w:rPr>
          <w:rFonts w:ascii="David" w:eastAsia="Calibri" w:hAnsi="David" w:hint="eastAsia"/>
          <w:sz w:val="24"/>
          <w:rtl/>
        </w:rPr>
        <w:t>עבודה</w:t>
      </w:r>
      <w:r w:rsidRPr="00082C78">
        <w:rPr>
          <w:rFonts w:ascii="David" w:eastAsia="Calibri" w:hAnsi="David"/>
          <w:sz w:val="24"/>
          <w:rtl/>
        </w:rPr>
        <w:t xml:space="preserve"> </w:t>
      </w:r>
      <w:r w:rsidRPr="00082C78">
        <w:rPr>
          <w:rFonts w:ascii="David" w:eastAsia="Calibri" w:hAnsi="David" w:hint="cs"/>
          <w:sz w:val="24"/>
          <w:rtl/>
        </w:rPr>
        <w:t>לשימוש בכלי</w:t>
      </w:r>
      <w:r w:rsidRPr="00082C78">
        <w:rPr>
          <w:rFonts w:ascii="David" w:eastAsia="Calibri" w:hAnsi="David"/>
          <w:sz w:val="24"/>
          <w:rtl/>
        </w:rPr>
        <w:t xml:space="preserve"> </w:t>
      </w:r>
      <w:r w:rsidRPr="00082C78">
        <w:rPr>
          <w:rFonts w:ascii="David" w:eastAsia="Calibri" w:hAnsi="David" w:hint="cs"/>
          <w:sz w:val="24"/>
          <w:rtl/>
        </w:rPr>
        <w:t>ולהעבירו</w:t>
      </w:r>
      <w:r w:rsidRPr="00082C78">
        <w:rPr>
          <w:rFonts w:ascii="David" w:eastAsia="Calibri" w:hAnsi="David"/>
          <w:sz w:val="24"/>
          <w:rtl/>
        </w:rPr>
        <w:t xml:space="preserve"> </w:t>
      </w:r>
      <w:r w:rsidRPr="00082C78">
        <w:rPr>
          <w:rFonts w:ascii="David" w:eastAsia="Calibri" w:hAnsi="David" w:hint="eastAsia"/>
          <w:sz w:val="24"/>
          <w:rtl/>
        </w:rPr>
        <w:t>לאישורו</w:t>
      </w:r>
      <w:r w:rsidRPr="00082C78">
        <w:rPr>
          <w:rFonts w:ascii="David" w:eastAsia="Calibri" w:hAnsi="David"/>
          <w:sz w:val="24"/>
          <w:rtl/>
        </w:rPr>
        <w:t xml:space="preserve">. </w:t>
      </w:r>
    </w:p>
    <w:p w:rsidR="00082C78" w:rsidRPr="00082C78" w:rsidRDefault="00082C78" w:rsidP="00C9417D">
      <w:pPr>
        <w:spacing w:line="269" w:lineRule="auto"/>
        <w:ind w:left="340"/>
        <w:rPr>
          <w:rFonts w:eastAsia="Calibri"/>
          <w:rtl/>
        </w:rPr>
      </w:pPr>
    </w:p>
    <w:p w:rsidR="005A7497" w:rsidRDefault="00082C78" w:rsidP="00C9417D">
      <w:pPr>
        <w:spacing w:line="269" w:lineRule="auto"/>
        <w:ind w:left="340"/>
        <w:rPr>
          <w:rtl/>
        </w:rPr>
      </w:pPr>
      <w:r w:rsidRPr="00082C78">
        <w:rPr>
          <w:rFonts w:hint="cs"/>
          <w:rtl/>
        </w:rPr>
        <w:t>המשטרה כתבה בתשובתה כי הכלי עומד לבדו ואינו מחובר לשאר מערכות המשטרה. כפועל יוצא מכך וכיוון שהוא הופעל רק באזורים נקודתיים, הפעלתו באותם אזורים אינה מחייבת הוצאת צווים שיפוטיים ואינה מעלה שאלה בעלת רגישות משפטית מיוחדת המצדיקה פנייה למשרד המשפטים.</w:t>
      </w:r>
    </w:p>
    <w:p w:rsidR="00271D14" w:rsidRPr="00C86567" w:rsidRDefault="00271D14" w:rsidP="00C9417D">
      <w:pPr>
        <w:spacing w:line="269" w:lineRule="auto"/>
        <w:ind w:left="342"/>
        <w:rPr>
          <w:rtl/>
        </w:rPr>
      </w:pPr>
    </w:p>
    <w:p w:rsidR="005A7497" w:rsidRPr="00C86567" w:rsidRDefault="00082C78" w:rsidP="00C9417D">
      <w:pPr>
        <w:spacing w:line="269" w:lineRule="auto"/>
        <w:ind w:left="340"/>
        <w:rPr>
          <w:b/>
          <w:bCs/>
          <w:rtl/>
        </w:rPr>
      </w:pPr>
      <w:r w:rsidRPr="00C86567">
        <w:rPr>
          <w:rFonts w:hint="cs"/>
          <w:b/>
          <w:bCs/>
          <w:rtl/>
        </w:rPr>
        <w:t xml:space="preserve">במסגרת פעילותה המבצעית המשטרה </w:t>
      </w:r>
      <w:r w:rsidR="0042634F" w:rsidRPr="00C86567">
        <w:rPr>
          <w:rFonts w:hint="cs"/>
          <w:b/>
          <w:bCs/>
          <w:rtl/>
        </w:rPr>
        <w:t xml:space="preserve">השתמשה </w:t>
      </w:r>
      <w:r w:rsidRPr="00C86567">
        <w:rPr>
          <w:rFonts w:hint="eastAsia"/>
          <w:b/>
          <w:bCs/>
          <w:rtl/>
        </w:rPr>
        <w:t>כ</w:t>
      </w:r>
      <w:r w:rsidRPr="00C86567">
        <w:rPr>
          <w:rFonts w:hint="cs"/>
          <w:b/>
          <w:bCs/>
          <w:rtl/>
        </w:rPr>
        <w:t>שש</w:t>
      </w:r>
      <w:r w:rsidRPr="00C86567">
        <w:rPr>
          <w:b/>
          <w:bCs/>
          <w:rtl/>
        </w:rPr>
        <w:t xml:space="preserve"> </w:t>
      </w:r>
      <w:r w:rsidRPr="00C86567">
        <w:rPr>
          <w:rFonts w:hint="eastAsia"/>
          <w:b/>
          <w:bCs/>
          <w:rtl/>
        </w:rPr>
        <w:t>שנים</w:t>
      </w:r>
      <w:r w:rsidRPr="00C86567">
        <w:rPr>
          <w:rFonts w:hint="cs"/>
          <w:b/>
          <w:bCs/>
          <w:rtl/>
        </w:rPr>
        <w:t xml:space="preserve"> בכלי האוסף נתונים על סמך אישור של הייעוץ המשפטי למשטרה </w:t>
      </w:r>
      <w:r w:rsidR="00EB1451" w:rsidRPr="00C86567">
        <w:rPr>
          <w:rFonts w:hint="cs"/>
          <w:b/>
          <w:bCs/>
          <w:rtl/>
        </w:rPr>
        <w:t xml:space="preserve">משנת 2017 </w:t>
      </w:r>
      <w:r w:rsidRPr="00C86567">
        <w:rPr>
          <w:rFonts w:hint="cs"/>
          <w:b/>
          <w:bCs/>
          <w:rtl/>
        </w:rPr>
        <w:t xml:space="preserve">אשר פטר את המשטרה מהצורך לקבל צו שיפוטי לצורך השימוש בו. נמצא כי במשך כארבע שנים, עד לשנת 2021, האישור המשפטי לשימוש בכלי ניתן </w:t>
      </w:r>
      <w:r w:rsidRPr="00C86567">
        <w:rPr>
          <w:rFonts w:ascii="David" w:eastAsia="Calibri" w:hAnsi="David" w:hint="cs"/>
          <w:b/>
          <w:bCs/>
          <w:sz w:val="24"/>
          <w:rtl/>
        </w:rPr>
        <w:t>על</w:t>
      </w:r>
      <w:r w:rsidRPr="00C86567">
        <w:rPr>
          <w:rFonts w:hint="cs"/>
          <w:b/>
          <w:bCs/>
          <w:rtl/>
        </w:rPr>
        <w:t xml:space="preserve"> ידי היועמ"ש למשטרה בלבד, בלי שהייעוץ המשפטי לממשלה קיבל מידע על קיומו ובלי שהונחה חוות דעת משפטית המנמקת את העמדה המתירה לעשות שימוש בכלי וכן את העמדה ולפיה שימוש זה יכול שייעשה ללא צו שיפוטי.</w:t>
      </w:r>
      <w:r w:rsidRPr="00C86567">
        <w:rPr>
          <w:rFonts w:hint="cs"/>
          <w:b/>
          <w:bCs/>
        </w:rPr>
        <w:t xml:space="preserve"> </w:t>
      </w:r>
    </w:p>
    <w:p w:rsidR="00271D14" w:rsidRDefault="00271D14" w:rsidP="00C9417D">
      <w:pPr>
        <w:spacing w:line="269" w:lineRule="auto"/>
        <w:ind w:left="340"/>
        <w:rPr>
          <w:rFonts w:ascii="David" w:eastAsia="Calibri" w:hAnsi="David"/>
          <w:sz w:val="24"/>
          <w:rtl/>
        </w:rPr>
      </w:pPr>
    </w:p>
    <w:p w:rsidR="00082C78" w:rsidRPr="00082C78" w:rsidRDefault="00EB1451" w:rsidP="00C9417D">
      <w:pPr>
        <w:spacing w:line="269" w:lineRule="auto"/>
        <w:ind w:left="340"/>
        <w:rPr>
          <w:rFonts w:ascii="David" w:eastAsia="Calibri" w:hAnsi="David"/>
          <w:sz w:val="24"/>
        </w:rPr>
      </w:pPr>
      <w:r>
        <w:rPr>
          <w:rFonts w:ascii="David" w:eastAsia="Calibri" w:hAnsi="David" w:hint="cs"/>
          <w:sz w:val="24"/>
          <w:rtl/>
        </w:rPr>
        <w:t xml:space="preserve">כתוצאה מצורך מבצעי להצבת הכלי, אישר היועמ"ש למשטרה בשנת 2020 ביצוע </w:t>
      </w:r>
      <w:r w:rsidR="003D078F">
        <w:rPr>
          <w:rFonts w:ascii="David" w:eastAsia="Calibri" w:hAnsi="David" w:hint="cs"/>
          <w:sz w:val="24"/>
          <w:rtl/>
        </w:rPr>
        <w:t xml:space="preserve">מחקר חלוץ </w:t>
      </w:r>
      <w:r w:rsidR="00651849">
        <w:rPr>
          <w:rFonts w:ascii="David" w:eastAsia="Calibri" w:hAnsi="David" w:hint="cs"/>
          <w:sz w:val="24"/>
          <w:rtl/>
        </w:rPr>
        <w:t>(</w:t>
      </w:r>
      <w:r w:rsidR="0013585C">
        <w:rPr>
          <w:rFonts w:ascii="David" w:eastAsia="Calibri" w:hAnsi="David" w:hint="cs"/>
          <w:sz w:val="24"/>
          <w:rtl/>
        </w:rPr>
        <w:t xml:space="preserve">להלן - </w:t>
      </w:r>
      <w:r w:rsidR="00651849">
        <w:rPr>
          <w:rFonts w:ascii="David" w:eastAsia="Calibri" w:hAnsi="David" w:hint="cs"/>
          <w:sz w:val="24"/>
          <w:rtl/>
        </w:rPr>
        <w:t xml:space="preserve">פיילוט) </w:t>
      </w:r>
      <w:r>
        <w:rPr>
          <w:rFonts w:ascii="David" w:eastAsia="Calibri" w:hAnsi="David" w:hint="cs"/>
          <w:sz w:val="24"/>
          <w:rtl/>
        </w:rPr>
        <w:t xml:space="preserve">לכך. </w:t>
      </w:r>
      <w:r w:rsidR="00082C78" w:rsidRPr="00082C78">
        <w:rPr>
          <w:rFonts w:ascii="David" w:eastAsia="Calibri" w:hAnsi="David" w:hint="cs"/>
          <w:sz w:val="24"/>
          <w:rtl/>
        </w:rPr>
        <w:t xml:space="preserve">ביולי 2021 התקיים דיון לבקשת המשטרה בפני </w:t>
      </w:r>
      <w:r w:rsidR="00200360">
        <w:rPr>
          <w:rFonts w:ascii="David" w:eastAsia="Calibri" w:hAnsi="David" w:hint="cs"/>
          <w:sz w:val="24"/>
          <w:rtl/>
        </w:rPr>
        <w:t>הייעוץ המשפטי לממשלה</w:t>
      </w:r>
      <w:r w:rsidR="00082C78" w:rsidRPr="00082C78">
        <w:rPr>
          <w:rFonts w:ascii="David" w:eastAsia="Calibri" w:hAnsi="David" w:hint="cs"/>
          <w:sz w:val="24"/>
          <w:rtl/>
        </w:rPr>
        <w:t xml:space="preserve"> לקבלת אישור מבצעי לשימוש בכלי זה. בדיון התברר כי הכלי הופעל בנקודה אחרת</w:t>
      </w:r>
      <w:r w:rsidR="00382AE8">
        <w:rPr>
          <w:rFonts w:ascii="David" w:eastAsia="Calibri" w:hAnsi="David" w:hint="cs"/>
          <w:sz w:val="24"/>
          <w:rtl/>
        </w:rPr>
        <w:t xml:space="preserve"> </w:t>
      </w:r>
      <w:r w:rsidR="00082C78" w:rsidRPr="00082C78">
        <w:rPr>
          <w:rFonts w:ascii="David" w:eastAsia="Calibri" w:hAnsi="David" w:hint="cs"/>
          <w:sz w:val="24"/>
          <w:rtl/>
        </w:rPr>
        <w:t>כ</w:t>
      </w:r>
      <w:r w:rsidR="0013585C">
        <w:rPr>
          <w:rFonts w:ascii="David" w:eastAsia="Calibri" w:hAnsi="David" w:hint="cs"/>
          <w:sz w:val="24"/>
          <w:rtl/>
        </w:rPr>
        <w:t>פיילוט</w:t>
      </w:r>
      <w:r w:rsidR="00082C78" w:rsidRPr="00082C78">
        <w:rPr>
          <w:rFonts w:ascii="David" w:eastAsia="Calibri" w:hAnsi="David" w:hint="cs"/>
          <w:sz w:val="24"/>
          <w:rtl/>
        </w:rPr>
        <w:t xml:space="preserve"> למשך חצי שנה עוד קודם הפנייה למשרד המשפטים. בעקבות המידע על הפעלת הכלי התבקשה המשטרה להפסיק את </w:t>
      </w:r>
      <w:r w:rsidR="0013585C">
        <w:rPr>
          <w:rFonts w:ascii="David" w:eastAsia="Calibri" w:hAnsi="David" w:hint="cs"/>
          <w:sz w:val="24"/>
          <w:rtl/>
        </w:rPr>
        <w:t>הפיילוט</w:t>
      </w:r>
      <w:r w:rsidR="00082C78" w:rsidRPr="00082C78">
        <w:rPr>
          <w:rFonts w:ascii="David" w:eastAsia="Calibri" w:hAnsi="David" w:hint="cs"/>
          <w:sz w:val="24"/>
          <w:rtl/>
        </w:rPr>
        <w:t xml:space="preserve"> מאחר שנדרש אישור </w:t>
      </w:r>
      <w:r w:rsidR="00844501">
        <w:rPr>
          <w:rFonts w:ascii="David" w:eastAsia="Calibri" w:hAnsi="David" w:hint="cs"/>
          <w:sz w:val="24"/>
          <w:rtl/>
        </w:rPr>
        <w:t>הייעוץ המשפטי לממשלה</w:t>
      </w:r>
      <w:r w:rsidR="00082C78" w:rsidRPr="00082C78">
        <w:rPr>
          <w:rFonts w:ascii="David" w:eastAsia="Calibri" w:hAnsi="David" w:hint="cs"/>
          <w:sz w:val="24"/>
          <w:rtl/>
        </w:rPr>
        <w:t xml:space="preserve"> לשימוש בו. במהלך הדיון הוסבר כי לא ניתן להסתמך על הוראות בפקודת המשטרה</w:t>
      </w:r>
      <w:r w:rsidR="00082C78" w:rsidRPr="00082C78">
        <w:rPr>
          <w:rFonts w:ascii="David" w:eastAsia="Calibri" w:hAnsi="David"/>
          <w:sz w:val="24"/>
          <w:vertAlign w:val="superscript"/>
          <w:rtl/>
        </w:rPr>
        <w:footnoteReference w:id="48"/>
      </w:r>
      <w:r w:rsidR="00082C78" w:rsidRPr="00082C78">
        <w:rPr>
          <w:rFonts w:ascii="David" w:eastAsia="Calibri" w:hAnsi="David" w:hint="cs"/>
          <w:sz w:val="24"/>
          <w:rtl/>
        </w:rPr>
        <w:t xml:space="preserve"> כמקור סמכות מפורש לצורך הפעלת הכלי בנקודה זו, כפי שסברה המשטרה, גם לא לצורך </w:t>
      </w:r>
      <w:r w:rsidR="0013585C">
        <w:rPr>
          <w:rFonts w:ascii="David" w:eastAsia="Calibri" w:hAnsi="David" w:hint="cs"/>
          <w:sz w:val="24"/>
          <w:rtl/>
        </w:rPr>
        <w:t>הפיילוט</w:t>
      </w:r>
      <w:r w:rsidR="00082C78" w:rsidRPr="00082C78">
        <w:rPr>
          <w:rFonts w:ascii="David" w:eastAsia="Calibri" w:hAnsi="David" w:hint="cs"/>
          <w:sz w:val="24"/>
          <w:rtl/>
        </w:rPr>
        <w:t>, זאת לנוכח מידת הפגיעה בפרטיות הגלומה בהפעלתו.</w:t>
      </w:r>
    </w:p>
    <w:p w:rsidR="00271D14" w:rsidRDefault="00271D14" w:rsidP="00C9417D">
      <w:pPr>
        <w:spacing w:line="269" w:lineRule="auto"/>
        <w:ind w:left="340"/>
        <w:rPr>
          <w:rFonts w:ascii="David" w:eastAsia="Calibri" w:hAnsi="David"/>
          <w:sz w:val="24"/>
          <w:rtl/>
        </w:rPr>
      </w:pPr>
    </w:p>
    <w:p w:rsidR="00082C78" w:rsidRPr="00082C78" w:rsidRDefault="00082C78" w:rsidP="00C9417D">
      <w:pPr>
        <w:spacing w:line="269" w:lineRule="auto"/>
        <w:ind w:left="340"/>
        <w:rPr>
          <w:rFonts w:ascii="David" w:eastAsia="Calibri" w:hAnsi="David"/>
          <w:sz w:val="24"/>
          <w:rtl/>
        </w:rPr>
      </w:pPr>
      <w:r w:rsidRPr="00082C78">
        <w:rPr>
          <w:rFonts w:ascii="David" w:eastAsia="Calibri" w:hAnsi="David" w:hint="cs"/>
          <w:sz w:val="24"/>
          <w:rtl/>
        </w:rPr>
        <w:t>עם זאת, במסגרת הדיון הנ"ל נת</w:t>
      </w:r>
      <w:r w:rsidR="00200360">
        <w:rPr>
          <w:rFonts w:ascii="David" w:eastAsia="Calibri" w:hAnsi="David" w:hint="cs"/>
          <w:sz w:val="24"/>
          <w:rtl/>
        </w:rPr>
        <w:t>ן נציג</w:t>
      </w:r>
      <w:r w:rsidRPr="00082C78">
        <w:rPr>
          <w:rFonts w:ascii="David" w:eastAsia="Calibri" w:hAnsi="David" w:hint="cs"/>
          <w:sz w:val="24"/>
          <w:rtl/>
        </w:rPr>
        <w:t xml:space="preserve"> </w:t>
      </w:r>
      <w:r w:rsidR="00200360">
        <w:rPr>
          <w:rFonts w:ascii="David" w:eastAsia="Calibri" w:hAnsi="David" w:hint="cs"/>
          <w:sz w:val="24"/>
          <w:rtl/>
        </w:rPr>
        <w:t xml:space="preserve">הייעוץ המשפטי לממשלה </w:t>
      </w:r>
      <w:r w:rsidRPr="00082C78">
        <w:rPr>
          <w:rFonts w:ascii="David" w:eastAsia="Calibri" w:hAnsi="David" w:hint="cs"/>
          <w:sz w:val="24"/>
          <w:rtl/>
        </w:rPr>
        <w:t xml:space="preserve">אישור מצומצם להפעלת הכלי למשך שלושה חודשים, ובתנאי שיש צו שיפוטי בתוקף. עוד </w:t>
      </w:r>
      <w:r w:rsidR="007A1868">
        <w:rPr>
          <w:rFonts w:ascii="David" w:eastAsia="Calibri" w:hAnsi="David" w:hint="cs"/>
          <w:sz w:val="24"/>
          <w:rtl/>
        </w:rPr>
        <w:t>סוכם</w:t>
      </w:r>
      <w:r w:rsidRPr="00082C78">
        <w:rPr>
          <w:rFonts w:ascii="David" w:eastAsia="Calibri" w:hAnsi="David" w:hint="cs"/>
          <w:sz w:val="24"/>
          <w:rtl/>
        </w:rPr>
        <w:t xml:space="preserve"> כי לאחר שלושה חודשים, ואם יימצא שיש צורך ואפקטיביות בשימוש בכלי, יתקיים </w:t>
      </w:r>
      <w:r w:rsidR="008B03FA">
        <w:rPr>
          <w:rFonts w:ascii="David" w:eastAsia="Calibri" w:hAnsi="David" w:hint="cs"/>
          <w:sz w:val="24"/>
          <w:rtl/>
        </w:rPr>
        <w:t>בייעוץ המשפטי לממשלה</w:t>
      </w:r>
      <w:r w:rsidRPr="00082C78">
        <w:rPr>
          <w:rFonts w:ascii="David" w:eastAsia="Calibri" w:hAnsi="David" w:hint="cs"/>
          <w:sz w:val="24"/>
          <w:rtl/>
        </w:rPr>
        <w:t xml:space="preserve"> דיון עקרוני על בסיס ממצאי </w:t>
      </w:r>
      <w:r w:rsidR="0013585C">
        <w:rPr>
          <w:rFonts w:ascii="David" w:eastAsia="Calibri" w:hAnsi="David" w:hint="cs"/>
          <w:sz w:val="24"/>
          <w:rtl/>
        </w:rPr>
        <w:t>הפיילוט</w:t>
      </w:r>
      <w:r w:rsidRPr="00082C78">
        <w:rPr>
          <w:rFonts w:ascii="David" w:eastAsia="Calibri" w:hAnsi="David" w:hint="cs"/>
          <w:sz w:val="24"/>
          <w:rtl/>
        </w:rPr>
        <w:t>. ביום 2.11.21 התקיימה ישיבה בראשות היועמ"ש לממשלה דאז שבה הוצג בפניו הכלי, והוא אישר את ביצוע ה</w:t>
      </w:r>
      <w:r w:rsidR="0013585C">
        <w:rPr>
          <w:rFonts w:ascii="David" w:eastAsia="Calibri" w:hAnsi="David" w:hint="cs"/>
          <w:sz w:val="24"/>
          <w:rtl/>
        </w:rPr>
        <w:t>פיילוט</w:t>
      </w:r>
      <w:r w:rsidRPr="00082C78">
        <w:rPr>
          <w:rFonts w:ascii="David" w:eastAsia="Calibri" w:hAnsi="David" w:hint="cs"/>
          <w:sz w:val="24"/>
          <w:rtl/>
        </w:rPr>
        <w:t xml:space="preserve"> בתנאים שקבעה המשנה.</w:t>
      </w:r>
    </w:p>
    <w:p w:rsidR="00271D14" w:rsidRDefault="00271D14" w:rsidP="00C9417D">
      <w:pPr>
        <w:spacing w:line="269" w:lineRule="auto"/>
        <w:ind w:left="340"/>
        <w:rPr>
          <w:rFonts w:ascii="David" w:eastAsia="Calibri" w:hAnsi="David"/>
          <w:sz w:val="24"/>
          <w:rtl/>
        </w:rPr>
      </w:pPr>
    </w:p>
    <w:p w:rsidR="00082C78" w:rsidRPr="00082C78" w:rsidRDefault="00082C78" w:rsidP="00C9417D">
      <w:pPr>
        <w:spacing w:line="269" w:lineRule="auto"/>
        <w:ind w:left="340"/>
        <w:rPr>
          <w:rFonts w:ascii="David" w:eastAsia="Calibri" w:hAnsi="David"/>
          <w:sz w:val="24"/>
          <w:rtl/>
        </w:rPr>
      </w:pPr>
      <w:r w:rsidRPr="00082C78">
        <w:rPr>
          <w:rFonts w:ascii="David" w:eastAsia="Calibri" w:hAnsi="David" w:hint="cs"/>
          <w:sz w:val="24"/>
          <w:rtl/>
        </w:rPr>
        <w:t xml:space="preserve">במרץ 2022 התקיימה ישיבה </w:t>
      </w:r>
      <w:r w:rsidR="00200360">
        <w:rPr>
          <w:rFonts w:ascii="David" w:eastAsia="Calibri" w:hAnsi="David" w:hint="cs"/>
          <w:sz w:val="24"/>
          <w:rtl/>
        </w:rPr>
        <w:t>בחטיבת הסייבר</w:t>
      </w:r>
      <w:r w:rsidRPr="00082C78">
        <w:rPr>
          <w:rFonts w:ascii="David" w:eastAsia="Calibri" w:hAnsi="David" w:hint="cs"/>
          <w:sz w:val="24"/>
          <w:rtl/>
        </w:rPr>
        <w:t xml:space="preserve">, ובכלל זה יועמ"ש </w:t>
      </w:r>
      <w:r w:rsidR="00200360">
        <w:rPr>
          <w:rFonts w:ascii="David" w:eastAsia="Calibri" w:hAnsi="David" w:hint="cs"/>
          <w:sz w:val="24"/>
          <w:rtl/>
        </w:rPr>
        <w:t>ה</w:t>
      </w:r>
      <w:r w:rsidRPr="00082C78">
        <w:rPr>
          <w:rFonts w:ascii="David" w:eastAsia="Calibri" w:hAnsi="David" w:hint="cs"/>
          <w:sz w:val="24"/>
          <w:rtl/>
        </w:rPr>
        <w:t>חטיב</w:t>
      </w:r>
      <w:r w:rsidR="00200360">
        <w:rPr>
          <w:rFonts w:ascii="David" w:eastAsia="Calibri" w:hAnsi="David" w:hint="cs"/>
          <w:sz w:val="24"/>
          <w:rtl/>
        </w:rPr>
        <w:t>ה</w:t>
      </w:r>
      <w:r w:rsidRPr="00082C78">
        <w:rPr>
          <w:rFonts w:ascii="David" w:eastAsia="Calibri" w:hAnsi="David" w:hint="cs"/>
          <w:sz w:val="24"/>
          <w:rtl/>
        </w:rPr>
        <w:t xml:space="preserve">, כדי לסכם את ממצאי </w:t>
      </w:r>
      <w:r w:rsidR="0013585C">
        <w:rPr>
          <w:rFonts w:ascii="David" w:eastAsia="Calibri" w:hAnsi="David" w:hint="cs"/>
          <w:sz w:val="24"/>
          <w:rtl/>
        </w:rPr>
        <w:t>הפיילוט</w:t>
      </w:r>
      <w:r w:rsidRPr="00082C78">
        <w:rPr>
          <w:rFonts w:ascii="David" w:eastAsia="Calibri" w:hAnsi="David" w:hint="cs"/>
          <w:sz w:val="24"/>
          <w:rtl/>
        </w:rPr>
        <w:t xml:space="preserve"> ולהיערך לקראת הדיון המתוכנן בנושא </w:t>
      </w:r>
      <w:r w:rsidR="008B03FA">
        <w:rPr>
          <w:rFonts w:ascii="David" w:eastAsia="Calibri" w:hAnsi="David" w:hint="cs"/>
          <w:sz w:val="24"/>
          <w:rtl/>
        </w:rPr>
        <w:t>בייעוץ המשפטי לממשלה</w:t>
      </w:r>
      <w:r w:rsidRPr="00082C78">
        <w:rPr>
          <w:rFonts w:ascii="David" w:eastAsia="Calibri" w:hAnsi="David" w:hint="cs"/>
          <w:sz w:val="24"/>
          <w:rtl/>
        </w:rPr>
        <w:t>. בישיבה נמסר כי הפעלת הכלי הייתה בהתאם למתווה שקבע</w:t>
      </w:r>
      <w:r w:rsidR="00200360">
        <w:rPr>
          <w:rFonts w:ascii="David" w:eastAsia="Calibri" w:hAnsi="David" w:hint="cs"/>
          <w:sz w:val="24"/>
          <w:rtl/>
        </w:rPr>
        <w:t xml:space="preserve"> הייעוץ המשפטי לממשלה</w:t>
      </w:r>
      <w:r w:rsidRPr="00082C78">
        <w:rPr>
          <w:rFonts w:ascii="David" w:eastAsia="Calibri" w:hAnsi="David" w:hint="cs"/>
          <w:sz w:val="24"/>
          <w:rtl/>
        </w:rPr>
        <w:t xml:space="preserve">. עוד נמסר כי הפעלת הכלי תרמה מידע מודיעיני לפעילות מבצעית לסיכול עבירות ולמניעתן. הוחלט להציג </w:t>
      </w:r>
      <w:r w:rsidR="00844501">
        <w:rPr>
          <w:rFonts w:ascii="David" w:eastAsia="Calibri" w:hAnsi="David" w:hint="cs"/>
          <w:sz w:val="24"/>
          <w:rtl/>
        </w:rPr>
        <w:t>לייעוץ המשפטי לממשלה</w:t>
      </w:r>
      <w:r w:rsidRPr="00082C78">
        <w:rPr>
          <w:rFonts w:ascii="David" w:eastAsia="Calibri" w:hAnsi="David" w:hint="cs"/>
          <w:sz w:val="24"/>
          <w:rtl/>
        </w:rPr>
        <w:t xml:space="preserve"> את התרומה הגדולה של הכלי הזה למיגור הפשיעה אל מול הפגיעה הפחותה בפרטיות. </w:t>
      </w:r>
    </w:p>
    <w:p w:rsidR="00271D14" w:rsidRDefault="00271D14" w:rsidP="00C9417D">
      <w:pPr>
        <w:spacing w:line="269" w:lineRule="auto"/>
        <w:ind w:left="340"/>
        <w:rPr>
          <w:rFonts w:ascii="David" w:eastAsia="Calibri" w:hAnsi="David"/>
          <w:sz w:val="24"/>
          <w:rtl/>
        </w:rPr>
      </w:pPr>
    </w:p>
    <w:p w:rsidR="00082C78" w:rsidRPr="00082C78" w:rsidRDefault="0042634F" w:rsidP="00C9417D">
      <w:pPr>
        <w:spacing w:line="269" w:lineRule="auto"/>
        <w:ind w:left="340"/>
        <w:rPr>
          <w:rFonts w:ascii="David" w:eastAsia="Calibri" w:hAnsi="David"/>
          <w:sz w:val="24"/>
          <w:rtl/>
        </w:rPr>
      </w:pPr>
      <w:r w:rsidRPr="00082C78">
        <w:rPr>
          <w:rFonts w:ascii="David" w:eastAsia="Calibri" w:hAnsi="David" w:hint="cs"/>
          <w:sz w:val="24"/>
          <w:rtl/>
        </w:rPr>
        <w:t>ב</w:t>
      </w:r>
      <w:r>
        <w:rPr>
          <w:rFonts w:ascii="David" w:eastAsia="Calibri" w:hAnsi="David" w:hint="cs"/>
          <w:sz w:val="24"/>
          <w:rtl/>
        </w:rPr>
        <w:t>-</w:t>
      </w:r>
      <w:r w:rsidR="00082C78" w:rsidRPr="00082C78">
        <w:rPr>
          <w:rFonts w:ascii="David" w:eastAsia="Calibri" w:hAnsi="David" w:hint="cs"/>
          <w:sz w:val="24"/>
          <w:rtl/>
        </w:rPr>
        <w:t xml:space="preserve">12.9.22, כעשרה חודשים לאחר הדיון הקודם שקיים היועמ"ש לממשלה דאז בנושא הפעלת הכלי, התקיימה ישיבה בראשות היועמ"שית לממשלה, בהשתתפות נציגי המשטרה, ובה הוצג הכלי ויכולותיו אך לא התקבלה החלטה לעניין אישורו. </w:t>
      </w:r>
      <w:r w:rsidRPr="00082C78">
        <w:rPr>
          <w:rFonts w:ascii="David" w:eastAsia="Calibri" w:hAnsi="David" w:hint="cs"/>
          <w:sz w:val="24"/>
          <w:rtl/>
        </w:rPr>
        <w:t>ב</w:t>
      </w:r>
      <w:r>
        <w:rPr>
          <w:rFonts w:ascii="David" w:eastAsia="Calibri" w:hAnsi="David" w:hint="cs"/>
          <w:sz w:val="24"/>
          <w:rtl/>
        </w:rPr>
        <w:t>-</w:t>
      </w:r>
      <w:r w:rsidR="00082C78" w:rsidRPr="00082C78">
        <w:rPr>
          <w:rFonts w:ascii="David" w:eastAsia="Calibri" w:hAnsi="David" w:hint="cs"/>
          <w:sz w:val="24"/>
          <w:rtl/>
        </w:rPr>
        <w:t xml:space="preserve">25.10.22 התקיימה ישיבה בראשות היועמ"שית לממשלה בהשתתפות </w:t>
      </w:r>
      <w:r w:rsidR="003C6C56">
        <w:rPr>
          <w:rFonts w:ascii="David" w:eastAsia="Calibri" w:hAnsi="David" w:hint="cs"/>
          <w:sz w:val="24"/>
          <w:rtl/>
        </w:rPr>
        <w:t>נציגי הייעוץ המשפטי לממשלה</w:t>
      </w:r>
      <w:r w:rsidR="00082C78" w:rsidRPr="00082C78">
        <w:rPr>
          <w:rFonts w:ascii="David" w:eastAsia="Calibri" w:hAnsi="David" w:hint="cs"/>
          <w:sz w:val="24"/>
          <w:rtl/>
        </w:rPr>
        <w:t xml:space="preserve"> ובה ביקשה היועמ"שית לממשלה כי תגובש הנחיית עבודה משטרתית להפעלת הכלי, והיא תיבחן על ידי </w:t>
      </w:r>
      <w:r w:rsidR="00844501">
        <w:rPr>
          <w:rFonts w:ascii="David" w:eastAsia="Calibri" w:hAnsi="David" w:hint="cs"/>
          <w:sz w:val="24"/>
          <w:rtl/>
        </w:rPr>
        <w:t>הייעוץ המשפטי לממשלה</w:t>
      </w:r>
      <w:r w:rsidR="00082C78" w:rsidRPr="00082C78">
        <w:rPr>
          <w:rFonts w:ascii="David" w:eastAsia="Calibri" w:hAnsi="David" w:hint="cs"/>
          <w:sz w:val="24"/>
          <w:rtl/>
        </w:rPr>
        <w:t xml:space="preserve"> קודם קבלת ההחלטה בדבר אישורה. בהמשך לישיבה נכתבה </w:t>
      </w:r>
      <w:r w:rsidR="008B03FA">
        <w:rPr>
          <w:rFonts w:ascii="David" w:eastAsia="Calibri" w:hAnsi="David" w:hint="cs"/>
          <w:sz w:val="24"/>
          <w:rtl/>
        </w:rPr>
        <w:t>בייעוץ המשפטי לממשלה</w:t>
      </w:r>
      <w:r w:rsidR="00082C78" w:rsidRPr="00082C78">
        <w:rPr>
          <w:rFonts w:ascii="David" w:eastAsia="Calibri" w:hAnsi="David" w:hint="cs"/>
          <w:sz w:val="24"/>
          <w:rtl/>
        </w:rPr>
        <w:t xml:space="preserve"> חוות דעת משפטית ולפיה המשטרה רשאית להשתמש בכלי למניעת </w:t>
      </w:r>
      <w:r w:rsidR="00CA6DD0">
        <w:rPr>
          <w:rFonts w:ascii="David" w:eastAsia="Calibri" w:hAnsi="David" w:hint="cs"/>
          <w:sz w:val="24"/>
          <w:rtl/>
        </w:rPr>
        <w:t>עבירות מסוג מסוים</w:t>
      </w:r>
      <w:r w:rsidR="00082C78" w:rsidRPr="00082C78">
        <w:rPr>
          <w:rFonts w:ascii="David" w:eastAsia="Calibri" w:hAnsi="David" w:hint="cs"/>
          <w:sz w:val="24"/>
          <w:rtl/>
        </w:rPr>
        <w:t xml:space="preserve">, וזאת בכפוף להוצאת צו </w:t>
      </w:r>
      <w:r w:rsidR="00CA6DD0">
        <w:rPr>
          <w:rFonts w:ascii="David" w:eastAsia="Calibri" w:hAnsi="David" w:hint="cs"/>
          <w:sz w:val="24"/>
          <w:rtl/>
        </w:rPr>
        <w:t>שיפוטי</w:t>
      </w:r>
      <w:r w:rsidR="00082C78" w:rsidRPr="00082C78">
        <w:rPr>
          <w:rFonts w:ascii="David" w:eastAsia="Calibri" w:hAnsi="David" w:hint="cs"/>
          <w:sz w:val="24"/>
          <w:rtl/>
        </w:rPr>
        <w:t xml:space="preserve"> תוך יידוע בית המשפט בדבר השימוש בו. חוות הדעת הוצגה ליועמ"שית לממשלה </w:t>
      </w:r>
      <w:r w:rsidRPr="00082C78">
        <w:rPr>
          <w:rFonts w:ascii="David" w:eastAsia="Calibri" w:hAnsi="David" w:hint="cs"/>
          <w:sz w:val="24"/>
          <w:rtl/>
        </w:rPr>
        <w:t>ב</w:t>
      </w:r>
      <w:r>
        <w:rPr>
          <w:rFonts w:ascii="David" w:eastAsia="Calibri" w:hAnsi="David" w:hint="cs"/>
          <w:sz w:val="24"/>
          <w:rtl/>
        </w:rPr>
        <w:t>-</w:t>
      </w:r>
      <w:r w:rsidR="00082C78" w:rsidRPr="00082C78">
        <w:rPr>
          <w:rFonts w:ascii="David" w:eastAsia="Calibri" w:hAnsi="David" w:hint="cs"/>
          <w:sz w:val="24"/>
          <w:rtl/>
        </w:rPr>
        <w:t xml:space="preserve">26.3.23, </w:t>
      </w:r>
      <w:r w:rsidRPr="00082C78">
        <w:rPr>
          <w:rFonts w:ascii="David" w:eastAsia="Calibri" w:hAnsi="David" w:hint="cs"/>
          <w:sz w:val="24"/>
          <w:rtl/>
        </w:rPr>
        <w:t>וב</w:t>
      </w:r>
      <w:r>
        <w:rPr>
          <w:rFonts w:ascii="David" w:eastAsia="Calibri" w:hAnsi="David" w:hint="cs"/>
          <w:sz w:val="24"/>
          <w:rtl/>
        </w:rPr>
        <w:t>-</w:t>
      </w:r>
      <w:r w:rsidR="00082C78" w:rsidRPr="00082C78">
        <w:rPr>
          <w:rFonts w:ascii="David" w:eastAsia="Calibri" w:hAnsi="David" w:hint="cs"/>
          <w:sz w:val="24"/>
          <w:rtl/>
        </w:rPr>
        <w:t xml:space="preserve">3.4.23 היא אישרה את השימוש בכלי בכפוף לתנאים </w:t>
      </w:r>
      <w:r w:rsidR="002B2F2E">
        <w:rPr>
          <w:rFonts w:ascii="David" w:eastAsia="Calibri" w:hAnsi="David" w:hint="cs"/>
          <w:sz w:val="24"/>
          <w:rtl/>
        </w:rPr>
        <w:t>שפורטו בחוות הדעת</w:t>
      </w:r>
      <w:r w:rsidR="00082C78" w:rsidRPr="00082C78">
        <w:rPr>
          <w:rFonts w:ascii="David" w:eastAsia="Calibri" w:hAnsi="David" w:hint="cs"/>
          <w:sz w:val="24"/>
          <w:rtl/>
        </w:rPr>
        <w:t xml:space="preserve">. </w:t>
      </w:r>
    </w:p>
    <w:p w:rsidR="00082C78" w:rsidRPr="00082C78" w:rsidRDefault="00082C78" w:rsidP="00C9417D">
      <w:pPr>
        <w:spacing w:line="269" w:lineRule="auto"/>
        <w:ind w:left="340"/>
        <w:rPr>
          <w:rFonts w:ascii="David" w:eastAsia="Calibri" w:hAnsi="David"/>
          <w:sz w:val="24"/>
          <w:rtl/>
        </w:rPr>
      </w:pPr>
    </w:p>
    <w:p w:rsidR="00082C78" w:rsidRPr="00082C78" w:rsidRDefault="00082C78" w:rsidP="00C9417D">
      <w:pPr>
        <w:spacing w:line="269" w:lineRule="auto"/>
        <w:ind w:left="340"/>
        <w:contextualSpacing/>
        <w:rPr>
          <w:rFonts w:ascii="David" w:eastAsia="Calibri" w:hAnsi="David"/>
          <w:sz w:val="24"/>
          <w:rtl/>
        </w:rPr>
      </w:pPr>
      <w:r w:rsidRPr="00082C78">
        <w:rPr>
          <w:rFonts w:ascii="David" w:eastAsia="Calibri" w:hAnsi="David" w:hint="cs"/>
          <w:sz w:val="24"/>
          <w:rtl/>
        </w:rPr>
        <w:t xml:space="preserve">המשטרה כתבה בתשובתה כי בשנת 2017 אישר היועמ"ש למשטרה את הצבת הכלי ואת הפעלתו בנקודות ספציפיות, במיקומים שאינם מחייבים קבלת צווים שיפוטיים. עוד כתבה המשטרה כי הפעלת הכלי במיקומים אלו אינה מעלה שאלה בעלת רגישות משפטית מיוחדת המצדיקה פנייה למשרד המשפטים. כתוצאה מצורך מבצעי להצבת הכלי בנקודות נוספות, אישר היועמ"ש למשטרה בשנת 2020 ביצוע פיילוט שלאחריו הוא פנה ביוזמתו לקבלת אישור ממשרד המשפטים. האישור להפעלת הכלי באותן נקודות ניתן על ידי היועמ"שית לממשלה בשנת 2023. </w:t>
      </w:r>
    </w:p>
    <w:p w:rsidR="00082C78" w:rsidRPr="00082C78" w:rsidRDefault="00082C78" w:rsidP="00C9417D">
      <w:pPr>
        <w:spacing w:line="269" w:lineRule="auto"/>
        <w:ind w:left="340"/>
        <w:contextualSpacing/>
        <w:rPr>
          <w:rFonts w:ascii="David" w:eastAsia="Calibri" w:hAnsi="David"/>
          <w:sz w:val="24"/>
          <w:rtl/>
        </w:rPr>
      </w:pPr>
    </w:p>
    <w:p w:rsidR="00082C78" w:rsidRPr="00082C78" w:rsidRDefault="00082C78" w:rsidP="00C9417D">
      <w:pPr>
        <w:spacing w:line="269" w:lineRule="auto"/>
        <w:ind w:left="340"/>
        <w:contextualSpacing/>
        <w:rPr>
          <w:rFonts w:ascii="David" w:eastAsia="Calibri" w:hAnsi="David"/>
          <w:sz w:val="24"/>
          <w:rtl/>
        </w:rPr>
      </w:pPr>
      <w:r w:rsidRPr="00082C78">
        <w:rPr>
          <w:rFonts w:ascii="David" w:eastAsia="Calibri" w:hAnsi="David" w:hint="cs"/>
          <w:sz w:val="24"/>
          <w:rtl/>
        </w:rPr>
        <w:t xml:space="preserve">משרד המשפטים כתב בתשובתו כי העיכוב למתן האישור של היועמ"שית לממשלה נגרם עקב התמשכות תקופת </w:t>
      </w:r>
      <w:r w:rsidR="0013585C">
        <w:rPr>
          <w:rFonts w:ascii="David" w:eastAsia="Calibri" w:hAnsi="David" w:hint="cs"/>
          <w:sz w:val="24"/>
          <w:rtl/>
        </w:rPr>
        <w:t>הפיילוט</w:t>
      </w:r>
      <w:r w:rsidRPr="00082C78">
        <w:rPr>
          <w:rFonts w:ascii="David" w:eastAsia="Calibri" w:hAnsi="David" w:hint="cs"/>
          <w:sz w:val="24"/>
          <w:rtl/>
        </w:rPr>
        <w:t xml:space="preserve"> ועקב הזמן שחלף בין הצגת הדרישה</w:t>
      </w:r>
      <w:r w:rsidR="0042634F">
        <w:rPr>
          <w:rFonts w:ascii="David" w:eastAsia="Calibri" w:hAnsi="David" w:hint="cs"/>
          <w:sz w:val="24"/>
          <w:rtl/>
        </w:rPr>
        <w:t xml:space="preserve"> של הייעוץ המשפטי לממשלה</w:t>
      </w:r>
      <w:r w:rsidRPr="00082C78">
        <w:rPr>
          <w:rFonts w:ascii="David" w:eastAsia="Calibri" w:hAnsi="David" w:hint="cs"/>
          <w:sz w:val="24"/>
          <w:rtl/>
        </w:rPr>
        <w:t xml:space="preserve"> לקבלת הנחיית העבודה המשטרתית ובין </w:t>
      </w:r>
      <w:r w:rsidR="00AD7742">
        <w:rPr>
          <w:rFonts w:ascii="David" w:eastAsia="Calibri" w:hAnsi="David" w:hint="cs"/>
          <w:sz w:val="24"/>
          <w:rtl/>
        </w:rPr>
        <w:t xml:space="preserve">מועד </w:t>
      </w:r>
      <w:r w:rsidRPr="00082C78">
        <w:rPr>
          <w:rFonts w:ascii="David" w:eastAsia="Calibri" w:hAnsi="David" w:hint="cs"/>
          <w:sz w:val="24"/>
          <w:rtl/>
        </w:rPr>
        <w:t>קבלתה אצל גורמי הייעוץ המשפטי לממשלה.</w:t>
      </w:r>
    </w:p>
    <w:p w:rsidR="00271D14" w:rsidRDefault="00271D14" w:rsidP="00C9417D">
      <w:pPr>
        <w:spacing w:line="269" w:lineRule="auto"/>
        <w:ind w:left="340"/>
        <w:rPr>
          <w:rFonts w:ascii="David" w:eastAsia="Calibri" w:hAnsi="David"/>
          <w:b/>
          <w:bCs/>
          <w:sz w:val="24"/>
          <w:rtl/>
        </w:rPr>
      </w:pPr>
    </w:p>
    <w:p w:rsidR="00593603" w:rsidRDefault="00082C78" w:rsidP="00C9417D">
      <w:pPr>
        <w:spacing w:line="269" w:lineRule="auto"/>
        <w:ind w:left="340"/>
        <w:rPr>
          <w:rFonts w:ascii="David" w:eastAsia="Calibri" w:hAnsi="David"/>
          <w:b/>
          <w:bCs/>
          <w:sz w:val="24"/>
          <w:rtl/>
        </w:rPr>
      </w:pPr>
      <w:r w:rsidRPr="00082C78">
        <w:rPr>
          <w:rFonts w:ascii="David" w:eastAsia="Calibri" w:hAnsi="David" w:hint="cs"/>
          <w:b/>
          <w:bCs/>
          <w:sz w:val="24"/>
          <w:rtl/>
        </w:rPr>
        <w:t xml:space="preserve">הליך אישור הכלי </w:t>
      </w:r>
      <w:r w:rsidR="0055209B">
        <w:rPr>
          <w:rFonts w:ascii="David" w:eastAsia="Calibri" w:hAnsi="David" w:hint="cs"/>
          <w:b/>
          <w:bCs/>
          <w:sz w:val="24"/>
          <w:rtl/>
        </w:rPr>
        <w:t xml:space="preserve">הטכנולוגי </w:t>
      </w:r>
      <w:r w:rsidRPr="00082C78">
        <w:rPr>
          <w:rFonts w:ascii="David" w:eastAsia="Calibri" w:hAnsi="David" w:hint="cs"/>
          <w:b/>
          <w:bCs/>
          <w:sz w:val="24"/>
          <w:rtl/>
        </w:rPr>
        <w:t>לאיסוף מידע</w:t>
      </w:r>
      <w:r w:rsidR="006710F2">
        <w:rPr>
          <w:rFonts w:ascii="David" w:eastAsia="Calibri" w:hAnsi="David" w:hint="cs"/>
          <w:b/>
          <w:bCs/>
          <w:sz w:val="24"/>
          <w:rtl/>
        </w:rPr>
        <w:t xml:space="preserve"> </w:t>
      </w:r>
      <w:r w:rsidRPr="00082C78">
        <w:rPr>
          <w:rFonts w:ascii="David" w:eastAsia="Calibri" w:hAnsi="David" w:hint="cs"/>
          <w:b/>
          <w:bCs/>
          <w:sz w:val="24"/>
          <w:rtl/>
        </w:rPr>
        <w:t xml:space="preserve">ראוי להפקת לקחים בשני היבטים עיקריים: (א) שימוש המשטרה בכלי החל לכל הפחות בשנת 2020, </w:t>
      </w:r>
      <w:r w:rsidR="0042634F">
        <w:rPr>
          <w:rFonts w:ascii="David" w:eastAsia="Calibri" w:hAnsi="David" w:hint="cs"/>
          <w:b/>
          <w:bCs/>
          <w:sz w:val="24"/>
          <w:rtl/>
        </w:rPr>
        <w:t>בעוד</w:t>
      </w:r>
      <w:r w:rsidRPr="00082C78">
        <w:rPr>
          <w:rFonts w:ascii="David" w:eastAsia="Calibri" w:hAnsi="David" w:hint="cs"/>
          <w:b/>
          <w:bCs/>
          <w:sz w:val="24"/>
          <w:rtl/>
        </w:rPr>
        <w:t xml:space="preserve"> הבחינה המשפטית </w:t>
      </w:r>
      <w:r w:rsidR="0042634F">
        <w:rPr>
          <w:rFonts w:ascii="David" w:eastAsia="Calibri" w:hAnsi="David" w:hint="cs"/>
          <w:b/>
          <w:bCs/>
          <w:sz w:val="24"/>
          <w:rtl/>
        </w:rPr>
        <w:t xml:space="preserve">של </w:t>
      </w:r>
      <w:r w:rsidRPr="00082C78">
        <w:rPr>
          <w:rFonts w:ascii="David" w:eastAsia="Calibri" w:hAnsi="David" w:hint="cs"/>
          <w:b/>
          <w:bCs/>
          <w:sz w:val="24"/>
          <w:rtl/>
        </w:rPr>
        <w:t xml:space="preserve">משמעויות השימוש בו והתנאים להפעלתו על ידי </w:t>
      </w:r>
      <w:r w:rsidR="000143E1">
        <w:rPr>
          <w:rFonts w:ascii="David" w:eastAsia="Calibri" w:hAnsi="David" w:hint="cs"/>
          <w:b/>
          <w:bCs/>
          <w:sz w:val="24"/>
          <w:rtl/>
        </w:rPr>
        <w:t>הייעוץ המשפטי לממשלה</w:t>
      </w:r>
      <w:r w:rsidR="0042634F" w:rsidRPr="0042634F">
        <w:rPr>
          <w:rFonts w:ascii="David" w:eastAsia="Calibri" w:hAnsi="David" w:hint="cs"/>
          <w:b/>
          <w:bCs/>
          <w:sz w:val="24"/>
          <w:rtl/>
        </w:rPr>
        <w:t xml:space="preserve"> </w:t>
      </w:r>
      <w:r w:rsidR="000143E1">
        <w:rPr>
          <w:rFonts w:ascii="David" w:eastAsia="Calibri" w:hAnsi="David" w:hint="cs"/>
          <w:b/>
          <w:bCs/>
          <w:sz w:val="24"/>
          <w:rtl/>
        </w:rPr>
        <w:t xml:space="preserve">בוצעה </w:t>
      </w:r>
      <w:r w:rsidR="0042634F" w:rsidRPr="00082C78">
        <w:rPr>
          <w:rFonts w:ascii="David" w:eastAsia="Calibri" w:hAnsi="David" w:hint="cs"/>
          <w:b/>
          <w:bCs/>
          <w:sz w:val="24"/>
          <w:rtl/>
        </w:rPr>
        <w:t>ביולי 2021</w:t>
      </w:r>
      <w:r w:rsidRPr="00082C78">
        <w:rPr>
          <w:rFonts w:ascii="David" w:eastAsia="Calibri" w:hAnsi="David" w:hint="cs"/>
          <w:b/>
          <w:bCs/>
          <w:sz w:val="24"/>
          <w:rtl/>
        </w:rPr>
        <w:t xml:space="preserve">. (ב) הליכי הבחינה של הכלי בידי גורמי הייעוץ המשפטי לממשלה נמשכים זמן רב מדי (חלפה כשנה מהשלמת </w:t>
      </w:r>
      <w:r w:rsidR="0013585C">
        <w:rPr>
          <w:rFonts w:ascii="David" w:eastAsia="Calibri" w:hAnsi="David" w:hint="cs"/>
          <w:b/>
          <w:bCs/>
          <w:sz w:val="24"/>
          <w:rtl/>
        </w:rPr>
        <w:t>הפיילוט</w:t>
      </w:r>
      <w:r w:rsidRPr="00082C78">
        <w:rPr>
          <w:rFonts w:ascii="David" w:eastAsia="Calibri" w:hAnsi="David" w:hint="cs"/>
          <w:b/>
          <w:bCs/>
          <w:sz w:val="24"/>
          <w:rtl/>
        </w:rPr>
        <w:t xml:space="preserve"> במרץ 2022 ועד אישור השימוש בכלי על ידי הייעוץ המשפטי לממשלה באפריל 2023), והתמשכותם דוחה את ההפעלה של הכלי הנדרש לצורך המאבק בפשיעה.</w:t>
      </w:r>
    </w:p>
    <w:p w:rsidR="00082C78" w:rsidRPr="00082C78" w:rsidRDefault="00082C78" w:rsidP="00604C3D">
      <w:pPr>
        <w:spacing w:line="269" w:lineRule="auto"/>
        <w:ind w:left="-2"/>
        <w:rPr>
          <w:rFonts w:ascii="David" w:eastAsia="Calibri" w:hAnsi="David"/>
          <w:b/>
          <w:bCs/>
          <w:sz w:val="24"/>
          <w:rtl/>
        </w:rPr>
      </w:pPr>
      <w:r w:rsidRPr="00082C78">
        <w:rPr>
          <w:rFonts w:ascii="David" w:eastAsia="Calibri" w:hAnsi="David" w:hint="cs"/>
          <w:b/>
          <w:bCs/>
          <w:sz w:val="24"/>
          <w:rtl/>
        </w:rPr>
        <w:t xml:space="preserve"> </w:t>
      </w:r>
    </w:p>
    <w:p w:rsidR="00082C78" w:rsidRPr="00082C78" w:rsidRDefault="00082C78" w:rsidP="00604C3D">
      <w:pPr>
        <w:pStyle w:val="3"/>
        <w:spacing w:before="0" w:line="269" w:lineRule="auto"/>
        <w:rPr>
          <w:rFonts w:ascii="David" w:eastAsia="Times New Roman" w:hAnsi="David"/>
          <w:b/>
          <w:sz w:val="28"/>
          <w:rtl/>
        </w:rPr>
      </w:pPr>
      <w:bookmarkStart w:id="177" w:name="_Toc193282964"/>
      <w:bookmarkStart w:id="178" w:name="_Hlk147755069"/>
      <w:bookmarkStart w:id="179" w:name="_Toc219286526"/>
      <w:r w:rsidRPr="00082C78">
        <w:rPr>
          <w:rFonts w:eastAsia="Times New Roman" w:hint="cs"/>
          <w:rtl/>
        </w:rPr>
        <w:t xml:space="preserve">1.5 </w:t>
      </w:r>
      <w:bookmarkEnd w:id="177"/>
      <w:bookmarkEnd w:id="178"/>
      <w:r w:rsidR="0085114A" w:rsidRPr="00082C78">
        <w:rPr>
          <w:rFonts w:eastAsia="Times New Roman"/>
          <w:rtl/>
        </w:rPr>
        <w:t>זהות הגורם במשרד המשפטים</w:t>
      </w:r>
      <w:r w:rsidR="0085114A" w:rsidRPr="00082C78">
        <w:rPr>
          <w:rFonts w:ascii="David" w:eastAsia="Times New Roman" w:hAnsi="David"/>
          <w:b/>
          <w:sz w:val="28"/>
          <w:rtl/>
        </w:rPr>
        <w:t xml:space="preserve"> </w:t>
      </w:r>
      <w:r w:rsidR="0085114A" w:rsidRPr="00082C78">
        <w:rPr>
          <w:rFonts w:eastAsia="Times New Roman"/>
          <w:rtl/>
        </w:rPr>
        <w:t xml:space="preserve">המאשר </w:t>
      </w:r>
      <w:r w:rsidR="0085114A">
        <w:rPr>
          <w:rFonts w:eastAsia="Times New Roman" w:hint="cs"/>
          <w:rtl/>
        </w:rPr>
        <w:t>את סמכות המשטרה להשתמש ב</w:t>
      </w:r>
      <w:r w:rsidR="0085114A" w:rsidRPr="00082C78">
        <w:rPr>
          <w:rFonts w:eastAsia="Times New Roman"/>
          <w:rtl/>
        </w:rPr>
        <w:t>כלים</w:t>
      </w:r>
      <w:r w:rsidR="0085114A" w:rsidRPr="00082C78">
        <w:rPr>
          <w:rFonts w:eastAsia="Times New Roman" w:hint="cs"/>
          <w:rtl/>
        </w:rPr>
        <w:t xml:space="preserve"> </w:t>
      </w:r>
      <w:r w:rsidR="0085114A" w:rsidRPr="00082C78">
        <w:rPr>
          <w:rFonts w:eastAsia="Times New Roman"/>
          <w:rtl/>
        </w:rPr>
        <w:t>להאזנות סתר</w:t>
      </w:r>
      <w:bookmarkEnd w:id="179"/>
      <w:r w:rsidR="0085114A" w:rsidRPr="00082C78">
        <w:rPr>
          <w:rFonts w:eastAsia="Times New Roman"/>
          <w:rtl/>
        </w:rPr>
        <w:t xml:space="preserve"> </w:t>
      </w:r>
    </w:p>
    <w:p w:rsidR="00271D14" w:rsidRDefault="00271D14" w:rsidP="00604C3D">
      <w:pPr>
        <w:spacing w:line="269" w:lineRule="auto"/>
        <w:rPr>
          <w:rFonts w:ascii="David" w:eastAsia="Calibri" w:hAnsi="David"/>
          <w:sz w:val="24"/>
          <w:rtl/>
        </w:rPr>
      </w:pPr>
    </w:p>
    <w:p w:rsidR="0085114A" w:rsidRPr="00082C78" w:rsidRDefault="0085114A" w:rsidP="00604C3D">
      <w:pPr>
        <w:spacing w:line="269" w:lineRule="auto"/>
        <w:rPr>
          <w:rFonts w:ascii="David" w:eastAsia="Calibri" w:hAnsi="David"/>
          <w:sz w:val="24"/>
          <w:rtl/>
        </w:rPr>
      </w:pPr>
      <w:r w:rsidRPr="00082C78">
        <w:rPr>
          <w:rFonts w:ascii="David" w:eastAsia="Calibri" w:hAnsi="David" w:hint="cs"/>
          <w:sz w:val="24"/>
          <w:rtl/>
        </w:rPr>
        <w:t>שימוש המשטרה בכלים טכנולוגיים כרוך בקבלת אישור משפטי שבסמכותה להפעיל את אותם הכלים ולקבל את תוצריהם. תוצרי הכלים הטכנולוגיים - נתוני תקשורת או תוצרי האזנת סתר -</w:t>
      </w:r>
      <w:r w:rsidR="00382AE8">
        <w:rPr>
          <w:rFonts w:ascii="David" w:eastAsia="Calibri" w:hAnsi="David" w:hint="cs"/>
          <w:sz w:val="24"/>
          <w:rtl/>
        </w:rPr>
        <w:t xml:space="preserve"> </w:t>
      </w:r>
      <w:r w:rsidRPr="00082C78">
        <w:rPr>
          <w:rFonts w:ascii="David" w:eastAsia="Calibri" w:hAnsi="David" w:hint="cs"/>
          <w:sz w:val="24"/>
          <w:rtl/>
        </w:rPr>
        <w:t xml:space="preserve">יכולים לשמש לצרכים מודיעיניים בלבד או לשמש בהמשך ראיה בהליך </w:t>
      </w:r>
      <w:r w:rsidR="00BD1060">
        <w:rPr>
          <w:rFonts w:ascii="David" w:eastAsia="Calibri" w:hAnsi="David" w:hint="cs"/>
          <w:sz w:val="24"/>
          <w:rtl/>
        </w:rPr>
        <w:t>פלילי</w:t>
      </w:r>
      <w:r w:rsidRPr="00082C78">
        <w:rPr>
          <w:rFonts w:ascii="David" w:eastAsia="Calibri" w:hAnsi="David" w:hint="cs"/>
          <w:sz w:val="24"/>
          <w:rtl/>
        </w:rPr>
        <w:t>. אם המשטרה מבקשת להשתמש בכלי טכנולוגי לשם הפקת ראיה פלילית קבילה, נדרש לבצע "</w:t>
      </w:r>
      <w:r w:rsidRPr="00082C78">
        <w:rPr>
          <w:rFonts w:ascii="David" w:eastAsia="Calibri" w:hAnsi="David" w:hint="eastAsia"/>
          <w:sz w:val="24"/>
          <w:rtl/>
        </w:rPr>
        <w:t>תיקוף</w:t>
      </w:r>
      <w:r w:rsidRPr="00082C78">
        <w:rPr>
          <w:rFonts w:ascii="David" w:eastAsia="Calibri" w:hAnsi="David"/>
          <w:sz w:val="24"/>
          <w:rtl/>
        </w:rPr>
        <w:t xml:space="preserve"> </w:t>
      </w:r>
      <w:r w:rsidRPr="00082C78">
        <w:rPr>
          <w:rFonts w:ascii="David" w:eastAsia="Calibri" w:hAnsi="David" w:hint="eastAsia"/>
          <w:sz w:val="24"/>
          <w:rtl/>
        </w:rPr>
        <w:t>ראייתי</w:t>
      </w:r>
      <w:r w:rsidRPr="00082C78">
        <w:rPr>
          <w:rFonts w:ascii="David" w:eastAsia="Calibri" w:hAnsi="David"/>
          <w:sz w:val="24"/>
          <w:vertAlign w:val="superscript"/>
          <w:rtl/>
        </w:rPr>
        <w:footnoteReference w:id="49"/>
      </w:r>
      <w:r w:rsidRPr="00082C78">
        <w:rPr>
          <w:rFonts w:ascii="David" w:eastAsia="Calibri" w:hAnsi="David"/>
          <w:sz w:val="24"/>
          <w:rtl/>
        </w:rPr>
        <w:t>"</w:t>
      </w:r>
      <w:r w:rsidRPr="00082C78">
        <w:rPr>
          <w:rFonts w:ascii="David" w:eastAsia="Calibri" w:hAnsi="David" w:hint="cs"/>
          <w:sz w:val="24"/>
          <w:rtl/>
        </w:rPr>
        <w:t xml:space="preserve"> של הכלי הטכנולוגי שבו השתמשה ושל התוצר שהופק ממנו. על פי רוב, התיקוף הראייתי מתבצע על ידי מומחים בתחום המשפטי והטכנולוגי בפרקליטות.</w:t>
      </w:r>
    </w:p>
    <w:p w:rsidR="00271D14" w:rsidRDefault="00271D14" w:rsidP="00604C3D">
      <w:pPr>
        <w:spacing w:line="269" w:lineRule="auto"/>
        <w:rPr>
          <w:rFonts w:ascii="David" w:eastAsia="Calibri" w:hAnsi="David"/>
          <w:sz w:val="24"/>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הגורם המשפטי במשרד המשפטים המוסמך לאשר כי בסמכות המשטרה להשתמש בכלי טכנולוגי מסוים הוא גורמי הייעוץ המשפטי לממשלה, ואילו הגורם שבסמכותו לבצע תיקוף ראייתי הוא הפרקליטות.</w:t>
      </w:r>
    </w:p>
    <w:p w:rsidR="00271D14" w:rsidRDefault="00271D14" w:rsidP="00604C3D">
      <w:pPr>
        <w:spacing w:line="269" w:lineRule="auto"/>
        <w:rPr>
          <w:rFonts w:ascii="David" w:eastAsia="Calibri" w:hAnsi="David"/>
          <w:sz w:val="24"/>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 xml:space="preserve">מטרת התיקוף הראייתי היא לאשר כי רשויות התביעה יכולות להתבסס על תוצר של כלי טכנולוגי כראיה במסגרת הליך פלילי, וכי אין פגם בהגשת אותה ראיה לבית המשפט. על גורמי התביעה בפרקליטות להשתכנע כי הכלים הטכנולוגיים מספקים תוצרים מהימנים, וכי התוצרים שנאספו ונקלטו בכלים אלה נשמרים כראוי, וכי הפקת הנתונים על ידי כלים אלה לא גרמה לשינוי שלהם, לעיוותם, לגריעה מהם או להוספת נתונים חדשים באופן העלול לפגוע בחקר האמת ובהגנת הנאשמים. </w:t>
      </w:r>
    </w:p>
    <w:p w:rsidR="00271D14" w:rsidRDefault="00271D14" w:rsidP="00604C3D">
      <w:pPr>
        <w:spacing w:line="269" w:lineRule="auto"/>
        <w:rPr>
          <w:rFonts w:ascii="David" w:eastAsia="Calibri" w:hAnsi="David"/>
          <w:sz w:val="24"/>
          <w:rtl/>
        </w:rPr>
      </w:pPr>
    </w:p>
    <w:p w:rsidR="0085114A" w:rsidRPr="00082C78" w:rsidRDefault="0085114A" w:rsidP="00604C3D">
      <w:pPr>
        <w:spacing w:line="269" w:lineRule="auto"/>
        <w:rPr>
          <w:rFonts w:ascii="David" w:eastAsia="Calibri" w:hAnsi="David"/>
          <w:sz w:val="24"/>
          <w:rtl/>
        </w:rPr>
      </w:pPr>
      <w:r w:rsidRPr="00082C78">
        <w:rPr>
          <w:rFonts w:ascii="David" w:eastAsia="Calibri" w:hAnsi="David" w:hint="cs"/>
          <w:sz w:val="24"/>
          <w:rtl/>
        </w:rPr>
        <w:t>ההחלטה אם יתבצע תיקוף ראייתי של כלי נתונה לשיקול דעתה של המשטרה, והיא האחראית לדווח לרשויות התביעה כי נעשה שימוש בכלי טכנולוגי לצורך הפקת ראיה פלילית.</w:t>
      </w:r>
      <w:r w:rsidRPr="00082C78">
        <w:rPr>
          <w:rFonts w:ascii="David" w:eastAsia="Calibri" w:hAnsi="David"/>
          <w:sz w:val="24"/>
          <w:rtl/>
        </w:rPr>
        <w:t xml:space="preserve"> חטיבת הסייבר </w:t>
      </w:r>
      <w:r w:rsidRPr="00082C78">
        <w:rPr>
          <w:rFonts w:ascii="David" w:eastAsia="Calibri" w:hAnsi="David" w:hint="cs"/>
          <w:sz w:val="24"/>
          <w:rtl/>
        </w:rPr>
        <w:t xml:space="preserve">במשטרה </w:t>
      </w:r>
      <w:r w:rsidRPr="00082C78">
        <w:rPr>
          <w:rFonts w:ascii="David" w:eastAsia="Calibri" w:hAnsi="David"/>
          <w:sz w:val="24"/>
          <w:rtl/>
        </w:rPr>
        <w:t>אחראי</w:t>
      </w:r>
      <w:r w:rsidRPr="00082C78">
        <w:rPr>
          <w:rFonts w:ascii="David" w:eastAsia="Calibri" w:hAnsi="David" w:hint="cs"/>
          <w:sz w:val="24"/>
          <w:rtl/>
        </w:rPr>
        <w:t>ת</w:t>
      </w:r>
      <w:r w:rsidRPr="00082C78">
        <w:rPr>
          <w:rFonts w:ascii="David" w:eastAsia="Calibri" w:hAnsi="David"/>
          <w:sz w:val="24"/>
          <w:rtl/>
        </w:rPr>
        <w:t xml:space="preserve"> </w:t>
      </w:r>
      <w:r w:rsidRPr="00082C78">
        <w:rPr>
          <w:rFonts w:ascii="David" w:eastAsia="Calibri" w:hAnsi="David" w:hint="cs"/>
          <w:sz w:val="24"/>
          <w:rtl/>
        </w:rPr>
        <w:t>ל</w:t>
      </w:r>
      <w:r w:rsidRPr="00082C78">
        <w:rPr>
          <w:rFonts w:ascii="David" w:eastAsia="Calibri" w:hAnsi="David"/>
          <w:sz w:val="24"/>
          <w:rtl/>
        </w:rPr>
        <w:t>הכנת מסמך תכולות</w:t>
      </w:r>
      <w:r w:rsidRPr="00082C78">
        <w:rPr>
          <w:rFonts w:ascii="David" w:eastAsia="Calibri" w:hAnsi="David"/>
          <w:sz w:val="24"/>
          <w:vertAlign w:val="superscript"/>
          <w:rtl/>
        </w:rPr>
        <w:footnoteReference w:id="50"/>
      </w:r>
      <w:r w:rsidRPr="00082C78">
        <w:rPr>
          <w:rFonts w:ascii="David" w:eastAsia="Calibri" w:hAnsi="David"/>
          <w:sz w:val="24"/>
          <w:rtl/>
        </w:rPr>
        <w:t xml:space="preserve"> לכלי </w:t>
      </w:r>
      <w:r w:rsidRPr="00082C78">
        <w:rPr>
          <w:rFonts w:ascii="David" w:eastAsia="Calibri" w:hAnsi="David" w:hint="cs"/>
          <w:sz w:val="24"/>
          <w:rtl/>
        </w:rPr>
        <w:t xml:space="preserve">המשמש להאזנת סתר, וזאת </w:t>
      </w:r>
      <w:r w:rsidRPr="00082C78">
        <w:rPr>
          <w:rFonts w:ascii="David" w:eastAsia="Calibri" w:hAnsi="David"/>
          <w:sz w:val="24"/>
          <w:rtl/>
        </w:rPr>
        <w:t>לצורך תיקופו</w:t>
      </w:r>
      <w:r w:rsidRPr="00082C78">
        <w:rPr>
          <w:rFonts w:ascii="David" w:eastAsia="Calibri" w:hAnsi="David" w:hint="cs"/>
          <w:sz w:val="24"/>
          <w:rtl/>
        </w:rPr>
        <w:t xml:space="preserve"> </w:t>
      </w:r>
      <w:r w:rsidRPr="00082C78">
        <w:rPr>
          <w:rFonts w:ascii="David" w:eastAsia="Calibri" w:hAnsi="David"/>
          <w:sz w:val="24"/>
          <w:rtl/>
        </w:rPr>
        <w:t>ה</w:t>
      </w:r>
      <w:r>
        <w:rPr>
          <w:rFonts w:ascii="David" w:eastAsia="Calibri" w:hAnsi="David" w:hint="cs"/>
          <w:sz w:val="24"/>
          <w:rtl/>
        </w:rPr>
        <w:t>ראייתי</w:t>
      </w:r>
      <w:r w:rsidRPr="00082C78">
        <w:rPr>
          <w:rFonts w:ascii="David" w:eastAsia="Calibri" w:hAnsi="David"/>
          <w:sz w:val="24"/>
          <w:vertAlign w:val="superscript"/>
          <w:rtl/>
        </w:rPr>
        <w:footnoteReference w:id="51"/>
      </w:r>
      <w:r w:rsidRPr="00082C78">
        <w:rPr>
          <w:rFonts w:ascii="David" w:eastAsia="Calibri" w:hAnsi="David" w:hint="cs"/>
          <w:sz w:val="24"/>
          <w:rtl/>
        </w:rPr>
        <w:t>.</w:t>
      </w:r>
    </w:p>
    <w:p w:rsidR="00271D14" w:rsidRDefault="00271D14" w:rsidP="00604C3D">
      <w:pPr>
        <w:spacing w:line="269" w:lineRule="auto"/>
        <w:rPr>
          <w:rFonts w:ascii="David" w:eastAsia="Calibri" w:hAnsi="David"/>
          <w:sz w:val="24"/>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sz w:val="24"/>
          <w:rtl/>
        </w:rPr>
        <w:t xml:space="preserve">הפרקליטות, כרשות תביעה, רשאית לפעול רק בהתאם לסמכויות </w:t>
      </w:r>
      <w:r w:rsidRPr="00082C78">
        <w:rPr>
          <w:rFonts w:ascii="David" w:eastAsia="Calibri" w:hAnsi="David" w:hint="cs"/>
          <w:sz w:val="24"/>
          <w:rtl/>
        </w:rPr>
        <w:t>שהוקנו</w:t>
      </w:r>
      <w:r w:rsidRPr="00082C78">
        <w:rPr>
          <w:rFonts w:ascii="David" w:eastAsia="Calibri" w:hAnsi="David"/>
          <w:sz w:val="24"/>
          <w:rtl/>
        </w:rPr>
        <w:t xml:space="preserve"> לה במפורש על פי דין</w:t>
      </w:r>
      <w:r w:rsidRPr="00082C78">
        <w:rPr>
          <w:rFonts w:ascii="David" w:eastAsia="Calibri" w:hAnsi="David" w:hint="cs"/>
          <w:sz w:val="24"/>
          <w:rtl/>
        </w:rPr>
        <w:t>,</w:t>
      </w:r>
      <w:r w:rsidRPr="00082C78">
        <w:rPr>
          <w:rFonts w:ascii="David" w:eastAsia="Calibri" w:hAnsi="David"/>
          <w:sz w:val="24"/>
          <w:rtl/>
        </w:rPr>
        <w:t xml:space="preserve"> ובכלל זה הסמכות להגיש כתב אישום</w:t>
      </w:r>
      <w:r w:rsidRPr="00082C78">
        <w:rPr>
          <w:rFonts w:ascii="David" w:eastAsia="Calibri" w:hAnsi="David"/>
          <w:sz w:val="24"/>
          <w:vertAlign w:val="superscript"/>
          <w:rtl/>
        </w:rPr>
        <w:footnoteReference w:id="52"/>
      </w:r>
      <w:r w:rsidRPr="00082C78">
        <w:rPr>
          <w:rFonts w:ascii="David" w:eastAsia="Calibri" w:hAnsi="David" w:hint="cs"/>
          <w:sz w:val="24"/>
          <w:rtl/>
        </w:rPr>
        <w:t xml:space="preserve"> כאשר הראיות מספיקות לאישום</w:t>
      </w:r>
      <w:r w:rsidRPr="00082C78">
        <w:rPr>
          <w:rFonts w:ascii="David" w:eastAsia="Calibri" w:hAnsi="David"/>
          <w:sz w:val="24"/>
          <w:vertAlign w:val="superscript"/>
          <w:rtl/>
        </w:rPr>
        <w:footnoteReference w:id="53"/>
      </w:r>
      <w:r w:rsidRPr="00082C78">
        <w:rPr>
          <w:rFonts w:ascii="David" w:eastAsia="Calibri" w:hAnsi="David" w:hint="cs"/>
          <w:sz w:val="24"/>
          <w:rtl/>
        </w:rPr>
        <w:t xml:space="preserve"> </w:t>
      </w:r>
      <w:r w:rsidRPr="00082C78">
        <w:rPr>
          <w:rFonts w:ascii="David" w:eastAsia="Calibri" w:hAnsi="David"/>
          <w:sz w:val="24"/>
          <w:rtl/>
        </w:rPr>
        <w:t>והסמכות לסגור תיקי חקירה בלי להעמיד את החשודים לדין</w:t>
      </w:r>
      <w:r w:rsidRPr="00082C78">
        <w:rPr>
          <w:rFonts w:ascii="David" w:eastAsia="Calibri" w:hAnsi="David"/>
          <w:sz w:val="24"/>
          <w:vertAlign w:val="superscript"/>
          <w:rtl/>
        </w:rPr>
        <w:footnoteReference w:id="54"/>
      </w:r>
      <w:r w:rsidRPr="00082C78">
        <w:rPr>
          <w:rFonts w:ascii="David" w:eastAsia="Calibri" w:hAnsi="David"/>
          <w:sz w:val="24"/>
          <w:rtl/>
        </w:rPr>
        <w:t xml:space="preserve">. </w:t>
      </w:r>
      <w:r w:rsidRPr="00082C78">
        <w:rPr>
          <w:rFonts w:ascii="David" w:eastAsia="Calibri" w:hAnsi="David" w:hint="cs"/>
          <w:sz w:val="24"/>
          <w:rtl/>
        </w:rPr>
        <w:t>לנוכח העובדה ש</w:t>
      </w:r>
      <w:r w:rsidRPr="00082C78">
        <w:rPr>
          <w:rFonts w:ascii="David" w:eastAsia="Calibri" w:hAnsi="David"/>
          <w:sz w:val="24"/>
          <w:rtl/>
        </w:rPr>
        <w:t xml:space="preserve">הפרקליטות </w:t>
      </w:r>
      <w:r w:rsidRPr="00082C78">
        <w:rPr>
          <w:rFonts w:ascii="David" w:eastAsia="Calibri" w:hAnsi="David" w:hint="cs"/>
          <w:sz w:val="24"/>
          <w:rtl/>
        </w:rPr>
        <w:t xml:space="preserve">מוסמכת </w:t>
      </w:r>
      <w:r w:rsidRPr="00082C78">
        <w:rPr>
          <w:rFonts w:ascii="David" w:eastAsia="Calibri" w:hAnsi="David"/>
          <w:sz w:val="24"/>
          <w:rtl/>
        </w:rPr>
        <w:t xml:space="preserve">להגיש כתבי אישום וראיות לבית המשפט, היא הגורם שבסמכותו </w:t>
      </w:r>
      <w:r w:rsidRPr="00082C78">
        <w:rPr>
          <w:rFonts w:ascii="David" w:eastAsia="Calibri" w:hAnsi="David" w:hint="cs"/>
          <w:sz w:val="24"/>
          <w:rtl/>
        </w:rPr>
        <w:t xml:space="preserve">לבצע </w:t>
      </w:r>
      <w:r w:rsidRPr="00082C78">
        <w:rPr>
          <w:rFonts w:ascii="David" w:eastAsia="Calibri" w:hAnsi="David"/>
          <w:sz w:val="24"/>
          <w:rtl/>
        </w:rPr>
        <w:t>תיק</w:t>
      </w:r>
      <w:r w:rsidRPr="00082C78">
        <w:rPr>
          <w:rFonts w:ascii="David" w:eastAsia="Calibri" w:hAnsi="David" w:hint="cs"/>
          <w:sz w:val="24"/>
          <w:rtl/>
        </w:rPr>
        <w:t>ו</w:t>
      </w:r>
      <w:r w:rsidRPr="00082C78">
        <w:rPr>
          <w:rFonts w:ascii="David" w:eastAsia="Calibri" w:hAnsi="David"/>
          <w:sz w:val="24"/>
          <w:rtl/>
        </w:rPr>
        <w:t xml:space="preserve">ף ראייתי. הדין אינו מקנה לפרקליטות את הסמכות לאשר או לשלול את סמכות המשטרה </w:t>
      </w:r>
      <w:r w:rsidRPr="00082C78">
        <w:rPr>
          <w:rFonts w:ascii="David" w:eastAsia="Calibri" w:hAnsi="David" w:hint="cs"/>
          <w:sz w:val="24"/>
          <w:rtl/>
        </w:rPr>
        <w:t>להשתמש</w:t>
      </w:r>
      <w:r w:rsidRPr="00082C78">
        <w:rPr>
          <w:rFonts w:ascii="David" w:eastAsia="Calibri" w:hAnsi="David"/>
          <w:sz w:val="24"/>
          <w:rtl/>
        </w:rPr>
        <w:t xml:space="preserve"> בכלי טכנולוגי. אישור כאמור ניתן על ידי גורמים משפטיים</w:t>
      </w:r>
      <w:r w:rsidRPr="00082C78">
        <w:rPr>
          <w:rFonts w:ascii="David" w:eastAsia="Calibri" w:hAnsi="David" w:hint="cs"/>
          <w:sz w:val="24"/>
          <w:rtl/>
        </w:rPr>
        <w:t>,</w:t>
      </w:r>
      <w:r w:rsidRPr="00082C78">
        <w:rPr>
          <w:rFonts w:ascii="David" w:eastAsia="Calibri" w:hAnsi="David"/>
          <w:sz w:val="24"/>
          <w:rtl/>
        </w:rPr>
        <w:t xml:space="preserve"> ובכלל זה </w:t>
      </w:r>
      <w:r w:rsidRPr="00082C78">
        <w:rPr>
          <w:rFonts w:ascii="David" w:eastAsia="Calibri" w:hAnsi="David" w:hint="cs"/>
          <w:sz w:val="24"/>
          <w:rtl/>
        </w:rPr>
        <w:t xml:space="preserve">גורמי </w:t>
      </w:r>
      <w:r w:rsidRPr="00082C78">
        <w:rPr>
          <w:rFonts w:ascii="David" w:eastAsia="Calibri" w:hAnsi="David"/>
          <w:sz w:val="24"/>
          <w:rtl/>
        </w:rPr>
        <w:t xml:space="preserve">הייעוץ המשפטי למשטרה, ובמקרה הצורך על ידי </w:t>
      </w:r>
      <w:r w:rsidRPr="00082C78">
        <w:rPr>
          <w:rFonts w:ascii="David" w:eastAsia="Calibri" w:hAnsi="David" w:hint="cs"/>
          <w:sz w:val="24"/>
          <w:rtl/>
        </w:rPr>
        <w:t>גורמי הייעוץ המשפטי</w:t>
      </w:r>
      <w:r w:rsidRPr="00082C78">
        <w:rPr>
          <w:rFonts w:ascii="David" w:eastAsia="Calibri" w:hAnsi="David"/>
          <w:sz w:val="24"/>
          <w:rtl/>
        </w:rPr>
        <w:t xml:space="preserve"> לממשלה.</w:t>
      </w:r>
    </w:p>
    <w:p w:rsidR="00271D14" w:rsidRDefault="00271D14" w:rsidP="00604C3D">
      <w:pPr>
        <w:spacing w:line="269" w:lineRule="auto"/>
        <w:rPr>
          <w:rFonts w:ascii="David" w:eastAsia="Calibri" w:hAnsi="David"/>
          <w:sz w:val="24"/>
          <w:rtl/>
        </w:rPr>
      </w:pPr>
    </w:p>
    <w:p w:rsidR="0085114A" w:rsidRPr="00082C78" w:rsidRDefault="00082C78" w:rsidP="00604C3D">
      <w:pPr>
        <w:spacing w:line="269" w:lineRule="auto"/>
        <w:rPr>
          <w:rFonts w:ascii="David" w:eastAsia="Calibri" w:hAnsi="David"/>
          <w:sz w:val="24"/>
          <w:rtl/>
        </w:rPr>
      </w:pPr>
      <w:r w:rsidRPr="00082C78">
        <w:rPr>
          <w:rFonts w:ascii="David" w:eastAsia="Calibri" w:hAnsi="David" w:hint="cs"/>
          <w:sz w:val="24"/>
          <w:rtl/>
        </w:rPr>
        <w:t xml:space="preserve">למשל, בסמוך להפעלת כלי טכנולוגי מסוים השלימה הפרקליטות בשיתוף המשטרה את תהליך התיקוף הראייתי של הכלי, שכלל בדיקת מהימנות של תוצרים והנפקת תעודת עובד ציבור - תעודה ערוכה בידי איש משטרה שאותה המשטרה מחויבת להציג לבית המשפט אם ברצונה להגיש לו תוצרים שהופקו באמצעות הכלי כדי שישתמש בתוצרים אלה במסגרת הליכים פליליים. </w:t>
      </w:r>
      <w:r w:rsidR="0085114A" w:rsidRPr="00082C78">
        <w:rPr>
          <w:rFonts w:ascii="David" w:eastAsia="Calibri" w:hAnsi="David" w:hint="cs"/>
          <w:sz w:val="24"/>
          <w:rtl/>
        </w:rPr>
        <w:t xml:space="preserve">יצוין כי </w:t>
      </w:r>
      <w:r w:rsidR="00077BF9">
        <w:rPr>
          <w:rFonts w:ascii="David" w:eastAsia="Calibri" w:hAnsi="David" w:hint="cs"/>
          <w:sz w:val="24"/>
          <w:rtl/>
        </w:rPr>
        <w:t>כלים טכנולוגיים מסוימים</w:t>
      </w:r>
      <w:r w:rsidR="00242753">
        <w:rPr>
          <w:rFonts w:ascii="David" w:eastAsia="Calibri" w:hAnsi="David" w:hint="cs"/>
          <w:sz w:val="24"/>
          <w:rtl/>
        </w:rPr>
        <w:t xml:space="preserve"> </w:t>
      </w:r>
      <w:r w:rsidR="00242753" w:rsidRPr="00082C78">
        <w:rPr>
          <w:rFonts w:ascii="David" w:eastAsia="Calibri" w:hAnsi="David" w:hint="cs"/>
          <w:sz w:val="24"/>
          <w:rtl/>
        </w:rPr>
        <w:t>המשמש</w:t>
      </w:r>
      <w:r w:rsidR="00077BF9">
        <w:rPr>
          <w:rFonts w:ascii="David" w:eastAsia="Calibri" w:hAnsi="David" w:hint="cs"/>
          <w:sz w:val="24"/>
          <w:rtl/>
        </w:rPr>
        <w:t>ים</w:t>
      </w:r>
      <w:r w:rsidR="00242753" w:rsidRPr="00082C78">
        <w:rPr>
          <w:rFonts w:ascii="David" w:eastAsia="Calibri" w:hAnsi="David" w:hint="cs"/>
          <w:sz w:val="24"/>
          <w:rtl/>
        </w:rPr>
        <w:t xml:space="preserve"> </w:t>
      </w:r>
      <w:r w:rsidR="0085114A" w:rsidRPr="00082C78">
        <w:rPr>
          <w:rFonts w:ascii="David" w:eastAsia="Calibri" w:hAnsi="David" w:hint="cs"/>
          <w:sz w:val="24"/>
          <w:rtl/>
        </w:rPr>
        <w:t>להאזנת סתר לא עברו תיקוף ראייתי, ולעמדת חוקרים בתחום, ביצוע התיקוף הראייתי לתוצריהם עשוי להיתקל בקשיים</w:t>
      </w:r>
      <w:r w:rsidR="0085114A" w:rsidRPr="00082C78">
        <w:rPr>
          <w:rFonts w:ascii="David" w:eastAsia="Calibri" w:hAnsi="David"/>
          <w:sz w:val="24"/>
          <w:vertAlign w:val="superscript"/>
          <w:rtl/>
        </w:rPr>
        <w:footnoteReference w:id="55"/>
      </w:r>
      <w:r w:rsidR="0085114A" w:rsidRPr="00082C78">
        <w:rPr>
          <w:rFonts w:ascii="David" w:eastAsia="Calibri" w:hAnsi="David" w:hint="cs"/>
          <w:sz w:val="24"/>
          <w:rtl/>
        </w:rPr>
        <w:t>.</w:t>
      </w:r>
    </w:p>
    <w:p w:rsidR="00271D14" w:rsidRDefault="00271D14" w:rsidP="00604C3D">
      <w:pPr>
        <w:spacing w:line="269" w:lineRule="auto"/>
        <w:rPr>
          <w:szCs w:val="20"/>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 xml:space="preserve">משרד מבקר המדינה בחן שני מקרים שבהם </w:t>
      </w:r>
      <w:r w:rsidR="0021237D">
        <w:rPr>
          <w:rFonts w:ascii="David" w:eastAsia="Calibri" w:hAnsi="David" w:hint="cs"/>
          <w:sz w:val="24"/>
          <w:rtl/>
        </w:rPr>
        <w:t>פעולות וכלים בתחומי האזנות הסתר הובאו</w:t>
      </w:r>
      <w:r w:rsidR="00382AE8">
        <w:rPr>
          <w:rFonts w:ascii="David" w:eastAsia="Calibri" w:hAnsi="David" w:hint="cs"/>
          <w:sz w:val="24"/>
          <w:rtl/>
        </w:rPr>
        <w:t xml:space="preserve"> </w:t>
      </w:r>
      <w:r w:rsidR="0021237D">
        <w:rPr>
          <w:rFonts w:ascii="David" w:eastAsia="Calibri" w:hAnsi="David" w:hint="cs"/>
          <w:sz w:val="24"/>
          <w:rtl/>
        </w:rPr>
        <w:t>לבחינת ה</w:t>
      </w:r>
      <w:r w:rsidRPr="00082C78">
        <w:rPr>
          <w:rFonts w:ascii="David" w:eastAsia="Calibri" w:hAnsi="David" w:hint="cs"/>
          <w:sz w:val="24"/>
          <w:rtl/>
        </w:rPr>
        <w:t xml:space="preserve">פרקליטות, </w:t>
      </w:r>
      <w:r w:rsidR="0021237D">
        <w:rPr>
          <w:rFonts w:ascii="David" w:eastAsia="Calibri" w:hAnsi="David" w:hint="cs"/>
          <w:sz w:val="24"/>
          <w:rtl/>
        </w:rPr>
        <w:t>בטרם אושרו על ידי הייעוץ המשפטי לממשלה</w:t>
      </w:r>
      <w:r w:rsidRPr="00082C78">
        <w:rPr>
          <w:rFonts w:ascii="David" w:eastAsia="Calibri" w:hAnsi="David" w:hint="cs"/>
          <w:sz w:val="24"/>
          <w:rtl/>
        </w:rPr>
        <w:t>.</w:t>
      </w:r>
    </w:p>
    <w:p w:rsidR="00271D14" w:rsidRPr="00271D14" w:rsidRDefault="00271D14" w:rsidP="00604C3D">
      <w:pPr>
        <w:spacing w:line="269" w:lineRule="auto"/>
        <w:ind w:left="84"/>
        <w:rPr>
          <w:rFonts w:ascii="David" w:eastAsia="Calibri" w:hAnsi="David"/>
          <w:sz w:val="24"/>
        </w:rPr>
      </w:pPr>
    </w:p>
    <w:p w:rsidR="00082C78" w:rsidRPr="00BF287B" w:rsidRDefault="00082C78" w:rsidP="008C598D">
      <w:pPr>
        <w:pStyle w:val="af2"/>
        <w:numPr>
          <w:ilvl w:val="0"/>
          <w:numId w:val="70"/>
        </w:numPr>
        <w:spacing w:line="269" w:lineRule="auto"/>
        <w:ind w:left="363" w:hanging="357"/>
        <w:rPr>
          <w:rtl/>
        </w:rPr>
      </w:pPr>
      <w:r w:rsidRPr="00BF287B">
        <w:rPr>
          <w:rStyle w:val="70"/>
          <w:rFonts w:hint="eastAsia"/>
          <w:rtl/>
        </w:rPr>
        <w:t>אישור</w:t>
      </w:r>
      <w:r w:rsidRPr="00BF287B">
        <w:rPr>
          <w:rStyle w:val="70"/>
          <w:rtl/>
        </w:rPr>
        <w:t xml:space="preserve"> </w:t>
      </w:r>
      <w:r w:rsidRPr="00BF287B">
        <w:rPr>
          <w:rStyle w:val="70"/>
          <w:rFonts w:hint="eastAsia"/>
          <w:rtl/>
        </w:rPr>
        <w:t>לשימוש</w:t>
      </w:r>
      <w:r w:rsidRPr="00BF287B">
        <w:rPr>
          <w:rStyle w:val="70"/>
          <w:rtl/>
        </w:rPr>
        <w:t xml:space="preserve"> </w:t>
      </w:r>
      <w:r w:rsidRPr="00BF287B">
        <w:rPr>
          <w:rStyle w:val="70"/>
          <w:rFonts w:hint="eastAsia"/>
          <w:rtl/>
        </w:rPr>
        <w:t>בכלי</w:t>
      </w:r>
      <w:r w:rsidRPr="00BF287B">
        <w:rPr>
          <w:rStyle w:val="70"/>
          <w:rtl/>
        </w:rPr>
        <w:t xml:space="preserve"> </w:t>
      </w:r>
      <w:r w:rsidRPr="00BF287B">
        <w:rPr>
          <w:rStyle w:val="70"/>
          <w:rFonts w:hint="eastAsia"/>
          <w:rtl/>
        </w:rPr>
        <w:t>טכנולוגי</w:t>
      </w:r>
      <w:r w:rsidRPr="00BF287B">
        <w:rPr>
          <w:rStyle w:val="70"/>
          <w:rtl/>
        </w:rPr>
        <w:t xml:space="preserve"> </w:t>
      </w:r>
      <w:r w:rsidRPr="00BF287B">
        <w:rPr>
          <w:rStyle w:val="70"/>
          <w:rFonts w:hint="eastAsia"/>
          <w:rtl/>
        </w:rPr>
        <w:t>מסוים</w:t>
      </w:r>
      <w:r w:rsidRPr="00BF287B">
        <w:rPr>
          <w:rStyle w:val="70"/>
          <w:rtl/>
        </w:rPr>
        <w:t>:</w:t>
      </w:r>
      <w:r w:rsidRPr="00BF287B">
        <w:rPr>
          <w:rFonts w:hint="cs"/>
          <w:rtl/>
        </w:rPr>
        <w:t xml:space="preserve"> באוגוסט 2011 התבקש</w:t>
      </w:r>
      <w:r w:rsidR="007A1868" w:rsidRPr="00BF287B">
        <w:rPr>
          <w:rFonts w:hint="cs"/>
          <w:rtl/>
        </w:rPr>
        <w:t>ה</w:t>
      </w:r>
      <w:r w:rsidRPr="00BF287B">
        <w:rPr>
          <w:rFonts w:hint="cs"/>
          <w:rtl/>
        </w:rPr>
        <w:t xml:space="preserve"> </w:t>
      </w:r>
      <w:r w:rsidR="001F5776" w:rsidRPr="00BF287B">
        <w:rPr>
          <w:rFonts w:hint="cs"/>
          <w:rtl/>
        </w:rPr>
        <w:t>פרקליטות המדינה</w:t>
      </w:r>
      <w:r w:rsidRPr="00BF287B">
        <w:rPr>
          <w:rFonts w:hint="cs"/>
          <w:rtl/>
        </w:rPr>
        <w:t xml:space="preserve"> על ידי </w:t>
      </w:r>
      <w:r w:rsidR="00481AA1" w:rsidRPr="00BF287B">
        <w:rPr>
          <w:rFonts w:hint="cs"/>
          <w:rtl/>
        </w:rPr>
        <w:t>נציג המשטרה</w:t>
      </w:r>
      <w:r w:rsidRPr="00BF287B">
        <w:rPr>
          <w:rFonts w:hint="cs"/>
          <w:rtl/>
        </w:rPr>
        <w:t xml:space="preserve"> לבדוק כלי טכנולוגי מסוים</w:t>
      </w:r>
      <w:r w:rsidR="00382AE8" w:rsidRPr="00BF287B">
        <w:rPr>
          <w:rFonts w:hint="cs"/>
          <w:rtl/>
        </w:rPr>
        <w:t xml:space="preserve"> </w:t>
      </w:r>
      <w:r w:rsidRPr="00BF287B">
        <w:rPr>
          <w:rFonts w:hint="cs"/>
          <w:rtl/>
        </w:rPr>
        <w:t xml:space="preserve">- כלי לקבלת תוצרי האזנת הסתר, שאותו רכשה זה מקרוב ואשר היה בכוונתה להשתמש בו לצורך איסוף מידע במסגרת חקירות פליליות. בספטמבר 2011 </w:t>
      </w:r>
      <w:r w:rsidR="00481AA1" w:rsidRPr="00BF287B">
        <w:rPr>
          <w:rFonts w:hint="cs"/>
          <w:rtl/>
        </w:rPr>
        <w:t xml:space="preserve">העביר </w:t>
      </w:r>
      <w:r w:rsidR="0021237D" w:rsidRPr="00BF287B">
        <w:rPr>
          <w:rFonts w:hint="cs"/>
          <w:rtl/>
        </w:rPr>
        <w:t xml:space="preserve">נציג </w:t>
      </w:r>
      <w:r w:rsidRPr="00BF287B">
        <w:rPr>
          <w:rFonts w:hint="cs"/>
          <w:rtl/>
        </w:rPr>
        <w:t>פרקליט</w:t>
      </w:r>
      <w:r w:rsidR="0021237D" w:rsidRPr="00BF287B">
        <w:rPr>
          <w:rFonts w:hint="cs"/>
          <w:rtl/>
        </w:rPr>
        <w:t>ות</w:t>
      </w:r>
      <w:r w:rsidR="00382AE8" w:rsidRPr="00BF287B">
        <w:rPr>
          <w:rFonts w:hint="cs"/>
          <w:rtl/>
        </w:rPr>
        <w:t xml:space="preserve"> </w:t>
      </w:r>
      <w:r w:rsidR="00481AA1" w:rsidRPr="00BF287B">
        <w:rPr>
          <w:rFonts w:hint="cs"/>
          <w:rtl/>
        </w:rPr>
        <w:t>בקשה לאשר את</w:t>
      </w:r>
      <w:r w:rsidRPr="00BF287B">
        <w:rPr>
          <w:rFonts w:hint="cs"/>
          <w:rtl/>
        </w:rPr>
        <w:t xml:space="preserve"> התיקוף הראייתי של הכלי, ובאפריל 2012 אישר </w:t>
      </w:r>
      <w:r w:rsidR="00691C64" w:rsidRPr="00BF287B">
        <w:rPr>
          <w:rFonts w:hint="cs"/>
          <w:rtl/>
        </w:rPr>
        <w:t>נציג פרקליטות</w:t>
      </w:r>
      <w:r w:rsidR="0021237D" w:rsidRPr="00BF287B">
        <w:rPr>
          <w:rFonts w:hint="cs"/>
          <w:rtl/>
        </w:rPr>
        <w:t xml:space="preserve"> נוסף</w:t>
      </w:r>
      <w:r w:rsidRPr="00BF287B">
        <w:rPr>
          <w:rFonts w:hint="cs"/>
          <w:rtl/>
        </w:rPr>
        <w:t xml:space="preserve"> למשטרה</w:t>
      </w:r>
      <w:r w:rsidR="00382AE8" w:rsidRPr="00BF287B">
        <w:rPr>
          <w:rFonts w:hint="cs"/>
          <w:rtl/>
        </w:rPr>
        <w:t xml:space="preserve"> </w:t>
      </w:r>
      <w:r w:rsidRPr="00BF287B">
        <w:rPr>
          <w:rFonts w:hint="cs"/>
          <w:rtl/>
        </w:rPr>
        <w:t xml:space="preserve">את הפעלתו לצורך הפקת ראיות </w:t>
      </w:r>
      <w:r w:rsidR="00481AA1" w:rsidRPr="00BF287B">
        <w:rPr>
          <w:rFonts w:hint="cs"/>
          <w:rtl/>
        </w:rPr>
        <w:t xml:space="preserve">קבילות </w:t>
      </w:r>
      <w:r w:rsidRPr="00BF287B">
        <w:rPr>
          <w:rFonts w:hint="cs"/>
          <w:rtl/>
        </w:rPr>
        <w:t>בתיקי חקירה.</w:t>
      </w:r>
    </w:p>
    <w:p w:rsidR="00271D14" w:rsidRDefault="00271D14" w:rsidP="00604C3D">
      <w:pPr>
        <w:spacing w:line="269" w:lineRule="auto"/>
        <w:rPr>
          <w:rFonts w:ascii="David" w:eastAsia="Calibri" w:hAnsi="David"/>
          <w:sz w:val="24"/>
          <w:rtl/>
        </w:rPr>
      </w:pPr>
    </w:p>
    <w:p w:rsidR="00082C78" w:rsidRPr="00082C78" w:rsidRDefault="000143E1" w:rsidP="008E5F04">
      <w:pPr>
        <w:spacing w:line="269" w:lineRule="auto"/>
        <w:ind w:left="340"/>
        <w:rPr>
          <w:rFonts w:ascii="David" w:eastAsia="Calibri" w:hAnsi="David"/>
          <w:sz w:val="24"/>
          <w:rtl/>
        </w:rPr>
      </w:pPr>
      <w:r>
        <w:rPr>
          <w:rFonts w:ascii="David" w:eastAsia="Calibri" w:hAnsi="David" w:hint="cs"/>
          <w:sz w:val="24"/>
          <w:rtl/>
        </w:rPr>
        <w:t>נציג הפרקליטות</w:t>
      </w:r>
      <w:r w:rsidR="00082C78" w:rsidRPr="00082C78">
        <w:rPr>
          <w:rFonts w:ascii="David" w:eastAsia="Calibri" w:hAnsi="David" w:hint="cs"/>
          <w:sz w:val="24"/>
          <w:rtl/>
        </w:rPr>
        <w:t xml:space="preserve"> קבע באפריל 2012 כי בשנה הראשונה לפעילותו המבצעית של הכלי לצורך הפקת ראיות בתיקי חקירה יבוצע ניתוח תוצרי האזנה, וכי הוצאת תעודות החיסיון והעברת החומרים לפרקליטים המטפלים יתבצעו על ידי הממונה בשיתוף הפרקליט המטפל בתיק ופרקליט המחוז או מנהל המחלקה. המשטרה התבקשה לדווח לממונה על כל תיק חקירה שבו מופעל הכלי - משלב החקירה הסמויה עד לשלב החקירה הגלויה. עוד קבע </w:t>
      </w:r>
      <w:r w:rsidR="001F5776">
        <w:rPr>
          <w:rFonts w:ascii="David" w:eastAsia="Calibri" w:hAnsi="David" w:hint="cs"/>
          <w:sz w:val="24"/>
          <w:rtl/>
        </w:rPr>
        <w:t>נציג הפרקליטות</w:t>
      </w:r>
      <w:r w:rsidR="00082C78" w:rsidRPr="00082C78">
        <w:rPr>
          <w:rFonts w:ascii="David" w:eastAsia="Calibri" w:hAnsi="David" w:hint="cs"/>
          <w:sz w:val="24"/>
          <w:rtl/>
        </w:rPr>
        <w:t xml:space="preserve"> כי בתום השנה הראשונה לפעילות המבצעית של הכלי תתבצע הערכת מצב משותפת של הפרקליטות עם המשטרה בדבר אופן הטמעת הכלי וגיבוש נוהל האזנת סתר לתקשורת בין מחשבים. </w:t>
      </w:r>
    </w:p>
    <w:p w:rsidR="00271D14" w:rsidRDefault="00271D14" w:rsidP="00604C3D">
      <w:pPr>
        <w:spacing w:line="269" w:lineRule="auto"/>
        <w:rPr>
          <w:rFonts w:ascii="David" w:eastAsia="Calibri" w:hAnsi="David"/>
          <w:sz w:val="24"/>
          <w:rtl/>
        </w:rPr>
      </w:pPr>
    </w:p>
    <w:p w:rsidR="00082C78" w:rsidRPr="00082C78" w:rsidRDefault="00082C78" w:rsidP="008E5F04">
      <w:pPr>
        <w:spacing w:line="269" w:lineRule="auto"/>
        <w:ind w:left="340"/>
        <w:rPr>
          <w:rFonts w:ascii="David" w:eastAsia="Calibri" w:hAnsi="David"/>
          <w:sz w:val="24"/>
          <w:rtl/>
        </w:rPr>
      </w:pPr>
      <w:r w:rsidRPr="00082C78">
        <w:rPr>
          <w:rFonts w:ascii="David" w:eastAsia="Calibri" w:hAnsi="David" w:hint="cs"/>
          <w:sz w:val="24"/>
          <w:rtl/>
        </w:rPr>
        <w:t xml:space="preserve">ב-15.4.12 כתב </w:t>
      </w:r>
      <w:r w:rsidR="000143E1">
        <w:rPr>
          <w:rFonts w:ascii="David" w:eastAsia="Calibri" w:hAnsi="David" w:hint="cs"/>
          <w:sz w:val="24"/>
          <w:rtl/>
        </w:rPr>
        <w:t>נציג פרקליטות</w:t>
      </w:r>
      <w:r w:rsidRPr="00082C78">
        <w:rPr>
          <w:rFonts w:ascii="David" w:eastAsia="Calibri" w:hAnsi="David" w:hint="cs"/>
          <w:sz w:val="24"/>
          <w:rtl/>
        </w:rPr>
        <w:t xml:space="preserve"> לפרקליטי המחוז ולמנהלי המחלקות בפרקליטות כי הוא מאשר את קבילותו המשפטית</w:t>
      </w:r>
      <w:r w:rsidRPr="00082C78">
        <w:rPr>
          <w:rFonts w:ascii="David" w:eastAsia="Calibri" w:hAnsi="David"/>
          <w:sz w:val="24"/>
          <w:vertAlign w:val="superscript"/>
          <w:rtl/>
        </w:rPr>
        <w:footnoteReference w:id="56"/>
      </w:r>
      <w:r w:rsidRPr="00082C78">
        <w:rPr>
          <w:rFonts w:ascii="David" w:eastAsia="Calibri" w:hAnsi="David" w:hint="cs"/>
          <w:sz w:val="24"/>
          <w:rtl/>
        </w:rPr>
        <w:t xml:space="preserve"> (כך במקור) של הכלי האמור</w:t>
      </w:r>
      <w:r w:rsidR="00AD7742">
        <w:rPr>
          <w:rFonts w:ascii="David" w:eastAsia="Calibri" w:hAnsi="David" w:hint="cs"/>
          <w:sz w:val="24"/>
          <w:rtl/>
        </w:rPr>
        <w:t>.</w:t>
      </w:r>
    </w:p>
    <w:p w:rsidR="00271D14" w:rsidRDefault="00271D14" w:rsidP="00604C3D">
      <w:pPr>
        <w:spacing w:line="269" w:lineRule="auto"/>
        <w:ind w:left="83"/>
        <w:rPr>
          <w:rFonts w:ascii="David" w:eastAsia="Calibri" w:hAnsi="David"/>
          <w:sz w:val="24"/>
          <w:rtl/>
        </w:rPr>
      </w:pPr>
    </w:p>
    <w:p w:rsidR="00082C78" w:rsidRPr="00082C78" w:rsidRDefault="00082C78" w:rsidP="008E5F04">
      <w:pPr>
        <w:spacing w:line="269" w:lineRule="auto"/>
        <w:ind w:left="340"/>
        <w:rPr>
          <w:rFonts w:ascii="David" w:eastAsia="Calibri" w:hAnsi="David"/>
          <w:sz w:val="24"/>
          <w:rtl/>
        </w:rPr>
      </w:pPr>
      <w:r w:rsidRPr="00082C78">
        <w:rPr>
          <w:rFonts w:ascii="David" w:eastAsia="Calibri" w:hAnsi="David" w:hint="cs"/>
          <w:sz w:val="24"/>
          <w:rtl/>
        </w:rPr>
        <w:t xml:space="preserve">ב-15.8.12 </w:t>
      </w:r>
      <w:r w:rsidR="00111073">
        <w:rPr>
          <w:rFonts w:ascii="David" w:eastAsia="Calibri" w:hAnsi="David" w:hint="cs"/>
          <w:sz w:val="24"/>
          <w:rtl/>
        </w:rPr>
        <w:t>העביר</w:t>
      </w:r>
      <w:r w:rsidR="00111073" w:rsidRPr="00082C78">
        <w:rPr>
          <w:rFonts w:ascii="David" w:eastAsia="Calibri" w:hAnsi="David"/>
          <w:sz w:val="24"/>
          <w:rtl/>
        </w:rPr>
        <w:t xml:space="preserve"> </w:t>
      </w:r>
      <w:r w:rsidR="00844501">
        <w:rPr>
          <w:rFonts w:ascii="David" w:eastAsia="Calibri" w:hAnsi="David" w:hint="eastAsia"/>
          <w:sz w:val="24"/>
          <w:rtl/>
        </w:rPr>
        <w:t>הייעוץ המשפטי לממשלה</w:t>
      </w:r>
      <w:r w:rsidRPr="00082C78">
        <w:rPr>
          <w:rFonts w:ascii="David" w:eastAsia="Calibri" w:hAnsi="David"/>
          <w:sz w:val="24"/>
          <w:rtl/>
        </w:rPr>
        <w:t xml:space="preserve"> </w:t>
      </w:r>
      <w:r w:rsidR="00111073" w:rsidRPr="00082C78">
        <w:rPr>
          <w:rFonts w:ascii="David" w:eastAsia="Calibri" w:hAnsi="David"/>
          <w:sz w:val="24"/>
          <w:rtl/>
        </w:rPr>
        <w:t>מזכר</w:t>
      </w:r>
      <w:r w:rsidR="00111073" w:rsidRPr="00082C78">
        <w:rPr>
          <w:rFonts w:ascii="David" w:eastAsia="Calibri" w:hAnsi="David" w:hint="cs"/>
          <w:sz w:val="24"/>
          <w:rtl/>
        </w:rPr>
        <w:t xml:space="preserve"> </w:t>
      </w:r>
      <w:r w:rsidR="000143E1">
        <w:rPr>
          <w:rFonts w:ascii="David" w:eastAsia="Calibri" w:hAnsi="David" w:hint="cs"/>
          <w:sz w:val="24"/>
          <w:rtl/>
        </w:rPr>
        <w:t>פנימי</w:t>
      </w:r>
      <w:r w:rsidRPr="00082C78">
        <w:rPr>
          <w:rFonts w:ascii="David" w:eastAsia="Calibri" w:hAnsi="David" w:hint="cs"/>
          <w:sz w:val="24"/>
          <w:rtl/>
        </w:rPr>
        <w:t xml:space="preserve"> ובו צוין, בין היתר,</w:t>
      </w:r>
      <w:r w:rsidRPr="00082C78">
        <w:rPr>
          <w:rFonts w:ascii="David" w:eastAsia="Calibri" w:hAnsi="David"/>
          <w:sz w:val="24"/>
          <w:rtl/>
        </w:rPr>
        <w:t xml:space="preserve"> </w:t>
      </w:r>
      <w:r w:rsidRPr="00082C78">
        <w:rPr>
          <w:rFonts w:ascii="David" w:eastAsia="Calibri" w:hAnsi="David" w:hint="cs"/>
          <w:sz w:val="24"/>
          <w:rtl/>
        </w:rPr>
        <w:t xml:space="preserve">כי אישורו של </w:t>
      </w:r>
      <w:r w:rsidR="000143E1">
        <w:rPr>
          <w:rFonts w:ascii="David" w:eastAsia="Calibri" w:hAnsi="David" w:hint="cs"/>
          <w:sz w:val="24"/>
          <w:rtl/>
        </w:rPr>
        <w:t>נציג פרקליטות</w:t>
      </w:r>
      <w:r w:rsidR="00382AE8">
        <w:rPr>
          <w:rFonts w:ascii="David" w:eastAsia="Calibri" w:hAnsi="David" w:hint="cs"/>
          <w:sz w:val="24"/>
          <w:rtl/>
        </w:rPr>
        <w:t xml:space="preserve"> </w:t>
      </w:r>
      <w:r w:rsidRPr="00082C78">
        <w:rPr>
          <w:rFonts w:ascii="David" w:eastAsia="Calibri" w:hAnsi="David" w:hint="cs"/>
          <w:sz w:val="24"/>
          <w:rtl/>
        </w:rPr>
        <w:t>ל</w:t>
      </w:r>
      <w:r w:rsidRPr="00082C78">
        <w:rPr>
          <w:rFonts w:ascii="David" w:eastAsia="Calibri" w:hAnsi="David"/>
          <w:sz w:val="24"/>
          <w:rtl/>
        </w:rPr>
        <w:t xml:space="preserve">נוהל </w:t>
      </w:r>
      <w:r w:rsidRPr="00082C78">
        <w:rPr>
          <w:rFonts w:ascii="David" w:eastAsia="Calibri" w:hAnsi="David" w:hint="eastAsia"/>
          <w:sz w:val="24"/>
          <w:rtl/>
        </w:rPr>
        <w:t>המשטרתי</w:t>
      </w:r>
      <w:r w:rsidRPr="00082C78">
        <w:rPr>
          <w:rFonts w:ascii="David" w:eastAsia="Calibri" w:hAnsi="David" w:hint="cs"/>
          <w:sz w:val="24"/>
          <w:rtl/>
        </w:rPr>
        <w:t xml:space="preserve"> וכן לעצם מתן הסמכות לשימוש בכלי הוא</w:t>
      </w:r>
      <w:r w:rsidRPr="00082C78">
        <w:rPr>
          <w:rFonts w:ascii="David" w:eastAsia="Calibri" w:hAnsi="David"/>
          <w:sz w:val="24"/>
          <w:rtl/>
        </w:rPr>
        <w:t xml:space="preserve"> "תקלה המחייבת מיסוד (תהליכי) </w:t>
      </w:r>
      <w:r w:rsidRPr="00082C78">
        <w:rPr>
          <w:rFonts w:ascii="David" w:eastAsia="Calibri" w:hAnsi="David" w:hint="eastAsia"/>
          <w:sz w:val="24"/>
          <w:rtl/>
        </w:rPr>
        <w:t>עבודה</w:t>
      </w:r>
      <w:r w:rsidRPr="00082C78">
        <w:rPr>
          <w:rFonts w:ascii="David" w:eastAsia="Calibri" w:hAnsi="David"/>
          <w:sz w:val="24"/>
          <w:rtl/>
        </w:rPr>
        <w:t xml:space="preserve"> </w:t>
      </w:r>
      <w:r w:rsidRPr="00082C78">
        <w:rPr>
          <w:rFonts w:ascii="David" w:eastAsia="Calibri" w:hAnsi="David" w:hint="eastAsia"/>
          <w:sz w:val="24"/>
          <w:rtl/>
        </w:rPr>
        <w:t>של</w:t>
      </w:r>
      <w:r w:rsidRPr="00082C78">
        <w:rPr>
          <w:rFonts w:ascii="David" w:eastAsia="Calibri" w:hAnsi="David"/>
          <w:sz w:val="24"/>
          <w:rtl/>
        </w:rPr>
        <w:t xml:space="preserve"> </w:t>
      </w:r>
      <w:r w:rsidRPr="00082C78">
        <w:rPr>
          <w:rFonts w:ascii="David" w:eastAsia="Calibri" w:hAnsi="David" w:hint="eastAsia"/>
          <w:sz w:val="24"/>
          <w:rtl/>
        </w:rPr>
        <w:t>אישור</w:t>
      </w:r>
      <w:r w:rsidRPr="00082C78">
        <w:rPr>
          <w:rFonts w:ascii="David" w:eastAsia="Calibri" w:hAnsi="David"/>
          <w:sz w:val="24"/>
          <w:rtl/>
        </w:rPr>
        <w:t xml:space="preserve"> </w:t>
      </w:r>
      <w:r w:rsidRPr="00082C78">
        <w:rPr>
          <w:rFonts w:ascii="David" w:eastAsia="Calibri" w:hAnsi="David" w:hint="eastAsia"/>
          <w:sz w:val="24"/>
          <w:rtl/>
        </w:rPr>
        <w:t>נהלי</w:t>
      </w:r>
      <w:r w:rsidRPr="00082C78">
        <w:rPr>
          <w:rFonts w:ascii="David" w:eastAsia="Calibri" w:hAnsi="David"/>
          <w:sz w:val="24"/>
          <w:rtl/>
        </w:rPr>
        <w:t xml:space="preserve"> האזנת סתר"</w:t>
      </w:r>
      <w:r w:rsidRPr="00082C78">
        <w:rPr>
          <w:rFonts w:ascii="David" w:eastAsia="Calibri" w:hAnsi="David" w:hint="cs"/>
          <w:sz w:val="24"/>
          <w:rtl/>
        </w:rPr>
        <w:t>,</w:t>
      </w:r>
      <w:r w:rsidRPr="00082C78">
        <w:rPr>
          <w:rFonts w:ascii="David" w:eastAsia="Calibri" w:hAnsi="David"/>
          <w:sz w:val="24"/>
          <w:rtl/>
        </w:rPr>
        <w:t xml:space="preserve"> שכן </w:t>
      </w:r>
      <w:r w:rsidRPr="00082C78">
        <w:rPr>
          <w:rFonts w:ascii="David" w:eastAsia="Calibri" w:hAnsi="David" w:hint="eastAsia"/>
          <w:sz w:val="24"/>
          <w:rtl/>
        </w:rPr>
        <w:t>הסמכות</w:t>
      </w:r>
      <w:r w:rsidRPr="00082C78">
        <w:rPr>
          <w:rFonts w:ascii="David" w:eastAsia="Calibri" w:hAnsi="David"/>
          <w:sz w:val="24"/>
          <w:rtl/>
        </w:rPr>
        <w:t xml:space="preserve"> </w:t>
      </w:r>
      <w:r w:rsidRPr="00082C78">
        <w:rPr>
          <w:rFonts w:ascii="David" w:eastAsia="Calibri" w:hAnsi="David" w:hint="eastAsia"/>
          <w:sz w:val="24"/>
          <w:rtl/>
        </w:rPr>
        <w:t>לא</w:t>
      </w:r>
      <w:r w:rsidRPr="00082C78">
        <w:rPr>
          <w:rFonts w:ascii="David" w:eastAsia="Calibri" w:hAnsi="David" w:hint="cs"/>
          <w:sz w:val="24"/>
          <w:rtl/>
        </w:rPr>
        <w:t>י</w:t>
      </w:r>
      <w:r w:rsidRPr="00082C78">
        <w:rPr>
          <w:rFonts w:ascii="David" w:eastAsia="Calibri" w:hAnsi="David" w:hint="eastAsia"/>
          <w:sz w:val="24"/>
          <w:rtl/>
        </w:rPr>
        <w:t>ש</w:t>
      </w:r>
      <w:r w:rsidRPr="00082C78">
        <w:rPr>
          <w:rFonts w:ascii="David" w:eastAsia="Calibri" w:hAnsi="David" w:hint="cs"/>
          <w:sz w:val="24"/>
          <w:rtl/>
        </w:rPr>
        <w:t>ו</w:t>
      </w:r>
      <w:r w:rsidRPr="00082C78">
        <w:rPr>
          <w:rFonts w:ascii="David" w:eastAsia="Calibri" w:hAnsi="David" w:hint="eastAsia"/>
          <w:sz w:val="24"/>
          <w:rtl/>
        </w:rPr>
        <w:t>ר</w:t>
      </w:r>
      <w:r w:rsidRPr="00082C78">
        <w:rPr>
          <w:rFonts w:ascii="David" w:eastAsia="Calibri" w:hAnsi="David"/>
          <w:sz w:val="24"/>
          <w:rtl/>
        </w:rPr>
        <w:t xml:space="preserve"> </w:t>
      </w:r>
      <w:r w:rsidRPr="00082C78">
        <w:rPr>
          <w:rFonts w:ascii="David" w:eastAsia="Calibri" w:hAnsi="David" w:hint="cs"/>
          <w:sz w:val="24"/>
          <w:rtl/>
        </w:rPr>
        <w:t>זה</w:t>
      </w:r>
      <w:r w:rsidRPr="00082C78">
        <w:rPr>
          <w:rFonts w:ascii="David" w:eastAsia="Calibri" w:hAnsi="David"/>
          <w:sz w:val="24"/>
          <w:rtl/>
        </w:rPr>
        <w:t xml:space="preserve"> </w:t>
      </w:r>
      <w:r w:rsidRPr="00082C78">
        <w:rPr>
          <w:rFonts w:ascii="David" w:eastAsia="Calibri" w:hAnsi="David" w:hint="eastAsia"/>
          <w:sz w:val="24"/>
          <w:rtl/>
        </w:rPr>
        <w:t>נתונה</w:t>
      </w:r>
      <w:r w:rsidRPr="00082C78">
        <w:rPr>
          <w:rFonts w:ascii="David" w:eastAsia="Calibri" w:hAnsi="David"/>
          <w:sz w:val="24"/>
          <w:rtl/>
        </w:rPr>
        <w:t xml:space="preserve"> </w:t>
      </w:r>
      <w:r w:rsidRPr="00082C78">
        <w:rPr>
          <w:rFonts w:ascii="David" w:eastAsia="Calibri" w:hAnsi="David" w:hint="cs"/>
          <w:sz w:val="24"/>
          <w:rtl/>
        </w:rPr>
        <w:t>רק בידי ה</w:t>
      </w:r>
      <w:r w:rsidRPr="00082C78">
        <w:rPr>
          <w:rFonts w:ascii="David" w:eastAsia="Calibri" w:hAnsi="David" w:hint="eastAsia"/>
          <w:sz w:val="24"/>
          <w:rtl/>
        </w:rPr>
        <w:t>יועמ</w:t>
      </w:r>
      <w:r w:rsidRPr="00082C78">
        <w:rPr>
          <w:rFonts w:ascii="David" w:eastAsia="Calibri" w:hAnsi="David"/>
          <w:sz w:val="24"/>
          <w:rtl/>
        </w:rPr>
        <w:t xml:space="preserve">"ש </w:t>
      </w:r>
      <w:r w:rsidRPr="00082C78">
        <w:rPr>
          <w:rFonts w:ascii="David" w:eastAsia="Calibri" w:hAnsi="David" w:hint="eastAsia"/>
          <w:sz w:val="24"/>
          <w:rtl/>
        </w:rPr>
        <w:t>לממשלה</w:t>
      </w:r>
      <w:r w:rsidRPr="00082C78">
        <w:rPr>
          <w:rFonts w:ascii="David" w:eastAsia="Calibri" w:hAnsi="David"/>
          <w:sz w:val="24"/>
          <w:rtl/>
        </w:rPr>
        <w:t xml:space="preserve"> ולא </w:t>
      </w:r>
      <w:r w:rsidRPr="00082C78">
        <w:rPr>
          <w:rFonts w:ascii="David" w:eastAsia="Calibri" w:hAnsi="David" w:hint="cs"/>
          <w:sz w:val="24"/>
          <w:rtl/>
        </w:rPr>
        <w:t xml:space="preserve">בידי </w:t>
      </w:r>
      <w:r w:rsidRPr="00082C78">
        <w:rPr>
          <w:rFonts w:ascii="David" w:eastAsia="Calibri" w:hAnsi="David"/>
          <w:sz w:val="24"/>
          <w:rtl/>
        </w:rPr>
        <w:t xml:space="preserve">גורמי הפרקליטות. </w:t>
      </w:r>
      <w:r w:rsidR="005B7BB5">
        <w:rPr>
          <w:rFonts w:ascii="David" w:eastAsia="Calibri" w:hAnsi="David" w:hint="cs"/>
          <w:sz w:val="24"/>
          <w:rtl/>
        </w:rPr>
        <w:t>נציג הייעוץ המשפטי לממשלה</w:t>
      </w:r>
      <w:r w:rsidRPr="00082C78">
        <w:rPr>
          <w:rFonts w:ascii="David" w:eastAsia="Calibri" w:hAnsi="David"/>
          <w:sz w:val="24"/>
          <w:rtl/>
        </w:rPr>
        <w:t xml:space="preserve"> </w:t>
      </w:r>
      <w:r w:rsidRPr="00082C78">
        <w:rPr>
          <w:rFonts w:ascii="David" w:eastAsia="Calibri" w:hAnsi="David" w:hint="eastAsia"/>
          <w:sz w:val="24"/>
          <w:rtl/>
        </w:rPr>
        <w:t>השיב</w:t>
      </w:r>
      <w:r w:rsidRPr="00082C78">
        <w:rPr>
          <w:rFonts w:ascii="David" w:eastAsia="Calibri" w:hAnsi="David"/>
          <w:sz w:val="24"/>
          <w:rtl/>
        </w:rPr>
        <w:t xml:space="preserve"> </w:t>
      </w:r>
      <w:r w:rsidRPr="00082C78">
        <w:rPr>
          <w:rFonts w:ascii="David" w:eastAsia="Calibri" w:hAnsi="David" w:hint="eastAsia"/>
          <w:sz w:val="24"/>
          <w:rtl/>
        </w:rPr>
        <w:t>כי</w:t>
      </w:r>
      <w:r w:rsidRPr="00082C78">
        <w:rPr>
          <w:rFonts w:ascii="David" w:eastAsia="Calibri" w:hAnsi="David"/>
          <w:sz w:val="24"/>
          <w:rtl/>
        </w:rPr>
        <w:t xml:space="preserve"> </w:t>
      </w:r>
      <w:r w:rsidRPr="00082C78">
        <w:rPr>
          <w:rFonts w:ascii="David" w:eastAsia="Calibri" w:hAnsi="David" w:hint="eastAsia"/>
          <w:sz w:val="24"/>
          <w:rtl/>
        </w:rPr>
        <w:t>הוא</w:t>
      </w:r>
      <w:r w:rsidRPr="00082C78">
        <w:rPr>
          <w:rFonts w:ascii="David" w:eastAsia="Calibri" w:hAnsi="David"/>
          <w:sz w:val="24"/>
          <w:rtl/>
        </w:rPr>
        <w:t xml:space="preserve"> </w:t>
      </w:r>
      <w:r w:rsidRPr="00082C78">
        <w:rPr>
          <w:rFonts w:ascii="David" w:eastAsia="Calibri" w:hAnsi="David" w:hint="eastAsia"/>
          <w:sz w:val="24"/>
          <w:rtl/>
        </w:rPr>
        <w:t>שוחח</w:t>
      </w:r>
      <w:r w:rsidRPr="00082C78">
        <w:rPr>
          <w:rFonts w:ascii="David" w:eastAsia="Calibri" w:hAnsi="David"/>
          <w:sz w:val="24"/>
          <w:rtl/>
        </w:rPr>
        <w:t xml:space="preserve"> </w:t>
      </w:r>
      <w:r w:rsidRPr="00082C78">
        <w:rPr>
          <w:rFonts w:ascii="David" w:eastAsia="Calibri" w:hAnsi="David" w:hint="cs"/>
          <w:sz w:val="24"/>
          <w:rtl/>
        </w:rPr>
        <w:t xml:space="preserve">על כך </w:t>
      </w:r>
      <w:r w:rsidRPr="00082C78">
        <w:rPr>
          <w:rFonts w:ascii="David" w:eastAsia="Calibri" w:hAnsi="David" w:hint="eastAsia"/>
          <w:sz w:val="24"/>
          <w:rtl/>
        </w:rPr>
        <w:t>עם</w:t>
      </w:r>
      <w:r w:rsidRPr="00082C78">
        <w:rPr>
          <w:rFonts w:ascii="David" w:eastAsia="Calibri" w:hAnsi="David"/>
          <w:sz w:val="24"/>
          <w:rtl/>
        </w:rPr>
        <w:t xml:space="preserve"> </w:t>
      </w:r>
      <w:r w:rsidR="005B7BB5">
        <w:rPr>
          <w:rFonts w:ascii="David" w:eastAsia="Calibri" w:hAnsi="David" w:hint="cs"/>
          <w:sz w:val="24"/>
          <w:rtl/>
        </w:rPr>
        <w:t>נציג הפרקליטות</w:t>
      </w:r>
      <w:r w:rsidRPr="00082C78">
        <w:rPr>
          <w:rFonts w:ascii="David" w:eastAsia="Calibri" w:hAnsi="David" w:hint="cs"/>
          <w:sz w:val="24"/>
          <w:rtl/>
        </w:rPr>
        <w:t>.</w:t>
      </w:r>
    </w:p>
    <w:p w:rsidR="00082C78" w:rsidRPr="00082C78" w:rsidRDefault="00082C78" w:rsidP="008E5F04">
      <w:pPr>
        <w:spacing w:line="269" w:lineRule="auto"/>
        <w:rPr>
          <w:rFonts w:ascii="David" w:eastAsia="Calibri" w:hAnsi="David"/>
          <w:sz w:val="24"/>
          <w:rtl/>
        </w:rPr>
      </w:pPr>
    </w:p>
    <w:p w:rsidR="00082C78" w:rsidRPr="00082C78" w:rsidRDefault="00082C78" w:rsidP="008E5F04">
      <w:pPr>
        <w:spacing w:line="269" w:lineRule="auto"/>
        <w:ind w:left="340"/>
        <w:rPr>
          <w:rFonts w:ascii="David" w:eastAsia="Calibri" w:hAnsi="David"/>
          <w:sz w:val="24"/>
          <w:rtl/>
        </w:rPr>
      </w:pPr>
      <w:r w:rsidRPr="00082C78">
        <w:rPr>
          <w:rFonts w:ascii="David" w:eastAsia="Calibri" w:hAnsi="David" w:hint="cs"/>
          <w:sz w:val="24"/>
          <w:rtl/>
        </w:rPr>
        <w:t xml:space="preserve">משרד המשפטים כתב בתשובתו כי ככלל, מערך הייעוץ המשפטי לממשלה הוא שאחראי לתקף מהבחינה המשפטית כלים שמעוררים שאלת סמכות לפי הדין הקיים, ואילו באחריותה של הפרקליטות לבחון את התיקוף הראייתי של הכלים הטכנולוגיים. לגבי הכלי הטכנולוגי להאזנת סתר, ככל הנראה לא התעוררה שאלת סמכות, ומהלך התיקוף שנעשה בפרקליטות היה תיקוף ראייתי שנעשה לבקשת המשטרה ובשל הצורך לחסות חלק מהשיטה והאמצעים. </w:t>
      </w:r>
    </w:p>
    <w:p w:rsidR="00271D14" w:rsidRDefault="00271D14" w:rsidP="008E5F04">
      <w:pPr>
        <w:spacing w:line="269" w:lineRule="auto"/>
        <w:rPr>
          <w:rFonts w:ascii="David" w:eastAsia="Calibri" w:hAnsi="David"/>
          <w:b/>
          <w:bCs/>
          <w:sz w:val="24"/>
          <w:rtl/>
        </w:rPr>
      </w:pPr>
    </w:p>
    <w:p w:rsidR="00271D14" w:rsidRDefault="00082C78" w:rsidP="008E5F04">
      <w:pPr>
        <w:spacing w:line="269" w:lineRule="auto"/>
        <w:ind w:left="340"/>
        <w:rPr>
          <w:rFonts w:ascii="David" w:eastAsia="Calibri" w:hAnsi="David"/>
          <w:b/>
          <w:bCs/>
          <w:sz w:val="24"/>
          <w:rtl/>
        </w:rPr>
      </w:pPr>
      <w:r w:rsidRPr="00082C78">
        <w:rPr>
          <w:rFonts w:ascii="David" w:eastAsia="Calibri" w:hAnsi="David" w:hint="cs"/>
          <w:b/>
          <w:bCs/>
          <w:sz w:val="24"/>
          <w:rtl/>
        </w:rPr>
        <w:t xml:space="preserve">בהתייחס לתשובת משרד המשפטים, משרד מבקר המדינה מעיר כי מעיון </w:t>
      </w:r>
      <w:r w:rsidR="00111073" w:rsidRPr="00082C78">
        <w:rPr>
          <w:rFonts w:ascii="David" w:eastAsia="Calibri" w:hAnsi="David" w:hint="cs"/>
          <w:b/>
          <w:bCs/>
          <w:sz w:val="24"/>
          <w:rtl/>
        </w:rPr>
        <w:t>במסמכי</w:t>
      </w:r>
      <w:r w:rsidR="001D6AB1">
        <w:rPr>
          <w:rFonts w:ascii="David" w:eastAsia="Calibri" w:hAnsi="David" w:hint="cs"/>
          <w:b/>
          <w:bCs/>
          <w:sz w:val="24"/>
          <w:rtl/>
        </w:rPr>
        <w:t>ם שהועברו מהמשטרה</w:t>
      </w:r>
      <w:r w:rsidR="00382AE8">
        <w:rPr>
          <w:rFonts w:ascii="David" w:eastAsia="Calibri" w:hAnsi="David" w:hint="cs"/>
          <w:b/>
          <w:bCs/>
          <w:sz w:val="24"/>
          <w:rtl/>
        </w:rPr>
        <w:t xml:space="preserve"> </w:t>
      </w:r>
      <w:r w:rsidRPr="00082C78">
        <w:rPr>
          <w:rFonts w:ascii="David" w:eastAsia="Calibri" w:hAnsi="David" w:hint="cs"/>
          <w:b/>
          <w:bCs/>
          <w:sz w:val="24"/>
          <w:rtl/>
        </w:rPr>
        <w:t xml:space="preserve">עולה </w:t>
      </w:r>
      <w:r w:rsidR="001D6AB1">
        <w:rPr>
          <w:rFonts w:ascii="David" w:eastAsia="Calibri" w:hAnsi="David" w:hint="cs"/>
          <w:b/>
          <w:bCs/>
          <w:sz w:val="24"/>
          <w:rtl/>
        </w:rPr>
        <w:t>ש</w:t>
      </w:r>
      <w:r w:rsidRPr="00082C78">
        <w:rPr>
          <w:rFonts w:ascii="David" w:eastAsia="Calibri" w:hAnsi="David" w:hint="cs"/>
          <w:b/>
          <w:bCs/>
          <w:sz w:val="24"/>
          <w:rtl/>
        </w:rPr>
        <w:t xml:space="preserve">אישור מגורמי הפרקליטות </w:t>
      </w:r>
      <w:r w:rsidR="003A4B92">
        <w:rPr>
          <w:rFonts w:ascii="David" w:eastAsia="Calibri" w:hAnsi="David" w:hint="cs"/>
          <w:b/>
          <w:bCs/>
          <w:sz w:val="24"/>
          <w:rtl/>
        </w:rPr>
        <w:t>לעשות שימוש בכלי מסוים</w:t>
      </w:r>
      <w:r w:rsidR="00B97F4B">
        <w:rPr>
          <w:rFonts w:ascii="David" w:eastAsia="Calibri" w:hAnsi="David" w:hint="cs"/>
          <w:b/>
          <w:bCs/>
          <w:sz w:val="24"/>
          <w:rtl/>
        </w:rPr>
        <w:t xml:space="preserve"> ניתן</w:t>
      </w:r>
      <w:r w:rsidRPr="00082C78">
        <w:rPr>
          <w:rFonts w:ascii="David" w:eastAsia="Calibri" w:hAnsi="David" w:hint="cs"/>
          <w:b/>
          <w:bCs/>
          <w:sz w:val="24"/>
          <w:rtl/>
        </w:rPr>
        <w:t xml:space="preserve"> </w:t>
      </w:r>
      <w:r w:rsidR="001D6AB1">
        <w:rPr>
          <w:rFonts w:ascii="David" w:eastAsia="Calibri" w:hAnsi="David" w:hint="cs"/>
          <w:b/>
          <w:bCs/>
          <w:sz w:val="24"/>
          <w:rtl/>
        </w:rPr>
        <w:t>מבלי שנשען על</w:t>
      </w:r>
      <w:r w:rsidR="001D6AB1" w:rsidRPr="00082C78">
        <w:rPr>
          <w:rFonts w:ascii="David" w:eastAsia="Calibri" w:hAnsi="David" w:hint="cs"/>
          <w:b/>
          <w:bCs/>
          <w:sz w:val="24"/>
          <w:rtl/>
        </w:rPr>
        <w:t xml:space="preserve"> </w:t>
      </w:r>
      <w:r w:rsidRPr="00082C78">
        <w:rPr>
          <w:rFonts w:ascii="David" w:eastAsia="Calibri" w:hAnsi="David" w:hint="cs"/>
          <w:b/>
          <w:bCs/>
          <w:sz w:val="24"/>
          <w:rtl/>
        </w:rPr>
        <w:t>אישור משפטי של הייעוץ המשפטי לממשלה כנדרש.</w:t>
      </w:r>
    </w:p>
    <w:p w:rsidR="008E5F04" w:rsidRPr="0075209E" w:rsidRDefault="008E5F04" w:rsidP="0075209E">
      <w:pPr>
        <w:spacing w:line="269" w:lineRule="auto"/>
        <w:ind w:left="423"/>
        <w:rPr>
          <w:rFonts w:ascii="David" w:eastAsia="Calibri" w:hAnsi="David"/>
          <w:b/>
          <w:bCs/>
          <w:sz w:val="24"/>
        </w:rPr>
      </w:pPr>
    </w:p>
    <w:p w:rsidR="00082C78" w:rsidRPr="00082C78" w:rsidRDefault="00082C78" w:rsidP="008C598D">
      <w:pPr>
        <w:pStyle w:val="af2"/>
        <w:numPr>
          <w:ilvl w:val="0"/>
          <w:numId w:val="70"/>
        </w:numPr>
        <w:spacing w:line="269" w:lineRule="auto"/>
        <w:ind w:left="363" w:hanging="357"/>
        <w:rPr>
          <w:rFonts w:ascii="David" w:eastAsia="Calibri" w:hAnsi="David"/>
          <w:sz w:val="24"/>
          <w:rtl/>
        </w:rPr>
      </w:pPr>
      <w:r w:rsidRPr="00082C78">
        <w:rPr>
          <w:rFonts w:eastAsia="Times New Roman" w:hint="eastAsia"/>
          <w:bCs/>
          <w:spacing w:val="40"/>
          <w:rtl/>
        </w:rPr>
        <w:t>אישור</w:t>
      </w:r>
      <w:r w:rsidRPr="00082C78">
        <w:rPr>
          <w:rFonts w:eastAsia="Times New Roman"/>
          <w:spacing w:val="40"/>
          <w:rtl/>
        </w:rPr>
        <w:t xml:space="preserve"> </w:t>
      </w:r>
      <w:r w:rsidRPr="00BF287B">
        <w:rPr>
          <w:rStyle w:val="70"/>
          <w:rFonts w:hint="cs"/>
          <w:b/>
          <w:rtl/>
        </w:rPr>
        <w:t>לביצוע</w:t>
      </w:r>
      <w:r w:rsidRPr="00082C78">
        <w:rPr>
          <w:rFonts w:eastAsia="Times New Roman" w:hint="cs"/>
          <w:bCs/>
          <w:spacing w:val="40"/>
          <w:rtl/>
        </w:rPr>
        <w:t xml:space="preserve"> פעולות</w:t>
      </w:r>
      <w:r w:rsidRPr="00082C78">
        <w:rPr>
          <w:rFonts w:eastAsia="Times New Roman"/>
          <w:spacing w:val="40"/>
          <w:rtl/>
        </w:rPr>
        <w:t xml:space="preserve"> </w:t>
      </w:r>
      <w:r w:rsidRPr="00082C78">
        <w:rPr>
          <w:rFonts w:eastAsia="Times New Roman" w:hint="cs"/>
          <w:bCs/>
          <w:spacing w:val="40"/>
          <w:rtl/>
        </w:rPr>
        <w:t>בכלי טכנולוגי מסוים</w:t>
      </w:r>
      <w:r w:rsidRPr="00082C78">
        <w:rPr>
          <w:rFonts w:eastAsia="Times New Roman"/>
          <w:bCs/>
          <w:spacing w:val="40"/>
          <w:rtl/>
        </w:rPr>
        <w:t>:</w:t>
      </w:r>
      <w:r w:rsidRPr="00082C78">
        <w:rPr>
          <w:rFonts w:ascii="David" w:eastAsia="Calibri" w:hAnsi="David" w:hint="cs"/>
          <w:sz w:val="24"/>
          <w:rtl/>
        </w:rPr>
        <w:t xml:space="preserve"> ב-23.8.17 </w:t>
      </w:r>
      <w:r w:rsidR="00D02864">
        <w:rPr>
          <w:rFonts w:ascii="David" w:eastAsia="Calibri" w:hAnsi="David" w:hint="cs"/>
          <w:sz w:val="24"/>
          <w:rtl/>
        </w:rPr>
        <w:t xml:space="preserve">התבקש נציג הפרקליטות להתייחס </w:t>
      </w:r>
      <w:r w:rsidR="00F80576">
        <w:rPr>
          <w:rFonts w:ascii="David" w:eastAsia="Calibri" w:hAnsi="David" w:hint="cs"/>
          <w:sz w:val="24"/>
          <w:rtl/>
        </w:rPr>
        <w:t xml:space="preserve">לשתי פעולות ספציפיות בכלי טכנולוגי </w:t>
      </w:r>
      <w:r w:rsidR="00D02864">
        <w:rPr>
          <w:rFonts w:ascii="David" w:eastAsia="Calibri" w:hAnsi="David" w:hint="cs"/>
          <w:sz w:val="24"/>
          <w:rtl/>
        </w:rPr>
        <w:t xml:space="preserve">אגב דיון בתיקים המתנהלים בבית משפט </w:t>
      </w:r>
      <w:r w:rsidR="002E4A15">
        <w:rPr>
          <w:rFonts w:ascii="David" w:eastAsia="Calibri" w:hAnsi="David" w:hint="cs"/>
          <w:sz w:val="24"/>
          <w:rtl/>
        </w:rPr>
        <w:t xml:space="preserve">לאור בקשת </w:t>
      </w:r>
      <w:r w:rsidR="006B0577">
        <w:rPr>
          <w:rFonts w:ascii="David" w:eastAsia="Calibri" w:hAnsi="David" w:hint="cs"/>
          <w:sz w:val="24"/>
          <w:rtl/>
        </w:rPr>
        <w:t xml:space="preserve">הבהרות מבית המשפט </w:t>
      </w:r>
      <w:r w:rsidR="00D02864">
        <w:rPr>
          <w:rFonts w:ascii="David" w:eastAsia="Calibri" w:hAnsi="David" w:hint="cs"/>
          <w:sz w:val="24"/>
          <w:rtl/>
        </w:rPr>
        <w:t>ובקשת התייעצות שהועברה מהמשטרה</w:t>
      </w:r>
      <w:r w:rsidR="006B0577">
        <w:rPr>
          <w:rFonts w:ascii="David" w:eastAsia="Calibri" w:hAnsi="David" w:hint="cs"/>
          <w:sz w:val="24"/>
          <w:rtl/>
        </w:rPr>
        <w:t xml:space="preserve"> </w:t>
      </w:r>
      <w:r w:rsidR="006B0577" w:rsidRPr="00CF0395">
        <w:rPr>
          <w:rFonts w:hint="cs"/>
          <w:rtl/>
        </w:rPr>
        <w:t>בעניין</w:t>
      </w:r>
      <w:r w:rsidR="006B0577">
        <w:rPr>
          <w:rFonts w:ascii="David" w:eastAsia="Calibri" w:hAnsi="David" w:hint="cs"/>
          <w:sz w:val="24"/>
          <w:rtl/>
        </w:rPr>
        <w:t xml:space="preserve"> זה</w:t>
      </w:r>
      <w:r w:rsidR="00F80576">
        <w:rPr>
          <w:rFonts w:ascii="David" w:eastAsia="Calibri" w:hAnsi="David" w:hint="cs"/>
          <w:sz w:val="24"/>
          <w:rtl/>
        </w:rPr>
        <w:t>. עקב כך, כתב נציג פרקליטות</w:t>
      </w:r>
      <w:r w:rsidR="0032132F">
        <w:rPr>
          <w:rFonts w:ascii="David" w:eastAsia="Calibri" w:hAnsi="David" w:hint="cs"/>
          <w:sz w:val="24"/>
          <w:rtl/>
        </w:rPr>
        <w:t xml:space="preserve"> לייעוץ המשפטי למשטרה</w:t>
      </w:r>
      <w:r w:rsidR="00D02864">
        <w:rPr>
          <w:rFonts w:ascii="David" w:eastAsia="Calibri" w:hAnsi="David" w:hint="cs"/>
          <w:sz w:val="24"/>
          <w:rtl/>
        </w:rPr>
        <w:t xml:space="preserve"> </w:t>
      </w:r>
      <w:r w:rsidRPr="00082C78">
        <w:rPr>
          <w:rFonts w:ascii="David" w:eastAsia="Calibri" w:hAnsi="David" w:hint="cs"/>
          <w:sz w:val="24"/>
          <w:rtl/>
        </w:rPr>
        <w:t xml:space="preserve">כי </w:t>
      </w:r>
      <w:r w:rsidR="006B0577">
        <w:rPr>
          <w:rFonts w:ascii="David" w:eastAsia="Calibri" w:hAnsi="David" w:hint="cs"/>
          <w:sz w:val="24"/>
          <w:rtl/>
        </w:rPr>
        <w:t xml:space="preserve">לדעתו </w:t>
      </w:r>
      <w:r w:rsidRPr="00082C78">
        <w:rPr>
          <w:rFonts w:ascii="David" w:eastAsia="Calibri" w:hAnsi="David" w:hint="cs"/>
          <w:sz w:val="24"/>
          <w:rtl/>
        </w:rPr>
        <w:t xml:space="preserve">השימוש בכלי טכנולוגי מסוים מאפשר ביצוע שתי פעולות ספציפיות </w:t>
      </w:r>
      <w:r w:rsidR="006B0577">
        <w:rPr>
          <w:rFonts w:ascii="David" w:eastAsia="Calibri" w:hAnsi="David" w:hint="cs"/>
          <w:sz w:val="24"/>
          <w:rtl/>
        </w:rPr>
        <w:t>על פי</w:t>
      </w:r>
      <w:r w:rsidR="006B0577" w:rsidRPr="00082C78">
        <w:rPr>
          <w:rFonts w:ascii="David" w:eastAsia="Calibri" w:hAnsi="David" w:hint="cs"/>
          <w:sz w:val="24"/>
          <w:rtl/>
        </w:rPr>
        <w:t xml:space="preserve"> </w:t>
      </w:r>
      <w:r w:rsidR="006B0577">
        <w:rPr>
          <w:rFonts w:ascii="David" w:eastAsia="Calibri" w:hAnsi="David" w:hint="cs"/>
          <w:sz w:val="24"/>
          <w:rtl/>
        </w:rPr>
        <w:t>ה</w:t>
      </w:r>
      <w:r w:rsidRPr="00082C78">
        <w:rPr>
          <w:rFonts w:ascii="David" w:eastAsia="Calibri" w:hAnsi="David" w:hint="cs"/>
          <w:sz w:val="24"/>
          <w:rtl/>
        </w:rPr>
        <w:t>דין</w:t>
      </w:r>
      <w:r w:rsidR="00151CF9">
        <w:rPr>
          <w:rFonts w:ascii="David" w:eastAsia="Calibri" w:hAnsi="David" w:hint="cs"/>
          <w:sz w:val="24"/>
          <w:rtl/>
        </w:rPr>
        <w:t>.</w:t>
      </w:r>
      <w:r w:rsidRPr="00082C78">
        <w:rPr>
          <w:rFonts w:ascii="David" w:eastAsia="Calibri" w:hAnsi="David" w:hint="cs"/>
          <w:sz w:val="24"/>
          <w:rtl/>
        </w:rPr>
        <w:t xml:space="preserve"> </w:t>
      </w:r>
      <w:r w:rsidR="00A92156" w:rsidRPr="00A92156">
        <w:rPr>
          <w:rFonts w:ascii="David" w:eastAsia="Calibri" w:hAnsi="David" w:hint="cs"/>
          <w:sz w:val="24"/>
          <w:rtl/>
        </w:rPr>
        <w:t xml:space="preserve">יצוין כי </w:t>
      </w:r>
      <w:r w:rsidR="0032132F">
        <w:rPr>
          <w:rFonts w:ascii="David" w:eastAsia="Calibri" w:hAnsi="David" w:hint="cs"/>
          <w:sz w:val="24"/>
          <w:rtl/>
        </w:rPr>
        <w:t>המשטרה העבירה את התייחסות הפרקליטות לידי משרד מבקר המדינה כחלק ממסמכי האישורים המשפטיים של הכלי.</w:t>
      </w:r>
      <w:r w:rsidR="00A92156" w:rsidRPr="00A92156">
        <w:rPr>
          <w:rFonts w:ascii="David" w:eastAsia="Calibri" w:hAnsi="David" w:hint="cs"/>
          <w:sz w:val="24"/>
          <w:rtl/>
        </w:rPr>
        <w:t xml:space="preserve"> מנגד, </w:t>
      </w:r>
      <w:r w:rsidR="006B0577">
        <w:rPr>
          <w:rFonts w:ascii="David" w:eastAsia="Calibri" w:hAnsi="David" w:hint="cs"/>
          <w:sz w:val="24"/>
          <w:rtl/>
        </w:rPr>
        <w:t>משרד המשפטים</w:t>
      </w:r>
      <w:r w:rsidR="006B0577" w:rsidRPr="00A92156">
        <w:rPr>
          <w:rFonts w:ascii="David" w:eastAsia="Calibri" w:hAnsi="David" w:hint="cs"/>
          <w:sz w:val="24"/>
          <w:rtl/>
        </w:rPr>
        <w:t xml:space="preserve"> </w:t>
      </w:r>
      <w:r w:rsidR="00A92156" w:rsidRPr="00A92156">
        <w:rPr>
          <w:rFonts w:ascii="David" w:eastAsia="Calibri" w:hAnsi="David" w:hint="cs"/>
          <w:sz w:val="24"/>
          <w:rtl/>
        </w:rPr>
        <w:t xml:space="preserve">מסר למבקר המדינה כי מדובר היה במסמך </w:t>
      </w:r>
      <w:r w:rsidR="006B0577">
        <w:rPr>
          <w:rFonts w:ascii="David" w:eastAsia="Calibri" w:hAnsi="David" w:hint="cs"/>
          <w:sz w:val="24"/>
          <w:rtl/>
        </w:rPr>
        <w:t>שנכתב לצורך</w:t>
      </w:r>
      <w:r w:rsidR="00A92156" w:rsidRPr="00A92156">
        <w:rPr>
          <w:rFonts w:ascii="David" w:eastAsia="Calibri" w:hAnsi="David" w:hint="cs"/>
          <w:sz w:val="24"/>
          <w:rtl/>
        </w:rPr>
        <w:t xml:space="preserve"> הליך ספציפי</w:t>
      </w:r>
      <w:r w:rsidR="003A4B92">
        <w:rPr>
          <w:rFonts w:ascii="David" w:eastAsia="Calibri" w:hAnsi="David" w:hint="cs"/>
          <w:sz w:val="24"/>
          <w:rtl/>
        </w:rPr>
        <w:t xml:space="preserve"> בלבד</w:t>
      </w:r>
      <w:r w:rsidR="00480EFB">
        <w:rPr>
          <w:rFonts w:ascii="David" w:eastAsia="Calibri" w:hAnsi="David" w:hint="cs"/>
          <w:sz w:val="24"/>
          <w:rtl/>
        </w:rPr>
        <w:t xml:space="preserve">. </w:t>
      </w:r>
    </w:p>
    <w:p w:rsidR="00271D14" w:rsidRDefault="00271D14" w:rsidP="00604C3D">
      <w:pPr>
        <w:spacing w:line="269" w:lineRule="auto"/>
        <w:ind w:left="-58"/>
        <w:contextualSpacing/>
        <w:rPr>
          <w:rFonts w:ascii="David" w:eastAsia="Calibri" w:hAnsi="David"/>
          <w:sz w:val="24"/>
          <w:rtl/>
        </w:rPr>
      </w:pPr>
    </w:p>
    <w:p w:rsidR="00082C78" w:rsidRDefault="00082C78" w:rsidP="008E5F04">
      <w:pPr>
        <w:spacing w:line="269" w:lineRule="auto"/>
        <w:ind w:left="340"/>
        <w:contextualSpacing/>
        <w:rPr>
          <w:rFonts w:ascii="David" w:eastAsia="Calibri" w:hAnsi="David"/>
          <w:sz w:val="24"/>
          <w:rtl/>
        </w:rPr>
      </w:pPr>
      <w:r w:rsidRPr="00082C78">
        <w:rPr>
          <w:rFonts w:ascii="David" w:eastAsia="Calibri" w:hAnsi="David" w:hint="cs"/>
          <w:sz w:val="24"/>
          <w:rtl/>
        </w:rPr>
        <w:t xml:space="preserve">במרץ 2018 </w:t>
      </w:r>
      <w:r w:rsidR="00C83262">
        <w:rPr>
          <w:rFonts w:ascii="David" w:eastAsia="Calibri" w:hAnsi="David" w:hint="cs"/>
          <w:sz w:val="24"/>
          <w:rtl/>
        </w:rPr>
        <w:t>פנתה המשטרה לפרקליטות בנוגע לדיון בצו האזנת הסתר ובמסגרתו נתבקשה עמדה משפטית להגשה לבית המשפט. זאת, משום ש</w:t>
      </w:r>
      <w:r w:rsidRPr="00082C78">
        <w:rPr>
          <w:rFonts w:ascii="David" w:eastAsia="Calibri" w:hAnsi="David" w:hint="cs"/>
          <w:sz w:val="24"/>
          <w:rtl/>
        </w:rPr>
        <w:t xml:space="preserve">בדיון במעמד צד אחד העלה בית המשפט את שאלת מקור סמכותו </w:t>
      </w:r>
      <w:r w:rsidR="00111073">
        <w:rPr>
          <w:rFonts w:ascii="David" w:eastAsia="Calibri" w:hAnsi="David" w:hint="cs"/>
          <w:sz w:val="24"/>
          <w:rtl/>
        </w:rPr>
        <w:t xml:space="preserve">של בית המשפט </w:t>
      </w:r>
      <w:r w:rsidRPr="00082C78">
        <w:rPr>
          <w:rFonts w:ascii="David" w:eastAsia="Calibri" w:hAnsi="David" w:hint="cs"/>
          <w:sz w:val="24"/>
          <w:rtl/>
        </w:rPr>
        <w:t xml:space="preserve">לאשר חדירה סמויה למכשיר קצה לצורך ביצוע האזנת סתר, זאת לנוכח העובדה שחוק האזנת סתר מתייחס לסמכות חדירה ל"מקום" לצורך התקנה, פירוק או סילוק של ציוד האזנת סתר, ואינו מתייחס לסמכות החדירה הסמויה למחשב או לטלפון סלולרי. </w:t>
      </w:r>
      <w:r w:rsidR="00C83262" w:rsidRPr="00C83262">
        <w:rPr>
          <w:rFonts w:ascii="David" w:eastAsia="Calibri" w:hAnsi="David" w:hint="cs"/>
          <w:sz w:val="24"/>
          <w:rtl/>
        </w:rPr>
        <w:t xml:space="preserve">בעקבות זאת, הכין נציג הפרקליטות </w:t>
      </w:r>
      <w:r w:rsidRPr="00082C78">
        <w:rPr>
          <w:rFonts w:ascii="David" w:eastAsia="Calibri" w:hAnsi="David" w:hint="cs"/>
          <w:sz w:val="24"/>
          <w:rtl/>
        </w:rPr>
        <w:t>נייר עמדה משפטי שלפיו יש למשטרה סמכות, מכוח חוק האזנת סתר, לבצע האזנת סתר באמצעות רכיב טכנולוגי המוחדר לטלפון הסלולרי.</w:t>
      </w:r>
      <w:r w:rsidR="00EC0CC5">
        <w:rPr>
          <w:rFonts w:ascii="David" w:eastAsia="Calibri" w:hAnsi="David" w:hint="cs"/>
          <w:sz w:val="24"/>
          <w:rtl/>
        </w:rPr>
        <w:t xml:space="preserve"> </w:t>
      </w:r>
      <w:r w:rsidR="0058280C">
        <w:rPr>
          <w:rFonts w:ascii="David" w:eastAsia="Calibri" w:hAnsi="David" w:hint="cs"/>
          <w:sz w:val="24"/>
          <w:rtl/>
        </w:rPr>
        <w:t>עוד צוין כי במצב החוקי הקיים אין בסמכות המשטרה לבצע חיפוש סמוי.</w:t>
      </w:r>
      <w:r w:rsidRPr="00082C78">
        <w:rPr>
          <w:rFonts w:ascii="David" w:eastAsia="Calibri" w:hAnsi="David" w:hint="cs"/>
          <w:sz w:val="24"/>
          <w:rtl/>
        </w:rPr>
        <w:t xml:space="preserve"> נייר העמדה הוגש לבית המשפט, והוא אישר את הבקשה לחדירה סמויה למכשיר קצה.</w:t>
      </w:r>
    </w:p>
    <w:p w:rsidR="00B97F4B" w:rsidRDefault="00B97F4B" w:rsidP="00604C3D">
      <w:pPr>
        <w:spacing w:line="269" w:lineRule="auto"/>
        <w:ind w:left="-58"/>
        <w:contextualSpacing/>
        <w:rPr>
          <w:rFonts w:ascii="David" w:eastAsia="Calibri" w:hAnsi="David"/>
          <w:sz w:val="24"/>
          <w:rtl/>
        </w:rPr>
      </w:pPr>
    </w:p>
    <w:p w:rsidR="00B97F4B" w:rsidRPr="00082C78" w:rsidRDefault="00B97F4B" w:rsidP="008E5F04">
      <w:pPr>
        <w:spacing w:line="269" w:lineRule="auto"/>
        <w:ind w:left="340"/>
        <w:contextualSpacing/>
        <w:rPr>
          <w:rFonts w:ascii="David" w:eastAsia="Calibri" w:hAnsi="David"/>
          <w:sz w:val="24"/>
          <w:rtl/>
        </w:rPr>
      </w:pPr>
      <w:r>
        <w:rPr>
          <w:rFonts w:ascii="David" w:eastAsia="Calibri" w:hAnsi="David" w:hint="cs"/>
          <w:sz w:val="24"/>
          <w:rtl/>
        </w:rPr>
        <w:t xml:space="preserve">משרד המשפטים כתב בתשובתו כי </w:t>
      </w:r>
      <w:r w:rsidRPr="00B97F4B">
        <w:rPr>
          <w:rFonts w:ascii="David" w:eastAsia="Calibri" w:hAnsi="David" w:hint="cs"/>
          <w:sz w:val="24"/>
          <w:rtl/>
        </w:rPr>
        <w:t>בכל הנוגע לביצוע הפעולות בכלי הטכנולוגי, הפרקליטות העבירה התייחסויות שנדרשו אגב תיקים ספציפיים. אילו היה ידוע לפרקליטות, שהאמצעי בו מדובר מבצע פעולה העלולה לעלות כדי חיפוש סמוי, הייתה מתעוררת שאלת הסמכות והדבר היה מופנה לליבון מידי מול המשטרה ומול מערך ייעוץ וחקיקה.</w:t>
      </w:r>
    </w:p>
    <w:p w:rsidR="00271D14" w:rsidRDefault="00271D14" w:rsidP="00604C3D">
      <w:pPr>
        <w:spacing w:line="269" w:lineRule="auto"/>
        <w:ind w:left="83"/>
        <w:rPr>
          <w:rFonts w:ascii="David" w:eastAsia="Calibri" w:hAnsi="David"/>
          <w:b/>
          <w:bCs/>
          <w:sz w:val="24"/>
          <w:rtl/>
        </w:rPr>
      </w:pPr>
      <w:bookmarkStart w:id="180" w:name="_Hlk147755129"/>
    </w:p>
    <w:p w:rsidR="00557294" w:rsidRDefault="00557294" w:rsidP="008E5F04">
      <w:pPr>
        <w:spacing w:line="269" w:lineRule="auto"/>
        <w:ind w:left="340"/>
        <w:rPr>
          <w:rFonts w:ascii="David" w:eastAsia="Calibri" w:hAnsi="David"/>
          <w:b/>
          <w:bCs/>
          <w:sz w:val="24"/>
          <w:rtl/>
        </w:rPr>
      </w:pPr>
      <w:r w:rsidRPr="00082C78">
        <w:rPr>
          <w:rFonts w:ascii="David" w:eastAsia="Calibri" w:hAnsi="David" w:hint="cs"/>
          <w:b/>
          <w:bCs/>
          <w:sz w:val="24"/>
          <w:rtl/>
        </w:rPr>
        <w:t xml:space="preserve">בביקורת עלה כי </w:t>
      </w:r>
      <w:r>
        <w:rPr>
          <w:rFonts w:ascii="David" w:eastAsia="Calibri" w:hAnsi="David" w:hint="cs"/>
          <w:b/>
          <w:bCs/>
          <w:sz w:val="24"/>
          <w:rtl/>
        </w:rPr>
        <w:t xml:space="preserve">אגב פנייה של המשטרה בנוגע לתיקים מתנהלים ביחס לשתי פעולות המבוצעות באמצעות כלי טכנולוגי, ולשם הבהרה כי המשטרה רשאית לבצע פעולות אלו במסגרת בקשה להאזנת סתר, התייחס נציג פרקליטות לכך שפעולות אלו מותרות </w:t>
      </w:r>
      <w:r w:rsidR="001A6098">
        <w:rPr>
          <w:rFonts w:ascii="David" w:eastAsia="Calibri" w:hAnsi="David" w:hint="cs"/>
          <w:b/>
          <w:bCs/>
          <w:sz w:val="24"/>
          <w:rtl/>
        </w:rPr>
        <w:t xml:space="preserve">לעמדתו </w:t>
      </w:r>
      <w:r>
        <w:rPr>
          <w:rFonts w:ascii="David" w:eastAsia="Calibri" w:hAnsi="David" w:hint="cs"/>
          <w:b/>
          <w:bCs/>
          <w:sz w:val="24"/>
          <w:rtl/>
        </w:rPr>
        <w:t xml:space="preserve">על פי החוק. זאת, </w:t>
      </w:r>
      <w:r w:rsidR="00C83176">
        <w:rPr>
          <w:rFonts w:ascii="David" w:eastAsia="Calibri" w:hAnsi="David" w:hint="cs"/>
          <w:b/>
          <w:bCs/>
          <w:sz w:val="24"/>
          <w:rtl/>
        </w:rPr>
        <w:t xml:space="preserve">הגם </w:t>
      </w:r>
      <w:r w:rsidR="001A6098">
        <w:rPr>
          <w:rFonts w:ascii="David" w:eastAsia="Calibri" w:hAnsi="David" w:hint="cs"/>
          <w:b/>
          <w:bCs/>
          <w:sz w:val="24"/>
          <w:rtl/>
        </w:rPr>
        <w:t>ש</w:t>
      </w:r>
      <w:r>
        <w:rPr>
          <w:rFonts w:ascii="David" w:eastAsia="Calibri" w:hAnsi="David" w:hint="cs"/>
          <w:b/>
          <w:bCs/>
          <w:sz w:val="24"/>
          <w:rtl/>
        </w:rPr>
        <w:t>ה</w:t>
      </w:r>
      <w:r w:rsidR="001C67CD">
        <w:rPr>
          <w:rFonts w:ascii="David" w:eastAsia="Calibri" w:hAnsi="David" w:hint="cs"/>
          <w:b/>
          <w:bCs/>
          <w:sz w:val="24"/>
          <w:rtl/>
        </w:rPr>
        <w:t>כלי הטכנולוגי</w:t>
      </w:r>
      <w:r w:rsidR="001A6098">
        <w:rPr>
          <w:rFonts w:ascii="David" w:eastAsia="Calibri" w:hAnsi="David" w:hint="cs"/>
          <w:b/>
          <w:bCs/>
          <w:sz w:val="24"/>
          <w:rtl/>
        </w:rPr>
        <w:t xml:space="preserve"> טרם הובא על ידי המשטרה</w:t>
      </w:r>
      <w:r>
        <w:rPr>
          <w:rFonts w:ascii="David" w:eastAsia="Calibri" w:hAnsi="David" w:hint="cs"/>
          <w:b/>
          <w:bCs/>
          <w:sz w:val="24"/>
          <w:rtl/>
        </w:rPr>
        <w:t xml:space="preserve"> לאישור משפטי של הייעוץ המשפטי לממשלה.</w:t>
      </w:r>
    </w:p>
    <w:p w:rsidR="00557294" w:rsidRDefault="00557294" w:rsidP="00604C3D">
      <w:pPr>
        <w:spacing w:line="269" w:lineRule="auto"/>
        <w:ind w:left="83"/>
        <w:rPr>
          <w:rFonts w:ascii="David" w:eastAsia="Calibri" w:hAnsi="David"/>
          <w:b/>
          <w:bCs/>
          <w:sz w:val="24"/>
          <w:rtl/>
        </w:rPr>
      </w:pPr>
    </w:p>
    <w:p w:rsidR="00082C78" w:rsidRDefault="00082C78" w:rsidP="008E5F04">
      <w:pPr>
        <w:spacing w:line="269" w:lineRule="auto"/>
        <w:ind w:left="340"/>
        <w:contextualSpacing/>
        <w:rPr>
          <w:rFonts w:ascii="David" w:eastAsia="Calibri" w:hAnsi="David"/>
          <w:b/>
          <w:bCs/>
          <w:sz w:val="24"/>
          <w:rtl/>
        </w:rPr>
      </w:pPr>
      <w:r w:rsidRPr="00082C78">
        <w:rPr>
          <w:rFonts w:ascii="David" w:eastAsia="Calibri" w:hAnsi="David" w:hint="cs"/>
          <w:b/>
          <w:bCs/>
          <w:sz w:val="24"/>
          <w:rtl/>
        </w:rPr>
        <w:t xml:space="preserve">גורמי הייעוץ המשפטי לממשלה הם הגורם המוסמך במשרד המשפטים </w:t>
      </w:r>
      <w:r w:rsidR="002C4CC6">
        <w:rPr>
          <w:rFonts w:ascii="David" w:eastAsia="Calibri" w:hAnsi="David" w:hint="cs"/>
          <w:b/>
          <w:bCs/>
          <w:sz w:val="24"/>
          <w:rtl/>
        </w:rPr>
        <w:t>לבחון ו</w:t>
      </w:r>
      <w:r w:rsidRPr="00082C78">
        <w:rPr>
          <w:rFonts w:ascii="David" w:eastAsia="Calibri" w:hAnsi="David" w:hint="cs"/>
          <w:b/>
          <w:bCs/>
          <w:sz w:val="24"/>
          <w:rtl/>
        </w:rPr>
        <w:t>לאשר שימוש בכלים להאזנות סתר</w:t>
      </w:r>
      <w:r w:rsidR="002C4CC6">
        <w:rPr>
          <w:rFonts w:ascii="David" w:eastAsia="Calibri" w:hAnsi="David" w:hint="cs"/>
          <w:b/>
          <w:bCs/>
          <w:sz w:val="24"/>
          <w:rtl/>
        </w:rPr>
        <w:t xml:space="preserve"> מתוך ראייה רחבה וכוללת, וטרם דיון בשאלת התיקוף הראייתי ואפשרות הגשת בקשות מסוג זה</w:t>
      </w:r>
      <w:r w:rsidRPr="00082C78">
        <w:rPr>
          <w:rFonts w:ascii="David" w:eastAsia="Calibri" w:hAnsi="David" w:hint="cs"/>
          <w:b/>
          <w:bCs/>
          <w:sz w:val="24"/>
          <w:rtl/>
        </w:rPr>
        <w:t xml:space="preserve">. </w:t>
      </w:r>
      <w:r w:rsidR="00787C4F">
        <w:rPr>
          <w:rFonts w:ascii="David" w:eastAsia="Calibri" w:hAnsi="David" w:hint="cs"/>
          <w:b/>
          <w:bCs/>
          <w:sz w:val="24"/>
          <w:rtl/>
        </w:rPr>
        <w:t xml:space="preserve">לדעת משרד מבקר המדינה </w:t>
      </w:r>
      <w:r w:rsidRPr="00082C78">
        <w:rPr>
          <w:rFonts w:ascii="David" w:eastAsia="Calibri" w:hAnsi="David" w:hint="cs"/>
          <w:b/>
          <w:bCs/>
          <w:sz w:val="24"/>
          <w:rtl/>
        </w:rPr>
        <w:t xml:space="preserve">ההקפדה על כך שגורמי הייעוץ המשפטי לממשלה </w:t>
      </w:r>
      <w:r w:rsidRPr="00BF287B">
        <w:rPr>
          <w:rFonts w:ascii="David" w:eastAsia="Calibri" w:hAnsi="David" w:hint="cs"/>
          <w:sz w:val="24"/>
          <w:rtl/>
        </w:rPr>
        <w:t>הם</w:t>
      </w:r>
      <w:r w:rsidRPr="00082C78">
        <w:rPr>
          <w:rFonts w:ascii="David" w:eastAsia="Calibri" w:hAnsi="David" w:hint="cs"/>
          <w:b/>
          <w:bCs/>
          <w:sz w:val="24"/>
          <w:rtl/>
        </w:rPr>
        <w:t xml:space="preserve"> שיקיימו הליכי בחינה ואישור של כלים </w:t>
      </w:r>
      <w:r w:rsidR="00C05AB5">
        <w:rPr>
          <w:rFonts w:ascii="David" w:eastAsia="Calibri" w:hAnsi="David" w:hint="cs"/>
          <w:b/>
          <w:bCs/>
          <w:sz w:val="24"/>
          <w:rtl/>
        </w:rPr>
        <w:t xml:space="preserve">טכנולוגיים </w:t>
      </w:r>
      <w:r w:rsidRPr="00082C78">
        <w:rPr>
          <w:rFonts w:ascii="David" w:eastAsia="Calibri" w:hAnsi="David" w:hint="cs"/>
          <w:b/>
          <w:bCs/>
          <w:sz w:val="24"/>
          <w:rtl/>
        </w:rPr>
        <w:t>להאזנות סתר היא מהותית</w:t>
      </w:r>
      <w:r w:rsidR="00815CFD">
        <w:rPr>
          <w:rFonts w:ascii="David" w:eastAsia="Calibri" w:hAnsi="David" w:hint="cs"/>
          <w:b/>
          <w:bCs/>
          <w:sz w:val="24"/>
          <w:rtl/>
        </w:rPr>
        <w:t>.</w:t>
      </w:r>
      <w:r w:rsidRPr="00082C78">
        <w:rPr>
          <w:rFonts w:ascii="David" w:eastAsia="Calibri" w:hAnsi="David" w:hint="cs"/>
          <w:b/>
          <w:bCs/>
          <w:sz w:val="24"/>
          <w:rtl/>
        </w:rPr>
        <w:t xml:space="preserve"> </w:t>
      </w:r>
      <w:r w:rsidR="00815CFD">
        <w:rPr>
          <w:rFonts w:ascii="David" w:eastAsia="Calibri" w:hAnsi="David" w:hint="cs"/>
          <w:b/>
          <w:bCs/>
          <w:sz w:val="24"/>
          <w:rtl/>
        </w:rPr>
        <w:t>באשר ל</w:t>
      </w:r>
      <w:r w:rsidRPr="00082C78">
        <w:rPr>
          <w:rFonts w:ascii="David" w:eastAsia="Calibri" w:hAnsi="David" w:hint="cs"/>
          <w:b/>
          <w:bCs/>
          <w:sz w:val="24"/>
          <w:rtl/>
        </w:rPr>
        <w:t>גורמי התביעה הפועלים להגשת כתבי אישום בבתי משפט ולביסוסם הראייתי</w:t>
      </w:r>
      <w:r w:rsidR="00815CFD">
        <w:rPr>
          <w:rFonts w:ascii="David" w:eastAsia="Calibri" w:hAnsi="David" w:hint="cs"/>
          <w:b/>
          <w:bCs/>
          <w:sz w:val="24"/>
          <w:rtl/>
        </w:rPr>
        <w:t>, נדרשת הקפדה כי</w:t>
      </w:r>
      <w:r w:rsidRPr="00082C78">
        <w:rPr>
          <w:rFonts w:ascii="David" w:eastAsia="Calibri" w:hAnsi="David" w:hint="cs"/>
          <w:b/>
          <w:bCs/>
          <w:sz w:val="24"/>
          <w:rtl/>
        </w:rPr>
        <w:t xml:space="preserve"> </w:t>
      </w:r>
      <w:r w:rsidR="00815CFD">
        <w:rPr>
          <w:rFonts w:ascii="David" w:eastAsia="Calibri" w:hAnsi="David" w:hint="cs"/>
          <w:b/>
          <w:bCs/>
          <w:sz w:val="24"/>
          <w:rtl/>
        </w:rPr>
        <w:t xml:space="preserve">הליכי תיקוף ראייתי המתבצעים </w:t>
      </w:r>
      <w:r w:rsidR="00787C4F">
        <w:rPr>
          <w:rFonts w:ascii="David" w:eastAsia="Calibri" w:hAnsi="David" w:hint="cs"/>
          <w:b/>
          <w:bCs/>
          <w:sz w:val="24"/>
          <w:rtl/>
        </w:rPr>
        <w:t>אגב התייעצויות המתקיימות בקשר ל</w:t>
      </w:r>
      <w:r w:rsidR="00210D46">
        <w:rPr>
          <w:rFonts w:ascii="David" w:eastAsia="Calibri" w:hAnsi="David" w:hint="cs"/>
          <w:b/>
          <w:bCs/>
          <w:sz w:val="24"/>
          <w:rtl/>
        </w:rPr>
        <w:t>תיקים מתנהלים</w:t>
      </w:r>
      <w:r w:rsidR="00815CFD">
        <w:rPr>
          <w:rFonts w:ascii="David" w:eastAsia="Calibri" w:hAnsi="David" w:hint="cs"/>
          <w:b/>
          <w:bCs/>
          <w:sz w:val="24"/>
          <w:rtl/>
        </w:rPr>
        <w:t>, ייעשו לאחר שמתקבל אישור משפטי לשימוש בכלי</w:t>
      </w:r>
      <w:r w:rsidRPr="00082C78">
        <w:rPr>
          <w:rFonts w:ascii="David" w:eastAsia="Calibri" w:hAnsi="David" w:hint="cs"/>
          <w:b/>
          <w:bCs/>
          <w:sz w:val="24"/>
          <w:rtl/>
        </w:rPr>
        <w:t>.</w:t>
      </w:r>
    </w:p>
    <w:bookmarkEnd w:id="180"/>
    <w:p w:rsidR="00271D14" w:rsidRDefault="00271D14" w:rsidP="00604C3D">
      <w:pPr>
        <w:spacing w:line="269" w:lineRule="auto"/>
        <w:ind w:left="83"/>
        <w:rPr>
          <w:rFonts w:ascii="David" w:eastAsia="Calibri" w:hAnsi="David"/>
          <w:b/>
          <w:bCs/>
          <w:sz w:val="24"/>
          <w:rtl/>
        </w:rPr>
      </w:pPr>
    </w:p>
    <w:p w:rsidR="00082C78" w:rsidRPr="00082C78" w:rsidRDefault="00082C78" w:rsidP="008E5F04">
      <w:pPr>
        <w:spacing w:line="269" w:lineRule="auto"/>
        <w:ind w:left="340"/>
        <w:contextualSpacing/>
        <w:rPr>
          <w:rFonts w:ascii="David" w:eastAsia="Calibri" w:hAnsi="David"/>
          <w:b/>
          <w:bCs/>
          <w:sz w:val="24"/>
          <w:rtl/>
        </w:rPr>
      </w:pPr>
      <w:r w:rsidRPr="00082C78">
        <w:rPr>
          <w:rFonts w:ascii="David" w:eastAsia="Calibri" w:hAnsi="David" w:hint="cs"/>
          <w:b/>
          <w:bCs/>
          <w:sz w:val="24"/>
          <w:rtl/>
        </w:rPr>
        <w:t xml:space="preserve">על משרד המשפטים להקפיד על תהליכי אישור סדורים של הגורמים המוסמכים ולמסד הליכי עבודה כדי להבהיר כי המענה על שאלת סמכות המשטרה להשתמש בכלי טכנולוגי יהיה באחריות גורמי הייעוץ המשפטי לממשלה. </w:t>
      </w:r>
      <w:r w:rsidR="00E770F8">
        <w:rPr>
          <w:rFonts w:ascii="David" w:eastAsia="Calibri" w:hAnsi="David" w:hint="cs"/>
          <w:b/>
          <w:bCs/>
          <w:sz w:val="24"/>
          <w:rtl/>
        </w:rPr>
        <w:t>זאת, בעוד הפרקליטות נדרשת לבחון את תיקופם הראייתי של הכלים.</w:t>
      </w:r>
      <w:r w:rsidR="00382AE8">
        <w:rPr>
          <w:rFonts w:ascii="David" w:eastAsia="Calibri" w:hAnsi="David" w:hint="cs"/>
          <w:b/>
          <w:bCs/>
          <w:sz w:val="24"/>
          <w:rtl/>
        </w:rPr>
        <w:t xml:space="preserve"> </w:t>
      </w:r>
    </w:p>
    <w:p w:rsidR="00082C78" w:rsidRPr="00082C78" w:rsidRDefault="00082C78" w:rsidP="00604C3D">
      <w:pPr>
        <w:spacing w:line="269" w:lineRule="auto"/>
        <w:jc w:val="center"/>
        <w:rPr>
          <w:rFonts w:ascii="Arial" w:eastAsia="Calibri" w:hAnsi="Arial" w:cs="Arial"/>
          <w:sz w:val="36"/>
          <w:rtl/>
        </w:rPr>
      </w:pPr>
      <w:r w:rsidRPr="00082C78">
        <w:rPr>
          <w:rFonts w:ascii="Segoe UI Symbol" w:eastAsia="Calibri" w:hAnsi="Segoe UI Symbol" w:cs="Segoe UI Symbol" w:hint="cs"/>
          <w:sz w:val="36"/>
          <w:rtl/>
        </w:rPr>
        <w:t>✰</w:t>
      </w:r>
    </w:p>
    <w:p w:rsidR="00271D14" w:rsidRDefault="00271D14"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b/>
          <w:bCs/>
          <w:sz w:val="24"/>
          <w:rtl/>
        </w:rPr>
      </w:pPr>
      <w:r w:rsidRPr="00082C78">
        <w:rPr>
          <w:rFonts w:ascii="David" w:eastAsia="Calibri" w:hAnsi="David"/>
          <w:b/>
          <w:bCs/>
          <w:sz w:val="24"/>
          <w:rtl/>
        </w:rPr>
        <w:t>ב</w:t>
      </w:r>
      <w:r w:rsidRPr="00082C78">
        <w:rPr>
          <w:rFonts w:ascii="David" w:eastAsia="Calibri" w:hAnsi="David" w:hint="cs"/>
          <w:b/>
          <w:bCs/>
          <w:sz w:val="24"/>
          <w:rtl/>
        </w:rPr>
        <w:t>שנ</w:t>
      </w:r>
      <w:r w:rsidRPr="00082C78">
        <w:rPr>
          <w:rFonts w:ascii="David" w:eastAsia="Calibri" w:hAnsi="David"/>
          <w:b/>
          <w:bCs/>
          <w:sz w:val="24"/>
          <w:rtl/>
        </w:rPr>
        <w:t>י</w:t>
      </w:r>
      <w:r w:rsidRPr="00082C78">
        <w:rPr>
          <w:rFonts w:ascii="David" w:eastAsia="Calibri" w:hAnsi="David" w:hint="cs"/>
          <w:b/>
          <w:bCs/>
          <w:sz w:val="24"/>
          <w:rtl/>
        </w:rPr>
        <w:t xml:space="preserve"> העשורים האחרונים</w:t>
      </w:r>
      <w:r w:rsidRPr="00082C78">
        <w:rPr>
          <w:rFonts w:ascii="David" w:eastAsia="Calibri" w:hAnsi="David"/>
          <w:b/>
          <w:bCs/>
          <w:sz w:val="24"/>
          <w:rtl/>
        </w:rPr>
        <w:t xml:space="preserve"> המשטרה </w:t>
      </w:r>
      <w:r w:rsidRPr="00082C78">
        <w:rPr>
          <w:rFonts w:ascii="David" w:eastAsia="Calibri" w:hAnsi="David" w:hint="cs"/>
          <w:b/>
          <w:bCs/>
          <w:sz w:val="24"/>
          <w:rtl/>
        </w:rPr>
        <w:t>רכשה ופיתחה</w:t>
      </w:r>
      <w:r w:rsidRPr="00082C78">
        <w:rPr>
          <w:rFonts w:ascii="David" w:eastAsia="Calibri" w:hAnsi="David"/>
          <w:b/>
          <w:bCs/>
          <w:sz w:val="24"/>
          <w:rtl/>
        </w:rPr>
        <w:t xml:space="preserve"> בעבודתה שורה ארוכה של כלים</w:t>
      </w:r>
      <w:r w:rsidRPr="00082C78">
        <w:rPr>
          <w:rFonts w:ascii="David" w:eastAsia="Calibri" w:hAnsi="David" w:hint="cs"/>
          <w:b/>
          <w:bCs/>
          <w:sz w:val="24"/>
          <w:rtl/>
        </w:rPr>
        <w:t xml:space="preserve"> טכנולוגיים </w:t>
      </w:r>
      <w:r w:rsidRPr="00082C78">
        <w:rPr>
          <w:rFonts w:ascii="David" w:eastAsia="Calibri" w:hAnsi="David"/>
          <w:b/>
          <w:bCs/>
          <w:sz w:val="24"/>
          <w:rtl/>
        </w:rPr>
        <w:t xml:space="preserve">בעלי יכולות נרחבות בתחום האזנות סתר </w:t>
      </w:r>
      <w:r w:rsidRPr="00082C78">
        <w:rPr>
          <w:rFonts w:ascii="David" w:eastAsia="Calibri" w:hAnsi="David" w:hint="cs"/>
          <w:b/>
          <w:bCs/>
          <w:sz w:val="24"/>
          <w:rtl/>
        </w:rPr>
        <w:t>ונתוני תקשורת</w:t>
      </w:r>
      <w:r w:rsidRPr="00082C78">
        <w:rPr>
          <w:rFonts w:ascii="David" w:eastAsia="Calibri" w:hAnsi="David"/>
          <w:b/>
          <w:bCs/>
          <w:sz w:val="24"/>
          <w:rtl/>
        </w:rPr>
        <w:t xml:space="preserve">. הפעלת כלים אלו נחוצה למשטרה לצורך מילוי תפקידה בעיקר למול המאבק בפשיעה החמורה, ואולם להפעלתם פוטנציאל פגיעה ניכר בזכות לפרטיות וכן בזכויות חשודים. </w:t>
      </w:r>
      <w:r w:rsidRPr="00082C78">
        <w:rPr>
          <w:rFonts w:ascii="David" w:eastAsia="Calibri" w:hAnsi="David" w:hint="cs"/>
          <w:b/>
          <w:bCs/>
          <w:sz w:val="24"/>
          <w:rtl/>
        </w:rPr>
        <w:t xml:space="preserve">החקיקה והאסדרה </w:t>
      </w:r>
      <w:r w:rsidR="00171B8C">
        <w:rPr>
          <w:rFonts w:ascii="David" w:eastAsia="Calibri" w:hAnsi="David" w:hint="cs"/>
          <w:b/>
          <w:bCs/>
          <w:sz w:val="24"/>
          <w:rtl/>
        </w:rPr>
        <w:t>הקיימות</w:t>
      </w:r>
      <w:r w:rsidR="00171B8C" w:rsidRPr="00082C78">
        <w:rPr>
          <w:rFonts w:ascii="David" w:eastAsia="Calibri" w:hAnsi="David" w:hint="cs"/>
          <w:b/>
          <w:bCs/>
          <w:sz w:val="24"/>
          <w:rtl/>
        </w:rPr>
        <w:t xml:space="preserve"> </w:t>
      </w:r>
      <w:r w:rsidRPr="00082C78">
        <w:rPr>
          <w:rFonts w:ascii="David" w:eastAsia="Calibri" w:hAnsi="David" w:hint="cs"/>
          <w:b/>
          <w:bCs/>
          <w:sz w:val="24"/>
          <w:rtl/>
        </w:rPr>
        <w:t xml:space="preserve">בכל הנוגע לשימוש בכלים אלו אינן </w:t>
      </w:r>
      <w:r w:rsidR="00020001">
        <w:rPr>
          <w:rFonts w:ascii="David" w:eastAsia="Calibri" w:hAnsi="David" w:hint="cs"/>
          <w:b/>
          <w:bCs/>
          <w:sz w:val="24"/>
          <w:rtl/>
        </w:rPr>
        <w:t>מניחות</w:t>
      </w:r>
      <w:r w:rsidR="00020001" w:rsidRPr="00082C78">
        <w:rPr>
          <w:rFonts w:ascii="David" w:eastAsia="Calibri" w:hAnsi="David" w:hint="cs"/>
          <w:b/>
          <w:bCs/>
          <w:sz w:val="24"/>
          <w:rtl/>
        </w:rPr>
        <w:t xml:space="preserve"> </w:t>
      </w:r>
      <w:r w:rsidRPr="00082C78">
        <w:rPr>
          <w:rFonts w:ascii="David" w:eastAsia="Calibri" w:hAnsi="David" w:hint="cs"/>
          <w:b/>
          <w:bCs/>
          <w:sz w:val="24"/>
          <w:rtl/>
        </w:rPr>
        <w:t>את התשתית הנורמטיבית המספקת לשימוש בכלל האמצעים ובכלל המתווים</w:t>
      </w:r>
      <w:r w:rsidR="00234B3A">
        <w:rPr>
          <w:rFonts w:ascii="David" w:eastAsia="Calibri" w:hAnsi="David" w:hint="cs"/>
          <w:b/>
          <w:bCs/>
          <w:sz w:val="24"/>
          <w:rtl/>
        </w:rPr>
        <w:t xml:space="preserve"> שבידי המשטרה</w:t>
      </w:r>
      <w:r w:rsidRPr="00082C78">
        <w:rPr>
          <w:rFonts w:ascii="David" w:eastAsia="Calibri" w:hAnsi="David" w:hint="cs"/>
          <w:b/>
          <w:bCs/>
          <w:sz w:val="24"/>
          <w:rtl/>
        </w:rPr>
        <w:t>.</w:t>
      </w:r>
      <w:r w:rsidR="00382AE8">
        <w:rPr>
          <w:rFonts w:ascii="David" w:eastAsia="Calibri" w:hAnsi="David" w:hint="cs"/>
          <w:b/>
          <w:bCs/>
          <w:sz w:val="24"/>
          <w:rtl/>
        </w:rPr>
        <w:t xml:space="preserve"> </w:t>
      </w:r>
    </w:p>
    <w:p w:rsidR="00082C78" w:rsidRPr="00082C78" w:rsidRDefault="00082C78"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 xml:space="preserve">המשטרה כתבה בתשובתה כי אין חולק שנדרש לעדכן את החקיקה ולהתאימה למציאות הטכנולוגית, אולם כל עוד החקיקה לא עודכנה, המשטרה רשאית ואף מחויבת להשתמש במסגרת סמכויותיה התואמות את הדין היום, וכך היא פעלה "באופן עקבי, בזהירות, באופן סדור, תוך הפעלת שיקול דעת, ועל בסיס אישורים מטעם הייעוץ המשפטי למשטרה, הפרקליטות או היועמ"ש לממשלה". </w:t>
      </w:r>
    </w:p>
    <w:p w:rsidR="00082C78" w:rsidRPr="00082C78" w:rsidRDefault="00082C78"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sz w:val="24"/>
          <w:rtl/>
        </w:rPr>
      </w:pPr>
      <w:r w:rsidRPr="00082C78">
        <w:rPr>
          <w:rFonts w:ascii="David" w:eastAsia="Calibri" w:hAnsi="David" w:hint="cs"/>
          <w:sz w:val="24"/>
          <w:rtl/>
        </w:rPr>
        <w:t xml:space="preserve">משרד המשפטים כתב בתשובתו כי לעמדת הייעוץ המשפטי לממשלה יש להבחין בין המקרים שבהם נדרש תיקון חקיקה (כגון הסמכות לביצוע חיפוש סמוי) לבין מקרים שבהם הייעוץ המשפטי לממשלה מצביע על הצורך בהסדרה חקיקתית לשם טיוב ההסדר החוקי, הבהרתו ועיגונו. </w:t>
      </w:r>
    </w:p>
    <w:p w:rsidR="00082C78" w:rsidRPr="00082C78" w:rsidRDefault="00082C78"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b/>
          <w:bCs/>
          <w:sz w:val="24"/>
          <w:rtl/>
        </w:rPr>
      </w:pPr>
      <w:r w:rsidRPr="00082C78">
        <w:rPr>
          <w:rFonts w:ascii="David" w:eastAsia="Calibri" w:hAnsi="David" w:hint="cs"/>
          <w:b/>
          <w:bCs/>
          <w:sz w:val="24"/>
          <w:rtl/>
        </w:rPr>
        <w:t>מהדוגמאות המוצגות בפרק זה, ו</w:t>
      </w:r>
      <w:r w:rsidRPr="00082C78">
        <w:rPr>
          <w:rFonts w:ascii="David" w:eastAsia="Calibri" w:hAnsi="David"/>
          <w:b/>
          <w:bCs/>
          <w:sz w:val="24"/>
          <w:rtl/>
        </w:rPr>
        <w:t>בה</w:t>
      </w:r>
      <w:r w:rsidRPr="00082C78">
        <w:rPr>
          <w:rFonts w:ascii="David" w:eastAsia="Calibri" w:hAnsi="David" w:hint="cs"/>
          <w:b/>
          <w:bCs/>
          <w:sz w:val="24"/>
          <w:rtl/>
        </w:rPr>
        <w:t>י</w:t>
      </w:r>
      <w:r w:rsidRPr="00082C78">
        <w:rPr>
          <w:rFonts w:ascii="David" w:eastAsia="Calibri" w:hAnsi="David"/>
          <w:b/>
          <w:bCs/>
          <w:sz w:val="24"/>
          <w:rtl/>
        </w:rPr>
        <w:t>עדרה של הסדרה חקיקתית</w:t>
      </w:r>
      <w:r w:rsidRPr="00082C78">
        <w:rPr>
          <w:rFonts w:ascii="David" w:eastAsia="Calibri" w:hAnsi="David" w:hint="cs"/>
          <w:b/>
          <w:bCs/>
          <w:sz w:val="24"/>
          <w:rtl/>
        </w:rPr>
        <w:t>, עולה כי</w:t>
      </w:r>
      <w:r w:rsidRPr="00082C78">
        <w:rPr>
          <w:rFonts w:ascii="David" w:eastAsia="Calibri" w:hAnsi="David"/>
          <w:b/>
          <w:bCs/>
          <w:sz w:val="24"/>
          <w:rtl/>
        </w:rPr>
        <w:t xml:space="preserve"> נדרש </w:t>
      </w:r>
      <w:r w:rsidRPr="00082C78">
        <w:rPr>
          <w:rFonts w:ascii="David" w:eastAsia="Calibri" w:hAnsi="David" w:hint="cs"/>
          <w:b/>
          <w:bCs/>
          <w:sz w:val="24"/>
          <w:rtl/>
        </w:rPr>
        <w:t>ש</w:t>
      </w:r>
      <w:r w:rsidRPr="00082C78">
        <w:rPr>
          <w:rFonts w:ascii="David" w:eastAsia="Calibri" w:hAnsi="David"/>
          <w:b/>
          <w:bCs/>
          <w:sz w:val="24"/>
          <w:rtl/>
        </w:rPr>
        <w:t>האישור המשפטי לשימוש בכלים י</w:t>
      </w:r>
      <w:r w:rsidRPr="00082C78">
        <w:rPr>
          <w:rFonts w:ascii="David" w:eastAsia="Calibri" w:hAnsi="David" w:hint="cs"/>
          <w:b/>
          <w:bCs/>
          <w:sz w:val="24"/>
          <w:rtl/>
        </w:rPr>
        <w:t>י</w:t>
      </w:r>
      <w:r w:rsidRPr="00082C78">
        <w:rPr>
          <w:rFonts w:ascii="David" w:eastAsia="Calibri" w:hAnsi="David"/>
          <w:b/>
          <w:bCs/>
          <w:sz w:val="24"/>
          <w:rtl/>
        </w:rPr>
        <w:t>עשה באופן מוקפד</w:t>
      </w:r>
      <w:r w:rsidRPr="00082C78">
        <w:rPr>
          <w:rFonts w:ascii="David" w:eastAsia="Calibri" w:hAnsi="David" w:hint="cs"/>
          <w:b/>
          <w:bCs/>
          <w:sz w:val="24"/>
          <w:rtl/>
        </w:rPr>
        <w:t>,</w:t>
      </w:r>
      <w:r w:rsidRPr="00082C78">
        <w:rPr>
          <w:rFonts w:ascii="David" w:eastAsia="Calibri" w:hAnsi="David"/>
          <w:b/>
          <w:bCs/>
          <w:sz w:val="24"/>
          <w:rtl/>
        </w:rPr>
        <w:t xml:space="preserve"> תוך בחינה מפורטת ומעמיקה וניתוח מפורט של המתווים להפעלת הכלים למול המישור המשפטי, וכל זאת </w:t>
      </w:r>
      <w:r w:rsidRPr="00082C78">
        <w:rPr>
          <w:rFonts w:ascii="David" w:eastAsia="Calibri" w:hAnsi="David" w:hint="cs"/>
          <w:b/>
          <w:bCs/>
          <w:sz w:val="24"/>
          <w:rtl/>
        </w:rPr>
        <w:t>כדי</w:t>
      </w:r>
      <w:r w:rsidRPr="00082C78">
        <w:rPr>
          <w:rFonts w:ascii="David" w:eastAsia="Calibri" w:hAnsi="David"/>
          <w:b/>
          <w:bCs/>
          <w:sz w:val="24"/>
          <w:rtl/>
        </w:rPr>
        <w:t xml:space="preserve"> להבטיח פעולה במסגרת הוראות הדין וקיום האיזונים המשפטיים הרגישים בין הצרכים המבצעיים לבין זכויות האזרח. </w:t>
      </w:r>
    </w:p>
    <w:p w:rsidR="00271D14" w:rsidRDefault="00271D14"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b/>
          <w:bCs/>
          <w:sz w:val="24"/>
          <w:rtl/>
        </w:rPr>
      </w:pPr>
      <w:r w:rsidRPr="00082C78">
        <w:rPr>
          <w:rFonts w:ascii="David" w:eastAsia="Calibri" w:hAnsi="David"/>
          <w:b/>
          <w:bCs/>
          <w:sz w:val="24"/>
          <w:rtl/>
        </w:rPr>
        <w:t>הנחיית היועץ המשפטי לממשלה קבעה כי בנושאים בעלי רגישות מיוחדת או בעל</w:t>
      </w:r>
      <w:r w:rsidRPr="00082C78">
        <w:rPr>
          <w:rFonts w:ascii="David" w:eastAsia="Calibri" w:hAnsi="David" w:hint="cs"/>
          <w:b/>
          <w:bCs/>
          <w:sz w:val="24"/>
          <w:rtl/>
        </w:rPr>
        <w:t>י</w:t>
      </w:r>
      <w:r w:rsidRPr="00082C78">
        <w:rPr>
          <w:rFonts w:ascii="David" w:eastAsia="Calibri" w:hAnsi="David"/>
          <w:b/>
          <w:bCs/>
          <w:sz w:val="24"/>
          <w:rtl/>
        </w:rPr>
        <w:t xml:space="preserve"> השלכות בתחומי העונשין </w:t>
      </w:r>
      <w:r w:rsidRPr="00082C78">
        <w:rPr>
          <w:rFonts w:ascii="David" w:eastAsia="Calibri" w:hAnsi="David" w:hint="cs"/>
          <w:b/>
          <w:bCs/>
          <w:sz w:val="24"/>
          <w:rtl/>
        </w:rPr>
        <w:t xml:space="preserve">תיעשה פנייה של </w:t>
      </w:r>
      <w:r w:rsidRPr="00082C78">
        <w:rPr>
          <w:rFonts w:ascii="David" w:eastAsia="Calibri" w:hAnsi="David"/>
          <w:b/>
          <w:bCs/>
          <w:sz w:val="24"/>
          <w:rtl/>
        </w:rPr>
        <w:t xml:space="preserve">היועצים המשפטיים לרשויות השלטון לקבלת אישור משפטי </w:t>
      </w:r>
      <w:r w:rsidRPr="00082C78">
        <w:rPr>
          <w:rFonts w:ascii="David" w:eastAsia="Calibri" w:hAnsi="David" w:hint="cs"/>
          <w:b/>
          <w:bCs/>
          <w:sz w:val="24"/>
          <w:rtl/>
        </w:rPr>
        <w:t xml:space="preserve">מהיועץ המשפטי לממשלה, המשנים לו או </w:t>
      </w:r>
      <w:r w:rsidR="002B2F2E">
        <w:rPr>
          <w:rFonts w:ascii="David" w:eastAsia="Calibri" w:hAnsi="David" w:hint="cs"/>
          <w:b/>
          <w:bCs/>
          <w:sz w:val="24"/>
          <w:rtl/>
        </w:rPr>
        <w:t xml:space="preserve">מהייעוץ המשפטי לממשלה </w:t>
      </w:r>
      <w:r w:rsidR="005D59FF">
        <w:rPr>
          <w:rFonts w:ascii="David" w:eastAsia="Calibri" w:hAnsi="David" w:hint="cs"/>
          <w:b/>
          <w:bCs/>
          <w:sz w:val="24"/>
          <w:rtl/>
        </w:rPr>
        <w:t>במשרד המשפטים</w:t>
      </w:r>
      <w:r w:rsidRPr="00082C78">
        <w:rPr>
          <w:rFonts w:ascii="David" w:eastAsia="Calibri" w:hAnsi="David"/>
          <w:b/>
          <w:bCs/>
          <w:sz w:val="24"/>
          <w:rtl/>
        </w:rPr>
        <w:t>.</w:t>
      </w:r>
      <w:r w:rsidRPr="00082C78">
        <w:rPr>
          <w:rFonts w:ascii="David" w:eastAsia="Calibri" w:hAnsi="David" w:hint="cs"/>
          <w:b/>
          <w:bCs/>
          <w:sz w:val="24"/>
          <w:rtl/>
        </w:rPr>
        <w:t xml:space="preserve"> דוח צוות מררי </w:t>
      </w:r>
      <w:r w:rsidR="00BF1805">
        <w:rPr>
          <w:rFonts w:ascii="David" w:eastAsia="Calibri" w:hAnsi="David" w:hint="cs"/>
          <w:b/>
          <w:bCs/>
          <w:sz w:val="24"/>
          <w:rtl/>
        </w:rPr>
        <w:t xml:space="preserve">אף </w:t>
      </w:r>
      <w:r w:rsidRPr="00082C78">
        <w:rPr>
          <w:rFonts w:ascii="David" w:eastAsia="Calibri" w:hAnsi="David" w:hint="cs"/>
          <w:b/>
          <w:bCs/>
          <w:sz w:val="24"/>
          <w:rtl/>
        </w:rPr>
        <w:t xml:space="preserve">קבע </w:t>
      </w:r>
      <w:r w:rsidR="00C16DC5">
        <w:rPr>
          <w:rFonts w:ascii="David" w:eastAsia="Calibri" w:hAnsi="David" w:hint="cs"/>
          <w:b/>
          <w:bCs/>
          <w:sz w:val="24"/>
          <w:rtl/>
        </w:rPr>
        <w:t xml:space="preserve">בדיעבד </w:t>
      </w:r>
      <w:r w:rsidRPr="00082C78">
        <w:rPr>
          <w:rFonts w:ascii="David" w:eastAsia="Calibri" w:hAnsi="David" w:hint="cs"/>
          <w:b/>
          <w:bCs/>
          <w:sz w:val="24"/>
          <w:rtl/>
        </w:rPr>
        <w:t>כי במקרה של שימוש ב</w:t>
      </w:r>
      <w:r w:rsidR="00C05AB5">
        <w:rPr>
          <w:rFonts w:ascii="David" w:eastAsia="Calibri" w:hAnsi="David" w:hint="cs"/>
          <w:b/>
          <w:bCs/>
          <w:sz w:val="24"/>
          <w:rtl/>
        </w:rPr>
        <w:t>כלי טכנולוגי</w:t>
      </w:r>
      <w:r w:rsidR="00382AE8">
        <w:rPr>
          <w:rFonts w:ascii="David" w:eastAsia="Calibri" w:hAnsi="David" w:hint="cs"/>
          <w:b/>
          <w:bCs/>
          <w:sz w:val="24"/>
          <w:rtl/>
        </w:rPr>
        <w:t xml:space="preserve"> </w:t>
      </w:r>
      <w:r w:rsidRPr="00082C78">
        <w:rPr>
          <w:rFonts w:ascii="David" w:eastAsia="Calibri" w:hAnsi="David" w:hint="cs"/>
          <w:b/>
          <w:bCs/>
          <w:sz w:val="24"/>
          <w:rtl/>
        </w:rPr>
        <w:t>נדרש היה להביא את הכלי על כלל מאפייניו לאישור גורמי הייעוץ המשפטי לממשלה.</w:t>
      </w:r>
    </w:p>
    <w:p w:rsidR="00271D14" w:rsidRDefault="00271D14" w:rsidP="00604C3D">
      <w:pPr>
        <w:spacing w:line="269" w:lineRule="auto"/>
        <w:rPr>
          <w:rFonts w:ascii="David" w:eastAsia="Calibri" w:hAnsi="David"/>
          <w:b/>
          <w:bCs/>
          <w:sz w:val="24"/>
          <w:rtl/>
        </w:rPr>
      </w:pPr>
    </w:p>
    <w:p w:rsidR="00457B3D" w:rsidRDefault="00082C78" w:rsidP="00604C3D">
      <w:pPr>
        <w:spacing w:line="269" w:lineRule="auto"/>
        <w:rPr>
          <w:rFonts w:ascii="David" w:eastAsia="Calibri" w:hAnsi="David"/>
          <w:b/>
          <w:bCs/>
          <w:sz w:val="24"/>
          <w:rtl/>
        </w:rPr>
      </w:pPr>
      <w:r w:rsidRPr="00082C78">
        <w:rPr>
          <w:rFonts w:ascii="David" w:eastAsia="Calibri" w:hAnsi="David"/>
          <w:b/>
          <w:bCs/>
          <w:sz w:val="24"/>
          <w:rtl/>
        </w:rPr>
        <w:t xml:space="preserve">ממצאיו של פרק זה מלמדים כי הליכי הבחינה המשפטית </w:t>
      </w:r>
      <w:r w:rsidR="00E274EE">
        <w:rPr>
          <w:rFonts w:ascii="David" w:eastAsia="Calibri" w:hAnsi="David" w:hint="cs"/>
          <w:b/>
          <w:bCs/>
          <w:sz w:val="24"/>
          <w:rtl/>
        </w:rPr>
        <w:t xml:space="preserve">של </w:t>
      </w:r>
      <w:r w:rsidR="00E274EE" w:rsidRPr="00082C78">
        <w:rPr>
          <w:rFonts w:ascii="David" w:eastAsia="Calibri" w:hAnsi="David"/>
          <w:b/>
          <w:bCs/>
          <w:sz w:val="24"/>
          <w:rtl/>
        </w:rPr>
        <w:t xml:space="preserve">לכלים </w:t>
      </w:r>
      <w:r w:rsidR="00E274EE" w:rsidRPr="00082C78">
        <w:rPr>
          <w:rFonts w:ascii="David" w:eastAsia="Calibri" w:hAnsi="David" w:hint="cs"/>
          <w:b/>
          <w:bCs/>
          <w:sz w:val="24"/>
          <w:rtl/>
        </w:rPr>
        <w:t>הטכנולוגיים</w:t>
      </w:r>
      <w:r w:rsidR="00E274EE">
        <w:rPr>
          <w:rFonts w:ascii="David" w:eastAsia="Calibri" w:hAnsi="David" w:hint="cs"/>
          <w:b/>
          <w:bCs/>
          <w:sz w:val="24"/>
          <w:rtl/>
        </w:rPr>
        <w:t xml:space="preserve"> והליכי</w:t>
      </w:r>
      <w:r w:rsidR="00E274EE" w:rsidRPr="00082C78">
        <w:rPr>
          <w:rFonts w:ascii="David" w:eastAsia="Calibri" w:hAnsi="David"/>
          <w:b/>
          <w:bCs/>
          <w:sz w:val="24"/>
          <w:rtl/>
        </w:rPr>
        <w:t xml:space="preserve"> </w:t>
      </w:r>
      <w:r w:rsidRPr="00082C78">
        <w:rPr>
          <w:rFonts w:ascii="David" w:eastAsia="Calibri" w:hAnsi="David"/>
          <w:b/>
          <w:bCs/>
          <w:sz w:val="24"/>
          <w:rtl/>
        </w:rPr>
        <w:t>אישור השימוש שהתקיימו בשנים האחרונות היו לקויים, חסרים ובלתי סדורים</w:t>
      </w:r>
      <w:r w:rsidRPr="00082C78">
        <w:rPr>
          <w:rFonts w:ascii="David" w:eastAsia="Calibri" w:hAnsi="David" w:hint="cs"/>
          <w:b/>
          <w:bCs/>
          <w:sz w:val="24"/>
          <w:rtl/>
        </w:rPr>
        <w:t xml:space="preserve"> כמפורט בתרשים שלהלן:</w:t>
      </w:r>
    </w:p>
    <w:p w:rsidR="00457B3D" w:rsidRDefault="00457B3D" w:rsidP="00604C3D">
      <w:pPr>
        <w:bidi w:val="0"/>
        <w:spacing w:line="269" w:lineRule="auto"/>
        <w:rPr>
          <w:rFonts w:ascii="David" w:eastAsia="Calibri" w:hAnsi="David"/>
          <w:b/>
          <w:bCs/>
          <w:sz w:val="24"/>
        </w:rPr>
      </w:pPr>
      <w:r>
        <w:rPr>
          <w:rFonts w:ascii="David" w:eastAsia="Calibri" w:hAnsi="David"/>
          <w:b/>
          <w:bCs/>
          <w:sz w:val="24"/>
          <w:rtl/>
        </w:rPr>
        <w:br w:type="page"/>
      </w:r>
    </w:p>
    <w:p w:rsidR="008336E9" w:rsidRPr="00D1469B" w:rsidRDefault="00082C78" w:rsidP="00604C3D">
      <w:pPr>
        <w:spacing w:line="269" w:lineRule="auto"/>
        <w:jc w:val="center"/>
        <w:rPr>
          <w:rFonts w:ascii="David" w:eastAsia="Calibri" w:hAnsi="David"/>
          <w:b/>
          <w:bCs/>
          <w:sz w:val="24"/>
          <w:rtl/>
        </w:rPr>
      </w:pPr>
      <w:bookmarkStart w:id="181" w:name="_Hlk179363560"/>
      <w:r w:rsidRPr="00082C78">
        <w:rPr>
          <w:rFonts w:eastAsia="Calibri" w:hint="eastAsia"/>
          <w:rtl/>
        </w:rPr>
        <w:t>תרשים</w:t>
      </w:r>
      <w:r w:rsidR="00BF287B">
        <w:rPr>
          <w:rFonts w:eastAsia="Calibri" w:hint="cs"/>
          <w:rtl/>
        </w:rPr>
        <w:t xml:space="preserve"> 4</w:t>
      </w:r>
      <w:r w:rsidRPr="00082C78">
        <w:rPr>
          <w:rFonts w:ascii="David" w:eastAsia="Calibri" w:hAnsi="David" w:hint="cs"/>
          <w:sz w:val="24"/>
          <w:rtl/>
        </w:rPr>
        <w:t>:</w:t>
      </w:r>
      <w:r w:rsidRPr="00082C78">
        <w:rPr>
          <w:rFonts w:ascii="David" w:eastAsia="Calibri" w:hAnsi="David" w:hint="cs"/>
          <w:b/>
          <w:bCs/>
          <w:sz w:val="24"/>
          <w:rtl/>
        </w:rPr>
        <w:t xml:space="preserve"> סיכום הליקויים </w:t>
      </w:r>
      <w:r w:rsidR="00A7161F">
        <w:rPr>
          <w:rFonts w:ascii="David" w:eastAsia="Calibri" w:hAnsi="David" w:hint="cs"/>
          <w:b/>
          <w:bCs/>
          <w:sz w:val="24"/>
          <w:rtl/>
        </w:rPr>
        <w:t>בהליכי הבחינה והאישור המשפטי</w:t>
      </w:r>
      <w:r w:rsidRPr="00082C78">
        <w:rPr>
          <w:rFonts w:ascii="David" w:eastAsia="Calibri" w:hAnsi="David" w:hint="cs"/>
          <w:b/>
          <w:bCs/>
          <w:sz w:val="24"/>
          <w:rtl/>
        </w:rPr>
        <w:t xml:space="preserve"> </w:t>
      </w:r>
      <w:r w:rsidR="00A7161F">
        <w:rPr>
          <w:rFonts w:ascii="David" w:eastAsia="Calibri" w:hAnsi="David" w:hint="cs"/>
          <w:b/>
          <w:bCs/>
          <w:sz w:val="24"/>
          <w:rtl/>
        </w:rPr>
        <w:t>של</w:t>
      </w:r>
      <w:r w:rsidR="00A7161F" w:rsidRPr="00082C78">
        <w:rPr>
          <w:rFonts w:ascii="David" w:eastAsia="Calibri" w:hAnsi="David" w:hint="cs"/>
          <w:b/>
          <w:bCs/>
          <w:sz w:val="24"/>
          <w:rtl/>
        </w:rPr>
        <w:t xml:space="preserve"> </w:t>
      </w:r>
      <w:r w:rsidRPr="00082C78">
        <w:rPr>
          <w:rFonts w:ascii="David" w:eastAsia="Calibri" w:hAnsi="David" w:hint="cs"/>
          <w:b/>
          <w:bCs/>
          <w:sz w:val="24"/>
          <w:rtl/>
        </w:rPr>
        <w:t>כלים טכנולוגיים ומתווי ה</w:t>
      </w:r>
      <w:r w:rsidR="00062A25">
        <w:rPr>
          <w:rFonts w:ascii="David" w:eastAsia="Calibri" w:hAnsi="David" w:hint="cs"/>
          <w:b/>
          <w:bCs/>
          <w:sz w:val="24"/>
          <w:rtl/>
        </w:rPr>
        <w:t>התקנה</w:t>
      </w:r>
      <w:r w:rsidRPr="00082C78">
        <w:rPr>
          <w:rFonts w:ascii="David" w:eastAsia="Calibri" w:hAnsi="David" w:hint="cs"/>
          <w:b/>
          <w:bCs/>
          <w:sz w:val="24"/>
          <w:rtl/>
        </w:rPr>
        <w:t xml:space="preserve"> באמצעות כלים אל</w:t>
      </w:r>
      <w:bookmarkEnd w:id="181"/>
      <w:r w:rsidR="00A7161F">
        <w:rPr>
          <w:rFonts w:ascii="David" w:eastAsia="Calibri" w:hAnsi="David" w:hint="cs"/>
          <w:b/>
          <w:bCs/>
          <w:sz w:val="24"/>
          <w:rtl/>
        </w:rPr>
        <w:t>ה</w:t>
      </w:r>
    </w:p>
    <w:p w:rsidR="005B030C" w:rsidRDefault="00570596" w:rsidP="00604C3D">
      <w:pPr>
        <w:spacing w:line="269" w:lineRule="auto"/>
        <w:rPr>
          <w:rFonts w:ascii="David" w:eastAsia="Calibri" w:hAnsi="David"/>
          <w:szCs w:val="20"/>
          <w:rtl/>
        </w:rPr>
      </w:pPr>
      <w:r>
        <w:rPr>
          <w:rFonts w:ascii="David" w:eastAsia="Calibri" w:hAnsi="David"/>
          <w:noProof/>
          <w:szCs w:val="20"/>
          <w:rtl/>
          <w:lang w:val="he-IL"/>
        </w:rPr>
        <w:drawing>
          <wp:inline distT="0" distB="0" distL="0" distR="0" wp14:anchorId="60052193" wp14:editId="1903FC9D">
            <wp:extent cx="5219700" cy="586740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אמצעים טכנולוגיים-25.12.25.jpg"/>
                    <pic:cNvPicPr/>
                  </pic:nvPicPr>
                  <pic:blipFill rotWithShape="1">
                    <a:blip r:embed="rId11" cstate="print">
                      <a:extLst>
                        <a:ext uri="{28A0092B-C50C-407E-A947-70E740481C1C}">
                          <a14:useLocalDpi xmlns:a14="http://schemas.microsoft.com/office/drawing/2010/main" val="0"/>
                        </a:ext>
                      </a:extLst>
                    </a:blip>
                    <a:srcRect t="3955" b="2353"/>
                    <a:stretch/>
                  </pic:blipFill>
                  <pic:spPr bwMode="auto">
                    <a:xfrm>
                      <a:off x="0" y="0"/>
                      <a:ext cx="5219700" cy="5867400"/>
                    </a:xfrm>
                    <a:prstGeom prst="rect">
                      <a:avLst/>
                    </a:prstGeom>
                    <a:ln>
                      <a:noFill/>
                    </a:ln>
                    <a:extLst>
                      <a:ext uri="{53640926-AAD7-44D8-BBD7-CCE9431645EC}">
                        <a14:shadowObscured xmlns:a14="http://schemas.microsoft.com/office/drawing/2010/main"/>
                      </a:ext>
                    </a:extLst>
                  </pic:spPr>
                </pic:pic>
              </a:graphicData>
            </a:graphic>
          </wp:inline>
        </w:drawing>
      </w:r>
    </w:p>
    <w:p w:rsidR="00082C78" w:rsidRPr="00082C78" w:rsidRDefault="00FD3120" w:rsidP="00604C3D">
      <w:pPr>
        <w:spacing w:line="269" w:lineRule="auto"/>
        <w:rPr>
          <w:rFonts w:ascii="David" w:eastAsia="Calibri" w:hAnsi="David"/>
          <w:szCs w:val="20"/>
          <w:rtl/>
        </w:rPr>
      </w:pPr>
      <w:r>
        <w:rPr>
          <w:rFonts w:ascii="David" w:eastAsia="Calibri" w:hAnsi="David" w:hint="cs"/>
          <w:szCs w:val="20"/>
          <w:rtl/>
        </w:rPr>
        <w:t>על פי ממצאי הביקורת, בעיבוד</w:t>
      </w:r>
      <w:r w:rsidR="00382AE8">
        <w:rPr>
          <w:rFonts w:ascii="David" w:eastAsia="Calibri" w:hAnsi="David" w:hint="cs"/>
          <w:szCs w:val="20"/>
          <w:rtl/>
        </w:rPr>
        <w:t xml:space="preserve"> </w:t>
      </w:r>
      <w:r w:rsidR="00082C78" w:rsidRPr="00082C78">
        <w:rPr>
          <w:rFonts w:ascii="David" w:eastAsia="Calibri" w:hAnsi="David" w:hint="eastAsia"/>
          <w:szCs w:val="20"/>
          <w:rtl/>
        </w:rPr>
        <w:t>משרד</w:t>
      </w:r>
      <w:r w:rsidR="00082C78" w:rsidRPr="00082C78">
        <w:rPr>
          <w:rFonts w:ascii="David" w:eastAsia="Calibri" w:hAnsi="David"/>
          <w:szCs w:val="20"/>
          <w:rtl/>
        </w:rPr>
        <w:t xml:space="preserve"> </w:t>
      </w:r>
      <w:r w:rsidR="00082C78" w:rsidRPr="00082C78">
        <w:rPr>
          <w:rFonts w:ascii="David" w:eastAsia="Calibri" w:hAnsi="David" w:hint="eastAsia"/>
          <w:szCs w:val="20"/>
          <w:rtl/>
        </w:rPr>
        <w:t>מבקר</w:t>
      </w:r>
      <w:r w:rsidR="00082C78" w:rsidRPr="00082C78">
        <w:rPr>
          <w:rFonts w:ascii="David" w:eastAsia="Calibri" w:hAnsi="David"/>
          <w:szCs w:val="20"/>
          <w:rtl/>
        </w:rPr>
        <w:t xml:space="preserve"> </w:t>
      </w:r>
      <w:r w:rsidR="00082C78" w:rsidRPr="00082C78">
        <w:rPr>
          <w:rFonts w:ascii="David" w:eastAsia="Calibri" w:hAnsi="David" w:hint="eastAsia"/>
          <w:szCs w:val="20"/>
          <w:rtl/>
        </w:rPr>
        <w:t>המדינה</w:t>
      </w:r>
      <w:r w:rsidR="00082C78" w:rsidRPr="00082C78">
        <w:rPr>
          <w:rFonts w:ascii="David" w:eastAsia="Calibri" w:hAnsi="David"/>
          <w:szCs w:val="20"/>
          <w:rtl/>
        </w:rPr>
        <w:t>.</w:t>
      </w:r>
    </w:p>
    <w:p w:rsidR="00271D14" w:rsidRDefault="00271D14" w:rsidP="00604C3D">
      <w:pPr>
        <w:bidi w:val="0"/>
        <w:spacing w:line="269" w:lineRule="auto"/>
        <w:rPr>
          <w:rFonts w:ascii="David" w:eastAsia="Calibri" w:hAnsi="David"/>
          <w:b/>
          <w:bCs/>
          <w:sz w:val="24"/>
          <w:rtl/>
        </w:rPr>
      </w:pPr>
      <w:r>
        <w:rPr>
          <w:rFonts w:ascii="David" w:eastAsia="Calibri" w:hAnsi="David"/>
          <w:b/>
          <w:bCs/>
          <w:sz w:val="24"/>
          <w:rtl/>
        </w:rPr>
        <w:br w:type="page"/>
      </w:r>
    </w:p>
    <w:p w:rsidR="00082C78" w:rsidRPr="00082C78" w:rsidRDefault="00082C78" w:rsidP="00604C3D">
      <w:pPr>
        <w:spacing w:line="269" w:lineRule="auto"/>
        <w:rPr>
          <w:rFonts w:ascii="David" w:eastAsia="Calibri" w:hAnsi="David"/>
          <w:b/>
          <w:bCs/>
          <w:sz w:val="24"/>
          <w:rtl/>
        </w:rPr>
      </w:pPr>
      <w:r w:rsidRPr="00082C78">
        <w:rPr>
          <w:rFonts w:ascii="David" w:eastAsia="Calibri" w:hAnsi="David" w:hint="cs"/>
          <w:b/>
          <w:bCs/>
          <w:sz w:val="24"/>
          <w:rtl/>
        </w:rPr>
        <w:t>מהממצאים בפרק זה עולה כי:</w:t>
      </w:r>
    </w:p>
    <w:p w:rsidR="00271D14" w:rsidRDefault="00271D14" w:rsidP="00604C3D">
      <w:pPr>
        <w:spacing w:line="269" w:lineRule="auto"/>
        <w:ind w:left="84"/>
        <w:rPr>
          <w:rFonts w:ascii="David" w:eastAsia="Calibri" w:hAnsi="David"/>
          <w:b/>
          <w:bCs/>
          <w:sz w:val="24"/>
        </w:rPr>
      </w:pPr>
    </w:p>
    <w:p w:rsidR="00082C78" w:rsidRPr="00BF287B" w:rsidRDefault="00082C78" w:rsidP="008C598D">
      <w:pPr>
        <w:pStyle w:val="af2"/>
        <w:numPr>
          <w:ilvl w:val="1"/>
          <w:numId w:val="47"/>
        </w:numPr>
        <w:spacing w:line="269" w:lineRule="auto"/>
        <w:ind w:left="353"/>
        <w:rPr>
          <w:rFonts w:ascii="David" w:eastAsia="Calibri" w:hAnsi="David"/>
          <w:b/>
          <w:bCs/>
          <w:sz w:val="24"/>
        </w:rPr>
      </w:pPr>
      <w:r w:rsidRPr="00BF287B">
        <w:rPr>
          <w:rFonts w:ascii="David" w:eastAsia="Calibri" w:hAnsi="David" w:hint="cs"/>
          <w:b/>
          <w:bCs/>
          <w:sz w:val="24"/>
          <w:rtl/>
        </w:rPr>
        <w:t>כ</w:t>
      </w:r>
      <w:r w:rsidRPr="00BF287B">
        <w:rPr>
          <w:rFonts w:ascii="David" w:eastAsia="Calibri" w:hAnsi="David"/>
          <w:b/>
          <w:bCs/>
          <w:sz w:val="24"/>
          <w:rtl/>
        </w:rPr>
        <w:t xml:space="preserve">כלל, </w:t>
      </w:r>
      <w:r w:rsidRPr="00BF287B">
        <w:rPr>
          <w:rFonts w:ascii="David" w:eastAsia="Calibri" w:hAnsi="David" w:hint="cs"/>
          <w:b/>
          <w:bCs/>
          <w:sz w:val="24"/>
          <w:rtl/>
        </w:rPr>
        <w:t xml:space="preserve">לאורך השנים, בחלק מהמקרים המשטרה לא עירבה את </w:t>
      </w:r>
      <w:r w:rsidRPr="00BF287B">
        <w:rPr>
          <w:rFonts w:ascii="David" w:eastAsia="Calibri" w:hAnsi="David"/>
          <w:b/>
          <w:bCs/>
          <w:sz w:val="24"/>
          <w:rtl/>
        </w:rPr>
        <w:t>הייעוץ המשפטי לממשלה בהליכי הבחינה המשפטית ו</w:t>
      </w:r>
      <w:r w:rsidRPr="00BF287B">
        <w:rPr>
          <w:rFonts w:ascii="David" w:eastAsia="Calibri" w:hAnsi="David" w:hint="cs"/>
          <w:b/>
          <w:bCs/>
          <w:sz w:val="24"/>
          <w:rtl/>
        </w:rPr>
        <w:t xml:space="preserve">בהליכי </w:t>
      </w:r>
      <w:r w:rsidRPr="00BF287B">
        <w:rPr>
          <w:rFonts w:ascii="David" w:eastAsia="Calibri" w:hAnsi="David"/>
          <w:b/>
          <w:bCs/>
          <w:sz w:val="24"/>
          <w:rtl/>
        </w:rPr>
        <w:t xml:space="preserve">האישור של השימוש </w:t>
      </w:r>
      <w:r w:rsidRPr="00BF287B">
        <w:rPr>
          <w:rFonts w:ascii="David" w:eastAsia="Calibri" w:hAnsi="David" w:hint="cs"/>
          <w:b/>
          <w:bCs/>
          <w:sz w:val="24"/>
          <w:rtl/>
        </w:rPr>
        <w:t>בכלים טכנולוגיים. בחלק מהמקרים שבהם הוצגו בפני גורמי הייעוץ המשפטי לממשלה כלים טכנולוגיים, ו</w:t>
      </w:r>
      <w:r w:rsidRPr="00BF287B">
        <w:rPr>
          <w:rFonts w:ascii="David" w:eastAsia="Calibri" w:hAnsi="David"/>
          <w:b/>
          <w:bCs/>
          <w:sz w:val="24"/>
          <w:rtl/>
        </w:rPr>
        <w:t>על אף המשמעויות המשפטיות המורכבות, הסבוכות והרגישות הנוגע</w:t>
      </w:r>
      <w:r w:rsidRPr="00BF287B">
        <w:rPr>
          <w:rFonts w:ascii="David" w:eastAsia="Calibri" w:hAnsi="David" w:hint="cs"/>
          <w:b/>
          <w:bCs/>
          <w:sz w:val="24"/>
          <w:rtl/>
        </w:rPr>
        <w:t>ו</w:t>
      </w:r>
      <w:r w:rsidRPr="00BF287B">
        <w:rPr>
          <w:rFonts w:ascii="David" w:eastAsia="Calibri" w:hAnsi="David"/>
          <w:b/>
          <w:bCs/>
          <w:sz w:val="24"/>
          <w:rtl/>
        </w:rPr>
        <w:t>ת להפעלתם</w:t>
      </w:r>
      <w:r w:rsidRPr="00BF287B">
        <w:rPr>
          <w:rFonts w:ascii="David" w:eastAsia="Calibri" w:hAnsi="David" w:hint="cs"/>
          <w:b/>
          <w:bCs/>
          <w:sz w:val="24"/>
          <w:rtl/>
        </w:rPr>
        <w:t>, גורמי הייעוץ המשפטי לממשלה לא</w:t>
      </w:r>
      <w:r w:rsidR="00382AE8" w:rsidRPr="00BF287B">
        <w:rPr>
          <w:rFonts w:ascii="David" w:eastAsia="Calibri" w:hAnsi="David" w:hint="cs"/>
          <w:b/>
          <w:bCs/>
          <w:sz w:val="24"/>
          <w:rtl/>
        </w:rPr>
        <w:t xml:space="preserve"> </w:t>
      </w:r>
      <w:r w:rsidRPr="00BF287B">
        <w:rPr>
          <w:rFonts w:ascii="David" w:eastAsia="Calibri" w:hAnsi="David" w:hint="cs"/>
          <w:b/>
          <w:bCs/>
          <w:sz w:val="24"/>
          <w:rtl/>
        </w:rPr>
        <w:t>גילו מעורבות בבחינתם,</w:t>
      </w:r>
      <w:r w:rsidRPr="00BF287B">
        <w:rPr>
          <w:rFonts w:ascii="David" w:eastAsia="Calibri" w:hAnsi="David"/>
          <w:b/>
          <w:bCs/>
          <w:sz w:val="24"/>
          <w:rtl/>
        </w:rPr>
        <w:t xml:space="preserve"> </w:t>
      </w:r>
      <w:r w:rsidRPr="00BF287B">
        <w:rPr>
          <w:rFonts w:ascii="David" w:eastAsia="Calibri" w:hAnsi="David" w:hint="cs"/>
          <w:b/>
          <w:bCs/>
          <w:sz w:val="24"/>
          <w:rtl/>
        </w:rPr>
        <w:t xml:space="preserve">ולעיתים </w:t>
      </w:r>
      <w:r w:rsidRPr="00BF287B">
        <w:rPr>
          <w:rFonts w:ascii="David" w:eastAsia="Calibri" w:hAnsi="David"/>
          <w:b/>
          <w:bCs/>
          <w:sz w:val="24"/>
          <w:rtl/>
        </w:rPr>
        <w:t xml:space="preserve">לא היה </w:t>
      </w:r>
      <w:r w:rsidRPr="00BF287B">
        <w:rPr>
          <w:rFonts w:ascii="David" w:eastAsia="Calibri" w:hAnsi="David" w:hint="cs"/>
          <w:b/>
          <w:bCs/>
          <w:sz w:val="24"/>
          <w:rtl/>
        </w:rPr>
        <w:t xml:space="preserve">בידם </w:t>
      </w:r>
      <w:r w:rsidRPr="00BF287B">
        <w:rPr>
          <w:rFonts w:ascii="David" w:eastAsia="Calibri" w:hAnsi="David"/>
          <w:b/>
          <w:bCs/>
          <w:sz w:val="24"/>
          <w:rtl/>
        </w:rPr>
        <w:t>מידע טכנולוגי שרלוונטי לכלים אלו ופירוט היכולות של כל אחד מה</w:t>
      </w:r>
      <w:r w:rsidRPr="00BF287B">
        <w:rPr>
          <w:rFonts w:ascii="David" w:eastAsia="Calibri" w:hAnsi="David" w:hint="cs"/>
          <w:b/>
          <w:bCs/>
          <w:sz w:val="24"/>
          <w:rtl/>
        </w:rPr>
        <w:t>ם</w:t>
      </w:r>
      <w:r w:rsidRPr="00BF287B">
        <w:rPr>
          <w:rFonts w:ascii="David" w:eastAsia="Calibri" w:hAnsi="David"/>
          <w:b/>
          <w:bCs/>
          <w:sz w:val="24"/>
          <w:rtl/>
        </w:rPr>
        <w:t>.</w:t>
      </w:r>
    </w:p>
    <w:p w:rsidR="00271D14" w:rsidRDefault="00271D14" w:rsidP="00604C3D">
      <w:pPr>
        <w:spacing w:line="269" w:lineRule="auto"/>
        <w:ind w:left="84"/>
        <w:rPr>
          <w:rFonts w:ascii="David" w:eastAsia="Calibri" w:hAnsi="David"/>
          <w:b/>
          <w:bCs/>
          <w:sz w:val="24"/>
        </w:rPr>
      </w:pPr>
    </w:p>
    <w:p w:rsidR="00082C78" w:rsidRPr="00082C78" w:rsidRDefault="00082C78" w:rsidP="008C598D">
      <w:pPr>
        <w:pStyle w:val="af2"/>
        <w:numPr>
          <w:ilvl w:val="1"/>
          <w:numId w:val="47"/>
        </w:numPr>
        <w:spacing w:line="269" w:lineRule="auto"/>
        <w:ind w:left="353"/>
        <w:rPr>
          <w:rFonts w:ascii="David" w:eastAsia="Calibri" w:hAnsi="David"/>
          <w:b/>
          <w:bCs/>
          <w:sz w:val="24"/>
        </w:rPr>
      </w:pPr>
      <w:r w:rsidRPr="00082C78">
        <w:rPr>
          <w:rFonts w:ascii="David" w:eastAsia="Calibri" w:hAnsi="David"/>
          <w:b/>
          <w:bCs/>
          <w:sz w:val="24"/>
          <w:rtl/>
        </w:rPr>
        <w:t xml:space="preserve">במשך שנים </w:t>
      </w:r>
      <w:r w:rsidRPr="00082C78">
        <w:rPr>
          <w:rFonts w:ascii="David" w:eastAsia="Calibri" w:hAnsi="David" w:hint="cs"/>
          <w:b/>
          <w:bCs/>
          <w:sz w:val="24"/>
          <w:rtl/>
        </w:rPr>
        <w:t>השתמשה המשטרה</w:t>
      </w:r>
      <w:r w:rsidRPr="00082C78">
        <w:rPr>
          <w:rFonts w:ascii="David" w:eastAsia="Calibri" w:hAnsi="David"/>
          <w:b/>
          <w:bCs/>
          <w:sz w:val="24"/>
          <w:rtl/>
        </w:rPr>
        <w:t xml:space="preserve"> בכלי</w:t>
      </w:r>
      <w:r w:rsidR="00B85472">
        <w:rPr>
          <w:rFonts w:ascii="David" w:eastAsia="Calibri" w:hAnsi="David" w:hint="cs"/>
          <w:b/>
          <w:bCs/>
          <w:sz w:val="24"/>
          <w:rtl/>
        </w:rPr>
        <w:t>ם</w:t>
      </w:r>
      <w:r w:rsidRPr="00082C78">
        <w:rPr>
          <w:rFonts w:ascii="David" w:eastAsia="Calibri" w:hAnsi="David"/>
          <w:b/>
          <w:bCs/>
          <w:sz w:val="24"/>
          <w:rtl/>
        </w:rPr>
        <w:t xml:space="preserve"> </w:t>
      </w:r>
      <w:r w:rsidR="00B85472">
        <w:rPr>
          <w:rFonts w:ascii="David" w:eastAsia="Calibri" w:hAnsi="David" w:hint="cs"/>
          <w:b/>
          <w:bCs/>
          <w:sz w:val="24"/>
          <w:rtl/>
        </w:rPr>
        <w:t>טכנולוגיים</w:t>
      </w:r>
      <w:r w:rsidR="0055209B">
        <w:rPr>
          <w:rFonts w:ascii="David" w:eastAsia="Calibri" w:hAnsi="David" w:hint="cs"/>
          <w:b/>
          <w:bCs/>
          <w:sz w:val="24"/>
          <w:rtl/>
        </w:rPr>
        <w:t xml:space="preserve"> </w:t>
      </w:r>
      <w:r w:rsidR="00B85472">
        <w:rPr>
          <w:rFonts w:ascii="David" w:eastAsia="Calibri" w:hAnsi="David" w:hint="cs"/>
          <w:b/>
          <w:bCs/>
          <w:sz w:val="24"/>
          <w:rtl/>
        </w:rPr>
        <w:t xml:space="preserve">שהותקנו על </w:t>
      </w:r>
      <w:r w:rsidRPr="00082C78">
        <w:rPr>
          <w:rFonts w:ascii="David" w:eastAsia="Calibri" w:hAnsi="David" w:hint="cs"/>
          <w:b/>
          <w:bCs/>
          <w:sz w:val="24"/>
          <w:rtl/>
        </w:rPr>
        <w:t xml:space="preserve">טלפונים סלולריים או מחשבים </w:t>
      </w:r>
      <w:r w:rsidRPr="00082C78">
        <w:rPr>
          <w:rFonts w:ascii="David" w:eastAsia="Calibri" w:hAnsi="David"/>
          <w:b/>
          <w:bCs/>
          <w:sz w:val="24"/>
          <w:rtl/>
        </w:rPr>
        <w:t xml:space="preserve">בלי </w:t>
      </w:r>
      <w:r w:rsidRPr="00082C78">
        <w:rPr>
          <w:rFonts w:ascii="David" w:eastAsia="Calibri" w:hAnsi="David" w:hint="cs"/>
          <w:b/>
          <w:bCs/>
          <w:sz w:val="24"/>
          <w:rtl/>
        </w:rPr>
        <w:t>שאלו הועברו לידיעת גורמי הייעוץ המשפטי לממשלה</w:t>
      </w:r>
      <w:r w:rsidRPr="00082C78">
        <w:rPr>
          <w:rFonts w:ascii="David" w:eastAsia="Calibri" w:hAnsi="David"/>
          <w:b/>
          <w:bCs/>
          <w:sz w:val="24"/>
          <w:rtl/>
        </w:rPr>
        <w:t xml:space="preserve">. כמו כן אף לא התקיים דיון משפטי עקרוני </w:t>
      </w:r>
      <w:r w:rsidRPr="00082C78">
        <w:rPr>
          <w:rFonts w:ascii="David" w:eastAsia="Calibri" w:hAnsi="David" w:hint="cs"/>
          <w:b/>
          <w:bCs/>
          <w:sz w:val="24"/>
          <w:rtl/>
        </w:rPr>
        <w:t>בנוגע</w:t>
      </w:r>
      <w:r w:rsidRPr="00082C78">
        <w:rPr>
          <w:rFonts w:ascii="David" w:eastAsia="Calibri" w:hAnsi="David"/>
          <w:b/>
          <w:bCs/>
          <w:sz w:val="24"/>
          <w:rtl/>
        </w:rPr>
        <w:t xml:space="preserve"> לעצם הטמעת כלי</w:t>
      </w:r>
      <w:r w:rsidRPr="00082C78">
        <w:rPr>
          <w:rFonts w:ascii="David" w:eastAsia="Calibri" w:hAnsi="David" w:hint="cs"/>
          <w:b/>
          <w:bCs/>
          <w:sz w:val="24"/>
          <w:rtl/>
        </w:rPr>
        <w:t>ם</w:t>
      </w:r>
      <w:r w:rsidRPr="00082C78">
        <w:rPr>
          <w:rFonts w:ascii="David" w:eastAsia="Calibri" w:hAnsi="David"/>
          <w:b/>
          <w:bCs/>
          <w:sz w:val="24"/>
          <w:rtl/>
        </w:rPr>
        <w:t xml:space="preserve"> </w:t>
      </w:r>
      <w:r w:rsidRPr="00082C78">
        <w:rPr>
          <w:rFonts w:ascii="David" w:eastAsia="Calibri" w:hAnsi="David" w:hint="cs"/>
          <w:b/>
          <w:bCs/>
          <w:sz w:val="24"/>
          <w:rtl/>
        </w:rPr>
        <w:t>אלו</w:t>
      </w:r>
      <w:r w:rsidRPr="00082C78">
        <w:rPr>
          <w:rFonts w:ascii="David" w:eastAsia="Calibri" w:hAnsi="David"/>
          <w:b/>
          <w:bCs/>
          <w:sz w:val="24"/>
          <w:rtl/>
        </w:rPr>
        <w:t xml:space="preserve"> </w:t>
      </w:r>
      <w:r w:rsidRPr="00082C78">
        <w:rPr>
          <w:rFonts w:ascii="David" w:eastAsia="Calibri" w:hAnsi="David" w:hint="cs"/>
          <w:b/>
          <w:bCs/>
          <w:sz w:val="24"/>
          <w:rtl/>
        </w:rPr>
        <w:t>בעבודתה של</w:t>
      </w:r>
      <w:r w:rsidRPr="00082C78">
        <w:rPr>
          <w:rFonts w:ascii="David" w:eastAsia="Calibri" w:hAnsi="David"/>
          <w:b/>
          <w:bCs/>
          <w:sz w:val="24"/>
          <w:rtl/>
        </w:rPr>
        <w:t xml:space="preserve"> </w:t>
      </w:r>
      <w:r w:rsidRPr="00082C78">
        <w:rPr>
          <w:rFonts w:ascii="David" w:eastAsia="Calibri" w:hAnsi="David" w:hint="cs"/>
          <w:b/>
          <w:bCs/>
          <w:sz w:val="24"/>
          <w:rtl/>
        </w:rPr>
        <w:t>ה</w:t>
      </w:r>
      <w:r w:rsidRPr="00082C78">
        <w:rPr>
          <w:rFonts w:ascii="David" w:eastAsia="Calibri" w:hAnsi="David"/>
          <w:b/>
          <w:bCs/>
          <w:sz w:val="24"/>
          <w:rtl/>
        </w:rPr>
        <w:t>משטר</w:t>
      </w:r>
      <w:r w:rsidRPr="00082C78">
        <w:rPr>
          <w:rFonts w:ascii="David" w:eastAsia="Calibri" w:hAnsi="David" w:hint="cs"/>
          <w:b/>
          <w:bCs/>
          <w:sz w:val="24"/>
          <w:rtl/>
        </w:rPr>
        <w:t>ה</w:t>
      </w:r>
      <w:r w:rsidRPr="00082C78">
        <w:rPr>
          <w:rFonts w:ascii="David" w:eastAsia="Calibri" w:hAnsi="David"/>
          <w:b/>
          <w:bCs/>
          <w:sz w:val="24"/>
          <w:rtl/>
        </w:rPr>
        <w:t>.</w:t>
      </w:r>
    </w:p>
    <w:p w:rsidR="00271D14" w:rsidRDefault="00271D14" w:rsidP="00604C3D">
      <w:pPr>
        <w:spacing w:line="269" w:lineRule="auto"/>
        <w:ind w:left="84"/>
        <w:rPr>
          <w:rFonts w:ascii="David" w:eastAsia="Calibri" w:hAnsi="David"/>
          <w:b/>
          <w:bCs/>
          <w:sz w:val="24"/>
        </w:rPr>
      </w:pPr>
    </w:p>
    <w:p w:rsidR="00082C78" w:rsidRDefault="00082C78" w:rsidP="008C598D">
      <w:pPr>
        <w:pStyle w:val="af2"/>
        <w:numPr>
          <w:ilvl w:val="1"/>
          <w:numId w:val="47"/>
        </w:numPr>
        <w:spacing w:line="269" w:lineRule="auto"/>
        <w:ind w:left="353"/>
        <w:rPr>
          <w:rFonts w:ascii="David" w:eastAsia="Calibri" w:hAnsi="David"/>
          <w:b/>
          <w:bCs/>
          <w:sz w:val="24"/>
        </w:rPr>
      </w:pPr>
      <w:r w:rsidRPr="00082C78">
        <w:rPr>
          <w:rFonts w:ascii="David" w:eastAsia="Calibri" w:hAnsi="David" w:hint="cs"/>
          <w:b/>
          <w:bCs/>
          <w:sz w:val="24"/>
          <w:rtl/>
        </w:rPr>
        <w:t>נמצאו שלושה כלים</w:t>
      </w:r>
      <w:r w:rsidR="00EB64DF">
        <w:rPr>
          <w:rFonts w:ascii="David" w:eastAsia="Calibri" w:hAnsi="David" w:hint="cs"/>
          <w:b/>
          <w:bCs/>
          <w:sz w:val="24"/>
          <w:rtl/>
        </w:rPr>
        <w:t xml:space="preserve"> </w:t>
      </w:r>
      <w:r w:rsidRPr="00082C78">
        <w:rPr>
          <w:rFonts w:ascii="David" w:eastAsia="Calibri" w:hAnsi="David" w:hint="cs"/>
          <w:b/>
          <w:bCs/>
          <w:sz w:val="24"/>
          <w:rtl/>
        </w:rPr>
        <w:t>שחטיבת הסייבר</w:t>
      </w:r>
      <w:r w:rsidRPr="00082C78">
        <w:rPr>
          <w:rFonts w:ascii="David" w:eastAsia="Calibri" w:hAnsi="David"/>
          <w:b/>
          <w:bCs/>
          <w:sz w:val="24"/>
          <w:rtl/>
        </w:rPr>
        <w:t xml:space="preserve"> </w:t>
      </w:r>
      <w:r w:rsidR="002F1545">
        <w:rPr>
          <w:rFonts w:ascii="David" w:eastAsia="Calibri" w:hAnsi="David" w:hint="cs"/>
          <w:b/>
          <w:bCs/>
          <w:sz w:val="24"/>
          <w:rtl/>
        </w:rPr>
        <w:t>אישרה</w:t>
      </w:r>
      <w:r w:rsidRPr="00082C78">
        <w:rPr>
          <w:rFonts w:ascii="David" w:eastAsia="Calibri" w:hAnsi="David" w:hint="cs"/>
          <w:b/>
          <w:bCs/>
          <w:sz w:val="24"/>
          <w:rtl/>
        </w:rPr>
        <w:t xml:space="preserve"> </w:t>
      </w:r>
      <w:r w:rsidRPr="00082C78">
        <w:rPr>
          <w:rFonts w:ascii="David" w:eastAsia="Calibri" w:hAnsi="David"/>
          <w:b/>
          <w:bCs/>
          <w:sz w:val="24"/>
          <w:rtl/>
        </w:rPr>
        <w:t xml:space="preserve">בלא </w:t>
      </w:r>
      <w:r w:rsidR="009D338E">
        <w:rPr>
          <w:rFonts w:ascii="David" w:eastAsia="Calibri" w:hAnsi="David" w:hint="cs"/>
          <w:b/>
          <w:bCs/>
          <w:sz w:val="24"/>
          <w:rtl/>
        </w:rPr>
        <w:t>שנשענה</w:t>
      </w:r>
      <w:r w:rsidRPr="00082C78">
        <w:rPr>
          <w:rFonts w:ascii="David" w:eastAsia="Calibri" w:hAnsi="David"/>
          <w:b/>
          <w:bCs/>
          <w:sz w:val="24"/>
          <w:rtl/>
        </w:rPr>
        <w:t xml:space="preserve"> על חוות דעת מפורטות </w:t>
      </w:r>
      <w:r w:rsidRPr="00082C78">
        <w:rPr>
          <w:rFonts w:ascii="David" w:eastAsia="Calibri" w:hAnsi="David" w:hint="cs"/>
          <w:b/>
          <w:bCs/>
          <w:sz w:val="24"/>
          <w:rtl/>
        </w:rPr>
        <w:t xml:space="preserve">של היועמ"ש למשטרה </w:t>
      </w:r>
      <w:r w:rsidRPr="00082C78">
        <w:rPr>
          <w:rFonts w:ascii="David" w:eastAsia="Calibri" w:hAnsi="David"/>
          <w:b/>
          <w:bCs/>
          <w:sz w:val="24"/>
          <w:rtl/>
        </w:rPr>
        <w:t>המנתחות את מתווי ההפעלה ו</w:t>
      </w:r>
      <w:r w:rsidRPr="00082C78">
        <w:rPr>
          <w:rFonts w:ascii="David" w:eastAsia="Calibri" w:hAnsi="David" w:hint="cs"/>
          <w:b/>
          <w:bCs/>
          <w:sz w:val="24"/>
          <w:rtl/>
        </w:rPr>
        <w:t xml:space="preserve">את </w:t>
      </w:r>
      <w:r w:rsidRPr="00082C78">
        <w:rPr>
          <w:rFonts w:ascii="David" w:eastAsia="Calibri" w:hAnsi="David"/>
          <w:b/>
          <w:bCs/>
          <w:sz w:val="24"/>
          <w:rtl/>
        </w:rPr>
        <w:t>היכולות הטכנולוגיות בראי ההיבטים המשפטיים תוך הבהרת השיקולים שנשקלו והאיזונים המשפטיים שיושמו.</w:t>
      </w:r>
    </w:p>
    <w:p w:rsidR="00271D14" w:rsidRPr="00082C78" w:rsidRDefault="00271D14" w:rsidP="00604C3D">
      <w:pPr>
        <w:spacing w:line="269" w:lineRule="auto"/>
        <w:ind w:left="84"/>
        <w:rPr>
          <w:rFonts w:ascii="David" w:eastAsia="Calibri" w:hAnsi="David"/>
          <w:b/>
          <w:bCs/>
          <w:sz w:val="24"/>
        </w:rPr>
      </w:pPr>
    </w:p>
    <w:p w:rsidR="00082C78" w:rsidRPr="00082C78" w:rsidRDefault="00082C78" w:rsidP="008C598D">
      <w:pPr>
        <w:pStyle w:val="af2"/>
        <w:numPr>
          <w:ilvl w:val="1"/>
          <w:numId w:val="47"/>
        </w:numPr>
        <w:spacing w:line="269" w:lineRule="auto"/>
        <w:ind w:left="353"/>
        <w:rPr>
          <w:rFonts w:ascii="David" w:eastAsia="Calibri" w:hAnsi="David"/>
          <w:b/>
          <w:bCs/>
          <w:sz w:val="24"/>
        </w:rPr>
      </w:pPr>
      <w:r w:rsidRPr="00082C78">
        <w:rPr>
          <w:rFonts w:ascii="David" w:eastAsia="Calibri" w:hAnsi="David" w:hint="cs"/>
          <w:b/>
          <w:bCs/>
          <w:sz w:val="24"/>
          <w:rtl/>
        </w:rPr>
        <w:t>הייעוץ המשפטי של המשטרה נתן אישורים לארבעה כלים טכנולוגיים ולחמש פעולות</w:t>
      </w:r>
      <w:r w:rsidR="00382AE8">
        <w:rPr>
          <w:rFonts w:ascii="David" w:eastAsia="Calibri" w:hAnsi="David" w:hint="cs"/>
          <w:b/>
          <w:bCs/>
          <w:sz w:val="24"/>
          <w:rtl/>
        </w:rPr>
        <w:t xml:space="preserve"> </w:t>
      </w:r>
      <w:r w:rsidRPr="00082C78">
        <w:rPr>
          <w:rFonts w:ascii="David" w:eastAsia="Calibri" w:hAnsi="David" w:hint="cs"/>
          <w:b/>
          <w:bCs/>
          <w:sz w:val="24"/>
          <w:rtl/>
        </w:rPr>
        <w:t>המבוצעות בתחומי האזנות סתר ונתוני תקשורת בלא יידוע גורמי הייעוץ המשפטי לממשלה ובלא שאלו נשענו על חוות דעת מפורטות המנתחות את ההיבטים המשפטיים והטכנולוגיים הגלומים בשימוש בכלים אלו</w:t>
      </w:r>
      <w:r w:rsidRPr="00082C78">
        <w:rPr>
          <w:rFonts w:ascii="David" w:eastAsia="Calibri" w:hAnsi="David"/>
          <w:b/>
          <w:bCs/>
          <w:sz w:val="24"/>
          <w:rtl/>
        </w:rPr>
        <w:t>.</w:t>
      </w:r>
    </w:p>
    <w:p w:rsidR="00271D14" w:rsidRDefault="00271D14" w:rsidP="00604C3D">
      <w:pPr>
        <w:spacing w:line="269" w:lineRule="auto"/>
        <w:ind w:left="84"/>
        <w:rPr>
          <w:rFonts w:ascii="David" w:eastAsia="Calibri" w:hAnsi="David"/>
          <w:b/>
          <w:bCs/>
          <w:sz w:val="24"/>
        </w:rPr>
      </w:pPr>
    </w:p>
    <w:p w:rsidR="00082C78" w:rsidRPr="00082C78" w:rsidRDefault="00082C78" w:rsidP="008C598D">
      <w:pPr>
        <w:pStyle w:val="af2"/>
        <w:numPr>
          <w:ilvl w:val="1"/>
          <w:numId w:val="47"/>
        </w:numPr>
        <w:spacing w:line="269" w:lineRule="auto"/>
        <w:ind w:left="353"/>
        <w:rPr>
          <w:rFonts w:ascii="David" w:eastAsia="Calibri" w:hAnsi="David"/>
          <w:b/>
          <w:bCs/>
          <w:sz w:val="24"/>
        </w:rPr>
      </w:pPr>
      <w:r w:rsidRPr="00082C78">
        <w:rPr>
          <w:rFonts w:ascii="David" w:eastAsia="Calibri" w:hAnsi="David" w:hint="cs"/>
          <w:b/>
          <w:bCs/>
          <w:sz w:val="24"/>
          <w:rtl/>
        </w:rPr>
        <w:t>שני כלים טכנולוגיים ושני מתווי פעולה שאושרו על ידי הייעוץ המשפטי למשטרה בלבד</w:t>
      </w:r>
      <w:r w:rsidRPr="00082C78">
        <w:rPr>
          <w:rFonts w:ascii="David" w:eastAsia="Calibri" w:hAnsi="David"/>
          <w:b/>
          <w:bCs/>
          <w:sz w:val="24"/>
          <w:rtl/>
        </w:rPr>
        <w:t xml:space="preserve"> נמצא</w:t>
      </w:r>
      <w:r w:rsidRPr="00082C78">
        <w:rPr>
          <w:rFonts w:ascii="David" w:eastAsia="Calibri" w:hAnsi="David" w:hint="cs"/>
          <w:b/>
          <w:bCs/>
          <w:sz w:val="24"/>
          <w:rtl/>
        </w:rPr>
        <w:t>ו בדיעבד</w:t>
      </w:r>
      <w:r w:rsidRPr="00082C78">
        <w:rPr>
          <w:rFonts w:ascii="David" w:eastAsia="Calibri" w:hAnsi="David"/>
          <w:b/>
          <w:bCs/>
          <w:sz w:val="24"/>
          <w:rtl/>
        </w:rPr>
        <w:t xml:space="preserve"> על ידי </w:t>
      </w:r>
      <w:r w:rsidRPr="00082C78">
        <w:rPr>
          <w:rFonts w:ascii="David" w:eastAsia="Calibri" w:hAnsi="David" w:hint="cs"/>
          <w:b/>
          <w:bCs/>
          <w:sz w:val="24"/>
          <w:rtl/>
        </w:rPr>
        <w:t xml:space="preserve">צוות </w:t>
      </w:r>
      <w:r w:rsidRPr="00082C78">
        <w:rPr>
          <w:rFonts w:ascii="David" w:eastAsia="Calibri" w:hAnsi="David"/>
          <w:b/>
          <w:bCs/>
          <w:sz w:val="24"/>
          <w:rtl/>
        </w:rPr>
        <w:t>מררי חורג</w:t>
      </w:r>
      <w:r w:rsidRPr="00082C78">
        <w:rPr>
          <w:rFonts w:ascii="David" w:eastAsia="Calibri" w:hAnsi="David" w:hint="cs"/>
          <w:b/>
          <w:bCs/>
          <w:sz w:val="24"/>
          <w:rtl/>
        </w:rPr>
        <w:t>ים</w:t>
      </w:r>
      <w:r w:rsidRPr="00082C78">
        <w:rPr>
          <w:rFonts w:ascii="David" w:eastAsia="Calibri" w:hAnsi="David"/>
          <w:b/>
          <w:bCs/>
          <w:sz w:val="24"/>
          <w:rtl/>
        </w:rPr>
        <w:t xml:space="preserve"> מתחום </w:t>
      </w:r>
      <w:r w:rsidRPr="00082C78">
        <w:rPr>
          <w:rFonts w:ascii="David" w:eastAsia="Calibri" w:hAnsi="David" w:hint="cs"/>
          <w:b/>
          <w:bCs/>
          <w:sz w:val="24"/>
          <w:rtl/>
        </w:rPr>
        <w:t>סמכות המשטרה,</w:t>
      </w:r>
      <w:r w:rsidRPr="00082C78">
        <w:rPr>
          <w:rFonts w:ascii="David" w:eastAsia="Calibri" w:hAnsi="David"/>
          <w:b/>
          <w:bCs/>
          <w:sz w:val="24"/>
          <w:rtl/>
        </w:rPr>
        <w:t xml:space="preserve"> זאת לאחר שכבר נעשה בהם שימוש במשך שנים</w:t>
      </w:r>
      <w:r w:rsidRPr="00082C78">
        <w:rPr>
          <w:rFonts w:ascii="David" w:eastAsia="Calibri" w:hAnsi="David" w:hint="cs"/>
          <w:b/>
          <w:bCs/>
          <w:sz w:val="24"/>
          <w:rtl/>
        </w:rPr>
        <w:t xml:space="preserve"> מספר</w:t>
      </w:r>
      <w:r w:rsidRPr="00082C78">
        <w:rPr>
          <w:rFonts w:ascii="David" w:eastAsia="Calibri" w:hAnsi="David"/>
          <w:b/>
          <w:bCs/>
          <w:sz w:val="24"/>
          <w:rtl/>
        </w:rPr>
        <w:t xml:space="preserve">. </w:t>
      </w:r>
    </w:p>
    <w:p w:rsidR="00271D14" w:rsidRPr="0075209E" w:rsidRDefault="00271D14" w:rsidP="00604C3D">
      <w:pPr>
        <w:spacing w:line="269" w:lineRule="auto"/>
        <w:ind w:left="84"/>
        <w:rPr>
          <w:rFonts w:ascii="David" w:eastAsia="Calibri" w:hAnsi="David"/>
          <w:b/>
          <w:bCs/>
          <w:sz w:val="24"/>
          <w:rtl/>
        </w:rPr>
      </w:pPr>
    </w:p>
    <w:p w:rsidR="00082C78" w:rsidRPr="00082C78" w:rsidRDefault="00082C78" w:rsidP="008E5F04">
      <w:pPr>
        <w:spacing w:line="269" w:lineRule="auto"/>
        <w:rPr>
          <w:rFonts w:ascii="David" w:eastAsia="Calibri" w:hAnsi="David"/>
          <w:b/>
          <w:bCs/>
          <w:sz w:val="24"/>
          <w:rtl/>
        </w:rPr>
      </w:pPr>
      <w:r w:rsidRPr="00082C78">
        <w:rPr>
          <w:rFonts w:ascii="David" w:eastAsia="Calibri" w:hAnsi="David" w:hint="cs"/>
          <w:b/>
          <w:bCs/>
          <w:sz w:val="24"/>
          <w:rtl/>
        </w:rPr>
        <w:t xml:space="preserve">להלן לוח המרכז את הממצאים </w:t>
      </w:r>
      <w:r w:rsidR="00543F73">
        <w:rPr>
          <w:rFonts w:ascii="David" w:eastAsia="Calibri" w:hAnsi="David" w:hint="cs"/>
          <w:b/>
          <w:bCs/>
          <w:sz w:val="24"/>
          <w:rtl/>
        </w:rPr>
        <w:t>בעניין</w:t>
      </w:r>
      <w:r w:rsidRPr="00082C78">
        <w:rPr>
          <w:rFonts w:ascii="David" w:eastAsia="Calibri" w:hAnsi="David" w:hint="cs"/>
          <w:b/>
          <w:bCs/>
          <w:sz w:val="24"/>
          <w:rtl/>
        </w:rPr>
        <w:t xml:space="preserve"> התמשכות הליכי הבחינה המשפטית והליכי האישור של השימוש בכלים טכנולוגיים במשטרה ואצל גורמי הייעוץ המשפטי:</w:t>
      </w:r>
    </w:p>
    <w:p w:rsidR="00271D14" w:rsidRDefault="00271D14" w:rsidP="00604C3D">
      <w:pPr>
        <w:bidi w:val="0"/>
        <w:spacing w:line="269" w:lineRule="auto"/>
        <w:rPr>
          <w:rFonts w:eastAsia="Calibri"/>
          <w:sz w:val="18"/>
          <w:rtl/>
        </w:rPr>
      </w:pPr>
      <w:r>
        <w:rPr>
          <w:rFonts w:eastAsia="Calibri"/>
          <w:sz w:val="18"/>
          <w:rtl/>
        </w:rPr>
        <w:br w:type="page"/>
      </w:r>
    </w:p>
    <w:p w:rsidR="00082C78" w:rsidRPr="00082C78" w:rsidRDefault="00082C78" w:rsidP="00604C3D">
      <w:pPr>
        <w:spacing w:line="269" w:lineRule="auto"/>
        <w:ind w:left="424"/>
        <w:contextualSpacing/>
        <w:jc w:val="center"/>
        <w:rPr>
          <w:rFonts w:eastAsia="Calibri"/>
        </w:rPr>
      </w:pPr>
      <w:r w:rsidRPr="00082C78">
        <w:rPr>
          <w:rFonts w:eastAsia="Calibri" w:hint="eastAsia"/>
          <w:sz w:val="18"/>
          <w:rtl/>
        </w:rPr>
        <w:t>לוח</w:t>
      </w:r>
      <w:r w:rsidRPr="00082C78">
        <w:rPr>
          <w:rFonts w:eastAsia="Calibri" w:hint="cs"/>
          <w:sz w:val="18"/>
          <w:rtl/>
        </w:rPr>
        <w:t xml:space="preserve"> 1:</w:t>
      </w:r>
      <w:r w:rsidR="00543F73">
        <w:rPr>
          <w:rFonts w:eastAsia="Calibri" w:hint="cs"/>
          <w:sz w:val="18"/>
          <w:rtl/>
        </w:rPr>
        <w:t xml:space="preserve"> </w:t>
      </w:r>
      <w:r w:rsidR="00543F73" w:rsidRPr="0021269D">
        <w:rPr>
          <w:rFonts w:eastAsia="Calibri" w:hint="cs"/>
          <w:b/>
          <w:bCs/>
          <w:sz w:val="18"/>
          <w:rtl/>
        </w:rPr>
        <w:t>משך</w:t>
      </w:r>
      <w:r w:rsidRPr="00082C78">
        <w:rPr>
          <w:rFonts w:eastAsia="Calibri"/>
          <w:sz w:val="18"/>
          <w:rtl/>
        </w:rPr>
        <w:t xml:space="preserve"> </w:t>
      </w:r>
      <w:r w:rsidRPr="00082C78">
        <w:rPr>
          <w:rFonts w:eastAsia="Calibri" w:hint="cs"/>
          <w:b/>
          <w:bCs/>
          <w:sz w:val="18"/>
          <w:rtl/>
        </w:rPr>
        <w:t>הליכי הבחינה המשפטית והליכי האישור של השימוש בכלים טכנולוגיים,</w:t>
      </w:r>
      <w:r w:rsidRPr="00082C78">
        <w:rPr>
          <w:rFonts w:eastAsia="Calibri"/>
          <w:b/>
          <w:bCs/>
          <w:sz w:val="18"/>
          <w:rtl/>
        </w:rPr>
        <w:t xml:space="preserve"> </w:t>
      </w:r>
      <w:r w:rsidRPr="00082C78">
        <w:rPr>
          <w:rFonts w:eastAsia="Calibri" w:hint="cs"/>
          <w:b/>
          <w:bCs/>
          <w:sz w:val="18"/>
          <w:rtl/>
        </w:rPr>
        <w:t>2012</w:t>
      </w:r>
      <w:r w:rsidRPr="00082C78">
        <w:rPr>
          <w:rFonts w:eastAsia="Calibri"/>
          <w:b/>
          <w:bCs/>
          <w:sz w:val="18"/>
          <w:rtl/>
        </w:rPr>
        <w:t xml:space="preserve"> - </w:t>
      </w:r>
      <w:r w:rsidRPr="00082C78">
        <w:rPr>
          <w:rFonts w:eastAsia="Calibri" w:hint="cs"/>
          <w:b/>
          <w:bCs/>
          <w:sz w:val="18"/>
          <w:rtl/>
        </w:rPr>
        <w:t>2023</w:t>
      </w:r>
    </w:p>
    <w:tbl>
      <w:tblPr>
        <w:tblStyle w:val="32"/>
        <w:bidiVisual/>
        <w:tblW w:w="8171"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00"/>
        <w:gridCol w:w="1263"/>
        <w:gridCol w:w="1060"/>
        <w:gridCol w:w="1161"/>
        <w:gridCol w:w="1266"/>
        <w:gridCol w:w="1040"/>
        <w:gridCol w:w="1281"/>
      </w:tblGrid>
      <w:tr w:rsidR="0012625D" w:rsidRPr="00E17084" w:rsidTr="00E85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0" w:type="dxa"/>
          </w:tcPr>
          <w:p w:rsidR="0012625D" w:rsidRPr="00E17084" w:rsidRDefault="0012625D" w:rsidP="00604C3D">
            <w:pPr>
              <w:spacing w:line="269" w:lineRule="auto"/>
              <w:jc w:val="center"/>
              <w:rPr>
                <w:rFonts w:eastAsia="Calibri"/>
                <w:sz w:val="22"/>
                <w:szCs w:val="22"/>
                <w:rtl/>
              </w:rPr>
            </w:pPr>
            <w:r w:rsidRPr="00E17084">
              <w:rPr>
                <w:rFonts w:eastAsia="Calibri" w:hint="cs"/>
                <w:sz w:val="22"/>
                <w:szCs w:val="22"/>
                <w:rtl/>
              </w:rPr>
              <w:t>הכלי הטכנולוגי</w:t>
            </w:r>
          </w:p>
        </w:tc>
        <w:tc>
          <w:tcPr>
            <w:tcW w:w="1263" w:type="dxa"/>
          </w:tcPr>
          <w:p w:rsidR="0012625D" w:rsidRPr="00E17084" w:rsidRDefault="0012625D" w:rsidP="00604C3D">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 xml:space="preserve">האישור המשפטי </w:t>
            </w:r>
            <w:r w:rsidR="00C83176" w:rsidRPr="00E17084">
              <w:rPr>
                <w:rFonts w:eastAsia="Calibri" w:hint="cs"/>
                <w:sz w:val="22"/>
                <w:szCs w:val="22"/>
                <w:rtl/>
              </w:rPr>
              <w:t xml:space="preserve">של </w:t>
            </w:r>
            <w:r w:rsidRPr="00E17084">
              <w:rPr>
                <w:rFonts w:eastAsia="Calibri" w:hint="cs"/>
                <w:sz w:val="22"/>
                <w:szCs w:val="22"/>
                <w:rtl/>
              </w:rPr>
              <w:t>חטיבת הסייבר</w:t>
            </w:r>
          </w:p>
        </w:tc>
        <w:tc>
          <w:tcPr>
            <w:tcW w:w="1060" w:type="dxa"/>
          </w:tcPr>
          <w:p w:rsidR="0012625D" w:rsidRPr="00E17084" w:rsidRDefault="0012625D" w:rsidP="00604C3D">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יידוע יועמ"ש המשטרה</w:t>
            </w:r>
          </w:p>
        </w:tc>
        <w:tc>
          <w:tcPr>
            <w:tcW w:w="1161" w:type="dxa"/>
          </w:tcPr>
          <w:p w:rsidR="0012625D" w:rsidRPr="00E17084" w:rsidRDefault="0012625D" w:rsidP="00604C3D">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אישור יועמ"ש המשטרה</w:t>
            </w:r>
          </w:p>
        </w:tc>
        <w:tc>
          <w:tcPr>
            <w:tcW w:w="1266" w:type="dxa"/>
          </w:tcPr>
          <w:p w:rsidR="0012625D" w:rsidRPr="00E17084" w:rsidRDefault="0012625D" w:rsidP="00604C3D">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יידוע הפרקליטות</w:t>
            </w:r>
          </w:p>
        </w:tc>
        <w:tc>
          <w:tcPr>
            <w:tcW w:w="1040" w:type="dxa"/>
          </w:tcPr>
          <w:p w:rsidR="0012625D" w:rsidRPr="00E17084" w:rsidRDefault="0012625D" w:rsidP="00604C3D">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יידוע היועמ"ש לממשלה</w:t>
            </w:r>
          </w:p>
        </w:tc>
        <w:tc>
          <w:tcPr>
            <w:tcW w:w="1281" w:type="dxa"/>
          </w:tcPr>
          <w:p w:rsidR="0012625D" w:rsidRPr="00E17084" w:rsidRDefault="0012625D" w:rsidP="00604C3D">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אישור היועמ"ש לממשלה</w:t>
            </w:r>
          </w:p>
        </w:tc>
      </w:tr>
      <w:tr w:rsidR="0012625D" w:rsidRPr="00E17084" w:rsidTr="00E85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א</w:t>
            </w:r>
          </w:p>
        </w:tc>
        <w:tc>
          <w:tcPr>
            <w:tcW w:w="1263"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נובמבר 2012</w:t>
            </w:r>
          </w:p>
        </w:tc>
        <w:tc>
          <w:tcPr>
            <w:tcW w:w="106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נובמבר 2012</w:t>
            </w:r>
          </w:p>
        </w:tc>
        <w:tc>
          <w:tcPr>
            <w:tcW w:w="116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266"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אוגוסט 2017</w:t>
            </w:r>
          </w:p>
        </w:tc>
        <w:tc>
          <w:tcPr>
            <w:tcW w:w="104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דצמבר 2018</w:t>
            </w:r>
          </w:p>
        </w:tc>
        <w:tc>
          <w:tcPr>
            <w:tcW w:w="128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מאי 2023</w:t>
            </w:r>
            <w:r w:rsidR="00E17084" w:rsidRPr="00521503">
              <w:rPr>
                <w:rFonts w:eastAsia="Calibri" w:hint="cs"/>
                <w:sz w:val="22"/>
                <w:szCs w:val="22"/>
                <w:vertAlign w:val="superscript"/>
                <w:rtl/>
              </w:rPr>
              <w:t>(4)</w:t>
            </w:r>
            <w:r w:rsidRPr="00521503">
              <w:rPr>
                <w:rFonts w:eastAsia="Calibri" w:hint="cs"/>
                <w:sz w:val="22"/>
                <w:szCs w:val="22"/>
                <w:vertAlign w:val="superscript"/>
                <w:rtl/>
              </w:rPr>
              <w:t xml:space="preserve"> </w:t>
            </w:r>
          </w:p>
        </w:tc>
      </w:tr>
      <w:tr w:rsidR="0012625D" w:rsidRPr="00E17084" w:rsidTr="00E858FF">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ב</w:t>
            </w:r>
            <w:r w:rsidR="00521503" w:rsidRPr="00521503">
              <w:rPr>
                <w:rFonts w:eastAsia="Calibri" w:hint="cs"/>
                <w:sz w:val="22"/>
                <w:szCs w:val="22"/>
                <w:vertAlign w:val="superscript"/>
                <w:rtl/>
              </w:rPr>
              <w:t>(3)</w:t>
            </w:r>
          </w:p>
        </w:tc>
        <w:tc>
          <w:tcPr>
            <w:tcW w:w="1263"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דצמבר 2020</w:t>
            </w:r>
          </w:p>
        </w:tc>
        <w:tc>
          <w:tcPr>
            <w:tcW w:w="1060"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דצמבר 2020</w:t>
            </w:r>
          </w:p>
        </w:tc>
        <w:tc>
          <w:tcPr>
            <w:tcW w:w="1161"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ascii="David" w:eastAsia="Calibri" w:hAnsi="David" w:hint="cs"/>
                <w:sz w:val="22"/>
                <w:szCs w:val="22"/>
                <w:vertAlign w:val="superscript"/>
                <w:rtl/>
              </w:rPr>
              <w:t>(2)</w:t>
            </w:r>
          </w:p>
        </w:tc>
        <w:tc>
          <w:tcPr>
            <w:tcW w:w="1266"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040"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ינואר 2022</w:t>
            </w:r>
          </w:p>
        </w:tc>
        <w:tc>
          <w:tcPr>
            <w:tcW w:w="1281"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מאי</w:t>
            </w:r>
            <w:r w:rsidR="006B23D4" w:rsidRPr="00E17084">
              <w:rPr>
                <w:rFonts w:eastAsia="Calibri" w:hint="cs"/>
                <w:sz w:val="22"/>
                <w:szCs w:val="22"/>
                <w:rtl/>
              </w:rPr>
              <w:t xml:space="preserve"> </w:t>
            </w:r>
            <w:r w:rsidRPr="00E17084">
              <w:rPr>
                <w:rFonts w:eastAsia="Calibri" w:hint="cs"/>
                <w:sz w:val="22"/>
                <w:szCs w:val="22"/>
                <w:rtl/>
              </w:rPr>
              <w:t>2023</w:t>
            </w:r>
            <w:r w:rsidR="00E17084" w:rsidRPr="00521503">
              <w:rPr>
                <w:rFonts w:eastAsia="Calibri" w:hint="cs"/>
                <w:sz w:val="22"/>
                <w:szCs w:val="22"/>
                <w:vertAlign w:val="superscript"/>
                <w:rtl/>
              </w:rPr>
              <w:t>(4)</w:t>
            </w:r>
          </w:p>
        </w:tc>
      </w:tr>
      <w:tr w:rsidR="0012625D" w:rsidRPr="00E17084" w:rsidTr="00E85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ג</w:t>
            </w:r>
          </w:p>
        </w:tc>
        <w:tc>
          <w:tcPr>
            <w:tcW w:w="1263"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060" w:type="dxa"/>
          </w:tcPr>
          <w:p w:rsidR="0012625D" w:rsidRPr="00E17084" w:rsidRDefault="00E8187A"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16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אוגוסט 2011</w:t>
            </w:r>
          </w:p>
        </w:tc>
        <w:tc>
          <w:tcPr>
            <w:tcW w:w="1266"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04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ינואר 2022</w:t>
            </w:r>
          </w:p>
        </w:tc>
        <w:tc>
          <w:tcPr>
            <w:tcW w:w="128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אוגוסט 2022</w:t>
            </w:r>
            <w:r w:rsidR="00E17084" w:rsidRPr="00521503">
              <w:rPr>
                <w:rFonts w:eastAsia="Calibri" w:hint="cs"/>
                <w:sz w:val="22"/>
                <w:szCs w:val="22"/>
                <w:vertAlign w:val="superscript"/>
                <w:rtl/>
              </w:rPr>
              <w:t>(1)</w:t>
            </w:r>
          </w:p>
        </w:tc>
      </w:tr>
      <w:tr w:rsidR="0012625D" w:rsidRPr="00E17084" w:rsidTr="00E858FF">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ד</w:t>
            </w:r>
          </w:p>
        </w:tc>
        <w:tc>
          <w:tcPr>
            <w:tcW w:w="1263"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060" w:type="dxa"/>
          </w:tcPr>
          <w:p w:rsidR="0012625D" w:rsidRPr="00E17084" w:rsidRDefault="00E8187A"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161"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ספטמבר 2014</w:t>
            </w:r>
          </w:p>
        </w:tc>
        <w:tc>
          <w:tcPr>
            <w:tcW w:w="1266"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040"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ינואר 2022</w:t>
            </w:r>
          </w:p>
        </w:tc>
        <w:tc>
          <w:tcPr>
            <w:tcW w:w="1281" w:type="dxa"/>
          </w:tcPr>
          <w:p w:rsidR="0012625D" w:rsidRPr="00E17084" w:rsidRDefault="006B23D4"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E17084">
              <w:rPr>
                <w:rFonts w:eastAsia="Calibri" w:hint="cs"/>
                <w:sz w:val="22"/>
                <w:szCs w:val="22"/>
                <w:rtl/>
              </w:rPr>
              <w:t>אוגוסט 2022</w:t>
            </w:r>
            <w:r w:rsidR="00E17084" w:rsidRPr="00521503">
              <w:rPr>
                <w:rFonts w:eastAsia="Calibri" w:hint="cs"/>
                <w:sz w:val="22"/>
                <w:szCs w:val="22"/>
                <w:vertAlign w:val="superscript"/>
                <w:rtl/>
              </w:rPr>
              <w:t>(1)</w:t>
            </w:r>
          </w:p>
        </w:tc>
      </w:tr>
      <w:tr w:rsidR="0012625D" w:rsidRPr="00E17084" w:rsidTr="00E85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ה</w:t>
            </w:r>
            <w:r w:rsidR="00521503" w:rsidRPr="00521503">
              <w:rPr>
                <w:rFonts w:eastAsia="Calibri" w:hint="cs"/>
                <w:sz w:val="22"/>
                <w:szCs w:val="22"/>
                <w:vertAlign w:val="superscript"/>
                <w:rtl/>
              </w:rPr>
              <w:t>(5)</w:t>
            </w:r>
          </w:p>
        </w:tc>
        <w:tc>
          <w:tcPr>
            <w:tcW w:w="1263"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אוקטובר 2020</w:t>
            </w:r>
          </w:p>
        </w:tc>
        <w:tc>
          <w:tcPr>
            <w:tcW w:w="106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אוקטובר 2020</w:t>
            </w:r>
          </w:p>
        </w:tc>
        <w:tc>
          <w:tcPr>
            <w:tcW w:w="116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 xml:space="preserve">יש </w:t>
            </w:r>
          </w:p>
        </w:tc>
        <w:tc>
          <w:tcPr>
            <w:tcW w:w="1266"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04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ספטמבר 2022</w:t>
            </w:r>
          </w:p>
        </w:tc>
        <w:tc>
          <w:tcPr>
            <w:tcW w:w="128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דצמבר 2022</w:t>
            </w:r>
            <w:r w:rsidR="00521503" w:rsidRPr="00521503">
              <w:rPr>
                <w:rFonts w:eastAsia="Calibri" w:hint="cs"/>
                <w:sz w:val="22"/>
                <w:szCs w:val="22"/>
                <w:vertAlign w:val="superscript"/>
                <w:rtl/>
              </w:rPr>
              <w:t>(4)</w:t>
            </w:r>
            <w:r w:rsidRPr="00521503">
              <w:rPr>
                <w:rFonts w:eastAsia="Calibri" w:hint="cs"/>
                <w:sz w:val="22"/>
                <w:szCs w:val="22"/>
                <w:vertAlign w:val="superscript"/>
                <w:rtl/>
              </w:rPr>
              <w:t xml:space="preserve"> </w:t>
            </w:r>
          </w:p>
        </w:tc>
      </w:tr>
      <w:tr w:rsidR="0012625D" w:rsidRPr="00E17084" w:rsidTr="00E858FF">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ו</w:t>
            </w:r>
            <w:r w:rsidR="00521503" w:rsidRPr="00521503">
              <w:rPr>
                <w:rFonts w:eastAsia="Calibri" w:hint="cs"/>
                <w:sz w:val="22"/>
                <w:szCs w:val="22"/>
                <w:vertAlign w:val="superscript"/>
                <w:rtl/>
              </w:rPr>
              <w:t>(3)</w:t>
            </w:r>
          </w:p>
        </w:tc>
        <w:tc>
          <w:tcPr>
            <w:tcW w:w="1263"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פברואר 2012</w:t>
            </w:r>
          </w:p>
        </w:tc>
        <w:tc>
          <w:tcPr>
            <w:tcW w:w="1060"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521503" w:rsidRPr="00521503">
              <w:rPr>
                <w:rFonts w:eastAsia="Calibri" w:hint="cs"/>
                <w:sz w:val="22"/>
                <w:szCs w:val="22"/>
                <w:vertAlign w:val="superscript"/>
                <w:rtl/>
              </w:rPr>
              <w:t>(2)</w:t>
            </w:r>
          </w:p>
        </w:tc>
        <w:tc>
          <w:tcPr>
            <w:tcW w:w="1161"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521503" w:rsidRPr="00521503">
              <w:rPr>
                <w:rFonts w:eastAsia="Calibri" w:hint="cs"/>
                <w:sz w:val="22"/>
                <w:szCs w:val="22"/>
                <w:vertAlign w:val="superscript"/>
                <w:rtl/>
              </w:rPr>
              <w:t>(2)</w:t>
            </w:r>
          </w:p>
        </w:tc>
        <w:tc>
          <w:tcPr>
            <w:tcW w:w="1266"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אוגוסט 2011</w:t>
            </w:r>
          </w:p>
        </w:tc>
        <w:tc>
          <w:tcPr>
            <w:tcW w:w="1040"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521503" w:rsidRPr="00521503">
              <w:rPr>
                <w:rFonts w:eastAsia="Calibri" w:hint="cs"/>
                <w:sz w:val="22"/>
                <w:szCs w:val="22"/>
                <w:vertAlign w:val="superscript"/>
                <w:rtl/>
              </w:rPr>
              <w:t>(2)</w:t>
            </w:r>
          </w:p>
        </w:tc>
        <w:tc>
          <w:tcPr>
            <w:tcW w:w="1281"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r>
      <w:tr w:rsidR="0012625D" w:rsidRPr="00E17084" w:rsidTr="00E85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ז</w:t>
            </w:r>
            <w:r w:rsidR="00521503" w:rsidRPr="00521503">
              <w:rPr>
                <w:rFonts w:eastAsia="Calibri" w:hint="cs"/>
                <w:sz w:val="22"/>
                <w:szCs w:val="22"/>
                <w:vertAlign w:val="superscript"/>
                <w:rtl/>
              </w:rPr>
              <w:t>(3)</w:t>
            </w:r>
          </w:p>
        </w:tc>
        <w:tc>
          <w:tcPr>
            <w:tcW w:w="1263"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521503" w:rsidRPr="00521503">
              <w:rPr>
                <w:rFonts w:eastAsia="Calibri" w:hint="cs"/>
                <w:sz w:val="22"/>
                <w:szCs w:val="22"/>
                <w:vertAlign w:val="superscript"/>
                <w:rtl/>
              </w:rPr>
              <w:t>(2)</w:t>
            </w:r>
          </w:p>
        </w:tc>
        <w:tc>
          <w:tcPr>
            <w:tcW w:w="106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521503" w:rsidRPr="00521503">
              <w:rPr>
                <w:rFonts w:eastAsia="Calibri" w:hint="cs"/>
                <w:sz w:val="22"/>
                <w:szCs w:val="22"/>
                <w:vertAlign w:val="superscript"/>
                <w:rtl/>
              </w:rPr>
              <w:t>(2)</w:t>
            </w:r>
          </w:p>
        </w:tc>
        <w:tc>
          <w:tcPr>
            <w:tcW w:w="116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יוני 2022</w:t>
            </w:r>
          </w:p>
        </w:tc>
        <w:tc>
          <w:tcPr>
            <w:tcW w:w="1266"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521503" w:rsidRPr="00521503">
              <w:rPr>
                <w:rFonts w:eastAsia="Calibri" w:hint="cs"/>
                <w:sz w:val="22"/>
                <w:szCs w:val="22"/>
                <w:vertAlign w:val="superscript"/>
                <w:rtl/>
              </w:rPr>
              <w:t>(2)</w:t>
            </w:r>
          </w:p>
        </w:tc>
        <w:tc>
          <w:tcPr>
            <w:tcW w:w="104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521503" w:rsidRPr="00521503">
              <w:rPr>
                <w:rFonts w:eastAsia="Calibri" w:hint="cs"/>
                <w:sz w:val="22"/>
                <w:szCs w:val="22"/>
                <w:vertAlign w:val="superscript"/>
                <w:rtl/>
              </w:rPr>
              <w:t>(2)</w:t>
            </w:r>
          </w:p>
        </w:tc>
        <w:tc>
          <w:tcPr>
            <w:tcW w:w="128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r>
      <w:tr w:rsidR="0012625D" w:rsidRPr="00E17084" w:rsidTr="00E858FF">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ח</w:t>
            </w:r>
          </w:p>
        </w:tc>
        <w:tc>
          <w:tcPr>
            <w:tcW w:w="1263"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יולי 2017</w:t>
            </w:r>
          </w:p>
        </w:tc>
        <w:tc>
          <w:tcPr>
            <w:tcW w:w="1060" w:type="dxa"/>
          </w:tcPr>
          <w:p w:rsidR="0012625D" w:rsidRPr="00E17084" w:rsidRDefault="00E8187A"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521503" w:rsidRPr="00521503">
              <w:rPr>
                <w:rFonts w:eastAsia="Calibri" w:hint="cs"/>
                <w:sz w:val="22"/>
                <w:szCs w:val="22"/>
                <w:vertAlign w:val="superscript"/>
                <w:rtl/>
              </w:rPr>
              <w:t>(2)</w:t>
            </w:r>
          </w:p>
        </w:tc>
        <w:tc>
          <w:tcPr>
            <w:tcW w:w="1161"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אוגוסט 2017</w:t>
            </w:r>
          </w:p>
        </w:tc>
        <w:tc>
          <w:tcPr>
            <w:tcW w:w="1266"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040"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יולי</w:t>
            </w:r>
          </w:p>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2021</w:t>
            </w:r>
          </w:p>
        </w:tc>
        <w:tc>
          <w:tcPr>
            <w:tcW w:w="1281" w:type="dxa"/>
          </w:tcPr>
          <w:p w:rsidR="0012625D" w:rsidRPr="00E17084" w:rsidRDefault="0012625D" w:rsidP="00604C3D">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E17084">
              <w:rPr>
                <w:rFonts w:eastAsia="Calibri" w:hint="cs"/>
                <w:sz w:val="22"/>
                <w:szCs w:val="22"/>
                <w:rtl/>
              </w:rPr>
              <w:t>אפריל 2023</w:t>
            </w:r>
          </w:p>
        </w:tc>
      </w:tr>
      <w:tr w:rsidR="0012625D" w:rsidRPr="00E17084" w:rsidTr="00E85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rsidR="0012625D" w:rsidRPr="00E17084" w:rsidRDefault="0012625D" w:rsidP="00604C3D">
            <w:pPr>
              <w:spacing w:line="269" w:lineRule="auto"/>
              <w:rPr>
                <w:rFonts w:eastAsia="Calibri"/>
                <w:sz w:val="22"/>
                <w:szCs w:val="22"/>
                <w:rtl/>
              </w:rPr>
            </w:pPr>
            <w:r w:rsidRPr="00E17084">
              <w:rPr>
                <w:rFonts w:eastAsia="Calibri" w:hint="cs"/>
                <w:sz w:val="22"/>
                <w:szCs w:val="22"/>
                <w:rtl/>
              </w:rPr>
              <w:t>ט</w:t>
            </w:r>
          </w:p>
        </w:tc>
        <w:tc>
          <w:tcPr>
            <w:tcW w:w="1263"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מאי 2018</w:t>
            </w:r>
          </w:p>
        </w:tc>
        <w:tc>
          <w:tcPr>
            <w:tcW w:w="106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יולי</w:t>
            </w:r>
          </w:p>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2018</w:t>
            </w:r>
          </w:p>
        </w:tc>
        <w:tc>
          <w:tcPr>
            <w:tcW w:w="116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נובמבר 2019</w:t>
            </w:r>
          </w:p>
        </w:tc>
        <w:tc>
          <w:tcPr>
            <w:tcW w:w="1266"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040"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c>
          <w:tcPr>
            <w:tcW w:w="1281" w:type="dxa"/>
          </w:tcPr>
          <w:p w:rsidR="0012625D" w:rsidRPr="00E17084" w:rsidRDefault="0012625D" w:rsidP="00604C3D">
            <w:pPr>
              <w:spacing w:line="269" w:lineRule="auto"/>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E17084">
              <w:rPr>
                <w:rFonts w:eastAsia="Calibri" w:hint="cs"/>
                <w:sz w:val="22"/>
                <w:szCs w:val="22"/>
                <w:rtl/>
              </w:rPr>
              <w:t>אין</w:t>
            </w:r>
            <w:r w:rsidR="00E17084" w:rsidRPr="00521503">
              <w:rPr>
                <w:rFonts w:eastAsia="Calibri" w:hint="cs"/>
                <w:sz w:val="22"/>
                <w:szCs w:val="22"/>
                <w:vertAlign w:val="superscript"/>
                <w:rtl/>
              </w:rPr>
              <w:t>(2)</w:t>
            </w:r>
          </w:p>
        </w:tc>
      </w:tr>
    </w:tbl>
    <w:p w:rsidR="00A7161F" w:rsidRDefault="001A5BD9" w:rsidP="00604C3D">
      <w:pPr>
        <w:spacing w:line="269" w:lineRule="auto"/>
        <w:rPr>
          <w:szCs w:val="20"/>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521503">
        <w:rPr>
          <w:rFonts w:hint="cs"/>
          <w:szCs w:val="20"/>
          <w:rtl/>
        </w:rPr>
        <w:t>.</w:t>
      </w:r>
    </w:p>
    <w:p w:rsidR="006B23D4" w:rsidRDefault="00521503" w:rsidP="00604C3D">
      <w:pPr>
        <w:spacing w:line="269" w:lineRule="auto"/>
        <w:rPr>
          <w:rFonts w:ascii="David" w:eastAsia="Calibri" w:hAnsi="David"/>
          <w:szCs w:val="20"/>
          <w:rtl/>
        </w:rPr>
      </w:pPr>
      <w:r w:rsidRPr="00521503">
        <w:rPr>
          <w:rFonts w:ascii="David" w:eastAsia="Calibri" w:hAnsi="David" w:hint="cs"/>
          <w:szCs w:val="20"/>
          <w:vertAlign w:val="superscript"/>
          <w:rtl/>
        </w:rPr>
        <w:t>(1)</w:t>
      </w:r>
      <w:r w:rsidR="006B23D4">
        <w:rPr>
          <w:rFonts w:ascii="David" w:eastAsia="Calibri" w:hAnsi="David" w:hint="cs"/>
          <w:szCs w:val="20"/>
          <w:rtl/>
        </w:rPr>
        <w:t xml:space="preserve"> </w:t>
      </w:r>
      <w:r w:rsidR="00E8187A">
        <w:rPr>
          <w:rFonts w:ascii="David" w:eastAsia="Calibri" w:hAnsi="David" w:hint="cs"/>
          <w:szCs w:val="20"/>
          <w:rtl/>
        </w:rPr>
        <w:t xml:space="preserve">     </w:t>
      </w:r>
      <w:r w:rsidR="006B23D4">
        <w:rPr>
          <w:rFonts w:ascii="David" w:eastAsia="Calibri" w:hAnsi="David" w:hint="cs"/>
          <w:szCs w:val="20"/>
          <w:rtl/>
        </w:rPr>
        <w:t>הכלי לא אושר על ידי צוות מררי, הכלי אינו עוד בשימוש</w:t>
      </w:r>
    </w:p>
    <w:p w:rsidR="006B23D4" w:rsidRPr="00082C78" w:rsidRDefault="00521503" w:rsidP="00604C3D">
      <w:pPr>
        <w:spacing w:line="269" w:lineRule="auto"/>
        <w:ind w:left="565" w:hanging="565"/>
        <w:rPr>
          <w:rFonts w:ascii="David" w:eastAsia="Calibri" w:hAnsi="David"/>
          <w:szCs w:val="20"/>
          <w:rtl/>
        </w:rPr>
      </w:pPr>
      <w:r w:rsidRPr="00521503">
        <w:rPr>
          <w:rFonts w:ascii="David" w:eastAsia="Calibri" w:hAnsi="David" w:hint="cs"/>
          <w:szCs w:val="20"/>
          <w:vertAlign w:val="superscript"/>
          <w:rtl/>
        </w:rPr>
        <w:t>(2)</w:t>
      </w:r>
      <w:r w:rsidR="006B23D4">
        <w:rPr>
          <w:rFonts w:ascii="David" w:eastAsia="Calibri" w:hAnsi="David" w:hint="cs"/>
          <w:szCs w:val="20"/>
          <w:rtl/>
        </w:rPr>
        <w:t xml:space="preserve"> </w:t>
      </w:r>
      <w:r w:rsidR="00E8187A">
        <w:rPr>
          <w:rFonts w:ascii="David" w:eastAsia="Calibri" w:hAnsi="David" w:hint="cs"/>
          <w:szCs w:val="20"/>
          <w:rtl/>
        </w:rPr>
        <w:t xml:space="preserve">   </w:t>
      </w:r>
      <w:r>
        <w:rPr>
          <w:rFonts w:ascii="David" w:eastAsia="Calibri" w:hAnsi="David" w:hint="cs"/>
          <w:szCs w:val="20"/>
          <w:rtl/>
        </w:rPr>
        <w:t xml:space="preserve">  </w:t>
      </w:r>
      <w:r w:rsidR="006B23D4">
        <w:rPr>
          <w:rFonts w:ascii="David" w:eastAsia="Calibri" w:hAnsi="David" w:hint="cs"/>
          <w:szCs w:val="20"/>
          <w:rtl/>
        </w:rPr>
        <w:t>אין תיעוד לאישור</w:t>
      </w:r>
    </w:p>
    <w:p w:rsidR="00082C78" w:rsidRPr="00AD67B3" w:rsidRDefault="00521503" w:rsidP="00604C3D">
      <w:pPr>
        <w:spacing w:line="269" w:lineRule="auto"/>
        <w:rPr>
          <w:rFonts w:ascii="David" w:eastAsia="Calibri" w:hAnsi="David"/>
          <w:szCs w:val="20"/>
          <w:rtl/>
        </w:rPr>
      </w:pPr>
      <w:r w:rsidRPr="00521503">
        <w:rPr>
          <w:rFonts w:ascii="David" w:eastAsia="Calibri" w:hAnsi="David" w:hint="cs"/>
          <w:szCs w:val="20"/>
          <w:vertAlign w:val="superscript"/>
          <w:rtl/>
        </w:rPr>
        <w:t>(3)</w:t>
      </w:r>
      <w:r w:rsidR="00082C78" w:rsidRPr="00AD67B3">
        <w:rPr>
          <w:rFonts w:ascii="David" w:eastAsia="Calibri" w:hAnsi="David" w:hint="cs"/>
          <w:szCs w:val="20"/>
          <w:rtl/>
        </w:rPr>
        <w:t xml:space="preserve"> </w:t>
      </w:r>
      <w:r w:rsidR="00E8187A">
        <w:rPr>
          <w:rFonts w:ascii="David" w:eastAsia="Calibri" w:hAnsi="David" w:hint="cs"/>
          <w:szCs w:val="20"/>
          <w:rtl/>
        </w:rPr>
        <w:t xml:space="preserve"> </w:t>
      </w:r>
      <w:r>
        <w:rPr>
          <w:rFonts w:ascii="David" w:eastAsia="Calibri" w:hAnsi="David" w:hint="cs"/>
          <w:szCs w:val="20"/>
          <w:rtl/>
        </w:rPr>
        <w:t xml:space="preserve">   </w:t>
      </w:r>
      <w:r w:rsidR="00E8187A">
        <w:rPr>
          <w:rFonts w:ascii="David" w:eastAsia="Calibri" w:hAnsi="David" w:hint="cs"/>
          <w:szCs w:val="20"/>
          <w:rtl/>
        </w:rPr>
        <w:t xml:space="preserve"> </w:t>
      </w:r>
      <w:r w:rsidR="00082C78" w:rsidRPr="00AD67B3">
        <w:rPr>
          <w:rFonts w:ascii="David" w:eastAsia="Calibri" w:hAnsi="David" w:hint="cs"/>
          <w:szCs w:val="20"/>
          <w:rtl/>
        </w:rPr>
        <w:t>כלים אלו לא נדונו במסגרת הדוגמאות שהובאו בפרק זה. התייחסות מפורטת בעניינם מובאת בהמשך הדוח.</w:t>
      </w:r>
    </w:p>
    <w:p w:rsidR="006B23D4" w:rsidRPr="00AD67B3" w:rsidRDefault="00521503" w:rsidP="00604C3D">
      <w:pPr>
        <w:spacing w:line="269" w:lineRule="auto"/>
        <w:rPr>
          <w:rFonts w:ascii="David" w:eastAsia="Calibri" w:hAnsi="David"/>
          <w:szCs w:val="20"/>
          <w:rtl/>
        </w:rPr>
      </w:pPr>
      <w:r w:rsidRPr="00521503">
        <w:rPr>
          <w:rFonts w:ascii="David" w:eastAsia="Calibri" w:hAnsi="David" w:hint="cs"/>
          <w:szCs w:val="20"/>
          <w:vertAlign w:val="superscript"/>
          <w:rtl/>
        </w:rPr>
        <w:t>(4)</w:t>
      </w:r>
      <w:r w:rsidR="006B23D4" w:rsidRPr="00AD67B3">
        <w:rPr>
          <w:rFonts w:ascii="David" w:eastAsia="Calibri" w:hAnsi="David" w:hint="cs"/>
          <w:szCs w:val="20"/>
          <w:rtl/>
        </w:rPr>
        <w:t xml:space="preserve"> </w:t>
      </w:r>
      <w:r>
        <w:rPr>
          <w:rFonts w:ascii="David" w:eastAsia="Calibri" w:hAnsi="David" w:hint="cs"/>
          <w:szCs w:val="20"/>
          <w:rtl/>
        </w:rPr>
        <w:t xml:space="preserve">     </w:t>
      </w:r>
      <w:r w:rsidR="006B23D4" w:rsidRPr="00AD67B3">
        <w:rPr>
          <w:rFonts w:ascii="David" w:eastAsia="Calibri" w:hAnsi="David" w:hint="cs"/>
          <w:szCs w:val="20"/>
          <w:rtl/>
        </w:rPr>
        <w:t xml:space="preserve">אישור התקשרות </w:t>
      </w:r>
      <w:r w:rsidR="00B4118C">
        <w:rPr>
          <w:rFonts w:ascii="David" w:eastAsia="Calibri" w:hAnsi="David" w:hint="cs"/>
          <w:szCs w:val="20"/>
          <w:rtl/>
        </w:rPr>
        <w:t xml:space="preserve">בכפוף </w:t>
      </w:r>
      <w:r w:rsidR="006B23D4" w:rsidRPr="00AD67B3">
        <w:rPr>
          <w:rFonts w:ascii="David" w:eastAsia="Calibri" w:hAnsi="David" w:hint="cs"/>
          <w:szCs w:val="20"/>
          <w:rtl/>
        </w:rPr>
        <w:t>לביצוע ניוונים</w:t>
      </w:r>
      <w:r w:rsidR="00E8187A">
        <w:rPr>
          <w:rFonts w:ascii="David" w:eastAsia="Calibri" w:hAnsi="David" w:hint="cs"/>
          <w:szCs w:val="20"/>
          <w:rtl/>
        </w:rPr>
        <w:t>.</w:t>
      </w:r>
    </w:p>
    <w:p w:rsidR="006B23D4" w:rsidRPr="00AD67B3" w:rsidRDefault="00521503" w:rsidP="00604C3D">
      <w:pPr>
        <w:spacing w:line="269" w:lineRule="auto"/>
        <w:rPr>
          <w:rFonts w:ascii="David" w:eastAsia="Calibri" w:hAnsi="David"/>
          <w:szCs w:val="20"/>
          <w:rtl/>
        </w:rPr>
      </w:pPr>
      <w:r w:rsidRPr="00521503">
        <w:rPr>
          <w:rFonts w:eastAsia="Calibri" w:hint="cs"/>
          <w:szCs w:val="20"/>
          <w:vertAlign w:val="superscript"/>
          <w:rtl/>
        </w:rPr>
        <w:t>(5)</w:t>
      </w:r>
      <w:r>
        <w:rPr>
          <w:rFonts w:ascii="David" w:eastAsia="Calibri" w:hAnsi="David" w:hint="cs"/>
          <w:szCs w:val="20"/>
          <w:rtl/>
        </w:rPr>
        <w:t xml:space="preserve">     </w:t>
      </w:r>
      <w:r w:rsidR="00E8187A">
        <w:rPr>
          <w:rFonts w:ascii="David" w:eastAsia="Calibri" w:hAnsi="David" w:hint="cs"/>
          <w:szCs w:val="20"/>
          <w:rtl/>
        </w:rPr>
        <w:t xml:space="preserve"> </w:t>
      </w:r>
      <w:r w:rsidR="006B23D4" w:rsidRPr="00AD67B3">
        <w:rPr>
          <w:rFonts w:ascii="David" w:eastAsia="Calibri" w:hAnsi="David"/>
          <w:szCs w:val="20"/>
          <w:rtl/>
        </w:rPr>
        <w:t>מדובר בכלי שבמועד הביקורת היה מצוי בשלב פיילוט.</w:t>
      </w:r>
    </w:p>
    <w:p w:rsidR="00271D14" w:rsidRDefault="00271D14"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b/>
          <w:bCs/>
          <w:color w:val="FF0000"/>
          <w:sz w:val="24"/>
          <w:rtl/>
        </w:rPr>
      </w:pPr>
      <w:r w:rsidRPr="00082C78">
        <w:rPr>
          <w:rFonts w:ascii="David" w:eastAsia="Calibri" w:hAnsi="David"/>
          <w:b/>
          <w:bCs/>
          <w:sz w:val="24"/>
          <w:rtl/>
        </w:rPr>
        <w:t xml:space="preserve">ביסודו של פרק זה עומד אפוא ליקוי מערכתי ויסודי בהליכי הבחינה והאישור שהתקיימו </w:t>
      </w:r>
      <w:r w:rsidRPr="00082C78">
        <w:rPr>
          <w:rFonts w:ascii="David" w:eastAsia="Calibri" w:hAnsi="David" w:hint="cs"/>
          <w:b/>
          <w:bCs/>
          <w:sz w:val="24"/>
          <w:rtl/>
        </w:rPr>
        <w:t>קודם</w:t>
      </w:r>
      <w:r w:rsidRPr="00082C78">
        <w:rPr>
          <w:rFonts w:ascii="David" w:eastAsia="Calibri" w:hAnsi="David"/>
          <w:b/>
          <w:bCs/>
          <w:sz w:val="24"/>
          <w:rtl/>
        </w:rPr>
        <w:t xml:space="preserve"> השימוש בשורה ארוכה של כלים</w:t>
      </w:r>
      <w:r w:rsidR="00985481">
        <w:rPr>
          <w:rFonts w:ascii="David" w:eastAsia="Calibri" w:hAnsi="David" w:hint="cs"/>
          <w:b/>
          <w:bCs/>
          <w:sz w:val="24"/>
          <w:rtl/>
        </w:rPr>
        <w:t xml:space="preserve"> טכנולוגיים</w:t>
      </w:r>
      <w:r w:rsidRPr="00082C78">
        <w:rPr>
          <w:rFonts w:ascii="David" w:eastAsia="Calibri" w:hAnsi="David"/>
          <w:b/>
          <w:bCs/>
          <w:sz w:val="24"/>
          <w:rtl/>
        </w:rPr>
        <w:t xml:space="preserve"> </w:t>
      </w:r>
      <w:r w:rsidRPr="00082C78">
        <w:rPr>
          <w:rFonts w:ascii="David" w:eastAsia="Calibri" w:hAnsi="David" w:hint="cs"/>
          <w:b/>
          <w:bCs/>
          <w:sz w:val="24"/>
          <w:rtl/>
        </w:rPr>
        <w:t xml:space="preserve">ומתווי פעולה </w:t>
      </w:r>
      <w:r w:rsidRPr="00082C78">
        <w:rPr>
          <w:rFonts w:ascii="David" w:eastAsia="Calibri" w:hAnsi="David"/>
          <w:b/>
          <w:bCs/>
          <w:sz w:val="24"/>
          <w:rtl/>
        </w:rPr>
        <w:t>בעלי יכולות ע</w:t>
      </w:r>
      <w:r w:rsidRPr="00082C78">
        <w:rPr>
          <w:rFonts w:ascii="David" w:eastAsia="Calibri" w:hAnsi="David" w:hint="cs"/>
          <w:b/>
          <w:bCs/>
          <w:sz w:val="24"/>
          <w:rtl/>
        </w:rPr>
        <w:t>ו</w:t>
      </w:r>
      <w:r w:rsidRPr="00082C78">
        <w:rPr>
          <w:rFonts w:ascii="David" w:eastAsia="Calibri" w:hAnsi="David"/>
          <w:b/>
          <w:bCs/>
          <w:sz w:val="24"/>
          <w:rtl/>
        </w:rPr>
        <w:t>צמתי</w:t>
      </w:r>
      <w:r w:rsidRPr="00082C78">
        <w:rPr>
          <w:rFonts w:ascii="David" w:eastAsia="Calibri" w:hAnsi="David" w:hint="cs"/>
          <w:b/>
          <w:bCs/>
          <w:sz w:val="24"/>
          <w:rtl/>
        </w:rPr>
        <w:t>ות</w:t>
      </w:r>
      <w:r w:rsidRPr="00082C78">
        <w:rPr>
          <w:rFonts w:ascii="David" w:eastAsia="Calibri" w:hAnsi="David"/>
          <w:b/>
          <w:bCs/>
          <w:sz w:val="24"/>
          <w:rtl/>
        </w:rPr>
        <w:t xml:space="preserve"> ופוטנציאל פגיעה נרחב בזכויות הפרט. הטיפול הלקוי בנושא זה נבע ביסודו מדרכי הטיפול של המשטרה בנושא ומהדפוס </w:t>
      </w:r>
      <w:r w:rsidRPr="00082C78">
        <w:rPr>
          <w:rFonts w:ascii="David" w:eastAsia="Calibri" w:hAnsi="David" w:hint="cs"/>
          <w:b/>
          <w:bCs/>
          <w:sz w:val="24"/>
          <w:rtl/>
        </w:rPr>
        <w:t>ו</w:t>
      </w:r>
      <w:r w:rsidRPr="00082C78">
        <w:rPr>
          <w:rFonts w:ascii="David" w:eastAsia="Calibri" w:hAnsi="David"/>
          <w:b/>
          <w:bCs/>
          <w:sz w:val="24"/>
          <w:rtl/>
        </w:rPr>
        <w:t>לפיו היא בחרה להסתפק באיש</w:t>
      </w:r>
      <w:r w:rsidRPr="00082C78">
        <w:rPr>
          <w:rFonts w:ascii="David" w:eastAsia="Calibri" w:hAnsi="David" w:hint="cs"/>
          <w:b/>
          <w:bCs/>
          <w:sz w:val="24"/>
          <w:rtl/>
        </w:rPr>
        <w:t>ו</w:t>
      </w:r>
      <w:r w:rsidRPr="00082C78">
        <w:rPr>
          <w:rFonts w:ascii="David" w:eastAsia="Calibri" w:hAnsi="David"/>
          <w:b/>
          <w:bCs/>
          <w:sz w:val="24"/>
          <w:rtl/>
        </w:rPr>
        <w:t>ר השימוש בכלים לאחר בחינה משפטית פנימית</w:t>
      </w:r>
      <w:r w:rsidRPr="00082C78">
        <w:rPr>
          <w:rFonts w:ascii="David" w:eastAsia="Calibri" w:hAnsi="David" w:hint="cs"/>
          <w:b/>
          <w:bCs/>
          <w:sz w:val="24"/>
          <w:rtl/>
        </w:rPr>
        <w:t>,</w:t>
      </w:r>
      <w:r w:rsidRPr="00082C78">
        <w:rPr>
          <w:rFonts w:ascii="David" w:eastAsia="Calibri" w:hAnsi="David"/>
          <w:b/>
          <w:bCs/>
          <w:sz w:val="24"/>
          <w:rtl/>
        </w:rPr>
        <w:t xml:space="preserve"> לרוב שלא על סמך חוות דעת מפורטות ותוך הימנעות מהעל</w:t>
      </w:r>
      <w:r w:rsidRPr="00082C78">
        <w:rPr>
          <w:rFonts w:ascii="David" w:eastAsia="Calibri" w:hAnsi="David" w:hint="cs"/>
          <w:b/>
          <w:bCs/>
          <w:sz w:val="24"/>
          <w:rtl/>
        </w:rPr>
        <w:t>א</w:t>
      </w:r>
      <w:r w:rsidRPr="00082C78">
        <w:rPr>
          <w:rFonts w:ascii="David" w:eastAsia="Calibri" w:hAnsi="David"/>
          <w:b/>
          <w:bCs/>
          <w:sz w:val="24"/>
          <w:rtl/>
        </w:rPr>
        <w:t xml:space="preserve">ת </w:t>
      </w:r>
      <w:r w:rsidRPr="00082C78">
        <w:rPr>
          <w:rFonts w:ascii="David" w:eastAsia="Calibri" w:hAnsi="David" w:hint="cs"/>
          <w:b/>
          <w:bCs/>
          <w:sz w:val="24"/>
          <w:rtl/>
        </w:rPr>
        <w:t xml:space="preserve">שאלות משפטיות בדבר העמידה בגדרי הסמכות הקבועה בדין </w:t>
      </w:r>
      <w:r w:rsidRPr="00082C78">
        <w:rPr>
          <w:rFonts w:ascii="David" w:eastAsia="Calibri" w:hAnsi="David"/>
          <w:b/>
          <w:bCs/>
          <w:sz w:val="24"/>
          <w:rtl/>
        </w:rPr>
        <w:t xml:space="preserve">לבחינה עקרונית ופרטנית של </w:t>
      </w:r>
      <w:r w:rsidR="005D59FF">
        <w:rPr>
          <w:rFonts w:ascii="David" w:eastAsia="Calibri" w:hAnsi="David" w:hint="cs"/>
          <w:b/>
          <w:bCs/>
          <w:sz w:val="24"/>
          <w:rtl/>
        </w:rPr>
        <w:t>ה</w:t>
      </w:r>
      <w:r w:rsidR="005D59FF" w:rsidRPr="00082C78">
        <w:rPr>
          <w:rFonts w:ascii="David" w:eastAsia="Calibri" w:hAnsi="David"/>
          <w:b/>
          <w:bCs/>
          <w:sz w:val="24"/>
          <w:rtl/>
        </w:rPr>
        <w:t xml:space="preserve">ייעוץ </w:t>
      </w:r>
      <w:r w:rsidRPr="00082C78">
        <w:rPr>
          <w:rFonts w:ascii="David" w:eastAsia="Calibri" w:hAnsi="David"/>
          <w:b/>
          <w:bCs/>
          <w:sz w:val="24"/>
          <w:rtl/>
        </w:rPr>
        <w:t xml:space="preserve">המשפטי לממשלה </w:t>
      </w:r>
      <w:r w:rsidR="002B2F2E">
        <w:rPr>
          <w:rFonts w:ascii="David" w:eastAsia="Calibri" w:hAnsi="David" w:hint="cs"/>
          <w:b/>
          <w:bCs/>
          <w:sz w:val="24"/>
          <w:rtl/>
        </w:rPr>
        <w:t xml:space="preserve">במשרד המשפטים </w:t>
      </w:r>
      <w:r w:rsidRPr="00082C78">
        <w:rPr>
          <w:rFonts w:ascii="David" w:eastAsia="Calibri" w:hAnsi="David" w:hint="cs"/>
          <w:b/>
          <w:bCs/>
          <w:sz w:val="24"/>
          <w:rtl/>
        </w:rPr>
        <w:t>ובלי לקבל את אישורו של</w:t>
      </w:r>
      <w:r w:rsidRPr="00082C78">
        <w:rPr>
          <w:rFonts w:ascii="David" w:eastAsia="Calibri" w:hAnsi="David"/>
          <w:b/>
          <w:bCs/>
          <w:sz w:val="24"/>
          <w:rtl/>
        </w:rPr>
        <w:t xml:space="preserve"> </w:t>
      </w:r>
      <w:r w:rsidRPr="00082C78">
        <w:rPr>
          <w:rFonts w:ascii="David" w:eastAsia="Calibri" w:hAnsi="David" w:hint="cs"/>
          <w:b/>
          <w:bCs/>
          <w:sz w:val="24"/>
          <w:rtl/>
        </w:rPr>
        <w:t>היועמ"ש</w:t>
      </w:r>
      <w:r w:rsidRPr="00082C78">
        <w:rPr>
          <w:rFonts w:ascii="David" w:eastAsia="Calibri" w:hAnsi="David"/>
          <w:b/>
          <w:bCs/>
          <w:sz w:val="24"/>
          <w:rtl/>
        </w:rPr>
        <w:t xml:space="preserve"> לממשלה. </w:t>
      </w:r>
    </w:p>
    <w:p w:rsidR="00B4118C" w:rsidRDefault="00B4118C" w:rsidP="00604C3D">
      <w:pPr>
        <w:spacing w:line="269" w:lineRule="auto"/>
        <w:rPr>
          <w:rFonts w:ascii="David" w:eastAsia="Calibri" w:hAnsi="David"/>
          <w:b/>
          <w:bCs/>
          <w:sz w:val="24"/>
          <w:rtl/>
        </w:rPr>
      </w:pPr>
    </w:p>
    <w:p w:rsidR="00082C78" w:rsidRDefault="00082C78" w:rsidP="00604C3D">
      <w:pPr>
        <w:spacing w:line="269" w:lineRule="auto"/>
        <w:rPr>
          <w:rFonts w:ascii="David" w:eastAsia="Calibri" w:hAnsi="David"/>
          <w:b/>
          <w:bCs/>
          <w:sz w:val="24"/>
          <w:rtl/>
        </w:rPr>
      </w:pPr>
      <w:r w:rsidRPr="00082C78">
        <w:rPr>
          <w:rFonts w:ascii="David" w:eastAsia="Calibri" w:hAnsi="David"/>
          <w:b/>
          <w:bCs/>
          <w:sz w:val="24"/>
          <w:rtl/>
        </w:rPr>
        <w:t>התנהלות זו התמשכה לאורך שנים</w:t>
      </w:r>
      <w:r w:rsidR="00CB79B8">
        <w:rPr>
          <w:rFonts w:ascii="David" w:eastAsia="Calibri" w:hAnsi="David" w:hint="cs"/>
          <w:b/>
          <w:bCs/>
          <w:sz w:val="24"/>
          <w:rtl/>
        </w:rPr>
        <w:t xml:space="preserve">. עקב </w:t>
      </w:r>
      <w:r w:rsidRPr="00082C78">
        <w:rPr>
          <w:rFonts w:ascii="David" w:eastAsia="Calibri" w:hAnsi="David" w:hint="cs"/>
          <w:b/>
          <w:bCs/>
          <w:sz w:val="24"/>
          <w:rtl/>
        </w:rPr>
        <w:t>כך נמצאו חמישה מקרים של שימוש בכלים טכנולוגיים ובמתווים</w:t>
      </w:r>
      <w:r w:rsidR="00382AE8">
        <w:rPr>
          <w:rFonts w:ascii="David" w:eastAsia="Calibri" w:hAnsi="David" w:hint="cs"/>
          <w:b/>
          <w:bCs/>
          <w:sz w:val="24"/>
          <w:rtl/>
        </w:rPr>
        <w:t xml:space="preserve"> </w:t>
      </w:r>
      <w:r w:rsidRPr="00082C78">
        <w:rPr>
          <w:rFonts w:ascii="David" w:eastAsia="Calibri" w:hAnsi="David" w:hint="cs"/>
          <w:b/>
          <w:bCs/>
          <w:sz w:val="24"/>
          <w:rtl/>
        </w:rPr>
        <w:t>שהמשטרה הציגה לגורמי הייעוץ המשפטי לממשלה: בנוגע לשני כלים ולשלוש פעולות ההכרעה בעניינם התעכבה (בין שנה לחמש שנים) אף שהם נדרשו לעבודת המשטרה. במקרה אחד החליט היועמ"ש לממשלה להגביל את השימוש במתווה הפעולה ללא פירוט הנימוקים העומדים בבסיס החלטה זו.</w:t>
      </w:r>
    </w:p>
    <w:p w:rsidR="00E264D8" w:rsidRDefault="00E264D8" w:rsidP="00604C3D">
      <w:pPr>
        <w:spacing w:line="269" w:lineRule="auto"/>
        <w:rPr>
          <w:rFonts w:ascii="David" w:eastAsia="Calibri" w:hAnsi="David"/>
          <w:b/>
          <w:bCs/>
          <w:sz w:val="24"/>
          <w:rtl/>
        </w:rPr>
      </w:pPr>
    </w:p>
    <w:p w:rsidR="00DD5546" w:rsidRPr="00FE7291" w:rsidRDefault="00DD5546" w:rsidP="00604C3D">
      <w:pPr>
        <w:spacing w:line="269" w:lineRule="auto"/>
        <w:rPr>
          <w:rFonts w:ascii="David" w:eastAsia="Calibri" w:hAnsi="David"/>
          <w:sz w:val="24"/>
          <w:rtl/>
        </w:rPr>
      </w:pPr>
      <w:bookmarkStart w:id="182" w:name="_Hlk204771389"/>
      <w:r w:rsidRPr="00FE7291">
        <w:rPr>
          <w:rFonts w:ascii="David" w:eastAsia="Calibri" w:hAnsi="David" w:hint="eastAsia"/>
          <w:sz w:val="24"/>
          <w:rtl/>
        </w:rPr>
        <w:t>משטרת</w:t>
      </w:r>
      <w:r w:rsidRPr="00FE7291">
        <w:rPr>
          <w:rFonts w:ascii="David" w:eastAsia="Calibri" w:hAnsi="David"/>
          <w:sz w:val="24"/>
          <w:rtl/>
        </w:rPr>
        <w:t xml:space="preserve"> ישראל </w:t>
      </w:r>
      <w:r w:rsidRPr="00FE7291">
        <w:rPr>
          <w:rFonts w:ascii="David" w:eastAsia="Calibri" w:hAnsi="David" w:hint="eastAsia"/>
          <w:sz w:val="24"/>
          <w:rtl/>
        </w:rPr>
        <w:t>מסרה</w:t>
      </w:r>
      <w:r w:rsidRPr="00FE7291">
        <w:rPr>
          <w:rFonts w:ascii="David" w:eastAsia="Calibri" w:hAnsi="David"/>
          <w:sz w:val="24"/>
          <w:rtl/>
        </w:rPr>
        <w:t xml:space="preserve"> כי </w:t>
      </w:r>
      <w:r w:rsidR="00A2629D">
        <w:rPr>
          <w:rFonts w:ascii="David" w:eastAsia="Calibri" w:hAnsi="David" w:hint="cs"/>
          <w:sz w:val="24"/>
          <w:rtl/>
        </w:rPr>
        <w:t>בנוגע</w:t>
      </w:r>
      <w:r w:rsidRPr="00FE7291">
        <w:rPr>
          <w:rFonts w:ascii="David" w:eastAsia="Calibri" w:hAnsi="David"/>
          <w:sz w:val="24"/>
          <w:rtl/>
        </w:rPr>
        <w:t xml:space="preserve"> להליכי הרכש ו</w:t>
      </w:r>
      <w:r w:rsidRPr="00FE7291">
        <w:rPr>
          <w:rFonts w:ascii="David" w:eastAsia="Calibri" w:hAnsi="David" w:hint="eastAsia"/>
          <w:sz w:val="24"/>
          <w:rtl/>
        </w:rPr>
        <w:t>אישור</w:t>
      </w:r>
      <w:r w:rsidRPr="00FE7291">
        <w:rPr>
          <w:rFonts w:ascii="David" w:eastAsia="Calibri" w:hAnsi="David"/>
          <w:sz w:val="24"/>
          <w:rtl/>
        </w:rPr>
        <w:t xml:space="preserve"> </w:t>
      </w:r>
      <w:r w:rsidRPr="00FE7291">
        <w:rPr>
          <w:rFonts w:ascii="David" w:eastAsia="Calibri" w:hAnsi="David" w:hint="eastAsia"/>
          <w:sz w:val="24"/>
          <w:rtl/>
        </w:rPr>
        <w:t>השימוש</w:t>
      </w:r>
      <w:r w:rsidRPr="00FE7291">
        <w:rPr>
          <w:rFonts w:ascii="David" w:eastAsia="Calibri" w:hAnsi="David"/>
          <w:sz w:val="24"/>
          <w:rtl/>
        </w:rPr>
        <w:t xml:space="preserve"> </w:t>
      </w:r>
      <w:r w:rsidRPr="00FE7291">
        <w:rPr>
          <w:rFonts w:ascii="David" w:eastAsia="Calibri" w:hAnsi="David" w:hint="eastAsia"/>
          <w:sz w:val="24"/>
          <w:rtl/>
        </w:rPr>
        <w:t>בכלים</w:t>
      </w:r>
      <w:r w:rsidRPr="00FE7291">
        <w:rPr>
          <w:rFonts w:ascii="David" w:eastAsia="Calibri" w:hAnsi="David"/>
          <w:sz w:val="24"/>
          <w:rtl/>
        </w:rPr>
        <w:t xml:space="preserve"> </w:t>
      </w:r>
      <w:r w:rsidRPr="00FE7291">
        <w:rPr>
          <w:rFonts w:ascii="David" w:eastAsia="Calibri" w:hAnsi="David" w:hint="eastAsia"/>
          <w:sz w:val="24"/>
          <w:rtl/>
        </w:rPr>
        <w:t>טכנולוגיים</w:t>
      </w:r>
      <w:r w:rsidRPr="00FE7291">
        <w:rPr>
          <w:rFonts w:ascii="David" w:eastAsia="Calibri" w:hAnsi="David"/>
          <w:sz w:val="24"/>
          <w:rtl/>
        </w:rPr>
        <w:t xml:space="preserve">, </w:t>
      </w:r>
      <w:r w:rsidR="00A2629D">
        <w:rPr>
          <w:rFonts w:ascii="David" w:eastAsia="Calibri" w:hAnsi="David" w:hint="cs"/>
          <w:sz w:val="24"/>
          <w:rtl/>
        </w:rPr>
        <w:t>החל משנת 2022 היא</w:t>
      </w:r>
      <w:r w:rsidRPr="00FE7291">
        <w:rPr>
          <w:rFonts w:ascii="David" w:eastAsia="Calibri" w:hAnsi="David"/>
          <w:sz w:val="24"/>
          <w:rtl/>
        </w:rPr>
        <w:t xml:space="preserve"> </w:t>
      </w:r>
      <w:r w:rsidR="00A2629D" w:rsidRPr="00FE7291">
        <w:rPr>
          <w:rFonts w:ascii="David" w:eastAsia="Calibri" w:hAnsi="David" w:hint="eastAsia"/>
          <w:sz w:val="24"/>
          <w:rtl/>
        </w:rPr>
        <w:t>פועלת</w:t>
      </w:r>
      <w:r w:rsidRPr="00FE7291">
        <w:rPr>
          <w:rFonts w:ascii="David" w:eastAsia="Calibri" w:hAnsi="David"/>
          <w:sz w:val="24"/>
          <w:rtl/>
        </w:rPr>
        <w:t xml:space="preserve"> ל</w:t>
      </w:r>
      <w:r w:rsidRPr="00FE7291">
        <w:rPr>
          <w:rFonts w:ascii="David" w:eastAsia="Calibri" w:hAnsi="David" w:hint="eastAsia"/>
          <w:sz w:val="24"/>
          <w:rtl/>
        </w:rPr>
        <w:t>הפיק</w:t>
      </w:r>
      <w:r w:rsidRPr="00FE7291">
        <w:rPr>
          <w:rFonts w:ascii="David" w:eastAsia="Calibri" w:hAnsi="David"/>
          <w:sz w:val="24"/>
          <w:rtl/>
        </w:rPr>
        <w:t xml:space="preserve"> לקחים </w:t>
      </w:r>
      <w:r w:rsidRPr="00FE7291">
        <w:rPr>
          <w:rFonts w:ascii="David" w:eastAsia="Calibri" w:hAnsi="David" w:hint="eastAsia"/>
          <w:sz w:val="24"/>
          <w:rtl/>
        </w:rPr>
        <w:t>בתחום</w:t>
      </w:r>
      <w:r w:rsidRPr="00FE7291">
        <w:rPr>
          <w:rFonts w:ascii="David" w:eastAsia="Calibri" w:hAnsi="David"/>
          <w:sz w:val="24"/>
          <w:rtl/>
        </w:rPr>
        <w:t xml:space="preserve">, </w:t>
      </w:r>
      <w:r w:rsidR="00A2629D" w:rsidRPr="00FE7291">
        <w:rPr>
          <w:rFonts w:ascii="David" w:eastAsia="Calibri" w:hAnsi="David" w:hint="eastAsia"/>
          <w:sz w:val="24"/>
          <w:rtl/>
        </w:rPr>
        <w:t>ובין</w:t>
      </w:r>
      <w:r w:rsidR="00A2629D" w:rsidRPr="00FE7291">
        <w:rPr>
          <w:rFonts w:ascii="David" w:eastAsia="Calibri" w:hAnsi="David"/>
          <w:sz w:val="24"/>
          <w:rtl/>
        </w:rPr>
        <w:t xml:space="preserve"> היתר היא פועלת לעיגון נהלים בנושא, טיוב הליכי </w:t>
      </w:r>
      <w:r w:rsidRPr="00FE7291">
        <w:rPr>
          <w:rFonts w:ascii="David" w:eastAsia="Calibri" w:hAnsi="David" w:hint="eastAsia"/>
          <w:sz w:val="24"/>
          <w:rtl/>
        </w:rPr>
        <w:t>העברת</w:t>
      </w:r>
      <w:r w:rsidRPr="00FE7291">
        <w:rPr>
          <w:rFonts w:ascii="David" w:eastAsia="Calibri" w:hAnsi="David"/>
          <w:sz w:val="24"/>
          <w:rtl/>
        </w:rPr>
        <w:t xml:space="preserve"> </w:t>
      </w:r>
      <w:r w:rsidR="00A2629D" w:rsidRPr="00FE7291">
        <w:rPr>
          <w:rFonts w:ascii="David" w:eastAsia="Calibri" w:hAnsi="David" w:hint="eastAsia"/>
          <w:sz w:val="24"/>
          <w:rtl/>
        </w:rPr>
        <w:t>ה</w:t>
      </w:r>
      <w:r w:rsidRPr="00FE7291">
        <w:rPr>
          <w:rFonts w:ascii="David" w:eastAsia="Calibri" w:hAnsi="David" w:hint="eastAsia"/>
          <w:sz w:val="24"/>
          <w:rtl/>
        </w:rPr>
        <w:t>מידע</w:t>
      </w:r>
      <w:r w:rsidRPr="00FE7291">
        <w:rPr>
          <w:rFonts w:ascii="David" w:eastAsia="Calibri" w:hAnsi="David"/>
          <w:sz w:val="24"/>
          <w:rtl/>
        </w:rPr>
        <w:t xml:space="preserve"> </w:t>
      </w:r>
      <w:r w:rsidRPr="00FE7291">
        <w:rPr>
          <w:rFonts w:ascii="David" w:eastAsia="Calibri" w:hAnsi="David" w:hint="eastAsia"/>
          <w:sz w:val="24"/>
          <w:rtl/>
        </w:rPr>
        <w:t>ו</w:t>
      </w:r>
      <w:r w:rsidR="00A2629D" w:rsidRPr="00FE7291">
        <w:rPr>
          <w:rFonts w:ascii="David" w:eastAsia="Calibri" w:hAnsi="David" w:hint="eastAsia"/>
          <w:sz w:val="24"/>
          <w:rtl/>
        </w:rPr>
        <w:t>ה</w:t>
      </w:r>
      <w:r w:rsidRPr="00FE7291">
        <w:rPr>
          <w:rFonts w:ascii="David" w:eastAsia="Calibri" w:hAnsi="David" w:hint="eastAsia"/>
          <w:sz w:val="24"/>
          <w:rtl/>
        </w:rPr>
        <w:t>מסמכים</w:t>
      </w:r>
      <w:r w:rsidRPr="00FE7291">
        <w:rPr>
          <w:rFonts w:ascii="David" w:eastAsia="Calibri" w:hAnsi="David"/>
          <w:sz w:val="24"/>
          <w:rtl/>
        </w:rPr>
        <w:t xml:space="preserve"> </w:t>
      </w:r>
      <w:r w:rsidRPr="00FE7291">
        <w:rPr>
          <w:rFonts w:ascii="David" w:eastAsia="Calibri" w:hAnsi="David" w:hint="eastAsia"/>
          <w:sz w:val="24"/>
          <w:rtl/>
        </w:rPr>
        <w:t>למשרד</w:t>
      </w:r>
      <w:r w:rsidRPr="00FE7291">
        <w:rPr>
          <w:rFonts w:ascii="David" w:eastAsia="Calibri" w:hAnsi="David"/>
          <w:sz w:val="24"/>
          <w:rtl/>
        </w:rPr>
        <w:t xml:space="preserve"> </w:t>
      </w:r>
      <w:r w:rsidRPr="00FE7291">
        <w:rPr>
          <w:rFonts w:ascii="David" w:eastAsia="Calibri" w:hAnsi="David" w:hint="eastAsia"/>
          <w:sz w:val="24"/>
          <w:rtl/>
        </w:rPr>
        <w:t>המשפטים</w:t>
      </w:r>
      <w:r w:rsidRPr="00FE7291">
        <w:rPr>
          <w:rFonts w:ascii="David" w:eastAsia="Calibri" w:hAnsi="David"/>
          <w:sz w:val="24"/>
          <w:rtl/>
        </w:rPr>
        <w:t xml:space="preserve"> </w:t>
      </w:r>
      <w:r w:rsidRPr="00FE7291">
        <w:rPr>
          <w:rFonts w:ascii="David" w:eastAsia="Calibri" w:hAnsi="David" w:hint="eastAsia"/>
          <w:sz w:val="24"/>
          <w:rtl/>
        </w:rPr>
        <w:t>ו</w:t>
      </w:r>
      <w:r w:rsidR="00A2629D" w:rsidRPr="00FE7291">
        <w:rPr>
          <w:rFonts w:ascii="David" w:eastAsia="Calibri" w:hAnsi="David" w:hint="eastAsia"/>
          <w:sz w:val="24"/>
          <w:rtl/>
        </w:rPr>
        <w:t>אופן</w:t>
      </w:r>
      <w:r w:rsidRPr="00FE7291">
        <w:rPr>
          <w:rFonts w:ascii="David" w:eastAsia="Calibri" w:hAnsi="David"/>
          <w:sz w:val="24"/>
          <w:rtl/>
        </w:rPr>
        <w:t xml:space="preserve"> ניהול הדיונים עימם. </w:t>
      </w:r>
    </w:p>
    <w:bookmarkEnd w:id="182"/>
    <w:p w:rsidR="00DD5546" w:rsidRPr="00082C78" w:rsidRDefault="00DD5546" w:rsidP="00604C3D">
      <w:pPr>
        <w:spacing w:line="269" w:lineRule="auto"/>
        <w:rPr>
          <w:rFonts w:ascii="David" w:eastAsia="Calibri" w:hAnsi="David"/>
          <w:b/>
          <w:bCs/>
          <w:sz w:val="24"/>
          <w:rtl/>
        </w:rPr>
      </w:pPr>
    </w:p>
    <w:p w:rsidR="0085114A" w:rsidRPr="00082C78" w:rsidRDefault="0085114A" w:rsidP="00604C3D">
      <w:pPr>
        <w:spacing w:line="269" w:lineRule="auto"/>
        <w:rPr>
          <w:rFonts w:ascii="David" w:eastAsia="Calibri" w:hAnsi="David"/>
          <w:sz w:val="24"/>
          <w:rtl/>
        </w:rPr>
      </w:pPr>
      <w:r w:rsidRPr="00082C78">
        <w:rPr>
          <w:rFonts w:ascii="David" w:eastAsia="Calibri" w:hAnsi="David" w:hint="cs"/>
          <w:sz w:val="24"/>
          <w:rtl/>
        </w:rPr>
        <w:t xml:space="preserve">משרד המשפטים כתב בתשובתו שאין בסיס לטענה בדבר קיומה של חובה של גורמי הייעוץ המשפטי לממשלה ליזום בדיקה של כלים טכנולוגיים, שאינה מבוססת על תשתית עובדתית, וכן אין בסיס לטענה זו גם מעצם המעורבות שיש ליועמ"ש לממשלה בהליכי פיקוח ובקרה של האזנות סתר. </w:t>
      </w:r>
    </w:p>
    <w:p w:rsidR="00B4118C" w:rsidRDefault="00B4118C" w:rsidP="00604C3D">
      <w:pPr>
        <w:spacing w:line="269" w:lineRule="auto"/>
        <w:ind w:left="-1"/>
        <w:rPr>
          <w:rFonts w:ascii="David" w:eastAsia="Calibri" w:hAnsi="David"/>
          <w:b/>
          <w:bCs/>
          <w:sz w:val="24"/>
          <w:rtl/>
        </w:rPr>
      </w:pPr>
    </w:p>
    <w:p w:rsidR="0085114A" w:rsidRPr="00082C78" w:rsidRDefault="0085114A" w:rsidP="00604C3D">
      <w:pPr>
        <w:spacing w:line="269" w:lineRule="auto"/>
        <w:ind w:left="-1"/>
        <w:rPr>
          <w:rFonts w:ascii="David" w:eastAsia="Calibri" w:hAnsi="David"/>
          <w:b/>
          <w:bCs/>
          <w:sz w:val="24"/>
          <w:rtl/>
        </w:rPr>
      </w:pPr>
      <w:r w:rsidRPr="00082C78">
        <w:rPr>
          <w:rFonts w:ascii="David" w:eastAsia="Calibri" w:hAnsi="David" w:hint="cs"/>
          <w:b/>
          <w:bCs/>
          <w:sz w:val="24"/>
          <w:rtl/>
        </w:rPr>
        <w:t>תשובת משרד המשפטים משקפת עמדה פסיבית של גורמי הייעוץ המשפטי לממשלה בסוגיית חובת הפיקוח והבקרה של גורמי הייעוץ המשפטי על המשטרה המשתמשת בכלים טכנולוגיים</w:t>
      </w:r>
      <w:r>
        <w:rPr>
          <w:rFonts w:ascii="David" w:eastAsia="Calibri" w:hAnsi="David" w:hint="cs"/>
          <w:b/>
          <w:bCs/>
          <w:sz w:val="24"/>
          <w:rtl/>
        </w:rPr>
        <w:t xml:space="preserve"> בכלל</w:t>
      </w:r>
      <w:r w:rsidR="00382AE8">
        <w:rPr>
          <w:rFonts w:ascii="David" w:eastAsia="Calibri" w:hAnsi="David" w:hint="cs"/>
          <w:b/>
          <w:bCs/>
          <w:sz w:val="24"/>
          <w:rtl/>
        </w:rPr>
        <w:t xml:space="preserve"> </w:t>
      </w:r>
      <w:r>
        <w:rPr>
          <w:rFonts w:ascii="David" w:eastAsia="Calibri" w:hAnsi="David" w:hint="cs"/>
          <w:b/>
          <w:bCs/>
          <w:sz w:val="24"/>
          <w:rtl/>
        </w:rPr>
        <w:t>ולצורך האזנת סתר בפרט</w:t>
      </w:r>
      <w:r w:rsidR="00D53DE5">
        <w:rPr>
          <w:rFonts w:ascii="David" w:eastAsia="Calibri" w:hAnsi="David" w:hint="cs"/>
          <w:b/>
          <w:bCs/>
          <w:sz w:val="24"/>
          <w:rtl/>
        </w:rPr>
        <w:t>,</w:t>
      </w:r>
      <w:r>
        <w:rPr>
          <w:rFonts w:ascii="David" w:eastAsia="Calibri" w:hAnsi="David" w:hint="cs"/>
          <w:b/>
          <w:bCs/>
          <w:sz w:val="24"/>
          <w:rtl/>
        </w:rPr>
        <w:t xml:space="preserve"> </w:t>
      </w:r>
      <w:r w:rsidRPr="00082C78">
        <w:rPr>
          <w:rFonts w:ascii="David" w:eastAsia="Calibri" w:hAnsi="David" w:hint="cs"/>
          <w:b/>
          <w:bCs/>
          <w:sz w:val="24"/>
          <w:rtl/>
        </w:rPr>
        <w:t>המצוי</w:t>
      </w:r>
      <w:r>
        <w:rPr>
          <w:rFonts w:ascii="David" w:eastAsia="Calibri" w:hAnsi="David" w:hint="cs"/>
          <w:b/>
          <w:bCs/>
          <w:sz w:val="24"/>
          <w:rtl/>
        </w:rPr>
        <w:t>ים</w:t>
      </w:r>
      <w:r w:rsidRPr="00082C78">
        <w:rPr>
          <w:rFonts w:ascii="David" w:eastAsia="Calibri" w:hAnsi="David" w:hint="cs"/>
          <w:b/>
          <w:bCs/>
          <w:sz w:val="24"/>
          <w:rtl/>
        </w:rPr>
        <w:t xml:space="preserve"> בליבת ההליך הפלילי</w:t>
      </w:r>
      <w:r>
        <w:rPr>
          <w:rFonts w:ascii="David" w:eastAsia="Calibri" w:hAnsi="David" w:hint="cs"/>
          <w:b/>
          <w:bCs/>
          <w:sz w:val="24"/>
          <w:rtl/>
        </w:rPr>
        <w:t xml:space="preserve">, שיש בהם משום חשש לחריגה מסמכות, </w:t>
      </w:r>
      <w:r w:rsidRPr="00082C78">
        <w:rPr>
          <w:rFonts w:ascii="David" w:eastAsia="Calibri" w:hAnsi="David" w:hint="cs"/>
          <w:b/>
          <w:bCs/>
          <w:sz w:val="24"/>
          <w:rtl/>
        </w:rPr>
        <w:t xml:space="preserve">ומגלמים פוטנציאל לפגיעה יסודית בזכויות הפרט. </w:t>
      </w:r>
      <w:r w:rsidRPr="00082C78">
        <w:rPr>
          <w:rFonts w:ascii="David" w:eastAsia="Calibri" w:hAnsi="David" w:hint="eastAsia"/>
          <w:b/>
          <w:bCs/>
          <w:sz w:val="24"/>
          <w:rtl/>
        </w:rPr>
        <w:t>עמדה</w:t>
      </w:r>
      <w:r w:rsidRPr="00082C78">
        <w:rPr>
          <w:rFonts w:ascii="David" w:eastAsia="Calibri" w:hAnsi="David"/>
          <w:b/>
          <w:bCs/>
          <w:sz w:val="24"/>
          <w:rtl/>
        </w:rPr>
        <w:t xml:space="preserve"> </w:t>
      </w:r>
      <w:r w:rsidRPr="00082C78">
        <w:rPr>
          <w:rFonts w:ascii="David" w:eastAsia="Calibri" w:hAnsi="David" w:hint="eastAsia"/>
          <w:b/>
          <w:bCs/>
          <w:sz w:val="24"/>
          <w:rtl/>
        </w:rPr>
        <w:t>זו</w:t>
      </w:r>
      <w:r w:rsidRPr="00082C78">
        <w:rPr>
          <w:rFonts w:ascii="David" w:eastAsia="Calibri" w:hAnsi="David" w:hint="cs"/>
          <w:b/>
          <w:bCs/>
          <w:sz w:val="24"/>
          <w:rtl/>
        </w:rPr>
        <w:t xml:space="preserve"> אינה מתיישבת עם </w:t>
      </w:r>
      <w:r w:rsidR="00D53DE5">
        <w:rPr>
          <w:rFonts w:ascii="David" w:eastAsia="Calibri" w:hAnsi="David" w:hint="cs"/>
          <w:b/>
          <w:bCs/>
          <w:sz w:val="24"/>
          <w:rtl/>
        </w:rPr>
        <w:t>האמור</w:t>
      </w:r>
      <w:r w:rsidRPr="00082C78">
        <w:rPr>
          <w:rFonts w:ascii="David" w:eastAsia="Calibri" w:hAnsi="David"/>
          <w:b/>
          <w:bCs/>
          <w:sz w:val="24"/>
          <w:rtl/>
        </w:rPr>
        <w:t xml:space="preserve"> </w:t>
      </w:r>
      <w:r w:rsidRPr="00082C78">
        <w:rPr>
          <w:rFonts w:ascii="David" w:eastAsia="Calibri" w:hAnsi="David" w:hint="cs"/>
          <w:b/>
          <w:bCs/>
          <w:sz w:val="24"/>
          <w:rtl/>
        </w:rPr>
        <w:t>ב</w:t>
      </w:r>
      <w:r w:rsidRPr="00082C78">
        <w:rPr>
          <w:rFonts w:ascii="David" w:eastAsia="Calibri" w:hAnsi="David"/>
          <w:b/>
          <w:bCs/>
          <w:sz w:val="24"/>
          <w:rtl/>
        </w:rPr>
        <w:t xml:space="preserve">הנחיית </w:t>
      </w:r>
      <w:r w:rsidRPr="00082C78">
        <w:rPr>
          <w:rFonts w:ascii="David" w:eastAsia="Calibri" w:hAnsi="David" w:hint="cs"/>
          <w:b/>
          <w:bCs/>
          <w:sz w:val="24"/>
          <w:rtl/>
        </w:rPr>
        <w:t>ה</w:t>
      </w:r>
      <w:r w:rsidRPr="00082C78">
        <w:rPr>
          <w:rFonts w:ascii="David" w:eastAsia="Calibri" w:hAnsi="David"/>
          <w:b/>
          <w:bCs/>
          <w:sz w:val="24"/>
          <w:rtl/>
        </w:rPr>
        <w:t>יוע</w:t>
      </w:r>
      <w:r w:rsidRPr="00082C78">
        <w:rPr>
          <w:rFonts w:ascii="David" w:eastAsia="Calibri" w:hAnsi="David" w:hint="cs"/>
          <w:b/>
          <w:bCs/>
          <w:sz w:val="24"/>
          <w:rtl/>
        </w:rPr>
        <w:t>מ"ש</w:t>
      </w:r>
      <w:r w:rsidRPr="00082C78">
        <w:rPr>
          <w:rFonts w:ascii="David" w:eastAsia="Calibri" w:hAnsi="David"/>
          <w:b/>
          <w:bCs/>
          <w:sz w:val="24"/>
          <w:rtl/>
        </w:rPr>
        <w:t xml:space="preserve"> לממשלה</w:t>
      </w:r>
      <w:r w:rsidRPr="00082C78">
        <w:rPr>
          <w:rFonts w:ascii="David" w:eastAsia="Calibri" w:hAnsi="David" w:hint="cs"/>
          <w:b/>
          <w:bCs/>
          <w:sz w:val="24"/>
          <w:rtl/>
        </w:rPr>
        <w:t xml:space="preserve">, ואין לה הצדקה נוכח אינדיקציות שהיה בהן כדי לעורר שאלות בנוגע לסמכות </w:t>
      </w:r>
      <w:r w:rsidR="00D53DE5">
        <w:rPr>
          <w:rFonts w:ascii="David" w:eastAsia="Calibri" w:hAnsi="David" w:hint="cs"/>
          <w:b/>
          <w:bCs/>
          <w:sz w:val="24"/>
          <w:rtl/>
        </w:rPr>
        <w:t xml:space="preserve">המשטרה </w:t>
      </w:r>
      <w:r w:rsidRPr="00082C78">
        <w:rPr>
          <w:rFonts w:ascii="David" w:eastAsia="Calibri" w:hAnsi="David" w:hint="cs"/>
          <w:b/>
          <w:bCs/>
          <w:sz w:val="24"/>
          <w:rtl/>
        </w:rPr>
        <w:t xml:space="preserve">לעשות </w:t>
      </w:r>
      <w:r w:rsidRPr="007B1C2E">
        <w:rPr>
          <w:rFonts w:ascii="David" w:eastAsia="Calibri" w:hAnsi="David" w:hint="cs"/>
          <w:b/>
          <w:bCs/>
          <w:sz w:val="24"/>
          <w:rtl/>
        </w:rPr>
        <w:t>כן</w:t>
      </w:r>
      <w:r w:rsidRPr="007B1C2E">
        <w:rPr>
          <w:rFonts w:ascii="David" w:eastAsia="Calibri" w:hAnsi="David"/>
          <w:b/>
          <w:bCs/>
          <w:sz w:val="24"/>
          <w:rtl/>
        </w:rPr>
        <w:t xml:space="preserve">; </w:t>
      </w:r>
      <w:r w:rsidRPr="007B1C2E">
        <w:rPr>
          <w:rFonts w:ascii="David" w:eastAsia="Calibri" w:hAnsi="David" w:hint="cs"/>
          <w:b/>
          <w:bCs/>
          <w:sz w:val="24"/>
          <w:rtl/>
        </w:rPr>
        <w:t xml:space="preserve">כמו כן עמדה זו אינה עולה בקנה אחד עם </w:t>
      </w:r>
      <w:r w:rsidRPr="007B1C2E">
        <w:rPr>
          <w:rFonts w:ascii="David" w:eastAsia="Calibri" w:hAnsi="David"/>
          <w:b/>
          <w:bCs/>
          <w:sz w:val="24"/>
          <w:rtl/>
        </w:rPr>
        <w:t>המעורבות המהותית שיש ליוע</w:t>
      </w:r>
      <w:r w:rsidRPr="007B1C2E">
        <w:rPr>
          <w:rFonts w:ascii="David" w:eastAsia="Calibri" w:hAnsi="David" w:hint="cs"/>
          <w:b/>
          <w:bCs/>
          <w:sz w:val="24"/>
          <w:rtl/>
        </w:rPr>
        <w:t>מ"ש</w:t>
      </w:r>
      <w:r w:rsidRPr="007B1C2E">
        <w:rPr>
          <w:rFonts w:ascii="David" w:eastAsia="Calibri" w:hAnsi="David"/>
          <w:b/>
          <w:bCs/>
          <w:sz w:val="24"/>
          <w:rtl/>
        </w:rPr>
        <w:t xml:space="preserve"> לממשלה, בכובעו כממונה על מערך התביעה,</w:t>
      </w:r>
      <w:r w:rsidRPr="007B1C2E">
        <w:rPr>
          <w:rFonts w:ascii="David" w:eastAsia="Calibri" w:hAnsi="David" w:hint="cs"/>
          <w:b/>
          <w:bCs/>
          <w:sz w:val="24"/>
          <w:rtl/>
        </w:rPr>
        <w:t xml:space="preserve"> בהליכי</w:t>
      </w:r>
      <w:r w:rsidRPr="00082C78">
        <w:rPr>
          <w:rFonts w:ascii="David" w:eastAsia="Calibri" w:hAnsi="David" w:hint="cs"/>
          <w:b/>
          <w:bCs/>
          <w:sz w:val="24"/>
          <w:rtl/>
        </w:rPr>
        <w:t xml:space="preserve"> הפיקוח והבקרה על האזנות סתר ונתוני תקשורת,</w:t>
      </w:r>
      <w:r w:rsidRPr="00082C78">
        <w:rPr>
          <w:rFonts w:ascii="David" w:eastAsia="Calibri" w:hAnsi="David"/>
          <w:b/>
          <w:bCs/>
          <w:sz w:val="24"/>
          <w:rtl/>
        </w:rPr>
        <w:t xml:space="preserve"> </w:t>
      </w:r>
      <w:r w:rsidRPr="00082C78">
        <w:rPr>
          <w:rFonts w:ascii="David" w:eastAsia="Calibri" w:hAnsi="David" w:hint="cs"/>
          <w:b/>
          <w:bCs/>
          <w:sz w:val="24"/>
          <w:rtl/>
        </w:rPr>
        <w:t xml:space="preserve">ואינה מתיישבת עם </w:t>
      </w:r>
      <w:r w:rsidRPr="00082C78">
        <w:rPr>
          <w:rFonts w:ascii="David" w:eastAsia="Calibri" w:hAnsi="David"/>
          <w:b/>
          <w:bCs/>
          <w:sz w:val="24"/>
          <w:rtl/>
        </w:rPr>
        <w:t>הליכי האכיפה בכלל וב</w:t>
      </w:r>
      <w:r w:rsidRPr="00082C78">
        <w:rPr>
          <w:rFonts w:ascii="David" w:eastAsia="Calibri" w:hAnsi="David" w:hint="cs"/>
          <w:b/>
          <w:bCs/>
          <w:sz w:val="24"/>
          <w:rtl/>
        </w:rPr>
        <w:t>נוגע ל</w:t>
      </w:r>
      <w:r w:rsidRPr="00082C78">
        <w:rPr>
          <w:rFonts w:ascii="David" w:eastAsia="Calibri" w:hAnsi="David"/>
          <w:b/>
          <w:bCs/>
          <w:sz w:val="24"/>
          <w:rtl/>
        </w:rPr>
        <w:t xml:space="preserve">ליווי חקירות רגישות </w:t>
      </w:r>
      <w:r w:rsidRPr="00082C78">
        <w:rPr>
          <w:rFonts w:ascii="David" w:eastAsia="Calibri" w:hAnsi="David" w:hint="cs"/>
          <w:b/>
          <w:bCs/>
          <w:sz w:val="24"/>
          <w:rtl/>
        </w:rPr>
        <w:t>ש</w:t>
      </w:r>
      <w:r w:rsidRPr="00082C78">
        <w:rPr>
          <w:rFonts w:ascii="David" w:eastAsia="Calibri" w:hAnsi="David"/>
          <w:b/>
          <w:bCs/>
          <w:sz w:val="24"/>
          <w:rtl/>
        </w:rPr>
        <w:t xml:space="preserve">בהן נעשה שימוש בכלים הטכנולוגיים בפרט </w:t>
      </w:r>
      <w:r w:rsidRPr="00082C78">
        <w:rPr>
          <w:rFonts w:ascii="David" w:eastAsia="Calibri" w:hAnsi="David" w:hint="cs"/>
          <w:b/>
          <w:bCs/>
          <w:sz w:val="24"/>
          <w:rtl/>
        </w:rPr>
        <w:t>-</w:t>
      </w:r>
      <w:r w:rsidRPr="00082C78">
        <w:rPr>
          <w:rFonts w:ascii="David" w:eastAsia="Calibri" w:hAnsi="David"/>
          <w:b/>
          <w:bCs/>
          <w:sz w:val="24"/>
          <w:rtl/>
        </w:rPr>
        <w:t xml:space="preserve"> </w:t>
      </w:r>
      <w:r w:rsidRPr="00082C78">
        <w:rPr>
          <w:rFonts w:ascii="David" w:eastAsia="Calibri" w:hAnsi="David" w:hint="cs"/>
          <w:b/>
          <w:bCs/>
          <w:sz w:val="24"/>
          <w:rtl/>
        </w:rPr>
        <w:t>אשר צריכים לעורר את הייעוץ המשפטי לממשלה לבדוק ביוזמתו שימוש בכלים שונים.</w:t>
      </w:r>
    </w:p>
    <w:p w:rsidR="00B4118C" w:rsidRDefault="00B4118C"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b/>
          <w:bCs/>
          <w:sz w:val="24"/>
          <w:rtl/>
        </w:rPr>
      </w:pPr>
      <w:r w:rsidRPr="00082C78">
        <w:rPr>
          <w:rFonts w:ascii="David" w:eastAsia="Calibri" w:hAnsi="David" w:hint="cs"/>
          <w:b/>
          <w:bCs/>
          <w:sz w:val="24"/>
          <w:rtl/>
        </w:rPr>
        <w:t xml:space="preserve">נוכח פוטנציאל הפגיעה של כלים אלה בזכויות הפרט, נדרש שהמשטרה תקיים בנוגע להם בחינה משפטית מקדימה באופן מעמיק, מקיף ומפורט שבמסגרתה תינתן הדעת לכל ההיבטים והשאלות המשפטיות. כמו כן נדרש כי המשטרה תעביר כלים שבעניינם עולה שאלה בדבר עמידתם בגדרי הסמכות הקבועה בדין או שהם מגלמים סוגיות משפטיות עקרוניות וסבוכות והשלכות בתחומי העונשין </w:t>
      </w:r>
      <w:r w:rsidRPr="00082C78">
        <w:rPr>
          <w:rFonts w:ascii="David" w:eastAsia="Calibri" w:hAnsi="David"/>
          <w:b/>
          <w:bCs/>
          <w:sz w:val="24"/>
          <w:rtl/>
        </w:rPr>
        <w:t xml:space="preserve">לבחינה עקרונית ופרטנית </w:t>
      </w:r>
      <w:r w:rsidRPr="00082C78">
        <w:rPr>
          <w:rFonts w:ascii="David" w:eastAsia="Calibri" w:hAnsi="David" w:hint="cs"/>
          <w:b/>
          <w:bCs/>
          <w:sz w:val="24"/>
          <w:rtl/>
        </w:rPr>
        <w:t xml:space="preserve">ולאישור </w:t>
      </w:r>
      <w:r w:rsidRPr="00082C78">
        <w:rPr>
          <w:rFonts w:ascii="David" w:eastAsia="Calibri" w:hAnsi="David"/>
          <w:b/>
          <w:bCs/>
          <w:sz w:val="24"/>
          <w:rtl/>
        </w:rPr>
        <w:t>של</w:t>
      </w:r>
      <w:r w:rsidRPr="00082C78">
        <w:rPr>
          <w:rFonts w:ascii="David" w:eastAsia="Calibri" w:hAnsi="David" w:hint="cs"/>
          <w:b/>
          <w:bCs/>
          <w:sz w:val="24"/>
          <w:rtl/>
        </w:rPr>
        <w:t xml:space="preserve"> הייעוץ המשפטי</w:t>
      </w:r>
      <w:r w:rsidRPr="00082C78">
        <w:rPr>
          <w:rFonts w:ascii="David" w:eastAsia="Calibri" w:hAnsi="David"/>
          <w:b/>
          <w:bCs/>
          <w:sz w:val="24"/>
          <w:rtl/>
        </w:rPr>
        <w:t xml:space="preserve"> לממשלה</w:t>
      </w:r>
      <w:r w:rsidRPr="00082C78">
        <w:rPr>
          <w:rFonts w:ascii="David" w:eastAsia="Calibri" w:hAnsi="David" w:hint="cs"/>
          <w:b/>
          <w:bCs/>
          <w:sz w:val="24"/>
          <w:rtl/>
        </w:rPr>
        <w:t xml:space="preserve">. </w:t>
      </w:r>
    </w:p>
    <w:p w:rsidR="00B4118C" w:rsidRDefault="00B4118C" w:rsidP="00604C3D">
      <w:pPr>
        <w:spacing w:line="269" w:lineRule="auto"/>
        <w:rPr>
          <w:rFonts w:ascii="David" w:eastAsia="Calibri" w:hAnsi="David"/>
          <w:b/>
          <w:bCs/>
          <w:sz w:val="24"/>
          <w:rtl/>
        </w:rPr>
      </w:pPr>
    </w:p>
    <w:p w:rsidR="00082C78" w:rsidRPr="00082C78" w:rsidRDefault="00082C78" w:rsidP="00604C3D">
      <w:pPr>
        <w:spacing w:line="269" w:lineRule="auto"/>
        <w:rPr>
          <w:rFonts w:ascii="David" w:eastAsia="Calibri" w:hAnsi="David"/>
          <w:b/>
          <w:bCs/>
          <w:sz w:val="24"/>
          <w:rtl/>
        </w:rPr>
      </w:pPr>
      <w:r w:rsidRPr="00082C78">
        <w:rPr>
          <w:rFonts w:ascii="David" w:eastAsia="Calibri" w:hAnsi="David" w:hint="cs"/>
          <w:b/>
          <w:bCs/>
          <w:sz w:val="24"/>
          <w:rtl/>
        </w:rPr>
        <w:t xml:space="preserve">כמו כן, ולאור חשיבותם של הכלים הטכנולוגיים </w:t>
      </w:r>
      <w:r w:rsidRPr="00082C78">
        <w:rPr>
          <w:rFonts w:ascii="David" w:eastAsia="Calibri" w:hAnsi="David" w:hint="eastAsia"/>
          <w:b/>
          <w:bCs/>
          <w:sz w:val="24"/>
          <w:rtl/>
        </w:rPr>
        <w:t>המשמשים</w:t>
      </w:r>
      <w:r w:rsidRPr="00082C78">
        <w:rPr>
          <w:rFonts w:ascii="David" w:eastAsia="Calibri" w:hAnsi="David"/>
          <w:b/>
          <w:bCs/>
          <w:sz w:val="24"/>
          <w:rtl/>
        </w:rPr>
        <w:t xml:space="preserve"> </w:t>
      </w:r>
      <w:r w:rsidRPr="00082C78">
        <w:rPr>
          <w:rFonts w:ascii="David" w:eastAsia="Calibri" w:hAnsi="David" w:hint="eastAsia"/>
          <w:b/>
          <w:bCs/>
          <w:sz w:val="24"/>
          <w:rtl/>
        </w:rPr>
        <w:t>את</w:t>
      </w:r>
      <w:r w:rsidRPr="00082C78">
        <w:rPr>
          <w:rFonts w:ascii="David" w:eastAsia="Calibri" w:hAnsi="David" w:hint="cs"/>
          <w:b/>
          <w:bCs/>
          <w:sz w:val="24"/>
          <w:rtl/>
        </w:rPr>
        <w:t xml:space="preserve"> המשטרה במאבק בפשיעה החמורה הפוגעת ברקמת החיים במדינה, על גורמי הייעוץ המשפטי לממשלה להכין תוכנית עבודה לצורך ניהול, ייעול ותיעדוף הטיפול בפניות המשטרה בנושא זה. </w:t>
      </w:r>
    </w:p>
    <w:p w:rsidR="00082C78" w:rsidRPr="00082C78" w:rsidRDefault="00082C78" w:rsidP="00604C3D">
      <w:pPr>
        <w:spacing w:line="269" w:lineRule="auto"/>
        <w:rPr>
          <w:rFonts w:ascii="David" w:eastAsia="Calibri" w:hAnsi="David"/>
          <w:sz w:val="24"/>
          <w:rtl/>
        </w:rPr>
      </w:pPr>
    </w:p>
    <w:p w:rsidR="00082C78" w:rsidRDefault="00082C78" w:rsidP="00604C3D">
      <w:pPr>
        <w:spacing w:line="269" w:lineRule="auto"/>
        <w:rPr>
          <w:rFonts w:ascii="David" w:eastAsia="Calibri" w:hAnsi="David"/>
          <w:sz w:val="24"/>
          <w:rtl/>
        </w:rPr>
      </w:pPr>
      <w:r w:rsidRPr="00082C78">
        <w:rPr>
          <w:rFonts w:ascii="David" w:eastAsia="Calibri" w:hAnsi="David" w:hint="cs"/>
          <w:sz w:val="24"/>
          <w:rtl/>
        </w:rPr>
        <w:t>משרד המשפטים כתב בתשובתו כי הייעוץ המשפטי לממשלה פועל על פי תוכנית עבודה סדורה, והוא מפנה משאבים לפניות דחופות. עוד הוא כתב כי הבקשות מהמשטרה מגיעות ללא התרעה מוקדמת ולכן תוכנית העבודה ולוחות הזמנים בהקשר זה אינם יכולים להיקבע מראש.</w:t>
      </w:r>
    </w:p>
    <w:p w:rsidR="00D52A6D" w:rsidRDefault="00D52A6D" w:rsidP="00604C3D">
      <w:pPr>
        <w:spacing w:line="269" w:lineRule="auto"/>
        <w:rPr>
          <w:rFonts w:ascii="David" w:eastAsia="Calibri" w:hAnsi="David"/>
          <w:sz w:val="24"/>
          <w:rtl/>
        </w:rPr>
      </w:pPr>
    </w:p>
    <w:p w:rsidR="00D52A6D" w:rsidRPr="00082C78" w:rsidRDefault="00D52A6D" w:rsidP="00604C3D">
      <w:pPr>
        <w:spacing w:line="269" w:lineRule="auto"/>
        <w:rPr>
          <w:rFonts w:ascii="David" w:eastAsia="Calibri" w:hAnsi="David"/>
          <w:sz w:val="24"/>
          <w:rtl/>
        </w:rPr>
      </w:pPr>
      <w:r>
        <w:rPr>
          <w:rFonts w:ascii="David" w:eastAsia="Calibri" w:hAnsi="David" w:hint="cs"/>
          <w:sz w:val="24"/>
          <w:rtl/>
        </w:rPr>
        <w:t xml:space="preserve">עוד </w:t>
      </w:r>
      <w:r w:rsidR="0053794C">
        <w:rPr>
          <w:rFonts w:ascii="David" w:eastAsia="Calibri" w:hAnsi="David" w:hint="cs"/>
          <w:sz w:val="24"/>
          <w:rtl/>
        </w:rPr>
        <w:t>ביקש משרד המשפטים להתייחס ל</w:t>
      </w:r>
      <w:r w:rsidR="00E32764">
        <w:rPr>
          <w:rFonts w:ascii="David" w:eastAsia="Calibri" w:hAnsi="David" w:hint="cs"/>
          <w:sz w:val="24"/>
          <w:rtl/>
        </w:rPr>
        <w:t xml:space="preserve">גישה לפיה </w:t>
      </w:r>
      <w:r w:rsidR="00E32764" w:rsidRPr="00E32764">
        <w:rPr>
          <w:rFonts w:ascii="David" w:eastAsia="Calibri" w:hAnsi="David" w:hint="cs"/>
          <w:sz w:val="24"/>
          <w:rtl/>
        </w:rPr>
        <w:t xml:space="preserve">חובה </w:t>
      </w:r>
      <w:r w:rsidR="00E32764">
        <w:rPr>
          <w:rFonts w:ascii="David" w:eastAsia="Calibri" w:hAnsi="David" w:hint="cs"/>
          <w:sz w:val="24"/>
          <w:rtl/>
        </w:rPr>
        <w:t xml:space="preserve">על </w:t>
      </w:r>
      <w:r w:rsidR="00E32764" w:rsidRPr="00E32764">
        <w:rPr>
          <w:rFonts w:ascii="David" w:eastAsia="Calibri" w:hAnsi="David" w:hint="cs"/>
          <w:sz w:val="24"/>
          <w:rtl/>
        </w:rPr>
        <w:t>גורמי הייעוץ המשפטי לממשלה ליזום בדיקה של כלים טכנולוגיים</w:t>
      </w:r>
      <w:r w:rsidR="0053794C">
        <w:rPr>
          <w:rFonts w:ascii="David" w:eastAsia="Calibri" w:hAnsi="David" w:hint="cs"/>
          <w:sz w:val="24"/>
          <w:rtl/>
        </w:rPr>
        <w:t xml:space="preserve"> שיש בהם משום חשש לחריגה מסמכות ומגלמים פוטנציאל לפגיעה בזכויות פרט. לעמדתו, גישה זו המחייבת נקיטת פעולה יזומה אינה תואמת את המשאבים הארגוניים העומדים לרשות הייעוץ המשפטי לממשלה בתחום זה. </w:t>
      </w:r>
    </w:p>
    <w:p w:rsidR="00082C78" w:rsidRPr="00082C78" w:rsidRDefault="00082C78" w:rsidP="00604C3D">
      <w:pPr>
        <w:spacing w:line="269" w:lineRule="auto"/>
        <w:rPr>
          <w:rFonts w:ascii="David" w:eastAsia="Calibri" w:hAnsi="David"/>
          <w:b/>
          <w:bCs/>
          <w:sz w:val="24"/>
          <w:rtl/>
        </w:rPr>
      </w:pPr>
    </w:p>
    <w:p w:rsidR="00C86567" w:rsidRDefault="00082C78" w:rsidP="00604C3D">
      <w:pPr>
        <w:spacing w:line="269" w:lineRule="auto"/>
        <w:rPr>
          <w:rFonts w:ascii="David" w:eastAsia="Calibri" w:hAnsi="David"/>
          <w:b/>
          <w:bCs/>
          <w:sz w:val="24"/>
          <w:rtl/>
        </w:rPr>
      </w:pPr>
      <w:r w:rsidRPr="00082C78">
        <w:rPr>
          <w:rFonts w:ascii="David" w:eastAsia="Calibri" w:hAnsi="David" w:hint="cs"/>
          <w:b/>
          <w:bCs/>
          <w:sz w:val="24"/>
          <w:rtl/>
        </w:rPr>
        <w:t xml:space="preserve">מוצע כי תוכנית העבודה </w:t>
      </w:r>
      <w:r w:rsidR="009B46D6">
        <w:rPr>
          <w:rFonts w:ascii="David" w:eastAsia="Calibri" w:hAnsi="David" w:hint="cs"/>
          <w:b/>
          <w:bCs/>
          <w:sz w:val="24"/>
          <w:rtl/>
        </w:rPr>
        <w:t>של הייעוץ המשפטי לממשלה</w:t>
      </w:r>
      <w:r w:rsidR="00EE54E2">
        <w:rPr>
          <w:rFonts w:ascii="David" w:eastAsia="Calibri" w:hAnsi="David" w:hint="cs"/>
          <w:b/>
          <w:bCs/>
          <w:sz w:val="24"/>
          <w:rtl/>
        </w:rPr>
        <w:t xml:space="preserve"> תכלול מספר היבטים:</w:t>
      </w:r>
      <w:r w:rsidR="0053794C">
        <w:rPr>
          <w:rFonts w:ascii="David" w:eastAsia="Calibri" w:hAnsi="David" w:hint="cs"/>
          <w:b/>
          <w:bCs/>
          <w:sz w:val="24"/>
          <w:rtl/>
        </w:rPr>
        <w:t xml:space="preserve"> </w:t>
      </w:r>
      <w:r w:rsidR="00EE54E2">
        <w:rPr>
          <w:rFonts w:ascii="David" w:eastAsia="Calibri" w:hAnsi="David" w:hint="cs"/>
          <w:b/>
          <w:bCs/>
          <w:sz w:val="24"/>
          <w:rtl/>
        </w:rPr>
        <w:t xml:space="preserve">(א) בחינת </w:t>
      </w:r>
      <w:r w:rsidR="0053794C">
        <w:rPr>
          <w:rFonts w:ascii="David" w:eastAsia="Calibri" w:hAnsi="David" w:hint="cs"/>
          <w:b/>
          <w:bCs/>
          <w:sz w:val="24"/>
          <w:rtl/>
        </w:rPr>
        <w:t>השינויים הנדרשים בהקצאת המשאבים הארגוניים</w:t>
      </w:r>
      <w:r w:rsidR="00D14A6E">
        <w:rPr>
          <w:rFonts w:ascii="David" w:eastAsia="Calibri" w:hAnsi="David" w:hint="cs"/>
          <w:b/>
          <w:bCs/>
          <w:sz w:val="24"/>
          <w:rtl/>
        </w:rPr>
        <w:t xml:space="preserve"> </w:t>
      </w:r>
      <w:r w:rsidR="00EE54E2">
        <w:rPr>
          <w:rFonts w:ascii="David" w:eastAsia="Calibri" w:hAnsi="David" w:hint="cs"/>
          <w:b/>
          <w:bCs/>
          <w:sz w:val="24"/>
          <w:rtl/>
        </w:rPr>
        <w:t xml:space="preserve">לצורך מתן ייעוץ משפטי </w:t>
      </w:r>
      <w:r w:rsidR="00D14A6E">
        <w:rPr>
          <w:rFonts w:ascii="David" w:eastAsia="Calibri" w:hAnsi="David" w:hint="cs"/>
          <w:b/>
          <w:bCs/>
          <w:sz w:val="24"/>
          <w:rtl/>
        </w:rPr>
        <w:t>יזום</w:t>
      </w:r>
      <w:r w:rsidR="00EE54E2">
        <w:rPr>
          <w:rFonts w:ascii="David" w:eastAsia="Calibri" w:hAnsi="David" w:hint="cs"/>
          <w:b/>
          <w:bCs/>
          <w:sz w:val="24"/>
          <w:rtl/>
        </w:rPr>
        <w:t xml:space="preserve"> </w:t>
      </w:r>
      <w:r w:rsidR="00D14A6E">
        <w:rPr>
          <w:rFonts w:ascii="David" w:eastAsia="Calibri" w:hAnsi="David" w:hint="cs"/>
          <w:b/>
          <w:bCs/>
          <w:sz w:val="24"/>
          <w:rtl/>
        </w:rPr>
        <w:t xml:space="preserve">המגלם גם מומחיות טכנולוגית </w:t>
      </w:r>
      <w:r w:rsidR="00EE54E2">
        <w:rPr>
          <w:rFonts w:ascii="David" w:eastAsia="Calibri" w:hAnsi="David" w:hint="cs"/>
          <w:b/>
          <w:bCs/>
          <w:sz w:val="24"/>
          <w:rtl/>
        </w:rPr>
        <w:t>לטיפול בשימוש בכלים טכנולוגיים</w:t>
      </w:r>
      <w:r w:rsidR="00C74365">
        <w:rPr>
          <w:rFonts w:ascii="David" w:eastAsia="Calibri" w:hAnsi="David" w:hint="cs"/>
          <w:b/>
          <w:bCs/>
          <w:sz w:val="24"/>
          <w:rtl/>
        </w:rPr>
        <w:t>;</w:t>
      </w:r>
      <w:r w:rsidR="0053794C">
        <w:rPr>
          <w:rFonts w:ascii="David" w:eastAsia="Calibri" w:hAnsi="David" w:hint="cs"/>
          <w:b/>
          <w:bCs/>
          <w:sz w:val="24"/>
          <w:rtl/>
        </w:rPr>
        <w:t xml:space="preserve"> </w:t>
      </w:r>
      <w:r w:rsidR="00EE54E2">
        <w:rPr>
          <w:rFonts w:ascii="David" w:eastAsia="Calibri" w:hAnsi="David" w:hint="cs"/>
          <w:b/>
          <w:bCs/>
          <w:sz w:val="24"/>
          <w:rtl/>
        </w:rPr>
        <w:t>(ב)</w:t>
      </w:r>
      <w:r w:rsidR="009B46D6">
        <w:rPr>
          <w:rFonts w:ascii="David" w:eastAsia="Calibri" w:hAnsi="David" w:hint="cs"/>
          <w:b/>
          <w:bCs/>
          <w:sz w:val="24"/>
          <w:rtl/>
        </w:rPr>
        <w:t xml:space="preserve"> </w:t>
      </w:r>
      <w:r w:rsidRPr="00082C78">
        <w:rPr>
          <w:rFonts w:ascii="David" w:eastAsia="Calibri" w:hAnsi="David" w:hint="cs"/>
          <w:b/>
          <w:bCs/>
          <w:sz w:val="24"/>
          <w:rtl/>
        </w:rPr>
        <w:t>הצבת יעדים ולוחות זמנים קצובים לסיום הטיפול בבקשות למתן אישורים משפטיים</w:t>
      </w:r>
      <w:r w:rsidR="00C74365">
        <w:rPr>
          <w:rFonts w:ascii="David" w:eastAsia="Calibri" w:hAnsi="David" w:hint="cs"/>
          <w:b/>
          <w:bCs/>
          <w:sz w:val="24"/>
          <w:rtl/>
        </w:rPr>
        <w:t>; (ג) סיום הטיפול בבקשות לאישורים משפטיים</w:t>
      </w:r>
      <w:r w:rsidRPr="00082C78">
        <w:rPr>
          <w:rFonts w:ascii="David" w:eastAsia="Calibri" w:hAnsi="David" w:hint="cs"/>
          <w:b/>
          <w:bCs/>
          <w:sz w:val="24"/>
          <w:rtl/>
        </w:rPr>
        <w:t xml:space="preserve"> אשר הונחו על שולחן גורמי הייעוץ המשפטי לממשלה זה מכבר</w:t>
      </w:r>
      <w:r w:rsidR="00C74365">
        <w:rPr>
          <w:rFonts w:ascii="David" w:eastAsia="Calibri" w:hAnsi="David" w:hint="cs"/>
          <w:b/>
          <w:bCs/>
          <w:sz w:val="24"/>
          <w:rtl/>
        </w:rPr>
        <w:t xml:space="preserve"> </w:t>
      </w:r>
      <w:r w:rsidRPr="00082C78">
        <w:rPr>
          <w:rFonts w:ascii="David" w:eastAsia="Calibri" w:hAnsi="David" w:hint="cs"/>
          <w:b/>
          <w:bCs/>
          <w:sz w:val="24"/>
          <w:rtl/>
        </w:rPr>
        <w:t>ושניתן להצביע בעניינן על מקור סמכות בדין הקיים, באופן שיבטיח כי המשטרה תשתמש בכלים טכנולוגיים חדשניים ועדכניים בהתאם לסמכותה. כמו כן יש להקפיד שהגורם המוסמך לכך במשרד המשפטים יאשר למשטרה את השימוש בכלים אלו.</w:t>
      </w:r>
      <w:bookmarkEnd w:id="176"/>
    </w:p>
    <w:p w:rsidR="00082C78" w:rsidRPr="0021269D" w:rsidRDefault="00082C78" w:rsidP="00604C3D">
      <w:pPr>
        <w:spacing w:line="269" w:lineRule="auto"/>
        <w:rPr>
          <w:rFonts w:ascii="David" w:eastAsia="Calibri" w:hAnsi="David"/>
          <w:b/>
          <w:bCs/>
          <w:sz w:val="24"/>
        </w:rPr>
      </w:pPr>
      <w:r w:rsidRPr="0021269D">
        <w:rPr>
          <w:rFonts w:ascii="David" w:eastAsia="Calibri" w:hAnsi="David"/>
          <w:b/>
          <w:bCs/>
          <w:sz w:val="24"/>
          <w:rtl/>
        </w:rPr>
        <w:br w:type="page"/>
      </w:r>
    </w:p>
    <w:p w:rsidR="008868B6" w:rsidRDefault="003C0292" w:rsidP="003C0292">
      <w:pPr>
        <w:pStyle w:val="2"/>
        <w:spacing w:before="0" w:line="269" w:lineRule="auto"/>
        <w:ind w:left="340"/>
        <w:rPr>
          <w:rtl/>
        </w:rPr>
      </w:pPr>
      <w:bookmarkStart w:id="183" w:name="_Hlk196637934"/>
      <w:bookmarkStart w:id="184" w:name="_Toc219286527"/>
      <w:r>
        <w:rPr>
          <w:rFonts w:eastAsia="Times New Roman" w:hint="cs"/>
          <w:rtl/>
        </w:rPr>
        <w:t xml:space="preserve">2. </w:t>
      </w:r>
      <w:r w:rsidR="00FD5185" w:rsidRPr="00E02FA1">
        <w:rPr>
          <w:rFonts w:eastAsia="Times New Roman" w:hint="cs"/>
          <w:rtl/>
        </w:rPr>
        <w:t>ביצוע</w:t>
      </w:r>
      <w:r w:rsidR="00FD5185">
        <w:rPr>
          <w:rFonts w:hint="cs"/>
          <w:rtl/>
        </w:rPr>
        <w:t xml:space="preserve"> </w:t>
      </w:r>
      <w:r w:rsidR="008868B6">
        <w:rPr>
          <w:rFonts w:hint="cs"/>
          <w:rtl/>
        </w:rPr>
        <w:t xml:space="preserve">האזנות </w:t>
      </w:r>
      <w:r w:rsidR="00C37A36" w:rsidRPr="00C37A36">
        <w:rPr>
          <w:rFonts w:hint="cs"/>
          <w:rtl/>
        </w:rPr>
        <w:t>סתר</w:t>
      </w:r>
      <w:bookmarkEnd w:id="183"/>
      <w:bookmarkEnd w:id="184"/>
    </w:p>
    <w:p w:rsidR="00FA7938" w:rsidRPr="00FA7938" w:rsidRDefault="00FA7938" w:rsidP="00604C3D">
      <w:pPr>
        <w:spacing w:line="269" w:lineRule="auto"/>
        <w:rPr>
          <w:rtl/>
        </w:rPr>
      </w:pPr>
    </w:p>
    <w:p w:rsidR="008868B6" w:rsidRDefault="000275A3" w:rsidP="00604C3D">
      <w:pPr>
        <w:pStyle w:val="3"/>
        <w:spacing w:before="0" w:line="269" w:lineRule="auto"/>
        <w:rPr>
          <w:rtl/>
        </w:rPr>
      </w:pPr>
      <w:bookmarkStart w:id="185" w:name="_Toc193282966"/>
      <w:bookmarkStart w:id="186" w:name="_Toc219286528"/>
      <w:bookmarkStart w:id="187" w:name="_Hlk172716753"/>
      <w:r>
        <w:rPr>
          <w:rFonts w:hint="cs"/>
          <w:rtl/>
        </w:rPr>
        <w:t xml:space="preserve">2.1 </w:t>
      </w:r>
      <w:r w:rsidR="008868B6">
        <w:rPr>
          <w:rFonts w:hint="cs"/>
          <w:rtl/>
        </w:rPr>
        <w:t>מבוא</w:t>
      </w:r>
      <w:bookmarkEnd w:id="185"/>
      <w:bookmarkEnd w:id="186"/>
    </w:p>
    <w:p w:rsidR="002B0E02" w:rsidRDefault="002B0E02" w:rsidP="00604C3D">
      <w:pPr>
        <w:spacing w:line="269" w:lineRule="auto"/>
        <w:rPr>
          <w:rtl/>
        </w:rPr>
      </w:pPr>
      <w:bookmarkStart w:id="188" w:name="_Hlk147923143"/>
    </w:p>
    <w:p w:rsidR="00A72322" w:rsidRDefault="008868B6" w:rsidP="00604C3D">
      <w:pPr>
        <w:spacing w:line="269" w:lineRule="auto"/>
        <w:rPr>
          <w:rtl/>
        </w:rPr>
      </w:pPr>
      <w:r w:rsidRPr="00980DB7">
        <w:rPr>
          <w:rFonts w:hint="cs"/>
          <w:rtl/>
        </w:rPr>
        <w:t>לפי החוק, האזנת סתר היא</w:t>
      </w:r>
      <w:r w:rsidRPr="00980DB7">
        <w:rPr>
          <w:rtl/>
        </w:rPr>
        <w:t xml:space="preserve"> </w:t>
      </w:r>
      <w:r w:rsidRPr="00980DB7">
        <w:rPr>
          <w:rFonts w:hint="cs"/>
          <w:rtl/>
        </w:rPr>
        <w:t>האזנה</w:t>
      </w:r>
      <w:r w:rsidRPr="00980DB7">
        <w:rPr>
          <w:rtl/>
        </w:rPr>
        <w:t xml:space="preserve"> </w:t>
      </w:r>
      <w:r w:rsidRPr="00980DB7">
        <w:rPr>
          <w:rFonts w:hint="cs"/>
          <w:rtl/>
        </w:rPr>
        <w:t>ללא</w:t>
      </w:r>
      <w:r w:rsidRPr="00980DB7">
        <w:rPr>
          <w:rtl/>
        </w:rPr>
        <w:t xml:space="preserve"> </w:t>
      </w:r>
      <w:r w:rsidRPr="00980DB7">
        <w:rPr>
          <w:rFonts w:hint="cs"/>
          <w:rtl/>
        </w:rPr>
        <w:t>הסכמה</w:t>
      </w:r>
      <w:r w:rsidRPr="00980DB7">
        <w:rPr>
          <w:rtl/>
        </w:rPr>
        <w:t xml:space="preserve"> </w:t>
      </w:r>
      <w:r w:rsidRPr="00980DB7">
        <w:rPr>
          <w:rFonts w:hint="cs"/>
          <w:rtl/>
        </w:rPr>
        <w:t>של</w:t>
      </w:r>
      <w:r w:rsidRPr="00980DB7">
        <w:rPr>
          <w:rtl/>
        </w:rPr>
        <w:t xml:space="preserve"> </w:t>
      </w:r>
      <w:r w:rsidRPr="00980DB7">
        <w:rPr>
          <w:rFonts w:hint="cs"/>
          <w:rtl/>
        </w:rPr>
        <w:t>איש מבעלי</w:t>
      </w:r>
      <w:r w:rsidRPr="00980DB7">
        <w:rPr>
          <w:rtl/>
        </w:rPr>
        <w:t xml:space="preserve"> </w:t>
      </w:r>
      <w:r w:rsidRPr="00980DB7">
        <w:rPr>
          <w:rFonts w:hint="cs"/>
          <w:rtl/>
        </w:rPr>
        <w:t>השיחה,</w:t>
      </w:r>
      <w:r w:rsidRPr="00980DB7">
        <w:rPr>
          <w:rtl/>
        </w:rPr>
        <w:t xml:space="preserve"> </w:t>
      </w:r>
      <w:r w:rsidRPr="00980DB7">
        <w:rPr>
          <w:rFonts w:hint="cs"/>
          <w:rtl/>
        </w:rPr>
        <w:t>המוגדרים</w:t>
      </w:r>
      <w:r w:rsidRPr="00980DB7">
        <w:rPr>
          <w:rtl/>
        </w:rPr>
        <w:t xml:space="preserve"> </w:t>
      </w:r>
      <w:r w:rsidRPr="00980DB7">
        <w:rPr>
          <w:rFonts w:hint="cs"/>
          <w:rtl/>
        </w:rPr>
        <w:t>בחוק: הדובר, הנמען, המשדר מסר או המקבל מסר</w:t>
      </w:r>
      <w:r w:rsidRPr="00980DB7">
        <w:rPr>
          <w:rStyle w:val="af"/>
          <w:rtl/>
        </w:rPr>
        <w:footnoteReference w:id="57"/>
      </w:r>
      <w:r w:rsidRPr="00980DB7">
        <w:rPr>
          <w:rFonts w:hint="cs"/>
          <w:rtl/>
        </w:rPr>
        <w:t xml:space="preserve">. בבקשה </w:t>
      </w:r>
      <w:r w:rsidRPr="00980DB7">
        <w:rPr>
          <w:rtl/>
        </w:rPr>
        <w:t xml:space="preserve">לבצע האזנת סתר </w:t>
      </w:r>
      <w:r w:rsidRPr="00980DB7">
        <w:rPr>
          <w:rFonts w:hint="cs"/>
          <w:rtl/>
        </w:rPr>
        <w:t>יפורטו זהות האדם אשר הותרה האזנה לשיחותיו וכן זהות האמצעי המיועד לשדר או לקבל את המסר (קו טלפון או מכשיר), מקום</w:t>
      </w:r>
      <w:r w:rsidR="006541E8">
        <w:rPr>
          <w:rFonts w:hint="cs"/>
          <w:rtl/>
        </w:rPr>
        <w:t xml:space="preserve"> </w:t>
      </w:r>
      <w:r w:rsidRPr="00980DB7">
        <w:rPr>
          <w:rFonts w:hint="cs"/>
          <w:rtl/>
        </w:rPr>
        <w:t>השיחות או סוג השיחות</w:t>
      </w:r>
      <w:r w:rsidRPr="00980DB7">
        <w:rPr>
          <w:rStyle w:val="af"/>
          <w:rtl/>
        </w:rPr>
        <w:footnoteReference w:id="58"/>
      </w:r>
      <w:r w:rsidRPr="00980DB7">
        <w:rPr>
          <w:rFonts w:hint="cs"/>
          <w:rtl/>
        </w:rPr>
        <w:t>. ניתן</w:t>
      </w:r>
      <w:r>
        <w:rPr>
          <w:rFonts w:hint="cs"/>
          <w:rtl/>
        </w:rPr>
        <w:t xml:space="preserve"> </w:t>
      </w:r>
      <w:r w:rsidRPr="00980DB7">
        <w:rPr>
          <w:rFonts w:hint="cs"/>
          <w:rtl/>
        </w:rPr>
        <w:t>להאזין לאדם</w:t>
      </w:r>
      <w:r>
        <w:rPr>
          <w:rFonts w:hint="cs"/>
          <w:rtl/>
        </w:rPr>
        <w:t xml:space="preserve"> </w:t>
      </w:r>
      <w:r w:rsidRPr="00980DB7">
        <w:rPr>
          <w:rFonts w:hint="cs"/>
          <w:rtl/>
        </w:rPr>
        <w:t>או לאמצעי להעברת</w:t>
      </w:r>
      <w:r w:rsidRPr="00980DB7">
        <w:rPr>
          <w:rtl/>
        </w:rPr>
        <w:t xml:space="preserve"> </w:t>
      </w:r>
      <w:r w:rsidRPr="00980DB7">
        <w:rPr>
          <w:rFonts w:hint="cs"/>
          <w:rtl/>
        </w:rPr>
        <w:t>המסר</w:t>
      </w:r>
      <w:r w:rsidRPr="00980DB7">
        <w:t xml:space="preserve"> </w:t>
      </w:r>
      <w:r w:rsidRPr="00980DB7">
        <w:rPr>
          <w:rFonts w:hint="cs"/>
          <w:rtl/>
        </w:rPr>
        <w:t>בכפוף לקבלת צו האזנת סתר (להלן - יעד האזנה ואמצעי מואזן, בהתאמה). בכך החוק מקיף את כל</w:t>
      </w:r>
      <w:r w:rsidRPr="00980DB7">
        <w:rPr>
          <w:rFonts w:hint="cs"/>
        </w:rPr>
        <w:t xml:space="preserve"> </w:t>
      </w:r>
      <w:r w:rsidRPr="00980DB7">
        <w:rPr>
          <w:rFonts w:hint="cs"/>
          <w:rtl/>
        </w:rPr>
        <w:t xml:space="preserve">שיטות השיחה </w:t>
      </w:r>
      <w:r w:rsidR="00E15F7E">
        <w:rPr>
          <w:rFonts w:hint="cs"/>
          <w:rtl/>
        </w:rPr>
        <w:t>הקיימות כיום</w:t>
      </w:r>
      <w:r w:rsidRPr="00980DB7">
        <w:rPr>
          <w:rFonts w:hint="cs"/>
          <w:rtl/>
        </w:rPr>
        <w:t>: דיבור פנים אל פנים, דיבור באמצעות מכשיר או תשדורת של מסרים בין מחשבים.</w:t>
      </w:r>
    </w:p>
    <w:p w:rsidR="00FA7938" w:rsidRDefault="00FA7938" w:rsidP="00604C3D">
      <w:pPr>
        <w:spacing w:line="269" w:lineRule="auto"/>
        <w:rPr>
          <w:rtl/>
        </w:rPr>
      </w:pPr>
    </w:p>
    <w:p w:rsidR="008868B6" w:rsidRDefault="00A72322" w:rsidP="008C598D">
      <w:pPr>
        <w:pStyle w:val="4"/>
        <w:numPr>
          <w:ilvl w:val="0"/>
          <w:numId w:val="71"/>
        </w:numPr>
        <w:spacing w:before="0" w:line="269" w:lineRule="auto"/>
        <w:ind w:left="339"/>
        <w:rPr>
          <w:rtl/>
        </w:rPr>
      </w:pPr>
      <w:bookmarkStart w:id="189" w:name="_Toc211521923"/>
      <w:bookmarkStart w:id="190" w:name="_Toc219110313"/>
      <w:bookmarkStart w:id="191" w:name="_Toc219113754"/>
      <w:bookmarkStart w:id="192" w:name="_Toc219286529"/>
      <w:r w:rsidRPr="00A72322">
        <w:rPr>
          <w:rFonts w:hint="cs"/>
          <w:rtl/>
        </w:rPr>
        <w:t>תהליך</w:t>
      </w:r>
      <w:r w:rsidRPr="00A72322">
        <w:rPr>
          <w:rtl/>
        </w:rPr>
        <w:t xml:space="preserve"> </w:t>
      </w:r>
      <w:r w:rsidRPr="00A72322">
        <w:rPr>
          <w:rFonts w:hint="cs"/>
          <w:rtl/>
        </w:rPr>
        <w:t>האזנת</w:t>
      </w:r>
      <w:r w:rsidRPr="00A72322">
        <w:rPr>
          <w:rtl/>
        </w:rPr>
        <w:t xml:space="preserve"> </w:t>
      </w:r>
      <w:r w:rsidRPr="00A72322">
        <w:rPr>
          <w:rFonts w:hint="cs"/>
          <w:rtl/>
        </w:rPr>
        <w:t>הסתר</w:t>
      </w:r>
      <w:bookmarkEnd w:id="189"/>
      <w:bookmarkEnd w:id="190"/>
      <w:bookmarkEnd w:id="191"/>
      <w:bookmarkEnd w:id="192"/>
      <w:r w:rsidR="008868B6">
        <w:rPr>
          <w:rFonts w:hint="cs"/>
          <w:rtl/>
        </w:rPr>
        <w:t xml:space="preserve"> </w:t>
      </w:r>
    </w:p>
    <w:bookmarkEnd w:id="188"/>
    <w:p w:rsidR="002B0E02" w:rsidRDefault="002B0E02" w:rsidP="00604C3D">
      <w:pPr>
        <w:spacing w:line="269" w:lineRule="auto"/>
        <w:rPr>
          <w:rtl/>
        </w:rPr>
      </w:pPr>
    </w:p>
    <w:p w:rsidR="008868B6" w:rsidRDefault="007960FF" w:rsidP="008E5F04">
      <w:pPr>
        <w:spacing w:line="269" w:lineRule="auto"/>
        <w:ind w:left="340"/>
        <w:rPr>
          <w:rtl/>
        </w:rPr>
      </w:pPr>
      <w:r>
        <w:rPr>
          <w:rFonts w:hint="cs"/>
          <w:rtl/>
        </w:rPr>
        <w:t>ה</w:t>
      </w:r>
      <w:r w:rsidR="008868B6" w:rsidRPr="00866C14">
        <w:rPr>
          <w:rFonts w:hint="cs"/>
          <w:rtl/>
        </w:rPr>
        <w:t>תהליך</w:t>
      </w:r>
      <w:r w:rsidR="008868B6">
        <w:rPr>
          <w:rFonts w:hint="cs"/>
          <w:rtl/>
        </w:rPr>
        <w:t xml:space="preserve"> </w:t>
      </w:r>
      <w:r>
        <w:rPr>
          <w:rFonts w:hint="cs"/>
          <w:rtl/>
        </w:rPr>
        <w:t xml:space="preserve">כולל </w:t>
      </w:r>
      <w:r w:rsidR="008868B6">
        <w:rPr>
          <w:rFonts w:hint="cs"/>
          <w:rtl/>
        </w:rPr>
        <w:t>הוצאת צווים והיתרים להאזנת סתר, איסוף תוצרי ההאזנה, מיון התוצרים, הפקתם והגשתם במסגרת ההליך הפלילי</w:t>
      </w:r>
      <w:r>
        <w:rPr>
          <w:rFonts w:hint="cs"/>
          <w:rtl/>
        </w:rPr>
        <w:t>,</w:t>
      </w:r>
      <w:r w:rsidR="008868B6">
        <w:rPr>
          <w:rFonts w:hint="cs"/>
          <w:rtl/>
        </w:rPr>
        <w:t xml:space="preserve"> </w:t>
      </w:r>
      <w:r>
        <w:rPr>
          <w:rFonts w:hint="cs"/>
          <w:rtl/>
        </w:rPr>
        <w:t>ו</w:t>
      </w:r>
      <w:r w:rsidR="008868B6">
        <w:rPr>
          <w:rFonts w:hint="cs"/>
          <w:rtl/>
        </w:rPr>
        <w:t xml:space="preserve">הוא מורכב ומעורבים בו גורמים רבים במשטרה ובפרקליטות. תהליך האזנת הסתר נחלק לשלושה שלבים עיקריים: </w:t>
      </w:r>
    </w:p>
    <w:p w:rsidR="008868B6" w:rsidRDefault="008868B6" w:rsidP="008C598D">
      <w:pPr>
        <w:pStyle w:val="af2"/>
        <w:numPr>
          <w:ilvl w:val="0"/>
          <w:numId w:val="9"/>
        </w:numPr>
        <w:spacing w:line="269" w:lineRule="auto"/>
      </w:pPr>
      <w:r>
        <w:rPr>
          <w:rFonts w:hint="cs"/>
          <w:rtl/>
        </w:rPr>
        <w:t xml:space="preserve">הכנת בקשות להאזנת סתר, הגשתן ואישורן. </w:t>
      </w:r>
    </w:p>
    <w:p w:rsidR="008868B6" w:rsidRDefault="00F540B9" w:rsidP="008C598D">
      <w:pPr>
        <w:pStyle w:val="af2"/>
        <w:numPr>
          <w:ilvl w:val="0"/>
          <w:numId w:val="9"/>
        </w:numPr>
        <w:spacing w:line="269" w:lineRule="auto"/>
      </w:pPr>
      <w:r w:rsidRPr="00F540B9">
        <w:rPr>
          <w:rtl/>
        </w:rPr>
        <w:t>התקנת כלים לצורכי האזנת סתר ואיסוף תוצרי האזנה</w:t>
      </w:r>
      <w:r w:rsidR="008868B6">
        <w:rPr>
          <w:rFonts w:hint="cs"/>
          <w:rtl/>
        </w:rPr>
        <w:t xml:space="preserve">. </w:t>
      </w:r>
    </w:p>
    <w:p w:rsidR="008868B6" w:rsidRDefault="008868B6" w:rsidP="008C598D">
      <w:pPr>
        <w:pStyle w:val="af2"/>
        <w:numPr>
          <w:ilvl w:val="0"/>
          <w:numId w:val="9"/>
        </w:numPr>
        <w:spacing w:line="269" w:lineRule="auto"/>
        <w:rPr>
          <w:rtl/>
        </w:rPr>
      </w:pPr>
      <w:r>
        <w:rPr>
          <w:rFonts w:hint="cs"/>
          <w:rtl/>
        </w:rPr>
        <w:t>הפק</w:t>
      </w:r>
      <w:r w:rsidR="00F540B9">
        <w:rPr>
          <w:rFonts w:hint="cs"/>
          <w:rtl/>
        </w:rPr>
        <w:t>ה ושימוש ב</w:t>
      </w:r>
      <w:r>
        <w:rPr>
          <w:rFonts w:hint="cs"/>
          <w:rtl/>
        </w:rPr>
        <w:t>תוצרי ההאזנה.</w:t>
      </w:r>
    </w:p>
    <w:p w:rsidR="002B0E02" w:rsidRDefault="002B0E02" w:rsidP="008E5F04">
      <w:pPr>
        <w:spacing w:line="269" w:lineRule="auto"/>
        <w:ind w:left="340"/>
        <w:rPr>
          <w:rtl/>
        </w:rPr>
      </w:pPr>
    </w:p>
    <w:p w:rsidR="00F2019A" w:rsidRDefault="008868B6" w:rsidP="008E5F04">
      <w:pPr>
        <w:spacing w:line="269" w:lineRule="auto"/>
        <w:ind w:left="340"/>
        <w:rPr>
          <w:rtl/>
        </w:rPr>
      </w:pPr>
      <w:r>
        <w:rPr>
          <w:rFonts w:hint="cs"/>
          <w:rtl/>
        </w:rPr>
        <w:t xml:space="preserve">לבקשת משרד מבקר המדינה, </w:t>
      </w:r>
      <w:r w:rsidR="007960FF">
        <w:rPr>
          <w:rFonts w:hint="cs"/>
          <w:rtl/>
        </w:rPr>
        <w:t xml:space="preserve">המשטרה </w:t>
      </w:r>
      <w:r>
        <w:rPr>
          <w:rFonts w:hint="cs"/>
          <w:rtl/>
        </w:rPr>
        <w:t>שלפה מאגרי נתונים על האזנות סתר ממערכות ממוחשבות שונות, לרבות המערכת לניהול צווים, מערכות לאחסון מסמכים מסווגים, יומני מבצעים, מערכות</w:t>
      </w:r>
      <w:r w:rsidR="001561C2">
        <w:rPr>
          <w:rFonts w:hint="cs"/>
          <w:rtl/>
        </w:rPr>
        <w:t xml:space="preserve"> </w:t>
      </w:r>
      <w:r w:rsidR="001C07ED">
        <w:rPr>
          <w:rFonts w:hint="cs"/>
          <w:rtl/>
        </w:rPr>
        <w:t>לניהול</w:t>
      </w:r>
      <w:r>
        <w:rPr>
          <w:rFonts w:hint="cs"/>
          <w:rtl/>
        </w:rPr>
        <w:t xml:space="preserve"> מודיעין וחקירות והכלים המבצעיים. מנתוני המשטרה עולה כי בשנים 2019 - 2021 </w:t>
      </w:r>
      <w:r w:rsidR="00452186" w:rsidRPr="00452186">
        <w:rPr>
          <w:rFonts w:hint="cs"/>
          <w:rtl/>
        </w:rPr>
        <w:t xml:space="preserve">הכינה </w:t>
      </w:r>
      <w:r>
        <w:rPr>
          <w:rFonts w:hint="cs"/>
          <w:rtl/>
        </w:rPr>
        <w:t xml:space="preserve">המשטרה 14,284 בקשות לקבלת צווי האזנת סתר מסוגים שונים. </w:t>
      </w:r>
    </w:p>
    <w:p w:rsidR="00253A5D" w:rsidRPr="00253A5D" w:rsidRDefault="00253A5D" w:rsidP="008E5F04">
      <w:pPr>
        <w:pStyle w:val="a5"/>
        <w:spacing w:line="269" w:lineRule="auto"/>
        <w:ind w:left="0"/>
        <w:rPr>
          <w:rtl/>
        </w:rPr>
      </w:pPr>
    </w:p>
    <w:p w:rsidR="00667DFA" w:rsidRDefault="00452186" w:rsidP="008E5F04">
      <w:pPr>
        <w:spacing w:line="269" w:lineRule="auto"/>
        <w:ind w:left="340"/>
        <w:rPr>
          <w:rtl/>
        </w:rPr>
      </w:pPr>
      <w:bookmarkStart w:id="193" w:name="_Hlk200438094"/>
      <w:bookmarkStart w:id="194" w:name="_Hlk187299656"/>
      <w:r w:rsidRPr="00452186">
        <w:rPr>
          <w:rFonts w:hint="cs"/>
          <w:rtl/>
        </w:rPr>
        <w:t xml:space="preserve">משרד מבקר המדינה ניתח את מאגרי הנתונים והמסמכים, עיין בכלים הטכנולוגיים, ובחן לעומק מקרים שהעלו חשש לביצוע פעולות בניגוד לנהלים או שחורגות מהוראות הדין: בין היתר, בתחומי הגשת הבקשות להאזנת סתר, </w:t>
      </w:r>
      <w:r w:rsidR="00062A25">
        <w:rPr>
          <w:rFonts w:hint="cs"/>
          <w:rtl/>
        </w:rPr>
        <w:t>התקנה</w:t>
      </w:r>
      <w:r w:rsidRPr="00452186">
        <w:rPr>
          <w:rFonts w:hint="cs"/>
          <w:rtl/>
        </w:rPr>
        <w:t xml:space="preserve"> של </w:t>
      </w:r>
      <w:r w:rsidR="00B85472">
        <w:rPr>
          <w:rFonts w:hint="cs"/>
          <w:rtl/>
        </w:rPr>
        <w:t>כלים טכנולוגיים</w:t>
      </w:r>
      <w:r w:rsidRPr="00452186">
        <w:rPr>
          <w:rFonts w:hint="cs"/>
          <w:rtl/>
        </w:rPr>
        <w:t xml:space="preserve">, הפקה של תוצרים </w:t>
      </w:r>
      <w:r w:rsidR="00A77084">
        <w:rPr>
          <w:rFonts w:hint="cs"/>
          <w:rtl/>
        </w:rPr>
        <w:t>אסורים</w:t>
      </w:r>
      <w:r w:rsidRPr="00452186">
        <w:rPr>
          <w:rFonts w:hint="cs"/>
          <w:rtl/>
        </w:rPr>
        <w:t xml:space="preserve"> ושימוש בהם. מרבית בחינות עומק אלו לא התבצעו באופן אקראי, אלא התבססו על מידע ראשוני שעלה ממסמכי המשטרה ומאגריה. </w:t>
      </w:r>
      <w:bookmarkStart w:id="195" w:name="_Hlk199417679"/>
      <w:r w:rsidRPr="00452186">
        <w:rPr>
          <w:rFonts w:hint="cs"/>
          <w:rtl/>
        </w:rPr>
        <w:t>משכך, בחינות העומק של המקרים התבצעו ללא תלות בסטטוס הפרשייה המודיעינית או תיק החקירה, אך בדיקת המקרים נעשתה תוך יידוע המשטרה ולאחר קבלת עמדתה</w:t>
      </w:r>
      <w:bookmarkEnd w:id="195"/>
      <w:r w:rsidRPr="00452186">
        <w:rPr>
          <w:rFonts w:hint="cs"/>
          <w:rtl/>
        </w:rPr>
        <w:t xml:space="preserve">. </w:t>
      </w:r>
      <w:bookmarkEnd w:id="193"/>
    </w:p>
    <w:p w:rsidR="00097A4C" w:rsidRPr="00097A4C" w:rsidRDefault="00097A4C" w:rsidP="008E5F04">
      <w:pPr>
        <w:pStyle w:val="a5"/>
        <w:spacing w:line="269" w:lineRule="auto"/>
        <w:ind w:left="0"/>
        <w:rPr>
          <w:rtl/>
        </w:rPr>
      </w:pPr>
    </w:p>
    <w:p w:rsidR="005A19A3" w:rsidRDefault="00667DFA" w:rsidP="008E5F04">
      <w:pPr>
        <w:spacing w:line="269" w:lineRule="auto"/>
        <w:ind w:left="340"/>
        <w:rPr>
          <w:rtl/>
        </w:rPr>
      </w:pPr>
      <w:r>
        <w:rPr>
          <w:rFonts w:hint="cs"/>
          <w:rtl/>
        </w:rPr>
        <w:t xml:space="preserve">עוד יובהר כי בחינת העומק של המקרים התבצעה תוך בדיקת שאלת </w:t>
      </w:r>
      <w:r w:rsidR="00034E8A">
        <w:rPr>
          <w:rFonts w:hint="cs"/>
          <w:rtl/>
        </w:rPr>
        <w:t>עצם חוקיות הפעולה, ומשכך, אין היא הוגבלה למקרים בהם נעשה שימוש ראייתי</w:t>
      </w:r>
      <w:r w:rsidR="002D7DB8">
        <w:rPr>
          <w:rStyle w:val="af"/>
          <w:rtl/>
        </w:rPr>
        <w:footnoteReference w:id="59"/>
      </w:r>
      <w:r w:rsidR="00034E8A">
        <w:rPr>
          <w:rFonts w:hint="cs"/>
          <w:rtl/>
        </w:rPr>
        <w:t xml:space="preserve"> בתוצרים שהתקבלו תוך ביצוע פעולות </w:t>
      </w:r>
      <w:r w:rsidR="00373673">
        <w:rPr>
          <w:rFonts w:hint="cs"/>
          <w:rtl/>
        </w:rPr>
        <w:t>אסורות</w:t>
      </w:r>
      <w:r w:rsidR="00034E8A">
        <w:rPr>
          <w:rFonts w:hint="cs"/>
          <w:rtl/>
        </w:rPr>
        <w:t xml:space="preserve">. אין מן הנמנע כי במקרים בהם אותרו פעולות </w:t>
      </w:r>
      <w:r w:rsidR="00357510">
        <w:rPr>
          <w:rFonts w:hint="cs"/>
          <w:rtl/>
        </w:rPr>
        <w:t>אסורות</w:t>
      </w:r>
      <w:r w:rsidR="00034E8A">
        <w:rPr>
          <w:rFonts w:hint="cs"/>
          <w:rtl/>
        </w:rPr>
        <w:t>, לא נעשה שימוש ראייתי בתוצרים והתיקים לא הבשילו לכדי הגשת כתב אישום במהלך הביקורת.</w:t>
      </w:r>
      <w:r w:rsidR="00382AE8">
        <w:rPr>
          <w:rFonts w:hint="cs"/>
          <w:rtl/>
        </w:rPr>
        <w:t xml:space="preserve"> </w:t>
      </w:r>
      <w:bookmarkEnd w:id="194"/>
    </w:p>
    <w:p w:rsidR="002D5B96" w:rsidRDefault="005A19A3" w:rsidP="008E5F04">
      <w:pPr>
        <w:pStyle w:val="a5"/>
        <w:spacing w:line="269" w:lineRule="auto"/>
        <w:ind w:left="0"/>
        <w:rPr>
          <w:rtl/>
        </w:rPr>
      </w:pPr>
      <w:r>
        <w:rPr>
          <w:rFonts w:hint="cs"/>
          <w:rtl/>
        </w:rPr>
        <w:t xml:space="preserve"> </w:t>
      </w:r>
    </w:p>
    <w:p w:rsidR="00BA0143" w:rsidRDefault="001C682B" w:rsidP="008E5F04">
      <w:pPr>
        <w:spacing w:line="269" w:lineRule="auto"/>
        <w:ind w:left="340"/>
        <w:rPr>
          <w:rtl/>
        </w:rPr>
      </w:pPr>
      <w:r w:rsidRPr="001C682B">
        <w:rPr>
          <w:rFonts w:hint="cs"/>
          <w:b/>
          <w:bCs/>
          <w:rtl/>
        </w:rPr>
        <w:t xml:space="preserve">לפי דיווחי המשטרה לכנסת עולה כי בחלוף כ-20 שנה </w:t>
      </w:r>
      <w:r w:rsidR="006C39BE">
        <w:rPr>
          <w:rFonts w:hint="cs"/>
          <w:b/>
          <w:bCs/>
          <w:rtl/>
        </w:rPr>
        <w:t xml:space="preserve">גדל </w:t>
      </w:r>
      <w:r w:rsidRPr="001C682B">
        <w:rPr>
          <w:rFonts w:hint="cs"/>
          <w:b/>
          <w:bCs/>
          <w:rtl/>
        </w:rPr>
        <w:t>מספר הבקשות להאזנות סתר שהוגשו לבתי המשפט פי שלושה (כ</w:t>
      </w:r>
      <w:r w:rsidR="006C39BE">
        <w:rPr>
          <w:rFonts w:hint="cs"/>
          <w:b/>
          <w:bCs/>
          <w:rtl/>
        </w:rPr>
        <w:t>-1,000</w:t>
      </w:r>
      <w:r w:rsidRPr="001C682B">
        <w:rPr>
          <w:rFonts w:hint="cs"/>
          <w:b/>
          <w:bCs/>
          <w:rtl/>
        </w:rPr>
        <w:t xml:space="preserve"> בקשות בממוצע בשנים 2003 - 2005, ועד למעלה מ</w:t>
      </w:r>
      <w:r w:rsidR="006C39BE">
        <w:rPr>
          <w:rFonts w:hint="cs"/>
          <w:b/>
          <w:bCs/>
          <w:rtl/>
        </w:rPr>
        <w:t>-3,000</w:t>
      </w:r>
      <w:r w:rsidRPr="001C682B">
        <w:rPr>
          <w:rFonts w:hint="cs"/>
          <w:b/>
          <w:bCs/>
          <w:rtl/>
        </w:rPr>
        <w:t xml:space="preserve"> בקשות בממוצע בשנים 2019 </w:t>
      </w:r>
      <w:r w:rsidR="006C39BE">
        <w:rPr>
          <w:rFonts w:hint="cs"/>
          <w:b/>
          <w:bCs/>
          <w:rtl/>
        </w:rPr>
        <w:t>-</w:t>
      </w:r>
      <w:r w:rsidRPr="001C682B">
        <w:rPr>
          <w:rFonts w:hint="cs"/>
          <w:b/>
          <w:bCs/>
          <w:rtl/>
        </w:rPr>
        <w:t xml:space="preserve"> 2021)</w:t>
      </w:r>
      <w:r w:rsidRPr="001C682B">
        <w:rPr>
          <w:b/>
          <w:bCs/>
          <w:vertAlign w:val="superscript"/>
          <w:rtl/>
        </w:rPr>
        <w:footnoteReference w:id="60"/>
      </w:r>
      <w:r w:rsidRPr="001C682B">
        <w:rPr>
          <w:rFonts w:hint="cs"/>
          <w:b/>
          <w:bCs/>
          <w:rtl/>
        </w:rPr>
        <w:t>.</w:t>
      </w:r>
    </w:p>
    <w:p w:rsidR="002D5B96" w:rsidRDefault="00F20F37" w:rsidP="008E5F04">
      <w:pPr>
        <w:spacing w:line="269" w:lineRule="auto"/>
        <w:ind w:left="340"/>
        <w:rPr>
          <w:rtl/>
        </w:rPr>
      </w:pPr>
      <w:r w:rsidRPr="00F20F37">
        <w:rPr>
          <w:rFonts w:hint="cs"/>
          <w:rtl/>
        </w:rPr>
        <w:t>המשטרה ציינה בתשובתה מיוני 2024 כי</w:t>
      </w:r>
      <w:r w:rsidRPr="00F20F37">
        <w:rPr>
          <w:rtl/>
        </w:rPr>
        <w:t xml:space="preserve"> </w:t>
      </w:r>
      <w:r w:rsidRPr="00F20F37">
        <w:rPr>
          <w:rFonts w:hint="cs"/>
          <w:rtl/>
        </w:rPr>
        <w:t xml:space="preserve">לעמדתה </w:t>
      </w:r>
      <w:r w:rsidR="002878CF">
        <w:rPr>
          <w:rFonts w:hint="cs"/>
          <w:rtl/>
        </w:rPr>
        <w:t xml:space="preserve">יש להתייחס </w:t>
      </w:r>
      <w:r w:rsidR="002878CF" w:rsidRPr="002878CF">
        <w:rPr>
          <w:rtl/>
        </w:rPr>
        <w:t>למספר היעדים שהאזינו להם בפועל מתוך כלל האנשים שנפתח נגדם תיק חקירה בעבירת פשע</w:t>
      </w:r>
      <w:r w:rsidR="002878CF">
        <w:rPr>
          <w:rFonts w:hint="cs"/>
          <w:rtl/>
        </w:rPr>
        <w:t xml:space="preserve"> באותן שנים</w:t>
      </w:r>
      <w:r w:rsidR="000D49D0">
        <w:rPr>
          <w:rFonts w:hint="cs"/>
          <w:rtl/>
        </w:rPr>
        <w:t>.</w:t>
      </w:r>
      <w:r w:rsidR="002878CF">
        <w:rPr>
          <w:rFonts w:hint="cs"/>
          <w:rtl/>
        </w:rPr>
        <w:t xml:space="preserve"> </w:t>
      </w:r>
      <w:r w:rsidR="000D49D0">
        <w:rPr>
          <w:rFonts w:hint="cs"/>
          <w:rtl/>
        </w:rPr>
        <w:t>כמו כן,</w:t>
      </w:r>
      <w:r w:rsidR="002878CF" w:rsidRPr="002878CF">
        <w:rPr>
          <w:rtl/>
        </w:rPr>
        <w:t xml:space="preserve"> </w:t>
      </w:r>
      <w:r w:rsidR="000D49D0">
        <w:rPr>
          <w:rFonts w:hint="cs"/>
          <w:rtl/>
        </w:rPr>
        <w:t xml:space="preserve">יש להתייחס לשיעור התיקים בהם הוכנו בקשות להאזנות סתר, ולפי בדיקתה </w:t>
      </w:r>
      <w:r w:rsidR="002D5B96" w:rsidRPr="005B5F41">
        <w:rPr>
          <w:rtl/>
        </w:rPr>
        <w:t xml:space="preserve">אחוז </w:t>
      </w:r>
      <w:r w:rsidR="00F225BA">
        <w:rPr>
          <w:rFonts w:hint="cs"/>
          <w:rtl/>
        </w:rPr>
        <w:t>הבקשות</w:t>
      </w:r>
      <w:r w:rsidR="00F225BA" w:rsidRPr="005B5F41">
        <w:rPr>
          <w:rtl/>
        </w:rPr>
        <w:t xml:space="preserve"> </w:t>
      </w:r>
      <w:r w:rsidR="00F225BA">
        <w:rPr>
          <w:rFonts w:hint="cs"/>
          <w:rtl/>
        </w:rPr>
        <w:t>ל</w:t>
      </w:r>
      <w:r w:rsidR="002D5B96" w:rsidRPr="005B5F41">
        <w:rPr>
          <w:rtl/>
        </w:rPr>
        <w:t>האזנת סתר שהוכנו מתוך כלל תיקי הפשע שנפתחו באותן השנים עומד על כ-4.5%.</w:t>
      </w:r>
      <w:r w:rsidR="004556EF">
        <w:rPr>
          <w:rFonts w:hint="cs"/>
          <w:rtl/>
        </w:rPr>
        <w:t xml:space="preserve"> עוד היא מסרה בתשובתה </w:t>
      </w:r>
      <w:r w:rsidR="007A5926" w:rsidRPr="007A5926">
        <w:rPr>
          <w:rFonts w:hint="cs"/>
          <w:rtl/>
        </w:rPr>
        <w:t>מינואר 2025</w:t>
      </w:r>
      <w:r w:rsidR="004556EF">
        <w:rPr>
          <w:rFonts w:hint="cs"/>
          <w:rtl/>
        </w:rPr>
        <w:t xml:space="preserve"> </w:t>
      </w:r>
      <w:r w:rsidR="00981248">
        <w:rPr>
          <w:rFonts w:hint="cs"/>
          <w:rtl/>
        </w:rPr>
        <w:t xml:space="preserve">כי יש לכלול בבחינת הגידול במספר הבקשות </w:t>
      </w:r>
      <w:r w:rsidR="00BB2DFE">
        <w:rPr>
          <w:rFonts w:hint="cs"/>
          <w:rtl/>
        </w:rPr>
        <w:t xml:space="preserve">את </w:t>
      </w:r>
      <w:r w:rsidR="00981248">
        <w:rPr>
          <w:rFonts w:hint="cs"/>
          <w:rtl/>
        </w:rPr>
        <w:t>נתוני הגידול הטבעי של האוכלוסייה, התמורות הטכנולוגיות והריבוי באמצעי תקשורת.</w:t>
      </w:r>
      <w:r w:rsidR="00382AE8">
        <w:rPr>
          <w:rFonts w:hint="cs"/>
          <w:rtl/>
        </w:rPr>
        <w:t xml:space="preserve"> </w:t>
      </w:r>
    </w:p>
    <w:p w:rsidR="002D5B96" w:rsidRDefault="002D5B96" w:rsidP="008E5F04">
      <w:pPr>
        <w:pStyle w:val="a5"/>
        <w:spacing w:line="269" w:lineRule="auto"/>
        <w:ind w:left="0"/>
        <w:rPr>
          <w:rtl/>
        </w:rPr>
      </w:pPr>
    </w:p>
    <w:p w:rsidR="00A72322" w:rsidRDefault="002D5B96" w:rsidP="008E5F04">
      <w:pPr>
        <w:spacing w:line="269" w:lineRule="auto"/>
        <w:ind w:left="340"/>
        <w:rPr>
          <w:rtl/>
        </w:rPr>
      </w:pPr>
      <w:r>
        <w:rPr>
          <w:rFonts w:hint="cs"/>
          <w:rtl/>
        </w:rPr>
        <w:t xml:space="preserve">משרד מבקר המדינה מבהיר כי בהתאם </w:t>
      </w:r>
      <w:r w:rsidR="00646792">
        <w:rPr>
          <w:rFonts w:hint="cs"/>
          <w:rtl/>
        </w:rPr>
        <w:t xml:space="preserve">לגדרי הסמכות שהוגבלו בדין ואף לפי </w:t>
      </w:r>
      <w:r>
        <w:rPr>
          <w:rFonts w:hint="cs"/>
          <w:rtl/>
        </w:rPr>
        <w:t>תפיסת המשטרה כפי שהיא מסרה בתגובתה, לא כל עבירת פשע מצדיקה שימוש בהאזנת סתר</w:t>
      </w:r>
      <w:r w:rsidR="00E81993">
        <w:rPr>
          <w:rtl/>
        </w:rPr>
        <w:t xml:space="preserve">. </w:t>
      </w:r>
      <w:r>
        <w:rPr>
          <w:rFonts w:hint="cs"/>
          <w:rtl/>
        </w:rPr>
        <w:t xml:space="preserve">ולכן, פרק זה בדוח הביקורת בוחן בעיקר את השינויים שנעשו עם השנים בתהליך האזנות הסתר עצמו, ובין היתר גם לנוכח התפתחויות בפשיעה הרלוונטיות לתחום זה, ולא </w:t>
      </w:r>
      <w:r w:rsidR="007C38F5">
        <w:rPr>
          <w:rFonts w:hint="cs"/>
          <w:rtl/>
        </w:rPr>
        <w:t xml:space="preserve">בהשוואה </w:t>
      </w:r>
      <w:r>
        <w:rPr>
          <w:rFonts w:hint="cs"/>
          <w:rtl/>
        </w:rPr>
        <w:t>ל</w:t>
      </w:r>
      <w:r w:rsidR="00282E8C">
        <w:rPr>
          <w:rFonts w:hint="cs"/>
          <w:rtl/>
        </w:rPr>
        <w:t>נתוני ה</w:t>
      </w:r>
      <w:r>
        <w:rPr>
          <w:rFonts w:hint="cs"/>
          <w:rtl/>
        </w:rPr>
        <w:t>פשיעה בכללות</w:t>
      </w:r>
      <w:r w:rsidR="00282E8C">
        <w:rPr>
          <w:rFonts w:hint="cs"/>
          <w:rtl/>
        </w:rPr>
        <w:t>ם</w:t>
      </w:r>
      <w:r>
        <w:rPr>
          <w:rFonts w:hint="cs"/>
          <w:rtl/>
        </w:rPr>
        <w:t>.</w:t>
      </w:r>
      <w:r w:rsidR="00981248">
        <w:rPr>
          <w:rFonts w:hint="cs"/>
          <w:rtl/>
        </w:rPr>
        <w:t xml:space="preserve"> </w:t>
      </w:r>
      <w:r w:rsidR="00543E97">
        <w:rPr>
          <w:rFonts w:hint="cs"/>
          <w:rtl/>
        </w:rPr>
        <w:t xml:space="preserve">שלא </w:t>
      </w:r>
      <w:r w:rsidR="00F20F37" w:rsidRPr="00F20F37">
        <w:rPr>
          <w:rFonts w:hint="cs"/>
          <w:rtl/>
        </w:rPr>
        <w:t>בשולי הדברים, יצוין כי שיעור הגידול של אוכלוסיית ישראל כולה בין התקופות עומד על כ-42%</w:t>
      </w:r>
      <w:r w:rsidR="00F540B9">
        <w:rPr>
          <w:rFonts w:hint="cs"/>
          <w:rtl/>
        </w:rPr>
        <w:t xml:space="preserve"> </w:t>
      </w:r>
      <w:r w:rsidR="00F20F37" w:rsidRPr="00F20F37">
        <w:rPr>
          <w:rFonts w:hint="cs"/>
          <w:rtl/>
        </w:rPr>
        <w:t>ואילו שיעור גידול מספר המנויים לטלפונים סלולאריים עומד על כ-105%</w:t>
      </w:r>
      <w:r w:rsidR="00F20F37" w:rsidRPr="00F20F37">
        <w:rPr>
          <w:vertAlign w:val="superscript"/>
          <w:rtl/>
        </w:rPr>
        <w:footnoteReference w:id="61"/>
      </w:r>
      <w:r w:rsidR="00F20F37" w:rsidRPr="00F20F37">
        <w:rPr>
          <w:rFonts w:hint="cs"/>
          <w:rtl/>
        </w:rPr>
        <w:t xml:space="preserve"> ונתונים אלו אינם עולים בקנה אחד עם עלייה של כ-300% במספר הבקשות.</w:t>
      </w:r>
      <w:r w:rsidR="00382AE8">
        <w:rPr>
          <w:rFonts w:hint="cs"/>
          <w:rtl/>
        </w:rPr>
        <w:t xml:space="preserve"> </w:t>
      </w:r>
    </w:p>
    <w:p w:rsidR="008F543F" w:rsidRDefault="008F543F" w:rsidP="00604C3D">
      <w:pPr>
        <w:spacing w:line="269" w:lineRule="auto"/>
        <w:rPr>
          <w:rtl/>
        </w:rPr>
      </w:pPr>
    </w:p>
    <w:p w:rsidR="002D5B96" w:rsidRDefault="00A72322" w:rsidP="008C598D">
      <w:pPr>
        <w:pStyle w:val="4"/>
        <w:numPr>
          <w:ilvl w:val="0"/>
          <w:numId w:val="71"/>
        </w:numPr>
        <w:spacing w:before="0" w:line="269" w:lineRule="auto"/>
        <w:ind w:left="339"/>
        <w:rPr>
          <w:rtl/>
        </w:rPr>
      </w:pPr>
      <w:bookmarkStart w:id="196" w:name="_Toc211521924"/>
      <w:bookmarkStart w:id="197" w:name="_Toc219110314"/>
      <w:bookmarkStart w:id="198" w:name="_Toc219113755"/>
      <w:bookmarkStart w:id="199" w:name="_Toc219286530"/>
      <w:r w:rsidRPr="00A72322">
        <w:rPr>
          <w:rtl/>
        </w:rPr>
        <w:t>המערכות הממוחשבות לניהול תהליך האזנות הסתר וחשיבותן</w:t>
      </w:r>
      <w:bookmarkEnd w:id="196"/>
      <w:bookmarkEnd w:id="197"/>
      <w:bookmarkEnd w:id="198"/>
      <w:bookmarkEnd w:id="199"/>
      <w:r w:rsidR="0049609C">
        <w:rPr>
          <w:rFonts w:hint="cs"/>
          <w:rtl/>
        </w:rPr>
        <w:t xml:space="preserve"> </w:t>
      </w:r>
    </w:p>
    <w:p w:rsidR="001C560A" w:rsidRDefault="001C560A" w:rsidP="00604C3D">
      <w:pPr>
        <w:pStyle w:val="a5"/>
        <w:spacing w:line="269" w:lineRule="auto"/>
      </w:pPr>
    </w:p>
    <w:p w:rsidR="00FB4744" w:rsidRDefault="00FB4744" w:rsidP="008E5F04">
      <w:pPr>
        <w:spacing w:line="269" w:lineRule="auto"/>
        <w:ind w:left="340"/>
        <w:rPr>
          <w:rtl/>
        </w:rPr>
      </w:pPr>
      <w:r>
        <w:rPr>
          <w:rFonts w:hint="cs"/>
          <w:rtl/>
        </w:rPr>
        <w:t xml:space="preserve">בשנים האחרונות השתרשה התפיסה שהמינהל הציבורי אינו יכול להיות יצרני ויעיל ללא תמיכה של מערכות מידע טכנולוגיות. למערכת מידע </w:t>
      </w:r>
      <w:r w:rsidR="000E38CF">
        <w:rPr>
          <w:rFonts w:hint="cs"/>
          <w:rtl/>
        </w:rPr>
        <w:t xml:space="preserve">טכנולוגית </w:t>
      </w:r>
      <w:r>
        <w:rPr>
          <w:rFonts w:hint="cs"/>
          <w:rtl/>
        </w:rPr>
        <w:t xml:space="preserve">יש שתי תכליות עיקריות </w:t>
      </w:r>
      <w:r w:rsidR="003D6F75">
        <w:rPr>
          <w:rFonts w:hint="cs"/>
          <w:rtl/>
        </w:rPr>
        <w:t>-</w:t>
      </w:r>
      <w:r>
        <w:rPr>
          <w:rFonts w:hint="cs"/>
          <w:rtl/>
        </w:rPr>
        <w:t xml:space="preserve"> אוטומציה של תהליכי עבודה, ותמיכה בהליכי קבלת ההחלטות מבוססות נתונים</w:t>
      </w:r>
      <w:r>
        <w:rPr>
          <w:rStyle w:val="af"/>
          <w:rtl/>
        </w:rPr>
        <w:footnoteReference w:id="62"/>
      </w:r>
      <w:r>
        <w:rPr>
          <w:rFonts w:hint="cs"/>
          <w:rtl/>
        </w:rPr>
        <w:t>. שימוש נכון בטכנולוגיות מידע אף עשוי להפחית פערי מידע במסדי נתונים של גופי הממשלה, ואלו הוכרו בשורה של החלטות ממשלה</w:t>
      </w:r>
      <w:r>
        <w:rPr>
          <w:rStyle w:val="af"/>
          <w:rtl/>
        </w:rPr>
        <w:footnoteReference w:id="63"/>
      </w:r>
      <w:r>
        <w:rPr>
          <w:rFonts w:hint="cs"/>
          <w:rtl/>
        </w:rPr>
        <w:t xml:space="preserve">. </w:t>
      </w:r>
    </w:p>
    <w:p w:rsidR="00D41135" w:rsidRDefault="00D41135" w:rsidP="008E5F04">
      <w:pPr>
        <w:pStyle w:val="a5"/>
        <w:spacing w:line="269" w:lineRule="auto"/>
        <w:ind w:left="0"/>
        <w:rPr>
          <w:rtl/>
        </w:rPr>
      </w:pPr>
    </w:p>
    <w:p w:rsidR="00FB4744" w:rsidRDefault="00F20F37" w:rsidP="008E5F04">
      <w:pPr>
        <w:spacing w:line="269" w:lineRule="auto"/>
        <w:ind w:left="340"/>
        <w:rPr>
          <w:rtl/>
        </w:rPr>
      </w:pPr>
      <w:r w:rsidRPr="00F20F37">
        <w:rPr>
          <w:rFonts w:hint="cs"/>
          <w:rtl/>
        </w:rPr>
        <w:t xml:space="preserve">בשנת 2018 הוטמעה מערכת לניהול צווי האזנת סתר במשטרה. לפי חטיבת הסייבר, הדרישה להקמת המערכת לניהול צווים </w:t>
      </w:r>
      <w:r w:rsidR="006031E1">
        <w:rPr>
          <w:rFonts w:hint="cs"/>
          <w:rtl/>
        </w:rPr>
        <w:t>הוכנה בשנת 2013</w:t>
      </w:r>
      <w:r w:rsidR="009E049B">
        <w:rPr>
          <w:rFonts w:hint="cs"/>
          <w:rtl/>
        </w:rPr>
        <w:t xml:space="preserve"> בשל העובדה כי </w:t>
      </w:r>
      <w:r w:rsidR="00FB4744">
        <w:rPr>
          <w:rFonts w:hint="cs"/>
          <w:rtl/>
        </w:rPr>
        <w:t xml:space="preserve">היעדר מערכת מרכזית לניהול צווים היא פער מהותי במערך הסיגינט והדסק המודיעיני, ובפרט </w:t>
      </w:r>
      <w:bookmarkStart w:id="200" w:name="_Hlk185143188"/>
      <w:r w:rsidR="008805E0">
        <w:rPr>
          <w:rFonts w:hint="cs"/>
          <w:rtl/>
        </w:rPr>
        <w:t>כדי</w:t>
      </w:r>
      <w:r w:rsidR="00222682" w:rsidRPr="00222682">
        <w:rPr>
          <w:rFonts w:hint="cs"/>
          <w:rtl/>
        </w:rPr>
        <w:t xml:space="preserve"> למנוע</w:t>
      </w:r>
      <w:bookmarkEnd w:id="200"/>
      <w:r w:rsidR="00222682" w:rsidRPr="00222682">
        <w:rPr>
          <w:rFonts w:hint="cs"/>
          <w:rtl/>
        </w:rPr>
        <w:t xml:space="preserve"> </w:t>
      </w:r>
      <w:r w:rsidR="00FB4744">
        <w:rPr>
          <w:rFonts w:hint="cs"/>
          <w:rtl/>
        </w:rPr>
        <w:t>אפשרות עריכה בדיעבד של בקשות</w:t>
      </w:r>
      <w:r w:rsidR="009E049B">
        <w:rPr>
          <w:rFonts w:hint="cs"/>
          <w:rtl/>
        </w:rPr>
        <w:t>.</w:t>
      </w:r>
      <w:r w:rsidR="00FB4744">
        <w:rPr>
          <w:rFonts w:hint="cs"/>
          <w:rtl/>
        </w:rPr>
        <w:t xml:space="preserve"> </w:t>
      </w:r>
      <w:r w:rsidR="00E81993">
        <w:rPr>
          <w:rtl/>
        </w:rPr>
        <w:t xml:space="preserve">מטרות המערכת הן </w:t>
      </w:r>
      <w:r w:rsidR="00FB4744">
        <w:rPr>
          <w:rFonts w:hint="cs"/>
          <w:rtl/>
        </w:rPr>
        <w:t>ליצור מאגר לניהול צווי האזנת סתר, ביצוע מעקב אחר הצווים והטיפול</w:t>
      </w:r>
      <w:r w:rsidR="000016FF">
        <w:rPr>
          <w:rFonts w:hint="cs"/>
          <w:rtl/>
        </w:rPr>
        <w:t xml:space="preserve"> בהם</w:t>
      </w:r>
      <w:r w:rsidR="00FB4744">
        <w:rPr>
          <w:rFonts w:hint="cs"/>
          <w:rtl/>
        </w:rPr>
        <w:t xml:space="preserve"> ולאפשר מעקב אחר יעדי האזנה. </w:t>
      </w:r>
      <w:r w:rsidR="009F0BE2">
        <w:rPr>
          <w:rFonts w:hint="cs"/>
          <w:rtl/>
        </w:rPr>
        <w:t xml:space="preserve">לאחר הקמת המערכת, החטיבה </w:t>
      </w:r>
      <w:r w:rsidR="00986D28">
        <w:rPr>
          <w:rFonts w:hint="cs"/>
          <w:rtl/>
        </w:rPr>
        <w:t xml:space="preserve">אף </w:t>
      </w:r>
      <w:r w:rsidR="009F0BE2">
        <w:rPr>
          <w:rFonts w:hint="cs"/>
          <w:rtl/>
        </w:rPr>
        <w:t xml:space="preserve">הנחתה כי ניהול פנקסי האזנות סתר, </w:t>
      </w:r>
      <w:r w:rsidR="000E38CF">
        <w:rPr>
          <w:rFonts w:hint="cs"/>
          <w:rtl/>
        </w:rPr>
        <w:t>ש</w:t>
      </w:r>
      <w:r w:rsidR="009F0BE2">
        <w:rPr>
          <w:rFonts w:hint="cs"/>
          <w:rtl/>
        </w:rPr>
        <w:t xml:space="preserve">בו היא חבה על פי דין, יעבור תהליך לניהול ממוחשב. </w:t>
      </w:r>
      <w:r w:rsidR="00986D28">
        <w:rPr>
          <w:rFonts w:hint="cs"/>
          <w:rtl/>
        </w:rPr>
        <w:t>הקמת המערכת וקידום תהליכי הדיגיטציה בחטיבה</w:t>
      </w:r>
      <w:r w:rsidR="000471D5">
        <w:rPr>
          <w:rFonts w:hint="cs"/>
          <w:rtl/>
        </w:rPr>
        <w:t xml:space="preserve"> </w:t>
      </w:r>
      <w:r w:rsidR="000E38CF">
        <w:rPr>
          <w:rFonts w:hint="cs"/>
          <w:rtl/>
        </w:rPr>
        <w:t xml:space="preserve">עומדים </w:t>
      </w:r>
      <w:r w:rsidR="000471D5">
        <w:rPr>
          <w:rFonts w:hint="cs"/>
          <w:rtl/>
        </w:rPr>
        <w:t xml:space="preserve">בקנה אחד עם חשיבות המערכות הממוחשבות </w:t>
      </w:r>
      <w:r w:rsidR="00E81993">
        <w:rPr>
          <w:rtl/>
        </w:rPr>
        <w:t>שבשימוש המודיעי</w:t>
      </w:r>
      <w:r w:rsidR="00E81993">
        <w:rPr>
          <w:rFonts w:hint="cs"/>
          <w:rtl/>
        </w:rPr>
        <w:t>ן,</w:t>
      </w:r>
      <w:r w:rsidR="00E81993">
        <w:rPr>
          <w:rtl/>
        </w:rPr>
        <w:t xml:space="preserve"> </w:t>
      </w:r>
      <w:r w:rsidR="000471D5">
        <w:rPr>
          <w:rFonts w:hint="cs"/>
          <w:rtl/>
        </w:rPr>
        <w:t xml:space="preserve">ככלי עזר מרכזי </w:t>
      </w:r>
      <w:r w:rsidR="00175413">
        <w:rPr>
          <w:rFonts w:hint="cs"/>
          <w:rtl/>
        </w:rPr>
        <w:t>שמ</w:t>
      </w:r>
      <w:r w:rsidR="000471D5">
        <w:rPr>
          <w:rFonts w:hint="cs"/>
          <w:rtl/>
        </w:rPr>
        <w:t xml:space="preserve">אחסן מידע המתקבל באופן שוטף, מאפשר את איתורו ושליפתו בכל עת ומשמש לעבודת </w:t>
      </w:r>
      <w:r w:rsidR="0093190A">
        <w:rPr>
          <w:rFonts w:hint="cs"/>
          <w:rtl/>
        </w:rPr>
        <w:t>החטיבה</w:t>
      </w:r>
      <w:r w:rsidR="000471D5">
        <w:rPr>
          <w:rFonts w:hint="cs"/>
          <w:rtl/>
        </w:rPr>
        <w:t xml:space="preserve"> בכללותה</w:t>
      </w:r>
      <w:r w:rsidR="009F0BE2">
        <w:rPr>
          <w:rStyle w:val="af"/>
          <w:rtl/>
        </w:rPr>
        <w:footnoteReference w:id="64"/>
      </w:r>
      <w:r w:rsidR="000471D5">
        <w:rPr>
          <w:rFonts w:hint="cs"/>
          <w:rtl/>
        </w:rPr>
        <w:t xml:space="preserve">. </w:t>
      </w:r>
    </w:p>
    <w:p w:rsidR="00D41135" w:rsidRDefault="00D41135" w:rsidP="008E5F04">
      <w:pPr>
        <w:pStyle w:val="a5"/>
        <w:spacing w:line="269" w:lineRule="auto"/>
        <w:ind w:left="0"/>
        <w:rPr>
          <w:rtl/>
        </w:rPr>
      </w:pPr>
    </w:p>
    <w:p w:rsidR="002D0CEC" w:rsidRDefault="00F20F37" w:rsidP="008E5F04">
      <w:pPr>
        <w:spacing w:line="269" w:lineRule="auto"/>
        <w:ind w:left="340"/>
        <w:rPr>
          <w:rtl/>
        </w:rPr>
      </w:pPr>
      <w:r w:rsidRPr="00F20F37">
        <w:rPr>
          <w:rFonts w:hint="cs"/>
          <w:rtl/>
        </w:rPr>
        <w:t xml:space="preserve">לעמדת מבקר המדינה, חשיבות השימוש של המשטרה במאגר מרכזי לניהול צווי האזנת סתר המבוסס </w:t>
      </w:r>
      <w:r w:rsidR="00FB4744">
        <w:rPr>
          <w:rFonts w:hint="cs"/>
          <w:rtl/>
        </w:rPr>
        <w:t>על המערכת לניהול צווים</w:t>
      </w:r>
      <w:r w:rsidR="003944AB">
        <w:rPr>
          <w:rFonts w:hint="cs"/>
          <w:rtl/>
        </w:rPr>
        <w:t xml:space="preserve"> </w:t>
      </w:r>
      <w:r w:rsidR="00FB4744">
        <w:rPr>
          <w:rFonts w:hint="cs"/>
          <w:rtl/>
        </w:rPr>
        <w:t>אף גדל</w:t>
      </w:r>
      <w:r w:rsidR="00175413">
        <w:rPr>
          <w:rFonts w:hint="cs"/>
          <w:rtl/>
        </w:rPr>
        <w:t>ה</w:t>
      </w:r>
      <w:r w:rsidR="00FB4744">
        <w:rPr>
          <w:rFonts w:hint="cs"/>
          <w:rtl/>
        </w:rPr>
        <w:t xml:space="preserve"> </w:t>
      </w:r>
      <w:r w:rsidR="00175413">
        <w:rPr>
          <w:rFonts w:hint="cs"/>
          <w:rtl/>
        </w:rPr>
        <w:t xml:space="preserve">לנוכח הגידול </w:t>
      </w:r>
      <w:r w:rsidR="00FB4744">
        <w:rPr>
          <w:rFonts w:hint="cs"/>
          <w:rtl/>
        </w:rPr>
        <w:t xml:space="preserve">בהיקפי האזנות הסתר </w:t>
      </w:r>
      <w:r w:rsidR="0093190A">
        <w:rPr>
          <w:rFonts w:hint="cs"/>
          <w:rtl/>
        </w:rPr>
        <w:t>בעשורים</w:t>
      </w:r>
      <w:r w:rsidR="00FB4744">
        <w:rPr>
          <w:rFonts w:hint="cs"/>
          <w:rtl/>
        </w:rPr>
        <w:t xml:space="preserve"> </w:t>
      </w:r>
      <w:r w:rsidR="00E81993">
        <w:rPr>
          <w:rtl/>
        </w:rPr>
        <w:t>האחרונים</w:t>
      </w:r>
      <w:r w:rsidR="00FB4744">
        <w:rPr>
          <w:rFonts w:hint="cs"/>
          <w:rtl/>
        </w:rPr>
        <w:t>, ובשל חובת הדיווח על ביצוע האזנות סתר לכנסת ישראל בציון מספר ההיתרים, מספר יעדי ההאזנה וכיו"ב</w:t>
      </w:r>
      <w:r w:rsidR="00222682" w:rsidRPr="00FA6271">
        <w:rPr>
          <w:rFonts w:hint="cs"/>
          <w:rtl/>
        </w:rPr>
        <w:t>, בהתאם ל</w:t>
      </w:r>
      <w:r w:rsidR="007B1D64">
        <w:rPr>
          <w:rFonts w:hint="cs"/>
          <w:rtl/>
        </w:rPr>
        <w:t>חוק האזנת סתר</w:t>
      </w:r>
      <w:r w:rsidR="00222682" w:rsidRPr="00222682">
        <w:rPr>
          <w:vertAlign w:val="superscript"/>
          <w:rtl/>
        </w:rPr>
        <w:footnoteReference w:id="65"/>
      </w:r>
      <w:r w:rsidR="00175413">
        <w:rPr>
          <w:rFonts w:hint="cs"/>
          <w:rtl/>
        </w:rPr>
        <w:t>.</w:t>
      </w:r>
      <w:r w:rsidR="002D0CEC">
        <w:rPr>
          <w:rFonts w:hint="cs"/>
          <w:rtl/>
        </w:rPr>
        <w:t xml:space="preserve"> </w:t>
      </w:r>
    </w:p>
    <w:p w:rsidR="002C070B" w:rsidRDefault="002C070B" w:rsidP="00604C3D">
      <w:pPr>
        <w:pStyle w:val="a5"/>
        <w:spacing w:line="269" w:lineRule="auto"/>
        <w:rPr>
          <w:rtl/>
        </w:rPr>
      </w:pPr>
    </w:p>
    <w:p w:rsidR="00A72322" w:rsidRPr="00F20BC1" w:rsidRDefault="00A72322" w:rsidP="008C598D">
      <w:pPr>
        <w:pStyle w:val="4"/>
        <w:numPr>
          <w:ilvl w:val="0"/>
          <w:numId w:val="71"/>
        </w:numPr>
        <w:spacing w:before="0" w:line="269" w:lineRule="auto"/>
        <w:ind w:left="339"/>
        <w:rPr>
          <w:bCs w:val="0"/>
          <w:rtl/>
        </w:rPr>
      </w:pPr>
      <w:bookmarkStart w:id="201" w:name="_Toc211521925"/>
      <w:bookmarkStart w:id="202" w:name="_Toc219110315"/>
      <w:bookmarkStart w:id="203" w:name="_Toc219113756"/>
      <w:bookmarkStart w:id="204" w:name="_Toc219286531"/>
      <w:bookmarkStart w:id="205" w:name="_Hlk178227767"/>
      <w:r w:rsidRPr="00A72322">
        <w:rPr>
          <w:rtl/>
        </w:rPr>
        <w:t xml:space="preserve">מעמד ההנחיות הפנימיות של המשטרה לנוכח </w:t>
      </w:r>
      <w:r w:rsidR="00175413">
        <w:rPr>
          <w:rFonts w:hint="cs"/>
          <w:rtl/>
        </w:rPr>
        <w:t>ה</w:t>
      </w:r>
      <w:r w:rsidRPr="00A72322">
        <w:rPr>
          <w:rtl/>
        </w:rPr>
        <w:t>פערים בהסדרה החקיקתית</w:t>
      </w:r>
      <w:bookmarkEnd w:id="201"/>
      <w:bookmarkEnd w:id="202"/>
      <w:bookmarkEnd w:id="203"/>
      <w:bookmarkEnd w:id="204"/>
      <w:r w:rsidRPr="00A72322" w:rsidDel="00A72322">
        <w:rPr>
          <w:rtl/>
        </w:rPr>
        <w:t xml:space="preserve"> </w:t>
      </w:r>
    </w:p>
    <w:bookmarkEnd w:id="205"/>
    <w:p w:rsidR="00A72322" w:rsidRDefault="00A72322" w:rsidP="00604C3D">
      <w:pPr>
        <w:spacing w:line="269" w:lineRule="auto"/>
        <w:rPr>
          <w:rtl/>
        </w:rPr>
      </w:pPr>
    </w:p>
    <w:p w:rsidR="002C070B" w:rsidRDefault="002C070B" w:rsidP="008E5F04">
      <w:pPr>
        <w:spacing w:line="269" w:lineRule="auto"/>
        <w:ind w:left="340"/>
        <w:rPr>
          <w:rtl/>
        </w:rPr>
      </w:pPr>
      <w:r>
        <w:rPr>
          <w:rtl/>
        </w:rPr>
        <w:t xml:space="preserve">משרד </w:t>
      </w:r>
      <w:r>
        <w:rPr>
          <w:rFonts w:hint="cs"/>
          <w:rtl/>
        </w:rPr>
        <w:t xml:space="preserve">מבקר המדינה </w:t>
      </w:r>
      <w:r w:rsidR="00175413">
        <w:rPr>
          <w:rFonts w:hint="cs"/>
          <w:rtl/>
        </w:rPr>
        <w:t xml:space="preserve">עוסק </w:t>
      </w:r>
      <w:r>
        <w:rPr>
          <w:rFonts w:hint="cs"/>
          <w:rtl/>
        </w:rPr>
        <w:t xml:space="preserve">בפרק זה </w:t>
      </w:r>
      <w:r w:rsidR="00175413">
        <w:rPr>
          <w:rFonts w:hint="cs"/>
          <w:rtl/>
        </w:rPr>
        <w:t>ב</w:t>
      </w:r>
      <w:r>
        <w:rPr>
          <w:rFonts w:hint="cs"/>
          <w:rtl/>
        </w:rPr>
        <w:t xml:space="preserve">הנחיות </w:t>
      </w:r>
      <w:r w:rsidR="00175413">
        <w:rPr>
          <w:rFonts w:hint="cs"/>
          <w:rtl/>
        </w:rPr>
        <w:t>ה</w:t>
      </w:r>
      <w:r>
        <w:rPr>
          <w:rFonts w:hint="cs"/>
          <w:rtl/>
        </w:rPr>
        <w:t>פנימיות של המשטרה בתחום האזנת הסתר, ואלו מהוות בחלק מהמקרים נורמות שעל בסיסן אותרו ליקויים בעבודת המשטרה. בתשובת המשטרה לדוח נטען לא אחת כי ההנחיות הפנימיות של המשטרה (נהלי החטיבה והנחיות עבודה)</w:t>
      </w:r>
      <w:r w:rsidRPr="00EB4E9C">
        <w:rPr>
          <w:rtl/>
        </w:rPr>
        <w:t xml:space="preserve"> </w:t>
      </w:r>
      <w:r>
        <w:rPr>
          <w:rFonts w:hint="cs"/>
          <w:rtl/>
        </w:rPr>
        <w:t>אינן</w:t>
      </w:r>
      <w:r w:rsidRPr="00EB4E9C">
        <w:rPr>
          <w:rtl/>
        </w:rPr>
        <w:t xml:space="preserve"> תולדה של</w:t>
      </w:r>
      <w:r>
        <w:rPr>
          <w:rFonts w:hint="cs"/>
          <w:rtl/>
        </w:rPr>
        <w:t xml:space="preserve"> סעיף חוק או תקנה,</w:t>
      </w:r>
      <w:r w:rsidRPr="00EB4E9C">
        <w:rPr>
          <w:rtl/>
        </w:rPr>
        <w:t xml:space="preserve"> אלא </w:t>
      </w:r>
      <w:r w:rsidR="00175413">
        <w:rPr>
          <w:rFonts w:hint="cs"/>
          <w:rtl/>
        </w:rPr>
        <w:t xml:space="preserve">תולדה של </w:t>
      </w:r>
      <w:r>
        <w:rPr>
          <w:rFonts w:hint="cs"/>
          <w:rtl/>
        </w:rPr>
        <w:t xml:space="preserve">מגבלות </w:t>
      </w:r>
      <w:r w:rsidRPr="00EB4E9C">
        <w:rPr>
          <w:rtl/>
        </w:rPr>
        <w:t xml:space="preserve">שהמשטרה השיתה על עצמה בנהליה הפנימיים מתוך הבנת החשיבות והרגישות המתבקשת </w:t>
      </w:r>
      <w:r w:rsidR="00862E8B">
        <w:rPr>
          <w:rFonts w:hint="cs"/>
          <w:rtl/>
        </w:rPr>
        <w:t>בנושא</w:t>
      </w:r>
      <w:r w:rsidRPr="00EB4E9C">
        <w:rPr>
          <w:rtl/>
        </w:rPr>
        <w:t xml:space="preserve">. </w:t>
      </w:r>
      <w:r>
        <w:rPr>
          <w:rFonts w:hint="cs"/>
          <w:rtl/>
        </w:rPr>
        <w:t xml:space="preserve">ולכן, </w:t>
      </w:r>
      <w:r w:rsidR="00175413" w:rsidRPr="00175413">
        <w:rPr>
          <w:rFonts w:hint="cs"/>
          <w:rtl/>
        </w:rPr>
        <w:t>ה</w:t>
      </w:r>
      <w:r w:rsidR="00175413" w:rsidRPr="00175413">
        <w:rPr>
          <w:rtl/>
        </w:rPr>
        <w:t>משטר</w:t>
      </w:r>
      <w:r w:rsidR="00175413" w:rsidRPr="00175413">
        <w:rPr>
          <w:rFonts w:hint="cs"/>
          <w:rtl/>
        </w:rPr>
        <w:t>ה</w:t>
      </w:r>
      <w:r w:rsidR="00175413" w:rsidRPr="00175413">
        <w:rPr>
          <w:rtl/>
        </w:rPr>
        <w:t xml:space="preserve"> </w:t>
      </w:r>
      <w:r w:rsidRPr="00EB4E9C">
        <w:rPr>
          <w:rtl/>
        </w:rPr>
        <w:t xml:space="preserve">תמהה </w:t>
      </w:r>
      <w:r>
        <w:rPr>
          <w:rFonts w:hint="cs"/>
          <w:rtl/>
        </w:rPr>
        <w:t xml:space="preserve">על ממצאי </w:t>
      </w:r>
      <w:r w:rsidRPr="00EB4E9C">
        <w:rPr>
          <w:rtl/>
        </w:rPr>
        <w:t xml:space="preserve">הביקורת </w:t>
      </w:r>
      <w:r>
        <w:rPr>
          <w:rFonts w:hint="cs"/>
          <w:rtl/>
        </w:rPr>
        <w:t>הנוגעים להנחיות אלו</w:t>
      </w:r>
      <w:r w:rsidRPr="00EB4E9C">
        <w:rPr>
          <w:rtl/>
        </w:rPr>
        <w:t xml:space="preserve">. </w:t>
      </w:r>
    </w:p>
    <w:p w:rsidR="002C070B" w:rsidRDefault="002C070B" w:rsidP="008E5F04">
      <w:pPr>
        <w:pStyle w:val="a5"/>
        <w:spacing w:line="269" w:lineRule="auto"/>
        <w:ind w:left="0"/>
        <w:rPr>
          <w:rtl/>
        </w:rPr>
      </w:pPr>
    </w:p>
    <w:p w:rsidR="007B0569" w:rsidRDefault="002C070B" w:rsidP="008E5F04">
      <w:pPr>
        <w:spacing w:line="269" w:lineRule="auto"/>
        <w:ind w:left="340"/>
        <w:rPr>
          <w:rtl/>
        </w:rPr>
      </w:pPr>
      <w:r>
        <w:rPr>
          <w:rFonts w:hint="cs"/>
          <w:rtl/>
        </w:rPr>
        <w:t xml:space="preserve">מבקר המדינה מעיר למשטרה כי הנחיה מינהלית הקובעת במפורש חובה לבצע פעולה, היא הנחייה מחייבת לכל דבר ועניין עד לתיקונה. כל עוד ההנחיה המחייבת תקפה, סטייה ממנה מלמדת על התנהלות פגומה של המשטרה. קל וחומר, כאשר ההנחיות הפנימיות שהוצאו תחת ידי חטיבת הסייבר מטרתן הסדרה של פרוצדורה מורכבת ורגישה בתחומי האזנת הסתר. ההנחיה הפנימית היא כלי עזר בעל חשיבות משפטית המסייע לרשות המינהלית לוודא כי היא הפעילה את סמכותה בהתאם למגבלות הדין, בהתאם לעקרונות היסוד של </w:t>
      </w:r>
      <w:r w:rsidR="000672B9" w:rsidRPr="000672B9">
        <w:rPr>
          <w:rFonts w:hint="cs"/>
          <w:rtl/>
        </w:rPr>
        <w:t xml:space="preserve">המשפט המינהלי לרבות חובות של תיעוד פעילותה, ובפרט בהאזנת סתר לתקשורת בין מחשבים בהתאם לתחומי גבולותיה הנוקשים והקפדניים של הסמכות. </w:t>
      </w:r>
    </w:p>
    <w:p w:rsidR="00357510" w:rsidRDefault="00357510" w:rsidP="00604C3D">
      <w:pPr>
        <w:bidi w:val="0"/>
        <w:spacing w:line="269" w:lineRule="auto"/>
        <w:rPr>
          <w:rFonts w:eastAsiaTheme="majorEastAsia"/>
          <w:bCs/>
          <w:szCs w:val="28"/>
          <w:u w:val="single"/>
          <w:rtl/>
        </w:rPr>
      </w:pPr>
      <w:bookmarkStart w:id="206" w:name="_Toc132608778"/>
      <w:bookmarkStart w:id="207" w:name="_Hlk147834474"/>
      <w:bookmarkEnd w:id="187"/>
    </w:p>
    <w:p w:rsidR="008868B6" w:rsidRDefault="008868B6" w:rsidP="00604C3D">
      <w:pPr>
        <w:pStyle w:val="3"/>
        <w:spacing w:before="0" w:line="269" w:lineRule="auto"/>
        <w:rPr>
          <w:rtl/>
        </w:rPr>
      </w:pPr>
      <w:bookmarkStart w:id="208" w:name="_Toc219286532"/>
      <w:r>
        <w:rPr>
          <w:rFonts w:hint="cs"/>
          <w:rtl/>
        </w:rPr>
        <w:t>2.</w:t>
      </w:r>
      <w:r w:rsidR="000275A3">
        <w:rPr>
          <w:rFonts w:hint="cs"/>
          <w:rtl/>
        </w:rPr>
        <w:t>2</w:t>
      </w:r>
      <w:r>
        <w:rPr>
          <w:rFonts w:hint="cs"/>
          <w:rtl/>
        </w:rPr>
        <w:t xml:space="preserve"> הליכי הגשת בקשות להאזנות סתר</w:t>
      </w:r>
      <w:bookmarkEnd w:id="206"/>
      <w:bookmarkEnd w:id="208"/>
    </w:p>
    <w:p w:rsidR="002B0E02" w:rsidRDefault="002B0E02" w:rsidP="00604C3D">
      <w:pPr>
        <w:spacing w:line="269" w:lineRule="auto"/>
        <w:rPr>
          <w:rtl/>
        </w:rPr>
      </w:pPr>
      <w:bookmarkStart w:id="209" w:name="_Hlk187221300"/>
      <w:bookmarkEnd w:id="207"/>
    </w:p>
    <w:p w:rsidR="00DA55B1" w:rsidRDefault="008868B6" w:rsidP="00604C3D">
      <w:pPr>
        <w:spacing w:line="269" w:lineRule="auto"/>
        <w:rPr>
          <w:rtl/>
        </w:rPr>
      </w:pPr>
      <w:r w:rsidRPr="00D77297">
        <w:rPr>
          <w:rFonts w:hint="cs"/>
          <w:rtl/>
        </w:rPr>
        <w:t xml:space="preserve">הבקשה להאזנת סתר היא אבן היסוד </w:t>
      </w:r>
      <w:r w:rsidR="00593CA9">
        <w:rPr>
          <w:rFonts w:hint="cs"/>
          <w:rtl/>
        </w:rPr>
        <w:t>של שימוש המשטרה</w:t>
      </w:r>
      <w:r w:rsidRPr="0044060C">
        <w:rPr>
          <w:rFonts w:hint="cs"/>
          <w:rtl/>
        </w:rPr>
        <w:t xml:space="preserve"> </w:t>
      </w:r>
      <w:r w:rsidRPr="00D77297">
        <w:rPr>
          <w:rFonts w:hint="cs"/>
          <w:rtl/>
        </w:rPr>
        <w:t>באמצעים להאזנת סתר ו</w:t>
      </w:r>
      <w:r>
        <w:rPr>
          <w:rFonts w:hint="cs"/>
          <w:rtl/>
        </w:rPr>
        <w:t>ב</w:t>
      </w:r>
      <w:r w:rsidRPr="00D77297">
        <w:rPr>
          <w:rFonts w:hint="cs"/>
          <w:rtl/>
        </w:rPr>
        <w:t xml:space="preserve">כלים </w:t>
      </w:r>
      <w:bookmarkEnd w:id="209"/>
      <w:r w:rsidR="00541CF5">
        <w:rPr>
          <w:rFonts w:hint="cs"/>
          <w:rtl/>
        </w:rPr>
        <w:t>טכנולוגיים</w:t>
      </w:r>
      <w:r w:rsidRPr="00D77297">
        <w:rPr>
          <w:rFonts w:hint="cs"/>
          <w:rtl/>
        </w:rPr>
        <w:t xml:space="preserve">. </w:t>
      </w:r>
      <w:bookmarkStart w:id="210" w:name="_Hlk147923341"/>
      <w:r w:rsidRPr="00D77297">
        <w:rPr>
          <w:rFonts w:hint="cs"/>
          <w:rtl/>
        </w:rPr>
        <w:t>דוחות</w:t>
      </w:r>
      <w:r>
        <w:rPr>
          <w:rFonts w:hint="cs"/>
          <w:rtl/>
        </w:rPr>
        <w:t>יהם של</w:t>
      </w:r>
      <w:r w:rsidRPr="00D77297">
        <w:rPr>
          <w:rFonts w:hint="cs"/>
          <w:rtl/>
        </w:rPr>
        <w:t xml:space="preserve"> מבקר המדינה ו</w:t>
      </w:r>
      <w:r>
        <w:rPr>
          <w:rFonts w:hint="cs"/>
          <w:rtl/>
        </w:rPr>
        <w:t xml:space="preserve">של </w:t>
      </w:r>
      <w:r w:rsidRPr="00D77297">
        <w:rPr>
          <w:rFonts w:hint="cs"/>
          <w:rtl/>
        </w:rPr>
        <w:t xml:space="preserve">צוותים ממשלתיים עסקו </w:t>
      </w:r>
      <w:r>
        <w:rPr>
          <w:rFonts w:hint="cs"/>
          <w:rtl/>
        </w:rPr>
        <w:t>במשך</w:t>
      </w:r>
      <w:r w:rsidRPr="0044060C">
        <w:rPr>
          <w:rFonts w:hint="cs"/>
          <w:rtl/>
        </w:rPr>
        <w:t xml:space="preserve"> השנים</w:t>
      </w:r>
      <w:r w:rsidRPr="00D77297">
        <w:rPr>
          <w:rFonts w:hint="cs"/>
          <w:rtl/>
        </w:rPr>
        <w:t xml:space="preserve"> בהליך הגשת הבקשות</w:t>
      </w:r>
      <w:r>
        <w:rPr>
          <w:rFonts w:hint="cs"/>
          <w:rtl/>
        </w:rPr>
        <w:t xml:space="preserve"> להאזנות סתר</w:t>
      </w:r>
      <w:r w:rsidR="00593CA9">
        <w:rPr>
          <w:rFonts w:hint="cs"/>
          <w:rtl/>
        </w:rPr>
        <w:t>,</w:t>
      </w:r>
      <w:r w:rsidR="00593CA9" w:rsidRPr="00D77297">
        <w:rPr>
          <w:rFonts w:hint="cs"/>
          <w:rtl/>
        </w:rPr>
        <w:t xml:space="preserve"> </w:t>
      </w:r>
      <w:r w:rsidRPr="00D77297">
        <w:rPr>
          <w:rFonts w:hint="cs"/>
          <w:rtl/>
        </w:rPr>
        <w:t>אולם</w:t>
      </w:r>
      <w:r>
        <w:rPr>
          <w:rFonts w:hint="cs"/>
          <w:rtl/>
        </w:rPr>
        <w:t xml:space="preserve"> בדוחות אלה לא נידון היבט ה</w:t>
      </w:r>
      <w:r w:rsidRPr="0044060C">
        <w:rPr>
          <w:rFonts w:hint="cs"/>
          <w:rtl/>
        </w:rPr>
        <w:t>האזנה לתקשורת בין מחשבים</w:t>
      </w:r>
      <w:bookmarkStart w:id="211" w:name="_Hlk187221388"/>
      <w:r w:rsidR="002F509E" w:rsidRPr="002F509E">
        <w:rPr>
          <w:rFonts w:hint="cs"/>
          <w:rtl/>
        </w:rPr>
        <w:t xml:space="preserve">. </w:t>
      </w:r>
      <w:r w:rsidR="00E12672">
        <w:rPr>
          <w:rFonts w:hint="cs"/>
          <w:rtl/>
        </w:rPr>
        <w:t xml:space="preserve">כמו כן, </w:t>
      </w:r>
      <w:r w:rsidR="002F509E" w:rsidRPr="002F509E">
        <w:rPr>
          <w:rFonts w:hint="cs"/>
          <w:rtl/>
        </w:rPr>
        <w:t xml:space="preserve">צוות מררי לא התבקש לעסוק בתהליך הגשת הבקשות להאזנה לתקשורת </w:t>
      </w:r>
      <w:r w:rsidRPr="0044060C">
        <w:rPr>
          <w:rFonts w:hint="cs"/>
          <w:rtl/>
        </w:rPr>
        <w:t>בין מחשבים</w:t>
      </w:r>
      <w:r w:rsidR="004E1A98">
        <w:rPr>
          <w:rStyle w:val="af"/>
          <w:rtl/>
        </w:rPr>
        <w:footnoteReference w:id="66"/>
      </w:r>
      <w:r w:rsidRPr="0044060C">
        <w:rPr>
          <w:rFonts w:hint="cs"/>
          <w:rtl/>
        </w:rPr>
        <w:t>.</w:t>
      </w:r>
      <w:r>
        <w:rPr>
          <w:rFonts w:hint="cs"/>
          <w:rtl/>
        </w:rPr>
        <w:t xml:space="preserve"> </w:t>
      </w:r>
      <w:bookmarkEnd w:id="210"/>
      <w:r w:rsidR="00714BB4">
        <w:rPr>
          <w:rFonts w:hint="cs"/>
          <w:rtl/>
        </w:rPr>
        <w:t xml:space="preserve">פרק זה יידון במפורט </w:t>
      </w:r>
      <w:r w:rsidR="00714BB4">
        <w:rPr>
          <w:rtl/>
        </w:rPr>
        <w:t>בתהליך הגשת הבקשות בכללותו, אופן מילוי טפסי הבקשה ונימוקי הבקשה ו</w:t>
      </w:r>
      <w:r w:rsidR="00593CA9">
        <w:rPr>
          <w:rFonts w:hint="cs"/>
          <w:rtl/>
        </w:rPr>
        <w:t>ב</w:t>
      </w:r>
      <w:r w:rsidR="00714BB4">
        <w:rPr>
          <w:rtl/>
        </w:rPr>
        <w:t xml:space="preserve">תהליכי האישור </w:t>
      </w:r>
      <w:bookmarkEnd w:id="211"/>
      <w:r w:rsidR="000672B9" w:rsidRPr="000672B9">
        <w:rPr>
          <w:rtl/>
        </w:rPr>
        <w:t>של בקשות מיוחדות</w:t>
      </w:r>
      <w:bookmarkStart w:id="212" w:name="_Hlk199228325"/>
      <w:r w:rsidR="000672B9" w:rsidRPr="000672B9">
        <w:rPr>
          <w:rFonts w:hint="cs"/>
          <w:rtl/>
        </w:rPr>
        <w:t>, וזאת הן לגבי האזנות לשמע והן לגבי האזנות לתקשורת בין מחשבים</w:t>
      </w:r>
      <w:bookmarkEnd w:id="212"/>
      <w:r w:rsidR="000672B9" w:rsidRPr="000672B9">
        <w:rPr>
          <w:rFonts w:hint="cs"/>
          <w:rtl/>
        </w:rPr>
        <w:t>.</w:t>
      </w:r>
    </w:p>
    <w:p w:rsidR="00844758" w:rsidRDefault="00844758" w:rsidP="00604C3D">
      <w:pPr>
        <w:pStyle w:val="a5"/>
        <w:spacing w:line="269" w:lineRule="auto"/>
        <w:rPr>
          <w:rtl/>
        </w:rPr>
      </w:pPr>
    </w:p>
    <w:p w:rsidR="008868B6" w:rsidRDefault="00DA55B1" w:rsidP="00604C3D">
      <w:pPr>
        <w:spacing w:line="269" w:lineRule="auto"/>
        <w:rPr>
          <w:rtl/>
        </w:rPr>
      </w:pPr>
      <w:bookmarkStart w:id="213" w:name="_Hlk187221434"/>
      <w:r>
        <w:rPr>
          <w:rFonts w:hint="cs"/>
          <w:rtl/>
        </w:rPr>
        <w:t>לפי פסיקת בית המשפט העליון,</w:t>
      </w:r>
      <w:r w:rsidR="00844758">
        <w:rPr>
          <w:rFonts w:hint="cs"/>
          <w:rtl/>
        </w:rPr>
        <w:t xml:space="preserve"> "אין ספק כי האזנת סתר היא כלי רב עצמה ואולם לצד היותה כלי משמעותי לקידום החקירה, טמון בה פוטנציאל לפגיעה קשה בפרטיותם של נחקרים. </w:t>
      </w:r>
      <w:r w:rsidR="00E3253B">
        <w:rPr>
          <w:rFonts w:hint="cs"/>
          <w:rtl/>
        </w:rPr>
        <w:t xml:space="preserve">משכך, </w:t>
      </w:r>
      <w:r>
        <w:rPr>
          <w:rFonts w:hint="cs"/>
          <w:rtl/>
        </w:rPr>
        <w:t>יש</w:t>
      </w:r>
      <w:r w:rsidR="00844758">
        <w:rPr>
          <w:rFonts w:hint="cs"/>
          <w:rtl/>
        </w:rPr>
        <w:t>נה</w:t>
      </w:r>
      <w:r>
        <w:rPr>
          <w:rFonts w:hint="cs"/>
          <w:rtl/>
        </w:rPr>
        <w:t xml:space="preserve"> חשיבות של ממש לפיקוח שיפוטי </w:t>
      </w:r>
      <w:r w:rsidR="003D6F75">
        <w:rPr>
          <w:rFonts w:hint="cs"/>
          <w:rtl/>
        </w:rPr>
        <w:t>-</w:t>
      </w:r>
      <w:r>
        <w:rPr>
          <w:rFonts w:hint="cs"/>
          <w:rtl/>
        </w:rPr>
        <w:t xml:space="preserve"> בזמן אמת </w:t>
      </w:r>
      <w:r w:rsidR="003D6F75">
        <w:rPr>
          <w:rFonts w:hint="cs"/>
          <w:rtl/>
        </w:rPr>
        <w:t>-</w:t>
      </w:r>
      <w:r>
        <w:rPr>
          <w:rFonts w:hint="cs"/>
          <w:rtl/>
        </w:rPr>
        <w:t xml:space="preserve"> על רשויות החקירה</w:t>
      </w:r>
      <w:r w:rsidR="00844758">
        <w:rPr>
          <w:rFonts w:hint="cs"/>
          <w:rtl/>
        </w:rPr>
        <w:t>"</w:t>
      </w:r>
      <w:r>
        <w:rPr>
          <w:rStyle w:val="af"/>
          <w:rtl/>
        </w:rPr>
        <w:footnoteReference w:id="67"/>
      </w:r>
      <w:r>
        <w:rPr>
          <w:rFonts w:hint="cs"/>
          <w:rtl/>
        </w:rPr>
        <w:t>. לאור תפיסה זו</w:t>
      </w:r>
      <w:r w:rsidR="004E1A98">
        <w:rPr>
          <w:rFonts w:hint="cs"/>
          <w:rtl/>
        </w:rPr>
        <w:t xml:space="preserve"> המקדשת את הפיקוח על עבודת המשטרה</w:t>
      </w:r>
      <w:r>
        <w:rPr>
          <w:rFonts w:hint="cs"/>
          <w:rtl/>
        </w:rPr>
        <w:t xml:space="preserve">, </w:t>
      </w:r>
      <w:r w:rsidR="004E1A98">
        <w:rPr>
          <w:rFonts w:hint="cs"/>
          <w:rtl/>
        </w:rPr>
        <w:t>יש</w:t>
      </w:r>
      <w:r>
        <w:rPr>
          <w:rFonts w:hint="cs"/>
          <w:rtl/>
        </w:rPr>
        <w:t xml:space="preserve"> חשיבות רבה </w:t>
      </w:r>
      <w:r w:rsidR="004E1A98">
        <w:rPr>
          <w:rFonts w:hint="cs"/>
          <w:rtl/>
        </w:rPr>
        <w:t>ל</w:t>
      </w:r>
      <w:r w:rsidR="00844758">
        <w:rPr>
          <w:rFonts w:hint="cs"/>
          <w:rtl/>
        </w:rPr>
        <w:t xml:space="preserve">תפקיד המשטרה </w:t>
      </w:r>
      <w:r w:rsidR="004E1A98">
        <w:rPr>
          <w:rFonts w:hint="cs"/>
          <w:rtl/>
        </w:rPr>
        <w:t>בהכנת</w:t>
      </w:r>
      <w:r w:rsidR="00844758">
        <w:rPr>
          <w:rFonts w:hint="cs"/>
          <w:rtl/>
        </w:rPr>
        <w:t xml:space="preserve"> </w:t>
      </w:r>
      <w:r>
        <w:rPr>
          <w:rFonts w:hint="cs"/>
          <w:rtl/>
        </w:rPr>
        <w:t xml:space="preserve">הבקשות </w:t>
      </w:r>
      <w:r w:rsidR="00844758">
        <w:rPr>
          <w:rFonts w:hint="cs"/>
          <w:rtl/>
        </w:rPr>
        <w:t>להאזנות סתר</w:t>
      </w:r>
      <w:r w:rsidR="004E1A98">
        <w:rPr>
          <w:rFonts w:hint="cs"/>
          <w:rtl/>
        </w:rPr>
        <w:t>. אלו</w:t>
      </w:r>
      <w:r w:rsidR="00844758">
        <w:rPr>
          <w:rFonts w:hint="cs"/>
          <w:rtl/>
        </w:rPr>
        <w:t xml:space="preserve"> מהוות </w:t>
      </w:r>
      <w:r>
        <w:rPr>
          <w:rFonts w:hint="cs"/>
          <w:rtl/>
        </w:rPr>
        <w:t>בסיס לקבלת החלטות שיפוטיות</w:t>
      </w:r>
      <w:r w:rsidR="004E1A98">
        <w:rPr>
          <w:rFonts w:hint="cs"/>
          <w:rtl/>
        </w:rPr>
        <w:t>.</w:t>
      </w:r>
      <w:r>
        <w:rPr>
          <w:rFonts w:hint="cs"/>
          <w:rtl/>
        </w:rPr>
        <w:t xml:space="preserve"> </w:t>
      </w:r>
      <w:bookmarkEnd w:id="213"/>
    </w:p>
    <w:p w:rsidR="002B0E02" w:rsidRDefault="002B0E02" w:rsidP="00604C3D">
      <w:pPr>
        <w:spacing w:line="269" w:lineRule="auto"/>
        <w:rPr>
          <w:rtl/>
        </w:rPr>
      </w:pPr>
      <w:bookmarkStart w:id="214" w:name="_Hlk147923271"/>
      <w:bookmarkStart w:id="215" w:name="_Hlk156302958"/>
    </w:p>
    <w:p w:rsidR="008868B6" w:rsidRDefault="008868B6" w:rsidP="00604C3D">
      <w:pPr>
        <w:spacing w:line="269" w:lineRule="auto"/>
        <w:rPr>
          <w:rtl/>
        </w:rPr>
      </w:pPr>
      <w:r>
        <w:rPr>
          <w:rFonts w:hint="cs"/>
          <w:rtl/>
        </w:rPr>
        <w:t xml:space="preserve">השלב הראשון בתהליך האזנת סתר הוא הכנת בקשות להאזנת סתר, הגשתן ואישורן. </w:t>
      </w:r>
      <w:bookmarkEnd w:id="214"/>
      <w:r w:rsidR="009D265E" w:rsidRPr="009D265E">
        <w:rPr>
          <w:rFonts w:hint="cs"/>
          <w:rtl/>
        </w:rPr>
        <w:t xml:space="preserve">שלב זה נחלק </w:t>
      </w:r>
      <w:r>
        <w:rPr>
          <w:rFonts w:hint="cs"/>
          <w:rtl/>
        </w:rPr>
        <w:t>לכמה תתי-שלבים עיקריים, כמתואר בתרשים שלהלן:</w:t>
      </w:r>
    </w:p>
    <w:bookmarkEnd w:id="215"/>
    <w:p w:rsidR="007B0569" w:rsidRDefault="007B0569" w:rsidP="00604C3D">
      <w:pPr>
        <w:bidi w:val="0"/>
        <w:spacing w:line="269" w:lineRule="auto"/>
        <w:rPr>
          <w:szCs w:val="20"/>
        </w:rPr>
      </w:pPr>
      <w:r>
        <w:rPr>
          <w:rtl/>
        </w:rPr>
        <w:br w:type="page"/>
      </w:r>
    </w:p>
    <w:p w:rsidR="008868B6" w:rsidRPr="00EC6334" w:rsidRDefault="00E5396B" w:rsidP="00604C3D">
      <w:pPr>
        <w:spacing w:line="269" w:lineRule="auto"/>
        <w:jc w:val="center"/>
        <w:rPr>
          <w:b/>
          <w:bCs/>
          <w:rtl/>
        </w:rPr>
      </w:pPr>
      <w:bookmarkStart w:id="216" w:name="_Hlk183433929"/>
      <w:r>
        <w:rPr>
          <w:noProof/>
          <w:szCs w:val="20"/>
          <w:rtl/>
          <w:lang w:val="he-IL"/>
        </w:rPr>
        <w:drawing>
          <wp:anchor distT="0" distB="0" distL="114300" distR="114300" simplePos="0" relativeHeight="251720704" behindDoc="0" locked="0" layoutInCell="1" allowOverlap="1" wp14:anchorId="35E6EC12" wp14:editId="590B9843">
            <wp:simplePos x="0" y="0"/>
            <wp:positionH relativeFrom="margin">
              <wp:posOffset>38735</wp:posOffset>
            </wp:positionH>
            <wp:positionV relativeFrom="margin">
              <wp:posOffset>254000</wp:posOffset>
            </wp:positionV>
            <wp:extent cx="5142865" cy="7160260"/>
            <wp:effectExtent l="0" t="0" r="635" b="2540"/>
            <wp:wrapTopAndBottom/>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38C82F.tmp"/>
                    <pic:cNvPicPr/>
                  </pic:nvPicPr>
                  <pic:blipFill>
                    <a:blip r:embed="rId12">
                      <a:extLst>
                        <a:ext uri="{28A0092B-C50C-407E-A947-70E740481C1C}">
                          <a14:useLocalDpi xmlns:a14="http://schemas.microsoft.com/office/drawing/2010/main" val="0"/>
                        </a:ext>
                      </a:extLst>
                    </a:blip>
                    <a:stretch>
                      <a:fillRect/>
                    </a:stretch>
                  </pic:blipFill>
                  <pic:spPr>
                    <a:xfrm>
                      <a:off x="0" y="0"/>
                      <a:ext cx="5142865" cy="7160260"/>
                    </a:xfrm>
                    <a:prstGeom prst="rect">
                      <a:avLst/>
                    </a:prstGeom>
                  </pic:spPr>
                </pic:pic>
              </a:graphicData>
            </a:graphic>
            <wp14:sizeRelH relativeFrom="margin">
              <wp14:pctWidth>0</wp14:pctWidth>
            </wp14:sizeRelH>
            <wp14:sizeRelV relativeFrom="margin">
              <wp14:pctHeight>0</wp14:pctHeight>
            </wp14:sizeRelV>
          </wp:anchor>
        </w:drawing>
      </w:r>
      <w:r w:rsidR="00D774B5" w:rsidRPr="001D4D5C">
        <w:rPr>
          <w:rFonts w:hint="eastAsia"/>
          <w:rtl/>
        </w:rPr>
        <w:t>תרשים</w:t>
      </w:r>
      <w:r>
        <w:rPr>
          <w:rFonts w:hint="cs"/>
          <w:rtl/>
        </w:rPr>
        <w:t xml:space="preserve"> 5</w:t>
      </w:r>
      <w:r w:rsidR="008868B6" w:rsidRPr="001D4D5C">
        <w:rPr>
          <w:rtl/>
        </w:rPr>
        <w:t xml:space="preserve">: </w:t>
      </w:r>
      <w:r w:rsidR="008868B6" w:rsidRPr="001D4D5C">
        <w:rPr>
          <w:rFonts w:hint="eastAsia"/>
          <w:b/>
          <w:bCs/>
          <w:rtl/>
        </w:rPr>
        <w:t>תהליך</w:t>
      </w:r>
      <w:r w:rsidR="008868B6" w:rsidRPr="001D4D5C">
        <w:rPr>
          <w:b/>
          <w:bCs/>
          <w:rtl/>
        </w:rPr>
        <w:t xml:space="preserve"> </w:t>
      </w:r>
      <w:r w:rsidR="008868B6" w:rsidRPr="001D4D5C">
        <w:rPr>
          <w:rFonts w:hint="eastAsia"/>
          <w:b/>
          <w:bCs/>
          <w:rtl/>
        </w:rPr>
        <w:t>הכנת</w:t>
      </w:r>
      <w:r w:rsidR="008868B6" w:rsidRPr="001D4D5C">
        <w:rPr>
          <w:b/>
          <w:bCs/>
          <w:rtl/>
        </w:rPr>
        <w:t xml:space="preserve"> </w:t>
      </w:r>
      <w:r w:rsidR="008868B6" w:rsidRPr="001D4D5C">
        <w:rPr>
          <w:rFonts w:hint="eastAsia"/>
          <w:b/>
          <w:bCs/>
          <w:rtl/>
        </w:rPr>
        <w:t>בקשות</w:t>
      </w:r>
      <w:r w:rsidR="008868B6" w:rsidRPr="001D4D5C">
        <w:rPr>
          <w:b/>
          <w:bCs/>
          <w:rtl/>
        </w:rPr>
        <w:t xml:space="preserve"> </w:t>
      </w:r>
      <w:r w:rsidR="008868B6" w:rsidRPr="001D4D5C">
        <w:rPr>
          <w:rFonts w:hint="eastAsia"/>
          <w:b/>
          <w:bCs/>
          <w:rtl/>
        </w:rPr>
        <w:t>לצווי</w:t>
      </w:r>
      <w:r w:rsidR="008868B6" w:rsidRPr="001D4D5C">
        <w:rPr>
          <w:b/>
          <w:bCs/>
          <w:rtl/>
        </w:rPr>
        <w:t xml:space="preserve"> </w:t>
      </w:r>
      <w:r w:rsidR="008868B6" w:rsidRPr="001D4D5C">
        <w:rPr>
          <w:rFonts w:hint="eastAsia"/>
          <w:b/>
          <w:bCs/>
          <w:rtl/>
        </w:rPr>
        <w:t>האזנת</w:t>
      </w:r>
      <w:r w:rsidR="008868B6" w:rsidRPr="001D4D5C">
        <w:rPr>
          <w:b/>
          <w:bCs/>
          <w:rtl/>
        </w:rPr>
        <w:t xml:space="preserve"> </w:t>
      </w:r>
      <w:r w:rsidR="008868B6" w:rsidRPr="001D4D5C">
        <w:rPr>
          <w:rFonts w:hint="eastAsia"/>
          <w:b/>
          <w:bCs/>
          <w:rtl/>
        </w:rPr>
        <w:t>סתר</w:t>
      </w:r>
      <w:r w:rsidR="008868B6" w:rsidRPr="001D4D5C">
        <w:rPr>
          <w:b/>
          <w:bCs/>
          <w:rtl/>
        </w:rPr>
        <w:t xml:space="preserve"> </w:t>
      </w:r>
      <w:r w:rsidR="008868B6" w:rsidRPr="001D4D5C">
        <w:rPr>
          <w:rFonts w:hint="eastAsia"/>
          <w:b/>
          <w:bCs/>
          <w:rtl/>
        </w:rPr>
        <w:t>עד</w:t>
      </w:r>
      <w:r w:rsidR="008868B6" w:rsidRPr="001D4D5C">
        <w:rPr>
          <w:b/>
          <w:bCs/>
          <w:rtl/>
        </w:rPr>
        <w:t xml:space="preserve"> </w:t>
      </w:r>
      <w:r w:rsidR="008868B6" w:rsidRPr="001D4D5C">
        <w:rPr>
          <w:rFonts w:hint="eastAsia"/>
          <w:b/>
          <w:bCs/>
          <w:rtl/>
        </w:rPr>
        <w:t>לאישורן</w:t>
      </w:r>
      <w:bookmarkEnd w:id="216"/>
    </w:p>
    <w:p w:rsidR="00A67C09" w:rsidRDefault="00A67C09" w:rsidP="00604C3D">
      <w:pPr>
        <w:spacing w:line="269" w:lineRule="auto"/>
        <w:jc w:val="left"/>
        <w:rPr>
          <w:szCs w:val="20"/>
          <w:rtl/>
        </w:rPr>
      </w:pPr>
    </w:p>
    <w:p w:rsidR="008868B6" w:rsidRDefault="008868B6" w:rsidP="00604C3D">
      <w:pPr>
        <w:spacing w:line="269" w:lineRule="auto"/>
        <w:jc w:val="left"/>
        <w:rPr>
          <w:szCs w:val="20"/>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sidR="001A5BD9">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6F3119" w:rsidRPr="006F3119">
        <w:rPr>
          <w:szCs w:val="20"/>
          <w:vertAlign w:val="superscript"/>
          <w:rtl/>
        </w:rPr>
        <w:footnoteReference w:id="68"/>
      </w:r>
      <w:r w:rsidR="00647D09">
        <w:rPr>
          <w:rFonts w:hint="cs"/>
          <w:szCs w:val="20"/>
          <w:rtl/>
        </w:rPr>
        <w:t>.</w:t>
      </w:r>
    </w:p>
    <w:p w:rsidR="002B0E02" w:rsidRDefault="002B0E02" w:rsidP="00604C3D">
      <w:pPr>
        <w:spacing w:line="269" w:lineRule="auto"/>
        <w:rPr>
          <w:rStyle w:val="70"/>
          <w:rtl/>
        </w:rPr>
      </w:pPr>
    </w:p>
    <w:p w:rsidR="00F7382D" w:rsidRDefault="00F7382D" w:rsidP="00604C3D">
      <w:pPr>
        <w:spacing w:line="269" w:lineRule="auto"/>
        <w:rPr>
          <w:rtl/>
        </w:rPr>
      </w:pPr>
      <w:r w:rsidRPr="00E5396B">
        <w:rPr>
          <w:rStyle w:val="70"/>
          <w:rFonts w:hint="cs"/>
          <w:rtl/>
        </w:rPr>
        <w:t>שלב</w:t>
      </w:r>
      <w:r w:rsidR="00686537" w:rsidRPr="00E5396B">
        <w:rPr>
          <w:rStyle w:val="70"/>
          <w:rFonts w:hint="cs"/>
          <w:rtl/>
        </w:rPr>
        <w:t>י</w:t>
      </w:r>
      <w:r w:rsidRPr="00E5396B">
        <w:rPr>
          <w:rStyle w:val="70"/>
          <w:rFonts w:hint="cs"/>
          <w:rtl/>
        </w:rPr>
        <w:t xml:space="preserve"> הטיפול בבקשות</w:t>
      </w:r>
      <w:r w:rsidRPr="00E50433">
        <w:rPr>
          <w:rStyle w:val="70"/>
          <w:rFonts w:hint="cs"/>
          <w:rtl/>
        </w:rPr>
        <w:t>:</w:t>
      </w:r>
      <w:r>
        <w:rPr>
          <w:rFonts w:hint="cs"/>
          <w:rtl/>
        </w:rPr>
        <w:t xml:space="preserve"> מטבע הדברים חלק מהבקשות להאזנת סתר שהכינה המשטרה לא מומשו, </w:t>
      </w:r>
      <w:r w:rsidR="00EA67EB" w:rsidRPr="00EA67EB">
        <w:rPr>
          <w:rFonts w:hint="cs"/>
          <w:rtl/>
        </w:rPr>
        <w:t xml:space="preserve">ולהלן יובא ביאור </w:t>
      </w:r>
      <w:r>
        <w:rPr>
          <w:rFonts w:hint="cs"/>
          <w:rtl/>
        </w:rPr>
        <w:t xml:space="preserve">לגבי שלבי הטיפול השונים בבקשות: </w:t>
      </w:r>
      <w:r w:rsidRPr="00792430">
        <w:rPr>
          <w:rFonts w:hint="cs"/>
          <w:b/>
          <w:bCs/>
          <w:rtl/>
        </w:rPr>
        <w:t>הוכנו</w:t>
      </w:r>
      <w:r>
        <w:rPr>
          <w:rFonts w:hint="cs"/>
          <w:rtl/>
        </w:rPr>
        <w:t xml:space="preserve"> - היחידה החוקרת הכינה בקשות. בקשות אשר לא הוגשו לבית המשפט ונותרו בסטטוס 'הוכנו' הן בקשות שגורמים במשטרה לא אישרו להגיש אותן; </w:t>
      </w:r>
      <w:r w:rsidRPr="00792430">
        <w:rPr>
          <w:rFonts w:hint="cs"/>
          <w:b/>
          <w:bCs/>
          <w:rtl/>
        </w:rPr>
        <w:t>הוגשו</w:t>
      </w:r>
      <w:r>
        <w:rPr>
          <w:rFonts w:hint="cs"/>
          <w:rtl/>
        </w:rPr>
        <w:t xml:space="preserve"> - הבקשות הוגשו לבית המשפט. בקשות אשר הוגשו אך בית המשפט דחה אותן או המשטרה מחקה אותן בטרם נתקבלה החלטה שיפוטית נותרו בסטטוס 'הוגשו'; </w:t>
      </w:r>
      <w:r w:rsidRPr="00792430">
        <w:rPr>
          <w:rFonts w:hint="cs"/>
          <w:b/>
          <w:bCs/>
          <w:rtl/>
        </w:rPr>
        <w:t>אושרו</w:t>
      </w:r>
      <w:r>
        <w:rPr>
          <w:rFonts w:hint="cs"/>
          <w:rtl/>
        </w:rPr>
        <w:t xml:space="preserve"> - בית המשפט אישר את הבקשות. בקשות אשר אושרו</w:t>
      </w:r>
      <w:r w:rsidR="0049609C">
        <w:rPr>
          <w:rFonts w:hint="cs"/>
          <w:rtl/>
        </w:rPr>
        <w:t xml:space="preserve"> </w:t>
      </w:r>
      <w:r>
        <w:rPr>
          <w:rFonts w:hint="cs"/>
          <w:rtl/>
        </w:rPr>
        <w:t xml:space="preserve">אך המשטרה לא מימשה אותן נותרו בסטטוס 'אושרו'. </w:t>
      </w:r>
      <w:r w:rsidRPr="00792430">
        <w:rPr>
          <w:rFonts w:hint="cs"/>
          <w:b/>
          <w:bCs/>
          <w:rtl/>
        </w:rPr>
        <w:t>מומשו</w:t>
      </w:r>
      <w:r>
        <w:rPr>
          <w:rFonts w:hint="cs"/>
          <w:rtl/>
        </w:rPr>
        <w:t xml:space="preserve"> - המשטרה ביצעה האזנת סתר</w:t>
      </w:r>
      <w:bookmarkStart w:id="217" w:name="_Hlk169685522"/>
      <w:r>
        <w:rPr>
          <w:rFonts w:hint="cs"/>
          <w:rtl/>
        </w:rPr>
        <w:t>. יובהר כי עשויות להיות סיבות שונות לכך שבקשה הוכנה אך לא עברה את אחד השלבים שתוארו</w:t>
      </w:r>
      <w:bookmarkEnd w:id="217"/>
      <w:r>
        <w:rPr>
          <w:rFonts w:hint="cs"/>
          <w:rtl/>
        </w:rPr>
        <w:t xml:space="preserve">, בין היתר מטעמים אופרטיביים או בשל התפתחויות בחקירה. משרד מבקר המדינה בחן את שלבי הטיפול בבקשות ואת מספר הבקשות שהגיעו לכל שלב. לאור טבעו של הליך אישור הבקשה, מספר הבקשות שהגיעו לכל שלב הלך ופחת. בתרשים </w:t>
      </w:r>
      <w:r w:rsidR="005274FF">
        <w:rPr>
          <w:rFonts w:hint="cs"/>
          <w:rtl/>
        </w:rPr>
        <w:t>ש</w:t>
      </w:r>
      <w:r>
        <w:rPr>
          <w:rFonts w:hint="cs"/>
          <w:rtl/>
        </w:rPr>
        <w:t>להלן יוצגו ממצאי בחינתו:</w:t>
      </w:r>
    </w:p>
    <w:p w:rsidR="002B0E02" w:rsidRDefault="002B0E02" w:rsidP="00604C3D">
      <w:pPr>
        <w:spacing w:line="269" w:lineRule="auto"/>
        <w:ind w:left="-1"/>
        <w:jc w:val="center"/>
        <w:rPr>
          <w:rtl/>
        </w:rPr>
      </w:pPr>
    </w:p>
    <w:p w:rsidR="00F7382D" w:rsidRDefault="00F7382D" w:rsidP="00604C3D">
      <w:pPr>
        <w:spacing w:line="269" w:lineRule="auto"/>
        <w:ind w:left="-1"/>
        <w:jc w:val="center"/>
        <w:rPr>
          <w:b/>
          <w:bCs/>
          <w:rtl/>
        </w:rPr>
      </w:pPr>
      <w:r w:rsidRPr="0017071A">
        <w:rPr>
          <w:rFonts w:hint="eastAsia"/>
          <w:rtl/>
        </w:rPr>
        <w:t>תרשים</w:t>
      </w:r>
      <w:r w:rsidR="00E5396B">
        <w:rPr>
          <w:rFonts w:hint="cs"/>
          <w:rtl/>
        </w:rPr>
        <w:t xml:space="preserve"> 6</w:t>
      </w:r>
      <w:r w:rsidRPr="0017071A">
        <w:rPr>
          <w:rtl/>
        </w:rPr>
        <w:t>:</w:t>
      </w:r>
      <w:r>
        <w:rPr>
          <w:rFonts w:hint="cs"/>
          <w:rtl/>
        </w:rPr>
        <w:t xml:space="preserve"> </w:t>
      </w:r>
      <w:r>
        <w:rPr>
          <w:rFonts w:hint="cs"/>
          <w:b/>
          <w:bCs/>
          <w:rtl/>
        </w:rPr>
        <w:t>מספר הבקשות</w:t>
      </w:r>
      <w:r w:rsidRPr="00E94291">
        <w:rPr>
          <w:rFonts w:hint="cs"/>
          <w:b/>
          <w:bCs/>
          <w:rtl/>
        </w:rPr>
        <w:t xml:space="preserve"> </w:t>
      </w:r>
      <w:r>
        <w:rPr>
          <w:rFonts w:hint="cs"/>
          <w:b/>
          <w:bCs/>
          <w:rtl/>
        </w:rPr>
        <w:t>להאזנות סתר (מסוג שמע ותקשורת בין מחשבים)</w:t>
      </w:r>
      <w:r>
        <w:rPr>
          <w:rFonts w:hint="cs"/>
          <w:b/>
          <w:bCs/>
        </w:rPr>
        <w:t xml:space="preserve"> </w:t>
      </w:r>
    </w:p>
    <w:p w:rsidR="00F7382D" w:rsidRDefault="00FD7BAC" w:rsidP="00604C3D">
      <w:pPr>
        <w:spacing w:line="269" w:lineRule="auto"/>
        <w:ind w:left="-1"/>
        <w:jc w:val="center"/>
        <w:rPr>
          <w:b/>
          <w:bCs/>
          <w:rtl/>
        </w:rPr>
      </w:pPr>
      <w:r>
        <w:rPr>
          <w:rFonts w:hint="cs"/>
          <w:b/>
          <w:bCs/>
          <w:rtl/>
        </w:rPr>
        <w:t>שהגיעו לשלבי הטיפול השונים</w:t>
      </w:r>
      <w:r w:rsidR="00EC2826">
        <w:rPr>
          <w:rFonts w:hint="cs"/>
          <w:b/>
          <w:bCs/>
          <w:rtl/>
        </w:rPr>
        <w:t>,</w:t>
      </w:r>
      <w:r w:rsidRPr="00E94291">
        <w:rPr>
          <w:rFonts w:hint="cs"/>
          <w:b/>
          <w:bCs/>
          <w:rtl/>
        </w:rPr>
        <w:t xml:space="preserve"> 2019 </w:t>
      </w:r>
      <w:r w:rsidR="00F7382D" w:rsidRPr="00E94291">
        <w:rPr>
          <w:rFonts w:hint="cs"/>
          <w:b/>
          <w:bCs/>
          <w:rtl/>
        </w:rPr>
        <w:t>-</w:t>
      </w:r>
      <w:r w:rsidR="00E5396B">
        <w:rPr>
          <w:rFonts w:hint="cs"/>
          <w:b/>
          <w:bCs/>
          <w:rtl/>
        </w:rPr>
        <w:t xml:space="preserve"> </w:t>
      </w:r>
      <w:r w:rsidR="00F7382D" w:rsidRPr="00E94291">
        <w:rPr>
          <w:rFonts w:hint="cs"/>
          <w:b/>
          <w:bCs/>
          <w:rtl/>
        </w:rPr>
        <w:t>2021</w:t>
      </w:r>
    </w:p>
    <w:p w:rsidR="00866A55" w:rsidRDefault="00866A55" w:rsidP="00604C3D">
      <w:pPr>
        <w:spacing w:line="269" w:lineRule="auto"/>
        <w:rPr>
          <w:szCs w:val="20"/>
          <w:rtl/>
        </w:rPr>
      </w:pPr>
      <w:r>
        <w:rPr>
          <w:noProof/>
          <w:szCs w:val="20"/>
        </w:rPr>
        <w:drawing>
          <wp:inline distT="0" distB="0" distL="0" distR="0" wp14:anchorId="5C82AD0E" wp14:editId="4D2FC4A7">
            <wp:extent cx="5401310" cy="3596640"/>
            <wp:effectExtent l="0" t="0" r="8890" b="381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F7382D" w:rsidRPr="005244DD" w:rsidRDefault="00F7382D" w:rsidP="00604C3D">
      <w:pPr>
        <w:spacing w:line="269" w:lineRule="auto"/>
        <w:rPr>
          <w:szCs w:val="20"/>
          <w:rtl/>
        </w:rPr>
      </w:pPr>
      <w:r>
        <w:rPr>
          <w:rFonts w:hint="cs"/>
          <w:szCs w:val="20"/>
          <w:rtl/>
        </w:rPr>
        <w:t>על פי נתוני המשטרה, ב</w:t>
      </w:r>
      <w:r w:rsidRPr="005244DD">
        <w:rPr>
          <w:rFonts w:hint="cs"/>
          <w:szCs w:val="20"/>
          <w:rtl/>
        </w:rPr>
        <w:t>עיבוד משרד מבקר המדינה</w:t>
      </w:r>
      <w:r w:rsidR="00647D09">
        <w:rPr>
          <w:rFonts w:hint="cs"/>
          <w:szCs w:val="20"/>
          <w:rtl/>
        </w:rPr>
        <w:t>.</w:t>
      </w:r>
    </w:p>
    <w:p w:rsidR="002B0E02" w:rsidRDefault="002B0E02" w:rsidP="00604C3D">
      <w:pPr>
        <w:spacing w:line="269" w:lineRule="auto"/>
        <w:rPr>
          <w:rtl/>
        </w:rPr>
      </w:pPr>
    </w:p>
    <w:p w:rsidR="006F3119" w:rsidRPr="006F3119" w:rsidRDefault="00F7382D" w:rsidP="00604C3D">
      <w:pPr>
        <w:spacing w:line="269" w:lineRule="auto"/>
        <w:rPr>
          <w:rtl/>
        </w:rPr>
      </w:pPr>
      <w:r w:rsidRPr="005571ED">
        <w:rPr>
          <w:rFonts w:hint="eastAsia"/>
          <w:rtl/>
        </w:rPr>
        <w:t>מן</w:t>
      </w:r>
      <w:r w:rsidRPr="005571ED">
        <w:rPr>
          <w:rtl/>
        </w:rPr>
        <w:t xml:space="preserve"> </w:t>
      </w:r>
      <w:r w:rsidRPr="005571ED">
        <w:rPr>
          <w:rFonts w:hint="eastAsia"/>
          <w:rtl/>
        </w:rPr>
        <w:t>התרשים</w:t>
      </w:r>
      <w:r w:rsidRPr="005571ED">
        <w:rPr>
          <w:rtl/>
        </w:rPr>
        <w:t xml:space="preserve"> </w:t>
      </w:r>
      <w:r w:rsidRPr="005571ED">
        <w:rPr>
          <w:rFonts w:hint="eastAsia"/>
          <w:rtl/>
        </w:rPr>
        <w:t>עולה</w:t>
      </w:r>
      <w:r w:rsidRPr="005571ED">
        <w:rPr>
          <w:rtl/>
        </w:rPr>
        <w:t xml:space="preserve"> </w:t>
      </w:r>
      <w:r w:rsidRPr="005571ED">
        <w:rPr>
          <w:rFonts w:hint="eastAsia"/>
          <w:rtl/>
        </w:rPr>
        <w:t>כי</w:t>
      </w:r>
      <w:r w:rsidRPr="005571ED">
        <w:rPr>
          <w:rtl/>
        </w:rPr>
        <w:t xml:space="preserve"> </w:t>
      </w:r>
      <w:r w:rsidRPr="005571ED">
        <w:rPr>
          <w:rFonts w:hint="eastAsia"/>
          <w:rtl/>
        </w:rPr>
        <w:t>בשלוש</w:t>
      </w:r>
      <w:r w:rsidRPr="005571ED">
        <w:rPr>
          <w:rtl/>
        </w:rPr>
        <w:t xml:space="preserve"> </w:t>
      </w:r>
      <w:r w:rsidRPr="005571ED">
        <w:rPr>
          <w:rFonts w:hint="eastAsia"/>
          <w:rtl/>
        </w:rPr>
        <w:t>השנים</w:t>
      </w:r>
      <w:r w:rsidRPr="005571ED">
        <w:rPr>
          <w:rtl/>
        </w:rPr>
        <w:t xml:space="preserve"> </w:t>
      </w:r>
      <w:r w:rsidRPr="005571ED">
        <w:rPr>
          <w:rFonts w:hint="eastAsia"/>
          <w:rtl/>
        </w:rPr>
        <w:t>האחרונות</w:t>
      </w:r>
      <w:r w:rsidRPr="005571ED">
        <w:rPr>
          <w:rtl/>
        </w:rPr>
        <w:t xml:space="preserve"> </w:t>
      </w:r>
      <w:r w:rsidRPr="005571ED">
        <w:rPr>
          <w:rFonts w:hint="eastAsia"/>
          <w:rtl/>
        </w:rPr>
        <w:t>הייתה</w:t>
      </w:r>
      <w:r w:rsidRPr="005571ED">
        <w:rPr>
          <w:rtl/>
        </w:rPr>
        <w:t xml:space="preserve"> </w:t>
      </w:r>
      <w:r w:rsidRPr="005571ED">
        <w:rPr>
          <w:rFonts w:hint="eastAsia"/>
          <w:rtl/>
        </w:rPr>
        <w:t>מגמה</w:t>
      </w:r>
      <w:r w:rsidRPr="005571ED">
        <w:rPr>
          <w:rtl/>
        </w:rPr>
        <w:t xml:space="preserve"> </w:t>
      </w:r>
      <w:r w:rsidRPr="005571ED">
        <w:rPr>
          <w:rFonts w:hint="eastAsia"/>
          <w:rtl/>
        </w:rPr>
        <w:t>מעורבת</w:t>
      </w:r>
      <w:r w:rsidRPr="005571ED">
        <w:rPr>
          <w:rtl/>
        </w:rPr>
        <w:t xml:space="preserve"> </w:t>
      </w:r>
      <w:r w:rsidR="0007259C">
        <w:rPr>
          <w:rFonts w:hint="cs"/>
          <w:rtl/>
        </w:rPr>
        <w:t xml:space="preserve">בנוגע </w:t>
      </w:r>
      <w:r w:rsidRPr="005571ED">
        <w:rPr>
          <w:rFonts w:hint="eastAsia"/>
          <w:rtl/>
        </w:rPr>
        <w:t>למספר</w:t>
      </w:r>
      <w:r w:rsidRPr="005571ED">
        <w:rPr>
          <w:rtl/>
        </w:rPr>
        <w:t xml:space="preserve"> </w:t>
      </w:r>
      <w:r w:rsidRPr="005571ED">
        <w:rPr>
          <w:rFonts w:hint="eastAsia"/>
          <w:rtl/>
        </w:rPr>
        <w:t>הבקשות</w:t>
      </w:r>
      <w:r w:rsidRPr="005571ED">
        <w:rPr>
          <w:rtl/>
        </w:rPr>
        <w:t xml:space="preserve"> </w:t>
      </w:r>
      <w:r w:rsidRPr="005571ED">
        <w:rPr>
          <w:rFonts w:hint="eastAsia"/>
          <w:rtl/>
        </w:rPr>
        <w:t>להאזנות</w:t>
      </w:r>
      <w:r w:rsidRPr="005571ED">
        <w:rPr>
          <w:rtl/>
        </w:rPr>
        <w:t xml:space="preserve"> </w:t>
      </w:r>
      <w:r w:rsidRPr="005571ED">
        <w:rPr>
          <w:rFonts w:hint="eastAsia"/>
          <w:rtl/>
        </w:rPr>
        <w:t>סתר</w:t>
      </w:r>
      <w:r w:rsidRPr="005571ED">
        <w:rPr>
          <w:rtl/>
        </w:rPr>
        <w:t xml:space="preserve">. </w:t>
      </w:r>
      <w:r w:rsidRPr="005571ED">
        <w:rPr>
          <w:rFonts w:hint="eastAsia"/>
          <w:rtl/>
        </w:rPr>
        <w:t>שיעור</w:t>
      </w:r>
      <w:r w:rsidRPr="005571ED">
        <w:rPr>
          <w:rtl/>
        </w:rPr>
        <w:t xml:space="preserve"> </w:t>
      </w:r>
      <w:r w:rsidRPr="005571ED">
        <w:rPr>
          <w:rFonts w:hint="eastAsia"/>
          <w:rtl/>
        </w:rPr>
        <w:t>הפחת</w:t>
      </w:r>
      <w:r w:rsidRPr="005571ED">
        <w:rPr>
          <w:rtl/>
        </w:rPr>
        <w:t xml:space="preserve"> </w:t>
      </w:r>
      <w:r w:rsidRPr="005571ED">
        <w:rPr>
          <w:rFonts w:hint="eastAsia"/>
          <w:rtl/>
        </w:rPr>
        <w:t>של</w:t>
      </w:r>
      <w:r w:rsidRPr="005571ED">
        <w:rPr>
          <w:rtl/>
        </w:rPr>
        <w:t xml:space="preserve"> </w:t>
      </w:r>
      <w:r w:rsidRPr="005571ED">
        <w:rPr>
          <w:rFonts w:hint="eastAsia"/>
          <w:rtl/>
        </w:rPr>
        <w:t>הבקשות</w:t>
      </w:r>
      <w:r w:rsidRPr="005571ED">
        <w:rPr>
          <w:rtl/>
        </w:rPr>
        <w:t xml:space="preserve"> </w:t>
      </w:r>
      <w:r w:rsidRPr="005571ED">
        <w:rPr>
          <w:rFonts w:hint="eastAsia"/>
          <w:rtl/>
        </w:rPr>
        <w:t>שהוגשו</w:t>
      </w:r>
      <w:r w:rsidRPr="005571ED">
        <w:rPr>
          <w:rtl/>
        </w:rPr>
        <w:t xml:space="preserve"> </w:t>
      </w:r>
      <w:r w:rsidRPr="005571ED">
        <w:rPr>
          <w:rFonts w:hint="eastAsia"/>
          <w:rtl/>
        </w:rPr>
        <w:t>ואושרו</w:t>
      </w:r>
      <w:r w:rsidRPr="005571ED">
        <w:rPr>
          <w:rtl/>
        </w:rPr>
        <w:t xml:space="preserve"> </w:t>
      </w:r>
      <w:r w:rsidRPr="005571ED">
        <w:rPr>
          <w:rFonts w:hint="eastAsia"/>
          <w:rtl/>
        </w:rPr>
        <w:t>מתוך</w:t>
      </w:r>
      <w:r w:rsidRPr="005571ED">
        <w:rPr>
          <w:rtl/>
        </w:rPr>
        <w:t xml:space="preserve"> </w:t>
      </w:r>
      <w:r w:rsidRPr="005571ED">
        <w:rPr>
          <w:rFonts w:hint="eastAsia"/>
          <w:rtl/>
        </w:rPr>
        <w:t>הבקשות</w:t>
      </w:r>
      <w:r w:rsidRPr="005571ED">
        <w:rPr>
          <w:rtl/>
        </w:rPr>
        <w:t xml:space="preserve"> </w:t>
      </w:r>
      <w:r w:rsidRPr="005571ED">
        <w:rPr>
          <w:rFonts w:hint="eastAsia"/>
          <w:rtl/>
        </w:rPr>
        <w:t>שהוכנו</w:t>
      </w:r>
      <w:r w:rsidRPr="005571ED">
        <w:rPr>
          <w:rtl/>
        </w:rPr>
        <w:t xml:space="preserve"> </w:t>
      </w:r>
      <w:r w:rsidRPr="005571ED">
        <w:rPr>
          <w:rFonts w:hint="eastAsia"/>
          <w:rtl/>
        </w:rPr>
        <w:t>נותר</w:t>
      </w:r>
      <w:r w:rsidRPr="005571ED">
        <w:rPr>
          <w:rtl/>
        </w:rPr>
        <w:t xml:space="preserve"> </w:t>
      </w:r>
      <w:r w:rsidRPr="005571ED">
        <w:rPr>
          <w:rFonts w:hint="eastAsia"/>
          <w:rtl/>
        </w:rPr>
        <w:t>קבוע</w:t>
      </w:r>
      <w:r w:rsidRPr="005571ED">
        <w:rPr>
          <w:rtl/>
        </w:rPr>
        <w:t xml:space="preserve"> </w:t>
      </w:r>
      <w:r w:rsidR="00E264D8">
        <w:rPr>
          <w:rtl/>
        </w:rPr>
        <w:br/>
      </w:r>
      <w:r w:rsidRPr="005571ED">
        <w:rPr>
          <w:rtl/>
        </w:rPr>
        <w:t xml:space="preserve">(כ-6% </w:t>
      </w:r>
      <w:r w:rsidRPr="005571ED">
        <w:rPr>
          <w:rFonts w:hint="eastAsia"/>
          <w:rtl/>
        </w:rPr>
        <w:t>מהבקשות</w:t>
      </w:r>
      <w:r w:rsidRPr="005571ED">
        <w:rPr>
          <w:rtl/>
        </w:rPr>
        <w:t xml:space="preserve"> </w:t>
      </w:r>
      <w:r w:rsidRPr="005571ED">
        <w:rPr>
          <w:rFonts w:hint="eastAsia"/>
          <w:rtl/>
        </w:rPr>
        <w:t>שהוכנו</w:t>
      </w:r>
      <w:r w:rsidRPr="005571ED">
        <w:rPr>
          <w:rtl/>
        </w:rPr>
        <w:t xml:space="preserve"> </w:t>
      </w:r>
      <w:r w:rsidRPr="005571ED">
        <w:rPr>
          <w:rFonts w:hint="eastAsia"/>
          <w:rtl/>
        </w:rPr>
        <w:t>נשללו</w:t>
      </w:r>
      <w:r w:rsidRPr="005571ED">
        <w:rPr>
          <w:rtl/>
        </w:rPr>
        <w:t xml:space="preserve"> </w:t>
      </w:r>
      <w:r w:rsidRPr="005571ED">
        <w:rPr>
          <w:rFonts w:hint="eastAsia"/>
          <w:rtl/>
        </w:rPr>
        <w:t>על</w:t>
      </w:r>
      <w:r w:rsidRPr="005571ED">
        <w:rPr>
          <w:rtl/>
        </w:rPr>
        <w:t xml:space="preserve"> </w:t>
      </w:r>
      <w:r w:rsidRPr="005571ED">
        <w:rPr>
          <w:rFonts w:hint="eastAsia"/>
          <w:rtl/>
        </w:rPr>
        <w:t>ידי</w:t>
      </w:r>
      <w:r w:rsidRPr="005571ED">
        <w:rPr>
          <w:rtl/>
        </w:rPr>
        <w:t xml:space="preserve"> </w:t>
      </w:r>
      <w:r w:rsidRPr="005571ED">
        <w:rPr>
          <w:rFonts w:hint="eastAsia"/>
          <w:rtl/>
        </w:rPr>
        <w:t>הגורמים</w:t>
      </w:r>
      <w:r w:rsidRPr="005571ED">
        <w:rPr>
          <w:rtl/>
        </w:rPr>
        <w:t xml:space="preserve"> </w:t>
      </w:r>
      <w:r w:rsidRPr="005571ED">
        <w:rPr>
          <w:rFonts w:hint="eastAsia"/>
          <w:rtl/>
        </w:rPr>
        <w:t>הפנימיים</w:t>
      </w:r>
      <w:r w:rsidRPr="005571ED">
        <w:rPr>
          <w:rtl/>
        </w:rPr>
        <w:t xml:space="preserve"> </w:t>
      </w:r>
      <w:r w:rsidRPr="005571ED">
        <w:rPr>
          <w:rFonts w:hint="eastAsia"/>
          <w:rtl/>
        </w:rPr>
        <w:t>במשטרה</w:t>
      </w:r>
      <w:r w:rsidRPr="005571ED">
        <w:rPr>
          <w:rtl/>
        </w:rPr>
        <w:t xml:space="preserve"> </w:t>
      </w:r>
      <w:r w:rsidRPr="005571ED">
        <w:rPr>
          <w:rFonts w:hint="eastAsia"/>
          <w:rtl/>
        </w:rPr>
        <w:t>לפני</w:t>
      </w:r>
      <w:r w:rsidRPr="005571ED">
        <w:rPr>
          <w:rtl/>
        </w:rPr>
        <w:t xml:space="preserve"> </w:t>
      </w:r>
      <w:r w:rsidRPr="005571ED">
        <w:rPr>
          <w:rFonts w:hint="eastAsia"/>
          <w:rtl/>
        </w:rPr>
        <w:t>הגשתן</w:t>
      </w:r>
      <w:r w:rsidRPr="005571ED">
        <w:rPr>
          <w:rtl/>
        </w:rPr>
        <w:t xml:space="preserve"> </w:t>
      </w:r>
      <w:r w:rsidRPr="005571ED">
        <w:rPr>
          <w:rFonts w:hint="eastAsia"/>
          <w:rtl/>
        </w:rPr>
        <w:t>לבית</w:t>
      </w:r>
      <w:r w:rsidRPr="005571ED">
        <w:rPr>
          <w:rtl/>
        </w:rPr>
        <w:t xml:space="preserve"> </w:t>
      </w:r>
      <w:r w:rsidRPr="005571ED">
        <w:rPr>
          <w:rFonts w:hint="eastAsia"/>
          <w:rtl/>
        </w:rPr>
        <w:t>המשפט</w:t>
      </w:r>
      <w:r w:rsidRPr="005571ED">
        <w:rPr>
          <w:rtl/>
        </w:rPr>
        <w:t xml:space="preserve">, </w:t>
      </w:r>
      <w:bookmarkStart w:id="218" w:name="_Hlk178228118"/>
      <w:r w:rsidR="00FD7BAC" w:rsidRPr="005571ED">
        <w:rPr>
          <w:rFonts w:hint="eastAsia"/>
          <w:rtl/>
        </w:rPr>
        <w:t>וכ</w:t>
      </w:r>
      <w:r w:rsidR="00FD7BAC" w:rsidRPr="005571ED">
        <w:rPr>
          <w:rtl/>
        </w:rPr>
        <w:t xml:space="preserve">-4% </w:t>
      </w:r>
      <w:r w:rsidR="00E80527">
        <w:rPr>
          <w:rFonts w:hint="cs"/>
          <w:rtl/>
        </w:rPr>
        <w:t xml:space="preserve">נמחקו </w:t>
      </w:r>
      <w:r>
        <w:rPr>
          <w:rtl/>
        </w:rPr>
        <w:t xml:space="preserve">על ידי המשטרה </w:t>
      </w:r>
      <w:bookmarkEnd w:id="218"/>
      <w:r w:rsidRPr="005571ED">
        <w:rPr>
          <w:rFonts w:hint="eastAsia"/>
          <w:rtl/>
        </w:rPr>
        <w:t>או</w:t>
      </w:r>
      <w:r w:rsidRPr="005571ED">
        <w:rPr>
          <w:rtl/>
        </w:rPr>
        <w:t xml:space="preserve"> </w:t>
      </w:r>
      <w:r w:rsidRPr="005571ED">
        <w:rPr>
          <w:rFonts w:hint="eastAsia"/>
          <w:rtl/>
        </w:rPr>
        <w:t>נדחו</w:t>
      </w:r>
      <w:r w:rsidRPr="005571ED">
        <w:rPr>
          <w:rtl/>
        </w:rPr>
        <w:t xml:space="preserve"> </w:t>
      </w:r>
      <w:r w:rsidRPr="005571ED">
        <w:rPr>
          <w:rFonts w:hint="eastAsia"/>
          <w:rtl/>
        </w:rPr>
        <w:t>בבית</w:t>
      </w:r>
      <w:r w:rsidRPr="005571ED">
        <w:rPr>
          <w:rtl/>
        </w:rPr>
        <w:t xml:space="preserve"> </w:t>
      </w:r>
      <w:r w:rsidRPr="005571ED">
        <w:rPr>
          <w:rFonts w:hint="eastAsia"/>
          <w:rtl/>
        </w:rPr>
        <w:t>המשפט</w:t>
      </w:r>
      <w:r w:rsidRPr="005571ED">
        <w:rPr>
          <w:rtl/>
        </w:rPr>
        <w:t xml:space="preserve">). </w:t>
      </w:r>
      <w:r w:rsidRPr="005571ED">
        <w:rPr>
          <w:rFonts w:hint="eastAsia"/>
          <w:rtl/>
        </w:rPr>
        <w:t>עוד</w:t>
      </w:r>
      <w:r w:rsidRPr="005571ED">
        <w:rPr>
          <w:rtl/>
        </w:rPr>
        <w:t xml:space="preserve"> </w:t>
      </w:r>
      <w:r w:rsidRPr="005571ED">
        <w:rPr>
          <w:rFonts w:hint="eastAsia"/>
          <w:rtl/>
        </w:rPr>
        <w:t>עולה</w:t>
      </w:r>
      <w:r w:rsidRPr="005571ED">
        <w:rPr>
          <w:rtl/>
        </w:rPr>
        <w:t xml:space="preserve"> </w:t>
      </w:r>
      <w:r w:rsidRPr="005571ED">
        <w:rPr>
          <w:rFonts w:hint="eastAsia"/>
          <w:rtl/>
        </w:rPr>
        <w:t>כי</w:t>
      </w:r>
      <w:r w:rsidRPr="005571ED">
        <w:rPr>
          <w:rtl/>
        </w:rPr>
        <w:t xml:space="preserve"> </w:t>
      </w:r>
      <w:r w:rsidR="00D47C32" w:rsidRPr="005571ED">
        <w:rPr>
          <w:rFonts w:hint="eastAsia"/>
          <w:rtl/>
        </w:rPr>
        <w:t>שיעור</w:t>
      </w:r>
      <w:r w:rsidR="00D47C32" w:rsidRPr="005571ED">
        <w:rPr>
          <w:rtl/>
        </w:rPr>
        <w:t xml:space="preserve"> </w:t>
      </w:r>
      <w:r w:rsidR="00D47C32" w:rsidRPr="005571ED">
        <w:rPr>
          <w:rFonts w:hint="eastAsia"/>
          <w:rtl/>
        </w:rPr>
        <w:t>הבקשות</w:t>
      </w:r>
      <w:r w:rsidR="00D47C32" w:rsidRPr="005571ED">
        <w:rPr>
          <w:rtl/>
        </w:rPr>
        <w:t xml:space="preserve"> </w:t>
      </w:r>
      <w:r w:rsidR="006F3119" w:rsidRPr="006F3119">
        <w:rPr>
          <w:rFonts w:hint="eastAsia"/>
          <w:rtl/>
        </w:rPr>
        <w:t>שמומשו</w:t>
      </w:r>
      <w:r w:rsidR="006F3119" w:rsidRPr="006F3119">
        <w:rPr>
          <w:rFonts w:hint="cs"/>
          <w:rtl/>
        </w:rPr>
        <w:t xml:space="preserve"> ביחס לאלו שאושרו</w:t>
      </w:r>
      <w:r w:rsidR="006F3119" w:rsidRPr="006F3119">
        <w:rPr>
          <w:rtl/>
        </w:rPr>
        <w:t xml:space="preserve"> </w:t>
      </w:r>
      <w:r w:rsidR="006F3119" w:rsidRPr="006F3119">
        <w:rPr>
          <w:rFonts w:hint="eastAsia"/>
          <w:rtl/>
        </w:rPr>
        <w:t>בכל</w:t>
      </w:r>
      <w:r w:rsidR="006F3119" w:rsidRPr="006F3119">
        <w:rPr>
          <w:rtl/>
        </w:rPr>
        <w:t xml:space="preserve"> </w:t>
      </w:r>
      <w:r w:rsidR="006F3119" w:rsidRPr="006F3119">
        <w:rPr>
          <w:rFonts w:hint="eastAsia"/>
          <w:rtl/>
        </w:rPr>
        <w:t>שנה</w:t>
      </w:r>
      <w:r w:rsidR="006F3119" w:rsidRPr="006F3119">
        <w:rPr>
          <w:rtl/>
        </w:rPr>
        <w:t xml:space="preserve"> </w:t>
      </w:r>
      <w:r w:rsidR="006F3119" w:rsidRPr="006F3119">
        <w:rPr>
          <w:rFonts w:hint="cs"/>
          <w:rtl/>
        </w:rPr>
        <w:t>אינו</w:t>
      </w:r>
      <w:r w:rsidR="006F3119" w:rsidRPr="006F3119">
        <w:rPr>
          <w:rtl/>
        </w:rPr>
        <w:t xml:space="preserve"> </w:t>
      </w:r>
      <w:r w:rsidR="006F3119" w:rsidRPr="006F3119">
        <w:rPr>
          <w:rFonts w:hint="eastAsia"/>
          <w:rtl/>
        </w:rPr>
        <w:t>עקבי</w:t>
      </w:r>
      <w:r w:rsidR="006F3119" w:rsidRPr="006F3119">
        <w:rPr>
          <w:rtl/>
        </w:rPr>
        <w:t>.</w:t>
      </w:r>
    </w:p>
    <w:p w:rsidR="002B0E02" w:rsidRDefault="002B0E02" w:rsidP="00604C3D">
      <w:pPr>
        <w:spacing w:line="269" w:lineRule="auto"/>
        <w:rPr>
          <w:rtl/>
        </w:rPr>
      </w:pPr>
      <w:bookmarkStart w:id="219" w:name="_Hlk190002532"/>
    </w:p>
    <w:p w:rsidR="004355A0" w:rsidRDefault="006F3119" w:rsidP="00604C3D">
      <w:pPr>
        <w:spacing w:line="269" w:lineRule="auto"/>
        <w:rPr>
          <w:szCs w:val="20"/>
          <w:rtl/>
        </w:rPr>
      </w:pPr>
      <w:r w:rsidRPr="006F3119">
        <w:rPr>
          <w:rFonts w:hint="eastAsia"/>
          <w:rtl/>
        </w:rPr>
        <w:t>מנתוני</w:t>
      </w:r>
      <w:r w:rsidRPr="006F3119">
        <w:rPr>
          <w:rtl/>
        </w:rPr>
        <w:t xml:space="preserve"> </w:t>
      </w:r>
      <w:r w:rsidRPr="006F3119">
        <w:rPr>
          <w:rFonts w:hint="eastAsia"/>
          <w:rtl/>
        </w:rPr>
        <w:t>המשטרה</w:t>
      </w:r>
      <w:r w:rsidRPr="006F3119">
        <w:rPr>
          <w:rtl/>
        </w:rPr>
        <w:t xml:space="preserve"> </w:t>
      </w:r>
      <w:r w:rsidRPr="006F3119">
        <w:rPr>
          <w:rFonts w:hint="eastAsia"/>
          <w:rtl/>
        </w:rPr>
        <w:t>עולה</w:t>
      </w:r>
      <w:r w:rsidRPr="006F3119">
        <w:rPr>
          <w:rtl/>
        </w:rPr>
        <w:t xml:space="preserve"> </w:t>
      </w:r>
      <w:r w:rsidRPr="006F3119">
        <w:rPr>
          <w:rFonts w:hint="eastAsia"/>
          <w:rtl/>
        </w:rPr>
        <w:t>כי</w:t>
      </w:r>
      <w:r w:rsidRPr="006F3119">
        <w:rPr>
          <w:rtl/>
        </w:rPr>
        <w:t xml:space="preserve"> </w:t>
      </w:r>
      <w:r w:rsidRPr="006F3119">
        <w:rPr>
          <w:rFonts w:hint="eastAsia"/>
          <w:rtl/>
        </w:rPr>
        <w:t>בשנים</w:t>
      </w:r>
      <w:r w:rsidRPr="006F3119">
        <w:rPr>
          <w:rtl/>
        </w:rPr>
        <w:t xml:space="preserve"> 2019 </w:t>
      </w:r>
      <w:r w:rsidR="00866A55">
        <w:rPr>
          <w:rFonts w:hint="cs"/>
          <w:rtl/>
        </w:rPr>
        <w:t>-</w:t>
      </w:r>
      <w:r w:rsidRPr="006F3119">
        <w:rPr>
          <w:rtl/>
        </w:rPr>
        <w:t xml:space="preserve"> 2021</w:t>
      </w:r>
      <w:r w:rsidRPr="006F3119">
        <w:rPr>
          <w:rFonts w:hint="cs"/>
          <w:rtl/>
        </w:rPr>
        <w:t xml:space="preserve"> שללה המשטרה</w:t>
      </w:r>
      <w:r w:rsidRPr="006F3119">
        <w:rPr>
          <w:rtl/>
        </w:rPr>
        <w:t xml:space="preserve"> </w:t>
      </w:r>
      <w:r w:rsidR="0016720E" w:rsidRPr="006F3119">
        <w:rPr>
          <w:rtl/>
        </w:rPr>
        <w:t>כ-6% מהבקשות שהוכנו</w:t>
      </w:r>
      <w:r w:rsidR="0016720E" w:rsidRPr="006F3119">
        <w:rPr>
          <w:rFonts w:hint="eastAsia"/>
          <w:rtl/>
        </w:rPr>
        <w:t xml:space="preserve"> </w:t>
      </w:r>
      <w:r w:rsidRPr="006F3119">
        <w:rPr>
          <w:rFonts w:hint="eastAsia"/>
          <w:rtl/>
        </w:rPr>
        <w:t>מהבקשות</w:t>
      </w:r>
      <w:r w:rsidRPr="006F3119">
        <w:rPr>
          <w:rtl/>
        </w:rPr>
        <w:t xml:space="preserve"> </w:t>
      </w:r>
      <w:r w:rsidRPr="006F3119">
        <w:rPr>
          <w:rFonts w:hint="eastAsia"/>
          <w:rtl/>
        </w:rPr>
        <w:t>להאזנת</w:t>
      </w:r>
      <w:r w:rsidRPr="006F3119">
        <w:rPr>
          <w:rtl/>
        </w:rPr>
        <w:t xml:space="preserve"> </w:t>
      </w:r>
      <w:r w:rsidRPr="006F3119">
        <w:rPr>
          <w:rFonts w:hint="eastAsia"/>
          <w:rtl/>
        </w:rPr>
        <w:t>סתר</w:t>
      </w:r>
      <w:r w:rsidRPr="006F3119">
        <w:rPr>
          <w:rtl/>
        </w:rPr>
        <w:t xml:space="preserve"> </w:t>
      </w:r>
      <w:r w:rsidRPr="006F3119">
        <w:rPr>
          <w:rFonts w:hint="eastAsia"/>
          <w:rtl/>
        </w:rPr>
        <w:t>מסוג</w:t>
      </w:r>
      <w:r w:rsidRPr="006F3119">
        <w:rPr>
          <w:rtl/>
        </w:rPr>
        <w:t xml:space="preserve"> </w:t>
      </w:r>
      <w:r w:rsidRPr="006F3119">
        <w:rPr>
          <w:rFonts w:hint="eastAsia"/>
          <w:rtl/>
        </w:rPr>
        <w:t>שמע</w:t>
      </w:r>
      <w:r w:rsidRPr="006F3119">
        <w:rPr>
          <w:rtl/>
        </w:rPr>
        <w:t xml:space="preserve"> </w:t>
      </w:r>
      <w:r w:rsidRPr="006F3119">
        <w:rPr>
          <w:rFonts w:hint="eastAsia"/>
          <w:rtl/>
        </w:rPr>
        <w:t>שהכינה</w:t>
      </w:r>
      <w:r w:rsidRPr="006F3119">
        <w:rPr>
          <w:rtl/>
        </w:rPr>
        <w:t xml:space="preserve"> </w:t>
      </w:r>
      <w:r w:rsidRPr="006F3119">
        <w:rPr>
          <w:rFonts w:hint="eastAsia"/>
          <w:rtl/>
        </w:rPr>
        <w:t>היחידה</w:t>
      </w:r>
      <w:r w:rsidRPr="006F3119">
        <w:rPr>
          <w:rtl/>
        </w:rPr>
        <w:t xml:space="preserve"> </w:t>
      </w:r>
      <w:r w:rsidRPr="006F3119">
        <w:rPr>
          <w:rFonts w:hint="eastAsia"/>
          <w:rtl/>
        </w:rPr>
        <w:t>המזמינה</w:t>
      </w:r>
      <w:r w:rsidRPr="006F3119">
        <w:rPr>
          <w:vertAlign w:val="superscript"/>
          <w:rtl/>
        </w:rPr>
        <w:footnoteReference w:id="69"/>
      </w:r>
      <w:r w:rsidRPr="006F3119">
        <w:rPr>
          <w:rtl/>
        </w:rPr>
        <w:t xml:space="preserve"> במסגרת הליך בקרה פנימי</w:t>
      </w:r>
      <w:r w:rsidR="00C87935">
        <w:rPr>
          <w:rFonts w:hint="cs"/>
          <w:rtl/>
        </w:rPr>
        <w:t>;</w:t>
      </w:r>
      <w:r w:rsidR="00382AE8">
        <w:rPr>
          <w:rtl/>
        </w:rPr>
        <w:t xml:space="preserve"> </w:t>
      </w:r>
      <w:r w:rsidR="0016720E" w:rsidRPr="005571ED">
        <w:rPr>
          <w:rtl/>
        </w:rPr>
        <w:t xml:space="preserve">כ-4% </w:t>
      </w:r>
      <w:r w:rsidRPr="006F3119">
        <w:rPr>
          <w:rtl/>
        </w:rPr>
        <w:t xml:space="preserve">מהבקשות </w:t>
      </w:r>
      <w:r w:rsidR="00F7382D" w:rsidRPr="005571ED">
        <w:rPr>
          <w:rtl/>
        </w:rPr>
        <w:t>שהוגשו</w:t>
      </w:r>
      <w:r w:rsidR="00F7382D" w:rsidRPr="005571ED">
        <w:t xml:space="preserve"> </w:t>
      </w:r>
      <w:r w:rsidR="00F7382D" w:rsidRPr="005571ED">
        <w:rPr>
          <w:rFonts w:hint="eastAsia"/>
          <w:rtl/>
        </w:rPr>
        <w:t>נדחו</w:t>
      </w:r>
      <w:r w:rsidR="00F7382D" w:rsidRPr="005571ED">
        <w:rPr>
          <w:rtl/>
        </w:rPr>
        <w:t xml:space="preserve"> </w:t>
      </w:r>
      <w:r w:rsidR="00F7382D" w:rsidRPr="005571ED">
        <w:rPr>
          <w:rFonts w:hint="eastAsia"/>
          <w:rtl/>
        </w:rPr>
        <w:t>על</w:t>
      </w:r>
      <w:r w:rsidR="00F7382D" w:rsidRPr="005571ED">
        <w:rPr>
          <w:rtl/>
        </w:rPr>
        <w:t xml:space="preserve"> </w:t>
      </w:r>
      <w:r w:rsidR="00F7382D" w:rsidRPr="005571ED">
        <w:rPr>
          <w:rFonts w:hint="eastAsia"/>
          <w:rtl/>
        </w:rPr>
        <w:t>ידי</w:t>
      </w:r>
      <w:r w:rsidR="00F7382D" w:rsidRPr="005571ED">
        <w:rPr>
          <w:rtl/>
        </w:rPr>
        <w:t xml:space="preserve"> </w:t>
      </w:r>
      <w:r w:rsidR="00F7382D" w:rsidRPr="005571ED">
        <w:rPr>
          <w:rFonts w:hint="eastAsia"/>
          <w:rtl/>
        </w:rPr>
        <w:t>בית</w:t>
      </w:r>
      <w:r w:rsidR="00F7382D" w:rsidRPr="005571ED">
        <w:rPr>
          <w:rtl/>
        </w:rPr>
        <w:t xml:space="preserve"> </w:t>
      </w:r>
      <w:r w:rsidR="00F7382D" w:rsidRPr="005571ED">
        <w:rPr>
          <w:rFonts w:hint="eastAsia"/>
          <w:rtl/>
        </w:rPr>
        <w:t>המשפט</w:t>
      </w:r>
      <w:r w:rsidR="00F7382D" w:rsidRPr="005571ED">
        <w:rPr>
          <w:rtl/>
        </w:rPr>
        <w:t xml:space="preserve"> </w:t>
      </w:r>
      <w:r w:rsidR="00F7382D" w:rsidRPr="005571ED">
        <w:rPr>
          <w:rFonts w:hint="eastAsia"/>
          <w:rtl/>
        </w:rPr>
        <w:t>או</w:t>
      </w:r>
      <w:r w:rsidR="00F7382D" w:rsidRPr="005571ED">
        <w:rPr>
          <w:rtl/>
        </w:rPr>
        <w:t xml:space="preserve"> </w:t>
      </w:r>
      <w:r w:rsidR="00F7382D" w:rsidRPr="005571ED">
        <w:rPr>
          <w:rFonts w:hint="eastAsia"/>
          <w:rtl/>
        </w:rPr>
        <w:t>נמחקו</w:t>
      </w:r>
      <w:r w:rsidR="00F7382D" w:rsidRPr="005571ED">
        <w:rPr>
          <w:rtl/>
        </w:rPr>
        <w:t xml:space="preserve"> </w:t>
      </w:r>
      <w:r w:rsidR="00F7382D" w:rsidRPr="005571ED">
        <w:rPr>
          <w:rFonts w:hint="eastAsia"/>
          <w:rtl/>
        </w:rPr>
        <w:t>על</w:t>
      </w:r>
      <w:r w:rsidR="00F7382D" w:rsidRPr="005571ED">
        <w:rPr>
          <w:rtl/>
        </w:rPr>
        <w:t xml:space="preserve"> </w:t>
      </w:r>
      <w:r w:rsidR="00F7382D" w:rsidRPr="005571ED">
        <w:rPr>
          <w:rFonts w:hint="eastAsia"/>
          <w:rtl/>
        </w:rPr>
        <w:t>ידי</w:t>
      </w:r>
      <w:r w:rsidR="00F7382D" w:rsidRPr="005571ED">
        <w:rPr>
          <w:rtl/>
        </w:rPr>
        <w:t xml:space="preserve"> </w:t>
      </w:r>
      <w:r w:rsidR="00F7382D" w:rsidRPr="005571ED">
        <w:rPr>
          <w:rFonts w:hint="eastAsia"/>
          <w:rtl/>
        </w:rPr>
        <w:t>המשטרה</w:t>
      </w:r>
      <w:r w:rsidR="00F7382D" w:rsidRPr="005571ED">
        <w:rPr>
          <w:rtl/>
        </w:rPr>
        <w:t xml:space="preserve"> </w:t>
      </w:r>
      <w:r w:rsidR="00F7382D" w:rsidRPr="005571ED">
        <w:rPr>
          <w:rFonts w:hint="eastAsia"/>
          <w:rtl/>
        </w:rPr>
        <w:t>לפני</w:t>
      </w:r>
      <w:r w:rsidR="00F7382D" w:rsidRPr="005571ED">
        <w:rPr>
          <w:rtl/>
        </w:rPr>
        <w:t xml:space="preserve"> </w:t>
      </w:r>
      <w:r w:rsidR="00F7382D" w:rsidRPr="005571ED">
        <w:rPr>
          <w:rFonts w:hint="eastAsia"/>
          <w:rtl/>
        </w:rPr>
        <w:t>שהתקבלה</w:t>
      </w:r>
      <w:r w:rsidR="00F7382D" w:rsidRPr="005571ED">
        <w:rPr>
          <w:rtl/>
        </w:rPr>
        <w:t xml:space="preserve"> </w:t>
      </w:r>
      <w:r w:rsidR="00F7382D" w:rsidRPr="005571ED">
        <w:rPr>
          <w:rFonts w:hint="eastAsia"/>
          <w:rtl/>
        </w:rPr>
        <w:t>החלטה</w:t>
      </w:r>
      <w:r w:rsidR="00F7382D" w:rsidRPr="005571ED">
        <w:rPr>
          <w:rtl/>
        </w:rPr>
        <w:t xml:space="preserve"> </w:t>
      </w:r>
      <w:r w:rsidR="00F7382D" w:rsidRPr="005571ED">
        <w:rPr>
          <w:rFonts w:hint="eastAsia"/>
          <w:rtl/>
        </w:rPr>
        <w:t>שיפוטית</w:t>
      </w:r>
      <w:r w:rsidR="00F7382D" w:rsidRPr="005571ED">
        <w:rPr>
          <w:rtl/>
        </w:rPr>
        <w:t xml:space="preserve"> </w:t>
      </w:r>
      <w:r w:rsidR="00F7382D" w:rsidRPr="005571ED">
        <w:rPr>
          <w:rFonts w:hint="eastAsia"/>
          <w:rtl/>
        </w:rPr>
        <w:t>בעניינן</w:t>
      </w:r>
      <w:r w:rsidR="00C87935">
        <w:rPr>
          <w:rFonts w:hint="cs"/>
          <w:rtl/>
        </w:rPr>
        <w:t>;</w:t>
      </w:r>
      <w:r w:rsidR="00F7382D" w:rsidRPr="005571ED">
        <w:rPr>
          <w:rtl/>
        </w:rPr>
        <w:t xml:space="preserve"> </w:t>
      </w:r>
      <w:r w:rsidR="0016720E" w:rsidRPr="0016720E">
        <w:rPr>
          <w:rtl/>
        </w:rPr>
        <w:t>כ-</w:t>
      </w:r>
      <w:r w:rsidR="0016720E">
        <w:rPr>
          <w:rFonts w:hint="cs"/>
          <w:rtl/>
        </w:rPr>
        <w:t>7%</w:t>
      </w:r>
      <w:r w:rsidR="0016720E" w:rsidRPr="0016720E">
        <w:rPr>
          <w:rtl/>
        </w:rPr>
        <w:t xml:space="preserve"> </w:t>
      </w:r>
      <w:r w:rsidR="00F7382D" w:rsidRPr="005571ED">
        <w:rPr>
          <w:rtl/>
        </w:rPr>
        <w:t>מהבקשות שאושרו לא מומשו</w:t>
      </w:r>
      <w:r w:rsidR="0016720E">
        <w:rPr>
          <w:rFonts w:hint="cs"/>
          <w:rtl/>
        </w:rPr>
        <w:t>.</w:t>
      </w:r>
      <w:r w:rsidR="00F7382D" w:rsidRPr="005571ED">
        <w:rPr>
          <w:rtl/>
        </w:rPr>
        <w:t xml:space="preserve"> יוצא אפוא כי </w:t>
      </w:r>
      <w:r w:rsidR="008873CA">
        <w:rPr>
          <w:rFonts w:hint="cs"/>
          <w:rtl/>
        </w:rPr>
        <w:t xml:space="preserve">לפי רישומי המשטרה </w:t>
      </w:r>
      <w:r w:rsidR="0057757F">
        <w:rPr>
          <w:rFonts w:hint="cs"/>
          <w:rtl/>
        </w:rPr>
        <w:t>כ-16%</w:t>
      </w:r>
      <w:r w:rsidR="0057757F">
        <w:rPr>
          <w:rFonts w:hint="cs"/>
        </w:rPr>
        <w:t xml:space="preserve"> </w:t>
      </w:r>
      <w:r w:rsidR="00F7382D" w:rsidRPr="005571ED">
        <w:rPr>
          <w:rtl/>
        </w:rPr>
        <w:t xml:space="preserve">מהבקשות שהוכנו לא </w:t>
      </w:r>
      <w:r w:rsidR="008873CA">
        <w:rPr>
          <w:rFonts w:hint="cs"/>
          <w:rtl/>
        </w:rPr>
        <w:t>מומשו מסיבות שונות</w:t>
      </w:r>
      <w:r w:rsidR="00F7382D" w:rsidRPr="005571ED">
        <w:rPr>
          <w:rtl/>
        </w:rPr>
        <w:t>.</w:t>
      </w:r>
    </w:p>
    <w:bookmarkEnd w:id="219"/>
    <w:p w:rsidR="002B0E02" w:rsidRDefault="002B0E02" w:rsidP="00604C3D">
      <w:pPr>
        <w:spacing w:line="269" w:lineRule="auto"/>
        <w:rPr>
          <w:rtl/>
        </w:rPr>
      </w:pPr>
    </w:p>
    <w:p w:rsidR="00F7382D" w:rsidRDefault="004355A0" w:rsidP="00604C3D">
      <w:pPr>
        <w:spacing w:line="269" w:lineRule="auto"/>
        <w:rPr>
          <w:rtl/>
        </w:rPr>
      </w:pPr>
      <w:r>
        <w:rPr>
          <w:rFonts w:hint="cs"/>
          <w:rtl/>
        </w:rPr>
        <w:t xml:space="preserve">עוד עולה </w:t>
      </w:r>
      <w:r w:rsidR="00F7382D" w:rsidRPr="005571ED">
        <w:rPr>
          <w:rtl/>
        </w:rPr>
        <w:t xml:space="preserve">כי </w:t>
      </w:r>
      <w:r w:rsidR="008115E1">
        <w:rPr>
          <w:rFonts w:hint="cs"/>
          <w:rtl/>
        </w:rPr>
        <w:t>בשנים</w:t>
      </w:r>
      <w:r w:rsidR="00F7382D" w:rsidRPr="005571ED">
        <w:rPr>
          <w:rtl/>
        </w:rPr>
        <w:t xml:space="preserve"> 2019 </w:t>
      </w:r>
      <w:r w:rsidR="00866A55">
        <w:rPr>
          <w:rFonts w:hint="cs"/>
          <w:rtl/>
        </w:rPr>
        <w:t>-</w:t>
      </w:r>
      <w:r w:rsidR="00F7382D" w:rsidRPr="005571ED">
        <w:rPr>
          <w:rtl/>
        </w:rPr>
        <w:t xml:space="preserve"> 2021</w:t>
      </w:r>
      <w:r w:rsidR="005D6BEB">
        <w:rPr>
          <w:rFonts w:hint="cs"/>
          <w:rtl/>
        </w:rPr>
        <w:t xml:space="preserve"> שללה המשטרה</w:t>
      </w:r>
      <w:r w:rsidR="00F7382D" w:rsidRPr="005571ED">
        <w:rPr>
          <w:rtl/>
        </w:rPr>
        <w:t xml:space="preserve"> </w:t>
      </w:r>
      <w:r w:rsidR="0016720E" w:rsidRPr="005571ED">
        <w:rPr>
          <w:rtl/>
        </w:rPr>
        <w:t>כ-7%</w:t>
      </w:r>
      <w:r w:rsidR="00C87935">
        <w:rPr>
          <w:rFonts w:hint="cs"/>
          <w:rtl/>
        </w:rPr>
        <w:t xml:space="preserve"> </w:t>
      </w:r>
      <w:r w:rsidR="008115E1" w:rsidRPr="005571ED">
        <w:rPr>
          <w:rFonts w:hint="eastAsia"/>
          <w:rtl/>
        </w:rPr>
        <w:t>מהבקשות</w:t>
      </w:r>
      <w:r w:rsidR="008115E1" w:rsidRPr="005571ED">
        <w:rPr>
          <w:rtl/>
        </w:rPr>
        <w:t xml:space="preserve"> </w:t>
      </w:r>
      <w:r w:rsidR="008115E1" w:rsidRPr="005571ED">
        <w:rPr>
          <w:rFonts w:hint="eastAsia"/>
          <w:rtl/>
        </w:rPr>
        <w:t>להאזנת</w:t>
      </w:r>
      <w:r w:rsidR="008115E1" w:rsidRPr="005571ED">
        <w:rPr>
          <w:rtl/>
        </w:rPr>
        <w:t xml:space="preserve"> </w:t>
      </w:r>
      <w:r w:rsidR="008115E1" w:rsidRPr="005571ED">
        <w:rPr>
          <w:rFonts w:hint="eastAsia"/>
          <w:rtl/>
        </w:rPr>
        <w:t>סתר</w:t>
      </w:r>
      <w:r w:rsidR="008115E1" w:rsidRPr="005571ED">
        <w:rPr>
          <w:rtl/>
        </w:rPr>
        <w:t xml:space="preserve"> </w:t>
      </w:r>
      <w:r w:rsidR="008115E1" w:rsidRPr="005571ED">
        <w:rPr>
          <w:rFonts w:hint="eastAsia"/>
          <w:rtl/>
        </w:rPr>
        <w:t>לתקשורת</w:t>
      </w:r>
      <w:r w:rsidR="008115E1" w:rsidRPr="005571ED">
        <w:rPr>
          <w:rtl/>
        </w:rPr>
        <w:t xml:space="preserve"> </w:t>
      </w:r>
      <w:r w:rsidR="008115E1" w:rsidRPr="005571ED">
        <w:rPr>
          <w:rFonts w:hint="eastAsia"/>
          <w:rtl/>
        </w:rPr>
        <w:t>בין</w:t>
      </w:r>
      <w:r w:rsidR="008115E1" w:rsidRPr="005571ED">
        <w:rPr>
          <w:rtl/>
        </w:rPr>
        <w:t xml:space="preserve"> </w:t>
      </w:r>
      <w:r w:rsidR="008115E1" w:rsidRPr="005571ED">
        <w:rPr>
          <w:rFonts w:hint="eastAsia"/>
          <w:rtl/>
        </w:rPr>
        <w:t>מחשבים</w:t>
      </w:r>
      <w:r w:rsidR="008115E1" w:rsidRPr="005571ED">
        <w:rPr>
          <w:rtl/>
        </w:rPr>
        <w:t xml:space="preserve"> </w:t>
      </w:r>
      <w:r w:rsidR="008115E1" w:rsidRPr="005571ED">
        <w:rPr>
          <w:rFonts w:hint="eastAsia"/>
          <w:rtl/>
        </w:rPr>
        <w:t>שהכינה</w:t>
      </w:r>
      <w:r w:rsidR="008115E1" w:rsidRPr="005571ED">
        <w:rPr>
          <w:rtl/>
        </w:rPr>
        <w:t xml:space="preserve"> </w:t>
      </w:r>
      <w:r w:rsidR="008115E1" w:rsidRPr="005571ED">
        <w:rPr>
          <w:rFonts w:hint="eastAsia"/>
          <w:rtl/>
        </w:rPr>
        <w:t>היחידה</w:t>
      </w:r>
      <w:r w:rsidR="008115E1" w:rsidRPr="005571ED">
        <w:rPr>
          <w:rtl/>
        </w:rPr>
        <w:t xml:space="preserve"> </w:t>
      </w:r>
      <w:r w:rsidR="008115E1" w:rsidRPr="005571ED">
        <w:rPr>
          <w:rFonts w:hint="eastAsia"/>
          <w:rtl/>
        </w:rPr>
        <w:t>המזמינה</w:t>
      </w:r>
      <w:r w:rsidR="00F7382D" w:rsidRPr="005571ED">
        <w:rPr>
          <w:rtl/>
        </w:rPr>
        <w:t xml:space="preserve"> במסגרת הליך הבקרה הפנימי</w:t>
      </w:r>
      <w:r w:rsidR="00C87935">
        <w:rPr>
          <w:rFonts w:hint="cs"/>
          <w:rtl/>
        </w:rPr>
        <w:t>;</w:t>
      </w:r>
      <w:r w:rsidR="00C87935" w:rsidRPr="005571ED">
        <w:rPr>
          <w:rtl/>
        </w:rPr>
        <w:t xml:space="preserve"> </w:t>
      </w:r>
      <w:r w:rsidR="0016720E" w:rsidRPr="0016720E">
        <w:rPr>
          <w:rtl/>
        </w:rPr>
        <w:t>כ-4%</w:t>
      </w:r>
      <w:r w:rsidR="0016720E">
        <w:rPr>
          <w:rFonts w:hint="cs"/>
          <w:rtl/>
        </w:rPr>
        <w:t xml:space="preserve"> </w:t>
      </w:r>
      <w:r w:rsidR="00F7382D" w:rsidRPr="005571ED">
        <w:rPr>
          <w:rFonts w:hint="eastAsia"/>
          <w:rtl/>
        </w:rPr>
        <w:t>בקשות</w:t>
      </w:r>
      <w:r w:rsidR="00F7382D" w:rsidRPr="005571ED">
        <w:rPr>
          <w:rtl/>
        </w:rPr>
        <w:t xml:space="preserve"> </w:t>
      </w:r>
      <w:r w:rsidR="00F7382D" w:rsidRPr="005571ED">
        <w:rPr>
          <w:rFonts w:hint="eastAsia"/>
          <w:rtl/>
        </w:rPr>
        <w:t>נדחו</w:t>
      </w:r>
      <w:r w:rsidR="00F7382D" w:rsidRPr="005571ED">
        <w:rPr>
          <w:rtl/>
        </w:rPr>
        <w:t xml:space="preserve"> </w:t>
      </w:r>
      <w:r w:rsidR="00F7382D" w:rsidRPr="005571ED">
        <w:rPr>
          <w:rFonts w:hint="eastAsia"/>
          <w:rtl/>
        </w:rPr>
        <w:t>או</w:t>
      </w:r>
      <w:r w:rsidR="00F7382D" w:rsidRPr="005571ED">
        <w:rPr>
          <w:rtl/>
        </w:rPr>
        <w:t xml:space="preserve"> </w:t>
      </w:r>
      <w:r w:rsidR="00F7382D" w:rsidRPr="005571ED">
        <w:rPr>
          <w:rFonts w:hint="eastAsia"/>
          <w:rtl/>
        </w:rPr>
        <w:t>נמחקו</w:t>
      </w:r>
      <w:r w:rsidR="00F7382D" w:rsidRPr="005571ED">
        <w:rPr>
          <w:rtl/>
        </w:rPr>
        <w:t xml:space="preserve"> </w:t>
      </w:r>
      <w:r w:rsidR="00F7382D" w:rsidRPr="005571ED">
        <w:rPr>
          <w:rFonts w:hint="eastAsia"/>
          <w:rtl/>
        </w:rPr>
        <w:t>לפני</w:t>
      </w:r>
      <w:r w:rsidR="00F7382D" w:rsidRPr="005571ED">
        <w:rPr>
          <w:rtl/>
        </w:rPr>
        <w:t xml:space="preserve"> </w:t>
      </w:r>
      <w:r w:rsidR="00F7382D" w:rsidRPr="005571ED">
        <w:rPr>
          <w:rFonts w:hint="eastAsia"/>
          <w:rtl/>
        </w:rPr>
        <w:t>שהתקבלה</w:t>
      </w:r>
      <w:r w:rsidR="00F7382D" w:rsidRPr="005571ED">
        <w:rPr>
          <w:rtl/>
        </w:rPr>
        <w:t xml:space="preserve"> </w:t>
      </w:r>
      <w:r w:rsidR="00F7382D" w:rsidRPr="005571ED">
        <w:rPr>
          <w:rFonts w:hint="eastAsia"/>
          <w:rtl/>
        </w:rPr>
        <w:t>החלטה</w:t>
      </w:r>
      <w:r w:rsidR="00F7382D" w:rsidRPr="005571ED">
        <w:rPr>
          <w:rtl/>
        </w:rPr>
        <w:t xml:space="preserve"> </w:t>
      </w:r>
      <w:r w:rsidR="00F7382D" w:rsidRPr="005571ED">
        <w:rPr>
          <w:rFonts w:hint="eastAsia"/>
          <w:rtl/>
        </w:rPr>
        <w:t>שיפוטית</w:t>
      </w:r>
      <w:r w:rsidR="00F7382D" w:rsidRPr="005571ED">
        <w:rPr>
          <w:rtl/>
        </w:rPr>
        <w:t xml:space="preserve"> </w:t>
      </w:r>
      <w:r w:rsidR="00F7382D" w:rsidRPr="005571ED">
        <w:rPr>
          <w:rFonts w:hint="eastAsia"/>
          <w:rtl/>
        </w:rPr>
        <w:t>בעניינן</w:t>
      </w:r>
      <w:r w:rsidR="00C87935">
        <w:rPr>
          <w:rFonts w:hint="cs"/>
          <w:rtl/>
        </w:rPr>
        <w:t>;</w:t>
      </w:r>
      <w:r w:rsidR="00C87935" w:rsidRPr="005571ED">
        <w:rPr>
          <w:rtl/>
        </w:rPr>
        <w:t xml:space="preserve"> </w:t>
      </w:r>
      <w:r w:rsidR="00F7382D" w:rsidRPr="005571ED">
        <w:rPr>
          <w:rtl/>
        </w:rPr>
        <w:t>ואילו לגבי</w:t>
      </w:r>
      <w:r w:rsidR="0016720E">
        <w:rPr>
          <w:rFonts w:hint="cs"/>
          <w:rtl/>
        </w:rPr>
        <w:t xml:space="preserve"> </w:t>
      </w:r>
      <w:r w:rsidR="0016720E" w:rsidRPr="0016720E">
        <w:rPr>
          <w:rtl/>
        </w:rPr>
        <w:t>86%</w:t>
      </w:r>
      <w:r w:rsidR="00F7382D" w:rsidRPr="005571ED">
        <w:rPr>
          <w:rtl/>
        </w:rPr>
        <w:t xml:space="preserve"> בקשות לא אותרה אינדיקציה המעידה כי </w:t>
      </w:r>
      <w:r w:rsidR="00F7382D" w:rsidRPr="005571ED">
        <w:rPr>
          <w:rFonts w:hint="eastAsia"/>
          <w:rtl/>
        </w:rPr>
        <w:t>הבקשה</w:t>
      </w:r>
      <w:r w:rsidR="00F7382D" w:rsidRPr="005571ED">
        <w:rPr>
          <w:rtl/>
        </w:rPr>
        <w:t xml:space="preserve"> </w:t>
      </w:r>
      <w:r w:rsidR="00F7382D" w:rsidRPr="005571ED">
        <w:rPr>
          <w:rFonts w:hint="eastAsia"/>
          <w:rtl/>
        </w:rPr>
        <w:t>מומשה</w:t>
      </w:r>
      <w:r w:rsidR="00F7382D" w:rsidRPr="005571ED">
        <w:rPr>
          <w:rtl/>
        </w:rPr>
        <w:t xml:space="preserve"> </w:t>
      </w:r>
      <w:r w:rsidR="00F7382D" w:rsidRPr="005571ED">
        <w:rPr>
          <w:rFonts w:hint="eastAsia"/>
          <w:rtl/>
        </w:rPr>
        <w:t>לאחר</w:t>
      </w:r>
      <w:r w:rsidR="00F7382D" w:rsidRPr="005571ED">
        <w:rPr>
          <w:rtl/>
        </w:rPr>
        <w:t xml:space="preserve"> </w:t>
      </w:r>
      <w:r w:rsidR="00F7382D" w:rsidRPr="005571ED">
        <w:rPr>
          <w:rFonts w:hint="eastAsia"/>
          <w:rtl/>
        </w:rPr>
        <w:t>אישורה</w:t>
      </w:r>
      <w:r w:rsidR="00F7382D" w:rsidRPr="005571ED">
        <w:rPr>
          <w:rtl/>
        </w:rPr>
        <w:t xml:space="preserve">. יוצא אפוא </w:t>
      </w:r>
      <w:r w:rsidR="006F3119" w:rsidRPr="006F3119">
        <w:rPr>
          <w:rtl/>
        </w:rPr>
        <w:t xml:space="preserve">כי </w:t>
      </w:r>
      <w:r w:rsidR="006F3119" w:rsidRPr="006F3119">
        <w:rPr>
          <w:rFonts w:hint="cs"/>
          <w:rtl/>
        </w:rPr>
        <w:t>סך הכ</w:t>
      </w:r>
      <w:r w:rsidR="00F225BA">
        <w:rPr>
          <w:rFonts w:hint="cs"/>
          <w:rtl/>
        </w:rPr>
        <w:t>ו</w:t>
      </w:r>
      <w:r w:rsidR="006F3119" w:rsidRPr="006F3119">
        <w:rPr>
          <w:rFonts w:hint="cs"/>
          <w:rtl/>
        </w:rPr>
        <w:t xml:space="preserve">ל </w:t>
      </w:r>
      <w:r w:rsidR="00F7382D" w:rsidRPr="005571ED">
        <w:rPr>
          <w:rtl/>
        </w:rPr>
        <w:t xml:space="preserve">לגבי </w:t>
      </w:r>
      <w:r w:rsidR="00343FCF" w:rsidRPr="00343FCF">
        <w:rPr>
          <w:rtl/>
        </w:rPr>
        <w:t>כ-88%</w:t>
      </w:r>
      <w:r w:rsidR="00343FCF">
        <w:rPr>
          <w:rFonts w:hint="cs"/>
          <w:rtl/>
        </w:rPr>
        <w:t xml:space="preserve"> </w:t>
      </w:r>
      <w:r w:rsidR="00F7382D" w:rsidRPr="005571ED">
        <w:rPr>
          <w:rtl/>
        </w:rPr>
        <w:t>מהבקשות שהוכנו לא אותרה אינדיקציה המעידה על מימושן</w:t>
      </w:r>
      <w:r w:rsidR="00746A11">
        <w:rPr>
          <w:rtl/>
        </w:rPr>
        <w:t>.</w:t>
      </w:r>
    </w:p>
    <w:p w:rsidR="00F7382D" w:rsidRDefault="00F7382D" w:rsidP="00604C3D">
      <w:pPr>
        <w:pStyle w:val="a5"/>
        <w:spacing w:line="269" w:lineRule="auto"/>
        <w:rPr>
          <w:rtl/>
        </w:rPr>
      </w:pPr>
    </w:p>
    <w:p w:rsidR="00F7382D" w:rsidRDefault="00F7382D" w:rsidP="00604C3D">
      <w:pPr>
        <w:spacing w:line="269" w:lineRule="auto"/>
        <w:rPr>
          <w:rtl/>
        </w:rPr>
      </w:pPr>
      <w:r>
        <w:rPr>
          <w:rFonts w:hint="cs"/>
          <w:rtl/>
        </w:rPr>
        <w:t xml:space="preserve">המשטרה מסרה בתגובתה, שבאופן טבעי </w:t>
      </w:r>
      <w:r w:rsidR="008115E1">
        <w:rPr>
          <w:rFonts w:hint="cs"/>
          <w:rtl/>
        </w:rPr>
        <w:t xml:space="preserve">ולנוכח </w:t>
      </w:r>
      <w:r>
        <w:rPr>
          <w:rFonts w:hint="cs"/>
          <w:rtl/>
        </w:rPr>
        <w:t xml:space="preserve">מורכבות האזנות הסתר לתקשורת בין מחשבים, שיעור המימוש של בקשות מסוג זה </w:t>
      </w:r>
      <w:r w:rsidR="008115E1">
        <w:rPr>
          <w:rFonts w:hint="cs"/>
          <w:rtl/>
        </w:rPr>
        <w:t xml:space="preserve">קטן </w:t>
      </w:r>
      <w:r>
        <w:rPr>
          <w:rFonts w:hint="cs"/>
          <w:rtl/>
        </w:rPr>
        <w:t xml:space="preserve">יותר </w:t>
      </w:r>
      <w:r w:rsidR="008115E1">
        <w:rPr>
          <w:rFonts w:hint="cs"/>
          <w:rtl/>
        </w:rPr>
        <w:t>משיעור ה</w:t>
      </w:r>
      <w:r>
        <w:rPr>
          <w:rFonts w:hint="cs"/>
          <w:rtl/>
        </w:rPr>
        <w:t xml:space="preserve">בקשות להאזנה לשמע. </w:t>
      </w:r>
      <w:r w:rsidRPr="008163DD">
        <w:rPr>
          <w:rtl/>
        </w:rPr>
        <w:t>כמו כן, המשטרה ציינה כי חלק מהמסמכים המעידים על מימוש צווי האזנת סתר לתקשורת בין מחשבים אותרו ביחידות המשטרה ולא במערכת לניהול צווים</w:t>
      </w:r>
      <w:r w:rsidR="00B86F29">
        <w:rPr>
          <w:rFonts w:hint="cs"/>
          <w:rtl/>
        </w:rPr>
        <w:t xml:space="preserve"> </w:t>
      </w:r>
      <w:r w:rsidR="006F3119" w:rsidRPr="006F3119">
        <w:rPr>
          <w:rFonts w:hint="cs"/>
          <w:rtl/>
        </w:rPr>
        <w:t>וייתכן כי שיעור המימוש גבוה יותר</w:t>
      </w:r>
      <w:r w:rsidR="006F3119" w:rsidRPr="006F3119">
        <w:rPr>
          <w:rtl/>
        </w:rPr>
        <w:t>.</w:t>
      </w:r>
    </w:p>
    <w:p w:rsidR="00F7382D" w:rsidRDefault="00F7382D" w:rsidP="00604C3D">
      <w:pPr>
        <w:pStyle w:val="a5"/>
        <w:spacing w:line="269" w:lineRule="auto"/>
        <w:rPr>
          <w:rtl/>
        </w:rPr>
      </w:pPr>
    </w:p>
    <w:p w:rsidR="00F7382D" w:rsidRPr="005571ED" w:rsidRDefault="00380D7C" w:rsidP="00604C3D">
      <w:pPr>
        <w:spacing w:line="269" w:lineRule="auto"/>
        <w:rPr>
          <w:b/>
          <w:bCs/>
          <w:rtl/>
        </w:rPr>
      </w:pPr>
      <w:r w:rsidRPr="005571ED">
        <w:rPr>
          <w:b/>
          <w:bCs/>
          <w:rtl/>
        </w:rPr>
        <w:t xml:space="preserve">בשנת 2013 החלה </w:t>
      </w:r>
      <w:r w:rsidR="00F7382D" w:rsidRPr="005571ED">
        <w:rPr>
          <w:rFonts w:hint="eastAsia"/>
          <w:b/>
          <w:bCs/>
          <w:rtl/>
        </w:rPr>
        <w:t>המשטרה</w:t>
      </w:r>
      <w:r w:rsidR="00F7382D" w:rsidRPr="005571ED">
        <w:rPr>
          <w:b/>
          <w:bCs/>
          <w:rtl/>
        </w:rPr>
        <w:t xml:space="preserve"> לפתח </w:t>
      </w:r>
      <w:r w:rsidR="00F7382D" w:rsidRPr="005571ED">
        <w:rPr>
          <w:rFonts w:hint="eastAsia"/>
          <w:b/>
          <w:bCs/>
          <w:rtl/>
        </w:rPr>
        <w:t>את</w:t>
      </w:r>
      <w:r w:rsidR="00F7382D" w:rsidRPr="005571ED">
        <w:rPr>
          <w:b/>
          <w:bCs/>
          <w:rtl/>
        </w:rPr>
        <w:t xml:space="preserve"> </w:t>
      </w:r>
      <w:r w:rsidR="00F7382D" w:rsidRPr="005571ED">
        <w:rPr>
          <w:rFonts w:hint="eastAsia"/>
          <w:b/>
          <w:bCs/>
          <w:rtl/>
        </w:rPr>
        <w:t>המערכת</w:t>
      </w:r>
      <w:r w:rsidR="00F7382D" w:rsidRPr="005571ED">
        <w:rPr>
          <w:b/>
          <w:bCs/>
          <w:rtl/>
        </w:rPr>
        <w:t xml:space="preserve"> </w:t>
      </w:r>
      <w:r w:rsidR="00F7382D" w:rsidRPr="005571ED">
        <w:rPr>
          <w:rFonts w:hint="eastAsia"/>
          <w:b/>
          <w:bCs/>
          <w:rtl/>
        </w:rPr>
        <w:t>לניהול</w:t>
      </w:r>
      <w:r w:rsidR="00F7382D" w:rsidRPr="005571ED">
        <w:rPr>
          <w:b/>
          <w:bCs/>
          <w:rtl/>
        </w:rPr>
        <w:t xml:space="preserve"> </w:t>
      </w:r>
      <w:r w:rsidR="00F7382D" w:rsidRPr="005571ED">
        <w:rPr>
          <w:rFonts w:hint="eastAsia"/>
          <w:b/>
          <w:bCs/>
          <w:rtl/>
        </w:rPr>
        <w:t>צווים</w:t>
      </w:r>
      <w:r w:rsidR="00F7382D" w:rsidRPr="005571ED">
        <w:rPr>
          <w:b/>
          <w:bCs/>
          <w:rtl/>
        </w:rPr>
        <w:t xml:space="preserve">, </w:t>
      </w:r>
      <w:r>
        <w:rPr>
          <w:rFonts w:hint="cs"/>
          <w:b/>
          <w:bCs/>
          <w:rtl/>
        </w:rPr>
        <w:t>בתקופה בה</w:t>
      </w:r>
      <w:r w:rsidR="00F7382D" w:rsidRPr="005571ED">
        <w:rPr>
          <w:b/>
          <w:bCs/>
          <w:rtl/>
        </w:rPr>
        <w:t xml:space="preserve"> </w:t>
      </w:r>
      <w:r w:rsidR="00F7382D" w:rsidRPr="005571ED">
        <w:rPr>
          <w:rFonts w:hint="eastAsia"/>
          <w:b/>
          <w:bCs/>
          <w:rtl/>
        </w:rPr>
        <w:t>חלה</w:t>
      </w:r>
      <w:r w:rsidR="00F7382D" w:rsidRPr="005571ED">
        <w:rPr>
          <w:b/>
          <w:bCs/>
          <w:rtl/>
        </w:rPr>
        <w:t xml:space="preserve"> </w:t>
      </w:r>
      <w:r w:rsidR="00F7382D" w:rsidRPr="005571ED">
        <w:rPr>
          <w:rFonts w:hint="eastAsia"/>
          <w:b/>
          <w:bCs/>
          <w:rtl/>
        </w:rPr>
        <w:t>עלייה</w:t>
      </w:r>
      <w:r w:rsidR="00F7382D" w:rsidRPr="005571ED">
        <w:rPr>
          <w:b/>
          <w:bCs/>
          <w:rtl/>
        </w:rPr>
        <w:t xml:space="preserve"> </w:t>
      </w:r>
      <w:r w:rsidR="00F7382D">
        <w:rPr>
          <w:rFonts w:hint="cs"/>
          <w:b/>
          <w:bCs/>
          <w:rtl/>
        </w:rPr>
        <w:t>ניכרת</w:t>
      </w:r>
      <w:r w:rsidR="00F7382D" w:rsidRPr="005571ED">
        <w:rPr>
          <w:b/>
          <w:bCs/>
          <w:rtl/>
        </w:rPr>
        <w:t xml:space="preserve"> </w:t>
      </w:r>
      <w:r w:rsidR="00F7382D" w:rsidRPr="005571ED">
        <w:rPr>
          <w:rFonts w:hint="eastAsia"/>
          <w:b/>
          <w:bCs/>
          <w:rtl/>
        </w:rPr>
        <w:t>בהיקף</w:t>
      </w:r>
      <w:r w:rsidR="00F7382D" w:rsidRPr="005571ED">
        <w:rPr>
          <w:b/>
          <w:bCs/>
          <w:rtl/>
        </w:rPr>
        <w:t xml:space="preserve"> </w:t>
      </w:r>
      <w:r w:rsidR="00F7382D" w:rsidRPr="005571ED">
        <w:rPr>
          <w:rFonts w:hint="eastAsia"/>
          <w:b/>
          <w:bCs/>
          <w:rtl/>
        </w:rPr>
        <w:t>פעילותה</w:t>
      </w:r>
      <w:r w:rsidR="00F7382D" w:rsidRPr="005571ED">
        <w:rPr>
          <w:b/>
          <w:bCs/>
          <w:rtl/>
        </w:rPr>
        <w:t xml:space="preserve"> </w:t>
      </w:r>
      <w:r w:rsidR="00F7382D" w:rsidRPr="005571ED">
        <w:rPr>
          <w:rFonts w:hint="eastAsia"/>
          <w:b/>
          <w:bCs/>
          <w:rtl/>
        </w:rPr>
        <w:t>בתחום</w:t>
      </w:r>
      <w:r w:rsidR="00F7382D" w:rsidRPr="005571ED">
        <w:rPr>
          <w:b/>
          <w:bCs/>
          <w:rtl/>
        </w:rPr>
        <w:t xml:space="preserve"> </w:t>
      </w:r>
      <w:r w:rsidR="00F7382D" w:rsidRPr="005571ED">
        <w:rPr>
          <w:rFonts w:hint="eastAsia"/>
          <w:b/>
          <w:bCs/>
          <w:rtl/>
        </w:rPr>
        <w:t>האזנות</w:t>
      </w:r>
      <w:r w:rsidR="00F7382D" w:rsidRPr="005571ED">
        <w:rPr>
          <w:b/>
          <w:bCs/>
          <w:rtl/>
        </w:rPr>
        <w:t xml:space="preserve"> </w:t>
      </w:r>
      <w:r w:rsidR="00F7382D" w:rsidRPr="005571ED">
        <w:rPr>
          <w:rFonts w:hint="eastAsia"/>
          <w:b/>
          <w:bCs/>
          <w:rtl/>
        </w:rPr>
        <w:t>הסתר</w:t>
      </w:r>
      <w:r w:rsidR="00F7382D" w:rsidRPr="005571ED">
        <w:rPr>
          <w:b/>
          <w:bCs/>
          <w:rtl/>
        </w:rPr>
        <w:t xml:space="preserve">, ובכך הניחה את אבן היסוד לניהול תקין </w:t>
      </w:r>
      <w:r w:rsidR="00F7382D">
        <w:rPr>
          <w:rFonts w:hint="cs"/>
          <w:b/>
          <w:bCs/>
          <w:rtl/>
        </w:rPr>
        <w:t xml:space="preserve">של סמכויותיה בעידן הדיגיטלי </w:t>
      </w:r>
      <w:r w:rsidR="00F7382D" w:rsidRPr="005571ED">
        <w:rPr>
          <w:rFonts w:hint="eastAsia"/>
          <w:b/>
          <w:bCs/>
          <w:rtl/>
        </w:rPr>
        <w:t>ו</w:t>
      </w:r>
      <w:r>
        <w:rPr>
          <w:rFonts w:hint="cs"/>
          <w:b/>
          <w:bCs/>
          <w:rtl/>
        </w:rPr>
        <w:t>ל</w:t>
      </w:r>
      <w:r w:rsidR="00F7382D" w:rsidRPr="005571ED">
        <w:rPr>
          <w:rFonts w:hint="eastAsia"/>
          <w:b/>
          <w:bCs/>
          <w:rtl/>
        </w:rPr>
        <w:t>טיפול</w:t>
      </w:r>
      <w:r w:rsidR="00F7382D" w:rsidRPr="005571ED">
        <w:rPr>
          <w:b/>
          <w:bCs/>
          <w:rtl/>
        </w:rPr>
        <w:t xml:space="preserve"> </w:t>
      </w:r>
      <w:r w:rsidR="00F7382D" w:rsidRPr="005571ED">
        <w:rPr>
          <w:rFonts w:hint="eastAsia"/>
          <w:b/>
          <w:bCs/>
          <w:rtl/>
        </w:rPr>
        <w:t>בנתוני</w:t>
      </w:r>
      <w:r w:rsidR="00F7382D" w:rsidRPr="005571ED">
        <w:rPr>
          <w:b/>
          <w:bCs/>
          <w:rtl/>
        </w:rPr>
        <w:t xml:space="preserve"> </w:t>
      </w:r>
      <w:r w:rsidR="00F7382D" w:rsidRPr="005571ED">
        <w:rPr>
          <w:rFonts w:hint="eastAsia"/>
          <w:b/>
          <w:bCs/>
          <w:rtl/>
        </w:rPr>
        <w:t>העתק</w:t>
      </w:r>
      <w:r w:rsidR="00F7382D" w:rsidRPr="005571ED">
        <w:rPr>
          <w:b/>
          <w:bCs/>
          <w:rtl/>
        </w:rPr>
        <w:t xml:space="preserve"> </w:t>
      </w:r>
      <w:r w:rsidR="00F7382D" w:rsidRPr="005571ED">
        <w:rPr>
          <w:rFonts w:hint="eastAsia"/>
          <w:b/>
          <w:bCs/>
          <w:rtl/>
        </w:rPr>
        <w:t>שמקורם</w:t>
      </w:r>
      <w:r w:rsidR="00F7382D" w:rsidRPr="005571ED">
        <w:rPr>
          <w:b/>
          <w:bCs/>
          <w:rtl/>
        </w:rPr>
        <w:t xml:space="preserve"> </w:t>
      </w:r>
      <w:r w:rsidR="00F7382D" w:rsidRPr="005571ED">
        <w:rPr>
          <w:rFonts w:hint="eastAsia"/>
          <w:b/>
          <w:bCs/>
          <w:rtl/>
        </w:rPr>
        <w:t>בתהליכי</w:t>
      </w:r>
      <w:r w:rsidR="00F7382D" w:rsidRPr="005571ED">
        <w:rPr>
          <w:b/>
          <w:bCs/>
          <w:rtl/>
        </w:rPr>
        <w:t xml:space="preserve"> העבודה בתחום זה.</w:t>
      </w:r>
      <w:r w:rsidR="00382AE8">
        <w:rPr>
          <w:b/>
          <w:bCs/>
          <w:rtl/>
        </w:rPr>
        <w:t xml:space="preserve"> </w:t>
      </w:r>
    </w:p>
    <w:p w:rsidR="002B0E02" w:rsidRDefault="002B0E02" w:rsidP="00604C3D">
      <w:pPr>
        <w:spacing w:line="269" w:lineRule="auto"/>
        <w:rPr>
          <w:b/>
          <w:bCs/>
          <w:rtl/>
        </w:rPr>
      </w:pPr>
    </w:p>
    <w:p w:rsidR="00F7382D" w:rsidRDefault="00B71253" w:rsidP="00604C3D">
      <w:pPr>
        <w:spacing w:line="269" w:lineRule="auto"/>
        <w:rPr>
          <w:b/>
          <w:bCs/>
          <w:rtl/>
        </w:rPr>
      </w:pPr>
      <w:r>
        <w:rPr>
          <w:rFonts w:hint="cs"/>
          <w:b/>
          <w:bCs/>
          <w:rtl/>
        </w:rPr>
        <w:t>עם זאת</w:t>
      </w:r>
      <w:r w:rsidR="00F7382D">
        <w:rPr>
          <w:rFonts w:hint="cs"/>
          <w:b/>
          <w:bCs/>
          <w:rtl/>
        </w:rPr>
        <w:t xml:space="preserve">, מנתוני </w:t>
      </w:r>
      <w:r w:rsidR="00380D7C">
        <w:rPr>
          <w:rFonts w:hint="cs"/>
          <w:b/>
          <w:bCs/>
          <w:rtl/>
        </w:rPr>
        <w:t>המשטרה</w:t>
      </w:r>
      <w:r w:rsidR="00F7382D">
        <w:rPr>
          <w:rFonts w:hint="cs"/>
          <w:b/>
          <w:bCs/>
          <w:rtl/>
        </w:rPr>
        <w:t xml:space="preserve"> על אודות סטטוס הבקשות להאזנת סתר ו</w:t>
      </w:r>
      <w:r w:rsidR="00F7382D" w:rsidRPr="00EF74C3">
        <w:rPr>
          <w:rFonts w:hint="cs"/>
          <w:b/>
          <w:bCs/>
          <w:rtl/>
        </w:rPr>
        <w:t>מליקויים</w:t>
      </w:r>
      <w:r w:rsidR="00F7382D" w:rsidRPr="00EF74C3">
        <w:rPr>
          <w:b/>
          <w:bCs/>
          <w:rtl/>
        </w:rPr>
        <w:t xml:space="preserve"> </w:t>
      </w:r>
      <w:r w:rsidR="00F7382D" w:rsidRPr="00EF74C3">
        <w:rPr>
          <w:rFonts w:hint="cs"/>
          <w:b/>
          <w:bCs/>
          <w:rtl/>
        </w:rPr>
        <w:t>שיפורטו</w:t>
      </w:r>
      <w:r w:rsidR="00F7382D" w:rsidRPr="00EF74C3">
        <w:rPr>
          <w:b/>
          <w:bCs/>
          <w:rtl/>
        </w:rPr>
        <w:t xml:space="preserve"> בהמשך הדוח, </w:t>
      </w:r>
      <w:r w:rsidR="00F7382D" w:rsidRPr="00EF74C3">
        <w:rPr>
          <w:rFonts w:hint="cs"/>
          <w:b/>
          <w:bCs/>
          <w:rtl/>
        </w:rPr>
        <w:t>ניתן ללמוד</w:t>
      </w:r>
      <w:r w:rsidR="00F7382D">
        <w:rPr>
          <w:rFonts w:hint="cs"/>
          <w:b/>
          <w:bCs/>
          <w:rtl/>
        </w:rPr>
        <w:t xml:space="preserve"> על פערים בתיעוד במערכת הממוחשבת לניהול צווים: (א)</w:t>
      </w:r>
      <w:r w:rsidR="00F7382D">
        <w:rPr>
          <w:rFonts w:hint="cs"/>
          <w:b/>
          <w:bCs/>
        </w:rPr>
        <w:t xml:space="preserve"> </w:t>
      </w:r>
      <w:r w:rsidR="00F7382D">
        <w:rPr>
          <w:rFonts w:hint="cs"/>
          <w:b/>
          <w:bCs/>
          <w:rtl/>
        </w:rPr>
        <w:t>ש</w:t>
      </w:r>
      <w:r w:rsidR="00F7382D" w:rsidRPr="00EF74C3">
        <w:rPr>
          <w:rFonts w:hint="cs"/>
          <w:b/>
          <w:bCs/>
          <w:rtl/>
        </w:rPr>
        <w:t>יעור</w:t>
      </w:r>
      <w:r w:rsidR="00F7382D" w:rsidRPr="00EF74C3">
        <w:rPr>
          <w:b/>
          <w:bCs/>
          <w:rtl/>
        </w:rPr>
        <w:t xml:space="preserve"> </w:t>
      </w:r>
      <w:r w:rsidR="00F7382D" w:rsidRPr="00EF74C3">
        <w:rPr>
          <w:rFonts w:hint="cs"/>
          <w:b/>
          <w:bCs/>
          <w:rtl/>
        </w:rPr>
        <w:t>הצווים</w:t>
      </w:r>
      <w:r w:rsidR="00F7382D" w:rsidRPr="00EF74C3">
        <w:rPr>
          <w:b/>
          <w:bCs/>
          <w:rtl/>
        </w:rPr>
        <w:t xml:space="preserve"> </w:t>
      </w:r>
      <w:r w:rsidR="00F7382D" w:rsidRPr="00EF74C3">
        <w:rPr>
          <w:rFonts w:hint="cs"/>
          <w:b/>
          <w:bCs/>
          <w:rtl/>
        </w:rPr>
        <w:t>שהמשטרה</w:t>
      </w:r>
      <w:r w:rsidR="00F7382D" w:rsidRPr="00EF74C3">
        <w:rPr>
          <w:b/>
          <w:bCs/>
          <w:rtl/>
        </w:rPr>
        <w:t xml:space="preserve"> </w:t>
      </w:r>
      <w:r w:rsidR="00F7382D" w:rsidRPr="00EF74C3">
        <w:rPr>
          <w:rFonts w:hint="cs"/>
          <w:b/>
          <w:bCs/>
          <w:rtl/>
        </w:rPr>
        <w:t>מממשת</w:t>
      </w:r>
      <w:r w:rsidR="00F7382D" w:rsidRPr="00EF74C3">
        <w:rPr>
          <w:b/>
          <w:bCs/>
          <w:rtl/>
        </w:rPr>
        <w:t xml:space="preserve"> </w:t>
      </w:r>
      <w:r w:rsidR="00F7382D" w:rsidRPr="00EF74C3">
        <w:rPr>
          <w:rFonts w:hint="cs"/>
          <w:b/>
          <w:bCs/>
          <w:rtl/>
        </w:rPr>
        <w:t>בפועל</w:t>
      </w:r>
      <w:r w:rsidR="00F7382D" w:rsidRPr="00EF74C3">
        <w:rPr>
          <w:b/>
          <w:bCs/>
          <w:rtl/>
        </w:rPr>
        <w:t xml:space="preserve"> </w:t>
      </w:r>
      <w:r w:rsidR="00F7382D" w:rsidRPr="00EF74C3">
        <w:rPr>
          <w:rFonts w:hint="cs"/>
          <w:b/>
          <w:bCs/>
          <w:rtl/>
        </w:rPr>
        <w:t>גדול</w:t>
      </w:r>
      <w:r w:rsidR="00F7382D" w:rsidRPr="00EF74C3">
        <w:rPr>
          <w:b/>
          <w:bCs/>
          <w:rtl/>
        </w:rPr>
        <w:t xml:space="preserve"> </w:t>
      </w:r>
      <w:r w:rsidR="00F7382D" w:rsidRPr="00EF74C3">
        <w:rPr>
          <w:rFonts w:hint="cs"/>
          <w:b/>
          <w:bCs/>
          <w:rtl/>
        </w:rPr>
        <w:t>משיעור</w:t>
      </w:r>
      <w:r w:rsidR="00F7382D">
        <w:rPr>
          <w:rFonts w:hint="cs"/>
          <w:b/>
          <w:bCs/>
          <w:rtl/>
        </w:rPr>
        <w:t xml:space="preserve"> הצווים</w:t>
      </w:r>
      <w:r w:rsidR="00F7382D" w:rsidRPr="00EF74C3">
        <w:rPr>
          <w:b/>
          <w:bCs/>
          <w:rtl/>
        </w:rPr>
        <w:t xml:space="preserve"> </w:t>
      </w:r>
      <w:r w:rsidR="00F7382D">
        <w:rPr>
          <w:rFonts w:hint="cs"/>
          <w:b/>
          <w:bCs/>
          <w:rtl/>
        </w:rPr>
        <w:t xml:space="preserve">שסומנו במערכת ככאלו; (ב) </w:t>
      </w:r>
      <w:r w:rsidR="001935BF">
        <w:rPr>
          <w:rFonts w:hint="cs"/>
          <w:b/>
          <w:bCs/>
          <w:rtl/>
        </w:rPr>
        <w:t xml:space="preserve">קיימים </w:t>
      </w:r>
      <w:r w:rsidR="00F7382D">
        <w:rPr>
          <w:rFonts w:hint="cs"/>
          <w:b/>
          <w:bCs/>
          <w:rtl/>
        </w:rPr>
        <w:t xml:space="preserve">פערים משמעותיים בתיעוד מימוש </w:t>
      </w:r>
      <w:r w:rsidR="001935BF">
        <w:rPr>
          <w:rFonts w:hint="cs"/>
          <w:b/>
          <w:bCs/>
          <w:rtl/>
        </w:rPr>
        <w:t>ה</w:t>
      </w:r>
      <w:r w:rsidR="00F7382D">
        <w:rPr>
          <w:rFonts w:hint="cs"/>
          <w:b/>
          <w:bCs/>
          <w:rtl/>
        </w:rPr>
        <w:t>בקשות להאזנת סתר לתקשורת בין מחשבים לעומת</w:t>
      </w:r>
      <w:r w:rsidR="001935BF">
        <w:rPr>
          <w:rFonts w:hint="cs"/>
          <w:b/>
          <w:bCs/>
          <w:rtl/>
        </w:rPr>
        <w:t xml:space="preserve"> מימוש</w:t>
      </w:r>
      <w:r w:rsidR="00F7382D">
        <w:rPr>
          <w:rFonts w:hint="cs"/>
          <w:b/>
          <w:bCs/>
          <w:rtl/>
        </w:rPr>
        <w:t xml:space="preserve"> </w:t>
      </w:r>
      <w:r w:rsidR="001935BF">
        <w:rPr>
          <w:rFonts w:hint="cs"/>
          <w:b/>
          <w:bCs/>
          <w:rtl/>
        </w:rPr>
        <w:t>ה</w:t>
      </w:r>
      <w:r w:rsidR="00F7382D">
        <w:rPr>
          <w:rFonts w:hint="cs"/>
          <w:b/>
          <w:bCs/>
          <w:rtl/>
        </w:rPr>
        <w:t xml:space="preserve">בקשות להאזנת סתר לשמע; (ג) </w:t>
      </w:r>
      <w:r w:rsidR="001935BF">
        <w:rPr>
          <w:rFonts w:hint="cs"/>
          <w:b/>
          <w:bCs/>
          <w:rtl/>
        </w:rPr>
        <w:t xml:space="preserve">עולה </w:t>
      </w:r>
      <w:r w:rsidR="00F7382D" w:rsidRPr="007141E6">
        <w:rPr>
          <w:b/>
          <w:bCs/>
          <w:rtl/>
        </w:rPr>
        <w:t>חוסר עקביות</w:t>
      </w:r>
      <w:r w:rsidR="00F7382D">
        <w:rPr>
          <w:rFonts w:hint="cs"/>
          <w:b/>
          <w:bCs/>
          <w:rtl/>
        </w:rPr>
        <w:t xml:space="preserve"> במימוש הצווים לאורך השנים. </w:t>
      </w:r>
      <w:r w:rsidR="00F7382D" w:rsidRPr="008E542C">
        <w:rPr>
          <w:b/>
          <w:bCs/>
          <w:rtl/>
        </w:rPr>
        <w:t>היעדר הרישום התקין</w:t>
      </w:r>
      <w:r w:rsidR="00F7382D">
        <w:rPr>
          <w:rFonts w:hint="cs"/>
          <w:b/>
          <w:bCs/>
          <w:rtl/>
        </w:rPr>
        <w:t xml:space="preserve">, המהימן והמלא של נתוני מימוש האזנות הסתר </w:t>
      </w:r>
      <w:r w:rsidR="00F7382D" w:rsidRPr="008E542C">
        <w:rPr>
          <w:b/>
          <w:bCs/>
          <w:rtl/>
        </w:rPr>
        <w:t xml:space="preserve">מקשה </w:t>
      </w:r>
      <w:r w:rsidR="001935BF">
        <w:rPr>
          <w:rFonts w:hint="cs"/>
          <w:b/>
          <w:bCs/>
          <w:rtl/>
        </w:rPr>
        <w:t>את</w:t>
      </w:r>
      <w:r w:rsidR="001935BF" w:rsidRPr="008E542C">
        <w:rPr>
          <w:b/>
          <w:bCs/>
          <w:rtl/>
        </w:rPr>
        <w:t xml:space="preserve"> </w:t>
      </w:r>
      <w:r w:rsidR="00F7382D" w:rsidRPr="008E542C">
        <w:rPr>
          <w:b/>
          <w:bCs/>
          <w:rtl/>
        </w:rPr>
        <w:t xml:space="preserve">ניתוח תהליכי העבודה של </w:t>
      </w:r>
      <w:r w:rsidR="001935BF">
        <w:rPr>
          <w:rFonts w:hint="cs"/>
          <w:b/>
          <w:bCs/>
          <w:rtl/>
        </w:rPr>
        <w:t>המשטרה</w:t>
      </w:r>
      <w:r w:rsidR="00F7382D" w:rsidRPr="008E542C">
        <w:rPr>
          <w:b/>
          <w:bCs/>
          <w:rtl/>
        </w:rPr>
        <w:t xml:space="preserve"> ו</w:t>
      </w:r>
      <w:r w:rsidR="001935BF">
        <w:rPr>
          <w:rFonts w:hint="cs"/>
          <w:b/>
          <w:bCs/>
          <w:rtl/>
        </w:rPr>
        <w:t xml:space="preserve">את </w:t>
      </w:r>
      <w:r w:rsidR="00F7382D" w:rsidRPr="008E542C">
        <w:rPr>
          <w:b/>
          <w:bCs/>
          <w:rtl/>
        </w:rPr>
        <w:t xml:space="preserve">בחינת נחיצות הוצאת </w:t>
      </w:r>
      <w:r w:rsidR="00F7382D">
        <w:rPr>
          <w:rFonts w:hint="cs"/>
          <w:b/>
          <w:bCs/>
          <w:rtl/>
        </w:rPr>
        <w:t>ה</w:t>
      </w:r>
      <w:r w:rsidR="00F7382D" w:rsidRPr="008E542C">
        <w:rPr>
          <w:b/>
          <w:bCs/>
          <w:rtl/>
        </w:rPr>
        <w:t>צווים.</w:t>
      </w:r>
      <w:r w:rsidR="00F7382D">
        <w:rPr>
          <w:rFonts w:hint="cs"/>
          <w:b/>
          <w:bCs/>
          <w:rtl/>
        </w:rPr>
        <w:t xml:space="preserve"> </w:t>
      </w:r>
    </w:p>
    <w:p w:rsidR="00F7382D" w:rsidRDefault="00F7382D" w:rsidP="00604C3D">
      <w:pPr>
        <w:pStyle w:val="a5"/>
        <w:spacing w:line="269" w:lineRule="auto"/>
        <w:rPr>
          <w:rtl/>
        </w:rPr>
      </w:pPr>
    </w:p>
    <w:p w:rsidR="00F7382D" w:rsidRPr="00655EB4" w:rsidRDefault="00F7382D" w:rsidP="00604C3D">
      <w:pPr>
        <w:spacing w:line="269" w:lineRule="auto"/>
      </w:pPr>
      <w:r w:rsidRPr="00655EB4">
        <w:rPr>
          <w:rFonts w:hint="eastAsia"/>
          <w:rtl/>
        </w:rPr>
        <w:t>המשטרה</w:t>
      </w:r>
      <w:r w:rsidRPr="00655EB4">
        <w:rPr>
          <w:rtl/>
        </w:rPr>
        <w:t xml:space="preserve"> מסרה בתגובתה כי אכן בעבר היו פערים ברישום מימוש צווי האזנת הסתר לתקשורת בין מחשבים במערכת לניהול צווים</w:t>
      </w:r>
      <w:r w:rsidR="003F3353">
        <w:rPr>
          <w:rFonts w:hint="cs"/>
          <w:rtl/>
        </w:rPr>
        <w:t xml:space="preserve">, בפרט בדיווחים המועברים </w:t>
      </w:r>
      <w:r w:rsidR="001935BF">
        <w:rPr>
          <w:rFonts w:hint="cs"/>
          <w:rtl/>
        </w:rPr>
        <w:t>ליועמ"שית</w:t>
      </w:r>
      <w:r w:rsidR="004B6236">
        <w:rPr>
          <w:rFonts w:hint="cs"/>
          <w:rtl/>
        </w:rPr>
        <w:t xml:space="preserve"> לממשלה</w:t>
      </w:r>
      <w:r w:rsidRPr="00655EB4">
        <w:rPr>
          <w:rtl/>
        </w:rPr>
        <w:t xml:space="preserve">, </w:t>
      </w:r>
      <w:r w:rsidRPr="00655EB4">
        <w:rPr>
          <w:rFonts w:hint="eastAsia"/>
          <w:rtl/>
        </w:rPr>
        <w:t>אולם</w:t>
      </w:r>
      <w:r w:rsidRPr="00655EB4">
        <w:rPr>
          <w:rtl/>
        </w:rPr>
        <w:t xml:space="preserve"> </w:t>
      </w:r>
      <w:r w:rsidR="00C676CC" w:rsidRPr="00655EB4">
        <w:rPr>
          <w:rFonts w:hint="eastAsia"/>
          <w:rtl/>
        </w:rPr>
        <w:t>היא</w:t>
      </w:r>
      <w:r w:rsidR="00C676CC" w:rsidRPr="00655EB4">
        <w:rPr>
          <w:rtl/>
        </w:rPr>
        <w:t xml:space="preserve"> </w:t>
      </w:r>
      <w:r w:rsidR="00C676CC" w:rsidRPr="00655EB4">
        <w:rPr>
          <w:rFonts w:hint="eastAsia"/>
          <w:rtl/>
        </w:rPr>
        <w:t>פועלת</w:t>
      </w:r>
      <w:r w:rsidR="00C676CC" w:rsidRPr="00655EB4">
        <w:rPr>
          <w:rtl/>
        </w:rPr>
        <w:t xml:space="preserve"> </w:t>
      </w:r>
      <w:r w:rsidR="00C676CC" w:rsidRPr="00655EB4">
        <w:rPr>
          <w:rFonts w:hint="eastAsia"/>
          <w:rtl/>
        </w:rPr>
        <w:t>לתיקון</w:t>
      </w:r>
      <w:r w:rsidR="00C676CC" w:rsidRPr="00655EB4">
        <w:rPr>
          <w:rtl/>
        </w:rPr>
        <w:t xml:space="preserve"> </w:t>
      </w:r>
      <w:r w:rsidR="00C676CC" w:rsidRPr="00655EB4">
        <w:rPr>
          <w:rFonts w:hint="eastAsia"/>
          <w:rtl/>
        </w:rPr>
        <w:t>הפערים</w:t>
      </w:r>
      <w:r w:rsidR="004A08AF">
        <w:rPr>
          <w:rFonts w:hint="cs"/>
          <w:rtl/>
        </w:rPr>
        <w:t xml:space="preserve"> באמצעות </w:t>
      </w:r>
      <w:r w:rsidR="009442C0">
        <w:rPr>
          <w:rFonts w:hint="cs"/>
          <w:rtl/>
        </w:rPr>
        <w:t xml:space="preserve">שיפורים במערכת לניהול צווים וחידוד </w:t>
      </w:r>
      <w:r w:rsidR="001935BF">
        <w:rPr>
          <w:rFonts w:hint="cs"/>
          <w:rtl/>
        </w:rPr>
        <w:t>ה</w:t>
      </w:r>
      <w:r w:rsidR="009442C0">
        <w:rPr>
          <w:rFonts w:hint="cs"/>
          <w:rtl/>
        </w:rPr>
        <w:t>הנחיות ו</w:t>
      </w:r>
      <w:r w:rsidR="001935BF">
        <w:rPr>
          <w:rFonts w:hint="cs"/>
          <w:rtl/>
        </w:rPr>
        <w:t>ה</w:t>
      </w:r>
      <w:r w:rsidR="009442C0">
        <w:rPr>
          <w:rFonts w:hint="cs"/>
          <w:rtl/>
        </w:rPr>
        <w:t>נהלים למערך הפרוס.</w:t>
      </w:r>
      <w:r w:rsidRPr="00655EB4">
        <w:rPr>
          <w:rtl/>
        </w:rPr>
        <w:t xml:space="preserve"> </w:t>
      </w:r>
    </w:p>
    <w:p w:rsidR="00F7382D" w:rsidRDefault="00F7382D" w:rsidP="00604C3D">
      <w:pPr>
        <w:pStyle w:val="a5"/>
        <w:spacing w:line="269" w:lineRule="auto"/>
        <w:rPr>
          <w:rtl/>
        </w:rPr>
      </w:pPr>
    </w:p>
    <w:p w:rsidR="00F7382D" w:rsidRDefault="00F7382D" w:rsidP="00604C3D">
      <w:pPr>
        <w:spacing w:line="269" w:lineRule="auto"/>
        <w:rPr>
          <w:rtl/>
        </w:rPr>
      </w:pPr>
      <w:r>
        <w:rPr>
          <w:rtl/>
        </w:rPr>
        <w:t xml:space="preserve">עוד מסרה המשטרה בתגובתה כי אין היא מחויבת על פי חוק לנהל את צווי האזנת הסתר במערכת לניהול צווים; </w:t>
      </w:r>
      <w:r w:rsidR="004B6236">
        <w:rPr>
          <w:rFonts w:hint="cs"/>
          <w:rtl/>
        </w:rPr>
        <w:t xml:space="preserve">כי </w:t>
      </w:r>
      <w:r>
        <w:rPr>
          <w:rtl/>
        </w:rPr>
        <w:t xml:space="preserve">מדובר </w:t>
      </w:r>
      <w:r w:rsidR="001935BF">
        <w:rPr>
          <w:rFonts w:hint="cs"/>
          <w:rtl/>
        </w:rPr>
        <w:t>בשיעור</w:t>
      </w:r>
      <w:r w:rsidR="001935BF">
        <w:rPr>
          <w:rtl/>
        </w:rPr>
        <w:t xml:space="preserve"> </w:t>
      </w:r>
      <w:r>
        <w:rPr>
          <w:rtl/>
        </w:rPr>
        <w:t xml:space="preserve">קטן מאוד של צווים </w:t>
      </w:r>
      <w:r w:rsidR="001935BF">
        <w:rPr>
          <w:rtl/>
        </w:rPr>
        <w:t>ש</w:t>
      </w:r>
      <w:r w:rsidR="001935BF">
        <w:rPr>
          <w:rFonts w:hint="cs"/>
          <w:rtl/>
        </w:rPr>
        <w:t>אינם</w:t>
      </w:r>
      <w:r w:rsidR="001935BF">
        <w:rPr>
          <w:rtl/>
        </w:rPr>
        <w:t xml:space="preserve"> </w:t>
      </w:r>
      <w:r>
        <w:rPr>
          <w:rtl/>
        </w:rPr>
        <w:t xml:space="preserve">ממומשים; </w:t>
      </w:r>
      <w:r>
        <w:rPr>
          <w:rFonts w:hint="cs"/>
          <w:rtl/>
        </w:rPr>
        <w:t>כי בשונה ממימוש צווי האזנת סתר לשמע, המערכת אינה מתממשקת עם הכלים הטכנולוגיים המשמשים להאזנה לתקשורת בין מחשבים ולכן אינה מאפשרת הזנה אוטומטית של מימוש צווים אלו; וכי הציפייה שהמשטרה תזין את כלל הצווים באופן גורף אינה ריאלית ואינה מביאה בחשבון את מורכבות הפיתוח של המערכות הממוחשבות במשטר</w:t>
      </w:r>
      <w:r w:rsidR="001935BF">
        <w:rPr>
          <w:rFonts w:hint="cs"/>
          <w:rtl/>
        </w:rPr>
        <w:t>ה</w:t>
      </w:r>
      <w:r>
        <w:rPr>
          <w:rFonts w:hint="cs"/>
          <w:rtl/>
        </w:rPr>
        <w:t xml:space="preserve">. יוצא אפוא כי המשטרה סבורה כי ניהול תחום האזנות הסתר במערכת ממוחשבת אינו סטנדרט מחייב על פי דין, וכי היא רשאית להמשיך ולנהל מידע חלקי במערכת </w:t>
      </w:r>
      <w:r w:rsidR="006F3119" w:rsidRPr="006F3119">
        <w:rPr>
          <w:rFonts w:hint="cs"/>
          <w:rtl/>
        </w:rPr>
        <w:t xml:space="preserve">לניהול צווים לצד מסמכים פיזיים </w:t>
      </w:r>
      <w:r>
        <w:rPr>
          <w:rFonts w:hint="cs"/>
          <w:rtl/>
        </w:rPr>
        <w:t>המוחזקים ביחידות השונות שבמחוזות.</w:t>
      </w:r>
    </w:p>
    <w:p w:rsidR="002B0E02" w:rsidRDefault="002B0E02" w:rsidP="00604C3D">
      <w:pPr>
        <w:spacing w:line="269" w:lineRule="auto"/>
        <w:rPr>
          <w:b/>
          <w:bCs/>
          <w:rtl/>
        </w:rPr>
      </w:pPr>
    </w:p>
    <w:p w:rsidR="00F7382D" w:rsidRPr="0027666A" w:rsidRDefault="001935BF" w:rsidP="00604C3D">
      <w:pPr>
        <w:spacing w:line="269" w:lineRule="auto"/>
        <w:rPr>
          <w:b/>
          <w:bCs/>
          <w:rtl/>
        </w:rPr>
      </w:pPr>
      <w:r>
        <w:rPr>
          <w:rFonts w:hint="cs"/>
          <w:b/>
          <w:bCs/>
          <w:rtl/>
        </w:rPr>
        <w:t>ה</w:t>
      </w:r>
      <w:r w:rsidR="00F7382D" w:rsidRPr="005571ED">
        <w:rPr>
          <w:rFonts w:hint="eastAsia"/>
          <w:b/>
          <w:bCs/>
          <w:rtl/>
        </w:rPr>
        <w:t>משטר</w:t>
      </w:r>
      <w:r>
        <w:rPr>
          <w:rFonts w:hint="cs"/>
          <w:b/>
          <w:bCs/>
          <w:rtl/>
        </w:rPr>
        <w:t xml:space="preserve">ה </w:t>
      </w:r>
      <w:r w:rsidR="00F7382D" w:rsidRPr="005571ED">
        <w:rPr>
          <w:rFonts w:hint="eastAsia"/>
          <w:b/>
          <w:bCs/>
          <w:rtl/>
        </w:rPr>
        <w:t>מטפלת</w:t>
      </w:r>
      <w:r w:rsidR="00F7382D" w:rsidRPr="005571ED">
        <w:rPr>
          <w:b/>
          <w:bCs/>
          <w:rtl/>
        </w:rPr>
        <w:t xml:space="preserve"> </w:t>
      </w:r>
      <w:r w:rsidR="00F7382D" w:rsidRPr="005571ED">
        <w:rPr>
          <w:rFonts w:hint="eastAsia"/>
          <w:b/>
          <w:bCs/>
          <w:rtl/>
        </w:rPr>
        <w:t>בכל</w:t>
      </w:r>
      <w:r w:rsidR="00F7382D" w:rsidRPr="005571ED">
        <w:rPr>
          <w:b/>
          <w:bCs/>
          <w:rtl/>
        </w:rPr>
        <w:t xml:space="preserve"> </w:t>
      </w:r>
      <w:r w:rsidR="00F7382D" w:rsidRPr="005571ED">
        <w:rPr>
          <w:rFonts w:hint="eastAsia"/>
          <w:b/>
          <w:bCs/>
          <w:rtl/>
        </w:rPr>
        <w:t>שנה</w:t>
      </w:r>
      <w:r w:rsidR="00F7382D" w:rsidRPr="005571ED">
        <w:rPr>
          <w:b/>
          <w:bCs/>
          <w:rtl/>
        </w:rPr>
        <w:t xml:space="preserve"> </w:t>
      </w:r>
      <w:r w:rsidR="00F7382D" w:rsidRPr="005571ED">
        <w:rPr>
          <w:rFonts w:hint="eastAsia"/>
          <w:b/>
          <w:bCs/>
          <w:rtl/>
        </w:rPr>
        <w:t>באלפי</w:t>
      </w:r>
      <w:r w:rsidR="00F7382D" w:rsidRPr="005571ED">
        <w:rPr>
          <w:b/>
          <w:bCs/>
          <w:rtl/>
        </w:rPr>
        <w:t xml:space="preserve"> צווי האזנת סתר, אלפי יעדי האזנה, אלפי עמדות האזנה, ומאות אלפי </w:t>
      </w:r>
      <w:r w:rsidR="00F7382D">
        <w:rPr>
          <w:rFonts w:hint="cs"/>
          <w:b/>
          <w:bCs/>
          <w:rtl/>
        </w:rPr>
        <w:t>תוצרי האזנת סתר. לכן,</w:t>
      </w:r>
      <w:r w:rsidR="00F7382D" w:rsidRPr="005571ED">
        <w:rPr>
          <w:b/>
          <w:bCs/>
          <w:rtl/>
        </w:rPr>
        <w:t xml:space="preserve"> </w:t>
      </w:r>
      <w:r w:rsidR="00EB13A1">
        <w:rPr>
          <w:rFonts w:hint="cs"/>
          <w:b/>
          <w:bCs/>
          <w:rtl/>
        </w:rPr>
        <w:t>היקף</w:t>
      </w:r>
      <w:r w:rsidR="00F7382D" w:rsidRPr="005571ED">
        <w:rPr>
          <w:b/>
          <w:bCs/>
          <w:rtl/>
        </w:rPr>
        <w:t xml:space="preserve"> פעולות חקירה </w:t>
      </w:r>
      <w:r>
        <w:rPr>
          <w:rFonts w:hint="cs"/>
          <w:b/>
          <w:bCs/>
          <w:rtl/>
        </w:rPr>
        <w:t>ב</w:t>
      </w:r>
      <w:r w:rsidRPr="005571ED">
        <w:rPr>
          <w:b/>
          <w:bCs/>
          <w:rtl/>
        </w:rPr>
        <w:t xml:space="preserve">תחום </w:t>
      </w:r>
      <w:r w:rsidR="00F7382D" w:rsidRPr="005571ED">
        <w:rPr>
          <w:b/>
          <w:bCs/>
          <w:rtl/>
        </w:rPr>
        <w:t>האזנות הסתר הכפיל את עצמו בשנים האחרונות, ובהתאם להתפתחויות הטכנולוגיות אף</w:t>
      </w:r>
      <w:r w:rsidR="00EB13A1">
        <w:rPr>
          <w:rFonts w:hint="cs"/>
          <w:b/>
          <w:bCs/>
          <w:rtl/>
        </w:rPr>
        <w:t xml:space="preserve"> הוא</w:t>
      </w:r>
      <w:r w:rsidR="00F7382D" w:rsidRPr="005571ED">
        <w:rPr>
          <w:b/>
          <w:bCs/>
          <w:rtl/>
        </w:rPr>
        <w:t xml:space="preserve"> ילך ויגבר.</w:t>
      </w:r>
      <w:r w:rsidR="00F7382D">
        <w:rPr>
          <w:rFonts w:hint="cs"/>
          <w:b/>
          <w:bCs/>
          <w:rtl/>
        </w:rPr>
        <w:t xml:space="preserve"> חובתה של המשטרה לנהל את סמכויותיה ביעילות,</w:t>
      </w:r>
      <w:r w:rsidR="00F7382D" w:rsidRPr="005571ED">
        <w:rPr>
          <w:b/>
          <w:bCs/>
          <w:rtl/>
        </w:rPr>
        <w:t xml:space="preserve"> </w:t>
      </w:r>
      <w:r w:rsidR="00F7382D">
        <w:rPr>
          <w:rFonts w:hint="cs"/>
          <w:b/>
          <w:bCs/>
          <w:rtl/>
        </w:rPr>
        <w:t xml:space="preserve">במציאות </w:t>
      </w:r>
      <w:r w:rsidR="00EB13A1">
        <w:rPr>
          <w:rFonts w:hint="cs"/>
          <w:b/>
          <w:bCs/>
          <w:rtl/>
        </w:rPr>
        <w:t>ש</w:t>
      </w:r>
      <w:r w:rsidR="00F7382D">
        <w:rPr>
          <w:rFonts w:hint="cs"/>
          <w:b/>
          <w:bCs/>
          <w:rtl/>
        </w:rPr>
        <w:t>בה היא נדרשת לשלוט</w:t>
      </w:r>
      <w:r w:rsidR="00F7382D" w:rsidRPr="005571ED">
        <w:rPr>
          <w:b/>
          <w:bCs/>
          <w:rtl/>
        </w:rPr>
        <w:t xml:space="preserve"> </w:t>
      </w:r>
      <w:r w:rsidR="00F7382D">
        <w:rPr>
          <w:rFonts w:hint="cs"/>
          <w:b/>
          <w:bCs/>
          <w:rtl/>
        </w:rPr>
        <w:t>ב</w:t>
      </w:r>
      <w:r w:rsidR="00F7382D" w:rsidRPr="005571ED">
        <w:rPr>
          <w:rFonts w:hint="eastAsia"/>
          <w:b/>
          <w:bCs/>
          <w:rtl/>
        </w:rPr>
        <w:t>כמויות</w:t>
      </w:r>
      <w:r w:rsidR="00F7382D" w:rsidRPr="005571ED">
        <w:rPr>
          <w:b/>
          <w:bCs/>
          <w:rtl/>
        </w:rPr>
        <w:t xml:space="preserve"> </w:t>
      </w:r>
      <w:r w:rsidR="00F7382D">
        <w:rPr>
          <w:rFonts w:hint="cs"/>
          <w:b/>
          <w:bCs/>
          <w:rtl/>
        </w:rPr>
        <w:t>אדירות</w:t>
      </w:r>
      <w:r w:rsidR="00F7382D" w:rsidRPr="005571ED">
        <w:rPr>
          <w:b/>
          <w:bCs/>
          <w:rtl/>
        </w:rPr>
        <w:t xml:space="preserve"> של מידע, בתחום </w:t>
      </w:r>
      <w:r w:rsidR="00F7382D">
        <w:rPr>
          <w:rFonts w:hint="cs"/>
          <w:b/>
          <w:bCs/>
          <w:rtl/>
        </w:rPr>
        <w:t xml:space="preserve">שהפעלתו </w:t>
      </w:r>
      <w:r w:rsidR="00EB13A1">
        <w:rPr>
          <w:rFonts w:hint="cs"/>
          <w:b/>
          <w:bCs/>
          <w:rtl/>
        </w:rPr>
        <w:t>מ</w:t>
      </w:r>
      <w:r w:rsidR="00F7382D" w:rsidRPr="005571ED">
        <w:rPr>
          <w:rFonts w:hint="eastAsia"/>
          <w:b/>
          <w:bCs/>
          <w:rtl/>
        </w:rPr>
        <w:t>בוזר</w:t>
      </w:r>
      <w:r w:rsidR="00EB13A1">
        <w:rPr>
          <w:rFonts w:hint="cs"/>
          <w:b/>
          <w:bCs/>
          <w:rtl/>
        </w:rPr>
        <w:t>ת</w:t>
      </w:r>
      <w:r w:rsidR="00F7382D" w:rsidRPr="005571ED">
        <w:rPr>
          <w:b/>
          <w:bCs/>
          <w:rtl/>
        </w:rPr>
        <w:t xml:space="preserve"> למחוזות המשטרה השונים, </w:t>
      </w:r>
      <w:r w:rsidR="00F7382D">
        <w:rPr>
          <w:rFonts w:hint="cs"/>
          <w:b/>
          <w:bCs/>
          <w:rtl/>
        </w:rPr>
        <w:t>ולאור ה</w:t>
      </w:r>
      <w:r w:rsidR="00F7382D" w:rsidRPr="005571ED">
        <w:rPr>
          <w:rFonts w:hint="eastAsia"/>
          <w:b/>
          <w:bCs/>
          <w:rtl/>
        </w:rPr>
        <w:t>הישענות</w:t>
      </w:r>
      <w:r w:rsidR="00F7382D" w:rsidRPr="005571ED">
        <w:rPr>
          <w:b/>
          <w:bCs/>
          <w:rtl/>
        </w:rPr>
        <w:t xml:space="preserve"> </w:t>
      </w:r>
      <w:r w:rsidR="00F7382D">
        <w:rPr>
          <w:rFonts w:hint="cs"/>
          <w:b/>
          <w:bCs/>
          <w:rtl/>
        </w:rPr>
        <w:t xml:space="preserve">של </w:t>
      </w:r>
      <w:r w:rsidR="00F7382D" w:rsidRPr="005571ED">
        <w:rPr>
          <w:rFonts w:hint="eastAsia"/>
          <w:b/>
          <w:bCs/>
          <w:rtl/>
        </w:rPr>
        <w:t>המשטרה</w:t>
      </w:r>
      <w:r w:rsidR="00F7382D" w:rsidRPr="005571ED">
        <w:rPr>
          <w:b/>
          <w:bCs/>
          <w:rtl/>
        </w:rPr>
        <w:t xml:space="preserve"> בפועל על המערכת </w:t>
      </w:r>
      <w:r w:rsidR="00F7382D">
        <w:rPr>
          <w:rFonts w:hint="cs"/>
          <w:b/>
          <w:bCs/>
          <w:rtl/>
        </w:rPr>
        <w:t xml:space="preserve">לניהול צווים </w:t>
      </w:r>
      <w:r w:rsidR="00F7382D" w:rsidRPr="005571ED">
        <w:rPr>
          <w:rFonts w:hint="eastAsia"/>
          <w:b/>
          <w:bCs/>
          <w:rtl/>
        </w:rPr>
        <w:t>לצורך</w:t>
      </w:r>
      <w:r w:rsidR="00F7382D" w:rsidRPr="005571ED">
        <w:rPr>
          <w:b/>
          <w:bCs/>
          <w:rtl/>
        </w:rPr>
        <w:t xml:space="preserve"> </w:t>
      </w:r>
      <w:r w:rsidR="00F7382D" w:rsidRPr="005571ED">
        <w:rPr>
          <w:rFonts w:hint="eastAsia"/>
          <w:b/>
          <w:bCs/>
          <w:rtl/>
        </w:rPr>
        <w:t>הכנת</w:t>
      </w:r>
      <w:r w:rsidR="00F7382D" w:rsidRPr="005571ED">
        <w:rPr>
          <w:b/>
          <w:bCs/>
          <w:rtl/>
        </w:rPr>
        <w:t xml:space="preserve"> </w:t>
      </w:r>
      <w:r w:rsidR="00F7382D" w:rsidRPr="005571ED">
        <w:rPr>
          <w:rFonts w:hint="eastAsia"/>
          <w:b/>
          <w:bCs/>
          <w:rtl/>
        </w:rPr>
        <w:t>דיווחים</w:t>
      </w:r>
      <w:r w:rsidR="00F7382D" w:rsidRPr="005571ED">
        <w:rPr>
          <w:b/>
          <w:bCs/>
          <w:rtl/>
        </w:rPr>
        <w:t xml:space="preserve"> </w:t>
      </w:r>
      <w:r w:rsidR="00F7382D" w:rsidRPr="005571ED">
        <w:rPr>
          <w:rFonts w:hint="eastAsia"/>
          <w:b/>
          <w:bCs/>
          <w:rtl/>
        </w:rPr>
        <w:t>לכנסת</w:t>
      </w:r>
      <w:r w:rsidR="00F7382D" w:rsidRPr="005571ED">
        <w:rPr>
          <w:b/>
          <w:bCs/>
          <w:rtl/>
        </w:rPr>
        <w:t xml:space="preserve"> </w:t>
      </w:r>
      <w:r w:rsidR="00F7382D" w:rsidRPr="005571ED">
        <w:rPr>
          <w:rFonts w:hint="eastAsia"/>
          <w:b/>
          <w:bCs/>
          <w:rtl/>
        </w:rPr>
        <w:t>ישראל</w:t>
      </w:r>
      <w:r w:rsidR="00F7382D">
        <w:rPr>
          <w:rFonts w:hint="cs"/>
          <w:b/>
          <w:bCs/>
          <w:rtl/>
        </w:rPr>
        <w:t xml:space="preserve"> וליועצת המשפטית לממשלה</w:t>
      </w:r>
      <w:r w:rsidR="00F7382D" w:rsidRPr="005571ED">
        <w:rPr>
          <w:b/>
          <w:bCs/>
          <w:rtl/>
        </w:rPr>
        <w:t xml:space="preserve"> בהם היא חבה מכוח חוק</w:t>
      </w:r>
      <w:r w:rsidR="00F7382D">
        <w:rPr>
          <w:rFonts w:hint="cs"/>
          <w:b/>
          <w:bCs/>
          <w:rtl/>
        </w:rPr>
        <w:t xml:space="preserve"> - כל אלו </w:t>
      </w:r>
      <w:r w:rsidR="00F7382D" w:rsidRPr="005571ED">
        <w:rPr>
          <w:rFonts w:hint="eastAsia"/>
          <w:b/>
          <w:bCs/>
          <w:rtl/>
        </w:rPr>
        <w:t>מעידים</w:t>
      </w:r>
      <w:r w:rsidR="00F7382D" w:rsidRPr="005571ED">
        <w:rPr>
          <w:b/>
          <w:bCs/>
          <w:rtl/>
        </w:rPr>
        <w:t xml:space="preserve"> </w:t>
      </w:r>
      <w:r w:rsidR="00F7382D" w:rsidRPr="005571ED">
        <w:rPr>
          <w:rFonts w:hint="eastAsia"/>
          <w:b/>
          <w:bCs/>
          <w:rtl/>
        </w:rPr>
        <w:t>על</w:t>
      </w:r>
      <w:r w:rsidR="00F7382D" w:rsidRPr="005571ED">
        <w:rPr>
          <w:b/>
          <w:bCs/>
          <w:rtl/>
        </w:rPr>
        <w:t xml:space="preserve"> </w:t>
      </w:r>
      <w:r w:rsidR="00F7382D" w:rsidRPr="005571ED">
        <w:rPr>
          <w:rFonts w:hint="eastAsia"/>
          <w:b/>
          <w:bCs/>
          <w:rtl/>
        </w:rPr>
        <w:t>הנחיצות</w:t>
      </w:r>
      <w:r w:rsidR="00F7382D" w:rsidRPr="005571ED">
        <w:rPr>
          <w:b/>
          <w:bCs/>
          <w:rtl/>
        </w:rPr>
        <w:t xml:space="preserve"> </w:t>
      </w:r>
      <w:r w:rsidR="00F7382D" w:rsidRPr="005571ED">
        <w:rPr>
          <w:rFonts w:hint="eastAsia"/>
          <w:b/>
          <w:bCs/>
          <w:rtl/>
        </w:rPr>
        <w:t>של</w:t>
      </w:r>
      <w:r w:rsidR="00F7382D" w:rsidRPr="005571ED">
        <w:rPr>
          <w:b/>
          <w:bCs/>
          <w:rtl/>
        </w:rPr>
        <w:t xml:space="preserve"> </w:t>
      </w:r>
      <w:r w:rsidR="00F7382D" w:rsidRPr="005571ED">
        <w:rPr>
          <w:rFonts w:hint="eastAsia"/>
          <w:b/>
          <w:bCs/>
          <w:rtl/>
        </w:rPr>
        <w:t>ניהול</w:t>
      </w:r>
      <w:r w:rsidR="00F7382D" w:rsidRPr="005571ED">
        <w:rPr>
          <w:b/>
          <w:bCs/>
          <w:rtl/>
        </w:rPr>
        <w:t xml:space="preserve"> </w:t>
      </w:r>
      <w:r w:rsidR="00F7382D" w:rsidRPr="005571ED">
        <w:rPr>
          <w:rFonts w:hint="eastAsia"/>
          <w:b/>
          <w:bCs/>
          <w:rtl/>
        </w:rPr>
        <w:t>דיגיטלי</w:t>
      </w:r>
      <w:r w:rsidR="00F7382D" w:rsidRPr="005571ED">
        <w:rPr>
          <w:b/>
          <w:bCs/>
          <w:rtl/>
        </w:rPr>
        <w:t xml:space="preserve"> </w:t>
      </w:r>
      <w:r w:rsidR="00F7382D" w:rsidRPr="005571ED">
        <w:rPr>
          <w:rFonts w:hint="eastAsia"/>
          <w:b/>
          <w:bCs/>
          <w:rtl/>
        </w:rPr>
        <w:t>תקין</w:t>
      </w:r>
      <w:r w:rsidR="00F7382D" w:rsidRPr="005571ED">
        <w:rPr>
          <w:b/>
          <w:bCs/>
          <w:rtl/>
        </w:rPr>
        <w:t xml:space="preserve"> </w:t>
      </w:r>
      <w:r w:rsidR="00F7382D" w:rsidRPr="005571ED">
        <w:rPr>
          <w:rFonts w:hint="eastAsia"/>
          <w:b/>
          <w:bCs/>
          <w:rtl/>
        </w:rPr>
        <w:t>של</w:t>
      </w:r>
      <w:r w:rsidR="00F7382D" w:rsidRPr="005571ED">
        <w:rPr>
          <w:b/>
          <w:bCs/>
          <w:rtl/>
        </w:rPr>
        <w:t xml:space="preserve"> </w:t>
      </w:r>
      <w:r w:rsidR="00F7382D" w:rsidRPr="005571ED">
        <w:rPr>
          <w:rFonts w:hint="eastAsia"/>
          <w:b/>
          <w:bCs/>
          <w:rtl/>
        </w:rPr>
        <w:t>תחום</w:t>
      </w:r>
      <w:r w:rsidR="00F7382D" w:rsidRPr="005571ED">
        <w:rPr>
          <w:b/>
          <w:bCs/>
          <w:rtl/>
        </w:rPr>
        <w:t xml:space="preserve"> </w:t>
      </w:r>
      <w:r w:rsidR="00F7382D" w:rsidRPr="005571ED">
        <w:rPr>
          <w:rFonts w:hint="eastAsia"/>
          <w:b/>
          <w:bCs/>
          <w:rtl/>
        </w:rPr>
        <w:t>האזנות</w:t>
      </w:r>
      <w:r w:rsidR="00F7382D" w:rsidRPr="005571ED">
        <w:rPr>
          <w:b/>
          <w:bCs/>
          <w:rtl/>
        </w:rPr>
        <w:t xml:space="preserve"> </w:t>
      </w:r>
      <w:r w:rsidR="00F7382D" w:rsidRPr="005571ED">
        <w:rPr>
          <w:rFonts w:hint="eastAsia"/>
          <w:b/>
          <w:bCs/>
          <w:rtl/>
        </w:rPr>
        <w:t>הסתר</w:t>
      </w:r>
      <w:r w:rsidR="00F7382D">
        <w:rPr>
          <w:rFonts w:hint="cs"/>
          <w:b/>
          <w:bCs/>
          <w:rtl/>
        </w:rPr>
        <w:t>.</w:t>
      </w:r>
      <w:r w:rsidR="00F7382D" w:rsidRPr="005571ED">
        <w:rPr>
          <w:b/>
          <w:bCs/>
          <w:rtl/>
        </w:rPr>
        <w:t xml:space="preserve"> </w:t>
      </w:r>
      <w:r w:rsidR="00F7382D">
        <w:rPr>
          <w:rFonts w:hint="cs"/>
          <w:b/>
          <w:bCs/>
          <w:rtl/>
        </w:rPr>
        <w:t>בהתאם ל</w:t>
      </w:r>
      <w:r w:rsidR="00F7382D" w:rsidRPr="005571ED">
        <w:rPr>
          <w:rFonts w:hint="eastAsia"/>
          <w:b/>
          <w:bCs/>
          <w:rtl/>
        </w:rPr>
        <w:t>תכליות</w:t>
      </w:r>
      <w:r w:rsidR="00F7382D" w:rsidRPr="005571ED">
        <w:rPr>
          <w:b/>
          <w:bCs/>
          <w:rtl/>
        </w:rPr>
        <w:t xml:space="preserve"> </w:t>
      </w:r>
      <w:r w:rsidR="00F7382D" w:rsidRPr="005571ED">
        <w:rPr>
          <w:rFonts w:hint="eastAsia"/>
          <w:b/>
          <w:bCs/>
          <w:rtl/>
        </w:rPr>
        <w:t>אותן</w:t>
      </w:r>
      <w:r w:rsidR="00F7382D" w:rsidRPr="005571ED">
        <w:rPr>
          <w:b/>
          <w:bCs/>
          <w:rtl/>
        </w:rPr>
        <w:t xml:space="preserve"> </w:t>
      </w:r>
      <w:r w:rsidR="00F7382D" w:rsidRPr="005571ED">
        <w:rPr>
          <w:rFonts w:hint="eastAsia"/>
          <w:b/>
          <w:bCs/>
          <w:rtl/>
        </w:rPr>
        <w:t>הציגה</w:t>
      </w:r>
      <w:r w:rsidR="00F7382D" w:rsidRPr="005571ED">
        <w:rPr>
          <w:b/>
          <w:bCs/>
          <w:rtl/>
        </w:rPr>
        <w:t xml:space="preserve"> </w:t>
      </w:r>
      <w:r w:rsidR="00F7382D" w:rsidRPr="005571ED">
        <w:rPr>
          <w:rFonts w:hint="eastAsia"/>
          <w:b/>
          <w:bCs/>
          <w:rtl/>
        </w:rPr>
        <w:t>המשטרה</w:t>
      </w:r>
      <w:r w:rsidR="00F7382D" w:rsidRPr="005571ED">
        <w:rPr>
          <w:b/>
          <w:bCs/>
          <w:rtl/>
        </w:rPr>
        <w:t xml:space="preserve"> </w:t>
      </w:r>
      <w:r w:rsidR="00F7382D" w:rsidRPr="005571ED">
        <w:rPr>
          <w:rFonts w:hint="eastAsia"/>
          <w:b/>
          <w:bCs/>
          <w:rtl/>
        </w:rPr>
        <w:t>בעת</w:t>
      </w:r>
      <w:r w:rsidR="00F7382D" w:rsidRPr="005571ED">
        <w:rPr>
          <w:b/>
          <w:bCs/>
          <w:rtl/>
        </w:rPr>
        <w:t xml:space="preserve"> </w:t>
      </w:r>
      <w:r w:rsidR="00F7382D" w:rsidRPr="005571ED">
        <w:rPr>
          <w:rFonts w:hint="eastAsia"/>
          <w:b/>
          <w:bCs/>
          <w:rtl/>
        </w:rPr>
        <w:t>הקמת</w:t>
      </w:r>
      <w:r w:rsidR="00F7382D" w:rsidRPr="005571ED">
        <w:rPr>
          <w:b/>
          <w:bCs/>
          <w:rtl/>
        </w:rPr>
        <w:t xml:space="preserve"> </w:t>
      </w:r>
      <w:r w:rsidR="00F7382D" w:rsidRPr="005571ED">
        <w:rPr>
          <w:rFonts w:hint="eastAsia"/>
          <w:b/>
          <w:bCs/>
          <w:rtl/>
        </w:rPr>
        <w:t>המערכת</w:t>
      </w:r>
      <w:r w:rsidR="00F7382D" w:rsidRPr="005571ED">
        <w:rPr>
          <w:b/>
          <w:bCs/>
          <w:rtl/>
        </w:rPr>
        <w:t xml:space="preserve"> </w:t>
      </w:r>
      <w:r w:rsidR="00F7382D" w:rsidRPr="005571ED">
        <w:rPr>
          <w:rFonts w:hint="eastAsia"/>
          <w:b/>
          <w:bCs/>
          <w:rtl/>
        </w:rPr>
        <w:t>לניהול</w:t>
      </w:r>
      <w:r w:rsidR="00F7382D" w:rsidRPr="005571ED">
        <w:rPr>
          <w:b/>
          <w:bCs/>
          <w:rtl/>
        </w:rPr>
        <w:t xml:space="preserve"> </w:t>
      </w:r>
      <w:r w:rsidR="00F7382D" w:rsidRPr="005571ED">
        <w:rPr>
          <w:rFonts w:hint="eastAsia"/>
          <w:b/>
          <w:bCs/>
          <w:rtl/>
        </w:rPr>
        <w:t>צווים</w:t>
      </w:r>
      <w:r w:rsidR="00F7382D">
        <w:rPr>
          <w:rFonts w:hint="cs"/>
          <w:b/>
          <w:bCs/>
          <w:rtl/>
        </w:rPr>
        <w:t xml:space="preserve">, </w:t>
      </w:r>
      <w:r w:rsidR="00F7382D" w:rsidRPr="0027666A">
        <w:rPr>
          <w:rFonts w:hint="eastAsia"/>
          <w:b/>
          <w:bCs/>
          <w:rtl/>
        </w:rPr>
        <w:t>מומלץ</w:t>
      </w:r>
      <w:r w:rsidR="00F7382D" w:rsidRPr="005571ED">
        <w:rPr>
          <w:b/>
          <w:bCs/>
          <w:rtl/>
        </w:rPr>
        <w:t>,</w:t>
      </w:r>
      <w:r w:rsidR="00F7382D" w:rsidRPr="0027666A">
        <w:rPr>
          <w:b/>
          <w:bCs/>
          <w:rtl/>
        </w:rPr>
        <w:t xml:space="preserve"> שהמשטרה תקפיד על רישום נתוני מימוש האזנות סתר במערכת לניהול צווים</w:t>
      </w:r>
      <w:r w:rsidR="00F7382D">
        <w:rPr>
          <w:rFonts w:hint="cs"/>
          <w:b/>
          <w:bCs/>
          <w:rtl/>
        </w:rPr>
        <w:t xml:space="preserve">, תנהל את תחום האזנות הסתר ביעילות, תוך שמירה על מהימנות מאגר הנתונים המרכזי, על יכולת אחזור המידע במהירות, על חובותיה </w:t>
      </w:r>
      <w:r w:rsidR="009F25B2">
        <w:rPr>
          <w:rFonts w:hint="cs"/>
          <w:b/>
          <w:bCs/>
          <w:rtl/>
        </w:rPr>
        <w:t>לדווח על פעילותה ל</w:t>
      </w:r>
      <w:r w:rsidR="00F7382D">
        <w:rPr>
          <w:rFonts w:hint="cs"/>
          <w:b/>
          <w:bCs/>
          <w:rtl/>
        </w:rPr>
        <w:t xml:space="preserve">גורמי הממשל הרלוונטיים, ועל חובתה </w:t>
      </w:r>
      <w:r w:rsidR="009F25B2">
        <w:rPr>
          <w:rFonts w:hint="cs"/>
          <w:b/>
          <w:bCs/>
          <w:rtl/>
        </w:rPr>
        <w:t>ל</w:t>
      </w:r>
      <w:r w:rsidR="00F7382D">
        <w:rPr>
          <w:rFonts w:hint="cs"/>
          <w:b/>
          <w:bCs/>
          <w:rtl/>
        </w:rPr>
        <w:t>ציבור לשמור על מינהל תקין</w:t>
      </w:r>
      <w:r w:rsidR="00F7382D" w:rsidRPr="0027666A">
        <w:rPr>
          <w:b/>
          <w:bCs/>
          <w:rtl/>
        </w:rPr>
        <w:t xml:space="preserve">. </w:t>
      </w:r>
    </w:p>
    <w:p w:rsidR="002B0E02" w:rsidRDefault="002B0E02" w:rsidP="00604C3D">
      <w:pPr>
        <w:spacing w:line="269" w:lineRule="auto"/>
        <w:rPr>
          <w:rtl/>
        </w:rPr>
      </w:pPr>
      <w:bookmarkStart w:id="220" w:name="_Hlk169685035"/>
    </w:p>
    <w:p w:rsidR="00F7382D" w:rsidRPr="00497672" w:rsidRDefault="006F3119" w:rsidP="00604C3D">
      <w:pPr>
        <w:spacing w:line="269" w:lineRule="auto"/>
      </w:pPr>
      <w:r w:rsidRPr="006F3119">
        <w:rPr>
          <w:rtl/>
        </w:rPr>
        <w:t xml:space="preserve">במסגרת בקרות </w:t>
      </w:r>
      <w:r w:rsidRPr="006F3119">
        <w:rPr>
          <w:rFonts w:hint="cs"/>
          <w:rtl/>
        </w:rPr>
        <w:t>שערכה המשטרה</w:t>
      </w:r>
      <w:r w:rsidRPr="006F3119">
        <w:rPr>
          <w:rtl/>
        </w:rPr>
        <w:t xml:space="preserve"> בשנת 2019, </w:t>
      </w:r>
      <w:r w:rsidRPr="006F3119">
        <w:rPr>
          <w:rFonts w:hint="cs"/>
          <w:rtl/>
        </w:rPr>
        <w:t>היא</w:t>
      </w:r>
      <w:r w:rsidRPr="006F3119">
        <w:rPr>
          <w:rtl/>
        </w:rPr>
        <w:t xml:space="preserve"> פעלה </w:t>
      </w:r>
      <w:r w:rsidR="00F7382D">
        <w:rPr>
          <w:rtl/>
        </w:rPr>
        <w:t xml:space="preserve">לאיתור מקרים </w:t>
      </w:r>
      <w:r w:rsidR="009F25B2">
        <w:rPr>
          <w:rFonts w:hint="cs"/>
          <w:rtl/>
        </w:rPr>
        <w:t>ש</w:t>
      </w:r>
      <w:r w:rsidR="00F7382D">
        <w:rPr>
          <w:rtl/>
        </w:rPr>
        <w:t>בהם נחתמו צווים בבית המשפט, אך אלו לא מומשו, והנחתה כי "קיימת חשיבות להימנע מהוצאת צווי האזנת סתר שלא לצורך ורק לאחר שבוצעה בדיקה דקדקנית לנחיצותם"</w:t>
      </w:r>
      <w:r w:rsidR="00F7382D" w:rsidRPr="00497672">
        <w:rPr>
          <w:rtl/>
        </w:rPr>
        <w:t xml:space="preserve">. </w:t>
      </w:r>
    </w:p>
    <w:bookmarkEnd w:id="220"/>
    <w:p w:rsidR="002B0E02" w:rsidRPr="00C86567" w:rsidRDefault="002B0E02" w:rsidP="00604C3D">
      <w:pPr>
        <w:spacing w:line="269" w:lineRule="auto"/>
        <w:rPr>
          <w:rtl/>
        </w:rPr>
      </w:pPr>
    </w:p>
    <w:p w:rsidR="00F7382D" w:rsidRPr="00C86567" w:rsidRDefault="00F7382D" w:rsidP="00604C3D">
      <w:pPr>
        <w:spacing w:line="269" w:lineRule="auto"/>
        <w:rPr>
          <w:b/>
          <w:bCs/>
          <w:rtl/>
        </w:rPr>
      </w:pPr>
      <w:r w:rsidRPr="00C86567">
        <w:rPr>
          <w:b/>
          <w:bCs/>
          <w:rtl/>
        </w:rPr>
        <w:t xml:space="preserve">מומלץ כי </w:t>
      </w:r>
      <w:r w:rsidR="009F25B2" w:rsidRPr="00C86567">
        <w:rPr>
          <w:rFonts w:hint="cs"/>
          <w:b/>
          <w:bCs/>
          <w:rtl/>
        </w:rPr>
        <w:t>ה</w:t>
      </w:r>
      <w:r w:rsidRPr="00C86567">
        <w:rPr>
          <w:b/>
          <w:bCs/>
          <w:rtl/>
        </w:rPr>
        <w:t>משטר</w:t>
      </w:r>
      <w:r w:rsidR="009F25B2" w:rsidRPr="00C86567">
        <w:rPr>
          <w:rFonts w:hint="cs"/>
          <w:b/>
          <w:bCs/>
          <w:rtl/>
        </w:rPr>
        <w:t xml:space="preserve">ה </w:t>
      </w:r>
      <w:r w:rsidRPr="00C86567">
        <w:rPr>
          <w:b/>
          <w:bCs/>
          <w:rtl/>
        </w:rPr>
        <w:t>תבצע בקרות ע</w:t>
      </w:r>
      <w:r w:rsidR="00517AD5" w:rsidRPr="00C86567">
        <w:rPr>
          <w:rFonts w:hint="cs"/>
          <w:b/>
          <w:bCs/>
          <w:rtl/>
        </w:rPr>
        <w:t>י</w:t>
      </w:r>
      <w:r w:rsidRPr="00C86567">
        <w:rPr>
          <w:b/>
          <w:bCs/>
          <w:rtl/>
        </w:rPr>
        <w:t xml:space="preserve">תיות ומעקב שוטף </w:t>
      </w:r>
      <w:r w:rsidR="00517AD5" w:rsidRPr="00C86567">
        <w:rPr>
          <w:rFonts w:hint="cs"/>
          <w:b/>
          <w:bCs/>
          <w:rtl/>
        </w:rPr>
        <w:t xml:space="preserve">בנוגע </w:t>
      </w:r>
      <w:r w:rsidRPr="00C86567">
        <w:rPr>
          <w:b/>
          <w:bCs/>
          <w:rtl/>
        </w:rPr>
        <w:t>לרישום מימוש הצווים</w:t>
      </w:r>
      <w:r w:rsidR="008805E0" w:rsidRPr="00C86567">
        <w:rPr>
          <w:rFonts w:hint="cs"/>
          <w:b/>
          <w:bCs/>
          <w:rtl/>
        </w:rPr>
        <w:t xml:space="preserve"> </w:t>
      </w:r>
      <w:r w:rsidR="00517AD5" w:rsidRPr="00C86567">
        <w:rPr>
          <w:rFonts w:hint="cs"/>
          <w:b/>
          <w:bCs/>
          <w:rtl/>
        </w:rPr>
        <w:t>כדי</w:t>
      </w:r>
      <w:r w:rsidRPr="00C86567">
        <w:rPr>
          <w:b/>
          <w:bCs/>
          <w:rtl/>
        </w:rPr>
        <w:t xml:space="preserve"> להמשיך את מגמת השיפור בתיעוד פעילותה במערכת לניהול צווים </w:t>
      </w:r>
      <w:r w:rsidR="00517AD5" w:rsidRPr="00C86567">
        <w:rPr>
          <w:rFonts w:hint="cs"/>
          <w:b/>
          <w:bCs/>
          <w:rtl/>
        </w:rPr>
        <w:t>ש</w:t>
      </w:r>
      <w:r w:rsidRPr="00C86567">
        <w:rPr>
          <w:b/>
          <w:bCs/>
          <w:rtl/>
        </w:rPr>
        <w:t xml:space="preserve">עליה מסרה בתגובתה. כמו כן, מומלץ כי </w:t>
      </w:r>
      <w:r w:rsidR="00517AD5" w:rsidRPr="00C86567">
        <w:rPr>
          <w:rFonts w:hint="cs"/>
          <w:b/>
          <w:bCs/>
          <w:rtl/>
        </w:rPr>
        <w:t xml:space="preserve">היא </w:t>
      </w:r>
      <w:r w:rsidRPr="00C86567">
        <w:rPr>
          <w:b/>
          <w:bCs/>
          <w:rtl/>
        </w:rPr>
        <w:t xml:space="preserve">תמשיך בביצוע בקרות על המקרים </w:t>
      </w:r>
      <w:r w:rsidR="00517AD5" w:rsidRPr="00C86567">
        <w:rPr>
          <w:rFonts w:hint="cs"/>
          <w:b/>
          <w:bCs/>
          <w:rtl/>
        </w:rPr>
        <w:t>ש</w:t>
      </w:r>
      <w:r w:rsidRPr="00C86567">
        <w:rPr>
          <w:b/>
          <w:bCs/>
          <w:rtl/>
        </w:rPr>
        <w:t xml:space="preserve">בהם צווי האזנת סתר לא מומשו </w:t>
      </w:r>
      <w:r w:rsidR="008805E0" w:rsidRPr="00C86567">
        <w:rPr>
          <w:b/>
          <w:bCs/>
          <w:rtl/>
        </w:rPr>
        <w:t>כדי</w:t>
      </w:r>
      <w:r w:rsidRPr="00C86567">
        <w:rPr>
          <w:b/>
          <w:bCs/>
          <w:rtl/>
        </w:rPr>
        <w:t xml:space="preserve"> להפחית את שיעור הבקשות שאושרו על ידי בית המשפט אך לא מומשו</w:t>
      </w:r>
      <w:r w:rsidRPr="00C86567">
        <w:rPr>
          <w:rFonts w:hint="cs"/>
          <w:b/>
          <w:bCs/>
          <w:rtl/>
        </w:rPr>
        <w:t xml:space="preserve">. </w:t>
      </w:r>
    </w:p>
    <w:p w:rsidR="002B0E02" w:rsidRDefault="002B0E02" w:rsidP="00604C3D">
      <w:pPr>
        <w:spacing w:line="269" w:lineRule="auto"/>
        <w:rPr>
          <w:rStyle w:val="70"/>
          <w:rtl/>
        </w:rPr>
      </w:pPr>
    </w:p>
    <w:p w:rsidR="00F7382D" w:rsidRPr="003B4E52" w:rsidRDefault="002F509E" w:rsidP="00604C3D">
      <w:pPr>
        <w:spacing w:line="269" w:lineRule="auto"/>
        <w:rPr>
          <w:rtl/>
        </w:rPr>
      </w:pPr>
      <w:r w:rsidRPr="00866A55">
        <w:rPr>
          <w:rStyle w:val="70"/>
          <w:rtl/>
        </w:rPr>
        <w:t xml:space="preserve">יעדי ההאזנה ומשך ההאזנה </w:t>
      </w:r>
      <w:r w:rsidR="00517AD5" w:rsidRPr="00866A55">
        <w:rPr>
          <w:rStyle w:val="70"/>
          <w:rFonts w:hint="cs"/>
          <w:rtl/>
        </w:rPr>
        <w:t>ה</w:t>
      </w:r>
      <w:r w:rsidR="00FA6271" w:rsidRPr="00866A55">
        <w:rPr>
          <w:rStyle w:val="70"/>
          <w:rFonts w:hint="eastAsia"/>
          <w:rtl/>
        </w:rPr>
        <w:t>מצטבר</w:t>
      </w:r>
      <w:r w:rsidRPr="00866A55">
        <w:rPr>
          <w:rStyle w:val="70"/>
          <w:rtl/>
        </w:rPr>
        <w:t>:</w:t>
      </w:r>
      <w:r w:rsidRPr="002F509E">
        <w:rPr>
          <w:rFonts w:eastAsiaTheme="majorEastAsia"/>
          <w:bCs/>
          <w:spacing w:val="40"/>
          <w:rtl/>
        </w:rPr>
        <w:t xml:space="preserve"> </w:t>
      </w:r>
      <w:r w:rsidRPr="006C3D0C">
        <w:rPr>
          <w:rtl/>
        </w:rPr>
        <w:t xml:space="preserve">בשנים 2019 - 2021 הכינה </w:t>
      </w:r>
      <w:r w:rsidR="009F25B2">
        <w:rPr>
          <w:rtl/>
        </w:rPr>
        <w:t>המשטרה</w:t>
      </w:r>
      <w:r w:rsidRPr="002F509E">
        <w:rPr>
          <w:rFonts w:eastAsiaTheme="majorEastAsia"/>
          <w:bCs/>
          <w:spacing w:val="40"/>
          <w:rtl/>
        </w:rPr>
        <w:t xml:space="preserve"> </w:t>
      </w:r>
      <w:r w:rsidR="00F7382D">
        <w:rPr>
          <w:rtl/>
        </w:rPr>
        <w:t xml:space="preserve">בקשות בנוגע ל-9,425 יעדי האזנה שזהותם ידועה, </w:t>
      </w:r>
      <w:r w:rsidR="00517AD5">
        <w:rPr>
          <w:rFonts w:hint="cs"/>
          <w:rtl/>
        </w:rPr>
        <w:t>ו</w:t>
      </w:r>
      <w:r w:rsidR="00F7382D">
        <w:rPr>
          <w:rtl/>
        </w:rPr>
        <w:t>בנוגע ל-3,111 אנשים</w:t>
      </w:r>
      <w:r w:rsidR="00517AD5">
        <w:rPr>
          <w:rFonts w:hint="cs"/>
          <w:rtl/>
        </w:rPr>
        <w:t xml:space="preserve"> (לכל היותר)</w:t>
      </w:r>
      <w:r w:rsidR="00F7382D">
        <w:rPr>
          <w:rtl/>
        </w:rPr>
        <w:t xml:space="preserve"> שזהותם לא הייתה ידועה במועד הכנת הבקשה</w:t>
      </w:r>
      <w:r w:rsidR="00E80527">
        <w:rPr>
          <w:rStyle w:val="af"/>
          <w:rtl/>
        </w:rPr>
        <w:footnoteReference w:id="70"/>
      </w:r>
      <w:r w:rsidR="00E80527">
        <w:rPr>
          <w:rtl/>
        </w:rPr>
        <w:t xml:space="preserve">. </w:t>
      </w:r>
      <w:r w:rsidR="00F7382D">
        <w:rPr>
          <w:rtl/>
        </w:rPr>
        <w:t xml:space="preserve">בסך הכול הוגשו בקשות להאזנה לכ-12,500 איש. </w:t>
      </w:r>
      <w:r w:rsidR="00517AD5">
        <w:rPr>
          <w:rFonts w:hint="cs"/>
          <w:rtl/>
        </w:rPr>
        <w:t xml:space="preserve">בנוגע </w:t>
      </w:r>
      <w:r w:rsidR="00F7382D">
        <w:rPr>
          <w:rtl/>
        </w:rPr>
        <w:t xml:space="preserve">ליעדי ההאזנה שזהותם ידועה, </w:t>
      </w:r>
      <w:r w:rsidR="006F3119" w:rsidRPr="006F3119">
        <w:rPr>
          <w:rtl/>
        </w:rPr>
        <w:t xml:space="preserve">אותר מידע על </w:t>
      </w:r>
      <w:r w:rsidR="006F3119" w:rsidRPr="006F3119">
        <w:rPr>
          <w:rFonts w:hint="cs"/>
          <w:rtl/>
        </w:rPr>
        <w:t>מימוש</w:t>
      </w:r>
      <w:r w:rsidR="006F3119" w:rsidRPr="006F3119">
        <w:rPr>
          <w:rtl/>
        </w:rPr>
        <w:t xml:space="preserve"> ההאזנה </w:t>
      </w:r>
      <w:r w:rsidR="00F7382D">
        <w:rPr>
          <w:rtl/>
        </w:rPr>
        <w:t>ל-8,281 מהם</w:t>
      </w:r>
      <w:r w:rsidR="00EC7BF8">
        <w:rPr>
          <w:rFonts w:hint="cs"/>
          <w:rtl/>
        </w:rPr>
        <w:t xml:space="preserve"> (88%)</w:t>
      </w:r>
      <w:r w:rsidR="00F7382D">
        <w:rPr>
          <w:rStyle w:val="af"/>
          <w:rtl/>
        </w:rPr>
        <w:footnoteReference w:id="71"/>
      </w:r>
      <w:r w:rsidR="00F7382D">
        <w:rPr>
          <w:rtl/>
        </w:rPr>
        <w:t xml:space="preserve">. </w:t>
      </w:r>
    </w:p>
    <w:p w:rsidR="002B0E02" w:rsidRDefault="002B0E02" w:rsidP="00604C3D">
      <w:pPr>
        <w:spacing w:line="269" w:lineRule="auto"/>
        <w:rPr>
          <w:rtl/>
        </w:rPr>
      </w:pPr>
    </w:p>
    <w:p w:rsidR="00F7382D" w:rsidRDefault="00F7382D" w:rsidP="00604C3D">
      <w:pPr>
        <w:spacing w:line="269" w:lineRule="auto"/>
        <w:rPr>
          <w:rtl/>
        </w:rPr>
      </w:pPr>
      <w:r>
        <w:rPr>
          <w:rFonts w:hint="cs"/>
          <w:rtl/>
        </w:rPr>
        <w:t>לפי החוק, תקופת תוקפו של כל היתר או צו להאזנת סתר לא תעלה על שלושה חודשים בכל פעם</w:t>
      </w:r>
      <w:r>
        <w:rPr>
          <w:rStyle w:val="af"/>
          <w:rtl/>
        </w:rPr>
        <w:footnoteReference w:id="72"/>
      </w:r>
      <w:r>
        <w:rPr>
          <w:rFonts w:hint="cs"/>
          <w:rtl/>
        </w:rPr>
        <w:t xml:space="preserve">. </w:t>
      </w:r>
      <w:bookmarkStart w:id="221" w:name="_Hlk188952895"/>
      <w:r>
        <w:rPr>
          <w:rFonts w:hint="cs"/>
          <w:rtl/>
        </w:rPr>
        <w:t>משרד</w:t>
      </w:r>
      <w:r w:rsidRPr="00326296">
        <w:rPr>
          <w:rFonts w:hint="cs"/>
          <w:rtl/>
        </w:rPr>
        <w:t xml:space="preserve"> מבקר המדינה </w:t>
      </w:r>
      <w:r>
        <w:rPr>
          <w:rFonts w:hint="cs"/>
          <w:rtl/>
        </w:rPr>
        <w:t xml:space="preserve">בחן את משך ההאזנה הרציפה </w:t>
      </w:r>
      <w:r w:rsidRPr="00326296">
        <w:rPr>
          <w:rFonts w:hint="cs"/>
          <w:rtl/>
        </w:rPr>
        <w:t xml:space="preserve">ליעדי ההאזנה </w:t>
      </w:r>
      <w:r>
        <w:rPr>
          <w:rFonts w:hint="cs"/>
          <w:rtl/>
        </w:rPr>
        <w:t>שזהותם ידועה</w:t>
      </w:r>
      <w:r w:rsidRPr="00326296">
        <w:rPr>
          <w:rFonts w:hint="cs"/>
          <w:rtl/>
        </w:rPr>
        <w:t xml:space="preserve"> בשלוש השנים הללו</w:t>
      </w:r>
      <w:r>
        <w:rPr>
          <w:rFonts w:hint="cs"/>
          <w:rtl/>
        </w:rPr>
        <w:t>.</w:t>
      </w:r>
      <w:r w:rsidR="00517AD5">
        <w:rPr>
          <w:rFonts w:hint="cs"/>
          <w:rtl/>
        </w:rPr>
        <w:t xml:space="preserve"> בחינה זו מבוססת על </w:t>
      </w:r>
      <w:r w:rsidR="00EC7BF8">
        <w:rPr>
          <w:rFonts w:hint="cs"/>
          <w:rtl/>
        </w:rPr>
        <w:t>ספירת צבר ההיתרים שהוצאו ליעד האזנה למשך תקופה רציפה.</w:t>
      </w:r>
      <w:r>
        <w:rPr>
          <w:rFonts w:hint="cs"/>
          <w:rtl/>
        </w:rPr>
        <w:t xml:space="preserve"> </w:t>
      </w:r>
      <w:bookmarkEnd w:id="221"/>
      <w:r>
        <w:rPr>
          <w:rFonts w:hint="cs"/>
          <w:rtl/>
        </w:rPr>
        <w:t>מ</w:t>
      </w:r>
      <w:r w:rsidR="00EC7BF8">
        <w:rPr>
          <w:rFonts w:hint="cs"/>
          <w:rtl/>
        </w:rPr>
        <w:t>ה</w:t>
      </w:r>
      <w:r>
        <w:rPr>
          <w:rFonts w:hint="cs"/>
          <w:rtl/>
        </w:rPr>
        <w:t>בדיק</w:t>
      </w:r>
      <w:r w:rsidR="00EC7BF8">
        <w:rPr>
          <w:rFonts w:hint="cs"/>
          <w:rtl/>
        </w:rPr>
        <w:t>ה</w:t>
      </w:r>
      <w:r>
        <w:rPr>
          <w:rFonts w:hint="cs"/>
          <w:rtl/>
        </w:rPr>
        <w:t xml:space="preserve"> עולה</w:t>
      </w:r>
      <w:r w:rsidRPr="00326296">
        <w:rPr>
          <w:rFonts w:hint="cs"/>
          <w:rtl/>
        </w:rPr>
        <w:t xml:space="preserve"> </w:t>
      </w:r>
      <w:r>
        <w:rPr>
          <w:rFonts w:hint="cs"/>
          <w:rtl/>
        </w:rPr>
        <w:t xml:space="preserve">כי </w:t>
      </w:r>
      <w:r w:rsidRPr="00326296">
        <w:rPr>
          <w:rFonts w:hint="cs"/>
          <w:rtl/>
        </w:rPr>
        <w:t xml:space="preserve">משך ההאזנה הרציפה החציוני </w:t>
      </w:r>
      <w:r>
        <w:rPr>
          <w:rFonts w:hint="cs"/>
          <w:rtl/>
        </w:rPr>
        <w:t>לאותם יעדים היה</w:t>
      </w:r>
      <w:r w:rsidRPr="00326296">
        <w:rPr>
          <w:rFonts w:hint="cs"/>
          <w:rtl/>
        </w:rPr>
        <w:t xml:space="preserve"> 60 יום</w:t>
      </w:r>
      <w:r>
        <w:rPr>
          <w:rFonts w:hint="cs"/>
          <w:rtl/>
        </w:rPr>
        <w:t>,</w:t>
      </w:r>
      <w:r w:rsidRPr="00326296">
        <w:rPr>
          <w:rFonts w:hint="cs"/>
          <w:rtl/>
        </w:rPr>
        <w:t xml:space="preserve"> ו</w:t>
      </w:r>
      <w:r>
        <w:rPr>
          <w:rFonts w:hint="cs"/>
          <w:rtl/>
        </w:rPr>
        <w:t xml:space="preserve">אילו </w:t>
      </w:r>
      <w:r w:rsidRPr="00326296">
        <w:rPr>
          <w:rFonts w:hint="cs"/>
          <w:rtl/>
        </w:rPr>
        <w:t xml:space="preserve">משך ההאזנה הממוצע </w:t>
      </w:r>
      <w:r>
        <w:rPr>
          <w:rFonts w:hint="cs"/>
          <w:rtl/>
        </w:rPr>
        <w:t>היה</w:t>
      </w:r>
      <w:r w:rsidRPr="00326296">
        <w:rPr>
          <w:rFonts w:hint="cs"/>
          <w:rtl/>
        </w:rPr>
        <w:t xml:space="preserve"> 63 </w:t>
      </w:r>
      <w:r>
        <w:rPr>
          <w:rFonts w:hint="cs"/>
          <w:rtl/>
        </w:rPr>
        <w:t>יום</w:t>
      </w:r>
      <w:r w:rsidRPr="00326296">
        <w:rPr>
          <w:rFonts w:hint="cs"/>
          <w:rtl/>
        </w:rPr>
        <w:t xml:space="preserve">. </w:t>
      </w:r>
      <w:r>
        <w:rPr>
          <w:rFonts w:hint="cs"/>
          <w:rtl/>
        </w:rPr>
        <w:t>נמצא כי ה</w:t>
      </w:r>
      <w:r w:rsidRPr="00326296">
        <w:rPr>
          <w:rFonts w:hint="cs"/>
          <w:rtl/>
        </w:rPr>
        <w:t>האזנה</w:t>
      </w:r>
      <w:r>
        <w:rPr>
          <w:rFonts w:hint="cs"/>
          <w:rtl/>
        </w:rPr>
        <w:t xml:space="preserve"> למרביתם התבצעה במשך תקופה</w:t>
      </w:r>
      <w:r w:rsidRPr="00326296">
        <w:rPr>
          <w:rFonts w:hint="cs"/>
          <w:rtl/>
        </w:rPr>
        <w:t xml:space="preserve"> רציפה אחת בלבד.</w:t>
      </w:r>
      <w:r>
        <w:rPr>
          <w:rFonts w:hint="cs"/>
          <w:rtl/>
        </w:rPr>
        <w:t xml:space="preserve"> להלן תרשים המפרט את פילוח יעדי ההאזנה המזוהים אשר אותר מידע על הפעלת האזנה להם, לפי המשך המצטבר של ההאזנה בימים. </w:t>
      </w:r>
    </w:p>
    <w:p w:rsidR="00C87935" w:rsidRDefault="00C87935" w:rsidP="00604C3D">
      <w:pPr>
        <w:spacing w:line="269" w:lineRule="auto"/>
        <w:rPr>
          <w:rtl/>
        </w:rPr>
      </w:pPr>
    </w:p>
    <w:p w:rsidR="00F7382D" w:rsidRDefault="00F7382D" w:rsidP="00604C3D">
      <w:pPr>
        <w:spacing w:line="269" w:lineRule="auto"/>
        <w:ind w:left="-1"/>
        <w:jc w:val="center"/>
        <w:rPr>
          <w:b/>
          <w:bCs/>
          <w:rtl/>
        </w:rPr>
      </w:pPr>
      <w:r w:rsidRPr="00EC6334">
        <w:rPr>
          <w:rFonts w:hint="cs"/>
          <w:rtl/>
        </w:rPr>
        <w:t>תרשים</w:t>
      </w:r>
      <w:r w:rsidR="00866A55">
        <w:rPr>
          <w:rFonts w:hint="cs"/>
          <w:rtl/>
        </w:rPr>
        <w:t xml:space="preserve"> 7</w:t>
      </w:r>
      <w:r>
        <w:rPr>
          <w:rFonts w:hint="cs"/>
          <w:rtl/>
        </w:rPr>
        <w:t xml:space="preserve">: </w:t>
      </w:r>
      <w:r w:rsidRPr="00EC6334">
        <w:rPr>
          <w:rFonts w:hint="cs"/>
          <w:b/>
          <w:bCs/>
          <w:rtl/>
        </w:rPr>
        <w:t xml:space="preserve">פילוח משך </w:t>
      </w:r>
      <w:r>
        <w:rPr>
          <w:rFonts w:hint="cs"/>
          <w:b/>
          <w:bCs/>
          <w:rtl/>
        </w:rPr>
        <w:t>ה</w:t>
      </w:r>
      <w:r w:rsidRPr="00EC6334">
        <w:rPr>
          <w:rFonts w:hint="cs"/>
          <w:b/>
          <w:bCs/>
          <w:rtl/>
        </w:rPr>
        <w:t>האזנה</w:t>
      </w:r>
      <w:r w:rsidRPr="00EC6334">
        <w:rPr>
          <w:b/>
          <w:bCs/>
          <w:rtl/>
        </w:rPr>
        <w:t xml:space="preserve"> </w:t>
      </w:r>
      <w:r>
        <w:rPr>
          <w:rFonts w:hint="cs"/>
          <w:b/>
          <w:bCs/>
          <w:rtl/>
        </w:rPr>
        <w:t>ה</w:t>
      </w:r>
      <w:r w:rsidRPr="00EC6334">
        <w:rPr>
          <w:rFonts w:hint="cs"/>
          <w:b/>
          <w:bCs/>
          <w:rtl/>
        </w:rPr>
        <w:t xml:space="preserve">מצטבר ליעד </w:t>
      </w:r>
      <w:r>
        <w:rPr>
          <w:rFonts w:hint="cs"/>
          <w:b/>
          <w:bCs/>
          <w:rtl/>
        </w:rPr>
        <w:t>ה</w:t>
      </w:r>
      <w:r w:rsidRPr="00EC6334">
        <w:rPr>
          <w:b/>
          <w:bCs/>
          <w:rtl/>
        </w:rPr>
        <w:t>האזנה</w:t>
      </w:r>
      <w:r w:rsidRPr="00EC6334">
        <w:rPr>
          <w:rFonts w:hint="cs"/>
          <w:b/>
          <w:bCs/>
          <w:rtl/>
        </w:rPr>
        <w:t xml:space="preserve"> (בימים</w:t>
      </w:r>
      <w:r w:rsidRPr="00EC6334">
        <w:rPr>
          <w:b/>
          <w:bCs/>
          <w:rtl/>
        </w:rPr>
        <w:t>)</w:t>
      </w:r>
      <w:r>
        <w:rPr>
          <w:rFonts w:hint="cs"/>
          <w:b/>
          <w:bCs/>
          <w:rtl/>
        </w:rPr>
        <w:t>,</w:t>
      </w:r>
      <w:r w:rsidRPr="00EC6334">
        <w:rPr>
          <w:rFonts w:hint="cs"/>
          <w:b/>
          <w:bCs/>
          <w:rtl/>
        </w:rPr>
        <w:t xml:space="preserve"> 2019 </w:t>
      </w:r>
      <w:r>
        <w:rPr>
          <w:rFonts w:hint="cs"/>
          <w:b/>
          <w:bCs/>
          <w:rtl/>
        </w:rPr>
        <w:t>-</w:t>
      </w:r>
      <w:r w:rsidRPr="00EC6334">
        <w:rPr>
          <w:rFonts w:hint="cs"/>
          <w:b/>
          <w:bCs/>
          <w:rtl/>
        </w:rPr>
        <w:t xml:space="preserve"> 2021</w:t>
      </w:r>
    </w:p>
    <w:p w:rsidR="00866A55" w:rsidRDefault="00866A55" w:rsidP="00604C3D">
      <w:pPr>
        <w:spacing w:line="269" w:lineRule="auto"/>
        <w:jc w:val="center"/>
        <w:rPr>
          <w:szCs w:val="20"/>
          <w:rtl/>
        </w:rPr>
      </w:pPr>
      <w:r>
        <w:rPr>
          <w:noProof/>
          <w:szCs w:val="20"/>
        </w:rPr>
        <w:drawing>
          <wp:inline distT="0" distB="0" distL="0" distR="0" wp14:anchorId="167D0914" wp14:editId="77358AA0">
            <wp:extent cx="5224780" cy="2254250"/>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6184" b="5988"/>
                    <a:stretch/>
                  </pic:blipFill>
                  <pic:spPr bwMode="auto">
                    <a:xfrm>
                      <a:off x="0" y="0"/>
                      <a:ext cx="5224780" cy="2254250"/>
                    </a:xfrm>
                    <a:prstGeom prst="rect">
                      <a:avLst/>
                    </a:prstGeom>
                    <a:noFill/>
                    <a:ln>
                      <a:noFill/>
                    </a:ln>
                    <a:extLst>
                      <a:ext uri="{53640926-AAD7-44D8-BBD7-CCE9431645EC}">
                        <a14:shadowObscured xmlns:a14="http://schemas.microsoft.com/office/drawing/2010/main"/>
                      </a:ext>
                    </a:extLst>
                  </pic:spPr>
                </pic:pic>
              </a:graphicData>
            </a:graphic>
          </wp:inline>
        </w:drawing>
      </w:r>
    </w:p>
    <w:p w:rsidR="00F7382D" w:rsidRPr="005244DD" w:rsidRDefault="00F7382D" w:rsidP="00604C3D">
      <w:pPr>
        <w:spacing w:line="269" w:lineRule="auto"/>
        <w:rPr>
          <w:szCs w:val="20"/>
          <w:rtl/>
        </w:rPr>
      </w:pPr>
      <w:r>
        <w:rPr>
          <w:rFonts w:hint="cs"/>
          <w:szCs w:val="20"/>
          <w:rtl/>
        </w:rPr>
        <w:t>על פי נתוני המשטרה, בעיב</w:t>
      </w:r>
      <w:r w:rsidRPr="005244DD">
        <w:rPr>
          <w:rFonts w:hint="cs"/>
          <w:szCs w:val="20"/>
          <w:rtl/>
        </w:rPr>
        <w:t>וד משרד מבקר המדינה</w:t>
      </w:r>
      <w:r w:rsidR="00587C3D">
        <w:rPr>
          <w:rFonts w:hint="cs"/>
          <w:szCs w:val="20"/>
          <w:rtl/>
        </w:rPr>
        <w:t>.</w:t>
      </w:r>
    </w:p>
    <w:p w:rsidR="002B0E02" w:rsidRDefault="002B0E02" w:rsidP="00604C3D">
      <w:pPr>
        <w:spacing w:line="269" w:lineRule="auto"/>
        <w:rPr>
          <w:rtl/>
        </w:rPr>
      </w:pPr>
    </w:p>
    <w:p w:rsidR="00F7382D" w:rsidRDefault="00F7382D" w:rsidP="00604C3D">
      <w:pPr>
        <w:spacing w:line="269" w:lineRule="auto"/>
        <w:rPr>
          <w:rtl/>
        </w:rPr>
      </w:pPr>
      <w:r w:rsidRPr="00F153B1">
        <w:rPr>
          <w:rFonts w:hint="cs"/>
          <w:rtl/>
        </w:rPr>
        <w:t>מהתרשים</w:t>
      </w:r>
      <w:r w:rsidRPr="00F153B1">
        <w:rPr>
          <w:rtl/>
        </w:rPr>
        <w:t xml:space="preserve"> עולה כי משך ההאזנה המצטבר </w:t>
      </w:r>
      <w:r w:rsidRPr="00F153B1">
        <w:rPr>
          <w:rFonts w:hint="cs"/>
          <w:rtl/>
        </w:rPr>
        <w:t>ל</w:t>
      </w:r>
      <w:r w:rsidR="007D6F01">
        <w:rPr>
          <w:rFonts w:hint="cs"/>
          <w:rtl/>
        </w:rPr>
        <w:t>-</w:t>
      </w:r>
      <w:r w:rsidRPr="00F153B1">
        <w:rPr>
          <w:rtl/>
        </w:rPr>
        <w:t>57% מיעדי ההאזנה במהלך השנים שנבדקו היה 30 עד 90 ימי האזנה בפועל, ואילו משך ההאזנה המצטבר בפועל לכ-94% מיעדי ההאזנה לא עלה על שישה חודשים.</w:t>
      </w:r>
      <w:r w:rsidRPr="00497672">
        <w:rPr>
          <w:rtl/>
        </w:rPr>
        <w:t xml:space="preserve"> עם זאת, </w:t>
      </w:r>
      <w:r w:rsidR="00493EE3">
        <w:rPr>
          <w:rFonts w:hint="cs"/>
          <w:rtl/>
        </w:rPr>
        <w:t xml:space="preserve">משך ההאזנה </w:t>
      </w:r>
      <w:r w:rsidRPr="00497672">
        <w:rPr>
          <w:rtl/>
        </w:rPr>
        <w:t xml:space="preserve">לכ-500 יעדי האזנה (כ-6%) הצטבר בפועל </w:t>
      </w:r>
      <w:r w:rsidRPr="00497672">
        <w:rPr>
          <w:rFonts w:hint="cs"/>
          <w:rtl/>
        </w:rPr>
        <w:t>מעל</w:t>
      </w:r>
      <w:r w:rsidRPr="00497672">
        <w:rPr>
          <w:rtl/>
        </w:rPr>
        <w:t xml:space="preserve"> שישה חודשים. </w:t>
      </w:r>
    </w:p>
    <w:p w:rsidR="002B0E02" w:rsidRDefault="002B0E02" w:rsidP="00604C3D">
      <w:pPr>
        <w:spacing w:line="269" w:lineRule="auto"/>
        <w:rPr>
          <w:rStyle w:val="70"/>
          <w:rtl/>
        </w:rPr>
      </w:pPr>
    </w:p>
    <w:p w:rsidR="00D645AF" w:rsidRPr="00D645AF" w:rsidRDefault="002F509E" w:rsidP="00604C3D">
      <w:pPr>
        <w:spacing w:line="269" w:lineRule="auto"/>
        <w:rPr>
          <w:rtl/>
        </w:rPr>
      </w:pPr>
      <w:r w:rsidRPr="002207AD">
        <w:rPr>
          <w:rStyle w:val="70"/>
          <w:rFonts w:hint="eastAsia"/>
          <w:rtl/>
        </w:rPr>
        <w:t>משך</w:t>
      </w:r>
      <w:r w:rsidRPr="002207AD">
        <w:rPr>
          <w:rStyle w:val="70"/>
          <w:rtl/>
        </w:rPr>
        <w:t xml:space="preserve"> הטיפול בבקשות </w:t>
      </w:r>
      <w:r w:rsidRPr="002207AD">
        <w:rPr>
          <w:rStyle w:val="70"/>
          <w:rFonts w:hint="eastAsia"/>
          <w:rtl/>
        </w:rPr>
        <w:t>ההאזנה</w:t>
      </w:r>
      <w:r w:rsidR="001012A2" w:rsidRPr="00866A55">
        <w:rPr>
          <w:rFonts w:hint="cs"/>
          <w:b/>
          <w:bCs/>
          <w:rtl/>
        </w:rPr>
        <w:t>:</w:t>
      </w:r>
      <w:r w:rsidR="001012A2">
        <w:rPr>
          <w:rFonts w:hint="cs"/>
          <w:rtl/>
        </w:rPr>
        <w:t xml:space="preserve"> </w:t>
      </w:r>
      <w:r w:rsidR="008868B6">
        <w:rPr>
          <w:rFonts w:hint="cs"/>
          <w:rtl/>
        </w:rPr>
        <w:t>משרד מבקר המדינה בחן את משך הטיפול בשלבים העיקריים של התהליך להכנה, הגשה, אישור ומימוש</w:t>
      </w:r>
      <w:r w:rsidR="00493EE3">
        <w:rPr>
          <w:rFonts w:hint="cs"/>
          <w:rtl/>
        </w:rPr>
        <w:t xml:space="preserve"> של הבקשה</w:t>
      </w:r>
      <w:r w:rsidR="008868B6">
        <w:rPr>
          <w:rFonts w:hint="cs"/>
          <w:rtl/>
        </w:rPr>
        <w:t xml:space="preserve"> </w:t>
      </w:r>
      <w:r w:rsidR="00493EE3">
        <w:rPr>
          <w:rFonts w:hint="cs"/>
          <w:rtl/>
        </w:rPr>
        <w:t>ל</w:t>
      </w:r>
      <w:r w:rsidR="008868B6">
        <w:rPr>
          <w:rFonts w:hint="cs"/>
          <w:rtl/>
        </w:rPr>
        <w:t>האזנת הסתר</w:t>
      </w:r>
      <w:r w:rsidR="00D645AF">
        <w:rPr>
          <w:rFonts w:hint="cs"/>
          <w:rtl/>
        </w:rPr>
        <w:t xml:space="preserve">. </w:t>
      </w:r>
      <w:r w:rsidR="008868B6">
        <w:rPr>
          <w:rFonts w:hint="cs"/>
          <w:rtl/>
        </w:rPr>
        <w:t>מנתוני המערכת לניהול צווים של המשטרה עולה</w:t>
      </w:r>
      <w:r w:rsidR="00D645AF">
        <w:rPr>
          <w:rFonts w:hint="cs"/>
          <w:rtl/>
        </w:rPr>
        <w:t xml:space="preserve"> </w:t>
      </w:r>
      <w:r w:rsidR="008868B6">
        <w:rPr>
          <w:rFonts w:hint="cs"/>
          <w:rtl/>
        </w:rPr>
        <w:t>כי</w:t>
      </w:r>
      <w:r w:rsidR="00D645AF">
        <w:rPr>
          <w:rFonts w:hint="cs"/>
          <w:rtl/>
        </w:rPr>
        <w:t xml:space="preserve"> </w:t>
      </w:r>
      <w:r w:rsidR="008868B6">
        <w:rPr>
          <w:rFonts w:hint="cs"/>
          <w:rtl/>
        </w:rPr>
        <w:t>תהליך הכנת בקשות להאזנ</w:t>
      </w:r>
      <w:r w:rsidR="00493EE3">
        <w:rPr>
          <w:rFonts w:hint="cs"/>
          <w:rtl/>
        </w:rPr>
        <w:t>ה</w:t>
      </w:r>
      <w:r w:rsidR="008868B6">
        <w:rPr>
          <w:rFonts w:hint="cs"/>
          <w:rtl/>
        </w:rPr>
        <w:t xml:space="preserve"> מסוג שמע </w:t>
      </w:r>
      <w:r w:rsidR="00D645AF">
        <w:rPr>
          <w:rFonts w:hint="cs"/>
          <w:rtl/>
        </w:rPr>
        <w:t>ועד למימוש ההאזנה אורך</w:t>
      </w:r>
      <w:r w:rsidR="008868B6">
        <w:rPr>
          <w:rFonts w:hint="cs"/>
          <w:rtl/>
        </w:rPr>
        <w:t xml:space="preserve"> </w:t>
      </w:r>
      <w:r w:rsidR="00D645AF">
        <w:rPr>
          <w:rFonts w:hint="cs"/>
          <w:rtl/>
        </w:rPr>
        <w:t xml:space="preserve">יומיים וחצי </w:t>
      </w:r>
      <w:r w:rsidR="008868B6">
        <w:rPr>
          <w:rFonts w:hint="cs"/>
          <w:rtl/>
        </w:rPr>
        <w:t>ואילו ב</w:t>
      </w:r>
      <w:r w:rsidR="00177FB6">
        <w:rPr>
          <w:rFonts w:hint="cs"/>
          <w:rtl/>
        </w:rPr>
        <w:t>נוגע ל</w:t>
      </w:r>
      <w:r w:rsidR="008868B6">
        <w:rPr>
          <w:rFonts w:hint="cs"/>
          <w:rtl/>
        </w:rPr>
        <w:t>בקשות להאזנ</w:t>
      </w:r>
      <w:r w:rsidR="00177FB6">
        <w:rPr>
          <w:rFonts w:hint="cs"/>
          <w:rtl/>
        </w:rPr>
        <w:t>ה</w:t>
      </w:r>
      <w:r w:rsidR="008868B6">
        <w:rPr>
          <w:rFonts w:hint="cs"/>
          <w:rtl/>
        </w:rPr>
        <w:t xml:space="preserve"> לתקשורת בין מחשבים הוא </w:t>
      </w:r>
      <w:r w:rsidR="00177FB6">
        <w:rPr>
          <w:rFonts w:hint="cs"/>
          <w:rtl/>
        </w:rPr>
        <w:t xml:space="preserve">נמשך </w:t>
      </w:r>
      <w:r w:rsidR="008868B6">
        <w:rPr>
          <w:rFonts w:hint="cs"/>
          <w:rtl/>
        </w:rPr>
        <w:t>יומיים</w:t>
      </w:r>
      <w:r w:rsidR="00D645AF">
        <w:rPr>
          <w:rFonts w:hint="cs"/>
          <w:rtl/>
        </w:rPr>
        <w:t>-שלושה</w:t>
      </w:r>
      <w:r w:rsidR="008868B6">
        <w:rPr>
          <w:rFonts w:hint="cs"/>
          <w:rtl/>
        </w:rPr>
        <w:t xml:space="preserve"> (חציוני). </w:t>
      </w:r>
    </w:p>
    <w:p w:rsidR="002B0E02" w:rsidRDefault="002B0E02" w:rsidP="00604C3D">
      <w:pPr>
        <w:spacing w:line="269" w:lineRule="auto"/>
        <w:rPr>
          <w:rStyle w:val="70"/>
          <w:rtl/>
        </w:rPr>
      </w:pPr>
    </w:p>
    <w:p w:rsidR="008868B6" w:rsidRPr="0029698D" w:rsidRDefault="001012A2" w:rsidP="00604C3D">
      <w:pPr>
        <w:spacing w:line="269" w:lineRule="auto"/>
        <w:rPr>
          <w:rtl/>
        </w:rPr>
      </w:pPr>
      <w:r w:rsidRPr="002207AD">
        <w:rPr>
          <w:rStyle w:val="70"/>
          <w:rFonts w:hint="eastAsia"/>
          <w:rtl/>
        </w:rPr>
        <w:t>סוגי</w:t>
      </w:r>
      <w:r w:rsidRPr="002207AD">
        <w:rPr>
          <w:rStyle w:val="70"/>
          <w:rtl/>
        </w:rPr>
        <w:t xml:space="preserve"> </w:t>
      </w:r>
      <w:r w:rsidRPr="002207AD">
        <w:rPr>
          <w:rStyle w:val="70"/>
          <w:rFonts w:hint="eastAsia"/>
          <w:rtl/>
        </w:rPr>
        <w:t>ההיתרים</w:t>
      </w:r>
      <w:r w:rsidRPr="00866A55">
        <w:rPr>
          <w:rFonts w:hint="cs"/>
          <w:b/>
          <w:bCs/>
          <w:rtl/>
        </w:rPr>
        <w:t>:</w:t>
      </w:r>
      <w:r>
        <w:rPr>
          <w:rFonts w:hint="cs"/>
          <w:rtl/>
        </w:rPr>
        <w:t xml:space="preserve"> </w:t>
      </w:r>
      <w:r w:rsidR="008868B6">
        <w:rPr>
          <w:rFonts w:hint="cs"/>
          <w:rtl/>
        </w:rPr>
        <w:t>דרך המלך להפעלת האזנת סתר היא הגשת בקשה לקבלת צו שיפוטי מבית המשפט המוסמך לדון בבקשה</w:t>
      </w:r>
      <w:r w:rsidR="008C69CC">
        <w:rPr>
          <w:rFonts w:hint="cs"/>
          <w:rtl/>
        </w:rPr>
        <w:t xml:space="preserve">. </w:t>
      </w:r>
      <w:r w:rsidR="00E80527">
        <w:rPr>
          <w:rFonts w:hint="cs"/>
          <w:rtl/>
        </w:rPr>
        <w:t>כמו כן, לפי הדין</w:t>
      </w:r>
      <w:r w:rsidR="0049609C">
        <w:rPr>
          <w:rFonts w:hint="cs"/>
          <w:rtl/>
        </w:rPr>
        <w:t xml:space="preserve"> </w:t>
      </w:r>
      <w:r w:rsidR="008868B6">
        <w:rPr>
          <w:rFonts w:hint="cs"/>
          <w:rtl/>
        </w:rPr>
        <w:t xml:space="preserve">יש שני מסלולים נוספים להפעלת האזנת סתר: </w:t>
      </w:r>
      <w:r w:rsidR="008868B6" w:rsidRPr="0029698D">
        <w:rPr>
          <w:rFonts w:hint="cs"/>
          <w:rtl/>
        </w:rPr>
        <w:t>האזנה שאינה טעונה היתר</w:t>
      </w:r>
      <w:r w:rsidR="008868B6" w:rsidRPr="0029698D">
        <w:rPr>
          <w:rStyle w:val="af"/>
          <w:rtl/>
        </w:rPr>
        <w:footnoteReference w:id="73"/>
      </w:r>
      <w:r w:rsidR="008868B6" w:rsidRPr="0029698D">
        <w:rPr>
          <w:rFonts w:hint="cs"/>
          <w:rtl/>
        </w:rPr>
        <w:t xml:space="preserve"> </w:t>
      </w:r>
      <w:r w:rsidR="008868B6" w:rsidRPr="0029698D">
        <w:rPr>
          <w:rFonts w:hint="eastAsia"/>
          <w:rtl/>
        </w:rPr>
        <w:t>והאזנה</w:t>
      </w:r>
      <w:r w:rsidR="008868B6" w:rsidRPr="0029698D">
        <w:rPr>
          <w:rtl/>
        </w:rPr>
        <w:t xml:space="preserve"> </w:t>
      </w:r>
      <w:r w:rsidR="008868B6" w:rsidRPr="0029698D">
        <w:rPr>
          <w:rFonts w:hint="eastAsia"/>
          <w:rtl/>
        </w:rPr>
        <w:t>על</w:t>
      </w:r>
      <w:r w:rsidR="008868B6" w:rsidRPr="0029698D">
        <w:rPr>
          <w:rtl/>
        </w:rPr>
        <w:t xml:space="preserve"> </w:t>
      </w:r>
      <w:r w:rsidR="008868B6" w:rsidRPr="0029698D">
        <w:rPr>
          <w:rFonts w:hint="eastAsia"/>
          <w:rtl/>
        </w:rPr>
        <w:t>בסיס</w:t>
      </w:r>
      <w:r w:rsidR="008868B6" w:rsidRPr="0029698D">
        <w:rPr>
          <w:rtl/>
        </w:rPr>
        <w:t xml:space="preserve"> </w:t>
      </w:r>
      <w:r w:rsidR="008868B6" w:rsidRPr="0029698D">
        <w:rPr>
          <w:rFonts w:hint="eastAsia"/>
          <w:rtl/>
        </w:rPr>
        <w:t>היתר</w:t>
      </w:r>
      <w:r w:rsidR="008868B6" w:rsidRPr="0029698D">
        <w:rPr>
          <w:rtl/>
        </w:rPr>
        <w:t xml:space="preserve"> </w:t>
      </w:r>
      <w:r w:rsidR="008868B6" w:rsidRPr="0029698D">
        <w:rPr>
          <w:rFonts w:hint="eastAsia"/>
          <w:rtl/>
        </w:rPr>
        <w:t>מינהלי</w:t>
      </w:r>
      <w:r w:rsidR="008868B6" w:rsidRPr="0029698D">
        <w:rPr>
          <w:rStyle w:val="af"/>
          <w:rtl/>
        </w:rPr>
        <w:footnoteReference w:id="74"/>
      </w:r>
      <w:r w:rsidR="008868B6" w:rsidRPr="0029698D">
        <w:rPr>
          <w:rtl/>
        </w:rPr>
        <w:t xml:space="preserve">. </w:t>
      </w:r>
    </w:p>
    <w:p w:rsidR="002B0E02" w:rsidRDefault="002B0E02" w:rsidP="00604C3D">
      <w:pPr>
        <w:spacing w:line="269" w:lineRule="auto"/>
        <w:rPr>
          <w:rtl/>
        </w:rPr>
      </w:pPr>
    </w:p>
    <w:p w:rsidR="008868B6" w:rsidRDefault="008868B6" w:rsidP="00604C3D">
      <w:pPr>
        <w:spacing w:line="269" w:lineRule="auto"/>
        <w:rPr>
          <w:rtl/>
        </w:rPr>
      </w:pPr>
      <w:r w:rsidRPr="0029698D">
        <w:rPr>
          <w:rFonts w:hint="eastAsia"/>
          <w:rtl/>
        </w:rPr>
        <w:t>יש</w:t>
      </w:r>
      <w:r w:rsidRPr="0029698D">
        <w:rPr>
          <w:rtl/>
        </w:rPr>
        <w:t xml:space="preserve"> </w:t>
      </w:r>
      <w:r w:rsidRPr="0029698D">
        <w:rPr>
          <w:rFonts w:hint="eastAsia"/>
          <w:rtl/>
        </w:rPr>
        <w:t>שני</w:t>
      </w:r>
      <w:r w:rsidRPr="0029698D">
        <w:rPr>
          <w:rtl/>
        </w:rPr>
        <w:t xml:space="preserve"> </w:t>
      </w:r>
      <w:r w:rsidRPr="0029698D">
        <w:rPr>
          <w:rFonts w:hint="eastAsia"/>
          <w:rtl/>
        </w:rPr>
        <w:t>סוגים</w:t>
      </w:r>
      <w:r w:rsidRPr="0029698D">
        <w:rPr>
          <w:rtl/>
        </w:rPr>
        <w:t xml:space="preserve"> </w:t>
      </w:r>
      <w:r w:rsidRPr="0029698D">
        <w:rPr>
          <w:rFonts w:hint="eastAsia"/>
          <w:rtl/>
        </w:rPr>
        <w:t>של</w:t>
      </w:r>
      <w:r w:rsidRPr="0029698D">
        <w:rPr>
          <w:rtl/>
        </w:rPr>
        <w:t xml:space="preserve"> </w:t>
      </w:r>
      <w:r w:rsidRPr="0029698D">
        <w:rPr>
          <w:rFonts w:hint="eastAsia"/>
          <w:rtl/>
        </w:rPr>
        <w:t>היתרים</w:t>
      </w:r>
      <w:r w:rsidRPr="0029698D">
        <w:rPr>
          <w:rtl/>
        </w:rPr>
        <w:t xml:space="preserve"> </w:t>
      </w:r>
      <w:r w:rsidRPr="0029698D">
        <w:rPr>
          <w:rFonts w:hint="eastAsia"/>
          <w:rtl/>
        </w:rPr>
        <w:t>מינהליים</w:t>
      </w:r>
      <w:r w:rsidRPr="0029698D">
        <w:rPr>
          <w:rtl/>
        </w:rPr>
        <w:t xml:space="preserve"> </w:t>
      </w:r>
      <w:r w:rsidRPr="0029698D">
        <w:rPr>
          <w:rFonts w:hint="eastAsia"/>
          <w:rtl/>
        </w:rPr>
        <w:t>להאזנת</w:t>
      </w:r>
      <w:r w:rsidRPr="0029698D">
        <w:rPr>
          <w:rtl/>
        </w:rPr>
        <w:t xml:space="preserve"> </w:t>
      </w:r>
      <w:r w:rsidRPr="0029698D">
        <w:rPr>
          <w:rFonts w:hint="eastAsia"/>
          <w:rtl/>
        </w:rPr>
        <w:t>סתר</w:t>
      </w:r>
      <w:r w:rsidRPr="0029698D">
        <w:rPr>
          <w:rtl/>
        </w:rPr>
        <w:t xml:space="preserve">: </w:t>
      </w:r>
      <w:r w:rsidRPr="0029698D">
        <w:rPr>
          <w:rFonts w:hint="eastAsia"/>
          <w:rtl/>
        </w:rPr>
        <w:t>היתר</w:t>
      </w:r>
      <w:r w:rsidRPr="0029698D">
        <w:rPr>
          <w:rtl/>
        </w:rPr>
        <w:t xml:space="preserve"> </w:t>
      </w:r>
      <w:r w:rsidRPr="0029698D">
        <w:rPr>
          <w:rFonts w:hint="eastAsia"/>
          <w:rtl/>
        </w:rPr>
        <w:t>מפכ</w:t>
      </w:r>
      <w:r w:rsidRPr="0029698D">
        <w:rPr>
          <w:rtl/>
        </w:rPr>
        <w:t xml:space="preserve">"ל </w:t>
      </w:r>
      <w:r w:rsidRPr="0029698D">
        <w:rPr>
          <w:rFonts w:hint="eastAsia"/>
          <w:rtl/>
        </w:rPr>
        <w:t>ל</w:t>
      </w:r>
      <w:r w:rsidR="00A276D2" w:rsidRPr="0029698D">
        <w:rPr>
          <w:rFonts w:hint="eastAsia"/>
          <w:rtl/>
        </w:rPr>
        <w:t>האזנה</w:t>
      </w:r>
      <w:r w:rsidR="00A276D2" w:rsidRPr="0029698D">
        <w:rPr>
          <w:rtl/>
        </w:rPr>
        <w:t xml:space="preserve"> </w:t>
      </w:r>
      <w:r w:rsidR="00A276D2" w:rsidRPr="0029698D">
        <w:rPr>
          <w:rFonts w:hint="eastAsia"/>
          <w:rtl/>
        </w:rPr>
        <w:t>ב</w:t>
      </w:r>
      <w:r w:rsidRPr="0029698D">
        <w:rPr>
          <w:rFonts w:hint="eastAsia"/>
          <w:rtl/>
        </w:rPr>
        <w:t>מקרים</w:t>
      </w:r>
      <w:r w:rsidRPr="0029698D">
        <w:rPr>
          <w:rtl/>
        </w:rPr>
        <w:t xml:space="preserve"> </w:t>
      </w:r>
      <w:r w:rsidRPr="0029698D">
        <w:rPr>
          <w:rFonts w:hint="eastAsia"/>
          <w:rtl/>
        </w:rPr>
        <w:t>דחופים</w:t>
      </w:r>
      <w:r w:rsidRPr="0029698D">
        <w:rPr>
          <w:rtl/>
        </w:rPr>
        <w:t xml:space="preserve"> </w:t>
      </w:r>
      <w:r w:rsidRPr="0029698D">
        <w:rPr>
          <w:rFonts w:hint="eastAsia"/>
          <w:rtl/>
        </w:rPr>
        <w:t>והיתר</w:t>
      </w:r>
      <w:r w:rsidRPr="0029698D">
        <w:rPr>
          <w:rtl/>
        </w:rPr>
        <w:t xml:space="preserve"> </w:t>
      </w:r>
      <w:r w:rsidR="00B0004C" w:rsidRPr="0029698D">
        <w:rPr>
          <w:rFonts w:hint="cs"/>
          <w:rtl/>
        </w:rPr>
        <w:t>מינהלי הנחתם על ידי קצין בכיר</w:t>
      </w:r>
      <w:r w:rsidRPr="0029698D">
        <w:rPr>
          <w:rtl/>
        </w:rPr>
        <w:t>.</w:t>
      </w:r>
      <w:r w:rsidRPr="0029698D">
        <w:rPr>
          <w:rFonts w:hint="cs"/>
          <w:rtl/>
        </w:rPr>
        <w:t xml:space="preserve"> </w:t>
      </w:r>
    </w:p>
    <w:p w:rsidR="002B0E02" w:rsidRDefault="002B0E02" w:rsidP="00604C3D">
      <w:pPr>
        <w:spacing w:line="269" w:lineRule="auto"/>
        <w:rPr>
          <w:rtl/>
        </w:rPr>
      </w:pPr>
    </w:p>
    <w:p w:rsidR="00033C08" w:rsidRDefault="00480EFB" w:rsidP="00604C3D">
      <w:pPr>
        <w:spacing w:line="269" w:lineRule="auto"/>
        <w:rPr>
          <w:rtl/>
        </w:rPr>
      </w:pPr>
      <w:r>
        <w:rPr>
          <w:rFonts w:hint="cs"/>
          <w:rtl/>
        </w:rPr>
        <w:t xml:space="preserve">בשנים 2019 </w:t>
      </w:r>
      <w:r w:rsidR="00866A55">
        <w:rPr>
          <w:rFonts w:hint="cs"/>
          <w:rtl/>
        </w:rPr>
        <w:t>-</w:t>
      </w:r>
      <w:r>
        <w:rPr>
          <w:rFonts w:hint="cs"/>
          <w:rtl/>
        </w:rPr>
        <w:t xml:space="preserve"> 2021 הכינה המשטרה 1</w:t>
      </w:r>
      <w:r w:rsidR="00F85FE8">
        <w:rPr>
          <w:rFonts w:hint="cs"/>
          <w:rtl/>
        </w:rPr>
        <w:t>4</w:t>
      </w:r>
      <w:r w:rsidR="00BE2E33">
        <w:rPr>
          <w:rFonts w:hint="cs"/>
          <w:rtl/>
        </w:rPr>
        <w:t>,</w:t>
      </w:r>
      <w:r>
        <w:rPr>
          <w:rFonts w:hint="cs"/>
          <w:rtl/>
        </w:rPr>
        <w:t xml:space="preserve">284 בקשות לצווי האזנת סתר מסוגים שונים. </w:t>
      </w:r>
      <w:r w:rsidR="008868B6">
        <w:rPr>
          <w:rFonts w:hint="cs"/>
          <w:rtl/>
        </w:rPr>
        <w:t xml:space="preserve">עולה כי </w:t>
      </w:r>
      <w:r>
        <w:rPr>
          <w:rFonts w:hint="cs"/>
          <w:rtl/>
        </w:rPr>
        <w:t xml:space="preserve">באותן השנים </w:t>
      </w:r>
      <w:r w:rsidR="008868B6">
        <w:rPr>
          <w:rFonts w:hint="cs"/>
          <w:rtl/>
        </w:rPr>
        <w:t>חל גידול בשיעור הכנת הבקשות להאזנה לתקשורת בין מחשבים מתוך כלל הבקשות</w:t>
      </w:r>
      <w:r w:rsidR="00343FCF">
        <w:rPr>
          <w:rFonts w:hint="cs"/>
          <w:rtl/>
        </w:rPr>
        <w:t>.</w:t>
      </w:r>
    </w:p>
    <w:p w:rsidR="005E62F5" w:rsidRDefault="005E62F5" w:rsidP="00604C3D">
      <w:pPr>
        <w:pStyle w:val="a5"/>
        <w:spacing w:line="269" w:lineRule="auto"/>
        <w:rPr>
          <w:rtl/>
        </w:rPr>
      </w:pPr>
    </w:p>
    <w:p w:rsidR="008868B6" w:rsidRDefault="005E62F5" w:rsidP="00604C3D">
      <w:pPr>
        <w:spacing w:line="269" w:lineRule="auto"/>
        <w:rPr>
          <w:rtl/>
        </w:rPr>
      </w:pPr>
      <w:r>
        <w:rPr>
          <w:rFonts w:hint="cs"/>
          <w:rtl/>
        </w:rPr>
        <w:t>המשטרה מסרה כי הגידול בבקשות להאזנ</w:t>
      </w:r>
      <w:r w:rsidR="00B15FB2">
        <w:rPr>
          <w:rFonts w:hint="cs"/>
          <w:rtl/>
        </w:rPr>
        <w:t>ה</w:t>
      </w:r>
      <w:r>
        <w:rPr>
          <w:rFonts w:hint="cs"/>
          <w:rtl/>
        </w:rPr>
        <w:t xml:space="preserve"> לתקשורת בין מחשבים נובע משיפור יכולותיה </w:t>
      </w:r>
      <w:r w:rsidR="00B15FB2">
        <w:rPr>
          <w:rFonts w:hint="cs"/>
          <w:rtl/>
        </w:rPr>
        <w:t>להשתמש</w:t>
      </w:r>
      <w:r>
        <w:rPr>
          <w:rFonts w:hint="cs"/>
          <w:rtl/>
        </w:rPr>
        <w:t xml:space="preserve"> בכלים הטכנולוגיים מחד</w:t>
      </w:r>
      <w:r w:rsidR="00B15FB2">
        <w:rPr>
          <w:rFonts w:hint="cs"/>
          <w:rtl/>
        </w:rPr>
        <w:t xml:space="preserve"> גיסא</w:t>
      </w:r>
      <w:r>
        <w:rPr>
          <w:rFonts w:hint="cs"/>
          <w:rtl/>
        </w:rPr>
        <w:t>, ו</w:t>
      </w:r>
      <w:r w:rsidR="00B15FB2">
        <w:rPr>
          <w:rFonts w:hint="cs"/>
          <w:rtl/>
        </w:rPr>
        <w:t>מה</w:t>
      </w:r>
      <w:r>
        <w:rPr>
          <w:rFonts w:hint="cs"/>
          <w:rtl/>
        </w:rPr>
        <w:t xml:space="preserve">צורך להילחם בפשיעה הרותמת את הטכנולוגיה לטובתה </w:t>
      </w:r>
      <w:r w:rsidR="003028FC">
        <w:rPr>
          <w:rFonts w:hint="cs"/>
          <w:rtl/>
        </w:rPr>
        <w:t xml:space="preserve">ונעשית </w:t>
      </w:r>
      <w:r>
        <w:rPr>
          <w:rFonts w:hint="cs"/>
          <w:rtl/>
        </w:rPr>
        <w:t>ברבות השנים מתוחכמת יותר</w:t>
      </w:r>
      <w:r w:rsidR="003028FC">
        <w:rPr>
          <w:rFonts w:hint="cs"/>
          <w:rtl/>
        </w:rPr>
        <w:t xml:space="preserve"> מאידך גיסא</w:t>
      </w:r>
      <w:r>
        <w:rPr>
          <w:rFonts w:hint="cs"/>
          <w:rtl/>
        </w:rPr>
        <w:t xml:space="preserve">. </w:t>
      </w:r>
    </w:p>
    <w:p w:rsidR="002B0E02" w:rsidRDefault="002B0E02" w:rsidP="00604C3D">
      <w:pPr>
        <w:spacing w:line="269" w:lineRule="auto"/>
        <w:rPr>
          <w:rtl/>
        </w:rPr>
      </w:pPr>
      <w:bookmarkStart w:id="222" w:name="_Hlk138593876"/>
    </w:p>
    <w:p w:rsidR="008868B6" w:rsidRPr="00994264" w:rsidRDefault="008868B6" w:rsidP="00604C3D">
      <w:pPr>
        <w:spacing w:line="269" w:lineRule="auto"/>
        <w:rPr>
          <w:rtl/>
        </w:rPr>
      </w:pPr>
      <w:r w:rsidRPr="00994264">
        <w:rPr>
          <w:rFonts w:hint="cs"/>
          <w:rtl/>
        </w:rPr>
        <w:t>משרד</w:t>
      </w:r>
      <w:r w:rsidRPr="00994264">
        <w:rPr>
          <w:rtl/>
        </w:rPr>
        <w:t xml:space="preserve"> </w:t>
      </w:r>
      <w:r w:rsidRPr="00994264">
        <w:rPr>
          <w:rFonts w:hint="cs"/>
          <w:rtl/>
        </w:rPr>
        <w:t>מבקר</w:t>
      </w:r>
      <w:r w:rsidRPr="00994264">
        <w:rPr>
          <w:rtl/>
        </w:rPr>
        <w:t xml:space="preserve"> </w:t>
      </w:r>
      <w:r w:rsidRPr="00994264">
        <w:rPr>
          <w:rFonts w:hint="cs"/>
          <w:rtl/>
        </w:rPr>
        <w:t>המדינה</w:t>
      </w:r>
      <w:r w:rsidRPr="00994264">
        <w:rPr>
          <w:rtl/>
        </w:rPr>
        <w:t xml:space="preserve"> </w:t>
      </w:r>
      <w:r w:rsidRPr="00994264">
        <w:rPr>
          <w:rFonts w:hint="cs"/>
          <w:rtl/>
        </w:rPr>
        <w:t>בחן</w:t>
      </w:r>
      <w:r w:rsidRPr="00994264">
        <w:rPr>
          <w:rtl/>
        </w:rPr>
        <w:t xml:space="preserve"> </w:t>
      </w:r>
      <w:r w:rsidRPr="00994264">
        <w:rPr>
          <w:rFonts w:hint="cs"/>
          <w:rtl/>
        </w:rPr>
        <w:t>אילו</w:t>
      </w:r>
      <w:r w:rsidRPr="00994264">
        <w:rPr>
          <w:rtl/>
        </w:rPr>
        <w:t xml:space="preserve"> </w:t>
      </w:r>
      <w:r w:rsidRPr="00994264">
        <w:rPr>
          <w:rFonts w:hint="cs"/>
          <w:rtl/>
        </w:rPr>
        <w:t>היתרים</w:t>
      </w:r>
      <w:r w:rsidRPr="00994264">
        <w:rPr>
          <w:rtl/>
        </w:rPr>
        <w:t xml:space="preserve"> </w:t>
      </w:r>
      <w:r w:rsidRPr="00994264">
        <w:rPr>
          <w:rFonts w:hint="cs"/>
          <w:rtl/>
        </w:rPr>
        <w:t>וצווים</w:t>
      </w:r>
      <w:r w:rsidRPr="00994264">
        <w:rPr>
          <w:rtl/>
        </w:rPr>
        <w:t xml:space="preserve"> </w:t>
      </w:r>
      <w:r w:rsidRPr="00994264">
        <w:rPr>
          <w:rFonts w:hint="cs"/>
          <w:rtl/>
        </w:rPr>
        <w:t>קיימים</w:t>
      </w:r>
      <w:r w:rsidRPr="00994264">
        <w:rPr>
          <w:rtl/>
        </w:rPr>
        <w:t xml:space="preserve"> </w:t>
      </w:r>
      <w:r w:rsidRPr="00994264">
        <w:rPr>
          <w:rFonts w:hint="cs"/>
          <w:rtl/>
        </w:rPr>
        <w:t>במערכת</w:t>
      </w:r>
      <w:r w:rsidRPr="00994264">
        <w:rPr>
          <w:rtl/>
        </w:rPr>
        <w:t xml:space="preserve"> </w:t>
      </w:r>
      <w:r w:rsidRPr="00994264">
        <w:rPr>
          <w:rFonts w:hint="cs"/>
          <w:rtl/>
        </w:rPr>
        <w:t>לניהול</w:t>
      </w:r>
      <w:r w:rsidRPr="00994264">
        <w:rPr>
          <w:rtl/>
        </w:rPr>
        <w:t xml:space="preserve"> </w:t>
      </w:r>
      <w:r w:rsidRPr="00994264">
        <w:rPr>
          <w:rFonts w:hint="cs"/>
          <w:rtl/>
        </w:rPr>
        <w:t>הצווים</w:t>
      </w:r>
      <w:r w:rsidRPr="00994264">
        <w:rPr>
          <w:rtl/>
        </w:rPr>
        <w:t xml:space="preserve">. </w:t>
      </w:r>
      <w:r w:rsidRPr="00994264">
        <w:rPr>
          <w:rFonts w:hint="cs"/>
          <w:rtl/>
        </w:rPr>
        <w:t>נמצא</w:t>
      </w:r>
      <w:r w:rsidRPr="00994264">
        <w:rPr>
          <w:rtl/>
        </w:rPr>
        <w:t xml:space="preserve"> </w:t>
      </w:r>
      <w:r w:rsidRPr="00994264">
        <w:rPr>
          <w:rFonts w:hint="cs"/>
          <w:rtl/>
        </w:rPr>
        <w:t>כי</w:t>
      </w:r>
      <w:r w:rsidRPr="00994264">
        <w:rPr>
          <w:rtl/>
        </w:rPr>
        <w:t xml:space="preserve"> </w:t>
      </w:r>
      <w:r w:rsidRPr="00994264">
        <w:rPr>
          <w:rFonts w:hint="cs"/>
          <w:rtl/>
        </w:rPr>
        <w:t>ככלל</w:t>
      </w:r>
      <w:r w:rsidRPr="00994264">
        <w:rPr>
          <w:rtl/>
        </w:rPr>
        <w:t xml:space="preserve">, </w:t>
      </w:r>
      <w:r w:rsidRPr="00994264">
        <w:rPr>
          <w:rFonts w:hint="cs"/>
          <w:rtl/>
        </w:rPr>
        <w:t>במערכת</w:t>
      </w:r>
      <w:r w:rsidRPr="00994264">
        <w:rPr>
          <w:rtl/>
        </w:rPr>
        <w:t xml:space="preserve"> </w:t>
      </w:r>
      <w:r w:rsidRPr="00994264">
        <w:rPr>
          <w:rFonts w:hint="cs"/>
          <w:rtl/>
        </w:rPr>
        <w:t>לניהול</w:t>
      </w:r>
      <w:r w:rsidRPr="00994264">
        <w:rPr>
          <w:rtl/>
        </w:rPr>
        <w:t xml:space="preserve"> צווים </w:t>
      </w:r>
      <w:r w:rsidRPr="00994264">
        <w:rPr>
          <w:rFonts w:hint="cs"/>
          <w:rtl/>
        </w:rPr>
        <w:t>נכללים</w:t>
      </w:r>
      <w:r w:rsidRPr="00994264">
        <w:rPr>
          <w:rtl/>
        </w:rPr>
        <w:t xml:space="preserve"> </w:t>
      </w:r>
      <w:r w:rsidRPr="00994264">
        <w:rPr>
          <w:rFonts w:hint="cs"/>
          <w:rtl/>
        </w:rPr>
        <w:t>הצווים</w:t>
      </w:r>
      <w:r w:rsidRPr="00994264">
        <w:rPr>
          <w:rtl/>
        </w:rPr>
        <w:t xml:space="preserve"> </w:t>
      </w:r>
      <w:r w:rsidRPr="00994264">
        <w:rPr>
          <w:rFonts w:hint="cs"/>
          <w:rtl/>
        </w:rPr>
        <w:t>השיפוטיים</w:t>
      </w:r>
      <w:r w:rsidRPr="00994264">
        <w:rPr>
          <w:rtl/>
        </w:rPr>
        <w:t xml:space="preserve">. </w:t>
      </w:r>
      <w:r w:rsidRPr="00994264">
        <w:rPr>
          <w:rFonts w:hint="cs"/>
          <w:rtl/>
        </w:rPr>
        <w:t>עוד</w:t>
      </w:r>
      <w:r w:rsidRPr="00994264">
        <w:rPr>
          <w:rtl/>
        </w:rPr>
        <w:t xml:space="preserve"> </w:t>
      </w:r>
      <w:r w:rsidR="00AA1115">
        <w:rPr>
          <w:rFonts w:hint="cs"/>
          <w:rtl/>
        </w:rPr>
        <w:t>נמצא כי</w:t>
      </w:r>
      <w:r w:rsidRPr="00994264">
        <w:rPr>
          <w:rtl/>
        </w:rPr>
        <w:t xml:space="preserve"> </w:t>
      </w:r>
      <w:r w:rsidRPr="00994264">
        <w:rPr>
          <w:rFonts w:hint="cs"/>
          <w:rtl/>
        </w:rPr>
        <w:t>לא</w:t>
      </w:r>
      <w:r w:rsidRPr="00994264">
        <w:rPr>
          <w:rtl/>
        </w:rPr>
        <w:t xml:space="preserve"> </w:t>
      </w:r>
      <w:r w:rsidRPr="00994264">
        <w:rPr>
          <w:rFonts w:hint="cs"/>
          <w:rtl/>
        </w:rPr>
        <w:t>נכללו</w:t>
      </w:r>
      <w:r w:rsidRPr="00994264">
        <w:rPr>
          <w:rtl/>
        </w:rPr>
        <w:t xml:space="preserve"> </w:t>
      </w:r>
      <w:r w:rsidRPr="00994264">
        <w:rPr>
          <w:rFonts w:hint="cs"/>
          <w:rtl/>
        </w:rPr>
        <w:t>במערכת</w:t>
      </w:r>
      <w:r w:rsidRPr="00994264">
        <w:rPr>
          <w:rtl/>
        </w:rPr>
        <w:t xml:space="preserve"> </w:t>
      </w:r>
      <w:r w:rsidRPr="00994264">
        <w:rPr>
          <w:rFonts w:hint="cs"/>
          <w:rtl/>
        </w:rPr>
        <w:t>נתונים</w:t>
      </w:r>
      <w:r w:rsidRPr="00994264">
        <w:rPr>
          <w:rtl/>
        </w:rPr>
        <w:t xml:space="preserve"> </w:t>
      </w:r>
      <w:r w:rsidRPr="00994264">
        <w:rPr>
          <w:rFonts w:hint="cs"/>
          <w:rtl/>
        </w:rPr>
        <w:t>על</w:t>
      </w:r>
      <w:r w:rsidRPr="00994264">
        <w:rPr>
          <w:rtl/>
        </w:rPr>
        <w:t xml:space="preserve"> </w:t>
      </w:r>
      <w:r w:rsidRPr="00994264">
        <w:rPr>
          <w:rFonts w:hint="cs"/>
          <w:rtl/>
        </w:rPr>
        <w:t>כל</w:t>
      </w:r>
      <w:r w:rsidRPr="00994264">
        <w:rPr>
          <w:rtl/>
        </w:rPr>
        <w:t xml:space="preserve"> </w:t>
      </w:r>
      <w:r w:rsidRPr="00994264">
        <w:rPr>
          <w:rFonts w:hint="cs"/>
          <w:rtl/>
        </w:rPr>
        <w:t>סוגי</w:t>
      </w:r>
      <w:r w:rsidRPr="00994264">
        <w:rPr>
          <w:rtl/>
        </w:rPr>
        <w:t xml:space="preserve"> </w:t>
      </w:r>
      <w:r w:rsidRPr="00994264">
        <w:rPr>
          <w:rFonts w:hint="cs"/>
          <w:rtl/>
        </w:rPr>
        <w:t>הבקשות</w:t>
      </w:r>
      <w:r w:rsidRPr="00994264">
        <w:rPr>
          <w:rtl/>
        </w:rPr>
        <w:t xml:space="preserve"> </w:t>
      </w:r>
      <w:r w:rsidRPr="00994264">
        <w:rPr>
          <w:rFonts w:hint="cs"/>
          <w:rtl/>
        </w:rPr>
        <w:t>וההיתרים</w:t>
      </w:r>
      <w:r w:rsidRPr="00994264">
        <w:rPr>
          <w:rtl/>
        </w:rPr>
        <w:t xml:space="preserve"> להאזנות סתר שמבצעת המשטרה, שכן חסרו בה הנתונים על </w:t>
      </w:r>
      <w:r w:rsidRPr="00994264">
        <w:rPr>
          <w:rFonts w:hint="cs"/>
          <w:rtl/>
        </w:rPr>
        <w:t>ההיתרים</w:t>
      </w:r>
      <w:r w:rsidRPr="00994264">
        <w:rPr>
          <w:rtl/>
        </w:rPr>
        <w:t xml:space="preserve"> </w:t>
      </w:r>
      <w:r w:rsidRPr="00994264">
        <w:rPr>
          <w:rFonts w:hint="cs"/>
          <w:rtl/>
        </w:rPr>
        <w:t>המינהליים</w:t>
      </w:r>
      <w:r w:rsidRPr="00994264">
        <w:rPr>
          <w:rtl/>
        </w:rPr>
        <w:t xml:space="preserve">, ועל האזנות שאינן טעונות היתר. </w:t>
      </w:r>
    </w:p>
    <w:p w:rsidR="002B0E02" w:rsidRDefault="002B0E02" w:rsidP="00604C3D">
      <w:pPr>
        <w:spacing w:line="269" w:lineRule="auto"/>
        <w:rPr>
          <w:rtl/>
        </w:rPr>
      </w:pPr>
      <w:bookmarkStart w:id="223" w:name="_Hlk131151731"/>
      <w:bookmarkStart w:id="224" w:name="_Hlk138593833"/>
      <w:bookmarkEnd w:id="222"/>
    </w:p>
    <w:p w:rsidR="008868B6" w:rsidRDefault="008868B6" w:rsidP="00604C3D">
      <w:pPr>
        <w:spacing w:line="269" w:lineRule="auto"/>
        <w:rPr>
          <w:rtl/>
        </w:rPr>
      </w:pPr>
      <w:r w:rsidRPr="00F253C4">
        <w:rPr>
          <w:rFonts w:hint="cs"/>
          <w:rtl/>
        </w:rPr>
        <w:t xml:space="preserve">מבדיקת מבקר המדינה עולה </w:t>
      </w:r>
      <w:bookmarkEnd w:id="223"/>
      <w:r w:rsidRPr="00F253C4">
        <w:rPr>
          <w:rFonts w:hint="cs"/>
          <w:rtl/>
        </w:rPr>
        <w:t xml:space="preserve">כי </w:t>
      </w:r>
      <w:r w:rsidR="0086044B" w:rsidRPr="0086044B">
        <w:rPr>
          <w:rFonts w:hint="cs"/>
          <w:rtl/>
        </w:rPr>
        <w:t xml:space="preserve">נוסף על כ-14,000 הצווים השיפוטיים הפיקה </w:t>
      </w:r>
      <w:r>
        <w:rPr>
          <w:rFonts w:hint="cs"/>
          <w:rtl/>
        </w:rPr>
        <w:t>המשטרה</w:t>
      </w:r>
      <w:r w:rsidRPr="00F253C4">
        <w:rPr>
          <w:rFonts w:hint="cs"/>
          <w:rtl/>
        </w:rPr>
        <w:t xml:space="preserve"> </w:t>
      </w:r>
      <w:bookmarkStart w:id="225" w:name="_Hlk131151743"/>
      <w:r>
        <w:rPr>
          <w:rFonts w:hint="cs"/>
          <w:rtl/>
        </w:rPr>
        <w:t>ב</w:t>
      </w:r>
      <w:r w:rsidRPr="00C701D0">
        <w:rPr>
          <w:rFonts w:hint="cs"/>
          <w:rtl/>
        </w:rPr>
        <w:t>שנת</w:t>
      </w:r>
      <w:r w:rsidRPr="00F253C4">
        <w:rPr>
          <w:rFonts w:hint="cs"/>
          <w:rtl/>
        </w:rPr>
        <w:t xml:space="preserve"> 2021</w:t>
      </w:r>
      <w:r>
        <w:rPr>
          <w:rFonts w:hint="cs"/>
          <w:rtl/>
        </w:rPr>
        <w:t>,</w:t>
      </w:r>
      <w:r w:rsidRPr="00F253C4">
        <w:rPr>
          <w:rFonts w:hint="cs"/>
          <w:rtl/>
        </w:rPr>
        <w:t xml:space="preserve"> שלא באמצעות המערכת לניהול צווים, </w:t>
      </w:r>
      <w:bookmarkEnd w:id="225"/>
      <w:r w:rsidRPr="00F253C4">
        <w:rPr>
          <w:rFonts w:hint="cs"/>
          <w:rtl/>
        </w:rPr>
        <w:t>14 היתרים מינהליים</w:t>
      </w:r>
      <w:r>
        <w:rPr>
          <w:rFonts w:hint="cs"/>
          <w:rtl/>
        </w:rPr>
        <w:t xml:space="preserve"> להאזנה לתקשורת בין מחשבים</w:t>
      </w:r>
      <w:r>
        <w:rPr>
          <w:rStyle w:val="af"/>
          <w:rtl/>
        </w:rPr>
        <w:footnoteReference w:id="75"/>
      </w:r>
      <w:r>
        <w:rPr>
          <w:rFonts w:hint="cs"/>
          <w:rtl/>
        </w:rPr>
        <w:t xml:space="preserve">. </w:t>
      </w:r>
      <w:r w:rsidR="003460B9">
        <w:rPr>
          <w:rFonts w:hint="cs"/>
          <w:rtl/>
        </w:rPr>
        <w:t>זאת, משום ש</w:t>
      </w:r>
      <w:r w:rsidR="00F677E3">
        <w:rPr>
          <w:rtl/>
        </w:rPr>
        <w:t>בשנת 2021, עם תחילת השימוש בהיתר מ</w:t>
      </w:r>
      <w:r w:rsidR="00893EA0">
        <w:rPr>
          <w:rFonts w:hint="cs"/>
          <w:rtl/>
        </w:rPr>
        <w:t>י</w:t>
      </w:r>
      <w:r w:rsidR="00F677E3">
        <w:rPr>
          <w:rtl/>
        </w:rPr>
        <w:t>נהלי, לא הייתה אפשרות להזין את ההיתרים הללו במערכת לניהול צווים ולכן הם הוצאו ותועדו באופן ידני.</w:t>
      </w:r>
    </w:p>
    <w:bookmarkEnd w:id="224"/>
    <w:p w:rsidR="002B0E02" w:rsidRDefault="002B0E02" w:rsidP="00604C3D">
      <w:pPr>
        <w:spacing w:line="269" w:lineRule="auto"/>
        <w:rPr>
          <w:rtl/>
        </w:rPr>
      </w:pPr>
    </w:p>
    <w:p w:rsidR="008868B6" w:rsidRPr="0024197E" w:rsidRDefault="008868B6" w:rsidP="00604C3D">
      <w:pPr>
        <w:spacing w:line="269" w:lineRule="auto"/>
        <w:rPr>
          <w:rtl/>
        </w:rPr>
      </w:pPr>
      <w:r>
        <w:rPr>
          <w:rFonts w:hint="cs"/>
          <w:rtl/>
        </w:rPr>
        <w:t>המשטרה</w:t>
      </w:r>
      <w:r w:rsidRPr="00FD3A04">
        <w:rPr>
          <w:rtl/>
        </w:rPr>
        <w:t xml:space="preserve"> </w:t>
      </w:r>
      <w:r w:rsidRPr="00FD3A04">
        <w:rPr>
          <w:rFonts w:hint="cs"/>
          <w:rtl/>
        </w:rPr>
        <w:t>מסרה</w:t>
      </w:r>
      <w:r w:rsidRPr="00FD3A04">
        <w:rPr>
          <w:rtl/>
        </w:rPr>
        <w:t xml:space="preserve"> </w:t>
      </w:r>
      <w:r w:rsidRPr="00FD3A04">
        <w:rPr>
          <w:rFonts w:hint="cs"/>
          <w:rtl/>
        </w:rPr>
        <w:t>לנציגי</w:t>
      </w:r>
      <w:r w:rsidRPr="00FD3A04">
        <w:rPr>
          <w:rtl/>
        </w:rPr>
        <w:t xml:space="preserve"> משרד </w:t>
      </w:r>
      <w:r w:rsidRPr="00FD3A04">
        <w:rPr>
          <w:rFonts w:hint="cs"/>
          <w:rtl/>
        </w:rPr>
        <w:t>מבקר</w:t>
      </w:r>
      <w:r w:rsidRPr="00FD3A04">
        <w:rPr>
          <w:rtl/>
        </w:rPr>
        <w:t xml:space="preserve"> המדינה</w:t>
      </w:r>
      <w:r>
        <w:rPr>
          <w:rFonts w:hint="cs"/>
          <w:rtl/>
        </w:rPr>
        <w:t xml:space="preserve"> במהלך הביקורת</w:t>
      </w:r>
      <w:r w:rsidRPr="00FD3A04">
        <w:rPr>
          <w:rtl/>
        </w:rPr>
        <w:t xml:space="preserve"> </w:t>
      </w:r>
      <w:bookmarkStart w:id="226" w:name="_Hlk131151620"/>
      <w:r w:rsidRPr="00FD3A04">
        <w:rPr>
          <w:rFonts w:hint="cs"/>
          <w:rtl/>
        </w:rPr>
        <w:t>שהיא</w:t>
      </w:r>
      <w:r w:rsidRPr="00FD3A04">
        <w:rPr>
          <w:rtl/>
        </w:rPr>
        <w:t xml:space="preserve"> </w:t>
      </w:r>
      <w:r>
        <w:rPr>
          <w:rFonts w:hint="cs"/>
          <w:rtl/>
        </w:rPr>
        <w:t xml:space="preserve">הזינה את כל </w:t>
      </w:r>
      <w:r w:rsidRPr="00FD3A04">
        <w:rPr>
          <w:rtl/>
        </w:rPr>
        <w:t xml:space="preserve">ההיתרים המינהליים שאותרו </w:t>
      </w:r>
      <w:r>
        <w:rPr>
          <w:rFonts w:hint="cs"/>
          <w:rtl/>
        </w:rPr>
        <w:t>ל</w:t>
      </w:r>
      <w:r w:rsidRPr="00C701D0">
        <w:rPr>
          <w:rFonts w:hint="cs"/>
          <w:rtl/>
        </w:rPr>
        <w:t>מערכת</w:t>
      </w:r>
      <w:r w:rsidRPr="00FD3A04">
        <w:rPr>
          <w:rtl/>
        </w:rPr>
        <w:t xml:space="preserve"> </w:t>
      </w:r>
      <w:r w:rsidRPr="00FD3A04">
        <w:rPr>
          <w:rFonts w:hint="cs"/>
          <w:rtl/>
        </w:rPr>
        <w:t>לניהול</w:t>
      </w:r>
      <w:r w:rsidRPr="00FD3A04">
        <w:rPr>
          <w:rtl/>
        </w:rPr>
        <w:t xml:space="preserve"> </w:t>
      </w:r>
      <w:r w:rsidRPr="00FD3A04">
        <w:rPr>
          <w:rFonts w:hint="cs"/>
          <w:rtl/>
        </w:rPr>
        <w:t>צווים</w:t>
      </w:r>
      <w:bookmarkEnd w:id="226"/>
      <w:r w:rsidRPr="0024197E">
        <w:rPr>
          <w:rtl/>
        </w:rPr>
        <w:t>.</w:t>
      </w:r>
      <w:r w:rsidRPr="0024197E">
        <w:rPr>
          <w:rFonts w:hint="cs"/>
          <w:rtl/>
        </w:rPr>
        <w:t xml:space="preserve"> </w:t>
      </w:r>
    </w:p>
    <w:p w:rsidR="002B0E02" w:rsidRDefault="002B0E02" w:rsidP="00604C3D">
      <w:pPr>
        <w:spacing w:line="269" w:lineRule="auto"/>
        <w:rPr>
          <w:b/>
          <w:bCs/>
          <w:rtl/>
        </w:rPr>
      </w:pPr>
      <w:bookmarkStart w:id="227" w:name="_Hlk187744437"/>
    </w:p>
    <w:p w:rsidR="00C779BA" w:rsidRDefault="00620493" w:rsidP="00604C3D">
      <w:pPr>
        <w:spacing w:line="269" w:lineRule="auto"/>
        <w:rPr>
          <w:b/>
          <w:bCs/>
          <w:rtl/>
        </w:rPr>
      </w:pPr>
      <w:r w:rsidRPr="00620493">
        <w:rPr>
          <w:rFonts w:hint="cs"/>
          <w:b/>
          <w:bCs/>
          <w:rtl/>
        </w:rPr>
        <w:t>במערכת לניהול צווים מוזנות האזנות סתר הטעונות צו שיפוטי. יחד עם זאת, קיימות האזנות שאינן טעונות היתר (כגון, האזנה ברשות הרבים). ואולם, נמצא כי, אין אינדיקציה בת פיקוח לעצם קיומה של האזנת סתר שאינה טעונה היתר והיקף ביצוע האזנות הסתר שאינן טעונות היתר לא נאמד באמצעות מערכת זו. יצוין כי, בהתאם לדין, אין חובה לדווח על האזנות מסוג זה לכנסת או ליועמ"שית לממשלה.</w:t>
      </w:r>
      <w:r w:rsidR="0049609C">
        <w:rPr>
          <w:rFonts w:hint="cs"/>
          <w:b/>
          <w:bCs/>
          <w:rtl/>
        </w:rPr>
        <w:t xml:space="preserve"> </w:t>
      </w:r>
    </w:p>
    <w:bookmarkEnd w:id="227"/>
    <w:p w:rsidR="0086044B" w:rsidRPr="0086044B" w:rsidRDefault="0086044B" w:rsidP="00604C3D">
      <w:pPr>
        <w:pStyle w:val="a5"/>
        <w:spacing w:line="269" w:lineRule="auto"/>
        <w:rPr>
          <w:rtl/>
        </w:rPr>
      </w:pPr>
    </w:p>
    <w:p w:rsidR="0086044B" w:rsidRPr="0024197E" w:rsidRDefault="009F25B2" w:rsidP="00604C3D">
      <w:pPr>
        <w:spacing w:line="269" w:lineRule="auto"/>
        <w:rPr>
          <w:rtl/>
        </w:rPr>
      </w:pPr>
      <w:r>
        <w:rPr>
          <w:rFonts w:hint="cs"/>
          <w:rtl/>
        </w:rPr>
        <w:t>המשטרה</w:t>
      </w:r>
      <w:r w:rsidR="0086044B" w:rsidRPr="0086044B">
        <w:rPr>
          <w:rFonts w:hint="cs"/>
          <w:rtl/>
        </w:rPr>
        <w:t xml:space="preserve"> מסרה כי לאחרונה החל</w:t>
      </w:r>
      <w:r w:rsidR="003028FC">
        <w:rPr>
          <w:rFonts w:hint="cs"/>
          <w:rtl/>
        </w:rPr>
        <w:t>י</w:t>
      </w:r>
      <w:r w:rsidR="0086044B" w:rsidRPr="0086044B">
        <w:rPr>
          <w:rFonts w:hint="cs"/>
          <w:rtl/>
        </w:rPr>
        <w:t>ט פיקוד חטיבת המודיעין כי האזנת סתר שאינה טעונה היתר תנוהל במערכת מודיעין נפרדת של חטיבה זו</w:t>
      </w:r>
      <w:r w:rsidR="0086044B" w:rsidRPr="0024197E">
        <w:rPr>
          <w:rFonts w:hint="cs"/>
          <w:rtl/>
        </w:rPr>
        <w:t xml:space="preserve">. </w:t>
      </w:r>
    </w:p>
    <w:p w:rsidR="002B0E02" w:rsidRPr="00C86567" w:rsidRDefault="002B0E02" w:rsidP="00604C3D">
      <w:pPr>
        <w:spacing w:line="269" w:lineRule="auto"/>
        <w:rPr>
          <w:rtl/>
        </w:rPr>
      </w:pPr>
      <w:bookmarkStart w:id="228" w:name="_Hlk190064034"/>
    </w:p>
    <w:p w:rsidR="0086044B" w:rsidRPr="0086044B" w:rsidRDefault="0086044B" w:rsidP="00604C3D">
      <w:pPr>
        <w:pStyle w:val="aff2"/>
        <w:spacing w:line="269" w:lineRule="auto"/>
        <w:rPr>
          <w:rtl/>
        </w:rPr>
      </w:pPr>
      <w:r w:rsidRPr="0086044B">
        <w:rPr>
          <w:rFonts w:hint="cs"/>
          <w:rtl/>
        </w:rPr>
        <w:t xml:space="preserve">מומלץ כי </w:t>
      </w:r>
      <w:r w:rsidR="009F25B2">
        <w:rPr>
          <w:rFonts w:hint="cs"/>
          <w:rtl/>
        </w:rPr>
        <w:t>המשטרה</w:t>
      </w:r>
      <w:r w:rsidRPr="0086044B">
        <w:rPr>
          <w:rFonts w:hint="cs"/>
          <w:rtl/>
        </w:rPr>
        <w:t xml:space="preserve"> תרכז את הנתונים על האזנות סתר שאינן טעונות היתר במערכת </w:t>
      </w:r>
      <w:r w:rsidR="004121A9">
        <w:rPr>
          <w:rFonts w:hint="cs"/>
          <w:rtl/>
        </w:rPr>
        <w:t>י</w:t>
      </w:r>
      <w:r w:rsidR="005F1883">
        <w:rPr>
          <w:rFonts w:hint="cs"/>
          <w:rtl/>
        </w:rPr>
        <w:t>יעודית</w:t>
      </w:r>
      <w:r w:rsidRPr="0086044B">
        <w:rPr>
          <w:rFonts w:hint="cs"/>
          <w:rtl/>
        </w:rPr>
        <w:t xml:space="preserve">. </w:t>
      </w:r>
      <w:r w:rsidR="004121A9">
        <w:rPr>
          <w:rFonts w:hint="cs"/>
          <w:rtl/>
        </w:rPr>
        <w:t>ריכוז המידע על ההרשאה החוקית לבצע האזנות סתר</w:t>
      </w:r>
      <w:r w:rsidR="008C4F82">
        <w:rPr>
          <w:rFonts w:hint="cs"/>
          <w:rtl/>
        </w:rPr>
        <w:t xml:space="preserve"> יאפשר</w:t>
      </w:r>
      <w:r w:rsidR="004121A9">
        <w:rPr>
          <w:rFonts w:hint="cs"/>
          <w:rtl/>
        </w:rPr>
        <w:t xml:space="preserve"> </w:t>
      </w:r>
      <w:bookmarkStart w:id="229" w:name="_Hlk188958822"/>
      <w:bookmarkStart w:id="230" w:name="_Hlk188958763"/>
      <w:r w:rsidR="004121A9">
        <w:rPr>
          <w:rFonts w:hint="cs"/>
          <w:rtl/>
        </w:rPr>
        <w:t>בקרה פנים משטרתית</w:t>
      </w:r>
      <w:r w:rsidR="00A27D84">
        <w:rPr>
          <w:rFonts w:hint="cs"/>
          <w:rtl/>
        </w:rPr>
        <w:t xml:space="preserve"> על ההרשאה החוקית לבצע האזנה</w:t>
      </w:r>
      <w:r w:rsidR="00B63D46">
        <w:rPr>
          <w:rFonts w:hint="cs"/>
          <w:rtl/>
        </w:rPr>
        <w:t>.</w:t>
      </w:r>
      <w:r w:rsidR="00382AE8">
        <w:rPr>
          <w:rFonts w:hint="cs"/>
          <w:rtl/>
        </w:rPr>
        <w:t xml:space="preserve"> </w:t>
      </w:r>
      <w:r w:rsidR="00B63D46">
        <w:rPr>
          <w:rFonts w:hint="cs"/>
          <w:rtl/>
        </w:rPr>
        <w:t xml:space="preserve">זו </w:t>
      </w:r>
      <w:r w:rsidR="004121A9">
        <w:rPr>
          <w:rFonts w:hint="cs"/>
          <w:rtl/>
        </w:rPr>
        <w:t>נדרש</w:t>
      </w:r>
      <w:r w:rsidR="00A27D84">
        <w:rPr>
          <w:rFonts w:hint="cs"/>
          <w:rtl/>
        </w:rPr>
        <w:t xml:space="preserve">ת </w:t>
      </w:r>
      <w:r w:rsidRPr="0086044B">
        <w:rPr>
          <w:rFonts w:hint="cs"/>
          <w:rtl/>
        </w:rPr>
        <w:t>בשים לב לכך שהתוצרים שיופקו מהאזנת סתר מסוג זה עשויים להיות חלק בלתי נפרד מחומרי החקירה</w:t>
      </w:r>
      <w:r w:rsidR="00A27D84">
        <w:rPr>
          <w:rFonts w:hint="cs"/>
          <w:rtl/>
        </w:rPr>
        <w:t>.</w:t>
      </w:r>
      <w:r w:rsidRPr="0086044B">
        <w:rPr>
          <w:rFonts w:hint="cs"/>
          <w:rtl/>
        </w:rPr>
        <w:t xml:space="preserve"> </w:t>
      </w:r>
      <w:bookmarkStart w:id="231" w:name="_Hlk187744459"/>
      <w:bookmarkEnd w:id="229"/>
      <w:r w:rsidRPr="0086044B">
        <w:rPr>
          <w:rFonts w:hint="cs"/>
          <w:rtl/>
        </w:rPr>
        <w:t>אי-הזנת המידע על אודות האזנת סתר שאינה טעונה היתר מקשה על איתור עקבי של חומרי חקירה קריטיים ופוגעת בשלמות הצהרת המשטרה כי מלאכת איתור חומרי החקירה הסתיימה ולא אותרו חומרי חקירה שעשויים לשמש להגנת נאשם</w:t>
      </w:r>
      <w:bookmarkEnd w:id="230"/>
      <w:r w:rsidRPr="0086044B">
        <w:rPr>
          <w:rFonts w:hint="cs"/>
          <w:rtl/>
        </w:rPr>
        <w:t>.</w:t>
      </w:r>
    </w:p>
    <w:bookmarkEnd w:id="228"/>
    <w:bookmarkEnd w:id="231"/>
    <w:p w:rsidR="002C070B" w:rsidRDefault="002C070B" w:rsidP="00604C3D">
      <w:pPr>
        <w:spacing w:line="269" w:lineRule="auto"/>
        <w:rPr>
          <w:b/>
          <w:bCs/>
          <w:rtl/>
        </w:rPr>
      </w:pPr>
    </w:p>
    <w:p w:rsidR="008868B6" w:rsidRPr="00C02BA7" w:rsidRDefault="008868B6" w:rsidP="008C598D">
      <w:pPr>
        <w:pStyle w:val="4"/>
        <w:numPr>
          <w:ilvl w:val="0"/>
          <w:numId w:val="72"/>
        </w:numPr>
        <w:spacing w:before="0" w:line="269" w:lineRule="auto"/>
        <w:ind w:left="367"/>
        <w:jc w:val="left"/>
        <w:rPr>
          <w:rtl/>
        </w:rPr>
      </w:pPr>
      <w:bookmarkStart w:id="232" w:name="_Toc211521927"/>
      <w:bookmarkStart w:id="233" w:name="_Toc219110317"/>
      <w:bookmarkStart w:id="234" w:name="_Toc219113758"/>
      <w:bookmarkStart w:id="235" w:name="_Toc219286533"/>
      <w:r w:rsidRPr="00C02BA7">
        <w:rPr>
          <w:rFonts w:hint="eastAsia"/>
          <w:rtl/>
        </w:rPr>
        <w:t>בדיקות</w:t>
      </w:r>
      <w:r w:rsidRPr="00C02BA7">
        <w:rPr>
          <w:rtl/>
        </w:rPr>
        <w:t xml:space="preserve"> </w:t>
      </w:r>
      <w:r w:rsidRPr="00C02BA7">
        <w:rPr>
          <w:rFonts w:hint="eastAsia"/>
          <w:rtl/>
        </w:rPr>
        <w:t>היתכנות</w:t>
      </w:r>
      <w:r w:rsidRPr="00C02BA7">
        <w:rPr>
          <w:rtl/>
        </w:rPr>
        <w:t xml:space="preserve"> </w:t>
      </w:r>
      <w:r>
        <w:rPr>
          <w:rFonts w:hint="cs"/>
          <w:rtl/>
        </w:rPr>
        <w:t>להפעלת האזנת סתר לתקשורת בין מחשבים</w:t>
      </w:r>
      <w:bookmarkEnd w:id="232"/>
      <w:bookmarkEnd w:id="233"/>
      <w:bookmarkEnd w:id="234"/>
      <w:bookmarkEnd w:id="235"/>
    </w:p>
    <w:p w:rsidR="002B0E02" w:rsidRDefault="002B0E02" w:rsidP="00604C3D">
      <w:pPr>
        <w:spacing w:line="269" w:lineRule="auto"/>
        <w:rPr>
          <w:rtl/>
        </w:rPr>
      </w:pPr>
    </w:p>
    <w:p w:rsidR="008868B6" w:rsidRDefault="008868B6" w:rsidP="00240D52">
      <w:pPr>
        <w:spacing w:line="269" w:lineRule="auto"/>
        <w:ind w:left="340"/>
        <w:rPr>
          <w:rtl/>
        </w:rPr>
      </w:pPr>
      <w:r>
        <w:rPr>
          <w:rFonts w:hint="cs"/>
          <w:rtl/>
        </w:rPr>
        <w:t xml:space="preserve">להבדיל מבקשות להאזנת סתר לשמע, ביצוע האזנות סתר לתקשורת בין מחשבים מצריך בדיקות מקדימות של המשטרה, שמטרתן להעריך את ההסתברות להצלחת האזנת הסתר המבוקשת ולבחור מתווה לביצועה (להלן - בדיקת </w:t>
      </w:r>
      <w:r w:rsidRPr="00783F64">
        <w:rPr>
          <w:rFonts w:hint="cs"/>
          <w:rtl/>
        </w:rPr>
        <w:t xml:space="preserve">היתכנות). בדיקת ההיתכנות כוללת, בין היתר, ניתוח של הסיכונים לחשיפת הכלי </w:t>
      </w:r>
      <w:r w:rsidR="00D6431B">
        <w:rPr>
          <w:rFonts w:hint="cs"/>
          <w:rtl/>
        </w:rPr>
        <w:t>הטכנולוגי</w:t>
      </w:r>
      <w:r w:rsidRPr="00783F64">
        <w:rPr>
          <w:rFonts w:hint="cs"/>
          <w:rtl/>
        </w:rPr>
        <w:t xml:space="preserve"> במהלך הפעילות וכן בדיקה טכנולוגית הנוגעת</w:t>
      </w:r>
      <w:r>
        <w:rPr>
          <w:rFonts w:hint="cs"/>
          <w:rtl/>
        </w:rPr>
        <w:t xml:space="preserve"> לסיכויי הצלחת הפעלת האזנת הסתר בהתאם לסוג האמצעי המואזן. בדיקת היתכנות עשויה לכלול בחינה של מקום או אתר להצבת כלי ה</w:t>
      </w:r>
      <w:r w:rsidR="00A27D84">
        <w:rPr>
          <w:rFonts w:hint="cs"/>
          <w:rtl/>
        </w:rPr>
        <w:t>ה</w:t>
      </w:r>
      <w:r>
        <w:rPr>
          <w:rFonts w:hint="cs"/>
          <w:rtl/>
        </w:rPr>
        <w:t>קלטה או בדיקה טכנולוגית של היתכנות השימוש בכלים.</w:t>
      </w:r>
    </w:p>
    <w:p w:rsidR="002B0E02" w:rsidRDefault="002B0E02" w:rsidP="00240D52">
      <w:pPr>
        <w:spacing w:line="269" w:lineRule="auto"/>
        <w:ind w:left="340"/>
        <w:rPr>
          <w:rtl/>
        </w:rPr>
      </w:pPr>
    </w:p>
    <w:p w:rsidR="008868B6" w:rsidRDefault="008868B6" w:rsidP="00240D52">
      <w:pPr>
        <w:spacing w:line="269" w:lineRule="auto"/>
        <w:ind w:left="340"/>
        <w:rPr>
          <w:rtl/>
        </w:rPr>
      </w:pPr>
      <w:r>
        <w:rPr>
          <w:rFonts w:hint="cs"/>
          <w:rtl/>
        </w:rPr>
        <w:t xml:space="preserve">בדיקת ההיתכנות היא השלב הראשון שמבצעת המשטרה לצורך שימוש בכלים </w:t>
      </w:r>
      <w:r w:rsidR="00746A11">
        <w:rPr>
          <w:rFonts w:hint="cs"/>
          <w:rtl/>
        </w:rPr>
        <w:t>טכנולוגיים</w:t>
      </w:r>
      <w:r>
        <w:rPr>
          <w:rFonts w:hint="cs"/>
          <w:rtl/>
        </w:rPr>
        <w:t>. לאחריה מתבצע שלב ההכנה ל</w:t>
      </w:r>
      <w:r w:rsidR="00062A25">
        <w:rPr>
          <w:rFonts w:hint="cs"/>
          <w:rtl/>
        </w:rPr>
        <w:t>התקנה</w:t>
      </w:r>
      <w:r>
        <w:rPr>
          <w:rFonts w:hint="cs"/>
          <w:rtl/>
        </w:rPr>
        <w:t xml:space="preserve">, שכולל כתיבת </w:t>
      </w:r>
      <w:r w:rsidR="00445DB6">
        <w:rPr>
          <w:rFonts w:hint="cs"/>
          <w:rtl/>
        </w:rPr>
        <w:t>מסמכי</w:t>
      </w:r>
      <w:r w:rsidR="00C35F2D">
        <w:rPr>
          <w:rFonts w:hint="cs"/>
          <w:rtl/>
        </w:rPr>
        <w:t xml:space="preserve"> היערכות לביצוע האזנה</w:t>
      </w:r>
      <w:r>
        <w:rPr>
          <w:rFonts w:hint="cs"/>
          <w:rtl/>
        </w:rPr>
        <w:t xml:space="preserve"> והכנת בקשות להיתרים. </w:t>
      </w:r>
    </w:p>
    <w:p w:rsidR="002B0E02" w:rsidRDefault="002B0E02" w:rsidP="00240D52">
      <w:pPr>
        <w:spacing w:line="269" w:lineRule="auto"/>
        <w:ind w:left="340"/>
        <w:rPr>
          <w:rtl/>
        </w:rPr>
      </w:pPr>
    </w:p>
    <w:p w:rsidR="00882F0A" w:rsidRDefault="008868B6" w:rsidP="00240D52">
      <w:pPr>
        <w:spacing w:line="269" w:lineRule="auto"/>
        <w:ind w:left="340"/>
        <w:rPr>
          <w:rtl/>
        </w:rPr>
      </w:pPr>
      <w:r>
        <w:rPr>
          <w:rFonts w:hint="cs"/>
          <w:rtl/>
        </w:rPr>
        <w:t xml:space="preserve">לצורך ביצוע בדיקת ההיתכנות </w:t>
      </w:r>
      <w:r w:rsidRPr="000405D3">
        <w:rPr>
          <w:rStyle w:val="aff"/>
          <w:rFonts w:hint="cs"/>
          <w:i w:val="0"/>
          <w:iCs w:val="0"/>
          <w:rtl/>
        </w:rPr>
        <w:t>המשטרה</w:t>
      </w:r>
      <w:r>
        <w:rPr>
          <w:rFonts w:hint="cs"/>
          <w:rtl/>
        </w:rPr>
        <w:t xml:space="preserve"> </w:t>
      </w:r>
      <w:r w:rsidR="0028774D">
        <w:rPr>
          <w:rFonts w:hint="cs"/>
          <w:rtl/>
        </w:rPr>
        <w:t>מ</w:t>
      </w:r>
      <w:r w:rsidR="000405D3">
        <w:rPr>
          <w:rFonts w:hint="cs"/>
          <w:rtl/>
        </w:rPr>
        <w:t xml:space="preserve">בצעת </w:t>
      </w:r>
      <w:r w:rsidR="003B49F5">
        <w:rPr>
          <w:rFonts w:hint="cs"/>
          <w:rtl/>
        </w:rPr>
        <w:t>שש</w:t>
      </w:r>
      <w:r w:rsidR="000405D3">
        <w:rPr>
          <w:rFonts w:hint="cs"/>
          <w:rtl/>
        </w:rPr>
        <w:t xml:space="preserve"> פעולות שונות</w:t>
      </w:r>
      <w:r w:rsidR="001738B4">
        <w:rPr>
          <w:rFonts w:hint="cs"/>
          <w:rtl/>
        </w:rPr>
        <w:t>:</w:t>
      </w:r>
      <w:r w:rsidR="0036359E">
        <w:rPr>
          <w:rFonts w:hint="cs"/>
          <w:rtl/>
        </w:rPr>
        <w:t xml:space="preserve"> </w:t>
      </w:r>
      <w:r w:rsidR="001738B4">
        <w:rPr>
          <w:rFonts w:hint="cs"/>
          <w:rtl/>
        </w:rPr>
        <w:t>שתי</w:t>
      </w:r>
      <w:r w:rsidR="00230136">
        <w:rPr>
          <w:rFonts w:hint="cs"/>
          <w:rtl/>
        </w:rPr>
        <w:t xml:space="preserve"> פעולות מתבססות על סמכויות המשטרה לפי פקודת המשטרה; </w:t>
      </w:r>
      <w:r w:rsidR="001738B4">
        <w:rPr>
          <w:rFonts w:hint="cs"/>
          <w:rtl/>
        </w:rPr>
        <w:t>שתי</w:t>
      </w:r>
      <w:r w:rsidR="00230136">
        <w:rPr>
          <w:rFonts w:hint="cs"/>
          <w:rtl/>
        </w:rPr>
        <w:t xml:space="preserve"> </w:t>
      </w:r>
      <w:r w:rsidR="00F048B3">
        <w:rPr>
          <w:rFonts w:hint="cs"/>
          <w:rtl/>
        </w:rPr>
        <w:t>פעולות מבוצעות</w:t>
      </w:r>
      <w:r w:rsidR="00230136">
        <w:rPr>
          <w:rFonts w:hint="cs"/>
          <w:rtl/>
        </w:rPr>
        <w:t xml:space="preserve"> מכוח חוק נתוני תקשורת</w:t>
      </w:r>
      <w:r w:rsidR="001738B4">
        <w:rPr>
          <w:rFonts w:hint="cs"/>
          <w:rtl/>
        </w:rPr>
        <w:t>;</w:t>
      </w:r>
      <w:r w:rsidR="000405D3">
        <w:rPr>
          <w:rFonts w:hint="cs"/>
          <w:rtl/>
        </w:rPr>
        <w:t xml:space="preserve"> </w:t>
      </w:r>
      <w:bookmarkStart w:id="236" w:name="_Hlk186537806"/>
      <w:r w:rsidR="000405D3">
        <w:rPr>
          <w:rFonts w:hint="cs"/>
          <w:rtl/>
        </w:rPr>
        <w:t>ו</w:t>
      </w:r>
      <w:r w:rsidR="001738B4">
        <w:rPr>
          <w:rFonts w:hint="cs"/>
          <w:rtl/>
        </w:rPr>
        <w:t>שתי</w:t>
      </w:r>
      <w:r w:rsidR="009767BB">
        <w:rPr>
          <w:rFonts w:hint="cs"/>
          <w:rtl/>
        </w:rPr>
        <w:t xml:space="preserve"> פעולות נוספות דורשות שימוש </w:t>
      </w:r>
      <w:r>
        <w:rPr>
          <w:rFonts w:hint="cs"/>
          <w:rtl/>
        </w:rPr>
        <w:t xml:space="preserve">בכלי מבצעי ובמתווה </w:t>
      </w:r>
      <w:r w:rsidR="00062A25">
        <w:rPr>
          <w:rFonts w:hint="cs"/>
          <w:rtl/>
        </w:rPr>
        <w:t>התקנה</w:t>
      </w:r>
      <w:r>
        <w:rPr>
          <w:rFonts w:hint="cs"/>
          <w:rtl/>
        </w:rPr>
        <w:t xml:space="preserve">, המחייב את המכשיר הנבדק לשלוח לכלי המבצעי פלט נתונים הנוגעים למכשיר. </w:t>
      </w:r>
      <w:r w:rsidR="00F677E3">
        <w:rPr>
          <w:rFonts w:hint="cs"/>
          <w:rtl/>
        </w:rPr>
        <w:t xml:space="preserve">כלומר, </w:t>
      </w:r>
      <w:r w:rsidR="001738B4">
        <w:rPr>
          <w:rFonts w:hint="cs"/>
          <w:rtl/>
        </w:rPr>
        <w:t xml:space="preserve">בשתי </w:t>
      </w:r>
      <w:r w:rsidR="00461691">
        <w:rPr>
          <w:rFonts w:hint="cs"/>
          <w:rtl/>
        </w:rPr>
        <w:t>ה</w:t>
      </w:r>
      <w:r w:rsidR="00F677E3">
        <w:rPr>
          <w:rFonts w:hint="cs"/>
          <w:rtl/>
        </w:rPr>
        <w:t>פעולות</w:t>
      </w:r>
      <w:r w:rsidR="001738B4">
        <w:rPr>
          <w:rFonts w:hint="cs"/>
          <w:rtl/>
        </w:rPr>
        <w:t xml:space="preserve"> האחרונות</w:t>
      </w:r>
      <w:r w:rsidR="00F677E3">
        <w:rPr>
          <w:rFonts w:hint="cs"/>
          <w:rtl/>
        </w:rPr>
        <w:t xml:space="preserve"> בדיקת </w:t>
      </w:r>
      <w:r w:rsidR="007628F6">
        <w:rPr>
          <w:rFonts w:hint="cs"/>
          <w:rtl/>
        </w:rPr>
        <w:t>ה</w:t>
      </w:r>
      <w:r w:rsidR="00F677E3">
        <w:rPr>
          <w:rFonts w:hint="cs"/>
          <w:rtl/>
        </w:rPr>
        <w:t xml:space="preserve">היתכנות כוללת תקשורת בין מחשבים </w:t>
      </w:r>
      <w:r w:rsidR="00C50C0C">
        <w:rPr>
          <w:rFonts w:hint="cs"/>
          <w:rtl/>
        </w:rPr>
        <w:t>-</w:t>
      </w:r>
      <w:r w:rsidR="00F677E3">
        <w:rPr>
          <w:rFonts w:hint="cs"/>
          <w:rtl/>
        </w:rPr>
        <w:t xml:space="preserve"> </w:t>
      </w:r>
      <w:r w:rsidR="00D7050C">
        <w:rPr>
          <w:rFonts w:hint="cs"/>
          <w:rtl/>
        </w:rPr>
        <w:t>מידע שהופק ב</w:t>
      </w:r>
      <w:r w:rsidR="00F677E3">
        <w:rPr>
          <w:rFonts w:hint="cs"/>
          <w:rtl/>
        </w:rPr>
        <w:t xml:space="preserve">שרתים מטעם המשטרה </w:t>
      </w:r>
      <w:r w:rsidR="00D7050C">
        <w:rPr>
          <w:rFonts w:hint="cs"/>
          <w:rtl/>
        </w:rPr>
        <w:t>נשלח למכשיר הקצה נמסר כקלט ובעקבותיו מופק מידע במכשיר הקצה הנשלח כפלט ממנו בחזרה לשרתים מטעם המשטרה ונקלט על ידם</w:t>
      </w:r>
      <w:r w:rsidR="00F677E3">
        <w:rPr>
          <w:rFonts w:hint="cs"/>
          <w:rtl/>
        </w:rPr>
        <w:t>.</w:t>
      </w:r>
      <w:r w:rsidR="00882F0A">
        <w:rPr>
          <w:rFonts w:hint="cs"/>
          <w:rtl/>
        </w:rPr>
        <w:t xml:space="preserve"> </w:t>
      </w:r>
    </w:p>
    <w:p w:rsidR="008E0D15" w:rsidRPr="008E0D15" w:rsidRDefault="008E0D15" w:rsidP="00240D52">
      <w:pPr>
        <w:pStyle w:val="a5"/>
        <w:spacing w:line="269" w:lineRule="auto"/>
        <w:ind w:left="0"/>
        <w:rPr>
          <w:rtl/>
        </w:rPr>
      </w:pPr>
    </w:p>
    <w:p w:rsidR="004118D1" w:rsidRDefault="00882F0A" w:rsidP="00240D52">
      <w:pPr>
        <w:spacing w:line="269" w:lineRule="auto"/>
        <w:ind w:left="340"/>
        <w:rPr>
          <w:rtl/>
        </w:rPr>
      </w:pPr>
      <w:r>
        <w:rPr>
          <w:rFonts w:hint="cs"/>
          <w:rtl/>
        </w:rPr>
        <w:t xml:space="preserve">יצוין כי </w:t>
      </w:r>
      <w:r w:rsidR="008E0D15">
        <w:rPr>
          <w:rFonts w:hint="cs"/>
          <w:rtl/>
        </w:rPr>
        <w:t>ניתוח סוגי הפעולות ואיתור מאפייני פעולתן מבוסס על מסמכי המשטרה, ובין היתר מסמכים שמקורם בספקי הכלים הטכנולוגיים החל בשנת 2015</w:t>
      </w:r>
      <w:r w:rsidR="008E02A3">
        <w:rPr>
          <w:rFonts w:hint="cs"/>
          <w:rtl/>
        </w:rPr>
        <w:t xml:space="preserve"> </w:t>
      </w:r>
      <w:r w:rsidR="005A613E" w:rsidRPr="005A613E">
        <w:rPr>
          <w:rFonts w:hint="cs"/>
          <w:rtl/>
        </w:rPr>
        <w:t>ונהלים</w:t>
      </w:r>
      <w:r w:rsidR="005A613E">
        <w:rPr>
          <w:rFonts w:hint="cs"/>
          <w:rtl/>
        </w:rPr>
        <w:t>.</w:t>
      </w:r>
      <w:r w:rsidR="00382AE8">
        <w:rPr>
          <w:rFonts w:hint="cs"/>
          <w:rtl/>
        </w:rPr>
        <w:t xml:space="preserve"> </w:t>
      </w:r>
    </w:p>
    <w:p w:rsidR="004118D1" w:rsidRDefault="004118D1" w:rsidP="00240D52">
      <w:pPr>
        <w:pStyle w:val="a5"/>
        <w:spacing w:line="269" w:lineRule="auto"/>
        <w:ind w:left="0"/>
        <w:rPr>
          <w:rtl/>
        </w:rPr>
      </w:pPr>
    </w:p>
    <w:p w:rsidR="008868B6" w:rsidRPr="000B0D3F" w:rsidRDefault="009C7CF9" w:rsidP="00240D52">
      <w:pPr>
        <w:spacing w:line="269" w:lineRule="auto"/>
        <w:ind w:left="340"/>
        <w:rPr>
          <w:rtl/>
        </w:rPr>
      </w:pPr>
      <w:r w:rsidRPr="00DA1A13">
        <w:rPr>
          <w:rFonts w:hint="eastAsia"/>
          <w:rtl/>
        </w:rPr>
        <w:t>יוצא</w:t>
      </w:r>
      <w:r w:rsidRPr="00DA1A13">
        <w:rPr>
          <w:rtl/>
        </w:rPr>
        <w:t xml:space="preserve"> </w:t>
      </w:r>
      <w:r w:rsidRPr="00DA1A13">
        <w:rPr>
          <w:rFonts w:hint="eastAsia"/>
          <w:rtl/>
        </w:rPr>
        <w:t>אפוא</w:t>
      </w:r>
      <w:r w:rsidRPr="00DA1A13">
        <w:rPr>
          <w:rtl/>
        </w:rPr>
        <w:t xml:space="preserve"> </w:t>
      </w:r>
      <w:r w:rsidRPr="00DA1A13">
        <w:rPr>
          <w:rFonts w:hint="eastAsia"/>
          <w:rtl/>
        </w:rPr>
        <w:t>כי</w:t>
      </w:r>
      <w:r w:rsidRPr="00DA1A13">
        <w:rPr>
          <w:rtl/>
        </w:rPr>
        <w:t xml:space="preserve"> </w:t>
      </w:r>
      <w:r w:rsidRPr="00DA1A13">
        <w:rPr>
          <w:rFonts w:hint="eastAsia"/>
          <w:rtl/>
        </w:rPr>
        <w:t>שתי</w:t>
      </w:r>
      <w:r w:rsidRPr="00DA1A13">
        <w:rPr>
          <w:rtl/>
        </w:rPr>
        <w:t xml:space="preserve"> </w:t>
      </w:r>
      <w:r w:rsidRPr="00DA1A13">
        <w:rPr>
          <w:rFonts w:hint="eastAsia"/>
          <w:rtl/>
        </w:rPr>
        <w:t>פעולות</w:t>
      </w:r>
      <w:r w:rsidRPr="00DA1A13">
        <w:rPr>
          <w:rtl/>
        </w:rPr>
        <w:t xml:space="preserve"> </w:t>
      </w:r>
      <w:r w:rsidRPr="00DA1A13">
        <w:rPr>
          <w:rFonts w:hint="eastAsia"/>
          <w:rtl/>
        </w:rPr>
        <w:t>של</w:t>
      </w:r>
      <w:r w:rsidRPr="00DA1A13">
        <w:rPr>
          <w:rtl/>
        </w:rPr>
        <w:t xml:space="preserve"> </w:t>
      </w:r>
      <w:r w:rsidRPr="00DA1A13">
        <w:rPr>
          <w:rFonts w:hint="eastAsia"/>
          <w:rtl/>
        </w:rPr>
        <w:t>בדיקת</w:t>
      </w:r>
      <w:r w:rsidRPr="00DA1A13">
        <w:rPr>
          <w:rtl/>
        </w:rPr>
        <w:t xml:space="preserve"> </w:t>
      </w:r>
      <w:r w:rsidRPr="00DA1A13">
        <w:rPr>
          <w:rFonts w:hint="eastAsia"/>
          <w:rtl/>
        </w:rPr>
        <w:t>היתכנות</w:t>
      </w:r>
      <w:r w:rsidRPr="00DA1A13">
        <w:rPr>
          <w:rtl/>
        </w:rPr>
        <w:t xml:space="preserve"> </w:t>
      </w:r>
      <w:r w:rsidRPr="00DA1A13">
        <w:rPr>
          <w:rFonts w:hint="eastAsia"/>
          <w:rtl/>
        </w:rPr>
        <w:t>דרשו</w:t>
      </w:r>
      <w:r w:rsidRPr="00DA1A13">
        <w:rPr>
          <w:rtl/>
        </w:rPr>
        <w:t xml:space="preserve"> החזקת צו האזנת סתר לתקשורת בין מחשבים</w:t>
      </w:r>
      <w:r w:rsidR="00937AFA" w:rsidRPr="00DA1A13">
        <w:rPr>
          <w:rtl/>
        </w:rPr>
        <w:t>;</w:t>
      </w:r>
      <w:r w:rsidRPr="00DA1A13">
        <w:rPr>
          <w:rtl/>
        </w:rPr>
        <w:t xml:space="preserve"> </w:t>
      </w:r>
      <w:r w:rsidRPr="00DA1A13">
        <w:rPr>
          <w:rFonts w:hint="eastAsia"/>
          <w:rtl/>
        </w:rPr>
        <w:t>פעולה</w:t>
      </w:r>
      <w:r w:rsidRPr="00DA1A13">
        <w:rPr>
          <w:rtl/>
        </w:rPr>
        <w:t xml:space="preserve"> </w:t>
      </w:r>
      <w:r w:rsidRPr="00DA1A13">
        <w:rPr>
          <w:rFonts w:hint="eastAsia"/>
          <w:rtl/>
        </w:rPr>
        <w:t>אחת</w:t>
      </w:r>
      <w:r w:rsidRPr="00DA1A13">
        <w:rPr>
          <w:rtl/>
        </w:rPr>
        <w:t xml:space="preserve"> ד</w:t>
      </w:r>
      <w:r w:rsidRPr="00DA1A13">
        <w:rPr>
          <w:rFonts w:hint="eastAsia"/>
          <w:rtl/>
        </w:rPr>
        <w:t>רש</w:t>
      </w:r>
      <w:r w:rsidR="004118D1" w:rsidRPr="00DA1A13">
        <w:rPr>
          <w:rFonts w:hint="eastAsia"/>
          <w:rtl/>
        </w:rPr>
        <w:t>ה</w:t>
      </w:r>
      <w:r w:rsidRPr="00DA1A13">
        <w:rPr>
          <w:rtl/>
        </w:rPr>
        <w:t xml:space="preserve"> החזקת צו נתוני תקשורת בכל מצב</w:t>
      </w:r>
      <w:r w:rsidR="00937AFA" w:rsidRPr="00DA1A13">
        <w:rPr>
          <w:rtl/>
        </w:rPr>
        <w:t>;</w:t>
      </w:r>
      <w:r w:rsidRPr="00DA1A13">
        <w:rPr>
          <w:rtl/>
        </w:rPr>
        <w:t xml:space="preserve"> ופעולה אחת ד</w:t>
      </w:r>
      <w:r w:rsidRPr="00DA1A13">
        <w:rPr>
          <w:rFonts w:hint="eastAsia"/>
          <w:rtl/>
        </w:rPr>
        <w:t>רש</w:t>
      </w:r>
      <w:r w:rsidR="004118D1" w:rsidRPr="00DA1A13">
        <w:rPr>
          <w:rFonts w:hint="eastAsia"/>
          <w:rtl/>
        </w:rPr>
        <w:t>ה</w:t>
      </w:r>
      <w:r w:rsidRPr="00DA1A13">
        <w:rPr>
          <w:rtl/>
        </w:rPr>
        <w:t xml:space="preserve"> החזקת צו נתוני תקשורת במקרים מסוימים בהתאם לטיב הפעולה</w:t>
      </w:r>
      <w:r w:rsidRPr="000B0D3F">
        <w:rPr>
          <w:rtl/>
        </w:rPr>
        <w:t>.</w:t>
      </w:r>
      <w:r w:rsidR="00762FA9">
        <w:rPr>
          <w:rFonts w:hint="cs"/>
          <w:rtl/>
        </w:rPr>
        <w:t xml:space="preserve"> </w:t>
      </w:r>
      <w:bookmarkEnd w:id="236"/>
      <w:r w:rsidR="001C5C02">
        <w:rPr>
          <w:rFonts w:hint="cs"/>
          <w:rtl/>
        </w:rPr>
        <w:t>להלן התייחסות המשטרה לפעולות אלו:</w:t>
      </w:r>
    </w:p>
    <w:p w:rsidR="00CD43C4" w:rsidRPr="00CD43C4" w:rsidRDefault="00382AE8" w:rsidP="00604C3D">
      <w:pPr>
        <w:pStyle w:val="a5"/>
        <w:spacing w:line="269" w:lineRule="auto"/>
        <w:rPr>
          <w:rtl/>
        </w:rPr>
      </w:pPr>
      <w:r>
        <w:rPr>
          <w:rFonts w:hint="cs"/>
          <w:rtl/>
        </w:rPr>
        <w:t xml:space="preserve"> </w:t>
      </w:r>
    </w:p>
    <w:p w:rsidR="00CD43C4" w:rsidRPr="00CD43C4" w:rsidRDefault="003A0EF5" w:rsidP="008C598D">
      <w:pPr>
        <w:pStyle w:val="af2"/>
        <w:numPr>
          <w:ilvl w:val="2"/>
          <w:numId w:val="47"/>
        </w:numPr>
        <w:spacing w:line="269" w:lineRule="auto"/>
        <w:ind w:left="707"/>
        <w:rPr>
          <w:rtl/>
        </w:rPr>
      </w:pPr>
      <w:r>
        <w:rPr>
          <w:rFonts w:hint="cs"/>
          <w:rtl/>
        </w:rPr>
        <w:t>בנוגע לשתי הפעולות הדורשות החזקת צו האזנת סתר לתקשורת בין מחשבים:</w:t>
      </w:r>
      <w:r>
        <w:rPr>
          <w:rFonts w:hint="cs"/>
        </w:rPr>
        <w:t xml:space="preserve"> </w:t>
      </w:r>
      <w:r w:rsidR="00CD43C4" w:rsidRPr="00CD43C4">
        <w:rPr>
          <w:rFonts w:hint="cs"/>
          <w:rtl/>
        </w:rPr>
        <w:t xml:space="preserve">לאחר פניית מבקר המדינה בנושא </w:t>
      </w:r>
      <w:r w:rsidR="00EF62F4">
        <w:rPr>
          <w:rFonts w:hint="cs"/>
          <w:rtl/>
        </w:rPr>
        <w:t xml:space="preserve">מסרה </w:t>
      </w:r>
      <w:r w:rsidR="00CD43C4" w:rsidRPr="00CD43C4">
        <w:rPr>
          <w:rFonts w:hint="cs"/>
          <w:rtl/>
        </w:rPr>
        <w:t xml:space="preserve">המשטרה כי </w:t>
      </w:r>
      <w:bookmarkStart w:id="237" w:name="_Hlk190699629"/>
      <w:r w:rsidR="00CD43C4" w:rsidRPr="00CD43C4">
        <w:rPr>
          <w:rFonts w:hint="cs"/>
          <w:rtl/>
        </w:rPr>
        <w:t xml:space="preserve">בשנת 2021 היא הפסיקה לבצע את אחת הפעולות לביצוע בדיקת היתכנות שדרשה שימוש בכלי טכנולוגי </w:t>
      </w:r>
      <w:r w:rsidR="00145078">
        <w:rPr>
          <w:rFonts w:hint="cs"/>
          <w:rtl/>
        </w:rPr>
        <w:t>שכן אותו כלי הגיע ל</w:t>
      </w:r>
      <w:r w:rsidR="004118D1">
        <w:rPr>
          <w:rFonts w:hint="cs"/>
          <w:rtl/>
        </w:rPr>
        <w:t xml:space="preserve">תום </w:t>
      </w:r>
      <w:r w:rsidR="00145078">
        <w:rPr>
          <w:rFonts w:hint="cs"/>
          <w:rtl/>
        </w:rPr>
        <w:t>חייו הטכנולוגיים</w:t>
      </w:r>
      <w:r w:rsidR="00CA1B5C">
        <w:rPr>
          <w:rFonts w:hint="cs"/>
          <w:rtl/>
        </w:rPr>
        <w:t>.</w:t>
      </w:r>
      <w:r w:rsidR="00CD43C4" w:rsidRPr="00CD43C4">
        <w:rPr>
          <w:rFonts w:hint="cs"/>
          <w:rtl/>
        </w:rPr>
        <w:t xml:space="preserve"> </w:t>
      </w:r>
      <w:r w:rsidR="002C1A4F">
        <w:rPr>
          <w:rFonts w:hint="cs"/>
          <w:rtl/>
        </w:rPr>
        <w:t xml:space="preserve">עוד היא מסרה כי בדיעבד </w:t>
      </w:r>
      <w:r w:rsidR="004E37DD">
        <w:rPr>
          <w:rFonts w:hint="cs"/>
          <w:rtl/>
        </w:rPr>
        <w:t>נ</w:t>
      </w:r>
      <w:r w:rsidR="00CD43C4" w:rsidRPr="00CD43C4">
        <w:rPr>
          <w:rFonts w:hint="cs"/>
          <w:rtl/>
        </w:rPr>
        <w:t xml:space="preserve">מצא כי </w:t>
      </w:r>
      <w:r w:rsidR="002C1A4F">
        <w:rPr>
          <w:rFonts w:hint="cs"/>
          <w:rtl/>
        </w:rPr>
        <w:t xml:space="preserve">הפעולה האמורה </w:t>
      </w:r>
      <w:r w:rsidR="00CD43C4" w:rsidRPr="00CD43C4">
        <w:rPr>
          <w:rFonts w:hint="cs"/>
          <w:rtl/>
        </w:rPr>
        <w:t xml:space="preserve">מקיימת שיחה כמשמעותה בחוק האזנת סתר ולכן זו חייבה הוצאת צו שיפוטי בטרם ביצועה. </w:t>
      </w:r>
      <w:bookmarkEnd w:id="237"/>
      <w:r w:rsidR="002C1A4F">
        <w:rPr>
          <w:rFonts w:hint="cs"/>
          <w:rtl/>
        </w:rPr>
        <w:t>עוד ה</w:t>
      </w:r>
      <w:r w:rsidR="002C1A4F" w:rsidRPr="002C1A4F">
        <w:rPr>
          <w:rtl/>
        </w:rPr>
        <w:t>תברר</w:t>
      </w:r>
      <w:r w:rsidR="002C1A4F">
        <w:rPr>
          <w:rFonts w:hint="cs"/>
          <w:rtl/>
        </w:rPr>
        <w:t xml:space="preserve"> על ידה</w:t>
      </w:r>
      <w:r w:rsidR="002C1A4F" w:rsidRPr="002C1A4F">
        <w:rPr>
          <w:rtl/>
        </w:rPr>
        <w:t xml:space="preserve"> כי צווים כאלה הוצאו רק בחלק מהתקופה בה </w:t>
      </w:r>
      <w:r w:rsidR="002C1A4F">
        <w:rPr>
          <w:rFonts w:hint="cs"/>
          <w:rtl/>
        </w:rPr>
        <w:t>בוצעה פעולה</w:t>
      </w:r>
      <w:r w:rsidR="002C1A4F" w:rsidRPr="002C1A4F">
        <w:rPr>
          <w:rtl/>
        </w:rPr>
        <w:t xml:space="preserve"> זו</w:t>
      </w:r>
      <w:r w:rsidR="00764D09">
        <w:rPr>
          <w:rFonts w:hint="cs"/>
          <w:rtl/>
        </w:rPr>
        <w:t>,</w:t>
      </w:r>
      <w:r w:rsidR="002C1A4F" w:rsidRPr="002C1A4F">
        <w:rPr>
          <w:rtl/>
        </w:rPr>
        <w:t xml:space="preserve"> </w:t>
      </w:r>
      <w:r w:rsidR="00764D09">
        <w:rPr>
          <w:rFonts w:hint="cs"/>
          <w:rtl/>
        </w:rPr>
        <w:t>ו</w:t>
      </w:r>
      <w:r w:rsidR="002C1A4F" w:rsidRPr="002C1A4F">
        <w:rPr>
          <w:rtl/>
        </w:rPr>
        <w:t>נכון ל</w:t>
      </w:r>
      <w:r w:rsidR="002C1A4F">
        <w:rPr>
          <w:rFonts w:hint="cs"/>
          <w:rtl/>
        </w:rPr>
        <w:t>מסירת תשובתה, ביוני 2024,</w:t>
      </w:r>
      <w:r w:rsidR="002C1A4F" w:rsidRPr="002C1A4F">
        <w:rPr>
          <w:rtl/>
        </w:rPr>
        <w:t xml:space="preserve"> לא ניתן לשחזר את התקופה בה התרחשו אירועים אלה. </w:t>
      </w:r>
      <w:r w:rsidR="00CD43C4" w:rsidRPr="00CD43C4">
        <w:rPr>
          <w:rFonts w:hint="cs"/>
          <w:rtl/>
        </w:rPr>
        <w:t xml:space="preserve">עוד מסרה כי לעמדתה, הפעולה הנוספת שדרשה שימוש בכלי טכנולוגי </w:t>
      </w:r>
      <w:r w:rsidR="00E77D2F">
        <w:rPr>
          <w:rFonts w:hint="cs"/>
          <w:rtl/>
        </w:rPr>
        <w:t>מתבצעת באמצעות פעולה שאינה מוגדרת כהאזנת סתר על פי חוק</w:t>
      </w:r>
      <w:r w:rsidR="00CD43C4" w:rsidRPr="00CD43C4">
        <w:rPr>
          <w:rFonts w:hint="cs"/>
          <w:rtl/>
        </w:rPr>
        <w:t xml:space="preserve">. </w:t>
      </w:r>
    </w:p>
    <w:p w:rsidR="00CD43C4" w:rsidRPr="00CD43C4" w:rsidRDefault="00CD43C4" w:rsidP="00240D52">
      <w:pPr>
        <w:pStyle w:val="a5"/>
        <w:spacing w:line="269" w:lineRule="auto"/>
        <w:ind w:left="0"/>
        <w:rPr>
          <w:rtl/>
        </w:rPr>
      </w:pPr>
    </w:p>
    <w:p w:rsidR="00CD43C4" w:rsidRDefault="00CD43C4" w:rsidP="00C70376">
      <w:pPr>
        <w:spacing w:line="269" w:lineRule="auto"/>
        <w:ind w:left="707"/>
        <w:rPr>
          <w:b/>
          <w:bCs/>
          <w:rtl/>
        </w:rPr>
      </w:pPr>
      <w:r w:rsidRPr="00CD43C4">
        <w:rPr>
          <w:rFonts w:hint="cs"/>
          <w:b/>
          <w:bCs/>
          <w:rtl/>
        </w:rPr>
        <w:t>משרד מבקר המדינה בחן את טענות המשטרה באשר לאי נחיצות הוצאת צו האזנת סתר לתקשורת בין מחשבים תוך שימוש בכלי טכנולוגי מסוים</w:t>
      </w:r>
      <w:r w:rsidR="007723BF">
        <w:rPr>
          <w:rFonts w:hint="cs"/>
          <w:b/>
          <w:bCs/>
          <w:rtl/>
        </w:rPr>
        <w:t xml:space="preserve"> </w:t>
      </w:r>
      <w:r w:rsidRPr="00CD43C4">
        <w:rPr>
          <w:rFonts w:hint="cs"/>
          <w:b/>
          <w:bCs/>
          <w:rtl/>
        </w:rPr>
        <w:t>ומצא כי בניגוד לעמדת המשטרה, פעול</w:t>
      </w:r>
      <w:r w:rsidR="0030023C">
        <w:rPr>
          <w:rFonts w:hint="cs"/>
          <w:b/>
          <w:bCs/>
          <w:rtl/>
        </w:rPr>
        <w:t>ה</w:t>
      </w:r>
      <w:r w:rsidRPr="00CD43C4">
        <w:rPr>
          <w:rFonts w:hint="cs"/>
          <w:b/>
          <w:bCs/>
          <w:rtl/>
        </w:rPr>
        <w:t xml:space="preserve"> </w:t>
      </w:r>
      <w:r w:rsidR="0030023C">
        <w:rPr>
          <w:rFonts w:hint="cs"/>
          <w:b/>
          <w:bCs/>
          <w:rtl/>
        </w:rPr>
        <w:t xml:space="preserve">זו </w:t>
      </w:r>
      <w:r w:rsidR="008E754A">
        <w:rPr>
          <w:rFonts w:hint="cs"/>
          <w:b/>
          <w:bCs/>
          <w:rtl/>
        </w:rPr>
        <w:t>קיימה</w:t>
      </w:r>
      <w:r w:rsidRPr="00CD43C4">
        <w:rPr>
          <w:rFonts w:hint="cs"/>
          <w:b/>
          <w:bCs/>
          <w:rtl/>
        </w:rPr>
        <w:t xml:space="preserve"> שיחה לפי חוק האזנת סתר</w:t>
      </w:r>
      <w:r w:rsidR="00FC32F0">
        <w:rPr>
          <w:rFonts w:hint="cs"/>
          <w:b/>
          <w:bCs/>
          <w:rtl/>
        </w:rPr>
        <w:t>.</w:t>
      </w:r>
      <w:r w:rsidR="00DA1A13">
        <w:rPr>
          <w:rFonts w:hint="cs"/>
          <w:b/>
          <w:bCs/>
          <w:rtl/>
        </w:rPr>
        <w:t xml:space="preserve"> לפיכך יש שתי פעולות בהן המשטרה נדרשה להחזיק</w:t>
      </w:r>
      <w:r w:rsidRPr="00CD43C4">
        <w:rPr>
          <w:rFonts w:hint="cs"/>
          <w:b/>
          <w:bCs/>
          <w:rtl/>
        </w:rPr>
        <w:t xml:space="preserve"> </w:t>
      </w:r>
      <w:r w:rsidR="00DA1A13">
        <w:rPr>
          <w:rFonts w:hint="cs"/>
          <w:b/>
          <w:bCs/>
          <w:rtl/>
        </w:rPr>
        <w:t>ב</w:t>
      </w:r>
      <w:r w:rsidRPr="00CD43C4">
        <w:rPr>
          <w:rFonts w:hint="cs"/>
          <w:b/>
          <w:bCs/>
          <w:rtl/>
        </w:rPr>
        <w:t xml:space="preserve">צו האזנת סתר לתקשורת בין מחשבים. </w:t>
      </w:r>
    </w:p>
    <w:p w:rsidR="007628F6" w:rsidRPr="006C3D0C" w:rsidRDefault="00382AE8" w:rsidP="00C70376">
      <w:pPr>
        <w:pStyle w:val="a5"/>
        <w:spacing w:line="269" w:lineRule="auto"/>
        <w:ind w:left="0"/>
        <w:rPr>
          <w:rtl/>
        </w:rPr>
      </w:pPr>
      <w:r>
        <w:rPr>
          <w:rFonts w:hint="cs"/>
          <w:rtl/>
        </w:rPr>
        <w:t xml:space="preserve"> </w:t>
      </w:r>
    </w:p>
    <w:p w:rsidR="009823F0" w:rsidRDefault="008E0D15" w:rsidP="00C70376">
      <w:pPr>
        <w:spacing w:line="269" w:lineRule="auto"/>
        <w:ind w:left="707"/>
        <w:rPr>
          <w:rtl/>
        </w:rPr>
      </w:pPr>
      <w:r w:rsidRPr="00EE48E0">
        <w:rPr>
          <w:rFonts w:hint="cs"/>
          <w:rtl/>
        </w:rPr>
        <w:t xml:space="preserve">המשטרה מסרה </w:t>
      </w:r>
      <w:r w:rsidR="009823F0" w:rsidRPr="00B53FEA">
        <w:rPr>
          <w:rFonts w:hint="cs"/>
          <w:rtl/>
        </w:rPr>
        <w:t xml:space="preserve">מסמך מספק של כלי טכנולוגי </w:t>
      </w:r>
      <w:r w:rsidR="00E367FA">
        <w:rPr>
          <w:rFonts w:hint="cs"/>
          <w:rtl/>
        </w:rPr>
        <w:t>שהוכן</w:t>
      </w:r>
      <w:r w:rsidR="009823F0" w:rsidRPr="00B53FEA">
        <w:rPr>
          <w:rFonts w:hint="cs"/>
          <w:rtl/>
        </w:rPr>
        <w:t xml:space="preserve"> בעקבות בקשת המשטרה בינואר 2025 </w:t>
      </w:r>
      <w:r w:rsidR="00E77D2F" w:rsidRPr="008A117B">
        <w:rPr>
          <w:rFonts w:hint="eastAsia"/>
          <w:rtl/>
        </w:rPr>
        <w:t>וממנו</w:t>
      </w:r>
      <w:r w:rsidR="00E77D2F" w:rsidRPr="008A117B">
        <w:rPr>
          <w:rtl/>
        </w:rPr>
        <w:t xml:space="preserve"> </w:t>
      </w:r>
      <w:r w:rsidR="00E77D2F" w:rsidRPr="008A117B">
        <w:rPr>
          <w:rFonts w:hint="eastAsia"/>
          <w:rtl/>
        </w:rPr>
        <w:t>עולה</w:t>
      </w:r>
      <w:r w:rsidR="009823F0" w:rsidRPr="00EE48E0">
        <w:rPr>
          <w:rFonts w:hint="cs"/>
          <w:rtl/>
        </w:rPr>
        <w:t xml:space="preserve"> </w:t>
      </w:r>
      <w:r w:rsidR="009823F0" w:rsidRPr="00B53FEA">
        <w:rPr>
          <w:rFonts w:hint="cs"/>
          <w:rtl/>
        </w:rPr>
        <w:t xml:space="preserve">הפעולה הנוספת שלא הופסקה מתבצעת </w:t>
      </w:r>
      <w:r w:rsidR="00E77D2F" w:rsidRPr="008A117B">
        <w:rPr>
          <w:rFonts w:hint="eastAsia"/>
          <w:rtl/>
        </w:rPr>
        <w:t>באמצעות</w:t>
      </w:r>
      <w:r w:rsidR="00E77D2F" w:rsidRPr="008A117B">
        <w:rPr>
          <w:rtl/>
        </w:rPr>
        <w:t xml:space="preserve"> </w:t>
      </w:r>
      <w:r w:rsidR="00E77D2F" w:rsidRPr="008A117B">
        <w:rPr>
          <w:rFonts w:hint="eastAsia"/>
          <w:rtl/>
        </w:rPr>
        <w:t>פעולה</w:t>
      </w:r>
      <w:r w:rsidR="00E77D2F" w:rsidRPr="008A117B">
        <w:rPr>
          <w:rtl/>
        </w:rPr>
        <w:t xml:space="preserve"> </w:t>
      </w:r>
      <w:r w:rsidR="00E77D2F" w:rsidRPr="008A117B">
        <w:rPr>
          <w:rFonts w:hint="eastAsia"/>
          <w:rtl/>
        </w:rPr>
        <w:t>שאינה</w:t>
      </w:r>
      <w:r w:rsidR="00E77D2F" w:rsidRPr="008A117B">
        <w:rPr>
          <w:rtl/>
        </w:rPr>
        <w:t xml:space="preserve"> </w:t>
      </w:r>
      <w:r w:rsidR="00E77D2F" w:rsidRPr="008A117B">
        <w:rPr>
          <w:rFonts w:hint="eastAsia"/>
          <w:rtl/>
        </w:rPr>
        <w:t>מוגדרת</w:t>
      </w:r>
      <w:r w:rsidR="00E77D2F" w:rsidRPr="008A117B">
        <w:rPr>
          <w:rtl/>
        </w:rPr>
        <w:t xml:space="preserve"> </w:t>
      </w:r>
      <w:r w:rsidR="00E77D2F" w:rsidRPr="008A117B">
        <w:rPr>
          <w:rFonts w:hint="eastAsia"/>
          <w:rtl/>
        </w:rPr>
        <w:t>כהאזנת</w:t>
      </w:r>
      <w:r w:rsidR="00E77D2F" w:rsidRPr="008A117B">
        <w:rPr>
          <w:rtl/>
        </w:rPr>
        <w:t xml:space="preserve"> </w:t>
      </w:r>
      <w:r w:rsidR="00E77D2F" w:rsidRPr="008A117B">
        <w:rPr>
          <w:rFonts w:hint="eastAsia"/>
          <w:rtl/>
        </w:rPr>
        <w:t>סתר</w:t>
      </w:r>
      <w:r w:rsidR="00E77D2F" w:rsidRPr="008A117B">
        <w:rPr>
          <w:rtl/>
        </w:rPr>
        <w:t xml:space="preserve"> </w:t>
      </w:r>
      <w:r w:rsidR="00E77D2F" w:rsidRPr="008A117B">
        <w:rPr>
          <w:rFonts w:hint="eastAsia"/>
          <w:rtl/>
        </w:rPr>
        <w:t>על</w:t>
      </w:r>
      <w:r w:rsidR="00E77D2F" w:rsidRPr="008A117B">
        <w:rPr>
          <w:rtl/>
        </w:rPr>
        <w:t xml:space="preserve"> </w:t>
      </w:r>
      <w:r w:rsidR="00E77D2F" w:rsidRPr="008A117B">
        <w:rPr>
          <w:rFonts w:hint="eastAsia"/>
          <w:rtl/>
        </w:rPr>
        <w:t>פי</w:t>
      </w:r>
      <w:r w:rsidR="00E77D2F" w:rsidRPr="008A117B">
        <w:rPr>
          <w:rtl/>
        </w:rPr>
        <w:t xml:space="preserve"> </w:t>
      </w:r>
      <w:r w:rsidR="00E77D2F" w:rsidRPr="008A117B">
        <w:rPr>
          <w:rFonts w:hint="eastAsia"/>
          <w:rtl/>
        </w:rPr>
        <w:t>חוק</w:t>
      </w:r>
      <w:r w:rsidR="009823F0" w:rsidRPr="00EE48E0">
        <w:rPr>
          <w:rFonts w:hint="cs"/>
          <w:rtl/>
        </w:rPr>
        <w:t>.</w:t>
      </w:r>
      <w:r w:rsidR="009823F0">
        <w:rPr>
          <w:rFonts w:hint="cs"/>
          <w:rtl/>
        </w:rPr>
        <w:t xml:space="preserve"> </w:t>
      </w:r>
    </w:p>
    <w:p w:rsidR="00AC7617" w:rsidRPr="006D6BDC" w:rsidRDefault="00AC7617" w:rsidP="00C70376">
      <w:pPr>
        <w:pStyle w:val="a5"/>
        <w:spacing w:line="269" w:lineRule="auto"/>
        <w:ind w:left="0"/>
        <w:rPr>
          <w:rtl/>
        </w:rPr>
      </w:pPr>
    </w:p>
    <w:p w:rsidR="009823F0" w:rsidRPr="00762FA9" w:rsidRDefault="009823F0" w:rsidP="00C70376">
      <w:pPr>
        <w:spacing w:line="269" w:lineRule="auto"/>
        <w:ind w:left="707"/>
        <w:rPr>
          <w:rtl/>
        </w:rPr>
      </w:pPr>
      <w:r>
        <w:rPr>
          <w:rFonts w:hint="cs"/>
          <w:rtl/>
        </w:rPr>
        <w:t xml:space="preserve">יצוין כי התייחסות הספק </w:t>
      </w:r>
      <w:r w:rsidR="00404667">
        <w:rPr>
          <w:rFonts w:hint="cs"/>
          <w:rtl/>
        </w:rPr>
        <w:t>לגבי</w:t>
      </w:r>
      <w:r>
        <w:rPr>
          <w:rFonts w:hint="cs"/>
          <w:rtl/>
        </w:rPr>
        <w:t xml:space="preserve"> הכלי הטכנולוגי </w:t>
      </w:r>
      <w:r w:rsidR="00404667">
        <w:rPr>
          <w:rFonts w:hint="cs"/>
          <w:rtl/>
        </w:rPr>
        <w:t>מינואר 2025 משקפת מצב דברים שונה מאשר מה שהיה נהוג בשנת 2015 כעולה ממסמכי החברה שהוחזקו על ידי המשטרה</w:t>
      </w:r>
      <w:r>
        <w:rPr>
          <w:rFonts w:hint="cs"/>
          <w:rtl/>
        </w:rPr>
        <w:t xml:space="preserve">. </w:t>
      </w:r>
    </w:p>
    <w:p w:rsidR="00CD43C4" w:rsidRPr="006C3D0C" w:rsidRDefault="00382AE8" w:rsidP="00604C3D">
      <w:pPr>
        <w:pStyle w:val="a5"/>
        <w:spacing w:line="269" w:lineRule="auto"/>
        <w:rPr>
          <w:rtl/>
        </w:rPr>
      </w:pPr>
      <w:r>
        <w:rPr>
          <w:rFonts w:hint="cs"/>
          <w:rtl/>
        </w:rPr>
        <w:t xml:space="preserve"> </w:t>
      </w:r>
    </w:p>
    <w:p w:rsidR="00882F0A" w:rsidRDefault="003A0EF5" w:rsidP="008C598D">
      <w:pPr>
        <w:pStyle w:val="af2"/>
        <w:numPr>
          <w:ilvl w:val="2"/>
          <w:numId w:val="47"/>
        </w:numPr>
        <w:spacing w:line="269" w:lineRule="auto"/>
        <w:ind w:left="707"/>
      </w:pPr>
      <w:r>
        <w:rPr>
          <w:rFonts w:hint="cs"/>
          <w:rtl/>
        </w:rPr>
        <w:t xml:space="preserve">בנוגע לשתי הפעולות הדורשות החזקת צו נתוני תקשורת: </w:t>
      </w:r>
      <w:r w:rsidR="00FA1E15">
        <w:rPr>
          <w:rFonts w:hint="cs"/>
          <w:rtl/>
        </w:rPr>
        <w:t xml:space="preserve">לאחר שיח </w:t>
      </w:r>
      <w:r w:rsidR="00921996">
        <w:rPr>
          <w:rFonts w:hint="cs"/>
          <w:rtl/>
        </w:rPr>
        <w:t>מול</w:t>
      </w:r>
      <w:r w:rsidR="00FA1E15">
        <w:rPr>
          <w:rFonts w:hint="cs"/>
          <w:rtl/>
        </w:rPr>
        <w:t xml:space="preserve"> צוות הביקורת </w:t>
      </w:r>
      <w:r w:rsidR="00921996">
        <w:rPr>
          <w:rFonts w:hint="cs"/>
          <w:rtl/>
        </w:rPr>
        <w:t>בדצמבר 2024</w:t>
      </w:r>
      <w:r w:rsidR="001302F8">
        <w:rPr>
          <w:rFonts w:hint="cs"/>
          <w:rtl/>
        </w:rPr>
        <w:t>,</w:t>
      </w:r>
      <w:r w:rsidR="00921996">
        <w:rPr>
          <w:rFonts w:hint="cs"/>
          <w:rtl/>
        </w:rPr>
        <w:t xml:space="preserve"> בפברואר</w:t>
      </w:r>
      <w:r w:rsidR="001302F8">
        <w:rPr>
          <w:rFonts w:hint="cs"/>
          <w:rtl/>
        </w:rPr>
        <w:t xml:space="preserve"> ובאפריל</w:t>
      </w:r>
      <w:r w:rsidR="00921996">
        <w:rPr>
          <w:rFonts w:hint="cs"/>
          <w:rtl/>
        </w:rPr>
        <w:t xml:space="preserve"> 2025</w:t>
      </w:r>
      <w:r w:rsidR="001302F8">
        <w:rPr>
          <w:rFonts w:hint="cs"/>
          <w:rtl/>
        </w:rPr>
        <w:t xml:space="preserve"> </w:t>
      </w:r>
      <w:r w:rsidR="00CD43C4" w:rsidRPr="00CD43C4">
        <w:rPr>
          <w:rFonts w:hint="cs"/>
          <w:rtl/>
        </w:rPr>
        <w:t>המשטרה</w:t>
      </w:r>
      <w:r w:rsidR="000C1D5A">
        <w:rPr>
          <w:rFonts w:hint="cs"/>
          <w:rtl/>
        </w:rPr>
        <w:t xml:space="preserve"> </w:t>
      </w:r>
      <w:r w:rsidR="00FA1E15">
        <w:rPr>
          <w:rFonts w:hint="cs"/>
          <w:rtl/>
        </w:rPr>
        <w:t>מסרה ש</w:t>
      </w:r>
      <w:r>
        <w:rPr>
          <w:rFonts w:hint="cs"/>
          <w:rtl/>
        </w:rPr>
        <w:t xml:space="preserve">היא מסכימה שנדרש להחזיק צו נתוני תקשורת ביחס </w:t>
      </w:r>
      <w:r w:rsidR="00FA1E15">
        <w:rPr>
          <w:rFonts w:hint="cs"/>
          <w:rtl/>
        </w:rPr>
        <w:t>לשתי הפעולות.</w:t>
      </w:r>
      <w:r w:rsidR="001302F8">
        <w:rPr>
          <w:rFonts w:hint="cs"/>
          <w:rtl/>
        </w:rPr>
        <w:t xml:space="preserve"> עוד היא מסרה כי יש מקרים בהם תידרש החזקה של צווים נוספים במקביל.</w:t>
      </w:r>
    </w:p>
    <w:p w:rsidR="00CD43C4" w:rsidRPr="00CD43C4" w:rsidRDefault="00382AE8" w:rsidP="00604C3D">
      <w:pPr>
        <w:pStyle w:val="a5"/>
        <w:spacing w:line="269" w:lineRule="auto"/>
        <w:rPr>
          <w:rtl/>
        </w:rPr>
      </w:pPr>
      <w:r>
        <w:rPr>
          <w:rFonts w:hint="cs"/>
          <w:rtl/>
        </w:rPr>
        <w:t xml:space="preserve"> </w:t>
      </w:r>
    </w:p>
    <w:p w:rsidR="00067190" w:rsidRPr="00EF0E6A" w:rsidRDefault="00CD43C4" w:rsidP="00C70376">
      <w:pPr>
        <w:spacing w:line="269" w:lineRule="auto"/>
        <w:ind w:left="707"/>
        <w:rPr>
          <w:rtl/>
        </w:rPr>
      </w:pPr>
      <w:r w:rsidRPr="00EF0E6A">
        <w:rPr>
          <w:rFonts w:hint="eastAsia"/>
          <w:b/>
          <w:bCs/>
          <w:rtl/>
        </w:rPr>
        <w:t>משרד</w:t>
      </w:r>
      <w:r w:rsidRPr="00EF0E6A">
        <w:rPr>
          <w:b/>
          <w:bCs/>
          <w:rtl/>
        </w:rPr>
        <w:t xml:space="preserve"> מבקר המדינה </w:t>
      </w:r>
      <w:r w:rsidR="008E02A3" w:rsidRPr="00EF0E6A">
        <w:rPr>
          <w:rFonts w:hint="eastAsia"/>
          <w:b/>
          <w:bCs/>
          <w:rtl/>
        </w:rPr>
        <w:t>מצא</w:t>
      </w:r>
      <w:r w:rsidR="008E02A3" w:rsidRPr="00EF0E6A">
        <w:rPr>
          <w:b/>
          <w:bCs/>
          <w:rtl/>
        </w:rPr>
        <w:t xml:space="preserve"> </w:t>
      </w:r>
      <w:r w:rsidR="00FA1E15" w:rsidRPr="00EF0E6A">
        <w:rPr>
          <w:rFonts w:hint="eastAsia"/>
          <w:b/>
          <w:bCs/>
          <w:rtl/>
        </w:rPr>
        <w:t>כי</w:t>
      </w:r>
      <w:r w:rsidR="00FA1E15" w:rsidRPr="00EF0E6A">
        <w:rPr>
          <w:b/>
          <w:bCs/>
          <w:rtl/>
        </w:rPr>
        <w:t xml:space="preserve"> המשטרה </w:t>
      </w:r>
      <w:r w:rsidR="002F6519" w:rsidRPr="00EF0E6A">
        <w:rPr>
          <w:rFonts w:hint="eastAsia"/>
          <w:b/>
          <w:bCs/>
          <w:rtl/>
        </w:rPr>
        <w:t>חייבת</w:t>
      </w:r>
      <w:r w:rsidR="002F6519" w:rsidRPr="00EF0E6A">
        <w:rPr>
          <w:b/>
          <w:bCs/>
          <w:rtl/>
        </w:rPr>
        <w:t xml:space="preserve"> </w:t>
      </w:r>
      <w:r w:rsidR="002F6519" w:rsidRPr="00EF0E6A">
        <w:rPr>
          <w:rFonts w:hint="eastAsia"/>
          <w:b/>
          <w:bCs/>
          <w:rtl/>
        </w:rPr>
        <w:t>להחזיק</w:t>
      </w:r>
      <w:r w:rsidR="002F6519" w:rsidRPr="00EF0E6A">
        <w:rPr>
          <w:b/>
          <w:bCs/>
          <w:rtl/>
        </w:rPr>
        <w:t xml:space="preserve"> </w:t>
      </w:r>
      <w:r w:rsidR="002F6519" w:rsidRPr="00EF0E6A">
        <w:rPr>
          <w:rFonts w:hint="eastAsia"/>
          <w:b/>
          <w:bCs/>
          <w:rtl/>
        </w:rPr>
        <w:t>מכוח</w:t>
      </w:r>
      <w:r w:rsidR="002F6519" w:rsidRPr="00EF0E6A">
        <w:rPr>
          <w:b/>
          <w:bCs/>
          <w:rtl/>
        </w:rPr>
        <w:t xml:space="preserve"> </w:t>
      </w:r>
      <w:r w:rsidR="002F6519" w:rsidRPr="00EF0E6A">
        <w:rPr>
          <w:rFonts w:hint="eastAsia"/>
          <w:b/>
          <w:bCs/>
          <w:rtl/>
        </w:rPr>
        <w:t>חוק</w:t>
      </w:r>
      <w:r w:rsidRPr="00EF0E6A">
        <w:rPr>
          <w:b/>
          <w:bCs/>
          <w:rtl/>
        </w:rPr>
        <w:t xml:space="preserve"> צו נתוני תקשורת בעת ביצוע </w:t>
      </w:r>
      <w:r w:rsidR="002F6519" w:rsidRPr="00EF0E6A">
        <w:rPr>
          <w:rFonts w:hint="eastAsia"/>
          <w:b/>
          <w:bCs/>
          <w:rtl/>
        </w:rPr>
        <w:t>שתי</w:t>
      </w:r>
      <w:r w:rsidR="002F6519" w:rsidRPr="00EF0E6A">
        <w:rPr>
          <w:b/>
          <w:bCs/>
          <w:rtl/>
        </w:rPr>
        <w:t xml:space="preserve"> </w:t>
      </w:r>
      <w:r w:rsidRPr="00EF0E6A">
        <w:rPr>
          <w:rFonts w:hint="eastAsia"/>
          <w:b/>
          <w:bCs/>
          <w:rtl/>
        </w:rPr>
        <w:t>פעולות</w:t>
      </w:r>
      <w:r w:rsidRPr="00EF0E6A">
        <w:rPr>
          <w:b/>
          <w:bCs/>
          <w:rtl/>
        </w:rPr>
        <w:t xml:space="preserve"> </w:t>
      </w:r>
      <w:r w:rsidR="002F6519" w:rsidRPr="00EF0E6A">
        <w:rPr>
          <w:rFonts w:hint="eastAsia"/>
          <w:b/>
          <w:bCs/>
          <w:rtl/>
        </w:rPr>
        <w:t>ב</w:t>
      </w:r>
      <w:r w:rsidR="000E5E47" w:rsidRPr="00EF0E6A">
        <w:rPr>
          <w:rFonts w:hint="eastAsia"/>
          <w:b/>
          <w:bCs/>
          <w:rtl/>
        </w:rPr>
        <w:t>מסגרת</w:t>
      </w:r>
      <w:r w:rsidR="000E5E47" w:rsidRPr="00EF0E6A">
        <w:rPr>
          <w:b/>
          <w:bCs/>
          <w:rtl/>
        </w:rPr>
        <w:t xml:space="preserve"> </w:t>
      </w:r>
      <w:r w:rsidR="002F6519" w:rsidRPr="00EF0E6A">
        <w:rPr>
          <w:rFonts w:hint="eastAsia"/>
          <w:b/>
          <w:bCs/>
          <w:rtl/>
        </w:rPr>
        <w:t>בדיקת</w:t>
      </w:r>
      <w:r w:rsidR="002F6519" w:rsidRPr="00EF0E6A">
        <w:rPr>
          <w:b/>
          <w:bCs/>
          <w:rtl/>
        </w:rPr>
        <w:t xml:space="preserve"> </w:t>
      </w:r>
      <w:r w:rsidR="000E5E47" w:rsidRPr="00EF0E6A">
        <w:rPr>
          <w:rFonts w:hint="eastAsia"/>
          <w:b/>
          <w:bCs/>
          <w:rtl/>
        </w:rPr>
        <w:t>ה</w:t>
      </w:r>
      <w:r w:rsidR="002F6519" w:rsidRPr="00EF0E6A">
        <w:rPr>
          <w:rFonts w:hint="eastAsia"/>
          <w:b/>
          <w:bCs/>
          <w:rtl/>
        </w:rPr>
        <w:t>היתכנות</w:t>
      </w:r>
      <w:r w:rsidR="001302F8" w:rsidRPr="00EF0E6A">
        <w:rPr>
          <w:b/>
          <w:bCs/>
          <w:rtl/>
        </w:rPr>
        <w:t>.</w:t>
      </w:r>
    </w:p>
    <w:p w:rsidR="002B0E02" w:rsidRDefault="002B0E02" w:rsidP="00604C3D">
      <w:pPr>
        <w:spacing w:line="269" w:lineRule="auto"/>
        <w:rPr>
          <w:rtl/>
        </w:rPr>
      </w:pPr>
    </w:p>
    <w:p w:rsidR="006D6BDC" w:rsidRDefault="000E5E47" w:rsidP="00240D52">
      <w:pPr>
        <w:spacing w:line="269" w:lineRule="auto"/>
        <w:ind w:left="340"/>
        <w:rPr>
          <w:rtl/>
        </w:rPr>
      </w:pPr>
      <w:r>
        <w:rPr>
          <w:rFonts w:hint="cs"/>
          <w:rtl/>
        </w:rPr>
        <w:t xml:space="preserve">בעקבות הממצאים האמורים </w:t>
      </w:r>
      <w:r w:rsidR="00882F0A">
        <w:rPr>
          <w:rFonts w:hint="cs"/>
          <w:rtl/>
        </w:rPr>
        <w:t>בדבר נחיצות החזק</w:t>
      </w:r>
      <w:r w:rsidR="00FC32F0">
        <w:rPr>
          <w:rFonts w:hint="cs"/>
          <w:rtl/>
        </w:rPr>
        <w:t>ה</w:t>
      </w:r>
      <w:r w:rsidR="00882F0A">
        <w:rPr>
          <w:rFonts w:hint="cs"/>
          <w:rtl/>
        </w:rPr>
        <w:t xml:space="preserve"> בצווים בעת ביצוע בדיקות היתכנות, </w:t>
      </w:r>
      <w:r w:rsidR="00065363">
        <w:rPr>
          <w:rFonts w:hint="cs"/>
          <w:rtl/>
        </w:rPr>
        <w:t xml:space="preserve">משרד </w:t>
      </w:r>
      <w:r w:rsidR="008868B6" w:rsidRPr="009A5A97">
        <w:rPr>
          <w:rFonts w:hint="cs"/>
          <w:rtl/>
        </w:rPr>
        <w:t xml:space="preserve">מבקר המדינה דגם </w:t>
      </w:r>
      <w:r w:rsidR="008868B6">
        <w:rPr>
          <w:rFonts w:hint="cs"/>
          <w:rtl/>
        </w:rPr>
        <w:t>31</w:t>
      </w:r>
      <w:r w:rsidR="008868B6" w:rsidRPr="009A5A97">
        <w:rPr>
          <w:rFonts w:hint="cs"/>
          <w:rtl/>
        </w:rPr>
        <w:t xml:space="preserve"> בדיקות היתכנות מתוך יומני המבצעים של המשטרה</w:t>
      </w:r>
      <w:r w:rsidR="000A748F">
        <w:rPr>
          <w:rFonts w:hint="cs"/>
          <w:rtl/>
        </w:rPr>
        <w:t xml:space="preserve">. </w:t>
      </w:r>
      <w:r w:rsidR="000A748F" w:rsidRPr="000A748F">
        <w:rPr>
          <w:rFonts w:hint="cs"/>
          <w:rtl/>
        </w:rPr>
        <w:t>בבדיקה נבחנו יומני המבצעים של המשטרה שהכ</w:t>
      </w:r>
      <w:r w:rsidR="0049609C">
        <w:rPr>
          <w:rFonts w:hint="cs"/>
          <w:rtl/>
        </w:rPr>
        <w:t>י</w:t>
      </w:r>
      <w:r w:rsidR="000A748F" w:rsidRPr="000A748F">
        <w:rPr>
          <w:rFonts w:hint="cs"/>
          <w:rtl/>
        </w:rPr>
        <w:t>נו המפעילים בזמן אמת</w:t>
      </w:r>
      <w:r w:rsidR="0049609C">
        <w:rPr>
          <w:rFonts w:hint="cs"/>
          <w:rtl/>
        </w:rPr>
        <w:t xml:space="preserve">. כמו כן, </w:t>
      </w:r>
      <w:r w:rsidR="000A748F" w:rsidRPr="000A748F">
        <w:rPr>
          <w:rFonts w:hint="cs"/>
          <w:rtl/>
        </w:rPr>
        <w:t xml:space="preserve">נבדקה המערכת לניהול צווים, ואותרו צווים שנוגעים במישרין למכשירי הקצה </w:t>
      </w:r>
      <w:r w:rsidR="00065363">
        <w:rPr>
          <w:rFonts w:hint="cs"/>
          <w:rtl/>
        </w:rPr>
        <w:t>ש</w:t>
      </w:r>
      <w:r w:rsidR="000A748F" w:rsidRPr="000A748F">
        <w:rPr>
          <w:rFonts w:hint="cs"/>
          <w:rtl/>
        </w:rPr>
        <w:t>עליהם בוצעו בדיקות היתכנות</w:t>
      </w:r>
      <w:r w:rsidR="00F677E3" w:rsidRPr="009A5A97">
        <w:rPr>
          <w:rStyle w:val="af"/>
          <w:rtl/>
        </w:rPr>
        <w:footnoteReference w:id="76"/>
      </w:r>
      <w:r w:rsidR="00F677E3" w:rsidRPr="009A5A97">
        <w:rPr>
          <w:rFonts w:hint="cs"/>
          <w:rtl/>
        </w:rPr>
        <w:t>.</w:t>
      </w:r>
      <w:r w:rsidR="00CD43C4">
        <w:rPr>
          <w:rFonts w:hint="cs"/>
          <w:rtl/>
        </w:rPr>
        <w:t xml:space="preserve"> </w:t>
      </w:r>
    </w:p>
    <w:p w:rsidR="006D6BDC" w:rsidRPr="006D6BDC" w:rsidRDefault="006D6BDC" w:rsidP="00240D52">
      <w:pPr>
        <w:pStyle w:val="a5"/>
        <w:spacing w:line="269" w:lineRule="auto"/>
        <w:ind w:left="0"/>
        <w:rPr>
          <w:rtl/>
        </w:rPr>
      </w:pPr>
    </w:p>
    <w:p w:rsidR="00574899" w:rsidRDefault="00574899" w:rsidP="00240D52">
      <w:pPr>
        <w:spacing w:line="269" w:lineRule="auto"/>
        <w:ind w:left="340"/>
        <w:rPr>
          <w:rtl/>
        </w:rPr>
      </w:pPr>
      <w:r>
        <w:rPr>
          <w:rFonts w:hint="cs"/>
          <w:rtl/>
        </w:rPr>
        <w:t xml:space="preserve">המשטרה </w:t>
      </w:r>
      <w:r w:rsidR="00287CDF">
        <w:rPr>
          <w:rFonts w:hint="cs"/>
          <w:rtl/>
        </w:rPr>
        <w:t xml:space="preserve">בתשובתה </w:t>
      </w:r>
      <w:r>
        <w:rPr>
          <w:rFonts w:hint="cs"/>
          <w:rtl/>
        </w:rPr>
        <w:t>העבירה התייחסות פרטנית לכל אחד מהמקרים</w:t>
      </w:r>
      <w:r w:rsidR="000A748F">
        <w:rPr>
          <w:rFonts w:hint="cs"/>
          <w:rtl/>
        </w:rPr>
        <w:t>, וציינה כי לעמדתה</w:t>
      </w:r>
      <w:r w:rsidR="000A748F" w:rsidRPr="000A748F">
        <w:rPr>
          <w:rFonts w:hint="cs"/>
          <w:rtl/>
        </w:rPr>
        <w:t xml:space="preserve"> </w:t>
      </w:r>
      <w:r w:rsidR="000A748F">
        <w:rPr>
          <w:rFonts w:hint="cs"/>
          <w:rtl/>
        </w:rPr>
        <w:t xml:space="preserve">לאחר בחינת 31 המקרים - </w:t>
      </w:r>
      <w:r w:rsidR="000A748F" w:rsidRPr="000A748F">
        <w:rPr>
          <w:rFonts w:hint="cs"/>
          <w:rtl/>
        </w:rPr>
        <w:t xml:space="preserve">רק במקרה אחד היא נדרשה להחזיק בצו האזנת סתר לתקשורת בין מחשבים. </w:t>
      </w:r>
      <w:r w:rsidR="00287CDF">
        <w:rPr>
          <w:rFonts w:hint="cs"/>
          <w:rtl/>
        </w:rPr>
        <w:t xml:space="preserve">משרד מבקר המדינה בחן את </w:t>
      </w:r>
      <w:r>
        <w:rPr>
          <w:rFonts w:hint="cs"/>
          <w:rtl/>
        </w:rPr>
        <w:t>טענות המשטרה</w:t>
      </w:r>
      <w:r w:rsidR="009D6AFD">
        <w:rPr>
          <w:rFonts w:hint="cs"/>
          <w:rtl/>
        </w:rPr>
        <w:t>.</w:t>
      </w:r>
      <w:r>
        <w:rPr>
          <w:rFonts w:hint="cs"/>
          <w:rtl/>
        </w:rPr>
        <w:t xml:space="preserve"> בין היתר</w:t>
      </w:r>
      <w:r w:rsidR="009D6AFD">
        <w:rPr>
          <w:rFonts w:hint="cs"/>
          <w:rtl/>
        </w:rPr>
        <w:t>, נמצא:</w:t>
      </w:r>
      <w:r w:rsidR="000A748F">
        <w:rPr>
          <w:rFonts w:hint="cs"/>
          <w:rtl/>
        </w:rPr>
        <w:t xml:space="preserve"> </w:t>
      </w:r>
      <w:r w:rsidR="00B12666">
        <w:rPr>
          <w:rFonts w:hint="cs"/>
          <w:rtl/>
        </w:rPr>
        <w:t>בשלושה מקרים</w:t>
      </w:r>
      <w:r w:rsidR="000A748F">
        <w:rPr>
          <w:rFonts w:hint="cs"/>
          <w:rtl/>
        </w:rPr>
        <w:t xml:space="preserve"> המשטרה טענה כי לא בוצעה </w:t>
      </w:r>
      <w:r>
        <w:rPr>
          <w:rFonts w:hint="cs"/>
          <w:rtl/>
        </w:rPr>
        <w:t>פעולה מסוימת</w:t>
      </w:r>
      <w:r w:rsidR="009D6AFD">
        <w:rPr>
          <w:rFonts w:hint="cs"/>
          <w:rtl/>
        </w:rPr>
        <w:t>,</w:t>
      </w:r>
      <w:r w:rsidR="00B12666">
        <w:rPr>
          <w:rFonts w:hint="cs"/>
          <w:rtl/>
        </w:rPr>
        <w:t xml:space="preserve"> </w:t>
      </w:r>
      <w:r w:rsidR="000A748F">
        <w:rPr>
          <w:rFonts w:hint="cs"/>
          <w:rtl/>
        </w:rPr>
        <w:t>אבל</w:t>
      </w:r>
      <w:r w:rsidR="00B12666">
        <w:rPr>
          <w:rFonts w:hint="cs"/>
          <w:rtl/>
        </w:rPr>
        <w:t>,</w:t>
      </w:r>
      <w:r w:rsidR="000A748F">
        <w:rPr>
          <w:rFonts w:hint="cs"/>
          <w:rtl/>
        </w:rPr>
        <w:t xml:space="preserve"> אין ביסוס לטענה זו</w:t>
      </w:r>
      <w:r w:rsidR="00B12666">
        <w:rPr>
          <w:rFonts w:hint="cs"/>
          <w:rtl/>
        </w:rPr>
        <w:t xml:space="preserve"> משום </w:t>
      </w:r>
      <w:r>
        <w:rPr>
          <w:rFonts w:hint="cs"/>
          <w:rtl/>
        </w:rPr>
        <w:t xml:space="preserve">שצוות הביקורת מצא במסמכי המשטרה כי </w:t>
      </w:r>
      <w:r w:rsidR="00B12666">
        <w:rPr>
          <w:rFonts w:hint="cs"/>
          <w:rtl/>
        </w:rPr>
        <w:t xml:space="preserve">במקרים אלו, </w:t>
      </w:r>
      <w:r>
        <w:rPr>
          <w:rFonts w:hint="cs"/>
          <w:rtl/>
        </w:rPr>
        <w:t>הפעולה נרשמה על ידי המפעיל בזמן אמת ביומני המבצעים</w:t>
      </w:r>
      <w:r w:rsidR="009D6AFD">
        <w:rPr>
          <w:rFonts w:hint="cs"/>
          <w:rtl/>
        </w:rPr>
        <w:t>; ב</w:t>
      </w:r>
      <w:r>
        <w:rPr>
          <w:rFonts w:hint="cs"/>
          <w:rtl/>
        </w:rPr>
        <w:t>מקרה</w:t>
      </w:r>
      <w:r w:rsidR="009D6AFD">
        <w:rPr>
          <w:rFonts w:hint="cs"/>
          <w:rtl/>
        </w:rPr>
        <w:t xml:space="preserve"> אחד נוסף</w:t>
      </w:r>
      <w:r w:rsidR="0049609C" w:rsidRPr="0049609C">
        <w:rPr>
          <w:rtl/>
        </w:rPr>
        <w:t xml:space="preserve"> לא פורטו ביומן המבצעים הפעולות שבוצעו במסגרת בדיקת ההיתכנות</w:t>
      </w:r>
      <w:r w:rsidR="0049609C">
        <w:rPr>
          <w:rFonts w:hint="cs"/>
          <w:rtl/>
        </w:rPr>
        <w:t xml:space="preserve">, </w:t>
      </w:r>
      <w:r w:rsidR="00B12666">
        <w:rPr>
          <w:rFonts w:hint="cs"/>
          <w:rtl/>
        </w:rPr>
        <w:t>ו</w:t>
      </w:r>
      <w:r w:rsidR="009D6AFD">
        <w:rPr>
          <w:rFonts w:hint="cs"/>
          <w:rtl/>
        </w:rPr>
        <w:t xml:space="preserve">גם </w:t>
      </w:r>
      <w:r w:rsidR="00B12666">
        <w:rPr>
          <w:rFonts w:hint="cs"/>
          <w:rtl/>
        </w:rPr>
        <w:t>המשטרה לא מצאה מידע בעניין זה</w:t>
      </w:r>
      <w:r w:rsidR="009D6AFD">
        <w:rPr>
          <w:rFonts w:hint="cs"/>
          <w:rtl/>
        </w:rPr>
        <w:t>.</w:t>
      </w:r>
      <w:r w:rsidR="00B12666">
        <w:rPr>
          <w:rFonts w:hint="cs"/>
          <w:rtl/>
        </w:rPr>
        <w:t xml:space="preserve"> </w:t>
      </w:r>
      <w:r w:rsidR="0049609C">
        <w:rPr>
          <w:rFonts w:hint="cs"/>
          <w:rtl/>
        </w:rPr>
        <w:t>לפיכך</w:t>
      </w:r>
      <w:r w:rsidR="00B12666">
        <w:rPr>
          <w:rFonts w:hint="cs"/>
          <w:rtl/>
        </w:rPr>
        <w:t xml:space="preserve">, </w:t>
      </w:r>
      <w:r w:rsidR="009D6AFD">
        <w:rPr>
          <w:rFonts w:hint="cs"/>
          <w:rtl/>
        </w:rPr>
        <w:t xml:space="preserve">משרד מבקר המדינה מצא כי לא ניתן לקבוע אילו פעולות בוצעו, אם </w:t>
      </w:r>
      <w:r w:rsidR="00B12666">
        <w:rPr>
          <w:rFonts w:hint="cs"/>
          <w:rtl/>
        </w:rPr>
        <w:t xml:space="preserve">נדרש היה להחזיק </w:t>
      </w:r>
      <w:r w:rsidR="009D6AFD">
        <w:rPr>
          <w:rFonts w:hint="cs"/>
          <w:rtl/>
        </w:rPr>
        <w:t xml:space="preserve">בצו </w:t>
      </w:r>
      <w:r w:rsidR="00B12666">
        <w:rPr>
          <w:rFonts w:hint="cs"/>
          <w:rtl/>
        </w:rPr>
        <w:t>בעת ביצוע הבדיקה</w:t>
      </w:r>
      <w:r w:rsidR="009D6AFD">
        <w:rPr>
          <w:rFonts w:hint="cs"/>
          <w:rtl/>
        </w:rPr>
        <w:t>, ו</w:t>
      </w:r>
      <w:r w:rsidR="0049609C">
        <w:rPr>
          <w:rFonts w:hint="cs"/>
          <w:rtl/>
        </w:rPr>
        <w:t xml:space="preserve">אם כן - </w:t>
      </w:r>
      <w:r w:rsidR="009D6AFD">
        <w:rPr>
          <w:rFonts w:hint="cs"/>
          <w:rtl/>
        </w:rPr>
        <w:t>מאיזה סוג</w:t>
      </w:r>
      <w:r w:rsidR="00B12666">
        <w:rPr>
          <w:rFonts w:hint="cs"/>
          <w:rtl/>
        </w:rPr>
        <w:t xml:space="preserve">. </w:t>
      </w:r>
    </w:p>
    <w:p w:rsidR="00B11846" w:rsidRPr="00B11846" w:rsidRDefault="00EF0E6A" w:rsidP="00240D52">
      <w:pPr>
        <w:pStyle w:val="a5"/>
        <w:spacing w:line="269" w:lineRule="auto"/>
        <w:ind w:left="0"/>
        <w:rPr>
          <w:rtl/>
        </w:rPr>
      </w:pPr>
      <w:r w:rsidDel="00EF0E6A">
        <w:rPr>
          <w:rtl/>
        </w:rPr>
        <w:t xml:space="preserve"> </w:t>
      </w:r>
    </w:p>
    <w:p w:rsidR="008868B6" w:rsidRDefault="008868B6" w:rsidP="00240D52">
      <w:pPr>
        <w:spacing w:line="269" w:lineRule="auto"/>
        <w:ind w:left="340"/>
        <w:rPr>
          <w:rtl/>
        </w:rPr>
      </w:pPr>
      <w:r w:rsidRPr="009A5A97">
        <w:rPr>
          <w:rFonts w:hint="cs"/>
          <w:rtl/>
        </w:rPr>
        <w:t xml:space="preserve">להלן </w:t>
      </w:r>
      <w:r>
        <w:rPr>
          <w:rFonts w:hint="cs"/>
          <w:rtl/>
        </w:rPr>
        <w:t xml:space="preserve">יוצג </w:t>
      </w:r>
      <w:r w:rsidRPr="009A5A97">
        <w:rPr>
          <w:rFonts w:hint="cs"/>
          <w:rtl/>
        </w:rPr>
        <w:t xml:space="preserve">פילוח של </w:t>
      </w:r>
      <w:r w:rsidR="00F87889">
        <w:rPr>
          <w:rFonts w:hint="cs"/>
          <w:rtl/>
        </w:rPr>
        <w:t xml:space="preserve">מקרים שבהם בוצעו </w:t>
      </w:r>
      <w:r w:rsidRPr="009A5A97">
        <w:rPr>
          <w:rFonts w:hint="cs"/>
          <w:rtl/>
        </w:rPr>
        <w:t xml:space="preserve">בדיקות ההיתכנות לפי </w:t>
      </w:r>
      <w:r>
        <w:rPr>
          <w:rFonts w:hint="cs"/>
          <w:rtl/>
        </w:rPr>
        <w:t xml:space="preserve">סוג </w:t>
      </w:r>
      <w:r w:rsidRPr="009A5A97">
        <w:rPr>
          <w:rFonts w:hint="cs"/>
          <w:rtl/>
        </w:rPr>
        <w:t xml:space="preserve">הצו </w:t>
      </w:r>
      <w:r>
        <w:rPr>
          <w:rFonts w:hint="cs"/>
          <w:rtl/>
        </w:rPr>
        <w:t>ש</w:t>
      </w:r>
      <w:r w:rsidRPr="009A5A97">
        <w:rPr>
          <w:rFonts w:hint="cs"/>
          <w:rtl/>
        </w:rPr>
        <w:t>בו החזיקה המשטרה בזמן ביצוע הבדיקה</w:t>
      </w:r>
      <w:r w:rsidR="009767BB">
        <w:rPr>
          <w:rFonts w:hint="cs"/>
          <w:rtl/>
        </w:rPr>
        <w:t xml:space="preserve"> ובהתאם לשאלה האם המשטרה נדרשה להחזיק צו באותה העת</w:t>
      </w:r>
      <w:r w:rsidRPr="009A5A97">
        <w:rPr>
          <w:rFonts w:hint="cs"/>
          <w:rtl/>
        </w:rPr>
        <w:t>:</w:t>
      </w:r>
    </w:p>
    <w:p w:rsidR="00FC1C27" w:rsidRDefault="00FC1C27" w:rsidP="00604C3D">
      <w:pPr>
        <w:bidi w:val="0"/>
        <w:spacing w:line="269" w:lineRule="auto"/>
        <w:rPr>
          <w:szCs w:val="20"/>
          <w:rtl/>
        </w:rPr>
      </w:pPr>
      <w:r>
        <w:rPr>
          <w:rtl/>
        </w:rPr>
        <w:br w:type="page"/>
      </w:r>
    </w:p>
    <w:p w:rsidR="008868B6" w:rsidRPr="00EC6334" w:rsidRDefault="00FD69D5" w:rsidP="00604C3D">
      <w:pPr>
        <w:spacing w:line="269" w:lineRule="auto"/>
        <w:ind w:left="720"/>
        <w:jc w:val="center"/>
        <w:rPr>
          <w:b/>
          <w:bCs/>
          <w:rtl/>
        </w:rPr>
      </w:pPr>
      <w:r>
        <w:rPr>
          <w:rFonts w:hint="cs"/>
          <w:rtl/>
        </w:rPr>
        <w:t>לוח</w:t>
      </w:r>
      <w:r w:rsidR="00866A55">
        <w:rPr>
          <w:rFonts w:hint="cs"/>
          <w:rtl/>
        </w:rPr>
        <w:t xml:space="preserve"> 2</w:t>
      </w:r>
      <w:r w:rsidR="008868B6">
        <w:rPr>
          <w:rFonts w:hint="cs"/>
          <w:rtl/>
        </w:rPr>
        <w:t xml:space="preserve">: </w:t>
      </w:r>
      <w:r w:rsidR="008868B6">
        <w:rPr>
          <w:rFonts w:hint="cs"/>
          <w:b/>
          <w:bCs/>
          <w:rtl/>
        </w:rPr>
        <w:t>מספר</w:t>
      </w:r>
      <w:r w:rsidR="00F87889">
        <w:rPr>
          <w:rFonts w:hint="cs"/>
          <w:b/>
          <w:bCs/>
          <w:rtl/>
        </w:rPr>
        <w:t xml:space="preserve"> </w:t>
      </w:r>
      <w:r w:rsidR="00EC2826">
        <w:rPr>
          <w:rFonts w:hint="cs"/>
          <w:b/>
          <w:bCs/>
          <w:rtl/>
        </w:rPr>
        <w:t>ה</w:t>
      </w:r>
      <w:r w:rsidR="00F87889">
        <w:rPr>
          <w:rFonts w:hint="cs"/>
          <w:b/>
          <w:bCs/>
          <w:rtl/>
        </w:rPr>
        <w:t>מקרים שבהם בוצעו</w:t>
      </w:r>
      <w:r w:rsidR="008868B6" w:rsidRPr="00EC6334">
        <w:rPr>
          <w:b/>
          <w:bCs/>
          <w:rtl/>
        </w:rPr>
        <w:t xml:space="preserve"> </w:t>
      </w:r>
      <w:r w:rsidR="008868B6" w:rsidRPr="00EC6334">
        <w:rPr>
          <w:rFonts w:hint="cs"/>
          <w:b/>
          <w:bCs/>
          <w:rtl/>
        </w:rPr>
        <w:t xml:space="preserve">בדיקות </w:t>
      </w:r>
      <w:r w:rsidR="008868B6">
        <w:rPr>
          <w:rFonts w:hint="cs"/>
          <w:b/>
          <w:bCs/>
          <w:rtl/>
        </w:rPr>
        <w:t>ה</w:t>
      </w:r>
      <w:r w:rsidR="008868B6" w:rsidRPr="00EC6334">
        <w:rPr>
          <w:rFonts w:hint="cs"/>
          <w:b/>
          <w:bCs/>
          <w:rtl/>
        </w:rPr>
        <w:t>היתכנות</w:t>
      </w:r>
      <w:r w:rsidR="008868B6" w:rsidRPr="00EC6334">
        <w:rPr>
          <w:b/>
          <w:bCs/>
          <w:rtl/>
        </w:rPr>
        <w:t xml:space="preserve"> </w:t>
      </w:r>
      <w:r w:rsidR="008868B6" w:rsidRPr="00EC6334">
        <w:rPr>
          <w:rFonts w:hint="cs"/>
          <w:b/>
          <w:bCs/>
          <w:rtl/>
        </w:rPr>
        <w:t>וסוג</w:t>
      </w:r>
      <w:r w:rsidR="008868B6">
        <w:rPr>
          <w:rFonts w:hint="cs"/>
          <w:b/>
          <w:bCs/>
          <w:rtl/>
        </w:rPr>
        <w:t>י</w:t>
      </w:r>
      <w:r w:rsidR="008868B6" w:rsidRPr="00EC6334">
        <w:rPr>
          <w:b/>
          <w:bCs/>
          <w:rtl/>
        </w:rPr>
        <w:t xml:space="preserve"> הצו</w:t>
      </w:r>
      <w:r w:rsidR="008868B6">
        <w:rPr>
          <w:rFonts w:hint="cs"/>
          <w:b/>
          <w:bCs/>
          <w:rtl/>
        </w:rPr>
        <w:t>וים</w:t>
      </w:r>
      <w:r w:rsidR="008868B6" w:rsidRPr="00EC6334">
        <w:rPr>
          <w:b/>
          <w:bCs/>
          <w:rtl/>
        </w:rPr>
        <w:t xml:space="preserve"> </w:t>
      </w:r>
      <w:r w:rsidR="008868B6">
        <w:rPr>
          <w:rFonts w:hint="cs"/>
          <w:b/>
          <w:bCs/>
          <w:rtl/>
        </w:rPr>
        <w:t>שבהם</w:t>
      </w:r>
      <w:r w:rsidR="008868B6" w:rsidRPr="00EC6334">
        <w:rPr>
          <w:rFonts w:hint="cs"/>
          <w:b/>
          <w:bCs/>
          <w:rtl/>
        </w:rPr>
        <w:t xml:space="preserve"> החזיקה המשטרה בעת הבדיקה</w:t>
      </w:r>
      <w:r w:rsidR="008868B6">
        <w:rPr>
          <w:rFonts w:hint="cs"/>
          <w:b/>
          <w:bCs/>
          <w:rtl/>
        </w:rPr>
        <w:t>, לפי דגימת משרד מבקר המדינה</w:t>
      </w:r>
    </w:p>
    <w:tbl>
      <w:tblPr>
        <w:tblStyle w:val="aff6"/>
        <w:bidiVisual/>
        <w:tblW w:w="7721" w:type="dxa"/>
        <w:jc w:val="center"/>
        <w:tblLook w:val="04A0" w:firstRow="1" w:lastRow="0" w:firstColumn="1" w:lastColumn="0" w:noHBand="0" w:noVBand="1"/>
      </w:tblPr>
      <w:tblGrid>
        <w:gridCol w:w="2934"/>
        <w:gridCol w:w="2719"/>
        <w:gridCol w:w="2068"/>
      </w:tblGrid>
      <w:tr w:rsidR="00B810B1" w:rsidRPr="00866A55" w:rsidTr="006C3D52">
        <w:trPr>
          <w:jc w:val="center"/>
        </w:trPr>
        <w:tc>
          <w:tcPr>
            <w:tcW w:w="2934" w:type="dxa"/>
            <w:tcBorders>
              <w:top w:val="single" w:sz="24" w:space="0" w:color="auto"/>
              <w:left w:val="single" w:sz="24" w:space="0" w:color="auto"/>
              <w:bottom w:val="single" w:sz="24" w:space="0" w:color="auto"/>
              <w:right w:val="single" w:sz="24" w:space="0" w:color="auto"/>
            </w:tcBorders>
          </w:tcPr>
          <w:p w:rsidR="00B810B1" w:rsidRPr="00866A55" w:rsidRDefault="006D6BDC" w:rsidP="00604C3D">
            <w:pPr>
              <w:spacing w:line="269" w:lineRule="auto"/>
              <w:jc w:val="center"/>
              <w:rPr>
                <w:b/>
                <w:bCs/>
                <w:sz w:val="22"/>
                <w:szCs w:val="22"/>
                <w:rtl/>
              </w:rPr>
            </w:pPr>
            <w:bookmarkStart w:id="238" w:name="_Hlk187819561"/>
            <w:r w:rsidRPr="00866A55">
              <w:rPr>
                <w:rFonts w:hint="cs"/>
                <w:b/>
                <w:bCs/>
                <w:sz w:val="22"/>
                <w:szCs w:val="22"/>
                <w:rtl/>
              </w:rPr>
              <w:t>סוג הצו הנדרש בהתאם לסוג הפעולה</w:t>
            </w:r>
          </w:p>
        </w:tc>
        <w:tc>
          <w:tcPr>
            <w:tcW w:w="2719" w:type="dxa"/>
            <w:tcBorders>
              <w:top w:val="single" w:sz="24" w:space="0" w:color="auto"/>
              <w:left w:val="single" w:sz="24" w:space="0" w:color="auto"/>
              <w:bottom w:val="single" w:sz="24" w:space="0" w:color="auto"/>
              <w:right w:val="single" w:sz="24" w:space="0" w:color="auto"/>
            </w:tcBorders>
          </w:tcPr>
          <w:p w:rsidR="00B810B1" w:rsidRPr="00866A55" w:rsidRDefault="00936613" w:rsidP="00604C3D">
            <w:pPr>
              <w:spacing w:line="269" w:lineRule="auto"/>
              <w:jc w:val="center"/>
              <w:rPr>
                <w:b/>
                <w:bCs/>
                <w:sz w:val="22"/>
                <w:szCs w:val="22"/>
                <w:rtl/>
              </w:rPr>
            </w:pPr>
            <w:r w:rsidRPr="00866A55">
              <w:rPr>
                <w:rFonts w:hint="cs"/>
                <w:b/>
                <w:bCs/>
                <w:sz w:val="22"/>
                <w:szCs w:val="22"/>
                <w:rtl/>
              </w:rPr>
              <w:t xml:space="preserve">סוג הצו </w:t>
            </w:r>
            <w:r w:rsidR="006C3D52">
              <w:rPr>
                <w:rFonts w:hint="cs"/>
                <w:b/>
                <w:bCs/>
                <w:sz w:val="22"/>
                <w:szCs w:val="22"/>
                <w:rtl/>
              </w:rPr>
              <w:t>ש</w:t>
            </w:r>
            <w:r w:rsidRPr="00866A55">
              <w:rPr>
                <w:rFonts w:hint="cs"/>
                <w:b/>
                <w:bCs/>
                <w:sz w:val="22"/>
                <w:szCs w:val="22"/>
                <w:rtl/>
              </w:rPr>
              <w:t>בו החזיקה המשטרה בעת ביצוע בדיקת ההיתכנות</w:t>
            </w:r>
          </w:p>
        </w:tc>
        <w:tc>
          <w:tcPr>
            <w:tcW w:w="2068" w:type="dxa"/>
            <w:tcBorders>
              <w:top w:val="single" w:sz="24" w:space="0" w:color="auto"/>
              <w:left w:val="single" w:sz="24" w:space="0" w:color="auto"/>
              <w:bottom w:val="single" w:sz="24" w:space="0" w:color="auto"/>
              <w:right w:val="single" w:sz="24" w:space="0" w:color="auto"/>
            </w:tcBorders>
            <w:vAlign w:val="bottom"/>
          </w:tcPr>
          <w:p w:rsidR="00B810B1" w:rsidRPr="00866A55" w:rsidRDefault="00B810B1" w:rsidP="006C3D52">
            <w:pPr>
              <w:spacing w:line="269" w:lineRule="auto"/>
              <w:jc w:val="center"/>
              <w:rPr>
                <w:b/>
                <w:bCs/>
                <w:sz w:val="22"/>
                <w:szCs w:val="22"/>
                <w:rtl/>
              </w:rPr>
            </w:pPr>
            <w:r w:rsidRPr="00866A55">
              <w:rPr>
                <w:rFonts w:hint="eastAsia"/>
                <w:b/>
                <w:bCs/>
                <w:sz w:val="22"/>
                <w:szCs w:val="22"/>
                <w:rtl/>
              </w:rPr>
              <w:t>מספר</w:t>
            </w:r>
            <w:r w:rsidRPr="00866A55">
              <w:rPr>
                <w:b/>
                <w:bCs/>
                <w:sz w:val="22"/>
                <w:szCs w:val="22"/>
                <w:rtl/>
              </w:rPr>
              <w:t xml:space="preserve"> </w:t>
            </w:r>
            <w:r w:rsidR="00866A55">
              <w:rPr>
                <w:rFonts w:hint="cs"/>
                <w:b/>
                <w:bCs/>
                <w:sz w:val="22"/>
                <w:szCs w:val="22"/>
                <w:rtl/>
              </w:rPr>
              <w:t>ה</w:t>
            </w:r>
            <w:r w:rsidRPr="00866A55">
              <w:rPr>
                <w:b/>
                <w:bCs/>
                <w:sz w:val="22"/>
                <w:szCs w:val="22"/>
                <w:rtl/>
              </w:rPr>
              <w:t>מקרים</w:t>
            </w:r>
          </w:p>
        </w:tc>
      </w:tr>
      <w:tr w:rsidR="006D6BDC" w:rsidRPr="00866A55" w:rsidTr="008F05F4">
        <w:trPr>
          <w:jc w:val="center"/>
        </w:trPr>
        <w:tc>
          <w:tcPr>
            <w:tcW w:w="2934" w:type="dxa"/>
            <w:vMerge w:val="restart"/>
            <w:tcBorders>
              <w:top w:val="single" w:sz="24" w:space="0" w:color="auto"/>
              <w:left w:val="single" w:sz="24" w:space="0" w:color="auto"/>
              <w:right w:val="single" w:sz="24" w:space="0" w:color="auto"/>
            </w:tcBorders>
          </w:tcPr>
          <w:p w:rsidR="006D6BDC" w:rsidRPr="00866A55" w:rsidRDefault="006D6BDC" w:rsidP="00604C3D">
            <w:pPr>
              <w:spacing w:line="269" w:lineRule="auto"/>
              <w:jc w:val="left"/>
              <w:rPr>
                <w:sz w:val="22"/>
                <w:szCs w:val="22"/>
                <w:rtl/>
              </w:rPr>
            </w:pPr>
            <w:r w:rsidRPr="00866A55">
              <w:rPr>
                <w:rFonts w:hint="cs"/>
                <w:sz w:val="22"/>
                <w:szCs w:val="22"/>
                <w:rtl/>
              </w:rPr>
              <w:t>צו האזנת סתר לתקשורת בין מחשבים</w:t>
            </w:r>
          </w:p>
        </w:tc>
        <w:tc>
          <w:tcPr>
            <w:tcW w:w="2719" w:type="dxa"/>
            <w:tcBorders>
              <w:top w:val="single" w:sz="24" w:space="0" w:color="auto"/>
              <w:left w:val="single" w:sz="24" w:space="0" w:color="auto"/>
              <w:bottom w:val="dotted" w:sz="4" w:space="0" w:color="auto"/>
              <w:right w:val="single" w:sz="24" w:space="0" w:color="auto"/>
            </w:tcBorders>
            <w:shd w:val="clear" w:color="auto" w:fill="DDDB87" w:themeFill="accent3" w:themeFillTint="99"/>
          </w:tcPr>
          <w:p w:rsidR="006D6BDC" w:rsidRPr="00866A55" w:rsidRDefault="006D6BDC" w:rsidP="00604C3D">
            <w:pPr>
              <w:spacing w:line="269" w:lineRule="auto"/>
              <w:jc w:val="left"/>
              <w:rPr>
                <w:b/>
                <w:bCs/>
                <w:sz w:val="22"/>
                <w:szCs w:val="22"/>
                <w:rtl/>
              </w:rPr>
            </w:pPr>
            <w:r w:rsidRPr="00866A55">
              <w:rPr>
                <w:rFonts w:hint="eastAsia"/>
                <w:b/>
                <w:bCs/>
                <w:sz w:val="22"/>
                <w:szCs w:val="22"/>
                <w:rtl/>
              </w:rPr>
              <w:t>צו</w:t>
            </w:r>
            <w:r w:rsidRPr="00866A55">
              <w:rPr>
                <w:b/>
                <w:bCs/>
                <w:sz w:val="22"/>
                <w:szCs w:val="22"/>
                <w:rtl/>
              </w:rPr>
              <w:t xml:space="preserve"> </w:t>
            </w:r>
            <w:r w:rsidRPr="00866A55">
              <w:rPr>
                <w:rFonts w:hint="eastAsia"/>
                <w:b/>
                <w:bCs/>
                <w:sz w:val="22"/>
                <w:szCs w:val="22"/>
                <w:rtl/>
              </w:rPr>
              <w:t>האזנת</w:t>
            </w:r>
            <w:r w:rsidRPr="00866A55">
              <w:rPr>
                <w:b/>
                <w:bCs/>
                <w:sz w:val="22"/>
                <w:szCs w:val="22"/>
                <w:rtl/>
              </w:rPr>
              <w:t xml:space="preserve"> </w:t>
            </w:r>
            <w:r w:rsidRPr="00866A55">
              <w:rPr>
                <w:rFonts w:hint="eastAsia"/>
                <w:b/>
                <w:bCs/>
                <w:sz w:val="22"/>
                <w:szCs w:val="22"/>
                <w:rtl/>
              </w:rPr>
              <w:t>סתר</w:t>
            </w:r>
            <w:r w:rsidRPr="00866A55">
              <w:rPr>
                <w:b/>
                <w:bCs/>
                <w:sz w:val="22"/>
                <w:szCs w:val="22"/>
                <w:rtl/>
              </w:rPr>
              <w:t xml:space="preserve"> </w:t>
            </w:r>
            <w:r w:rsidRPr="00866A55">
              <w:rPr>
                <w:rFonts w:hint="eastAsia"/>
                <w:b/>
                <w:bCs/>
                <w:sz w:val="22"/>
                <w:szCs w:val="22"/>
                <w:rtl/>
              </w:rPr>
              <w:t>לתקשורת</w:t>
            </w:r>
            <w:r w:rsidRPr="00866A55">
              <w:rPr>
                <w:b/>
                <w:bCs/>
                <w:sz w:val="22"/>
                <w:szCs w:val="22"/>
                <w:rtl/>
              </w:rPr>
              <w:t xml:space="preserve"> </w:t>
            </w:r>
            <w:r w:rsidRPr="00866A55">
              <w:rPr>
                <w:rFonts w:hint="eastAsia"/>
                <w:b/>
                <w:bCs/>
                <w:sz w:val="22"/>
                <w:szCs w:val="22"/>
                <w:rtl/>
              </w:rPr>
              <w:t>בין</w:t>
            </w:r>
            <w:r w:rsidRPr="00866A55">
              <w:rPr>
                <w:b/>
                <w:bCs/>
                <w:sz w:val="22"/>
                <w:szCs w:val="22"/>
                <w:rtl/>
              </w:rPr>
              <w:t xml:space="preserve"> </w:t>
            </w:r>
            <w:r w:rsidRPr="00866A55">
              <w:rPr>
                <w:rFonts w:hint="eastAsia"/>
                <w:b/>
                <w:bCs/>
                <w:sz w:val="22"/>
                <w:szCs w:val="22"/>
                <w:rtl/>
              </w:rPr>
              <w:t>מחשבים</w:t>
            </w:r>
          </w:p>
        </w:tc>
        <w:tc>
          <w:tcPr>
            <w:tcW w:w="2068" w:type="dxa"/>
            <w:tcBorders>
              <w:top w:val="single" w:sz="24" w:space="0" w:color="auto"/>
              <w:left w:val="single" w:sz="24" w:space="0" w:color="auto"/>
              <w:bottom w:val="dotted" w:sz="4" w:space="0" w:color="auto"/>
              <w:right w:val="single" w:sz="24" w:space="0" w:color="auto"/>
            </w:tcBorders>
          </w:tcPr>
          <w:p w:rsidR="006D6BDC" w:rsidRPr="00866A55" w:rsidRDefault="006D6BDC" w:rsidP="00604C3D">
            <w:pPr>
              <w:spacing w:line="269" w:lineRule="auto"/>
              <w:jc w:val="center"/>
              <w:rPr>
                <w:sz w:val="22"/>
                <w:szCs w:val="22"/>
                <w:rtl/>
              </w:rPr>
            </w:pPr>
            <w:r w:rsidRPr="00866A55">
              <w:rPr>
                <w:rFonts w:hint="cs"/>
                <w:sz w:val="22"/>
                <w:szCs w:val="22"/>
                <w:rtl/>
              </w:rPr>
              <w:t>2</w:t>
            </w:r>
          </w:p>
        </w:tc>
      </w:tr>
      <w:tr w:rsidR="006D6BDC" w:rsidRPr="00866A55" w:rsidTr="008F05F4">
        <w:trPr>
          <w:jc w:val="center"/>
        </w:trPr>
        <w:tc>
          <w:tcPr>
            <w:tcW w:w="2934" w:type="dxa"/>
            <w:vMerge/>
            <w:tcBorders>
              <w:left w:val="single" w:sz="24" w:space="0" w:color="auto"/>
              <w:right w:val="single" w:sz="24" w:space="0" w:color="auto"/>
            </w:tcBorders>
          </w:tcPr>
          <w:p w:rsidR="006D6BDC" w:rsidRPr="00866A55" w:rsidRDefault="006D6BDC" w:rsidP="00604C3D">
            <w:pPr>
              <w:spacing w:line="269" w:lineRule="auto"/>
              <w:jc w:val="left"/>
              <w:rPr>
                <w:sz w:val="22"/>
                <w:szCs w:val="22"/>
                <w:rtl/>
              </w:rPr>
            </w:pPr>
          </w:p>
        </w:tc>
        <w:tc>
          <w:tcPr>
            <w:tcW w:w="2719" w:type="dxa"/>
            <w:tcBorders>
              <w:top w:val="dotted" w:sz="4" w:space="0" w:color="auto"/>
              <w:left w:val="single" w:sz="24" w:space="0" w:color="auto"/>
              <w:bottom w:val="dotted" w:sz="4" w:space="0" w:color="auto"/>
              <w:right w:val="single" w:sz="24" w:space="0" w:color="auto"/>
            </w:tcBorders>
            <w:shd w:val="clear" w:color="auto" w:fill="E17487" w:themeFill="accent1" w:themeFillTint="99"/>
          </w:tcPr>
          <w:p w:rsidR="006D6BDC" w:rsidRPr="00866A55" w:rsidRDefault="006D6BDC" w:rsidP="00604C3D">
            <w:pPr>
              <w:spacing w:line="269" w:lineRule="auto"/>
              <w:jc w:val="left"/>
              <w:rPr>
                <w:b/>
                <w:bCs/>
                <w:sz w:val="22"/>
                <w:szCs w:val="22"/>
                <w:rtl/>
              </w:rPr>
            </w:pPr>
            <w:r w:rsidRPr="00866A55">
              <w:rPr>
                <w:rFonts w:hint="cs"/>
                <w:b/>
                <w:bCs/>
                <w:sz w:val="22"/>
                <w:szCs w:val="22"/>
                <w:rtl/>
              </w:rPr>
              <w:t>צו האזנת סתר לשמע</w:t>
            </w:r>
          </w:p>
        </w:tc>
        <w:tc>
          <w:tcPr>
            <w:tcW w:w="2068" w:type="dxa"/>
            <w:tcBorders>
              <w:top w:val="dotted" w:sz="4" w:space="0" w:color="auto"/>
              <w:left w:val="single" w:sz="24" w:space="0" w:color="auto"/>
              <w:bottom w:val="dotted" w:sz="4" w:space="0" w:color="auto"/>
              <w:right w:val="single" w:sz="24" w:space="0" w:color="auto"/>
            </w:tcBorders>
          </w:tcPr>
          <w:p w:rsidR="006D6BDC" w:rsidRPr="00866A55" w:rsidRDefault="006D6BDC" w:rsidP="00604C3D">
            <w:pPr>
              <w:spacing w:line="269" w:lineRule="auto"/>
              <w:jc w:val="center"/>
              <w:rPr>
                <w:sz w:val="22"/>
                <w:szCs w:val="22"/>
                <w:rtl/>
              </w:rPr>
            </w:pPr>
            <w:r w:rsidRPr="00866A55">
              <w:rPr>
                <w:rFonts w:hint="cs"/>
                <w:sz w:val="22"/>
                <w:szCs w:val="22"/>
                <w:rtl/>
              </w:rPr>
              <w:t>5</w:t>
            </w:r>
          </w:p>
        </w:tc>
      </w:tr>
      <w:tr w:rsidR="006D6BDC" w:rsidRPr="00866A55" w:rsidTr="008F05F4">
        <w:trPr>
          <w:jc w:val="center"/>
        </w:trPr>
        <w:tc>
          <w:tcPr>
            <w:tcW w:w="2934" w:type="dxa"/>
            <w:vMerge/>
            <w:tcBorders>
              <w:left w:val="single" w:sz="24" w:space="0" w:color="auto"/>
              <w:bottom w:val="dotted" w:sz="4" w:space="0" w:color="auto"/>
              <w:right w:val="single" w:sz="24" w:space="0" w:color="auto"/>
            </w:tcBorders>
          </w:tcPr>
          <w:p w:rsidR="006D6BDC" w:rsidRPr="00866A55" w:rsidRDefault="006D6BDC" w:rsidP="00604C3D">
            <w:pPr>
              <w:spacing w:line="269" w:lineRule="auto"/>
              <w:jc w:val="left"/>
              <w:rPr>
                <w:sz w:val="22"/>
                <w:szCs w:val="22"/>
                <w:rtl/>
              </w:rPr>
            </w:pPr>
          </w:p>
        </w:tc>
        <w:tc>
          <w:tcPr>
            <w:tcW w:w="2719" w:type="dxa"/>
            <w:tcBorders>
              <w:top w:val="dotted" w:sz="4" w:space="0" w:color="auto"/>
              <w:left w:val="single" w:sz="24" w:space="0" w:color="auto"/>
              <w:bottom w:val="dotted" w:sz="4" w:space="0" w:color="auto"/>
              <w:right w:val="single" w:sz="24" w:space="0" w:color="auto"/>
            </w:tcBorders>
            <w:shd w:val="clear" w:color="auto" w:fill="E17487" w:themeFill="accent1" w:themeFillTint="99"/>
          </w:tcPr>
          <w:p w:rsidR="006D6BDC" w:rsidRPr="00866A55" w:rsidRDefault="006D6BDC" w:rsidP="00604C3D">
            <w:pPr>
              <w:spacing w:line="269" w:lineRule="auto"/>
              <w:jc w:val="left"/>
              <w:rPr>
                <w:b/>
                <w:bCs/>
                <w:sz w:val="22"/>
                <w:szCs w:val="22"/>
                <w:rtl/>
              </w:rPr>
            </w:pPr>
            <w:r w:rsidRPr="00866A55">
              <w:rPr>
                <w:rFonts w:hint="cs"/>
                <w:b/>
                <w:bCs/>
                <w:sz w:val="22"/>
                <w:szCs w:val="22"/>
                <w:rtl/>
              </w:rPr>
              <w:t>ללא צו</w:t>
            </w:r>
          </w:p>
        </w:tc>
        <w:tc>
          <w:tcPr>
            <w:tcW w:w="2068" w:type="dxa"/>
            <w:tcBorders>
              <w:top w:val="dotted" w:sz="4" w:space="0" w:color="auto"/>
              <w:left w:val="single" w:sz="24" w:space="0" w:color="auto"/>
              <w:bottom w:val="dotted" w:sz="4" w:space="0" w:color="auto"/>
              <w:right w:val="single" w:sz="24" w:space="0" w:color="auto"/>
            </w:tcBorders>
          </w:tcPr>
          <w:p w:rsidR="006D6BDC" w:rsidRPr="00866A55" w:rsidRDefault="006D6BDC" w:rsidP="00604C3D">
            <w:pPr>
              <w:spacing w:line="269" w:lineRule="auto"/>
              <w:jc w:val="center"/>
              <w:rPr>
                <w:sz w:val="22"/>
                <w:szCs w:val="22"/>
                <w:rtl/>
              </w:rPr>
            </w:pPr>
            <w:r w:rsidRPr="00866A55">
              <w:rPr>
                <w:rFonts w:hint="cs"/>
                <w:sz w:val="22"/>
                <w:szCs w:val="22"/>
                <w:rtl/>
              </w:rPr>
              <w:t>7</w:t>
            </w:r>
          </w:p>
        </w:tc>
      </w:tr>
      <w:tr w:rsidR="00287CDF" w:rsidRPr="00866A55" w:rsidTr="008F05F4">
        <w:trPr>
          <w:jc w:val="center"/>
        </w:trPr>
        <w:tc>
          <w:tcPr>
            <w:tcW w:w="2934" w:type="dxa"/>
            <w:vMerge w:val="restart"/>
            <w:tcBorders>
              <w:top w:val="single" w:sz="24" w:space="0" w:color="auto"/>
              <w:left w:val="single" w:sz="24" w:space="0" w:color="auto"/>
              <w:right w:val="single" w:sz="24" w:space="0" w:color="auto"/>
            </w:tcBorders>
          </w:tcPr>
          <w:p w:rsidR="00287CDF" w:rsidRPr="00866A55" w:rsidRDefault="00287CDF" w:rsidP="00604C3D">
            <w:pPr>
              <w:spacing w:line="269" w:lineRule="auto"/>
              <w:jc w:val="left"/>
              <w:rPr>
                <w:sz w:val="22"/>
                <w:szCs w:val="22"/>
                <w:rtl/>
              </w:rPr>
            </w:pPr>
            <w:r w:rsidRPr="00866A55">
              <w:rPr>
                <w:rFonts w:hint="cs"/>
                <w:sz w:val="22"/>
                <w:szCs w:val="22"/>
                <w:rtl/>
              </w:rPr>
              <w:t>לא נדרש צו</w:t>
            </w:r>
          </w:p>
        </w:tc>
        <w:tc>
          <w:tcPr>
            <w:tcW w:w="2719" w:type="dxa"/>
            <w:tcBorders>
              <w:top w:val="single" w:sz="24" w:space="0" w:color="auto"/>
              <w:left w:val="single" w:sz="24" w:space="0" w:color="auto"/>
              <w:bottom w:val="dotted" w:sz="4" w:space="0" w:color="auto"/>
              <w:right w:val="single" w:sz="24" w:space="0" w:color="auto"/>
            </w:tcBorders>
            <w:shd w:val="clear" w:color="auto" w:fill="DDDB87" w:themeFill="accent3" w:themeFillTint="99"/>
          </w:tcPr>
          <w:p w:rsidR="00287CDF" w:rsidRPr="00866A55" w:rsidRDefault="00287CDF" w:rsidP="00604C3D">
            <w:pPr>
              <w:spacing w:line="269" w:lineRule="auto"/>
              <w:jc w:val="left"/>
              <w:rPr>
                <w:b/>
                <w:bCs/>
                <w:sz w:val="22"/>
                <w:szCs w:val="22"/>
                <w:rtl/>
              </w:rPr>
            </w:pPr>
            <w:r w:rsidRPr="00866A55">
              <w:rPr>
                <w:rFonts w:hint="cs"/>
                <w:b/>
                <w:bCs/>
                <w:sz w:val="22"/>
                <w:szCs w:val="22"/>
                <w:rtl/>
              </w:rPr>
              <w:t>צו האזנת סתר לתקשורת בין מחשבים</w:t>
            </w:r>
          </w:p>
        </w:tc>
        <w:tc>
          <w:tcPr>
            <w:tcW w:w="2068" w:type="dxa"/>
            <w:tcBorders>
              <w:top w:val="single" w:sz="24" w:space="0" w:color="auto"/>
              <w:left w:val="single" w:sz="24" w:space="0" w:color="auto"/>
              <w:bottom w:val="dotted" w:sz="4" w:space="0" w:color="auto"/>
              <w:right w:val="single" w:sz="24" w:space="0" w:color="auto"/>
            </w:tcBorders>
          </w:tcPr>
          <w:p w:rsidR="00287CDF" w:rsidRPr="00866A55" w:rsidRDefault="00287CDF" w:rsidP="00604C3D">
            <w:pPr>
              <w:spacing w:line="269" w:lineRule="auto"/>
              <w:jc w:val="center"/>
              <w:rPr>
                <w:sz w:val="22"/>
                <w:szCs w:val="22"/>
                <w:rtl/>
              </w:rPr>
            </w:pPr>
            <w:r w:rsidRPr="00866A55">
              <w:rPr>
                <w:rFonts w:hint="cs"/>
                <w:sz w:val="22"/>
                <w:szCs w:val="22"/>
                <w:rtl/>
              </w:rPr>
              <w:t>1</w:t>
            </w:r>
          </w:p>
        </w:tc>
      </w:tr>
      <w:tr w:rsidR="00287CDF" w:rsidRPr="00866A55" w:rsidTr="008F05F4">
        <w:trPr>
          <w:jc w:val="center"/>
        </w:trPr>
        <w:tc>
          <w:tcPr>
            <w:tcW w:w="2934" w:type="dxa"/>
            <w:vMerge/>
            <w:tcBorders>
              <w:left w:val="single" w:sz="24" w:space="0" w:color="auto"/>
              <w:right w:val="single" w:sz="24" w:space="0" w:color="auto"/>
            </w:tcBorders>
          </w:tcPr>
          <w:p w:rsidR="00287CDF" w:rsidRPr="00866A55" w:rsidRDefault="00287CDF" w:rsidP="00604C3D">
            <w:pPr>
              <w:spacing w:line="269" w:lineRule="auto"/>
              <w:jc w:val="left"/>
              <w:rPr>
                <w:sz w:val="22"/>
                <w:szCs w:val="22"/>
                <w:rtl/>
              </w:rPr>
            </w:pPr>
          </w:p>
        </w:tc>
        <w:tc>
          <w:tcPr>
            <w:tcW w:w="2719" w:type="dxa"/>
            <w:tcBorders>
              <w:top w:val="dotted" w:sz="4" w:space="0" w:color="auto"/>
              <w:left w:val="single" w:sz="24" w:space="0" w:color="auto"/>
              <w:bottom w:val="dotted" w:sz="4" w:space="0" w:color="auto"/>
              <w:right w:val="single" w:sz="24" w:space="0" w:color="auto"/>
            </w:tcBorders>
            <w:shd w:val="clear" w:color="auto" w:fill="DDDB87" w:themeFill="accent3" w:themeFillTint="99"/>
          </w:tcPr>
          <w:p w:rsidR="00287CDF" w:rsidRPr="00866A55" w:rsidRDefault="00287CDF" w:rsidP="00604C3D">
            <w:pPr>
              <w:spacing w:line="269" w:lineRule="auto"/>
              <w:jc w:val="left"/>
              <w:rPr>
                <w:b/>
                <w:bCs/>
                <w:sz w:val="22"/>
                <w:szCs w:val="22"/>
                <w:rtl/>
              </w:rPr>
            </w:pPr>
            <w:r w:rsidRPr="00866A55">
              <w:rPr>
                <w:rFonts w:hint="cs"/>
                <w:b/>
                <w:bCs/>
                <w:sz w:val="22"/>
                <w:szCs w:val="22"/>
                <w:rtl/>
              </w:rPr>
              <w:t>צו האזנת סתר לשמע</w:t>
            </w:r>
          </w:p>
        </w:tc>
        <w:tc>
          <w:tcPr>
            <w:tcW w:w="2068" w:type="dxa"/>
            <w:tcBorders>
              <w:top w:val="dotted" w:sz="4" w:space="0" w:color="auto"/>
              <w:left w:val="single" w:sz="24" w:space="0" w:color="auto"/>
              <w:bottom w:val="dotted" w:sz="4" w:space="0" w:color="auto"/>
              <w:right w:val="single" w:sz="24" w:space="0" w:color="auto"/>
            </w:tcBorders>
          </w:tcPr>
          <w:p w:rsidR="00287CDF" w:rsidRPr="00866A55" w:rsidRDefault="00287CDF" w:rsidP="00604C3D">
            <w:pPr>
              <w:spacing w:line="269" w:lineRule="auto"/>
              <w:jc w:val="center"/>
              <w:rPr>
                <w:sz w:val="22"/>
                <w:szCs w:val="22"/>
                <w:rtl/>
              </w:rPr>
            </w:pPr>
            <w:r w:rsidRPr="00866A55">
              <w:rPr>
                <w:rFonts w:hint="cs"/>
                <w:sz w:val="22"/>
                <w:szCs w:val="22"/>
                <w:rtl/>
              </w:rPr>
              <w:t>8</w:t>
            </w:r>
          </w:p>
        </w:tc>
      </w:tr>
      <w:tr w:rsidR="00287CDF" w:rsidRPr="00866A55" w:rsidTr="008F05F4">
        <w:trPr>
          <w:jc w:val="center"/>
        </w:trPr>
        <w:tc>
          <w:tcPr>
            <w:tcW w:w="2934" w:type="dxa"/>
            <w:vMerge/>
            <w:tcBorders>
              <w:left w:val="single" w:sz="24" w:space="0" w:color="auto"/>
              <w:right w:val="single" w:sz="24" w:space="0" w:color="auto"/>
            </w:tcBorders>
          </w:tcPr>
          <w:p w:rsidR="00287CDF" w:rsidRPr="00866A55" w:rsidRDefault="00287CDF" w:rsidP="00604C3D">
            <w:pPr>
              <w:spacing w:line="269" w:lineRule="auto"/>
              <w:jc w:val="left"/>
              <w:rPr>
                <w:sz w:val="22"/>
                <w:szCs w:val="22"/>
                <w:rtl/>
              </w:rPr>
            </w:pPr>
          </w:p>
        </w:tc>
        <w:tc>
          <w:tcPr>
            <w:tcW w:w="2719" w:type="dxa"/>
            <w:tcBorders>
              <w:top w:val="dotted" w:sz="4" w:space="0" w:color="auto"/>
              <w:left w:val="single" w:sz="24" w:space="0" w:color="auto"/>
              <w:bottom w:val="dotted" w:sz="4" w:space="0" w:color="auto"/>
              <w:right w:val="single" w:sz="24" w:space="0" w:color="auto"/>
            </w:tcBorders>
            <w:shd w:val="clear" w:color="auto" w:fill="DDDB87" w:themeFill="accent3" w:themeFillTint="99"/>
          </w:tcPr>
          <w:p w:rsidR="00287CDF" w:rsidRPr="00866A55" w:rsidRDefault="00287CDF" w:rsidP="00604C3D">
            <w:pPr>
              <w:spacing w:line="269" w:lineRule="auto"/>
              <w:jc w:val="left"/>
              <w:rPr>
                <w:b/>
                <w:bCs/>
                <w:sz w:val="22"/>
                <w:szCs w:val="22"/>
                <w:rtl/>
              </w:rPr>
            </w:pPr>
            <w:r w:rsidRPr="00866A55">
              <w:rPr>
                <w:rFonts w:hint="cs"/>
                <w:b/>
                <w:bCs/>
                <w:sz w:val="22"/>
                <w:szCs w:val="22"/>
                <w:rtl/>
              </w:rPr>
              <w:t>צו נתוני תקשורת</w:t>
            </w:r>
          </w:p>
        </w:tc>
        <w:tc>
          <w:tcPr>
            <w:tcW w:w="2068" w:type="dxa"/>
            <w:tcBorders>
              <w:top w:val="dotted" w:sz="4" w:space="0" w:color="auto"/>
              <w:left w:val="single" w:sz="24" w:space="0" w:color="auto"/>
              <w:bottom w:val="dotted" w:sz="4" w:space="0" w:color="auto"/>
              <w:right w:val="single" w:sz="24" w:space="0" w:color="auto"/>
            </w:tcBorders>
          </w:tcPr>
          <w:p w:rsidR="00287CDF" w:rsidRPr="00866A55" w:rsidRDefault="0012691C" w:rsidP="00604C3D">
            <w:pPr>
              <w:spacing w:line="269" w:lineRule="auto"/>
              <w:jc w:val="center"/>
              <w:rPr>
                <w:sz w:val="22"/>
                <w:szCs w:val="22"/>
                <w:rtl/>
              </w:rPr>
            </w:pPr>
            <w:r w:rsidRPr="00866A55">
              <w:rPr>
                <w:rFonts w:hint="cs"/>
                <w:sz w:val="22"/>
                <w:szCs w:val="22"/>
                <w:rtl/>
              </w:rPr>
              <w:t>3</w:t>
            </w:r>
          </w:p>
        </w:tc>
      </w:tr>
      <w:tr w:rsidR="00287CDF" w:rsidRPr="00866A55" w:rsidTr="008F05F4">
        <w:trPr>
          <w:jc w:val="center"/>
        </w:trPr>
        <w:tc>
          <w:tcPr>
            <w:tcW w:w="2934" w:type="dxa"/>
            <w:vMerge/>
            <w:tcBorders>
              <w:left w:val="single" w:sz="24" w:space="0" w:color="auto"/>
              <w:bottom w:val="single" w:sz="24" w:space="0" w:color="auto"/>
              <w:right w:val="single" w:sz="24" w:space="0" w:color="auto"/>
            </w:tcBorders>
          </w:tcPr>
          <w:p w:rsidR="00287CDF" w:rsidRPr="00866A55" w:rsidRDefault="00287CDF" w:rsidP="00604C3D">
            <w:pPr>
              <w:spacing w:line="269" w:lineRule="auto"/>
              <w:jc w:val="left"/>
              <w:rPr>
                <w:sz w:val="22"/>
                <w:szCs w:val="22"/>
                <w:rtl/>
              </w:rPr>
            </w:pPr>
          </w:p>
        </w:tc>
        <w:tc>
          <w:tcPr>
            <w:tcW w:w="2719" w:type="dxa"/>
            <w:tcBorders>
              <w:top w:val="dotted" w:sz="4" w:space="0" w:color="auto"/>
              <w:left w:val="single" w:sz="24" w:space="0" w:color="auto"/>
              <w:bottom w:val="single" w:sz="24" w:space="0" w:color="auto"/>
              <w:right w:val="single" w:sz="24" w:space="0" w:color="auto"/>
            </w:tcBorders>
            <w:shd w:val="clear" w:color="auto" w:fill="DDDB87" w:themeFill="accent3" w:themeFillTint="99"/>
          </w:tcPr>
          <w:p w:rsidR="00287CDF" w:rsidRPr="00866A55" w:rsidRDefault="00287CDF" w:rsidP="00604C3D">
            <w:pPr>
              <w:spacing w:line="269" w:lineRule="auto"/>
              <w:jc w:val="left"/>
              <w:rPr>
                <w:b/>
                <w:bCs/>
                <w:sz w:val="22"/>
                <w:szCs w:val="22"/>
                <w:rtl/>
              </w:rPr>
            </w:pPr>
            <w:r w:rsidRPr="00866A55">
              <w:rPr>
                <w:rFonts w:hint="cs"/>
                <w:b/>
                <w:bCs/>
                <w:sz w:val="22"/>
                <w:szCs w:val="22"/>
                <w:rtl/>
              </w:rPr>
              <w:t>ללא צו</w:t>
            </w:r>
          </w:p>
        </w:tc>
        <w:tc>
          <w:tcPr>
            <w:tcW w:w="2068" w:type="dxa"/>
            <w:tcBorders>
              <w:top w:val="dotted" w:sz="4" w:space="0" w:color="auto"/>
              <w:left w:val="single" w:sz="24" w:space="0" w:color="auto"/>
              <w:bottom w:val="single" w:sz="24" w:space="0" w:color="auto"/>
              <w:right w:val="single" w:sz="24" w:space="0" w:color="auto"/>
            </w:tcBorders>
          </w:tcPr>
          <w:p w:rsidR="00287CDF" w:rsidRPr="00866A55" w:rsidRDefault="0012691C" w:rsidP="00604C3D">
            <w:pPr>
              <w:spacing w:line="269" w:lineRule="auto"/>
              <w:jc w:val="center"/>
              <w:rPr>
                <w:sz w:val="22"/>
                <w:szCs w:val="22"/>
                <w:rtl/>
              </w:rPr>
            </w:pPr>
            <w:r w:rsidRPr="00866A55">
              <w:rPr>
                <w:rFonts w:hint="cs"/>
                <w:sz w:val="22"/>
                <w:szCs w:val="22"/>
                <w:rtl/>
              </w:rPr>
              <w:t>4</w:t>
            </w:r>
          </w:p>
        </w:tc>
      </w:tr>
      <w:tr w:rsidR="00287CDF" w:rsidRPr="00866A55" w:rsidTr="008F05F4">
        <w:trPr>
          <w:jc w:val="center"/>
        </w:trPr>
        <w:tc>
          <w:tcPr>
            <w:tcW w:w="2934" w:type="dxa"/>
            <w:tcBorders>
              <w:top w:val="single" w:sz="24" w:space="0" w:color="auto"/>
              <w:left w:val="single" w:sz="24" w:space="0" w:color="auto"/>
              <w:bottom w:val="single" w:sz="24" w:space="0" w:color="auto"/>
              <w:right w:val="single" w:sz="24" w:space="0" w:color="auto"/>
            </w:tcBorders>
            <w:shd w:val="clear" w:color="auto" w:fill="E17487" w:themeFill="accent1" w:themeFillTint="99"/>
          </w:tcPr>
          <w:p w:rsidR="00287CDF" w:rsidRPr="00866A55" w:rsidRDefault="00287CDF" w:rsidP="00604C3D">
            <w:pPr>
              <w:spacing w:line="269" w:lineRule="auto"/>
              <w:jc w:val="left"/>
              <w:rPr>
                <w:sz w:val="22"/>
                <w:szCs w:val="22"/>
                <w:rtl/>
              </w:rPr>
            </w:pPr>
            <w:r w:rsidRPr="00866A55">
              <w:rPr>
                <w:rFonts w:hint="cs"/>
                <w:sz w:val="22"/>
                <w:szCs w:val="22"/>
                <w:rtl/>
              </w:rPr>
              <w:t>לא ידוע</w:t>
            </w:r>
          </w:p>
        </w:tc>
        <w:tc>
          <w:tcPr>
            <w:tcW w:w="2719" w:type="dxa"/>
            <w:tcBorders>
              <w:top w:val="single" w:sz="24" w:space="0" w:color="auto"/>
              <w:left w:val="single" w:sz="24" w:space="0" w:color="auto"/>
              <w:bottom w:val="single" w:sz="24" w:space="0" w:color="auto"/>
              <w:right w:val="single" w:sz="24" w:space="0" w:color="auto"/>
            </w:tcBorders>
            <w:shd w:val="clear" w:color="auto" w:fill="E17487" w:themeFill="accent1" w:themeFillTint="99"/>
          </w:tcPr>
          <w:p w:rsidR="00287CDF" w:rsidRPr="00866A55" w:rsidRDefault="00287CDF" w:rsidP="00604C3D">
            <w:pPr>
              <w:spacing w:line="269" w:lineRule="auto"/>
              <w:jc w:val="left"/>
              <w:rPr>
                <w:b/>
                <w:bCs/>
                <w:sz w:val="22"/>
                <w:szCs w:val="22"/>
                <w:rtl/>
              </w:rPr>
            </w:pPr>
            <w:r w:rsidRPr="00866A55">
              <w:rPr>
                <w:rFonts w:hint="cs"/>
                <w:b/>
                <w:bCs/>
                <w:sz w:val="22"/>
                <w:szCs w:val="22"/>
                <w:rtl/>
              </w:rPr>
              <w:t>צו האזנת סתר לשמע</w:t>
            </w:r>
          </w:p>
        </w:tc>
        <w:tc>
          <w:tcPr>
            <w:tcW w:w="2068" w:type="dxa"/>
            <w:tcBorders>
              <w:top w:val="single" w:sz="24" w:space="0" w:color="auto"/>
              <w:left w:val="single" w:sz="24" w:space="0" w:color="auto"/>
              <w:bottom w:val="single" w:sz="24" w:space="0" w:color="auto"/>
              <w:right w:val="single" w:sz="24" w:space="0" w:color="auto"/>
            </w:tcBorders>
          </w:tcPr>
          <w:p w:rsidR="00287CDF" w:rsidRPr="00866A55" w:rsidRDefault="00287CDF" w:rsidP="00604C3D">
            <w:pPr>
              <w:spacing w:line="269" w:lineRule="auto"/>
              <w:jc w:val="center"/>
              <w:rPr>
                <w:sz w:val="22"/>
                <w:szCs w:val="22"/>
                <w:rtl/>
              </w:rPr>
            </w:pPr>
            <w:r w:rsidRPr="00866A55">
              <w:rPr>
                <w:rFonts w:hint="cs"/>
                <w:sz w:val="22"/>
                <w:szCs w:val="22"/>
                <w:rtl/>
              </w:rPr>
              <w:t>1</w:t>
            </w:r>
          </w:p>
        </w:tc>
      </w:tr>
      <w:tr w:rsidR="008862B9" w:rsidRPr="00866A55" w:rsidTr="009E6444">
        <w:trPr>
          <w:jc w:val="center"/>
        </w:trPr>
        <w:tc>
          <w:tcPr>
            <w:tcW w:w="5653" w:type="dxa"/>
            <w:gridSpan w:val="2"/>
            <w:tcBorders>
              <w:top w:val="single" w:sz="24" w:space="0" w:color="auto"/>
              <w:left w:val="single" w:sz="24" w:space="0" w:color="auto"/>
              <w:bottom w:val="single" w:sz="24" w:space="0" w:color="auto"/>
              <w:right w:val="single" w:sz="24" w:space="0" w:color="auto"/>
            </w:tcBorders>
            <w:shd w:val="clear" w:color="auto" w:fill="auto"/>
          </w:tcPr>
          <w:p w:rsidR="008862B9" w:rsidRPr="00866A55" w:rsidRDefault="008862B9" w:rsidP="00604C3D">
            <w:pPr>
              <w:spacing w:line="269" w:lineRule="auto"/>
              <w:jc w:val="center"/>
              <w:rPr>
                <w:b/>
                <w:bCs/>
                <w:sz w:val="22"/>
                <w:szCs w:val="22"/>
                <w:rtl/>
              </w:rPr>
            </w:pPr>
            <w:r w:rsidRPr="00866A55">
              <w:rPr>
                <w:rFonts w:hint="cs"/>
                <w:sz w:val="22"/>
                <w:szCs w:val="22"/>
                <w:rtl/>
              </w:rPr>
              <w:t>סך הכול</w:t>
            </w:r>
          </w:p>
        </w:tc>
        <w:tc>
          <w:tcPr>
            <w:tcW w:w="2068" w:type="dxa"/>
            <w:tcBorders>
              <w:top w:val="single" w:sz="24" w:space="0" w:color="auto"/>
              <w:left w:val="single" w:sz="24" w:space="0" w:color="auto"/>
              <w:bottom w:val="single" w:sz="24" w:space="0" w:color="auto"/>
              <w:right w:val="single" w:sz="24" w:space="0" w:color="auto"/>
            </w:tcBorders>
            <w:shd w:val="clear" w:color="auto" w:fill="auto"/>
          </w:tcPr>
          <w:p w:rsidR="008862B9" w:rsidRPr="00866A55" w:rsidRDefault="008862B9" w:rsidP="00604C3D">
            <w:pPr>
              <w:spacing w:line="269" w:lineRule="auto"/>
              <w:jc w:val="center"/>
              <w:rPr>
                <w:sz w:val="22"/>
                <w:szCs w:val="22"/>
                <w:rtl/>
              </w:rPr>
            </w:pPr>
            <w:r w:rsidRPr="00866A55">
              <w:rPr>
                <w:rFonts w:hint="cs"/>
                <w:sz w:val="22"/>
                <w:szCs w:val="22"/>
                <w:rtl/>
              </w:rPr>
              <w:t>31</w:t>
            </w:r>
          </w:p>
        </w:tc>
      </w:tr>
    </w:tbl>
    <w:bookmarkEnd w:id="238"/>
    <w:p w:rsidR="008868B6" w:rsidRDefault="008868B6" w:rsidP="00604C3D">
      <w:pPr>
        <w:spacing w:line="269" w:lineRule="auto"/>
        <w:rPr>
          <w:szCs w:val="20"/>
          <w:rtl/>
        </w:rPr>
      </w:pPr>
      <w:r>
        <w:rPr>
          <w:rFonts w:hint="cs"/>
          <w:szCs w:val="20"/>
          <w:rtl/>
        </w:rPr>
        <w:t>על פי מידע שנאסף בביקורת, בעיבוד משרד מבקר המדינה</w:t>
      </w:r>
      <w:r w:rsidR="00EC2826">
        <w:rPr>
          <w:rFonts w:hint="cs"/>
          <w:szCs w:val="20"/>
          <w:rtl/>
        </w:rPr>
        <w:t>.</w:t>
      </w:r>
    </w:p>
    <w:p w:rsidR="002B0E02" w:rsidRDefault="002B0E02" w:rsidP="00604C3D">
      <w:pPr>
        <w:spacing w:line="269" w:lineRule="auto"/>
        <w:rPr>
          <w:b/>
          <w:bCs/>
          <w:rtl/>
        </w:rPr>
      </w:pPr>
    </w:p>
    <w:p w:rsidR="00936613" w:rsidRPr="006C3D0C" w:rsidRDefault="00233843" w:rsidP="006C3D52">
      <w:pPr>
        <w:spacing w:line="269" w:lineRule="auto"/>
        <w:ind w:left="340"/>
        <w:rPr>
          <w:b/>
          <w:bCs/>
          <w:rtl/>
        </w:rPr>
      </w:pPr>
      <w:r>
        <w:rPr>
          <w:rFonts w:hint="cs"/>
          <w:b/>
          <w:bCs/>
          <w:rtl/>
        </w:rPr>
        <w:t xml:space="preserve">מבדיקת משרד מבקר המדינה עולה כי </w:t>
      </w:r>
      <w:r w:rsidR="00F87889">
        <w:rPr>
          <w:rFonts w:hint="cs"/>
          <w:b/>
          <w:bCs/>
          <w:rtl/>
        </w:rPr>
        <w:t xml:space="preserve">כאשר </w:t>
      </w:r>
      <w:r>
        <w:rPr>
          <w:rFonts w:hint="cs"/>
          <w:b/>
          <w:bCs/>
          <w:rtl/>
        </w:rPr>
        <w:t xml:space="preserve">ביצעה המשטרה בדיקות היתכנות לביצוע האזנות סתר לתקשורת בין מחשבים </w:t>
      </w:r>
      <w:r w:rsidRPr="000201A9">
        <w:rPr>
          <w:rFonts w:hint="cs"/>
          <w:b/>
          <w:bCs/>
          <w:rtl/>
        </w:rPr>
        <w:t xml:space="preserve">בשנים 2019 - 2021 היא נהגה להשתמש בכלים </w:t>
      </w:r>
      <w:r w:rsidR="00746A11">
        <w:rPr>
          <w:rFonts w:hint="cs"/>
          <w:b/>
          <w:bCs/>
          <w:rtl/>
        </w:rPr>
        <w:t>טכנולוגיים</w:t>
      </w:r>
      <w:r w:rsidR="00746A11" w:rsidRPr="000201A9">
        <w:rPr>
          <w:rFonts w:hint="cs"/>
          <w:b/>
          <w:bCs/>
          <w:rtl/>
        </w:rPr>
        <w:t xml:space="preserve"> </w:t>
      </w:r>
      <w:r w:rsidRPr="000201A9">
        <w:rPr>
          <w:rFonts w:hint="cs"/>
          <w:b/>
          <w:bCs/>
          <w:rtl/>
        </w:rPr>
        <w:t xml:space="preserve">המיועדים לביצוע האזנת סתר. </w:t>
      </w:r>
      <w:r w:rsidRPr="00A512AA">
        <w:rPr>
          <w:rFonts w:hint="eastAsia"/>
          <w:b/>
          <w:bCs/>
          <w:rtl/>
        </w:rPr>
        <w:t>אחד</w:t>
      </w:r>
      <w:r w:rsidRPr="00A512AA">
        <w:rPr>
          <w:b/>
          <w:bCs/>
          <w:rtl/>
        </w:rPr>
        <w:t xml:space="preserve"> מהכלים </w:t>
      </w:r>
      <w:r w:rsidR="00F87889" w:rsidRPr="00A512AA">
        <w:rPr>
          <w:rFonts w:hint="eastAsia"/>
          <w:b/>
          <w:bCs/>
          <w:rtl/>
        </w:rPr>
        <w:t>הללו</w:t>
      </w:r>
      <w:r w:rsidR="00F87889" w:rsidRPr="00A512AA">
        <w:rPr>
          <w:b/>
          <w:bCs/>
          <w:rtl/>
        </w:rPr>
        <w:t xml:space="preserve"> </w:t>
      </w:r>
      <w:r w:rsidRPr="00A512AA">
        <w:rPr>
          <w:rFonts w:hint="eastAsia"/>
          <w:b/>
          <w:bCs/>
          <w:rtl/>
        </w:rPr>
        <w:t>מקיים</w:t>
      </w:r>
      <w:r w:rsidRPr="00A512AA">
        <w:rPr>
          <w:b/>
          <w:bCs/>
          <w:rtl/>
        </w:rPr>
        <w:t xml:space="preserve"> </w:t>
      </w:r>
      <w:r w:rsidRPr="00A512AA">
        <w:rPr>
          <w:rFonts w:hint="eastAsia"/>
          <w:b/>
          <w:bCs/>
          <w:rtl/>
        </w:rPr>
        <w:t>בעת</w:t>
      </w:r>
      <w:r w:rsidRPr="00A512AA">
        <w:rPr>
          <w:b/>
          <w:bCs/>
          <w:rtl/>
        </w:rPr>
        <w:t xml:space="preserve"> </w:t>
      </w:r>
      <w:r w:rsidRPr="00A512AA">
        <w:rPr>
          <w:rFonts w:hint="eastAsia"/>
          <w:b/>
          <w:bCs/>
          <w:rtl/>
        </w:rPr>
        <w:t>ביצוע</w:t>
      </w:r>
      <w:r w:rsidRPr="00A512AA">
        <w:rPr>
          <w:b/>
          <w:bCs/>
          <w:rtl/>
        </w:rPr>
        <w:t xml:space="preserve"> </w:t>
      </w:r>
      <w:r w:rsidRPr="00A512AA">
        <w:rPr>
          <w:rFonts w:hint="eastAsia"/>
          <w:b/>
          <w:bCs/>
          <w:rtl/>
        </w:rPr>
        <w:t>בדיקת</w:t>
      </w:r>
      <w:r w:rsidRPr="00A512AA">
        <w:rPr>
          <w:b/>
          <w:bCs/>
          <w:rtl/>
        </w:rPr>
        <w:t xml:space="preserve"> </w:t>
      </w:r>
      <w:r w:rsidRPr="006C3D52">
        <w:rPr>
          <w:rFonts w:hint="eastAsia"/>
          <w:b/>
          <w:bCs/>
          <w:rtl/>
        </w:rPr>
        <w:t>ההיתכנות</w:t>
      </w:r>
      <w:r w:rsidRPr="00A512AA">
        <w:rPr>
          <w:b/>
          <w:bCs/>
          <w:rtl/>
        </w:rPr>
        <w:t xml:space="preserve"> </w:t>
      </w:r>
      <w:r w:rsidR="00112DB6" w:rsidRPr="00A512AA">
        <w:rPr>
          <w:rFonts w:hint="eastAsia"/>
          <w:b/>
          <w:bCs/>
          <w:rtl/>
        </w:rPr>
        <w:t>פעולה</w:t>
      </w:r>
      <w:r w:rsidR="00112DB6" w:rsidRPr="00A512AA">
        <w:rPr>
          <w:b/>
          <w:bCs/>
          <w:rtl/>
        </w:rPr>
        <w:t xml:space="preserve"> המהווה האזנת סתר </w:t>
      </w:r>
      <w:r w:rsidRPr="008A117B">
        <w:rPr>
          <w:b/>
          <w:bCs/>
          <w:rtl/>
        </w:rPr>
        <w:t>המצריכה החזקת צו האזנת סתר כדין בטרם ביצועה, ובלא שהיה בידי המשטרה צו שכזה.</w:t>
      </w:r>
      <w:r w:rsidRPr="000D7E64">
        <w:rPr>
          <w:rFonts w:hint="cs"/>
          <w:b/>
          <w:bCs/>
          <w:rtl/>
        </w:rPr>
        <w:t xml:space="preserve"> פרקטיקה זו</w:t>
      </w:r>
      <w:r w:rsidR="00B810B1">
        <w:rPr>
          <w:rFonts w:hint="cs"/>
          <w:b/>
          <w:bCs/>
          <w:rtl/>
        </w:rPr>
        <w:t>, לפיה בדיקת היתכנות מתבצעת ללא צו מסוג כלשהו,</w:t>
      </w:r>
      <w:r w:rsidRPr="000D7E64">
        <w:rPr>
          <w:rFonts w:hint="cs"/>
          <w:b/>
          <w:bCs/>
          <w:rtl/>
        </w:rPr>
        <w:t xml:space="preserve"> אף הייתה מעוגנת בנהלי</w:t>
      </w:r>
      <w:r w:rsidR="00F87889">
        <w:rPr>
          <w:rFonts w:hint="cs"/>
          <w:b/>
          <w:bCs/>
          <w:rtl/>
        </w:rPr>
        <w:t xml:space="preserve"> </w:t>
      </w:r>
      <w:r w:rsidRPr="000D7E64">
        <w:rPr>
          <w:rFonts w:hint="cs"/>
          <w:b/>
          <w:bCs/>
          <w:rtl/>
        </w:rPr>
        <w:t>ה</w:t>
      </w:r>
      <w:r w:rsidR="00F87889">
        <w:rPr>
          <w:rFonts w:hint="cs"/>
          <w:b/>
          <w:bCs/>
          <w:rtl/>
        </w:rPr>
        <w:t>משטרה</w:t>
      </w:r>
      <w:r w:rsidRPr="000D7E64">
        <w:rPr>
          <w:rFonts w:hint="cs"/>
          <w:b/>
          <w:bCs/>
          <w:rtl/>
        </w:rPr>
        <w:t xml:space="preserve">. </w:t>
      </w:r>
      <w:r w:rsidR="00F87889">
        <w:rPr>
          <w:rFonts w:hint="cs"/>
          <w:b/>
          <w:bCs/>
          <w:rtl/>
        </w:rPr>
        <w:t xml:space="preserve">משרד מבקר המדינה </w:t>
      </w:r>
      <w:r>
        <w:rPr>
          <w:rFonts w:hint="cs"/>
          <w:b/>
          <w:bCs/>
          <w:rtl/>
        </w:rPr>
        <w:t>ער</w:t>
      </w:r>
      <w:r w:rsidR="00F87889">
        <w:rPr>
          <w:rFonts w:hint="cs"/>
          <w:b/>
          <w:bCs/>
          <w:rtl/>
        </w:rPr>
        <w:t>ך</w:t>
      </w:r>
      <w:r>
        <w:rPr>
          <w:rFonts w:hint="cs"/>
          <w:b/>
          <w:bCs/>
          <w:rtl/>
        </w:rPr>
        <w:t xml:space="preserve"> </w:t>
      </w:r>
      <w:r w:rsidRPr="000D7E64">
        <w:rPr>
          <w:rFonts w:hint="cs"/>
          <w:b/>
          <w:bCs/>
          <w:rtl/>
        </w:rPr>
        <w:t>דגימה</w:t>
      </w:r>
      <w:r w:rsidRPr="000D7E64">
        <w:rPr>
          <w:b/>
          <w:bCs/>
          <w:rtl/>
        </w:rPr>
        <w:t xml:space="preserve"> אקראית של 31 בדיקות היתכנות </w:t>
      </w:r>
      <w:r w:rsidR="008862B9">
        <w:rPr>
          <w:rFonts w:hint="cs"/>
          <w:b/>
          <w:bCs/>
          <w:rtl/>
        </w:rPr>
        <w:t xml:space="preserve">ומצא </w:t>
      </w:r>
      <w:r w:rsidRPr="000D7E64">
        <w:rPr>
          <w:b/>
          <w:bCs/>
          <w:rtl/>
        </w:rPr>
        <w:t xml:space="preserve">כי </w:t>
      </w:r>
      <w:r w:rsidR="008862B9">
        <w:rPr>
          <w:rFonts w:hint="cs"/>
          <w:b/>
          <w:bCs/>
          <w:rtl/>
        </w:rPr>
        <w:t xml:space="preserve">13 </w:t>
      </w:r>
      <w:r w:rsidR="00F87889">
        <w:rPr>
          <w:rFonts w:hint="cs"/>
          <w:b/>
          <w:bCs/>
          <w:rtl/>
        </w:rPr>
        <w:t xml:space="preserve">מהן </w:t>
      </w:r>
      <w:r w:rsidR="008862B9">
        <w:rPr>
          <w:rFonts w:hint="cs"/>
          <w:b/>
          <w:bCs/>
          <w:rtl/>
        </w:rPr>
        <w:t xml:space="preserve">היו לא תקינות: </w:t>
      </w:r>
      <w:r w:rsidRPr="000D7E64">
        <w:rPr>
          <w:b/>
          <w:bCs/>
          <w:rtl/>
        </w:rPr>
        <w:t xml:space="preserve">המשטרה </w:t>
      </w:r>
      <w:r w:rsidRPr="000D7E64">
        <w:rPr>
          <w:rFonts w:hint="cs"/>
          <w:b/>
          <w:bCs/>
          <w:rtl/>
        </w:rPr>
        <w:t>ביצעה</w:t>
      </w:r>
      <w:r w:rsidRPr="000D7E64">
        <w:rPr>
          <w:b/>
          <w:bCs/>
          <w:rtl/>
        </w:rPr>
        <w:t xml:space="preserve"> </w:t>
      </w:r>
      <w:r w:rsidR="00B42B25">
        <w:rPr>
          <w:rFonts w:hint="cs"/>
          <w:b/>
          <w:bCs/>
          <w:rtl/>
        </w:rPr>
        <w:t xml:space="preserve">12 </w:t>
      </w:r>
      <w:r>
        <w:rPr>
          <w:rFonts w:hint="cs"/>
          <w:b/>
          <w:bCs/>
          <w:rtl/>
        </w:rPr>
        <w:t>האזנות סתר</w:t>
      </w:r>
      <w:r w:rsidRPr="000D7E64">
        <w:rPr>
          <w:b/>
          <w:bCs/>
          <w:rtl/>
        </w:rPr>
        <w:t xml:space="preserve"> </w:t>
      </w:r>
      <w:r w:rsidRPr="000D7E64">
        <w:rPr>
          <w:rFonts w:hint="cs"/>
          <w:b/>
          <w:bCs/>
          <w:rtl/>
        </w:rPr>
        <w:t>בלא</w:t>
      </w:r>
      <w:r w:rsidRPr="000D7E64">
        <w:rPr>
          <w:b/>
          <w:bCs/>
          <w:rtl/>
        </w:rPr>
        <w:t xml:space="preserve"> </w:t>
      </w:r>
      <w:r w:rsidRPr="000D7E64">
        <w:rPr>
          <w:rFonts w:hint="cs"/>
          <w:b/>
          <w:bCs/>
          <w:rtl/>
        </w:rPr>
        <w:t>שהחזיקה</w:t>
      </w:r>
      <w:r w:rsidRPr="000D7E64">
        <w:rPr>
          <w:b/>
          <w:bCs/>
          <w:rtl/>
        </w:rPr>
        <w:t xml:space="preserve"> </w:t>
      </w:r>
      <w:r w:rsidRPr="000D7E64">
        <w:rPr>
          <w:rFonts w:hint="cs"/>
          <w:b/>
          <w:bCs/>
          <w:rtl/>
        </w:rPr>
        <w:t>צו</w:t>
      </w:r>
      <w:r w:rsidR="00B42B25">
        <w:rPr>
          <w:rFonts w:hint="cs"/>
          <w:b/>
          <w:bCs/>
          <w:rtl/>
        </w:rPr>
        <w:t xml:space="preserve"> מתאים להאזנת סתר לתקשורת בין מחשבים</w:t>
      </w:r>
      <w:r>
        <w:rPr>
          <w:rFonts w:hint="cs"/>
          <w:b/>
          <w:bCs/>
          <w:rtl/>
        </w:rPr>
        <w:t xml:space="preserve"> (</w:t>
      </w:r>
      <w:r w:rsidR="00B42B25">
        <w:rPr>
          <w:rFonts w:hint="cs"/>
          <w:b/>
          <w:bCs/>
          <w:rtl/>
        </w:rPr>
        <w:t>39</w:t>
      </w:r>
      <w:r>
        <w:rPr>
          <w:rFonts w:hint="cs"/>
          <w:b/>
          <w:bCs/>
          <w:rtl/>
        </w:rPr>
        <w:t>%)</w:t>
      </w:r>
      <w:r w:rsidR="008862B9">
        <w:rPr>
          <w:rFonts w:hint="cs"/>
          <w:b/>
          <w:bCs/>
          <w:rtl/>
        </w:rPr>
        <w:t>, ובמקרה אחד אין המשטרה יודעת אילו פעולות בוצעו בבדיקת ההיתכנות ו</w:t>
      </w:r>
      <w:r w:rsidR="00F87889">
        <w:rPr>
          <w:rFonts w:hint="cs"/>
          <w:b/>
          <w:bCs/>
          <w:rtl/>
        </w:rPr>
        <w:t>לפי</w:t>
      </w:r>
      <w:r w:rsidR="008862B9">
        <w:rPr>
          <w:rFonts w:hint="cs"/>
          <w:b/>
          <w:bCs/>
          <w:rtl/>
        </w:rPr>
        <w:t>כך לא ניתן לקבוע אם נדרש היה להחזיק צו בעת ביצוע בדיקת ההיתכנות.</w:t>
      </w:r>
      <w:r w:rsidR="0049609C">
        <w:rPr>
          <w:rFonts w:hint="cs"/>
          <w:b/>
          <w:bCs/>
          <w:rtl/>
        </w:rPr>
        <w:t xml:space="preserve"> </w:t>
      </w:r>
      <w:r w:rsidR="00764D09">
        <w:rPr>
          <w:rFonts w:hint="cs"/>
          <w:b/>
          <w:bCs/>
          <w:rtl/>
        </w:rPr>
        <w:t>עוד יו</w:t>
      </w:r>
      <w:r w:rsidR="00831808">
        <w:rPr>
          <w:rFonts w:hint="cs"/>
          <w:b/>
          <w:bCs/>
          <w:rtl/>
        </w:rPr>
        <w:t>ע</w:t>
      </w:r>
      <w:r w:rsidR="00764D09">
        <w:rPr>
          <w:rFonts w:hint="cs"/>
          <w:b/>
          <w:bCs/>
          <w:rtl/>
        </w:rPr>
        <w:t xml:space="preserve">ר כי המשטרה מסרה בתשובתה מיוני 2024 כי </w:t>
      </w:r>
      <w:r w:rsidR="00271CF5">
        <w:rPr>
          <w:rFonts w:hint="cs"/>
          <w:b/>
          <w:bCs/>
          <w:rtl/>
        </w:rPr>
        <w:t xml:space="preserve">היא ביצעה את </w:t>
      </w:r>
      <w:r w:rsidR="00764D09">
        <w:rPr>
          <w:rFonts w:hint="cs"/>
          <w:b/>
          <w:bCs/>
          <w:rtl/>
        </w:rPr>
        <w:t>אחת מהפעולות לבדיקת היתכנות שהתבצע</w:t>
      </w:r>
      <w:r w:rsidR="00D44E3C">
        <w:rPr>
          <w:rFonts w:hint="cs"/>
          <w:b/>
          <w:bCs/>
          <w:rtl/>
        </w:rPr>
        <w:t>ה</w:t>
      </w:r>
      <w:r w:rsidR="00764D09">
        <w:rPr>
          <w:rFonts w:hint="cs"/>
          <w:b/>
          <w:bCs/>
          <w:rtl/>
        </w:rPr>
        <w:t xml:space="preserve"> תוך שימוש בכלי טכנולוגי מסוים, </w:t>
      </w:r>
      <w:r w:rsidR="00271CF5">
        <w:rPr>
          <w:rFonts w:hint="cs"/>
          <w:b/>
          <w:bCs/>
          <w:rtl/>
        </w:rPr>
        <w:t>ב</w:t>
      </w:r>
      <w:r w:rsidR="00764D09">
        <w:rPr>
          <w:rFonts w:hint="cs"/>
          <w:b/>
          <w:bCs/>
          <w:rtl/>
        </w:rPr>
        <w:t>משך תקופה</w:t>
      </w:r>
      <w:r w:rsidR="00271CF5">
        <w:rPr>
          <w:rFonts w:hint="cs"/>
          <w:b/>
          <w:bCs/>
          <w:rtl/>
        </w:rPr>
        <w:t>,</w:t>
      </w:r>
      <w:r w:rsidR="00764D09">
        <w:rPr>
          <w:rFonts w:hint="cs"/>
          <w:b/>
          <w:bCs/>
          <w:rtl/>
        </w:rPr>
        <w:t xml:space="preserve"> ללא יכולת שחזור האירועים וללא החזקת צו האזנה לתקשורת בין מחשבים</w:t>
      </w:r>
      <w:r w:rsidR="00764D09" w:rsidRPr="00764D09">
        <w:rPr>
          <w:b/>
          <w:bCs/>
          <w:rtl/>
        </w:rPr>
        <w:t>.</w:t>
      </w:r>
      <w:r w:rsidR="00764D09">
        <w:rPr>
          <w:rFonts w:hint="cs"/>
          <w:b/>
          <w:bCs/>
          <w:rtl/>
        </w:rPr>
        <w:t xml:space="preserve"> פעולה זו, </w:t>
      </w:r>
      <w:r w:rsidR="00271CF5">
        <w:rPr>
          <w:rFonts w:hint="cs"/>
          <w:b/>
          <w:bCs/>
          <w:rtl/>
        </w:rPr>
        <w:t>ש</w:t>
      </w:r>
      <w:r w:rsidR="00764D09">
        <w:rPr>
          <w:rFonts w:hint="cs"/>
          <w:b/>
          <w:bCs/>
          <w:rtl/>
        </w:rPr>
        <w:t>המשטרה לא מסרה פרטים למשרד מבקר המדינה על טיבה והיקפה</w:t>
      </w:r>
      <w:r w:rsidR="00271CF5">
        <w:rPr>
          <w:rFonts w:hint="cs"/>
          <w:b/>
          <w:bCs/>
          <w:rtl/>
        </w:rPr>
        <w:t>,</w:t>
      </w:r>
      <w:r w:rsidR="00764D09">
        <w:rPr>
          <w:rFonts w:hint="cs"/>
          <w:b/>
          <w:bCs/>
          <w:rtl/>
        </w:rPr>
        <w:t xml:space="preserve"> </w:t>
      </w:r>
      <w:r w:rsidR="008F01B0">
        <w:rPr>
          <w:rFonts w:hint="cs"/>
          <w:b/>
          <w:bCs/>
          <w:rtl/>
        </w:rPr>
        <w:t>היא פעולה אסורה</w:t>
      </w:r>
      <w:r w:rsidR="00764D09">
        <w:rPr>
          <w:rFonts w:hint="cs"/>
          <w:b/>
          <w:bCs/>
          <w:rtl/>
        </w:rPr>
        <w:t xml:space="preserve">. </w:t>
      </w:r>
    </w:p>
    <w:p w:rsidR="00AE246C" w:rsidRDefault="00AE246C" w:rsidP="006C3D52">
      <w:pPr>
        <w:pStyle w:val="a5"/>
        <w:spacing w:line="269" w:lineRule="auto"/>
        <w:ind w:left="153"/>
        <w:rPr>
          <w:rtl/>
        </w:rPr>
      </w:pPr>
    </w:p>
    <w:p w:rsidR="00AE246C" w:rsidRPr="00AE0E81" w:rsidRDefault="00AE246C" w:rsidP="006C3D52">
      <w:pPr>
        <w:spacing w:line="269" w:lineRule="auto"/>
        <w:ind w:left="340"/>
        <w:rPr>
          <w:rtl/>
        </w:rPr>
      </w:pPr>
      <w:r w:rsidRPr="00FD28AB">
        <w:rPr>
          <w:rFonts w:hint="cs"/>
          <w:rtl/>
        </w:rPr>
        <w:t>המשטרה</w:t>
      </w:r>
      <w:r w:rsidR="003201A7">
        <w:rPr>
          <w:rFonts w:hint="cs"/>
          <w:rtl/>
        </w:rPr>
        <w:t xml:space="preserve"> מסרה בתשובתה</w:t>
      </w:r>
      <w:r w:rsidRPr="00FD28AB">
        <w:rPr>
          <w:rFonts w:hint="cs"/>
          <w:rtl/>
        </w:rPr>
        <w:t xml:space="preserve"> כי היא פועלת לעיגון הליך בדיקת ההיתכנות המבוצע על ידי מפעילים </w:t>
      </w:r>
      <w:r w:rsidR="009F157E">
        <w:rPr>
          <w:rFonts w:hint="cs"/>
          <w:rtl/>
        </w:rPr>
        <w:t>בהנחיות</w:t>
      </w:r>
      <w:r>
        <w:rPr>
          <w:rFonts w:hint="cs"/>
          <w:rtl/>
        </w:rPr>
        <w:t>.</w:t>
      </w:r>
      <w:r>
        <w:rPr>
          <w:rFonts w:hint="cs"/>
          <w:b/>
          <w:bCs/>
          <w:rtl/>
        </w:rPr>
        <w:t xml:space="preserve"> </w:t>
      </w:r>
      <w:r w:rsidR="00F87889">
        <w:rPr>
          <w:rFonts w:hint="cs"/>
          <w:rtl/>
        </w:rPr>
        <w:t xml:space="preserve">כמו כן, היא </w:t>
      </w:r>
      <w:r>
        <w:rPr>
          <w:rFonts w:hint="cs"/>
          <w:rtl/>
        </w:rPr>
        <w:t xml:space="preserve">מסרה למבקר המדינה את נוסחי </w:t>
      </w:r>
      <w:r w:rsidR="009F157E">
        <w:rPr>
          <w:rFonts w:hint="cs"/>
          <w:rtl/>
        </w:rPr>
        <w:t>ההנחיות האמורות</w:t>
      </w:r>
      <w:r>
        <w:rPr>
          <w:rFonts w:hint="cs"/>
          <w:rtl/>
        </w:rPr>
        <w:t xml:space="preserve">. </w:t>
      </w:r>
    </w:p>
    <w:p w:rsidR="00AE0E81" w:rsidRPr="00AE0E81" w:rsidRDefault="00382AE8" w:rsidP="006C3D52">
      <w:pPr>
        <w:pStyle w:val="a5"/>
        <w:spacing w:line="269" w:lineRule="auto"/>
        <w:ind w:left="153"/>
        <w:rPr>
          <w:rtl/>
        </w:rPr>
      </w:pPr>
      <w:r>
        <w:rPr>
          <w:rFonts w:hint="cs"/>
          <w:rtl/>
        </w:rPr>
        <w:t xml:space="preserve"> </w:t>
      </w:r>
    </w:p>
    <w:p w:rsidR="00B00F95" w:rsidRDefault="00073EB8" w:rsidP="006C3D52">
      <w:pPr>
        <w:pStyle w:val="aff2"/>
        <w:spacing w:line="269" w:lineRule="auto"/>
        <w:ind w:left="340"/>
        <w:rPr>
          <w:rtl/>
        </w:rPr>
      </w:pPr>
      <w:r>
        <w:rPr>
          <w:rFonts w:hint="cs"/>
          <w:rtl/>
        </w:rPr>
        <w:t xml:space="preserve">עוד </w:t>
      </w:r>
      <w:r w:rsidR="00AA1115">
        <w:rPr>
          <w:rFonts w:hint="eastAsia"/>
          <w:rtl/>
        </w:rPr>
        <w:t>נמצא כי</w:t>
      </w:r>
      <w:r w:rsidR="00AE246C" w:rsidRPr="003201A7">
        <w:rPr>
          <w:rtl/>
        </w:rPr>
        <w:t xml:space="preserve"> </w:t>
      </w:r>
      <w:r w:rsidR="00AE0E81" w:rsidRPr="003201A7">
        <w:rPr>
          <w:rFonts w:hint="eastAsia"/>
          <w:rtl/>
        </w:rPr>
        <w:t>גם</w:t>
      </w:r>
      <w:r w:rsidR="00AE0E81" w:rsidRPr="003201A7">
        <w:rPr>
          <w:rtl/>
        </w:rPr>
        <w:t xml:space="preserve"> </w:t>
      </w:r>
      <w:r w:rsidR="009F157E">
        <w:rPr>
          <w:rFonts w:hint="cs"/>
          <w:rtl/>
        </w:rPr>
        <w:t>בהנחיות העדכניות</w:t>
      </w:r>
      <w:r w:rsidR="00AE0E81" w:rsidRPr="003201A7">
        <w:rPr>
          <w:rtl/>
        </w:rPr>
        <w:t xml:space="preserve"> </w:t>
      </w:r>
      <w:r w:rsidR="00AE0E81" w:rsidRPr="003201A7">
        <w:rPr>
          <w:rFonts w:hint="eastAsia"/>
          <w:rtl/>
        </w:rPr>
        <w:t>שהכינה</w:t>
      </w:r>
      <w:r w:rsidR="00AE0E81" w:rsidRPr="003201A7">
        <w:rPr>
          <w:rtl/>
        </w:rPr>
        <w:t xml:space="preserve"> </w:t>
      </w:r>
      <w:r w:rsidR="00AE0E81" w:rsidRPr="003201A7">
        <w:rPr>
          <w:rFonts w:hint="eastAsia"/>
          <w:rtl/>
        </w:rPr>
        <w:t>המשטרה</w:t>
      </w:r>
      <w:r w:rsidR="00AE0E81" w:rsidRPr="003201A7">
        <w:rPr>
          <w:rtl/>
        </w:rPr>
        <w:t xml:space="preserve"> </w:t>
      </w:r>
      <w:r w:rsidR="00AE0E81" w:rsidRPr="003201A7">
        <w:rPr>
          <w:rFonts w:hint="eastAsia"/>
          <w:rtl/>
        </w:rPr>
        <w:t>אין</w:t>
      </w:r>
      <w:r w:rsidR="00AE0E81" w:rsidRPr="003201A7">
        <w:rPr>
          <w:rtl/>
        </w:rPr>
        <w:t xml:space="preserve"> </w:t>
      </w:r>
      <w:r w:rsidR="00AE0E81" w:rsidRPr="003201A7">
        <w:rPr>
          <w:rFonts w:hint="eastAsia"/>
          <w:rtl/>
        </w:rPr>
        <w:t>אזכור</w:t>
      </w:r>
      <w:r w:rsidR="00AE0E81" w:rsidRPr="003201A7">
        <w:rPr>
          <w:rtl/>
        </w:rPr>
        <w:t xml:space="preserve"> </w:t>
      </w:r>
      <w:r w:rsidR="00AE0E81" w:rsidRPr="003201A7">
        <w:rPr>
          <w:rFonts w:hint="eastAsia"/>
          <w:rtl/>
        </w:rPr>
        <w:t>לצורך</w:t>
      </w:r>
      <w:r w:rsidR="00AE0E81" w:rsidRPr="003201A7">
        <w:rPr>
          <w:rtl/>
        </w:rPr>
        <w:t xml:space="preserve"> </w:t>
      </w:r>
      <w:r w:rsidR="00AE0E81" w:rsidRPr="003201A7">
        <w:rPr>
          <w:rFonts w:hint="eastAsia"/>
          <w:rtl/>
        </w:rPr>
        <w:t>בהוצאת</w:t>
      </w:r>
      <w:r w:rsidR="00AE0E81" w:rsidRPr="003201A7">
        <w:rPr>
          <w:rtl/>
        </w:rPr>
        <w:t xml:space="preserve"> </w:t>
      </w:r>
      <w:r w:rsidR="00AE0E81" w:rsidRPr="003201A7">
        <w:rPr>
          <w:rFonts w:hint="eastAsia"/>
          <w:rtl/>
        </w:rPr>
        <w:t>הצווים</w:t>
      </w:r>
      <w:r w:rsidR="00AE0E81" w:rsidRPr="003201A7">
        <w:rPr>
          <w:rtl/>
        </w:rPr>
        <w:t xml:space="preserve"> </w:t>
      </w:r>
      <w:r w:rsidR="00AE0E81" w:rsidRPr="003201A7">
        <w:rPr>
          <w:rFonts w:hint="eastAsia"/>
          <w:rtl/>
        </w:rPr>
        <w:t>הנדרשים</w:t>
      </w:r>
      <w:r w:rsidR="00AE0E81" w:rsidRPr="003201A7">
        <w:rPr>
          <w:rtl/>
        </w:rPr>
        <w:t xml:space="preserve"> </w:t>
      </w:r>
      <w:r w:rsidR="005762C1">
        <w:rPr>
          <w:rFonts w:hint="cs"/>
          <w:rtl/>
        </w:rPr>
        <w:t>לפני</w:t>
      </w:r>
      <w:r w:rsidR="005762C1" w:rsidRPr="003201A7">
        <w:rPr>
          <w:rtl/>
        </w:rPr>
        <w:t xml:space="preserve"> </w:t>
      </w:r>
      <w:r w:rsidR="00AE0E81" w:rsidRPr="003201A7">
        <w:rPr>
          <w:rFonts w:hint="eastAsia"/>
          <w:rtl/>
        </w:rPr>
        <w:t>ביצוע</w:t>
      </w:r>
      <w:r w:rsidR="00AE0E81" w:rsidRPr="003201A7">
        <w:rPr>
          <w:rtl/>
        </w:rPr>
        <w:t xml:space="preserve"> </w:t>
      </w:r>
      <w:r w:rsidR="00AE0E81" w:rsidRPr="003201A7">
        <w:rPr>
          <w:rFonts w:hint="eastAsia"/>
          <w:rtl/>
        </w:rPr>
        <w:t>בדיקות</w:t>
      </w:r>
      <w:r w:rsidR="00AE0E81" w:rsidRPr="003201A7">
        <w:rPr>
          <w:rtl/>
        </w:rPr>
        <w:t xml:space="preserve"> </w:t>
      </w:r>
      <w:r w:rsidR="00AE0E81" w:rsidRPr="003201A7">
        <w:rPr>
          <w:rFonts w:hint="eastAsia"/>
          <w:rtl/>
        </w:rPr>
        <w:t>ההיתכנות</w:t>
      </w:r>
      <w:r w:rsidR="00AE0E81" w:rsidRPr="003201A7">
        <w:rPr>
          <w:rtl/>
        </w:rPr>
        <w:t xml:space="preserve"> </w:t>
      </w:r>
      <w:r w:rsidR="00AE0E81" w:rsidRPr="003201A7">
        <w:rPr>
          <w:rFonts w:hint="eastAsia"/>
          <w:rtl/>
        </w:rPr>
        <w:t>בהתאם</w:t>
      </w:r>
      <w:r w:rsidR="00AE0E81" w:rsidRPr="003201A7">
        <w:rPr>
          <w:rtl/>
        </w:rPr>
        <w:t xml:space="preserve"> </w:t>
      </w:r>
      <w:r w:rsidR="00AE0E81" w:rsidRPr="003201A7">
        <w:rPr>
          <w:rFonts w:hint="eastAsia"/>
          <w:rtl/>
        </w:rPr>
        <w:t>לכל</w:t>
      </w:r>
      <w:r w:rsidR="00AE0E81" w:rsidRPr="003201A7">
        <w:rPr>
          <w:rtl/>
        </w:rPr>
        <w:t xml:space="preserve"> </w:t>
      </w:r>
      <w:r w:rsidR="00AE0E81" w:rsidRPr="003201A7">
        <w:rPr>
          <w:rFonts w:hint="eastAsia"/>
          <w:rtl/>
        </w:rPr>
        <w:t>סוג</w:t>
      </w:r>
      <w:r w:rsidR="00AE0E81" w:rsidRPr="003201A7">
        <w:rPr>
          <w:rtl/>
        </w:rPr>
        <w:t xml:space="preserve"> </w:t>
      </w:r>
      <w:r w:rsidR="00AE0E81" w:rsidRPr="003201A7">
        <w:rPr>
          <w:rFonts w:hint="eastAsia"/>
          <w:rtl/>
        </w:rPr>
        <w:t>בדיקה</w:t>
      </w:r>
      <w:r w:rsidR="00AE0E81" w:rsidRPr="003201A7">
        <w:rPr>
          <w:rtl/>
        </w:rPr>
        <w:t xml:space="preserve">. </w:t>
      </w:r>
      <w:r w:rsidR="00AE0E81" w:rsidRPr="003201A7">
        <w:rPr>
          <w:rFonts w:hint="eastAsia"/>
          <w:rtl/>
        </w:rPr>
        <w:t>עוד</w:t>
      </w:r>
      <w:r w:rsidR="00AE0E81" w:rsidRPr="003201A7">
        <w:rPr>
          <w:rtl/>
        </w:rPr>
        <w:t xml:space="preserve"> </w:t>
      </w:r>
      <w:r w:rsidR="00AE0E81" w:rsidRPr="003201A7">
        <w:rPr>
          <w:rFonts w:hint="eastAsia"/>
          <w:rtl/>
        </w:rPr>
        <w:t>עולה</w:t>
      </w:r>
      <w:r w:rsidR="00AE0E81" w:rsidRPr="003201A7">
        <w:rPr>
          <w:rtl/>
        </w:rPr>
        <w:t xml:space="preserve"> </w:t>
      </w:r>
      <w:r w:rsidR="009B429D" w:rsidRPr="009B429D">
        <w:rPr>
          <w:rFonts w:hint="eastAsia"/>
          <w:rtl/>
        </w:rPr>
        <w:t>כי</w:t>
      </w:r>
      <w:r w:rsidR="009B429D" w:rsidRPr="009B429D">
        <w:rPr>
          <w:rtl/>
        </w:rPr>
        <w:t xml:space="preserve"> </w:t>
      </w:r>
      <w:r w:rsidR="009B429D" w:rsidRPr="009B429D">
        <w:rPr>
          <w:rFonts w:hint="eastAsia"/>
          <w:rtl/>
        </w:rPr>
        <w:t>יש</w:t>
      </w:r>
      <w:r w:rsidR="009B429D" w:rsidRPr="009B429D">
        <w:rPr>
          <w:rtl/>
        </w:rPr>
        <w:t xml:space="preserve"> </w:t>
      </w:r>
      <w:r w:rsidR="009B429D" w:rsidRPr="009B429D">
        <w:rPr>
          <w:rFonts w:hint="cs"/>
          <w:rtl/>
        </w:rPr>
        <w:t xml:space="preserve">סוגי </w:t>
      </w:r>
      <w:r w:rsidR="009B429D" w:rsidRPr="009B429D">
        <w:rPr>
          <w:rFonts w:hint="eastAsia"/>
          <w:rtl/>
        </w:rPr>
        <w:t>בדיקות</w:t>
      </w:r>
      <w:r w:rsidR="009B429D" w:rsidRPr="009B429D">
        <w:rPr>
          <w:rtl/>
        </w:rPr>
        <w:t xml:space="preserve"> </w:t>
      </w:r>
      <w:r w:rsidR="009B429D" w:rsidRPr="009B429D">
        <w:rPr>
          <w:rFonts w:hint="eastAsia"/>
          <w:rtl/>
        </w:rPr>
        <w:t>היתכנות</w:t>
      </w:r>
      <w:r w:rsidR="009B429D" w:rsidRPr="009B429D">
        <w:rPr>
          <w:rtl/>
        </w:rPr>
        <w:t xml:space="preserve"> </w:t>
      </w:r>
      <w:r w:rsidR="009B429D" w:rsidRPr="009B429D">
        <w:rPr>
          <w:rFonts w:hint="eastAsia"/>
          <w:rtl/>
        </w:rPr>
        <w:t>שמבוצעות</w:t>
      </w:r>
      <w:r w:rsidR="009B429D" w:rsidRPr="009B429D">
        <w:rPr>
          <w:rtl/>
        </w:rPr>
        <w:t xml:space="preserve"> </w:t>
      </w:r>
      <w:r w:rsidR="009B429D" w:rsidRPr="009B429D">
        <w:rPr>
          <w:rFonts w:hint="eastAsia"/>
          <w:rtl/>
        </w:rPr>
        <w:t>על</w:t>
      </w:r>
      <w:r w:rsidR="009B429D" w:rsidRPr="009B429D">
        <w:rPr>
          <w:rtl/>
        </w:rPr>
        <w:t xml:space="preserve"> </w:t>
      </w:r>
      <w:r w:rsidR="009B429D" w:rsidRPr="009B429D">
        <w:rPr>
          <w:rFonts w:hint="eastAsia"/>
          <w:rtl/>
        </w:rPr>
        <w:t>ידי</w:t>
      </w:r>
      <w:r w:rsidR="009B429D" w:rsidRPr="009B429D">
        <w:rPr>
          <w:rtl/>
        </w:rPr>
        <w:t xml:space="preserve"> </w:t>
      </w:r>
      <w:r w:rsidR="009B429D" w:rsidRPr="009B429D">
        <w:rPr>
          <w:rFonts w:hint="eastAsia"/>
          <w:rtl/>
        </w:rPr>
        <w:t>המשטרה</w:t>
      </w:r>
      <w:r w:rsidR="009B429D" w:rsidRPr="009B429D">
        <w:rPr>
          <w:rtl/>
        </w:rPr>
        <w:t xml:space="preserve"> </w:t>
      </w:r>
      <w:r w:rsidR="009B429D" w:rsidRPr="009B429D">
        <w:rPr>
          <w:rFonts w:hint="eastAsia"/>
          <w:rtl/>
        </w:rPr>
        <w:t>אך</w:t>
      </w:r>
      <w:r w:rsidR="009B429D" w:rsidRPr="009B429D">
        <w:rPr>
          <w:rtl/>
        </w:rPr>
        <w:t xml:space="preserve"> </w:t>
      </w:r>
      <w:r w:rsidR="009B429D" w:rsidRPr="009B429D">
        <w:rPr>
          <w:rFonts w:hint="eastAsia"/>
          <w:rtl/>
        </w:rPr>
        <w:t>לא</w:t>
      </w:r>
      <w:r w:rsidR="009B429D" w:rsidRPr="009B429D">
        <w:rPr>
          <w:rtl/>
        </w:rPr>
        <w:t xml:space="preserve"> </w:t>
      </w:r>
      <w:r w:rsidR="009B429D" w:rsidRPr="009B429D">
        <w:rPr>
          <w:rFonts w:hint="eastAsia"/>
          <w:rtl/>
        </w:rPr>
        <w:t>מוזכרות</w:t>
      </w:r>
      <w:r w:rsidR="009B429D" w:rsidRPr="009B429D">
        <w:rPr>
          <w:rtl/>
        </w:rPr>
        <w:t xml:space="preserve"> </w:t>
      </w:r>
      <w:r w:rsidR="009F157E">
        <w:rPr>
          <w:rFonts w:hint="cs"/>
          <w:rtl/>
        </w:rPr>
        <w:t>בהנחיות הללו</w:t>
      </w:r>
      <w:r w:rsidR="00B00F95">
        <w:rPr>
          <w:rFonts w:hint="cs"/>
          <w:rtl/>
        </w:rPr>
        <w:t>.</w:t>
      </w:r>
      <w:r w:rsidR="00AE0E81" w:rsidRPr="003201A7">
        <w:rPr>
          <w:rtl/>
        </w:rPr>
        <w:t xml:space="preserve"> </w:t>
      </w:r>
    </w:p>
    <w:p w:rsidR="00882F0A" w:rsidRPr="00882F0A" w:rsidRDefault="00382AE8" w:rsidP="006C3D52">
      <w:pPr>
        <w:pStyle w:val="a5"/>
        <w:spacing w:line="269" w:lineRule="auto"/>
        <w:ind w:left="0"/>
        <w:rPr>
          <w:rtl/>
        </w:rPr>
      </w:pPr>
      <w:r>
        <w:rPr>
          <w:rtl/>
        </w:rPr>
        <w:t xml:space="preserve"> </w:t>
      </w:r>
    </w:p>
    <w:p w:rsidR="00882F0A" w:rsidRPr="00133C67" w:rsidRDefault="00882F0A" w:rsidP="006C3D52">
      <w:pPr>
        <w:spacing w:line="269" w:lineRule="auto"/>
        <w:ind w:left="340"/>
        <w:rPr>
          <w:rtl/>
        </w:rPr>
      </w:pPr>
      <w:r w:rsidRPr="00133C67">
        <w:rPr>
          <w:rFonts w:hint="cs"/>
          <w:rtl/>
        </w:rPr>
        <w:t xml:space="preserve">מסקירה של </w:t>
      </w:r>
      <w:r w:rsidR="009F157E">
        <w:rPr>
          <w:rFonts w:hint="cs"/>
          <w:rtl/>
        </w:rPr>
        <w:t>הנחיה</w:t>
      </w:r>
      <w:r w:rsidRPr="00133C67">
        <w:rPr>
          <w:rFonts w:hint="cs"/>
          <w:rtl/>
        </w:rPr>
        <w:t xml:space="preserve"> שהכינה המשטרה בינואר 2024 בנושא הפעלת כלי טכנולוגי מסוים</w:t>
      </w:r>
      <w:r w:rsidR="00B00F95">
        <w:rPr>
          <w:rFonts w:hint="cs"/>
          <w:rtl/>
        </w:rPr>
        <w:t xml:space="preserve"> </w:t>
      </w:r>
      <w:r w:rsidRPr="00133C67">
        <w:rPr>
          <w:rFonts w:hint="cs"/>
          <w:rtl/>
        </w:rPr>
        <w:t xml:space="preserve">נרשם כי ניתן לבצע פעולה מסוימת הנוגעת לנתוני תקשורת אך לא צוין </w:t>
      </w:r>
      <w:r w:rsidR="009F157E">
        <w:rPr>
          <w:rFonts w:hint="cs"/>
          <w:rtl/>
        </w:rPr>
        <w:t xml:space="preserve">בהנחיה </w:t>
      </w:r>
      <w:r w:rsidRPr="00133C67">
        <w:rPr>
          <w:rFonts w:hint="cs"/>
          <w:rtl/>
        </w:rPr>
        <w:t>כי נדרש להחזיק לשם כך בצו. למעשה, אזכור נחיצות הצו מופיע רק לאחר סיום ביצוע בדיקת ההיתכנות</w:t>
      </w:r>
      <w:r w:rsidR="00B00F95">
        <w:rPr>
          <w:rFonts w:hint="cs"/>
          <w:rtl/>
        </w:rPr>
        <w:t>.</w:t>
      </w:r>
      <w:r w:rsidR="00382AE8">
        <w:rPr>
          <w:rFonts w:hint="cs"/>
          <w:rtl/>
        </w:rPr>
        <w:t xml:space="preserve"> </w:t>
      </w:r>
    </w:p>
    <w:p w:rsidR="000E54FF" w:rsidRPr="001C5C02" w:rsidRDefault="00382AE8" w:rsidP="006C3D52">
      <w:pPr>
        <w:pStyle w:val="a5"/>
        <w:spacing w:line="269" w:lineRule="auto"/>
        <w:ind w:left="0"/>
        <w:rPr>
          <w:rtl/>
        </w:rPr>
      </w:pPr>
      <w:r>
        <w:rPr>
          <w:rtl/>
        </w:rPr>
        <w:t xml:space="preserve"> </w:t>
      </w:r>
    </w:p>
    <w:p w:rsidR="00F809C0" w:rsidRDefault="009B429D" w:rsidP="006C3D52">
      <w:pPr>
        <w:spacing w:line="269" w:lineRule="auto"/>
        <w:ind w:left="340"/>
        <w:rPr>
          <w:rtl/>
        </w:rPr>
      </w:pPr>
      <w:r w:rsidRPr="009B429D">
        <w:rPr>
          <w:rFonts w:hint="eastAsia"/>
          <w:rtl/>
        </w:rPr>
        <w:t>המשטרה</w:t>
      </w:r>
      <w:r w:rsidRPr="009B429D">
        <w:rPr>
          <w:rtl/>
        </w:rPr>
        <w:t xml:space="preserve"> מסרה בהתייחסותה</w:t>
      </w:r>
      <w:r w:rsidRPr="009B429D">
        <w:rPr>
          <w:rFonts w:hint="cs"/>
          <w:rtl/>
        </w:rPr>
        <w:t xml:space="preserve"> מפברואר 2025 כי בדיקות ההיתכנות שמופיעות </w:t>
      </w:r>
      <w:r w:rsidR="009F157E">
        <w:rPr>
          <w:rFonts w:hint="cs"/>
          <w:rtl/>
        </w:rPr>
        <w:t>בהנחיות הללו</w:t>
      </w:r>
      <w:r w:rsidRPr="009B429D">
        <w:rPr>
          <w:rFonts w:hint="cs"/>
          <w:rtl/>
        </w:rPr>
        <w:t xml:space="preserve"> הן רק אלו שבאחריות מפעילי הכלים, ובדיקות היתכנות שלא מבוצעות על ידם לא יופיעו שם. בבדיקות היתכנות שבאחריות המפיקים הפעולה מתבצעת על ידי מפיק לאחר שהוא מחזיק בצו מתאים והדבר ייקבע בהנחיה נוספת בנושא.</w:t>
      </w:r>
      <w:r w:rsidR="00382AE8">
        <w:rPr>
          <w:rFonts w:hint="cs"/>
          <w:rtl/>
        </w:rPr>
        <w:t xml:space="preserve"> </w:t>
      </w:r>
    </w:p>
    <w:p w:rsidR="004A73E2" w:rsidRPr="004A73E2" w:rsidRDefault="004A73E2" w:rsidP="006C3D52">
      <w:pPr>
        <w:pStyle w:val="a5"/>
        <w:spacing w:line="269" w:lineRule="auto"/>
        <w:ind w:left="0"/>
        <w:rPr>
          <w:rtl/>
        </w:rPr>
      </w:pPr>
    </w:p>
    <w:p w:rsidR="004A73E2" w:rsidRDefault="002610EA" w:rsidP="006C3D52">
      <w:pPr>
        <w:spacing w:line="269" w:lineRule="auto"/>
        <w:ind w:left="340"/>
        <w:rPr>
          <w:rtl/>
        </w:rPr>
      </w:pPr>
      <w:r>
        <w:rPr>
          <w:rFonts w:hint="cs"/>
          <w:rtl/>
        </w:rPr>
        <w:t xml:space="preserve">נמצא כי בניגוד לטענות המשטרה, ההנחיה האמורה, שעדיין לא אושרה והופצה נכון </w:t>
      </w:r>
      <w:r w:rsidR="00C27DF2">
        <w:rPr>
          <w:rFonts w:hint="cs"/>
          <w:rtl/>
        </w:rPr>
        <w:t>לינואר</w:t>
      </w:r>
      <w:r>
        <w:rPr>
          <w:rFonts w:hint="cs"/>
          <w:rtl/>
        </w:rPr>
        <w:t xml:space="preserve"> 2025</w:t>
      </w:r>
      <w:r w:rsidR="004A73E2">
        <w:rPr>
          <w:rFonts w:hint="cs"/>
          <w:rtl/>
        </w:rPr>
        <w:t>,</w:t>
      </w:r>
      <w:r>
        <w:rPr>
          <w:rFonts w:hint="cs"/>
          <w:rtl/>
        </w:rPr>
        <w:t xml:space="preserve"> לא כוללת התייחסות לסוגי בדיקות ההיתכנות הרלוונטיות ואילו צווים נדרש להחזיק בכל אחת משיטות הבדיקה. כמו כן, </w:t>
      </w:r>
      <w:r w:rsidR="009F157E">
        <w:rPr>
          <w:rFonts w:hint="cs"/>
          <w:rtl/>
        </w:rPr>
        <w:t xml:space="preserve">ההנחיה </w:t>
      </w:r>
      <w:r>
        <w:rPr>
          <w:rFonts w:hint="cs"/>
          <w:rtl/>
        </w:rPr>
        <w:t xml:space="preserve">למפעיל אינה מפנה אותו להנחיה </w:t>
      </w:r>
      <w:bookmarkStart w:id="239" w:name="_Hlk196653264"/>
      <w:r w:rsidR="00432FA9" w:rsidRPr="00432FA9">
        <w:rPr>
          <w:rFonts w:hint="cs"/>
          <w:rtl/>
        </w:rPr>
        <w:t>שבאחריות המפיק</w:t>
      </w:r>
      <w:bookmarkEnd w:id="239"/>
      <w:r>
        <w:rPr>
          <w:rFonts w:hint="cs"/>
          <w:rtl/>
        </w:rPr>
        <w:t xml:space="preserve">. </w:t>
      </w:r>
    </w:p>
    <w:p w:rsidR="006C3D52" w:rsidRPr="004A73E2" w:rsidRDefault="006C3D52" w:rsidP="006C3D52">
      <w:pPr>
        <w:spacing w:line="269" w:lineRule="auto"/>
        <w:ind w:left="340"/>
        <w:rPr>
          <w:rtl/>
        </w:rPr>
      </w:pPr>
    </w:p>
    <w:p w:rsidR="002610EA" w:rsidRPr="001C5C02" w:rsidRDefault="002610EA" w:rsidP="006C3D52">
      <w:pPr>
        <w:spacing w:line="269" w:lineRule="auto"/>
        <w:ind w:left="340"/>
        <w:rPr>
          <w:b/>
          <w:bCs/>
          <w:rtl/>
        </w:rPr>
      </w:pPr>
      <w:r w:rsidRPr="001C5C02">
        <w:rPr>
          <w:rFonts w:hint="eastAsia"/>
          <w:b/>
          <w:bCs/>
          <w:rtl/>
        </w:rPr>
        <w:t>יוצא</w:t>
      </w:r>
      <w:r w:rsidRPr="001C5C02">
        <w:rPr>
          <w:b/>
          <w:bCs/>
          <w:rtl/>
        </w:rPr>
        <w:t xml:space="preserve"> אפוא כי תשתית ההנחיות </w:t>
      </w:r>
      <w:r w:rsidR="006C3D52">
        <w:rPr>
          <w:rFonts w:hint="cs"/>
          <w:b/>
          <w:bCs/>
          <w:rtl/>
        </w:rPr>
        <w:t>ש</w:t>
      </w:r>
      <w:r w:rsidRPr="001C5C02">
        <w:rPr>
          <w:b/>
          <w:bCs/>
          <w:rtl/>
        </w:rPr>
        <w:t xml:space="preserve">עליה </w:t>
      </w:r>
      <w:r>
        <w:rPr>
          <w:rFonts w:hint="cs"/>
          <w:b/>
          <w:bCs/>
          <w:rtl/>
        </w:rPr>
        <w:t>עמלה</w:t>
      </w:r>
      <w:r w:rsidRPr="001C5C02">
        <w:rPr>
          <w:b/>
          <w:bCs/>
          <w:rtl/>
        </w:rPr>
        <w:t xml:space="preserve"> המשטרה</w:t>
      </w:r>
      <w:r>
        <w:rPr>
          <w:rFonts w:hint="cs"/>
          <w:b/>
          <w:bCs/>
          <w:rtl/>
        </w:rPr>
        <w:t xml:space="preserve"> במהלך תקופת הביקורת</w:t>
      </w:r>
      <w:r w:rsidRPr="001C5C02">
        <w:rPr>
          <w:b/>
          <w:bCs/>
          <w:rtl/>
        </w:rPr>
        <w:t xml:space="preserve"> הי</w:t>
      </w:r>
      <w:r>
        <w:rPr>
          <w:rFonts w:hint="cs"/>
          <w:b/>
          <w:bCs/>
          <w:rtl/>
        </w:rPr>
        <w:t>יתה</w:t>
      </w:r>
      <w:r w:rsidRPr="001C5C02">
        <w:rPr>
          <w:b/>
          <w:bCs/>
          <w:rtl/>
        </w:rPr>
        <w:t xml:space="preserve"> חלקית</w:t>
      </w:r>
      <w:r>
        <w:rPr>
          <w:rFonts w:hint="cs"/>
          <w:b/>
          <w:bCs/>
          <w:rtl/>
        </w:rPr>
        <w:t xml:space="preserve">: </w:t>
      </w:r>
      <w:r w:rsidR="004A73E2">
        <w:rPr>
          <w:rFonts w:hint="cs"/>
          <w:b/>
          <w:bCs/>
          <w:rtl/>
        </w:rPr>
        <w:t>התשתית</w:t>
      </w:r>
      <w:r>
        <w:rPr>
          <w:rFonts w:hint="cs"/>
          <w:b/>
          <w:bCs/>
          <w:rtl/>
        </w:rPr>
        <w:t xml:space="preserve"> לא כלל</w:t>
      </w:r>
      <w:r w:rsidR="004A73E2">
        <w:rPr>
          <w:rFonts w:hint="cs"/>
          <w:b/>
          <w:bCs/>
          <w:rtl/>
        </w:rPr>
        <w:t>ה</w:t>
      </w:r>
      <w:r>
        <w:rPr>
          <w:rFonts w:hint="cs"/>
          <w:b/>
          <w:bCs/>
          <w:rtl/>
        </w:rPr>
        <w:t xml:space="preserve"> פירוט של כל סוגי בדיקות ההיתכנות והגורם האחראי להן</w:t>
      </w:r>
      <w:r w:rsidR="00266118">
        <w:rPr>
          <w:rFonts w:hint="cs"/>
          <w:b/>
          <w:bCs/>
          <w:rtl/>
        </w:rPr>
        <w:t xml:space="preserve">; היא </w:t>
      </w:r>
      <w:r>
        <w:rPr>
          <w:rFonts w:hint="cs"/>
          <w:b/>
          <w:bCs/>
          <w:rtl/>
        </w:rPr>
        <w:t xml:space="preserve">לא סנכרנה בין </w:t>
      </w:r>
      <w:r w:rsidR="00FC1C27">
        <w:rPr>
          <w:rFonts w:hint="cs"/>
          <w:b/>
          <w:bCs/>
          <w:rtl/>
        </w:rPr>
        <w:t>הנחיות</w:t>
      </w:r>
      <w:r>
        <w:rPr>
          <w:rFonts w:hint="cs"/>
          <w:b/>
          <w:bCs/>
          <w:rtl/>
        </w:rPr>
        <w:t xml:space="preserve"> </w:t>
      </w:r>
      <w:r w:rsidR="00266118">
        <w:rPr>
          <w:rFonts w:hint="cs"/>
          <w:b/>
          <w:bCs/>
          <w:rtl/>
        </w:rPr>
        <w:t xml:space="preserve">למפעילים </w:t>
      </w:r>
      <w:r>
        <w:rPr>
          <w:rFonts w:hint="cs"/>
          <w:b/>
          <w:bCs/>
          <w:rtl/>
        </w:rPr>
        <w:t>ל</w:t>
      </w:r>
      <w:r w:rsidR="00266118">
        <w:rPr>
          <w:rFonts w:hint="cs"/>
          <w:b/>
          <w:bCs/>
          <w:rtl/>
        </w:rPr>
        <w:t xml:space="preserve">בין </w:t>
      </w:r>
      <w:r>
        <w:rPr>
          <w:rFonts w:hint="cs"/>
          <w:b/>
          <w:bCs/>
          <w:rtl/>
        </w:rPr>
        <w:t>הנחיות</w:t>
      </w:r>
      <w:r w:rsidR="00266118">
        <w:rPr>
          <w:rFonts w:hint="cs"/>
          <w:b/>
          <w:bCs/>
          <w:rtl/>
        </w:rPr>
        <w:t xml:space="preserve"> למפיקים;</w:t>
      </w:r>
      <w:r>
        <w:rPr>
          <w:rFonts w:hint="cs"/>
          <w:b/>
          <w:bCs/>
          <w:rtl/>
        </w:rPr>
        <w:t xml:space="preserve"> ה</w:t>
      </w:r>
      <w:r w:rsidR="00266118">
        <w:rPr>
          <w:rFonts w:hint="cs"/>
          <w:b/>
          <w:bCs/>
          <w:rtl/>
        </w:rPr>
        <w:t>יא לא ה</w:t>
      </w:r>
      <w:r>
        <w:rPr>
          <w:rFonts w:hint="cs"/>
          <w:b/>
          <w:bCs/>
          <w:rtl/>
        </w:rPr>
        <w:t xml:space="preserve">פנתה את מפעילי הכלים והמפיקים </w:t>
      </w:r>
      <w:r w:rsidR="00266118">
        <w:rPr>
          <w:rFonts w:hint="cs"/>
          <w:b/>
          <w:bCs/>
          <w:rtl/>
        </w:rPr>
        <w:t>לנהלים המשלימים;</w:t>
      </w:r>
      <w:r>
        <w:rPr>
          <w:rFonts w:hint="cs"/>
          <w:b/>
          <w:bCs/>
          <w:rtl/>
        </w:rPr>
        <w:t xml:space="preserve"> ו</w:t>
      </w:r>
      <w:r w:rsidR="00266118">
        <w:rPr>
          <w:rFonts w:hint="cs"/>
          <w:b/>
          <w:bCs/>
          <w:rtl/>
        </w:rPr>
        <w:t xml:space="preserve">היא </w:t>
      </w:r>
      <w:r>
        <w:rPr>
          <w:rFonts w:hint="cs"/>
          <w:b/>
          <w:bCs/>
          <w:rtl/>
        </w:rPr>
        <w:t>לא כלל</w:t>
      </w:r>
      <w:r w:rsidR="004821C6">
        <w:rPr>
          <w:rFonts w:hint="cs"/>
          <w:b/>
          <w:bCs/>
          <w:rtl/>
        </w:rPr>
        <w:t>ה</w:t>
      </w:r>
      <w:r>
        <w:rPr>
          <w:rFonts w:hint="cs"/>
          <w:b/>
          <w:bCs/>
          <w:rtl/>
        </w:rPr>
        <w:t xml:space="preserve"> התייחסות לחובת החזקת צווים</w:t>
      </w:r>
      <w:r w:rsidR="004821C6">
        <w:rPr>
          <w:rFonts w:hint="cs"/>
          <w:b/>
          <w:bCs/>
          <w:rtl/>
        </w:rPr>
        <w:t xml:space="preserve"> בהתאם לסוג בדיקת ההיתכנות המבוקשת</w:t>
      </w:r>
      <w:r w:rsidR="00266118">
        <w:rPr>
          <w:rFonts w:hint="cs"/>
          <w:b/>
          <w:bCs/>
          <w:rtl/>
        </w:rPr>
        <w:t xml:space="preserve"> </w:t>
      </w:r>
      <w:r w:rsidR="00896F09">
        <w:rPr>
          <w:rFonts w:hint="cs"/>
          <w:b/>
          <w:bCs/>
          <w:rtl/>
        </w:rPr>
        <w:t>בהנחיות</w:t>
      </w:r>
      <w:r w:rsidR="00266118">
        <w:rPr>
          <w:rFonts w:hint="cs"/>
          <w:b/>
          <w:bCs/>
          <w:rtl/>
        </w:rPr>
        <w:t xml:space="preserve"> אליה</w:t>
      </w:r>
      <w:r w:rsidR="00896F09">
        <w:rPr>
          <w:rFonts w:hint="cs"/>
          <w:b/>
          <w:bCs/>
          <w:rtl/>
        </w:rPr>
        <w:t>ן</w:t>
      </w:r>
      <w:r w:rsidR="00266118">
        <w:rPr>
          <w:rFonts w:hint="cs"/>
          <w:b/>
          <w:bCs/>
          <w:rtl/>
        </w:rPr>
        <w:t xml:space="preserve"> הפנתה</w:t>
      </w:r>
      <w:r w:rsidRPr="001C5C02">
        <w:rPr>
          <w:b/>
          <w:bCs/>
          <w:rtl/>
        </w:rPr>
        <w:t xml:space="preserve">. </w:t>
      </w:r>
      <w:r w:rsidR="004821C6">
        <w:rPr>
          <w:rFonts w:hint="cs"/>
          <w:b/>
          <w:bCs/>
          <w:rtl/>
        </w:rPr>
        <w:t xml:space="preserve">משכך, תשתית </w:t>
      </w:r>
      <w:r w:rsidR="00266118">
        <w:rPr>
          <w:rFonts w:hint="cs"/>
          <w:b/>
          <w:bCs/>
          <w:rtl/>
        </w:rPr>
        <w:t xml:space="preserve">הנהלים של המשטרה </w:t>
      </w:r>
      <w:r w:rsidR="00B53FEA">
        <w:rPr>
          <w:rFonts w:hint="cs"/>
          <w:b/>
          <w:bCs/>
          <w:rtl/>
        </w:rPr>
        <w:t xml:space="preserve">למפעילים ולמפיקים </w:t>
      </w:r>
      <w:r w:rsidR="00831808">
        <w:rPr>
          <w:rFonts w:hint="cs"/>
          <w:b/>
          <w:bCs/>
          <w:rtl/>
        </w:rPr>
        <w:t>לא נתנה</w:t>
      </w:r>
      <w:r w:rsidR="004821C6">
        <w:rPr>
          <w:rFonts w:hint="cs"/>
          <w:b/>
          <w:bCs/>
          <w:rtl/>
        </w:rPr>
        <w:t xml:space="preserve"> </w:t>
      </w:r>
      <w:r w:rsidR="00831808">
        <w:rPr>
          <w:rFonts w:hint="cs"/>
          <w:b/>
          <w:bCs/>
          <w:rtl/>
        </w:rPr>
        <w:t>ל</w:t>
      </w:r>
      <w:r w:rsidR="004821C6">
        <w:rPr>
          <w:rFonts w:hint="cs"/>
          <w:b/>
          <w:bCs/>
          <w:rtl/>
        </w:rPr>
        <w:t xml:space="preserve">שוטרים </w:t>
      </w:r>
      <w:r w:rsidR="00C27DF2">
        <w:rPr>
          <w:rFonts w:hint="cs"/>
          <w:b/>
          <w:bCs/>
          <w:rtl/>
        </w:rPr>
        <w:t>הוראות</w:t>
      </w:r>
      <w:r w:rsidR="004821C6">
        <w:rPr>
          <w:rFonts w:hint="cs"/>
          <w:b/>
          <w:bCs/>
          <w:rtl/>
        </w:rPr>
        <w:t xml:space="preserve"> ברורות ומלאות. </w:t>
      </w:r>
    </w:p>
    <w:p w:rsidR="002B0E02" w:rsidRDefault="002B0E02" w:rsidP="006C3D52">
      <w:pPr>
        <w:spacing w:line="269" w:lineRule="auto"/>
        <w:ind w:left="340"/>
        <w:rPr>
          <w:b/>
          <w:bCs/>
          <w:rtl/>
        </w:rPr>
      </w:pPr>
    </w:p>
    <w:p w:rsidR="006C506C" w:rsidRDefault="00B915B9" w:rsidP="006C3D52">
      <w:pPr>
        <w:spacing w:line="269" w:lineRule="auto"/>
        <w:ind w:left="340"/>
        <w:rPr>
          <w:b/>
          <w:bCs/>
          <w:rtl/>
        </w:rPr>
      </w:pPr>
      <w:r>
        <w:rPr>
          <w:rFonts w:hint="cs"/>
          <w:b/>
          <w:bCs/>
          <w:rtl/>
        </w:rPr>
        <w:t xml:space="preserve">לנוכח העובדה כי </w:t>
      </w:r>
      <w:r w:rsidRPr="00B915B9">
        <w:rPr>
          <w:b/>
          <w:bCs/>
          <w:rtl/>
        </w:rPr>
        <w:t>בחלק מהפעולות לביצוע בדיקת היתכנות המשטרה ביצעה פעולה הכוללת תקשורת בין מחשבים</w:t>
      </w:r>
      <w:r>
        <w:rPr>
          <w:rFonts w:hint="cs"/>
          <w:b/>
          <w:bCs/>
          <w:rtl/>
        </w:rPr>
        <w:t>,</w:t>
      </w:r>
      <w:r w:rsidRPr="00B915B9">
        <w:rPr>
          <w:b/>
          <w:bCs/>
          <w:rtl/>
        </w:rPr>
        <w:t xml:space="preserve"> </w:t>
      </w:r>
      <w:r w:rsidR="00233843">
        <w:rPr>
          <w:rFonts w:hint="cs"/>
          <w:b/>
          <w:bCs/>
          <w:rtl/>
        </w:rPr>
        <w:t>על המשטרה לבצע</w:t>
      </w:r>
      <w:r w:rsidR="00233843" w:rsidRPr="000D7E64">
        <w:rPr>
          <w:b/>
          <w:bCs/>
          <w:rtl/>
        </w:rPr>
        <w:t xml:space="preserve"> בדיקות ה</w:t>
      </w:r>
      <w:r w:rsidR="00233843">
        <w:rPr>
          <w:rFonts w:hint="cs"/>
          <w:b/>
          <w:bCs/>
          <w:rtl/>
        </w:rPr>
        <w:t>י</w:t>
      </w:r>
      <w:r w:rsidR="00233843" w:rsidRPr="000D7E64">
        <w:rPr>
          <w:b/>
          <w:bCs/>
          <w:rtl/>
        </w:rPr>
        <w:t>תכנות</w:t>
      </w:r>
      <w:r w:rsidR="00233843">
        <w:rPr>
          <w:rFonts w:hint="cs"/>
          <w:b/>
          <w:bCs/>
          <w:rtl/>
        </w:rPr>
        <w:t xml:space="preserve"> </w:t>
      </w:r>
      <w:r w:rsidR="00772237">
        <w:rPr>
          <w:rFonts w:hint="cs"/>
          <w:b/>
          <w:bCs/>
          <w:rtl/>
        </w:rPr>
        <w:t>המקיימות שיחה כהגדרתה ב</w:t>
      </w:r>
      <w:r w:rsidR="007B1D64">
        <w:rPr>
          <w:rFonts w:hint="cs"/>
          <w:b/>
          <w:bCs/>
          <w:rtl/>
        </w:rPr>
        <w:t>חוק האזנת סתר</w:t>
      </w:r>
      <w:r w:rsidR="00772237">
        <w:rPr>
          <w:rFonts w:hint="cs"/>
          <w:b/>
          <w:bCs/>
          <w:rtl/>
        </w:rPr>
        <w:t xml:space="preserve"> </w:t>
      </w:r>
      <w:r w:rsidR="00233843" w:rsidRPr="000D7E64">
        <w:rPr>
          <w:rFonts w:hint="cs"/>
          <w:b/>
          <w:bCs/>
          <w:rtl/>
        </w:rPr>
        <w:t>רק</w:t>
      </w:r>
      <w:r w:rsidR="00233843" w:rsidRPr="000D7E64">
        <w:rPr>
          <w:b/>
          <w:bCs/>
          <w:rtl/>
        </w:rPr>
        <w:t xml:space="preserve"> </w:t>
      </w:r>
      <w:r w:rsidR="00233843" w:rsidRPr="000D7E64">
        <w:rPr>
          <w:rFonts w:hint="cs"/>
          <w:b/>
          <w:bCs/>
          <w:rtl/>
        </w:rPr>
        <w:t>לאחר</w:t>
      </w:r>
      <w:r w:rsidR="00233843" w:rsidRPr="000D7E64">
        <w:rPr>
          <w:b/>
          <w:bCs/>
          <w:rtl/>
        </w:rPr>
        <w:t xml:space="preserve"> </w:t>
      </w:r>
      <w:r w:rsidR="00233843" w:rsidRPr="000D7E64">
        <w:rPr>
          <w:rFonts w:hint="cs"/>
          <w:b/>
          <w:bCs/>
          <w:rtl/>
        </w:rPr>
        <w:t>קבלת</w:t>
      </w:r>
      <w:r w:rsidR="00233843" w:rsidRPr="000D7E64">
        <w:rPr>
          <w:b/>
          <w:bCs/>
          <w:rtl/>
        </w:rPr>
        <w:t xml:space="preserve"> </w:t>
      </w:r>
      <w:r w:rsidR="00E51FEC">
        <w:rPr>
          <w:rFonts w:hint="cs"/>
          <w:b/>
          <w:bCs/>
          <w:rtl/>
        </w:rPr>
        <w:t xml:space="preserve">צו שיפוטי או </w:t>
      </w:r>
      <w:r w:rsidR="00FC1C27">
        <w:rPr>
          <w:rFonts w:hint="cs"/>
          <w:b/>
          <w:bCs/>
          <w:rtl/>
        </w:rPr>
        <w:t>היתר כדין</w:t>
      </w:r>
      <w:r w:rsidR="00E67CD7">
        <w:rPr>
          <w:rFonts w:hint="cs"/>
          <w:b/>
          <w:bCs/>
          <w:rtl/>
        </w:rPr>
        <w:t>. כמו כן,</w:t>
      </w:r>
      <w:r w:rsidR="001C6ECF">
        <w:rPr>
          <w:rFonts w:hint="cs"/>
          <w:b/>
          <w:bCs/>
          <w:rtl/>
        </w:rPr>
        <w:t xml:space="preserve"> </w:t>
      </w:r>
      <w:r w:rsidR="00E67CD7">
        <w:rPr>
          <w:rFonts w:hint="cs"/>
          <w:b/>
          <w:bCs/>
          <w:rtl/>
        </w:rPr>
        <w:t xml:space="preserve">עליה לוודא כי </w:t>
      </w:r>
      <w:r w:rsidR="001C6ECF">
        <w:rPr>
          <w:rFonts w:hint="cs"/>
          <w:b/>
          <w:bCs/>
          <w:rtl/>
        </w:rPr>
        <w:t xml:space="preserve">בדיקות היתכנות המתבצעות </w:t>
      </w:r>
      <w:r w:rsidR="0059646E" w:rsidRPr="0059646E">
        <w:rPr>
          <w:rFonts w:hint="cs"/>
          <w:b/>
          <w:bCs/>
          <w:rtl/>
        </w:rPr>
        <w:t xml:space="preserve">לפי חוק נתוני תקשורת נעשות בעודה </w:t>
      </w:r>
      <w:r w:rsidR="0084587B">
        <w:rPr>
          <w:rFonts w:hint="cs"/>
          <w:b/>
          <w:bCs/>
          <w:rtl/>
        </w:rPr>
        <w:t>מחזיקה בהיתר כדין</w:t>
      </w:r>
      <w:r w:rsidR="00E67CD7">
        <w:rPr>
          <w:rFonts w:hint="cs"/>
          <w:b/>
          <w:bCs/>
          <w:rtl/>
        </w:rPr>
        <w:t xml:space="preserve"> במקרים המתאימים</w:t>
      </w:r>
      <w:r w:rsidR="00EE6BB2">
        <w:rPr>
          <w:rFonts w:hint="cs"/>
          <w:b/>
          <w:bCs/>
          <w:rtl/>
        </w:rPr>
        <w:t>. על המשטרה</w:t>
      </w:r>
      <w:r w:rsidR="00233843" w:rsidRPr="000D7E64">
        <w:rPr>
          <w:b/>
          <w:bCs/>
          <w:rtl/>
        </w:rPr>
        <w:t xml:space="preserve"> לעגן</w:t>
      </w:r>
      <w:r w:rsidR="00EE6BB2">
        <w:rPr>
          <w:rFonts w:hint="cs"/>
          <w:b/>
          <w:bCs/>
          <w:rtl/>
        </w:rPr>
        <w:t xml:space="preserve"> את</w:t>
      </w:r>
      <w:r w:rsidR="00233843" w:rsidRPr="000D7E64">
        <w:rPr>
          <w:b/>
          <w:bCs/>
          <w:rtl/>
        </w:rPr>
        <w:t xml:space="preserve"> </w:t>
      </w:r>
      <w:r w:rsidR="00EE6BB2">
        <w:rPr>
          <w:rFonts w:hint="cs"/>
          <w:b/>
          <w:bCs/>
          <w:rtl/>
        </w:rPr>
        <w:t>ה</w:t>
      </w:r>
      <w:r w:rsidR="00233843" w:rsidRPr="000D7E64">
        <w:rPr>
          <w:b/>
          <w:bCs/>
          <w:rtl/>
        </w:rPr>
        <w:t xml:space="preserve">דרישה </w:t>
      </w:r>
      <w:r w:rsidR="00EE6BB2">
        <w:rPr>
          <w:rFonts w:hint="cs"/>
          <w:b/>
          <w:bCs/>
          <w:rtl/>
        </w:rPr>
        <w:t>להחזקת צווים לפני בדיקות היתכנות</w:t>
      </w:r>
      <w:r w:rsidR="00233843" w:rsidRPr="000D7E64">
        <w:rPr>
          <w:b/>
          <w:bCs/>
          <w:rtl/>
        </w:rPr>
        <w:t xml:space="preserve"> </w:t>
      </w:r>
      <w:r w:rsidR="00233843" w:rsidRPr="000D7E64">
        <w:rPr>
          <w:rFonts w:hint="cs"/>
          <w:b/>
          <w:bCs/>
          <w:rtl/>
        </w:rPr>
        <w:t>בנהליה</w:t>
      </w:r>
      <w:r w:rsidR="00EE6BB2">
        <w:rPr>
          <w:rFonts w:hint="cs"/>
          <w:b/>
          <w:bCs/>
          <w:rtl/>
        </w:rPr>
        <w:t xml:space="preserve"> ולסנכרן בין </w:t>
      </w:r>
      <w:r w:rsidR="00B53FEA">
        <w:rPr>
          <w:rFonts w:hint="cs"/>
          <w:b/>
          <w:bCs/>
          <w:rtl/>
        </w:rPr>
        <w:t>ההנחיות</w:t>
      </w:r>
      <w:r w:rsidR="00EE6BB2">
        <w:rPr>
          <w:rFonts w:hint="cs"/>
          <w:b/>
          <w:bCs/>
          <w:rtl/>
        </w:rPr>
        <w:t xml:space="preserve"> כך שבכל אחת מהנחיותיה יוזכרו </w:t>
      </w:r>
      <w:r w:rsidR="004821C6">
        <w:rPr>
          <w:rFonts w:hint="cs"/>
          <w:b/>
          <w:bCs/>
          <w:rtl/>
        </w:rPr>
        <w:t>סוגי הבדיקות הקיימות, הגורם האחראי להן ו</w:t>
      </w:r>
      <w:r w:rsidR="00EE6BB2">
        <w:rPr>
          <w:rFonts w:hint="cs"/>
          <w:b/>
          <w:bCs/>
          <w:rtl/>
        </w:rPr>
        <w:t>הצווים שצריך להחזיק בכל אחת מפעולות בדיקת ההיתכנות</w:t>
      </w:r>
      <w:r w:rsidR="00233843" w:rsidRPr="000D7E64">
        <w:rPr>
          <w:b/>
          <w:bCs/>
          <w:rtl/>
        </w:rPr>
        <w:t>.</w:t>
      </w:r>
      <w:r w:rsidR="00233843">
        <w:rPr>
          <w:b/>
          <w:bCs/>
          <w:rtl/>
        </w:rPr>
        <w:t xml:space="preserve"> </w:t>
      </w:r>
    </w:p>
    <w:p w:rsidR="00FC1C27" w:rsidRDefault="00FC1C27" w:rsidP="00604C3D">
      <w:pPr>
        <w:spacing w:line="269" w:lineRule="auto"/>
        <w:rPr>
          <w:b/>
          <w:bCs/>
          <w:rtl/>
        </w:rPr>
      </w:pPr>
    </w:p>
    <w:p w:rsidR="008868B6" w:rsidRPr="000D7E64" w:rsidRDefault="008868B6" w:rsidP="008C598D">
      <w:pPr>
        <w:pStyle w:val="4"/>
        <w:numPr>
          <w:ilvl w:val="0"/>
          <w:numId w:val="72"/>
        </w:numPr>
        <w:spacing w:before="0" w:line="269" w:lineRule="auto"/>
        <w:ind w:left="367"/>
        <w:jc w:val="left"/>
        <w:rPr>
          <w:rtl/>
        </w:rPr>
      </w:pPr>
      <w:bookmarkStart w:id="240" w:name="_Hlk139226433"/>
      <w:bookmarkStart w:id="241" w:name="_Toc132608781"/>
      <w:bookmarkStart w:id="242" w:name="_Toc211521928"/>
      <w:bookmarkStart w:id="243" w:name="_Toc219110318"/>
      <w:bookmarkStart w:id="244" w:name="_Toc219113759"/>
      <w:bookmarkStart w:id="245" w:name="_Toc219286534"/>
      <w:r>
        <w:rPr>
          <w:rFonts w:hint="cs"/>
          <w:rtl/>
        </w:rPr>
        <w:t xml:space="preserve">פירוט שלושת נדבכי היסוד </w:t>
      </w:r>
      <w:r w:rsidR="00D84D7B">
        <w:rPr>
          <w:rFonts w:hint="cs"/>
          <w:rtl/>
        </w:rPr>
        <w:t>בבקשה</w:t>
      </w:r>
      <w:r>
        <w:rPr>
          <w:rFonts w:hint="cs"/>
          <w:rtl/>
        </w:rPr>
        <w:t>: עילת ההאזנה, יעד ההאזנה ורישום העבירות</w:t>
      </w:r>
      <w:bookmarkEnd w:id="240"/>
      <w:bookmarkEnd w:id="241"/>
      <w:bookmarkEnd w:id="242"/>
      <w:bookmarkEnd w:id="243"/>
      <w:bookmarkEnd w:id="244"/>
      <w:bookmarkEnd w:id="245"/>
    </w:p>
    <w:p w:rsidR="002B0E02" w:rsidRDefault="002B0E02" w:rsidP="00604C3D">
      <w:pPr>
        <w:spacing w:line="269" w:lineRule="auto"/>
        <w:rPr>
          <w:rtl/>
        </w:rPr>
      </w:pPr>
    </w:p>
    <w:p w:rsidR="008868B6" w:rsidRDefault="008868B6" w:rsidP="00A60E6C">
      <w:pPr>
        <w:spacing w:line="269" w:lineRule="auto"/>
        <w:ind w:left="340"/>
        <w:rPr>
          <w:rtl/>
        </w:rPr>
      </w:pPr>
      <w:r>
        <w:rPr>
          <w:rFonts w:hint="cs"/>
          <w:rtl/>
        </w:rPr>
        <w:t>לפי הדין, הפעלת האזנת סתר דורשת גיבוש צורך ענייני לשימוש בכלי זה. ראשית, יש לקבוע אם מתקיימת אחת מעילות הבקשה לצו האזנת סתר</w:t>
      </w:r>
      <w:r>
        <w:rPr>
          <w:rStyle w:val="af"/>
          <w:rtl/>
        </w:rPr>
        <w:footnoteReference w:id="77"/>
      </w:r>
      <w:r>
        <w:rPr>
          <w:rFonts w:hint="cs"/>
          <w:rtl/>
        </w:rPr>
        <w:t xml:space="preserve"> - </w:t>
      </w:r>
      <w:bookmarkStart w:id="246" w:name="_Hlk156199927"/>
      <w:r w:rsidRPr="00D86D89">
        <w:rPr>
          <w:rtl/>
        </w:rPr>
        <w:t>גילוי, חקירה או מניעה של עבירת פשע</w:t>
      </w:r>
      <w:r>
        <w:rPr>
          <w:rStyle w:val="af"/>
          <w:rtl/>
        </w:rPr>
        <w:footnoteReference w:id="78"/>
      </w:r>
      <w:r w:rsidRPr="00D86D89">
        <w:rPr>
          <w:rtl/>
        </w:rPr>
        <w:t>; גילוי או תפיסה של מבצע עבירת פשע; וחקירה לצ</w:t>
      </w:r>
      <w:r>
        <w:rPr>
          <w:rFonts w:hint="cs"/>
          <w:rtl/>
        </w:rPr>
        <w:t>ו</w:t>
      </w:r>
      <w:r w:rsidRPr="00D86D89">
        <w:rPr>
          <w:rtl/>
        </w:rPr>
        <w:t>רכי חילוט רכוש הקשור בעבירת פשע</w:t>
      </w:r>
      <w:r>
        <w:rPr>
          <w:rFonts w:hint="cs"/>
          <w:rtl/>
        </w:rPr>
        <w:t xml:space="preserve">. </w:t>
      </w:r>
      <w:bookmarkEnd w:id="246"/>
      <w:r>
        <w:rPr>
          <w:rFonts w:hint="cs"/>
          <w:rtl/>
        </w:rPr>
        <w:t xml:space="preserve">על סמך עילת ההאזנה ניתן לקבוע, הלכה למעשה, אם יש צורך ענייני בהאזנת הסתר. </w:t>
      </w:r>
      <w:r w:rsidR="00F677E3">
        <w:rPr>
          <w:rFonts w:hint="cs"/>
          <w:rtl/>
        </w:rPr>
        <w:t>כמו כן, בחירת עילת ההאזנה משפיעה על אופן</w:t>
      </w:r>
      <w:r w:rsidR="00F677E3">
        <w:rPr>
          <w:rFonts w:hint="cs"/>
        </w:rPr>
        <w:t xml:space="preserve"> </w:t>
      </w:r>
      <w:r w:rsidR="00F677E3">
        <w:rPr>
          <w:rFonts w:hint="cs"/>
          <w:rtl/>
        </w:rPr>
        <w:t>רישום העבירות הרלוונטיות לבקשה וכן על</w:t>
      </w:r>
      <w:r w:rsidR="00F677E3">
        <w:rPr>
          <w:rFonts w:hint="cs"/>
        </w:rPr>
        <w:t xml:space="preserve"> </w:t>
      </w:r>
      <w:r w:rsidR="00F677E3">
        <w:rPr>
          <w:rFonts w:hint="cs"/>
          <w:rtl/>
        </w:rPr>
        <w:t>קביעת יעדי ההאזנה</w:t>
      </w:r>
      <w:r>
        <w:rPr>
          <w:rFonts w:hint="cs"/>
          <w:rtl/>
        </w:rPr>
        <w:t>.</w:t>
      </w:r>
    </w:p>
    <w:p w:rsidR="002B0E02" w:rsidRDefault="002B0E02" w:rsidP="00A60E6C">
      <w:pPr>
        <w:spacing w:line="269" w:lineRule="auto"/>
        <w:ind w:left="340"/>
        <w:rPr>
          <w:rtl/>
        </w:rPr>
      </w:pPr>
    </w:p>
    <w:p w:rsidR="008868B6" w:rsidRDefault="008868B6" w:rsidP="00A60E6C">
      <w:pPr>
        <w:spacing w:line="269" w:lineRule="auto"/>
        <w:ind w:left="340"/>
        <w:rPr>
          <w:rtl/>
        </w:rPr>
      </w:pPr>
      <w:r>
        <w:rPr>
          <w:rFonts w:hint="cs"/>
          <w:rtl/>
        </w:rPr>
        <w:t>יוצא אפוא כי יש שלושה נדבכי יסוד לבקשה בעלי זיקה שאינה ניתנת לניתוק: עילת ההאזנה, יעדי ההאזנה ורישום</w:t>
      </w:r>
      <w:r>
        <w:rPr>
          <w:rFonts w:hint="cs"/>
        </w:rPr>
        <w:t xml:space="preserve"> </w:t>
      </w:r>
      <w:r>
        <w:rPr>
          <w:rFonts w:hint="cs"/>
          <w:rtl/>
        </w:rPr>
        <w:t xml:space="preserve">העבירות שבהן עוסקת הבקשה. בחינה של מכלול הנדבכים הללו ושל הזיקה ביניהם נדרשת לצורך קבלת החלטה בדבר תכליתה של האזנת הסתר, נחיצותה והאפקטיביות שלה. </w:t>
      </w:r>
    </w:p>
    <w:p w:rsidR="002B0E02" w:rsidRDefault="002B0E02" w:rsidP="00A60E6C">
      <w:pPr>
        <w:spacing w:line="269" w:lineRule="auto"/>
        <w:ind w:left="340"/>
        <w:rPr>
          <w:rtl/>
        </w:rPr>
      </w:pPr>
    </w:p>
    <w:p w:rsidR="008868B6" w:rsidRDefault="008868B6" w:rsidP="00A60E6C">
      <w:pPr>
        <w:spacing w:line="269" w:lineRule="auto"/>
        <w:ind w:left="340"/>
        <w:rPr>
          <w:rtl/>
        </w:rPr>
      </w:pPr>
      <w:r>
        <w:rPr>
          <w:rFonts w:hint="cs"/>
          <w:rtl/>
        </w:rPr>
        <w:t>נוסף על כך</w:t>
      </w:r>
      <w:r w:rsidR="005D0153">
        <w:rPr>
          <w:rFonts w:hint="cs"/>
          <w:rtl/>
        </w:rPr>
        <w:t>, לפי הדין,</w:t>
      </w:r>
      <w:r>
        <w:rPr>
          <w:rFonts w:hint="cs"/>
          <w:rtl/>
        </w:rPr>
        <w:t xml:space="preserve"> יש לוודא שהבקשה לצו האזנת סתר נשענת על תשתית מבוססת, דהיינו על נתונים אמינים ומהותיים שנאספו, הנוגעים לעניין</w:t>
      </w:r>
      <w:r>
        <w:rPr>
          <w:rStyle w:val="af"/>
          <w:rtl/>
        </w:rPr>
        <w:footnoteReference w:id="79"/>
      </w:r>
      <w:r>
        <w:rPr>
          <w:rFonts w:hint="cs"/>
          <w:rtl/>
        </w:rPr>
        <w:t>. לפי נוהלי המשטרה</w:t>
      </w:r>
      <w:r w:rsidR="005D0153">
        <w:rPr>
          <w:rFonts w:hint="cs"/>
          <w:rtl/>
        </w:rPr>
        <w:t xml:space="preserve"> ותקנות בקשה להיתר האזנה</w:t>
      </w:r>
      <w:r w:rsidR="005D0153">
        <w:rPr>
          <w:rStyle w:val="af"/>
          <w:rtl/>
        </w:rPr>
        <w:footnoteReference w:id="80"/>
      </w:r>
      <w:r>
        <w:rPr>
          <w:rFonts w:hint="cs"/>
          <w:rtl/>
        </w:rPr>
        <w:t xml:space="preserve"> אלה הם השיקולים לגיבוש הצורך בהאזנת הסתר: חומרת העבירה, ביסוס מספק של ראיות לחשד שבוצעה עבירה, הסיכוי לאיסוף ראיות באמצעות האזנת הסתר והקשר בין יעד ההאזנה (האדם המואזן) לעבירה. </w:t>
      </w:r>
    </w:p>
    <w:p w:rsidR="002B0E02" w:rsidRDefault="002B0E02" w:rsidP="00A60E6C">
      <w:pPr>
        <w:spacing w:line="269" w:lineRule="auto"/>
        <w:ind w:left="340"/>
        <w:rPr>
          <w:rtl/>
        </w:rPr>
      </w:pPr>
    </w:p>
    <w:p w:rsidR="00857436" w:rsidRDefault="008868B6" w:rsidP="00A60E6C">
      <w:pPr>
        <w:spacing w:line="269" w:lineRule="auto"/>
        <w:ind w:left="340"/>
        <w:rPr>
          <w:rtl/>
        </w:rPr>
      </w:pPr>
      <w:r>
        <w:rPr>
          <w:rFonts w:hint="cs"/>
          <w:rtl/>
        </w:rPr>
        <w:t xml:space="preserve">יצוין כי הכנת בקשה להאזנת סתר דורשת מהשוטר למלא טופס מקוון במערכת לניהול צווים, </w:t>
      </w:r>
      <w:r w:rsidR="008C4138">
        <w:rPr>
          <w:rFonts w:hint="cs"/>
          <w:rtl/>
        </w:rPr>
        <w:t>ש</w:t>
      </w:r>
      <w:r>
        <w:rPr>
          <w:rFonts w:hint="cs"/>
          <w:rtl/>
        </w:rPr>
        <w:t>באמצעותה ניתן להפיק</w:t>
      </w:r>
      <w:r w:rsidR="008C4138">
        <w:rPr>
          <w:rFonts w:hint="cs"/>
          <w:rtl/>
        </w:rPr>
        <w:t xml:space="preserve"> את ה</w:t>
      </w:r>
      <w:r>
        <w:rPr>
          <w:rFonts w:hint="cs"/>
          <w:rtl/>
        </w:rPr>
        <w:t xml:space="preserve">בקשה, </w:t>
      </w:r>
      <w:r w:rsidR="008C4138">
        <w:rPr>
          <w:rFonts w:hint="cs"/>
          <w:rtl/>
        </w:rPr>
        <w:t xml:space="preserve">ובכלל זה עליו למלא </w:t>
      </w:r>
      <w:r>
        <w:rPr>
          <w:rFonts w:hint="cs"/>
          <w:rtl/>
        </w:rPr>
        <w:t>פרטים באמצעות המערכת, כגון, עילת האזנה, יעדי ה</w:t>
      </w:r>
      <w:r w:rsidR="008C4138">
        <w:rPr>
          <w:rFonts w:hint="cs"/>
          <w:rtl/>
        </w:rPr>
        <w:t>ה</w:t>
      </w:r>
      <w:r>
        <w:rPr>
          <w:rFonts w:hint="cs"/>
          <w:rtl/>
        </w:rPr>
        <w:t xml:space="preserve">אזנה, העבירות המיוחסות להם, וכיו"ב. נוסף על הבקשה לצו, המערכת הממוחשבת מפיקה </w:t>
      </w:r>
      <w:r w:rsidR="008C4138">
        <w:rPr>
          <w:rFonts w:hint="cs"/>
          <w:rtl/>
        </w:rPr>
        <w:t xml:space="preserve">את </w:t>
      </w:r>
      <w:r w:rsidR="00EF6F4F">
        <w:rPr>
          <w:rFonts w:hint="cs"/>
          <w:rtl/>
        </w:rPr>
        <w:t>מסמך נימוקי הבקשה</w:t>
      </w:r>
      <w:r w:rsidR="00D84D7B">
        <w:rPr>
          <w:rStyle w:val="af"/>
          <w:rtl/>
        </w:rPr>
        <w:footnoteReference w:id="81"/>
      </w:r>
      <w:r>
        <w:rPr>
          <w:rFonts w:hint="cs"/>
          <w:rtl/>
        </w:rPr>
        <w:t xml:space="preserve"> המצורף לבקשה ומפרט את הראיות המינהליות המבססות אותה.</w:t>
      </w:r>
    </w:p>
    <w:p w:rsidR="002B0E02" w:rsidRDefault="002B0E02" w:rsidP="00604C3D">
      <w:pPr>
        <w:spacing w:line="269" w:lineRule="auto"/>
      </w:pPr>
    </w:p>
    <w:p w:rsidR="00486C45" w:rsidRPr="001A3C70" w:rsidRDefault="00486C45" w:rsidP="008C598D">
      <w:pPr>
        <w:pStyle w:val="5"/>
        <w:numPr>
          <w:ilvl w:val="2"/>
          <w:numId w:val="43"/>
        </w:numPr>
        <w:spacing w:line="269" w:lineRule="auto"/>
        <w:ind w:left="707"/>
        <w:rPr>
          <w:rtl/>
        </w:rPr>
      </w:pPr>
      <w:r>
        <w:rPr>
          <w:rFonts w:hint="cs"/>
          <w:rtl/>
        </w:rPr>
        <w:t xml:space="preserve">רישום </w:t>
      </w:r>
      <w:r w:rsidRPr="001A3C70">
        <w:rPr>
          <w:rFonts w:hint="cs"/>
          <w:rtl/>
        </w:rPr>
        <w:t xml:space="preserve">עילת </w:t>
      </w:r>
      <w:r w:rsidRPr="001A3C70">
        <w:rPr>
          <w:rFonts w:hint="eastAsia"/>
          <w:rtl/>
        </w:rPr>
        <w:t>ההאזנה</w:t>
      </w:r>
      <w:r w:rsidRPr="001A3C70">
        <w:rPr>
          <w:rFonts w:hint="cs"/>
          <w:rtl/>
        </w:rPr>
        <w:t xml:space="preserve"> </w:t>
      </w:r>
    </w:p>
    <w:p w:rsidR="002B0E02" w:rsidRDefault="002B0E02" w:rsidP="00604C3D">
      <w:pPr>
        <w:spacing w:line="269" w:lineRule="auto"/>
        <w:rPr>
          <w:rtl/>
        </w:rPr>
      </w:pPr>
    </w:p>
    <w:p w:rsidR="008868B6" w:rsidRDefault="008868B6" w:rsidP="00A60E6C">
      <w:pPr>
        <w:spacing w:line="269" w:lineRule="auto"/>
        <w:ind w:left="680"/>
        <w:rPr>
          <w:rtl/>
        </w:rPr>
      </w:pPr>
      <w:r>
        <w:rPr>
          <w:rFonts w:hint="cs"/>
          <w:rtl/>
        </w:rPr>
        <w:t>כאשר עילת ההאזנה היא גילוי או תפיסה של העבריין, נדרש</w:t>
      </w:r>
      <w:r w:rsidRPr="00C701D0">
        <w:rPr>
          <w:rFonts w:hint="cs"/>
          <w:rtl/>
        </w:rPr>
        <w:t xml:space="preserve"> </w:t>
      </w:r>
      <w:r>
        <w:rPr>
          <w:rFonts w:hint="cs"/>
          <w:rtl/>
        </w:rPr>
        <w:t xml:space="preserve">שהבקשה להאזנת סתר תתמקד בעבירה העיקרית שביצע העבריין, אף אם התבצעו עבירות נלוות נוספות במסגרת הפרשייה. כאשר עילת ההאזנה היא חקירה, מניעה או גילוי של עבירות וכן </w:t>
      </w:r>
      <w:r w:rsidRPr="00FD0349">
        <w:rPr>
          <w:rFonts w:hint="cs"/>
          <w:rtl/>
        </w:rPr>
        <w:t>חילוט</w:t>
      </w:r>
      <w:r>
        <w:rPr>
          <w:rFonts w:hint="cs"/>
          <w:rtl/>
        </w:rPr>
        <w:t xml:space="preserve"> רכוש הקשור בעבירת פשע</w:t>
      </w:r>
      <w:r w:rsidRPr="00FD0349">
        <w:rPr>
          <w:rFonts w:hint="cs"/>
          <w:rtl/>
        </w:rPr>
        <w:t xml:space="preserve">, </w:t>
      </w:r>
      <w:r>
        <w:rPr>
          <w:rFonts w:hint="cs"/>
          <w:rtl/>
        </w:rPr>
        <w:t>נדרש</w:t>
      </w:r>
      <w:r w:rsidRPr="00FD0349">
        <w:rPr>
          <w:rFonts w:hint="cs"/>
          <w:rtl/>
        </w:rPr>
        <w:t xml:space="preserve"> </w:t>
      </w:r>
      <w:r>
        <w:rPr>
          <w:rFonts w:hint="cs"/>
          <w:rtl/>
        </w:rPr>
        <w:t>שהבקשה</w:t>
      </w:r>
      <w:r w:rsidRPr="00FD0349">
        <w:rPr>
          <w:rFonts w:hint="cs"/>
          <w:rtl/>
        </w:rPr>
        <w:t xml:space="preserve"> </w:t>
      </w:r>
      <w:r>
        <w:rPr>
          <w:rFonts w:hint="cs"/>
          <w:rtl/>
        </w:rPr>
        <w:t>תתמקד</w:t>
      </w:r>
      <w:r w:rsidRPr="00FD0349">
        <w:rPr>
          <w:rFonts w:hint="cs"/>
          <w:rtl/>
        </w:rPr>
        <w:t xml:space="preserve"> בעבירה הקונקרטית </w:t>
      </w:r>
      <w:r>
        <w:rPr>
          <w:rFonts w:hint="cs"/>
          <w:rtl/>
        </w:rPr>
        <w:t>ש</w:t>
      </w:r>
      <w:r w:rsidRPr="00FD0349">
        <w:rPr>
          <w:rFonts w:hint="cs"/>
          <w:rtl/>
        </w:rPr>
        <w:t xml:space="preserve">אותה מבקשים לגלות - בין </w:t>
      </w:r>
      <w:r>
        <w:rPr>
          <w:rFonts w:hint="cs"/>
          <w:rtl/>
        </w:rPr>
        <w:t>שמדובר ב</w:t>
      </w:r>
      <w:r w:rsidRPr="00FD0349">
        <w:rPr>
          <w:rFonts w:hint="cs"/>
          <w:rtl/>
        </w:rPr>
        <w:t>עבירה העיקרית בפרשייה</w:t>
      </w:r>
      <w:r w:rsidRPr="00FD0349">
        <w:rPr>
          <w:rtl/>
        </w:rPr>
        <w:t xml:space="preserve"> </w:t>
      </w:r>
      <w:r>
        <w:rPr>
          <w:rFonts w:hint="cs"/>
          <w:rtl/>
        </w:rPr>
        <w:t>ש</w:t>
      </w:r>
      <w:r w:rsidRPr="00FD0349">
        <w:rPr>
          <w:rFonts w:hint="cs"/>
          <w:rtl/>
        </w:rPr>
        <w:t>אותה</w:t>
      </w:r>
      <w:r w:rsidRPr="00FD0349">
        <w:rPr>
          <w:rtl/>
        </w:rPr>
        <w:t xml:space="preserve"> </w:t>
      </w:r>
      <w:r w:rsidRPr="00FD0349">
        <w:rPr>
          <w:rFonts w:hint="cs"/>
          <w:rtl/>
        </w:rPr>
        <w:t>ביצע</w:t>
      </w:r>
      <w:r w:rsidRPr="00FD0349">
        <w:rPr>
          <w:rtl/>
        </w:rPr>
        <w:t xml:space="preserve"> </w:t>
      </w:r>
      <w:r w:rsidRPr="00FD0349">
        <w:rPr>
          <w:rFonts w:hint="cs"/>
          <w:rtl/>
        </w:rPr>
        <w:t>העבריין</w:t>
      </w:r>
      <w:r w:rsidRPr="00FD0349">
        <w:rPr>
          <w:rtl/>
        </w:rPr>
        <w:t xml:space="preserve"> </w:t>
      </w:r>
      <w:r>
        <w:rPr>
          <w:rFonts w:hint="cs"/>
          <w:rtl/>
        </w:rPr>
        <w:t>ובין שמדובר ב</w:t>
      </w:r>
      <w:r w:rsidRPr="00FD0349">
        <w:rPr>
          <w:rFonts w:hint="cs"/>
          <w:rtl/>
        </w:rPr>
        <w:t>עבירה</w:t>
      </w:r>
      <w:r w:rsidRPr="00FD0349">
        <w:rPr>
          <w:rtl/>
        </w:rPr>
        <w:t xml:space="preserve"> </w:t>
      </w:r>
      <w:r w:rsidRPr="00FD0349">
        <w:rPr>
          <w:rFonts w:hint="cs"/>
          <w:rtl/>
        </w:rPr>
        <w:t>נלווית</w:t>
      </w:r>
      <w:r w:rsidRPr="00FD0349">
        <w:rPr>
          <w:rtl/>
        </w:rPr>
        <w:t xml:space="preserve"> </w:t>
      </w:r>
      <w:r w:rsidRPr="00FD0349">
        <w:rPr>
          <w:rFonts w:hint="cs"/>
          <w:rtl/>
        </w:rPr>
        <w:t>בפרשייה</w:t>
      </w:r>
      <w:r w:rsidRPr="00FD0349">
        <w:rPr>
          <w:rtl/>
        </w:rPr>
        <w:t xml:space="preserve">. </w:t>
      </w:r>
      <w:r w:rsidRPr="00FD0349">
        <w:rPr>
          <w:rFonts w:hint="cs"/>
          <w:rtl/>
        </w:rPr>
        <w:t>מיקוד</w:t>
      </w:r>
      <w:r w:rsidRPr="00FD0349">
        <w:rPr>
          <w:rtl/>
        </w:rPr>
        <w:t xml:space="preserve"> </w:t>
      </w:r>
      <w:r w:rsidRPr="00FD0349">
        <w:rPr>
          <w:rFonts w:hint="cs"/>
          <w:rtl/>
        </w:rPr>
        <w:t>הבקשה</w:t>
      </w:r>
      <w:r w:rsidRPr="00FD0349">
        <w:rPr>
          <w:rtl/>
        </w:rPr>
        <w:t xml:space="preserve"> </w:t>
      </w:r>
      <w:r w:rsidRPr="00FD0349">
        <w:rPr>
          <w:rFonts w:hint="cs"/>
          <w:rtl/>
        </w:rPr>
        <w:t>באמצעות</w:t>
      </w:r>
      <w:r>
        <w:rPr>
          <w:rFonts w:hint="cs"/>
          <w:rtl/>
        </w:rPr>
        <w:t xml:space="preserve"> קביעת עילת האזנה יחידה, ככל הניתן - נדרש לשם הפחתת הפגיעה בפרטיות מחד גיסא</w:t>
      </w:r>
      <w:r>
        <w:rPr>
          <w:rStyle w:val="af"/>
          <w:rtl/>
        </w:rPr>
        <w:footnoteReference w:id="82"/>
      </w:r>
      <w:r>
        <w:rPr>
          <w:rFonts w:hint="cs"/>
          <w:rtl/>
        </w:rPr>
        <w:t>, ושיפור בחינת אפקטיביות האזנת הסתר מאידך גיסא</w:t>
      </w:r>
      <w:r>
        <w:rPr>
          <w:rStyle w:val="af"/>
          <w:rtl/>
        </w:rPr>
        <w:footnoteReference w:id="83"/>
      </w:r>
      <w:r>
        <w:rPr>
          <w:rFonts w:hint="cs"/>
          <w:rtl/>
        </w:rPr>
        <w:t>.</w:t>
      </w:r>
      <w:r w:rsidR="0049609C">
        <w:rPr>
          <w:rFonts w:hint="cs"/>
          <w:rtl/>
        </w:rPr>
        <w:t xml:space="preserve"> </w:t>
      </w:r>
      <w:r w:rsidR="00242830">
        <w:rPr>
          <w:rFonts w:hint="cs"/>
          <w:rtl/>
        </w:rPr>
        <w:t>יודגש כי מיקוד הבקשה בעילה יחידה אינו משפיע על חובת המשטרה לפרט בנימוקי הבקשה</w:t>
      </w:r>
      <w:r w:rsidR="008C4138">
        <w:rPr>
          <w:rFonts w:hint="cs"/>
          <w:rtl/>
        </w:rPr>
        <w:t xml:space="preserve"> את תמונת העבירות המלאה</w:t>
      </w:r>
      <w:r w:rsidR="00242830">
        <w:rPr>
          <w:rFonts w:hint="cs"/>
          <w:rtl/>
        </w:rPr>
        <w:t xml:space="preserve">. </w:t>
      </w:r>
    </w:p>
    <w:p w:rsidR="002B0E02" w:rsidRDefault="002B0E02" w:rsidP="00A60E6C">
      <w:pPr>
        <w:spacing w:line="269" w:lineRule="auto"/>
        <w:ind w:left="680"/>
        <w:rPr>
          <w:rtl/>
        </w:rPr>
      </w:pPr>
    </w:p>
    <w:p w:rsidR="008868B6" w:rsidRDefault="008868B6" w:rsidP="00A60E6C">
      <w:pPr>
        <w:spacing w:line="269" w:lineRule="auto"/>
        <w:ind w:left="680"/>
        <w:rPr>
          <w:rtl/>
        </w:rPr>
      </w:pPr>
      <w:r>
        <w:rPr>
          <w:rFonts w:hint="cs"/>
          <w:rtl/>
        </w:rPr>
        <w:t xml:space="preserve">בשנים 2019 - 2021 </w:t>
      </w:r>
      <w:r w:rsidR="00DF4BDD">
        <w:rPr>
          <w:rFonts w:hint="cs"/>
          <w:rtl/>
        </w:rPr>
        <w:t xml:space="preserve">הכינה </w:t>
      </w:r>
      <w:r w:rsidR="00DF4BDD" w:rsidRPr="00DF4BDD">
        <w:rPr>
          <w:rFonts w:hint="cs"/>
          <w:rtl/>
        </w:rPr>
        <w:t xml:space="preserve">המשטרה כ-14,000 בקשות </w:t>
      </w:r>
      <w:r>
        <w:rPr>
          <w:rFonts w:hint="cs"/>
          <w:rtl/>
        </w:rPr>
        <w:t>לצווי האזנת סתר</w:t>
      </w:r>
      <w:r w:rsidR="008C4138">
        <w:rPr>
          <w:rFonts w:hint="cs"/>
          <w:rtl/>
        </w:rPr>
        <w:t>. בתרשים שלהלן מפורט מספר הבקשות ב</w:t>
      </w:r>
      <w:r>
        <w:rPr>
          <w:rFonts w:hint="cs"/>
          <w:rtl/>
        </w:rPr>
        <w:t xml:space="preserve">פילוח לפי עילות הבקשה לצו: </w:t>
      </w:r>
    </w:p>
    <w:p w:rsidR="00866A55" w:rsidRDefault="00866A55" w:rsidP="00604C3D">
      <w:pPr>
        <w:spacing w:line="269" w:lineRule="auto"/>
        <w:ind w:left="720"/>
        <w:jc w:val="center"/>
        <w:rPr>
          <w:rtl/>
        </w:rPr>
      </w:pPr>
    </w:p>
    <w:p w:rsidR="00A60E6C" w:rsidRDefault="00A60E6C">
      <w:pPr>
        <w:bidi w:val="0"/>
        <w:spacing w:after="200" w:line="276" w:lineRule="auto"/>
        <w:rPr>
          <w:rtl/>
        </w:rPr>
      </w:pPr>
      <w:r>
        <w:rPr>
          <w:rtl/>
        </w:rPr>
        <w:br w:type="page"/>
      </w:r>
    </w:p>
    <w:p w:rsidR="008868B6" w:rsidRPr="00C33ACD" w:rsidRDefault="008868B6" w:rsidP="00A60E6C">
      <w:pPr>
        <w:keepNext/>
        <w:keepLines/>
        <w:spacing w:line="269" w:lineRule="auto"/>
        <w:ind w:left="-2"/>
        <w:jc w:val="center"/>
        <w:rPr>
          <w:b/>
          <w:bCs/>
          <w:rtl/>
        </w:rPr>
      </w:pPr>
      <w:r w:rsidRPr="00C33ACD">
        <w:rPr>
          <w:rFonts w:hint="cs"/>
          <w:rtl/>
        </w:rPr>
        <w:t>תרשים</w:t>
      </w:r>
      <w:r w:rsidR="00866A55">
        <w:rPr>
          <w:rFonts w:hint="cs"/>
          <w:rtl/>
        </w:rPr>
        <w:t xml:space="preserve"> 8</w:t>
      </w:r>
      <w:r>
        <w:rPr>
          <w:rFonts w:hint="cs"/>
          <w:rtl/>
        </w:rPr>
        <w:t xml:space="preserve">: </w:t>
      </w:r>
      <w:r w:rsidR="00587C3D">
        <w:rPr>
          <w:rFonts w:hint="cs"/>
          <w:b/>
          <w:bCs/>
          <w:rtl/>
        </w:rPr>
        <w:t>מספר ה</w:t>
      </w:r>
      <w:r w:rsidRPr="00C33ACD">
        <w:rPr>
          <w:rFonts w:hint="cs"/>
          <w:b/>
          <w:bCs/>
          <w:rtl/>
        </w:rPr>
        <w:t xml:space="preserve">בקשות לצווי האזנת סתר בפילוח לפי עילת </w:t>
      </w:r>
      <w:r>
        <w:rPr>
          <w:rFonts w:hint="cs"/>
          <w:b/>
          <w:bCs/>
          <w:rtl/>
        </w:rPr>
        <w:t>ה</w:t>
      </w:r>
      <w:r w:rsidRPr="00BF3877">
        <w:rPr>
          <w:rFonts w:hint="cs"/>
          <w:b/>
          <w:bCs/>
          <w:rtl/>
        </w:rPr>
        <w:t>האזנה</w:t>
      </w:r>
      <w:r>
        <w:rPr>
          <w:rFonts w:hint="cs"/>
          <w:b/>
          <w:bCs/>
          <w:rtl/>
        </w:rPr>
        <w:t>,</w:t>
      </w:r>
      <w:r w:rsidRPr="00C33ACD">
        <w:rPr>
          <w:rFonts w:hint="cs"/>
          <w:b/>
          <w:bCs/>
          <w:rtl/>
        </w:rPr>
        <w:t xml:space="preserve"> </w:t>
      </w:r>
    </w:p>
    <w:p w:rsidR="008868B6" w:rsidRDefault="008868B6" w:rsidP="00604C3D">
      <w:pPr>
        <w:spacing w:line="269" w:lineRule="auto"/>
        <w:ind w:left="720"/>
        <w:jc w:val="center"/>
        <w:rPr>
          <w:b/>
          <w:bCs/>
          <w:rtl/>
        </w:rPr>
      </w:pPr>
      <w:r w:rsidRPr="00C33ACD">
        <w:rPr>
          <w:rFonts w:hint="cs"/>
          <w:b/>
          <w:bCs/>
          <w:rtl/>
        </w:rPr>
        <w:t>2019 - 2021</w:t>
      </w:r>
    </w:p>
    <w:p w:rsidR="00A60E6C" w:rsidRPr="00C33ACD" w:rsidRDefault="00A60E6C" w:rsidP="00604C3D">
      <w:pPr>
        <w:spacing w:line="269" w:lineRule="auto"/>
        <w:ind w:left="720"/>
        <w:jc w:val="center"/>
        <w:rPr>
          <w:b/>
          <w:bCs/>
          <w:rtl/>
        </w:rPr>
      </w:pPr>
    </w:p>
    <w:p w:rsidR="008868B6" w:rsidRDefault="008868B6" w:rsidP="00604C3D">
      <w:pPr>
        <w:spacing w:line="269" w:lineRule="auto"/>
        <w:jc w:val="center"/>
        <w:rPr>
          <w:sz w:val="16"/>
          <w:szCs w:val="20"/>
          <w:rtl/>
        </w:rPr>
      </w:pPr>
      <w:r>
        <w:rPr>
          <w:noProof/>
          <w:sz w:val="16"/>
          <w:szCs w:val="20"/>
          <w:rtl/>
          <w:lang w:val="he-IL"/>
        </w:rPr>
        <w:drawing>
          <wp:inline distT="0" distB="0" distL="0" distR="0" wp14:anchorId="76AAAF58" wp14:editId="3A3204A6">
            <wp:extent cx="3668214" cy="4282289"/>
            <wp:effectExtent l="0" t="0" r="8890" b="444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5877CE.tmp"/>
                    <pic:cNvPicPr/>
                  </pic:nvPicPr>
                  <pic:blipFill rotWithShape="1">
                    <a:blip r:embed="rId15">
                      <a:extLst>
                        <a:ext uri="{28A0092B-C50C-407E-A947-70E740481C1C}">
                          <a14:useLocalDpi xmlns:a14="http://schemas.microsoft.com/office/drawing/2010/main" val="0"/>
                        </a:ext>
                      </a:extLst>
                    </a:blip>
                    <a:srcRect r="3076"/>
                    <a:stretch/>
                  </pic:blipFill>
                  <pic:spPr bwMode="auto">
                    <a:xfrm>
                      <a:off x="0" y="0"/>
                      <a:ext cx="3685317" cy="4302255"/>
                    </a:xfrm>
                    <a:prstGeom prst="rect">
                      <a:avLst/>
                    </a:prstGeom>
                    <a:ln>
                      <a:noFill/>
                    </a:ln>
                    <a:extLst>
                      <a:ext uri="{53640926-AAD7-44D8-BBD7-CCE9431645EC}">
                        <a14:shadowObscured xmlns:a14="http://schemas.microsoft.com/office/drawing/2010/main"/>
                      </a:ext>
                    </a:extLst>
                  </pic:spPr>
                </pic:pic>
              </a:graphicData>
            </a:graphic>
          </wp:inline>
        </w:drawing>
      </w:r>
    </w:p>
    <w:p w:rsidR="002B0E02" w:rsidRDefault="008868B6" w:rsidP="00EA47E1">
      <w:pPr>
        <w:spacing w:line="269" w:lineRule="auto"/>
        <w:rPr>
          <w:rtl/>
        </w:rPr>
      </w:pPr>
      <w:r w:rsidRPr="00BF3877">
        <w:rPr>
          <w:rFonts w:hint="cs"/>
          <w:sz w:val="16"/>
          <w:szCs w:val="20"/>
          <w:rtl/>
        </w:rPr>
        <w:t>על</w:t>
      </w:r>
      <w:r w:rsidRPr="00BF3877">
        <w:rPr>
          <w:sz w:val="16"/>
          <w:szCs w:val="20"/>
          <w:rtl/>
        </w:rPr>
        <w:t xml:space="preserve"> </w:t>
      </w:r>
      <w:r w:rsidRPr="00BF3877">
        <w:rPr>
          <w:rFonts w:hint="cs"/>
          <w:sz w:val="16"/>
          <w:szCs w:val="20"/>
          <w:rtl/>
        </w:rPr>
        <w:t>פי</w:t>
      </w:r>
      <w:r w:rsidRPr="00BF3877">
        <w:rPr>
          <w:sz w:val="16"/>
          <w:szCs w:val="20"/>
          <w:rtl/>
        </w:rPr>
        <w:t xml:space="preserve"> </w:t>
      </w:r>
      <w:r w:rsidRPr="00BF3877">
        <w:rPr>
          <w:rFonts w:hint="cs"/>
          <w:sz w:val="16"/>
          <w:szCs w:val="20"/>
          <w:rtl/>
        </w:rPr>
        <w:t>נתוני</w:t>
      </w:r>
      <w:r w:rsidRPr="00BF3877">
        <w:rPr>
          <w:sz w:val="16"/>
          <w:szCs w:val="20"/>
          <w:rtl/>
        </w:rPr>
        <w:t xml:space="preserve"> </w:t>
      </w:r>
      <w:r w:rsidRPr="00BF3877">
        <w:rPr>
          <w:rFonts w:hint="cs"/>
          <w:sz w:val="16"/>
          <w:szCs w:val="20"/>
          <w:rtl/>
        </w:rPr>
        <w:t>המשטרה</w:t>
      </w:r>
      <w:r w:rsidRPr="00BF3877">
        <w:rPr>
          <w:sz w:val="16"/>
          <w:szCs w:val="20"/>
          <w:rtl/>
        </w:rPr>
        <w:t xml:space="preserve">, </w:t>
      </w:r>
      <w:r w:rsidRPr="00BF3877">
        <w:rPr>
          <w:rFonts w:hint="cs"/>
          <w:sz w:val="16"/>
          <w:szCs w:val="20"/>
          <w:rtl/>
        </w:rPr>
        <w:t>בעיבוד</w:t>
      </w:r>
      <w:r w:rsidRPr="00BF3877">
        <w:rPr>
          <w:sz w:val="16"/>
          <w:szCs w:val="20"/>
          <w:rtl/>
        </w:rPr>
        <w:t xml:space="preserve"> </w:t>
      </w:r>
      <w:r w:rsidRPr="00BF3877">
        <w:rPr>
          <w:rFonts w:hint="cs"/>
          <w:sz w:val="16"/>
          <w:szCs w:val="20"/>
          <w:rtl/>
        </w:rPr>
        <w:t>משרד</w:t>
      </w:r>
      <w:r w:rsidRPr="00BF3877">
        <w:rPr>
          <w:sz w:val="16"/>
          <w:szCs w:val="20"/>
          <w:rtl/>
        </w:rPr>
        <w:t xml:space="preserve"> </w:t>
      </w:r>
      <w:r w:rsidRPr="00BF3877">
        <w:rPr>
          <w:rFonts w:hint="cs"/>
          <w:sz w:val="16"/>
          <w:szCs w:val="20"/>
          <w:rtl/>
        </w:rPr>
        <w:t>מבקר</w:t>
      </w:r>
      <w:r w:rsidRPr="00BF3877">
        <w:rPr>
          <w:sz w:val="16"/>
          <w:szCs w:val="20"/>
          <w:rtl/>
        </w:rPr>
        <w:t xml:space="preserve"> </w:t>
      </w:r>
      <w:r w:rsidRPr="00BF3877">
        <w:rPr>
          <w:rFonts w:hint="cs"/>
          <w:sz w:val="16"/>
          <w:szCs w:val="20"/>
          <w:rtl/>
        </w:rPr>
        <w:t>המדינה</w:t>
      </w:r>
      <w:r w:rsidR="00587C3D">
        <w:rPr>
          <w:rFonts w:hint="cs"/>
          <w:rtl/>
        </w:rPr>
        <w:t>.</w:t>
      </w:r>
    </w:p>
    <w:p w:rsidR="00A60E6C" w:rsidRPr="00EA47E1" w:rsidRDefault="00A60E6C" w:rsidP="00EA47E1">
      <w:pPr>
        <w:spacing w:line="269" w:lineRule="auto"/>
        <w:rPr>
          <w:rtl/>
        </w:rPr>
      </w:pPr>
    </w:p>
    <w:p w:rsidR="008868B6" w:rsidRDefault="008868B6" w:rsidP="00A60E6C">
      <w:pPr>
        <w:spacing w:line="269" w:lineRule="auto"/>
        <w:ind w:left="720"/>
        <w:rPr>
          <w:b/>
          <w:bCs/>
          <w:rtl/>
        </w:rPr>
      </w:pPr>
      <w:r w:rsidRPr="00B025D6">
        <w:rPr>
          <w:rFonts w:hint="cs"/>
          <w:b/>
          <w:bCs/>
          <w:rtl/>
        </w:rPr>
        <w:t xml:space="preserve">מהתרשים עולה כי </w:t>
      </w:r>
      <w:r>
        <w:rPr>
          <w:rFonts w:hint="cs"/>
          <w:b/>
          <w:bCs/>
          <w:rtl/>
        </w:rPr>
        <w:t xml:space="preserve">המשטרה נוהגת לציין ברוב המכריע של </w:t>
      </w:r>
      <w:r w:rsidRPr="00B025D6">
        <w:rPr>
          <w:rFonts w:hint="cs"/>
          <w:b/>
          <w:bCs/>
          <w:rtl/>
        </w:rPr>
        <w:t>הבקשות</w:t>
      </w:r>
      <w:r>
        <w:rPr>
          <w:rFonts w:hint="cs"/>
          <w:b/>
          <w:bCs/>
          <w:rtl/>
        </w:rPr>
        <w:t xml:space="preserve"> (12,642</w:t>
      </w:r>
      <w:r w:rsidRPr="00B025D6">
        <w:rPr>
          <w:rFonts w:hint="cs"/>
          <w:b/>
          <w:bCs/>
          <w:rtl/>
        </w:rPr>
        <w:t xml:space="preserve"> </w:t>
      </w:r>
      <w:r>
        <w:rPr>
          <w:rFonts w:hint="cs"/>
          <w:b/>
          <w:bCs/>
          <w:rtl/>
        </w:rPr>
        <w:t xml:space="preserve">שהן </w:t>
      </w:r>
      <w:r w:rsidRPr="00B025D6">
        <w:rPr>
          <w:rFonts w:hint="cs"/>
          <w:b/>
          <w:bCs/>
          <w:rtl/>
        </w:rPr>
        <w:t>8</w:t>
      </w:r>
      <w:r>
        <w:rPr>
          <w:rFonts w:hint="cs"/>
          <w:b/>
          <w:bCs/>
          <w:rtl/>
        </w:rPr>
        <w:t>9</w:t>
      </w:r>
      <w:r w:rsidRPr="00B025D6">
        <w:rPr>
          <w:rFonts w:hint="cs"/>
          <w:b/>
          <w:bCs/>
          <w:rtl/>
        </w:rPr>
        <w:t>%</w:t>
      </w:r>
      <w:r>
        <w:rPr>
          <w:rFonts w:hint="cs"/>
          <w:b/>
          <w:bCs/>
          <w:rtl/>
        </w:rPr>
        <w:t xml:space="preserve"> מסך כל הבקשות</w:t>
      </w:r>
      <w:r w:rsidRPr="00B025D6">
        <w:rPr>
          <w:rFonts w:hint="cs"/>
          <w:b/>
          <w:bCs/>
          <w:rtl/>
        </w:rPr>
        <w:t>)</w:t>
      </w:r>
      <w:r w:rsidRPr="00B025D6">
        <w:rPr>
          <w:rStyle w:val="af"/>
          <w:b/>
          <w:bCs/>
          <w:rtl/>
        </w:rPr>
        <w:footnoteReference w:id="84"/>
      </w:r>
      <w:r>
        <w:rPr>
          <w:rFonts w:hint="cs"/>
          <w:b/>
          <w:bCs/>
          <w:rtl/>
        </w:rPr>
        <w:t xml:space="preserve"> יותר מעילה אחת מתוך שלוש עילות ההאזנה הקיימות - גילוי עבירות, גילוי עבריינים וחילוט </w:t>
      </w:r>
      <w:r w:rsidRPr="00CF43EA">
        <w:rPr>
          <w:b/>
          <w:bCs/>
          <w:rtl/>
        </w:rPr>
        <w:t>רכוש הקשור בפשע</w:t>
      </w:r>
      <w:r>
        <w:rPr>
          <w:rFonts w:hint="cs"/>
          <w:b/>
          <w:bCs/>
          <w:rtl/>
        </w:rPr>
        <w:t>. בכמעט מחצית מהבקשות (5,977 שהן 46% מסך כל הבקשות)</w:t>
      </w:r>
      <w:r>
        <w:rPr>
          <w:rFonts w:hint="cs"/>
          <w:b/>
          <w:bCs/>
        </w:rPr>
        <w:t xml:space="preserve"> </w:t>
      </w:r>
      <w:r>
        <w:rPr>
          <w:rFonts w:hint="cs"/>
          <w:b/>
          <w:bCs/>
          <w:rtl/>
        </w:rPr>
        <w:t>היא נוהגת לציין את שלוש עילות ההאזנה</w:t>
      </w:r>
      <w:r w:rsidRPr="00B025D6">
        <w:rPr>
          <w:rFonts w:hint="cs"/>
          <w:b/>
          <w:bCs/>
          <w:rtl/>
        </w:rPr>
        <w:t xml:space="preserve">. </w:t>
      </w:r>
      <w:r>
        <w:rPr>
          <w:rFonts w:hint="cs"/>
          <w:b/>
          <w:bCs/>
          <w:rtl/>
        </w:rPr>
        <w:t>רק ב-1,642</w:t>
      </w:r>
      <w:r w:rsidRPr="00B025D6">
        <w:rPr>
          <w:rFonts w:hint="cs"/>
          <w:b/>
          <w:bCs/>
          <w:rtl/>
        </w:rPr>
        <w:t xml:space="preserve"> בקשות (11%</w:t>
      </w:r>
      <w:r>
        <w:rPr>
          <w:rFonts w:hint="cs"/>
          <w:b/>
          <w:bCs/>
          <w:rtl/>
        </w:rPr>
        <w:t xml:space="preserve"> מהן</w:t>
      </w:r>
      <w:r w:rsidRPr="00B025D6">
        <w:rPr>
          <w:rFonts w:hint="cs"/>
          <w:b/>
          <w:bCs/>
          <w:rtl/>
        </w:rPr>
        <w:t xml:space="preserve">) </w:t>
      </w:r>
      <w:r>
        <w:rPr>
          <w:rFonts w:hint="cs"/>
          <w:b/>
          <w:bCs/>
          <w:rtl/>
        </w:rPr>
        <w:t xml:space="preserve">צוינה </w:t>
      </w:r>
      <w:r w:rsidRPr="00B025D6">
        <w:rPr>
          <w:rFonts w:hint="cs"/>
          <w:b/>
          <w:bCs/>
          <w:rtl/>
        </w:rPr>
        <w:t>עילת האזנה יחידה</w:t>
      </w:r>
      <w:r w:rsidRPr="00B025D6">
        <w:rPr>
          <w:rStyle w:val="af"/>
          <w:b/>
          <w:bCs/>
          <w:rtl/>
        </w:rPr>
        <w:footnoteReference w:id="85"/>
      </w:r>
      <w:r w:rsidRPr="00B025D6">
        <w:rPr>
          <w:rFonts w:hint="cs"/>
          <w:b/>
          <w:bCs/>
          <w:rtl/>
        </w:rPr>
        <w:t>.</w:t>
      </w:r>
      <w:r>
        <w:rPr>
          <w:rFonts w:hint="cs"/>
          <w:b/>
          <w:bCs/>
          <w:rtl/>
        </w:rPr>
        <w:t xml:space="preserve"> יוצא אפוא כי המשטרה אינה מציינת באופן ממוקד את </w:t>
      </w:r>
      <w:r w:rsidR="00E958C0">
        <w:rPr>
          <w:rFonts w:hint="cs"/>
          <w:b/>
          <w:bCs/>
          <w:rtl/>
        </w:rPr>
        <w:t xml:space="preserve">העילה </w:t>
      </w:r>
      <w:r w:rsidR="0091079E">
        <w:rPr>
          <w:rFonts w:hint="cs"/>
          <w:b/>
          <w:bCs/>
          <w:rtl/>
        </w:rPr>
        <w:t>ש</w:t>
      </w:r>
      <w:r w:rsidR="00E958C0">
        <w:rPr>
          <w:rFonts w:hint="cs"/>
          <w:b/>
          <w:bCs/>
          <w:rtl/>
        </w:rPr>
        <w:t>לשמה</w:t>
      </w:r>
      <w:r>
        <w:rPr>
          <w:rFonts w:hint="cs"/>
          <w:b/>
          <w:bCs/>
          <w:rtl/>
        </w:rPr>
        <w:t xml:space="preserve"> נדרשת האזנת הסתר</w:t>
      </w:r>
      <w:r w:rsidR="00E958C0">
        <w:rPr>
          <w:rFonts w:hint="cs"/>
          <w:b/>
          <w:bCs/>
          <w:rtl/>
        </w:rPr>
        <w:t xml:space="preserve"> </w:t>
      </w:r>
      <w:r w:rsidR="002C10E6">
        <w:rPr>
          <w:rFonts w:hint="cs"/>
          <w:b/>
          <w:bCs/>
          <w:rtl/>
        </w:rPr>
        <w:t xml:space="preserve">- </w:t>
      </w:r>
      <w:r w:rsidR="00424525">
        <w:rPr>
          <w:rFonts w:hint="cs"/>
          <w:b/>
          <w:bCs/>
          <w:rtl/>
        </w:rPr>
        <w:t>גילוי עבירות או גילוי עבריינים או חילוט</w:t>
      </w:r>
      <w:r>
        <w:rPr>
          <w:rFonts w:hint="cs"/>
          <w:b/>
          <w:bCs/>
          <w:rtl/>
        </w:rPr>
        <w:t>.</w:t>
      </w:r>
      <w:r w:rsidRPr="00B025D6">
        <w:rPr>
          <w:rFonts w:hint="cs"/>
          <w:b/>
          <w:bCs/>
          <w:rtl/>
        </w:rPr>
        <w:t xml:space="preserve"> </w:t>
      </w:r>
      <w:bookmarkStart w:id="247" w:name="_Hlk187300167"/>
      <w:r w:rsidR="00424525">
        <w:rPr>
          <w:rFonts w:hint="cs"/>
          <w:b/>
          <w:bCs/>
          <w:rtl/>
        </w:rPr>
        <w:t>אי</w:t>
      </w:r>
      <w:r w:rsidR="002C10E6">
        <w:rPr>
          <w:rFonts w:hint="cs"/>
          <w:b/>
          <w:bCs/>
          <w:rtl/>
        </w:rPr>
        <w:t>-</w:t>
      </w:r>
      <w:r>
        <w:rPr>
          <w:rFonts w:hint="cs"/>
          <w:b/>
          <w:bCs/>
          <w:rtl/>
        </w:rPr>
        <w:t xml:space="preserve">ציון ממוקד של עילת ההאזנה, </w:t>
      </w:r>
      <w:r w:rsidR="00424525">
        <w:rPr>
          <w:rFonts w:hint="cs"/>
          <w:b/>
          <w:bCs/>
          <w:rtl/>
        </w:rPr>
        <w:t xml:space="preserve">מקשה על </w:t>
      </w:r>
      <w:r>
        <w:rPr>
          <w:rFonts w:hint="cs"/>
          <w:b/>
          <w:bCs/>
          <w:rtl/>
        </w:rPr>
        <w:t>הגורם המאשר לבחון את נחיצות ההאזנה ואת יעילותה</w:t>
      </w:r>
      <w:bookmarkEnd w:id="247"/>
      <w:r>
        <w:rPr>
          <w:rFonts w:hint="cs"/>
          <w:b/>
          <w:bCs/>
          <w:rtl/>
        </w:rPr>
        <w:t xml:space="preserve">. יתרה מזו, מיקוד כל אחת מהבקשות בעילה הספציפית הנוגעת לה תסייע בניתוח מדדי הביצועים בתחום האזנות הסתר, ובין היתר תאפשר לבדוק אם איסוף הראיות באמצעות האזנת הסתר צלח בהתאם לעילת ההאזנה שהתבקשה. </w:t>
      </w:r>
      <w:r w:rsidR="00386F34">
        <w:rPr>
          <w:rFonts w:hint="cs"/>
          <w:b/>
          <w:bCs/>
          <w:rtl/>
        </w:rPr>
        <w:t xml:space="preserve">דפוס התנהלות זה הופך </w:t>
      </w:r>
      <w:r w:rsidR="00242830">
        <w:rPr>
          <w:rFonts w:hint="cs"/>
          <w:b/>
          <w:bCs/>
          <w:rtl/>
        </w:rPr>
        <w:t xml:space="preserve">את </w:t>
      </w:r>
      <w:r w:rsidR="00386F34">
        <w:rPr>
          <w:rFonts w:hint="cs"/>
          <w:b/>
          <w:bCs/>
          <w:rtl/>
        </w:rPr>
        <w:t>הליך מילוי הבקשה לתהליך טכני, אף שמדובר בהליך מהותי ורגיש.</w:t>
      </w:r>
    </w:p>
    <w:p w:rsidR="00AE1F52" w:rsidRDefault="00AE1F52" w:rsidP="00A60E6C">
      <w:pPr>
        <w:pStyle w:val="a5"/>
        <w:spacing w:line="269" w:lineRule="auto"/>
        <w:ind w:left="153"/>
        <w:rPr>
          <w:rtl/>
        </w:rPr>
      </w:pPr>
    </w:p>
    <w:p w:rsidR="005E6A42" w:rsidRDefault="00F677E3" w:rsidP="00A60E6C">
      <w:pPr>
        <w:spacing w:line="269" w:lineRule="auto"/>
        <w:ind w:left="720"/>
        <w:rPr>
          <w:rtl/>
        </w:rPr>
      </w:pPr>
      <w:r>
        <w:rPr>
          <w:rFonts w:hint="cs"/>
          <w:rtl/>
        </w:rPr>
        <w:t xml:space="preserve">המשטרה מסרה בתגובתה כי אין הגבלה בחוק על מספר העילות שניתן לציין בבקשה, וכי הנחיצות הקונקרטית בהאזנה מפורטת בבקשה, וכי חלה חזקה על תקינות הבקשה מעצם אישורה על ידי בית המשפט. </w:t>
      </w:r>
      <w:r w:rsidR="009208B7">
        <w:rPr>
          <w:rFonts w:hint="cs"/>
          <w:rtl/>
        </w:rPr>
        <w:t xml:space="preserve">עוד היא ציינה כי </w:t>
      </w:r>
      <w:r w:rsidR="00C20C66">
        <w:rPr>
          <w:rFonts w:hint="cs"/>
          <w:rtl/>
        </w:rPr>
        <w:t>כאשר מוגשת בקשה להאזנת סתר בראשית החקירה, קשה למשטרה להפריד ולמקד את העילות, וכי הדרישה להפרדה היא מלאכותית.</w:t>
      </w:r>
      <w:r w:rsidR="006B28B8">
        <w:rPr>
          <w:rFonts w:hint="cs"/>
          <w:rtl/>
        </w:rPr>
        <w:t xml:space="preserve"> למשל, בשלב</w:t>
      </w:r>
      <w:r w:rsidR="0049609C">
        <w:rPr>
          <w:rFonts w:hint="cs"/>
          <w:rtl/>
        </w:rPr>
        <w:t xml:space="preserve"> </w:t>
      </w:r>
      <w:r w:rsidR="002C10E6">
        <w:rPr>
          <w:rFonts w:hint="cs"/>
          <w:rtl/>
        </w:rPr>
        <w:t>ש</w:t>
      </w:r>
      <w:r w:rsidR="006B28B8">
        <w:rPr>
          <w:rFonts w:hint="cs"/>
          <w:rtl/>
        </w:rPr>
        <w:t>בו חשוד בביצוע עבירה נמצא בבריחה לא נעצרת החקירה</w:t>
      </w:r>
      <w:r w:rsidR="002C10E6">
        <w:rPr>
          <w:rFonts w:hint="cs"/>
          <w:rtl/>
        </w:rPr>
        <w:t>,</w:t>
      </w:r>
      <w:r w:rsidR="006B28B8">
        <w:rPr>
          <w:rFonts w:hint="cs"/>
          <w:rtl/>
        </w:rPr>
        <w:t xml:space="preserve"> ולצד משימתה של המשטרה לפענוח העבירה מוטלת עליה גם משימת איתורו של החשוד.</w:t>
      </w:r>
      <w:r w:rsidR="0049609C">
        <w:rPr>
          <w:rFonts w:hint="cs"/>
          <w:rtl/>
        </w:rPr>
        <w:t xml:space="preserve"> </w:t>
      </w:r>
    </w:p>
    <w:p w:rsidR="002B0E02" w:rsidRDefault="002B0E02" w:rsidP="00A60E6C">
      <w:pPr>
        <w:spacing w:line="269" w:lineRule="auto"/>
        <w:ind w:left="720"/>
        <w:rPr>
          <w:b/>
          <w:bCs/>
          <w:rtl/>
        </w:rPr>
      </w:pPr>
      <w:bookmarkStart w:id="248" w:name="_Hlk187744626"/>
      <w:bookmarkStart w:id="249" w:name="_Hlk187300262"/>
      <w:bookmarkStart w:id="250" w:name="_Hlk188972270"/>
    </w:p>
    <w:p w:rsidR="008868B6" w:rsidRDefault="001B3FD9" w:rsidP="00A60E6C">
      <w:pPr>
        <w:spacing w:line="269" w:lineRule="auto"/>
        <w:ind w:left="720"/>
        <w:rPr>
          <w:b/>
          <w:bCs/>
          <w:rtl/>
        </w:rPr>
      </w:pPr>
      <w:r>
        <w:rPr>
          <w:rFonts w:hint="cs"/>
          <w:b/>
          <w:bCs/>
          <w:rtl/>
        </w:rPr>
        <w:t xml:space="preserve">יש חשיבות למיקוד הבקשות, ככל האפשר, בראשיתה </w:t>
      </w:r>
      <w:bookmarkEnd w:id="248"/>
      <w:r>
        <w:rPr>
          <w:rFonts w:hint="cs"/>
          <w:b/>
          <w:bCs/>
          <w:rtl/>
        </w:rPr>
        <w:t xml:space="preserve">של החקירה </w:t>
      </w:r>
      <w:r w:rsidR="00973D59">
        <w:rPr>
          <w:rFonts w:hint="cs"/>
          <w:b/>
          <w:bCs/>
          <w:rtl/>
        </w:rPr>
        <w:t xml:space="preserve">גם </w:t>
      </w:r>
      <w:r w:rsidR="00AF1894">
        <w:rPr>
          <w:rFonts w:hint="cs"/>
          <w:b/>
          <w:bCs/>
          <w:rtl/>
        </w:rPr>
        <w:t>בשלבים בהם החקירה לוטה בערפל.</w:t>
      </w:r>
      <w:r w:rsidR="006B28B8">
        <w:rPr>
          <w:rFonts w:hint="cs"/>
          <w:b/>
          <w:bCs/>
          <w:rtl/>
        </w:rPr>
        <w:t xml:space="preserve"> </w:t>
      </w:r>
      <w:r w:rsidR="00AF1894">
        <w:rPr>
          <w:rFonts w:hint="cs"/>
          <w:b/>
          <w:bCs/>
          <w:rtl/>
        </w:rPr>
        <w:t>עם התקדמות החקירה</w:t>
      </w:r>
      <w:r w:rsidR="002C10E6">
        <w:rPr>
          <w:rFonts w:hint="cs"/>
          <w:b/>
          <w:bCs/>
          <w:rtl/>
        </w:rPr>
        <w:t>, הגשת בקשות להארכת האזנת הסתר</w:t>
      </w:r>
      <w:r w:rsidR="00AF1894">
        <w:rPr>
          <w:rFonts w:hint="cs"/>
          <w:b/>
          <w:bCs/>
          <w:rtl/>
        </w:rPr>
        <w:t xml:space="preserve"> </w:t>
      </w:r>
      <w:r w:rsidR="002C10E6">
        <w:rPr>
          <w:rFonts w:hint="cs"/>
          <w:b/>
          <w:bCs/>
          <w:rtl/>
        </w:rPr>
        <w:t>והתמשכות</w:t>
      </w:r>
      <w:r w:rsidR="00AF1894">
        <w:rPr>
          <w:rFonts w:hint="cs"/>
          <w:b/>
          <w:bCs/>
          <w:rtl/>
        </w:rPr>
        <w:t xml:space="preserve"> ביצוע ההאזנות</w:t>
      </w:r>
      <w:r w:rsidR="002C10E6">
        <w:rPr>
          <w:rFonts w:hint="cs"/>
          <w:b/>
          <w:bCs/>
          <w:rtl/>
        </w:rPr>
        <w:t xml:space="preserve"> בפועל</w:t>
      </w:r>
      <w:r w:rsidR="00AF1894">
        <w:rPr>
          <w:rFonts w:hint="cs"/>
          <w:b/>
          <w:bCs/>
          <w:rtl/>
        </w:rPr>
        <w:t>, נדרשת המשטרה להצדיק את הפגיעה המצטברת והמתמשכת בפרטיות</w:t>
      </w:r>
      <w:r w:rsidR="00382AE8">
        <w:rPr>
          <w:rFonts w:hint="cs"/>
          <w:b/>
          <w:bCs/>
          <w:rtl/>
        </w:rPr>
        <w:t xml:space="preserve"> </w:t>
      </w:r>
      <w:r w:rsidR="00AF1894">
        <w:rPr>
          <w:rFonts w:hint="cs"/>
          <w:b/>
          <w:bCs/>
          <w:rtl/>
        </w:rPr>
        <w:t>הנובעת מהגשת הבקשות להארכת הצווים</w:t>
      </w:r>
      <w:r>
        <w:rPr>
          <w:rFonts w:hint="cs"/>
          <w:b/>
          <w:bCs/>
          <w:rtl/>
        </w:rPr>
        <w:t xml:space="preserve"> ביתר שאת</w:t>
      </w:r>
      <w:r w:rsidR="00AF1894">
        <w:rPr>
          <w:rFonts w:hint="cs"/>
          <w:b/>
          <w:bCs/>
          <w:rtl/>
        </w:rPr>
        <w:t xml:space="preserve">, ומשכך עליה למקד את הצורך לשמו נדרשת ההאזנה </w:t>
      </w:r>
      <w:r w:rsidR="00BB4E96">
        <w:rPr>
          <w:rFonts w:hint="cs"/>
          <w:b/>
          <w:bCs/>
          <w:rtl/>
        </w:rPr>
        <w:t>-</w:t>
      </w:r>
      <w:r w:rsidR="00AF1894">
        <w:rPr>
          <w:rFonts w:hint="cs"/>
          <w:b/>
          <w:bCs/>
          <w:rtl/>
        </w:rPr>
        <w:t xml:space="preserve"> כלומר, עילת ההאזנה</w:t>
      </w:r>
      <w:bookmarkEnd w:id="249"/>
      <w:r w:rsidR="00AF1894">
        <w:rPr>
          <w:rFonts w:hint="cs"/>
          <w:b/>
          <w:bCs/>
          <w:rtl/>
        </w:rPr>
        <w:t xml:space="preserve">. </w:t>
      </w:r>
      <w:r w:rsidR="008868B6">
        <w:rPr>
          <w:rFonts w:hint="cs"/>
          <w:b/>
          <w:bCs/>
          <w:rtl/>
        </w:rPr>
        <w:t xml:space="preserve">מוצע כי המשטרה תגדיר בנהליה את המאפיינים הייחודיים של כל אחת מעילות ההאזנה המצוינות בבקשה וכן תכלול בנהלים אלה דרישה </w:t>
      </w:r>
      <w:r w:rsidR="00F677E3">
        <w:rPr>
          <w:rFonts w:hint="cs"/>
          <w:b/>
          <w:bCs/>
          <w:rtl/>
        </w:rPr>
        <w:t xml:space="preserve">להקפיד על בחירת עילה יחידה בבקשה, </w:t>
      </w:r>
      <w:r w:rsidR="008868B6">
        <w:rPr>
          <w:rFonts w:hint="cs"/>
          <w:b/>
          <w:bCs/>
          <w:rtl/>
        </w:rPr>
        <w:t xml:space="preserve">למעט במקרים חריגים בהם תיבחר עילה מרכזית אחת והעילות הנוספות יהוו עילות משנה. </w:t>
      </w:r>
    </w:p>
    <w:bookmarkEnd w:id="250"/>
    <w:p w:rsidR="00EF68E6" w:rsidRDefault="00EF68E6" w:rsidP="00604C3D">
      <w:pPr>
        <w:bidi w:val="0"/>
        <w:spacing w:line="269" w:lineRule="auto"/>
        <w:rPr>
          <w:rFonts w:eastAsiaTheme="majorEastAsia"/>
          <w:bCs/>
          <w:spacing w:val="40"/>
          <w:rtl/>
        </w:rPr>
      </w:pPr>
    </w:p>
    <w:p w:rsidR="00486C45" w:rsidRDefault="008868B6" w:rsidP="008C598D">
      <w:pPr>
        <w:pStyle w:val="5"/>
        <w:numPr>
          <w:ilvl w:val="2"/>
          <w:numId w:val="43"/>
        </w:numPr>
        <w:spacing w:line="269" w:lineRule="auto"/>
        <w:ind w:left="707"/>
        <w:rPr>
          <w:rtl/>
        </w:rPr>
      </w:pPr>
      <w:r w:rsidRPr="005571ED">
        <w:rPr>
          <w:rFonts w:hint="eastAsia"/>
          <w:rtl/>
        </w:rPr>
        <w:t>רישום</w:t>
      </w:r>
      <w:r w:rsidRPr="005571ED">
        <w:rPr>
          <w:rtl/>
        </w:rPr>
        <w:t xml:space="preserve"> </w:t>
      </w:r>
      <w:r w:rsidRPr="005571ED">
        <w:rPr>
          <w:rFonts w:hint="eastAsia"/>
          <w:rtl/>
        </w:rPr>
        <w:t>העבירות</w:t>
      </w:r>
      <w:r>
        <w:rPr>
          <w:rFonts w:hint="cs"/>
          <w:rtl/>
        </w:rPr>
        <w:t xml:space="preserve"> </w:t>
      </w:r>
    </w:p>
    <w:p w:rsidR="002B0E02" w:rsidRDefault="002B0E02" w:rsidP="00604C3D">
      <w:pPr>
        <w:spacing w:line="269" w:lineRule="auto"/>
        <w:rPr>
          <w:rtl/>
        </w:rPr>
      </w:pPr>
    </w:p>
    <w:p w:rsidR="008868B6" w:rsidRDefault="008868B6" w:rsidP="00C56C87">
      <w:pPr>
        <w:spacing w:line="269" w:lineRule="auto"/>
        <w:ind w:left="680"/>
        <w:rPr>
          <w:rtl/>
        </w:rPr>
      </w:pPr>
      <w:r>
        <w:rPr>
          <w:rFonts w:hint="cs"/>
          <w:rtl/>
        </w:rPr>
        <w:t xml:space="preserve">בהתאם לתקנות </w:t>
      </w:r>
      <w:r w:rsidR="004D0F99">
        <w:rPr>
          <w:rFonts w:hint="cs"/>
          <w:rtl/>
        </w:rPr>
        <w:t>בקשה להיתר האזנה</w:t>
      </w:r>
      <w:r>
        <w:rPr>
          <w:rFonts w:hint="cs"/>
          <w:rtl/>
        </w:rPr>
        <w:t xml:space="preserve">, להמלצות צוותים ממשלתיים ולהמלצות שהובאו בדוחות מבקר המדינה, יש לציין בבקשה את </w:t>
      </w:r>
      <w:bookmarkStart w:id="251" w:name="_Hlk156200098"/>
      <w:r>
        <w:rPr>
          <w:rFonts w:hint="cs"/>
          <w:rtl/>
        </w:rPr>
        <w:t>כל העבירות</w:t>
      </w:r>
      <w:r w:rsidR="00543BF7">
        <w:rPr>
          <w:rFonts w:hint="cs"/>
          <w:rtl/>
        </w:rPr>
        <w:t xml:space="preserve"> (</w:t>
      </w:r>
      <w:r w:rsidR="00F4428B">
        <w:rPr>
          <w:rFonts w:hint="cs"/>
          <w:rtl/>
        </w:rPr>
        <w:t>ה</w:t>
      </w:r>
      <w:r w:rsidR="00543BF7">
        <w:rPr>
          <w:rFonts w:hint="cs"/>
          <w:rtl/>
        </w:rPr>
        <w:t xml:space="preserve">עבירה </w:t>
      </w:r>
      <w:r w:rsidR="00F4428B">
        <w:rPr>
          <w:rFonts w:hint="cs"/>
          <w:rtl/>
        </w:rPr>
        <w:t>ה</w:t>
      </w:r>
      <w:r w:rsidR="00543BF7">
        <w:rPr>
          <w:rFonts w:hint="cs"/>
          <w:rtl/>
        </w:rPr>
        <w:t xml:space="preserve">עיקרית או </w:t>
      </w:r>
      <w:r w:rsidR="00F4428B">
        <w:rPr>
          <w:rFonts w:hint="cs"/>
          <w:rtl/>
        </w:rPr>
        <w:t>העבירה ה</w:t>
      </w:r>
      <w:r w:rsidR="00543BF7">
        <w:rPr>
          <w:rFonts w:hint="cs"/>
          <w:rtl/>
        </w:rPr>
        <w:t>נלווית)</w:t>
      </w:r>
      <w:r w:rsidR="00543BF7" w:rsidRPr="005F6801">
        <w:rPr>
          <w:rStyle w:val="af"/>
          <w:szCs w:val="20"/>
          <w:rtl/>
        </w:rPr>
        <w:footnoteReference w:id="86"/>
      </w:r>
      <w:r w:rsidR="0049609C">
        <w:rPr>
          <w:rFonts w:hint="cs"/>
          <w:rtl/>
        </w:rPr>
        <w:t xml:space="preserve"> </w:t>
      </w:r>
      <w:r>
        <w:rPr>
          <w:rFonts w:hint="cs"/>
          <w:rtl/>
        </w:rPr>
        <w:t>שיש להן זיקה לבקשה</w:t>
      </w:r>
      <w:bookmarkEnd w:id="251"/>
      <w:r>
        <w:rPr>
          <w:rFonts w:hint="cs"/>
          <w:rtl/>
        </w:rPr>
        <w:t xml:space="preserve"> ואין להתייחס לעבירות המיוחסות לגורמים שבהם עוסקת הבקשה בלשון כללית או</w:t>
      </w:r>
      <w:r w:rsidR="00F4428B">
        <w:rPr>
          <w:rFonts w:hint="cs"/>
          <w:rtl/>
        </w:rPr>
        <w:t xml:space="preserve"> בלשון</w:t>
      </w:r>
      <w:r>
        <w:rPr>
          <w:rFonts w:hint="cs"/>
          <w:rtl/>
        </w:rPr>
        <w:t xml:space="preserve"> שאינה מפורשת</w:t>
      </w:r>
      <w:r>
        <w:rPr>
          <w:rStyle w:val="af"/>
          <w:rtl/>
        </w:rPr>
        <w:footnoteReference w:id="87"/>
      </w:r>
      <w:r>
        <w:rPr>
          <w:rFonts w:hint="cs"/>
          <w:rtl/>
        </w:rPr>
        <w:t>.</w:t>
      </w:r>
    </w:p>
    <w:p w:rsidR="002B0E02" w:rsidRDefault="002B0E02" w:rsidP="00C56C87">
      <w:pPr>
        <w:spacing w:line="269" w:lineRule="auto"/>
        <w:ind w:left="680"/>
        <w:rPr>
          <w:rtl/>
        </w:rPr>
      </w:pPr>
      <w:bookmarkStart w:id="252" w:name="_Hlk134629887"/>
    </w:p>
    <w:p w:rsidR="008868B6" w:rsidRDefault="008868B6" w:rsidP="00C56C87">
      <w:pPr>
        <w:spacing w:line="269" w:lineRule="auto"/>
        <w:ind w:left="680"/>
        <w:rPr>
          <w:rtl/>
        </w:rPr>
      </w:pPr>
      <w:r>
        <w:rPr>
          <w:rFonts w:hint="cs"/>
          <w:rtl/>
        </w:rPr>
        <w:t xml:space="preserve">המלצות אלו עוגנו בנוהלי המשטרה, ולפיהם על היחידה המזמינה את האזנת הסתר לפרט בבקשתה את השיקולים שעל בסיסם גובש הצורך בביצוע ההאזנה. </w:t>
      </w:r>
    </w:p>
    <w:p w:rsidR="002B0E02" w:rsidRDefault="002B0E02" w:rsidP="00C56C87">
      <w:pPr>
        <w:spacing w:line="269" w:lineRule="auto"/>
        <w:ind w:left="680"/>
        <w:rPr>
          <w:rtl/>
        </w:rPr>
      </w:pPr>
    </w:p>
    <w:p w:rsidR="008868B6" w:rsidRDefault="008868B6" w:rsidP="00C56C87">
      <w:pPr>
        <w:spacing w:line="269" w:lineRule="auto"/>
        <w:ind w:left="680"/>
        <w:rPr>
          <w:rtl/>
        </w:rPr>
      </w:pPr>
      <w:r w:rsidRPr="00924F84">
        <w:rPr>
          <w:rFonts w:hint="cs"/>
          <w:rtl/>
        </w:rPr>
        <w:t>לאופן רישום העבירות חשיבות רבה, מכמה טעמים: (א)</w:t>
      </w:r>
      <w:r w:rsidRPr="00924F84">
        <w:rPr>
          <w:rFonts w:hint="cs"/>
        </w:rPr>
        <w:t xml:space="preserve"> </w:t>
      </w:r>
      <w:r w:rsidRPr="00924F84">
        <w:rPr>
          <w:rFonts w:hint="cs"/>
          <w:rtl/>
        </w:rPr>
        <w:t>לאחר שאושרה האזנת הסתר, תוצריה קבילים כראיה בהליך הפלילי להוכחת כל עבירה, גם עבירות שאינן פשע ואין להן זיקה למטרה הראשונית שלשמה אושרה ההאזנה, בהתאם למגבלות החוק</w:t>
      </w:r>
      <w:r w:rsidRPr="00924F84">
        <w:rPr>
          <w:rStyle w:val="af"/>
          <w:rtl/>
        </w:rPr>
        <w:footnoteReference w:id="88"/>
      </w:r>
      <w:r w:rsidR="00BD29F7">
        <w:rPr>
          <w:rFonts w:hint="cs"/>
          <w:rtl/>
        </w:rPr>
        <w:t>;</w:t>
      </w:r>
      <w:r w:rsidRPr="00924F84">
        <w:rPr>
          <w:rFonts w:hint="cs"/>
          <w:rtl/>
        </w:rPr>
        <w:t xml:space="preserve"> (ב) כלל תוצרי ההאזנה עשויים לשמש ראיות מינהליות (מודיעיניות)</w:t>
      </w:r>
      <w:r w:rsidR="00BD29F7">
        <w:rPr>
          <w:rFonts w:hint="cs"/>
          <w:rtl/>
        </w:rPr>
        <w:t>;</w:t>
      </w:r>
      <w:r w:rsidRPr="00924F84">
        <w:rPr>
          <w:rFonts w:hint="cs"/>
          <w:rtl/>
        </w:rPr>
        <w:t xml:space="preserve"> (ג) </w:t>
      </w:r>
      <w:r w:rsidR="008805E0">
        <w:rPr>
          <w:rFonts w:hint="cs"/>
          <w:rtl/>
        </w:rPr>
        <w:t>כדי</w:t>
      </w:r>
      <w:r w:rsidRPr="00924F84">
        <w:rPr>
          <w:rFonts w:hint="cs"/>
          <w:rtl/>
        </w:rPr>
        <w:t xml:space="preserve"> לאזן בין הפגיעה בזכויות יעד ההאזנה לבין חומרת העבירה נדרש להבהיר את הזיקה בין העבירה לבין יעדי ההאזנה בהתאם למעמדם (המבצע העיקרי, שותף עקיף, קורבן, קטין וכיו"ב) ולמקד את הבקשה</w:t>
      </w:r>
      <w:r w:rsidRPr="00924F84">
        <w:rPr>
          <w:rStyle w:val="af"/>
          <w:rtl/>
        </w:rPr>
        <w:footnoteReference w:id="89"/>
      </w:r>
      <w:r w:rsidRPr="00924F84">
        <w:rPr>
          <w:rFonts w:hint="cs"/>
          <w:rtl/>
        </w:rPr>
        <w:t>.</w:t>
      </w:r>
    </w:p>
    <w:p w:rsidR="002B0E02" w:rsidRDefault="002B0E02" w:rsidP="00C56C87">
      <w:pPr>
        <w:spacing w:line="269" w:lineRule="auto"/>
        <w:ind w:left="680"/>
        <w:rPr>
          <w:rtl/>
        </w:rPr>
      </w:pPr>
    </w:p>
    <w:p w:rsidR="00DF4BDD" w:rsidRPr="00DF4BDD" w:rsidRDefault="00DF4BDD" w:rsidP="00C56C87">
      <w:pPr>
        <w:spacing w:line="269" w:lineRule="auto"/>
        <w:ind w:left="680"/>
        <w:rPr>
          <w:rtl/>
        </w:rPr>
      </w:pPr>
      <w:r w:rsidRPr="00DF4BDD">
        <w:rPr>
          <w:rFonts w:hint="cs"/>
          <w:rtl/>
        </w:rPr>
        <w:t xml:space="preserve">המשטרה נוהגת לציין בבקשותיה את כלל העבירות שבוצעו במסגרת האירוע הפלילי שבעניינו מתבקשת האזנת הסתר. כמו כן, היא נוהגת להבחין בין העבירה העיקרית המיוחסת לגורם שבו עוסק הצו ומופיעה בראש טופס הבקשה לבין עבירות אחרות שאינן בהכרח מסוג פשע </w:t>
      </w:r>
      <w:bookmarkStart w:id="253" w:name="_Hlk185145013"/>
      <w:r w:rsidRPr="00DF4BDD">
        <w:rPr>
          <w:rFonts w:hint="cs"/>
          <w:rtl/>
        </w:rPr>
        <w:t xml:space="preserve">ולא מפורטות בצו </w:t>
      </w:r>
      <w:bookmarkEnd w:id="253"/>
      <w:r w:rsidRPr="00DF4BDD">
        <w:rPr>
          <w:rFonts w:hint="cs"/>
          <w:rtl/>
        </w:rPr>
        <w:t xml:space="preserve">אלא במסמך נימוקי הבקשה המצורף לבקשה. </w:t>
      </w:r>
    </w:p>
    <w:p w:rsidR="002B0E02" w:rsidRDefault="002B0E02" w:rsidP="00604C3D">
      <w:pPr>
        <w:spacing w:line="269" w:lineRule="auto"/>
        <w:rPr>
          <w:rtl/>
        </w:rPr>
      </w:pPr>
    </w:p>
    <w:p w:rsidR="008868B6" w:rsidRDefault="008868B6" w:rsidP="00C56C87">
      <w:pPr>
        <w:spacing w:line="269" w:lineRule="auto"/>
        <w:ind w:left="680"/>
        <w:rPr>
          <w:rtl/>
        </w:rPr>
      </w:pPr>
      <w:r>
        <w:rPr>
          <w:rFonts w:hint="cs"/>
          <w:rtl/>
        </w:rPr>
        <w:t>משרד מבקר המדינה מיין את הבקשות להאזנות סתר שהכינה המשטרה בשנים 2019 - 2021 לפי שכיחות העבירה העיקרית המפורטת בבקשה ו</w:t>
      </w:r>
      <w:r w:rsidR="00BD29F7">
        <w:rPr>
          <w:rFonts w:hint="cs"/>
          <w:rtl/>
        </w:rPr>
        <w:t xml:space="preserve">לפי </w:t>
      </w:r>
      <w:r>
        <w:rPr>
          <w:rFonts w:hint="cs"/>
          <w:rtl/>
        </w:rPr>
        <w:t xml:space="preserve">סוג הבקשה שהוכנה: בקשה להאזנת סתר לשמע </w:t>
      </w:r>
      <w:r w:rsidRPr="00924F84">
        <w:rPr>
          <w:rFonts w:hint="cs"/>
          <w:rtl/>
        </w:rPr>
        <w:t>או לתקשורת בין מחשבים. לשם הנוחות, העבירות העיקריות קובצו</w:t>
      </w:r>
      <w:r>
        <w:rPr>
          <w:rFonts w:hint="cs"/>
          <w:rtl/>
        </w:rPr>
        <w:t xml:space="preserve"> </w:t>
      </w:r>
      <w:r w:rsidRPr="00924F84">
        <w:rPr>
          <w:rFonts w:hint="cs"/>
          <w:rtl/>
        </w:rPr>
        <w:t>לקבוצות עבירה סטטיסטיות</w:t>
      </w:r>
      <w:r w:rsidRPr="00924F84">
        <w:rPr>
          <w:rStyle w:val="af"/>
          <w:rtl/>
        </w:rPr>
        <w:footnoteReference w:id="90"/>
      </w:r>
      <w:r w:rsidRPr="00924F84">
        <w:rPr>
          <w:rFonts w:hint="cs"/>
          <w:rtl/>
        </w:rPr>
        <w:t>. להלן תרשימים המציגים נתונים אלו:</w:t>
      </w:r>
      <w:r>
        <w:rPr>
          <w:rFonts w:hint="cs"/>
          <w:rtl/>
        </w:rPr>
        <w:t xml:space="preserve"> </w:t>
      </w:r>
    </w:p>
    <w:p w:rsidR="002B0E02" w:rsidRDefault="002B0E02" w:rsidP="00604C3D">
      <w:pPr>
        <w:spacing w:line="269" w:lineRule="auto"/>
        <w:ind w:left="720"/>
        <w:jc w:val="center"/>
        <w:rPr>
          <w:rtl/>
        </w:rPr>
      </w:pPr>
    </w:p>
    <w:p w:rsidR="000016C8" w:rsidRDefault="000016C8" w:rsidP="00604C3D">
      <w:pPr>
        <w:keepNext/>
        <w:keepLines/>
        <w:spacing w:line="269" w:lineRule="auto"/>
        <w:jc w:val="center"/>
        <w:rPr>
          <w:b/>
          <w:bCs/>
          <w:rtl/>
        </w:rPr>
      </w:pPr>
      <w:r w:rsidRPr="00D32775">
        <w:rPr>
          <w:rFonts w:hint="cs"/>
          <w:rtl/>
        </w:rPr>
        <w:t>תרשי</w:t>
      </w:r>
      <w:r>
        <w:rPr>
          <w:rFonts w:hint="cs"/>
          <w:rtl/>
        </w:rPr>
        <w:t>מי</w:t>
      </w:r>
      <w:r w:rsidRPr="00D32775">
        <w:rPr>
          <w:rFonts w:hint="cs"/>
          <w:rtl/>
        </w:rPr>
        <w:t>ם</w:t>
      </w:r>
      <w:r w:rsidR="00BB4E96">
        <w:rPr>
          <w:rFonts w:hint="cs"/>
          <w:rtl/>
        </w:rPr>
        <w:t xml:space="preserve"> 9</w:t>
      </w:r>
      <w:r>
        <w:rPr>
          <w:rFonts w:hint="cs"/>
          <w:rtl/>
        </w:rPr>
        <w:t xml:space="preserve"> ו-</w:t>
      </w:r>
      <w:r w:rsidR="00BB4E96">
        <w:rPr>
          <w:rFonts w:hint="cs"/>
          <w:rtl/>
        </w:rPr>
        <w:t>10</w:t>
      </w:r>
      <w:r w:rsidRPr="00D32775">
        <w:rPr>
          <w:rFonts w:hint="cs"/>
          <w:rtl/>
        </w:rPr>
        <w:t>:</w:t>
      </w:r>
      <w:r>
        <w:rPr>
          <w:rFonts w:hint="cs"/>
          <w:rtl/>
        </w:rPr>
        <w:t xml:space="preserve"> </w:t>
      </w:r>
      <w:r w:rsidR="000201A9" w:rsidRPr="000201A9">
        <w:rPr>
          <w:rFonts w:hint="cs"/>
          <w:b/>
          <w:bCs/>
          <w:rtl/>
        </w:rPr>
        <w:t xml:space="preserve">שיעורן ומספרן של הבקשות לצווי האזנת סתר לפי שכיחות קבוצת העבירה העיקרית שצוינה בבקשה, 2019 </w:t>
      </w:r>
      <w:r w:rsidR="00BB4E96">
        <w:rPr>
          <w:rFonts w:hint="cs"/>
          <w:b/>
          <w:bCs/>
          <w:rtl/>
        </w:rPr>
        <w:t>-</w:t>
      </w:r>
      <w:r w:rsidR="000201A9" w:rsidRPr="000201A9">
        <w:rPr>
          <w:rFonts w:hint="cs"/>
          <w:b/>
          <w:bCs/>
          <w:rtl/>
        </w:rPr>
        <w:t xml:space="preserve"> 2021</w:t>
      </w:r>
      <w:r w:rsidRPr="00C33ACD">
        <w:rPr>
          <w:rStyle w:val="af"/>
          <w:b/>
          <w:bCs/>
          <w:rtl/>
        </w:rPr>
        <w:footnoteReference w:id="91"/>
      </w:r>
    </w:p>
    <w:p w:rsidR="00C56C87" w:rsidRDefault="00C56C87" w:rsidP="00604C3D">
      <w:pPr>
        <w:keepNext/>
        <w:keepLines/>
        <w:spacing w:line="269" w:lineRule="auto"/>
        <w:jc w:val="center"/>
        <w:rPr>
          <w:b/>
          <w:bCs/>
          <w:rtl/>
        </w:rPr>
      </w:pPr>
    </w:p>
    <w:p w:rsidR="000016C8" w:rsidRPr="0050645B" w:rsidRDefault="00AE7C67" w:rsidP="0050645B">
      <w:pPr>
        <w:spacing w:line="269" w:lineRule="auto"/>
        <w:ind w:left="720"/>
        <w:jc w:val="center"/>
        <w:rPr>
          <w:b/>
          <w:bCs/>
          <w:rtl/>
        </w:rPr>
      </w:pPr>
      <w:r>
        <w:rPr>
          <w:b/>
          <w:bCs/>
          <w:noProof/>
        </w:rPr>
        <w:drawing>
          <wp:inline distT="0" distB="0" distL="0" distR="0" wp14:anchorId="7F9408F2" wp14:editId="77AB0260">
            <wp:extent cx="4755515" cy="2932430"/>
            <wp:effectExtent l="0" t="0" r="6985" b="127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515" cy="2932430"/>
                    </a:xfrm>
                    <a:prstGeom prst="rect">
                      <a:avLst/>
                    </a:prstGeom>
                    <a:noFill/>
                  </pic:spPr>
                </pic:pic>
              </a:graphicData>
            </a:graphic>
          </wp:inline>
        </w:drawing>
      </w:r>
    </w:p>
    <w:p w:rsidR="008868B6" w:rsidRPr="00C33ACD" w:rsidRDefault="00AE7C67" w:rsidP="0050645B">
      <w:pPr>
        <w:spacing w:line="269" w:lineRule="auto"/>
        <w:jc w:val="center"/>
        <w:rPr>
          <w:b/>
          <w:bCs/>
          <w:rtl/>
        </w:rPr>
      </w:pPr>
      <w:r>
        <w:rPr>
          <w:b/>
          <w:bCs/>
          <w:noProof/>
        </w:rPr>
        <w:drawing>
          <wp:inline distT="0" distB="0" distL="0" distR="0" wp14:anchorId="59AB4614" wp14:editId="12F34171">
            <wp:extent cx="4334510" cy="2237740"/>
            <wp:effectExtent l="0" t="0" r="889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4510" cy="2237740"/>
                    </a:xfrm>
                    <a:prstGeom prst="rect">
                      <a:avLst/>
                    </a:prstGeom>
                    <a:noFill/>
                  </pic:spPr>
                </pic:pic>
              </a:graphicData>
            </a:graphic>
          </wp:inline>
        </w:drawing>
      </w:r>
    </w:p>
    <w:p w:rsidR="008868B6" w:rsidRDefault="008868B6" w:rsidP="00604C3D">
      <w:pPr>
        <w:spacing w:line="269" w:lineRule="auto"/>
        <w:rPr>
          <w:rtl/>
        </w:rPr>
      </w:pPr>
      <w:r w:rsidRPr="00BF3877">
        <w:rPr>
          <w:rFonts w:hint="cs"/>
          <w:sz w:val="16"/>
          <w:szCs w:val="20"/>
          <w:rtl/>
        </w:rPr>
        <w:t>על</w:t>
      </w:r>
      <w:r w:rsidRPr="00BF3877">
        <w:rPr>
          <w:sz w:val="16"/>
          <w:szCs w:val="20"/>
          <w:rtl/>
        </w:rPr>
        <w:t xml:space="preserve"> </w:t>
      </w:r>
      <w:r w:rsidRPr="00BF3877">
        <w:rPr>
          <w:rFonts w:hint="cs"/>
          <w:sz w:val="16"/>
          <w:szCs w:val="20"/>
          <w:rtl/>
        </w:rPr>
        <w:t>פי</w:t>
      </w:r>
      <w:r w:rsidRPr="00BF3877">
        <w:rPr>
          <w:sz w:val="16"/>
          <w:szCs w:val="20"/>
          <w:rtl/>
        </w:rPr>
        <w:t xml:space="preserve"> </w:t>
      </w:r>
      <w:r w:rsidRPr="00BF3877">
        <w:rPr>
          <w:rFonts w:hint="cs"/>
          <w:sz w:val="16"/>
          <w:szCs w:val="20"/>
          <w:rtl/>
        </w:rPr>
        <w:t>נתוני</w:t>
      </w:r>
      <w:r w:rsidRPr="00BF3877">
        <w:rPr>
          <w:sz w:val="16"/>
          <w:szCs w:val="20"/>
          <w:rtl/>
        </w:rPr>
        <w:t xml:space="preserve"> </w:t>
      </w:r>
      <w:r w:rsidRPr="00BF3877">
        <w:rPr>
          <w:rFonts w:hint="cs"/>
          <w:sz w:val="16"/>
          <w:szCs w:val="20"/>
          <w:rtl/>
        </w:rPr>
        <w:t>המשטרה</w:t>
      </w:r>
      <w:r w:rsidRPr="00BF3877">
        <w:rPr>
          <w:sz w:val="16"/>
          <w:szCs w:val="20"/>
          <w:rtl/>
        </w:rPr>
        <w:t xml:space="preserve">, </w:t>
      </w:r>
      <w:r w:rsidRPr="00BF3877">
        <w:rPr>
          <w:rFonts w:hint="cs"/>
          <w:sz w:val="16"/>
          <w:szCs w:val="20"/>
          <w:rtl/>
        </w:rPr>
        <w:t>בעיבוד</w:t>
      </w:r>
      <w:r w:rsidRPr="00BF3877">
        <w:rPr>
          <w:sz w:val="16"/>
          <w:szCs w:val="20"/>
          <w:rtl/>
        </w:rPr>
        <w:t xml:space="preserve"> </w:t>
      </w:r>
      <w:r w:rsidRPr="00BF3877">
        <w:rPr>
          <w:rFonts w:hint="cs"/>
          <w:sz w:val="16"/>
          <w:szCs w:val="20"/>
          <w:rtl/>
        </w:rPr>
        <w:t>משרד</w:t>
      </w:r>
      <w:r w:rsidRPr="00BF3877">
        <w:rPr>
          <w:sz w:val="16"/>
          <w:szCs w:val="20"/>
          <w:rtl/>
        </w:rPr>
        <w:t xml:space="preserve"> </w:t>
      </w:r>
      <w:r w:rsidRPr="00BF3877">
        <w:rPr>
          <w:rFonts w:hint="cs"/>
          <w:sz w:val="16"/>
          <w:szCs w:val="20"/>
          <w:rtl/>
        </w:rPr>
        <w:t>מבקר</w:t>
      </w:r>
      <w:r w:rsidRPr="00BF3877">
        <w:rPr>
          <w:sz w:val="16"/>
          <w:szCs w:val="20"/>
          <w:rtl/>
        </w:rPr>
        <w:t xml:space="preserve"> </w:t>
      </w:r>
      <w:r w:rsidRPr="00BF3877">
        <w:rPr>
          <w:rFonts w:hint="cs"/>
          <w:sz w:val="16"/>
          <w:szCs w:val="20"/>
          <w:rtl/>
        </w:rPr>
        <w:t>המדינה</w:t>
      </w:r>
      <w:r w:rsidR="006B4444">
        <w:rPr>
          <w:rFonts w:hint="cs"/>
          <w:rtl/>
        </w:rPr>
        <w:t>.</w:t>
      </w:r>
    </w:p>
    <w:p w:rsidR="002B0E02" w:rsidRDefault="002B0E02" w:rsidP="00604C3D">
      <w:pPr>
        <w:spacing w:line="269" w:lineRule="auto"/>
        <w:rPr>
          <w:rtl/>
        </w:rPr>
      </w:pPr>
    </w:p>
    <w:p w:rsidR="008868B6" w:rsidRPr="005571ED" w:rsidRDefault="008868B6" w:rsidP="00C56C87">
      <w:pPr>
        <w:spacing w:line="269" w:lineRule="auto"/>
        <w:ind w:left="720"/>
        <w:rPr>
          <w:rtl/>
        </w:rPr>
      </w:pPr>
      <w:r w:rsidRPr="005571ED">
        <w:rPr>
          <w:rFonts w:hint="eastAsia"/>
          <w:rtl/>
        </w:rPr>
        <w:t>מן</w:t>
      </w:r>
      <w:r w:rsidRPr="005571ED">
        <w:rPr>
          <w:rtl/>
        </w:rPr>
        <w:t xml:space="preserve"> התרשימים עולה כי קבוצות העבירות שבעניינן נעשה השימוש השכיח ביותר בהאזנות סתר הן קבוצת העבירות בתחום הביטחון וקבוצת העבירות בתחום הסדר הציבורי (4,590 בקשות להאזנת סתר שבהן העבירה העיקרית היא עבירת ביטחון שהן 32% מתוך סך הבקשות ו-2,382 בקשות </w:t>
      </w:r>
      <w:r w:rsidR="00333BD9">
        <w:rPr>
          <w:rFonts w:hint="cs"/>
          <w:rtl/>
        </w:rPr>
        <w:t>ש</w:t>
      </w:r>
      <w:r w:rsidRPr="005571ED">
        <w:rPr>
          <w:rtl/>
        </w:rPr>
        <w:t xml:space="preserve">בהן העבירה העיקרית היא עבירה מתחום הסדר הציבורי שהן 17% מתוך סך האזנות הסתר). </w:t>
      </w:r>
      <w:r w:rsidR="004C0D74">
        <w:rPr>
          <w:rFonts w:hint="cs"/>
          <w:rtl/>
        </w:rPr>
        <w:t xml:space="preserve">עוד עולה כי </w:t>
      </w:r>
      <w:r w:rsidR="007D5838" w:rsidRPr="005571ED">
        <w:rPr>
          <w:rtl/>
        </w:rPr>
        <w:t xml:space="preserve">בקבוצות העבירות הללו גם נעשה השימוש הרב ביותר בבקשות להאזנת סתר לתקשורת </w:t>
      </w:r>
      <w:r w:rsidR="007D5838" w:rsidRPr="005571ED">
        <w:rPr>
          <w:rFonts w:hint="eastAsia"/>
          <w:rtl/>
        </w:rPr>
        <w:t>בין</w:t>
      </w:r>
      <w:r w:rsidR="007D5838" w:rsidRPr="005571ED">
        <w:rPr>
          <w:rtl/>
        </w:rPr>
        <w:t xml:space="preserve"> </w:t>
      </w:r>
      <w:r w:rsidR="007D5838" w:rsidRPr="005571ED">
        <w:rPr>
          <w:rFonts w:hint="eastAsia"/>
          <w:rtl/>
        </w:rPr>
        <w:t>מחשבים</w:t>
      </w:r>
      <w:r w:rsidR="00746A11">
        <w:rPr>
          <w:rtl/>
        </w:rPr>
        <w:t>.</w:t>
      </w:r>
      <w:r w:rsidR="007D5838" w:rsidRPr="005571ED">
        <w:rPr>
          <w:rtl/>
        </w:rPr>
        <w:t xml:space="preserve"> </w:t>
      </w:r>
      <w:r w:rsidR="004C0D74">
        <w:rPr>
          <w:rFonts w:hint="cs"/>
          <w:rtl/>
        </w:rPr>
        <w:t>כמו כן,</w:t>
      </w:r>
      <w:r w:rsidR="007D5838" w:rsidRPr="005571ED">
        <w:rPr>
          <w:rtl/>
        </w:rPr>
        <w:t xml:space="preserve"> </w:t>
      </w:r>
      <w:r w:rsidR="007D5838" w:rsidRPr="005571ED">
        <w:rPr>
          <w:rFonts w:hint="eastAsia"/>
          <w:rtl/>
        </w:rPr>
        <w:t>קבוצות</w:t>
      </w:r>
      <w:r w:rsidR="007D5838" w:rsidRPr="005571ED">
        <w:rPr>
          <w:rtl/>
        </w:rPr>
        <w:t xml:space="preserve"> </w:t>
      </w:r>
      <w:r w:rsidR="007D5838" w:rsidRPr="005571ED">
        <w:rPr>
          <w:rFonts w:hint="eastAsia"/>
          <w:rtl/>
        </w:rPr>
        <w:t>העבירות</w:t>
      </w:r>
      <w:r w:rsidR="007D5838" w:rsidRPr="005571ED">
        <w:rPr>
          <w:rtl/>
        </w:rPr>
        <w:t xml:space="preserve"> </w:t>
      </w:r>
      <w:r w:rsidR="007D5838" w:rsidRPr="005571ED">
        <w:rPr>
          <w:rFonts w:hint="eastAsia"/>
          <w:rtl/>
        </w:rPr>
        <w:t>שבהן</w:t>
      </w:r>
      <w:r w:rsidR="007D5838" w:rsidRPr="005571ED">
        <w:rPr>
          <w:rtl/>
        </w:rPr>
        <w:t xml:space="preserve"> </w:t>
      </w:r>
      <w:r w:rsidR="007D5838" w:rsidRPr="005571ED">
        <w:rPr>
          <w:rFonts w:hint="eastAsia"/>
          <w:rtl/>
        </w:rPr>
        <w:t>השימוש</w:t>
      </w:r>
      <w:r w:rsidR="007D5838" w:rsidRPr="005571ED">
        <w:rPr>
          <w:rtl/>
        </w:rPr>
        <w:t xml:space="preserve"> </w:t>
      </w:r>
      <w:r w:rsidR="007D5838" w:rsidRPr="005571ED">
        <w:rPr>
          <w:rFonts w:hint="eastAsia"/>
          <w:rtl/>
        </w:rPr>
        <w:t>בהאזנות</w:t>
      </w:r>
      <w:r w:rsidR="007D5838" w:rsidRPr="005571ED">
        <w:rPr>
          <w:rtl/>
        </w:rPr>
        <w:t xml:space="preserve"> </w:t>
      </w:r>
      <w:r w:rsidR="007D5838" w:rsidRPr="005571ED">
        <w:rPr>
          <w:rFonts w:hint="eastAsia"/>
          <w:rtl/>
        </w:rPr>
        <w:t>סתר</w:t>
      </w:r>
      <w:r w:rsidR="007D5838" w:rsidRPr="005571ED">
        <w:rPr>
          <w:rtl/>
        </w:rPr>
        <w:t xml:space="preserve"> </w:t>
      </w:r>
      <w:r w:rsidR="007D5838" w:rsidRPr="005571ED">
        <w:rPr>
          <w:rFonts w:hint="eastAsia"/>
          <w:rtl/>
        </w:rPr>
        <w:t>לתקשורת</w:t>
      </w:r>
      <w:r w:rsidR="007D5838" w:rsidRPr="005571ED">
        <w:rPr>
          <w:rtl/>
        </w:rPr>
        <w:t xml:space="preserve"> </w:t>
      </w:r>
      <w:r w:rsidR="007D5838" w:rsidRPr="005571ED">
        <w:rPr>
          <w:rFonts w:hint="eastAsia"/>
          <w:rtl/>
        </w:rPr>
        <w:t>בין</w:t>
      </w:r>
      <w:r w:rsidR="007D5838" w:rsidRPr="005571ED">
        <w:rPr>
          <w:rtl/>
        </w:rPr>
        <w:t xml:space="preserve"> </w:t>
      </w:r>
      <w:r w:rsidR="007D5838" w:rsidRPr="005571ED">
        <w:rPr>
          <w:rFonts w:hint="eastAsia"/>
          <w:rtl/>
        </w:rPr>
        <w:t>מחשבים</w:t>
      </w:r>
      <w:r w:rsidR="007D5838" w:rsidRPr="005571ED">
        <w:rPr>
          <w:rtl/>
        </w:rPr>
        <w:t xml:space="preserve"> </w:t>
      </w:r>
      <w:r w:rsidR="007D5838" w:rsidRPr="005571ED">
        <w:rPr>
          <w:rFonts w:hint="eastAsia"/>
          <w:rtl/>
        </w:rPr>
        <w:t>גדול</w:t>
      </w:r>
      <w:r w:rsidR="007D5838" w:rsidRPr="005571ED">
        <w:rPr>
          <w:rtl/>
        </w:rPr>
        <w:t xml:space="preserve"> </w:t>
      </w:r>
      <w:r w:rsidR="007D5838" w:rsidRPr="005571ED">
        <w:rPr>
          <w:rFonts w:hint="eastAsia"/>
          <w:rtl/>
        </w:rPr>
        <w:t>יחסית</w:t>
      </w:r>
      <w:r w:rsidR="007D5838" w:rsidRPr="005571ED">
        <w:rPr>
          <w:rtl/>
        </w:rPr>
        <w:t xml:space="preserve"> </w:t>
      </w:r>
      <w:r w:rsidR="007D5838" w:rsidRPr="005571ED">
        <w:rPr>
          <w:rFonts w:hint="eastAsia"/>
          <w:rtl/>
        </w:rPr>
        <w:t>מהשימוש</w:t>
      </w:r>
      <w:r w:rsidR="007D5838" w:rsidRPr="005571ED">
        <w:rPr>
          <w:rtl/>
        </w:rPr>
        <w:t xml:space="preserve"> </w:t>
      </w:r>
      <w:r w:rsidR="007D5838" w:rsidRPr="005571ED">
        <w:rPr>
          <w:rFonts w:hint="eastAsia"/>
          <w:rtl/>
        </w:rPr>
        <w:t>בהאזנת</w:t>
      </w:r>
      <w:r w:rsidR="007D5838" w:rsidRPr="005571ED">
        <w:rPr>
          <w:rtl/>
        </w:rPr>
        <w:t xml:space="preserve"> </w:t>
      </w:r>
      <w:r w:rsidR="007D5838" w:rsidRPr="005571ED">
        <w:rPr>
          <w:rFonts w:hint="eastAsia"/>
          <w:rtl/>
        </w:rPr>
        <w:t>סתר</w:t>
      </w:r>
      <w:r w:rsidR="007D5838" w:rsidRPr="005571ED">
        <w:rPr>
          <w:rtl/>
        </w:rPr>
        <w:t xml:space="preserve"> </w:t>
      </w:r>
      <w:r w:rsidR="007D5838" w:rsidRPr="005571ED">
        <w:rPr>
          <w:rFonts w:hint="eastAsia"/>
          <w:rtl/>
        </w:rPr>
        <w:t>לשמע</w:t>
      </w:r>
      <w:r w:rsidR="007D5838" w:rsidRPr="005571ED">
        <w:rPr>
          <w:rtl/>
        </w:rPr>
        <w:t xml:space="preserve"> </w:t>
      </w:r>
      <w:r w:rsidR="007D5838" w:rsidRPr="005571ED">
        <w:rPr>
          <w:rFonts w:hint="eastAsia"/>
          <w:rtl/>
        </w:rPr>
        <w:t>הן</w:t>
      </w:r>
      <w:r w:rsidR="007D5838" w:rsidRPr="005571ED">
        <w:rPr>
          <w:rtl/>
        </w:rPr>
        <w:t xml:space="preserve"> </w:t>
      </w:r>
      <w:r w:rsidR="007D5838" w:rsidRPr="005571ED">
        <w:rPr>
          <w:rFonts w:hint="eastAsia"/>
          <w:rtl/>
        </w:rPr>
        <w:t>קבוצות</w:t>
      </w:r>
      <w:r w:rsidR="007D5838" w:rsidRPr="005571ED">
        <w:rPr>
          <w:rtl/>
        </w:rPr>
        <w:t xml:space="preserve"> </w:t>
      </w:r>
      <w:r w:rsidR="007D5838" w:rsidRPr="005571ED">
        <w:rPr>
          <w:rFonts w:hint="eastAsia"/>
          <w:rtl/>
        </w:rPr>
        <w:t>עבירות</w:t>
      </w:r>
      <w:r w:rsidR="007D5838" w:rsidRPr="005571ED">
        <w:rPr>
          <w:rtl/>
        </w:rPr>
        <w:t xml:space="preserve"> </w:t>
      </w:r>
      <w:r w:rsidR="007D5838" w:rsidRPr="005571ED">
        <w:rPr>
          <w:rFonts w:hint="eastAsia"/>
          <w:rtl/>
        </w:rPr>
        <w:t>המין</w:t>
      </w:r>
      <w:r w:rsidR="007D5838" w:rsidRPr="005571ED">
        <w:rPr>
          <w:rtl/>
        </w:rPr>
        <w:t xml:space="preserve">, </w:t>
      </w:r>
      <w:r w:rsidR="007D5838" w:rsidRPr="005571ED">
        <w:rPr>
          <w:rFonts w:hint="eastAsia"/>
          <w:rtl/>
        </w:rPr>
        <w:t>המרמה</w:t>
      </w:r>
      <w:r w:rsidR="007D5838" w:rsidRPr="005571ED">
        <w:rPr>
          <w:rtl/>
        </w:rPr>
        <w:t xml:space="preserve"> </w:t>
      </w:r>
      <w:r w:rsidR="007D5838" w:rsidRPr="005571ED">
        <w:rPr>
          <w:rFonts w:hint="eastAsia"/>
          <w:rtl/>
        </w:rPr>
        <w:t>והעבירות</w:t>
      </w:r>
      <w:r w:rsidR="007D5838" w:rsidRPr="005571ED">
        <w:rPr>
          <w:rtl/>
        </w:rPr>
        <w:t xml:space="preserve"> </w:t>
      </w:r>
      <w:r w:rsidR="007D5838" w:rsidRPr="005571ED">
        <w:rPr>
          <w:rFonts w:hint="eastAsia"/>
          <w:rtl/>
        </w:rPr>
        <w:t>הכלכליות</w:t>
      </w:r>
      <w:r w:rsidR="007D5838" w:rsidRPr="005571ED">
        <w:rPr>
          <w:rtl/>
        </w:rPr>
        <w:t>.</w:t>
      </w:r>
    </w:p>
    <w:p w:rsidR="002B0E02" w:rsidRDefault="002B0E02" w:rsidP="00C56C87">
      <w:pPr>
        <w:spacing w:line="269" w:lineRule="auto"/>
        <w:ind w:left="720"/>
        <w:rPr>
          <w:rtl/>
        </w:rPr>
      </w:pPr>
    </w:p>
    <w:p w:rsidR="008868B6" w:rsidRDefault="008868B6" w:rsidP="00C56C87">
      <w:pPr>
        <w:spacing w:line="269" w:lineRule="auto"/>
        <w:ind w:left="720"/>
        <w:rPr>
          <w:rtl/>
        </w:rPr>
      </w:pPr>
      <w:r>
        <w:rPr>
          <w:rFonts w:hint="cs"/>
          <w:rtl/>
        </w:rPr>
        <w:t xml:space="preserve">בהמשך </w:t>
      </w:r>
      <w:r w:rsidR="00333BD9">
        <w:rPr>
          <w:rFonts w:hint="cs"/>
          <w:rtl/>
        </w:rPr>
        <w:t xml:space="preserve">יעסוק הדוח </w:t>
      </w:r>
      <w:r>
        <w:rPr>
          <w:rFonts w:hint="cs"/>
          <w:rtl/>
        </w:rPr>
        <w:t xml:space="preserve">בזיקה בין נדבך רישום העבירות לבין שני הנדבכים הנוספים - עילת ההאזנה ויעד ההאזנה. </w:t>
      </w:r>
    </w:p>
    <w:p w:rsidR="008868B6" w:rsidRDefault="008868B6" w:rsidP="00604C3D">
      <w:pPr>
        <w:pStyle w:val="a5"/>
        <w:spacing w:line="269" w:lineRule="auto"/>
        <w:rPr>
          <w:rtl/>
        </w:rPr>
      </w:pPr>
      <w:bookmarkStart w:id="254" w:name="_יעד_ההאזנה_-"/>
      <w:bookmarkEnd w:id="252"/>
      <w:bookmarkEnd w:id="254"/>
    </w:p>
    <w:p w:rsidR="00486C45" w:rsidRDefault="008868B6" w:rsidP="008C598D">
      <w:pPr>
        <w:pStyle w:val="5"/>
        <w:numPr>
          <w:ilvl w:val="2"/>
          <w:numId w:val="43"/>
        </w:numPr>
        <w:spacing w:line="269" w:lineRule="auto"/>
        <w:ind w:left="707"/>
        <w:rPr>
          <w:rtl/>
        </w:rPr>
      </w:pPr>
      <w:r w:rsidRPr="005571ED">
        <w:rPr>
          <w:rFonts w:hint="eastAsia"/>
          <w:rtl/>
        </w:rPr>
        <w:t>רישום</w:t>
      </w:r>
      <w:r w:rsidRPr="005571ED">
        <w:rPr>
          <w:rtl/>
        </w:rPr>
        <w:t xml:space="preserve"> </w:t>
      </w:r>
      <w:r w:rsidRPr="005571ED">
        <w:rPr>
          <w:rFonts w:hint="eastAsia"/>
          <w:rtl/>
        </w:rPr>
        <w:t>יעד</w:t>
      </w:r>
      <w:r w:rsidRPr="005571ED">
        <w:rPr>
          <w:rtl/>
        </w:rPr>
        <w:t xml:space="preserve"> </w:t>
      </w:r>
      <w:r w:rsidRPr="005571ED">
        <w:rPr>
          <w:rFonts w:hint="eastAsia"/>
          <w:rtl/>
        </w:rPr>
        <w:t>ההאזנה</w:t>
      </w:r>
      <w:r>
        <w:rPr>
          <w:rFonts w:hint="cs"/>
          <w:rtl/>
        </w:rPr>
        <w:t xml:space="preserve"> </w:t>
      </w:r>
    </w:p>
    <w:p w:rsidR="002B0E02" w:rsidRDefault="002B0E02" w:rsidP="00604C3D">
      <w:pPr>
        <w:spacing w:line="269" w:lineRule="auto"/>
        <w:rPr>
          <w:rtl/>
        </w:rPr>
      </w:pPr>
    </w:p>
    <w:p w:rsidR="008868B6" w:rsidRDefault="008868B6" w:rsidP="00E264D8">
      <w:pPr>
        <w:spacing w:line="269" w:lineRule="auto"/>
        <w:ind w:left="707"/>
        <w:rPr>
          <w:rtl/>
        </w:rPr>
      </w:pPr>
      <w:r>
        <w:rPr>
          <w:rFonts w:hint="cs"/>
          <w:rtl/>
        </w:rPr>
        <w:t>לפי הדין, בהיתר האזנת סתר יצוין תיאור זהותו של יעד ההאזנה, דהיינו האדם אשר ההאזנה לשיחותיו הותרה</w:t>
      </w:r>
      <w:r w:rsidR="0021339A" w:rsidRPr="0021339A">
        <w:rPr>
          <w:rFonts w:hint="cs"/>
          <w:rtl/>
        </w:rPr>
        <w:t>.</w:t>
      </w:r>
      <w:r>
        <w:rPr>
          <w:rFonts w:hint="cs"/>
          <w:rtl/>
        </w:rPr>
        <w:t xml:space="preserve"> </w:t>
      </w:r>
      <w:r w:rsidR="00543BF7">
        <w:rPr>
          <w:rFonts w:hint="cs"/>
          <w:rtl/>
        </w:rPr>
        <w:t xml:space="preserve">יעד האזנה עשוי להיות חשוד בביצוע העבירה בפרשייה </w:t>
      </w:r>
      <w:r w:rsidR="00333BD9">
        <w:rPr>
          <w:rFonts w:hint="cs"/>
          <w:rtl/>
        </w:rPr>
        <w:t xml:space="preserve">המפורטת בבקשה </w:t>
      </w:r>
      <w:r w:rsidR="00543BF7">
        <w:rPr>
          <w:rFonts w:hint="cs"/>
          <w:rtl/>
        </w:rPr>
        <w:t>או גורם מעורב בפרשייה</w:t>
      </w:r>
      <w:r w:rsidR="00543BF7" w:rsidRPr="005F6801">
        <w:rPr>
          <w:rStyle w:val="af"/>
          <w:szCs w:val="20"/>
          <w:rtl/>
        </w:rPr>
        <w:footnoteReference w:id="92"/>
      </w:r>
      <w:r w:rsidR="00543BF7">
        <w:rPr>
          <w:rFonts w:hint="cs"/>
          <w:rtl/>
        </w:rPr>
        <w:t xml:space="preserve">. </w:t>
      </w:r>
    </w:p>
    <w:p w:rsidR="002B0E02" w:rsidRDefault="002B0E02" w:rsidP="00C56C87">
      <w:pPr>
        <w:spacing w:line="269" w:lineRule="auto"/>
        <w:ind w:left="680"/>
        <w:rPr>
          <w:rtl/>
        </w:rPr>
      </w:pPr>
    </w:p>
    <w:p w:rsidR="007501FC" w:rsidRDefault="008868B6" w:rsidP="00E264D8">
      <w:pPr>
        <w:spacing w:line="269" w:lineRule="auto"/>
        <w:ind w:left="707"/>
        <w:rPr>
          <w:rtl/>
        </w:rPr>
      </w:pPr>
      <w:r>
        <w:rPr>
          <w:rFonts w:hint="cs"/>
          <w:rtl/>
        </w:rPr>
        <w:t>הבקשה לצו היא המסמך הרשמי המבסס את סמכות המשטרה לבצע האזנת סתר, ולכן יש לנסחה בקפידה, בדייקנות ובהתאם לדרישות הדין</w:t>
      </w:r>
      <w:r>
        <w:rPr>
          <w:rStyle w:val="af"/>
          <w:rtl/>
        </w:rPr>
        <w:footnoteReference w:id="93"/>
      </w:r>
      <w:r>
        <w:rPr>
          <w:rFonts w:hint="cs"/>
          <w:rtl/>
        </w:rPr>
        <w:t>. זהות יעד ההאזנה היא פרט יסודי ובסיסי, ולכן אם היא ידועה מראש יש לציינה בבקשה לצו</w:t>
      </w:r>
      <w:r>
        <w:rPr>
          <w:rStyle w:val="af"/>
          <w:rtl/>
        </w:rPr>
        <w:footnoteReference w:id="94"/>
      </w:r>
      <w:r>
        <w:rPr>
          <w:rFonts w:hint="cs"/>
          <w:rtl/>
        </w:rPr>
        <w:t xml:space="preserve">. </w:t>
      </w:r>
      <w:r w:rsidR="0059646E" w:rsidRPr="0059646E">
        <w:rPr>
          <w:rFonts w:hint="cs"/>
          <w:rtl/>
        </w:rPr>
        <w:t>הדברים מקבלים משנה תוקף לנוכח העובדה שבית המשפט מאשר את הבקשה ונותן את הצו על גבי טופס הבקשה שהוכן על ידי המשטרה ועל פי הפרטים שהוזנו על ידה במקום שיועד לכך ולכן חשוב להבין מטופס הבקשה מיהו יעד ההאזנה.</w:t>
      </w:r>
    </w:p>
    <w:p w:rsidR="002B0E02" w:rsidRDefault="002B0E02" w:rsidP="00604C3D">
      <w:pPr>
        <w:spacing w:line="269" w:lineRule="auto"/>
        <w:rPr>
          <w:rtl/>
        </w:rPr>
      </w:pPr>
    </w:p>
    <w:p w:rsidR="008868B6" w:rsidRDefault="008868B6" w:rsidP="00E264D8">
      <w:pPr>
        <w:spacing w:line="269" w:lineRule="auto"/>
        <w:ind w:left="707"/>
        <w:rPr>
          <w:rtl/>
        </w:rPr>
      </w:pPr>
      <w:r>
        <w:rPr>
          <w:rFonts w:hint="cs"/>
          <w:rtl/>
        </w:rPr>
        <w:t>לפי תורת המודיעין של המשטרה</w:t>
      </w:r>
      <w:r w:rsidR="00F91832">
        <w:rPr>
          <w:rStyle w:val="af"/>
          <w:rtl/>
        </w:rPr>
        <w:footnoteReference w:id="95"/>
      </w:r>
      <w:r>
        <w:rPr>
          <w:rFonts w:hint="cs"/>
          <w:rtl/>
        </w:rPr>
        <w:t>, אחד החסמים העיקריים בפעילות סיכול הפשיעה היא תחכום העבריינים ויכולתם למנוע איסוף ראיות הקושרות אותם לעבירה. ככל</w:t>
      </w:r>
      <w:r w:rsidR="007C55E6">
        <w:rPr>
          <w:rFonts w:hint="cs"/>
          <w:rtl/>
        </w:rPr>
        <w:t xml:space="preserve"> שהיכולת</w:t>
      </w:r>
      <w:r>
        <w:rPr>
          <w:rFonts w:hint="cs"/>
          <w:rtl/>
        </w:rPr>
        <w:t xml:space="preserve"> הסיגינטית של גורמים עברייניים הופכת מתוחכמת יותר, גובר הצורך לבצע האזנות סתר למעורבים הרחוקים יותר מליבת האירוע</w:t>
      </w:r>
      <w:r>
        <w:rPr>
          <w:rStyle w:val="af"/>
          <w:rtl/>
        </w:rPr>
        <w:footnoteReference w:id="96"/>
      </w:r>
      <w:r>
        <w:rPr>
          <w:rFonts w:hint="cs"/>
          <w:rtl/>
        </w:rPr>
        <w:t xml:space="preserve">. </w:t>
      </w:r>
    </w:p>
    <w:p w:rsidR="002B0E02" w:rsidRDefault="002B0E02" w:rsidP="00C56C87">
      <w:pPr>
        <w:spacing w:line="269" w:lineRule="auto"/>
        <w:ind w:left="680"/>
        <w:rPr>
          <w:rtl/>
        </w:rPr>
      </w:pPr>
    </w:p>
    <w:p w:rsidR="00BB26AB" w:rsidRDefault="00396077" w:rsidP="00E264D8">
      <w:pPr>
        <w:spacing w:line="269" w:lineRule="auto"/>
        <w:ind w:left="707"/>
        <w:rPr>
          <w:rtl/>
        </w:rPr>
      </w:pPr>
      <w:r>
        <w:rPr>
          <w:rFonts w:hint="cs"/>
          <w:rtl/>
        </w:rPr>
        <w:t xml:space="preserve">כאמור, </w:t>
      </w:r>
      <w:r w:rsidR="008868B6">
        <w:rPr>
          <w:rFonts w:hint="cs"/>
          <w:rtl/>
        </w:rPr>
        <w:t xml:space="preserve">בשנים 2019 - 2021 הכינה </w:t>
      </w:r>
      <w:r w:rsidR="009F25B2">
        <w:rPr>
          <w:rFonts w:hint="cs"/>
          <w:rtl/>
        </w:rPr>
        <w:t>המשטרה</w:t>
      </w:r>
      <w:r w:rsidR="008868B6">
        <w:rPr>
          <w:rFonts w:hint="cs"/>
          <w:rtl/>
        </w:rPr>
        <w:t xml:space="preserve"> בקשות הנוגעות ל-9,425 יעדי האזנה שזהותם ידועה, </w:t>
      </w:r>
      <w:r>
        <w:rPr>
          <w:rFonts w:hint="cs"/>
          <w:rtl/>
        </w:rPr>
        <w:t>ו</w:t>
      </w:r>
      <w:r w:rsidR="008868B6">
        <w:rPr>
          <w:rFonts w:hint="cs"/>
          <w:rtl/>
        </w:rPr>
        <w:t>ל-3,111 יעדי האזנה שזהותם אינה ידועה - בסך הכול כ-12,500 יעדי האזנה. להלן יוצג פילוח של מספר יעדי ההאזנה (המזוהים ושאינם מזוהים)</w:t>
      </w:r>
      <w:r w:rsidR="008868B6">
        <w:rPr>
          <w:rFonts w:hint="cs"/>
        </w:rPr>
        <w:t xml:space="preserve"> </w:t>
      </w:r>
      <w:r w:rsidR="008868B6">
        <w:rPr>
          <w:rFonts w:hint="cs"/>
          <w:rtl/>
        </w:rPr>
        <w:t>לפי שנת הגשת הבקשה</w:t>
      </w:r>
      <w:r w:rsidR="008868B6">
        <w:rPr>
          <w:rStyle w:val="af"/>
          <w:rtl/>
        </w:rPr>
        <w:footnoteReference w:id="97"/>
      </w:r>
      <w:r w:rsidR="008868B6">
        <w:rPr>
          <w:rFonts w:hint="cs"/>
          <w:rtl/>
        </w:rPr>
        <w:t xml:space="preserve"> בעניינם ולפי מאפייני האדם:</w:t>
      </w:r>
      <w:r w:rsidR="008868B6">
        <w:rPr>
          <w:rFonts w:hint="cs"/>
        </w:rPr>
        <w:t xml:space="preserve"> </w:t>
      </w:r>
      <w:r w:rsidR="008868B6">
        <w:rPr>
          <w:rFonts w:hint="cs"/>
          <w:rtl/>
        </w:rPr>
        <w:t>חשוד</w:t>
      </w:r>
      <w:r w:rsidR="008868B6">
        <w:rPr>
          <w:rStyle w:val="af"/>
          <w:rtl/>
        </w:rPr>
        <w:footnoteReference w:id="98"/>
      </w:r>
      <w:r w:rsidR="008868B6">
        <w:rPr>
          <w:rFonts w:hint="cs"/>
          <w:rtl/>
        </w:rPr>
        <w:t xml:space="preserve"> או "מואזן"</w:t>
      </w:r>
      <w:r w:rsidR="008868B6">
        <w:rPr>
          <w:rStyle w:val="af"/>
          <w:rtl/>
        </w:rPr>
        <w:footnoteReference w:id="99"/>
      </w:r>
      <w:r w:rsidR="008868B6">
        <w:rPr>
          <w:rFonts w:hint="cs"/>
          <w:rtl/>
        </w:rPr>
        <w:t>.</w:t>
      </w:r>
    </w:p>
    <w:p w:rsidR="002B0E02" w:rsidRDefault="002B0E02" w:rsidP="00604C3D">
      <w:pPr>
        <w:bidi w:val="0"/>
        <w:spacing w:line="269" w:lineRule="auto"/>
        <w:rPr>
          <w:rtl/>
        </w:rPr>
      </w:pPr>
    </w:p>
    <w:p w:rsidR="008868B6" w:rsidRDefault="008A67C6" w:rsidP="00604C3D">
      <w:pPr>
        <w:spacing w:line="269" w:lineRule="auto"/>
        <w:ind w:left="720"/>
        <w:jc w:val="center"/>
        <w:rPr>
          <w:rtl/>
        </w:rPr>
      </w:pPr>
      <w:r>
        <w:rPr>
          <w:rFonts w:hint="cs"/>
          <w:rtl/>
        </w:rPr>
        <w:t>לוח</w:t>
      </w:r>
      <w:r w:rsidR="00995D21">
        <w:rPr>
          <w:rFonts w:hint="cs"/>
          <w:rtl/>
        </w:rPr>
        <w:t xml:space="preserve"> 3</w:t>
      </w:r>
      <w:r w:rsidR="008868B6" w:rsidRPr="0071321F">
        <w:rPr>
          <w:rFonts w:hint="cs"/>
          <w:rtl/>
        </w:rPr>
        <w:t>:</w:t>
      </w:r>
      <w:r w:rsidR="008868B6">
        <w:rPr>
          <w:rFonts w:hint="cs"/>
          <w:rtl/>
        </w:rPr>
        <w:t xml:space="preserve"> </w:t>
      </w:r>
      <w:r w:rsidR="008868B6" w:rsidRPr="00C33ACD">
        <w:rPr>
          <w:rFonts w:hint="cs"/>
          <w:b/>
          <w:bCs/>
          <w:rtl/>
        </w:rPr>
        <w:t>יעדי האזנה שזהותם ידועה</w:t>
      </w:r>
    </w:p>
    <w:tbl>
      <w:tblPr>
        <w:tblStyle w:val="afc"/>
        <w:bidiVisual/>
        <w:tblW w:w="0" w:type="auto"/>
        <w:jc w:val="center"/>
        <w:tblLook w:val="04A0" w:firstRow="1" w:lastRow="0" w:firstColumn="1" w:lastColumn="0" w:noHBand="0" w:noVBand="1"/>
      </w:tblPr>
      <w:tblGrid>
        <w:gridCol w:w="1454"/>
        <w:gridCol w:w="1512"/>
        <w:gridCol w:w="1742"/>
        <w:gridCol w:w="1276"/>
      </w:tblGrid>
      <w:tr w:rsidR="00094094" w:rsidRPr="00995D21" w:rsidTr="00094094">
        <w:trPr>
          <w:jc w:val="center"/>
        </w:trPr>
        <w:tc>
          <w:tcPr>
            <w:tcW w:w="1454" w:type="dxa"/>
            <w:tcBorders>
              <w:top w:val="nil"/>
              <w:left w:val="nil"/>
            </w:tcBorders>
            <w:shd w:val="clear" w:color="auto" w:fill="FFFFFF"/>
          </w:tcPr>
          <w:p w:rsidR="00094094" w:rsidRPr="00995D21" w:rsidRDefault="00094094" w:rsidP="00604C3D">
            <w:pPr>
              <w:spacing w:line="269" w:lineRule="auto"/>
              <w:jc w:val="center"/>
              <w:rPr>
                <w:rFonts w:eastAsia="Calibri"/>
                <w:b/>
                <w:bCs/>
                <w:sz w:val="22"/>
                <w:szCs w:val="22"/>
                <w:rtl/>
              </w:rPr>
            </w:pPr>
          </w:p>
        </w:tc>
        <w:tc>
          <w:tcPr>
            <w:tcW w:w="3254" w:type="dxa"/>
            <w:gridSpan w:val="2"/>
            <w:shd w:val="clear" w:color="auto" w:fill="D9D9D9"/>
          </w:tcPr>
          <w:p w:rsidR="00094094" w:rsidRPr="00995D21" w:rsidRDefault="00094094" w:rsidP="00604C3D">
            <w:pPr>
              <w:spacing w:line="269" w:lineRule="auto"/>
              <w:jc w:val="center"/>
              <w:rPr>
                <w:rFonts w:eastAsia="Calibri"/>
                <w:b/>
                <w:bCs/>
                <w:sz w:val="22"/>
                <w:szCs w:val="22"/>
                <w:rtl/>
              </w:rPr>
            </w:pPr>
            <w:r w:rsidRPr="00995D21">
              <w:rPr>
                <w:rFonts w:eastAsia="Calibri" w:hint="cs"/>
                <w:b/>
                <w:bCs/>
                <w:sz w:val="22"/>
                <w:szCs w:val="22"/>
                <w:rtl/>
              </w:rPr>
              <w:t>מאפיין היעד</w:t>
            </w:r>
          </w:p>
        </w:tc>
        <w:tc>
          <w:tcPr>
            <w:tcW w:w="1276" w:type="dxa"/>
            <w:tcBorders>
              <w:top w:val="nil"/>
              <w:right w:val="nil"/>
            </w:tcBorders>
            <w:shd w:val="clear" w:color="auto" w:fill="FFFFFF"/>
          </w:tcPr>
          <w:p w:rsidR="00094094" w:rsidRPr="00995D21" w:rsidRDefault="00094094" w:rsidP="00604C3D">
            <w:pPr>
              <w:spacing w:line="269" w:lineRule="auto"/>
              <w:jc w:val="center"/>
              <w:rPr>
                <w:rFonts w:eastAsia="Calibri"/>
                <w:b/>
                <w:bCs/>
                <w:sz w:val="22"/>
                <w:szCs w:val="22"/>
                <w:rtl/>
              </w:rPr>
            </w:pPr>
          </w:p>
        </w:tc>
      </w:tr>
      <w:tr w:rsidR="00094094" w:rsidRPr="00995D21" w:rsidTr="00094094">
        <w:trPr>
          <w:jc w:val="center"/>
        </w:trPr>
        <w:tc>
          <w:tcPr>
            <w:tcW w:w="1454" w:type="dxa"/>
            <w:shd w:val="clear" w:color="auto" w:fill="D9D9D9"/>
          </w:tcPr>
          <w:p w:rsidR="00094094" w:rsidRPr="00995D21" w:rsidRDefault="00094094" w:rsidP="00604C3D">
            <w:pPr>
              <w:spacing w:line="269" w:lineRule="auto"/>
              <w:jc w:val="center"/>
              <w:rPr>
                <w:rFonts w:eastAsia="Calibri"/>
                <w:b/>
                <w:bCs/>
                <w:sz w:val="22"/>
                <w:szCs w:val="22"/>
                <w:rtl/>
              </w:rPr>
            </w:pPr>
            <w:r w:rsidRPr="00995D21">
              <w:rPr>
                <w:rFonts w:eastAsia="Calibri" w:hint="cs"/>
                <w:b/>
                <w:bCs/>
                <w:sz w:val="22"/>
                <w:szCs w:val="22"/>
                <w:rtl/>
              </w:rPr>
              <w:t>השנה</w:t>
            </w:r>
          </w:p>
        </w:tc>
        <w:tc>
          <w:tcPr>
            <w:tcW w:w="1512" w:type="dxa"/>
            <w:shd w:val="clear" w:color="auto" w:fill="D9D9D9"/>
          </w:tcPr>
          <w:p w:rsidR="00094094" w:rsidRPr="00995D21" w:rsidRDefault="00094094" w:rsidP="00604C3D">
            <w:pPr>
              <w:spacing w:line="269" w:lineRule="auto"/>
              <w:jc w:val="center"/>
              <w:rPr>
                <w:rFonts w:eastAsia="Calibri"/>
                <w:b/>
                <w:bCs/>
                <w:sz w:val="22"/>
                <w:szCs w:val="22"/>
                <w:rtl/>
              </w:rPr>
            </w:pPr>
            <w:r w:rsidRPr="00995D21">
              <w:rPr>
                <w:rFonts w:eastAsia="Calibri" w:hint="cs"/>
                <w:b/>
                <w:bCs/>
                <w:sz w:val="22"/>
                <w:szCs w:val="22"/>
                <w:rtl/>
              </w:rPr>
              <w:t xml:space="preserve">מספר </w:t>
            </w:r>
            <w:r w:rsidR="00995D21">
              <w:rPr>
                <w:rFonts w:eastAsia="Calibri" w:hint="cs"/>
                <w:b/>
                <w:bCs/>
                <w:sz w:val="22"/>
                <w:szCs w:val="22"/>
                <w:rtl/>
              </w:rPr>
              <w:t>ה</w:t>
            </w:r>
            <w:r w:rsidRPr="00995D21">
              <w:rPr>
                <w:rFonts w:eastAsia="Calibri" w:hint="cs"/>
                <w:b/>
                <w:bCs/>
                <w:sz w:val="22"/>
                <w:szCs w:val="22"/>
                <w:rtl/>
              </w:rPr>
              <w:t>חשודים</w:t>
            </w:r>
          </w:p>
        </w:tc>
        <w:tc>
          <w:tcPr>
            <w:tcW w:w="1742" w:type="dxa"/>
            <w:shd w:val="clear" w:color="auto" w:fill="D9D9D9"/>
          </w:tcPr>
          <w:p w:rsidR="00094094" w:rsidRPr="00995D21" w:rsidRDefault="00094094" w:rsidP="00604C3D">
            <w:pPr>
              <w:spacing w:line="269" w:lineRule="auto"/>
              <w:jc w:val="center"/>
              <w:rPr>
                <w:rFonts w:eastAsia="Calibri"/>
                <w:b/>
                <w:bCs/>
                <w:sz w:val="22"/>
                <w:szCs w:val="22"/>
                <w:rtl/>
              </w:rPr>
            </w:pPr>
            <w:r w:rsidRPr="00995D21">
              <w:rPr>
                <w:rFonts w:eastAsia="Calibri" w:hint="cs"/>
                <w:b/>
                <w:bCs/>
                <w:sz w:val="22"/>
                <w:szCs w:val="22"/>
                <w:rtl/>
              </w:rPr>
              <w:t xml:space="preserve">מספר </w:t>
            </w:r>
            <w:r w:rsidR="00995D21">
              <w:rPr>
                <w:rFonts w:eastAsia="Calibri" w:hint="cs"/>
                <w:b/>
                <w:bCs/>
                <w:sz w:val="22"/>
                <w:szCs w:val="22"/>
                <w:rtl/>
              </w:rPr>
              <w:t>ה</w:t>
            </w:r>
            <w:r w:rsidRPr="00995D21">
              <w:rPr>
                <w:rFonts w:eastAsia="Calibri" w:hint="cs"/>
                <w:b/>
                <w:bCs/>
                <w:sz w:val="22"/>
                <w:szCs w:val="22"/>
                <w:rtl/>
              </w:rPr>
              <w:t>מואזנים שאינם חשודים</w:t>
            </w:r>
          </w:p>
        </w:tc>
        <w:tc>
          <w:tcPr>
            <w:tcW w:w="1276" w:type="dxa"/>
            <w:shd w:val="clear" w:color="auto" w:fill="D9D9D9"/>
          </w:tcPr>
          <w:p w:rsidR="00094094" w:rsidRPr="00995D21" w:rsidRDefault="00094094" w:rsidP="00604C3D">
            <w:pPr>
              <w:spacing w:line="269" w:lineRule="auto"/>
              <w:jc w:val="center"/>
              <w:rPr>
                <w:rFonts w:eastAsia="Calibri"/>
                <w:b/>
                <w:bCs/>
                <w:sz w:val="22"/>
                <w:szCs w:val="22"/>
                <w:rtl/>
              </w:rPr>
            </w:pPr>
            <w:r w:rsidRPr="00995D21">
              <w:rPr>
                <w:rFonts w:eastAsia="Calibri" w:hint="cs"/>
                <w:b/>
                <w:bCs/>
                <w:sz w:val="22"/>
                <w:szCs w:val="22"/>
                <w:rtl/>
              </w:rPr>
              <w:t>בסך הכול</w:t>
            </w:r>
          </w:p>
        </w:tc>
      </w:tr>
      <w:tr w:rsidR="00094094" w:rsidRPr="00995D21" w:rsidTr="00094094">
        <w:trPr>
          <w:jc w:val="center"/>
        </w:trPr>
        <w:tc>
          <w:tcPr>
            <w:tcW w:w="1454" w:type="dxa"/>
            <w:shd w:val="clear" w:color="auto" w:fill="D9D9D9"/>
          </w:tcPr>
          <w:p w:rsidR="00094094" w:rsidRPr="00995D21" w:rsidRDefault="00094094" w:rsidP="00604C3D">
            <w:pPr>
              <w:spacing w:line="269" w:lineRule="auto"/>
              <w:jc w:val="left"/>
              <w:rPr>
                <w:rFonts w:eastAsia="Calibri"/>
                <w:b/>
                <w:bCs/>
                <w:sz w:val="22"/>
                <w:szCs w:val="22"/>
                <w:rtl/>
              </w:rPr>
            </w:pPr>
            <w:r w:rsidRPr="00995D21">
              <w:rPr>
                <w:rFonts w:eastAsia="Calibri" w:hint="cs"/>
                <w:b/>
                <w:bCs/>
                <w:sz w:val="22"/>
                <w:szCs w:val="22"/>
                <w:rtl/>
              </w:rPr>
              <w:t>2019</w:t>
            </w:r>
          </w:p>
        </w:tc>
        <w:tc>
          <w:tcPr>
            <w:tcW w:w="1512" w:type="dxa"/>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3,316</w:t>
            </w:r>
          </w:p>
        </w:tc>
        <w:tc>
          <w:tcPr>
            <w:tcW w:w="1742" w:type="dxa"/>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134</w:t>
            </w:r>
          </w:p>
        </w:tc>
        <w:tc>
          <w:tcPr>
            <w:tcW w:w="1276" w:type="dxa"/>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3,450</w:t>
            </w:r>
          </w:p>
        </w:tc>
      </w:tr>
      <w:tr w:rsidR="00094094" w:rsidRPr="00995D21" w:rsidTr="00094094">
        <w:trPr>
          <w:jc w:val="center"/>
        </w:trPr>
        <w:tc>
          <w:tcPr>
            <w:tcW w:w="1454" w:type="dxa"/>
            <w:shd w:val="clear" w:color="auto" w:fill="D9D9D9"/>
          </w:tcPr>
          <w:p w:rsidR="00094094" w:rsidRPr="00995D21" w:rsidRDefault="00094094" w:rsidP="00604C3D">
            <w:pPr>
              <w:spacing w:line="269" w:lineRule="auto"/>
              <w:jc w:val="left"/>
              <w:rPr>
                <w:rFonts w:eastAsia="Calibri"/>
                <w:b/>
                <w:bCs/>
                <w:sz w:val="22"/>
                <w:szCs w:val="22"/>
                <w:rtl/>
              </w:rPr>
            </w:pPr>
            <w:r w:rsidRPr="00995D21">
              <w:rPr>
                <w:rFonts w:eastAsia="Calibri" w:hint="cs"/>
                <w:b/>
                <w:bCs/>
                <w:sz w:val="22"/>
                <w:szCs w:val="22"/>
                <w:rtl/>
              </w:rPr>
              <w:t>2020</w:t>
            </w:r>
          </w:p>
        </w:tc>
        <w:tc>
          <w:tcPr>
            <w:tcW w:w="1512" w:type="dxa"/>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3,514</w:t>
            </w:r>
          </w:p>
        </w:tc>
        <w:tc>
          <w:tcPr>
            <w:tcW w:w="1742" w:type="dxa"/>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149</w:t>
            </w:r>
          </w:p>
        </w:tc>
        <w:tc>
          <w:tcPr>
            <w:tcW w:w="1276" w:type="dxa"/>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3,663</w:t>
            </w:r>
          </w:p>
        </w:tc>
      </w:tr>
      <w:tr w:rsidR="00094094" w:rsidRPr="00995D21" w:rsidTr="00094094">
        <w:trPr>
          <w:jc w:val="center"/>
        </w:trPr>
        <w:tc>
          <w:tcPr>
            <w:tcW w:w="1454" w:type="dxa"/>
            <w:tcBorders>
              <w:bottom w:val="double" w:sz="4" w:space="0" w:color="auto"/>
            </w:tcBorders>
            <w:shd w:val="clear" w:color="auto" w:fill="D9D9D9"/>
          </w:tcPr>
          <w:p w:rsidR="00094094" w:rsidRPr="00995D21" w:rsidRDefault="00094094" w:rsidP="00604C3D">
            <w:pPr>
              <w:spacing w:line="269" w:lineRule="auto"/>
              <w:jc w:val="left"/>
              <w:rPr>
                <w:rFonts w:eastAsia="Calibri"/>
                <w:b/>
                <w:bCs/>
                <w:sz w:val="22"/>
                <w:szCs w:val="22"/>
                <w:rtl/>
              </w:rPr>
            </w:pPr>
            <w:r w:rsidRPr="00995D21">
              <w:rPr>
                <w:rFonts w:eastAsia="Calibri" w:hint="cs"/>
                <w:b/>
                <w:bCs/>
                <w:sz w:val="22"/>
                <w:szCs w:val="22"/>
                <w:rtl/>
              </w:rPr>
              <w:t>2021</w:t>
            </w:r>
          </w:p>
        </w:tc>
        <w:tc>
          <w:tcPr>
            <w:tcW w:w="1512" w:type="dxa"/>
            <w:tcBorders>
              <w:bottom w:val="double" w:sz="4" w:space="0" w:color="auto"/>
            </w:tcBorders>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3,556</w:t>
            </w:r>
          </w:p>
        </w:tc>
        <w:tc>
          <w:tcPr>
            <w:tcW w:w="1742" w:type="dxa"/>
            <w:tcBorders>
              <w:bottom w:val="double" w:sz="4" w:space="0" w:color="auto"/>
            </w:tcBorders>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158</w:t>
            </w:r>
          </w:p>
        </w:tc>
        <w:tc>
          <w:tcPr>
            <w:tcW w:w="1276" w:type="dxa"/>
            <w:tcBorders>
              <w:bottom w:val="double" w:sz="4" w:space="0" w:color="auto"/>
            </w:tcBorders>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3,714</w:t>
            </w:r>
          </w:p>
        </w:tc>
      </w:tr>
      <w:tr w:rsidR="00094094" w:rsidRPr="00995D21" w:rsidTr="00094094">
        <w:trPr>
          <w:jc w:val="center"/>
        </w:trPr>
        <w:tc>
          <w:tcPr>
            <w:tcW w:w="1454" w:type="dxa"/>
            <w:tcBorders>
              <w:top w:val="double" w:sz="4" w:space="0" w:color="auto"/>
            </w:tcBorders>
            <w:shd w:val="clear" w:color="auto" w:fill="D9D9D9"/>
          </w:tcPr>
          <w:p w:rsidR="00094094" w:rsidRPr="00995D21" w:rsidRDefault="00094094" w:rsidP="00604C3D">
            <w:pPr>
              <w:spacing w:line="269" w:lineRule="auto"/>
              <w:jc w:val="left"/>
              <w:rPr>
                <w:rFonts w:eastAsia="Calibri"/>
                <w:b/>
                <w:bCs/>
                <w:sz w:val="22"/>
                <w:szCs w:val="22"/>
                <w:rtl/>
              </w:rPr>
            </w:pPr>
            <w:r w:rsidRPr="00995D21">
              <w:rPr>
                <w:rFonts w:eastAsia="Calibri" w:hint="cs"/>
                <w:b/>
                <w:bCs/>
                <w:sz w:val="22"/>
                <w:szCs w:val="22"/>
                <w:rtl/>
              </w:rPr>
              <w:t>תלת-שנתי</w:t>
            </w:r>
          </w:p>
        </w:tc>
        <w:tc>
          <w:tcPr>
            <w:tcW w:w="1512" w:type="dxa"/>
            <w:tcBorders>
              <w:top w:val="double" w:sz="4" w:space="0" w:color="auto"/>
            </w:tcBorders>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9,012</w:t>
            </w:r>
          </w:p>
        </w:tc>
        <w:tc>
          <w:tcPr>
            <w:tcW w:w="1742" w:type="dxa"/>
            <w:tcBorders>
              <w:top w:val="double" w:sz="4" w:space="0" w:color="auto"/>
            </w:tcBorders>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413</w:t>
            </w:r>
          </w:p>
        </w:tc>
        <w:tc>
          <w:tcPr>
            <w:tcW w:w="1276" w:type="dxa"/>
            <w:tcBorders>
              <w:top w:val="double" w:sz="4" w:space="0" w:color="auto"/>
            </w:tcBorders>
          </w:tcPr>
          <w:p w:rsidR="00094094" w:rsidRPr="00995D21" w:rsidRDefault="00094094" w:rsidP="00604C3D">
            <w:pPr>
              <w:spacing w:line="269" w:lineRule="auto"/>
              <w:jc w:val="left"/>
              <w:rPr>
                <w:rFonts w:eastAsia="Calibri"/>
                <w:sz w:val="22"/>
                <w:szCs w:val="22"/>
                <w:rtl/>
              </w:rPr>
            </w:pPr>
            <w:r w:rsidRPr="00995D21">
              <w:rPr>
                <w:rFonts w:eastAsia="Calibri" w:hint="cs"/>
                <w:sz w:val="22"/>
                <w:szCs w:val="22"/>
                <w:rtl/>
              </w:rPr>
              <w:t>9,425</w:t>
            </w:r>
          </w:p>
        </w:tc>
      </w:tr>
    </w:tbl>
    <w:p w:rsidR="008868B6" w:rsidRDefault="008868B6" w:rsidP="00C56C87">
      <w:pPr>
        <w:spacing w:line="269" w:lineRule="auto"/>
        <w:ind w:firstLine="720"/>
        <w:rPr>
          <w:rtl/>
        </w:rPr>
      </w:pPr>
      <w:r w:rsidRPr="00BF3877">
        <w:rPr>
          <w:rFonts w:hint="cs"/>
          <w:sz w:val="16"/>
          <w:szCs w:val="20"/>
          <w:rtl/>
        </w:rPr>
        <w:t>על</w:t>
      </w:r>
      <w:r w:rsidRPr="00BF3877">
        <w:rPr>
          <w:sz w:val="16"/>
          <w:szCs w:val="20"/>
          <w:rtl/>
        </w:rPr>
        <w:t xml:space="preserve"> </w:t>
      </w:r>
      <w:r w:rsidRPr="00BF3877">
        <w:rPr>
          <w:rFonts w:hint="cs"/>
          <w:sz w:val="16"/>
          <w:szCs w:val="20"/>
          <w:rtl/>
        </w:rPr>
        <w:t>פי</w:t>
      </w:r>
      <w:r w:rsidRPr="00BF3877">
        <w:rPr>
          <w:sz w:val="16"/>
          <w:szCs w:val="20"/>
          <w:rtl/>
        </w:rPr>
        <w:t xml:space="preserve"> </w:t>
      </w:r>
      <w:r w:rsidRPr="00BF3877">
        <w:rPr>
          <w:rFonts w:hint="cs"/>
          <w:sz w:val="16"/>
          <w:szCs w:val="20"/>
          <w:rtl/>
        </w:rPr>
        <w:t>נתוני</w:t>
      </w:r>
      <w:r w:rsidRPr="00BF3877">
        <w:rPr>
          <w:sz w:val="16"/>
          <w:szCs w:val="20"/>
          <w:rtl/>
        </w:rPr>
        <w:t xml:space="preserve"> </w:t>
      </w:r>
      <w:r w:rsidRPr="00BF3877">
        <w:rPr>
          <w:rFonts w:hint="cs"/>
          <w:sz w:val="16"/>
          <w:szCs w:val="20"/>
          <w:rtl/>
        </w:rPr>
        <w:t>המשטרה</w:t>
      </w:r>
      <w:r w:rsidRPr="00BF3877">
        <w:rPr>
          <w:sz w:val="16"/>
          <w:szCs w:val="20"/>
          <w:rtl/>
        </w:rPr>
        <w:t xml:space="preserve">, </w:t>
      </w:r>
      <w:r w:rsidRPr="00BF3877">
        <w:rPr>
          <w:rFonts w:hint="cs"/>
          <w:sz w:val="16"/>
          <w:szCs w:val="20"/>
          <w:rtl/>
        </w:rPr>
        <w:t>בעיבוד</w:t>
      </w:r>
      <w:r w:rsidRPr="00BF3877">
        <w:rPr>
          <w:sz w:val="16"/>
          <w:szCs w:val="20"/>
          <w:rtl/>
        </w:rPr>
        <w:t xml:space="preserve"> </w:t>
      </w:r>
      <w:r w:rsidRPr="00BF3877">
        <w:rPr>
          <w:rFonts w:hint="cs"/>
          <w:sz w:val="16"/>
          <w:szCs w:val="20"/>
          <w:rtl/>
        </w:rPr>
        <w:t>משרד</w:t>
      </w:r>
      <w:r w:rsidRPr="00BF3877">
        <w:rPr>
          <w:sz w:val="16"/>
          <w:szCs w:val="20"/>
          <w:rtl/>
        </w:rPr>
        <w:t xml:space="preserve"> </w:t>
      </w:r>
      <w:r w:rsidRPr="00BF3877">
        <w:rPr>
          <w:rFonts w:hint="cs"/>
          <w:sz w:val="16"/>
          <w:szCs w:val="20"/>
          <w:rtl/>
        </w:rPr>
        <w:t>מבקר</w:t>
      </w:r>
      <w:r w:rsidRPr="00BF3877">
        <w:rPr>
          <w:sz w:val="16"/>
          <w:szCs w:val="20"/>
          <w:rtl/>
        </w:rPr>
        <w:t xml:space="preserve"> </w:t>
      </w:r>
      <w:r w:rsidRPr="00BF3877">
        <w:rPr>
          <w:rFonts w:hint="cs"/>
          <w:sz w:val="16"/>
          <w:szCs w:val="20"/>
          <w:rtl/>
        </w:rPr>
        <w:t>המדינה</w:t>
      </w:r>
      <w:r w:rsidR="006B4444">
        <w:rPr>
          <w:rFonts w:hint="cs"/>
          <w:rtl/>
        </w:rPr>
        <w:t>.</w:t>
      </w:r>
    </w:p>
    <w:p w:rsidR="002B0E02" w:rsidRDefault="002B0E02" w:rsidP="00604C3D">
      <w:pPr>
        <w:spacing w:line="269" w:lineRule="auto"/>
        <w:ind w:left="720"/>
        <w:jc w:val="center"/>
        <w:rPr>
          <w:rtl/>
        </w:rPr>
      </w:pPr>
    </w:p>
    <w:p w:rsidR="008868B6" w:rsidRDefault="008A67C6" w:rsidP="00C56C87">
      <w:pPr>
        <w:spacing w:line="269" w:lineRule="auto"/>
        <w:jc w:val="center"/>
        <w:rPr>
          <w:b/>
          <w:bCs/>
          <w:rtl/>
        </w:rPr>
      </w:pPr>
      <w:r>
        <w:rPr>
          <w:rFonts w:hint="cs"/>
          <w:rtl/>
        </w:rPr>
        <w:t>לוח</w:t>
      </w:r>
      <w:r w:rsidR="00995D21">
        <w:rPr>
          <w:rFonts w:hint="cs"/>
          <w:rtl/>
        </w:rPr>
        <w:t xml:space="preserve"> 4</w:t>
      </w:r>
      <w:r w:rsidR="008868B6" w:rsidRPr="00BF3877">
        <w:rPr>
          <w:rtl/>
        </w:rPr>
        <w:t>:</w:t>
      </w:r>
      <w:r w:rsidR="008868B6">
        <w:rPr>
          <w:rFonts w:hint="cs"/>
          <w:b/>
          <w:bCs/>
          <w:rtl/>
        </w:rPr>
        <w:t xml:space="preserve"> </w:t>
      </w:r>
      <w:r w:rsidR="008868B6" w:rsidRPr="00C33ACD">
        <w:rPr>
          <w:rFonts w:hint="cs"/>
          <w:b/>
          <w:bCs/>
          <w:rtl/>
        </w:rPr>
        <w:t xml:space="preserve">יעדי האזנה </w:t>
      </w:r>
      <w:r w:rsidR="008868B6" w:rsidRPr="00BF3877">
        <w:rPr>
          <w:rFonts w:hint="cs"/>
          <w:b/>
          <w:bCs/>
          <w:rtl/>
        </w:rPr>
        <w:t>אלמוני</w:t>
      </w:r>
      <w:r w:rsidR="008868B6">
        <w:rPr>
          <w:rFonts w:hint="cs"/>
          <w:b/>
          <w:bCs/>
          <w:rtl/>
        </w:rPr>
        <w:t>י</w:t>
      </w:r>
      <w:r w:rsidR="008868B6" w:rsidRPr="00BF3877">
        <w:rPr>
          <w:rFonts w:hint="cs"/>
          <w:b/>
          <w:bCs/>
          <w:rtl/>
        </w:rPr>
        <w:t>ם</w:t>
      </w:r>
    </w:p>
    <w:tbl>
      <w:tblPr>
        <w:tblStyle w:val="afc"/>
        <w:bidiVisual/>
        <w:tblW w:w="0" w:type="auto"/>
        <w:jc w:val="center"/>
        <w:tblLook w:val="04A0" w:firstRow="1" w:lastRow="0" w:firstColumn="1" w:lastColumn="0" w:noHBand="0" w:noVBand="1"/>
      </w:tblPr>
      <w:tblGrid>
        <w:gridCol w:w="1452"/>
        <w:gridCol w:w="1512"/>
        <w:gridCol w:w="1737"/>
        <w:gridCol w:w="1283"/>
      </w:tblGrid>
      <w:tr w:rsidR="00094094" w:rsidRPr="00995D21" w:rsidTr="00EC0CC5">
        <w:trPr>
          <w:jc w:val="center"/>
        </w:trPr>
        <w:tc>
          <w:tcPr>
            <w:tcW w:w="1452" w:type="dxa"/>
            <w:tcBorders>
              <w:top w:val="nil"/>
              <w:left w:val="nil"/>
            </w:tcBorders>
            <w:shd w:val="clear" w:color="auto" w:fill="FFFFFF" w:themeFill="background1"/>
          </w:tcPr>
          <w:p w:rsidR="00094094" w:rsidRPr="00995D21" w:rsidRDefault="00094094" w:rsidP="00604C3D">
            <w:pPr>
              <w:spacing w:line="269" w:lineRule="auto"/>
              <w:jc w:val="center"/>
              <w:rPr>
                <w:b/>
                <w:bCs/>
                <w:sz w:val="22"/>
                <w:szCs w:val="22"/>
                <w:rtl/>
              </w:rPr>
            </w:pPr>
          </w:p>
        </w:tc>
        <w:tc>
          <w:tcPr>
            <w:tcW w:w="3249" w:type="dxa"/>
            <w:gridSpan w:val="2"/>
            <w:shd w:val="clear" w:color="auto" w:fill="D9D9D9" w:themeFill="background1" w:themeFillShade="D9"/>
          </w:tcPr>
          <w:p w:rsidR="00094094" w:rsidRPr="00995D21" w:rsidRDefault="00094094" w:rsidP="00604C3D">
            <w:pPr>
              <w:spacing w:line="269" w:lineRule="auto"/>
              <w:jc w:val="center"/>
              <w:rPr>
                <w:b/>
                <w:bCs/>
                <w:sz w:val="22"/>
                <w:szCs w:val="22"/>
                <w:rtl/>
              </w:rPr>
            </w:pPr>
            <w:r w:rsidRPr="00995D21">
              <w:rPr>
                <w:rFonts w:hint="cs"/>
                <w:b/>
                <w:bCs/>
                <w:sz w:val="22"/>
                <w:szCs w:val="22"/>
                <w:rtl/>
              </w:rPr>
              <w:t>מאפיין היעד</w:t>
            </w:r>
          </w:p>
        </w:tc>
        <w:tc>
          <w:tcPr>
            <w:tcW w:w="1283" w:type="dxa"/>
            <w:tcBorders>
              <w:top w:val="nil"/>
              <w:right w:val="nil"/>
            </w:tcBorders>
            <w:shd w:val="clear" w:color="auto" w:fill="FFFFFF" w:themeFill="background1"/>
          </w:tcPr>
          <w:p w:rsidR="00094094" w:rsidRPr="00995D21" w:rsidRDefault="00094094" w:rsidP="00604C3D">
            <w:pPr>
              <w:spacing w:line="269" w:lineRule="auto"/>
              <w:jc w:val="center"/>
              <w:rPr>
                <w:b/>
                <w:bCs/>
                <w:sz w:val="22"/>
                <w:szCs w:val="22"/>
                <w:rtl/>
              </w:rPr>
            </w:pPr>
          </w:p>
        </w:tc>
      </w:tr>
      <w:tr w:rsidR="00094094" w:rsidRPr="00995D21" w:rsidTr="00EC0CC5">
        <w:trPr>
          <w:jc w:val="center"/>
        </w:trPr>
        <w:tc>
          <w:tcPr>
            <w:tcW w:w="1452" w:type="dxa"/>
            <w:shd w:val="clear" w:color="auto" w:fill="D9D9D9" w:themeFill="background1" w:themeFillShade="D9"/>
          </w:tcPr>
          <w:p w:rsidR="00094094" w:rsidRPr="00995D21" w:rsidRDefault="00094094" w:rsidP="00604C3D">
            <w:pPr>
              <w:spacing w:line="269" w:lineRule="auto"/>
              <w:jc w:val="center"/>
              <w:rPr>
                <w:b/>
                <w:bCs/>
                <w:sz w:val="22"/>
                <w:szCs w:val="22"/>
                <w:rtl/>
              </w:rPr>
            </w:pPr>
            <w:r w:rsidRPr="00995D21">
              <w:rPr>
                <w:rFonts w:hint="cs"/>
                <w:b/>
                <w:bCs/>
                <w:sz w:val="22"/>
                <w:szCs w:val="22"/>
                <w:rtl/>
              </w:rPr>
              <w:t>השנה</w:t>
            </w:r>
          </w:p>
        </w:tc>
        <w:tc>
          <w:tcPr>
            <w:tcW w:w="1512" w:type="dxa"/>
            <w:shd w:val="clear" w:color="auto" w:fill="D9D9D9" w:themeFill="background1" w:themeFillShade="D9"/>
          </w:tcPr>
          <w:p w:rsidR="00094094" w:rsidRPr="00995D21" w:rsidRDefault="00094094" w:rsidP="00604C3D">
            <w:pPr>
              <w:spacing w:line="269" w:lineRule="auto"/>
              <w:jc w:val="center"/>
              <w:rPr>
                <w:b/>
                <w:bCs/>
                <w:sz w:val="22"/>
                <w:szCs w:val="22"/>
                <w:rtl/>
              </w:rPr>
            </w:pPr>
            <w:r w:rsidRPr="00995D21">
              <w:rPr>
                <w:rFonts w:hint="cs"/>
                <w:b/>
                <w:bCs/>
                <w:sz w:val="22"/>
                <w:szCs w:val="22"/>
                <w:rtl/>
              </w:rPr>
              <w:t>מספר חשודים</w:t>
            </w:r>
          </w:p>
        </w:tc>
        <w:tc>
          <w:tcPr>
            <w:tcW w:w="1737" w:type="dxa"/>
            <w:shd w:val="clear" w:color="auto" w:fill="D9D9D9" w:themeFill="background1" w:themeFillShade="D9"/>
          </w:tcPr>
          <w:p w:rsidR="00094094" w:rsidRPr="00995D21" w:rsidRDefault="00094094" w:rsidP="00604C3D">
            <w:pPr>
              <w:spacing w:line="269" w:lineRule="auto"/>
              <w:jc w:val="center"/>
              <w:rPr>
                <w:b/>
                <w:bCs/>
                <w:sz w:val="22"/>
                <w:szCs w:val="22"/>
                <w:rtl/>
              </w:rPr>
            </w:pPr>
            <w:r w:rsidRPr="00995D21">
              <w:rPr>
                <w:rFonts w:hint="cs"/>
                <w:b/>
                <w:bCs/>
                <w:sz w:val="22"/>
                <w:szCs w:val="22"/>
                <w:rtl/>
              </w:rPr>
              <w:t xml:space="preserve">מספר </w:t>
            </w:r>
            <w:r w:rsidR="005310B7">
              <w:rPr>
                <w:rFonts w:hint="cs"/>
                <w:b/>
                <w:bCs/>
                <w:sz w:val="22"/>
                <w:szCs w:val="22"/>
                <w:rtl/>
              </w:rPr>
              <w:t>ה</w:t>
            </w:r>
            <w:r w:rsidRPr="00995D21">
              <w:rPr>
                <w:rFonts w:hint="cs"/>
                <w:b/>
                <w:bCs/>
                <w:sz w:val="22"/>
                <w:szCs w:val="22"/>
                <w:rtl/>
              </w:rPr>
              <w:t>מואזנים שאינם חשודים</w:t>
            </w:r>
          </w:p>
        </w:tc>
        <w:tc>
          <w:tcPr>
            <w:tcW w:w="1283" w:type="dxa"/>
            <w:shd w:val="clear" w:color="auto" w:fill="D9D9D9" w:themeFill="background1" w:themeFillShade="D9"/>
          </w:tcPr>
          <w:p w:rsidR="00094094" w:rsidRPr="00995D21" w:rsidRDefault="00094094" w:rsidP="00604C3D">
            <w:pPr>
              <w:spacing w:line="269" w:lineRule="auto"/>
              <w:jc w:val="center"/>
              <w:rPr>
                <w:b/>
                <w:bCs/>
                <w:sz w:val="22"/>
                <w:szCs w:val="22"/>
                <w:rtl/>
              </w:rPr>
            </w:pPr>
            <w:r w:rsidRPr="00995D21">
              <w:rPr>
                <w:rFonts w:hint="cs"/>
                <w:b/>
                <w:bCs/>
                <w:sz w:val="22"/>
                <w:szCs w:val="22"/>
                <w:rtl/>
              </w:rPr>
              <w:t>בסך הכול</w:t>
            </w:r>
          </w:p>
        </w:tc>
      </w:tr>
      <w:tr w:rsidR="00094094" w:rsidRPr="00995D21" w:rsidTr="00EC0CC5">
        <w:trPr>
          <w:jc w:val="center"/>
        </w:trPr>
        <w:tc>
          <w:tcPr>
            <w:tcW w:w="1452" w:type="dxa"/>
            <w:shd w:val="clear" w:color="auto" w:fill="D9D9D9" w:themeFill="background1" w:themeFillShade="D9"/>
          </w:tcPr>
          <w:p w:rsidR="00094094" w:rsidRPr="00995D21" w:rsidRDefault="00094094" w:rsidP="00604C3D">
            <w:pPr>
              <w:spacing w:line="269" w:lineRule="auto"/>
              <w:jc w:val="left"/>
              <w:rPr>
                <w:b/>
                <w:bCs/>
                <w:sz w:val="22"/>
                <w:szCs w:val="22"/>
                <w:rtl/>
              </w:rPr>
            </w:pPr>
            <w:r w:rsidRPr="00995D21">
              <w:rPr>
                <w:rFonts w:hint="cs"/>
                <w:b/>
                <w:bCs/>
                <w:sz w:val="22"/>
                <w:szCs w:val="22"/>
                <w:rtl/>
              </w:rPr>
              <w:t>2019</w:t>
            </w:r>
          </w:p>
        </w:tc>
        <w:tc>
          <w:tcPr>
            <w:tcW w:w="1512" w:type="dxa"/>
          </w:tcPr>
          <w:p w:rsidR="00094094" w:rsidRPr="00995D21" w:rsidRDefault="00094094" w:rsidP="00604C3D">
            <w:pPr>
              <w:spacing w:line="269" w:lineRule="auto"/>
              <w:jc w:val="left"/>
              <w:rPr>
                <w:sz w:val="22"/>
                <w:szCs w:val="22"/>
                <w:rtl/>
              </w:rPr>
            </w:pPr>
            <w:r w:rsidRPr="00995D21">
              <w:rPr>
                <w:rFonts w:hint="cs"/>
                <w:sz w:val="22"/>
                <w:szCs w:val="22"/>
                <w:rtl/>
              </w:rPr>
              <w:t>694</w:t>
            </w:r>
          </w:p>
        </w:tc>
        <w:tc>
          <w:tcPr>
            <w:tcW w:w="1737" w:type="dxa"/>
          </w:tcPr>
          <w:p w:rsidR="00094094" w:rsidRPr="00995D21" w:rsidRDefault="00094094" w:rsidP="00604C3D">
            <w:pPr>
              <w:spacing w:line="269" w:lineRule="auto"/>
              <w:jc w:val="left"/>
              <w:rPr>
                <w:sz w:val="22"/>
                <w:szCs w:val="22"/>
                <w:rtl/>
              </w:rPr>
            </w:pPr>
            <w:r w:rsidRPr="00995D21">
              <w:rPr>
                <w:rFonts w:hint="cs"/>
                <w:sz w:val="22"/>
                <w:szCs w:val="22"/>
                <w:rtl/>
              </w:rPr>
              <w:t>11</w:t>
            </w:r>
          </w:p>
        </w:tc>
        <w:tc>
          <w:tcPr>
            <w:tcW w:w="1283" w:type="dxa"/>
          </w:tcPr>
          <w:p w:rsidR="00094094" w:rsidRPr="00995D21" w:rsidRDefault="00094094" w:rsidP="00604C3D">
            <w:pPr>
              <w:spacing w:line="269" w:lineRule="auto"/>
              <w:jc w:val="left"/>
              <w:rPr>
                <w:sz w:val="22"/>
                <w:szCs w:val="22"/>
                <w:rtl/>
              </w:rPr>
            </w:pPr>
            <w:r w:rsidRPr="00995D21">
              <w:rPr>
                <w:rFonts w:hint="cs"/>
                <w:sz w:val="22"/>
                <w:szCs w:val="22"/>
                <w:rtl/>
              </w:rPr>
              <w:t>705</w:t>
            </w:r>
          </w:p>
        </w:tc>
      </w:tr>
      <w:tr w:rsidR="00094094" w:rsidRPr="00995D21" w:rsidTr="00EC0CC5">
        <w:trPr>
          <w:jc w:val="center"/>
        </w:trPr>
        <w:tc>
          <w:tcPr>
            <w:tcW w:w="1452" w:type="dxa"/>
            <w:shd w:val="clear" w:color="auto" w:fill="D9D9D9" w:themeFill="background1" w:themeFillShade="D9"/>
          </w:tcPr>
          <w:p w:rsidR="00094094" w:rsidRPr="00995D21" w:rsidRDefault="00094094" w:rsidP="00604C3D">
            <w:pPr>
              <w:spacing w:line="269" w:lineRule="auto"/>
              <w:jc w:val="left"/>
              <w:rPr>
                <w:b/>
                <w:bCs/>
                <w:sz w:val="22"/>
                <w:szCs w:val="22"/>
                <w:rtl/>
              </w:rPr>
            </w:pPr>
            <w:r w:rsidRPr="00995D21">
              <w:rPr>
                <w:rFonts w:hint="cs"/>
                <w:b/>
                <w:bCs/>
                <w:sz w:val="22"/>
                <w:szCs w:val="22"/>
                <w:rtl/>
              </w:rPr>
              <w:t>2020</w:t>
            </w:r>
          </w:p>
        </w:tc>
        <w:tc>
          <w:tcPr>
            <w:tcW w:w="1512" w:type="dxa"/>
          </w:tcPr>
          <w:p w:rsidR="00094094" w:rsidRPr="00995D21" w:rsidRDefault="00094094" w:rsidP="00604C3D">
            <w:pPr>
              <w:spacing w:line="269" w:lineRule="auto"/>
              <w:jc w:val="left"/>
              <w:rPr>
                <w:sz w:val="22"/>
                <w:szCs w:val="22"/>
                <w:rtl/>
              </w:rPr>
            </w:pPr>
            <w:r w:rsidRPr="00995D21">
              <w:rPr>
                <w:rFonts w:hint="cs"/>
                <w:sz w:val="22"/>
                <w:szCs w:val="22"/>
                <w:rtl/>
              </w:rPr>
              <w:t>1,016</w:t>
            </w:r>
          </w:p>
        </w:tc>
        <w:tc>
          <w:tcPr>
            <w:tcW w:w="1737" w:type="dxa"/>
          </w:tcPr>
          <w:p w:rsidR="00094094" w:rsidRPr="00995D21" w:rsidRDefault="00094094" w:rsidP="00604C3D">
            <w:pPr>
              <w:spacing w:line="269" w:lineRule="auto"/>
              <w:jc w:val="left"/>
              <w:rPr>
                <w:sz w:val="22"/>
                <w:szCs w:val="22"/>
                <w:rtl/>
              </w:rPr>
            </w:pPr>
            <w:r w:rsidRPr="00995D21">
              <w:rPr>
                <w:rFonts w:hint="cs"/>
                <w:sz w:val="22"/>
                <w:szCs w:val="22"/>
                <w:rtl/>
              </w:rPr>
              <w:t>21</w:t>
            </w:r>
          </w:p>
        </w:tc>
        <w:tc>
          <w:tcPr>
            <w:tcW w:w="1283" w:type="dxa"/>
          </w:tcPr>
          <w:p w:rsidR="00094094" w:rsidRPr="00995D21" w:rsidRDefault="00094094" w:rsidP="00604C3D">
            <w:pPr>
              <w:spacing w:line="269" w:lineRule="auto"/>
              <w:jc w:val="left"/>
              <w:rPr>
                <w:sz w:val="22"/>
                <w:szCs w:val="22"/>
                <w:rtl/>
              </w:rPr>
            </w:pPr>
            <w:r w:rsidRPr="00995D21">
              <w:rPr>
                <w:rFonts w:hint="cs"/>
                <w:sz w:val="22"/>
                <w:szCs w:val="22"/>
                <w:rtl/>
              </w:rPr>
              <w:t>1,037</w:t>
            </w:r>
          </w:p>
        </w:tc>
      </w:tr>
      <w:tr w:rsidR="00094094" w:rsidRPr="00995D21" w:rsidTr="00EC0CC5">
        <w:trPr>
          <w:jc w:val="center"/>
        </w:trPr>
        <w:tc>
          <w:tcPr>
            <w:tcW w:w="1452" w:type="dxa"/>
            <w:tcBorders>
              <w:bottom w:val="double" w:sz="4" w:space="0" w:color="auto"/>
            </w:tcBorders>
            <w:shd w:val="clear" w:color="auto" w:fill="D9D9D9" w:themeFill="background1" w:themeFillShade="D9"/>
          </w:tcPr>
          <w:p w:rsidR="00094094" w:rsidRPr="00995D21" w:rsidRDefault="00094094" w:rsidP="00604C3D">
            <w:pPr>
              <w:spacing w:line="269" w:lineRule="auto"/>
              <w:jc w:val="left"/>
              <w:rPr>
                <w:b/>
                <w:bCs/>
                <w:sz w:val="22"/>
                <w:szCs w:val="22"/>
                <w:rtl/>
              </w:rPr>
            </w:pPr>
            <w:r w:rsidRPr="00995D21">
              <w:rPr>
                <w:rFonts w:hint="cs"/>
                <w:b/>
                <w:bCs/>
                <w:sz w:val="22"/>
                <w:szCs w:val="22"/>
                <w:rtl/>
              </w:rPr>
              <w:t>2021</w:t>
            </w:r>
          </w:p>
        </w:tc>
        <w:tc>
          <w:tcPr>
            <w:tcW w:w="1512" w:type="dxa"/>
            <w:tcBorders>
              <w:bottom w:val="double" w:sz="4" w:space="0" w:color="auto"/>
            </w:tcBorders>
          </w:tcPr>
          <w:p w:rsidR="00094094" w:rsidRPr="00995D21" w:rsidRDefault="00094094" w:rsidP="00604C3D">
            <w:pPr>
              <w:spacing w:line="269" w:lineRule="auto"/>
              <w:jc w:val="left"/>
              <w:rPr>
                <w:sz w:val="22"/>
                <w:szCs w:val="22"/>
                <w:rtl/>
              </w:rPr>
            </w:pPr>
            <w:r w:rsidRPr="00995D21">
              <w:rPr>
                <w:rFonts w:hint="cs"/>
                <w:sz w:val="22"/>
                <w:szCs w:val="22"/>
                <w:rtl/>
              </w:rPr>
              <w:t>1,310</w:t>
            </w:r>
          </w:p>
        </w:tc>
        <w:tc>
          <w:tcPr>
            <w:tcW w:w="1737" w:type="dxa"/>
            <w:tcBorders>
              <w:bottom w:val="double" w:sz="4" w:space="0" w:color="auto"/>
            </w:tcBorders>
          </w:tcPr>
          <w:p w:rsidR="00094094" w:rsidRPr="00995D21" w:rsidRDefault="00094094" w:rsidP="00604C3D">
            <w:pPr>
              <w:spacing w:line="269" w:lineRule="auto"/>
              <w:jc w:val="left"/>
              <w:rPr>
                <w:sz w:val="22"/>
                <w:szCs w:val="22"/>
                <w:rtl/>
              </w:rPr>
            </w:pPr>
            <w:r w:rsidRPr="00995D21">
              <w:rPr>
                <w:rFonts w:hint="cs"/>
                <w:sz w:val="22"/>
                <w:szCs w:val="22"/>
                <w:rtl/>
              </w:rPr>
              <w:t>59</w:t>
            </w:r>
          </w:p>
        </w:tc>
        <w:tc>
          <w:tcPr>
            <w:tcW w:w="1283" w:type="dxa"/>
            <w:tcBorders>
              <w:bottom w:val="double" w:sz="4" w:space="0" w:color="auto"/>
            </w:tcBorders>
          </w:tcPr>
          <w:p w:rsidR="00094094" w:rsidRPr="00995D21" w:rsidRDefault="00094094" w:rsidP="00604C3D">
            <w:pPr>
              <w:spacing w:line="269" w:lineRule="auto"/>
              <w:jc w:val="left"/>
              <w:rPr>
                <w:sz w:val="22"/>
                <w:szCs w:val="22"/>
                <w:rtl/>
              </w:rPr>
            </w:pPr>
            <w:r w:rsidRPr="00995D21">
              <w:rPr>
                <w:rFonts w:hint="cs"/>
                <w:sz w:val="22"/>
                <w:szCs w:val="22"/>
                <w:rtl/>
              </w:rPr>
              <w:t>1,369</w:t>
            </w:r>
          </w:p>
        </w:tc>
      </w:tr>
      <w:tr w:rsidR="00094094" w:rsidRPr="00995D21" w:rsidTr="00EC0CC5">
        <w:trPr>
          <w:jc w:val="center"/>
        </w:trPr>
        <w:tc>
          <w:tcPr>
            <w:tcW w:w="1452" w:type="dxa"/>
            <w:tcBorders>
              <w:top w:val="double" w:sz="4" w:space="0" w:color="auto"/>
            </w:tcBorders>
            <w:shd w:val="clear" w:color="auto" w:fill="D9D9D9" w:themeFill="background1" w:themeFillShade="D9"/>
          </w:tcPr>
          <w:p w:rsidR="00094094" w:rsidRPr="00995D21" w:rsidRDefault="00094094" w:rsidP="00604C3D">
            <w:pPr>
              <w:spacing w:line="269" w:lineRule="auto"/>
              <w:jc w:val="left"/>
              <w:rPr>
                <w:b/>
                <w:bCs/>
                <w:sz w:val="22"/>
                <w:szCs w:val="22"/>
                <w:rtl/>
              </w:rPr>
            </w:pPr>
            <w:r w:rsidRPr="00995D21">
              <w:rPr>
                <w:rFonts w:hint="cs"/>
                <w:b/>
                <w:bCs/>
                <w:sz w:val="22"/>
                <w:szCs w:val="22"/>
                <w:rtl/>
              </w:rPr>
              <w:t>תלת שנתי</w:t>
            </w:r>
          </w:p>
        </w:tc>
        <w:tc>
          <w:tcPr>
            <w:tcW w:w="1512" w:type="dxa"/>
            <w:tcBorders>
              <w:top w:val="double" w:sz="4" w:space="0" w:color="auto"/>
            </w:tcBorders>
          </w:tcPr>
          <w:p w:rsidR="00094094" w:rsidRPr="00995D21" w:rsidRDefault="00094094" w:rsidP="00604C3D">
            <w:pPr>
              <w:spacing w:line="269" w:lineRule="auto"/>
              <w:jc w:val="left"/>
              <w:rPr>
                <w:sz w:val="22"/>
                <w:szCs w:val="22"/>
                <w:rtl/>
              </w:rPr>
            </w:pPr>
            <w:r w:rsidRPr="00995D21">
              <w:rPr>
                <w:rFonts w:hint="cs"/>
                <w:sz w:val="22"/>
                <w:szCs w:val="22"/>
                <w:rtl/>
              </w:rPr>
              <w:t>3,020</w:t>
            </w:r>
          </w:p>
        </w:tc>
        <w:tc>
          <w:tcPr>
            <w:tcW w:w="1737" w:type="dxa"/>
            <w:tcBorders>
              <w:top w:val="double" w:sz="4" w:space="0" w:color="auto"/>
            </w:tcBorders>
          </w:tcPr>
          <w:p w:rsidR="00094094" w:rsidRPr="00995D21" w:rsidRDefault="00094094" w:rsidP="00604C3D">
            <w:pPr>
              <w:spacing w:line="269" w:lineRule="auto"/>
              <w:jc w:val="left"/>
              <w:rPr>
                <w:sz w:val="22"/>
                <w:szCs w:val="22"/>
                <w:rtl/>
              </w:rPr>
            </w:pPr>
            <w:r w:rsidRPr="00995D21">
              <w:rPr>
                <w:rFonts w:hint="cs"/>
                <w:sz w:val="22"/>
                <w:szCs w:val="22"/>
                <w:rtl/>
              </w:rPr>
              <w:t>91</w:t>
            </w:r>
          </w:p>
        </w:tc>
        <w:tc>
          <w:tcPr>
            <w:tcW w:w="1283" w:type="dxa"/>
            <w:tcBorders>
              <w:top w:val="double" w:sz="4" w:space="0" w:color="auto"/>
            </w:tcBorders>
          </w:tcPr>
          <w:p w:rsidR="00094094" w:rsidRPr="00995D21" w:rsidRDefault="00094094" w:rsidP="00604C3D">
            <w:pPr>
              <w:spacing w:line="269" w:lineRule="auto"/>
              <w:jc w:val="left"/>
              <w:rPr>
                <w:sz w:val="22"/>
                <w:szCs w:val="22"/>
                <w:rtl/>
              </w:rPr>
            </w:pPr>
            <w:r w:rsidRPr="00995D21">
              <w:rPr>
                <w:rFonts w:hint="cs"/>
                <w:sz w:val="22"/>
                <w:szCs w:val="22"/>
                <w:rtl/>
              </w:rPr>
              <w:t>3,111</w:t>
            </w:r>
          </w:p>
        </w:tc>
      </w:tr>
    </w:tbl>
    <w:p w:rsidR="008868B6" w:rsidRDefault="008868B6" w:rsidP="00C56C87">
      <w:pPr>
        <w:spacing w:line="269" w:lineRule="auto"/>
        <w:ind w:firstLine="720"/>
        <w:rPr>
          <w:rtl/>
        </w:rPr>
      </w:pPr>
      <w:r w:rsidRPr="00BF3877">
        <w:rPr>
          <w:rFonts w:hint="cs"/>
          <w:sz w:val="16"/>
          <w:szCs w:val="20"/>
          <w:rtl/>
        </w:rPr>
        <w:t>על</w:t>
      </w:r>
      <w:r w:rsidRPr="00BF3877">
        <w:rPr>
          <w:sz w:val="16"/>
          <w:szCs w:val="20"/>
          <w:rtl/>
        </w:rPr>
        <w:t xml:space="preserve"> </w:t>
      </w:r>
      <w:r w:rsidRPr="00BF3877">
        <w:rPr>
          <w:rFonts w:hint="cs"/>
          <w:sz w:val="16"/>
          <w:szCs w:val="20"/>
          <w:rtl/>
        </w:rPr>
        <w:t>פי</w:t>
      </w:r>
      <w:r w:rsidRPr="00BF3877">
        <w:rPr>
          <w:sz w:val="16"/>
          <w:szCs w:val="20"/>
          <w:rtl/>
        </w:rPr>
        <w:t xml:space="preserve"> </w:t>
      </w:r>
      <w:r w:rsidRPr="00BF3877">
        <w:rPr>
          <w:rFonts w:hint="cs"/>
          <w:sz w:val="16"/>
          <w:szCs w:val="20"/>
          <w:rtl/>
        </w:rPr>
        <w:t>נתוני</w:t>
      </w:r>
      <w:r w:rsidRPr="00BF3877">
        <w:rPr>
          <w:sz w:val="16"/>
          <w:szCs w:val="20"/>
          <w:rtl/>
        </w:rPr>
        <w:t xml:space="preserve"> </w:t>
      </w:r>
      <w:r w:rsidRPr="00BF3877">
        <w:rPr>
          <w:rFonts w:hint="cs"/>
          <w:sz w:val="16"/>
          <w:szCs w:val="20"/>
          <w:rtl/>
        </w:rPr>
        <w:t>המשטרה</w:t>
      </w:r>
      <w:r w:rsidRPr="00BF3877">
        <w:rPr>
          <w:sz w:val="16"/>
          <w:szCs w:val="20"/>
          <w:rtl/>
        </w:rPr>
        <w:t xml:space="preserve">, </w:t>
      </w:r>
      <w:r w:rsidRPr="00BF3877">
        <w:rPr>
          <w:rFonts w:hint="cs"/>
          <w:sz w:val="16"/>
          <w:szCs w:val="20"/>
          <w:rtl/>
        </w:rPr>
        <w:t>בעיבוד</w:t>
      </w:r>
      <w:r w:rsidRPr="00BF3877">
        <w:rPr>
          <w:sz w:val="16"/>
          <w:szCs w:val="20"/>
          <w:rtl/>
        </w:rPr>
        <w:t xml:space="preserve"> </w:t>
      </w:r>
      <w:r w:rsidRPr="00BF3877">
        <w:rPr>
          <w:rFonts w:hint="cs"/>
          <w:sz w:val="16"/>
          <w:szCs w:val="20"/>
          <w:rtl/>
        </w:rPr>
        <w:t>משרד</w:t>
      </w:r>
      <w:r w:rsidRPr="00BF3877">
        <w:rPr>
          <w:sz w:val="16"/>
          <w:szCs w:val="20"/>
          <w:rtl/>
        </w:rPr>
        <w:t xml:space="preserve"> </w:t>
      </w:r>
      <w:r w:rsidRPr="00BF3877">
        <w:rPr>
          <w:rFonts w:hint="cs"/>
          <w:sz w:val="16"/>
          <w:szCs w:val="20"/>
          <w:rtl/>
        </w:rPr>
        <w:t>מבקר</w:t>
      </w:r>
      <w:r w:rsidRPr="00BF3877">
        <w:rPr>
          <w:sz w:val="16"/>
          <w:szCs w:val="20"/>
          <w:rtl/>
        </w:rPr>
        <w:t xml:space="preserve"> </w:t>
      </w:r>
      <w:r w:rsidRPr="00BF3877">
        <w:rPr>
          <w:rFonts w:hint="cs"/>
          <w:sz w:val="16"/>
          <w:szCs w:val="20"/>
          <w:rtl/>
        </w:rPr>
        <w:t>המדינה</w:t>
      </w:r>
      <w:r w:rsidR="006B4444">
        <w:rPr>
          <w:rFonts w:hint="cs"/>
          <w:rtl/>
        </w:rPr>
        <w:t>.</w:t>
      </w:r>
    </w:p>
    <w:p w:rsidR="00022177" w:rsidRDefault="00022177" w:rsidP="00604C3D">
      <w:pPr>
        <w:spacing w:line="269" w:lineRule="auto"/>
        <w:rPr>
          <w:rtl/>
        </w:rPr>
      </w:pPr>
    </w:p>
    <w:p w:rsidR="008868B6" w:rsidRDefault="00DC60C3" w:rsidP="00C56C87">
      <w:pPr>
        <w:spacing w:line="269" w:lineRule="auto"/>
        <w:ind w:left="720"/>
        <w:rPr>
          <w:rtl/>
        </w:rPr>
      </w:pPr>
      <w:r w:rsidRPr="00DC60C3">
        <w:rPr>
          <w:rFonts w:hint="eastAsia"/>
          <w:rtl/>
        </w:rPr>
        <w:t>מהנתונים</w:t>
      </w:r>
      <w:r w:rsidRPr="00DC60C3">
        <w:rPr>
          <w:rtl/>
        </w:rPr>
        <w:t xml:space="preserve"> עולה כי </w:t>
      </w:r>
      <w:r w:rsidRPr="00DC60C3">
        <w:rPr>
          <w:rFonts w:hint="eastAsia"/>
          <w:rtl/>
        </w:rPr>
        <w:t>המשטרה</w:t>
      </w:r>
      <w:r w:rsidRPr="00DC60C3">
        <w:rPr>
          <w:rtl/>
        </w:rPr>
        <w:t xml:space="preserve"> </w:t>
      </w:r>
      <w:r w:rsidRPr="00DC60C3">
        <w:rPr>
          <w:rFonts w:hint="eastAsia"/>
          <w:rtl/>
        </w:rPr>
        <w:t>הגדירה</w:t>
      </w:r>
      <w:r w:rsidRPr="00DC60C3">
        <w:rPr>
          <w:rtl/>
        </w:rPr>
        <w:t xml:space="preserve"> </w:t>
      </w:r>
      <w:r w:rsidRPr="00DC60C3">
        <w:rPr>
          <w:rFonts w:hint="eastAsia"/>
          <w:rtl/>
        </w:rPr>
        <w:t>כחשודים</w:t>
      </w:r>
      <w:r w:rsidRPr="00DC60C3">
        <w:rPr>
          <w:rtl/>
        </w:rPr>
        <w:t xml:space="preserve"> 9,012 </w:t>
      </w:r>
      <w:r w:rsidRPr="00DC60C3">
        <w:rPr>
          <w:rFonts w:hint="eastAsia"/>
          <w:rtl/>
        </w:rPr>
        <w:t>יעדי</w:t>
      </w:r>
      <w:r w:rsidRPr="00DC60C3">
        <w:rPr>
          <w:rtl/>
        </w:rPr>
        <w:t xml:space="preserve"> </w:t>
      </w:r>
      <w:r w:rsidRPr="00DC60C3">
        <w:rPr>
          <w:rFonts w:hint="eastAsia"/>
          <w:rtl/>
        </w:rPr>
        <w:t>האזנה</w:t>
      </w:r>
      <w:r w:rsidRPr="00DC60C3">
        <w:rPr>
          <w:rtl/>
        </w:rPr>
        <w:t xml:space="preserve"> </w:t>
      </w:r>
      <w:r w:rsidRPr="00DC60C3">
        <w:rPr>
          <w:rFonts w:hint="eastAsia"/>
          <w:rtl/>
        </w:rPr>
        <w:t>מזוהים</w:t>
      </w:r>
      <w:r w:rsidRPr="00DC60C3">
        <w:rPr>
          <w:rtl/>
        </w:rPr>
        <w:t xml:space="preserve"> </w:t>
      </w:r>
      <w:r w:rsidRPr="00DC60C3">
        <w:rPr>
          <w:rFonts w:hint="eastAsia"/>
          <w:rtl/>
        </w:rPr>
        <w:t>מתוך</w:t>
      </w:r>
      <w:r w:rsidRPr="00DC60C3">
        <w:rPr>
          <w:rtl/>
        </w:rPr>
        <w:t xml:space="preserve"> 9,425 </w:t>
      </w:r>
      <w:r w:rsidRPr="00DC60C3">
        <w:rPr>
          <w:rFonts w:hint="cs"/>
          <w:rtl/>
        </w:rPr>
        <w:t xml:space="preserve">יעדי האזנה </w:t>
      </w:r>
      <w:r w:rsidRPr="00DC60C3">
        <w:rPr>
          <w:rFonts w:hint="eastAsia"/>
          <w:rtl/>
        </w:rPr>
        <w:t>וכ</w:t>
      </w:r>
      <w:r w:rsidRPr="00DC60C3">
        <w:rPr>
          <w:rtl/>
        </w:rPr>
        <w:t xml:space="preserve">-3,020 </w:t>
      </w:r>
      <w:r w:rsidRPr="00DC60C3">
        <w:rPr>
          <w:rFonts w:hint="eastAsia"/>
          <w:rtl/>
        </w:rPr>
        <w:t>יעדי</w:t>
      </w:r>
      <w:r w:rsidRPr="00DC60C3">
        <w:rPr>
          <w:rtl/>
        </w:rPr>
        <w:t xml:space="preserve"> </w:t>
      </w:r>
      <w:r w:rsidRPr="00DC60C3">
        <w:rPr>
          <w:rFonts w:hint="eastAsia"/>
          <w:rtl/>
        </w:rPr>
        <w:t>האזנה</w:t>
      </w:r>
      <w:r w:rsidRPr="00DC60C3">
        <w:rPr>
          <w:rtl/>
        </w:rPr>
        <w:t xml:space="preserve"> </w:t>
      </w:r>
      <w:r w:rsidRPr="00DC60C3">
        <w:rPr>
          <w:rFonts w:hint="eastAsia"/>
          <w:rtl/>
        </w:rPr>
        <w:t>בלתי</w:t>
      </w:r>
      <w:r w:rsidRPr="00DC60C3">
        <w:rPr>
          <w:rtl/>
        </w:rPr>
        <w:t xml:space="preserve"> </w:t>
      </w:r>
      <w:r w:rsidRPr="00DC60C3">
        <w:rPr>
          <w:rFonts w:hint="eastAsia"/>
          <w:rtl/>
        </w:rPr>
        <w:t>מזוהים</w:t>
      </w:r>
      <w:r w:rsidRPr="00DC60C3">
        <w:rPr>
          <w:rtl/>
        </w:rPr>
        <w:t xml:space="preserve"> </w:t>
      </w:r>
      <w:r w:rsidRPr="00DC60C3">
        <w:rPr>
          <w:rFonts w:hint="eastAsia"/>
          <w:rtl/>
        </w:rPr>
        <w:t>מתוך</w:t>
      </w:r>
      <w:r w:rsidRPr="00DC60C3">
        <w:rPr>
          <w:rtl/>
        </w:rPr>
        <w:t xml:space="preserve"> 3,111</w:t>
      </w:r>
      <w:r w:rsidRPr="00DC60C3">
        <w:rPr>
          <w:rFonts w:hint="cs"/>
          <w:rtl/>
        </w:rPr>
        <w:t xml:space="preserve"> יעדי האזנה</w:t>
      </w:r>
      <w:r w:rsidRPr="00DC60C3">
        <w:rPr>
          <w:rtl/>
        </w:rPr>
        <w:t xml:space="preserve"> </w:t>
      </w:r>
      <w:r w:rsidR="008868B6" w:rsidRPr="005571ED">
        <w:rPr>
          <w:rtl/>
        </w:rPr>
        <w:t xml:space="preserve">(כ-95% </w:t>
      </w:r>
      <w:r w:rsidR="008868B6" w:rsidRPr="005571ED">
        <w:rPr>
          <w:rFonts w:hint="eastAsia"/>
          <w:rtl/>
        </w:rPr>
        <w:t>מיעדי</w:t>
      </w:r>
      <w:r w:rsidR="008868B6" w:rsidRPr="005571ED">
        <w:rPr>
          <w:rtl/>
        </w:rPr>
        <w:t xml:space="preserve"> </w:t>
      </w:r>
      <w:r w:rsidR="008868B6" w:rsidRPr="005571ED">
        <w:rPr>
          <w:rFonts w:hint="eastAsia"/>
          <w:rtl/>
        </w:rPr>
        <w:t>ההאזנה</w:t>
      </w:r>
      <w:r w:rsidR="008868B6" w:rsidRPr="005571ED">
        <w:rPr>
          <w:rtl/>
        </w:rPr>
        <w:t>).</w:t>
      </w:r>
    </w:p>
    <w:p w:rsidR="00022177" w:rsidRDefault="00022177" w:rsidP="00604C3D">
      <w:pPr>
        <w:spacing w:line="269" w:lineRule="auto"/>
        <w:rPr>
          <w:rtl/>
        </w:rPr>
      </w:pPr>
    </w:p>
    <w:p w:rsidR="00DC60C3" w:rsidRPr="00DC60C3" w:rsidRDefault="00DC60C3" w:rsidP="00C56C87">
      <w:pPr>
        <w:spacing w:line="269" w:lineRule="auto"/>
        <w:ind w:left="720"/>
        <w:rPr>
          <w:rtl/>
        </w:rPr>
      </w:pPr>
      <w:r w:rsidRPr="00DC60C3">
        <w:rPr>
          <w:rFonts w:hint="cs"/>
          <w:rtl/>
        </w:rPr>
        <w:t>ככלל, שוטר ממלא את טופס הבקשה ונימוקי הבקשה באמצעות המערכת לניהול צווים ומפרט את יעדי ההאזנה</w:t>
      </w:r>
      <w:r w:rsidRPr="00DC60C3">
        <w:rPr>
          <w:vertAlign w:val="superscript"/>
          <w:rtl/>
        </w:rPr>
        <w:footnoteReference w:id="100"/>
      </w:r>
      <w:r w:rsidRPr="00DC60C3">
        <w:rPr>
          <w:rFonts w:hint="cs"/>
          <w:rtl/>
        </w:rPr>
        <w:t xml:space="preserve"> והאמצעים המואזנים</w:t>
      </w:r>
      <w:r w:rsidRPr="00DC60C3">
        <w:rPr>
          <w:vertAlign w:val="superscript"/>
          <w:rtl/>
        </w:rPr>
        <w:footnoteReference w:id="101"/>
      </w:r>
      <w:r w:rsidRPr="00DC60C3">
        <w:rPr>
          <w:rFonts w:hint="cs"/>
          <w:rtl/>
        </w:rPr>
        <w:t xml:space="preserve"> כדלקמן:</w:t>
      </w:r>
      <w:r w:rsidRPr="00DC60C3">
        <w:rPr>
          <w:rFonts w:hint="cs"/>
        </w:rPr>
        <w:t xml:space="preserve"> </w:t>
      </w:r>
    </w:p>
    <w:p w:rsidR="00DC60C3" w:rsidRPr="00DC60C3" w:rsidRDefault="00DC60C3" w:rsidP="00C56C87">
      <w:pPr>
        <w:spacing w:line="269" w:lineRule="auto"/>
        <w:ind w:left="360"/>
        <w:rPr>
          <w:rtl/>
        </w:rPr>
      </w:pPr>
    </w:p>
    <w:p w:rsidR="00DC60C3" w:rsidRDefault="00DC60C3" w:rsidP="008C598D">
      <w:pPr>
        <w:numPr>
          <w:ilvl w:val="0"/>
          <w:numId w:val="38"/>
        </w:numPr>
        <w:spacing w:line="269" w:lineRule="auto"/>
        <w:ind w:left="1080"/>
      </w:pPr>
      <w:r w:rsidRPr="00DC60C3">
        <w:rPr>
          <w:rFonts w:hint="cs"/>
          <w:rtl/>
        </w:rPr>
        <w:t xml:space="preserve">ראש טופס הבקשה </w:t>
      </w:r>
      <w:r w:rsidR="003D6F75">
        <w:rPr>
          <w:rFonts w:hint="cs"/>
          <w:rtl/>
        </w:rPr>
        <w:t>-</w:t>
      </w:r>
      <w:r w:rsidRPr="00DC60C3">
        <w:rPr>
          <w:rFonts w:hint="cs"/>
          <w:rtl/>
        </w:rPr>
        <w:t xml:space="preserve"> סעיף 1: ככלל, השוטר ממלא את פרטיהם של יעדי האזנה המוגדרים חשודים.</w:t>
      </w:r>
    </w:p>
    <w:p w:rsidR="00A36C3A" w:rsidRPr="00DC60C3" w:rsidRDefault="00A36C3A" w:rsidP="00C56C87">
      <w:pPr>
        <w:spacing w:line="269" w:lineRule="auto"/>
        <w:ind w:left="1080"/>
      </w:pPr>
    </w:p>
    <w:p w:rsidR="00DC60C3" w:rsidRDefault="00DC60C3" w:rsidP="008C598D">
      <w:pPr>
        <w:numPr>
          <w:ilvl w:val="0"/>
          <w:numId w:val="38"/>
        </w:numPr>
        <w:spacing w:line="269" w:lineRule="auto"/>
        <w:ind w:left="1080"/>
      </w:pPr>
      <w:r w:rsidRPr="00DC60C3">
        <w:rPr>
          <w:rFonts w:hint="cs"/>
          <w:rtl/>
        </w:rPr>
        <w:t xml:space="preserve">ראש טופס הבקשה </w:t>
      </w:r>
      <w:r w:rsidR="003D6F75">
        <w:rPr>
          <w:rFonts w:hint="cs"/>
          <w:rtl/>
        </w:rPr>
        <w:t>-</w:t>
      </w:r>
      <w:r w:rsidRPr="00DC60C3">
        <w:rPr>
          <w:rFonts w:hint="cs"/>
          <w:rtl/>
        </w:rPr>
        <w:t xml:space="preserve"> סעיף 1(א): השוטר יכול לציין את פרטיהם של יעדי האזנה נוספים, </w:t>
      </w:r>
      <w:r w:rsidRPr="00DC60C3">
        <w:rPr>
          <w:rtl/>
        </w:rPr>
        <w:t xml:space="preserve">ואולם, רק במקרים מועטים שאותרו על ידי משרד מבקר המדינה, השוטר נוהג למלא את סעיף 1(א) ולציין בו זהות של יעד האזנה במעמד "מואזן" </w:t>
      </w:r>
      <w:r w:rsidRPr="00DC60C3">
        <w:rPr>
          <w:rFonts w:hint="cs"/>
          <w:rtl/>
        </w:rPr>
        <w:t>(</w:t>
      </w:r>
      <w:r w:rsidRPr="00DC60C3">
        <w:rPr>
          <w:rtl/>
        </w:rPr>
        <w:t>שאינו חשוד</w:t>
      </w:r>
      <w:r w:rsidRPr="00DC60C3">
        <w:rPr>
          <w:rFonts w:hint="cs"/>
          <w:rtl/>
        </w:rPr>
        <w:t>).</w:t>
      </w:r>
    </w:p>
    <w:p w:rsidR="00A36C3A" w:rsidRPr="00DC60C3" w:rsidRDefault="00A36C3A" w:rsidP="00C56C87">
      <w:pPr>
        <w:spacing w:line="269" w:lineRule="auto"/>
        <w:ind w:left="720"/>
      </w:pPr>
    </w:p>
    <w:p w:rsidR="00DC60C3" w:rsidRDefault="00DC60C3" w:rsidP="008C598D">
      <w:pPr>
        <w:numPr>
          <w:ilvl w:val="0"/>
          <w:numId w:val="38"/>
        </w:numPr>
        <w:spacing w:line="269" w:lineRule="auto"/>
        <w:ind w:left="1080"/>
      </w:pPr>
      <w:r w:rsidRPr="00DC60C3">
        <w:rPr>
          <w:rFonts w:hint="cs"/>
          <w:rtl/>
        </w:rPr>
        <w:t xml:space="preserve">ראש טופס הבקשה </w:t>
      </w:r>
      <w:r w:rsidR="003D6F75">
        <w:rPr>
          <w:rFonts w:hint="cs"/>
          <w:rtl/>
        </w:rPr>
        <w:t>-</w:t>
      </w:r>
      <w:r w:rsidRPr="00DC60C3">
        <w:rPr>
          <w:rFonts w:hint="cs"/>
          <w:rtl/>
        </w:rPr>
        <w:t xml:space="preserve"> סעיף 1(ב): השוטר ממלא את פרטי </w:t>
      </w:r>
      <w:r w:rsidRPr="00DC60C3">
        <w:rPr>
          <w:rtl/>
        </w:rPr>
        <w:t xml:space="preserve">האמצעים </w:t>
      </w:r>
      <w:r w:rsidRPr="00DC60C3">
        <w:rPr>
          <w:rFonts w:hint="cs"/>
          <w:rtl/>
        </w:rPr>
        <w:t>המואזנים. ואולם, רק</w:t>
      </w:r>
      <w:r w:rsidRPr="00DC60C3">
        <w:rPr>
          <w:rtl/>
        </w:rPr>
        <w:t xml:space="preserve"> </w:t>
      </w:r>
      <w:r w:rsidRPr="00DC60C3">
        <w:rPr>
          <w:rFonts w:hint="cs"/>
          <w:rtl/>
        </w:rPr>
        <w:t>במקרים</w:t>
      </w:r>
      <w:r w:rsidRPr="00DC60C3">
        <w:rPr>
          <w:rtl/>
        </w:rPr>
        <w:t xml:space="preserve"> </w:t>
      </w:r>
      <w:r w:rsidRPr="00DC60C3">
        <w:rPr>
          <w:rFonts w:hint="cs"/>
          <w:rtl/>
        </w:rPr>
        <w:t>מועטים</w:t>
      </w:r>
      <w:r w:rsidRPr="00DC60C3">
        <w:rPr>
          <w:rtl/>
        </w:rPr>
        <w:t xml:space="preserve"> </w:t>
      </w:r>
      <w:r w:rsidRPr="00DC60C3">
        <w:rPr>
          <w:rFonts w:hint="cs"/>
          <w:rtl/>
        </w:rPr>
        <w:t>שאותרו,</w:t>
      </w:r>
      <w:r w:rsidRPr="00DC60C3">
        <w:rPr>
          <w:rtl/>
        </w:rPr>
        <w:t xml:space="preserve"> השוטר </w:t>
      </w:r>
      <w:r w:rsidRPr="00DC60C3">
        <w:rPr>
          <w:rFonts w:hint="cs"/>
          <w:rtl/>
        </w:rPr>
        <w:t xml:space="preserve">הרחיב את האמור </w:t>
      </w:r>
      <w:r w:rsidRPr="00DC60C3">
        <w:rPr>
          <w:rtl/>
        </w:rPr>
        <w:t>ב</w:t>
      </w:r>
      <w:r w:rsidRPr="00DC60C3">
        <w:rPr>
          <w:rFonts w:hint="cs"/>
          <w:rtl/>
        </w:rPr>
        <w:t xml:space="preserve">סעיף 1(ב) וציין לצד האמצעי המואזן את </w:t>
      </w:r>
      <w:r w:rsidRPr="00DC60C3">
        <w:rPr>
          <w:rtl/>
        </w:rPr>
        <w:t xml:space="preserve">זהות </w:t>
      </w:r>
      <w:r w:rsidRPr="00DC60C3">
        <w:rPr>
          <w:rFonts w:hint="cs"/>
          <w:rtl/>
        </w:rPr>
        <w:t xml:space="preserve">יעד ההאזנה ("מואזן" או חשוד) </w:t>
      </w:r>
      <w:r w:rsidRPr="00DC60C3">
        <w:rPr>
          <w:rtl/>
        </w:rPr>
        <w:t xml:space="preserve">שעושה שימוש </w:t>
      </w:r>
      <w:r w:rsidRPr="00DC60C3">
        <w:rPr>
          <w:rFonts w:hint="cs"/>
          <w:rtl/>
        </w:rPr>
        <w:t>במכשיר</w:t>
      </w:r>
      <w:r w:rsidRPr="00DC60C3">
        <w:rPr>
          <w:rtl/>
        </w:rPr>
        <w:t>.</w:t>
      </w:r>
    </w:p>
    <w:p w:rsidR="00A36C3A" w:rsidRPr="00DC60C3" w:rsidRDefault="00A36C3A" w:rsidP="00C56C87">
      <w:pPr>
        <w:spacing w:line="269" w:lineRule="auto"/>
        <w:ind w:left="720"/>
      </w:pPr>
    </w:p>
    <w:p w:rsidR="00DC60C3" w:rsidRPr="00DC60C3" w:rsidRDefault="00DC60C3" w:rsidP="008C598D">
      <w:pPr>
        <w:numPr>
          <w:ilvl w:val="0"/>
          <w:numId w:val="38"/>
        </w:numPr>
        <w:spacing w:line="269" w:lineRule="auto"/>
        <w:ind w:left="1080"/>
      </w:pPr>
      <w:r w:rsidRPr="00DC60C3">
        <w:rPr>
          <w:rFonts w:hint="cs"/>
          <w:rtl/>
        </w:rPr>
        <w:t xml:space="preserve">נימוקי הבקשה </w:t>
      </w:r>
      <w:r w:rsidR="003D6F75">
        <w:rPr>
          <w:rFonts w:hint="cs"/>
          <w:rtl/>
        </w:rPr>
        <w:t>-</w:t>
      </w:r>
      <w:r w:rsidRPr="00DC60C3">
        <w:rPr>
          <w:rFonts w:hint="cs"/>
          <w:rtl/>
        </w:rPr>
        <w:t xml:space="preserve"> השוטר יכול לציין את פרטי יעדי ההאזנה שמוגדרים "מואזן" (</w:t>
      </w:r>
      <w:r w:rsidRPr="00DC60C3">
        <w:rPr>
          <w:rtl/>
        </w:rPr>
        <w:t>שאינו חשוד</w:t>
      </w:r>
      <w:r w:rsidRPr="00DC60C3">
        <w:rPr>
          <w:rFonts w:hint="cs"/>
          <w:rtl/>
        </w:rPr>
        <w:t>).</w:t>
      </w:r>
    </w:p>
    <w:p w:rsidR="0064295F" w:rsidRDefault="0064295F" w:rsidP="00C56C87">
      <w:pPr>
        <w:spacing w:line="269" w:lineRule="auto"/>
        <w:ind w:left="720"/>
        <w:rPr>
          <w:rtl/>
        </w:rPr>
      </w:pPr>
    </w:p>
    <w:p w:rsidR="00E12017" w:rsidRPr="00880AE9" w:rsidRDefault="00DC60C3" w:rsidP="00C56C87">
      <w:pPr>
        <w:spacing w:line="269" w:lineRule="auto"/>
        <w:ind w:left="720"/>
        <w:rPr>
          <w:rtl/>
        </w:rPr>
      </w:pPr>
      <w:r w:rsidRPr="00DC60C3">
        <w:rPr>
          <w:rFonts w:hint="cs"/>
          <w:rtl/>
        </w:rPr>
        <w:t>יוצא אפוא כי פרטיהם של יעדי האזנה המוגדרים כ"מואזנים" (שאינם חשודים) שמורים במערכת לניהול צווים אך בדרך כלל אינם מפורטים בראש הבקשה לצו והם יופיעו ככלל בנימוקי הבקשה בלבד. להלן דוגמא לבקשה:</w:t>
      </w:r>
      <w:r w:rsidR="00382AE8">
        <w:rPr>
          <w:rFonts w:hint="cs"/>
          <w:rtl/>
        </w:rPr>
        <w:t xml:space="preserve"> </w:t>
      </w:r>
    </w:p>
    <w:p w:rsidR="002B0E02" w:rsidRDefault="002B0E02" w:rsidP="00604C3D">
      <w:pPr>
        <w:spacing w:line="269" w:lineRule="auto"/>
        <w:ind w:left="-2"/>
        <w:jc w:val="center"/>
        <w:rPr>
          <w:rtl/>
        </w:rPr>
      </w:pPr>
    </w:p>
    <w:p w:rsidR="008868B6" w:rsidRDefault="00822FD9" w:rsidP="00C56C87">
      <w:pPr>
        <w:keepNext/>
        <w:keepLines/>
        <w:spacing w:line="269" w:lineRule="auto"/>
        <w:jc w:val="left"/>
        <w:rPr>
          <w:b/>
          <w:bCs/>
          <w:rtl/>
        </w:rPr>
      </w:pPr>
      <w:r>
        <w:rPr>
          <w:rFonts w:hint="cs"/>
          <w:rtl/>
        </w:rPr>
        <w:t>תמונה 1</w:t>
      </w:r>
      <w:r w:rsidR="008868B6" w:rsidRPr="00BF3877">
        <w:rPr>
          <w:rtl/>
        </w:rPr>
        <w:t>:</w:t>
      </w:r>
      <w:r w:rsidR="008868B6">
        <w:rPr>
          <w:rFonts w:hint="cs"/>
          <w:b/>
          <w:bCs/>
          <w:rtl/>
        </w:rPr>
        <w:t xml:space="preserve"> תצלום של </w:t>
      </w:r>
      <w:r w:rsidR="008868B6" w:rsidRPr="00C33ACD">
        <w:rPr>
          <w:rFonts w:hint="cs"/>
          <w:b/>
          <w:bCs/>
          <w:rtl/>
        </w:rPr>
        <w:t>בקשה לצו האזנת סתר</w:t>
      </w:r>
      <w:r w:rsidR="008868B6">
        <w:rPr>
          <w:rFonts w:hint="cs"/>
          <w:b/>
          <w:bCs/>
          <w:rtl/>
        </w:rPr>
        <w:t xml:space="preserve"> שלא מצוינים בה פרטיהם של כל יעדי ההאזנה</w:t>
      </w:r>
      <w:r w:rsidR="008868B6" w:rsidRPr="00C33ACD">
        <w:rPr>
          <w:rFonts w:hint="cs"/>
          <w:b/>
          <w:bCs/>
          <w:rtl/>
        </w:rPr>
        <w:t xml:space="preserve"> </w:t>
      </w:r>
    </w:p>
    <w:p w:rsidR="008868B6" w:rsidRDefault="009E3047" w:rsidP="00C56C87">
      <w:pPr>
        <w:spacing w:line="269" w:lineRule="auto"/>
        <w:ind w:left="-711" w:firstLine="709"/>
        <w:jc w:val="center"/>
        <w:rPr>
          <w:b/>
          <w:bCs/>
          <w:rtl/>
        </w:rPr>
      </w:pPr>
      <w:r>
        <w:rPr>
          <w:noProof/>
        </w:rPr>
        <w:drawing>
          <wp:inline distT="0" distB="0" distL="0" distR="0" wp14:anchorId="6DC07292" wp14:editId="22CC6368">
            <wp:extent cx="6073126" cy="3001992"/>
            <wp:effectExtent l="0" t="0" r="4445" b="825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טופס בקשה.png"/>
                    <pic:cNvPicPr/>
                  </pic:nvPicPr>
                  <pic:blipFill rotWithShape="1">
                    <a:blip r:embed="rId18">
                      <a:extLst>
                        <a:ext uri="{28A0092B-C50C-407E-A947-70E740481C1C}">
                          <a14:useLocalDpi xmlns:a14="http://schemas.microsoft.com/office/drawing/2010/main" val="0"/>
                        </a:ext>
                      </a:extLst>
                    </a:blip>
                    <a:srcRect l="704" t="2409" r="13919" b="17269"/>
                    <a:stretch/>
                  </pic:blipFill>
                  <pic:spPr bwMode="auto">
                    <a:xfrm>
                      <a:off x="0" y="0"/>
                      <a:ext cx="6127898" cy="3029066"/>
                    </a:xfrm>
                    <a:prstGeom prst="rect">
                      <a:avLst/>
                    </a:prstGeom>
                    <a:ln>
                      <a:noFill/>
                    </a:ln>
                    <a:extLst>
                      <a:ext uri="{53640926-AAD7-44D8-BBD7-CCE9431645EC}">
                        <a14:shadowObscured xmlns:a14="http://schemas.microsoft.com/office/drawing/2010/main"/>
                      </a:ext>
                    </a:extLst>
                  </pic:spPr>
                </pic:pic>
              </a:graphicData>
            </a:graphic>
          </wp:inline>
        </w:drawing>
      </w:r>
    </w:p>
    <w:p w:rsidR="000E2140" w:rsidRPr="000E2140" w:rsidRDefault="000E2140" w:rsidP="00C56C87">
      <w:pPr>
        <w:spacing w:line="269" w:lineRule="auto"/>
        <w:ind w:left="-2" w:firstLine="722"/>
        <w:jc w:val="left"/>
        <w:rPr>
          <w:szCs w:val="20"/>
          <w:rtl/>
        </w:rPr>
      </w:pPr>
      <w:r w:rsidRPr="000E2140">
        <w:rPr>
          <w:rFonts w:hint="cs"/>
          <w:szCs w:val="20"/>
          <w:rtl/>
        </w:rPr>
        <w:t>המקור: משטרת ישראל</w:t>
      </w:r>
      <w:r w:rsidR="0064295F">
        <w:rPr>
          <w:rFonts w:hint="cs"/>
          <w:szCs w:val="20"/>
          <w:rtl/>
        </w:rPr>
        <w:t>.</w:t>
      </w:r>
    </w:p>
    <w:p w:rsidR="002B0E02" w:rsidRDefault="002B0E02" w:rsidP="00604C3D">
      <w:pPr>
        <w:pStyle w:val="a5"/>
        <w:spacing w:line="269" w:lineRule="auto"/>
        <w:ind w:left="0"/>
        <w:rPr>
          <w:rtl/>
        </w:rPr>
      </w:pPr>
    </w:p>
    <w:p w:rsidR="008868B6" w:rsidRDefault="008868B6" w:rsidP="00C56C87">
      <w:pPr>
        <w:spacing w:line="269" w:lineRule="auto"/>
        <w:ind w:left="720"/>
        <w:rPr>
          <w:rtl/>
        </w:rPr>
      </w:pPr>
      <w:r w:rsidRPr="00602FE1">
        <w:rPr>
          <w:rFonts w:hint="cs"/>
          <w:rtl/>
        </w:rPr>
        <w:t>מכל</w:t>
      </w:r>
      <w:r w:rsidRPr="00602FE1">
        <w:rPr>
          <w:rtl/>
        </w:rPr>
        <w:t xml:space="preserve"> מקום, פרטי כלל היעדים, "</w:t>
      </w:r>
      <w:r w:rsidRPr="00602FE1">
        <w:rPr>
          <w:rFonts w:hint="cs"/>
          <w:rtl/>
        </w:rPr>
        <w:t>מואזנים</w:t>
      </w:r>
      <w:r w:rsidRPr="00602FE1">
        <w:rPr>
          <w:rtl/>
        </w:rPr>
        <w:t xml:space="preserve">" וחשודים, </w:t>
      </w:r>
      <w:r w:rsidRPr="00602FE1">
        <w:rPr>
          <w:rFonts w:hint="cs"/>
          <w:rtl/>
        </w:rPr>
        <w:t>מצוינים</w:t>
      </w:r>
      <w:r>
        <w:rPr>
          <w:rtl/>
        </w:rPr>
        <w:t xml:space="preserve"> </w:t>
      </w:r>
      <w:r w:rsidR="00DB309B">
        <w:rPr>
          <w:rFonts w:hint="cs"/>
          <w:rtl/>
        </w:rPr>
        <w:t>ב</w:t>
      </w:r>
      <w:r w:rsidR="00CD523C" w:rsidRPr="00CD523C">
        <w:rPr>
          <w:rtl/>
        </w:rPr>
        <w:t>נימוקי הבקשה</w:t>
      </w:r>
      <w:r w:rsidRPr="00602FE1">
        <w:rPr>
          <w:rtl/>
        </w:rPr>
        <w:t>.</w:t>
      </w:r>
      <w:r>
        <w:rPr>
          <w:rtl/>
        </w:rPr>
        <w:t xml:space="preserve"> </w:t>
      </w:r>
      <w:r w:rsidRPr="00602FE1">
        <w:rPr>
          <w:rtl/>
        </w:rPr>
        <w:t xml:space="preserve">להלן דוגמה </w:t>
      </w:r>
      <w:r w:rsidR="00CD523C">
        <w:rPr>
          <w:rFonts w:hint="cs"/>
          <w:rtl/>
        </w:rPr>
        <w:t>למסמך נימוקי הבקשה</w:t>
      </w:r>
      <w:r w:rsidRPr="00602FE1">
        <w:rPr>
          <w:rtl/>
        </w:rPr>
        <w:t>:</w:t>
      </w:r>
    </w:p>
    <w:p w:rsidR="002B0E02" w:rsidRDefault="002B0E02" w:rsidP="00604C3D">
      <w:pPr>
        <w:spacing w:line="269" w:lineRule="auto"/>
        <w:ind w:left="-2"/>
        <w:jc w:val="center"/>
        <w:rPr>
          <w:rtl/>
        </w:rPr>
      </w:pPr>
    </w:p>
    <w:p w:rsidR="008868B6" w:rsidRDefault="00F32585" w:rsidP="00C56C87">
      <w:pPr>
        <w:spacing w:line="269" w:lineRule="auto"/>
        <w:ind w:left="-2" w:firstLine="2"/>
        <w:jc w:val="center"/>
        <w:rPr>
          <w:b/>
          <w:bCs/>
          <w:rtl/>
        </w:rPr>
      </w:pPr>
      <w:r>
        <w:rPr>
          <w:b/>
          <w:bCs/>
          <w:noProof/>
        </w:rPr>
        <w:drawing>
          <wp:anchor distT="0" distB="0" distL="114300" distR="114300" simplePos="0" relativeHeight="251668480" behindDoc="0" locked="0" layoutInCell="1" allowOverlap="1" wp14:anchorId="35D63201" wp14:editId="49595EA5">
            <wp:simplePos x="0" y="0"/>
            <wp:positionH relativeFrom="margin">
              <wp:posOffset>422275</wp:posOffset>
            </wp:positionH>
            <wp:positionV relativeFrom="paragraph">
              <wp:posOffset>220980</wp:posOffset>
            </wp:positionV>
            <wp:extent cx="4379595" cy="1502410"/>
            <wp:effectExtent l="0" t="0" r="1905" b="2540"/>
            <wp:wrapTopAndBottom/>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9595" cy="1502410"/>
                    </a:xfrm>
                    <a:prstGeom prst="rect">
                      <a:avLst/>
                    </a:prstGeom>
                    <a:noFill/>
                  </pic:spPr>
                </pic:pic>
              </a:graphicData>
            </a:graphic>
          </wp:anchor>
        </w:drawing>
      </w:r>
      <w:r w:rsidR="00822FD9">
        <w:rPr>
          <w:rFonts w:hint="cs"/>
          <w:rtl/>
        </w:rPr>
        <w:t>תמונה 2</w:t>
      </w:r>
      <w:r w:rsidR="008868B6" w:rsidRPr="00BF3877">
        <w:rPr>
          <w:rtl/>
        </w:rPr>
        <w:t>:</w:t>
      </w:r>
      <w:r w:rsidR="008868B6">
        <w:rPr>
          <w:rFonts w:hint="cs"/>
          <w:b/>
          <w:bCs/>
          <w:rtl/>
        </w:rPr>
        <w:t xml:space="preserve"> תצלום של </w:t>
      </w:r>
      <w:r w:rsidR="00CD523C" w:rsidRPr="00CD523C">
        <w:rPr>
          <w:b/>
          <w:bCs/>
          <w:rtl/>
        </w:rPr>
        <w:t>נימוקי הבקשה</w:t>
      </w:r>
      <w:r w:rsidR="00DB309B">
        <w:rPr>
          <w:rFonts w:hint="cs"/>
          <w:b/>
          <w:bCs/>
          <w:rtl/>
        </w:rPr>
        <w:t xml:space="preserve"> להאזנת סתר</w:t>
      </w:r>
      <w:r w:rsidR="00CD523C" w:rsidRPr="00CD523C">
        <w:rPr>
          <w:b/>
          <w:bCs/>
          <w:rtl/>
        </w:rPr>
        <w:t xml:space="preserve"> </w:t>
      </w:r>
    </w:p>
    <w:p w:rsidR="000E2140" w:rsidRDefault="000E2140" w:rsidP="00C56C87">
      <w:pPr>
        <w:spacing w:line="269" w:lineRule="auto"/>
        <w:ind w:firstLine="720"/>
        <w:rPr>
          <w:rtl/>
        </w:rPr>
      </w:pPr>
      <w:r w:rsidRPr="000E2140">
        <w:rPr>
          <w:rFonts w:hint="cs"/>
          <w:szCs w:val="20"/>
          <w:rtl/>
        </w:rPr>
        <w:t>המקור: משטרת ישראל</w:t>
      </w:r>
      <w:r w:rsidR="0064295F">
        <w:rPr>
          <w:rFonts w:hint="cs"/>
          <w:rtl/>
        </w:rPr>
        <w:t>.</w:t>
      </w:r>
    </w:p>
    <w:p w:rsidR="002B0E02" w:rsidRDefault="002B0E02" w:rsidP="00604C3D">
      <w:pPr>
        <w:spacing w:line="269" w:lineRule="auto"/>
        <w:rPr>
          <w:b/>
          <w:bCs/>
          <w:rtl/>
        </w:rPr>
      </w:pPr>
      <w:bookmarkStart w:id="255" w:name="_Hlk190064549"/>
    </w:p>
    <w:p w:rsidR="006761DF" w:rsidRDefault="0081396D" w:rsidP="00925079">
      <w:pPr>
        <w:spacing w:line="269" w:lineRule="auto"/>
        <w:ind w:left="720"/>
        <w:rPr>
          <w:b/>
          <w:bCs/>
          <w:rtl/>
        </w:rPr>
      </w:pPr>
      <w:r w:rsidRPr="0081396D">
        <w:rPr>
          <w:rFonts w:hint="cs"/>
          <w:b/>
          <w:bCs/>
          <w:rtl/>
        </w:rPr>
        <w:t>משרד מבקר המדינה בחן את נוסח הבקשות</w:t>
      </w:r>
      <w:r w:rsidR="0049609C">
        <w:rPr>
          <w:rFonts w:hint="cs"/>
          <w:b/>
          <w:bCs/>
          <w:rtl/>
        </w:rPr>
        <w:t xml:space="preserve"> </w:t>
      </w:r>
      <w:r w:rsidRPr="0081396D">
        <w:rPr>
          <w:rFonts w:hint="cs"/>
          <w:b/>
          <w:bCs/>
          <w:rtl/>
        </w:rPr>
        <w:t>המוגשות לבית המשפט</w:t>
      </w:r>
      <w:r w:rsidR="00822FD9">
        <w:rPr>
          <w:rFonts w:hint="cs"/>
          <w:b/>
          <w:bCs/>
          <w:rtl/>
        </w:rPr>
        <w:t>, את נוסח</w:t>
      </w:r>
      <w:r w:rsidRPr="0081396D">
        <w:rPr>
          <w:rFonts w:hint="cs"/>
          <w:b/>
          <w:bCs/>
          <w:rtl/>
        </w:rPr>
        <w:t xml:space="preserve"> </w:t>
      </w:r>
      <w:r w:rsidR="00A278C3">
        <w:rPr>
          <w:rFonts w:hint="cs"/>
          <w:b/>
          <w:bCs/>
          <w:rtl/>
        </w:rPr>
        <w:t>נימוקי הבקשות</w:t>
      </w:r>
      <w:r w:rsidR="006761DF">
        <w:rPr>
          <w:rFonts w:hint="cs"/>
          <w:b/>
          <w:bCs/>
          <w:rtl/>
        </w:rPr>
        <w:t xml:space="preserve"> ו</w:t>
      </w:r>
      <w:r w:rsidR="00822FD9">
        <w:rPr>
          <w:rFonts w:hint="cs"/>
          <w:b/>
          <w:bCs/>
          <w:rtl/>
        </w:rPr>
        <w:t xml:space="preserve">את נוסח </w:t>
      </w:r>
      <w:r w:rsidR="006761DF">
        <w:rPr>
          <w:rFonts w:hint="cs"/>
          <w:b/>
          <w:bCs/>
          <w:rtl/>
        </w:rPr>
        <w:t>צווי בית המשפט החתומים</w:t>
      </w:r>
      <w:r w:rsidR="008868B6">
        <w:rPr>
          <w:rFonts w:hint="cs"/>
          <w:b/>
          <w:bCs/>
          <w:rtl/>
        </w:rPr>
        <w:t xml:space="preserve">. </w:t>
      </w:r>
      <w:r w:rsidR="00263839">
        <w:rPr>
          <w:rFonts w:hint="cs"/>
          <w:b/>
          <w:bCs/>
          <w:rtl/>
        </w:rPr>
        <w:t>מ</w:t>
      </w:r>
      <w:r w:rsidR="00A92BC2">
        <w:rPr>
          <w:rFonts w:hint="cs"/>
          <w:b/>
          <w:bCs/>
          <w:rtl/>
        </w:rPr>
        <w:t xml:space="preserve">בדיקת </w:t>
      </w:r>
      <w:r w:rsidR="00263839">
        <w:rPr>
          <w:rFonts w:hint="cs"/>
          <w:b/>
          <w:bCs/>
          <w:rtl/>
        </w:rPr>
        <w:t>ה</w:t>
      </w:r>
      <w:r w:rsidR="006761DF">
        <w:rPr>
          <w:rFonts w:hint="cs"/>
          <w:b/>
          <w:bCs/>
          <w:rtl/>
        </w:rPr>
        <w:t>נוסח</w:t>
      </w:r>
      <w:r w:rsidR="00A92BC2">
        <w:rPr>
          <w:rFonts w:hint="cs"/>
          <w:b/>
          <w:bCs/>
          <w:rtl/>
        </w:rPr>
        <w:t>ים</w:t>
      </w:r>
      <w:r w:rsidR="00822FD9">
        <w:rPr>
          <w:rFonts w:hint="cs"/>
          <w:b/>
          <w:bCs/>
          <w:rtl/>
        </w:rPr>
        <w:t xml:space="preserve"> </w:t>
      </w:r>
      <w:r w:rsidR="008868B6">
        <w:rPr>
          <w:rFonts w:hint="cs"/>
          <w:b/>
          <w:bCs/>
          <w:rtl/>
        </w:rPr>
        <w:t xml:space="preserve">עולה כי </w:t>
      </w:r>
      <w:r w:rsidR="000C6B5C">
        <w:rPr>
          <w:rFonts w:hint="cs"/>
          <w:b/>
          <w:bCs/>
          <w:rtl/>
        </w:rPr>
        <w:t xml:space="preserve">המשטרה נוהגת לרשום את </w:t>
      </w:r>
      <w:r w:rsidR="008868B6">
        <w:rPr>
          <w:rFonts w:hint="cs"/>
          <w:b/>
          <w:bCs/>
          <w:rtl/>
        </w:rPr>
        <w:t xml:space="preserve">זהות יעד </w:t>
      </w:r>
      <w:r w:rsidR="00822FD9">
        <w:rPr>
          <w:rFonts w:hint="cs"/>
          <w:b/>
          <w:bCs/>
          <w:rtl/>
        </w:rPr>
        <w:t>ה</w:t>
      </w:r>
      <w:r w:rsidR="008868B6">
        <w:rPr>
          <w:rFonts w:hint="cs"/>
          <w:b/>
          <w:bCs/>
          <w:rtl/>
        </w:rPr>
        <w:t>האזנה ש</w:t>
      </w:r>
      <w:r w:rsidR="006761DF">
        <w:rPr>
          <w:rFonts w:hint="cs"/>
          <w:b/>
          <w:bCs/>
          <w:rtl/>
        </w:rPr>
        <w:t>הוא</w:t>
      </w:r>
      <w:r w:rsidR="00A92BC2">
        <w:rPr>
          <w:rFonts w:hint="cs"/>
          <w:b/>
          <w:bCs/>
          <w:rtl/>
        </w:rPr>
        <w:t xml:space="preserve"> במעמד</w:t>
      </w:r>
      <w:r w:rsidR="006761DF">
        <w:rPr>
          <w:rFonts w:hint="cs"/>
          <w:b/>
          <w:bCs/>
          <w:rtl/>
        </w:rPr>
        <w:t xml:space="preserve"> "מואזן" ו</w:t>
      </w:r>
      <w:r w:rsidR="008868B6">
        <w:rPr>
          <w:rFonts w:hint="cs"/>
          <w:b/>
          <w:bCs/>
          <w:rtl/>
        </w:rPr>
        <w:t xml:space="preserve">אינו חשוד רק </w:t>
      </w:r>
      <w:r w:rsidR="00FA0BB3">
        <w:rPr>
          <w:rFonts w:hint="cs"/>
          <w:b/>
          <w:bCs/>
          <w:rtl/>
        </w:rPr>
        <w:t>במסמך הנימוקים</w:t>
      </w:r>
      <w:r w:rsidR="008868B6">
        <w:rPr>
          <w:rFonts w:hint="cs"/>
          <w:b/>
          <w:bCs/>
          <w:rtl/>
        </w:rPr>
        <w:t xml:space="preserve">. </w:t>
      </w:r>
      <w:bookmarkStart w:id="256" w:name="_Hlk156728064"/>
      <w:r w:rsidR="008868B6">
        <w:rPr>
          <w:rFonts w:hint="cs"/>
          <w:b/>
          <w:bCs/>
          <w:rtl/>
        </w:rPr>
        <w:t xml:space="preserve">יוצא אפוא כי </w:t>
      </w:r>
      <w:r w:rsidR="00E27E3A">
        <w:rPr>
          <w:rFonts w:hint="cs"/>
          <w:b/>
          <w:bCs/>
          <w:rtl/>
        </w:rPr>
        <w:t xml:space="preserve">יש יעדי האזנה שבכוונת המשטרה להאזין להם, אבל בבקשות שהיא מכינה הם לא מפורטים בראש טופס הבקשה רק משום שאינם חשודים בעבירות </w:t>
      </w:r>
      <w:r w:rsidR="00A12425">
        <w:rPr>
          <w:rFonts w:hint="cs"/>
          <w:b/>
          <w:bCs/>
          <w:rtl/>
        </w:rPr>
        <w:t xml:space="preserve">מושא </w:t>
      </w:r>
      <w:r w:rsidR="00E27E3A">
        <w:rPr>
          <w:rFonts w:hint="cs"/>
          <w:b/>
          <w:bCs/>
          <w:rtl/>
        </w:rPr>
        <w:t xml:space="preserve">הפרשייה. </w:t>
      </w:r>
      <w:bookmarkEnd w:id="256"/>
    </w:p>
    <w:p w:rsidR="002B0E02" w:rsidRDefault="002B0E02" w:rsidP="00925079">
      <w:pPr>
        <w:spacing w:line="269" w:lineRule="auto"/>
        <w:ind w:left="720"/>
        <w:rPr>
          <w:b/>
          <w:bCs/>
          <w:rtl/>
        </w:rPr>
      </w:pPr>
      <w:bookmarkStart w:id="257" w:name="_Hlk185148884"/>
      <w:bookmarkEnd w:id="255"/>
    </w:p>
    <w:p w:rsidR="003C1AF9" w:rsidRPr="003C1AF9" w:rsidRDefault="00844DAF" w:rsidP="00925079">
      <w:pPr>
        <w:spacing w:line="269" w:lineRule="auto"/>
        <w:ind w:left="720"/>
        <w:rPr>
          <w:b/>
          <w:bCs/>
          <w:rtl/>
        </w:rPr>
      </w:pPr>
      <w:r>
        <w:rPr>
          <w:rFonts w:hint="cs"/>
          <w:b/>
          <w:bCs/>
          <w:rtl/>
        </w:rPr>
        <w:t>משמעות הדבר בפועל היא</w:t>
      </w:r>
      <w:r w:rsidR="003C1AF9" w:rsidRPr="003C1AF9">
        <w:rPr>
          <w:rFonts w:hint="cs"/>
          <w:b/>
          <w:bCs/>
          <w:rtl/>
        </w:rPr>
        <w:t xml:space="preserve"> כי </w:t>
      </w:r>
      <w:r w:rsidR="00F26810">
        <w:rPr>
          <w:rFonts w:hint="cs"/>
          <w:b/>
          <w:bCs/>
          <w:rtl/>
        </w:rPr>
        <w:t>המשטרה נוהגת</w:t>
      </w:r>
      <w:r w:rsidR="003C1AF9" w:rsidRPr="003C1AF9">
        <w:rPr>
          <w:rFonts w:hint="cs"/>
          <w:b/>
          <w:bCs/>
          <w:rtl/>
        </w:rPr>
        <w:t xml:space="preserve"> לרשום את זהות יעד ההאזנה שהוא חשוד בפרשייה בראש הבקשה, </w:t>
      </w:r>
      <w:r w:rsidR="00F26810">
        <w:rPr>
          <w:rFonts w:hint="cs"/>
          <w:b/>
          <w:bCs/>
          <w:rtl/>
        </w:rPr>
        <w:t xml:space="preserve">אף אם </w:t>
      </w:r>
      <w:r w:rsidR="003C1AF9" w:rsidRPr="003C1AF9">
        <w:rPr>
          <w:rFonts w:hint="cs"/>
          <w:b/>
          <w:bCs/>
          <w:rtl/>
        </w:rPr>
        <w:t xml:space="preserve">אין בכוונתה להאזין </w:t>
      </w:r>
      <w:r w:rsidR="00822FD9" w:rsidRPr="003C1AF9">
        <w:rPr>
          <w:rFonts w:hint="cs"/>
          <w:b/>
          <w:bCs/>
          <w:rtl/>
        </w:rPr>
        <w:t>ל</w:t>
      </w:r>
      <w:r w:rsidR="00822FD9">
        <w:rPr>
          <w:rFonts w:hint="cs"/>
          <w:b/>
          <w:bCs/>
          <w:rtl/>
        </w:rPr>
        <w:t>ו</w:t>
      </w:r>
      <w:r w:rsidR="003C1AF9" w:rsidRPr="003C1AF9">
        <w:rPr>
          <w:rFonts w:hint="cs"/>
          <w:b/>
          <w:bCs/>
          <w:rtl/>
        </w:rPr>
        <w:t>.</w:t>
      </w:r>
      <w:r w:rsidR="0049609C">
        <w:rPr>
          <w:rFonts w:hint="cs"/>
          <w:b/>
          <w:bCs/>
          <w:rtl/>
        </w:rPr>
        <w:t xml:space="preserve"> </w:t>
      </w:r>
    </w:p>
    <w:bookmarkEnd w:id="257"/>
    <w:p w:rsidR="006761DF" w:rsidRDefault="006761DF" w:rsidP="00925079">
      <w:pPr>
        <w:pStyle w:val="a5"/>
        <w:spacing w:line="269" w:lineRule="auto"/>
        <w:ind w:left="153"/>
        <w:rPr>
          <w:rtl/>
        </w:rPr>
      </w:pPr>
    </w:p>
    <w:p w:rsidR="006761DF" w:rsidRDefault="006761DF" w:rsidP="00925079">
      <w:pPr>
        <w:spacing w:line="269" w:lineRule="auto"/>
        <w:ind w:left="720"/>
        <w:rPr>
          <w:rtl/>
        </w:rPr>
      </w:pPr>
      <w:r w:rsidRPr="005571ED">
        <w:rPr>
          <w:rFonts w:hint="eastAsia"/>
          <w:rtl/>
        </w:rPr>
        <w:t>המשטרה</w:t>
      </w:r>
      <w:r w:rsidRPr="005571ED">
        <w:rPr>
          <w:rtl/>
        </w:rPr>
        <w:t xml:space="preserve"> מסרה</w:t>
      </w:r>
      <w:r w:rsidR="006B2F70">
        <w:rPr>
          <w:rFonts w:hint="cs"/>
          <w:rtl/>
        </w:rPr>
        <w:t xml:space="preserve"> בתשובתה</w:t>
      </w:r>
      <w:r w:rsidRPr="005571ED">
        <w:rPr>
          <w:rtl/>
        </w:rPr>
        <w:t xml:space="preserve"> כי </w:t>
      </w:r>
      <w:r w:rsidRPr="005571ED">
        <w:rPr>
          <w:rFonts w:hint="eastAsia"/>
          <w:rtl/>
        </w:rPr>
        <w:t>מבנה</w:t>
      </w:r>
      <w:r w:rsidRPr="005571ED">
        <w:rPr>
          <w:rtl/>
        </w:rPr>
        <w:t xml:space="preserve"> </w:t>
      </w:r>
      <w:r w:rsidRPr="005571ED">
        <w:rPr>
          <w:rFonts w:hint="eastAsia"/>
          <w:rtl/>
        </w:rPr>
        <w:t>הטופס</w:t>
      </w:r>
      <w:r w:rsidRPr="005571ED">
        <w:rPr>
          <w:rtl/>
        </w:rPr>
        <w:t xml:space="preserve"> </w:t>
      </w:r>
      <w:r w:rsidRPr="005571ED">
        <w:rPr>
          <w:rFonts w:hint="eastAsia"/>
          <w:rtl/>
        </w:rPr>
        <w:t>נקבע</w:t>
      </w:r>
      <w:r w:rsidRPr="005571ED">
        <w:rPr>
          <w:rtl/>
        </w:rPr>
        <w:t xml:space="preserve"> </w:t>
      </w:r>
      <w:r w:rsidRPr="005571ED">
        <w:rPr>
          <w:rFonts w:hint="eastAsia"/>
          <w:rtl/>
        </w:rPr>
        <w:t>בתקנות</w:t>
      </w:r>
      <w:r w:rsidRPr="005571ED">
        <w:rPr>
          <w:rtl/>
        </w:rPr>
        <w:t xml:space="preserve"> ולא ניתן לשנותו, וכי לפי הטופס בראש הבקשה יצ</w:t>
      </w:r>
      <w:r w:rsidRPr="005571ED">
        <w:rPr>
          <w:rFonts w:hint="eastAsia"/>
          <w:rtl/>
        </w:rPr>
        <w:t>וין</w:t>
      </w:r>
      <w:r w:rsidRPr="005571ED">
        <w:rPr>
          <w:rtl/>
        </w:rPr>
        <w:t xml:space="preserve"> שמו של החשוד ולא</w:t>
      </w:r>
      <w:r w:rsidR="00822FD9">
        <w:rPr>
          <w:rFonts w:hint="cs"/>
          <w:rtl/>
        </w:rPr>
        <w:t xml:space="preserve"> שמו של</w:t>
      </w:r>
      <w:r w:rsidRPr="005571ED">
        <w:rPr>
          <w:rtl/>
        </w:rPr>
        <w:t xml:space="preserve"> יעד ההאזנה</w:t>
      </w:r>
      <w:r w:rsidR="00CA7866">
        <w:rPr>
          <w:rFonts w:hint="cs"/>
          <w:rtl/>
        </w:rPr>
        <w:t>, וכי "</w:t>
      </w:r>
      <w:r w:rsidR="00CA7866" w:rsidRPr="00CA7866">
        <w:rPr>
          <w:rtl/>
        </w:rPr>
        <w:t>התקנות קובעות</w:t>
      </w:r>
      <w:r w:rsidR="00CA7866">
        <w:rPr>
          <w:rFonts w:hint="cs"/>
          <w:rtl/>
        </w:rPr>
        <w:t>,</w:t>
      </w:r>
      <w:r w:rsidR="00CA7866" w:rsidRPr="00CA7866">
        <w:rPr>
          <w:rtl/>
        </w:rPr>
        <w:t xml:space="preserve"> ברחל בתך הקטנה</w:t>
      </w:r>
      <w:r w:rsidR="00CA7866">
        <w:rPr>
          <w:rFonts w:hint="cs"/>
          <w:rtl/>
        </w:rPr>
        <w:t>,</w:t>
      </w:r>
      <w:r w:rsidR="00CA7866" w:rsidRPr="00CA7866">
        <w:rPr>
          <w:rtl/>
        </w:rPr>
        <w:t xml:space="preserve"> כי בראש הבקשה יצוין שם החשוד בביצוע העבירות</w:t>
      </w:r>
      <w:r w:rsidR="00CA7866">
        <w:rPr>
          <w:rFonts w:hint="cs"/>
          <w:rtl/>
        </w:rPr>
        <w:t>"</w:t>
      </w:r>
      <w:r w:rsidRPr="005571ED">
        <w:rPr>
          <w:rtl/>
        </w:rPr>
        <w:t xml:space="preserve">. </w:t>
      </w:r>
      <w:r w:rsidR="00CA7866">
        <w:rPr>
          <w:rFonts w:hint="cs"/>
          <w:rtl/>
        </w:rPr>
        <w:t xml:space="preserve">כמו כן, המשטרה מסרה כי "צריך היה לכתוב את נשואי הבקשה כמואזנים ולא כחשודים בצו. עם זאת, מקריאת נימוקי הבקשה </w:t>
      </w:r>
      <w:r w:rsidR="00984683">
        <w:rPr>
          <w:rFonts w:hint="cs"/>
          <w:rtl/>
        </w:rPr>
        <w:t xml:space="preserve">לצו ואף גם בחלק מהצווים בעמוד הפרוטוקול והחלטת השופט, סיפור המעשה ומעורבות נשואי הבקשה הובהרו כדבעי ולכן מבחינה מהותית צווים אלו תקינים". </w:t>
      </w:r>
    </w:p>
    <w:p w:rsidR="00622329" w:rsidRDefault="00622329" w:rsidP="00925079">
      <w:pPr>
        <w:pStyle w:val="a5"/>
        <w:spacing w:line="269" w:lineRule="auto"/>
        <w:ind w:left="153"/>
        <w:rPr>
          <w:rtl/>
        </w:rPr>
      </w:pPr>
    </w:p>
    <w:p w:rsidR="00DC60C3" w:rsidRPr="00DC60C3" w:rsidRDefault="00DC60C3" w:rsidP="00925079">
      <w:pPr>
        <w:spacing w:line="269" w:lineRule="auto"/>
        <w:ind w:left="720"/>
        <w:rPr>
          <w:rtl/>
        </w:rPr>
      </w:pPr>
      <w:r w:rsidRPr="00DC60C3">
        <w:rPr>
          <w:rFonts w:hint="cs"/>
          <w:rtl/>
        </w:rPr>
        <w:t>משרד מבקר המדינה מציין, כבר בדוח מבקר המדינה משנת 2004</w:t>
      </w:r>
      <w:r w:rsidRPr="00DC60C3">
        <w:rPr>
          <w:vertAlign w:val="superscript"/>
          <w:rtl/>
        </w:rPr>
        <w:footnoteReference w:id="102"/>
      </w:r>
      <w:r w:rsidRPr="00DC60C3">
        <w:rPr>
          <w:rFonts w:hint="cs"/>
          <w:rtl/>
        </w:rPr>
        <w:t xml:space="preserve"> נכתב בנושא מיקוד הבקשות להיתר להאזנת סתר כי יעד ההאזנה אותו יש לפרט בטופס אינו חייב להיות החשוד בביצוע העבירה: "הצורך להגביל את הפגיעה בפרטיות ולצמצמה לצורכי פעולות חיוניות מחייב למקד את הבקשה להיתר, ככל האפשר, באדם מסוים ובעבירה שהוא חשוד בביצועה או שאת ביצועה מבקשים למנוע, ולהימנע ככל האפשר מהגשת בקשות להאזנות נרחבות. בטופס שנקבע יש לרשום, בין היתר, את מהות החשד וסעיף העבירה, את שמו של האדם שבקשר אליו יש בידי המשטרה מידע (בדרך כלל החשוד) וכן את שמו של האדם שלשיחותיו מתבקש ההיתר להאזנת הסתר..."</w:t>
      </w:r>
      <w:r w:rsidRPr="00DC60C3">
        <w:rPr>
          <w:vertAlign w:val="superscript"/>
          <w:rtl/>
        </w:rPr>
        <w:footnoteReference w:id="103"/>
      </w:r>
      <w:r w:rsidRPr="00DC60C3">
        <w:rPr>
          <w:rFonts w:hint="cs"/>
          <w:rtl/>
        </w:rPr>
        <w:t>.</w:t>
      </w:r>
    </w:p>
    <w:p w:rsidR="0098777D" w:rsidRDefault="0098777D" w:rsidP="00925079">
      <w:pPr>
        <w:pStyle w:val="a5"/>
        <w:spacing w:line="269" w:lineRule="auto"/>
        <w:ind w:left="153"/>
        <w:rPr>
          <w:rtl/>
        </w:rPr>
      </w:pPr>
    </w:p>
    <w:p w:rsidR="008036D9" w:rsidRPr="005571ED" w:rsidRDefault="00DC60C3" w:rsidP="00925079">
      <w:pPr>
        <w:spacing w:line="269" w:lineRule="auto"/>
        <w:ind w:left="720"/>
        <w:rPr>
          <w:rtl/>
        </w:rPr>
      </w:pPr>
      <w:r w:rsidRPr="00DC60C3">
        <w:rPr>
          <w:rFonts w:hint="cs"/>
          <w:rtl/>
        </w:rPr>
        <w:t>עוד מבהיר משרד מבקר המדינה למשטרה כי גם בטופס הבקשה המפורט בתקנות, שהוא טופס 1 בהתאם לתקנה 2(א)</w:t>
      </w:r>
      <w:r w:rsidRPr="00DC60C3">
        <w:rPr>
          <w:rFonts w:hint="cs"/>
        </w:rPr>
        <w:t xml:space="preserve"> </w:t>
      </w:r>
      <w:r w:rsidRPr="00DC60C3">
        <w:rPr>
          <w:rFonts w:hint="cs"/>
          <w:rtl/>
        </w:rPr>
        <w:t>לתקנות, כתוב כלהלן: "הואיל ובידי המשטרה מידע בקשר ל:... (שם האדם ופרטים מזהים אם הם ידועים או פרטי מידע על המקום שבו מותקן הטלפון או המקום שלגביו מתבקשת ההאזנה, אף אם לא ידוע מראש מי החשוד אשר לשיחותיו מתבקשת ההאזנה)". לפיכך, ההאזנה המבוקשת בטופס דורשת את ה"אדם" ולא את ה"חשוד", ואילו כאשר מתבקשת האזנה ל"מקום" אזי ניתן שלא לדעת את זהות ה"חשוד" שלשיחותיו מתבקשת ההאזנה. יוצא אפוא כי החוק והתקנות מדברים בעד עצמם. לפי</w:t>
      </w:r>
      <w:r>
        <w:rPr>
          <w:rFonts w:hint="cs"/>
          <w:rtl/>
        </w:rPr>
        <w:t>הם</w:t>
      </w:r>
      <w:r w:rsidRPr="00DC60C3">
        <w:rPr>
          <w:rFonts w:hint="cs"/>
          <w:rtl/>
        </w:rPr>
        <w:t xml:space="preserve"> יש לציין את שם המואזן בראש הטופס גם אם הוא אינו חשוד. </w:t>
      </w:r>
    </w:p>
    <w:p w:rsidR="006761DF" w:rsidRDefault="006761DF" w:rsidP="00925079">
      <w:pPr>
        <w:pStyle w:val="a5"/>
        <w:spacing w:line="269" w:lineRule="auto"/>
        <w:ind w:left="153"/>
        <w:rPr>
          <w:rtl/>
        </w:rPr>
      </w:pPr>
    </w:p>
    <w:p w:rsidR="00503C79" w:rsidRPr="001E67FD" w:rsidRDefault="00503C79" w:rsidP="00925079">
      <w:pPr>
        <w:spacing w:line="269" w:lineRule="auto"/>
        <w:ind w:left="720"/>
        <w:rPr>
          <w:b/>
          <w:bCs/>
          <w:rtl/>
        </w:rPr>
      </w:pPr>
      <w:r w:rsidRPr="001E67FD">
        <w:rPr>
          <w:rFonts w:hint="cs"/>
          <w:b/>
          <w:bCs/>
          <w:rtl/>
        </w:rPr>
        <w:t xml:space="preserve">מבקר המדינה </w:t>
      </w:r>
      <w:r w:rsidR="005E6A42">
        <w:rPr>
          <w:rFonts w:hint="cs"/>
          <w:b/>
          <w:bCs/>
          <w:rtl/>
        </w:rPr>
        <w:t>מעיר</w:t>
      </w:r>
      <w:r w:rsidRPr="001E67FD">
        <w:rPr>
          <w:b/>
          <w:bCs/>
          <w:rtl/>
        </w:rPr>
        <w:t xml:space="preserve"> </w:t>
      </w:r>
      <w:r w:rsidRPr="001E67FD">
        <w:rPr>
          <w:rFonts w:hint="eastAsia"/>
          <w:b/>
          <w:bCs/>
          <w:rtl/>
        </w:rPr>
        <w:t>כי</w:t>
      </w:r>
      <w:r w:rsidRPr="001E67FD">
        <w:rPr>
          <w:rFonts w:hint="cs"/>
          <w:b/>
          <w:bCs/>
          <w:rtl/>
        </w:rPr>
        <w:t xml:space="preserve"> </w:t>
      </w:r>
      <w:r w:rsidRPr="001E67FD">
        <w:rPr>
          <w:rFonts w:hint="eastAsia"/>
          <w:b/>
          <w:bCs/>
          <w:rtl/>
        </w:rPr>
        <w:t>סעיף</w:t>
      </w:r>
      <w:r w:rsidRPr="001E67FD">
        <w:rPr>
          <w:b/>
          <w:bCs/>
          <w:rtl/>
        </w:rPr>
        <w:t xml:space="preserve"> 6 לחוק האזנת סתר קובע </w:t>
      </w:r>
      <w:r w:rsidRPr="001E67FD">
        <w:rPr>
          <w:rFonts w:hint="cs"/>
          <w:b/>
          <w:bCs/>
          <w:rtl/>
        </w:rPr>
        <w:t>ש</w:t>
      </w:r>
      <w:r w:rsidRPr="001E67FD">
        <w:rPr>
          <w:rFonts w:hint="eastAsia"/>
          <w:b/>
          <w:bCs/>
          <w:rtl/>
        </w:rPr>
        <w:t>בהיתר</w:t>
      </w:r>
      <w:r w:rsidRPr="001E67FD">
        <w:rPr>
          <w:b/>
          <w:bCs/>
          <w:rtl/>
        </w:rPr>
        <w:t xml:space="preserve"> </w:t>
      </w:r>
      <w:r w:rsidR="00DC60C3" w:rsidRPr="00DC60C3">
        <w:rPr>
          <w:rFonts w:hint="cs"/>
          <w:b/>
          <w:bCs/>
          <w:rtl/>
        </w:rPr>
        <w:t>(הניתן על גבי טופס הבקשה)</w:t>
      </w:r>
      <w:r w:rsidR="00DC60C3" w:rsidRPr="00DC60C3">
        <w:rPr>
          <w:rFonts w:hint="cs"/>
          <w:b/>
          <w:bCs/>
        </w:rPr>
        <w:t xml:space="preserve"> </w:t>
      </w:r>
      <w:r w:rsidRPr="001E67FD">
        <w:rPr>
          <w:rFonts w:hint="eastAsia"/>
          <w:b/>
          <w:bCs/>
          <w:rtl/>
        </w:rPr>
        <w:t>יתוארו</w:t>
      </w:r>
      <w:r w:rsidRPr="001E67FD">
        <w:rPr>
          <w:b/>
          <w:bCs/>
          <w:rtl/>
        </w:rPr>
        <w:t xml:space="preserve"> </w:t>
      </w:r>
      <w:r w:rsidRPr="001E67FD">
        <w:rPr>
          <w:rFonts w:hint="eastAsia"/>
          <w:b/>
          <w:bCs/>
          <w:rtl/>
        </w:rPr>
        <w:t>זהות</w:t>
      </w:r>
      <w:r w:rsidRPr="001E67FD">
        <w:rPr>
          <w:b/>
          <w:bCs/>
          <w:rtl/>
        </w:rPr>
        <w:t xml:space="preserve"> </w:t>
      </w:r>
      <w:r w:rsidRPr="001E67FD">
        <w:rPr>
          <w:rFonts w:hint="eastAsia"/>
          <w:b/>
          <w:bCs/>
          <w:rtl/>
        </w:rPr>
        <w:t>האדם</w:t>
      </w:r>
      <w:r w:rsidRPr="001E67FD">
        <w:rPr>
          <w:b/>
          <w:bCs/>
          <w:rtl/>
        </w:rPr>
        <w:t xml:space="preserve"> </w:t>
      </w:r>
      <w:r w:rsidRPr="001E67FD">
        <w:rPr>
          <w:rFonts w:hint="eastAsia"/>
          <w:b/>
          <w:bCs/>
          <w:rtl/>
        </w:rPr>
        <w:t>שההאזנה</w:t>
      </w:r>
      <w:r w:rsidRPr="001E67FD">
        <w:rPr>
          <w:b/>
          <w:bCs/>
          <w:rtl/>
        </w:rPr>
        <w:t xml:space="preserve"> </w:t>
      </w:r>
      <w:r w:rsidRPr="001E67FD">
        <w:rPr>
          <w:rFonts w:hint="eastAsia"/>
          <w:b/>
          <w:bCs/>
          <w:rtl/>
        </w:rPr>
        <w:t>לשיחותיו</w:t>
      </w:r>
      <w:r w:rsidRPr="001E67FD">
        <w:rPr>
          <w:b/>
          <w:bCs/>
          <w:rtl/>
        </w:rPr>
        <w:t xml:space="preserve"> </w:t>
      </w:r>
      <w:r w:rsidRPr="001E67FD">
        <w:rPr>
          <w:rFonts w:hint="eastAsia"/>
          <w:b/>
          <w:bCs/>
          <w:rtl/>
        </w:rPr>
        <w:t>הותרה</w:t>
      </w:r>
      <w:r w:rsidRPr="001E67FD">
        <w:rPr>
          <w:rFonts w:hint="cs"/>
          <w:b/>
          <w:bCs/>
          <w:rtl/>
        </w:rPr>
        <w:t>, ולא בכדי</w:t>
      </w:r>
      <w:r w:rsidRPr="001E67FD">
        <w:rPr>
          <w:b/>
          <w:bCs/>
          <w:rtl/>
        </w:rPr>
        <w:t xml:space="preserve">. כמו כן, תקנות </w:t>
      </w:r>
      <w:r w:rsidRPr="001E67FD">
        <w:rPr>
          <w:rFonts w:hint="eastAsia"/>
          <w:b/>
          <w:bCs/>
          <w:rtl/>
        </w:rPr>
        <w:t>בקשה</w:t>
      </w:r>
      <w:r w:rsidRPr="001E67FD">
        <w:rPr>
          <w:b/>
          <w:bCs/>
          <w:rtl/>
        </w:rPr>
        <w:t xml:space="preserve"> </w:t>
      </w:r>
      <w:r w:rsidR="004D0F99">
        <w:rPr>
          <w:rFonts w:hint="cs"/>
          <w:b/>
          <w:bCs/>
          <w:rtl/>
        </w:rPr>
        <w:t>להיתר האזנה</w:t>
      </w:r>
      <w:r w:rsidRPr="001E67FD">
        <w:rPr>
          <w:b/>
          <w:bCs/>
          <w:rtl/>
        </w:rPr>
        <w:t xml:space="preserve"> </w:t>
      </w:r>
      <w:r w:rsidRPr="001E67FD">
        <w:rPr>
          <w:rFonts w:hint="eastAsia"/>
          <w:b/>
          <w:bCs/>
          <w:rtl/>
        </w:rPr>
        <w:t>ונוסח</w:t>
      </w:r>
      <w:r w:rsidRPr="001E67FD">
        <w:rPr>
          <w:b/>
          <w:bCs/>
          <w:rtl/>
        </w:rPr>
        <w:t xml:space="preserve"> הטופס </w:t>
      </w:r>
      <w:r w:rsidRPr="001E67FD">
        <w:rPr>
          <w:rFonts w:hint="eastAsia"/>
          <w:b/>
          <w:bCs/>
          <w:rtl/>
        </w:rPr>
        <w:t>אינם</w:t>
      </w:r>
      <w:r w:rsidRPr="001E67FD">
        <w:rPr>
          <w:b/>
          <w:bCs/>
          <w:rtl/>
        </w:rPr>
        <w:t xml:space="preserve"> מגביל</w:t>
      </w:r>
      <w:r w:rsidRPr="001E67FD">
        <w:rPr>
          <w:rFonts w:hint="eastAsia"/>
          <w:b/>
          <w:bCs/>
          <w:rtl/>
        </w:rPr>
        <w:t>ים</w:t>
      </w:r>
      <w:r w:rsidRPr="001E67FD">
        <w:rPr>
          <w:b/>
          <w:bCs/>
          <w:rtl/>
        </w:rPr>
        <w:t xml:space="preserve"> באופן מפורש </w:t>
      </w:r>
      <w:r w:rsidRPr="001E67FD">
        <w:rPr>
          <w:rFonts w:hint="eastAsia"/>
          <w:b/>
          <w:bCs/>
          <w:rtl/>
        </w:rPr>
        <w:t>רישום</w:t>
      </w:r>
      <w:r w:rsidRPr="001E67FD">
        <w:rPr>
          <w:b/>
          <w:bCs/>
          <w:rtl/>
        </w:rPr>
        <w:t xml:space="preserve"> </w:t>
      </w:r>
      <w:r w:rsidRPr="001E67FD">
        <w:rPr>
          <w:rFonts w:hint="eastAsia"/>
          <w:b/>
          <w:bCs/>
          <w:rtl/>
        </w:rPr>
        <w:t>של</w:t>
      </w:r>
      <w:r w:rsidRPr="001E67FD">
        <w:rPr>
          <w:b/>
          <w:bCs/>
          <w:rtl/>
        </w:rPr>
        <w:t xml:space="preserve"> </w:t>
      </w:r>
      <w:r w:rsidRPr="001E67FD">
        <w:rPr>
          <w:rFonts w:hint="eastAsia"/>
          <w:b/>
          <w:bCs/>
          <w:rtl/>
        </w:rPr>
        <w:t>יעד</w:t>
      </w:r>
      <w:r w:rsidRPr="001E67FD">
        <w:rPr>
          <w:b/>
          <w:bCs/>
          <w:rtl/>
        </w:rPr>
        <w:t xml:space="preserve"> </w:t>
      </w:r>
      <w:r w:rsidRPr="001E67FD">
        <w:rPr>
          <w:rFonts w:hint="eastAsia"/>
          <w:b/>
          <w:bCs/>
          <w:rtl/>
        </w:rPr>
        <w:t>האזנה</w:t>
      </w:r>
      <w:r w:rsidRPr="001E67FD">
        <w:rPr>
          <w:rFonts w:hint="cs"/>
          <w:b/>
          <w:bCs/>
          <w:rtl/>
        </w:rPr>
        <w:t xml:space="preserve"> במעמד "מואזן"</w:t>
      </w:r>
      <w:r w:rsidRPr="001E67FD">
        <w:rPr>
          <w:b/>
          <w:bCs/>
          <w:rtl/>
        </w:rPr>
        <w:t xml:space="preserve"> בראש הבקשה, וכי הנוהל המשטרתי הרלוונטי </w:t>
      </w:r>
      <w:r w:rsidR="004D0F99">
        <w:rPr>
          <w:rFonts w:hint="cs"/>
          <w:b/>
          <w:bCs/>
          <w:rtl/>
        </w:rPr>
        <w:t xml:space="preserve">מפרט </w:t>
      </w:r>
      <w:r w:rsidRPr="001E67FD">
        <w:rPr>
          <w:rFonts w:hint="eastAsia"/>
          <w:b/>
          <w:bCs/>
          <w:rtl/>
        </w:rPr>
        <w:t>אף</w:t>
      </w:r>
      <w:r w:rsidRPr="001E67FD">
        <w:rPr>
          <w:b/>
          <w:bCs/>
          <w:rtl/>
        </w:rPr>
        <w:t xml:space="preserve"> הוא כי מילוי הבקשה נעש</w:t>
      </w:r>
      <w:r w:rsidR="004D0F99">
        <w:rPr>
          <w:rFonts w:hint="cs"/>
          <w:b/>
          <w:bCs/>
          <w:rtl/>
        </w:rPr>
        <w:t>ה</w:t>
      </w:r>
      <w:r w:rsidRPr="001E67FD">
        <w:rPr>
          <w:b/>
          <w:bCs/>
          <w:rtl/>
        </w:rPr>
        <w:t xml:space="preserve"> ב</w:t>
      </w:r>
      <w:r w:rsidR="004D0F99">
        <w:rPr>
          <w:rFonts w:hint="cs"/>
          <w:b/>
          <w:bCs/>
          <w:rtl/>
        </w:rPr>
        <w:t>נוגע</w:t>
      </w:r>
      <w:r w:rsidRPr="001E67FD">
        <w:rPr>
          <w:b/>
          <w:bCs/>
          <w:rtl/>
        </w:rPr>
        <w:t xml:space="preserve"> ל"מואזן" </w:t>
      </w:r>
      <w:r w:rsidR="004D0F99">
        <w:rPr>
          <w:rFonts w:hint="cs"/>
          <w:b/>
          <w:bCs/>
          <w:rtl/>
        </w:rPr>
        <w:t>ואינו</w:t>
      </w:r>
      <w:r w:rsidR="004D0F99" w:rsidRPr="001E67FD">
        <w:rPr>
          <w:b/>
          <w:bCs/>
          <w:rtl/>
        </w:rPr>
        <w:t xml:space="preserve"> </w:t>
      </w:r>
      <w:r w:rsidRPr="001E67FD">
        <w:rPr>
          <w:rFonts w:hint="cs"/>
          <w:b/>
          <w:bCs/>
          <w:rtl/>
        </w:rPr>
        <w:t xml:space="preserve">מגביל </w:t>
      </w:r>
      <w:r w:rsidR="00E833BB">
        <w:rPr>
          <w:rFonts w:hint="cs"/>
          <w:b/>
          <w:bCs/>
          <w:rtl/>
        </w:rPr>
        <w:t xml:space="preserve">את הרישום </w:t>
      </w:r>
      <w:r w:rsidRPr="001E67FD">
        <w:rPr>
          <w:rFonts w:hint="cs"/>
          <w:b/>
          <w:bCs/>
          <w:rtl/>
        </w:rPr>
        <w:t>ל</w:t>
      </w:r>
      <w:r w:rsidRPr="001E67FD">
        <w:rPr>
          <w:rFonts w:hint="eastAsia"/>
          <w:b/>
          <w:bCs/>
          <w:rtl/>
        </w:rPr>
        <w:t>חשוד</w:t>
      </w:r>
      <w:r w:rsidR="00E833BB">
        <w:rPr>
          <w:rFonts w:hint="cs"/>
          <w:b/>
          <w:bCs/>
          <w:rtl/>
        </w:rPr>
        <w:t xml:space="preserve"> בלבד</w:t>
      </w:r>
      <w:r w:rsidRPr="001E67FD">
        <w:rPr>
          <w:b/>
          <w:bCs/>
          <w:rtl/>
        </w:rPr>
        <w:t>.</w:t>
      </w:r>
      <w:r w:rsidR="0049609C">
        <w:rPr>
          <w:b/>
          <w:bCs/>
          <w:rtl/>
        </w:rPr>
        <w:t xml:space="preserve"> </w:t>
      </w:r>
    </w:p>
    <w:p w:rsidR="002B0E02" w:rsidRDefault="002B0E02" w:rsidP="00925079">
      <w:pPr>
        <w:spacing w:line="269" w:lineRule="auto"/>
        <w:ind w:left="720"/>
        <w:rPr>
          <w:b/>
          <w:bCs/>
          <w:rtl/>
        </w:rPr>
      </w:pPr>
    </w:p>
    <w:p w:rsidR="003511F1" w:rsidRDefault="00263839" w:rsidP="00925079">
      <w:pPr>
        <w:spacing w:line="269" w:lineRule="auto"/>
        <w:ind w:left="720"/>
        <w:rPr>
          <w:b/>
          <w:bCs/>
          <w:rtl/>
        </w:rPr>
      </w:pPr>
      <w:r>
        <w:rPr>
          <w:rFonts w:hint="cs"/>
          <w:b/>
          <w:bCs/>
          <w:rtl/>
        </w:rPr>
        <w:t>בהתאם לחוק האזנת סתר ו</w:t>
      </w:r>
      <w:r w:rsidR="004D0F99">
        <w:rPr>
          <w:rFonts w:hint="cs"/>
          <w:b/>
          <w:bCs/>
          <w:rtl/>
        </w:rPr>
        <w:t>ל</w:t>
      </w:r>
      <w:r>
        <w:rPr>
          <w:rFonts w:hint="cs"/>
          <w:b/>
          <w:bCs/>
          <w:rtl/>
        </w:rPr>
        <w:t xml:space="preserve">תקנות </w:t>
      </w:r>
      <w:r w:rsidR="00B77C9B">
        <w:rPr>
          <w:rFonts w:hint="cs"/>
          <w:b/>
          <w:bCs/>
          <w:rtl/>
        </w:rPr>
        <w:t xml:space="preserve">בקשה </w:t>
      </w:r>
      <w:r w:rsidR="004D0F99">
        <w:rPr>
          <w:rFonts w:hint="cs"/>
          <w:b/>
          <w:bCs/>
          <w:rtl/>
        </w:rPr>
        <w:t>להיתר האזנה</w:t>
      </w:r>
      <w:r w:rsidR="000C6B5C">
        <w:rPr>
          <w:rFonts w:hint="cs"/>
          <w:b/>
          <w:bCs/>
          <w:rtl/>
        </w:rPr>
        <w:t xml:space="preserve">, </w:t>
      </w:r>
      <w:r w:rsidR="004D0F99">
        <w:rPr>
          <w:rFonts w:hint="cs"/>
          <w:b/>
          <w:bCs/>
          <w:rtl/>
        </w:rPr>
        <w:t>ש</w:t>
      </w:r>
      <w:r w:rsidR="000C6B5C">
        <w:rPr>
          <w:rFonts w:hint="cs"/>
          <w:b/>
          <w:bCs/>
          <w:rtl/>
        </w:rPr>
        <w:t>לפיהם בהיתר ההאזנה יתוארו זהות האדם</w:t>
      </w:r>
      <w:r w:rsidR="00D82CCE">
        <w:rPr>
          <w:rFonts w:hint="cs"/>
          <w:b/>
          <w:bCs/>
          <w:rtl/>
        </w:rPr>
        <w:t xml:space="preserve"> אשר ההאזנה לשיחותיו הותרה</w:t>
      </w:r>
      <w:r w:rsidR="000C6B5C">
        <w:rPr>
          <w:rFonts w:hint="cs"/>
          <w:b/>
          <w:bCs/>
          <w:rtl/>
        </w:rPr>
        <w:t xml:space="preserve">, </w:t>
      </w:r>
      <w:r w:rsidR="0081396D" w:rsidRPr="0081396D">
        <w:rPr>
          <w:rFonts w:hint="cs"/>
          <w:b/>
          <w:bCs/>
          <w:rtl/>
        </w:rPr>
        <w:t>על המשטרה</w:t>
      </w:r>
      <w:r w:rsidR="0081396D" w:rsidRPr="0081396D">
        <w:rPr>
          <w:b/>
          <w:bCs/>
          <w:rtl/>
        </w:rPr>
        <w:t xml:space="preserve"> </w:t>
      </w:r>
      <w:r w:rsidR="004D0F99">
        <w:rPr>
          <w:rFonts w:hint="cs"/>
          <w:b/>
          <w:bCs/>
          <w:rtl/>
        </w:rPr>
        <w:t>לרשום</w:t>
      </w:r>
      <w:r w:rsidR="004D0F99" w:rsidRPr="0081396D">
        <w:rPr>
          <w:rFonts w:hint="cs"/>
          <w:b/>
          <w:bCs/>
          <w:rtl/>
        </w:rPr>
        <w:t xml:space="preserve"> </w:t>
      </w:r>
      <w:r w:rsidR="00514F93" w:rsidRPr="007D1895">
        <w:rPr>
          <w:b/>
          <w:bCs/>
          <w:rtl/>
        </w:rPr>
        <w:t xml:space="preserve">בראש טופס הבקשה </w:t>
      </w:r>
      <w:r w:rsidR="00514F93" w:rsidRPr="007D1895">
        <w:rPr>
          <w:rFonts w:hint="cs"/>
          <w:b/>
          <w:bCs/>
          <w:rtl/>
        </w:rPr>
        <w:t>את</w:t>
      </w:r>
      <w:r w:rsidR="00514F93" w:rsidRPr="007D1895">
        <w:rPr>
          <w:b/>
          <w:bCs/>
          <w:rtl/>
        </w:rPr>
        <w:t xml:space="preserve"> יעדי ההאזנה</w:t>
      </w:r>
      <w:r w:rsidR="00514F93">
        <w:rPr>
          <w:rFonts w:hint="cs"/>
          <w:b/>
          <w:bCs/>
          <w:rtl/>
        </w:rPr>
        <w:t xml:space="preserve"> להם היא מתכוונת להאזין </w:t>
      </w:r>
      <w:r w:rsidR="00FE2936">
        <w:rPr>
          <w:rFonts w:hint="cs"/>
          <w:b/>
          <w:bCs/>
          <w:rtl/>
        </w:rPr>
        <w:t xml:space="preserve">ולא </w:t>
      </w:r>
      <w:r w:rsidR="004D0F99">
        <w:rPr>
          <w:rFonts w:hint="cs"/>
          <w:b/>
          <w:bCs/>
          <w:rtl/>
        </w:rPr>
        <w:t xml:space="preserve">לרשום אותם </w:t>
      </w:r>
      <w:r w:rsidR="00F26810">
        <w:rPr>
          <w:rFonts w:hint="cs"/>
          <w:b/>
          <w:bCs/>
          <w:rtl/>
        </w:rPr>
        <w:t>רק</w:t>
      </w:r>
      <w:r w:rsidR="00FE2936">
        <w:rPr>
          <w:rFonts w:hint="cs"/>
          <w:b/>
          <w:bCs/>
          <w:rtl/>
        </w:rPr>
        <w:t xml:space="preserve"> </w:t>
      </w:r>
      <w:r w:rsidR="00F26810">
        <w:rPr>
          <w:rFonts w:hint="cs"/>
          <w:b/>
          <w:bCs/>
          <w:rtl/>
        </w:rPr>
        <w:t>בנימוקי הבקשה</w:t>
      </w:r>
      <w:r w:rsidR="0081396D" w:rsidRPr="0081396D">
        <w:rPr>
          <w:rFonts w:hint="cs"/>
          <w:b/>
          <w:bCs/>
          <w:rtl/>
        </w:rPr>
        <w:t>.</w:t>
      </w:r>
      <w:r w:rsidR="0081396D" w:rsidRPr="0081396D">
        <w:rPr>
          <w:b/>
          <w:bCs/>
          <w:rtl/>
        </w:rPr>
        <w:t xml:space="preserve"> </w:t>
      </w:r>
      <w:r w:rsidR="004D0F99">
        <w:rPr>
          <w:rFonts w:hint="cs"/>
          <w:b/>
          <w:bCs/>
          <w:rtl/>
        </w:rPr>
        <w:t xml:space="preserve">אם </w:t>
      </w:r>
      <w:r w:rsidR="00B77C9B">
        <w:rPr>
          <w:rFonts w:hint="cs"/>
          <w:b/>
          <w:bCs/>
          <w:rtl/>
        </w:rPr>
        <w:t xml:space="preserve">המשטרה סבורה כי יש לבצע תיקון לתקנות בקשה </w:t>
      </w:r>
      <w:r w:rsidR="004D0F99">
        <w:rPr>
          <w:rFonts w:hint="cs"/>
          <w:b/>
          <w:bCs/>
          <w:rtl/>
        </w:rPr>
        <w:t>להיתר האזנה</w:t>
      </w:r>
      <w:r w:rsidR="00B77C9B">
        <w:rPr>
          <w:rFonts w:hint="cs"/>
          <w:b/>
          <w:bCs/>
          <w:rtl/>
        </w:rPr>
        <w:t xml:space="preserve">, מוצע כי </w:t>
      </w:r>
      <w:r w:rsidR="005E6A42">
        <w:rPr>
          <w:rFonts w:hint="cs"/>
          <w:b/>
          <w:bCs/>
          <w:rtl/>
        </w:rPr>
        <w:t xml:space="preserve">תתבצע </w:t>
      </w:r>
      <w:r w:rsidR="00B77C9B">
        <w:rPr>
          <w:rFonts w:hint="cs"/>
          <w:b/>
          <w:bCs/>
          <w:rtl/>
        </w:rPr>
        <w:t xml:space="preserve">עבודת מטה לעדכון </w:t>
      </w:r>
      <w:r w:rsidR="00481B22">
        <w:rPr>
          <w:rFonts w:hint="cs"/>
          <w:b/>
          <w:bCs/>
          <w:rtl/>
        </w:rPr>
        <w:t xml:space="preserve">נוסחי </w:t>
      </w:r>
      <w:r w:rsidR="00B77C9B">
        <w:rPr>
          <w:rFonts w:hint="cs"/>
          <w:b/>
          <w:bCs/>
          <w:rtl/>
        </w:rPr>
        <w:t>ט</w:t>
      </w:r>
      <w:r w:rsidR="00481B22">
        <w:rPr>
          <w:rFonts w:hint="cs"/>
          <w:b/>
          <w:bCs/>
          <w:rtl/>
        </w:rPr>
        <w:t>ו</w:t>
      </w:r>
      <w:r w:rsidR="00B77C9B">
        <w:rPr>
          <w:rFonts w:hint="cs"/>
          <w:b/>
          <w:bCs/>
          <w:rtl/>
        </w:rPr>
        <w:t>פס הבקש</w:t>
      </w:r>
      <w:r w:rsidR="00481B22">
        <w:rPr>
          <w:rFonts w:hint="cs"/>
          <w:b/>
          <w:bCs/>
          <w:rtl/>
        </w:rPr>
        <w:t>ה</w:t>
      </w:r>
      <w:r w:rsidR="00B77C9B">
        <w:rPr>
          <w:rFonts w:hint="cs"/>
          <w:b/>
          <w:bCs/>
          <w:rtl/>
        </w:rPr>
        <w:t xml:space="preserve">, </w:t>
      </w:r>
      <w:r w:rsidR="00481B22">
        <w:rPr>
          <w:rFonts w:hint="cs"/>
          <w:b/>
          <w:bCs/>
          <w:rtl/>
        </w:rPr>
        <w:t>נימוקי הבקשה</w:t>
      </w:r>
      <w:r w:rsidR="00B77C9B">
        <w:rPr>
          <w:rFonts w:hint="cs"/>
          <w:b/>
          <w:bCs/>
          <w:rtl/>
        </w:rPr>
        <w:t xml:space="preserve"> </w:t>
      </w:r>
      <w:r w:rsidR="00481B22">
        <w:rPr>
          <w:rFonts w:hint="cs"/>
          <w:b/>
          <w:bCs/>
          <w:rtl/>
        </w:rPr>
        <w:t>וצו בית משפט</w:t>
      </w:r>
      <w:r w:rsidR="00B77C9B">
        <w:rPr>
          <w:rFonts w:hint="cs"/>
          <w:b/>
          <w:bCs/>
          <w:rtl/>
        </w:rPr>
        <w:t>, בשיתוף</w:t>
      </w:r>
      <w:r w:rsidR="00A278C3">
        <w:rPr>
          <w:rFonts w:hint="cs"/>
          <w:b/>
          <w:bCs/>
          <w:rtl/>
        </w:rPr>
        <w:t xml:space="preserve"> משרד המשפטים</w:t>
      </w:r>
      <w:r w:rsidR="00B77C9B">
        <w:rPr>
          <w:rFonts w:hint="cs"/>
          <w:b/>
          <w:bCs/>
          <w:rtl/>
        </w:rPr>
        <w:t xml:space="preserve"> והנהלת בתי המשפט.</w:t>
      </w:r>
      <w:r w:rsidR="00F32585">
        <w:rPr>
          <w:rFonts w:hint="cs"/>
          <w:b/>
          <w:bCs/>
          <w:rtl/>
        </w:rPr>
        <w:t xml:space="preserve"> לאחריה יתוקנו התקנות.</w:t>
      </w:r>
      <w:r w:rsidR="0049609C">
        <w:rPr>
          <w:rFonts w:hint="cs"/>
          <w:b/>
          <w:bCs/>
          <w:rtl/>
        </w:rPr>
        <w:t xml:space="preserve"> </w:t>
      </w:r>
    </w:p>
    <w:p w:rsidR="00022177" w:rsidRDefault="00022177" w:rsidP="00604C3D">
      <w:pPr>
        <w:spacing w:line="269" w:lineRule="auto"/>
        <w:rPr>
          <w:b/>
          <w:bCs/>
          <w:rtl/>
        </w:rPr>
      </w:pPr>
    </w:p>
    <w:p w:rsidR="00EB5872" w:rsidRDefault="00BA2B64" w:rsidP="008C598D">
      <w:pPr>
        <w:pStyle w:val="5"/>
        <w:numPr>
          <w:ilvl w:val="2"/>
          <w:numId w:val="43"/>
        </w:numPr>
        <w:spacing w:line="269" w:lineRule="auto"/>
        <w:ind w:left="707"/>
        <w:rPr>
          <w:rtl/>
        </w:rPr>
      </w:pPr>
      <w:r>
        <w:rPr>
          <w:rFonts w:hint="cs"/>
          <w:rtl/>
        </w:rPr>
        <w:t>הזיק</w:t>
      </w:r>
      <w:r w:rsidR="00EB5872" w:rsidRPr="005571ED">
        <w:rPr>
          <w:rFonts w:hint="eastAsia"/>
          <w:rtl/>
        </w:rPr>
        <w:t>ה</w:t>
      </w:r>
      <w:r w:rsidR="00EB5872" w:rsidRPr="005571ED">
        <w:rPr>
          <w:rtl/>
        </w:rPr>
        <w:t xml:space="preserve"> </w:t>
      </w:r>
      <w:r w:rsidR="00EB5872" w:rsidRPr="005571ED">
        <w:rPr>
          <w:rFonts w:hint="eastAsia"/>
          <w:rtl/>
        </w:rPr>
        <w:t>בין</w:t>
      </w:r>
      <w:r w:rsidR="00EB5872" w:rsidRPr="005571ED">
        <w:rPr>
          <w:rtl/>
        </w:rPr>
        <w:t xml:space="preserve"> </w:t>
      </w:r>
      <w:r w:rsidR="00EB5872" w:rsidRPr="005571ED">
        <w:rPr>
          <w:rFonts w:hint="eastAsia"/>
          <w:rtl/>
        </w:rPr>
        <w:t>שלושת</w:t>
      </w:r>
      <w:r w:rsidR="00EB5872" w:rsidRPr="005571ED">
        <w:rPr>
          <w:rtl/>
        </w:rPr>
        <w:t xml:space="preserve"> </w:t>
      </w:r>
      <w:r w:rsidR="00EB5872" w:rsidRPr="005571ED">
        <w:rPr>
          <w:rFonts w:hint="eastAsia"/>
          <w:rtl/>
        </w:rPr>
        <w:t>הנדבכים</w:t>
      </w:r>
      <w:r w:rsidR="00EB5872">
        <w:rPr>
          <w:rFonts w:hint="cs"/>
          <w:rtl/>
        </w:rPr>
        <w:t xml:space="preserve"> </w:t>
      </w:r>
    </w:p>
    <w:p w:rsidR="0098471C" w:rsidRDefault="002B0E02" w:rsidP="00604C3D">
      <w:pPr>
        <w:pStyle w:val="a5"/>
        <w:spacing w:line="269" w:lineRule="auto"/>
        <w:rPr>
          <w:rtl/>
        </w:rPr>
      </w:pPr>
      <w:r>
        <w:rPr>
          <w:rFonts w:hint="cs"/>
          <w:rtl/>
        </w:rPr>
        <w:t xml:space="preserve"> </w:t>
      </w:r>
    </w:p>
    <w:p w:rsidR="00210333" w:rsidRDefault="00EB5872" w:rsidP="00925079">
      <w:pPr>
        <w:spacing w:line="269" w:lineRule="auto"/>
        <w:ind w:left="680"/>
        <w:rPr>
          <w:rtl/>
        </w:rPr>
      </w:pPr>
      <w:r>
        <w:rPr>
          <w:rFonts w:hint="cs"/>
          <w:rtl/>
        </w:rPr>
        <w:t>בדוח צוות לבנת משיח משנת 2005 נקבע כי אחד השיקולים שיש לשקול לפני קבלת ההחלטה בדבר האזנת סתר הוא מידת הקשר בין יעד ההאזנה לבין העבירה</w:t>
      </w:r>
      <w:r>
        <w:rPr>
          <w:rStyle w:val="af"/>
          <w:rtl/>
        </w:rPr>
        <w:footnoteReference w:id="104"/>
      </w:r>
      <w:r>
        <w:rPr>
          <w:rFonts w:hint="cs"/>
          <w:rtl/>
        </w:rPr>
        <w:t>. בעת שבית המשפט שוקל קשר זה הוא צריך לקבל תמונה ברורה של האירוע הפלילי על מכלול העבירות הפליליות שהתבצעו במהלכו, על העבירות הפליליות הנקשרות במישרין ובעקיפין לאדם שלגביו מתבקשת ההאזנה ועל מידת מעורבותו בהן. כל אלו עשויות לשפוך אור על תכלית ביצוע ההאזנה - גילוי פשע, גילוי עבריינים או חילוט רכוש הקשור בפשע, ומכאן על נחיצותה.</w:t>
      </w:r>
    </w:p>
    <w:p w:rsidR="008868B6" w:rsidRPr="004F7EBE" w:rsidRDefault="002B0E02" w:rsidP="00925079">
      <w:pPr>
        <w:pStyle w:val="a5"/>
        <w:spacing w:line="269" w:lineRule="auto"/>
        <w:ind w:left="113"/>
        <w:rPr>
          <w:rtl/>
        </w:rPr>
      </w:pPr>
      <w:r>
        <w:rPr>
          <w:rFonts w:hint="cs"/>
          <w:rtl/>
        </w:rPr>
        <w:t xml:space="preserve"> </w:t>
      </w:r>
    </w:p>
    <w:p w:rsidR="00453143" w:rsidRDefault="001E67FD" w:rsidP="00925079">
      <w:pPr>
        <w:spacing w:line="269" w:lineRule="auto"/>
        <w:ind w:left="680"/>
        <w:rPr>
          <w:b/>
          <w:bCs/>
          <w:rtl/>
        </w:rPr>
      </w:pPr>
      <w:bookmarkStart w:id="258" w:name="_Hlk190065173"/>
      <w:r>
        <w:rPr>
          <w:rFonts w:hint="cs"/>
          <w:b/>
          <w:bCs/>
          <w:rtl/>
        </w:rPr>
        <w:t>משרד מבקר המדינה מצא בבחינת ה</w:t>
      </w:r>
      <w:r w:rsidR="00A34146">
        <w:rPr>
          <w:rFonts w:hint="cs"/>
          <w:b/>
          <w:bCs/>
          <w:rtl/>
        </w:rPr>
        <w:t>בקשות ל</w:t>
      </w:r>
      <w:r>
        <w:rPr>
          <w:rFonts w:hint="cs"/>
          <w:b/>
          <w:bCs/>
          <w:rtl/>
        </w:rPr>
        <w:t>צווים המוגש</w:t>
      </w:r>
      <w:r w:rsidR="00A34146">
        <w:rPr>
          <w:rFonts w:hint="cs"/>
          <w:b/>
          <w:bCs/>
          <w:rtl/>
        </w:rPr>
        <w:t>ות</w:t>
      </w:r>
      <w:r>
        <w:rPr>
          <w:rFonts w:hint="cs"/>
          <w:b/>
          <w:bCs/>
          <w:rtl/>
        </w:rPr>
        <w:t xml:space="preserve"> לבית המשפט כי </w:t>
      </w:r>
      <w:bookmarkStart w:id="259" w:name="_Hlk187302646"/>
      <w:r>
        <w:rPr>
          <w:rFonts w:hint="cs"/>
          <w:b/>
          <w:bCs/>
          <w:rtl/>
        </w:rPr>
        <w:t>המשטרה אינה רושמת בראש טופס הבקשה את מעמד יעד ההאזנה</w:t>
      </w:r>
      <w:r w:rsidR="000E504C">
        <w:rPr>
          <w:rFonts w:hint="cs"/>
          <w:b/>
          <w:bCs/>
          <w:rtl/>
        </w:rPr>
        <w:t xml:space="preserve"> (חשוד, קורבן, שותף עקיף וכיו"ב)</w:t>
      </w:r>
      <w:r>
        <w:rPr>
          <w:rFonts w:hint="cs"/>
          <w:b/>
          <w:bCs/>
          <w:rtl/>
        </w:rPr>
        <w:t xml:space="preserve"> ו</w:t>
      </w:r>
      <w:r w:rsidR="009473D1">
        <w:rPr>
          <w:rFonts w:hint="cs"/>
          <w:b/>
          <w:bCs/>
          <w:rtl/>
        </w:rPr>
        <w:t xml:space="preserve">את </w:t>
      </w:r>
      <w:r>
        <w:rPr>
          <w:rFonts w:hint="cs"/>
          <w:b/>
          <w:bCs/>
          <w:rtl/>
        </w:rPr>
        <w:t>זיקתו לעבירות בפרשייה</w:t>
      </w:r>
      <w:bookmarkEnd w:id="259"/>
      <w:r w:rsidR="004C686D">
        <w:rPr>
          <w:rFonts w:hint="cs"/>
          <w:b/>
          <w:bCs/>
          <w:rtl/>
        </w:rPr>
        <w:t>;</w:t>
      </w:r>
      <w:r w:rsidR="008868B6" w:rsidRPr="007D1895">
        <w:rPr>
          <w:b/>
          <w:bCs/>
          <w:rtl/>
        </w:rPr>
        <w:t xml:space="preserve"> </w:t>
      </w:r>
      <w:r w:rsidR="008868B6">
        <w:rPr>
          <w:rFonts w:hint="cs"/>
          <w:b/>
          <w:bCs/>
          <w:rtl/>
        </w:rPr>
        <w:t>וכי</w:t>
      </w:r>
      <w:r w:rsidR="008868B6" w:rsidRPr="007D1895">
        <w:rPr>
          <w:b/>
          <w:bCs/>
          <w:rtl/>
        </w:rPr>
        <w:t xml:space="preserve"> פרטיהם </w:t>
      </w:r>
      <w:r w:rsidR="008868B6" w:rsidRPr="007D1895">
        <w:rPr>
          <w:rFonts w:hint="cs"/>
          <w:b/>
          <w:bCs/>
          <w:rtl/>
        </w:rPr>
        <w:t>של</w:t>
      </w:r>
      <w:r w:rsidR="008868B6" w:rsidRPr="007D1895">
        <w:rPr>
          <w:b/>
          <w:bCs/>
          <w:rtl/>
        </w:rPr>
        <w:t xml:space="preserve"> </w:t>
      </w:r>
      <w:r w:rsidR="008868B6" w:rsidRPr="007D1895">
        <w:rPr>
          <w:rFonts w:hint="cs"/>
          <w:b/>
          <w:bCs/>
          <w:rtl/>
        </w:rPr>
        <w:t>יעדי</w:t>
      </w:r>
      <w:r w:rsidR="008868B6" w:rsidRPr="007D1895">
        <w:rPr>
          <w:b/>
          <w:bCs/>
          <w:rtl/>
        </w:rPr>
        <w:t xml:space="preserve"> </w:t>
      </w:r>
      <w:r w:rsidR="008868B6" w:rsidRPr="007D1895">
        <w:rPr>
          <w:rFonts w:hint="cs"/>
          <w:b/>
          <w:bCs/>
          <w:rtl/>
        </w:rPr>
        <w:t>האזנה</w:t>
      </w:r>
      <w:r w:rsidR="008868B6" w:rsidRPr="007D1895">
        <w:rPr>
          <w:b/>
          <w:bCs/>
          <w:rtl/>
        </w:rPr>
        <w:t xml:space="preserve"> </w:t>
      </w:r>
      <w:r w:rsidR="008868B6" w:rsidRPr="007D1895">
        <w:rPr>
          <w:rFonts w:hint="cs"/>
          <w:b/>
          <w:bCs/>
          <w:rtl/>
        </w:rPr>
        <w:t>נוספים</w:t>
      </w:r>
      <w:r w:rsidR="004C686D">
        <w:rPr>
          <w:rFonts w:hint="cs"/>
          <w:b/>
          <w:bCs/>
          <w:rtl/>
        </w:rPr>
        <w:t>, שאינם חשודים,</w:t>
      </w:r>
      <w:r w:rsidR="008868B6" w:rsidRPr="007D1895">
        <w:rPr>
          <w:b/>
          <w:bCs/>
          <w:rtl/>
        </w:rPr>
        <w:t xml:space="preserve"> </w:t>
      </w:r>
      <w:r w:rsidR="008868B6">
        <w:rPr>
          <w:rFonts w:hint="cs"/>
          <w:b/>
          <w:bCs/>
          <w:rtl/>
        </w:rPr>
        <w:t>מצוינים</w:t>
      </w:r>
      <w:r w:rsidR="008868B6" w:rsidRPr="007D1895">
        <w:rPr>
          <w:b/>
          <w:bCs/>
          <w:rtl/>
        </w:rPr>
        <w:t xml:space="preserve"> רק </w:t>
      </w:r>
      <w:r w:rsidR="00525992">
        <w:rPr>
          <w:rFonts w:hint="cs"/>
          <w:b/>
          <w:bCs/>
          <w:rtl/>
        </w:rPr>
        <w:t>בנימוקי</w:t>
      </w:r>
      <w:r w:rsidR="008868B6" w:rsidRPr="007D1895">
        <w:rPr>
          <w:b/>
          <w:bCs/>
          <w:rtl/>
        </w:rPr>
        <w:t xml:space="preserve"> הבקשה</w:t>
      </w:r>
      <w:r>
        <w:rPr>
          <w:rFonts w:hint="cs"/>
          <w:b/>
          <w:bCs/>
          <w:rtl/>
        </w:rPr>
        <w:t xml:space="preserve"> ולא בראש הטופס</w:t>
      </w:r>
      <w:r w:rsidR="008868B6" w:rsidRPr="007D1895">
        <w:rPr>
          <w:b/>
          <w:bCs/>
          <w:rtl/>
        </w:rPr>
        <w:t xml:space="preserve">. </w:t>
      </w:r>
      <w:bookmarkStart w:id="260" w:name="_Hlk189035677"/>
      <w:r w:rsidR="008868B6" w:rsidRPr="007D1895">
        <w:rPr>
          <w:b/>
          <w:bCs/>
          <w:rtl/>
        </w:rPr>
        <w:t xml:space="preserve">הגשת הבקשה באופן זה </w:t>
      </w:r>
      <w:bookmarkStart w:id="261" w:name="_Hlk187303216"/>
      <w:r w:rsidR="008868B6" w:rsidRPr="007D1895">
        <w:rPr>
          <w:b/>
          <w:bCs/>
          <w:rtl/>
        </w:rPr>
        <w:t>פוגע</w:t>
      </w:r>
      <w:r w:rsidR="008868B6">
        <w:rPr>
          <w:rFonts w:hint="cs"/>
          <w:b/>
          <w:bCs/>
          <w:rtl/>
        </w:rPr>
        <w:t>ת</w:t>
      </w:r>
      <w:r w:rsidR="008868B6" w:rsidRPr="007D1895">
        <w:rPr>
          <w:b/>
          <w:bCs/>
          <w:rtl/>
        </w:rPr>
        <w:t xml:space="preserve"> ביכולת של בית המשפט </w:t>
      </w:r>
      <w:r w:rsidR="003C3130">
        <w:rPr>
          <w:rFonts w:hint="cs"/>
          <w:b/>
          <w:bCs/>
          <w:rtl/>
        </w:rPr>
        <w:t>לשקול את השיקולים הנדרשים ו</w:t>
      </w:r>
      <w:r w:rsidR="008868B6" w:rsidRPr="007D1895">
        <w:rPr>
          <w:b/>
          <w:bCs/>
          <w:rtl/>
        </w:rPr>
        <w:t xml:space="preserve">לבחון את </w:t>
      </w:r>
      <w:r w:rsidR="008868B6" w:rsidRPr="007D1895">
        <w:rPr>
          <w:rFonts w:hint="cs"/>
          <w:b/>
          <w:bCs/>
          <w:rtl/>
        </w:rPr>
        <w:t>מהות</w:t>
      </w:r>
      <w:r w:rsidR="008868B6" w:rsidRPr="007D1895">
        <w:rPr>
          <w:b/>
          <w:bCs/>
          <w:rtl/>
        </w:rPr>
        <w:t xml:space="preserve"> </w:t>
      </w:r>
      <w:r w:rsidR="008868B6" w:rsidRPr="007D1895">
        <w:rPr>
          <w:rFonts w:hint="cs"/>
          <w:b/>
          <w:bCs/>
          <w:rtl/>
        </w:rPr>
        <w:t>הבקשה</w:t>
      </w:r>
      <w:r w:rsidR="008868B6" w:rsidRPr="007D1895">
        <w:rPr>
          <w:b/>
          <w:bCs/>
          <w:rtl/>
        </w:rPr>
        <w:t xml:space="preserve"> </w:t>
      </w:r>
      <w:r w:rsidR="008868B6" w:rsidRPr="007D1895">
        <w:rPr>
          <w:rFonts w:hint="cs"/>
          <w:b/>
          <w:bCs/>
          <w:rtl/>
        </w:rPr>
        <w:t>ו</w:t>
      </w:r>
      <w:r w:rsidR="008868B6">
        <w:rPr>
          <w:rFonts w:hint="cs"/>
          <w:b/>
          <w:bCs/>
          <w:rtl/>
        </w:rPr>
        <w:t xml:space="preserve">את </w:t>
      </w:r>
      <w:r w:rsidR="008868B6" w:rsidRPr="007D1895">
        <w:rPr>
          <w:rFonts w:hint="cs"/>
          <w:b/>
          <w:bCs/>
          <w:rtl/>
        </w:rPr>
        <w:t>נחיצותה</w:t>
      </w:r>
      <w:r w:rsidR="008868B6" w:rsidRPr="007D1895">
        <w:rPr>
          <w:b/>
          <w:bCs/>
          <w:rtl/>
        </w:rPr>
        <w:t xml:space="preserve"> </w:t>
      </w:r>
      <w:r w:rsidR="008868B6" w:rsidRPr="007D1895">
        <w:rPr>
          <w:rFonts w:hint="cs"/>
          <w:b/>
          <w:bCs/>
          <w:rtl/>
        </w:rPr>
        <w:t>ל</w:t>
      </w:r>
      <w:r w:rsidR="008868B6">
        <w:rPr>
          <w:rFonts w:hint="cs"/>
          <w:b/>
          <w:bCs/>
          <w:rtl/>
        </w:rPr>
        <w:t xml:space="preserve">גבי </w:t>
      </w:r>
      <w:r w:rsidR="008868B6" w:rsidRPr="007D1895">
        <w:rPr>
          <w:rFonts w:hint="cs"/>
          <w:b/>
          <w:bCs/>
          <w:rtl/>
        </w:rPr>
        <w:t>כל</w:t>
      </w:r>
      <w:r w:rsidR="008868B6" w:rsidRPr="007D1895">
        <w:rPr>
          <w:b/>
          <w:bCs/>
          <w:rtl/>
        </w:rPr>
        <w:t xml:space="preserve"> </w:t>
      </w:r>
      <w:r w:rsidR="008868B6" w:rsidRPr="007D1895">
        <w:rPr>
          <w:rFonts w:hint="cs"/>
          <w:b/>
          <w:bCs/>
          <w:rtl/>
        </w:rPr>
        <w:t>אחד</w:t>
      </w:r>
      <w:r w:rsidR="008868B6" w:rsidRPr="007D1895">
        <w:rPr>
          <w:b/>
          <w:bCs/>
          <w:rtl/>
        </w:rPr>
        <w:t xml:space="preserve"> </w:t>
      </w:r>
      <w:r w:rsidR="008868B6" w:rsidRPr="007D1895">
        <w:rPr>
          <w:rFonts w:hint="cs"/>
          <w:b/>
          <w:bCs/>
          <w:rtl/>
        </w:rPr>
        <w:t>מיעדי</w:t>
      </w:r>
      <w:r w:rsidR="008868B6" w:rsidRPr="007D1895">
        <w:rPr>
          <w:b/>
          <w:bCs/>
          <w:rtl/>
        </w:rPr>
        <w:t xml:space="preserve"> </w:t>
      </w:r>
      <w:r w:rsidR="008868B6" w:rsidRPr="007D1895">
        <w:rPr>
          <w:rFonts w:hint="cs"/>
          <w:b/>
          <w:bCs/>
          <w:rtl/>
        </w:rPr>
        <w:t>ההאזנה</w:t>
      </w:r>
      <w:r w:rsidR="008868B6">
        <w:rPr>
          <w:rFonts w:hint="cs"/>
          <w:b/>
          <w:bCs/>
          <w:rtl/>
        </w:rPr>
        <w:t xml:space="preserve"> </w:t>
      </w:r>
      <w:bookmarkStart w:id="262" w:name="_Hlk189035665"/>
      <w:r w:rsidR="003C3130">
        <w:rPr>
          <w:rFonts w:hint="cs"/>
          <w:b/>
          <w:bCs/>
          <w:rtl/>
        </w:rPr>
        <w:t xml:space="preserve">שאינם חשודים: </w:t>
      </w:r>
      <w:r w:rsidR="008868B6">
        <w:rPr>
          <w:rFonts w:hint="cs"/>
          <w:b/>
          <w:bCs/>
          <w:rtl/>
        </w:rPr>
        <w:t>שותפים עקיפים, קורבנות עבירה וקטינים</w:t>
      </w:r>
      <w:bookmarkEnd w:id="261"/>
      <w:r w:rsidR="008868B6" w:rsidRPr="007D1895">
        <w:rPr>
          <w:b/>
          <w:bCs/>
          <w:rtl/>
        </w:rPr>
        <w:t>.</w:t>
      </w:r>
      <w:r w:rsidR="008868B6">
        <w:rPr>
          <w:b/>
          <w:bCs/>
          <w:rtl/>
        </w:rPr>
        <w:t xml:space="preserve"> </w:t>
      </w:r>
      <w:bookmarkStart w:id="263" w:name="_Hlk187300760"/>
      <w:bookmarkEnd w:id="260"/>
      <w:bookmarkEnd w:id="262"/>
    </w:p>
    <w:bookmarkEnd w:id="258"/>
    <w:p w:rsidR="00453143" w:rsidRPr="00453143" w:rsidRDefault="002B0E02" w:rsidP="00925079">
      <w:pPr>
        <w:pStyle w:val="a5"/>
        <w:spacing w:line="269" w:lineRule="auto"/>
        <w:ind w:left="113"/>
        <w:rPr>
          <w:rtl/>
        </w:rPr>
      </w:pPr>
      <w:r>
        <w:rPr>
          <w:rFonts w:hint="cs"/>
          <w:rtl/>
        </w:rPr>
        <w:t xml:space="preserve"> </w:t>
      </w:r>
    </w:p>
    <w:p w:rsidR="0010406A" w:rsidRDefault="002E6BD1" w:rsidP="00925079">
      <w:pPr>
        <w:spacing w:line="269" w:lineRule="auto"/>
        <w:ind w:left="680"/>
        <w:rPr>
          <w:b/>
          <w:bCs/>
          <w:rtl/>
        </w:rPr>
      </w:pPr>
      <w:r w:rsidRPr="002E6BD1">
        <w:rPr>
          <w:rFonts w:hint="cs"/>
          <w:b/>
          <w:bCs/>
          <w:rtl/>
        </w:rPr>
        <w:t>רישום</w:t>
      </w:r>
      <w:r w:rsidR="006623D1">
        <w:rPr>
          <w:rFonts w:hint="cs"/>
          <w:b/>
          <w:bCs/>
          <w:rtl/>
        </w:rPr>
        <w:t xml:space="preserve"> המשטרה את</w:t>
      </w:r>
      <w:r w:rsidRPr="002E6BD1">
        <w:rPr>
          <w:rFonts w:hint="cs"/>
          <w:b/>
          <w:bCs/>
          <w:rtl/>
        </w:rPr>
        <w:t xml:space="preserve"> </w:t>
      </w:r>
      <w:r w:rsidR="006623D1">
        <w:rPr>
          <w:rFonts w:hint="cs"/>
          <w:b/>
          <w:bCs/>
          <w:rtl/>
        </w:rPr>
        <w:t>ה</w:t>
      </w:r>
      <w:r w:rsidRPr="002E6BD1">
        <w:rPr>
          <w:rFonts w:hint="cs"/>
          <w:b/>
          <w:bCs/>
          <w:rtl/>
        </w:rPr>
        <w:t xml:space="preserve">חשודים </w:t>
      </w:r>
      <w:r w:rsidR="006623D1">
        <w:rPr>
          <w:rFonts w:hint="cs"/>
          <w:b/>
          <w:bCs/>
          <w:rtl/>
        </w:rPr>
        <w:t>בפרשייה</w:t>
      </w:r>
      <w:r>
        <w:rPr>
          <w:rFonts w:hint="cs"/>
          <w:b/>
          <w:bCs/>
          <w:rtl/>
        </w:rPr>
        <w:t xml:space="preserve"> </w:t>
      </w:r>
      <w:r w:rsidR="006623D1">
        <w:rPr>
          <w:rFonts w:hint="cs"/>
          <w:b/>
          <w:bCs/>
          <w:rtl/>
        </w:rPr>
        <w:t xml:space="preserve">בלבד </w:t>
      </w:r>
      <w:r w:rsidRPr="002E6BD1">
        <w:rPr>
          <w:rFonts w:hint="cs"/>
          <w:b/>
          <w:bCs/>
          <w:rtl/>
        </w:rPr>
        <w:t>בראש טופס הבקשה גורר רישום שגוי של העבירות בראש הבקשה, אי</w:t>
      </w:r>
      <w:r w:rsidR="003377E1">
        <w:rPr>
          <w:rFonts w:hint="cs"/>
          <w:b/>
          <w:bCs/>
          <w:rtl/>
        </w:rPr>
        <w:t>-</w:t>
      </w:r>
      <w:r w:rsidRPr="002E6BD1">
        <w:rPr>
          <w:rFonts w:hint="cs"/>
          <w:b/>
          <w:bCs/>
          <w:rtl/>
        </w:rPr>
        <w:t>רישום יעדי האזנה שאינם חשודים בראש טופס הבקשה ו</w:t>
      </w:r>
      <w:r>
        <w:rPr>
          <w:rFonts w:hint="cs"/>
          <w:b/>
          <w:bCs/>
          <w:rtl/>
        </w:rPr>
        <w:t xml:space="preserve">אי </w:t>
      </w:r>
      <w:r w:rsidRPr="002E6BD1">
        <w:rPr>
          <w:rFonts w:hint="cs"/>
          <w:b/>
          <w:bCs/>
          <w:rtl/>
        </w:rPr>
        <w:t>עמידה על זיקתם לעילת ההאזנה והעבירות הרלוונטיות להם.</w:t>
      </w:r>
      <w:r>
        <w:rPr>
          <w:rFonts w:hint="cs"/>
          <w:b/>
          <w:bCs/>
          <w:rtl/>
        </w:rPr>
        <w:t xml:space="preserve"> </w:t>
      </w:r>
      <w:r w:rsidR="00C9164D">
        <w:rPr>
          <w:rFonts w:hint="cs"/>
          <w:b/>
          <w:bCs/>
          <w:rtl/>
        </w:rPr>
        <w:t>לפיכך</w:t>
      </w:r>
      <w:r>
        <w:rPr>
          <w:rFonts w:hint="cs"/>
          <w:b/>
          <w:bCs/>
          <w:rtl/>
        </w:rPr>
        <w:t xml:space="preserve">, </w:t>
      </w:r>
      <w:r w:rsidR="0010406A">
        <w:rPr>
          <w:rFonts w:hint="cs"/>
          <w:b/>
          <w:bCs/>
          <w:rtl/>
        </w:rPr>
        <w:t>תמונת האירוע הפלילי ודרך הצגתה לבית המשפט נפגמ</w:t>
      </w:r>
      <w:r w:rsidR="00C9164D">
        <w:rPr>
          <w:rFonts w:hint="cs"/>
          <w:b/>
          <w:bCs/>
          <w:rtl/>
        </w:rPr>
        <w:t>ו</w:t>
      </w:r>
      <w:r w:rsidR="0010406A">
        <w:rPr>
          <w:rFonts w:hint="cs"/>
          <w:b/>
          <w:bCs/>
          <w:rtl/>
        </w:rPr>
        <w:t>ת</w:t>
      </w:r>
      <w:r w:rsidR="0052391A">
        <w:rPr>
          <w:rFonts w:hint="cs"/>
          <w:b/>
          <w:bCs/>
          <w:rtl/>
        </w:rPr>
        <w:t>:</w:t>
      </w:r>
      <w:r w:rsidR="0010406A">
        <w:rPr>
          <w:rFonts w:hint="cs"/>
          <w:b/>
          <w:bCs/>
          <w:rtl/>
        </w:rPr>
        <w:t xml:space="preserve"> </w:t>
      </w:r>
      <w:bookmarkEnd w:id="263"/>
      <w:r w:rsidR="0010406A" w:rsidRPr="00E66DA1">
        <w:rPr>
          <w:b/>
          <w:bCs/>
          <w:rtl/>
        </w:rPr>
        <w:t>הבקשות היו נרחבות מדי ולא שיקפו את הצורך הענייני והברור בהאזנת הסתר</w:t>
      </w:r>
      <w:r w:rsidR="0010406A">
        <w:rPr>
          <w:rFonts w:hint="cs"/>
          <w:b/>
          <w:bCs/>
          <w:rtl/>
        </w:rPr>
        <w:t>, ו</w:t>
      </w:r>
      <w:r w:rsidR="0052391A">
        <w:rPr>
          <w:rFonts w:hint="cs"/>
          <w:b/>
          <w:bCs/>
          <w:rtl/>
        </w:rPr>
        <w:t xml:space="preserve">המידע שצוין בהן </w:t>
      </w:r>
      <w:r w:rsidR="0010406A" w:rsidRPr="00E66DA1">
        <w:rPr>
          <w:b/>
          <w:bCs/>
          <w:rtl/>
        </w:rPr>
        <w:t>לא ענ</w:t>
      </w:r>
      <w:r w:rsidR="0052391A">
        <w:rPr>
          <w:rFonts w:hint="cs"/>
          <w:b/>
          <w:bCs/>
          <w:rtl/>
        </w:rPr>
        <w:t>ה</w:t>
      </w:r>
      <w:r w:rsidR="0010406A" w:rsidRPr="00E66DA1">
        <w:rPr>
          <w:b/>
          <w:bCs/>
          <w:rtl/>
        </w:rPr>
        <w:t xml:space="preserve"> על השאלות</w:t>
      </w:r>
      <w:r w:rsidR="0052391A">
        <w:rPr>
          <w:rFonts w:hint="cs"/>
          <w:b/>
          <w:bCs/>
          <w:rtl/>
        </w:rPr>
        <w:t xml:space="preserve"> הללו</w:t>
      </w:r>
      <w:r w:rsidR="0010406A" w:rsidRPr="00E66DA1">
        <w:rPr>
          <w:b/>
          <w:bCs/>
          <w:rtl/>
        </w:rPr>
        <w:t xml:space="preserve"> - למה צריך להאזין</w:t>
      </w:r>
      <w:r w:rsidR="00C9164D">
        <w:rPr>
          <w:rFonts w:hint="cs"/>
          <w:b/>
          <w:bCs/>
          <w:rtl/>
        </w:rPr>
        <w:t>,</w:t>
      </w:r>
      <w:r w:rsidR="0010406A" w:rsidRPr="00E66DA1">
        <w:rPr>
          <w:b/>
          <w:bCs/>
          <w:rtl/>
        </w:rPr>
        <w:t xml:space="preserve"> למי צריך להאזין</w:t>
      </w:r>
      <w:r w:rsidR="00C9164D">
        <w:rPr>
          <w:rFonts w:hint="cs"/>
          <w:b/>
          <w:bCs/>
          <w:rtl/>
        </w:rPr>
        <w:t>,</w:t>
      </w:r>
      <w:r w:rsidR="00C9164D" w:rsidRPr="00E66DA1">
        <w:rPr>
          <w:b/>
          <w:bCs/>
          <w:rtl/>
        </w:rPr>
        <w:t xml:space="preserve"> </w:t>
      </w:r>
      <w:r w:rsidR="0010406A" w:rsidRPr="00E66DA1">
        <w:rPr>
          <w:b/>
          <w:bCs/>
          <w:rtl/>
        </w:rPr>
        <w:t>והאם העבירות המיוחסות ליעד ההאזנה חמורות דיין כדי להצדיק את הפגיעה בפרטיותו</w:t>
      </w:r>
      <w:r w:rsidR="0052391A">
        <w:rPr>
          <w:rFonts w:hint="cs"/>
          <w:b/>
          <w:bCs/>
          <w:rtl/>
        </w:rPr>
        <w:t xml:space="preserve">. </w:t>
      </w:r>
      <w:r w:rsidR="0010406A">
        <w:rPr>
          <w:rFonts w:hint="cs"/>
          <w:b/>
          <w:bCs/>
          <w:rtl/>
        </w:rPr>
        <w:t xml:space="preserve">לכן, </w:t>
      </w:r>
      <w:r w:rsidR="0010406A" w:rsidRPr="00FD0349">
        <w:rPr>
          <w:b/>
          <w:bCs/>
          <w:rtl/>
        </w:rPr>
        <w:t>יכולת</w:t>
      </w:r>
      <w:r w:rsidR="0010406A">
        <w:rPr>
          <w:rFonts w:hint="cs"/>
          <w:b/>
          <w:bCs/>
          <w:rtl/>
        </w:rPr>
        <w:t>ו</w:t>
      </w:r>
      <w:r w:rsidR="0010406A" w:rsidRPr="00FD0349">
        <w:rPr>
          <w:b/>
          <w:bCs/>
          <w:rtl/>
        </w:rPr>
        <w:t xml:space="preserve"> של בית המשפט לקיים </w:t>
      </w:r>
      <w:r w:rsidR="0010406A">
        <w:rPr>
          <w:rFonts w:hint="cs"/>
          <w:b/>
          <w:bCs/>
          <w:rtl/>
        </w:rPr>
        <w:t xml:space="preserve">באופן מיטבי </w:t>
      </w:r>
      <w:r w:rsidR="0010406A" w:rsidRPr="00FD0349">
        <w:rPr>
          <w:b/>
          <w:bCs/>
          <w:rtl/>
        </w:rPr>
        <w:t xml:space="preserve">הליך </w:t>
      </w:r>
      <w:r w:rsidR="0010406A">
        <w:rPr>
          <w:rFonts w:hint="cs"/>
          <w:b/>
          <w:bCs/>
          <w:rtl/>
        </w:rPr>
        <w:t>לבחינת כל אחד מ</w:t>
      </w:r>
      <w:r w:rsidR="0010406A" w:rsidRPr="00FD0349">
        <w:rPr>
          <w:rFonts w:hint="cs"/>
          <w:b/>
          <w:bCs/>
          <w:rtl/>
        </w:rPr>
        <w:t>יעדי</w:t>
      </w:r>
      <w:r w:rsidR="0010406A" w:rsidRPr="00FD0349">
        <w:rPr>
          <w:b/>
          <w:bCs/>
          <w:rtl/>
        </w:rPr>
        <w:t xml:space="preserve"> </w:t>
      </w:r>
      <w:r w:rsidR="0010406A" w:rsidRPr="00FD0349">
        <w:rPr>
          <w:rFonts w:hint="cs"/>
          <w:b/>
          <w:bCs/>
          <w:rtl/>
        </w:rPr>
        <w:t>ההאזנה</w:t>
      </w:r>
      <w:r w:rsidR="0010406A">
        <w:rPr>
          <w:rFonts w:hint="cs"/>
          <w:b/>
          <w:bCs/>
          <w:rtl/>
        </w:rPr>
        <w:t xml:space="preserve"> ולקבלת החלטה בעניינו</w:t>
      </w:r>
      <w:r w:rsidR="0052391A" w:rsidRPr="0052391A">
        <w:rPr>
          <w:rFonts w:hint="cs"/>
          <w:b/>
          <w:bCs/>
          <w:rtl/>
        </w:rPr>
        <w:t xml:space="preserve"> </w:t>
      </w:r>
      <w:r w:rsidR="0052391A">
        <w:rPr>
          <w:rFonts w:hint="cs"/>
          <w:b/>
          <w:bCs/>
          <w:rtl/>
        </w:rPr>
        <w:t>נפגעה במידה ניכרת</w:t>
      </w:r>
      <w:r w:rsidR="0010406A" w:rsidRPr="00FD0349">
        <w:rPr>
          <w:b/>
          <w:bCs/>
          <w:rtl/>
        </w:rPr>
        <w:t>.</w:t>
      </w:r>
    </w:p>
    <w:p w:rsidR="004C686D" w:rsidRDefault="004C686D" w:rsidP="00925079">
      <w:pPr>
        <w:pStyle w:val="a5"/>
        <w:spacing w:line="269" w:lineRule="auto"/>
        <w:ind w:left="113"/>
        <w:rPr>
          <w:rtl/>
        </w:rPr>
      </w:pPr>
    </w:p>
    <w:p w:rsidR="0010406A" w:rsidRDefault="004C686D" w:rsidP="00925079">
      <w:pPr>
        <w:spacing w:line="269" w:lineRule="auto"/>
        <w:ind w:left="680"/>
        <w:rPr>
          <w:rtl/>
        </w:rPr>
      </w:pPr>
      <w:r>
        <w:rPr>
          <w:rFonts w:hint="cs"/>
          <w:rtl/>
        </w:rPr>
        <w:t xml:space="preserve">המשטרה מסרה כי </w:t>
      </w:r>
      <w:r>
        <w:rPr>
          <w:rtl/>
        </w:rPr>
        <w:t>על פי דין, לא קיים איסור לכלול בבקשה אחת כמה מעורבים בעלי מעמד שונה או זיקה שונה לעבירות</w:t>
      </w:r>
      <w:r w:rsidR="00B07EC9">
        <w:rPr>
          <w:rFonts w:hint="cs"/>
          <w:rtl/>
        </w:rPr>
        <w:t>, וכי היא נוהגת לפרט את כלל יעדי ההאזנה בנימוקי הבקשה</w:t>
      </w:r>
      <w:r>
        <w:rPr>
          <w:rtl/>
        </w:rPr>
        <w:t xml:space="preserve">. </w:t>
      </w:r>
      <w:r>
        <w:rPr>
          <w:rFonts w:hint="cs"/>
          <w:rtl/>
        </w:rPr>
        <w:t>צירוף כלל המעורבים בבקשה אחת מאפשר</w:t>
      </w:r>
      <w:r>
        <w:rPr>
          <w:rtl/>
        </w:rPr>
        <w:t xml:space="preserve"> לשקף לבית משפט </w:t>
      </w:r>
      <w:r w:rsidR="004B68CC">
        <w:rPr>
          <w:rFonts w:hint="cs"/>
          <w:rtl/>
        </w:rPr>
        <w:t>את</w:t>
      </w:r>
      <w:r>
        <w:rPr>
          <w:rtl/>
        </w:rPr>
        <w:t xml:space="preserve"> מלוא המידע. ריבוי בקשות באותו עניין עשוי לגרום לעומס על בתי המשפט והמשטרה. </w:t>
      </w:r>
      <w:r w:rsidRPr="00D40F58">
        <w:rPr>
          <w:rtl/>
        </w:rPr>
        <w:t xml:space="preserve">באופן הזה נפרשת בפני בית המשפט על גבי בקשה אחת התמונה כולה, כך יכול בית המשפט לשקול את מלוא השיקולים בבואו להתיר או לדחות את הבקשה להאזנת סתר </w:t>
      </w:r>
      <w:r w:rsidR="007F02FD">
        <w:rPr>
          <w:rFonts w:hint="cs"/>
          <w:rtl/>
        </w:rPr>
        <w:t>בנוגע</w:t>
      </w:r>
      <w:r w:rsidR="007F02FD" w:rsidRPr="00D40F58">
        <w:rPr>
          <w:rtl/>
        </w:rPr>
        <w:t xml:space="preserve"> </w:t>
      </w:r>
      <w:r w:rsidRPr="00D40F58">
        <w:rPr>
          <w:rtl/>
        </w:rPr>
        <w:t>לכל אחד מהיעדים שההאזנה מבוקשת לגביהם</w:t>
      </w:r>
      <w:r>
        <w:rPr>
          <w:rFonts w:hint="cs"/>
          <w:rtl/>
        </w:rPr>
        <w:t>.</w:t>
      </w:r>
    </w:p>
    <w:p w:rsidR="000B59CE" w:rsidRPr="000B59CE" w:rsidRDefault="000B59CE" w:rsidP="00604C3D">
      <w:pPr>
        <w:pStyle w:val="a5"/>
        <w:spacing w:line="269" w:lineRule="auto"/>
        <w:rPr>
          <w:rtl/>
        </w:rPr>
      </w:pPr>
    </w:p>
    <w:p w:rsidR="00410E9A" w:rsidRDefault="00410E9A" w:rsidP="00925079">
      <w:pPr>
        <w:spacing w:line="269" w:lineRule="auto"/>
        <w:ind w:left="680"/>
        <w:rPr>
          <w:rtl/>
        </w:rPr>
      </w:pPr>
      <w:r>
        <w:rPr>
          <w:rFonts w:hint="cs"/>
          <w:rtl/>
        </w:rPr>
        <w:t xml:space="preserve">עוד מסרה המשטרה שלרוב שלב האזנת הסתר נעשה בראשיתה של חקירה, </w:t>
      </w:r>
      <w:r w:rsidR="007F02FD">
        <w:rPr>
          <w:rFonts w:hint="cs"/>
          <w:rtl/>
        </w:rPr>
        <w:t>ובשלב זה עדיין לא ברור</w:t>
      </w:r>
      <w:r w:rsidR="007F02FD" w:rsidDel="007F02FD">
        <w:rPr>
          <w:rFonts w:hint="cs"/>
          <w:rtl/>
        </w:rPr>
        <w:t xml:space="preserve"> </w:t>
      </w:r>
      <w:r w:rsidR="007F02FD">
        <w:rPr>
          <w:rFonts w:hint="cs"/>
          <w:rtl/>
        </w:rPr>
        <w:t xml:space="preserve">מה </w:t>
      </w:r>
      <w:r>
        <w:rPr>
          <w:rFonts w:hint="cs"/>
          <w:rtl/>
        </w:rPr>
        <w:t>חלקם של אותם מעורבים</w:t>
      </w:r>
      <w:r w:rsidR="00746A11">
        <w:rPr>
          <w:rFonts w:hint="cs"/>
          <w:rtl/>
        </w:rPr>
        <w:t>,</w:t>
      </w:r>
      <w:r w:rsidR="00F4401E">
        <w:rPr>
          <w:rFonts w:hint="cs"/>
          <w:rtl/>
        </w:rPr>
        <w:t xml:space="preserve"> וכי </w:t>
      </w:r>
      <w:r w:rsidR="000B59CE">
        <w:rPr>
          <w:rFonts w:hint="cs"/>
          <w:rtl/>
        </w:rPr>
        <w:t xml:space="preserve">קריאת נימוקי הבקשה, הפרוטוקול והחלטת השופט מלמדים את המשטרה שסיפור המעשה ומעורבות </w:t>
      </w:r>
      <w:r w:rsidR="00A12425">
        <w:rPr>
          <w:rFonts w:hint="cs"/>
          <w:rtl/>
        </w:rPr>
        <w:t xml:space="preserve">ומושאי </w:t>
      </w:r>
      <w:r w:rsidR="000B59CE">
        <w:rPr>
          <w:rFonts w:hint="cs"/>
          <w:rtl/>
        </w:rPr>
        <w:t>הבקשה הובהרו כדבעי</w:t>
      </w:r>
      <w:r>
        <w:rPr>
          <w:rFonts w:hint="cs"/>
          <w:rtl/>
        </w:rPr>
        <w:t xml:space="preserve">. </w:t>
      </w:r>
    </w:p>
    <w:p w:rsidR="0098777D" w:rsidRDefault="0098777D" w:rsidP="00925079">
      <w:pPr>
        <w:pStyle w:val="a5"/>
        <w:spacing w:line="269" w:lineRule="auto"/>
        <w:ind w:left="113"/>
        <w:rPr>
          <w:rtl/>
        </w:rPr>
      </w:pPr>
    </w:p>
    <w:p w:rsidR="00980D3A" w:rsidRDefault="00980D3A" w:rsidP="00925079">
      <w:pPr>
        <w:spacing w:line="269" w:lineRule="auto"/>
        <w:ind w:left="680"/>
        <w:rPr>
          <w:rtl/>
        </w:rPr>
      </w:pPr>
      <w:r w:rsidRPr="00AF1B98">
        <w:rPr>
          <w:rFonts w:hint="cs"/>
          <w:rtl/>
        </w:rPr>
        <w:t xml:space="preserve">כמו כן מסרה המשטרה כי </w:t>
      </w:r>
      <w:r w:rsidR="004028D1" w:rsidRPr="00AF1B98">
        <w:rPr>
          <w:rFonts w:hint="cs"/>
          <w:rtl/>
        </w:rPr>
        <w:t xml:space="preserve">על הביקורת לערוך הבחנה בין האופן הטכני בו נכתב הצו לבין תוכנו המהותי; וכי היא </w:t>
      </w:r>
      <w:r w:rsidRPr="00AF1B98">
        <w:rPr>
          <w:rFonts w:hint="cs"/>
          <w:rtl/>
        </w:rPr>
        <w:t>"</w:t>
      </w:r>
      <w:r w:rsidRPr="00AF1B98">
        <w:rPr>
          <w:rtl/>
        </w:rPr>
        <w:t>מציגה תמונה</w:t>
      </w:r>
      <w:r w:rsidRPr="00AF1B98">
        <w:rPr>
          <w:rFonts w:hint="cs"/>
          <w:rtl/>
        </w:rPr>
        <w:t xml:space="preserve"> </w:t>
      </w:r>
      <w:r w:rsidRPr="00AF1B98">
        <w:rPr>
          <w:rtl/>
        </w:rPr>
        <w:t>מלאה ומקיפה בבקשותיה להאזנות סתר, באופן אשר מביא בפני בית המשפט את התשתית</w:t>
      </w:r>
      <w:r w:rsidRPr="00AF1B98">
        <w:rPr>
          <w:rFonts w:hint="cs"/>
          <w:rtl/>
        </w:rPr>
        <w:t xml:space="preserve"> </w:t>
      </w:r>
      <w:r w:rsidRPr="00AF1B98">
        <w:rPr>
          <w:rtl/>
        </w:rPr>
        <w:t>העובדתית</w:t>
      </w:r>
      <w:r w:rsidRPr="00AF1B98">
        <w:rPr>
          <w:rFonts w:hint="cs"/>
          <w:rtl/>
        </w:rPr>
        <w:t>,</w:t>
      </w:r>
      <w:r w:rsidRPr="00AF1B98">
        <w:rPr>
          <w:rtl/>
        </w:rPr>
        <w:t xml:space="preserve"> המודיעינית ונסיבתית המלאה הנדרשת, על מנת שבית המשפט יוכל לשקול את מתן</w:t>
      </w:r>
      <w:r w:rsidRPr="00AF1B98">
        <w:rPr>
          <w:rFonts w:hint="cs"/>
          <w:rtl/>
        </w:rPr>
        <w:t xml:space="preserve"> </w:t>
      </w:r>
      <w:r w:rsidRPr="00AF1B98">
        <w:rPr>
          <w:rFonts w:ascii="David" w:hAnsi="David" w:hint="cs"/>
          <w:rtl/>
        </w:rPr>
        <w:t>ההיתר</w:t>
      </w:r>
      <w:r w:rsidRPr="00AF1B98">
        <w:rPr>
          <w:rtl/>
        </w:rPr>
        <w:t xml:space="preserve"> </w:t>
      </w:r>
      <w:r w:rsidRPr="00AF1B98">
        <w:rPr>
          <w:rFonts w:ascii="David" w:hAnsi="David" w:hint="cs"/>
          <w:rtl/>
        </w:rPr>
        <w:t>למול</w:t>
      </w:r>
      <w:r w:rsidRPr="00AF1B98">
        <w:rPr>
          <w:rtl/>
        </w:rPr>
        <w:t xml:space="preserve"> </w:t>
      </w:r>
      <w:r w:rsidRPr="00AF1B98">
        <w:rPr>
          <w:rFonts w:ascii="David" w:hAnsi="David" w:hint="cs"/>
          <w:rtl/>
        </w:rPr>
        <w:t>הוראות</w:t>
      </w:r>
      <w:r w:rsidRPr="00AF1B98">
        <w:rPr>
          <w:rtl/>
        </w:rPr>
        <w:t xml:space="preserve"> </w:t>
      </w:r>
      <w:r w:rsidRPr="00AF1B98">
        <w:rPr>
          <w:rFonts w:ascii="David" w:hAnsi="David" w:hint="cs"/>
          <w:rtl/>
        </w:rPr>
        <w:t>החוק</w:t>
      </w:r>
      <w:r w:rsidRPr="00AF1B98">
        <w:rPr>
          <w:rtl/>
        </w:rPr>
        <w:t xml:space="preserve"> </w:t>
      </w:r>
      <w:r w:rsidRPr="00AF1B98">
        <w:rPr>
          <w:rFonts w:ascii="David" w:hAnsi="David" w:hint="cs"/>
          <w:rtl/>
        </w:rPr>
        <w:t>ותקנותיו</w:t>
      </w:r>
      <w:r w:rsidRPr="00AF1B98">
        <w:rPr>
          <w:rFonts w:hint="cs"/>
          <w:rtl/>
        </w:rPr>
        <w:t>.</w:t>
      </w:r>
      <w:r w:rsidRPr="00AF1B98">
        <w:rPr>
          <w:rtl/>
        </w:rPr>
        <w:t xml:space="preserve"> </w:t>
      </w:r>
      <w:r w:rsidRPr="00AF1B98">
        <w:rPr>
          <w:rFonts w:ascii="David" w:hAnsi="David" w:hint="cs"/>
          <w:rtl/>
        </w:rPr>
        <w:t>בקשות</w:t>
      </w:r>
      <w:r w:rsidRPr="00AF1B98">
        <w:rPr>
          <w:rtl/>
        </w:rPr>
        <w:t xml:space="preserve"> אלו עוברות ביקורת שיפוטית תחת ידיה</w:t>
      </w:r>
      <w:r w:rsidRPr="00AF1B98">
        <w:rPr>
          <w:rFonts w:hint="cs"/>
          <w:rtl/>
        </w:rPr>
        <w:t>ם של נשיא בית המשפט או סגנו.</w:t>
      </w:r>
      <w:r w:rsidRPr="00AF1B98">
        <w:rPr>
          <w:rtl/>
        </w:rPr>
        <w:t xml:space="preserve"> </w:t>
      </w:r>
      <w:r w:rsidRPr="00AF1B98">
        <w:rPr>
          <w:rFonts w:ascii="David" w:hAnsi="David" w:hint="cs"/>
          <w:rtl/>
        </w:rPr>
        <w:t>לו</w:t>
      </w:r>
      <w:r w:rsidRPr="00AF1B98">
        <w:rPr>
          <w:rtl/>
        </w:rPr>
        <w:t xml:space="preserve"> </w:t>
      </w:r>
      <w:r w:rsidRPr="00AF1B98">
        <w:rPr>
          <w:rFonts w:ascii="David" w:hAnsi="David" w:hint="cs"/>
          <w:rtl/>
        </w:rPr>
        <w:t>סבר</w:t>
      </w:r>
      <w:r w:rsidRPr="00AF1B98">
        <w:rPr>
          <w:rtl/>
        </w:rPr>
        <w:t xml:space="preserve">, </w:t>
      </w:r>
      <w:r w:rsidRPr="00AF1B98">
        <w:rPr>
          <w:rFonts w:ascii="David" w:hAnsi="David" w:hint="cs"/>
          <w:rtl/>
        </w:rPr>
        <w:t>נשיא</w:t>
      </w:r>
      <w:r w:rsidRPr="00AF1B98">
        <w:rPr>
          <w:rtl/>
        </w:rPr>
        <w:t xml:space="preserve"> </w:t>
      </w:r>
      <w:r w:rsidRPr="00AF1B98">
        <w:rPr>
          <w:rFonts w:ascii="David" w:hAnsi="David" w:hint="cs"/>
          <w:rtl/>
        </w:rPr>
        <w:t>בית</w:t>
      </w:r>
      <w:r w:rsidRPr="00AF1B98">
        <w:rPr>
          <w:rtl/>
        </w:rPr>
        <w:t xml:space="preserve"> </w:t>
      </w:r>
      <w:r w:rsidRPr="00AF1B98">
        <w:rPr>
          <w:rFonts w:ascii="David" w:hAnsi="David" w:hint="cs"/>
          <w:rtl/>
        </w:rPr>
        <w:t>המשפט</w:t>
      </w:r>
      <w:r w:rsidRPr="00AF1B98">
        <w:rPr>
          <w:rtl/>
        </w:rPr>
        <w:t xml:space="preserve"> </w:t>
      </w:r>
      <w:r w:rsidRPr="00AF1B98">
        <w:rPr>
          <w:rFonts w:ascii="David" w:hAnsi="David" w:hint="cs"/>
          <w:rtl/>
        </w:rPr>
        <w:t>המחוזי</w:t>
      </w:r>
      <w:r w:rsidRPr="00AF1B98">
        <w:rPr>
          <w:rtl/>
        </w:rPr>
        <w:t xml:space="preserve"> </w:t>
      </w:r>
      <w:r w:rsidRPr="00AF1B98">
        <w:rPr>
          <w:rFonts w:ascii="David" w:hAnsi="David" w:hint="cs"/>
          <w:rtl/>
        </w:rPr>
        <w:t>או</w:t>
      </w:r>
      <w:r w:rsidRPr="00AF1B98">
        <w:rPr>
          <w:rtl/>
        </w:rPr>
        <w:t xml:space="preserve"> </w:t>
      </w:r>
      <w:r w:rsidRPr="00AF1B98">
        <w:rPr>
          <w:rFonts w:ascii="David" w:hAnsi="David" w:hint="cs"/>
          <w:rtl/>
        </w:rPr>
        <w:t>סגנו</w:t>
      </w:r>
      <w:r w:rsidR="006B3486" w:rsidRPr="00AF1B98">
        <w:rPr>
          <w:rFonts w:ascii="David" w:hAnsi="David" w:hint="cs"/>
          <w:rtl/>
        </w:rPr>
        <w:t>,</w:t>
      </w:r>
      <w:r w:rsidRPr="00AF1B98">
        <w:rPr>
          <w:rtl/>
        </w:rPr>
        <w:t xml:space="preserve"> </w:t>
      </w:r>
      <w:r w:rsidRPr="00AF1B98">
        <w:rPr>
          <w:rFonts w:ascii="David" w:hAnsi="David" w:hint="cs"/>
          <w:rtl/>
        </w:rPr>
        <w:t>כי</w:t>
      </w:r>
      <w:r w:rsidRPr="00AF1B98">
        <w:rPr>
          <w:rtl/>
        </w:rPr>
        <w:t xml:space="preserve"> </w:t>
      </w:r>
      <w:r w:rsidRPr="00AF1B98">
        <w:rPr>
          <w:rFonts w:ascii="David" w:hAnsi="David" w:hint="cs"/>
          <w:rtl/>
        </w:rPr>
        <w:t>קיים</w:t>
      </w:r>
      <w:r w:rsidRPr="00AF1B98">
        <w:rPr>
          <w:rtl/>
        </w:rPr>
        <w:t xml:space="preserve"> </w:t>
      </w:r>
      <w:r w:rsidRPr="00AF1B98">
        <w:rPr>
          <w:rFonts w:ascii="David" w:hAnsi="David" w:hint="cs"/>
          <w:rtl/>
        </w:rPr>
        <w:t>דופי</w:t>
      </w:r>
      <w:r w:rsidRPr="00AF1B98">
        <w:rPr>
          <w:rtl/>
        </w:rPr>
        <w:t xml:space="preserve"> </w:t>
      </w:r>
      <w:r w:rsidRPr="00AF1B98">
        <w:rPr>
          <w:rFonts w:ascii="David" w:hAnsi="David" w:hint="cs"/>
          <w:rtl/>
        </w:rPr>
        <w:t>בצווים</w:t>
      </w:r>
      <w:r w:rsidRPr="00AF1B98">
        <w:rPr>
          <w:rFonts w:hint="cs"/>
          <w:rtl/>
        </w:rPr>
        <w:t xml:space="preserve"> </w:t>
      </w:r>
      <w:r w:rsidRPr="00AF1B98">
        <w:rPr>
          <w:rtl/>
        </w:rPr>
        <w:t xml:space="preserve">או </w:t>
      </w:r>
      <w:r w:rsidR="006B3486" w:rsidRPr="00AF1B98">
        <w:rPr>
          <w:rFonts w:hint="cs"/>
          <w:rtl/>
        </w:rPr>
        <w:t xml:space="preserve">שמא </w:t>
      </w:r>
      <w:r w:rsidRPr="00AF1B98">
        <w:rPr>
          <w:rFonts w:ascii="David" w:hAnsi="David" w:hint="cs"/>
          <w:rtl/>
        </w:rPr>
        <w:t>קיימים</w:t>
      </w:r>
      <w:r w:rsidRPr="00AF1B98">
        <w:rPr>
          <w:rtl/>
        </w:rPr>
        <w:t xml:space="preserve"> </w:t>
      </w:r>
      <w:r w:rsidRPr="00AF1B98">
        <w:rPr>
          <w:rFonts w:ascii="David" w:hAnsi="David" w:hint="cs"/>
          <w:rtl/>
        </w:rPr>
        <w:t>פרטים</w:t>
      </w:r>
      <w:r w:rsidRPr="00AF1B98">
        <w:rPr>
          <w:rtl/>
        </w:rPr>
        <w:t xml:space="preserve"> </w:t>
      </w:r>
      <w:r w:rsidRPr="00AF1B98">
        <w:rPr>
          <w:rFonts w:ascii="David" w:hAnsi="David" w:hint="cs"/>
          <w:rtl/>
        </w:rPr>
        <w:t>חסרים</w:t>
      </w:r>
      <w:r w:rsidRPr="00AF1B98">
        <w:rPr>
          <w:rtl/>
        </w:rPr>
        <w:t xml:space="preserve"> </w:t>
      </w:r>
      <w:r w:rsidRPr="00AF1B98">
        <w:rPr>
          <w:rFonts w:ascii="David" w:hAnsi="David" w:hint="cs"/>
          <w:rtl/>
        </w:rPr>
        <w:t>בבקשה</w:t>
      </w:r>
      <w:r w:rsidRPr="00AF1B98">
        <w:rPr>
          <w:rFonts w:hint="cs"/>
          <w:rtl/>
        </w:rPr>
        <w:t>, הרי שלא היה מאשר אותם</w:t>
      </w:r>
      <w:r w:rsidR="006B3486" w:rsidRPr="00AF1B98">
        <w:rPr>
          <w:rFonts w:hint="cs"/>
          <w:rtl/>
        </w:rPr>
        <w:t>,</w:t>
      </w:r>
      <w:r w:rsidRPr="00AF1B98">
        <w:rPr>
          <w:rFonts w:hint="cs"/>
          <w:rtl/>
        </w:rPr>
        <w:t xml:space="preserve"> או שהיה מציין בהחלטה כי יש </w:t>
      </w:r>
      <w:r w:rsidRPr="00AF1B98">
        <w:rPr>
          <w:rtl/>
        </w:rPr>
        <w:t>צורך בפירוט נוסף. על כן אמירה לפיה משטרת ישראל מציגה תמונה מעורפלת מקוממת ואיננה</w:t>
      </w:r>
      <w:r w:rsidRPr="00AF1B98">
        <w:rPr>
          <w:rFonts w:hint="cs"/>
          <w:rtl/>
        </w:rPr>
        <w:t xml:space="preserve"> </w:t>
      </w:r>
      <w:r w:rsidRPr="00AF1B98">
        <w:rPr>
          <w:rtl/>
        </w:rPr>
        <w:t xml:space="preserve">נכונה. </w:t>
      </w:r>
      <w:r w:rsidRPr="000C49C0">
        <w:rPr>
          <w:rtl/>
        </w:rPr>
        <w:t>במסקנה זו, באופן עקיף, הביקורת למעשה מטילה ביקורת על נשיאי וסגני בתי המשפט המחוזיים. שכביכול שיקול דעתם המקצועי שגוי."</w:t>
      </w:r>
    </w:p>
    <w:p w:rsidR="002B0E02" w:rsidRDefault="002B0E02" w:rsidP="00925079">
      <w:pPr>
        <w:spacing w:line="269" w:lineRule="auto"/>
        <w:ind w:left="680"/>
        <w:rPr>
          <w:b/>
          <w:bCs/>
          <w:rtl/>
        </w:rPr>
      </w:pPr>
    </w:p>
    <w:p w:rsidR="005B555C" w:rsidRPr="005B555C" w:rsidRDefault="005B555C" w:rsidP="00925079">
      <w:pPr>
        <w:spacing w:line="269" w:lineRule="auto"/>
        <w:ind w:left="680"/>
        <w:rPr>
          <w:b/>
          <w:bCs/>
          <w:rtl/>
        </w:rPr>
      </w:pPr>
      <w:r w:rsidRPr="005B555C">
        <w:rPr>
          <w:rFonts w:hint="cs"/>
          <w:b/>
          <w:bCs/>
          <w:rtl/>
        </w:rPr>
        <w:t xml:space="preserve">מבקר המדינה מבהיר למשטרה כי הפערים בניסוח הבקשות הנוגעות ליעדי האזנה שאינם חשודים מלמדים על הצגת תמונה מעורפלת בבקשה הכוללת מספר יעדי האזנה במעמד שונה; על היעדר מיקוד בהגדרת הצורך בהאזנה ועל פגיעה באפקטיביות הבחינה של הבקשות עקב כך. </w:t>
      </w:r>
      <w:bookmarkStart w:id="264" w:name="_Hlk189039756"/>
      <w:r w:rsidRPr="005B555C">
        <w:rPr>
          <w:rFonts w:hint="cs"/>
          <w:b/>
          <w:bCs/>
          <w:rtl/>
        </w:rPr>
        <w:t xml:space="preserve">היעדר חובה מכוח חוק אינה מפחיתה מחובתה של המשטרה להציג תמונה ברורה בראש טופס הבקשה בנוגע ליעדי ההאזנה המבוקשים, ואינה מפחיתה מן ההכרח להציג את הצורך הקונקרטי בהאזנה ליעדים מסוימים בראש טופס הבקשה נוסף על הצגת פרטי הפרשייה המלאה בנימוקי הבקשה, לרבות חשודים ומעורבים שאינם יעדי האזנה. </w:t>
      </w:r>
      <w:bookmarkEnd w:id="264"/>
    </w:p>
    <w:p w:rsidR="005B555C" w:rsidRPr="005B555C" w:rsidRDefault="005B555C" w:rsidP="00925079">
      <w:pPr>
        <w:spacing w:line="269" w:lineRule="auto"/>
        <w:ind w:left="680"/>
        <w:rPr>
          <w:b/>
          <w:bCs/>
          <w:rtl/>
        </w:rPr>
      </w:pPr>
    </w:p>
    <w:p w:rsidR="005B555C" w:rsidRPr="005B555C" w:rsidRDefault="005B555C" w:rsidP="00925079">
      <w:pPr>
        <w:spacing w:line="269" w:lineRule="auto"/>
        <w:ind w:left="680"/>
        <w:rPr>
          <w:b/>
          <w:bCs/>
          <w:rtl/>
        </w:rPr>
      </w:pPr>
      <w:r w:rsidRPr="005B555C">
        <w:rPr>
          <w:rFonts w:hint="cs"/>
          <w:b/>
          <w:bCs/>
          <w:rtl/>
        </w:rPr>
        <w:t>מוצע כי המשטרה</w:t>
      </w:r>
      <w:r w:rsidRPr="005B555C">
        <w:rPr>
          <w:b/>
          <w:bCs/>
          <w:rtl/>
        </w:rPr>
        <w:t xml:space="preserve"> תכלול בנהלי</w:t>
      </w:r>
      <w:r w:rsidRPr="005B555C">
        <w:rPr>
          <w:rFonts w:hint="cs"/>
          <w:b/>
          <w:bCs/>
          <w:rtl/>
        </w:rPr>
        <w:t>ה</w:t>
      </w:r>
      <w:r w:rsidRPr="005B555C">
        <w:rPr>
          <w:b/>
          <w:bCs/>
          <w:rtl/>
        </w:rPr>
        <w:t xml:space="preserve"> דרישה להקפיד על </w:t>
      </w:r>
      <w:r w:rsidRPr="005B555C">
        <w:rPr>
          <w:rFonts w:hint="cs"/>
          <w:b/>
          <w:bCs/>
          <w:rtl/>
        </w:rPr>
        <w:t xml:space="preserve">הפרדה בין יעדי ההאזנה השונים תוך ציון מעמדו של כל יעד האזנה ובפרט ציון מעמדם של יעדי האזנה שאינם חשודים (שותפים עקיפים, קורבנות עבירה וקטינים). </w:t>
      </w:r>
      <w:bookmarkStart w:id="265" w:name="_Hlk189039515"/>
      <w:r w:rsidRPr="005B555C">
        <w:rPr>
          <w:rFonts w:hint="cs"/>
          <w:b/>
          <w:bCs/>
          <w:rtl/>
        </w:rPr>
        <w:t xml:space="preserve">כמו כן, עליה לרשום בבקשה בנוגע לכל יעד האזנה בנפרד את הנימוקים הקונקרטיים להאזנה לו </w:t>
      </w:r>
      <w:bookmarkEnd w:id="265"/>
      <w:r w:rsidRPr="005B555C">
        <w:rPr>
          <w:rFonts w:hint="cs"/>
          <w:b/>
          <w:bCs/>
          <w:rtl/>
        </w:rPr>
        <w:t>כדי להצדיק את הוצאת הצו, ובייחוד במקרים שבהם מבוקשת ההאזנה ליעדי האזנה שאינם חשודים. בין היתר, עליה לנמק את חיוניות ההאזנה דווקא ליעד זה ולא לגורמים אחרים המעורבים בפרשייה ולבחון אם אין חלופה (פעולת חקירה אחרת)</w:t>
      </w:r>
      <w:r w:rsidRPr="005B555C">
        <w:rPr>
          <w:rFonts w:hint="cs"/>
          <w:b/>
          <w:bCs/>
        </w:rPr>
        <w:t xml:space="preserve"> </w:t>
      </w:r>
      <w:r w:rsidRPr="005B555C">
        <w:rPr>
          <w:rFonts w:hint="cs"/>
          <w:b/>
          <w:bCs/>
          <w:rtl/>
        </w:rPr>
        <w:t>שפגיעתה באותו אדם פחותה יותר.</w:t>
      </w:r>
    </w:p>
    <w:p w:rsidR="002B0E02" w:rsidRDefault="002B0E02" w:rsidP="00925079">
      <w:pPr>
        <w:spacing w:line="269" w:lineRule="auto"/>
        <w:ind w:left="680"/>
        <w:rPr>
          <w:rtl/>
        </w:rPr>
      </w:pPr>
    </w:p>
    <w:p w:rsidR="005B555C" w:rsidRPr="005B555C" w:rsidRDefault="005B555C" w:rsidP="00925079">
      <w:pPr>
        <w:spacing w:line="269" w:lineRule="auto"/>
        <w:ind w:left="680"/>
        <w:rPr>
          <w:b/>
          <w:bCs/>
          <w:rtl/>
        </w:rPr>
      </w:pPr>
      <w:r w:rsidRPr="005B555C">
        <w:rPr>
          <w:rFonts w:hint="cs"/>
          <w:b/>
          <w:bCs/>
          <w:rtl/>
        </w:rPr>
        <w:t>יתרה מכך, חשיבות רישום נאות של יעדי האזנה מתחדדת לנוכח מקרים בהם</w:t>
      </w:r>
      <w:r w:rsidRPr="005B555C">
        <w:rPr>
          <w:b/>
          <w:bCs/>
          <w:rtl/>
        </w:rPr>
        <w:t xml:space="preserve"> המשטרה הצהירה על כוונה להאזין לצבר של יעדי האזנה אך לא מימשה כוונה זו, </w:t>
      </w:r>
      <w:r w:rsidRPr="005B555C">
        <w:rPr>
          <w:rFonts w:hint="cs"/>
          <w:b/>
          <w:bCs/>
          <w:rtl/>
        </w:rPr>
        <w:t xml:space="preserve">ומימוש הצו התבצע רק כלפי יעדי ההאזנה הרשומים בנימוקי הבקשה. </w:t>
      </w:r>
      <w:r w:rsidRPr="005B555C">
        <w:rPr>
          <w:b/>
          <w:bCs/>
          <w:rtl/>
        </w:rPr>
        <w:t xml:space="preserve">בכך </w:t>
      </w:r>
      <w:r w:rsidRPr="005B555C">
        <w:rPr>
          <w:rFonts w:hint="cs"/>
          <w:b/>
          <w:bCs/>
          <w:rtl/>
        </w:rPr>
        <w:t>המשטרה</w:t>
      </w:r>
      <w:r w:rsidRPr="005B555C">
        <w:rPr>
          <w:b/>
          <w:bCs/>
          <w:rtl/>
        </w:rPr>
        <w:t xml:space="preserve"> עלולה להטעות את בית המשפט בשל דרך מילוי הבקשות</w:t>
      </w:r>
      <w:r w:rsidRPr="005B555C">
        <w:rPr>
          <w:rFonts w:hint="cs"/>
          <w:b/>
          <w:bCs/>
          <w:rtl/>
        </w:rPr>
        <w:t>.</w:t>
      </w:r>
    </w:p>
    <w:p w:rsidR="002B0E02" w:rsidRDefault="002B0E02" w:rsidP="00925079">
      <w:pPr>
        <w:spacing w:line="269" w:lineRule="auto"/>
        <w:ind w:left="680"/>
        <w:rPr>
          <w:b/>
          <w:bCs/>
          <w:rtl/>
        </w:rPr>
      </w:pPr>
    </w:p>
    <w:p w:rsidR="008868B6" w:rsidRDefault="0098777D" w:rsidP="00925079">
      <w:pPr>
        <w:spacing w:line="269" w:lineRule="auto"/>
        <w:ind w:left="680"/>
        <w:rPr>
          <w:b/>
          <w:bCs/>
          <w:rtl/>
        </w:rPr>
      </w:pPr>
      <w:r>
        <w:rPr>
          <w:rFonts w:hint="cs"/>
          <w:b/>
          <w:bCs/>
          <w:rtl/>
        </w:rPr>
        <w:t>מבקר המדינה</w:t>
      </w:r>
      <w:r w:rsidR="00493FB2">
        <w:rPr>
          <w:rFonts w:hint="cs"/>
          <w:b/>
          <w:bCs/>
          <w:rtl/>
        </w:rPr>
        <w:t xml:space="preserve"> עוד</w:t>
      </w:r>
      <w:r>
        <w:rPr>
          <w:rFonts w:hint="cs"/>
          <w:b/>
          <w:bCs/>
          <w:rtl/>
        </w:rPr>
        <w:t xml:space="preserve"> מבהיר כי </w:t>
      </w:r>
      <w:r w:rsidR="0086059E">
        <w:rPr>
          <w:rFonts w:hint="cs"/>
          <w:b/>
          <w:bCs/>
          <w:rtl/>
        </w:rPr>
        <w:t>הערות הביקורת בחלק זה אינן מופנות לבתי המשפט ולשופטים, אלא למילוי תפקידה של</w:t>
      </w:r>
      <w:r w:rsidR="007E63EF">
        <w:rPr>
          <w:rFonts w:hint="cs"/>
          <w:b/>
          <w:bCs/>
          <w:rtl/>
        </w:rPr>
        <w:t xml:space="preserve"> המשטרה</w:t>
      </w:r>
      <w:r w:rsidR="0086059E">
        <w:rPr>
          <w:rFonts w:hint="cs"/>
          <w:b/>
          <w:bCs/>
          <w:rtl/>
        </w:rPr>
        <w:t xml:space="preserve"> בסיוע לבתי המשפט במלאכת עשיית הצדק ובניהול ההליך המשפטי</w:t>
      </w:r>
      <w:r w:rsidR="00AF1B98">
        <w:rPr>
          <w:rFonts w:hint="cs"/>
          <w:b/>
          <w:bCs/>
          <w:rtl/>
        </w:rPr>
        <w:t xml:space="preserve"> כ"קצין בית המשפט".</w:t>
      </w:r>
      <w:r w:rsidR="0086059E">
        <w:rPr>
          <w:rFonts w:hint="cs"/>
          <w:b/>
          <w:bCs/>
          <w:rtl/>
        </w:rPr>
        <w:t xml:space="preserve"> </w:t>
      </w:r>
      <w:r w:rsidR="00AF1B98">
        <w:rPr>
          <w:rFonts w:hint="cs"/>
          <w:b/>
          <w:bCs/>
          <w:rtl/>
        </w:rPr>
        <w:t>יוצא אפוא כי</w:t>
      </w:r>
      <w:r w:rsidR="0086059E">
        <w:rPr>
          <w:rFonts w:hint="cs"/>
          <w:b/>
          <w:bCs/>
          <w:rtl/>
        </w:rPr>
        <w:t xml:space="preserve"> </w:t>
      </w:r>
      <w:r w:rsidR="001766A0">
        <w:rPr>
          <w:rFonts w:hint="cs"/>
          <w:b/>
          <w:bCs/>
          <w:rtl/>
        </w:rPr>
        <w:t>על המשטרה</w:t>
      </w:r>
      <w:r w:rsidR="0005723E">
        <w:rPr>
          <w:rFonts w:hint="cs"/>
          <w:b/>
          <w:bCs/>
          <w:rtl/>
        </w:rPr>
        <w:t xml:space="preserve">, </w:t>
      </w:r>
      <w:r w:rsidR="00493FB2">
        <w:rPr>
          <w:rFonts w:hint="cs"/>
          <w:b/>
          <w:bCs/>
          <w:rtl/>
        </w:rPr>
        <w:t>ה</w:t>
      </w:r>
      <w:r w:rsidR="00AF1B98">
        <w:rPr>
          <w:rFonts w:hint="cs"/>
          <w:b/>
          <w:bCs/>
          <w:rtl/>
        </w:rPr>
        <w:t>משמשת כ"קצין בית המשפט",</w:t>
      </w:r>
      <w:r w:rsidR="001766A0">
        <w:rPr>
          <w:rFonts w:hint="cs"/>
          <w:b/>
          <w:bCs/>
          <w:rtl/>
        </w:rPr>
        <w:t xml:space="preserve"> לפרט את הזיקה של כל יעד האזנה לעבירות המפורטות בבקשה בהתאם ל</w:t>
      </w:r>
      <w:r w:rsidR="007B1D64">
        <w:rPr>
          <w:rFonts w:hint="cs"/>
          <w:b/>
          <w:bCs/>
          <w:rtl/>
        </w:rPr>
        <w:t>חוק האזנת סתר</w:t>
      </w:r>
      <w:r w:rsidR="001766A0">
        <w:rPr>
          <w:rFonts w:hint="cs"/>
          <w:b/>
          <w:bCs/>
          <w:rtl/>
        </w:rPr>
        <w:t xml:space="preserve"> ותקנותיו. </w:t>
      </w:r>
    </w:p>
    <w:p w:rsidR="00453143" w:rsidRDefault="00453143" w:rsidP="00604C3D">
      <w:pPr>
        <w:spacing w:line="269" w:lineRule="auto"/>
        <w:rPr>
          <w:b/>
          <w:bCs/>
          <w:rtl/>
        </w:rPr>
      </w:pPr>
    </w:p>
    <w:p w:rsidR="008868B6" w:rsidRPr="00DF4426" w:rsidRDefault="008868B6" w:rsidP="008C598D">
      <w:pPr>
        <w:pStyle w:val="5"/>
        <w:numPr>
          <w:ilvl w:val="2"/>
          <w:numId w:val="43"/>
        </w:numPr>
        <w:spacing w:line="269" w:lineRule="auto"/>
        <w:ind w:left="707"/>
      </w:pPr>
      <w:r w:rsidRPr="00DF4426">
        <w:rPr>
          <w:rFonts w:hint="cs"/>
          <w:rtl/>
        </w:rPr>
        <w:t>מילוי והגשה של בקשות האזנה לשותפים עקיפים לביצוע עבירה</w:t>
      </w:r>
    </w:p>
    <w:p w:rsidR="002B0E02" w:rsidRDefault="002B0E02" w:rsidP="00604C3D">
      <w:pPr>
        <w:spacing w:line="269" w:lineRule="auto"/>
        <w:rPr>
          <w:rtl/>
        </w:rPr>
      </w:pPr>
      <w:bookmarkStart w:id="266" w:name="_Hlk145326144"/>
    </w:p>
    <w:p w:rsidR="008868B6" w:rsidRDefault="008868B6" w:rsidP="00925079">
      <w:pPr>
        <w:spacing w:line="269" w:lineRule="auto"/>
        <w:ind w:left="680"/>
        <w:rPr>
          <w:rtl/>
        </w:rPr>
      </w:pPr>
      <w:r w:rsidRPr="005F73D7">
        <w:rPr>
          <w:rFonts w:hint="cs"/>
          <w:rtl/>
        </w:rPr>
        <w:t>חוק העונשין מבחין בין שני סוגי המעורבות בביצוע העבירה: שותפות ישירה בביצוע העבירה העיקרית</w:t>
      </w:r>
      <w:r w:rsidR="00F078A3">
        <w:rPr>
          <w:rFonts w:hint="cs"/>
          <w:rtl/>
        </w:rPr>
        <w:t xml:space="preserve"> </w:t>
      </w:r>
      <w:r w:rsidRPr="005F73D7">
        <w:rPr>
          <w:rFonts w:hint="cs"/>
          <w:rtl/>
        </w:rPr>
        <w:t>או שותפות עקיפה בביצועה</w:t>
      </w:r>
      <w:r w:rsidR="004B73A7">
        <w:rPr>
          <w:rStyle w:val="af"/>
          <w:rtl/>
        </w:rPr>
        <w:footnoteReference w:id="105"/>
      </w:r>
      <w:r w:rsidRPr="005F73D7">
        <w:rPr>
          <w:rFonts w:hint="cs"/>
          <w:rtl/>
        </w:rPr>
        <w:t>. ניתן לייחס לאדם שותפות לביצוע עבירה באמצעות אחת משתי דרכים אלה: (א)</w:t>
      </w:r>
      <w:r>
        <w:rPr>
          <w:rFonts w:hint="cs"/>
          <w:rtl/>
        </w:rPr>
        <w:t xml:space="preserve"> </w:t>
      </w:r>
      <w:r w:rsidR="00AB3E7F" w:rsidRPr="005F73D7">
        <w:rPr>
          <w:rFonts w:hint="cs"/>
          <w:rtl/>
        </w:rPr>
        <w:t xml:space="preserve">ייחוס שותפות </w:t>
      </w:r>
      <w:r w:rsidR="00AB3E7F">
        <w:rPr>
          <w:rFonts w:hint="cs"/>
          <w:rtl/>
        </w:rPr>
        <w:t xml:space="preserve">עקיפה </w:t>
      </w:r>
      <w:r w:rsidR="00AB3E7F" w:rsidRPr="005F73D7">
        <w:rPr>
          <w:rFonts w:hint="cs"/>
          <w:rtl/>
        </w:rPr>
        <w:t>לעבירה העיקרית, שהעונש עליה על פי רוב הוא מחצית מן העונש על העבירה העיקרית</w:t>
      </w:r>
      <w:r w:rsidRPr="005F73D7">
        <w:rPr>
          <w:rStyle w:val="af"/>
          <w:rtl/>
        </w:rPr>
        <w:footnoteReference w:id="106"/>
      </w:r>
      <w:r w:rsidRPr="005F73D7">
        <w:rPr>
          <w:rFonts w:hint="cs"/>
          <w:rtl/>
        </w:rPr>
        <w:t>- זו עשויה להיות עבירת עוון בלבד (שאינה מקנה למשטרה סמכות לבצע האזנת סתר)</w:t>
      </w:r>
      <w:r w:rsidR="007D11FC">
        <w:rPr>
          <w:rFonts w:hint="cs"/>
          <w:rtl/>
        </w:rPr>
        <w:t>;</w:t>
      </w:r>
      <w:r w:rsidRPr="005F73D7">
        <w:rPr>
          <w:rFonts w:hint="cs"/>
          <w:rtl/>
        </w:rPr>
        <w:t xml:space="preserve"> (ב</w:t>
      </w:r>
      <w:r w:rsidR="004067B8">
        <w:rPr>
          <w:rFonts w:hint="cs"/>
          <w:rtl/>
        </w:rPr>
        <w:t>)</w:t>
      </w:r>
      <w:r w:rsidR="00AB3E7F" w:rsidRPr="00AB3E7F">
        <w:rPr>
          <w:rFonts w:hint="cs"/>
          <w:rtl/>
        </w:rPr>
        <w:t xml:space="preserve"> </w:t>
      </w:r>
      <w:r w:rsidR="00AB3E7F" w:rsidRPr="005F73D7">
        <w:rPr>
          <w:rFonts w:hint="cs"/>
          <w:rtl/>
        </w:rPr>
        <w:t xml:space="preserve">ייחוס עבירות נפרדות מהעבירה העיקרית, הנוגעות לעבירות שיבוש עשיית משפט ומבוצעות לאחר העבירה העיקרית, או ייחוס עבירות הכנה וקשר שמטרתן סיוע למבצע העבירה לפני שהתבצעה העבירה העיקרית. </w:t>
      </w:r>
      <w:r w:rsidRPr="005F73D7">
        <w:rPr>
          <w:rFonts w:hint="cs"/>
          <w:rtl/>
        </w:rPr>
        <w:t>עבירות אלו עומדות בפני עצמן</w:t>
      </w:r>
      <w:r>
        <w:rPr>
          <w:rFonts w:hint="cs"/>
          <w:rtl/>
        </w:rPr>
        <w:t xml:space="preserve">. </w:t>
      </w:r>
      <w:bookmarkStart w:id="267" w:name="_Hlk145325117"/>
      <w:r>
        <w:rPr>
          <w:rFonts w:hint="cs"/>
          <w:rtl/>
        </w:rPr>
        <w:t xml:space="preserve">יצוין כי ככלל, לא ניתן לייחס לחשודים חלק מהעבירות הנלוות כדי להצדיק את האזנת סתר בעניינם מהטעמים </w:t>
      </w:r>
      <w:r w:rsidRPr="008E2E6E">
        <w:rPr>
          <w:rFonts w:hint="cs"/>
          <w:rtl/>
        </w:rPr>
        <w:t>האלה:</w:t>
      </w:r>
      <w:r w:rsidRPr="008E2E6E">
        <w:rPr>
          <w:rFonts w:hint="cs"/>
        </w:rPr>
        <w:t xml:space="preserve"> </w:t>
      </w:r>
      <w:r w:rsidRPr="008E2E6E">
        <w:rPr>
          <w:rFonts w:hint="cs"/>
          <w:rtl/>
        </w:rPr>
        <w:t xml:space="preserve">חלק מהעבירות הללו אינן </w:t>
      </w:r>
      <w:r w:rsidR="00BB0093">
        <w:rPr>
          <w:rFonts w:hint="cs"/>
          <w:rtl/>
        </w:rPr>
        <w:t>מסוג</w:t>
      </w:r>
      <w:r w:rsidRPr="008E2E6E">
        <w:rPr>
          <w:rFonts w:hint="cs"/>
          <w:rtl/>
        </w:rPr>
        <w:t xml:space="preserve"> פשע; לא ניתן לייחס את העבירה הנלווית לחשוד אם הוא אינו עומד בתנאים לביסוס העבירה הנלווית, למשל, כי הייתה לחשוד כוונה מיוחדת לבצע את העבירה הנלווית או כי ידע שהעבירה עומדת להתבצע או כי אין לו</w:t>
      </w:r>
      <w:r>
        <w:rPr>
          <w:rFonts w:hint="cs"/>
          <w:rtl/>
        </w:rPr>
        <w:t xml:space="preserve"> </w:t>
      </w:r>
      <w:r w:rsidRPr="008E2E6E">
        <w:rPr>
          <w:rFonts w:hint="cs"/>
          <w:rtl/>
        </w:rPr>
        <w:t>קרבה משפחתית למבצע העיקרי</w:t>
      </w:r>
      <w:r w:rsidRPr="008E2E6E">
        <w:rPr>
          <w:rStyle w:val="af"/>
          <w:rtl/>
        </w:rPr>
        <w:footnoteReference w:id="107"/>
      </w:r>
      <w:r w:rsidRPr="008E2E6E">
        <w:rPr>
          <w:rFonts w:hint="cs"/>
          <w:rtl/>
        </w:rPr>
        <w:t xml:space="preserve">. </w:t>
      </w:r>
      <w:bookmarkEnd w:id="267"/>
      <w:r w:rsidR="005B555C" w:rsidRPr="005B555C">
        <w:rPr>
          <w:rFonts w:hint="cs"/>
          <w:rtl/>
        </w:rPr>
        <w:t>ולכן, מילוי בקשות להאזנה לשותפים בביצוע עבירה דורשת נקיטת זהירות מוגברת.</w:t>
      </w:r>
    </w:p>
    <w:bookmarkEnd w:id="266"/>
    <w:p w:rsidR="002B0E02" w:rsidRDefault="002B0E02" w:rsidP="00604C3D">
      <w:pPr>
        <w:spacing w:line="269" w:lineRule="auto"/>
        <w:rPr>
          <w:rtl/>
        </w:rPr>
      </w:pPr>
    </w:p>
    <w:p w:rsidR="008868B6" w:rsidRPr="001431B8" w:rsidRDefault="008868B6" w:rsidP="00925079">
      <w:pPr>
        <w:spacing w:line="269" w:lineRule="auto"/>
        <w:ind w:left="680"/>
        <w:rPr>
          <w:rtl/>
        </w:rPr>
      </w:pPr>
      <w:r>
        <w:rPr>
          <w:rFonts w:hint="cs"/>
          <w:rtl/>
        </w:rPr>
        <w:t>סוגיית פירוט רישום העבירות בבקשות ומיקודן הועלתה בדוח מבקר המדינה משנת 2004, בדוח ברנר משנת 2007 ובחוות הדעת של משרד מבקר המדינה משנת 2010</w:t>
      </w:r>
      <w:r>
        <w:rPr>
          <w:rStyle w:val="af"/>
          <w:rtl/>
        </w:rPr>
        <w:footnoteReference w:id="108"/>
      </w:r>
      <w:r>
        <w:rPr>
          <w:rFonts w:hint="cs"/>
          <w:rtl/>
        </w:rPr>
        <w:t>. ה</w:t>
      </w:r>
      <w:r w:rsidRPr="002F4674">
        <w:rPr>
          <w:rFonts w:hint="cs"/>
          <w:rtl/>
        </w:rPr>
        <w:t>דיונים</w:t>
      </w:r>
      <w:r w:rsidRPr="002F4674">
        <w:rPr>
          <w:rtl/>
        </w:rPr>
        <w:t xml:space="preserve"> בסוגיית פירוט רישום העבירות מלמדים </w:t>
      </w:r>
      <w:r w:rsidRPr="002F4674">
        <w:rPr>
          <w:rFonts w:hint="cs"/>
          <w:rtl/>
        </w:rPr>
        <w:t>שייחוס</w:t>
      </w:r>
      <w:r w:rsidRPr="002F4674">
        <w:rPr>
          <w:rtl/>
        </w:rPr>
        <w:t xml:space="preserve"> העבירות </w:t>
      </w:r>
      <w:r w:rsidRPr="002F4674">
        <w:rPr>
          <w:rFonts w:hint="cs"/>
          <w:rtl/>
        </w:rPr>
        <w:t>ליעד</w:t>
      </w:r>
      <w:r w:rsidRPr="002F4674">
        <w:rPr>
          <w:rtl/>
        </w:rPr>
        <w:t xml:space="preserve"> </w:t>
      </w:r>
      <w:r w:rsidRPr="002F4674">
        <w:rPr>
          <w:rFonts w:hint="cs"/>
          <w:rtl/>
        </w:rPr>
        <w:t>האזנה</w:t>
      </w:r>
      <w:r w:rsidRPr="002F4674">
        <w:rPr>
          <w:rtl/>
        </w:rPr>
        <w:t xml:space="preserve"> </w:t>
      </w:r>
      <w:r w:rsidRPr="002F4674">
        <w:rPr>
          <w:rFonts w:hint="cs"/>
          <w:rtl/>
        </w:rPr>
        <w:t>ה</w:t>
      </w:r>
      <w:r>
        <w:rPr>
          <w:rFonts w:hint="cs"/>
          <w:rtl/>
        </w:rPr>
        <w:t>ו</w:t>
      </w:r>
      <w:r w:rsidRPr="002F4674">
        <w:rPr>
          <w:rFonts w:hint="cs"/>
          <w:rtl/>
        </w:rPr>
        <w:t>א</w:t>
      </w:r>
      <w:r w:rsidRPr="002F4674">
        <w:rPr>
          <w:rtl/>
        </w:rPr>
        <w:t xml:space="preserve"> </w:t>
      </w:r>
      <w:r w:rsidRPr="002F4674">
        <w:rPr>
          <w:rFonts w:hint="cs"/>
          <w:rtl/>
        </w:rPr>
        <w:t>פעולה</w:t>
      </w:r>
      <w:r w:rsidRPr="002F4674">
        <w:rPr>
          <w:rtl/>
        </w:rPr>
        <w:t xml:space="preserve"> </w:t>
      </w:r>
      <w:r w:rsidRPr="002F4674">
        <w:rPr>
          <w:rFonts w:hint="cs"/>
          <w:rtl/>
        </w:rPr>
        <w:t>מורכבת</w:t>
      </w:r>
      <w:r w:rsidRPr="002F4674">
        <w:rPr>
          <w:rtl/>
        </w:rPr>
        <w:t>.</w:t>
      </w:r>
      <w:r w:rsidR="00182C90">
        <w:rPr>
          <w:rFonts w:hint="cs"/>
          <w:rtl/>
        </w:rPr>
        <w:t xml:space="preserve"> </w:t>
      </w:r>
    </w:p>
    <w:p w:rsidR="002B0E02" w:rsidRDefault="002B0E02" w:rsidP="00925079">
      <w:pPr>
        <w:spacing w:line="269" w:lineRule="auto"/>
        <w:ind w:left="680"/>
        <w:rPr>
          <w:rtl/>
        </w:rPr>
      </w:pPr>
    </w:p>
    <w:p w:rsidR="00B9663E" w:rsidRDefault="008868B6" w:rsidP="00925079">
      <w:pPr>
        <w:spacing w:line="269" w:lineRule="auto"/>
        <w:ind w:left="680"/>
        <w:rPr>
          <w:rtl/>
        </w:rPr>
      </w:pPr>
      <w:r>
        <w:rPr>
          <w:rFonts w:hint="cs"/>
          <w:rtl/>
        </w:rPr>
        <w:t>ב</w:t>
      </w:r>
      <w:r w:rsidRPr="00B364D2">
        <w:rPr>
          <w:rFonts w:hint="cs"/>
          <w:rtl/>
        </w:rPr>
        <w:t>נ</w:t>
      </w:r>
      <w:r>
        <w:rPr>
          <w:rFonts w:hint="cs"/>
          <w:rtl/>
        </w:rPr>
        <w:t>ו</w:t>
      </w:r>
      <w:r w:rsidRPr="00B364D2">
        <w:rPr>
          <w:rFonts w:hint="cs"/>
          <w:rtl/>
        </w:rPr>
        <w:t xml:space="preserve">הלי המשטרה </w:t>
      </w:r>
      <w:r>
        <w:rPr>
          <w:rFonts w:hint="cs"/>
          <w:rtl/>
        </w:rPr>
        <w:t>ה</w:t>
      </w:r>
      <w:r w:rsidRPr="00B364D2">
        <w:rPr>
          <w:rFonts w:hint="cs"/>
          <w:rtl/>
        </w:rPr>
        <w:t>מתייחסים להאזנת הסתר בגין עבירה של שיבוש מהלכי משפט</w:t>
      </w:r>
      <w:r>
        <w:rPr>
          <w:rFonts w:hint="cs"/>
          <w:rtl/>
        </w:rPr>
        <w:t xml:space="preserve"> </w:t>
      </w:r>
      <w:r w:rsidRPr="00C331F2">
        <w:rPr>
          <w:rFonts w:hint="cs"/>
          <w:rtl/>
        </w:rPr>
        <w:t xml:space="preserve">נקבע שיש לציין במפורש את העבירה המקורית </w:t>
      </w:r>
      <w:r>
        <w:rPr>
          <w:rFonts w:hint="cs"/>
          <w:rtl/>
        </w:rPr>
        <w:t>ש</w:t>
      </w:r>
      <w:r w:rsidRPr="00C331F2">
        <w:rPr>
          <w:rFonts w:hint="cs"/>
          <w:rtl/>
        </w:rPr>
        <w:t>בגינה מתבצע שיבוש החקירה. עוד הובהר כי ב</w:t>
      </w:r>
      <w:r>
        <w:rPr>
          <w:rFonts w:hint="cs"/>
          <w:rtl/>
        </w:rPr>
        <w:t xml:space="preserve">אם </w:t>
      </w:r>
      <w:r w:rsidRPr="00C331F2">
        <w:rPr>
          <w:rFonts w:hint="cs"/>
          <w:rtl/>
        </w:rPr>
        <w:t>העבירה המקורית אינה עבירה מסוג פשע, יש להימנע ככלל מלהגיש בקשה להאזנת סתר</w:t>
      </w:r>
      <w:r>
        <w:rPr>
          <w:rFonts w:hint="cs"/>
          <w:rtl/>
        </w:rPr>
        <w:t xml:space="preserve"> בעניינה</w:t>
      </w:r>
      <w:r w:rsidRPr="00C331F2">
        <w:rPr>
          <w:rFonts w:hint="cs"/>
          <w:rtl/>
        </w:rPr>
        <w:t>.</w:t>
      </w:r>
      <w:r>
        <w:rPr>
          <w:rFonts w:hint="cs"/>
          <w:rtl/>
        </w:rPr>
        <w:t xml:space="preserve"> </w:t>
      </w:r>
      <w:r w:rsidRPr="00C331F2">
        <w:rPr>
          <w:rFonts w:hint="cs"/>
          <w:rtl/>
        </w:rPr>
        <w:t xml:space="preserve">ואולם להוציא </w:t>
      </w:r>
      <w:r w:rsidR="00BB0093">
        <w:rPr>
          <w:rFonts w:hint="cs"/>
          <w:rtl/>
        </w:rPr>
        <w:t>את ה</w:t>
      </w:r>
      <w:r w:rsidRPr="00C331F2">
        <w:rPr>
          <w:rFonts w:hint="cs"/>
          <w:rtl/>
        </w:rPr>
        <w:t xml:space="preserve">התייחסות </w:t>
      </w:r>
      <w:r w:rsidRPr="00B364D2">
        <w:rPr>
          <w:rFonts w:hint="cs"/>
          <w:rtl/>
        </w:rPr>
        <w:t xml:space="preserve">לעבירת </w:t>
      </w:r>
      <w:r>
        <w:rPr>
          <w:rFonts w:hint="cs"/>
          <w:rtl/>
        </w:rPr>
        <w:t>שיבוש מהלכי משפט</w:t>
      </w:r>
      <w:r w:rsidRPr="00B364D2">
        <w:rPr>
          <w:rFonts w:hint="cs"/>
          <w:rtl/>
        </w:rPr>
        <w:t xml:space="preserve"> אין הנחיה מקצועית ל</w:t>
      </w:r>
      <w:r>
        <w:rPr>
          <w:rFonts w:hint="cs"/>
          <w:rtl/>
        </w:rPr>
        <w:t xml:space="preserve">גבי </w:t>
      </w:r>
      <w:r w:rsidRPr="00B364D2">
        <w:rPr>
          <w:rFonts w:hint="cs"/>
          <w:rtl/>
        </w:rPr>
        <w:t xml:space="preserve">טיפול בבקשות האזנה הנוגעות לשותף עקיף. </w:t>
      </w:r>
    </w:p>
    <w:p w:rsidR="000966ED" w:rsidRDefault="000966ED" w:rsidP="00925079">
      <w:pPr>
        <w:pStyle w:val="a5"/>
        <w:spacing w:line="269" w:lineRule="auto"/>
        <w:ind w:left="113"/>
        <w:rPr>
          <w:rtl/>
        </w:rPr>
      </w:pPr>
    </w:p>
    <w:p w:rsidR="008868B6" w:rsidRPr="001431B8" w:rsidRDefault="00B9663E" w:rsidP="00925079">
      <w:pPr>
        <w:spacing w:line="269" w:lineRule="auto"/>
        <w:ind w:left="680"/>
        <w:rPr>
          <w:rtl/>
        </w:rPr>
      </w:pPr>
      <w:r>
        <w:rPr>
          <w:rFonts w:hint="cs"/>
          <w:rtl/>
        </w:rPr>
        <w:t xml:space="preserve">המשטרה </w:t>
      </w:r>
      <w:r w:rsidR="00B52183">
        <w:rPr>
          <w:rFonts w:hint="cs"/>
          <w:rtl/>
        </w:rPr>
        <w:t>מסרה</w:t>
      </w:r>
      <w:r>
        <w:rPr>
          <w:rFonts w:hint="cs"/>
          <w:rtl/>
        </w:rPr>
        <w:t xml:space="preserve"> כי היא מפרטת בבקשות להאזנת סתר את העבירות המיוחסות לחשוד בפרשייה, ואילו </w:t>
      </w:r>
      <w:r w:rsidR="00BB0093">
        <w:rPr>
          <w:rFonts w:hint="cs"/>
          <w:rtl/>
        </w:rPr>
        <w:t xml:space="preserve">את </w:t>
      </w:r>
      <w:r>
        <w:rPr>
          <w:rFonts w:hint="cs"/>
          <w:rtl/>
        </w:rPr>
        <w:t xml:space="preserve">הצורך בהאזנה ליעד האזנה במעמד "מואזן" ושאינו חשוד </w:t>
      </w:r>
      <w:r w:rsidR="00215CC7">
        <w:rPr>
          <w:rFonts w:hint="cs"/>
          <w:rtl/>
        </w:rPr>
        <w:t xml:space="preserve">היא מפרטת </w:t>
      </w:r>
      <w:r>
        <w:rPr>
          <w:rFonts w:hint="cs"/>
          <w:rtl/>
        </w:rPr>
        <w:t>בנימוקי הבקשה בלבד.</w:t>
      </w:r>
      <w:r w:rsidR="001E67FD">
        <w:rPr>
          <w:rtl/>
        </w:rPr>
        <w:t xml:space="preserve"> </w:t>
      </w:r>
      <w:r w:rsidR="00BB0093">
        <w:rPr>
          <w:rFonts w:hint="cs"/>
          <w:rtl/>
        </w:rPr>
        <w:t>לפיכך</w:t>
      </w:r>
      <w:r w:rsidR="00B52183">
        <w:rPr>
          <w:rFonts w:hint="cs"/>
          <w:rtl/>
        </w:rPr>
        <w:t xml:space="preserve">, לעמדת המשטרה לא נדרשת התייחסות מיוחדת או זהירות מוגברת כשמדובר בשותפים לביצוע עבירה. </w:t>
      </w:r>
    </w:p>
    <w:p w:rsidR="002B0E02" w:rsidRDefault="002B0E02" w:rsidP="00925079">
      <w:pPr>
        <w:spacing w:line="269" w:lineRule="auto"/>
        <w:ind w:left="680"/>
        <w:rPr>
          <w:b/>
          <w:bCs/>
          <w:rtl/>
        </w:rPr>
      </w:pPr>
      <w:bookmarkStart w:id="269" w:name="_Hlk187303449"/>
    </w:p>
    <w:p w:rsidR="008868B6" w:rsidRPr="001431B8" w:rsidRDefault="008868B6" w:rsidP="00925079">
      <w:pPr>
        <w:spacing w:line="269" w:lineRule="auto"/>
        <w:ind w:left="680"/>
        <w:rPr>
          <w:b/>
          <w:bCs/>
          <w:rtl/>
        </w:rPr>
      </w:pPr>
      <w:r>
        <w:rPr>
          <w:rFonts w:hint="cs"/>
          <w:b/>
          <w:bCs/>
          <w:rtl/>
        </w:rPr>
        <w:t xml:space="preserve">חרף הזהירות המוגברת </w:t>
      </w:r>
      <w:r w:rsidR="00215CC7">
        <w:rPr>
          <w:rFonts w:hint="cs"/>
          <w:b/>
          <w:bCs/>
          <w:rtl/>
        </w:rPr>
        <w:t>ש</w:t>
      </w:r>
      <w:r>
        <w:rPr>
          <w:rFonts w:hint="cs"/>
          <w:b/>
          <w:bCs/>
          <w:rtl/>
        </w:rPr>
        <w:t xml:space="preserve">נדרש לנקוט בעת הגשת בקשה להאזנת סתר לשותף עקיף, </w:t>
      </w:r>
      <w:r w:rsidR="009F25B2">
        <w:rPr>
          <w:rFonts w:hint="cs"/>
          <w:b/>
          <w:bCs/>
          <w:rtl/>
        </w:rPr>
        <w:t>המשטרה</w:t>
      </w:r>
      <w:r>
        <w:rPr>
          <w:rFonts w:hint="cs"/>
          <w:b/>
          <w:bCs/>
          <w:rtl/>
        </w:rPr>
        <w:t xml:space="preserve"> לא פירטה בהנחיותיה כיצד על השוטר למלא את הבקשה בעניינו</w:t>
      </w:r>
      <w:r w:rsidRPr="00B364D2">
        <w:rPr>
          <w:rFonts w:hint="cs"/>
          <w:b/>
          <w:bCs/>
          <w:rtl/>
        </w:rPr>
        <w:t>: אילו עבירות ניתן לייחס לו בבקשה</w:t>
      </w:r>
      <w:r>
        <w:rPr>
          <w:rFonts w:hint="cs"/>
          <w:b/>
          <w:bCs/>
          <w:rtl/>
        </w:rPr>
        <w:t>,</w:t>
      </w:r>
      <w:r w:rsidRPr="00B364D2">
        <w:rPr>
          <w:rFonts w:hint="cs"/>
          <w:b/>
          <w:bCs/>
          <w:rtl/>
        </w:rPr>
        <w:t xml:space="preserve"> </w:t>
      </w:r>
      <w:r>
        <w:rPr>
          <w:rFonts w:hint="cs"/>
          <w:b/>
          <w:bCs/>
          <w:rtl/>
        </w:rPr>
        <w:t xml:space="preserve">לרבות </w:t>
      </w:r>
      <w:r w:rsidRPr="00B364D2">
        <w:rPr>
          <w:rFonts w:hint="cs"/>
          <w:b/>
          <w:bCs/>
          <w:rtl/>
        </w:rPr>
        <w:t>אילו עבירות מתחום שיבוש מהל</w:t>
      </w:r>
      <w:r w:rsidRPr="00BC12D5">
        <w:rPr>
          <w:rFonts w:hint="cs"/>
          <w:b/>
          <w:bCs/>
          <w:rtl/>
        </w:rPr>
        <w:t>כי משפט הן פשע שניתן לייחס לו; באילו מקרים יש לייחס לו גם את העבירות העיקריות המקוריות ובאילו לא</w:t>
      </w:r>
      <w:r>
        <w:rPr>
          <w:rFonts w:hint="cs"/>
          <w:b/>
          <w:bCs/>
          <w:rtl/>
        </w:rPr>
        <w:t xml:space="preserve"> ניתן לייחסן לו</w:t>
      </w:r>
      <w:r w:rsidRPr="00BC12D5">
        <w:rPr>
          <w:rFonts w:hint="cs"/>
          <w:b/>
          <w:bCs/>
          <w:rtl/>
        </w:rPr>
        <w:t xml:space="preserve">. </w:t>
      </w:r>
      <w:bookmarkEnd w:id="269"/>
      <w:r w:rsidRPr="00BC12D5">
        <w:rPr>
          <w:rFonts w:hint="cs"/>
          <w:b/>
          <w:bCs/>
          <w:rtl/>
        </w:rPr>
        <w:t>כל זאת</w:t>
      </w:r>
      <w:r>
        <w:rPr>
          <w:rFonts w:hint="cs"/>
          <w:b/>
          <w:bCs/>
          <w:rtl/>
        </w:rPr>
        <w:t xml:space="preserve"> בהתאם ל</w:t>
      </w:r>
      <w:r w:rsidRPr="001431B8">
        <w:rPr>
          <w:rFonts w:hint="cs"/>
          <w:b/>
          <w:bCs/>
          <w:rtl/>
        </w:rPr>
        <w:t xml:space="preserve">עילת הבקשה (גילוי עבירות, עבריינים או חילוט). </w:t>
      </w:r>
    </w:p>
    <w:p w:rsidR="002B0E02" w:rsidRDefault="002B0E02" w:rsidP="00604C3D">
      <w:pPr>
        <w:spacing w:line="269" w:lineRule="auto"/>
        <w:rPr>
          <w:rtl/>
        </w:rPr>
      </w:pPr>
    </w:p>
    <w:p w:rsidR="008868B6" w:rsidRDefault="008868B6" w:rsidP="00925079">
      <w:pPr>
        <w:spacing w:line="269" w:lineRule="auto"/>
        <w:ind w:left="680"/>
        <w:rPr>
          <w:rtl/>
        </w:rPr>
      </w:pPr>
      <w:r w:rsidRPr="00DA3E18">
        <w:rPr>
          <w:rFonts w:hint="cs"/>
          <w:rtl/>
        </w:rPr>
        <w:t>משרד מבקר המדינה</w:t>
      </w:r>
      <w:r>
        <w:rPr>
          <w:rFonts w:hint="cs"/>
          <w:rtl/>
        </w:rPr>
        <w:t xml:space="preserve"> בדק עשר פרשיות</w:t>
      </w:r>
      <w:r w:rsidRPr="00DA3E18">
        <w:rPr>
          <w:rFonts w:hint="cs"/>
          <w:rtl/>
        </w:rPr>
        <w:t xml:space="preserve"> </w:t>
      </w:r>
      <w:r>
        <w:rPr>
          <w:rFonts w:hint="cs"/>
          <w:rtl/>
        </w:rPr>
        <w:t>שנחקרו</w:t>
      </w:r>
      <w:r w:rsidRPr="00DA3E18">
        <w:rPr>
          <w:rFonts w:hint="cs"/>
          <w:rtl/>
        </w:rPr>
        <w:t xml:space="preserve"> בשנים 2019 </w:t>
      </w:r>
      <w:r>
        <w:rPr>
          <w:rFonts w:hint="cs"/>
          <w:rtl/>
        </w:rPr>
        <w:t>-</w:t>
      </w:r>
      <w:r w:rsidRPr="00DA3E18">
        <w:rPr>
          <w:rFonts w:hint="cs"/>
          <w:rtl/>
        </w:rPr>
        <w:t xml:space="preserve"> 2021 ונוגעות לשותפים עקיפים לביצוע העבירה</w:t>
      </w:r>
      <w:r w:rsidRPr="00DA3E18">
        <w:rPr>
          <w:rStyle w:val="af"/>
          <w:rtl/>
        </w:rPr>
        <w:footnoteReference w:id="109"/>
      </w:r>
      <w:r w:rsidRPr="00DA3E18">
        <w:rPr>
          <w:rFonts w:hint="cs"/>
          <w:rtl/>
        </w:rPr>
        <w:t>.</w:t>
      </w:r>
      <w:r>
        <w:rPr>
          <w:rFonts w:hint="cs"/>
          <w:rtl/>
        </w:rPr>
        <w:t xml:space="preserve"> במסגרת הבדיקה נבחנו </w:t>
      </w:r>
      <w:r w:rsidRPr="00301995">
        <w:rPr>
          <w:rFonts w:hint="cs"/>
          <w:rtl/>
        </w:rPr>
        <w:t xml:space="preserve">תקינות הבקשות </w:t>
      </w:r>
      <w:r>
        <w:rPr>
          <w:rFonts w:hint="cs"/>
          <w:rtl/>
        </w:rPr>
        <w:t>להאזנות סתר</w:t>
      </w:r>
      <w:r w:rsidRPr="00301995">
        <w:rPr>
          <w:rFonts w:hint="cs"/>
          <w:rtl/>
        </w:rPr>
        <w:t xml:space="preserve"> </w:t>
      </w:r>
      <w:r>
        <w:rPr>
          <w:rFonts w:hint="cs"/>
          <w:rtl/>
        </w:rPr>
        <w:t>לנוכח</w:t>
      </w:r>
      <w:r w:rsidRPr="00301995">
        <w:rPr>
          <w:rFonts w:hint="cs"/>
          <w:rtl/>
        </w:rPr>
        <w:t xml:space="preserve"> עילת ההאזנה שפורטה בבקשה</w:t>
      </w:r>
      <w:r>
        <w:rPr>
          <w:rFonts w:hint="cs"/>
          <w:rtl/>
        </w:rPr>
        <w:t>, אופן רישום העבירות ומעמד יעד ההאזנה</w:t>
      </w:r>
      <w:r>
        <w:rPr>
          <w:rStyle w:val="af"/>
          <w:rtl/>
        </w:rPr>
        <w:footnoteReference w:id="110"/>
      </w:r>
      <w:r w:rsidRPr="00301995">
        <w:rPr>
          <w:rFonts w:hint="cs"/>
          <w:rtl/>
        </w:rPr>
        <w:t>.</w:t>
      </w:r>
      <w:r>
        <w:rPr>
          <w:rFonts w:hint="cs"/>
          <w:rtl/>
        </w:rPr>
        <w:t xml:space="preserve"> להלן יוצגו הפערים שנמצאו בתשע פרשיות מתוך עשר</w:t>
      </w:r>
      <w:r w:rsidRPr="00DA3E18">
        <w:rPr>
          <w:rFonts w:hint="cs"/>
          <w:rtl/>
        </w:rPr>
        <w:t>:</w:t>
      </w:r>
    </w:p>
    <w:p w:rsidR="002B0E02" w:rsidRDefault="002B0E02" w:rsidP="00604C3D">
      <w:pPr>
        <w:spacing w:line="269" w:lineRule="auto"/>
        <w:rPr>
          <w:rtl/>
        </w:rPr>
      </w:pPr>
    </w:p>
    <w:p w:rsidR="008868B6" w:rsidRDefault="008868B6" w:rsidP="008C598D">
      <w:pPr>
        <w:pStyle w:val="af2"/>
        <w:numPr>
          <w:ilvl w:val="3"/>
          <w:numId w:val="43"/>
        </w:numPr>
        <w:spacing w:line="269" w:lineRule="auto"/>
        <w:ind w:left="1067"/>
      </w:pPr>
      <w:bookmarkStart w:id="270" w:name="_Hlk145085641"/>
      <w:r>
        <w:rPr>
          <w:rFonts w:hint="cs"/>
          <w:rtl/>
        </w:rPr>
        <w:t>בארבע</w:t>
      </w:r>
      <w:r w:rsidRPr="00DA3E18">
        <w:rPr>
          <w:rFonts w:hint="cs"/>
          <w:rtl/>
        </w:rPr>
        <w:t xml:space="preserve"> פרשיות המשטרה ייחסה עבירות מסוגים שונים לשותפים העקיפים באותה פרשייה </w:t>
      </w:r>
      <w:r w:rsidR="00215CC7">
        <w:rPr>
          <w:rFonts w:hint="cs"/>
          <w:rtl/>
        </w:rPr>
        <w:t>ובנוגע</w:t>
      </w:r>
      <w:r w:rsidRPr="00DA3E18">
        <w:rPr>
          <w:rFonts w:hint="cs"/>
          <w:rtl/>
        </w:rPr>
        <w:t xml:space="preserve"> לאותו מסד עובדתי: בחלק מהבקשות יוחסו </w:t>
      </w:r>
      <w:r>
        <w:rPr>
          <w:rFonts w:hint="cs"/>
          <w:rtl/>
        </w:rPr>
        <w:t>לשותפים העקיפים</w:t>
      </w:r>
      <w:r w:rsidRPr="00DA3E18">
        <w:rPr>
          <w:rFonts w:hint="cs"/>
          <w:rtl/>
        </w:rPr>
        <w:t xml:space="preserve"> עבירות מתחום שיבוש מהלכי משפט</w:t>
      </w:r>
      <w:r>
        <w:rPr>
          <w:rFonts w:hint="cs"/>
          <w:rtl/>
        </w:rPr>
        <w:t xml:space="preserve"> או </w:t>
      </w:r>
      <w:r w:rsidRPr="00DA3E18">
        <w:rPr>
          <w:rFonts w:hint="cs"/>
          <w:rtl/>
        </w:rPr>
        <w:t>קשירת קשר לביצוע פשע</w:t>
      </w:r>
      <w:r>
        <w:rPr>
          <w:rFonts w:hint="cs"/>
          <w:rtl/>
        </w:rPr>
        <w:t xml:space="preserve"> או ל</w:t>
      </w:r>
      <w:r w:rsidRPr="00DA3E18">
        <w:rPr>
          <w:rFonts w:hint="cs"/>
          <w:rtl/>
        </w:rPr>
        <w:t xml:space="preserve">סיוע לבריחה ממשמורת חוקית בלבד; באחרות יוחסו </w:t>
      </w:r>
      <w:r>
        <w:rPr>
          <w:rFonts w:hint="cs"/>
          <w:rtl/>
        </w:rPr>
        <w:t xml:space="preserve">להם </w:t>
      </w:r>
      <w:r w:rsidRPr="00DA3E18">
        <w:rPr>
          <w:rFonts w:hint="cs"/>
          <w:rtl/>
        </w:rPr>
        <w:t xml:space="preserve">העבירות העיקריות בלבד; ובחלק יוחסו </w:t>
      </w:r>
      <w:r>
        <w:rPr>
          <w:rFonts w:hint="cs"/>
          <w:rtl/>
        </w:rPr>
        <w:t>להם</w:t>
      </w:r>
      <w:r w:rsidRPr="00DA3E18">
        <w:rPr>
          <w:rFonts w:hint="cs"/>
          <w:rtl/>
        </w:rPr>
        <w:t xml:space="preserve"> עבירות עיקריות</w:t>
      </w:r>
      <w:r>
        <w:rPr>
          <w:rFonts w:hint="cs"/>
          <w:rtl/>
        </w:rPr>
        <w:t xml:space="preserve"> </w:t>
      </w:r>
      <w:r w:rsidRPr="00DA3E18">
        <w:rPr>
          <w:rFonts w:hint="cs"/>
          <w:rtl/>
        </w:rPr>
        <w:t>ועבירות שיבוש או הכנה וקשר יחדיו.</w:t>
      </w:r>
    </w:p>
    <w:p w:rsidR="00DD76D9" w:rsidRDefault="00DD76D9" w:rsidP="00604C3D">
      <w:pPr>
        <w:pStyle w:val="a5"/>
        <w:spacing w:line="269" w:lineRule="auto"/>
        <w:ind w:left="0"/>
        <w:rPr>
          <w:rtl/>
        </w:rPr>
      </w:pPr>
    </w:p>
    <w:p w:rsidR="00440A08" w:rsidRDefault="00757C12" w:rsidP="00925079">
      <w:pPr>
        <w:spacing w:line="269" w:lineRule="auto"/>
        <w:ind w:left="1077"/>
        <w:rPr>
          <w:rtl/>
        </w:rPr>
      </w:pPr>
      <w:r>
        <w:rPr>
          <w:rFonts w:hint="cs"/>
          <w:rtl/>
        </w:rPr>
        <w:t xml:space="preserve">המשטרה מסרה בתשובתה כי </w:t>
      </w:r>
      <w:r w:rsidR="00440A08">
        <w:rPr>
          <w:rtl/>
        </w:rPr>
        <w:t xml:space="preserve">כשהם מכינים בקשות שכוללות </w:t>
      </w:r>
      <w:r w:rsidR="009174C3">
        <w:rPr>
          <w:rFonts w:hint="cs"/>
          <w:rtl/>
        </w:rPr>
        <w:t xml:space="preserve">כמה </w:t>
      </w:r>
      <w:r w:rsidR="006A3264">
        <w:rPr>
          <w:rFonts w:hint="cs"/>
          <w:rtl/>
        </w:rPr>
        <w:t xml:space="preserve">יעדי האזנה, שלכל אחד מהם חלק שונה בביצוע העבירות בפרשייה, </w:t>
      </w:r>
      <w:r w:rsidR="00440A08">
        <w:rPr>
          <w:rtl/>
        </w:rPr>
        <w:t xml:space="preserve">אזי </w:t>
      </w:r>
      <w:r w:rsidR="006A3264">
        <w:rPr>
          <w:rFonts w:hint="cs"/>
          <w:rtl/>
        </w:rPr>
        <w:t xml:space="preserve">יופיעו כלל החשודים בראש הבקשה ויפורטו </w:t>
      </w:r>
      <w:r w:rsidR="00440A08">
        <w:rPr>
          <w:rtl/>
        </w:rPr>
        <w:t>כל העבירות</w:t>
      </w:r>
      <w:r w:rsidR="006A3264">
        <w:rPr>
          <w:rFonts w:hint="cs"/>
          <w:rtl/>
        </w:rPr>
        <w:t>,</w:t>
      </w:r>
      <w:r w:rsidR="00440A08">
        <w:rPr>
          <w:rtl/>
        </w:rPr>
        <w:t xml:space="preserve"> גם אם מדובר ביעדים של</w:t>
      </w:r>
      <w:r w:rsidR="006A3264">
        <w:rPr>
          <w:rFonts w:hint="cs"/>
          <w:rtl/>
        </w:rPr>
        <w:t>כ</w:t>
      </w:r>
      <w:r w:rsidR="00440A08">
        <w:rPr>
          <w:rtl/>
        </w:rPr>
        <w:t>ל אחד</w:t>
      </w:r>
      <w:r w:rsidR="009174C3">
        <w:rPr>
          <w:rFonts w:hint="cs"/>
          <w:rtl/>
        </w:rPr>
        <w:t xml:space="preserve"> מהם</w:t>
      </w:r>
      <w:r w:rsidR="00440A08">
        <w:rPr>
          <w:rtl/>
        </w:rPr>
        <w:t xml:space="preserve"> מיוחסות עבירות שונות</w:t>
      </w:r>
      <w:r w:rsidR="006A3264">
        <w:rPr>
          <w:rFonts w:hint="cs"/>
          <w:rtl/>
        </w:rPr>
        <w:t>. נוסף</w:t>
      </w:r>
      <w:r w:rsidR="009174C3">
        <w:rPr>
          <w:rFonts w:hint="cs"/>
          <w:rtl/>
        </w:rPr>
        <w:t xml:space="preserve"> על כך</w:t>
      </w:r>
      <w:r w:rsidR="006A3264">
        <w:rPr>
          <w:rFonts w:hint="cs"/>
          <w:rtl/>
        </w:rPr>
        <w:t>,</w:t>
      </w:r>
      <w:r w:rsidR="00440A08">
        <w:rPr>
          <w:rtl/>
        </w:rPr>
        <w:t xml:space="preserve"> חלקו של כל אדם בפרשייה מפורט בנימוקי הבקשה. </w:t>
      </w:r>
      <w:r w:rsidR="006A3264">
        <w:rPr>
          <w:rFonts w:hint="cs"/>
          <w:rtl/>
        </w:rPr>
        <w:t>לכן, ההצדקה לייחוס עבירות מסוגים שונים לשותפים באותה פרשייה ו</w:t>
      </w:r>
      <w:r w:rsidR="00215CC7">
        <w:rPr>
          <w:rFonts w:hint="cs"/>
          <w:rtl/>
        </w:rPr>
        <w:t>בנוגע</w:t>
      </w:r>
      <w:r w:rsidR="006A3264">
        <w:rPr>
          <w:rFonts w:hint="cs"/>
          <w:rtl/>
        </w:rPr>
        <w:t xml:space="preserve"> לאותו מסד עובדתי נובעת מהמבנה המובנה בתקנות האזנות הסתר.</w:t>
      </w:r>
    </w:p>
    <w:p w:rsidR="00DD76D9" w:rsidRPr="00DD76D9" w:rsidRDefault="00DD76D9" w:rsidP="00604C3D">
      <w:pPr>
        <w:pStyle w:val="a5"/>
        <w:spacing w:line="269" w:lineRule="auto"/>
        <w:ind w:left="0"/>
        <w:rPr>
          <w:rtl/>
        </w:rPr>
      </w:pPr>
    </w:p>
    <w:p w:rsidR="0069430D" w:rsidRPr="00453143" w:rsidRDefault="006A3264" w:rsidP="00925079">
      <w:pPr>
        <w:spacing w:line="269" w:lineRule="auto"/>
        <w:ind w:left="1077"/>
        <w:rPr>
          <w:b/>
          <w:bCs/>
        </w:rPr>
      </w:pPr>
      <w:r w:rsidRPr="00453143">
        <w:rPr>
          <w:rFonts w:hint="eastAsia"/>
          <w:b/>
          <w:bCs/>
          <w:rtl/>
        </w:rPr>
        <w:t>מבקר</w:t>
      </w:r>
      <w:r w:rsidRPr="00453143">
        <w:rPr>
          <w:b/>
          <w:bCs/>
          <w:rtl/>
        </w:rPr>
        <w:t xml:space="preserve"> </w:t>
      </w:r>
      <w:bookmarkStart w:id="271" w:name="_Hlk190066533"/>
      <w:r w:rsidRPr="00453143">
        <w:rPr>
          <w:rFonts w:hint="eastAsia"/>
          <w:b/>
          <w:bCs/>
          <w:rtl/>
        </w:rPr>
        <w:t>המדינה</w:t>
      </w:r>
      <w:r w:rsidRPr="00453143">
        <w:rPr>
          <w:b/>
          <w:bCs/>
          <w:rtl/>
        </w:rPr>
        <w:t xml:space="preserve"> </w:t>
      </w:r>
      <w:r w:rsidRPr="00453143">
        <w:rPr>
          <w:rFonts w:hint="eastAsia"/>
          <w:b/>
          <w:bCs/>
          <w:rtl/>
        </w:rPr>
        <w:t>מעיר</w:t>
      </w:r>
      <w:r w:rsidR="00440A08" w:rsidRPr="00453143">
        <w:rPr>
          <w:b/>
          <w:bCs/>
          <w:rtl/>
        </w:rPr>
        <w:t xml:space="preserve"> </w:t>
      </w:r>
      <w:r w:rsidRPr="00453143">
        <w:rPr>
          <w:rFonts w:hint="eastAsia"/>
          <w:b/>
          <w:bCs/>
          <w:rtl/>
        </w:rPr>
        <w:t>כי</w:t>
      </w:r>
      <w:r w:rsidRPr="00453143">
        <w:rPr>
          <w:b/>
          <w:bCs/>
          <w:rtl/>
        </w:rPr>
        <w:t xml:space="preserve"> המשטרה </w:t>
      </w:r>
      <w:r w:rsidR="00854938" w:rsidRPr="00453143">
        <w:rPr>
          <w:rFonts w:hint="eastAsia"/>
          <w:b/>
          <w:bCs/>
          <w:rtl/>
        </w:rPr>
        <w:t>איננה</w:t>
      </w:r>
      <w:r w:rsidR="00854938" w:rsidRPr="00453143">
        <w:rPr>
          <w:b/>
          <w:bCs/>
          <w:rtl/>
        </w:rPr>
        <w:t xml:space="preserve"> מתמודדת עם הממצאים </w:t>
      </w:r>
      <w:r w:rsidR="00AE57B8">
        <w:rPr>
          <w:rFonts w:hint="cs"/>
          <w:b/>
          <w:bCs/>
          <w:rtl/>
        </w:rPr>
        <w:t>ש</w:t>
      </w:r>
      <w:r w:rsidR="00854938" w:rsidRPr="00453143">
        <w:rPr>
          <w:b/>
          <w:bCs/>
          <w:rtl/>
        </w:rPr>
        <w:t xml:space="preserve">לפיהם </w:t>
      </w:r>
      <w:r w:rsidR="00215CC7">
        <w:rPr>
          <w:rFonts w:hint="eastAsia"/>
          <w:b/>
          <w:bCs/>
          <w:rtl/>
        </w:rPr>
        <w:t>בנוגע</w:t>
      </w:r>
      <w:r w:rsidR="00854938" w:rsidRPr="00453143">
        <w:rPr>
          <w:b/>
          <w:bCs/>
          <w:rtl/>
        </w:rPr>
        <w:t xml:space="preserve"> </w:t>
      </w:r>
      <w:r w:rsidR="00854938" w:rsidRPr="00453143">
        <w:rPr>
          <w:rFonts w:hint="eastAsia"/>
          <w:b/>
          <w:bCs/>
          <w:rtl/>
        </w:rPr>
        <w:t>לאותו</w:t>
      </w:r>
      <w:r w:rsidR="00854938" w:rsidRPr="00453143">
        <w:rPr>
          <w:b/>
          <w:bCs/>
          <w:rtl/>
        </w:rPr>
        <w:t xml:space="preserve"> אדם, באותה </w:t>
      </w:r>
      <w:r w:rsidR="00854938" w:rsidRPr="00181A62">
        <w:rPr>
          <w:b/>
          <w:bCs/>
          <w:rtl/>
        </w:rPr>
        <w:t>פרשייה</w:t>
      </w:r>
      <w:r w:rsidR="00854938" w:rsidRPr="00453143">
        <w:rPr>
          <w:b/>
          <w:bCs/>
          <w:rtl/>
        </w:rPr>
        <w:t xml:space="preserve"> ו</w:t>
      </w:r>
      <w:r w:rsidR="00215CC7">
        <w:rPr>
          <w:b/>
          <w:bCs/>
          <w:rtl/>
        </w:rPr>
        <w:t>בנוגע</w:t>
      </w:r>
      <w:r w:rsidR="00854938" w:rsidRPr="00453143">
        <w:rPr>
          <w:b/>
          <w:bCs/>
          <w:rtl/>
        </w:rPr>
        <w:t xml:space="preserve"> לאותו מסד עובדתי היא פירטה עבירות שונות בכל בקשה. </w:t>
      </w:r>
      <w:bookmarkStart w:id="272" w:name="_Hlk189042182"/>
      <w:r w:rsidR="00525E23" w:rsidRPr="00453143">
        <w:rPr>
          <w:rFonts w:hint="eastAsia"/>
          <w:b/>
          <w:bCs/>
          <w:rtl/>
        </w:rPr>
        <w:t>יתרה</w:t>
      </w:r>
      <w:r w:rsidR="00525E23" w:rsidRPr="00453143">
        <w:rPr>
          <w:b/>
          <w:bCs/>
          <w:rtl/>
        </w:rPr>
        <w:t xml:space="preserve"> מכך, </w:t>
      </w:r>
      <w:r w:rsidR="00210762">
        <w:rPr>
          <w:rFonts w:hint="cs"/>
          <w:b/>
          <w:bCs/>
          <w:rtl/>
        </w:rPr>
        <w:t xml:space="preserve">הממצא </w:t>
      </w:r>
      <w:r w:rsidR="0057249F">
        <w:rPr>
          <w:rFonts w:hint="cs"/>
          <w:b/>
          <w:bCs/>
          <w:rtl/>
        </w:rPr>
        <w:t>ו</w:t>
      </w:r>
      <w:r w:rsidR="00210762">
        <w:rPr>
          <w:rFonts w:hint="cs"/>
          <w:b/>
          <w:bCs/>
          <w:rtl/>
        </w:rPr>
        <w:t>לפיו המשטרה מפרטת</w:t>
      </w:r>
      <w:r w:rsidR="00854938" w:rsidRPr="00453143">
        <w:rPr>
          <w:b/>
          <w:bCs/>
          <w:rtl/>
        </w:rPr>
        <w:t xml:space="preserve"> </w:t>
      </w:r>
      <w:r w:rsidR="00854938" w:rsidRPr="00453143">
        <w:rPr>
          <w:rFonts w:hint="eastAsia"/>
          <w:b/>
          <w:bCs/>
          <w:rtl/>
        </w:rPr>
        <w:t>עבירות</w:t>
      </w:r>
      <w:r w:rsidR="00854938" w:rsidRPr="00453143">
        <w:rPr>
          <w:b/>
          <w:bCs/>
          <w:rtl/>
        </w:rPr>
        <w:t xml:space="preserve"> </w:t>
      </w:r>
      <w:r w:rsidR="00854938" w:rsidRPr="00453143">
        <w:rPr>
          <w:rFonts w:hint="eastAsia"/>
          <w:b/>
          <w:bCs/>
          <w:rtl/>
        </w:rPr>
        <w:t>שונות</w:t>
      </w:r>
      <w:r w:rsidR="00854938" w:rsidRPr="00453143">
        <w:rPr>
          <w:b/>
          <w:bCs/>
          <w:rtl/>
        </w:rPr>
        <w:t xml:space="preserve"> </w:t>
      </w:r>
      <w:r w:rsidR="00215CC7">
        <w:rPr>
          <w:rFonts w:hint="eastAsia"/>
          <w:b/>
          <w:bCs/>
          <w:rtl/>
        </w:rPr>
        <w:t>בנוגע</w:t>
      </w:r>
      <w:r w:rsidR="00854938" w:rsidRPr="00453143">
        <w:rPr>
          <w:b/>
          <w:bCs/>
          <w:rtl/>
        </w:rPr>
        <w:t xml:space="preserve"> </w:t>
      </w:r>
      <w:r w:rsidR="00854938" w:rsidRPr="00453143">
        <w:rPr>
          <w:rFonts w:hint="eastAsia"/>
          <w:b/>
          <w:bCs/>
          <w:rtl/>
        </w:rPr>
        <w:t>לאותו</w:t>
      </w:r>
      <w:r w:rsidR="00854938" w:rsidRPr="00453143">
        <w:rPr>
          <w:b/>
          <w:bCs/>
          <w:rtl/>
        </w:rPr>
        <w:t xml:space="preserve"> </w:t>
      </w:r>
      <w:r w:rsidR="00854938" w:rsidRPr="00453143">
        <w:rPr>
          <w:rFonts w:hint="eastAsia"/>
          <w:b/>
          <w:bCs/>
          <w:rtl/>
        </w:rPr>
        <w:t>מסד</w:t>
      </w:r>
      <w:r w:rsidR="00854938" w:rsidRPr="00453143">
        <w:rPr>
          <w:b/>
          <w:bCs/>
          <w:rtl/>
        </w:rPr>
        <w:t xml:space="preserve"> </w:t>
      </w:r>
      <w:r w:rsidR="00854938" w:rsidRPr="00453143">
        <w:rPr>
          <w:rFonts w:hint="eastAsia"/>
          <w:b/>
          <w:bCs/>
          <w:rtl/>
        </w:rPr>
        <w:t>עובדתי</w:t>
      </w:r>
      <w:r w:rsidR="00AE57B8">
        <w:rPr>
          <w:rFonts w:hint="cs"/>
          <w:b/>
          <w:bCs/>
          <w:rtl/>
        </w:rPr>
        <w:t xml:space="preserve"> ובנוגע לאותו אדם</w:t>
      </w:r>
      <w:r w:rsidR="00210762">
        <w:rPr>
          <w:rFonts w:hint="cs"/>
          <w:b/>
          <w:bCs/>
          <w:rtl/>
        </w:rPr>
        <w:t xml:space="preserve"> ולא את כל העבירות בפרשייה</w:t>
      </w:r>
      <w:r w:rsidR="00854938" w:rsidRPr="00453143">
        <w:rPr>
          <w:b/>
          <w:bCs/>
          <w:rtl/>
        </w:rPr>
        <w:t>, אינ</w:t>
      </w:r>
      <w:r w:rsidR="00097348" w:rsidRPr="00453143">
        <w:rPr>
          <w:rFonts w:hint="eastAsia"/>
          <w:b/>
          <w:bCs/>
          <w:rtl/>
        </w:rPr>
        <w:t>ו</w:t>
      </w:r>
      <w:r w:rsidR="00854938" w:rsidRPr="00453143">
        <w:rPr>
          <w:b/>
          <w:bCs/>
          <w:rtl/>
        </w:rPr>
        <w:t xml:space="preserve"> עולה בקנה אחד עם טענותיה</w:t>
      </w:r>
      <w:r w:rsidR="00210762">
        <w:rPr>
          <w:rFonts w:hint="cs"/>
          <w:b/>
          <w:bCs/>
          <w:rtl/>
        </w:rPr>
        <w:t xml:space="preserve"> הקודמות</w:t>
      </w:r>
      <w:r w:rsidR="00854938" w:rsidRPr="00453143">
        <w:rPr>
          <w:b/>
          <w:bCs/>
          <w:rtl/>
        </w:rPr>
        <w:t xml:space="preserve"> כי היא </w:t>
      </w:r>
      <w:r w:rsidR="00B00250">
        <w:rPr>
          <w:rFonts w:hint="cs"/>
          <w:b/>
          <w:bCs/>
          <w:rtl/>
        </w:rPr>
        <w:t>מפרוטת</w:t>
      </w:r>
      <w:r w:rsidR="00854938" w:rsidRPr="00453143">
        <w:rPr>
          <w:b/>
          <w:bCs/>
          <w:rtl/>
        </w:rPr>
        <w:t xml:space="preserve"> בראש טופס הבקשה את </w:t>
      </w:r>
      <w:r w:rsidR="00854938" w:rsidRPr="00453143">
        <w:rPr>
          <w:rFonts w:hint="eastAsia"/>
          <w:b/>
          <w:bCs/>
          <w:rtl/>
        </w:rPr>
        <w:t>כל</w:t>
      </w:r>
      <w:r w:rsidR="00854938" w:rsidRPr="00453143">
        <w:rPr>
          <w:b/>
          <w:bCs/>
          <w:rtl/>
        </w:rPr>
        <w:t xml:space="preserve"> </w:t>
      </w:r>
      <w:r w:rsidR="00854938" w:rsidRPr="00453143">
        <w:rPr>
          <w:rFonts w:hint="eastAsia"/>
          <w:b/>
          <w:bCs/>
          <w:rtl/>
        </w:rPr>
        <w:t>העבירות</w:t>
      </w:r>
      <w:r w:rsidR="00854938" w:rsidRPr="00453143">
        <w:rPr>
          <w:b/>
          <w:bCs/>
          <w:rtl/>
        </w:rPr>
        <w:t xml:space="preserve"> בפרשייה</w:t>
      </w:r>
      <w:r w:rsidR="00AE57B8">
        <w:rPr>
          <w:rFonts w:hint="cs"/>
          <w:b/>
          <w:bCs/>
          <w:rtl/>
        </w:rPr>
        <w:t xml:space="preserve"> ללא תלות בזהות יעד ההאזנה</w:t>
      </w:r>
      <w:r w:rsidR="00854938" w:rsidRPr="00453143">
        <w:rPr>
          <w:b/>
          <w:bCs/>
          <w:rtl/>
        </w:rPr>
        <w:t xml:space="preserve">. </w:t>
      </w:r>
      <w:bookmarkEnd w:id="271"/>
      <w:bookmarkEnd w:id="272"/>
    </w:p>
    <w:p w:rsidR="00214CDB" w:rsidRPr="00192E2B" w:rsidRDefault="00214CDB" w:rsidP="0050645B">
      <w:pPr>
        <w:spacing w:line="269" w:lineRule="auto"/>
      </w:pPr>
    </w:p>
    <w:p w:rsidR="008868B6" w:rsidRDefault="008868B6" w:rsidP="008C598D">
      <w:pPr>
        <w:pStyle w:val="af2"/>
        <w:numPr>
          <w:ilvl w:val="3"/>
          <w:numId w:val="43"/>
        </w:numPr>
        <w:spacing w:line="269" w:lineRule="auto"/>
        <w:ind w:left="1067"/>
      </w:pPr>
      <w:r>
        <w:rPr>
          <w:rFonts w:hint="cs"/>
          <w:rtl/>
        </w:rPr>
        <w:t>שמונה</w:t>
      </w:r>
      <w:r w:rsidRPr="00DA3E18">
        <w:rPr>
          <w:rFonts w:hint="cs"/>
          <w:rtl/>
        </w:rPr>
        <w:t xml:space="preserve"> מהפרשיות כללו רישום של העבירות העיקריות בלבד כנגד השותפים העקיפים אף שבנימוקי הבקשה </w:t>
      </w:r>
      <w:r>
        <w:rPr>
          <w:rFonts w:hint="cs"/>
          <w:rtl/>
        </w:rPr>
        <w:t>לא בוססה ה</w:t>
      </w:r>
      <w:r w:rsidRPr="00DA3E18">
        <w:rPr>
          <w:rFonts w:hint="cs"/>
          <w:rtl/>
        </w:rPr>
        <w:t xml:space="preserve">הערכה כי הם </w:t>
      </w:r>
      <w:r>
        <w:rPr>
          <w:rFonts w:hint="cs"/>
          <w:rtl/>
        </w:rPr>
        <w:t>נטלו חלק</w:t>
      </w:r>
      <w:r w:rsidRPr="00DA3E18">
        <w:rPr>
          <w:rFonts w:hint="cs"/>
          <w:rtl/>
        </w:rPr>
        <w:t xml:space="preserve"> ב</w:t>
      </w:r>
      <w:r>
        <w:rPr>
          <w:rFonts w:hint="cs"/>
          <w:rtl/>
        </w:rPr>
        <w:t xml:space="preserve">ביצוע </w:t>
      </w:r>
      <w:r w:rsidRPr="00DA3E18">
        <w:rPr>
          <w:rFonts w:hint="cs"/>
          <w:rtl/>
        </w:rPr>
        <w:t xml:space="preserve">עבירות אלו. </w:t>
      </w:r>
    </w:p>
    <w:p w:rsidR="009D4A31" w:rsidRDefault="009D4A31" w:rsidP="00604C3D">
      <w:pPr>
        <w:pStyle w:val="a5"/>
        <w:spacing w:line="269" w:lineRule="auto"/>
        <w:ind w:left="0"/>
        <w:rPr>
          <w:rtl/>
        </w:rPr>
      </w:pPr>
    </w:p>
    <w:p w:rsidR="00DD76D9" w:rsidRDefault="00DD76D9" w:rsidP="00925079">
      <w:pPr>
        <w:spacing w:line="269" w:lineRule="auto"/>
        <w:ind w:left="1077"/>
        <w:rPr>
          <w:rtl/>
        </w:rPr>
      </w:pPr>
      <w:r>
        <w:rPr>
          <w:rFonts w:hint="cs"/>
          <w:rtl/>
        </w:rPr>
        <w:t>המשטרה מסרה בתגובתה כי בהתאם ל</w:t>
      </w:r>
      <w:r w:rsidRPr="00DD76D9">
        <w:rPr>
          <w:rFonts w:hint="cs"/>
          <w:rtl/>
        </w:rPr>
        <w:t xml:space="preserve">תקנות בקשה להיתר האזנה </w:t>
      </w:r>
      <w:r>
        <w:rPr>
          <w:rFonts w:hint="cs"/>
          <w:rtl/>
        </w:rPr>
        <w:t>היא רושמת בראש טופס הבקשה את החשודים ואת העבירות העיקריות המיוחסות להם. עבירות אלו אינן מיוחסות ליעדי האזנה שבסטטוס "מואזן". עם זאת, בנימוקי הבקשה מובהרת הזיקה והצורך בהאזנה ו</w:t>
      </w:r>
      <w:r w:rsidR="00A27B85">
        <w:rPr>
          <w:rFonts w:hint="cs"/>
          <w:rtl/>
        </w:rPr>
        <w:t>עולה ממנה ש</w:t>
      </w:r>
      <w:r>
        <w:rPr>
          <w:rFonts w:hint="cs"/>
          <w:rtl/>
        </w:rPr>
        <w:t xml:space="preserve">המואזן אינו חשוד בביצוע העבירות שמופיעות בראש טופס הבקשה. </w:t>
      </w:r>
    </w:p>
    <w:p w:rsidR="009D4A31" w:rsidRPr="0050645B" w:rsidRDefault="009D4A31" w:rsidP="00604C3D">
      <w:pPr>
        <w:pStyle w:val="a5"/>
        <w:spacing w:line="269" w:lineRule="auto"/>
        <w:ind w:left="0"/>
        <w:rPr>
          <w:sz w:val="24"/>
          <w:szCs w:val="24"/>
          <w:rtl/>
        </w:rPr>
      </w:pPr>
    </w:p>
    <w:p w:rsidR="0069430D" w:rsidRPr="00DA3E18" w:rsidRDefault="009D00CE" w:rsidP="00925079">
      <w:pPr>
        <w:spacing w:line="269" w:lineRule="auto"/>
        <w:ind w:left="1077"/>
        <w:rPr>
          <w:rtl/>
        </w:rPr>
      </w:pPr>
      <w:r w:rsidRPr="00453143">
        <w:rPr>
          <w:rFonts w:hint="eastAsia"/>
          <w:b/>
          <w:bCs/>
          <w:rtl/>
        </w:rPr>
        <w:t>מבקר</w:t>
      </w:r>
      <w:r w:rsidRPr="00453143">
        <w:rPr>
          <w:b/>
          <w:bCs/>
          <w:rtl/>
        </w:rPr>
        <w:t xml:space="preserve"> המדינה מעיר</w:t>
      </w:r>
      <w:r w:rsidR="00C033FB">
        <w:rPr>
          <w:rFonts w:hint="cs"/>
          <w:b/>
          <w:bCs/>
          <w:rtl/>
        </w:rPr>
        <w:t xml:space="preserve"> </w:t>
      </w:r>
      <w:r w:rsidRPr="00453143">
        <w:rPr>
          <w:b/>
          <w:bCs/>
          <w:rtl/>
        </w:rPr>
        <w:t xml:space="preserve">כי יש טעות יסודית בטענת המשטרה כי בראש הבקשה צריך להופיע רק חשוד בפרשייה ולא יעד ההאזנה היות </w:t>
      </w:r>
      <w:r w:rsidR="00A27B85">
        <w:rPr>
          <w:rFonts w:hint="cs"/>
          <w:b/>
          <w:bCs/>
          <w:rtl/>
        </w:rPr>
        <w:t>ש</w:t>
      </w:r>
      <w:r w:rsidR="00A27B85" w:rsidRPr="00453143">
        <w:rPr>
          <w:b/>
          <w:bCs/>
          <w:rtl/>
        </w:rPr>
        <w:t xml:space="preserve">תקנות </w:t>
      </w:r>
      <w:r w:rsidRPr="00453143">
        <w:rPr>
          <w:b/>
          <w:bCs/>
          <w:rtl/>
        </w:rPr>
        <w:t xml:space="preserve">האזנת סתר אינן מגבילות את המשטרה </w:t>
      </w:r>
      <w:r w:rsidRPr="00453143">
        <w:rPr>
          <w:rFonts w:hint="eastAsia"/>
          <w:b/>
          <w:bCs/>
          <w:rtl/>
        </w:rPr>
        <w:t>כאמור</w:t>
      </w:r>
      <w:r w:rsidRPr="00453143">
        <w:rPr>
          <w:b/>
          <w:bCs/>
          <w:rtl/>
        </w:rPr>
        <w:t xml:space="preserve"> לעיל. כמו כן, טענה זו אינה עולה בקנה אחד עם שני נהגים שנקטה המשטרה לאורך </w:t>
      </w:r>
      <w:r w:rsidRPr="00453143">
        <w:rPr>
          <w:rFonts w:hint="eastAsia"/>
          <w:b/>
          <w:bCs/>
          <w:rtl/>
        </w:rPr>
        <w:t>השנים</w:t>
      </w:r>
      <w:r w:rsidRPr="00453143">
        <w:rPr>
          <w:b/>
          <w:bCs/>
          <w:rtl/>
        </w:rPr>
        <w:t xml:space="preserve"> </w:t>
      </w:r>
      <w:r w:rsidR="00525E23" w:rsidRPr="00453143">
        <w:rPr>
          <w:b/>
          <w:bCs/>
          <w:rtl/>
        </w:rPr>
        <w:t>-</w:t>
      </w:r>
      <w:r w:rsidRPr="00453143">
        <w:rPr>
          <w:b/>
          <w:bCs/>
          <w:rtl/>
        </w:rPr>
        <w:t xml:space="preserve"> </w:t>
      </w:r>
      <w:r w:rsidRPr="00453143">
        <w:rPr>
          <w:rFonts w:hint="eastAsia"/>
          <w:b/>
          <w:bCs/>
          <w:rtl/>
        </w:rPr>
        <w:t>רישום</w:t>
      </w:r>
      <w:r w:rsidRPr="00453143">
        <w:rPr>
          <w:b/>
          <w:bCs/>
          <w:rtl/>
        </w:rPr>
        <w:t xml:space="preserve"> יעדי האזנה שאינם חשודים בראש טופס הבקשה; </w:t>
      </w:r>
      <w:r w:rsidRPr="00453143">
        <w:rPr>
          <w:rFonts w:hint="eastAsia"/>
          <w:b/>
          <w:bCs/>
          <w:rtl/>
        </w:rPr>
        <w:t>ורישום</w:t>
      </w:r>
      <w:r w:rsidRPr="00453143">
        <w:rPr>
          <w:b/>
          <w:bCs/>
          <w:rtl/>
        </w:rPr>
        <w:t xml:space="preserve"> עבירות שאינן העבירות העיקריות בפרשייה בראש טופס הבקשה.</w:t>
      </w:r>
      <w:r w:rsidR="0049609C">
        <w:rPr>
          <w:b/>
          <w:bCs/>
          <w:rtl/>
        </w:rPr>
        <w:t xml:space="preserve"> </w:t>
      </w:r>
    </w:p>
    <w:p w:rsidR="00214CDB" w:rsidRPr="00192E2B" w:rsidRDefault="00214CDB" w:rsidP="00604C3D">
      <w:pPr>
        <w:spacing w:line="269" w:lineRule="auto"/>
      </w:pPr>
    </w:p>
    <w:p w:rsidR="008868B6" w:rsidRDefault="008868B6" w:rsidP="008C598D">
      <w:pPr>
        <w:pStyle w:val="af2"/>
        <w:numPr>
          <w:ilvl w:val="3"/>
          <w:numId w:val="43"/>
        </w:numPr>
        <w:spacing w:line="269" w:lineRule="auto"/>
        <w:ind w:left="1067"/>
      </w:pPr>
      <w:r>
        <w:rPr>
          <w:rFonts w:hint="cs"/>
          <w:rtl/>
        </w:rPr>
        <w:t>בשבע</w:t>
      </w:r>
      <w:r w:rsidRPr="00DA3E18">
        <w:rPr>
          <w:rFonts w:hint="cs"/>
          <w:rtl/>
        </w:rPr>
        <w:t xml:space="preserve"> מהפרשיות נבחרה עבירת קשירת הקשר</w:t>
      </w:r>
      <w:r>
        <w:rPr>
          <w:rFonts w:hint="cs"/>
          <w:rtl/>
        </w:rPr>
        <w:t>,</w:t>
      </w:r>
      <w:r w:rsidRPr="00DA3E18">
        <w:rPr>
          <w:rFonts w:hint="cs"/>
          <w:rtl/>
        </w:rPr>
        <w:t xml:space="preserve"> שהיא עבירה מסוג פשע, </w:t>
      </w:r>
      <w:r>
        <w:rPr>
          <w:rFonts w:hint="cs"/>
          <w:rtl/>
        </w:rPr>
        <w:t>אף שמתיאור העובדות ב</w:t>
      </w:r>
      <w:r w:rsidR="00A73BC5">
        <w:rPr>
          <w:rFonts w:hint="cs"/>
          <w:rtl/>
        </w:rPr>
        <w:t>נימוקי ה</w:t>
      </w:r>
      <w:r>
        <w:rPr>
          <w:rFonts w:hint="cs"/>
          <w:rtl/>
        </w:rPr>
        <w:t xml:space="preserve">בקשה עולה </w:t>
      </w:r>
      <w:r w:rsidR="00A73BC5">
        <w:rPr>
          <w:rFonts w:hint="cs"/>
          <w:rtl/>
        </w:rPr>
        <w:t>ש</w:t>
      </w:r>
      <w:r>
        <w:rPr>
          <w:rFonts w:hint="cs"/>
          <w:rtl/>
        </w:rPr>
        <w:t xml:space="preserve">המשטרה </w:t>
      </w:r>
      <w:r w:rsidR="00600ED8">
        <w:rPr>
          <w:rFonts w:hint="cs"/>
          <w:rtl/>
        </w:rPr>
        <w:t>מ</w:t>
      </w:r>
      <w:r>
        <w:rPr>
          <w:rFonts w:hint="cs"/>
          <w:rtl/>
        </w:rPr>
        <w:t>ייחס</w:t>
      </w:r>
      <w:r w:rsidR="00600ED8">
        <w:rPr>
          <w:rFonts w:hint="cs"/>
          <w:rtl/>
        </w:rPr>
        <w:t>ת</w:t>
      </w:r>
      <w:r>
        <w:rPr>
          <w:rFonts w:hint="cs"/>
          <w:rtl/>
        </w:rPr>
        <w:t xml:space="preserve"> לשותפים העקיפים</w:t>
      </w:r>
      <w:r w:rsidR="00A73BC5">
        <w:rPr>
          <w:rFonts w:hint="cs"/>
          <w:rtl/>
        </w:rPr>
        <w:t xml:space="preserve"> דווקא</w:t>
      </w:r>
      <w:r>
        <w:rPr>
          <w:rFonts w:hint="cs"/>
          <w:rtl/>
        </w:rPr>
        <w:t xml:space="preserve"> עבירה מסוג </w:t>
      </w:r>
      <w:r w:rsidRPr="00DA3E18">
        <w:rPr>
          <w:rFonts w:hint="cs"/>
          <w:rtl/>
        </w:rPr>
        <w:t xml:space="preserve">סיוע לאחר מעשה או סיוע לבריחה ממשמורת. יודגש כי </w:t>
      </w:r>
      <w:r w:rsidR="00A27B85">
        <w:rPr>
          <w:rFonts w:hint="cs"/>
          <w:rtl/>
        </w:rPr>
        <w:t xml:space="preserve">עבירת </w:t>
      </w:r>
      <w:r w:rsidRPr="00DA3E18">
        <w:rPr>
          <w:rFonts w:hint="cs"/>
          <w:rtl/>
        </w:rPr>
        <w:t>סיוע לאחר מעשה כשלעצמה היא עבירת עוון שאינה מצדיקה האזנת סתר</w:t>
      </w:r>
      <w:r w:rsidR="00B71A8D">
        <w:rPr>
          <w:rFonts w:hint="cs"/>
          <w:rtl/>
        </w:rPr>
        <w:t>, וכי יש מקרים בהם לא ניתן היה לייחס עבירה זו ליעדי ההאזנה בשל קרבתם המשפחתית למבצע העיקרי</w:t>
      </w:r>
      <w:r w:rsidRPr="00DA3E18">
        <w:rPr>
          <w:rFonts w:hint="cs"/>
          <w:rtl/>
        </w:rPr>
        <w:t xml:space="preserve">. </w:t>
      </w:r>
    </w:p>
    <w:p w:rsidR="006709FE" w:rsidRPr="009D4A31" w:rsidRDefault="006709FE" w:rsidP="00604C3D">
      <w:pPr>
        <w:pStyle w:val="a5"/>
        <w:spacing w:line="269" w:lineRule="auto"/>
        <w:ind w:left="0"/>
        <w:rPr>
          <w:rtl/>
        </w:rPr>
      </w:pPr>
    </w:p>
    <w:p w:rsidR="000C4ABA" w:rsidRPr="000C4ABA" w:rsidRDefault="000C4ABA" w:rsidP="00925079">
      <w:pPr>
        <w:spacing w:line="269" w:lineRule="auto"/>
        <w:ind w:left="1077"/>
        <w:rPr>
          <w:rtl/>
        </w:rPr>
      </w:pPr>
      <w:r w:rsidRPr="000C4ABA">
        <w:rPr>
          <w:rFonts w:hint="cs"/>
          <w:rtl/>
        </w:rPr>
        <w:t xml:space="preserve">המשטרה מסרה כי </w:t>
      </w:r>
      <w:r w:rsidR="006709FE">
        <w:rPr>
          <w:rFonts w:hint="cs"/>
          <w:rtl/>
        </w:rPr>
        <w:t>מקובלת</w:t>
      </w:r>
      <w:r w:rsidR="00A27B85">
        <w:rPr>
          <w:rFonts w:hint="cs"/>
          <w:rtl/>
        </w:rPr>
        <w:t xml:space="preserve"> עליה</w:t>
      </w:r>
      <w:r w:rsidR="00A73BC5">
        <w:rPr>
          <w:rFonts w:hint="cs"/>
          <w:rtl/>
        </w:rPr>
        <w:t xml:space="preserve"> </w:t>
      </w:r>
      <w:r w:rsidRPr="000C4ABA">
        <w:rPr>
          <w:rFonts w:hint="cs"/>
          <w:rtl/>
        </w:rPr>
        <w:t>הערת הביקורת</w:t>
      </w:r>
      <w:r w:rsidR="00B71A8D">
        <w:rPr>
          <w:rFonts w:hint="cs"/>
          <w:rtl/>
        </w:rPr>
        <w:t>,</w:t>
      </w:r>
      <w:r w:rsidRPr="000C4ABA">
        <w:rPr>
          <w:rFonts w:hint="cs"/>
          <w:rtl/>
        </w:rPr>
        <w:t xml:space="preserve"> </w:t>
      </w:r>
      <w:r w:rsidR="00A27B85">
        <w:rPr>
          <w:rFonts w:hint="cs"/>
          <w:rtl/>
        </w:rPr>
        <w:t>ו</w:t>
      </w:r>
      <w:r w:rsidRPr="000C4ABA">
        <w:rPr>
          <w:rFonts w:hint="cs"/>
          <w:rtl/>
        </w:rPr>
        <w:t xml:space="preserve">לפיה אין לייחס עבירת סיוע לאחר מעשה </w:t>
      </w:r>
      <w:r w:rsidR="009E3047">
        <w:rPr>
          <w:rFonts w:hint="cs"/>
          <w:rtl/>
        </w:rPr>
        <w:t>לחלק מיעדי ההאזנה בשל קרבתם המשפחתית למבצע העיקרי</w:t>
      </w:r>
      <w:r w:rsidRPr="000C4ABA">
        <w:rPr>
          <w:rFonts w:hint="cs"/>
          <w:rtl/>
        </w:rPr>
        <w:t xml:space="preserve">. </w:t>
      </w:r>
      <w:r w:rsidR="00B71253">
        <w:rPr>
          <w:rFonts w:hint="cs"/>
          <w:rtl/>
        </w:rPr>
        <w:t>עם זאת</w:t>
      </w:r>
      <w:r w:rsidR="00B71A8D">
        <w:rPr>
          <w:rFonts w:hint="cs"/>
          <w:rtl/>
        </w:rPr>
        <w:t xml:space="preserve"> לעמדתה</w:t>
      </w:r>
      <w:r w:rsidR="00A27B85">
        <w:rPr>
          <w:rFonts w:hint="cs"/>
          <w:rtl/>
        </w:rPr>
        <w:t>,</w:t>
      </w:r>
      <w:r w:rsidR="00B71A8D">
        <w:rPr>
          <w:rFonts w:hint="cs"/>
          <w:rtl/>
        </w:rPr>
        <w:t xml:space="preserve"> במקרים אלו יש לסווג את אותו יעד האזנה כ"מואזן" ולא כ"חשוד"</w:t>
      </w:r>
      <w:r w:rsidR="00A27B85">
        <w:rPr>
          <w:rFonts w:hint="cs"/>
          <w:rtl/>
        </w:rPr>
        <w:t>,</w:t>
      </w:r>
      <w:r w:rsidR="0085740C">
        <w:rPr>
          <w:rFonts w:hint="cs"/>
          <w:rtl/>
        </w:rPr>
        <w:t xml:space="preserve"> ויש לפרט את העבירות העיקריות המיוחסות לחשוד בפרשייה</w:t>
      </w:r>
      <w:r w:rsidR="00B71A8D">
        <w:rPr>
          <w:rFonts w:hint="cs"/>
          <w:rtl/>
        </w:rPr>
        <w:t xml:space="preserve">. לעמדתה, </w:t>
      </w:r>
      <w:r w:rsidR="0085740C">
        <w:rPr>
          <w:rFonts w:hint="cs"/>
          <w:rtl/>
        </w:rPr>
        <w:t>מצב זה</w:t>
      </w:r>
      <w:r w:rsidR="00A27B85">
        <w:rPr>
          <w:rFonts w:hint="cs"/>
          <w:rtl/>
        </w:rPr>
        <w:t>,</w:t>
      </w:r>
      <w:r w:rsidR="0085740C">
        <w:rPr>
          <w:rFonts w:hint="cs"/>
          <w:rtl/>
        </w:rPr>
        <w:t xml:space="preserve"> שבו לא ניתן לייחס סיוע אחר מעשה ליעד ההאזנה, אינו מפחית מן הצורך לבצע האזנת סתר </w:t>
      </w:r>
      <w:r w:rsidR="00A27B85">
        <w:rPr>
          <w:rFonts w:hint="cs"/>
          <w:rtl/>
        </w:rPr>
        <w:t xml:space="preserve">לצורך </w:t>
      </w:r>
      <w:r w:rsidR="0085740C">
        <w:rPr>
          <w:rFonts w:hint="cs"/>
          <w:rtl/>
        </w:rPr>
        <w:t xml:space="preserve">איתור עבריינים. </w:t>
      </w:r>
      <w:r w:rsidR="00A73BC5">
        <w:rPr>
          <w:rFonts w:hint="cs"/>
          <w:rtl/>
        </w:rPr>
        <w:t xml:space="preserve">עוד היא מסרה </w:t>
      </w:r>
      <w:r w:rsidR="00215CC7">
        <w:rPr>
          <w:rFonts w:hint="cs"/>
          <w:rtl/>
        </w:rPr>
        <w:t>בנוגע</w:t>
      </w:r>
      <w:r w:rsidR="00A73BC5">
        <w:rPr>
          <w:rFonts w:hint="cs"/>
          <w:rtl/>
        </w:rPr>
        <w:t xml:space="preserve"> לאפשרות ייחוס עבירת קשירת קשר,</w:t>
      </w:r>
      <w:r w:rsidR="00A27B85">
        <w:rPr>
          <w:rFonts w:hint="cs"/>
          <w:rtl/>
        </w:rPr>
        <w:t xml:space="preserve"> כי</w:t>
      </w:r>
      <w:r w:rsidR="00A73BC5">
        <w:rPr>
          <w:rFonts w:hint="cs"/>
          <w:rtl/>
        </w:rPr>
        <w:t xml:space="preserve"> עבירה זו מפורטת בבקשות </w:t>
      </w:r>
      <w:r w:rsidR="00A27B85">
        <w:rPr>
          <w:rFonts w:hint="cs"/>
          <w:rtl/>
        </w:rPr>
        <w:t>ש</w:t>
      </w:r>
      <w:r w:rsidR="00A73BC5">
        <w:rPr>
          <w:rFonts w:hint="cs"/>
          <w:rtl/>
        </w:rPr>
        <w:t xml:space="preserve">בהן יש </w:t>
      </w:r>
      <w:r w:rsidR="00A27B85">
        <w:rPr>
          <w:rFonts w:hint="cs"/>
          <w:rtl/>
        </w:rPr>
        <w:t xml:space="preserve">כמה </w:t>
      </w:r>
      <w:r w:rsidR="00A73BC5">
        <w:rPr>
          <w:rFonts w:hint="cs"/>
          <w:rtl/>
        </w:rPr>
        <w:t>מעורבים אשר מידת מעורבותם של כל אחד מהם בעבירות בפרשייה תתברר במהלך החקירה.</w:t>
      </w:r>
    </w:p>
    <w:p w:rsidR="006709FE" w:rsidRPr="006709FE" w:rsidRDefault="006709FE" w:rsidP="00604C3D">
      <w:pPr>
        <w:pStyle w:val="a5"/>
        <w:spacing w:line="269" w:lineRule="auto"/>
        <w:ind w:left="0"/>
        <w:rPr>
          <w:rtl/>
        </w:rPr>
      </w:pPr>
    </w:p>
    <w:p w:rsidR="0085740C" w:rsidRPr="00453143" w:rsidRDefault="0085740C" w:rsidP="00925079">
      <w:pPr>
        <w:spacing w:line="269" w:lineRule="auto"/>
        <w:ind w:left="1077"/>
        <w:rPr>
          <w:b/>
          <w:bCs/>
          <w:rtl/>
        </w:rPr>
      </w:pPr>
      <w:bookmarkStart w:id="273" w:name="_Hlk189042562"/>
      <w:r w:rsidRPr="00453143">
        <w:rPr>
          <w:rFonts w:hint="eastAsia"/>
          <w:b/>
          <w:bCs/>
          <w:rtl/>
        </w:rPr>
        <w:t>מבקר</w:t>
      </w:r>
      <w:r w:rsidRPr="00453143">
        <w:rPr>
          <w:b/>
          <w:bCs/>
          <w:rtl/>
        </w:rPr>
        <w:t xml:space="preserve"> </w:t>
      </w:r>
      <w:r w:rsidRPr="00453143">
        <w:rPr>
          <w:rFonts w:hint="eastAsia"/>
          <w:b/>
          <w:bCs/>
          <w:rtl/>
        </w:rPr>
        <w:t>המדינה</w:t>
      </w:r>
      <w:r w:rsidRPr="00453143">
        <w:rPr>
          <w:b/>
          <w:bCs/>
          <w:rtl/>
        </w:rPr>
        <w:t xml:space="preserve"> </w:t>
      </w:r>
      <w:r w:rsidRPr="00453143">
        <w:rPr>
          <w:rFonts w:hint="eastAsia"/>
          <w:b/>
          <w:bCs/>
          <w:rtl/>
        </w:rPr>
        <w:t>מעיר</w:t>
      </w:r>
      <w:r w:rsidRPr="00453143">
        <w:rPr>
          <w:b/>
          <w:bCs/>
          <w:rtl/>
        </w:rPr>
        <w:t xml:space="preserve"> </w:t>
      </w:r>
      <w:r w:rsidRPr="00453143">
        <w:rPr>
          <w:rFonts w:hint="eastAsia"/>
          <w:b/>
          <w:bCs/>
          <w:rtl/>
        </w:rPr>
        <w:t>למשטרה</w:t>
      </w:r>
      <w:r w:rsidR="009D00CE" w:rsidRPr="00453143">
        <w:rPr>
          <w:b/>
          <w:bCs/>
          <w:rtl/>
        </w:rPr>
        <w:t xml:space="preserve"> </w:t>
      </w:r>
      <w:r w:rsidR="00A73BC5" w:rsidRPr="00453143">
        <w:rPr>
          <w:rFonts w:hint="eastAsia"/>
          <w:b/>
          <w:bCs/>
          <w:rtl/>
        </w:rPr>
        <w:t>כי</w:t>
      </w:r>
      <w:r w:rsidR="00A73BC5" w:rsidRPr="00453143">
        <w:rPr>
          <w:b/>
          <w:bCs/>
          <w:rtl/>
        </w:rPr>
        <w:t xml:space="preserve"> </w:t>
      </w:r>
      <w:r w:rsidR="00A73BC5" w:rsidRPr="00453143">
        <w:rPr>
          <w:rFonts w:hint="eastAsia"/>
          <w:b/>
          <w:bCs/>
          <w:rtl/>
        </w:rPr>
        <w:t>היא</w:t>
      </w:r>
      <w:r w:rsidR="00A73BC5" w:rsidRPr="00453143">
        <w:rPr>
          <w:b/>
          <w:bCs/>
          <w:rtl/>
        </w:rPr>
        <w:t xml:space="preserve"> </w:t>
      </w:r>
      <w:r w:rsidR="00A73BC5" w:rsidRPr="00453143">
        <w:rPr>
          <w:rFonts w:hint="eastAsia"/>
          <w:b/>
          <w:bCs/>
          <w:rtl/>
        </w:rPr>
        <w:t>איננה</w:t>
      </w:r>
      <w:r w:rsidR="00A73BC5" w:rsidRPr="00453143">
        <w:rPr>
          <w:b/>
          <w:bCs/>
          <w:rtl/>
        </w:rPr>
        <w:t xml:space="preserve"> </w:t>
      </w:r>
      <w:r w:rsidR="00A73BC5" w:rsidRPr="00453143">
        <w:rPr>
          <w:rFonts w:hint="eastAsia"/>
          <w:b/>
          <w:bCs/>
          <w:rtl/>
        </w:rPr>
        <w:t>מתמודדת</w:t>
      </w:r>
      <w:r w:rsidR="00A73BC5" w:rsidRPr="00453143">
        <w:rPr>
          <w:b/>
          <w:bCs/>
          <w:rtl/>
        </w:rPr>
        <w:t xml:space="preserve"> </w:t>
      </w:r>
      <w:r w:rsidR="00A73BC5" w:rsidRPr="00453143">
        <w:rPr>
          <w:rFonts w:hint="eastAsia"/>
          <w:b/>
          <w:bCs/>
          <w:rtl/>
        </w:rPr>
        <w:t>עם</w:t>
      </w:r>
      <w:r w:rsidR="00A73BC5" w:rsidRPr="00453143">
        <w:rPr>
          <w:b/>
          <w:bCs/>
          <w:rtl/>
        </w:rPr>
        <w:t xml:space="preserve"> </w:t>
      </w:r>
      <w:r w:rsidR="00A73BC5" w:rsidRPr="00453143">
        <w:rPr>
          <w:rFonts w:hint="eastAsia"/>
          <w:b/>
          <w:bCs/>
          <w:rtl/>
        </w:rPr>
        <w:t>הממצאים</w:t>
      </w:r>
      <w:r w:rsidR="00A73BC5" w:rsidRPr="00453143">
        <w:rPr>
          <w:b/>
          <w:bCs/>
          <w:rtl/>
        </w:rPr>
        <w:t xml:space="preserve"> </w:t>
      </w:r>
      <w:r w:rsidR="00A73BC5" w:rsidRPr="00453143">
        <w:rPr>
          <w:rFonts w:hint="eastAsia"/>
          <w:b/>
          <w:bCs/>
          <w:rtl/>
        </w:rPr>
        <w:t>לפיהם</w:t>
      </w:r>
      <w:r w:rsidR="00A73BC5" w:rsidRPr="00453143">
        <w:rPr>
          <w:b/>
          <w:bCs/>
          <w:rtl/>
        </w:rPr>
        <w:t xml:space="preserve"> </w:t>
      </w:r>
      <w:r w:rsidR="00A73BC5" w:rsidRPr="00453143">
        <w:rPr>
          <w:rFonts w:hint="eastAsia"/>
          <w:b/>
          <w:bCs/>
          <w:rtl/>
        </w:rPr>
        <w:t>תיאור</w:t>
      </w:r>
      <w:r w:rsidR="00A73BC5" w:rsidRPr="00453143">
        <w:rPr>
          <w:b/>
          <w:bCs/>
          <w:rtl/>
        </w:rPr>
        <w:t xml:space="preserve"> </w:t>
      </w:r>
      <w:r w:rsidR="00A73BC5" w:rsidRPr="00453143">
        <w:rPr>
          <w:rFonts w:hint="eastAsia"/>
          <w:b/>
          <w:bCs/>
          <w:rtl/>
        </w:rPr>
        <w:t>העובדות</w:t>
      </w:r>
      <w:r w:rsidR="00A73BC5" w:rsidRPr="00453143">
        <w:rPr>
          <w:b/>
          <w:bCs/>
          <w:rtl/>
        </w:rPr>
        <w:t xml:space="preserve"> </w:t>
      </w:r>
      <w:r w:rsidR="00A73BC5" w:rsidRPr="00453143">
        <w:rPr>
          <w:rFonts w:hint="eastAsia"/>
          <w:b/>
          <w:bCs/>
          <w:rtl/>
        </w:rPr>
        <w:t>בנימוקי</w:t>
      </w:r>
      <w:r w:rsidR="00A73BC5" w:rsidRPr="00453143">
        <w:rPr>
          <w:b/>
          <w:bCs/>
          <w:rtl/>
        </w:rPr>
        <w:t xml:space="preserve"> </w:t>
      </w:r>
      <w:r w:rsidR="00A73BC5" w:rsidRPr="00453143">
        <w:rPr>
          <w:rFonts w:hint="eastAsia"/>
          <w:b/>
          <w:bCs/>
          <w:rtl/>
        </w:rPr>
        <w:t>הבקשה</w:t>
      </w:r>
      <w:r w:rsidR="00A73BC5" w:rsidRPr="00453143">
        <w:rPr>
          <w:b/>
          <w:bCs/>
          <w:rtl/>
        </w:rPr>
        <w:t xml:space="preserve"> מבסס עבירות שיבוש </w:t>
      </w:r>
      <w:r w:rsidR="00A27B85">
        <w:rPr>
          <w:rFonts w:hint="cs"/>
          <w:b/>
          <w:bCs/>
          <w:rtl/>
        </w:rPr>
        <w:t>(</w:t>
      </w:r>
      <w:r w:rsidR="00A73BC5" w:rsidRPr="00453143">
        <w:rPr>
          <w:b/>
          <w:bCs/>
          <w:rtl/>
        </w:rPr>
        <w:t>המתבצעות לאחר העבירות העיקריות בפרשייה</w:t>
      </w:r>
      <w:r w:rsidR="00A27B85">
        <w:rPr>
          <w:rFonts w:hint="cs"/>
          <w:b/>
          <w:bCs/>
          <w:rtl/>
        </w:rPr>
        <w:t>)</w:t>
      </w:r>
      <w:r w:rsidR="00A73BC5" w:rsidRPr="00453143">
        <w:rPr>
          <w:b/>
          <w:bCs/>
          <w:rtl/>
        </w:rPr>
        <w:t xml:space="preserve">, ולא עבירות ההכנה וקשירת הקשר </w:t>
      </w:r>
      <w:r w:rsidR="00A27B85">
        <w:rPr>
          <w:rFonts w:hint="cs"/>
          <w:b/>
          <w:bCs/>
          <w:rtl/>
        </w:rPr>
        <w:t>(</w:t>
      </w:r>
      <w:r w:rsidR="00A73BC5" w:rsidRPr="00453143">
        <w:rPr>
          <w:b/>
          <w:bCs/>
          <w:rtl/>
        </w:rPr>
        <w:t>המתבצעות לפני העבירות העיקריות בפרשייה</w:t>
      </w:r>
      <w:r w:rsidR="00A27B85">
        <w:rPr>
          <w:rFonts w:hint="cs"/>
          <w:b/>
          <w:bCs/>
          <w:rtl/>
        </w:rPr>
        <w:t>)</w:t>
      </w:r>
      <w:r w:rsidR="00A73BC5" w:rsidRPr="00453143">
        <w:rPr>
          <w:b/>
          <w:bCs/>
          <w:rtl/>
        </w:rPr>
        <w:t xml:space="preserve">. ולכן, </w:t>
      </w:r>
      <w:r w:rsidR="006709FE" w:rsidRPr="00453143">
        <w:rPr>
          <w:rFonts w:hint="eastAsia"/>
          <w:b/>
          <w:bCs/>
          <w:rtl/>
        </w:rPr>
        <w:t>התנהלות</w:t>
      </w:r>
      <w:r w:rsidR="006709FE" w:rsidRPr="00453143">
        <w:rPr>
          <w:b/>
          <w:bCs/>
          <w:rtl/>
        </w:rPr>
        <w:t xml:space="preserve"> המשטרה אינה תקינה הן </w:t>
      </w:r>
      <w:r w:rsidR="00215CC7">
        <w:rPr>
          <w:b/>
          <w:bCs/>
          <w:rtl/>
        </w:rPr>
        <w:t>בנוגע</w:t>
      </w:r>
      <w:r w:rsidR="006709FE" w:rsidRPr="00453143">
        <w:rPr>
          <w:b/>
          <w:bCs/>
          <w:rtl/>
        </w:rPr>
        <w:t xml:space="preserve"> להיעדר אזכור של כלל העבירות הרלוונטיות, והן </w:t>
      </w:r>
      <w:r w:rsidR="00215CC7">
        <w:rPr>
          <w:b/>
          <w:bCs/>
          <w:rtl/>
        </w:rPr>
        <w:t>בנוגע</w:t>
      </w:r>
      <w:r w:rsidR="006709FE" w:rsidRPr="00453143">
        <w:rPr>
          <w:b/>
          <w:bCs/>
          <w:rtl/>
        </w:rPr>
        <w:t xml:space="preserve"> לבחינה המהותית </w:t>
      </w:r>
      <w:r w:rsidR="00A27B85">
        <w:rPr>
          <w:rFonts w:hint="cs"/>
          <w:b/>
          <w:bCs/>
          <w:rtl/>
        </w:rPr>
        <w:t>לגבי</w:t>
      </w:r>
      <w:r w:rsidR="006709FE" w:rsidRPr="00453143">
        <w:rPr>
          <w:b/>
          <w:bCs/>
          <w:rtl/>
        </w:rPr>
        <w:t xml:space="preserve"> </w:t>
      </w:r>
      <w:r w:rsidR="00A27B85">
        <w:rPr>
          <w:rFonts w:hint="cs"/>
          <w:b/>
          <w:bCs/>
          <w:rtl/>
        </w:rPr>
        <w:t>ה</w:t>
      </w:r>
      <w:r w:rsidR="006709FE" w:rsidRPr="00453143">
        <w:rPr>
          <w:b/>
          <w:bCs/>
          <w:rtl/>
        </w:rPr>
        <w:t>עבירות שניתן לייחס</w:t>
      </w:r>
      <w:r w:rsidR="00A27B85">
        <w:rPr>
          <w:rFonts w:hint="cs"/>
          <w:b/>
          <w:bCs/>
          <w:rtl/>
        </w:rPr>
        <w:t xml:space="preserve"> בהתאם לתיאור העובדות בבקשה</w:t>
      </w:r>
      <w:r w:rsidR="006709FE" w:rsidRPr="00453143">
        <w:rPr>
          <w:b/>
          <w:bCs/>
          <w:rtl/>
        </w:rPr>
        <w:t>.</w:t>
      </w:r>
      <w:r w:rsidR="0049609C">
        <w:rPr>
          <w:b/>
          <w:bCs/>
          <w:rtl/>
        </w:rPr>
        <w:t xml:space="preserve"> </w:t>
      </w:r>
    </w:p>
    <w:bookmarkEnd w:id="270"/>
    <w:bookmarkEnd w:id="273"/>
    <w:p w:rsidR="00214CDB" w:rsidRDefault="00214CDB" w:rsidP="00604C3D">
      <w:pPr>
        <w:spacing w:line="269" w:lineRule="auto"/>
        <w:rPr>
          <w:b/>
          <w:bCs/>
          <w:rtl/>
        </w:rPr>
      </w:pPr>
    </w:p>
    <w:p w:rsidR="00680F47" w:rsidRDefault="00AB3E7F" w:rsidP="00925079">
      <w:pPr>
        <w:spacing w:line="269" w:lineRule="auto"/>
        <w:ind w:left="720"/>
        <w:rPr>
          <w:b/>
          <w:bCs/>
          <w:rtl/>
        </w:rPr>
      </w:pPr>
      <w:r>
        <w:rPr>
          <w:rFonts w:hint="cs"/>
          <w:b/>
          <w:bCs/>
          <w:rtl/>
        </w:rPr>
        <w:t xml:space="preserve">בתשע מתוך עשר הפרשיות שנדגמו עלה כי </w:t>
      </w:r>
      <w:r w:rsidR="009F25B2">
        <w:rPr>
          <w:rFonts w:hint="cs"/>
          <w:b/>
          <w:bCs/>
          <w:rtl/>
        </w:rPr>
        <w:t>המשטרה</w:t>
      </w:r>
      <w:r>
        <w:rPr>
          <w:rFonts w:hint="cs"/>
          <w:b/>
          <w:bCs/>
          <w:rtl/>
        </w:rPr>
        <w:t xml:space="preserve"> מנסחת בקשות</w:t>
      </w:r>
      <w:r w:rsidR="000222D7">
        <w:rPr>
          <w:rFonts w:hint="cs"/>
          <w:b/>
          <w:bCs/>
          <w:rtl/>
        </w:rPr>
        <w:t xml:space="preserve"> להאזנת סתר</w:t>
      </w:r>
      <w:r>
        <w:rPr>
          <w:rFonts w:hint="cs"/>
          <w:b/>
          <w:bCs/>
          <w:rtl/>
        </w:rPr>
        <w:t xml:space="preserve"> באופן לא ברור ולא מדויק בנוגע לשותפים עקיפים:</w:t>
      </w:r>
      <w:r>
        <w:rPr>
          <w:rFonts w:hint="cs"/>
          <w:b/>
          <w:bCs/>
        </w:rPr>
        <w:t xml:space="preserve"> </w:t>
      </w:r>
      <w:r>
        <w:rPr>
          <w:rFonts w:hint="cs"/>
          <w:b/>
          <w:bCs/>
          <w:rtl/>
        </w:rPr>
        <w:t>הבקשות מוגשות ללא הבהרת הקשר בין עילת ההאזנה, מעמד יעד ההאזנה וזיקתו לעבירות שבהן עוסקת הבקשה</w:t>
      </w:r>
      <w:r>
        <w:rPr>
          <w:rFonts w:hint="cs"/>
          <w:rtl/>
        </w:rPr>
        <w:t>.</w:t>
      </w:r>
      <w:r w:rsidRPr="003E096F">
        <w:rPr>
          <w:rFonts w:hint="cs"/>
          <w:rtl/>
        </w:rPr>
        <w:t xml:space="preserve"> </w:t>
      </w:r>
      <w:r w:rsidRPr="003E096F">
        <w:rPr>
          <w:rFonts w:hint="cs"/>
          <w:b/>
          <w:bCs/>
          <w:rtl/>
        </w:rPr>
        <w:t>בבקשה מפורטות כלל העבירות הנוגעות לפרש</w:t>
      </w:r>
      <w:r>
        <w:rPr>
          <w:rFonts w:hint="cs"/>
          <w:b/>
          <w:bCs/>
          <w:rtl/>
        </w:rPr>
        <w:t>יי</w:t>
      </w:r>
      <w:r w:rsidRPr="003E096F">
        <w:rPr>
          <w:rFonts w:hint="cs"/>
          <w:b/>
          <w:bCs/>
          <w:rtl/>
        </w:rPr>
        <w:t>ה</w:t>
      </w:r>
      <w:r>
        <w:rPr>
          <w:rFonts w:hint="cs"/>
          <w:b/>
          <w:bCs/>
          <w:rtl/>
        </w:rPr>
        <w:t xml:space="preserve">, </w:t>
      </w:r>
      <w:r w:rsidRPr="003E096F">
        <w:rPr>
          <w:rFonts w:hint="cs"/>
          <w:b/>
          <w:bCs/>
          <w:rtl/>
        </w:rPr>
        <w:t>אך לא מצוינות בה במפורש העבירות המצדיקות האזנת סתר בהתאם לעילת ההאזנה</w:t>
      </w:r>
      <w:r>
        <w:rPr>
          <w:rFonts w:hint="cs"/>
          <w:b/>
          <w:bCs/>
          <w:rtl/>
        </w:rPr>
        <w:t>.</w:t>
      </w:r>
      <w:r w:rsidRPr="003E096F">
        <w:rPr>
          <w:rFonts w:hint="cs"/>
          <w:b/>
          <w:bCs/>
          <w:rtl/>
        </w:rPr>
        <w:t xml:space="preserve"> הדבר מקשה על המשטרה לנתח את הזיקה בין יעד ההאזנה לבין העבירה שבה עוסקת הבקשה</w:t>
      </w:r>
      <w:r>
        <w:rPr>
          <w:rFonts w:hint="cs"/>
          <w:b/>
          <w:bCs/>
          <w:rtl/>
        </w:rPr>
        <w:t xml:space="preserve">, </w:t>
      </w:r>
      <w:r w:rsidRPr="003E096F">
        <w:rPr>
          <w:rFonts w:hint="cs"/>
          <w:b/>
          <w:bCs/>
          <w:rtl/>
        </w:rPr>
        <w:t>עלול לסכל את הבקרה השיפוטית על אפקטיביות האזנת הסתר ולפגוע ביכולת לבדוק אם יש הצדקה להארכת תוקפה של האזנת הסתר.</w:t>
      </w:r>
    </w:p>
    <w:p w:rsidR="00440A08" w:rsidRPr="00440A08" w:rsidRDefault="00440A08" w:rsidP="00604C3D">
      <w:pPr>
        <w:pStyle w:val="a5"/>
        <w:spacing w:line="269" w:lineRule="auto"/>
        <w:rPr>
          <w:rtl/>
        </w:rPr>
      </w:pPr>
    </w:p>
    <w:p w:rsidR="00AB3E7F" w:rsidRDefault="00680F47" w:rsidP="00925079">
      <w:pPr>
        <w:spacing w:line="269" w:lineRule="auto"/>
        <w:ind w:left="720"/>
        <w:rPr>
          <w:b/>
          <w:bCs/>
          <w:rtl/>
        </w:rPr>
      </w:pPr>
      <w:r>
        <w:rPr>
          <w:rFonts w:hint="cs"/>
          <w:rtl/>
        </w:rPr>
        <w:t>המשטרה מסרה כי א</w:t>
      </w:r>
      <w:r w:rsidR="00B71253">
        <w:rPr>
          <w:rFonts w:hint="cs"/>
          <w:rtl/>
        </w:rPr>
        <w:t>ו</w:t>
      </w:r>
      <w:r>
        <w:rPr>
          <w:rFonts w:hint="cs"/>
          <w:rtl/>
        </w:rPr>
        <w:t xml:space="preserve">מנם נפלו טעויות בחלק מהמקרים באופן שבו סווג יעד ההאזנה בראש טופס הבקשה והוא הוגדר כ"חשוד" </w:t>
      </w:r>
      <w:r w:rsidR="00C3281A" w:rsidRPr="00C3281A">
        <w:rPr>
          <w:rFonts w:hint="cs"/>
          <w:rtl/>
        </w:rPr>
        <w:t xml:space="preserve">חלף היותו "מואזן". </w:t>
      </w:r>
      <w:r w:rsidR="00FC0343">
        <w:rPr>
          <w:rFonts w:hint="cs"/>
          <w:rtl/>
        </w:rPr>
        <w:t xml:space="preserve">יחד </w:t>
      </w:r>
      <w:r w:rsidR="00B71253">
        <w:rPr>
          <w:rFonts w:hint="cs"/>
          <w:rtl/>
        </w:rPr>
        <w:t>עם זאת</w:t>
      </w:r>
      <w:r>
        <w:rPr>
          <w:rFonts w:hint="cs"/>
          <w:rtl/>
        </w:rPr>
        <w:t>, מידת מעורבותו וזיקתו לביצוע העבירות בפרשייה מפורטים בצורה ברורה ומפורשת בנימוקי הבקשה.</w:t>
      </w:r>
      <w:r w:rsidR="00675293">
        <w:rPr>
          <w:rFonts w:hint="cs"/>
          <w:b/>
          <w:bCs/>
          <w:rtl/>
        </w:rPr>
        <w:t xml:space="preserve"> </w:t>
      </w:r>
      <w:r w:rsidR="00FC0343">
        <w:rPr>
          <w:rFonts w:hint="cs"/>
          <w:rtl/>
        </w:rPr>
        <w:t xml:space="preserve">ולפיכך, משטרת ישראל לא מצאה דופי במבנה הבקשה. </w:t>
      </w:r>
    </w:p>
    <w:p w:rsidR="00214CDB" w:rsidRDefault="00214CDB" w:rsidP="00604C3D">
      <w:pPr>
        <w:spacing w:line="269" w:lineRule="auto"/>
        <w:rPr>
          <w:b/>
          <w:bCs/>
          <w:rtl/>
        </w:rPr>
      </w:pPr>
    </w:p>
    <w:p w:rsidR="00AB3E7F" w:rsidRDefault="00680F47" w:rsidP="00925079">
      <w:pPr>
        <w:spacing w:line="269" w:lineRule="auto"/>
        <w:ind w:left="680"/>
        <w:rPr>
          <w:b/>
          <w:bCs/>
          <w:rtl/>
        </w:rPr>
      </w:pPr>
      <w:r>
        <w:rPr>
          <w:rFonts w:hint="cs"/>
          <w:b/>
          <w:bCs/>
          <w:rtl/>
        </w:rPr>
        <w:t xml:space="preserve">בשים לב לכך שממצאי הביקורת מעלים </w:t>
      </w:r>
      <w:r w:rsidR="00440A08">
        <w:rPr>
          <w:rFonts w:hint="cs"/>
          <w:b/>
          <w:bCs/>
          <w:rtl/>
        </w:rPr>
        <w:t xml:space="preserve">כי ניסוח הבקשות להאזנת סתר </w:t>
      </w:r>
      <w:r w:rsidR="00051A97">
        <w:rPr>
          <w:rFonts w:hint="cs"/>
          <w:b/>
          <w:bCs/>
          <w:rtl/>
        </w:rPr>
        <w:t xml:space="preserve">אינו </w:t>
      </w:r>
      <w:r w:rsidR="00440A08">
        <w:rPr>
          <w:rFonts w:hint="cs"/>
          <w:b/>
          <w:bCs/>
          <w:rtl/>
        </w:rPr>
        <w:t xml:space="preserve">ברור </w:t>
      </w:r>
      <w:r w:rsidR="00051A97">
        <w:rPr>
          <w:rFonts w:hint="cs"/>
          <w:b/>
          <w:bCs/>
          <w:rtl/>
        </w:rPr>
        <w:t xml:space="preserve">ואינו </w:t>
      </w:r>
      <w:r w:rsidR="00440A08">
        <w:rPr>
          <w:rFonts w:hint="cs"/>
          <w:b/>
          <w:bCs/>
          <w:rtl/>
        </w:rPr>
        <w:t xml:space="preserve">מדויק </w:t>
      </w:r>
      <w:r w:rsidR="00215CC7">
        <w:rPr>
          <w:rFonts w:hint="cs"/>
          <w:b/>
          <w:bCs/>
          <w:rtl/>
        </w:rPr>
        <w:t>בנוגע</w:t>
      </w:r>
      <w:r w:rsidR="00440A08">
        <w:rPr>
          <w:rFonts w:hint="cs"/>
          <w:b/>
          <w:bCs/>
          <w:rtl/>
        </w:rPr>
        <w:t xml:space="preserve"> למעמדם של שותפים עקיפים, הצדקת ההאזנה להם, העבירות שנדרש לייחס להם וזיקתם לעבירות בפרשייה בכללותה,</w:t>
      </w:r>
      <w:r>
        <w:rPr>
          <w:rFonts w:hint="cs"/>
          <w:b/>
          <w:bCs/>
          <w:rtl/>
        </w:rPr>
        <w:t xml:space="preserve"> </w:t>
      </w:r>
      <w:r w:rsidR="00AB3E7F">
        <w:rPr>
          <w:rFonts w:hint="cs"/>
          <w:b/>
          <w:bCs/>
          <w:rtl/>
        </w:rPr>
        <w:t>מוצע שהמשטרה תבהיר בנהליה כיצד על השוטר להתייחס לשותף עקיף לביצוע עבירה בעת מילוי הבקשה</w:t>
      </w:r>
      <w:r w:rsidR="00440A08">
        <w:rPr>
          <w:rFonts w:hint="cs"/>
          <w:b/>
          <w:bCs/>
          <w:rtl/>
        </w:rPr>
        <w:t>.</w:t>
      </w:r>
      <w:r w:rsidR="00AB3E7F">
        <w:rPr>
          <w:rFonts w:hint="cs"/>
          <w:b/>
          <w:bCs/>
          <w:rtl/>
        </w:rPr>
        <w:t xml:space="preserve"> </w:t>
      </w:r>
      <w:r w:rsidR="00440A08">
        <w:rPr>
          <w:rFonts w:hint="cs"/>
          <w:b/>
          <w:bCs/>
          <w:rtl/>
        </w:rPr>
        <w:t xml:space="preserve">כמו </w:t>
      </w:r>
      <w:r w:rsidR="00AB3E7F">
        <w:rPr>
          <w:rFonts w:hint="cs"/>
          <w:b/>
          <w:bCs/>
          <w:rtl/>
        </w:rPr>
        <w:t>כן</w:t>
      </w:r>
      <w:r w:rsidR="00440A08">
        <w:rPr>
          <w:rFonts w:hint="cs"/>
          <w:b/>
          <w:bCs/>
          <w:rtl/>
        </w:rPr>
        <w:t>, מוצע שהמשטרה</w:t>
      </w:r>
      <w:r w:rsidR="00AB3E7F">
        <w:rPr>
          <w:rFonts w:hint="cs"/>
          <w:b/>
          <w:bCs/>
          <w:rtl/>
        </w:rPr>
        <w:t xml:space="preserve"> תבחן מתן ליווי מקצועי או משפטי בהכנת הבקשות בהתאם למורכבות האירוע הפלילי </w:t>
      </w:r>
      <w:r w:rsidR="00051A97">
        <w:rPr>
          <w:rFonts w:hint="cs"/>
          <w:b/>
          <w:bCs/>
          <w:rtl/>
        </w:rPr>
        <w:t>ש</w:t>
      </w:r>
      <w:r w:rsidR="00AB3E7F">
        <w:rPr>
          <w:rFonts w:hint="cs"/>
          <w:b/>
          <w:bCs/>
          <w:rtl/>
        </w:rPr>
        <w:t xml:space="preserve">בגינו נדרשת האזנת הסתר. </w:t>
      </w:r>
    </w:p>
    <w:p w:rsidR="008868B6" w:rsidRPr="00C33ACD" w:rsidRDefault="008868B6" w:rsidP="00604C3D">
      <w:pPr>
        <w:spacing w:line="269" w:lineRule="auto"/>
        <w:rPr>
          <w:b/>
          <w:bCs/>
          <w:rtl/>
        </w:rPr>
      </w:pPr>
    </w:p>
    <w:p w:rsidR="008868B6" w:rsidRPr="00A512AA" w:rsidRDefault="008868B6" w:rsidP="008C598D">
      <w:pPr>
        <w:pStyle w:val="5"/>
        <w:numPr>
          <w:ilvl w:val="2"/>
          <w:numId w:val="43"/>
        </w:numPr>
        <w:spacing w:line="269" w:lineRule="auto"/>
        <w:ind w:left="707"/>
      </w:pPr>
      <w:r w:rsidRPr="00A512AA">
        <w:rPr>
          <w:rFonts w:hint="eastAsia"/>
          <w:rtl/>
        </w:rPr>
        <w:t>מילוי</w:t>
      </w:r>
      <w:r w:rsidRPr="00A512AA">
        <w:rPr>
          <w:rtl/>
        </w:rPr>
        <w:t xml:space="preserve"> </w:t>
      </w:r>
      <w:r w:rsidRPr="00A512AA">
        <w:rPr>
          <w:rFonts w:hint="eastAsia"/>
          <w:rtl/>
        </w:rPr>
        <w:t>והגשה</w:t>
      </w:r>
      <w:r w:rsidRPr="00A512AA">
        <w:rPr>
          <w:rtl/>
        </w:rPr>
        <w:t xml:space="preserve"> </w:t>
      </w:r>
      <w:r w:rsidRPr="00A512AA">
        <w:rPr>
          <w:rFonts w:hint="eastAsia"/>
          <w:rtl/>
        </w:rPr>
        <w:t>של</w:t>
      </w:r>
      <w:r w:rsidRPr="00A512AA">
        <w:rPr>
          <w:rtl/>
        </w:rPr>
        <w:t xml:space="preserve"> </w:t>
      </w:r>
      <w:r w:rsidRPr="00A512AA">
        <w:rPr>
          <w:rFonts w:hint="eastAsia"/>
          <w:rtl/>
        </w:rPr>
        <w:t>בקשות</w:t>
      </w:r>
      <w:r w:rsidRPr="00A512AA">
        <w:rPr>
          <w:rtl/>
        </w:rPr>
        <w:t xml:space="preserve"> </w:t>
      </w:r>
      <w:r w:rsidRPr="00A512AA">
        <w:rPr>
          <w:rFonts w:hint="eastAsia"/>
          <w:rtl/>
        </w:rPr>
        <w:t>האזנה</w:t>
      </w:r>
      <w:r w:rsidRPr="00A512AA">
        <w:rPr>
          <w:rtl/>
        </w:rPr>
        <w:t xml:space="preserve"> </w:t>
      </w:r>
      <w:r w:rsidRPr="00A512AA">
        <w:rPr>
          <w:rFonts w:hint="eastAsia"/>
          <w:rtl/>
        </w:rPr>
        <w:t>לקורבנות</w:t>
      </w:r>
      <w:r w:rsidRPr="00A512AA">
        <w:rPr>
          <w:rtl/>
        </w:rPr>
        <w:t xml:space="preserve"> </w:t>
      </w:r>
      <w:r w:rsidRPr="00A512AA">
        <w:rPr>
          <w:rFonts w:hint="eastAsia"/>
          <w:rtl/>
        </w:rPr>
        <w:t>עבירה</w:t>
      </w:r>
    </w:p>
    <w:p w:rsidR="00214CDB" w:rsidRDefault="00214CDB" w:rsidP="00604C3D">
      <w:pPr>
        <w:spacing w:line="269" w:lineRule="auto"/>
        <w:rPr>
          <w:rtl/>
        </w:rPr>
      </w:pPr>
    </w:p>
    <w:p w:rsidR="008868B6" w:rsidRPr="00546B11" w:rsidRDefault="008868B6" w:rsidP="00925079">
      <w:pPr>
        <w:spacing w:line="269" w:lineRule="auto"/>
        <w:ind w:left="680"/>
        <w:rPr>
          <w:rtl/>
        </w:rPr>
      </w:pPr>
      <w:r w:rsidRPr="00546B11">
        <w:rPr>
          <w:rFonts w:hint="cs"/>
          <w:rtl/>
        </w:rPr>
        <w:t>לפי נ</w:t>
      </w:r>
      <w:r>
        <w:rPr>
          <w:rFonts w:hint="cs"/>
          <w:rtl/>
        </w:rPr>
        <w:t>ו</w:t>
      </w:r>
      <w:r w:rsidRPr="00546B11">
        <w:rPr>
          <w:rFonts w:hint="cs"/>
          <w:rtl/>
        </w:rPr>
        <w:t xml:space="preserve">הלי המשטרה, האזנה לקורבן עבירה דורשת נקיטת זהירות מופלגת וקיומם של טעמים מיוחדים </w:t>
      </w:r>
      <w:r>
        <w:rPr>
          <w:rFonts w:hint="cs"/>
          <w:rtl/>
        </w:rPr>
        <w:t xml:space="preserve">המצדיקים את אישור הבקשה חרף </w:t>
      </w:r>
      <w:r w:rsidRPr="00546B11">
        <w:rPr>
          <w:rFonts w:hint="cs"/>
          <w:rtl/>
        </w:rPr>
        <w:t>הפגיעה בפרטיות</w:t>
      </w:r>
      <w:r>
        <w:rPr>
          <w:rFonts w:hint="cs"/>
          <w:rtl/>
        </w:rPr>
        <w:t xml:space="preserve"> הקורבן</w:t>
      </w:r>
      <w:r w:rsidRPr="00546B11">
        <w:rPr>
          <w:rFonts w:hint="cs"/>
          <w:rtl/>
        </w:rPr>
        <w:t xml:space="preserve">. הטעמים המיוחדים המצדיקים האזנה לקורבן עבירה הם, בין היתר, הצורך בסיכול העבירה, מניעת סכנה לקורבן, חוסר שיתוף פעולה של הקורבן המקשה </w:t>
      </w:r>
      <w:r>
        <w:rPr>
          <w:rFonts w:hint="cs"/>
          <w:rtl/>
        </w:rPr>
        <w:t>את</w:t>
      </w:r>
      <w:r w:rsidRPr="00546B11">
        <w:rPr>
          <w:rFonts w:hint="cs"/>
          <w:rtl/>
        </w:rPr>
        <w:t xml:space="preserve"> איסוף </w:t>
      </w:r>
      <w:r>
        <w:rPr>
          <w:rFonts w:hint="cs"/>
          <w:rtl/>
        </w:rPr>
        <w:t>ה</w:t>
      </w:r>
      <w:r w:rsidRPr="00546B11">
        <w:rPr>
          <w:rFonts w:hint="cs"/>
          <w:rtl/>
        </w:rPr>
        <w:t xml:space="preserve">ראיות והיעדר יכולת חקירתית אחרת. </w:t>
      </w:r>
      <w:r>
        <w:rPr>
          <w:rFonts w:hint="cs"/>
          <w:rtl/>
        </w:rPr>
        <w:t xml:space="preserve">טעמים אלה יש לפרט בנימוקי הבקשה. </w:t>
      </w:r>
    </w:p>
    <w:p w:rsidR="00992C85" w:rsidRPr="00A0596D" w:rsidRDefault="00992C85" w:rsidP="00604C3D">
      <w:pPr>
        <w:spacing w:line="269" w:lineRule="auto"/>
      </w:pPr>
    </w:p>
    <w:p w:rsidR="008868B6" w:rsidRPr="007E74D4" w:rsidRDefault="008868B6" w:rsidP="008C598D">
      <w:pPr>
        <w:pStyle w:val="af2"/>
        <w:numPr>
          <w:ilvl w:val="3"/>
          <w:numId w:val="43"/>
        </w:numPr>
        <w:spacing w:line="269" w:lineRule="auto"/>
        <w:ind w:left="1067"/>
      </w:pPr>
      <w:r w:rsidRPr="007E74D4">
        <w:rPr>
          <w:rFonts w:hint="cs"/>
          <w:rtl/>
        </w:rPr>
        <w:t xml:space="preserve">במערכת לניהול צווים אותרו 24 קורבנות עבירה שמוזכרים בבקשות להאזנות סתר בשנים </w:t>
      </w:r>
      <w:r w:rsidR="001119A1">
        <w:rPr>
          <w:rFonts w:hint="cs"/>
          <w:rtl/>
        </w:rPr>
        <w:t>2020</w:t>
      </w:r>
      <w:r w:rsidR="001119A1" w:rsidRPr="007E74D4">
        <w:rPr>
          <w:rFonts w:hint="cs"/>
          <w:rtl/>
        </w:rPr>
        <w:t xml:space="preserve"> </w:t>
      </w:r>
      <w:r w:rsidRPr="007E74D4">
        <w:rPr>
          <w:rFonts w:hint="cs"/>
          <w:rtl/>
        </w:rPr>
        <w:t>-</w:t>
      </w:r>
      <w:r>
        <w:rPr>
          <w:rFonts w:hint="cs"/>
          <w:rtl/>
        </w:rPr>
        <w:t xml:space="preserve"> 2021</w:t>
      </w:r>
      <w:r w:rsidRPr="007E74D4">
        <w:rPr>
          <w:rFonts w:hint="cs"/>
          <w:rtl/>
        </w:rPr>
        <w:t xml:space="preserve"> </w:t>
      </w:r>
      <w:r>
        <w:rPr>
          <w:rFonts w:hint="cs"/>
          <w:rtl/>
        </w:rPr>
        <w:t xml:space="preserve">וסומנו במערכת. </w:t>
      </w:r>
      <w:r w:rsidRPr="007E74D4">
        <w:rPr>
          <w:rFonts w:hint="cs"/>
          <w:rtl/>
        </w:rPr>
        <w:t xml:space="preserve">רק 9 </w:t>
      </w:r>
      <w:r>
        <w:rPr>
          <w:rFonts w:hint="cs"/>
          <w:rtl/>
        </w:rPr>
        <w:t>מהם</w:t>
      </w:r>
      <w:r w:rsidRPr="007E74D4">
        <w:rPr>
          <w:rFonts w:hint="cs"/>
          <w:rtl/>
        </w:rPr>
        <w:t xml:space="preserve"> הם יעדי האזנה. ואולם משרד מבקר המדינה איתר 32 בקשות </w:t>
      </w:r>
      <w:r>
        <w:rPr>
          <w:rFonts w:hint="cs"/>
          <w:rtl/>
        </w:rPr>
        <w:t xml:space="preserve">נוספות </w:t>
      </w:r>
      <w:r w:rsidRPr="007E74D4">
        <w:rPr>
          <w:rFonts w:hint="cs"/>
          <w:rtl/>
        </w:rPr>
        <w:t xml:space="preserve">להאזנה ל-27 קורבנות עבירה שונים שלא סומנו </w:t>
      </w:r>
      <w:r>
        <w:rPr>
          <w:rFonts w:hint="cs"/>
          <w:rtl/>
        </w:rPr>
        <w:t xml:space="preserve">כקורבנות עבירה </w:t>
      </w:r>
      <w:r w:rsidRPr="007E74D4">
        <w:rPr>
          <w:rFonts w:hint="cs"/>
          <w:rtl/>
        </w:rPr>
        <w:t>במערכת לניהול צווים</w:t>
      </w:r>
      <w:r>
        <w:rPr>
          <w:rFonts w:hint="cs"/>
          <w:rtl/>
        </w:rPr>
        <w:t>, ולפיכך לא ניתן היה לאתרם אלא באמצעות בחיפוש על פי מילת מפתח ובדיקה ידנית</w:t>
      </w:r>
      <w:r w:rsidRPr="007E74D4">
        <w:rPr>
          <w:rFonts w:hint="cs"/>
          <w:rtl/>
        </w:rPr>
        <w:t>.</w:t>
      </w:r>
    </w:p>
    <w:p w:rsidR="00214CDB" w:rsidRDefault="00214CDB" w:rsidP="00604C3D">
      <w:pPr>
        <w:spacing w:line="269" w:lineRule="auto"/>
        <w:ind w:left="423"/>
        <w:rPr>
          <w:b/>
          <w:bCs/>
          <w:rtl/>
        </w:rPr>
      </w:pPr>
    </w:p>
    <w:p w:rsidR="008868B6" w:rsidRPr="004A2DCA" w:rsidRDefault="009A1216" w:rsidP="00925079">
      <w:pPr>
        <w:spacing w:line="269" w:lineRule="auto"/>
        <w:ind w:left="1077"/>
        <w:rPr>
          <w:b/>
          <w:bCs/>
          <w:rtl/>
        </w:rPr>
      </w:pPr>
      <w:r w:rsidRPr="009A1216">
        <w:rPr>
          <w:rFonts w:hint="cs"/>
          <w:b/>
          <w:bCs/>
          <w:rtl/>
        </w:rPr>
        <w:t>החל בשנת 2020 המשטרה נהגה להאזין לקורבנות עבירה בלא שסימנה אותם באמצעות המערכת לניהול צווים כבקשות ההאזנה שבהן יעדי האזנה במעמד של קורבן עבירה. משרד מבקר המדינה איתר 27 קורבנות עבירה נוספים מלבד 9 יעדי ההאזנה שהם הקורבנות שסימנה המשטרה במערכת אשר היוו יעד האזנה. יתרה מכך, מתוך 18 יעדי האזנה שהם קורבנות שאותרו על ידי משרד מבקר המדינה ושהבקשות לגביהם הוגשו בשנים 2020 - 2021, המשטרה סימנה במערכת רק 3 יעדים כקורבנות עבירה. כלומר, היא סימנה במערכת פחות מחמישית מיעדי ההאזנה שהם קורבנות עבירה ואשר נעשתה האזנה למכשיריהם. בהיעדר סימון קורבנות עבירה בבקשות המשטרה אינה יכולה לשלוף בקשות האזנה לקורבנות עבירה ולבצע בקרה בדיעבד בעניינם כדי לוודא כי היא עומדת בנהליה וכי פרטיותם נשמרת</w:t>
      </w:r>
      <w:r w:rsidR="008868B6" w:rsidRPr="00F52EBB">
        <w:rPr>
          <w:rFonts w:hint="cs"/>
          <w:b/>
          <w:bCs/>
          <w:rtl/>
        </w:rPr>
        <w:t xml:space="preserve">. </w:t>
      </w:r>
    </w:p>
    <w:p w:rsidR="00214CDB" w:rsidRDefault="00214CDB" w:rsidP="00604C3D">
      <w:pPr>
        <w:spacing w:line="269" w:lineRule="auto"/>
        <w:ind w:left="360"/>
        <w:rPr>
          <w:b/>
          <w:bCs/>
          <w:rtl/>
        </w:rPr>
      </w:pPr>
    </w:p>
    <w:p w:rsidR="008868B6" w:rsidRDefault="008868B6" w:rsidP="00925079">
      <w:pPr>
        <w:spacing w:line="269" w:lineRule="auto"/>
        <w:ind w:left="1077"/>
        <w:rPr>
          <w:b/>
          <w:bCs/>
          <w:rtl/>
        </w:rPr>
      </w:pPr>
      <w:r>
        <w:rPr>
          <w:rFonts w:hint="cs"/>
          <w:b/>
          <w:bCs/>
          <w:rtl/>
        </w:rPr>
        <w:t xml:space="preserve">על המשטרה לסמן במערכת לניהול צווים יעדי האזנה שהם קורבנות עבירה ולהדגיש </w:t>
      </w:r>
      <w:r w:rsidR="00606A58">
        <w:rPr>
          <w:rFonts w:hint="cs"/>
          <w:b/>
          <w:bCs/>
          <w:rtl/>
        </w:rPr>
        <w:t>בראש טופס הבקשה</w:t>
      </w:r>
      <w:r>
        <w:rPr>
          <w:rFonts w:hint="cs"/>
          <w:b/>
          <w:bCs/>
          <w:rtl/>
        </w:rPr>
        <w:t xml:space="preserve"> את מעמדם כקורבנות. </w:t>
      </w:r>
    </w:p>
    <w:p w:rsidR="00214CDB" w:rsidRPr="00192E2B" w:rsidRDefault="00214CDB" w:rsidP="00604C3D">
      <w:pPr>
        <w:spacing w:line="269" w:lineRule="auto"/>
      </w:pPr>
    </w:p>
    <w:p w:rsidR="008868B6" w:rsidRDefault="008868B6" w:rsidP="008C598D">
      <w:pPr>
        <w:pStyle w:val="af2"/>
        <w:numPr>
          <w:ilvl w:val="3"/>
          <w:numId w:val="43"/>
        </w:numPr>
        <w:spacing w:line="269" w:lineRule="auto"/>
        <w:ind w:left="1067"/>
        <w:rPr>
          <w:rtl/>
        </w:rPr>
      </w:pPr>
      <w:r>
        <w:rPr>
          <w:rFonts w:hint="cs"/>
          <w:rtl/>
        </w:rPr>
        <w:t>מתוך 32 בקשות להאזנת סתר הנוגעות לקורבן העבירה שאיתר משרד מבקר המדינה 29 מהבקשות נוגעות הן לקורבן העבירה והן לחשוד</w:t>
      </w:r>
      <w:r w:rsidR="004F5793">
        <w:rPr>
          <w:rFonts w:hint="cs"/>
          <w:rtl/>
        </w:rPr>
        <w:t xml:space="preserve"> (91%)</w:t>
      </w:r>
      <w:r>
        <w:rPr>
          <w:rFonts w:hint="cs"/>
          <w:rtl/>
        </w:rPr>
        <w:t>, ובמסגרת הטיפול ב-20 מהבקשות התבצעה בפועל האזנה לקורבן העבירה בלבד</w:t>
      </w:r>
      <w:r w:rsidR="004F5793">
        <w:rPr>
          <w:rFonts w:hint="cs"/>
          <w:rtl/>
        </w:rPr>
        <w:t xml:space="preserve"> (69%)</w:t>
      </w:r>
      <w:r>
        <w:rPr>
          <w:rFonts w:hint="cs"/>
          <w:rtl/>
        </w:rPr>
        <w:t xml:space="preserve">, אף שהבקשה להאזנה נגעה גם לחשוד. עוד עלה כי </w:t>
      </w:r>
      <w:r w:rsidR="004F5793">
        <w:rPr>
          <w:rFonts w:hint="cs"/>
          <w:rtl/>
        </w:rPr>
        <w:t>ב</w:t>
      </w:r>
      <w:r>
        <w:rPr>
          <w:rFonts w:hint="cs"/>
          <w:rtl/>
        </w:rPr>
        <w:t>כ-30 מהבקשות להאזנה הנוגעות לקורבן עבירה נרשמו העבירות העיקריות בבקשה בלבד שנוגעות לחשדות כנגד החשוד גרידא ולא לקורבן (94%). ואולם בחלק מהבקשות תואר מצב שבו קורבן העבירה סירב לשתף פעולה, או ביצע פעולות לשיבוש החקירה, או לחלופין עלה מהן כי ההאזנה לקורבן נועדה לאתר עבריין נמלט. כלומר, מבדיקת נסיבות הבקשה המצדיקות האזנה לקורבן עולה כי הייתה עילת האזנה אחרת או כי בוצעו עבירות נלוות נוספות שלא באו לידי ביטוי בגוף הבקשה</w:t>
      </w:r>
      <w:r w:rsidR="009A1216" w:rsidRPr="009A1216">
        <w:rPr>
          <w:vertAlign w:val="superscript"/>
          <w:rtl/>
        </w:rPr>
        <w:footnoteReference w:id="111"/>
      </w:r>
      <w:r w:rsidR="009A1216" w:rsidRPr="009A1216">
        <w:rPr>
          <w:rFonts w:hint="cs"/>
          <w:rtl/>
        </w:rPr>
        <w:t>.</w:t>
      </w:r>
      <w:r>
        <w:rPr>
          <w:rFonts w:hint="cs"/>
          <w:rtl/>
        </w:rPr>
        <w:t xml:space="preserve"> </w:t>
      </w:r>
    </w:p>
    <w:p w:rsidR="00214CDB" w:rsidRDefault="00214CDB" w:rsidP="00604C3D">
      <w:pPr>
        <w:spacing w:line="269" w:lineRule="auto"/>
        <w:ind w:left="423"/>
        <w:rPr>
          <w:b/>
          <w:bCs/>
          <w:rtl/>
        </w:rPr>
      </w:pPr>
    </w:p>
    <w:p w:rsidR="00AB3E7F" w:rsidRDefault="00AB3E7F" w:rsidP="00925079">
      <w:pPr>
        <w:spacing w:line="269" w:lineRule="auto"/>
        <w:ind w:left="1077"/>
        <w:rPr>
          <w:b/>
          <w:bCs/>
          <w:rtl/>
        </w:rPr>
      </w:pPr>
      <w:r w:rsidRPr="000B09DD">
        <w:rPr>
          <w:rFonts w:hint="cs"/>
          <w:b/>
          <w:bCs/>
          <w:rtl/>
        </w:rPr>
        <w:t>נמצא כי המשטרה נהגה לכלול קורבנות עבירה וחשודים בבקשה מאוחדת להאזנת סתר. פרקטיקה זו</w:t>
      </w:r>
      <w:r>
        <w:rPr>
          <w:rFonts w:hint="cs"/>
          <w:b/>
          <w:bCs/>
          <w:rtl/>
        </w:rPr>
        <w:t>,</w:t>
      </w:r>
      <w:r w:rsidRPr="000B09DD">
        <w:rPr>
          <w:rFonts w:hint="cs"/>
          <w:b/>
          <w:bCs/>
          <w:rtl/>
        </w:rPr>
        <w:t xml:space="preserve"> שיושמה ב-91% מהמקרים</w:t>
      </w:r>
      <w:r>
        <w:rPr>
          <w:rFonts w:hint="cs"/>
          <w:b/>
          <w:bCs/>
          <w:rtl/>
        </w:rPr>
        <w:t xml:space="preserve"> (29 בקשות מתוך 32)</w:t>
      </w:r>
      <w:r w:rsidRPr="000B09DD">
        <w:rPr>
          <w:rFonts w:hint="cs"/>
          <w:b/>
          <w:bCs/>
          <w:rtl/>
        </w:rPr>
        <w:t xml:space="preserve"> </w:t>
      </w:r>
      <w:r>
        <w:rPr>
          <w:rFonts w:hint="cs"/>
          <w:b/>
          <w:bCs/>
          <w:rtl/>
        </w:rPr>
        <w:t>שבדק</w:t>
      </w:r>
      <w:r w:rsidRPr="000B09DD">
        <w:rPr>
          <w:rFonts w:hint="cs"/>
          <w:b/>
          <w:bCs/>
          <w:rtl/>
        </w:rPr>
        <w:t xml:space="preserve"> צוות הביקורת</w:t>
      </w:r>
      <w:r>
        <w:rPr>
          <w:rFonts w:hint="cs"/>
          <w:b/>
          <w:bCs/>
          <w:rtl/>
        </w:rPr>
        <w:t>,</w:t>
      </w:r>
      <w:r w:rsidRPr="000B09DD">
        <w:rPr>
          <w:rFonts w:hint="cs"/>
          <w:b/>
          <w:bCs/>
          <w:rtl/>
        </w:rPr>
        <w:t xml:space="preserve"> פוגעת </w:t>
      </w:r>
      <w:r>
        <w:rPr>
          <w:rFonts w:hint="cs"/>
          <w:b/>
          <w:bCs/>
          <w:rtl/>
        </w:rPr>
        <w:t>ביכולת לשקף לפני בית המשפט את</w:t>
      </w:r>
      <w:r w:rsidRPr="000B09DD">
        <w:rPr>
          <w:rFonts w:hint="cs"/>
          <w:b/>
          <w:bCs/>
          <w:rtl/>
        </w:rPr>
        <w:t xml:space="preserve"> מצב הדברים.</w:t>
      </w:r>
      <w:r>
        <w:rPr>
          <w:rFonts w:hint="cs"/>
          <w:b/>
          <w:bCs/>
          <w:rtl/>
        </w:rPr>
        <w:t xml:space="preserve"> זאת, משום שקיים פער תהומי בין קורבן עבירה לבין החשוד העיקרי בביצוע העבירה הפלילית בכל אחד מנדבכי הבקשה: עילת ההאזנה להם היא שונה, העבירות שניתן לייחס להם הן שונות, והזיקה של כל אחד מהם לנדבכים הללו דורשת רישום בקשה שונה מהותית. יוצא אפוא כי לקורבן העבירה עלולה להיות מיוחסת עילת האזנה ועבירות שאינן מתאימות לו. כמו כן,</w:t>
      </w:r>
      <w:r w:rsidRPr="000B09DD">
        <w:rPr>
          <w:rFonts w:hint="cs"/>
          <w:b/>
          <w:bCs/>
          <w:rtl/>
        </w:rPr>
        <w:t xml:space="preserve"> </w:t>
      </w:r>
      <w:r>
        <w:rPr>
          <w:rFonts w:hint="cs"/>
          <w:b/>
          <w:bCs/>
          <w:rtl/>
        </w:rPr>
        <w:t xml:space="preserve">עלה כי </w:t>
      </w:r>
      <w:r w:rsidRPr="000B09DD">
        <w:rPr>
          <w:rFonts w:hint="cs"/>
          <w:b/>
          <w:bCs/>
          <w:rtl/>
        </w:rPr>
        <w:t>ב</w:t>
      </w:r>
      <w:r>
        <w:rPr>
          <w:rFonts w:hint="cs"/>
          <w:b/>
          <w:bCs/>
          <w:rtl/>
        </w:rPr>
        <w:t>מסגרת הטיפול</w:t>
      </w:r>
      <w:r w:rsidRPr="000B09DD">
        <w:rPr>
          <w:rFonts w:hint="cs"/>
          <w:b/>
          <w:bCs/>
          <w:rtl/>
        </w:rPr>
        <w:t xml:space="preserve"> ב-69% </w:t>
      </w:r>
      <w:r>
        <w:rPr>
          <w:rFonts w:hint="cs"/>
          <w:b/>
          <w:bCs/>
          <w:rtl/>
        </w:rPr>
        <w:t>מהבקשות (20 בקשות מתוך 32) שבדק</w:t>
      </w:r>
      <w:r w:rsidRPr="000B09DD">
        <w:rPr>
          <w:rFonts w:hint="cs"/>
          <w:b/>
          <w:bCs/>
          <w:rtl/>
        </w:rPr>
        <w:t xml:space="preserve"> </w:t>
      </w:r>
      <w:r>
        <w:rPr>
          <w:rFonts w:hint="cs"/>
          <w:b/>
          <w:bCs/>
          <w:rtl/>
        </w:rPr>
        <w:t>משרד מבקר המדינה</w:t>
      </w:r>
      <w:r w:rsidRPr="000B09DD">
        <w:rPr>
          <w:rFonts w:hint="cs"/>
          <w:b/>
          <w:bCs/>
          <w:rtl/>
        </w:rPr>
        <w:t xml:space="preserve"> </w:t>
      </w:r>
      <w:r>
        <w:rPr>
          <w:rFonts w:hint="cs"/>
          <w:b/>
          <w:bCs/>
          <w:rtl/>
        </w:rPr>
        <w:t>בוצעה האזנה לקורבן העבירה בלבד,</w:t>
      </w:r>
      <w:r w:rsidRPr="000B09DD">
        <w:rPr>
          <w:rFonts w:hint="cs"/>
          <w:b/>
          <w:bCs/>
          <w:rtl/>
        </w:rPr>
        <w:t xml:space="preserve"> הגם שהבקשה הוגשה לגבי חשוד וקורבן עבירה יחדיו.</w:t>
      </w:r>
      <w:r>
        <w:rPr>
          <w:rFonts w:hint="cs"/>
          <w:b/>
          <w:bCs/>
          <w:rtl/>
        </w:rPr>
        <w:t xml:space="preserve"> משמע, </w:t>
      </w:r>
      <w:bookmarkStart w:id="274" w:name="_Hlk156729012"/>
      <w:r>
        <w:rPr>
          <w:rFonts w:hint="cs"/>
          <w:b/>
          <w:bCs/>
          <w:rtl/>
        </w:rPr>
        <w:t xml:space="preserve">המשטרה הצהירה על כוונה להאזין לצבר של יעדי האזנה אך לא מימשה כוונה זו. ולכן, </w:t>
      </w:r>
      <w:r w:rsidR="004F5793">
        <w:rPr>
          <w:rFonts w:hint="cs"/>
          <w:b/>
          <w:bCs/>
          <w:rtl/>
        </w:rPr>
        <w:t xml:space="preserve">היא </w:t>
      </w:r>
      <w:r>
        <w:rPr>
          <w:rFonts w:hint="cs"/>
          <w:b/>
          <w:bCs/>
          <w:rtl/>
        </w:rPr>
        <w:t>הוציאה צווי האזנה בעלי תחולה נרחבת שלא לצורך וללא בדיקה דקדקנית של נחיצותם</w:t>
      </w:r>
      <w:bookmarkEnd w:id="274"/>
      <w:r w:rsidR="004F5793">
        <w:rPr>
          <w:rFonts w:hint="cs"/>
          <w:b/>
          <w:bCs/>
          <w:rtl/>
        </w:rPr>
        <w:t>. דפוס פעולה זה</w:t>
      </w:r>
      <w:r w:rsidR="00382AE8">
        <w:rPr>
          <w:rFonts w:hint="cs"/>
          <w:b/>
          <w:bCs/>
          <w:rtl/>
        </w:rPr>
        <w:t xml:space="preserve"> </w:t>
      </w:r>
      <w:r w:rsidRPr="000A02D8">
        <w:rPr>
          <w:b/>
          <w:bCs/>
          <w:rtl/>
        </w:rPr>
        <w:t>עלול להטעות את בית המשפט</w:t>
      </w:r>
      <w:r>
        <w:rPr>
          <w:rFonts w:hint="cs"/>
          <w:b/>
          <w:bCs/>
          <w:rtl/>
        </w:rPr>
        <w:t xml:space="preserve">. </w:t>
      </w:r>
    </w:p>
    <w:p w:rsidR="00214CDB" w:rsidRDefault="00214CDB" w:rsidP="00604C3D">
      <w:pPr>
        <w:spacing w:line="269" w:lineRule="auto"/>
        <w:rPr>
          <w:b/>
          <w:bCs/>
          <w:rtl/>
        </w:rPr>
      </w:pPr>
    </w:p>
    <w:p w:rsidR="003C1AF9" w:rsidRDefault="003C1AF9" w:rsidP="00925079">
      <w:pPr>
        <w:spacing w:line="269" w:lineRule="auto"/>
        <w:ind w:left="1077"/>
        <w:rPr>
          <w:b/>
          <w:bCs/>
          <w:rtl/>
        </w:rPr>
      </w:pPr>
      <w:r w:rsidRPr="003C1AF9">
        <w:rPr>
          <w:rFonts w:hint="cs"/>
          <w:b/>
          <w:bCs/>
          <w:rtl/>
        </w:rPr>
        <w:t xml:space="preserve">בשים לב לכך שבקשות להאזנת סתר מוגשות במעמד צד אחד וללא ידיעת יעד ההאזנה, מומלץ כי המשטרה תימנע מלציין בבקשות להאזנת סתר יעדי האזנה שאין בכוונתה להאזין להם במסגרת הבקשה. </w:t>
      </w:r>
    </w:p>
    <w:p w:rsidR="001143D1" w:rsidRPr="003C1AF9" w:rsidRDefault="001143D1" w:rsidP="00604C3D">
      <w:pPr>
        <w:spacing w:line="269" w:lineRule="auto"/>
        <w:rPr>
          <w:b/>
          <w:bCs/>
          <w:rtl/>
        </w:rPr>
      </w:pPr>
    </w:p>
    <w:p w:rsidR="008868B6" w:rsidRPr="00C33ACD" w:rsidRDefault="008868B6" w:rsidP="008C598D">
      <w:pPr>
        <w:pStyle w:val="5"/>
        <w:numPr>
          <w:ilvl w:val="2"/>
          <w:numId w:val="43"/>
        </w:numPr>
        <w:spacing w:line="269" w:lineRule="auto"/>
        <w:ind w:left="707"/>
      </w:pPr>
      <w:r w:rsidRPr="002F7247">
        <w:rPr>
          <w:rtl/>
        </w:rPr>
        <w:t>מילוי ו</w:t>
      </w:r>
      <w:r w:rsidRPr="00B556C3">
        <w:rPr>
          <w:rtl/>
        </w:rPr>
        <w:t xml:space="preserve">הגשה של בקשות האזנה </w:t>
      </w:r>
      <w:r w:rsidRPr="00B556C3">
        <w:rPr>
          <w:rFonts w:hint="cs"/>
          <w:rtl/>
        </w:rPr>
        <w:t xml:space="preserve">לקטינים </w:t>
      </w:r>
    </w:p>
    <w:p w:rsidR="00214CDB" w:rsidRDefault="00214CDB" w:rsidP="00604C3D">
      <w:pPr>
        <w:spacing w:line="269" w:lineRule="auto"/>
        <w:rPr>
          <w:rtl/>
        </w:rPr>
      </w:pPr>
    </w:p>
    <w:p w:rsidR="008868B6" w:rsidRDefault="008868B6" w:rsidP="00F63BA6">
      <w:pPr>
        <w:spacing w:line="269" w:lineRule="auto"/>
        <w:ind w:left="680"/>
        <w:rPr>
          <w:rtl/>
        </w:rPr>
      </w:pPr>
      <w:r>
        <w:rPr>
          <w:rFonts w:hint="cs"/>
          <w:rtl/>
        </w:rPr>
        <w:t>לאור גילם, קטינים זכאים בהליך הפלילי לזכויות ייחודיות ולהגנה מוגברת לעומת בגירים</w:t>
      </w:r>
      <w:r>
        <w:rPr>
          <w:rStyle w:val="af"/>
          <w:rtl/>
        </w:rPr>
        <w:footnoteReference w:id="112"/>
      </w:r>
      <w:r>
        <w:rPr>
          <w:rFonts w:hint="cs"/>
          <w:rtl/>
        </w:rPr>
        <w:t>. הגנה מיוחדת ניתנת לקטינים במסגרת הליכי חקירה, מעצר, הפעלת סמכויות חיפוש, והעדתם בהליך שיפוטי וכן לעניין סוגיית העמדתם לדין.</w:t>
      </w:r>
      <w:r w:rsidR="0049609C">
        <w:rPr>
          <w:rFonts w:hint="cs"/>
          <w:rtl/>
        </w:rPr>
        <w:t xml:space="preserve"> </w:t>
      </w:r>
      <w:r w:rsidR="00A15685">
        <w:rPr>
          <w:rFonts w:hint="cs"/>
          <w:rtl/>
        </w:rPr>
        <w:t xml:space="preserve">חוק האזנת סתר אינו מתייחס לנושא זה. </w:t>
      </w:r>
    </w:p>
    <w:p w:rsidR="00214CDB" w:rsidRDefault="00214CDB" w:rsidP="00F63BA6">
      <w:pPr>
        <w:spacing w:line="269" w:lineRule="auto"/>
        <w:ind w:left="680"/>
        <w:rPr>
          <w:rtl/>
        </w:rPr>
      </w:pPr>
    </w:p>
    <w:p w:rsidR="008868B6" w:rsidRDefault="008868B6" w:rsidP="00F63BA6">
      <w:pPr>
        <w:spacing w:line="269" w:lineRule="auto"/>
        <w:ind w:left="680"/>
        <w:rPr>
          <w:rtl/>
        </w:rPr>
      </w:pPr>
      <w:r>
        <w:rPr>
          <w:rFonts w:hint="cs"/>
          <w:rtl/>
        </w:rPr>
        <w:t>עם התקדמות הטכנולוגיה, קטינים מחזיקים ומשתמשים באופן קבוע ושוטף באמצעים מואזנים פוטנציאליים כגון טלפונים סלולריים ומחשבים. לעיתים קרובות הם המשתמש היחיד באמצעים המואזנים הללו, בלא שכל בגיר משתתף עימם בשימוש בהם.</w:t>
      </w:r>
    </w:p>
    <w:p w:rsidR="00214CDB" w:rsidRDefault="00214CDB" w:rsidP="00F63BA6">
      <w:pPr>
        <w:spacing w:line="269" w:lineRule="auto"/>
        <w:ind w:left="680"/>
        <w:rPr>
          <w:b/>
          <w:bCs/>
          <w:rtl/>
        </w:rPr>
      </w:pPr>
    </w:p>
    <w:p w:rsidR="008868B6" w:rsidRDefault="008868B6" w:rsidP="00F63BA6">
      <w:pPr>
        <w:spacing w:line="269" w:lineRule="auto"/>
        <w:ind w:left="680"/>
        <w:rPr>
          <w:b/>
          <w:bCs/>
          <w:rtl/>
        </w:rPr>
      </w:pPr>
      <w:r w:rsidRPr="0038248F">
        <w:rPr>
          <w:rFonts w:hint="cs"/>
          <w:b/>
          <w:bCs/>
          <w:rtl/>
        </w:rPr>
        <w:t xml:space="preserve">חרף השימוש ההולך וגובר של קטינים באמצעים מואזנים פוטנציאליים, </w:t>
      </w:r>
      <w:r w:rsidR="009F25B2">
        <w:rPr>
          <w:rFonts w:hint="cs"/>
          <w:b/>
          <w:bCs/>
          <w:rtl/>
        </w:rPr>
        <w:t>המשטרה</w:t>
      </w:r>
      <w:r w:rsidRPr="0038248F">
        <w:rPr>
          <w:rFonts w:hint="cs"/>
          <w:b/>
          <w:bCs/>
          <w:rtl/>
        </w:rPr>
        <w:t xml:space="preserve"> לא הסדירה בנהליה הגנה ייחודית לקטינים </w:t>
      </w:r>
      <w:r>
        <w:rPr>
          <w:rFonts w:hint="cs"/>
          <w:b/>
          <w:bCs/>
          <w:rtl/>
        </w:rPr>
        <w:t>לאור</w:t>
      </w:r>
      <w:r w:rsidRPr="0038248F">
        <w:rPr>
          <w:rFonts w:hint="cs"/>
          <w:b/>
          <w:bCs/>
          <w:rtl/>
        </w:rPr>
        <w:t xml:space="preserve"> מעמדם</w:t>
      </w:r>
      <w:r>
        <w:rPr>
          <w:rFonts w:hint="cs"/>
          <w:b/>
          <w:bCs/>
          <w:rtl/>
        </w:rPr>
        <w:t xml:space="preserve"> בדומה להגנות שמעניק להם הדין בשלבי החקירה, המעצר החיפוש וכן הליכי העדתם</w:t>
      </w:r>
      <w:r w:rsidRPr="0038248F">
        <w:rPr>
          <w:rFonts w:hint="cs"/>
          <w:b/>
          <w:bCs/>
          <w:rtl/>
        </w:rPr>
        <w:t xml:space="preserve">. </w:t>
      </w:r>
    </w:p>
    <w:p w:rsidR="00214CDB" w:rsidRDefault="00214CDB" w:rsidP="00F63BA6">
      <w:pPr>
        <w:spacing w:line="269" w:lineRule="auto"/>
        <w:ind w:left="680"/>
        <w:rPr>
          <w:b/>
          <w:bCs/>
          <w:rtl/>
        </w:rPr>
      </w:pPr>
    </w:p>
    <w:p w:rsidR="008868B6" w:rsidRDefault="008868B6" w:rsidP="00F63BA6">
      <w:pPr>
        <w:spacing w:line="269" w:lineRule="auto"/>
        <w:ind w:left="680"/>
        <w:rPr>
          <w:b/>
          <w:bCs/>
          <w:rtl/>
        </w:rPr>
      </w:pPr>
      <w:r>
        <w:rPr>
          <w:rFonts w:hint="cs"/>
          <w:b/>
          <w:bCs/>
          <w:rtl/>
        </w:rPr>
        <w:t>מומלץ כי המשטרה</w:t>
      </w:r>
      <w:r w:rsidR="007F40F4">
        <w:rPr>
          <w:rFonts w:hint="cs"/>
          <w:b/>
          <w:bCs/>
          <w:rtl/>
        </w:rPr>
        <w:t xml:space="preserve"> </w:t>
      </w:r>
      <w:r w:rsidR="004A429F">
        <w:rPr>
          <w:rFonts w:hint="cs"/>
          <w:b/>
          <w:bCs/>
          <w:rtl/>
        </w:rPr>
        <w:t>תערוך</w:t>
      </w:r>
      <w:r>
        <w:rPr>
          <w:rFonts w:hint="cs"/>
          <w:b/>
          <w:bCs/>
          <w:rtl/>
        </w:rPr>
        <w:t xml:space="preserve"> </w:t>
      </w:r>
      <w:r w:rsidR="00785C81">
        <w:rPr>
          <w:rFonts w:hint="cs"/>
          <w:b/>
          <w:bCs/>
          <w:rtl/>
        </w:rPr>
        <w:t>בשיתוף</w:t>
      </w:r>
      <w:r w:rsidR="00DB7298">
        <w:rPr>
          <w:rFonts w:hint="cs"/>
          <w:b/>
          <w:bCs/>
          <w:rtl/>
        </w:rPr>
        <w:t xml:space="preserve"> </w:t>
      </w:r>
      <w:r w:rsidR="000F139E">
        <w:rPr>
          <w:rFonts w:hint="cs"/>
          <w:b/>
          <w:bCs/>
          <w:rtl/>
        </w:rPr>
        <w:t>הייעוץ המשפטי לממשלה ב</w:t>
      </w:r>
      <w:r>
        <w:rPr>
          <w:rFonts w:hint="cs"/>
          <w:b/>
          <w:bCs/>
          <w:rtl/>
        </w:rPr>
        <w:t>משרד המשפטים</w:t>
      </w:r>
      <w:r w:rsidR="004A429F">
        <w:rPr>
          <w:rFonts w:hint="cs"/>
          <w:b/>
          <w:bCs/>
          <w:rtl/>
        </w:rPr>
        <w:t xml:space="preserve"> עבודת מטה לבחינ</w:t>
      </w:r>
      <w:r w:rsidR="007F40F4">
        <w:rPr>
          <w:rFonts w:hint="cs"/>
          <w:b/>
          <w:bCs/>
          <w:rtl/>
        </w:rPr>
        <w:t>ת ההסדרה החקיקתית או המשפטית לעיגון</w:t>
      </w:r>
      <w:r>
        <w:rPr>
          <w:rFonts w:hint="cs"/>
          <w:b/>
          <w:bCs/>
          <w:rtl/>
        </w:rPr>
        <w:t xml:space="preserve"> הגנה מוגברת על קטינים (לעומת בגירים) בתהליך האזנת סתר. במסגרת הסדרה זו על המשטרה לוודא כי במערכת לניהול צווים</w:t>
      </w:r>
      <w:r w:rsidDel="00DB0843">
        <w:rPr>
          <w:rFonts w:hint="cs"/>
          <w:b/>
          <w:bCs/>
          <w:rtl/>
        </w:rPr>
        <w:t xml:space="preserve"> </w:t>
      </w:r>
      <w:r>
        <w:rPr>
          <w:rFonts w:hint="cs"/>
          <w:b/>
          <w:bCs/>
          <w:rtl/>
        </w:rPr>
        <w:t>מתבצע רישום בדבר היותם קטינים, וכי ניתן לאתרם בקלות לצורכי בקרה ופיקוח.</w:t>
      </w:r>
      <w:r w:rsidR="00B95E21">
        <w:rPr>
          <w:b/>
          <w:bCs/>
          <w:rtl/>
        </w:rPr>
        <w:tab/>
      </w:r>
    </w:p>
    <w:p w:rsidR="00BA0D5C" w:rsidRDefault="00BA0D5C" w:rsidP="00F63BA6">
      <w:pPr>
        <w:pStyle w:val="a5"/>
        <w:spacing w:line="269" w:lineRule="auto"/>
        <w:ind w:left="113"/>
        <w:rPr>
          <w:rtl/>
        </w:rPr>
      </w:pPr>
    </w:p>
    <w:p w:rsidR="00980916" w:rsidRDefault="009F25B2" w:rsidP="00F63BA6">
      <w:pPr>
        <w:spacing w:line="269" w:lineRule="auto"/>
        <w:ind w:left="680"/>
        <w:rPr>
          <w:sz w:val="24"/>
          <w:rtl/>
        </w:rPr>
      </w:pPr>
      <w:r>
        <w:rPr>
          <w:rFonts w:hint="eastAsia"/>
          <w:sz w:val="24"/>
          <w:rtl/>
        </w:rPr>
        <w:t>המשטרה</w:t>
      </w:r>
      <w:r w:rsidR="00980916" w:rsidRPr="00980916">
        <w:rPr>
          <w:sz w:val="24"/>
          <w:rtl/>
        </w:rPr>
        <w:t xml:space="preserve"> </w:t>
      </w:r>
      <w:r w:rsidR="00980916" w:rsidRPr="00192E2B">
        <w:rPr>
          <w:rtl/>
        </w:rPr>
        <w:t>מסרה</w:t>
      </w:r>
      <w:r w:rsidR="00980916" w:rsidRPr="00980916">
        <w:rPr>
          <w:sz w:val="24"/>
          <w:rtl/>
        </w:rPr>
        <w:t xml:space="preserve"> בתגובתה כי </w:t>
      </w:r>
      <w:r w:rsidR="00980916" w:rsidRPr="00980916">
        <w:rPr>
          <w:rFonts w:hint="eastAsia"/>
          <w:sz w:val="24"/>
          <w:rtl/>
        </w:rPr>
        <w:t>תיעשה</w:t>
      </w:r>
      <w:r w:rsidR="00980916" w:rsidRPr="00980916">
        <w:rPr>
          <w:sz w:val="24"/>
          <w:rtl/>
        </w:rPr>
        <w:t xml:space="preserve"> בחינה של </w:t>
      </w:r>
      <w:r w:rsidR="00980916" w:rsidRPr="00980916">
        <w:rPr>
          <w:rFonts w:hint="eastAsia"/>
          <w:sz w:val="24"/>
          <w:rtl/>
        </w:rPr>
        <w:t>הנושא</w:t>
      </w:r>
      <w:r w:rsidR="00980916" w:rsidRPr="00980916">
        <w:rPr>
          <w:sz w:val="24"/>
          <w:rtl/>
        </w:rPr>
        <w:t xml:space="preserve"> </w:t>
      </w:r>
      <w:r w:rsidR="00980916" w:rsidRPr="00980916">
        <w:rPr>
          <w:rFonts w:hint="eastAsia"/>
          <w:sz w:val="24"/>
          <w:rtl/>
        </w:rPr>
        <w:t>ויינתן</w:t>
      </w:r>
      <w:r w:rsidR="00980916" w:rsidRPr="00980916">
        <w:rPr>
          <w:sz w:val="24"/>
          <w:rtl/>
        </w:rPr>
        <w:t xml:space="preserve"> </w:t>
      </w:r>
      <w:r w:rsidR="00980916" w:rsidRPr="00980916">
        <w:rPr>
          <w:rFonts w:hint="eastAsia"/>
          <w:sz w:val="24"/>
          <w:rtl/>
        </w:rPr>
        <w:t>מענה</w:t>
      </w:r>
      <w:r w:rsidR="00980916" w:rsidRPr="00980916">
        <w:rPr>
          <w:sz w:val="24"/>
          <w:rtl/>
        </w:rPr>
        <w:t xml:space="preserve"> </w:t>
      </w:r>
      <w:r w:rsidR="00980916" w:rsidRPr="00980916">
        <w:rPr>
          <w:rFonts w:hint="eastAsia"/>
          <w:sz w:val="24"/>
          <w:rtl/>
        </w:rPr>
        <w:t>מתאים</w:t>
      </w:r>
      <w:r w:rsidR="00980916" w:rsidRPr="00980916">
        <w:rPr>
          <w:sz w:val="24"/>
          <w:rtl/>
        </w:rPr>
        <w:t xml:space="preserve">. </w:t>
      </w:r>
    </w:p>
    <w:p w:rsidR="006D0145" w:rsidRPr="006D0145" w:rsidRDefault="006D0145" w:rsidP="00604C3D">
      <w:pPr>
        <w:spacing w:line="269" w:lineRule="auto"/>
        <w:rPr>
          <w:rtl/>
        </w:rPr>
      </w:pPr>
    </w:p>
    <w:p w:rsidR="008868B6" w:rsidRPr="0050645B" w:rsidRDefault="008868B6" w:rsidP="00604C3D">
      <w:pPr>
        <w:pStyle w:val="a5"/>
        <w:spacing w:line="269" w:lineRule="auto"/>
        <w:jc w:val="center"/>
        <w:rPr>
          <w:rFonts w:ascii="Arial" w:hAnsi="Arial" w:cs="Arial"/>
          <w:b/>
          <w:bCs/>
          <w:sz w:val="44"/>
          <w:szCs w:val="24"/>
          <w:rtl/>
        </w:rPr>
      </w:pPr>
      <w:r w:rsidRPr="0050645B">
        <w:rPr>
          <w:rFonts w:ascii="Segoe UI Symbol" w:hAnsi="Segoe UI Symbol" w:cs="Segoe UI Symbol" w:hint="cs"/>
          <w:b/>
          <w:bCs/>
          <w:sz w:val="44"/>
          <w:szCs w:val="24"/>
          <w:rtl/>
        </w:rPr>
        <w:t>✰</w:t>
      </w:r>
    </w:p>
    <w:p w:rsidR="00214CDB" w:rsidRDefault="00214CDB" w:rsidP="00604C3D">
      <w:pPr>
        <w:spacing w:line="269" w:lineRule="auto"/>
        <w:rPr>
          <w:b/>
          <w:bCs/>
          <w:rtl/>
        </w:rPr>
      </w:pPr>
    </w:p>
    <w:p w:rsidR="008868B6" w:rsidRDefault="008868B6" w:rsidP="00F63BA6">
      <w:pPr>
        <w:spacing w:line="269" w:lineRule="auto"/>
        <w:ind w:left="340"/>
        <w:rPr>
          <w:b/>
          <w:bCs/>
          <w:rtl/>
        </w:rPr>
      </w:pPr>
      <w:r w:rsidRPr="000D7E64">
        <w:rPr>
          <w:rFonts w:hint="cs"/>
          <w:b/>
          <w:bCs/>
          <w:rtl/>
        </w:rPr>
        <w:t>בביקורת</w:t>
      </w:r>
      <w:r w:rsidRPr="000D7E64">
        <w:rPr>
          <w:b/>
          <w:bCs/>
          <w:rtl/>
        </w:rPr>
        <w:t xml:space="preserve"> עלה כי נ</w:t>
      </w:r>
      <w:r>
        <w:rPr>
          <w:rFonts w:hint="cs"/>
          <w:b/>
          <w:bCs/>
          <w:rtl/>
        </w:rPr>
        <w:t>ו</w:t>
      </w:r>
      <w:r w:rsidRPr="000D7E64">
        <w:rPr>
          <w:b/>
          <w:bCs/>
          <w:rtl/>
        </w:rPr>
        <w:t xml:space="preserve">הלי המשטרה וכן מבנה טופס הבקשה </w:t>
      </w:r>
      <w:r>
        <w:rPr>
          <w:rFonts w:hint="cs"/>
          <w:b/>
          <w:bCs/>
          <w:rtl/>
        </w:rPr>
        <w:t xml:space="preserve">להאזנת סתר </w:t>
      </w:r>
      <w:r w:rsidR="00C81607">
        <w:rPr>
          <w:rFonts w:hint="cs"/>
          <w:b/>
          <w:bCs/>
          <w:rtl/>
        </w:rPr>
        <w:t xml:space="preserve">אינם </w:t>
      </w:r>
      <w:r>
        <w:rPr>
          <w:rFonts w:hint="cs"/>
          <w:b/>
          <w:bCs/>
          <w:rtl/>
        </w:rPr>
        <w:t>מפרטים כנדרש את שלושת נדבכי הבקשה:</w:t>
      </w:r>
      <w:r w:rsidRPr="007305C0">
        <w:rPr>
          <w:rFonts w:hint="cs"/>
          <w:b/>
          <w:bCs/>
          <w:rtl/>
        </w:rPr>
        <w:t xml:space="preserve"> </w:t>
      </w:r>
    </w:p>
    <w:p w:rsidR="00214CDB" w:rsidRDefault="00214CDB" w:rsidP="00F63BA6">
      <w:pPr>
        <w:spacing w:line="269" w:lineRule="auto"/>
        <w:ind w:left="340"/>
        <w:rPr>
          <w:b/>
          <w:bCs/>
          <w:rtl/>
        </w:rPr>
      </w:pPr>
    </w:p>
    <w:p w:rsidR="008868B6" w:rsidRPr="007D672F" w:rsidRDefault="008868B6" w:rsidP="008C598D">
      <w:pPr>
        <w:pStyle w:val="af2"/>
        <w:numPr>
          <w:ilvl w:val="2"/>
          <w:numId w:val="48"/>
        </w:numPr>
        <w:spacing w:line="269" w:lineRule="auto"/>
        <w:ind w:left="707"/>
        <w:rPr>
          <w:b/>
          <w:bCs/>
          <w:rtl/>
        </w:rPr>
      </w:pPr>
      <w:r w:rsidRPr="0026691A">
        <w:rPr>
          <w:rStyle w:val="70"/>
          <w:rtl/>
        </w:rPr>
        <w:t>עילת ההאזנה</w:t>
      </w:r>
      <w:r w:rsidR="00C81607" w:rsidRPr="007D672F">
        <w:rPr>
          <w:rFonts w:hint="cs"/>
          <w:b/>
          <w:bCs/>
          <w:rtl/>
        </w:rPr>
        <w:t>:</w:t>
      </w:r>
      <w:r w:rsidRPr="007D672F">
        <w:rPr>
          <w:rFonts w:hint="cs"/>
          <w:b/>
          <w:bCs/>
          <w:rtl/>
        </w:rPr>
        <w:t xml:space="preserve"> </w:t>
      </w:r>
      <w:r w:rsidRPr="007D672F">
        <w:rPr>
          <w:b/>
          <w:bCs/>
          <w:rtl/>
        </w:rPr>
        <w:t xml:space="preserve">המשטרה אינה נוהגת לסמן </w:t>
      </w:r>
      <w:r w:rsidRPr="007D672F">
        <w:rPr>
          <w:rFonts w:hint="cs"/>
          <w:b/>
          <w:bCs/>
          <w:rtl/>
        </w:rPr>
        <w:t>בבקשה</w:t>
      </w:r>
      <w:r w:rsidRPr="007D672F">
        <w:rPr>
          <w:b/>
          <w:bCs/>
          <w:rtl/>
        </w:rPr>
        <w:t xml:space="preserve"> </w:t>
      </w:r>
      <w:r w:rsidRPr="007D672F">
        <w:rPr>
          <w:rFonts w:hint="cs"/>
          <w:b/>
          <w:bCs/>
          <w:rtl/>
        </w:rPr>
        <w:t>עילה</w:t>
      </w:r>
      <w:r w:rsidRPr="007D672F">
        <w:rPr>
          <w:b/>
          <w:bCs/>
          <w:rtl/>
        </w:rPr>
        <w:t xml:space="preserve"> אחת </w:t>
      </w:r>
      <w:r w:rsidRPr="007D672F">
        <w:rPr>
          <w:rFonts w:hint="cs"/>
          <w:b/>
          <w:bCs/>
          <w:rtl/>
        </w:rPr>
        <w:t xml:space="preserve">אלא </w:t>
      </w:r>
      <w:r w:rsidRPr="007D672F">
        <w:rPr>
          <w:b/>
          <w:bCs/>
          <w:rtl/>
        </w:rPr>
        <w:t>עילות</w:t>
      </w:r>
      <w:r w:rsidRPr="007D672F">
        <w:rPr>
          <w:rFonts w:hint="cs"/>
          <w:b/>
          <w:bCs/>
          <w:rtl/>
        </w:rPr>
        <w:t xml:space="preserve"> רבות. </w:t>
      </w:r>
    </w:p>
    <w:p w:rsidR="00E66785" w:rsidRPr="00E66785" w:rsidRDefault="00E66785" w:rsidP="00F63BA6">
      <w:pPr>
        <w:spacing w:line="269" w:lineRule="auto"/>
        <w:ind w:left="340"/>
        <w:rPr>
          <w:b/>
          <w:bCs/>
          <w:rtl/>
        </w:rPr>
      </w:pPr>
    </w:p>
    <w:p w:rsidR="008868B6" w:rsidRDefault="008868B6" w:rsidP="008C598D">
      <w:pPr>
        <w:pStyle w:val="af2"/>
        <w:numPr>
          <w:ilvl w:val="2"/>
          <w:numId w:val="48"/>
        </w:numPr>
        <w:spacing w:line="269" w:lineRule="auto"/>
        <w:ind w:left="707"/>
        <w:rPr>
          <w:b/>
          <w:bCs/>
          <w:rtl/>
        </w:rPr>
      </w:pPr>
      <w:r w:rsidRPr="0026691A">
        <w:rPr>
          <w:rStyle w:val="70"/>
          <w:rFonts w:hint="eastAsia"/>
          <w:rtl/>
        </w:rPr>
        <w:t>יעד</w:t>
      </w:r>
      <w:r w:rsidRPr="0026691A">
        <w:rPr>
          <w:rStyle w:val="70"/>
          <w:rtl/>
        </w:rPr>
        <w:t xml:space="preserve"> </w:t>
      </w:r>
      <w:r w:rsidRPr="0026691A">
        <w:rPr>
          <w:rStyle w:val="70"/>
          <w:rFonts w:hint="eastAsia"/>
          <w:rtl/>
        </w:rPr>
        <w:t>ההאזנה</w:t>
      </w:r>
      <w:r w:rsidR="00C81607" w:rsidRPr="00E66785">
        <w:rPr>
          <w:rFonts w:hint="cs"/>
          <w:b/>
          <w:bCs/>
          <w:rtl/>
        </w:rPr>
        <w:t>:</w:t>
      </w:r>
      <w:r w:rsidRPr="00E66785">
        <w:rPr>
          <w:rFonts w:hint="cs"/>
          <w:b/>
          <w:bCs/>
          <w:rtl/>
        </w:rPr>
        <w:t xml:space="preserve"> יעדי ההאזנה נרשמים באופן חלקי ב</w:t>
      </w:r>
      <w:r w:rsidR="003A126F" w:rsidRPr="00E66785">
        <w:rPr>
          <w:rFonts w:hint="cs"/>
          <w:b/>
          <w:bCs/>
          <w:rtl/>
        </w:rPr>
        <w:t xml:space="preserve">ראש </w:t>
      </w:r>
      <w:r w:rsidR="00D64125" w:rsidRPr="00E66785">
        <w:rPr>
          <w:rFonts w:hint="cs"/>
          <w:b/>
          <w:bCs/>
          <w:rtl/>
        </w:rPr>
        <w:t xml:space="preserve">טופס </w:t>
      </w:r>
      <w:r w:rsidR="003A126F" w:rsidRPr="00E66785">
        <w:rPr>
          <w:rFonts w:hint="cs"/>
          <w:b/>
          <w:bCs/>
          <w:rtl/>
        </w:rPr>
        <w:t>ה</w:t>
      </w:r>
      <w:r w:rsidRPr="00E66785">
        <w:rPr>
          <w:rFonts w:hint="cs"/>
          <w:b/>
          <w:bCs/>
          <w:rtl/>
        </w:rPr>
        <w:t xml:space="preserve">בקשה </w:t>
      </w:r>
      <w:r w:rsidR="007B2882" w:rsidRPr="00E66785">
        <w:rPr>
          <w:rFonts w:hint="cs"/>
          <w:b/>
          <w:bCs/>
          <w:rtl/>
        </w:rPr>
        <w:t>ו</w:t>
      </w:r>
      <w:r w:rsidR="003A126F" w:rsidRPr="00E66785">
        <w:rPr>
          <w:rFonts w:hint="cs"/>
          <w:b/>
          <w:bCs/>
          <w:rtl/>
        </w:rPr>
        <w:t>בנימוקי הבקשה</w:t>
      </w:r>
      <w:r w:rsidRPr="00E66785">
        <w:rPr>
          <w:rFonts w:hint="cs"/>
          <w:b/>
          <w:bCs/>
          <w:rtl/>
        </w:rPr>
        <w:t xml:space="preserve">. </w:t>
      </w:r>
      <w:r w:rsidR="006709FE" w:rsidRPr="00E66785">
        <w:rPr>
          <w:rFonts w:hint="cs"/>
          <w:b/>
          <w:bCs/>
          <w:rtl/>
        </w:rPr>
        <w:t>המשטרה אינה מקפידה על רישום יעדי ההאזנה בלבד בראש טופס הבקשה</w:t>
      </w:r>
      <w:r w:rsidR="002429E1" w:rsidRPr="00E66785">
        <w:rPr>
          <w:rFonts w:hint="cs"/>
          <w:b/>
          <w:bCs/>
          <w:rtl/>
        </w:rPr>
        <w:t xml:space="preserve"> ו</w:t>
      </w:r>
      <w:r w:rsidR="00C81607" w:rsidRPr="00E66785">
        <w:rPr>
          <w:rFonts w:hint="cs"/>
          <w:b/>
          <w:bCs/>
          <w:rtl/>
        </w:rPr>
        <w:t xml:space="preserve">היא </w:t>
      </w:r>
      <w:r w:rsidR="002429E1" w:rsidRPr="00E66785">
        <w:rPr>
          <w:rFonts w:hint="cs"/>
          <w:b/>
          <w:bCs/>
          <w:rtl/>
        </w:rPr>
        <w:t>נוהגת לרשום חשודים שאין בכוונתה להאזין להם</w:t>
      </w:r>
      <w:r w:rsidR="006709FE" w:rsidRPr="00E66785">
        <w:rPr>
          <w:rFonts w:hint="cs"/>
          <w:b/>
          <w:bCs/>
          <w:rtl/>
        </w:rPr>
        <w:t xml:space="preserve">. כמו כן, </w:t>
      </w:r>
      <w:r w:rsidRPr="00E66785">
        <w:rPr>
          <w:rFonts w:hint="cs"/>
          <w:b/>
          <w:bCs/>
          <w:rtl/>
        </w:rPr>
        <w:t xml:space="preserve">סיווג יעד האזנה כ"מואזן" או כ"חשוד" במערכת הממוחשבת משפיע על האופן </w:t>
      </w:r>
      <w:r w:rsidR="00C81607" w:rsidRPr="00E66785">
        <w:rPr>
          <w:rFonts w:hint="cs"/>
          <w:b/>
          <w:bCs/>
          <w:rtl/>
        </w:rPr>
        <w:t>ש</w:t>
      </w:r>
      <w:r w:rsidRPr="00E66785">
        <w:rPr>
          <w:rFonts w:hint="cs"/>
          <w:b/>
          <w:bCs/>
          <w:rtl/>
        </w:rPr>
        <w:t>בו הוא יופיע ב</w:t>
      </w:r>
      <w:r w:rsidR="003A126F" w:rsidRPr="00E66785">
        <w:rPr>
          <w:rFonts w:hint="cs"/>
          <w:b/>
          <w:bCs/>
          <w:rtl/>
        </w:rPr>
        <w:t>ראש ה</w:t>
      </w:r>
      <w:r w:rsidRPr="00E66785">
        <w:rPr>
          <w:rFonts w:hint="cs"/>
          <w:b/>
          <w:bCs/>
          <w:rtl/>
        </w:rPr>
        <w:t xml:space="preserve">בקשה לצו (חשוד) או </w:t>
      </w:r>
      <w:r w:rsidR="003A126F" w:rsidRPr="00E66785">
        <w:rPr>
          <w:rFonts w:hint="cs"/>
          <w:b/>
          <w:bCs/>
          <w:rtl/>
        </w:rPr>
        <w:t>בנימוקי הבקשה</w:t>
      </w:r>
      <w:r w:rsidRPr="00E66785">
        <w:rPr>
          <w:rFonts w:hint="cs"/>
          <w:b/>
          <w:bCs/>
          <w:rtl/>
        </w:rPr>
        <w:t xml:space="preserve"> (מואזן). </w:t>
      </w:r>
    </w:p>
    <w:p w:rsidR="00E66785" w:rsidRPr="00E66785" w:rsidRDefault="00E66785" w:rsidP="00F63BA6">
      <w:pPr>
        <w:spacing w:line="269" w:lineRule="auto"/>
        <w:ind w:left="1047" w:hanging="707"/>
        <w:rPr>
          <w:b/>
          <w:bCs/>
          <w:rtl/>
        </w:rPr>
      </w:pPr>
    </w:p>
    <w:p w:rsidR="008868B6" w:rsidRPr="00E66785" w:rsidRDefault="008868B6" w:rsidP="008C598D">
      <w:pPr>
        <w:pStyle w:val="af2"/>
        <w:numPr>
          <w:ilvl w:val="2"/>
          <w:numId w:val="48"/>
        </w:numPr>
        <w:spacing w:line="269" w:lineRule="auto"/>
        <w:ind w:left="707"/>
        <w:rPr>
          <w:b/>
          <w:bCs/>
        </w:rPr>
      </w:pPr>
      <w:r w:rsidRPr="0026691A">
        <w:rPr>
          <w:rStyle w:val="70"/>
          <w:rFonts w:hint="eastAsia"/>
          <w:rtl/>
        </w:rPr>
        <w:t>העבירות</w:t>
      </w:r>
      <w:r w:rsidRPr="0026691A">
        <w:rPr>
          <w:rStyle w:val="70"/>
          <w:rtl/>
        </w:rPr>
        <w:t xml:space="preserve"> </w:t>
      </w:r>
      <w:r w:rsidRPr="0026691A">
        <w:rPr>
          <w:rStyle w:val="70"/>
          <w:rFonts w:hint="eastAsia"/>
          <w:rtl/>
        </w:rPr>
        <w:t>הרלוונטיות</w:t>
      </w:r>
      <w:r w:rsidRPr="0026691A">
        <w:rPr>
          <w:rStyle w:val="70"/>
          <w:rtl/>
        </w:rPr>
        <w:t xml:space="preserve"> לבקשה</w:t>
      </w:r>
      <w:r w:rsidR="00C81607" w:rsidRPr="00E66785">
        <w:rPr>
          <w:rFonts w:hint="cs"/>
          <w:b/>
          <w:bCs/>
          <w:rtl/>
        </w:rPr>
        <w:t>:</w:t>
      </w:r>
      <w:r w:rsidRPr="00E66785">
        <w:rPr>
          <w:b/>
          <w:bCs/>
          <w:rtl/>
        </w:rPr>
        <w:t xml:space="preserve"> עבירות עיקריות נרשמות בבקשה ועבירות </w:t>
      </w:r>
      <w:r w:rsidR="009628E9" w:rsidRPr="00E66785">
        <w:rPr>
          <w:rFonts w:hint="eastAsia"/>
          <w:b/>
          <w:bCs/>
          <w:rtl/>
        </w:rPr>
        <w:t>אחרות</w:t>
      </w:r>
      <w:r w:rsidR="009628E9" w:rsidRPr="00E66785">
        <w:rPr>
          <w:b/>
          <w:bCs/>
          <w:rtl/>
        </w:rPr>
        <w:t xml:space="preserve"> </w:t>
      </w:r>
      <w:r w:rsidRPr="00E66785">
        <w:rPr>
          <w:rFonts w:hint="eastAsia"/>
          <w:b/>
          <w:bCs/>
          <w:rtl/>
        </w:rPr>
        <w:t>נרשמות</w:t>
      </w:r>
      <w:r w:rsidRPr="00E66785">
        <w:rPr>
          <w:b/>
          <w:bCs/>
          <w:rtl/>
        </w:rPr>
        <w:t xml:space="preserve"> </w:t>
      </w:r>
      <w:r w:rsidR="003A126F" w:rsidRPr="00E66785">
        <w:rPr>
          <w:rFonts w:hint="eastAsia"/>
          <w:b/>
          <w:bCs/>
          <w:rtl/>
        </w:rPr>
        <w:t>בנימוקי</w:t>
      </w:r>
      <w:r w:rsidR="003A126F" w:rsidRPr="00E66785">
        <w:rPr>
          <w:b/>
          <w:bCs/>
          <w:rtl/>
        </w:rPr>
        <w:t xml:space="preserve"> </w:t>
      </w:r>
      <w:r w:rsidR="003A126F" w:rsidRPr="00E66785">
        <w:rPr>
          <w:rFonts w:hint="eastAsia"/>
          <w:b/>
          <w:bCs/>
          <w:rtl/>
        </w:rPr>
        <w:t>הבקשה</w:t>
      </w:r>
      <w:r w:rsidRPr="00E66785">
        <w:rPr>
          <w:b/>
          <w:bCs/>
          <w:rtl/>
        </w:rPr>
        <w:t xml:space="preserve">. </w:t>
      </w:r>
      <w:r w:rsidRPr="00E66785">
        <w:rPr>
          <w:rFonts w:hint="eastAsia"/>
          <w:b/>
          <w:bCs/>
          <w:rtl/>
        </w:rPr>
        <w:t>המשטרה</w:t>
      </w:r>
      <w:r w:rsidRPr="00E66785">
        <w:rPr>
          <w:b/>
          <w:bCs/>
          <w:rtl/>
        </w:rPr>
        <w:t xml:space="preserve"> אינה מציינת בראש הבקשה עבירה ספציפית התואמת לעילת ההאזנה וליעד ההאזנה, </w:t>
      </w:r>
      <w:r w:rsidRPr="00E66785">
        <w:rPr>
          <w:rFonts w:hint="eastAsia"/>
          <w:b/>
          <w:bCs/>
          <w:rtl/>
        </w:rPr>
        <w:t>אלא</w:t>
      </w:r>
      <w:r w:rsidRPr="00E66785">
        <w:rPr>
          <w:b/>
          <w:bCs/>
          <w:rtl/>
        </w:rPr>
        <w:t xml:space="preserve"> </w:t>
      </w:r>
      <w:r w:rsidR="002429E1" w:rsidRPr="00E66785">
        <w:rPr>
          <w:rFonts w:hint="cs"/>
          <w:b/>
          <w:bCs/>
          <w:rtl/>
        </w:rPr>
        <w:t>ככלל את ה</w:t>
      </w:r>
      <w:r w:rsidRPr="00E66785">
        <w:rPr>
          <w:rFonts w:hint="eastAsia"/>
          <w:b/>
          <w:bCs/>
          <w:rtl/>
        </w:rPr>
        <w:t>עביר</w:t>
      </w:r>
      <w:r w:rsidR="002429E1" w:rsidRPr="00E66785">
        <w:rPr>
          <w:rFonts w:hint="cs"/>
          <w:b/>
          <w:bCs/>
          <w:rtl/>
        </w:rPr>
        <w:t>ות העיקריות</w:t>
      </w:r>
      <w:r w:rsidRPr="00E66785">
        <w:rPr>
          <w:b/>
          <w:bCs/>
          <w:rtl/>
        </w:rPr>
        <w:t xml:space="preserve"> </w:t>
      </w:r>
      <w:r w:rsidR="002429E1" w:rsidRPr="00E66785">
        <w:rPr>
          <w:rFonts w:hint="cs"/>
          <w:b/>
          <w:bCs/>
          <w:rtl/>
        </w:rPr>
        <w:t>בפרשייה</w:t>
      </w:r>
      <w:r w:rsidRPr="00E66785">
        <w:rPr>
          <w:b/>
          <w:bCs/>
          <w:rtl/>
        </w:rPr>
        <w:t>.</w:t>
      </w:r>
      <w:r w:rsidR="009420A1" w:rsidRPr="00E66785">
        <w:rPr>
          <w:b/>
          <w:bCs/>
          <w:rtl/>
        </w:rPr>
        <w:t xml:space="preserve"> </w:t>
      </w:r>
      <w:r w:rsidR="009420A1" w:rsidRPr="00E66785">
        <w:rPr>
          <w:rFonts w:hint="cs"/>
          <w:b/>
          <w:bCs/>
          <w:rtl/>
        </w:rPr>
        <w:t>כתוצאה מכך, הבקשה המוגשת לבית המשפט מציגה</w:t>
      </w:r>
      <w:r w:rsidR="009420A1" w:rsidRPr="00E66785">
        <w:rPr>
          <w:b/>
          <w:bCs/>
          <w:rtl/>
        </w:rPr>
        <w:t xml:space="preserve"> תמונה מעורפלת </w:t>
      </w:r>
      <w:r w:rsidR="009A1216" w:rsidRPr="00E66785">
        <w:rPr>
          <w:b/>
          <w:bCs/>
          <w:rtl/>
        </w:rPr>
        <w:t>בבקשה המאוחדת</w:t>
      </w:r>
      <w:r w:rsidR="009A1216" w:rsidRPr="00E66785">
        <w:rPr>
          <w:rFonts w:hint="cs"/>
          <w:b/>
          <w:bCs/>
          <w:rtl/>
        </w:rPr>
        <w:t xml:space="preserve"> למספר יעדי האזנה,</w:t>
      </w:r>
      <w:r w:rsidR="0094476A" w:rsidRPr="00E66785">
        <w:rPr>
          <w:rFonts w:hint="cs"/>
          <w:b/>
          <w:bCs/>
          <w:rtl/>
        </w:rPr>
        <w:t xml:space="preserve"> ומבלי </w:t>
      </w:r>
      <w:r w:rsidR="009E0F5A" w:rsidRPr="00E66785">
        <w:rPr>
          <w:rFonts w:hint="cs"/>
          <w:b/>
          <w:bCs/>
          <w:rtl/>
        </w:rPr>
        <w:t xml:space="preserve">לפרט </w:t>
      </w:r>
      <w:r w:rsidR="00C81607" w:rsidRPr="00E66785">
        <w:rPr>
          <w:rFonts w:hint="cs"/>
          <w:b/>
          <w:bCs/>
          <w:rtl/>
        </w:rPr>
        <w:t xml:space="preserve">את </w:t>
      </w:r>
      <w:r w:rsidR="009E0F5A" w:rsidRPr="00E66785">
        <w:rPr>
          <w:rFonts w:hint="cs"/>
          <w:b/>
          <w:bCs/>
          <w:rtl/>
        </w:rPr>
        <w:t xml:space="preserve">הזיקה בין יעד ההאזנה לעילת ההאזנה </w:t>
      </w:r>
      <w:r w:rsidR="004C02D4" w:rsidRPr="00E66785">
        <w:rPr>
          <w:rFonts w:hint="cs"/>
          <w:b/>
          <w:bCs/>
          <w:rtl/>
        </w:rPr>
        <w:t xml:space="preserve">ולעבירות </w:t>
      </w:r>
      <w:r w:rsidR="009E0F5A" w:rsidRPr="00E66785">
        <w:rPr>
          <w:rFonts w:hint="cs"/>
          <w:b/>
          <w:bCs/>
          <w:rtl/>
        </w:rPr>
        <w:t>בפרשייה.</w:t>
      </w:r>
      <w:r w:rsidR="0049609C" w:rsidRPr="00E66785">
        <w:rPr>
          <w:rFonts w:hint="cs"/>
          <w:b/>
          <w:bCs/>
          <w:rtl/>
        </w:rPr>
        <w:t xml:space="preserve"> </w:t>
      </w:r>
    </w:p>
    <w:p w:rsidR="00214CDB" w:rsidRDefault="00214CDB" w:rsidP="00604C3D">
      <w:pPr>
        <w:spacing w:line="269" w:lineRule="auto"/>
        <w:rPr>
          <w:b/>
          <w:bCs/>
          <w:rtl/>
        </w:rPr>
      </w:pPr>
    </w:p>
    <w:p w:rsidR="008868B6" w:rsidRDefault="008868B6" w:rsidP="00F63BA6">
      <w:pPr>
        <w:spacing w:line="269" w:lineRule="auto"/>
        <w:ind w:left="680"/>
        <w:rPr>
          <w:b/>
          <w:bCs/>
          <w:rtl/>
        </w:rPr>
      </w:pPr>
      <w:r>
        <w:rPr>
          <w:rFonts w:hint="cs"/>
          <w:b/>
          <w:bCs/>
          <w:rtl/>
        </w:rPr>
        <w:t xml:space="preserve">הרישום המבוזר והכוללני, הנובע מנהלים ונהגים שהתבססו במשטרה, וכן ממבנה הטופס המקוון, מקשים </w:t>
      </w:r>
      <w:r w:rsidR="0026691A">
        <w:rPr>
          <w:rFonts w:hint="cs"/>
          <w:b/>
          <w:bCs/>
          <w:rtl/>
        </w:rPr>
        <w:t xml:space="preserve">על בחינת </w:t>
      </w:r>
      <w:r>
        <w:rPr>
          <w:rFonts w:hint="cs"/>
          <w:b/>
          <w:bCs/>
          <w:rtl/>
        </w:rPr>
        <w:t>הזיקה בין שלושת נדבכי הבקשה. הזיקה נלמדת, בין היתר, ממעמד יעד ההאזנה</w:t>
      </w:r>
      <w:r w:rsidRPr="000D7E64">
        <w:rPr>
          <w:b/>
          <w:bCs/>
          <w:rtl/>
        </w:rPr>
        <w:t xml:space="preserve"> -</w:t>
      </w:r>
      <w:r>
        <w:rPr>
          <w:rFonts w:hint="cs"/>
          <w:b/>
          <w:bCs/>
          <w:rtl/>
        </w:rPr>
        <w:t xml:space="preserve"> ה</w:t>
      </w:r>
      <w:r w:rsidRPr="000D7E64">
        <w:rPr>
          <w:b/>
          <w:bCs/>
          <w:rtl/>
        </w:rPr>
        <w:t xml:space="preserve">מבצע </w:t>
      </w:r>
      <w:r>
        <w:rPr>
          <w:rFonts w:hint="cs"/>
          <w:b/>
          <w:bCs/>
          <w:rtl/>
        </w:rPr>
        <w:t>ה</w:t>
      </w:r>
      <w:r w:rsidRPr="000D7E64">
        <w:rPr>
          <w:b/>
          <w:bCs/>
          <w:rtl/>
        </w:rPr>
        <w:t xml:space="preserve">עיקרי, שותף עקיף, קורבן </w:t>
      </w:r>
      <w:r w:rsidRPr="000D7E64">
        <w:rPr>
          <w:rFonts w:hint="cs"/>
          <w:b/>
          <w:bCs/>
          <w:rtl/>
        </w:rPr>
        <w:t>וכיו</w:t>
      </w:r>
      <w:r w:rsidRPr="000D7E64">
        <w:rPr>
          <w:b/>
          <w:bCs/>
          <w:rtl/>
        </w:rPr>
        <w:t>"ב</w:t>
      </w:r>
      <w:r>
        <w:rPr>
          <w:rFonts w:hint="cs"/>
          <w:b/>
          <w:bCs/>
          <w:rtl/>
        </w:rPr>
        <w:t xml:space="preserve"> - אך המעמד לא נרשם ב</w:t>
      </w:r>
      <w:r w:rsidR="002429E1">
        <w:rPr>
          <w:rFonts w:hint="cs"/>
          <w:b/>
          <w:bCs/>
          <w:rtl/>
        </w:rPr>
        <w:t>ראש טופס ה</w:t>
      </w:r>
      <w:r>
        <w:rPr>
          <w:rFonts w:hint="cs"/>
          <w:b/>
          <w:bCs/>
          <w:rtl/>
        </w:rPr>
        <w:t xml:space="preserve">בקשה ועשוי להיות מפורט רק </w:t>
      </w:r>
      <w:r w:rsidR="003A126F">
        <w:rPr>
          <w:rFonts w:hint="cs"/>
          <w:b/>
          <w:bCs/>
          <w:rtl/>
        </w:rPr>
        <w:t>בנימוקי הבקשה</w:t>
      </w:r>
      <w:r>
        <w:rPr>
          <w:rFonts w:hint="cs"/>
          <w:b/>
          <w:bCs/>
          <w:rtl/>
        </w:rPr>
        <w:t xml:space="preserve">. </w:t>
      </w:r>
    </w:p>
    <w:p w:rsidR="00214CDB" w:rsidRDefault="00214CDB" w:rsidP="00F63BA6">
      <w:pPr>
        <w:spacing w:line="269" w:lineRule="auto"/>
        <w:ind w:left="680"/>
        <w:rPr>
          <w:b/>
          <w:bCs/>
          <w:rtl/>
        </w:rPr>
      </w:pPr>
    </w:p>
    <w:p w:rsidR="008868B6" w:rsidRDefault="008868B6" w:rsidP="00F63BA6">
      <w:pPr>
        <w:spacing w:line="269" w:lineRule="auto"/>
        <w:ind w:left="680"/>
        <w:rPr>
          <w:b/>
          <w:bCs/>
          <w:rtl/>
        </w:rPr>
      </w:pPr>
      <w:r>
        <w:rPr>
          <w:rFonts w:hint="cs"/>
          <w:b/>
          <w:bCs/>
          <w:rtl/>
        </w:rPr>
        <w:t xml:space="preserve">יתרה מכך, המשטרה </w:t>
      </w:r>
      <w:r w:rsidR="0094476A">
        <w:rPr>
          <w:rFonts w:hint="cs"/>
          <w:b/>
          <w:bCs/>
          <w:rtl/>
        </w:rPr>
        <w:t>לא מפרטת</w:t>
      </w:r>
      <w:r>
        <w:rPr>
          <w:rFonts w:hint="cs"/>
          <w:b/>
          <w:bCs/>
          <w:rtl/>
        </w:rPr>
        <w:t xml:space="preserve"> </w:t>
      </w:r>
      <w:r w:rsidR="0094476A">
        <w:rPr>
          <w:rFonts w:hint="cs"/>
          <w:b/>
          <w:bCs/>
          <w:rtl/>
        </w:rPr>
        <w:t>ב</w:t>
      </w:r>
      <w:r>
        <w:rPr>
          <w:rFonts w:hint="cs"/>
          <w:b/>
          <w:bCs/>
          <w:rtl/>
        </w:rPr>
        <w:t xml:space="preserve">בקשות </w:t>
      </w:r>
      <w:r w:rsidR="0094476A">
        <w:rPr>
          <w:rFonts w:hint="cs"/>
          <w:b/>
          <w:bCs/>
          <w:rtl/>
        </w:rPr>
        <w:t>את</w:t>
      </w:r>
      <w:r>
        <w:rPr>
          <w:rFonts w:hint="cs"/>
          <w:b/>
          <w:bCs/>
          <w:rtl/>
        </w:rPr>
        <w:t xml:space="preserve"> מעמד יעד ההאזנה, במקרים בהם ישנה שונות מהותית בין </w:t>
      </w:r>
      <w:r w:rsidR="000604E3">
        <w:rPr>
          <w:rFonts w:hint="cs"/>
          <w:b/>
          <w:bCs/>
          <w:rtl/>
        </w:rPr>
        <w:t>ה</w:t>
      </w:r>
      <w:r>
        <w:rPr>
          <w:rFonts w:hint="cs"/>
          <w:b/>
          <w:bCs/>
          <w:rtl/>
        </w:rPr>
        <w:t>יעדים: קורבנות עבירה, שותפים עקיפים וקטינים נרשמים בבקשה מאוחדת עם החשודים בביצוע העבירה העיקרית שבלב האירוע הפלילי. ולכן, המשטרה לא נדרשת לפרט מה הם הטעמים המיוחדים להאזנה דווקא לגורמים אלו ולא למעורבים אחרים בפרשייה</w:t>
      </w:r>
      <w:r w:rsidR="00C06ACC">
        <w:rPr>
          <w:rFonts w:hint="cs"/>
          <w:b/>
          <w:bCs/>
          <w:rtl/>
        </w:rPr>
        <w:t>;</w:t>
      </w:r>
      <w:r>
        <w:rPr>
          <w:rFonts w:hint="cs"/>
          <w:b/>
          <w:bCs/>
          <w:rtl/>
        </w:rPr>
        <w:t xml:space="preserve"> אם האזנה זו מצדיקה פגיעה במי שזכאים להגנה מוגברת מפני פגיעה בפרטיותם</w:t>
      </w:r>
      <w:r w:rsidR="00C06ACC">
        <w:rPr>
          <w:rFonts w:hint="cs"/>
          <w:b/>
          <w:bCs/>
          <w:rtl/>
        </w:rPr>
        <w:t>;</w:t>
      </w:r>
      <w:r>
        <w:rPr>
          <w:rFonts w:hint="cs"/>
          <w:b/>
          <w:bCs/>
          <w:rtl/>
        </w:rPr>
        <w:t xml:space="preserve"> או מדוע יש להעדיף פעולת חקירה זו על פני חלופות חקירה אחרות. </w:t>
      </w:r>
    </w:p>
    <w:p w:rsidR="00214CDB" w:rsidRDefault="00214CDB" w:rsidP="00F63BA6">
      <w:pPr>
        <w:spacing w:line="269" w:lineRule="auto"/>
        <w:ind w:left="680"/>
        <w:rPr>
          <w:b/>
          <w:bCs/>
          <w:rtl/>
        </w:rPr>
      </w:pPr>
    </w:p>
    <w:p w:rsidR="008868B6" w:rsidRPr="00FD0349" w:rsidRDefault="008868B6" w:rsidP="00F63BA6">
      <w:pPr>
        <w:spacing w:line="269" w:lineRule="auto"/>
        <w:ind w:left="680"/>
        <w:rPr>
          <w:b/>
          <w:bCs/>
          <w:rtl/>
        </w:rPr>
      </w:pPr>
      <w:r>
        <w:rPr>
          <w:rFonts w:hint="cs"/>
          <w:b/>
          <w:bCs/>
          <w:rtl/>
        </w:rPr>
        <w:t>כפועל יוצא מ</w:t>
      </w:r>
      <w:r w:rsidRPr="00FD0349">
        <w:rPr>
          <w:b/>
          <w:bCs/>
          <w:rtl/>
        </w:rPr>
        <w:t>כל אלו</w:t>
      </w:r>
      <w:r>
        <w:rPr>
          <w:rFonts w:hint="cs"/>
          <w:b/>
          <w:bCs/>
          <w:rtl/>
        </w:rPr>
        <w:t>, כשנהלי המשטרה וטפסיה מונעים בחינה נאותה של מכלול הנדבכים בבקשה והזיקה ביניהם, תמונת האירוע הפלילי ודרך הצגתה לבית המשפט נפגמ</w:t>
      </w:r>
      <w:r w:rsidR="00C06ACC">
        <w:rPr>
          <w:rFonts w:hint="cs"/>
          <w:b/>
          <w:bCs/>
          <w:rtl/>
        </w:rPr>
        <w:t>ו</w:t>
      </w:r>
      <w:r>
        <w:rPr>
          <w:rFonts w:hint="cs"/>
          <w:b/>
          <w:bCs/>
          <w:rtl/>
        </w:rPr>
        <w:t>ת</w:t>
      </w:r>
      <w:r w:rsidR="00C06ACC">
        <w:rPr>
          <w:rFonts w:hint="cs"/>
          <w:b/>
          <w:bCs/>
          <w:rtl/>
        </w:rPr>
        <w:t>:</w:t>
      </w:r>
      <w:r>
        <w:rPr>
          <w:rFonts w:hint="cs"/>
          <w:b/>
          <w:bCs/>
          <w:rtl/>
        </w:rPr>
        <w:t xml:space="preserve"> </w:t>
      </w:r>
      <w:r w:rsidR="009D14E7" w:rsidRPr="00E66DA1">
        <w:rPr>
          <w:b/>
          <w:bCs/>
          <w:rtl/>
        </w:rPr>
        <w:t>הבקשות היו נרחבות מדי ולא שיקפו את הצורך הענייני והברור בהאזנת הסתר</w:t>
      </w:r>
      <w:r w:rsidR="009D14E7">
        <w:rPr>
          <w:rFonts w:hint="cs"/>
          <w:b/>
          <w:bCs/>
          <w:rtl/>
        </w:rPr>
        <w:t>, ו</w:t>
      </w:r>
      <w:r w:rsidR="009D14E7" w:rsidRPr="00E66DA1">
        <w:rPr>
          <w:b/>
          <w:bCs/>
          <w:rtl/>
        </w:rPr>
        <w:t>לא ענו על השאלות - למה צריך להאזין</w:t>
      </w:r>
      <w:r w:rsidR="00C06ACC">
        <w:rPr>
          <w:rFonts w:hint="cs"/>
          <w:b/>
          <w:bCs/>
          <w:rtl/>
        </w:rPr>
        <w:t>,</w:t>
      </w:r>
      <w:r w:rsidR="009D14E7" w:rsidRPr="00E66DA1">
        <w:rPr>
          <w:b/>
          <w:bCs/>
          <w:rtl/>
        </w:rPr>
        <w:t xml:space="preserve"> למי צריך להאזין</w:t>
      </w:r>
      <w:r w:rsidR="00C06ACC">
        <w:rPr>
          <w:rFonts w:hint="cs"/>
          <w:b/>
          <w:bCs/>
          <w:rtl/>
        </w:rPr>
        <w:t>,</w:t>
      </w:r>
      <w:r w:rsidR="00C06ACC" w:rsidRPr="00E66DA1">
        <w:rPr>
          <w:b/>
          <w:bCs/>
          <w:rtl/>
        </w:rPr>
        <w:t xml:space="preserve"> </w:t>
      </w:r>
      <w:r w:rsidR="009D14E7" w:rsidRPr="00E66DA1">
        <w:rPr>
          <w:b/>
          <w:bCs/>
          <w:rtl/>
        </w:rPr>
        <w:t>ואם העבירות המיוחסות ליעד ההאזנה חמורות דיין כדי להצדיק את הפגיעה בפרטיותו</w:t>
      </w:r>
      <w:r w:rsidR="00C06ACC">
        <w:rPr>
          <w:rFonts w:hint="cs"/>
          <w:b/>
          <w:bCs/>
          <w:rtl/>
        </w:rPr>
        <w:t>.</w:t>
      </w:r>
      <w:r w:rsidR="009D14E7">
        <w:rPr>
          <w:rFonts w:hint="cs"/>
          <w:b/>
          <w:bCs/>
          <w:rtl/>
        </w:rPr>
        <w:t xml:space="preserve"> </w:t>
      </w:r>
      <w:r>
        <w:rPr>
          <w:rFonts w:hint="cs"/>
          <w:b/>
          <w:bCs/>
          <w:rtl/>
        </w:rPr>
        <w:t xml:space="preserve">ולכן, </w:t>
      </w:r>
      <w:r w:rsidR="00C06ACC">
        <w:rPr>
          <w:rFonts w:hint="cs"/>
          <w:b/>
          <w:bCs/>
          <w:rtl/>
        </w:rPr>
        <w:t xml:space="preserve">נפגעה </w:t>
      </w:r>
      <w:r>
        <w:rPr>
          <w:rFonts w:hint="cs"/>
          <w:b/>
          <w:bCs/>
          <w:rtl/>
        </w:rPr>
        <w:t xml:space="preserve">במידה ניכרת </w:t>
      </w:r>
      <w:r w:rsidRPr="00FD0349">
        <w:rPr>
          <w:b/>
          <w:bCs/>
          <w:rtl/>
        </w:rPr>
        <w:t>יכולת</w:t>
      </w:r>
      <w:r>
        <w:rPr>
          <w:rFonts w:hint="cs"/>
          <w:b/>
          <w:bCs/>
          <w:rtl/>
        </w:rPr>
        <w:t>ו</w:t>
      </w:r>
      <w:r w:rsidRPr="00FD0349">
        <w:rPr>
          <w:b/>
          <w:bCs/>
          <w:rtl/>
        </w:rPr>
        <w:t xml:space="preserve"> של בית המשפט לקיים </w:t>
      </w:r>
      <w:r>
        <w:rPr>
          <w:rFonts w:hint="cs"/>
          <w:b/>
          <w:bCs/>
          <w:rtl/>
        </w:rPr>
        <w:t xml:space="preserve">באופן המיטבי </w:t>
      </w:r>
      <w:r w:rsidRPr="00FD0349">
        <w:rPr>
          <w:b/>
          <w:bCs/>
          <w:rtl/>
        </w:rPr>
        <w:t xml:space="preserve">הליך </w:t>
      </w:r>
      <w:r>
        <w:rPr>
          <w:rFonts w:hint="cs"/>
          <w:b/>
          <w:bCs/>
          <w:rtl/>
        </w:rPr>
        <w:t>לבחינת כל אחד מ</w:t>
      </w:r>
      <w:r w:rsidRPr="00FD0349">
        <w:rPr>
          <w:rFonts w:hint="cs"/>
          <w:b/>
          <w:bCs/>
          <w:rtl/>
        </w:rPr>
        <w:t>יעדי</w:t>
      </w:r>
      <w:r w:rsidRPr="00FD0349">
        <w:rPr>
          <w:b/>
          <w:bCs/>
          <w:rtl/>
        </w:rPr>
        <w:t xml:space="preserve"> </w:t>
      </w:r>
      <w:r w:rsidRPr="00FD0349">
        <w:rPr>
          <w:rFonts w:hint="cs"/>
          <w:b/>
          <w:bCs/>
          <w:rtl/>
        </w:rPr>
        <w:t>ההאזנה</w:t>
      </w:r>
      <w:r>
        <w:rPr>
          <w:rFonts w:hint="cs"/>
          <w:b/>
          <w:bCs/>
          <w:rtl/>
        </w:rPr>
        <w:t xml:space="preserve"> ולקבלת החלטה בעניינו</w:t>
      </w:r>
      <w:r w:rsidRPr="00FD0349">
        <w:rPr>
          <w:b/>
          <w:bCs/>
          <w:rtl/>
        </w:rPr>
        <w:t>.</w:t>
      </w:r>
    </w:p>
    <w:p w:rsidR="00214CDB" w:rsidRPr="00192E2B" w:rsidRDefault="00214CDB" w:rsidP="00F63BA6">
      <w:pPr>
        <w:spacing w:line="269" w:lineRule="auto"/>
        <w:ind w:left="680"/>
        <w:rPr>
          <w:rtl/>
        </w:rPr>
      </w:pPr>
    </w:p>
    <w:p w:rsidR="008868B6" w:rsidRPr="00192E2B" w:rsidRDefault="008868B6" w:rsidP="00F63BA6">
      <w:pPr>
        <w:spacing w:line="269" w:lineRule="auto"/>
        <w:ind w:left="680"/>
        <w:rPr>
          <w:b/>
          <w:bCs/>
          <w:rtl/>
        </w:rPr>
      </w:pPr>
      <w:r w:rsidRPr="00192E2B">
        <w:rPr>
          <w:rFonts w:hint="cs"/>
          <w:b/>
          <w:bCs/>
          <w:rtl/>
        </w:rPr>
        <w:t>יודגש כי</w:t>
      </w:r>
      <w:r w:rsidRPr="00192E2B">
        <w:rPr>
          <w:b/>
          <w:bCs/>
          <w:rtl/>
        </w:rPr>
        <w:t xml:space="preserve"> אין מניעה </w:t>
      </w:r>
      <w:r w:rsidRPr="00192E2B">
        <w:rPr>
          <w:rFonts w:hint="cs"/>
          <w:b/>
          <w:bCs/>
          <w:rtl/>
        </w:rPr>
        <w:t>שהמשטרה</w:t>
      </w:r>
      <w:r w:rsidRPr="00192E2B">
        <w:rPr>
          <w:b/>
          <w:bCs/>
          <w:rtl/>
        </w:rPr>
        <w:t xml:space="preserve"> תמשיך בנוהג של רישום מכלול העבירות הרלוונטיות לפרשייה במערכת לניהול צווים, ואולם עליה להקפיד על ההפרדה בין העבירות </w:t>
      </w:r>
      <w:r w:rsidRPr="00192E2B">
        <w:rPr>
          <w:rFonts w:hint="cs"/>
          <w:b/>
          <w:bCs/>
          <w:rtl/>
        </w:rPr>
        <w:t>שבהן עוסקת</w:t>
      </w:r>
      <w:r w:rsidRPr="00192E2B">
        <w:rPr>
          <w:b/>
          <w:bCs/>
          <w:rtl/>
        </w:rPr>
        <w:t xml:space="preserve"> הבקשה</w:t>
      </w:r>
      <w:r w:rsidR="002429E1" w:rsidRPr="00192E2B">
        <w:rPr>
          <w:rFonts w:hint="cs"/>
          <w:b/>
          <w:bCs/>
          <w:rtl/>
        </w:rPr>
        <w:t xml:space="preserve"> הקונקרטית</w:t>
      </w:r>
      <w:r w:rsidRPr="00192E2B">
        <w:rPr>
          <w:b/>
          <w:bCs/>
          <w:rtl/>
        </w:rPr>
        <w:t xml:space="preserve"> (</w:t>
      </w:r>
      <w:r w:rsidRPr="00192E2B">
        <w:rPr>
          <w:rFonts w:hint="cs"/>
          <w:b/>
          <w:bCs/>
          <w:rtl/>
        </w:rPr>
        <w:t>המפורטות</w:t>
      </w:r>
      <w:r w:rsidRPr="00192E2B">
        <w:rPr>
          <w:b/>
          <w:bCs/>
          <w:rtl/>
        </w:rPr>
        <w:t xml:space="preserve"> בראש הבקשה) לבין העבירות </w:t>
      </w:r>
      <w:r w:rsidRPr="00192E2B">
        <w:rPr>
          <w:rFonts w:hint="cs"/>
          <w:b/>
          <w:bCs/>
          <w:rtl/>
        </w:rPr>
        <w:t>שבהן עוסקת</w:t>
      </w:r>
      <w:r w:rsidRPr="00192E2B">
        <w:rPr>
          <w:b/>
          <w:bCs/>
          <w:rtl/>
        </w:rPr>
        <w:t xml:space="preserve"> הפרשייה (</w:t>
      </w:r>
      <w:r w:rsidRPr="00192E2B">
        <w:rPr>
          <w:rFonts w:hint="cs"/>
          <w:b/>
          <w:bCs/>
          <w:rtl/>
        </w:rPr>
        <w:t>המפורטות</w:t>
      </w:r>
      <w:r w:rsidRPr="00192E2B">
        <w:rPr>
          <w:b/>
          <w:bCs/>
          <w:rtl/>
        </w:rPr>
        <w:t xml:space="preserve"> </w:t>
      </w:r>
      <w:r w:rsidR="0094476A" w:rsidRPr="00192E2B">
        <w:rPr>
          <w:rFonts w:hint="cs"/>
          <w:b/>
          <w:bCs/>
          <w:rtl/>
        </w:rPr>
        <w:t>בנימוקי הבקשה</w:t>
      </w:r>
      <w:r w:rsidRPr="00192E2B">
        <w:rPr>
          <w:b/>
          <w:bCs/>
          <w:rtl/>
        </w:rPr>
        <w:t xml:space="preserve">). </w:t>
      </w:r>
    </w:p>
    <w:p w:rsidR="00214CDB" w:rsidRDefault="00214CDB" w:rsidP="00F63BA6">
      <w:pPr>
        <w:spacing w:line="269" w:lineRule="auto"/>
        <w:ind w:left="680"/>
        <w:rPr>
          <w:b/>
          <w:bCs/>
          <w:rtl/>
        </w:rPr>
      </w:pPr>
    </w:p>
    <w:p w:rsidR="008868B6" w:rsidRDefault="00D47C32" w:rsidP="00F63BA6">
      <w:pPr>
        <w:spacing w:line="269" w:lineRule="auto"/>
        <w:ind w:left="680"/>
        <w:rPr>
          <w:b/>
          <w:bCs/>
          <w:rtl/>
        </w:rPr>
      </w:pPr>
      <w:r w:rsidRPr="00FD0349">
        <w:rPr>
          <w:rFonts w:hint="cs"/>
          <w:b/>
          <w:bCs/>
          <w:rtl/>
        </w:rPr>
        <w:t>על</w:t>
      </w:r>
      <w:r w:rsidRPr="00FD0349">
        <w:rPr>
          <w:b/>
          <w:bCs/>
          <w:rtl/>
        </w:rPr>
        <w:t xml:space="preserve"> </w:t>
      </w:r>
      <w:r>
        <w:rPr>
          <w:rFonts w:hint="cs"/>
          <w:b/>
          <w:bCs/>
          <w:rtl/>
        </w:rPr>
        <w:t xml:space="preserve">המשטרה </w:t>
      </w:r>
      <w:r w:rsidR="008868B6" w:rsidRPr="00FD0349">
        <w:rPr>
          <w:rFonts w:hint="cs"/>
          <w:b/>
          <w:bCs/>
          <w:rtl/>
        </w:rPr>
        <w:t>לעגן</w:t>
      </w:r>
      <w:r w:rsidR="008868B6" w:rsidRPr="00FD0349">
        <w:rPr>
          <w:b/>
          <w:bCs/>
          <w:rtl/>
        </w:rPr>
        <w:t xml:space="preserve"> </w:t>
      </w:r>
      <w:r w:rsidR="008868B6" w:rsidRPr="00FD0349">
        <w:rPr>
          <w:rFonts w:hint="cs"/>
          <w:b/>
          <w:bCs/>
          <w:rtl/>
        </w:rPr>
        <w:t>הנחיות</w:t>
      </w:r>
      <w:r w:rsidR="008868B6" w:rsidRPr="00FD0349">
        <w:rPr>
          <w:b/>
          <w:bCs/>
          <w:rtl/>
        </w:rPr>
        <w:t xml:space="preserve"> </w:t>
      </w:r>
      <w:r w:rsidR="008868B6" w:rsidRPr="00FD0349">
        <w:rPr>
          <w:rFonts w:hint="cs"/>
          <w:b/>
          <w:bCs/>
          <w:rtl/>
        </w:rPr>
        <w:t>מקצועיות</w:t>
      </w:r>
      <w:r w:rsidR="008868B6" w:rsidRPr="00FD0349">
        <w:rPr>
          <w:b/>
          <w:bCs/>
          <w:rtl/>
        </w:rPr>
        <w:t xml:space="preserve"> </w:t>
      </w:r>
      <w:r w:rsidR="008868B6" w:rsidRPr="00FD0349">
        <w:rPr>
          <w:rFonts w:hint="cs"/>
          <w:b/>
          <w:bCs/>
          <w:rtl/>
        </w:rPr>
        <w:t>שמאפשרות</w:t>
      </w:r>
      <w:r w:rsidR="008868B6" w:rsidRPr="00FD0349">
        <w:rPr>
          <w:b/>
          <w:bCs/>
          <w:rtl/>
        </w:rPr>
        <w:t xml:space="preserve"> </w:t>
      </w:r>
      <w:r w:rsidR="008868B6" w:rsidRPr="00FD0349">
        <w:rPr>
          <w:rFonts w:hint="cs"/>
          <w:b/>
          <w:bCs/>
          <w:rtl/>
        </w:rPr>
        <w:t>הבניה</w:t>
      </w:r>
      <w:r w:rsidR="008868B6" w:rsidRPr="00FD0349">
        <w:rPr>
          <w:b/>
          <w:bCs/>
          <w:rtl/>
        </w:rPr>
        <w:t xml:space="preserve"> </w:t>
      </w:r>
      <w:r w:rsidR="008868B6" w:rsidRPr="00FD0349">
        <w:rPr>
          <w:rFonts w:hint="cs"/>
          <w:b/>
          <w:bCs/>
          <w:rtl/>
        </w:rPr>
        <w:t>של</w:t>
      </w:r>
      <w:r w:rsidR="008868B6" w:rsidRPr="00FD0349">
        <w:rPr>
          <w:b/>
          <w:bCs/>
          <w:rtl/>
        </w:rPr>
        <w:t xml:space="preserve"> </w:t>
      </w:r>
      <w:r w:rsidR="008868B6" w:rsidRPr="00FD0349">
        <w:rPr>
          <w:rFonts w:hint="cs"/>
          <w:b/>
          <w:bCs/>
          <w:rtl/>
        </w:rPr>
        <w:t>שיקול</w:t>
      </w:r>
      <w:r w:rsidR="008868B6" w:rsidRPr="00FD0349">
        <w:rPr>
          <w:b/>
          <w:bCs/>
          <w:rtl/>
        </w:rPr>
        <w:t xml:space="preserve"> </w:t>
      </w:r>
      <w:r w:rsidR="008868B6" w:rsidRPr="00FD0349">
        <w:rPr>
          <w:rFonts w:hint="cs"/>
          <w:b/>
          <w:bCs/>
          <w:rtl/>
        </w:rPr>
        <w:t>הדעת</w:t>
      </w:r>
      <w:r w:rsidR="008868B6" w:rsidRPr="00FD0349">
        <w:rPr>
          <w:b/>
          <w:bCs/>
          <w:rtl/>
        </w:rPr>
        <w:t xml:space="preserve"> </w:t>
      </w:r>
      <w:r w:rsidR="008868B6" w:rsidRPr="00FD0349">
        <w:rPr>
          <w:rFonts w:hint="cs"/>
          <w:b/>
          <w:bCs/>
          <w:rtl/>
        </w:rPr>
        <w:t>בהכנת</w:t>
      </w:r>
      <w:r w:rsidR="008868B6" w:rsidRPr="00FD0349">
        <w:rPr>
          <w:b/>
          <w:bCs/>
          <w:rtl/>
        </w:rPr>
        <w:t xml:space="preserve"> </w:t>
      </w:r>
      <w:r w:rsidR="008868B6" w:rsidRPr="00FD0349">
        <w:rPr>
          <w:rFonts w:hint="cs"/>
          <w:b/>
          <w:bCs/>
          <w:rtl/>
        </w:rPr>
        <w:t>הבקשה</w:t>
      </w:r>
      <w:r w:rsidR="008868B6">
        <w:rPr>
          <w:rFonts w:hint="cs"/>
          <w:b/>
          <w:bCs/>
          <w:rtl/>
        </w:rPr>
        <w:t xml:space="preserve">, ובכלל זה עליה לקבוע בהנחיותיה כי </w:t>
      </w:r>
      <w:r w:rsidR="00450901">
        <w:rPr>
          <w:rFonts w:hint="cs"/>
          <w:b/>
          <w:bCs/>
          <w:rtl/>
        </w:rPr>
        <w:t>אין לרשום ב</w:t>
      </w:r>
      <w:r w:rsidR="0062590A">
        <w:rPr>
          <w:rFonts w:hint="cs"/>
          <w:b/>
          <w:bCs/>
          <w:rtl/>
        </w:rPr>
        <w:t xml:space="preserve">ראש </w:t>
      </w:r>
      <w:r w:rsidR="00450901">
        <w:rPr>
          <w:rFonts w:hint="cs"/>
          <w:b/>
          <w:bCs/>
          <w:rtl/>
        </w:rPr>
        <w:t xml:space="preserve">טופס הבקשה יעדי האזנה (לרוב החשודים העיקריים בפרשייה) שאין בכוונתה להאזין להם בפועל; כי </w:t>
      </w:r>
      <w:r w:rsidR="008868B6">
        <w:rPr>
          <w:rFonts w:hint="cs"/>
          <w:b/>
          <w:bCs/>
          <w:rtl/>
        </w:rPr>
        <w:t xml:space="preserve">במסגרת בחינת </w:t>
      </w:r>
      <w:r w:rsidR="008868B6" w:rsidRPr="00FD0349">
        <w:rPr>
          <w:rFonts w:hint="cs"/>
          <w:b/>
          <w:bCs/>
          <w:rtl/>
        </w:rPr>
        <w:t>עילת</w:t>
      </w:r>
      <w:r w:rsidR="008868B6" w:rsidRPr="00FD0349">
        <w:rPr>
          <w:b/>
          <w:bCs/>
          <w:rtl/>
        </w:rPr>
        <w:t xml:space="preserve"> </w:t>
      </w:r>
      <w:r w:rsidR="008868B6" w:rsidRPr="00FD0349">
        <w:rPr>
          <w:rFonts w:hint="cs"/>
          <w:b/>
          <w:bCs/>
          <w:rtl/>
        </w:rPr>
        <w:t>ההאזנה</w:t>
      </w:r>
      <w:r w:rsidR="008868B6" w:rsidRPr="00FD0349">
        <w:rPr>
          <w:b/>
          <w:bCs/>
          <w:rtl/>
        </w:rPr>
        <w:t xml:space="preserve"> </w:t>
      </w:r>
      <w:r w:rsidR="008868B6" w:rsidRPr="00FD0349">
        <w:rPr>
          <w:rFonts w:hint="cs"/>
          <w:b/>
          <w:bCs/>
          <w:rtl/>
        </w:rPr>
        <w:t>יש</w:t>
      </w:r>
      <w:r w:rsidR="008868B6" w:rsidRPr="00FD0349">
        <w:rPr>
          <w:b/>
          <w:bCs/>
          <w:rtl/>
        </w:rPr>
        <w:t xml:space="preserve"> </w:t>
      </w:r>
      <w:r w:rsidR="008868B6" w:rsidRPr="00FD0349">
        <w:rPr>
          <w:rFonts w:hint="cs"/>
          <w:b/>
          <w:bCs/>
          <w:rtl/>
        </w:rPr>
        <w:t>להקפיד</w:t>
      </w:r>
      <w:r w:rsidR="008868B6" w:rsidRPr="00FD0349">
        <w:rPr>
          <w:b/>
          <w:bCs/>
          <w:rtl/>
        </w:rPr>
        <w:t xml:space="preserve"> </w:t>
      </w:r>
      <w:r w:rsidR="008868B6" w:rsidRPr="00FD0349">
        <w:rPr>
          <w:rFonts w:hint="cs"/>
          <w:b/>
          <w:bCs/>
          <w:rtl/>
        </w:rPr>
        <w:t>על</w:t>
      </w:r>
      <w:r w:rsidR="008868B6" w:rsidRPr="00FD0349">
        <w:rPr>
          <w:b/>
          <w:bCs/>
          <w:rtl/>
        </w:rPr>
        <w:t xml:space="preserve"> </w:t>
      </w:r>
      <w:r w:rsidR="008868B6" w:rsidRPr="00FD0349">
        <w:rPr>
          <w:rFonts w:hint="cs"/>
          <w:b/>
          <w:bCs/>
          <w:rtl/>
        </w:rPr>
        <w:t>סימון</w:t>
      </w:r>
      <w:r w:rsidR="008868B6" w:rsidRPr="00FD0349">
        <w:rPr>
          <w:b/>
          <w:bCs/>
          <w:rtl/>
        </w:rPr>
        <w:t xml:space="preserve"> </w:t>
      </w:r>
      <w:r w:rsidR="008868B6">
        <w:rPr>
          <w:rFonts w:hint="cs"/>
          <w:b/>
          <w:bCs/>
          <w:rtl/>
        </w:rPr>
        <w:t xml:space="preserve">של </w:t>
      </w:r>
      <w:r w:rsidR="008868B6" w:rsidRPr="00FD0349">
        <w:rPr>
          <w:rFonts w:hint="cs"/>
          <w:b/>
          <w:bCs/>
          <w:rtl/>
        </w:rPr>
        <w:t>עילה</w:t>
      </w:r>
      <w:r w:rsidR="008868B6" w:rsidRPr="00FD0349">
        <w:rPr>
          <w:b/>
          <w:bCs/>
          <w:rtl/>
        </w:rPr>
        <w:t xml:space="preserve"> </w:t>
      </w:r>
      <w:r w:rsidR="008868B6" w:rsidRPr="00FD0349">
        <w:rPr>
          <w:rFonts w:hint="cs"/>
          <w:b/>
          <w:bCs/>
          <w:rtl/>
        </w:rPr>
        <w:t>אחת</w:t>
      </w:r>
      <w:r w:rsidR="008868B6" w:rsidRPr="00FD0349">
        <w:rPr>
          <w:b/>
          <w:bCs/>
          <w:rtl/>
        </w:rPr>
        <w:t xml:space="preserve"> </w:t>
      </w:r>
      <w:r w:rsidR="008868B6" w:rsidRPr="00FD0349">
        <w:rPr>
          <w:rFonts w:hint="cs"/>
          <w:b/>
          <w:bCs/>
          <w:rtl/>
        </w:rPr>
        <w:t>ולא</w:t>
      </w:r>
      <w:r w:rsidR="008868B6" w:rsidRPr="00FD0349">
        <w:rPr>
          <w:b/>
          <w:bCs/>
          <w:rtl/>
        </w:rPr>
        <w:t xml:space="preserve"> </w:t>
      </w:r>
      <w:r w:rsidR="008868B6">
        <w:rPr>
          <w:rFonts w:hint="cs"/>
          <w:b/>
          <w:bCs/>
          <w:rtl/>
        </w:rPr>
        <w:t>של</w:t>
      </w:r>
      <w:r w:rsidR="008868B6" w:rsidRPr="00FD0349">
        <w:rPr>
          <w:b/>
          <w:bCs/>
          <w:rtl/>
        </w:rPr>
        <w:t xml:space="preserve"> </w:t>
      </w:r>
      <w:r w:rsidR="008868B6" w:rsidRPr="00FD0349">
        <w:rPr>
          <w:rFonts w:hint="cs"/>
          <w:b/>
          <w:bCs/>
          <w:rtl/>
        </w:rPr>
        <w:t>עילות</w:t>
      </w:r>
      <w:r w:rsidR="008868B6">
        <w:rPr>
          <w:rFonts w:hint="cs"/>
          <w:b/>
          <w:bCs/>
          <w:rtl/>
        </w:rPr>
        <w:t xml:space="preserve"> רבות</w:t>
      </w:r>
      <w:r w:rsidR="008868B6" w:rsidRPr="00FD0349">
        <w:rPr>
          <w:b/>
          <w:bCs/>
          <w:rtl/>
        </w:rPr>
        <w:t xml:space="preserve">; </w:t>
      </w:r>
      <w:r w:rsidR="008868B6">
        <w:rPr>
          <w:rFonts w:hint="cs"/>
          <w:b/>
          <w:bCs/>
          <w:rtl/>
        </w:rPr>
        <w:t xml:space="preserve">כי לאחר מכן יש לבחור את </w:t>
      </w:r>
      <w:r w:rsidR="008868B6" w:rsidRPr="00FD0349">
        <w:rPr>
          <w:rFonts w:hint="cs"/>
          <w:b/>
          <w:bCs/>
          <w:rtl/>
        </w:rPr>
        <w:t>העבירה</w:t>
      </w:r>
      <w:r w:rsidR="008868B6" w:rsidRPr="00FD0349">
        <w:rPr>
          <w:b/>
          <w:bCs/>
          <w:rtl/>
        </w:rPr>
        <w:t xml:space="preserve"> </w:t>
      </w:r>
      <w:r w:rsidR="008868B6" w:rsidRPr="00FD0349">
        <w:rPr>
          <w:rFonts w:hint="cs"/>
          <w:b/>
          <w:bCs/>
          <w:rtl/>
        </w:rPr>
        <w:t>הספציפית</w:t>
      </w:r>
      <w:r w:rsidR="008868B6" w:rsidRPr="00FD0349">
        <w:rPr>
          <w:b/>
          <w:bCs/>
          <w:rtl/>
        </w:rPr>
        <w:t xml:space="preserve"> </w:t>
      </w:r>
      <w:r w:rsidR="008868B6" w:rsidRPr="00FD0349">
        <w:rPr>
          <w:rFonts w:hint="cs"/>
          <w:b/>
          <w:bCs/>
          <w:rtl/>
        </w:rPr>
        <w:t>בהתאם</w:t>
      </w:r>
      <w:r w:rsidR="008868B6" w:rsidRPr="00FD0349">
        <w:rPr>
          <w:b/>
          <w:bCs/>
          <w:rtl/>
        </w:rPr>
        <w:t xml:space="preserve"> </w:t>
      </w:r>
      <w:r w:rsidR="008868B6" w:rsidRPr="00FD0349">
        <w:rPr>
          <w:rFonts w:hint="cs"/>
          <w:b/>
          <w:bCs/>
          <w:rtl/>
        </w:rPr>
        <w:t>לעילת</w:t>
      </w:r>
      <w:r w:rsidR="008868B6" w:rsidRPr="00FD0349">
        <w:rPr>
          <w:b/>
          <w:bCs/>
          <w:rtl/>
        </w:rPr>
        <w:t xml:space="preserve"> </w:t>
      </w:r>
      <w:r w:rsidR="008868B6" w:rsidRPr="00FD0349">
        <w:rPr>
          <w:rFonts w:hint="cs"/>
          <w:b/>
          <w:bCs/>
          <w:rtl/>
        </w:rPr>
        <w:t>ההאזנה</w:t>
      </w:r>
      <w:r w:rsidR="008868B6" w:rsidRPr="00FD0349">
        <w:rPr>
          <w:b/>
          <w:bCs/>
          <w:rtl/>
        </w:rPr>
        <w:t xml:space="preserve"> </w:t>
      </w:r>
      <w:r w:rsidR="008868B6" w:rsidRPr="00FD0349">
        <w:rPr>
          <w:rFonts w:hint="cs"/>
          <w:b/>
          <w:bCs/>
          <w:rtl/>
        </w:rPr>
        <w:t>ובכך</w:t>
      </w:r>
      <w:r w:rsidR="008868B6" w:rsidRPr="00FD0349">
        <w:rPr>
          <w:b/>
          <w:bCs/>
          <w:rtl/>
        </w:rPr>
        <w:t xml:space="preserve"> </w:t>
      </w:r>
      <w:r w:rsidR="008868B6">
        <w:rPr>
          <w:rFonts w:hint="cs"/>
          <w:b/>
          <w:bCs/>
          <w:rtl/>
        </w:rPr>
        <w:t>למקד</w:t>
      </w:r>
      <w:r w:rsidR="008868B6" w:rsidRPr="00FD0349">
        <w:rPr>
          <w:b/>
          <w:bCs/>
          <w:rtl/>
        </w:rPr>
        <w:t xml:space="preserve"> </w:t>
      </w:r>
      <w:r w:rsidR="008868B6">
        <w:rPr>
          <w:rFonts w:hint="cs"/>
          <w:b/>
          <w:bCs/>
          <w:rtl/>
        </w:rPr>
        <w:t xml:space="preserve">את </w:t>
      </w:r>
      <w:r w:rsidR="008868B6" w:rsidRPr="00FD0349">
        <w:rPr>
          <w:rFonts w:hint="cs"/>
          <w:b/>
          <w:bCs/>
          <w:rtl/>
        </w:rPr>
        <w:t>הבקשה</w:t>
      </w:r>
      <w:r w:rsidR="008868B6" w:rsidRPr="00FD0349">
        <w:rPr>
          <w:b/>
          <w:bCs/>
          <w:rtl/>
        </w:rPr>
        <w:t xml:space="preserve"> </w:t>
      </w:r>
      <w:r w:rsidR="008868B6" w:rsidRPr="00FD0349">
        <w:rPr>
          <w:rFonts w:hint="cs"/>
          <w:b/>
          <w:bCs/>
          <w:rtl/>
        </w:rPr>
        <w:t>ולא</w:t>
      </w:r>
      <w:r w:rsidR="008868B6" w:rsidRPr="00FD0349">
        <w:rPr>
          <w:b/>
          <w:bCs/>
          <w:rtl/>
        </w:rPr>
        <w:t xml:space="preserve"> </w:t>
      </w:r>
      <w:r w:rsidR="008868B6">
        <w:rPr>
          <w:rFonts w:hint="cs"/>
          <w:b/>
          <w:bCs/>
          <w:rtl/>
        </w:rPr>
        <w:t>לייחס אותה ל</w:t>
      </w:r>
      <w:r w:rsidR="008868B6" w:rsidRPr="00FD0349">
        <w:rPr>
          <w:rFonts w:hint="cs"/>
          <w:b/>
          <w:bCs/>
          <w:rtl/>
        </w:rPr>
        <w:t>כלל</w:t>
      </w:r>
      <w:r w:rsidR="008868B6" w:rsidRPr="00FD0349">
        <w:rPr>
          <w:b/>
          <w:bCs/>
          <w:rtl/>
        </w:rPr>
        <w:t xml:space="preserve"> </w:t>
      </w:r>
      <w:r w:rsidR="008868B6" w:rsidRPr="00FD0349">
        <w:rPr>
          <w:rFonts w:hint="cs"/>
          <w:b/>
          <w:bCs/>
          <w:rtl/>
        </w:rPr>
        <w:t>העבירות</w:t>
      </w:r>
      <w:r w:rsidR="008868B6" w:rsidRPr="00FD0349">
        <w:rPr>
          <w:b/>
          <w:bCs/>
          <w:rtl/>
        </w:rPr>
        <w:t xml:space="preserve"> </w:t>
      </w:r>
      <w:r w:rsidR="008868B6" w:rsidRPr="00FD0349">
        <w:rPr>
          <w:rFonts w:hint="cs"/>
          <w:b/>
          <w:bCs/>
          <w:rtl/>
        </w:rPr>
        <w:t>העולות</w:t>
      </w:r>
      <w:r w:rsidR="008868B6" w:rsidRPr="00FD0349">
        <w:rPr>
          <w:b/>
          <w:bCs/>
          <w:rtl/>
        </w:rPr>
        <w:t xml:space="preserve"> </w:t>
      </w:r>
      <w:r w:rsidR="008868B6" w:rsidRPr="00FD0349">
        <w:rPr>
          <w:rFonts w:hint="cs"/>
          <w:b/>
          <w:bCs/>
          <w:rtl/>
        </w:rPr>
        <w:t>מהחקירה</w:t>
      </w:r>
      <w:r w:rsidR="008868B6" w:rsidRPr="00BC12D5">
        <w:rPr>
          <w:b/>
          <w:bCs/>
          <w:rtl/>
        </w:rPr>
        <w:t xml:space="preserve">; </w:t>
      </w:r>
      <w:r w:rsidR="008868B6">
        <w:rPr>
          <w:rFonts w:hint="cs"/>
          <w:b/>
          <w:bCs/>
          <w:rtl/>
        </w:rPr>
        <w:t>כי</w:t>
      </w:r>
      <w:r w:rsidR="008868B6" w:rsidRPr="00D978A2">
        <w:rPr>
          <w:b/>
          <w:bCs/>
          <w:rtl/>
        </w:rPr>
        <w:t xml:space="preserve"> </w:t>
      </w:r>
      <w:r w:rsidR="008868B6" w:rsidRPr="00D978A2">
        <w:rPr>
          <w:rFonts w:hint="cs"/>
          <w:b/>
          <w:bCs/>
          <w:rtl/>
        </w:rPr>
        <w:t>כלל</w:t>
      </w:r>
      <w:r w:rsidR="008868B6" w:rsidRPr="00D978A2">
        <w:rPr>
          <w:b/>
          <w:bCs/>
          <w:rtl/>
        </w:rPr>
        <w:t xml:space="preserve"> </w:t>
      </w:r>
      <w:r w:rsidR="008868B6" w:rsidRPr="00D978A2">
        <w:rPr>
          <w:rFonts w:hint="cs"/>
          <w:b/>
          <w:bCs/>
          <w:rtl/>
        </w:rPr>
        <w:t>העבירות</w:t>
      </w:r>
      <w:r w:rsidR="008868B6" w:rsidRPr="00D978A2">
        <w:rPr>
          <w:b/>
          <w:bCs/>
          <w:rtl/>
        </w:rPr>
        <w:t xml:space="preserve"> </w:t>
      </w:r>
      <w:r w:rsidR="008868B6" w:rsidRPr="00D978A2">
        <w:rPr>
          <w:rFonts w:hint="cs"/>
          <w:b/>
          <w:bCs/>
          <w:rtl/>
        </w:rPr>
        <w:t>הנוגעות</w:t>
      </w:r>
      <w:r w:rsidR="008868B6" w:rsidRPr="00D978A2">
        <w:rPr>
          <w:b/>
          <w:bCs/>
          <w:rtl/>
        </w:rPr>
        <w:t xml:space="preserve"> </w:t>
      </w:r>
      <w:r w:rsidR="008868B6" w:rsidRPr="00D978A2">
        <w:rPr>
          <w:rFonts w:hint="cs"/>
          <w:b/>
          <w:bCs/>
          <w:rtl/>
        </w:rPr>
        <w:t>לפרשייה</w:t>
      </w:r>
      <w:r w:rsidR="008868B6" w:rsidRPr="00D978A2">
        <w:rPr>
          <w:b/>
          <w:bCs/>
          <w:rtl/>
        </w:rPr>
        <w:t xml:space="preserve"> </w:t>
      </w:r>
      <w:r w:rsidR="008868B6">
        <w:rPr>
          <w:rFonts w:hint="cs"/>
          <w:b/>
          <w:bCs/>
          <w:rtl/>
        </w:rPr>
        <w:t xml:space="preserve">יירשמו </w:t>
      </w:r>
      <w:r w:rsidR="0094476A">
        <w:rPr>
          <w:rFonts w:hint="cs"/>
          <w:b/>
          <w:bCs/>
          <w:rtl/>
        </w:rPr>
        <w:t>בנימוקי הבקשה</w:t>
      </w:r>
      <w:r w:rsidR="008868B6" w:rsidRPr="00D978A2">
        <w:rPr>
          <w:b/>
          <w:bCs/>
          <w:rtl/>
        </w:rPr>
        <w:t xml:space="preserve"> </w:t>
      </w:r>
      <w:r w:rsidR="008868B6" w:rsidRPr="00D978A2">
        <w:rPr>
          <w:rFonts w:hint="cs"/>
          <w:b/>
          <w:bCs/>
          <w:rtl/>
        </w:rPr>
        <w:t>בלבד</w:t>
      </w:r>
      <w:r w:rsidR="008868B6" w:rsidRPr="00D978A2">
        <w:rPr>
          <w:b/>
          <w:bCs/>
          <w:rtl/>
        </w:rPr>
        <w:t xml:space="preserve">; </w:t>
      </w:r>
      <w:r w:rsidR="00C06ACC">
        <w:rPr>
          <w:rFonts w:hint="cs"/>
          <w:b/>
          <w:bCs/>
          <w:rtl/>
        </w:rPr>
        <w:t>וכי</w:t>
      </w:r>
      <w:r w:rsidR="0049609C">
        <w:rPr>
          <w:rFonts w:hint="cs"/>
          <w:b/>
          <w:bCs/>
          <w:rtl/>
        </w:rPr>
        <w:t xml:space="preserve"> </w:t>
      </w:r>
      <w:r w:rsidR="008868B6">
        <w:rPr>
          <w:rFonts w:hint="cs"/>
          <w:b/>
          <w:bCs/>
          <w:rtl/>
        </w:rPr>
        <w:t>תפורט</w:t>
      </w:r>
      <w:r w:rsidR="008868B6" w:rsidRPr="00D978A2">
        <w:rPr>
          <w:b/>
          <w:bCs/>
          <w:rtl/>
        </w:rPr>
        <w:t xml:space="preserve"> </w:t>
      </w:r>
      <w:r w:rsidR="008868B6" w:rsidRPr="00D978A2">
        <w:rPr>
          <w:rFonts w:hint="cs"/>
          <w:b/>
          <w:bCs/>
          <w:rtl/>
        </w:rPr>
        <w:t>זיקתו</w:t>
      </w:r>
      <w:r w:rsidR="008868B6" w:rsidRPr="00D978A2">
        <w:rPr>
          <w:b/>
          <w:bCs/>
          <w:rtl/>
        </w:rPr>
        <w:t xml:space="preserve"> </w:t>
      </w:r>
      <w:r w:rsidR="008868B6" w:rsidRPr="00D978A2">
        <w:rPr>
          <w:rFonts w:hint="cs"/>
          <w:b/>
          <w:bCs/>
          <w:rtl/>
        </w:rPr>
        <w:t>של</w:t>
      </w:r>
      <w:r w:rsidR="008868B6" w:rsidRPr="00D978A2">
        <w:rPr>
          <w:b/>
          <w:bCs/>
          <w:rtl/>
        </w:rPr>
        <w:t xml:space="preserve"> </w:t>
      </w:r>
      <w:r w:rsidR="008868B6" w:rsidRPr="00D978A2">
        <w:rPr>
          <w:rFonts w:hint="cs"/>
          <w:b/>
          <w:bCs/>
          <w:rtl/>
        </w:rPr>
        <w:t>יעד</w:t>
      </w:r>
      <w:r w:rsidR="008868B6" w:rsidRPr="00D978A2">
        <w:rPr>
          <w:b/>
          <w:bCs/>
          <w:rtl/>
        </w:rPr>
        <w:t xml:space="preserve"> </w:t>
      </w:r>
      <w:r w:rsidR="008868B6" w:rsidRPr="00D978A2">
        <w:rPr>
          <w:rFonts w:hint="cs"/>
          <w:b/>
          <w:bCs/>
          <w:rtl/>
        </w:rPr>
        <w:t>ההאזנה</w:t>
      </w:r>
      <w:r w:rsidR="008868B6" w:rsidRPr="00D978A2">
        <w:rPr>
          <w:b/>
          <w:bCs/>
          <w:rtl/>
        </w:rPr>
        <w:t xml:space="preserve"> </w:t>
      </w:r>
      <w:r w:rsidR="008868B6" w:rsidRPr="00D978A2">
        <w:rPr>
          <w:rFonts w:hint="cs"/>
          <w:b/>
          <w:bCs/>
          <w:rtl/>
        </w:rPr>
        <w:t>לעבירה</w:t>
      </w:r>
      <w:r w:rsidR="008868B6" w:rsidRPr="00D978A2">
        <w:rPr>
          <w:b/>
          <w:bCs/>
          <w:rtl/>
        </w:rPr>
        <w:t xml:space="preserve"> </w:t>
      </w:r>
      <w:r w:rsidR="008868B6" w:rsidRPr="00D978A2">
        <w:rPr>
          <w:rFonts w:hint="cs"/>
          <w:b/>
          <w:bCs/>
          <w:rtl/>
        </w:rPr>
        <w:t>הקונקרטית</w:t>
      </w:r>
      <w:r w:rsidR="008868B6" w:rsidRPr="00D978A2">
        <w:rPr>
          <w:b/>
          <w:bCs/>
          <w:rtl/>
        </w:rPr>
        <w:t xml:space="preserve"> </w:t>
      </w:r>
      <w:r w:rsidR="008868B6">
        <w:rPr>
          <w:rFonts w:hint="cs"/>
          <w:b/>
          <w:bCs/>
          <w:rtl/>
        </w:rPr>
        <w:t>שבה עוסקת</w:t>
      </w:r>
      <w:r w:rsidR="008868B6" w:rsidRPr="00D978A2">
        <w:rPr>
          <w:b/>
          <w:bCs/>
          <w:rtl/>
        </w:rPr>
        <w:t xml:space="preserve"> </w:t>
      </w:r>
      <w:r w:rsidR="008868B6" w:rsidRPr="00D978A2">
        <w:rPr>
          <w:rFonts w:hint="cs"/>
          <w:b/>
          <w:bCs/>
          <w:rtl/>
        </w:rPr>
        <w:t>הבקשה</w:t>
      </w:r>
      <w:r w:rsidR="008868B6" w:rsidRPr="00D978A2">
        <w:rPr>
          <w:b/>
          <w:bCs/>
          <w:rtl/>
        </w:rPr>
        <w:t xml:space="preserve"> (</w:t>
      </w:r>
      <w:r w:rsidR="008868B6">
        <w:rPr>
          <w:rFonts w:hint="cs"/>
          <w:b/>
          <w:bCs/>
          <w:rtl/>
        </w:rPr>
        <w:t>ה</w:t>
      </w:r>
      <w:r w:rsidR="008868B6" w:rsidRPr="00D978A2">
        <w:rPr>
          <w:b/>
          <w:bCs/>
          <w:rtl/>
        </w:rPr>
        <w:t xml:space="preserve">מבצע </w:t>
      </w:r>
      <w:r w:rsidR="008868B6">
        <w:rPr>
          <w:rFonts w:hint="cs"/>
          <w:b/>
          <w:bCs/>
          <w:rtl/>
        </w:rPr>
        <w:t>ה</w:t>
      </w:r>
      <w:r w:rsidR="008868B6" w:rsidRPr="00D978A2">
        <w:rPr>
          <w:rFonts w:hint="cs"/>
          <w:b/>
          <w:bCs/>
          <w:rtl/>
        </w:rPr>
        <w:t>עיקרי</w:t>
      </w:r>
      <w:r w:rsidR="008868B6" w:rsidRPr="00D978A2">
        <w:rPr>
          <w:b/>
          <w:bCs/>
          <w:rtl/>
        </w:rPr>
        <w:t xml:space="preserve">, </w:t>
      </w:r>
      <w:r w:rsidR="008868B6" w:rsidRPr="00D978A2">
        <w:rPr>
          <w:rFonts w:hint="cs"/>
          <w:b/>
          <w:bCs/>
          <w:rtl/>
        </w:rPr>
        <w:t>שותף</w:t>
      </w:r>
      <w:r w:rsidR="008868B6" w:rsidRPr="00D978A2">
        <w:rPr>
          <w:b/>
          <w:bCs/>
          <w:rtl/>
        </w:rPr>
        <w:t xml:space="preserve"> </w:t>
      </w:r>
      <w:r w:rsidR="008868B6" w:rsidRPr="00D978A2">
        <w:rPr>
          <w:rFonts w:hint="cs"/>
          <w:b/>
          <w:bCs/>
          <w:rtl/>
        </w:rPr>
        <w:t>עקיף</w:t>
      </w:r>
      <w:r w:rsidR="008868B6" w:rsidRPr="00D978A2">
        <w:rPr>
          <w:b/>
          <w:bCs/>
          <w:rtl/>
        </w:rPr>
        <w:t xml:space="preserve">, </w:t>
      </w:r>
      <w:r w:rsidR="008868B6" w:rsidRPr="00D978A2">
        <w:rPr>
          <w:rFonts w:hint="cs"/>
          <w:b/>
          <w:bCs/>
          <w:rtl/>
        </w:rPr>
        <w:t>מעורב</w:t>
      </w:r>
      <w:r w:rsidR="008868B6" w:rsidRPr="00D978A2">
        <w:rPr>
          <w:b/>
          <w:bCs/>
          <w:rtl/>
        </w:rPr>
        <w:t xml:space="preserve"> </w:t>
      </w:r>
      <w:r w:rsidR="008868B6" w:rsidRPr="00D978A2">
        <w:rPr>
          <w:rFonts w:hint="cs"/>
          <w:b/>
          <w:bCs/>
          <w:rtl/>
        </w:rPr>
        <w:t>או</w:t>
      </w:r>
      <w:r w:rsidR="008868B6" w:rsidRPr="00D978A2">
        <w:rPr>
          <w:b/>
          <w:bCs/>
          <w:rtl/>
        </w:rPr>
        <w:t xml:space="preserve"> </w:t>
      </w:r>
      <w:r w:rsidR="008868B6" w:rsidRPr="00D978A2">
        <w:rPr>
          <w:rFonts w:hint="cs"/>
          <w:b/>
          <w:bCs/>
          <w:rtl/>
        </w:rPr>
        <w:t>קורבן</w:t>
      </w:r>
      <w:r w:rsidR="008868B6" w:rsidRPr="00D978A2">
        <w:rPr>
          <w:b/>
          <w:bCs/>
          <w:rtl/>
        </w:rPr>
        <w:t>).</w:t>
      </w:r>
      <w:r w:rsidR="008868B6">
        <w:rPr>
          <w:rFonts w:hint="cs"/>
          <w:b/>
          <w:bCs/>
          <w:rtl/>
        </w:rPr>
        <w:t xml:space="preserve"> כמו כן, עליה לנמק את הטעמים המיוחדים המצדיקים את ההאזנה </w:t>
      </w:r>
      <w:r w:rsidR="00A31018">
        <w:rPr>
          <w:rFonts w:hint="cs"/>
          <w:b/>
          <w:bCs/>
          <w:rtl/>
        </w:rPr>
        <w:t>ל</w:t>
      </w:r>
      <w:r w:rsidR="00886D9C" w:rsidRPr="00886D9C">
        <w:rPr>
          <w:rFonts w:hint="cs"/>
          <w:b/>
          <w:bCs/>
          <w:rtl/>
        </w:rPr>
        <w:t>קורבנות עבירה, קטינים ושותפים עקיפים</w:t>
      </w:r>
      <w:r w:rsidR="008868B6">
        <w:rPr>
          <w:rFonts w:hint="cs"/>
          <w:b/>
          <w:bCs/>
          <w:rtl/>
        </w:rPr>
        <w:t>.</w:t>
      </w:r>
      <w:r w:rsidR="008868B6" w:rsidRPr="00D978A2">
        <w:rPr>
          <w:b/>
          <w:bCs/>
          <w:rtl/>
        </w:rPr>
        <w:t xml:space="preserve"> </w:t>
      </w:r>
    </w:p>
    <w:p w:rsidR="00E66785" w:rsidRPr="00D71FC3" w:rsidRDefault="00E66785" w:rsidP="00604C3D">
      <w:pPr>
        <w:spacing w:line="269" w:lineRule="auto"/>
        <w:rPr>
          <w:b/>
          <w:bCs/>
          <w:rtl/>
        </w:rPr>
      </w:pPr>
    </w:p>
    <w:p w:rsidR="009A1216" w:rsidRDefault="009A1216" w:rsidP="008C598D">
      <w:pPr>
        <w:pStyle w:val="4"/>
        <w:numPr>
          <w:ilvl w:val="0"/>
          <w:numId w:val="72"/>
        </w:numPr>
        <w:spacing w:before="0" w:line="269" w:lineRule="auto"/>
        <w:ind w:left="367"/>
        <w:jc w:val="left"/>
        <w:rPr>
          <w:rtl/>
        </w:rPr>
      </w:pPr>
      <w:bookmarkStart w:id="275" w:name="_Toc132608788"/>
      <w:bookmarkStart w:id="276" w:name="_Toc211521929"/>
      <w:bookmarkStart w:id="277" w:name="_Toc219110319"/>
      <w:bookmarkStart w:id="278" w:name="_Toc219113760"/>
      <w:bookmarkStart w:id="279" w:name="_Toc219286535"/>
      <w:bookmarkStart w:id="280" w:name="_Hlk133502488"/>
      <w:bookmarkStart w:id="281" w:name="_Hlk200446637"/>
      <w:bookmarkStart w:id="282" w:name="_Hlk147755651"/>
      <w:bookmarkEnd w:id="63"/>
      <w:r>
        <w:rPr>
          <w:rFonts w:hint="cs"/>
          <w:rtl/>
        </w:rPr>
        <w:t>אישור הגשת בקשות</w:t>
      </w:r>
      <w:bookmarkEnd w:id="275"/>
      <w:r>
        <w:rPr>
          <w:rFonts w:hint="cs"/>
          <w:rtl/>
        </w:rPr>
        <w:t xml:space="preserve"> רגישות</w:t>
      </w:r>
      <w:bookmarkEnd w:id="276"/>
      <w:bookmarkEnd w:id="277"/>
      <w:bookmarkEnd w:id="278"/>
      <w:bookmarkEnd w:id="279"/>
      <w:r>
        <w:rPr>
          <w:rFonts w:hint="cs"/>
          <w:rtl/>
        </w:rPr>
        <w:t xml:space="preserve"> </w:t>
      </w:r>
    </w:p>
    <w:bookmarkEnd w:id="280"/>
    <w:p w:rsidR="004A40FE" w:rsidRDefault="004A40FE" w:rsidP="00604C3D">
      <w:pPr>
        <w:spacing w:line="269" w:lineRule="auto"/>
        <w:rPr>
          <w:rtl/>
        </w:rPr>
      </w:pPr>
    </w:p>
    <w:p w:rsidR="009A1216" w:rsidRDefault="009A1216" w:rsidP="00F63BA6">
      <w:pPr>
        <w:spacing w:line="269" w:lineRule="auto"/>
        <w:ind w:left="340"/>
        <w:rPr>
          <w:rtl/>
        </w:rPr>
      </w:pPr>
      <w:r w:rsidRPr="00E8756C">
        <w:rPr>
          <w:rtl/>
        </w:rPr>
        <w:t>יש בקשות להאזנת סתר שמגלמות רגישות רבה ו</w:t>
      </w:r>
      <w:r>
        <w:rPr>
          <w:rFonts w:hint="cs"/>
          <w:rtl/>
        </w:rPr>
        <w:t xml:space="preserve">שהן </w:t>
      </w:r>
      <w:r w:rsidRPr="00E8756C">
        <w:rPr>
          <w:rtl/>
        </w:rPr>
        <w:t xml:space="preserve">בעלות פוטנציאל פגיעה משמעותי הנובע מסיבות שונות: המעמד של יעד ההאזנה, טיב העבירות המיוחסות לו, האזנה ממושכת, מקום ביצוע ההאזנה ודחיפות ההאזנה. </w:t>
      </w:r>
    </w:p>
    <w:p w:rsidR="004A40FE" w:rsidRDefault="004A40FE" w:rsidP="00F63BA6">
      <w:pPr>
        <w:spacing w:line="269" w:lineRule="auto"/>
        <w:ind w:left="340"/>
        <w:rPr>
          <w:rtl/>
        </w:rPr>
      </w:pPr>
    </w:p>
    <w:p w:rsidR="009A1216" w:rsidRDefault="009A1216" w:rsidP="00F63BA6">
      <w:pPr>
        <w:spacing w:line="269" w:lineRule="auto"/>
        <w:ind w:left="340"/>
        <w:rPr>
          <w:rtl/>
        </w:rPr>
      </w:pPr>
      <w:r>
        <w:rPr>
          <w:rFonts w:hint="cs"/>
          <w:rtl/>
        </w:rPr>
        <w:t>לעיתים נסיבות ההאזנה כרוכות ברגישות מיוחדת ומחייבות אישור של דרג נוסף להגשת הבקשה לבית המשפט</w:t>
      </w:r>
      <w:r>
        <w:rPr>
          <w:rStyle w:val="af"/>
          <w:rtl/>
        </w:rPr>
        <w:footnoteReference w:id="113"/>
      </w:r>
      <w:r>
        <w:rPr>
          <w:rFonts w:hint="cs"/>
          <w:rtl/>
        </w:rPr>
        <w:t xml:space="preserve"> (להלן - בקשות חריגות). </w:t>
      </w:r>
      <w:r w:rsidRPr="00672822">
        <w:rPr>
          <w:rtl/>
        </w:rPr>
        <w:t>כבר בשנת 2005 צוות לבנת משיח הגיע למסקנה</w:t>
      </w:r>
      <w:r w:rsidRPr="00672822">
        <w:rPr>
          <w:rFonts w:hint="cs"/>
          <w:rtl/>
        </w:rPr>
        <w:t xml:space="preserve"> זו</w:t>
      </w:r>
      <w:r>
        <w:rPr>
          <w:rFonts w:hint="cs"/>
          <w:b/>
          <w:bCs/>
          <w:rtl/>
        </w:rPr>
        <w:t xml:space="preserve"> </w:t>
      </w:r>
      <w:r>
        <w:rPr>
          <w:rFonts w:hint="cs"/>
          <w:rtl/>
        </w:rPr>
        <w:t>בנוגע</w:t>
      </w:r>
      <w:r w:rsidRPr="009D1AD1">
        <w:rPr>
          <w:rtl/>
        </w:rPr>
        <w:t xml:space="preserve"> לבחירת יעדי האזנה </w:t>
      </w:r>
      <w:r>
        <w:rPr>
          <w:rFonts w:hint="cs"/>
          <w:rtl/>
        </w:rPr>
        <w:t>לנוכח</w:t>
      </w:r>
      <w:r w:rsidRPr="009D1AD1">
        <w:rPr>
          <w:rtl/>
        </w:rPr>
        <w:t xml:space="preserve"> מעמדם ו</w:t>
      </w:r>
      <w:r>
        <w:rPr>
          <w:rFonts w:hint="cs"/>
          <w:rtl/>
        </w:rPr>
        <w:t xml:space="preserve">לנוכח </w:t>
      </w:r>
      <w:r w:rsidRPr="009D1AD1">
        <w:rPr>
          <w:rtl/>
        </w:rPr>
        <w:t>הטיפול בהאזנות ממושכות</w:t>
      </w:r>
      <w:r>
        <w:rPr>
          <w:rFonts w:hint="cs"/>
          <w:rtl/>
        </w:rPr>
        <w:t xml:space="preserve">. </w:t>
      </w:r>
      <w:r w:rsidR="008A67C6">
        <w:rPr>
          <w:rFonts w:hint="cs"/>
          <w:rtl/>
        </w:rPr>
        <w:t>בלוח</w:t>
      </w:r>
      <w:r w:rsidR="008A67C6">
        <w:rPr>
          <w:rtl/>
        </w:rPr>
        <w:t xml:space="preserve"> </w:t>
      </w:r>
      <w:r>
        <w:rPr>
          <w:rtl/>
        </w:rPr>
        <w:t xml:space="preserve">להלן </w:t>
      </w:r>
      <w:r>
        <w:rPr>
          <w:rFonts w:hint="cs"/>
          <w:rtl/>
        </w:rPr>
        <w:t>יפורטו</w:t>
      </w:r>
      <w:r>
        <w:rPr>
          <w:rtl/>
        </w:rPr>
        <w:t xml:space="preserve"> סוגי הבקשות החריגות</w:t>
      </w:r>
      <w:r>
        <w:rPr>
          <w:rFonts w:hint="cs"/>
          <w:rtl/>
        </w:rPr>
        <w:t>:</w:t>
      </w:r>
    </w:p>
    <w:p w:rsidR="004A40FE" w:rsidRDefault="004A40FE" w:rsidP="00604C3D">
      <w:pPr>
        <w:spacing w:line="269" w:lineRule="auto"/>
        <w:ind w:left="-2"/>
        <w:jc w:val="center"/>
        <w:rPr>
          <w:rtl/>
        </w:rPr>
      </w:pPr>
    </w:p>
    <w:p w:rsidR="009A1216" w:rsidRDefault="008A67C6" w:rsidP="00604C3D">
      <w:pPr>
        <w:spacing w:line="269" w:lineRule="auto"/>
        <w:ind w:left="-2"/>
        <w:jc w:val="center"/>
        <w:rPr>
          <w:rtl/>
        </w:rPr>
      </w:pPr>
      <w:r>
        <w:rPr>
          <w:rFonts w:hint="cs"/>
          <w:rtl/>
        </w:rPr>
        <w:t>לוח</w:t>
      </w:r>
      <w:r w:rsidR="00B47E58">
        <w:rPr>
          <w:rFonts w:hint="cs"/>
          <w:rtl/>
        </w:rPr>
        <w:t xml:space="preserve"> 5</w:t>
      </w:r>
      <w:r w:rsidR="009A1216" w:rsidRPr="009179DF">
        <w:rPr>
          <w:rtl/>
        </w:rPr>
        <w:t>:</w:t>
      </w:r>
      <w:r w:rsidR="009A1216" w:rsidRPr="00C33ACD">
        <w:rPr>
          <w:rFonts w:hint="cs"/>
          <w:rtl/>
        </w:rPr>
        <w:t xml:space="preserve"> </w:t>
      </w:r>
      <w:r w:rsidR="009A1216" w:rsidRPr="00C33ACD">
        <w:rPr>
          <w:rFonts w:hint="cs"/>
          <w:b/>
          <w:bCs/>
          <w:rtl/>
        </w:rPr>
        <w:t xml:space="preserve">סוגי בקשות חריגות והגורם הנוסף הנדרש לאישור הגשתן </w:t>
      </w:r>
    </w:p>
    <w:tbl>
      <w:tblPr>
        <w:tblStyle w:val="1-1"/>
        <w:bidiVisual/>
        <w:tblW w:w="0" w:type="auto"/>
        <w:jc w:val="center"/>
        <w:tblLook w:val="04A0" w:firstRow="1" w:lastRow="0" w:firstColumn="1" w:lastColumn="0" w:noHBand="0" w:noVBand="1"/>
      </w:tblPr>
      <w:tblGrid>
        <w:gridCol w:w="1695"/>
        <w:gridCol w:w="2595"/>
        <w:gridCol w:w="2831"/>
      </w:tblGrid>
      <w:tr w:rsidR="00094094" w:rsidRPr="002620F5" w:rsidTr="00EC0C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rsidR="00094094" w:rsidRPr="002620F5" w:rsidRDefault="00094094" w:rsidP="00604C3D">
            <w:pPr>
              <w:spacing w:line="269" w:lineRule="auto"/>
              <w:jc w:val="center"/>
              <w:rPr>
                <w:rFonts w:eastAsia="Calibri"/>
                <w:sz w:val="22"/>
                <w:szCs w:val="22"/>
                <w:rtl/>
              </w:rPr>
            </w:pPr>
            <w:r w:rsidRPr="002620F5">
              <w:rPr>
                <w:rFonts w:eastAsia="Calibri" w:hint="cs"/>
                <w:sz w:val="22"/>
                <w:szCs w:val="22"/>
                <w:rtl/>
              </w:rPr>
              <w:t>סוג הבקשה החריגה</w:t>
            </w:r>
          </w:p>
        </w:tc>
        <w:tc>
          <w:tcPr>
            <w:tcW w:w="2595" w:type="dxa"/>
          </w:tcPr>
          <w:p w:rsidR="00094094" w:rsidRPr="002620F5" w:rsidRDefault="00094094" w:rsidP="00604C3D">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נסיבות המקרה</w:t>
            </w:r>
          </w:p>
        </w:tc>
        <w:tc>
          <w:tcPr>
            <w:tcW w:w="2831" w:type="dxa"/>
          </w:tcPr>
          <w:p w:rsidR="00094094" w:rsidRPr="002620F5" w:rsidRDefault="00094094" w:rsidP="00604C3D">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הגורם המאשר</w:t>
            </w:r>
          </w:p>
        </w:tc>
      </w:tr>
      <w:tr w:rsidR="00094094" w:rsidRPr="002620F5" w:rsidTr="00EC0CC5">
        <w:trPr>
          <w:jc w:val="center"/>
        </w:trPr>
        <w:tc>
          <w:tcPr>
            <w:cnfStyle w:val="001000000000" w:firstRow="0" w:lastRow="0" w:firstColumn="1" w:lastColumn="0" w:oddVBand="0" w:evenVBand="0" w:oddHBand="0" w:evenHBand="0" w:firstRowFirstColumn="0" w:firstRowLastColumn="0" w:lastRowFirstColumn="0" w:lastRowLastColumn="0"/>
            <w:tcW w:w="1695" w:type="dxa"/>
          </w:tcPr>
          <w:p w:rsidR="00094094" w:rsidRPr="002620F5" w:rsidRDefault="00094094" w:rsidP="00604C3D">
            <w:pPr>
              <w:spacing w:line="269" w:lineRule="auto"/>
              <w:jc w:val="left"/>
              <w:rPr>
                <w:rFonts w:eastAsia="Calibri"/>
                <w:i/>
                <w:iCs/>
                <w:sz w:val="22"/>
                <w:szCs w:val="22"/>
                <w:rtl/>
              </w:rPr>
            </w:pPr>
            <w:r w:rsidRPr="002620F5">
              <w:rPr>
                <w:rFonts w:eastAsia="Calibri" w:hint="cs"/>
                <w:sz w:val="22"/>
                <w:szCs w:val="22"/>
                <w:rtl/>
              </w:rPr>
              <w:t>האזנה מיוחדת</w:t>
            </w:r>
          </w:p>
        </w:tc>
        <w:tc>
          <w:tcPr>
            <w:tcW w:w="2595"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חסויות</w:t>
            </w:r>
          </w:p>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i/>
                <w:iCs/>
                <w:sz w:val="22"/>
                <w:szCs w:val="22"/>
                <w:rtl/>
              </w:rPr>
            </w:pPr>
          </w:p>
        </w:tc>
        <w:tc>
          <w:tcPr>
            <w:tcW w:w="2831"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2620F5">
              <w:rPr>
                <w:rFonts w:eastAsia="Calibri"/>
                <w:sz w:val="22"/>
                <w:szCs w:val="22"/>
                <w:rtl/>
              </w:rPr>
              <w:t>גורמים פנים</w:t>
            </w:r>
            <w:r w:rsidRPr="002620F5">
              <w:rPr>
                <w:rFonts w:eastAsia="Calibri" w:hint="cs"/>
                <w:sz w:val="22"/>
                <w:szCs w:val="22"/>
                <w:rtl/>
              </w:rPr>
              <w:t>-</w:t>
            </w:r>
            <w:r w:rsidRPr="002620F5">
              <w:rPr>
                <w:rFonts w:eastAsia="Calibri"/>
                <w:sz w:val="22"/>
                <w:szCs w:val="22"/>
                <w:rtl/>
              </w:rPr>
              <w:t>משטרתיים</w:t>
            </w:r>
          </w:p>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i/>
                <w:iCs/>
                <w:sz w:val="22"/>
                <w:szCs w:val="22"/>
                <w:rtl/>
              </w:rPr>
            </w:pPr>
          </w:p>
        </w:tc>
      </w:tr>
      <w:tr w:rsidR="00094094" w:rsidRPr="002620F5" w:rsidTr="00EC0CC5">
        <w:trPr>
          <w:jc w:val="center"/>
        </w:trPr>
        <w:tc>
          <w:tcPr>
            <w:cnfStyle w:val="001000000000" w:firstRow="0" w:lastRow="0" w:firstColumn="1" w:lastColumn="0" w:oddVBand="0" w:evenVBand="0" w:oddHBand="0" w:evenHBand="0" w:firstRowFirstColumn="0" w:firstRowLastColumn="0" w:lastRowFirstColumn="0" w:lastRowLastColumn="0"/>
            <w:tcW w:w="1695" w:type="dxa"/>
          </w:tcPr>
          <w:p w:rsidR="00094094" w:rsidRPr="002620F5" w:rsidRDefault="00094094" w:rsidP="00604C3D">
            <w:pPr>
              <w:spacing w:line="269" w:lineRule="auto"/>
              <w:jc w:val="left"/>
              <w:rPr>
                <w:rFonts w:eastAsia="Calibri"/>
                <w:sz w:val="22"/>
                <w:szCs w:val="22"/>
                <w:rtl/>
              </w:rPr>
            </w:pPr>
            <w:r w:rsidRPr="002620F5">
              <w:rPr>
                <w:rFonts w:eastAsia="Calibri" w:hint="cs"/>
                <w:sz w:val="22"/>
                <w:szCs w:val="22"/>
                <w:rtl/>
              </w:rPr>
              <w:t>עבירות רגישות</w:t>
            </w:r>
          </w:p>
        </w:tc>
        <w:tc>
          <w:tcPr>
            <w:tcW w:w="2595"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העבירות שההאזנה נוגעת להן מעוררות רגישות מיוחדת</w:t>
            </w:r>
          </w:p>
        </w:tc>
        <w:tc>
          <w:tcPr>
            <w:tcW w:w="2831"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רח"ט חקירות או הקצין המוסמך</w:t>
            </w:r>
            <w:r w:rsidR="002620F5">
              <w:rPr>
                <w:rFonts w:eastAsia="Calibri" w:hint="cs"/>
                <w:sz w:val="22"/>
                <w:szCs w:val="22"/>
                <w:rtl/>
              </w:rPr>
              <w:t xml:space="preserve"> </w:t>
            </w:r>
            <w:r w:rsidRPr="002620F5">
              <w:rPr>
                <w:rFonts w:eastAsia="Calibri" w:hint="cs"/>
                <w:sz w:val="22"/>
                <w:szCs w:val="22"/>
                <w:rtl/>
              </w:rPr>
              <w:t>ופרקליטות המדינה</w:t>
            </w:r>
          </w:p>
        </w:tc>
      </w:tr>
      <w:tr w:rsidR="00094094" w:rsidRPr="002620F5" w:rsidTr="00EC0CC5">
        <w:trPr>
          <w:jc w:val="center"/>
        </w:trPr>
        <w:tc>
          <w:tcPr>
            <w:cnfStyle w:val="001000000000" w:firstRow="0" w:lastRow="0" w:firstColumn="1" w:lastColumn="0" w:oddVBand="0" w:evenVBand="0" w:oddHBand="0" w:evenHBand="0" w:firstRowFirstColumn="0" w:firstRowLastColumn="0" w:lastRowFirstColumn="0" w:lastRowLastColumn="0"/>
            <w:tcW w:w="1695" w:type="dxa"/>
          </w:tcPr>
          <w:p w:rsidR="00094094" w:rsidRPr="002620F5" w:rsidRDefault="00094094" w:rsidP="00604C3D">
            <w:pPr>
              <w:spacing w:line="269" w:lineRule="auto"/>
              <w:jc w:val="left"/>
              <w:rPr>
                <w:rFonts w:eastAsia="Calibri"/>
                <w:sz w:val="22"/>
                <w:szCs w:val="22"/>
                <w:rtl/>
              </w:rPr>
            </w:pPr>
            <w:r w:rsidRPr="002620F5">
              <w:rPr>
                <w:rFonts w:eastAsia="Calibri" w:hint="cs"/>
                <w:sz w:val="22"/>
                <w:szCs w:val="22"/>
                <w:rtl/>
              </w:rPr>
              <w:t>מעורב רגיש</w:t>
            </w:r>
          </w:p>
        </w:tc>
        <w:tc>
          <w:tcPr>
            <w:tcW w:w="2595"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 xml:space="preserve">האזנה לבעל מקצוע ששיחותיו חסויות; עיתונאי; אישי ציבור; דרג מדיני - נשיא, ראש הממשלה, שר, סגן שר וחברי כנסת; </w:t>
            </w:r>
          </w:p>
        </w:tc>
        <w:tc>
          <w:tcPr>
            <w:tcW w:w="2831"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יועמ"ש לממשלה או פרקליט המדינה</w:t>
            </w:r>
          </w:p>
        </w:tc>
      </w:tr>
      <w:tr w:rsidR="00094094" w:rsidRPr="002620F5" w:rsidTr="00EC0CC5">
        <w:trPr>
          <w:jc w:val="center"/>
        </w:trPr>
        <w:tc>
          <w:tcPr>
            <w:cnfStyle w:val="001000000000" w:firstRow="0" w:lastRow="0" w:firstColumn="1" w:lastColumn="0" w:oddVBand="0" w:evenVBand="0" w:oddHBand="0" w:evenHBand="0" w:firstRowFirstColumn="0" w:firstRowLastColumn="0" w:lastRowFirstColumn="0" w:lastRowLastColumn="0"/>
            <w:tcW w:w="1695" w:type="dxa"/>
          </w:tcPr>
          <w:p w:rsidR="00094094" w:rsidRPr="002620F5" w:rsidRDefault="00094094" w:rsidP="00604C3D">
            <w:pPr>
              <w:spacing w:line="269" w:lineRule="auto"/>
              <w:jc w:val="left"/>
              <w:rPr>
                <w:rFonts w:eastAsia="Calibri"/>
                <w:sz w:val="22"/>
                <w:szCs w:val="22"/>
                <w:rtl/>
              </w:rPr>
            </w:pPr>
            <w:r w:rsidRPr="002620F5">
              <w:rPr>
                <w:rFonts w:eastAsia="Calibri" w:hint="cs"/>
                <w:sz w:val="22"/>
                <w:szCs w:val="22"/>
                <w:rtl/>
              </w:rPr>
              <w:t>משך האזנה</w:t>
            </w:r>
          </w:p>
        </w:tc>
        <w:tc>
          <w:tcPr>
            <w:tcW w:w="2595"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יותר מ-6 חודשים ליעד האזנה.</w:t>
            </w:r>
          </w:p>
        </w:tc>
        <w:tc>
          <w:tcPr>
            <w:tcW w:w="2831"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ראש אח</w:t>
            </w:r>
            <w:r w:rsidRPr="002620F5">
              <w:rPr>
                <w:rFonts w:eastAsia="Calibri"/>
                <w:sz w:val="22"/>
                <w:szCs w:val="22"/>
                <w:rtl/>
              </w:rPr>
              <w:t>"</w:t>
            </w:r>
            <w:r w:rsidRPr="002620F5">
              <w:rPr>
                <w:rFonts w:eastAsia="Calibri" w:hint="cs"/>
                <w:sz w:val="22"/>
                <w:szCs w:val="22"/>
                <w:rtl/>
              </w:rPr>
              <w:t>ם</w:t>
            </w:r>
          </w:p>
        </w:tc>
      </w:tr>
      <w:tr w:rsidR="00094094" w:rsidRPr="002620F5" w:rsidTr="00EC0CC5">
        <w:trPr>
          <w:jc w:val="center"/>
        </w:trPr>
        <w:tc>
          <w:tcPr>
            <w:cnfStyle w:val="001000000000" w:firstRow="0" w:lastRow="0" w:firstColumn="1" w:lastColumn="0" w:oddVBand="0" w:evenVBand="0" w:oddHBand="0" w:evenHBand="0" w:firstRowFirstColumn="0" w:firstRowLastColumn="0" w:lastRowFirstColumn="0" w:lastRowLastColumn="0"/>
            <w:tcW w:w="1695" w:type="dxa"/>
          </w:tcPr>
          <w:p w:rsidR="00094094" w:rsidRPr="002620F5" w:rsidRDefault="00094094" w:rsidP="00604C3D">
            <w:pPr>
              <w:spacing w:line="269" w:lineRule="auto"/>
              <w:jc w:val="left"/>
              <w:rPr>
                <w:rFonts w:eastAsia="Calibri"/>
                <w:sz w:val="22"/>
                <w:szCs w:val="22"/>
                <w:rtl/>
              </w:rPr>
            </w:pPr>
            <w:r w:rsidRPr="002620F5">
              <w:rPr>
                <w:rFonts w:eastAsia="Calibri" w:hint="cs"/>
                <w:sz w:val="22"/>
                <w:szCs w:val="22"/>
                <w:rtl/>
              </w:rPr>
              <w:t>משך האזנה</w:t>
            </w:r>
          </w:p>
        </w:tc>
        <w:tc>
          <w:tcPr>
            <w:tcW w:w="2595"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יותר משנה</w:t>
            </w:r>
          </w:p>
        </w:tc>
        <w:tc>
          <w:tcPr>
            <w:tcW w:w="2831" w:type="dxa"/>
          </w:tcPr>
          <w:p w:rsidR="00094094" w:rsidRPr="002620F5" w:rsidRDefault="00094094" w:rsidP="00604C3D">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620F5">
              <w:rPr>
                <w:rFonts w:eastAsia="Calibri" w:hint="cs"/>
                <w:sz w:val="22"/>
                <w:szCs w:val="22"/>
                <w:rtl/>
              </w:rPr>
              <w:t>פרקליט מחוז</w:t>
            </w:r>
          </w:p>
        </w:tc>
      </w:tr>
    </w:tbl>
    <w:p w:rsidR="009A1216" w:rsidRPr="00C33ACD" w:rsidRDefault="009A1216" w:rsidP="00F63BA6">
      <w:pPr>
        <w:spacing w:line="269" w:lineRule="auto"/>
        <w:ind w:firstLine="720"/>
      </w:pPr>
      <w:r w:rsidRPr="00BF3877">
        <w:rPr>
          <w:rFonts w:hint="cs"/>
          <w:szCs w:val="20"/>
          <w:rtl/>
        </w:rPr>
        <w:t>על</w:t>
      </w:r>
      <w:r w:rsidRPr="00BF3877">
        <w:rPr>
          <w:szCs w:val="20"/>
          <w:rtl/>
        </w:rPr>
        <w:t xml:space="preserve"> </w:t>
      </w:r>
      <w:r w:rsidRPr="00BF3877">
        <w:rPr>
          <w:rFonts w:hint="cs"/>
          <w:szCs w:val="20"/>
          <w:rtl/>
        </w:rPr>
        <w:t>פי</w:t>
      </w:r>
      <w:r w:rsidRPr="00BF3877">
        <w:rPr>
          <w:szCs w:val="20"/>
          <w:rtl/>
        </w:rPr>
        <w:t xml:space="preserve"> </w:t>
      </w:r>
      <w:r w:rsidRPr="00BF3877">
        <w:rPr>
          <w:rFonts w:hint="cs"/>
          <w:szCs w:val="20"/>
          <w:rtl/>
        </w:rPr>
        <w:t>נתוני</w:t>
      </w:r>
      <w:r w:rsidRPr="00BF3877">
        <w:rPr>
          <w:szCs w:val="20"/>
          <w:rtl/>
        </w:rPr>
        <w:t xml:space="preserve"> </w:t>
      </w:r>
      <w:r w:rsidRPr="00BF3877">
        <w:rPr>
          <w:rFonts w:hint="cs"/>
          <w:szCs w:val="20"/>
          <w:rtl/>
        </w:rPr>
        <w:t>המשטרה</w:t>
      </w:r>
      <w:r w:rsidR="00625039">
        <w:rPr>
          <w:rFonts w:hint="cs"/>
          <w:szCs w:val="20"/>
          <w:rtl/>
        </w:rPr>
        <w:t>,</w:t>
      </w:r>
      <w:r w:rsidRPr="00BF3877">
        <w:rPr>
          <w:szCs w:val="20"/>
        </w:rPr>
        <w:t xml:space="preserve"> </w:t>
      </w:r>
      <w:r w:rsidRPr="00C33ACD">
        <w:rPr>
          <w:szCs w:val="20"/>
          <w:rtl/>
        </w:rPr>
        <w:t>בעיבוד משרד מבקר המדינה</w:t>
      </w:r>
      <w:r w:rsidR="00625039">
        <w:rPr>
          <w:rFonts w:hint="cs"/>
          <w:rtl/>
        </w:rPr>
        <w:t>.</w:t>
      </w:r>
    </w:p>
    <w:p w:rsidR="00613839" w:rsidRDefault="00613839" w:rsidP="00604C3D">
      <w:pPr>
        <w:spacing w:line="269" w:lineRule="auto"/>
        <w:rPr>
          <w:rtl/>
        </w:rPr>
      </w:pPr>
    </w:p>
    <w:p w:rsidR="009A1216" w:rsidRPr="002757F3" w:rsidRDefault="009A1216" w:rsidP="00F63BA6">
      <w:pPr>
        <w:spacing w:line="269" w:lineRule="auto"/>
        <w:ind w:left="340"/>
        <w:rPr>
          <w:rtl/>
        </w:rPr>
      </w:pPr>
      <w:r w:rsidRPr="002757F3">
        <w:rPr>
          <w:rFonts w:hint="cs"/>
          <w:rtl/>
        </w:rPr>
        <w:t xml:space="preserve">אף שהיקף הבקשות הרגישות אינו גדול </w:t>
      </w:r>
      <w:r>
        <w:rPr>
          <w:rFonts w:hint="cs"/>
          <w:rtl/>
        </w:rPr>
        <w:t>בנוגע</w:t>
      </w:r>
      <w:r w:rsidRPr="002757F3">
        <w:rPr>
          <w:rFonts w:hint="cs"/>
          <w:rtl/>
        </w:rPr>
        <w:t xml:space="preserve"> לכלל הבקשות </w:t>
      </w:r>
      <w:r>
        <w:rPr>
          <w:rFonts w:hint="cs"/>
          <w:rtl/>
        </w:rPr>
        <w:t>שבהן טיפלה</w:t>
      </w:r>
      <w:r w:rsidRPr="002757F3">
        <w:rPr>
          <w:rFonts w:hint="cs"/>
          <w:rtl/>
        </w:rPr>
        <w:t xml:space="preserve"> </w:t>
      </w:r>
      <w:r>
        <w:rPr>
          <w:rFonts w:hint="cs"/>
          <w:rtl/>
        </w:rPr>
        <w:t>המשטרה</w:t>
      </w:r>
      <w:r w:rsidRPr="002757F3">
        <w:rPr>
          <w:rFonts w:hint="cs"/>
          <w:rtl/>
        </w:rPr>
        <w:t xml:space="preserve">, רגישותן מחייבת נקיטת זהירות יתרה. משרד מבקר המדינה מצא פערים בטיפול בבקשות רגישות ובאישור הגשתן, כמפורט להלן: </w:t>
      </w:r>
    </w:p>
    <w:p w:rsidR="00613839" w:rsidRDefault="00613839" w:rsidP="00604C3D">
      <w:pPr>
        <w:bidi w:val="0"/>
        <w:spacing w:line="269" w:lineRule="auto"/>
        <w:rPr>
          <w:rFonts w:eastAsiaTheme="majorEastAsia"/>
          <w:bCs/>
          <w:spacing w:val="40"/>
          <w:rtl/>
        </w:rPr>
      </w:pPr>
      <w:r>
        <w:rPr>
          <w:rtl/>
        </w:rPr>
        <w:br w:type="page"/>
      </w:r>
    </w:p>
    <w:p w:rsidR="009A1216" w:rsidRDefault="009A1216" w:rsidP="008C598D">
      <w:pPr>
        <w:pStyle w:val="5"/>
        <w:numPr>
          <w:ilvl w:val="2"/>
          <w:numId w:val="73"/>
        </w:numPr>
        <w:spacing w:line="269" w:lineRule="auto"/>
        <w:ind w:left="707"/>
        <w:rPr>
          <w:rtl/>
        </w:rPr>
      </w:pPr>
      <w:r>
        <w:rPr>
          <w:rFonts w:hint="cs"/>
          <w:rtl/>
        </w:rPr>
        <w:t>אישור הגשת בקשות האזנת סתר בעניינן של עבירות רגישות</w:t>
      </w:r>
    </w:p>
    <w:p w:rsidR="00613839" w:rsidRDefault="00613839" w:rsidP="00604C3D">
      <w:pPr>
        <w:spacing w:line="269" w:lineRule="auto"/>
        <w:rPr>
          <w:rtl/>
        </w:rPr>
      </w:pPr>
      <w:bookmarkStart w:id="283" w:name="_Hlk187838519"/>
    </w:p>
    <w:p w:rsidR="009A1216" w:rsidRDefault="009A1216" w:rsidP="00F63BA6">
      <w:pPr>
        <w:spacing w:line="269" w:lineRule="auto"/>
        <w:ind w:left="680"/>
        <w:rPr>
          <w:rtl/>
        </w:rPr>
      </w:pPr>
      <w:r>
        <w:rPr>
          <w:rtl/>
        </w:rPr>
        <w:t xml:space="preserve">לפי הנחיית פרקליט המדינה בנושא, יש עבירות </w:t>
      </w:r>
      <w:r>
        <w:rPr>
          <w:rFonts w:hint="cs"/>
          <w:rtl/>
        </w:rPr>
        <w:t xml:space="preserve">או עניינים </w:t>
      </w:r>
      <w:r>
        <w:rPr>
          <w:rtl/>
        </w:rPr>
        <w:t>בעל</w:t>
      </w:r>
      <w:r>
        <w:rPr>
          <w:rFonts w:hint="cs"/>
          <w:rtl/>
        </w:rPr>
        <w:t>י</w:t>
      </w:r>
      <w:r>
        <w:rPr>
          <w:rtl/>
        </w:rPr>
        <w:t xml:space="preserve"> רגישות מיוחדת המחייב</w:t>
      </w:r>
      <w:r>
        <w:rPr>
          <w:rFonts w:hint="cs"/>
          <w:rtl/>
        </w:rPr>
        <w:t>ים</w:t>
      </w:r>
      <w:r>
        <w:rPr>
          <w:rtl/>
        </w:rPr>
        <w:t xml:space="preserve"> אישור פרקליט </w:t>
      </w:r>
      <w:r>
        <w:rPr>
          <w:rFonts w:hint="cs"/>
          <w:rtl/>
        </w:rPr>
        <w:t>לפני</w:t>
      </w:r>
      <w:r>
        <w:rPr>
          <w:rtl/>
        </w:rPr>
        <w:t xml:space="preserve"> פתיחה בחקירה פלילית</w:t>
      </w:r>
      <w:r>
        <w:rPr>
          <w:rStyle w:val="af"/>
          <w:rtl/>
        </w:rPr>
        <w:footnoteReference w:id="114"/>
      </w:r>
      <w:r>
        <w:rPr>
          <w:rtl/>
        </w:rPr>
        <w:t xml:space="preserve"> (</w:t>
      </w:r>
      <w:bookmarkEnd w:id="283"/>
      <w:r>
        <w:rPr>
          <w:rtl/>
        </w:rPr>
        <w:t>להלן - עבירות רגישות).</w:t>
      </w:r>
      <w:r w:rsidR="00613839">
        <w:rPr>
          <w:rFonts w:hint="cs"/>
          <w:rtl/>
        </w:rPr>
        <w:t xml:space="preserve"> </w:t>
      </w:r>
      <w:r>
        <w:rPr>
          <w:rFonts w:hint="cs"/>
          <w:rtl/>
        </w:rPr>
        <w:t>הנחייה זו מתייחסת לפתיחת תיק חקירה פלילי בלבד, ואין היא מתייחסת לטיפול בתיק פרשייה מודיעינית.</w:t>
      </w:r>
    </w:p>
    <w:p w:rsidR="00613839" w:rsidRDefault="00613839" w:rsidP="00F63BA6">
      <w:pPr>
        <w:spacing w:line="269" w:lineRule="auto"/>
        <w:ind w:left="680"/>
        <w:rPr>
          <w:rtl/>
        </w:rPr>
      </w:pPr>
    </w:p>
    <w:p w:rsidR="009A1216" w:rsidRDefault="009A1216" w:rsidP="00F63BA6">
      <w:pPr>
        <w:spacing w:line="269" w:lineRule="auto"/>
        <w:ind w:left="680"/>
        <w:rPr>
          <w:rtl/>
        </w:rPr>
      </w:pPr>
      <w:r>
        <w:rPr>
          <w:rtl/>
        </w:rPr>
        <w:t>לפי נ</w:t>
      </w:r>
      <w:r>
        <w:rPr>
          <w:rFonts w:hint="cs"/>
          <w:rtl/>
        </w:rPr>
        <w:t>ו</w:t>
      </w:r>
      <w:r>
        <w:rPr>
          <w:rtl/>
        </w:rPr>
        <w:t xml:space="preserve">הלי המשטרה, אם נדרשת האזנה </w:t>
      </w:r>
      <w:r>
        <w:rPr>
          <w:rFonts w:hint="cs"/>
          <w:rtl/>
        </w:rPr>
        <w:t>לגורמים המעורבים בעניין הנוגע</w:t>
      </w:r>
      <w:r>
        <w:rPr>
          <w:rtl/>
        </w:rPr>
        <w:t xml:space="preserve"> לעבירות רגישות יש לפנות לפרקליטות לקבלת אישורה </w:t>
      </w:r>
      <w:r>
        <w:rPr>
          <w:rFonts w:hint="cs"/>
          <w:rtl/>
        </w:rPr>
        <w:t>לפני</w:t>
      </w:r>
      <w:r>
        <w:rPr>
          <w:rtl/>
        </w:rPr>
        <w:t xml:space="preserve"> פתיחת החקירה או </w:t>
      </w:r>
      <w:r>
        <w:rPr>
          <w:rFonts w:hint="cs"/>
          <w:rtl/>
        </w:rPr>
        <w:t>לפני ביצוע פעולת איסוף תוצרי האזנת הסתר</w:t>
      </w:r>
      <w:r>
        <w:rPr>
          <w:rtl/>
        </w:rPr>
        <w:t xml:space="preserve">. </w:t>
      </w:r>
      <w:r>
        <w:rPr>
          <w:rFonts w:hint="cs"/>
          <w:rtl/>
        </w:rPr>
        <w:t>לפיכך המשטרה נדרשת לקבל אישור פרקליט בשני מועדים שונים בהתאם לסוג התיק המשטרתי שהיא מטפלת בו:</w:t>
      </w:r>
    </w:p>
    <w:p w:rsidR="00613839" w:rsidRDefault="00613839" w:rsidP="00604C3D">
      <w:pPr>
        <w:spacing w:line="269" w:lineRule="auto"/>
        <w:rPr>
          <w:rtl/>
        </w:rPr>
      </w:pPr>
    </w:p>
    <w:p w:rsidR="009A1216" w:rsidRDefault="009A1216" w:rsidP="008C598D">
      <w:pPr>
        <w:pStyle w:val="af2"/>
        <w:numPr>
          <w:ilvl w:val="3"/>
          <w:numId w:val="73"/>
        </w:numPr>
        <w:spacing w:line="269" w:lineRule="auto"/>
        <w:ind w:left="1095"/>
      </w:pPr>
      <w:r>
        <w:rPr>
          <w:rFonts w:hint="cs"/>
          <w:rtl/>
        </w:rPr>
        <w:t xml:space="preserve">אם מתבקשת האזנת סתר בתיק חקירה פלילי הנוגע לעבירה רגישה, עוד לפני הגשת הבקשה להאזנת סתר המשטרה נדרשת לקבל אישור פרקליט לפתיחת תיק החקירה שדן במהות העבירות. </w:t>
      </w:r>
    </w:p>
    <w:p w:rsidR="00613839" w:rsidRPr="00192E2B" w:rsidRDefault="00613839" w:rsidP="00604C3D">
      <w:pPr>
        <w:spacing w:line="269" w:lineRule="auto"/>
      </w:pPr>
    </w:p>
    <w:p w:rsidR="009A1216" w:rsidRDefault="009A1216" w:rsidP="008C598D">
      <w:pPr>
        <w:pStyle w:val="af2"/>
        <w:numPr>
          <w:ilvl w:val="3"/>
          <w:numId w:val="73"/>
        </w:numPr>
        <w:spacing w:line="269" w:lineRule="auto"/>
        <w:ind w:left="1095"/>
      </w:pPr>
      <w:r>
        <w:rPr>
          <w:rFonts w:hint="cs"/>
          <w:rtl/>
        </w:rPr>
        <w:t>אם מתבקשת האזנת סתר בפרשייה מודיעינית הנוגעת לעבירה רגישה, אז לפני הגשת הבקשה לצו, המשטרה</w:t>
      </w:r>
      <w:r>
        <w:rPr>
          <w:rtl/>
        </w:rPr>
        <w:t xml:space="preserve"> </w:t>
      </w:r>
      <w:r>
        <w:rPr>
          <w:rFonts w:hint="cs"/>
          <w:rtl/>
        </w:rPr>
        <w:t>אינה</w:t>
      </w:r>
      <w:r>
        <w:rPr>
          <w:rtl/>
        </w:rPr>
        <w:t xml:space="preserve"> </w:t>
      </w:r>
      <w:r>
        <w:rPr>
          <w:rFonts w:hint="cs"/>
          <w:rtl/>
        </w:rPr>
        <w:t xml:space="preserve">חייבת לקבל </w:t>
      </w:r>
      <w:r>
        <w:rPr>
          <w:rtl/>
        </w:rPr>
        <w:t>אישור פרקליט</w:t>
      </w:r>
      <w:r>
        <w:rPr>
          <w:rFonts w:hint="cs"/>
          <w:rtl/>
        </w:rPr>
        <w:t>; לאחר שנפתחה הפרשייה המודיעינית, הוגשה בקשת האזנת הסתר ואושרה, המשטרה תידרש לקבל את אישור הפרקליט רק לפני איסוף תוצרי ההאזנה בעמדה המשטרתית</w:t>
      </w:r>
      <w:r>
        <w:rPr>
          <w:rtl/>
        </w:rPr>
        <w:t xml:space="preserve">. </w:t>
      </w:r>
    </w:p>
    <w:p w:rsidR="00613839" w:rsidRDefault="00613839" w:rsidP="00604C3D">
      <w:pPr>
        <w:spacing w:line="269" w:lineRule="auto"/>
        <w:rPr>
          <w:rtl/>
        </w:rPr>
      </w:pPr>
    </w:p>
    <w:p w:rsidR="009A1216" w:rsidRDefault="009A1216" w:rsidP="00F4324E">
      <w:pPr>
        <w:spacing w:line="269" w:lineRule="auto"/>
        <w:ind w:left="1095"/>
        <w:rPr>
          <w:rtl/>
        </w:rPr>
      </w:pPr>
      <w:r>
        <w:rPr>
          <w:rFonts w:hint="cs"/>
          <w:rtl/>
        </w:rPr>
        <w:t>להלן תרשים המתאר את תהליך פתיחת תיקי חקירה ופרשיות מודיעין, הגשת בקשה להאזנת סתר, קבלת אישורי פרקליט, ואיסוף תוצרי ההאזנה בהתאם לנהלי המשטרה:</w:t>
      </w:r>
    </w:p>
    <w:p w:rsidR="00783BFA" w:rsidRDefault="00783BFA" w:rsidP="00604C3D">
      <w:pPr>
        <w:bidi w:val="0"/>
        <w:spacing w:line="269" w:lineRule="auto"/>
      </w:pPr>
      <w:r>
        <w:rPr>
          <w:rtl/>
        </w:rPr>
        <w:br w:type="page"/>
      </w:r>
    </w:p>
    <w:p w:rsidR="009A1216" w:rsidRDefault="009A1216" w:rsidP="00604C3D">
      <w:pPr>
        <w:spacing w:line="269" w:lineRule="auto"/>
        <w:ind w:left="-2"/>
        <w:jc w:val="center"/>
        <w:rPr>
          <w:rtl/>
        </w:rPr>
      </w:pPr>
      <w:r w:rsidRPr="009179DF">
        <w:rPr>
          <w:rFonts w:hint="cs"/>
          <w:rtl/>
        </w:rPr>
        <w:t>תרשים</w:t>
      </w:r>
      <w:r w:rsidR="00B47E58">
        <w:rPr>
          <w:rFonts w:hint="cs"/>
          <w:rtl/>
        </w:rPr>
        <w:t xml:space="preserve"> </w:t>
      </w:r>
      <w:r w:rsidR="00053581">
        <w:rPr>
          <w:rFonts w:hint="cs"/>
          <w:rtl/>
        </w:rPr>
        <w:t>9</w:t>
      </w:r>
      <w:r w:rsidRPr="009179DF">
        <w:rPr>
          <w:rFonts w:hint="cs"/>
          <w:rtl/>
        </w:rPr>
        <w:t>:</w:t>
      </w:r>
      <w:r>
        <w:rPr>
          <w:rFonts w:hint="cs"/>
          <w:b/>
          <w:bCs/>
          <w:rtl/>
        </w:rPr>
        <w:t xml:space="preserve"> </w:t>
      </w:r>
      <w:r w:rsidR="00647D09">
        <w:rPr>
          <w:rFonts w:hint="cs"/>
          <w:b/>
          <w:bCs/>
          <w:rtl/>
        </w:rPr>
        <w:t>התהליכים לפתיחת</w:t>
      </w:r>
      <w:r w:rsidR="00647D09" w:rsidRPr="009179DF">
        <w:rPr>
          <w:rFonts w:hint="cs"/>
          <w:b/>
          <w:bCs/>
          <w:rtl/>
        </w:rPr>
        <w:t xml:space="preserve"> </w:t>
      </w:r>
      <w:r w:rsidRPr="009179DF">
        <w:rPr>
          <w:rFonts w:hint="cs"/>
          <w:b/>
          <w:bCs/>
          <w:rtl/>
        </w:rPr>
        <w:t>תיקי חקירה ו</w:t>
      </w:r>
      <w:r w:rsidR="00647D09">
        <w:rPr>
          <w:rFonts w:hint="cs"/>
          <w:b/>
          <w:bCs/>
          <w:rtl/>
        </w:rPr>
        <w:t xml:space="preserve">תיקי </w:t>
      </w:r>
      <w:r w:rsidRPr="009179DF">
        <w:rPr>
          <w:rFonts w:hint="cs"/>
          <w:b/>
          <w:bCs/>
          <w:rtl/>
        </w:rPr>
        <w:t xml:space="preserve">פרשיות מודיעין, </w:t>
      </w:r>
      <w:r w:rsidR="00F66DE5">
        <w:rPr>
          <w:rFonts w:hint="cs"/>
          <w:b/>
          <w:bCs/>
          <w:rtl/>
        </w:rPr>
        <w:t>ל</w:t>
      </w:r>
      <w:r w:rsidRPr="009179DF">
        <w:rPr>
          <w:rFonts w:hint="cs"/>
          <w:b/>
          <w:bCs/>
          <w:rtl/>
        </w:rPr>
        <w:t>קבלת אישורי פרקליט ו</w:t>
      </w:r>
      <w:r w:rsidR="00F66DE5">
        <w:rPr>
          <w:rFonts w:hint="cs"/>
          <w:b/>
          <w:bCs/>
          <w:rtl/>
        </w:rPr>
        <w:t>ל</w:t>
      </w:r>
      <w:r>
        <w:rPr>
          <w:rFonts w:hint="cs"/>
          <w:b/>
          <w:bCs/>
          <w:rtl/>
        </w:rPr>
        <w:t>איסוף תוצרי ה</w:t>
      </w:r>
      <w:r w:rsidRPr="009179DF">
        <w:rPr>
          <w:rFonts w:hint="cs"/>
          <w:b/>
          <w:bCs/>
          <w:rtl/>
        </w:rPr>
        <w:t>האזנ</w:t>
      </w:r>
      <w:r>
        <w:rPr>
          <w:rFonts w:hint="cs"/>
          <w:b/>
          <w:bCs/>
          <w:rtl/>
        </w:rPr>
        <w:t>ה</w:t>
      </w:r>
      <w:r w:rsidRPr="009179DF">
        <w:rPr>
          <w:rFonts w:hint="cs"/>
          <w:b/>
          <w:bCs/>
          <w:rtl/>
        </w:rPr>
        <w:t xml:space="preserve"> </w:t>
      </w:r>
    </w:p>
    <w:p w:rsidR="009A1216" w:rsidRDefault="009A1216" w:rsidP="00604C3D">
      <w:pPr>
        <w:spacing w:line="269" w:lineRule="auto"/>
        <w:ind w:left="-2"/>
        <w:jc w:val="center"/>
        <w:rPr>
          <w:rtl/>
        </w:rPr>
      </w:pPr>
      <w:r>
        <w:rPr>
          <w:noProof/>
          <w:rtl/>
          <w:lang w:val="he-IL"/>
        </w:rPr>
        <w:drawing>
          <wp:inline distT="0" distB="0" distL="0" distR="0" wp14:anchorId="49972F87" wp14:editId="480732D2">
            <wp:extent cx="5220335" cy="5290185"/>
            <wp:effectExtent l="0" t="0" r="0" b="571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BC88E0.tmp"/>
                    <pic:cNvPicPr/>
                  </pic:nvPicPr>
                  <pic:blipFill>
                    <a:blip r:embed="rId20">
                      <a:extLst>
                        <a:ext uri="{28A0092B-C50C-407E-A947-70E740481C1C}">
                          <a14:useLocalDpi xmlns:a14="http://schemas.microsoft.com/office/drawing/2010/main" val="0"/>
                        </a:ext>
                      </a:extLst>
                    </a:blip>
                    <a:stretch>
                      <a:fillRect/>
                    </a:stretch>
                  </pic:blipFill>
                  <pic:spPr>
                    <a:xfrm>
                      <a:off x="0" y="0"/>
                      <a:ext cx="5220335" cy="5290185"/>
                    </a:xfrm>
                    <a:prstGeom prst="rect">
                      <a:avLst/>
                    </a:prstGeom>
                  </pic:spPr>
                </pic:pic>
              </a:graphicData>
            </a:graphic>
          </wp:inline>
        </w:drawing>
      </w:r>
    </w:p>
    <w:p w:rsidR="009A1216" w:rsidRDefault="009A1216" w:rsidP="00604C3D">
      <w:pPr>
        <w:spacing w:line="269" w:lineRule="auto"/>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sidR="007D700C">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746A11">
        <w:rPr>
          <w:noProof/>
          <w:rtl/>
        </w:rPr>
        <w:t>.</w:t>
      </w:r>
    </w:p>
    <w:p w:rsidR="00613839" w:rsidRDefault="00613839" w:rsidP="00604C3D">
      <w:pPr>
        <w:spacing w:line="269" w:lineRule="auto"/>
        <w:rPr>
          <w:b/>
          <w:bCs/>
          <w:rtl/>
        </w:rPr>
      </w:pPr>
    </w:p>
    <w:p w:rsidR="009A1216" w:rsidRDefault="009A1216" w:rsidP="00F4324E">
      <w:pPr>
        <w:spacing w:line="269" w:lineRule="auto"/>
        <w:ind w:left="1132"/>
        <w:rPr>
          <w:b/>
          <w:bCs/>
          <w:rtl/>
        </w:rPr>
      </w:pPr>
      <w:r w:rsidRPr="00D12393">
        <w:rPr>
          <w:rFonts w:hint="cs"/>
          <w:b/>
          <w:bCs/>
          <w:rtl/>
        </w:rPr>
        <w:t xml:space="preserve">המשטרה קבעה בנהליה שני מועדים שונים שבהם חייבים לקבל אישור פרקליט בהתאם לסוג התיק המטופל - </w:t>
      </w:r>
      <w:bookmarkStart w:id="284" w:name="_Hlk187838628"/>
      <w:r w:rsidRPr="00D12393">
        <w:rPr>
          <w:rFonts w:hint="cs"/>
          <w:b/>
          <w:bCs/>
          <w:rtl/>
        </w:rPr>
        <w:t>בתיק חקירה יתקבל אישור</w:t>
      </w:r>
      <w:r>
        <w:rPr>
          <w:rFonts w:hint="cs"/>
          <w:b/>
          <w:bCs/>
          <w:rtl/>
        </w:rPr>
        <w:t xml:space="preserve"> הפרקליט</w:t>
      </w:r>
      <w:r w:rsidRPr="00D12393">
        <w:rPr>
          <w:rFonts w:hint="cs"/>
          <w:b/>
          <w:bCs/>
          <w:rtl/>
        </w:rPr>
        <w:t xml:space="preserve"> עם פתיחתו </w:t>
      </w:r>
      <w:r>
        <w:rPr>
          <w:rFonts w:hint="cs"/>
          <w:b/>
          <w:bCs/>
          <w:rtl/>
        </w:rPr>
        <w:t>ולפני</w:t>
      </w:r>
      <w:r w:rsidRPr="00D12393">
        <w:rPr>
          <w:rFonts w:hint="cs"/>
          <w:b/>
          <w:bCs/>
          <w:rtl/>
        </w:rPr>
        <w:t xml:space="preserve"> הגשת בקשות להאזנת סתר; ובפרשייה מודיעינית יתקבל אישור</w:t>
      </w:r>
      <w:r>
        <w:rPr>
          <w:rFonts w:hint="cs"/>
          <w:b/>
          <w:bCs/>
          <w:rtl/>
        </w:rPr>
        <w:t xml:space="preserve"> הפרקליט</w:t>
      </w:r>
      <w:r w:rsidRPr="00D12393">
        <w:rPr>
          <w:rFonts w:hint="cs"/>
          <w:b/>
          <w:bCs/>
          <w:rtl/>
        </w:rPr>
        <w:t xml:space="preserve"> רק בעת ביצוע פעולת איסוף תוצרי האזנת סתר</w:t>
      </w:r>
      <w:r>
        <w:rPr>
          <w:rFonts w:hint="cs"/>
          <w:b/>
          <w:bCs/>
          <w:rtl/>
        </w:rPr>
        <w:t>, קרי העלאת עמדת האזנת סתר לשמע או שימוש בכלי טכנולוגי</w:t>
      </w:r>
      <w:bookmarkEnd w:id="284"/>
      <w:r w:rsidRPr="00D12393">
        <w:rPr>
          <w:rFonts w:hint="cs"/>
          <w:b/>
          <w:bCs/>
          <w:rtl/>
        </w:rPr>
        <w:t xml:space="preserve">. </w:t>
      </w:r>
    </w:p>
    <w:p w:rsidR="009A1216" w:rsidRDefault="009A1216" w:rsidP="00F4324E">
      <w:pPr>
        <w:pStyle w:val="a5"/>
        <w:spacing w:line="269" w:lineRule="auto"/>
        <w:ind w:left="1132"/>
      </w:pPr>
    </w:p>
    <w:p w:rsidR="009A1216" w:rsidRDefault="009A1216" w:rsidP="00F4324E">
      <w:pPr>
        <w:spacing w:line="269" w:lineRule="auto"/>
        <w:ind w:left="1132"/>
        <w:rPr>
          <w:rtl/>
        </w:rPr>
      </w:pPr>
      <w:r>
        <w:rPr>
          <w:rtl/>
        </w:rPr>
        <w:t xml:space="preserve">המשטרה הסבירה בתשובתה כי אכן נקבעו מועדים שונים לקבלת אישור פרקליט. זאת </w:t>
      </w:r>
      <w:r w:rsidRPr="00610164">
        <w:rPr>
          <w:rtl/>
        </w:rPr>
        <w:t>בשל השונות המהותית בין הטיפול בתיק חקירה לבין הטיפול בפרשייה מודיעינית</w:t>
      </w:r>
      <w:r>
        <w:rPr>
          <w:rtl/>
        </w:rPr>
        <w:t>.</w:t>
      </w:r>
    </w:p>
    <w:p w:rsidR="009A1216" w:rsidRDefault="009A1216" w:rsidP="00F4324E">
      <w:pPr>
        <w:pStyle w:val="a5"/>
        <w:spacing w:line="269" w:lineRule="auto"/>
        <w:ind w:left="1132"/>
      </w:pPr>
    </w:p>
    <w:p w:rsidR="009A1216" w:rsidRDefault="009A1216" w:rsidP="00F4324E">
      <w:pPr>
        <w:spacing w:line="269" w:lineRule="auto"/>
        <w:ind w:left="1132"/>
        <w:rPr>
          <w:b/>
          <w:bCs/>
          <w:rtl/>
        </w:rPr>
      </w:pPr>
      <w:r>
        <w:rPr>
          <w:rFonts w:hint="cs"/>
          <w:rtl/>
        </w:rPr>
        <w:t xml:space="preserve">פרקליטות המדינה מסרה כי במקרים שבהם יידרש אישור פרקליט, הוא יינתן לפני פתיחה בחקירה בתיקי חקירה פליליים ופרשיות מודיעיניות כאחד, וזאת לפני ביצוע פעולות המגלמות הפעלת סמכות לפי דין. </w:t>
      </w:r>
    </w:p>
    <w:p w:rsidR="00613839" w:rsidRDefault="00613839" w:rsidP="00F4324E">
      <w:pPr>
        <w:spacing w:line="269" w:lineRule="auto"/>
        <w:ind w:left="1132"/>
        <w:rPr>
          <w:b/>
          <w:bCs/>
          <w:rtl/>
        </w:rPr>
      </w:pPr>
    </w:p>
    <w:p w:rsidR="009A1216" w:rsidRDefault="009A1216" w:rsidP="00F4324E">
      <w:pPr>
        <w:spacing w:line="269" w:lineRule="auto"/>
        <w:ind w:left="1132"/>
        <w:rPr>
          <w:b/>
          <w:bCs/>
          <w:rtl/>
        </w:rPr>
      </w:pPr>
      <w:r>
        <w:rPr>
          <w:rFonts w:hint="cs"/>
          <w:b/>
          <w:bCs/>
          <w:rtl/>
        </w:rPr>
        <w:t>ב</w:t>
      </w:r>
      <w:r w:rsidRPr="00D12393">
        <w:rPr>
          <w:b/>
          <w:bCs/>
          <w:rtl/>
        </w:rPr>
        <w:t>פרשייה מודיעינית</w:t>
      </w:r>
      <w:r>
        <w:rPr>
          <w:rFonts w:hint="cs"/>
          <w:b/>
          <w:bCs/>
          <w:rtl/>
        </w:rPr>
        <w:t xml:space="preserve"> הנוגעת לעבירה רגישה</w:t>
      </w:r>
      <w:r w:rsidRPr="00D12393">
        <w:rPr>
          <w:b/>
          <w:bCs/>
          <w:rtl/>
        </w:rPr>
        <w:t xml:space="preserve"> </w:t>
      </w:r>
      <w:r>
        <w:rPr>
          <w:rFonts w:hint="cs"/>
          <w:b/>
          <w:bCs/>
          <w:rtl/>
        </w:rPr>
        <w:t>וחמורה מסוג פשע ש</w:t>
      </w:r>
      <w:r w:rsidRPr="00D12393">
        <w:rPr>
          <w:b/>
          <w:bCs/>
          <w:rtl/>
        </w:rPr>
        <w:t xml:space="preserve">בה נדרשת האזנת סתר </w:t>
      </w:r>
      <w:r>
        <w:rPr>
          <w:rFonts w:hint="cs"/>
          <w:b/>
          <w:bCs/>
          <w:rtl/>
        </w:rPr>
        <w:t>גלומה מורכבות משפטית ייחודית</w:t>
      </w:r>
      <w:r w:rsidRPr="00D12393">
        <w:rPr>
          <w:b/>
          <w:bCs/>
          <w:rtl/>
        </w:rPr>
        <w:t xml:space="preserve">. </w:t>
      </w:r>
      <w:r w:rsidRPr="00D12393">
        <w:rPr>
          <w:rFonts w:hint="cs"/>
          <w:b/>
          <w:bCs/>
          <w:rtl/>
        </w:rPr>
        <w:t>לפיכך</w:t>
      </w:r>
      <w:r>
        <w:rPr>
          <w:rFonts w:hint="cs"/>
          <w:b/>
          <w:bCs/>
          <w:rtl/>
        </w:rPr>
        <w:t>,</w:t>
      </w:r>
      <w:r w:rsidRPr="00D12393">
        <w:rPr>
          <w:b/>
          <w:bCs/>
          <w:rtl/>
        </w:rPr>
        <w:t xml:space="preserve"> </w:t>
      </w:r>
      <w:r w:rsidRPr="00A37BA5">
        <w:rPr>
          <w:rFonts w:hint="cs"/>
          <w:b/>
          <w:bCs/>
          <w:rtl/>
        </w:rPr>
        <w:t>קיימת חשיבות לכך</w:t>
      </w:r>
      <w:r w:rsidRPr="00A37BA5">
        <w:rPr>
          <w:b/>
          <w:bCs/>
          <w:rtl/>
        </w:rPr>
        <w:t xml:space="preserve"> </w:t>
      </w:r>
      <w:r>
        <w:rPr>
          <w:rFonts w:hint="cs"/>
          <w:b/>
          <w:bCs/>
          <w:rtl/>
        </w:rPr>
        <w:t xml:space="preserve">שהמשטרה והפרקליטות יבחנו מבעוד מועד האם נכון לפתוח </w:t>
      </w:r>
      <w:r w:rsidRPr="00D12393">
        <w:rPr>
          <w:b/>
          <w:bCs/>
          <w:rtl/>
        </w:rPr>
        <w:t xml:space="preserve">תיק חקירה פלילי בעניינה. </w:t>
      </w:r>
      <w:r>
        <w:rPr>
          <w:b/>
          <w:bCs/>
          <w:rtl/>
        </w:rPr>
        <w:t>כדי</w:t>
      </w:r>
      <w:r w:rsidRPr="00D12393">
        <w:rPr>
          <w:b/>
          <w:bCs/>
          <w:rtl/>
        </w:rPr>
        <w:t xml:space="preserve"> לפשט את התהליך</w:t>
      </w:r>
      <w:r w:rsidRPr="00D12393">
        <w:rPr>
          <w:rFonts w:hint="cs"/>
          <w:b/>
          <w:bCs/>
          <w:rtl/>
        </w:rPr>
        <w:t>,</w:t>
      </w:r>
      <w:r w:rsidRPr="00D12393">
        <w:rPr>
          <w:b/>
          <w:bCs/>
          <w:rtl/>
        </w:rPr>
        <w:t xml:space="preserve"> להבטיח </w:t>
      </w:r>
      <w:r w:rsidRPr="00D12393">
        <w:rPr>
          <w:rFonts w:hint="cs"/>
          <w:b/>
          <w:bCs/>
          <w:rtl/>
        </w:rPr>
        <w:t xml:space="preserve">שמירה על כללי </w:t>
      </w:r>
      <w:r w:rsidRPr="00D12393">
        <w:rPr>
          <w:b/>
          <w:bCs/>
          <w:rtl/>
        </w:rPr>
        <w:t>מ</w:t>
      </w:r>
      <w:r w:rsidRPr="00D12393">
        <w:rPr>
          <w:rFonts w:hint="cs"/>
          <w:b/>
          <w:bCs/>
          <w:rtl/>
        </w:rPr>
        <w:t>י</w:t>
      </w:r>
      <w:r w:rsidRPr="00D12393">
        <w:rPr>
          <w:b/>
          <w:bCs/>
          <w:rtl/>
        </w:rPr>
        <w:t xml:space="preserve">נהל תקין ויישום </w:t>
      </w:r>
      <w:r w:rsidRPr="00D12393">
        <w:rPr>
          <w:rFonts w:hint="cs"/>
          <w:b/>
          <w:bCs/>
          <w:rtl/>
        </w:rPr>
        <w:t>של</w:t>
      </w:r>
      <w:r w:rsidRPr="00D12393">
        <w:rPr>
          <w:b/>
          <w:bCs/>
          <w:rtl/>
        </w:rPr>
        <w:t xml:space="preserve"> הנחיית פרקליט המדינה, מוצע </w:t>
      </w:r>
      <w:r w:rsidRPr="00D12393">
        <w:rPr>
          <w:rFonts w:hint="cs"/>
          <w:b/>
          <w:bCs/>
          <w:rtl/>
        </w:rPr>
        <w:t>כי</w:t>
      </w:r>
      <w:r w:rsidRPr="00D12393">
        <w:rPr>
          <w:b/>
          <w:bCs/>
          <w:rtl/>
        </w:rPr>
        <w:t xml:space="preserve"> הפרקליטות </w:t>
      </w:r>
      <w:r w:rsidRPr="00D12393">
        <w:rPr>
          <w:rFonts w:hint="cs"/>
          <w:b/>
          <w:bCs/>
          <w:rtl/>
        </w:rPr>
        <w:t>תקבע</w:t>
      </w:r>
      <w:r w:rsidRPr="00D12393">
        <w:rPr>
          <w:b/>
          <w:bCs/>
          <w:rtl/>
        </w:rPr>
        <w:t xml:space="preserve"> </w:t>
      </w:r>
      <w:r w:rsidRPr="00D12393">
        <w:rPr>
          <w:rFonts w:hint="cs"/>
          <w:b/>
          <w:bCs/>
          <w:rtl/>
        </w:rPr>
        <w:t>ש</w:t>
      </w:r>
      <w:r w:rsidRPr="00D12393">
        <w:rPr>
          <w:b/>
          <w:bCs/>
          <w:rtl/>
        </w:rPr>
        <w:t xml:space="preserve">אישור פרקליט </w:t>
      </w:r>
      <w:r w:rsidRPr="00D12393">
        <w:rPr>
          <w:rFonts w:hint="cs"/>
          <w:b/>
          <w:bCs/>
          <w:rtl/>
        </w:rPr>
        <w:t>לגבי עבירות רגישות יתקבל</w:t>
      </w:r>
      <w:r w:rsidRPr="00D12393">
        <w:rPr>
          <w:b/>
          <w:bCs/>
          <w:rtl/>
        </w:rPr>
        <w:t xml:space="preserve"> במועד אחיד </w:t>
      </w:r>
      <w:r w:rsidRPr="00D12393">
        <w:rPr>
          <w:rFonts w:hint="cs"/>
          <w:b/>
          <w:bCs/>
          <w:rtl/>
        </w:rPr>
        <w:t xml:space="preserve">הן </w:t>
      </w:r>
      <w:r w:rsidRPr="00D12393">
        <w:rPr>
          <w:b/>
          <w:bCs/>
          <w:rtl/>
        </w:rPr>
        <w:t>בפרשיות מודיעיניות ו</w:t>
      </w:r>
      <w:r w:rsidRPr="00D12393">
        <w:rPr>
          <w:rFonts w:hint="cs"/>
          <w:b/>
          <w:bCs/>
          <w:rtl/>
        </w:rPr>
        <w:t xml:space="preserve">הן </w:t>
      </w:r>
      <w:r w:rsidRPr="00D12393">
        <w:rPr>
          <w:b/>
          <w:bCs/>
          <w:rtl/>
        </w:rPr>
        <w:t>בתיקי חקירה</w:t>
      </w:r>
      <w:r>
        <w:rPr>
          <w:rFonts w:hint="cs"/>
          <w:b/>
          <w:bCs/>
          <w:rtl/>
        </w:rPr>
        <w:t>, וכי המשטרה תעגן את המועד האמור בנהליה.</w:t>
      </w:r>
      <w:r w:rsidRPr="00D12393">
        <w:rPr>
          <w:b/>
          <w:bCs/>
          <w:rtl/>
        </w:rPr>
        <w:t xml:space="preserve"> </w:t>
      </w:r>
    </w:p>
    <w:p w:rsidR="00613839" w:rsidRPr="00192E2B" w:rsidRDefault="00613839" w:rsidP="00F4324E">
      <w:pPr>
        <w:spacing w:line="269" w:lineRule="auto"/>
        <w:ind w:left="1132"/>
        <w:rPr>
          <w:rtl/>
        </w:rPr>
      </w:pPr>
    </w:p>
    <w:p w:rsidR="009A1216" w:rsidRPr="00192E2B" w:rsidRDefault="009A1216" w:rsidP="00F4324E">
      <w:pPr>
        <w:spacing w:line="269" w:lineRule="auto"/>
        <w:ind w:left="1132"/>
        <w:rPr>
          <w:rtl/>
        </w:rPr>
      </w:pPr>
      <w:r w:rsidRPr="00192E2B">
        <w:rPr>
          <w:rFonts w:hint="eastAsia"/>
          <w:rtl/>
        </w:rPr>
        <w:t>משרד</w:t>
      </w:r>
      <w:r w:rsidRPr="00192E2B">
        <w:rPr>
          <w:rtl/>
        </w:rPr>
        <w:t xml:space="preserve"> </w:t>
      </w:r>
      <w:r w:rsidRPr="00192E2B">
        <w:rPr>
          <w:rFonts w:hint="eastAsia"/>
          <w:rtl/>
        </w:rPr>
        <w:t>מבקר</w:t>
      </w:r>
      <w:r w:rsidRPr="00192E2B">
        <w:rPr>
          <w:rtl/>
        </w:rPr>
        <w:t xml:space="preserve"> </w:t>
      </w:r>
      <w:r w:rsidRPr="00192E2B">
        <w:rPr>
          <w:rFonts w:hint="eastAsia"/>
          <w:rtl/>
        </w:rPr>
        <w:t>המדינה</w:t>
      </w:r>
      <w:r w:rsidRPr="00192E2B">
        <w:rPr>
          <w:rtl/>
        </w:rPr>
        <w:t xml:space="preserve"> </w:t>
      </w:r>
      <w:r w:rsidRPr="00192E2B">
        <w:rPr>
          <w:rFonts w:hint="eastAsia"/>
          <w:rtl/>
        </w:rPr>
        <w:t>איתר</w:t>
      </w:r>
      <w:r w:rsidRPr="00192E2B">
        <w:rPr>
          <w:rtl/>
        </w:rPr>
        <w:t xml:space="preserve"> </w:t>
      </w:r>
      <w:r w:rsidRPr="00192E2B">
        <w:rPr>
          <w:rFonts w:hint="eastAsia"/>
          <w:rtl/>
        </w:rPr>
        <w:t>בנתוני</w:t>
      </w:r>
      <w:r w:rsidRPr="00192E2B">
        <w:rPr>
          <w:rtl/>
        </w:rPr>
        <w:t xml:space="preserve"> </w:t>
      </w:r>
      <w:r w:rsidRPr="00192E2B">
        <w:rPr>
          <w:rFonts w:hint="eastAsia"/>
          <w:rtl/>
        </w:rPr>
        <w:t>המשטרה</w:t>
      </w:r>
      <w:r w:rsidRPr="00192E2B">
        <w:rPr>
          <w:rtl/>
        </w:rPr>
        <w:t xml:space="preserve"> </w:t>
      </w:r>
      <w:r w:rsidRPr="00192E2B">
        <w:rPr>
          <w:rFonts w:hint="eastAsia"/>
          <w:rtl/>
        </w:rPr>
        <w:t>מהמערכת</w:t>
      </w:r>
      <w:r w:rsidRPr="00192E2B">
        <w:rPr>
          <w:rtl/>
        </w:rPr>
        <w:t xml:space="preserve"> </w:t>
      </w:r>
      <w:r w:rsidRPr="00192E2B">
        <w:rPr>
          <w:rFonts w:hint="eastAsia"/>
          <w:rtl/>
        </w:rPr>
        <w:t>לניהול</w:t>
      </w:r>
      <w:r w:rsidRPr="00192E2B">
        <w:rPr>
          <w:rtl/>
        </w:rPr>
        <w:t xml:space="preserve"> </w:t>
      </w:r>
      <w:r w:rsidRPr="00192E2B">
        <w:rPr>
          <w:rFonts w:hint="eastAsia"/>
          <w:rtl/>
        </w:rPr>
        <w:t>צווים</w:t>
      </w:r>
      <w:r w:rsidRPr="00192E2B">
        <w:rPr>
          <w:rtl/>
        </w:rPr>
        <w:t xml:space="preserve"> </w:t>
      </w:r>
      <w:r w:rsidRPr="00192E2B">
        <w:rPr>
          <w:rFonts w:hint="eastAsia"/>
          <w:rtl/>
        </w:rPr>
        <w:t>כי</w:t>
      </w:r>
      <w:r w:rsidRPr="00192E2B">
        <w:rPr>
          <w:rtl/>
        </w:rPr>
        <w:t xml:space="preserve"> </w:t>
      </w:r>
      <w:bookmarkStart w:id="285" w:name="_Hlk187838853"/>
      <w:r w:rsidRPr="00192E2B">
        <w:rPr>
          <w:rFonts w:hint="eastAsia"/>
          <w:rtl/>
        </w:rPr>
        <w:t>בשנים</w:t>
      </w:r>
      <w:r w:rsidRPr="00192E2B">
        <w:rPr>
          <w:rtl/>
        </w:rPr>
        <w:t xml:space="preserve"> 2019 - 2021 </w:t>
      </w:r>
      <w:r w:rsidRPr="00192E2B">
        <w:rPr>
          <w:rFonts w:hint="eastAsia"/>
          <w:rtl/>
        </w:rPr>
        <w:t>הגישה</w:t>
      </w:r>
      <w:r w:rsidRPr="00192E2B">
        <w:rPr>
          <w:rtl/>
        </w:rPr>
        <w:t xml:space="preserve"> </w:t>
      </w:r>
      <w:r w:rsidRPr="00192E2B">
        <w:rPr>
          <w:rFonts w:hint="eastAsia"/>
          <w:rtl/>
        </w:rPr>
        <w:t>המשטרה</w:t>
      </w:r>
      <w:r w:rsidRPr="00192E2B">
        <w:rPr>
          <w:rtl/>
        </w:rPr>
        <w:t xml:space="preserve"> 35 </w:t>
      </w:r>
      <w:r w:rsidRPr="00192E2B">
        <w:rPr>
          <w:rFonts w:hint="eastAsia"/>
          <w:rtl/>
        </w:rPr>
        <w:t>בקשות</w:t>
      </w:r>
      <w:r w:rsidRPr="00192E2B">
        <w:rPr>
          <w:rtl/>
        </w:rPr>
        <w:t xml:space="preserve"> </w:t>
      </w:r>
      <w:r w:rsidRPr="00192E2B">
        <w:rPr>
          <w:rFonts w:hint="eastAsia"/>
          <w:rtl/>
        </w:rPr>
        <w:t>לצווי</w:t>
      </w:r>
      <w:r w:rsidRPr="00192E2B">
        <w:rPr>
          <w:rFonts w:hint="cs"/>
          <w:rtl/>
        </w:rPr>
        <w:t xml:space="preserve"> האזנת סתר </w:t>
      </w:r>
      <w:r w:rsidRPr="00192E2B">
        <w:rPr>
          <w:rFonts w:hint="eastAsia"/>
          <w:rtl/>
        </w:rPr>
        <w:t>ב</w:t>
      </w:r>
      <w:r w:rsidRPr="00192E2B">
        <w:rPr>
          <w:rtl/>
        </w:rPr>
        <w:t xml:space="preserve">-11 </w:t>
      </w:r>
      <w:r w:rsidRPr="00192E2B">
        <w:rPr>
          <w:rFonts w:hint="eastAsia"/>
          <w:rtl/>
        </w:rPr>
        <w:t>פרשיות</w:t>
      </w:r>
      <w:r w:rsidRPr="00192E2B">
        <w:rPr>
          <w:rtl/>
        </w:rPr>
        <w:t xml:space="preserve"> </w:t>
      </w:r>
      <w:r w:rsidRPr="00192E2B">
        <w:rPr>
          <w:rFonts w:hint="eastAsia"/>
          <w:rtl/>
        </w:rPr>
        <w:t>ותיקי</w:t>
      </w:r>
      <w:r w:rsidRPr="00192E2B">
        <w:rPr>
          <w:rtl/>
        </w:rPr>
        <w:t xml:space="preserve"> </w:t>
      </w:r>
      <w:r w:rsidRPr="00192E2B">
        <w:rPr>
          <w:rFonts w:hint="eastAsia"/>
          <w:rtl/>
        </w:rPr>
        <w:t>חקירה</w:t>
      </w:r>
      <w:r w:rsidRPr="00192E2B">
        <w:rPr>
          <w:rtl/>
        </w:rPr>
        <w:t xml:space="preserve"> </w:t>
      </w:r>
      <w:r w:rsidRPr="00192E2B">
        <w:rPr>
          <w:rFonts w:hint="eastAsia"/>
          <w:rtl/>
        </w:rPr>
        <w:t>שבהם</w:t>
      </w:r>
      <w:r w:rsidRPr="00192E2B">
        <w:rPr>
          <w:rtl/>
        </w:rPr>
        <w:t xml:space="preserve"> </w:t>
      </w:r>
      <w:r w:rsidRPr="00192E2B">
        <w:rPr>
          <w:rFonts w:hint="eastAsia"/>
          <w:rtl/>
        </w:rPr>
        <w:t>נכללה</w:t>
      </w:r>
      <w:r w:rsidRPr="00192E2B">
        <w:rPr>
          <w:rtl/>
        </w:rPr>
        <w:t xml:space="preserve"> </w:t>
      </w:r>
      <w:r w:rsidRPr="00192E2B">
        <w:rPr>
          <w:rFonts w:hint="eastAsia"/>
          <w:rtl/>
        </w:rPr>
        <w:t>עבירה</w:t>
      </w:r>
      <w:r w:rsidRPr="00192E2B">
        <w:rPr>
          <w:rtl/>
        </w:rPr>
        <w:t xml:space="preserve"> </w:t>
      </w:r>
      <w:r w:rsidRPr="00192E2B">
        <w:rPr>
          <w:rFonts w:hint="eastAsia"/>
          <w:rtl/>
        </w:rPr>
        <w:t>רגישה</w:t>
      </w:r>
      <w:bookmarkEnd w:id="285"/>
      <w:r w:rsidRPr="00192E2B">
        <w:rPr>
          <w:rStyle w:val="af"/>
          <w:rtl/>
        </w:rPr>
        <w:footnoteReference w:id="115"/>
      </w:r>
      <w:r w:rsidRPr="00192E2B">
        <w:rPr>
          <w:rtl/>
        </w:rPr>
        <w:t xml:space="preserve">. </w:t>
      </w:r>
    </w:p>
    <w:p w:rsidR="00613839" w:rsidRDefault="00613839" w:rsidP="00F4324E">
      <w:pPr>
        <w:spacing w:line="269" w:lineRule="auto"/>
        <w:ind w:left="1132"/>
        <w:rPr>
          <w:b/>
          <w:bCs/>
          <w:rtl/>
        </w:rPr>
      </w:pPr>
    </w:p>
    <w:p w:rsidR="009A1216" w:rsidRDefault="009A1216" w:rsidP="00F4324E">
      <w:pPr>
        <w:spacing w:line="269" w:lineRule="auto"/>
        <w:ind w:left="1132"/>
        <w:rPr>
          <w:b/>
          <w:bCs/>
          <w:rtl/>
        </w:rPr>
      </w:pPr>
      <w:r w:rsidRPr="004B1648">
        <w:rPr>
          <w:rFonts w:hint="eastAsia"/>
          <w:b/>
          <w:bCs/>
          <w:rtl/>
        </w:rPr>
        <w:t>נמצא</w:t>
      </w:r>
      <w:r w:rsidRPr="004B1648">
        <w:rPr>
          <w:b/>
          <w:bCs/>
          <w:rtl/>
        </w:rPr>
        <w:t xml:space="preserve"> כי</w:t>
      </w:r>
      <w:r>
        <w:rPr>
          <w:rFonts w:hint="cs"/>
          <w:b/>
          <w:bCs/>
          <w:rtl/>
        </w:rPr>
        <w:t xml:space="preserve"> </w:t>
      </w:r>
      <w:r w:rsidRPr="004B1648">
        <w:rPr>
          <w:b/>
          <w:bCs/>
          <w:rtl/>
        </w:rPr>
        <w:t>באף אחת מ</w:t>
      </w:r>
      <w:r>
        <w:rPr>
          <w:rFonts w:hint="cs"/>
          <w:b/>
          <w:bCs/>
          <w:rtl/>
        </w:rPr>
        <w:t xml:space="preserve">-35 </w:t>
      </w:r>
      <w:r w:rsidRPr="004B1648">
        <w:rPr>
          <w:b/>
          <w:bCs/>
          <w:rtl/>
        </w:rPr>
        <w:t>הבקשות</w:t>
      </w:r>
      <w:r>
        <w:rPr>
          <w:rFonts w:hint="cs"/>
          <w:b/>
          <w:bCs/>
          <w:rtl/>
        </w:rPr>
        <w:t xml:space="preserve"> ב-11 פרשיות מודיעיניות ותיקי חקירה (אותן הגישה המשטרה לבית משפט והן מומשו),</w:t>
      </w:r>
      <w:r w:rsidRPr="004B1648">
        <w:rPr>
          <w:b/>
          <w:bCs/>
          <w:rtl/>
        </w:rPr>
        <w:t xml:space="preserve"> לא אותר במערכת לניהול צווים</w:t>
      </w:r>
      <w:r>
        <w:rPr>
          <w:rFonts w:hint="cs"/>
          <w:b/>
          <w:bCs/>
          <w:rtl/>
        </w:rPr>
        <w:t xml:space="preserve"> של המשטרה</w:t>
      </w:r>
      <w:r w:rsidRPr="004B1648">
        <w:rPr>
          <w:b/>
          <w:bCs/>
          <w:rtl/>
        </w:rPr>
        <w:t xml:space="preserve"> אישור פרקליט מדינה או פרקליט שהוסמך על ידו לפתיחה בחקירה.</w:t>
      </w:r>
      <w:r>
        <w:rPr>
          <w:rFonts w:hint="cs"/>
          <w:b/>
          <w:bCs/>
          <w:rtl/>
        </w:rPr>
        <w:t xml:space="preserve"> </w:t>
      </w:r>
    </w:p>
    <w:p w:rsidR="00613839" w:rsidRDefault="00613839" w:rsidP="00F4324E">
      <w:pPr>
        <w:spacing w:line="269" w:lineRule="auto"/>
        <w:ind w:left="1132"/>
        <w:rPr>
          <w:rtl/>
        </w:rPr>
      </w:pPr>
    </w:p>
    <w:p w:rsidR="009A1216" w:rsidRDefault="009A1216" w:rsidP="00F4324E">
      <w:pPr>
        <w:spacing w:line="269" w:lineRule="auto"/>
        <w:ind w:left="1132"/>
        <w:rPr>
          <w:rtl/>
        </w:rPr>
      </w:pPr>
      <w:r w:rsidRPr="00610164">
        <w:rPr>
          <w:rFonts w:hint="eastAsia"/>
          <w:rtl/>
        </w:rPr>
        <w:t>משלא</w:t>
      </w:r>
      <w:r w:rsidRPr="00610164">
        <w:rPr>
          <w:rtl/>
        </w:rPr>
        <w:t xml:space="preserve"> </w:t>
      </w:r>
      <w:r w:rsidRPr="00610164">
        <w:rPr>
          <w:rFonts w:hint="eastAsia"/>
          <w:rtl/>
        </w:rPr>
        <w:t>נמצאו</w:t>
      </w:r>
      <w:r w:rsidRPr="00610164">
        <w:rPr>
          <w:rtl/>
        </w:rPr>
        <w:t xml:space="preserve"> </w:t>
      </w:r>
      <w:r w:rsidRPr="00610164">
        <w:rPr>
          <w:rFonts w:hint="eastAsia"/>
          <w:rtl/>
        </w:rPr>
        <w:t>האישורים</w:t>
      </w:r>
      <w:r w:rsidRPr="00610164">
        <w:rPr>
          <w:rtl/>
        </w:rPr>
        <w:t xml:space="preserve"> </w:t>
      </w:r>
      <w:r w:rsidRPr="00610164">
        <w:rPr>
          <w:rFonts w:hint="eastAsia"/>
          <w:rtl/>
        </w:rPr>
        <w:t>במערכת</w:t>
      </w:r>
      <w:r w:rsidRPr="00610164">
        <w:rPr>
          <w:rtl/>
        </w:rPr>
        <w:t xml:space="preserve"> לניהול צווים התבקש</w:t>
      </w:r>
      <w:r w:rsidRPr="00610164">
        <w:rPr>
          <w:rFonts w:hint="eastAsia"/>
          <w:rtl/>
        </w:rPr>
        <w:t>ו</w:t>
      </w:r>
      <w:r w:rsidRPr="00610164">
        <w:rPr>
          <w:rtl/>
        </w:rPr>
        <w:t xml:space="preserve"> </w:t>
      </w:r>
      <w:r>
        <w:rPr>
          <w:rFonts w:hint="eastAsia"/>
          <w:rtl/>
        </w:rPr>
        <w:t>המשטרה</w:t>
      </w:r>
      <w:r w:rsidRPr="00610164">
        <w:rPr>
          <w:rtl/>
        </w:rPr>
        <w:t xml:space="preserve"> </w:t>
      </w:r>
      <w:r w:rsidRPr="00610164">
        <w:rPr>
          <w:rFonts w:hint="eastAsia"/>
          <w:rtl/>
        </w:rPr>
        <w:t>ופרקליטות</w:t>
      </w:r>
      <w:r w:rsidRPr="00610164">
        <w:rPr>
          <w:rtl/>
        </w:rPr>
        <w:t xml:space="preserve"> המדינה </w:t>
      </w:r>
      <w:r w:rsidRPr="00610164">
        <w:rPr>
          <w:rFonts w:hint="eastAsia"/>
          <w:rtl/>
        </w:rPr>
        <w:t>להמציא</w:t>
      </w:r>
      <w:r w:rsidRPr="00610164">
        <w:rPr>
          <w:rtl/>
        </w:rPr>
        <w:t xml:space="preserve"> </w:t>
      </w:r>
      <w:r w:rsidRPr="00610164">
        <w:rPr>
          <w:rFonts w:hint="eastAsia"/>
          <w:rtl/>
        </w:rPr>
        <w:t>את</w:t>
      </w:r>
      <w:r w:rsidRPr="00610164">
        <w:rPr>
          <w:rtl/>
        </w:rPr>
        <w:t xml:space="preserve"> </w:t>
      </w:r>
      <w:r>
        <w:rPr>
          <w:rFonts w:hint="cs"/>
          <w:rtl/>
        </w:rPr>
        <w:t>אישורי פרקליט המדינה</w:t>
      </w:r>
      <w:r w:rsidRPr="00610164">
        <w:rPr>
          <w:rtl/>
        </w:rPr>
        <w:t xml:space="preserve"> האמורים. </w:t>
      </w:r>
    </w:p>
    <w:p w:rsidR="00613839" w:rsidRPr="00610164" w:rsidRDefault="00613839" w:rsidP="00604C3D">
      <w:pPr>
        <w:spacing w:line="269" w:lineRule="auto"/>
        <w:rPr>
          <w:rtl/>
        </w:rPr>
      </w:pPr>
    </w:p>
    <w:p w:rsidR="009A1216" w:rsidRPr="0072530A" w:rsidRDefault="009A1216" w:rsidP="008C598D">
      <w:pPr>
        <w:pStyle w:val="af2"/>
        <w:numPr>
          <w:ilvl w:val="3"/>
          <w:numId w:val="73"/>
        </w:numPr>
        <w:spacing w:line="269" w:lineRule="auto"/>
        <w:ind w:left="1095"/>
        <w:rPr>
          <w:b/>
          <w:bCs/>
          <w:rtl/>
        </w:rPr>
      </w:pPr>
      <w:bookmarkStart w:id="286" w:name="_Hlk190070172"/>
      <w:r w:rsidRPr="0072530A">
        <w:rPr>
          <w:rFonts w:hint="eastAsia"/>
          <w:b/>
          <w:bCs/>
          <w:rtl/>
        </w:rPr>
        <w:t>ואולם</w:t>
      </w:r>
      <w:r w:rsidRPr="0072530A">
        <w:rPr>
          <w:b/>
          <w:bCs/>
          <w:rtl/>
        </w:rPr>
        <w:t xml:space="preserve"> </w:t>
      </w:r>
      <w:r w:rsidRPr="0072530A">
        <w:rPr>
          <w:rFonts w:hint="eastAsia"/>
          <w:b/>
          <w:bCs/>
          <w:rtl/>
        </w:rPr>
        <w:t>חרף</w:t>
      </w:r>
      <w:r w:rsidRPr="0072530A">
        <w:rPr>
          <w:b/>
          <w:bCs/>
          <w:rtl/>
        </w:rPr>
        <w:t xml:space="preserve"> </w:t>
      </w:r>
      <w:r w:rsidRPr="0072530A">
        <w:rPr>
          <w:rFonts w:hint="eastAsia"/>
          <w:b/>
          <w:bCs/>
          <w:rtl/>
        </w:rPr>
        <w:t>פניות</w:t>
      </w:r>
      <w:r w:rsidRPr="0072530A">
        <w:rPr>
          <w:b/>
          <w:bCs/>
          <w:rtl/>
        </w:rPr>
        <w:t xml:space="preserve"> </w:t>
      </w:r>
      <w:r w:rsidRPr="0072530A">
        <w:rPr>
          <w:rFonts w:hint="eastAsia"/>
          <w:b/>
          <w:bCs/>
          <w:rtl/>
        </w:rPr>
        <w:t>משרד</w:t>
      </w:r>
      <w:r w:rsidRPr="0072530A">
        <w:rPr>
          <w:b/>
          <w:bCs/>
          <w:rtl/>
        </w:rPr>
        <w:t xml:space="preserve"> </w:t>
      </w:r>
      <w:r w:rsidRPr="0072530A">
        <w:rPr>
          <w:rFonts w:hint="eastAsia"/>
          <w:b/>
          <w:bCs/>
          <w:rtl/>
        </w:rPr>
        <w:t>מבקר</w:t>
      </w:r>
      <w:r w:rsidRPr="0072530A">
        <w:rPr>
          <w:b/>
          <w:bCs/>
          <w:rtl/>
        </w:rPr>
        <w:t xml:space="preserve"> </w:t>
      </w:r>
      <w:r w:rsidRPr="0072530A">
        <w:rPr>
          <w:rFonts w:hint="eastAsia"/>
          <w:b/>
          <w:bCs/>
          <w:rtl/>
        </w:rPr>
        <w:t>המדינה</w:t>
      </w:r>
      <w:r w:rsidRPr="00610164">
        <w:rPr>
          <w:rStyle w:val="af"/>
          <w:b/>
          <w:bCs/>
          <w:rtl/>
        </w:rPr>
        <w:footnoteReference w:id="116"/>
      </w:r>
      <w:r w:rsidRPr="0072530A">
        <w:rPr>
          <w:b/>
          <w:bCs/>
          <w:rtl/>
        </w:rPr>
        <w:t xml:space="preserve">, </w:t>
      </w:r>
      <w:r w:rsidRPr="0072530A">
        <w:rPr>
          <w:rFonts w:hint="eastAsia"/>
          <w:b/>
          <w:bCs/>
          <w:rtl/>
        </w:rPr>
        <w:t>הפרקליטות</w:t>
      </w:r>
      <w:r w:rsidRPr="0072530A">
        <w:rPr>
          <w:b/>
          <w:bCs/>
          <w:rtl/>
        </w:rPr>
        <w:t xml:space="preserve"> לא </w:t>
      </w:r>
      <w:r w:rsidRPr="0072530A">
        <w:rPr>
          <w:rFonts w:hint="eastAsia"/>
          <w:b/>
          <w:bCs/>
          <w:rtl/>
        </w:rPr>
        <w:t>המציאה</w:t>
      </w:r>
      <w:r w:rsidRPr="0072530A">
        <w:rPr>
          <w:b/>
          <w:bCs/>
          <w:rtl/>
        </w:rPr>
        <w:t xml:space="preserve"> </w:t>
      </w:r>
      <w:r w:rsidRPr="0072530A">
        <w:rPr>
          <w:rFonts w:hint="eastAsia"/>
          <w:b/>
          <w:bCs/>
          <w:rtl/>
        </w:rPr>
        <w:t>את</w:t>
      </w:r>
      <w:r w:rsidRPr="0072530A">
        <w:rPr>
          <w:b/>
          <w:bCs/>
          <w:rtl/>
        </w:rPr>
        <w:t xml:space="preserve"> </w:t>
      </w:r>
      <w:r w:rsidRPr="0072530A">
        <w:rPr>
          <w:rFonts w:hint="eastAsia"/>
          <w:b/>
          <w:bCs/>
          <w:rtl/>
        </w:rPr>
        <w:t>האישורים</w:t>
      </w:r>
      <w:r w:rsidRPr="0072530A">
        <w:rPr>
          <w:b/>
          <w:bCs/>
          <w:rtl/>
        </w:rPr>
        <w:t xml:space="preserve"> לביקורת במשך </w:t>
      </w:r>
      <w:r w:rsidRPr="0072530A">
        <w:rPr>
          <w:rFonts w:hint="eastAsia"/>
          <w:b/>
          <w:bCs/>
          <w:rtl/>
        </w:rPr>
        <w:t>יותר</w:t>
      </w:r>
      <w:r w:rsidRPr="0072530A">
        <w:rPr>
          <w:b/>
          <w:bCs/>
          <w:rtl/>
        </w:rPr>
        <w:t xml:space="preserve"> </w:t>
      </w:r>
      <w:r w:rsidRPr="0072530A">
        <w:rPr>
          <w:rFonts w:hint="eastAsia"/>
          <w:b/>
          <w:bCs/>
          <w:rtl/>
        </w:rPr>
        <w:t>משנה</w:t>
      </w:r>
      <w:r w:rsidRPr="0072530A">
        <w:rPr>
          <w:b/>
          <w:bCs/>
          <w:rtl/>
        </w:rPr>
        <w:t>.</w:t>
      </w:r>
      <w:r w:rsidRPr="0072530A">
        <w:rPr>
          <w:rFonts w:hint="cs"/>
          <w:b/>
          <w:bCs/>
          <w:rtl/>
        </w:rPr>
        <w:t xml:space="preserve"> רק לאחר שנה ושלושה חודשים העביר משרד המשפטים התייחסות בנושא זה.</w:t>
      </w:r>
      <w:r w:rsidR="00382AE8" w:rsidRPr="0072530A">
        <w:rPr>
          <w:rFonts w:hint="cs"/>
          <w:b/>
          <w:bCs/>
          <w:rtl/>
        </w:rPr>
        <w:t xml:space="preserve"> </w:t>
      </w:r>
      <w:bookmarkEnd w:id="286"/>
    </w:p>
    <w:p w:rsidR="009A1216" w:rsidRDefault="009A1216" w:rsidP="00604C3D">
      <w:pPr>
        <w:pStyle w:val="a5"/>
        <w:spacing w:line="269" w:lineRule="auto"/>
        <w:rPr>
          <w:rtl/>
        </w:rPr>
      </w:pPr>
      <w:r w:rsidRPr="00610164" w:rsidDel="000C6AC3">
        <w:rPr>
          <w:rtl/>
        </w:rPr>
        <w:t xml:space="preserve"> </w:t>
      </w:r>
    </w:p>
    <w:p w:rsidR="009A1216" w:rsidRDefault="009A1216" w:rsidP="0072530A">
      <w:pPr>
        <w:spacing w:line="269" w:lineRule="auto"/>
        <w:ind w:left="1077"/>
        <w:rPr>
          <w:rtl/>
        </w:rPr>
      </w:pPr>
      <w:bookmarkStart w:id="287" w:name="_Hlk197249397"/>
      <w:r w:rsidRPr="000F139E">
        <w:rPr>
          <w:rFonts w:hint="cs"/>
          <w:rtl/>
        </w:rPr>
        <w:t xml:space="preserve">לצד האמור, בהתייחסות מיוני 2024, הפרקליטות העבירה לידי משרד מבקר המדינה את כלל האישורים שניתנו על ידה ומסרה כי בנוגע למקרים </w:t>
      </w:r>
      <w:r w:rsidR="00613839">
        <w:rPr>
          <w:rFonts w:hint="cs"/>
          <w:rtl/>
        </w:rPr>
        <w:t>שבדק</w:t>
      </w:r>
      <w:r w:rsidRPr="000F139E">
        <w:rPr>
          <w:rFonts w:hint="cs"/>
          <w:rtl/>
        </w:rPr>
        <w:t xml:space="preserve"> משרד מבקר המדינה לא ידוע לה שהמשטרה ביקשה ממנה אישורים. </w:t>
      </w:r>
      <w:bookmarkEnd w:id="287"/>
      <w:r w:rsidRPr="000F139E">
        <w:rPr>
          <w:rFonts w:hint="cs"/>
          <w:rtl/>
        </w:rPr>
        <w:t xml:space="preserve">הפרקליטות העבירה </w:t>
      </w:r>
      <w:r w:rsidRPr="002F3DEE">
        <w:rPr>
          <w:rFonts w:hint="cs"/>
          <w:rtl/>
        </w:rPr>
        <w:t>אישורים הנוגעים לשני יעדי האזנה</w:t>
      </w:r>
      <w:r>
        <w:rPr>
          <w:rFonts w:hint="cs"/>
          <w:rtl/>
        </w:rPr>
        <w:t>.</w:t>
      </w:r>
      <w:r w:rsidRPr="002F3DEE">
        <w:rPr>
          <w:rFonts w:hint="cs"/>
          <w:rtl/>
        </w:rPr>
        <w:t xml:space="preserve"> משרד </w:t>
      </w:r>
      <w:r w:rsidRPr="002F3DEE">
        <w:rPr>
          <w:rtl/>
        </w:rPr>
        <w:t>מבקר המדינה מצא כי בשני המקרים האמורים אישור זה</w:t>
      </w:r>
      <w:r w:rsidR="00613839">
        <w:rPr>
          <w:rFonts w:hint="cs"/>
          <w:rtl/>
        </w:rPr>
        <w:t xml:space="preserve"> ניתן למעלה מה</w:t>
      </w:r>
      <w:r w:rsidRPr="002F3DEE">
        <w:rPr>
          <w:rtl/>
        </w:rPr>
        <w:t xml:space="preserve">נדרש </w:t>
      </w:r>
      <w:r w:rsidR="00076F4A">
        <w:rPr>
          <w:rFonts w:hint="cs"/>
          <w:rtl/>
        </w:rPr>
        <w:t>ב</w:t>
      </w:r>
      <w:r w:rsidRPr="002F3DEE">
        <w:rPr>
          <w:rtl/>
        </w:rPr>
        <w:t xml:space="preserve">נהלי המשטרה. </w:t>
      </w:r>
    </w:p>
    <w:p w:rsidR="00613839" w:rsidRPr="00192E2B" w:rsidRDefault="00613839" w:rsidP="0072530A">
      <w:pPr>
        <w:spacing w:line="269" w:lineRule="auto"/>
        <w:ind w:left="737"/>
        <w:rPr>
          <w:rtl/>
        </w:rPr>
      </w:pPr>
    </w:p>
    <w:p w:rsidR="009A1216" w:rsidRDefault="009A1216" w:rsidP="0072530A">
      <w:pPr>
        <w:pStyle w:val="aff2"/>
        <w:spacing w:line="269" w:lineRule="auto"/>
        <w:ind w:left="1077"/>
        <w:rPr>
          <w:rtl/>
        </w:rPr>
      </w:pPr>
      <w:r>
        <w:rPr>
          <w:rFonts w:hint="cs"/>
          <w:rtl/>
        </w:rPr>
        <w:t xml:space="preserve">כדי שאישורי הפרקליטות יהיו ניתנים לאיתור בתוך זמן סביר כדי להמציאם לכל דורש, </w:t>
      </w:r>
      <w:r w:rsidRPr="00D12393">
        <w:rPr>
          <w:rFonts w:hint="cs"/>
          <w:rtl/>
        </w:rPr>
        <w:t xml:space="preserve">מומלץ כי פרקליט המדינה יוודא </w:t>
      </w:r>
      <w:r>
        <w:rPr>
          <w:rFonts w:hint="cs"/>
          <w:rtl/>
        </w:rPr>
        <w:t>ש</w:t>
      </w:r>
      <w:r w:rsidRPr="00D12393">
        <w:rPr>
          <w:rFonts w:hint="cs"/>
          <w:rtl/>
        </w:rPr>
        <w:t>אישור פרקליט לפתיחה בחקירה בעבירה רגישה מתועד כנדרש במערכת ממוחשבת מסווגת לניהול תיקי התביעה בפרקליטות.</w:t>
      </w:r>
    </w:p>
    <w:p w:rsidR="009A1216" w:rsidRDefault="009A1216" w:rsidP="0072530A">
      <w:pPr>
        <w:pStyle w:val="a5"/>
        <w:spacing w:line="269" w:lineRule="auto"/>
        <w:ind w:left="170"/>
        <w:rPr>
          <w:rtl/>
        </w:rPr>
      </w:pPr>
    </w:p>
    <w:p w:rsidR="009A1216" w:rsidRPr="008A47DB" w:rsidRDefault="009A1216" w:rsidP="0072530A">
      <w:pPr>
        <w:spacing w:line="269" w:lineRule="auto"/>
        <w:ind w:left="1077"/>
        <w:rPr>
          <w:rtl/>
        </w:rPr>
      </w:pPr>
      <w:r w:rsidRPr="008A47DB">
        <w:rPr>
          <w:rFonts w:hint="cs"/>
          <w:rtl/>
        </w:rPr>
        <w:t xml:space="preserve">הפרקליטות מסרה בתגובה כי היא מקבלת את הצורך בקיומה של מערכת ממוחשבת מסווגת שבה ניתן יהיה לתעד את אישורי הפרקליט המסווגים, וקידום עבודת הפרקליטות במערכת ממוחשבת מסווגת ייבחן בכפוף לקבלת המשאבים והאישורים הנדרשים. </w:t>
      </w:r>
    </w:p>
    <w:p w:rsidR="00613839" w:rsidRPr="008A47DB" w:rsidRDefault="00613839" w:rsidP="00604C3D">
      <w:pPr>
        <w:spacing w:line="269" w:lineRule="auto"/>
      </w:pPr>
    </w:p>
    <w:p w:rsidR="009A1216" w:rsidRPr="00655EB4" w:rsidRDefault="009A1216" w:rsidP="008C598D">
      <w:pPr>
        <w:pStyle w:val="af2"/>
        <w:numPr>
          <w:ilvl w:val="3"/>
          <w:numId w:val="73"/>
        </w:numPr>
        <w:spacing w:line="269" w:lineRule="auto"/>
        <w:ind w:left="1095"/>
        <w:rPr>
          <w:b/>
          <w:bCs/>
          <w:rtl/>
        </w:rPr>
      </w:pPr>
      <w:r w:rsidRPr="00655EB4">
        <w:rPr>
          <w:b/>
          <w:bCs/>
          <w:rtl/>
        </w:rPr>
        <w:t xml:space="preserve">לאחר ניסיונות איתור האישורים, </w:t>
      </w:r>
      <w:r>
        <w:rPr>
          <w:rFonts w:hint="cs"/>
          <w:b/>
          <w:bCs/>
          <w:rtl/>
        </w:rPr>
        <w:t xml:space="preserve">נמצא </w:t>
      </w:r>
      <w:r w:rsidRPr="00655EB4">
        <w:rPr>
          <w:b/>
          <w:bCs/>
          <w:rtl/>
        </w:rPr>
        <w:t>כי בניגוד לנוהל המשטרתי בנושא המשטרה לא פנתה לקבלת אישור פרקליט ב</w:t>
      </w:r>
      <w:r w:rsidRPr="00655EB4">
        <w:rPr>
          <w:rFonts w:hint="eastAsia"/>
          <w:b/>
          <w:bCs/>
          <w:rtl/>
        </w:rPr>
        <w:t>כל</w:t>
      </w:r>
      <w:r w:rsidRPr="00655EB4">
        <w:rPr>
          <w:b/>
          <w:bCs/>
          <w:rtl/>
        </w:rPr>
        <w:t xml:space="preserve"> </w:t>
      </w:r>
      <w:r w:rsidRPr="00655EB4">
        <w:rPr>
          <w:rFonts w:hint="eastAsia"/>
          <w:b/>
          <w:bCs/>
          <w:rtl/>
        </w:rPr>
        <w:t>הבקשות</w:t>
      </w:r>
      <w:r w:rsidRPr="00655EB4">
        <w:rPr>
          <w:b/>
          <w:bCs/>
          <w:rtl/>
        </w:rPr>
        <w:t xml:space="preserve"> </w:t>
      </w:r>
      <w:r w:rsidRPr="00655EB4">
        <w:rPr>
          <w:rFonts w:hint="eastAsia"/>
          <w:b/>
          <w:bCs/>
          <w:rtl/>
        </w:rPr>
        <w:t>שהוגשו</w:t>
      </w:r>
      <w:r w:rsidRPr="00655EB4">
        <w:rPr>
          <w:b/>
          <w:bCs/>
          <w:rtl/>
        </w:rPr>
        <w:t xml:space="preserve"> </w:t>
      </w:r>
      <w:r w:rsidRPr="00655EB4">
        <w:rPr>
          <w:rFonts w:hint="eastAsia"/>
          <w:b/>
          <w:bCs/>
          <w:rtl/>
        </w:rPr>
        <w:t>על</w:t>
      </w:r>
      <w:r w:rsidRPr="00655EB4">
        <w:rPr>
          <w:b/>
          <w:bCs/>
          <w:rtl/>
        </w:rPr>
        <w:t xml:space="preserve"> </w:t>
      </w:r>
      <w:r w:rsidRPr="00655EB4">
        <w:rPr>
          <w:rFonts w:hint="eastAsia"/>
          <w:b/>
          <w:bCs/>
          <w:rtl/>
        </w:rPr>
        <w:t>ידה</w:t>
      </w:r>
      <w:r w:rsidRPr="00655EB4">
        <w:rPr>
          <w:b/>
          <w:bCs/>
          <w:rtl/>
        </w:rPr>
        <w:t xml:space="preserve"> </w:t>
      </w:r>
      <w:r w:rsidRPr="00655EB4">
        <w:rPr>
          <w:rFonts w:hint="eastAsia"/>
          <w:b/>
          <w:bCs/>
          <w:rtl/>
        </w:rPr>
        <w:t>לבית</w:t>
      </w:r>
      <w:r w:rsidRPr="00655EB4">
        <w:rPr>
          <w:b/>
          <w:bCs/>
          <w:rtl/>
        </w:rPr>
        <w:t xml:space="preserve"> </w:t>
      </w:r>
      <w:r w:rsidRPr="00655EB4">
        <w:rPr>
          <w:rFonts w:hint="eastAsia"/>
          <w:b/>
          <w:bCs/>
          <w:rtl/>
        </w:rPr>
        <w:t>המשפט</w:t>
      </w:r>
      <w:r w:rsidRPr="00655EB4">
        <w:rPr>
          <w:b/>
          <w:bCs/>
          <w:rtl/>
        </w:rPr>
        <w:t xml:space="preserve"> להאזנת סתר בעבירות רגישות </w:t>
      </w:r>
      <w:r w:rsidR="001F77AD">
        <w:rPr>
          <w:rFonts w:hint="cs"/>
          <w:b/>
          <w:bCs/>
          <w:rtl/>
        </w:rPr>
        <w:t>-</w:t>
      </w:r>
      <w:r w:rsidRPr="00655EB4">
        <w:rPr>
          <w:b/>
          <w:bCs/>
          <w:rtl/>
        </w:rPr>
        <w:t xml:space="preserve"> 35 בקשות הנוגעות ל-11 פרשיות. </w:t>
      </w:r>
      <w:r w:rsidRPr="00655EB4">
        <w:rPr>
          <w:rFonts w:hint="eastAsia"/>
          <w:b/>
          <w:bCs/>
          <w:rtl/>
        </w:rPr>
        <w:t>בכל</w:t>
      </w:r>
      <w:r w:rsidRPr="00655EB4">
        <w:rPr>
          <w:b/>
          <w:bCs/>
          <w:rtl/>
        </w:rPr>
        <w:t xml:space="preserve"> </w:t>
      </w:r>
      <w:r w:rsidRPr="00655EB4">
        <w:rPr>
          <w:rFonts w:hint="eastAsia"/>
          <w:b/>
          <w:bCs/>
          <w:rtl/>
        </w:rPr>
        <w:t>הפרשיות</w:t>
      </w:r>
      <w:r w:rsidRPr="00655EB4">
        <w:rPr>
          <w:b/>
          <w:bCs/>
          <w:rtl/>
        </w:rPr>
        <w:t xml:space="preserve"> </w:t>
      </w:r>
      <w:r w:rsidRPr="00655EB4">
        <w:rPr>
          <w:rFonts w:hint="eastAsia"/>
          <w:b/>
          <w:bCs/>
          <w:rtl/>
        </w:rPr>
        <w:t>הללו</w:t>
      </w:r>
      <w:r>
        <w:rPr>
          <w:rFonts w:hint="cs"/>
          <w:b/>
          <w:bCs/>
          <w:rtl/>
        </w:rPr>
        <w:t xml:space="preserve"> שבהן לא התקבל אישור פרקליט</w:t>
      </w:r>
      <w:r w:rsidRPr="00655EB4">
        <w:rPr>
          <w:b/>
          <w:bCs/>
          <w:rtl/>
        </w:rPr>
        <w:t xml:space="preserve">, </w:t>
      </w:r>
      <w:r w:rsidRPr="00655EB4">
        <w:rPr>
          <w:rFonts w:hint="eastAsia"/>
          <w:b/>
          <w:bCs/>
          <w:rtl/>
        </w:rPr>
        <w:t>האזנות</w:t>
      </w:r>
      <w:r w:rsidRPr="00655EB4">
        <w:rPr>
          <w:b/>
          <w:bCs/>
          <w:rtl/>
        </w:rPr>
        <w:t xml:space="preserve"> </w:t>
      </w:r>
      <w:r w:rsidRPr="00655EB4">
        <w:rPr>
          <w:rFonts w:hint="eastAsia"/>
          <w:b/>
          <w:bCs/>
          <w:rtl/>
        </w:rPr>
        <w:t>הסתר</w:t>
      </w:r>
      <w:r w:rsidRPr="00655EB4">
        <w:rPr>
          <w:b/>
          <w:bCs/>
          <w:rtl/>
        </w:rPr>
        <w:t xml:space="preserve"> </w:t>
      </w:r>
      <w:r w:rsidRPr="00655EB4">
        <w:rPr>
          <w:rFonts w:hint="eastAsia"/>
          <w:b/>
          <w:bCs/>
          <w:rtl/>
        </w:rPr>
        <w:t>מומשו</w:t>
      </w:r>
      <w:r w:rsidRPr="00655EB4">
        <w:rPr>
          <w:b/>
          <w:bCs/>
          <w:rtl/>
        </w:rPr>
        <w:t>.</w:t>
      </w:r>
    </w:p>
    <w:p w:rsidR="009A1216" w:rsidRPr="000B4F37" w:rsidRDefault="009A1216" w:rsidP="00604C3D">
      <w:pPr>
        <w:pStyle w:val="a5"/>
        <w:spacing w:line="269" w:lineRule="auto"/>
        <w:rPr>
          <w:rtl/>
        </w:rPr>
      </w:pPr>
    </w:p>
    <w:p w:rsidR="009A1216" w:rsidRDefault="009A1216" w:rsidP="0072530A">
      <w:pPr>
        <w:spacing w:line="269" w:lineRule="auto"/>
        <w:ind w:left="1077"/>
        <w:rPr>
          <w:b/>
          <w:bCs/>
          <w:rtl/>
        </w:rPr>
      </w:pPr>
      <w:r>
        <w:rPr>
          <w:rFonts w:hint="eastAsia"/>
          <w:rtl/>
        </w:rPr>
        <w:t>המשטרה</w:t>
      </w:r>
      <w:r w:rsidRPr="008B50D9">
        <w:rPr>
          <w:rtl/>
        </w:rPr>
        <w:t xml:space="preserve"> מסרה בתגובתה כי במקרים שבהם נמצא כי לא אותרו אישורי פרקליט, יתבצע תהליך של הפקת לקחים ויחודדו הנהלים מול </w:t>
      </w:r>
      <w:r w:rsidRPr="00D82E45">
        <w:rPr>
          <w:rFonts w:hint="eastAsia"/>
          <w:rtl/>
        </w:rPr>
        <w:t>יחידות</w:t>
      </w:r>
      <w:r w:rsidRPr="00D82E45">
        <w:rPr>
          <w:rtl/>
        </w:rPr>
        <w:t xml:space="preserve"> </w:t>
      </w:r>
      <w:r w:rsidRPr="00D82E45">
        <w:rPr>
          <w:rFonts w:hint="eastAsia"/>
          <w:rtl/>
        </w:rPr>
        <w:t>המשטרה</w:t>
      </w:r>
      <w:r w:rsidRPr="00FF17C4">
        <w:rPr>
          <w:rtl/>
        </w:rPr>
        <w:t>, וכן תיבחן האפשרות לפתח מנגנון במערכת לניהול צווים שיחייב קבלת אישור דרג מתאים בבקשות להאזנת סתר בעבירות רגישות</w:t>
      </w:r>
      <w:r w:rsidRPr="00610164">
        <w:rPr>
          <w:rtl/>
        </w:rPr>
        <w:t xml:space="preserve">. </w:t>
      </w:r>
      <w:r>
        <w:rPr>
          <w:rFonts w:hint="cs"/>
          <w:rtl/>
        </w:rPr>
        <w:t xml:space="preserve">עוד היא מסרה </w:t>
      </w:r>
      <w:bookmarkStart w:id="288" w:name="_Hlk190157103"/>
      <w:r>
        <w:rPr>
          <w:rFonts w:hint="cs"/>
          <w:rtl/>
        </w:rPr>
        <w:t xml:space="preserve">כי בבדיקתה היא מצאה שרק 32 בקשות דרשו אישור פרקליט אך האישור לא אותר. </w:t>
      </w:r>
      <w:bookmarkEnd w:id="288"/>
    </w:p>
    <w:p w:rsidR="009A1216" w:rsidRPr="000B4F37" w:rsidRDefault="009A1216" w:rsidP="00604C3D">
      <w:pPr>
        <w:pStyle w:val="a5"/>
        <w:spacing w:line="269" w:lineRule="auto"/>
        <w:rPr>
          <w:rtl/>
        </w:rPr>
      </w:pPr>
    </w:p>
    <w:p w:rsidR="009A1216" w:rsidRPr="00E37335" w:rsidRDefault="009A1216" w:rsidP="0072530A">
      <w:pPr>
        <w:spacing w:line="269" w:lineRule="auto"/>
        <w:ind w:left="1077"/>
        <w:rPr>
          <w:b/>
          <w:bCs/>
          <w:rtl/>
        </w:rPr>
      </w:pPr>
      <w:r w:rsidRPr="00E37335">
        <w:rPr>
          <w:rFonts w:hint="eastAsia"/>
          <w:b/>
          <w:bCs/>
          <w:rtl/>
        </w:rPr>
        <w:t>משרד</w:t>
      </w:r>
      <w:r w:rsidRPr="00E37335">
        <w:rPr>
          <w:b/>
          <w:bCs/>
          <w:rtl/>
        </w:rPr>
        <w:t xml:space="preserve"> מבקר המדינה בחן את התייחסות המשטרה בנוגע למספר הבקשות </w:t>
      </w:r>
      <w:r>
        <w:rPr>
          <w:rFonts w:hint="cs"/>
          <w:b/>
          <w:bCs/>
          <w:rtl/>
        </w:rPr>
        <w:t>ש</w:t>
      </w:r>
      <w:r w:rsidRPr="00E37335">
        <w:rPr>
          <w:b/>
          <w:bCs/>
          <w:rtl/>
        </w:rPr>
        <w:t xml:space="preserve">לגביהן נדרש אישור פרקליט ומצא כי למרות טענות המשטרה, יש 35 </w:t>
      </w:r>
      <w:r w:rsidRPr="00E37335">
        <w:rPr>
          <w:rFonts w:hint="eastAsia"/>
          <w:b/>
          <w:bCs/>
          <w:rtl/>
        </w:rPr>
        <w:t>בקשות</w:t>
      </w:r>
      <w:r w:rsidRPr="00E37335">
        <w:rPr>
          <w:b/>
          <w:bCs/>
          <w:rtl/>
        </w:rPr>
        <w:t xml:space="preserve"> </w:t>
      </w:r>
      <w:r w:rsidRPr="00E37335">
        <w:rPr>
          <w:rFonts w:hint="eastAsia"/>
          <w:b/>
          <w:bCs/>
          <w:rtl/>
        </w:rPr>
        <w:t>הדורשות</w:t>
      </w:r>
      <w:r w:rsidRPr="00E37335">
        <w:rPr>
          <w:b/>
          <w:bCs/>
          <w:rtl/>
        </w:rPr>
        <w:t xml:space="preserve"> </w:t>
      </w:r>
      <w:r w:rsidRPr="00E37335">
        <w:rPr>
          <w:rFonts w:hint="eastAsia"/>
          <w:b/>
          <w:bCs/>
          <w:rtl/>
        </w:rPr>
        <w:t>אישור</w:t>
      </w:r>
      <w:r w:rsidRPr="00E37335">
        <w:rPr>
          <w:b/>
          <w:bCs/>
          <w:rtl/>
        </w:rPr>
        <w:t xml:space="preserve"> </w:t>
      </w:r>
      <w:r w:rsidRPr="00E37335">
        <w:rPr>
          <w:rFonts w:hint="eastAsia"/>
          <w:b/>
          <w:bCs/>
          <w:rtl/>
        </w:rPr>
        <w:t>פרקליט</w:t>
      </w:r>
      <w:r w:rsidRPr="00E37335">
        <w:rPr>
          <w:b/>
          <w:bCs/>
          <w:rtl/>
        </w:rPr>
        <w:t xml:space="preserve">. </w:t>
      </w:r>
      <w:r>
        <w:rPr>
          <w:rFonts w:hint="cs"/>
          <w:b/>
          <w:bCs/>
          <w:rtl/>
        </w:rPr>
        <w:t>בנוגע</w:t>
      </w:r>
      <w:r w:rsidRPr="00E37335">
        <w:rPr>
          <w:b/>
          <w:bCs/>
          <w:rtl/>
        </w:rPr>
        <w:t xml:space="preserve"> לשתי בקשות שנטען כי אינן דורשות אישור פרקליט נמצא כי בקשות אלו כללו עבירות המחייבות אישור. </w:t>
      </w:r>
      <w:r>
        <w:rPr>
          <w:rFonts w:hint="cs"/>
          <w:b/>
          <w:bCs/>
          <w:rtl/>
        </w:rPr>
        <w:t>בנוגע</w:t>
      </w:r>
      <w:r w:rsidRPr="00E37335">
        <w:rPr>
          <w:b/>
          <w:bCs/>
          <w:rtl/>
        </w:rPr>
        <w:t xml:space="preserve"> לבקשה השלישית שנטען שאינה דורשת אישור פרקליט נמצא כי זו הוגשה לבית משפט אך לא התקבלה החלטה שיפוטית ו</w:t>
      </w:r>
      <w:r>
        <w:rPr>
          <w:rFonts w:hint="cs"/>
          <w:b/>
          <w:bCs/>
          <w:rtl/>
        </w:rPr>
        <w:t>לפי</w:t>
      </w:r>
      <w:r w:rsidRPr="00E37335">
        <w:rPr>
          <w:b/>
          <w:bCs/>
          <w:rtl/>
        </w:rPr>
        <w:t xml:space="preserve">כך זו דרשה אישור </w:t>
      </w:r>
      <w:r>
        <w:rPr>
          <w:rFonts w:hint="cs"/>
          <w:b/>
          <w:bCs/>
          <w:rtl/>
        </w:rPr>
        <w:t>לפני</w:t>
      </w:r>
      <w:r w:rsidRPr="00E37335">
        <w:rPr>
          <w:b/>
          <w:bCs/>
          <w:rtl/>
        </w:rPr>
        <w:t xml:space="preserve"> הגשתה. </w:t>
      </w:r>
    </w:p>
    <w:p w:rsidR="00076F4A" w:rsidRPr="008A47DB" w:rsidRDefault="00076F4A" w:rsidP="0072530A">
      <w:pPr>
        <w:spacing w:line="269" w:lineRule="auto"/>
        <w:ind w:left="737"/>
        <w:rPr>
          <w:rtl/>
        </w:rPr>
      </w:pPr>
    </w:p>
    <w:p w:rsidR="009A1216" w:rsidRPr="00DE58A0" w:rsidRDefault="009A1216" w:rsidP="0072530A">
      <w:pPr>
        <w:spacing w:line="269" w:lineRule="auto"/>
        <w:ind w:left="1077"/>
        <w:rPr>
          <w:b/>
          <w:bCs/>
          <w:rtl/>
        </w:rPr>
      </w:pPr>
      <w:r>
        <w:rPr>
          <w:rFonts w:hint="cs"/>
          <w:b/>
          <w:bCs/>
          <w:rtl/>
        </w:rPr>
        <w:t>לפיכך,</w:t>
      </w:r>
      <w:r w:rsidRPr="00DE58A0">
        <w:rPr>
          <w:b/>
          <w:bCs/>
          <w:rtl/>
        </w:rPr>
        <w:t xml:space="preserve"> מוצע כי המשטרה, באמצעות המערכת לניהול צווים, תאכוף </w:t>
      </w:r>
      <w:r w:rsidRPr="00DE58A0">
        <w:rPr>
          <w:rFonts w:hint="cs"/>
          <w:b/>
          <w:bCs/>
          <w:rtl/>
        </w:rPr>
        <w:t>את החובה לבדוק כי התקבל</w:t>
      </w:r>
      <w:r w:rsidRPr="00DE58A0">
        <w:rPr>
          <w:b/>
          <w:bCs/>
          <w:rtl/>
        </w:rPr>
        <w:t xml:space="preserve"> אישור פרקליט</w:t>
      </w:r>
      <w:r w:rsidRPr="00DE58A0">
        <w:rPr>
          <w:rFonts w:hint="cs"/>
          <w:b/>
          <w:bCs/>
          <w:rtl/>
        </w:rPr>
        <w:t xml:space="preserve"> לפרשיות ותיקי חקירה העוסקים בעבירות רגישות</w:t>
      </w:r>
      <w:r w:rsidRPr="00DE58A0">
        <w:rPr>
          <w:b/>
          <w:bCs/>
          <w:rtl/>
        </w:rPr>
        <w:t xml:space="preserve"> </w:t>
      </w:r>
      <w:r w:rsidRPr="00DE58A0">
        <w:rPr>
          <w:rFonts w:hint="cs"/>
          <w:b/>
          <w:bCs/>
          <w:rtl/>
        </w:rPr>
        <w:t>עוד לפני</w:t>
      </w:r>
      <w:r w:rsidRPr="00DE58A0">
        <w:rPr>
          <w:b/>
          <w:bCs/>
          <w:rtl/>
        </w:rPr>
        <w:t xml:space="preserve"> הגשת הבקשה</w:t>
      </w:r>
      <w:r w:rsidRPr="00DE58A0">
        <w:rPr>
          <w:rFonts w:hint="cs"/>
          <w:b/>
          <w:bCs/>
          <w:rtl/>
        </w:rPr>
        <w:t xml:space="preserve">, ואילו הפרקליטות תוודא בדיעבד את קיומם של אישורי הפרקליט </w:t>
      </w:r>
      <w:r>
        <w:rPr>
          <w:rFonts w:hint="cs"/>
          <w:b/>
          <w:bCs/>
          <w:rtl/>
        </w:rPr>
        <w:t>לפני</w:t>
      </w:r>
      <w:r w:rsidRPr="00DE58A0">
        <w:rPr>
          <w:rFonts w:hint="cs"/>
          <w:b/>
          <w:bCs/>
          <w:rtl/>
        </w:rPr>
        <w:t xml:space="preserve"> הגשת כתב אישום</w:t>
      </w:r>
      <w:r w:rsidRPr="00DE58A0">
        <w:rPr>
          <w:b/>
          <w:bCs/>
          <w:rtl/>
        </w:rPr>
        <w:t xml:space="preserve">. </w:t>
      </w:r>
    </w:p>
    <w:p w:rsidR="009A1216" w:rsidRDefault="009A1216" w:rsidP="00604C3D">
      <w:pPr>
        <w:spacing w:line="269" w:lineRule="auto"/>
        <w:rPr>
          <w:rtl/>
        </w:rPr>
      </w:pPr>
    </w:p>
    <w:p w:rsidR="009A1216" w:rsidRDefault="009A1216" w:rsidP="008C598D">
      <w:pPr>
        <w:pStyle w:val="5"/>
        <w:numPr>
          <w:ilvl w:val="2"/>
          <w:numId w:val="73"/>
        </w:numPr>
        <w:spacing w:line="269" w:lineRule="auto"/>
        <w:ind w:left="707"/>
        <w:rPr>
          <w:rtl/>
        </w:rPr>
      </w:pPr>
      <w:r>
        <w:rPr>
          <w:rFonts w:hint="cs"/>
          <w:rtl/>
        </w:rPr>
        <w:t>אישור הגשת בקשות האזנת סתר ליעד האזנה רגיש</w:t>
      </w:r>
    </w:p>
    <w:p w:rsidR="00076F4A" w:rsidRDefault="00076F4A" w:rsidP="00604C3D">
      <w:pPr>
        <w:spacing w:line="269" w:lineRule="auto"/>
        <w:rPr>
          <w:rtl/>
        </w:rPr>
      </w:pPr>
    </w:p>
    <w:p w:rsidR="009A1216" w:rsidRDefault="009A1216" w:rsidP="0072530A">
      <w:pPr>
        <w:spacing w:line="269" w:lineRule="auto"/>
        <w:ind w:left="680"/>
        <w:rPr>
          <w:rtl/>
        </w:rPr>
      </w:pPr>
      <w:r>
        <w:rPr>
          <w:rFonts w:hint="cs"/>
          <w:rtl/>
        </w:rPr>
        <w:t>לפי נוהלי המשטרה,</w:t>
      </w:r>
      <w:r>
        <w:rPr>
          <w:rtl/>
        </w:rPr>
        <w:t xml:space="preserve"> הגשת בקשות </w:t>
      </w:r>
      <w:r>
        <w:rPr>
          <w:rFonts w:hint="cs"/>
          <w:rtl/>
        </w:rPr>
        <w:t>להאזנת סתר</w:t>
      </w:r>
      <w:r>
        <w:rPr>
          <w:rtl/>
        </w:rPr>
        <w:t xml:space="preserve"> </w:t>
      </w:r>
      <w:r>
        <w:rPr>
          <w:rFonts w:hint="cs"/>
          <w:rtl/>
        </w:rPr>
        <w:t>ל</w:t>
      </w:r>
      <w:r>
        <w:rPr>
          <w:rtl/>
        </w:rPr>
        <w:t xml:space="preserve">מעורבים </w:t>
      </w:r>
      <w:r>
        <w:rPr>
          <w:rFonts w:hint="cs"/>
          <w:rtl/>
        </w:rPr>
        <w:t>בביצוע עבירות</w:t>
      </w:r>
      <w:r>
        <w:rPr>
          <w:rtl/>
        </w:rPr>
        <w:t xml:space="preserve"> </w:t>
      </w:r>
      <w:r>
        <w:rPr>
          <w:rFonts w:hint="cs"/>
          <w:rtl/>
        </w:rPr>
        <w:t xml:space="preserve">שהם בעלי </w:t>
      </w:r>
      <w:r>
        <w:rPr>
          <w:rtl/>
        </w:rPr>
        <w:t>מעמד</w:t>
      </w:r>
      <w:r>
        <w:rPr>
          <w:rFonts w:hint="cs"/>
          <w:rtl/>
        </w:rPr>
        <w:t xml:space="preserve"> רגיש</w:t>
      </w:r>
      <w:r>
        <w:rPr>
          <w:rtl/>
        </w:rPr>
        <w:t xml:space="preserve"> (להלן - </w:t>
      </w:r>
      <w:r w:rsidRPr="0039454B">
        <w:rPr>
          <w:rtl/>
        </w:rPr>
        <w:t>מעורב רגיש</w:t>
      </w:r>
      <w:r>
        <w:rPr>
          <w:rtl/>
        </w:rPr>
        <w:t>)</w:t>
      </w:r>
      <w:r>
        <w:rPr>
          <w:rFonts w:hint="cs"/>
          <w:rtl/>
        </w:rPr>
        <w:t xml:space="preserve"> מצריכה אישורים נוספים</w:t>
      </w:r>
      <w:r>
        <w:rPr>
          <w:rStyle w:val="af"/>
          <w:rtl/>
        </w:rPr>
        <w:footnoteReference w:id="117"/>
      </w:r>
      <w:r>
        <w:rPr>
          <w:rtl/>
        </w:rPr>
        <w:t xml:space="preserve">. </w:t>
      </w:r>
      <w:bookmarkStart w:id="289" w:name="_Hlk199416871"/>
      <w:r>
        <w:rPr>
          <w:rFonts w:hint="cs"/>
          <w:rtl/>
        </w:rPr>
        <w:t>מעורבים רגישים הם</w:t>
      </w:r>
      <w:r>
        <w:rPr>
          <w:rtl/>
        </w:rPr>
        <w:t xml:space="preserve"> </w:t>
      </w:r>
      <w:r>
        <w:rPr>
          <w:rFonts w:hint="cs"/>
          <w:rtl/>
        </w:rPr>
        <w:t>אנשים ב</w:t>
      </w:r>
      <w:r>
        <w:rPr>
          <w:rtl/>
        </w:rPr>
        <w:t>דרג מדיני</w:t>
      </w:r>
      <w:r w:rsidRPr="0039454B">
        <w:rPr>
          <w:vertAlign w:val="superscript"/>
          <w:rtl/>
        </w:rPr>
        <w:footnoteReference w:id="118"/>
      </w:r>
      <w:r w:rsidRPr="0039454B">
        <w:rPr>
          <w:rtl/>
        </w:rPr>
        <w:t xml:space="preserve">, </w:t>
      </w:r>
      <w:r>
        <w:rPr>
          <w:rtl/>
        </w:rPr>
        <w:t>אישי ציבור ובעלי מקצוע ששיחותיהם חסויות - עורך דין, רופא, פסיכולוג, עובד סוציאלי או כהן דת</w:t>
      </w:r>
      <w:r>
        <w:rPr>
          <w:vertAlign w:val="superscript"/>
          <w:rtl/>
        </w:rPr>
        <w:footnoteReference w:id="119"/>
      </w:r>
      <w:r>
        <w:rPr>
          <w:rtl/>
        </w:rPr>
        <w:t xml:space="preserve"> (להלן </w:t>
      </w:r>
      <w:r>
        <w:rPr>
          <w:rFonts w:hint="cs"/>
          <w:rtl/>
        </w:rPr>
        <w:t>-</w:t>
      </w:r>
      <w:r>
        <w:rPr>
          <w:rtl/>
        </w:rPr>
        <w:t xml:space="preserve"> </w:t>
      </w:r>
      <w:r w:rsidRPr="0039454B">
        <w:rPr>
          <w:rtl/>
        </w:rPr>
        <w:t>בעל חיסיון מקצועי</w:t>
      </w:r>
      <w:r>
        <w:rPr>
          <w:rtl/>
        </w:rPr>
        <w:t>).</w:t>
      </w:r>
      <w:r>
        <w:rPr>
          <w:rFonts w:hint="cs"/>
          <w:rtl/>
        </w:rPr>
        <w:t xml:space="preserve"> </w:t>
      </w:r>
      <w:bookmarkEnd w:id="289"/>
      <w:r>
        <w:rPr>
          <w:rFonts w:hint="cs"/>
          <w:rtl/>
        </w:rPr>
        <w:t>תכלית החיסיון של הדרג המדיני היא להבטיח כי הם ממלא את תפקיד</w:t>
      </w:r>
      <w:r w:rsidR="00590FD7">
        <w:rPr>
          <w:rFonts w:hint="cs"/>
          <w:rtl/>
        </w:rPr>
        <w:t>ו</w:t>
      </w:r>
      <w:r>
        <w:rPr>
          <w:rFonts w:hint="cs"/>
          <w:rtl/>
        </w:rPr>
        <w:t xml:space="preserve"> נאמנה</w:t>
      </w:r>
      <w:r>
        <w:rPr>
          <w:rStyle w:val="af"/>
          <w:rtl/>
        </w:rPr>
        <w:footnoteReference w:id="120"/>
      </w:r>
      <w:r>
        <w:rPr>
          <w:rFonts w:hint="cs"/>
          <w:rtl/>
        </w:rPr>
        <w:t>, ואם מדובר בבעל חיסיון מקצועי, החיסיון נועד להבטיח שמירה על סוד שיחו של האדם המקיים את השיחה עימו</w:t>
      </w:r>
      <w:r>
        <w:rPr>
          <w:rStyle w:val="af"/>
          <w:rtl/>
        </w:rPr>
        <w:footnoteReference w:id="121"/>
      </w:r>
      <w:r>
        <w:rPr>
          <w:rFonts w:hint="cs"/>
          <w:rtl/>
        </w:rPr>
        <w:t xml:space="preserve">. </w:t>
      </w:r>
    </w:p>
    <w:p w:rsidR="00076F4A" w:rsidRDefault="00076F4A" w:rsidP="0072530A">
      <w:pPr>
        <w:spacing w:line="269" w:lineRule="auto"/>
        <w:ind w:left="680"/>
        <w:rPr>
          <w:rtl/>
        </w:rPr>
      </w:pPr>
    </w:p>
    <w:p w:rsidR="009A1216" w:rsidRDefault="009A1216" w:rsidP="0072530A">
      <w:pPr>
        <w:spacing w:line="269" w:lineRule="auto"/>
        <w:ind w:left="680"/>
        <w:rPr>
          <w:rtl/>
        </w:rPr>
      </w:pPr>
      <w:r>
        <w:rPr>
          <w:rFonts w:hint="cs"/>
          <w:rtl/>
        </w:rPr>
        <w:t xml:space="preserve">בשנים 2019 - 2021 </w:t>
      </w:r>
      <w:bookmarkStart w:id="290" w:name="_Hlk135209255"/>
      <w:r>
        <w:rPr>
          <w:rtl/>
        </w:rPr>
        <w:t xml:space="preserve">הכינה המשטרה </w:t>
      </w:r>
      <w:bookmarkEnd w:id="290"/>
      <w:r w:rsidR="00A1454A">
        <w:rPr>
          <w:rFonts w:hint="cs"/>
          <w:rtl/>
        </w:rPr>
        <w:t>מאות</w:t>
      </w:r>
      <w:r>
        <w:rPr>
          <w:rtl/>
        </w:rPr>
        <w:t xml:space="preserve"> </w:t>
      </w:r>
      <w:r>
        <w:rPr>
          <w:rFonts w:hint="cs"/>
          <w:rtl/>
        </w:rPr>
        <w:t>בקשות</w:t>
      </w:r>
      <w:r>
        <w:rPr>
          <w:rtl/>
        </w:rPr>
        <w:t xml:space="preserve"> </w:t>
      </w:r>
      <w:r>
        <w:rPr>
          <w:rFonts w:hint="cs"/>
          <w:rtl/>
        </w:rPr>
        <w:t>ב</w:t>
      </w:r>
      <w:r w:rsidR="00A1454A">
        <w:rPr>
          <w:rFonts w:hint="cs"/>
          <w:rtl/>
        </w:rPr>
        <w:t>עשרות</w:t>
      </w:r>
      <w:r>
        <w:rPr>
          <w:rFonts w:hint="cs"/>
          <w:rtl/>
        </w:rPr>
        <w:t xml:space="preserve"> פרשיות שבהן נכללו </w:t>
      </w:r>
      <w:r w:rsidR="00A1454A">
        <w:rPr>
          <w:rFonts w:hint="cs"/>
          <w:rtl/>
        </w:rPr>
        <w:t>עשרות</w:t>
      </w:r>
      <w:r>
        <w:rPr>
          <w:rFonts w:hint="cs"/>
          <w:rtl/>
        </w:rPr>
        <w:t xml:space="preserve"> יעדי האזנה שהם מעורבים רגישים. </w:t>
      </w:r>
      <w:r w:rsidR="00CA5ED5">
        <w:rPr>
          <w:rFonts w:hint="cs"/>
          <w:rtl/>
        </w:rPr>
        <w:t>כשישית</w:t>
      </w:r>
      <w:r w:rsidR="00382AE8">
        <w:rPr>
          <w:rFonts w:hint="cs"/>
          <w:rtl/>
        </w:rPr>
        <w:t xml:space="preserve"> </w:t>
      </w:r>
      <w:r>
        <w:rPr>
          <w:rFonts w:hint="cs"/>
          <w:rtl/>
        </w:rPr>
        <w:t>מהבקשות להאזנת סתר הן להאזנה לתקשורת בין מחשבים. מרבית הבקשות אושרו, וההאזנה לרוב יעדי ההאזנה מומשה. להלן יפורטו סוג המעורב הרגיש, התנאים לאישור הגשת הבקשה להאזנת סתר לשיחותיו:</w:t>
      </w:r>
    </w:p>
    <w:p w:rsidR="001F77AD" w:rsidRDefault="001F77AD" w:rsidP="00604C3D">
      <w:pPr>
        <w:spacing w:line="269" w:lineRule="auto"/>
        <w:rPr>
          <w:rtl/>
        </w:rPr>
      </w:pPr>
    </w:p>
    <w:p w:rsidR="00A36C3A" w:rsidRDefault="00A36C3A">
      <w:pPr>
        <w:bidi w:val="0"/>
        <w:spacing w:after="200" w:line="276" w:lineRule="auto"/>
        <w:rPr>
          <w:rtl/>
        </w:rPr>
      </w:pPr>
      <w:r>
        <w:rPr>
          <w:rtl/>
        </w:rPr>
        <w:br w:type="page"/>
      </w:r>
    </w:p>
    <w:p w:rsidR="009A1216" w:rsidRDefault="008A67C6" w:rsidP="00604C3D">
      <w:pPr>
        <w:spacing w:line="269" w:lineRule="auto"/>
        <w:jc w:val="center"/>
        <w:rPr>
          <w:rtl/>
        </w:rPr>
      </w:pPr>
      <w:r w:rsidRPr="00A512AA">
        <w:rPr>
          <w:rFonts w:hint="eastAsia"/>
          <w:rtl/>
        </w:rPr>
        <w:t>לוח</w:t>
      </w:r>
      <w:r w:rsidR="001F77AD">
        <w:rPr>
          <w:rFonts w:hint="cs"/>
          <w:rtl/>
        </w:rPr>
        <w:t xml:space="preserve"> 6</w:t>
      </w:r>
      <w:r w:rsidR="009A1216" w:rsidRPr="00A512AA">
        <w:rPr>
          <w:rtl/>
        </w:rPr>
        <w:t>:</w:t>
      </w:r>
      <w:r w:rsidR="009A1216" w:rsidRPr="00A512AA">
        <w:rPr>
          <w:b/>
          <w:bCs/>
          <w:rtl/>
        </w:rPr>
        <w:t xml:space="preserve"> מתווה אישור הגשת בקשה לפי סוג מעורב רגיש </w:t>
      </w:r>
    </w:p>
    <w:tbl>
      <w:tblPr>
        <w:bidiVisual/>
        <w:tblW w:w="8361"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1499"/>
        <w:gridCol w:w="1559"/>
        <w:gridCol w:w="1984"/>
        <w:gridCol w:w="1276"/>
        <w:gridCol w:w="850"/>
      </w:tblGrid>
      <w:tr w:rsidR="00CA5ED5" w:rsidRPr="005E5651" w:rsidTr="001F77AD">
        <w:tc>
          <w:tcPr>
            <w:tcW w:w="2692" w:type="dxa"/>
            <w:gridSpan w:val="2"/>
            <w:vMerge w:val="restart"/>
          </w:tcPr>
          <w:p w:rsidR="00CA5ED5" w:rsidRPr="00FA5D70" w:rsidRDefault="00CA5ED5" w:rsidP="00604C3D">
            <w:pPr>
              <w:spacing w:line="269" w:lineRule="auto"/>
              <w:jc w:val="center"/>
              <w:rPr>
                <w:rFonts w:ascii="David" w:hAnsi="David"/>
                <w:b/>
                <w:bCs/>
              </w:rPr>
            </w:pPr>
            <w:bookmarkStart w:id="291" w:name="_Hlk133760577"/>
            <w:r>
              <w:rPr>
                <w:rFonts w:ascii="David" w:hAnsi="David" w:hint="cs"/>
                <w:b/>
                <w:bCs/>
              </w:rPr>
              <w:t>סוג מעורב רגיש</w:t>
            </w:r>
          </w:p>
        </w:tc>
        <w:tc>
          <w:tcPr>
            <w:tcW w:w="5669" w:type="dxa"/>
            <w:gridSpan w:val="4"/>
            <w:shd w:val="clear" w:color="auto" w:fill="D9D9D9" w:themeFill="background1" w:themeFillShade="D9"/>
          </w:tcPr>
          <w:p w:rsidR="00CA5ED5" w:rsidRPr="00520336" w:rsidRDefault="00CA5ED5" w:rsidP="00604C3D">
            <w:pPr>
              <w:spacing w:line="269" w:lineRule="auto"/>
              <w:jc w:val="center"/>
              <w:rPr>
                <w:rFonts w:ascii="David" w:hAnsi="David"/>
                <w:b/>
                <w:bCs/>
              </w:rPr>
            </w:pPr>
            <w:r w:rsidRPr="00FA5D70">
              <w:rPr>
                <w:rFonts w:ascii="David" w:hAnsi="David" w:hint="cs"/>
                <w:b/>
                <w:bCs/>
              </w:rPr>
              <w:t>תנאי</w:t>
            </w:r>
            <w:r>
              <w:rPr>
                <w:rFonts w:ascii="David" w:hAnsi="David" w:hint="cs"/>
                <w:b/>
                <w:bCs/>
              </w:rPr>
              <w:t>ם</w:t>
            </w:r>
            <w:r w:rsidRPr="00FA5D70">
              <w:rPr>
                <w:rFonts w:ascii="David" w:hAnsi="David" w:hint="cs"/>
                <w:b/>
                <w:bCs/>
              </w:rPr>
              <w:t xml:space="preserve"> </w:t>
            </w:r>
            <w:r>
              <w:rPr>
                <w:rFonts w:ascii="David" w:hAnsi="David" w:hint="cs"/>
                <w:b/>
                <w:bCs/>
              </w:rPr>
              <w:t>לאישור הגשת הבקשה</w:t>
            </w:r>
            <w:r w:rsidRPr="00FA5D70">
              <w:rPr>
                <w:rFonts w:ascii="David" w:hAnsi="David" w:hint="cs"/>
                <w:b/>
                <w:bCs/>
              </w:rPr>
              <w:t xml:space="preserve"> וזהות </w:t>
            </w:r>
            <w:r>
              <w:rPr>
                <w:rFonts w:ascii="David" w:hAnsi="David" w:hint="cs"/>
                <w:b/>
                <w:bCs/>
              </w:rPr>
              <w:t>ה</w:t>
            </w:r>
            <w:r w:rsidRPr="00FA5D70">
              <w:rPr>
                <w:rFonts w:ascii="David" w:hAnsi="David" w:hint="cs"/>
                <w:b/>
                <w:bCs/>
              </w:rPr>
              <w:t xml:space="preserve">גורם </w:t>
            </w:r>
            <w:r>
              <w:rPr>
                <w:rFonts w:ascii="David" w:hAnsi="David" w:hint="cs"/>
                <w:b/>
                <w:bCs/>
              </w:rPr>
              <w:t>ה</w:t>
            </w:r>
            <w:r w:rsidRPr="00FA5D70">
              <w:rPr>
                <w:rFonts w:ascii="David" w:hAnsi="David" w:hint="cs"/>
                <w:b/>
                <w:bCs/>
              </w:rPr>
              <w:t>מאשר</w:t>
            </w:r>
          </w:p>
        </w:tc>
      </w:tr>
      <w:tr w:rsidR="00CA5ED5" w:rsidRPr="005E5651" w:rsidTr="001F77AD">
        <w:tc>
          <w:tcPr>
            <w:tcW w:w="2692" w:type="dxa"/>
            <w:gridSpan w:val="2"/>
            <w:vMerge/>
          </w:tcPr>
          <w:p w:rsidR="00CA5ED5" w:rsidRPr="00FA5D70" w:rsidRDefault="00CA5ED5" w:rsidP="00604C3D">
            <w:pPr>
              <w:spacing w:line="269" w:lineRule="auto"/>
              <w:jc w:val="center"/>
              <w:rPr>
                <w:rFonts w:ascii="David" w:hAnsi="David"/>
                <w:b/>
                <w:bCs/>
              </w:rPr>
            </w:pPr>
          </w:p>
        </w:tc>
        <w:tc>
          <w:tcPr>
            <w:tcW w:w="3543" w:type="dxa"/>
            <w:gridSpan w:val="2"/>
            <w:tcBorders>
              <w:left w:val="double" w:sz="4" w:space="0" w:color="auto"/>
              <w:right w:val="double" w:sz="4" w:space="0" w:color="auto"/>
            </w:tcBorders>
            <w:shd w:val="clear" w:color="auto" w:fill="D9D9D9" w:themeFill="background1" w:themeFillShade="D9"/>
          </w:tcPr>
          <w:p w:rsidR="00CA5ED5" w:rsidRPr="00520336" w:rsidRDefault="00CA5ED5" w:rsidP="00604C3D">
            <w:pPr>
              <w:spacing w:line="269" w:lineRule="auto"/>
              <w:jc w:val="center"/>
              <w:rPr>
                <w:rFonts w:ascii="David" w:hAnsi="David"/>
                <w:b/>
                <w:bCs/>
              </w:rPr>
            </w:pPr>
            <w:r w:rsidRPr="00520336">
              <w:rPr>
                <w:rFonts w:ascii="David" w:hAnsi="David" w:hint="cs"/>
                <w:b/>
                <w:bCs/>
              </w:rPr>
              <w:t>אישור</w:t>
            </w:r>
            <w:r>
              <w:rPr>
                <w:rFonts w:ascii="David" w:hAnsi="David" w:hint="cs"/>
                <w:b/>
                <w:bCs/>
              </w:rPr>
              <w:t xml:space="preserve"> פעולת חקירה -</w:t>
            </w:r>
            <w:r w:rsidRPr="00520336">
              <w:rPr>
                <w:rFonts w:ascii="David" w:hAnsi="David" w:hint="cs"/>
                <w:b/>
                <w:bCs/>
              </w:rPr>
              <w:t xml:space="preserve"> הגשת בקשה </w:t>
            </w:r>
            <w:r>
              <w:rPr>
                <w:rFonts w:ascii="David" w:hAnsi="David" w:hint="cs"/>
                <w:b/>
                <w:bCs/>
              </w:rPr>
              <w:t>להאזנה</w:t>
            </w:r>
          </w:p>
        </w:tc>
        <w:tc>
          <w:tcPr>
            <w:tcW w:w="1276" w:type="dxa"/>
            <w:vMerge w:val="restart"/>
            <w:tcBorders>
              <w:left w:val="double" w:sz="4" w:space="0" w:color="auto"/>
            </w:tcBorders>
            <w:shd w:val="clear" w:color="auto" w:fill="D9D9D9" w:themeFill="background1" w:themeFillShade="D9"/>
          </w:tcPr>
          <w:p w:rsidR="00CA5ED5" w:rsidRPr="00520336" w:rsidRDefault="00CA5ED5" w:rsidP="00604C3D">
            <w:pPr>
              <w:spacing w:line="269" w:lineRule="auto"/>
              <w:jc w:val="center"/>
              <w:rPr>
                <w:rFonts w:ascii="David" w:hAnsi="David"/>
                <w:b/>
                <w:bCs/>
              </w:rPr>
            </w:pPr>
            <w:r w:rsidRPr="00520336">
              <w:rPr>
                <w:rFonts w:ascii="David" w:hAnsi="David" w:hint="cs"/>
                <w:b/>
                <w:bCs/>
              </w:rPr>
              <w:t>בית המשפט הדן בבקשה</w:t>
            </w:r>
            <w:r>
              <w:rPr>
                <w:rStyle w:val="af"/>
                <w:rFonts w:ascii="David" w:hAnsi="David"/>
              </w:rPr>
              <w:footnoteReference w:id="122"/>
            </w:r>
          </w:p>
        </w:tc>
        <w:tc>
          <w:tcPr>
            <w:tcW w:w="850" w:type="dxa"/>
            <w:vMerge w:val="restart"/>
            <w:shd w:val="clear" w:color="auto" w:fill="D9D9D9" w:themeFill="background1" w:themeFillShade="D9"/>
          </w:tcPr>
          <w:p w:rsidR="00CA5ED5" w:rsidRDefault="00CA5ED5" w:rsidP="00604C3D">
            <w:pPr>
              <w:spacing w:line="269" w:lineRule="auto"/>
              <w:jc w:val="center"/>
              <w:rPr>
                <w:rFonts w:ascii="David" w:hAnsi="David"/>
                <w:b/>
                <w:bCs/>
              </w:rPr>
            </w:pPr>
            <w:r>
              <w:rPr>
                <w:rFonts w:ascii="David" w:hAnsi="David" w:hint="cs"/>
                <w:b/>
                <w:bCs/>
              </w:rPr>
              <w:t>מגבלת עבירות להאזנה</w:t>
            </w:r>
          </w:p>
        </w:tc>
      </w:tr>
      <w:tr w:rsidR="00CA5ED5" w:rsidRPr="005E5651" w:rsidTr="001F77AD">
        <w:trPr>
          <w:trHeight w:val="521"/>
        </w:trPr>
        <w:tc>
          <w:tcPr>
            <w:tcW w:w="2692" w:type="dxa"/>
            <w:gridSpan w:val="2"/>
            <w:vMerge/>
            <w:shd w:val="clear" w:color="auto" w:fill="D9D9D9" w:themeFill="background1" w:themeFillShade="D9"/>
          </w:tcPr>
          <w:p w:rsidR="00CA5ED5" w:rsidRPr="00520336" w:rsidRDefault="00CA5ED5" w:rsidP="00604C3D">
            <w:pPr>
              <w:spacing w:line="269" w:lineRule="auto"/>
              <w:rPr>
                <w:rFonts w:ascii="David" w:hAnsi="David"/>
                <w:b/>
                <w:bCs/>
              </w:rPr>
            </w:pPr>
          </w:p>
        </w:tc>
        <w:tc>
          <w:tcPr>
            <w:tcW w:w="1559" w:type="dxa"/>
            <w:tcBorders>
              <w:left w:val="double" w:sz="4" w:space="0" w:color="auto"/>
            </w:tcBorders>
            <w:shd w:val="clear" w:color="auto" w:fill="D9D9D9" w:themeFill="background1" w:themeFillShade="D9"/>
          </w:tcPr>
          <w:p w:rsidR="00CA5ED5" w:rsidRPr="005E5651" w:rsidRDefault="00CA5ED5" w:rsidP="00604C3D">
            <w:pPr>
              <w:spacing w:line="269" w:lineRule="auto"/>
              <w:jc w:val="center"/>
              <w:rPr>
                <w:rFonts w:ascii="David" w:hAnsi="David"/>
              </w:rPr>
            </w:pPr>
            <w:r>
              <w:rPr>
                <w:rFonts w:ascii="David" w:hAnsi="David" w:hint="cs"/>
                <w:b/>
                <w:bCs/>
              </w:rPr>
              <w:t>דרג</w:t>
            </w:r>
            <w:r w:rsidRPr="00520336">
              <w:rPr>
                <w:rFonts w:ascii="David" w:hAnsi="David" w:hint="cs"/>
                <w:b/>
                <w:bCs/>
              </w:rPr>
              <w:t xml:space="preserve"> </w:t>
            </w:r>
            <w:r>
              <w:rPr>
                <w:rFonts w:ascii="David" w:hAnsi="David" w:hint="cs"/>
                <w:b/>
                <w:bCs/>
              </w:rPr>
              <w:t>מאשר פנימי</w:t>
            </w:r>
          </w:p>
        </w:tc>
        <w:tc>
          <w:tcPr>
            <w:tcW w:w="1984" w:type="dxa"/>
            <w:tcBorders>
              <w:right w:val="double" w:sz="4" w:space="0" w:color="auto"/>
            </w:tcBorders>
            <w:shd w:val="clear" w:color="auto" w:fill="D9D9D9" w:themeFill="background1" w:themeFillShade="D9"/>
          </w:tcPr>
          <w:p w:rsidR="00CA5ED5" w:rsidRDefault="00CA5ED5" w:rsidP="00604C3D">
            <w:pPr>
              <w:spacing w:line="269" w:lineRule="auto"/>
              <w:jc w:val="center"/>
              <w:rPr>
                <w:rFonts w:ascii="David" w:hAnsi="David"/>
              </w:rPr>
            </w:pPr>
            <w:r>
              <w:rPr>
                <w:rFonts w:ascii="David" w:hAnsi="David" w:hint="cs"/>
                <w:b/>
                <w:bCs/>
              </w:rPr>
              <w:t xml:space="preserve">דרג מאשר </w:t>
            </w:r>
            <w:r w:rsidRPr="00520336">
              <w:rPr>
                <w:rFonts w:ascii="David" w:hAnsi="David" w:hint="cs"/>
                <w:b/>
                <w:bCs/>
              </w:rPr>
              <w:t>חיצוני</w:t>
            </w:r>
          </w:p>
        </w:tc>
        <w:tc>
          <w:tcPr>
            <w:tcW w:w="1276" w:type="dxa"/>
            <w:vMerge/>
            <w:tcBorders>
              <w:left w:val="double" w:sz="4" w:space="0" w:color="auto"/>
            </w:tcBorders>
            <w:shd w:val="clear" w:color="auto" w:fill="D9D9D9" w:themeFill="background1" w:themeFillShade="D9"/>
          </w:tcPr>
          <w:p w:rsidR="00CA5ED5" w:rsidRPr="005E5651" w:rsidRDefault="00CA5ED5" w:rsidP="00604C3D">
            <w:pPr>
              <w:spacing w:line="269" w:lineRule="auto"/>
              <w:jc w:val="center"/>
              <w:rPr>
                <w:rFonts w:ascii="David" w:hAnsi="David"/>
              </w:rPr>
            </w:pPr>
          </w:p>
        </w:tc>
        <w:tc>
          <w:tcPr>
            <w:tcW w:w="850" w:type="dxa"/>
            <w:vMerge/>
            <w:shd w:val="clear" w:color="auto" w:fill="D9D9D9" w:themeFill="background1" w:themeFillShade="D9"/>
          </w:tcPr>
          <w:p w:rsidR="00CA5ED5" w:rsidRDefault="00CA5ED5" w:rsidP="00604C3D">
            <w:pPr>
              <w:spacing w:line="269" w:lineRule="auto"/>
              <w:jc w:val="center"/>
              <w:rPr>
                <w:rFonts w:ascii="David" w:hAnsi="David"/>
                <w:color w:val="C00000"/>
              </w:rPr>
            </w:pPr>
          </w:p>
        </w:tc>
      </w:tr>
      <w:tr w:rsidR="00CA5ED5" w:rsidRPr="005E5651" w:rsidTr="001F77AD">
        <w:trPr>
          <w:cantSplit/>
          <w:trHeight w:val="332"/>
        </w:trPr>
        <w:tc>
          <w:tcPr>
            <w:tcW w:w="1193" w:type="dxa"/>
            <w:vMerge w:val="restart"/>
            <w:shd w:val="clear" w:color="auto" w:fill="D9D9D9" w:themeFill="background1" w:themeFillShade="D9"/>
          </w:tcPr>
          <w:p w:rsidR="00CA5ED5" w:rsidRDefault="00CA5ED5" w:rsidP="00604C3D">
            <w:pPr>
              <w:spacing w:line="269" w:lineRule="auto"/>
              <w:rPr>
                <w:rFonts w:ascii="David" w:hAnsi="David"/>
                <w:b/>
                <w:bCs/>
              </w:rPr>
            </w:pPr>
            <w:r>
              <w:rPr>
                <w:rFonts w:ascii="David" w:hAnsi="David" w:hint="cs"/>
                <w:b/>
                <w:bCs/>
              </w:rPr>
              <w:t>דרג מדיני</w:t>
            </w:r>
          </w:p>
        </w:tc>
        <w:tc>
          <w:tcPr>
            <w:tcW w:w="1499" w:type="dxa"/>
            <w:shd w:val="clear" w:color="auto" w:fill="D9D9D9" w:themeFill="background1" w:themeFillShade="D9"/>
          </w:tcPr>
          <w:p w:rsidR="00CA5ED5" w:rsidRPr="00520336" w:rsidRDefault="00CA5ED5" w:rsidP="00604C3D">
            <w:pPr>
              <w:spacing w:line="269" w:lineRule="auto"/>
              <w:jc w:val="left"/>
              <w:rPr>
                <w:rFonts w:ascii="David" w:hAnsi="David"/>
                <w:b/>
                <w:bCs/>
              </w:rPr>
            </w:pPr>
            <w:r>
              <w:rPr>
                <w:rFonts w:ascii="David" w:hAnsi="David" w:hint="cs"/>
                <w:b/>
                <w:bCs/>
              </w:rPr>
              <w:t xml:space="preserve">נשיא </w:t>
            </w:r>
          </w:p>
        </w:tc>
        <w:tc>
          <w:tcPr>
            <w:tcW w:w="1559" w:type="dxa"/>
            <w:vMerge w:val="restart"/>
            <w:tcBorders>
              <w:left w:val="double" w:sz="4" w:space="0" w:color="auto"/>
            </w:tcBorders>
            <w:vAlign w:val="center"/>
          </w:tcPr>
          <w:p w:rsidR="00CA5ED5" w:rsidRDefault="00CA5ED5" w:rsidP="00604C3D">
            <w:pPr>
              <w:spacing w:line="269" w:lineRule="auto"/>
              <w:jc w:val="left"/>
              <w:rPr>
                <w:rFonts w:ascii="David" w:hAnsi="David"/>
              </w:rPr>
            </w:pPr>
            <w:r>
              <w:rPr>
                <w:rFonts w:ascii="David" w:hAnsi="David" w:hint="cs"/>
              </w:rPr>
              <w:t>ראש אח"ם</w:t>
            </w:r>
          </w:p>
          <w:p w:rsidR="00CA5ED5" w:rsidRDefault="00CA5ED5" w:rsidP="00604C3D">
            <w:pPr>
              <w:spacing w:line="269" w:lineRule="auto"/>
              <w:jc w:val="left"/>
              <w:rPr>
                <w:rFonts w:ascii="David" w:hAnsi="David"/>
              </w:rPr>
            </w:pPr>
            <w:r>
              <w:rPr>
                <w:rFonts w:ascii="David" w:hAnsi="David" w:hint="cs"/>
              </w:rPr>
              <w:t>בכתב</w:t>
            </w:r>
          </w:p>
        </w:tc>
        <w:tc>
          <w:tcPr>
            <w:tcW w:w="1984" w:type="dxa"/>
            <w:vMerge w:val="restart"/>
            <w:tcBorders>
              <w:right w:val="double" w:sz="4" w:space="0" w:color="auto"/>
            </w:tcBorders>
            <w:vAlign w:val="center"/>
          </w:tcPr>
          <w:p w:rsidR="00CA5ED5" w:rsidRPr="00DA19E0" w:rsidRDefault="00CA5ED5" w:rsidP="00604C3D">
            <w:pPr>
              <w:spacing w:line="269" w:lineRule="auto"/>
              <w:jc w:val="left"/>
              <w:rPr>
                <w:rFonts w:ascii="David" w:hAnsi="David"/>
                <w:szCs w:val="20"/>
              </w:rPr>
            </w:pPr>
            <w:r w:rsidRPr="00DA19E0">
              <w:rPr>
                <w:rFonts w:ascii="David" w:hAnsi="David" w:hint="eastAsia"/>
                <w:szCs w:val="20"/>
                <w:rtl/>
              </w:rPr>
              <w:t>היועמ</w:t>
            </w:r>
            <w:r w:rsidRPr="00DA19E0">
              <w:rPr>
                <w:rFonts w:ascii="David" w:hAnsi="David"/>
                <w:szCs w:val="20"/>
                <w:rtl/>
              </w:rPr>
              <w:t>"ש</w:t>
            </w:r>
            <w:r w:rsidRPr="00DA19E0">
              <w:rPr>
                <w:rFonts w:ascii="David" w:hAnsi="David"/>
                <w:szCs w:val="20"/>
              </w:rPr>
              <w:t xml:space="preserve"> </w:t>
            </w:r>
            <w:r w:rsidRPr="00DA19E0">
              <w:rPr>
                <w:rFonts w:ascii="David" w:hAnsi="David"/>
                <w:szCs w:val="20"/>
                <w:rtl/>
              </w:rPr>
              <w:t>לממשלה</w:t>
            </w:r>
          </w:p>
          <w:p w:rsidR="00CA5ED5" w:rsidRDefault="00CA5ED5" w:rsidP="00604C3D">
            <w:pPr>
              <w:spacing w:line="269" w:lineRule="auto"/>
              <w:jc w:val="left"/>
              <w:rPr>
                <w:rFonts w:ascii="David" w:hAnsi="David"/>
                <w:rtl/>
              </w:rPr>
            </w:pPr>
            <w:r>
              <w:rPr>
                <w:rFonts w:ascii="David" w:hAnsi="David" w:hint="cs"/>
              </w:rPr>
              <w:t>בכתב</w:t>
            </w:r>
          </w:p>
          <w:p w:rsidR="00CA5ED5" w:rsidRDefault="00CA5ED5" w:rsidP="00604C3D">
            <w:pPr>
              <w:spacing w:line="269" w:lineRule="auto"/>
              <w:jc w:val="left"/>
              <w:rPr>
                <w:rFonts w:ascii="David" w:hAnsi="David"/>
                <w:rtl/>
              </w:rPr>
            </w:pPr>
          </w:p>
        </w:tc>
        <w:tc>
          <w:tcPr>
            <w:tcW w:w="1276" w:type="dxa"/>
            <w:tcBorders>
              <w:left w:val="double" w:sz="4" w:space="0" w:color="auto"/>
              <w:right w:val="double" w:sz="4" w:space="0" w:color="auto"/>
            </w:tcBorders>
            <w:vAlign w:val="center"/>
          </w:tcPr>
          <w:p w:rsidR="00CA5ED5" w:rsidRPr="005E5651" w:rsidRDefault="00CA5ED5" w:rsidP="00604C3D">
            <w:pPr>
              <w:spacing w:line="269" w:lineRule="auto"/>
              <w:jc w:val="left"/>
              <w:rPr>
                <w:rFonts w:ascii="David" w:hAnsi="David"/>
              </w:rPr>
            </w:pPr>
            <w:r>
              <w:rPr>
                <w:rFonts w:ascii="David" w:hAnsi="David" w:hint="cs"/>
              </w:rPr>
              <w:t>בית משפט מחוזי</w:t>
            </w:r>
          </w:p>
        </w:tc>
        <w:tc>
          <w:tcPr>
            <w:tcW w:w="850" w:type="dxa"/>
            <w:vMerge w:val="restart"/>
            <w:tcBorders>
              <w:left w:val="double" w:sz="4" w:space="0" w:color="auto"/>
              <w:right w:val="double" w:sz="4" w:space="0" w:color="auto"/>
            </w:tcBorders>
            <w:vAlign w:val="center"/>
          </w:tcPr>
          <w:p w:rsidR="00CA5ED5" w:rsidRPr="00FE18FE" w:rsidRDefault="00CA5ED5" w:rsidP="00604C3D">
            <w:pPr>
              <w:spacing w:line="269" w:lineRule="auto"/>
              <w:jc w:val="center"/>
              <w:rPr>
                <w:rFonts w:ascii="David" w:hAnsi="David"/>
                <w:color w:val="C00000"/>
              </w:rPr>
            </w:pPr>
            <w:r w:rsidRPr="00BA4675">
              <w:rPr>
                <w:rFonts w:ascii="David" w:hAnsi="David" w:hint="cs"/>
              </w:rPr>
              <w:t>כן</w:t>
            </w:r>
          </w:p>
        </w:tc>
      </w:tr>
      <w:tr w:rsidR="00CA5ED5" w:rsidRPr="005E5651" w:rsidTr="001F77AD">
        <w:trPr>
          <w:cantSplit/>
          <w:trHeight w:val="340"/>
        </w:trPr>
        <w:tc>
          <w:tcPr>
            <w:tcW w:w="1193" w:type="dxa"/>
            <w:vMerge/>
            <w:shd w:val="clear" w:color="auto" w:fill="D9D9D9" w:themeFill="background1" w:themeFillShade="D9"/>
          </w:tcPr>
          <w:p w:rsidR="00CA5ED5" w:rsidRDefault="00CA5ED5" w:rsidP="00604C3D">
            <w:pPr>
              <w:spacing w:line="269" w:lineRule="auto"/>
              <w:rPr>
                <w:rFonts w:ascii="David" w:hAnsi="David"/>
                <w:b/>
                <w:bCs/>
              </w:rPr>
            </w:pPr>
          </w:p>
        </w:tc>
        <w:tc>
          <w:tcPr>
            <w:tcW w:w="1499" w:type="dxa"/>
            <w:shd w:val="clear" w:color="auto" w:fill="D9D9D9" w:themeFill="background1" w:themeFillShade="D9"/>
          </w:tcPr>
          <w:p w:rsidR="00CA5ED5" w:rsidRPr="00520336" w:rsidRDefault="00CA5ED5" w:rsidP="00604C3D">
            <w:pPr>
              <w:spacing w:line="269" w:lineRule="auto"/>
              <w:jc w:val="left"/>
              <w:rPr>
                <w:rFonts w:ascii="David" w:hAnsi="David"/>
                <w:b/>
                <w:bCs/>
              </w:rPr>
            </w:pPr>
            <w:r>
              <w:rPr>
                <w:rFonts w:ascii="David" w:hAnsi="David" w:hint="cs"/>
                <w:b/>
                <w:bCs/>
              </w:rPr>
              <w:t>רה"מ ושרים</w:t>
            </w:r>
          </w:p>
        </w:tc>
        <w:tc>
          <w:tcPr>
            <w:tcW w:w="1559" w:type="dxa"/>
            <w:vMerge/>
            <w:tcBorders>
              <w:left w:val="double" w:sz="4" w:space="0" w:color="auto"/>
            </w:tcBorders>
            <w:vAlign w:val="center"/>
          </w:tcPr>
          <w:p w:rsidR="00CA5ED5" w:rsidRDefault="00CA5ED5" w:rsidP="00604C3D">
            <w:pPr>
              <w:spacing w:line="269" w:lineRule="auto"/>
              <w:jc w:val="left"/>
              <w:rPr>
                <w:rFonts w:ascii="David" w:hAnsi="David"/>
              </w:rPr>
            </w:pPr>
          </w:p>
        </w:tc>
        <w:tc>
          <w:tcPr>
            <w:tcW w:w="1984" w:type="dxa"/>
            <w:vMerge/>
            <w:tcBorders>
              <w:right w:val="double" w:sz="4" w:space="0" w:color="auto"/>
            </w:tcBorders>
            <w:vAlign w:val="center"/>
          </w:tcPr>
          <w:p w:rsidR="00CA5ED5" w:rsidRDefault="00CA5ED5" w:rsidP="00604C3D">
            <w:pPr>
              <w:spacing w:line="269" w:lineRule="auto"/>
              <w:jc w:val="left"/>
              <w:rPr>
                <w:rFonts w:ascii="David" w:hAnsi="David"/>
              </w:rPr>
            </w:pPr>
          </w:p>
        </w:tc>
        <w:tc>
          <w:tcPr>
            <w:tcW w:w="1276" w:type="dxa"/>
            <w:vMerge w:val="restart"/>
            <w:tcBorders>
              <w:left w:val="double" w:sz="4" w:space="0" w:color="auto"/>
              <w:right w:val="double" w:sz="4" w:space="0" w:color="auto"/>
            </w:tcBorders>
            <w:vAlign w:val="center"/>
          </w:tcPr>
          <w:p w:rsidR="00CA5ED5" w:rsidRDefault="00CA5ED5" w:rsidP="00604C3D">
            <w:pPr>
              <w:spacing w:line="269" w:lineRule="auto"/>
              <w:jc w:val="left"/>
              <w:rPr>
                <w:rFonts w:ascii="David" w:hAnsi="David"/>
              </w:rPr>
            </w:pPr>
            <w:r>
              <w:rPr>
                <w:rFonts w:ascii="David" w:hAnsi="David" w:hint="cs"/>
              </w:rPr>
              <w:t>בית המשפט העליון</w:t>
            </w:r>
          </w:p>
        </w:tc>
        <w:tc>
          <w:tcPr>
            <w:tcW w:w="850" w:type="dxa"/>
            <w:vMerge/>
            <w:tcBorders>
              <w:left w:val="double" w:sz="4" w:space="0" w:color="auto"/>
              <w:right w:val="double" w:sz="4" w:space="0" w:color="auto"/>
            </w:tcBorders>
            <w:vAlign w:val="center"/>
          </w:tcPr>
          <w:p w:rsidR="00CA5ED5" w:rsidRPr="00FE18FE" w:rsidRDefault="00CA5ED5" w:rsidP="00604C3D">
            <w:pPr>
              <w:spacing w:line="269" w:lineRule="auto"/>
              <w:jc w:val="center"/>
              <w:rPr>
                <w:rFonts w:ascii="David" w:hAnsi="David"/>
                <w:color w:val="C00000"/>
              </w:rPr>
            </w:pPr>
          </w:p>
        </w:tc>
      </w:tr>
      <w:tr w:rsidR="00CA5ED5" w:rsidRPr="005E5651" w:rsidTr="001F77AD">
        <w:trPr>
          <w:cantSplit/>
          <w:trHeight w:val="340"/>
        </w:trPr>
        <w:tc>
          <w:tcPr>
            <w:tcW w:w="1193" w:type="dxa"/>
            <w:vMerge/>
            <w:shd w:val="clear" w:color="auto" w:fill="D9D9D9" w:themeFill="background1" w:themeFillShade="D9"/>
          </w:tcPr>
          <w:p w:rsidR="00CA5ED5" w:rsidRDefault="00CA5ED5" w:rsidP="00604C3D">
            <w:pPr>
              <w:spacing w:line="269" w:lineRule="auto"/>
              <w:rPr>
                <w:rFonts w:ascii="David" w:hAnsi="David"/>
                <w:b/>
                <w:bCs/>
              </w:rPr>
            </w:pPr>
          </w:p>
        </w:tc>
        <w:tc>
          <w:tcPr>
            <w:tcW w:w="1499" w:type="dxa"/>
            <w:shd w:val="clear" w:color="auto" w:fill="D9D9D9" w:themeFill="background1" w:themeFillShade="D9"/>
          </w:tcPr>
          <w:p w:rsidR="00CA5ED5" w:rsidRPr="00520336" w:rsidRDefault="00CA5ED5" w:rsidP="00604C3D">
            <w:pPr>
              <w:spacing w:line="269" w:lineRule="auto"/>
              <w:jc w:val="left"/>
              <w:rPr>
                <w:rFonts w:ascii="David" w:hAnsi="David"/>
                <w:b/>
                <w:bCs/>
              </w:rPr>
            </w:pPr>
            <w:r>
              <w:rPr>
                <w:rFonts w:ascii="David" w:hAnsi="David" w:hint="cs"/>
                <w:b/>
                <w:bCs/>
              </w:rPr>
              <w:t>חברי כנסת</w:t>
            </w:r>
          </w:p>
        </w:tc>
        <w:tc>
          <w:tcPr>
            <w:tcW w:w="1559" w:type="dxa"/>
            <w:vMerge/>
            <w:tcBorders>
              <w:left w:val="double" w:sz="4" w:space="0" w:color="auto"/>
            </w:tcBorders>
            <w:vAlign w:val="center"/>
          </w:tcPr>
          <w:p w:rsidR="00CA5ED5" w:rsidRDefault="00CA5ED5" w:rsidP="00604C3D">
            <w:pPr>
              <w:spacing w:line="269" w:lineRule="auto"/>
              <w:jc w:val="left"/>
              <w:rPr>
                <w:rFonts w:ascii="David" w:hAnsi="David"/>
              </w:rPr>
            </w:pPr>
          </w:p>
        </w:tc>
        <w:tc>
          <w:tcPr>
            <w:tcW w:w="1984" w:type="dxa"/>
            <w:vMerge/>
            <w:tcBorders>
              <w:right w:val="double" w:sz="4" w:space="0" w:color="auto"/>
            </w:tcBorders>
            <w:vAlign w:val="center"/>
          </w:tcPr>
          <w:p w:rsidR="00CA5ED5" w:rsidRDefault="00CA5ED5" w:rsidP="00604C3D">
            <w:pPr>
              <w:spacing w:line="269" w:lineRule="auto"/>
              <w:jc w:val="left"/>
              <w:rPr>
                <w:rFonts w:ascii="David" w:hAnsi="David"/>
              </w:rPr>
            </w:pPr>
          </w:p>
        </w:tc>
        <w:tc>
          <w:tcPr>
            <w:tcW w:w="1276" w:type="dxa"/>
            <w:vMerge/>
            <w:tcBorders>
              <w:left w:val="double" w:sz="4" w:space="0" w:color="auto"/>
              <w:right w:val="double" w:sz="4" w:space="0" w:color="auto"/>
            </w:tcBorders>
            <w:vAlign w:val="center"/>
          </w:tcPr>
          <w:p w:rsidR="00CA5ED5" w:rsidRDefault="00CA5ED5" w:rsidP="00604C3D">
            <w:pPr>
              <w:spacing w:line="269" w:lineRule="auto"/>
              <w:jc w:val="left"/>
              <w:rPr>
                <w:rFonts w:ascii="David" w:hAnsi="David"/>
              </w:rPr>
            </w:pPr>
          </w:p>
        </w:tc>
        <w:tc>
          <w:tcPr>
            <w:tcW w:w="850" w:type="dxa"/>
            <w:vMerge/>
            <w:tcBorders>
              <w:left w:val="double" w:sz="4" w:space="0" w:color="auto"/>
              <w:right w:val="double" w:sz="4" w:space="0" w:color="auto"/>
            </w:tcBorders>
            <w:vAlign w:val="center"/>
          </w:tcPr>
          <w:p w:rsidR="00CA5ED5" w:rsidRPr="00FE18FE" w:rsidRDefault="00CA5ED5" w:rsidP="00604C3D">
            <w:pPr>
              <w:spacing w:line="269" w:lineRule="auto"/>
              <w:jc w:val="center"/>
              <w:rPr>
                <w:rFonts w:ascii="David" w:hAnsi="David"/>
                <w:color w:val="C00000"/>
              </w:rPr>
            </w:pPr>
          </w:p>
        </w:tc>
      </w:tr>
      <w:tr w:rsidR="00CA5ED5" w:rsidRPr="005E5651" w:rsidTr="001F77AD">
        <w:trPr>
          <w:cantSplit/>
          <w:trHeight w:val="392"/>
        </w:trPr>
        <w:tc>
          <w:tcPr>
            <w:tcW w:w="1193" w:type="dxa"/>
            <w:vMerge w:val="restart"/>
            <w:shd w:val="clear" w:color="auto" w:fill="D9D9D9" w:themeFill="background1" w:themeFillShade="D9"/>
          </w:tcPr>
          <w:p w:rsidR="00CA5ED5" w:rsidRPr="00520336" w:rsidRDefault="00CA5ED5" w:rsidP="00604C3D">
            <w:pPr>
              <w:spacing w:line="269" w:lineRule="auto"/>
              <w:rPr>
                <w:rFonts w:ascii="David" w:hAnsi="David"/>
                <w:b/>
                <w:bCs/>
              </w:rPr>
            </w:pPr>
            <w:r>
              <w:rPr>
                <w:rFonts w:ascii="David" w:hAnsi="David" w:hint="cs"/>
                <w:b/>
                <w:bCs/>
              </w:rPr>
              <w:t>אישי ציבור</w:t>
            </w:r>
          </w:p>
        </w:tc>
        <w:tc>
          <w:tcPr>
            <w:tcW w:w="1499" w:type="dxa"/>
            <w:shd w:val="clear" w:color="auto" w:fill="D9D9D9" w:themeFill="background1" w:themeFillShade="D9"/>
          </w:tcPr>
          <w:p w:rsidR="00CA5ED5" w:rsidRPr="00520336" w:rsidRDefault="00CA5ED5" w:rsidP="00604C3D">
            <w:pPr>
              <w:spacing w:line="269" w:lineRule="auto"/>
              <w:jc w:val="left"/>
              <w:rPr>
                <w:rFonts w:ascii="David" w:hAnsi="David"/>
                <w:b/>
                <w:bCs/>
              </w:rPr>
            </w:pPr>
            <w:r w:rsidRPr="00520336">
              <w:rPr>
                <w:rFonts w:ascii="David" w:hAnsi="David"/>
                <w:b/>
                <w:bCs/>
              </w:rPr>
              <w:t>דרג א</w:t>
            </w:r>
            <w:r>
              <w:rPr>
                <w:rFonts w:ascii="David" w:hAnsi="David" w:hint="cs"/>
                <w:b/>
                <w:bCs/>
                <w:rtl/>
              </w:rPr>
              <w:t>'</w:t>
            </w:r>
            <w:r w:rsidRPr="00520336">
              <w:rPr>
                <w:rStyle w:val="af"/>
                <w:rFonts w:ascii="David" w:hAnsi="David"/>
                <w:b/>
                <w:bCs/>
              </w:rPr>
              <w:footnoteReference w:id="123"/>
            </w:r>
            <w:r>
              <w:rPr>
                <w:rFonts w:ascii="David" w:hAnsi="David" w:hint="cs"/>
                <w:b/>
                <w:bCs/>
              </w:rPr>
              <w:t xml:space="preserve"> </w:t>
            </w:r>
          </w:p>
        </w:tc>
        <w:tc>
          <w:tcPr>
            <w:tcW w:w="1559" w:type="dxa"/>
            <w:tcBorders>
              <w:left w:val="double" w:sz="4" w:space="0" w:color="auto"/>
            </w:tcBorders>
            <w:vAlign w:val="center"/>
          </w:tcPr>
          <w:p w:rsidR="00CA5ED5" w:rsidRDefault="00CA5ED5" w:rsidP="00604C3D">
            <w:pPr>
              <w:spacing w:line="269" w:lineRule="auto"/>
              <w:jc w:val="left"/>
              <w:rPr>
                <w:rFonts w:ascii="David" w:hAnsi="David"/>
              </w:rPr>
            </w:pPr>
            <w:r>
              <w:rPr>
                <w:rFonts w:ascii="David" w:hAnsi="David" w:hint="cs"/>
              </w:rPr>
              <w:t>ראש אח"ם</w:t>
            </w:r>
          </w:p>
          <w:p w:rsidR="00CA5ED5" w:rsidRPr="005E5651" w:rsidRDefault="00CA5ED5" w:rsidP="00604C3D">
            <w:pPr>
              <w:spacing w:line="269" w:lineRule="auto"/>
              <w:jc w:val="left"/>
              <w:rPr>
                <w:rFonts w:ascii="David" w:hAnsi="David"/>
              </w:rPr>
            </w:pPr>
            <w:r>
              <w:rPr>
                <w:rFonts w:ascii="David" w:hAnsi="David" w:hint="cs"/>
              </w:rPr>
              <w:t>בכתב</w:t>
            </w:r>
          </w:p>
        </w:tc>
        <w:tc>
          <w:tcPr>
            <w:tcW w:w="1984" w:type="dxa"/>
            <w:vMerge/>
            <w:tcBorders>
              <w:right w:val="double" w:sz="4" w:space="0" w:color="auto"/>
            </w:tcBorders>
            <w:vAlign w:val="center"/>
          </w:tcPr>
          <w:p w:rsidR="00CA5ED5" w:rsidRPr="005E5651" w:rsidRDefault="00CA5ED5" w:rsidP="00604C3D">
            <w:pPr>
              <w:spacing w:line="269" w:lineRule="auto"/>
              <w:jc w:val="left"/>
              <w:rPr>
                <w:rFonts w:ascii="David" w:hAnsi="David"/>
              </w:rPr>
            </w:pPr>
          </w:p>
        </w:tc>
        <w:tc>
          <w:tcPr>
            <w:tcW w:w="1276" w:type="dxa"/>
            <w:vMerge w:val="restart"/>
            <w:tcBorders>
              <w:left w:val="double" w:sz="4" w:space="0" w:color="auto"/>
              <w:right w:val="double" w:sz="4" w:space="0" w:color="auto"/>
            </w:tcBorders>
            <w:vAlign w:val="center"/>
          </w:tcPr>
          <w:p w:rsidR="00CA5ED5" w:rsidRPr="005E5651" w:rsidRDefault="00CA5ED5" w:rsidP="00604C3D">
            <w:pPr>
              <w:spacing w:line="269" w:lineRule="auto"/>
              <w:jc w:val="left"/>
              <w:rPr>
                <w:rFonts w:ascii="David" w:hAnsi="David"/>
              </w:rPr>
            </w:pPr>
            <w:r>
              <w:rPr>
                <w:rFonts w:ascii="David" w:hAnsi="David" w:hint="cs"/>
              </w:rPr>
              <w:t>בית משפט מחוזי</w:t>
            </w:r>
          </w:p>
        </w:tc>
        <w:tc>
          <w:tcPr>
            <w:tcW w:w="850" w:type="dxa"/>
            <w:vMerge w:val="restart"/>
            <w:tcBorders>
              <w:left w:val="double" w:sz="4" w:space="0" w:color="auto"/>
              <w:right w:val="double" w:sz="4" w:space="0" w:color="auto"/>
            </w:tcBorders>
            <w:vAlign w:val="center"/>
          </w:tcPr>
          <w:p w:rsidR="00CA5ED5" w:rsidRPr="00FE18FE" w:rsidRDefault="00CA5ED5" w:rsidP="00604C3D">
            <w:pPr>
              <w:spacing w:line="269" w:lineRule="auto"/>
              <w:jc w:val="center"/>
              <w:rPr>
                <w:rFonts w:ascii="David" w:hAnsi="David"/>
                <w:color w:val="C00000"/>
              </w:rPr>
            </w:pPr>
            <w:r w:rsidRPr="001C7736">
              <w:rPr>
                <w:rFonts w:ascii="David" w:hAnsi="David" w:hint="cs"/>
              </w:rPr>
              <w:t>לא</w:t>
            </w:r>
          </w:p>
        </w:tc>
      </w:tr>
      <w:tr w:rsidR="00CA5ED5" w:rsidRPr="005E5651" w:rsidTr="001F77AD">
        <w:tc>
          <w:tcPr>
            <w:tcW w:w="1193" w:type="dxa"/>
            <w:vMerge/>
            <w:shd w:val="clear" w:color="auto" w:fill="D9D9D9" w:themeFill="background1" w:themeFillShade="D9"/>
          </w:tcPr>
          <w:p w:rsidR="00CA5ED5" w:rsidRPr="00520336" w:rsidRDefault="00CA5ED5" w:rsidP="00604C3D">
            <w:pPr>
              <w:spacing w:line="269" w:lineRule="auto"/>
              <w:rPr>
                <w:rFonts w:ascii="David" w:hAnsi="David"/>
                <w:b/>
                <w:bCs/>
              </w:rPr>
            </w:pPr>
          </w:p>
        </w:tc>
        <w:tc>
          <w:tcPr>
            <w:tcW w:w="1499" w:type="dxa"/>
            <w:shd w:val="clear" w:color="auto" w:fill="D9D9D9" w:themeFill="background1" w:themeFillShade="D9"/>
          </w:tcPr>
          <w:p w:rsidR="00CA5ED5" w:rsidRPr="00520336" w:rsidRDefault="00CA5ED5" w:rsidP="00604C3D">
            <w:pPr>
              <w:spacing w:line="269" w:lineRule="auto"/>
              <w:rPr>
                <w:rFonts w:ascii="David" w:hAnsi="David"/>
                <w:b/>
                <w:bCs/>
              </w:rPr>
            </w:pPr>
            <w:r w:rsidRPr="00520336">
              <w:rPr>
                <w:rFonts w:ascii="David" w:hAnsi="David"/>
                <w:b/>
                <w:bCs/>
              </w:rPr>
              <w:t xml:space="preserve">דרג </w:t>
            </w:r>
            <w:r w:rsidRPr="00520336">
              <w:rPr>
                <w:rFonts w:ascii="David" w:hAnsi="David" w:hint="cs"/>
                <w:b/>
                <w:bCs/>
              </w:rPr>
              <w:t>ב</w:t>
            </w:r>
            <w:r>
              <w:rPr>
                <w:rFonts w:ascii="David" w:hAnsi="David" w:hint="cs"/>
                <w:b/>
                <w:bCs/>
                <w:rtl/>
              </w:rPr>
              <w:t>'</w:t>
            </w:r>
            <w:r>
              <w:rPr>
                <w:rStyle w:val="af"/>
                <w:rFonts w:ascii="David" w:hAnsi="David"/>
                <w:b/>
                <w:bCs/>
              </w:rPr>
              <w:footnoteReference w:id="124"/>
            </w:r>
          </w:p>
        </w:tc>
        <w:tc>
          <w:tcPr>
            <w:tcW w:w="1559" w:type="dxa"/>
            <w:tcBorders>
              <w:left w:val="double" w:sz="4" w:space="0" w:color="auto"/>
            </w:tcBorders>
            <w:vAlign w:val="center"/>
          </w:tcPr>
          <w:p w:rsidR="00CA5ED5" w:rsidRPr="005E5651" w:rsidRDefault="00CA5ED5" w:rsidP="00604C3D">
            <w:pPr>
              <w:spacing w:line="269" w:lineRule="auto"/>
              <w:jc w:val="center"/>
              <w:rPr>
                <w:rFonts w:ascii="David" w:hAnsi="David"/>
              </w:rPr>
            </w:pPr>
            <w:r>
              <w:rPr>
                <w:rFonts w:ascii="David" w:hAnsi="David" w:hint="cs"/>
              </w:rPr>
              <w:t>ראש אח"ם בכתב</w:t>
            </w:r>
          </w:p>
        </w:tc>
        <w:tc>
          <w:tcPr>
            <w:tcW w:w="1984" w:type="dxa"/>
            <w:vMerge w:val="restart"/>
            <w:tcBorders>
              <w:right w:val="double" w:sz="4" w:space="0" w:color="auto"/>
            </w:tcBorders>
            <w:vAlign w:val="center"/>
          </w:tcPr>
          <w:p w:rsidR="00CA5ED5" w:rsidRPr="005E5651" w:rsidRDefault="00CA5ED5" w:rsidP="00604C3D">
            <w:pPr>
              <w:spacing w:line="269" w:lineRule="auto"/>
              <w:jc w:val="center"/>
              <w:rPr>
                <w:rFonts w:ascii="David" w:hAnsi="David"/>
              </w:rPr>
            </w:pPr>
            <w:r w:rsidRPr="00455FBF">
              <w:rPr>
                <w:rFonts w:ascii="David" w:hAnsi="David" w:hint="cs"/>
                <w:u w:val="single"/>
              </w:rPr>
              <w:t>לא</w:t>
            </w:r>
            <w:r>
              <w:rPr>
                <w:rFonts w:ascii="David" w:hAnsi="David" w:hint="cs"/>
              </w:rPr>
              <w:t xml:space="preserve"> נדרש אישור</w:t>
            </w:r>
          </w:p>
        </w:tc>
        <w:tc>
          <w:tcPr>
            <w:tcW w:w="1276" w:type="dxa"/>
            <w:vMerge/>
            <w:tcBorders>
              <w:left w:val="double" w:sz="4" w:space="0" w:color="auto"/>
              <w:right w:val="double" w:sz="4" w:space="0" w:color="auto"/>
            </w:tcBorders>
            <w:vAlign w:val="center"/>
          </w:tcPr>
          <w:p w:rsidR="00CA5ED5" w:rsidRPr="005E5651" w:rsidRDefault="00CA5ED5" w:rsidP="00604C3D">
            <w:pPr>
              <w:spacing w:line="269" w:lineRule="auto"/>
              <w:jc w:val="center"/>
              <w:rPr>
                <w:rFonts w:ascii="David" w:hAnsi="David"/>
              </w:rPr>
            </w:pPr>
          </w:p>
        </w:tc>
        <w:tc>
          <w:tcPr>
            <w:tcW w:w="850" w:type="dxa"/>
            <w:vMerge/>
            <w:tcBorders>
              <w:left w:val="double" w:sz="4" w:space="0" w:color="auto"/>
              <w:right w:val="double" w:sz="4" w:space="0" w:color="auto"/>
            </w:tcBorders>
            <w:vAlign w:val="center"/>
          </w:tcPr>
          <w:p w:rsidR="00CA5ED5" w:rsidRDefault="00CA5ED5" w:rsidP="00604C3D">
            <w:pPr>
              <w:spacing w:line="269" w:lineRule="auto"/>
              <w:jc w:val="center"/>
              <w:rPr>
                <w:rFonts w:ascii="David" w:hAnsi="David"/>
                <w:color w:val="C00000"/>
              </w:rPr>
            </w:pPr>
          </w:p>
        </w:tc>
      </w:tr>
      <w:tr w:rsidR="00CA5ED5" w:rsidRPr="005E5651" w:rsidTr="001F77AD">
        <w:trPr>
          <w:trHeight w:val="368"/>
        </w:trPr>
        <w:tc>
          <w:tcPr>
            <w:tcW w:w="1193" w:type="dxa"/>
            <w:vMerge/>
            <w:shd w:val="clear" w:color="auto" w:fill="D9D9D9" w:themeFill="background1" w:themeFillShade="D9"/>
          </w:tcPr>
          <w:p w:rsidR="00CA5ED5" w:rsidRPr="00520336" w:rsidRDefault="00CA5ED5" w:rsidP="00604C3D">
            <w:pPr>
              <w:spacing w:line="269" w:lineRule="auto"/>
              <w:rPr>
                <w:rFonts w:ascii="David" w:hAnsi="David"/>
                <w:b/>
                <w:bCs/>
              </w:rPr>
            </w:pPr>
          </w:p>
        </w:tc>
        <w:tc>
          <w:tcPr>
            <w:tcW w:w="1499" w:type="dxa"/>
            <w:shd w:val="clear" w:color="auto" w:fill="D9D9D9" w:themeFill="background1" w:themeFillShade="D9"/>
          </w:tcPr>
          <w:p w:rsidR="00CA5ED5" w:rsidRPr="00520336" w:rsidRDefault="00CA5ED5" w:rsidP="00604C3D">
            <w:pPr>
              <w:spacing w:line="269" w:lineRule="auto"/>
              <w:rPr>
                <w:rFonts w:ascii="David" w:hAnsi="David"/>
                <w:b/>
                <w:bCs/>
              </w:rPr>
            </w:pPr>
            <w:r w:rsidRPr="00520336">
              <w:rPr>
                <w:rFonts w:ascii="David" w:hAnsi="David" w:hint="cs"/>
                <w:b/>
                <w:bCs/>
              </w:rPr>
              <w:t>דרג ג</w:t>
            </w:r>
            <w:r>
              <w:rPr>
                <w:rFonts w:ascii="David" w:hAnsi="David" w:hint="cs"/>
                <w:b/>
                <w:bCs/>
                <w:rtl/>
              </w:rPr>
              <w:t>'</w:t>
            </w:r>
            <w:r>
              <w:rPr>
                <w:rStyle w:val="af"/>
                <w:rFonts w:ascii="David" w:hAnsi="David"/>
                <w:b/>
                <w:bCs/>
              </w:rPr>
              <w:footnoteReference w:id="125"/>
            </w:r>
          </w:p>
        </w:tc>
        <w:tc>
          <w:tcPr>
            <w:tcW w:w="1559" w:type="dxa"/>
            <w:tcBorders>
              <w:left w:val="double" w:sz="4" w:space="0" w:color="auto"/>
            </w:tcBorders>
            <w:vAlign w:val="center"/>
          </w:tcPr>
          <w:p w:rsidR="00CA5ED5" w:rsidRPr="005E5651" w:rsidRDefault="00CA5ED5" w:rsidP="00604C3D">
            <w:pPr>
              <w:spacing w:line="269" w:lineRule="auto"/>
              <w:jc w:val="center"/>
              <w:rPr>
                <w:rFonts w:ascii="David" w:hAnsi="David"/>
              </w:rPr>
            </w:pPr>
            <w:r>
              <w:rPr>
                <w:rFonts w:ascii="David" w:hAnsi="David" w:hint="cs"/>
              </w:rPr>
              <w:t>יידוע ראש אח"ם</w:t>
            </w:r>
          </w:p>
        </w:tc>
        <w:tc>
          <w:tcPr>
            <w:tcW w:w="1984" w:type="dxa"/>
            <w:vMerge/>
            <w:tcBorders>
              <w:right w:val="double" w:sz="4" w:space="0" w:color="auto"/>
            </w:tcBorders>
            <w:vAlign w:val="center"/>
          </w:tcPr>
          <w:p w:rsidR="00CA5ED5" w:rsidRPr="005E5651" w:rsidRDefault="00CA5ED5" w:rsidP="00604C3D">
            <w:pPr>
              <w:spacing w:line="269" w:lineRule="auto"/>
              <w:jc w:val="center"/>
              <w:rPr>
                <w:rFonts w:ascii="David" w:hAnsi="David"/>
              </w:rPr>
            </w:pPr>
          </w:p>
        </w:tc>
        <w:tc>
          <w:tcPr>
            <w:tcW w:w="1276" w:type="dxa"/>
            <w:vMerge/>
            <w:tcBorders>
              <w:left w:val="double" w:sz="4" w:space="0" w:color="auto"/>
              <w:right w:val="double" w:sz="4" w:space="0" w:color="auto"/>
            </w:tcBorders>
            <w:vAlign w:val="center"/>
          </w:tcPr>
          <w:p w:rsidR="00CA5ED5" w:rsidRPr="005E5651" w:rsidRDefault="00CA5ED5" w:rsidP="00604C3D">
            <w:pPr>
              <w:spacing w:line="269" w:lineRule="auto"/>
              <w:jc w:val="center"/>
              <w:rPr>
                <w:rFonts w:ascii="David" w:hAnsi="David"/>
              </w:rPr>
            </w:pPr>
          </w:p>
        </w:tc>
        <w:tc>
          <w:tcPr>
            <w:tcW w:w="850" w:type="dxa"/>
            <w:vMerge/>
            <w:tcBorders>
              <w:left w:val="double" w:sz="4" w:space="0" w:color="auto"/>
              <w:right w:val="double" w:sz="4" w:space="0" w:color="auto"/>
            </w:tcBorders>
            <w:vAlign w:val="center"/>
          </w:tcPr>
          <w:p w:rsidR="00CA5ED5" w:rsidRDefault="00CA5ED5" w:rsidP="00604C3D">
            <w:pPr>
              <w:spacing w:line="269" w:lineRule="auto"/>
              <w:jc w:val="center"/>
              <w:rPr>
                <w:rFonts w:ascii="David" w:hAnsi="David"/>
                <w:color w:val="C00000"/>
              </w:rPr>
            </w:pPr>
          </w:p>
        </w:tc>
      </w:tr>
      <w:tr w:rsidR="00CA5ED5" w:rsidRPr="005E5651" w:rsidTr="001F77AD">
        <w:trPr>
          <w:cantSplit/>
          <w:trHeight w:val="1134"/>
        </w:trPr>
        <w:tc>
          <w:tcPr>
            <w:tcW w:w="1193" w:type="dxa"/>
            <w:shd w:val="clear" w:color="auto" w:fill="D9D9D9" w:themeFill="background1" w:themeFillShade="D9"/>
          </w:tcPr>
          <w:p w:rsidR="00CA5ED5" w:rsidRDefault="00CA5ED5" w:rsidP="00604C3D">
            <w:pPr>
              <w:spacing w:line="269" w:lineRule="auto"/>
              <w:jc w:val="left"/>
              <w:rPr>
                <w:rFonts w:ascii="David" w:hAnsi="David"/>
                <w:b/>
                <w:bCs/>
              </w:rPr>
            </w:pPr>
            <w:r>
              <w:rPr>
                <w:rFonts w:ascii="David" w:hAnsi="David" w:hint="cs"/>
                <w:b/>
                <w:bCs/>
              </w:rPr>
              <w:t xml:space="preserve"> בעל חיסיון </w:t>
            </w:r>
          </w:p>
          <w:p w:rsidR="00CA5ED5" w:rsidRPr="00EA094E" w:rsidRDefault="00382AE8" w:rsidP="00604C3D">
            <w:pPr>
              <w:spacing w:line="269" w:lineRule="auto"/>
              <w:jc w:val="left"/>
              <w:rPr>
                <w:rFonts w:ascii="David" w:hAnsi="David"/>
                <w:b/>
                <w:bCs/>
              </w:rPr>
            </w:pPr>
            <w:r>
              <w:rPr>
                <w:rFonts w:ascii="David" w:hAnsi="David" w:hint="cs"/>
                <w:b/>
                <w:bCs/>
                <w:rtl/>
              </w:rPr>
              <w:t xml:space="preserve"> </w:t>
            </w:r>
            <w:r w:rsidR="00CA5ED5">
              <w:rPr>
                <w:rFonts w:ascii="David" w:hAnsi="David" w:hint="cs"/>
                <w:b/>
                <w:bCs/>
              </w:rPr>
              <w:t>מקצועי</w:t>
            </w:r>
          </w:p>
        </w:tc>
        <w:tc>
          <w:tcPr>
            <w:tcW w:w="1499" w:type="dxa"/>
            <w:shd w:val="clear" w:color="auto" w:fill="D9D9D9" w:themeFill="background1" w:themeFillShade="D9"/>
          </w:tcPr>
          <w:p w:rsidR="00CA5ED5" w:rsidRPr="00DA19E0" w:rsidRDefault="00CA5ED5" w:rsidP="00604C3D">
            <w:pPr>
              <w:spacing w:line="269" w:lineRule="auto"/>
              <w:jc w:val="left"/>
              <w:rPr>
                <w:rFonts w:ascii="David" w:hAnsi="David"/>
                <w:b/>
                <w:bCs/>
                <w:szCs w:val="20"/>
                <w:rtl/>
              </w:rPr>
            </w:pPr>
            <w:r w:rsidRPr="00DA19E0">
              <w:rPr>
                <w:rFonts w:ascii="David" w:hAnsi="David" w:hint="eastAsia"/>
                <w:b/>
                <w:bCs/>
                <w:szCs w:val="20"/>
                <w:rtl/>
              </w:rPr>
              <w:t>עורך</w:t>
            </w:r>
            <w:r w:rsidRPr="00DA19E0">
              <w:rPr>
                <w:rFonts w:ascii="David" w:hAnsi="David"/>
                <w:b/>
                <w:bCs/>
                <w:szCs w:val="20"/>
                <w:rtl/>
              </w:rPr>
              <w:t xml:space="preserve"> </w:t>
            </w:r>
            <w:r w:rsidRPr="00DA19E0">
              <w:rPr>
                <w:rFonts w:ascii="David" w:hAnsi="David" w:hint="eastAsia"/>
                <w:b/>
                <w:bCs/>
                <w:szCs w:val="20"/>
                <w:rtl/>
              </w:rPr>
              <w:t>דין</w:t>
            </w:r>
            <w:r w:rsidRPr="00DA19E0">
              <w:rPr>
                <w:rFonts w:ascii="David" w:hAnsi="David"/>
                <w:b/>
                <w:bCs/>
                <w:szCs w:val="20"/>
                <w:rtl/>
              </w:rPr>
              <w:t xml:space="preserve">, </w:t>
            </w:r>
            <w:r w:rsidRPr="00DA19E0">
              <w:rPr>
                <w:rFonts w:ascii="David" w:hAnsi="David" w:hint="eastAsia"/>
                <w:b/>
                <w:bCs/>
                <w:szCs w:val="20"/>
                <w:rtl/>
              </w:rPr>
              <w:t>רופא</w:t>
            </w:r>
            <w:r w:rsidRPr="00DA19E0">
              <w:rPr>
                <w:rFonts w:ascii="David" w:hAnsi="David"/>
                <w:b/>
                <w:bCs/>
                <w:szCs w:val="20"/>
                <w:rtl/>
              </w:rPr>
              <w:t xml:space="preserve">, </w:t>
            </w:r>
            <w:r w:rsidR="00800BBA">
              <w:rPr>
                <w:rFonts w:ascii="David" w:hAnsi="David" w:hint="cs"/>
                <w:b/>
                <w:bCs/>
                <w:szCs w:val="20"/>
                <w:rtl/>
              </w:rPr>
              <w:t>פ</w:t>
            </w:r>
            <w:r w:rsidRPr="00DA19E0">
              <w:rPr>
                <w:rFonts w:ascii="David" w:hAnsi="David" w:hint="eastAsia"/>
                <w:b/>
                <w:bCs/>
                <w:szCs w:val="20"/>
                <w:rtl/>
              </w:rPr>
              <w:t>סיכולוג</w:t>
            </w:r>
            <w:r w:rsidRPr="00DA19E0">
              <w:rPr>
                <w:rFonts w:ascii="David" w:hAnsi="David"/>
                <w:b/>
                <w:bCs/>
                <w:szCs w:val="20"/>
                <w:rtl/>
              </w:rPr>
              <w:t xml:space="preserve">, </w:t>
            </w:r>
            <w:r w:rsidRPr="00DA19E0">
              <w:rPr>
                <w:rFonts w:ascii="David" w:hAnsi="David" w:hint="eastAsia"/>
                <w:b/>
                <w:bCs/>
                <w:szCs w:val="20"/>
                <w:rtl/>
              </w:rPr>
              <w:t>עובד</w:t>
            </w:r>
            <w:r w:rsidRPr="00DA19E0">
              <w:rPr>
                <w:rFonts w:ascii="David" w:hAnsi="David"/>
                <w:b/>
                <w:bCs/>
                <w:szCs w:val="20"/>
                <w:rtl/>
              </w:rPr>
              <w:t xml:space="preserve"> </w:t>
            </w:r>
            <w:r w:rsidRPr="00DA19E0">
              <w:rPr>
                <w:rFonts w:ascii="David" w:hAnsi="David" w:hint="eastAsia"/>
                <w:b/>
                <w:bCs/>
                <w:szCs w:val="20"/>
                <w:rtl/>
              </w:rPr>
              <w:t>סוציאלי</w:t>
            </w:r>
            <w:r w:rsidRPr="00DA19E0">
              <w:rPr>
                <w:rFonts w:ascii="David" w:hAnsi="David"/>
                <w:b/>
                <w:bCs/>
                <w:szCs w:val="20"/>
                <w:rtl/>
              </w:rPr>
              <w:t xml:space="preserve">, </w:t>
            </w:r>
            <w:r w:rsidRPr="00DA19E0">
              <w:rPr>
                <w:rFonts w:ascii="David" w:hAnsi="David" w:hint="eastAsia"/>
                <w:b/>
                <w:bCs/>
                <w:szCs w:val="20"/>
                <w:rtl/>
              </w:rPr>
              <w:t>כהן</w:t>
            </w:r>
            <w:r w:rsidRPr="00DA19E0">
              <w:rPr>
                <w:rFonts w:ascii="David" w:hAnsi="David"/>
                <w:b/>
                <w:bCs/>
                <w:szCs w:val="20"/>
                <w:rtl/>
              </w:rPr>
              <w:t xml:space="preserve"> </w:t>
            </w:r>
            <w:r w:rsidRPr="00DA19E0">
              <w:rPr>
                <w:rFonts w:ascii="David" w:hAnsi="David" w:hint="eastAsia"/>
                <w:b/>
                <w:bCs/>
                <w:szCs w:val="20"/>
                <w:rtl/>
              </w:rPr>
              <w:t>דת</w:t>
            </w:r>
          </w:p>
        </w:tc>
        <w:tc>
          <w:tcPr>
            <w:tcW w:w="1559" w:type="dxa"/>
            <w:tcBorders>
              <w:left w:val="double" w:sz="4" w:space="0" w:color="auto"/>
            </w:tcBorders>
            <w:vAlign w:val="center"/>
          </w:tcPr>
          <w:p w:rsidR="00CA5ED5" w:rsidRDefault="00CA5ED5" w:rsidP="00604C3D">
            <w:pPr>
              <w:spacing w:line="269" w:lineRule="auto"/>
              <w:jc w:val="left"/>
              <w:rPr>
                <w:rFonts w:ascii="David" w:hAnsi="David"/>
              </w:rPr>
            </w:pPr>
            <w:r>
              <w:rPr>
                <w:rFonts w:ascii="David" w:hAnsi="David" w:hint="cs"/>
              </w:rPr>
              <w:t>רח"ט הסייבר</w:t>
            </w:r>
          </w:p>
        </w:tc>
        <w:tc>
          <w:tcPr>
            <w:tcW w:w="1984" w:type="dxa"/>
            <w:tcBorders>
              <w:right w:val="double" w:sz="4" w:space="0" w:color="auto"/>
            </w:tcBorders>
            <w:vAlign w:val="center"/>
          </w:tcPr>
          <w:p w:rsidR="00CA5ED5" w:rsidRDefault="00CA5ED5" w:rsidP="00604C3D">
            <w:pPr>
              <w:spacing w:line="269" w:lineRule="auto"/>
              <w:jc w:val="left"/>
              <w:rPr>
                <w:rFonts w:ascii="David" w:hAnsi="David"/>
              </w:rPr>
            </w:pPr>
            <w:r>
              <w:rPr>
                <w:rFonts w:ascii="David" w:hAnsi="David" w:hint="cs"/>
              </w:rPr>
              <w:t xml:space="preserve">יועמ"ש לממשלה או </w:t>
            </w:r>
            <w:r w:rsidR="005310B7">
              <w:rPr>
                <w:rFonts w:ascii="David" w:hAnsi="David"/>
              </w:rPr>
              <w:t>v</w:t>
            </w:r>
            <w:r>
              <w:rPr>
                <w:rFonts w:ascii="David" w:hAnsi="David" w:hint="cs"/>
              </w:rPr>
              <w:t>פרקליט המדינה</w:t>
            </w:r>
          </w:p>
          <w:p w:rsidR="00CA5ED5" w:rsidRDefault="00CA5ED5" w:rsidP="00604C3D">
            <w:pPr>
              <w:spacing w:line="269" w:lineRule="auto"/>
              <w:jc w:val="left"/>
              <w:rPr>
                <w:rFonts w:ascii="David" w:hAnsi="David"/>
              </w:rPr>
            </w:pPr>
            <w:r>
              <w:rPr>
                <w:rFonts w:ascii="David" w:hAnsi="David" w:hint="cs"/>
              </w:rPr>
              <w:t>בכתב</w:t>
            </w:r>
          </w:p>
        </w:tc>
        <w:tc>
          <w:tcPr>
            <w:tcW w:w="1276" w:type="dxa"/>
            <w:vMerge/>
            <w:tcBorders>
              <w:left w:val="double" w:sz="4" w:space="0" w:color="auto"/>
              <w:right w:val="double" w:sz="4" w:space="0" w:color="auto"/>
            </w:tcBorders>
            <w:vAlign w:val="center"/>
          </w:tcPr>
          <w:p w:rsidR="00CA5ED5" w:rsidRDefault="00CA5ED5" w:rsidP="00604C3D">
            <w:pPr>
              <w:spacing w:line="269" w:lineRule="auto"/>
              <w:jc w:val="center"/>
              <w:rPr>
                <w:rFonts w:ascii="David" w:hAnsi="David"/>
              </w:rPr>
            </w:pPr>
          </w:p>
        </w:tc>
        <w:tc>
          <w:tcPr>
            <w:tcW w:w="850" w:type="dxa"/>
            <w:tcBorders>
              <w:left w:val="double" w:sz="4" w:space="0" w:color="auto"/>
              <w:right w:val="double" w:sz="4" w:space="0" w:color="auto"/>
            </w:tcBorders>
            <w:vAlign w:val="center"/>
          </w:tcPr>
          <w:p w:rsidR="00CA5ED5" w:rsidRPr="00E67D75" w:rsidRDefault="00CA5ED5" w:rsidP="00604C3D">
            <w:pPr>
              <w:spacing w:line="269" w:lineRule="auto"/>
              <w:jc w:val="center"/>
              <w:rPr>
                <w:rFonts w:ascii="David" w:hAnsi="David"/>
              </w:rPr>
            </w:pPr>
            <w:r w:rsidRPr="00E67D75">
              <w:rPr>
                <w:rFonts w:ascii="David" w:hAnsi="David" w:hint="cs"/>
              </w:rPr>
              <w:t>כן</w:t>
            </w:r>
          </w:p>
        </w:tc>
      </w:tr>
      <w:tr w:rsidR="00CA5ED5" w:rsidRPr="005E5651" w:rsidTr="001F77AD">
        <w:trPr>
          <w:cantSplit/>
          <w:trHeight w:val="300"/>
        </w:trPr>
        <w:tc>
          <w:tcPr>
            <w:tcW w:w="1193" w:type="dxa"/>
            <w:shd w:val="clear" w:color="auto" w:fill="D9D9D9" w:themeFill="background1" w:themeFillShade="D9"/>
          </w:tcPr>
          <w:p w:rsidR="00CA5ED5" w:rsidRPr="00EA094E" w:rsidRDefault="00CA5ED5" w:rsidP="00604C3D">
            <w:pPr>
              <w:spacing w:line="269" w:lineRule="auto"/>
              <w:jc w:val="left"/>
              <w:rPr>
                <w:rFonts w:ascii="David" w:hAnsi="David"/>
                <w:b/>
                <w:bCs/>
                <w:rtl/>
              </w:rPr>
            </w:pPr>
            <w:r>
              <w:rPr>
                <w:rFonts w:ascii="David" w:hAnsi="David" w:hint="cs"/>
                <w:b/>
                <w:bCs/>
              </w:rPr>
              <w:t>בעל חיסיון פסיקתי</w:t>
            </w:r>
            <w:r w:rsidR="00C129ED">
              <w:rPr>
                <w:rStyle w:val="af"/>
                <w:rFonts w:ascii="David" w:hAnsi="David"/>
                <w:b/>
                <w:bCs/>
                <w:rtl/>
              </w:rPr>
              <w:footnoteReference w:id="126"/>
            </w:r>
          </w:p>
        </w:tc>
        <w:tc>
          <w:tcPr>
            <w:tcW w:w="1499" w:type="dxa"/>
            <w:shd w:val="clear" w:color="auto" w:fill="D9D9D9" w:themeFill="background1" w:themeFillShade="D9"/>
          </w:tcPr>
          <w:p w:rsidR="00CA5ED5" w:rsidRPr="00EA094E" w:rsidRDefault="00CA5ED5" w:rsidP="00604C3D">
            <w:pPr>
              <w:spacing w:line="269" w:lineRule="auto"/>
              <w:jc w:val="left"/>
              <w:rPr>
                <w:rFonts w:ascii="David" w:hAnsi="David"/>
                <w:b/>
                <w:bCs/>
              </w:rPr>
            </w:pPr>
            <w:r>
              <w:rPr>
                <w:rFonts w:ascii="David" w:hAnsi="David" w:hint="cs"/>
                <w:b/>
                <w:bCs/>
              </w:rPr>
              <w:t>עיתונאי</w:t>
            </w:r>
          </w:p>
        </w:tc>
        <w:tc>
          <w:tcPr>
            <w:tcW w:w="1559" w:type="dxa"/>
            <w:tcBorders>
              <w:left w:val="double" w:sz="4" w:space="0" w:color="auto"/>
            </w:tcBorders>
          </w:tcPr>
          <w:p w:rsidR="00CA5ED5" w:rsidRDefault="00CA5ED5" w:rsidP="00604C3D">
            <w:pPr>
              <w:spacing w:line="269" w:lineRule="auto"/>
              <w:jc w:val="left"/>
              <w:rPr>
                <w:rFonts w:ascii="David" w:hAnsi="David"/>
              </w:rPr>
            </w:pPr>
            <w:r>
              <w:rPr>
                <w:rFonts w:ascii="David" w:hAnsi="David" w:hint="cs"/>
              </w:rPr>
              <w:t>ראש אח"ם</w:t>
            </w:r>
          </w:p>
        </w:tc>
        <w:tc>
          <w:tcPr>
            <w:tcW w:w="1984" w:type="dxa"/>
            <w:tcBorders>
              <w:right w:val="double" w:sz="4" w:space="0" w:color="auto"/>
            </w:tcBorders>
          </w:tcPr>
          <w:p w:rsidR="00CA5ED5" w:rsidRPr="00455FBF" w:rsidRDefault="00CA5ED5" w:rsidP="00604C3D">
            <w:pPr>
              <w:spacing w:line="269" w:lineRule="auto"/>
              <w:jc w:val="left"/>
              <w:rPr>
                <w:rFonts w:ascii="David" w:hAnsi="David"/>
                <w:u w:val="single"/>
                <w:rtl/>
              </w:rPr>
            </w:pPr>
            <w:r>
              <w:rPr>
                <w:rFonts w:ascii="David" w:hAnsi="David" w:hint="cs"/>
              </w:rPr>
              <w:t>פרקליט מחוז</w:t>
            </w:r>
          </w:p>
        </w:tc>
        <w:tc>
          <w:tcPr>
            <w:tcW w:w="1276" w:type="dxa"/>
            <w:vMerge/>
            <w:tcBorders>
              <w:left w:val="double" w:sz="4" w:space="0" w:color="auto"/>
              <w:right w:val="double" w:sz="4" w:space="0" w:color="auto"/>
            </w:tcBorders>
          </w:tcPr>
          <w:p w:rsidR="00CA5ED5" w:rsidRDefault="00CA5ED5" w:rsidP="00604C3D">
            <w:pPr>
              <w:spacing w:line="269" w:lineRule="auto"/>
              <w:rPr>
                <w:rFonts w:ascii="David" w:hAnsi="David"/>
              </w:rPr>
            </w:pPr>
          </w:p>
        </w:tc>
        <w:tc>
          <w:tcPr>
            <w:tcW w:w="850" w:type="dxa"/>
            <w:tcBorders>
              <w:left w:val="double" w:sz="4" w:space="0" w:color="auto"/>
              <w:right w:val="double" w:sz="4" w:space="0" w:color="auto"/>
            </w:tcBorders>
            <w:vAlign w:val="center"/>
          </w:tcPr>
          <w:p w:rsidR="00CA5ED5" w:rsidRPr="00E67D75" w:rsidRDefault="00CA5ED5" w:rsidP="00604C3D">
            <w:pPr>
              <w:spacing w:line="269" w:lineRule="auto"/>
              <w:jc w:val="center"/>
              <w:rPr>
                <w:rFonts w:ascii="David" w:hAnsi="David"/>
              </w:rPr>
            </w:pPr>
            <w:r>
              <w:rPr>
                <w:rFonts w:ascii="David" w:hAnsi="David" w:hint="cs"/>
              </w:rPr>
              <w:t>לא</w:t>
            </w:r>
          </w:p>
        </w:tc>
      </w:tr>
      <w:tr w:rsidR="00CA5ED5" w:rsidRPr="005E5651" w:rsidTr="001F77AD">
        <w:trPr>
          <w:cantSplit/>
          <w:trHeight w:val="411"/>
        </w:trPr>
        <w:tc>
          <w:tcPr>
            <w:tcW w:w="1193" w:type="dxa"/>
            <w:shd w:val="clear" w:color="auto" w:fill="D9D9D9" w:themeFill="background1" w:themeFillShade="D9"/>
          </w:tcPr>
          <w:p w:rsidR="00CA5ED5" w:rsidRPr="00EA094E" w:rsidRDefault="00CA5ED5" w:rsidP="00604C3D">
            <w:pPr>
              <w:spacing w:line="269" w:lineRule="auto"/>
              <w:jc w:val="left"/>
              <w:rPr>
                <w:rFonts w:ascii="David" w:hAnsi="David"/>
                <w:b/>
                <w:bCs/>
              </w:rPr>
            </w:pPr>
          </w:p>
        </w:tc>
        <w:tc>
          <w:tcPr>
            <w:tcW w:w="1499" w:type="dxa"/>
            <w:shd w:val="clear" w:color="auto" w:fill="D9D9D9" w:themeFill="background1" w:themeFillShade="D9"/>
          </w:tcPr>
          <w:p w:rsidR="00CA5ED5" w:rsidRDefault="00CA5ED5" w:rsidP="00604C3D">
            <w:pPr>
              <w:spacing w:line="269" w:lineRule="auto"/>
              <w:jc w:val="left"/>
              <w:rPr>
                <w:rFonts w:ascii="David" w:hAnsi="David"/>
                <w:b/>
                <w:bCs/>
              </w:rPr>
            </w:pPr>
            <w:r w:rsidRPr="00EA094E">
              <w:rPr>
                <w:rFonts w:ascii="David" w:hAnsi="David" w:hint="cs"/>
                <w:b/>
                <w:bCs/>
              </w:rPr>
              <w:t>קרוב לדרג מדיני</w:t>
            </w:r>
          </w:p>
        </w:tc>
        <w:tc>
          <w:tcPr>
            <w:tcW w:w="1559" w:type="dxa"/>
            <w:tcBorders>
              <w:left w:val="double" w:sz="4" w:space="0" w:color="auto"/>
            </w:tcBorders>
          </w:tcPr>
          <w:p w:rsidR="00CA5ED5" w:rsidRDefault="00CA5ED5" w:rsidP="00604C3D">
            <w:pPr>
              <w:spacing w:line="269" w:lineRule="auto"/>
              <w:jc w:val="left"/>
              <w:rPr>
                <w:rFonts w:ascii="David" w:hAnsi="David"/>
              </w:rPr>
            </w:pPr>
            <w:r>
              <w:rPr>
                <w:rFonts w:ascii="David" w:hAnsi="David" w:hint="cs"/>
              </w:rPr>
              <w:t>ראש אח"ם</w:t>
            </w:r>
          </w:p>
          <w:p w:rsidR="00CA5ED5" w:rsidRDefault="00CA5ED5" w:rsidP="00604C3D">
            <w:pPr>
              <w:spacing w:line="269" w:lineRule="auto"/>
              <w:jc w:val="left"/>
              <w:rPr>
                <w:rFonts w:ascii="David" w:hAnsi="David"/>
              </w:rPr>
            </w:pPr>
            <w:r>
              <w:rPr>
                <w:rFonts w:ascii="David" w:hAnsi="David" w:hint="cs"/>
              </w:rPr>
              <w:t xml:space="preserve">בכתב </w:t>
            </w:r>
          </w:p>
        </w:tc>
        <w:tc>
          <w:tcPr>
            <w:tcW w:w="1984" w:type="dxa"/>
            <w:tcBorders>
              <w:right w:val="double" w:sz="4" w:space="0" w:color="auto"/>
            </w:tcBorders>
          </w:tcPr>
          <w:p w:rsidR="00CA5ED5" w:rsidRDefault="00CA5ED5" w:rsidP="00604C3D">
            <w:pPr>
              <w:spacing w:line="269" w:lineRule="auto"/>
              <w:jc w:val="left"/>
              <w:rPr>
                <w:rFonts w:ascii="David" w:hAnsi="David"/>
              </w:rPr>
            </w:pPr>
            <w:r w:rsidRPr="00455FBF">
              <w:rPr>
                <w:rFonts w:ascii="David" w:hAnsi="David" w:hint="cs"/>
                <w:u w:val="single"/>
              </w:rPr>
              <w:t>לא</w:t>
            </w:r>
            <w:r>
              <w:rPr>
                <w:rFonts w:ascii="David" w:hAnsi="David" w:hint="cs"/>
              </w:rPr>
              <w:t xml:space="preserve"> נדרש אישור</w:t>
            </w:r>
          </w:p>
        </w:tc>
        <w:tc>
          <w:tcPr>
            <w:tcW w:w="1276" w:type="dxa"/>
            <w:vMerge/>
            <w:tcBorders>
              <w:left w:val="double" w:sz="4" w:space="0" w:color="auto"/>
              <w:right w:val="double" w:sz="4" w:space="0" w:color="auto"/>
            </w:tcBorders>
          </w:tcPr>
          <w:p w:rsidR="00CA5ED5" w:rsidRDefault="00CA5ED5" w:rsidP="00604C3D">
            <w:pPr>
              <w:spacing w:line="269" w:lineRule="auto"/>
              <w:rPr>
                <w:rFonts w:ascii="David" w:hAnsi="David"/>
              </w:rPr>
            </w:pPr>
          </w:p>
        </w:tc>
        <w:tc>
          <w:tcPr>
            <w:tcW w:w="850" w:type="dxa"/>
            <w:tcBorders>
              <w:left w:val="double" w:sz="4" w:space="0" w:color="auto"/>
              <w:right w:val="double" w:sz="4" w:space="0" w:color="auto"/>
            </w:tcBorders>
            <w:vAlign w:val="center"/>
          </w:tcPr>
          <w:p w:rsidR="00CA5ED5" w:rsidRDefault="00CA5ED5" w:rsidP="00604C3D">
            <w:pPr>
              <w:spacing w:line="269" w:lineRule="auto"/>
              <w:jc w:val="center"/>
              <w:rPr>
                <w:rFonts w:ascii="David" w:hAnsi="David"/>
                <w:color w:val="C00000"/>
              </w:rPr>
            </w:pPr>
            <w:r w:rsidRPr="00E67D75">
              <w:rPr>
                <w:rFonts w:ascii="David" w:hAnsi="David" w:hint="cs"/>
              </w:rPr>
              <w:t>לא</w:t>
            </w:r>
          </w:p>
        </w:tc>
      </w:tr>
    </w:tbl>
    <w:bookmarkEnd w:id="291"/>
    <w:p w:rsidR="009A1216" w:rsidRDefault="009A1216" w:rsidP="00604C3D">
      <w:pPr>
        <w:pStyle w:val="aff2"/>
        <w:spacing w:line="269" w:lineRule="auto"/>
        <w:rPr>
          <w:b w:val="0"/>
          <w:bCs w:val="0"/>
          <w:szCs w:val="20"/>
          <w:rtl/>
        </w:rPr>
      </w:pPr>
      <w:r w:rsidRPr="00BF3877">
        <w:rPr>
          <w:rFonts w:hint="cs"/>
          <w:b w:val="0"/>
          <w:bCs w:val="0"/>
          <w:szCs w:val="20"/>
          <w:rtl/>
        </w:rPr>
        <w:t>על</w:t>
      </w:r>
      <w:r w:rsidRPr="00BF3877">
        <w:rPr>
          <w:b w:val="0"/>
          <w:bCs w:val="0"/>
          <w:szCs w:val="20"/>
          <w:rtl/>
        </w:rPr>
        <w:t xml:space="preserve"> </w:t>
      </w:r>
      <w:r w:rsidRPr="00BF3877">
        <w:rPr>
          <w:rFonts w:hint="cs"/>
          <w:b w:val="0"/>
          <w:bCs w:val="0"/>
          <w:szCs w:val="20"/>
          <w:rtl/>
        </w:rPr>
        <w:t>פי</w:t>
      </w:r>
      <w:r w:rsidRPr="00BF3877">
        <w:rPr>
          <w:b w:val="0"/>
          <w:bCs w:val="0"/>
          <w:szCs w:val="20"/>
          <w:rtl/>
        </w:rPr>
        <w:t xml:space="preserve"> </w:t>
      </w:r>
      <w:r w:rsidRPr="00BF3877">
        <w:rPr>
          <w:rFonts w:hint="cs"/>
          <w:b w:val="0"/>
          <w:bCs w:val="0"/>
          <w:szCs w:val="20"/>
          <w:rtl/>
        </w:rPr>
        <w:t>נתוני</w:t>
      </w:r>
      <w:r w:rsidRPr="00BF3877">
        <w:rPr>
          <w:b w:val="0"/>
          <w:bCs w:val="0"/>
          <w:szCs w:val="20"/>
          <w:rtl/>
        </w:rPr>
        <w:t xml:space="preserve"> </w:t>
      </w:r>
      <w:r w:rsidRPr="00BF3877">
        <w:rPr>
          <w:rFonts w:hint="cs"/>
          <w:b w:val="0"/>
          <w:bCs w:val="0"/>
          <w:szCs w:val="20"/>
          <w:rtl/>
        </w:rPr>
        <w:t>המשטרה</w:t>
      </w:r>
      <w:r w:rsidR="000003CF">
        <w:rPr>
          <w:rFonts w:hint="cs"/>
          <w:b w:val="0"/>
          <w:bCs w:val="0"/>
          <w:szCs w:val="20"/>
          <w:rtl/>
        </w:rPr>
        <w:t>,</w:t>
      </w:r>
      <w:r w:rsidRPr="00BF3877">
        <w:rPr>
          <w:b w:val="0"/>
          <w:bCs w:val="0"/>
          <w:szCs w:val="20"/>
          <w:rtl/>
        </w:rPr>
        <w:t xml:space="preserve"> </w:t>
      </w:r>
      <w:r w:rsidRPr="00BF3877">
        <w:rPr>
          <w:rFonts w:hint="cs"/>
          <w:b w:val="0"/>
          <w:bCs w:val="0"/>
          <w:szCs w:val="20"/>
          <w:rtl/>
        </w:rPr>
        <w:t>בעיבוד</w:t>
      </w:r>
      <w:r w:rsidRPr="00BF3877">
        <w:rPr>
          <w:b w:val="0"/>
          <w:bCs w:val="0"/>
          <w:szCs w:val="20"/>
          <w:rtl/>
        </w:rPr>
        <w:t xml:space="preserve"> </w:t>
      </w:r>
      <w:r w:rsidRPr="00BF3877">
        <w:rPr>
          <w:rFonts w:hint="cs"/>
          <w:b w:val="0"/>
          <w:bCs w:val="0"/>
          <w:szCs w:val="20"/>
          <w:rtl/>
        </w:rPr>
        <w:t>משרד</w:t>
      </w:r>
      <w:r w:rsidRPr="00BF3877">
        <w:rPr>
          <w:b w:val="0"/>
          <w:bCs w:val="0"/>
          <w:szCs w:val="20"/>
          <w:rtl/>
        </w:rPr>
        <w:t xml:space="preserve"> </w:t>
      </w:r>
      <w:r w:rsidRPr="00BF3877">
        <w:rPr>
          <w:rFonts w:hint="cs"/>
          <w:b w:val="0"/>
          <w:bCs w:val="0"/>
          <w:szCs w:val="20"/>
          <w:rtl/>
        </w:rPr>
        <w:t>מבקר</w:t>
      </w:r>
      <w:r w:rsidRPr="00BF3877">
        <w:rPr>
          <w:b w:val="0"/>
          <w:bCs w:val="0"/>
          <w:szCs w:val="20"/>
          <w:rtl/>
        </w:rPr>
        <w:t xml:space="preserve"> </w:t>
      </w:r>
      <w:r w:rsidRPr="00BF3877">
        <w:rPr>
          <w:rFonts w:hint="cs"/>
          <w:b w:val="0"/>
          <w:bCs w:val="0"/>
          <w:szCs w:val="20"/>
          <w:rtl/>
        </w:rPr>
        <w:t>המדינה</w:t>
      </w:r>
      <w:r w:rsidR="000003CF">
        <w:rPr>
          <w:rFonts w:hint="cs"/>
          <w:b w:val="0"/>
          <w:bCs w:val="0"/>
          <w:szCs w:val="20"/>
          <w:rtl/>
        </w:rPr>
        <w:t>.</w:t>
      </w:r>
    </w:p>
    <w:p w:rsidR="00590FD7" w:rsidRPr="00770E43" w:rsidRDefault="00590FD7" w:rsidP="00604C3D">
      <w:pPr>
        <w:spacing w:line="269" w:lineRule="auto"/>
      </w:pPr>
      <w:bookmarkStart w:id="292" w:name="_Hlk147904058"/>
    </w:p>
    <w:p w:rsidR="009A1216" w:rsidRDefault="008A67C6" w:rsidP="0072530A">
      <w:pPr>
        <w:pStyle w:val="aff2"/>
        <w:spacing w:line="269" w:lineRule="auto"/>
        <w:ind w:left="720"/>
        <w:rPr>
          <w:rtl/>
        </w:rPr>
      </w:pPr>
      <w:r>
        <w:rPr>
          <w:rFonts w:hint="cs"/>
          <w:rtl/>
        </w:rPr>
        <w:t xml:space="preserve">מהלוח </w:t>
      </w:r>
      <w:r w:rsidR="009A1216">
        <w:rPr>
          <w:rFonts w:hint="cs"/>
          <w:rtl/>
        </w:rPr>
        <w:t>עולה כי לפי החוק ולפי נוהלי המשטרה, יש שני דרגים שונים המוסמכים לאשר בקשות להאזנת סתר למעורבים רגישים במשטרה</w:t>
      </w:r>
      <w:r w:rsidR="007A023D">
        <w:rPr>
          <w:rFonts w:hint="cs"/>
          <w:rtl/>
        </w:rPr>
        <w:t xml:space="preserve"> </w:t>
      </w:r>
      <w:r w:rsidR="009A1216">
        <w:rPr>
          <w:rFonts w:hint="cs"/>
          <w:rtl/>
        </w:rPr>
        <w:t xml:space="preserve">- רח"ט הסייבר וראש אח"ם. עוד עולה כי סמכות האישור במשרד המשפטים לבקשות להאזנת סתר למעורבים רגישים מבוזרת בין יועמ"ש לממשלה, פרקליט המדינה ופרקליט המחוז. </w:t>
      </w:r>
    </w:p>
    <w:p w:rsidR="009A1216" w:rsidRPr="000B4F37" w:rsidRDefault="009A1216" w:rsidP="0072530A">
      <w:pPr>
        <w:pStyle w:val="a5"/>
        <w:spacing w:line="269" w:lineRule="auto"/>
        <w:ind w:left="153"/>
        <w:rPr>
          <w:rtl/>
        </w:rPr>
      </w:pPr>
      <w:r w:rsidRPr="000B4F37">
        <w:rPr>
          <w:rFonts w:hint="cs"/>
          <w:rtl/>
        </w:rPr>
        <w:t xml:space="preserve"> </w:t>
      </w:r>
    </w:p>
    <w:p w:rsidR="009A1216" w:rsidRPr="000B4F37" w:rsidRDefault="009A1216" w:rsidP="0072530A">
      <w:pPr>
        <w:spacing w:line="269" w:lineRule="auto"/>
        <w:ind w:left="720"/>
        <w:rPr>
          <w:rtl/>
        </w:rPr>
      </w:pPr>
      <w:r w:rsidRPr="00770E43">
        <w:rPr>
          <w:rFonts w:hint="cs"/>
          <w:rtl/>
        </w:rPr>
        <w:t xml:space="preserve">משרד המשפטים מסר כי האזנות הדורשות אישור פרקליט המדינה או אישור היועמ"ש לממשלה מובאות למחלקת הסייבר בפרקליטות המדינה. המחלקה מרכזת את החומרים הנוגעים לבקשת האישור ומכינה חוות דעת. לאחר מכן, בקשות האישור מועברות לפרקליט המדינה. גם בקשות המועברות לאישור היועמ"ש לממשלה מועברות דרך פרקליט המדינה. עוד סבר משרד המשפטים כי </w:t>
      </w:r>
      <w:r w:rsidRPr="00770E43">
        <w:rPr>
          <w:rtl/>
        </w:rPr>
        <w:t>חלוקת העבודה</w:t>
      </w:r>
      <w:r w:rsidRPr="00770E43">
        <w:rPr>
          <w:rFonts w:hint="cs"/>
          <w:rtl/>
        </w:rPr>
        <w:t xml:space="preserve"> </w:t>
      </w:r>
      <w:r w:rsidRPr="00770E43">
        <w:rPr>
          <w:rtl/>
        </w:rPr>
        <w:t>הפנימית בין הדרגים המאשרים מבטאת</w:t>
      </w:r>
      <w:r w:rsidRPr="00770E43">
        <w:rPr>
          <w:rFonts w:hint="cs"/>
          <w:rtl/>
        </w:rPr>
        <w:t xml:space="preserve"> </w:t>
      </w:r>
      <w:r w:rsidRPr="00770E43">
        <w:rPr>
          <w:rtl/>
        </w:rPr>
        <w:t>אפוא איזון בין מידת הרגישות של הסוגיות</w:t>
      </w:r>
      <w:r w:rsidRPr="00770E43">
        <w:rPr>
          <w:rFonts w:hint="cs"/>
          <w:rtl/>
        </w:rPr>
        <w:t xml:space="preserve"> </w:t>
      </w:r>
      <w:r w:rsidRPr="00770E43">
        <w:rPr>
          <w:rtl/>
        </w:rPr>
        <w:t>השונות הקשורות בהאזנות הסתר לבין</w:t>
      </w:r>
      <w:r w:rsidRPr="00770E43">
        <w:rPr>
          <w:rFonts w:hint="cs"/>
          <w:rtl/>
        </w:rPr>
        <w:t xml:space="preserve"> </w:t>
      </w:r>
      <w:r w:rsidRPr="00770E43">
        <w:rPr>
          <w:rtl/>
        </w:rPr>
        <w:t>היכולת לתת מענה בקבועי זמן סבירים לפי</w:t>
      </w:r>
      <w:r w:rsidRPr="00770E43">
        <w:rPr>
          <w:rFonts w:hint="cs"/>
          <w:rtl/>
        </w:rPr>
        <w:t xml:space="preserve"> </w:t>
      </w:r>
      <w:r w:rsidRPr="00770E43">
        <w:rPr>
          <w:rtl/>
        </w:rPr>
        <w:t>צרכי החקירה</w:t>
      </w:r>
      <w:r w:rsidRPr="00770E43">
        <w:rPr>
          <w:rFonts w:hint="cs"/>
          <w:rtl/>
        </w:rPr>
        <w:t>.</w:t>
      </w:r>
      <w:r w:rsidR="00382AE8" w:rsidRPr="00770E43">
        <w:rPr>
          <w:rFonts w:hint="cs"/>
          <w:rtl/>
        </w:rPr>
        <w:t xml:space="preserve"> </w:t>
      </w:r>
    </w:p>
    <w:p w:rsidR="009A1216" w:rsidRPr="00770E43" w:rsidRDefault="009A1216" w:rsidP="0072530A">
      <w:pPr>
        <w:spacing w:line="269" w:lineRule="auto"/>
        <w:ind w:left="720"/>
        <w:rPr>
          <w:rtl/>
        </w:rPr>
      </w:pPr>
      <w:r w:rsidRPr="00770E43">
        <w:rPr>
          <w:rFonts w:hint="eastAsia"/>
          <w:rtl/>
        </w:rPr>
        <w:t>המשטרה</w:t>
      </w:r>
      <w:r w:rsidRPr="00770E43">
        <w:rPr>
          <w:rtl/>
        </w:rPr>
        <w:t xml:space="preserve"> מסרה בתגובתה כי </w:t>
      </w:r>
      <w:r w:rsidRPr="00770E43">
        <w:rPr>
          <w:rFonts w:hint="eastAsia"/>
          <w:rtl/>
        </w:rPr>
        <w:t>הסיבה</w:t>
      </w:r>
      <w:r w:rsidRPr="00770E43">
        <w:rPr>
          <w:rtl/>
        </w:rPr>
        <w:t xml:space="preserve"> </w:t>
      </w:r>
      <w:r w:rsidRPr="00770E43">
        <w:rPr>
          <w:rFonts w:hint="eastAsia"/>
          <w:rtl/>
        </w:rPr>
        <w:t>לקביעת</w:t>
      </w:r>
      <w:r w:rsidRPr="00770E43">
        <w:rPr>
          <w:rtl/>
        </w:rPr>
        <w:t xml:space="preserve"> שני דרגים מאשרים בהתאם למעמד יעד ההאזנה </w:t>
      </w:r>
      <w:r w:rsidRPr="00770E43">
        <w:rPr>
          <w:rFonts w:hint="eastAsia"/>
          <w:rtl/>
        </w:rPr>
        <w:t>נובעת</w:t>
      </w:r>
      <w:r w:rsidRPr="00770E43">
        <w:rPr>
          <w:rtl/>
        </w:rPr>
        <w:t xml:space="preserve"> </w:t>
      </w:r>
      <w:r w:rsidRPr="00770E43">
        <w:rPr>
          <w:rFonts w:hint="eastAsia"/>
          <w:rtl/>
        </w:rPr>
        <w:t>מהצורך</w:t>
      </w:r>
      <w:r w:rsidRPr="00770E43">
        <w:rPr>
          <w:rtl/>
        </w:rPr>
        <w:t xml:space="preserve"> </w:t>
      </w:r>
      <w:r w:rsidRPr="00770E43">
        <w:rPr>
          <w:rFonts w:hint="eastAsia"/>
          <w:rtl/>
        </w:rPr>
        <w:t>בקביעת</w:t>
      </w:r>
      <w:r w:rsidRPr="00770E43">
        <w:rPr>
          <w:rtl/>
        </w:rPr>
        <w:t xml:space="preserve"> </w:t>
      </w:r>
      <w:r w:rsidRPr="00770E43">
        <w:rPr>
          <w:rFonts w:hint="eastAsia"/>
          <w:rtl/>
        </w:rPr>
        <w:t>זהות</w:t>
      </w:r>
      <w:r w:rsidRPr="00770E43">
        <w:rPr>
          <w:rtl/>
        </w:rPr>
        <w:t xml:space="preserve"> </w:t>
      </w:r>
      <w:r w:rsidRPr="00770E43">
        <w:rPr>
          <w:rFonts w:hint="eastAsia"/>
          <w:rtl/>
        </w:rPr>
        <w:t>הדרג</w:t>
      </w:r>
      <w:r w:rsidRPr="00770E43">
        <w:rPr>
          <w:rtl/>
        </w:rPr>
        <w:t xml:space="preserve"> </w:t>
      </w:r>
      <w:r w:rsidRPr="00770E43">
        <w:rPr>
          <w:rFonts w:hint="eastAsia"/>
          <w:rtl/>
        </w:rPr>
        <w:t>המאשר</w:t>
      </w:r>
      <w:r w:rsidRPr="00770E43">
        <w:rPr>
          <w:rtl/>
        </w:rPr>
        <w:t xml:space="preserve"> </w:t>
      </w:r>
      <w:r w:rsidRPr="00770E43">
        <w:rPr>
          <w:rFonts w:hint="eastAsia"/>
          <w:rtl/>
        </w:rPr>
        <w:t>בהתאם</w:t>
      </w:r>
      <w:r w:rsidRPr="00770E43">
        <w:rPr>
          <w:rtl/>
        </w:rPr>
        <w:t xml:space="preserve"> </w:t>
      </w:r>
      <w:r w:rsidRPr="00770E43">
        <w:rPr>
          <w:rFonts w:hint="eastAsia"/>
          <w:rtl/>
        </w:rPr>
        <w:t>למידת</w:t>
      </w:r>
      <w:r w:rsidRPr="00770E43">
        <w:rPr>
          <w:rtl/>
        </w:rPr>
        <w:t xml:space="preserve"> </w:t>
      </w:r>
      <w:r w:rsidRPr="00770E43">
        <w:rPr>
          <w:rFonts w:hint="eastAsia"/>
          <w:rtl/>
        </w:rPr>
        <w:t>הפגיעה</w:t>
      </w:r>
      <w:r w:rsidRPr="00770E43">
        <w:rPr>
          <w:rtl/>
        </w:rPr>
        <w:t xml:space="preserve"> </w:t>
      </w:r>
      <w:r w:rsidRPr="00770E43">
        <w:rPr>
          <w:rFonts w:hint="eastAsia"/>
          <w:rtl/>
        </w:rPr>
        <w:t>באינטרס</w:t>
      </w:r>
      <w:r w:rsidRPr="00770E43">
        <w:rPr>
          <w:rtl/>
        </w:rPr>
        <w:t xml:space="preserve"> </w:t>
      </w:r>
      <w:r w:rsidRPr="00770E43">
        <w:rPr>
          <w:rFonts w:hint="eastAsia"/>
          <w:rtl/>
        </w:rPr>
        <w:t>המוגן</w:t>
      </w:r>
      <w:r w:rsidRPr="00770E43">
        <w:rPr>
          <w:rFonts w:hint="cs"/>
          <w:rtl/>
        </w:rPr>
        <w:t xml:space="preserve"> ובוויסות המשימות וחלוקת העומסים בתוך המשטרה</w:t>
      </w:r>
      <w:r w:rsidRPr="00770E43">
        <w:rPr>
          <w:rtl/>
        </w:rPr>
        <w:t xml:space="preserve">. </w:t>
      </w:r>
    </w:p>
    <w:p w:rsidR="00590FD7" w:rsidRPr="00770E43" w:rsidRDefault="00590FD7" w:rsidP="0072530A">
      <w:pPr>
        <w:spacing w:line="269" w:lineRule="auto"/>
        <w:ind w:left="720"/>
        <w:rPr>
          <w:rtl/>
        </w:rPr>
      </w:pPr>
    </w:p>
    <w:p w:rsidR="009A1216" w:rsidRDefault="009A1216" w:rsidP="0072530A">
      <w:pPr>
        <w:pStyle w:val="aff2"/>
        <w:spacing w:line="269" w:lineRule="auto"/>
        <w:ind w:left="720"/>
        <w:rPr>
          <w:rtl/>
        </w:rPr>
      </w:pPr>
      <w:r>
        <w:rPr>
          <w:rFonts w:hint="cs"/>
          <w:rtl/>
        </w:rPr>
        <w:t xml:space="preserve">לצורך שמירה על אחידות בהפעלת שיקול הדעת, מוצע שהמשטרה </w:t>
      </w:r>
      <w:r w:rsidRPr="002C3675">
        <w:rPr>
          <w:rFonts w:hint="cs"/>
          <w:rtl/>
        </w:rPr>
        <w:t>ת</w:t>
      </w:r>
      <w:r>
        <w:rPr>
          <w:rFonts w:hint="cs"/>
          <w:rtl/>
        </w:rPr>
        <w:t>שקול ל</w:t>
      </w:r>
      <w:r w:rsidRPr="002C3675">
        <w:rPr>
          <w:rFonts w:hint="cs"/>
          <w:rtl/>
        </w:rPr>
        <w:t>קב</w:t>
      </w:r>
      <w:r>
        <w:rPr>
          <w:rFonts w:hint="cs"/>
          <w:rtl/>
        </w:rPr>
        <w:t>ו</w:t>
      </w:r>
      <w:r w:rsidRPr="002C3675">
        <w:rPr>
          <w:rFonts w:hint="cs"/>
          <w:rtl/>
        </w:rPr>
        <w:t>ע</w:t>
      </w:r>
      <w:r>
        <w:rPr>
          <w:rFonts w:hint="cs"/>
          <w:rtl/>
        </w:rPr>
        <w:t xml:space="preserve"> שכלל הבקשות להאזנה למעורב רגיש יאושרו על ידי דרג יחיד במשטרה המפקח </w:t>
      </w:r>
      <w:r w:rsidRPr="005D4368">
        <w:rPr>
          <w:rFonts w:hint="cs"/>
          <w:rtl/>
        </w:rPr>
        <w:t>הן על חטיבת החקירות והן על חטיבת הסייבר - ר</w:t>
      </w:r>
      <w:r w:rsidRPr="00CC6FED">
        <w:rPr>
          <w:rFonts w:hint="cs"/>
          <w:rtl/>
        </w:rPr>
        <w:t xml:space="preserve">אש אח"ם. </w:t>
      </w:r>
      <w:r>
        <w:rPr>
          <w:rFonts w:hint="cs"/>
          <w:rtl/>
        </w:rPr>
        <w:t xml:space="preserve">לשם ניהול תקין של תיעוד האישורים, מוצע כי משרד המשפטים ישקול לקבוע את זהות הגורם האחראי לאיגום כלל האישורים הניתנים על ידי משרד המשפטים, לרבות אישורי פרקליט המחוז. </w:t>
      </w:r>
    </w:p>
    <w:p w:rsidR="009A1216" w:rsidRPr="00770E43" w:rsidRDefault="009A1216" w:rsidP="00604C3D">
      <w:pPr>
        <w:spacing w:line="269" w:lineRule="auto"/>
        <w:rPr>
          <w:rtl/>
        </w:rPr>
      </w:pPr>
    </w:p>
    <w:p w:rsidR="009A1216" w:rsidRDefault="009A1216" w:rsidP="008C598D">
      <w:pPr>
        <w:pStyle w:val="6"/>
        <w:numPr>
          <w:ilvl w:val="3"/>
          <w:numId w:val="73"/>
        </w:numPr>
        <w:spacing w:line="269" w:lineRule="auto"/>
        <w:ind w:left="1132"/>
        <w:rPr>
          <w:rtl/>
        </w:rPr>
      </w:pPr>
      <w:r w:rsidRPr="00892793">
        <w:rPr>
          <w:rFonts w:hint="cs"/>
          <w:rtl/>
        </w:rPr>
        <w:t>מודל ההיתרים</w:t>
      </w:r>
      <w:r>
        <w:rPr>
          <w:rFonts w:hint="cs"/>
          <w:rtl/>
        </w:rPr>
        <w:t xml:space="preserve"> להאזנת סתר לבעל חיסיון </w:t>
      </w:r>
    </w:p>
    <w:bookmarkEnd w:id="292"/>
    <w:p w:rsidR="00590FD7" w:rsidRDefault="00590FD7" w:rsidP="00604C3D">
      <w:pPr>
        <w:spacing w:line="269" w:lineRule="auto"/>
        <w:rPr>
          <w:rtl/>
        </w:rPr>
      </w:pPr>
    </w:p>
    <w:p w:rsidR="009A1216" w:rsidRDefault="009A1216" w:rsidP="001E513B">
      <w:pPr>
        <w:spacing w:line="269" w:lineRule="auto"/>
        <w:ind w:left="1077"/>
        <w:rPr>
          <w:rtl/>
        </w:rPr>
      </w:pPr>
      <w:r>
        <w:rPr>
          <w:rFonts w:hint="cs"/>
          <w:rtl/>
        </w:rPr>
        <w:t>כאמור, גורמים מהדרג המדיני ו</w:t>
      </w:r>
      <w:r>
        <w:rPr>
          <w:rFonts w:ascii="David" w:hAnsi="David" w:hint="cs"/>
          <w:rtl/>
        </w:rPr>
        <w:t xml:space="preserve">גורמים </w:t>
      </w:r>
      <w:r w:rsidRPr="00CB5EBE">
        <w:rPr>
          <w:rFonts w:ascii="David" w:hAnsi="David" w:hint="cs"/>
          <w:rtl/>
        </w:rPr>
        <w:t xml:space="preserve">בעלי </w:t>
      </w:r>
      <w:r>
        <w:rPr>
          <w:rFonts w:hint="cs"/>
          <w:rtl/>
        </w:rPr>
        <w:t xml:space="preserve">חיסיון מקצועי הם שני סוגים של מעורבים רגישים הנהנים מתוקף תפקידם מהגנה מוגברת מפני האזנת </w:t>
      </w:r>
      <w:r w:rsidRPr="00CB5EBE">
        <w:rPr>
          <w:rFonts w:hint="cs"/>
          <w:rtl/>
        </w:rPr>
        <w:t>סתר</w:t>
      </w:r>
      <w:r>
        <w:rPr>
          <w:rFonts w:hint="cs"/>
          <w:rtl/>
        </w:rPr>
        <w:t>.</w:t>
      </w:r>
      <w:r w:rsidRPr="00CB5EBE">
        <w:rPr>
          <w:rFonts w:hint="cs"/>
          <w:rtl/>
        </w:rPr>
        <w:t xml:space="preserve"> </w:t>
      </w:r>
      <w:r>
        <w:rPr>
          <w:rFonts w:hint="cs"/>
          <w:rtl/>
        </w:rPr>
        <w:t>ואולם, לפי הדין הגנתם אינה מוחלטת, וזאת משום שרק חלק משיחותיהם עשויות להיות חסויות. לפיכך ההגנה עליהם מתבצעת בשני שלבים עיקריים - שלב הוצאת ההיתר ושלב ההפקה של תוצרי ההאזנה. חלק זה יעסוק בשלב הוצאת ההיתר</w:t>
      </w:r>
      <w:r>
        <w:rPr>
          <w:rStyle w:val="af"/>
          <w:rtl/>
        </w:rPr>
        <w:footnoteReference w:id="127"/>
      </w:r>
      <w:r>
        <w:rPr>
          <w:rFonts w:hint="cs"/>
          <w:rtl/>
        </w:rPr>
        <w:t>.</w:t>
      </w:r>
    </w:p>
    <w:p w:rsidR="00590FD7" w:rsidRDefault="00590FD7" w:rsidP="001E513B">
      <w:pPr>
        <w:spacing w:line="269" w:lineRule="auto"/>
        <w:ind w:left="1077"/>
        <w:rPr>
          <w:rtl/>
        </w:rPr>
      </w:pPr>
    </w:p>
    <w:p w:rsidR="009A1216" w:rsidRDefault="009A1216" w:rsidP="001E513B">
      <w:pPr>
        <w:spacing w:line="269" w:lineRule="auto"/>
        <w:ind w:left="1077"/>
        <w:rPr>
          <w:rtl/>
        </w:rPr>
      </w:pPr>
      <w:r>
        <w:rPr>
          <w:rFonts w:hint="cs"/>
          <w:rtl/>
        </w:rPr>
        <w:t>בהתאם להמלצות צוות לבנת משיח, ניתן לערוך מודל של היתרים להאזנה למעורבים רגישים הנחלק לשני סוגים:</w:t>
      </w:r>
    </w:p>
    <w:p w:rsidR="00590FD7" w:rsidRPr="00770E43" w:rsidRDefault="00590FD7" w:rsidP="001E513B">
      <w:pPr>
        <w:spacing w:line="269" w:lineRule="auto"/>
        <w:ind w:left="1077"/>
        <w:rPr>
          <w:rtl/>
        </w:rPr>
      </w:pPr>
    </w:p>
    <w:p w:rsidR="009A1216" w:rsidRDefault="009A1216" w:rsidP="008C598D">
      <w:pPr>
        <w:pStyle w:val="af2"/>
        <w:numPr>
          <w:ilvl w:val="0"/>
          <w:numId w:val="8"/>
        </w:numPr>
        <w:spacing w:line="269" w:lineRule="auto"/>
        <w:ind w:left="1467"/>
      </w:pPr>
      <w:r w:rsidRPr="00F12842">
        <w:rPr>
          <w:rStyle w:val="70"/>
          <w:rFonts w:hint="cs"/>
          <w:rtl/>
        </w:rPr>
        <w:t>האזנה מראש</w:t>
      </w:r>
      <w:r>
        <w:rPr>
          <w:rStyle w:val="70"/>
          <w:rFonts w:hint="cs"/>
          <w:rtl/>
        </w:rPr>
        <w:t>:</w:t>
      </w:r>
      <w:r w:rsidRPr="00C33ACD">
        <w:rPr>
          <w:rStyle w:val="70"/>
          <w:rFonts w:hint="cs"/>
          <w:rtl/>
        </w:rPr>
        <w:t xml:space="preserve"> </w:t>
      </w:r>
      <w:r>
        <w:rPr>
          <w:rFonts w:hint="cs"/>
          <w:rtl/>
        </w:rPr>
        <w:t>הגשת בקשה להאזנה לשיחותיהם של בעלי חיסיון מקצועי או של גורמים מהדרג המדיני אם הם יעדי האזנה בעבירות חמורות - רצח, פגיעה בביטחון המדינה או סחר בסמים</w:t>
      </w:r>
      <w:r>
        <w:rPr>
          <w:rStyle w:val="af"/>
          <w:rtl/>
        </w:rPr>
        <w:footnoteReference w:id="128"/>
      </w:r>
      <w:r>
        <w:rPr>
          <w:rFonts w:hint="cs"/>
          <w:rtl/>
        </w:rPr>
        <w:t xml:space="preserve"> (להלן - </w:t>
      </w:r>
      <w:r w:rsidRPr="007A023D">
        <w:rPr>
          <w:rFonts w:hint="cs"/>
          <w:rtl/>
        </w:rPr>
        <w:t>היתר מיוחד להאזנה מראש</w:t>
      </w:r>
      <w:r>
        <w:rPr>
          <w:rFonts w:hint="cs"/>
          <w:rtl/>
        </w:rPr>
        <w:t xml:space="preserve">). </w:t>
      </w:r>
    </w:p>
    <w:p w:rsidR="00590FD7" w:rsidRDefault="00590FD7" w:rsidP="001E513B">
      <w:pPr>
        <w:spacing w:line="269" w:lineRule="auto"/>
        <w:ind w:left="1467"/>
        <w:rPr>
          <w:rtl/>
        </w:rPr>
      </w:pPr>
    </w:p>
    <w:p w:rsidR="009A1216" w:rsidRDefault="009A1216" w:rsidP="001E513B">
      <w:pPr>
        <w:spacing w:line="269" w:lineRule="auto"/>
        <w:ind w:left="1467"/>
        <w:rPr>
          <w:rtl/>
        </w:rPr>
      </w:pPr>
      <w:r>
        <w:rPr>
          <w:rFonts w:hint="cs"/>
          <w:rtl/>
        </w:rPr>
        <w:t xml:space="preserve">בשנת 2005 קבע צוות לבנת משיח כי האזנה הדורשת היתר מיוחד להאזנה מראש מתרחשת בשני תרחישים חלופיים: </w:t>
      </w:r>
    </w:p>
    <w:p w:rsidR="00590FD7" w:rsidRDefault="00590FD7" w:rsidP="001E513B">
      <w:pPr>
        <w:pStyle w:val="af2"/>
        <w:spacing w:line="269" w:lineRule="auto"/>
        <w:ind w:left="1827"/>
      </w:pPr>
    </w:p>
    <w:p w:rsidR="00E60CDB" w:rsidRDefault="009A1216" w:rsidP="008C598D">
      <w:pPr>
        <w:pStyle w:val="af2"/>
        <w:numPr>
          <w:ilvl w:val="0"/>
          <w:numId w:val="7"/>
        </w:numPr>
        <w:spacing w:line="269" w:lineRule="auto"/>
        <w:ind w:left="1827"/>
      </w:pPr>
      <w:r>
        <w:rPr>
          <w:rFonts w:hint="cs"/>
          <w:rtl/>
        </w:rPr>
        <w:t>אם היה ידוע למשטרה כי יעד ההאזנה הוא בעל חיסיון מקצועי או נמנה עם הדרג המדיני.</w:t>
      </w:r>
    </w:p>
    <w:p w:rsidR="009A1216" w:rsidRDefault="009A1216" w:rsidP="001E513B">
      <w:pPr>
        <w:pStyle w:val="af2"/>
        <w:spacing w:line="269" w:lineRule="auto"/>
        <w:ind w:left="1827"/>
      </w:pPr>
      <w:r>
        <w:rPr>
          <w:rFonts w:hint="cs"/>
          <w:rtl/>
        </w:rPr>
        <w:t xml:space="preserve"> </w:t>
      </w:r>
    </w:p>
    <w:p w:rsidR="009A1216" w:rsidRDefault="009A1216" w:rsidP="008C598D">
      <w:pPr>
        <w:pStyle w:val="af2"/>
        <w:numPr>
          <w:ilvl w:val="0"/>
          <w:numId w:val="7"/>
        </w:numPr>
        <w:spacing w:line="269" w:lineRule="auto"/>
        <w:ind w:left="1827"/>
      </w:pPr>
      <w:r w:rsidRPr="001361B8">
        <w:rPr>
          <w:rtl/>
        </w:rPr>
        <w:t>אם צפוי בבירור שבהאזנה ליעד ההאזנה (שאינו בעל חיסיון מקצועי</w:t>
      </w:r>
      <w:r w:rsidR="00E73E90">
        <w:rPr>
          <w:rFonts w:hint="cs"/>
          <w:rtl/>
        </w:rPr>
        <w:t xml:space="preserve"> ואינו גורם מדיני</w:t>
      </w:r>
      <w:r w:rsidRPr="001361B8">
        <w:rPr>
          <w:rtl/>
        </w:rPr>
        <w:t>) ייקלטו שיחות שיתקיימו בעתיד עם בעלי חיסיון מקצועי או עם גורם בדרג המדיני</w:t>
      </w:r>
      <w:r w:rsidRPr="001361B8">
        <w:rPr>
          <w:rStyle w:val="af"/>
          <w:vertAlign w:val="baseline"/>
          <w:rtl/>
        </w:rPr>
        <w:t xml:space="preserve"> </w:t>
      </w:r>
      <w:r>
        <w:rPr>
          <w:rStyle w:val="af"/>
          <w:rtl/>
        </w:rPr>
        <w:footnoteReference w:id="129"/>
      </w:r>
      <w:r>
        <w:rPr>
          <w:rFonts w:hint="cs"/>
          <w:rtl/>
        </w:rPr>
        <w:t xml:space="preserve">. </w:t>
      </w:r>
    </w:p>
    <w:p w:rsidR="00590FD7" w:rsidRDefault="00590FD7" w:rsidP="001E513B">
      <w:pPr>
        <w:spacing w:line="269" w:lineRule="auto"/>
        <w:ind w:left="1467"/>
        <w:rPr>
          <w:rtl/>
        </w:rPr>
      </w:pPr>
    </w:p>
    <w:p w:rsidR="009A1216" w:rsidRDefault="009A1216" w:rsidP="001E513B">
      <w:pPr>
        <w:spacing w:line="269" w:lineRule="auto"/>
        <w:ind w:left="1467"/>
        <w:rPr>
          <w:rtl/>
        </w:rPr>
      </w:pPr>
      <w:r>
        <w:rPr>
          <w:rFonts w:hint="cs"/>
          <w:rtl/>
        </w:rPr>
        <w:t xml:space="preserve">צוות לבנת משיח אף סבר כי משוכת העבירות החמורות שאותה נדרש לעבור לצורך קבלת היתר מיוחד להאזנה מראש דורש תיקון חקיקה באופן שיאפשר להרחיב את רשימת העבירות ולקבל היתר מיוחד להאזנה מראש גם אם מדובר בעבירות מתחום איסור הלבנת הון, במאבק בארגוני פשיעה, בסחר בבני אדם ובעבירות שוחד. </w:t>
      </w:r>
    </w:p>
    <w:p w:rsidR="00590FD7" w:rsidRPr="00770E43" w:rsidRDefault="00590FD7" w:rsidP="00604C3D">
      <w:pPr>
        <w:spacing w:line="269" w:lineRule="auto"/>
      </w:pPr>
    </w:p>
    <w:p w:rsidR="009A1216" w:rsidRDefault="009A1216" w:rsidP="008C598D">
      <w:pPr>
        <w:pStyle w:val="af2"/>
        <w:numPr>
          <w:ilvl w:val="0"/>
          <w:numId w:val="8"/>
        </w:numPr>
        <w:spacing w:line="269" w:lineRule="auto"/>
        <w:ind w:left="1467"/>
      </w:pPr>
      <w:r w:rsidRPr="00F12842">
        <w:rPr>
          <w:rStyle w:val="70"/>
          <w:rFonts w:hint="cs"/>
          <w:rtl/>
        </w:rPr>
        <w:t>האזנה אגב אורחא</w:t>
      </w:r>
      <w:r>
        <w:rPr>
          <w:rStyle w:val="70"/>
          <w:rFonts w:hint="cs"/>
          <w:rtl/>
        </w:rPr>
        <w:t xml:space="preserve"> (</w:t>
      </w:r>
      <w:r w:rsidRPr="00F12842">
        <w:rPr>
          <w:rStyle w:val="70"/>
          <w:rFonts w:hint="cs"/>
          <w:rtl/>
        </w:rPr>
        <w:t>בדיעבד</w:t>
      </w:r>
      <w:r>
        <w:rPr>
          <w:rStyle w:val="70"/>
          <w:rFonts w:hint="cs"/>
          <w:rtl/>
        </w:rPr>
        <w:t>):</w:t>
      </w:r>
      <w:r>
        <w:rPr>
          <w:rFonts w:hint="cs"/>
          <w:rtl/>
        </w:rPr>
        <w:t xml:space="preserve"> כאשר אגב האזנה ליעד נקלטת שיחה של היעד עם אדם בעל חיסיון מקצועי או דרג מדיני. האפשרות להאזנה אגב אורחא עוגנה בחוק חסינות חברי כנסת ולא עוגנה בחקיקה בנוגע להאזנה לבעל חיסיון מקצועי. בשני המקרים האזנה אגב אורחא אינה מוגבלת לעבירות מסוימות</w:t>
      </w:r>
      <w:r>
        <w:rPr>
          <w:rStyle w:val="af"/>
          <w:rtl/>
        </w:rPr>
        <w:footnoteReference w:id="130"/>
      </w:r>
      <w:r>
        <w:rPr>
          <w:rFonts w:hint="cs"/>
          <w:rtl/>
        </w:rPr>
        <w:t xml:space="preserve">. במקרה זה תוצרי ההאזנה כבר נאספו והם נמצאים בידי המשטרה, אולם היא רשאית להפיק אותם רק לאחר שתגיש לבית המשפט בקשה ייעודית להפקת תוצרי ההאזנה ותקבל ממנו אישור לכך. </w:t>
      </w:r>
    </w:p>
    <w:p w:rsidR="00590FD7" w:rsidRPr="00770E43" w:rsidRDefault="00590FD7" w:rsidP="00604C3D">
      <w:pPr>
        <w:spacing w:line="269" w:lineRule="auto"/>
      </w:pPr>
    </w:p>
    <w:p w:rsidR="009A1216" w:rsidRDefault="009A1216" w:rsidP="001E513B">
      <w:pPr>
        <w:spacing w:line="269" w:lineRule="auto"/>
        <w:ind w:left="1440"/>
        <w:rPr>
          <w:rtl/>
        </w:rPr>
      </w:pPr>
      <w:r>
        <w:rPr>
          <w:rFonts w:hint="cs"/>
          <w:rtl/>
        </w:rPr>
        <w:t>צוות לבנת משיח הבהיר שהאזנה אגב אורחא מתרחשת אם התבצעה האזנה ליעד האזנה שאינו בעל חיסיון מקצועי, ובאופן בלתי צפוי ומזדמן התברר כי בעל מקצוע חסוי הוא צד לשיחה</w:t>
      </w:r>
      <w:r>
        <w:rPr>
          <w:rStyle w:val="af"/>
          <w:rtl/>
        </w:rPr>
        <w:footnoteReference w:id="131"/>
      </w:r>
      <w:r>
        <w:rPr>
          <w:rFonts w:hint="cs"/>
          <w:rtl/>
        </w:rPr>
        <w:t xml:space="preserve">. </w:t>
      </w:r>
    </w:p>
    <w:p w:rsidR="00590FD7" w:rsidRDefault="00590FD7" w:rsidP="00604C3D">
      <w:pPr>
        <w:spacing w:line="269" w:lineRule="auto"/>
        <w:rPr>
          <w:rtl/>
        </w:rPr>
      </w:pPr>
    </w:p>
    <w:p w:rsidR="009A1216" w:rsidRDefault="009A1216" w:rsidP="00367A7B">
      <w:pPr>
        <w:spacing w:line="269" w:lineRule="auto"/>
        <w:ind w:left="1077"/>
        <w:rPr>
          <w:rtl/>
        </w:rPr>
      </w:pPr>
      <w:r w:rsidRPr="0078346F">
        <w:rPr>
          <w:rFonts w:hint="cs"/>
          <w:rtl/>
        </w:rPr>
        <w:t>בשנת</w:t>
      </w:r>
      <w:r w:rsidRPr="0078346F">
        <w:rPr>
          <w:rtl/>
        </w:rPr>
        <w:t xml:space="preserve"> 2005 </w:t>
      </w:r>
      <w:r w:rsidRPr="0078346F">
        <w:rPr>
          <w:rFonts w:hint="cs"/>
          <w:rtl/>
        </w:rPr>
        <w:t>המליץ</w:t>
      </w:r>
      <w:r w:rsidRPr="0078346F">
        <w:rPr>
          <w:rtl/>
        </w:rPr>
        <w:t xml:space="preserve"> </w:t>
      </w:r>
      <w:r w:rsidRPr="0078346F">
        <w:rPr>
          <w:rFonts w:hint="cs"/>
          <w:rtl/>
        </w:rPr>
        <w:t>צוות</w:t>
      </w:r>
      <w:r w:rsidRPr="0078346F">
        <w:rPr>
          <w:rtl/>
        </w:rPr>
        <w:t xml:space="preserve"> </w:t>
      </w:r>
      <w:r w:rsidRPr="0078346F">
        <w:rPr>
          <w:rFonts w:hint="cs"/>
          <w:rtl/>
        </w:rPr>
        <w:t>לבנת</w:t>
      </w:r>
      <w:r w:rsidRPr="0078346F">
        <w:rPr>
          <w:rtl/>
        </w:rPr>
        <w:t xml:space="preserve"> </w:t>
      </w:r>
      <w:r w:rsidRPr="0078346F">
        <w:rPr>
          <w:rFonts w:hint="cs"/>
          <w:rtl/>
        </w:rPr>
        <w:t>משיח</w:t>
      </w:r>
      <w:r w:rsidRPr="0078346F">
        <w:rPr>
          <w:rtl/>
        </w:rPr>
        <w:t xml:space="preserve"> </w:t>
      </w:r>
      <w:r w:rsidRPr="0078346F">
        <w:rPr>
          <w:rFonts w:hint="cs"/>
          <w:rtl/>
        </w:rPr>
        <w:t>לעגן</w:t>
      </w:r>
      <w:r w:rsidRPr="0078346F">
        <w:rPr>
          <w:rtl/>
        </w:rPr>
        <w:t xml:space="preserve"> </w:t>
      </w:r>
      <w:r w:rsidRPr="0078346F">
        <w:rPr>
          <w:rFonts w:hint="cs"/>
          <w:rtl/>
        </w:rPr>
        <w:t>באופן</w:t>
      </w:r>
      <w:r w:rsidRPr="0078346F">
        <w:rPr>
          <w:rtl/>
        </w:rPr>
        <w:t xml:space="preserve"> </w:t>
      </w:r>
      <w:r w:rsidRPr="0078346F">
        <w:rPr>
          <w:rFonts w:hint="cs"/>
          <w:rtl/>
        </w:rPr>
        <w:t>ברור</w:t>
      </w:r>
      <w:r w:rsidRPr="0078346F">
        <w:rPr>
          <w:rtl/>
        </w:rPr>
        <w:t xml:space="preserve"> </w:t>
      </w:r>
      <w:r w:rsidRPr="0078346F">
        <w:rPr>
          <w:rFonts w:hint="cs"/>
          <w:rtl/>
        </w:rPr>
        <w:t>ובחקיקה</w:t>
      </w:r>
      <w:r w:rsidRPr="0078346F">
        <w:rPr>
          <w:rtl/>
        </w:rPr>
        <w:t xml:space="preserve"> </w:t>
      </w:r>
      <w:r w:rsidRPr="0078346F">
        <w:rPr>
          <w:rFonts w:hint="cs"/>
          <w:rtl/>
        </w:rPr>
        <w:t>ראשית</w:t>
      </w:r>
      <w:r w:rsidRPr="0078346F">
        <w:rPr>
          <w:rtl/>
        </w:rPr>
        <w:t xml:space="preserve"> </w:t>
      </w:r>
      <w:r w:rsidRPr="0078346F">
        <w:rPr>
          <w:rFonts w:hint="cs"/>
          <w:rtl/>
        </w:rPr>
        <w:t>את</w:t>
      </w:r>
      <w:r w:rsidRPr="0078346F">
        <w:rPr>
          <w:rtl/>
        </w:rPr>
        <w:t xml:space="preserve"> </w:t>
      </w:r>
      <w:r w:rsidRPr="0078346F">
        <w:rPr>
          <w:rFonts w:hint="cs"/>
          <w:rtl/>
        </w:rPr>
        <w:t>הטיפול</w:t>
      </w:r>
      <w:r w:rsidRPr="0078346F">
        <w:rPr>
          <w:rtl/>
        </w:rPr>
        <w:t xml:space="preserve"> </w:t>
      </w:r>
      <w:r w:rsidRPr="0078346F">
        <w:rPr>
          <w:rFonts w:hint="cs"/>
          <w:rtl/>
        </w:rPr>
        <w:t>בהאזנה</w:t>
      </w:r>
      <w:r w:rsidRPr="0078346F">
        <w:rPr>
          <w:rtl/>
        </w:rPr>
        <w:t xml:space="preserve"> </w:t>
      </w:r>
      <w:r w:rsidRPr="0078346F">
        <w:rPr>
          <w:rFonts w:hint="cs"/>
          <w:rtl/>
        </w:rPr>
        <w:t>לבעלי</w:t>
      </w:r>
      <w:r w:rsidRPr="0078346F">
        <w:rPr>
          <w:rtl/>
        </w:rPr>
        <w:t xml:space="preserve"> </w:t>
      </w:r>
      <w:r w:rsidRPr="0078346F">
        <w:rPr>
          <w:rFonts w:hint="cs"/>
          <w:rtl/>
        </w:rPr>
        <w:t>חיסיון</w:t>
      </w:r>
      <w:r w:rsidRPr="0078346F">
        <w:rPr>
          <w:rtl/>
        </w:rPr>
        <w:t xml:space="preserve"> </w:t>
      </w:r>
      <w:r w:rsidRPr="0078346F">
        <w:rPr>
          <w:rFonts w:hint="cs"/>
          <w:rtl/>
        </w:rPr>
        <w:t>מקצועי</w:t>
      </w:r>
      <w:r w:rsidRPr="0078346F">
        <w:rPr>
          <w:rStyle w:val="af"/>
          <w:rtl/>
        </w:rPr>
        <w:footnoteReference w:id="132"/>
      </w:r>
      <w:r w:rsidRPr="0078346F">
        <w:rPr>
          <w:rtl/>
        </w:rPr>
        <w:t>.</w:t>
      </w:r>
      <w:r w:rsidRPr="007D0C82">
        <w:rPr>
          <w:rFonts w:hint="cs"/>
          <w:rtl/>
        </w:rPr>
        <w:t xml:space="preserve"> הצעת החוק המסדירה את הטיפול בהאזנה לבעלי חיסיון מקצועי שהועלתה בשנת 2009 לא </w:t>
      </w:r>
      <w:r>
        <w:rPr>
          <w:rFonts w:hint="cs"/>
          <w:rtl/>
        </w:rPr>
        <w:t>הושלמה</w:t>
      </w:r>
      <w:r w:rsidRPr="007D0C82">
        <w:rPr>
          <w:rFonts w:hint="cs"/>
          <w:rtl/>
        </w:rPr>
        <w:t>.</w:t>
      </w:r>
      <w:r>
        <w:rPr>
          <w:rFonts w:hint="cs"/>
          <w:rtl/>
        </w:rPr>
        <w:t xml:space="preserve"> </w:t>
      </w:r>
    </w:p>
    <w:p w:rsidR="009A1216" w:rsidRDefault="009A1216" w:rsidP="00367A7B">
      <w:pPr>
        <w:pStyle w:val="a5"/>
        <w:spacing w:line="269" w:lineRule="auto"/>
        <w:ind w:left="153"/>
        <w:rPr>
          <w:rtl/>
        </w:rPr>
      </w:pPr>
    </w:p>
    <w:p w:rsidR="009A1216" w:rsidRDefault="009A1216" w:rsidP="00367A7B">
      <w:pPr>
        <w:spacing w:line="269" w:lineRule="auto"/>
        <w:ind w:left="1077"/>
        <w:rPr>
          <w:rtl/>
        </w:rPr>
      </w:pPr>
      <w:r>
        <w:rPr>
          <w:rFonts w:hint="cs"/>
          <w:rtl/>
        </w:rPr>
        <w:t>משרד המשפטים מסר כי הצעת החוק לתיקון חוק האזנת סתר משנת 2009</w:t>
      </w:r>
      <w:r>
        <w:rPr>
          <w:rStyle w:val="af"/>
          <w:rtl/>
        </w:rPr>
        <w:footnoteReference w:id="133"/>
      </w:r>
      <w:r>
        <w:rPr>
          <w:rFonts w:hint="cs"/>
          <w:rtl/>
        </w:rPr>
        <w:t>, עסקה בכמה נושאים, אך הליך החקיקה לא התקדם בשל התנגדות ועדת חוק ומשפט משנת 2012 להסדרה של נושא התיעוד החזותי המופיע בתיקון החקיקה האמור. בשנת 2015 קיים משרד המשפטים כמה ישיבות כדי לקדם את תיקון החקיקה.</w:t>
      </w:r>
    </w:p>
    <w:p w:rsidR="00590FD7" w:rsidRDefault="00590FD7" w:rsidP="00367A7B">
      <w:pPr>
        <w:spacing w:line="269" w:lineRule="auto"/>
        <w:ind w:left="1077"/>
        <w:rPr>
          <w:rtl/>
        </w:rPr>
      </w:pPr>
    </w:p>
    <w:p w:rsidR="009A1216" w:rsidRDefault="009A1216" w:rsidP="00367A7B">
      <w:pPr>
        <w:spacing w:line="269" w:lineRule="auto"/>
        <w:ind w:left="1077"/>
        <w:rPr>
          <w:rtl/>
        </w:rPr>
      </w:pPr>
      <w:r>
        <w:rPr>
          <w:rFonts w:hint="cs"/>
          <w:rtl/>
        </w:rPr>
        <w:t>להלן תרשים המבאר את מודל ההיתרים להאזנה לבעל חיסיון שהוצג על ידי צוות לבנת משיח:</w:t>
      </w:r>
    </w:p>
    <w:p w:rsidR="00590FD7" w:rsidRDefault="00590FD7" w:rsidP="00604C3D">
      <w:pPr>
        <w:bidi w:val="0"/>
        <w:spacing w:line="269" w:lineRule="auto"/>
        <w:rPr>
          <w:rtl/>
        </w:rPr>
      </w:pPr>
      <w:r>
        <w:rPr>
          <w:rtl/>
        </w:rPr>
        <w:br w:type="page"/>
      </w:r>
    </w:p>
    <w:p w:rsidR="009A1216" w:rsidRDefault="00A36C3A" w:rsidP="00604C3D">
      <w:pPr>
        <w:spacing w:line="269" w:lineRule="auto"/>
        <w:jc w:val="center"/>
        <w:rPr>
          <w:rtl/>
        </w:rPr>
      </w:pPr>
      <w:r>
        <w:rPr>
          <w:noProof/>
          <w:rtl/>
          <w:lang w:val="he-IL"/>
        </w:rPr>
        <w:drawing>
          <wp:anchor distT="0" distB="0" distL="114300" distR="114300" simplePos="0" relativeHeight="251732992" behindDoc="1" locked="0" layoutInCell="1" allowOverlap="1" wp14:anchorId="573587E4" wp14:editId="01F1EC87">
            <wp:simplePos x="0" y="0"/>
            <wp:positionH relativeFrom="column">
              <wp:posOffset>-311689</wp:posOffset>
            </wp:positionH>
            <wp:positionV relativeFrom="paragraph">
              <wp:posOffset>228600</wp:posOffset>
            </wp:positionV>
            <wp:extent cx="5918853" cy="5165767"/>
            <wp:effectExtent l="0" t="0" r="5715" b="0"/>
            <wp:wrapTight wrapText="bothSides">
              <wp:wrapPolygon edited="0">
                <wp:start x="0" y="0"/>
                <wp:lineTo x="0" y="21507"/>
                <wp:lineTo x="21551" y="21507"/>
                <wp:lineTo x="21551" y="0"/>
                <wp:lineTo x="0" y="0"/>
              </wp:wrapPolygon>
            </wp:wrapTight>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BCCA31.tmp"/>
                    <pic:cNvPicPr/>
                  </pic:nvPicPr>
                  <pic:blipFill>
                    <a:blip r:embed="rId21">
                      <a:extLst>
                        <a:ext uri="{28A0092B-C50C-407E-A947-70E740481C1C}">
                          <a14:useLocalDpi xmlns:a14="http://schemas.microsoft.com/office/drawing/2010/main" val="0"/>
                        </a:ext>
                      </a:extLst>
                    </a:blip>
                    <a:stretch>
                      <a:fillRect/>
                    </a:stretch>
                  </pic:blipFill>
                  <pic:spPr>
                    <a:xfrm>
                      <a:off x="0" y="0"/>
                      <a:ext cx="5918853" cy="5165767"/>
                    </a:xfrm>
                    <a:prstGeom prst="rect">
                      <a:avLst/>
                    </a:prstGeom>
                  </pic:spPr>
                </pic:pic>
              </a:graphicData>
            </a:graphic>
          </wp:anchor>
        </w:drawing>
      </w:r>
      <w:r w:rsidR="009A1216" w:rsidRPr="0017071A">
        <w:rPr>
          <w:rFonts w:hint="eastAsia"/>
          <w:rtl/>
        </w:rPr>
        <w:t>תרשים</w:t>
      </w:r>
      <w:r w:rsidR="007A023D">
        <w:rPr>
          <w:rFonts w:hint="cs"/>
          <w:rtl/>
        </w:rPr>
        <w:t xml:space="preserve"> 10</w:t>
      </w:r>
      <w:r w:rsidR="009A1216" w:rsidRPr="0017071A">
        <w:rPr>
          <w:rtl/>
        </w:rPr>
        <w:t>:</w:t>
      </w:r>
      <w:r w:rsidR="009A1216">
        <w:rPr>
          <w:rFonts w:hint="cs"/>
          <w:rtl/>
        </w:rPr>
        <w:t xml:space="preserve"> </w:t>
      </w:r>
      <w:r w:rsidR="009A1216" w:rsidRPr="00C33ACD">
        <w:rPr>
          <w:rFonts w:hint="cs"/>
          <w:b/>
          <w:bCs/>
          <w:rtl/>
        </w:rPr>
        <w:t>מודל ההיתרים להאזנה לבעל חיסיון לפי המלצת צוות לבנת משיח</w:t>
      </w:r>
    </w:p>
    <w:p w:rsidR="009A1216" w:rsidRDefault="000003CF" w:rsidP="00A36C3A">
      <w:pPr>
        <w:spacing w:line="269" w:lineRule="auto"/>
        <w:jc w:val="left"/>
        <w:rPr>
          <w:szCs w:val="20"/>
          <w:rtl/>
        </w:rPr>
      </w:pPr>
      <w:r>
        <w:rPr>
          <w:rFonts w:hint="cs"/>
          <w:szCs w:val="20"/>
          <w:rtl/>
        </w:rPr>
        <w:t xml:space="preserve">על </w:t>
      </w:r>
      <w:r w:rsidR="009A1216">
        <w:rPr>
          <w:rFonts w:hint="cs"/>
          <w:szCs w:val="20"/>
          <w:rtl/>
        </w:rPr>
        <w:t>פי מודל האזנות הסתר של צוות לבנת משיח, בעיבוד משרד מבקר המדינה.</w:t>
      </w:r>
    </w:p>
    <w:p w:rsidR="0094034A" w:rsidRDefault="0094034A" w:rsidP="00604C3D">
      <w:pPr>
        <w:spacing w:line="269" w:lineRule="auto"/>
        <w:rPr>
          <w:rtl/>
        </w:rPr>
      </w:pPr>
    </w:p>
    <w:p w:rsidR="009A1216" w:rsidRDefault="009A1216" w:rsidP="00367A7B">
      <w:pPr>
        <w:spacing w:line="269" w:lineRule="auto"/>
        <w:ind w:left="1077"/>
        <w:rPr>
          <w:rtl/>
        </w:rPr>
      </w:pPr>
      <w:r>
        <w:rPr>
          <w:rFonts w:hint="cs"/>
          <w:rtl/>
        </w:rPr>
        <w:t xml:space="preserve">ההמלצות והצידוקים למודל שהציג צוות לבנת משיח, שבאו לידי ביטוי גם בוועדת החקירה משנת 2009, היו מקובלים </w:t>
      </w:r>
      <w:r w:rsidR="000F4C5A">
        <w:rPr>
          <w:rFonts w:hint="cs"/>
          <w:rtl/>
        </w:rPr>
        <w:t xml:space="preserve">במשך השנים </w:t>
      </w:r>
      <w:r>
        <w:rPr>
          <w:rFonts w:hint="cs"/>
          <w:rtl/>
        </w:rPr>
        <w:t xml:space="preserve">על </w:t>
      </w:r>
      <w:r w:rsidR="00E75C27">
        <w:rPr>
          <w:rFonts w:hint="cs"/>
          <w:rtl/>
        </w:rPr>
        <w:t xml:space="preserve">המשטרה ועל </w:t>
      </w:r>
      <w:r>
        <w:rPr>
          <w:rFonts w:hint="cs"/>
          <w:rtl/>
        </w:rPr>
        <w:t>היועמ"ש לממשלה</w:t>
      </w:r>
      <w:r w:rsidR="00E75C27">
        <w:rPr>
          <w:rFonts w:hint="cs"/>
          <w:rtl/>
        </w:rPr>
        <w:t xml:space="preserve"> והם </w:t>
      </w:r>
      <w:r w:rsidR="000F4C5A">
        <w:rPr>
          <w:rFonts w:hint="cs"/>
          <w:rtl/>
        </w:rPr>
        <w:t xml:space="preserve">אף </w:t>
      </w:r>
      <w:r w:rsidR="00E75C27">
        <w:rPr>
          <w:rFonts w:hint="cs"/>
          <w:rtl/>
        </w:rPr>
        <w:t>אומצו על ידו</w:t>
      </w:r>
      <w:r>
        <w:rPr>
          <w:rStyle w:val="af"/>
          <w:rtl/>
        </w:rPr>
        <w:footnoteReference w:id="134"/>
      </w:r>
      <w:r w:rsidR="00E75C27">
        <w:rPr>
          <w:rFonts w:hint="cs"/>
          <w:rtl/>
        </w:rPr>
        <w:t>.</w:t>
      </w:r>
      <w:r>
        <w:rPr>
          <w:rFonts w:hint="cs"/>
          <w:rtl/>
        </w:rPr>
        <w:t xml:space="preserve"> </w:t>
      </w:r>
      <w:r w:rsidR="00E75C27">
        <w:rPr>
          <w:rFonts w:hint="cs"/>
          <w:rtl/>
        </w:rPr>
        <w:t xml:space="preserve">גורמים </w:t>
      </w:r>
      <w:r>
        <w:rPr>
          <w:rFonts w:hint="cs"/>
          <w:rtl/>
        </w:rPr>
        <w:t>אלו דנו בין היתר גם במגבלת העבירות החלה על המודל.</w:t>
      </w:r>
      <w:r w:rsidRPr="00AC2963">
        <w:rPr>
          <w:rFonts w:hint="cs"/>
          <w:rtl/>
        </w:rPr>
        <w:t xml:space="preserve"> </w:t>
      </w:r>
      <w:r w:rsidR="000F4C5A">
        <w:rPr>
          <w:rFonts w:hint="cs"/>
          <w:rtl/>
        </w:rPr>
        <w:t xml:space="preserve">נוסף על כך, </w:t>
      </w:r>
      <w:r>
        <w:rPr>
          <w:rFonts w:hint="cs"/>
          <w:rtl/>
        </w:rPr>
        <w:t xml:space="preserve">פרטי המודל נדונו באמרות אגב בפסיקה של בית המשפט העליון בשנים 2009 ו-2012. יוצא אפוא כי לפי מסמכי המשטרה ומשרד המשפטים המודל היה מקובל על גופים אלו לכל הפחות עד לשנת 2016. </w:t>
      </w:r>
    </w:p>
    <w:p w:rsidR="007A023D" w:rsidRDefault="007A023D" w:rsidP="00604C3D">
      <w:pPr>
        <w:spacing w:line="269" w:lineRule="auto"/>
        <w:rPr>
          <w:rtl/>
        </w:rPr>
      </w:pPr>
    </w:p>
    <w:p w:rsidR="009A1216" w:rsidRDefault="009A1216" w:rsidP="00367A7B">
      <w:pPr>
        <w:spacing w:line="269" w:lineRule="auto"/>
        <w:ind w:left="1077"/>
        <w:rPr>
          <w:rtl/>
        </w:rPr>
      </w:pPr>
      <w:r>
        <w:rPr>
          <w:rFonts w:hint="cs"/>
          <w:rtl/>
        </w:rPr>
        <w:t xml:space="preserve">המשטרה מסרה בתגובתה כי ההבחנה שבוצעה על ידי צוות לבנת משיח לא יושמה על ידי המשטרה והיא "לא נהגה על פי המלצה זו מעולם". </w:t>
      </w:r>
    </w:p>
    <w:p w:rsidR="009A1216" w:rsidRDefault="009A1216" w:rsidP="00604C3D">
      <w:pPr>
        <w:pStyle w:val="a5"/>
        <w:spacing w:line="269" w:lineRule="auto"/>
        <w:rPr>
          <w:rtl/>
        </w:rPr>
      </w:pPr>
    </w:p>
    <w:p w:rsidR="009A1216" w:rsidRPr="00894891" w:rsidRDefault="00E858FF" w:rsidP="00367A7B">
      <w:pPr>
        <w:spacing w:line="269" w:lineRule="auto"/>
        <w:ind w:left="1077"/>
        <w:rPr>
          <w:b/>
          <w:bCs/>
          <w:rtl/>
        </w:rPr>
      </w:pPr>
      <w:r>
        <w:rPr>
          <w:rFonts w:hint="cs"/>
          <w:b/>
          <w:bCs/>
          <w:rtl/>
        </w:rPr>
        <w:t xml:space="preserve">בעניין זה </w:t>
      </w:r>
      <w:r w:rsidR="009A1216" w:rsidRPr="00894891">
        <w:rPr>
          <w:rFonts w:hint="cs"/>
          <w:b/>
          <w:bCs/>
          <w:rtl/>
        </w:rPr>
        <w:t>משרד מבקר המדינה מצ</w:t>
      </w:r>
      <w:r>
        <w:rPr>
          <w:rFonts w:hint="cs"/>
          <w:b/>
          <w:bCs/>
          <w:rtl/>
        </w:rPr>
        <w:t xml:space="preserve">יין </w:t>
      </w:r>
      <w:r w:rsidR="009A1216" w:rsidRPr="00894891">
        <w:rPr>
          <w:rFonts w:hint="cs"/>
          <w:b/>
          <w:bCs/>
          <w:rtl/>
        </w:rPr>
        <w:t xml:space="preserve">כי ההבחנה </w:t>
      </w:r>
      <w:r w:rsidR="009A1216">
        <w:rPr>
          <w:rFonts w:hint="cs"/>
          <w:b/>
          <w:bCs/>
          <w:rtl/>
        </w:rPr>
        <w:t>עליה מבוסס מודל ההיתרים של צוות לבנת משיח</w:t>
      </w:r>
      <w:r w:rsidR="009A1216" w:rsidRPr="00894891">
        <w:rPr>
          <w:rFonts w:hint="cs"/>
          <w:b/>
          <w:bCs/>
          <w:rtl/>
        </w:rPr>
        <w:t xml:space="preserve"> הופיעה בחידודי נהלים של המשטרה ומסמכי הפרקליטות בשנים 2009 -2016. </w:t>
      </w:r>
      <w:r>
        <w:rPr>
          <w:rFonts w:hint="cs"/>
          <w:b/>
          <w:bCs/>
          <w:rtl/>
        </w:rPr>
        <w:t>בהם</w:t>
      </w:r>
      <w:r w:rsidR="009A1216" w:rsidRPr="00894891">
        <w:rPr>
          <w:rFonts w:hint="cs"/>
          <w:b/>
          <w:bCs/>
          <w:rtl/>
        </w:rPr>
        <w:t xml:space="preserve">, האזנה אגב אורחא הייתה מוגבלת למקרים של האזנה מקרית בלבד. </w:t>
      </w:r>
    </w:p>
    <w:p w:rsidR="0094034A" w:rsidRDefault="0094034A" w:rsidP="00367A7B">
      <w:pPr>
        <w:spacing w:line="269" w:lineRule="auto"/>
        <w:ind w:left="1077"/>
        <w:rPr>
          <w:rtl/>
        </w:rPr>
      </w:pPr>
    </w:p>
    <w:p w:rsidR="009A1216" w:rsidRPr="00640CFB" w:rsidRDefault="009A1216" w:rsidP="00367A7B">
      <w:pPr>
        <w:spacing w:line="269" w:lineRule="auto"/>
        <w:ind w:left="1077"/>
        <w:rPr>
          <w:rtl/>
        </w:rPr>
      </w:pPr>
      <w:r w:rsidRPr="00640CFB">
        <w:rPr>
          <w:rFonts w:hint="cs"/>
          <w:rtl/>
        </w:rPr>
        <w:t>בשנת 2018 חל שינוי משמעותי בעמדת משרד המשפטים והמשטרה שאינו עולה בקנה אחד עם מודל ההיתרים של צוות לבנת משיח ו</w:t>
      </w:r>
      <w:r>
        <w:rPr>
          <w:rFonts w:hint="cs"/>
          <w:rtl/>
        </w:rPr>
        <w:t xml:space="preserve">עם </w:t>
      </w:r>
      <w:r w:rsidRPr="00640CFB">
        <w:rPr>
          <w:rFonts w:hint="cs"/>
          <w:rtl/>
        </w:rPr>
        <w:t xml:space="preserve">התמודדותו עם משוכת העבירות החמורות באמצעות תיקון חקיקה. </w:t>
      </w:r>
    </w:p>
    <w:p w:rsidR="00F153FD" w:rsidRDefault="00F153FD" w:rsidP="00367A7B">
      <w:pPr>
        <w:spacing w:line="269" w:lineRule="auto"/>
        <w:ind w:left="1077"/>
        <w:rPr>
          <w:rtl/>
        </w:rPr>
      </w:pPr>
    </w:p>
    <w:p w:rsidR="009A1216" w:rsidRPr="0027577F" w:rsidRDefault="009A1216" w:rsidP="00367A7B">
      <w:pPr>
        <w:spacing w:line="269" w:lineRule="auto"/>
        <w:ind w:left="1077"/>
        <w:rPr>
          <w:rtl/>
        </w:rPr>
      </w:pPr>
      <w:r w:rsidRPr="0027577F">
        <w:rPr>
          <w:rFonts w:hint="cs"/>
          <w:rtl/>
        </w:rPr>
        <w:t xml:space="preserve">בעמדה שהוצגה </w:t>
      </w:r>
      <w:r>
        <w:rPr>
          <w:rFonts w:hint="cs"/>
          <w:rtl/>
        </w:rPr>
        <w:t>ל</w:t>
      </w:r>
      <w:r w:rsidRPr="0027577F">
        <w:rPr>
          <w:rFonts w:hint="cs"/>
          <w:rtl/>
        </w:rPr>
        <w:t>פני בית משפט</w:t>
      </w:r>
      <w:r w:rsidRPr="0027577F">
        <w:t xml:space="preserve"> </w:t>
      </w:r>
      <w:r w:rsidRPr="0027577F">
        <w:rPr>
          <w:rFonts w:hint="cs"/>
          <w:rtl/>
        </w:rPr>
        <w:t xml:space="preserve">מחוזי בשנת 2018 </w:t>
      </w:r>
      <w:r>
        <w:rPr>
          <w:rtl/>
        </w:rPr>
        <w:t xml:space="preserve">שהתקבלה על ידו, </w:t>
      </w:r>
      <w:r w:rsidRPr="0027577F">
        <w:rPr>
          <w:rFonts w:hint="cs"/>
          <w:rtl/>
        </w:rPr>
        <w:t xml:space="preserve">הפרקליטות זנחה את </w:t>
      </w:r>
      <w:r>
        <w:rPr>
          <w:rFonts w:hint="cs"/>
          <w:rtl/>
        </w:rPr>
        <w:t>המודל</w:t>
      </w:r>
      <w:r w:rsidRPr="0027577F">
        <w:rPr>
          <w:rFonts w:hint="cs"/>
          <w:rtl/>
        </w:rPr>
        <w:t xml:space="preserve"> של צוות לבנת משיח </w:t>
      </w:r>
      <w:r>
        <w:rPr>
          <w:rFonts w:hint="cs"/>
          <w:rtl/>
        </w:rPr>
        <w:t>בנוגע</w:t>
      </w:r>
      <w:r w:rsidRPr="0027577F">
        <w:rPr>
          <w:rFonts w:hint="cs"/>
          <w:rtl/>
        </w:rPr>
        <w:t xml:space="preserve"> לנחיצות קבלת היתר מראש אם צפוי בבירור שיתקיימו בעתיד שיחות עם </w:t>
      </w:r>
      <w:r w:rsidR="0094034A">
        <w:rPr>
          <w:rFonts w:hint="cs"/>
          <w:rtl/>
        </w:rPr>
        <w:t>בעל חיסיון</w:t>
      </w:r>
      <w:r w:rsidRPr="0027577F">
        <w:rPr>
          <w:rFonts w:hint="cs"/>
          <w:rtl/>
        </w:rPr>
        <w:t xml:space="preserve">. </w:t>
      </w:r>
    </w:p>
    <w:p w:rsidR="00F153FD" w:rsidRDefault="00F153FD" w:rsidP="00367A7B">
      <w:pPr>
        <w:spacing w:line="269" w:lineRule="auto"/>
        <w:ind w:left="1077"/>
        <w:rPr>
          <w:rtl/>
        </w:rPr>
      </w:pPr>
    </w:p>
    <w:p w:rsidR="009A1216" w:rsidRPr="00FF4E13" w:rsidRDefault="009A1216" w:rsidP="00367A7B">
      <w:pPr>
        <w:spacing w:line="269" w:lineRule="auto"/>
        <w:ind w:left="1077"/>
        <w:rPr>
          <w:rtl/>
        </w:rPr>
      </w:pPr>
      <w:r w:rsidRPr="00FF6ED2">
        <w:rPr>
          <w:rFonts w:hint="cs"/>
          <w:rtl/>
        </w:rPr>
        <w:t xml:space="preserve">בשנת 2019 המשטרה עדכנה את הנוהל הנוגע להאזנת סתר לדרג מדיני. לנוהל הוספה התייחסות להאזנה ליעד האזנה </w:t>
      </w:r>
      <w:r>
        <w:rPr>
          <w:rFonts w:hint="cs"/>
          <w:rtl/>
        </w:rPr>
        <w:t>שיש</w:t>
      </w:r>
      <w:r w:rsidRPr="00FF6ED2">
        <w:rPr>
          <w:rFonts w:hint="cs"/>
          <w:rtl/>
        </w:rPr>
        <w:t xml:space="preserve"> סבירות גבוהה וממשית שישוחח בטלפון עם דרג מדיני </w:t>
      </w:r>
      <w:r>
        <w:rPr>
          <w:rFonts w:hint="cs"/>
          <w:rtl/>
        </w:rPr>
        <w:t>ו</w:t>
      </w:r>
      <w:r w:rsidRPr="00FF6ED2">
        <w:rPr>
          <w:rFonts w:hint="cs"/>
          <w:rtl/>
        </w:rPr>
        <w:t>נקבע</w:t>
      </w:r>
      <w:r>
        <w:rPr>
          <w:rFonts w:hint="cs"/>
          <w:rtl/>
        </w:rPr>
        <w:t xml:space="preserve"> בה</w:t>
      </w:r>
      <w:r w:rsidRPr="00FF6ED2">
        <w:rPr>
          <w:rFonts w:hint="cs"/>
          <w:rtl/>
        </w:rPr>
        <w:t xml:space="preserve"> כי יש לקבל </w:t>
      </w:r>
      <w:r>
        <w:rPr>
          <w:rFonts w:hint="cs"/>
          <w:rtl/>
        </w:rPr>
        <w:t>לגבי האזנה כאמור</w:t>
      </w:r>
      <w:r w:rsidRPr="00FF6ED2">
        <w:rPr>
          <w:rFonts w:hint="cs"/>
          <w:rtl/>
        </w:rPr>
        <w:t xml:space="preserve"> אישור ר</w:t>
      </w:r>
      <w:r>
        <w:rPr>
          <w:rFonts w:hint="cs"/>
          <w:rtl/>
        </w:rPr>
        <w:t>אש</w:t>
      </w:r>
      <w:r w:rsidRPr="00FF6ED2">
        <w:rPr>
          <w:rFonts w:hint="cs"/>
          <w:rtl/>
        </w:rPr>
        <w:t xml:space="preserve"> אח"ם בלבד ללא קבלת אישור פרקליט המדינה או היועמ"ש לממשלה. הנוהל אינו מפרש </w:t>
      </w:r>
      <w:r>
        <w:rPr>
          <w:rFonts w:hint="cs"/>
          <w:rtl/>
        </w:rPr>
        <w:t>כלל</w:t>
      </w:r>
      <w:r w:rsidRPr="00FF6ED2">
        <w:rPr>
          <w:rFonts w:hint="cs"/>
          <w:rtl/>
        </w:rPr>
        <w:t xml:space="preserve"> את מודל ההיתרים להאזנה ואינו מסביר אילו היתרים נדרשת המשטרה להוציא בכל מקרה.</w:t>
      </w:r>
      <w:r>
        <w:rPr>
          <w:rFonts w:hint="cs"/>
          <w:rtl/>
        </w:rPr>
        <w:t xml:space="preserve"> </w:t>
      </w:r>
    </w:p>
    <w:p w:rsidR="0094034A" w:rsidRDefault="0094034A" w:rsidP="00367A7B">
      <w:pPr>
        <w:spacing w:line="269" w:lineRule="auto"/>
        <w:ind w:left="1077"/>
        <w:rPr>
          <w:b/>
          <w:bCs/>
          <w:rtl/>
        </w:rPr>
      </w:pPr>
      <w:bookmarkStart w:id="293" w:name="_Hlk190157191"/>
      <w:bookmarkStart w:id="294" w:name="_Hlk147904083"/>
    </w:p>
    <w:p w:rsidR="009A1216" w:rsidRDefault="009A1216" w:rsidP="00367A7B">
      <w:pPr>
        <w:spacing w:line="269" w:lineRule="auto"/>
        <w:ind w:left="1077"/>
        <w:rPr>
          <w:b/>
          <w:bCs/>
          <w:rtl/>
        </w:rPr>
      </w:pPr>
      <w:r w:rsidRPr="000D7E64">
        <w:rPr>
          <w:b/>
          <w:bCs/>
          <w:rtl/>
        </w:rPr>
        <w:t>בביקורת נמצא כי בשנת 2018</w:t>
      </w:r>
      <w:r>
        <w:rPr>
          <w:rFonts w:hint="cs"/>
          <w:b/>
          <w:bCs/>
          <w:rtl/>
        </w:rPr>
        <w:t>, בחלוף 13 שנים מקביעת מודל ההיתרים להאזנת סתר מראש לבעל חיסיון לפי מסקנות צוות לבנת משיח,</w:t>
      </w:r>
      <w:r w:rsidRPr="000D7E64">
        <w:rPr>
          <w:b/>
          <w:bCs/>
          <w:rtl/>
        </w:rPr>
        <w:t xml:space="preserve"> </w:t>
      </w:r>
      <w:bookmarkStart w:id="295" w:name="_Hlk187753214"/>
      <w:r w:rsidRPr="000D7E64">
        <w:rPr>
          <w:b/>
          <w:bCs/>
          <w:rtl/>
        </w:rPr>
        <w:t xml:space="preserve">הפרקליטות </w:t>
      </w:r>
      <w:r>
        <w:rPr>
          <w:rFonts w:hint="cs"/>
          <w:b/>
          <w:bCs/>
          <w:rtl/>
        </w:rPr>
        <w:t>שינתה</w:t>
      </w:r>
      <w:r w:rsidR="00E858FF">
        <w:rPr>
          <w:rFonts w:hint="cs"/>
          <w:b/>
          <w:bCs/>
          <w:rtl/>
        </w:rPr>
        <w:t>, במהלך ניהול מספר הליכים פליליים,</w:t>
      </w:r>
      <w:r w:rsidR="00356835">
        <w:rPr>
          <w:rFonts w:hint="cs"/>
          <w:b/>
          <w:bCs/>
          <w:rtl/>
        </w:rPr>
        <w:t xml:space="preserve"> </w:t>
      </w:r>
      <w:r w:rsidRPr="000D7E64">
        <w:rPr>
          <w:b/>
          <w:bCs/>
          <w:rtl/>
        </w:rPr>
        <w:t>את ההסדר האמור</w:t>
      </w:r>
      <w:bookmarkEnd w:id="295"/>
      <w:r>
        <w:rPr>
          <w:rFonts w:hint="cs"/>
          <w:b/>
          <w:bCs/>
          <w:rtl/>
        </w:rPr>
        <w:t xml:space="preserve">. </w:t>
      </w:r>
      <w:bookmarkEnd w:id="293"/>
      <w:r>
        <w:rPr>
          <w:rFonts w:hint="cs"/>
          <w:b/>
          <w:bCs/>
          <w:rtl/>
        </w:rPr>
        <w:t xml:space="preserve">בנסיבות אלו, </w:t>
      </w:r>
      <w:r w:rsidRPr="000D7E64">
        <w:rPr>
          <w:b/>
          <w:bCs/>
          <w:rtl/>
        </w:rPr>
        <w:t xml:space="preserve">ההסדר </w:t>
      </w:r>
      <w:r>
        <w:rPr>
          <w:rFonts w:hint="cs"/>
          <w:b/>
          <w:bCs/>
          <w:rtl/>
        </w:rPr>
        <w:t>שונה</w:t>
      </w:r>
      <w:r w:rsidRPr="000D7E64">
        <w:rPr>
          <w:b/>
          <w:bCs/>
          <w:rtl/>
        </w:rPr>
        <w:t xml:space="preserve"> </w:t>
      </w:r>
      <w:r>
        <w:rPr>
          <w:rFonts w:hint="cs"/>
          <w:b/>
          <w:bCs/>
          <w:rtl/>
        </w:rPr>
        <w:t>בלי</w:t>
      </w:r>
      <w:r w:rsidRPr="000D7E64">
        <w:rPr>
          <w:b/>
          <w:bCs/>
          <w:rtl/>
        </w:rPr>
        <w:t xml:space="preserve"> </w:t>
      </w:r>
      <w:r>
        <w:rPr>
          <w:rFonts w:hint="cs"/>
          <w:b/>
          <w:bCs/>
          <w:rtl/>
        </w:rPr>
        <w:t>שמשרד המשפטים והמשטרה ביצעו עבודת מטה ובלי שהוכנה</w:t>
      </w:r>
      <w:r w:rsidRPr="000D7E64">
        <w:rPr>
          <w:b/>
          <w:bCs/>
          <w:rtl/>
        </w:rPr>
        <w:t xml:space="preserve"> חוות דעת משפטית המסבירה את </w:t>
      </w:r>
      <w:r>
        <w:rPr>
          <w:rFonts w:hint="cs"/>
          <w:b/>
          <w:bCs/>
          <w:rtl/>
        </w:rPr>
        <w:t>ה</w:t>
      </w:r>
      <w:r w:rsidRPr="000D7E64">
        <w:rPr>
          <w:b/>
          <w:bCs/>
          <w:rtl/>
        </w:rPr>
        <w:t xml:space="preserve">סטייה </w:t>
      </w:r>
      <w:r>
        <w:rPr>
          <w:rFonts w:hint="cs"/>
          <w:b/>
          <w:bCs/>
          <w:rtl/>
        </w:rPr>
        <w:t>ה</w:t>
      </w:r>
      <w:r w:rsidRPr="000D7E64">
        <w:rPr>
          <w:b/>
          <w:bCs/>
          <w:rtl/>
        </w:rPr>
        <w:t xml:space="preserve">ניכרת ממסקנות </w:t>
      </w:r>
      <w:r>
        <w:rPr>
          <w:rFonts w:hint="cs"/>
          <w:b/>
          <w:bCs/>
          <w:rtl/>
        </w:rPr>
        <w:t>הו</w:t>
      </w:r>
      <w:r w:rsidRPr="000D7E64">
        <w:rPr>
          <w:b/>
          <w:bCs/>
          <w:rtl/>
        </w:rPr>
        <w:t xml:space="preserve">ועדה </w:t>
      </w:r>
      <w:r>
        <w:rPr>
          <w:rFonts w:hint="cs"/>
          <w:b/>
          <w:bCs/>
          <w:rtl/>
        </w:rPr>
        <w:t>ה</w:t>
      </w:r>
      <w:r w:rsidRPr="000D7E64">
        <w:rPr>
          <w:b/>
          <w:bCs/>
          <w:rtl/>
        </w:rPr>
        <w:t xml:space="preserve">מקצועית </w:t>
      </w:r>
      <w:r>
        <w:rPr>
          <w:rFonts w:hint="cs"/>
          <w:b/>
          <w:bCs/>
          <w:rtl/>
        </w:rPr>
        <w:t>ה</w:t>
      </w:r>
      <w:r w:rsidRPr="000D7E64">
        <w:rPr>
          <w:b/>
          <w:bCs/>
          <w:rtl/>
        </w:rPr>
        <w:t>בי</w:t>
      </w:r>
      <w:r>
        <w:rPr>
          <w:rFonts w:hint="cs"/>
          <w:b/>
          <w:bCs/>
          <w:rtl/>
        </w:rPr>
        <w:t>ן-</w:t>
      </w:r>
      <w:r w:rsidRPr="000D7E64">
        <w:rPr>
          <w:b/>
          <w:bCs/>
          <w:rtl/>
        </w:rPr>
        <w:t>משרדי</w:t>
      </w:r>
      <w:r>
        <w:rPr>
          <w:rFonts w:hint="cs"/>
          <w:b/>
          <w:bCs/>
          <w:rtl/>
        </w:rPr>
        <w:t>ת</w:t>
      </w:r>
      <w:r w:rsidRPr="000D7E64">
        <w:rPr>
          <w:b/>
          <w:bCs/>
          <w:rtl/>
        </w:rPr>
        <w:t>.</w:t>
      </w:r>
      <w:r w:rsidRPr="007258B2">
        <w:rPr>
          <w:b/>
          <w:bCs/>
          <w:rtl/>
        </w:rPr>
        <w:t xml:space="preserve"> </w:t>
      </w:r>
    </w:p>
    <w:p w:rsidR="009A1216" w:rsidRDefault="009A1216" w:rsidP="00367A7B">
      <w:pPr>
        <w:pStyle w:val="a5"/>
        <w:spacing w:line="269" w:lineRule="auto"/>
        <w:ind w:left="510"/>
        <w:rPr>
          <w:rtl/>
        </w:rPr>
      </w:pPr>
    </w:p>
    <w:p w:rsidR="009A1216" w:rsidRDefault="009A1216" w:rsidP="00367A7B">
      <w:pPr>
        <w:spacing w:line="269" w:lineRule="auto"/>
        <w:ind w:left="1077"/>
        <w:rPr>
          <w:rtl/>
        </w:rPr>
      </w:pPr>
      <w:r w:rsidRPr="00D75ED9">
        <w:rPr>
          <w:rFonts w:hint="cs"/>
          <w:rtl/>
        </w:rPr>
        <w:t>פרקליטות המדינה מסרה</w:t>
      </w:r>
      <w:r>
        <w:rPr>
          <w:rFonts w:hint="cs"/>
          <w:rtl/>
        </w:rPr>
        <w:t xml:space="preserve"> בתשובתה</w:t>
      </w:r>
      <w:r w:rsidRPr="00D75ED9">
        <w:rPr>
          <w:rFonts w:hint="cs"/>
          <w:rtl/>
        </w:rPr>
        <w:t xml:space="preserve"> כי עמדתה המשפטית עמדה בפני ביקורת שיפוטית ב</w:t>
      </w:r>
      <w:r>
        <w:rPr>
          <w:rFonts w:hint="cs"/>
          <w:rtl/>
        </w:rPr>
        <w:t>כמה</w:t>
      </w:r>
      <w:r w:rsidRPr="00D75ED9">
        <w:rPr>
          <w:rFonts w:hint="cs"/>
          <w:rtl/>
        </w:rPr>
        <w:t xml:space="preserve"> הזדמנויות בהליך הפלילי, ובמקרים קונקרטיים אלו </w:t>
      </w:r>
      <w:r>
        <w:rPr>
          <w:rFonts w:hint="cs"/>
          <w:rtl/>
        </w:rPr>
        <w:t>הגשת העמדה</w:t>
      </w:r>
      <w:r w:rsidRPr="00D75ED9">
        <w:rPr>
          <w:rFonts w:hint="cs"/>
          <w:rtl/>
        </w:rPr>
        <w:t xml:space="preserve"> אף אושרה על ידי </w:t>
      </w:r>
      <w:r>
        <w:rPr>
          <w:rFonts w:hint="cs"/>
          <w:rtl/>
        </w:rPr>
        <w:t>היועמ"ש</w:t>
      </w:r>
      <w:r w:rsidRPr="00D75ED9">
        <w:rPr>
          <w:rFonts w:hint="cs"/>
          <w:rtl/>
        </w:rPr>
        <w:t xml:space="preserve"> </w:t>
      </w:r>
      <w:r>
        <w:rPr>
          <w:rFonts w:hint="cs"/>
          <w:rtl/>
        </w:rPr>
        <w:t xml:space="preserve">לממשלה </w:t>
      </w:r>
      <w:r w:rsidRPr="00D75ED9">
        <w:rPr>
          <w:rFonts w:hint="cs"/>
          <w:rtl/>
        </w:rPr>
        <w:t xml:space="preserve">דאז. תכלית העמדה המשפטית היא למנוע מצב </w:t>
      </w:r>
      <w:r>
        <w:rPr>
          <w:rFonts w:hint="cs"/>
          <w:rtl/>
        </w:rPr>
        <w:t>ש</w:t>
      </w:r>
      <w:r w:rsidRPr="00D75ED9">
        <w:rPr>
          <w:rFonts w:hint="cs"/>
          <w:rtl/>
        </w:rPr>
        <w:t>בו יעד האזנה</w:t>
      </w:r>
      <w:r>
        <w:rPr>
          <w:rFonts w:hint="cs"/>
          <w:rtl/>
        </w:rPr>
        <w:t xml:space="preserve"> שאינו בעל חיסיון</w:t>
      </w:r>
      <w:r w:rsidRPr="00D75ED9">
        <w:rPr>
          <w:rFonts w:hint="cs"/>
          <w:rtl/>
        </w:rPr>
        <w:t xml:space="preserve"> מקבל 'חסינות' מפני האזנה בעבירות שאינן מנויות בחוק, אם איש שיחתו הוא בעל חיסיון מקצועי.</w:t>
      </w:r>
      <w:r>
        <w:rPr>
          <w:rFonts w:hint="cs"/>
          <w:rtl/>
        </w:rPr>
        <w:t xml:space="preserve"> עמדה זו מצויה בשיקול הדעת המשפטי המובהק של הפרקליטות, וזו התקבלה בהליכים המשפטיים שנוהלו על ידה. </w:t>
      </w:r>
    </w:p>
    <w:p w:rsidR="009A1216" w:rsidRDefault="009A1216" w:rsidP="00367A7B">
      <w:pPr>
        <w:pStyle w:val="a5"/>
        <w:spacing w:line="269" w:lineRule="auto"/>
        <w:ind w:left="510"/>
        <w:rPr>
          <w:rtl/>
        </w:rPr>
      </w:pPr>
    </w:p>
    <w:p w:rsidR="009A1216" w:rsidRPr="00D75ED9" w:rsidRDefault="009A1216" w:rsidP="00367A7B">
      <w:pPr>
        <w:spacing w:line="269" w:lineRule="auto"/>
        <w:ind w:left="1077"/>
        <w:rPr>
          <w:rtl/>
        </w:rPr>
      </w:pPr>
      <w:r>
        <w:rPr>
          <w:rFonts w:hint="cs"/>
          <w:rtl/>
        </w:rPr>
        <w:t xml:space="preserve">המשטרה מסרה בתגובתה כי המשמעות המעשית של המודל היא הרחבת מעגל הנהנים מהחסינות לכלל יעדי האזנה שאינם בעלי חיסיון. </w:t>
      </w:r>
    </w:p>
    <w:p w:rsidR="0094034A" w:rsidRDefault="0094034A" w:rsidP="00367A7B">
      <w:pPr>
        <w:spacing w:line="269" w:lineRule="auto"/>
        <w:ind w:left="1077"/>
        <w:rPr>
          <w:b/>
          <w:bCs/>
          <w:rtl/>
        </w:rPr>
      </w:pPr>
    </w:p>
    <w:p w:rsidR="009A1216" w:rsidRDefault="009A1216" w:rsidP="00367A7B">
      <w:pPr>
        <w:spacing w:line="269" w:lineRule="auto"/>
        <w:ind w:left="1077"/>
        <w:rPr>
          <w:b/>
          <w:bCs/>
          <w:rtl/>
        </w:rPr>
      </w:pPr>
      <w:r w:rsidRPr="000D7E64">
        <w:rPr>
          <w:b/>
          <w:bCs/>
          <w:rtl/>
        </w:rPr>
        <w:t>במשך כ-13 שנים</w:t>
      </w:r>
      <w:r>
        <w:rPr>
          <w:rFonts w:hint="cs"/>
          <w:b/>
          <w:bCs/>
          <w:rtl/>
        </w:rPr>
        <w:t>, עת הונח דוח צוות לבנת משיח, ועד לשנת 2018</w:t>
      </w:r>
      <w:r w:rsidRPr="000D7E64">
        <w:rPr>
          <w:b/>
          <w:bCs/>
          <w:rtl/>
        </w:rPr>
        <w:t xml:space="preserve"> </w:t>
      </w:r>
      <w:r>
        <w:rPr>
          <w:rFonts w:hint="cs"/>
          <w:b/>
          <w:bCs/>
          <w:rtl/>
        </w:rPr>
        <w:t>הנחו</w:t>
      </w:r>
      <w:r w:rsidRPr="000D7E64">
        <w:rPr>
          <w:b/>
          <w:bCs/>
          <w:rtl/>
        </w:rPr>
        <w:t xml:space="preserve"> משרד המשפטים והמשטרה </w:t>
      </w:r>
      <w:r>
        <w:rPr>
          <w:rFonts w:hint="cs"/>
          <w:b/>
          <w:bCs/>
          <w:rtl/>
        </w:rPr>
        <w:t>כי כאשר</w:t>
      </w:r>
      <w:r w:rsidRPr="000D7E64">
        <w:rPr>
          <w:b/>
          <w:bCs/>
          <w:rtl/>
        </w:rPr>
        <w:t xml:space="preserve"> נדרשת האזנה ליעד ש</w:t>
      </w:r>
      <w:r>
        <w:rPr>
          <w:rFonts w:hint="cs"/>
          <w:b/>
          <w:bCs/>
          <w:rtl/>
        </w:rPr>
        <w:t>יש הסתברות גבוהה שישו</w:t>
      </w:r>
      <w:r w:rsidRPr="000D7E64">
        <w:rPr>
          <w:b/>
          <w:bCs/>
          <w:rtl/>
        </w:rPr>
        <w:t xml:space="preserve">חח עם בעל חיסיון </w:t>
      </w:r>
      <w:r>
        <w:rPr>
          <w:rFonts w:hint="cs"/>
          <w:b/>
          <w:bCs/>
          <w:rtl/>
        </w:rPr>
        <w:t xml:space="preserve">נדרש לקבל </w:t>
      </w:r>
      <w:r w:rsidRPr="000C0849">
        <w:rPr>
          <w:b/>
          <w:bCs/>
          <w:rtl/>
        </w:rPr>
        <w:t xml:space="preserve">היתר האזנה </w:t>
      </w:r>
      <w:r w:rsidRPr="000C0849">
        <w:rPr>
          <w:rFonts w:hint="cs"/>
          <w:b/>
          <w:bCs/>
          <w:rtl/>
        </w:rPr>
        <w:t>מראש</w:t>
      </w:r>
      <w:r>
        <w:rPr>
          <w:rFonts w:hint="cs"/>
          <w:b/>
          <w:bCs/>
          <w:rtl/>
        </w:rPr>
        <w:t xml:space="preserve"> לשיחותיו</w:t>
      </w:r>
      <w:r w:rsidRPr="000C0849">
        <w:rPr>
          <w:b/>
          <w:bCs/>
          <w:rtl/>
        </w:rPr>
        <w:t xml:space="preserve">. הסדר </w:t>
      </w:r>
      <w:r w:rsidRPr="000C0849">
        <w:rPr>
          <w:rFonts w:hint="cs"/>
          <w:b/>
          <w:bCs/>
          <w:rtl/>
        </w:rPr>
        <w:t xml:space="preserve">זה </w:t>
      </w:r>
      <w:r w:rsidRPr="000C0849">
        <w:rPr>
          <w:b/>
          <w:bCs/>
          <w:rtl/>
        </w:rPr>
        <w:t>אף הגביל את המשטרה ל</w:t>
      </w:r>
      <w:r w:rsidRPr="000C0849">
        <w:rPr>
          <w:rFonts w:hint="cs"/>
          <w:b/>
          <w:bCs/>
          <w:rtl/>
        </w:rPr>
        <w:t>האזנה</w:t>
      </w:r>
      <w:r w:rsidRPr="000C0849">
        <w:rPr>
          <w:b/>
          <w:bCs/>
          <w:rtl/>
        </w:rPr>
        <w:t xml:space="preserve"> רק </w:t>
      </w:r>
      <w:r w:rsidRPr="000C0849">
        <w:rPr>
          <w:rFonts w:hint="cs"/>
          <w:b/>
          <w:bCs/>
          <w:rtl/>
        </w:rPr>
        <w:t xml:space="preserve">בנסיבות </w:t>
      </w:r>
      <w:r>
        <w:rPr>
          <w:rFonts w:hint="cs"/>
          <w:b/>
          <w:bCs/>
          <w:rtl/>
        </w:rPr>
        <w:t>ש</w:t>
      </w:r>
      <w:r w:rsidRPr="000C0849">
        <w:rPr>
          <w:rFonts w:hint="cs"/>
          <w:b/>
          <w:bCs/>
          <w:rtl/>
        </w:rPr>
        <w:t xml:space="preserve">בהן </w:t>
      </w:r>
      <w:r>
        <w:rPr>
          <w:rFonts w:hint="cs"/>
          <w:b/>
          <w:bCs/>
          <w:rtl/>
        </w:rPr>
        <w:t>יש</w:t>
      </w:r>
      <w:r w:rsidRPr="000C0849">
        <w:rPr>
          <w:rFonts w:hint="cs"/>
          <w:b/>
          <w:bCs/>
          <w:rtl/>
        </w:rPr>
        <w:t xml:space="preserve"> חשד לביצוע </w:t>
      </w:r>
      <w:r w:rsidRPr="000C0849">
        <w:rPr>
          <w:b/>
          <w:bCs/>
          <w:rtl/>
        </w:rPr>
        <w:t>עביר</w:t>
      </w:r>
      <w:r w:rsidRPr="000C0849">
        <w:rPr>
          <w:rFonts w:hint="cs"/>
          <w:b/>
          <w:bCs/>
          <w:rtl/>
        </w:rPr>
        <w:t>ה</w:t>
      </w:r>
      <w:r w:rsidRPr="000C0849">
        <w:rPr>
          <w:b/>
          <w:bCs/>
          <w:rtl/>
        </w:rPr>
        <w:t xml:space="preserve"> חמור</w:t>
      </w:r>
      <w:r w:rsidRPr="000C0849">
        <w:rPr>
          <w:rFonts w:hint="cs"/>
          <w:b/>
          <w:bCs/>
          <w:rtl/>
        </w:rPr>
        <w:t xml:space="preserve">ה וחריגה </w:t>
      </w:r>
      <w:r>
        <w:rPr>
          <w:rFonts w:hint="cs"/>
          <w:b/>
          <w:bCs/>
          <w:rtl/>
        </w:rPr>
        <w:t>הנכללת</w:t>
      </w:r>
      <w:r w:rsidRPr="000C0849">
        <w:rPr>
          <w:rFonts w:hint="cs"/>
          <w:b/>
          <w:bCs/>
          <w:rtl/>
        </w:rPr>
        <w:t xml:space="preserve"> ברשימה סגורה בחוק</w:t>
      </w:r>
      <w:r w:rsidRPr="000C0849">
        <w:rPr>
          <w:b/>
          <w:bCs/>
          <w:rtl/>
        </w:rPr>
        <w:t>.</w:t>
      </w:r>
      <w:r w:rsidRPr="000D7E64">
        <w:rPr>
          <w:b/>
          <w:bCs/>
          <w:rtl/>
        </w:rPr>
        <w:t xml:space="preserve"> </w:t>
      </w:r>
      <w:r>
        <w:rPr>
          <w:rFonts w:hint="cs"/>
          <w:b/>
          <w:bCs/>
          <w:rtl/>
        </w:rPr>
        <w:t>ואולם,</w:t>
      </w:r>
      <w:r w:rsidRPr="00D07455">
        <w:rPr>
          <w:rFonts w:hint="cs"/>
          <w:b/>
          <w:bCs/>
          <w:rtl/>
        </w:rPr>
        <w:t xml:space="preserve"> על פי ההסדר</w:t>
      </w:r>
      <w:r w:rsidR="00E858FF">
        <w:rPr>
          <w:rFonts w:hint="cs"/>
          <w:b/>
          <w:bCs/>
          <w:rtl/>
        </w:rPr>
        <w:t xml:space="preserve"> החלופי המקל</w:t>
      </w:r>
      <w:r w:rsidRPr="00D07455">
        <w:rPr>
          <w:rFonts w:hint="cs"/>
          <w:b/>
          <w:bCs/>
          <w:rtl/>
        </w:rPr>
        <w:t xml:space="preserve"> שאימצה הפרקליטות משנת 2018,</w:t>
      </w:r>
      <w:r w:rsidR="00E858FF">
        <w:rPr>
          <w:rFonts w:hint="cs"/>
          <w:b/>
          <w:bCs/>
          <w:rtl/>
        </w:rPr>
        <w:t xml:space="preserve"> במהלך ניהול מספר הליכים פליליים באותה העת,</w:t>
      </w:r>
      <w:r>
        <w:rPr>
          <w:rFonts w:hint="cs"/>
          <w:b/>
          <w:bCs/>
          <w:rtl/>
        </w:rPr>
        <w:t xml:space="preserve"> אם התבצעה האזנה לאדם שאינו בעל חיסיון וקיימת הסתברות גבוהה שישוחח עם בעל החיסיון, די</w:t>
      </w:r>
      <w:r w:rsidRPr="000D7E64">
        <w:rPr>
          <w:b/>
          <w:bCs/>
          <w:rtl/>
        </w:rPr>
        <w:t xml:space="preserve"> בקבלת אישור בדיעבד (ולא מראש) </w:t>
      </w:r>
      <w:r>
        <w:rPr>
          <w:rFonts w:hint="cs"/>
          <w:b/>
          <w:bCs/>
          <w:rtl/>
        </w:rPr>
        <w:t xml:space="preserve">להאזנה לשיחות של יעד ההאזנה עם בעל החיסיון, </w:t>
      </w:r>
      <w:r w:rsidRPr="000D7E64">
        <w:rPr>
          <w:b/>
          <w:bCs/>
          <w:rtl/>
        </w:rPr>
        <w:t xml:space="preserve">ותוך השמטת </w:t>
      </w:r>
      <w:r>
        <w:rPr>
          <w:rFonts w:hint="cs"/>
          <w:b/>
          <w:bCs/>
          <w:rtl/>
        </w:rPr>
        <w:t>מגבלת העבירות החמורות הקבועה בחוק</w:t>
      </w:r>
      <w:r w:rsidRPr="000D7E64">
        <w:rPr>
          <w:b/>
          <w:bCs/>
          <w:rtl/>
        </w:rPr>
        <w:t>.</w:t>
      </w:r>
      <w:r>
        <w:rPr>
          <w:rFonts w:hint="cs"/>
          <w:b/>
          <w:bCs/>
          <w:rtl/>
        </w:rPr>
        <w:t xml:space="preserve"> יוצא אפוא </w:t>
      </w:r>
      <w:r w:rsidRPr="00894891">
        <w:rPr>
          <w:rFonts w:hint="cs"/>
          <w:b/>
          <w:bCs/>
          <w:rtl/>
        </w:rPr>
        <w:t xml:space="preserve">כי </w:t>
      </w:r>
      <w:r>
        <w:rPr>
          <w:rFonts w:hint="cs"/>
          <w:b/>
          <w:bCs/>
          <w:rtl/>
        </w:rPr>
        <w:t xml:space="preserve">ההגנה הרחבה הקבועה בחוק לבעל חיסיון הוסרה. </w:t>
      </w:r>
    </w:p>
    <w:p w:rsidR="00F153FD" w:rsidRDefault="00F153FD" w:rsidP="00367A7B">
      <w:pPr>
        <w:spacing w:line="269" w:lineRule="auto"/>
        <w:ind w:left="1077"/>
        <w:rPr>
          <w:b/>
          <w:bCs/>
          <w:rtl/>
        </w:rPr>
      </w:pPr>
    </w:p>
    <w:p w:rsidR="009A1216" w:rsidRDefault="009A1216" w:rsidP="00367A7B">
      <w:pPr>
        <w:spacing w:line="269" w:lineRule="auto"/>
        <w:ind w:left="1077"/>
        <w:rPr>
          <w:b/>
          <w:bCs/>
          <w:rtl/>
        </w:rPr>
      </w:pPr>
      <w:r>
        <w:rPr>
          <w:rFonts w:hint="cs"/>
          <w:b/>
          <w:bCs/>
          <w:rtl/>
        </w:rPr>
        <w:t xml:space="preserve">אין חולק כי כדי שהמשטרה תיאבק בשחיתות, בארגוני פשיעה ותמנע ניצול לרעה של חיסיון מפאת תפקיד, היא נדרשת לקבל לידיה סמכויות נרחבות. ואולם, לעמדת מבקר המדינה מומלץ כי לנוכח המצב המשפטי הקיים המשטרה ומשרד המשפטים יבצעו הסדרה חקיקתית ומשפטית סדורה ומובנית. </w:t>
      </w:r>
    </w:p>
    <w:p w:rsidR="00F153FD" w:rsidRDefault="00F153FD" w:rsidP="00367A7B">
      <w:pPr>
        <w:spacing w:line="269" w:lineRule="auto"/>
        <w:ind w:left="1077"/>
        <w:rPr>
          <w:b/>
          <w:bCs/>
          <w:rtl/>
        </w:rPr>
      </w:pPr>
    </w:p>
    <w:p w:rsidR="009A1216" w:rsidRDefault="009A1216" w:rsidP="00367A7B">
      <w:pPr>
        <w:spacing w:line="269" w:lineRule="auto"/>
        <w:ind w:left="1077"/>
        <w:rPr>
          <w:b/>
          <w:bCs/>
          <w:rtl/>
        </w:rPr>
      </w:pPr>
      <w:r>
        <w:rPr>
          <w:rFonts w:hint="cs"/>
          <w:b/>
          <w:bCs/>
          <w:rtl/>
        </w:rPr>
        <w:t>מומלץ כי הפרקליטות תבחן ותעגן מדיניות</w:t>
      </w:r>
      <w:r w:rsidR="00F153FD">
        <w:rPr>
          <w:rFonts w:hint="cs"/>
          <w:b/>
          <w:bCs/>
          <w:rtl/>
        </w:rPr>
        <w:t xml:space="preserve"> סדורה ומנומקת</w:t>
      </w:r>
      <w:r>
        <w:rPr>
          <w:rFonts w:hint="cs"/>
          <w:b/>
          <w:bCs/>
          <w:rtl/>
        </w:rPr>
        <w:t xml:space="preserve"> </w:t>
      </w:r>
      <w:r w:rsidR="00F153FD">
        <w:rPr>
          <w:rFonts w:hint="cs"/>
          <w:b/>
          <w:bCs/>
          <w:rtl/>
        </w:rPr>
        <w:t>ל</w:t>
      </w:r>
      <w:r>
        <w:rPr>
          <w:rFonts w:hint="cs"/>
          <w:b/>
          <w:bCs/>
          <w:rtl/>
        </w:rPr>
        <w:t xml:space="preserve">מתן היתרי האזנה מראש כך שיעמדו בדרישות </w:t>
      </w:r>
      <w:r w:rsidR="00F153FD">
        <w:rPr>
          <w:rFonts w:hint="cs"/>
          <w:b/>
          <w:bCs/>
          <w:rtl/>
        </w:rPr>
        <w:t xml:space="preserve">הדין </w:t>
      </w:r>
      <w:r>
        <w:rPr>
          <w:rFonts w:hint="cs"/>
          <w:b/>
          <w:bCs/>
          <w:rtl/>
        </w:rPr>
        <w:t xml:space="preserve">- במקרים שבהם יעד ההאזנה הוא בעל חיסיון או יעד ההאזנה הוא אדם מן השורה אשר צפוי בבירור לשוחח עם בעל חיסיון; ובו-זמנית תעגן את הפרוצדורה לאישור האזנה בדיעבד (אגב אורחא) - במקרים בהם יעד ההאזנה הוא אדם מן השורה אשר באקראי מקיים שיחה עם בעל חיסיון. כמו כן, מומלץ שהפרקליטות תעגן תהליך סדור ומתועד לגיבוש מדיניות משפטית או להצגת עמדה תקדימית בעלת השפעה ארצית בבתי המשפט. </w:t>
      </w:r>
    </w:p>
    <w:p w:rsidR="00F153FD" w:rsidRDefault="00F153FD" w:rsidP="00367A7B">
      <w:pPr>
        <w:spacing w:line="269" w:lineRule="auto"/>
        <w:ind w:left="1077"/>
        <w:rPr>
          <w:b/>
          <w:bCs/>
          <w:rtl/>
        </w:rPr>
      </w:pPr>
    </w:p>
    <w:p w:rsidR="009A1216" w:rsidRDefault="009A1216" w:rsidP="00367A7B">
      <w:pPr>
        <w:spacing w:line="269" w:lineRule="auto"/>
        <w:ind w:left="1077"/>
        <w:rPr>
          <w:b/>
          <w:bCs/>
          <w:rtl/>
        </w:rPr>
      </w:pPr>
      <w:r>
        <w:rPr>
          <w:rFonts w:hint="cs"/>
          <w:b/>
          <w:bCs/>
          <w:rtl/>
        </w:rPr>
        <w:t xml:space="preserve">עוד מומלץ כי המשטרה תסדיר בנהליה את תהליך הוצאת הצווים עבור מעורב רגיש במלואו: עיגון תהליך האזנה אגב אורחא לבעל חיסיון מקצועי; הבהרת תהליך מתן הצווים עבור האזנה מראש לבעל חיסיון והתאמת תהליכים אלו למודל ההיתרים שקבע צוות לבנת משיח. כלומר, קבלת היתר האזנה מראש ולא בדיעבד באחד משני מקרים: אם ידוע למשטרה שיעד ההאזנה הוא בעל חיסיון או שיש הסתברות גבוהה שיעד ההאזנה ישוחח עם בעל חיסיון. זאת כדי לקיים את המגבלות הקיימות כיום בדין בנוגע לעבירות שבהן ניתן להאזין מראש לבעל חיסיון מקצועי, בהתאם לדוח צוות לבנת משיח. </w:t>
      </w:r>
    </w:p>
    <w:p w:rsidR="004C739D" w:rsidRDefault="004C739D" w:rsidP="00604C3D">
      <w:pPr>
        <w:spacing w:line="269" w:lineRule="auto"/>
      </w:pPr>
      <w:bookmarkStart w:id="296" w:name="_Hlk147906352"/>
      <w:bookmarkEnd w:id="294"/>
    </w:p>
    <w:p w:rsidR="009A1216" w:rsidRDefault="009A1216" w:rsidP="008C598D">
      <w:pPr>
        <w:pStyle w:val="6"/>
        <w:numPr>
          <w:ilvl w:val="3"/>
          <w:numId w:val="73"/>
        </w:numPr>
        <w:spacing w:line="269" w:lineRule="auto"/>
        <w:ind w:left="1132"/>
        <w:rPr>
          <w:rtl/>
        </w:rPr>
      </w:pPr>
      <w:r>
        <w:rPr>
          <w:rFonts w:hint="cs"/>
          <w:rtl/>
        </w:rPr>
        <w:t xml:space="preserve">האזנה לבעלי חיסיון מקצועי </w:t>
      </w:r>
      <w:bookmarkEnd w:id="296"/>
      <w:r>
        <w:rPr>
          <w:rFonts w:hint="cs"/>
          <w:rtl/>
        </w:rPr>
        <w:t>(עיתונאים, עורכי דין, רופאים, פסיכולוגים וכיו"ב)</w:t>
      </w:r>
    </w:p>
    <w:p w:rsidR="009A1216" w:rsidRDefault="009A1216" w:rsidP="00604C3D">
      <w:pPr>
        <w:pStyle w:val="a5"/>
        <w:spacing w:line="269" w:lineRule="auto"/>
        <w:rPr>
          <w:rtl/>
        </w:rPr>
      </w:pPr>
    </w:p>
    <w:p w:rsidR="009A1216" w:rsidRPr="008753A6" w:rsidRDefault="009A1216" w:rsidP="00367A7B">
      <w:pPr>
        <w:spacing w:line="269" w:lineRule="auto"/>
        <w:ind w:left="1077"/>
        <w:rPr>
          <w:rtl/>
        </w:rPr>
      </w:pPr>
      <w:r w:rsidRPr="008753A6">
        <w:rPr>
          <w:rFonts w:hint="cs"/>
          <w:rtl/>
        </w:rPr>
        <w:t xml:space="preserve">נוהלי המשטרה אינם מפרטים אילו בדיקות מקדימות נדרשת לבצע היחידה המזמינה את ההאזנה לפני הגשת בקשה </w:t>
      </w:r>
      <w:r>
        <w:rPr>
          <w:rFonts w:hint="cs"/>
          <w:rtl/>
        </w:rPr>
        <w:t>כדי</w:t>
      </w:r>
      <w:r w:rsidRPr="008753A6">
        <w:rPr>
          <w:rFonts w:hint="cs"/>
          <w:rtl/>
        </w:rPr>
        <w:t xml:space="preserve"> לוודא מהו מעמדו של יעד ההאזנה ואם ייתכן שחל עליו חיסיון מכוח מקצועו. בין היתר, אין הנחיה לאיתור יעדי האזנה פוטנציאליים בפנקסים המפורסמים לציבור, כגון פנקס העובדים הסוציאליים, פנקסי מקצועות רישוי הרפואה או פנקס עורכי הדין</w:t>
      </w:r>
      <w:r w:rsidRPr="008753A6">
        <w:rPr>
          <w:rStyle w:val="af"/>
          <w:rtl/>
        </w:rPr>
        <w:footnoteReference w:id="135"/>
      </w:r>
      <w:r w:rsidRPr="008753A6">
        <w:rPr>
          <w:rFonts w:hint="cs"/>
          <w:rtl/>
        </w:rPr>
        <w:t xml:space="preserve">. כמו כן, אין הנחיה לגבי סוגי פרשיות שעל שוטר סביר להניח שתיתכן מעורבות של בעל חיסיון מקצועי בהן. פרשיות אלו מחייבות בדיקה מעמיקה לפני הוצאת צווי האזנת סתר. כמו כן, אין הנחיה הקובעת אילו בדיקות נדרשת המשטרה לבצע כדי להבטיח שלא היה באפשרותה לצפות מראש שייקלטו שיחות בין יעד ההאזנה לבין בעל חיסיון מקצועי. </w:t>
      </w:r>
    </w:p>
    <w:p w:rsidR="00356835" w:rsidRDefault="00356835" w:rsidP="00367A7B">
      <w:pPr>
        <w:spacing w:line="269" w:lineRule="auto"/>
        <w:ind w:left="1077"/>
        <w:rPr>
          <w:rtl/>
        </w:rPr>
      </w:pPr>
    </w:p>
    <w:p w:rsidR="009A1216" w:rsidRPr="007D0C82" w:rsidRDefault="009A1216" w:rsidP="00367A7B">
      <w:pPr>
        <w:spacing w:line="269" w:lineRule="auto"/>
        <w:ind w:left="1077"/>
        <w:rPr>
          <w:rtl/>
        </w:rPr>
      </w:pPr>
      <w:r>
        <w:rPr>
          <w:rFonts w:hint="cs"/>
          <w:rtl/>
        </w:rPr>
        <w:t>בשנים 2019 - 2021 אותרו בעלי חיסיון</w:t>
      </w:r>
      <w:r w:rsidR="004E6745">
        <w:rPr>
          <w:rFonts w:hint="cs"/>
          <w:rtl/>
        </w:rPr>
        <w:t xml:space="preserve"> </w:t>
      </w:r>
      <w:r w:rsidR="00CA5ED5">
        <w:rPr>
          <w:rFonts w:hint="cs"/>
          <w:rtl/>
        </w:rPr>
        <w:t xml:space="preserve">אחדים </w:t>
      </w:r>
      <w:r>
        <w:rPr>
          <w:rFonts w:hint="cs"/>
          <w:rtl/>
        </w:rPr>
        <w:t xml:space="preserve">שהוגדרו כיעדי האזנה במערכת לניהול צווים (כלומר התבקשה בעניינם האזנה מראש). נוסף על כך, ממידע השמור במערכות המשטרה עולה כי </w:t>
      </w:r>
      <w:r w:rsidRPr="000B1416">
        <w:rPr>
          <w:rFonts w:hint="cs"/>
          <w:rtl/>
        </w:rPr>
        <w:t>בשנים</w:t>
      </w:r>
      <w:r w:rsidRPr="000B1416">
        <w:rPr>
          <w:rtl/>
        </w:rPr>
        <w:t xml:space="preserve"> 2019 - 2021 </w:t>
      </w:r>
      <w:r>
        <w:rPr>
          <w:rFonts w:hint="cs"/>
          <w:rtl/>
        </w:rPr>
        <w:t xml:space="preserve">התבצעו </w:t>
      </w:r>
      <w:r w:rsidR="00CA5ED5">
        <w:rPr>
          <w:rFonts w:hint="cs"/>
          <w:rtl/>
        </w:rPr>
        <w:t>עשרות</w:t>
      </w:r>
      <w:r w:rsidR="00CA5ED5" w:rsidRPr="000B1416">
        <w:rPr>
          <w:rtl/>
        </w:rPr>
        <w:t xml:space="preserve"> </w:t>
      </w:r>
      <w:r w:rsidRPr="000B1416">
        <w:rPr>
          <w:rtl/>
        </w:rPr>
        <w:t xml:space="preserve">הליכים של </w:t>
      </w:r>
      <w:r>
        <w:rPr>
          <w:rFonts w:hint="cs"/>
          <w:rtl/>
        </w:rPr>
        <w:t xml:space="preserve">אישור </w:t>
      </w:r>
      <w:r w:rsidRPr="000B1416">
        <w:rPr>
          <w:rtl/>
        </w:rPr>
        <w:t>האזנה אגב אורחא לבעל חיסיון מקצועי</w:t>
      </w:r>
      <w:r>
        <w:rPr>
          <w:rFonts w:hint="cs"/>
          <w:rtl/>
        </w:rPr>
        <w:t xml:space="preserve"> על ידי </w:t>
      </w:r>
      <w:r w:rsidRPr="006A513F">
        <w:rPr>
          <w:rtl/>
        </w:rPr>
        <w:t>הסרת מגבלות</w:t>
      </w:r>
      <w:r>
        <w:rPr>
          <w:rFonts w:hint="cs"/>
          <w:rtl/>
        </w:rPr>
        <w:t xml:space="preserve"> ההאזנה לשיחות שנקלטו ובהן מעורב בעל החיסיון במסגרת </w:t>
      </w:r>
      <w:r w:rsidR="00CA5ED5">
        <w:rPr>
          <w:rFonts w:hint="cs"/>
          <w:rtl/>
        </w:rPr>
        <w:t xml:space="preserve">מספר </w:t>
      </w:r>
      <w:r>
        <w:rPr>
          <w:rFonts w:hint="cs"/>
          <w:rtl/>
        </w:rPr>
        <w:t>פרשיות ובנוגע ל</w:t>
      </w:r>
      <w:r w:rsidR="00CA5ED5">
        <w:rPr>
          <w:rFonts w:hint="cs"/>
          <w:rtl/>
        </w:rPr>
        <w:t xml:space="preserve">מספר </w:t>
      </w:r>
      <w:r>
        <w:rPr>
          <w:rFonts w:hint="cs"/>
          <w:rtl/>
        </w:rPr>
        <w:t>יעדי האזנה</w:t>
      </w:r>
      <w:r w:rsidRPr="000B1416">
        <w:rPr>
          <w:rtl/>
        </w:rPr>
        <w:t>.</w:t>
      </w:r>
      <w:r>
        <w:rPr>
          <w:rFonts w:hint="cs"/>
          <w:rtl/>
        </w:rPr>
        <w:t xml:space="preserve"> להבדיל מהאזנה מראש, יעדי האזנה אלו אינם רשומים כיעדי האזנה במערכת לניהול צווים אלא נרשמים בטבלה נפרדת במערכת זו. </w:t>
      </w:r>
    </w:p>
    <w:p w:rsidR="00356835" w:rsidRDefault="00356835" w:rsidP="00367A7B">
      <w:pPr>
        <w:pStyle w:val="a5"/>
        <w:spacing w:line="269" w:lineRule="auto"/>
        <w:ind w:left="1077"/>
        <w:rPr>
          <w:rtl/>
        </w:rPr>
      </w:pPr>
      <w:bookmarkStart w:id="297" w:name="_Hlk147905309"/>
    </w:p>
    <w:p w:rsidR="009A1216" w:rsidRPr="00AA03C9" w:rsidRDefault="009A1216" w:rsidP="00367A7B">
      <w:pPr>
        <w:pStyle w:val="a5"/>
        <w:spacing w:line="269" w:lineRule="auto"/>
        <w:ind w:left="1077"/>
        <w:rPr>
          <w:b/>
          <w:bCs/>
          <w:szCs w:val="24"/>
          <w:rtl/>
        </w:rPr>
      </w:pPr>
      <w:r w:rsidRPr="00AA03C9">
        <w:rPr>
          <w:rFonts w:hint="cs"/>
          <w:b/>
          <w:bCs/>
          <w:szCs w:val="24"/>
          <w:rtl/>
        </w:rPr>
        <w:t xml:space="preserve">משרד מבקר המדינה איתר שלוש פרשיות מהשנים 2015 - 2022 </w:t>
      </w:r>
      <w:r>
        <w:rPr>
          <w:rFonts w:hint="cs"/>
          <w:b/>
          <w:bCs/>
          <w:szCs w:val="24"/>
          <w:rtl/>
        </w:rPr>
        <w:t>ש</w:t>
      </w:r>
      <w:r w:rsidRPr="00AA03C9">
        <w:rPr>
          <w:rFonts w:hint="cs"/>
          <w:b/>
          <w:bCs/>
          <w:szCs w:val="24"/>
          <w:rtl/>
        </w:rPr>
        <w:t>בהן הוגשו בקשות בדיעבד להאזנה אגב אורחא (חלף הגשת בקשה להאזנה מראש) לבעלי מקצוע</w:t>
      </w:r>
      <w:r w:rsidR="004E6745">
        <w:rPr>
          <w:rFonts w:hint="cs"/>
          <w:b/>
          <w:bCs/>
          <w:szCs w:val="24"/>
          <w:rtl/>
        </w:rPr>
        <w:t xml:space="preserve"> </w:t>
      </w:r>
      <w:r w:rsidRPr="00AA03C9">
        <w:rPr>
          <w:rFonts w:hint="cs"/>
          <w:b/>
          <w:bCs/>
          <w:szCs w:val="24"/>
          <w:rtl/>
        </w:rPr>
        <w:t xml:space="preserve">ששיחותיהם חסויות. בשלושת המקרים נמצא שהנסיבות הנוגעות לפרשיות הללו עוסקות לכתחילה בתחומי </w:t>
      </w:r>
      <w:r w:rsidR="00401971">
        <w:rPr>
          <w:rFonts w:hint="cs"/>
          <w:b/>
          <w:bCs/>
          <w:szCs w:val="24"/>
          <w:rtl/>
        </w:rPr>
        <w:t>העיסוק שלהם עליהם חל חסיון</w:t>
      </w:r>
      <w:r>
        <w:rPr>
          <w:rFonts w:hint="cs"/>
          <w:b/>
          <w:bCs/>
          <w:szCs w:val="24"/>
          <w:rtl/>
        </w:rPr>
        <w:t>.</w:t>
      </w:r>
      <w:r w:rsidRPr="00AA03C9">
        <w:rPr>
          <w:rFonts w:hint="cs"/>
          <w:b/>
          <w:bCs/>
          <w:szCs w:val="24"/>
          <w:rtl/>
        </w:rPr>
        <w:t xml:space="preserve"> </w:t>
      </w:r>
    </w:p>
    <w:p w:rsidR="00356835" w:rsidRDefault="00356835" w:rsidP="00604C3D">
      <w:pPr>
        <w:spacing w:line="269" w:lineRule="auto"/>
        <w:rPr>
          <w:b/>
          <w:bCs/>
          <w:rtl/>
        </w:rPr>
      </w:pPr>
    </w:p>
    <w:p w:rsidR="009A1216" w:rsidRPr="00E54DDF" w:rsidRDefault="009A1216" w:rsidP="00367A7B">
      <w:pPr>
        <w:spacing w:line="269" w:lineRule="auto"/>
        <w:ind w:left="1077"/>
        <w:rPr>
          <w:b/>
          <w:bCs/>
          <w:rtl/>
        </w:rPr>
      </w:pPr>
      <w:r w:rsidRPr="00E54DDF">
        <w:rPr>
          <w:rFonts w:hint="cs"/>
          <w:b/>
          <w:bCs/>
          <w:rtl/>
        </w:rPr>
        <w:t>יודגש</w:t>
      </w:r>
      <w:r w:rsidRPr="00E54DDF">
        <w:rPr>
          <w:b/>
          <w:bCs/>
          <w:rtl/>
        </w:rPr>
        <w:t xml:space="preserve"> כי אם הבקשות בפרשיות שאותרו היו מוגשות ב</w:t>
      </w:r>
      <w:r>
        <w:rPr>
          <w:rFonts w:hint="cs"/>
          <w:b/>
          <w:bCs/>
          <w:rtl/>
        </w:rPr>
        <w:t xml:space="preserve">מסגרת </w:t>
      </w:r>
      <w:r w:rsidRPr="00E54DDF">
        <w:rPr>
          <w:b/>
          <w:bCs/>
          <w:rtl/>
        </w:rPr>
        <w:t>בקש</w:t>
      </w:r>
      <w:r>
        <w:rPr>
          <w:rFonts w:hint="cs"/>
          <w:b/>
          <w:bCs/>
          <w:rtl/>
        </w:rPr>
        <w:t>ו</w:t>
      </w:r>
      <w:r w:rsidRPr="00E54DDF">
        <w:rPr>
          <w:b/>
          <w:bCs/>
          <w:rtl/>
        </w:rPr>
        <w:t xml:space="preserve">ת האזנה מראש ליעד האזנה בעל חיסיון מקצועי ולא כבקשה אגב אורחא, הן לא היו עומדות במגבלת העבירות </w:t>
      </w:r>
      <w:r>
        <w:rPr>
          <w:rFonts w:hint="cs"/>
          <w:b/>
          <w:bCs/>
          <w:rtl/>
        </w:rPr>
        <w:t>אשר חלה על</w:t>
      </w:r>
      <w:r w:rsidRPr="00E54DDF">
        <w:rPr>
          <w:b/>
          <w:bCs/>
          <w:rtl/>
        </w:rPr>
        <w:t xml:space="preserve"> האזנה מראש. </w:t>
      </w:r>
      <w:r>
        <w:rPr>
          <w:rFonts w:hint="cs"/>
          <w:b/>
          <w:bCs/>
          <w:rtl/>
        </w:rPr>
        <w:t>ולפיכך</w:t>
      </w:r>
      <w:r w:rsidRPr="00E54DDF">
        <w:rPr>
          <w:b/>
          <w:bCs/>
          <w:rtl/>
        </w:rPr>
        <w:t>, בקשות אלו היו נשללות על הסף</w:t>
      </w:r>
      <w:r>
        <w:rPr>
          <w:rFonts w:hint="cs"/>
          <w:b/>
          <w:bCs/>
          <w:rtl/>
        </w:rPr>
        <w:t>. עם זאת,</w:t>
      </w:r>
      <w:r w:rsidRPr="00E54DDF">
        <w:rPr>
          <w:rFonts w:hint="cs"/>
          <w:b/>
          <w:bCs/>
          <w:rtl/>
        </w:rPr>
        <w:t xml:space="preserve"> </w:t>
      </w:r>
      <w:bookmarkStart w:id="298" w:name="_Hlk187753353"/>
      <w:r w:rsidRPr="00E54DDF">
        <w:rPr>
          <w:rFonts w:hint="cs"/>
          <w:b/>
          <w:bCs/>
          <w:rtl/>
        </w:rPr>
        <w:t xml:space="preserve">מדובר </w:t>
      </w:r>
      <w:r w:rsidRPr="00E54DDF">
        <w:rPr>
          <w:b/>
          <w:bCs/>
          <w:rtl/>
        </w:rPr>
        <w:t xml:space="preserve">במקרים </w:t>
      </w:r>
      <w:r>
        <w:rPr>
          <w:rFonts w:hint="cs"/>
          <w:b/>
          <w:bCs/>
          <w:rtl/>
        </w:rPr>
        <w:t>ש</w:t>
      </w:r>
      <w:r w:rsidRPr="00E54DDF">
        <w:rPr>
          <w:b/>
          <w:bCs/>
          <w:rtl/>
        </w:rPr>
        <w:t>בהם בעלי החיסיון המקצועי ניצלו את תפקידם לרעה בעבירות סחר איברים, שוחד ומרמה</w:t>
      </w:r>
      <w:bookmarkEnd w:id="298"/>
      <w:r w:rsidRPr="00E54DDF">
        <w:rPr>
          <w:b/>
          <w:bCs/>
          <w:rtl/>
        </w:rPr>
        <w:t xml:space="preserve">. </w:t>
      </w:r>
      <w:r w:rsidRPr="00E54DDF">
        <w:rPr>
          <w:rFonts w:hint="cs"/>
          <w:b/>
          <w:bCs/>
          <w:rtl/>
        </w:rPr>
        <w:t>במצב</w:t>
      </w:r>
      <w:r w:rsidRPr="00E54DDF">
        <w:rPr>
          <w:b/>
          <w:bCs/>
          <w:rtl/>
        </w:rPr>
        <w:t xml:space="preserve"> המשפטי הקיים המשטרה לא הייתה יכולה להאזין להם</w:t>
      </w:r>
      <w:r w:rsidRPr="00E54DDF">
        <w:rPr>
          <w:rFonts w:hint="cs"/>
          <w:b/>
          <w:bCs/>
          <w:rtl/>
        </w:rPr>
        <w:t xml:space="preserve"> מראש</w:t>
      </w:r>
      <w:r w:rsidRPr="00E54DDF">
        <w:rPr>
          <w:b/>
          <w:bCs/>
          <w:rtl/>
        </w:rPr>
        <w:t>, אלא להשתמש בחלופות חקירה אחרות.</w:t>
      </w:r>
      <w:r w:rsidRPr="00E54DDF">
        <w:rPr>
          <w:rFonts w:hint="cs"/>
          <w:b/>
          <w:bCs/>
          <w:rtl/>
        </w:rPr>
        <w:t xml:space="preserve"> </w:t>
      </w:r>
      <w:bookmarkStart w:id="299" w:name="_Hlk187753330"/>
      <w:r w:rsidRPr="00E54DDF">
        <w:rPr>
          <w:rFonts w:hint="cs"/>
          <w:b/>
          <w:bCs/>
          <w:rtl/>
        </w:rPr>
        <w:t>לו היו ממומשות המלצות צוות לבנת משיח להרחיב את רשימת העבירות החמורות והחריגות המאפשרות האזנה מראש, אזי ניתן היה לאשר האזנה מראש בחלק מהפרשיות הללו</w:t>
      </w:r>
      <w:bookmarkEnd w:id="299"/>
      <w:r w:rsidRPr="00E54DDF">
        <w:rPr>
          <w:rFonts w:hint="cs"/>
          <w:b/>
          <w:bCs/>
          <w:rtl/>
        </w:rPr>
        <w:t xml:space="preserve">. </w:t>
      </w:r>
    </w:p>
    <w:p w:rsidR="00356835" w:rsidRDefault="00356835" w:rsidP="00367A7B">
      <w:pPr>
        <w:spacing w:line="269" w:lineRule="auto"/>
        <w:ind w:left="1077"/>
        <w:rPr>
          <w:b/>
          <w:bCs/>
          <w:rtl/>
        </w:rPr>
      </w:pPr>
    </w:p>
    <w:p w:rsidR="009A1216" w:rsidRDefault="009A1216" w:rsidP="00367A7B">
      <w:pPr>
        <w:spacing w:line="269" w:lineRule="auto"/>
        <w:ind w:left="1077"/>
        <w:rPr>
          <w:rtl/>
        </w:rPr>
      </w:pPr>
      <w:r w:rsidRPr="002F4303">
        <w:rPr>
          <w:rFonts w:hint="cs"/>
          <w:b/>
          <w:bCs/>
          <w:rtl/>
        </w:rPr>
        <w:t>התנהלות</w:t>
      </w:r>
      <w:r w:rsidRPr="002F4303">
        <w:rPr>
          <w:b/>
          <w:bCs/>
          <w:rtl/>
        </w:rPr>
        <w:t xml:space="preserve"> </w:t>
      </w:r>
      <w:r w:rsidRPr="002F4303">
        <w:rPr>
          <w:rFonts w:hint="cs"/>
          <w:b/>
          <w:bCs/>
          <w:rtl/>
        </w:rPr>
        <w:t>המשטרה</w:t>
      </w:r>
      <w:r w:rsidRPr="002F4303">
        <w:rPr>
          <w:b/>
          <w:bCs/>
          <w:rtl/>
        </w:rPr>
        <w:t xml:space="preserve">, שאיננה מבצעת בדיקה מעמיקה </w:t>
      </w:r>
      <w:r w:rsidRPr="002F4303">
        <w:rPr>
          <w:rFonts w:hint="cs"/>
          <w:b/>
          <w:bCs/>
          <w:rtl/>
        </w:rPr>
        <w:t>בפרשיות</w:t>
      </w:r>
      <w:r w:rsidRPr="002F4303">
        <w:rPr>
          <w:b/>
          <w:bCs/>
          <w:rtl/>
        </w:rPr>
        <w:t xml:space="preserve"> </w:t>
      </w:r>
      <w:r>
        <w:rPr>
          <w:rFonts w:hint="cs"/>
          <w:b/>
          <w:bCs/>
          <w:rtl/>
        </w:rPr>
        <w:t>ש</w:t>
      </w:r>
      <w:r w:rsidRPr="002F4303">
        <w:rPr>
          <w:rFonts w:hint="cs"/>
          <w:b/>
          <w:bCs/>
          <w:rtl/>
        </w:rPr>
        <w:t>בהן</w:t>
      </w:r>
      <w:r w:rsidRPr="002F4303">
        <w:rPr>
          <w:b/>
          <w:bCs/>
          <w:rtl/>
        </w:rPr>
        <w:t xml:space="preserve"> </w:t>
      </w:r>
      <w:r>
        <w:rPr>
          <w:rFonts w:hint="cs"/>
          <w:b/>
          <w:bCs/>
          <w:rtl/>
        </w:rPr>
        <w:t>היה גלום פוטנציאל</w:t>
      </w:r>
      <w:r w:rsidRPr="002F4303">
        <w:rPr>
          <w:b/>
          <w:bCs/>
          <w:rtl/>
        </w:rPr>
        <w:t xml:space="preserve"> </w:t>
      </w:r>
      <w:r>
        <w:rPr>
          <w:rFonts w:hint="cs"/>
          <w:b/>
          <w:bCs/>
          <w:rtl/>
        </w:rPr>
        <w:t>ל</w:t>
      </w:r>
      <w:r w:rsidRPr="002F4303">
        <w:rPr>
          <w:rFonts w:hint="cs"/>
          <w:b/>
          <w:bCs/>
          <w:rtl/>
        </w:rPr>
        <w:t>מעורבות</w:t>
      </w:r>
      <w:r w:rsidRPr="002F4303">
        <w:rPr>
          <w:b/>
          <w:bCs/>
          <w:rtl/>
        </w:rPr>
        <w:t xml:space="preserve"> </w:t>
      </w:r>
      <w:r w:rsidRPr="002F4303">
        <w:rPr>
          <w:rFonts w:hint="cs"/>
          <w:b/>
          <w:bCs/>
          <w:rtl/>
        </w:rPr>
        <w:t>של</w:t>
      </w:r>
      <w:r w:rsidRPr="002F4303">
        <w:rPr>
          <w:b/>
          <w:bCs/>
          <w:rtl/>
        </w:rPr>
        <w:t xml:space="preserve"> </w:t>
      </w:r>
      <w:r w:rsidRPr="002F4303">
        <w:rPr>
          <w:rFonts w:hint="cs"/>
          <w:b/>
          <w:bCs/>
          <w:rtl/>
        </w:rPr>
        <w:t>בעלי</w:t>
      </w:r>
      <w:r w:rsidRPr="002F4303">
        <w:rPr>
          <w:b/>
          <w:bCs/>
          <w:rtl/>
        </w:rPr>
        <w:t xml:space="preserve"> </w:t>
      </w:r>
      <w:r w:rsidRPr="002F4303">
        <w:rPr>
          <w:rFonts w:hint="cs"/>
          <w:b/>
          <w:bCs/>
          <w:rtl/>
        </w:rPr>
        <w:t>חיסיון</w:t>
      </w:r>
      <w:r w:rsidRPr="002F4303">
        <w:rPr>
          <w:b/>
          <w:bCs/>
          <w:rtl/>
        </w:rPr>
        <w:t xml:space="preserve"> </w:t>
      </w:r>
      <w:r w:rsidRPr="002F4303">
        <w:rPr>
          <w:rFonts w:hint="cs"/>
          <w:b/>
          <w:bCs/>
          <w:rtl/>
        </w:rPr>
        <w:t>מקצועי</w:t>
      </w:r>
      <w:r w:rsidRPr="002F4303">
        <w:rPr>
          <w:b/>
          <w:bCs/>
          <w:rtl/>
        </w:rPr>
        <w:t xml:space="preserve"> </w:t>
      </w:r>
      <w:r w:rsidRPr="002F4303">
        <w:rPr>
          <w:rFonts w:hint="cs"/>
          <w:b/>
          <w:bCs/>
          <w:rtl/>
        </w:rPr>
        <w:t>אינה</w:t>
      </w:r>
      <w:r w:rsidRPr="002F4303">
        <w:rPr>
          <w:b/>
          <w:bCs/>
          <w:rtl/>
        </w:rPr>
        <w:t xml:space="preserve"> תקינה</w:t>
      </w:r>
      <w:r w:rsidRPr="002F4303">
        <w:rPr>
          <w:rFonts w:hint="cs"/>
          <w:b/>
          <w:bCs/>
          <w:rtl/>
        </w:rPr>
        <w:t>,</w:t>
      </w:r>
      <w:r w:rsidRPr="002F4303">
        <w:rPr>
          <w:b/>
          <w:bCs/>
          <w:rtl/>
        </w:rPr>
        <w:t xml:space="preserve"> עלולה </w:t>
      </w:r>
      <w:r w:rsidRPr="002F4303">
        <w:rPr>
          <w:rFonts w:hint="cs"/>
          <w:b/>
          <w:bCs/>
          <w:rtl/>
        </w:rPr>
        <w:t>ל</w:t>
      </w:r>
      <w:r w:rsidRPr="002F4303">
        <w:rPr>
          <w:b/>
          <w:bCs/>
          <w:rtl/>
        </w:rPr>
        <w:t>פג</w:t>
      </w:r>
      <w:r w:rsidRPr="002F4303">
        <w:rPr>
          <w:rFonts w:hint="cs"/>
          <w:b/>
          <w:bCs/>
          <w:rtl/>
        </w:rPr>
        <w:t>ו</w:t>
      </w:r>
      <w:r w:rsidRPr="002F4303">
        <w:rPr>
          <w:b/>
          <w:bCs/>
          <w:rtl/>
        </w:rPr>
        <w:t>ע</w:t>
      </w:r>
      <w:r w:rsidRPr="002F4303">
        <w:rPr>
          <w:rFonts w:hint="cs"/>
          <w:b/>
          <w:bCs/>
          <w:rtl/>
        </w:rPr>
        <w:t xml:space="preserve"> ב</w:t>
      </w:r>
      <w:r w:rsidRPr="002F4303">
        <w:rPr>
          <w:b/>
          <w:bCs/>
          <w:rtl/>
        </w:rPr>
        <w:t>אמון ב</w:t>
      </w:r>
      <w:r w:rsidRPr="002F4303">
        <w:rPr>
          <w:rFonts w:hint="cs"/>
          <w:b/>
          <w:bCs/>
          <w:rtl/>
        </w:rPr>
        <w:t>משטר</w:t>
      </w:r>
      <w:r w:rsidRPr="002F4303">
        <w:rPr>
          <w:b/>
          <w:bCs/>
          <w:rtl/>
        </w:rPr>
        <w:t xml:space="preserve">ה, ולהעלות </w:t>
      </w:r>
      <w:r w:rsidRPr="002F4303">
        <w:rPr>
          <w:rFonts w:hint="cs"/>
          <w:b/>
          <w:bCs/>
          <w:rtl/>
        </w:rPr>
        <w:t>נגד</w:t>
      </w:r>
      <w:r w:rsidRPr="002F4303">
        <w:rPr>
          <w:b/>
          <w:bCs/>
          <w:rtl/>
        </w:rPr>
        <w:t xml:space="preserve"> התנהלותה טענות הגנה מן הצדק. </w:t>
      </w:r>
    </w:p>
    <w:p w:rsidR="009A1216" w:rsidRDefault="009A1216" w:rsidP="00367A7B">
      <w:pPr>
        <w:pStyle w:val="a5"/>
        <w:spacing w:line="269" w:lineRule="auto"/>
        <w:ind w:left="510"/>
        <w:rPr>
          <w:rtl/>
        </w:rPr>
      </w:pPr>
    </w:p>
    <w:p w:rsidR="009A1216" w:rsidRDefault="009A1216" w:rsidP="00367A7B">
      <w:pPr>
        <w:spacing w:line="269" w:lineRule="auto"/>
        <w:ind w:left="1077"/>
        <w:rPr>
          <w:rtl/>
        </w:rPr>
      </w:pPr>
      <w:r>
        <w:rPr>
          <w:rFonts w:hint="cs"/>
          <w:rtl/>
        </w:rPr>
        <w:t xml:space="preserve">המשטרה מסרה בתגובתה כי </w:t>
      </w:r>
      <w:r w:rsidRPr="009B1E42">
        <w:rPr>
          <w:rtl/>
        </w:rPr>
        <w:t xml:space="preserve">הציפייה </w:t>
      </w:r>
      <w:r>
        <w:rPr>
          <w:rFonts w:hint="cs"/>
          <w:rtl/>
        </w:rPr>
        <w:t>ש</w:t>
      </w:r>
      <w:r w:rsidRPr="009B1E42">
        <w:rPr>
          <w:rtl/>
        </w:rPr>
        <w:t>המשטרה</w:t>
      </w:r>
      <w:r>
        <w:rPr>
          <w:rFonts w:hint="cs"/>
          <w:rtl/>
        </w:rPr>
        <w:t xml:space="preserve"> תבדוק</w:t>
      </w:r>
      <w:r w:rsidRPr="009B1E42">
        <w:rPr>
          <w:rtl/>
        </w:rPr>
        <w:t xml:space="preserve"> את מעמד</w:t>
      </w:r>
      <w:r>
        <w:rPr>
          <w:rFonts w:hint="cs"/>
          <w:rtl/>
        </w:rPr>
        <w:t xml:space="preserve"> </w:t>
      </w:r>
      <w:r w:rsidRPr="009B1E42">
        <w:rPr>
          <w:rtl/>
        </w:rPr>
        <w:t xml:space="preserve">יעד </w:t>
      </w:r>
      <w:r>
        <w:rPr>
          <w:rFonts w:hint="cs"/>
          <w:rtl/>
        </w:rPr>
        <w:t>ה</w:t>
      </w:r>
      <w:r w:rsidRPr="009B1E42">
        <w:rPr>
          <w:rtl/>
        </w:rPr>
        <w:t xml:space="preserve">האזנה והאם חל עליו חיסיון מכוח מקצועו </w:t>
      </w:r>
      <w:r>
        <w:rPr>
          <w:rFonts w:hint="cs"/>
          <w:rtl/>
        </w:rPr>
        <w:t xml:space="preserve">אינה </w:t>
      </w:r>
      <w:r w:rsidRPr="009B1E42">
        <w:rPr>
          <w:rtl/>
        </w:rPr>
        <w:t>סבירה</w:t>
      </w:r>
      <w:r>
        <w:rPr>
          <w:rFonts w:hint="cs"/>
          <w:rtl/>
        </w:rPr>
        <w:t xml:space="preserve">. </w:t>
      </w:r>
      <w:r w:rsidRPr="009B1E42">
        <w:rPr>
          <w:rtl/>
        </w:rPr>
        <w:t xml:space="preserve">היא מכבידה על המשטרה ואין בה כדי לתרום תרומה של ממש </w:t>
      </w:r>
      <w:r>
        <w:rPr>
          <w:rtl/>
        </w:rPr>
        <w:t>בנוגע</w:t>
      </w:r>
      <w:r w:rsidRPr="009B1E42">
        <w:rPr>
          <w:rtl/>
        </w:rPr>
        <w:t xml:space="preserve"> למעמדו של יעד האזנה</w:t>
      </w:r>
      <w:r>
        <w:rPr>
          <w:rFonts w:hint="cs"/>
          <w:rtl/>
        </w:rPr>
        <w:t xml:space="preserve"> משום שרישומו בפנקס אינו מעיד </w:t>
      </w:r>
      <w:r w:rsidRPr="009B1E42">
        <w:rPr>
          <w:rtl/>
        </w:rPr>
        <w:t xml:space="preserve">שהוא עוסק במקצוע. </w:t>
      </w:r>
      <w:r>
        <w:rPr>
          <w:rFonts w:hint="cs"/>
          <w:rtl/>
        </w:rPr>
        <w:t xml:space="preserve">אם יעד ההאזנה רשום בפנקס </w:t>
      </w:r>
      <w:r w:rsidRPr="009B1E42">
        <w:rPr>
          <w:rtl/>
        </w:rPr>
        <w:t xml:space="preserve">אך </w:t>
      </w:r>
      <w:r>
        <w:rPr>
          <w:rFonts w:hint="cs"/>
          <w:rtl/>
        </w:rPr>
        <w:t>אינו</w:t>
      </w:r>
      <w:r w:rsidRPr="009B1E42">
        <w:rPr>
          <w:rtl/>
        </w:rPr>
        <w:t xml:space="preserve"> עוסק במקצועו</w:t>
      </w:r>
      <w:r>
        <w:rPr>
          <w:rFonts w:hint="cs"/>
          <w:rtl/>
        </w:rPr>
        <w:t>,</w:t>
      </w:r>
      <w:r w:rsidRPr="009B1E42">
        <w:rPr>
          <w:rtl/>
        </w:rPr>
        <w:t xml:space="preserve"> הוא </w:t>
      </w:r>
      <w:r>
        <w:rPr>
          <w:rFonts w:hint="cs"/>
          <w:rtl/>
        </w:rPr>
        <w:t>לא</w:t>
      </w:r>
      <w:r w:rsidRPr="009B1E42">
        <w:rPr>
          <w:rtl/>
        </w:rPr>
        <w:t xml:space="preserve"> נהנה מחיסיון כלל.</w:t>
      </w:r>
      <w:r>
        <w:rPr>
          <w:rFonts w:hint="cs"/>
          <w:rtl/>
        </w:rPr>
        <w:t xml:space="preserve"> </w:t>
      </w:r>
    </w:p>
    <w:p w:rsidR="00356835" w:rsidRDefault="00356835" w:rsidP="00367A7B">
      <w:pPr>
        <w:spacing w:line="269" w:lineRule="auto"/>
        <w:ind w:left="1077"/>
        <w:rPr>
          <w:b/>
          <w:bCs/>
          <w:rtl/>
        </w:rPr>
      </w:pPr>
    </w:p>
    <w:p w:rsidR="009A1216" w:rsidRDefault="009A1216" w:rsidP="00367A7B">
      <w:pPr>
        <w:spacing w:line="269" w:lineRule="auto"/>
        <w:ind w:left="1077"/>
        <w:rPr>
          <w:b/>
          <w:bCs/>
          <w:rtl/>
        </w:rPr>
      </w:pPr>
      <w:r>
        <w:rPr>
          <w:rFonts w:hint="cs"/>
          <w:b/>
          <w:bCs/>
          <w:rtl/>
        </w:rPr>
        <w:t xml:space="preserve">לנוכח חובתה של המשטרה לפעול להגנתם של בעלי חיסיון בעת האזנה להם, על המשטרה להקפיד הקפדה יתרה על בדיקת יעדי האזנה וההגנות החלות עליהם בהליך האזנת הסתר החסוי לצורך הגשת בקשות האזנה מראש. עליה לעגן בנהליה את הבדיקות הנדרשות עוד לפני הגשת בקשות להאזנת סתר שגלום בהן פוטנציאל להאזנה לבעלי חיסיון מקצועי ולבחון את נחיצות עיגונן בחקיקת משנה. </w:t>
      </w:r>
      <w:bookmarkStart w:id="300" w:name="_Hlk144188796"/>
      <w:r>
        <w:rPr>
          <w:rFonts w:hint="cs"/>
          <w:b/>
          <w:bCs/>
          <w:rtl/>
        </w:rPr>
        <w:t xml:space="preserve">לנוכח הרגישות היתרה שעולה מהאזנה בפועל לבעל חיסיון מקצועי, מוצע שהמשטרה </w:t>
      </w:r>
      <w:r w:rsidRPr="00223C81">
        <w:rPr>
          <w:rFonts w:hint="cs"/>
          <w:b/>
          <w:bCs/>
          <w:rtl/>
        </w:rPr>
        <w:t>תנהיג</w:t>
      </w:r>
      <w:r>
        <w:rPr>
          <w:rFonts w:hint="cs"/>
          <w:b/>
          <w:bCs/>
          <w:rtl/>
        </w:rPr>
        <w:t xml:space="preserve"> מדיניות תחקיר והפקת לקחים בנוגע לכל פרשייה שבה התבקש אישור האזנה אגב אורחא לבעל חיסיון מקצועי, וכי תוצריה יוצגו לפני המפכ"ל</w:t>
      </w:r>
      <w:bookmarkEnd w:id="300"/>
      <w:r>
        <w:rPr>
          <w:rFonts w:hint="cs"/>
          <w:b/>
          <w:bCs/>
          <w:rtl/>
        </w:rPr>
        <w:t xml:space="preserve">. </w:t>
      </w:r>
    </w:p>
    <w:p w:rsidR="00356835" w:rsidRDefault="00356835" w:rsidP="00367A7B">
      <w:pPr>
        <w:spacing w:line="269" w:lineRule="auto"/>
        <w:ind w:left="1077"/>
        <w:rPr>
          <w:b/>
          <w:bCs/>
          <w:rtl/>
        </w:rPr>
      </w:pPr>
    </w:p>
    <w:p w:rsidR="009A1216" w:rsidRDefault="009A1216" w:rsidP="00367A7B">
      <w:pPr>
        <w:spacing w:line="269" w:lineRule="auto"/>
        <w:ind w:left="1077"/>
        <w:rPr>
          <w:rtl/>
        </w:rPr>
      </w:pPr>
      <w:r>
        <w:rPr>
          <w:rFonts w:hint="cs"/>
          <w:b/>
          <w:bCs/>
          <w:rtl/>
        </w:rPr>
        <w:t xml:space="preserve">מוצע כי המשטרה ומשרד המשפטים יבצעו עבודת מטה לבחינת מגבלת העבירות הקיימת בחקיקה כיום להאזנה מראש לבעל חיסיון מקצועי. בין היתר </w:t>
      </w:r>
      <w:r w:rsidRPr="00223C81">
        <w:rPr>
          <w:rFonts w:hint="cs"/>
          <w:b/>
          <w:bCs/>
          <w:rtl/>
        </w:rPr>
        <w:t>יש</w:t>
      </w:r>
      <w:r>
        <w:rPr>
          <w:rFonts w:hint="cs"/>
          <w:b/>
          <w:bCs/>
          <w:rtl/>
        </w:rPr>
        <w:t xml:space="preserve"> לבחון אם נדרש לקבוע מנגנון גמיש יותר ושקוף בחקיקת משנה שייתן מענה לעבירות חמורות, לעבירות המוגדרות "מכת מדינה", לעבירות הנוגעות לאמנות שישראל חתומה עליהן או למקרים של ניצול תפקיד לרעה המצדיק האזנת סתר לבעלי חיסיון מקצועי. </w:t>
      </w:r>
    </w:p>
    <w:p w:rsidR="009A1216" w:rsidRDefault="009A1216" w:rsidP="00367A7B">
      <w:pPr>
        <w:pStyle w:val="a5"/>
        <w:spacing w:line="269" w:lineRule="auto"/>
        <w:ind w:left="510"/>
        <w:rPr>
          <w:rtl/>
        </w:rPr>
      </w:pPr>
    </w:p>
    <w:p w:rsidR="009A1216" w:rsidRDefault="009A1216" w:rsidP="00367A7B">
      <w:pPr>
        <w:spacing w:line="269" w:lineRule="auto"/>
        <w:ind w:left="1077"/>
        <w:rPr>
          <w:rtl/>
        </w:rPr>
      </w:pPr>
      <w:r>
        <w:rPr>
          <w:rFonts w:hint="cs"/>
          <w:rtl/>
        </w:rPr>
        <w:t xml:space="preserve">משרד המשפטים מסר כי בחינת מגבלת העבירות הקיימת בחקיקה ואפשרות קביעת מנגנון גמיש ושקוף בחקיקת משנה, יתבצעו במהלך עבודת המטה הנערכת בימים אלו לקראת תיקון חקיקה מקיף לחוק האזנת סתר. </w:t>
      </w:r>
    </w:p>
    <w:bookmarkEnd w:id="297"/>
    <w:p w:rsidR="009A1216" w:rsidRDefault="009A1216" w:rsidP="00604C3D">
      <w:pPr>
        <w:spacing w:line="269" w:lineRule="auto"/>
        <w:rPr>
          <w:rtl/>
        </w:rPr>
      </w:pPr>
    </w:p>
    <w:p w:rsidR="009A1216" w:rsidRDefault="009A1216" w:rsidP="008C598D">
      <w:pPr>
        <w:pStyle w:val="6"/>
        <w:numPr>
          <w:ilvl w:val="3"/>
          <w:numId w:val="73"/>
        </w:numPr>
        <w:spacing w:line="269" w:lineRule="auto"/>
        <w:ind w:left="1132"/>
        <w:rPr>
          <w:rtl/>
        </w:rPr>
      </w:pPr>
      <w:bookmarkStart w:id="301" w:name="_Hlk147906387"/>
      <w:r>
        <w:rPr>
          <w:rFonts w:hint="cs"/>
          <w:rtl/>
        </w:rPr>
        <w:t>האזנה לאישי ציבור בדרג ב' וג'</w:t>
      </w:r>
    </w:p>
    <w:bookmarkEnd w:id="301"/>
    <w:p w:rsidR="00356835" w:rsidRDefault="00356835" w:rsidP="00604C3D">
      <w:pPr>
        <w:spacing w:line="269" w:lineRule="auto"/>
        <w:rPr>
          <w:rtl/>
        </w:rPr>
      </w:pPr>
    </w:p>
    <w:p w:rsidR="009A1216" w:rsidRDefault="009A1216" w:rsidP="00367A7B">
      <w:pPr>
        <w:spacing w:line="269" w:lineRule="auto"/>
        <w:ind w:left="1077"/>
        <w:rPr>
          <w:rtl/>
        </w:rPr>
      </w:pPr>
      <w:r>
        <w:rPr>
          <w:rFonts w:hint="cs"/>
          <w:rtl/>
        </w:rPr>
        <w:t xml:space="preserve">בשנים 2019 - 2021 אותרו </w:t>
      </w:r>
      <w:r w:rsidR="00401971">
        <w:rPr>
          <w:rFonts w:hint="cs"/>
          <w:rtl/>
        </w:rPr>
        <w:t>עשרות</w:t>
      </w:r>
      <w:r>
        <w:rPr>
          <w:rFonts w:hint="cs"/>
          <w:rtl/>
        </w:rPr>
        <w:t xml:space="preserve"> יעדי האזנה שהם אישי ציבור בדרג ב' ו-ג', ולגביהם הוכנו </w:t>
      </w:r>
      <w:r w:rsidR="00401971">
        <w:rPr>
          <w:rFonts w:hint="cs"/>
          <w:rtl/>
        </w:rPr>
        <w:t>יותר ממאה</w:t>
      </w:r>
      <w:r>
        <w:rPr>
          <w:rFonts w:hint="cs"/>
          <w:rtl/>
        </w:rPr>
        <w:t xml:space="preserve"> בקשות להאזנת סתר. הגשת בקשה לצו האזנה לדרג ב' מחייבת אישור ראש אח"ם והגשת בקשה לצו האזנה לדרג ג' מחייבת להביא לידיעתו את דבר ביצוע ההאזנה. חובה זו חלה ממועד הגשת הצו הראשון ולקראת כל הארכת תוקף תחולתו של הצו </w:t>
      </w:r>
      <w:r w:rsidR="003D6F75">
        <w:rPr>
          <w:rFonts w:hint="cs"/>
          <w:rtl/>
        </w:rPr>
        <w:t>-</w:t>
      </w:r>
      <w:r>
        <w:rPr>
          <w:rFonts w:hint="cs"/>
          <w:rtl/>
        </w:rPr>
        <w:t xml:space="preserve"> כלומר, על כל צו חדש ועל כל צו הארכה. </w:t>
      </w:r>
    </w:p>
    <w:p w:rsidR="00356835" w:rsidRDefault="00356835" w:rsidP="00367A7B">
      <w:pPr>
        <w:spacing w:line="269" w:lineRule="auto"/>
        <w:ind w:left="1077"/>
        <w:rPr>
          <w:b/>
          <w:bCs/>
          <w:rtl/>
        </w:rPr>
      </w:pPr>
      <w:bookmarkStart w:id="302" w:name="_Hlk147906220"/>
    </w:p>
    <w:p w:rsidR="009A1216" w:rsidRDefault="009A1216" w:rsidP="00367A7B">
      <w:pPr>
        <w:spacing w:line="269" w:lineRule="auto"/>
        <w:ind w:left="1077"/>
        <w:rPr>
          <w:b/>
          <w:bCs/>
          <w:rtl/>
        </w:rPr>
      </w:pPr>
      <w:r>
        <w:rPr>
          <w:rFonts w:hint="cs"/>
          <w:b/>
          <w:bCs/>
          <w:rtl/>
        </w:rPr>
        <w:t>משרד מבקר המדינה בדק</w:t>
      </w:r>
      <w:r w:rsidR="00401971">
        <w:rPr>
          <w:rFonts w:hint="cs"/>
          <w:b/>
          <w:bCs/>
          <w:rtl/>
        </w:rPr>
        <w:t xml:space="preserve"> דגימה של מספר</w:t>
      </w:r>
      <w:r w:rsidR="00382AE8">
        <w:rPr>
          <w:rFonts w:hint="cs"/>
          <w:b/>
          <w:bCs/>
          <w:rtl/>
        </w:rPr>
        <w:t xml:space="preserve"> </w:t>
      </w:r>
      <w:r>
        <w:rPr>
          <w:rFonts w:hint="cs"/>
          <w:b/>
          <w:bCs/>
          <w:rtl/>
        </w:rPr>
        <w:t>יעדי האזנה</w:t>
      </w:r>
      <w:r w:rsidR="001D10D6">
        <w:rPr>
          <w:rFonts w:hint="cs"/>
          <w:b/>
          <w:bCs/>
          <w:rtl/>
        </w:rPr>
        <w:t xml:space="preserve"> אחדים</w:t>
      </w:r>
      <w:r>
        <w:rPr>
          <w:rFonts w:hint="cs"/>
          <w:b/>
          <w:bCs/>
          <w:rtl/>
        </w:rPr>
        <w:t xml:space="preserve"> בדרג ציבורי ב' ו</w:t>
      </w:r>
      <w:r w:rsidR="00162B4F">
        <w:rPr>
          <w:rFonts w:hint="cs"/>
          <w:b/>
          <w:bCs/>
          <w:rtl/>
        </w:rPr>
        <w:t>-</w:t>
      </w:r>
      <w:r>
        <w:rPr>
          <w:rFonts w:hint="cs"/>
          <w:b/>
          <w:bCs/>
          <w:rtl/>
        </w:rPr>
        <w:t xml:space="preserve">ג' </w:t>
      </w:r>
      <w:r w:rsidR="00F11D04">
        <w:rPr>
          <w:rFonts w:hint="cs"/>
          <w:b/>
          <w:bCs/>
          <w:rtl/>
        </w:rPr>
        <w:t xml:space="preserve">והבקשות </w:t>
      </w:r>
      <w:r w:rsidRPr="000D7E64">
        <w:rPr>
          <w:rFonts w:hint="cs"/>
          <w:b/>
          <w:bCs/>
          <w:rtl/>
        </w:rPr>
        <w:t>שהו</w:t>
      </w:r>
      <w:r w:rsidR="00F11D04">
        <w:rPr>
          <w:rFonts w:hint="cs"/>
          <w:b/>
          <w:bCs/>
          <w:rtl/>
        </w:rPr>
        <w:t>כנו</w:t>
      </w:r>
      <w:r>
        <w:rPr>
          <w:rFonts w:hint="cs"/>
          <w:b/>
          <w:bCs/>
          <w:rtl/>
        </w:rPr>
        <w:t xml:space="preserve"> בעניינם</w:t>
      </w:r>
      <w:r w:rsidR="00F11D04">
        <w:rPr>
          <w:rFonts w:hint="cs"/>
          <w:b/>
          <w:bCs/>
          <w:rtl/>
        </w:rPr>
        <w:t xml:space="preserve"> ושלאחריהן הוצאו צווים שיפוטיים להאזנה להם</w:t>
      </w:r>
      <w:r>
        <w:rPr>
          <w:rFonts w:hint="cs"/>
          <w:b/>
          <w:bCs/>
          <w:rtl/>
        </w:rPr>
        <w:t xml:space="preserve">. נמצא כי </w:t>
      </w:r>
      <w:r w:rsidRPr="00B10A73">
        <w:rPr>
          <w:rFonts w:hint="cs"/>
          <w:b/>
          <w:bCs/>
          <w:rtl/>
        </w:rPr>
        <w:t>ב</w:t>
      </w:r>
      <w:r w:rsidR="001D10D6">
        <w:rPr>
          <w:rFonts w:hint="cs"/>
          <w:b/>
          <w:bCs/>
          <w:rtl/>
        </w:rPr>
        <w:t>-</w:t>
      </w:r>
      <w:r>
        <w:rPr>
          <w:rFonts w:hint="cs"/>
          <w:b/>
          <w:bCs/>
          <w:rtl/>
        </w:rPr>
        <w:t>37% מאותם צווים,</w:t>
      </w:r>
      <w:r w:rsidRPr="00B10A73">
        <w:rPr>
          <w:rFonts w:hint="cs"/>
          <w:b/>
          <w:bCs/>
          <w:rtl/>
        </w:rPr>
        <w:t xml:space="preserve"> </w:t>
      </w:r>
      <w:r>
        <w:rPr>
          <w:rFonts w:hint="cs"/>
          <w:b/>
          <w:bCs/>
          <w:rtl/>
        </w:rPr>
        <w:t>בעניינם של 57%</w:t>
      </w:r>
      <w:r w:rsidR="004E6745">
        <w:rPr>
          <w:rFonts w:hint="cs"/>
          <w:b/>
          <w:bCs/>
          <w:rtl/>
        </w:rPr>
        <w:t xml:space="preserve"> </w:t>
      </w:r>
      <w:r>
        <w:rPr>
          <w:rFonts w:hint="cs"/>
          <w:b/>
          <w:bCs/>
          <w:rtl/>
        </w:rPr>
        <w:t>מהיעדים,</w:t>
      </w:r>
      <w:r w:rsidRPr="00B10A73">
        <w:rPr>
          <w:rFonts w:hint="cs"/>
          <w:b/>
          <w:bCs/>
          <w:rtl/>
        </w:rPr>
        <w:t xml:space="preserve"> </w:t>
      </w:r>
      <w:r>
        <w:rPr>
          <w:rFonts w:hint="cs"/>
          <w:b/>
          <w:bCs/>
          <w:rtl/>
        </w:rPr>
        <w:t>לא אותר אישור ראש אח"ם לביצוע או מזכר המעיד כי דבר ביצוע ההאזנה הובא לידיעתו של ראש אח"ם, כנדרש בנוהל.</w:t>
      </w:r>
      <w:r w:rsidRPr="00512C65">
        <w:rPr>
          <w:rFonts w:hint="cs"/>
          <w:b/>
          <w:bCs/>
          <w:rtl/>
        </w:rPr>
        <w:t xml:space="preserve"> </w:t>
      </w:r>
      <w:bookmarkStart w:id="303" w:name="_Hlk187838361"/>
      <w:r>
        <w:rPr>
          <w:rFonts w:hint="cs"/>
          <w:b/>
          <w:bCs/>
          <w:rtl/>
        </w:rPr>
        <w:t>לגבי יעד אחד לא אותר כל אישור בכל אחד מהצווים שהוצאו נגדו.</w:t>
      </w:r>
      <w:bookmarkEnd w:id="303"/>
      <w:r>
        <w:rPr>
          <w:rFonts w:hint="cs"/>
          <w:b/>
          <w:bCs/>
          <w:rtl/>
        </w:rPr>
        <w:t xml:space="preserve"> בהיעדר תיעוד (אישור או מזכר בהתאם לדרג) לבצע האזנה רגישה, בניגוד לנהלים, נפגעת היכולת של המשטרה להבטיח כי ננקטה הזהירות הנדרשת ונשקלו ההשלכות של האזנה לאישי ציבור ושל משך ההאזנה על הפגיעה בפרטיותו. הדבר מעורר ספק בנוגע לעצם קיום ההליך של האישור באופן מלא ונאות כמתחייב</w:t>
      </w:r>
      <w:bookmarkEnd w:id="302"/>
      <w:r>
        <w:rPr>
          <w:rFonts w:hint="cs"/>
          <w:b/>
          <w:bCs/>
          <w:rtl/>
        </w:rPr>
        <w:t>.</w:t>
      </w:r>
    </w:p>
    <w:p w:rsidR="009A1216" w:rsidRDefault="009A1216" w:rsidP="00367A7B">
      <w:pPr>
        <w:pStyle w:val="a5"/>
        <w:spacing w:line="269" w:lineRule="auto"/>
        <w:ind w:left="510"/>
        <w:rPr>
          <w:rtl/>
        </w:rPr>
      </w:pPr>
    </w:p>
    <w:p w:rsidR="009A1216" w:rsidRPr="00F3278A" w:rsidRDefault="009A1216" w:rsidP="00367A7B">
      <w:pPr>
        <w:spacing w:line="269" w:lineRule="auto"/>
        <w:ind w:left="1077"/>
        <w:rPr>
          <w:b/>
          <w:bCs/>
          <w:rtl/>
        </w:rPr>
      </w:pPr>
      <w:r w:rsidRPr="00F3278A">
        <w:rPr>
          <w:rFonts w:hint="cs"/>
          <w:rtl/>
        </w:rPr>
        <w:t xml:space="preserve">המשטרה מסרה כי בעקבות ממצאי הביקורת, היא ערכה בחינה מעמיקה של כלל יעדי ההאזנה שהם אישי ציבור. אישורים ומזכרים רלוונטיים שאותרו ביחידות המשטרה אף נסרקו למערכת לניהול צווים. עוד היא מסרה כי לאור ממצאי הביקורת היא </w:t>
      </w:r>
      <w:r>
        <w:rPr>
          <w:rFonts w:hint="cs"/>
          <w:rtl/>
        </w:rPr>
        <w:t>תחדד</w:t>
      </w:r>
      <w:r w:rsidRPr="00F3278A">
        <w:rPr>
          <w:rFonts w:hint="cs"/>
          <w:rtl/>
        </w:rPr>
        <w:t xml:space="preserve"> למערך הפרוס </w:t>
      </w:r>
      <w:r w:rsidR="00162B4F">
        <w:rPr>
          <w:rFonts w:hint="cs"/>
          <w:rtl/>
        </w:rPr>
        <w:t xml:space="preserve">את </w:t>
      </w:r>
      <w:r w:rsidRPr="00F3278A">
        <w:rPr>
          <w:rFonts w:hint="cs"/>
          <w:rtl/>
        </w:rPr>
        <w:t>נחיצות קבלת אישור ראש אח"</w:t>
      </w:r>
      <w:r>
        <w:rPr>
          <w:rFonts w:hint="cs"/>
          <w:rtl/>
        </w:rPr>
        <w:t>ם</w:t>
      </w:r>
      <w:r w:rsidRPr="00F3278A">
        <w:rPr>
          <w:rFonts w:hint="cs"/>
          <w:rtl/>
        </w:rPr>
        <w:t xml:space="preserve"> גם במקרה של חידוש האזנת הסתר באמצעות צו הארכה.</w:t>
      </w:r>
      <w:r>
        <w:rPr>
          <w:rFonts w:hint="cs"/>
          <w:rtl/>
        </w:rPr>
        <w:t xml:space="preserve"> </w:t>
      </w:r>
    </w:p>
    <w:p w:rsidR="00356835" w:rsidRPr="00770E43" w:rsidRDefault="00356835" w:rsidP="00367A7B">
      <w:pPr>
        <w:spacing w:line="269" w:lineRule="auto"/>
        <w:ind w:left="1077"/>
        <w:rPr>
          <w:rtl/>
        </w:rPr>
      </w:pPr>
    </w:p>
    <w:p w:rsidR="009A1216" w:rsidRPr="007C2C7B" w:rsidRDefault="009A1216" w:rsidP="00367A7B">
      <w:pPr>
        <w:pStyle w:val="aff2"/>
        <w:spacing w:line="269" w:lineRule="auto"/>
        <w:ind w:left="1077"/>
        <w:rPr>
          <w:rtl/>
        </w:rPr>
      </w:pPr>
      <w:r w:rsidRPr="007C2C7B">
        <w:rPr>
          <w:rFonts w:hint="cs"/>
          <w:rtl/>
        </w:rPr>
        <w:t xml:space="preserve">לנוכח ממצאי הביקורת על היעדר אישורים ומזכרים גם לאחר הבחינה הנוספת שנערכה, על המשטרה להקפיד כי כל </w:t>
      </w:r>
      <w:bookmarkStart w:id="304" w:name="_Hlk146001025"/>
      <w:r w:rsidRPr="007C2C7B">
        <w:rPr>
          <w:rFonts w:hint="cs"/>
          <w:rtl/>
        </w:rPr>
        <w:t xml:space="preserve">בקשה להאזנה לאישי ציבור בדרג ב' וג' תקבל </w:t>
      </w:r>
      <w:r>
        <w:rPr>
          <w:rFonts w:hint="cs"/>
          <w:rtl/>
        </w:rPr>
        <w:t xml:space="preserve">את </w:t>
      </w:r>
      <w:r w:rsidRPr="007C2C7B">
        <w:rPr>
          <w:rFonts w:hint="cs"/>
          <w:rtl/>
        </w:rPr>
        <w:t>אישור</w:t>
      </w:r>
      <w:r w:rsidR="00866C60">
        <w:rPr>
          <w:rFonts w:hint="cs"/>
          <w:rtl/>
        </w:rPr>
        <w:t>ו</w:t>
      </w:r>
      <w:r w:rsidRPr="007C2C7B">
        <w:rPr>
          <w:rFonts w:hint="cs"/>
          <w:rtl/>
        </w:rPr>
        <w:t xml:space="preserve"> של ראש אח"ם </w:t>
      </w:r>
      <w:bookmarkStart w:id="305" w:name="_Hlk185155043"/>
      <w:bookmarkEnd w:id="304"/>
      <w:r w:rsidRPr="007C2C7B">
        <w:rPr>
          <w:rFonts w:hint="cs"/>
          <w:rtl/>
        </w:rPr>
        <w:t>או תובא לידיעתו</w:t>
      </w:r>
      <w:r>
        <w:rPr>
          <w:rFonts w:hint="cs"/>
          <w:rtl/>
        </w:rPr>
        <w:t>,</w:t>
      </w:r>
      <w:r w:rsidRPr="007C2C7B">
        <w:rPr>
          <w:rFonts w:hint="cs"/>
          <w:rtl/>
        </w:rPr>
        <w:t xml:space="preserve"> וכי האישור או המזכר יתויקו במערכת לניהול צווים. </w:t>
      </w:r>
      <w:r>
        <w:rPr>
          <w:rFonts w:hint="cs"/>
          <w:rtl/>
        </w:rPr>
        <w:t xml:space="preserve">כמו כן </w:t>
      </w:r>
      <w:r w:rsidRPr="007C2C7B">
        <w:rPr>
          <w:rFonts w:hint="cs"/>
          <w:rtl/>
        </w:rPr>
        <w:t xml:space="preserve">מוצע כי הפרקליטות </w:t>
      </w:r>
      <w:bookmarkEnd w:id="305"/>
      <w:r w:rsidRPr="007C2C7B">
        <w:rPr>
          <w:rFonts w:hint="cs"/>
          <w:rtl/>
        </w:rPr>
        <w:t xml:space="preserve">תערוך בקרה </w:t>
      </w:r>
      <w:r>
        <w:rPr>
          <w:rFonts w:hint="cs"/>
          <w:rtl/>
        </w:rPr>
        <w:t>ע</w:t>
      </w:r>
      <w:r w:rsidRPr="007C2C7B">
        <w:rPr>
          <w:rFonts w:hint="cs"/>
          <w:rtl/>
        </w:rPr>
        <w:t>ל</w:t>
      </w:r>
      <w:r>
        <w:rPr>
          <w:rFonts w:hint="cs"/>
          <w:rtl/>
        </w:rPr>
        <w:t xml:space="preserve"> </w:t>
      </w:r>
      <w:r w:rsidRPr="007C2C7B">
        <w:rPr>
          <w:rFonts w:hint="cs"/>
          <w:rtl/>
        </w:rPr>
        <w:t>ביצוע האזנת סתר לאישי ציבור בעת בחינת תיק חקירה לצורך הגשת כתב אישום</w:t>
      </w:r>
      <w:r w:rsidRPr="007C2C7B">
        <w:rPr>
          <w:rtl/>
        </w:rPr>
        <w:t>.</w:t>
      </w:r>
    </w:p>
    <w:p w:rsidR="009A1216" w:rsidRPr="007C2C7B" w:rsidRDefault="009A1216" w:rsidP="00604C3D">
      <w:pPr>
        <w:pStyle w:val="aff2"/>
        <w:spacing w:line="269" w:lineRule="auto"/>
        <w:rPr>
          <w:rtl/>
        </w:rPr>
      </w:pPr>
    </w:p>
    <w:p w:rsidR="009A1216" w:rsidRDefault="009A1216" w:rsidP="008C598D">
      <w:pPr>
        <w:pStyle w:val="5"/>
        <w:numPr>
          <w:ilvl w:val="2"/>
          <w:numId w:val="73"/>
        </w:numPr>
        <w:spacing w:line="269" w:lineRule="auto"/>
        <w:ind w:left="707"/>
        <w:rPr>
          <w:rtl/>
        </w:rPr>
      </w:pPr>
      <w:bookmarkStart w:id="306" w:name="_Hlk133769098"/>
      <w:r w:rsidRPr="00BC0B63">
        <w:rPr>
          <w:rFonts w:hint="cs"/>
          <w:rtl/>
        </w:rPr>
        <w:t xml:space="preserve">אישור בקשות להאזנת סתר ממושכת </w:t>
      </w:r>
    </w:p>
    <w:bookmarkEnd w:id="306"/>
    <w:p w:rsidR="00356835" w:rsidRDefault="00356835" w:rsidP="00604C3D">
      <w:pPr>
        <w:spacing w:line="269" w:lineRule="auto"/>
        <w:rPr>
          <w:rtl/>
        </w:rPr>
      </w:pPr>
    </w:p>
    <w:p w:rsidR="009A1216" w:rsidRPr="00BC0B63" w:rsidRDefault="009A1216" w:rsidP="00367A7B">
      <w:pPr>
        <w:spacing w:line="269" w:lineRule="auto"/>
        <w:ind w:left="680"/>
        <w:rPr>
          <w:rtl/>
        </w:rPr>
      </w:pPr>
      <w:r w:rsidRPr="00BC0B63">
        <w:rPr>
          <w:rFonts w:hint="cs"/>
          <w:rtl/>
        </w:rPr>
        <w:t>בשנת 2005</w:t>
      </w:r>
      <w:r>
        <w:rPr>
          <w:rFonts w:hint="cs"/>
          <w:rtl/>
        </w:rPr>
        <w:t xml:space="preserve"> המליץ</w:t>
      </w:r>
      <w:r w:rsidRPr="00BC0B63">
        <w:rPr>
          <w:rFonts w:hint="cs"/>
          <w:rtl/>
        </w:rPr>
        <w:t xml:space="preserve"> צוות לבנת משיח להגדיר מדרג אישורים מחמיר </w:t>
      </w:r>
      <w:r w:rsidRPr="00BC0B63">
        <w:rPr>
          <w:rtl/>
        </w:rPr>
        <w:t>כשמדובר בהאזנות המ</w:t>
      </w:r>
      <w:r>
        <w:rPr>
          <w:rFonts w:hint="cs"/>
          <w:rtl/>
        </w:rPr>
        <w:t>תמשכ</w:t>
      </w:r>
      <w:r w:rsidRPr="00BC0B63">
        <w:rPr>
          <w:rtl/>
        </w:rPr>
        <w:t>ות תקופות ארוכות</w:t>
      </w:r>
      <w:r w:rsidRPr="00BC0B63">
        <w:rPr>
          <w:rFonts w:hint="cs"/>
          <w:rtl/>
        </w:rPr>
        <w:t xml:space="preserve">. הומלץ </w:t>
      </w:r>
      <w:r w:rsidRPr="00BC0B63">
        <w:rPr>
          <w:rtl/>
        </w:rPr>
        <w:t xml:space="preserve">כי בקשה להארכת </w:t>
      </w:r>
      <w:r>
        <w:rPr>
          <w:rFonts w:hint="cs"/>
          <w:rtl/>
        </w:rPr>
        <w:t>תוקפו של</w:t>
      </w:r>
      <w:r w:rsidRPr="00BC0B63">
        <w:rPr>
          <w:rtl/>
        </w:rPr>
        <w:t xml:space="preserve"> היתר להאזנת סתר </w:t>
      </w:r>
      <w:r>
        <w:rPr>
          <w:rFonts w:hint="cs"/>
          <w:rtl/>
        </w:rPr>
        <w:t>יותר</w:t>
      </w:r>
      <w:r w:rsidRPr="00BC0B63">
        <w:rPr>
          <w:rtl/>
        </w:rPr>
        <w:t xml:space="preserve"> </w:t>
      </w:r>
      <w:r>
        <w:rPr>
          <w:rFonts w:hint="cs"/>
          <w:rtl/>
        </w:rPr>
        <w:t>משישה</w:t>
      </w:r>
      <w:r w:rsidRPr="00BC0B63">
        <w:rPr>
          <w:rtl/>
        </w:rPr>
        <w:t xml:space="preserve"> חודשים תהיה טעונה אישור של ראש </w:t>
      </w:r>
      <w:r w:rsidRPr="00BC0B63">
        <w:rPr>
          <w:rFonts w:hint="cs"/>
          <w:rtl/>
        </w:rPr>
        <w:t>אח"ם</w:t>
      </w:r>
      <w:r w:rsidRPr="00BC0B63">
        <w:rPr>
          <w:rtl/>
        </w:rPr>
        <w:t xml:space="preserve"> לאחר התייעצות עם </w:t>
      </w:r>
      <w:r w:rsidRPr="00BC0B63">
        <w:rPr>
          <w:rFonts w:hint="cs"/>
          <w:rtl/>
        </w:rPr>
        <w:t xml:space="preserve">יועץ משפטי, ואילו בקשה </w:t>
      </w:r>
      <w:r>
        <w:rPr>
          <w:rFonts w:hint="cs"/>
          <w:rtl/>
        </w:rPr>
        <w:t>להארכת תוקף ההיתר יותר</w:t>
      </w:r>
      <w:r w:rsidRPr="00BC0B63">
        <w:rPr>
          <w:rFonts w:hint="cs"/>
          <w:rtl/>
        </w:rPr>
        <w:t xml:space="preserve"> </w:t>
      </w:r>
      <w:r>
        <w:rPr>
          <w:rFonts w:hint="cs"/>
          <w:rtl/>
        </w:rPr>
        <w:t>מ</w:t>
      </w:r>
      <w:r w:rsidRPr="00BC0B63">
        <w:rPr>
          <w:rFonts w:hint="cs"/>
          <w:rtl/>
        </w:rPr>
        <w:t>שנה תה</w:t>
      </w:r>
      <w:r>
        <w:rPr>
          <w:rFonts w:hint="cs"/>
          <w:rtl/>
        </w:rPr>
        <w:t>יה</w:t>
      </w:r>
      <w:r w:rsidRPr="00BC0B63">
        <w:rPr>
          <w:rFonts w:hint="cs"/>
          <w:rtl/>
        </w:rPr>
        <w:t xml:space="preserve"> טעונה אישור</w:t>
      </w:r>
      <w:r w:rsidRPr="00BC0B63">
        <w:rPr>
          <w:rtl/>
        </w:rPr>
        <w:t xml:space="preserve"> </w:t>
      </w:r>
      <w:r>
        <w:rPr>
          <w:rFonts w:hint="cs"/>
          <w:rtl/>
        </w:rPr>
        <w:t xml:space="preserve">של </w:t>
      </w:r>
      <w:r w:rsidRPr="00BC0B63">
        <w:rPr>
          <w:rFonts w:hint="cs"/>
          <w:rtl/>
        </w:rPr>
        <w:t>גורם בכיר כ</w:t>
      </w:r>
      <w:r w:rsidRPr="00BC0B63">
        <w:rPr>
          <w:rtl/>
        </w:rPr>
        <w:t>פרקליט מחוז.</w:t>
      </w:r>
      <w:r w:rsidRPr="00BC0B63">
        <w:rPr>
          <w:rFonts w:hint="cs"/>
          <w:rtl/>
        </w:rPr>
        <w:t xml:space="preserve"> </w:t>
      </w:r>
      <w:r w:rsidRPr="00BC0B63">
        <w:rPr>
          <w:rtl/>
        </w:rPr>
        <w:t xml:space="preserve">הטעם לכך הוא שבהאזנות </w:t>
      </w:r>
      <w:r>
        <w:rPr>
          <w:rFonts w:hint="cs"/>
          <w:rtl/>
        </w:rPr>
        <w:t>ממושכות</w:t>
      </w:r>
      <w:r w:rsidRPr="00BC0B63">
        <w:rPr>
          <w:rtl/>
        </w:rPr>
        <w:t xml:space="preserve"> </w:t>
      </w:r>
      <w:r w:rsidRPr="00BC0B63">
        <w:rPr>
          <w:rFonts w:hint="cs"/>
          <w:rtl/>
        </w:rPr>
        <w:t>ה</w:t>
      </w:r>
      <w:r w:rsidRPr="00BC0B63">
        <w:rPr>
          <w:rtl/>
        </w:rPr>
        <w:t xml:space="preserve">פגיעה </w:t>
      </w:r>
      <w:r w:rsidRPr="00BC0B63">
        <w:rPr>
          <w:rFonts w:hint="cs"/>
          <w:rtl/>
        </w:rPr>
        <w:t xml:space="preserve">ההולכת וגדלה </w:t>
      </w:r>
      <w:r w:rsidRPr="00BC0B63">
        <w:rPr>
          <w:rtl/>
        </w:rPr>
        <w:t xml:space="preserve">בפרטיות מחייבת התערבות </w:t>
      </w:r>
      <w:r>
        <w:rPr>
          <w:rFonts w:hint="cs"/>
          <w:rtl/>
        </w:rPr>
        <w:t>של</w:t>
      </w:r>
      <w:r w:rsidRPr="00BC0B63">
        <w:rPr>
          <w:rtl/>
        </w:rPr>
        <w:t xml:space="preserve"> הדרג הבכיר ביותר של המערך המופקד על הפעלת </w:t>
      </w:r>
      <w:r w:rsidRPr="00BC0B63">
        <w:rPr>
          <w:rFonts w:hint="cs"/>
          <w:rtl/>
        </w:rPr>
        <w:t>כלי</w:t>
      </w:r>
      <w:r w:rsidRPr="00BC0B63">
        <w:rPr>
          <w:rtl/>
        </w:rPr>
        <w:t xml:space="preserve"> זה</w:t>
      </w:r>
      <w:r>
        <w:rPr>
          <w:rFonts w:hint="cs"/>
          <w:rtl/>
        </w:rPr>
        <w:t xml:space="preserve"> וכן</w:t>
      </w:r>
      <w:r w:rsidRPr="00BC0B63">
        <w:rPr>
          <w:rFonts w:hint="cs"/>
          <w:rtl/>
        </w:rPr>
        <w:t xml:space="preserve"> קיו</w:t>
      </w:r>
      <w:r>
        <w:rPr>
          <w:rFonts w:hint="cs"/>
          <w:rtl/>
        </w:rPr>
        <w:t>ם</w:t>
      </w:r>
      <w:r w:rsidRPr="00BC0B63">
        <w:rPr>
          <w:rtl/>
        </w:rPr>
        <w:t xml:space="preserve"> ביקורת של גורם חיצוני בעל רקע משפטי</w:t>
      </w:r>
      <w:r w:rsidRPr="00BC0B63">
        <w:rPr>
          <w:rStyle w:val="af"/>
          <w:rtl/>
        </w:rPr>
        <w:footnoteReference w:id="136"/>
      </w:r>
      <w:r w:rsidRPr="00BC0B63">
        <w:rPr>
          <w:rtl/>
        </w:rPr>
        <w:t>.</w:t>
      </w:r>
      <w:r>
        <w:rPr>
          <w:rFonts w:hint="cs"/>
          <w:rtl/>
        </w:rPr>
        <w:t xml:space="preserve"> </w:t>
      </w:r>
      <w:r w:rsidRPr="00BC0B63">
        <w:rPr>
          <w:rFonts w:hint="cs"/>
          <w:rtl/>
        </w:rPr>
        <w:t>המלצה זו עוגנה בנ</w:t>
      </w:r>
      <w:r>
        <w:rPr>
          <w:rFonts w:hint="cs"/>
          <w:rtl/>
        </w:rPr>
        <w:t>ו</w:t>
      </w:r>
      <w:r w:rsidRPr="00BC0B63">
        <w:rPr>
          <w:rFonts w:hint="cs"/>
          <w:rtl/>
        </w:rPr>
        <w:t xml:space="preserve">הלי המשטרה שגובשו באותה השנה. </w:t>
      </w:r>
    </w:p>
    <w:p w:rsidR="00356835" w:rsidRDefault="00356835" w:rsidP="00367A7B">
      <w:pPr>
        <w:spacing w:line="269" w:lineRule="auto"/>
        <w:ind w:left="680"/>
        <w:rPr>
          <w:rtl/>
        </w:rPr>
      </w:pPr>
    </w:p>
    <w:p w:rsidR="009A1216" w:rsidRPr="00BC0B63" w:rsidRDefault="009A1216" w:rsidP="00367A7B">
      <w:pPr>
        <w:spacing w:line="269" w:lineRule="auto"/>
        <w:ind w:left="680"/>
        <w:rPr>
          <w:rtl/>
        </w:rPr>
      </w:pPr>
      <w:r w:rsidRPr="00BC0B63">
        <w:rPr>
          <w:rFonts w:hint="cs"/>
          <w:rtl/>
        </w:rPr>
        <w:t xml:space="preserve">בשנת 2009 </w:t>
      </w:r>
      <w:r>
        <w:rPr>
          <w:rFonts w:hint="cs"/>
          <w:rtl/>
        </w:rPr>
        <w:t xml:space="preserve">המליצה </w:t>
      </w:r>
      <w:r w:rsidRPr="00BC0B63">
        <w:rPr>
          <w:rFonts w:hint="cs"/>
          <w:rtl/>
        </w:rPr>
        <w:t>ועדת החקירה</w:t>
      </w:r>
      <w:r>
        <w:rPr>
          <w:rFonts w:hint="cs"/>
          <w:rtl/>
        </w:rPr>
        <w:t xml:space="preserve"> הפרלמנטרית לעניין האזנות סתר</w:t>
      </w:r>
      <w:r>
        <w:rPr>
          <w:rStyle w:val="af"/>
          <w:rtl/>
        </w:rPr>
        <w:footnoteReference w:id="137"/>
      </w:r>
      <w:r w:rsidRPr="00BC0B63">
        <w:rPr>
          <w:rFonts w:hint="cs"/>
          <w:rtl/>
        </w:rPr>
        <w:t xml:space="preserve"> לבחון </w:t>
      </w:r>
      <w:r>
        <w:rPr>
          <w:rFonts w:hint="cs"/>
          <w:rtl/>
        </w:rPr>
        <w:t>לעגן</w:t>
      </w:r>
      <w:r w:rsidRPr="00BC0B63">
        <w:rPr>
          <w:rFonts w:hint="cs"/>
          <w:rtl/>
        </w:rPr>
        <w:t xml:space="preserve"> בחקיקה תהליך </w:t>
      </w:r>
      <w:r w:rsidR="00162B4F">
        <w:rPr>
          <w:rFonts w:hint="cs"/>
          <w:rtl/>
        </w:rPr>
        <w:t>ל</w:t>
      </w:r>
      <w:r w:rsidRPr="00BC0B63">
        <w:rPr>
          <w:rFonts w:hint="cs"/>
          <w:rtl/>
        </w:rPr>
        <w:t xml:space="preserve">הארכת </w:t>
      </w:r>
      <w:r>
        <w:rPr>
          <w:rFonts w:hint="cs"/>
          <w:rtl/>
        </w:rPr>
        <w:t xml:space="preserve">תוקפם של </w:t>
      </w:r>
      <w:r w:rsidRPr="00BC0B63">
        <w:rPr>
          <w:rFonts w:hint="cs"/>
          <w:rtl/>
        </w:rPr>
        <w:t xml:space="preserve">צווי האזנה </w:t>
      </w:r>
      <w:r>
        <w:rPr>
          <w:rFonts w:hint="cs"/>
          <w:rtl/>
        </w:rPr>
        <w:t>לתקופה של יותר</w:t>
      </w:r>
      <w:r w:rsidRPr="00BC0B63">
        <w:rPr>
          <w:rFonts w:hint="cs"/>
          <w:rtl/>
        </w:rPr>
        <w:t xml:space="preserve"> </w:t>
      </w:r>
      <w:r>
        <w:rPr>
          <w:rFonts w:hint="cs"/>
          <w:rtl/>
        </w:rPr>
        <w:t>מ</w:t>
      </w:r>
      <w:r w:rsidRPr="00BC0B63">
        <w:rPr>
          <w:rFonts w:hint="cs"/>
          <w:rtl/>
        </w:rPr>
        <w:t>חצי שנה. עוד היא המליצה כי החלט</w:t>
      </w:r>
      <w:r>
        <w:rPr>
          <w:rFonts w:hint="cs"/>
          <w:rtl/>
        </w:rPr>
        <w:t>תו של ראש אח"ם</w:t>
      </w:r>
      <w:r w:rsidRPr="00BC0B63">
        <w:rPr>
          <w:rFonts w:hint="cs"/>
          <w:rtl/>
        </w:rPr>
        <w:t xml:space="preserve"> על הארכ</w:t>
      </w:r>
      <w:r>
        <w:rPr>
          <w:rFonts w:hint="cs"/>
          <w:rtl/>
        </w:rPr>
        <w:t>ת תוקף הצווים</w:t>
      </w:r>
      <w:r w:rsidRPr="00BC0B63">
        <w:rPr>
          <w:rFonts w:hint="cs"/>
          <w:rtl/>
        </w:rPr>
        <w:t xml:space="preserve"> </w:t>
      </w:r>
      <w:r>
        <w:rPr>
          <w:rFonts w:hint="cs"/>
          <w:rtl/>
        </w:rPr>
        <w:t>למשך יותר מ</w:t>
      </w:r>
      <w:r w:rsidRPr="00BC0B63">
        <w:rPr>
          <w:rFonts w:hint="cs"/>
          <w:rtl/>
        </w:rPr>
        <w:t>חצי שנה</w:t>
      </w:r>
      <w:r>
        <w:rPr>
          <w:rFonts w:hint="cs"/>
          <w:rtl/>
        </w:rPr>
        <w:t xml:space="preserve"> תתבסס על</w:t>
      </w:r>
      <w:r w:rsidRPr="00BC0B63">
        <w:rPr>
          <w:rFonts w:hint="cs"/>
          <w:rtl/>
        </w:rPr>
        <w:t xml:space="preserve"> השיקולים </w:t>
      </w:r>
      <w:r>
        <w:rPr>
          <w:rFonts w:hint="cs"/>
          <w:rtl/>
        </w:rPr>
        <w:t>האלה</w:t>
      </w:r>
      <w:r w:rsidRPr="00BC0B63">
        <w:rPr>
          <w:rFonts w:hint="cs"/>
          <w:rtl/>
        </w:rPr>
        <w:t xml:space="preserve">: </w:t>
      </w:r>
      <w:r>
        <w:rPr>
          <w:rFonts w:hint="cs"/>
          <w:rtl/>
        </w:rPr>
        <w:t>(</w:t>
      </w:r>
      <w:r w:rsidRPr="00BC0B63">
        <w:rPr>
          <w:rFonts w:hint="cs"/>
          <w:rtl/>
        </w:rPr>
        <w:t>א</w:t>
      </w:r>
      <w:r>
        <w:rPr>
          <w:rFonts w:hint="cs"/>
          <w:rtl/>
        </w:rPr>
        <w:t>)</w:t>
      </w:r>
      <w:r w:rsidRPr="00BC0B63">
        <w:rPr>
          <w:rFonts w:hint="cs"/>
          <w:rtl/>
        </w:rPr>
        <w:t xml:space="preserve"> </w:t>
      </w:r>
      <w:r>
        <w:rPr>
          <w:rFonts w:hint="cs"/>
          <w:rtl/>
        </w:rPr>
        <w:t>הוא ישתכנע</w:t>
      </w:r>
      <w:r w:rsidRPr="00BC0B63">
        <w:rPr>
          <w:rFonts w:hint="cs"/>
          <w:rtl/>
        </w:rPr>
        <w:t xml:space="preserve"> שהמשך ההאזנה חיוני למניעת עבירה או לחקירתה; </w:t>
      </w:r>
      <w:r>
        <w:rPr>
          <w:rFonts w:hint="cs"/>
          <w:rtl/>
        </w:rPr>
        <w:t>(</w:t>
      </w:r>
      <w:r w:rsidRPr="00BC0B63">
        <w:rPr>
          <w:rFonts w:hint="cs"/>
          <w:rtl/>
        </w:rPr>
        <w:t>ב</w:t>
      </w:r>
      <w:r>
        <w:rPr>
          <w:rFonts w:hint="cs"/>
          <w:rtl/>
        </w:rPr>
        <w:t>)</w:t>
      </w:r>
      <w:r w:rsidRPr="00BC0B63">
        <w:rPr>
          <w:rFonts w:hint="cs"/>
          <w:rtl/>
        </w:rPr>
        <w:t xml:space="preserve"> </w:t>
      </w:r>
      <w:r>
        <w:rPr>
          <w:rFonts w:hint="cs"/>
          <w:rtl/>
        </w:rPr>
        <w:t>הוא</w:t>
      </w:r>
      <w:r w:rsidRPr="00BC0B63">
        <w:rPr>
          <w:rFonts w:hint="cs"/>
          <w:rtl/>
        </w:rPr>
        <w:t xml:space="preserve"> יתחשב, בין היתר, בעוצמת הפגיעה בפרטיותו של </w:t>
      </w:r>
      <w:r>
        <w:rPr>
          <w:rFonts w:hint="cs"/>
          <w:rtl/>
        </w:rPr>
        <w:t>יעד ההאזנה</w:t>
      </w:r>
      <w:r w:rsidRPr="00BC0B63">
        <w:rPr>
          <w:rFonts w:hint="cs"/>
          <w:rtl/>
        </w:rPr>
        <w:t xml:space="preserve"> עצמו. המלצה זו התבססה על הצהרת המשטרה שהשיקולים המנחים את ראש אח"ם בהחלטתו זו </w:t>
      </w:r>
      <w:r>
        <w:rPr>
          <w:rFonts w:hint="cs"/>
          <w:rtl/>
        </w:rPr>
        <w:t>הם</w:t>
      </w:r>
      <w:r w:rsidRPr="00BC0B63">
        <w:rPr>
          <w:rFonts w:hint="cs"/>
          <w:rtl/>
        </w:rPr>
        <w:t xml:space="preserve">: אפקטיביות </w:t>
      </w:r>
      <w:r>
        <w:rPr>
          <w:rFonts w:hint="cs"/>
          <w:rtl/>
        </w:rPr>
        <w:t xml:space="preserve">ההאזנה </w:t>
      </w:r>
      <w:r w:rsidRPr="00BC0B63">
        <w:rPr>
          <w:rFonts w:hint="cs"/>
          <w:rtl/>
        </w:rPr>
        <w:t xml:space="preserve">הנבחנת </w:t>
      </w:r>
      <w:r>
        <w:rPr>
          <w:rFonts w:hint="cs"/>
          <w:rtl/>
        </w:rPr>
        <w:t>לנוכח</w:t>
      </w:r>
      <w:r w:rsidRPr="00BC0B63">
        <w:rPr>
          <w:rFonts w:hint="cs"/>
          <w:rtl/>
        </w:rPr>
        <w:t xml:space="preserve"> </w:t>
      </w:r>
      <w:r>
        <w:rPr>
          <w:rFonts w:hint="cs"/>
          <w:rtl/>
        </w:rPr>
        <w:t>התוצרים</w:t>
      </w:r>
      <w:r w:rsidRPr="00BC0B63">
        <w:rPr>
          <w:rFonts w:hint="cs"/>
          <w:rtl/>
        </w:rPr>
        <w:t xml:space="preserve"> שנאספו עד כה; </w:t>
      </w:r>
      <w:r>
        <w:rPr>
          <w:rFonts w:hint="cs"/>
          <w:rtl/>
        </w:rPr>
        <w:t>המידה שבה</w:t>
      </w:r>
      <w:r w:rsidRPr="00BC0B63">
        <w:rPr>
          <w:rFonts w:hint="cs"/>
          <w:rtl/>
        </w:rPr>
        <w:t xml:space="preserve"> האזנת הסתר מקדמת את החקירה עצמה; וכן עוצמת הפגיעה בפרטיות. </w:t>
      </w:r>
    </w:p>
    <w:p w:rsidR="002A45FF" w:rsidRDefault="002A45FF" w:rsidP="00367A7B">
      <w:pPr>
        <w:pStyle w:val="aff2"/>
        <w:spacing w:line="269" w:lineRule="auto"/>
        <w:ind w:left="680"/>
        <w:rPr>
          <w:b w:val="0"/>
          <w:bCs w:val="0"/>
          <w:rtl/>
        </w:rPr>
      </w:pPr>
    </w:p>
    <w:p w:rsidR="009A1216" w:rsidRPr="000E0368" w:rsidRDefault="009A1216" w:rsidP="00367A7B">
      <w:pPr>
        <w:pStyle w:val="aff2"/>
        <w:spacing w:line="269" w:lineRule="auto"/>
        <w:ind w:left="680"/>
        <w:rPr>
          <w:b w:val="0"/>
          <w:bCs w:val="0"/>
          <w:rtl/>
        </w:rPr>
      </w:pPr>
      <w:r>
        <w:rPr>
          <w:rFonts w:hint="cs"/>
          <w:b w:val="0"/>
          <w:bCs w:val="0"/>
          <w:rtl/>
        </w:rPr>
        <w:t>המשטרה</w:t>
      </w:r>
      <w:r w:rsidRPr="000E0368">
        <w:rPr>
          <w:b w:val="0"/>
          <w:bCs w:val="0"/>
          <w:rtl/>
        </w:rPr>
        <w:t xml:space="preserve"> קבעה בנוהל משנת 2017 כי כשנדרש אישור מפרקליט מחוז (</w:t>
      </w:r>
      <w:r>
        <w:rPr>
          <w:rFonts w:hint="cs"/>
          <w:b w:val="0"/>
          <w:bCs w:val="0"/>
          <w:rtl/>
        </w:rPr>
        <w:t xml:space="preserve">לצורכי </w:t>
      </w:r>
      <w:r w:rsidRPr="000E0368">
        <w:rPr>
          <w:b w:val="0"/>
          <w:bCs w:val="0"/>
          <w:rtl/>
        </w:rPr>
        <w:t xml:space="preserve">האזנה </w:t>
      </w:r>
      <w:r>
        <w:rPr>
          <w:rFonts w:hint="cs"/>
          <w:b w:val="0"/>
          <w:bCs w:val="0"/>
          <w:rtl/>
        </w:rPr>
        <w:t>שמשכה יותר מ</w:t>
      </w:r>
      <w:r w:rsidRPr="000E0368">
        <w:rPr>
          <w:b w:val="0"/>
          <w:bCs w:val="0"/>
          <w:rtl/>
        </w:rPr>
        <w:t xml:space="preserve">שנה) משך ההאזנה </w:t>
      </w:r>
      <w:r w:rsidRPr="000E0368">
        <w:rPr>
          <w:rFonts w:hint="cs"/>
          <w:b w:val="0"/>
          <w:bCs w:val="0"/>
          <w:rtl/>
        </w:rPr>
        <w:t>מחושב</w:t>
      </w:r>
      <w:r w:rsidRPr="000E0368">
        <w:rPr>
          <w:b w:val="0"/>
          <w:bCs w:val="0"/>
          <w:rtl/>
        </w:rPr>
        <w:t xml:space="preserve"> על בסיס מניית </w:t>
      </w:r>
      <w:r>
        <w:rPr>
          <w:rFonts w:hint="cs"/>
          <w:b w:val="0"/>
          <w:bCs w:val="0"/>
          <w:rtl/>
        </w:rPr>
        <w:t xml:space="preserve">תקופות תחולתם של </w:t>
      </w:r>
      <w:r w:rsidRPr="000E0368">
        <w:rPr>
          <w:b w:val="0"/>
          <w:bCs w:val="0"/>
          <w:rtl/>
        </w:rPr>
        <w:t>ההיתרים הנוגעים לאותה פרשי</w:t>
      </w:r>
      <w:r>
        <w:rPr>
          <w:rFonts w:hint="cs"/>
          <w:b w:val="0"/>
          <w:bCs w:val="0"/>
          <w:rtl/>
        </w:rPr>
        <w:t>י</w:t>
      </w:r>
      <w:r w:rsidRPr="000E0368">
        <w:rPr>
          <w:b w:val="0"/>
          <w:bCs w:val="0"/>
          <w:rtl/>
        </w:rPr>
        <w:t xml:space="preserve">ה בלבד. דהיינו, </w:t>
      </w:r>
      <w:r>
        <w:rPr>
          <w:rFonts w:hint="cs"/>
          <w:b w:val="0"/>
          <w:bCs w:val="0"/>
          <w:rtl/>
        </w:rPr>
        <w:t xml:space="preserve">אם מתבצעת </w:t>
      </w:r>
      <w:r w:rsidRPr="000E0368">
        <w:rPr>
          <w:b w:val="0"/>
          <w:bCs w:val="0"/>
          <w:rtl/>
        </w:rPr>
        <w:t xml:space="preserve">האזנה ליעד </w:t>
      </w:r>
      <w:r>
        <w:rPr>
          <w:rFonts w:hint="cs"/>
          <w:b w:val="0"/>
          <w:bCs w:val="0"/>
          <w:rtl/>
        </w:rPr>
        <w:t>בנוגע</w:t>
      </w:r>
      <w:r w:rsidRPr="000E0368">
        <w:rPr>
          <w:b w:val="0"/>
          <w:bCs w:val="0"/>
          <w:rtl/>
        </w:rPr>
        <w:t xml:space="preserve"> לשתי</w:t>
      </w:r>
      <w:r>
        <w:rPr>
          <w:rFonts w:hint="cs"/>
          <w:b w:val="0"/>
          <w:bCs w:val="0"/>
          <w:rtl/>
        </w:rPr>
        <w:t xml:space="preserve"> פרשיות</w:t>
      </w:r>
      <w:r w:rsidRPr="000E0368">
        <w:rPr>
          <w:b w:val="0"/>
          <w:bCs w:val="0"/>
          <w:rtl/>
        </w:rPr>
        <w:t xml:space="preserve"> או יותר</w:t>
      </w:r>
      <w:r w:rsidR="00911251">
        <w:rPr>
          <w:rFonts w:hint="cs"/>
          <w:b w:val="0"/>
          <w:bCs w:val="0"/>
          <w:rtl/>
        </w:rPr>
        <w:t>,</w:t>
      </w:r>
      <w:r w:rsidRPr="000E0368">
        <w:rPr>
          <w:b w:val="0"/>
          <w:bCs w:val="0"/>
          <w:rtl/>
        </w:rPr>
        <w:t xml:space="preserve"> </w:t>
      </w:r>
      <w:r>
        <w:rPr>
          <w:rFonts w:hint="cs"/>
          <w:b w:val="0"/>
          <w:bCs w:val="0"/>
          <w:rtl/>
        </w:rPr>
        <w:t>י</w:t>
      </w:r>
      <w:r w:rsidRPr="000E0368">
        <w:rPr>
          <w:b w:val="0"/>
          <w:bCs w:val="0"/>
          <w:rtl/>
        </w:rPr>
        <w:t xml:space="preserve">ימנו </w:t>
      </w:r>
      <w:r w:rsidRPr="000E0368">
        <w:rPr>
          <w:rFonts w:hint="cs"/>
          <w:b w:val="0"/>
          <w:bCs w:val="0"/>
          <w:rtl/>
        </w:rPr>
        <w:t>התקופות</w:t>
      </w:r>
      <w:r w:rsidRPr="000E0368">
        <w:rPr>
          <w:b w:val="0"/>
          <w:bCs w:val="0"/>
          <w:rtl/>
        </w:rPr>
        <w:t xml:space="preserve"> לגבי כל פרשייה בנפרד.</w:t>
      </w:r>
      <w:r>
        <w:rPr>
          <w:b w:val="0"/>
          <w:bCs w:val="0"/>
          <w:rtl/>
        </w:rPr>
        <w:t xml:space="preserve"> </w:t>
      </w:r>
      <w:r w:rsidRPr="000E0368">
        <w:rPr>
          <w:b w:val="0"/>
          <w:bCs w:val="0"/>
          <w:rtl/>
        </w:rPr>
        <w:t>לעומת זאת, כשנדרש אישור מראש אח"ם (</w:t>
      </w:r>
      <w:r>
        <w:rPr>
          <w:rFonts w:hint="cs"/>
          <w:b w:val="0"/>
          <w:bCs w:val="0"/>
          <w:rtl/>
        </w:rPr>
        <w:t xml:space="preserve">לצורכי </w:t>
      </w:r>
      <w:r w:rsidRPr="000E0368">
        <w:rPr>
          <w:b w:val="0"/>
          <w:bCs w:val="0"/>
          <w:rtl/>
        </w:rPr>
        <w:t xml:space="preserve">האזנה </w:t>
      </w:r>
      <w:r>
        <w:rPr>
          <w:rFonts w:hint="cs"/>
          <w:b w:val="0"/>
          <w:bCs w:val="0"/>
          <w:rtl/>
        </w:rPr>
        <w:t>שמשכה</w:t>
      </w:r>
      <w:r w:rsidRPr="000E0368">
        <w:rPr>
          <w:b w:val="0"/>
          <w:bCs w:val="0"/>
          <w:rtl/>
        </w:rPr>
        <w:t xml:space="preserve"> חצי שנה עד שנה), משך ההאזנה </w:t>
      </w:r>
      <w:r w:rsidRPr="000E0368">
        <w:rPr>
          <w:rFonts w:hint="cs"/>
          <w:b w:val="0"/>
          <w:bCs w:val="0"/>
          <w:rtl/>
        </w:rPr>
        <w:t>מחושב</w:t>
      </w:r>
      <w:r w:rsidRPr="000E0368">
        <w:rPr>
          <w:b w:val="0"/>
          <w:bCs w:val="0"/>
          <w:rtl/>
        </w:rPr>
        <w:t xml:space="preserve"> </w:t>
      </w:r>
      <w:r>
        <w:rPr>
          <w:rFonts w:hint="cs"/>
          <w:b w:val="0"/>
          <w:bCs w:val="0"/>
          <w:rtl/>
        </w:rPr>
        <w:t>בהתאם</w:t>
      </w:r>
      <w:r w:rsidRPr="000E0368">
        <w:rPr>
          <w:b w:val="0"/>
          <w:bCs w:val="0"/>
          <w:rtl/>
        </w:rPr>
        <w:t xml:space="preserve"> לכלל ההיתרים שהוצאו </w:t>
      </w:r>
      <w:r>
        <w:rPr>
          <w:rFonts w:hint="cs"/>
          <w:b w:val="0"/>
          <w:bCs w:val="0"/>
          <w:rtl/>
        </w:rPr>
        <w:t>בעניינו של</w:t>
      </w:r>
      <w:r w:rsidRPr="000E0368">
        <w:rPr>
          <w:b w:val="0"/>
          <w:bCs w:val="0"/>
          <w:rtl/>
        </w:rPr>
        <w:t xml:space="preserve"> יעד ההאזנה. עם זאת, </w:t>
      </w:r>
      <w:r>
        <w:rPr>
          <w:rFonts w:hint="cs"/>
          <w:b w:val="0"/>
          <w:bCs w:val="0"/>
          <w:rtl/>
        </w:rPr>
        <w:t>אם ה</w:t>
      </w:r>
      <w:r w:rsidRPr="000E0368">
        <w:rPr>
          <w:b w:val="0"/>
          <w:bCs w:val="0"/>
          <w:rtl/>
        </w:rPr>
        <w:t xml:space="preserve">האזנה </w:t>
      </w:r>
      <w:r>
        <w:rPr>
          <w:rFonts w:hint="cs"/>
          <w:b w:val="0"/>
          <w:bCs w:val="0"/>
          <w:rtl/>
        </w:rPr>
        <w:t>צפויה להימשך יותר מ</w:t>
      </w:r>
      <w:r w:rsidRPr="000E0368">
        <w:rPr>
          <w:b w:val="0"/>
          <w:bCs w:val="0"/>
          <w:rtl/>
        </w:rPr>
        <w:t>שנה</w:t>
      </w:r>
      <w:r>
        <w:rPr>
          <w:rFonts w:hint="cs"/>
          <w:b w:val="0"/>
          <w:bCs w:val="0"/>
          <w:rtl/>
        </w:rPr>
        <w:t xml:space="preserve">, </w:t>
      </w:r>
      <w:r w:rsidRPr="000E0368">
        <w:rPr>
          <w:b w:val="0"/>
          <w:bCs w:val="0"/>
          <w:rtl/>
        </w:rPr>
        <w:t xml:space="preserve">לצורך </w:t>
      </w:r>
      <w:r w:rsidRPr="000E0368">
        <w:rPr>
          <w:rFonts w:hint="cs"/>
          <w:b w:val="0"/>
          <w:bCs w:val="0"/>
          <w:rtl/>
        </w:rPr>
        <w:t>חישוב</w:t>
      </w:r>
      <w:r w:rsidRPr="000E0368">
        <w:rPr>
          <w:b w:val="0"/>
          <w:bCs w:val="0"/>
          <w:rtl/>
        </w:rPr>
        <w:t xml:space="preserve"> </w:t>
      </w:r>
      <w:r>
        <w:rPr>
          <w:rFonts w:hint="cs"/>
          <w:b w:val="0"/>
          <w:bCs w:val="0"/>
          <w:rtl/>
        </w:rPr>
        <w:t>משכה</w:t>
      </w:r>
      <w:r w:rsidRPr="000E0368">
        <w:rPr>
          <w:b w:val="0"/>
          <w:bCs w:val="0"/>
          <w:rtl/>
        </w:rPr>
        <w:t xml:space="preserve"> ניתן למנות את </w:t>
      </w:r>
      <w:r>
        <w:rPr>
          <w:rFonts w:hint="cs"/>
          <w:b w:val="0"/>
          <w:bCs w:val="0"/>
          <w:rtl/>
        </w:rPr>
        <w:t>תקופות התחולה של</w:t>
      </w:r>
      <w:r>
        <w:rPr>
          <w:rFonts w:hint="cs"/>
          <w:b w:val="0"/>
          <w:bCs w:val="0"/>
        </w:rPr>
        <w:t xml:space="preserve"> </w:t>
      </w:r>
      <w:r w:rsidRPr="000E0368">
        <w:rPr>
          <w:b w:val="0"/>
          <w:bCs w:val="0"/>
          <w:rtl/>
        </w:rPr>
        <w:t xml:space="preserve">ההיתרים גם אם יש הפסקה </w:t>
      </w:r>
      <w:r w:rsidRPr="000E0368">
        <w:rPr>
          <w:rFonts w:hint="cs"/>
          <w:b w:val="0"/>
          <w:bCs w:val="0"/>
          <w:rtl/>
        </w:rPr>
        <w:t>של</w:t>
      </w:r>
      <w:r w:rsidRPr="000E0368">
        <w:rPr>
          <w:b w:val="0"/>
          <w:bCs w:val="0"/>
          <w:rtl/>
        </w:rPr>
        <w:t xml:space="preserve"> </w:t>
      </w:r>
      <w:r w:rsidRPr="000E0368">
        <w:rPr>
          <w:rFonts w:hint="cs"/>
          <w:b w:val="0"/>
          <w:bCs w:val="0"/>
          <w:rtl/>
        </w:rPr>
        <w:t>עד</w:t>
      </w:r>
      <w:r w:rsidRPr="000E0368">
        <w:rPr>
          <w:b w:val="0"/>
          <w:bCs w:val="0"/>
          <w:rtl/>
        </w:rPr>
        <w:t xml:space="preserve"> </w:t>
      </w:r>
      <w:r w:rsidRPr="000E0368">
        <w:rPr>
          <w:rFonts w:hint="cs"/>
          <w:b w:val="0"/>
          <w:bCs w:val="0"/>
          <w:rtl/>
        </w:rPr>
        <w:t>ארבעה</w:t>
      </w:r>
      <w:r w:rsidRPr="000E0368">
        <w:rPr>
          <w:b w:val="0"/>
          <w:bCs w:val="0"/>
          <w:rtl/>
        </w:rPr>
        <w:t xml:space="preserve"> </w:t>
      </w:r>
      <w:r w:rsidRPr="000E0368">
        <w:rPr>
          <w:rFonts w:hint="cs"/>
          <w:b w:val="0"/>
          <w:bCs w:val="0"/>
          <w:rtl/>
        </w:rPr>
        <w:t>חודשים</w:t>
      </w:r>
      <w:r w:rsidRPr="000E0368">
        <w:rPr>
          <w:b w:val="0"/>
          <w:bCs w:val="0"/>
          <w:rtl/>
        </w:rPr>
        <w:t xml:space="preserve"> בין היתר להיתר.</w:t>
      </w:r>
      <w:r>
        <w:rPr>
          <w:b w:val="0"/>
          <w:bCs w:val="0"/>
          <w:rtl/>
        </w:rPr>
        <w:t xml:space="preserve"> </w:t>
      </w:r>
    </w:p>
    <w:p w:rsidR="002A45FF" w:rsidRDefault="002A45FF" w:rsidP="00367A7B">
      <w:pPr>
        <w:pStyle w:val="aff2"/>
        <w:spacing w:line="269" w:lineRule="auto"/>
        <w:ind w:left="680"/>
        <w:rPr>
          <w:b w:val="0"/>
          <w:bCs w:val="0"/>
          <w:rtl/>
        </w:rPr>
      </w:pPr>
    </w:p>
    <w:p w:rsidR="009A1216" w:rsidRPr="0098773D" w:rsidRDefault="009A1216" w:rsidP="00367A7B">
      <w:pPr>
        <w:pStyle w:val="aff2"/>
        <w:spacing w:line="269" w:lineRule="auto"/>
        <w:ind w:left="680"/>
        <w:rPr>
          <w:b w:val="0"/>
          <w:bCs w:val="0"/>
          <w:rtl/>
        </w:rPr>
      </w:pPr>
      <w:r w:rsidRPr="00A37E42">
        <w:rPr>
          <w:rFonts w:hint="cs"/>
          <w:b w:val="0"/>
          <w:bCs w:val="0"/>
          <w:rtl/>
        </w:rPr>
        <w:t>מבקר</w:t>
      </w:r>
      <w:r w:rsidRPr="00A37E42">
        <w:rPr>
          <w:b w:val="0"/>
          <w:bCs w:val="0"/>
          <w:rtl/>
        </w:rPr>
        <w:t xml:space="preserve"> המדינה איתר בבסיסי הנתונים </w:t>
      </w:r>
      <w:r w:rsidRPr="00A37E42">
        <w:rPr>
          <w:rFonts w:hint="cs"/>
          <w:b w:val="0"/>
          <w:bCs w:val="0"/>
          <w:rtl/>
        </w:rPr>
        <w:t>של</w:t>
      </w:r>
      <w:r w:rsidRPr="00A37E42">
        <w:rPr>
          <w:b w:val="0"/>
          <w:bCs w:val="0"/>
          <w:rtl/>
        </w:rPr>
        <w:t xml:space="preserve"> </w:t>
      </w:r>
      <w:r>
        <w:rPr>
          <w:b w:val="0"/>
          <w:bCs w:val="0"/>
          <w:rtl/>
        </w:rPr>
        <w:t>המשטרה</w:t>
      </w:r>
      <w:r w:rsidRPr="00A37E42">
        <w:rPr>
          <w:b w:val="0"/>
          <w:bCs w:val="0"/>
          <w:rtl/>
        </w:rPr>
        <w:t xml:space="preserve"> 222 </w:t>
      </w:r>
      <w:r w:rsidRPr="00A37E42">
        <w:rPr>
          <w:rFonts w:hint="cs"/>
          <w:b w:val="0"/>
          <w:bCs w:val="0"/>
          <w:rtl/>
        </w:rPr>
        <w:t>יעדי</w:t>
      </w:r>
      <w:r w:rsidRPr="00A37E42">
        <w:rPr>
          <w:b w:val="0"/>
          <w:bCs w:val="0"/>
          <w:rtl/>
        </w:rPr>
        <w:t xml:space="preserve"> </w:t>
      </w:r>
      <w:r w:rsidRPr="00A37E42">
        <w:rPr>
          <w:rFonts w:hint="cs"/>
          <w:b w:val="0"/>
          <w:bCs w:val="0"/>
          <w:rtl/>
        </w:rPr>
        <w:t>האזנה</w:t>
      </w:r>
      <w:r w:rsidRPr="00A37E42">
        <w:rPr>
          <w:b w:val="0"/>
          <w:bCs w:val="0"/>
          <w:rtl/>
        </w:rPr>
        <w:t xml:space="preserve"> </w:t>
      </w:r>
      <w:r>
        <w:rPr>
          <w:rFonts w:hint="cs"/>
          <w:b w:val="0"/>
          <w:bCs w:val="0"/>
          <w:rtl/>
        </w:rPr>
        <w:t>ש</w:t>
      </w:r>
      <w:r w:rsidRPr="00A37E42">
        <w:rPr>
          <w:rFonts w:hint="cs"/>
          <w:b w:val="0"/>
          <w:bCs w:val="0"/>
          <w:rtl/>
        </w:rPr>
        <w:t>לגביהם</w:t>
      </w:r>
      <w:r w:rsidRPr="00A37E42">
        <w:rPr>
          <w:b w:val="0"/>
          <w:bCs w:val="0"/>
          <w:rtl/>
        </w:rPr>
        <w:t xml:space="preserve"> </w:t>
      </w:r>
      <w:r>
        <w:rPr>
          <w:rFonts w:hint="cs"/>
          <w:b w:val="0"/>
          <w:bCs w:val="0"/>
          <w:rtl/>
        </w:rPr>
        <w:t>ה</w:t>
      </w:r>
      <w:r w:rsidRPr="00A37E42">
        <w:rPr>
          <w:rFonts w:hint="cs"/>
          <w:b w:val="0"/>
          <w:bCs w:val="0"/>
          <w:rtl/>
        </w:rPr>
        <w:t>תבקשה</w:t>
      </w:r>
      <w:r w:rsidRPr="00A37E42">
        <w:rPr>
          <w:b w:val="0"/>
          <w:bCs w:val="0"/>
          <w:rtl/>
        </w:rPr>
        <w:t xml:space="preserve"> </w:t>
      </w:r>
      <w:r w:rsidRPr="00A37E42">
        <w:rPr>
          <w:rFonts w:hint="cs"/>
          <w:b w:val="0"/>
          <w:bCs w:val="0"/>
          <w:rtl/>
        </w:rPr>
        <w:t>האזנת</w:t>
      </w:r>
      <w:r w:rsidRPr="00A37E42">
        <w:rPr>
          <w:b w:val="0"/>
          <w:bCs w:val="0"/>
          <w:rtl/>
        </w:rPr>
        <w:t xml:space="preserve"> </w:t>
      </w:r>
      <w:r w:rsidRPr="00A37E42">
        <w:rPr>
          <w:rFonts w:hint="cs"/>
          <w:b w:val="0"/>
          <w:bCs w:val="0"/>
          <w:rtl/>
        </w:rPr>
        <w:t>סתר</w:t>
      </w:r>
      <w:r w:rsidRPr="00A37E42">
        <w:rPr>
          <w:b w:val="0"/>
          <w:bCs w:val="0"/>
          <w:rtl/>
        </w:rPr>
        <w:t xml:space="preserve"> </w:t>
      </w:r>
      <w:r w:rsidRPr="00A37E42">
        <w:rPr>
          <w:rFonts w:hint="cs"/>
          <w:b w:val="0"/>
          <w:bCs w:val="0"/>
          <w:rtl/>
        </w:rPr>
        <w:t>הנמשכת</w:t>
      </w:r>
      <w:r w:rsidRPr="00A37E42">
        <w:rPr>
          <w:b w:val="0"/>
          <w:bCs w:val="0"/>
          <w:rtl/>
        </w:rPr>
        <w:t xml:space="preserve"> </w:t>
      </w:r>
      <w:r>
        <w:rPr>
          <w:rFonts w:hint="cs"/>
          <w:b w:val="0"/>
          <w:bCs w:val="0"/>
          <w:rtl/>
        </w:rPr>
        <w:t>יותר</w:t>
      </w:r>
      <w:r w:rsidRPr="00A37E42">
        <w:rPr>
          <w:b w:val="0"/>
          <w:bCs w:val="0"/>
          <w:rtl/>
        </w:rPr>
        <w:t xml:space="preserve"> </w:t>
      </w:r>
      <w:r w:rsidRPr="00A37E42">
        <w:rPr>
          <w:rFonts w:hint="cs"/>
          <w:b w:val="0"/>
          <w:bCs w:val="0"/>
          <w:rtl/>
        </w:rPr>
        <w:t>מחצי</w:t>
      </w:r>
      <w:r w:rsidRPr="00A37E42">
        <w:rPr>
          <w:b w:val="0"/>
          <w:bCs w:val="0"/>
          <w:rtl/>
        </w:rPr>
        <w:t xml:space="preserve"> </w:t>
      </w:r>
      <w:r w:rsidRPr="00A37E42">
        <w:rPr>
          <w:rFonts w:hint="cs"/>
          <w:b w:val="0"/>
          <w:bCs w:val="0"/>
          <w:rtl/>
        </w:rPr>
        <w:t>שנה.</w:t>
      </w:r>
      <w:r w:rsidRPr="00A37E42">
        <w:rPr>
          <w:b w:val="0"/>
          <w:bCs w:val="0"/>
          <w:rtl/>
        </w:rPr>
        <w:t xml:space="preserve"> </w:t>
      </w:r>
    </w:p>
    <w:p w:rsidR="002A45FF" w:rsidRDefault="002A45FF" w:rsidP="00367A7B">
      <w:pPr>
        <w:pStyle w:val="aff2"/>
        <w:spacing w:line="269" w:lineRule="auto"/>
        <w:ind w:left="680"/>
        <w:rPr>
          <w:rtl/>
        </w:rPr>
      </w:pPr>
      <w:bookmarkStart w:id="307" w:name="_Hlk147906462"/>
    </w:p>
    <w:p w:rsidR="009A1216" w:rsidRDefault="009A1216" w:rsidP="00367A7B">
      <w:pPr>
        <w:pStyle w:val="aff2"/>
        <w:spacing w:line="269" w:lineRule="auto"/>
        <w:ind w:left="680"/>
        <w:rPr>
          <w:rtl/>
        </w:rPr>
      </w:pPr>
      <w:r w:rsidRPr="00A57020">
        <w:rPr>
          <w:rFonts w:hint="cs"/>
          <w:rtl/>
        </w:rPr>
        <w:t>צוות</w:t>
      </w:r>
      <w:r w:rsidRPr="00A57020">
        <w:rPr>
          <w:rtl/>
        </w:rPr>
        <w:t xml:space="preserve"> </w:t>
      </w:r>
      <w:r w:rsidRPr="00A57020">
        <w:rPr>
          <w:rFonts w:hint="cs"/>
          <w:rtl/>
        </w:rPr>
        <w:t>לבנת</w:t>
      </w:r>
      <w:r w:rsidRPr="00A57020">
        <w:rPr>
          <w:rtl/>
        </w:rPr>
        <w:t xml:space="preserve"> </w:t>
      </w:r>
      <w:r w:rsidRPr="00A57020">
        <w:rPr>
          <w:rFonts w:hint="cs"/>
          <w:rtl/>
        </w:rPr>
        <w:t>משיח</w:t>
      </w:r>
      <w:r w:rsidRPr="00A57020">
        <w:rPr>
          <w:rtl/>
        </w:rPr>
        <w:t xml:space="preserve"> </w:t>
      </w:r>
      <w:r w:rsidRPr="00A57020">
        <w:rPr>
          <w:rFonts w:hint="cs"/>
          <w:rtl/>
        </w:rPr>
        <w:t>וועדת</w:t>
      </w:r>
      <w:r w:rsidRPr="00A57020">
        <w:rPr>
          <w:rtl/>
        </w:rPr>
        <w:t xml:space="preserve"> </w:t>
      </w:r>
      <w:r w:rsidRPr="00A57020">
        <w:rPr>
          <w:rFonts w:hint="cs"/>
          <w:rtl/>
        </w:rPr>
        <w:t>החקירה</w:t>
      </w:r>
      <w:r w:rsidRPr="00A57020">
        <w:rPr>
          <w:rtl/>
        </w:rPr>
        <w:t xml:space="preserve"> </w:t>
      </w:r>
      <w:r w:rsidRPr="00A57020">
        <w:rPr>
          <w:rFonts w:hint="cs"/>
          <w:rtl/>
        </w:rPr>
        <w:t>המליצו</w:t>
      </w:r>
      <w:r w:rsidRPr="00A57020">
        <w:rPr>
          <w:rtl/>
        </w:rPr>
        <w:t xml:space="preserve"> </w:t>
      </w:r>
      <w:r w:rsidRPr="00A57020">
        <w:rPr>
          <w:rFonts w:hint="cs"/>
          <w:rtl/>
        </w:rPr>
        <w:t>לקבוע</w:t>
      </w:r>
      <w:r w:rsidRPr="00A57020">
        <w:rPr>
          <w:rtl/>
        </w:rPr>
        <w:t xml:space="preserve"> </w:t>
      </w:r>
      <w:r w:rsidRPr="00A57020">
        <w:rPr>
          <w:rFonts w:hint="cs"/>
          <w:rtl/>
        </w:rPr>
        <w:t>מדרג</w:t>
      </w:r>
      <w:r w:rsidRPr="00A57020">
        <w:rPr>
          <w:rtl/>
        </w:rPr>
        <w:t xml:space="preserve"> </w:t>
      </w:r>
      <w:r w:rsidRPr="00A57020">
        <w:rPr>
          <w:rFonts w:hint="cs"/>
          <w:rtl/>
        </w:rPr>
        <w:t>אישורים</w:t>
      </w:r>
      <w:r w:rsidRPr="00A57020">
        <w:rPr>
          <w:rtl/>
        </w:rPr>
        <w:t xml:space="preserve"> </w:t>
      </w:r>
      <w:r w:rsidRPr="00A57020">
        <w:rPr>
          <w:rFonts w:hint="cs"/>
          <w:rtl/>
        </w:rPr>
        <w:t>להאזנה</w:t>
      </w:r>
      <w:r w:rsidRPr="00A57020">
        <w:rPr>
          <w:rtl/>
        </w:rPr>
        <w:t xml:space="preserve"> </w:t>
      </w:r>
      <w:r w:rsidRPr="00A57020">
        <w:rPr>
          <w:rFonts w:hint="cs"/>
          <w:rtl/>
        </w:rPr>
        <w:t>ממושכת,</w:t>
      </w:r>
      <w:r w:rsidRPr="00A57020">
        <w:rPr>
          <w:rtl/>
        </w:rPr>
        <w:t xml:space="preserve"> </w:t>
      </w:r>
      <w:r w:rsidRPr="00A57020">
        <w:rPr>
          <w:rFonts w:hint="cs"/>
          <w:rtl/>
        </w:rPr>
        <w:t>ש</w:t>
      </w:r>
      <w:r w:rsidRPr="00A57020">
        <w:rPr>
          <w:rtl/>
        </w:rPr>
        <w:t>לפי</w:t>
      </w:r>
      <w:r w:rsidRPr="00A57020">
        <w:rPr>
          <w:rFonts w:hint="cs"/>
          <w:rtl/>
        </w:rPr>
        <w:t>ו</w:t>
      </w:r>
      <w:r w:rsidRPr="00A57020">
        <w:rPr>
          <w:rtl/>
        </w:rPr>
        <w:t xml:space="preserve"> </w:t>
      </w:r>
      <w:r w:rsidRPr="00A57020">
        <w:rPr>
          <w:rFonts w:hint="cs"/>
          <w:rtl/>
        </w:rPr>
        <w:t>נדרש</w:t>
      </w:r>
      <w:r w:rsidRPr="00A57020">
        <w:rPr>
          <w:rtl/>
        </w:rPr>
        <w:t xml:space="preserve"> </w:t>
      </w:r>
      <w:r w:rsidRPr="00A57020">
        <w:rPr>
          <w:rFonts w:hint="cs"/>
          <w:rtl/>
        </w:rPr>
        <w:t>אישור</w:t>
      </w:r>
      <w:r w:rsidRPr="00A57020">
        <w:rPr>
          <w:rtl/>
        </w:rPr>
        <w:t xml:space="preserve"> </w:t>
      </w:r>
      <w:r w:rsidRPr="00A57020">
        <w:rPr>
          <w:rFonts w:hint="cs"/>
          <w:rtl/>
        </w:rPr>
        <w:t>של</w:t>
      </w:r>
      <w:r w:rsidRPr="00A57020">
        <w:rPr>
          <w:rtl/>
        </w:rPr>
        <w:t xml:space="preserve"> </w:t>
      </w:r>
      <w:r w:rsidRPr="00A57020">
        <w:rPr>
          <w:rFonts w:hint="cs"/>
          <w:rtl/>
        </w:rPr>
        <w:t>דרג</w:t>
      </w:r>
      <w:r w:rsidRPr="00A57020">
        <w:rPr>
          <w:rtl/>
        </w:rPr>
        <w:t xml:space="preserve"> גבוה </w:t>
      </w:r>
      <w:r w:rsidRPr="00A57020">
        <w:rPr>
          <w:rFonts w:hint="cs"/>
          <w:rtl/>
        </w:rPr>
        <w:t>להאזנה</w:t>
      </w:r>
      <w:r w:rsidRPr="00A57020">
        <w:rPr>
          <w:rtl/>
        </w:rPr>
        <w:t xml:space="preserve"> ממושכת</w:t>
      </w:r>
      <w:r w:rsidRPr="00A57020">
        <w:rPr>
          <w:rFonts w:hint="cs"/>
          <w:rtl/>
        </w:rPr>
        <w:t>,</w:t>
      </w:r>
      <w:r w:rsidRPr="00A57020">
        <w:rPr>
          <w:rtl/>
        </w:rPr>
        <w:t xml:space="preserve"> וזאת </w:t>
      </w:r>
      <w:r w:rsidRPr="00A57020">
        <w:rPr>
          <w:rFonts w:hint="cs"/>
          <w:rtl/>
        </w:rPr>
        <w:t>לנוכח</w:t>
      </w:r>
      <w:r w:rsidRPr="00A57020">
        <w:rPr>
          <w:rtl/>
        </w:rPr>
        <w:t xml:space="preserve"> </w:t>
      </w:r>
      <w:r w:rsidRPr="00A57020">
        <w:rPr>
          <w:rFonts w:hint="cs"/>
          <w:rtl/>
        </w:rPr>
        <w:t>ה</w:t>
      </w:r>
      <w:r w:rsidRPr="00A57020">
        <w:rPr>
          <w:rtl/>
        </w:rPr>
        <w:t xml:space="preserve">פגיעה </w:t>
      </w:r>
      <w:r w:rsidRPr="00A57020">
        <w:rPr>
          <w:rFonts w:hint="cs"/>
          <w:rtl/>
        </w:rPr>
        <w:t>הנרחבת</w:t>
      </w:r>
      <w:r w:rsidRPr="00A57020">
        <w:rPr>
          <w:rtl/>
        </w:rPr>
        <w:t xml:space="preserve"> </w:t>
      </w:r>
      <w:r w:rsidRPr="00A57020">
        <w:rPr>
          <w:rFonts w:hint="cs"/>
          <w:rtl/>
        </w:rPr>
        <w:t>בפרטיות</w:t>
      </w:r>
      <w:r w:rsidRPr="00A57020">
        <w:rPr>
          <w:rtl/>
        </w:rPr>
        <w:t xml:space="preserve"> יעד ההאזנה. </w:t>
      </w:r>
      <w:r w:rsidRPr="00A57020">
        <w:rPr>
          <w:rFonts w:hint="cs"/>
          <w:rtl/>
        </w:rPr>
        <w:t>נמצא</w:t>
      </w:r>
      <w:r w:rsidRPr="00A57020">
        <w:rPr>
          <w:rtl/>
        </w:rPr>
        <w:t xml:space="preserve"> כי </w:t>
      </w:r>
      <w:r w:rsidRPr="00A57020">
        <w:rPr>
          <w:rFonts w:hint="cs"/>
          <w:rtl/>
        </w:rPr>
        <w:t>בעת שעסקה המשטרה</w:t>
      </w:r>
      <w:r w:rsidRPr="00A57020">
        <w:rPr>
          <w:rtl/>
        </w:rPr>
        <w:t xml:space="preserve"> </w:t>
      </w:r>
      <w:r w:rsidRPr="00A57020">
        <w:rPr>
          <w:rFonts w:hint="cs"/>
          <w:rtl/>
        </w:rPr>
        <w:t>ביישום המלצה זו בנוגע להאזנות</w:t>
      </w:r>
      <w:r w:rsidRPr="00A57020">
        <w:rPr>
          <w:rtl/>
        </w:rPr>
        <w:t xml:space="preserve"> הנמשכות </w:t>
      </w:r>
      <w:r w:rsidRPr="00A57020">
        <w:rPr>
          <w:rFonts w:hint="cs"/>
          <w:rtl/>
        </w:rPr>
        <w:t>יותר מ</w:t>
      </w:r>
      <w:r w:rsidRPr="00A57020">
        <w:rPr>
          <w:rtl/>
        </w:rPr>
        <w:t xml:space="preserve">שנה ומחייבות אישור </w:t>
      </w:r>
      <w:r w:rsidRPr="00A57020">
        <w:rPr>
          <w:rFonts w:hint="cs"/>
          <w:rtl/>
        </w:rPr>
        <w:t>של</w:t>
      </w:r>
      <w:r w:rsidRPr="00A57020">
        <w:rPr>
          <w:rtl/>
        </w:rPr>
        <w:t xml:space="preserve"> </w:t>
      </w:r>
      <w:r w:rsidRPr="00A57020">
        <w:rPr>
          <w:rFonts w:hint="cs"/>
          <w:rtl/>
        </w:rPr>
        <w:t>פרקליט</w:t>
      </w:r>
      <w:r w:rsidRPr="00A57020">
        <w:rPr>
          <w:rtl/>
        </w:rPr>
        <w:t xml:space="preserve"> </w:t>
      </w:r>
      <w:r w:rsidRPr="00A57020">
        <w:rPr>
          <w:rFonts w:hint="cs"/>
          <w:rtl/>
        </w:rPr>
        <w:t>מחוז</w:t>
      </w:r>
      <w:r w:rsidRPr="00A57020">
        <w:rPr>
          <w:rtl/>
        </w:rPr>
        <w:t xml:space="preserve">, </w:t>
      </w:r>
      <w:r w:rsidRPr="00A57020">
        <w:rPr>
          <w:rFonts w:hint="cs"/>
          <w:rtl/>
        </w:rPr>
        <w:t>היא הטמיעה הסדר</w:t>
      </w:r>
      <w:r w:rsidRPr="00A57020">
        <w:rPr>
          <w:rtl/>
        </w:rPr>
        <w:t xml:space="preserve"> </w:t>
      </w:r>
      <w:r w:rsidRPr="00A57020">
        <w:rPr>
          <w:rFonts w:hint="cs"/>
          <w:rtl/>
        </w:rPr>
        <w:t>נוסף</w:t>
      </w:r>
      <w:r w:rsidRPr="00A57020">
        <w:rPr>
          <w:rtl/>
        </w:rPr>
        <w:t xml:space="preserve"> לחישוב משך </w:t>
      </w:r>
      <w:r w:rsidRPr="00A57020">
        <w:rPr>
          <w:rFonts w:hint="cs"/>
          <w:rtl/>
        </w:rPr>
        <w:t>ה</w:t>
      </w:r>
      <w:r w:rsidRPr="00A57020">
        <w:rPr>
          <w:rtl/>
        </w:rPr>
        <w:t>האזנה</w:t>
      </w:r>
      <w:r w:rsidRPr="00A57020">
        <w:rPr>
          <w:rFonts w:hint="cs"/>
          <w:rtl/>
        </w:rPr>
        <w:t>,</w:t>
      </w:r>
      <w:r>
        <w:rPr>
          <w:rtl/>
        </w:rPr>
        <w:t xml:space="preserve"> </w:t>
      </w:r>
      <w:r w:rsidRPr="00A57020">
        <w:rPr>
          <w:rFonts w:hint="cs"/>
          <w:rtl/>
        </w:rPr>
        <w:t>שלפיו</w:t>
      </w:r>
      <w:r w:rsidRPr="00A57020">
        <w:rPr>
          <w:rtl/>
        </w:rPr>
        <w:t xml:space="preserve"> </w:t>
      </w:r>
      <w:r w:rsidRPr="00A57020">
        <w:rPr>
          <w:rFonts w:hint="cs"/>
          <w:rtl/>
        </w:rPr>
        <w:t>מניין</w:t>
      </w:r>
      <w:r w:rsidRPr="00A57020">
        <w:rPr>
          <w:rtl/>
        </w:rPr>
        <w:t xml:space="preserve"> </w:t>
      </w:r>
      <w:r w:rsidRPr="00A57020">
        <w:rPr>
          <w:rFonts w:hint="cs"/>
          <w:rtl/>
        </w:rPr>
        <w:t>הימים</w:t>
      </w:r>
      <w:r w:rsidRPr="00A57020">
        <w:rPr>
          <w:rtl/>
        </w:rPr>
        <w:t xml:space="preserve"> </w:t>
      </w:r>
      <w:r w:rsidRPr="00A57020">
        <w:rPr>
          <w:rFonts w:hint="cs"/>
          <w:rtl/>
        </w:rPr>
        <w:t>לגבי</w:t>
      </w:r>
      <w:r w:rsidRPr="00A57020">
        <w:rPr>
          <w:rtl/>
        </w:rPr>
        <w:t xml:space="preserve"> יעד </w:t>
      </w:r>
      <w:r w:rsidRPr="00A57020">
        <w:rPr>
          <w:rFonts w:hint="cs"/>
          <w:rtl/>
        </w:rPr>
        <w:t>האזנה</w:t>
      </w:r>
      <w:r w:rsidRPr="00A57020">
        <w:rPr>
          <w:rtl/>
        </w:rPr>
        <w:t xml:space="preserve"> י</w:t>
      </w:r>
      <w:r w:rsidRPr="00A57020">
        <w:rPr>
          <w:rFonts w:hint="cs"/>
          <w:rtl/>
        </w:rPr>
        <w:t>י</w:t>
      </w:r>
      <w:r w:rsidRPr="00A57020">
        <w:rPr>
          <w:rtl/>
        </w:rPr>
        <w:t>ספר</w:t>
      </w:r>
      <w:r w:rsidRPr="00A57020">
        <w:rPr>
          <w:rFonts w:hint="cs"/>
          <w:rtl/>
        </w:rPr>
        <w:t xml:space="preserve"> בנפרד</w:t>
      </w:r>
      <w:r w:rsidRPr="00A57020">
        <w:rPr>
          <w:rtl/>
        </w:rPr>
        <w:t xml:space="preserve"> לגבי כל פרשייה</w:t>
      </w:r>
      <w:r w:rsidRPr="00A57020">
        <w:rPr>
          <w:rFonts w:hint="cs"/>
          <w:rtl/>
        </w:rPr>
        <w:t xml:space="preserve"> שבה הוא מעורב. על פי הסדר זה אושרו האזנות ממושכות לתקופות ארוכות משנה ללא פנייה לקבלת אישור פרקליט מחוז. הסדר זה</w:t>
      </w:r>
      <w:r w:rsidRPr="00A57020">
        <w:rPr>
          <w:rtl/>
        </w:rPr>
        <w:t xml:space="preserve"> </w:t>
      </w:r>
      <w:r>
        <w:rPr>
          <w:rFonts w:hint="cs"/>
          <w:rtl/>
        </w:rPr>
        <w:t>אינו נותן מענה</w:t>
      </w:r>
      <w:r w:rsidRPr="00A57020">
        <w:rPr>
          <w:rtl/>
        </w:rPr>
        <w:t xml:space="preserve"> </w:t>
      </w:r>
      <w:r>
        <w:rPr>
          <w:rFonts w:hint="cs"/>
          <w:rtl/>
        </w:rPr>
        <w:t>ל</w:t>
      </w:r>
      <w:r w:rsidRPr="00A57020">
        <w:rPr>
          <w:rFonts w:hint="cs"/>
          <w:rtl/>
        </w:rPr>
        <w:t>פגיעה</w:t>
      </w:r>
      <w:r w:rsidRPr="00A57020">
        <w:rPr>
          <w:rtl/>
        </w:rPr>
        <w:t xml:space="preserve"> </w:t>
      </w:r>
      <w:r w:rsidRPr="00A57020">
        <w:rPr>
          <w:rFonts w:hint="cs"/>
          <w:rtl/>
        </w:rPr>
        <w:t>הכוללת</w:t>
      </w:r>
      <w:r w:rsidRPr="00A57020">
        <w:rPr>
          <w:rtl/>
        </w:rPr>
        <w:t xml:space="preserve"> </w:t>
      </w:r>
      <w:r>
        <w:rPr>
          <w:rFonts w:hint="cs"/>
          <w:rtl/>
        </w:rPr>
        <w:t xml:space="preserve">בפרטיות יעד ההאזנה </w:t>
      </w:r>
      <w:r w:rsidRPr="00A57020">
        <w:rPr>
          <w:rFonts w:hint="cs"/>
          <w:rtl/>
        </w:rPr>
        <w:t>הנגרמת מההאזנה הממושכת,</w:t>
      </w:r>
      <w:r w:rsidRPr="00A57020">
        <w:rPr>
          <w:rtl/>
        </w:rPr>
        <w:t xml:space="preserve"> שכן</w:t>
      </w:r>
      <w:r w:rsidRPr="00A57020">
        <w:rPr>
          <w:rFonts w:hint="cs"/>
          <w:rtl/>
        </w:rPr>
        <w:t xml:space="preserve"> אם</w:t>
      </w:r>
      <w:r w:rsidRPr="00A57020">
        <w:rPr>
          <w:rtl/>
        </w:rPr>
        <w:t xml:space="preserve"> יעד האזנה </w:t>
      </w:r>
      <w:r w:rsidRPr="00A57020">
        <w:rPr>
          <w:rFonts w:hint="cs"/>
          <w:rtl/>
        </w:rPr>
        <w:t>מעורב</w:t>
      </w:r>
      <w:r w:rsidRPr="00A57020">
        <w:rPr>
          <w:rtl/>
        </w:rPr>
        <w:t xml:space="preserve"> </w:t>
      </w:r>
      <w:r w:rsidRPr="00A57020">
        <w:rPr>
          <w:rFonts w:hint="cs"/>
          <w:rtl/>
        </w:rPr>
        <w:t>בכמה</w:t>
      </w:r>
      <w:r w:rsidRPr="00A57020">
        <w:rPr>
          <w:rtl/>
        </w:rPr>
        <w:t xml:space="preserve"> פרשיות</w:t>
      </w:r>
      <w:r w:rsidRPr="00A57020">
        <w:rPr>
          <w:rFonts w:hint="cs"/>
          <w:rtl/>
        </w:rPr>
        <w:t>,</w:t>
      </w:r>
      <w:r w:rsidRPr="00A57020">
        <w:rPr>
          <w:rtl/>
        </w:rPr>
        <w:t xml:space="preserve"> </w:t>
      </w:r>
      <w:r w:rsidRPr="00A57020">
        <w:rPr>
          <w:rFonts w:hint="cs"/>
          <w:rtl/>
        </w:rPr>
        <w:t>מתאפשרת ההאזנה לתקופה שחוצה את מגבלת השנה ללא</w:t>
      </w:r>
      <w:r w:rsidRPr="00A57020">
        <w:rPr>
          <w:rtl/>
        </w:rPr>
        <w:t xml:space="preserve"> </w:t>
      </w:r>
      <w:r w:rsidRPr="00A57020">
        <w:rPr>
          <w:rFonts w:hint="cs"/>
          <w:rtl/>
        </w:rPr>
        <w:t>צורך לפנות לפרקליט מחוז</w:t>
      </w:r>
      <w:r w:rsidRPr="00A57020">
        <w:rPr>
          <w:rtl/>
        </w:rPr>
        <w:t xml:space="preserve"> </w:t>
      </w:r>
      <w:r w:rsidRPr="00A57020">
        <w:rPr>
          <w:rFonts w:hint="cs"/>
          <w:rtl/>
        </w:rPr>
        <w:t>לקבלת</w:t>
      </w:r>
      <w:r w:rsidRPr="00A57020">
        <w:rPr>
          <w:rtl/>
        </w:rPr>
        <w:t xml:space="preserve"> </w:t>
      </w:r>
      <w:r w:rsidRPr="00A57020">
        <w:rPr>
          <w:rFonts w:hint="cs"/>
          <w:rtl/>
        </w:rPr>
        <w:t>אישורו לכך</w:t>
      </w:r>
      <w:r w:rsidRPr="00A57020">
        <w:rPr>
          <w:rtl/>
        </w:rPr>
        <w:t xml:space="preserve">. </w:t>
      </w:r>
      <w:r>
        <w:rPr>
          <w:rFonts w:hint="cs"/>
          <w:rtl/>
        </w:rPr>
        <w:t>לעומת זאת, המשטרה לא הטמיעה</w:t>
      </w:r>
      <w:r>
        <w:rPr>
          <w:rtl/>
        </w:rPr>
        <w:t xml:space="preserve"> </w:t>
      </w:r>
      <w:r w:rsidRPr="00A57020">
        <w:rPr>
          <w:rFonts w:hint="cs"/>
          <w:rtl/>
        </w:rPr>
        <w:t>בנהליה הסדר</w:t>
      </w:r>
      <w:r w:rsidRPr="00A57020">
        <w:rPr>
          <w:rtl/>
        </w:rPr>
        <w:t xml:space="preserve"> </w:t>
      </w:r>
      <w:r>
        <w:rPr>
          <w:rFonts w:hint="cs"/>
          <w:rtl/>
        </w:rPr>
        <w:t>דומה</w:t>
      </w:r>
      <w:r w:rsidRPr="00A57020">
        <w:rPr>
          <w:rtl/>
        </w:rPr>
        <w:t xml:space="preserve"> </w:t>
      </w:r>
      <w:r w:rsidRPr="00A57020">
        <w:rPr>
          <w:rFonts w:hint="cs"/>
          <w:rtl/>
        </w:rPr>
        <w:t>להאזנות</w:t>
      </w:r>
      <w:r w:rsidRPr="00A57020">
        <w:rPr>
          <w:rtl/>
        </w:rPr>
        <w:t xml:space="preserve"> ממושכות המחייבות אישור של </w:t>
      </w:r>
      <w:r w:rsidRPr="00A57020">
        <w:rPr>
          <w:rFonts w:hint="cs"/>
          <w:rtl/>
        </w:rPr>
        <w:t>ראש</w:t>
      </w:r>
      <w:r w:rsidRPr="00A57020">
        <w:rPr>
          <w:rtl/>
        </w:rPr>
        <w:t xml:space="preserve"> </w:t>
      </w:r>
      <w:r w:rsidRPr="00A57020">
        <w:rPr>
          <w:rFonts w:hint="cs"/>
          <w:rtl/>
        </w:rPr>
        <w:t>אח</w:t>
      </w:r>
      <w:r w:rsidRPr="00A57020">
        <w:rPr>
          <w:rtl/>
        </w:rPr>
        <w:t>"ם.</w:t>
      </w:r>
      <w:r w:rsidRPr="00A57020">
        <w:rPr>
          <w:rFonts w:hint="cs"/>
          <w:rtl/>
        </w:rPr>
        <w:t xml:space="preserve"> </w:t>
      </w:r>
    </w:p>
    <w:bookmarkEnd w:id="307"/>
    <w:p w:rsidR="002A45FF" w:rsidRDefault="002A45FF" w:rsidP="00367A7B">
      <w:pPr>
        <w:pStyle w:val="aff2"/>
        <w:spacing w:line="269" w:lineRule="auto"/>
        <w:ind w:left="680"/>
        <w:rPr>
          <w:b w:val="0"/>
          <w:bCs w:val="0"/>
          <w:rtl/>
        </w:rPr>
      </w:pPr>
    </w:p>
    <w:p w:rsidR="009A1216" w:rsidRDefault="009A1216" w:rsidP="00367A7B">
      <w:pPr>
        <w:pStyle w:val="aff2"/>
        <w:spacing w:line="269" w:lineRule="auto"/>
        <w:ind w:left="680"/>
        <w:rPr>
          <w:b w:val="0"/>
          <w:bCs w:val="0"/>
          <w:rtl/>
        </w:rPr>
      </w:pPr>
      <w:r>
        <w:rPr>
          <w:rFonts w:hint="cs"/>
          <w:b w:val="0"/>
          <w:bCs w:val="0"/>
          <w:rtl/>
        </w:rPr>
        <w:t xml:space="preserve">לשם המחשה, </w:t>
      </w:r>
      <w:r w:rsidRPr="00A37E42">
        <w:rPr>
          <w:rFonts w:hint="cs"/>
          <w:b w:val="0"/>
          <w:bCs w:val="0"/>
          <w:rtl/>
        </w:rPr>
        <w:t xml:space="preserve">מבקר המדינה בחן את שיטת החישוב הקובעת מיהו יעד </w:t>
      </w:r>
      <w:r>
        <w:rPr>
          <w:rFonts w:hint="cs"/>
          <w:b w:val="0"/>
          <w:bCs w:val="0"/>
          <w:rtl/>
        </w:rPr>
        <w:t>ה</w:t>
      </w:r>
      <w:r w:rsidRPr="00A37E42">
        <w:rPr>
          <w:rFonts w:hint="cs"/>
          <w:b w:val="0"/>
          <w:bCs w:val="0"/>
          <w:rtl/>
        </w:rPr>
        <w:t xml:space="preserve">האזנה אשר ההאזנה לו נמשכת </w:t>
      </w:r>
      <w:r>
        <w:rPr>
          <w:rFonts w:hint="cs"/>
          <w:b w:val="0"/>
          <w:bCs w:val="0"/>
          <w:rtl/>
        </w:rPr>
        <w:t>יותר</w:t>
      </w:r>
      <w:r w:rsidRPr="00A37E42">
        <w:rPr>
          <w:rFonts w:hint="cs"/>
          <w:b w:val="0"/>
          <w:bCs w:val="0"/>
          <w:rtl/>
        </w:rPr>
        <w:t xml:space="preserve"> משנה ולגביו נדרש אישור ראש אח"ם ואישור פרקליט. </w:t>
      </w:r>
      <w:r>
        <w:rPr>
          <w:rFonts w:hint="cs"/>
          <w:b w:val="0"/>
          <w:bCs w:val="0"/>
          <w:rtl/>
        </w:rPr>
        <w:t xml:space="preserve">להלן יפורטו החלופות לתחשיבים השונים: </w:t>
      </w:r>
    </w:p>
    <w:p w:rsidR="00F553D5" w:rsidRDefault="00F553D5" w:rsidP="00604C3D">
      <w:pPr>
        <w:spacing w:line="269" w:lineRule="auto"/>
        <w:jc w:val="center"/>
        <w:rPr>
          <w:rtl/>
        </w:rPr>
      </w:pPr>
    </w:p>
    <w:p w:rsidR="009A1216" w:rsidRPr="00C33ACD" w:rsidRDefault="008A67C6" w:rsidP="00604C3D">
      <w:pPr>
        <w:spacing w:line="269" w:lineRule="auto"/>
        <w:jc w:val="center"/>
        <w:rPr>
          <w:b/>
          <w:bCs/>
          <w:rtl/>
        </w:rPr>
      </w:pPr>
      <w:r>
        <w:rPr>
          <w:rFonts w:hint="cs"/>
          <w:rtl/>
        </w:rPr>
        <w:t>לוח</w:t>
      </w:r>
      <w:r w:rsidR="00D4017E">
        <w:rPr>
          <w:rFonts w:hint="cs"/>
          <w:rtl/>
        </w:rPr>
        <w:t xml:space="preserve"> 7</w:t>
      </w:r>
      <w:r w:rsidR="009A1216" w:rsidRPr="00D421F8">
        <w:rPr>
          <w:rFonts w:hint="cs"/>
          <w:rtl/>
        </w:rPr>
        <w:t>:</w:t>
      </w:r>
      <w:r w:rsidR="009A1216">
        <w:rPr>
          <w:rFonts w:hint="cs"/>
          <w:rtl/>
        </w:rPr>
        <w:t xml:space="preserve"> </w:t>
      </w:r>
      <w:r w:rsidR="009A1216" w:rsidRPr="00D421F8">
        <w:rPr>
          <w:rFonts w:hint="cs"/>
          <w:b/>
          <w:bCs/>
          <w:rtl/>
        </w:rPr>
        <w:t>מספר יעדי ההאזנה העומדים בתחשיבים שלפיהם נדרש אישור להאזנה ממושכת, 2019</w:t>
      </w:r>
      <w:r w:rsidR="009A1216">
        <w:rPr>
          <w:rFonts w:hint="cs"/>
          <w:b/>
          <w:bCs/>
          <w:rtl/>
        </w:rPr>
        <w:t xml:space="preserve"> </w:t>
      </w:r>
      <w:r w:rsidR="009A1216" w:rsidRPr="00D421F8">
        <w:rPr>
          <w:rFonts w:hint="cs"/>
          <w:b/>
          <w:bCs/>
          <w:rtl/>
        </w:rPr>
        <w:t>- 2021</w:t>
      </w:r>
    </w:p>
    <w:tbl>
      <w:tblPr>
        <w:tblStyle w:val="afc"/>
        <w:bidiVisual/>
        <w:tblW w:w="0" w:type="auto"/>
        <w:tblLook w:val="04A0" w:firstRow="1" w:lastRow="0" w:firstColumn="1" w:lastColumn="0" w:noHBand="0" w:noVBand="1"/>
      </w:tblPr>
      <w:tblGrid>
        <w:gridCol w:w="3393"/>
        <w:gridCol w:w="2410"/>
        <w:gridCol w:w="2407"/>
      </w:tblGrid>
      <w:tr w:rsidR="00955BF3" w:rsidRPr="00455AF1" w:rsidTr="00955BF3">
        <w:tc>
          <w:tcPr>
            <w:tcW w:w="3393" w:type="dxa"/>
            <w:shd w:val="clear" w:color="auto" w:fill="D9D9D9"/>
          </w:tcPr>
          <w:p w:rsidR="00955BF3" w:rsidRPr="00455AF1" w:rsidRDefault="00955BF3" w:rsidP="00604C3D">
            <w:pPr>
              <w:spacing w:line="269" w:lineRule="auto"/>
              <w:jc w:val="center"/>
              <w:rPr>
                <w:rFonts w:eastAsia="Calibri"/>
                <w:b/>
                <w:bCs/>
                <w:sz w:val="22"/>
                <w:szCs w:val="22"/>
                <w:rtl/>
              </w:rPr>
            </w:pPr>
            <w:r w:rsidRPr="00455AF1">
              <w:rPr>
                <w:rFonts w:eastAsia="Calibri" w:hint="cs"/>
                <w:b/>
                <w:bCs/>
                <w:sz w:val="22"/>
                <w:szCs w:val="22"/>
                <w:rtl/>
              </w:rPr>
              <w:t>הפרמטרים</w:t>
            </w:r>
          </w:p>
        </w:tc>
        <w:tc>
          <w:tcPr>
            <w:tcW w:w="2410" w:type="dxa"/>
            <w:shd w:val="clear" w:color="auto" w:fill="D9D9D9"/>
          </w:tcPr>
          <w:p w:rsidR="00955BF3" w:rsidRPr="00455AF1" w:rsidRDefault="00955BF3" w:rsidP="00604C3D">
            <w:pPr>
              <w:spacing w:line="269" w:lineRule="auto"/>
              <w:jc w:val="center"/>
              <w:rPr>
                <w:rFonts w:eastAsia="Calibri"/>
                <w:sz w:val="22"/>
                <w:szCs w:val="22"/>
                <w:rtl/>
              </w:rPr>
            </w:pPr>
            <w:r w:rsidRPr="00455AF1">
              <w:rPr>
                <w:rFonts w:eastAsia="Calibri" w:hint="cs"/>
                <w:sz w:val="22"/>
                <w:szCs w:val="22"/>
                <w:rtl/>
              </w:rPr>
              <w:t>אם ההפרש בין תקופות תחולתם של ההיתרים הוא עד חודשיים</w:t>
            </w:r>
          </w:p>
        </w:tc>
        <w:tc>
          <w:tcPr>
            <w:tcW w:w="2407" w:type="dxa"/>
            <w:shd w:val="clear" w:color="auto" w:fill="D9D9D9"/>
          </w:tcPr>
          <w:p w:rsidR="00955BF3" w:rsidRPr="00455AF1" w:rsidRDefault="00955BF3" w:rsidP="00604C3D">
            <w:pPr>
              <w:spacing w:line="269" w:lineRule="auto"/>
              <w:jc w:val="center"/>
              <w:rPr>
                <w:rFonts w:eastAsia="Calibri"/>
                <w:sz w:val="22"/>
                <w:szCs w:val="22"/>
                <w:rtl/>
              </w:rPr>
            </w:pPr>
            <w:r w:rsidRPr="00455AF1">
              <w:rPr>
                <w:rFonts w:eastAsia="Calibri" w:hint="cs"/>
                <w:sz w:val="22"/>
                <w:szCs w:val="22"/>
                <w:rtl/>
              </w:rPr>
              <w:t>אם ההפרש בין תקופות תחולתם של ההיתרים הוא עד ארבעה חודשים</w:t>
            </w:r>
          </w:p>
        </w:tc>
      </w:tr>
      <w:tr w:rsidR="00955BF3" w:rsidRPr="00455AF1" w:rsidTr="00955BF3">
        <w:tc>
          <w:tcPr>
            <w:tcW w:w="3393" w:type="dxa"/>
            <w:shd w:val="clear" w:color="auto" w:fill="D9D9D9"/>
          </w:tcPr>
          <w:p w:rsidR="00955BF3" w:rsidRPr="00455AF1" w:rsidRDefault="00955BF3" w:rsidP="00604C3D">
            <w:pPr>
              <w:spacing w:line="269" w:lineRule="auto"/>
              <w:jc w:val="left"/>
              <w:rPr>
                <w:rFonts w:eastAsia="Calibri"/>
                <w:sz w:val="22"/>
                <w:szCs w:val="22"/>
                <w:rtl/>
              </w:rPr>
            </w:pPr>
            <w:r w:rsidRPr="00455AF1">
              <w:rPr>
                <w:rFonts w:eastAsia="Calibri" w:hint="cs"/>
                <w:sz w:val="22"/>
                <w:szCs w:val="22"/>
                <w:rtl/>
              </w:rPr>
              <w:t xml:space="preserve">מניין תקופות תחולת הצווים החלים על יעד ההאזנה ייספר גם אם הוא מעורב בכמה פרשיות </w:t>
            </w:r>
          </w:p>
        </w:tc>
        <w:tc>
          <w:tcPr>
            <w:tcW w:w="2410" w:type="dxa"/>
          </w:tcPr>
          <w:p w:rsidR="00955BF3" w:rsidRPr="00455AF1" w:rsidRDefault="00955BF3" w:rsidP="00604C3D">
            <w:pPr>
              <w:spacing w:line="269" w:lineRule="auto"/>
              <w:rPr>
                <w:rFonts w:eastAsia="Calibri"/>
                <w:b/>
                <w:bCs/>
                <w:sz w:val="22"/>
                <w:szCs w:val="22"/>
                <w:rtl/>
              </w:rPr>
            </w:pPr>
            <w:r w:rsidRPr="00455AF1">
              <w:rPr>
                <w:rFonts w:eastAsia="Calibri" w:hint="cs"/>
                <w:b/>
                <w:bCs/>
                <w:sz w:val="22"/>
                <w:szCs w:val="22"/>
                <w:rtl/>
              </w:rPr>
              <w:t xml:space="preserve">12 יעדים </w:t>
            </w:r>
          </w:p>
          <w:p w:rsidR="00955BF3" w:rsidRPr="00455AF1" w:rsidRDefault="00955BF3" w:rsidP="00604C3D">
            <w:pPr>
              <w:spacing w:line="269" w:lineRule="auto"/>
              <w:rPr>
                <w:rFonts w:eastAsia="Calibri"/>
                <w:b/>
                <w:bCs/>
                <w:sz w:val="22"/>
                <w:szCs w:val="22"/>
                <w:rtl/>
              </w:rPr>
            </w:pPr>
            <w:r w:rsidRPr="00455AF1">
              <w:rPr>
                <w:rFonts w:eastAsia="Calibri" w:hint="cs"/>
                <w:b/>
                <w:bCs/>
                <w:sz w:val="22"/>
                <w:szCs w:val="22"/>
                <w:rtl/>
              </w:rPr>
              <w:t>(תחשיב ראש אח"ם)</w:t>
            </w:r>
          </w:p>
        </w:tc>
        <w:tc>
          <w:tcPr>
            <w:tcW w:w="2407" w:type="dxa"/>
          </w:tcPr>
          <w:p w:rsidR="00955BF3" w:rsidRPr="00455AF1" w:rsidRDefault="00955BF3" w:rsidP="00604C3D">
            <w:pPr>
              <w:spacing w:line="269" w:lineRule="auto"/>
              <w:rPr>
                <w:rFonts w:eastAsia="Calibri"/>
                <w:b/>
                <w:bCs/>
                <w:sz w:val="22"/>
                <w:szCs w:val="22"/>
                <w:rtl/>
              </w:rPr>
            </w:pPr>
            <w:r w:rsidRPr="00455AF1">
              <w:rPr>
                <w:rFonts w:eastAsia="Calibri" w:hint="cs"/>
                <w:b/>
                <w:bCs/>
                <w:sz w:val="22"/>
                <w:szCs w:val="22"/>
                <w:rtl/>
              </w:rPr>
              <w:t>28 יעדים</w:t>
            </w:r>
          </w:p>
        </w:tc>
      </w:tr>
      <w:tr w:rsidR="00955BF3" w:rsidRPr="00455AF1" w:rsidTr="00955BF3">
        <w:tc>
          <w:tcPr>
            <w:tcW w:w="3393" w:type="dxa"/>
            <w:shd w:val="clear" w:color="auto" w:fill="D9D9D9"/>
          </w:tcPr>
          <w:p w:rsidR="00955BF3" w:rsidRPr="00455AF1" w:rsidRDefault="00955BF3" w:rsidP="00604C3D">
            <w:pPr>
              <w:spacing w:line="269" w:lineRule="auto"/>
              <w:jc w:val="left"/>
              <w:rPr>
                <w:rFonts w:eastAsia="Calibri"/>
                <w:sz w:val="22"/>
                <w:szCs w:val="22"/>
                <w:rtl/>
              </w:rPr>
            </w:pPr>
            <w:r w:rsidRPr="00455AF1">
              <w:rPr>
                <w:rFonts w:eastAsia="Calibri" w:hint="cs"/>
                <w:sz w:val="22"/>
                <w:szCs w:val="22"/>
                <w:rtl/>
              </w:rPr>
              <w:t>מניין תקופות תחולת הצווים החלים על יעד ההאזנה ייספר רק אם הוא מעורב באותה הפרשייה בלבד</w:t>
            </w:r>
          </w:p>
        </w:tc>
        <w:tc>
          <w:tcPr>
            <w:tcW w:w="2410" w:type="dxa"/>
          </w:tcPr>
          <w:p w:rsidR="00955BF3" w:rsidRPr="00455AF1" w:rsidRDefault="00955BF3" w:rsidP="00604C3D">
            <w:pPr>
              <w:spacing w:line="269" w:lineRule="auto"/>
              <w:rPr>
                <w:rFonts w:eastAsia="Calibri"/>
                <w:b/>
                <w:bCs/>
                <w:sz w:val="22"/>
                <w:szCs w:val="22"/>
                <w:rtl/>
              </w:rPr>
            </w:pPr>
            <w:r w:rsidRPr="00455AF1">
              <w:rPr>
                <w:rFonts w:eastAsia="Calibri" w:hint="cs"/>
                <w:b/>
                <w:bCs/>
                <w:sz w:val="22"/>
                <w:szCs w:val="22"/>
                <w:rtl/>
              </w:rPr>
              <w:t xml:space="preserve">2 יעדים </w:t>
            </w:r>
          </w:p>
        </w:tc>
        <w:tc>
          <w:tcPr>
            <w:tcW w:w="2407" w:type="dxa"/>
          </w:tcPr>
          <w:p w:rsidR="00955BF3" w:rsidRPr="00455AF1" w:rsidRDefault="00955BF3" w:rsidP="00604C3D">
            <w:pPr>
              <w:spacing w:line="269" w:lineRule="auto"/>
              <w:rPr>
                <w:rFonts w:eastAsia="Calibri"/>
                <w:b/>
                <w:bCs/>
                <w:sz w:val="22"/>
                <w:szCs w:val="22"/>
                <w:rtl/>
              </w:rPr>
            </w:pPr>
            <w:r w:rsidRPr="00455AF1">
              <w:rPr>
                <w:rFonts w:eastAsia="Calibri" w:hint="cs"/>
                <w:b/>
                <w:bCs/>
                <w:sz w:val="22"/>
                <w:szCs w:val="22"/>
                <w:rtl/>
              </w:rPr>
              <w:t xml:space="preserve">5 יעדים </w:t>
            </w:r>
          </w:p>
          <w:p w:rsidR="00955BF3" w:rsidRPr="00455AF1" w:rsidRDefault="00955BF3" w:rsidP="00604C3D">
            <w:pPr>
              <w:spacing w:line="269" w:lineRule="auto"/>
              <w:rPr>
                <w:rFonts w:eastAsia="Calibri"/>
                <w:b/>
                <w:bCs/>
                <w:sz w:val="22"/>
                <w:szCs w:val="22"/>
                <w:rtl/>
              </w:rPr>
            </w:pPr>
            <w:r w:rsidRPr="00455AF1">
              <w:rPr>
                <w:rFonts w:eastAsia="Calibri" w:hint="cs"/>
                <w:b/>
                <w:bCs/>
                <w:sz w:val="22"/>
                <w:szCs w:val="22"/>
                <w:rtl/>
              </w:rPr>
              <w:t>(תחשיב אישור פרקליט)</w:t>
            </w:r>
          </w:p>
        </w:tc>
      </w:tr>
    </w:tbl>
    <w:p w:rsidR="009A1216" w:rsidRPr="00282CA4" w:rsidRDefault="009A1216" w:rsidP="00604C3D">
      <w:pPr>
        <w:pStyle w:val="a5"/>
        <w:spacing w:line="269" w:lineRule="auto"/>
        <w:ind w:left="0"/>
        <w:rPr>
          <w:rtl/>
        </w:rPr>
      </w:pPr>
      <w:r w:rsidRPr="00282CA4">
        <w:rPr>
          <w:rFonts w:hint="cs"/>
          <w:sz w:val="16"/>
          <w:rtl/>
        </w:rPr>
        <w:t>על פי ממצאי הביקורת, בעיבוד משרד מבקר המדינה</w:t>
      </w:r>
      <w:r w:rsidR="000003CF">
        <w:rPr>
          <w:rFonts w:hint="cs"/>
          <w:sz w:val="16"/>
          <w:rtl/>
        </w:rPr>
        <w:t>.</w:t>
      </w:r>
    </w:p>
    <w:p w:rsidR="002A45FF" w:rsidRPr="00770E43" w:rsidRDefault="002A45FF" w:rsidP="00604C3D">
      <w:pPr>
        <w:spacing w:line="269" w:lineRule="auto"/>
        <w:rPr>
          <w:rtl/>
        </w:rPr>
      </w:pPr>
      <w:bookmarkStart w:id="308" w:name="_Hlk147906474"/>
    </w:p>
    <w:p w:rsidR="009A1216" w:rsidRDefault="009A1216" w:rsidP="00367A7B">
      <w:pPr>
        <w:pStyle w:val="aff2"/>
        <w:spacing w:line="269" w:lineRule="auto"/>
        <w:ind w:left="720"/>
        <w:rPr>
          <w:rtl/>
        </w:rPr>
      </w:pPr>
      <w:r w:rsidRPr="000D7E64">
        <w:rPr>
          <w:rFonts w:hint="cs"/>
          <w:rtl/>
        </w:rPr>
        <w:t>מן</w:t>
      </w:r>
      <w:r w:rsidRPr="000D7E64">
        <w:rPr>
          <w:rtl/>
        </w:rPr>
        <w:t xml:space="preserve"> הבדיקה עולה כי הוספת </w:t>
      </w:r>
      <w:r w:rsidRPr="000D7E64">
        <w:rPr>
          <w:rFonts w:hint="cs"/>
          <w:rtl/>
        </w:rPr>
        <w:t>ההסדר</w:t>
      </w:r>
      <w:r w:rsidRPr="000D7E64">
        <w:rPr>
          <w:rtl/>
        </w:rPr>
        <w:t xml:space="preserve"> </w:t>
      </w:r>
      <w:r>
        <w:rPr>
          <w:rFonts w:hint="cs"/>
          <w:rtl/>
        </w:rPr>
        <w:t>שלפיו יש לחשב</w:t>
      </w:r>
      <w:r w:rsidRPr="000D7E64">
        <w:rPr>
          <w:rtl/>
        </w:rPr>
        <w:t xml:space="preserve"> </w:t>
      </w:r>
      <w:r w:rsidRPr="000D7E64">
        <w:rPr>
          <w:rFonts w:hint="cs"/>
          <w:rtl/>
        </w:rPr>
        <w:t>את</w:t>
      </w:r>
      <w:r w:rsidRPr="000D7E64">
        <w:rPr>
          <w:rtl/>
        </w:rPr>
        <w:t xml:space="preserve"> </w:t>
      </w:r>
      <w:r>
        <w:rPr>
          <w:rFonts w:hint="cs"/>
          <w:rtl/>
        </w:rPr>
        <w:t xml:space="preserve">משך </w:t>
      </w:r>
      <w:r w:rsidRPr="000D7E64">
        <w:rPr>
          <w:rtl/>
        </w:rPr>
        <w:t xml:space="preserve">ההאזנה לגבי כל פרשייה </w:t>
      </w:r>
      <w:r w:rsidRPr="000D7E64">
        <w:rPr>
          <w:rFonts w:hint="cs"/>
          <w:rtl/>
        </w:rPr>
        <w:t>בנפרד</w:t>
      </w:r>
      <w:r>
        <w:rPr>
          <w:rFonts w:hint="cs"/>
          <w:rtl/>
        </w:rPr>
        <w:t xml:space="preserve"> </w:t>
      </w:r>
      <w:r w:rsidRPr="000D7E64">
        <w:rPr>
          <w:rFonts w:hint="cs"/>
          <w:rtl/>
        </w:rPr>
        <w:t>הפחית</w:t>
      </w:r>
      <w:r>
        <w:rPr>
          <w:rFonts w:hint="cs"/>
          <w:rtl/>
        </w:rPr>
        <w:t>ה</w:t>
      </w:r>
      <w:r w:rsidRPr="000D7E64">
        <w:rPr>
          <w:rtl/>
        </w:rPr>
        <w:t xml:space="preserve"> </w:t>
      </w:r>
      <w:r w:rsidRPr="000D7E64">
        <w:rPr>
          <w:rFonts w:hint="cs"/>
          <w:rtl/>
        </w:rPr>
        <w:t>הלכה</w:t>
      </w:r>
      <w:r w:rsidRPr="000D7E64">
        <w:rPr>
          <w:rtl/>
        </w:rPr>
        <w:t xml:space="preserve"> </w:t>
      </w:r>
      <w:r w:rsidRPr="000D7E64">
        <w:rPr>
          <w:rFonts w:hint="cs"/>
          <w:rtl/>
        </w:rPr>
        <w:t>למעשה</w:t>
      </w:r>
      <w:r w:rsidRPr="000D7E64">
        <w:rPr>
          <w:rtl/>
        </w:rPr>
        <w:t xml:space="preserve"> </w:t>
      </w:r>
      <w:r>
        <w:rPr>
          <w:rFonts w:hint="cs"/>
          <w:rtl/>
        </w:rPr>
        <w:t>במידה ניכרת</w:t>
      </w:r>
      <w:r w:rsidRPr="000D7E64">
        <w:rPr>
          <w:rtl/>
        </w:rPr>
        <w:t xml:space="preserve"> את היקף יעדי ההאזנה </w:t>
      </w:r>
      <w:r>
        <w:rPr>
          <w:rFonts w:hint="cs"/>
          <w:rtl/>
        </w:rPr>
        <w:t>ש</w:t>
      </w:r>
      <w:r w:rsidRPr="000D7E64">
        <w:rPr>
          <w:rtl/>
        </w:rPr>
        <w:t xml:space="preserve">לגביהם נדרש לקבל אישור פרקליט </w:t>
      </w:r>
      <w:r w:rsidRPr="000D7E64">
        <w:rPr>
          <w:rFonts w:hint="cs"/>
          <w:rtl/>
        </w:rPr>
        <w:t>מחוז</w:t>
      </w:r>
      <w:r w:rsidRPr="000D7E64">
        <w:rPr>
          <w:rtl/>
        </w:rPr>
        <w:t xml:space="preserve"> </w:t>
      </w:r>
      <w:r w:rsidRPr="000D7E64">
        <w:rPr>
          <w:rFonts w:hint="cs"/>
          <w:rtl/>
        </w:rPr>
        <w:t>להאזנה</w:t>
      </w:r>
      <w:r w:rsidRPr="000D7E64">
        <w:rPr>
          <w:rtl/>
        </w:rPr>
        <w:t xml:space="preserve"> </w:t>
      </w:r>
      <w:r>
        <w:rPr>
          <w:rFonts w:hint="cs"/>
          <w:rtl/>
        </w:rPr>
        <w:t>לתקופה של יותר מ</w:t>
      </w:r>
      <w:r w:rsidRPr="000D7E64">
        <w:rPr>
          <w:rFonts w:hint="cs"/>
          <w:rtl/>
        </w:rPr>
        <w:t>שנה</w:t>
      </w:r>
      <w:r>
        <w:rPr>
          <w:rFonts w:hint="cs"/>
          <w:rtl/>
        </w:rPr>
        <w:t xml:space="preserve"> (הפחתה מ-12 יעדים ל-2 יעדים)</w:t>
      </w:r>
      <w:r w:rsidRPr="000D7E64">
        <w:rPr>
          <w:rtl/>
        </w:rPr>
        <w:t xml:space="preserve">. </w:t>
      </w:r>
      <w:r w:rsidRPr="000D7E64">
        <w:rPr>
          <w:rFonts w:hint="cs"/>
          <w:rtl/>
        </w:rPr>
        <w:t>זאת</w:t>
      </w:r>
      <w:r w:rsidRPr="000D7E64">
        <w:rPr>
          <w:rtl/>
        </w:rPr>
        <w:t xml:space="preserve">, </w:t>
      </w:r>
      <w:r w:rsidRPr="000D7E64">
        <w:rPr>
          <w:rFonts w:hint="cs"/>
          <w:rtl/>
        </w:rPr>
        <w:t>גם</w:t>
      </w:r>
      <w:r w:rsidRPr="000D7E64">
        <w:rPr>
          <w:rtl/>
        </w:rPr>
        <w:t xml:space="preserve"> </w:t>
      </w:r>
      <w:r>
        <w:rPr>
          <w:rFonts w:hint="cs"/>
          <w:rtl/>
        </w:rPr>
        <w:t>אם</w:t>
      </w:r>
      <w:r w:rsidRPr="000D7E64">
        <w:rPr>
          <w:rtl/>
        </w:rPr>
        <w:t xml:space="preserve"> </w:t>
      </w:r>
      <w:r w:rsidRPr="000D7E64">
        <w:rPr>
          <w:rFonts w:hint="cs"/>
          <w:rtl/>
        </w:rPr>
        <w:t>ההפרש</w:t>
      </w:r>
      <w:r w:rsidRPr="000D7E64">
        <w:rPr>
          <w:rtl/>
        </w:rPr>
        <w:t xml:space="preserve"> </w:t>
      </w:r>
      <w:r w:rsidRPr="000D7E64">
        <w:rPr>
          <w:rFonts w:hint="cs"/>
          <w:rtl/>
        </w:rPr>
        <w:t>בין</w:t>
      </w:r>
      <w:r w:rsidRPr="000D7E64">
        <w:rPr>
          <w:rtl/>
        </w:rPr>
        <w:t xml:space="preserve"> </w:t>
      </w:r>
      <w:r w:rsidRPr="000A5097">
        <w:rPr>
          <w:rFonts w:hint="cs"/>
          <w:rtl/>
        </w:rPr>
        <w:t>תקופות תחולתם של ההיתרים</w:t>
      </w:r>
      <w:r w:rsidRPr="000A5097">
        <w:rPr>
          <w:rtl/>
        </w:rPr>
        <w:t xml:space="preserve"> </w:t>
      </w:r>
      <w:r w:rsidRPr="000A5097">
        <w:rPr>
          <w:rFonts w:hint="cs"/>
          <w:rtl/>
        </w:rPr>
        <w:t>הוגדל</w:t>
      </w:r>
      <w:r w:rsidRPr="000A5097">
        <w:rPr>
          <w:rtl/>
        </w:rPr>
        <w:t xml:space="preserve"> </w:t>
      </w:r>
      <w:r w:rsidRPr="000A5097">
        <w:rPr>
          <w:rFonts w:hint="cs"/>
          <w:rtl/>
        </w:rPr>
        <w:t>לארבעה</w:t>
      </w:r>
      <w:r w:rsidRPr="000A5097">
        <w:rPr>
          <w:rtl/>
        </w:rPr>
        <w:t xml:space="preserve"> </w:t>
      </w:r>
      <w:r w:rsidRPr="000A5097">
        <w:rPr>
          <w:rFonts w:hint="cs"/>
          <w:rtl/>
        </w:rPr>
        <w:t>חודשים (הפחתה מ-12 יעדים ל-5 יעדים)</w:t>
      </w:r>
      <w:r w:rsidRPr="000A5097">
        <w:rPr>
          <w:rtl/>
        </w:rPr>
        <w:t>.</w:t>
      </w:r>
      <w:r w:rsidRPr="000A5097">
        <w:rPr>
          <w:rFonts w:hint="cs"/>
          <w:rtl/>
        </w:rPr>
        <w:t xml:space="preserve"> </w:t>
      </w:r>
    </w:p>
    <w:p w:rsidR="009A1216" w:rsidRDefault="009A1216" w:rsidP="00367A7B">
      <w:pPr>
        <w:pStyle w:val="a5"/>
        <w:spacing w:line="269" w:lineRule="auto"/>
        <w:ind w:left="153"/>
        <w:rPr>
          <w:rtl/>
        </w:rPr>
      </w:pPr>
      <w:r>
        <w:rPr>
          <w:rFonts w:hint="cs"/>
          <w:rtl/>
        </w:rPr>
        <w:t xml:space="preserve"> </w:t>
      </w:r>
    </w:p>
    <w:p w:rsidR="009A1216" w:rsidRDefault="009A1216" w:rsidP="00367A7B">
      <w:pPr>
        <w:pStyle w:val="aff2"/>
        <w:spacing w:line="269" w:lineRule="auto"/>
        <w:ind w:left="720"/>
        <w:rPr>
          <w:b w:val="0"/>
          <w:bCs w:val="0"/>
          <w:rtl/>
        </w:rPr>
      </w:pPr>
      <w:r w:rsidRPr="00C36AB1">
        <w:rPr>
          <w:rFonts w:hint="cs"/>
          <w:b w:val="0"/>
          <w:bCs w:val="0"/>
          <w:rtl/>
        </w:rPr>
        <w:t xml:space="preserve">המשטרה מסרה כי לפי חוק האזנת סתר, </w:t>
      </w:r>
      <w:r w:rsidRPr="00C36AB1">
        <w:rPr>
          <w:b w:val="0"/>
          <w:bCs w:val="0"/>
          <w:rtl/>
        </w:rPr>
        <w:t>אין מגבלה על מספר הפעמים שניתן לחדש</w:t>
      </w:r>
      <w:r w:rsidRPr="00C36AB1">
        <w:rPr>
          <w:rFonts w:hint="cs"/>
          <w:b w:val="0"/>
          <w:bCs w:val="0"/>
          <w:rtl/>
        </w:rPr>
        <w:t xml:space="preserve"> היתר האזנת סתר</w:t>
      </w:r>
      <w:r w:rsidRPr="00C36AB1">
        <w:rPr>
          <w:b w:val="0"/>
          <w:bCs w:val="0"/>
          <w:rtl/>
        </w:rPr>
        <w:t>. בתקנות האזנת סתר</w:t>
      </w:r>
      <w:r w:rsidRPr="00C36AB1">
        <w:rPr>
          <w:rFonts w:hint="cs"/>
          <w:b w:val="0"/>
          <w:bCs w:val="0"/>
          <w:rtl/>
        </w:rPr>
        <w:t xml:space="preserve"> נקבע ש</w:t>
      </w:r>
      <w:r w:rsidRPr="00C36AB1">
        <w:rPr>
          <w:b w:val="0"/>
          <w:bCs w:val="0"/>
          <w:rtl/>
        </w:rPr>
        <w:t xml:space="preserve">לבקשה יצורפו העתקים מבקשות קודמות הנוגעות לאותו אדם באותו תיק חקירה, וכן החלטות בית המשפט בבקשות אלה לרבות החומר שהוגש לבית המשפט. </w:t>
      </w:r>
      <w:r>
        <w:rPr>
          <w:rFonts w:hint="cs"/>
          <w:b w:val="0"/>
          <w:bCs w:val="0"/>
          <w:rtl/>
        </w:rPr>
        <w:t xml:space="preserve">לעמדתה, </w:t>
      </w:r>
      <w:r w:rsidRPr="00C36AB1">
        <w:rPr>
          <w:b w:val="0"/>
          <w:bCs w:val="0"/>
          <w:rtl/>
        </w:rPr>
        <w:t>לו היה סבור</w:t>
      </w:r>
      <w:r>
        <w:rPr>
          <w:rFonts w:hint="cs"/>
          <w:b w:val="0"/>
          <w:bCs w:val="0"/>
          <w:rtl/>
        </w:rPr>
        <w:t xml:space="preserve"> המחוקק</w:t>
      </w:r>
      <w:r w:rsidRPr="00C36AB1">
        <w:rPr>
          <w:b w:val="0"/>
          <w:bCs w:val="0"/>
          <w:rtl/>
        </w:rPr>
        <w:t xml:space="preserve"> </w:t>
      </w:r>
      <w:r>
        <w:rPr>
          <w:rFonts w:hint="cs"/>
          <w:b w:val="0"/>
          <w:bCs w:val="0"/>
          <w:rtl/>
        </w:rPr>
        <w:t>ש</w:t>
      </w:r>
      <w:r w:rsidRPr="00C36AB1">
        <w:rPr>
          <w:b w:val="0"/>
          <w:bCs w:val="0"/>
          <w:rtl/>
        </w:rPr>
        <w:t xml:space="preserve">על בית המשפט להתייחס לכלל ההאזנות שבוצעו ליעד ההאזנה ולא </w:t>
      </w:r>
      <w:r>
        <w:rPr>
          <w:rFonts w:hint="cs"/>
          <w:b w:val="0"/>
          <w:bCs w:val="0"/>
          <w:rtl/>
        </w:rPr>
        <w:t>בנוגע</w:t>
      </w:r>
      <w:r w:rsidRPr="00C36AB1">
        <w:rPr>
          <w:b w:val="0"/>
          <w:bCs w:val="0"/>
          <w:rtl/>
        </w:rPr>
        <w:t xml:space="preserve"> לפרשייה קונקרטית, </w:t>
      </w:r>
      <w:r>
        <w:rPr>
          <w:rFonts w:hint="cs"/>
          <w:b w:val="0"/>
          <w:bCs w:val="0"/>
          <w:rtl/>
        </w:rPr>
        <w:t xml:space="preserve">הוא </w:t>
      </w:r>
      <w:r w:rsidRPr="00C36AB1">
        <w:rPr>
          <w:b w:val="0"/>
          <w:bCs w:val="0"/>
          <w:rtl/>
        </w:rPr>
        <w:t>לא היה מציין בסעיף 4(ג) לתקנות "לאותו אדם באותו תיק חקירה" אלא היה מסתפק ב"אותו אדם".</w:t>
      </w:r>
      <w:r>
        <w:rPr>
          <w:rFonts w:hint="cs"/>
          <w:b w:val="0"/>
          <w:bCs w:val="0"/>
          <w:rtl/>
        </w:rPr>
        <w:t xml:space="preserve"> לעמדתה, "הקביעה כי עוצמת הפגיעה ביעד ההאזנה מושפעת ממשך ההאזנה כולל ולא מהאזנה בפרשיה מסוימת היא קביעה שרירותית, שגויה ושאינה עולה בקנה אחד עם התקנות ולפיכך היא אינה מקובלת".</w:t>
      </w:r>
    </w:p>
    <w:p w:rsidR="009A1216" w:rsidRDefault="009A1216" w:rsidP="00604C3D">
      <w:pPr>
        <w:pStyle w:val="a5"/>
        <w:spacing w:line="269" w:lineRule="auto"/>
        <w:rPr>
          <w:rtl/>
        </w:rPr>
      </w:pPr>
    </w:p>
    <w:p w:rsidR="009A1216" w:rsidRPr="00C36AB1" w:rsidRDefault="009A1216" w:rsidP="00367A7B">
      <w:pPr>
        <w:pStyle w:val="aff2"/>
        <w:spacing w:line="269" w:lineRule="auto"/>
        <w:ind w:left="720"/>
        <w:rPr>
          <w:b w:val="0"/>
          <w:bCs w:val="0"/>
          <w:rtl/>
        </w:rPr>
      </w:pPr>
      <w:r>
        <w:rPr>
          <w:rFonts w:hint="cs"/>
          <w:b w:val="0"/>
          <w:bCs w:val="0"/>
          <w:rtl/>
        </w:rPr>
        <w:t>מבקר המדינה מעיר למשטרה כי החובה להציג לבית המשפט תמונה מלאה של ההחלטות הקודמות שהתקבלו בעניינו של יעד האזנה בפרשייה מסוימת כמפורט בתקנות</w:t>
      </w:r>
      <w:r>
        <w:rPr>
          <w:rStyle w:val="af"/>
          <w:b w:val="0"/>
          <w:bCs w:val="0"/>
          <w:rtl/>
        </w:rPr>
        <w:footnoteReference w:id="138"/>
      </w:r>
      <w:r>
        <w:rPr>
          <w:rFonts w:hint="cs"/>
          <w:b w:val="0"/>
          <w:bCs w:val="0"/>
          <w:rtl/>
        </w:rPr>
        <w:t>, נפרדת מ</w:t>
      </w:r>
      <w:r w:rsidRPr="00E54DA3">
        <w:rPr>
          <w:b w:val="0"/>
          <w:bCs w:val="0"/>
          <w:rtl/>
        </w:rPr>
        <w:t xml:space="preserve">החובה החלה על </w:t>
      </w:r>
      <w:r>
        <w:rPr>
          <w:rFonts w:hint="cs"/>
          <w:b w:val="0"/>
          <w:bCs w:val="0"/>
          <w:rtl/>
        </w:rPr>
        <w:t>המשטרה</w:t>
      </w:r>
      <w:r w:rsidRPr="00E54DA3">
        <w:rPr>
          <w:b w:val="0"/>
          <w:bCs w:val="0"/>
          <w:rtl/>
        </w:rPr>
        <w:t xml:space="preserve"> לקבל החלטה על האזנת סתר תוך התחשבות בעוצמת הפגיעה שנגרמה ליעד ההאזנה</w:t>
      </w:r>
      <w:r>
        <w:rPr>
          <w:rFonts w:hint="cs"/>
          <w:b w:val="0"/>
          <w:bCs w:val="0"/>
          <w:rtl/>
        </w:rPr>
        <w:t>. עוצמת הפגיעה ביעד ההאזנה מושפעת ממשך ההאזנה הכולל ולא מהאזנה בפרשייה מסוימת</w:t>
      </w:r>
      <w:r w:rsidRPr="00E54DA3">
        <w:rPr>
          <w:b w:val="0"/>
          <w:bCs w:val="0"/>
          <w:rtl/>
        </w:rPr>
        <w:t>.</w:t>
      </w:r>
    </w:p>
    <w:p w:rsidR="002A45FF" w:rsidRPr="00770E43" w:rsidRDefault="002A45FF" w:rsidP="00367A7B">
      <w:pPr>
        <w:spacing w:line="269" w:lineRule="auto"/>
        <w:ind w:left="720"/>
        <w:rPr>
          <w:rtl/>
        </w:rPr>
      </w:pPr>
    </w:p>
    <w:p w:rsidR="009A1216" w:rsidRPr="00BC0B63" w:rsidRDefault="009A1216" w:rsidP="00367A7B">
      <w:pPr>
        <w:pStyle w:val="aff2"/>
        <w:spacing w:line="269" w:lineRule="auto"/>
        <w:ind w:left="720"/>
        <w:rPr>
          <w:rtl/>
        </w:rPr>
      </w:pPr>
      <w:r>
        <w:rPr>
          <w:rFonts w:hint="cs"/>
          <w:rtl/>
        </w:rPr>
        <w:t xml:space="preserve">נוכח הרציונל שהוביל את צוות לבנת משיח וועדת החקירה לקבוע דרג מאשר להאזנה ממושכת, ולפיו פעלה המשטרה עד לשנת 2017, </w:t>
      </w:r>
      <w:r w:rsidRPr="000A5097">
        <w:rPr>
          <w:rFonts w:hint="cs"/>
          <w:rtl/>
        </w:rPr>
        <w:t>על המשטרה לקבוע קריטריון אחיד ופשוט להאזנה ממושכת הטעונה אישור של בעל דרג בכיר</w:t>
      </w:r>
      <w:r>
        <w:rPr>
          <w:rFonts w:hint="cs"/>
          <w:rtl/>
        </w:rPr>
        <w:t xml:space="preserve"> - ראש אח"ם או פרקליט</w:t>
      </w:r>
      <w:r w:rsidRPr="000A5097">
        <w:rPr>
          <w:rFonts w:hint="cs"/>
          <w:rtl/>
        </w:rPr>
        <w:t>, וזאת בהתבסס על שקלול משך ההאזנה ליעד בלבד בהתאם למניין תקופות תחולת הצווים שהוצאו בעניינו</w:t>
      </w:r>
      <w:r>
        <w:rPr>
          <w:rFonts w:hint="cs"/>
          <w:rtl/>
        </w:rPr>
        <w:t xml:space="preserve"> ללא תלות בזהות הפרשייה בה הוא מעורב</w:t>
      </w:r>
      <w:r w:rsidRPr="000A5097">
        <w:rPr>
          <w:rFonts w:hint="cs"/>
          <w:rtl/>
        </w:rPr>
        <w:t>. לשם כך, עליה להשמיט מ</w:t>
      </w:r>
      <w:r>
        <w:rPr>
          <w:rFonts w:hint="cs"/>
          <w:rtl/>
        </w:rPr>
        <w:t xml:space="preserve">ההסדר הקיים ביחס לאישור פרקליט בלבד את </w:t>
      </w:r>
      <w:r w:rsidRPr="000A5097">
        <w:rPr>
          <w:rFonts w:hint="cs"/>
          <w:rtl/>
        </w:rPr>
        <w:t>שקלול הפרמטר של תיק הפרשייה</w:t>
      </w:r>
      <w:r>
        <w:rPr>
          <w:rFonts w:hint="cs"/>
          <w:rtl/>
        </w:rPr>
        <w:t>, וכן להימנע מהכללתו בהסדר הקיים ביחס לאישור ראש אח"ם</w:t>
      </w:r>
      <w:r w:rsidRPr="000A5097">
        <w:rPr>
          <w:rFonts w:hint="cs"/>
          <w:rtl/>
        </w:rPr>
        <w:t>.</w:t>
      </w:r>
      <w:r w:rsidRPr="00BC0B63">
        <w:rPr>
          <w:rFonts w:hint="cs"/>
          <w:rtl/>
        </w:rPr>
        <w:t xml:space="preserve"> </w:t>
      </w:r>
    </w:p>
    <w:bookmarkEnd w:id="308"/>
    <w:p w:rsidR="009A1216" w:rsidRPr="00BC0B63" w:rsidRDefault="009A1216" w:rsidP="00367A7B">
      <w:pPr>
        <w:spacing w:line="269" w:lineRule="auto"/>
        <w:ind w:left="720"/>
        <w:rPr>
          <w:rtl/>
        </w:rPr>
      </w:pPr>
      <w:r>
        <w:rPr>
          <w:rFonts w:hint="cs"/>
          <w:rtl/>
        </w:rPr>
        <w:t>מבקר המדינה בחן שבעה מ-12 יעדי האזנה שההאזנה להם נמשכה יותר משנה בהתאם לתחשיב ראש אח"ם</w:t>
      </w:r>
      <w:r>
        <w:rPr>
          <w:rStyle w:val="af"/>
          <w:rtl/>
        </w:rPr>
        <w:footnoteReference w:id="139"/>
      </w:r>
      <w:r w:rsidRPr="00BC0B63">
        <w:rPr>
          <w:rFonts w:hint="cs"/>
          <w:rtl/>
        </w:rPr>
        <w:t xml:space="preserve">. להלן </w:t>
      </w:r>
      <w:r w:rsidR="008A67C6">
        <w:rPr>
          <w:rFonts w:hint="cs"/>
          <w:rtl/>
        </w:rPr>
        <w:t>לוח</w:t>
      </w:r>
      <w:r w:rsidR="008A67C6" w:rsidRPr="00BC0B63">
        <w:rPr>
          <w:rFonts w:hint="cs"/>
          <w:rtl/>
        </w:rPr>
        <w:t xml:space="preserve"> </w:t>
      </w:r>
      <w:r w:rsidRPr="00BC0B63">
        <w:rPr>
          <w:rFonts w:hint="cs"/>
          <w:rtl/>
        </w:rPr>
        <w:t xml:space="preserve">המפרט את ממצאי הבדיקה: </w:t>
      </w:r>
    </w:p>
    <w:p w:rsidR="002A45FF" w:rsidRDefault="002A45FF" w:rsidP="00604C3D">
      <w:pPr>
        <w:spacing w:line="269" w:lineRule="auto"/>
        <w:ind w:left="720"/>
        <w:jc w:val="center"/>
        <w:rPr>
          <w:rtl/>
        </w:rPr>
      </w:pPr>
    </w:p>
    <w:p w:rsidR="009A1216" w:rsidRPr="00C33ACD" w:rsidRDefault="008A67C6" w:rsidP="00604C3D">
      <w:pPr>
        <w:keepNext/>
        <w:keepLines/>
        <w:spacing w:line="269" w:lineRule="auto"/>
        <w:jc w:val="center"/>
        <w:rPr>
          <w:b/>
          <w:bCs/>
          <w:rtl/>
        </w:rPr>
      </w:pPr>
      <w:r>
        <w:rPr>
          <w:rFonts w:hint="cs"/>
          <w:rtl/>
        </w:rPr>
        <w:t>לוח</w:t>
      </w:r>
      <w:r w:rsidR="00455AF1">
        <w:rPr>
          <w:rFonts w:hint="cs"/>
          <w:rtl/>
        </w:rPr>
        <w:t xml:space="preserve"> 8</w:t>
      </w:r>
      <w:r w:rsidR="009A1216" w:rsidRPr="009179DF">
        <w:rPr>
          <w:rFonts w:hint="cs"/>
          <w:rtl/>
        </w:rPr>
        <w:t>:</w:t>
      </w:r>
      <w:r w:rsidR="009A1216">
        <w:rPr>
          <w:rFonts w:hint="cs"/>
          <w:rtl/>
        </w:rPr>
        <w:t xml:space="preserve"> </w:t>
      </w:r>
      <w:r w:rsidR="009A1216" w:rsidRPr="00282CA4">
        <w:rPr>
          <w:rFonts w:hint="cs"/>
          <w:b/>
          <w:bCs/>
          <w:rtl/>
        </w:rPr>
        <w:t>בחינת</w:t>
      </w:r>
      <w:r w:rsidR="009A1216">
        <w:rPr>
          <w:rFonts w:hint="cs"/>
          <w:rtl/>
        </w:rPr>
        <w:t xml:space="preserve"> </w:t>
      </w:r>
      <w:r w:rsidR="009A1216" w:rsidRPr="00C33ACD">
        <w:rPr>
          <w:rFonts w:hint="cs"/>
          <w:b/>
          <w:bCs/>
          <w:rtl/>
        </w:rPr>
        <w:t xml:space="preserve">מספר יעדי </w:t>
      </w:r>
      <w:r w:rsidR="000003CF">
        <w:rPr>
          <w:rFonts w:hint="cs"/>
          <w:b/>
          <w:bCs/>
          <w:rtl/>
        </w:rPr>
        <w:t>ה</w:t>
      </w:r>
      <w:r w:rsidR="009A1216" w:rsidRPr="00C33ACD">
        <w:rPr>
          <w:rFonts w:hint="cs"/>
          <w:b/>
          <w:bCs/>
          <w:rtl/>
        </w:rPr>
        <w:t xml:space="preserve">האזנה </w:t>
      </w:r>
      <w:r w:rsidR="009A1216" w:rsidRPr="00BF3877">
        <w:rPr>
          <w:rFonts w:hint="cs"/>
          <w:b/>
          <w:bCs/>
          <w:rtl/>
        </w:rPr>
        <w:t>שלגביהם</w:t>
      </w:r>
      <w:r w:rsidR="009A1216" w:rsidRPr="00BF3877">
        <w:rPr>
          <w:b/>
          <w:bCs/>
          <w:rtl/>
        </w:rPr>
        <w:t xml:space="preserve"> </w:t>
      </w:r>
      <w:r w:rsidR="009A1216" w:rsidRPr="00BF3877">
        <w:rPr>
          <w:rFonts w:hint="cs"/>
          <w:b/>
          <w:bCs/>
          <w:rtl/>
        </w:rPr>
        <w:t>התבקשה</w:t>
      </w:r>
      <w:r w:rsidR="009A1216" w:rsidRPr="00BF3877">
        <w:rPr>
          <w:b/>
          <w:bCs/>
          <w:rtl/>
        </w:rPr>
        <w:t xml:space="preserve"> </w:t>
      </w:r>
      <w:r w:rsidR="009A1216" w:rsidRPr="00BF3877">
        <w:rPr>
          <w:rFonts w:hint="cs"/>
          <w:b/>
          <w:bCs/>
          <w:rtl/>
        </w:rPr>
        <w:t>הארכה</w:t>
      </w:r>
      <w:r w:rsidR="009A1216" w:rsidRPr="00BF3877">
        <w:rPr>
          <w:b/>
          <w:bCs/>
          <w:rtl/>
        </w:rPr>
        <w:t xml:space="preserve"> של </w:t>
      </w:r>
      <w:r w:rsidR="009A1216" w:rsidRPr="00BF3877">
        <w:rPr>
          <w:rFonts w:hint="cs"/>
          <w:b/>
          <w:bCs/>
          <w:rtl/>
        </w:rPr>
        <w:t>תקופת</w:t>
      </w:r>
      <w:r w:rsidR="009A1216" w:rsidRPr="00C33ACD">
        <w:rPr>
          <w:rFonts w:hint="cs"/>
          <w:b/>
          <w:bCs/>
          <w:rtl/>
        </w:rPr>
        <w:t xml:space="preserve"> האזנת </w:t>
      </w:r>
      <w:r w:rsidR="009A1216" w:rsidRPr="00BF3877">
        <w:rPr>
          <w:rFonts w:hint="cs"/>
          <w:b/>
          <w:bCs/>
          <w:rtl/>
        </w:rPr>
        <w:t>הסתר</w:t>
      </w:r>
      <w:r w:rsidR="009A1216" w:rsidRPr="00C33ACD">
        <w:rPr>
          <w:rFonts w:hint="cs"/>
          <w:b/>
          <w:bCs/>
          <w:rtl/>
        </w:rPr>
        <w:t xml:space="preserve"> למשך </w:t>
      </w:r>
      <w:r w:rsidR="009A1216" w:rsidRPr="00BF3877">
        <w:rPr>
          <w:rFonts w:hint="cs"/>
          <w:b/>
          <w:bCs/>
          <w:rtl/>
        </w:rPr>
        <w:t>יותר</w:t>
      </w:r>
      <w:r w:rsidR="009A1216" w:rsidRPr="00C33ACD">
        <w:rPr>
          <w:rFonts w:hint="cs"/>
          <w:b/>
          <w:bCs/>
          <w:rtl/>
        </w:rPr>
        <w:t xml:space="preserve"> משנה</w:t>
      </w:r>
      <w:r w:rsidR="009A1216">
        <w:rPr>
          <w:rFonts w:hint="cs"/>
          <w:b/>
          <w:bCs/>
          <w:rtl/>
        </w:rPr>
        <w:t>,</w:t>
      </w:r>
      <w:r w:rsidR="009A1216" w:rsidRPr="00C33ACD">
        <w:rPr>
          <w:rFonts w:hint="cs"/>
          <w:b/>
          <w:bCs/>
          <w:rtl/>
        </w:rPr>
        <w:t xml:space="preserve"> 2019 - 2021</w:t>
      </w:r>
    </w:p>
    <w:tbl>
      <w:tblPr>
        <w:bidiVisual/>
        <w:tblW w:w="82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141"/>
        <w:gridCol w:w="1134"/>
        <w:gridCol w:w="1843"/>
        <w:gridCol w:w="2126"/>
        <w:gridCol w:w="1985"/>
      </w:tblGrid>
      <w:tr w:rsidR="00955BF3" w:rsidRPr="00955BF3" w:rsidTr="002A45FF">
        <w:trPr>
          <w:trHeight w:val="285"/>
        </w:trPr>
        <w:tc>
          <w:tcPr>
            <w:tcW w:w="1141" w:type="dxa"/>
            <w:noWrap/>
            <w:vAlign w:val="center"/>
          </w:tcPr>
          <w:p w:rsidR="00955BF3" w:rsidRPr="00455AF1" w:rsidRDefault="00955BF3" w:rsidP="00604C3D">
            <w:pPr>
              <w:spacing w:line="269" w:lineRule="auto"/>
              <w:jc w:val="center"/>
              <w:rPr>
                <w:rFonts w:ascii="David" w:eastAsia="Calibri" w:hAnsi="David"/>
                <w:b/>
                <w:bCs/>
                <w:color w:val="000000"/>
              </w:rPr>
            </w:pPr>
            <w:r w:rsidRPr="00455AF1">
              <w:rPr>
                <w:rFonts w:ascii="David" w:eastAsia="Calibri" w:hAnsi="David" w:hint="cs"/>
                <w:b/>
                <w:bCs/>
                <w:color w:val="000000"/>
              </w:rPr>
              <w:t>שם הפרשייה</w:t>
            </w:r>
          </w:p>
        </w:tc>
        <w:tc>
          <w:tcPr>
            <w:tcW w:w="1134" w:type="dxa"/>
            <w:tcBorders>
              <w:right w:val="double" w:sz="4" w:space="0" w:color="auto"/>
            </w:tcBorders>
            <w:noWrap/>
            <w:vAlign w:val="center"/>
          </w:tcPr>
          <w:p w:rsidR="00955BF3" w:rsidRPr="00455AF1" w:rsidRDefault="00955BF3" w:rsidP="00604C3D">
            <w:pPr>
              <w:spacing w:line="269" w:lineRule="auto"/>
              <w:jc w:val="center"/>
              <w:rPr>
                <w:rFonts w:ascii="David" w:eastAsia="Calibri" w:hAnsi="David"/>
                <w:b/>
                <w:bCs/>
                <w:color w:val="000000"/>
              </w:rPr>
            </w:pPr>
            <w:r w:rsidRPr="00455AF1">
              <w:rPr>
                <w:rFonts w:ascii="David" w:eastAsia="Calibri" w:hAnsi="David" w:hint="cs"/>
                <w:b/>
                <w:bCs/>
                <w:color w:val="000000"/>
              </w:rPr>
              <w:t>מס"ד יעד האזנה</w:t>
            </w:r>
          </w:p>
        </w:tc>
        <w:tc>
          <w:tcPr>
            <w:tcW w:w="1843" w:type="dxa"/>
            <w:tcBorders>
              <w:left w:val="double" w:sz="4" w:space="0" w:color="auto"/>
            </w:tcBorders>
            <w:vAlign w:val="center"/>
          </w:tcPr>
          <w:p w:rsidR="00955BF3" w:rsidRPr="00455AF1" w:rsidRDefault="00955BF3" w:rsidP="00604C3D">
            <w:pPr>
              <w:spacing w:line="269" w:lineRule="auto"/>
              <w:jc w:val="center"/>
              <w:rPr>
                <w:rFonts w:ascii="David" w:eastAsia="Calibri" w:hAnsi="David"/>
                <w:b/>
                <w:bCs/>
                <w:color w:val="000000"/>
                <w:szCs w:val="20"/>
                <w:rtl/>
              </w:rPr>
            </w:pPr>
            <w:r w:rsidRPr="00455AF1">
              <w:rPr>
                <w:rFonts w:ascii="David" w:eastAsia="Calibri" w:hAnsi="David" w:hint="cs"/>
                <w:b/>
                <w:bCs/>
                <w:color w:val="000000"/>
                <w:szCs w:val="20"/>
                <w:rtl/>
              </w:rPr>
              <w:t>מספר הבקשות להאזנה למשך יותר משנה שדורשות אישור ראש אח"ם ופרקליט</w:t>
            </w:r>
          </w:p>
        </w:tc>
        <w:tc>
          <w:tcPr>
            <w:tcW w:w="2126" w:type="dxa"/>
            <w:vAlign w:val="center"/>
          </w:tcPr>
          <w:p w:rsidR="00955BF3" w:rsidRPr="00455AF1" w:rsidRDefault="00955BF3" w:rsidP="00604C3D">
            <w:pPr>
              <w:spacing w:line="269" w:lineRule="auto"/>
              <w:jc w:val="center"/>
              <w:rPr>
                <w:rFonts w:ascii="David" w:eastAsia="Calibri" w:hAnsi="David"/>
                <w:b/>
                <w:bCs/>
                <w:color w:val="000000"/>
                <w:rtl/>
              </w:rPr>
            </w:pPr>
            <w:r w:rsidRPr="00455AF1">
              <w:rPr>
                <w:rFonts w:ascii="David" w:eastAsia="Calibri" w:hAnsi="David" w:hint="cs"/>
                <w:b/>
                <w:bCs/>
                <w:color w:val="000000"/>
              </w:rPr>
              <w:t>מספר הבקשות שאישר ראש אח"ם</w:t>
            </w:r>
          </w:p>
        </w:tc>
        <w:tc>
          <w:tcPr>
            <w:tcW w:w="1985" w:type="dxa"/>
            <w:vAlign w:val="center"/>
          </w:tcPr>
          <w:p w:rsidR="00955BF3" w:rsidRPr="00455AF1" w:rsidRDefault="00955BF3" w:rsidP="00604C3D">
            <w:pPr>
              <w:spacing w:line="269" w:lineRule="auto"/>
              <w:jc w:val="center"/>
              <w:rPr>
                <w:rFonts w:ascii="David" w:eastAsia="Calibri" w:hAnsi="David"/>
                <w:b/>
                <w:bCs/>
                <w:color w:val="000000"/>
              </w:rPr>
            </w:pPr>
            <w:r w:rsidRPr="00455AF1">
              <w:rPr>
                <w:rFonts w:ascii="David" w:eastAsia="Calibri" w:hAnsi="David" w:hint="cs"/>
                <w:b/>
                <w:bCs/>
                <w:color w:val="000000"/>
              </w:rPr>
              <w:t>מספר הבקשות שאישר פרקליט</w:t>
            </w:r>
          </w:p>
        </w:tc>
      </w:tr>
      <w:tr w:rsidR="00955BF3" w:rsidRPr="00955BF3" w:rsidTr="002A45FF">
        <w:trPr>
          <w:trHeight w:val="285"/>
        </w:trPr>
        <w:tc>
          <w:tcPr>
            <w:tcW w:w="1141" w:type="dxa"/>
            <w:noWrap/>
            <w:vAlign w:val="center"/>
          </w:tcPr>
          <w:p w:rsidR="00955BF3" w:rsidRPr="00955BF3" w:rsidRDefault="00955BF3" w:rsidP="00604C3D">
            <w:pPr>
              <w:spacing w:line="269" w:lineRule="auto"/>
              <w:jc w:val="left"/>
              <w:rPr>
                <w:rFonts w:ascii="David" w:eastAsia="Calibri" w:hAnsi="David"/>
                <w:color w:val="000000"/>
              </w:rPr>
            </w:pPr>
            <w:r w:rsidRPr="00955BF3">
              <w:rPr>
                <w:rFonts w:ascii="David" w:eastAsia="Calibri" w:hAnsi="David" w:hint="cs"/>
                <w:color w:val="000000"/>
              </w:rPr>
              <w:t>פרשייה א</w:t>
            </w:r>
          </w:p>
        </w:tc>
        <w:tc>
          <w:tcPr>
            <w:tcW w:w="1134" w:type="dxa"/>
            <w:tcBorders>
              <w:right w:val="double" w:sz="4" w:space="0" w:color="auto"/>
            </w:tcBorders>
            <w:noWrap/>
            <w:vAlign w:val="center"/>
          </w:tcPr>
          <w:p w:rsidR="00955BF3" w:rsidRPr="00955BF3" w:rsidRDefault="00955BF3" w:rsidP="00604C3D">
            <w:pPr>
              <w:spacing w:line="269" w:lineRule="auto"/>
              <w:jc w:val="center"/>
              <w:rPr>
                <w:rFonts w:ascii="David" w:eastAsia="Calibri" w:hAnsi="David"/>
                <w:color w:val="000000"/>
              </w:rPr>
            </w:pPr>
            <w:r w:rsidRPr="00955BF3">
              <w:rPr>
                <w:rFonts w:ascii="David" w:eastAsia="Calibri" w:hAnsi="David" w:hint="cs"/>
                <w:color w:val="000000"/>
              </w:rPr>
              <w:t>1</w:t>
            </w:r>
          </w:p>
        </w:tc>
        <w:tc>
          <w:tcPr>
            <w:tcW w:w="1843" w:type="dxa"/>
            <w:tcBorders>
              <w:left w:val="double" w:sz="4" w:space="0" w:color="auto"/>
            </w:tcBorders>
            <w:vAlign w:val="center"/>
          </w:tcPr>
          <w:p w:rsidR="00955BF3" w:rsidRPr="00955BF3" w:rsidRDefault="00955BF3" w:rsidP="00604C3D">
            <w:pPr>
              <w:spacing w:line="269" w:lineRule="auto"/>
              <w:jc w:val="center"/>
              <w:rPr>
                <w:rFonts w:ascii="David" w:eastAsia="Calibri" w:hAnsi="David"/>
                <w:color w:val="000000"/>
              </w:rPr>
            </w:pPr>
            <w:r w:rsidRPr="00955BF3">
              <w:rPr>
                <w:rFonts w:ascii="David" w:eastAsia="Calibri" w:hAnsi="David" w:hint="cs"/>
                <w:color w:val="000000"/>
              </w:rPr>
              <w:t>4</w:t>
            </w:r>
          </w:p>
        </w:tc>
        <w:tc>
          <w:tcPr>
            <w:tcW w:w="2126" w:type="dxa"/>
            <w:vAlign w:val="center"/>
          </w:tcPr>
          <w:p w:rsidR="00955BF3" w:rsidRPr="00955BF3" w:rsidRDefault="00955BF3" w:rsidP="00604C3D">
            <w:pPr>
              <w:spacing w:line="269" w:lineRule="auto"/>
              <w:jc w:val="center"/>
              <w:rPr>
                <w:rFonts w:ascii="David" w:eastAsia="Calibri" w:hAnsi="David"/>
                <w:color w:val="000000"/>
                <w:rtl/>
              </w:rPr>
            </w:pPr>
            <w:r w:rsidRPr="00955BF3">
              <w:rPr>
                <w:rFonts w:ascii="David" w:eastAsia="Calibri" w:hAnsi="David"/>
                <w:color w:val="000000"/>
              </w:rPr>
              <w:t>4</w:t>
            </w:r>
          </w:p>
        </w:tc>
        <w:tc>
          <w:tcPr>
            <w:tcW w:w="1985"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4</w:t>
            </w:r>
          </w:p>
        </w:tc>
      </w:tr>
      <w:tr w:rsidR="00955BF3" w:rsidRPr="00955BF3" w:rsidTr="002A45FF">
        <w:trPr>
          <w:trHeight w:val="285"/>
        </w:trPr>
        <w:tc>
          <w:tcPr>
            <w:tcW w:w="1141" w:type="dxa"/>
            <w:vMerge w:val="restart"/>
            <w:noWrap/>
            <w:vAlign w:val="center"/>
          </w:tcPr>
          <w:p w:rsidR="00955BF3" w:rsidRPr="00955BF3" w:rsidRDefault="00955BF3" w:rsidP="00604C3D">
            <w:pPr>
              <w:spacing w:line="269" w:lineRule="auto"/>
              <w:jc w:val="left"/>
              <w:rPr>
                <w:rFonts w:ascii="David" w:eastAsia="Calibri" w:hAnsi="David"/>
                <w:color w:val="000000"/>
              </w:rPr>
            </w:pPr>
            <w:r w:rsidRPr="00955BF3">
              <w:rPr>
                <w:rFonts w:ascii="David" w:eastAsia="Calibri" w:hAnsi="David" w:hint="cs"/>
                <w:color w:val="000000"/>
              </w:rPr>
              <w:t>פרשייה ב</w:t>
            </w:r>
          </w:p>
        </w:tc>
        <w:tc>
          <w:tcPr>
            <w:tcW w:w="1134" w:type="dxa"/>
            <w:tcBorders>
              <w:right w:val="double" w:sz="4" w:space="0" w:color="auto"/>
            </w:tcBorders>
            <w:noWrap/>
            <w:vAlign w:val="center"/>
          </w:tcPr>
          <w:p w:rsidR="00955BF3" w:rsidRPr="00955BF3" w:rsidRDefault="00955BF3" w:rsidP="00604C3D">
            <w:pPr>
              <w:spacing w:line="269" w:lineRule="auto"/>
              <w:jc w:val="center"/>
              <w:rPr>
                <w:rFonts w:ascii="David" w:eastAsia="Calibri" w:hAnsi="David"/>
                <w:color w:val="000000"/>
              </w:rPr>
            </w:pPr>
            <w:r w:rsidRPr="00955BF3">
              <w:rPr>
                <w:rFonts w:ascii="David" w:eastAsia="Calibri" w:hAnsi="David" w:hint="cs"/>
                <w:color w:val="000000"/>
              </w:rPr>
              <w:t>2</w:t>
            </w:r>
          </w:p>
        </w:tc>
        <w:tc>
          <w:tcPr>
            <w:tcW w:w="1843" w:type="dxa"/>
            <w:tcBorders>
              <w:left w:val="double" w:sz="4" w:space="0" w:color="auto"/>
            </w:tcBorders>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w:t>
            </w:r>
          </w:p>
        </w:tc>
        <w:tc>
          <w:tcPr>
            <w:tcW w:w="2126"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0</w:t>
            </w:r>
          </w:p>
        </w:tc>
        <w:tc>
          <w:tcPr>
            <w:tcW w:w="1985"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0</w:t>
            </w:r>
          </w:p>
        </w:tc>
      </w:tr>
      <w:tr w:rsidR="00955BF3" w:rsidRPr="00955BF3" w:rsidTr="002A45FF">
        <w:trPr>
          <w:trHeight w:val="285"/>
        </w:trPr>
        <w:tc>
          <w:tcPr>
            <w:tcW w:w="1141" w:type="dxa"/>
            <w:vMerge/>
            <w:noWrap/>
            <w:vAlign w:val="center"/>
          </w:tcPr>
          <w:p w:rsidR="00955BF3" w:rsidRPr="00955BF3" w:rsidRDefault="00955BF3" w:rsidP="00604C3D">
            <w:pPr>
              <w:spacing w:line="269" w:lineRule="auto"/>
              <w:jc w:val="left"/>
              <w:rPr>
                <w:rFonts w:ascii="David" w:eastAsia="Calibri" w:hAnsi="David"/>
                <w:color w:val="000000"/>
              </w:rPr>
            </w:pPr>
          </w:p>
        </w:tc>
        <w:tc>
          <w:tcPr>
            <w:tcW w:w="1134" w:type="dxa"/>
            <w:tcBorders>
              <w:right w:val="double" w:sz="4" w:space="0" w:color="auto"/>
            </w:tcBorders>
            <w:noWrap/>
            <w:vAlign w:val="center"/>
          </w:tcPr>
          <w:p w:rsidR="00955BF3" w:rsidRPr="00955BF3" w:rsidRDefault="00955BF3" w:rsidP="00604C3D">
            <w:pPr>
              <w:spacing w:line="269" w:lineRule="auto"/>
              <w:jc w:val="center"/>
              <w:rPr>
                <w:rFonts w:ascii="David" w:eastAsia="Calibri" w:hAnsi="David"/>
                <w:color w:val="000000"/>
              </w:rPr>
            </w:pPr>
            <w:r w:rsidRPr="00955BF3">
              <w:rPr>
                <w:rFonts w:ascii="David" w:eastAsia="Calibri" w:hAnsi="David" w:hint="cs"/>
                <w:color w:val="000000"/>
              </w:rPr>
              <w:t>3</w:t>
            </w:r>
          </w:p>
        </w:tc>
        <w:tc>
          <w:tcPr>
            <w:tcW w:w="1843" w:type="dxa"/>
            <w:tcBorders>
              <w:left w:val="double" w:sz="4" w:space="0" w:color="auto"/>
            </w:tcBorders>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w:t>
            </w:r>
          </w:p>
        </w:tc>
        <w:tc>
          <w:tcPr>
            <w:tcW w:w="2126"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0</w:t>
            </w:r>
          </w:p>
        </w:tc>
        <w:tc>
          <w:tcPr>
            <w:tcW w:w="1985"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0</w:t>
            </w:r>
          </w:p>
        </w:tc>
      </w:tr>
      <w:tr w:rsidR="00955BF3" w:rsidRPr="00955BF3" w:rsidTr="002A45FF">
        <w:trPr>
          <w:trHeight w:val="285"/>
        </w:trPr>
        <w:tc>
          <w:tcPr>
            <w:tcW w:w="1141" w:type="dxa"/>
            <w:noWrap/>
            <w:vAlign w:val="center"/>
          </w:tcPr>
          <w:p w:rsidR="00955BF3" w:rsidRPr="00955BF3" w:rsidRDefault="00955BF3" w:rsidP="00604C3D">
            <w:pPr>
              <w:spacing w:line="269" w:lineRule="auto"/>
              <w:jc w:val="left"/>
              <w:rPr>
                <w:rFonts w:ascii="David" w:eastAsia="Calibri" w:hAnsi="David"/>
                <w:color w:val="000000"/>
              </w:rPr>
            </w:pPr>
            <w:r w:rsidRPr="00955BF3">
              <w:rPr>
                <w:rFonts w:ascii="David" w:eastAsia="Calibri" w:hAnsi="David" w:hint="cs"/>
                <w:color w:val="000000"/>
              </w:rPr>
              <w:t>פרשייה ג</w:t>
            </w:r>
          </w:p>
        </w:tc>
        <w:tc>
          <w:tcPr>
            <w:tcW w:w="1134" w:type="dxa"/>
            <w:tcBorders>
              <w:right w:val="double" w:sz="4" w:space="0" w:color="auto"/>
            </w:tcBorders>
            <w:noWrap/>
            <w:vAlign w:val="center"/>
          </w:tcPr>
          <w:p w:rsidR="00955BF3" w:rsidRPr="00955BF3" w:rsidRDefault="00955BF3" w:rsidP="00604C3D">
            <w:pPr>
              <w:spacing w:line="269" w:lineRule="auto"/>
              <w:jc w:val="center"/>
              <w:rPr>
                <w:rFonts w:ascii="David" w:eastAsia="Calibri" w:hAnsi="David"/>
                <w:color w:val="000000"/>
              </w:rPr>
            </w:pPr>
            <w:r w:rsidRPr="00955BF3">
              <w:rPr>
                <w:rFonts w:ascii="David" w:eastAsia="Calibri" w:hAnsi="David" w:hint="cs"/>
                <w:color w:val="000000"/>
              </w:rPr>
              <w:t>4</w:t>
            </w:r>
          </w:p>
        </w:tc>
        <w:tc>
          <w:tcPr>
            <w:tcW w:w="1843" w:type="dxa"/>
            <w:tcBorders>
              <w:left w:val="double" w:sz="4" w:space="0" w:color="auto"/>
            </w:tcBorders>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w:t>
            </w:r>
          </w:p>
        </w:tc>
        <w:tc>
          <w:tcPr>
            <w:tcW w:w="2126"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w:t>
            </w:r>
          </w:p>
        </w:tc>
        <w:tc>
          <w:tcPr>
            <w:tcW w:w="1985"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0</w:t>
            </w:r>
          </w:p>
        </w:tc>
      </w:tr>
      <w:tr w:rsidR="00955BF3" w:rsidRPr="00955BF3" w:rsidTr="002A45FF">
        <w:trPr>
          <w:trHeight w:val="285"/>
        </w:trPr>
        <w:tc>
          <w:tcPr>
            <w:tcW w:w="1141" w:type="dxa"/>
            <w:noWrap/>
            <w:vAlign w:val="center"/>
          </w:tcPr>
          <w:p w:rsidR="00955BF3" w:rsidRPr="00955BF3" w:rsidRDefault="00955BF3" w:rsidP="00604C3D">
            <w:pPr>
              <w:spacing w:line="269" w:lineRule="auto"/>
              <w:jc w:val="left"/>
              <w:rPr>
                <w:rFonts w:ascii="David" w:eastAsia="Calibri" w:hAnsi="David"/>
                <w:color w:val="000000"/>
                <w:rtl/>
              </w:rPr>
            </w:pPr>
            <w:r w:rsidRPr="00955BF3">
              <w:rPr>
                <w:rFonts w:ascii="David" w:eastAsia="Calibri" w:hAnsi="David" w:hint="cs"/>
                <w:color w:val="000000"/>
              </w:rPr>
              <w:t>פרשייה ד</w:t>
            </w:r>
          </w:p>
        </w:tc>
        <w:tc>
          <w:tcPr>
            <w:tcW w:w="1134" w:type="dxa"/>
            <w:tcBorders>
              <w:right w:val="double" w:sz="4" w:space="0" w:color="auto"/>
            </w:tcBorders>
            <w:noWrap/>
            <w:vAlign w:val="center"/>
          </w:tcPr>
          <w:p w:rsidR="00955BF3" w:rsidRPr="00955BF3" w:rsidRDefault="00955BF3" w:rsidP="00604C3D">
            <w:pPr>
              <w:spacing w:line="269" w:lineRule="auto"/>
              <w:jc w:val="center"/>
              <w:rPr>
                <w:rFonts w:ascii="David" w:eastAsia="Calibri" w:hAnsi="David"/>
                <w:color w:val="000000"/>
              </w:rPr>
            </w:pPr>
            <w:r w:rsidRPr="00955BF3">
              <w:rPr>
                <w:rFonts w:ascii="David" w:eastAsia="Calibri" w:hAnsi="David" w:hint="cs"/>
                <w:color w:val="000000"/>
              </w:rPr>
              <w:t>5</w:t>
            </w:r>
          </w:p>
        </w:tc>
        <w:tc>
          <w:tcPr>
            <w:tcW w:w="1843" w:type="dxa"/>
            <w:tcBorders>
              <w:left w:val="double" w:sz="4" w:space="0" w:color="auto"/>
            </w:tcBorders>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6</w:t>
            </w:r>
          </w:p>
        </w:tc>
        <w:tc>
          <w:tcPr>
            <w:tcW w:w="2126"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6</w:t>
            </w:r>
          </w:p>
        </w:tc>
        <w:tc>
          <w:tcPr>
            <w:tcW w:w="1985"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6</w:t>
            </w:r>
          </w:p>
        </w:tc>
      </w:tr>
      <w:tr w:rsidR="00955BF3" w:rsidRPr="00955BF3" w:rsidTr="002A45FF">
        <w:trPr>
          <w:trHeight w:val="285"/>
        </w:trPr>
        <w:tc>
          <w:tcPr>
            <w:tcW w:w="1141" w:type="dxa"/>
            <w:noWrap/>
            <w:vAlign w:val="center"/>
          </w:tcPr>
          <w:p w:rsidR="00955BF3" w:rsidRPr="00955BF3" w:rsidRDefault="00955BF3" w:rsidP="00604C3D">
            <w:pPr>
              <w:spacing w:line="269" w:lineRule="auto"/>
              <w:jc w:val="left"/>
              <w:rPr>
                <w:rFonts w:ascii="David" w:eastAsia="Calibri" w:hAnsi="David"/>
                <w:color w:val="000000"/>
              </w:rPr>
            </w:pPr>
            <w:r w:rsidRPr="00955BF3">
              <w:rPr>
                <w:rFonts w:ascii="David" w:eastAsia="Calibri" w:hAnsi="David" w:hint="cs"/>
                <w:color w:val="000000"/>
              </w:rPr>
              <w:t>פרשייה ה</w:t>
            </w:r>
          </w:p>
        </w:tc>
        <w:tc>
          <w:tcPr>
            <w:tcW w:w="1134" w:type="dxa"/>
            <w:tcBorders>
              <w:right w:val="double" w:sz="4" w:space="0" w:color="auto"/>
            </w:tcBorders>
            <w:noWrap/>
            <w:vAlign w:val="center"/>
          </w:tcPr>
          <w:p w:rsidR="00955BF3" w:rsidRPr="00955BF3" w:rsidRDefault="00955BF3" w:rsidP="00604C3D">
            <w:pPr>
              <w:spacing w:line="269" w:lineRule="auto"/>
              <w:jc w:val="center"/>
              <w:rPr>
                <w:rFonts w:ascii="David" w:eastAsia="Calibri" w:hAnsi="David"/>
                <w:color w:val="000000"/>
              </w:rPr>
            </w:pPr>
            <w:r w:rsidRPr="00955BF3">
              <w:rPr>
                <w:rFonts w:ascii="David" w:eastAsia="Calibri" w:hAnsi="David" w:hint="cs"/>
                <w:color w:val="000000"/>
              </w:rPr>
              <w:t>6</w:t>
            </w:r>
          </w:p>
        </w:tc>
        <w:tc>
          <w:tcPr>
            <w:tcW w:w="1843" w:type="dxa"/>
            <w:tcBorders>
              <w:left w:val="double" w:sz="4" w:space="0" w:color="auto"/>
            </w:tcBorders>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4</w:t>
            </w:r>
          </w:p>
        </w:tc>
        <w:tc>
          <w:tcPr>
            <w:tcW w:w="2126"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w:t>
            </w:r>
          </w:p>
        </w:tc>
        <w:tc>
          <w:tcPr>
            <w:tcW w:w="1985"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4</w:t>
            </w:r>
          </w:p>
        </w:tc>
      </w:tr>
      <w:tr w:rsidR="00955BF3" w:rsidRPr="00955BF3" w:rsidTr="002A45FF">
        <w:trPr>
          <w:trHeight w:val="285"/>
        </w:trPr>
        <w:tc>
          <w:tcPr>
            <w:tcW w:w="1141" w:type="dxa"/>
            <w:noWrap/>
            <w:vAlign w:val="center"/>
          </w:tcPr>
          <w:p w:rsidR="00955BF3" w:rsidRPr="00955BF3" w:rsidRDefault="00955BF3" w:rsidP="00604C3D">
            <w:pPr>
              <w:spacing w:line="269" w:lineRule="auto"/>
              <w:jc w:val="left"/>
              <w:rPr>
                <w:rFonts w:ascii="David" w:eastAsia="Calibri" w:hAnsi="David"/>
                <w:color w:val="000000"/>
              </w:rPr>
            </w:pPr>
            <w:r w:rsidRPr="00955BF3">
              <w:rPr>
                <w:rFonts w:ascii="David" w:eastAsia="Calibri" w:hAnsi="David" w:hint="cs"/>
                <w:color w:val="000000"/>
              </w:rPr>
              <w:t>פרשייה ו</w:t>
            </w:r>
          </w:p>
        </w:tc>
        <w:tc>
          <w:tcPr>
            <w:tcW w:w="1134" w:type="dxa"/>
            <w:tcBorders>
              <w:right w:val="double" w:sz="4" w:space="0" w:color="auto"/>
            </w:tcBorders>
            <w:noWrap/>
            <w:vAlign w:val="center"/>
          </w:tcPr>
          <w:p w:rsidR="00955BF3" w:rsidRPr="00955BF3" w:rsidRDefault="00955BF3" w:rsidP="00604C3D">
            <w:pPr>
              <w:spacing w:line="269" w:lineRule="auto"/>
              <w:jc w:val="center"/>
              <w:rPr>
                <w:rFonts w:ascii="David" w:eastAsia="Calibri" w:hAnsi="David"/>
                <w:color w:val="000000"/>
              </w:rPr>
            </w:pPr>
            <w:r w:rsidRPr="00955BF3">
              <w:rPr>
                <w:rFonts w:ascii="David" w:eastAsia="Calibri" w:hAnsi="David" w:hint="cs"/>
                <w:color w:val="000000"/>
              </w:rPr>
              <w:t>7</w:t>
            </w:r>
          </w:p>
        </w:tc>
        <w:tc>
          <w:tcPr>
            <w:tcW w:w="1843" w:type="dxa"/>
            <w:tcBorders>
              <w:left w:val="double" w:sz="4" w:space="0" w:color="auto"/>
            </w:tcBorders>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w:t>
            </w:r>
          </w:p>
        </w:tc>
        <w:tc>
          <w:tcPr>
            <w:tcW w:w="2126"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w:t>
            </w:r>
          </w:p>
        </w:tc>
        <w:tc>
          <w:tcPr>
            <w:tcW w:w="1985"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0</w:t>
            </w:r>
          </w:p>
        </w:tc>
      </w:tr>
      <w:tr w:rsidR="00955BF3" w:rsidRPr="00955BF3" w:rsidTr="002A45FF">
        <w:trPr>
          <w:trHeight w:val="285"/>
        </w:trPr>
        <w:tc>
          <w:tcPr>
            <w:tcW w:w="1141" w:type="dxa"/>
            <w:noWrap/>
            <w:vAlign w:val="center"/>
          </w:tcPr>
          <w:p w:rsidR="00955BF3" w:rsidRPr="00955BF3" w:rsidRDefault="00955BF3" w:rsidP="00604C3D">
            <w:pPr>
              <w:spacing w:line="269" w:lineRule="auto"/>
              <w:rPr>
                <w:rFonts w:ascii="David" w:eastAsia="Calibri" w:hAnsi="David"/>
                <w:color w:val="000000"/>
              </w:rPr>
            </w:pPr>
          </w:p>
        </w:tc>
        <w:tc>
          <w:tcPr>
            <w:tcW w:w="1134" w:type="dxa"/>
            <w:tcBorders>
              <w:right w:val="double" w:sz="4" w:space="0" w:color="auto"/>
            </w:tcBorders>
            <w:noWrap/>
            <w:vAlign w:val="center"/>
          </w:tcPr>
          <w:p w:rsidR="00955BF3" w:rsidRPr="00955BF3" w:rsidRDefault="00955BF3" w:rsidP="00604C3D">
            <w:pPr>
              <w:spacing w:line="269" w:lineRule="auto"/>
              <w:jc w:val="center"/>
              <w:rPr>
                <w:rFonts w:ascii="David" w:eastAsia="Calibri" w:hAnsi="David"/>
                <w:color w:val="000000"/>
                <w:rtl/>
              </w:rPr>
            </w:pPr>
          </w:p>
        </w:tc>
        <w:tc>
          <w:tcPr>
            <w:tcW w:w="1843" w:type="dxa"/>
            <w:tcBorders>
              <w:left w:val="double" w:sz="4" w:space="0" w:color="auto"/>
            </w:tcBorders>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18</w:t>
            </w:r>
          </w:p>
        </w:tc>
        <w:tc>
          <w:tcPr>
            <w:tcW w:w="2126"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13</w:t>
            </w:r>
          </w:p>
        </w:tc>
        <w:tc>
          <w:tcPr>
            <w:tcW w:w="1985" w:type="dxa"/>
            <w:vAlign w:val="center"/>
          </w:tcPr>
          <w:p w:rsidR="00955BF3" w:rsidRPr="00955BF3" w:rsidRDefault="00955BF3" w:rsidP="00604C3D">
            <w:pPr>
              <w:bidi w:val="0"/>
              <w:spacing w:line="269" w:lineRule="auto"/>
              <w:jc w:val="center"/>
              <w:rPr>
                <w:rFonts w:ascii="David" w:eastAsia="Calibri" w:hAnsi="David"/>
                <w:color w:val="000000"/>
              </w:rPr>
            </w:pPr>
            <w:r w:rsidRPr="00955BF3">
              <w:rPr>
                <w:rFonts w:ascii="David" w:eastAsia="Calibri" w:hAnsi="David"/>
                <w:color w:val="000000"/>
              </w:rPr>
              <w:t>14</w:t>
            </w:r>
          </w:p>
        </w:tc>
      </w:tr>
    </w:tbl>
    <w:p w:rsidR="009A1216" w:rsidRPr="00282CA4" w:rsidRDefault="009A1216" w:rsidP="00604C3D">
      <w:pPr>
        <w:pStyle w:val="a5"/>
        <w:spacing w:line="269" w:lineRule="auto"/>
        <w:ind w:left="0"/>
        <w:rPr>
          <w:rtl/>
        </w:rPr>
      </w:pPr>
      <w:r w:rsidRPr="00282CA4">
        <w:rPr>
          <w:rFonts w:hint="cs"/>
          <w:sz w:val="16"/>
          <w:rtl/>
        </w:rPr>
        <w:t>על פי ממצאי הביקורת, בעיבוד משרד מבקר המדינה</w:t>
      </w:r>
      <w:r w:rsidR="00CA76F6">
        <w:rPr>
          <w:rFonts w:hint="cs"/>
          <w:rtl/>
        </w:rPr>
        <w:t>.</w:t>
      </w:r>
    </w:p>
    <w:p w:rsidR="002A45FF" w:rsidRDefault="002A45FF" w:rsidP="00604C3D">
      <w:pPr>
        <w:spacing w:line="269" w:lineRule="auto"/>
        <w:rPr>
          <w:b/>
          <w:bCs/>
          <w:rtl/>
        </w:rPr>
      </w:pPr>
      <w:bookmarkStart w:id="309" w:name="_Hlk147906486"/>
    </w:p>
    <w:p w:rsidR="009A1216" w:rsidRDefault="009A1216" w:rsidP="00367A7B">
      <w:pPr>
        <w:spacing w:line="269" w:lineRule="auto"/>
        <w:ind w:left="720"/>
        <w:rPr>
          <w:b/>
          <w:bCs/>
          <w:rtl/>
        </w:rPr>
      </w:pPr>
      <w:r w:rsidRPr="006F7102">
        <w:rPr>
          <w:rFonts w:hint="cs"/>
          <w:b/>
          <w:bCs/>
          <w:rtl/>
        </w:rPr>
        <w:t>מ</w:t>
      </w:r>
      <w:r>
        <w:rPr>
          <w:rFonts w:hint="cs"/>
          <w:b/>
          <w:bCs/>
          <w:rtl/>
        </w:rPr>
        <w:t>לבד</w:t>
      </w:r>
      <w:r w:rsidRPr="006F7102">
        <w:rPr>
          <w:b/>
          <w:bCs/>
          <w:rtl/>
        </w:rPr>
        <w:t xml:space="preserve"> </w:t>
      </w:r>
      <w:r>
        <w:rPr>
          <w:rFonts w:hint="cs"/>
          <w:b/>
          <w:bCs/>
          <w:rtl/>
        </w:rPr>
        <w:t>ה</w:t>
      </w:r>
      <w:r w:rsidRPr="006F7102">
        <w:rPr>
          <w:b/>
          <w:bCs/>
          <w:rtl/>
        </w:rPr>
        <w:t xml:space="preserve">קושי שעלה בהסדר </w:t>
      </w:r>
      <w:r w:rsidRPr="006F7102">
        <w:rPr>
          <w:rFonts w:hint="cs"/>
          <w:b/>
          <w:bCs/>
          <w:rtl/>
        </w:rPr>
        <w:t>שקבעה המשטרה לגבי חישוב תקופות ההאזנה נמצא</w:t>
      </w:r>
      <w:r w:rsidRPr="006F7102">
        <w:rPr>
          <w:b/>
          <w:bCs/>
          <w:rtl/>
        </w:rPr>
        <w:t xml:space="preserve"> כי </w:t>
      </w:r>
      <w:r w:rsidRPr="006F7102">
        <w:rPr>
          <w:rFonts w:hint="cs"/>
          <w:b/>
          <w:bCs/>
          <w:rtl/>
        </w:rPr>
        <w:t>המשטרה</w:t>
      </w:r>
      <w:r w:rsidRPr="006F7102">
        <w:rPr>
          <w:b/>
          <w:bCs/>
          <w:rtl/>
        </w:rPr>
        <w:t xml:space="preserve"> </w:t>
      </w:r>
      <w:r w:rsidRPr="006F7102">
        <w:rPr>
          <w:rFonts w:hint="cs"/>
          <w:b/>
          <w:bCs/>
          <w:rtl/>
        </w:rPr>
        <w:t>אף לא</w:t>
      </w:r>
      <w:r w:rsidRPr="006F7102">
        <w:rPr>
          <w:b/>
          <w:bCs/>
          <w:rtl/>
        </w:rPr>
        <w:t xml:space="preserve"> הקפידה </w:t>
      </w:r>
      <w:r>
        <w:rPr>
          <w:rFonts w:hint="cs"/>
          <w:b/>
          <w:bCs/>
          <w:rtl/>
        </w:rPr>
        <w:t xml:space="preserve">על </w:t>
      </w:r>
      <w:r w:rsidRPr="006F7102">
        <w:rPr>
          <w:b/>
          <w:bCs/>
          <w:rtl/>
        </w:rPr>
        <w:t xml:space="preserve">יישום </w:t>
      </w:r>
      <w:r w:rsidRPr="006F7102">
        <w:rPr>
          <w:rFonts w:hint="cs"/>
          <w:b/>
          <w:bCs/>
          <w:rtl/>
        </w:rPr>
        <w:t>הנהלים</w:t>
      </w:r>
      <w:r w:rsidRPr="006F7102">
        <w:rPr>
          <w:b/>
          <w:bCs/>
          <w:rtl/>
        </w:rPr>
        <w:t xml:space="preserve"> בכל הנוגע לקיום האזנות ממ</w:t>
      </w:r>
      <w:r w:rsidRPr="006F7102">
        <w:rPr>
          <w:rFonts w:hint="cs"/>
          <w:b/>
          <w:bCs/>
          <w:rtl/>
        </w:rPr>
        <w:t>ושכות</w:t>
      </w:r>
      <w:r w:rsidRPr="006F7102">
        <w:rPr>
          <w:b/>
          <w:bCs/>
          <w:rtl/>
        </w:rPr>
        <w:t xml:space="preserve">. </w:t>
      </w:r>
      <w:bookmarkStart w:id="310" w:name="_Hlk187818834"/>
      <w:r>
        <w:rPr>
          <w:rFonts w:hint="cs"/>
          <w:b/>
          <w:bCs/>
          <w:rtl/>
        </w:rPr>
        <w:t>לגבי שלושה</w:t>
      </w:r>
      <w:r>
        <w:rPr>
          <w:b/>
          <w:bCs/>
          <w:rtl/>
        </w:rPr>
        <w:t xml:space="preserve"> </w:t>
      </w:r>
      <w:r w:rsidRPr="006F7102">
        <w:rPr>
          <w:rFonts w:hint="cs"/>
          <w:b/>
          <w:bCs/>
          <w:rtl/>
        </w:rPr>
        <w:t>(</w:t>
      </w:r>
      <w:r>
        <w:rPr>
          <w:rFonts w:hint="cs"/>
          <w:b/>
          <w:bCs/>
          <w:rtl/>
        </w:rPr>
        <w:t>43</w:t>
      </w:r>
      <w:r w:rsidRPr="006F7102">
        <w:rPr>
          <w:rFonts w:hint="cs"/>
          <w:b/>
          <w:bCs/>
          <w:rtl/>
        </w:rPr>
        <w:t>%)</w:t>
      </w:r>
      <w:r>
        <w:rPr>
          <w:rFonts w:hint="cs"/>
          <w:b/>
          <w:bCs/>
          <w:rtl/>
        </w:rPr>
        <w:t xml:space="preserve"> משבעת</w:t>
      </w:r>
      <w:r w:rsidRPr="006F7102">
        <w:rPr>
          <w:b/>
          <w:bCs/>
          <w:rtl/>
        </w:rPr>
        <w:t xml:space="preserve"> </w:t>
      </w:r>
      <w:r w:rsidRPr="006F7102">
        <w:rPr>
          <w:rFonts w:hint="cs"/>
          <w:b/>
          <w:bCs/>
          <w:rtl/>
        </w:rPr>
        <w:t>יעדי</w:t>
      </w:r>
      <w:r w:rsidRPr="006F7102">
        <w:rPr>
          <w:b/>
          <w:bCs/>
          <w:rtl/>
        </w:rPr>
        <w:t xml:space="preserve"> </w:t>
      </w:r>
      <w:r>
        <w:rPr>
          <w:rFonts w:hint="cs"/>
          <w:b/>
          <w:bCs/>
          <w:rtl/>
        </w:rPr>
        <w:t>ההאזנה</w:t>
      </w:r>
      <w:r w:rsidRPr="006F7102">
        <w:rPr>
          <w:b/>
          <w:bCs/>
          <w:rtl/>
        </w:rPr>
        <w:t xml:space="preserve"> </w:t>
      </w:r>
      <w:r>
        <w:rPr>
          <w:rFonts w:hint="cs"/>
          <w:b/>
          <w:bCs/>
          <w:rtl/>
        </w:rPr>
        <w:t>נמצא כי</w:t>
      </w:r>
      <w:r w:rsidRPr="006F7102">
        <w:rPr>
          <w:b/>
          <w:bCs/>
          <w:rtl/>
        </w:rPr>
        <w:t xml:space="preserve"> </w:t>
      </w:r>
      <w:r w:rsidRPr="006F7102">
        <w:rPr>
          <w:rFonts w:hint="cs"/>
          <w:b/>
          <w:bCs/>
          <w:rtl/>
        </w:rPr>
        <w:t>לא</w:t>
      </w:r>
      <w:r w:rsidRPr="006F7102">
        <w:rPr>
          <w:b/>
          <w:bCs/>
          <w:rtl/>
        </w:rPr>
        <w:t xml:space="preserve"> </w:t>
      </w:r>
      <w:r w:rsidRPr="006F7102">
        <w:rPr>
          <w:rFonts w:hint="cs"/>
          <w:b/>
          <w:bCs/>
          <w:rtl/>
        </w:rPr>
        <w:t>אותרו</w:t>
      </w:r>
      <w:r w:rsidRPr="006F7102">
        <w:rPr>
          <w:b/>
          <w:bCs/>
          <w:rtl/>
        </w:rPr>
        <w:t xml:space="preserve"> </w:t>
      </w:r>
      <w:r w:rsidRPr="006F7102">
        <w:rPr>
          <w:rFonts w:hint="cs"/>
          <w:b/>
          <w:bCs/>
          <w:rtl/>
        </w:rPr>
        <w:t>אישורי</w:t>
      </w:r>
      <w:r w:rsidRPr="006F7102">
        <w:rPr>
          <w:b/>
          <w:bCs/>
          <w:rtl/>
        </w:rPr>
        <w:t xml:space="preserve"> </w:t>
      </w:r>
      <w:r w:rsidRPr="006F7102">
        <w:rPr>
          <w:rFonts w:hint="cs"/>
          <w:b/>
          <w:bCs/>
          <w:rtl/>
        </w:rPr>
        <w:t>ראש</w:t>
      </w:r>
      <w:r w:rsidRPr="006F7102">
        <w:rPr>
          <w:b/>
          <w:bCs/>
          <w:rtl/>
        </w:rPr>
        <w:t xml:space="preserve"> </w:t>
      </w:r>
      <w:r w:rsidRPr="006F7102">
        <w:rPr>
          <w:rFonts w:hint="cs"/>
          <w:b/>
          <w:bCs/>
          <w:rtl/>
        </w:rPr>
        <w:t>אח</w:t>
      </w:r>
      <w:r w:rsidRPr="006F7102">
        <w:rPr>
          <w:b/>
          <w:bCs/>
          <w:rtl/>
        </w:rPr>
        <w:t>"</w:t>
      </w:r>
      <w:r w:rsidRPr="006F7102">
        <w:rPr>
          <w:rFonts w:hint="cs"/>
          <w:b/>
          <w:bCs/>
          <w:rtl/>
        </w:rPr>
        <w:t>ם</w:t>
      </w:r>
      <w:r>
        <w:rPr>
          <w:rFonts w:hint="cs"/>
          <w:b/>
          <w:bCs/>
          <w:rtl/>
        </w:rPr>
        <w:t xml:space="preserve"> הנדרשים</w:t>
      </w:r>
      <w:r>
        <w:rPr>
          <w:b/>
          <w:bCs/>
          <w:rtl/>
        </w:rPr>
        <w:t xml:space="preserve"> </w:t>
      </w:r>
      <w:r>
        <w:rPr>
          <w:rFonts w:hint="cs"/>
          <w:b/>
          <w:bCs/>
          <w:rtl/>
        </w:rPr>
        <w:t xml:space="preserve">לכל </w:t>
      </w:r>
      <w:r w:rsidRPr="006F7102">
        <w:rPr>
          <w:b/>
          <w:bCs/>
          <w:rtl/>
        </w:rPr>
        <w:t>בקש</w:t>
      </w:r>
      <w:r>
        <w:rPr>
          <w:rFonts w:hint="cs"/>
          <w:b/>
          <w:bCs/>
          <w:rtl/>
        </w:rPr>
        <w:t>ה</w:t>
      </w:r>
      <w:r w:rsidRPr="006F7102">
        <w:rPr>
          <w:b/>
          <w:bCs/>
          <w:rtl/>
        </w:rPr>
        <w:t xml:space="preserve"> </w:t>
      </w:r>
      <w:r>
        <w:rPr>
          <w:rFonts w:hint="cs"/>
          <w:b/>
          <w:bCs/>
          <w:rtl/>
        </w:rPr>
        <w:t>ל</w:t>
      </w:r>
      <w:r w:rsidRPr="006F7102">
        <w:rPr>
          <w:b/>
          <w:bCs/>
          <w:rtl/>
        </w:rPr>
        <w:t xml:space="preserve">הארכת האזנת הסתר לתקופה </w:t>
      </w:r>
      <w:r>
        <w:rPr>
          <w:rFonts w:hint="cs"/>
          <w:b/>
          <w:bCs/>
          <w:rtl/>
        </w:rPr>
        <w:t>של יותר מ</w:t>
      </w:r>
      <w:r w:rsidRPr="006F7102">
        <w:rPr>
          <w:b/>
          <w:bCs/>
          <w:rtl/>
        </w:rPr>
        <w:t xml:space="preserve">שנה. </w:t>
      </w:r>
      <w:r>
        <w:rPr>
          <w:rFonts w:hint="cs"/>
          <w:b/>
          <w:bCs/>
          <w:rtl/>
        </w:rPr>
        <w:t>כמו כן</w:t>
      </w:r>
      <w:r w:rsidRPr="006F7102">
        <w:rPr>
          <w:b/>
          <w:bCs/>
          <w:rtl/>
        </w:rPr>
        <w:t xml:space="preserve"> </w:t>
      </w:r>
      <w:r w:rsidRPr="006F7102">
        <w:rPr>
          <w:rFonts w:hint="cs"/>
          <w:b/>
          <w:bCs/>
          <w:rtl/>
        </w:rPr>
        <w:t>עולה</w:t>
      </w:r>
      <w:r w:rsidRPr="006F7102">
        <w:rPr>
          <w:b/>
          <w:bCs/>
          <w:rtl/>
        </w:rPr>
        <w:t xml:space="preserve"> </w:t>
      </w:r>
      <w:r w:rsidRPr="006F7102">
        <w:rPr>
          <w:rFonts w:hint="cs"/>
          <w:b/>
          <w:bCs/>
          <w:rtl/>
        </w:rPr>
        <w:t>כי</w:t>
      </w:r>
      <w:r w:rsidRPr="006F7102">
        <w:rPr>
          <w:b/>
          <w:bCs/>
          <w:rtl/>
        </w:rPr>
        <w:t xml:space="preserve"> </w:t>
      </w:r>
      <w:r>
        <w:rPr>
          <w:rFonts w:hint="cs"/>
          <w:b/>
          <w:bCs/>
          <w:rtl/>
        </w:rPr>
        <w:t xml:space="preserve">לגבי ארבעה </w:t>
      </w:r>
      <w:r w:rsidRPr="006F7102">
        <w:rPr>
          <w:rFonts w:hint="cs"/>
          <w:b/>
          <w:bCs/>
          <w:rtl/>
        </w:rPr>
        <w:t>(</w:t>
      </w:r>
      <w:r>
        <w:rPr>
          <w:rFonts w:hint="cs"/>
          <w:b/>
          <w:bCs/>
          <w:rtl/>
        </w:rPr>
        <w:t>57</w:t>
      </w:r>
      <w:r w:rsidRPr="006F7102">
        <w:rPr>
          <w:rFonts w:hint="cs"/>
          <w:b/>
          <w:bCs/>
          <w:rtl/>
        </w:rPr>
        <w:t>%)</w:t>
      </w:r>
      <w:r>
        <w:rPr>
          <w:rFonts w:hint="cs"/>
          <w:b/>
          <w:bCs/>
          <w:rtl/>
        </w:rPr>
        <w:t xml:space="preserve"> משבע</w:t>
      </w:r>
      <w:r w:rsidR="00911251">
        <w:rPr>
          <w:rFonts w:hint="cs"/>
          <w:b/>
          <w:bCs/>
          <w:rtl/>
        </w:rPr>
        <w:t>ת</w:t>
      </w:r>
      <w:r w:rsidRPr="006F7102">
        <w:rPr>
          <w:b/>
          <w:bCs/>
          <w:rtl/>
        </w:rPr>
        <w:t xml:space="preserve"> </w:t>
      </w:r>
      <w:r w:rsidRPr="006F7102">
        <w:rPr>
          <w:rFonts w:hint="cs"/>
          <w:b/>
          <w:bCs/>
          <w:rtl/>
        </w:rPr>
        <w:t>יעדי</w:t>
      </w:r>
      <w:r w:rsidRPr="006F7102">
        <w:rPr>
          <w:b/>
          <w:bCs/>
          <w:rtl/>
        </w:rPr>
        <w:t xml:space="preserve"> </w:t>
      </w:r>
      <w:r>
        <w:rPr>
          <w:rFonts w:hint="cs"/>
          <w:b/>
          <w:bCs/>
          <w:rtl/>
        </w:rPr>
        <w:t>ההאזנה</w:t>
      </w:r>
      <w:r w:rsidRPr="006F7102">
        <w:rPr>
          <w:rFonts w:hint="cs"/>
          <w:b/>
          <w:bCs/>
          <w:rtl/>
        </w:rPr>
        <w:t xml:space="preserve"> לא אותר </w:t>
      </w:r>
      <w:r>
        <w:rPr>
          <w:rFonts w:hint="cs"/>
          <w:b/>
          <w:bCs/>
          <w:rtl/>
        </w:rPr>
        <w:t xml:space="preserve">במשטרה </w:t>
      </w:r>
      <w:r w:rsidRPr="006F7102">
        <w:rPr>
          <w:rFonts w:hint="cs"/>
          <w:b/>
          <w:bCs/>
          <w:rtl/>
        </w:rPr>
        <w:t>אישור של פרקליט המחוז</w:t>
      </w:r>
      <w:r w:rsidRPr="006F7102">
        <w:rPr>
          <w:b/>
          <w:bCs/>
          <w:rtl/>
        </w:rPr>
        <w:t xml:space="preserve"> כמתחייב במקרים </w:t>
      </w:r>
      <w:r>
        <w:rPr>
          <w:rFonts w:hint="cs"/>
          <w:b/>
          <w:bCs/>
          <w:rtl/>
        </w:rPr>
        <w:t>ש</w:t>
      </w:r>
      <w:r w:rsidRPr="006F7102">
        <w:rPr>
          <w:b/>
          <w:bCs/>
          <w:rtl/>
        </w:rPr>
        <w:t xml:space="preserve">בהם </w:t>
      </w:r>
      <w:r>
        <w:rPr>
          <w:rFonts w:hint="cs"/>
          <w:b/>
          <w:bCs/>
          <w:rtl/>
        </w:rPr>
        <w:t>תקופת ה</w:t>
      </w:r>
      <w:r w:rsidRPr="006F7102">
        <w:rPr>
          <w:b/>
          <w:bCs/>
          <w:rtl/>
        </w:rPr>
        <w:t xml:space="preserve">האזנה נמשכת </w:t>
      </w:r>
      <w:r>
        <w:rPr>
          <w:rFonts w:hint="cs"/>
          <w:b/>
          <w:bCs/>
          <w:rtl/>
        </w:rPr>
        <w:t>יותר</w:t>
      </w:r>
      <w:r w:rsidRPr="006F7102">
        <w:rPr>
          <w:b/>
          <w:bCs/>
          <w:rtl/>
        </w:rPr>
        <w:t xml:space="preserve"> משנה.</w:t>
      </w:r>
      <w:bookmarkEnd w:id="310"/>
      <w:r>
        <w:rPr>
          <w:b/>
          <w:bCs/>
          <w:rtl/>
        </w:rPr>
        <w:t xml:space="preserve"> </w:t>
      </w:r>
    </w:p>
    <w:p w:rsidR="009A1216" w:rsidRDefault="009A1216" w:rsidP="00604C3D">
      <w:pPr>
        <w:pStyle w:val="a5"/>
        <w:spacing w:line="269" w:lineRule="auto"/>
        <w:rPr>
          <w:b/>
          <w:bCs/>
          <w:rtl/>
        </w:rPr>
      </w:pPr>
    </w:p>
    <w:p w:rsidR="009A1216" w:rsidRDefault="009A1216" w:rsidP="00367A7B">
      <w:pPr>
        <w:spacing w:line="269" w:lineRule="auto"/>
        <w:ind w:left="720"/>
        <w:rPr>
          <w:rtl/>
        </w:rPr>
      </w:pPr>
      <w:r w:rsidRPr="004B1648">
        <w:rPr>
          <w:rFonts w:hint="eastAsia"/>
          <w:rtl/>
        </w:rPr>
        <w:t>המשטרה</w:t>
      </w:r>
      <w:r w:rsidRPr="004B1648">
        <w:rPr>
          <w:rtl/>
        </w:rPr>
        <w:t xml:space="preserve"> מסרה בתגובתה כי </w:t>
      </w:r>
      <w:r>
        <w:rPr>
          <w:rFonts w:hint="cs"/>
          <w:rtl/>
        </w:rPr>
        <w:t>היא מבצעת הליכי פיקוח ובקרה על ההאזנה הממושכת באופן שוטף</w:t>
      </w:r>
      <w:r w:rsidRPr="004B1648">
        <w:rPr>
          <w:rtl/>
        </w:rPr>
        <w:t xml:space="preserve"> ו</w:t>
      </w:r>
      <w:r>
        <w:rPr>
          <w:rFonts w:hint="cs"/>
          <w:rtl/>
        </w:rPr>
        <w:t>במידת הצורך מחדדת את הנושא</w:t>
      </w:r>
      <w:r w:rsidRPr="004B1648">
        <w:rPr>
          <w:rtl/>
        </w:rPr>
        <w:t xml:space="preserve"> </w:t>
      </w:r>
      <w:r>
        <w:rPr>
          <w:rFonts w:hint="cs"/>
          <w:rtl/>
        </w:rPr>
        <w:t>ל</w:t>
      </w:r>
      <w:r w:rsidRPr="004B1648">
        <w:rPr>
          <w:rtl/>
        </w:rPr>
        <w:t xml:space="preserve">פני המערך הפרוס. </w:t>
      </w:r>
    </w:p>
    <w:p w:rsidR="002A45FF" w:rsidRDefault="002A45FF" w:rsidP="00604C3D">
      <w:pPr>
        <w:spacing w:line="269" w:lineRule="auto"/>
        <w:rPr>
          <w:b/>
          <w:bCs/>
          <w:rtl/>
        </w:rPr>
      </w:pPr>
    </w:p>
    <w:p w:rsidR="009A1216" w:rsidRPr="006819C7" w:rsidRDefault="009A1216" w:rsidP="00367A7B">
      <w:pPr>
        <w:spacing w:line="269" w:lineRule="auto"/>
        <w:ind w:left="720"/>
        <w:rPr>
          <w:b/>
          <w:bCs/>
          <w:rtl/>
        </w:rPr>
      </w:pPr>
      <w:r w:rsidRPr="00610164">
        <w:rPr>
          <w:rFonts w:hint="eastAsia"/>
          <w:b/>
          <w:bCs/>
          <w:rtl/>
        </w:rPr>
        <w:t>משלא</w:t>
      </w:r>
      <w:r w:rsidRPr="00610164">
        <w:rPr>
          <w:b/>
          <w:bCs/>
          <w:rtl/>
        </w:rPr>
        <w:t xml:space="preserve"> נמצאו האישורים במערכת לניהול צווים התבקשה </w:t>
      </w:r>
      <w:r w:rsidRPr="00610164">
        <w:rPr>
          <w:rFonts w:hint="eastAsia"/>
          <w:b/>
          <w:bCs/>
          <w:rtl/>
        </w:rPr>
        <w:t>פרקליטות</w:t>
      </w:r>
      <w:r w:rsidRPr="00610164">
        <w:rPr>
          <w:b/>
          <w:bCs/>
          <w:rtl/>
        </w:rPr>
        <w:t xml:space="preserve"> המדינה </w:t>
      </w:r>
      <w:r w:rsidRPr="00610164">
        <w:rPr>
          <w:rFonts w:hint="eastAsia"/>
          <w:b/>
          <w:bCs/>
          <w:rtl/>
        </w:rPr>
        <w:t>להמציא</w:t>
      </w:r>
      <w:r w:rsidRPr="00610164">
        <w:rPr>
          <w:b/>
          <w:bCs/>
          <w:rtl/>
        </w:rPr>
        <w:t xml:space="preserve"> </w:t>
      </w:r>
      <w:r w:rsidRPr="00610164">
        <w:rPr>
          <w:rFonts w:hint="eastAsia"/>
          <w:b/>
          <w:bCs/>
          <w:rtl/>
        </w:rPr>
        <w:t>את</w:t>
      </w:r>
      <w:r w:rsidRPr="00610164">
        <w:rPr>
          <w:b/>
          <w:bCs/>
          <w:rtl/>
        </w:rPr>
        <w:t xml:space="preserve"> </w:t>
      </w:r>
      <w:r w:rsidRPr="00610164">
        <w:rPr>
          <w:rFonts w:hint="eastAsia"/>
          <w:b/>
          <w:bCs/>
          <w:rtl/>
        </w:rPr>
        <w:t>האישורים</w:t>
      </w:r>
      <w:r w:rsidRPr="00610164">
        <w:rPr>
          <w:b/>
          <w:bCs/>
          <w:rtl/>
        </w:rPr>
        <w:t xml:space="preserve"> </w:t>
      </w:r>
      <w:r w:rsidRPr="00610164">
        <w:rPr>
          <w:rFonts w:hint="eastAsia"/>
          <w:b/>
          <w:bCs/>
          <w:rtl/>
        </w:rPr>
        <w:t>האמורים</w:t>
      </w:r>
      <w:r w:rsidRPr="00610164">
        <w:rPr>
          <w:b/>
          <w:bCs/>
          <w:rtl/>
        </w:rPr>
        <w:t xml:space="preserve">. </w:t>
      </w:r>
      <w:r w:rsidRPr="00610164">
        <w:rPr>
          <w:rFonts w:hint="eastAsia"/>
          <w:b/>
          <w:bCs/>
          <w:rtl/>
        </w:rPr>
        <w:t>ואולם</w:t>
      </w:r>
      <w:r w:rsidRPr="00610164">
        <w:rPr>
          <w:b/>
          <w:bCs/>
          <w:rtl/>
        </w:rPr>
        <w:t xml:space="preserve">, </w:t>
      </w:r>
      <w:r w:rsidRPr="00610164">
        <w:rPr>
          <w:rFonts w:hint="eastAsia"/>
          <w:b/>
          <w:bCs/>
          <w:rtl/>
        </w:rPr>
        <w:t>חרף</w:t>
      </w:r>
      <w:r w:rsidRPr="00610164">
        <w:rPr>
          <w:b/>
          <w:bCs/>
          <w:rtl/>
        </w:rPr>
        <w:t xml:space="preserve"> </w:t>
      </w:r>
      <w:r w:rsidRPr="00610164">
        <w:rPr>
          <w:rFonts w:hint="eastAsia"/>
          <w:b/>
          <w:bCs/>
          <w:rtl/>
        </w:rPr>
        <w:t>פניות</w:t>
      </w:r>
      <w:r w:rsidRPr="00610164">
        <w:rPr>
          <w:b/>
          <w:bCs/>
          <w:rtl/>
        </w:rPr>
        <w:t xml:space="preserve"> </w:t>
      </w:r>
      <w:r w:rsidRPr="00610164">
        <w:rPr>
          <w:rFonts w:hint="eastAsia"/>
          <w:b/>
          <w:bCs/>
          <w:rtl/>
        </w:rPr>
        <w:t>משרד</w:t>
      </w:r>
      <w:r w:rsidRPr="00610164">
        <w:rPr>
          <w:b/>
          <w:bCs/>
          <w:rtl/>
        </w:rPr>
        <w:t xml:space="preserve"> </w:t>
      </w:r>
      <w:r w:rsidRPr="00610164">
        <w:rPr>
          <w:rFonts w:hint="eastAsia"/>
          <w:b/>
          <w:bCs/>
          <w:rtl/>
        </w:rPr>
        <w:t>מבקר</w:t>
      </w:r>
      <w:r w:rsidRPr="00610164">
        <w:rPr>
          <w:b/>
          <w:bCs/>
          <w:rtl/>
        </w:rPr>
        <w:t xml:space="preserve"> </w:t>
      </w:r>
      <w:r w:rsidRPr="00610164">
        <w:rPr>
          <w:rFonts w:hint="eastAsia"/>
          <w:b/>
          <w:bCs/>
          <w:rtl/>
        </w:rPr>
        <w:t>המדינה</w:t>
      </w:r>
      <w:r>
        <w:rPr>
          <w:rStyle w:val="af"/>
          <w:b/>
          <w:bCs/>
          <w:rtl/>
        </w:rPr>
        <w:footnoteReference w:id="140"/>
      </w:r>
      <w:r w:rsidRPr="00610164">
        <w:rPr>
          <w:b/>
          <w:bCs/>
          <w:rtl/>
        </w:rPr>
        <w:t xml:space="preserve">, </w:t>
      </w:r>
      <w:r w:rsidRPr="006819C7">
        <w:rPr>
          <w:b/>
          <w:bCs/>
          <w:rtl/>
        </w:rPr>
        <w:t xml:space="preserve">הם לא הומצאו לביקורת במשך </w:t>
      </w:r>
      <w:r>
        <w:rPr>
          <w:rFonts w:hint="cs"/>
          <w:b/>
          <w:bCs/>
          <w:rtl/>
        </w:rPr>
        <w:t>יותר</w:t>
      </w:r>
      <w:r w:rsidRPr="006819C7">
        <w:rPr>
          <w:b/>
          <w:bCs/>
          <w:rtl/>
        </w:rPr>
        <w:t xml:space="preserve"> משנה</w:t>
      </w:r>
      <w:r>
        <w:rPr>
          <w:rFonts w:hint="cs"/>
          <w:b/>
          <w:bCs/>
          <w:rtl/>
        </w:rPr>
        <w:t xml:space="preserve"> אלא רק</w:t>
      </w:r>
      <w:r w:rsidRPr="006819C7">
        <w:rPr>
          <w:rFonts w:hint="cs"/>
          <w:b/>
          <w:bCs/>
          <w:rtl/>
        </w:rPr>
        <w:t xml:space="preserve"> ביוני 2024</w:t>
      </w:r>
      <w:r w:rsidRPr="006819C7">
        <w:rPr>
          <w:b/>
          <w:bCs/>
          <w:rtl/>
        </w:rPr>
        <w:t xml:space="preserve">. </w:t>
      </w:r>
    </w:p>
    <w:p w:rsidR="009A1216" w:rsidRPr="00C023C3" w:rsidRDefault="009A1216" w:rsidP="00367A7B">
      <w:pPr>
        <w:pStyle w:val="a5"/>
        <w:spacing w:line="269" w:lineRule="auto"/>
        <w:ind w:left="153"/>
        <w:rPr>
          <w:rtl/>
        </w:rPr>
      </w:pPr>
      <w:r w:rsidRPr="00AD51F7">
        <w:rPr>
          <w:rFonts w:hint="cs"/>
          <w:rtl/>
        </w:rPr>
        <w:t xml:space="preserve"> </w:t>
      </w:r>
    </w:p>
    <w:p w:rsidR="009A1216" w:rsidRDefault="009A1216" w:rsidP="00367A7B">
      <w:pPr>
        <w:spacing w:line="269" w:lineRule="auto"/>
        <w:ind w:left="720"/>
        <w:rPr>
          <w:rtl/>
        </w:rPr>
      </w:pPr>
      <w:r w:rsidRPr="00610164">
        <w:rPr>
          <w:rFonts w:hint="eastAsia"/>
          <w:rtl/>
        </w:rPr>
        <w:t>פרקליטות</w:t>
      </w:r>
      <w:r w:rsidRPr="00610164">
        <w:rPr>
          <w:rtl/>
        </w:rPr>
        <w:t xml:space="preserve"> </w:t>
      </w:r>
      <w:r w:rsidRPr="00610164">
        <w:rPr>
          <w:rFonts w:hint="eastAsia"/>
          <w:rtl/>
        </w:rPr>
        <w:t>המדינה</w:t>
      </w:r>
      <w:r w:rsidRPr="00610164">
        <w:rPr>
          <w:rtl/>
        </w:rPr>
        <w:t xml:space="preserve"> </w:t>
      </w:r>
      <w:r w:rsidRPr="00610164">
        <w:rPr>
          <w:rFonts w:hint="eastAsia"/>
          <w:rtl/>
        </w:rPr>
        <w:t>מסרה</w:t>
      </w:r>
      <w:r w:rsidR="00911251">
        <w:rPr>
          <w:rFonts w:hint="cs"/>
          <w:rtl/>
        </w:rPr>
        <w:t xml:space="preserve"> בתשובתה</w:t>
      </w:r>
      <w:r w:rsidRPr="00610164">
        <w:rPr>
          <w:rtl/>
        </w:rPr>
        <w:t xml:space="preserve"> </w:t>
      </w:r>
      <w:r w:rsidRPr="00610164">
        <w:rPr>
          <w:rFonts w:hint="eastAsia"/>
          <w:rtl/>
        </w:rPr>
        <w:t>כי</w:t>
      </w:r>
      <w:r w:rsidRPr="00610164">
        <w:rPr>
          <w:rtl/>
        </w:rPr>
        <w:t xml:space="preserve"> </w:t>
      </w:r>
      <w:r w:rsidRPr="00610164">
        <w:rPr>
          <w:rFonts w:hint="eastAsia"/>
          <w:rtl/>
        </w:rPr>
        <w:t>העיכוב</w:t>
      </w:r>
      <w:r w:rsidRPr="00610164">
        <w:rPr>
          <w:rtl/>
        </w:rPr>
        <w:t xml:space="preserve"> </w:t>
      </w:r>
      <w:r w:rsidRPr="00610164">
        <w:rPr>
          <w:rFonts w:hint="eastAsia"/>
          <w:rtl/>
        </w:rPr>
        <w:t>במענה</w:t>
      </w:r>
      <w:r w:rsidRPr="00610164">
        <w:rPr>
          <w:rtl/>
        </w:rPr>
        <w:t xml:space="preserve"> </w:t>
      </w:r>
      <w:r w:rsidRPr="00610164">
        <w:rPr>
          <w:rFonts w:hint="eastAsia"/>
          <w:rtl/>
        </w:rPr>
        <w:t>נבע</w:t>
      </w:r>
      <w:r w:rsidRPr="00610164">
        <w:rPr>
          <w:rtl/>
        </w:rPr>
        <w:t xml:space="preserve"> </w:t>
      </w:r>
      <w:r w:rsidRPr="00610164">
        <w:rPr>
          <w:rFonts w:hint="eastAsia"/>
          <w:rtl/>
        </w:rPr>
        <w:t>בשל</w:t>
      </w:r>
      <w:r w:rsidRPr="00610164">
        <w:rPr>
          <w:rtl/>
        </w:rPr>
        <w:t xml:space="preserve"> </w:t>
      </w:r>
      <w:r w:rsidRPr="00610164">
        <w:rPr>
          <w:rFonts w:hint="eastAsia"/>
          <w:rtl/>
        </w:rPr>
        <w:t>הצורך</w:t>
      </w:r>
      <w:r w:rsidRPr="00610164">
        <w:rPr>
          <w:rtl/>
        </w:rPr>
        <w:t xml:space="preserve"> בבירור מעמיק של החומרים שהתבקשו, בין היתר </w:t>
      </w:r>
      <w:r>
        <w:rPr>
          <w:rFonts w:hint="cs"/>
          <w:rtl/>
        </w:rPr>
        <w:t>לנוכח</w:t>
      </w:r>
      <w:r w:rsidRPr="00610164">
        <w:rPr>
          <w:rtl/>
        </w:rPr>
        <w:t xml:space="preserve"> </w:t>
      </w:r>
      <w:r>
        <w:rPr>
          <w:rFonts w:hint="cs"/>
          <w:rtl/>
        </w:rPr>
        <w:t>ה</w:t>
      </w:r>
      <w:r w:rsidRPr="00610164">
        <w:rPr>
          <w:rtl/>
        </w:rPr>
        <w:t>רגישות ו</w:t>
      </w:r>
      <w:r>
        <w:rPr>
          <w:rFonts w:hint="cs"/>
          <w:rtl/>
        </w:rPr>
        <w:t>ה</w:t>
      </w:r>
      <w:r w:rsidRPr="00610164">
        <w:rPr>
          <w:rtl/>
        </w:rPr>
        <w:t xml:space="preserve">מורכבות </w:t>
      </w:r>
      <w:r>
        <w:rPr>
          <w:rFonts w:hint="cs"/>
          <w:rtl/>
        </w:rPr>
        <w:t xml:space="preserve">של </w:t>
      </w:r>
      <w:r w:rsidRPr="00610164">
        <w:rPr>
          <w:rtl/>
        </w:rPr>
        <w:t>הביקורת כולה. עוד מסרה הפרקליטות לידי מבקר המדינה אישורי פרקליט הנוגעים לשני יעדי האזנה</w:t>
      </w:r>
      <w:r>
        <w:rPr>
          <w:rFonts w:hint="cs"/>
          <w:rtl/>
        </w:rPr>
        <w:t xml:space="preserve"> מתוך שבעת היעדים</w:t>
      </w:r>
      <w:r w:rsidRPr="00610164">
        <w:rPr>
          <w:rtl/>
        </w:rPr>
        <w:t xml:space="preserve"> שנדגמו</w:t>
      </w:r>
      <w:r>
        <w:rPr>
          <w:rStyle w:val="af"/>
          <w:rtl/>
        </w:rPr>
        <w:footnoteReference w:id="141"/>
      </w:r>
      <w:r w:rsidRPr="00610164">
        <w:rPr>
          <w:rtl/>
        </w:rPr>
        <w:t>.</w:t>
      </w:r>
    </w:p>
    <w:bookmarkEnd w:id="309"/>
    <w:p w:rsidR="002A45FF" w:rsidRDefault="002A45FF" w:rsidP="00367A7B">
      <w:pPr>
        <w:spacing w:line="269" w:lineRule="auto"/>
        <w:ind w:left="720"/>
        <w:rPr>
          <w:rtl/>
        </w:rPr>
      </w:pPr>
    </w:p>
    <w:p w:rsidR="009A1216" w:rsidRPr="00A37E42" w:rsidRDefault="009A1216" w:rsidP="00367A7B">
      <w:pPr>
        <w:spacing w:line="269" w:lineRule="auto"/>
        <w:ind w:left="720"/>
        <w:rPr>
          <w:rtl/>
        </w:rPr>
      </w:pPr>
      <w:r>
        <w:rPr>
          <w:rFonts w:hint="cs"/>
          <w:rtl/>
        </w:rPr>
        <w:t>לשם המחשת נחיצות תיעוד האישורים</w:t>
      </w:r>
      <w:r w:rsidRPr="00A37E42">
        <w:rPr>
          <w:rFonts w:hint="cs"/>
          <w:rtl/>
        </w:rPr>
        <w:t>,</w:t>
      </w:r>
      <w:r>
        <w:rPr>
          <w:rFonts w:hint="cs"/>
          <w:rtl/>
        </w:rPr>
        <w:t xml:space="preserve"> באחד המקרים שנדגמו עלה כי נדרש אישור פרקליט הן משום ש</w:t>
      </w:r>
      <w:r w:rsidRPr="00A37E42">
        <w:rPr>
          <w:rtl/>
        </w:rPr>
        <w:t xml:space="preserve">משך ההאזנה </w:t>
      </w:r>
      <w:r>
        <w:rPr>
          <w:rFonts w:hint="cs"/>
          <w:rtl/>
        </w:rPr>
        <w:t>המבוקש היה יותר</w:t>
      </w:r>
      <w:r w:rsidRPr="00A37E42">
        <w:rPr>
          <w:rtl/>
        </w:rPr>
        <w:t xml:space="preserve"> </w:t>
      </w:r>
      <w:r w:rsidRPr="00A37E42">
        <w:rPr>
          <w:rFonts w:hint="cs"/>
          <w:rtl/>
        </w:rPr>
        <w:t>משנה</w:t>
      </w:r>
      <w:r>
        <w:rPr>
          <w:rFonts w:hint="cs"/>
          <w:rtl/>
        </w:rPr>
        <w:t xml:space="preserve"> והן</w:t>
      </w:r>
      <w:r w:rsidRPr="00A37E42">
        <w:rPr>
          <w:rtl/>
        </w:rPr>
        <w:t xml:space="preserve"> בשל היותו </w:t>
      </w:r>
      <w:r>
        <w:rPr>
          <w:rFonts w:hint="cs"/>
          <w:rtl/>
        </w:rPr>
        <w:t xml:space="preserve">של יעד ההאזנה </w:t>
      </w:r>
      <w:r w:rsidRPr="00A37E42">
        <w:rPr>
          <w:rFonts w:hint="cs"/>
          <w:rtl/>
        </w:rPr>
        <w:t>מעורב</w:t>
      </w:r>
      <w:r w:rsidRPr="00A37E42">
        <w:rPr>
          <w:rtl/>
        </w:rPr>
        <w:t xml:space="preserve"> רגיש</w:t>
      </w:r>
      <w:r w:rsidRPr="00A37E42">
        <w:rPr>
          <w:rStyle w:val="af"/>
          <w:rtl/>
        </w:rPr>
        <w:footnoteReference w:id="142"/>
      </w:r>
      <w:r w:rsidRPr="00A37E42">
        <w:rPr>
          <w:rFonts w:hint="cs"/>
          <w:rtl/>
        </w:rPr>
        <w:t>.</w:t>
      </w:r>
      <w:r w:rsidRPr="00A37E42">
        <w:rPr>
          <w:rtl/>
        </w:rPr>
        <w:t xml:space="preserve"> </w:t>
      </w:r>
      <w:r w:rsidRPr="00A37E42">
        <w:rPr>
          <w:rFonts w:hint="cs"/>
          <w:rtl/>
        </w:rPr>
        <w:t xml:space="preserve">בפועל </w:t>
      </w:r>
      <w:r w:rsidRPr="00A37E42">
        <w:rPr>
          <w:rtl/>
        </w:rPr>
        <w:t xml:space="preserve">ראש אח"ם </w:t>
      </w:r>
      <w:r>
        <w:rPr>
          <w:rFonts w:hint="cs"/>
          <w:rtl/>
        </w:rPr>
        <w:t xml:space="preserve">אישר את היעד </w:t>
      </w:r>
      <w:r w:rsidRPr="00A37E42">
        <w:rPr>
          <w:rtl/>
        </w:rPr>
        <w:t xml:space="preserve">רק </w:t>
      </w:r>
      <w:r w:rsidRPr="00A37E42">
        <w:rPr>
          <w:rFonts w:hint="cs"/>
          <w:rtl/>
        </w:rPr>
        <w:t xml:space="preserve">בשל </w:t>
      </w:r>
      <w:r w:rsidRPr="00A37E42">
        <w:rPr>
          <w:rtl/>
        </w:rPr>
        <w:t>רגישות מעמ</w:t>
      </w:r>
      <w:r w:rsidRPr="00A37E42">
        <w:rPr>
          <w:rFonts w:hint="cs"/>
          <w:rtl/>
        </w:rPr>
        <w:t>דו</w:t>
      </w:r>
      <w:r>
        <w:rPr>
          <w:rFonts w:hint="cs"/>
          <w:rtl/>
        </w:rPr>
        <w:t>,</w:t>
      </w:r>
      <w:r w:rsidRPr="00A37E42">
        <w:rPr>
          <w:rFonts w:hint="cs"/>
          <w:rtl/>
        </w:rPr>
        <w:t xml:space="preserve"> </w:t>
      </w:r>
      <w:r>
        <w:rPr>
          <w:rFonts w:hint="cs"/>
          <w:rtl/>
        </w:rPr>
        <w:t>וזאת אף שבבקשה שנמסרה לו צוין כי</w:t>
      </w:r>
      <w:r w:rsidRPr="00A37E42">
        <w:rPr>
          <w:rFonts w:hint="cs"/>
          <w:rtl/>
        </w:rPr>
        <w:t xml:space="preserve"> משך </w:t>
      </w:r>
      <w:r>
        <w:rPr>
          <w:rFonts w:hint="cs"/>
          <w:rtl/>
        </w:rPr>
        <w:t>ה</w:t>
      </w:r>
      <w:r w:rsidRPr="00A37E42">
        <w:rPr>
          <w:rFonts w:hint="cs"/>
          <w:rtl/>
        </w:rPr>
        <w:t>האזנה</w:t>
      </w:r>
      <w:r>
        <w:rPr>
          <w:rFonts w:hint="cs"/>
          <w:rtl/>
        </w:rPr>
        <w:t xml:space="preserve"> המבוקש</w:t>
      </w:r>
      <w:r w:rsidRPr="00A37E42">
        <w:rPr>
          <w:rFonts w:hint="cs"/>
          <w:rtl/>
        </w:rPr>
        <w:t xml:space="preserve"> </w:t>
      </w:r>
      <w:r>
        <w:rPr>
          <w:rFonts w:hint="cs"/>
          <w:rtl/>
        </w:rPr>
        <w:t>הוא יותר מ</w:t>
      </w:r>
      <w:r w:rsidRPr="00A37E42">
        <w:rPr>
          <w:rFonts w:hint="cs"/>
          <w:rtl/>
        </w:rPr>
        <w:t>שנה. אישור פרקליט</w:t>
      </w:r>
      <w:r w:rsidRPr="00A37E42">
        <w:rPr>
          <w:rtl/>
        </w:rPr>
        <w:t xml:space="preserve"> </w:t>
      </w:r>
      <w:r w:rsidRPr="00A37E42">
        <w:rPr>
          <w:rFonts w:hint="cs"/>
          <w:rtl/>
        </w:rPr>
        <w:t>להאזנה</w:t>
      </w:r>
      <w:r w:rsidRPr="00A37E42">
        <w:rPr>
          <w:rtl/>
        </w:rPr>
        <w:t xml:space="preserve"> </w:t>
      </w:r>
      <w:r w:rsidRPr="00A37E42">
        <w:rPr>
          <w:rFonts w:hint="cs"/>
          <w:rtl/>
        </w:rPr>
        <w:t xml:space="preserve">ממושכת </w:t>
      </w:r>
      <w:r>
        <w:rPr>
          <w:rFonts w:hint="cs"/>
          <w:rtl/>
        </w:rPr>
        <w:t>של יותר</w:t>
      </w:r>
      <w:r w:rsidRPr="00A37E42">
        <w:rPr>
          <w:rFonts w:hint="cs"/>
          <w:rtl/>
        </w:rPr>
        <w:t xml:space="preserve"> </w:t>
      </w:r>
      <w:r>
        <w:rPr>
          <w:rFonts w:hint="cs"/>
          <w:rtl/>
        </w:rPr>
        <w:t>מ</w:t>
      </w:r>
      <w:r w:rsidRPr="00A37E42">
        <w:rPr>
          <w:rFonts w:hint="cs"/>
          <w:rtl/>
        </w:rPr>
        <w:t>שנה לא אותר בעניינו</w:t>
      </w:r>
      <w:r>
        <w:rPr>
          <w:rFonts w:hint="cs"/>
          <w:rtl/>
        </w:rPr>
        <w:t xml:space="preserve"> של יעד האזנה זה</w:t>
      </w:r>
      <w:r w:rsidRPr="00A37E42">
        <w:rPr>
          <w:rtl/>
        </w:rPr>
        <w:t>.</w:t>
      </w:r>
      <w:r>
        <w:rPr>
          <w:rFonts w:hint="cs"/>
          <w:rtl/>
        </w:rPr>
        <w:t xml:space="preserve"> </w:t>
      </w:r>
    </w:p>
    <w:p w:rsidR="002A45FF" w:rsidRDefault="002A45FF" w:rsidP="00604C3D">
      <w:pPr>
        <w:spacing w:line="269" w:lineRule="auto"/>
        <w:rPr>
          <w:b/>
          <w:bCs/>
          <w:rtl/>
        </w:rPr>
      </w:pPr>
      <w:bookmarkStart w:id="311" w:name="_Hlk147906500"/>
    </w:p>
    <w:p w:rsidR="009A1216" w:rsidRDefault="009A1216" w:rsidP="00367A7B">
      <w:pPr>
        <w:spacing w:line="269" w:lineRule="auto"/>
        <w:ind w:left="720"/>
        <w:rPr>
          <w:b/>
          <w:bCs/>
          <w:rtl/>
        </w:rPr>
      </w:pPr>
      <w:r w:rsidRPr="0028111F">
        <w:rPr>
          <w:rFonts w:hint="cs"/>
          <w:b/>
          <w:bCs/>
          <w:rtl/>
        </w:rPr>
        <w:t>על</w:t>
      </w:r>
      <w:r w:rsidRPr="0028111F">
        <w:rPr>
          <w:b/>
          <w:bCs/>
          <w:rtl/>
        </w:rPr>
        <w:t xml:space="preserve"> המשטרה להקפיד על </w:t>
      </w:r>
      <w:r w:rsidRPr="0028111F">
        <w:rPr>
          <w:rFonts w:hint="cs"/>
          <w:b/>
          <w:bCs/>
          <w:rtl/>
        </w:rPr>
        <w:t>קיום</w:t>
      </w:r>
      <w:r w:rsidRPr="0028111F">
        <w:rPr>
          <w:b/>
          <w:bCs/>
          <w:rtl/>
        </w:rPr>
        <w:t xml:space="preserve"> </w:t>
      </w:r>
      <w:r w:rsidRPr="0028111F">
        <w:rPr>
          <w:rFonts w:hint="cs"/>
          <w:b/>
          <w:bCs/>
          <w:rtl/>
        </w:rPr>
        <w:t>הנהלים</w:t>
      </w:r>
      <w:r w:rsidRPr="0028111F">
        <w:rPr>
          <w:b/>
          <w:bCs/>
          <w:rtl/>
        </w:rPr>
        <w:t xml:space="preserve"> </w:t>
      </w:r>
      <w:r w:rsidRPr="0028111F">
        <w:rPr>
          <w:rFonts w:hint="cs"/>
          <w:b/>
          <w:bCs/>
          <w:rtl/>
        </w:rPr>
        <w:t>שנקבעו</w:t>
      </w:r>
      <w:r w:rsidRPr="0028111F">
        <w:rPr>
          <w:b/>
          <w:bCs/>
          <w:rtl/>
        </w:rPr>
        <w:t xml:space="preserve"> </w:t>
      </w:r>
      <w:r w:rsidRPr="0028111F">
        <w:rPr>
          <w:rFonts w:hint="cs"/>
          <w:b/>
          <w:bCs/>
          <w:rtl/>
        </w:rPr>
        <w:t>בעניין</w:t>
      </w:r>
      <w:r w:rsidRPr="0028111F">
        <w:rPr>
          <w:b/>
          <w:bCs/>
          <w:rtl/>
        </w:rPr>
        <w:t xml:space="preserve"> </w:t>
      </w:r>
      <w:r w:rsidRPr="0028111F">
        <w:rPr>
          <w:rFonts w:hint="cs"/>
          <w:b/>
          <w:bCs/>
          <w:rtl/>
        </w:rPr>
        <w:t>הליכי</w:t>
      </w:r>
      <w:r w:rsidRPr="0028111F">
        <w:rPr>
          <w:b/>
          <w:bCs/>
          <w:rtl/>
        </w:rPr>
        <w:t xml:space="preserve"> </w:t>
      </w:r>
      <w:r w:rsidRPr="0028111F">
        <w:rPr>
          <w:rFonts w:hint="cs"/>
          <w:b/>
          <w:bCs/>
          <w:rtl/>
        </w:rPr>
        <w:t>האישור</w:t>
      </w:r>
      <w:r w:rsidRPr="0028111F">
        <w:rPr>
          <w:b/>
          <w:bCs/>
          <w:rtl/>
        </w:rPr>
        <w:t xml:space="preserve"> </w:t>
      </w:r>
      <w:r w:rsidRPr="0028111F">
        <w:rPr>
          <w:rFonts w:hint="cs"/>
          <w:b/>
          <w:bCs/>
          <w:rtl/>
        </w:rPr>
        <w:t>של</w:t>
      </w:r>
      <w:r w:rsidRPr="0028111F">
        <w:rPr>
          <w:b/>
          <w:bCs/>
          <w:rtl/>
        </w:rPr>
        <w:t xml:space="preserve"> </w:t>
      </w:r>
      <w:r w:rsidRPr="0028111F">
        <w:rPr>
          <w:rFonts w:hint="cs"/>
          <w:b/>
          <w:bCs/>
          <w:rtl/>
        </w:rPr>
        <w:t>האזנות</w:t>
      </w:r>
      <w:r w:rsidRPr="0028111F">
        <w:rPr>
          <w:b/>
          <w:bCs/>
          <w:rtl/>
        </w:rPr>
        <w:t xml:space="preserve"> </w:t>
      </w:r>
      <w:r w:rsidRPr="0028111F">
        <w:rPr>
          <w:rFonts w:hint="cs"/>
          <w:b/>
          <w:bCs/>
          <w:rtl/>
        </w:rPr>
        <w:t>ממושכות</w:t>
      </w:r>
      <w:r w:rsidRPr="0028111F">
        <w:rPr>
          <w:b/>
          <w:bCs/>
          <w:rtl/>
        </w:rPr>
        <w:t xml:space="preserve"> בידי </w:t>
      </w:r>
      <w:r w:rsidRPr="0028111F">
        <w:rPr>
          <w:rFonts w:hint="cs"/>
          <w:b/>
          <w:bCs/>
          <w:rtl/>
        </w:rPr>
        <w:t>ראש</w:t>
      </w:r>
      <w:r w:rsidRPr="0028111F">
        <w:rPr>
          <w:b/>
          <w:bCs/>
          <w:rtl/>
        </w:rPr>
        <w:t xml:space="preserve"> אח"ם ופרקליט </w:t>
      </w:r>
      <w:r w:rsidRPr="0028111F">
        <w:rPr>
          <w:rFonts w:hint="cs"/>
          <w:b/>
          <w:bCs/>
          <w:rtl/>
        </w:rPr>
        <w:t>המחוז באופן</w:t>
      </w:r>
      <w:r w:rsidRPr="0028111F">
        <w:rPr>
          <w:b/>
          <w:bCs/>
          <w:rtl/>
        </w:rPr>
        <w:t xml:space="preserve"> </w:t>
      </w:r>
      <w:r>
        <w:rPr>
          <w:rFonts w:hint="cs"/>
          <w:b/>
          <w:bCs/>
          <w:rtl/>
        </w:rPr>
        <w:t>ש</w:t>
      </w:r>
      <w:r w:rsidRPr="00C701D0">
        <w:rPr>
          <w:rFonts w:hint="cs"/>
          <w:b/>
          <w:bCs/>
          <w:rtl/>
        </w:rPr>
        <w:t>הגורם</w:t>
      </w:r>
      <w:r w:rsidRPr="0028111F">
        <w:rPr>
          <w:rFonts w:hint="cs"/>
          <w:b/>
          <w:bCs/>
          <w:rtl/>
        </w:rPr>
        <w:t xml:space="preserve"> המאשר במערכת</w:t>
      </w:r>
      <w:r w:rsidRPr="0028111F">
        <w:rPr>
          <w:b/>
          <w:bCs/>
          <w:rtl/>
        </w:rPr>
        <w:t xml:space="preserve"> </w:t>
      </w:r>
      <w:r w:rsidRPr="0028111F">
        <w:rPr>
          <w:rFonts w:hint="cs"/>
          <w:b/>
          <w:bCs/>
          <w:rtl/>
        </w:rPr>
        <w:t>לניהול</w:t>
      </w:r>
      <w:r w:rsidRPr="0028111F">
        <w:rPr>
          <w:b/>
          <w:bCs/>
          <w:rtl/>
        </w:rPr>
        <w:t xml:space="preserve"> </w:t>
      </w:r>
      <w:r w:rsidRPr="0028111F">
        <w:rPr>
          <w:rFonts w:hint="cs"/>
          <w:b/>
          <w:bCs/>
          <w:rtl/>
        </w:rPr>
        <w:t>צווים</w:t>
      </w:r>
      <w:r>
        <w:rPr>
          <w:rFonts w:hint="cs"/>
          <w:b/>
          <w:bCs/>
          <w:rtl/>
        </w:rPr>
        <w:t xml:space="preserve"> יזין את האישור החתום לגבי כל האזנה הטעונה אישור</w:t>
      </w:r>
      <w:r w:rsidRPr="00C701D0">
        <w:rPr>
          <w:b/>
          <w:bCs/>
          <w:rtl/>
        </w:rPr>
        <w:t>.</w:t>
      </w:r>
      <w:r w:rsidRPr="0028111F">
        <w:rPr>
          <w:b/>
          <w:bCs/>
          <w:rtl/>
        </w:rPr>
        <w:t xml:space="preserve"> </w:t>
      </w:r>
      <w:r w:rsidRPr="0028111F">
        <w:rPr>
          <w:rFonts w:hint="cs"/>
          <w:b/>
          <w:bCs/>
          <w:rtl/>
        </w:rPr>
        <w:t>מאחר</w:t>
      </w:r>
      <w:r w:rsidRPr="0028111F">
        <w:rPr>
          <w:b/>
          <w:bCs/>
          <w:rtl/>
        </w:rPr>
        <w:t xml:space="preserve"> </w:t>
      </w:r>
      <w:r w:rsidRPr="00C701D0">
        <w:rPr>
          <w:rFonts w:hint="cs"/>
          <w:b/>
          <w:bCs/>
          <w:rtl/>
        </w:rPr>
        <w:t>שה</w:t>
      </w:r>
      <w:r>
        <w:rPr>
          <w:rFonts w:hint="cs"/>
          <w:b/>
          <w:bCs/>
          <w:rtl/>
        </w:rPr>
        <w:t>י</w:t>
      </w:r>
      <w:r w:rsidRPr="00C701D0">
        <w:rPr>
          <w:rFonts w:hint="cs"/>
          <w:b/>
          <w:bCs/>
          <w:rtl/>
        </w:rPr>
        <w:t>עדרו</w:t>
      </w:r>
      <w:r w:rsidRPr="0028111F">
        <w:rPr>
          <w:b/>
          <w:bCs/>
          <w:rtl/>
        </w:rPr>
        <w:t xml:space="preserve"> </w:t>
      </w:r>
      <w:r w:rsidRPr="0028111F">
        <w:rPr>
          <w:rFonts w:hint="cs"/>
          <w:b/>
          <w:bCs/>
          <w:rtl/>
        </w:rPr>
        <w:t>של</w:t>
      </w:r>
      <w:r w:rsidRPr="0028111F">
        <w:rPr>
          <w:b/>
          <w:bCs/>
          <w:rtl/>
        </w:rPr>
        <w:t xml:space="preserve"> </w:t>
      </w:r>
      <w:r w:rsidRPr="0028111F">
        <w:rPr>
          <w:rFonts w:hint="cs"/>
          <w:b/>
          <w:bCs/>
          <w:rtl/>
        </w:rPr>
        <w:t>אישור</w:t>
      </w:r>
      <w:r w:rsidRPr="0028111F">
        <w:rPr>
          <w:b/>
          <w:bCs/>
          <w:rtl/>
        </w:rPr>
        <w:t xml:space="preserve"> </w:t>
      </w:r>
      <w:r w:rsidRPr="0028111F">
        <w:rPr>
          <w:rFonts w:hint="cs"/>
          <w:b/>
          <w:bCs/>
          <w:rtl/>
        </w:rPr>
        <w:t>כתוב</w:t>
      </w:r>
      <w:r w:rsidRPr="0028111F">
        <w:rPr>
          <w:b/>
          <w:bCs/>
          <w:rtl/>
        </w:rPr>
        <w:t xml:space="preserve"> </w:t>
      </w:r>
      <w:r w:rsidRPr="0028111F">
        <w:rPr>
          <w:rFonts w:hint="cs"/>
          <w:b/>
          <w:bCs/>
          <w:rtl/>
        </w:rPr>
        <w:t>וחתום</w:t>
      </w:r>
      <w:r w:rsidRPr="0028111F">
        <w:rPr>
          <w:b/>
          <w:bCs/>
          <w:rtl/>
        </w:rPr>
        <w:t xml:space="preserve"> </w:t>
      </w:r>
      <w:r w:rsidRPr="0028111F">
        <w:rPr>
          <w:rFonts w:hint="cs"/>
          <w:b/>
          <w:bCs/>
          <w:rtl/>
        </w:rPr>
        <w:t>כזה</w:t>
      </w:r>
      <w:r w:rsidRPr="0028111F">
        <w:rPr>
          <w:b/>
          <w:bCs/>
          <w:rtl/>
        </w:rPr>
        <w:t xml:space="preserve"> </w:t>
      </w:r>
      <w:r>
        <w:rPr>
          <w:rFonts w:hint="cs"/>
          <w:b/>
          <w:bCs/>
          <w:rtl/>
        </w:rPr>
        <w:t>בנוגע</w:t>
      </w:r>
      <w:r w:rsidRPr="0028111F">
        <w:rPr>
          <w:b/>
          <w:bCs/>
          <w:rtl/>
        </w:rPr>
        <w:t xml:space="preserve"> </w:t>
      </w:r>
      <w:r w:rsidRPr="0028111F">
        <w:rPr>
          <w:rFonts w:hint="cs"/>
          <w:b/>
          <w:bCs/>
          <w:rtl/>
        </w:rPr>
        <w:t>לכל</w:t>
      </w:r>
      <w:r w:rsidRPr="0028111F">
        <w:rPr>
          <w:b/>
          <w:bCs/>
          <w:rtl/>
        </w:rPr>
        <w:t xml:space="preserve"> </w:t>
      </w:r>
      <w:r w:rsidRPr="0028111F">
        <w:rPr>
          <w:rFonts w:hint="cs"/>
          <w:b/>
          <w:bCs/>
          <w:rtl/>
        </w:rPr>
        <w:t>האזנה</w:t>
      </w:r>
      <w:r w:rsidRPr="0028111F">
        <w:rPr>
          <w:b/>
          <w:bCs/>
          <w:rtl/>
        </w:rPr>
        <w:t xml:space="preserve"> מעלה ספק </w:t>
      </w:r>
      <w:r>
        <w:rPr>
          <w:rFonts w:hint="cs"/>
          <w:b/>
          <w:bCs/>
          <w:rtl/>
        </w:rPr>
        <w:t>באשר</w:t>
      </w:r>
      <w:r w:rsidRPr="0028111F">
        <w:rPr>
          <w:b/>
          <w:bCs/>
          <w:rtl/>
        </w:rPr>
        <w:t xml:space="preserve"> </w:t>
      </w:r>
      <w:r>
        <w:rPr>
          <w:rFonts w:hint="cs"/>
          <w:b/>
          <w:bCs/>
          <w:rtl/>
        </w:rPr>
        <w:t>ל</w:t>
      </w:r>
      <w:r w:rsidRPr="0028111F">
        <w:rPr>
          <w:b/>
          <w:bCs/>
          <w:rtl/>
        </w:rPr>
        <w:t xml:space="preserve">עצם בחינת </w:t>
      </w:r>
      <w:r w:rsidRPr="0028111F">
        <w:rPr>
          <w:rFonts w:hint="cs"/>
          <w:b/>
          <w:bCs/>
          <w:rtl/>
        </w:rPr>
        <w:t>ההאזנה הממושכת ואישורה,</w:t>
      </w:r>
      <w:r w:rsidRPr="0028111F">
        <w:rPr>
          <w:b/>
          <w:bCs/>
          <w:rtl/>
        </w:rPr>
        <w:t xml:space="preserve"> </w:t>
      </w:r>
      <w:r>
        <w:rPr>
          <w:rFonts w:hint="cs"/>
          <w:b/>
          <w:bCs/>
          <w:rtl/>
        </w:rPr>
        <w:t>מומלץ</w:t>
      </w:r>
      <w:r w:rsidRPr="0028111F">
        <w:rPr>
          <w:b/>
          <w:bCs/>
          <w:rtl/>
        </w:rPr>
        <w:t xml:space="preserve"> </w:t>
      </w:r>
      <w:r w:rsidRPr="0028111F">
        <w:rPr>
          <w:rFonts w:hint="cs"/>
          <w:b/>
          <w:bCs/>
          <w:rtl/>
        </w:rPr>
        <w:t>לבחון</w:t>
      </w:r>
      <w:r w:rsidRPr="0028111F">
        <w:rPr>
          <w:b/>
          <w:bCs/>
          <w:rtl/>
        </w:rPr>
        <w:t xml:space="preserve"> </w:t>
      </w:r>
      <w:r w:rsidRPr="0028111F">
        <w:rPr>
          <w:rFonts w:hint="cs"/>
          <w:b/>
          <w:bCs/>
          <w:rtl/>
        </w:rPr>
        <w:t>כיצד</w:t>
      </w:r>
      <w:r w:rsidRPr="0028111F">
        <w:rPr>
          <w:b/>
          <w:bCs/>
          <w:rtl/>
        </w:rPr>
        <w:t xml:space="preserve"> </w:t>
      </w:r>
      <w:r w:rsidRPr="0028111F">
        <w:rPr>
          <w:rFonts w:hint="cs"/>
          <w:b/>
          <w:bCs/>
          <w:rtl/>
        </w:rPr>
        <w:t>להתנות</w:t>
      </w:r>
      <w:r w:rsidRPr="0028111F">
        <w:rPr>
          <w:b/>
          <w:bCs/>
          <w:rtl/>
        </w:rPr>
        <w:t xml:space="preserve"> </w:t>
      </w:r>
      <w:r w:rsidRPr="0028111F">
        <w:rPr>
          <w:rFonts w:hint="cs"/>
          <w:b/>
          <w:bCs/>
          <w:rtl/>
        </w:rPr>
        <w:t>את</w:t>
      </w:r>
      <w:r w:rsidRPr="0028111F">
        <w:rPr>
          <w:b/>
          <w:bCs/>
          <w:rtl/>
        </w:rPr>
        <w:t xml:space="preserve"> </w:t>
      </w:r>
      <w:r>
        <w:rPr>
          <w:rFonts w:hint="cs"/>
          <w:b/>
          <w:bCs/>
          <w:rtl/>
        </w:rPr>
        <w:t xml:space="preserve">מילוי טופס הבקשה המקוון במערכת הממוחשבת ואת </w:t>
      </w:r>
      <w:r w:rsidRPr="0028111F">
        <w:rPr>
          <w:rFonts w:hint="cs"/>
          <w:b/>
          <w:bCs/>
          <w:rtl/>
        </w:rPr>
        <w:t>הנפקת</w:t>
      </w:r>
      <w:r w:rsidRPr="0028111F">
        <w:rPr>
          <w:b/>
          <w:bCs/>
          <w:rtl/>
        </w:rPr>
        <w:t xml:space="preserve"> </w:t>
      </w:r>
      <w:r>
        <w:rPr>
          <w:rFonts w:hint="cs"/>
          <w:b/>
          <w:bCs/>
          <w:rtl/>
        </w:rPr>
        <w:t>הבקשה</w:t>
      </w:r>
      <w:r w:rsidRPr="0028111F">
        <w:rPr>
          <w:b/>
          <w:bCs/>
          <w:rtl/>
        </w:rPr>
        <w:t xml:space="preserve"> </w:t>
      </w:r>
      <w:r w:rsidRPr="0028111F">
        <w:rPr>
          <w:rFonts w:hint="cs"/>
          <w:b/>
          <w:bCs/>
          <w:rtl/>
        </w:rPr>
        <w:t>לצורך</w:t>
      </w:r>
      <w:r w:rsidRPr="0028111F">
        <w:rPr>
          <w:b/>
          <w:bCs/>
          <w:rtl/>
        </w:rPr>
        <w:t xml:space="preserve"> הגשת</w:t>
      </w:r>
      <w:r>
        <w:rPr>
          <w:rFonts w:hint="cs"/>
          <w:b/>
          <w:bCs/>
          <w:rtl/>
        </w:rPr>
        <w:t>ה</w:t>
      </w:r>
      <w:r w:rsidRPr="0028111F">
        <w:rPr>
          <w:b/>
          <w:bCs/>
          <w:rtl/>
        </w:rPr>
        <w:t xml:space="preserve"> </w:t>
      </w:r>
      <w:r w:rsidRPr="0028111F">
        <w:rPr>
          <w:rFonts w:hint="cs"/>
          <w:b/>
          <w:bCs/>
          <w:rtl/>
        </w:rPr>
        <w:t>בקבלת</w:t>
      </w:r>
      <w:r w:rsidRPr="0028111F">
        <w:rPr>
          <w:b/>
          <w:bCs/>
          <w:rtl/>
        </w:rPr>
        <w:t xml:space="preserve"> </w:t>
      </w:r>
      <w:r w:rsidRPr="0028111F">
        <w:rPr>
          <w:rFonts w:hint="cs"/>
          <w:b/>
          <w:bCs/>
          <w:rtl/>
        </w:rPr>
        <w:t>האישורים</w:t>
      </w:r>
      <w:r w:rsidRPr="0028111F">
        <w:rPr>
          <w:b/>
          <w:bCs/>
          <w:rtl/>
        </w:rPr>
        <w:t xml:space="preserve"> </w:t>
      </w:r>
      <w:r w:rsidRPr="0028111F">
        <w:rPr>
          <w:rFonts w:hint="cs"/>
          <w:b/>
          <w:bCs/>
          <w:rtl/>
        </w:rPr>
        <w:t>הללו</w:t>
      </w:r>
      <w:r w:rsidRPr="0028111F">
        <w:rPr>
          <w:b/>
          <w:bCs/>
          <w:rtl/>
        </w:rPr>
        <w:t>.</w:t>
      </w:r>
      <w:r>
        <w:rPr>
          <w:rFonts w:hint="cs"/>
          <w:b/>
          <w:bCs/>
          <w:rtl/>
        </w:rPr>
        <w:t xml:space="preserve"> </w:t>
      </w:r>
    </w:p>
    <w:p w:rsidR="009A1216" w:rsidRDefault="009A1216" w:rsidP="00367A7B">
      <w:pPr>
        <w:pStyle w:val="a5"/>
        <w:spacing w:line="269" w:lineRule="auto"/>
        <w:ind w:left="153"/>
        <w:rPr>
          <w:b/>
          <w:bCs/>
          <w:rtl/>
        </w:rPr>
      </w:pPr>
    </w:p>
    <w:p w:rsidR="009A1216" w:rsidRPr="004B1648" w:rsidRDefault="009A1216" w:rsidP="00367A7B">
      <w:pPr>
        <w:spacing w:line="269" w:lineRule="auto"/>
        <w:ind w:left="720"/>
        <w:rPr>
          <w:rtl/>
        </w:rPr>
      </w:pPr>
      <w:r>
        <w:rPr>
          <w:rFonts w:hint="cs"/>
          <w:rtl/>
        </w:rPr>
        <w:t xml:space="preserve">עוד </w:t>
      </w:r>
      <w:r w:rsidRPr="004B1648">
        <w:rPr>
          <w:rFonts w:hint="cs"/>
          <w:rtl/>
        </w:rPr>
        <w:t>מסרה ה</w:t>
      </w:r>
      <w:r>
        <w:rPr>
          <w:rFonts w:hint="cs"/>
          <w:rtl/>
        </w:rPr>
        <w:t>פרקליטות</w:t>
      </w:r>
      <w:r w:rsidR="00911251">
        <w:rPr>
          <w:rFonts w:hint="cs"/>
          <w:rtl/>
        </w:rPr>
        <w:t xml:space="preserve"> בתשובתה</w:t>
      </w:r>
      <w:r w:rsidRPr="004B1648">
        <w:rPr>
          <w:rFonts w:hint="cs"/>
          <w:rtl/>
        </w:rPr>
        <w:t xml:space="preserve"> כי בהתאם להנחיית פרקליט המדינה, היא מחויבת לתיעוד אישורי הפרקליט והיא נוהגת לתייק את האישורים בהתאם לסיווגם הביטחוני </w:t>
      </w:r>
      <w:r w:rsidR="003D6F75">
        <w:rPr>
          <w:rFonts w:hint="cs"/>
          <w:rtl/>
        </w:rPr>
        <w:t>-</w:t>
      </w:r>
      <w:r w:rsidRPr="004B1648">
        <w:rPr>
          <w:rFonts w:hint="cs"/>
          <w:rtl/>
        </w:rPr>
        <w:t xml:space="preserve"> אישורים בלתי מסווגים במערכת הממוחשבת של הפרקליטות, ואישורים מסווגים בתיוק פיזי בכספות, בהיעדר מערכת ממוחשבת מסווגת. </w:t>
      </w:r>
    </w:p>
    <w:bookmarkEnd w:id="311"/>
    <w:p w:rsidR="002A45FF" w:rsidRDefault="002A45FF" w:rsidP="00367A7B">
      <w:pPr>
        <w:spacing w:line="269" w:lineRule="auto"/>
        <w:ind w:left="720"/>
        <w:rPr>
          <w:b/>
          <w:bCs/>
          <w:rtl/>
        </w:rPr>
      </w:pPr>
    </w:p>
    <w:p w:rsidR="009A1216" w:rsidRPr="00DB39E4" w:rsidRDefault="009A1216" w:rsidP="00367A7B">
      <w:pPr>
        <w:spacing w:line="269" w:lineRule="auto"/>
        <w:ind w:left="720"/>
        <w:rPr>
          <w:rtl/>
        </w:rPr>
      </w:pPr>
      <w:r>
        <w:rPr>
          <w:rFonts w:hint="cs"/>
          <w:b/>
          <w:bCs/>
          <w:rtl/>
        </w:rPr>
        <w:t>מומלץ כי פרקליט המדינה יוודא כי כאשר ניתן אישור פרקליט מחוז להאזנה ממושכת, האישור מתועד כנדרש במערכת ממוחשבת מסווגת לניהול תיקי התביעה בפרקליטות</w:t>
      </w:r>
      <w:r w:rsidRPr="004014EA">
        <w:rPr>
          <w:rFonts w:hint="cs"/>
          <w:b/>
          <w:bCs/>
          <w:rtl/>
        </w:rPr>
        <w:t>, כך שניתן יהיה להמציאו לכל דורש.</w:t>
      </w:r>
    </w:p>
    <w:p w:rsidR="009A1216" w:rsidRPr="00DB39E4" w:rsidRDefault="009A1216" w:rsidP="00367A7B">
      <w:pPr>
        <w:pStyle w:val="a5"/>
        <w:spacing w:line="269" w:lineRule="auto"/>
        <w:ind w:left="153"/>
        <w:rPr>
          <w:rtl/>
        </w:rPr>
      </w:pPr>
    </w:p>
    <w:p w:rsidR="009A1216" w:rsidRDefault="009A1216" w:rsidP="00367A7B">
      <w:pPr>
        <w:spacing w:line="269" w:lineRule="auto"/>
        <w:ind w:left="720"/>
        <w:rPr>
          <w:rtl/>
        </w:rPr>
      </w:pPr>
      <w:r w:rsidRPr="004B1648">
        <w:rPr>
          <w:rFonts w:hint="cs"/>
          <w:rtl/>
        </w:rPr>
        <w:t xml:space="preserve">הפרקליטות מסרה כי </w:t>
      </w:r>
      <w:r w:rsidRPr="004B1648">
        <w:rPr>
          <w:rtl/>
        </w:rPr>
        <w:t>בכוונת</w:t>
      </w:r>
      <w:r w:rsidRPr="004B1648">
        <w:rPr>
          <w:rFonts w:hint="cs"/>
          <w:rtl/>
        </w:rPr>
        <w:t>ה</w:t>
      </w:r>
      <w:r w:rsidRPr="004B1648">
        <w:rPr>
          <w:rtl/>
        </w:rPr>
        <w:t xml:space="preserve"> לבחון את האפשרות להטמיע </w:t>
      </w:r>
      <w:r>
        <w:rPr>
          <w:rFonts w:hint="cs"/>
          <w:rtl/>
        </w:rPr>
        <w:t>את תהליכי ה</w:t>
      </w:r>
      <w:r w:rsidRPr="004B1648">
        <w:rPr>
          <w:rtl/>
        </w:rPr>
        <w:t xml:space="preserve">עבודה </w:t>
      </w:r>
      <w:r>
        <w:rPr>
          <w:rFonts w:hint="cs"/>
          <w:rtl/>
        </w:rPr>
        <w:t>ב</w:t>
      </w:r>
      <w:r w:rsidRPr="004B1648">
        <w:rPr>
          <w:rtl/>
        </w:rPr>
        <w:t>מערכ</w:t>
      </w:r>
      <w:r w:rsidRPr="004B1648">
        <w:rPr>
          <w:rFonts w:hint="cs"/>
          <w:rtl/>
        </w:rPr>
        <w:t>ו</w:t>
      </w:r>
      <w:r w:rsidRPr="004B1648">
        <w:rPr>
          <w:rtl/>
        </w:rPr>
        <w:t>ת מחשב מסווגות</w:t>
      </w:r>
      <w:r w:rsidRPr="004B1648">
        <w:rPr>
          <w:rFonts w:hint="cs"/>
          <w:rtl/>
        </w:rPr>
        <w:t>,</w:t>
      </w:r>
      <w:r w:rsidRPr="004B1648">
        <w:rPr>
          <w:rtl/>
        </w:rPr>
        <w:t xml:space="preserve"> בכפוף לקבלת המשאבים והאישורים נדרשים</w:t>
      </w:r>
      <w:r>
        <w:rPr>
          <w:rFonts w:hint="cs"/>
          <w:rtl/>
        </w:rPr>
        <w:t>.</w:t>
      </w:r>
    </w:p>
    <w:p w:rsidR="00F553D5" w:rsidRDefault="00F553D5" w:rsidP="00604C3D">
      <w:pPr>
        <w:spacing w:line="269" w:lineRule="auto"/>
        <w:rPr>
          <w:rtl/>
        </w:rPr>
      </w:pPr>
    </w:p>
    <w:p w:rsidR="009A1216" w:rsidRPr="0097754A" w:rsidRDefault="009A1216" w:rsidP="008C598D">
      <w:pPr>
        <w:pStyle w:val="4"/>
        <w:numPr>
          <w:ilvl w:val="0"/>
          <w:numId w:val="72"/>
        </w:numPr>
        <w:spacing w:before="0" w:line="269" w:lineRule="auto"/>
        <w:ind w:left="367"/>
        <w:jc w:val="left"/>
        <w:rPr>
          <w:rtl/>
        </w:rPr>
      </w:pPr>
      <w:bookmarkStart w:id="312" w:name="_Toc211521930"/>
      <w:bookmarkStart w:id="313" w:name="_Toc219110320"/>
      <w:bookmarkStart w:id="314" w:name="_Toc219113761"/>
      <w:bookmarkStart w:id="315" w:name="_Toc219286536"/>
      <w:bookmarkStart w:id="316" w:name="_Hlk144797104"/>
      <w:bookmarkEnd w:id="281"/>
      <w:r w:rsidRPr="0097754A">
        <w:rPr>
          <w:rFonts w:hint="eastAsia"/>
          <w:rtl/>
        </w:rPr>
        <w:t>היתר</w:t>
      </w:r>
      <w:r w:rsidRPr="0097754A">
        <w:rPr>
          <w:rtl/>
        </w:rPr>
        <w:t xml:space="preserve"> </w:t>
      </w:r>
      <w:r w:rsidRPr="0097754A">
        <w:rPr>
          <w:rFonts w:hint="eastAsia"/>
          <w:rtl/>
        </w:rPr>
        <w:t>מינהלי</w:t>
      </w:r>
      <w:r w:rsidRPr="0097754A">
        <w:rPr>
          <w:rtl/>
        </w:rPr>
        <w:t xml:space="preserve"> </w:t>
      </w:r>
      <w:r w:rsidRPr="0097754A">
        <w:rPr>
          <w:rFonts w:hint="eastAsia"/>
          <w:rtl/>
        </w:rPr>
        <w:t>להאזנת</w:t>
      </w:r>
      <w:r w:rsidRPr="0097754A">
        <w:rPr>
          <w:rtl/>
        </w:rPr>
        <w:t xml:space="preserve"> </w:t>
      </w:r>
      <w:r w:rsidRPr="0097754A">
        <w:rPr>
          <w:rFonts w:hint="eastAsia"/>
          <w:rtl/>
        </w:rPr>
        <w:t>סתר</w:t>
      </w:r>
      <w:bookmarkEnd w:id="312"/>
      <w:bookmarkEnd w:id="313"/>
      <w:bookmarkEnd w:id="314"/>
      <w:bookmarkEnd w:id="315"/>
    </w:p>
    <w:p w:rsidR="002A45FF" w:rsidRDefault="002A45FF" w:rsidP="00604C3D">
      <w:pPr>
        <w:spacing w:line="269" w:lineRule="auto"/>
        <w:rPr>
          <w:rtl/>
        </w:rPr>
      </w:pPr>
      <w:bookmarkStart w:id="317" w:name="_Hlk187819152"/>
    </w:p>
    <w:p w:rsidR="009A1216" w:rsidRDefault="009A1216" w:rsidP="00816CC8">
      <w:pPr>
        <w:spacing w:line="269" w:lineRule="auto"/>
        <w:ind w:left="340"/>
        <w:rPr>
          <w:rtl/>
        </w:rPr>
      </w:pPr>
      <w:r>
        <w:rPr>
          <w:rFonts w:hint="cs"/>
          <w:rtl/>
        </w:rPr>
        <w:t>דרך המלך להאזנת סתר היא קבלת צו שיפוטי</w:t>
      </w:r>
      <w:bookmarkEnd w:id="317"/>
      <w:r>
        <w:rPr>
          <w:rFonts w:hint="cs"/>
          <w:rtl/>
        </w:rPr>
        <w:t xml:space="preserve">, שבאמצעותו מורה הרשות השופטת כי המשטרה רשאית להחיל את סמכותה בעניין קונקרטי. בחוק האזנת סתר עוגנה דרך נוספת שבאמצעותה רשאית המשטרה להחיל את סמכותה: האזנה על בסיס היתר מינהלי. היתר מינהלי הוא </w:t>
      </w:r>
      <w:r w:rsidRPr="006B2B56">
        <w:rPr>
          <w:rtl/>
        </w:rPr>
        <w:t>אישור שמוציאה רשות מ</w:t>
      </w:r>
      <w:r>
        <w:rPr>
          <w:rFonts w:hint="cs"/>
          <w:rtl/>
        </w:rPr>
        <w:t>י</w:t>
      </w:r>
      <w:r w:rsidRPr="006B2B56">
        <w:rPr>
          <w:rtl/>
        </w:rPr>
        <w:t xml:space="preserve">נהלית בדבר סמכותה לבצע האזנת סתר. </w:t>
      </w:r>
    </w:p>
    <w:p w:rsidR="002A45FF" w:rsidRDefault="002A45FF" w:rsidP="00816CC8">
      <w:pPr>
        <w:spacing w:line="269" w:lineRule="auto"/>
        <w:ind w:left="340"/>
        <w:rPr>
          <w:rtl/>
        </w:rPr>
      </w:pPr>
    </w:p>
    <w:p w:rsidR="009A1216" w:rsidRPr="002F7207" w:rsidRDefault="009A1216" w:rsidP="00816CC8">
      <w:pPr>
        <w:spacing w:line="269" w:lineRule="auto"/>
        <w:ind w:left="340"/>
        <w:rPr>
          <w:sz w:val="16"/>
          <w:szCs w:val="20"/>
          <w:rtl/>
        </w:rPr>
      </w:pPr>
      <w:r w:rsidRPr="00783BFA">
        <w:rPr>
          <w:rFonts w:hint="cs"/>
          <w:rtl/>
        </w:rPr>
        <w:t xml:space="preserve">כאמור, יש שני סוגים של היתרים מינהליים להאזנת סתר: היתר מפכ"ל להאזנה במקרים דחופים, אשר עוגן בחוק האזנת סתר; </w:t>
      </w:r>
      <w:r w:rsidRPr="00783BFA">
        <w:rPr>
          <w:rFonts w:hint="eastAsia"/>
          <w:rtl/>
        </w:rPr>
        <w:t>והיתר</w:t>
      </w:r>
      <w:r w:rsidRPr="00783BFA">
        <w:rPr>
          <w:rtl/>
        </w:rPr>
        <w:t xml:space="preserve"> </w:t>
      </w:r>
      <w:r w:rsidR="00B0004C" w:rsidRPr="00783BFA">
        <w:rPr>
          <w:rFonts w:hint="cs"/>
          <w:rtl/>
        </w:rPr>
        <w:t>מינהלי הנחתם על ידי קצין בכיר</w:t>
      </w:r>
      <w:r w:rsidRPr="00783BFA">
        <w:rPr>
          <w:rFonts w:hint="cs"/>
          <w:rtl/>
        </w:rPr>
        <w:t>, שעוגן בנוהל משטרתי באישור משרד המשפטים.</w:t>
      </w:r>
      <w:r w:rsidR="00382AE8">
        <w:rPr>
          <w:rFonts w:hint="cs"/>
          <w:rtl/>
        </w:rPr>
        <w:t xml:space="preserve"> </w:t>
      </w:r>
      <w:bookmarkStart w:id="318" w:name="_Hlk147907271"/>
    </w:p>
    <w:p w:rsidR="009A1216" w:rsidRDefault="009A1216" w:rsidP="00604C3D">
      <w:pPr>
        <w:spacing w:line="269" w:lineRule="auto"/>
      </w:pPr>
    </w:p>
    <w:p w:rsidR="009A1216" w:rsidRPr="000D7E64" w:rsidRDefault="009A1216" w:rsidP="008C598D">
      <w:pPr>
        <w:pStyle w:val="5"/>
        <w:numPr>
          <w:ilvl w:val="2"/>
          <w:numId w:val="74"/>
        </w:numPr>
        <w:spacing w:line="269" w:lineRule="auto"/>
        <w:ind w:left="707"/>
        <w:rPr>
          <w:rtl/>
        </w:rPr>
      </w:pPr>
      <w:r w:rsidRPr="004A17E0">
        <w:rPr>
          <w:rFonts w:hint="eastAsia"/>
          <w:rtl/>
        </w:rPr>
        <w:t>היתר</w:t>
      </w:r>
      <w:r w:rsidRPr="004A17E0">
        <w:rPr>
          <w:rtl/>
        </w:rPr>
        <w:t xml:space="preserve"> </w:t>
      </w:r>
      <w:r w:rsidRPr="004A17E0">
        <w:rPr>
          <w:rFonts w:hint="eastAsia"/>
          <w:rtl/>
        </w:rPr>
        <w:t>מפכ</w:t>
      </w:r>
      <w:r w:rsidRPr="004A17E0">
        <w:rPr>
          <w:rtl/>
        </w:rPr>
        <w:t>"ל</w:t>
      </w:r>
      <w:r>
        <w:rPr>
          <w:rFonts w:hint="cs"/>
          <w:rtl/>
        </w:rPr>
        <w:t xml:space="preserve"> </w:t>
      </w:r>
      <w:r w:rsidR="009606E1">
        <w:rPr>
          <w:rFonts w:hint="cs"/>
          <w:rtl/>
        </w:rPr>
        <w:t>ל</w:t>
      </w:r>
      <w:r>
        <w:rPr>
          <w:rFonts w:hint="cs"/>
          <w:rtl/>
        </w:rPr>
        <w:t xml:space="preserve">האזנה </w:t>
      </w:r>
      <w:r w:rsidR="009606E1">
        <w:rPr>
          <w:rFonts w:hint="cs"/>
          <w:rtl/>
        </w:rPr>
        <w:t xml:space="preserve">במקרים </w:t>
      </w:r>
      <w:r>
        <w:rPr>
          <w:rFonts w:hint="cs"/>
          <w:rtl/>
        </w:rPr>
        <w:t>דחופ</w:t>
      </w:r>
      <w:r w:rsidR="009606E1">
        <w:rPr>
          <w:rFonts w:hint="cs"/>
          <w:rtl/>
        </w:rPr>
        <w:t>ים</w:t>
      </w:r>
    </w:p>
    <w:bookmarkEnd w:id="318"/>
    <w:p w:rsidR="002A45FF" w:rsidRDefault="002A45FF" w:rsidP="00604C3D">
      <w:pPr>
        <w:spacing w:line="269" w:lineRule="auto"/>
        <w:rPr>
          <w:rtl/>
        </w:rPr>
      </w:pPr>
    </w:p>
    <w:p w:rsidR="009A1216" w:rsidRDefault="009A1216" w:rsidP="00816CC8">
      <w:pPr>
        <w:spacing w:line="269" w:lineRule="auto"/>
        <w:ind w:left="680"/>
        <w:rPr>
          <w:rtl/>
        </w:rPr>
      </w:pPr>
      <w:r w:rsidRPr="000D7E64">
        <w:rPr>
          <w:rFonts w:hint="cs"/>
          <w:rtl/>
        </w:rPr>
        <w:t>לפי</w:t>
      </w:r>
      <w:r w:rsidRPr="000D7E64">
        <w:rPr>
          <w:rtl/>
        </w:rPr>
        <w:t xml:space="preserve"> </w:t>
      </w:r>
      <w:r>
        <w:rPr>
          <w:rFonts w:hint="cs"/>
          <w:rtl/>
        </w:rPr>
        <w:t>חוק האזנת סתר</w:t>
      </w:r>
      <w:r w:rsidRPr="000D7E64">
        <w:rPr>
          <w:rtl/>
        </w:rPr>
        <w:t xml:space="preserve">, </w:t>
      </w:r>
      <w:r w:rsidRPr="000D7E64">
        <w:rPr>
          <w:rFonts w:hint="cs"/>
          <w:rtl/>
        </w:rPr>
        <w:t>בסמכות</w:t>
      </w:r>
      <w:r w:rsidRPr="000D7E64">
        <w:rPr>
          <w:rtl/>
        </w:rPr>
        <w:t xml:space="preserve"> </w:t>
      </w:r>
      <w:r w:rsidRPr="000D7E64">
        <w:rPr>
          <w:rFonts w:hint="cs"/>
          <w:rtl/>
        </w:rPr>
        <w:t>מפכ</w:t>
      </w:r>
      <w:r w:rsidRPr="000D7E64">
        <w:rPr>
          <w:rtl/>
        </w:rPr>
        <w:t xml:space="preserve">"ל </w:t>
      </w:r>
      <w:r w:rsidRPr="000D7E64">
        <w:rPr>
          <w:rFonts w:hint="cs"/>
          <w:rtl/>
        </w:rPr>
        <w:t>המשטרה</w:t>
      </w:r>
      <w:r w:rsidRPr="000D7E64">
        <w:rPr>
          <w:rtl/>
        </w:rPr>
        <w:t xml:space="preserve"> </w:t>
      </w:r>
      <w:r>
        <w:rPr>
          <w:rFonts w:hint="cs"/>
          <w:rtl/>
        </w:rPr>
        <w:t>לתת</w:t>
      </w:r>
      <w:r w:rsidRPr="000D7E64">
        <w:rPr>
          <w:rtl/>
        </w:rPr>
        <w:t xml:space="preserve">, במקרים דחופים, </w:t>
      </w:r>
      <w:r w:rsidRPr="000D7E64">
        <w:rPr>
          <w:rFonts w:hint="cs"/>
          <w:rtl/>
        </w:rPr>
        <w:t>לשם</w:t>
      </w:r>
      <w:r w:rsidRPr="000D7E64">
        <w:rPr>
          <w:rtl/>
        </w:rPr>
        <w:t xml:space="preserve"> </w:t>
      </w:r>
      <w:r w:rsidRPr="000D7E64">
        <w:rPr>
          <w:rFonts w:hint="cs"/>
          <w:rtl/>
        </w:rPr>
        <w:t>מניעת</w:t>
      </w:r>
      <w:r w:rsidRPr="000D7E64">
        <w:rPr>
          <w:rtl/>
        </w:rPr>
        <w:t xml:space="preserve"> </w:t>
      </w:r>
      <w:r w:rsidRPr="000D7E64">
        <w:rPr>
          <w:rFonts w:hint="cs"/>
          <w:rtl/>
        </w:rPr>
        <w:t>פשע</w:t>
      </w:r>
      <w:r w:rsidRPr="000D7E64">
        <w:rPr>
          <w:rtl/>
        </w:rPr>
        <w:t xml:space="preserve"> או גילוי מבצעיו, </w:t>
      </w:r>
      <w:r w:rsidRPr="000D7E64">
        <w:rPr>
          <w:rFonts w:hint="cs"/>
          <w:rtl/>
        </w:rPr>
        <w:t>היתר</w:t>
      </w:r>
      <w:r w:rsidRPr="000D7E64">
        <w:rPr>
          <w:rtl/>
        </w:rPr>
        <w:t xml:space="preserve"> להאזנת סתר ללא צו שיפוטי. </w:t>
      </w:r>
      <w:r>
        <w:rPr>
          <w:rFonts w:hint="cs"/>
          <w:rtl/>
        </w:rPr>
        <w:t xml:space="preserve">תחולתם של </w:t>
      </w:r>
      <w:r w:rsidRPr="000D7E64">
        <w:rPr>
          <w:rtl/>
        </w:rPr>
        <w:t xml:space="preserve">היתרים מסוג זה </w:t>
      </w:r>
      <w:r>
        <w:rPr>
          <w:rFonts w:hint="cs"/>
          <w:rtl/>
        </w:rPr>
        <w:t>מוגבלת</w:t>
      </w:r>
      <w:r w:rsidRPr="000D7E64">
        <w:rPr>
          <w:rtl/>
        </w:rPr>
        <w:t xml:space="preserve"> ל-48 שעות</w:t>
      </w:r>
      <w:r>
        <w:rPr>
          <w:rFonts w:hint="cs"/>
          <w:rtl/>
        </w:rPr>
        <w:t>,</w:t>
      </w:r>
      <w:r w:rsidRPr="000D7E64">
        <w:rPr>
          <w:rtl/>
        </w:rPr>
        <w:t xml:space="preserve"> </w:t>
      </w:r>
      <w:r>
        <w:rPr>
          <w:rFonts w:hint="cs"/>
          <w:rtl/>
        </w:rPr>
        <w:t xml:space="preserve">וקבלתם מחייבת </w:t>
      </w:r>
      <w:r w:rsidRPr="000D7E64">
        <w:rPr>
          <w:rFonts w:hint="cs"/>
          <w:rtl/>
        </w:rPr>
        <w:t>דיווח</w:t>
      </w:r>
      <w:r w:rsidRPr="000D7E64">
        <w:rPr>
          <w:rtl/>
        </w:rPr>
        <w:t xml:space="preserve"> </w:t>
      </w:r>
      <w:r>
        <w:rPr>
          <w:rFonts w:hint="cs"/>
          <w:rtl/>
        </w:rPr>
        <w:t xml:space="preserve">על כך </w:t>
      </w:r>
      <w:r w:rsidRPr="000D7E64">
        <w:rPr>
          <w:rFonts w:hint="cs"/>
          <w:rtl/>
        </w:rPr>
        <w:t>בכתב</w:t>
      </w:r>
      <w:r w:rsidRPr="000D7E64">
        <w:rPr>
          <w:rtl/>
        </w:rPr>
        <w:t xml:space="preserve"> </w:t>
      </w:r>
      <w:r w:rsidRPr="000D7E64">
        <w:rPr>
          <w:rFonts w:hint="cs"/>
          <w:rtl/>
        </w:rPr>
        <w:t>ליועמ</w:t>
      </w:r>
      <w:r w:rsidRPr="000D7E64">
        <w:rPr>
          <w:rtl/>
        </w:rPr>
        <w:t xml:space="preserve">"ש </w:t>
      </w:r>
      <w:r w:rsidRPr="000D7E64">
        <w:rPr>
          <w:rFonts w:hint="cs"/>
          <w:rtl/>
        </w:rPr>
        <w:t>לממשלה</w:t>
      </w:r>
      <w:r w:rsidRPr="000D7E64">
        <w:rPr>
          <w:rtl/>
        </w:rPr>
        <w:t xml:space="preserve">, </w:t>
      </w:r>
      <w:r w:rsidRPr="000D7E64">
        <w:rPr>
          <w:rFonts w:hint="cs"/>
          <w:rtl/>
        </w:rPr>
        <w:t>אשר</w:t>
      </w:r>
      <w:r w:rsidRPr="000D7E64">
        <w:rPr>
          <w:rtl/>
        </w:rPr>
        <w:t xml:space="preserve"> </w:t>
      </w:r>
      <w:r w:rsidRPr="000D7E64">
        <w:rPr>
          <w:rFonts w:hint="cs"/>
          <w:rtl/>
        </w:rPr>
        <w:t>רשאי</w:t>
      </w:r>
      <w:r w:rsidRPr="000D7E64">
        <w:rPr>
          <w:rtl/>
        </w:rPr>
        <w:t xml:space="preserve"> </w:t>
      </w:r>
      <w:r w:rsidRPr="000D7E64">
        <w:rPr>
          <w:rFonts w:hint="cs"/>
          <w:rtl/>
        </w:rPr>
        <w:t>לבטל</w:t>
      </w:r>
      <w:r w:rsidRPr="000D7E64">
        <w:rPr>
          <w:rtl/>
        </w:rPr>
        <w:t xml:space="preserve"> </w:t>
      </w:r>
      <w:r w:rsidRPr="000D7E64">
        <w:rPr>
          <w:rFonts w:hint="cs"/>
          <w:rtl/>
        </w:rPr>
        <w:t>את</w:t>
      </w:r>
      <w:r w:rsidRPr="000D7E64">
        <w:rPr>
          <w:rtl/>
        </w:rPr>
        <w:t xml:space="preserve"> </w:t>
      </w:r>
      <w:r w:rsidRPr="000D7E64">
        <w:rPr>
          <w:rFonts w:hint="cs"/>
          <w:rtl/>
        </w:rPr>
        <w:t>ההיתר</w:t>
      </w:r>
      <w:r>
        <w:rPr>
          <w:rFonts w:hint="cs"/>
          <w:rtl/>
        </w:rPr>
        <w:t>.</w:t>
      </w:r>
      <w:r w:rsidRPr="000D7E64">
        <w:rPr>
          <w:rtl/>
        </w:rPr>
        <w:t xml:space="preserve"> </w:t>
      </w:r>
      <w:r w:rsidRPr="000D7E64">
        <w:rPr>
          <w:rFonts w:hint="cs"/>
          <w:rtl/>
        </w:rPr>
        <w:t>לו</w:t>
      </w:r>
      <w:r w:rsidRPr="000D7E64">
        <w:rPr>
          <w:rtl/>
        </w:rPr>
        <w:t xml:space="preserve"> </w:t>
      </w:r>
      <w:r w:rsidRPr="000D7E64">
        <w:rPr>
          <w:rFonts w:hint="cs"/>
          <w:rtl/>
        </w:rPr>
        <w:t>תתבקש</w:t>
      </w:r>
      <w:r w:rsidRPr="000D7E64">
        <w:rPr>
          <w:rtl/>
        </w:rPr>
        <w:t xml:space="preserve"> </w:t>
      </w:r>
      <w:r w:rsidRPr="000D7E64">
        <w:rPr>
          <w:rFonts w:hint="cs"/>
          <w:rtl/>
        </w:rPr>
        <w:t>הארכת</w:t>
      </w:r>
      <w:r>
        <w:rPr>
          <w:rFonts w:hint="cs"/>
          <w:rtl/>
        </w:rPr>
        <w:t xml:space="preserve"> תחולתם ליותר מ-48 שעות, ההיתרים אף יעברו </w:t>
      </w:r>
      <w:r w:rsidRPr="000D7E64">
        <w:rPr>
          <w:rFonts w:hint="cs"/>
          <w:rtl/>
        </w:rPr>
        <w:t>ביקורת</w:t>
      </w:r>
      <w:r w:rsidRPr="000D7E64">
        <w:rPr>
          <w:rtl/>
        </w:rPr>
        <w:t xml:space="preserve"> </w:t>
      </w:r>
      <w:r w:rsidRPr="000D7E64">
        <w:rPr>
          <w:rFonts w:hint="cs"/>
          <w:rtl/>
        </w:rPr>
        <w:t>שיפוטית</w:t>
      </w:r>
      <w:r w:rsidRPr="000D7E64">
        <w:rPr>
          <w:rtl/>
        </w:rPr>
        <w:t xml:space="preserve"> </w:t>
      </w:r>
      <w:r w:rsidRPr="000D7E64">
        <w:rPr>
          <w:rFonts w:hint="cs"/>
          <w:rtl/>
        </w:rPr>
        <w:t>בדיעבד</w:t>
      </w:r>
      <w:r w:rsidRPr="000D7E64">
        <w:rPr>
          <w:rtl/>
        </w:rPr>
        <w:t xml:space="preserve">. </w:t>
      </w:r>
    </w:p>
    <w:p w:rsidR="00A00B07" w:rsidRDefault="00A00B07" w:rsidP="00816CC8">
      <w:pPr>
        <w:spacing w:line="269" w:lineRule="auto"/>
        <w:ind w:left="680"/>
        <w:rPr>
          <w:rtl/>
        </w:rPr>
      </w:pPr>
    </w:p>
    <w:p w:rsidR="009A1216" w:rsidRDefault="009A1216" w:rsidP="00816CC8">
      <w:pPr>
        <w:spacing w:line="269" w:lineRule="auto"/>
        <w:ind w:left="680"/>
        <w:rPr>
          <w:rtl/>
        </w:rPr>
      </w:pPr>
      <w:r>
        <w:rPr>
          <w:rFonts w:hint="cs"/>
          <w:rtl/>
        </w:rPr>
        <w:t>היתר המפכ"ל הוא ההיתר המינהלי היחידי שעוגן בחוק. בדברי ההסבר לחוק הובהר</w:t>
      </w:r>
      <w:r>
        <w:rPr>
          <w:rStyle w:val="af"/>
          <w:rtl/>
        </w:rPr>
        <w:footnoteReference w:id="143"/>
      </w:r>
      <w:r>
        <w:rPr>
          <w:rFonts w:hint="cs"/>
          <w:rtl/>
        </w:rPr>
        <w:t xml:space="preserve"> כי "סעיף זה בא להתיר האזנה ללא רשות בית המשפט במקרים דחופים במיוחד, כשמטרת ההאזנה תסוכל אם תחילתה תידחה עד לסיום הליכי הבקשה בבית משפט... לפני מתן ההיתר צריך המפקח הכללי להיות משוכנע שההאזנה אינה סובלת דיחוי וכי יש בה צורך למניעת עבירה או לגילוי מבצעה".</w:t>
      </w:r>
    </w:p>
    <w:p w:rsidR="00A00B07" w:rsidRDefault="00A00B07" w:rsidP="00816CC8">
      <w:pPr>
        <w:spacing w:line="269" w:lineRule="auto"/>
        <w:ind w:left="680"/>
        <w:rPr>
          <w:rtl/>
        </w:rPr>
      </w:pPr>
    </w:p>
    <w:p w:rsidR="009A1216" w:rsidRPr="000D7E64" w:rsidRDefault="009A1216" w:rsidP="00816CC8">
      <w:pPr>
        <w:spacing w:line="269" w:lineRule="auto"/>
        <w:ind w:left="680"/>
        <w:rPr>
          <w:rtl/>
        </w:rPr>
      </w:pPr>
      <w:r>
        <w:rPr>
          <w:rFonts w:hint="cs"/>
          <w:rtl/>
        </w:rPr>
        <w:t xml:space="preserve">עוד הודגש בדברי ההסבר לחוק החשיבות שבמתן ההיתר המינהלי על ידי המפכ"ל בלבד, לנוכח חריגות ההיתר המינהלי שעוקף את הצורך באישור בית המשפט: "רמת הרשות המאשרת, התנאים הקבועים בסעיף וקוצר תקופת ההיתר באים להבטיח שלא ייעשה שימוש באפשרות ההאזנה ללא היתר בבית משפט כאילו הייתה דבר של שגרה או אמצעי לעקיפת הצורך באישור בית המשפט". </w:t>
      </w:r>
    </w:p>
    <w:p w:rsidR="00A00B07" w:rsidRDefault="00A00B07" w:rsidP="00816CC8">
      <w:pPr>
        <w:spacing w:line="269" w:lineRule="auto"/>
        <w:ind w:left="680"/>
        <w:rPr>
          <w:rtl/>
        </w:rPr>
      </w:pPr>
    </w:p>
    <w:p w:rsidR="009A1216" w:rsidRPr="00685C67" w:rsidRDefault="009A1216" w:rsidP="00816CC8">
      <w:pPr>
        <w:spacing w:line="269" w:lineRule="auto"/>
        <w:ind w:left="680"/>
        <w:rPr>
          <w:rtl/>
        </w:rPr>
      </w:pPr>
      <w:r>
        <w:rPr>
          <w:rFonts w:hint="cs"/>
          <w:rtl/>
        </w:rPr>
        <w:t>ב</w:t>
      </w:r>
      <w:r w:rsidRPr="00685C67">
        <w:rPr>
          <w:rFonts w:hint="cs"/>
          <w:rtl/>
        </w:rPr>
        <w:t>נוהל</w:t>
      </w:r>
      <w:r w:rsidRPr="00685C67">
        <w:rPr>
          <w:rtl/>
        </w:rPr>
        <w:t xml:space="preserve"> </w:t>
      </w:r>
      <w:r w:rsidRPr="00685C67">
        <w:rPr>
          <w:rFonts w:hint="cs"/>
          <w:rtl/>
        </w:rPr>
        <w:t xml:space="preserve">המשטרתי משנת 2005 בנושא מנגנון קבלת היתרי מפכ"ל </w:t>
      </w:r>
      <w:r>
        <w:rPr>
          <w:rFonts w:hint="cs"/>
          <w:rtl/>
        </w:rPr>
        <w:t>נקבע סדר העדיפויות של</w:t>
      </w:r>
      <w:r w:rsidRPr="00685C67">
        <w:rPr>
          <w:rFonts w:hint="cs"/>
          <w:rtl/>
        </w:rPr>
        <w:t xml:space="preserve"> הגשת הבקשות כדלקמן: צו שיפוטי בשעות עבודת בית המשפט, צו שיפוטי בידי שופט תורן בשעות שאינן שעות העבודה של בתי המשפט, ובהיעדר חלופות אלו </w:t>
      </w:r>
      <w:r>
        <w:rPr>
          <w:rFonts w:hint="cs"/>
          <w:rtl/>
        </w:rPr>
        <w:t>-</w:t>
      </w:r>
      <w:r w:rsidRPr="00685C67">
        <w:rPr>
          <w:rFonts w:hint="cs"/>
          <w:rtl/>
        </w:rPr>
        <w:t xml:space="preserve"> פנייה לקבלת היתר מפכ"ל. </w:t>
      </w:r>
    </w:p>
    <w:p w:rsidR="00A00B07" w:rsidRDefault="00A00B07" w:rsidP="00816CC8">
      <w:pPr>
        <w:spacing w:line="269" w:lineRule="auto"/>
        <w:ind w:left="680"/>
        <w:rPr>
          <w:rtl/>
        </w:rPr>
      </w:pPr>
    </w:p>
    <w:p w:rsidR="009A1216" w:rsidRPr="00685C67" w:rsidRDefault="009A1216" w:rsidP="00816CC8">
      <w:pPr>
        <w:spacing w:line="269" w:lineRule="auto"/>
        <w:ind w:left="680"/>
        <w:rPr>
          <w:rtl/>
        </w:rPr>
      </w:pPr>
      <w:r>
        <w:rPr>
          <w:rFonts w:hint="cs"/>
          <w:rtl/>
        </w:rPr>
        <w:t>ב</w:t>
      </w:r>
      <w:r w:rsidRPr="00685C67">
        <w:rPr>
          <w:rFonts w:hint="cs"/>
          <w:rtl/>
        </w:rPr>
        <w:t>בדיקת מבקר המדינה אותר מקרה אחד</w:t>
      </w:r>
      <w:r>
        <w:rPr>
          <w:rFonts w:hint="cs"/>
          <w:rtl/>
        </w:rPr>
        <w:t>, בשנת 2013,</w:t>
      </w:r>
      <w:r w:rsidRPr="00685C67">
        <w:rPr>
          <w:rFonts w:hint="cs"/>
          <w:rtl/>
        </w:rPr>
        <w:t xml:space="preserve"> </w:t>
      </w:r>
      <w:r>
        <w:rPr>
          <w:rFonts w:hint="cs"/>
          <w:rtl/>
        </w:rPr>
        <w:t>ש</w:t>
      </w:r>
      <w:r w:rsidRPr="00685C67">
        <w:rPr>
          <w:rFonts w:hint="cs"/>
          <w:rtl/>
        </w:rPr>
        <w:t xml:space="preserve">בו </w:t>
      </w:r>
      <w:r>
        <w:rPr>
          <w:rFonts w:hint="cs"/>
          <w:rtl/>
        </w:rPr>
        <w:t xml:space="preserve">הוחלה </w:t>
      </w:r>
      <w:r w:rsidRPr="00685C67">
        <w:rPr>
          <w:rFonts w:hint="cs"/>
          <w:rtl/>
        </w:rPr>
        <w:t xml:space="preserve">סמכות המפכ"ל </w:t>
      </w:r>
      <w:r>
        <w:rPr>
          <w:rFonts w:hint="cs"/>
          <w:rtl/>
        </w:rPr>
        <w:t>למתן היתר כאמור.</w:t>
      </w:r>
    </w:p>
    <w:p w:rsidR="00A00B07" w:rsidRDefault="00A00B07" w:rsidP="00816CC8">
      <w:pPr>
        <w:spacing w:line="269" w:lineRule="auto"/>
        <w:ind w:left="680"/>
        <w:rPr>
          <w:rtl/>
        </w:rPr>
      </w:pPr>
    </w:p>
    <w:p w:rsidR="009A1216" w:rsidRDefault="009A1216" w:rsidP="00816CC8">
      <w:pPr>
        <w:spacing w:line="269" w:lineRule="auto"/>
        <w:ind w:left="680"/>
        <w:rPr>
          <w:rtl/>
        </w:rPr>
      </w:pPr>
      <w:r w:rsidRPr="000C458F">
        <w:rPr>
          <w:rFonts w:hint="cs"/>
          <w:rtl/>
        </w:rPr>
        <w:t>בשנת 2017</w:t>
      </w:r>
      <w:r>
        <w:rPr>
          <w:rFonts w:hint="cs"/>
          <w:rtl/>
        </w:rPr>
        <w:t xml:space="preserve">, לצורך קבלת חוות דעת </w:t>
      </w:r>
      <w:r w:rsidRPr="00AA766B">
        <w:rPr>
          <w:rFonts w:hint="cs"/>
          <w:rtl/>
        </w:rPr>
        <w:t xml:space="preserve">משפטית המאשרת </w:t>
      </w:r>
      <w:r w:rsidRPr="00ED5384">
        <w:rPr>
          <w:rFonts w:hint="cs"/>
          <w:rtl/>
        </w:rPr>
        <w:t>שימוש בצו חריג ב'</w:t>
      </w:r>
      <w:r w:rsidRPr="00AA766B">
        <w:rPr>
          <w:rStyle w:val="af"/>
          <w:rtl/>
        </w:rPr>
        <w:footnoteReference w:id="144"/>
      </w:r>
      <w:r w:rsidRPr="00AA766B">
        <w:rPr>
          <w:rFonts w:hint="cs"/>
          <w:rtl/>
        </w:rPr>
        <w:t>,</w:t>
      </w:r>
      <w:r w:rsidRPr="00ED5384">
        <w:rPr>
          <w:rFonts w:hint="cs"/>
          <w:rtl/>
        </w:rPr>
        <w:t xml:space="preserve"> המ</w:t>
      </w:r>
      <w:r w:rsidRPr="000C458F">
        <w:rPr>
          <w:rFonts w:hint="cs"/>
          <w:rtl/>
        </w:rPr>
        <w:t xml:space="preserve">שטרה טענה לפני </w:t>
      </w:r>
      <w:r>
        <w:rPr>
          <w:rFonts w:hint="cs"/>
          <w:rtl/>
        </w:rPr>
        <w:t>הייעוץ המשפטי לממשלה</w:t>
      </w:r>
      <w:r w:rsidRPr="000C458F">
        <w:rPr>
          <w:rFonts w:hint="cs"/>
          <w:rtl/>
        </w:rPr>
        <w:t xml:space="preserve"> כי היא אינה נוהגת לקבל היתר מהמפכ"ל מכוחו של סעיף 7 במקרים דחופים, ונימקה זאת, בין היתר, בזמינותו הנמוכה של המפכ"ל. עקב כך </w:t>
      </w:r>
      <w:r>
        <w:rPr>
          <w:rFonts w:hint="cs"/>
          <w:rtl/>
        </w:rPr>
        <w:t>הייעוץ המשפטי לממשלה</w:t>
      </w:r>
      <w:r w:rsidRPr="000C458F">
        <w:rPr>
          <w:rFonts w:hint="cs"/>
          <w:rtl/>
        </w:rPr>
        <w:t xml:space="preserve"> הציע כי המשטרה תבחן את האפשרות לייעל את המנגנון המעוגן בחוק לקבלת היתרי מ</w:t>
      </w:r>
      <w:r>
        <w:rPr>
          <w:rFonts w:hint="cs"/>
          <w:rtl/>
        </w:rPr>
        <w:t>פ</w:t>
      </w:r>
      <w:r w:rsidRPr="000C458F">
        <w:rPr>
          <w:rFonts w:hint="cs"/>
          <w:rtl/>
        </w:rPr>
        <w:t>כ"ל; וכי אם לא ניתן לייעל את המנגנון, המשטרה תשקול</w:t>
      </w:r>
      <w:r>
        <w:rPr>
          <w:rFonts w:hint="cs"/>
          <w:rtl/>
        </w:rPr>
        <w:t xml:space="preserve"> </w:t>
      </w:r>
      <w:r w:rsidRPr="000C458F">
        <w:rPr>
          <w:rFonts w:hint="cs"/>
          <w:rtl/>
        </w:rPr>
        <w:t>לבצע תיקון חקיקה בנושא.</w:t>
      </w:r>
      <w:r>
        <w:rPr>
          <w:rFonts w:hint="cs"/>
          <w:rtl/>
        </w:rPr>
        <w:t xml:space="preserve"> להלן תרשים המבאר את החלופות לטיפול באירועים דחופים בפרשייה הדורשת האזנת סתר:</w:t>
      </w:r>
    </w:p>
    <w:p w:rsidR="009A1216" w:rsidRPr="00DB39E4" w:rsidRDefault="009A1216" w:rsidP="00604C3D">
      <w:pPr>
        <w:pStyle w:val="a5"/>
        <w:spacing w:line="269" w:lineRule="auto"/>
        <w:rPr>
          <w:rtl/>
        </w:rPr>
      </w:pPr>
    </w:p>
    <w:p w:rsidR="009A1216" w:rsidRPr="00AE3D05" w:rsidRDefault="009A1216" w:rsidP="00604C3D">
      <w:pPr>
        <w:keepNext/>
        <w:keepLines/>
        <w:spacing w:line="269" w:lineRule="auto"/>
        <w:jc w:val="center"/>
        <w:rPr>
          <w:b/>
          <w:bCs/>
          <w:rtl/>
        </w:rPr>
      </w:pPr>
      <w:r w:rsidRPr="009F6150">
        <w:rPr>
          <w:rFonts w:hint="eastAsia"/>
          <w:rtl/>
        </w:rPr>
        <w:t>תרשים</w:t>
      </w:r>
      <w:r w:rsidR="00455AF1">
        <w:rPr>
          <w:rFonts w:hint="cs"/>
          <w:rtl/>
        </w:rPr>
        <w:t xml:space="preserve"> 11</w:t>
      </w:r>
      <w:r w:rsidRPr="009F6150">
        <w:rPr>
          <w:rtl/>
        </w:rPr>
        <w:t xml:space="preserve">: </w:t>
      </w:r>
      <w:r w:rsidRPr="009F6150">
        <w:rPr>
          <w:rFonts w:hint="eastAsia"/>
          <w:b/>
          <w:bCs/>
          <w:rtl/>
        </w:rPr>
        <w:t>סוגי</w:t>
      </w:r>
      <w:r w:rsidRPr="009F6150">
        <w:rPr>
          <w:b/>
          <w:bCs/>
          <w:rtl/>
        </w:rPr>
        <w:t xml:space="preserve"> </w:t>
      </w:r>
      <w:r w:rsidR="00CA76F6" w:rsidRPr="009F6150">
        <w:rPr>
          <w:rFonts w:hint="eastAsia"/>
          <w:b/>
          <w:bCs/>
          <w:rtl/>
        </w:rPr>
        <w:t>ה</w:t>
      </w:r>
      <w:r w:rsidRPr="0002142D">
        <w:rPr>
          <w:rFonts w:hint="eastAsia"/>
          <w:b/>
          <w:bCs/>
          <w:rtl/>
        </w:rPr>
        <w:t>היתרים</w:t>
      </w:r>
      <w:r w:rsidR="00CA76F6" w:rsidRPr="0002142D">
        <w:rPr>
          <w:b/>
          <w:bCs/>
          <w:rtl/>
        </w:rPr>
        <w:t>,</w:t>
      </w:r>
      <w:r w:rsidRPr="004F36D2">
        <w:rPr>
          <w:b/>
          <w:bCs/>
          <w:rtl/>
        </w:rPr>
        <w:t xml:space="preserve"> </w:t>
      </w:r>
      <w:r w:rsidRPr="00073F97">
        <w:rPr>
          <w:rFonts w:hint="eastAsia"/>
          <w:b/>
          <w:bCs/>
          <w:rtl/>
        </w:rPr>
        <w:t>לפי</w:t>
      </w:r>
      <w:r w:rsidRPr="00073F97">
        <w:rPr>
          <w:b/>
          <w:bCs/>
          <w:rtl/>
        </w:rPr>
        <w:t xml:space="preserve"> </w:t>
      </w:r>
      <w:r w:rsidRPr="00073F97">
        <w:rPr>
          <w:rFonts w:hint="eastAsia"/>
          <w:b/>
          <w:bCs/>
          <w:rtl/>
        </w:rPr>
        <w:t>הגורם</w:t>
      </w:r>
      <w:r w:rsidRPr="00073F97">
        <w:rPr>
          <w:b/>
          <w:bCs/>
          <w:rtl/>
        </w:rPr>
        <w:t xml:space="preserve"> </w:t>
      </w:r>
      <w:r w:rsidRPr="00073F97">
        <w:rPr>
          <w:rFonts w:hint="eastAsia"/>
          <w:b/>
          <w:bCs/>
          <w:rtl/>
        </w:rPr>
        <w:t>המאשר</w:t>
      </w:r>
    </w:p>
    <w:p w:rsidR="009A1216" w:rsidRDefault="009A1216" w:rsidP="00604C3D">
      <w:pPr>
        <w:spacing w:line="269" w:lineRule="auto"/>
        <w:rPr>
          <w:rtl/>
        </w:rPr>
      </w:pPr>
      <w:r>
        <w:rPr>
          <w:noProof/>
          <w:rtl/>
          <w:lang w:val="he-IL"/>
        </w:rPr>
        <w:drawing>
          <wp:inline distT="0" distB="0" distL="0" distR="0" wp14:anchorId="15340193" wp14:editId="072D23DF">
            <wp:extent cx="5246948" cy="2244090"/>
            <wp:effectExtent l="0" t="0" r="0" b="381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גילוי עבירות 19.317.jpg"/>
                    <pic:cNvPicPr/>
                  </pic:nvPicPr>
                  <pic:blipFill rotWithShape="1">
                    <a:blip r:embed="rId22" cstate="print">
                      <a:extLst>
                        <a:ext uri="{28A0092B-C50C-407E-A947-70E740481C1C}">
                          <a14:useLocalDpi xmlns:a14="http://schemas.microsoft.com/office/drawing/2010/main" val="0"/>
                        </a:ext>
                      </a:extLst>
                    </a:blip>
                    <a:srcRect l="1236" t="18665" r="1564" b="25838"/>
                    <a:stretch/>
                  </pic:blipFill>
                  <pic:spPr bwMode="auto">
                    <a:xfrm>
                      <a:off x="0" y="0"/>
                      <a:ext cx="5248837" cy="2244898"/>
                    </a:xfrm>
                    <a:prstGeom prst="rect">
                      <a:avLst/>
                    </a:prstGeom>
                    <a:ln>
                      <a:noFill/>
                    </a:ln>
                    <a:extLst>
                      <a:ext uri="{53640926-AAD7-44D8-BBD7-CCE9431645EC}">
                        <a14:shadowObscured xmlns:a14="http://schemas.microsoft.com/office/drawing/2010/main"/>
                      </a:ext>
                    </a:extLst>
                  </pic:spPr>
                </pic:pic>
              </a:graphicData>
            </a:graphic>
          </wp:inline>
        </w:drawing>
      </w:r>
    </w:p>
    <w:p w:rsidR="009A1216" w:rsidRPr="00AF6674" w:rsidRDefault="009A1216" w:rsidP="00604C3D">
      <w:pPr>
        <w:pStyle w:val="a5"/>
        <w:spacing w:line="269" w:lineRule="auto"/>
        <w:ind w:firstLine="567"/>
        <w:rPr>
          <w:rtl/>
        </w:rPr>
      </w:pPr>
      <w:r w:rsidRPr="00AF6674">
        <w:rPr>
          <w:rFonts w:hint="cs"/>
          <w:rtl/>
        </w:rPr>
        <w:t>על פי ממצאי הביקורת, בעיבוד משרד מבקר המדינה</w:t>
      </w:r>
      <w:r w:rsidR="00CA76F6">
        <w:rPr>
          <w:rFonts w:hint="cs"/>
          <w:rtl/>
        </w:rPr>
        <w:t>.</w:t>
      </w:r>
    </w:p>
    <w:p w:rsidR="00A00B07" w:rsidRDefault="00A00B07" w:rsidP="00604C3D">
      <w:pPr>
        <w:spacing w:line="269" w:lineRule="auto"/>
        <w:rPr>
          <w:b/>
          <w:bCs/>
          <w:rtl/>
        </w:rPr>
      </w:pPr>
      <w:bookmarkStart w:id="319" w:name="_Hlk147907297"/>
    </w:p>
    <w:p w:rsidR="009A1216" w:rsidRPr="00DD5F54" w:rsidRDefault="009A1216" w:rsidP="00816CC8">
      <w:pPr>
        <w:spacing w:line="269" w:lineRule="auto"/>
        <w:ind w:left="720"/>
        <w:rPr>
          <w:b/>
          <w:bCs/>
          <w:rtl/>
        </w:rPr>
      </w:pPr>
      <w:r w:rsidRPr="00DD5F54">
        <w:rPr>
          <w:rFonts w:hint="cs"/>
          <w:b/>
          <w:bCs/>
          <w:rtl/>
        </w:rPr>
        <w:t xml:space="preserve">בדיקת מבקר המדינה העלתה כי </w:t>
      </w:r>
      <w:bookmarkStart w:id="320" w:name="_Hlk187819273"/>
      <w:r>
        <w:rPr>
          <w:rFonts w:hint="cs"/>
          <w:b/>
          <w:bCs/>
          <w:rtl/>
        </w:rPr>
        <w:t xml:space="preserve">המשטרה </w:t>
      </w:r>
      <w:r w:rsidRPr="00DD5F54">
        <w:rPr>
          <w:rFonts w:hint="cs"/>
          <w:b/>
          <w:bCs/>
          <w:rtl/>
        </w:rPr>
        <w:t>לא ב</w:t>
      </w:r>
      <w:r>
        <w:rPr>
          <w:rFonts w:hint="cs"/>
          <w:b/>
          <w:bCs/>
          <w:rtl/>
        </w:rPr>
        <w:t>י</w:t>
      </w:r>
      <w:r w:rsidRPr="00DD5F54">
        <w:rPr>
          <w:rFonts w:hint="cs"/>
          <w:b/>
          <w:bCs/>
          <w:rtl/>
        </w:rPr>
        <w:t xml:space="preserve">צעה עבודת מטה </w:t>
      </w:r>
      <w:bookmarkStart w:id="321" w:name="_Hlk133145350"/>
      <w:r w:rsidRPr="00DD5F54">
        <w:rPr>
          <w:rFonts w:hint="cs"/>
          <w:b/>
          <w:bCs/>
          <w:rtl/>
        </w:rPr>
        <w:t>לייעול מנגנון אישור היתרי מפכ"ל</w:t>
      </w:r>
      <w:bookmarkEnd w:id="321"/>
      <w:r w:rsidRPr="00DD5F54">
        <w:rPr>
          <w:rFonts w:hint="cs"/>
          <w:b/>
          <w:bCs/>
          <w:rtl/>
        </w:rPr>
        <w:t xml:space="preserve"> ואף לא נעשה ניסיון לקבל היתר מפכ"ל</w:t>
      </w:r>
      <w:bookmarkEnd w:id="320"/>
      <w:r w:rsidRPr="00DD5F54">
        <w:rPr>
          <w:rFonts w:hint="cs"/>
          <w:b/>
          <w:bCs/>
          <w:rtl/>
        </w:rPr>
        <w:t>. מסלול קבלת אישורי המפכ"ל להיתרי האזנת סתר אינו מיושם, הנוהל המשטרתי לא עודכן, והמערכת לניהול הצווים אינה מאפשרת להפיק היתר מפכ"ל</w:t>
      </w:r>
      <w:r w:rsidRPr="00DD5F54">
        <w:rPr>
          <w:b/>
          <w:bCs/>
          <w:rtl/>
        </w:rPr>
        <w:t>.</w:t>
      </w:r>
    </w:p>
    <w:p w:rsidR="00A00B07" w:rsidRDefault="00A00B07" w:rsidP="00816CC8">
      <w:pPr>
        <w:spacing w:line="269" w:lineRule="auto"/>
        <w:ind w:left="720"/>
        <w:rPr>
          <w:b/>
          <w:bCs/>
          <w:rtl/>
        </w:rPr>
      </w:pPr>
    </w:p>
    <w:p w:rsidR="009A1216" w:rsidRDefault="009A1216" w:rsidP="00816CC8">
      <w:pPr>
        <w:spacing w:line="269" w:lineRule="auto"/>
        <w:ind w:left="720"/>
        <w:rPr>
          <w:b/>
          <w:bCs/>
          <w:rtl/>
        </w:rPr>
      </w:pPr>
      <w:r w:rsidRPr="00A512AA">
        <w:rPr>
          <w:rFonts w:hint="eastAsia"/>
          <w:b/>
          <w:bCs/>
          <w:rtl/>
        </w:rPr>
        <w:t>עוד</w:t>
      </w:r>
      <w:r w:rsidRPr="00A512AA">
        <w:rPr>
          <w:b/>
          <w:bCs/>
          <w:rtl/>
        </w:rPr>
        <w:t xml:space="preserve"> </w:t>
      </w:r>
      <w:r w:rsidRPr="00A512AA">
        <w:rPr>
          <w:rFonts w:hint="eastAsia"/>
          <w:b/>
          <w:bCs/>
          <w:rtl/>
        </w:rPr>
        <w:t>עלה</w:t>
      </w:r>
      <w:r w:rsidRPr="00A512AA">
        <w:rPr>
          <w:b/>
          <w:bCs/>
          <w:rtl/>
        </w:rPr>
        <w:t xml:space="preserve"> </w:t>
      </w:r>
      <w:r w:rsidRPr="00A512AA">
        <w:rPr>
          <w:rFonts w:hint="eastAsia"/>
          <w:b/>
          <w:bCs/>
          <w:rtl/>
        </w:rPr>
        <w:t>כי</w:t>
      </w:r>
      <w:r w:rsidRPr="00A512AA">
        <w:rPr>
          <w:b/>
          <w:bCs/>
          <w:rtl/>
        </w:rPr>
        <w:t xml:space="preserve"> </w:t>
      </w:r>
      <w:r w:rsidRPr="00A512AA">
        <w:rPr>
          <w:rFonts w:hint="eastAsia"/>
          <w:b/>
          <w:bCs/>
          <w:rtl/>
        </w:rPr>
        <w:t>בד</w:t>
      </w:r>
      <w:r w:rsidRPr="00A512AA">
        <w:rPr>
          <w:b/>
          <w:bCs/>
          <w:rtl/>
        </w:rPr>
        <w:t xml:space="preserve"> </w:t>
      </w:r>
      <w:r w:rsidRPr="00A512AA">
        <w:rPr>
          <w:rFonts w:hint="eastAsia"/>
          <w:b/>
          <w:bCs/>
          <w:rtl/>
        </w:rPr>
        <w:t>בבד</w:t>
      </w:r>
      <w:r w:rsidRPr="00A512AA">
        <w:rPr>
          <w:b/>
          <w:bCs/>
          <w:rtl/>
        </w:rPr>
        <w:t xml:space="preserve"> </w:t>
      </w:r>
      <w:r w:rsidRPr="00A512AA">
        <w:rPr>
          <w:rFonts w:hint="eastAsia"/>
          <w:b/>
          <w:bCs/>
          <w:rtl/>
        </w:rPr>
        <w:t>עם</w:t>
      </w:r>
      <w:r w:rsidRPr="00A512AA">
        <w:rPr>
          <w:b/>
          <w:bCs/>
          <w:rtl/>
        </w:rPr>
        <w:t xml:space="preserve"> </w:t>
      </w:r>
      <w:r w:rsidRPr="00A512AA">
        <w:rPr>
          <w:rFonts w:hint="eastAsia"/>
          <w:b/>
          <w:bCs/>
          <w:rtl/>
        </w:rPr>
        <w:t>אי</w:t>
      </w:r>
      <w:r w:rsidR="00184673">
        <w:rPr>
          <w:rFonts w:hint="cs"/>
          <w:b/>
          <w:bCs/>
          <w:rtl/>
        </w:rPr>
        <w:t>-</w:t>
      </w:r>
      <w:r w:rsidRPr="00A512AA">
        <w:rPr>
          <w:rFonts w:hint="eastAsia"/>
          <w:b/>
          <w:bCs/>
          <w:rtl/>
        </w:rPr>
        <w:t>יישומו</w:t>
      </w:r>
      <w:r w:rsidRPr="00A512AA">
        <w:rPr>
          <w:b/>
          <w:bCs/>
          <w:rtl/>
        </w:rPr>
        <w:t xml:space="preserve"> </w:t>
      </w:r>
      <w:r w:rsidRPr="00A512AA">
        <w:rPr>
          <w:rFonts w:hint="eastAsia"/>
          <w:b/>
          <w:bCs/>
          <w:rtl/>
        </w:rPr>
        <w:t>של</w:t>
      </w:r>
      <w:r w:rsidRPr="00A512AA">
        <w:rPr>
          <w:b/>
          <w:bCs/>
          <w:rtl/>
        </w:rPr>
        <w:t xml:space="preserve"> </w:t>
      </w:r>
      <w:r w:rsidRPr="00A512AA">
        <w:rPr>
          <w:rFonts w:hint="eastAsia"/>
          <w:b/>
          <w:bCs/>
          <w:rtl/>
        </w:rPr>
        <w:t>מסלול</w:t>
      </w:r>
      <w:r w:rsidRPr="00A512AA">
        <w:rPr>
          <w:b/>
          <w:bCs/>
          <w:rtl/>
        </w:rPr>
        <w:t xml:space="preserve"> </w:t>
      </w:r>
      <w:r w:rsidRPr="00A512AA">
        <w:rPr>
          <w:rFonts w:hint="eastAsia"/>
          <w:b/>
          <w:bCs/>
          <w:rtl/>
        </w:rPr>
        <w:t>היתרי</w:t>
      </w:r>
      <w:r w:rsidRPr="00A512AA">
        <w:rPr>
          <w:b/>
          <w:bCs/>
          <w:rtl/>
        </w:rPr>
        <w:t xml:space="preserve"> </w:t>
      </w:r>
      <w:r w:rsidRPr="00A512AA">
        <w:rPr>
          <w:rFonts w:hint="eastAsia"/>
          <w:b/>
          <w:bCs/>
          <w:rtl/>
        </w:rPr>
        <w:t>המפכ</w:t>
      </w:r>
      <w:r w:rsidRPr="00A512AA">
        <w:rPr>
          <w:b/>
          <w:bCs/>
          <w:rtl/>
        </w:rPr>
        <w:t>"</w:t>
      </w:r>
      <w:r w:rsidRPr="00A512AA">
        <w:rPr>
          <w:rFonts w:hint="eastAsia"/>
          <w:b/>
          <w:bCs/>
          <w:rtl/>
        </w:rPr>
        <w:t>ל</w:t>
      </w:r>
      <w:r w:rsidRPr="00A512AA">
        <w:rPr>
          <w:b/>
          <w:bCs/>
          <w:rtl/>
        </w:rPr>
        <w:t xml:space="preserve">, </w:t>
      </w:r>
      <w:r w:rsidRPr="00A512AA">
        <w:rPr>
          <w:rFonts w:hint="eastAsia"/>
          <w:b/>
          <w:bCs/>
          <w:rtl/>
        </w:rPr>
        <w:t>המשטרה</w:t>
      </w:r>
      <w:r w:rsidRPr="00A512AA">
        <w:rPr>
          <w:b/>
          <w:bCs/>
          <w:rtl/>
        </w:rPr>
        <w:t xml:space="preserve"> </w:t>
      </w:r>
      <w:r w:rsidRPr="00A512AA">
        <w:rPr>
          <w:rFonts w:hint="eastAsia"/>
          <w:b/>
          <w:bCs/>
          <w:rtl/>
        </w:rPr>
        <w:t>עיגנה</w:t>
      </w:r>
      <w:r w:rsidRPr="00A512AA">
        <w:rPr>
          <w:b/>
          <w:bCs/>
          <w:rtl/>
        </w:rPr>
        <w:t xml:space="preserve"> מנגנון של צו שיפוטי חריג (צו חריג ב'), שמאפשר לעקוף את הצורך בקבלת היתרי המפכ"ל </w:t>
      </w:r>
      <w:r w:rsidRPr="00A512AA">
        <w:rPr>
          <w:rFonts w:hint="eastAsia"/>
          <w:b/>
          <w:bCs/>
          <w:rtl/>
        </w:rPr>
        <w:t>באמצעות</w:t>
      </w:r>
      <w:r w:rsidRPr="00A512AA">
        <w:rPr>
          <w:b/>
          <w:bCs/>
          <w:rtl/>
        </w:rPr>
        <w:t xml:space="preserve"> </w:t>
      </w:r>
      <w:r w:rsidRPr="00A512AA">
        <w:rPr>
          <w:rFonts w:hint="eastAsia"/>
          <w:b/>
          <w:bCs/>
          <w:rtl/>
        </w:rPr>
        <w:t>אישור</w:t>
      </w:r>
      <w:r w:rsidRPr="00A512AA">
        <w:rPr>
          <w:b/>
          <w:bCs/>
          <w:rtl/>
        </w:rPr>
        <w:t xml:space="preserve"> הוספת יעדי האזנה גם במקרים דחופים </w:t>
      </w:r>
      <w:r w:rsidRPr="00A512AA">
        <w:rPr>
          <w:rFonts w:hint="eastAsia"/>
          <w:b/>
          <w:bCs/>
          <w:rtl/>
        </w:rPr>
        <w:t>לאחר</w:t>
      </w:r>
      <w:r w:rsidRPr="00A512AA">
        <w:rPr>
          <w:b/>
          <w:bCs/>
          <w:rtl/>
        </w:rPr>
        <w:t xml:space="preserve"> </w:t>
      </w:r>
      <w:r w:rsidRPr="00A512AA">
        <w:rPr>
          <w:rFonts w:hint="eastAsia"/>
          <w:b/>
          <w:bCs/>
          <w:rtl/>
        </w:rPr>
        <w:t>קבלת</w:t>
      </w:r>
      <w:r w:rsidRPr="00A512AA">
        <w:rPr>
          <w:b/>
          <w:bCs/>
          <w:rtl/>
        </w:rPr>
        <w:t xml:space="preserve"> </w:t>
      </w:r>
      <w:r w:rsidRPr="00A512AA">
        <w:rPr>
          <w:rFonts w:hint="eastAsia"/>
          <w:b/>
          <w:bCs/>
          <w:rtl/>
        </w:rPr>
        <w:t>הצו</w:t>
      </w:r>
      <w:r w:rsidRPr="00A512AA">
        <w:rPr>
          <w:b/>
          <w:bCs/>
          <w:rtl/>
        </w:rPr>
        <w:t xml:space="preserve"> </w:t>
      </w:r>
      <w:r w:rsidRPr="00A512AA">
        <w:rPr>
          <w:rFonts w:hint="eastAsia"/>
          <w:b/>
          <w:bCs/>
          <w:rtl/>
        </w:rPr>
        <w:t>השיפוטי</w:t>
      </w:r>
      <w:r w:rsidRPr="00A512AA">
        <w:rPr>
          <w:b/>
          <w:bCs/>
          <w:rtl/>
        </w:rPr>
        <w:t xml:space="preserve">. </w:t>
      </w:r>
      <w:r w:rsidRPr="00A512AA">
        <w:rPr>
          <w:rFonts w:hint="eastAsia"/>
          <w:b/>
          <w:bCs/>
          <w:rtl/>
        </w:rPr>
        <w:t>אישור</w:t>
      </w:r>
      <w:r w:rsidRPr="00A512AA">
        <w:rPr>
          <w:b/>
          <w:bCs/>
          <w:rtl/>
        </w:rPr>
        <w:t xml:space="preserve"> </w:t>
      </w:r>
      <w:r w:rsidRPr="00A512AA">
        <w:rPr>
          <w:rFonts w:hint="eastAsia"/>
          <w:b/>
          <w:bCs/>
          <w:rtl/>
        </w:rPr>
        <w:t>זה</w:t>
      </w:r>
      <w:r w:rsidRPr="00A512AA">
        <w:rPr>
          <w:b/>
          <w:bCs/>
          <w:rtl/>
        </w:rPr>
        <w:t xml:space="preserve"> </w:t>
      </w:r>
      <w:r w:rsidRPr="00A512AA">
        <w:rPr>
          <w:rFonts w:hint="eastAsia"/>
          <w:b/>
          <w:bCs/>
          <w:rtl/>
        </w:rPr>
        <w:t>ניתן</w:t>
      </w:r>
      <w:r w:rsidRPr="00A512AA">
        <w:rPr>
          <w:b/>
          <w:bCs/>
          <w:rtl/>
        </w:rPr>
        <w:t xml:space="preserve"> על ידי סגן רח"ט הסייבר בדרגת </w:t>
      </w:r>
      <w:r w:rsidRPr="00A512AA">
        <w:rPr>
          <w:rFonts w:hint="eastAsia"/>
          <w:b/>
          <w:bCs/>
          <w:rtl/>
        </w:rPr>
        <w:t>נצ</w:t>
      </w:r>
      <w:r w:rsidRPr="00A512AA">
        <w:rPr>
          <w:b/>
          <w:bCs/>
          <w:rtl/>
        </w:rPr>
        <w:t>"ם.</w:t>
      </w:r>
      <w:r>
        <w:rPr>
          <w:rFonts w:hint="cs"/>
          <w:b/>
          <w:bCs/>
          <w:rtl/>
        </w:rPr>
        <w:t xml:space="preserve"> </w:t>
      </w:r>
    </w:p>
    <w:p w:rsidR="009A1216" w:rsidRDefault="009A1216" w:rsidP="00816CC8">
      <w:pPr>
        <w:pStyle w:val="a5"/>
        <w:spacing w:line="269" w:lineRule="auto"/>
        <w:ind w:left="153"/>
        <w:rPr>
          <w:b/>
          <w:bCs/>
          <w:rtl/>
        </w:rPr>
      </w:pPr>
    </w:p>
    <w:p w:rsidR="009A1216" w:rsidRDefault="009A1216" w:rsidP="00816CC8">
      <w:pPr>
        <w:spacing w:line="269" w:lineRule="auto"/>
        <w:ind w:left="720"/>
        <w:rPr>
          <w:rtl/>
        </w:rPr>
      </w:pPr>
      <w:r w:rsidRPr="004014EA">
        <w:rPr>
          <w:rFonts w:hint="cs"/>
          <w:rtl/>
        </w:rPr>
        <w:t xml:space="preserve">המשטרה מסרה בתגובתה כי היא דחתה את הצעת משרד המשפטים לקיים עבודת מטה בנושא, וכי אין "צורך ל'החיות' סעיף חוק </w:t>
      </w:r>
      <w:r w:rsidRPr="004014EA">
        <w:rPr>
          <w:rtl/>
        </w:rPr>
        <w:t>ארכאי זה שאינו יעיל ואינו נדרש</w:t>
      </w:r>
      <w:r w:rsidRPr="004014EA">
        <w:rPr>
          <w:rFonts w:hint="cs"/>
          <w:rtl/>
        </w:rPr>
        <w:t>", וכי לעולם יש להעדיף הוצאת צווים שיפוטיים כצו חריג ב'.</w:t>
      </w:r>
    </w:p>
    <w:p w:rsidR="00A00B07" w:rsidRDefault="00A00B07" w:rsidP="00816CC8">
      <w:pPr>
        <w:spacing w:line="269" w:lineRule="auto"/>
        <w:ind w:left="720"/>
        <w:rPr>
          <w:b/>
          <w:bCs/>
          <w:rtl/>
        </w:rPr>
      </w:pPr>
      <w:bookmarkStart w:id="322" w:name="_Hlk189052881"/>
      <w:bookmarkEnd w:id="319"/>
    </w:p>
    <w:p w:rsidR="009A1216" w:rsidRDefault="009A1216" w:rsidP="00816CC8">
      <w:pPr>
        <w:spacing w:line="269" w:lineRule="auto"/>
        <w:ind w:left="720"/>
        <w:rPr>
          <w:rtl/>
        </w:rPr>
      </w:pPr>
      <w:r>
        <w:rPr>
          <w:rFonts w:hint="cs"/>
          <w:b/>
          <w:bCs/>
          <w:rtl/>
        </w:rPr>
        <w:t>ביסוד קביעת המנגנון</w:t>
      </w:r>
      <w:r w:rsidRPr="00685C67">
        <w:rPr>
          <w:b/>
          <w:bCs/>
          <w:rtl/>
        </w:rPr>
        <w:t xml:space="preserve"> </w:t>
      </w:r>
      <w:r w:rsidRPr="00685C67">
        <w:rPr>
          <w:rFonts w:hint="cs"/>
          <w:b/>
          <w:bCs/>
          <w:rtl/>
        </w:rPr>
        <w:t>לקבלת</w:t>
      </w:r>
      <w:r w:rsidRPr="00685C67">
        <w:rPr>
          <w:b/>
          <w:bCs/>
          <w:rtl/>
        </w:rPr>
        <w:t xml:space="preserve"> </w:t>
      </w:r>
      <w:r w:rsidRPr="00685C67">
        <w:rPr>
          <w:rFonts w:hint="cs"/>
          <w:b/>
          <w:bCs/>
          <w:rtl/>
        </w:rPr>
        <w:t>אישור</w:t>
      </w:r>
      <w:r w:rsidRPr="00685C67">
        <w:rPr>
          <w:b/>
          <w:bCs/>
          <w:rtl/>
        </w:rPr>
        <w:t xml:space="preserve"> </w:t>
      </w:r>
      <w:r w:rsidRPr="00685C67">
        <w:rPr>
          <w:rFonts w:hint="cs"/>
          <w:b/>
          <w:bCs/>
          <w:rtl/>
        </w:rPr>
        <w:t>המפכ</w:t>
      </w:r>
      <w:r w:rsidRPr="00685C67">
        <w:rPr>
          <w:b/>
          <w:bCs/>
          <w:rtl/>
        </w:rPr>
        <w:t xml:space="preserve">"ל </w:t>
      </w:r>
      <w:r w:rsidRPr="00685C67">
        <w:rPr>
          <w:rFonts w:hint="cs"/>
          <w:b/>
          <w:bCs/>
          <w:rtl/>
        </w:rPr>
        <w:t>במקרים</w:t>
      </w:r>
      <w:r w:rsidRPr="00685C67">
        <w:rPr>
          <w:b/>
          <w:bCs/>
          <w:rtl/>
        </w:rPr>
        <w:t xml:space="preserve"> </w:t>
      </w:r>
      <w:r w:rsidRPr="00685C67">
        <w:rPr>
          <w:rFonts w:hint="cs"/>
          <w:b/>
          <w:bCs/>
          <w:rtl/>
        </w:rPr>
        <w:t>דחופים</w:t>
      </w:r>
      <w:r w:rsidRPr="00685C67">
        <w:rPr>
          <w:b/>
          <w:bCs/>
          <w:rtl/>
        </w:rPr>
        <w:t xml:space="preserve"> </w:t>
      </w:r>
      <w:r w:rsidRPr="00685C67">
        <w:rPr>
          <w:rFonts w:hint="cs"/>
          <w:b/>
          <w:bCs/>
          <w:rtl/>
        </w:rPr>
        <w:t>ורגישים</w:t>
      </w:r>
      <w:r w:rsidRPr="00685C67">
        <w:rPr>
          <w:b/>
          <w:bCs/>
          <w:rtl/>
        </w:rPr>
        <w:t xml:space="preserve"> </w:t>
      </w:r>
      <w:r w:rsidRPr="00685C67">
        <w:rPr>
          <w:rFonts w:hint="cs"/>
          <w:b/>
          <w:bCs/>
          <w:rtl/>
        </w:rPr>
        <w:t>בתחום</w:t>
      </w:r>
      <w:r w:rsidRPr="00685C67">
        <w:rPr>
          <w:b/>
          <w:bCs/>
          <w:rtl/>
        </w:rPr>
        <w:t xml:space="preserve"> </w:t>
      </w:r>
      <w:r w:rsidRPr="00685C67">
        <w:rPr>
          <w:rFonts w:hint="cs"/>
          <w:b/>
          <w:bCs/>
          <w:rtl/>
        </w:rPr>
        <w:t>האזנות</w:t>
      </w:r>
      <w:r w:rsidRPr="00685C67">
        <w:rPr>
          <w:b/>
          <w:bCs/>
          <w:rtl/>
        </w:rPr>
        <w:t xml:space="preserve"> </w:t>
      </w:r>
      <w:r w:rsidRPr="00685C67">
        <w:rPr>
          <w:rFonts w:hint="cs"/>
          <w:b/>
          <w:bCs/>
          <w:rtl/>
        </w:rPr>
        <w:t>הסתר</w:t>
      </w:r>
      <w:r>
        <w:rPr>
          <w:rFonts w:hint="cs"/>
          <w:b/>
          <w:bCs/>
          <w:rtl/>
        </w:rPr>
        <w:t xml:space="preserve"> עמד רציונל המביא בחשבון את רגישות המקרים ומאפייניהם. על כך ניתן ללמוד בין היתר</w:t>
      </w:r>
      <w:r w:rsidRPr="00BE1FCD">
        <w:rPr>
          <w:b/>
          <w:bCs/>
          <w:rtl/>
        </w:rPr>
        <w:t>:</w:t>
      </w:r>
      <w:r>
        <w:rPr>
          <w:rFonts w:hint="cs"/>
          <w:b/>
          <w:bCs/>
          <w:rtl/>
        </w:rPr>
        <w:t xml:space="preserve"> </w:t>
      </w:r>
      <w:r w:rsidRPr="00BE1FCD">
        <w:rPr>
          <w:b/>
          <w:bCs/>
          <w:rtl/>
        </w:rPr>
        <w:t>(</w:t>
      </w:r>
      <w:r>
        <w:rPr>
          <w:rFonts w:hint="cs"/>
          <w:b/>
          <w:bCs/>
          <w:rtl/>
        </w:rPr>
        <w:t>א</w:t>
      </w:r>
      <w:r w:rsidRPr="00BE1FCD">
        <w:rPr>
          <w:b/>
          <w:bCs/>
          <w:rtl/>
        </w:rPr>
        <w:t xml:space="preserve">) </w:t>
      </w:r>
      <w:bookmarkStart w:id="323" w:name="_Hlk187837033"/>
      <w:r>
        <w:rPr>
          <w:rFonts w:hint="cs"/>
          <w:b/>
          <w:bCs/>
          <w:rtl/>
        </w:rPr>
        <w:t xml:space="preserve">החשיבות </w:t>
      </w:r>
      <w:r w:rsidRPr="008E4F65">
        <w:rPr>
          <w:b/>
          <w:bCs/>
          <w:rtl/>
        </w:rPr>
        <w:t>שבמתן ההיתר המינהלי על ידי המפכ"ל בלבד</w:t>
      </w:r>
      <w:r>
        <w:rPr>
          <w:rFonts w:hint="cs"/>
          <w:b/>
          <w:bCs/>
          <w:rtl/>
        </w:rPr>
        <w:t xml:space="preserve"> כמובא בדברי ההסבר לחוק;</w:t>
      </w:r>
      <w:r w:rsidRPr="00685C67">
        <w:rPr>
          <w:b/>
          <w:bCs/>
          <w:rtl/>
        </w:rPr>
        <w:t xml:space="preserve"> (</w:t>
      </w:r>
      <w:r>
        <w:rPr>
          <w:rFonts w:hint="cs"/>
          <w:b/>
          <w:bCs/>
          <w:rtl/>
        </w:rPr>
        <w:t>ב</w:t>
      </w:r>
      <w:r w:rsidRPr="00685C67">
        <w:rPr>
          <w:b/>
          <w:bCs/>
          <w:rtl/>
        </w:rPr>
        <w:t xml:space="preserve">) </w:t>
      </w:r>
      <w:r w:rsidRPr="00A512AA">
        <w:rPr>
          <w:rFonts w:hint="eastAsia"/>
          <w:b/>
          <w:bCs/>
          <w:rtl/>
        </w:rPr>
        <w:t>החשיבות</w:t>
      </w:r>
      <w:r w:rsidRPr="00A512AA">
        <w:rPr>
          <w:b/>
          <w:bCs/>
          <w:rtl/>
        </w:rPr>
        <w:t xml:space="preserve"> </w:t>
      </w:r>
      <w:r w:rsidRPr="00A512AA">
        <w:rPr>
          <w:rFonts w:hint="eastAsia"/>
          <w:b/>
          <w:bCs/>
          <w:rtl/>
        </w:rPr>
        <w:t>שבהפרדת</w:t>
      </w:r>
      <w:r w:rsidRPr="00A512AA">
        <w:rPr>
          <w:b/>
          <w:bCs/>
          <w:rtl/>
        </w:rPr>
        <w:t xml:space="preserve"> </w:t>
      </w:r>
      <w:r w:rsidRPr="00A512AA">
        <w:rPr>
          <w:rFonts w:hint="eastAsia"/>
          <w:b/>
          <w:bCs/>
          <w:rtl/>
        </w:rPr>
        <w:t>תפקידים</w:t>
      </w:r>
      <w:r w:rsidRPr="00A512AA">
        <w:rPr>
          <w:b/>
          <w:bCs/>
          <w:rtl/>
        </w:rPr>
        <w:t xml:space="preserve"> </w:t>
      </w:r>
      <w:r w:rsidRPr="00A512AA">
        <w:rPr>
          <w:rFonts w:hint="eastAsia"/>
          <w:b/>
          <w:bCs/>
          <w:rtl/>
        </w:rPr>
        <w:t>מהותית</w:t>
      </w:r>
      <w:r w:rsidRPr="00A512AA">
        <w:rPr>
          <w:b/>
          <w:bCs/>
          <w:rtl/>
        </w:rPr>
        <w:t xml:space="preserve"> </w:t>
      </w:r>
      <w:r w:rsidRPr="00A512AA">
        <w:rPr>
          <w:rFonts w:hint="eastAsia"/>
          <w:b/>
          <w:bCs/>
          <w:rtl/>
        </w:rPr>
        <w:t>בין</w:t>
      </w:r>
      <w:r w:rsidRPr="00A512AA">
        <w:rPr>
          <w:b/>
          <w:bCs/>
          <w:rtl/>
        </w:rPr>
        <w:t xml:space="preserve"> </w:t>
      </w:r>
      <w:r w:rsidRPr="00A512AA">
        <w:rPr>
          <w:rFonts w:hint="eastAsia"/>
          <w:b/>
          <w:bCs/>
          <w:rtl/>
        </w:rPr>
        <w:t>אח</w:t>
      </w:r>
      <w:r w:rsidRPr="00A512AA">
        <w:rPr>
          <w:b/>
          <w:bCs/>
          <w:rtl/>
        </w:rPr>
        <w:t xml:space="preserve">"ם </w:t>
      </w:r>
      <w:r w:rsidRPr="00A512AA">
        <w:rPr>
          <w:rFonts w:hint="eastAsia"/>
          <w:b/>
          <w:bCs/>
          <w:rtl/>
        </w:rPr>
        <w:t>כגורם</w:t>
      </w:r>
      <w:r w:rsidRPr="00A512AA">
        <w:rPr>
          <w:b/>
          <w:bCs/>
          <w:rtl/>
        </w:rPr>
        <w:t xml:space="preserve"> </w:t>
      </w:r>
      <w:r w:rsidRPr="00A512AA">
        <w:rPr>
          <w:rFonts w:hint="eastAsia"/>
          <w:b/>
          <w:bCs/>
          <w:rtl/>
        </w:rPr>
        <w:t>המבקש</w:t>
      </w:r>
      <w:r w:rsidRPr="00A512AA">
        <w:rPr>
          <w:b/>
          <w:bCs/>
          <w:rtl/>
        </w:rPr>
        <w:t xml:space="preserve"> </w:t>
      </w:r>
      <w:r w:rsidRPr="00A512AA">
        <w:rPr>
          <w:rFonts w:hint="eastAsia"/>
          <w:b/>
          <w:bCs/>
          <w:rtl/>
        </w:rPr>
        <w:t>את</w:t>
      </w:r>
      <w:r w:rsidRPr="00A512AA">
        <w:rPr>
          <w:b/>
          <w:bCs/>
          <w:rtl/>
        </w:rPr>
        <w:t xml:space="preserve"> </w:t>
      </w:r>
      <w:r w:rsidRPr="00A512AA">
        <w:rPr>
          <w:rFonts w:hint="eastAsia"/>
          <w:b/>
          <w:bCs/>
          <w:rtl/>
        </w:rPr>
        <w:t>האזנת</w:t>
      </w:r>
      <w:r w:rsidRPr="00A512AA">
        <w:rPr>
          <w:b/>
          <w:bCs/>
          <w:rtl/>
        </w:rPr>
        <w:t xml:space="preserve"> </w:t>
      </w:r>
      <w:r w:rsidRPr="00A512AA">
        <w:rPr>
          <w:rFonts w:hint="eastAsia"/>
          <w:b/>
          <w:bCs/>
          <w:rtl/>
        </w:rPr>
        <w:t>הסתר</w:t>
      </w:r>
      <w:r w:rsidRPr="00A512AA">
        <w:rPr>
          <w:b/>
          <w:bCs/>
          <w:rtl/>
        </w:rPr>
        <w:t xml:space="preserve"> </w:t>
      </w:r>
      <w:r w:rsidRPr="00A512AA">
        <w:rPr>
          <w:rFonts w:hint="eastAsia"/>
          <w:b/>
          <w:bCs/>
          <w:rtl/>
        </w:rPr>
        <w:t>לבין</w:t>
      </w:r>
      <w:r w:rsidRPr="00A512AA">
        <w:rPr>
          <w:b/>
          <w:bCs/>
          <w:rtl/>
        </w:rPr>
        <w:t xml:space="preserve"> </w:t>
      </w:r>
      <w:r w:rsidRPr="00A512AA">
        <w:rPr>
          <w:rFonts w:hint="eastAsia"/>
          <w:b/>
          <w:bCs/>
          <w:rtl/>
        </w:rPr>
        <w:t>המפכ</w:t>
      </w:r>
      <w:r w:rsidRPr="00A512AA">
        <w:rPr>
          <w:b/>
          <w:bCs/>
          <w:rtl/>
        </w:rPr>
        <w:t xml:space="preserve">"ל </w:t>
      </w:r>
      <w:r w:rsidRPr="00A512AA">
        <w:rPr>
          <w:rFonts w:hint="eastAsia"/>
          <w:b/>
          <w:bCs/>
          <w:rtl/>
        </w:rPr>
        <w:t>כגורם</w:t>
      </w:r>
      <w:r w:rsidRPr="00A512AA">
        <w:rPr>
          <w:b/>
          <w:bCs/>
          <w:rtl/>
        </w:rPr>
        <w:t xml:space="preserve"> </w:t>
      </w:r>
      <w:r w:rsidRPr="00A512AA">
        <w:rPr>
          <w:rFonts w:hint="eastAsia"/>
          <w:b/>
          <w:bCs/>
          <w:rtl/>
        </w:rPr>
        <w:t>המאשר</w:t>
      </w:r>
      <w:r w:rsidRPr="00A512AA">
        <w:rPr>
          <w:b/>
          <w:bCs/>
          <w:rtl/>
        </w:rPr>
        <w:t xml:space="preserve"> </w:t>
      </w:r>
      <w:r w:rsidRPr="00A512AA">
        <w:rPr>
          <w:rFonts w:hint="eastAsia"/>
          <w:b/>
          <w:bCs/>
          <w:rtl/>
        </w:rPr>
        <w:t>והבלתי</w:t>
      </w:r>
      <w:r w:rsidRPr="00A512AA">
        <w:rPr>
          <w:b/>
          <w:bCs/>
          <w:rtl/>
        </w:rPr>
        <w:t xml:space="preserve"> </w:t>
      </w:r>
      <w:r w:rsidRPr="00A512AA">
        <w:rPr>
          <w:rFonts w:hint="eastAsia"/>
          <w:b/>
          <w:bCs/>
          <w:rtl/>
        </w:rPr>
        <w:t>תלוי</w:t>
      </w:r>
      <w:r w:rsidRPr="00A512AA">
        <w:rPr>
          <w:b/>
          <w:bCs/>
          <w:rtl/>
        </w:rPr>
        <w:t xml:space="preserve">. </w:t>
      </w:r>
      <w:r w:rsidRPr="00A512AA">
        <w:rPr>
          <w:rFonts w:hint="eastAsia"/>
          <w:b/>
          <w:bCs/>
          <w:rtl/>
        </w:rPr>
        <w:t>זו</w:t>
      </w:r>
      <w:r w:rsidRPr="00A512AA">
        <w:rPr>
          <w:b/>
          <w:bCs/>
          <w:rtl/>
        </w:rPr>
        <w:t xml:space="preserve"> מתחדדת </w:t>
      </w:r>
      <w:r w:rsidRPr="00A512AA">
        <w:rPr>
          <w:rFonts w:hint="eastAsia"/>
          <w:b/>
          <w:bCs/>
          <w:rtl/>
        </w:rPr>
        <w:t>לנוכח</w:t>
      </w:r>
      <w:r w:rsidRPr="00A512AA">
        <w:rPr>
          <w:b/>
          <w:bCs/>
          <w:rtl/>
        </w:rPr>
        <w:t xml:space="preserve"> השימוש בצו </w:t>
      </w:r>
      <w:r w:rsidRPr="00A512AA">
        <w:rPr>
          <w:rFonts w:hint="eastAsia"/>
          <w:b/>
          <w:bCs/>
          <w:rtl/>
        </w:rPr>
        <w:t>חריג</w:t>
      </w:r>
      <w:r w:rsidRPr="00A512AA">
        <w:rPr>
          <w:b/>
          <w:bCs/>
          <w:rtl/>
        </w:rPr>
        <w:t xml:space="preserve"> </w:t>
      </w:r>
      <w:r w:rsidRPr="00A512AA">
        <w:rPr>
          <w:rFonts w:hint="eastAsia"/>
          <w:b/>
          <w:bCs/>
          <w:rtl/>
        </w:rPr>
        <w:t>ב</w:t>
      </w:r>
      <w:r w:rsidRPr="00A512AA">
        <w:rPr>
          <w:b/>
          <w:bCs/>
          <w:rtl/>
        </w:rPr>
        <w:t>' המאפשר את עקיפת מנגנון היתרי המפכ"ל ואישור הוספת יעדים על ידי סגן רח"ט הסייבר;</w:t>
      </w:r>
      <w:r w:rsidRPr="00685C67">
        <w:rPr>
          <w:b/>
          <w:bCs/>
          <w:rtl/>
        </w:rPr>
        <w:t xml:space="preserve"> (</w:t>
      </w:r>
      <w:r>
        <w:rPr>
          <w:rFonts w:hint="cs"/>
          <w:b/>
          <w:bCs/>
          <w:rtl/>
        </w:rPr>
        <w:t>ג</w:t>
      </w:r>
      <w:r w:rsidRPr="00685C67">
        <w:rPr>
          <w:b/>
          <w:bCs/>
          <w:rtl/>
        </w:rPr>
        <w:t xml:space="preserve">) </w:t>
      </w:r>
      <w:r>
        <w:rPr>
          <w:rFonts w:hint="cs"/>
          <w:b/>
          <w:bCs/>
          <w:rtl/>
        </w:rPr>
        <w:t>החשיבות שבהפחתת</w:t>
      </w:r>
      <w:r w:rsidRPr="00685C67">
        <w:rPr>
          <w:b/>
          <w:bCs/>
          <w:rtl/>
        </w:rPr>
        <w:t xml:space="preserve"> </w:t>
      </w:r>
      <w:r w:rsidRPr="00685C67">
        <w:rPr>
          <w:rFonts w:hint="cs"/>
          <w:b/>
          <w:bCs/>
          <w:rtl/>
        </w:rPr>
        <w:t>העומסים</w:t>
      </w:r>
      <w:r w:rsidRPr="00685C67">
        <w:rPr>
          <w:b/>
          <w:bCs/>
          <w:rtl/>
        </w:rPr>
        <w:t xml:space="preserve"> </w:t>
      </w:r>
      <w:r w:rsidRPr="00685C67">
        <w:rPr>
          <w:rFonts w:hint="cs"/>
          <w:b/>
          <w:bCs/>
          <w:rtl/>
        </w:rPr>
        <w:t>המוטלים</w:t>
      </w:r>
      <w:r w:rsidRPr="00685C67">
        <w:rPr>
          <w:b/>
          <w:bCs/>
          <w:rtl/>
        </w:rPr>
        <w:t xml:space="preserve"> </w:t>
      </w:r>
      <w:r w:rsidRPr="00685C67">
        <w:rPr>
          <w:rFonts w:hint="cs"/>
          <w:b/>
          <w:bCs/>
          <w:rtl/>
        </w:rPr>
        <w:t>על</w:t>
      </w:r>
      <w:r w:rsidRPr="00685C67">
        <w:rPr>
          <w:b/>
          <w:bCs/>
          <w:rtl/>
        </w:rPr>
        <w:t xml:space="preserve"> </w:t>
      </w:r>
      <w:r w:rsidRPr="00685C67">
        <w:rPr>
          <w:rFonts w:hint="cs"/>
          <w:b/>
          <w:bCs/>
          <w:rtl/>
        </w:rPr>
        <w:t>בתי</w:t>
      </w:r>
      <w:r w:rsidRPr="00685C67">
        <w:rPr>
          <w:b/>
          <w:bCs/>
          <w:rtl/>
        </w:rPr>
        <w:t xml:space="preserve"> </w:t>
      </w:r>
      <w:r w:rsidRPr="00685C67">
        <w:rPr>
          <w:rFonts w:hint="cs"/>
          <w:b/>
          <w:bCs/>
          <w:rtl/>
        </w:rPr>
        <w:t>המשפט</w:t>
      </w:r>
      <w:r w:rsidRPr="00685C67">
        <w:rPr>
          <w:b/>
          <w:bCs/>
          <w:rtl/>
        </w:rPr>
        <w:t xml:space="preserve">. </w:t>
      </w:r>
    </w:p>
    <w:bookmarkEnd w:id="322"/>
    <w:bookmarkEnd w:id="323"/>
    <w:p w:rsidR="00A00B07" w:rsidRDefault="00A00B07" w:rsidP="00816CC8">
      <w:pPr>
        <w:spacing w:line="269" w:lineRule="auto"/>
        <w:ind w:left="720"/>
        <w:rPr>
          <w:b/>
          <w:bCs/>
          <w:rtl/>
        </w:rPr>
      </w:pPr>
    </w:p>
    <w:p w:rsidR="009A1216" w:rsidRDefault="009A1216" w:rsidP="00816CC8">
      <w:pPr>
        <w:spacing w:line="269" w:lineRule="auto"/>
        <w:ind w:left="720"/>
        <w:rPr>
          <w:rtl/>
        </w:rPr>
      </w:pPr>
      <w:r w:rsidRPr="00E86310">
        <w:rPr>
          <w:rFonts w:hint="cs"/>
          <w:b/>
          <w:bCs/>
          <w:rtl/>
        </w:rPr>
        <w:t>מומלץ</w:t>
      </w:r>
      <w:r w:rsidRPr="00E86310">
        <w:rPr>
          <w:b/>
          <w:bCs/>
          <w:rtl/>
        </w:rPr>
        <w:t xml:space="preserve"> </w:t>
      </w:r>
      <w:r w:rsidRPr="00E86310">
        <w:rPr>
          <w:rFonts w:hint="cs"/>
          <w:b/>
          <w:bCs/>
          <w:rtl/>
        </w:rPr>
        <w:t>כי</w:t>
      </w:r>
      <w:r w:rsidRPr="00E86310">
        <w:rPr>
          <w:b/>
          <w:bCs/>
          <w:rtl/>
        </w:rPr>
        <w:t xml:space="preserve"> </w:t>
      </w:r>
      <w:r>
        <w:rPr>
          <w:rFonts w:hint="cs"/>
          <w:b/>
          <w:bCs/>
          <w:rtl/>
        </w:rPr>
        <w:t>המשטרה תבחן בשנית</w:t>
      </w:r>
      <w:r w:rsidRPr="00E86310">
        <w:rPr>
          <w:b/>
          <w:bCs/>
          <w:rtl/>
        </w:rPr>
        <w:t xml:space="preserve"> </w:t>
      </w:r>
      <w:r w:rsidRPr="00E86310">
        <w:rPr>
          <w:rFonts w:hint="cs"/>
          <w:b/>
          <w:bCs/>
          <w:rtl/>
        </w:rPr>
        <w:t>את</w:t>
      </w:r>
      <w:r w:rsidRPr="00E86310">
        <w:rPr>
          <w:b/>
          <w:bCs/>
          <w:rtl/>
        </w:rPr>
        <w:t xml:space="preserve"> </w:t>
      </w:r>
      <w:r w:rsidRPr="00E86310">
        <w:rPr>
          <w:rFonts w:hint="cs"/>
          <w:b/>
          <w:bCs/>
          <w:rtl/>
        </w:rPr>
        <w:t>מנגנון</w:t>
      </w:r>
      <w:r w:rsidRPr="00E86310">
        <w:rPr>
          <w:b/>
          <w:bCs/>
          <w:rtl/>
        </w:rPr>
        <w:t xml:space="preserve"> </w:t>
      </w:r>
      <w:r w:rsidRPr="00E86310">
        <w:rPr>
          <w:rFonts w:hint="cs"/>
          <w:b/>
          <w:bCs/>
          <w:rtl/>
        </w:rPr>
        <w:t>קבלת</w:t>
      </w:r>
      <w:r w:rsidRPr="00E86310">
        <w:rPr>
          <w:b/>
          <w:bCs/>
          <w:rtl/>
        </w:rPr>
        <w:t xml:space="preserve"> </w:t>
      </w:r>
      <w:r w:rsidRPr="00E86310">
        <w:rPr>
          <w:rFonts w:hint="cs"/>
          <w:b/>
          <w:bCs/>
          <w:rtl/>
        </w:rPr>
        <w:t>היתרי</w:t>
      </w:r>
      <w:r w:rsidRPr="00E86310">
        <w:rPr>
          <w:b/>
          <w:bCs/>
          <w:rtl/>
        </w:rPr>
        <w:t xml:space="preserve"> </w:t>
      </w:r>
      <w:r w:rsidRPr="00E86310">
        <w:rPr>
          <w:rFonts w:hint="cs"/>
          <w:b/>
          <w:bCs/>
          <w:rtl/>
        </w:rPr>
        <w:t>המפכ</w:t>
      </w:r>
      <w:r w:rsidRPr="00E86310">
        <w:rPr>
          <w:b/>
          <w:bCs/>
          <w:rtl/>
        </w:rPr>
        <w:t>"ל</w:t>
      </w:r>
      <w:r>
        <w:rPr>
          <w:rFonts w:hint="cs"/>
          <w:b/>
          <w:bCs/>
          <w:rtl/>
        </w:rPr>
        <w:t>, בהתאם לקבוע בהוראות החוק ובנוגע למקרים דחופים שבהם נדרשת האזנת סתר,</w:t>
      </w:r>
      <w:r w:rsidRPr="00E86310">
        <w:rPr>
          <w:b/>
          <w:bCs/>
          <w:rtl/>
        </w:rPr>
        <w:t xml:space="preserve"> </w:t>
      </w:r>
      <w:r>
        <w:rPr>
          <w:rFonts w:hint="cs"/>
          <w:b/>
          <w:bCs/>
          <w:rtl/>
        </w:rPr>
        <w:t>ובכלל זה תבחן גם ביצוע</w:t>
      </w:r>
      <w:r w:rsidRPr="00E86310">
        <w:rPr>
          <w:b/>
          <w:bCs/>
          <w:rtl/>
        </w:rPr>
        <w:t xml:space="preserve"> </w:t>
      </w:r>
      <w:r w:rsidRPr="00E86310">
        <w:rPr>
          <w:rFonts w:hint="cs"/>
          <w:b/>
          <w:bCs/>
          <w:rtl/>
        </w:rPr>
        <w:t>מחקר</w:t>
      </w:r>
      <w:r w:rsidRPr="00E86310">
        <w:rPr>
          <w:b/>
          <w:bCs/>
          <w:rtl/>
        </w:rPr>
        <w:t xml:space="preserve"> </w:t>
      </w:r>
      <w:r w:rsidRPr="00E86310">
        <w:rPr>
          <w:rFonts w:hint="cs"/>
          <w:b/>
          <w:bCs/>
          <w:rtl/>
        </w:rPr>
        <w:t>חלוץ</w:t>
      </w:r>
      <w:r w:rsidRPr="00E86310">
        <w:rPr>
          <w:b/>
          <w:bCs/>
          <w:rtl/>
        </w:rPr>
        <w:t xml:space="preserve"> </w:t>
      </w:r>
      <w:r w:rsidRPr="00E86310">
        <w:rPr>
          <w:rFonts w:hint="cs"/>
          <w:b/>
          <w:bCs/>
          <w:rtl/>
        </w:rPr>
        <w:t>להוצאת</w:t>
      </w:r>
      <w:r w:rsidRPr="00E86310">
        <w:rPr>
          <w:b/>
          <w:bCs/>
          <w:rtl/>
        </w:rPr>
        <w:t xml:space="preserve"> </w:t>
      </w:r>
      <w:r w:rsidRPr="00E86310">
        <w:rPr>
          <w:rFonts w:hint="cs"/>
          <w:b/>
          <w:bCs/>
          <w:rtl/>
        </w:rPr>
        <w:t>היתרי</w:t>
      </w:r>
      <w:r w:rsidRPr="00E86310">
        <w:rPr>
          <w:b/>
          <w:bCs/>
          <w:rtl/>
        </w:rPr>
        <w:t xml:space="preserve"> </w:t>
      </w:r>
      <w:r w:rsidRPr="00E86310">
        <w:rPr>
          <w:rFonts w:hint="cs"/>
          <w:b/>
          <w:bCs/>
          <w:rtl/>
        </w:rPr>
        <w:t>מפכ</w:t>
      </w:r>
      <w:r w:rsidRPr="00E86310">
        <w:rPr>
          <w:b/>
          <w:bCs/>
          <w:rtl/>
        </w:rPr>
        <w:t xml:space="preserve">"ל. </w:t>
      </w:r>
      <w:r w:rsidRPr="00E86310">
        <w:rPr>
          <w:rFonts w:hint="cs"/>
          <w:b/>
          <w:bCs/>
          <w:rtl/>
        </w:rPr>
        <w:t>לאחר</w:t>
      </w:r>
      <w:r w:rsidRPr="00E86310">
        <w:rPr>
          <w:b/>
          <w:bCs/>
          <w:rtl/>
        </w:rPr>
        <w:t xml:space="preserve"> </w:t>
      </w:r>
      <w:r w:rsidRPr="00E86310">
        <w:rPr>
          <w:rFonts w:hint="cs"/>
          <w:b/>
          <w:bCs/>
          <w:rtl/>
        </w:rPr>
        <w:t>מכן</w:t>
      </w:r>
      <w:r>
        <w:rPr>
          <w:rFonts w:hint="cs"/>
          <w:b/>
          <w:bCs/>
          <w:rtl/>
        </w:rPr>
        <w:t>, ובהתאם לחוות הדעת של הייעוץ המשפטי לממשלה במשרד המשפטים משנת 2017,</w:t>
      </w:r>
      <w:r w:rsidRPr="00E86310">
        <w:rPr>
          <w:b/>
          <w:bCs/>
          <w:rtl/>
        </w:rPr>
        <w:t xml:space="preserve"> </w:t>
      </w:r>
      <w:r w:rsidRPr="00E86310">
        <w:rPr>
          <w:rFonts w:hint="cs"/>
          <w:b/>
          <w:bCs/>
          <w:rtl/>
        </w:rPr>
        <w:t>היא</w:t>
      </w:r>
      <w:r w:rsidRPr="00E86310">
        <w:rPr>
          <w:b/>
          <w:bCs/>
          <w:rtl/>
        </w:rPr>
        <w:t xml:space="preserve"> </w:t>
      </w:r>
      <w:r w:rsidRPr="00E86310">
        <w:rPr>
          <w:rFonts w:hint="cs"/>
          <w:b/>
          <w:bCs/>
          <w:rtl/>
        </w:rPr>
        <w:t>תוכל</w:t>
      </w:r>
      <w:r w:rsidRPr="00E86310">
        <w:rPr>
          <w:b/>
          <w:bCs/>
          <w:rtl/>
        </w:rPr>
        <w:t xml:space="preserve"> </w:t>
      </w:r>
      <w:r w:rsidRPr="00E86310">
        <w:rPr>
          <w:rFonts w:hint="cs"/>
          <w:b/>
          <w:bCs/>
          <w:rtl/>
        </w:rPr>
        <w:t>לבחון</w:t>
      </w:r>
      <w:r w:rsidRPr="00E86310">
        <w:rPr>
          <w:b/>
          <w:bCs/>
          <w:rtl/>
        </w:rPr>
        <w:t xml:space="preserve"> </w:t>
      </w:r>
      <w:r w:rsidRPr="00E86310">
        <w:rPr>
          <w:rFonts w:hint="cs"/>
          <w:b/>
          <w:bCs/>
          <w:rtl/>
        </w:rPr>
        <w:t>את</w:t>
      </w:r>
      <w:r w:rsidRPr="00E86310">
        <w:rPr>
          <w:b/>
          <w:bCs/>
          <w:rtl/>
        </w:rPr>
        <w:t xml:space="preserve"> </w:t>
      </w:r>
      <w:r w:rsidRPr="00E86310">
        <w:rPr>
          <w:rFonts w:hint="cs"/>
          <w:b/>
          <w:bCs/>
          <w:rtl/>
        </w:rPr>
        <w:t>התאמת</w:t>
      </w:r>
      <w:r w:rsidRPr="00E86310">
        <w:rPr>
          <w:b/>
          <w:bCs/>
          <w:rtl/>
        </w:rPr>
        <w:t xml:space="preserve"> </w:t>
      </w:r>
      <w:r w:rsidRPr="00E86310">
        <w:rPr>
          <w:rFonts w:hint="cs"/>
          <w:b/>
          <w:bCs/>
          <w:rtl/>
        </w:rPr>
        <w:t>המנגנון</w:t>
      </w:r>
      <w:r w:rsidRPr="00E86310">
        <w:rPr>
          <w:b/>
          <w:bCs/>
          <w:rtl/>
        </w:rPr>
        <w:t xml:space="preserve"> </w:t>
      </w:r>
      <w:r w:rsidRPr="00E86310">
        <w:rPr>
          <w:rFonts w:hint="cs"/>
          <w:b/>
          <w:bCs/>
          <w:rtl/>
        </w:rPr>
        <w:t>להליכי</w:t>
      </w:r>
      <w:r w:rsidRPr="00E86310">
        <w:rPr>
          <w:b/>
          <w:bCs/>
          <w:rtl/>
        </w:rPr>
        <w:t xml:space="preserve"> </w:t>
      </w:r>
      <w:r w:rsidRPr="00E86310">
        <w:rPr>
          <w:rFonts w:hint="cs"/>
          <w:b/>
          <w:bCs/>
          <w:rtl/>
        </w:rPr>
        <w:t>החקירה</w:t>
      </w:r>
      <w:r w:rsidRPr="00E86310">
        <w:rPr>
          <w:b/>
          <w:bCs/>
          <w:rtl/>
        </w:rPr>
        <w:t xml:space="preserve"> </w:t>
      </w:r>
      <w:r w:rsidRPr="00E86310">
        <w:rPr>
          <w:rFonts w:hint="cs"/>
          <w:b/>
          <w:bCs/>
          <w:rtl/>
        </w:rPr>
        <w:t>הדינמיים</w:t>
      </w:r>
      <w:r w:rsidRPr="00E86310">
        <w:rPr>
          <w:b/>
          <w:bCs/>
          <w:rtl/>
        </w:rPr>
        <w:t xml:space="preserve"> </w:t>
      </w:r>
      <w:r w:rsidRPr="00E86310">
        <w:rPr>
          <w:rFonts w:hint="cs"/>
          <w:b/>
          <w:bCs/>
          <w:rtl/>
        </w:rPr>
        <w:t>והצורך</w:t>
      </w:r>
      <w:r w:rsidRPr="00E86310">
        <w:rPr>
          <w:b/>
          <w:bCs/>
          <w:rtl/>
        </w:rPr>
        <w:t xml:space="preserve"> </w:t>
      </w:r>
      <w:r w:rsidRPr="00E86310">
        <w:rPr>
          <w:rFonts w:hint="cs"/>
          <w:b/>
          <w:bCs/>
          <w:rtl/>
        </w:rPr>
        <w:t>בשינויי</w:t>
      </w:r>
      <w:r w:rsidRPr="00E86310">
        <w:rPr>
          <w:b/>
          <w:bCs/>
          <w:rtl/>
        </w:rPr>
        <w:t xml:space="preserve"> </w:t>
      </w:r>
      <w:r w:rsidRPr="00E86310">
        <w:rPr>
          <w:rFonts w:hint="cs"/>
          <w:b/>
          <w:bCs/>
          <w:rtl/>
        </w:rPr>
        <w:t>חקיקה.</w:t>
      </w:r>
      <w:r>
        <w:rPr>
          <w:rFonts w:hint="cs"/>
          <w:b/>
          <w:bCs/>
          <w:rtl/>
        </w:rPr>
        <w:t xml:space="preserve"> ביטול המנגנון על הסף, הלכה למעשה על ידי המשטרה, אינו עולה בקנה אחד עם חובותיה בהתאם לחוק האזנת סתר ועם הרציונל האמור שעומד ביסודו.</w:t>
      </w:r>
    </w:p>
    <w:p w:rsidR="009A1216" w:rsidRDefault="009A1216" w:rsidP="00604C3D">
      <w:pPr>
        <w:spacing w:line="269" w:lineRule="auto"/>
        <w:rPr>
          <w:rtl/>
        </w:rPr>
      </w:pPr>
    </w:p>
    <w:p w:rsidR="009A1216" w:rsidRPr="00276B18" w:rsidRDefault="009A1216" w:rsidP="008C598D">
      <w:pPr>
        <w:pStyle w:val="5"/>
        <w:numPr>
          <w:ilvl w:val="2"/>
          <w:numId w:val="74"/>
        </w:numPr>
        <w:spacing w:line="269" w:lineRule="auto"/>
        <w:ind w:left="707"/>
        <w:rPr>
          <w:rtl/>
        </w:rPr>
      </w:pPr>
      <w:bookmarkStart w:id="324" w:name="_Hlk147907551"/>
      <w:r w:rsidRPr="00276B18">
        <w:rPr>
          <w:rFonts w:hint="eastAsia"/>
          <w:rtl/>
        </w:rPr>
        <w:t>היתרי</w:t>
      </w:r>
      <w:r w:rsidR="0072195E" w:rsidRPr="0097754A">
        <w:rPr>
          <w:rFonts w:hint="cs"/>
          <w:rtl/>
        </w:rPr>
        <w:t>ם מינהליים הנחתמים על ידי קצין בכיר</w:t>
      </w:r>
    </w:p>
    <w:p w:rsidR="00A00B07" w:rsidRDefault="00A00B07" w:rsidP="006E7248">
      <w:pPr>
        <w:keepNext/>
        <w:keepLines/>
        <w:spacing w:line="269" w:lineRule="auto"/>
        <w:ind w:left="340"/>
        <w:rPr>
          <w:rtl/>
        </w:rPr>
      </w:pPr>
      <w:bookmarkStart w:id="325" w:name="_Hlk203994070"/>
      <w:bookmarkEnd w:id="324"/>
    </w:p>
    <w:p w:rsidR="00654A6C" w:rsidRPr="00276B18" w:rsidRDefault="00654A6C" w:rsidP="006E7248">
      <w:pPr>
        <w:spacing w:line="269" w:lineRule="auto"/>
        <w:ind w:left="680"/>
        <w:rPr>
          <w:rtl/>
        </w:rPr>
      </w:pPr>
      <w:r w:rsidRPr="0097754A">
        <w:rPr>
          <w:rFonts w:hint="cs"/>
          <w:rtl/>
        </w:rPr>
        <w:t xml:space="preserve">נושא הוצאת היתרים מינהליים הנחתמים על ידי קצין בכיר במשטרה נדונו בפסיקת בית המשפט, בדיונים במשרד המשפטים במהלך השנים 2005 </w:t>
      </w:r>
      <w:r w:rsidR="00455AF1">
        <w:rPr>
          <w:rFonts w:hint="cs"/>
          <w:rtl/>
        </w:rPr>
        <w:t>-</w:t>
      </w:r>
      <w:r w:rsidRPr="0097754A">
        <w:rPr>
          <w:rFonts w:hint="cs"/>
          <w:rtl/>
        </w:rPr>
        <w:t xml:space="preserve"> 2012 והמשטרה אף עיגנה נוהל בנושא. </w:t>
      </w:r>
    </w:p>
    <w:p w:rsidR="00A00B07" w:rsidRDefault="00A00B07" w:rsidP="006E7248">
      <w:pPr>
        <w:spacing w:line="269" w:lineRule="auto"/>
        <w:ind w:left="680"/>
        <w:rPr>
          <w:b/>
          <w:bCs/>
          <w:rtl/>
        </w:rPr>
      </w:pPr>
    </w:p>
    <w:p w:rsidR="00092F63" w:rsidRDefault="00654A6C" w:rsidP="006E7248">
      <w:pPr>
        <w:spacing w:line="269" w:lineRule="auto"/>
        <w:ind w:left="680"/>
        <w:rPr>
          <w:b/>
          <w:bCs/>
          <w:rtl/>
        </w:rPr>
      </w:pPr>
      <w:r w:rsidRPr="00276B18">
        <w:rPr>
          <w:rFonts w:hint="eastAsia"/>
          <w:b/>
          <w:bCs/>
          <w:rtl/>
        </w:rPr>
        <w:t>בביקורת</w:t>
      </w:r>
      <w:r w:rsidRPr="00276B18">
        <w:rPr>
          <w:b/>
          <w:bCs/>
          <w:rtl/>
        </w:rPr>
        <w:t xml:space="preserve"> עלה כי בשנים 2012 -</w:t>
      </w:r>
      <w:r w:rsidR="00455AF1">
        <w:rPr>
          <w:rFonts w:hint="cs"/>
          <w:b/>
          <w:bCs/>
          <w:rtl/>
        </w:rPr>
        <w:t xml:space="preserve"> </w:t>
      </w:r>
      <w:r w:rsidRPr="00276B18">
        <w:rPr>
          <w:b/>
          <w:bCs/>
          <w:rtl/>
        </w:rPr>
        <w:t xml:space="preserve">2021 פנתה המשטרה לבית משפט - בבקשה לקבל צווי האזנה בעניינם של </w:t>
      </w:r>
      <w:r w:rsidRPr="0097754A">
        <w:rPr>
          <w:rFonts w:hint="cs"/>
          <w:b/>
          <w:bCs/>
          <w:rtl/>
        </w:rPr>
        <w:t xml:space="preserve">חשודים </w:t>
      </w:r>
      <w:r>
        <w:rPr>
          <w:rFonts w:hint="cs"/>
          <w:b/>
          <w:bCs/>
          <w:rtl/>
        </w:rPr>
        <w:t>מסוג מסוים</w:t>
      </w:r>
      <w:r w:rsidRPr="00276B18">
        <w:rPr>
          <w:b/>
          <w:bCs/>
          <w:rtl/>
        </w:rPr>
        <w:t xml:space="preserve">, חלף הוצאת היתרים מינהליים. המשטרה </w:t>
      </w:r>
      <w:r w:rsidRPr="00276B18">
        <w:rPr>
          <w:rFonts w:hint="eastAsia"/>
          <w:b/>
          <w:bCs/>
          <w:rtl/>
        </w:rPr>
        <w:t>נדרשה</w:t>
      </w:r>
      <w:r w:rsidRPr="00276B18">
        <w:rPr>
          <w:b/>
          <w:bCs/>
          <w:rtl/>
        </w:rPr>
        <w:t xml:space="preserve"> להחזיק בהיתרים </w:t>
      </w:r>
      <w:r w:rsidRPr="0097754A">
        <w:rPr>
          <w:rFonts w:hint="cs"/>
          <w:b/>
          <w:bCs/>
          <w:rtl/>
        </w:rPr>
        <w:t xml:space="preserve">מינהליים </w:t>
      </w:r>
      <w:r w:rsidRPr="00276B18">
        <w:rPr>
          <w:b/>
          <w:bCs/>
          <w:rtl/>
        </w:rPr>
        <w:t xml:space="preserve">המתאימים כדי לבסס את סמכותה </w:t>
      </w:r>
      <w:r w:rsidRPr="0097754A">
        <w:rPr>
          <w:rFonts w:hint="cs"/>
          <w:b/>
          <w:bCs/>
          <w:rtl/>
        </w:rPr>
        <w:t>ביחס ל</w:t>
      </w:r>
      <w:r>
        <w:rPr>
          <w:rFonts w:hint="cs"/>
          <w:b/>
          <w:bCs/>
          <w:rtl/>
        </w:rPr>
        <w:t xml:space="preserve">סוג </w:t>
      </w:r>
      <w:r w:rsidRPr="0097754A">
        <w:rPr>
          <w:rFonts w:hint="cs"/>
          <w:b/>
          <w:bCs/>
          <w:rtl/>
        </w:rPr>
        <w:t>חשודים אלה</w:t>
      </w:r>
      <w:r w:rsidRPr="00276B18">
        <w:rPr>
          <w:b/>
          <w:bCs/>
          <w:rtl/>
        </w:rPr>
        <w:t xml:space="preserve">, אך החזיקה בצו שיפוטי בלבד. עולה אפוא כי המשטרה פנתה לבית המשפט, אף שידעה שהנושא אינו בסמכותו תוך התבססות, שלא כדין, על הצגת מידע מודיעיני וללא פירוט </w:t>
      </w:r>
      <w:r>
        <w:rPr>
          <w:rFonts w:hint="cs"/>
          <w:b/>
          <w:bCs/>
          <w:rtl/>
        </w:rPr>
        <w:t xml:space="preserve">של </w:t>
      </w:r>
      <w:r w:rsidRPr="0097754A">
        <w:rPr>
          <w:rFonts w:hint="cs"/>
          <w:b/>
          <w:bCs/>
          <w:rtl/>
        </w:rPr>
        <w:t>מידע מסוים שנדרש לצורך דיון בבקשה זו ולצורך קבלת החלטה בנוגע לסמכות בית המשפט</w:t>
      </w:r>
      <w:r w:rsidRPr="00276B18">
        <w:rPr>
          <w:b/>
          <w:bCs/>
          <w:rtl/>
        </w:rPr>
        <w:t xml:space="preserve">. </w:t>
      </w:r>
    </w:p>
    <w:p w:rsidR="00092F63" w:rsidRDefault="00092F63" w:rsidP="006E7248">
      <w:pPr>
        <w:spacing w:line="269" w:lineRule="auto"/>
        <w:ind w:left="680"/>
        <w:rPr>
          <w:b/>
          <w:bCs/>
          <w:rtl/>
        </w:rPr>
      </w:pPr>
    </w:p>
    <w:p w:rsidR="008A031A" w:rsidRDefault="00654A6C" w:rsidP="006E7248">
      <w:pPr>
        <w:spacing w:line="269" w:lineRule="auto"/>
        <w:ind w:left="680"/>
        <w:rPr>
          <w:b/>
          <w:bCs/>
          <w:rtl/>
        </w:rPr>
      </w:pPr>
      <w:r>
        <w:rPr>
          <w:rFonts w:hint="cs"/>
          <w:b/>
          <w:bCs/>
          <w:rtl/>
        </w:rPr>
        <w:t xml:space="preserve">מתברר כי בעניין זה </w:t>
      </w:r>
      <w:r w:rsidR="00986DB6">
        <w:rPr>
          <w:rFonts w:hint="cs"/>
          <w:b/>
          <w:bCs/>
          <w:rtl/>
        </w:rPr>
        <w:t xml:space="preserve">בשנת 2014 יצאה </w:t>
      </w:r>
      <w:r w:rsidRPr="00276B18">
        <w:rPr>
          <w:rFonts w:hint="eastAsia"/>
          <w:b/>
          <w:bCs/>
          <w:rtl/>
        </w:rPr>
        <w:t>חוות</w:t>
      </w:r>
      <w:r w:rsidRPr="00276B18">
        <w:rPr>
          <w:b/>
          <w:bCs/>
          <w:rtl/>
        </w:rPr>
        <w:t xml:space="preserve"> </w:t>
      </w:r>
      <w:r w:rsidRPr="00276B18">
        <w:rPr>
          <w:rFonts w:hint="eastAsia"/>
          <w:b/>
          <w:bCs/>
          <w:rtl/>
        </w:rPr>
        <w:t>דעת</w:t>
      </w:r>
      <w:r w:rsidRPr="00276B18">
        <w:rPr>
          <w:b/>
          <w:bCs/>
          <w:rtl/>
        </w:rPr>
        <w:t xml:space="preserve"> </w:t>
      </w:r>
      <w:r w:rsidRPr="00276B18">
        <w:rPr>
          <w:rFonts w:hint="eastAsia"/>
          <w:b/>
          <w:bCs/>
          <w:rtl/>
        </w:rPr>
        <w:t>משפטית</w:t>
      </w:r>
      <w:r w:rsidR="00954632">
        <w:rPr>
          <w:rFonts w:hint="cs"/>
          <w:b/>
          <w:bCs/>
          <w:rtl/>
        </w:rPr>
        <w:t xml:space="preserve"> במשטרה</w:t>
      </w:r>
      <w:r w:rsidRPr="00276B18">
        <w:rPr>
          <w:b/>
          <w:bCs/>
          <w:rtl/>
        </w:rPr>
        <w:t xml:space="preserve"> ש</w:t>
      </w:r>
      <w:r>
        <w:rPr>
          <w:rFonts w:hint="cs"/>
          <w:b/>
          <w:bCs/>
          <w:rtl/>
        </w:rPr>
        <w:t>הנחתה את מגיש הבקשה ש</w:t>
      </w:r>
      <w:r w:rsidRPr="00276B18">
        <w:rPr>
          <w:b/>
          <w:bCs/>
          <w:rtl/>
        </w:rPr>
        <w:t>לא לחדד את העובדות הרלוונטיות לעניין המשפטי</w:t>
      </w:r>
      <w:r w:rsidRPr="00276B18">
        <w:rPr>
          <w:rStyle w:val="af"/>
          <w:b/>
          <w:bCs/>
          <w:rtl/>
        </w:rPr>
        <w:footnoteReference w:id="145"/>
      </w:r>
      <w:r>
        <w:rPr>
          <w:rFonts w:hint="cs"/>
          <w:b/>
          <w:bCs/>
          <w:rtl/>
        </w:rPr>
        <w:t xml:space="preserve"> ובכך נמנעה המשטרה </w:t>
      </w:r>
      <w:r w:rsidRPr="00276B18">
        <w:rPr>
          <w:b/>
          <w:bCs/>
          <w:rtl/>
        </w:rPr>
        <w:t xml:space="preserve">ממסירת פרטים לבית המשפט </w:t>
      </w:r>
      <w:r>
        <w:rPr>
          <w:rFonts w:hint="cs"/>
          <w:b/>
          <w:bCs/>
          <w:rtl/>
        </w:rPr>
        <w:t>בדיון</w:t>
      </w:r>
      <w:r w:rsidRPr="00276B18">
        <w:rPr>
          <w:b/>
          <w:bCs/>
          <w:rtl/>
        </w:rPr>
        <w:t>, ובייחוד בנוגע לסמכותו לתת צו - בין שזו מבוססת על ידיעות קונקרטיות ובין שהיא מבוססת על הערכה.</w:t>
      </w:r>
      <w:r w:rsidRPr="00A009AA">
        <w:rPr>
          <w:b/>
          <w:bCs/>
          <w:rtl/>
        </w:rPr>
        <w:t xml:space="preserve"> </w:t>
      </w:r>
      <w:r w:rsidRPr="00276B18">
        <w:rPr>
          <w:b/>
          <w:bCs/>
          <w:rtl/>
        </w:rPr>
        <w:t>קל וחומר כאשר עצם הפנייה לבית המשפט מלמדת אותו כי המשטרה סבורה שהוא מוסמך להיעתר לבקשה בהתאם לסמכותו</w:t>
      </w:r>
      <w:r w:rsidR="00954632">
        <w:rPr>
          <w:rFonts w:hint="cs"/>
          <w:b/>
          <w:bCs/>
          <w:rtl/>
        </w:rPr>
        <w:t xml:space="preserve">. </w:t>
      </w:r>
    </w:p>
    <w:p w:rsidR="008A031A" w:rsidRDefault="008A031A" w:rsidP="006E7248">
      <w:pPr>
        <w:spacing w:line="269" w:lineRule="auto"/>
        <w:ind w:left="680"/>
        <w:rPr>
          <w:b/>
          <w:bCs/>
          <w:rtl/>
        </w:rPr>
      </w:pPr>
    </w:p>
    <w:p w:rsidR="008A031A" w:rsidRPr="00733260" w:rsidRDefault="008A031A" w:rsidP="006E7248">
      <w:pPr>
        <w:spacing w:line="269" w:lineRule="auto"/>
        <w:ind w:left="680"/>
        <w:rPr>
          <w:rtl/>
        </w:rPr>
      </w:pPr>
      <w:r w:rsidRPr="00733260">
        <w:rPr>
          <w:rFonts w:hint="eastAsia"/>
          <w:rtl/>
        </w:rPr>
        <w:t>המשטרה</w:t>
      </w:r>
      <w:r w:rsidRPr="00733260">
        <w:rPr>
          <w:rtl/>
        </w:rPr>
        <w:t xml:space="preserve"> </w:t>
      </w:r>
      <w:r w:rsidRPr="00733260">
        <w:rPr>
          <w:rFonts w:hint="eastAsia"/>
          <w:rtl/>
        </w:rPr>
        <w:t>מסרה</w:t>
      </w:r>
      <w:r w:rsidRPr="00733260">
        <w:rPr>
          <w:rtl/>
        </w:rPr>
        <w:t xml:space="preserve"> בתשובתה כי </w:t>
      </w:r>
      <w:r w:rsidRPr="00733260">
        <w:rPr>
          <w:rFonts w:hint="eastAsia"/>
          <w:rtl/>
        </w:rPr>
        <w:t>היא</w:t>
      </w:r>
      <w:r w:rsidRPr="00733260">
        <w:rPr>
          <w:rtl/>
        </w:rPr>
        <w:t xml:space="preserve"> פעלה בהתאם להנחיית היועמ"ש לממשלה בנושא</w:t>
      </w:r>
      <w:r w:rsidR="0079576C" w:rsidRPr="00733260">
        <w:rPr>
          <w:rtl/>
        </w:rPr>
        <w:t xml:space="preserve">, תוך העדפה של צווים שיפוטיים על פני צווים מינהליים </w:t>
      </w:r>
      <w:r w:rsidR="0079576C" w:rsidRPr="00733260">
        <w:rPr>
          <w:rFonts w:hint="eastAsia"/>
          <w:rtl/>
        </w:rPr>
        <w:t>וכי</w:t>
      </w:r>
      <w:r w:rsidR="0079576C" w:rsidRPr="00733260">
        <w:rPr>
          <w:rtl/>
        </w:rPr>
        <w:t xml:space="preserve"> </w:t>
      </w:r>
      <w:r w:rsidR="0079576C" w:rsidRPr="00733260">
        <w:rPr>
          <w:rFonts w:hint="eastAsia"/>
          <w:rtl/>
        </w:rPr>
        <w:t>לבית</w:t>
      </w:r>
      <w:r w:rsidR="0079576C" w:rsidRPr="00733260">
        <w:rPr>
          <w:rtl/>
        </w:rPr>
        <w:t xml:space="preserve"> </w:t>
      </w:r>
      <w:r w:rsidR="0079576C" w:rsidRPr="00733260">
        <w:rPr>
          <w:rFonts w:hint="eastAsia"/>
          <w:rtl/>
        </w:rPr>
        <w:t>המשפטי</w:t>
      </w:r>
      <w:r w:rsidR="0079576C" w:rsidRPr="00733260">
        <w:rPr>
          <w:rtl/>
        </w:rPr>
        <w:t xml:space="preserve"> </w:t>
      </w:r>
      <w:r w:rsidR="0079576C" w:rsidRPr="00733260">
        <w:rPr>
          <w:rFonts w:hint="eastAsia"/>
          <w:rtl/>
        </w:rPr>
        <w:t>נמסר</w:t>
      </w:r>
      <w:r w:rsidR="0079576C" w:rsidRPr="00733260">
        <w:rPr>
          <w:rtl/>
        </w:rPr>
        <w:t xml:space="preserve"> </w:t>
      </w:r>
      <w:r w:rsidR="0079576C" w:rsidRPr="00733260">
        <w:rPr>
          <w:rFonts w:hint="eastAsia"/>
          <w:rtl/>
        </w:rPr>
        <w:t>מלוא</w:t>
      </w:r>
      <w:r w:rsidR="0079576C" w:rsidRPr="00733260">
        <w:rPr>
          <w:rtl/>
        </w:rPr>
        <w:t xml:space="preserve"> המידע הנדרש.</w:t>
      </w:r>
      <w:r w:rsidR="00382AE8">
        <w:rPr>
          <w:rtl/>
        </w:rPr>
        <w:t xml:space="preserve"> </w:t>
      </w:r>
    </w:p>
    <w:p w:rsidR="008A031A" w:rsidRDefault="008A031A" w:rsidP="006E7248">
      <w:pPr>
        <w:spacing w:line="269" w:lineRule="auto"/>
        <w:ind w:left="680"/>
        <w:rPr>
          <w:b/>
          <w:bCs/>
          <w:rtl/>
        </w:rPr>
      </w:pPr>
    </w:p>
    <w:p w:rsidR="008A031A" w:rsidRDefault="008A031A" w:rsidP="006E7248">
      <w:pPr>
        <w:spacing w:line="269" w:lineRule="auto"/>
        <w:ind w:left="680"/>
        <w:rPr>
          <w:b/>
          <w:bCs/>
          <w:rtl/>
        </w:rPr>
      </w:pPr>
      <w:r>
        <w:rPr>
          <w:rFonts w:hint="cs"/>
          <w:b/>
          <w:bCs/>
          <w:rtl/>
        </w:rPr>
        <w:t xml:space="preserve">מבקר המדינה בחן את טענות המשטרה ומצא </w:t>
      </w:r>
      <w:r w:rsidRPr="00276B18">
        <w:rPr>
          <w:b/>
          <w:bCs/>
          <w:rtl/>
        </w:rPr>
        <w:t xml:space="preserve">כי חוות </w:t>
      </w:r>
      <w:r>
        <w:rPr>
          <w:rFonts w:hint="cs"/>
          <w:b/>
          <w:bCs/>
          <w:rtl/>
        </w:rPr>
        <w:t>ה</w:t>
      </w:r>
      <w:r w:rsidRPr="00276B18">
        <w:rPr>
          <w:b/>
          <w:bCs/>
          <w:rtl/>
        </w:rPr>
        <w:t xml:space="preserve">דעת </w:t>
      </w:r>
      <w:r>
        <w:rPr>
          <w:rFonts w:hint="cs"/>
          <w:b/>
          <w:bCs/>
          <w:rtl/>
        </w:rPr>
        <w:t>ה</w:t>
      </w:r>
      <w:r w:rsidRPr="00276B18">
        <w:rPr>
          <w:b/>
          <w:bCs/>
          <w:rtl/>
        </w:rPr>
        <w:t xml:space="preserve">משפטית </w:t>
      </w:r>
      <w:r>
        <w:rPr>
          <w:rFonts w:hint="cs"/>
          <w:b/>
          <w:bCs/>
          <w:rtl/>
        </w:rPr>
        <w:t>של המשטרה</w:t>
      </w:r>
      <w:r w:rsidRPr="00276B18">
        <w:rPr>
          <w:b/>
          <w:bCs/>
          <w:rtl/>
        </w:rPr>
        <w:t xml:space="preserve"> נוגדת להכרעתו של היועמ"ש לממשלה בדבר סמכות בית המשפט.</w:t>
      </w:r>
    </w:p>
    <w:p w:rsidR="00B652AE" w:rsidRDefault="00B652AE" w:rsidP="006E7248">
      <w:pPr>
        <w:spacing w:line="269" w:lineRule="auto"/>
        <w:ind w:left="680"/>
        <w:rPr>
          <w:b/>
          <w:bCs/>
          <w:rtl/>
        </w:rPr>
      </w:pPr>
    </w:p>
    <w:p w:rsidR="00654A6C" w:rsidRPr="00041686" w:rsidRDefault="00654A6C" w:rsidP="006E7248">
      <w:pPr>
        <w:spacing w:line="269" w:lineRule="auto"/>
        <w:ind w:left="680"/>
        <w:rPr>
          <w:rtl/>
        </w:rPr>
      </w:pPr>
      <w:r w:rsidRPr="00276B18">
        <w:rPr>
          <w:rFonts w:hint="eastAsia"/>
          <w:b/>
          <w:bCs/>
          <w:rtl/>
        </w:rPr>
        <w:t>על</w:t>
      </w:r>
      <w:r w:rsidRPr="00276B18">
        <w:rPr>
          <w:b/>
          <w:bCs/>
          <w:rtl/>
        </w:rPr>
        <w:t xml:space="preserve"> </w:t>
      </w:r>
      <w:r w:rsidRPr="00276B18">
        <w:rPr>
          <w:rFonts w:hint="eastAsia"/>
          <w:b/>
          <w:bCs/>
          <w:rtl/>
        </w:rPr>
        <w:t>המשטרה</w:t>
      </w:r>
      <w:r w:rsidRPr="00276B18">
        <w:rPr>
          <w:b/>
          <w:bCs/>
          <w:rtl/>
        </w:rPr>
        <w:t xml:space="preserve"> </w:t>
      </w:r>
      <w:r w:rsidRPr="00276B18">
        <w:rPr>
          <w:rFonts w:hint="eastAsia"/>
          <w:b/>
          <w:bCs/>
          <w:rtl/>
        </w:rPr>
        <w:t>להקפיד</w:t>
      </w:r>
      <w:r w:rsidRPr="00276B18">
        <w:rPr>
          <w:b/>
          <w:bCs/>
          <w:rtl/>
        </w:rPr>
        <w:t xml:space="preserve"> </w:t>
      </w:r>
      <w:r w:rsidRPr="00276B18">
        <w:rPr>
          <w:rFonts w:hint="eastAsia"/>
          <w:b/>
          <w:bCs/>
          <w:rtl/>
        </w:rPr>
        <w:t>שנוסח</w:t>
      </w:r>
      <w:r w:rsidRPr="00276B18">
        <w:rPr>
          <w:b/>
          <w:bCs/>
          <w:rtl/>
        </w:rPr>
        <w:t xml:space="preserve"> </w:t>
      </w:r>
      <w:r w:rsidRPr="00276B18">
        <w:rPr>
          <w:rFonts w:hint="eastAsia"/>
          <w:b/>
          <w:bCs/>
          <w:rtl/>
        </w:rPr>
        <w:t>הבקשות</w:t>
      </w:r>
      <w:r w:rsidRPr="00276B18">
        <w:rPr>
          <w:b/>
          <w:bCs/>
          <w:rtl/>
        </w:rPr>
        <w:t xml:space="preserve"> </w:t>
      </w:r>
      <w:r w:rsidRPr="00276B18">
        <w:rPr>
          <w:rFonts w:hint="eastAsia"/>
          <w:b/>
          <w:bCs/>
          <w:rtl/>
        </w:rPr>
        <w:t>להוצאת</w:t>
      </w:r>
      <w:r w:rsidRPr="00276B18">
        <w:rPr>
          <w:b/>
          <w:bCs/>
          <w:rtl/>
        </w:rPr>
        <w:t xml:space="preserve"> </w:t>
      </w:r>
      <w:r w:rsidRPr="00276B18">
        <w:rPr>
          <w:rFonts w:hint="eastAsia"/>
          <w:b/>
          <w:bCs/>
          <w:rtl/>
        </w:rPr>
        <w:t>צו</w:t>
      </w:r>
      <w:r w:rsidRPr="00276B18">
        <w:rPr>
          <w:b/>
          <w:bCs/>
          <w:rtl/>
        </w:rPr>
        <w:t xml:space="preserve"> </w:t>
      </w:r>
      <w:r w:rsidRPr="00276B18">
        <w:rPr>
          <w:rFonts w:hint="eastAsia"/>
          <w:b/>
          <w:bCs/>
          <w:rtl/>
        </w:rPr>
        <w:t>שיפוטי</w:t>
      </w:r>
      <w:r w:rsidRPr="00276B18">
        <w:rPr>
          <w:b/>
          <w:bCs/>
          <w:rtl/>
        </w:rPr>
        <w:t xml:space="preserve"> </w:t>
      </w:r>
      <w:r w:rsidR="00954632">
        <w:rPr>
          <w:rFonts w:hint="cs"/>
          <w:b/>
          <w:bCs/>
          <w:rtl/>
        </w:rPr>
        <w:t>ב</w:t>
      </w:r>
      <w:r>
        <w:rPr>
          <w:rFonts w:hint="cs"/>
          <w:b/>
          <w:bCs/>
          <w:rtl/>
        </w:rPr>
        <w:t>עניינם של חשודים מהסוג האמור</w:t>
      </w:r>
      <w:r w:rsidRPr="00276B18">
        <w:rPr>
          <w:b/>
          <w:bCs/>
          <w:rtl/>
        </w:rPr>
        <w:t xml:space="preserve">, </w:t>
      </w:r>
      <w:r w:rsidRPr="00276B18">
        <w:rPr>
          <w:rFonts w:hint="eastAsia"/>
          <w:b/>
          <w:bCs/>
          <w:rtl/>
        </w:rPr>
        <w:t>המוגשות</w:t>
      </w:r>
      <w:r w:rsidRPr="00276B18">
        <w:rPr>
          <w:b/>
          <w:bCs/>
          <w:rtl/>
        </w:rPr>
        <w:t xml:space="preserve"> </w:t>
      </w:r>
      <w:r w:rsidRPr="00276B18">
        <w:rPr>
          <w:rFonts w:hint="eastAsia"/>
          <w:b/>
          <w:bCs/>
          <w:rtl/>
        </w:rPr>
        <w:t>לבית</w:t>
      </w:r>
      <w:r w:rsidRPr="00276B18">
        <w:rPr>
          <w:b/>
          <w:bCs/>
          <w:rtl/>
        </w:rPr>
        <w:t xml:space="preserve"> </w:t>
      </w:r>
      <w:r w:rsidRPr="00276B18">
        <w:rPr>
          <w:rFonts w:hint="eastAsia"/>
          <w:b/>
          <w:bCs/>
          <w:rtl/>
        </w:rPr>
        <w:t>המשפט</w:t>
      </w:r>
      <w:r w:rsidRPr="00276B18">
        <w:rPr>
          <w:b/>
          <w:bCs/>
          <w:rtl/>
        </w:rPr>
        <w:t xml:space="preserve">, </w:t>
      </w:r>
      <w:r w:rsidRPr="00276B18">
        <w:rPr>
          <w:rFonts w:hint="eastAsia"/>
          <w:b/>
          <w:bCs/>
          <w:rtl/>
        </w:rPr>
        <w:t>ישקף</w:t>
      </w:r>
      <w:r w:rsidRPr="00276B18">
        <w:rPr>
          <w:b/>
          <w:bCs/>
          <w:rtl/>
        </w:rPr>
        <w:t xml:space="preserve"> את תמונת מצב </w:t>
      </w:r>
      <w:r w:rsidRPr="00276B18">
        <w:rPr>
          <w:rFonts w:hint="eastAsia"/>
          <w:b/>
          <w:bCs/>
          <w:rtl/>
        </w:rPr>
        <w:t>העובדות</w:t>
      </w:r>
      <w:r w:rsidRPr="00276B18">
        <w:rPr>
          <w:b/>
          <w:bCs/>
          <w:rtl/>
        </w:rPr>
        <w:t xml:space="preserve"> </w:t>
      </w:r>
      <w:r w:rsidRPr="00276B18">
        <w:rPr>
          <w:rFonts w:hint="eastAsia"/>
          <w:b/>
          <w:bCs/>
          <w:rtl/>
        </w:rPr>
        <w:t>כהווייתן</w:t>
      </w:r>
      <w:r w:rsidRPr="00276B18">
        <w:rPr>
          <w:b/>
          <w:bCs/>
          <w:rtl/>
        </w:rPr>
        <w:t xml:space="preserve"> </w:t>
      </w:r>
      <w:r w:rsidRPr="00276B18">
        <w:rPr>
          <w:rFonts w:hint="eastAsia"/>
          <w:b/>
          <w:bCs/>
          <w:rtl/>
        </w:rPr>
        <w:t>בנוגע</w:t>
      </w:r>
      <w:r w:rsidRPr="00276B18">
        <w:rPr>
          <w:b/>
          <w:bCs/>
          <w:rtl/>
        </w:rPr>
        <w:t xml:space="preserve"> </w:t>
      </w:r>
      <w:r>
        <w:rPr>
          <w:rFonts w:hint="cs"/>
          <w:b/>
          <w:bCs/>
          <w:rtl/>
        </w:rPr>
        <w:t>ל</w:t>
      </w:r>
      <w:r w:rsidRPr="00276B18">
        <w:rPr>
          <w:rFonts w:hint="eastAsia"/>
          <w:b/>
          <w:bCs/>
          <w:rtl/>
        </w:rPr>
        <w:t>יעד</w:t>
      </w:r>
      <w:r w:rsidRPr="00276B18">
        <w:rPr>
          <w:b/>
          <w:bCs/>
          <w:rtl/>
        </w:rPr>
        <w:t xml:space="preserve"> </w:t>
      </w:r>
      <w:r w:rsidRPr="00276B18">
        <w:rPr>
          <w:rFonts w:hint="eastAsia"/>
          <w:b/>
          <w:bCs/>
          <w:rtl/>
        </w:rPr>
        <w:t>ההאזנה</w:t>
      </w:r>
      <w:r w:rsidRPr="00276B18">
        <w:rPr>
          <w:b/>
          <w:bCs/>
          <w:rtl/>
        </w:rPr>
        <w:t xml:space="preserve"> </w:t>
      </w:r>
      <w:r>
        <w:rPr>
          <w:rFonts w:hint="cs"/>
          <w:b/>
          <w:bCs/>
          <w:rtl/>
        </w:rPr>
        <w:t>והנסיבות הנוספות הנוגעות במישרין לעניין סמכות בית המשפט</w:t>
      </w:r>
      <w:r w:rsidRPr="00276B18">
        <w:rPr>
          <w:b/>
          <w:bCs/>
          <w:rtl/>
        </w:rPr>
        <w:t xml:space="preserve">, </w:t>
      </w:r>
      <w:r w:rsidRPr="00276B18">
        <w:rPr>
          <w:rFonts w:hint="eastAsia"/>
          <w:b/>
          <w:bCs/>
          <w:rtl/>
        </w:rPr>
        <w:t>וכן</w:t>
      </w:r>
      <w:r w:rsidRPr="00276B18">
        <w:rPr>
          <w:b/>
          <w:bCs/>
          <w:rtl/>
        </w:rPr>
        <w:t xml:space="preserve"> </w:t>
      </w:r>
      <w:r w:rsidRPr="00276B18">
        <w:rPr>
          <w:rFonts w:hint="eastAsia"/>
          <w:b/>
          <w:bCs/>
          <w:rtl/>
        </w:rPr>
        <w:t>יפורט</w:t>
      </w:r>
      <w:r w:rsidRPr="00276B18">
        <w:rPr>
          <w:b/>
          <w:bCs/>
          <w:rtl/>
        </w:rPr>
        <w:t xml:space="preserve"> </w:t>
      </w:r>
      <w:r w:rsidRPr="00276B18">
        <w:rPr>
          <w:rFonts w:hint="eastAsia"/>
          <w:b/>
          <w:bCs/>
          <w:rtl/>
        </w:rPr>
        <w:t>אם</w:t>
      </w:r>
      <w:r w:rsidRPr="00276B18">
        <w:rPr>
          <w:b/>
          <w:bCs/>
          <w:rtl/>
        </w:rPr>
        <w:t xml:space="preserve"> </w:t>
      </w:r>
      <w:r w:rsidRPr="00276B18">
        <w:rPr>
          <w:rFonts w:hint="eastAsia"/>
          <w:b/>
          <w:bCs/>
          <w:rtl/>
        </w:rPr>
        <w:t>תמונת</w:t>
      </w:r>
      <w:r w:rsidRPr="00276B18">
        <w:rPr>
          <w:b/>
          <w:bCs/>
          <w:rtl/>
        </w:rPr>
        <w:t xml:space="preserve"> </w:t>
      </w:r>
      <w:r w:rsidRPr="00276B18">
        <w:rPr>
          <w:rFonts w:hint="eastAsia"/>
          <w:b/>
          <w:bCs/>
          <w:rtl/>
        </w:rPr>
        <w:t>המצב</w:t>
      </w:r>
      <w:r w:rsidRPr="00276B18">
        <w:rPr>
          <w:b/>
          <w:bCs/>
          <w:rtl/>
        </w:rPr>
        <w:t xml:space="preserve"> </w:t>
      </w:r>
      <w:r w:rsidRPr="00276B18">
        <w:rPr>
          <w:rFonts w:hint="eastAsia"/>
          <w:b/>
          <w:bCs/>
          <w:rtl/>
        </w:rPr>
        <w:t>הזו</w:t>
      </w:r>
      <w:r w:rsidRPr="00276B18">
        <w:rPr>
          <w:b/>
          <w:bCs/>
          <w:rtl/>
        </w:rPr>
        <w:t xml:space="preserve"> </w:t>
      </w:r>
      <w:r w:rsidRPr="00276B18">
        <w:rPr>
          <w:rFonts w:hint="eastAsia"/>
          <w:b/>
          <w:bCs/>
          <w:rtl/>
        </w:rPr>
        <w:t>מבוססת</w:t>
      </w:r>
      <w:r w:rsidRPr="00276B18">
        <w:rPr>
          <w:b/>
          <w:bCs/>
          <w:rtl/>
        </w:rPr>
        <w:t xml:space="preserve"> </w:t>
      </w:r>
      <w:r w:rsidRPr="00276B18">
        <w:rPr>
          <w:rFonts w:hint="eastAsia"/>
          <w:b/>
          <w:bCs/>
          <w:rtl/>
        </w:rPr>
        <w:t>על</w:t>
      </w:r>
      <w:r w:rsidRPr="00276B18">
        <w:rPr>
          <w:b/>
          <w:bCs/>
          <w:rtl/>
        </w:rPr>
        <w:t xml:space="preserve"> </w:t>
      </w:r>
      <w:r w:rsidRPr="00276B18">
        <w:rPr>
          <w:rFonts w:hint="eastAsia"/>
          <w:b/>
          <w:bCs/>
          <w:rtl/>
        </w:rPr>
        <w:t>ידיעות</w:t>
      </w:r>
      <w:r w:rsidRPr="00276B18">
        <w:rPr>
          <w:b/>
          <w:bCs/>
          <w:rtl/>
        </w:rPr>
        <w:t xml:space="preserve"> </w:t>
      </w:r>
      <w:r w:rsidRPr="00276B18">
        <w:rPr>
          <w:rFonts w:hint="eastAsia"/>
          <w:b/>
          <w:bCs/>
          <w:rtl/>
        </w:rPr>
        <w:t>קונקרטיות</w:t>
      </w:r>
      <w:r w:rsidRPr="00276B18">
        <w:rPr>
          <w:b/>
          <w:bCs/>
          <w:rtl/>
        </w:rPr>
        <w:t xml:space="preserve"> </w:t>
      </w:r>
      <w:r w:rsidRPr="00276B18">
        <w:rPr>
          <w:rFonts w:hint="eastAsia"/>
          <w:b/>
          <w:bCs/>
          <w:rtl/>
        </w:rPr>
        <w:t>או</w:t>
      </w:r>
      <w:r w:rsidRPr="00276B18">
        <w:rPr>
          <w:b/>
          <w:bCs/>
          <w:rtl/>
        </w:rPr>
        <w:t xml:space="preserve"> </w:t>
      </w:r>
      <w:r w:rsidRPr="00276B18">
        <w:rPr>
          <w:rFonts w:hint="eastAsia"/>
          <w:b/>
          <w:bCs/>
          <w:rtl/>
        </w:rPr>
        <w:t>הערכה</w:t>
      </w:r>
      <w:r w:rsidRPr="00276B18">
        <w:rPr>
          <w:b/>
          <w:bCs/>
          <w:rtl/>
        </w:rPr>
        <w:t xml:space="preserve"> </w:t>
      </w:r>
      <w:r w:rsidRPr="00276B18">
        <w:rPr>
          <w:rFonts w:hint="eastAsia"/>
          <w:b/>
          <w:bCs/>
          <w:rtl/>
        </w:rPr>
        <w:t>בלבד</w:t>
      </w:r>
      <w:r w:rsidRPr="00276B18">
        <w:rPr>
          <w:b/>
          <w:bCs/>
          <w:rtl/>
        </w:rPr>
        <w:t>.</w:t>
      </w:r>
    </w:p>
    <w:p w:rsidR="00B652AE" w:rsidRDefault="00B652AE" w:rsidP="006E7248">
      <w:pPr>
        <w:spacing w:line="269" w:lineRule="auto"/>
        <w:ind w:left="680"/>
        <w:rPr>
          <w:b/>
          <w:bCs/>
          <w:rtl/>
        </w:rPr>
      </w:pPr>
    </w:p>
    <w:p w:rsidR="00654A6C" w:rsidRDefault="00654A6C" w:rsidP="006E7248">
      <w:pPr>
        <w:spacing w:line="269" w:lineRule="auto"/>
        <w:ind w:left="680"/>
        <w:rPr>
          <w:b/>
          <w:bCs/>
          <w:rtl/>
        </w:rPr>
      </w:pPr>
      <w:r w:rsidRPr="00276B18">
        <w:rPr>
          <w:rFonts w:hint="eastAsia"/>
          <w:b/>
          <w:bCs/>
          <w:rtl/>
        </w:rPr>
        <w:t>לנוכח</w:t>
      </w:r>
      <w:r w:rsidRPr="00276B18">
        <w:rPr>
          <w:b/>
          <w:bCs/>
          <w:rtl/>
        </w:rPr>
        <w:t xml:space="preserve"> </w:t>
      </w:r>
      <w:r w:rsidRPr="00276B18">
        <w:rPr>
          <w:rFonts w:hint="eastAsia"/>
          <w:b/>
          <w:bCs/>
          <w:rtl/>
        </w:rPr>
        <w:t>הסדרת</w:t>
      </w:r>
      <w:r w:rsidRPr="00276B18">
        <w:rPr>
          <w:b/>
          <w:bCs/>
          <w:rtl/>
        </w:rPr>
        <w:t xml:space="preserve"> </w:t>
      </w:r>
      <w:r w:rsidRPr="00276B18">
        <w:rPr>
          <w:rFonts w:hint="eastAsia"/>
          <w:b/>
          <w:bCs/>
          <w:rtl/>
        </w:rPr>
        <w:t>הסוגיה</w:t>
      </w:r>
      <w:r w:rsidRPr="00276B18">
        <w:rPr>
          <w:b/>
          <w:bCs/>
          <w:rtl/>
        </w:rPr>
        <w:t xml:space="preserve"> </w:t>
      </w:r>
      <w:r w:rsidRPr="00276B18">
        <w:rPr>
          <w:rFonts w:hint="eastAsia"/>
          <w:b/>
          <w:bCs/>
          <w:rtl/>
        </w:rPr>
        <w:t>בנוהל</w:t>
      </w:r>
      <w:r w:rsidRPr="00276B18">
        <w:rPr>
          <w:b/>
          <w:bCs/>
          <w:rtl/>
        </w:rPr>
        <w:t xml:space="preserve"> </w:t>
      </w:r>
      <w:r w:rsidRPr="00276B18">
        <w:rPr>
          <w:rFonts w:hint="eastAsia"/>
          <w:b/>
          <w:bCs/>
          <w:rtl/>
        </w:rPr>
        <w:t>בלבד</w:t>
      </w:r>
      <w:r w:rsidRPr="00276B18">
        <w:rPr>
          <w:b/>
          <w:bCs/>
          <w:rtl/>
        </w:rPr>
        <w:t xml:space="preserve">, </w:t>
      </w:r>
      <w:r w:rsidRPr="00276B18">
        <w:rPr>
          <w:rFonts w:hint="eastAsia"/>
          <w:b/>
          <w:bCs/>
          <w:rtl/>
        </w:rPr>
        <w:t>ובשים</w:t>
      </w:r>
      <w:r w:rsidRPr="00276B18">
        <w:rPr>
          <w:b/>
          <w:bCs/>
          <w:rtl/>
        </w:rPr>
        <w:t xml:space="preserve"> </w:t>
      </w:r>
      <w:r w:rsidRPr="00276B18">
        <w:rPr>
          <w:rFonts w:hint="eastAsia"/>
          <w:b/>
          <w:bCs/>
          <w:rtl/>
        </w:rPr>
        <w:t>לב</w:t>
      </w:r>
      <w:r w:rsidRPr="00276B18">
        <w:rPr>
          <w:b/>
          <w:bCs/>
          <w:rtl/>
        </w:rPr>
        <w:t xml:space="preserve"> </w:t>
      </w:r>
      <w:r w:rsidRPr="00276B18">
        <w:rPr>
          <w:rFonts w:hint="eastAsia"/>
          <w:b/>
          <w:bCs/>
          <w:rtl/>
        </w:rPr>
        <w:t>לאופן</w:t>
      </w:r>
      <w:r w:rsidRPr="00276B18">
        <w:rPr>
          <w:b/>
          <w:bCs/>
          <w:rtl/>
        </w:rPr>
        <w:t xml:space="preserve"> </w:t>
      </w:r>
      <w:r w:rsidRPr="00276B18">
        <w:rPr>
          <w:rFonts w:hint="eastAsia"/>
          <w:b/>
          <w:bCs/>
          <w:rtl/>
        </w:rPr>
        <w:t>שבו</w:t>
      </w:r>
      <w:r w:rsidRPr="00276B18">
        <w:rPr>
          <w:b/>
          <w:bCs/>
          <w:rtl/>
        </w:rPr>
        <w:t xml:space="preserve"> </w:t>
      </w:r>
      <w:r w:rsidRPr="00276B18">
        <w:rPr>
          <w:rFonts w:hint="eastAsia"/>
          <w:b/>
          <w:bCs/>
          <w:rtl/>
        </w:rPr>
        <w:t>המשטרה</w:t>
      </w:r>
      <w:r w:rsidRPr="00276B18">
        <w:rPr>
          <w:b/>
          <w:bCs/>
          <w:rtl/>
        </w:rPr>
        <w:t xml:space="preserve"> </w:t>
      </w:r>
      <w:r w:rsidRPr="00276B18">
        <w:rPr>
          <w:rFonts w:hint="eastAsia"/>
          <w:b/>
          <w:bCs/>
          <w:rtl/>
        </w:rPr>
        <w:t>הגישה</w:t>
      </w:r>
      <w:r w:rsidRPr="00276B18">
        <w:rPr>
          <w:b/>
          <w:bCs/>
          <w:rtl/>
        </w:rPr>
        <w:t xml:space="preserve"> </w:t>
      </w:r>
      <w:r w:rsidRPr="00276B18">
        <w:rPr>
          <w:rFonts w:hint="eastAsia"/>
          <w:b/>
          <w:bCs/>
          <w:rtl/>
        </w:rPr>
        <w:t>בקשות</w:t>
      </w:r>
      <w:r w:rsidRPr="00276B18">
        <w:rPr>
          <w:b/>
          <w:bCs/>
          <w:rtl/>
        </w:rPr>
        <w:t xml:space="preserve"> </w:t>
      </w:r>
      <w:r w:rsidRPr="00276B18">
        <w:rPr>
          <w:rFonts w:hint="eastAsia"/>
          <w:b/>
          <w:bCs/>
          <w:rtl/>
        </w:rPr>
        <w:t>להאזנה</w:t>
      </w:r>
      <w:r w:rsidRPr="00276B18">
        <w:rPr>
          <w:b/>
          <w:bCs/>
          <w:rtl/>
        </w:rPr>
        <w:t xml:space="preserve"> </w:t>
      </w:r>
      <w:r>
        <w:rPr>
          <w:rFonts w:hint="cs"/>
          <w:b/>
          <w:bCs/>
          <w:rtl/>
        </w:rPr>
        <w:t>בעניינם של חשודים מסוג מסוים</w:t>
      </w:r>
      <w:r w:rsidRPr="00276B18">
        <w:rPr>
          <w:b/>
          <w:bCs/>
          <w:rtl/>
        </w:rPr>
        <w:t xml:space="preserve"> </w:t>
      </w:r>
      <w:r w:rsidRPr="00276B18">
        <w:rPr>
          <w:rFonts w:hint="eastAsia"/>
          <w:b/>
          <w:bCs/>
          <w:rtl/>
        </w:rPr>
        <w:t>עד</w:t>
      </w:r>
      <w:r w:rsidRPr="00276B18">
        <w:rPr>
          <w:b/>
          <w:bCs/>
          <w:rtl/>
        </w:rPr>
        <w:t xml:space="preserve"> </w:t>
      </w:r>
      <w:r w:rsidRPr="00276B18">
        <w:rPr>
          <w:rFonts w:hint="eastAsia"/>
          <w:b/>
          <w:bCs/>
          <w:rtl/>
        </w:rPr>
        <w:t>לשנת</w:t>
      </w:r>
      <w:r w:rsidRPr="00276B18">
        <w:rPr>
          <w:b/>
          <w:bCs/>
          <w:rtl/>
        </w:rPr>
        <w:t xml:space="preserve"> 2021, </w:t>
      </w:r>
      <w:r w:rsidRPr="00276B18">
        <w:rPr>
          <w:rFonts w:hint="eastAsia"/>
          <w:b/>
          <w:bCs/>
          <w:rtl/>
        </w:rPr>
        <w:t>מומלץ</w:t>
      </w:r>
      <w:r w:rsidRPr="00276B18">
        <w:rPr>
          <w:b/>
          <w:bCs/>
          <w:rtl/>
        </w:rPr>
        <w:t xml:space="preserve"> </w:t>
      </w:r>
      <w:r w:rsidRPr="00276B18">
        <w:rPr>
          <w:rFonts w:hint="eastAsia"/>
          <w:b/>
          <w:bCs/>
          <w:rtl/>
        </w:rPr>
        <w:t>כי</w:t>
      </w:r>
      <w:r w:rsidRPr="00276B18">
        <w:rPr>
          <w:b/>
          <w:bCs/>
          <w:rtl/>
        </w:rPr>
        <w:t xml:space="preserve"> </w:t>
      </w:r>
      <w:r w:rsidRPr="00276B18">
        <w:rPr>
          <w:rFonts w:hint="eastAsia"/>
          <w:b/>
          <w:bCs/>
          <w:rtl/>
        </w:rPr>
        <w:t>המשטרה</w:t>
      </w:r>
      <w:r w:rsidRPr="00276B18">
        <w:rPr>
          <w:b/>
          <w:bCs/>
          <w:rtl/>
        </w:rPr>
        <w:t xml:space="preserve"> </w:t>
      </w:r>
      <w:r w:rsidRPr="00276B18">
        <w:rPr>
          <w:rFonts w:hint="eastAsia"/>
          <w:b/>
          <w:bCs/>
          <w:rtl/>
        </w:rPr>
        <w:t>תבחן</w:t>
      </w:r>
      <w:r w:rsidRPr="00276B18">
        <w:rPr>
          <w:b/>
          <w:bCs/>
          <w:rtl/>
        </w:rPr>
        <w:t xml:space="preserve"> </w:t>
      </w:r>
      <w:r w:rsidRPr="00276B18">
        <w:rPr>
          <w:rFonts w:hint="eastAsia"/>
          <w:b/>
          <w:bCs/>
          <w:rtl/>
        </w:rPr>
        <w:t>בשיתוף</w:t>
      </w:r>
      <w:r w:rsidRPr="00276B18">
        <w:rPr>
          <w:b/>
          <w:bCs/>
          <w:rtl/>
        </w:rPr>
        <w:t xml:space="preserve"> </w:t>
      </w:r>
      <w:r w:rsidRPr="00276B18">
        <w:rPr>
          <w:rFonts w:hint="eastAsia"/>
          <w:b/>
          <w:bCs/>
          <w:rtl/>
        </w:rPr>
        <w:t>גורמים</w:t>
      </w:r>
      <w:r w:rsidRPr="00276B18">
        <w:rPr>
          <w:b/>
          <w:bCs/>
          <w:rtl/>
        </w:rPr>
        <w:t xml:space="preserve"> </w:t>
      </w:r>
      <w:r>
        <w:rPr>
          <w:rFonts w:hint="cs"/>
          <w:b/>
          <w:bCs/>
          <w:rtl/>
        </w:rPr>
        <w:t xml:space="preserve">משפטיים </w:t>
      </w:r>
      <w:r w:rsidRPr="00276B18">
        <w:rPr>
          <w:rFonts w:hint="eastAsia"/>
          <w:b/>
          <w:bCs/>
          <w:rtl/>
        </w:rPr>
        <w:t>רלוונטיים</w:t>
      </w:r>
      <w:r w:rsidRPr="00276B18">
        <w:rPr>
          <w:b/>
          <w:bCs/>
          <w:rtl/>
        </w:rPr>
        <w:t xml:space="preserve"> </w:t>
      </w:r>
      <w:r w:rsidRPr="00276B18">
        <w:rPr>
          <w:rFonts w:hint="eastAsia"/>
          <w:b/>
          <w:bCs/>
          <w:rtl/>
        </w:rPr>
        <w:t>ובפרט</w:t>
      </w:r>
      <w:r w:rsidRPr="00276B18">
        <w:rPr>
          <w:b/>
          <w:bCs/>
          <w:rtl/>
        </w:rPr>
        <w:t xml:space="preserve"> </w:t>
      </w:r>
      <w:r w:rsidRPr="00276B18">
        <w:rPr>
          <w:rFonts w:hint="eastAsia"/>
          <w:b/>
          <w:bCs/>
          <w:rtl/>
        </w:rPr>
        <w:t>הייעוץ</w:t>
      </w:r>
      <w:r w:rsidRPr="00041686">
        <w:rPr>
          <w:b/>
          <w:bCs/>
          <w:rtl/>
        </w:rPr>
        <w:t xml:space="preserve"> </w:t>
      </w:r>
      <w:r w:rsidRPr="00041686">
        <w:rPr>
          <w:rFonts w:hint="eastAsia"/>
          <w:b/>
          <w:bCs/>
          <w:rtl/>
        </w:rPr>
        <w:t>המשפטי</w:t>
      </w:r>
      <w:r w:rsidRPr="00041686">
        <w:rPr>
          <w:b/>
          <w:bCs/>
          <w:rtl/>
        </w:rPr>
        <w:t xml:space="preserve"> </w:t>
      </w:r>
      <w:r w:rsidRPr="00041686">
        <w:rPr>
          <w:rFonts w:hint="eastAsia"/>
          <w:b/>
          <w:bCs/>
          <w:rtl/>
        </w:rPr>
        <w:t>לממשלה</w:t>
      </w:r>
      <w:r w:rsidRPr="00041686">
        <w:rPr>
          <w:b/>
          <w:bCs/>
          <w:rtl/>
        </w:rPr>
        <w:t xml:space="preserve"> </w:t>
      </w:r>
      <w:r w:rsidRPr="00041686">
        <w:rPr>
          <w:rFonts w:hint="eastAsia"/>
          <w:b/>
          <w:bCs/>
          <w:rtl/>
        </w:rPr>
        <w:t>במשרד</w:t>
      </w:r>
      <w:r w:rsidRPr="00041686">
        <w:rPr>
          <w:b/>
          <w:bCs/>
          <w:rtl/>
        </w:rPr>
        <w:t xml:space="preserve"> </w:t>
      </w:r>
      <w:r w:rsidRPr="00041686">
        <w:rPr>
          <w:rFonts w:hint="eastAsia"/>
          <w:b/>
          <w:bCs/>
          <w:rtl/>
        </w:rPr>
        <w:t>המשפטים</w:t>
      </w:r>
      <w:r w:rsidRPr="00041686">
        <w:rPr>
          <w:b/>
          <w:bCs/>
          <w:rtl/>
        </w:rPr>
        <w:t xml:space="preserve">, </w:t>
      </w:r>
      <w:r w:rsidRPr="00041686">
        <w:rPr>
          <w:rFonts w:hint="eastAsia"/>
          <w:b/>
          <w:bCs/>
          <w:rtl/>
        </w:rPr>
        <w:t>את</w:t>
      </w:r>
      <w:r w:rsidRPr="00041686">
        <w:rPr>
          <w:b/>
          <w:bCs/>
          <w:rtl/>
        </w:rPr>
        <w:t xml:space="preserve"> </w:t>
      </w:r>
      <w:r w:rsidRPr="00041686">
        <w:rPr>
          <w:rFonts w:hint="eastAsia"/>
          <w:b/>
          <w:bCs/>
          <w:rtl/>
        </w:rPr>
        <w:t>ההסדרה</w:t>
      </w:r>
      <w:r w:rsidRPr="00041686">
        <w:rPr>
          <w:b/>
          <w:bCs/>
          <w:rtl/>
        </w:rPr>
        <w:t xml:space="preserve"> </w:t>
      </w:r>
      <w:r w:rsidRPr="00041686">
        <w:rPr>
          <w:rFonts w:hint="eastAsia"/>
          <w:b/>
          <w:bCs/>
          <w:rtl/>
        </w:rPr>
        <w:t>החקיקתית</w:t>
      </w:r>
      <w:r w:rsidRPr="00041686">
        <w:rPr>
          <w:b/>
          <w:bCs/>
          <w:rtl/>
        </w:rPr>
        <w:t xml:space="preserve"> </w:t>
      </w:r>
      <w:r w:rsidRPr="00041686">
        <w:rPr>
          <w:rFonts w:hint="eastAsia"/>
          <w:b/>
          <w:bCs/>
          <w:rtl/>
        </w:rPr>
        <w:t>והמשפטית</w:t>
      </w:r>
      <w:r w:rsidRPr="00041686">
        <w:rPr>
          <w:b/>
          <w:bCs/>
          <w:rtl/>
        </w:rPr>
        <w:t xml:space="preserve"> </w:t>
      </w:r>
      <w:r w:rsidRPr="00041686">
        <w:rPr>
          <w:rFonts w:hint="eastAsia"/>
          <w:b/>
          <w:bCs/>
          <w:rtl/>
        </w:rPr>
        <w:t>של</w:t>
      </w:r>
      <w:r w:rsidRPr="00041686">
        <w:rPr>
          <w:b/>
          <w:bCs/>
          <w:rtl/>
        </w:rPr>
        <w:t xml:space="preserve"> </w:t>
      </w:r>
      <w:r w:rsidRPr="00041686">
        <w:rPr>
          <w:rFonts w:hint="eastAsia"/>
          <w:b/>
          <w:bCs/>
          <w:rtl/>
        </w:rPr>
        <w:t>תהליך</w:t>
      </w:r>
      <w:r w:rsidRPr="00041686">
        <w:rPr>
          <w:b/>
          <w:bCs/>
          <w:rtl/>
        </w:rPr>
        <w:t xml:space="preserve"> </w:t>
      </w:r>
      <w:r>
        <w:rPr>
          <w:rFonts w:hint="cs"/>
          <w:b/>
          <w:bCs/>
          <w:rtl/>
        </w:rPr>
        <w:t>זה</w:t>
      </w:r>
      <w:r w:rsidRPr="00041686">
        <w:rPr>
          <w:b/>
          <w:bCs/>
          <w:rtl/>
        </w:rPr>
        <w:t>.</w:t>
      </w:r>
      <w:r>
        <w:rPr>
          <w:rFonts w:hint="cs"/>
          <w:b/>
          <w:bCs/>
          <w:rtl/>
        </w:rPr>
        <w:t xml:space="preserve"> </w:t>
      </w:r>
    </w:p>
    <w:p w:rsidR="006E7248" w:rsidRPr="00E7481C" w:rsidRDefault="006E7248" w:rsidP="00816CC8">
      <w:pPr>
        <w:spacing w:line="269" w:lineRule="auto"/>
        <w:ind w:left="340"/>
        <w:rPr>
          <w:b/>
          <w:bCs/>
          <w:rtl/>
        </w:rPr>
      </w:pPr>
    </w:p>
    <w:p w:rsidR="009A1216" w:rsidRDefault="009A1216" w:rsidP="008C598D">
      <w:pPr>
        <w:pStyle w:val="4"/>
        <w:numPr>
          <w:ilvl w:val="0"/>
          <w:numId w:val="72"/>
        </w:numPr>
        <w:spacing w:before="0" w:line="269" w:lineRule="auto"/>
        <w:ind w:left="367"/>
        <w:jc w:val="left"/>
        <w:rPr>
          <w:rtl/>
        </w:rPr>
      </w:pPr>
      <w:bookmarkStart w:id="326" w:name="_Toc132608785"/>
      <w:bookmarkStart w:id="327" w:name="_Toc211521931"/>
      <w:bookmarkStart w:id="328" w:name="_Toc219110321"/>
      <w:bookmarkStart w:id="329" w:name="_Toc219113762"/>
      <w:bookmarkStart w:id="330" w:name="_Toc219286537"/>
      <w:bookmarkStart w:id="331" w:name="_Hlk147907760"/>
      <w:bookmarkEnd w:id="325"/>
      <w:r>
        <w:rPr>
          <w:rFonts w:hint="cs"/>
          <w:rtl/>
        </w:rPr>
        <w:t>צווים חריגים</w:t>
      </w:r>
      <w:bookmarkEnd w:id="326"/>
      <w:bookmarkEnd w:id="327"/>
      <w:bookmarkEnd w:id="328"/>
      <w:bookmarkEnd w:id="329"/>
      <w:bookmarkEnd w:id="330"/>
    </w:p>
    <w:p w:rsidR="00504CA5" w:rsidRDefault="00504CA5" w:rsidP="00604C3D">
      <w:pPr>
        <w:spacing w:line="269" w:lineRule="auto"/>
        <w:rPr>
          <w:rtl/>
        </w:rPr>
      </w:pPr>
      <w:bookmarkStart w:id="332" w:name="_צו_למעורב_רגיש"/>
      <w:bookmarkEnd w:id="331"/>
      <w:bookmarkEnd w:id="332"/>
    </w:p>
    <w:p w:rsidR="009A1216" w:rsidRDefault="009A1216" w:rsidP="006E7248">
      <w:pPr>
        <w:spacing w:line="269" w:lineRule="auto"/>
        <w:ind w:left="340"/>
        <w:rPr>
          <w:szCs w:val="20"/>
          <w:rtl/>
        </w:rPr>
      </w:pPr>
      <w:r w:rsidRPr="002F5532">
        <w:rPr>
          <w:rtl/>
        </w:rPr>
        <w:t xml:space="preserve">לפי </w:t>
      </w:r>
      <w:r>
        <w:rPr>
          <w:rtl/>
        </w:rPr>
        <w:t>חוק האזנת סתר</w:t>
      </w:r>
      <w:r w:rsidRPr="002F5532">
        <w:rPr>
          <w:rtl/>
        </w:rPr>
        <w:t>, בקשות לצווים אינן מחייבות שהמשטרה תדע מראש את זהות הקו או המתקן המשמשים את יעד ההאזנה</w:t>
      </w:r>
      <w:r>
        <w:rPr>
          <w:rStyle w:val="af"/>
          <w:rtl/>
        </w:rPr>
        <w:footnoteReference w:id="146"/>
      </w:r>
      <w:r w:rsidRPr="002F5532">
        <w:rPr>
          <w:rtl/>
        </w:rPr>
        <w:t xml:space="preserve">. </w:t>
      </w:r>
      <w:r>
        <w:rPr>
          <w:rFonts w:hint="cs"/>
          <w:rtl/>
        </w:rPr>
        <w:t>בצו האזנת סתר מובאים, ככל הניתן, פרטים אלה על יעדי ההאזנה: תיאור זהות האדם שבו עוסקת הבקשה, פרטי זיהויו ותיאור האמצעי שמשמש אותו לשם ביצוע השיחה. הכול אם הם ידועים מראש. עם זאת, יש מקרים חריגים שבהם הבקשות אינן כוללות פרטים מלאים על יעדי ההאזנה. לפי נוהלי המשטרה, צווים חריגים אלו מוגשים לאחר אישור פנימי של</w:t>
      </w:r>
      <w:r w:rsidR="00382AE8">
        <w:rPr>
          <w:rFonts w:hint="cs"/>
          <w:rtl/>
        </w:rPr>
        <w:t xml:space="preserve"> </w:t>
      </w:r>
      <w:r>
        <w:rPr>
          <w:rFonts w:hint="cs"/>
          <w:rtl/>
        </w:rPr>
        <w:t xml:space="preserve">הדרגים הרלוונטיים במשטרה. </w:t>
      </w:r>
    </w:p>
    <w:p w:rsidR="00504CA5" w:rsidRDefault="00504CA5" w:rsidP="006E7248">
      <w:pPr>
        <w:spacing w:line="269" w:lineRule="auto"/>
        <w:ind w:left="340"/>
        <w:rPr>
          <w:rtl/>
        </w:rPr>
      </w:pPr>
    </w:p>
    <w:p w:rsidR="009A1216" w:rsidRPr="00A3558C" w:rsidRDefault="009A1216" w:rsidP="006E7248">
      <w:pPr>
        <w:spacing w:line="269" w:lineRule="auto"/>
        <w:ind w:left="340"/>
        <w:rPr>
          <w:rtl/>
        </w:rPr>
      </w:pPr>
      <w:r w:rsidRPr="00A3558C">
        <w:rPr>
          <w:rFonts w:hint="cs"/>
          <w:rtl/>
        </w:rPr>
        <w:t xml:space="preserve">בשנת 2004 </w:t>
      </w:r>
      <w:r>
        <w:rPr>
          <w:rFonts w:hint="cs"/>
          <w:rtl/>
        </w:rPr>
        <w:t xml:space="preserve">התייחס מבקר המדינה לכך שהמשטרה מוסיפה לצווי האזנת סתר את האפשרות להאזין ליעדי האזנה אחרים בלי לנקוב בשמם. המבקר </w:t>
      </w:r>
      <w:r w:rsidRPr="00A3558C">
        <w:rPr>
          <w:rFonts w:hint="cs"/>
          <w:rtl/>
        </w:rPr>
        <w:t>קבע כי מ</w:t>
      </w:r>
      <w:r>
        <w:rPr>
          <w:rFonts w:hint="cs"/>
          <w:rtl/>
        </w:rPr>
        <w:t>חוק האזנת סתר</w:t>
      </w:r>
      <w:r w:rsidRPr="00A3558C">
        <w:rPr>
          <w:rFonts w:hint="cs"/>
          <w:rtl/>
        </w:rPr>
        <w:t xml:space="preserve"> ו</w:t>
      </w:r>
      <w:r>
        <w:rPr>
          <w:rFonts w:hint="cs"/>
          <w:rtl/>
        </w:rPr>
        <w:t>מ</w:t>
      </w:r>
      <w:r w:rsidRPr="00A3558C">
        <w:rPr>
          <w:rFonts w:hint="cs"/>
          <w:rtl/>
        </w:rPr>
        <w:t>מטרתו עולה כי ככלל על המשטרה לתת עדיפות להגיש בקשה להאזנה לאדם מסוים. רק לאחר שנשקל</w:t>
      </w:r>
      <w:r>
        <w:rPr>
          <w:rFonts w:hint="cs"/>
          <w:rtl/>
        </w:rPr>
        <w:t>ה</w:t>
      </w:r>
      <w:r w:rsidRPr="00A3558C">
        <w:rPr>
          <w:rFonts w:hint="cs"/>
          <w:rtl/>
        </w:rPr>
        <w:t xml:space="preserve"> בקפידה חיוניות הפגיעה בפרטיות והתברר שאי אפשר להגביל את הבקשה לאדם מסוים, היא תגיש בקשה כוללנית ותציג </w:t>
      </w:r>
      <w:r>
        <w:rPr>
          <w:rFonts w:hint="cs"/>
          <w:rtl/>
        </w:rPr>
        <w:t xml:space="preserve">לבית המשפט </w:t>
      </w:r>
      <w:r w:rsidRPr="00A3558C">
        <w:rPr>
          <w:rFonts w:hint="cs"/>
          <w:rtl/>
        </w:rPr>
        <w:t>את נימוקיה לכך</w:t>
      </w:r>
      <w:r>
        <w:rPr>
          <w:rStyle w:val="af"/>
          <w:rtl/>
        </w:rPr>
        <w:footnoteReference w:id="147"/>
      </w:r>
      <w:r w:rsidRPr="00A3558C">
        <w:rPr>
          <w:rFonts w:hint="cs"/>
          <w:rtl/>
        </w:rPr>
        <w:t>.</w:t>
      </w:r>
    </w:p>
    <w:p w:rsidR="00504CA5" w:rsidRPr="00770E43" w:rsidRDefault="00504CA5" w:rsidP="006E7248">
      <w:pPr>
        <w:spacing w:line="269" w:lineRule="auto"/>
        <w:ind w:left="340"/>
        <w:rPr>
          <w:rtl/>
        </w:rPr>
      </w:pPr>
    </w:p>
    <w:p w:rsidR="009A1216" w:rsidRPr="00770E43" w:rsidRDefault="009A1216" w:rsidP="006E7248">
      <w:pPr>
        <w:spacing w:line="269" w:lineRule="auto"/>
        <w:ind w:left="340"/>
        <w:rPr>
          <w:rtl/>
        </w:rPr>
      </w:pPr>
      <w:r w:rsidRPr="00770E43">
        <w:rPr>
          <w:rFonts w:hint="cs"/>
          <w:rtl/>
        </w:rPr>
        <w:t>לפי הנחיית עבודה של המשטרה, יש מקרים חריגים שבהם היא תפעל להוצאת צו שמאפשר לה להוסיף לצו אמצעים מואזנים נוספים שבשימוש היעד אשר לא היו ידועים לה במועד הוצאת הצו (צו חריג א'); או נסיבות שבהן היא תפעל להוצאת צו שלאחר הגשתו ואישורו מאפשר להוסיף מעורבים חדשים ואמצעים נוספים הקשורים בפרשייה הנחקרת שעיקריה מפורטים בבקשה שלא היו ידועים למשטרה במועד הגשת הבקשה (צו חריג ב'). בהנחיה הודגש</w:t>
      </w:r>
      <w:r w:rsidRPr="00770E43">
        <w:rPr>
          <w:rtl/>
        </w:rPr>
        <w:t xml:space="preserve"> כי השימוש </w:t>
      </w:r>
      <w:r w:rsidRPr="00770E43">
        <w:rPr>
          <w:rFonts w:hint="cs"/>
          <w:rtl/>
        </w:rPr>
        <w:t>בצו זה</w:t>
      </w:r>
      <w:r w:rsidRPr="00770E43">
        <w:rPr>
          <w:rtl/>
        </w:rPr>
        <w:t xml:space="preserve"> לא נועד ל</w:t>
      </w:r>
      <w:r w:rsidRPr="00770E43">
        <w:rPr>
          <w:rFonts w:hint="cs"/>
          <w:rtl/>
        </w:rPr>
        <w:t xml:space="preserve">שם נוחות המשטרה </w:t>
      </w:r>
      <w:r w:rsidRPr="00770E43">
        <w:rPr>
          <w:rtl/>
        </w:rPr>
        <w:t>ו</w:t>
      </w:r>
      <w:r w:rsidRPr="00770E43">
        <w:rPr>
          <w:rFonts w:hint="cs"/>
          <w:rtl/>
        </w:rPr>
        <w:t>כדי ל</w:t>
      </w:r>
      <w:r w:rsidRPr="00770E43">
        <w:rPr>
          <w:rtl/>
        </w:rPr>
        <w:t xml:space="preserve">צמצם </w:t>
      </w:r>
      <w:r w:rsidRPr="00770E43">
        <w:rPr>
          <w:rFonts w:hint="cs"/>
          <w:rtl/>
        </w:rPr>
        <w:t>את</w:t>
      </w:r>
      <w:r w:rsidRPr="00770E43">
        <w:rPr>
          <w:rtl/>
        </w:rPr>
        <w:t xml:space="preserve"> מספר הפניות לבית המשפט</w:t>
      </w:r>
      <w:r w:rsidRPr="00770E43">
        <w:rPr>
          <w:rFonts w:hint="cs"/>
          <w:rtl/>
        </w:rPr>
        <w:t>,</w:t>
      </w:r>
      <w:r w:rsidRPr="00770E43">
        <w:rPr>
          <w:rtl/>
        </w:rPr>
        <w:t xml:space="preserve"> אלא </w:t>
      </w:r>
      <w:r w:rsidRPr="00770E43">
        <w:rPr>
          <w:rFonts w:hint="cs"/>
          <w:rtl/>
        </w:rPr>
        <w:t>מטרתו לאפשר לה</w:t>
      </w:r>
      <w:r w:rsidRPr="00770E43">
        <w:rPr>
          <w:rtl/>
        </w:rPr>
        <w:t xml:space="preserve"> להתמודד עם סיטואציה ייחודית וחריגה </w:t>
      </w:r>
      <w:r w:rsidRPr="00770E43">
        <w:rPr>
          <w:rFonts w:hint="cs"/>
          <w:rtl/>
        </w:rPr>
        <w:t>ש</w:t>
      </w:r>
      <w:r w:rsidRPr="00770E43">
        <w:rPr>
          <w:rtl/>
        </w:rPr>
        <w:t xml:space="preserve">בה </w:t>
      </w:r>
      <w:r w:rsidRPr="00770E43">
        <w:rPr>
          <w:rFonts w:hint="cs"/>
          <w:rtl/>
        </w:rPr>
        <w:t>יש</w:t>
      </w:r>
      <w:r w:rsidRPr="00770E43">
        <w:rPr>
          <w:rtl/>
        </w:rPr>
        <w:t xml:space="preserve"> צורך מ</w:t>
      </w:r>
      <w:r w:rsidRPr="00770E43">
        <w:rPr>
          <w:rFonts w:hint="cs"/>
          <w:rtl/>
        </w:rPr>
        <w:t>י</w:t>
      </w:r>
      <w:r w:rsidRPr="00770E43">
        <w:rPr>
          <w:rtl/>
        </w:rPr>
        <w:t>ידי ברור ומובהק למתן מענה מהיר ובזמן אמת להאזנה</w:t>
      </w:r>
      <w:r w:rsidRPr="00770E43">
        <w:rPr>
          <w:rFonts w:hint="cs"/>
          <w:rtl/>
        </w:rPr>
        <w:t>,</w:t>
      </w:r>
      <w:r w:rsidRPr="00770E43">
        <w:rPr>
          <w:rtl/>
        </w:rPr>
        <w:t xml:space="preserve"> ולא ניתן לפנות לבית המשפט בעוד מועד</w:t>
      </w:r>
      <w:r w:rsidRPr="00770E43">
        <w:rPr>
          <w:rFonts w:hint="cs"/>
          <w:rtl/>
        </w:rPr>
        <w:t xml:space="preserve">. עוד נקבע כי </w:t>
      </w:r>
      <w:r w:rsidRPr="00770E43">
        <w:rPr>
          <w:rtl/>
        </w:rPr>
        <w:t xml:space="preserve">בשל המורכבות והרגישות היתרה של בקשות מסוג </w:t>
      </w:r>
      <w:r w:rsidRPr="00770E43">
        <w:rPr>
          <w:rFonts w:hint="cs"/>
          <w:rtl/>
        </w:rPr>
        <w:t>זה</w:t>
      </w:r>
      <w:r w:rsidRPr="00770E43">
        <w:rPr>
          <w:rtl/>
        </w:rPr>
        <w:t xml:space="preserve"> </w:t>
      </w:r>
      <w:r w:rsidRPr="00770E43">
        <w:rPr>
          <w:rFonts w:hint="cs"/>
          <w:rtl/>
        </w:rPr>
        <w:t xml:space="preserve">ובשל </w:t>
      </w:r>
      <w:r w:rsidRPr="00770E43">
        <w:rPr>
          <w:rtl/>
        </w:rPr>
        <w:t>החשש הכבד לפגיעה שלא</w:t>
      </w:r>
      <w:r w:rsidRPr="00770E43">
        <w:rPr>
          <w:rFonts w:hint="cs"/>
          <w:rtl/>
        </w:rPr>
        <w:t xml:space="preserve"> </w:t>
      </w:r>
      <w:r w:rsidRPr="00770E43">
        <w:rPr>
          <w:rtl/>
        </w:rPr>
        <w:t>לצורך בפרטיות</w:t>
      </w:r>
      <w:r w:rsidRPr="00770E43">
        <w:rPr>
          <w:rFonts w:hint="cs"/>
          <w:rtl/>
        </w:rPr>
        <w:t>,</w:t>
      </w:r>
      <w:r w:rsidRPr="00770E43">
        <w:rPr>
          <w:rtl/>
        </w:rPr>
        <w:t xml:space="preserve"> השימוש במנגנון זה ייעשה ככלל</w:t>
      </w:r>
      <w:r w:rsidRPr="00770E43">
        <w:rPr>
          <w:rFonts w:hint="cs"/>
          <w:rtl/>
        </w:rPr>
        <w:t xml:space="preserve"> </w:t>
      </w:r>
      <w:r w:rsidRPr="00770E43">
        <w:rPr>
          <w:rtl/>
        </w:rPr>
        <w:t>באופן מדוד, מבוקר ומושכל בהתקיים צורך מובהק, ותוך הקפדה יתרה על יישום</w:t>
      </w:r>
      <w:r w:rsidRPr="00770E43">
        <w:rPr>
          <w:rFonts w:hint="cs"/>
          <w:rtl/>
        </w:rPr>
        <w:t xml:space="preserve"> </w:t>
      </w:r>
      <w:r w:rsidRPr="00770E43">
        <w:rPr>
          <w:rtl/>
        </w:rPr>
        <w:t>הכללים</w:t>
      </w:r>
      <w:r w:rsidRPr="00770E43">
        <w:rPr>
          <w:rFonts w:hint="cs"/>
          <w:rtl/>
        </w:rPr>
        <w:t>. עוד נקבע כי השימוש בצו ייעשה מכוחו של צו שיפוטי בלבד. במקרים הנדרשים</w:t>
      </w:r>
      <w:r w:rsidR="00382AE8" w:rsidRPr="00770E43">
        <w:rPr>
          <w:rFonts w:hint="cs"/>
          <w:rtl/>
        </w:rPr>
        <w:t xml:space="preserve"> </w:t>
      </w:r>
      <w:r w:rsidRPr="00770E43">
        <w:rPr>
          <w:rFonts w:hint="cs"/>
          <w:rtl/>
        </w:rPr>
        <w:t xml:space="preserve">המשטרה </w:t>
      </w:r>
      <w:r w:rsidRPr="00770E43">
        <w:rPr>
          <w:rtl/>
        </w:rPr>
        <w:t>מתעדת את תהליך קבלת ההחלטה ואישורה בנספח ייעודי על ידי קצין המוסמך לאשר האזנת סתר</w:t>
      </w:r>
      <w:r w:rsidRPr="00770E43">
        <w:rPr>
          <w:rFonts w:hint="cs"/>
          <w:rtl/>
        </w:rPr>
        <w:t>.</w:t>
      </w:r>
    </w:p>
    <w:p w:rsidR="00504CA5" w:rsidRPr="00770E43" w:rsidRDefault="00504CA5" w:rsidP="006E7248">
      <w:pPr>
        <w:spacing w:line="269" w:lineRule="auto"/>
        <w:ind w:left="340"/>
        <w:rPr>
          <w:rtl/>
        </w:rPr>
      </w:pPr>
    </w:p>
    <w:p w:rsidR="009A1216" w:rsidRPr="00770E43" w:rsidRDefault="009A1216" w:rsidP="006E7248">
      <w:pPr>
        <w:spacing w:line="269" w:lineRule="auto"/>
        <w:ind w:left="340"/>
        <w:rPr>
          <w:rtl/>
        </w:rPr>
      </w:pPr>
      <w:r w:rsidRPr="00770E43">
        <w:rPr>
          <w:rFonts w:hint="cs"/>
          <w:rtl/>
        </w:rPr>
        <w:t xml:space="preserve">המשטרה נוהגת להשתמש בצו חריג א' החל בשנת 2011 לכל המאוחר, ובצו חריג ב' החל בשנת 2016 לכל המאוחר. </w:t>
      </w:r>
    </w:p>
    <w:p w:rsidR="009A1216" w:rsidRDefault="009A1216" w:rsidP="006E7248">
      <w:pPr>
        <w:pStyle w:val="a5"/>
        <w:spacing w:line="269" w:lineRule="auto"/>
        <w:ind w:left="0"/>
        <w:rPr>
          <w:b/>
          <w:bCs/>
          <w:rtl/>
        </w:rPr>
      </w:pPr>
    </w:p>
    <w:p w:rsidR="009A1216" w:rsidRDefault="009A1216" w:rsidP="006E7248">
      <w:pPr>
        <w:spacing w:line="269" w:lineRule="auto"/>
        <w:ind w:left="340"/>
        <w:rPr>
          <w:b/>
          <w:bCs/>
          <w:rtl/>
        </w:rPr>
      </w:pPr>
      <w:r>
        <w:rPr>
          <w:rFonts w:hint="cs"/>
          <w:rtl/>
        </w:rPr>
        <w:t>יצוין כי במסגרת הדיווחים על אודות האזנות סתר ליועמ"ש לממשלה המשטרה פירטה על השימוש בצווים החריגים ללא פירוט סוג הצו החריג (צו חריג א' או ב').</w:t>
      </w:r>
      <w:r>
        <w:rPr>
          <w:rFonts w:hint="cs"/>
          <w:b/>
          <w:bCs/>
          <w:rtl/>
        </w:rPr>
        <w:t xml:space="preserve"> </w:t>
      </w:r>
    </w:p>
    <w:p w:rsidR="009A1216" w:rsidRDefault="009A1216" w:rsidP="006E7248">
      <w:pPr>
        <w:pStyle w:val="a5"/>
        <w:spacing w:line="269" w:lineRule="auto"/>
        <w:ind w:left="0"/>
        <w:rPr>
          <w:b/>
          <w:bCs/>
          <w:rtl/>
        </w:rPr>
      </w:pPr>
      <w:r>
        <w:rPr>
          <w:rFonts w:hint="cs"/>
          <w:rtl/>
        </w:rPr>
        <w:t xml:space="preserve"> </w:t>
      </w:r>
      <w:r w:rsidR="00382AE8">
        <w:rPr>
          <w:rFonts w:hint="cs"/>
          <w:rtl/>
        </w:rPr>
        <w:t xml:space="preserve"> </w:t>
      </w:r>
    </w:p>
    <w:p w:rsidR="009A1216" w:rsidRPr="0072663A" w:rsidRDefault="009A1216" w:rsidP="006E7248">
      <w:pPr>
        <w:spacing w:line="269" w:lineRule="auto"/>
        <w:ind w:left="340"/>
        <w:rPr>
          <w:rtl/>
        </w:rPr>
      </w:pPr>
      <w:r w:rsidRPr="0072663A">
        <w:rPr>
          <w:rFonts w:hint="eastAsia"/>
          <w:rtl/>
        </w:rPr>
        <w:t>משרד</w:t>
      </w:r>
      <w:r w:rsidRPr="0072663A">
        <w:rPr>
          <w:rtl/>
        </w:rPr>
        <w:t xml:space="preserve"> המשפטים מסר</w:t>
      </w:r>
      <w:r w:rsidRPr="0072663A">
        <w:rPr>
          <w:rFonts w:hint="cs"/>
          <w:rtl/>
        </w:rPr>
        <w:t xml:space="preserve"> </w:t>
      </w:r>
      <w:r w:rsidRPr="0072663A">
        <w:rPr>
          <w:rtl/>
        </w:rPr>
        <w:t xml:space="preserve">כי בעקבות עבודת צוות מררי דיווחי האזנות הסתר </w:t>
      </w:r>
      <w:r w:rsidRPr="0072663A">
        <w:rPr>
          <w:rFonts w:hint="cs"/>
          <w:rtl/>
        </w:rPr>
        <w:t>שמגישה</w:t>
      </w:r>
      <w:r w:rsidRPr="0072663A">
        <w:rPr>
          <w:rtl/>
        </w:rPr>
        <w:t xml:space="preserve"> המשטרה </w:t>
      </w:r>
      <w:r>
        <w:rPr>
          <w:rFonts w:hint="cs"/>
          <w:rtl/>
        </w:rPr>
        <w:t>לייעוץ המשפטי לממשלה</w:t>
      </w:r>
      <w:r w:rsidRPr="0072663A">
        <w:rPr>
          <w:rtl/>
        </w:rPr>
        <w:t xml:space="preserve"> </w:t>
      </w:r>
      <w:r w:rsidRPr="0072663A">
        <w:rPr>
          <w:rFonts w:hint="eastAsia"/>
          <w:rtl/>
        </w:rPr>
        <w:t>עודכנו</w:t>
      </w:r>
      <w:r w:rsidRPr="0072663A">
        <w:rPr>
          <w:rtl/>
        </w:rPr>
        <w:t xml:space="preserve"> </w:t>
      </w:r>
      <w:r w:rsidRPr="0072663A">
        <w:rPr>
          <w:rFonts w:hint="cs"/>
          <w:rtl/>
        </w:rPr>
        <w:t>ו</w:t>
      </w:r>
      <w:r w:rsidRPr="0072663A">
        <w:rPr>
          <w:rtl/>
        </w:rPr>
        <w:t>בדיווחים מצוין במפורש אימתי הוצא צו</w:t>
      </w:r>
      <w:r w:rsidRPr="0072663A">
        <w:rPr>
          <w:rFonts w:hint="cs"/>
          <w:rtl/>
        </w:rPr>
        <w:t xml:space="preserve"> חריג ב'</w:t>
      </w:r>
      <w:r w:rsidRPr="0072663A">
        <w:rPr>
          <w:rtl/>
        </w:rPr>
        <w:t xml:space="preserve">. </w:t>
      </w:r>
      <w:r w:rsidRPr="0072663A">
        <w:rPr>
          <w:rFonts w:hint="eastAsia"/>
          <w:rtl/>
        </w:rPr>
        <w:t>במאי</w:t>
      </w:r>
      <w:r w:rsidRPr="0072663A">
        <w:rPr>
          <w:rtl/>
        </w:rPr>
        <w:t xml:space="preserve"> 2023 ביקש משרד המשפטים כי בנוגע ל</w:t>
      </w:r>
      <w:r w:rsidRPr="0072663A">
        <w:rPr>
          <w:rFonts w:hint="eastAsia"/>
          <w:rtl/>
        </w:rPr>
        <w:t>צו</w:t>
      </w:r>
      <w:r w:rsidRPr="0072663A">
        <w:rPr>
          <w:rtl/>
        </w:rPr>
        <w:t xml:space="preserve"> </w:t>
      </w:r>
      <w:r w:rsidRPr="0072663A">
        <w:rPr>
          <w:rFonts w:hint="eastAsia"/>
          <w:rtl/>
        </w:rPr>
        <w:t>חריג</w:t>
      </w:r>
      <w:r w:rsidRPr="0072663A">
        <w:rPr>
          <w:rtl/>
        </w:rPr>
        <w:t xml:space="preserve"> </w:t>
      </w:r>
      <w:r w:rsidRPr="0072663A">
        <w:rPr>
          <w:rFonts w:hint="eastAsia"/>
          <w:rtl/>
        </w:rPr>
        <w:t>ב</w:t>
      </w:r>
      <w:r w:rsidRPr="0072663A">
        <w:rPr>
          <w:rtl/>
        </w:rPr>
        <w:t xml:space="preserve">', המשטרה תעביר בגוף הדיווח </w:t>
      </w:r>
      <w:r w:rsidRPr="0072663A">
        <w:rPr>
          <w:rFonts w:hint="eastAsia"/>
          <w:rtl/>
        </w:rPr>
        <w:t>התייחסות</w:t>
      </w:r>
      <w:r w:rsidRPr="0072663A">
        <w:rPr>
          <w:rtl/>
        </w:rPr>
        <w:t xml:space="preserve"> </w:t>
      </w:r>
      <w:r w:rsidRPr="0072663A">
        <w:rPr>
          <w:rFonts w:hint="eastAsia"/>
          <w:rtl/>
        </w:rPr>
        <w:t>מפורטת</w:t>
      </w:r>
      <w:r w:rsidRPr="0072663A">
        <w:rPr>
          <w:rtl/>
        </w:rPr>
        <w:t xml:space="preserve"> </w:t>
      </w:r>
      <w:r w:rsidRPr="0072663A">
        <w:rPr>
          <w:rFonts w:hint="eastAsia"/>
          <w:rtl/>
        </w:rPr>
        <w:t>על</w:t>
      </w:r>
      <w:r w:rsidRPr="0072663A">
        <w:rPr>
          <w:rtl/>
        </w:rPr>
        <w:t xml:space="preserve"> הצור</w:t>
      </w:r>
      <w:r w:rsidRPr="0072663A">
        <w:rPr>
          <w:rFonts w:hint="eastAsia"/>
          <w:rtl/>
        </w:rPr>
        <w:t>ך</w:t>
      </w:r>
      <w:r w:rsidRPr="0072663A">
        <w:rPr>
          <w:rtl/>
        </w:rPr>
        <w:t xml:space="preserve"> שעמד בבסיס הבקשה</w:t>
      </w:r>
      <w:r>
        <w:rPr>
          <w:rFonts w:hint="cs"/>
          <w:rtl/>
        </w:rPr>
        <w:t>.</w:t>
      </w:r>
    </w:p>
    <w:p w:rsidR="00504CA5" w:rsidRPr="00770E43" w:rsidRDefault="00504CA5" w:rsidP="006E7248">
      <w:pPr>
        <w:spacing w:line="269" w:lineRule="auto"/>
        <w:ind w:left="340"/>
        <w:rPr>
          <w:rtl/>
        </w:rPr>
      </w:pPr>
    </w:p>
    <w:p w:rsidR="009A1216" w:rsidRPr="00770E43" w:rsidRDefault="009A1216" w:rsidP="006E7248">
      <w:pPr>
        <w:spacing w:line="269" w:lineRule="auto"/>
        <w:ind w:left="340"/>
        <w:rPr>
          <w:b/>
          <w:bCs/>
          <w:rtl/>
        </w:rPr>
      </w:pPr>
      <w:r w:rsidRPr="00770E43">
        <w:rPr>
          <w:rFonts w:hint="cs"/>
          <w:b/>
          <w:bCs/>
          <w:rtl/>
        </w:rPr>
        <w:t xml:space="preserve">ביקורת משרד מבקר המדינה העלתה כי </w:t>
      </w:r>
      <w:bookmarkStart w:id="333" w:name="_Hlk147907793"/>
      <w:r w:rsidRPr="00770E43">
        <w:rPr>
          <w:rFonts w:hint="cs"/>
          <w:b/>
          <w:bCs/>
          <w:rtl/>
        </w:rPr>
        <w:t xml:space="preserve">המשטרה </w:t>
      </w:r>
      <w:r w:rsidR="00045ECB" w:rsidRPr="00770E43">
        <w:rPr>
          <w:rFonts w:hint="cs"/>
          <w:b/>
          <w:bCs/>
          <w:rtl/>
        </w:rPr>
        <w:t xml:space="preserve">עשתה </w:t>
      </w:r>
      <w:r w:rsidRPr="00770E43">
        <w:rPr>
          <w:rFonts w:hint="cs"/>
          <w:b/>
          <w:bCs/>
          <w:rtl/>
        </w:rPr>
        <w:t xml:space="preserve">שימוש נרחב בצווים חריגים שבהם הבקשות אינן כוללות פרטים מלאים על אודות יעדי ההאזנה, עד כי השימוש בצווים הללו הפך מחריג לשגרתי. </w:t>
      </w:r>
    </w:p>
    <w:bookmarkEnd w:id="333"/>
    <w:p w:rsidR="00504CA5" w:rsidRPr="00770E43" w:rsidRDefault="00504CA5" w:rsidP="006E7248">
      <w:pPr>
        <w:spacing w:line="269" w:lineRule="auto"/>
        <w:ind w:left="340"/>
        <w:rPr>
          <w:rtl/>
        </w:rPr>
      </w:pPr>
    </w:p>
    <w:p w:rsidR="009A1216" w:rsidRPr="00770E43" w:rsidRDefault="009A1216" w:rsidP="006E7248">
      <w:pPr>
        <w:spacing w:line="269" w:lineRule="auto"/>
        <w:ind w:left="340"/>
        <w:rPr>
          <w:b/>
          <w:bCs/>
          <w:sz w:val="24"/>
          <w:rtl/>
        </w:rPr>
      </w:pPr>
      <w:r w:rsidRPr="00770E43">
        <w:rPr>
          <w:rFonts w:hint="eastAsia"/>
          <w:b/>
          <w:bCs/>
          <w:rtl/>
        </w:rPr>
        <w:t>מתוך</w:t>
      </w:r>
      <w:r w:rsidRPr="00770E43">
        <w:rPr>
          <w:b/>
          <w:bCs/>
          <w:rtl/>
        </w:rPr>
        <w:t xml:space="preserve"> 14,284 צווים שהמשטרה הכינה בשנים 2019 -2021 בכ-6,000 צווים היא ביקשה להוציא צו חריג א' (כ-42%) ובכ-300 צווים היא ביקשה להוציא צו חריג ב' (כ-2%). </w:t>
      </w:r>
      <w:r w:rsidRPr="00770E43">
        <w:rPr>
          <w:rFonts w:hint="eastAsia"/>
          <w:b/>
          <w:bCs/>
          <w:rtl/>
        </w:rPr>
        <w:t>אמנם</w:t>
      </w:r>
      <w:r w:rsidRPr="00770E43">
        <w:rPr>
          <w:b/>
          <w:bCs/>
          <w:rtl/>
        </w:rPr>
        <w:t xml:space="preserve"> </w:t>
      </w:r>
      <w:r w:rsidRPr="00770E43">
        <w:rPr>
          <w:rFonts w:hint="eastAsia"/>
          <w:b/>
          <w:bCs/>
          <w:rtl/>
        </w:rPr>
        <w:t>שיעור</w:t>
      </w:r>
      <w:r w:rsidRPr="00770E43">
        <w:rPr>
          <w:b/>
          <w:bCs/>
          <w:rtl/>
        </w:rPr>
        <w:t xml:space="preserve"> </w:t>
      </w:r>
      <w:r w:rsidRPr="00770E43">
        <w:rPr>
          <w:rFonts w:hint="eastAsia"/>
          <w:b/>
          <w:bCs/>
          <w:rtl/>
        </w:rPr>
        <w:t>צו</w:t>
      </w:r>
      <w:r w:rsidRPr="00770E43">
        <w:rPr>
          <w:b/>
          <w:bCs/>
          <w:rtl/>
        </w:rPr>
        <w:t xml:space="preserve"> </w:t>
      </w:r>
      <w:r w:rsidRPr="00770E43">
        <w:rPr>
          <w:rFonts w:hint="eastAsia"/>
          <w:b/>
          <w:bCs/>
          <w:rtl/>
        </w:rPr>
        <w:t>חריג</w:t>
      </w:r>
      <w:r w:rsidRPr="00770E43">
        <w:rPr>
          <w:b/>
          <w:bCs/>
          <w:rtl/>
        </w:rPr>
        <w:t xml:space="preserve"> </w:t>
      </w:r>
      <w:r w:rsidRPr="00770E43">
        <w:rPr>
          <w:rFonts w:hint="eastAsia"/>
          <w:b/>
          <w:bCs/>
          <w:rtl/>
        </w:rPr>
        <w:t>ב</w:t>
      </w:r>
      <w:r w:rsidRPr="00770E43">
        <w:rPr>
          <w:b/>
          <w:bCs/>
          <w:rtl/>
        </w:rPr>
        <w:t xml:space="preserve">' </w:t>
      </w:r>
      <w:r w:rsidRPr="00770E43">
        <w:rPr>
          <w:rFonts w:hint="eastAsia"/>
          <w:b/>
          <w:bCs/>
          <w:rtl/>
        </w:rPr>
        <w:t>הוא</w:t>
      </w:r>
      <w:r w:rsidRPr="00770E43">
        <w:rPr>
          <w:b/>
          <w:bCs/>
          <w:rtl/>
        </w:rPr>
        <w:t xml:space="preserve"> 2% </w:t>
      </w:r>
      <w:r w:rsidRPr="00770E43">
        <w:rPr>
          <w:rFonts w:hint="eastAsia"/>
          <w:b/>
          <w:bCs/>
          <w:rtl/>
        </w:rPr>
        <w:t>מתוך</w:t>
      </w:r>
      <w:r w:rsidRPr="00770E43">
        <w:rPr>
          <w:b/>
          <w:bCs/>
          <w:rtl/>
        </w:rPr>
        <w:t xml:space="preserve"> </w:t>
      </w:r>
      <w:r w:rsidRPr="00770E43">
        <w:rPr>
          <w:rFonts w:hint="eastAsia"/>
          <w:b/>
          <w:bCs/>
          <w:rtl/>
        </w:rPr>
        <w:t>סך</w:t>
      </w:r>
      <w:r w:rsidRPr="00770E43">
        <w:rPr>
          <w:b/>
          <w:bCs/>
          <w:rtl/>
        </w:rPr>
        <w:t xml:space="preserve"> </w:t>
      </w:r>
      <w:r w:rsidRPr="00770E43">
        <w:rPr>
          <w:rFonts w:hint="eastAsia"/>
          <w:b/>
          <w:bCs/>
          <w:rtl/>
        </w:rPr>
        <w:t>הצווים</w:t>
      </w:r>
      <w:r w:rsidRPr="00770E43">
        <w:rPr>
          <w:b/>
          <w:bCs/>
          <w:rtl/>
        </w:rPr>
        <w:t xml:space="preserve">, </w:t>
      </w:r>
      <w:r w:rsidRPr="00770E43">
        <w:rPr>
          <w:rFonts w:hint="eastAsia"/>
          <w:b/>
          <w:bCs/>
          <w:rtl/>
        </w:rPr>
        <w:t>אך</w:t>
      </w:r>
      <w:r w:rsidRPr="00770E43">
        <w:rPr>
          <w:b/>
          <w:bCs/>
          <w:rtl/>
        </w:rPr>
        <w:t xml:space="preserve"> </w:t>
      </w:r>
      <w:r w:rsidRPr="00770E43">
        <w:rPr>
          <w:rFonts w:hint="eastAsia"/>
          <w:b/>
          <w:bCs/>
          <w:rtl/>
        </w:rPr>
        <w:t>מדובר</w:t>
      </w:r>
      <w:r w:rsidRPr="00770E43">
        <w:rPr>
          <w:b/>
          <w:bCs/>
          <w:rtl/>
        </w:rPr>
        <w:t xml:space="preserve"> </w:t>
      </w:r>
      <w:r w:rsidRPr="00770E43">
        <w:rPr>
          <w:rFonts w:hint="eastAsia"/>
          <w:b/>
          <w:bCs/>
          <w:rtl/>
        </w:rPr>
        <w:t>בצו</w:t>
      </w:r>
      <w:r w:rsidRPr="00770E43">
        <w:rPr>
          <w:b/>
          <w:bCs/>
          <w:rtl/>
        </w:rPr>
        <w:t xml:space="preserve"> </w:t>
      </w:r>
      <w:r w:rsidRPr="00770E43">
        <w:rPr>
          <w:rFonts w:hint="eastAsia"/>
          <w:b/>
          <w:bCs/>
          <w:rtl/>
        </w:rPr>
        <w:t>פוגעני</w:t>
      </w:r>
      <w:r w:rsidRPr="00770E43">
        <w:rPr>
          <w:b/>
          <w:bCs/>
          <w:rtl/>
        </w:rPr>
        <w:t xml:space="preserve"> </w:t>
      </w:r>
      <w:r w:rsidRPr="00770E43">
        <w:rPr>
          <w:rFonts w:hint="eastAsia"/>
          <w:b/>
          <w:bCs/>
          <w:rtl/>
        </w:rPr>
        <w:t>המחייב</w:t>
      </w:r>
      <w:r w:rsidRPr="00770E43">
        <w:rPr>
          <w:b/>
          <w:bCs/>
          <w:rtl/>
        </w:rPr>
        <w:t xml:space="preserve"> </w:t>
      </w:r>
      <w:r w:rsidRPr="00770E43">
        <w:rPr>
          <w:rFonts w:hint="eastAsia"/>
          <w:b/>
          <w:bCs/>
          <w:rtl/>
        </w:rPr>
        <w:t>שימוש</w:t>
      </w:r>
      <w:r w:rsidRPr="00770E43">
        <w:rPr>
          <w:b/>
          <w:bCs/>
          <w:rtl/>
        </w:rPr>
        <w:t xml:space="preserve"> </w:t>
      </w:r>
      <w:r w:rsidRPr="00770E43">
        <w:rPr>
          <w:rFonts w:hint="eastAsia"/>
          <w:b/>
          <w:bCs/>
          <w:rtl/>
        </w:rPr>
        <w:t>מידתי</w:t>
      </w:r>
      <w:r w:rsidRPr="00770E43">
        <w:rPr>
          <w:b/>
          <w:bCs/>
          <w:rtl/>
        </w:rPr>
        <w:t xml:space="preserve"> </w:t>
      </w:r>
      <w:r w:rsidRPr="00770E43">
        <w:rPr>
          <w:rFonts w:hint="eastAsia"/>
          <w:b/>
          <w:bCs/>
          <w:rtl/>
        </w:rPr>
        <w:t>וסביר</w:t>
      </w:r>
      <w:r w:rsidRPr="00770E43">
        <w:rPr>
          <w:b/>
          <w:bCs/>
          <w:rtl/>
        </w:rPr>
        <w:t xml:space="preserve">. </w:t>
      </w:r>
      <w:r w:rsidRPr="00770E43">
        <w:rPr>
          <w:rFonts w:hint="eastAsia"/>
          <w:b/>
          <w:bCs/>
          <w:rtl/>
        </w:rPr>
        <w:t>בסך</w:t>
      </w:r>
      <w:r w:rsidRPr="00770E43">
        <w:rPr>
          <w:b/>
          <w:bCs/>
          <w:rtl/>
        </w:rPr>
        <w:t xml:space="preserve"> </w:t>
      </w:r>
      <w:r w:rsidRPr="00770E43">
        <w:rPr>
          <w:rFonts w:hint="eastAsia"/>
          <w:b/>
          <w:bCs/>
          <w:rtl/>
        </w:rPr>
        <w:t>הכול</w:t>
      </w:r>
      <w:r w:rsidRPr="00770E43">
        <w:rPr>
          <w:b/>
          <w:bCs/>
          <w:rtl/>
        </w:rPr>
        <w:t xml:space="preserve">, 43% </w:t>
      </w:r>
      <w:r w:rsidRPr="00770E43">
        <w:rPr>
          <w:rFonts w:hint="eastAsia"/>
          <w:b/>
          <w:bCs/>
          <w:rtl/>
        </w:rPr>
        <w:t>מכלל</w:t>
      </w:r>
      <w:r w:rsidRPr="00770E43">
        <w:rPr>
          <w:b/>
          <w:bCs/>
          <w:rtl/>
        </w:rPr>
        <w:t xml:space="preserve"> </w:t>
      </w:r>
      <w:r w:rsidRPr="00770E43">
        <w:rPr>
          <w:rFonts w:hint="eastAsia"/>
          <w:b/>
          <w:bCs/>
          <w:rtl/>
        </w:rPr>
        <w:t>הבקשות</w:t>
      </w:r>
      <w:r w:rsidRPr="00770E43">
        <w:rPr>
          <w:b/>
          <w:bCs/>
          <w:rtl/>
        </w:rPr>
        <w:t xml:space="preserve"> </w:t>
      </w:r>
      <w:r w:rsidRPr="00770E43">
        <w:rPr>
          <w:rFonts w:hint="eastAsia"/>
          <w:b/>
          <w:bCs/>
          <w:rtl/>
        </w:rPr>
        <w:t>שהוכנו</w:t>
      </w:r>
      <w:r w:rsidRPr="00770E43">
        <w:rPr>
          <w:b/>
          <w:bCs/>
          <w:rtl/>
        </w:rPr>
        <w:t xml:space="preserve"> </w:t>
      </w:r>
      <w:r w:rsidRPr="00770E43">
        <w:rPr>
          <w:rFonts w:hint="eastAsia"/>
          <w:b/>
          <w:bCs/>
          <w:rtl/>
        </w:rPr>
        <w:t>הן</w:t>
      </w:r>
      <w:r w:rsidRPr="00770E43">
        <w:rPr>
          <w:b/>
          <w:bCs/>
          <w:rtl/>
        </w:rPr>
        <w:t xml:space="preserve"> </w:t>
      </w:r>
      <w:r w:rsidRPr="00770E43">
        <w:rPr>
          <w:rFonts w:hint="eastAsia"/>
          <w:b/>
          <w:bCs/>
          <w:rtl/>
        </w:rPr>
        <w:t>בקשות</w:t>
      </w:r>
      <w:r w:rsidRPr="00770E43">
        <w:rPr>
          <w:b/>
          <w:bCs/>
          <w:rtl/>
        </w:rPr>
        <w:t xml:space="preserve"> </w:t>
      </w:r>
      <w:r w:rsidRPr="00770E43">
        <w:rPr>
          <w:rFonts w:hint="eastAsia"/>
          <w:b/>
          <w:bCs/>
          <w:rtl/>
        </w:rPr>
        <w:t>להוצאת</w:t>
      </w:r>
      <w:r w:rsidRPr="00770E43">
        <w:rPr>
          <w:b/>
          <w:bCs/>
          <w:rtl/>
        </w:rPr>
        <w:t xml:space="preserve"> </w:t>
      </w:r>
      <w:r w:rsidRPr="00770E43">
        <w:rPr>
          <w:rFonts w:hint="eastAsia"/>
          <w:b/>
          <w:bCs/>
          <w:rtl/>
        </w:rPr>
        <w:t>צווים</w:t>
      </w:r>
      <w:r w:rsidRPr="00770E43">
        <w:rPr>
          <w:b/>
          <w:bCs/>
          <w:rtl/>
        </w:rPr>
        <w:t xml:space="preserve"> </w:t>
      </w:r>
      <w:r w:rsidRPr="00770E43">
        <w:rPr>
          <w:rFonts w:hint="eastAsia"/>
          <w:b/>
          <w:bCs/>
          <w:rtl/>
        </w:rPr>
        <w:t>חריגים</w:t>
      </w:r>
      <w:r w:rsidRPr="00770E43">
        <w:rPr>
          <w:b/>
          <w:bCs/>
          <w:rtl/>
        </w:rPr>
        <w:t xml:space="preserve">. </w:t>
      </w:r>
      <w:r w:rsidRPr="00770E43">
        <w:rPr>
          <w:rFonts w:hint="eastAsia"/>
          <w:b/>
          <w:bCs/>
          <w:rtl/>
        </w:rPr>
        <w:t>שיעור</w:t>
      </w:r>
      <w:r w:rsidRPr="00770E43">
        <w:rPr>
          <w:b/>
          <w:bCs/>
          <w:rtl/>
        </w:rPr>
        <w:t xml:space="preserve"> </w:t>
      </w:r>
      <w:r w:rsidRPr="00770E43">
        <w:rPr>
          <w:rFonts w:hint="eastAsia"/>
          <w:b/>
          <w:bCs/>
          <w:rtl/>
        </w:rPr>
        <w:t>הבקשות</w:t>
      </w:r>
      <w:r w:rsidRPr="00770E43">
        <w:rPr>
          <w:b/>
          <w:bCs/>
          <w:rtl/>
        </w:rPr>
        <w:t xml:space="preserve"> </w:t>
      </w:r>
      <w:r w:rsidRPr="00770E43">
        <w:rPr>
          <w:rFonts w:hint="eastAsia"/>
          <w:b/>
          <w:bCs/>
          <w:rtl/>
        </w:rPr>
        <w:t>שמומשו</w:t>
      </w:r>
      <w:r w:rsidRPr="00770E43">
        <w:rPr>
          <w:b/>
          <w:bCs/>
          <w:rtl/>
        </w:rPr>
        <w:t xml:space="preserve"> </w:t>
      </w:r>
      <w:r w:rsidRPr="00770E43">
        <w:rPr>
          <w:rFonts w:hint="eastAsia"/>
          <w:b/>
          <w:bCs/>
          <w:rtl/>
        </w:rPr>
        <w:t>בפועל</w:t>
      </w:r>
      <w:bookmarkStart w:id="334" w:name="_Hlk139789603"/>
      <w:r w:rsidRPr="00770E43">
        <w:rPr>
          <w:b/>
          <w:bCs/>
          <w:rtl/>
        </w:rPr>
        <w:t xml:space="preserve"> הוא דומה</w:t>
      </w:r>
      <w:r w:rsidRPr="00770E43">
        <w:rPr>
          <w:b/>
          <w:bCs/>
          <w:sz w:val="24"/>
          <w:rtl/>
        </w:rPr>
        <w:t>.</w:t>
      </w:r>
    </w:p>
    <w:p w:rsidR="00504CA5" w:rsidRPr="00770E43" w:rsidRDefault="00504CA5" w:rsidP="006E7248">
      <w:pPr>
        <w:spacing w:line="269" w:lineRule="auto"/>
        <w:ind w:left="340"/>
        <w:rPr>
          <w:rtl/>
        </w:rPr>
      </w:pPr>
      <w:bookmarkStart w:id="335" w:name="_Hlk147907851"/>
      <w:bookmarkEnd w:id="334"/>
    </w:p>
    <w:p w:rsidR="009A1216" w:rsidRPr="00770E43" w:rsidRDefault="009A1216" w:rsidP="006E7248">
      <w:pPr>
        <w:spacing w:line="269" w:lineRule="auto"/>
        <w:ind w:left="340"/>
        <w:rPr>
          <w:b/>
          <w:bCs/>
          <w:rtl/>
        </w:rPr>
      </w:pPr>
      <w:r w:rsidRPr="00770E43">
        <w:rPr>
          <w:rFonts w:hint="cs"/>
          <w:b/>
          <w:bCs/>
          <w:rtl/>
        </w:rPr>
        <w:t xml:space="preserve">עוד העלתה הביקורת כי שיעור הצווים החריגים שהוציאה המשטרה לצורך האזנה לתקשורת בין מחשבים (89% מתוך כלל הצווים להאזנה לתקשורת בין מחשבים) גדול פי שניים משיעורם של צווים חריגים להאזנת סתר לשמע (39% מתוך כלל הצווים להאזנה לשמע). </w:t>
      </w:r>
      <w:bookmarkStart w:id="336" w:name="_Hlk187841212"/>
      <w:r w:rsidRPr="00770E43">
        <w:rPr>
          <w:rFonts w:hint="cs"/>
          <w:b/>
          <w:bCs/>
          <w:rtl/>
        </w:rPr>
        <w:t xml:space="preserve">שימוש בצווים חריגים מקנה גמישות מבצעית למשטרה מחד גיסא, ולפגיעה משמעותית יותר ביעדי ההאזנה לנוכח היקף המידע וסוג המידע שניתן לאסוף לגביהם מאידך גיסא. </w:t>
      </w:r>
      <w:bookmarkEnd w:id="335"/>
      <w:bookmarkEnd w:id="336"/>
    </w:p>
    <w:p w:rsidR="009A1216" w:rsidRDefault="009A1216" w:rsidP="006E7248">
      <w:pPr>
        <w:pStyle w:val="a5"/>
        <w:spacing w:line="269" w:lineRule="auto"/>
        <w:ind w:left="0"/>
        <w:rPr>
          <w:b/>
          <w:bCs/>
          <w:rtl/>
        </w:rPr>
      </w:pPr>
      <w:r w:rsidDel="00327BC9">
        <w:rPr>
          <w:rtl/>
        </w:rPr>
        <w:t xml:space="preserve"> </w:t>
      </w:r>
    </w:p>
    <w:p w:rsidR="009A1216" w:rsidRDefault="009A1216" w:rsidP="006E7248">
      <w:pPr>
        <w:spacing w:line="269" w:lineRule="auto"/>
        <w:ind w:left="340"/>
        <w:rPr>
          <w:rtl/>
        </w:rPr>
      </w:pPr>
      <w:r w:rsidRPr="007704F4">
        <w:rPr>
          <w:rFonts w:hint="cs"/>
          <w:rtl/>
        </w:rPr>
        <w:t xml:space="preserve">המשטרה מסרה בתשובתה כי </w:t>
      </w:r>
      <w:r>
        <w:rPr>
          <w:rFonts w:hint="cs"/>
          <w:rtl/>
        </w:rPr>
        <w:t>שינויים</w:t>
      </w:r>
      <w:r w:rsidR="00382AE8">
        <w:rPr>
          <w:rFonts w:hint="cs"/>
          <w:rtl/>
        </w:rPr>
        <w:t xml:space="preserve"> </w:t>
      </w:r>
      <w:r>
        <w:rPr>
          <w:rFonts w:hint="cs"/>
          <w:rtl/>
        </w:rPr>
        <w:t xml:space="preserve">בשנים האחרונות </w:t>
      </w:r>
      <w:r w:rsidRPr="006112F3">
        <w:rPr>
          <w:rFonts w:hint="cs"/>
          <w:rtl/>
        </w:rPr>
        <w:t>חייב</w:t>
      </w:r>
      <w:r>
        <w:rPr>
          <w:rFonts w:hint="cs"/>
          <w:rtl/>
        </w:rPr>
        <w:t>ו</w:t>
      </w:r>
      <w:r w:rsidRPr="006112F3">
        <w:rPr>
          <w:rFonts w:hint="cs"/>
          <w:rtl/>
        </w:rPr>
        <w:t xml:space="preserve"> את המשטרה לעדכן כל העת את יכולותיה המבצעיות, שאם לא כן המשטרה לא יכולה הי</w:t>
      </w:r>
      <w:r>
        <w:rPr>
          <w:rFonts w:hint="cs"/>
          <w:rtl/>
        </w:rPr>
        <w:t>י</w:t>
      </w:r>
      <w:r w:rsidRPr="006112F3">
        <w:rPr>
          <w:rFonts w:hint="cs"/>
          <w:rtl/>
        </w:rPr>
        <w:t>תה לממש את אחריותה</w:t>
      </w:r>
      <w:r>
        <w:rPr>
          <w:rFonts w:hint="cs"/>
          <w:rtl/>
        </w:rPr>
        <w:t xml:space="preserve">. שינויים אלה הובילו לשינוי בשיעור הצווים שהיא מגישה מהסוגים הללו. עוד נמסר כי המשטרה רואה בהנחיות העבודה הקיימות מענה מספק להוצאת צו חריג א' וכי לאחר דוח צוות מררי הועברו הנחיות עבודה מפורטות ומעודכנות לאישור משרד המשפטים. </w:t>
      </w:r>
    </w:p>
    <w:p w:rsidR="009A1216" w:rsidRDefault="009A1216" w:rsidP="006E7248">
      <w:pPr>
        <w:pStyle w:val="a5"/>
        <w:spacing w:line="269" w:lineRule="auto"/>
        <w:ind w:left="0"/>
        <w:rPr>
          <w:b/>
          <w:bCs/>
          <w:rtl/>
        </w:rPr>
      </w:pPr>
    </w:p>
    <w:p w:rsidR="009A1216" w:rsidRPr="00F841D8" w:rsidRDefault="009A1216" w:rsidP="006E7248">
      <w:pPr>
        <w:spacing w:line="269" w:lineRule="auto"/>
        <w:ind w:left="340"/>
        <w:rPr>
          <w:b/>
          <w:bCs/>
          <w:rtl/>
        </w:rPr>
      </w:pPr>
      <w:bookmarkStart w:id="337" w:name="_Hlk187841302"/>
      <w:r w:rsidRPr="00F841D8">
        <w:rPr>
          <w:rFonts w:hint="cs"/>
          <w:b/>
          <w:bCs/>
          <w:rtl/>
        </w:rPr>
        <w:t>בעקבות תשובת המשטרה, מבקר המדינה בחן את הנתונים מהמערכת לניהול צווים על אודות צו חריג א'. עלה כי מתוך כ-5,500 צווים מסוג חריג א' שמומשו בשנים 2019</w:t>
      </w:r>
      <w:r w:rsidR="00860904">
        <w:rPr>
          <w:rFonts w:hint="cs"/>
          <w:b/>
          <w:bCs/>
          <w:rtl/>
        </w:rPr>
        <w:t xml:space="preserve"> </w:t>
      </w:r>
      <w:r w:rsidRPr="00F841D8">
        <w:rPr>
          <w:rFonts w:hint="cs"/>
          <w:b/>
          <w:bCs/>
          <w:rtl/>
        </w:rPr>
        <w:t>-</w:t>
      </w:r>
      <w:r w:rsidR="00860904">
        <w:rPr>
          <w:rFonts w:hint="cs"/>
          <w:b/>
          <w:bCs/>
          <w:rtl/>
        </w:rPr>
        <w:t xml:space="preserve"> </w:t>
      </w:r>
      <w:r w:rsidRPr="00F841D8">
        <w:rPr>
          <w:rFonts w:hint="cs"/>
          <w:b/>
          <w:bCs/>
          <w:rtl/>
        </w:rPr>
        <w:t xml:space="preserve">2021, רק בכ-1,800 צווים (33%) המשטרה הוסיפה לאחר הוצאת הצו אמצעי האזנה חדשים שלא היו ידועים במועד הוצאת הצו. דהיינו, שיעור מימוש הצורך החריג להוספת אמצעים מואזנים ליעד האזנה הוא </w:t>
      </w:r>
      <w:r>
        <w:rPr>
          <w:rFonts w:hint="cs"/>
          <w:b/>
          <w:bCs/>
          <w:rtl/>
        </w:rPr>
        <w:t>קטן</w:t>
      </w:r>
      <w:r w:rsidRPr="00F841D8">
        <w:rPr>
          <w:rFonts w:hint="cs"/>
          <w:b/>
          <w:bCs/>
          <w:rtl/>
        </w:rPr>
        <w:t xml:space="preserve">. שיעור המימוש </w:t>
      </w:r>
      <w:r>
        <w:rPr>
          <w:rFonts w:hint="cs"/>
          <w:b/>
          <w:bCs/>
          <w:rtl/>
        </w:rPr>
        <w:t>הקטן</w:t>
      </w:r>
      <w:r w:rsidRPr="00F841D8">
        <w:rPr>
          <w:rFonts w:hint="cs"/>
          <w:b/>
          <w:bCs/>
          <w:rtl/>
        </w:rPr>
        <w:t xml:space="preserve"> אף מותיר בסימן שאלה את נחיצות הוצאת הצו החריג מלכתחילה ומדגיש את </w:t>
      </w:r>
      <w:r>
        <w:rPr>
          <w:rFonts w:hint="cs"/>
          <w:b/>
          <w:bCs/>
          <w:rtl/>
        </w:rPr>
        <w:t>היעדר הריסון</w:t>
      </w:r>
      <w:r w:rsidRPr="00F841D8">
        <w:rPr>
          <w:rFonts w:hint="cs"/>
          <w:b/>
          <w:bCs/>
          <w:rtl/>
        </w:rPr>
        <w:t xml:space="preserve"> העולה מהשימוש הנרחב של המשטרה בהוצאת צווים חריגים, ובפרט </w:t>
      </w:r>
      <w:r>
        <w:rPr>
          <w:rFonts w:hint="cs"/>
          <w:b/>
          <w:bCs/>
          <w:rtl/>
        </w:rPr>
        <w:t>ב</w:t>
      </w:r>
      <w:r w:rsidRPr="00F841D8">
        <w:rPr>
          <w:rFonts w:hint="cs"/>
          <w:b/>
          <w:bCs/>
          <w:rtl/>
        </w:rPr>
        <w:t>צו חריג א',</w:t>
      </w:r>
      <w:r w:rsidRPr="00F841D8">
        <w:rPr>
          <w:b/>
          <w:bCs/>
          <w:rtl/>
        </w:rPr>
        <w:t xml:space="preserve"> </w:t>
      </w:r>
      <w:r w:rsidRPr="00F841D8">
        <w:rPr>
          <w:rFonts w:hint="cs"/>
          <w:b/>
          <w:bCs/>
          <w:rtl/>
        </w:rPr>
        <w:t>והפיכתם משימוש</w:t>
      </w:r>
      <w:r w:rsidRPr="00F841D8">
        <w:rPr>
          <w:b/>
          <w:bCs/>
          <w:rtl/>
        </w:rPr>
        <w:t xml:space="preserve"> חריג לשגרתי</w:t>
      </w:r>
      <w:r w:rsidRPr="00F841D8">
        <w:rPr>
          <w:rFonts w:hint="cs"/>
          <w:b/>
          <w:bCs/>
          <w:rtl/>
        </w:rPr>
        <w:t>.</w:t>
      </w:r>
      <w:bookmarkEnd w:id="337"/>
    </w:p>
    <w:p w:rsidR="00504CA5" w:rsidRDefault="00504CA5" w:rsidP="006E7248">
      <w:pPr>
        <w:spacing w:line="269" w:lineRule="auto"/>
        <w:ind w:left="340"/>
        <w:rPr>
          <w:rStyle w:val="aff3"/>
          <w:rtl/>
        </w:rPr>
      </w:pPr>
    </w:p>
    <w:p w:rsidR="009A1216" w:rsidRDefault="009A1216" w:rsidP="006E7248">
      <w:pPr>
        <w:spacing w:line="269" w:lineRule="auto"/>
        <w:ind w:left="340"/>
        <w:rPr>
          <w:rStyle w:val="aff3"/>
          <w:szCs w:val="20"/>
          <w:rtl/>
        </w:rPr>
      </w:pPr>
      <w:r w:rsidRPr="004D639E">
        <w:rPr>
          <w:rStyle w:val="aff3"/>
          <w:rFonts w:hint="cs"/>
          <w:rtl/>
        </w:rPr>
        <w:t>בהתאם לעקרונות המשפט המ</w:t>
      </w:r>
      <w:r>
        <w:rPr>
          <w:rStyle w:val="aff3"/>
          <w:rFonts w:hint="cs"/>
          <w:rtl/>
        </w:rPr>
        <w:t>י</w:t>
      </w:r>
      <w:r w:rsidRPr="004D639E">
        <w:rPr>
          <w:rStyle w:val="aff3"/>
          <w:rFonts w:hint="cs"/>
          <w:rtl/>
        </w:rPr>
        <w:t>נהלי ו</w:t>
      </w:r>
      <w:r>
        <w:rPr>
          <w:rStyle w:val="aff3"/>
          <w:rFonts w:hint="cs"/>
          <w:rtl/>
        </w:rPr>
        <w:t>חוק האזנת סתר</w:t>
      </w:r>
      <w:r w:rsidRPr="004D639E">
        <w:rPr>
          <w:rStyle w:val="aff3"/>
          <w:rFonts w:hint="cs"/>
          <w:rtl/>
        </w:rPr>
        <w:t>, המשטרה נדרשת לפרט בבקשותיה את זהות יעד ההאזנה והאמצעי</w:t>
      </w:r>
      <w:r>
        <w:rPr>
          <w:rStyle w:val="aff3"/>
          <w:rFonts w:hint="cs"/>
          <w:rtl/>
        </w:rPr>
        <w:t xml:space="preserve"> המואזן</w:t>
      </w:r>
      <w:r w:rsidRPr="004D639E">
        <w:rPr>
          <w:rStyle w:val="aff3"/>
          <w:rFonts w:hint="cs"/>
          <w:rtl/>
        </w:rPr>
        <w:t>.</w:t>
      </w:r>
      <w:r>
        <w:rPr>
          <w:rFonts w:hint="cs"/>
          <w:b/>
          <w:bCs/>
          <w:rtl/>
        </w:rPr>
        <w:t xml:space="preserve"> </w:t>
      </w:r>
      <w:r w:rsidRPr="004D639E">
        <w:rPr>
          <w:rStyle w:val="aff3"/>
          <w:rFonts w:hint="cs"/>
          <w:rtl/>
        </w:rPr>
        <w:t xml:space="preserve">לנוכח </w:t>
      </w:r>
      <w:r>
        <w:rPr>
          <w:rStyle w:val="aff3"/>
          <w:rFonts w:hint="cs"/>
          <w:rtl/>
        </w:rPr>
        <w:t>ה</w:t>
      </w:r>
      <w:r w:rsidRPr="004D639E">
        <w:rPr>
          <w:rStyle w:val="aff3"/>
          <w:rFonts w:hint="cs"/>
          <w:rtl/>
        </w:rPr>
        <w:t xml:space="preserve">היקף </w:t>
      </w:r>
      <w:r>
        <w:rPr>
          <w:rStyle w:val="aff3"/>
          <w:rFonts w:hint="cs"/>
          <w:rtl/>
        </w:rPr>
        <w:t>ה</w:t>
      </w:r>
      <w:r w:rsidRPr="004D639E">
        <w:rPr>
          <w:rStyle w:val="aff3"/>
          <w:rFonts w:hint="cs"/>
          <w:rtl/>
        </w:rPr>
        <w:t xml:space="preserve">נרחב של </w:t>
      </w:r>
      <w:r>
        <w:rPr>
          <w:rStyle w:val="aff3"/>
          <w:rFonts w:hint="cs"/>
          <w:rtl/>
        </w:rPr>
        <w:t>הוצאת</w:t>
      </w:r>
      <w:r w:rsidRPr="004D639E">
        <w:rPr>
          <w:rStyle w:val="aff3"/>
          <w:rFonts w:hint="cs"/>
          <w:rtl/>
        </w:rPr>
        <w:t xml:space="preserve"> צווים חריגים</w:t>
      </w:r>
      <w:r>
        <w:rPr>
          <w:rFonts w:hint="cs"/>
          <w:b/>
          <w:bCs/>
          <w:rtl/>
        </w:rPr>
        <w:t xml:space="preserve"> </w:t>
      </w:r>
      <w:r w:rsidRPr="001B7ED5">
        <w:rPr>
          <w:rStyle w:val="aff1"/>
          <w:rFonts w:hint="cs"/>
          <w:i w:val="0"/>
          <w:iCs w:val="0"/>
          <w:rtl/>
        </w:rPr>
        <w:t>שהתבצע חרף הנחיות העבודה הקיימות,</w:t>
      </w:r>
      <w:r>
        <w:rPr>
          <w:rStyle w:val="aff3"/>
          <w:rFonts w:hint="cs"/>
          <w:rtl/>
        </w:rPr>
        <w:t xml:space="preserve"> מומלץ </w:t>
      </w:r>
      <w:r w:rsidRPr="004D639E">
        <w:rPr>
          <w:rStyle w:val="aff3"/>
          <w:rFonts w:hint="cs"/>
          <w:rtl/>
        </w:rPr>
        <w:t xml:space="preserve">כי </w:t>
      </w:r>
      <w:r>
        <w:rPr>
          <w:rStyle w:val="aff3"/>
          <w:rFonts w:hint="cs"/>
          <w:rtl/>
        </w:rPr>
        <w:t>המשטרה,</w:t>
      </w:r>
      <w:r w:rsidRPr="004D639E">
        <w:rPr>
          <w:rStyle w:val="aff3"/>
          <w:rFonts w:hint="cs"/>
          <w:rtl/>
        </w:rPr>
        <w:t xml:space="preserve"> </w:t>
      </w:r>
      <w:r>
        <w:rPr>
          <w:rStyle w:val="aff3"/>
          <w:rFonts w:hint="cs"/>
          <w:rtl/>
        </w:rPr>
        <w:t xml:space="preserve">בשיתוף הייעוץ המשפטי לממשלה במשרד המשפטים, תנסח תפיסת הפעלה הכוללת תבחינים ברורים למקרים המצדיקים שימוש בצווים חריגים אלו, לרבות ביסוס ההערכה המודיעינית שמצדיקה שימוש בצווים אלו. </w:t>
      </w:r>
    </w:p>
    <w:p w:rsidR="009A1216" w:rsidRPr="001B7ED5" w:rsidRDefault="009A1216" w:rsidP="006E7248">
      <w:pPr>
        <w:pStyle w:val="a5"/>
        <w:spacing w:line="269" w:lineRule="auto"/>
        <w:ind w:left="0"/>
        <w:rPr>
          <w:rtl/>
        </w:rPr>
      </w:pPr>
    </w:p>
    <w:p w:rsidR="009A1216" w:rsidRDefault="009A1216" w:rsidP="006E7248">
      <w:pPr>
        <w:spacing w:line="269" w:lineRule="auto"/>
        <w:ind w:left="340"/>
        <w:rPr>
          <w:rtl/>
        </w:rPr>
      </w:pPr>
      <w:r w:rsidRPr="00F841D8">
        <w:rPr>
          <w:rFonts w:hint="cs"/>
          <w:rtl/>
        </w:rPr>
        <w:t>משרד המשפטים</w:t>
      </w:r>
      <w:r w:rsidRPr="00F841D8">
        <w:rPr>
          <w:rtl/>
        </w:rPr>
        <w:t xml:space="preserve"> </w:t>
      </w:r>
      <w:r w:rsidRPr="00F841D8">
        <w:rPr>
          <w:rFonts w:hint="cs"/>
          <w:rtl/>
        </w:rPr>
        <w:t xml:space="preserve">מסר כי </w:t>
      </w:r>
      <w:r w:rsidRPr="00F841D8">
        <w:rPr>
          <w:rtl/>
        </w:rPr>
        <w:t>אינו מתנ</w:t>
      </w:r>
      <w:r w:rsidRPr="00F841D8">
        <w:rPr>
          <w:rFonts w:hint="eastAsia"/>
          <w:rtl/>
        </w:rPr>
        <w:t>גד</w:t>
      </w:r>
      <w:r w:rsidRPr="00F841D8">
        <w:rPr>
          <w:rtl/>
        </w:rPr>
        <w:t xml:space="preserve"> </w:t>
      </w:r>
      <w:r w:rsidRPr="00F841D8">
        <w:rPr>
          <w:rFonts w:hint="eastAsia"/>
          <w:rtl/>
        </w:rPr>
        <w:t>לכך</w:t>
      </w:r>
      <w:r w:rsidRPr="00F841D8">
        <w:rPr>
          <w:rtl/>
        </w:rPr>
        <w:t xml:space="preserve"> </w:t>
      </w:r>
      <w:r w:rsidRPr="00F841D8">
        <w:rPr>
          <w:rFonts w:hint="eastAsia"/>
          <w:rtl/>
        </w:rPr>
        <w:t>שאם</w:t>
      </w:r>
      <w:r w:rsidRPr="00F841D8">
        <w:rPr>
          <w:rtl/>
        </w:rPr>
        <w:t xml:space="preserve"> </w:t>
      </w:r>
      <w:r w:rsidRPr="00F841D8">
        <w:rPr>
          <w:rFonts w:hint="eastAsia"/>
          <w:rtl/>
        </w:rPr>
        <w:t>יועמ</w:t>
      </w:r>
      <w:r w:rsidRPr="00F841D8">
        <w:rPr>
          <w:rtl/>
        </w:rPr>
        <w:t xml:space="preserve">"ש </w:t>
      </w:r>
      <w:r w:rsidRPr="00F841D8">
        <w:rPr>
          <w:rFonts w:hint="eastAsia"/>
          <w:rtl/>
        </w:rPr>
        <w:t>המשטרה</w:t>
      </w:r>
      <w:r w:rsidRPr="00F841D8">
        <w:rPr>
          <w:rtl/>
        </w:rPr>
        <w:t xml:space="preserve"> </w:t>
      </w:r>
      <w:r w:rsidRPr="00F841D8">
        <w:rPr>
          <w:rFonts w:hint="eastAsia"/>
          <w:rtl/>
        </w:rPr>
        <w:t>ימצא</w:t>
      </w:r>
      <w:r w:rsidRPr="00F841D8">
        <w:rPr>
          <w:rtl/>
        </w:rPr>
        <w:t xml:space="preserve"> </w:t>
      </w:r>
      <w:r w:rsidRPr="00F841D8">
        <w:rPr>
          <w:rFonts w:hint="eastAsia"/>
          <w:rtl/>
        </w:rPr>
        <w:t>לנכון</w:t>
      </w:r>
      <w:r w:rsidRPr="00F841D8">
        <w:rPr>
          <w:rtl/>
        </w:rPr>
        <w:t xml:space="preserve"> </w:t>
      </w:r>
      <w:r w:rsidRPr="00F841D8">
        <w:rPr>
          <w:rFonts w:hint="eastAsia"/>
          <w:rtl/>
        </w:rPr>
        <w:t>לעדכן</w:t>
      </w:r>
      <w:r w:rsidRPr="00F841D8">
        <w:rPr>
          <w:rtl/>
        </w:rPr>
        <w:t xml:space="preserve"> </w:t>
      </w:r>
      <w:r w:rsidRPr="00F841D8">
        <w:rPr>
          <w:rFonts w:hint="eastAsia"/>
          <w:rtl/>
        </w:rPr>
        <w:t>את</w:t>
      </w:r>
      <w:r w:rsidRPr="00F841D8">
        <w:rPr>
          <w:rtl/>
        </w:rPr>
        <w:t xml:space="preserve"> </w:t>
      </w:r>
      <w:r w:rsidRPr="00F841D8">
        <w:rPr>
          <w:rFonts w:hint="eastAsia"/>
          <w:rtl/>
        </w:rPr>
        <w:t>תפיסת</w:t>
      </w:r>
      <w:r w:rsidRPr="00F841D8">
        <w:rPr>
          <w:rtl/>
        </w:rPr>
        <w:t xml:space="preserve"> </w:t>
      </w:r>
      <w:r w:rsidRPr="00F841D8">
        <w:rPr>
          <w:rFonts w:hint="eastAsia"/>
          <w:rtl/>
        </w:rPr>
        <w:t>ההפעלה</w:t>
      </w:r>
      <w:r w:rsidRPr="00F841D8">
        <w:rPr>
          <w:rtl/>
        </w:rPr>
        <w:t xml:space="preserve"> </w:t>
      </w:r>
      <w:r w:rsidRPr="00F841D8">
        <w:rPr>
          <w:rFonts w:hint="eastAsia"/>
          <w:rtl/>
        </w:rPr>
        <w:t>בנוגע</w:t>
      </w:r>
      <w:r w:rsidRPr="00F841D8">
        <w:rPr>
          <w:rtl/>
        </w:rPr>
        <w:t xml:space="preserve"> </w:t>
      </w:r>
      <w:r w:rsidRPr="00F841D8">
        <w:rPr>
          <w:rFonts w:hint="eastAsia"/>
          <w:rtl/>
        </w:rPr>
        <w:t>לשימוש</w:t>
      </w:r>
      <w:r w:rsidRPr="00F841D8">
        <w:rPr>
          <w:rtl/>
        </w:rPr>
        <w:t xml:space="preserve"> </w:t>
      </w:r>
      <w:r w:rsidRPr="00F841D8">
        <w:rPr>
          <w:rFonts w:hint="cs"/>
          <w:rtl/>
        </w:rPr>
        <w:t>בצו חריג ב'</w:t>
      </w:r>
      <w:r w:rsidRPr="00F841D8">
        <w:rPr>
          <w:rtl/>
        </w:rPr>
        <w:t xml:space="preserve">, </w:t>
      </w:r>
      <w:r w:rsidRPr="00F841D8">
        <w:rPr>
          <w:rFonts w:hint="eastAsia"/>
          <w:rtl/>
        </w:rPr>
        <w:t>יובאו</w:t>
      </w:r>
      <w:r w:rsidRPr="00F841D8">
        <w:rPr>
          <w:rtl/>
        </w:rPr>
        <w:t xml:space="preserve"> </w:t>
      </w:r>
      <w:r w:rsidRPr="00F841D8">
        <w:rPr>
          <w:rFonts w:hint="eastAsia"/>
          <w:rtl/>
        </w:rPr>
        <w:t>הדברים</w:t>
      </w:r>
      <w:r w:rsidRPr="00F841D8">
        <w:rPr>
          <w:rtl/>
        </w:rPr>
        <w:t xml:space="preserve"> </w:t>
      </w:r>
      <w:r>
        <w:rPr>
          <w:rFonts w:hint="cs"/>
          <w:rtl/>
        </w:rPr>
        <w:t>לאישור המשרד</w:t>
      </w:r>
      <w:r w:rsidRPr="00F841D8">
        <w:rPr>
          <w:rtl/>
        </w:rPr>
        <w:t>.</w:t>
      </w:r>
    </w:p>
    <w:p w:rsidR="00504CA5" w:rsidRDefault="00504CA5" w:rsidP="006E7248">
      <w:pPr>
        <w:spacing w:line="269" w:lineRule="auto"/>
        <w:ind w:left="340"/>
        <w:rPr>
          <w:rtl/>
        </w:rPr>
      </w:pPr>
    </w:p>
    <w:p w:rsidR="009A1216" w:rsidRDefault="009A1216" w:rsidP="006E7248">
      <w:pPr>
        <w:spacing w:line="269" w:lineRule="auto"/>
        <w:ind w:left="340"/>
        <w:rPr>
          <w:rtl/>
        </w:rPr>
      </w:pPr>
      <w:r>
        <w:rPr>
          <w:rFonts w:hint="cs"/>
          <w:rtl/>
        </w:rPr>
        <w:t>במרץ 2017, אגב דיונים בדיווחים שמגישה המשטרה ליועמ"ש לממשלה על אודות האזנות הסתר, עלתה לראשונה לדיון לפני נציגי הייעוץ המשפטי לממשלה הנחיית העבודה של המשטרה בנושא זה. לנוכח קשיים משפטיים שעולים מהנחיה זו, מחלקת הייעוץ המשפטי לממשלה הכינה חוות דעת משפטית בנוגע לצו חריג ב' (להלן - חוות הדעת משנת 2017). בחוות הדעת נקבע כי הוצאת צו זה מותירה בידי גורמים במשטרה את שיקול הדעת לעניין הוספת מעורבים כיעדי האזנה, וזאת חלף הבאת הסוגיה בבקשה נפרדת לפני בית המשפט</w:t>
      </w:r>
      <w:r>
        <w:rPr>
          <w:rStyle w:val="af"/>
          <w:rtl/>
        </w:rPr>
        <w:footnoteReference w:id="148"/>
      </w:r>
      <w:r>
        <w:rPr>
          <w:rFonts w:hint="cs"/>
          <w:rtl/>
        </w:rPr>
        <w:t xml:space="preserve"> או לפני המפכ"ל</w:t>
      </w:r>
      <w:r>
        <w:rPr>
          <w:rStyle w:val="af"/>
          <w:rtl/>
        </w:rPr>
        <w:footnoteReference w:id="149"/>
      </w:r>
      <w:r>
        <w:rPr>
          <w:rFonts w:hint="cs"/>
          <w:rtl/>
        </w:rPr>
        <w:t xml:space="preserve"> - שתי חלופות שבהן מתקיימת בקרה בלתי תלויה ונפרדת מהמשטרה. דהיינו, הוצאת צו חריג זה היא מסירת שיקול הדעת של בית המשפט לידי גורמי המשטרה. </w:t>
      </w:r>
    </w:p>
    <w:p w:rsidR="00F066FD" w:rsidRDefault="00F066FD" w:rsidP="006E7248">
      <w:pPr>
        <w:spacing w:line="269" w:lineRule="auto"/>
        <w:ind w:left="340"/>
        <w:rPr>
          <w:rtl/>
        </w:rPr>
      </w:pPr>
    </w:p>
    <w:p w:rsidR="009A1216" w:rsidRDefault="009A1216" w:rsidP="006E7248">
      <w:pPr>
        <w:spacing w:line="269" w:lineRule="auto"/>
        <w:ind w:left="340"/>
        <w:rPr>
          <w:rtl/>
        </w:rPr>
      </w:pPr>
      <w:r>
        <w:rPr>
          <w:rFonts w:hint="cs"/>
          <w:rtl/>
        </w:rPr>
        <w:t>לנוכח</w:t>
      </w:r>
      <w:r w:rsidRPr="003C567A">
        <w:rPr>
          <w:rFonts w:hint="cs"/>
          <w:rtl/>
        </w:rPr>
        <w:t xml:space="preserve"> האמור </w:t>
      </w:r>
      <w:r>
        <w:rPr>
          <w:rFonts w:hint="cs"/>
          <w:rtl/>
        </w:rPr>
        <w:t>נ</w:t>
      </w:r>
      <w:r w:rsidRPr="003C567A">
        <w:rPr>
          <w:rFonts w:hint="cs"/>
          <w:rtl/>
        </w:rPr>
        <w:t xml:space="preserve">קבע </w:t>
      </w:r>
      <w:r>
        <w:rPr>
          <w:rFonts w:hint="cs"/>
          <w:rtl/>
        </w:rPr>
        <w:t>ב</w:t>
      </w:r>
      <w:r w:rsidRPr="003C567A">
        <w:rPr>
          <w:rFonts w:hint="cs"/>
          <w:rtl/>
        </w:rPr>
        <w:t>חוות הדעת</w:t>
      </w:r>
      <w:r>
        <w:rPr>
          <w:rFonts w:hint="cs"/>
          <w:rtl/>
        </w:rPr>
        <w:t xml:space="preserve"> משנת 2017 כי יש לבחון אם נדרש תיקון חקיקה לצורך הסדרת הוצאת היתר במקרים דחופים שבהם הוצאת היתר מפכ"ל אינה נותנת מענה. עוד נקבע כי עד לתיקון החקיקה וככל שיימצא שנדרש, ניתן לקבל מענה למקרים דחופים באופן חריג במסגרת החוק הקיים. חוות הדעת אף גידרה את השימוש בסמכות באופן שהפגיעה בזכויות תעמוד באמות מידה חוקתיות והכפיפה את הפעלתה בכמה</w:t>
      </w:r>
      <w:r w:rsidRPr="003C567A">
        <w:rPr>
          <w:rFonts w:hint="cs"/>
          <w:rtl/>
        </w:rPr>
        <w:t xml:space="preserve"> תבחינים</w:t>
      </w:r>
      <w:r>
        <w:rPr>
          <w:rFonts w:hint="cs"/>
          <w:rtl/>
        </w:rPr>
        <w:t xml:space="preserve">. </w:t>
      </w:r>
    </w:p>
    <w:p w:rsidR="00F066FD" w:rsidRPr="0089452F" w:rsidRDefault="00F066FD" w:rsidP="006E7248">
      <w:pPr>
        <w:spacing w:line="269" w:lineRule="auto"/>
        <w:ind w:left="340"/>
        <w:rPr>
          <w:rtl/>
        </w:rPr>
      </w:pPr>
    </w:p>
    <w:p w:rsidR="009A1216" w:rsidRPr="0089452F" w:rsidRDefault="009A1216" w:rsidP="006E7248">
      <w:pPr>
        <w:spacing w:line="269" w:lineRule="auto"/>
        <w:ind w:left="340"/>
        <w:rPr>
          <w:b/>
          <w:bCs/>
          <w:rtl/>
        </w:rPr>
      </w:pPr>
      <w:r w:rsidRPr="0089452F">
        <w:rPr>
          <w:rFonts w:hint="cs"/>
          <w:b/>
          <w:bCs/>
          <w:rtl/>
        </w:rPr>
        <w:t>בשנת</w:t>
      </w:r>
      <w:r w:rsidRPr="0089452F">
        <w:rPr>
          <w:b/>
          <w:bCs/>
          <w:rtl/>
        </w:rPr>
        <w:t xml:space="preserve"> 2017 </w:t>
      </w:r>
      <w:r w:rsidRPr="0089452F">
        <w:rPr>
          <w:rFonts w:hint="cs"/>
          <w:b/>
          <w:bCs/>
          <w:rtl/>
        </w:rPr>
        <w:t>הכינו נציגי הייעוץ</w:t>
      </w:r>
      <w:r w:rsidRPr="0089452F">
        <w:rPr>
          <w:b/>
          <w:bCs/>
          <w:rtl/>
        </w:rPr>
        <w:t xml:space="preserve"> </w:t>
      </w:r>
      <w:r w:rsidRPr="0089452F">
        <w:rPr>
          <w:rFonts w:hint="cs"/>
          <w:b/>
          <w:bCs/>
          <w:rtl/>
        </w:rPr>
        <w:t>המשפטי</w:t>
      </w:r>
      <w:r w:rsidRPr="0089452F">
        <w:rPr>
          <w:b/>
          <w:bCs/>
          <w:rtl/>
        </w:rPr>
        <w:t xml:space="preserve"> </w:t>
      </w:r>
      <w:r w:rsidRPr="0089452F">
        <w:rPr>
          <w:rFonts w:hint="cs"/>
          <w:b/>
          <w:bCs/>
          <w:rtl/>
        </w:rPr>
        <w:t>לממשלה</w:t>
      </w:r>
      <w:r w:rsidRPr="0089452F">
        <w:rPr>
          <w:b/>
          <w:bCs/>
          <w:rtl/>
        </w:rPr>
        <w:t xml:space="preserve"> </w:t>
      </w:r>
      <w:r w:rsidRPr="0089452F">
        <w:rPr>
          <w:rFonts w:hint="cs"/>
          <w:b/>
          <w:bCs/>
          <w:rtl/>
        </w:rPr>
        <w:t>חוות</w:t>
      </w:r>
      <w:r w:rsidRPr="0089452F">
        <w:rPr>
          <w:b/>
          <w:bCs/>
          <w:rtl/>
        </w:rPr>
        <w:t xml:space="preserve"> </w:t>
      </w:r>
      <w:r w:rsidRPr="0089452F">
        <w:rPr>
          <w:rFonts w:hint="cs"/>
          <w:b/>
          <w:bCs/>
          <w:rtl/>
        </w:rPr>
        <w:t>דעת</w:t>
      </w:r>
      <w:r w:rsidRPr="0089452F">
        <w:rPr>
          <w:b/>
          <w:bCs/>
          <w:rtl/>
        </w:rPr>
        <w:t xml:space="preserve"> </w:t>
      </w:r>
      <w:r w:rsidRPr="0089452F">
        <w:rPr>
          <w:rFonts w:hint="cs"/>
          <w:b/>
          <w:bCs/>
          <w:rtl/>
        </w:rPr>
        <w:t>משפטית</w:t>
      </w:r>
      <w:r w:rsidRPr="0089452F">
        <w:rPr>
          <w:b/>
          <w:bCs/>
          <w:rtl/>
        </w:rPr>
        <w:t xml:space="preserve"> </w:t>
      </w:r>
      <w:r w:rsidRPr="0089452F">
        <w:rPr>
          <w:rFonts w:hint="cs"/>
          <w:b/>
          <w:bCs/>
          <w:rtl/>
        </w:rPr>
        <w:t>שנועדה</w:t>
      </w:r>
      <w:r w:rsidRPr="0089452F">
        <w:rPr>
          <w:b/>
          <w:bCs/>
          <w:rtl/>
        </w:rPr>
        <w:t xml:space="preserve"> </w:t>
      </w:r>
      <w:r w:rsidRPr="0089452F">
        <w:rPr>
          <w:rFonts w:hint="cs"/>
          <w:b/>
          <w:bCs/>
          <w:rtl/>
        </w:rPr>
        <w:t>לבחון האם קיימת סמכות להוציא צו חריג ב'</w:t>
      </w:r>
      <w:r w:rsidR="00382AE8" w:rsidRPr="0089452F">
        <w:rPr>
          <w:rFonts w:hint="cs"/>
          <w:b/>
          <w:bCs/>
          <w:rtl/>
        </w:rPr>
        <w:t xml:space="preserve"> </w:t>
      </w:r>
      <w:r w:rsidRPr="0089452F">
        <w:rPr>
          <w:rFonts w:hint="cs"/>
          <w:b/>
          <w:bCs/>
          <w:rtl/>
        </w:rPr>
        <w:t xml:space="preserve">ולגדר </w:t>
      </w:r>
      <w:r w:rsidRPr="0089452F">
        <w:rPr>
          <w:b/>
          <w:bCs/>
          <w:rtl/>
        </w:rPr>
        <w:t xml:space="preserve">את </w:t>
      </w:r>
      <w:r w:rsidRPr="0089452F">
        <w:rPr>
          <w:rFonts w:hint="cs"/>
          <w:b/>
          <w:bCs/>
          <w:rtl/>
        </w:rPr>
        <w:t>הוצאתו</w:t>
      </w:r>
      <w:r w:rsidRPr="0089452F">
        <w:rPr>
          <w:b/>
          <w:bCs/>
          <w:rtl/>
        </w:rPr>
        <w:t xml:space="preserve"> </w:t>
      </w:r>
      <w:r w:rsidRPr="0089452F">
        <w:rPr>
          <w:rFonts w:hint="cs"/>
          <w:b/>
          <w:bCs/>
          <w:rtl/>
        </w:rPr>
        <w:t>על</w:t>
      </w:r>
      <w:r w:rsidRPr="0089452F">
        <w:rPr>
          <w:b/>
          <w:bCs/>
          <w:rtl/>
        </w:rPr>
        <w:t xml:space="preserve"> </w:t>
      </w:r>
      <w:r w:rsidRPr="0089452F">
        <w:rPr>
          <w:rFonts w:hint="cs"/>
          <w:b/>
          <w:bCs/>
          <w:rtl/>
        </w:rPr>
        <w:t>ידי</w:t>
      </w:r>
      <w:r w:rsidRPr="0089452F">
        <w:rPr>
          <w:b/>
          <w:bCs/>
          <w:rtl/>
        </w:rPr>
        <w:t xml:space="preserve"> </w:t>
      </w:r>
      <w:r w:rsidRPr="0089452F">
        <w:rPr>
          <w:rFonts w:hint="cs"/>
          <w:b/>
          <w:bCs/>
          <w:rtl/>
        </w:rPr>
        <w:t>קביעת</w:t>
      </w:r>
      <w:r w:rsidRPr="0089452F">
        <w:rPr>
          <w:b/>
          <w:bCs/>
          <w:rtl/>
        </w:rPr>
        <w:t xml:space="preserve"> </w:t>
      </w:r>
      <w:r w:rsidRPr="0089452F">
        <w:rPr>
          <w:rFonts w:hint="cs"/>
          <w:b/>
          <w:bCs/>
          <w:rtl/>
        </w:rPr>
        <w:t>תנאים</w:t>
      </w:r>
      <w:r w:rsidRPr="0089452F">
        <w:rPr>
          <w:b/>
          <w:bCs/>
          <w:rtl/>
        </w:rPr>
        <w:t xml:space="preserve"> </w:t>
      </w:r>
      <w:r w:rsidRPr="0089452F">
        <w:rPr>
          <w:rFonts w:hint="cs"/>
          <w:b/>
          <w:bCs/>
          <w:rtl/>
        </w:rPr>
        <w:t>בנושא זה</w:t>
      </w:r>
      <w:r w:rsidRPr="0089452F">
        <w:rPr>
          <w:b/>
          <w:bCs/>
          <w:rtl/>
        </w:rPr>
        <w:t xml:space="preserve">. </w:t>
      </w:r>
      <w:r w:rsidRPr="0089452F">
        <w:rPr>
          <w:rFonts w:hint="cs"/>
          <w:b/>
          <w:bCs/>
          <w:rtl/>
        </w:rPr>
        <w:t xml:space="preserve">כדי ליישם את </w:t>
      </w:r>
      <w:r w:rsidRPr="0089452F">
        <w:rPr>
          <w:b/>
          <w:bCs/>
          <w:rtl/>
        </w:rPr>
        <w:t>חוות הדעת</w:t>
      </w:r>
      <w:r w:rsidRPr="0089452F">
        <w:rPr>
          <w:rFonts w:hint="cs"/>
          <w:b/>
          <w:bCs/>
          <w:rtl/>
        </w:rPr>
        <w:t xml:space="preserve"> משנת 2017</w:t>
      </w:r>
      <w:r w:rsidRPr="0089452F">
        <w:rPr>
          <w:b/>
          <w:bCs/>
          <w:rtl/>
        </w:rPr>
        <w:t xml:space="preserve"> </w:t>
      </w:r>
      <w:r w:rsidRPr="0089452F">
        <w:rPr>
          <w:rFonts w:hint="cs"/>
          <w:b/>
          <w:bCs/>
          <w:rtl/>
        </w:rPr>
        <w:t>המשטרה</w:t>
      </w:r>
      <w:r w:rsidRPr="0089452F">
        <w:rPr>
          <w:b/>
          <w:bCs/>
          <w:rtl/>
        </w:rPr>
        <w:t xml:space="preserve"> </w:t>
      </w:r>
      <w:r w:rsidRPr="0089452F">
        <w:rPr>
          <w:rFonts w:hint="cs"/>
          <w:b/>
          <w:bCs/>
          <w:rtl/>
        </w:rPr>
        <w:t>עדכנה</w:t>
      </w:r>
      <w:r w:rsidRPr="0089452F">
        <w:rPr>
          <w:b/>
          <w:bCs/>
          <w:rtl/>
        </w:rPr>
        <w:t xml:space="preserve"> </w:t>
      </w:r>
      <w:r w:rsidRPr="0089452F">
        <w:rPr>
          <w:rFonts w:hint="cs"/>
          <w:b/>
          <w:bCs/>
          <w:rtl/>
        </w:rPr>
        <w:t>בינואר</w:t>
      </w:r>
      <w:r w:rsidRPr="0089452F">
        <w:rPr>
          <w:b/>
          <w:bCs/>
          <w:rtl/>
        </w:rPr>
        <w:t xml:space="preserve"> 2018 את ההנחיה </w:t>
      </w:r>
      <w:r w:rsidRPr="0089452F">
        <w:rPr>
          <w:rFonts w:hint="cs"/>
          <w:b/>
          <w:bCs/>
          <w:rtl/>
        </w:rPr>
        <w:t>שלה</w:t>
      </w:r>
      <w:r w:rsidRPr="0089452F">
        <w:rPr>
          <w:b/>
          <w:bCs/>
          <w:rtl/>
        </w:rPr>
        <w:t xml:space="preserve"> </w:t>
      </w:r>
      <w:r w:rsidRPr="0089452F">
        <w:rPr>
          <w:rFonts w:hint="cs"/>
          <w:b/>
          <w:bCs/>
          <w:rtl/>
        </w:rPr>
        <w:t>בנושא</w:t>
      </w:r>
      <w:r w:rsidRPr="0089452F">
        <w:rPr>
          <w:b/>
          <w:bCs/>
          <w:rtl/>
        </w:rPr>
        <w:t>.</w:t>
      </w:r>
      <w:r w:rsidRPr="0089452F">
        <w:rPr>
          <w:rFonts w:hint="cs"/>
          <w:b/>
          <w:bCs/>
          <w:rtl/>
        </w:rPr>
        <w:t xml:space="preserve"> אולם נמצא</w:t>
      </w:r>
      <w:r w:rsidRPr="0089452F">
        <w:rPr>
          <w:b/>
          <w:bCs/>
          <w:rtl/>
        </w:rPr>
        <w:t xml:space="preserve"> כי </w:t>
      </w:r>
      <w:r w:rsidRPr="0089452F">
        <w:rPr>
          <w:rFonts w:hint="cs"/>
          <w:b/>
          <w:bCs/>
          <w:rtl/>
        </w:rPr>
        <w:t>המשטרה</w:t>
      </w:r>
      <w:r w:rsidRPr="0089452F">
        <w:rPr>
          <w:b/>
          <w:bCs/>
          <w:rtl/>
        </w:rPr>
        <w:t xml:space="preserve"> </w:t>
      </w:r>
      <w:r w:rsidRPr="0089452F">
        <w:rPr>
          <w:rFonts w:hint="cs"/>
          <w:b/>
          <w:bCs/>
          <w:rtl/>
        </w:rPr>
        <w:t>לא</w:t>
      </w:r>
      <w:r w:rsidRPr="0089452F">
        <w:rPr>
          <w:b/>
          <w:bCs/>
          <w:rtl/>
        </w:rPr>
        <w:t xml:space="preserve"> כללה בהנחיה </w:t>
      </w:r>
      <w:r w:rsidRPr="0089452F">
        <w:rPr>
          <w:rFonts w:hint="cs"/>
          <w:b/>
          <w:bCs/>
          <w:rtl/>
        </w:rPr>
        <w:t>המעודכנת</w:t>
      </w:r>
      <w:r w:rsidRPr="0089452F">
        <w:rPr>
          <w:b/>
          <w:bCs/>
          <w:rtl/>
        </w:rPr>
        <w:t xml:space="preserve"> </w:t>
      </w:r>
      <w:r w:rsidRPr="0089452F">
        <w:rPr>
          <w:rFonts w:hint="cs"/>
          <w:b/>
          <w:bCs/>
          <w:rtl/>
        </w:rPr>
        <w:t>את</w:t>
      </w:r>
      <w:r w:rsidRPr="0089452F">
        <w:rPr>
          <w:b/>
          <w:bCs/>
          <w:rtl/>
        </w:rPr>
        <w:t xml:space="preserve"> כלל </w:t>
      </w:r>
      <w:r w:rsidRPr="0089452F">
        <w:rPr>
          <w:rFonts w:hint="cs"/>
          <w:b/>
          <w:bCs/>
          <w:rtl/>
        </w:rPr>
        <w:t>התנאים</w:t>
      </w:r>
      <w:r w:rsidRPr="0089452F">
        <w:rPr>
          <w:b/>
          <w:bCs/>
          <w:rtl/>
        </w:rPr>
        <w:t xml:space="preserve"> </w:t>
      </w:r>
      <w:r w:rsidRPr="0089452F">
        <w:rPr>
          <w:rFonts w:hint="cs"/>
          <w:b/>
          <w:bCs/>
          <w:rtl/>
        </w:rPr>
        <w:t>להוצאת צו חריג ב' שהוגדרו</w:t>
      </w:r>
      <w:r w:rsidRPr="0089452F">
        <w:rPr>
          <w:b/>
          <w:bCs/>
          <w:rtl/>
        </w:rPr>
        <w:t xml:space="preserve"> </w:t>
      </w:r>
      <w:r w:rsidRPr="0089452F">
        <w:rPr>
          <w:rFonts w:hint="cs"/>
          <w:b/>
          <w:bCs/>
          <w:rtl/>
        </w:rPr>
        <w:t>בחוות</w:t>
      </w:r>
      <w:r w:rsidRPr="0089452F">
        <w:rPr>
          <w:b/>
          <w:bCs/>
          <w:rtl/>
        </w:rPr>
        <w:t xml:space="preserve"> </w:t>
      </w:r>
      <w:r w:rsidRPr="0089452F">
        <w:rPr>
          <w:rFonts w:hint="cs"/>
          <w:b/>
          <w:bCs/>
          <w:rtl/>
        </w:rPr>
        <w:t>הדעת</w:t>
      </w:r>
      <w:r w:rsidRPr="0089452F">
        <w:rPr>
          <w:b/>
          <w:bCs/>
          <w:rtl/>
        </w:rPr>
        <w:t xml:space="preserve"> </w:t>
      </w:r>
      <w:r w:rsidRPr="0089452F">
        <w:rPr>
          <w:rFonts w:hint="cs"/>
          <w:b/>
          <w:bCs/>
          <w:rtl/>
        </w:rPr>
        <w:t>משנת 2017.</w:t>
      </w:r>
    </w:p>
    <w:p w:rsidR="00F066FD" w:rsidRDefault="00F066FD" w:rsidP="006E7248">
      <w:pPr>
        <w:spacing w:line="269" w:lineRule="auto"/>
        <w:ind w:left="340"/>
        <w:rPr>
          <w:b/>
          <w:bCs/>
          <w:rtl/>
        </w:rPr>
      </w:pPr>
    </w:p>
    <w:p w:rsidR="009A1216" w:rsidRDefault="009A1216" w:rsidP="006E7248">
      <w:pPr>
        <w:spacing w:line="269" w:lineRule="auto"/>
        <w:ind w:left="340"/>
        <w:rPr>
          <w:b/>
          <w:bCs/>
          <w:rtl/>
        </w:rPr>
      </w:pPr>
      <w:r>
        <w:rPr>
          <w:rFonts w:hint="cs"/>
          <w:b/>
          <w:bCs/>
          <w:rtl/>
        </w:rPr>
        <w:t xml:space="preserve">עקב </w:t>
      </w:r>
      <w:r w:rsidRPr="000D7E64">
        <w:rPr>
          <w:b/>
          <w:bCs/>
          <w:rtl/>
        </w:rPr>
        <w:t>כך</w:t>
      </w:r>
      <w:r>
        <w:rPr>
          <w:rFonts w:hint="cs"/>
          <w:b/>
          <w:bCs/>
          <w:rtl/>
        </w:rPr>
        <w:t>, חוות הדעת של הייעוץ המשפטי לממשלה במשרד המשפטים הקובעת את גדרי הסמכות להוצאת צו חריג ב' לא יושמה במלואה בנהלי המשטרה וזו</w:t>
      </w:r>
      <w:r w:rsidRPr="000D7E64">
        <w:rPr>
          <w:b/>
          <w:bCs/>
          <w:rtl/>
        </w:rPr>
        <w:t xml:space="preserve"> </w:t>
      </w:r>
      <w:r w:rsidRPr="000D7E64">
        <w:rPr>
          <w:rFonts w:hint="cs"/>
          <w:b/>
          <w:bCs/>
          <w:rtl/>
        </w:rPr>
        <w:t>הגישה</w:t>
      </w:r>
      <w:r w:rsidRPr="000D7E64">
        <w:rPr>
          <w:b/>
          <w:bCs/>
          <w:rtl/>
        </w:rPr>
        <w:t xml:space="preserve"> </w:t>
      </w:r>
      <w:r w:rsidRPr="000D7E64">
        <w:rPr>
          <w:rFonts w:hint="cs"/>
          <w:b/>
          <w:bCs/>
          <w:rtl/>
        </w:rPr>
        <w:t>לבתי</w:t>
      </w:r>
      <w:r w:rsidRPr="000D7E64">
        <w:rPr>
          <w:b/>
          <w:bCs/>
          <w:rtl/>
        </w:rPr>
        <w:t xml:space="preserve"> המשפט </w:t>
      </w:r>
      <w:r>
        <w:rPr>
          <w:rFonts w:hint="cs"/>
          <w:b/>
          <w:bCs/>
          <w:rtl/>
        </w:rPr>
        <w:t>במשך</w:t>
      </w:r>
      <w:r w:rsidRPr="000D7E64">
        <w:rPr>
          <w:b/>
          <w:bCs/>
          <w:rtl/>
        </w:rPr>
        <w:t xml:space="preserve"> השנים בקשות לקבלת </w:t>
      </w:r>
      <w:r w:rsidRPr="000D7E64">
        <w:rPr>
          <w:rFonts w:hint="cs"/>
          <w:b/>
          <w:bCs/>
          <w:rtl/>
        </w:rPr>
        <w:t>צווים</w:t>
      </w:r>
      <w:r w:rsidRPr="000D7E64">
        <w:rPr>
          <w:b/>
          <w:bCs/>
          <w:rtl/>
        </w:rPr>
        <w:t xml:space="preserve"> חריגים </w:t>
      </w:r>
      <w:r w:rsidRPr="000D7E64">
        <w:rPr>
          <w:rFonts w:hint="cs"/>
          <w:b/>
          <w:bCs/>
          <w:rtl/>
        </w:rPr>
        <w:t>לביצוע</w:t>
      </w:r>
      <w:r w:rsidRPr="000D7E64">
        <w:rPr>
          <w:b/>
          <w:bCs/>
          <w:rtl/>
        </w:rPr>
        <w:t xml:space="preserve"> האזנות סתר </w:t>
      </w:r>
      <w:r w:rsidRPr="000D7E64">
        <w:rPr>
          <w:rFonts w:hint="cs"/>
          <w:b/>
          <w:bCs/>
          <w:rtl/>
        </w:rPr>
        <w:t>בלי</w:t>
      </w:r>
      <w:r w:rsidRPr="000D7E64">
        <w:rPr>
          <w:b/>
          <w:bCs/>
          <w:rtl/>
        </w:rPr>
        <w:t xml:space="preserve"> ליישם</w:t>
      </w:r>
      <w:r>
        <w:rPr>
          <w:b/>
          <w:bCs/>
          <w:rtl/>
        </w:rPr>
        <w:t xml:space="preserve"> </w:t>
      </w:r>
      <w:r w:rsidRPr="000D7E64">
        <w:rPr>
          <w:b/>
          <w:bCs/>
          <w:rtl/>
        </w:rPr>
        <w:t xml:space="preserve">תבחינים חשובים </w:t>
      </w:r>
      <w:r>
        <w:rPr>
          <w:rFonts w:hint="cs"/>
          <w:b/>
          <w:bCs/>
          <w:rtl/>
        </w:rPr>
        <w:t>שקבע</w:t>
      </w:r>
      <w:r w:rsidRPr="000D7E64">
        <w:rPr>
          <w:b/>
          <w:bCs/>
          <w:rtl/>
        </w:rPr>
        <w:t xml:space="preserve"> היועמ"ש </w:t>
      </w:r>
      <w:r w:rsidRPr="009215AF">
        <w:rPr>
          <w:b/>
          <w:bCs/>
          <w:rtl/>
        </w:rPr>
        <w:t>לממשלה</w:t>
      </w:r>
      <w:r>
        <w:rPr>
          <w:b/>
          <w:bCs/>
          <w:rtl/>
        </w:rPr>
        <w:t xml:space="preserve"> </w:t>
      </w:r>
      <w:r w:rsidRPr="009215AF">
        <w:rPr>
          <w:rFonts w:hint="cs"/>
          <w:b/>
          <w:bCs/>
          <w:rtl/>
        </w:rPr>
        <w:t>בנושא.</w:t>
      </w:r>
      <w:r w:rsidRPr="000D7E64">
        <w:rPr>
          <w:b/>
          <w:bCs/>
          <w:rtl/>
        </w:rPr>
        <w:t xml:space="preserve"> </w:t>
      </w:r>
    </w:p>
    <w:p w:rsidR="009A1216" w:rsidRDefault="009A1216" w:rsidP="00604C3D">
      <w:pPr>
        <w:spacing w:line="269" w:lineRule="auto"/>
        <w:rPr>
          <w:b/>
          <w:bCs/>
          <w:rtl/>
        </w:rPr>
      </w:pPr>
    </w:p>
    <w:p w:rsidR="009A1216" w:rsidRDefault="009A1216" w:rsidP="008C598D">
      <w:pPr>
        <w:pStyle w:val="5"/>
        <w:numPr>
          <w:ilvl w:val="2"/>
          <w:numId w:val="75"/>
        </w:numPr>
        <w:spacing w:line="269" w:lineRule="auto"/>
        <w:ind w:left="707"/>
        <w:rPr>
          <w:rtl/>
        </w:rPr>
      </w:pPr>
      <w:bookmarkStart w:id="338" w:name="_Hlk147909105"/>
      <w:r>
        <w:rPr>
          <w:rFonts w:hint="cs"/>
          <w:rtl/>
        </w:rPr>
        <w:t xml:space="preserve">היקף השימוש בצו חריג ב' </w:t>
      </w:r>
    </w:p>
    <w:bookmarkEnd w:id="338"/>
    <w:p w:rsidR="00F066FD" w:rsidRDefault="00F066FD" w:rsidP="00604C3D">
      <w:pPr>
        <w:spacing w:line="269" w:lineRule="auto"/>
        <w:rPr>
          <w:rtl/>
        </w:rPr>
      </w:pPr>
    </w:p>
    <w:p w:rsidR="009A1216" w:rsidRDefault="009A1216" w:rsidP="006E7248">
      <w:pPr>
        <w:spacing w:line="269" w:lineRule="auto"/>
        <w:ind w:left="680"/>
        <w:rPr>
          <w:rtl/>
        </w:rPr>
      </w:pPr>
      <w:r>
        <w:rPr>
          <w:rFonts w:hint="cs"/>
          <w:rtl/>
        </w:rPr>
        <w:t>במסגרת חוות הדעת משנת 2017 התייחס משרד המשפטים להיקף השימוש בצו חריג ב'. לפי נתונים שנמסרו לו, נכון לשנת 2017 הוגשו בכל חודש בממוצע שתיים או שלוש בקשות לצו זה (כלומר 24 - 36 בקשות בשנה). נציגי משרד המשפטים סברו כי מספר הבקשות מלמד על "שימוש תכוף" בהן, וכי יש לתחום את השימוש בצווים מסוג זה ולחדד באילו מקרים אפשר להוציא אותם.</w:t>
      </w:r>
    </w:p>
    <w:p w:rsidR="00F066FD" w:rsidRDefault="00F066FD" w:rsidP="006E7248">
      <w:pPr>
        <w:spacing w:line="269" w:lineRule="auto"/>
        <w:ind w:left="680"/>
        <w:rPr>
          <w:b/>
          <w:bCs/>
          <w:rtl/>
        </w:rPr>
      </w:pPr>
      <w:bookmarkStart w:id="339" w:name="_Hlk147909141"/>
    </w:p>
    <w:p w:rsidR="009A1216" w:rsidRDefault="009A1216" w:rsidP="006E7248">
      <w:pPr>
        <w:spacing w:line="269" w:lineRule="auto"/>
        <w:ind w:left="680"/>
        <w:rPr>
          <w:b/>
          <w:bCs/>
          <w:rtl/>
        </w:rPr>
      </w:pPr>
      <w:r>
        <w:rPr>
          <w:rFonts w:hint="cs"/>
          <w:b/>
          <w:bCs/>
          <w:rtl/>
        </w:rPr>
        <w:t>נמצא כי חרף הנחיית הייעוץ המשפטי לממשלה במשרד המשפטים</w:t>
      </w:r>
      <w:r w:rsidRPr="007B15AE">
        <w:rPr>
          <w:rFonts w:hint="cs"/>
          <w:b/>
          <w:bCs/>
          <w:rtl/>
        </w:rPr>
        <w:t xml:space="preserve"> </w:t>
      </w:r>
      <w:r>
        <w:rPr>
          <w:rFonts w:hint="cs"/>
          <w:b/>
          <w:bCs/>
          <w:rtl/>
        </w:rPr>
        <w:t xml:space="preserve">בחוות הדעת משנת 2017, המשטרה </w:t>
      </w:r>
      <w:bookmarkStart w:id="340" w:name="_Hlk187841876"/>
      <w:r>
        <w:rPr>
          <w:rFonts w:hint="cs"/>
          <w:b/>
          <w:bCs/>
          <w:rtl/>
        </w:rPr>
        <w:t xml:space="preserve">לא הגבילה ולא תחמה במהלך השנים את מספר הבקשות לצו חריג ב' כדי לוודא שייעשה בצווים מסוג זה שימוש במקרים חריגים בלבד. מנגנון היתרי מפכ"ל היה אמור לתת מענה על חלק מהנסיבות המצדיקות מתן צו חריג ב', אך לא נעשה בו שימוש. כל אלו מלמדים על שימוש מופרז ובלתי מידתי בצווים מסוג זה. </w:t>
      </w:r>
    </w:p>
    <w:bookmarkEnd w:id="340"/>
    <w:p w:rsidR="009A1216" w:rsidRDefault="009A1216" w:rsidP="006E7248">
      <w:pPr>
        <w:pStyle w:val="a5"/>
        <w:spacing w:line="269" w:lineRule="auto"/>
        <w:ind w:left="113"/>
        <w:rPr>
          <w:b/>
          <w:bCs/>
          <w:rtl/>
        </w:rPr>
      </w:pPr>
    </w:p>
    <w:p w:rsidR="009A1216" w:rsidRPr="006E518B" w:rsidRDefault="009A1216" w:rsidP="006E7248">
      <w:pPr>
        <w:spacing w:line="269" w:lineRule="auto"/>
        <w:ind w:left="680"/>
        <w:rPr>
          <w:b/>
          <w:bCs/>
          <w:rtl/>
        </w:rPr>
      </w:pPr>
      <w:r>
        <w:rPr>
          <w:rFonts w:hint="cs"/>
          <w:rtl/>
        </w:rPr>
        <w:t xml:space="preserve">המשטרה מסרה כי שיעור הוצאת צו חריג ב' הוא כ-2% מסך הצווים להאזנת סתר וכי היא לא תגביל את השימוש ולא תקבע מכסות להוצאת צווים מסוג זה. </w:t>
      </w:r>
    </w:p>
    <w:p w:rsidR="00F066FD" w:rsidRDefault="00F066FD" w:rsidP="006E7248">
      <w:pPr>
        <w:spacing w:line="269" w:lineRule="auto"/>
        <w:ind w:left="680"/>
        <w:rPr>
          <w:b/>
          <w:bCs/>
          <w:rtl/>
        </w:rPr>
      </w:pPr>
      <w:bookmarkStart w:id="341" w:name="_Hlk147909238"/>
      <w:bookmarkEnd w:id="339"/>
    </w:p>
    <w:p w:rsidR="009A1216" w:rsidRDefault="009A1216" w:rsidP="006E7248">
      <w:pPr>
        <w:spacing w:line="269" w:lineRule="auto"/>
        <w:ind w:left="680"/>
        <w:rPr>
          <w:rtl/>
        </w:rPr>
      </w:pPr>
      <w:r>
        <w:rPr>
          <w:rFonts w:hint="cs"/>
          <w:b/>
          <w:bCs/>
          <w:rtl/>
        </w:rPr>
        <w:t>אמנם שיעור צו חריג ב' הוא 2% מתוך סך הצווים, אך מדובר בצו פוגעני המחייב שימוש מידתי וסביר. נמצא, ש</w:t>
      </w:r>
      <w:r w:rsidRPr="00D40A34">
        <w:rPr>
          <w:b/>
          <w:bCs/>
          <w:rtl/>
        </w:rPr>
        <w:t xml:space="preserve">מספר הבקשות שהוצאו לצו חריג מסוג ב' </w:t>
      </w:r>
      <w:r>
        <w:rPr>
          <w:rFonts w:hint="cs"/>
          <w:b/>
          <w:bCs/>
          <w:rtl/>
        </w:rPr>
        <w:t>גדל פי שלושה</w:t>
      </w:r>
      <w:r w:rsidRPr="00D40A34">
        <w:rPr>
          <w:b/>
          <w:bCs/>
          <w:rtl/>
        </w:rPr>
        <w:t xml:space="preserve"> בתוך </w:t>
      </w:r>
      <w:r>
        <w:rPr>
          <w:rFonts w:hint="cs"/>
          <w:b/>
          <w:bCs/>
          <w:rtl/>
        </w:rPr>
        <w:t>כמה</w:t>
      </w:r>
      <w:r w:rsidRPr="00D40A34">
        <w:rPr>
          <w:b/>
          <w:bCs/>
          <w:rtl/>
        </w:rPr>
        <w:t xml:space="preserve"> שנים</w:t>
      </w:r>
      <w:r>
        <w:rPr>
          <w:rFonts w:hint="cs"/>
          <w:b/>
          <w:bCs/>
          <w:rtl/>
        </w:rPr>
        <w:t xml:space="preserve"> (מ-30 בשנה ל-100 בשנה ובסך הכול כ-300 בקשות בתקופה של שלוש שנים),</w:t>
      </w:r>
      <w:r w:rsidRPr="00D40A34">
        <w:rPr>
          <w:b/>
          <w:bCs/>
          <w:rtl/>
        </w:rPr>
        <w:t xml:space="preserve"> </w:t>
      </w:r>
      <w:bookmarkStart w:id="342" w:name="_Hlk199419683"/>
      <w:r w:rsidRPr="00D40A34">
        <w:rPr>
          <w:b/>
          <w:bCs/>
          <w:rtl/>
        </w:rPr>
        <w:t xml:space="preserve">וזאת </w:t>
      </w:r>
      <w:r>
        <w:rPr>
          <w:rFonts w:hint="cs"/>
          <w:b/>
          <w:bCs/>
          <w:rtl/>
        </w:rPr>
        <w:t>אף שצוין בעבר כי</w:t>
      </w:r>
      <w:r w:rsidRPr="00D40A34">
        <w:rPr>
          <w:b/>
          <w:bCs/>
          <w:rtl/>
        </w:rPr>
        <w:t xml:space="preserve"> </w:t>
      </w:r>
      <w:r w:rsidRPr="00D40A34">
        <w:rPr>
          <w:rFonts w:hint="cs"/>
          <w:b/>
          <w:bCs/>
          <w:rtl/>
        </w:rPr>
        <w:t>היקף</w:t>
      </w:r>
      <w:r w:rsidRPr="00D40A34">
        <w:rPr>
          <w:b/>
          <w:bCs/>
          <w:rtl/>
        </w:rPr>
        <w:t xml:space="preserve"> בקשות של </w:t>
      </w:r>
      <w:r>
        <w:rPr>
          <w:rFonts w:hint="cs"/>
          <w:b/>
          <w:bCs/>
          <w:rtl/>
        </w:rPr>
        <w:t xml:space="preserve">כ-30 בשנה כבר מעיד על </w:t>
      </w:r>
      <w:r w:rsidRPr="00D40A34">
        <w:rPr>
          <w:b/>
          <w:bCs/>
          <w:rtl/>
        </w:rPr>
        <w:t>שימוש תכוף</w:t>
      </w:r>
      <w:bookmarkEnd w:id="342"/>
      <w:r>
        <w:rPr>
          <w:rFonts w:hint="cs"/>
          <w:b/>
          <w:bCs/>
          <w:rtl/>
        </w:rPr>
        <w:t>. מגמה זו</w:t>
      </w:r>
      <w:r w:rsidRPr="00D40A34">
        <w:rPr>
          <w:b/>
          <w:bCs/>
          <w:rtl/>
        </w:rPr>
        <w:t xml:space="preserve"> מחייב</w:t>
      </w:r>
      <w:r>
        <w:rPr>
          <w:rFonts w:hint="cs"/>
          <w:b/>
          <w:bCs/>
          <w:rtl/>
        </w:rPr>
        <w:t>ת</w:t>
      </w:r>
      <w:r w:rsidRPr="00D40A34">
        <w:rPr>
          <w:b/>
          <w:bCs/>
          <w:rtl/>
        </w:rPr>
        <w:t xml:space="preserve"> בחינה הן לעניין אמות המידה לשימוש </w:t>
      </w:r>
      <w:r>
        <w:rPr>
          <w:rFonts w:hint="cs"/>
          <w:b/>
          <w:bCs/>
          <w:rtl/>
        </w:rPr>
        <w:t>בצו חריג ב'</w:t>
      </w:r>
      <w:r w:rsidRPr="00D40A34">
        <w:rPr>
          <w:b/>
          <w:bCs/>
          <w:rtl/>
        </w:rPr>
        <w:t xml:space="preserve"> והן לעניין הליכי הבחינה וההחלטה </w:t>
      </w:r>
      <w:r>
        <w:rPr>
          <w:rFonts w:hint="cs"/>
          <w:b/>
          <w:bCs/>
          <w:rtl/>
        </w:rPr>
        <w:t>המתבצעים</w:t>
      </w:r>
      <w:r w:rsidRPr="00D40A34">
        <w:rPr>
          <w:b/>
          <w:bCs/>
          <w:rtl/>
        </w:rPr>
        <w:t xml:space="preserve"> בנושא.</w:t>
      </w:r>
      <w:r w:rsidRPr="00D40A34">
        <w:rPr>
          <w:rFonts w:hint="cs"/>
          <w:b/>
          <w:bCs/>
          <w:rtl/>
        </w:rPr>
        <w:t xml:space="preserve"> מומלץ כי </w:t>
      </w:r>
      <w:r>
        <w:rPr>
          <w:rFonts w:hint="cs"/>
          <w:b/>
          <w:bCs/>
          <w:rtl/>
        </w:rPr>
        <w:t>במסגרת הבקרה בתחומי האזנות הסתר, הייעוץ המשפטי לממשלה במשרד המשפטים</w:t>
      </w:r>
      <w:r w:rsidRPr="00D40A34">
        <w:rPr>
          <w:rFonts w:hint="cs"/>
          <w:b/>
          <w:bCs/>
          <w:rtl/>
        </w:rPr>
        <w:t xml:space="preserve"> </w:t>
      </w:r>
      <w:r>
        <w:rPr>
          <w:rFonts w:hint="cs"/>
          <w:b/>
          <w:bCs/>
          <w:rtl/>
        </w:rPr>
        <w:t>יעשה</w:t>
      </w:r>
      <w:r w:rsidRPr="00D40A34">
        <w:rPr>
          <w:rFonts w:hint="cs"/>
          <w:b/>
          <w:bCs/>
          <w:rtl/>
        </w:rPr>
        <w:t xml:space="preserve"> בקרה קבועה וסדורה </w:t>
      </w:r>
      <w:r>
        <w:rPr>
          <w:rFonts w:hint="cs"/>
          <w:b/>
          <w:bCs/>
          <w:rtl/>
        </w:rPr>
        <w:t>בעניין</w:t>
      </w:r>
      <w:r w:rsidRPr="00D40A34">
        <w:rPr>
          <w:rFonts w:hint="cs"/>
          <w:b/>
          <w:bCs/>
          <w:rtl/>
        </w:rPr>
        <w:t xml:space="preserve"> הוספת יעדי האזנה ואמצעים </w:t>
      </w:r>
      <w:r>
        <w:rPr>
          <w:rFonts w:hint="cs"/>
          <w:b/>
          <w:bCs/>
          <w:rtl/>
        </w:rPr>
        <w:t xml:space="preserve">מואזנים </w:t>
      </w:r>
      <w:r w:rsidRPr="00D40A34">
        <w:rPr>
          <w:rFonts w:hint="cs"/>
          <w:b/>
          <w:bCs/>
          <w:rtl/>
        </w:rPr>
        <w:t xml:space="preserve">בדיעבד על ידי המשטרה </w:t>
      </w:r>
      <w:r>
        <w:rPr>
          <w:rFonts w:hint="cs"/>
          <w:b/>
          <w:bCs/>
          <w:rtl/>
        </w:rPr>
        <w:t xml:space="preserve">ולגבי </w:t>
      </w:r>
      <w:r w:rsidRPr="00D40A34">
        <w:rPr>
          <w:rFonts w:hint="cs"/>
          <w:b/>
          <w:bCs/>
          <w:rtl/>
        </w:rPr>
        <w:t xml:space="preserve">כל סוגי הצווים החריגים. </w:t>
      </w:r>
      <w:bookmarkEnd w:id="341"/>
    </w:p>
    <w:p w:rsidR="009A1216" w:rsidRDefault="009A1216" w:rsidP="006E7248">
      <w:pPr>
        <w:pStyle w:val="a5"/>
        <w:spacing w:line="269" w:lineRule="auto"/>
        <w:ind w:left="113"/>
        <w:rPr>
          <w:b/>
          <w:bCs/>
          <w:rtl/>
        </w:rPr>
      </w:pPr>
    </w:p>
    <w:p w:rsidR="009A1216" w:rsidRPr="00234CB9" w:rsidRDefault="009A1216" w:rsidP="006E7248">
      <w:pPr>
        <w:spacing w:line="269" w:lineRule="auto"/>
        <w:ind w:left="680"/>
        <w:rPr>
          <w:rtl/>
        </w:rPr>
      </w:pPr>
      <w:r w:rsidRPr="00234CB9">
        <w:rPr>
          <w:rFonts w:hint="eastAsia"/>
          <w:rtl/>
        </w:rPr>
        <w:t>משרד</w:t>
      </w:r>
      <w:r w:rsidRPr="00234CB9">
        <w:rPr>
          <w:rtl/>
        </w:rPr>
        <w:t xml:space="preserve"> המשפטים מסר</w:t>
      </w:r>
      <w:r>
        <w:rPr>
          <w:rFonts w:hint="cs"/>
          <w:rtl/>
        </w:rPr>
        <w:t xml:space="preserve"> כי הוא </w:t>
      </w:r>
      <w:r w:rsidRPr="00AB4ED9">
        <w:rPr>
          <w:rtl/>
        </w:rPr>
        <w:t>מקיים חשיבה</w:t>
      </w:r>
      <w:r w:rsidRPr="00AB4ED9">
        <w:rPr>
          <w:rFonts w:hint="cs"/>
          <w:rtl/>
        </w:rPr>
        <w:t xml:space="preserve"> </w:t>
      </w:r>
      <w:r w:rsidRPr="00AB4ED9">
        <w:rPr>
          <w:rtl/>
        </w:rPr>
        <w:t>עיתית בדבר הצורך בקידום תיקוני חקיקה</w:t>
      </w:r>
      <w:r w:rsidRPr="00AB4ED9">
        <w:rPr>
          <w:rFonts w:hint="cs"/>
          <w:rtl/>
        </w:rPr>
        <w:t xml:space="preserve"> </w:t>
      </w:r>
      <w:r w:rsidRPr="00AB4ED9">
        <w:rPr>
          <w:rtl/>
        </w:rPr>
        <w:t xml:space="preserve">או שינויים בתפיסות פעולה </w:t>
      </w:r>
      <w:r>
        <w:rPr>
          <w:rFonts w:hint="cs"/>
          <w:rtl/>
        </w:rPr>
        <w:t>ו</w:t>
      </w:r>
      <w:r w:rsidRPr="00AB4ED9">
        <w:rPr>
          <w:rtl/>
        </w:rPr>
        <w:t>אין צורך</w:t>
      </w:r>
      <w:r w:rsidRPr="00AB4ED9">
        <w:rPr>
          <w:rFonts w:hint="cs"/>
          <w:rtl/>
        </w:rPr>
        <w:t xml:space="preserve"> </w:t>
      </w:r>
      <w:r w:rsidRPr="00AB4ED9">
        <w:rPr>
          <w:rtl/>
        </w:rPr>
        <w:t>לייחד ל</w:t>
      </w:r>
      <w:r>
        <w:rPr>
          <w:rFonts w:hint="cs"/>
          <w:rtl/>
        </w:rPr>
        <w:t xml:space="preserve">נושא זה </w:t>
      </w:r>
      <w:r w:rsidRPr="00AB4ED9">
        <w:rPr>
          <w:rtl/>
        </w:rPr>
        <w:t>בקרה חד</w:t>
      </w:r>
      <w:r>
        <w:rPr>
          <w:rFonts w:hint="cs"/>
          <w:rtl/>
        </w:rPr>
        <w:t>-</w:t>
      </w:r>
      <w:r w:rsidRPr="00AB4ED9">
        <w:rPr>
          <w:rtl/>
        </w:rPr>
        <w:t>שנתית דווקא אלא</w:t>
      </w:r>
      <w:r w:rsidRPr="00AB4ED9">
        <w:rPr>
          <w:rFonts w:hint="cs"/>
          <w:rtl/>
        </w:rPr>
        <w:t xml:space="preserve"> </w:t>
      </w:r>
      <w:r w:rsidRPr="00AB4ED9">
        <w:rPr>
          <w:rtl/>
        </w:rPr>
        <w:t>להתאימה בהתאם לצורך העולה מהשטח</w:t>
      </w:r>
      <w:r w:rsidRPr="00AB4ED9">
        <w:rPr>
          <w:rFonts w:hint="cs"/>
          <w:rtl/>
        </w:rPr>
        <w:t xml:space="preserve">. </w:t>
      </w:r>
    </w:p>
    <w:p w:rsidR="00F066FD" w:rsidRDefault="00F066FD" w:rsidP="006E7248">
      <w:pPr>
        <w:spacing w:line="269" w:lineRule="auto"/>
        <w:ind w:left="680"/>
        <w:rPr>
          <w:b/>
          <w:bCs/>
          <w:rtl/>
        </w:rPr>
      </w:pPr>
    </w:p>
    <w:p w:rsidR="009A1216" w:rsidRDefault="009A1216" w:rsidP="006E7248">
      <w:pPr>
        <w:spacing w:line="269" w:lineRule="auto"/>
        <w:ind w:left="680"/>
        <w:rPr>
          <w:b/>
          <w:bCs/>
          <w:rtl/>
        </w:rPr>
      </w:pPr>
      <w:r w:rsidRPr="00D40A34">
        <w:rPr>
          <w:rFonts w:hint="cs"/>
          <w:b/>
          <w:bCs/>
          <w:rtl/>
        </w:rPr>
        <w:t>מומלץ כי</w:t>
      </w:r>
      <w:r>
        <w:rPr>
          <w:rFonts w:hint="cs"/>
          <w:b/>
          <w:bCs/>
          <w:rtl/>
        </w:rPr>
        <w:t xml:space="preserve"> לנוכח פוטנציאל הפגיעה החמורה בפרטיות העולה מהוצאת צו חריג ב' והעלייה בהיקף השימוש בצו חריג לצורכי האזנת סתר בכלל ולתקשורת בין מחשבים בפרט,</w:t>
      </w:r>
      <w:r w:rsidRPr="00D40A34">
        <w:rPr>
          <w:rFonts w:hint="cs"/>
          <w:b/>
          <w:bCs/>
          <w:rtl/>
        </w:rPr>
        <w:t xml:space="preserve"> היועמ"ש לממשלה ומפכ"ל המשטרה </w:t>
      </w:r>
      <w:r>
        <w:rPr>
          <w:rFonts w:hint="cs"/>
          <w:b/>
          <w:bCs/>
          <w:rtl/>
        </w:rPr>
        <w:t>ידונו אחת לשנה בממצאי הבקרה בנושא צו חריג ב' כדי לבחון</w:t>
      </w:r>
      <w:r w:rsidRPr="00D40A34">
        <w:rPr>
          <w:rFonts w:hint="cs"/>
          <w:b/>
          <w:bCs/>
          <w:rtl/>
        </w:rPr>
        <w:t xml:space="preserve"> שינויים בתפיסת ההפעלה או בסמכויות המעוגנות בחוק. </w:t>
      </w:r>
    </w:p>
    <w:p w:rsidR="009A1216" w:rsidRDefault="009A1216" w:rsidP="00604C3D">
      <w:pPr>
        <w:spacing w:line="269" w:lineRule="auto"/>
        <w:rPr>
          <w:b/>
          <w:bCs/>
          <w:rtl/>
        </w:rPr>
      </w:pPr>
    </w:p>
    <w:p w:rsidR="009A1216" w:rsidRDefault="009A1216" w:rsidP="008C598D">
      <w:pPr>
        <w:pStyle w:val="5"/>
        <w:numPr>
          <w:ilvl w:val="2"/>
          <w:numId w:val="75"/>
        </w:numPr>
        <w:spacing w:line="269" w:lineRule="auto"/>
        <w:ind w:left="707"/>
        <w:rPr>
          <w:rtl/>
        </w:rPr>
      </w:pPr>
      <w:bookmarkStart w:id="343" w:name="_Hlk147909309"/>
      <w:r>
        <w:rPr>
          <w:rFonts w:hint="cs"/>
          <w:rtl/>
        </w:rPr>
        <w:t>סוג העבירות המצדיקות שימוש בצו החריג</w:t>
      </w:r>
    </w:p>
    <w:bookmarkEnd w:id="343"/>
    <w:p w:rsidR="00F066FD" w:rsidRDefault="00F066FD" w:rsidP="00604C3D">
      <w:pPr>
        <w:spacing w:line="269" w:lineRule="auto"/>
        <w:rPr>
          <w:rtl/>
        </w:rPr>
      </w:pPr>
    </w:p>
    <w:p w:rsidR="009A1216" w:rsidRDefault="009A1216" w:rsidP="006E7248">
      <w:pPr>
        <w:spacing w:line="269" w:lineRule="auto"/>
        <w:ind w:left="680"/>
        <w:rPr>
          <w:rtl/>
        </w:rPr>
      </w:pPr>
      <w:r>
        <w:rPr>
          <w:rFonts w:hint="cs"/>
          <w:rtl/>
        </w:rPr>
        <w:t>בחוות הדעת משנת 2017 נקבע כי אחד מהשיקולים שיש לשקול לצורך הוצאת צו חריג ב' הוא סוג העבירות וחומרתן והאם חומרת העבירות מספקת לעניין הוצאת צו חריג ב', לנוכח פגיעתו החמורה בפרטיות</w:t>
      </w:r>
      <w:r w:rsidRPr="00B72327">
        <w:rPr>
          <w:rFonts w:hint="cs"/>
          <w:rtl/>
        </w:rPr>
        <w:t>. נקבע</w:t>
      </w:r>
      <w:r>
        <w:rPr>
          <w:rFonts w:hint="cs"/>
          <w:rtl/>
        </w:rPr>
        <w:t xml:space="preserve"> כי עבירות חמורות הנוגעות לפגיעה בביטחון המדינה או לסיכון שלום הציבור מצדיקות הוצאת צו חריג זה, אולם ספק אם עבירות כלכליות ואחרות מצדיקות הוצאת היתר חריג ופוגעני זה. </w:t>
      </w:r>
    </w:p>
    <w:p w:rsidR="00F066FD" w:rsidRPr="0089452F" w:rsidRDefault="00F066FD" w:rsidP="006E7248">
      <w:pPr>
        <w:spacing w:line="269" w:lineRule="auto"/>
        <w:ind w:left="680"/>
        <w:rPr>
          <w:rtl/>
        </w:rPr>
      </w:pPr>
      <w:bookmarkStart w:id="344" w:name="_Hlk147909335"/>
    </w:p>
    <w:p w:rsidR="009A1216" w:rsidRDefault="009A1216" w:rsidP="006E7248">
      <w:pPr>
        <w:pStyle w:val="aff2"/>
        <w:spacing w:line="269" w:lineRule="auto"/>
        <w:ind w:left="680"/>
        <w:rPr>
          <w:rtl/>
        </w:rPr>
      </w:pPr>
      <w:r>
        <w:rPr>
          <w:rFonts w:hint="cs"/>
          <w:rtl/>
        </w:rPr>
        <w:t xml:space="preserve">לפי </w:t>
      </w:r>
      <w:r w:rsidRPr="000D7E64">
        <w:rPr>
          <w:rFonts w:hint="cs"/>
          <w:rtl/>
        </w:rPr>
        <w:t>חוות</w:t>
      </w:r>
      <w:r w:rsidRPr="000D7E64">
        <w:rPr>
          <w:rtl/>
        </w:rPr>
        <w:t xml:space="preserve"> הדעת </w:t>
      </w:r>
      <w:r>
        <w:rPr>
          <w:rFonts w:hint="cs"/>
          <w:rtl/>
        </w:rPr>
        <w:t>של הייעוץ המשפטי לממשלה במשרד המשפטים משנת 2017 ספק אם עבירות כלכליות מצדיקות את השימוש בצו חריג ב' לנוכח פוגעניות הצו</w:t>
      </w:r>
      <w:r w:rsidRPr="000D7E64">
        <w:rPr>
          <w:rtl/>
        </w:rPr>
        <w:t xml:space="preserve">. </w:t>
      </w:r>
      <w:r>
        <w:rPr>
          <w:rFonts w:hint="cs"/>
          <w:rtl/>
        </w:rPr>
        <w:t xml:space="preserve">ואולם, מבדיקת מבקר המדינה עולה כי העבירה העיקרית שעליה התבססו כ-50 (17%) מכ-300 בקשות לצו חריג ב' </w:t>
      </w:r>
      <w:r w:rsidRPr="00B72327">
        <w:rPr>
          <w:rFonts w:hint="cs"/>
          <w:rtl/>
        </w:rPr>
        <w:t>ה</w:t>
      </w:r>
      <w:r>
        <w:rPr>
          <w:rFonts w:hint="cs"/>
          <w:rtl/>
        </w:rPr>
        <w:t>יא עבירה כלכלית, עבירת רכוש או עבירת מרמה</w:t>
      </w:r>
      <w:r>
        <w:rPr>
          <w:rStyle w:val="af"/>
          <w:rtl/>
        </w:rPr>
        <w:footnoteReference w:id="150"/>
      </w:r>
      <w:r>
        <w:rPr>
          <w:rFonts w:hint="cs"/>
          <w:rtl/>
        </w:rPr>
        <w:t xml:space="preserve">. כ-40 מהבקשות האלה מומשו. </w:t>
      </w:r>
      <w:r w:rsidRPr="000D7E64">
        <w:rPr>
          <w:rFonts w:hint="cs"/>
          <w:rtl/>
        </w:rPr>
        <w:t>יוצא</w:t>
      </w:r>
      <w:r w:rsidRPr="000D7E64">
        <w:rPr>
          <w:rtl/>
        </w:rPr>
        <w:t xml:space="preserve"> אפוא כי </w:t>
      </w:r>
      <w:r>
        <w:rPr>
          <w:rFonts w:hint="cs"/>
          <w:rtl/>
        </w:rPr>
        <w:t>המשטרה</w:t>
      </w:r>
      <w:r w:rsidRPr="000D7E64">
        <w:rPr>
          <w:rtl/>
        </w:rPr>
        <w:t xml:space="preserve"> </w:t>
      </w:r>
      <w:r>
        <w:rPr>
          <w:rFonts w:hint="cs"/>
          <w:rtl/>
        </w:rPr>
        <w:t xml:space="preserve">לא הקפידה על שימוש סביר ומידתי בצו החריג אלא הפעילה אותו בעניינן של עבירות שחומרתן מועטה מכדי להצדיק פגיעה בפרטיות יעדי ההאזנה. </w:t>
      </w:r>
      <w:bookmarkEnd w:id="344"/>
    </w:p>
    <w:p w:rsidR="00F066FD" w:rsidRDefault="00F066FD" w:rsidP="006E7248">
      <w:pPr>
        <w:spacing w:line="269" w:lineRule="auto"/>
        <w:ind w:left="680"/>
        <w:rPr>
          <w:b/>
          <w:bCs/>
          <w:rtl/>
        </w:rPr>
      </w:pPr>
    </w:p>
    <w:p w:rsidR="009A1216" w:rsidRPr="00497672" w:rsidRDefault="009A1216" w:rsidP="006E7248">
      <w:pPr>
        <w:spacing w:line="269" w:lineRule="auto"/>
        <w:ind w:left="680"/>
        <w:rPr>
          <w:b/>
          <w:bCs/>
          <w:rtl/>
        </w:rPr>
      </w:pPr>
      <w:r w:rsidRPr="00497672">
        <w:rPr>
          <w:rFonts w:hint="cs"/>
          <w:b/>
          <w:bCs/>
          <w:rtl/>
        </w:rPr>
        <w:t>כמו</w:t>
      </w:r>
      <w:r w:rsidRPr="00497672">
        <w:rPr>
          <w:b/>
          <w:bCs/>
          <w:rtl/>
        </w:rPr>
        <w:t xml:space="preserve"> כן, משרד מבקר המדינה בחן גם את העבירה החמורה ביותר שביססה את </w:t>
      </w:r>
      <w:r>
        <w:rPr>
          <w:rFonts w:hint="cs"/>
          <w:b/>
          <w:bCs/>
          <w:rtl/>
        </w:rPr>
        <w:t>50</w:t>
      </w:r>
      <w:r w:rsidRPr="00497672">
        <w:rPr>
          <w:b/>
          <w:bCs/>
          <w:rtl/>
        </w:rPr>
        <w:t xml:space="preserve"> הבקשות שהעבירה העיקרית בהן היא עבירה כלכלית, עבירת רכוש או עבירת מרמה. בחינתו העלתה כי למעט בקשה אחת, שבה העבירה החמורה ביותר היא עבירה מתחום הסדר הציבורי, ביתר הבקשות לא נכללה עבירה הנוגעת לפגיעה בביטחון המדינה או בסדר הציבורי</w:t>
      </w:r>
      <w:r w:rsidRPr="00497672">
        <w:rPr>
          <w:rStyle w:val="af"/>
          <w:b/>
          <w:bCs/>
          <w:rtl/>
        </w:rPr>
        <w:footnoteReference w:id="151"/>
      </w:r>
      <w:r w:rsidRPr="00497672">
        <w:rPr>
          <w:b/>
          <w:bCs/>
          <w:rtl/>
        </w:rPr>
        <w:t xml:space="preserve">. </w:t>
      </w:r>
    </w:p>
    <w:p w:rsidR="00F066FD" w:rsidRDefault="00F066FD" w:rsidP="006E7248">
      <w:pPr>
        <w:pStyle w:val="aff2"/>
        <w:spacing w:line="269" w:lineRule="auto"/>
        <w:ind w:left="680"/>
        <w:rPr>
          <w:rtl/>
        </w:rPr>
      </w:pPr>
    </w:p>
    <w:p w:rsidR="009A1216" w:rsidRDefault="009A1216" w:rsidP="006E7248">
      <w:pPr>
        <w:pStyle w:val="aff2"/>
        <w:spacing w:line="269" w:lineRule="auto"/>
        <w:ind w:left="680"/>
        <w:rPr>
          <w:rtl/>
        </w:rPr>
      </w:pPr>
      <w:r>
        <w:rPr>
          <w:rFonts w:hint="cs"/>
          <w:rtl/>
        </w:rPr>
        <w:t xml:space="preserve">לנוכח הספק העולה מכך שעבירות שאינן עבירות ביטחון או סיכון שלום הציבור מצדיקות הוצאת צו חריג ב', מומלץ שהמשטרה תעגן בנוהל את סוג העבירות שניתן להוציא בעניינן צו חריג ב', בהתאם לחוות הדעת של הייעוץ המשפטי לממשלה במשרד המשפטים משנת 2017. לנוכח רגישות הנוהל, מוצע כי היועמ"שית לממשלה תאשרו. </w:t>
      </w:r>
    </w:p>
    <w:p w:rsidR="009A1216" w:rsidRDefault="009A1216" w:rsidP="006E7248">
      <w:pPr>
        <w:pStyle w:val="a5"/>
        <w:spacing w:line="269" w:lineRule="auto"/>
        <w:ind w:left="113"/>
        <w:rPr>
          <w:b/>
          <w:bCs/>
          <w:rtl/>
        </w:rPr>
      </w:pPr>
    </w:p>
    <w:p w:rsidR="009A1216" w:rsidRPr="00234CB9" w:rsidRDefault="009A1216" w:rsidP="006E7248">
      <w:pPr>
        <w:pStyle w:val="aff2"/>
        <w:spacing w:line="269" w:lineRule="auto"/>
        <w:ind w:left="680"/>
        <w:rPr>
          <w:b w:val="0"/>
          <w:bCs w:val="0"/>
          <w:rtl/>
        </w:rPr>
      </w:pPr>
      <w:r w:rsidRPr="00234CB9">
        <w:rPr>
          <w:rFonts w:hint="eastAsia"/>
          <w:b w:val="0"/>
          <w:bCs w:val="0"/>
          <w:rtl/>
        </w:rPr>
        <w:t>המשטרה</w:t>
      </w:r>
      <w:r w:rsidRPr="00234CB9">
        <w:rPr>
          <w:b w:val="0"/>
          <w:bCs w:val="0"/>
          <w:rtl/>
        </w:rPr>
        <w:t xml:space="preserve"> </w:t>
      </w:r>
      <w:r w:rsidRPr="00234CB9">
        <w:rPr>
          <w:rFonts w:hint="eastAsia"/>
          <w:b w:val="0"/>
          <w:bCs w:val="0"/>
          <w:rtl/>
        </w:rPr>
        <w:t>מסרה</w:t>
      </w:r>
      <w:r w:rsidRPr="00234CB9">
        <w:rPr>
          <w:b w:val="0"/>
          <w:bCs w:val="0"/>
          <w:rtl/>
        </w:rPr>
        <w:t xml:space="preserve"> </w:t>
      </w:r>
      <w:r w:rsidRPr="00234CB9">
        <w:rPr>
          <w:rFonts w:hint="eastAsia"/>
          <w:b w:val="0"/>
          <w:bCs w:val="0"/>
          <w:rtl/>
        </w:rPr>
        <w:t>בתגובתה</w:t>
      </w:r>
      <w:r w:rsidRPr="00234CB9">
        <w:rPr>
          <w:b w:val="0"/>
          <w:bCs w:val="0"/>
          <w:rtl/>
        </w:rPr>
        <w:t xml:space="preserve"> </w:t>
      </w:r>
      <w:r w:rsidRPr="00234CB9">
        <w:rPr>
          <w:rFonts w:hint="eastAsia"/>
          <w:b w:val="0"/>
          <w:bCs w:val="0"/>
          <w:rtl/>
        </w:rPr>
        <w:t>כי</w:t>
      </w:r>
      <w:r w:rsidRPr="00234CB9">
        <w:rPr>
          <w:b w:val="0"/>
          <w:bCs w:val="0"/>
          <w:rtl/>
        </w:rPr>
        <w:t xml:space="preserve"> </w:t>
      </w:r>
      <w:r w:rsidRPr="00234CB9">
        <w:rPr>
          <w:rFonts w:hint="eastAsia"/>
          <w:b w:val="0"/>
          <w:bCs w:val="0"/>
          <w:rtl/>
        </w:rPr>
        <w:t>מבדיקתה</w:t>
      </w:r>
      <w:r w:rsidRPr="00234CB9">
        <w:rPr>
          <w:b w:val="0"/>
          <w:bCs w:val="0"/>
          <w:rtl/>
        </w:rPr>
        <w:t xml:space="preserve">, </w:t>
      </w:r>
      <w:r w:rsidRPr="00234CB9">
        <w:rPr>
          <w:rFonts w:hint="eastAsia"/>
          <w:b w:val="0"/>
          <w:bCs w:val="0"/>
          <w:rtl/>
        </w:rPr>
        <w:t>בחלק</w:t>
      </w:r>
      <w:r w:rsidRPr="00234CB9">
        <w:rPr>
          <w:b w:val="0"/>
          <w:bCs w:val="0"/>
          <w:rtl/>
        </w:rPr>
        <w:t xml:space="preserve"> </w:t>
      </w:r>
      <w:r w:rsidRPr="00234CB9">
        <w:rPr>
          <w:rFonts w:hint="eastAsia"/>
          <w:b w:val="0"/>
          <w:bCs w:val="0"/>
          <w:rtl/>
        </w:rPr>
        <w:t>מהבקשות</w:t>
      </w:r>
      <w:r w:rsidRPr="00234CB9">
        <w:rPr>
          <w:b w:val="0"/>
          <w:bCs w:val="0"/>
          <w:rtl/>
        </w:rPr>
        <w:t xml:space="preserve"> שבהן הוצא צו חריג ב' </w:t>
      </w:r>
      <w:r w:rsidRPr="00234CB9">
        <w:rPr>
          <w:rFonts w:hint="eastAsia"/>
          <w:b w:val="0"/>
          <w:bCs w:val="0"/>
          <w:rtl/>
        </w:rPr>
        <w:t>והעבירה</w:t>
      </w:r>
      <w:r w:rsidRPr="00234CB9">
        <w:rPr>
          <w:b w:val="0"/>
          <w:bCs w:val="0"/>
          <w:rtl/>
        </w:rPr>
        <w:t xml:space="preserve"> העיקרית היא </w:t>
      </w:r>
      <w:r>
        <w:rPr>
          <w:rFonts w:hint="cs"/>
          <w:b w:val="0"/>
          <w:bCs w:val="0"/>
          <w:rtl/>
        </w:rPr>
        <w:t>עבירת רכוש,</w:t>
      </w:r>
      <w:r w:rsidRPr="00234CB9">
        <w:rPr>
          <w:b w:val="0"/>
          <w:bCs w:val="0"/>
          <w:rtl/>
        </w:rPr>
        <w:t xml:space="preserve"> היו מעורבות כנופיות </w:t>
      </w:r>
      <w:r w:rsidRPr="00234CB9">
        <w:rPr>
          <w:rFonts w:hint="eastAsia"/>
          <w:b w:val="0"/>
          <w:bCs w:val="0"/>
          <w:rtl/>
        </w:rPr>
        <w:t>שהתנהלותן</w:t>
      </w:r>
      <w:r w:rsidRPr="00234CB9">
        <w:rPr>
          <w:b w:val="0"/>
          <w:bCs w:val="0"/>
          <w:rtl/>
        </w:rPr>
        <w:t xml:space="preserve"> </w:t>
      </w:r>
      <w:r w:rsidRPr="00234CB9">
        <w:rPr>
          <w:rFonts w:hint="eastAsia"/>
          <w:b w:val="0"/>
          <w:bCs w:val="0"/>
          <w:rtl/>
        </w:rPr>
        <w:t>הסיגינטית</w:t>
      </w:r>
      <w:r w:rsidRPr="00234CB9">
        <w:rPr>
          <w:b w:val="0"/>
          <w:bCs w:val="0"/>
          <w:rtl/>
        </w:rPr>
        <w:t xml:space="preserve"> </w:t>
      </w:r>
      <w:r w:rsidRPr="00234CB9">
        <w:rPr>
          <w:rFonts w:hint="eastAsia"/>
          <w:b w:val="0"/>
          <w:bCs w:val="0"/>
          <w:rtl/>
        </w:rPr>
        <w:t>מתוחכמת</w:t>
      </w:r>
      <w:r>
        <w:rPr>
          <w:rFonts w:hint="cs"/>
          <w:b w:val="0"/>
          <w:bCs w:val="0"/>
          <w:rtl/>
        </w:rPr>
        <w:t>, ולפיכך לעמדתה מתקיימים הטעמים להוצאת צו חריג ב'</w:t>
      </w:r>
      <w:r w:rsidRPr="00234CB9">
        <w:rPr>
          <w:b w:val="0"/>
          <w:bCs w:val="0"/>
          <w:rtl/>
        </w:rPr>
        <w:t xml:space="preserve">. </w:t>
      </w:r>
      <w:r>
        <w:rPr>
          <w:rFonts w:hint="cs"/>
          <w:b w:val="0"/>
          <w:bCs w:val="0"/>
          <w:rtl/>
        </w:rPr>
        <w:t xml:space="preserve">עוד היא הצביעה על כך, שכ-59% מהבקשות לצו חריג ב' הוצאו בנוגע לעבירות ביטחון ולעבירות נגד חיי אדם. </w:t>
      </w:r>
    </w:p>
    <w:p w:rsidR="00DE353F" w:rsidRPr="0089452F" w:rsidRDefault="00DE353F" w:rsidP="006E7248">
      <w:pPr>
        <w:spacing w:line="269" w:lineRule="auto"/>
        <w:ind w:left="680"/>
        <w:rPr>
          <w:rtl/>
        </w:rPr>
      </w:pPr>
    </w:p>
    <w:p w:rsidR="009A1216" w:rsidRDefault="009A1216" w:rsidP="006E7248">
      <w:pPr>
        <w:pStyle w:val="aff2"/>
        <w:spacing w:line="269" w:lineRule="auto"/>
        <w:ind w:left="680"/>
        <w:rPr>
          <w:rtl/>
        </w:rPr>
      </w:pPr>
      <w:r>
        <w:rPr>
          <w:rFonts w:hint="cs"/>
          <w:rtl/>
        </w:rPr>
        <w:t xml:space="preserve">לנוכח העובדה כי הוצאת צו חריג ב' פוגעת באופן משמעותי בזכות לפרטיות המעוגנת ומוגנת בחוק יסוד; אך הוצאת הצו אינה מוסדרת בחקיקה אלא הוסדרה במסגרת חוות דעת משפטית שהטילה ספק אם עבירות מסוימות מצדיקות שימוש בסמכות - מוצע כי המשטרה תפעל למול הייעוץ המשפטי לממשלה במשרד המשפטים לבחינת ההסדרה המלאה והמפורשת של סמכותה להוצאת צו חריג ב'. </w:t>
      </w:r>
    </w:p>
    <w:p w:rsidR="009A1216" w:rsidRDefault="009A1216" w:rsidP="00604C3D">
      <w:pPr>
        <w:spacing w:line="269" w:lineRule="auto"/>
        <w:rPr>
          <w:b/>
          <w:bCs/>
          <w:rtl/>
        </w:rPr>
      </w:pPr>
    </w:p>
    <w:p w:rsidR="009A1216" w:rsidRDefault="009A1216" w:rsidP="008C598D">
      <w:pPr>
        <w:pStyle w:val="5"/>
        <w:numPr>
          <w:ilvl w:val="2"/>
          <w:numId w:val="75"/>
        </w:numPr>
        <w:spacing w:line="269" w:lineRule="auto"/>
        <w:ind w:left="707"/>
        <w:rPr>
          <w:rtl/>
        </w:rPr>
      </w:pPr>
      <w:bookmarkStart w:id="345" w:name="_Hlk147909697"/>
      <w:r>
        <w:rPr>
          <w:rFonts w:hint="cs"/>
          <w:rtl/>
        </w:rPr>
        <w:t>שימוש בצו חריג ב' לצורכי האזנה לתקשורת בין מחשבים</w:t>
      </w:r>
    </w:p>
    <w:bookmarkEnd w:id="345"/>
    <w:p w:rsidR="00DE353F" w:rsidRDefault="00DE353F" w:rsidP="00604C3D">
      <w:pPr>
        <w:spacing w:line="269" w:lineRule="auto"/>
        <w:rPr>
          <w:rtl/>
        </w:rPr>
      </w:pPr>
    </w:p>
    <w:p w:rsidR="009A1216" w:rsidRDefault="009A1216" w:rsidP="006E7248">
      <w:pPr>
        <w:spacing w:line="269" w:lineRule="auto"/>
        <w:ind w:left="680"/>
        <w:rPr>
          <w:rtl/>
        </w:rPr>
      </w:pPr>
      <w:r>
        <w:rPr>
          <w:rFonts w:hint="cs"/>
          <w:rtl/>
        </w:rPr>
        <w:t xml:space="preserve">חוות הדעת משנת 2017 לא עסקה בשימוש בצו החריג לצורך האזנה לתקשורת בין מחשבים. עוד נמסר ממשרד המשפטים כי לפני שבוצע שינוי בדיווחים על האזנות סתר אותם מגישה המשטרה </w:t>
      </w:r>
      <w:r w:rsidR="00AD4145">
        <w:rPr>
          <w:rFonts w:hint="cs"/>
          <w:rtl/>
        </w:rPr>
        <w:t>לייעוץ המשפטי לממשלה</w:t>
      </w:r>
      <w:r>
        <w:rPr>
          <w:rFonts w:hint="cs"/>
          <w:rtl/>
        </w:rPr>
        <w:t xml:space="preserve"> בעקבות עבודת צוות מררי, גורמי </w:t>
      </w:r>
      <w:r w:rsidR="00AD4145">
        <w:rPr>
          <w:rFonts w:hint="cs"/>
          <w:rtl/>
        </w:rPr>
        <w:t>ה</w:t>
      </w:r>
      <w:r>
        <w:rPr>
          <w:rFonts w:hint="cs"/>
          <w:rtl/>
        </w:rPr>
        <w:t xml:space="preserve">ייעוץ </w:t>
      </w:r>
      <w:r w:rsidR="00AD4145">
        <w:rPr>
          <w:rFonts w:hint="cs"/>
          <w:rtl/>
        </w:rPr>
        <w:t xml:space="preserve">המשפטי לממשלה </w:t>
      </w:r>
      <w:r>
        <w:rPr>
          <w:rFonts w:hint="cs"/>
          <w:rtl/>
        </w:rPr>
        <w:t xml:space="preserve">לא ידעו אם נעשה שימוש בכלים טכנולוגיים, ומכוחם של אילו צווים חריגים. </w:t>
      </w:r>
    </w:p>
    <w:p w:rsidR="00DE353F" w:rsidRDefault="00DE353F" w:rsidP="006E7248">
      <w:pPr>
        <w:spacing w:line="269" w:lineRule="auto"/>
        <w:ind w:left="680"/>
        <w:rPr>
          <w:rtl/>
        </w:rPr>
      </w:pPr>
    </w:p>
    <w:p w:rsidR="009A1216" w:rsidRPr="00073C06" w:rsidRDefault="009A1216" w:rsidP="006E7248">
      <w:pPr>
        <w:spacing w:line="269" w:lineRule="auto"/>
        <w:ind w:left="680"/>
        <w:rPr>
          <w:rtl/>
        </w:rPr>
      </w:pPr>
      <w:r w:rsidRPr="00073C06">
        <w:rPr>
          <w:rFonts w:hint="cs"/>
          <w:rtl/>
        </w:rPr>
        <w:t xml:space="preserve">שימוש בכלים </w:t>
      </w:r>
      <w:r>
        <w:rPr>
          <w:rFonts w:hint="cs"/>
          <w:rtl/>
        </w:rPr>
        <w:t>טכנולוגיים</w:t>
      </w:r>
      <w:r w:rsidRPr="00073C06">
        <w:rPr>
          <w:rFonts w:hint="cs"/>
          <w:rtl/>
        </w:rPr>
        <w:t xml:space="preserve"> דורש ביצוע בדיקות היתכנות, שמירה על חסיונם ומניעת חשיפ</w:t>
      </w:r>
      <w:r>
        <w:rPr>
          <w:rFonts w:hint="cs"/>
          <w:rtl/>
        </w:rPr>
        <w:t>ה של</w:t>
      </w:r>
      <w:r w:rsidRPr="00073C06">
        <w:rPr>
          <w:rFonts w:hint="cs"/>
          <w:rtl/>
        </w:rPr>
        <w:t xml:space="preserve"> שיטות ואמצעים. שימוש בכלים </w:t>
      </w:r>
      <w:r>
        <w:rPr>
          <w:rFonts w:hint="cs"/>
          <w:rtl/>
        </w:rPr>
        <w:t>טכנולוגיים</w:t>
      </w:r>
      <w:r w:rsidRPr="00073C06">
        <w:rPr>
          <w:rFonts w:hint="cs"/>
          <w:rtl/>
        </w:rPr>
        <w:t xml:space="preserve"> אף </w:t>
      </w:r>
      <w:r w:rsidR="006F76A8">
        <w:rPr>
          <w:rFonts w:hint="cs"/>
          <w:rtl/>
        </w:rPr>
        <w:t>יכול לדרוש</w:t>
      </w:r>
      <w:r w:rsidR="006F76A8" w:rsidRPr="00073C06">
        <w:rPr>
          <w:rFonts w:hint="cs"/>
          <w:rtl/>
        </w:rPr>
        <w:t xml:space="preserve"> </w:t>
      </w:r>
      <w:r w:rsidRPr="00073C06">
        <w:rPr>
          <w:rFonts w:hint="cs"/>
          <w:rtl/>
        </w:rPr>
        <w:t xml:space="preserve">ביצוע </w:t>
      </w:r>
      <w:r>
        <w:rPr>
          <w:rFonts w:hint="cs"/>
          <w:rtl/>
        </w:rPr>
        <w:t>כמה</w:t>
      </w:r>
      <w:r w:rsidRPr="00073C06">
        <w:rPr>
          <w:rFonts w:hint="cs"/>
          <w:rtl/>
        </w:rPr>
        <w:t xml:space="preserve"> ניסיונות </w:t>
      </w:r>
      <w:r w:rsidR="00B85472">
        <w:rPr>
          <w:rFonts w:hint="cs"/>
          <w:rtl/>
        </w:rPr>
        <w:t>התקנה</w:t>
      </w:r>
      <w:r w:rsidR="00B85472" w:rsidRPr="00073C06">
        <w:rPr>
          <w:rFonts w:hint="cs"/>
          <w:rtl/>
        </w:rPr>
        <w:t xml:space="preserve"> </w:t>
      </w:r>
      <w:r w:rsidRPr="00073C06">
        <w:rPr>
          <w:rFonts w:hint="cs"/>
          <w:rtl/>
        </w:rPr>
        <w:t xml:space="preserve">עד להצלחה. </w:t>
      </w:r>
    </w:p>
    <w:p w:rsidR="00DE353F" w:rsidRDefault="00DE353F" w:rsidP="006E7248">
      <w:pPr>
        <w:pStyle w:val="aff2"/>
        <w:spacing w:line="269" w:lineRule="auto"/>
        <w:ind w:left="680"/>
        <w:rPr>
          <w:rtl/>
        </w:rPr>
      </w:pPr>
      <w:bookmarkStart w:id="346" w:name="_Hlk147909729"/>
    </w:p>
    <w:p w:rsidR="009A1216" w:rsidRPr="00073C06" w:rsidRDefault="009A1216" w:rsidP="006E7248">
      <w:pPr>
        <w:pStyle w:val="aff2"/>
        <w:spacing w:line="269" w:lineRule="auto"/>
        <w:ind w:left="680"/>
        <w:rPr>
          <w:rtl/>
        </w:rPr>
      </w:pPr>
      <w:r>
        <w:rPr>
          <w:rFonts w:hint="cs"/>
          <w:rtl/>
        </w:rPr>
        <w:t xml:space="preserve">מנתוני המשטרה עולה </w:t>
      </w:r>
      <w:r w:rsidR="00D27A4A">
        <w:rPr>
          <w:rFonts w:hint="cs"/>
          <w:rtl/>
        </w:rPr>
        <w:t xml:space="preserve">כי </w:t>
      </w:r>
      <w:r w:rsidR="00770AA5">
        <w:rPr>
          <w:rFonts w:hint="cs"/>
          <w:rtl/>
        </w:rPr>
        <w:t xml:space="preserve">היא הוציאה </w:t>
      </w:r>
      <w:r w:rsidR="00176E3B">
        <w:rPr>
          <w:rFonts w:hint="cs"/>
          <w:rtl/>
        </w:rPr>
        <w:t xml:space="preserve">עשרות </w:t>
      </w:r>
      <w:r w:rsidR="00770AA5">
        <w:rPr>
          <w:rFonts w:hint="cs"/>
          <w:rtl/>
        </w:rPr>
        <w:t xml:space="preserve">בקשות לצו חריג ב' להאזנה לתקשורת בין מחשבים באמצעות שימוש בכלים טכנולוגיים. </w:t>
      </w:r>
      <w:r>
        <w:rPr>
          <w:rFonts w:hint="cs"/>
          <w:rtl/>
        </w:rPr>
        <w:t>המשטרה מימשה בקשות האזנה מסוג זה ב</w:t>
      </w:r>
      <w:r w:rsidRPr="00073C06">
        <w:rPr>
          <w:rFonts w:hint="cs"/>
          <w:rtl/>
        </w:rPr>
        <w:t xml:space="preserve">לא </w:t>
      </w:r>
      <w:r>
        <w:rPr>
          <w:rFonts w:hint="cs"/>
          <w:rtl/>
        </w:rPr>
        <w:t xml:space="preserve">שהן הוסדרו </w:t>
      </w:r>
      <w:r w:rsidR="003D6F75">
        <w:rPr>
          <w:rFonts w:hint="cs"/>
          <w:rtl/>
        </w:rPr>
        <w:t>-</w:t>
      </w:r>
      <w:r>
        <w:rPr>
          <w:rFonts w:hint="cs"/>
          <w:rtl/>
        </w:rPr>
        <w:t xml:space="preserve"> סמכות הוצאתן לא הוסדרה</w:t>
      </w:r>
      <w:r w:rsidRPr="00073C06">
        <w:rPr>
          <w:rFonts w:hint="cs"/>
          <w:rtl/>
        </w:rPr>
        <w:t xml:space="preserve"> בחקיקה</w:t>
      </w:r>
      <w:r>
        <w:rPr>
          <w:rFonts w:hint="cs"/>
          <w:rtl/>
        </w:rPr>
        <w:t xml:space="preserve">, לא נדונה </w:t>
      </w:r>
      <w:r w:rsidRPr="00B1438C">
        <w:rPr>
          <w:rFonts w:hint="cs"/>
          <w:rtl/>
        </w:rPr>
        <w:t>באופן עקרוני ב</w:t>
      </w:r>
      <w:r>
        <w:rPr>
          <w:rFonts w:hint="cs"/>
          <w:rtl/>
        </w:rPr>
        <w:t>ייעוץ המשפטי לממשלה ב</w:t>
      </w:r>
      <w:r w:rsidRPr="00B1438C">
        <w:rPr>
          <w:rFonts w:hint="cs"/>
          <w:rtl/>
        </w:rPr>
        <w:t xml:space="preserve">משרד המשפטים </w:t>
      </w:r>
      <w:r>
        <w:rPr>
          <w:rFonts w:hint="cs"/>
          <w:rtl/>
        </w:rPr>
        <w:t>ולא נדונה או הוזכרה בחוות הדעת המשפטית משנת 2017</w:t>
      </w:r>
      <w:r w:rsidRPr="00073C06">
        <w:rPr>
          <w:rFonts w:hint="cs"/>
          <w:rtl/>
        </w:rPr>
        <w:t xml:space="preserve">. </w:t>
      </w:r>
      <w:r>
        <w:rPr>
          <w:rFonts w:hint="cs"/>
          <w:rtl/>
        </w:rPr>
        <w:t xml:space="preserve">כמו כן, </w:t>
      </w:r>
      <w:r w:rsidRPr="00073C06">
        <w:rPr>
          <w:rFonts w:hint="cs"/>
          <w:rtl/>
        </w:rPr>
        <w:t>עד לעבודת צוות מררי, שיטת הדיווח של המשטרה</w:t>
      </w:r>
      <w:r>
        <w:rPr>
          <w:rFonts w:hint="cs"/>
          <w:rtl/>
        </w:rPr>
        <w:t xml:space="preserve"> לפי חוק האזנת סתר</w:t>
      </w:r>
      <w:r w:rsidRPr="00073C06">
        <w:rPr>
          <w:rFonts w:hint="cs"/>
          <w:rtl/>
        </w:rPr>
        <w:t xml:space="preserve"> הקשתה על </w:t>
      </w:r>
      <w:r>
        <w:rPr>
          <w:rFonts w:hint="cs"/>
          <w:rtl/>
        </w:rPr>
        <w:t>הייעוץ המשפטי לממשלה ב</w:t>
      </w:r>
      <w:r w:rsidRPr="00073C06">
        <w:rPr>
          <w:rFonts w:hint="cs"/>
          <w:rtl/>
        </w:rPr>
        <w:t xml:space="preserve">משרד המשפטים להיחשף לקיומה של תופעת השימוש בצו חריג ב' לצורך האזנה לתקשורת בין מחשבים תוך שימוש בכלים </w:t>
      </w:r>
      <w:r w:rsidR="00746A11">
        <w:rPr>
          <w:rFonts w:hint="cs"/>
          <w:rtl/>
        </w:rPr>
        <w:t>טכנולוגיים</w:t>
      </w:r>
      <w:r w:rsidRPr="00073C06">
        <w:rPr>
          <w:rFonts w:hint="cs"/>
          <w:rtl/>
        </w:rPr>
        <w:t xml:space="preserve">. </w:t>
      </w:r>
    </w:p>
    <w:p w:rsidR="00DE353F" w:rsidRPr="0089452F" w:rsidRDefault="00DE353F" w:rsidP="006E7248">
      <w:pPr>
        <w:spacing w:line="269" w:lineRule="auto"/>
        <w:ind w:left="680"/>
        <w:rPr>
          <w:rtl/>
        </w:rPr>
      </w:pPr>
    </w:p>
    <w:p w:rsidR="009A1216" w:rsidRDefault="009A1216" w:rsidP="006E7248">
      <w:pPr>
        <w:pStyle w:val="aff2"/>
        <w:spacing w:line="269" w:lineRule="auto"/>
        <w:ind w:left="680"/>
        <w:rPr>
          <w:b w:val="0"/>
          <w:bCs w:val="0"/>
          <w:rtl/>
        </w:rPr>
      </w:pPr>
      <w:r w:rsidRPr="00234CB9">
        <w:rPr>
          <w:rFonts w:hint="eastAsia"/>
          <w:b w:val="0"/>
          <w:bCs w:val="0"/>
          <w:rtl/>
        </w:rPr>
        <w:t>בחוות</w:t>
      </w:r>
      <w:r w:rsidRPr="00234CB9">
        <w:rPr>
          <w:b w:val="0"/>
          <w:bCs w:val="0"/>
          <w:rtl/>
        </w:rPr>
        <w:t xml:space="preserve"> הדעת של משרד המשפטים משנת 2017 ניתן אישור עקרוני להשתמש בצו חריג ב' במקרים של דחיפות וחוסר ודאות המחייבים האזנת סתר מיידית ללא המתנה לאישור נוסף. עם זאת, חוות הדעת של משרד המשפטים לא עסקה בשימוש בצו חריג ב' לצורך האזנה לתקשורת בין מחשבים.</w:t>
      </w:r>
    </w:p>
    <w:p w:rsidR="009A1216" w:rsidRDefault="009A1216" w:rsidP="006E7248">
      <w:pPr>
        <w:pStyle w:val="a5"/>
        <w:spacing w:line="269" w:lineRule="auto"/>
        <w:ind w:left="113"/>
        <w:rPr>
          <w:b/>
          <w:bCs/>
          <w:rtl/>
        </w:rPr>
      </w:pPr>
    </w:p>
    <w:p w:rsidR="009A1216" w:rsidRDefault="009A1216" w:rsidP="006E7248">
      <w:pPr>
        <w:pStyle w:val="aff2"/>
        <w:spacing w:line="269" w:lineRule="auto"/>
        <w:ind w:left="680"/>
        <w:rPr>
          <w:b w:val="0"/>
          <w:bCs w:val="0"/>
          <w:rtl/>
        </w:rPr>
      </w:pPr>
      <w:r>
        <w:rPr>
          <w:rFonts w:hint="cs"/>
          <w:b w:val="0"/>
          <w:bCs w:val="0"/>
          <w:rtl/>
        </w:rPr>
        <w:t xml:space="preserve">משרד המשפטים מסר בתשובתו כי לעמדת הייעוץ המשפטי לממשלה ניתן להסתפק בחוות הדעת משנת 2017 כדי לתת מענה משפטי להסדרת שימוש בצווים חריגים להאזנה לתקשורת בין מחשבים. עמדה דומה הובעה על ידי המשטרה. </w:t>
      </w:r>
    </w:p>
    <w:p w:rsidR="00DE353F" w:rsidRDefault="00DE353F" w:rsidP="006E7248">
      <w:pPr>
        <w:pStyle w:val="aff2"/>
        <w:spacing w:line="269" w:lineRule="auto"/>
        <w:ind w:left="680"/>
        <w:rPr>
          <w:rtl/>
        </w:rPr>
      </w:pPr>
    </w:p>
    <w:p w:rsidR="009A1216" w:rsidRDefault="009A1216" w:rsidP="006E7248">
      <w:pPr>
        <w:pStyle w:val="aff2"/>
        <w:spacing w:line="269" w:lineRule="auto"/>
        <w:ind w:left="680"/>
        <w:rPr>
          <w:rtl/>
        </w:rPr>
      </w:pPr>
      <w:r>
        <w:rPr>
          <w:rFonts w:hint="cs"/>
          <w:rtl/>
        </w:rPr>
        <w:t>בהתייחס לתשובות משרד המשפטים והמשטרה מעיר משרד מבקר המדינה כי לנוכח הפגיעה המשמעותית בפרטיות הכרוכה בהאזנה לתקשורת בין מחשבים לעומת האזנה לשמע, על</w:t>
      </w:r>
      <w:r w:rsidRPr="00FF1F08">
        <w:rPr>
          <w:rtl/>
        </w:rPr>
        <w:t xml:space="preserve"> המשטרה </w:t>
      </w:r>
      <w:r>
        <w:rPr>
          <w:rFonts w:hint="cs"/>
          <w:rtl/>
        </w:rPr>
        <w:t>לה</w:t>
      </w:r>
      <w:r w:rsidRPr="00FF1F08">
        <w:rPr>
          <w:rtl/>
        </w:rPr>
        <w:t xml:space="preserve">סדיר את ההיבטים המשפטיים להוצאת צו חריג ב' </w:t>
      </w:r>
      <w:r w:rsidRPr="00FF1F08">
        <w:rPr>
          <w:rFonts w:hint="cs"/>
          <w:rtl/>
        </w:rPr>
        <w:t>לצורך</w:t>
      </w:r>
      <w:r w:rsidRPr="00FF1F08">
        <w:rPr>
          <w:rtl/>
        </w:rPr>
        <w:t xml:space="preserve"> </w:t>
      </w:r>
      <w:r w:rsidRPr="00FF1F08">
        <w:rPr>
          <w:rFonts w:hint="cs"/>
          <w:rtl/>
        </w:rPr>
        <w:t>האזנה</w:t>
      </w:r>
      <w:r w:rsidRPr="00FF1F08">
        <w:rPr>
          <w:rtl/>
        </w:rPr>
        <w:t xml:space="preserve"> </w:t>
      </w:r>
      <w:r w:rsidRPr="00FF1F08">
        <w:rPr>
          <w:rFonts w:hint="cs"/>
          <w:rtl/>
        </w:rPr>
        <w:t>לתקשורת</w:t>
      </w:r>
      <w:r w:rsidRPr="00FF1F08">
        <w:rPr>
          <w:rtl/>
        </w:rPr>
        <w:t xml:space="preserve"> </w:t>
      </w:r>
      <w:r w:rsidRPr="00FF1F08">
        <w:rPr>
          <w:rFonts w:hint="cs"/>
          <w:rtl/>
        </w:rPr>
        <w:t>בין</w:t>
      </w:r>
      <w:r w:rsidRPr="00FF1F08">
        <w:rPr>
          <w:rtl/>
        </w:rPr>
        <w:t xml:space="preserve"> </w:t>
      </w:r>
      <w:r w:rsidRPr="00FF1F08">
        <w:rPr>
          <w:rFonts w:hint="cs"/>
          <w:rtl/>
        </w:rPr>
        <w:t>מחשבים</w:t>
      </w:r>
      <w:r w:rsidRPr="00FF1F08">
        <w:rPr>
          <w:rtl/>
        </w:rPr>
        <w:t>.</w:t>
      </w:r>
      <w:r>
        <w:rPr>
          <w:rFonts w:hint="cs"/>
          <w:rtl/>
        </w:rPr>
        <w:t xml:space="preserve"> לשם כך, מוצע כי</w:t>
      </w:r>
      <w:r w:rsidRPr="00FF1F08">
        <w:rPr>
          <w:rtl/>
        </w:rPr>
        <w:t xml:space="preserve"> </w:t>
      </w:r>
      <w:r w:rsidRPr="00FF1F08">
        <w:rPr>
          <w:rFonts w:hint="cs"/>
          <w:rtl/>
        </w:rPr>
        <w:t>היועמ</w:t>
      </w:r>
      <w:r w:rsidRPr="00FF1F08">
        <w:rPr>
          <w:rtl/>
        </w:rPr>
        <w:t>"ש למשטרה יפנה ל</w:t>
      </w:r>
      <w:r>
        <w:rPr>
          <w:rFonts w:hint="cs"/>
          <w:rtl/>
        </w:rPr>
        <w:t>ייעוץ המשפטי לממשלה ב</w:t>
      </w:r>
      <w:r w:rsidRPr="00FF1F08">
        <w:rPr>
          <w:rtl/>
        </w:rPr>
        <w:t xml:space="preserve">משרד המשפטים לצורך </w:t>
      </w:r>
      <w:r>
        <w:rPr>
          <w:rFonts w:hint="cs"/>
          <w:rtl/>
        </w:rPr>
        <w:t>הסדרה</w:t>
      </w:r>
      <w:r w:rsidRPr="00FF1F08">
        <w:rPr>
          <w:rtl/>
        </w:rPr>
        <w:t xml:space="preserve"> משפטית </w:t>
      </w:r>
      <w:r w:rsidRPr="00FF1F08">
        <w:rPr>
          <w:rFonts w:hint="cs"/>
          <w:rtl/>
        </w:rPr>
        <w:t>קונקרטית</w:t>
      </w:r>
      <w:r w:rsidRPr="00FF1F08">
        <w:rPr>
          <w:rtl/>
        </w:rPr>
        <w:t xml:space="preserve"> לעניין זה.</w:t>
      </w:r>
      <w:r>
        <w:rPr>
          <w:rFonts w:hint="cs"/>
          <w:rtl/>
        </w:rPr>
        <w:t xml:space="preserve"> עוד מומלץ כי במסגרת ההסדרה המשפטית היועמ"שית לממשלה תשקול בין היתר את הפגיעה האמורה ואת האפשרות להטלת מגבלות משמעותיות מלכתחילה על האפשרות להוצאת צווים מסוג זה להאזנה לתקשורת בין מחשבים. </w:t>
      </w:r>
    </w:p>
    <w:p w:rsidR="00DE353F" w:rsidRDefault="00DE353F" w:rsidP="00604C3D">
      <w:pPr>
        <w:spacing w:line="269" w:lineRule="auto"/>
      </w:pPr>
      <w:bookmarkStart w:id="347" w:name="_Hlk147910010"/>
      <w:bookmarkEnd w:id="346"/>
    </w:p>
    <w:p w:rsidR="009A1216" w:rsidRPr="0097754A" w:rsidRDefault="009A1216" w:rsidP="008C598D">
      <w:pPr>
        <w:pStyle w:val="5"/>
        <w:numPr>
          <w:ilvl w:val="2"/>
          <w:numId w:val="75"/>
        </w:numPr>
        <w:spacing w:line="269" w:lineRule="auto"/>
        <w:ind w:left="707"/>
      </w:pPr>
      <w:r w:rsidRPr="0097754A">
        <w:rPr>
          <w:rFonts w:hint="eastAsia"/>
          <w:rtl/>
        </w:rPr>
        <w:t>אישור</w:t>
      </w:r>
      <w:r w:rsidRPr="0097754A">
        <w:rPr>
          <w:rtl/>
        </w:rPr>
        <w:t xml:space="preserve"> </w:t>
      </w:r>
      <w:r w:rsidRPr="0097754A">
        <w:rPr>
          <w:rFonts w:hint="eastAsia"/>
          <w:rtl/>
        </w:rPr>
        <w:t>צו</w:t>
      </w:r>
      <w:r w:rsidRPr="0097754A">
        <w:rPr>
          <w:rtl/>
        </w:rPr>
        <w:t xml:space="preserve"> </w:t>
      </w:r>
      <w:r w:rsidRPr="0097754A">
        <w:rPr>
          <w:rFonts w:hint="eastAsia"/>
          <w:rtl/>
        </w:rPr>
        <w:t>חריג</w:t>
      </w:r>
      <w:r w:rsidRPr="0097754A">
        <w:rPr>
          <w:rtl/>
        </w:rPr>
        <w:t xml:space="preserve"> </w:t>
      </w:r>
      <w:r w:rsidRPr="0097754A">
        <w:rPr>
          <w:rFonts w:hint="eastAsia"/>
          <w:rtl/>
        </w:rPr>
        <w:t>ב</w:t>
      </w:r>
      <w:r w:rsidRPr="0097754A">
        <w:rPr>
          <w:rtl/>
        </w:rPr>
        <w:t xml:space="preserve">' </w:t>
      </w:r>
      <w:r w:rsidR="00B0004C" w:rsidRPr="0097754A">
        <w:rPr>
          <w:rFonts w:hint="cs"/>
          <w:rtl/>
        </w:rPr>
        <w:t>בהיתר מינהלי הנחתם על ידי קצין בכיר</w:t>
      </w:r>
    </w:p>
    <w:bookmarkEnd w:id="347"/>
    <w:p w:rsidR="00DE353F" w:rsidRDefault="00DE353F" w:rsidP="00604C3D">
      <w:pPr>
        <w:spacing w:line="269" w:lineRule="auto"/>
        <w:rPr>
          <w:rtl/>
        </w:rPr>
      </w:pPr>
    </w:p>
    <w:p w:rsidR="009A1216" w:rsidRPr="007260EA" w:rsidRDefault="009A1216" w:rsidP="006E7248">
      <w:pPr>
        <w:spacing w:line="269" w:lineRule="auto"/>
        <w:ind w:left="680"/>
        <w:rPr>
          <w:rtl/>
        </w:rPr>
      </w:pPr>
      <w:r w:rsidRPr="007260EA">
        <w:rPr>
          <w:rFonts w:hint="cs"/>
          <w:rtl/>
        </w:rPr>
        <w:t>בשנת 2021</w:t>
      </w:r>
      <w:r>
        <w:rPr>
          <w:rFonts w:hint="cs"/>
          <w:rtl/>
        </w:rPr>
        <w:t xml:space="preserve"> </w:t>
      </w:r>
      <w:r w:rsidR="00420D22">
        <w:rPr>
          <w:rFonts w:hint="cs"/>
          <w:rtl/>
        </w:rPr>
        <w:t xml:space="preserve">נציג </w:t>
      </w:r>
      <w:r w:rsidRPr="007260EA">
        <w:rPr>
          <w:rFonts w:hint="cs"/>
          <w:rtl/>
        </w:rPr>
        <w:t xml:space="preserve">יועמ"ש המשטרה אישר כי </w:t>
      </w:r>
      <w:r w:rsidR="00B0004C">
        <w:rPr>
          <w:rFonts w:hint="cs"/>
          <w:rtl/>
        </w:rPr>
        <w:t>קצין בכיר במשטרה</w:t>
      </w:r>
      <w:r w:rsidRPr="007260EA">
        <w:rPr>
          <w:rFonts w:hint="cs"/>
          <w:rtl/>
        </w:rPr>
        <w:t xml:space="preserve"> רשאי להוציא היתר</w:t>
      </w:r>
      <w:r w:rsidR="00DD1BEC">
        <w:rPr>
          <w:rFonts w:hint="cs"/>
          <w:rtl/>
        </w:rPr>
        <w:t xml:space="preserve"> מינהלי</w:t>
      </w:r>
      <w:r w:rsidRPr="007260EA">
        <w:rPr>
          <w:rFonts w:hint="cs"/>
          <w:rtl/>
        </w:rPr>
        <w:t xml:space="preserve"> לשימוש בצו חריג ב'. </w:t>
      </w:r>
    </w:p>
    <w:p w:rsidR="00DE353F" w:rsidRDefault="00DE353F" w:rsidP="006E7248">
      <w:pPr>
        <w:spacing w:line="269" w:lineRule="auto"/>
        <w:ind w:left="680"/>
        <w:rPr>
          <w:rtl/>
        </w:rPr>
      </w:pPr>
    </w:p>
    <w:p w:rsidR="009A1216" w:rsidRPr="007260EA" w:rsidRDefault="009A1216" w:rsidP="006E7248">
      <w:pPr>
        <w:spacing w:line="269" w:lineRule="auto"/>
        <w:ind w:left="680"/>
        <w:rPr>
          <w:rtl/>
        </w:rPr>
      </w:pPr>
      <w:r w:rsidRPr="007260EA">
        <w:rPr>
          <w:rFonts w:hint="cs"/>
          <w:rtl/>
        </w:rPr>
        <w:t>בין היתר נכתב בחוות הדעת של נציג היועמ"ש למשטרה כי "</w:t>
      </w:r>
      <w:r w:rsidRPr="007260EA">
        <w:rPr>
          <w:rtl/>
        </w:rPr>
        <w:t>כאשר ניתן האישור המשפטי לפעול בהיתרי</w:t>
      </w:r>
      <w:r w:rsidR="00CF013D">
        <w:rPr>
          <w:rFonts w:hint="cs"/>
          <w:rtl/>
        </w:rPr>
        <w:t>...</w:t>
      </w:r>
      <w:r w:rsidRPr="007260EA">
        <w:rPr>
          <w:rtl/>
        </w:rPr>
        <w:t xml:space="preserve"> לא הוגבלנו לצווים </w:t>
      </w:r>
      <w:r w:rsidRPr="007260EA">
        <w:rPr>
          <w:rFonts w:hint="cs"/>
          <w:rtl/>
        </w:rPr>
        <w:t>'</w:t>
      </w:r>
      <w:r w:rsidRPr="007260EA">
        <w:rPr>
          <w:rtl/>
        </w:rPr>
        <w:t>רגילים</w:t>
      </w:r>
      <w:r w:rsidRPr="007260EA">
        <w:rPr>
          <w:rFonts w:hint="cs"/>
          <w:rtl/>
        </w:rPr>
        <w:t xml:space="preserve">' </w:t>
      </w:r>
      <w:r w:rsidRPr="007260EA">
        <w:rPr>
          <w:rtl/>
        </w:rPr>
        <w:t>בלבד וכן איננו רוצים ליצור מצב בו אנו מחמירים</w:t>
      </w:r>
      <w:r w:rsidR="00B0004C">
        <w:rPr>
          <w:rFonts w:hint="cs"/>
          <w:rtl/>
        </w:rPr>
        <w:t>...</w:t>
      </w:r>
      <w:r w:rsidRPr="007260EA">
        <w:rPr>
          <w:rFonts w:hint="cs"/>
          <w:rtl/>
        </w:rPr>
        <w:t>".</w:t>
      </w:r>
    </w:p>
    <w:p w:rsidR="00DE353F" w:rsidRDefault="00DE353F" w:rsidP="006E7248">
      <w:pPr>
        <w:spacing w:line="269" w:lineRule="auto"/>
        <w:ind w:left="680"/>
        <w:rPr>
          <w:b/>
          <w:bCs/>
          <w:rtl/>
        </w:rPr>
      </w:pPr>
      <w:bookmarkStart w:id="348" w:name="_Hlk147910038"/>
    </w:p>
    <w:p w:rsidR="009A1216" w:rsidRDefault="009A1216" w:rsidP="006E7248">
      <w:pPr>
        <w:spacing w:line="269" w:lineRule="auto"/>
        <w:ind w:left="680"/>
        <w:rPr>
          <w:b/>
          <w:bCs/>
          <w:rtl/>
        </w:rPr>
      </w:pPr>
      <w:r w:rsidRPr="007260EA">
        <w:rPr>
          <w:rFonts w:hint="cs"/>
          <w:b/>
          <w:bCs/>
          <w:rtl/>
        </w:rPr>
        <w:t xml:space="preserve">בחוות הדעת המשפטית של </w:t>
      </w:r>
      <w:r w:rsidR="00420D22">
        <w:rPr>
          <w:rFonts w:hint="cs"/>
          <w:b/>
          <w:bCs/>
          <w:rtl/>
        </w:rPr>
        <w:t xml:space="preserve">נציג </w:t>
      </w:r>
      <w:r w:rsidRPr="007260EA">
        <w:rPr>
          <w:rFonts w:hint="cs"/>
          <w:b/>
          <w:bCs/>
          <w:rtl/>
        </w:rPr>
        <w:t>היועמ"ש למשטרה</w:t>
      </w:r>
      <w:r>
        <w:rPr>
          <w:rFonts w:hint="cs"/>
          <w:b/>
          <w:bCs/>
          <w:rtl/>
        </w:rPr>
        <w:t xml:space="preserve"> משנת 2021</w:t>
      </w:r>
      <w:r w:rsidRPr="007260EA">
        <w:rPr>
          <w:rFonts w:hint="cs"/>
          <w:b/>
          <w:bCs/>
          <w:rtl/>
        </w:rPr>
        <w:t xml:space="preserve"> הוא אישר </w:t>
      </w:r>
      <w:r w:rsidR="00B0004C">
        <w:rPr>
          <w:rFonts w:hint="cs"/>
          <w:b/>
          <w:bCs/>
          <w:rtl/>
        </w:rPr>
        <w:t>לקצין בכיר במשטרה</w:t>
      </w:r>
      <w:r w:rsidRPr="007260EA">
        <w:rPr>
          <w:rFonts w:hint="cs"/>
          <w:b/>
          <w:bCs/>
          <w:rtl/>
        </w:rPr>
        <w:t xml:space="preserve"> לחתום על היתרים </w:t>
      </w:r>
      <w:r w:rsidR="000B2113">
        <w:rPr>
          <w:rFonts w:hint="cs"/>
          <w:b/>
          <w:bCs/>
          <w:rtl/>
        </w:rPr>
        <w:t xml:space="preserve">מינהליים </w:t>
      </w:r>
      <w:r w:rsidRPr="007260EA">
        <w:rPr>
          <w:rFonts w:hint="cs"/>
          <w:b/>
          <w:bCs/>
          <w:rtl/>
        </w:rPr>
        <w:t>להוצאת צו חריג ב'.</w:t>
      </w:r>
      <w:r w:rsidRPr="007260EA">
        <w:rPr>
          <w:b/>
          <w:bCs/>
          <w:rtl/>
        </w:rPr>
        <w:t xml:space="preserve"> </w:t>
      </w:r>
      <w:r w:rsidRPr="007260EA">
        <w:rPr>
          <w:rFonts w:hint="cs"/>
          <w:b/>
          <w:bCs/>
          <w:rtl/>
        </w:rPr>
        <w:t>חוות הדעת התבססה על הנחת היסוד ולפיה השימוש בצו חריג ב' הוא בבחינת החמרה המגבילה את יכולתה של המשטרה להפעיל את סמכויותיה. אולם בפועל צו זה</w:t>
      </w:r>
      <w:r>
        <w:rPr>
          <w:rFonts w:hint="cs"/>
          <w:b/>
          <w:bCs/>
          <w:rtl/>
        </w:rPr>
        <w:t xml:space="preserve"> אינו מחמיר אלא</w:t>
      </w:r>
      <w:r w:rsidRPr="007260EA">
        <w:rPr>
          <w:rFonts w:hint="cs"/>
          <w:b/>
          <w:bCs/>
          <w:rtl/>
        </w:rPr>
        <w:t xml:space="preserve"> מקל על המשטרה להפעיל האזנת סתר ללא צורך בהוצאת צווים קונקרטיים נוספים, ולפיכך מפחית מן המגבלות המוחלות עליה בחוק, והשימוש בו עלול</w:t>
      </w:r>
      <w:r w:rsidRPr="007260EA">
        <w:rPr>
          <w:b/>
          <w:bCs/>
          <w:rtl/>
        </w:rPr>
        <w:t xml:space="preserve"> </w:t>
      </w:r>
      <w:r w:rsidRPr="007260EA">
        <w:rPr>
          <w:rFonts w:hint="cs"/>
          <w:b/>
          <w:bCs/>
          <w:rtl/>
        </w:rPr>
        <w:t>לגרום</w:t>
      </w:r>
      <w:r w:rsidRPr="007260EA">
        <w:rPr>
          <w:b/>
          <w:bCs/>
          <w:rtl/>
        </w:rPr>
        <w:t xml:space="preserve"> </w:t>
      </w:r>
      <w:r w:rsidRPr="007260EA">
        <w:rPr>
          <w:rFonts w:hint="cs"/>
          <w:b/>
          <w:bCs/>
          <w:rtl/>
        </w:rPr>
        <w:t>לפגיעה</w:t>
      </w:r>
      <w:r w:rsidRPr="007260EA">
        <w:rPr>
          <w:b/>
          <w:bCs/>
          <w:rtl/>
        </w:rPr>
        <w:t xml:space="preserve"> </w:t>
      </w:r>
      <w:r w:rsidRPr="007260EA">
        <w:rPr>
          <w:rFonts w:hint="cs"/>
          <w:b/>
          <w:bCs/>
          <w:rtl/>
        </w:rPr>
        <w:t xml:space="preserve">בפרטיות. </w:t>
      </w:r>
      <w:r>
        <w:rPr>
          <w:rFonts w:hint="cs"/>
          <w:b/>
          <w:bCs/>
          <w:rtl/>
        </w:rPr>
        <w:t xml:space="preserve">לנוכח הפער שמצוי בהנחת היסוד שבבסיס חוות הדעת, זו </w:t>
      </w:r>
      <w:r w:rsidRPr="007260EA">
        <w:rPr>
          <w:rFonts w:hint="cs"/>
          <w:b/>
          <w:bCs/>
          <w:rtl/>
        </w:rPr>
        <w:t>ראוי</w:t>
      </w:r>
      <w:r>
        <w:rPr>
          <w:rFonts w:hint="cs"/>
          <w:b/>
          <w:bCs/>
          <w:rtl/>
        </w:rPr>
        <w:t>ה</w:t>
      </w:r>
      <w:r w:rsidRPr="007260EA">
        <w:rPr>
          <w:rFonts w:hint="cs"/>
          <w:b/>
          <w:bCs/>
          <w:rtl/>
        </w:rPr>
        <w:t xml:space="preserve"> לבחינה נוספת.</w:t>
      </w:r>
      <w:r w:rsidRPr="006E39AD">
        <w:rPr>
          <w:rFonts w:hint="cs"/>
          <w:b/>
          <w:bCs/>
          <w:rtl/>
        </w:rPr>
        <w:t xml:space="preserve"> </w:t>
      </w:r>
    </w:p>
    <w:p w:rsidR="009A1216" w:rsidRDefault="009A1216" w:rsidP="006E7248">
      <w:pPr>
        <w:pStyle w:val="a5"/>
        <w:spacing w:line="269" w:lineRule="auto"/>
        <w:ind w:left="113"/>
        <w:rPr>
          <w:b/>
          <w:bCs/>
          <w:rtl/>
        </w:rPr>
      </w:pPr>
    </w:p>
    <w:p w:rsidR="009A1216" w:rsidRPr="00122D77" w:rsidRDefault="009A1216" w:rsidP="006E7248">
      <w:pPr>
        <w:spacing w:line="269" w:lineRule="auto"/>
        <w:ind w:left="680"/>
      </w:pPr>
      <w:r w:rsidRPr="00122D77">
        <w:rPr>
          <w:rFonts w:hint="cs"/>
          <w:rtl/>
        </w:rPr>
        <w:t>המשטרה מסרה</w:t>
      </w:r>
      <w:r>
        <w:rPr>
          <w:rFonts w:hint="cs"/>
          <w:rtl/>
        </w:rPr>
        <w:t xml:space="preserve"> כי היא</w:t>
      </w:r>
      <w:r w:rsidRPr="00122D77">
        <w:rPr>
          <w:rFonts w:hint="cs"/>
          <w:rtl/>
        </w:rPr>
        <w:t xml:space="preserve"> </w:t>
      </w:r>
      <w:r w:rsidRPr="003D7859">
        <w:rPr>
          <w:rtl/>
        </w:rPr>
        <w:t>סב</w:t>
      </w:r>
      <w:r>
        <w:rPr>
          <w:rFonts w:hint="cs"/>
          <w:rtl/>
        </w:rPr>
        <w:t>ו</w:t>
      </w:r>
      <w:r w:rsidRPr="003D7859">
        <w:rPr>
          <w:rtl/>
        </w:rPr>
        <w:t>ר</w:t>
      </w:r>
      <w:r>
        <w:rPr>
          <w:rFonts w:hint="cs"/>
          <w:rtl/>
        </w:rPr>
        <w:t>ה</w:t>
      </w:r>
      <w:r w:rsidRPr="003D7859">
        <w:rPr>
          <w:rtl/>
        </w:rPr>
        <w:t xml:space="preserve"> שאין מניעה משפטית להחיל את כללי </w:t>
      </w:r>
      <w:r>
        <w:rPr>
          <w:rFonts w:hint="cs"/>
          <w:rtl/>
        </w:rPr>
        <w:t>צו חריג ב'</w:t>
      </w:r>
      <w:r w:rsidRPr="003D7859">
        <w:rPr>
          <w:rtl/>
        </w:rPr>
        <w:t xml:space="preserve"> גם על היתרי</w:t>
      </w:r>
      <w:r w:rsidR="00B0004C">
        <w:rPr>
          <w:rFonts w:hint="cs"/>
          <w:rtl/>
        </w:rPr>
        <w:t>ם מינהליים הנחתמים על ידי קצין בכיר במשטרה</w:t>
      </w:r>
      <w:r w:rsidRPr="003D7859">
        <w:rPr>
          <w:rtl/>
        </w:rPr>
        <w:t>. עם זאת, בשל רגישות הנושאים והעובדה שעד מועד הפנייה על ידי היחידה המשטרה טרם דיווחה ליועמ"ש לממשלה על היתרי</w:t>
      </w:r>
      <w:r w:rsidR="00B0004C">
        <w:rPr>
          <w:rFonts w:hint="cs"/>
          <w:rtl/>
        </w:rPr>
        <w:t>ם מסוג זה</w:t>
      </w:r>
      <w:r w:rsidRPr="003D7859">
        <w:rPr>
          <w:rtl/>
        </w:rPr>
        <w:t xml:space="preserve">, </w:t>
      </w:r>
      <w:r>
        <w:rPr>
          <w:rFonts w:hint="cs"/>
          <w:rtl/>
        </w:rPr>
        <w:t xml:space="preserve">הלשכה המשפטית במשטרה </w:t>
      </w:r>
      <w:r w:rsidRPr="003D7859">
        <w:rPr>
          <w:rtl/>
        </w:rPr>
        <w:t>הנח</w:t>
      </w:r>
      <w:r>
        <w:rPr>
          <w:rFonts w:hint="cs"/>
          <w:rtl/>
        </w:rPr>
        <w:t>ת</w:t>
      </w:r>
      <w:r w:rsidRPr="003D7859">
        <w:rPr>
          <w:rtl/>
        </w:rPr>
        <w:t xml:space="preserve">ה לאזן זאת על ידי </w:t>
      </w:r>
      <w:r>
        <w:rPr>
          <w:rFonts w:hint="cs"/>
          <w:rtl/>
        </w:rPr>
        <w:t>הטלת כמה</w:t>
      </w:r>
      <w:r w:rsidRPr="003D7859">
        <w:rPr>
          <w:rtl/>
        </w:rPr>
        <w:t xml:space="preserve"> הגבלות, לפני ש</w:t>
      </w:r>
      <w:r>
        <w:rPr>
          <w:rFonts w:hint="cs"/>
          <w:rtl/>
        </w:rPr>
        <w:t>ת</w:t>
      </w:r>
      <w:r w:rsidRPr="003D7859">
        <w:rPr>
          <w:rtl/>
        </w:rPr>
        <w:t>יבחן הרחבת השימוש בהיתר</w:t>
      </w:r>
      <w:r>
        <w:rPr>
          <w:rFonts w:hint="cs"/>
          <w:rtl/>
        </w:rPr>
        <w:t xml:space="preserve"> מסוג זה</w:t>
      </w:r>
      <w:r w:rsidRPr="003D7859">
        <w:rPr>
          <w:rtl/>
        </w:rPr>
        <w:t xml:space="preserve"> ואם יש צורך ב</w:t>
      </w:r>
      <w:r>
        <w:rPr>
          <w:rFonts w:hint="cs"/>
          <w:rtl/>
        </w:rPr>
        <w:t>מגבלות שהוטלו.</w:t>
      </w:r>
      <w:r w:rsidRPr="003D7859">
        <w:rPr>
          <w:rtl/>
        </w:rPr>
        <w:t xml:space="preserve"> </w:t>
      </w:r>
      <w:r>
        <w:rPr>
          <w:rFonts w:hint="cs"/>
          <w:rtl/>
        </w:rPr>
        <w:t>עוד נמסר, ש</w:t>
      </w:r>
      <w:r w:rsidRPr="00122D77">
        <w:rPr>
          <w:rFonts w:hint="cs"/>
          <w:rtl/>
        </w:rPr>
        <w:t xml:space="preserve">היא </w:t>
      </w:r>
      <w:r>
        <w:rPr>
          <w:rFonts w:hint="cs"/>
          <w:rtl/>
        </w:rPr>
        <w:t>לא</w:t>
      </w:r>
      <w:r w:rsidRPr="00122D77">
        <w:rPr>
          <w:rFonts w:hint="cs"/>
          <w:rtl/>
        </w:rPr>
        <w:t xml:space="preserve"> מתנגדת להכנת חוות דעת משפטית כאמור</w:t>
      </w:r>
      <w:r>
        <w:rPr>
          <w:rFonts w:hint="cs"/>
          <w:rtl/>
        </w:rPr>
        <w:t xml:space="preserve"> שתובא בפני היועמ"ש לממשלה</w:t>
      </w:r>
      <w:r w:rsidRPr="00122D77">
        <w:rPr>
          <w:rFonts w:hint="cs"/>
          <w:rtl/>
        </w:rPr>
        <w:t xml:space="preserve"> ו</w:t>
      </w:r>
      <w:r>
        <w:rPr>
          <w:rFonts w:hint="cs"/>
          <w:rtl/>
        </w:rPr>
        <w:t xml:space="preserve">היא </w:t>
      </w:r>
      <w:r w:rsidRPr="00122D77">
        <w:rPr>
          <w:rFonts w:hint="cs"/>
          <w:rtl/>
        </w:rPr>
        <w:t xml:space="preserve">רואה חשיבות קריטית בטיפול </w:t>
      </w:r>
      <w:r>
        <w:rPr>
          <w:rFonts w:hint="cs"/>
          <w:rtl/>
        </w:rPr>
        <w:t>בפשיעה הנוגעת להיתרים מסוג זה</w:t>
      </w:r>
      <w:r w:rsidRPr="00122D77">
        <w:rPr>
          <w:rFonts w:hint="cs"/>
          <w:rtl/>
        </w:rPr>
        <w:t>.</w:t>
      </w:r>
      <w:r>
        <w:rPr>
          <w:rFonts w:hint="cs"/>
          <w:rtl/>
        </w:rPr>
        <w:t xml:space="preserve"> </w:t>
      </w:r>
    </w:p>
    <w:p w:rsidR="00DE353F" w:rsidRDefault="00DE353F" w:rsidP="006E7248">
      <w:pPr>
        <w:spacing w:line="269" w:lineRule="auto"/>
        <w:ind w:left="680"/>
        <w:rPr>
          <w:b/>
          <w:bCs/>
          <w:rtl/>
        </w:rPr>
      </w:pPr>
    </w:p>
    <w:p w:rsidR="006367B2" w:rsidRPr="006367B2" w:rsidRDefault="009A1216" w:rsidP="006E7248">
      <w:pPr>
        <w:spacing w:line="269" w:lineRule="auto"/>
        <w:ind w:left="680"/>
        <w:rPr>
          <w:b/>
          <w:bCs/>
          <w:rtl/>
        </w:rPr>
      </w:pPr>
      <w:r>
        <w:rPr>
          <w:rFonts w:hint="cs"/>
          <w:b/>
          <w:bCs/>
          <w:rtl/>
        </w:rPr>
        <w:t xml:space="preserve">מומלץ כי המשטרה תסדיר את ההיבטים המשפטיים להוצאת צו חריג ב' </w:t>
      </w:r>
      <w:r w:rsidR="00697BB1">
        <w:rPr>
          <w:rFonts w:hint="cs"/>
          <w:b/>
          <w:bCs/>
          <w:rtl/>
        </w:rPr>
        <w:t>להיתרים מינהליים הנחתמים על ידי קצין משטרה בכיר</w:t>
      </w:r>
      <w:r>
        <w:rPr>
          <w:rFonts w:hint="cs"/>
          <w:b/>
          <w:bCs/>
          <w:rtl/>
        </w:rPr>
        <w:t xml:space="preserve">. מוצע כי היועמ"ש למשטרה יכין חוות דעת משפטית העוסקת בהאזנות </w:t>
      </w:r>
      <w:r w:rsidRPr="00356B8C">
        <w:rPr>
          <w:rFonts w:hint="cs"/>
          <w:b/>
          <w:bCs/>
          <w:rtl/>
        </w:rPr>
        <w:t>סתר</w:t>
      </w:r>
      <w:r>
        <w:rPr>
          <w:rFonts w:hint="cs"/>
          <w:b/>
          <w:bCs/>
          <w:rtl/>
        </w:rPr>
        <w:t xml:space="preserve"> המבוססות על אישור צו חריג' ב' בהיתר</w:t>
      </w:r>
      <w:r w:rsidR="00697BB1">
        <w:rPr>
          <w:rFonts w:hint="cs"/>
          <w:b/>
          <w:bCs/>
          <w:rtl/>
        </w:rPr>
        <w:t>ים מסוג זה</w:t>
      </w:r>
      <w:r w:rsidR="00E66BDE">
        <w:rPr>
          <w:rFonts w:hint="cs"/>
          <w:b/>
          <w:bCs/>
          <w:rtl/>
        </w:rPr>
        <w:t xml:space="preserve"> </w:t>
      </w:r>
      <w:r>
        <w:rPr>
          <w:rFonts w:hint="cs"/>
          <w:b/>
          <w:bCs/>
          <w:rtl/>
        </w:rPr>
        <w:t>ש</w:t>
      </w:r>
      <w:r w:rsidRPr="00356B8C">
        <w:rPr>
          <w:rFonts w:hint="cs"/>
          <w:b/>
          <w:bCs/>
          <w:rtl/>
        </w:rPr>
        <w:t>תכ</w:t>
      </w:r>
      <w:r>
        <w:rPr>
          <w:rFonts w:hint="cs"/>
          <w:b/>
          <w:bCs/>
          <w:rtl/>
        </w:rPr>
        <w:t xml:space="preserve">לול </w:t>
      </w:r>
      <w:r w:rsidRPr="00073C06">
        <w:rPr>
          <w:rFonts w:hint="cs"/>
          <w:b/>
          <w:bCs/>
          <w:rtl/>
        </w:rPr>
        <w:t>ניתוח</w:t>
      </w:r>
      <w:r w:rsidRPr="00073C06">
        <w:rPr>
          <w:rFonts w:hint="cs"/>
          <w:b/>
          <w:bCs/>
        </w:rPr>
        <w:t xml:space="preserve"> </w:t>
      </w:r>
      <w:r w:rsidRPr="00073C06">
        <w:rPr>
          <w:rFonts w:hint="cs"/>
          <w:b/>
          <w:bCs/>
          <w:rtl/>
        </w:rPr>
        <w:t>מעמיק בהיבט החוקתי</w:t>
      </w:r>
      <w:r>
        <w:rPr>
          <w:rFonts w:hint="cs"/>
          <w:b/>
          <w:bCs/>
          <w:rtl/>
        </w:rPr>
        <w:t>,</w:t>
      </w:r>
      <w:r w:rsidRPr="00073C06">
        <w:rPr>
          <w:rFonts w:hint="cs"/>
          <w:b/>
          <w:bCs/>
          <w:rtl/>
        </w:rPr>
        <w:t xml:space="preserve"> </w:t>
      </w:r>
      <w:r>
        <w:rPr>
          <w:rFonts w:hint="cs"/>
          <w:b/>
          <w:bCs/>
          <w:rtl/>
        </w:rPr>
        <w:t>שבמסגרתו תיבחן</w:t>
      </w:r>
      <w:r w:rsidRPr="00073C06">
        <w:rPr>
          <w:rFonts w:hint="cs"/>
          <w:b/>
          <w:bCs/>
          <w:rtl/>
        </w:rPr>
        <w:t xml:space="preserve"> נחיצות ההסדרה החקיקתית של הנושא. כמו כן, </w:t>
      </w:r>
      <w:r>
        <w:rPr>
          <w:rFonts w:hint="cs"/>
          <w:b/>
          <w:bCs/>
          <w:rtl/>
        </w:rPr>
        <w:t xml:space="preserve">מומלץ כי </w:t>
      </w:r>
      <w:r w:rsidRPr="00073C06">
        <w:rPr>
          <w:rFonts w:hint="cs"/>
          <w:b/>
          <w:bCs/>
          <w:rtl/>
        </w:rPr>
        <w:t xml:space="preserve">חוות הדעת </w:t>
      </w:r>
      <w:r>
        <w:rPr>
          <w:rFonts w:hint="cs"/>
          <w:b/>
          <w:bCs/>
          <w:rtl/>
        </w:rPr>
        <w:t>תוכן תוך</w:t>
      </w:r>
      <w:r w:rsidRPr="00073C06">
        <w:rPr>
          <w:rFonts w:hint="cs"/>
          <w:b/>
          <w:bCs/>
          <w:rtl/>
        </w:rPr>
        <w:t xml:space="preserve"> התייעצות עם </w:t>
      </w:r>
      <w:r w:rsidR="008557BC">
        <w:rPr>
          <w:rFonts w:hint="cs"/>
          <w:b/>
          <w:bCs/>
          <w:rtl/>
        </w:rPr>
        <w:t>ה</w:t>
      </w:r>
      <w:r w:rsidRPr="00073C06">
        <w:rPr>
          <w:rFonts w:hint="cs"/>
          <w:b/>
          <w:bCs/>
          <w:rtl/>
        </w:rPr>
        <w:t>גורמי</w:t>
      </w:r>
      <w:r w:rsidR="008557BC">
        <w:rPr>
          <w:rFonts w:hint="cs"/>
          <w:b/>
          <w:bCs/>
          <w:rtl/>
        </w:rPr>
        <w:t>ם</w:t>
      </w:r>
      <w:r w:rsidRPr="00073C06">
        <w:rPr>
          <w:rFonts w:hint="cs"/>
          <w:b/>
          <w:bCs/>
          <w:rtl/>
        </w:rPr>
        <w:t xml:space="preserve"> הרלוונטיים לנושא </w:t>
      </w:r>
      <w:r w:rsidR="00F8104C">
        <w:rPr>
          <w:rFonts w:hint="cs"/>
          <w:b/>
          <w:bCs/>
          <w:rtl/>
        </w:rPr>
        <w:t>ובפרט</w:t>
      </w:r>
      <w:r w:rsidRPr="00073C06">
        <w:rPr>
          <w:rFonts w:hint="cs"/>
          <w:b/>
          <w:bCs/>
          <w:rtl/>
        </w:rPr>
        <w:t xml:space="preserve"> </w:t>
      </w:r>
      <w:r>
        <w:rPr>
          <w:rFonts w:hint="cs"/>
          <w:b/>
          <w:bCs/>
          <w:rtl/>
        </w:rPr>
        <w:t>הייעוץ המשפטי לממשלה</w:t>
      </w:r>
      <w:r w:rsidR="00F8104C">
        <w:rPr>
          <w:rFonts w:hint="cs"/>
          <w:b/>
          <w:bCs/>
          <w:rtl/>
        </w:rPr>
        <w:t xml:space="preserve"> במשרד המשפטים</w:t>
      </w:r>
      <w:r w:rsidR="00783BFA">
        <w:rPr>
          <w:rFonts w:hint="cs"/>
          <w:b/>
          <w:bCs/>
          <w:rtl/>
        </w:rPr>
        <w:t>.</w:t>
      </w:r>
      <w:r w:rsidRPr="00073C06">
        <w:rPr>
          <w:rFonts w:hint="cs"/>
          <w:b/>
          <w:bCs/>
          <w:rtl/>
        </w:rPr>
        <w:t xml:space="preserve"> </w:t>
      </w:r>
    </w:p>
    <w:bookmarkEnd w:id="348"/>
    <w:p w:rsidR="00DE353F" w:rsidRDefault="00DE353F" w:rsidP="006E7248">
      <w:pPr>
        <w:spacing w:line="269" w:lineRule="auto"/>
        <w:ind w:left="680"/>
        <w:rPr>
          <w:rtl/>
        </w:rPr>
      </w:pPr>
    </w:p>
    <w:p w:rsidR="009A1216" w:rsidRDefault="009A1216" w:rsidP="006E7248">
      <w:pPr>
        <w:spacing w:line="269" w:lineRule="auto"/>
        <w:ind w:left="680"/>
        <w:rPr>
          <w:rtl/>
        </w:rPr>
      </w:pPr>
      <w:r w:rsidRPr="00073C06">
        <w:rPr>
          <w:rFonts w:hint="cs"/>
          <w:rtl/>
        </w:rPr>
        <w:t xml:space="preserve">מבדיקת מבקר המדינה עולה כי </w:t>
      </w:r>
      <w:r>
        <w:rPr>
          <w:rFonts w:hint="cs"/>
          <w:rtl/>
        </w:rPr>
        <w:t>6</w:t>
      </w:r>
      <w:r w:rsidR="00382AE8">
        <w:rPr>
          <w:rFonts w:hint="cs"/>
          <w:rtl/>
        </w:rPr>
        <w:t xml:space="preserve"> </w:t>
      </w:r>
      <w:r>
        <w:rPr>
          <w:rFonts w:hint="cs"/>
          <w:rtl/>
        </w:rPr>
        <w:t>מ-</w:t>
      </w:r>
      <w:r w:rsidRPr="00073C06">
        <w:rPr>
          <w:rFonts w:hint="cs"/>
          <w:rtl/>
        </w:rPr>
        <w:t xml:space="preserve">14 </w:t>
      </w:r>
      <w:r>
        <w:rPr>
          <w:rFonts w:hint="cs"/>
          <w:rtl/>
        </w:rPr>
        <w:t xml:space="preserve">(43%) </w:t>
      </w:r>
      <w:r w:rsidR="00E66BDE">
        <w:rPr>
          <w:rFonts w:hint="cs"/>
          <w:rtl/>
        </w:rPr>
        <w:t>ההיתרים המינהליים שהוצאו על ידי קצין בכיר</w:t>
      </w:r>
      <w:r w:rsidRPr="00073C06">
        <w:rPr>
          <w:rFonts w:hint="cs"/>
          <w:rtl/>
        </w:rPr>
        <w:t xml:space="preserve"> בשנת 2021</w:t>
      </w:r>
      <w:r w:rsidRPr="00073C06">
        <w:rPr>
          <w:rStyle w:val="af"/>
          <w:rtl/>
        </w:rPr>
        <w:footnoteReference w:id="152"/>
      </w:r>
      <w:r>
        <w:rPr>
          <w:rFonts w:hint="cs"/>
          <w:rtl/>
        </w:rPr>
        <w:t xml:space="preserve"> </w:t>
      </w:r>
      <w:r w:rsidRPr="00073C06">
        <w:rPr>
          <w:rFonts w:hint="cs"/>
          <w:rtl/>
        </w:rPr>
        <w:t xml:space="preserve">הוצאו כצו חריג ב' לתקשורת בין מחשבים. </w:t>
      </w:r>
      <w:r>
        <w:rPr>
          <w:rFonts w:hint="cs"/>
          <w:rtl/>
        </w:rPr>
        <w:t>במהלך אותה השנה ניתן אישור משפטי זמני מ</w:t>
      </w:r>
      <w:r w:rsidR="00420D22">
        <w:rPr>
          <w:rFonts w:hint="cs"/>
          <w:rtl/>
        </w:rPr>
        <w:t xml:space="preserve">נציג </w:t>
      </w:r>
      <w:r>
        <w:rPr>
          <w:rFonts w:hint="cs"/>
          <w:rtl/>
        </w:rPr>
        <w:t>יועמ"ש המשטרה לעשות שימוש בהיתרי</w:t>
      </w:r>
      <w:r w:rsidR="00E66BDE">
        <w:rPr>
          <w:rFonts w:hint="cs"/>
          <w:rtl/>
        </w:rPr>
        <w:t xml:space="preserve">ם מסוג זה </w:t>
      </w:r>
      <w:r>
        <w:rPr>
          <w:rFonts w:hint="cs"/>
          <w:rtl/>
        </w:rPr>
        <w:t xml:space="preserve">כצו חריג ב'. </w:t>
      </w:r>
    </w:p>
    <w:p w:rsidR="00DE353F" w:rsidRDefault="00DE353F" w:rsidP="006E7248">
      <w:pPr>
        <w:spacing w:line="269" w:lineRule="auto"/>
        <w:ind w:left="680"/>
        <w:rPr>
          <w:b/>
          <w:bCs/>
          <w:rtl/>
        </w:rPr>
      </w:pPr>
      <w:bookmarkStart w:id="349" w:name="_Hlk147910149"/>
    </w:p>
    <w:p w:rsidR="009A1216" w:rsidRPr="00750827" w:rsidRDefault="009A1216" w:rsidP="006E7248">
      <w:pPr>
        <w:spacing w:line="269" w:lineRule="auto"/>
        <w:ind w:left="680"/>
        <w:rPr>
          <w:b/>
          <w:bCs/>
          <w:rtl/>
        </w:rPr>
      </w:pPr>
      <w:r w:rsidRPr="000D7E64">
        <w:rPr>
          <w:rFonts w:hint="cs"/>
          <w:b/>
          <w:bCs/>
          <w:rtl/>
        </w:rPr>
        <w:t>לאחר</w:t>
      </w:r>
      <w:r w:rsidRPr="000D7E64">
        <w:rPr>
          <w:b/>
          <w:bCs/>
          <w:rtl/>
        </w:rPr>
        <w:t xml:space="preserve"> </w:t>
      </w:r>
      <w:r w:rsidRPr="000D7E64">
        <w:rPr>
          <w:rFonts w:hint="cs"/>
          <w:b/>
          <w:bCs/>
          <w:rtl/>
        </w:rPr>
        <w:t>קבלת</w:t>
      </w:r>
      <w:r w:rsidRPr="000D7E64">
        <w:rPr>
          <w:b/>
          <w:bCs/>
          <w:rtl/>
        </w:rPr>
        <w:t xml:space="preserve"> </w:t>
      </w:r>
      <w:r w:rsidRPr="000D7E64">
        <w:rPr>
          <w:rFonts w:hint="cs"/>
          <w:b/>
          <w:bCs/>
          <w:rtl/>
        </w:rPr>
        <w:t>האישור</w:t>
      </w:r>
      <w:r w:rsidRPr="000D7E64">
        <w:rPr>
          <w:b/>
          <w:bCs/>
          <w:rtl/>
        </w:rPr>
        <w:t xml:space="preserve"> </w:t>
      </w:r>
      <w:r w:rsidRPr="000D7E64">
        <w:rPr>
          <w:rFonts w:hint="cs"/>
          <w:b/>
          <w:bCs/>
          <w:rtl/>
        </w:rPr>
        <w:t>המשפטי</w:t>
      </w:r>
      <w:r w:rsidRPr="000D7E64">
        <w:rPr>
          <w:b/>
          <w:bCs/>
          <w:rtl/>
        </w:rPr>
        <w:t xml:space="preserve"> </w:t>
      </w:r>
      <w:r w:rsidR="00420D22">
        <w:rPr>
          <w:rFonts w:hint="cs"/>
          <w:b/>
          <w:bCs/>
          <w:rtl/>
        </w:rPr>
        <w:t>מהייעוץ המשפטי ל</w:t>
      </w:r>
      <w:r w:rsidRPr="00EE1FA5">
        <w:rPr>
          <w:rFonts w:hint="cs"/>
          <w:b/>
          <w:bCs/>
          <w:rtl/>
        </w:rPr>
        <w:t>משטרה</w:t>
      </w:r>
      <w:r w:rsidRPr="00EE1FA5">
        <w:rPr>
          <w:b/>
          <w:bCs/>
          <w:rtl/>
        </w:rPr>
        <w:t xml:space="preserve"> </w:t>
      </w:r>
      <w:r>
        <w:rPr>
          <w:rFonts w:hint="cs"/>
          <w:b/>
          <w:bCs/>
          <w:rtl/>
        </w:rPr>
        <w:t>בשנת 2021</w:t>
      </w:r>
      <w:r w:rsidRPr="00EE1FA5">
        <w:rPr>
          <w:b/>
          <w:bCs/>
          <w:rtl/>
        </w:rPr>
        <w:t xml:space="preserve">, </w:t>
      </w:r>
      <w:r>
        <w:rPr>
          <w:rFonts w:hint="cs"/>
          <w:b/>
          <w:bCs/>
          <w:rtl/>
        </w:rPr>
        <w:t>השתמש</w:t>
      </w:r>
      <w:r w:rsidRPr="00EE1FA5">
        <w:rPr>
          <w:b/>
          <w:bCs/>
          <w:rtl/>
        </w:rPr>
        <w:t xml:space="preserve"> </w:t>
      </w:r>
      <w:r w:rsidR="00E66BDE">
        <w:rPr>
          <w:rFonts w:hint="cs"/>
          <w:b/>
          <w:bCs/>
          <w:rtl/>
        </w:rPr>
        <w:t>הקצין הבכיר במשטרה</w:t>
      </w:r>
      <w:r w:rsidRPr="00EE1FA5">
        <w:rPr>
          <w:b/>
          <w:bCs/>
          <w:rtl/>
        </w:rPr>
        <w:t xml:space="preserve"> </w:t>
      </w:r>
      <w:r>
        <w:rPr>
          <w:rFonts w:hint="cs"/>
          <w:b/>
          <w:bCs/>
          <w:rtl/>
        </w:rPr>
        <w:t xml:space="preserve">באופן </w:t>
      </w:r>
      <w:r w:rsidR="00E66BDE">
        <w:rPr>
          <w:rFonts w:hint="cs"/>
          <w:b/>
          <w:bCs/>
          <w:rtl/>
        </w:rPr>
        <w:t>נרחב</w:t>
      </w:r>
      <w:r w:rsidR="00E66BDE" w:rsidRPr="00EE1FA5">
        <w:rPr>
          <w:b/>
          <w:bCs/>
          <w:rtl/>
        </w:rPr>
        <w:t xml:space="preserve"> </w:t>
      </w:r>
      <w:r w:rsidRPr="00EE1FA5">
        <w:rPr>
          <w:rFonts w:hint="cs"/>
          <w:b/>
          <w:bCs/>
          <w:rtl/>
        </w:rPr>
        <w:t>בהיתרי</w:t>
      </w:r>
      <w:r w:rsidR="00F8104C">
        <w:rPr>
          <w:rFonts w:hint="cs"/>
          <w:b/>
          <w:bCs/>
          <w:rtl/>
        </w:rPr>
        <w:t>ם</w:t>
      </w:r>
      <w:r w:rsidRPr="00EE1FA5">
        <w:rPr>
          <w:b/>
          <w:bCs/>
          <w:rtl/>
        </w:rPr>
        <w:t xml:space="preserve"> </w:t>
      </w:r>
      <w:r w:rsidR="00DD1BEC">
        <w:rPr>
          <w:rFonts w:hint="cs"/>
          <w:b/>
          <w:bCs/>
          <w:rtl/>
        </w:rPr>
        <w:t xml:space="preserve">מינהליים מסוג </w:t>
      </w:r>
      <w:r w:rsidRPr="00EE1FA5">
        <w:rPr>
          <w:rFonts w:hint="cs"/>
          <w:b/>
          <w:bCs/>
          <w:rtl/>
        </w:rPr>
        <w:t>צו</w:t>
      </w:r>
      <w:r w:rsidRPr="00EE1FA5">
        <w:rPr>
          <w:b/>
          <w:bCs/>
          <w:rtl/>
        </w:rPr>
        <w:t xml:space="preserve"> </w:t>
      </w:r>
      <w:r w:rsidRPr="00EE1FA5">
        <w:rPr>
          <w:rFonts w:hint="cs"/>
          <w:b/>
          <w:bCs/>
          <w:rtl/>
        </w:rPr>
        <w:t>חריג</w:t>
      </w:r>
      <w:r w:rsidRPr="00EE1FA5">
        <w:rPr>
          <w:b/>
          <w:bCs/>
          <w:rtl/>
        </w:rPr>
        <w:t xml:space="preserve"> </w:t>
      </w:r>
      <w:r w:rsidRPr="00EE1FA5">
        <w:rPr>
          <w:rFonts w:hint="cs"/>
          <w:b/>
          <w:bCs/>
          <w:rtl/>
        </w:rPr>
        <w:t>ב</w:t>
      </w:r>
      <w:r w:rsidRPr="00EE1FA5">
        <w:rPr>
          <w:b/>
          <w:bCs/>
          <w:rtl/>
        </w:rPr>
        <w:t xml:space="preserve">' </w:t>
      </w:r>
      <w:r>
        <w:rPr>
          <w:rFonts w:hint="cs"/>
          <w:b/>
          <w:bCs/>
          <w:rtl/>
        </w:rPr>
        <w:t xml:space="preserve">לצורך האזנה לתקשורת בין מחשבים </w:t>
      </w:r>
      <w:r w:rsidRPr="00EE1FA5">
        <w:rPr>
          <w:b/>
          <w:bCs/>
          <w:rtl/>
        </w:rPr>
        <w:t xml:space="preserve">- </w:t>
      </w:r>
      <w:r w:rsidRPr="00EE1FA5">
        <w:rPr>
          <w:rFonts w:hint="cs"/>
          <w:b/>
          <w:bCs/>
          <w:rtl/>
        </w:rPr>
        <w:t>כלל</w:t>
      </w:r>
      <w:r w:rsidRPr="00EE1FA5">
        <w:rPr>
          <w:b/>
          <w:bCs/>
          <w:rtl/>
        </w:rPr>
        <w:t xml:space="preserve"> </w:t>
      </w:r>
      <w:r w:rsidRPr="00EE1FA5">
        <w:rPr>
          <w:rFonts w:hint="cs"/>
          <w:b/>
          <w:bCs/>
          <w:rtl/>
        </w:rPr>
        <w:t>ששת</w:t>
      </w:r>
      <w:r w:rsidRPr="00EE1FA5">
        <w:rPr>
          <w:b/>
          <w:bCs/>
          <w:rtl/>
        </w:rPr>
        <w:t xml:space="preserve"> </w:t>
      </w:r>
      <w:r w:rsidRPr="00EE1FA5">
        <w:rPr>
          <w:rFonts w:hint="cs"/>
          <w:b/>
          <w:bCs/>
          <w:rtl/>
        </w:rPr>
        <w:t>ההיתרים</w:t>
      </w:r>
      <w:r w:rsidR="00DD1BEC">
        <w:rPr>
          <w:rFonts w:hint="cs"/>
          <w:b/>
          <w:bCs/>
          <w:rtl/>
        </w:rPr>
        <w:t xml:space="preserve"> המינהליים</w:t>
      </w:r>
      <w:r w:rsidRPr="00EE1FA5">
        <w:rPr>
          <w:b/>
          <w:bCs/>
          <w:rtl/>
        </w:rPr>
        <w:t xml:space="preserve"> </w:t>
      </w:r>
      <w:r w:rsidRPr="00EE1FA5">
        <w:rPr>
          <w:rFonts w:hint="cs"/>
          <w:b/>
          <w:bCs/>
          <w:rtl/>
        </w:rPr>
        <w:t>שהוצאו</w:t>
      </w:r>
      <w:r w:rsidRPr="00EE1FA5">
        <w:rPr>
          <w:b/>
          <w:bCs/>
          <w:rtl/>
        </w:rPr>
        <w:t xml:space="preserve"> </w:t>
      </w:r>
      <w:r w:rsidRPr="00EE1FA5">
        <w:rPr>
          <w:rFonts w:hint="cs"/>
          <w:b/>
          <w:bCs/>
          <w:rtl/>
        </w:rPr>
        <w:t>תחת</w:t>
      </w:r>
      <w:r w:rsidRPr="00EE1FA5">
        <w:rPr>
          <w:b/>
          <w:bCs/>
          <w:rtl/>
        </w:rPr>
        <w:t xml:space="preserve"> </w:t>
      </w:r>
      <w:r w:rsidRPr="00EE1FA5">
        <w:rPr>
          <w:rFonts w:hint="cs"/>
          <w:b/>
          <w:bCs/>
          <w:rtl/>
        </w:rPr>
        <w:t>ידיו</w:t>
      </w:r>
      <w:r w:rsidRPr="00EE1FA5">
        <w:rPr>
          <w:b/>
          <w:bCs/>
          <w:rtl/>
        </w:rPr>
        <w:t xml:space="preserve"> </w:t>
      </w:r>
      <w:r w:rsidRPr="00EE1FA5">
        <w:rPr>
          <w:rFonts w:hint="cs"/>
          <w:b/>
          <w:bCs/>
          <w:rtl/>
        </w:rPr>
        <w:t>מאז</w:t>
      </w:r>
      <w:r w:rsidRPr="00EE1FA5">
        <w:rPr>
          <w:b/>
          <w:bCs/>
          <w:rtl/>
        </w:rPr>
        <w:t xml:space="preserve"> </w:t>
      </w:r>
      <w:r w:rsidRPr="00EE1FA5">
        <w:rPr>
          <w:rFonts w:hint="cs"/>
          <w:b/>
          <w:bCs/>
          <w:rtl/>
        </w:rPr>
        <w:t>היו</w:t>
      </w:r>
      <w:r w:rsidRPr="00EE1FA5">
        <w:rPr>
          <w:b/>
          <w:bCs/>
          <w:rtl/>
        </w:rPr>
        <w:t xml:space="preserve"> </w:t>
      </w:r>
      <w:r w:rsidRPr="00EE1FA5">
        <w:rPr>
          <w:rFonts w:hint="cs"/>
          <w:b/>
          <w:bCs/>
          <w:rtl/>
        </w:rPr>
        <w:t>מסוג</w:t>
      </w:r>
      <w:r w:rsidRPr="00EE1FA5">
        <w:rPr>
          <w:b/>
          <w:bCs/>
          <w:rtl/>
        </w:rPr>
        <w:t xml:space="preserve"> </w:t>
      </w:r>
      <w:r w:rsidRPr="00EE1FA5">
        <w:rPr>
          <w:rFonts w:hint="cs"/>
          <w:b/>
          <w:bCs/>
          <w:rtl/>
        </w:rPr>
        <w:t>זה</w:t>
      </w:r>
      <w:r w:rsidRPr="00EE1FA5">
        <w:rPr>
          <w:b/>
          <w:bCs/>
          <w:rtl/>
        </w:rPr>
        <w:t>.</w:t>
      </w:r>
      <w:r>
        <w:rPr>
          <w:rFonts w:hint="cs"/>
          <w:b/>
          <w:bCs/>
          <w:rtl/>
        </w:rPr>
        <w:t xml:space="preserve"> </w:t>
      </w:r>
      <w:r w:rsidRPr="00EE1FA5">
        <w:rPr>
          <w:rFonts w:hint="cs"/>
          <w:b/>
          <w:bCs/>
          <w:rtl/>
        </w:rPr>
        <w:t>השימוש</w:t>
      </w:r>
      <w:r w:rsidRPr="00EE1FA5">
        <w:rPr>
          <w:b/>
          <w:bCs/>
          <w:rtl/>
        </w:rPr>
        <w:t xml:space="preserve"> </w:t>
      </w:r>
      <w:r w:rsidR="00E66BDE">
        <w:rPr>
          <w:rFonts w:hint="cs"/>
          <w:b/>
          <w:bCs/>
          <w:rtl/>
        </w:rPr>
        <w:t xml:space="preserve">הנרחב </w:t>
      </w:r>
      <w:r>
        <w:rPr>
          <w:rFonts w:hint="cs"/>
          <w:b/>
          <w:bCs/>
          <w:rtl/>
        </w:rPr>
        <w:t>בהיתרים אלו</w:t>
      </w:r>
      <w:r w:rsidRPr="00EE1FA5">
        <w:rPr>
          <w:b/>
          <w:bCs/>
          <w:rtl/>
        </w:rPr>
        <w:t xml:space="preserve"> </w:t>
      </w:r>
      <w:r w:rsidRPr="00EE1FA5">
        <w:rPr>
          <w:rFonts w:hint="cs"/>
          <w:b/>
          <w:bCs/>
          <w:rtl/>
        </w:rPr>
        <w:t>ראוי לבחינה של המשטרה</w:t>
      </w:r>
      <w:r w:rsidRPr="00EE1FA5">
        <w:rPr>
          <w:b/>
          <w:bCs/>
          <w:rtl/>
        </w:rPr>
        <w:t xml:space="preserve"> שכן </w:t>
      </w:r>
      <w:r>
        <w:rPr>
          <w:rFonts w:hint="cs"/>
          <w:b/>
          <w:bCs/>
          <w:rtl/>
        </w:rPr>
        <w:t>לפני קבלת</w:t>
      </w:r>
      <w:r w:rsidRPr="00EE1FA5">
        <w:rPr>
          <w:b/>
          <w:bCs/>
          <w:rtl/>
        </w:rPr>
        <w:t xml:space="preserve"> </w:t>
      </w:r>
      <w:r w:rsidRPr="00EE1FA5">
        <w:rPr>
          <w:rFonts w:hint="cs"/>
          <w:b/>
          <w:bCs/>
          <w:rtl/>
        </w:rPr>
        <w:t>האישור</w:t>
      </w:r>
      <w:r w:rsidRPr="00EE1FA5">
        <w:rPr>
          <w:b/>
          <w:bCs/>
          <w:rtl/>
        </w:rPr>
        <w:t xml:space="preserve"> המשפטי הזמני </w:t>
      </w:r>
      <w:r w:rsidRPr="00EE1FA5">
        <w:rPr>
          <w:rFonts w:hint="cs"/>
          <w:b/>
          <w:bCs/>
          <w:rtl/>
        </w:rPr>
        <w:t>לא</w:t>
      </w:r>
      <w:r w:rsidRPr="00EE1FA5">
        <w:rPr>
          <w:b/>
          <w:bCs/>
          <w:rtl/>
        </w:rPr>
        <w:t xml:space="preserve"> נעשה </w:t>
      </w:r>
      <w:r w:rsidRPr="00EE1FA5">
        <w:rPr>
          <w:rFonts w:hint="cs"/>
          <w:b/>
          <w:bCs/>
          <w:rtl/>
        </w:rPr>
        <w:t>שימוש</w:t>
      </w:r>
      <w:r w:rsidRPr="00EE1FA5">
        <w:rPr>
          <w:b/>
          <w:bCs/>
          <w:rtl/>
        </w:rPr>
        <w:t xml:space="preserve"> </w:t>
      </w:r>
      <w:r w:rsidRPr="00EE1FA5">
        <w:rPr>
          <w:rFonts w:hint="cs"/>
          <w:b/>
          <w:bCs/>
          <w:rtl/>
        </w:rPr>
        <w:t>בצו</w:t>
      </w:r>
      <w:r w:rsidRPr="00EE1FA5">
        <w:rPr>
          <w:b/>
          <w:bCs/>
          <w:rtl/>
        </w:rPr>
        <w:t xml:space="preserve"> </w:t>
      </w:r>
      <w:r w:rsidRPr="00EE1FA5">
        <w:rPr>
          <w:rFonts w:hint="cs"/>
          <w:b/>
          <w:bCs/>
          <w:rtl/>
        </w:rPr>
        <w:t>חריג</w:t>
      </w:r>
      <w:r w:rsidRPr="00EE1FA5">
        <w:rPr>
          <w:b/>
          <w:bCs/>
          <w:rtl/>
        </w:rPr>
        <w:t xml:space="preserve"> </w:t>
      </w:r>
      <w:r w:rsidRPr="00EE1FA5">
        <w:rPr>
          <w:rFonts w:hint="cs"/>
          <w:b/>
          <w:bCs/>
          <w:rtl/>
        </w:rPr>
        <w:t>ב</w:t>
      </w:r>
      <w:r w:rsidRPr="00EE1FA5">
        <w:rPr>
          <w:b/>
          <w:bCs/>
          <w:rtl/>
        </w:rPr>
        <w:t xml:space="preserve">', ולאחר </w:t>
      </w:r>
      <w:r>
        <w:rPr>
          <w:rFonts w:hint="cs"/>
          <w:b/>
          <w:bCs/>
          <w:rtl/>
        </w:rPr>
        <w:t>קבלתו</w:t>
      </w:r>
      <w:r w:rsidRPr="00EE1FA5">
        <w:rPr>
          <w:b/>
          <w:bCs/>
          <w:rtl/>
        </w:rPr>
        <w:t xml:space="preserve"> </w:t>
      </w:r>
      <w:r>
        <w:rPr>
          <w:rFonts w:hint="cs"/>
          <w:b/>
          <w:bCs/>
          <w:rtl/>
        </w:rPr>
        <w:t>נעשה שימוש בלעדי</w:t>
      </w:r>
      <w:r w:rsidRPr="00EE1FA5">
        <w:rPr>
          <w:b/>
          <w:bCs/>
          <w:rtl/>
        </w:rPr>
        <w:t xml:space="preserve"> בצו החריג </w:t>
      </w:r>
      <w:r w:rsidRPr="00EE1FA5">
        <w:rPr>
          <w:rFonts w:hint="cs"/>
          <w:b/>
          <w:bCs/>
          <w:rtl/>
        </w:rPr>
        <w:t>בהיתרי</w:t>
      </w:r>
      <w:r w:rsidR="00E66BDE">
        <w:rPr>
          <w:rFonts w:hint="cs"/>
          <w:b/>
          <w:bCs/>
          <w:rtl/>
        </w:rPr>
        <w:t xml:space="preserve">ם מינהליים </w:t>
      </w:r>
      <w:r w:rsidR="00DD1BEC">
        <w:rPr>
          <w:rFonts w:hint="cs"/>
          <w:b/>
          <w:bCs/>
          <w:rtl/>
        </w:rPr>
        <w:t>אלו</w:t>
      </w:r>
      <w:r w:rsidRPr="00EE1FA5">
        <w:rPr>
          <w:b/>
          <w:bCs/>
          <w:rtl/>
        </w:rPr>
        <w:t>.</w:t>
      </w:r>
    </w:p>
    <w:bookmarkEnd w:id="349"/>
    <w:p w:rsidR="00DE353F" w:rsidRDefault="00DE353F" w:rsidP="006E7248">
      <w:pPr>
        <w:spacing w:line="269" w:lineRule="auto"/>
        <w:ind w:left="680"/>
        <w:rPr>
          <w:b/>
          <w:bCs/>
          <w:rtl/>
        </w:rPr>
      </w:pPr>
    </w:p>
    <w:p w:rsidR="009A1216" w:rsidRDefault="009A1216" w:rsidP="006E7248">
      <w:pPr>
        <w:spacing w:line="269" w:lineRule="auto"/>
        <w:ind w:left="680"/>
        <w:rPr>
          <w:b/>
          <w:bCs/>
          <w:rtl/>
        </w:rPr>
      </w:pPr>
      <w:r>
        <w:rPr>
          <w:rFonts w:hint="cs"/>
          <w:b/>
          <w:bCs/>
          <w:rtl/>
        </w:rPr>
        <w:t xml:space="preserve">לנוכח השימוש </w:t>
      </w:r>
      <w:r w:rsidR="00386B40">
        <w:rPr>
          <w:rFonts w:hint="cs"/>
          <w:b/>
          <w:bCs/>
          <w:rtl/>
        </w:rPr>
        <w:t xml:space="preserve">הנרחב </w:t>
      </w:r>
      <w:r>
        <w:rPr>
          <w:rFonts w:hint="cs"/>
          <w:b/>
          <w:bCs/>
          <w:rtl/>
        </w:rPr>
        <w:t xml:space="preserve">של </w:t>
      </w:r>
      <w:r w:rsidR="00386B40">
        <w:rPr>
          <w:rFonts w:hint="cs"/>
          <w:b/>
          <w:bCs/>
          <w:rtl/>
        </w:rPr>
        <w:t>קצין משטרה בכיר</w:t>
      </w:r>
      <w:r>
        <w:rPr>
          <w:rFonts w:hint="cs"/>
          <w:b/>
          <w:bCs/>
          <w:rtl/>
        </w:rPr>
        <w:t xml:space="preserve"> ב</w:t>
      </w:r>
      <w:r w:rsidR="00DD1BEC">
        <w:rPr>
          <w:rFonts w:hint="cs"/>
          <w:b/>
          <w:bCs/>
          <w:rtl/>
        </w:rPr>
        <w:t xml:space="preserve">היתר מינהלי מסוג </w:t>
      </w:r>
      <w:r>
        <w:rPr>
          <w:rFonts w:hint="cs"/>
          <w:b/>
          <w:bCs/>
          <w:rtl/>
        </w:rPr>
        <w:t xml:space="preserve">צו חריג ב', מומלץ כי יועמ"ש המשטרה יבחן במסגרת ההסדרה המשפטית להוצאת צו חריג ב' </w:t>
      </w:r>
      <w:r w:rsidR="00386B40">
        <w:rPr>
          <w:rFonts w:hint="cs"/>
          <w:b/>
          <w:bCs/>
          <w:rtl/>
        </w:rPr>
        <w:t>להאזנה לחשודים מסוימים</w:t>
      </w:r>
      <w:r w:rsidRPr="00C94BD2">
        <w:rPr>
          <w:b/>
          <w:bCs/>
          <w:rtl/>
        </w:rPr>
        <w:t xml:space="preserve"> </w:t>
      </w:r>
      <w:r w:rsidRPr="00C94BD2">
        <w:rPr>
          <w:rFonts w:hint="cs"/>
          <w:b/>
          <w:bCs/>
          <w:rtl/>
        </w:rPr>
        <w:t>את</w:t>
      </w:r>
      <w:r w:rsidRPr="00C94BD2">
        <w:rPr>
          <w:b/>
          <w:bCs/>
          <w:rtl/>
        </w:rPr>
        <w:t xml:space="preserve"> </w:t>
      </w:r>
      <w:r>
        <w:rPr>
          <w:rFonts w:hint="cs"/>
          <w:b/>
          <w:bCs/>
          <w:rtl/>
        </w:rPr>
        <w:t xml:space="preserve">זהות הדרג שמקבל את ההחלטה ואת התבחינים הנדרשים לצורך קביעה כי נעשה בסמכות שימוש מידתי. הסדרת הסמכות והפקדתה בידי </w:t>
      </w:r>
      <w:r w:rsidR="00386B40">
        <w:rPr>
          <w:rFonts w:hint="cs"/>
          <w:b/>
          <w:bCs/>
          <w:rtl/>
        </w:rPr>
        <w:t>אותו קצין בכיר</w:t>
      </w:r>
      <w:r>
        <w:rPr>
          <w:rFonts w:hint="cs"/>
          <w:b/>
          <w:bCs/>
          <w:rtl/>
        </w:rPr>
        <w:t xml:space="preserve"> מעלה קושי לנוכח הדרג הנדרש לאשר בקשה בנסיבות דומות - בית המשפט או המפכ"ל. </w:t>
      </w:r>
    </w:p>
    <w:p w:rsidR="009A1216" w:rsidRPr="0072413F" w:rsidRDefault="009A1216" w:rsidP="006E7248">
      <w:pPr>
        <w:pStyle w:val="a5"/>
        <w:spacing w:line="269" w:lineRule="auto"/>
        <w:ind w:left="113"/>
        <w:rPr>
          <w:b/>
          <w:bCs/>
          <w:rtl/>
        </w:rPr>
      </w:pPr>
    </w:p>
    <w:p w:rsidR="009A1216" w:rsidRPr="0072413F" w:rsidRDefault="009A1216" w:rsidP="006E7248">
      <w:pPr>
        <w:spacing w:line="269" w:lineRule="auto"/>
        <w:ind w:left="680"/>
        <w:rPr>
          <w:szCs w:val="20"/>
          <w:rtl/>
        </w:rPr>
      </w:pPr>
      <w:bookmarkStart w:id="350" w:name="_Hlk185159496"/>
      <w:r w:rsidRPr="007538E5">
        <w:rPr>
          <w:rFonts w:hint="eastAsia"/>
          <w:sz w:val="24"/>
          <w:rtl/>
        </w:rPr>
        <w:t>המשטרה</w:t>
      </w:r>
      <w:r w:rsidRPr="007538E5">
        <w:rPr>
          <w:sz w:val="24"/>
          <w:rtl/>
        </w:rPr>
        <w:t xml:space="preserve"> מסרה כי </w:t>
      </w:r>
      <w:r w:rsidRPr="007538E5">
        <w:rPr>
          <w:rFonts w:hint="eastAsia"/>
          <w:sz w:val="24"/>
          <w:rtl/>
        </w:rPr>
        <w:t>המלצת</w:t>
      </w:r>
      <w:r w:rsidRPr="007538E5">
        <w:rPr>
          <w:sz w:val="24"/>
          <w:rtl/>
        </w:rPr>
        <w:t xml:space="preserve"> </w:t>
      </w:r>
      <w:r w:rsidRPr="007538E5">
        <w:rPr>
          <w:rFonts w:hint="eastAsia"/>
          <w:sz w:val="24"/>
          <w:rtl/>
        </w:rPr>
        <w:t>הביקורת</w:t>
      </w:r>
      <w:r w:rsidRPr="007538E5">
        <w:rPr>
          <w:sz w:val="24"/>
          <w:rtl/>
        </w:rPr>
        <w:t xml:space="preserve"> </w:t>
      </w:r>
      <w:r w:rsidRPr="007538E5">
        <w:rPr>
          <w:rFonts w:hint="eastAsia"/>
          <w:sz w:val="24"/>
          <w:rtl/>
        </w:rPr>
        <w:t>אינה</w:t>
      </w:r>
      <w:r w:rsidRPr="007538E5">
        <w:rPr>
          <w:sz w:val="24"/>
          <w:rtl/>
        </w:rPr>
        <w:t xml:space="preserve"> </w:t>
      </w:r>
      <w:r w:rsidRPr="007538E5">
        <w:rPr>
          <w:rFonts w:hint="eastAsia"/>
          <w:sz w:val="24"/>
          <w:rtl/>
        </w:rPr>
        <w:t>נותנת</w:t>
      </w:r>
      <w:r w:rsidRPr="007538E5">
        <w:rPr>
          <w:sz w:val="24"/>
          <w:rtl/>
        </w:rPr>
        <w:t xml:space="preserve"> </w:t>
      </w:r>
      <w:r w:rsidRPr="007538E5">
        <w:rPr>
          <w:rFonts w:hint="eastAsia"/>
          <w:sz w:val="24"/>
          <w:rtl/>
        </w:rPr>
        <w:t>מענה</w:t>
      </w:r>
      <w:r w:rsidRPr="007538E5">
        <w:rPr>
          <w:sz w:val="24"/>
          <w:rtl/>
        </w:rPr>
        <w:t xml:space="preserve"> </w:t>
      </w:r>
      <w:r w:rsidRPr="007538E5">
        <w:rPr>
          <w:rFonts w:hint="eastAsia"/>
          <w:sz w:val="24"/>
          <w:rtl/>
        </w:rPr>
        <w:t>מבצעי</w:t>
      </w:r>
      <w:r w:rsidRPr="007538E5">
        <w:rPr>
          <w:sz w:val="24"/>
          <w:rtl/>
        </w:rPr>
        <w:t xml:space="preserve"> </w:t>
      </w:r>
      <w:r w:rsidRPr="007538E5">
        <w:rPr>
          <w:rFonts w:hint="eastAsia"/>
          <w:sz w:val="24"/>
          <w:rtl/>
        </w:rPr>
        <w:t>לגורמי</w:t>
      </w:r>
      <w:r w:rsidRPr="007538E5">
        <w:rPr>
          <w:sz w:val="24"/>
          <w:rtl/>
        </w:rPr>
        <w:t xml:space="preserve"> </w:t>
      </w:r>
      <w:r w:rsidRPr="007538E5">
        <w:rPr>
          <w:rFonts w:hint="eastAsia"/>
          <w:sz w:val="24"/>
          <w:rtl/>
        </w:rPr>
        <w:t>השטח</w:t>
      </w:r>
      <w:r w:rsidRPr="007538E5">
        <w:rPr>
          <w:sz w:val="24"/>
          <w:rtl/>
        </w:rPr>
        <w:t xml:space="preserve"> לסיכול עבירות, וכי </w:t>
      </w:r>
      <w:r w:rsidRPr="007538E5">
        <w:rPr>
          <w:rFonts w:hint="eastAsia"/>
          <w:sz w:val="24"/>
          <w:rtl/>
        </w:rPr>
        <w:t>השימוש</w:t>
      </w:r>
      <w:r w:rsidRPr="007538E5">
        <w:rPr>
          <w:sz w:val="24"/>
          <w:rtl/>
        </w:rPr>
        <w:t xml:space="preserve"> </w:t>
      </w:r>
      <w:r w:rsidRPr="007538E5">
        <w:rPr>
          <w:rFonts w:hint="eastAsia"/>
          <w:sz w:val="24"/>
          <w:rtl/>
        </w:rPr>
        <w:t>בהיתרים</w:t>
      </w:r>
      <w:r w:rsidRPr="007538E5">
        <w:rPr>
          <w:sz w:val="24"/>
          <w:rtl/>
        </w:rPr>
        <w:t xml:space="preserve"> </w:t>
      </w:r>
      <w:r w:rsidRPr="007538E5">
        <w:rPr>
          <w:rFonts w:hint="eastAsia"/>
          <w:sz w:val="24"/>
          <w:rtl/>
        </w:rPr>
        <w:t>מינהליים</w:t>
      </w:r>
      <w:r w:rsidRPr="007538E5">
        <w:rPr>
          <w:sz w:val="24"/>
          <w:rtl/>
        </w:rPr>
        <w:t xml:space="preserve"> אושר </w:t>
      </w:r>
      <w:r w:rsidRPr="007538E5">
        <w:rPr>
          <w:rFonts w:hint="eastAsia"/>
          <w:sz w:val="24"/>
          <w:rtl/>
        </w:rPr>
        <w:t>בשנת</w:t>
      </w:r>
      <w:r w:rsidRPr="007538E5">
        <w:rPr>
          <w:sz w:val="24"/>
          <w:rtl/>
        </w:rPr>
        <w:t xml:space="preserve"> 2021 </w:t>
      </w:r>
      <w:r w:rsidRPr="007538E5">
        <w:rPr>
          <w:rFonts w:hint="eastAsia"/>
          <w:sz w:val="24"/>
          <w:rtl/>
        </w:rPr>
        <w:t>על</w:t>
      </w:r>
      <w:r w:rsidRPr="007538E5">
        <w:rPr>
          <w:sz w:val="24"/>
          <w:rtl/>
        </w:rPr>
        <w:t xml:space="preserve"> </w:t>
      </w:r>
      <w:r w:rsidRPr="007538E5">
        <w:rPr>
          <w:rFonts w:hint="eastAsia"/>
          <w:sz w:val="24"/>
          <w:rtl/>
        </w:rPr>
        <w:t>ידי</w:t>
      </w:r>
      <w:r w:rsidRPr="007538E5">
        <w:rPr>
          <w:sz w:val="24"/>
          <w:rtl/>
        </w:rPr>
        <w:t xml:space="preserve"> </w:t>
      </w:r>
      <w:r>
        <w:rPr>
          <w:rFonts w:hint="cs"/>
          <w:sz w:val="24"/>
          <w:rtl/>
        </w:rPr>
        <w:t>היועמ"ש</w:t>
      </w:r>
      <w:r w:rsidRPr="007538E5">
        <w:rPr>
          <w:sz w:val="24"/>
          <w:rtl/>
        </w:rPr>
        <w:t xml:space="preserve"> </w:t>
      </w:r>
      <w:r w:rsidRPr="007538E5">
        <w:rPr>
          <w:rFonts w:hint="eastAsia"/>
          <w:sz w:val="24"/>
          <w:rtl/>
        </w:rPr>
        <w:t>לממשלה</w:t>
      </w:r>
      <w:r w:rsidRPr="007538E5">
        <w:rPr>
          <w:sz w:val="24"/>
          <w:rtl/>
        </w:rPr>
        <w:t xml:space="preserve"> </w:t>
      </w:r>
      <w:r w:rsidRPr="007538E5">
        <w:rPr>
          <w:rFonts w:hint="eastAsia"/>
          <w:sz w:val="24"/>
          <w:rtl/>
        </w:rPr>
        <w:t>דאז</w:t>
      </w:r>
      <w:r w:rsidRPr="007538E5">
        <w:rPr>
          <w:sz w:val="24"/>
          <w:rtl/>
        </w:rPr>
        <w:t>.</w:t>
      </w:r>
    </w:p>
    <w:bookmarkEnd w:id="350"/>
    <w:p w:rsidR="009A1216" w:rsidRPr="0072413F" w:rsidRDefault="009A1216" w:rsidP="006E7248">
      <w:pPr>
        <w:pStyle w:val="a5"/>
        <w:spacing w:line="269" w:lineRule="auto"/>
        <w:ind w:left="113"/>
        <w:rPr>
          <w:b/>
          <w:bCs/>
          <w:rtl/>
        </w:rPr>
      </w:pPr>
    </w:p>
    <w:p w:rsidR="009A1216" w:rsidRPr="007538E5" w:rsidRDefault="009A1216" w:rsidP="006E7248">
      <w:pPr>
        <w:spacing w:line="269" w:lineRule="auto"/>
        <w:ind w:left="680"/>
        <w:rPr>
          <w:b/>
          <w:bCs/>
          <w:sz w:val="24"/>
          <w:rtl/>
        </w:rPr>
      </w:pPr>
      <w:r w:rsidRPr="007538E5">
        <w:rPr>
          <w:rFonts w:hint="eastAsia"/>
          <w:sz w:val="24"/>
          <w:rtl/>
        </w:rPr>
        <w:t>משרד</w:t>
      </w:r>
      <w:r w:rsidRPr="007538E5">
        <w:rPr>
          <w:sz w:val="24"/>
          <w:rtl/>
        </w:rPr>
        <w:t xml:space="preserve"> המשפטים מסר בתשובה נוספת מנובמבר 2024 כי </w:t>
      </w:r>
      <w:r w:rsidRPr="007538E5">
        <w:rPr>
          <w:rFonts w:hint="eastAsia"/>
          <w:sz w:val="24"/>
          <w:rtl/>
        </w:rPr>
        <w:t>אין</w:t>
      </w:r>
      <w:r w:rsidRPr="007538E5">
        <w:rPr>
          <w:sz w:val="24"/>
          <w:rtl/>
        </w:rPr>
        <w:t xml:space="preserve"> לראות בישיבות שהתקיימו באוקטובר ובנובמבר 2021, ישיבות שבהן ניתן אישור של הייעוץ המשפטי לממשלה לעשות שימוש בהיתרים מינהליים </w:t>
      </w:r>
      <w:r w:rsidR="00386B40">
        <w:rPr>
          <w:rFonts w:hint="cs"/>
          <w:sz w:val="24"/>
          <w:rtl/>
        </w:rPr>
        <w:t>לחשודים מסוימים כפי שנעשה על ידי הקצין הבכיר במשטרה</w:t>
      </w:r>
      <w:r w:rsidRPr="007538E5">
        <w:rPr>
          <w:sz w:val="24"/>
          <w:rtl/>
        </w:rPr>
        <w:t>.</w:t>
      </w:r>
      <w:r w:rsidR="00382AE8">
        <w:rPr>
          <w:sz w:val="24"/>
          <w:rtl/>
        </w:rPr>
        <w:t xml:space="preserve"> </w:t>
      </w:r>
    </w:p>
    <w:p w:rsidR="00D23A25" w:rsidRDefault="00D23A25" w:rsidP="006E7248">
      <w:pPr>
        <w:spacing w:line="269" w:lineRule="auto"/>
        <w:ind w:left="680"/>
        <w:rPr>
          <w:b/>
          <w:bCs/>
          <w:rtl/>
        </w:rPr>
      </w:pPr>
    </w:p>
    <w:p w:rsidR="009A1216" w:rsidRPr="000520E2" w:rsidRDefault="009A1216" w:rsidP="006E7248">
      <w:pPr>
        <w:spacing w:line="269" w:lineRule="auto"/>
        <w:ind w:left="680"/>
        <w:rPr>
          <w:b/>
          <w:bCs/>
          <w:rtl/>
        </w:rPr>
      </w:pPr>
      <w:r w:rsidRPr="0072413F">
        <w:rPr>
          <w:rFonts w:hint="cs"/>
          <w:b/>
          <w:bCs/>
          <w:rtl/>
        </w:rPr>
        <w:t xml:space="preserve">מבקר המדינה מעיר כי על היועמ"ש למשטרה </w:t>
      </w:r>
      <w:r>
        <w:rPr>
          <w:rFonts w:hint="cs"/>
          <w:b/>
          <w:bCs/>
          <w:rtl/>
        </w:rPr>
        <w:t>לתת</w:t>
      </w:r>
      <w:r w:rsidRPr="0072413F">
        <w:rPr>
          <w:rFonts w:hint="cs"/>
          <w:b/>
          <w:bCs/>
          <w:rtl/>
        </w:rPr>
        <w:t xml:space="preserve"> מענה משפטי לצורך המבצעי </w:t>
      </w:r>
      <w:r>
        <w:rPr>
          <w:rFonts w:hint="cs"/>
          <w:b/>
          <w:bCs/>
          <w:rtl/>
        </w:rPr>
        <w:t>ש</w:t>
      </w:r>
      <w:r w:rsidRPr="0072413F">
        <w:rPr>
          <w:rFonts w:hint="cs"/>
          <w:b/>
          <w:bCs/>
          <w:rtl/>
        </w:rPr>
        <w:t>ל</w:t>
      </w:r>
      <w:r>
        <w:rPr>
          <w:rFonts w:hint="cs"/>
          <w:b/>
          <w:bCs/>
          <w:rtl/>
        </w:rPr>
        <w:t xml:space="preserve"> ה</w:t>
      </w:r>
      <w:r w:rsidRPr="0072413F">
        <w:rPr>
          <w:rFonts w:hint="cs"/>
          <w:b/>
          <w:bCs/>
          <w:rtl/>
        </w:rPr>
        <w:t xml:space="preserve">משטרה שיבטיח כי נעשה שימוש מידתי בסמכות הוצאת היתר חריג ב'. בין היתר, יכול היועמ"ש למשטרה לשקול את הגבלת משך ההיתר, את היקף </w:t>
      </w:r>
      <w:r w:rsidR="00386B40">
        <w:rPr>
          <w:rFonts w:hint="cs"/>
          <w:b/>
          <w:bCs/>
          <w:rtl/>
        </w:rPr>
        <w:t>התחולה שלו</w:t>
      </w:r>
      <w:r w:rsidRPr="0072413F">
        <w:rPr>
          <w:rFonts w:hint="cs"/>
          <w:b/>
          <w:bCs/>
          <w:rtl/>
        </w:rPr>
        <w:t xml:space="preserve">, ואת הדרישה להוצאת צווים ספציפיים כלפי יעדי האזנה עם גילוי זהותם. לנוכח מורכבות המצב המשפטי והתשובות הסותרות של </w:t>
      </w:r>
      <w:r>
        <w:rPr>
          <w:rFonts w:hint="cs"/>
          <w:b/>
          <w:bCs/>
          <w:rtl/>
        </w:rPr>
        <w:t>הייעוץ המשפטי לממשלה ב</w:t>
      </w:r>
      <w:r w:rsidRPr="0072413F">
        <w:rPr>
          <w:rFonts w:hint="cs"/>
          <w:b/>
          <w:bCs/>
          <w:rtl/>
        </w:rPr>
        <w:t>משרד המשפטים והמשטרה</w:t>
      </w:r>
      <w:r>
        <w:rPr>
          <w:rFonts w:hint="cs"/>
          <w:b/>
          <w:bCs/>
          <w:rtl/>
        </w:rPr>
        <w:t>,</w:t>
      </w:r>
      <w:r w:rsidRPr="0072413F">
        <w:rPr>
          <w:rFonts w:hint="cs"/>
          <w:b/>
          <w:bCs/>
          <w:rtl/>
        </w:rPr>
        <w:t xml:space="preserve"> עד להסדרה משפטית או חקיקתית מלאה של השימוש בהיתרי</w:t>
      </w:r>
      <w:r w:rsidR="00F110E8">
        <w:rPr>
          <w:rFonts w:hint="cs"/>
          <w:b/>
          <w:bCs/>
          <w:rtl/>
        </w:rPr>
        <w:t>ם מינהליים מסוג</w:t>
      </w:r>
      <w:r w:rsidRPr="0072413F">
        <w:rPr>
          <w:rFonts w:hint="cs"/>
          <w:b/>
          <w:bCs/>
          <w:rtl/>
        </w:rPr>
        <w:t xml:space="preserve"> צו חריג ב' </w:t>
      </w:r>
      <w:r w:rsidR="00F110E8">
        <w:rPr>
          <w:rFonts w:hint="cs"/>
          <w:b/>
          <w:bCs/>
          <w:rtl/>
        </w:rPr>
        <w:t xml:space="preserve">הנחתמים על ידי קצין משטרה בכיר </w:t>
      </w:r>
      <w:r w:rsidR="00386B40">
        <w:rPr>
          <w:rFonts w:hint="cs"/>
          <w:b/>
          <w:bCs/>
          <w:rtl/>
        </w:rPr>
        <w:t>להאזנה לחשודים מסוימים</w:t>
      </w:r>
      <w:r w:rsidRPr="0072413F">
        <w:rPr>
          <w:rFonts w:hint="cs"/>
          <w:b/>
          <w:bCs/>
          <w:rtl/>
        </w:rPr>
        <w:t xml:space="preserve">, מוצע כי המשטרה לא תשתמש </w:t>
      </w:r>
      <w:r w:rsidR="00F110E8">
        <w:rPr>
          <w:rFonts w:hint="cs"/>
          <w:b/>
          <w:bCs/>
          <w:rtl/>
        </w:rPr>
        <w:t>בהם</w:t>
      </w:r>
      <w:r w:rsidRPr="0072413F">
        <w:rPr>
          <w:rFonts w:hint="cs"/>
          <w:b/>
          <w:bCs/>
          <w:rtl/>
        </w:rPr>
        <w:t>.</w:t>
      </w:r>
      <w:r>
        <w:rPr>
          <w:rFonts w:hint="cs"/>
          <w:b/>
          <w:bCs/>
          <w:rtl/>
        </w:rPr>
        <w:t xml:space="preserve"> </w:t>
      </w:r>
      <w:r w:rsidR="00D23A25">
        <w:rPr>
          <w:rFonts w:hint="cs"/>
          <w:b/>
          <w:bCs/>
          <w:rtl/>
        </w:rPr>
        <w:t xml:space="preserve">עוד </w:t>
      </w:r>
      <w:r>
        <w:rPr>
          <w:rFonts w:hint="cs"/>
          <w:b/>
          <w:bCs/>
          <w:rtl/>
        </w:rPr>
        <w:t>מוצע כי במסגרת ההסדרה האמורה המשטרה</w:t>
      </w:r>
      <w:r w:rsidR="00246A43">
        <w:rPr>
          <w:rFonts w:hint="cs"/>
          <w:b/>
          <w:bCs/>
          <w:rtl/>
        </w:rPr>
        <w:t xml:space="preserve"> </w:t>
      </w:r>
      <w:r>
        <w:rPr>
          <w:rFonts w:hint="cs"/>
          <w:b/>
          <w:bCs/>
          <w:rtl/>
        </w:rPr>
        <w:t>בשיתוף כלל הגורמים הרלוונטיים ובפרט הייעוץ המשפטי לממשלה במשרד המשפטים</w:t>
      </w:r>
      <w:r w:rsidR="00382AE8">
        <w:rPr>
          <w:rFonts w:hint="cs"/>
          <w:b/>
          <w:bCs/>
          <w:rtl/>
        </w:rPr>
        <w:t xml:space="preserve"> </w:t>
      </w:r>
      <w:r>
        <w:rPr>
          <w:rFonts w:hint="cs"/>
          <w:b/>
          <w:bCs/>
          <w:rtl/>
        </w:rPr>
        <w:t xml:space="preserve">תחיל את המנגנונים הקיימים בחוק האזנת סתר, קרי הוצאת צו שיפוטי בערכאה המתאימה או הוצאת היתר מפכ"ל. </w:t>
      </w:r>
    </w:p>
    <w:p w:rsidR="009A1216" w:rsidRPr="000520E2" w:rsidRDefault="009A1216" w:rsidP="00604C3D">
      <w:pPr>
        <w:spacing w:line="269" w:lineRule="auto"/>
        <w:rPr>
          <w:b/>
          <w:bCs/>
          <w:rtl/>
        </w:rPr>
      </w:pPr>
    </w:p>
    <w:p w:rsidR="009A1216" w:rsidRPr="00117D1D" w:rsidRDefault="009A1216" w:rsidP="008C598D">
      <w:pPr>
        <w:pStyle w:val="5"/>
        <w:numPr>
          <w:ilvl w:val="2"/>
          <w:numId w:val="75"/>
        </w:numPr>
        <w:spacing w:line="269" w:lineRule="auto"/>
        <w:ind w:left="707"/>
        <w:rPr>
          <w:rtl/>
        </w:rPr>
      </w:pPr>
      <w:bookmarkStart w:id="351" w:name="_Hlk147910266"/>
      <w:r w:rsidRPr="00117D1D">
        <w:rPr>
          <w:rFonts w:hint="cs"/>
          <w:rtl/>
        </w:rPr>
        <w:t xml:space="preserve">תיעוד נסיבות השימוש בצו החריג </w:t>
      </w:r>
    </w:p>
    <w:bookmarkEnd w:id="351"/>
    <w:p w:rsidR="00D23A25" w:rsidRDefault="00D23A25" w:rsidP="00604C3D">
      <w:pPr>
        <w:pStyle w:val="afe"/>
        <w:spacing w:line="269" w:lineRule="auto"/>
        <w:rPr>
          <w:i w:val="0"/>
          <w:iCs w:val="0"/>
          <w:rtl/>
        </w:rPr>
      </w:pPr>
    </w:p>
    <w:p w:rsidR="009A1216" w:rsidRDefault="009A1216" w:rsidP="006E7248">
      <w:pPr>
        <w:pStyle w:val="afe"/>
        <w:spacing w:line="269" w:lineRule="auto"/>
        <w:ind w:left="680"/>
        <w:rPr>
          <w:i w:val="0"/>
          <w:iCs w:val="0"/>
          <w:rtl/>
        </w:rPr>
      </w:pPr>
      <w:r>
        <w:rPr>
          <w:rFonts w:hint="cs"/>
          <w:i w:val="0"/>
          <w:iCs w:val="0"/>
          <w:rtl/>
        </w:rPr>
        <w:t xml:space="preserve">בחוות הדעת משנת 2017 הוסבר כי ההצדקה לפרשנות המאפשרת האזנת סתר ליעדים שזהותם אינה ידועה מראש צריכה להיות תכליתית ומצומצמת. לפי חוות הדעת יש להגביל את השימוש שהותר בצו חריג ב' רק לאותם המקרים שבהם לאחר שהתגלתה זהות היעד שיש צורך להאזין לו לא ניתן לפנות לקבלת צו שיפוטי או היתר מפכ"ל מפאת דחיפות ביצוע ההאזנה. </w:t>
      </w:r>
    </w:p>
    <w:p w:rsidR="00D23A25" w:rsidRDefault="00D23A25" w:rsidP="006E7248">
      <w:pPr>
        <w:spacing w:line="269" w:lineRule="auto"/>
        <w:ind w:left="680"/>
        <w:rPr>
          <w:rtl/>
        </w:rPr>
      </w:pPr>
    </w:p>
    <w:p w:rsidR="009A1216" w:rsidRDefault="009A1216" w:rsidP="006E7248">
      <w:pPr>
        <w:spacing w:line="269" w:lineRule="auto"/>
        <w:ind w:left="680"/>
        <w:rPr>
          <w:rtl/>
        </w:rPr>
      </w:pPr>
      <w:r>
        <w:rPr>
          <w:rFonts w:hint="cs"/>
          <w:rtl/>
        </w:rPr>
        <w:t>ב</w:t>
      </w:r>
      <w:r w:rsidRPr="00846ECF">
        <w:rPr>
          <w:rFonts w:hint="cs"/>
          <w:rtl/>
        </w:rPr>
        <w:t xml:space="preserve">הנחיית העבודה של </w:t>
      </w:r>
      <w:r>
        <w:rPr>
          <w:rFonts w:hint="cs"/>
          <w:rtl/>
        </w:rPr>
        <w:t>המשטרה</w:t>
      </w:r>
      <w:r w:rsidRPr="00846ECF">
        <w:rPr>
          <w:rFonts w:hint="cs"/>
          <w:rtl/>
        </w:rPr>
        <w:t xml:space="preserve"> </w:t>
      </w:r>
      <w:r>
        <w:rPr>
          <w:rFonts w:hint="cs"/>
          <w:rtl/>
        </w:rPr>
        <w:t>מפורטות</w:t>
      </w:r>
      <w:r w:rsidRPr="00846ECF">
        <w:rPr>
          <w:rFonts w:hint="cs"/>
          <w:rtl/>
        </w:rPr>
        <w:t xml:space="preserve"> דוגמאות </w:t>
      </w:r>
      <w:r>
        <w:rPr>
          <w:rFonts w:hint="cs"/>
          <w:rtl/>
        </w:rPr>
        <w:t>ל</w:t>
      </w:r>
      <w:r w:rsidRPr="00846ECF">
        <w:rPr>
          <w:rFonts w:hint="cs"/>
          <w:rtl/>
        </w:rPr>
        <w:t xml:space="preserve">מקרים </w:t>
      </w:r>
      <w:r>
        <w:rPr>
          <w:rFonts w:hint="cs"/>
          <w:rtl/>
        </w:rPr>
        <w:t>ש</w:t>
      </w:r>
      <w:r w:rsidRPr="00846ECF">
        <w:rPr>
          <w:rFonts w:hint="cs"/>
          <w:rtl/>
        </w:rPr>
        <w:t>בהם ניתן לבקש צו חריג ב'</w:t>
      </w:r>
      <w:r w:rsidRPr="00277D5B">
        <w:rPr>
          <w:rFonts w:hint="cs"/>
          <w:rtl/>
        </w:rPr>
        <w:t xml:space="preserve"> דוגמאות אלו מבססות את הנסיבות המצדיקות שימוש בצו חריג ב'</w:t>
      </w:r>
      <w:r>
        <w:rPr>
          <w:rFonts w:hint="cs"/>
          <w:rtl/>
        </w:rPr>
        <w:t>.</w:t>
      </w:r>
      <w:r w:rsidRPr="00277D5B">
        <w:rPr>
          <w:rFonts w:hint="cs"/>
          <w:rtl/>
        </w:rPr>
        <w:t xml:space="preserve"> </w:t>
      </w:r>
    </w:p>
    <w:p w:rsidR="00D23A25" w:rsidRPr="0089452F" w:rsidRDefault="00D23A25" w:rsidP="006E7248">
      <w:pPr>
        <w:spacing w:line="269" w:lineRule="auto"/>
        <w:ind w:left="680"/>
        <w:rPr>
          <w:rtl/>
        </w:rPr>
      </w:pPr>
    </w:p>
    <w:p w:rsidR="009A1216" w:rsidRPr="0089452F" w:rsidRDefault="009A1216" w:rsidP="006E7248">
      <w:pPr>
        <w:spacing w:line="269" w:lineRule="auto"/>
        <w:ind w:left="680"/>
        <w:rPr>
          <w:b/>
          <w:bCs/>
          <w:rtl/>
        </w:rPr>
      </w:pPr>
      <w:r w:rsidRPr="0089452F">
        <w:rPr>
          <w:rFonts w:hint="cs"/>
          <w:b/>
          <w:bCs/>
          <w:rtl/>
        </w:rPr>
        <w:t xml:space="preserve">מבדיקת מבקר המדינה עולה כי </w:t>
      </w:r>
      <w:bookmarkStart w:id="352" w:name="_Hlk147910314"/>
      <w:r w:rsidRPr="0089452F">
        <w:rPr>
          <w:rFonts w:hint="cs"/>
          <w:b/>
          <w:bCs/>
          <w:rtl/>
        </w:rPr>
        <w:t>אין במערכת לניהול צווים תיעוד של נתונים בני חיפוש וניתוח המעידים על הנסיבות שהצדיקו שימוש בצו חריג ב'. זאת משום שבעת הכנת הבקשה אי אפשר לסמן במערכת זו את הקטגוריה הרלוונטית של הנסיבות המצדיקות שימוש בצו חריג זה.</w:t>
      </w:r>
    </w:p>
    <w:bookmarkEnd w:id="352"/>
    <w:p w:rsidR="00D23A25" w:rsidRPr="0089452F" w:rsidRDefault="00D23A25" w:rsidP="006E7248">
      <w:pPr>
        <w:spacing w:line="269" w:lineRule="auto"/>
        <w:ind w:left="680"/>
        <w:rPr>
          <w:rtl/>
        </w:rPr>
      </w:pPr>
    </w:p>
    <w:p w:rsidR="009A1216" w:rsidRPr="0089452F" w:rsidRDefault="009A1216" w:rsidP="006E7248">
      <w:pPr>
        <w:spacing w:line="269" w:lineRule="auto"/>
        <w:ind w:left="680"/>
        <w:rPr>
          <w:b/>
          <w:bCs/>
          <w:rtl/>
        </w:rPr>
      </w:pPr>
      <w:r w:rsidRPr="0089452F">
        <w:rPr>
          <w:rFonts w:hint="cs"/>
          <w:b/>
          <w:bCs/>
          <w:rtl/>
        </w:rPr>
        <w:t xml:space="preserve">לנוכח חוות הדעת משנת 2017, מוצע כי המשטרה תעשה בקרה על השימוש בצו חריג ב', ובמסגרתה תבצע פילוח של העבירות המיוחסות לפרשייה בהתייחס לארבע הקטגוריות של נסיבות ההתרחשות המסווגות שמצדיקות את השימוש בצו זה. הבקרה עשויה לאפשר למשטרה לאשש את נחיצות כלל הנסיבות שנקבעו לשימוש בצו חריג זה, כנדרש, ולבחון אם נדרש להוסיף נסיבות נוספות שיבססו שימוש בצו חריג ב'. </w:t>
      </w:r>
    </w:p>
    <w:p w:rsidR="00D23A25" w:rsidRDefault="00D23A25" w:rsidP="006E7248">
      <w:pPr>
        <w:spacing w:line="269" w:lineRule="auto"/>
        <w:ind w:left="680"/>
        <w:rPr>
          <w:b/>
          <w:bCs/>
          <w:rtl/>
        </w:rPr>
      </w:pPr>
    </w:p>
    <w:p w:rsidR="009A1216" w:rsidRPr="00FC2DD3" w:rsidRDefault="009A1216" w:rsidP="006E7248">
      <w:pPr>
        <w:spacing w:line="269" w:lineRule="auto"/>
        <w:ind w:left="680"/>
        <w:rPr>
          <w:b/>
          <w:bCs/>
          <w:i/>
          <w:iCs/>
          <w:rtl/>
        </w:rPr>
      </w:pPr>
      <w:r w:rsidRPr="00FC2DD3">
        <w:rPr>
          <w:rFonts w:hint="cs"/>
          <w:b/>
          <w:bCs/>
          <w:rtl/>
        </w:rPr>
        <w:t>עוד מומלץ כי המשטרה תפרט בבקשתה בסעיף ייעודי את הקטגוריה הרלוונטית של נסיבות התרחשות המקרה שבגינו נדרש צו חריג ב'.</w:t>
      </w:r>
      <w:r w:rsidRPr="00FC2DD3">
        <w:rPr>
          <w:rFonts w:hint="cs"/>
          <w:b/>
          <w:bCs/>
          <w:i/>
          <w:iCs/>
          <w:rtl/>
        </w:rPr>
        <w:t xml:space="preserve"> </w:t>
      </w:r>
    </w:p>
    <w:p w:rsidR="009A1216" w:rsidRDefault="009A1216" w:rsidP="006E7248">
      <w:pPr>
        <w:pStyle w:val="a5"/>
        <w:spacing w:line="269" w:lineRule="auto"/>
        <w:ind w:left="113"/>
        <w:rPr>
          <w:b/>
          <w:bCs/>
          <w:rtl/>
        </w:rPr>
      </w:pPr>
    </w:p>
    <w:p w:rsidR="009A1216" w:rsidRDefault="009A1216" w:rsidP="006E7248">
      <w:pPr>
        <w:spacing w:line="269" w:lineRule="auto"/>
        <w:ind w:left="680"/>
        <w:rPr>
          <w:rtl/>
        </w:rPr>
      </w:pPr>
      <w:r>
        <w:rPr>
          <w:rFonts w:hint="cs"/>
          <w:rtl/>
        </w:rPr>
        <w:t xml:space="preserve">המשטרה מסרה כי </w:t>
      </w:r>
      <w:r w:rsidRPr="007D7A59">
        <w:rPr>
          <w:rtl/>
        </w:rPr>
        <w:t xml:space="preserve">בנימוקי הבקשה מפורטות לבית המשפט נסיבות המקרה </w:t>
      </w:r>
      <w:r>
        <w:rPr>
          <w:rFonts w:hint="cs"/>
          <w:rtl/>
        </w:rPr>
        <w:t>ש</w:t>
      </w:r>
      <w:r w:rsidRPr="007D7A59">
        <w:rPr>
          <w:rtl/>
        </w:rPr>
        <w:t>בגינו נדרש צו האזנת סתר</w:t>
      </w:r>
      <w:r w:rsidRPr="007D7A59">
        <w:rPr>
          <w:rFonts w:hint="cs"/>
          <w:rtl/>
        </w:rPr>
        <w:t xml:space="preserve"> חריג ב</w:t>
      </w:r>
      <w:r>
        <w:rPr>
          <w:rFonts w:hint="cs"/>
          <w:rtl/>
        </w:rPr>
        <w:t>.</w:t>
      </w:r>
    </w:p>
    <w:p w:rsidR="009A1216" w:rsidRDefault="009A1216" w:rsidP="006E7248">
      <w:pPr>
        <w:spacing w:line="269" w:lineRule="auto"/>
        <w:ind w:left="680"/>
        <w:rPr>
          <w:rtl/>
        </w:rPr>
      </w:pPr>
    </w:p>
    <w:p w:rsidR="009A1216" w:rsidRDefault="009A1216" w:rsidP="006E7248">
      <w:pPr>
        <w:spacing w:line="269" w:lineRule="auto"/>
        <w:ind w:left="680"/>
        <w:rPr>
          <w:rtl/>
        </w:rPr>
      </w:pPr>
      <w:r>
        <w:rPr>
          <w:rFonts w:hint="cs"/>
          <w:rtl/>
        </w:rPr>
        <w:t xml:space="preserve">לאור חוות הדעת המשפטית והנחיית העבודה של המשטרה, משרד מבקר המדינה דגם כ-20 בקשות לצווים שיפוטיים מסוג צו חריג ב' מתוך כ-300 צווים מסוג זה שהוצאו בשנים 2019 - 2021. הדגימה אינה אקראית והיא נעשתה בצווים שבהם המשטרה לא רשמה במערכת לניהול צווים יעדי האזנה הקשורים לבקשה או שהיא רשמה יעדי האזנה רבים הקשורים לבקשה יחידה. </w:t>
      </w:r>
      <w:r w:rsidRPr="0020626A">
        <w:rPr>
          <w:rtl/>
        </w:rPr>
        <w:t xml:space="preserve">בבדיקה נבחנו לעומק הבקשות </w:t>
      </w:r>
      <w:r>
        <w:rPr>
          <w:rFonts w:hint="cs"/>
          <w:rtl/>
        </w:rPr>
        <w:t>ונימוקיהן</w:t>
      </w:r>
      <w:r w:rsidRPr="0020626A">
        <w:rPr>
          <w:rtl/>
        </w:rPr>
        <w:t xml:space="preserve">, תוך בחינת היבטי אזכור מעורבים, אזכור אירועים, הזיקות בין מעורבים לאירועים המתוארים והיקף השימוש </w:t>
      </w:r>
      <w:r>
        <w:rPr>
          <w:rFonts w:hint="cs"/>
          <w:rtl/>
        </w:rPr>
        <w:t xml:space="preserve">שעשתה המשטרה בצו </w:t>
      </w:r>
      <w:r w:rsidRPr="0020626A">
        <w:rPr>
          <w:rtl/>
        </w:rPr>
        <w:t>בפועל לאחר אישורו הש</w:t>
      </w:r>
      <w:r>
        <w:rPr>
          <w:rFonts w:hint="cs"/>
          <w:rtl/>
        </w:rPr>
        <w:t>י</w:t>
      </w:r>
      <w:r w:rsidRPr="0020626A">
        <w:rPr>
          <w:rtl/>
        </w:rPr>
        <w:t>פ</w:t>
      </w:r>
      <w:r>
        <w:rPr>
          <w:rFonts w:hint="cs"/>
          <w:rtl/>
        </w:rPr>
        <w:t>ו</w:t>
      </w:r>
      <w:r w:rsidRPr="0020626A">
        <w:rPr>
          <w:rtl/>
        </w:rPr>
        <w:t xml:space="preserve">טי באמצעות הוספת </w:t>
      </w:r>
      <w:r>
        <w:rPr>
          <w:rFonts w:hint="cs"/>
          <w:rtl/>
        </w:rPr>
        <w:t>יעדי האזנה</w:t>
      </w:r>
      <w:r w:rsidRPr="0020626A">
        <w:rPr>
          <w:rtl/>
        </w:rPr>
        <w:t xml:space="preserve"> תחת הצו</w:t>
      </w:r>
      <w:r>
        <w:rPr>
          <w:rFonts w:hint="cs"/>
          <w:rtl/>
        </w:rPr>
        <w:t xml:space="preserve"> על ידי קצין משטרה</w:t>
      </w:r>
      <w:r w:rsidRPr="0020626A">
        <w:rPr>
          <w:rtl/>
        </w:rPr>
        <w:t>.</w:t>
      </w:r>
      <w:r w:rsidR="00382AE8">
        <w:rPr>
          <w:rtl/>
        </w:rPr>
        <w:t xml:space="preserve"> </w:t>
      </w:r>
    </w:p>
    <w:p w:rsidR="009A1216" w:rsidRDefault="009A1216" w:rsidP="006E7248">
      <w:pPr>
        <w:spacing w:line="269" w:lineRule="auto"/>
        <w:ind w:left="680"/>
        <w:rPr>
          <w:rtl/>
        </w:rPr>
      </w:pPr>
    </w:p>
    <w:p w:rsidR="009A1216" w:rsidRDefault="009A1216" w:rsidP="006E7248">
      <w:pPr>
        <w:spacing w:line="269" w:lineRule="auto"/>
        <w:ind w:left="680"/>
        <w:rPr>
          <w:rtl/>
        </w:rPr>
      </w:pPr>
      <w:r>
        <w:rPr>
          <w:rFonts w:hint="cs"/>
          <w:rtl/>
        </w:rPr>
        <w:t xml:space="preserve">כמו כן, משרד מבקר המדינה בחן את ששת הבקשות להיתרים מינהליים שהוצאו על ידי </w:t>
      </w:r>
      <w:r w:rsidR="000F10B1">
        <w:rPr>
          <w:rFonts w:hint="cs"/>
          <w:rtl/>
        </w:rPr>
        <w:t>קצין משטרה בכיר</w:t>
      </w:r>
      <w:r>
        <w:rPr>
          <w:rFonts w:hint="cs"/>
          <w:rtl/>
        </w:rPr>
        <w:t xml:space="preserve"> בשנת 2021 מסוג צו חריג ב'. </w:t>
      </w:r>
    </w:p>
    <w:p w:rsidR="00D23A25" w:rsidRDefault="00D23A25" w:rsidP="006E7248">
      <w:pPr>
        <w:spacing w:line="269" w:lineRule="auto"/>
        <w:ind w:left="680"/>
        <w:rPr>
          <w:b/>
          <w:bCs/>
          <w:rtl/>
        </w:rPr>
      </w:pPr>
    </w:p>
    <w:p w:rsidR="009A1216" w:rsidRDefault="009A1216" w:rsidP="006E7248">
      <w:pPr>
        <w:spacing w:line="269" w:lineRule="auto"/>
        <w:ind w:left="680"/>
        <w:rPr>
          <w:b/>
          <w:bCs/>
          <w:rtl/>
        </w:rPr>
      </w:pPr>
      <w:r>
        <w:rPr>
          <w:rFonts w:hint="cs"/>
          <w:b/>
          <w:bCs/>
          <w:rtl/>
        </w:rPr>
        <w:t xml:space="preserve">משרד מבקר המדינה בחן את הבקשות לגופן ומצא כי בבקשות לא פורטו נימוקים מספקים המצדיקים את השימוש בהיתר חריג ב' והעדפתו על פני קבלת היתר מפכ"ל, להלן דוגמאות: </w:t>
      </w:r>
    </w:p>
    <w:p w:rsidR="004D6F01" w:rsidRPr="0089452F" w:rsidRDefault="004D6F01" w:rsidP="00604C3D">
      <w:pPr>
        <w:spacing w:line="269" w:lineRule="auto"/>
      </w:pPr>
    </w:p>
    <w:p w:rsidR="009A1216" w:rsidRPr="00E26DDD" w:rsidRDefault="009A1216" w:rsidP="008C598D">
      <w:pPr>
        <w:pStyle w:val="af2"/>
        <w:numPr>
          <w:ilvl w:val="3"/>
          <w:numId w:val="75"/>
        </w:numPr>
        <w:spacing w:line="269" w:lineRule="auto"/>
        <w:ind w:left="1095"/>
        <w:rPr>
          <w:rtl/>
        </w:rPr>
      </w:pPr>
      <w:r w:rsidRPr="00BF30B8">
        <w:rPr>
          <w:rFonts w:hint="cs"/>
          <w:rtl/>
        </w:rPr>
        <w:t>ממסמכי המשטרה</w:t>
      </w:r>
      <w:r w:rsidRPr="009816DE">
        <w:rPr>
          <w:rFonts w:hint="cs"/>
          <w:rtl/>
        </w:rPr>
        <w:t xml:space="preserve"> עולה כי החל משנת 2018 לכל המאוחר, המשטרה הוציאה צווי האזנת </w:t>
      </w:r>
      <w:r w:rsidRPr="009816DE">
        <w:rPr>
          <w:rFonts w:hint="eastAsia"/>
          <w:rtl/>
        </w:rPr>
        <w:t>סתר</w:t>
      </w:r>
      <w:r w:rsidRPr="009816DE">
        <w:rPr>
          <w:rtl/>
        </w:rPr>
        <w:t xml:space="preserve"> </w:t>
      </w:r>
      <w:r w:rsidR="00041686" w:rsidRPr="00BB075D">
        <w:rPr>
          <w:rFonts w:hint="cs"/>
          <w:rtl/>
        </w:rPr>
        <w:t>נרחבים</w:t>
      </w:r>
      <w:r w:rsidR="00041686" w:rsidRPr="00BF30B8">
        <w:rPr>
          <w:rtl/>
        </w:rPr>
        <w:t xml:space="preserve"> </w:t>
      </w:r>
      <w:r w:rsidRPr="00BF30B8">
        <w:rPr>
          <w:rFonts w:hint="eastAsia"/>
          <w:rtl/>
        </w:rPr>
        <w:t>וכוללניים</w:t>
      </w:r>
      <w:r w:rsidRPr="00BF30B8">
        <w:rPr>
          <w:rFonts w:hint="cs"/>
          <w:rtl/>
        </w:rPr>
        <w:t xml:space="preserve"> שאינ</w:t>
      </w:r>
      <w:r w:rsidRPr="009816DE">
        <w:rPr>
          <w:rFonts w:hint="cs"/>
          <w:rtl/>
        </w:rPr>
        <w:t>ם מוגבלים לפרשייה קונקרטית, לעבירות ספציפיות שבוצעו ונוגעות לאותה פרשייה</w:t>
      </w:r>
      <w:r w:rsidRPr="006D04F6">
        <w:rPr>
          <w:rFonts w:hint="cs"/>
          <w:rtl/>
        </w:rPr>
        <w:t xml:space="preserve"> או ל</w:t>
      </w:r>
      <w:r w:rsidRPr="00E26DDD">
        <w:rPr>
          <w:rFonts w:hint="cs"/>
          <w:rtl/>
        </w:rPr>
        <w:t>חשודים מסוימים המעורבים באותה פרשייה. תוקף הצווים הוארך בבית המשפט מדי שלושה חודשים.</w:t>
      </w:r>
    </w:p>
    <w:p w:rsidR="004D6F01" w:rsidRDefault="004D6F01" w:rsidP="00604C3D">
      <w:pPr>
        <w:spacing w:line="269" w:lineRule="auto"/>
        <w:ind w:left="709"/>
        <w:rPr>
          <w:rtl/>
        </w:rPr>
      </w:pPr>
    </w:p>
    <w:p w:rsidR="009A1216" w:rsidRPr="00601FFA" w:rsidRDefault="009A1216" w:rsidP="006E7248">
      <w:pPr>
        <w:spacing w:line="269" w:lineRule="auto"/>
        <w:ind w:left="1077"/>
        <w:rPr>
          <w:rtl/>
        </w:rPr>
      </w:pPr>
      <w:r w:rsidRPr="00E26DDD">
        <w:rPr>
          <w:rFonts w:hint="cs"/>
          <w:rtl/>
        </w:rPr>
        <w:t xml:space="preserve">לפי עמדת המשטרה, הצווים מיועדים לשימוש מידתי לצורך מאבק בעבירות </w:t>
      </w:r>
      <w:r w:rsidR="003A6AA6">
        <w:rPr>
          <w:rFonts w:hint="cs"/>
          <w:rtl/>
        </w:rPr>
        <w:t>מסוימות</w:t>
      </w:r>
      <w:r w:rsidRPr="00E26DDD">
        <w:rPr>
          <w:rFonts w:hint="cs"/>
          <w:rtl/>
        </w:rPr>
        <w:t xml:space="preserve">. בכל אירוע נדרש מומשה האזנה </w:t>
      </w:r>
      <w:r w:rsidRPr="001F0B16">
        <w:rPr>
          <w:rFonts w:hint="cs"/>
          <w:rtl/>
        </w:rPr>
        <w:t>ל</w:t>
      </w:r>
      <w:r w:rsidRPr="00601FFA">
        <w:rPr>
          <w:rFonts w:hint="cs"/>
          <w:rtl/>
        </w:rPr>
        <w:t xml:space="preserve">שמע או לתקשורת בין מחשבים לפי שיקול דעתה. </w:t>
      </w:r>
      <w:r w:rsidR="00E45E11">
        <w:rPr>
          <w:rtl/>
        </w:rPr>
        <w:tab/>
      </w:r>
    </w:p>
    <w:p w:rsidR="004D6F01" w:rsidRDefault="004D6F01" w:rsidP="006E7248">
      <w:pPr>
        <w:spacing w:line="269" w:lineRule="auto"/>
        <w:ind w:left="1446"/>
        <w:rPr>
          <w:rtl/>
        </w:rPr>
      </w:pPr>
    </w:p>
    <w:p w:rsidR="009A1216" w:rsidRDefault="009A1216" w:rsidP="006E7248">
      <w:pPr>
        <w:spacing w:line="269" w:lineRule="auto"/>
        <w:ind w:left="1077"/>
        <w:rPr>
          <w:rtl/>
        </w:rPr>
      </w:pPr>
      <w:r w:rsidRPr="00601FFA">
        <w:rPr>
          <w:rFonts w:hint="cs"/>
          <w:rtl/>
        </w:rPr>
        <w:t xml:space="preserve">משרד מבקר המדינה איתר כ-20 צווים נוספים שבהם מצוינים מעורבים שונים ואירועים שונים אשר מן הבקשה לא עולה כל זיקה ביניהם. בבקשות אלו לא פורט מדוע המשטרה סבורה כי עשרות מעורבים אלו מעורבים יחדיו בפעילות פלילית ולא נומק מדוע הם צורפו לבקשה משותפת, בפרט כשבנימוקי הבקשה הייתה התייחסות כוללנית </w:t>
      </w:r>
      <w:r w:rsidR="00041686" w:rsidRPr="00BB075D">
        <w:rPr>
          <w:rFonts w:hint="cs"/>
          <w:rtl/>
        </w:rPr>
        <w:t>ונרחבת</w:t>
      </w:r>
      <w:r w:rsidR="00041686" w:rsidRPr="00BF30B8">
        <w:rPr>
          <w:rFonts w:hint="cs"/>
          <w:rtl/>
        </w:rPr>
        <w:t xml:space="preserve"> </w:t>
      </w:r>
      <w:r w:rsidRPr="006D04F6">
        <w:rPr>
          <w:rFonts w:hint="cs"/>
          <w:rtl/>
        </w:rPr>
        <w:t>לאירועי</w:t>
      </w:r>
      <w:r w:rsidR="003A6AA6">
        <w:rPr>
          <w:rFonts w:hint="cs"/>
          <w:rtl/>
        </w:rPr>
        <w:t>ם שונים</w:t>
      </w:r>
      <w:r w:rsidRPr="006D04F6">
        <w:rPr>
          <w:rFonts w:hint="cs"/>
          <w:rtl/>
        </w:rPr>
        <w:t xml:space="preserve"> במקומות שונים. להלן הפרטים: בארבעה צווים צוינו בנימוקי הבקשה</w:t>
      </w:r>
      <w:r w:rsidRPr="00E26DDD">
        <w:rPr>
          <w:rFonts w:hint="cs"/>
          <w:rtl/>
        </w:rPr>
        <w:t xml:space="preserve"> עשרות מעורבים שלא נרשמו במערכת לניהול הצווים כיעדי האזנה; בשבעה צווים לא אותרה רשימה של מעורבים ולא צורפה רשימה שכזו לנימוקי הבקשה שבמערכת לניהול צווים; בתשעה צווים לא אותרה רשימה של מעורבים שצורפה לנימוקי הבקשה, אך אותרו מעורבים שהוספו לאחר הוצאת הצו.</w:t>
      </w:r>
      <w:r>
        <w:rPr>
          <w:rFonts w:hint="cs"/>
          <w:rtl/>
        </w:rPr>
        <w:t xml:space="preserve"> </w:t>
      </w:r>
    </w:p>
    <w:p w:rsidR="009A1216" w:rsidRDefault="009A1216" w:rsidP="006E7248">
      <w:pPr>
        <w:pStyle w:val="a5"/>
        <w:spacing w:line="269" w:lineRule="auto"/>
        <w:ind w:left="170"/>
        <w:rPr>
          <w:b/>
          <w:bCs/>
          <w:rtl/>
        </w:rPr>
      </w:pPr>
    </w:p>
    <w:p w:rsidR="009A1216" w:rsidRDefault="009A1216" w:rsidP="006E7248">
      <w:pPr>
        <w:spacing w:line="269" w:lineRule="auto"/>
        <w:ind w:left="1089"/>
        <w:rPr>
          <w:b/>
          <w:bCs/>
          <w:rtl/>
        </w:rPr>
      </w:pPr>
      <w:r>
        <w:rPr>
          <w:rFonts w:hint="cs"/>
          <w:rtl/>
        </w:rPr>
        <w:t xml:space="preserve">המשטרה מסרה בתגובתה כי נימוקי הבקשה מתייחסים לתופעת </w:t>
      </w:r>
      <w:r w:rsidR="003A6AA6">
        <w:rPr>
          <w:rFonts w:hint="cs"/>
          <w:rtl/>
        </w:rPr>
        <w:t>הפשיעה</w:t>
      </w:r>
      <w:r>
        <w:rPr>
          <w:rFonts w:hint="cs"/>
          <w:rtl/>
        </w:rPr>
        <w:t xml:space="preserve"> בכללותה ולכן צוינו המעורבים שאינם יעדי האזנה; היא מגבילה את עצמה ומבקשת</w:t>
      </w:r>
      <w:r w:rsidRPr="004116D8">
        <w:rPr>
          <w:rFonts w:ascii="David" w:hAnsi="David" w:hint="cs"/>
          <w:sz w:val="26"/>
          <w:szCs w:val="26"/>
          <w:rtl/>
        </w:rPr>
        <w:t xml:space="preserve"> </w:t>
      </w:r>
      <w:r w:rsidRPr="004116D8">
        <w:rPr>
          <w:rFonts w:hint="cs"/>
          <w:rtl/>
        </w:rPr>
        <w:t xml:space="preserve">בנימוקי הבקשה האזנה לחשודים רק כשעולה אינדיקציה </w:t>
      </w:r>
      <w:r>
        <w:rPr>
          <w:rFonts w:hint="cs"/>
          <w:rtl/>
        </w:rPr>
        <w:t xml:space="preserve">למעורבותם </w:t>
      </w:r>
      <w:r w:rsidRPr="004116D8">
        <w:rPr>
          <w:rFonts w:hint="cs"/>
          <w:rtl/>
        </w:rPr>
        <w:t>בטווח הזמן המידי</w:t>
      </w:r>
      <w:r>
        <w:rPr>
          <w:rFonts w:hint="cs"/>
          <w:rtl/>
        </w:rPr>
        <w:t xml:space="preserve">; נימוקי הבקשות ורשימת המעורבים נסרקו למערכת לניהול צווים; וכי רישום של יעדי האזנה שהוספו לאחר הוצאת הצו מופיע במערכת לניהול צווים. </w:t>
      </w:r>
    </w:p>
    <w:p w:rsidR="002A054E" w:rsidRPr="0089452F" w:rsidRDefault="002A054E" w:rsidP="00604C3D">
      <w:pPr>
        <w:spacing w:line="269" w:lineRule="auto"/>
      </w:pPr>
    </w:p>
    <w:p w:rsidR="009A1216" w:rsidRDefault="009A1216" w:rsidP="008C598D">
      <w:pPr>
        <w:pStyle w:val="af2"/>
        <w:numPr>
          <w:ilvl w:val="3"/>
          <w:numId w:val="75"/>
        </w:numPr>
        <w:spacing w:line="269" w:lineRule="auto"/>
        <w:ind w:left="1095"/>
      </w:pPr>
      <w:r>
        <w:rPr>
          <w:rFonts w:hint="cs"/>
          <w:rtl/>
        </w:rPr>
        <w:t xml:space="preserve">כאמור, בשנת 2021 אישר </w:t>
      </w:r>
      <w:r w:rsidRPr="00073C06">
        <w:rPr>
          <w:rFonts w:hint="cs"/>
          <w:rtl/>
        </w:rPr>
        <w:t xml:space="preserve">היועמ"ש למשטרה כי ייעשה שימוש בצו חריג ב' </w:t>
      </w:r>
      <w:r>
        <w:rPr>
          <w:rFonts w:hint="cs"/>
          <w:rtl/>
        </w:rPr>
        <w:t>ב</w:t>
      </w:r>
      <w:r w:rsidRPr="00073C06">
        <w:rPr>
          <w:rFonts w:hint="cs"/>
          <w:rtl/>
        </w:rPr>
        <w:t xml:space="preserve">היתר </w:t>
      </w:r>
      <w:r w:rsidR="0020440B">
        <w:rPr>
          <w:rFonts w:hint="cs"/>
          <w:rtl/>
        </w:rPr>
        <w:t xml:space="preserve">מינהלי </w:t>
      </w:r>
      <w:r w:rsidR="000F10B1">
        <w:rPr>
          <w:rFonts w:hint="cs"/>
          <w:rtl/>
        </w:rPr>
        <w:t>הנחתם על ידי קצין שמטרה בכיר</w:t>
      </w:r>
      <w:r>
        <w:rPr>
          <w:rFonts w:hint="cs"/>
          <w:rtl/>
        </w:rPr>
        <w:t xml:space="preserve"> ובמסגרת זאת התבקשה המשטרה להכפיף את השימוש הזה להנחיות העבודה הקיימות</w:t>
      </w:r>
      <w:r w:rsidRPr="00073C06">
        <w:rPr>
          <w:rFonts w:hint="cs"/>
          <w:rtl/>
        </w:rPr>
        <w:t>.</w:t>
      </w:r>
      <w:r>
        <w:rPr>
          <w:rFonts w:hint="cs"/>
          <w:rtl/>
        </w:rPr>
        <w:t xml:space="preserve"> בשנת 2021 אישר</w:t>
      </w:r>
      <w:r w:rsidR="00382AE8">
        <w:rPr>
          <w:rFonts w:hint="cs"/>
          <w:rtl/>
        </w:rPr>
        <w:t xml:space="preserve"> </w:t>
      </w:r>
      <w:r w:rsidR="000F10B1">
        <w:rPr>
          <w:rFonts w:hint="cs"/>
          <w:rtl/>
        </w:rPr>
        <w:t>אותו קצין</w:t>
      </w:r>
      <w:r w:rsidRPr="000849DF">
        <w:rPr>
          <w:rFonts w:hint="cs"/>
          <w:rtl/>
        </w:rPr>
        <w:t xml:space="preserve"> </w:t>
      </w:r>
      <w:r>
        <w:rPr>
          <w:rFonts w:hint="cs"/>
          <w:rtl/>
        </w:rPr>
        <w:t>שש בקשות ל</w:t>
      </w:r>
      <w:r w:rsidRPr="000849DF">
        <w:rPr>
          <w:rFonts w:hint="cs"/>
          <w:rtl/>
        </w:rPr>
        <w:t>היתרים על בסיס צו חריג ב'.</w:t>
      </w:r>
    </w:p>
    <w:p w:rsidR="002A054E" w:rsidRDefault="002A054E" w:rsidP="00604C3D">
      <w:pPr>
        <w:spacing w:line="269" w:lineRule="auto"/>
        <w:ind w:left="709"/>
        <w:rPr>
          <w:rtl/>
        </w:rPr>
      </w:pPr>
    </w:p>
    <w:p w:rsidR="009A1216" w:rsidRDefault="009A1216" w:rsidP="006E7248">
      <w:pPr>
        <w:spacing w:line="269" w:lineRule="auto"/>
        <w:ind w:left="1077"/>
        <w:rPr>
          <w:rtl/>
        </w:rPr>
      </w:pPr>
      <w:r>
        <w:rPr>
          <w:rFonts w:hint="cs"/>
          <w:rtl/>
        </w:rPr>
        <w:t xml:space="preserve">מבדיקת מבקר המדינה עולה כי הבקשות שהועברו לאישור </w:t>
      </w:r>
      <w:r w:rsidR="000F10B1">
        <w:rPr>
          <w:rFonts w:hint="cs"/>
          <w:rtl/>
        </w:rPr>
        <w:t>הקצין הבכיר</w:t>
      </w:r>
      <w:r>
        <w:rPr>
          <w:rFonts w:hint="cs"/>
          <w:rtl/>
        </w:rPr>
        <w:t xml:space="preserve"> לא כללו הסברים המעידים על הנסיבות המצדיקות מתן היתרים מסוג זה. </w:t>
      </w:r>
      <w:r w:rsidRPr="00ED231A">
        <w:rPr>
          <w:rFonts w:hint="cs"/>
          <w:rtl/>
        </w:rPr>
        <w:t xml:space="preserve">הסברים אלו נדרשו </w:t>
      </w:r>
      <w:r>
        <w:rPr>
          <w:rFonts w:hint="cs"/>
          <w:rtl/>
        </w:rPr>
        <w:t>כדי להבהיר</w:t>
      </w:r>
      <w:r w:rsidRPr="00ED231A">
        <w:rPr>
          <w:rFonts w:hint="cs"/>
          <w:rtl/>
        </w:rPr>
        <w:t xml:space="preserve"> </w:t>
      </w:r>
      <w:r w:rsidR="000F10B1">
        <w:rPr>
          <w:rFonts w:hint="cs"/>
          <w:rtl/>
        </w:rPr>
        <w:t>מדוע בשל</w:t>
      </w:r>
      <w:r w:rsidRPr="00ED231A">
        <w:rPr>
          <w:rFonts w:hint="cs"/>
          <w:rtl/>
        </w:rPr>
        <w:t xml:space="preserve"> דחיפות ביצוע ההאזנה לא ניתן לפנות לקבלת צו שיפוטי או היתר מפכ"ל.</w:t>
      </w:r>
      <w:r w:rsidRPr="008C5662">
        <w:rPr>
          <w:rFonts w:hint="cs"/>
          <w:rtl/>
        </w:rPr>
        <w:t xml:space="preserve"> </w:t>
      </w:r>
    </w:p>
    <w:p w:rsidR="002A054E" w:rsidRDefault="002A054E" w:rsidP="006E7248">
      <w:pPr>
        <w:spacing w:line="269" w:lineRule="auto"/>
        <w:ind w:left="1446"/>
        <w:rPr>
          <w:sz w:val="24"/>
          <w:rtl/>
        </w:rPr>
      </w:pPr>
    </w:p>
    <w:p w:rsidR="009A1216" w:rsidRDefault="009A1216" w:rsidP="006E7248">
      <w:pPr>
        <w:spacing w:line="269" w:lineRule="auto"/>
        <w:ind w:left="1077"/>
        <w:rPr>
          <w:rtl/>
        </w:rPr>
      </w:pPr>
      <w:r w:rsidRPr="00FA5ED3">
        <w:rPr>
          <w:rFonts w:hint="eastAsia"/>
          <w:sz w:val="24"/>
          <w:rtl/>
        </w:rPr>
        <w:t>עם</w:t>
      </w:r>
      <w:r w:rsidRPr="00FA5ED3">
        <w:rPr>
          <w:sz w:val="24"/>
          <w:rtl/>
        </w:rPr>
        <w:t xml:space="preserve"> </w:t>
      </w:r>
      <w:r w:rsidRPr="00FA5ED3">
        <w:rPr>
          <w:rFonts w:hint="eastAsia"/>
          <w:sz w:val="24"/>
          <w:rtl/>
        </w:rPr>
        <w:t>זאת</w:t>
      </w:r>
      <w:r w:rsidRPr="00FA5ED3">
        <w:rPr>
          <w:sz w:val="24"/>
          <w:rtl/>
        </w:rPr>
        <w:t xml:space="preserve">, </w:t>
      </w:r>
      <w:r w:rsidRPr="00FA5ED3">
        <w:rPr>
          <w:rFonts w:hint="eastAsia"/>
          <w:sz w:val="24"/>
          <w:rtl/>
        </w:rPr>
        <w:t>מבדיקת</w:t>
      </w:r>
      <w:r w:rsidRPr="00FA5ED3">
        <w:rPr>
          <w:sz w:val="24"/>
          <w:rtl/>
        </w:rPr>
        <w:t xml:space="preserve"> </w:t>
      </w:r>
      <w:r w:rsidRPr="00FA5ED3">
        <w:rPr>
          <w:rFonts w:hint="eastAsia"/>
          <w:sz w:val="24"/>
          <w:rtl/>
        </w:rPr>
        <w:t>מבקר</w:t>
      </w:r>
      <w:r w:rsidRPr="00FA5ED3">
        <w:rPr>
          <w:sz w:val="24"/>
          <w:rtl/>
        </w:rPr>
        <w:t xml:space="preserve"> </w:t>
      </w:r>
      <w:r w:rsidRPr="00FA5ED3">
        <w:rPr>
          <w:rFonts w:hint="eastAsia"/>
          <w:sz w:val="24"/>
          <w:rtl/>
        </w:rPr>
        <w:t>המדינה</w:t>
      </w:r>
      <w:r w:rsidRPr="00FA5ED3">
        <w:rPr>
          <w:sz w:val="24"/>
          <w:rtl/>
        </w:rPr>
        <w:t xml:space="preserve"> </w:t>
      </w:r>
      <w:r w:rsidRPr="00FA5ED3">
        <w:rPr>
          <w:rFonts w:hint="eastAsia"/>
          <w:sz w:val="24"/>
          <w:rtl/>
        </w:rPr>
        <w:t>עולה</w:t>
      </w:r>
      <w:r w:rsidRPr="00FA5ED3">
        <w:rPr>
          <w:sz w:val="24"/>
          <w:rtl/>
        </w:rPr>
        <w:t xml:space="preserve"> </w:t>
      </w:r>
      <w:r w:rsidRPr="00FA5ED3">
        <w:rPr>
          <w:rFonts w:hint="eastAsia"/>
          <w:sz w:val="24"/>
          <w:rtl/>
        </w:rPr>
        <w:t>כי</w:t>
      </w:r>
      <w:r w:rsidRPr="00FA5ED3">
        <w:rPr>
          <w:sz w:val="24"/>
          <w:rtl/>
        </w:rPr>
        <w:t xml:space="preserve"> </w:t>
      </w:r>
      <w:r w:rsidRPr="00FA5ED3">
        <w:rPr>
          <w:rFonts w:hint="eastAsia"/>
          <w:sz w:val="24"/>
          <w:rtl/>
        </w:rPr>
        <w:t>בשום</w:t>
      </w:r>
      <w:r w:rsidRPr="00FA5ED3">
        <w:rPr>
          <w:sz w:val="24"/>
          <w:rtl/>
        </w:rPr>
        <w:t xml:space="preserve"> </w:t>
      </w:r>
      <w:r w:rsidRPr="00FA5ED3">
        <w:rPr>
          <w:rFonts w:hint="eastAsia"/>
          <w:sz w:val="24"/>
          <w:rtl/>
        </w:rPr>
        <w:t>בקשה</w:t>
      </w:r>
      <w:r w:rsidRPr="00FA5ED3">
        <w:rPr>
          <w:sz w:val="24"/>
          <w:rtl/>
        </w:rPr>
        <w:t xml:space="preserve"> </w:t>
      </w:r>
      <w:r w:rsidRPr="00FA5ED3">
        <w:rPr>
          <w:rFonts w:hint="eastAsia"/>
          <w:sz w:val="24"/>
          <w:rtl/>
        </w:rPr>
        <w:t>מהבקשות</w:t>
      </w:r>
      <w:r w:rsidRPr="00FA5ED3">
        <w:rPr>
          <w:sz w:val="24"/>
          <w:rtl/>
        </w:rPr>
        <w:t xml:space="preserve"> </w:t>
      </w:r>
      <w:r w:rsidRPr="00FA5ED3">
        <w:rPr>
          <w:rFonts w:hint="eastAsia"/>
          <w:sz w:val="24"/>
          <w:rtl/>
        </w:rPr>
        <w:t>המשטרה</w:t>
      </w:r>
      <w:r w:rsidRPr="00FA5ED3">
        <w:rPr>
          <w:sz w:val="24"/>
          <w:rtl/>
        </w:rPr>
        <w:t xml:space="preserve"> </w:t>
      </w:r>
      <w:r w:rsidRPr="00FA5ED3">
        <w:rPr>
          <w:rFonts w:hint="eastAsia"/>
          <w:sz w:val="24"/>
          <w:rtl/>
        </w:rPr>
        <w:t>לא</w:t>
      </w:r>
      <w:r w:rsidRPr="00FA5ED3">
        <w:rPr>
          <w:sz w:val="24"/>
          <w:rtl/>
        </w:rPr>
        <w:t xml:space="preserve"> </w:t>
      </w:r>
      <w:r w:rsidRPr="00FA5ED3">
        <w:rPr>
          <w:rFonts w:hint="eastAsia"/>
          <w:sz w:val="24"/>
          <w:rtl/>
        </w:rPr>
        <w:t>פירטה</w:t>
      </w:r>
      <w:r w:rsidRPr="00FA5ED3">
        <w:rPr>
          <w:sz w:val="24"/>
          <w:rtl/>
        </w:rPr>
        <w:t xml:space="preserve"> </w:t>
      </w:r>
      <w:r w:rsidRPr="00FA5ED3">
        <w:rPr>
          <w:rFonts w:hint="eastAsia"/>
          <w:sz w:val="24"/>
          <w:rtl/>
        </w:rPr>
        <w:t>את</w:t>
      </w:r>
      <w:r w:rsidRPr="00FA5ED3">
        <w:rPr>
          <w:sz w:val="24"/>
          <w:rtl/>
        </w:rPr>
        <w:t xml:space="preserve"> </w:t>
      </w:r>
      <w:r w:rsidRPr="00FA5ED3">
        <w:rPr>
          <w:rFonts w:hint="eastAsia"/>
          <w:sz w:val="24"/>
          <w:rtl/>
        </w:rPr>
        <w:t>הנסיבות</w:t>
      </w:r>
      <w:r w:rsidRPr="00FA5ED3">
        <w:rPr>
          <w:sz w:val="24"/>
          <w:rtl/>
        </w:rPr>
        <w:t xml:space="preserve"> </w:t>
      </w:r>
      <w:r w:rsidRPr="00FA5ED3">
        <w:rPr>
          <w:rFonts w:hint="eastAsia"/>
          <w:sz w:val="24"/>
          <w:rtl/>
        </w:rPr>
        <w:t>שמלמדות</w:t>
      </w:r>
      <w:r w:rsidRPr="00FA5ED3">
        <w:rPr>
          <w:sz w:val="24"/>
          <w:rtl/>
        </w:rPr>
        <w:t xml:space="preserve"> </w:t>
      </w:r>
      <w:r w:rsidRPr="00FA5ED3">
        <w:rPr>
          <w:rFonts w:hint="eastAsia"/>
          <w:sz w:val="24"/>
          <w:rtl/>
        </w:rPr>
        <w:t>על</w:t>
      </w:r>
      <w:r w:rsidRPr="00FA5ED3">
        <w:rPr>
          <w:sz w:val="24"/>
          <w:rtl/>
        </w:rPr>
        <w:t xml:space="preserve"> </w:t>
      </w:r>
      <w:r w:rsidRPr="00FA5ED3">
        <w:rPr>
          <w:rFonts w:hint="eastAsia"/>
          <w:sz w:val="24"/>
          <w:rtl/>
        </w:rPr>
        <w:t>צורך</w:t>
      </w:r>
      <w:r w:rsidRPr="00FA5ED3">
        <w:rPr>
          <w:sz w:val="24"/>
          <w:rtl/>
        </w:rPr>
        <w:t xml:space="preserve"> </w:t>
      </w:r>
      <w:r w:rsidRPr="00FA5ED3">
        <w:rPr>
          <w:rFonts w:hint="eastAsia"/>
          <w:sz w:val="24"/>
          <w:rtl/>
        </w:rPr>
        <w:t>במתן</w:t>
      </w:r>
      <w:r w:rsidRPr="00FA5ED3">
        <w:rPr>
          <w:sz w:val="24"/>
          <w:rtl/>
        </w:rPr>
        <w:t xml:space="preserve"> </w:t>
      </w:r>
      <w:r w:rsidRPr="00FA5ED3">
        <w:rPr>
          <w:rFonts w:hint="eastAsia"/>
          <w:sz w:val="24"/>
          <w:rtl/>
        </w:rPr>
        <w:t>מענה</w:t>
      </w:r>
      <w:r w:rsidRPr="00FA5ED3">
        <w:rPr>
          <w:sz w:val="24"/>
          <w:rtl/>
        </w:rPr>
        <w:t xml:space="preserve"> </w:t>
      </w:r>
      <w:r w:rsidRPr="00FA5ED3">
        <w:rPr>
          <w:rFonts w:hint="eastAsia"/>
          <w:sz w:val="24"/>
          <w:rtl/>
        </w:rPr>
        <w:t>מבצעי</w:t>
      </w:r>
      <w:r w:rsidRPr="00FA5ED3">
        <w:rPr>
          <w:sz w:val="24"/>
          <w:rtl/>
        </w:rPr>
        <w:t xml:space="preserve"> </w:t>
      </w:r>
      <w:r w:rsidRPr="00FA5ED3">
        <w:rPr>
          <w:rFonts w:hint="eastAsia"/>
          <w:sz w:val="24"/>
          <w:rtl/>
        </w:rPr>
        <w:t>מיידי</w:t>
      </w:r>
      <w:r w:rsidRPr="00FA5ED3">
        <w:rPr>
          <w:sz w:val="24"/>
          <w:rtl/>
        </w:rPr>
        <w:t xml:space="preserve"> </w:t>
      </w:r>
      <w:r w:rsidRPr="00FA5ED3">
        <w:rPr>
          <w:rFonts w:hint="eastAsia"/>
          <w:sz w:val="24"/>
          <w:rtl/>
        </w:rPr>
        <w:t>ובתנאים</w:t>
      </w:r>
      <w:r w:rsidRPr="00FA5ED3">
        <w:rPr>
          <w:sz w:val="24"/>
          <w:rtl/>
        </w:rPr>
        <w:t xml:space="preserve"> </w:t>
      </w:r>
      <w:r w:rsidRPr="00FA5ED3">
        <w:rPr>
          <w:rFonts w:hint="eastAsia"/>
          <w:sz w:val="24"/>
          <w:rtl/>
        </w:rPr>
        <w:t>של</w:t>
      </w:r>
      <w:r w:rsidRPr="00FA5ED3">
        <w:rPr>
          <w:sz w:val="24"/>
          <w:rtl/>
        </w:rPr>
        <w:t xml:space="preserve"> </w:t>
      </w:r>
      <w:r w:rsidRPr="00FA5ED3">
        <w:rPr>
          <w:rFonts w:hint="eastAsia"/>
          <w:sz w:val="24"/>
          <w:rtl/>
        </w:rPr>
        <w:t>חוסר</w:t>
      </w:r>
      <w:r w:rsidRPr="00FA5ED3">
        <w:rPr>
          <w:sz w:val="24"/>
          <w:rtl/>
        </w:rPr>
        <w:t xml:space="preserve"> </w:t>
      </w:r>
      <w:r w:rsidRPr="00FA5ED3">
        <w:rPr>
          <w:rFonts w:hint="eastAsia"/>
          <w:sz w:val="24"/>
          <w:rtl/>
        </w:rPr>
        <w:t>ודאות</w:t>
      </w:r>
      <w:r w:rsidRPr="00FA5ED3">
        <w:rPr>
          <w:sz w:val="24"/>
          <w:rtl/>
        </w:rPr>
        <w:t xml:space="preserve">- </w:t>
      </w:r>
      <w:r w:rsidRPr="00FA5ED3">
        <w:rPr>
          <w:rFonts w:hint="eastAsia"/>
          <w:sz w:val="24"/>
          <w:rtl/>
        </w:rPr>
        <w:t>נסיבות</w:t>
      </w:r>
      <w:r w:rsidRPr="00FA5ED3">
        <w:rPr>
          <w:sz w:val="24"/>
          <w:rtl/>
        </w:rPr>
        <w:t xml:space="preserve"> </w:t>
      </w:r>
      <w:r w:rsidRPr="00FA5ED3">
        <w:rPr>
          <w:rFonts w:hint="eastAsia"/>
          <w:sz w:val="24"/>
          <w:rtl/>
        </w:rPr>
        <w:t>המחייבות</w:t>
      </w:r>
      <w:r w:rsidRPr="00FA5ED3">
        <w:rPr>
          <w:sz w:val="24"/>
          <w:rtl/>
        </w:rPr>
        <w:t xml:space="preserve"> </w:t>
      </w:r>
      <w:r w:rsidRPr="00FA5ED3">
        <w:rPr>
          <w:rFonts w:hint="eastAsia"/>
          <w:sz w:val="24"/>
          <w:rtl/>
        </w:rPr>
        <w:t>פעולה</w:t>
      </w:r>
      <w:r w:rsidRPr="00FA5ED3">
        <w:rPr>
          <w:sz w:val="24"/>
          <w:rtl/>
        </w:rPr>
        <w:t xml:space="preserve"> </w:t>
      </w:r>
      <w:r w:rsidRPr="00FA5ED3">
        <w:rPr>
          <w:rFonts w:hint="eastAsia"/>
          <w:sz w:val="24"/>
          <w:rtl/>
        </w:rPr>
        <w:t>מהירה</w:t>
      </w:r>
      <w:r w:rsidRPr="00FA5ED3">
        <w:rPr>
          <w:sz w:val="24"/>
          <w:rtl/>
        </w:rPr>
        <w:t xml:space="preserve"> </w:t>
      </w:r>
      <w:r w:rsidRPr="00FA5ED3">
        <w:rPr>
          <w:rFonts w:hint="eastAsia"/>
          <w:sz w:val="24"/>
          <w:rtl/>
        </w:rPr>
        <w:t>שאינה</w:t>
      </w:r>
      <w:r w:rsidRPr="00FA5ED3">
        <w:rPr>
          <w:sz w:val="24"/>
          <w:rtl/>
        </w:rPr>
        <w:t xml:space="preserve"> </w:t>
      </w:r>
      <w:r w:rsidRPr="00FA5ED3">
        <w:rPr>
          <w:rFonts w:hint="eastAsia"/>
          <w:sz w:val="24"/>
          <w:rtl/>
        </w:rPr>
        <w:t>ניתנת</w:t>
      </w:r>
      <w:r w:rsidRPr="00FA5ED3">
        <w:rPr>
          <w:sz w:val="24"/>
          <w:rtl/>
        </w:rPr>
        <w:t xml:space="preserve"> </w:t>
      </w:r>
      <w:r w:rsidRPr="00FA5ED3">
        <w:rPr>
          <w:rFonts w:hint="eastAsia"/>
          <w:sz w:val="24"/>
          <w:rtl/>
        </w:rPr>
        <w:t>לביצוע</w:t>
      </w:r>
      <w:r w:rsidRPr="00FA5ED3">
        <w:rPr>
          <w:sz w:val="24"/>
          <w:rtl/>
        </w:rPr>
        <w:t xml:space="preserve"> </w:t>
      </w:r>
      <w:r w:rsidRPr="00FA5ED3">
        <w:rPr>
          <w:rFonts w:hint="eastAsia"/>
          <w:sz w:val="24"/>
          <w:rtl/>
        </w:rPr>
        <w:t>בלוחות</w:t>
      </w:r>
      <w:r w:rsidRPr="00FA5ED3">
        <w:rPr>
          <w:sz w:val="24"/>
          <w:rtl/>
        </w:rPr>
        <w:t xml:space="preserve"> </w:t>
      </w:r>
      <w:r w:rsidRPr="00FA5ED3">
        <w:rPr>
          <w:rFonts w:hint="eastAsia"/>
          <w:sz w:val="24"/>
          <w:rtl/>
        </w:rPr>
        <w:t>הזמנים</w:t>
      </w:r>
      <w:r w:rsidRPr="00FA5ED3">
        <w:rPr>
          <w:sz w:val="24"/>
          <w:rtl/>
        </w:rPr>
        <w:t xml:space="preserve"> </w:t>
      </w:r>
      <w:r w:rsidRPr="00FA5ED3">
        <w:rPr>
          <w:rFonts w:hint="eastAsia"/>
          <w:sz w:val="24"/>
          <w:rtl/>
        </w:rPr>
        <w:t>הרגילים</w:t>
      </w:r>
      <w:r w:rsidRPr="00FA5ED3">
        <w:rPr>
          <w:sz w:val="24"/>
          <w:rtl/>
        </w:rPr>
        <w:t xml:space="preserve"> </w:t>
      </w:r>
      <w:r w:rsidRPr="00FA5ED3">
        <w:rPr>
          <w:rFonts w:hint="eastAsia"/>
          <w:sz w:val="24"/>
          <w:rtl/>
        </w:rPr>
        <w:t>להוצאת</w:t>
      </w:r>
      <w:r w:rsidRPr="00FA5ED3">
        <w:rPr>
          <w:sz w:val="24"/>
          <w:rtl/>
        </w:rPr>
        <w:t xml:space="preserve"> </w:t>
      </w:r>
      <w:r w:rsidRPr="00FA5ED3">
        <w:rPr>
          <w:rFonts w:hint="eastAsia"/>
          <w:sz w:val="24"/>
          <w:rtl/>
        </w:rPr>
        <w:t>היתר</w:t>
      </w:r>
      <w:r w:rsidRPr="00FA5ED3">
        <w:rPr>
          <w:sz w:val="24"/>
          <w:rtl/>
        </w:rPr>
        <w:t xml:space="preserve"> </w:t>
      </w:r>
      <w:r w:rsidRPr="00FA5ED3">
        <w:rPr>
          <w:rFonts w:hint="eastAsia"/>
          <w:sz w:val="24"/>
          <w:rtl/>
        </w:rPr>
        <w:t>דחוף</w:t>
      </w:r>
      <w:r w:rsidRPr="00FA5ED3">
        <w:rPr>
          <w:sz w:val="24"/>
          <w:rtl/>
        </w:rPr>
        <w:t xml:space="preserve">. </w:t>
      </w:r>
      <w:r w:rsidRPr="00FA5ED3">
        <w:rPr>
          <w:rFonts w:hint="eastAsia"/>
          <w:sz w:val="24"/>
          <w:rtl/>
        </w:rPr>
        <w:t>משמע</w:t>
      </w:r>
      <w:r w:rsidRPr="00FA5ED3">
        <w:rPr>
          <w:sz w:val="24"/>
          <w:rtl/>
        </w:rPr>
        <w:t xml:space="preserve">, </w:t>
      </w:r>
      <w:r w:rsidRPr="00FA5ED3">
        <w:rPr>
          <w:rFonts w:hint="eastAsia"/>
          <w:sz w:val="24"/>
          <w:rtl/>
        </w:rPr>
        <w:t>לא</w:t>
      </w:r>
      <w:r w:rsidRPr="00FA5ED3">
        <w:rPr>
          <w:sz w:val="24"/>
          <w:rtl/>
        </w:rPr>
        <w:t xml:space="preserve"> ברור מדוע </w:t>
      </w:r>
      <w:r w:rsidRPr="00FA5ED3">
        <w:rPr>
          <w:rFonts w:hint="eastAsia"/>
          <w:sz w:val="24"/>
          <w:rtl/>
        </w:rPr>
        <w:t>בבקשות</w:t>
      </w:r>
      <w:r w:rsidRPr="00FA5ED3">
        <w:rPr>
          <w:sz w:val="24"/>
          <w:rtl/>
        </w:rPr>
        <w:t xml:space="preserve"> אלו המשטרה </w:t>
      </w:r>
      <w:r w:rsidRPr="00FA5ED3">
        <w:rPr>
          <w:rFonts w:hint="eastAsia"/>
          <w:sz w:val="24"/>
          <w:rtl/>
        </w:rPr>
        <w:t>לא</w:t>
      </w:r>
      <w:r w:rsidRPr="00FA5ED3">
        <w:rPr>
          <w:sz w:val="24"/>
          <w:rtl/>
        </w:rPr>
        <w:t xml:space="preserve"> </w:t>
      </w:r>
      <w:r w:rsidRPr="00FA5ED3">
        <w:rPr>
          <w:rFonts w:hint="eastAsia"/>
          <w:sz w:val="24"/>
          <w:rtl/>
        </w:rPr>
        <w:t>פעלה</w:t>
      </w:r>
      <w:r w:rsidRPr="00FA5ED3">
        <w:rPr>
          <w:sz w:val="24"/>
          <w:rtl/>
        </w:rPr>
        <w:t xml:space="preserve"> </w:t>
      </w:r>
      <w:r w:rsidRPr="00FA5ED3">
        <w:rPr>
          <w:rFonts w:hint="eastAsia"/>
          <w:sz w:val="24"/>
          <w:rtl/>
        </w:rPr>
        <w:t>במסלול</w:t>
      </w:r>
      <w:r w:rsidRPr="00FA5ED3">
        <w:rPr>
          <w:sz w:val="24"/>
          <w:rtl/>
        </w:rPr>
        <w:t xml:space="preserve"> </w:t>
      </w:r>
      <w:r w:rsidRPr="00FA5ED3">
        <w:rPr>
          <w:rFonts w:hint="eastAsia"/>
          <w:sz w:val="24"/>
          <w:rtl/>
        </w:rPr>
        <w:t>הרגיל</w:t>
      </w:r>
      <w:r w:rsidRPr="00FA5ED3">
        <w:rPr>
          <w:sz w:val="24"/>
          <w:rtl/>
        </w:rPr>
        <w:t xml:space="preserve"> </w:t>
      </w:r>
      <w:r w:rsidRPr="00FA5ED3">
        <w:rPr>
          <w:rFonts w:hint="eastAsia"/>
          <w:sz w:val="24"/>
          <w:rtl/>
        </w:rPr>
        <w:t>שלפיו</w:t>
      </w:r>
      <w:r w:rsidRPr="00FA5ED3">
        <w:rPr>
          <w:sz w:val="24"/>
          <w:rtl/>
        </w:rPr>
        <w:t xml:space="preserve"> </w:t>
      </w:r>
      <w:r w:rsidRPr="00FA5ED3">
        <w:rPr>
          <w:rFonts w:hint="eastAsia"/>
          <w:sz w:val="24"/>
          <w:rtl/>
        </w:rPr>
        <w:t>יש</w:t>
      </w:r>
      <w:r w:rsidRPr="00FA5ED3">
        <w:rPr>
          <w:sz w:val="24"/>
          <w:rtl/>
        </w:rPr>
        <w:t xml:space="preserve"> להוציא את ההיתרים במתווה של בקשה דחופה התקפה למשך 48 שעות, </w:t>
      </w:r>
      <w:r w:rsidRPr="00FA5ED3">
        <w:rPr>
          <w:rFonts w:hint="eastAsia"/>
          <w:sz w:val="24"/>
          <w:rtl/>
        </w:rPr>
        <w:t>אלא</w:t>
      </w:r>
      <w:r w:rsidRPr="00FA5ED3">
        <w:rPr>
          <w:sz w:val="24"/>
          <w:rtl/>
        </w:rPr>
        <w:t xml:space="preserve"> </w:t>
      </w:r>
      <w:r w:rsidRPr="00FA5ED3">
        <w:rPr>
          <w:rFonts w:hint="eastAsia"/>
          <w:sz w:val="24"/>
          <w:rtl/>
        </w:rPr>
        <w:t>במתווה</w:t>
      </w:r>
      <w:r w:rsidRPr="00FA5ED3">
        <w:rPr>
          <w:sz w:val="24"/>
          <w:rtl/>
        </w:rPr>
        <w:t xml:space="preserve"> </w:t>
      </w:r>
      <w:r w:rsidRPr="00FA5ED3">
        <w:rPr>
          <w:rFonts w:hint="eastAsia"/>
          <w:sz w:val="24"/>
          <w:rtl/>
        </w:rPr>
        <w:t>של</w:t>
      </w:r>
      <w:r w:rsidRPr="00FA5ED3">
        <w:rPr>
          <w:sz w:val="24"/>
          <w:rtl/>
        </w:rPr>
        <w:t xml:space="preserve"> </w:t>
      </w:r>
      <w:r w:rsidRPr="00FA5ED3">
        <w:rPr>
          <w:rFonts w:hint="eastAsia"/>
          <w:sz w:val="24"/>
          <w:rtl/>
        </w:rPr>
        <w:t>בקשה</w:t>
      </w:r>
      <w:r w:rsidRPr="00FA5ED3">
        <w:rPr>
          <w:sz w:val="24"/>
          <w:rtl/>
        </w:rPr>
        <w:t xml:space="preserve"> </w:t>
      </w:r>
      <w:r w:rsidR="00853A2E">
        <w:rPr>
          <w:rFonts w:hint="cs"/>
          <w:sz w:val="24"/>
          <w:rtl/>
        </w:rPr>
        <w:t>לצו חריג</w:t>
      </w:r>
      <w:r w:rsidRPr="00FA5ED3">
        <w:rPr>
          <w:sz w:val="24"/>
          <w:rtl/>
        </w:rPr>
        <w:t xml:space="preserve"> </w:t>
      </w:r>
      <w:r w:rsidRPr="00FA5ED3">
        <w:rPr>
          <w:rFonts w:hint="eastAsia"/>
          <w:sz w:val="24"/>
          <w:rtl/>
        </w:rPr>
        <w:t>התקף</w:t>
      </w:r>
      <w:r w:rsidRPr="00FA5ED3">
        <w:rPr>
          <w:sz w:val="24"/>
          <w:rtl/>
        </w:rPr>
        <w:t xml:space="preserve"> לשלושה חודשים ומופעל בהתאם לשיקול הדעת הבלעדי של גורמי משטרה</w:t>
      </w:r>
      <w:r w:rsidR="000F10B1">
        <w:rPr>
          <w:rFonts w:hint="cs"/>
          <w:sz w:val="24"/>
          <w:rtl/>
        </w:rPr>
        <w:t xml:space="preserve"> שאינם המפכ"ל</w:t>
      </w:r>
      <w:r w:rsidRPr="00FA5ED3">
        <w:rPr>
          <w:sz w:val="24"/>
          <w:rtl/>
        </w:rPr>
        <w:t xml:space="preserve">. </w:t>
      </w:r>
    </w:p>
    <w:p w:rsidR="002A054E" w:rsidRDefault="002A054E" w:rsidP="00604C3D">
      <w:pPr>
        <w:spacing w:line="269" w:lineRule="auto"/>
        <w:rPr>
          <w:b/>
          <w:bCs/>
          <w:rtl/>
        </w:rPr>
      </w:pPr>
    </w:p>
    <w:p w:rsidR="009A1216" w:rsidRDefault="009A1216" w:rsidP="003C0292">
      <w:pPr>
        <w:spacing w:line="269" w:lineRule="auto"/>
        <w:ind w:left="720"/>
        <w:rPr>
          <w:b/>
          <w:bCs/>
          <w:rtl/>
        </w:rPr>
      </w:pPr>
      <w:r>
        <w:rPr>
          <w:rFonts w:hint="cs"/>
          <w:b/>
          <w:bCs/>
          <w:rtl/>
        </w:rPr>
        <w:t>החל בשנת 2018, לכל המאוחר, המשטרה מחזיקה בצווים או בהיתרים מינהליים חריגים נגד אלמונים לצורך מאבק ב</w:t>
      </w:r>
      <w:r w:rsidR="007A530F">
        <w:rPr>
          <w:rFonts w:hint="cs"/>
          <w:b/>
          <w:bCs/>
          <w:rtl/>
        </w:rPr>
        <w:t>עבירות מסוימות</w:t>
      </w:r>
      <w:r>
        <w:rPr>
          <w:rFonts w:hint="cs"/>
          <w:b/>
          <w:bCs/>
          <w:rtl/>
        </w:rPr>
        <w:t>. הצווים מוצאים באופן קבוע אחת לשלושה חודשים, והם מקיפים מכלול של אירועי</w:t>
      </w:r>
      <w:r w:rsidR="007A530F">
        <w:rPr>
          <w:rFonts w:hint="cs"/>
          <w:b/>
          <w:bCs/>
          <w:rtl/>
        </w:rPr>
        <w:t>ם</w:t>
      </w:r>
      <w:r>
        <w:rPr>
          <w:rFonts w:hint="cs"/>
          <w:b/>
          <w:bCs/>
          <w:rtl/>
        </w:rPr>
        <w:t xml:space="preserve"> שאינם קשורים זה בזה: בנימוקי הבקשה מצוינים מעורבים שונים, קבוצות פשיעה שונות, מקומות שונים ואירועים שונים. הוצאת צו חריג ב' שתחולתו, הלכה למעשה, בלתי מוגבלת, הותירה בידי המשטרה במשך כמה שנים את שיקול הדעת באילו אירועים פליליים לפעול בהתאם לצו הכוללני. פעולה זאת התבצעה </w:t>
      </w:r>
      <w:r w:rsidRPr="000D7E64">
        <w:rPr>
          <w:b/>
          <w:bCs/>
          <w:rtl/>
        </w:rPr>
        <w:t>תוך עק</w:t>
      </w:r>
      <w:r>
        <w:rPr>
          <w:rFonts w:hint="cs"/>
          <w:b/>
          <w:bCs/>
          <w:rtl/>
        </w:rPr>
        <w:t>יפת המגבלות הקבועות בחוק להוצאת צווי האזנת סתר, בחוות הדעת של הייעוץ המשפטי לממשלה במשרד המשפטים משנת 2017 ובהנחיות המשטרה</w:t>
      </w:r>
      <w:r w:rsidRPr="00A36F65">
        <w:rPr>
          <w:rFonts w:hint="cs"/>
          <w:b/>
          <w:bCs/>
          <w:rtl/>
        </w:rPr>
        <w:t>.</w:t>
      </w:r>
      <w:r>
        <w:rPr>
          <w:rFonts w:hint="cs"/>
          <w:b/>
          <w:bCs/>
          <w:rtl/>
        </w:rPr>
        <w:t xml:space="preserve"> </w:t>
      </w:r>
    </w:p>
    <w:p w:rsidR="009A1216" w:rsidRDefault="009A1216" w:rsidP="003C0292">
      <w:pPr>
        <w:pStyle w:val="a5"/>
        <w:spacing w:line="269" w:lineRule="auto"/>
        <w:ind w:left="0"/>
        <w:rPr>
          <w:b/>
          <w:bCs/>
          <w:rtl/>
        </w:rPr>
      </w:pPr>
    </w:p>
    <w:p w:rsidR="009A1216" w:rsidRPr="00234CB9" w:rsidRDefault="009A1216" w:rsidP="003C0292">
      <w:pPr>
        <w:spacing w:line="269" w:lineRule="auto"/>
        <w:ind w:left="720"/>
        <w:rPr>
          <w:rtl/>
        </w:rPr>
      </w:pPr>
      <w:r w:rsidRPr="00234CB9">
        <w:rPr>
          <w:rFonts w:hint="eastAsia"/>
          <w:rtl/>
        </w:rPr>
        <w:t>המשטרה</w:t>
      </w:r>
      <w:r w:rsidRPr="00234CB9">
        <w:rPr>
          <w:rtl/>
        </w:rPr>
        <w:t xml:space="preserve"> מסרה בתשובתה </w:t>
      </w:r>
      <w:r w:rsidRPr="00234CB9">
        <w:rPr>
          <w:rFonts w:hint="eastAsia"/>
          <w:rtl/>
        </w:rPr>
        <w:t>כי</w:t>
      </w:r>
      <w:r w:rsidRPr="00234CB9">
        <w:rPr>
          <w:rtl/>
        </w:rPr>
        <w:t xml:space="preserve"> הוצאת צווי האזנת סתר </w:t>
      </w:r>
      <w:r>
        <w:rPr>
          <w:rFonts w:hint="cs"/>
          <w:rtl/>
        </w:rPr>
        <w:t xml:space="preserve">הוא אחד מהכלים החשובים ביותר מבחינתה </w:t>
      </w:r>
      <w:r w:rsidRPr="00234CB9">
        <w:rPr>
          <w:rFonts w:hint="eastAsia"/>
          <w:rtl/>
        </w:rPr>
        <w:t>לטיפול</w:t>
      </w:r>
      <w:r w:rsidRPr="00234CB9">
        <w:rPr>
          <w:rtl/>
        </w:rPr>
        <w:t xml:space="preserve"> </w:t>
      </w:r>
      <w:r w:rsidRPr="00234CB9">
        <w:rPr>
          <w:rFonts w:hint="eastAsia"/>
          <w:rtl/>
        </w:rPr>
        <w:t>בתופעת</w:t>
      </w:r>
      <w:r w:rsidRPr="00234CB9">
        <w:rPr>
          <w:rtl/>
        </w:rPr>
        <w:t xml:space="preserve"> </w:t>
      </w:r>
      <w:r w:rsidR="003A6AA6">
        <w:rPr>
          <w:rFonts w:hint="cs"/>
          <w:rtl/>
        </w:rPr>
        <w:t>הפשיעה נשוא הבקשות</w:t>
      </w:r>
      <w:r>
        <w:rPr>
          <w:rFonts w:hint="cs"/>
          <w:rtl/>
        </w:rPr>
        <w:t xml:space="preserve"> שהוא אינטרס ציבורי וביטחוני, וכי עיסוק זה הוא מורכב ומחייב מענה מבצעי בזמן אמת. כמו כן, לאחר הוצאת הצו, המשטרה עושה שימוש מידתי ומצומצם בהרשאה שניתנה לה. </w:t>
      </w:r>
    </w:p>
    <w:p w:rsidR="002A054E" w:rsidRDefault="002A054E" w:rsidP="003C0292">
      <w:pPr>
        <w:spacing w:line="269" w:lineRule="auto"/>
        <w:ind w:left="720"/>
        <w:rPr>
          <w:b/>
          <w:bCs/>
          <w:rtl/>
        </w:rPr>
      </w:pPr>
    </w:p>
    <w:p w:rsidR="009A1216" w:rsidRDefault="009A1216" w:rsidP="003C0292">
      <w:pPr>
        <w:spacing w:line="269" w:lineRule="auto"/>
        <w:ind w:left="720"/>
        <w:rPr>
          <w:b/>
          <w:bCs/>
          <w:rtl/>
        </w:rPr>
      </w:pPr>
      <w:r>
        <w:rPr>
          <w:rFonts w:hint="cs"/>
          <w:b/>
          <w:bCs/>
          <w:rtl/>
        </w:rPr>
        <w:t>אין חולק כי המשטרה נדרשת לטפל בתופע</w:t>
      </w:r>
      <w:r w:rsidR="003A6AA6">
        <w:rPr>
          <w:rFonts w:hint="cs"/>
          <w:b/>
          <w:bCs/>
          <w:rtl/>
        </w:rPr>
        <w:t>ו</w:t>
      </w:r>
      <w:r>
        <w:rPr>
          <w:rFonts w:hint="cs"/>
          <w:b/>
          <w:bCs/>
          <w:rtl/>
        </w:rPr>
        <w:t xml:space="preserve">ת </w:t>
      </w:r>
      <w:r w:rsidR="003A6AA6">
        <w:rPr>
          <w:rFonts w:hint="cs"/>
          <w:b/>
          <w:bCs/>
          <w:rtl/>
        </w:rPr>
        <w:t>פשיעה חמורה</w:t>
      </w:r>
      <w:r>
        <w:rPr>
          <w:rFonts w:hint="cs"/>
          <w:b/>
          <w:bCs/>
          <w:rtl/>
        </w:rPr>
        <w:t xml:space="preserve"> בכל הכלים העומדים לרשותה. ואולם, אין בצורך זה כדי להתיר הגשת בקשות לא מנומקות, בניגוד לסדרי מינהל תקין ובניגוד לחבותה של המשטרה כמשרתת הציבור לסייע לבית המשפט ולמקבלי ההחלטות. על המשטרה להפסיק </w:t>
      </w:r>
      <w:r w:rsidRPr="00400443">
        <w:rPr>
          <w:rFonts w:hint="cs"/>
          <w:b/>
          <w:bCs/>
          <w:rtl/>
        </w:rPr>
        <w:t xml:space="preserve">כל שימוש </w:t>
      </w:r>
      <w:r w:rsidRPr="00400443">
        <w:rPr>
          <w:rFonts w:hint="eastAsia"/>
          <w:b/>
          <w:bCs/>
          <w:rtl/>
        </w:rPr>
        <w:t>בצו</w:t>
      </w:r>
      <w:r w:rsidRPr="00400443">
        <w:rPr>
          <w:b/>
          <w:bCs/>
          <w:rtl/>
        </w:rPr>
        <w:t xml:space="preserve"> </w:t>
      </w:r>
      <w:r w:rsidR="00041686" w:rsidRPr="0097754A">
        <w:rPr>
          <w:rFonts w:hint="cs"/>
          <w:b/>
          <w:bCs/>
          <w:rtl/>
        </w:rPr>
        <w:t>נרחב</w:t>
      </w:r>
      <w:r w:rsidR="00041686" w:rsidRPr="00400443">
        <w:rPr>
          <w:b/>
          <w:bCs/>
          <w:rtl/>
        </w:rPr>
        <w:t xml:space="preserve"> </w:t>
      </w:r>
      <w:r w:rsidRPr="00400443">
        <w:rPr>
          <w:rFonts w:hint="eastAsia"/>
          <w:b/>
          <w:bCs/>
          <w:rtl/>
        </w:rPr>
        <w:t>וכוללני</w:t>
      </w:r>
      <w:r w:rsidRPr="00400443">
        <w:rPr>
          <w:rFonts w:hint="cs"/>
          <w:b/>
          <w:bCs/>
          <w:rtl/>
        </w:rPr>
        <w:t xml:space="preserve"> שאינו מוגבל לפרשייה קונקרטית, לעבירות ספציפיות או</w:t>
      </w:r>
      <w:r>
        <w:rPr>
          <w:rFonts w:hint="cs"/>
          <w:b/>
          <w:bCs/>
          <w:rtl/>
        </w:rPr>
        <w:t xml:space="preserve"> לחשודים מסוימים שיש זיקה ביניהם. </w:t>
      </w:r>
    </w:p>
    <w:p w:rsidR="002A054E" w:rsidRDefault="002A054E" w:rsidP="003C0292">
      <w:pPr>
        <w:spacing w:line="269" w:lineRule="auto"/>
        <w:ind w:left="380"/>
        <w:rPr>
          <w:b/>
          <w:bCs/>
          <w:rtl/>
        </w:rPr>
      </w:pPr>
    </w:p>
    <w:p w:rsidR="009A1216" w:rsidRDefault="009A1216" w:rsidP="003C0292">
      <w:pPr>
        <w:spacing w:line="269" w:lineRule="auto"/>
        <w:ind w:left="720"/>
        <w:rPr>
          <w:b/>
          <w:bCs/>
          <w:rtl/>
        </w:rPr>
      </w:pPr>
      <w:r>
        <w:rPr>
          <w:rFonts w:hint="cs"/>
          <w:b/>
          <w:bCs/>
          <w:rtl/>
        </w:rPr>
        <w:t xml:space="preserve">לאור חוק האזנת סתר, גם במקרים הדורשים התערבות מיידית וגמישות מבצעית וכפועל יוצא מכך הוצאת צווים חריגים, על המשטרה להגביל את הצו לפרשייה קונקרטית, לעבירות ספציפיות ולחשודים מסוימים. כמו כן, עם תפוגת תוקפו של צו חריג מסוג זה ולאחר זיהוי </w:t>
      </w:r>
      <w:r w:rsidRPr="00400443">
        <w:rPr>
          <w:rFonts w:hint="cs"/>
          <w:b/>
          <w:bCs/>
          <w:rtl/>
        </w:rPr>
        <w:t xml:space="preserve">המעורבים בפרשייה, עליה לפעול לקבל צו מפורש וקונקרטי ולא להסתמך על </w:t>
      </w:r>
      <w:r w:rsidRPr="00400443">
        <w:rPr>
          <w:rFonts w:hint="eastAsia"/>
          <w:b/>
          <w:bCs/>
          <w:rtl/>
        </w:rPr>
        <w:t>צו</w:t>
      </w:r>
      <w:r w:rsidRPr="00400443">
        <w:rPr>
          <w:b/>
          <w:bCs/>
          <w:rtl/>
        </w:rPr>
        <w:t xml:space="preserve"> </w:t>
      </w:r>
      <w:r w:rsidR="00041686" w:rsidRPr="0097754A">
        <w:rPr>
          <w:rFonts w:hint="cs"/>
          <w:b/>
          <w:bCs/>
          <w:rtl/>
        </w:rPr>
        <w:t>נרחב</w:t>
      </w:r>
      <w:r w:rsidR="00041686" w:rsidRPr="00400443">
        <w:rPr>
          <w:b/>
          <w:bCs/>
          <w:rtl/>
        </w:rPr>
        <w:t xml:space="preserve"> </w:t>
      </w:r>
      <w:r w:rsidRPr="0073395B">
        <w:rPr>
          <w:rFonts w:hint="eastAsia"/>
          <w:b/>
          <w:bCs/>
          <w:rtl/>
        </w:rPr>
        <w:t>וכוללני</w:t>
      </w:r>
      <w:r w:rsidRPr="003F3D04">
        <w:rPr>
          <w:b/>
          <w:bCs/>
          <w:rtl/>
        </w:rPr>
        <w:t>.</w:t>
      </w:r>
      <w:r w:rsidR="00382AE8">
        <w:rPr>
          <w:rFonts w:hint="cs"/>
          <w:b/>
          <w:bCs/>
          <w:rtl/>
        </w:rPr>
        <w:t xml:space="preserve"> </w:t>
      </w:r>
    </w:p>
    <w:p w:rsidR="003C0292" w:rsidRDefault="003C0292" w:rsidP="003C0292">
      <w:pPr>
        <w:spacing w:line="269" w:lineRule="auto"/>
        <w:ind w:left="720"/>
        <w:rPr>
          <w:b/>
          <w:bCs/>
          <w:rtl/>
        </w:rPr>
      </w:pPr>
    </w:p>
    <w:p w:rsidR="009A1216" w:rsidRDefault="009A1216" w:rsidP="008C598D">
      <w:pPr>
        <w:pStyle w:val="5"/>
        <w:numPr>
          <w:ilvl w:val="2"/>
          <w:numId w:val="75"/>
        </w:numPr>
        <w:spacing w:line="269" w:lineRule="auto"/>
        <w:ind w:left="707"/>
        <w:rPr>
          <w:rtl/>
        </w:rPr>
      </w:pPr>
      <w:bookmarkStart w:id="353" w:name="_Toc132608786"/>
      <w:bookmarkStart w:id="354" w:name="_Hlk147910809"/>
      <w:r>
        <w:rPr>
          <w:rFonts w:hint="cs"/>
          <w:rtl/>
        </w:rPr>
        <w:t>משך הטיפול מהעלאת הצורך ועד למימוש בפועל</w:t>
      </w:r>
      <w:bookmarkEnd w:id="353"/>
    </w:p>
    <w:bookmarkEnd w:id="354"/>
    <w:p w:rsidR="002A054E" w:rsidRDefault="002A054E" w:rsidP="00604C3D">
      <w:pPr>
        <w:spacing w:line="269" w:lineRule="auto"/>
        <w:rPr>
          <w:rtl/>
        </w:rPr>
      </w:pPr>
    </w:p>
    <w:p w:rsidR="009A1216" w:rsidRDefault="009A1216" w:rsidP="003C0292">
      <w:pPr>
        <w:spacing w:line="269" w:lineRule="auto"/>
        <w:ind w:left="680"/>
        <w:rPr>
          <w:rtl/>
        </w:rPr>
      </w:pPr>
      <w:r w:rsidRPr="0008119E">
        <w:rPr>
          <w:rtl/>
        </w:rPr>
        <w:t>חוות הדעת</w:t>
      </w:r>
      <w:r>
        <w:rPr>
          <w:rFonts w:hint="cs"/>
          <w:rtl/>
        </w:rPr>
        <w:t xml:space="preserve"> משנת 2017 גרסה כי</w:t>
      </w:r>
      <w:r w:rsidRPr="0008119E">
        <w:rPr>
          <w:rtl/>
        </w:rPr>
        <w:t xml:space="preserve"> </w:t>
      </w:r>
      <w:r>
        <w:rPr>
          <w:rFonts w:hint="cs"/>
          <w:rtl/>
        </w:rPr>
        <w:t xml:space="preserve">שימוש במנגנון קבלת היתרי מפכ"ל במקרים דחופים אינו נותן מענה מבצעי מלא על צורכי המשטרה מאחר שהפנייה למפכ"ל לקבלת ההיתר עשויה לגרום להשהיית הטיפול בנושא. לפיכך יש להשתמש בצו חריג ב' לצורך הוצאת היתרים דחופים. </w:t>
      </w:r>
    </w:p>
    <w:p w:rsidR="002A054E" w:rsidRPr="007E2222" w:rsidRDefault="002A054E" w:rsidP="003C0292">
      <w:pPr>
        <w:spacing w:line="269" w:lineRule="auto"/>
        <w:ind w:left="680"/>
        <w:rPr>
          <w:rtl/>
        </w:rPr>
      </w:pPr>
      <w:bookmarkStart w:id="355" w:name="_Hlk147910838"/>
    </w:p>
    <w:p w:rsidR="009A1216" w:rsidRPr="007E2222" w:rsidRDefault="009A1216" w:rsidP="003C0292">
      <w:pPr>
        <w:spacing w:line="269" w:lineRule="auto"/>
        <w:ind w:left="680"/>
        <w:rPr>
          <w:b/>
          <w:bCs/>
          <w:rtl/>
        </w:rPr>
      </w:pPr>
      <w:r w:rsidRPr="007E2222">
        <w:rPr>
          <w:rFonts w:hint="cs"/>
          <w:b/>
          <w:bCs/>
          <w:rtl/>
        </w:rPr>
        <w:t>עם זאת, המשטרה אינה אוספת או מנתחת באופן עקבי מידע על משך הטיפול בבקשות להאזנת סתר ממועד העלאת הצורך בכך ועד לביצוע בפועל. בהיעדר איסוף מידע כאמור נבצר מהמשטרה לפקח על הטיפול בבקשות ולוודא כי לא נעשה שימוש עודף בצווים חריגים, וכי לא ניתן היה להשתמש בהיתרי מפכ"ל חלף הוצאת צווי</w:t>
      </w:r>
      <w:r w:rsidR="0025557C" w:rsidRPr="007E2222">
        <w:rPr>
          <w:rFonts w:hint="cs"/>
          <w:b/>
          <w:bCs/>
          <w:rtl/>
        </w:rPr>
        <w:t>ם</w:t>
      </w:r>
      <w:r w:rsidRPr="007E2222">
        <w:rPr>
          <w:rFonts w:hint="cs"/>
          <w:b/>
          <w:bCs/>
          <w:rtl/>
        </w:rPr>
        <w:t xml:space="preserve"> </w:t>
      </w:r>
      <w:r w:rsidR="00853A2E" w:rsidRPr="007E2222">
        <w:rPr>
          <w:rFonts w:hint="cs"/>
          <w:b/>
          <w:bCs/>
          <w:rtl/>
        </w:rPr>
        <w:t>חריגים</w:t>
      </w:r>
      <w:r w:rsidRPr="007E2222">
        <w:rPr>
          <w:rFonts w:hint="cs"/>
          <w:b/>
          <w:bCs/>
          <w:rtl/>
        </w:rPr>
        <w:t xml:space="preserve">. </w:t>
      </w:r>
    </w:p>
    <w:p w:rsidR="002A054E" w:rsidRDefault="002A054E" w:rsidP="003C0292">
      <w:pPr>
        <w:spacing w:line="269" w:lineRule="auto"/>
        <w:ind w:left="680"/>
        <w:rPr>
          <w:b/>
          <w:bCs/>
          <w:rtl/>
        </w:rPr>
      </w:pPr>
    </w:p>
    <w:p w:rsidR="009A1216" w:rsidRPr="00497672" w:rsidRDefault="009A1216" w:rsidP="003C0292">
      <w:pPr>
        <w:spacing w:line="269" w:lineRule="auto"/>
        <w:ind w:left="680"/>
        <w:rPr>
          <w:b/>
          <w:bCs/>
          <w:rtl/>
        </w:rPr>
      </w:pPr>
      <w:r>
        <w:rPr>
          <w:rFonts w:hint="cs"/>
          <w:b/>
          <w:bCs/>
          <w:rtl/>
        </w:rPr>
        <w:t>אף על פי כן</w:t>
      </w:r>
      <w:r w:rsidRPr="00497672">
        <w:rPr>
          <w:b/>
          <w:bCs/>
          <w:rtl/>
        </w:rPr>
        <w:t>, משרד מבקר המדינה איתר במאגרי המידע של המשטרה נתונים המעידים על משך הטיפול בבקשות</w:t>
      </w:r>
      <w:r>
        <w:rPr>
          <w:rFonts w:hint="cs"/>
          <w:b/>
          <w:bCs/>
          <w:rtl/>
        </w:rPr>
        <w:t xml:space="preserve"> לקבלת צו שיפוטי</w:t>
      </w:r>
      <w:r w:rsidRPr="00497672">
        <w:rPr>
          <w:b/>
          <w:bCs/>
          <w:rtl/>
        </w:rPr>
        <w:t xml:space="preserve"> להאזנות סתר לשמע או לתקשורת בין מחשבים ממועד העלאת הצורך ועד למימוש בפועל. לפי נתונים אלה, הטיפול החציוני נמשך יומיים עד שלושה, בהתאמה.</w:t>
      </w:r>
      <w:r>
        <w:rPr>
          <w:b/>
          <w:bCs/>
          <w:rtl/>
        </w:rPr>
        <w:t xml:space="preserve"> </w:t>
      </w:r>
    </w:p>
    <w:p w:rsidR="002A054E" w:rsidRPr="007E2222" w:rsidRDefault="002A054E" w:rsidP="003C0292">
      <w:pPr>
        <w:spacing w:line="269" w:lineRule="auto"/>
        <w:ind w:left="680"/>
        <w:rPr>
          <w:b/>
          <w:bCs/>
          <w:rtl/>
        </w:rPr>
      </w:pPr>
    </w:p>
    <w:p w:rsidR="009A1216" w:rsidRPr="007E2222" w:rsidRDefault="009A1216" w:rsidP="003C0292">
      <w:pPr>
        <w:spacing w:line="269" w:lineRule="auto"/>
        <w:ind w:left="680"/>
        <w:rPr>
          <w:b/>
          <w:bCs/>
        </w:rPr>
      </w:pPr>
      <w:r w:rsidRPr="007E2222">
        <w:rPr>
          <w:rFonts w:hint="cs"/>
          <w:b/>
          <w:bCs/>
          <w:rtl/>
        </w:rPr>
        <w:t xml:space="preserve">על המשטרה לכלול בבקרותיה את בחינת משך הטיפול בבקשות לצווים החריגים ולוודא כי דחיפות הבקשות ואישורן כבקשות חריגות עולים בקנה אחד עם אופן מימושן. </w:t>
      </w:r>
    </w:p>
    <w:p w:rsidR="009A1216" w:rsidRPr="007E2222" w:rsidRDefault="009A1216" w:rsidP="00604C3D">
      <w:pPr>
        <w:spacing w:line="269" w:lineRule="auto"/>
        <w:rPr>
          <w:rtl/>
        </w:rPr>
      </w:pPr>
    </w:p>
    <w:p w:rsidR="009A1216" w:rsidRDefault="009A1216" w:rsidP="008C598D">
      <w:pPr>
        <w:pStyle w:val="5"/>
        <w:numPr>
          <w:ilvl w:val="2"/>
          <w:numId w:val="75"/>
        </w:numPr>
        <w:spacing w:line="269" w:lineRule="auto"/>
        <w:ind w:left="707"/>
        <w:rPr>
          <w:rtl/>
        </w:rPr>
      </w:pPr>
      <w:r>
        <w:rPr>
          <w:rFonts w:hint="cs"/>
          <w:rtl/>
        </w:rPr>
        <w:t>מנגנון היתרי מפכ"ל</w:t>
      </w:r>
    </w:p>
    <w:p w:rsidR="002A054E" w:rsidRPr="007E2222" w:rsidRDefault="002A054E" w:rsidP="00604C3D">
      <w:pPr>
        <w:spacing w:line="269" w:lineRule="auto"/>
        <w:rPr>
          <w:rtl/>
        </w:rPr>
      </w:pPr>
    </w:p>
    <w:p w:rsidR="009A1216" w:rsidRPr="007E2222" w:rsidRDefault="009A1216" w:rsidP="003C0292">
      <w:pPr>
        <w:spacing w:line="269" w:lineRule="auto"/>
        <w:ind w:left="680"/>
        <w:rPr>
          <w:rtl/>
        </w:rPr>
      </w:pPr>
      <w:r w:rsidRPr="007E2222">
        <w:rPr>
          <w:rFonts w:hint="cs"/>
          <w:rtl/>
        </w:rPr>
        <w:t>כאמור, בחוות הדעת נקבע כי הוצאת צו חריג ב' מותירה בידי גורמים במשטרה את שיקול הדעת לעניין הוספת מעורבים כיעדי האזנה, וזאת חלף הבאת הסוגיה בבקשה נפרדת לפני המפכ"ל</w:t>
      </w:r>
      <w:r w:rsidRPr="007E2222">
        <w:rPr>
          <w:rtl/>
        </w:rPr>
        <w:footnoteReference w:id="153"/>
      </w:r>
      <w:r w:rsidRPr="007E2222">
        <w:rPr>
          <w:rFonts w:hint="cs"/>
          <w:rtl/>
        </w:rPr>
        <w:t xml:space="preserve"> שבה מתקיימת בקרה נפרדת ובלתי תלויה. </w:t>
      </w:r>
    </w:p>
    <w:p w:rsidR="002A054E" w:rsidRPr="007E2222" w:rsidRDefault="002A054E" w:rsidP="003C0292">
      <w:pPr>
        <w:spacing w:line="269" w:lineRule="auto"/>
        <w:ind w:left="680"/>
        <w:rPr>
          <w:b/>
          <w:bCs/>
          <w:rtl/>
        </w:rPr>
      </w:pPr>
    </w:p>
    <w:p w:rsidR="009A1216" w:rsidRPr="007E2222" w:rsidRDefault="009A1216" w:rsidP="003C0292">
      <w:pPr>
        <w:spacing w:line="269" w:lineRule="auto"/>
        <w:ind w:left="680"/>
        <w:rPr>
          <w:b/>
          <w:bCs/>
          <w:rtl/>
        </w:rPr>
      </w:pPr>
      <w:r w:rsidRPr="007E2222">
        <w:rPr>
          <w:rFonts w:hint="cs"/>
          <w:b/>
          <w:bCs/>
          <w:rtl/>
        </w:rPr>
        <w:t xml:space="preserve">בחינת הבקשות לגופן העלתה כי לא פורטו נימוקים מספקים המצדיקים את השימוש בצו חריג ב' והעדפתו על פני קבלת היתר מפכ"ל. </w:t>
      </w:r>
    </w:p>
    <w:p w:rsidR="009A1216" w:rsidRDefault="009A1216" w:rsidP="003C0292">
      <w:pPr>
        <w:pStyle w:val="a5"/>
        <w:spacing w:line="269" w:lineRule="auto"/>
        <w:ind w:left="113"/>
        <w:rPr>
          <w:b/>
          <w:bCs/>
          <w:rtl/>
        </w:rPr>
      </w:pPr>
    </w:p>
    <w:p w:rsidR="009A1216" w:rsidRDefault="009A1216" w:rsidP="003C0292">
      <w:pPr>
        <w:spacing w:line="269" w:lineRule="auto"/>
        <w:ind w:left="680"/>
        <w:rPr>
          <w:rtl/>
        </w:rPr>
      </w:pPr>
      <w:r w:rsidRPr="00234CB9">
        <w:rPr>
          <w:rFonts w:hint="eastAsia"/>
          <w:rtl/>
        </w:rPr>
        <w:t>המשטרה</w:t>
      </w:r>
      <w:r w:rsidRPr="00234CB9">
        <w:rPr>
          <w:rtl/>
        </w:rPr>
        <w:t xml:space="preserve"> מסרה בתשובתה כי </w:t>
      </w:r>
      <w:r>
        <w:rPr>
          <w:rFonts w:hint="cs"/>
          <w:rtl/>
        </w:rPr>
        <w:t xml:space="preserve">מנגנון </w:t>
      </w:r>
      <w:r w:rsidRPr="00234CB9">
        <w:rPr>
          <w:rFonts w:hint="eastAsia"/>
          <w:rtl/>
        </w:rPr>
        <w:t>היתר</w:t>
      </w:r>
      <w:r w:rsidRPr="00234CB9">
        <w:rPr>
          <w:rtl/>
        </w:rPr>
        <w:t xml:space="preserve"> </w:t>
      </w:r>
      <w:r w:rsidRPr="00234CB9">
        <w:rPr>
          <w:rFonts w:hint="eastAsia"/>
          <w:rtl/>
        </w:rPr>
        <w:t>מפכ</w:t>
      </w:r>
      <w:r w:rsidRPr="00234CB9">
        <w:rPr>
          <w:rtl/>
        </w:rPr>
        <w:t xml:space="preserve">"ל </w:t>
      </w:r>
      <w:r>
        <w:rPr>
          <w:rFonts w:hint="cs"/>
          <w:rtl/>
        </w:rPr>
        <w:t>אינו</w:t>
      </w:r>
      <w:r w:rsidRPr="00234CB9">
        <w:rPr>
          <w:rtl/>
        </w:rPr>
        <w:t xml:space="preserve"> </w:t>
      </w:r>
      <w:r w:rsidRPr="00234CB9">
        <w:rPr>
          <w:rFonts w:hint="eastAsia"/>
          <w:rtl/>
        </w:rPr>
        <w:t>נותן</w:t>
      </w:r>
      <w:r w:rsidRPr="00234CB9">
        <w:rPr>
          <w:rtl/>
        </w:rPr>
        <w:t xml:space="preserve"> </w:t>
      </w:r>
      <w:r w:rsidRPr="00234CB9">
        <w:rPr>
          <w:rFonts w:hint="eastAsia"/>
          <w:rtl/>
        </w:rPr>
        <w:t>מענה</w:t>
      </w:r>
      <w:r w:rsidRPr="00234CB9">
        <w:rPr>
          <w:rtl/>
        </w:rPr>
        <w:t xml:space="preserve"> </w:t>
      </w:r>
      <w:r w:rsidRPr="00234CB9">
        <w:rPr>
          <w:rFonts w:hint="eastAsia"/>
          <w:rtl/>
        </w:rPr>
        <w:t>מבצעי</w:t>
      </w:r>
      <w:r w:rsidRPr="00234CB9">
        <w:rPr>
          <w:rtl/>
        </w:rPr>
        <w:t xml:space="preserve"> </w:t>
      </w:r>
      <w:r w:rsidRPr="00234CB9">
        <w:rPr>
          <w:rFonts w:hint="eastAsia"/>
          <w:rtl/>
        </w:rPr>
        <w:t>לצורכי</w:t>
      </w:r>
      <w:r w:rsidRPr="00234CB9">
        <w:rPr>
          <w:rtl/>
        </w:rPr>
        <w:t xml:space="preserve"> </w:t>
      </w:r>
      <w:r w:rsidRPr="00234CB9">
        <w:rPr>
          <w:rFonts w:hint="eastAsia"/>
          <w:rtl/>
        </w:rPr>
        <w:t>המשטרה</w:t>
      </w:r>
      <w:r w:rsidRPr="00234CB9">
        <w:rPr>
          <w:rtl/>
        </w:rPr>
        <w:t>.</w:t>
      </w:r>
    </w:p>
    <w:p w:rsidR="002A054E" w:rsidRDefault="002A054E" w:rsidP="003C0292">
      <w:pPr>
        <w:spacing w:line="269" w:lineRule="auto"/>
        <w:ind w:left="680"/>
        <w:rPr>
          <w:b/>
          <w:bCs/>
          <w:rtl/>
        </w:rPr>
      </w:pPr>
    </w:p>
    <w:p w:rsidR="009A1216" w:rsidRDefault="009A1216" w:rsidP="003C0292">
      <w:pPr>
        <w:spacing w:line="269" w:lineRule="auto"/>
        <w:ind w:left="680"/>
        <w:rPr>
          <w:b/>
          <w:bCs/>
          <w:rtl/>
        </w:rPr>
      </w:pPr>
      <w:r>
        <w:rPr>
          <w:rFonts w:hint="cs"/>
          <w:b/>
          <w:bCs/>
          <w:rtl/>
        </w:rPr>
        <w:t>בשים לב לכך ש</w:t>
      </w:r>
      <w:r w:rsidRPr="00AC4CE5">
        <w:rPr>
          <w:b/>
          <w:bCs/>
          <w:rtl/>
        </w:rPr>
        <w:t>לא בוצעה עבודת מטה לייעול מנגנון אישור היתרי מפכ"ל ואף לא נעשה ניסיון לקבל היתר מפכ"ל</w:t>
      </w:r>
      <w:r>
        <w:rPr>
          <w:rFonts w:hint="cs"/>
          <w:b/>
          <w:bCs/>
          <w:rtl/>
        </w:rPr>
        <w:t>,</w:t>
      </w:r>
      <w:r w:rsidRPr="00AE75C0">
        <w:rPr>
          <w:rFonts w:hint="cs"/>
          <w:b/>
          <w:bCs/>
          <w:rtl/>
        </w:rPr>
        <w:t xml:space="preserve"> ולנוכח אי-הסדרת הסמכות </w:t>
      </w:r>
      <w:r w:rsidR="00211852">
        <w:rPr>
          <w:rFonts w:hint="cs"/>
          <w:b/>
          <w:bCs/>
          <w:rtl/>
        </w:rPr>
        <w:t xml:space="preserve">לצו חריג ב' </w:t>
      </w:r>
      <w:r w:rsidRPr="00AE75C0">
        <w:rPr>
          <w:rFonts w:hint="cs"/>
          <w:b/>
          <w:bCs/>
          <w:rtl/>
        </w:rPr>
        <w:t>בחקיקה, המשטרה נדרשת להשתמש במנגנון</w:t>
      </w:r>
      <w:r>
        <w:rPr>
          <w:rFonts w:hint="cs"/>
          <w:b/>
          <w:bCs/>
          <w:rtl/>
        </w:rPr>
        <w:t xml:space="preserve"> להוצאת צו חריג ב'</w:t>
      </w:r>
      <w:r w:rsidRPr="00AE75C0">
        <w:rPr>
          <w:rFonts w:hint="cs"/>
          <w:b/>
          <w:bCs/>
          <w:rtl/>
        </w:rPr>
        <w:t xml:space="preserve"> באופן מרוסן, סביר ומידתי - כלומר, רק במקרים חריגים בהתאם לתבחינים שנקבעו בחוות דעתו של </w:t>
      </w:r>
      <w:r>
        <w:rPr>
          <w:rFonts w:hint="cs"/>
          <w:b/>
          <w:bCs/>
          <w:rtl/>
        </w:rPr>
        <w:t>הייעוץ המשפטי לממשלה ב</w:t>
      </w:r>
      <w:r w:rsidRPr="00AE75C0">
        <w:rPr>
          <w:rFonts w:hint="cs"/>
          <w:b/>
          <w:bCs/>
          <w:rtl/>
        </w:rPr>
        <w:t xml:space="preserve">משרד המשפטים. לפיכך על המשטרה לחדד את המקרים המפורטים בנוהל בהתאם לתבחינים של </w:t>
      </w:r>
      <w:r>
        <w:rPr>
          <w:rFonts w:hint="cs"/>
          <w:b/>
          <w:bCs/>
          <w:rtl/>
        </w:rPr>
        <w:t>הייעוץ המשפטי לממשלה</w:t>
      </w:r>
      <w:r w:rsidRPr="00AE75C0">
        <w:rPr>
          <w:rFonts w:hint="cs"/>
          <w:b/>
          <w:bCs/>
          <w:rtl/>
        </w:rPr>
        <w:t xml:space="preserve">. אם ידיעה על אירוע העומד להתרחש מתקבלת בסד זמנים המאפשר הוצאת צו קונקרטי, ראוי שהמשטרה תוציא היתר מפכ"ל או צו שיפוטי בעניינו ולא תשתמש בצו חריג ב' גם אם קיים צו שכזה בתוקף. </w:t>
      </w:r>
    </w:p>
    <w:p w:rsidR="009A1216" w:rsidRDefault="009A1216" w:rsidP="00604C3D">
      <w:pPr>
        <w:pStyle w:val="a5"/>
        <w:spacing w:line="269" w:lineRule="auto"/>
        <w:rPr>
          <w:b/>
          <w:bCs/>
          <w:rtl/>
        </w:rPr>
      </w:pPr>
    </w:p>
    <w:p w:rsidR="009A1216" w:rsidRPr="00234CB9" w:rsidRDefault="009A1216" w:rsidP="003C0292">
      <w:pPr>
        <w:spacing w:line="269" w:lineRule="auto"/>
        <w:ind w:left="680"/>
        <w:rPr>
          <w:rtl/>
        </w:rPr>
      </w:pPr>
      <w:r w:rsidRPr="00234CB9">
        <w:rPr>
          <w:rFonts w:hint="eastAsia"/>
          <w:rtl/>
        </w:rPr>
        <w:t>לפי</w:t>
      </w:r>
      <w:r w:rsidRPr="00234CB9">
        <w:rPr>
          <w:rtl/>
        </w:rPr>
        <w:t xml:space="preserve"> חוות הדעת </w:t>
      </w:r>
      <w:r w:rsidRPr="00234CB9">
        <w:rPr>
          <w:rFonts w:hint="eastAsia"/>
          <w:rtl/>
        </w:rPr>
        <w:t>משנת</w:t>
      </w:r>
      <w:r w:rsidRPr="00234CB9">
        <w:rPr>
          <w:rtl/>
        </w:rPr>
        <w:t xml:space="preserve"> 2017, תכלית הפיקוח של הייעוץ המשפטי לממשלה על היתרי מפכ"ל היא </w:t>
      </w:r>
      <w:r w:rsidRPr="00234CB9">
        <w:rPr>
          <w:rFonts w:hint="eastAsia"/>
          <w:rtl/>
        </w:rPr>
        <w:t>לוודא</w:t>
      </w:r>
      <w:r w:rsidRPr="00234CB9">
        <w:rPr>
          <w:rtl/>
        </w:rPr>
        <w:t xml:space="preserve"> שלא יבוצעו האזנות סתר ללא בחינה שיפוטית מקדמית כדבר שבשגרה או כאמצעי לעקיפת הצורך בצו </w:t>
      </w:r>
      <w:r>
        <w:rPr>
          <w:rFonts w:hint="cs"/>
          <w:rtl/>
        </w:rPr>
        <w:t>שיפוטי</w:t>
      </w:r>
      <w:r w:rsidRPr="00234CB9">
        <w:rPr>
          <w:rtl/>
        </w:rPr>
        <w:t>, וכן להבטיח ביקורת על שיקול הדעת בהוצאת היתר ללא אישור בית ה</w:t>
      </w:r>
      <w:r w:rsidRPr="00234CB9">
        <w:rPr>
          <w:rFonts w:hint="eastAsia"/>
          <w:rtl/>
        </w:rPr>
        <w:t>מ</w:t>
      </w:r>
      <w:r w:rsidRPr="00234CB9">
        <w:rPr>
          <w:rtl/>
        </w:rPr>
        <w:t>שפט.</w:t>
      </w:r>
    </w:p>
    <w:p w:rsidR="009A1216" w:rsidRDefault="009A1216" w:rsidP="003C0292">
      <w:pPr>
        <w:pStyle w:val="a5"/>
        <w:spacing w:line="269" w:lineRule="auto"/>
        <w:ind w:left="113"/>
        <w:rPr>
          <w:b/>
          <w:bCs/>
          <w:rtl/>
        </w:rPr>
      </w:pPr>
    </w:p>
    <w:p w:rsidR="009A1216" w:rsidRDefault="009A1216" w:rsidP="003C0292">
      <w:pPr>
        <w:spacing w:line="269" w:lineRule="auto"/>
        <w:ind w:left="680"/>
        <w:rPr>
          <w:rtl/>
        </w:rPr>
      </w:pPr>
      <w:r w:rsidRPr="00234CB9">
        <w:rPr>
          <w:rFonts w:hint="eastAsia"/>
          <w:rtl/>
        </w:rPr>
        <w:t>משרד</w:t>
      </w:r>
      <w:r w:rsidRPr="00234CB9">
        <w:rPr>
          <w:rtl/>
        </w:rPr>
        <w:t xml:space="preserve"> </w:t>
      </w:r>
      <w:r w:rsidRPr="00234CB9">
        <w:rPr>
          <w:rFonts w:hint="eastAsia"/>
          <w:rtl/>
        </w:rPr>
        <w:t>המשפטים</w:t>
      </w:r>
      <w:r w:rsidRPr="00234CB9">
        <w:rPr>
          <w:rtl/>
        </w:rPr>
        <w:t xml:space="preserve"> </w:t>
      </w:r>
      <w:r w:rsidRPr="00234CB9">
        <w:rPr>
          <w:rFonts w:hint="eastAsia"/>
          <w:rtl/>
        </w:rPr>
        <w:t>מסר</w:t>
      </w:r>
      <w:r w:rsidRPr="00234CB9">
        <w:rPr>
          <w:rtl/>
        </w:rPr>
        <w:t xml:space="preserve"> </w:t>
      </w:r>
      <w:r w:rsidRPr="00234CB9">
        <w:rPr>
          <w:rFonts w:hint="eastAsia"/>
          <w:rtl/>
        </w:rPr>
        <w:t>בתשובתו</w:t>
      </w:r>
      <w:r w:rsidRPr="00234CB9">
        <w:rPr>
          <w:rtl/>
        </w:rPr>
        <w:t xml:space="preserve"> </w:t>
      </w:r>
      <w:r w:rsidRPr="00234CB9">
        <w:rPr>
          <w:rFonts w:hint="eastAsia"/>
          <w:rtl/>
        </w:rPr>
        <w:t>כי</w:t>
      </w:r>
      <w:r w:rsidRPr="00234CB9">
        <w:rPr>
          <w:rtl/>
        </w:rPr>
        <w:t xml:space="preserve"> </w:t>
      </w:r>
      <w:r w:rsidRPr="00234CB9">
        <w:rPr>
          <w:rFonts w:hint="eastAsia"/>
          <w:rtl/>
        </w:rPr>
        <w:t>הוא</w:t>
      </w:r>
      <w:r w:rsidRPr="00234CB9">
        <w:rPr>
          <w:rtl/>
        </w:rPr>
        <w:t xml:space="preserve"> </w:t>
      </w:r>
      <w:r w:rsidRPr="00234CB9">
        <w:rPr>
          <w:rFonts w:hint="eastAsia"/>
          <w:rtl/>
        </w:rPr>
        <w:t>מתנגד</w:t>
      </w:r>
      <w:r w:rsidRPr="00234CB9">
        <w:rPr>
          <w:rtl/>
        </w:rPr>
        <w:t xml:space="preserve"> </w:t>
      </w:r>
      <w:r w:rsidRPr="00234CB9">
        <w:rPr>
          <w:rFonts w:hint="eastAsia"/>
          <w:rtl/>
        </w:rPr>
        <w:t>להרחבת</w:t>
      </w:r>
      <w:r w:rsidRPr="00234CB9">
        <w:rPr>
          <w:rtl/>
        </w:rPr>
        <w:t xml:space="preserve"> </w:t>
      </w:r>
      <w:r w:rsidRPr="00234CB9">
        <w:rPr>
          <w:rFonts w:hint="eastAsia"/>
          <w:rtl/>
        </w:rPr>
        <w:t>סמכויות</w:t>
      </w:r>
      <w:r w:rsidRPr="00234CB9">
        <w:rPr>
          <w:rtl/>
        </w:rPr>
        <w:t xml:space="preserve"> </w:t>
      </w:r>
      <w:r w:rsidRPr="00234CB9">
        <w:rPr>
          <w:rFonts w:hint="eastAsia"/>
          <w:rtl/>
        </w:rPr>
        <w:t>הפיקוח</w:t>
      </w:r>
      <w:r w:rsidRPr="00234CB9">
        <w:rPr>
          <w:rtl/>
        </w:rPr>
        <w:t xml:space="preserve"> </w:t>
      </w:r>
      <w:r w:rsidRPr="00234CB9">
        <w:rPr>
          <w:rFonts w:hint="eastAsia"/>
          <w:rtl/>
        </w:rPr>
        <w:t>של</w:t>
      </w:r>
      <w:r w:rsidRPr="00234CB9">
        <w:rPr>
          <w:rtl/>
        </w:rPr>
        <w:t xml:space="preserve"> </w:t>
      </w:r>
      <w:r>
        <w:rPr>
          <w:rFonts w:hint="cs"/>
          <w:rtl/>
        </w:rPr>
        <w:t>היועמ"שית</w:t>
      </w:r>
      <w:r w:rsidRPr="00234CB9">
        <w:rPr>
          <w:rtl/>
        </w:rPr>
        <w:t xml:space="preserve"> </w:t>
      </w:r>
      <w:r w:rsidRPr="00234CB9">
        <w:rPr>
          <w:rFonts w:hint="eastAsia"/>
          <w:rtl/>
        </w:rPr>
        <w:t>לממשלה</w:t>
      </w:r>
      <w:r w:rsidRPr="00234CB9">
        <w:rPr>
          <w:rtl/>
        </w:rPr>
        <w:t xml:space="preserve"> </w:t>
      </w:r>
      <w:r w:rsidRPr="00234CB9">
        <w:rPr>
          <w:rFonts w:hint="eastAsia"/>
          <w:rtl/>
        </w:rPr>
        <w:t>כך</w:t>
      </w:r>
      <w:r w:rsidRPr="00234CB9">
        <w:rPr>
          <w:rtl/>
        </w:rPr>
        <w:t xml:space="preserve"> </w:t>
      </w:r>
      <w:r w:rsidRPr="00234CB9">
        <w:rPr>
          <w:rFonts w:hint="eastAsia"/>
          <w:rtl/>
        </w:rPr>
        <w:t>שיחולו</w:t>
      </w:r>
      <w:r w:rsidRPr="00234CB9">
        <w:rPr>
          <w:rtl/>
        </w:rPr>
        <w:t xml:space="preserve"> </w:t>
      </w:r>
      <w:r w:rsidRPr="00234CB9">
        <w:rPr>
          <w:rFonts w:hint="eastAsia"/>
          <w:rtl/>
        </w:rPr>
        <w:t>על</w:t>
      </w:r>
      <w:r w:rsidRPr="00234CB9">
        <w:rPr>
          <w:rtl/>
        </w:rPr>
        <w:t xml:space="preserve"> </w:t>
      </w:r>
      <w:r w:rsidRPr="00234CB9">
        <w:rPr>
          <w:rFonts w:hint="eastAsia"/>
          <w:rtl/>
        </w:rPr>
        <w:t>היתרי</w:t>
      </w:r>
      <w:r w:rsidRPr="00234CB9">
        <w:rPr>
          <w:rtl/>
        </w:rPr>
        <w:t xml:space="preserve"> </w:t>
      </w:r>
      <w:r w:rsidRPr="00234CB9">
        <w:rPr>
          <w:rFonts w:hint="eastAsia"/>
          <w:rtl/>
        </w:rPr>
        <w:t>צו</w:t>
      </w:r>
      <w:r w:rsidRPr="00234CB9">
        <w:rPr>
          <w:rtl/>
        </w:rPr>
        <w:t xml:space="preserve"> </w:t>
      </w:r>
      <w:r w:rsidRPr="00234CB9">
        <w:rPr>
          <w:rFonts w:hint="eastAsia"/>
          <w:rtl/>
        </w:rPr>
        <w:t>חריג</w:t>
      </w:r>
      <w:r w:rsidRPr="00234CB9">
        <w:rPr>
          <w:rtl/>
        </w:rPr>
        <w:t xml:space="preserve"> </w:t>
      </w:r>
      <w:r w:rsidRPr="00234CB9">
        <w:rPr>
          <w:rFonts w:hint="eastAsia"/>
          <w:rtl/>
        </w:rPr>
        <w:t>ב</w:t>
      </w:r>
      <w:r w:rsidRPr="00234CB9">
        <w:rPr>
          <w:rtl/>
        </w:rPr>
        <w:t xml:space="preserve">' </w:t>
      </w:r>
      <w:r w:rsidRPr="00234CB9">
        <w:rPr>
          <w:rFonts w:hint="eastAsia"/>
          <w:rtl/>
        </w:rPr>
        <w:t>וכי</w:t>
      </w:r>
      <w:r w:rsidRPr="00234CB9">
        <w:rPr>
          <w:rtl/>
        </w:rPr>
        <w:t xml:space="preserve"> </w:t>
      </w:r>
      <w:r w:rsidRPr="00234CB9">
        <w:rPr>
          <w:rFonts w:hint="eastAsia"/>
          <w:rtl/>
        </w:rPr>
        <w:t>יש</w:t>
      </w:r>
      <w:r w:rsidRPr="00234CB9">
        <w:rPr>
          <w:rtl/>
        </w:rPr>
        <w:t xml:space="preserve"> </w:t>
      </w:r>
      <w:r w:rsidRPr="00234CB9">
        <w:rPr>
          <w:rFonts w:hint="eastAsia"/>
          <w:rtl/>
        </w:rPr>
        <w:t>להסתפק</w:t>
      </w:r>
      <w:r w:rsidRPr="00234CB9">
        <w:rPr>
          <w:rtl/>
        </w:rPr>
        <w:t xml:space="preserve"> </w:t>
      </w:r>
      <w:r w:rsidRPr="00234CB9">
        <w:rPr>
          <w:rFonts w:hint="eastAsia"/>
          <w:rtl/>
        </w:rPr>
        <w:t>בפיקוח</w:t>
      </w:r>
      <w:r w:rsidRPr="00234CB9">
        <w:rPr>
          <w:rtl/>
        </w:rPr>
        <w:t xml:space="preserve"> </w:t>
      </w:r>
      <w:r w:rsidRPr="00234CB9">
        <w:rPr>
          <w:rFonts w:hint="eastAsia"/>
          <w:rtl/>
        </w:rPr>
        <w:t>המתקיים</w:t>
      </w:r>
      <w:r w:rsidRPr="00234CB9">
        <w:rPr>
          <w:rtl/>
        </w:rPr>
        <w:t xml:space="preserve"> </w:t>
      </w:r>
      <w:r w:rsidRPr="00234CB9">
        <w:rPr>
          <w:rFonts w:hint="eastAsia"/>
          <w:rtl/>
        </w:rPr>
        <w:t>בדיעבד</w:t>
      </w:r>
      <w:r w:rsidRPr="00234CB9">
        <w:rPr>
          <w:rtl/>
        </w:rPr>
        <w:t xml:space="preserve"> </w:t>
      </w:r>
      <w:r w:rsidRPr="00234CB9">
        <w:rPr>
          <w:rFonts w:hint="eastAsia"/>
          <w:rtl/>
        </w:rPr>
        <w:t>על</w:t>
      </w:r>
      <w:r w:rsidRPr="00234CB9">
        <w:rPr>
          <w:rtl/>
        </w:rPr>
        <w:t xml:space="preserve"> </w:t>
      </w:r>
      <w:r w:rsidRPr="00234CB9">
        <w:rPr>
          <w:rFonts w:hint="eastAsia"/>
          <w:rtl/>
        </w:rPr>
        <w:t>כלל</w:t>
      </w:r>
      <w:r w:rsidRPr="00234CB9">
        <w:rPr>
          <w:rtl/>
        </w:rPr>
        <w:t xml:space="preserve"> </w:t>
      </w:r>
      <w:r w:rsidRPr="00234CB9">
        <w:rPr>
          <w:rFonts w:hint="eastAsia"/>
          <w:rtl/>
        </w:rPr>
        <w:t>ההיתרים</w:t>
      </w:r>
      <w:r w:rsidRPr="00234CB9">
        <w:rPr>
          <w:rtl/>
        </w:rPr>
        <w:t xml:space="preserve"> </w:t>
      </w:r>
      <w:r w:rsidRPr="00234CB9">
        <w:rPr>
          <w:rFonts w:hint="eastAsia"/>
          <w:rtl/>
        </w:rPr>
        <w:t>והצווים</w:t>
      </w:r>
      <w:r w:rsidRPr="00234CB9">
        <w:rPr>
          <w:rtl/>
        </w:rPr>
        <w:t xml:space="preserve"> </w:t>
      </w:r>
      <w:r w:rsidRPr="00234CB9">
        <w:rPr>
          <w:rFonts w:hint="eastAsia"/>
          <w:rtl/>
        </w:rPr>
        <w:t>להאזנת</w:t>
      </w:r>
      <w:r w:rsidRPr="00234CB9">
        <w:rPr>
          <w:rtl/>
        </w:rPr>
        <w:t xml:space="preserve"> </w:t>
      </w:r>
      <w:r w:rsidRPr="00234CB9">
        <w:rPr>
          <w:rFonts w:hint="eastAsia"/>
          <w:rtl/>
        </w:rPr>
        <w:t>סתר</w:t>
      </w:r>
      <w:r w:rsidRPr="00234CB9">
        <w:rPr>
          <w:rtl/>
        </w:rPr>
        <w:t xml:space="preserve">. </w:t>
      </w:r>
    </w:p>
    <w:p w:rsidR="002A054E" w:rsidRDefault="002A054E" w:rsidP="003C0292">
      <w:pPr>
        <w:spacing w:line="269" w:lineRule="auto"/>
        <w:ind w:left="680"/>
        <w:rPr>
          <w:b/>
          <w:bCs/>
          <w:rtl/>
        </w:rPr>
      </w:pPr>
    </w:p>
    <w:p w:rsidR="009A1216" w:rsidRDefault="009A1216" w:rsidP="003C0292">
      <w:pPr>
        <w:spacing w:line="269" w:lineRule="auto"/>
        <w:ind w:left="680"/>
        <w:rPr>
          <w:b/>
          <w:bCs/>
          <w:rtl/>
        </w:rPr>
      </w:pPr>
      <w:r>
        <w:rPr>
          <w:rFonts w:hint="cs"/>
          <w:b/>
          <w:bCs/>
          <w:rtl/>
        </w:rPr>
        <w:t>היועמ"שית לממשלה נדרשה בחוק לפקח בזמן אמת על היתרי מפכ"ל, היות והם היתרים מינהליים. לנוכח העובדה שהמשטרה אינה משתמשת בהיתרי מפכ"ל אלא בצו חריג ב' שהוא היתר מעין-מינהלי המשמש חלופה להיתרי מפכ"ל, אך פוגעני יותר ממנו, מוצע כי הייעוץ המשפטי לממשלה ב</w:t>
      </w:r>
      <w:r w:rsidRPr="00AE75C0">
        <w:rPr>
          <w:rFonts w:hint="cs"/>
          <w:b/>
          <w:bCs/>
          <w:rtl/>
        </w:rPr>
        <w:t xml:space="preserve">משרד המשפטים </w:t>
      </w:r>
      <w:r>
        <w:rPr>
          <w:rFonts w:hint="cs"/>
          <w:b/>
          <w:bCs/>
          <w:rtl/>
        </w:rPr>
        <w:t>י</w:t>
      </w:r>
      <w:r w:rsidRPr="00AE75C0">
        <w:rPr>
          <w:rFonts w:hint="cs"/>
          <w:b/>
          <w:bCs/>
          <w:rtl/>
        </w:rPr>
        <w:t>פקח על הוצאת היתרים מסוג זה</w:t>
      </w:r>
      <w:r>
        <w:rPr>
          <w:rFonts w:hint="cs"/>
          <w:b/>
          <w:bCs/>
          <w:rtl/>
        </w:rPr>
        <w:t xml:space="preserve">, ובפרט לנוכח הסדרתם המשפטית על בסיס פרשנות תכליתית של חוק האזנת סתר </w:t>
      </w:r>
      <w:r w:rsidR="003D6F75">
        <w:rPr>
          <w:rFonts w:hint="cs"/>
          <w:b/>
          <w:bCs/>
          <w:rtl/>
        </w:rPr>
        <w:t>-</w:t>
      </w:r>
      <w:r>
        <w:rPr>
          <w:rFonts w:hint="cs"/>
          <w:b/>
          <w:bCs/>
          <w:rtl/>
        </w:rPr>
        <w:t xml:space="preserve"> באמצעות קביעת מנגנון מותאם לדיווח מידי ליועמ</w:t>
      </w:r>
      <w:r>
        <w:rPr>
          <w:b/>
          <w:bCs/>
          <w:rtl/>
        </w:rPr>
        <w:t>"</w:t>
      </w:r>
      <w:r>
        <w:rPr>
          <w:rFonts w:hint="cs"/>
          <w:b/>
          <w:bCs/>
          <w:rtl/>
        </w:rPr>
        <w:t>שית לממשלה</w:t>
      </w:r>
      <w:r w:rsidRPr="00AE75C0">
        <w:rPr>
          <w:rFonts w:hint="cs"/>
          <w:b/>
          <w:bCs/>
          <w:rtl/>
        </w:rPr>
        <w:t xml:space="preserve"> על כל צו כאמור עם הוצאתו.</w:t>
      </w:r>
    </w:p>
    <w:p w:rsidR="009A1216" w:rsidRPr="00FA5ED3" w:rsidRDefault="009A1216" w:rsidP="003C0292">
      <w:pPr>
        <w:pStyle w:val="a5"/>
        <w:spacing w:line="269" w:lineRule="auto"/>
        <w:ind w:left="113"/>
        <w:rPr>
          <w:rtl/>
        </w:rPr>
      </w:pPr>
    </w:p>
    <w:p w:rsidR="009A1216" w:rsidRPr="004A3FDD" w:rsidRDefault="009A1216" w:rsidP="003C0292">
      <w:pPr>
        <w:spacing w:line="269" w:lineRule="auto"/>
        <w:ind w:left="680"/>
        <w:rPr>
          <w:b/>
          <w:bCs/>
          <w:rtl/>
        </w:rPr>
      </w:pPr>
      <w:r w:rsidRPr="004A3FDD">
        <w:rPr>
          <w:rFonts w:hint="cs"/>
          <w:b/>
          <w:bCs/>
          <w:rtl/>
        </w:rPr>
        <w:t xml:space="preserve">לנוכח הפערים ביישום חוות הדעת המשפטית משנת 2017, הפערים הקיימים בהסדרה המשפטית, והשימוש הבלתי מרוסן במנגנון הצווים החריגים, </w:t>
      </w:r>
      <w:r w:rsidRPr="004A3FDD">
        <w:rPr>
          <w:b/>
          <w:bCs/>
          <w:rtl/>
        </w:rPr>
        <w:t xml:space="preserve">על המשטרה לעגן </w:t>
      </w:r>
      <w:r w:rsidRPr="004A3FDD">
        <w:rPr>
          <w:rFonts w:hint="cs"/>
          <w:b/>
          <w:bCs/>
          <w:rtl/>
        </w:rPr>
        <w:t>בנהליה את ההיבטים הבאים:</w:t>
      </w:r>
      <w:r w:rsidRPr="004A3FDD">
        <w:rPr>
          <w:b/>
          <w:bCs/>
          <w:rtl/>
        </w:rPr>
        <w:t xml:space="preserve"> אמות המידה לשימוש </w:t>
      </w:r>
      <w:r w:rsidRPr="004A3FDD">
        <w:rPr>
          <w:rFonts w:hint="cs"/>
          <w:b/>
          <w:bCs/>
          <w:rtl/>
        </w:rPr>
        <w:t xml:space="preserve">בצו חריג ב'; התבחינים הנדרשים להוצאת צו חריג ב', לרבות פירוט </w:t>
      </w:r>
      <w:r w:rsidRPr="004A3FDD">
        <w:rPr>
          <w:b/>
          <w:bCs/>
          <w:rtl/>
        </w:rPr>
        <w:t xml:space="preserve">סוג העבירות שניתן להוציא בעניינן </w:t>
      </w:r>
      <w:r w:rsidRPr="004A3FDD">
        <w:rPr>
          <w:rFonts w:hint="cs"/>
          <w:b/>
          <w:bCs/>
          <w:rtl/>
        </w:rPr>
        <w:t>צו זה; חידוד הנסיבות המפורטות בחוות הדעת משנת 2017 שבהן ניתן להוציא את הצו; תיעוד הנסיבות הללו בבקשות</w:t>
      </w:r>
      <w:r w:rsidRPr="004A3FDD">
        <w:rPr>
          <w:b/>
          <w:bCs/>
          <w:rtl/>
        </w:rPr>
        <w:t xml:space="preserve">; </w:t>
      </w:r>
      <w:r w:rsidRPr="004A3FDD">
        <w:rPr>
          <w:rFonts w:hint="cs"/>
          <w:b/>
          <w:bCs/>
          <w:rtl/>
        </w:rPr>
        <w:t xml:space="preserve">חובת </w:t>
      </w:r>
      <w:r w:rsidRPr="004A3FDD">
        <w:rPr>
          <w:b/>
          <w:bCs/>
          <w:rtl/>
        </w:rPr>
        <w:t xml:space="preserve">ביצוע בדיקה נוספת לאפשרות הוצאת צו או היתר </w:t>
      </w:r>
      <w:r w:rsidRPr="004A3FDD">
        <w:rPr>
          <w:rFonts w:hint="cs"/>
          <w:b/>
          <w:bCs/>
          <w:rtl/>
        </w:rPr>
        <w:t xml:space="preserve">קונקרטי </w:t>
      </w:r>
      <w:r w:rsidRPr="004A3FDD">
        <w:rPr>
          <w:b/>
          <w:bCs/>
          <w:rtl/>
        </w:rPr>
        <w:t>בטרם מימוש ההאזנה</w:t>
      </w:r>
      <w:r w:rsidRPr="004A3FDD">
        <w:rPr>
          <w:rFonts w:hint="cs"/>
          <w:b/>
          <w:bCs/>
          <w:rtl/>
        </w:rPr>
        <w:t xml:space="preserve"> לפי צו חריג ב'; וקביעת מנגנוני בקרה מבוססי מאגרי מידע כדי </w:t>
      </w:r>
      <w:r w:rsidRPr="004A3FDD">
        <w:rPr>
          <w:b/>
          <w:bCs/>
          <w:rtl/>
        </w:rPr>
        <w:t xml:space="preserve">לוודא </w:t>
      </w:r>
      <w:r w:rsidRPr="004A3FDD">
        <w:rPr>
          <w:rFonts w:hint="cs"/>
          <w:b/>
          <w:bCs/>
          <w:rtl/>
        </w:rPr>
        <w:t>ש</w:t>
      </w:r>
      <w:r w:rsidRPr="004A3FDD">
        <w:rPr>
          <w:b/>
          <w:bCs/>
          <w:rtl/>
        </w:rPr>
        <w:t>דחיפות הבקשות ואישורן כבקשות חריגות עולה בקנה אחד עם אופן מימושן</w:t>
      </w:r>
      <w:r w:rsidRPr="004A3FDD">
        <w:rPr>
          <w:rFonts w:hint="cs"/>
          <w:b/>
          <w:bCs/>
          <w:rtl/>
        </w:rPr>
        <w:t xml:space="preserve">. </w:t>
      </w:r>
      <w:r w:rsidRPr="004A3FDD">
        <w:rPr>
          <w:b/>
          <w:bCs/>
          <w:rtl/>
        </w:rPr>
        <w:t>לנוכח רגישות הנוהל,</w:t>
      </w:r>
      <w:r w:rsidRPr="004A3FDD">
        <w:rPr>
          <w:rFonts w:hint="cs"/>
          <w:b/>
          <w:bCs/>
          <w:rtl/>
        </w:rPr>
        <w:t xml:space="preserve"> </w:t>
      </w:r>
      <w:r w:rsidRPr="004A3FDD">
        <w:rPr>
          <w:b/>
          <w:bCs/>
          <w:rtl/>
        </w:rPr>
        <w:t xml:space="preserve">מוצע כי </w:t>
      </w:r>
      <w:r>
        <w:rPr>
          <w:b/>
          <w:bCs/>
          <w:rtl/>
        </w:rPr>
        <w:t>היועמ"שית לממשלה</w:t>
      </w:r>
      <w:r w:rsidRPr="004A3FDD">
        <w:rPr>
          <w:b/>
          <w:bCs/>
          <w:rtl/>
        </w:rPr>
        <w:t xml:space="preserve"> תאשרו.</w:t>
      </w:r>
      <w:r>
        <w:rPr>
          <w:b/>
          <w:bCs/>
          <w:rtl/>
        </w:rPr>
        <w:t xml:space="preserve"> </w:t>
      </w:r>
    </w:p>
    <w:p w:rsidR="009A1216" w:rsidRPr="007E2222" w:rsidRDefault="009A1216" w:rsidP="00604C3D">
      <w:pPr>
        <w:spacing w:line="269" w:lineRule="auto"/>
        <w:rPr>
          <w:rtl/>
        </w:rPr>
      </w:pPr>
    </w:p>
    <w:bookmarkEnd w:id="355"/>
    <w:p w:rsidR="009A1216" w:rsidRPr="007E2222" w:rsidRDefault="009A1216" w:rsidP="00604C3D">
      <w:pPr>
        <w:spacing w:line="269" w:lineRule="auto"/>
        <w:jc w:val="center"/>
        <w:rPr>
          <w:b/>
          <w:bCs/>
          <w:rtl/>
        </w:rPr>
      </w:pPr>
      <w:r w:rsidRPr="007E2222">
        <w:rPr>
          <w:rFonts w:ascii="Segoe UI Symbol" w:hAnsi="Segoe UI Symbol" w:cs="Segoe UI Symbol" w:hint="cs"/>
          <w:b/>
          <w:bCs/>
          <w:rtl/>
        </w:rPr>
        <w:t>✰</w:t>
      </w:r>
    </w:p>
    <w:p w:rsidR="002A054E" w:rsidRDefault="002A054E" w:rsidP="00604C3D">
      <w:pPr>
        <w:spacing w:line="269" w:lineRule="auto"/>
        <w:rPr>
          <w:b/>
          <w:bCs/>
          <w:rtl/>
        </w:rPr>
      </w:pPr>
      <w:bookmarkStart w:id="356" w:name="_Hlk147924116"/>
    </w:p>
    <w:p w:rsidR="009A1216" w:rsidRDefault="009A1216" w:rsidP="00604C3D">
      <w:pPr>
        <w:spacing w:line="269" w:lineRule="auto"/>
        <w:rPr>
          <w:b/>
          <w:bCs/>
          <w:rtl/>
        </w:rPr>
      </w:pPr>
      <w:r w:rsidRPr="00FB1B8A">
        <w:rPr>
          <w:rFonts w:hint="cs"/>
          <w:b/>
          <w:bCs/>
          <w:rtl/>
        </w:rPr>
        <w:t>פרק</w:t>
      </w:r>
      <w:r w:rsidRPr="00FB1B8A">
        <w:rPr>
          <w:b/>
          <w:bCs/>
          <w:rtl/>
        </w:rPr>
        <w:t xml:space="preserve"> זה העלה פערים </w:t>
      </w:r>
      <w:r w:rsidRPr="00FB1B8A">
        <w:rPr>
          <w:rFonts w:hint="cs"/>
          <w:b/>
          <w:bCs/>
          <w:rtl/>
        </w:rPr>
        <w:t>תפקודיים</w:t>
      </w:r>
      <w:r w:rsidRPr="00FB1B8A">
        <w:rPr>
          <w:b/>
          <w:bCs/>
          <w:rtl/>
        </w:rPr>
        <w:t xml:space="preserve"> </w:t>
      </w:r>
      <w:r w:rsidRPr="00FB1B8A">
        <w:rPr>
          <w:rFonts w:hint="cs"/>
          <w:b/>
          <w:bCs/>
          <w:rtl/>
        </w:rPr>
        <w:t>משמעותיים</w:t>
      </w:r>
      <w:r w:rsidRPr="00FB1B8A">
        <w:rPr>
          <w:b/>
          <w:bCs/>
          <w:rtl/>
        </w:rPr>
        <w:t xml:space="preserve"> ויסודיים </w:t>
      </w:r>
      <w:r w:rsidRPr="00FB1B8A">
        <w:rPr>
          <w:rFonts w:hint="cs"/>
          <w:b/>
          <w:bCs/>
          <w:rtl/>
        </w:rPr>
        <w:t>בהגשת</w:t>
      </w:r>
      <w:r w:rsidRPr="00FB1B8A">
        <w:rPr>
          <w:b/>
          <w:bCs/>
          <w:rtl/>
        </w:rPr>
        <w:t xml:space="preserve"> </w:t>
      </w:r>
      <w:r w:rsidRPr="00FB1B8A">
        <w:rPr>
          <w:rFonts w:hint="cs"/>
          <w:b/>
          <w:bCs/>
          <w:rtl/>
        </w:rPr>
        <w:t>בקשות</w:t>
      </w:r>
      <w:r w:rsidRPr="00FB1B8A">
        <w:rPr>
          <w:b/>
          <w:bCs/>
          <w:rtl/>
        </w:rPr>
        <w:t xml:space="preserve"> </w:t>
      </w:r>
      <w:r w:rsidRPr="00FB1B8A">
        <w:rPr>
          <w:rFonts w:hint="cs"/>
          <w:b/>
          <w:bCs/>
          <w:rtl/>
        </w:rPr>
        <w:t>להאזנות</w:t>
      </w:r>
      <w:r w:rsidRPr="00FB1B8A">
        <w:rPr>
          <w:b/>
          <w:bCs/>
          <w:rtl/>
        </w:rPr>
        <w:t xml:space="preserve"> </w:t>
      </w:r>
      <w:r w:rsidRPr="00FB1B8A">
        <w:rPr>
          <w:rFonts w:hint="cs"/>
          <w:b/>
          <w:bCs/>
          <w:rtl/>
        </w:rPr>
        <w:t>סתר על ידי המשטרה</w:t>
      </w:r>
      <w:r>
        <w:rPr>
          <w:rFonts w:hint="cs"/>
          <w:b/>
          <w:bCs/>
          <w:rtl/>
        </w:rPr>
        <w:t xml:space="preserve">: </w:t>
      </w:r>
    </w:p>
    <w:p w:rsidR="00D27DBF" w:rsidRDefault="00D27DBF" w:rsidP="00604C3D">
      <w:pPr>
        <w:spacing w:line="269" w:lineRule="auto"/>
        <w:rPr>
          <w:b/>
          <w:bCs/>
          <w:rtl/>
        </w:rPr>
      </w:pPr>
    </w:p>
    <w:p w:rsidR="009A1216" w:rsidRDefault="009A1216" w:rsidP="00511F5D">
      <w:pPr>
        <w:pStyle w:val="af2"/>
        <w:numPr>
          <w:ilvl w:val="1"/>
          <w:numId w:val="49"/>
        </w:numPr>
        <w:spacing w:line="269" w:lineRule="auto"/>
        <w:ind w:left="353"/>
        <w:rPr>
          <w:b/>
          <w:bCs/>
        </w:rPr>
      </w:pPr>
      <w:r w:rsidRPr="00D27DBF">
        <w:rPr>
          <w:rFonts w:hint="cs"/>
          <w:b/>
          <w:bCs/>
          <w:rtl/>
        </w:rPr>
        <w:t>פעולות שהתבצעו ללא צווים והיתרים מתאימים או ללא אישורים של דרגים בכירים במשטרה ובפרקליטות (בדיקות היתכנות באמצעות כלים להאזנות סתר, האזנות סתר בעבירות רגישות, האזנות לבעלי חיסיון והאזנה ממושכת מעל לשנה).</w:t>
      </w:r>
      <w:r w:rsidRPr="00D27DBF">
        <w:rPr>
          <w:b/>
          <w:bCs/>
          <w:rtl/>
        </w:rPr>
        <w:t xml:space="preserve"> חרף ח</w:t>
      </w:r>
      <w:r w:rsidRPr="00D27DBF">
        <w:rPr>
          <w:rFonts w:hint="cs"/>
          <w:b/>
          <w:bCs/>
          <w:rtl/>
        </w:rPr>
        <w:t>ריגותן של בקשות רגישות</w:t>
      </w:r>
      <w:r w:rsidRPr="00D27DBF">
        <w:rPr>
          <w:b/>
          <w:bCs/>
          <w:rtl/>
        </w:rPr>
        <w:t>, המשטרה עקפה את מנגנוני אישור הגשת הבקשות הללו, והפחיתה מבכירות הדרג הנדרש לאשר</w:t>
      </w:r>
      <w:r w:rsidRPr="00D27DBF">
        <w:rPr>
          <w:rFonts w:hint="cs"/>
          <w:b/>
          <w:bCs/>
          <w:rtl/>
        </w:rPr>
        <w:t>ן</w:t>
      </w:r>
      <w:r w:rsidRPr="00D27DBF">
        <w:rPr>
          <w:b/>
          <w:bCs/>
          <w:rtl/>
        </w:rPr>
        <w:t>. בנוסף, הפרקליטות והמשטרה לא הקפידו על תיעוד האישורים</w:t>
      </w:r>
      <w:r w:rsidRPr="00D27DBF">
        <w:rPr>
          <w:rFonts w:hint="cs"/>
          <w:b/>
          <w:bCs/>
          <w:rtl/>
        </w:rPr>
        <w:t>.</w:t>
      </w:r>
    </w:p>
    <w:p w:rsidR="00D27DBF" w:rsidRPr="00D27DBF" w:rsidRDefault="00D27DBF" w:rsidP="00604C3D">
      <w:pPr>
        <w:spacing w:line="269" w:lineRule="auto"/>
      </w:pPr>
    </w:p>
    <w:p w:rsidR="009A1216" w:rsidRDefault="009A1216" w:rsidP="00511F5D">
      <w:pPr>
        <w:pStyle w:val="af2"/>
        <w:numPr>
          <w:ilvl w:val="1"/>
          <w:numId w:val="49"/>
        </w:numPr>
        <w:spacing w:line="269" w:lineRule="auto"/>
        <w:ind w:left="353"/>
        <w:rPr>
          <w:b/>
          <w:bCs/>
        </w:rPr>
      </w:pPr>
      <w:r>
        <w:rPr>
          <w:rFonts w:hint="cs"/>
          <w:b/>
          <w:bCs/>
          <w:rtl/>
        </w:rPr>
        <w:t>פערים במילוי בקשות ובמבנה טופס הבקשה, שפוגמים בשיקוף תמונת המצב הנדרשת לצורך קבלת החלטה במעמד צד אחד לבצע האזנת סתר הפוגעת בפרטיותם של אלפי יעדי האזנה בכל שנה, ובפרט יעדי האזנה בעלי מעמד מיוחד (קורבנות עבירה, קטינים ושותפים עקיפים). בין היתר המשטרה לא הקפידה על מיקוד עילת ההאזנה בטופס הבקשה; רשמה חשודים שאין כוונה להאזין להם בראש הבקשה בעוד יעדי ההאזנה שאינם חשודים נרשמו בנימוקי הבקשה בלבד; ורשמה באופן לא מדויק וברור את העבירות המיוחסות ליעדי ההאזנה.</w:t>
      </w:r>
      <w:r w:rsidRPr="00477BE0">
        <w:rPr>
          <w:rFonts w:hint="cs"/>
          <w:b/>
          <w:bCs/>
          <w:rtl/>
        </w:rPr>
        <w:t xml:space="preserve"> </w:t>
      </w:r>
      <w:r>
        <w:rPr>
          <w:rFonts w:hint="cs"/>
          <w:b/>
          <w:bCs/>
          <w:rtl/>
        </w:rPr>
        <w:t xml:space="preserve">הרישום המבוזר והכוללני, הנובע מנהלים ונהגים שהתבססו במשטרה, וכן ממבנה הטופס המקוון, מקשים על בחינה של הזיקה בין שלושת נדבכי הבקשה - יעד ההאזנה, עילת ההאזנה והעבירות הרלוונטיות. </w:t>
      </w:r>
    </w:p>
    <w:p w:rsidR="00D27DBF" w:rsidRPr="00D27DBF" w:rsidRDefault="00D27DBF" w:rsidP="00604C3D">
      <w:pPr>
        <w:spacing w:line="269" w:lineRule="auto"/>
        <w:rPr>
          <w:b/>
          <w:bCs/>
        </w:rPr>
      </w:pPr>
    </w:p>
    <w:p w:rsidR="009A1216" w:rsidRDefault="009A1216" w:rsidP="00511F5D">
      <w:pPr>
        <w:pStyle w:val="af2"/>
        <w:numPr>
          <w:ilvl w:val="1"/>
          <w:numId w:val="49"/>
        </w:numPr>
        <w:spacing w:line="269" w:lineRule="auto"/>
        <w:ind w:left="353"/>
        <w:rPr>
          <w:b/>
          <w:bCs/>
        </w:rPr>
      </w:pPr>
      <w:r>
        <w:rPr>
          <w:rFonts w:hint="cs"/>
          <w:b/>
          <w:bCs/>
          <w:rtl/>
        </w:rPr>
        <w:t xml:space="preserve">יישום לא נאות של מסלולי ההיתרים הקיימים בחוק האזנת סתר ועקיפה של מנגנוני האישור הקיימים (אי-יישום מסלול היתרי מפכ"ל, הוצאת צווי בית המשפט במקרים שבהם סמכותם לא חלה, שימוש בצווים חריגים שעוקפים את מסלול היתר המפכ"ל ושימוש </w:t>
      </w:r>
      <w:r w:rsidR="00041686">
        <w:rPr>
          <w:rFonts w:hint="cs"/>
          <w:b/>
          <w:bCs/>
          <w:rtl/>
        </w:rPr>
        <w:t xml:space="preserve">נרחב </w:t>
      </w:r>
      <w:r>
        <w:rPr>
          <w:rFonts w:hint="cs"/>
          <w:b/>
          <w:bCs/>
          <w:rtl/>
        </w:rPr>
        <w:t>וכוללני בצווים חריגים שלא בהתאם לחוות דעת של הייעוץ המשפטי לממשלה במשרד המשפטים בנושא משנת 2017).</w:t>
      </w:r>
    </w:p>
    <w:p w:rsidR="00691F1A" w:rsidRDefault="00691F1A" w:rsidP="00604C3D">
      <w:pPr>
        <w:spacing w:line="269" w:lineRule="auto"/>
        <w:rPr>
          <w:b/>
          <w:bCs/>
          <w:rtl/>
        </w:rPr>
      </w:pPr>
    </w:p>
    <w:p w:rsidR="009A1216" w:rsidRDefault="009A1216" w:rsidP="00604C3D">
      <w:pPr>
        <w:spacing w:line="269" w:lineRule="auto"/>
        <w:rPr>
          <w:b/>
          <w:bCs/>
          <w:rtl/>
        </w:rPr>
      </w:pPr>
      <w:r>
        <w:rPr>
          <w:rFonts w:hint="cs"/>
          <w:b/>
          <w:bCs/>
          <w:rtl/>
        </w:rPr>
        <w:t xml:space="preserve">יוצא אפוא כי </w:t>
      </w:r>
      <w:r w:rsidRPr="00497672">
        <w:rPr>
          <w:rFonts w:hint="cs"/>
          <w:b/>
          <w:bCs/>
          <w:rtl/>
        </w:rPr>
        <w:t>פעולת</w:t>
      </w:r>
      <w:r w:rsidRPr="00497672">
        <w:rPr>
          <w:b/>
          <w:bCs/>
          <w:rtl/>
        </w:rPr>
        <w:t xml:space="preserve"> </w:t>
      </w:r>
      <w:r w:rsidRPr="00497672">
        <w:rPr>
          <w:rFonts w:hint="cs"/>
          <w:b/>
          <w:bCs/>
          <w:rtl/>
        </w:rPr>
        <w:t>המשטרה</w:t>
      </w:r>
      <w:r w:rsidRPr="00497672">
        <w:rPr>
          <w:b/>
          <w:bCs/>
          <w:rtl/>
        </w:rPr>
        <w:t xml:space="preserve"> </w:t>
      </w:r>
      <w:r w:rsidRPr="00497672">
        <w:rPr>
          <w:rFonts w:hint="cs"/>
          <w:b/>
          <w:bCs/>
          <w:rtl/>
        </w:rPr>
        <w:t>התאפיינה</w:t>
      </w:r>
      <w:r w:rsidRPr="00497672">
        <w:rPr>
          <w:b/>
          <w:bCs/>
          <w:rtl/>
        </w:rPr>
        <w:t xml:space="preserve"> </w:t>
      </w:r>
      <w:r w:rsidRPr="00497672">
        <w:rPr>
          <w:rFonts w:hint="cs"/>
          <w:b/>
          <w:bCs/>
          <w:rtl/>
        </w:rPr>
        <w:t>פעמים</w:t>
      </w:r>
      <w:r w:rsidRPr="00497672">
        <w:rPr>
          <w:b/>
          <w:bCs/>
          <w:rtl/>
        </w:rPr>
        <w:t xml:space="preserve"> </w:t>
      </w:r>
      <w:r w:rsidRPr="00497672">
        <w:rPr>
          <w:rFonts w:hint="cs"/>
          <w:b/>
          <w:bCs/>
          <w:rtl/>
        </w:rPr>
        <w:t>רבות</w:t>
      </w:r>
      <w:r w:rsidRPr="00497672">
        <w:rPr>
          <w:b/>
          <w:bCs/>
          <w:rtl/>
        </w:rPr>
        <w:t xml:space="preserve"> </w:t>
      </w:r>
      <w:r w:rsidRPr="00497672">
        <w:rPr>
          <w:rFonts w:hint="cs"/>
          <w:b/>
          <w:bCs/>
          <w:rtl/>
        </w:rPr>
        <w:t>בהיעדר</w:t>
      </w:r>
      <w:r w:rsidRPr="00497672">
        <w:rPr>
          <w:b/>
          <w:bCs/>
          <w:rtl/>
        </w:rPr>
        <w:t xml:space="preserve"> </w:t>
      </w:r>
      <w:r w:rsidRPr="00497672">
        <w:rPr>
          <w:rFonts w:hint="cs"/>
          <w:b/>
          <w:bCs/>
          <w:rtl/>
        </w:rPr>
        <w:t>הקפדה</w:t>
      </w:r>
      <w:r w:rsidRPr="00497672">
        <w:rPr>
          <w:b/>
          <w:bCs/>
          <w:rtl/>
        </w:rPr>
        <w:t xml:space="preserve"> וריסון הדרושים לצורך קיום פעולות </w:t>
      </w:r>
      <w:r w:rsidRPr="00497672">
        <w:rPr>
          <w:rFonts w:hint="cs"/>
          <w:b/>
          <w:bCs/>
          <w:rtl/>
        </w:rPr>
        <w:t>בתחום</w:t>
      </w:r>
      <w:r w:rsidRPr="00497672">
        <w:rPr>
          <w:b/>
          <w:bCs/>
          <w:rtl/>
        </w:rPr>
        <w:t xml:space="preserve"> </w:t>
      </w:r>
      <w:r w:rsidRPr="00497672">
        <w:rPr>
          <w:rFonts w:hint="cs"/>
          <w:b/>
          <w:bCs/>
          <w:rtl/>
        </w:rPr>
        <w:t>האזנות</w:t>
      </w:r>
      <w:r w:rsidRPr="00497672">
        <w:rPr>
          <w:b/>
          <w:bCs/>
          <w:rtl/>
        </w:rPr>
        <w:t xml:space="preserve"> </w:t>
      </w:r>
      <w:r w:rsidRPr="00497672">
        <w:rPr>
          <w:rFonts w:hint="cs"/>
          <w:b/>
          <w:bCs/>
          <w:rtl/>
        </w:rPr>
        <w:t>הסתר</w:t>
      </w:r>
      <w:r w:rsidRPr="00497672">
        <w:rPr>
          <w:b/>
          <w:bCs/>
          <w:rtl/>
        </w:rPr>
        <w:t xml:space="preserve"> </w:t>
      </w:r>
      <w:r w:rsidRPr="00497672">
        <w:rPr>
          <w:rFonts w:hint="cs"/>
          <w:b/>
          <w:bCs/>
          <w:rtl/>
        </w:rPr>
        <w:t>בגדר</w:t>
      </w:r>
      <w:r w:rsidRPr="00497672">
        <w:rPr>
          <w:b/>
          <w:bCs/>
          <w:rtl/>
        </w:rPr>
        <w:t xml:space="preserve"> מגבלות הדין. </w:t>
      </w:r>
      <w:r w:rsidRPr="00497672">
        <w:rPr>
          <w:rFonts w:hint="cs"/>
          <w:b/>
          <w:bCs/>
          <w:rtl/>
        </w:rPr>
        <w:t>לנוכח</w:t>
      </w:r>
      <w:r w:rsidRPr="00497672">
        <w:rPr>
          <w:b/>
          <w:bCs/>
          <w:rtl/>
        </w:rPr>
        <w:t xml:space="preserve"> </w:t>
      </w:r>
      <w:r w:rsidRPr="00497672">
        <w:rPr>
          <w:rFonts w:hint="cs"/>
          <w:b/>
          <w:bCs/>
          <w:rtl/>
        </w:rPr>
        <w:t>ממצאיו</w:t>
      </w:r>
      <w:r w:rsidRPr="00497672">
        <w:rPr>
          <w:b/>
          <w:bCs/>
          <w:rtl/>
        </w:rPr>
        <w:t xml:space="preserve"> </w:t>
      </w:r>
      <w:r w:rsidRPr="00497672">
        <w:rPr>
          <w:rFonts w:hint="cs"/>
          <w:b/>
          <w:bCs/>
          <w:rtl/>
        </w:rPr>
        <w:t>של</w:t>
      </w:r>
      <w:r w:rsidRPr="00497672">
        <w:rPr>
          <w:b/>
          <w:bCs/>
          <w:rtl/>
        </w:rPr>
        <w:t xml:space="preserve"> </w:t>
      </w:r>
      <w:r w:rsidRPr="00497672">
        <w:rPr>
          <w:rFonts w:hint="cs"/>
          <w:b/>
          <w:bCs/>
          <w:rtl/>
        </w:rPr>
        <w:t>פרק</w:t>
      </w:r>
      <w:r w:rsidRPr="00497672">
        <w:rPr>
          <w:b/>
          <w:bCs/>
          <w:rtl/>
        </w:rPr>
        <w:t xml:space="preserve"> </w:t>
      </w:r>
      <w:r w:rsidRPr="00497672">
        <w:rPr>
          <w:rFonts w:hint="cs"/>
          <w:b/>
          <w:bCs/>
          <w:rtl/>
        </w:rPr>
        <w:t>זה</w:t>
      </w:r>
      <w:r w:rsidRPr="00497672">
        <w:rPr>
          <w:b/>
          <w:bCs/>
          <w:rtl/>
        </w:rPr>
        <w:t xml:space="preserve"> </w:t>
      </w:r>
      <w:r>
        <w:rPr>
          <w:rFonts w:hint="cs"/>
          <w:b/>
          <w:bCs/>
          <w:rtl/>
        </w:rPr>
        <w:t>מוצע כי משרד המשפטים יבחן</w:t>
      </w:r>
      <w:r w:rsidRPr="00497672">
        <w:rPr>
          <w:b/>
          <w:bCs/>
          <w:rtl/>
        </w:rPr>
        <w:t xml:space="preserve"> </w:t>
      </w:r>
      <w:r>
        <w:rPr>
          <w:rFonts w:hint="cs"/>
          <w:b/>
          <w:bCs/>
          <w:rtl/>
        </w:rPr>
        <w:t xml:space="preserve">את </w:t>
      </w:r>
      <w:r w:rsidRPr="00497672">
        <w:rPr>
          <w:rFonts w:hint="cs"/>
          <w:b/>
          <w:bCs/>
          <w:rtl/>
        </w:rPr>
        <w:t>מנגנוני</w:t>
      </w:r>
      <w:r w:rsidRPr="00497672">
        <w:rPr>
          <w:b/>
          <w:bCs/>
          <w:rtl/>
        </w:rPr>
        <w:t xml:space="preserve"> </w:t>
      </w:r>
      <w:r w:rsidRPr="00497672">
        <w:rPr>
          <w:rFonts w:hint="cs"/>
          <w:b/>
          <w:bCs/>
          <w:rtl/>
        </w:rPr>
        <w:t>הבקרה</w:t>
      </w:r>
      <w:r>
        <w:rPr>
          <w:rFonts w:hint="cs"/>
          <w:b/>
          <w:bCs/>
          <w:rtl/>
        </w:rPr>
        <w:t xml:space="preserve"> הקיימים</w:t>
      </w:r>
      <w:r w:rsidRPr="00497672">
        <w:rPr>
          <w:b/>
          <w:bCs/>
          <w:rtl/>
        </w:rPr>
        <w:t xml:space="preserve"> </w:t>
      </w:r>
      <w:r w:rsidRPr="00497672">
        <w:rPr>
          <w:rFonts w:hint="cs"/>
          <w:b/>
          <w:bCs/>
          <w:rtl/>
        </w:rPr>
        <w:t>שמפעילים</w:t>
      </w:r>
      <w:r w:rsidRPr="00497672">
        <w:rPr>
          <w:b/>
          <w:bCs/>
          <w:rtl/>
        </w:rPr>
        <w:t xml:space="preserve"> </w:t>
      </w:r>
      <w:r>
        <w:rPr>
          <w:rFonts w:hint="cs"/>
          <w:b/>
          <w:bCs/>
          <w:rtl/>
        </w:rPr>
        <w:t>הפרקליטות והייעוץ המשפטי לממשלה</w:t>
      </w:r>
      <w:r w:rsidRPr="00497672">
        <w:rPr>
          <w:b/>
          <w:bCs/>
          <w:rtl/>
        </w:rPr>
        <w:t xml:space="preserve"> </w:t>
      </w:r>
      <w:r>
        <w:rPr>
          <w:rFonts w:hint="cs"/>
          <w:b/>
          <w:bCs/>
          <w:rtl/>
        </w:rPr>
        <w:t>ב</w:t>
      </w:r>
      <w:r w:rsidRPr="00497672">
        <w:rPr>
          <w:rFonts w:hint="cs"/>
          <w:b/>
          <w:bCs/>
          <w:rtl/>
        </w:rPr>
        <w:t>נושא</w:t>
      </w:r>
      <w:r>
        <w:rPr>
          <w:rFonts w:hint="cs"/>
          <w:b/>
          <w:bCs/>
          <w:rtl/>
        </w:rPr>
        <w:t xml:space="preserve"> ואת הסוגיות הדורשות ליבון או הסדרה משפטית מקיפה</w:t>
      </w:r>
      <w:r w:rsidRPr="00497672">
        <w:rPr>
          <w:b/>
          <w:bCs/>
          <w:rtl/>
        </w:rPr>
        <w:t>.</w:t>
      </w:r>
      <w:r>
        <w:rPr>
          <w:rFonts w:hint="cs"/>
          <w:b/>
          <w:bCs/>
          <w:rtl/>
        </w:rPr>
        <w:t xml:space="preserve"> עוד מוצע כי המשטרה תבחן את כלל הנהלים, ההנחיות והנהגים הקיימים, ותפעל לעיגון נהלים פשוטים ובהירים עבור גורמי השטח </w:t>
      </w:r>
      <w:r w:rsidRPr="00FD0349">
        <w:rPr>
          <w:rFonts w:hint="cs"/>
          <w:b/>
          <w:bCs/>
          <w:rtl/>
        </w:rPr>
        <w:t>שמאפשר</w:t>
      </w:r>
      <w:r>
        <w:rPr>
          <w:rFonts w:hint="cs"/>
          <w:b/>
          <w:bCs/>
          <w:rtl/>
        </w:rPr>
        <w:t>ים</w:t>
      </w:r>
      <w:r w:rsidRPr="00FD0349">
        <w:rPr>
          <w:b/>
          <w:bCs/>
          <w:rtl/>
        </w:rPr>
        <w:t xml:space="preserve"> </w:t>
      </w:r>
      <w:r w:rsidRPr="00FD0349">
        <w:rPr>
          <w:rFonts w:hint="cs"/>
          <w:b/>
          <w:bCs/>
          <w:rtl/>
        </w:rPr>
        <w:t>הבניה</w:t>
      </w:r>
      <w:r w:rsidRPr="00FD0349">
        <w:rPr>
          <w:b/>
          <w:bCs/>
          <w:rtl/>
        </w:rPr>
        <w:t xml:space="preserve"> </w:t>
      </w:r>
      <w:r w:rsidRPr="00FD0349">
        <w:rPr>
          <w:rFonts w:hint="cs"/>
          <w:b/>
          <w:bCs/>
          <w:rtl/>
        </w:rPr>
        <w:t>של</w:t>
      </w:r>
      <w:r w:rsidRPr="00FD0349">
        <w:rPr>
          <w:b/>
          <w:bCs/>
          <w:rtl/>
        </w:rPr>
        <w:t xml:space="preserve"> </w:t>
      </w:r>
      <w:r w:rsidRPr="00FD0349">
        <w:rPr>
          <w:rFonts w:hint="cs"/>
          <w:b/>
          <w:bCs/>
          <w:rtl/>
        </w:rPr>
        <w:t>שיקול</w:t>
      </w:r>
      <w:r w:rsidRPr="00FD0349">
        <w:rPr>
          <w:b/>
          <w:bCs/>
          <w:rtl/>
        </w:rPr>
        <w:t xml:space="preserve"> </w:t>
      </w:r>
      <w:r w:rsidRPr="00FD0349">
        <w:rPr>
          <w:rFonts w:hint="cs"/>
          <w:b/>
          <w:bCs/>
          <w:rtl/>
        </w:rPr>
        <w:t>הדעת</w:t>
      </w:r>
      <w:r w:rsidRPr="00FD0349">
        <w:rPr>
          <w:b/>
          <w:bCs/>
          <w:rtl/>
        </w:rPr>
        <w:t xml:space="preserve"> </w:t>
      </w:r>
      <w:r w:rsidRPr="00FD0349">
        <w:rPr>
          <w:rFonts w:hint="cs"/>
          <w:b/>
          <w:bCs/>
          <w:rtl/>
        </w:rPr>
        <w:t>בהכנת</w:t>
      </w:r>
      <w:r w:rsidRPr="00FD0349">
        <w:rPr>
          <w:b/>
          <w:bCs/>
          <w:rtl/>
        </w:rPr>
        <w:t xml:space="preserve"> </w:t>
      </w:r>
      <w:r w:rsidRPr="00FD0349">
        <w:rPr>
          <w:rFonts w:hint="cs"/>
          <w:b/>
          <w:bCs/>
          <w:rtl/>
        </w:rPr>
        <w:t>הבקשה</w:t>
      </w:r>
      <w:r>
        <w:rPr>
          <w:rFonts w:hint="cs"/>
          <w:b/>
          <w:bCs/>
          <w:rtl/>
        </w:rPr>
        <w:t xml:space="preserve"> וכן מאפשרים הקפדה על איזונים ובלמים באמצעות מדרג אישורים אחיד, המערב גורמים בכירים ובלתי תלויים, בהתאם לחוק האזנת סתר. </w:t>
      </w:r>
      <w:bookmarkEnd w:id="356"/>
    </w:p>
    <w:p w:rsidR="003C0292" w:rsidRDefault="003C0292" w:rsidP="00604C3D">
      <w:pPr>
        <w:spacing w:line="269" w:lineRule="auto"/>
        <w:rPr>
          <w:b/>
          <w:bCs/>
        </w:rPr>
      </w:pPr>
    </w:p>
    <w:p w:rsidR="007E2222" w:rsidRPr="00497672" w:rsidRDefault="007E2222" w:rsidP="00604C3D">
      <w:pPr>
        <w:spacing w:line="269" w:lineRule="auto"/>
        <w:rPr>
          <w:b/>
          <w:bCs/>
          <w:rtl/>
        </w:rPr>
      </w:pPr>
    </w:p>
    <w:p w:rsidR="009A1216" w:rsidRDefault="009A1216" w:rsidP="00604C3D">
      <w:pPr>
        <w:pStyle w:val="3"/>
        <w:spacing w:before="0" w:line="269" w:lineRule="auto"/>
        <w:rPr>
          <w:rtl/>
        </w:rPr>
      </w:pPr>
      <w:bookmarkStart w:id="357" w:name="_Toc151890729"/>
      <w:bookmarkStart w:id="358" w:name="_Toc151882001"/>
      <w:bookmarkStart w:id="359" w:name="_Toc193282976"/>
      <w:bookmarkStart w:id="360" w:name="_Toc219286538"/>
      <w:bookmarkStart w:id="361" w:name="_Hlk177032512"/>
      <w:bookmarkEnd w:id="316"/>
      <w:r>
        <w:rPr>
          <w:rFonts w:hint="cs"/>
          <w:rtl/>
        </w:rPr>
        <w:t xml:space="preserve">2.3 </w:t>
      </w:r>
      <w:r w:rsidR="00E26DDD">
        <w:rPr>
          <w:rFonts w:hint="cs"/>
          <w:rtl/>
        </w:rPr>
        <w:t xml:space="preserve">התקנת כלים </w:t>
      </w:r>
      <w:r>
        <w:rPr>
          <w:rFonts w:hint="cs"/>
          <w:rtl/>
        </w:rPr>
        <w:t xml:space="preserve">לצורכי האזנת סתר ואיסוף תוצרי </w:t>
      </w:r>
      <w:bookmarkEnd w:id="357"/>
      <w:bookmarkEnd w:id="358"/>
      <w:r>
        <w:rPr>
          <w:rFonts w:hint="cs"/>
          <w:rtl/>
        </w:rPr>
        <w:t>האזנה</w:t>
      </w:r>
      <w:bookmarkEnd w:id="359"/>
      <w:bookmarkEnd w:id="360"/>
    </w:p>
    <w:p w:rsidR="000E6E84" w:rsidRDefault="000E6E84" w:rsidP="00604C3D">
      <w:pPr>
        <w:spacing w:line="269" w:lineRule="auto"/>
        <w:rPr>
          <w:rtl/>
        </w:rPr>
      </w:pPr>
    </w:p>
    <w:p w:rsidR="009A1216" w:rsidRDefault="009A1216" w:rsidP="00604C3D">
      <w:pPr>
        <w:spacing w:line="269" w:lineRule="auto"/>
        <w:rPr>
          <w:rtl/>
        </w:rPr>
      </w:pPr>
      <w:r>
        <w:rPr>
          <w:rFonts w:hint="cs"/>
          <w:rtl/>
        </w:rPr>
        <w:t>לפי תורת המודיעין של המשטרה, איסוף הוא כלל הפעולות הננקטות לשם השגת הידיעות הדרושות לצורכי המודיעין, והוא הבסיס לעבודת המודיעין ושלב יסודי בתהליך המודיעין כולו.</w:t>
      </w:r>
      <w:r w:rsidRPr="00DA4A67">
        <w:rPr>
          <w:rFonts w:hint="cs"/>
          <w:rtl/>
        </w:rPr>
        <w:t xml:space="preserve"> </w:t>
      </w:r>
      <w:r>
        <w:rPr>
          <w:rFonts w:hint="cs"/>
          <w:rtl/>
        </w:rPr>
        <w:t>הזכות לפרטיות טומנת בחובה הטלת הגבלה על איסוף המידע הנוגע לאדם. לפיכך אופן איסוף תוצרי האזנת הסתר משפיע על היקף הפגיעה בזכות לפרטיות וכן על סוגיית חוקיות של הליך קבלת תוצרי ההאזנה</w:t>
      </w:r>
      <w:r>
        <w:rPr>
          <w:rStyle w:val="af"/>
          <w:rtl/>
        </w:rPr>
        <w:footnoteReference w:id="154"/>
      </w:r>
      <w:r>
        <w:rPr>
          <w:rFonts w:hint="cs"/>
          <w:rtl/>
        </w:rPr>
        <w:t xml:space="preserve">. </w:t>
      </w:r>
    </w:p>
    <w:p w:rsidR="00524CC2" w:rsidRDefault="00524CC2" w:rsidP="00604C3D">
      <w:pPr>
        <w:spacing w:line="269" w:lineRule="auto"/>
        <w:rPr>
          <w:rtl/>
        </w:rPr>
      </w:pPr>
      <w:bookmarkStart w:id="362" w:name="_Hlk156303293"/>
    </w:p>
    <w:p w:rsidR="009A1216" w:rsidRDefault="009A1216" w:rsidP="00604C3D">
      <w:pPr>
        <w:spacing w:line="269" w:lineRule="auto"/>
        <w:rPr>
          <w:rtl/>
        </w:rPr>
      </w:pPr>
      <w:r>
        <w:rPr>
          <w:rFonts w:hint="cs"/>
          <w:rtl/>
        </w:rPr>
        <w:t xml:space="preserve">הפרקטיקה הנהוגה היא כי איסוף תוצרי האזנות הסתר מהווה שלב שני בתהליך האזנת סתר, המתבצע לאחר סיום הגשת הבקשות ואישורן. </w:t>
      </w:r>
      <w:bookmarkEnd w:id="362"/>
      <w:r>
        <w:rPr>
          <w:rFonts w:hint="cs"/>
          <w:rtl/>
        </w:rPr>
        <w:t xml:space="preserve">בשלב זה מתבצע המימוש בפועל של הבקשות להאזנת הסתר. שלב האיסוף נחלק לכמה תתי-שלבים עיקריים: </w:t>
      </w:r>
    </w:p>
    <w:p w:rsidR="00524CC2" w:rsidRDefault="00524CC2" w:rsidP="00604C3D">
      <w:pPr>
        <w:spacing w:line="269" w:lineRule="auto"/>
        <w:jc w:val="center"/>
        <w:rPr>
          <w:rtl/>
        </w:rPr>
      </w:pPr>
      <w:bookmarkStart w:id="363" w:name="_Hlk179363445"/>
    </w:p>
    <w:p w:rsidR="009A1216" w:rsidRDefault="009A1216" w:rsidP="003C0292">
      <w:pPr>
        <w:keepNext/>
        <w:keepLines/>
        <w:spacing w:line="269" w:lineRule="auto"/>
        <w:jc w:val="center"/>
        <w:rPr>
          <w:rtl/>
        </w:rPr>
      </w:pPr>
      <w:r w:rsidRPr="00260D8D">
        <w:rPr>
          <w:rFonts w:hint="eastAsia"/>
          <w:rtl/>
        </w:rPr>
        <w:t>תרשים</w:t>
      </w:r>
      <w:r w:rsidR="00D27DBF">
        <w:rPr>
          <w:rFonts w:hint="cs"/>
          <w:rtl/>
        </w:rPr>
        <w:t xml:space="preserve"> 12</w:t>
      </w:r>
      <w:r w:rsidRPr="00975421">
        <w:rPr>
          <w:rFonts w:hint="cs"/>
          <w:rtl/>
        </w:rPr>
        <w:t>:</w:t>
      </w:r>
      <w:r>
        <w:rPr>
          <w:rFonts w:hint="cs"/>
          <w:b/>
          <w:bCs/>
          <w:rtl/>
        </w:rPr>
        <w:t xml:space="preserve"> </w:t>
      </w:r>
      <w:bookmarkStart w:id="364" w:name="_Hlk214203265"/>
      <w:r w:rsidRPr="009124ED">
        <w:rPr>
          <w:b/>
          <w:bCs/>
          <w:rtl/>
        </w:rPr>
        <w:t xml:space="preserve">שלבי </w:t>
      </w:r>
      <w:r w:rsidR="006D04F6">
        <w:rPr>
          <w:rFonts w:hint="cs"/>
          <w:b/>
          <w:bCs/>
          <w:rtl/>
        </w:rPr>
        <w:t>התקנת כלים</w:t>
      </w:r>
      <w:r w:rsidR="006D04F6" w:rsidRPr="009124ED">
        <w:rPr>
          <w:b/>
          <w:bCs/>
          <w:rtl/>
        </w:rPr>
        <w:t xml:space="preserve"> </w:t>
      </w:r>
      <w:r w:rsidRPr="009124ED">
        <w:rPr>
          <w:b/>
          <w:bCs/>
          <w:rtl/>
        </w:rPr>
        <w:t>לצורכי האזנת סתר</w:t>
      </w:r>
      <w:r>
        <w:rPr>
          <w:rFonts w:hint="cs"/>
          <w:b/>
          <w:bCs/>
          <w:rtl/>
        </w:rPr>
        <w:t xml:space="preserve"> לתקשורת בין מחשבים</w:t>
      </w:r>
      <w:r w:rsidRPr="009124ED">
        <w:rPr>
          <w:b/>
          <w:bCs/>
          <w:rtl/>
        </w:rPr>
        <w:t xml:space="preserve"> ואיסוף תוצרים</w:t>
      </w:r>
      <w:bookmarkEnd w:id="363"/>
      <w:bookmarkEnd w:id="364"/>
    </w:p>
    <w:p w:rsidR="003C0292" w:rsidRDefault="003C0292" w:rsidP="003C0292">
      <w:pPr>
        <w:keepNext/>
        <w:keepLines/>
        <w:spacing w:line="269" w:lineRule="auto"/>
        <w:jc w:val="center"/>
        <w:rPr>
          <w:rtl/>
        </w:rPr>
      </w:pPr>
    </w:p>
    <w:p w:rsidR="009A1216" w:rsidRDefault="00BC00FF" w:rsidP="00F553D5">
      <w:pPr>
        <w:spacing w:line="269" w:lineRule="auto"/>
        <w:jc w:val="center"/>
        <w:rPr>
          <w:szCs w:val="20"/>
          <w:rtl/>
        </w:rPr>
      </w:pPr>
      <w:r>
        <w:rPr>
          <w:rFonts w:hint="cs"/>
          <w:noProof/>
          <w:szCs w:val="20"/>
          <w:rtl/>
          <w:lang w:val="he-IL"/>
        </w:rPr>
        <w:drawing>
          <wp:inline distT="0" distB="0" distL="0" distR="0" wp14:anchorId="129E4668" wp14:editId="722DE657">
            <wp:extent cx="5219700" cy="3802380"/>
            <wp:effectExtent l="0" t="0" r="0" b="762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385BFD.tmp"/>
                    <pic:cNvPicPr/>
                  </pic:nvPicPr>
                  <pic:blipFill>
                    <a:blip r:embed="rId23">
                      <a:extLst>
                        <a:ext uri="{28A0092B-C50C-407E-A947-70E740481C1C}">
                          <a14:useLocalDpi xmlns:a14="http://schemas.microsoft.com/office/drawing/2010/main" val="0"/>
                        </a:ext>
                      </a:extLst>
                    </a:blip>
                    <a:stretch>
                      <a:fillRect/>
                    </a:stretch>
                  </pic:blipFill>
                  <pic:spPr>
                    <a:xfrm>
                      <a:off x="0" y="0"/>
                      <a:ext cx="5219700" cy="3802380"/>
                    </a:xfrm>
                    <a:prstGeom prst="rect">
                      <a:avLst/>
                    </a:prstGeom>
                  </pic:spPr>
                </pic:pic>
              </a:graphicData>
            </a:graphic>
          </wp:inline>
        </w:drawing>
      </w:r>
    </w:p>
    <w:p w:rsidR="009A1216" w:rsidRDefault="009A1216" w:rsidP="00604C3D">
      <w:pPr>
        <w:spacing w:line="269" w:lineRule="auto"/>
        <w:rPr>
          <w:noProof/>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sidR="007D700C">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Pr>
          <w:rFonts w:hint="cs"/>
          <w:szCs w:val="20"/>
          <w:rtl/>
        </w:rPr>
        <w:t>.</w:t>
      </w:r>
      <w:r>
        <w:rPr>
          <w:noProof/>
        </w:rPr>
        <w:t xml:space="preserve"> </w:t>
      </w:r>
    </w:p>
    <w:p w:rsidR="009A1216" w:rsidRDefault="009A1216" w:rsidP="00604C3D">
      <w:pPr>
        <w:spacing w:line="269" w:lineRule="auto"/>
        <w:rPr>
          <w:noProof/>
          <w:rtl/>
        </w:rPr>
      </w:pPr>
    </w:p>
    <w:p w:rsidR="009A1216" w:rsidRDefault="009A1216" w:rsidP="008C598D">
      <w:pPr>
        <w:pStyle w:val="4"/>
        <w:numPr>
          <w:ilvl w:val="0"/>
          <w:numId w:val="17"/>
        </w:numPr>
        <w:spacing w:before="0" w:line="269" w:lineRule="auto"/>
        <w:ind w:left="-2" w:hanging="282"/>
        <w:rPr>
          <w:rtl/>
        </w:rPr>
      </w:pPr>
      <w:bookmarkStart w:id="365" w:name="_Toc211521933"/>
      <w:bookmarkStart w:id="366" w:name="_Toc219110323"/>
      <w:bookmarkStart w:id="367" w:name="_Toc219113764"/>
      <w:bookmarkStart w:id="368" w:name="_Toc219286539"/>
      <w:bookmarkStart w:id="369" w:name="_Toc151890730"/>
      <w:bookmarkStart w:id="370" w:name="_Toc151882002"/>
      <w:r>
        <w:rPr>
          <w:rFonts w:hint="cs"/>
          <w:rtl/>
        </w:rPr>
        <w:t>תפיסת הפעלה</w:t>
      </w:r>
      <w:bookmarkEnd w:id="365"/>
      <w:bookmarkEnd w:id="366"/>
      <w:bookmarkEnd w:id="367"/>
      <w:bookmarkEnd w:id="368"/>
    </w:p>
    <w:p w:rsidR="00524CC2" w:rsidRDefault="00524CC2" w:rsidP="00604C3D">
      <w:pPr>
        <w:spacing w:line="269" w:lineRule="auto"/>
        <w:rPr>
          <w:rtl/>
        </w:rPr>
      </w:pPr>
      <w:bookmarkStart w:id="371" w:name="_Hlk171320444"/>
    </w:p>
    <w:p w:rsidR="009A1216" w:rsidRDefault="009A1216" w:rsidP="00604C3D">
      <w:pPr>
        <w:spacing w:line="269" w:lineRule="auto"/>
        <w:rPr>
          <w:rtl/>
        </w:rPr>
      </w:pPr>
      <w:r>
        <w:rPr>
          <w:rFonts w:hint="cs"/>
          <w:rtl/>
        </w:rPr>
        <w:t>תורות ההפעלה במשטרה מסדירות היבטים מערכתיים שבתחומי אחריות המשטרה</w:t>
      </w:r>
      <w:bookmarkEnd w:id="371"/>
      <w:r>
        <w:rPr>
          <w:rFonts w:hint="cs"/>
          <w:rtl/>
        </w:rPr>
        <w:t xml:space="preserve">, כגון הטיפול באירועי חירום ושגרה או תורת המודיעין. תורת ההפעלה כוללת, בין היתר, מבנה ארגוני של המערך במשטרה שאחראי לתחום, לרבות חלוקת האחריות בין יחידות המשטרה, הגדרת יחסי הגומלין בין המשטרה לגורמים חיצוניים המסייעים בטיפול בתחום אחריותם וקביעת העקרונות וסדר הפעולות הכלליות שנדרש לבצע. </w:t>
      </w:r>
    </w:p>
    <w:p w:rsidR="00524CC2" w:rsidRDefault="00524CC2" w:rsidP="00604C3D">
      <w:pPr>
        <w:spacing w:line="269" w:lineRule="auto"/>
        <w:rPr>
          <w:rtl/>
        </w:rPr>
      </w:pPr>
    </w:p>
    <w:p w:rsidR="009A1216" w:rsidRDefault="009A1216" w:rsidP="00604C3D">
      <w:pPr>
        <w:spacing w:line="269" w:lineRule="auto"/>
        <w:rPr>
          <w:rtl/>
        </w:rPr>
      </w:pPr>
      <w:r>
        <w:rPr>
          <w:rFonts w:hint="cs"/>
          <w:rtl/>
        </w:rPr>
        <w:t>בשנת 2003 הפיצה המשטרה את תורת המודיעין שלה, שמטרתה לקבוע את הקווים המנחים של עבודת המודיעין, שבאותה תקופה כללה גם את הפעילות בתחום האזנות סתר ונתוני תקשורת.</w:t>
      </w:r>
    </w:p>
    <w:p w:rsidR="00524CC2" w:rsidRDefault="00524CC2" w:rsidP="00604C3D">
      <w:pPr>
        <w:spacing w:line="269" w:lineRule="auto"/>
        <w:rPr>
          <w:b/>
          <w:bCs/>
          <w:rtl/>
        </w:rPr>
      </w:pPr>
    </w:p>
    <w:p w:rsidR="009A1216" w:rsidRDefault="009A1216" w:rsidP="00604C3D">
      <w:pPr>
        <w:spacing w:line="269" w:lineRule="auto"/>
        <w:rPr>
          <w:b/>
          <w:bCs/>
          <w:rtl/>
        </w:rPr>
      </w:pPr>
      <w:r w:rsidRPr="00FB5BE9">
        <w:rPr>
          <w:rFonts w:hint="eastAsia"/>
          <w:b/>
          <w:bCs/>
          <w:rtl/>
        </w:rPr>
        <w:t>לפני</w:t>
      </w:r>
      <w:r w:rsidRPr="00FB5BE9">
        <w:rPr>
          <w:b/>
          <w:bCs/>
          <w:rtl/>
        </w:rPr>
        <w:t xml:space="preserve"> </w:t>
      </w:r>
      <w:r w:rsidR="00302716">
        <w:rPr>
          <w:rFonts w:hint="cs"/>
          <w:b/>
          <w:bCs/>
          <w:rtl/>
        </w:rPr>
        <w:t xml:space="preserve">הקמת </w:t>
      </w:r>
      <w:r w:rsidRPr="00FB5BE9">
        <w:rPr>
          <w:b/>
          <w:bCs/>
          <w:rtl/>
        </w:rPr>
        <w:t xml:space="preserve">חטיבת הסייבר החלה בשנת 2010 עבודת מטה </w:t>
      </w:r>
      <w:r w:rsidRPr="00FB5BE9">
        <w:rPr>
          <w:rFonts w:hint="eastAsia"/>
          <w:b/>
          <w:bCs/>
          <w:rtl/>
        </w:rPr>
        <w:t>במחלקת</w:t>
      </w:r>
      <w:r w:rsidRPr="00FB5BE9">
        <w:rPr>
          <w:b/>
          <w:bCs/>
          <w:rtl/>
        </w:rPr>
        <w:t xml:space="preserve"> </w:t>
      </w:r>
      <w:r w:rsidRPr="00FB5BE9">
        <w:rPr>
          <w:rFonts w:hint="eastAsia"/>
          <w:b/>
          <w:bCs/>
          <w:rtl/>
        </w:rPr>
        <w:t>הסיגינט</w:t>
      </w:r>
      <w:r w:rsidRPr="00FB5BE9">
        <w:rPr>
          <w:b/>
          <w:bCs/>
          <w:rtl/>
        </w:rPr>
        <w:t xml:space="preserve"> דאז לכתיבת תורת מערך </w:t>
      </w:r>
      <w:r w:rsidRPr="00FB5BE9">
        <w:rPr>
          <w:rFonts w:hint="eastAsia"/>
          <w:b/>
          <w:bCs/>
          <w:rtl/>
        </w:rPr>
        <w:t>הסיגינט</w:t>
      </w:r>
      <w:r w:rsidRPr="00FB5BE9">
        <w:rPr>
          <w:b/>
          <w:bCs/>
          <w:rtl/>
        </w:rPr>
        <w:t xml:space="preserve">, ואולם </w:t>
      </w:r>
      <w:r w:rsidRPr="00FB5BE9">
        <w:rPr>
          <w:rFonts w:hint="eastAsia"/>
          <w:b/>
          <w:bCs/>
          <w:rtl/>
        </w:rPr>
        <w:t>במועד</w:t>
      </w:r>
      <w:r w:rsidRPr="00FB5BE9">
        <w:rPr>
          <w:b/>
          <w:bCs/>
          <w:rtl/>
        </w:rPr>
        <w:t xml:space="preserve"> </w:t>
      </w:r>
      <w:r w:rsidRPr="00FB5BE9">
        <w:rPr>
          <w:rFonts w:hint="eastAsia"/>
          <w:b/>
          <w:bCs/>
          <w:rtl/>
        </w:rPr>
        <w:t>סיום</w:t>
      </w:r>
      <w:r w:rsidRPr="00FB5BE9">
        <w:rPr>
          <w:b/>
          <w:bCs/>
          <w:rtl/>
        </w:rPr>
        <w:t xml:space="preserve"> </w:t>
      </w:r>
      <w:r w:rsidRPr="00FB5BE9">
        <w:rPr>
          <w:rFonts w:hint="eastAsia"/>
          <w:b/>
          <w:bCs/>
          <w:rtl/>
        </w:rPr>
        <w:t>הביקורת</w:t>
      </w:r>
      <w:r w:rsidRPr="00FB5BE9">
        <w:rPr>
          <w:b/>
          <w:bCs/>
        </w:rPr>
        <w:t xml:space="preserve"> </w:t>
      </w:r>
      <w:r w:rsidRPr="00FB5BE9">
        <w:rPr>
          <w:rFonts w:hint="eastAsia"/>
          <w:b/>
          <w:bCs/>
          <w:rtl/>
        </w:rPr>
        <w:t>עבודה</w:t>
      </w:r>
      <w:r w:rsidRPr="00FB5BE9">
        <w:rPr>
          <w:b/>
          <w:bCs/>
          <w:rtl/>
        </w:rPr>
        <w:t xml:space="preserve"> זו </w:t>
      </w:r>
      <w:r w:rsidRPr="00FB5BE9">
        <w:rPr>
          <w:rFonts w:hint="eastAsia"/>
          <w:b/>
          <w:bCs/>
          <w:rtl/>
        </w:rPr>
        <w:t>עדיין</w:t>
      </w:r>
      <w:r w:rsidRPr="00FB5BE9">
        <w:rPr>
          <w:b/>
          <w:bCs/>
        </w:rPr>
        <w:t xml:space="preserve"> </w:t>
      </w:r>
      <w:r w:rsidRPr="00FB5BE9">
        <w:rPr>
          <w:rFonts w:hint="eastAsia"/>
          <w:b/>
          <w:bCs/>
          <w:rtl/>
        </w:rPr>
        <w:t>לא</w:t>
      </w:r>
      <w:r w:rsidRPr="00FB5BE9">
        <w:rPr>
          <w:b/>
          <w:bCs/>
          <w:rtl/>
        </w:rPr>
        <w:t xml:space="preserve"> </w:t>
      </w:r>
      <w:r w:rsidRPr="00FB5BE9">
        <w:rPr>
          <w:rFonts w:hint="eastAsia"/>
          <w:b/>
          <w:bCs/>
          <w:rtl/>
        </w:rPr>
        <w:t>תמה</w:t>
      </w:r>
      <w:r w:rsidRPr="00FB5BE9">
        <w:rPr>
          <w:b/>
          <w:bCs/>
          <w:rtl/>
        </w:rPr>
        <w:t xml:space="preserve">. </w:t>
      </w:r>
    </w:p>
    <w:p w:rsidR="009A1216" w:rsidRDefault="009A1216" w:rsidP="00604C3D">
      <w:pPr>
        <w:pStyle w:val="a5"/>
        <w:spacing w:line="269" w:lineRule="auto"/>
        <w:rPr>
          <w:rtl/>
        </w:rPr>
      </w:pPr>
      <w:r>
        <w:rPr>
          <w:rFonts w:hint="cs"/>
          <w:rtl/>
        </w:rPr>
        <w:t xml:space="preserve"> </w:t>
      </w:r>
    </w:p>
    <w:p w:rsidR="009A1216" w:rsidRPr="005571ED" w:rsidRDefault="009A1216" w:rsidP="00604C3D">
      <w:pPr>
        <w:spacing w:line="269" w:lineRule="auto"/>
        <w:rPr>
          <w:rtl/>
        </w:rPr>
      </w:pPr>
      <w:r>
        <w:rPr>
          <w:rFonts w:hint="cs"/>
          <w:rtl/>
        </w:rPr>
        <w:t xml:space="preserve">בשנת 2014 החליט המפכ"ל דאז על הקמת חטיבת הסייבר בעקבות קבלתו את ההמלצות של צוות מקצועי שעסק בהתעצמות הסיגינט במשטרה. הצוות המליץ, בין היתר, להתאים את היכולות הטכנולוגיות ואת תפיסות העבודה הקיימות במשטרה. </w:t>
      </w:r>
    </w:p>
    <w:p w:rsidR="00524CC2" w:rsidRDefault="00524CC2" w:rsidP="00604C3D">
      <w:pPr>
        <w:spacing w:line="269" w:lineRule="auto"/>
        <w:rPr>
          <w:b/>
          <w:bCs/>
          <w:rtl/>
        </w:rPr>
      </w:pPr>
    </w:p>
    <w:p w:rsidR="009A1216" w:rsidRPr="00FB5BE9" w:rsidRDefault="009A1216" w:rsidP="00604C3D">
      <w:pPr>
        <w:spacing w:line="269" w:lineRule="auto"/>
        <w:rPr>
          <w:b/>
          <w:bCs/>
          <w:rtl/>
        </w:rPr>
      </w:pPr>
      <w:r w:rsidRPr="00FB5BE9">
        <w:rPr>
          <w:rFonts w:hint="eastAsia"/>
          <w:b/>
          <w:bCs/>
          <w:rtl/>
        </w:rPr>
        <w:t>לאחר</w:t>
      </w:r>
      <w:r w:rsidRPr="00FB5BE9">
        <w:rPr>
          <w:b/>
          <w:bCs/>
          <w:rtl/>
        </w:rPr>
        <w:t xml:space="preserve"> </w:t>
      </w:r>
      <w:r w:rsidRPr="00FB5BE9">
        <w:rPr>
          <w:rFonts w:hint="eastAsia"/>
          <w:b/>
          <w:bCs/>
          <w:rtl/>
        </w:rPr>
        <w:t>הקמת</w:t>
      </w:r>
      <w:r w:rsidRPr="00FB5BE9">
        <w:rPr>
          <w:b/>
          <w:bCs/>
          <w:rtl/>
        </w:rPr>
        <w:t xml:space="preserve"> </w:t>
      </w:r>
      <w:r w:rsidRPr="00FB5BE9">
        <w:rPr>
          <w:rFonts w:hint="eastAsia"/>
          <w:b/>
          <w:bCs/>
          <w:rtl/>
        </w:rPr>
        <w:t>חטיבת</w:t>
      </w:r>
      <w:r w:rsidRPr="00FB5BE9">
        <w:rPr>
          <w:b/>
          <w:bCs/>
          <w:rtl/>
        </w:rPr>
        <w:t xml:space="preserve"> </w:t>
      </w:r>
      <w:r w:rsidRPr="00FB5BE9">
        <w:rPr>
          <w:rFonts w:hint="eastAsia"/>
          <w:b/>
          <w:bCs/>
          <w:rtl/>
        </w:rPr>
        <w:t>הסייבר</w:t>
      </w:r>
      <w:r w:rsidRPr="00FB5BE9">
        <w:rPr>
          <w:b/>
          <w:bCs/>
          <w:rtl/>
        </w:rPr>
        <w:t xml:space="preserve"> </w:t>
      </w:r>
      <w:r w:rsidRPr="00FB5BE9">
        <w:rPr>
          <w:rFonts w:hint="eastAsia"/>
          <w:b/>
          <w:bCs/>
          <w:rtl/>
        </w:rPr>
        <w:t>בשנת</w:t>
      </w:r>
      <w:r w:rsidRPr="00FB5BE9">
        <w:rPr>
          <w:b/>
          <w:bCs/>
          <w:rtl/>
        </w:rPr>
        <w:t xml:space="preserve"> 2014 </w:t>
      </w:r>
      <w:r w:rsidRPr="00FB5BE9">
        <w:rPr>
          <w:rFonts w:hint="eastAsia"/>
          <w:b/>
          <w:bCs/>
          <w:rtl/>
        </w:rPr>
        <w:t>ובמהלך</w:t>
      </w:r>
      <w:r w:rsidRPr="00FB5BE9">
        <w:rPr>
          <w:b/>
          <w:bCs/>
          <w:rtl/>
        </w:rPr>
        <w:t xml:space="preserve"> השנים </w:t>
      </w:r>
      <w:r w:rsidRPr="00FB5BE9">
        <w:rPr>
          <w:rFonts w:hint="eastAsia"/>
          <w:b/>
          <w:bCs/>
          <w:rtl/>
        </w:rPr>
        <w:t>בוצעו</w:t>
      </w:r>
      <w:r w:rsidRPr="00FB5BE9">
        <w:rPr>
          <w:b/>
          <w:bCs/>
          <w:rtl/>
        </w:rPr>
        <w:t xml:space="preserve"> </w:t>
      </w:r>
      <w:r w:rsidRPr="00FB5BE9">
        <w:rPr>
          <w:rFonts w:hint="eastAsia"/>
          <w:b/>
          <w:bCs/>
          <w:rtl/>
        </w:rPr>
        <w:t>עבודות</w:t>
      </w:r>
      <w:r w:rsidRPr="00FB5BE9">
        <w:rPr>
          <w:b/>
          <w:bCs/>
          <w:rtl/>
        </w:rPr>
        <w:t xml:space="preserve"> נוספות לגיבוש תפיסת הפעלה, כגון, </w:t>
      </w:r>
      <w:r w:rsidRPr="00FB5BE9">
        <w:rPr>
          <w:rFonts w:hint="eastAsia"/>
          <w:b/>
          <w:bCs/>
          <w:rtl/>
        </w:rPr>
        <w:t>תוכנית</w:t>
      </w:r>
      <w:r w:rsidRPr="00FB5BE9">
        <w:rPr>
          <w:b/>
          <w:bCs/>
          <w:rtl/>
        </w:rPr>
        <w:t xml:space="preserve"> </w:t>
      </w:r>
      <w:r w:rsidRPr="00FB5BE9">
        <w:rPr>
          <w:rFonts w:hint="eastAsia"/>
          <w:b/>
          <w:bCs/>
          <w:rtl/>
        </w:rPr>
        <w:t>לבחינת</w:t>
      </w:r>
      <w:r w:rsidRPr="00FB5BE9">
        <w:rPr>
          <w:b/>
          <w:bCs/>
          <w:rtl/>
        </w:rPr>
        <w:t xml:space="preserve"> </w:t>
      </w:r>
      <w:r w:rsidRPr="00FB5BE9">
        <w:rPr>
          <w:rFonts w:hint="eastAsia"/>
          <w:b/>
          <w:bCs/>
          <w:rtl/>
        </w:rPr>
        <w:t>הרצף</w:t>
      </w:r>
      <w:r w:rsidRPr="00FB5BE9">
        <w:rPr>
          <w:b/>
          <w:bCs/>
          <w:rtl/>
        </w:rPr>
        <w:t xml:space="preserve"> </w:t>
      </w:r>
      <w:r w:rsidRPr="00FB5BE9">
        <w:rPr>
          <w:rFonts w:hint="eastAsia"/>
          <w:b/>
          <w:bCs/>
          <w:rtl/>
        </w:rPr>
        <w:t>המודיעיני</w:t>
      </w:r>
      <w:r w:rsidRPr="00FB5BE9">
        <w:rPr>
          <w:b/>
          <w:bCs/>
          <w:rtl/>
        </w:rPr>
        <w:t xml:space="preserve"> בציר החקירות והמודיעין</w:t>
      </w:r>
      <w:r>
        <w:rPr>
          <w:rFonts w:hint="cs"/>
          <w:b/>
          <w:bCs/>
          <w:rtl/>
        </w:rPr>
        <w:t>,</w:t>
      </w:r>
      <w:r w:rsidRPr="00FB5BE9">
        <w:rPr>
          <w:b/>
          <w:bCs/>
          <w:rtl/>
        </w:rPr>
        <w:t xml:space="preserve"> אך גם </w:t>
      </w:r>
      <w:r w:rsidRPr="00FB5BE9">
        <w:rPr>
          <w:rFonts w:hint="eastAsia"/>
          <w:b/>
          <w:bCs/>
          <w:rtl/>
        </w:rPr>
        <w:t>עבודות</w:t>
      </w:r>
      <w:r w:rsidRPr="00FB5BE9">
        <w:rPr>
          <w:b/>
          <w:bCs/>
          <w:rtl/>
        </w:rPr>
        <w:t xml:space="preserve"> </w:t>
      </w:r>
      <w:r w:rsidRPr="00FB5BE9">
        <w:rPr>
          <w:rFonts w:hint="eastAsia"/>
          <w:b/>
          <w:bCs/>
          <w:rtl/>
        </w:rPr>
        <w:t>אלו</w:t>
      </w:r>
      <w:r w:rsidRPr="00FB5BE9">
        <w:rPr>
          <w:b/>
          <w:bCs/>
          <w:rtl/>
        </w:rPr>
        <w:t xml:space="preserve"> </w:t>
      </w:r>
      <w:r w:rsidRPr="00FB5BE9">
        <w:rPr>
          <w:rFonts w:hint="eastAsia"/>
          <w:b/>
          <w:bCs/>
          <w:rtl/>
        </w:rPr>
        <w:t>לא</w:t>
      </w:r>
      <w:r w:rsidRPr="00FB5BE9">
        <w:rPr>
          <w:b/>
          <w:bCs/>
          <w:rtl/>
        </w:rPr>
        <w:t xml:space="preserve"> </w:t>
      </w:r>
      <w:r w:rsidRPr="00FB5BE9">
        <w:rPr>
          <w:rFonts w:hint="eastAsia"/>
          <w:b/>
          <w:bCs/>
          <w:rtl/>
        </w:rPr>
        <w:t>הבשילו</w:t>
      </w:r>
      <w:r w:rsidRPr="00FB5BE9">
        <w:rPr>
          <w:b/>
          <w:bCs/>
          <w:rtl/>
        </w:rPr>
        <w:t xml:space="preserve"> </w:t>
      </w:r>
      <w:r w:rsidRPr="00FB5BE9">
        <w:rPr>
          <w:rFonts w:hint="eastAsia"/>
          <w:b/>
          <w:bCs/>
          <w:rtl/>
        </w:rPr>
        <w:t>לכדי</w:t>
      </w:r>
      <w:r w:rsidRPr="00FB5BE9">
        <w:rPr>
          <w:b/>
          <w:bCs/>
          <w:rtl/>
        </w:rPr>
        <w:t xml:space="preserve"> גיבוש </w:t>
      </w:r>
      <w:r>
        <w:rPr>
          <w:rFonts w:hint="cs"/>
          <w:b/>
          <w:bCs/>
          <w:rtl/>
        </w:rPr>
        <w:t>תפיסת</w:t>
      </w:r>
      <w:r w:rsidRPr="00FB5BE9">
        <w:rPr>
          <w:b/>
          <w:bCs/>
          <w:rtl/>
        </w:rPr>
        <w:t xml:space="preserve"> הפעלה עדכנית. </w:t>
      </w:r>
    </w:p>
    <w:p w:rsidR="00524CC2" w:rsidRDefault="00524CC2" w:rsidP="00604C3D">
      <w:pPr>
        <w:spacing w:line="269" w:lineRule="auto"/>
        <w:rPr>
          <w:b/>
          <w:bCs/>
          <w:rtl/>
        </w:rPr>
      </w:pPr>
    </w:p>
    <w:p w:rsidR="009A1216" w:rsidRDefault="009A1216" w:rsidP="00604C3D">
      <w:pPr>
        <w:spacing w:line="269" w:lineRule="auto"/>
        <w:rPr>
          <w:b/>
          <w:bCs/>
          <w:rtl/>
        </w:rPr>
      </w:pPr>
      <w:r>
        <w:rPr>
          <w:rFonts w:hint="cs"/>
          <w:b/>
          <w:bCs/>
          <w:rtl/>
        </w:rPr>
        <w:t xml:space="preserve">הגם שחטיבת הסייבר פועלת באופן עצמאי משנת 2014, עד יוני 2024 היא לא גיבשה תפיסת הפעלה בתחום האזנות סתר ונתוני תקשורת. כתוצאה מכך, פעולתה בתחומים אלו נעשתה בלא שהוגדרו עקרונות היסוד להפעלת הסמכויות של המשטרה וחלוקת האחריות לביצוע </w:t>
      </w:r>
      <w:r w:rsidR="00D6431B">
        <w:rPr>
          <w:rFonts w:hint="cs"/>
          <w:b/>
          <w:bCs/>
          <w:rtl/>
        </w:rPr>
        <w:t>משימותיה</w:t>
      </w:r>
      <w:r>
        <w:rPr>
          <w:rFonts w:hint="cs"/>
          <w:b/>
          <w:bCs/>
          <w:rtl/>
        </w:rPr>
        <w:t xml:space="preserve">. </w:t>
      </w:r>
    </w:p>
    <w:p w:rsidR="009A1216" w:rsidRDefault="009A1216" w:rsidP="00604C3D">
      <w:pPr>
        <w:pStyle w:val="a5"/>
        <w:spacing w:line="269" w:lineRule="auto"/>
        <w:rPr>
          <w:rtl/>
        </w:rPr>
      </w:pPr>
      <w:r>
        <w:rPr>
          <w:rFonts w:hint="cs"/>
          <w:rtl/>
        </w:rPr>
        <w:t xml:space="preserve">  </w:t>
      </w:r>
    </w:p>
    <w:p w:rsidR="009A1216" w:rsidRPr="00146851" w:rsidRDefault="009A1216" w:rsidP="00604C3D">
      <w:pPr>
        <w:spacing w:line="269" w:lineRule="auto"/>
        <w:rPr>
          <w:sz w:val="24"/>
          <w:rtl/>
        </w:rPr>
      </w:pPr>
      <w:bookmarkStart w:id="372" w:name="_Hlk185159786"/>
      <w:r w:rsidRPr="00146851">
        <w:rPr>
          <w:rFonts w:hint="cs"/>
          <w:sz w:val="24"/>
          <w:rtl/>
        </w:rPr>
        <w:t>המשטרה מסרה למשרד מבקר המדינה את טיוטת ספר "תפיסת ההפעלה בתחום הסיגינט-סייבר במשטרת ישראל" שגובשה ביוני 2024 בעקבות הביקורת, אך זו טרם הופצה למערך הפרוס</w:t>
      </w:r>
      <w:r w:rsidR="00524CC2">
        <w:rPr>
          <w:rFonts w:hint="cs"/>
          <w:sz w:val="24"/>
          <w:rtl/>
        </w:rPr>
        <w:t xml:space="preserve"> באותה העת</w:t>
      </w:r>
      <w:r w:rsidRPr="00146851">
        <w:rPr>
          <w:rFonts w:hint="cs"/>
          <w:sz w:val="24"/>
          <w:rtl/>
        </w:rPr>
        <w:t>.</w:t>
      </w:r>
      <w:r w:rsidRPr="00146851" w:rsidDel="00F131A2">
        <w:rPr>
          <w:sz w:val="24"/>
          <w:rtl/>
        </w:rPr>
        <w:t xml:space="preserve"> </w:t>
      </w:r>
      <w:r w:rsidRPr="00146851">
        <w:rPr>
          <w:rFonts w:hint="cs"/>
          <w:sz w:val="24"/>
          <w:rtl/>
        </w:rPr>
        <w:t xml:space="preserve">תפיסת הפעלה זו כוללת סקירת מושגי יסוד בתחומי האזנת סתר ונתוני תקשורת, סקירה היסטורית של תחום הסיגינט-סייבר, הגדרת בניין הכוח הנדרש לחטיבה ולמערך הפרוס, פירוט תהליכי הפיקוח והבקרה הנדרשים לה, וכן סקירה של טכנולוגיות בתחום. </w:t>
      </w:r>
    </w:p>
    <w:bookmarkEnd w:id="372"/>
    <w:p w:rsidR="009A1216" w:rsidRDefault="009A1216" w:rsidP="00604C3D">
      <w:pPr>
        <w:pStyle w:val="a5"/>
        <w:spacing w:line="269" w:lineRule="auto"/>
        <w:rPr>
          <w:rtl/>
        </w:rPr>
      </w:pPr>
      <w:r w:rsidRPr="00146851">
        <w:rPr>
          <w:rFonts w:hint="cs"/>
          <w:szCs w:val="24"/>
          <w:rtl/>
        </w:rPr>
        <w:t xml:space="preserve"> </w:t>
      </w:r>
    </w:p>
    <w:p w:rsidR="009A1216" w:rsidRDefault="009A1216" w:rsidP="00604C3D">
      <w:pPr>
        <w:spacing w:line="269" w:lineRule="auto"/>
        <w:rPr>
          <w:b/>
          <w:bCs/>
        </w:rPr>
      </w:pPr>
      <w:r>
        <w:rPr>
          <w:rFonts w:hint="cs"/>
          <w:rtl/>
        </w:rPr>
        <w:t>כמו כן, הקדישה המשטרה פרק בספר לנושא "תפיסת הפעלה". בפרק זה סקרה המשטרה את הנהלים הקיימים</w:t>
      </w:r>
      <w:r w:rsidR="00302716">
        <w:rPr>
          <w:rFonts w:hint="cs"/>
          <w:rtl/>
        </w:rPr>
        <w:t>;</w:t>
      </w:r>
      <w:r>
        <w:rPr>
          <w:rFonts w:hint="cs"/>
          <w:rtl/>
        </w:rPr>
        <w:t xml:space="preserve"> את תמצית ההוראות המפורטות בהם</w:t>
      </w:r>
      <w:r w:rsidR="00302716">
        <w:rPr>
          <w:rFonts w:hint="cs"/>
          <w:rtl/>
        </w:rPr>
        <w:t>;</w:t>
      </w:r>
      <w:r>
        <w:rPr>
          <w:rFonts w:hint="cs"/>
          <w:rtl/>
        </w:rPr>
        <w:t xml:space="preserve"> את תפיסת ההפעלה להפעלת צס"ם</w:t>
      </w:r>
      <w:r>
        <w:rPr>
          <w:rStyle w:val="af"/>
          <w:rtl/>
        </w:rPr>
        <w:footnoteReference w:id="155"/>
      </w:r>
      <w:r w:rsidR="00302716">
        <w:rPr>
          <w:rFonts w:hint="cs"/>
          <w:rtl/>
        </w:rPr>
        <w:t>;</w:t>
      </w:r>
      <w:r>
        <w:rPr>
          <w:rFonts w:hint="cs"/>
          <w:rtl/>
        </w:rPr>
        <w:t xml:space="preserve"> ואת תפקידו של ראש ענף אמצעים בכל צס"ם כגורם אשר מכיר את ארגז הכלים הטכנולוגיים באופן מעמיק, את עולם החקירות ואת עולם המודיעין ונדרש להתאים את המענה הנדרש לכל משימה. כל זאת, תוך יישום עיקרון מוביל בהליך קבלת החלטה על הקצאת כלי טכנולוגי, לפיו: הכלי הטכנולוגי שייבחר ייתן "מענה סינרגטי, מתואם וחסכוני בין מערכי האיסוף הטכנולוגי לצד ניהול תהליך מקצועי מדויק של התאמת כלים, משאבים, ויכולות לצורך". בפרק נוסף סקרה המשטרה את הכלים הטכנולוגיים העומדים לרשותה ופירטה באופן כללי את תכליות הכלים הללו. </w:t>
      </w:r>
    </w:p>
    <w:p w:rsidR="00524CC2" w:rsidRDefault="00524CC2" w:rsidP="00604C3D">
      <w:pPr>
        <w:spacing w:line="269" w:lineRule="auto"/>
        <w:rPr>
          <w:b/>
          <w:bCs/>
          <w:rtl/>
        </w:rPr>
      </w:pPr>
    </w:p>
    <w:p w:rsidR="009A1216" w:rsidRDefault="009A1216" w:rsidP="00604C3D">
      <w:pPr>
        <w:spacing w:line="269" w:lineRule="auto"/>
        <w:rPr>
          <w:b/>
          <w:bCs/>
          <w:rtl/>
        </w:rPr>
      </w:pPr>
      <w:r>
        <w:rPr>
          <w:rFonts w:hint="cs"/>
          <w:b/>
          <w:bCs/>
          <w:rtl/>
        </w:rPr>
        <w:t xml:space="preserve">מבקר המדינה מציין לחיוב את פעולת המשטרה לגיבוש תפיסת הפעלה בתחום הסיגינט והסייבר. </w:t>
      </w:r>
      <w:bookmarkStart w:id="373" w:name="_Hlk177035194"/>
      <w:r w:rsidRPr="002836FF">
        <w:rPr>
          <w:rFonts w:hint="cs"/>
          <w:b/>
          <w:bCs/>
          <w:rtl/>
        </w:rPr>
        <w:t xml:space="preserve">מומלץ כי </w:t>
      </w:r>
      <w:r>
        <w:rPr>
          <w:rFonts w:hint="cs"/>
          <w:b/>
          <w:bCs/>
          <w:rtl/>
        </w:rPr>
        <w:t>המשטרה תפיץ את תפיסת ההפעלה למערך הפרוס, תעדכן אותה מפעם לפעם ותשלים פערים שעדיין קיימים בה. בין היתר, מומלץ כי תפיסת ההפעלה</w:t>
      </w:r>
      <w:r w:rsidRPr="002836FF">
        <w:rPr>
          <w:rFonts w:hint="cs"/>
          <w:b/>
          <w:bCs/>
          <w:rtl/>
        </w:rPr>
        <w:t xml:space="preserve"> </w:t>
      </w:r>
      <w:r>
        <w:rPr>
          <w:rFonts w:hint="cs"/>
          <w:b/>
          <w:bCs/>
          <w:rtl/>
        </w:rPr>
        <w:t xml:space="preserve">תגדיר </w:t>
      </w:r>
      <w:r w:rsidRPr="002836FF">
        <w:rPr>
          <w:rFonts w:hint="cs"/>
          <w:b/>
          <w:bCs/>
          <w:rtl/>
        </w:rPr>
        <w:t>את</w:t>
      </w:r>
      <w:r>
        <w:rPr>
          <w:rFonts w:hint="cs"/>
          <w:b/>
          <w:bCs/>
          <w:rtl/>
        </w:rPr>
        <w:t xml:space="preserve"> הנושאים האלה:</w:t>
      </w:r>
      <w:r w:rsidRPr="002836FF">
        <w:rPr>
          <w:rFonts w:hint="cs"/>
          <w:b/>
          <w:bCs/>
          <w:rtl/>
        </w:rPr>
        <w:t xml:space="preserve"> עקרונות השימוש </w:t>
      </w:r>
      <w:r>
        <w:rPr>
          <w:rFonts w:hint="cs"/>
          <w:b/>
          <w:bCs/>
          <w:rtl/>
        </w:rPr>
        <w:t>בכלים</w:t>
      </w:r>
      <w:r>
        <w:rPr>
          <w:rStyle w:val="af"/>
          <w:b/>
          <w:bCs/>
          <w:rtl/>
        </w:rPr>
        <w:footnoteReference w:id="156"/>
      </w:r>
      <w:r>
        <w:rPr>
          <w:rFonts w:hint="cs"/>
          <w:b/>
          <w:bCs/>
          <w:rtl/>
        </w:rPr>
        <w:t xml:space="preserve">, העקרונות לביצוע פעולות </w:t>
      </w:r>
      <w:r w:rsidR="00E26DDD">
        <w:rPr>
          <w:rFonts w:hint="cs"/>
          <w:b/>
          <w:bCs/>
          <w:rtl/>
        </w:rPr>
        <w:t>התקנה</w:t>
      </w:r>
      <w:r w:rsidR="00B85472">
        <w:rPr>
          <w:rFonts w:hint="cs"/>
          <w:b/>
          <w:bCs/>
          <w:rtl/>
        </w:rPr>
        <w:t xml:space="preserve"> של כלים טכנולוגיים</w:t>
      </w:r>
      <w:r w:rsidR="00E26DDD">
        <w:rPr>
          <w:rFonts w:hint="cs"/>
          <w:b/>
          <w:bCs/>
          <w:rtl/>
        </w:rPr>
        <w:t xml:space="preserve"> </w:t>
      </w:r>
      <w:r>
        <w:rPr>
          <w:rFonts w:hint="cs"/>
          <w:b/>
          <w:bCs/>
          <w:rtl/>
        </w:rPr>
        <w:t>לצורכי האזנת סתר</w:t>
      </w:r>
      <w:r>
        <w:rPr>
          <w:rStyle w:val="af"/>
          <w:b/>
          <w:bCs/>
          <w:rtl/>
        </w:rPr>
        <w:footnoteReference w:id="157"/>
      </w:r>
      <w:r>
        <w:rPr>
          <w:rFonts w:hint="cs"/>
          <w:b/>
          <w:bCs/>
          <w:rtl/>
        </w:rPr>
        <w:t xml:space="preserve"> ואת </w:t>
      </w:r>
      <w:r w:rsidRPr="002836FF">
        <w:rPr>
          <w:rFonts w:hint="cs"/>
          <w:b/>
          <w:bCs/>
          <w:rtl/>
        </w:rPr>
        <w:t>מערכת היחסים בינה לבין גורמים חיצוניים המסייעים לה בתחום זה</w:t>
      </w:r>
      <w:bookmarkStart w:id="374" w:name="_Hlk153101881"/>
      <w:r w:rsidRPr="002836FF">
        <w:rPr>
          <w:rFonts w:hint="cs"/>
          <w:b/>
          <w:bCs/>
          <w:rtl/>
        </w:rPr>
        <w:t xml:space="preserve">. </w:t>
      </w:r>
      <w:bookmarkEnd w:id="374"/>
    </w:p>
    <w:bookmarkEnd w:id="373"/>
    <w:p w:rsidR="009A1216" w:rsidRDefault="009A1216" w:rsidP="00604C3D">
      <w:pPr>
        <w:spacing w:line="269" w:lineRule="auto"/>
        <w:rPr>
          <w:b/>
          <w:bCs/>
          <w:rtl/>
        </w:rPr>
      </w:pPr>
    </w:p>
    <w:p w:rsidR="009A1216" w:rsidRDefault="009A1216" w:rsidP="008C598D">
      <w:pPr>
        <w:pStyle w:val="4"/>
        <w:numPr>
          <w:ilvl w:val="0"/>
          <w:numId w:val="17"/>
        </w:numPr>
        <w:spacing w:before="0" w:line="269" w:lineRule="auto"/>
        <w:ind w:left="-2" w:hanging="282"/>
        <w:rPr>
          <w:rtl/>
        </w:rPr>
      </w:pPr>
      <w:bookmarkStart w:id="375" w:name="_Toc211521934"/>
      <w:bookmarkStart w:id="376" w:name="_Toc219110324"/>
      <w:bookmarkStart w:id="377" w:name="_Toc219113765"/>
      <w:bookmarkStart w:id="378" w:name="_Toc219286540"/>
      <w:r>
        <w:rPr>
          <w:rFonts w:hint="cs"/>
          <w:rtl/>
        </w:rPr>
        <w:t xml:space="preserve">איגום המידע על פעולות </w:t>
      </w:r>
      <w:r w:rsidR="00E26DDD">
        <w:rPr>
          <w:rFonts w:hint="cs"/>
          <w:rtl/>
        </w:rPr>
        <w:t xml:space="preserve">התקנה </w:t>
      </w:r>
      <w:r>
        <w:rPr>
          <w:rFonts w:hint="cs"/>
          <w:rtl/>
        </w:rPr>
        <w:t>ואיסוף תוצרי האזנת סתר</w:t>
      </w:r>
      <w:bookmarkEnd w:id="369"/>
      <w:bookmarkEnd w:id="370"/>
      <w:bookmarkEnd w:id="375"/>
      <w:bookmarkEnd w:id="376"/>
      <w:bookmarkEnd w:id="377"/>
      <w:bookmarkEnd w:id="378"/>
    </w:p>
    <w:p w:rsidR="009A1216" w:rsidRDefault="009A1216" w:rsidP="00604C3D">
      <w:pPr>
        <w:spacing w:line="269" w:lineRule="auto"/>
        <w:rPr>
          <w:rtl/>
        </w:rPr>
      </w:pPr>
    </w:p>
    <w:p w:rsidR="009A1216" w:rsidRPr="00281A71" w:rsidRDefault="009A1216" w:rsidP="008C598D">
      <w:pPr>
        <w:pStyle w:val="5"/>
        <w:numPr>
          <w:ilvl w:val="0"/>
          <w:numId w:val="19"/>
        </w:numPr>
        <w:spacing w:line="269" w:lineRule="auto"/>
        <w:rPr>
          <w:rtl/>
        </w:rPr>
      </w:pPr>
      <w:bookmarkStart w:id="379" w:name="_Toc151882003"/>
      <w:bookmarkStart w:id="380" w:name="_Toc151890731"/>
      <w:r>
        <w:rPr>
          <w:rFonts w:hint="cs"/>
          <w:rtl/>
        </w:rPr>
        <w:t>הזנת נתונים</w:t>
      </w:r>
      <w:r w:rsidRPr="00281A71">
        <w:rPr>
          <w:rtl/>
        </w:rPr>
        <w:t xml:space="preserve"> במערכת הממוחשבת לניהול צווים</w:t>
      </w:r>
      <w:bookmarkEnd w:id="379"/>
      <w:bookmarkEnd w:id="380"/>
    </w:p>
    <w:p w:rsidR="00524CC2" w:rsidRDefault="00524CC2" w:rsidP="00604C3D">
      <w:pPr>
        <w:spacing w:line="269" w:lineRule="auto"/>
        <w:rPr>
          <w:rtl/>
        </w:rPr>
      </w:pPr>
    </w:p>
    <w:p w:rsidR="009A1216" w:rsidRDefault="009A1216" w:rsidP="00511F5D">
      <w:pPr>
        <w:spacing w:line="269" w:lineRule="auto"/>
        <w:ind w:left="360"/>
        <w:rPr>
          <w:rtl/>
        </w:rPr>
      </w:pPr>
      <w:r>
        <w:rPr>
          <w:rFonts w:hint="cs"/>
          <w:rtl/>
        </w:rPr>
        <w:t xml:space="preserve">במערכת הממוחשבת לניהול צווים ניתן להזין את נתוני סטטוס הבקשות לצורכי מעקב אחר הליך הוצאת הצווים. בין היתר, ניתן להזין במערכת סטטוסים רבים של בקשות, המציינים כל שלב משמעותי בתהליך </w:t>
      </w:r>
      <w:r>
        <w:rPr>
          <w:rtl/>
        </w:rPr>
        <w:t>-</w:t>
      </w:r>
      <w:r>
        <w:rPr>
          <w:rFonts w:hint="cs"/>
          <w:rtl/>
        </w:rPr>
        <w:t xml:space="preserve"> הכנת הבקשות, אישורן בדרגי האישור השונים, מימוש הבקשות והפסקת המימוש. </w:t>
      </w:r>
    </w:p>
    <w:p w:rsidR="00524CC2" w:rsidRDefault="00524CC2" w:rsidP="00511F5D">
      <w:pPr>
        <w:spacing w:line="269" w:lineRule="auto"/>
        <w:ind w:left="360"/>
        <w:rPr>
          <w:b/>
          <w:bCs/>
          <w:rtl/>
        </w:rPr>
      </w:pPr>
      <w:bookmarkStart w:id="381" w:name="_Hlk155703396"/>
    </w:p>
    <w:p w:rsidR="009A1216" w:rsidRDefault="009A1216" w:rsidP="00511F5D">
      <w:pPr>
        <w:spacing w:line="269" w:lineRule="auto"/>
        <w:ind w:left="360"/>
        <w:rPr>
          <w:b/>
          <w:bCs/>
          <w:rtl/>
        </w:rPr>
      </w:pPr>
      <w:r w:rsidRPr="00FB5BE9">
        <w:rPr>
          <w:rFonts w:hint="eastAsia"/>
          <w:b/>
          <w:bCs/>
          <w:rtl/>
        </w:rPr>
        <w:t>בבדיקת</w:t>
      </w:r>
      <w:r w:rsidRPr="00FB5BE9">
        <w:rPr>
          <w:b/>
          <w:bCs/>
          <w:rtl/>
        </w:rPr>
        <w:t xml:space="preserve"> </w:t>
      </w:r>
      <w:r w:rsidRPr="00FB5BE9">
        <w:rPr>
          <w:rFonts w:hint="eastAsia"/>
          <w:b/>
          <w:bCs/>
          <w:rtl/>
        </w:rPr>
        <w:t>נתוני</w:t>
      </w:r>
      <w:r w:rsidRPr="00FB5BE9">
        <w:rPr>
          <w:b/>
          <w:bCs/>
          <w:rtl/>
        </w:rPr>
        <w:t xml:space="preserve"> המערכת </w:t>
      </w:r>
      <w:r w:rsidRPr="00FB5BE9">
        <w:rPr>
          <w:rFonts w:hint="eastAsia"/>
          <w:b/>
          <w:bCs/>
          <w:rtl/>
        </w:rPr>
        <w:t>שביצע</w:t>
      </w:r>
      <w:r w:rsidRPr="00FB5BE9">
        <w:rPr>
          <w:b/>
          <w:bCs/>
          <w:rtl/>
        </w:rPr>
        <w:t xml:space="preserve"> משרד מבקר המדינה </w:t>
      </w:r>
      <w:r w:rsidRPr="00FB5BE9">
        <w:rPr>
          <w:rFonts w:hint="eastAsia"/>
          <w:b/>
          <w:bCs/>
          <w:rtl/>
        </w:rPr>
        <w:t>נמצא</w:t>
      </w:r>
      <w:r w:rsidRPr="00FB5BE9">
        <w:rPr>
          <w:b/>
          <w:bCs/>
          <w:rtl/>
        </w:rPr>
        <w:t xml:space="preserve"> כי שוטרים </w:t>
      </w:r>
      <w:r w:rsidRPr="00FB5BE9">
        <w:rPr>
          <w:rFonts w:hint="eastAsia"/>
          <w:b/>
          <w:bCs/>
          <w:rtl/>
        </w:rPr>
        <w:t>אינם</w:t>
      </w:r>
      <w:r w:rsidRPr="00FB5BE9">
        <w:rPr>
          <w:b/>
          <w:bCs/>
          <w:rtl/>
        </w:rPr>
        <w:t xml:space="preserve"> </w:t>
      </w:r>
      <w:r w:rsidRPr="00FB5BE9">
        <w:rPr>
          <w:rFonts w:hint="eastAsia"/>
          <w:b/>
          <w:bCs/>
          <w:rtl/>
        </w:rPr>
        <w:t>מקפידים</w:t>
      </w:r>
      <w:r w:rsidRPr="00FB5BE9">
        <w:rPr>
          <w:b/>
          <w:bCs/>
          <w:rtl/>
        </w:rPr>
        <w:t xml:space="preserve"> על רישום </w:t>
      </w:r>
      <w:r w:rsidRPr="00FB5BE9">
        <w:rPr>
          <w:rFonts w:hint="eastAsia"/>
          <w:b/>
          <w:bCs/>
          <w:rtl/>
        </w:rPr>
        <w:t>של</w:t>
      </w:r>
      <w:r w:rsidRPr="00FB5BE9">
        <w:rPr>
          <w:b/>
          <w:bCs/>
          <w:rtl/>
        </w:rPr>
        <w:t xml:space="preserve"> </w:t>
      </w:r>
      <w:r w:rsidRPr="00FB5BE9">
        <w:rPr>
          <w:rFonts w:hint="eastAsia"/>
          <w:b/>
          <w:bCs/>
          <w:rtl/>
        </w:rPr>
        <w:t>מימוש</w:t>
      </w:r>
      <w:r w:rsidRPr="00FB5BE9">
        <w:rPr>
          <w:b/>
          <w:bCs/>
          <w:rtl/>
        </w:rPr>
        <w:t xml:space="preserve"> </w:t>
      </w:r>
      <w:r w:rsidRPr="00FB5BE9">
        <w:rPr>
          <w:rFonts w:hint="eastAsia"/>
          <w:b/>
          <w:bCs/>
          <w:rtl/>
        </w:rPr>
        <w:t>הצו</w:t>
      </w:r>
      <w:r w:rsidRPr="00FB5BE9">
        <w:rPr>
          <w:b/>
          <w:bCs/>
          <w:rtl/>
        </w:rPr>
        <w:t>.</w:t>
      </w:r>
      <w:bookmarkEnd w:id="381"/>
      <w:r w:rsidRPr="00FB5BE9">
        <w:rPr>
          <w:b/>
          <w:bCs/>
          <w:rtl/>
        </w:rPr>
        <w:t xml:space="preserve"> </w:t>
      </w:r>
      <w:r w:rsidRPr="00FB5BE9">
        <w:rPr>
          <w:rFonts w:hint="eastAsia"/>
          <w:b/>
          <w:bCs/>
          <w:rtl/>
        </w:rPr>
        <w:t>לפיכך</w:t>
      </w:r>
      <w:r w:rsidRPr="00FB5BE9">
        <w:rPr>
          <w:b/>
          <w:bCs/>
          <w:rtl/>
        </w:rPr>
        <w:t xml:space="preserve"> משרד מבקר המדינה נדרש לבצע בדיקות </w:t>
      </w:r>
      <w:r w:rsidRPr="00FB5BE9">
        <w:rPr>
          <w:rFonts w:hint="eastAsia"/>
          <w:b/>
          <w:bCs/>
          <w:rtl/>
        </w:rPr>
        <w:t>נוספות</w:t>
      </w:r>
      <w:r w:rsidRPr="00FB5BE9">
        <w:rPr>
          <w:b/>
          <w:bCs/>
          <w:rtl/>
        </w:rPr>
        <w:t xml:space="preserve"> במאגרי הנתונים של </w:t>
      </w:r>
      <w:r w:rsidRPr="00FB5BE9">
        <w:rPr>
          <w:rFonts w:hint="eastAsia"/>
          <w:b/>
          <w:bCs/>
          <w:rtl/>
        </w:rPr>
        <w:t>המשטרה</w:t>
      </w:r>
      <w:r w:rsidRPr="00FB5BE9">
        <w:rPr>
          <w:b/>
          <w:bCs/>
          <w:rtl/>
        </w:rPr>
        <w:t xml:space="preserve"> לאיתור אינדיקציות למימוש הצווים. בין היתר, אותרו פעולות המעידות </w:t>
      </w:r>
      <w:r w:rsidRPr="00FB5BE9">
        <w:rPr>
          <w:rFonts w:hint="eastAsia"/>
          <w:b/>
          <w:bCs/>
          <w:rtl/>
        </w:rPr>
        <w:t>כי</w:t>
      </w:r>
      <w:r w:rsidRPr="00FB5BE9">
        <w:rPr>
          <w:b/>
          <w:bCs/>
          <w:rtl/>
        </w:rPr>
        <w:t xml:space="preserve"> </w:t>
      </w:r>
      <w:r w:rsidRPr="00FB5BE9">
        <w:rPr>
          <w:rFonts w:hint="eastAsia"/>
          <w:b/>
          <w:bCs/>
          <w:rtl/>
        </w:rPr>
        <w:t>בקשות</w:t>
      </w:r>
      <w:r w:rsidRPr="00FB5BE9">
        <w:rPr>
          <w:b/>
          <w:bCs/>
          <w:rtl/>
        </w:rPr>
        <w:t xml:space="preserve"> </w:t>
      </w:r>
      <w:r w:rsidRPr="00FB5BE9">
        <w:rPr>
          <w:rFonts w:hint="eastAsia"/>
          <w:b/>
          <w:bCs/>
          <w:rtl/>
        </w:rPr>
        <w:t>לביצוע</w:t>
      </w:r>
      <w:r w:rsidRPr="00FB5BE9">
        <w:rPr>
          <w:b/>
          <w:bCs/>
          <w:rtl/>
        </w:rPr>
        <w:t xml:space="preserve"> </w:t>
      </w:r>
      <w:r w:rsidRPr="00FB5BE9">
        <w:rPr>
          <w:rFonts w:hint="eastAsia"/>
          <w:b/>
          <w:bCs/>
          <w:rtl/>
        </w:rPr>
        <w:t>האזנות</w:t>
      </w:r>
      <w:r w:rsidRPr="00FB5BE9">
        <w:rPr>
          <w:b/>
          <w:bCs/>
          <w:rtl/>
        </w:rPr>
        <w:t xml:space="preserve"> </w:t>
      </w:r>
      <w:r w:rsidRPr="00FB5BE9">
        <w:rPr>
          <w:rFonts w:hint="eastAsia"/>
          <w:b/>
          <w:bCs/>
          <w:rtl/>
        </w:rPr>
        <w:t>סתר</w:t>
      </w:r>
      <w:r w:rsidRPr="00FB5BE9">
        <w:rPr>
          <w:b/>
          <w:bCs/>
          <w:rtl/>
        </w:rPr>
        <w:t xml:space="preserve"> </w:t>
      </w:r>
      <w:r w:rsidRPr="00FB5BE9">
        <w:rPr>
          <w:rFonts w:hint="eastAsia"/>
          <w:b/>
          <w:bCs/>
          <w:rtl/>
        </w:rPr>
        <w:t>מומשו</w:t>
      </w:r>
      <w:r w:rsidRPr="00FB5BE9">
        <w:rPr>
          <w:b/>
          <w:bCs/>
          <w:rtl/>
        </w:rPr>
        <w:t xml:space="preserve"> לאחר קבלת ההחלטה השיפוטית בעניינן </w:t>
      </w:r>
      <w:r w:rsidRPr="00FB5BE9">
        <w:rPr>
          <w:rFonts w:hint="eastAsia"/>
          <w:b/>
          <w:bCs/>
          <w:rtl/>
        </w:rPr>
        <w:t>בלא</w:t>
      </w:r>
      <w:r w:rsidRPr="00FB5BE9">
        <w:rPr>
          <w:b/>
          <w:bCs/>
          <w:rtl/>
        </w:rPr>
        <w:t xml:space="preserve"> </w:t>
      </w:r>
      <w:r w:rsidRPr="00FB5BE9">
        <w:rPr>
          <w:rFonts w:hint="eastAsia"/>
          <w:b/>
          <w:bCs/>
          <w:rtl/>
        </w:rPr>
        <w:t>שסטטוס</w:t>
      </w:r>
      <w:r w:rsidRPr="00FB5BE9">
        <w:rPr>
          <w:b/>
          <w:bCs/>
          <w:rtl/>
        </w:rPr>
        <w:t xml:space="preserve"> </w:t>
      </w:r>
      <w:r w:rsidRPr="00FB5BE9">
        <w:rPr>
          <w:rFonts w:hint="eastAsia"/>
          <w:b/>
          <w:bCs/>
          <w:rtl/>
        </w:rPr>
        <w:t>הבקשה</w:t>
      </w:r>
      <w:r w:rsidRPr="00FB5BE9">
        <w:rPr>
          <w:b/>
          <w:bCs/>
          <w:rtl/>
        </w:rPr>
        <w:t xml:space="preserve"> עודכן בהתאם לכך</w:t>
      </w:r>
      <w:r>
        <w:rPr>
          <w:rFonts w:hint="cs"/>
          <w:b/>
          <w:bCs/>
          <w:rtl/>
        </w:rPr>
        <w:t xml:space="preserve"> למשל</w:t>
      </w:r>
      <w:r w:rsidRPr="00FB5BE9">
        <w:rPr>
          <w:b/>
          <w:bCs/>
          <w:rtl/>
        </w:rPr>
        <w:t xml:space="preserve">: </w:t>
      </w:r>
      <w:r w:rsidRPr="00FB5BE9">
        <w:rPr>
          <w:rFonts w:hint="eastAsia"/>
          <w:b/>
          <w:bCs/>
          <w:rtl/>
        </w:rPr>
        <w:t>הוספו</w:t>
      </w:r>
      <w:r w:rsidRPr="00FB5BE9">
        <w:rPr>
          <w:b/>
          <w:bCs/>
          <w:rtl/>
        </w:rPr>
        <w:t xml:space="preserve"> </w:t>
      </w:r>
      <w:r w:rsidRPr="00FB5BE9">
        <w:rPr>
          <w:rFonts w:hint="eastAsia"/>
          <w:b/>
          <w:bCs/>
          <w:rtl/>
        </w:rPr>
        <w:t>יעדי</w:t>
      </w:r>
      <w:r w:rsidRPr="00FB5BE9">
        <w:rPr>
          <w:b/>
          <w:bCs/>
          <w:rtl/>
        </w:rPr>
        <w:t xml:space="preserve"> </w:t>
      </w:r>
      <w:r w:rsidRPr="00FB5BE9">
        <w:rPr>
          <w:rFonts w:hint="eastAsia"/>
          <w:b/>
          <w:bCs/>
          <w:rtl/>
        </w:rPr>
        <w:t>האזנה</w:t>
      </w:r>
      <w:r w:rsidRPr="00FB5BE9">
        <w:rPr>
          <w:b/>
          <w:bCs/>
          <w:rtl/>
        </w:rPr>
        <w:t xml:space="preserve">, </w:t>
      </w:r>
      <w:r w:rsidRPr="00FB5BE9">
        <w:rPr>
          <w:rFonts w:hint="eastAsia"/>
          <w:b/>
          <w:bCs/>
          <w:rtl/>
        </w:rPr>
        <w:t>הוכן</w:t>
      </w:r>
      <w:r w:rsidRPr="00FB5BE9">
        <w:rPr>
          <w:b/>
          <w:bCs/>
          <w:rtl/>
        </w:rPr>
        <w:t xml:space="preserve"> </w:t>
      </w:r>
      <w:r w:rsidR="00283D3B">
        <w:rPr>
          <w:rFonts w:hint="cs"/>
          <w:b/>
          <w:bCs/>
          <w:rtl/>
        </w:rPr>
        <w:t>מסמך ב'</w:t>
      </w:r>
      <w:r w:rsidRPr="00FB5BE9">
        <w:rPr>
          <w:b/>
          <w:bCs/>
          <w:rtl/>
        </w:rPr>
        <w:t xml:space="preserve"> </w:t>
      </w:r>
      <w:r w:rsidRPr="00FB5BE9">
        <w:rPr>
          <w:rFonts w:hint="eastAsia"/>
          <w:b/>
          <w:bCs/>
          <w:rtl/>
        </w:rPr>
        <w:t>ובחלק</w:t>
      </w:r>
      <w:r w:rsidRPr="00FB5BE9">
        <w:rPr>
          <w:b/>
          <w:bCs/>
          <w:rtl/>
        </w:rPr>
        <w:t xml:space="preserve"> </w:t>
      </w:r>
      <w:r w:rsidRPr="00FB5BE9">
        <w:rPr>
          <w:rFonts w:hint="eastAsia"/>
          <w:b/>
          <w:bCs/>
          <w:rtl/>
        </w:rPr>
        <w:t>מהצווים</w:t>
      </w:r>
      <w:r w:rsidRPr="00FB5BE9">
        <w:rPr>
          <w:b/>
          <w:bCs/>
          <w:rtl/>
        </w:rPr>
        <w:t xml:space="preserve"> </w:t>
      </w:r>
      <w:r w:rsidRPr="00FB5BE9">
        <w:rPr>
          <w:rFonts w:hint="eastAsia"/>
          <w:b/>
          <w:bCs/>
          <w:rtl/>
        </w:rPr>
        <w:t>צוין</w:t>
      </w:r>
      <w:r w:rsidRPr="00FB5BE9">
        <w:rPr>
          <w:b/>
          <w:bCs/>
          <w:rtl/>
        </w:rPr>
        <w:t xml:space="preserve"> </w:t>
      </w:r>
      <w:r>
        <w:rPr>
          <w:rFonts w:hint="cs"/>
          <w:b/>
          <w:bCs/>
          <w:rtl/>
        </w:rPr>
        <w:t xml:space="preserve">בהערות </w:t>
      </w:r>
      <w:r w:rsidRPr="00FB5BE9">
        <w:rPr>
          <w:rFonts w:hint="eastAsia"/>
          <w:b/>
          <w:bCs/>
          <w:rtl/>
        </w:rPr>
        <w:t>כי</w:t>
      </w:r>
      <w:r w:rsidRPr="00FB5BE9">
        <w:rPr>
          <w:b/>
          <w:bCs/>
          <w:rtl/>
        </w:rPr>
        <w:t xml:space="preserve"> הצו מומש. </w:t>
      </w:r>
      <w:bookmarkStart w:id="382" w:name="_Hlk155703407"/>
      <w:r w:rsidRPr="00FB5BE9">
        <w:rPr>
          <w:b/>
          <w:bCs/>
          <w:rtl/>
        </w:rPr>
        <w:t xml:space="preserve">משרד מבקר המדינה </w:t>
      </w:r>
      <w:r>
        <w:rPr>
          <w:rFonts w:hint="cs"/>
          <w:b/>
          <w:bCs/>
          <w:rtl/>
        </w:rPr>
        <w:t>איתר</w:t>
      </w:r>
      <w:r w:rsidRPr="00FB5BE9">
        <w:rPr>
          <w:b/>
          <w:bCs/>
          <w:rtl/>
        </w:rPr>
        <w:t xml:space="preserve"> כ-407 צווים מסוג זה, </w:t>
      </w:r>
      <w:r w:rsidRPr="00FB5BE9">
        <w:rPr>
          <w:rFonts w:hint="eastAsia"/>
          <w:b/>
          <w:bCs/>
          <w:rtl/>
        </w:rPr>
        <w:t>רובם</w:t>
      </w:r>
      <w:r w:rsidRPr="00FB5BE9">
        <w:rPr>
          <w:b/>
          <w:bCs/>
          <w:rtl/>
        </w:rPr>
        <w:t xml:space="preserve"> </w:t>
      </w:r>
      <w:r w:rsidRPr="00FB5BE9">
        <w:rPr>
          <w:rFonts w:hint="eastAsia"/>
          <w:b/>
          <w:bCs/>
          <w:rtl/>
        </w:rPr>
        <w:t>נוגעים</w:t>
      </w:r>
      <w:r w:rsidRPr="00FB5BE9">
        <w:rPr>
          <w:b/>
          <w:bCs/>
          <w:rtl/>
        </w:rPr>
        <w:t xml:space="preserve"> </w:t>
      </w:r>
      <w:r w:rsidRPr="00FB5BE9">
        <w:rPr>
          <w:rFonts w:hint="eastAsia"/>
          <w:b/>
          <w:bCs/>
          <w:rtl/>
        </w:rPr>
        <w:t>לשימוש</w:t>
      </w:r>
      <w:r w:rsidRPr="00FB5BE9">
        <w:rPr>
          <w:b/>
          <w:bCs/>
          <w:rtl/>
        </w:rPr>
        <w:t xml:space="preserve"> </w:t>
      </w:r>
      <w:r w:rsidRPr="00FB5BE9">
        <w:rPr>
          <w:rFonts w:hint="eastAsia"/>
          <w:b/>
          <w:bCs/>
          <w:rtl/>
        </w:rPr>
        <w:t>בכלים</w:t>
      </w:r>
      <w:r w:rsidRPr="00FB5BE9">
        <w:rPr>
          <w:b/>
          <w:bCs/>
          <w:rtl/>
        </w:rPr>
        <w:t xml:space="preserve"> </w:t>
      </w:r>
      <w:r w:rsidRPr="00FB5BE9">
        <w:rPr>
          <w:rFonts w:hint="eastAsia"/>
          <w:b/>
          <w:bCs/>
          <w:rtl/>
        </w:rPr>
        <w:t>טכנולוגיים</w:t>
      </w:r>
      <w:r w:rsidRPr="00FB5BE9">
        <w:rPr>
          <w:b/>
          <w:bCs/>
          <w:rtl/>
        </w:rPr>
        <w:t xml:space="preserve"> </w:t>
      </w:r>
      <w:r w:rsidRPr="00FB5BE9">
        <w:rPr>
          <w:rFonts w:hint="eastAsia"/>
          <w:b/>
          <w:bCs/>
          <w:rtl/>
        </w:rPr>
        <w:t>ובתקשורת</w:t>
      </w:r>
      <w:r w:rsidRPr="00FB5BE9">
        <w:rPr>
          <w:b/>
          <w:bCs/>
          <w:rtl/>
        </w:rPr>
        <w:t xml:space="preserve"> </w:t>
      </w:r>
      <w:r w:rsidRPr="00FB5BE9">
        <w:rPr>
          <w:rFonts w:hint="eastAsia"/>
          <w:b/>
          <w:bCs/>
          <w:rtl/>
        </w:rPr>
        <w:t>בין</w:t>
      </w:r>
      <w:r w:rsidRPr="00FB5BE9">
        <w:rPr>
          <w:b/>
          <w:bCs/>
          <w:rtl/>
        </w:rPr>
        <w:t xml:space="preserve"> </w:t>
      </w:r>
      <w:r w:rsidRPr="00FB5BE9">
        <w:rPr>
          <w:rFonts w:hint="eastAsia"/>
          <w:b/>
          <w:bCs/>
          <w:rtl/>
        </w:rPr>
        <w:t>מחשבים</w:t>
      </w:r>
      <w:r w:rsidRPr="00FB5BE9">
        <w:rPr>
          <w:b/>
          <w:bCs/>
          <w:rtl/>
        </w:rPr>
        <w:t xml:space="preserve">. </w:t>
      </w:r>
    </w:p>
    <w:p w:rsidR="00524CC2" w:rsidRDefault="00524CC2" w:rsidP="00511F5D">
      <w:pPr>
        <w:spacing w:line="269" w:lineRule="auto"/>
        <w:ind w:left="360"/>
        <w:rPr>
          <w:b/>
          <w:bCs/>
          <w:rtl/>
        </w:rPr>
      </w:pPr>
      <w:bookmarkStart w:id="383" w:name="_Hlk155703421"/>
      <w:bookmarkEnd w:id="382"/>
    </w:p>
    <w:p w:rsidR="009A1216" w:rsidRPr="002E1E5A" w:rsidRDefault="009A1216" w:rsidP="00511F5D">
      <w:pPr>
        <w:spacing w:line="269" w:lineRule="auto"/>
        <w:ind w:left="360"/>
        <w:rPr>
          <w:rtl/>
        </w:rPr>
      </w:pPr>
      <w:r w:rsidRPr="00B47884">
        <w:rPr>
          <w:rFonts w:hint="cs"/>
          <w:b/>
          <w:bCs/>
          <w:rtl/>
        </w:rPr>
        <w:t xml:space="preserve">נמצא כי </w:t>
      </w:r>
      <w:r>
        <w:rPr>
          <w:rFonts w:hint="cs"/>
          <w:b/>
          <w:bCs/>
          <w:rtl/>
        </w:rPr>
        <w:t xml:space="preserve">המשטרה אינה מקפידה על רישום מימוש צווים במערכת המחשוב לניהול הצווים. כתוצאה מכך יש קושי לאתר את הצווים שעל בסיסם התבצעו </w:t>
      </w:r>
      <w:r w:rsidR="00E26DDD">
        <w:rPr>
          <w:rFonts w:hint="cs"/>
          <w:b/>
          <w:bCs/>
          <w:rtl/>
        </w:rPr>
        <w:t xml:space="preserve">התקנות </w:t>
      </w:r>
      <w:r>
        <w:rPr>
          <w:rFonts w:hint="cs"/>
          <w:b/>
          <w:bCs/>
          <w:rtl/>
        </w:rPr>
        <w:t xml:space="preserve">של </w:t>
      </w:r>
      <w:r w:rsidR="00E26DDD">
        <w:rPr>
          <w:rFonts w:hint="cs"/>
          <w:b/>
          <w:bCs/>
          <w:rtl/>
        </w:rPr>
        <w:t xml:space="preserve">כלים טכנולוגיים על </w:t>
      </w:r>
      <w:r>
        <w:rPr>
          <w:rFonts w:hint="cs"/>
          <w:b/>
          <w:bCs/>
          <w:rtl/>
        </w:rPr>
        <w:t xml:space="preserve">אמצעים מואזנים ונאספו תוצרי האזנת סתר, ותהליכי </w:t>
      </w:r>
      <w:r w:rsidRPr="00B47884">
        <w:rPr>
          <w:rFonts w:hint="cs"/>
          <w:b/>
          <w:bCs/>
          <w:rtl/>
        </w:rPr>
        <w:t xml:space="preserve">הפיקוח והבקרה </w:t>
      </w:r>
      <w:r>
        <w:rPr>
          <w:rFonts w:hint="cs"/>
          <w:b/>
          <w:bCs/>
          <w:rtl/>
        </w:rPr>
        <w:t>על מימוש ההיתרים שאושרו נפגעים</w:t>
      </w:r>
      <w:r w:rsidRPr="00B47884">
        <w:rPr>
          <w:rFonts w:hint="cs"/>
          <w:b/>
          <w:bCs/>
          <w:rtl/>
        </w:rPr>
        <w:t>.</w:t>
      </w:r>
      <w:bookmarkStart w:id="384" w:name="_Hlk153100014"/>
      <w:bookmarkEnd w:id="383"/>
    </w:p>
    <w:bookmarkEnd w:id="384"/>
    <w:p w:rsidR="00524CC2" w:rsidRDefault="00524CC2" w:rsidP="00511F5D">
      <w:pPr>
        <w:spacing w:line="269" w:lineRule="auto"/>
        <w:ind w:left="360"/>
        <w:rPr>
          <w:b/>
          <w:bCs/>
          <w:rtl/>
        </w:rPr>
      </w:pPr>
    </w:p>
    <w:p w:rsidR="009A1216" w:rsidRDefault="009A1216" w:rsidP="00511F5D">
      <w:pPr>
        <w:spacing w:line="269" w:lineRule="auto"/>
        <w:ind w:left="360"/>
        <w:rPr>
          <w:rtl/>
        </w:rPr>
      </w:pPr>
      <w:r>
        <w:rPr>
          <w:rFonts w:hint="cs"/>
          <w:b/>
          <w:bCs/>
          <w:rtl/>
        </w:rPr>
        <w:t>על</w:t>
      </w:r>
      <w:r w:rsidRPr="00494CAD">
        <w:rPr>
          <w:rFonts w:hint="cs"/>
          <w:b/>
          <w:bCs/>
          <w:rtl/>
        </w:rPr>
        <w:t xml:space="preserve"> </w:t>
      </w:r>
      <w:r>
        <w:rPr>
          <w:rFonts w:hint="cs"/>
          <w:b/>
          <w:bCs/>
          <w:rtl/>
        </w:rPr>
        <w:t>המשטרה</w:t>
      </w:r>
      <w:r w:rsidRPr="00494CAD">
        <w:rPr>
          <w:rFonts w:hint="cs"/>
          <w:b/>
          <w:bCs/>
          <w:rtl/>
        </w:rPr>
        <w:t xml:space="preserve"> </w:t>
      </w:r>
      <w:r>
        <w:rPr>
          <w:rFonts w:hint="cs"/>
          <w:b/>
          <w:bCs/>
          <w:rtl/>
        </w:rPr>
        <w:t>להקפיד ל</w:t>
      </w:r>
      <w:r w:rsidRPr="00494CAD">
        <w:rPr>
          <w:rFonts w:hint="cs"/>
          <w:b/>
          <w:bCs/>
          <w:rtl/>
        </w:rPr>
        <w:t xml:space="preserve">אכוף את </w:t>
      </w:r>
      <w:r>
        <w:rPr>
          <w:rFonts w:hint="cs"/>
          <w:b/>
          <w:bCs/>
          <w:rtl/>
        </w:rPr>
        <w:t xml:space="preserve">רישום </w:t>
      </w:r>
      <w:r w:rsidRPr="00494CAD">
        <w:rPr>
          <w:rFonts w:hint="cs"/>
          <w:b/>
          <w:bCs/>
          <w:rtl/>
        </w:rPr>
        <w:t xml:space="preserve">סטטוס </w:t>
      </w:r>
      <w:r>
        <w:rPr>
          <w:rFonts w:hint="cs"/>
          <w:b/>
          <w:bCs/>
          <w:rtl/>
        </w:rPr>
        <w:t>ה</w:t>
      </w:r>
      <w:r w:rsidRPr="00494CAD">
        <w:rPr>
          <w:rFonts w:hint="cs"/>
          <w:b/>
          <w:bCs/>
          <w:rtl/>
        </w:rPr>
        <w:t xml:space="preserve">מימוש </w:t>
      </w:r>
      <w:r>
        <w:rPr>
          <w:rFonts w:hint="cs"/>
          <w:b/>
          <w:bCs/>
          <w:rtl/>
        </w:rPr>
        <w:t xml:space="preserve">של </w:t>
      </w:r>
      <w:r w:rsidRPr="00494CAD">
        <w:rPr>
          <w:rFonts w:hint="cs"/>
          <w:b/>
          <w:bCs/>
          <w:rtl/>
        </w:rPr>
        <w:t>הצווים במערכת הממוחשבת</w:t>
      </w:r>
      <w:r>
        <w:rPr>
          <w:rFonts w:hint="cs"/>
          <w:b/>
          <w:bCs/>
          <w:rtl/>
        </w:rPr>
        <w:t xml:space="preserve"> לניהול צווים</w:t>
      </w:r>
      <w:r w:rsidRPr="00494CAD">
        <w:rPr>
          <w:rFonts w:hint="cs"/>
          <w:b/>
          <w:bCs/>
          <w:rtl/>
        </w:rPr>
        <w:t>.</w:t>
      </w:r>
      <w:r w:rsidRPr="00086245">
        <w:rPr>
          <w:rtl/>
        </w:rPr>
        <w:t xml:space="preserve"> </w:t>
      </w:r>
    </w:p>
    <w:p w:rsidR="009A1216" w:rsidRDefault="009A1216" w:rsidP="00511F5D">
      <w:pPr>
        <w:pStyle w:val="a5"/>
        <w:spacing w:line="269" w:lineRule="auto"/>
        <w:ind w:left="0"/>
        <w:rPr>
          <w:rtl/>
        </w:rPr>
      </w:pPr>
    </w:p>
    <w:p w:rsidR="009A1216" w:rsidRPr="00146851" w:rsidRDefault="009A1216" w:rsidP="00511F5D">
      <w:pPr>
        <w:spacing w:line="269" w:lineRule="auto"/>
        <w:ind w:left="360"/>
        <w:rPr>
          <w:rtl/>
        </w:rPr>
      </w:pPr>
      <w:r w:rsidRPr="00146851">
        <w:rPr>
          <w:rFonts w:hint="cs"/>
          <w:rtl/>
        </w:rPr>
        <w:t xml:space="preserve">המשטרה מסרה כי </w:t>
      </w:r>
      <w:r w:rsidRPr="00146851">
        <w:rPr>
          <w:rtl/>
        </w:rPr>
        <w:t xml:space="preserve">בעקבות דוח </w:t>
      </w:r>
      <w:r w:rsidR="00380499">
        <w:rPr>
          <w:rFonts w:hint="cs"/>
          <w:rtl/>
        </w:rPr>
        <w:t xml:space="preserve">צוות </w:t>
      </w:r>
      <w:r w:rsidRPr="00146851">
        <w:rPr>
          <w:rtl/>
        </w:rPr>
        <w:t>מררי</w:t>
      </w:r>
      <w:r w:rsidRPr="00146851">
        <w:rPr>
          <w:rFonts w:hint="cs"/>
          <w:rtl/>
        </w:rPr>
        <w:t xml:space="preserve"> היא הנחתה שבכל צו והיתר </w:t>
      </w:r>
      <w:r w:rsidR="003D6F75">
        <w:rPr>
          <w:rFonts w:hint="cs"/>
          <w:rtl/>
        </w:rPr>
        <w:t>-</w:t>
      </w:r>
      <w:r w:rsidRPr="00146851">
        <w:rPr>
          <w:rFonts w:hint="cs"/>
          <w:rtl/>
        </w:rPr>
        <w:t xml:space="preserve"> לצורך</w:t>
      </w:r>
      <w:r>
        <w:rPr>
          <w:rFonts w:hint="cs"/>
          <w:rtl/>
        </w:rPr>
        <w:t xml:space="preserve"> </w:t>
      </w:r>
      <w:r w:rsidRPr="00146851">
        <w:rPr>
          <w:rFonts w:hint="cs"/>
          <w:rtl/>
        </w:rPr>
        <w:t>האזנה לשמע או לתקשורת בין מחשבים -</w:t>
      </w:r>
      <w:r w:rsidRPr="00146851">
        <w:rPr>
          <w:rtl/>
        </w:rPr>
        <w:t xml:space="preserve"> יוזן </w:t>
      </w:r>
      <w:r w:rsidR="00283D3B">
        <w:rPr>
          <w:rFonts w:hint="cs"/>
          <w:rtl/>
        </w:rPr>
        <w:t>מסמך ב'</w:t>
      </w:r>
      <w:r w:rsidRPr="00146851">
        <w:rPr>
          <w:rtl/>
        </w:rPr>
        <w:t xml:space="preserve"> </w:t>
      </w:r>
      <w:r w:rsidRPr="00146851">
        <w:rPr>
          <w:rFonts w:hint="cs"/>
          <w:rtl/>
        </w:rPr>
        <w:t>ב</w:t>
      </w:r>
      <w:r w:rsidRPr="00146851">
        <w:rPr>
          <w:rtl/>
        </w:rPr>
        <w:t>מערכת ניהול הצווים</w:t>
      </w:r>
      <w:r w:rsidRPr="00146851">
        <w:rPr>
          <w:rFonts w:hint="cs"/>
          <w:rtl/>
        </w:rPr>
        <w:t>,</w:t>
      </w:r>
      <w:r>
        <w:rPr>
          <w:rFonts w:hint="cs"/>
          <w:rtl/>
        </w:rPr>
        <w:t xml:space="preserve"> </w:t>
      </w:r>
      <w:r w:rsidRPr="00146851">
        <w:rPr>
          <w:rFonts w:hint="cs"/>
          <w:rtl/>
        </w:rPr>
        <w:t>ש</w:t>
      </w:r>
      <w:r w:rsidRPr="00146851">
        <w:rPr>
          <w:rtl/>
        </w:rPr>
        <w:t>יעיד בין היתר על המימוש בפועל.</w:t>
      </w:r>
      <w:r>
        <w:rPr>
          <w:rFonts w:hint="cs"/>
          <w:rtl/>
        </w:rPr>
        <w:t xml:space="preserve"> עוד נמסר כי המשטרה פועלת לפתח שיפורים למערכות כך שרישום סטטוס מימוש הצווים יופיע גם במערכת לניהול יומני מבצעים וגם במערכת לניהול ההפקה. </w:t>
      </w:r>
    </w:p>
    <w:p w:rsidR="009A1216" w:rsidRDefault="009A1216" w:rsidP="00604C3D">
      <w:pPr>
        <w:spacing w:line="269" w:lineRule="auto"/>
        <w:rPr>
          <w:rtl/>
        </w:rPr>
      </w:pPr>
    </w:p>
    <w:p w:rsidR="009A1216" w:rsidRPr="00DD56F1" w:rsidRDefault="009A1216" w:rsidP="008C598D">
      <w:pPr>
        <w:pStyle w:val="5"/>
        <w:numPr>
          <w:ilvl w:val="0"/>
          <w:numId w:val="19"/>
        </w:numPr>
        <w:spacing w:line="269" w:lineRule="auto"/>
        <w:rPr>
          <w:bCs w:val="0"/>
          <w:rtl/>
        </w:rPr>
      </w:pPr>
      <w:r>
        <w:rPr>
          <w:rFonts w:hint="cs"/>
          <w:rtl/>
        </w:rPr>
        <w:t>אימות מספר ה</w:t>
      </w:r>
      <w:r w:rsidRPr="00DD56F1">
        <w:rPr>
          <w:rtl/>
        </w:rPr>
        <w:t xml:space="preserve">צו בעת </w:t>
      </w:r>
      <w:r w:rsidRPr="00DD56F1">
        <w:rPr>
          <w:rFonts w:hint="eastAsia"/>
          <w:rtl/>
        </w:rPr>
        <w:t>הפעלת</w:t>
      </w:r>
      <w:r w:rsidRPr="00DD56F1">
        <w:rPr>
          <w:rtl/>
        </w:rPr>
        <w:t xml:space="preserve"> </w:t>
      </w:r>
      <w:r w:rsidRPr="00DD56F1">
        <w:rPr>
          <w:rFonts w:hint="eastAsia"/>
          <w:rtl/>
        </w:rPr>
        <w:t>כלים</w:t>
      </w:r>
      <w:r w:rsidRPr="00DD56F1">
        <w:rPr>
          <w:rtl/>
        </w:rPr>
        <w:t xml:space="preserve"> להאזנות סתר </w:t>
      </w:r>
    </w:p>
    <w:p w:rsidR="000D2656" w:rsidRDefault="000D2656" w:rsidP="00604C3D">
      <w:pPr>
        <w:spacing w:line="269" w:lineRule="auto"/>
        <w:rPr>
          <w:rtl/>
        </w:rPr>
      </w:pPr>
    </w:p>
    <w:p w:rsidR="009A1216" w:rsidRDefault="009A1216" w:rsidP="00511F5D">
      <w:pPr>
        <w:spacing w:line="269" w:lineRule="auto"/>
        <w:ind w:left="360"/>
        <w:rPr>
          <w:rtl/>
        </w:rPr>
      </w:pPr>
      <w:r>
        <w:rPr>
          <w:rFonts w:hint="cs"/>
          <w:rtl/>
        </w:rPr>
        <w:t>מטבע הדברים, איסוף תוצרי האזנת סתר מותנה בקיומו של צו תקף המתיר את הפעולה. המשטרה פיתחה במשך השנים מודולים שמטרתם הגבלת השימוש בכלים להאזנות סתר ואכיפת השימוש החוקי בהם באמצעות המערכת לניהול צווים. כלומר, בין כלי טכנולוגי מסוים שמטרתו איסוף תוצרים לבין המערכת לניהול צווים קיים ממשק שמטרתו לבדוק אם יש צו תקף המאפשר את ביצוע הפעולה שאותה מבקש המשתמש לבצע באמצעות הכלי</w:t>
      </w:r>
      <w:r w:rsidR="00746A11">
        <w:rPr>
          <w:rFonts w:hint="cs"/>
          <w:rtl/>
        </w:rPr>
        <w:t>.</w:t>
      </w:r>
      <w:r>
        <w:rPr>
          <w:rFonts w:hint="cs"/>
          <w:rtl/>
        </w:rPr>
        <w:t xml:space="preserve"> </w:t>
      </w:r>
    </w:p>
    <w:p w:rsidR="000D2656" w:rsidRPr="007E2222" w:rsidRDefault="000D2656" w:rsidP="00511F5D">
      <w:pPr>
        <w:spacing w:line="269" w:lineRule="auto"/>
        <w:ind w:left="360"/>
        <w:rPr>
          <w:rtl/>
        </w:rPr>
      </w:pPr>
      <w:bookmarkStart w:id="385" w:name="_Hlk155703496"/>
    </w:p>
    <w:p w:rsidR="009A1216" w:rsidRPr="007E2222" w:rsidRDefault="009A1216" w:rsidP="00511F5D">
      <w:pPr>
        <w:spacing w:line="269" w:lineRule="auto"/>
        <w:ind w:left="360"/>
        <w:rPr>
          <w:b/>
          <w:bCs/>
          <w:rtl/>
        </w:rPr>
      </w:pPr>
      <w:r w:rsidRPr="007E2222">
        <w:rPr>
          <w:rFonts w:hint="eastAsia"/>
          <w:b/>
          <w:bCs/>
          <w:rtl/>
        </w:rPr>
        <w:t>מממצאי</w:t>
      </w:r>
      <w:r w:rsidRPr="007E2222">
        <w:rPr>
          <w:b/>
          <w:bCs/>
          <w:rtl/>
        </w:rPr>
        <w:t xml:space="preserve"> דוח </w:t>
      </w:r>
      <w:r w:rsidR="00380499" w:rsidRPr="007E2222">
        <w:rPr>
          <w:rFonts w:hint="cs"/>
          <w:b/>
          <w:bCs/>
          <w:rtl/>
        </w:rPr>
        <w:t xml:space="preserve">צוות </w:t>
      </w:r>
      <w:r w:rsidRPr="007E2222">
        <w:rPr>
          <w:b/>
          <w:bCs/>
          <w:rtl/>
        </w:rPr>
        <w:t xml:space="preserve">מררי ומבחינת משרד מבקר המדינה </w:t>
      </w:r>
      <w:r w:rsidRPr="007E2222">
        <w:rPr>
          <w:rFonts w:hint="eastAsia"/>
          <w:b/>
          <w:bCs/>
          <w:rtl/>
        </w:rPr>
        <w:t>בנושא</w:t>
      </w:r>
      <w:r w:rsidRPr="007E2222">
        <w:rPr>
          <w:b/>
          <w:bCs/>
          <w:rtl/>
        </w:rPr>
        <w:t xml:space="preserve"> </w:t>
      </w:r>
      <w:r w:rsidRPr="007E2222">
        <w:rPr>
          <w:rFonts w:hint="eastAsia"/>
          <w:b/>
          <w:bCs/>
          <w:rtl/>
        </w:rPr>
        <w:t>הכלים</w:t>
      </w:r>
      <w:r w:rsidRPr="007E2222">
        <w:rPr>
          <w:b/>
          <w:bCs/>
          <w:rtl/>
        </w:rPr>
        <w:t xml:space="preserve"> הטכנולוגיים </w:t>
      </w:r>
      <w:r w:rsidRPr="007E2222">
        <w:rPr>
          <w:rFonts w:hint="eastAsia"/>
          <w:b/>
          <w:bCs/>
          <w:rtl/>
        </w:rPr>
        <w:t>הנמצאים</w:t>
      </w:r>
      <w:r w:rsidRPr="007E2222">
        <w:rPr>
          <w:b/>
          <w:bCs/>
          <w:rtl/>
        </w:rPr>
        <w:t xml:space="preserve"> </w:t>
      </w:r>
      <w:r w:rsidRPr="007E2222">
        <w:rPr>
          <w:rFonts w:hint="eastAsia"/>
          <w:b/>
          <w:bCs/>
          <w:rtl/>
        </w:rPr>
        <w:t>בשימוש</w:t>
      </w:r>
      <w:r w:rsidRPr="007E2222">
        <w:rPr>
          <w:b/>
          <w:bCs/>
          <w:rtl/>
        </w:rPr>
        <w:t xml:space="preserve"> </w:t>
      </w:r>
      <w:r w:rsidRPr="007E2222">
        <w:rPr>
          <w:rFonts w:hint="eastAsia"/>
          <w:b/>
          <w:bCs/>
          <w:rtl/>
        </w:rPr>
        <w:t>המשטרה</w:t>
      </w:r>
      <w:r w:rsidRPr="007E2222">
        <w:rPr>
          <w:b/>
          <w:bCs/>
          <w:rtl/>
        </w:rPr>
        <w:t xml:space="preserve"> </w:t>
      </w:r>
      <w:r w:rsidRPr="007E2222">
        <w:rPr>
          <w:rFonts w:hint="eastAsia"/>
          <w:b/>
          <w:bCs/>
          <w:rtl/>
        </w:rPr>
        <w:t>עולה</w:t>
      </w:r>
      <w:r w:rsidRPr="007E2222">
        <w:rPr>
          <w:b/>
          <w:bCs/>
          <w:rtl/>
        </w:rPr>
        <w:t xml:space="preserve"> </w:t>
      </w:r>
      <w:r w:rsidRPr="007E2222">
        <w:rPr>
          <w:rFonts w:hint="eastAsia"/>
          <w:b/>
          <w:bCs/>
          <w:rtl/>
        </w:rPr>
        <w:t>כי</w:t>
      </w:r>
      <w:r w:rsidRPr="007E2222">
        <w:rPr>
          <w:b/>
          <w:bCs/>
          <w:rtl/>
        </w:rPr>
        <w:t xml:space="preserve"> </w:t>
      </w:r>
      <w:r w:rsidRPr="007E2222">
        <w:rPr>
          <w:rFonts w:hint="eastAsia"/>
          <w:b/>
          <w:bCs/>
          <w:rtl/>
        </w:rPr>
        <w:t>לשם</w:t>
      </w:r>
      <w:r w:rsidRPr="007E2222">
        <w:rPr>
          <w:b/>
          <w:bCs/>
          <w:rtl/>
        </w:rPr>
        <w:t xml:space="preserve"> </w:t>
      </w:r>
      <w:r w:rsidRPr="007E2222">
        <w:rPr>
          <w:rFonts w:hint="eastAsia"/>
          <w:b/>
          <w:bCs/>
          <w:rtl/>
        </w:rPr>
        <w:t>הפעלת</w:t>
      </w:r>
      <w:r w:rsidRPr="007E2222">
        <w:rPr>
          <w:b/>
          <w:bCs/>
          <w:rtl/>
        </w:rPr>
        <w:t xml:space="preserve"> </w:t>
      </w:r>
      <w:r w:rsidRPr="007E2222">
        <w:rPr>
          <w:rFonts w:hint="eastAsia"/>
          <w:b/>
          <w:bCs/>
          <w:rtl/>
        </w:rPr>
        <w:t>כלים</w:t>
      </w:r>
      <w:r w:rsidRPr="007E2222">
        <w:rPr>
          <w:b/>
          <w:bCs/>
          <w:rtl/>
        </w:rPr>
        <w:t xml:space="preserve"> טכנולוגי</w:t>
      </w:r>
      <w:r w:rsidRPr="007E2222">
        <w:rPr>
          <w:rFonts w:hint="eastAsia"/>
          <w:b/>
          <w:bCs/>
          <w:rtl/>
        </w:rPr>
        <w:t>ים</w:t>
      </w:r>
      <w:r w:rsidRPr="007E2222">
        <w:rPr>
          <w:b/>
          <w:bCs/>
          <w:rtl/>
        </w:rPr>
        <w:t xml:space="preserve"> </w:t>
      </w:r>
      <w:r w:rsidRPr="007E2222">
        <w:rPr>
          <w:rFonts w:hint="eastAsia"/>
          <w:b/>
          <w:bCs/>
          <w:rtl/>
        </w:rPr>
        <w:t>שונים</w:t>
      </w:r>
      <w:r w:rsidRPr="007E2222">
        <w:rPr>
          <w:b/>
          <w:bCs/>
          <w:rtl/>
        </w:rPr>
        <w:t xml:space="preserve"> לא נדרש להזין לכלי נתוני צו </w:t>
      </w:r>
      <w:r w:rsidRPr="007E2222">
        <w:rPr>
          <w:rFonts w:hint="eastAsia"/>
          <w:b/>
          <w:bCs/>
          <w:rtl/>
        </w:rPr>
        <w:t>המאפשרים</w:t>
      </w:r>
      <w:r w:rsidRPr="007E2222">
        <w:rPr>
          <w:b/>
          <w:bCs/>
          <w:rtl/>
        </w:rPr>
        <w:t xml:space="preserve"> </w:t>
      </w:r>
      <w:r w:rsidRPr="007E2222">
        <w:rPr>
          <w:rFonts w:hint="cs"/>
          <w:b/>
          <w:bCs/>
          <w:rtl/>
        </w:rPr>
        <w:t>לאמת</w:t>
      </w:r>
      <w:r w:rsidRPr="007E2222">
        <w:rPr>
          <w:b/>
          <w:bCs/>
          <w:rtl/>
        </w:rPr>
        <w:t xml:space="preserve"> </w:t>
      </w:r>
      <w:r w:rsidRPr="007E2222">
        <w:rPr>
          <w:rFonts w:hint="cs"/>
          <w:b/>
          <w:bCs/>
          <w:rtl/>
        </w:rPr>
        <w:t>את העובדה שניתנה</w:t>
      </w:r>
      <w:r w:rsidRPr="007E2222">
        <w:rPr>
          <w:b/>
          <w:bCs/>
          <w:rtl/>
        </w:rPr>
        <w:t xml:space="preserve"> </w:t>
      </w:r>
      <w:r w:rsidRPr="007E2222">
        <w:rPr>
          <w:rFonts w:hint="eastAsia"/>
          <w:b/>
          <w:bCs/>
          <w:rtl/>
        </w:rPr>
        <w:t>אסמכתה</w:t>
      </w:r>
      <w:r w:rsidRPr="007E2222">
        <w:rPr>
          <w:b/>
          <w:bCs/>
          <w:rtl/>
        </w:rPr>
        <w:t xml:space="preserve"> </w:t>
      </w:r>
      <w:r w:rsidRPr="007E2222">
        <w:rPr>
          <w:rFonts w:hint="eastAsia"/>
          <w:b/>
          <w:bCs/>
          <w:rtl/>
        </w:rPr>
        <w:t>כדין</w:t>
      </w:r>
      <w:r w:rsidRPr="007E2222">
        <w:rPr>
          <w:b/>
          <w:bCs/>
          <w:rtl/>
        </w:rPr>
        <w:t xml:space="preserve"> לשימוש בכלי. </w:t>
      </w:r>
      <w:r w:rsidRPr="007E2222">
        <w:rPr>
          <w:rFonts w:hint="eastAsia"/>
          <w:b/>
          <w:bCs/>
          <w:rtl/>
        </w:rPr>
        <w:t>זאת</w:t>
      </w:r>
      <w:r w:rsidRPr="007E2222">
        <w:rPr>
          <w:b/>
          <w:bCs/>
          <w:rtl/>
        </w:rPr>
        <w:t xml:space="preserve"> </w:t>
      </w:r>
      <w:r w:rsidRPr="007E2222">
        <w:rPr>
          <w:rFonts w:hint="eastAsia"/>
          <w:b/>
          <w:bCs/>
          <w:rtl/>
        </w:rPr>
        <w:t>מלבד</w:t>
      </w:r>
      <w:r w:rsidRPr="007E2222">
        <w:rPr>
          <w:b/>
          <w:bCs/>
          <w:rtl/>
        </w:rPr>
        <w:t xml:space="preserve"> </w:t>
      </w:r>
      <w:r w:rsidRPr="007E2222">
        <w:rPr>
          <w:rFonts w:hint="eastAsia"/>
          <w:b/>
          <w:bCs/>
          <w:rtl/>
        </w:rPr>
        <w:t>כלי</w:t>
      </w:r>
      <w:r w:rsidRPr="007E2222">
        <w:rPr>
          <w:b/>
          <w:bCs/>
          <w:rtl/>
        </w:rPr>
        <w:t xml:space="preserve"> </w:t>
      </w:r>
      <w:r w:rsidRPr="007E2222">
        <w:rPr>
          <w:rFonts w:hint="eastAsia"/>
          <w:b/>
          <w:bCs/>
          <w:rtl/>
        </w:rPr>
        <w:t>אחד</w:t>
      </w:r>
      <w:r w:rsidR="00382AE8" w:rsidRPr="007E2222">
        <w:rPr>
          <w:b/>
          <w:bCs/>
          <w:rtl/>
        </w:rPr>
        <w:t xml:space="preserve"> </w:t>
      </w:r>
      <w:r w:rsidRPr="007E2222">
        <w:rPr>
          <w:b/>
          <w:bCs/>
          <w:rtl/>
        </w:rPr>
        <w:t xml:space="preserve">שלשם הפעלתו נדרש להזין את נתוני הצו למערכת לניהול צווים. </w:t>
      </w:r>
      <w:r w:rsidRPr="007E2222">
        <w:rPr>
          <w:rFonts w:hint="eastAsia"/>
          <w:b/>
          <w:bCs/>
          <w:rtl/>
        </w:rPr>
        <w:t>באפריל</w:t>
      </w:r>
      <w:r w:rsidRPr="007E2222">
        <w:rPr>
          <w:b/>
          <w:bCs/>
          <w:rtl/>
        </w:rPr>
        <w:t xml:space="preserve"> 2020 הופעל </w:t>
      </w:r>
      <w:r w:rsidRPr="007E2222">
        <w:rPr>
          <w:rFonts w:hint="eastAsia"/>
          <w:b/>
          <w:bCs/>
          <w:rtl/>
        </w:rPr>
        <w:t>מודול</w:t>
      </w:r>
      <w:r w:rsidRPr="007E2222">
        <w:rPr>
          <w:b/>
          <w:bCs/>
          <w:rtl/>
        </w:rPr>
        <w:t xml:space="preserve"> </w:t>
      </w:r>
      <w:r w:rsidRPr="007E2222">
        <w:rPr>
          <w:rFonts w:hint="eastAsia"/>
          <w:b/>
          <w:bCs/>
          <w:rtl/>
        </w:rPr>
        <w:t>לאכיפת</w:t>
      </w:r>
      <w:r w:rsidRPr="007E2222">
        <w:rPr>
          <w:b/>
          <w:bCs/>
          <w:rtl/>
        </w:rPr>
        <w:t xml:space="preserve"> צווים בכלי טכנולוגי מסוים, </w:t>
      </w:r>
      <w:r w:rsidRPr="007E2222">
        <w:rPr>
          <w:rFonts w:hint="eastAsia"/>
          <w:b/>
          <w:bCs/>
          <w:rtl/>
        </w:rPr>
        <w:t>אך</w:t>
      </w:r>
      <w:r w:rsidRPr="007E2222">
        <w:rPr>
          <w:b/>
          <w:bCs/>
          <w:rtl/>
        </w:rPr>
        <w:t xml:space="preserve"> </w:t>
      </w:r>
      <w:r w:rsidRPr="007E2222">
        <w:rPr>
          <w:rFonts w:hint="eastAsia"/>
          <w:b/>
          <w:bCs/>
          <w:rtl/>
        </w:rPr>
        <w:t>המודול</w:t>
      </w:r>
      <w:r w:rsidRPr="007E2222">
        <w:rPr>
          <w:b/>
          <w:bCs/>
          <w:rtl/>
        </w:rPr>
        <w:t xml:space="preserve"> מאפשר אכיפה </w:t>
      </w:r>
      <w:r w:rsidRPr="007E2222">
        <w:rPr>
          <w:rFonts w:hint="eastAsia"/>
          <w:b/>
          <w:bCs/>
          <w:rtl/>
        </w:rPr>
        <w:t>חלקית</w:t>
      </w:r>
      <w:r w:rsidRPr="007E2222">
        <w:rPr>
          <w:b/>
          <w:bCs/>
          <w:rtl/>
        </w:rPr>
        <w:t xml:space="preserve"> בלבד של השימוש החוקי בכלי. זאת משום שאין חובה </w:t>
      </w:r>
      <w:r w:rsidRPr="007E2222">
        <w:rPr>
          <w:rFonts w:hint="eastAsia"/>
          <w:b/>
          <w:bCs/>
          <w:rtl/>
        </w:rPr>
        <w:t>להשתמש</w:t>
      </w:r>
      <w:r w:rsidRPr="007E2222">
        <w:rPr>
          <w:b/>
          <w:bCs/>
          <w:rtl/>
        </w:rPr>
        <w:t xml:space="preserve"> במודול כדי להפעיל את הכלי ואין ממשק בין הכלי לבין המערכת לניהול צווים המאפשר אימות מקוון או </w:t>
      </w:r>
      <w:r w:rsidRPr="007E2222">
        <w:rPr>
          <w:rFonts w:hint="eastAsia"/>
          <w:b/>
          <w:bCs/>
          <w:rtl/>
        </w:rPr>
        <w:t>אוטומטי</w:t>
      </w:r>
      <w:r w:rsidRPr="007E2222">
        <w:rPr>
          <w:b/>
          <w:bCs/>
          <w:rtl/>
        </w:rPr>
        <w:t xml:space="preserve">, ללא </w:t>
      </w:r>
      <w:r w:rsidRPr="007E2222">
        <w:rPr>
          <w:rFonts w:hint="eastAsia"/>
          <w:b/>
          <w:bCs/>
          <w:rtl/>
        </w:rPr>
        <w:t>מגע</w:t>
      </w:r>
      <w:r w:rsidRPr="007E2222">
        <w:rPr>
          <w:b/>
          <w:bCs/>
          <w:rtl/>
        </w:rPr>
        <w:t xml:space="preserve"> </w:t>
      </w:r>
      <w:r w:rsidRPr="007E2222">
        <w:rPr>
          <w:rFonts w:hint="eastAsia"/>
          <w:b/>
          <w:bCs/>
          <w:rtl/>
        </w:rPr>
        <w:t>יד</w:t>
      </w:r>
      <w:r w:rsidRPr="007E2222">
        <w:rPr>
          <w:b/>
          <w:bCs/>
          <w:rtl/>
        </w:rPr>
        <w:t xml:space="preserve"> </w:t>
      </w:r>
      <w:r w:rsidRPr="007E2222">
        <w:rPr>
          <w:rFonts w:hint="eastAsia"/>
          <w:b/>
          <w:bCs/>
          <w:rtl/>
        </w:rPr>
        <w:t>אדם</w:t>
      </w:r>
      <w:r w:rsidRPr="007E2222">
        <w:rPr>
          <w:b/>
          <w:bCs/>
          <w:rtl/>
        </w:rPr>
        <w:t xml:space="preserve">, של </w:t>
      </w:r>
      <w:r w:rsidRPr="007E2222">
        <w:rPr>
          <w:rFonts w:hint="eastAsia"/>
          <w:b/>
          <w:bCs/>
          <w:rtl/>
        </w:rPr>
        <w:t>קבלת</w:t>
      </w:r>
      <w:r w:rsidRPr="007E2222">
        <w:rPr>
          <w:b/>
          <w:bCs/>
          <w:rtl/>
        </w:rPr>
        <w:t xml:space="preserve"> </w:t>
      </w:r>
      <w:r w:rsidRPr="007E2222">
        <w:rPr>
          <w:rFonts w:hint="eastAsia"/>
          <w:b/>
          <w:bCs/>
          <w:rtl/>
        </w:rPr>
        <w:t>צו</w:t>
      </w:r>
      <w:r w:rsidRPr="007E2222">
        <w:rPr>
          <w:b/>
          <w:bCs/>
          <w:rtl/>
        </w:rPr>
        <w:t xml:space="preserve"> </w:t>
      </w:r>
      <w:r w:rsidRPr="007E2222">
        <w:rPr>
          <w:rFonts w:hint="eastAsia"/>
          <w:b/>
          <w:bCs/>
          <w:rtl/>
        </w:rPr>
        <w:t>כדין</w:t>
      </w:r>
      <w:r w:rsidRPr="007E2222">
        <w:rPr>
          <w:b/>
          <w:bCs/>
          <w:rtl/>
        </w:rPr>
        <w:t xml:space="preserve"> לשימוש בכלי.</w:t>
      </w:r>
    </w:p>
    <w:bookmarkEnd w:id="385"/>
    <w:p w:rsidR="009A1216" w:rsidRDefault="00382AE8" w:rsidP="00511F5D">
      <w:pPr>
        <w:pStyle w:val="a5"/>
        <w:spacing w:line="269" w:lineRule="auto"/>
        <w:ind w:left="0"/>
        <w:rPr>
          <w:rtl/>
        </w:rPr>
      </w:pPr>
      <w:r>
        <w:rPr>
          <w:rFonts w:hint="cs"/>
          <w:rtl/>
        </w:rPr>
        <w:t xml:space="preserve"> </w:t>
      </w:r>
    </w:p>
    <w:p w:rsidR="009A1216" w:rsidRPr="007E2222" w:rsidRDefault="009A1216" w:rsidP="00511F5D">
      <w:pPr>
        <w:spacing w:line="269" w:lineRule="auto"/>
        <w:ind w:left="360"/>
        <w:rPr>
          <w:rtl/>
        </w:rPr>
      </w:pPr>
      <w:r w:rsidRPr="007E2222">
        <w:rPr>
          <w:rFonts w:hint="cs"/>
          <w:rtl/>
        </w:rPr>
        <w:t xml:space="preserve">משרד המשפטים מסר שבאוגוסט 2022 ובעקבות ממצאי צוות מררי, הייעוץ המשפטי לממשלה </w:t>
      </w:r>
      <w:r w:rsidRPr="007E2222">
        <w:rPr>
          <w:rFonts w:hint="eastAsia"/>
          <w:rtl/>
        </w:rPr>
        <w:t>דרש</w:t>
      </w:r>
      <w:r w:rsidRPr="007E2222">
        <w:rPr>
          <w:rtl/>
        </w:rPr>
        <w:t xml:space="preserve"> </w:t>
      </w:r>
      <w:r w:rsidRPr="007E2222">
        <w:rPr>
          <w:rFonts w:hint="cs"/>
          <w:rtl/>
        </w:rPr>
        <w:t xml:space="preserve">מהמשטרה להסיר את </w:t>
      </w:r>
      <w:r w:rsidRPr="007E2222">
        <w:rPr>
          <w:rFonts w:hint="eastAsia"/>
          <w:rtl/>
        </w:rPr>
        <w:t>האפשרות</w:t>
      </w:r>
      <w:r w:rsidRPr="007E2222">
        <w:rPr>
          <w:rtl/>
        </w:rPr>
        <w:t xml:space="preserve"> להפעלת הכלים הטכנולוגיים ללא הזנה </w:t>
      </w:r>
      <w:r w:rsidRPr="007E2222">
        <w:rPr>
          <w:rFonts w:hint="cs"/>
          <w:rtl/>
        </w:rPr>
        <w:t xml:space="preserve">של פרטי צו. משרד המשפטים אף יישם עקרון זה בכלים נוספים שהובאו לבחינת משרד המשפטים. </w:t>
      </w:r>
    </w:p>
    <w:p w:rsidR="000D2656" w:rsidRDefault="000D2656" w:rsidP="00511F5D">
      <w:pPr>
        <w:spacing w:line="269" w:lineRule="auto"/>
        <w:ind w:left="360"/>
        <w:rPr>
          <w:b/>
          <w:bCs/>
          <w:rtl/>
        </w:rPr>
      </w:pPr>
      <w:bookmarkStart w:id="386" w:name="_Hlk155703689"/>
    </w:p>
    <w:p w:rsidR="009A1216" w:rsidRPr="00D03BBC" w:rsidRDefault="009A1216" w:rsidP="00511F5D">
      <w:pPr>
        <w:spacing w:line="269" w:lineRule="auto"/>
        <w:ind w:left="360"/>
        <w:rPr>
          <w:b/>
          <w:bCs/>
          <w:rtl/>
        </w:rPr>
      </w:pPr>
      <w:r w:rsidRPr="00A512AA">
        <w:rPr>
          <w:rFonts w:hint="eastAsia"/>
          <w:b/>
          <w:bCs/>
          <w:rtl/>
        </w:rPr>
        <w:t>בשלושה</w:t>
      </w:r>
      <w:r w:rsidRPr="00A512AA">
        <w:rPr>
          <w:b/>
          <w:bCs/>
          <w:rtl/>
        </w:rPr>
        <w:t xml:space="preserve"> מתוך ארבעה </w:t>
      </w:r>
      <w:r w:rsidRPr="0002142D">
        <w:rPr>
          <w:b/>
          <w:bCs/>
          <w:rtl/>
        </w:rPr>
        <w:t xml:space="preserve">כלים טכנולוגיים להאזנות סתר שהמשטרה מחזיקה אין ממשק עם המערכת לניהול צווים. ממשק בין המערכת לניהול צווים לבין הכלים המבצעיים להאזנות סתר של המשטרה מאפשר בקרה טכנולוגית ואוטומטית על השימוש החוקי בכלים באמצעות בדיקת קיומו, תקינותו ותוקפו של צו המתיר לבצע את הפעולה המבוקשת. </w:t>
      </w:r>
      <w:bookmarkStart w:id="387" w:name="_Hlk189065230"/>
      <w:bookmarkStart w:id="388" w:name="_Hlk190077676"/>
      <w:r w:rsidRPr="0002142D">
        <w:rPr>
          <w:rFonts w:hint="eastAsia"/>
          <w:b/>
          <w:bCs/>
          <w:rtl/>
        </w:rPr>
        <w:t>יוצא</w:t>
      </w:r>
      <w:r w:rsidRPr="004F36D2">
        <w:rPr>
          <w:b/>
          <w:bCs/>
          <w:rtl/>
        </w:rPr>
        <w:t xml:space="preserve"> </w:t>
      </w:r>
      <w:r w:rsidRPr="00073F97">
        <w:rPr>
          <w:rFonts w:hint="eastAsia"/>
          <w:b/>
          <w:bCs/>
          <w:rtl/>
        </w:rPr>
        <w:t>אפוא</w:t>
      </w:r>
      <w:r w:rsidRPr="00073F97">
        <w:rPr>
          <w:b/>
          <w:bCs/>
          <w:rtl/>
        </w:rPr>
        <w:t xml:space="preserve"> </w:t>
      </w:r>
      <w:r w:rsidRPr="00073F97">
        <w:rPr>
          <w:rFonts w:hint="eastAsia"/>
          <w:b/>
          <w:bCs/>
          <w:rtl/>
        </w:rPr>
        <w:t>כי</w:t>
      </w:r>
      <w:r w:rsidRPr="00073F97">
        <w:rPr>
          <w:b/>
          <w:bCs/>
          <w:rtl/>
        </w:rPr>
        <w:t xml:space="preserve"> </w:t>
      </w:r>
      <w:r w:rsidR="000D2656">
        <w:rPr>
          <w:rFonts w:hint="cs"/>
          <w:b/>
          <w:bCs/>
          <w:rtl/>
        </w:rPr>
        <w:t>אין</w:t>
      </w:r>
      <w:r w:rsidRPr="003C5FB9">
        <w:rPr>
          <w:b/>
          <w:bCs/>
          <w:rtl/>
        </w:rPr>
        <w:t xml:space="preserve"> </w:t>
      </w:r>
      <w:r w:rsidRPr="003C5FB9">
        <w:rPr>
          <w:rFonts w:hint="eastAsia"/>
          <w:b/>
          <w:bCs/>
          <w:rtl/>
        </w:rPr>
        <w:t>בקרה</w:t>
      </w:r>
      <w:r w:rsidRPr="00454FE8">
        <w:rPr>
          <w:b/>
          <w:bCs/>
          <w:rtl/>
        </w:rPr>
        <w:t xml:space="preserve"> </w:t>
      </w:r>
      <w:r w:rsidRPr="00454FE8">
        <w:rPr>
          <w:rFonts w:hint="eastAsia"/>
          <w:b/>
          <w:bCs/>
          <w:rtl/>
        </w:rPr>
        <w:t>מונעת</w:t>
      </w:r>
      <w:r w:rsidRPr="00454FE8">
        <w:rPr>
          <w:b/>
          <w:bCs/>
          <w:rtl/>
        </w:rPr>
        <w:t xml:space="preserve"> </w:t>
      </w:r>
      <w:r w:rsidRPr="008F5DEA">
        <w:rPr>
          <w:rFonts w:hint="eastAsia"/>
          <w:b/>
          <w:bCs/>
          <w:rtl/>
        </w:rPr>
        <w:t>בכלי</w:t>
      </w:r>
      <w:r w:rsidR="000D2656">
        <w:rPr>
          <w:rFonts w:hint="cs"/>
          <w:b/>
          <w:bCs/>
          <w:rtl/>
        </w:rPr>
        <w:t>ם</w:t>
      </w:r>
      <w:r w:rsidRPr="008F5DEA">
        <w:rPr>
          <w:b/>
          <w:bCs/>
          <w:rtl/>
        </w:rPr>
        <w:t xml:space="preserve"> </w:t>
      </w:r>
      <w:r w:rsidRPr="008F5DEA">
        <w:rPr>
          <w:rFonts w:hint="eastAsia"/>
          <w:b/>
          <w:bCs/>
          <w:rtl/>
        </w:rPr>
        <w:t>האוכפת</w:t>
      </w:r>
      <w:r w:rsidRPr="008F5DEA">
        <w:rPr>
          <w:b/>
          <w:bCs/>
          <w:rtl/>
        </w:rPr>
        <w:t xml:space="preserve"> </w:t>
      </w:r>
      <w:r w:rsidRPr="005A7788">
        <w:rPr>
          <w:rFonts w:hint="eastAsia"/>
          <w:b/>
          <w:bCs/>
          <w:rtl/>
        </w:rPr>
        <w:t>קיומו</w:t>
      </w:r>
      <w:r w:rsidRPr="005A7788">
        <w:rPr>
          <w:b/>
          <w:bCs/>
          <w:rtl/>
        </w:rPr>
        <w:t xml:space="preserve"> </w:t>
      </w:r>
      <w:r w:rsidRPr="005A7788">
        <w:rPr>
          <w:rFonts w:hint="eastAsia"/>
          <w:b/>
          <w:bCs/>
          <w:rtl/>
        </w:rPr>
        <w:t>של</w:t>
      </w:r>
      <w:r w:rsidRPr="005A7788">
        <w:rPr>
          <w:b/>
          <w:bCs/>
          <w:rtl/>
        </w:rPr>
        <w:t xml:space="preserve"> </w:t>
      </w:r>
      <w:r w:rsidRPr="00B416AE">
        <w:rPr>
          <w:rFonts w:hint="eastAsia"/>
          <w:b/>
          <w:bCs/>
          <w:rtl/>
        </w:rPr>
        <w:t>צו</w:t>
      </w:r>
      <w:r w:rsidR="000D2656">
        <w:rPr>
          <w:rFonts w:hint="cs"/>
          <w:b/>
          <w:bCs/>
          <w:rtl/>
        </w:rPr>
        <w:t>,</w:t>
      </w:r>
      <w:r w:rsidRPr="00B416AE">
        <w:rPr>
          <w:b/>
          <w:bCs/>
          <w:rtl/>
        </w:rPr>
        <w:t xml:space="preserve"> </w:t>
      </w:r>
      <w:r w:rsidR="000D2656">
        <w:rPr>
          <w:rFonts w:hint="cs"/>
          <w:b/>
          <w:bCs/>
          <w:rtl/>
        </w:rPr>
        <w:t xml:space="preserve">ואין </w:t>
      </w:r>
      <w:r w:rsidRPr="003744F9">
        <w:rPr>
          <w:rFonts w:hint="eastAsia"/>
          <w:b/>
          <w:bCs/>
          <w:rtl/>
        </w:rPr>
        <w:t>מענה</w:t>
      </w:r>
      <w:r w:rsidRPr="003744F9">
        <w:rPr>
          <w:b/>
          <w:bCs/>
          <w:rtl/>
        </w:rPr>
        <w:t xml:space="preserve"> </w:t>
      </w:r>
      <w:r w:rsidRPr="003744F9">
        <w:rPr>
          <w:rFonts w:hint="eastAsia"/>
          <w:b/>
          <w:bCs/>
          <w:rtl/>
        </w:rPr>
        <w:t>לסיכון</w:t>
      </w:r>
      <w:r w:rsidRPr="003744F9">
        <w:rPr>
          <w:b/>
          <w:bCs/>
          <w:rtl/>
        </w:rPr>
        <w:t xml:space="preserve"> </w:t>
      </w:r>
      <w:r w:rsidRPr="004A174C">
        <w:rPr>
          <w:rFonts w:hint="eastAsia"/>
          <w:b/>
          <w:bCs/>
          <w:rtl/>
        </w:rPr>
        <w:t>שכלים</w:t>
      </w:r>
      <w:r w:rsidRPr="004A174C">
        <w:rPr>
          <w:b/>
          <w:bCs/>
          <w:rtl/>
        </w:rPr>
        <w:t xml:space="preserve"> </w:t>
      </w:r>
      <w:r w:rsidRPr="004A174C">
        <w:rPr>
          <w:rFonts w:hint="eastAsia"/>
          <w:b/>
          <w:bCs/>
          <w:rtl/>
        </w:rPr>
        <w:t>יופעלו</w:t>
      </w:r>
      <w:r w:rsidRPr="00267439">
        <w:rPr>
          <w:b/>
          <w:bCs/>
          <w:rtl/>
        </w:rPr>
        <w:t xml:space="preserve"> </w:t>
      </w:r>
      <w:r w:rsidRPr="00D03BBC">
        <w:rPr>
          <w:rFonts w:hint="eastAsia"/>
          <w:b/>
          <w:bCs/>
          <w:rtl/>
        </w:rPr>
        <w:t>ללא</w:t>
      </w:r>
      <w:r w:rsidRPr="00D03BBC">
        <w:rPr>
          <w:b/>
          <w:bCs/>
          <w:rtl/>
        </w:rPr>
        <w:t xml:space="preserve"> </w:t>
      </w:r>
      <w:r w:rsidRPr="00D03BBC">
        <w:rPr>
          <w:rFonts w:hint="eastAsia"/>
          <w:b/>
          <w:bCs/>
          <w:rtl/>
        </w:rPr>
        <w:t>צו</w:t>
      </w:r>
      <w:r w:rsidRPr="00D03BBC">
        <w:rPr>
          <w:b/>
          <w:bCs/>
          <w:rtl/>
        </w:rPr>
        <w:t xml:space="preserve"> </w:t>
      </w:r>
      <w:r w:rsidRPr="00D03BBC">
        <w:rPr>
          <w:rFonts w:hint="eastAsia"/>
          <w:b/>
          <w:bCs/>
          <w:rtl/>
        </w:rPr>
        <w:t>מתאים</w:t>
      </w:r>
      <w:bookmarkEnd w:id="386"/>
      <w:r w:rsidRPr="00D03BBC">
        <w:rPr>
          <w:b/>
          <w:bCs/>
          <w:rtl/>
        </w:rPr>
        <w:t>.</w:t>
      </w:r>
      <w:bookmarkEnd w:id="387"/>
    </w:p>
    <w:bookmarkEnd w:id="388"/>
    <w:p w:rsidR="009A1216" w:rsidRPr="00D03BBC" w:rsidRDefault="00382AE8" w:rsidP="00511F5D">
      <w:pPr>
        <w:pStyle w:val="a5"/>
        <w:spacing w:line="269" w:lineRule="auto"/>
        <w:ind w:left="0"/>
        <w:rPr>
          <w:rtl/>
        </w:rPr>
      </w:pPr>
      <w:r>
        <w:rPr>
          <w:rFonts w:hint="cs"/>
          <w:rtl/>
        </w:rPr>
        <w:t xml:space="preserve"> </w:t>
      </w:r>
    </w:p>
    <w:p w:rsidR="009A1216" w:rsidRPr="005571ED" w:rsidRDefault="009A1216" w:rsidP="00511F5D">
      <w:pPr>
        <w:spacing w:line="269" w:lineRule="auto"/>
        <w:ind w:left="360"/>
        <w:rPr>
          <w:rtl/>
        </w:rPr>
      </w:pPr>
      <w:r w:rsidRPr="00D03BBC">
        <w:rPr>
          <w:rFonts w:hint="eastAsia"/>
          <w:rtl/>
        </w:rPr>
        <w:t>המשטרה</w:t>
      </w:r>
      <w:r w:rsidRPr="00D03BBC">
        <w:rPr>
          <w:rtl/>
        </w:rPr>
        <w:t xml:space="preserve"> </w:t>
      </w:r>
      <w:r w:rsidRPr="00D03BBC">
        <w:rPr>
          <w:rFonts w:hint="eastAsia"/>
          <w:rtl/>
        </w:rPr>
        <w:t>מסרה</w:t>
      </w:r>
      <w:r w:rsidRPr="00D03BBC">
        <w:rPr>
          <w:rtl/>
        </w:rPr>
        <w:t xml:space="preserve"> </w:t>
      </w:r>
      <w:r w:rsidRPr="00D03BBC">
        <w:rPr>
          <w:rFonts w:hint="eastAsia"/>
          <w:rtl/>
        </w:rPr>
        <w:t>כי</w:t>
      </w:r>
      <w:r w:rsidRPr="0002142D">
        <w:rPr>
          <w:rtl/>
        </w:rPr>
        <w:t xml:space="preserve"> </w:t>
      </w:r>
      <w:r w:rsidRPr="0002142D">
        <w:rPr>
          <w:rFonts w:hint="eastAsia"/>
          <w:rtl/>
        </w:rPr>
        <w:t>הקמת</w:t>
      </w:r>
      <w:r w:rsidRPr="0002142D">
        <w:rPr>
          <w:rtl/>
        </w:rPr>
        <w:t xml:space="preserve"> </w:t>
      </w:r>
      <w:r w:rsidRPr="0002142D">
        <w:rPr>
          <w:rFonts w:hint="eastAsia"/>
          <w:rtl/>
        </w:rPr>
        <w:t>ממשק</w:t>
      </w:r>
      <w:r w:rsidRPr="0002142D">
        <w:rPr>
          <w:rtl/>
        </w:rPr>
        <w:t xml:space="preserve"> </w:t>
      </w:r>
      <w:r w:rsidRPr="0002142D">
        <w:rPr>
          <w:rFonts w:hint="eastAsia"/>
          <w:rtl/>
        </w:rPr>
        <w:t>בין</w:t>
      </w:r>
      <w:r w:rsidRPr="0002142D">
        <w:rPr>
          <w:rtl/>
        </w:rPr>
        <w:t xml:space="preserve"> </w:t>
      </w:r>
      <w:r w:rsidRPr="0002142D">
        <w:rPr>
          <w:rFonts w:hint="eastAsia"/>
          <w:rtl/>
        </w:rPr>
        <w:t>הכלים</w:t>
      </w:r>
      <w:r w:rsidRPr="0002142D">
        <w:rPr>
          <w:rtl/>
        </w:rPr>
        <w:t xml:space="preserve"> </w:t>
      </w:r>
      <w:r w:rsidRPr="0002142D">
        <w:rPr>
          <w:rFonts w:hint="eastAsia"/>
          <w:rtl/>
        </w:rPr>
        <w:t>הטכנולוגיים</w:t>
      </w:r>
      <w:r w:rsidRPr="0002142D">
        <w:rPr>
          <w:rtl/>
        </w:rPr>
        <w:t xml:space="preserve"> </w:t>
      </w:r>
      <w:r w:rsidRPr="0002142D">
        <w:rPr>
          <w:rFonts w:hint="eastAsia"/>
          <w:rtl/>
        </w:rPr>
        <w:t>למערכת</w:t>
      </w:r>
      <w:r w:rsidRPr="0002142D">
        <w:rPr>
          <w:rtl/>
        </w:rPr>
        <w:t xml:space="preserve"> </w:t>
      </w:r>
      <w:r w:rsidRPr="0002142D">
        <w:rPr>
          <w:rFonts w:hint="eastAsia"/>
          <w:rtl/>
        </w:rPr>
        <w:t>לניהול</w:t>
      </w:r>
      <w:r w:rsidRPr="0002142D">
        <w:rPr>
          <w:rtl/>
        </w:rPr>
        <w:t xml:space="preserve"> </w:t>
      </w:r>
      <w:r w:rsidRPr="0002142D">
        <w:rPr>
          <w:rFonts w:hint="eastAsia"/>
          <w:rtl/>
        </w:rPr>
        <w:t>צווים</w:t>
      </w:r>
      <w:r w:rsidRPr="0002142D">
        <w:rPr>
          <w:rtl/>
        </w:rPr>
        <w:t xml:space="preserve"> </w:t>
      </w:r>
      <w:r w:rsidRPr="0002142D">
        <w:rPr>
          <w:rFonts w:hint="eastAsia"/>
          <w:rtl/>
        </w:rPr>
        <w:t>היא</w:t>
      </w:r>
      <w:r w:rsidRPr="0002142D">
        <w:rPr>
          <w:rtl/>
        </w:rPr>
        <w:t xml:space="preserve"> </w:t>
      </w:r>
      <w:r w:rsidRPr="0002142D">
        <w:rPr>
          <w:rFonts w:hint="eastAsia"/>
          <w:rtl/>
        </w:rPr>
        <w:t>פעולה</w:t>
      </w:r>
      <w:r w:rsidRPr="0002142D">
        <w:rPr>
          <w:rtl/>
        </w:rPr>
        <w:t xml:space="preserve"> </w:t>
      </w:r>
      <w:r w:rsidRPr="0002142D">
        <w:rPr>
          <w:rFonts w:hint="eastAsia"/>
          <w:rtl/>
        </w:rPr>
        <w:t>מורכבת</w:t>
      </w:r>
      <w:r w:rsidRPr="0002142D">
        <w:rPr>
          <w:rtl/>
        </w:rPr>
        <w:t xml:space="preserve"> </w:t>
      </w:r>
      <w:r w:rsidRPr="0002142D">
        <w:rPr>
          <w:rFonts w:hint="eastAsia"/>
          <w:rtl/>
        </w:rPr>
        <w:t>טכנולוגית</w:t>
      </w:r>
      <w:r w:rsidRPr="0002142D">
        <w:rPr>
          <w:rtl/>
        </w:rPr>
        <w:t xml:space="preserve"> ולעמדתה בלתי ניתנת למימוש. </w:t>
      </w:r>
      <w:r w:rsidRPr="0002142D">
        <w:rPr>
          <w:rFonts w:hint="eastAsia"/>
          <w:rtl/>
        </w:rPr>
        <w:t>ולכן</w:t>
      </w:r>
      <w:r w:rsidRPr="0002142D">
        <w:rPr>
          <w:rtl/>
        </w:rPr>
        <w:t>, הקשר היחיד בין הכלים הטכנולוגיים למערכת לניהול צווים יכול להיות בהזנה ידנית של מספר</w:t>
      </w:r>
      <w:r w:rsidR="00382AE8">
        <w:rPr>
          <w:rtl/>
        </w:rPr>
        <w:t xml:space="preserve"> </w:t>
      </w:r>
      <w:r w:rsidRPr="0002142D">
        <w:rPr>
          <w:rtl/>
        </w:rPr>
        <w:t xml:space="preserve">הצו בכלים. </w:t>
      </w:r>
      <w:r w:rsidRPr="0002142D">
        <w:rPr>
          <w:rFonts w:hint="eastAsia"/>
          <w:rtl/>
        </w:rPr>
        <w:t>כמו</w:t>
      </w:r>
      <w:r w:rsidRPr="0002142D">
        <w:rPr>
          <w:rtl/>
        </w:rPr>
        <w:t xml:space="preserve"> </w:t>
      </w:r>
      <w:r w:rsidRPr="0002142D">
        <w:rPr>
          <w:rFonts w:hint="eastAsia"/>
          <w:rtl/>
        </w:rPr>
        <w:t>כן</w:t>
      </w:r>
      <w:r w:rsidRPr="0002142D">
        <w:rPr>
          <w:rtl/>
        </w:rPr>
        <w:t>, המשטרה הע</w:t>
      </w:r>
      <w:r w:rsidRPr="0002142D">
        <w:rPr>
          <w:rFonts w:hint="eastAsia"/>
          <w:rtl/>
        </w:rPr>
        <w:t>בירה</w:t>
      </w:r>
      <w:r w:rsidRPr="0002142D">
        <w:rPr>
          <w:rtl/>
        </w:rPr>
        <w:t xml:space="preserve"> דרישות לספקים לשינוי תצורת הכלים הטכנולוגיים כך שאלו יחייבו הזנת מספר צו </w:t>
      </w:r>
      <w:r w:rsidRPr="0002142D">
        <w:rPr>
          <w:rFonts w:hint="eastAsia"/>
          <w:rtl/>
        </w:rPr>
        <w:t>לפני</w:t>
      </w:r>
      <w:r w:rsidRPr="0002142D">
        <w:rPr>
          <w:rtl/>
        </w:rPr>
        <w:t xml:space="preserve"> הפעלתם. </w:t>
      </w:r>
      <w:r w:rsidRPr="0002142D">
        <w:rPr>
          <w:rFonts w:hint="eastAsia"/>
          <w:rtl/>
        </w:rPr>
        <w:t>נוסף</w:t>
      </w:r>
      <w:r w:rsidRPr="0002142D">
        <w:rPr>
          <w:rtl/>
        </w:rPr>
        <w:t xml:space="preserve"> על כך, המשטרה הקימה לאחרונה </w:t>
      </w:r>
      <w:r w:rsidRPr="00A512AA">
        <w:rPr>
          <w:rFonts w:hint="eastAsia"/>
          <w:rtl/>
        </w:rPr>
        <w:t>מערכת</w:t>
      </w:r>
      <w:r w:rsidRPr="00A512AA">
        <w:rPr>
          <w:rtl/>
        </w:rPr>
        <w:t xml:space="preserve"> </w:t>
      </w:r>
      <w:r w:rsidRPr="00A512AA">
        <w:rPr>
          <w:rFonts w:hint="eastAsia"/>
          <w:rtl/>
        </w:rPr>
        <w:t>לניהול</w:t>
      </w:r>
      <w:r w:rsidRPr="00A512AA">
        <w:rPr>
          <w:rtl/>
        </w:rPr>
        <w:t xml:space="preserve"> </w:t>
      </w:r>
      <w:r w:rsidRPr="00A512AA">
        <w:rPr>
          <w:rFonts w:hint="eastAsia"/>
          <w:rtl/>
        </w:rPr>
        <w:t>יומן</w:t>
      </w:r>
      <w:r w:rsidRPr="0002142D">
        <w:rPr>
          <w:rFonts w:hint="cs"/>
          <w:rtl/>
        </w:rPr>
        <w:t xml:space="preserve"> מבצעים אשר תלווה את התהליכים המבוצעים במהלך האזנת סתר ואת השימוש בכלים הטכנולוגיים. המשטרה פועלת לפתח שיפור במערכות, כך </w:t>
      </w:r>
      <w:r w:rsidRPr="00A512AA">
        <w:rPr>
          <w:rFonts w:hint="eastAsia"/>
          <w:rtl/>
        </w:rPr>
        <w:t>שהמערכת</w:t>
      </w:r>
      <w:r w:rsidRPr="00A512AA">
        <w:rPr>
          <w:rtl/>
        </w:rPr>
        <w:t xml:space="preserve"> </w:t>
      </w:r>
      <w:r w:rsidRPr="00A512AA">
        <w:rPr>
          <w:rFonts w:hint="eastAsia"/>
          <w:rtl/>
        </w:rPr>
        <w:t>לניהול</w:t>
      </w:r>
      <w:r w:rsidRPr="00A512AA">
        <w:rPr>
          <w:rtl/>
        </w:rPr>
        <w:t xml:space="preserve"> </w:t>
      </w:r>
      <w:r w:rsidRPr="00A512AA">
        <w:rPr>
          <w:rFonts w:hint="eastAsia"/>
          <w:rtl/>
        </w:rPr>
        <w:t>יומן</w:t>
      </w:r>
      <w:r w:rsidRPr="00A512AA">
        <w:rPr>
          <w:rtl/>
        </w:rPr>
        <w:t xml:space="preserve"> </w:t>
      </w:r>
      <w:r w:rsidRPr="00A512AA">
        <w:rPr>
          <w:rFonts w:hint="eastAsia"/>
          <w:rtl/>
        </w:rPr>
        <w:t>מבצעים</w:t>
      </w:r>
      <w:r w:rsidRPr="0002142D">
        <w:rPr>
          <w:rFonts w:hint="cs"/>
          <w:rtl/>
        </w:rPr>
        <w:t xml:space="preserve"> תקיים ממשק עם המערכת לניהול צווים, אולם השינוי מצוי בשלב ראשוני ועדיין לא פותח. בכל מקרה, המערכת </w:t>
      </w:r>
      <w:r w:rsidRPr="00A512AA">
        <w:rPr>
          <w:rFonts w:hint="eastAsia"/>
          <w:rtl/>
        </w:rPr>
        <w:t>לניהול</w:t>
      </w:r>
      <w:r w:rsidRPr="00A512AA">
        <w:rPr>
          <w:rtl/>
        </w:rPr>
        <w:t xml:space="preserve"> </w:t>
      </w:r>
      <w:r w:rsidRPr="00A512AA">
        <w:rPr>
          <w:rFonts w:hint="eastAsia"/>
          <w:rtl/>
        </w:rPr>
        <w:t>יומן</w:t>
      </w:r>
      <w:r w:rsidRPr="00A512AA">
        <w:rPr>
          <w:rtl/>
        </w:rPr>
        <w:t xml:space="preserve"> </w:t>
      </w:r>
      <w:r w:rsidRPr="00A512AA">
        <w:rPr>
          <w:rFonts w:hint="eastAsia"/>
          <w:rtl/>
        </w:rPr>
        <w:t>מבצעים</w:t>
      </w:r>
      <w:r w:rsidRPr="0002142D">
        <w:rPr>
          <w:rFonts w:hint="cs"/>
          <w:rtl/>
        </w:rPr>
        <w:t xml:space="preserve"> לא</w:t>
      </w:r>
      <w:r>
        <w:rPr>
          <w:rFonts w:hint="cs"/>
          <w:rtl/>
        </w:rPr>
        <w:t xml:space="preserve"> תקיים ממשק עם הכלים הטכנולוגיים עצמם. </w:t>
      </w:r>
    </w:p>
    <w:p w:rsidR="000D2656" w:rsidRDefault="000D2656" w:rsidP="00511F5D">
      <w:pPr>
        <w:spacing w:line="269" w:lineRule="auto"/>
        <w:ind w:left="360"/>
        <w:rPr>
          <w:b/>
          <w:bCs/>
          <w:rtl/>
        </w:rPr>
      </w:pPr>
    </w:p>
    <w:p w:rsidR="009A1216" w:rsidRPr="00146851" w:rsidRDefault="009A1216" w:rsidP="00511F5D">
      <w:pPr>
        <w:spacing w:line="269" w:lineRule="auto"/>
        <w:ind w:left="360"/>
        <w:rPr>
          <w:b/>
          <w:bCs/>
          <w:rtl/>
        </w:rPr>
      </w:pPr>
      <w:r>
        <w:rPr>
          <w:rFonts w:hint="cs"/>
          <w:b/>
          <w:bCs/>
          <w:rtl/>
        </w:rPr>
        <w:t xml:space="preserve">הקמת מודולים בכלים הטכנולוגיים המחייבים הזנת מספר צו בכלי הטכנולוגי אך ללא בדיקת תקינותו במערכת לניהול צווים, והקמת מערכות לניהול יומן מבצעים שבהן ניתן לרשום את מספר הצו שביסס את הסמכות להפעלת הכלי - הם פתרונות המסייעים לקיום בקרה שמגלה בדיעבד אם הופעל כלי טכנולוגי ללא צו מתאים. כדי לאפשר למשטרה לקיים בקרה שמונעת את התרחשות המקרים מלכתחילה, מומלץ כי המשטרה תקים ממשקים בין המערכת לניהול צווים לבין הכלים הטכנולוגיים. זאת, על </w:t>
      </w:r>
      <w:r w:rsidRPr="00510219">
        <w:rPr>
          <w:rFonts w:hint="cs"/>
          <w:b/>
          <w:bCs/>
          <w:rtl/>
        </w:rPr>
        <w:t>אף שאלו דורשים מהמשטרה להתמודד עם המורכבות הטכנולוגית או התהליכית הכרוכה בהקמתם</w:t>
      </w:r>
      <w:r>
        <w:rPr>
          <w:rFonts w:hint="cs"/>
          <w:b/>
          <w:bCs/>
          <w:rtl/>
        </w:rPr>
        <w:t>.</w:t>
      </w:r>
      <w:r w:rsidRPr="00510219">
        <w:rPr>
          <w:rFonts w:hint="cs"/>
          <w:b/>
          <w:bCs/>
          <w:rtl/>
        </w:rPr>
        <w:t xml:space="preserve"> </w:t>
      </w:r>
      <w:r>
        <w:rPr>
          <w:rFonts w:hint="cs"/>
          <w:b/>
          <w:bCs/>
          <w:rtl/>
        </w:rPr>
        <w:t xml:space="preserve">הממשק יאפשר לבצע אימות של מספר הצו, תקינותו וחוקיות השימוש בכלי בהתבסס על צו זה ללא התערבות יד אדם. </w:t>
      </w:r>
      <w:r w:rsidRPr="00146851">
        <w:rPr>
          <w:rFonts w:hint="cs"/>
          <w:b/>
          <w:bCs/>
          <w:rtl/>
        </w:rPr>
        <w:t>יישום הבקרה המונעת האמורה יביא לכך שהפעלת כלים טכנולוגיים תחייב עמידה בתנאי סף - קיומו של צו חתום כדין הרשום במערכת תחת הסטטוס "מאושר למימוש".</w:t>
      </w:r>
      <w:r>
        <w:rPr>
          <w:rFonts w:hint="cs"/>
          <w:b/>
          <w:bCs/>
          <w:rtl/>
        </w:rPr>
        <w:t xml:space="preserve"> </w:t>
      </w:r>
    </w:p>
    <w:p w:rsidR="009A1216" w:rsidRDefault="009A1216" w:rsidP="00604C3D">
      <w:pPr>
        <w:spacing w:line="269" w:lineRule="auto"/>
        <w:rPr>
          <w:b/>
          <w:bCs/>
          <w:rtl/>
        </w:rPr>
      </w:pPr>
    </w:p>
    <w:p w:rsidR="009A1216" w:rsidRDefault="009A1216" w:rsidP="008C598D">
      <w:pPr>
        <w:pStyle w:val="5"/>
        <w:numPr>
          <w:ilvl w:val="0"/>
          <w:numId w:val="19"/>
        </w:numPr>
        <w:spacing w:line="269" w:lineRule="auto"/>
        <w:rPr>
          <w:rtl/>
        </w:rPr>
      </w:pPr>
      <w:bookmarkStart w:id="389" w:name="_Toc151890732"/>
      <w:bookmarkStart w:id="390" w:name="_Toc151882004"/>
      <w:r>
        <w:rPr>
          <w:rFonts w:hint="cs"/>
          <w:rtl/>
        </w:rPr>
        <w:t xml:space="preserve">ניהול המידע על </w:t>
      </w:r>
      <w:bookmarkEnd w:id="389"/>
      <w:bookmarkEnd w:id="390"/>
      <w:r w:rsidR="00E26DDD">
        <w:rPr>
          <w:rFonts w:hint="cs"/>
          <w:rtl/>
        </w:rPr>
        <w:t>התקנות</w:t>
      </w:r>
      <w:r w:rsidR="00E26DDD" w:rsidRPr="008732AD">
        <w:rPr>
          <w:rtl/>
        </w:rPr>
        <w:t xml:space="preserve"> </w:t>
      </w:r>
      <w:r>
        <w:rPr>
          <w:rFonts w:hint="cs"/>
          <w:rtl/>
        </w:rPr>
        <w:t>שנעשו כלפי יעדי האזנה ספציפיים</w:t>
      </w:r>
    </w:p>
    <w:p w:rsidR="000D2656" w:rsidRPr="000D2656" w:rsidRDefault="000D2656" w:rsidP="00604C3D">
      <w:pPr>
        <w:spacing w:line="269" w:lineRule="auto"/>
        <w:rPr>
          <w:rtl/>
        </w:rPr>
      </w:pPr>
    </w:p>
    <w:p w:rsidR="009A1216" w:rsidRDefault="009A1216" w:rsidP="00511F5D">
      <w:pPr>
        <w:spacing w:line="269" w:lineRule="auto"/>
        <w:ind w:left="360"/>
        <w:rPr>
          <w:rtl/>
        </w:rPr>
      </w:pPr>
      <w:r>
        <w:rPr>
          <w:rFonts w:hint="cs"/>
          <w:rtl/>
        </w:rPr>
        <w:t xml:space="preserve">כחלק מעבודת צוות מררי אספה המשטרה נתונים על </w:t>
      </w:r>
      <w:r w:rsidR="00E26DDD">
        <w:rPr>
          <w:rFonts w:hint="cs"/>
          <w:rtl/>
        </w:rPr>
        <w:t xml:space="preserve">התקנות </w:t>
      </w:r>
      <w:r>
        <w:rPr>
          <w:rFonts w:hint="cs"/>
          <w:rtl/>
        </w:rPr>
        <w:t>שהיא ביצעה בהתאם לסוגיהן</w:t>
      </w:r>
      <w:r>
        <w:rPr>
          <w:rStyle w:val="af"/>
          <w:rtl/>
        </w:rPr>
        <w:footnoteReference w:id="158"/>
      </w:r>
      <w:r>
        <w:rPr>
          <w:rFonts w:hint="cs"/>
          <w:rtl/>
        </w:rPr>
        <w:t xml:space="preserve">. כפי שעלה מעבודת צוות מררי, רק חלק ממתווי </w:t>
      </w:r>
      <w:r w:rsidR="00E26DDD">
        <w:rPr>
          <w:rFonts w:hint="cs"/>
          <w:rtl/>
        </w:rPr>
        <w:t xml:space="preserve">ההתקנה </w:t>
      </w:r>
      <w:r>
        <w:rPr>
          <w:rFonts w:hint="cs"/>
          <w:rtl/>
        </w:rPr>
        <w:t xml:space="preserve">ניתנים לאחזור באמצעות הכלים הטכנולוגיים, ולעיתים גם האחזור חלקי בלבד. עוד עולה כי איסוף הנתונים על ביצוע </w:t>
      </w:r>
      <w:r w:rsidR="00E26DDD">
        <w:rPr>
          <w:rFonts w:hint="cs"/>
          <w:rtl/>
        </w:rPr>
        <w:t xml:space="preserve">ההתקנות </w:t>
      </w:r>
      <w:r>
        <w:rPr>
          <w:rFonts w:hint="cs"/>
          <w:rtl/>
        </w:rPr>
        <w:t xml:space="preserve">אף התבסס על מסמכים שנשמרו במערכת לניהול מסמכים מסווגים בחטיבת הסייבר ולא במערכת ייעודית לנושא זה. </w:t>
      </w:r>
    </w:p>
    <w:p w:rsidR="000D2656" w:rsidRDefault="000D2656" w:rsidP="00511F5D">
      <w:pPr>
        <w:spacing w:line="269" w:lineRule="auto"/>
        <w:ind w:left="360"/>
        <w:rPr>
          <w:rtl/>
        </w:rPr>
      </w:pPr>
    </w:p>
    <w:p w:rsidR="009A1216" w:rsidRPr="005571ED" w:rsidRDefault="009A1216" w:rsidP="00511F5D">
      <w:pPr>
        <w:spacing w:line="269" w:lineRule="auto"/>
        <w:ind w:left="360"/>
        <w:rPr>
          <w:rtl/>
        </w:rPr>
      </w:pPr>
      <w:r w:rsidRPr="00A512AA">
        <w:rPr>
          <w:rFonts w:hint="eastAsia"/>
          <w:rtl/>
        </w:rPr>
        <w:t>נמצא</w:t>
      </w:r>
      <w:r w:rsidRPr="00A512AA">
        <w:rPr>
          <w:rtl/>
        </w:rPr>
        <w:t xml:space="preserve"> כי </w:t>
      </w:r>
      <w:bookmarkStart w:id="391" w:name="_Hlk156818874"/>
      <w:r w:rsidRPr="00A512AA">
        <w:rPr>
          <w:rFonts w:hint="eastAsia"/>
          <w:rtl/>
        </w:rPr>
        <w:t>לפי</w:t>
      </w:r>
      <w:r w:rsidRPr="00A512AA">
        <w:rPr>
          <w:rtl/>
        </w:rPr>
        <w:t xml:space="preserve"> </w:t>
      </w:r>
      <w:r w:rsidRPr="00A512AA">
        <w:rPr>
          <w:rFonts w:hint="eastAsia"/>
          <w:rtl/>
        </w:rPr>
        <w:t>הערכות</w:t>
      </w:r>
      <w:r w:rsidRPr="00A512AA">
        <w:rPr>
          <w:rtl/>
        </w:rPr>
        <w:t xml:space="preserve"> </w:t>
      </w:r>
      <w:r w:rsidRPr="00A512AA">
        <w:rPr>
          <w:rFonts w:hint="eastAsia"/>
          <w:rtl/>
        </w:rPr>
        <w:t>המשטרה</w:t>
      </w:r>
      <w:r w:rsidRPr="00A512AA">
        <w:rPr>
          <w:rtl/>
        </w:rPr>
        <w:t xml:space="preserve"> </w:t>
      </w:r>
      <w:r w:rsidRPr="00A512AA">
        <w:rPr>
          <w:rFonts w:hint="eastAsia"/>
          <w:rtl/>
        </w:rPr>
        <w:t>בשנים</w:t>
      </w:r>
      <w:r w:rsidRPr="00A512AA">
        <w:rPr>
          <w:rtl/>
        </w:rPr>
        <w:t xml:space="preserve"> 2009 - 2016 </w:t>
      </w:r>
      <w:r w:rsidRPr="00A512AA">
        <w:rPr>
          <w:rFonts w:hint="eastAsia"/>
          <w:rtl/>
        </w:rPr>
        <w:t>חל</w:t>
      </w:r>
      <w:r w:rsidRPr="00A512AA">
        <w:rPr>
          <w:rtl/>
        </w:rPr>
        <w:t xml:space="preserve"> </w:t>
      </w:r>
      <w:r w:rsidRPr="00A512AA">
        <w:rPr>
          <w:rFonts w:hint="eastAsia"/>
          <w:rtl/>
        </w:rPr>
        <w:t>גידול</w:t>
      </w:r>
      <w:r w:rsidRPr="00A512AA">
        <w:rPr>
          <w:rtl/>
        </w:rPr>
        <w:t xml:space="preserve"> </w:t>
      </w:r>
      <w:r w:rsidRPr="00A512AA">
        <w:rPr>
          <w:rFonts w:hint="eastAsia"/>
          <w:rtl/>
        </w:rPr>
        <w:t>מתון</w:t>
      </w:r>
      <w:r w:rsidRPr="00A512AA">
        <w:rPr>
          <w:rtl/>
        </w:rPr>
        <w:t xml:space="preserve"> </w:t>
      </w:r>
      <w:r w:rsidRPr="00A512AA">
        <w:rPr>
          <w:rFonts w:hint="eastAsia"/>
          <w:rtl/>
        </w:rPr>
        <w:t>במספר</w:t>
      </w:r>
      <w:r w:rsidRPr="00A512AA">
        <w:rPr>
          <w:rtl/>
        </w:rPr>
        <w:t xml:space="preserve"> </w:t>
      </w:r>
      <w:r w:rsidR="00E26DDD" w:rsidRPr="00A512AA">
        <w:rPr>
          <w:rFonts w:hint="eastAsia"/>
          <w:rtl/>
        </w:rPr>
        <w:t>ההתקנות</w:t>
      </w:r>
      <w:r w:rsidR="00E26DDD" w:rsidRPr="00A512AA">
        <w:rPr>
          <w:rtl/>
        </w:rPr>
        <w:t xml:space="preserve"> </w:t>
      </w:r>
      <w:r w:rsidRPr="00A512AA">
        <w:rPr>
          <w:rFonts w:hint="eastAsia"/>
          <w:rtl/>
        </w:rPr>
        <w:t>שביצעה</w:t>
      </w:r>
      <w:r w:rsidRPr="00A512AA">
        <w:rPr>
          <w:rtl/>
        </w:rPr>
        <w:t xml:space="preserve"> </w:t>
      </w:r>
      <w:r w:rsidRPr="00A512AA">
        <w:rPr>
          <w:rFonts w:hint="eastAsia"/>
          <w:rtl/>
        </w:rPr>
        <w:t>המשטרה</w:t>
      </w:r>
      <w:r w:rsidRPr="00A512AA">
        <w:rPr>
          <w:rtl/>
        </w:rPr>
        <w:t xml:space="preserve"> </w:t>
      </w:r>
      <w:r w:rsidRPr="00A512AA">
        <w:rPr>
          <w:rFonts w:hint="eastAsia"/>
          <w:rtl/>
        </w:rPr>
        <w:t>תוך</w:t>
      </w:r>
      <w:r w:rsidRPr="00A512AA">
        <w:rPr>
          <w:rtl/>
        </w:rPr>
        <w:t xml:space="preserve"> </w:t>
      </w:r>
      <w:r w:rsidRPr="00A512AA">
        <w:rPr>
          <w:rFonts w:hint="eastAsia"/>
          <w:rtl/>
        </w:rPr>
        <w:t>שימוש</w:t>
      </w:r>
      <w:r w:rsidRPr="00A512AA">
        <w:rPr>
          <w:rtl/>
        </w:rPr>
        <w:t xml:space="preserve"> </w:t>
      </w:r>
      <w:r w:rsidRPr="00A512AA">
        <w:rPr>
          <w:rFonts w:hint="eastAsia"/>
          <w:rtl/>
        </w:rPr>
        <w:t>בכלים</w:t>
      </w:r>
      <w:r w:rsidRPr="00A512AA">
        <w:rPr>
          <w:rtl/>
        </w:rPr>
        <w:t xml:space="preserve"> </w:t>
      </w:r>
      <w:r w:rsidRPr="00A512AA">
        <w:rPr>
          <w:rFonts w:hint="eastAsia"/>
          <w:rtl/>
        </w:rPr>
        <w:t>טכנולוגיים</w:t>
      </w:r>
      <w:r w:rsidRPr="00A512AA">
        <w:rPr>
          <w:rtl/>
        </w:rPr>
        <w:t xml:space="preserve">. </w:t>
      </w:r>
      <w:r w:rsidRPr="00A512AA">
        <w:rPr>
          <w:rFonts w:hint="eastAsia"/>
          <w:rtl/>
        </w:rPr>
        <w:t>עם</w:t>
      </w:r>
      <w:r w:rsidRPr="00A512AA">
        <w:rPr>
          <w:rtl/>
        </w:rPr>
        <w:t xml:space="preserve"> </w:t>
      </w:r>
      <w:r w:rsidRPr="00A512AA">
        <w:rPr>
          <w:rFonts w:hint="eastAsia"/>
          <w:rtl/>
        </w:rPr>
        <w:t>הכנסתם</w:t>
      </w:r>
      <w:r w:rsidRPr="00A512AA">
        <w:rPr>
          <w:rtl/>
        </w:rPr>
        <w:t xml:space="preserve"> </w:t>
      </w:r>
      <w:r w:rsidRPr="00A512AA">
        <w:rPr>
          <w:rFonts w:hint="eastAsia"/>
          <w:rtl/>
        </w:rPr>
        <w:t>של</w:t>
      </w:r>
      <w:r w:rsidRPr="00A512AA">
        <w:rPr>
          <w:rtl/>
        </w:rPr>
        <w:t xml:space="preserve"> </w:t>
      </w:r>
      <w:r w:rsidRPr="00A512AA">
        <w:rPr>
          <w:rFonts w:hint="eastAsia"/>
          <w:rtl/>
        </w:rPr>
        <w:t>כלים</w:t>
      </w:r>
      <w:r w:rsidRPr="00A512AA">
        <w:rPr>
          <w:rtl/>
        </w:rPr>
        <w:t xml:space="preserve"> </w:t>
      </w:r>
      <w:r w:rsidRPr="00A512AA">
        <w:rPr>
          <w:rFonts w:hint="eastAsia"/>
          <w:rtl/>
        </w:rPr>
        <w:t>טכנולוגיים</w:t>
      </w:r>
      <w:r w:rsidRPr="00A512AA">
        <w:rPr>
          <w:rtl/>
        </w:rPr>
        <w:t xml:space="preserve"> </w:t>
      </w:r>
      <w:r w:rsidRPr="00A512AA">
        <w:rPr>
          <w:rFonts w:hint="eastAsia"/>
          <w:rtl/>
        </w:rPr>
        <w:t>חדשים</w:t>
      </w:r>
      <w:r w:rsidRPr="00A512AA">
        <w:rPr>
          <w:rtl/>
        </w:rPr>
        <w:t xml:space="preserve"> </w:t>
      </w:r>
      <w:r w:rsidRPr="00A512AA">
        <w:rPr>
          <w:rFonts w:hint="eastAsia"/>
          <w:rtl/>
        </w:rPr>
        <w:t>לשימוש</w:t>
      </w:r>
      <w:r w:rsidRPr="00A512AA">
        <w:rPr>
          <w:rtl/>
        </w:rPr>
        <w:t xml:space="preserve"> </w:t>
      </w:r>
      <w:r w:rsidRPr="00A512AA">
        <w:rPr>
          <w:rFonts w:hint="eastAsia"/>
          <w:rtl/>
        </w:rPr>
        <w:t>המשטרה</w:t>
      </w:r>
      <w:r w:rsidRPr="00A512AA">
        <w:rPr>
          <w:rtl/>
        </w:rPr>
        <w:t xml:space="preserve"> </w:t>
      </w:r>
      <w:r w:rsidRPr="00A512AA">
        <w:rPr>
          <w:rFonts w:hint="eastAsia"/>
          <w:rtl/>
        </w:rPr>
        <w:t>בשנים</w:t>
      </w:r>
      <w:r w:rsidRPr="00A512AA">
        <w:rPr>
          <w:rtl/>
        </w:rPr>
        <w:t xml:space="preserve"> 2016 - 2021 </w:t>
      </w:r>
      <w:r w:rsidRPr="00A512AA">
        <w:rPr>
          <w:rFonts w:hint="eastAsia"/>
          <w:rtl/>
        </w:rPr>
        <w:t>חל</w:t>
      </w:r>
      <w:r w:rsidRPr="00A512AA">
        <w:rPr>
          <w:rtl/>
        </w:rPr>
        <w:t xml:space="preserve"> </w:t>
      </w:r>
      <w:r w:rsidRPr="00A512AA">
        <w:rPr>
          <w:rFonts w:hint="eastAsia"/>
          <w:rtl/>
        </w:rPr>
        <w:t>גידול</w:t>
      </w:r>
      <w:r w:rsidRPr="00A512AA">
        <w:rPr>
          <w:rtl/>
        </w:rPr>
        <w:t xml:space="preserve"> </w:t>
      </w:r>
      <w:r w:rsidRPr="00A512AA">
        <w:rPr>
          <w:rFonts w:hint="eastAsia"/>
          <w:rtl/>
        </w:rPr>
        <w:t>ניכר</w:t>
      </w:r>
      <w:r w:rsidRPr="00A512AA">
        <w:rPr>
          <w:rtl/>
        </w:rPr>
        <w:t xml:space="preserve"> </w:t>
      </w:r>
      <w:r w:rsidRPr="00A512AA">
        <w:rPr>
          <w:rFonts w:hint="eastAsia"/>
          <w:rtl/>
        </w:rPr>
        <w:t>במספר</w:t>
      </w:r>
      <w:r w:rsidRPr="00A512AA">
        <w:rPr>
          <w:rtl/>
        </w:rPr>
        <w:t xml:space="preserve"> </w:t>
      </w:r>
      <w:r w:rsidR="00E26DDD" w:rsidRPr="00A512AA">
        <w:rPr>
          <w:rFonts w:hint="eastAsia"/>
          <w:rtl/>
        </w:rPr>
        <w:t>ההתקנות</w:t>
      </w:r>
      <w:r w:rsidR="00E26DDD" w:rsidRPr="00A512AA">
        <w:rPr>
          <w:rtl/>
        </w:rPr>
        <w:t xml:space="preserve"> </w:t>
      </w:r>
      <w:r w:rsidRPr="00A512AA">
        <w:rPr>
          <w:rFonts w:hint="eastAsia"/>
          <w:rtl/>
        </w:rPr>
        <w:t>שביצעה</w:t>
      </w:r>
      <w:r w:rsidRPr="00A512AA">
        <w:rPr>
          <w:rtl/>
        </w:rPr>
        <w:t xml:space="preserve"> </w:t>
      </w:r>
      <w:r w:rsidRPr="00A512AA">
        <w:rPr>
          <w:rFonts w:hint="eastAsia"/>
          <w:rtl/>
        </w:rPr>
        <w:t>המשטרה</w:t>
      </w:r>
      <w:r w:rsidRPr="00A512AA">
        <w:rPr>
          <w:rtl/>
        </w:rPr>
        <w:t xml:space="preserve"> </w:t>
      </w:r>
      <w:r w:rsidRPr="00A512AA">
        <w:rPr>
          <w:rFonts w:hint="eastAsia"/>
          <w:rtl/>
        </w:rPr>
        <w:t>ככלל</w:t>
      </w:r>
      <w:r w:rsidRPr="00A512AA">
        <w:rPr>
          <w:rtl/>
        </w:rPr>
        <w:t xml:space="preserve">, </w:t>
      </w:r>
      <w:r w:rsidRPr="00A512AA">
        <w:rPr>
          <w:rFonts w:hint="eastAsia"/>
          <w:rtl/>
        </w:rPr>
        <w:t>ובמספרם</w:t>
      </w:r>
      <w:r w:rsidRPr="00A512AA">
        <w:rPr>
          <w:rtl/>
        </w:rPr>
        <w:t xml:space="preserve"> </w:t>
      </w:r>
      <w:r w:rsidRPr="00A512AA">
        <w:rPr>
          <w:rFonts w:hint="eastAsia"/>
          <w:rtl/>
        </w:rPr>
        <w:t>של</w:t>
      </w:r>
      <w:r w:rsidRPr="00A512AA">
        <w:rPr>
          <w:rtl/>
        </w:rPr>
        <w:t xml:space="preserve"> </w:t>
      </w:r>
      <w:r w:rsidRPr="00A512AA">
        <w:rPr>
          <w:rFonts w:hint="eastAsia"/>
          <w:rtl/>
        </w:rPr>
        <w:t>שני</w:t>
      </w:r>
      <w:r w:rsidRPr="00A512AA">
        <w:rPr>
          <w:rtl/>
        </w:rPr>
        <w:t xml:space="preserve"> </w:t>
      </w:r>
      <w:r w:rsidRPr="00A512AA">
        <w:rPr>
          <w:rFonts w:hint="eastAsia"/>
          <w:rtl/>
        </w:rPr>
        <w:t>סוגי</w:t>
      </w:r>
      <w:r w:rsidRPr="00A512AA">
        <w:rPr>
          <w:rtl/>
        </w:rPr>
        <w:t xml:space="preserve"> </w:t>
      </w:r>
      <w:r w:rsidR="00E26DDD" w:rsidRPr="00A512AA">
        <w:rPr>
          <w:rFonts w:hint="eastAsia"/>
          <w:rtl/>
        </w:rPr>
        <w:t>התקנות</w:t>
      </w:r>
      <w:r w:rsidR="00E26DDD" w:rsidRPr="00A512AA">
        <w:rPr>
          <w:rtl/>
        </w:rPr>
        <w:t xml:space="preserve"> </w:t>
      </w:r>
      <w:r w:rsidRPr="00A512AA">
        <w:rPr>
          <w:rFonts w:hint="eastAsia"/>
          <w:rtl/>
        </w:rPr>
        <w:t>חל</w:t>
      </w:r>
      <w:r w:rsidRPr="00A512AA">
        <w:rPr>
          <w:rtl/>
        </w:rPr>
        <w:t xml:space="preserve"> </w:t>
      </w:r>
      <w:r w:rsidRPr="00A512AA">
        <w:rPr>
          <w:rFonts w:hint="eastAsia"/>
          <w:rtl/>
        </w:rPr>
        <w:t>גידול</w:t>
      </w:r>
      <w:r w:rsidRPr="00A512AA">
        <w:rPr>
          <w:rtl/>
        </w:rPr>
        <w:t xml:space="preserve"> </w:t>
      </w:r>
      <w:r w:rsidRPr="00A512AA">
        <w:rPr>
          <w:rFonts w:hint="eastAsia"/>
          <w:rtl/>
        </w:rPr>
        <w:t>חד</w:t>
      </w:r>
      <w:r w:rsidRPr="00A512AA">
        <w:rPr>
          <w:rtl/>
        </w:rPr>
        <w:t xml:space="preserve"> </w:t>
      </w:r>
      <w:r w:rsidRPr="00A512AA">
        <w:rPr>
          <w:rFonts w:hint="eastAsia"/>
          <w:rtl/>
        </w:rPr>
        <w:t>של</w:t>
      </w:r>
      <w:r w:rsidRPr="00A512AA">
        <w:rPr>
          <w:rtl/>
        </w:rPr>
        <w:t xml:space="preserve"> </w:t>
      </w:r>
      <w:r w:rsidRPr="00A512AA">
        <w:rPr>
          <w:rFonts w:hint="eastAsia"/>
          <w:rtl/>
        </w:rPr>
        <w:t>מאות</w:t>
      </w:r>
      <w:r w:rsidRPr="00A512AA">
        <w:rPr>
          <w:rtl/>
        </w:rPr>
        <w:t xml:space="preserve"> </w:t>
      </w:r>
      <w:r w:rsidRPr="00A512AA">
        <w:rPr>
          <w:rFonts w:hint="eastAsia"/>
          <w:rtl/>
        </w:rPr>
        <w:t>אחוזים</w:t>
      </w:r>
      <w:r w:rsidR="00653609" w:rsidRPr="00A512AA">
        <w:rPr>
          <w:rtl/>
        </w:rPr>
        <w:t>.</w:t>
      </w:r>
      <w:r w:rsidRPr="00A512AA">
        <w:rPr>
          <w:rtl/>
        </w:rPr>
        <w:t xml:space="preserve"> </w:t>
      </w:r>
      <w:bookmarkEnd w:id="391"/>
    </w:p>
    <w:p w:rsidR="000D2656" w:rsidRDefault="000D2656" w:rsidP="00511F5D">
      <w:pPr>
        <w:spacing w:line="269" w:lineRule="auto"/>
        <w:ind w:left="360"/>
        <w:rPr>
          <w:b/>
          <w:bCs/>
          <w:rtl/>
        </w:rPr>
      </w:pPr>
      <w:bookmarkStart w:id="392" w:name="_Hlk177280795"/>
      <w:bookmarkStart w:id="393" w:name="_Hlk177280824"/>
    </w:p>
    <w:p w:rsidR="009A1216" w:rsidRPr="00DD56F1" w:rsidRDefault="009A1216" w:rsidP="00511F5D">
      <w:pPr>
        <w:spacing w:line="269" w:lineRule="auto"/>
        <w:ind w:left="360"/>
        <w:rPr>
          <w:b/>
          <w:bCs/>
          <w:rtl/>
        </w:rPr>
      </w:pPr>
      <w:r w:rsidRPr="00960C2C">
        <w:rPr>
          <w:rFonts w:hint="cs"/>
          <w:b/>
          <w:bCs/>
          <w:rtl/>
        </w:rPr>
        <w:t xml:space="preserve">משרד מבקר המדינה סקר כלים טכנולוגיים שבשימוש המשטרה ואת אופן תכלול </w:t>
      </w:r>
      <w:r w:rsidR="001F0B16">
        <w:rPr>
          <w:rFonts w:hint="cs"/>
          <w:b/>
          <w:bCs/>
          <w:rtl/>
        </w:rPr>
        <w:t>ההתקנות</w:t>
      </w:r>
      <w:r w:rsidR="001F0B16" w:rsidRPr="00960C2C">
        <w:rPr>
          <w:rFonts w:hint="cs"/>
          <w:b/>
          <w:bCs/>
          <w:rtl/>
        </w:rPr>
        <w:t xml:space="preserve"> </w:t>
      </w:r>
      <w:r w:rsidRPr="00960C2C">
        <w:rPr>
          <w:rFonts w:hint="cs"/>
          <w:b/>
          <w:bCs/>
          <w:rtl/>
        </w:rPr>
        <w:t>המבוצעות באמצעותם</w:t>
      </w:r>
      <w:r>
        <w:rPr>
          <w:rFonts w:hint="cs"/>
          <w:b/>
          <w:bCs/>
          <w:rtl/>
        </w:rPr>
        <w:t xml:space="preserve"> ו</w:t>
      </w:r>
      <w:r w:rsidRPr="00DD56F1">
        <w:rPr>
          <w:rFonts w:hint="eastAsia"/>
          <w:b/>
          <w:bCs/>
          <w:rtl/>
        </w:rPr>
        <w:t>מצא</w:t>
      </w:r>
      <w:r w:rsidRPr="00DD56F1">
        <w:rPr>
          <w:b/>
          <w:bCs/>
          <w:rtl/>
        </w:rPr>
        <w:t xml:space="preserve"> </w:t>
      </w:r>
      <w:r w:rsidRPr="00DD56F1">
        <w:rPr>
          <w:rFonts w:hint="eastAsia"/>
          <w:b/>
          <w:bCs/>
          <w:rtl/>
        </w:rPr>
        <w:t>כי</w:t>
      </w:r>
      <w:r w:rsidRPr="00DD56F1">
        <w:rPr>
          <w:b/>
          <w:bCs/>
          <w:rtl/>
        </w:rPr>
        <w:t xml:space="preserve"> </w:t>
      </w:r>
      <w:r w:rsidRPr="00DD56F1">
        <w:rPr>
          <w:rFonts w:hint="eastAsia"/>
          <w:b/>
          <w:bCs/>
          <w:rtl/>
        </w:rPr>
        <w:t>תהליך</w:t>
      </w:r>
      <w:r w:rsidRPr="00DD56F1">
        <w:rPr>
          <w:b/>
          <w:bCs/>
          <w:rtl/>
        </w:rPr>
        <w:t xml:space="preserve"> </w:t>
      </w:r>
      <w:r w:rsidRPr="00DD56F1">
        <w:rPr>
          <w:rFonts w:hint="eastAsia"/>
          <w:b/>
          <w:bCs/>
          <w:rtl/>
        </w:rPr>
        <w:t>איתור</w:t>
      </w:r>
      <w:r w:rsidRPr="00DD56F1">
        <w:rPr>
          <w:b/>
          <w:bCs/>
          <w:rtl/>
        </w:rPr>
        <w:t xml:space="preserve"> </w:t>
      </w:r>
      <w:r w:rsidRPr="00DD56F1">
        <w:rPr>
          <w:rFonts w:hint="eastAsia"/>
          <w:b/>
          <w:bCs/>
          <w:rtl/>
        </w:rPr>
        <w:t>הקשר</w:t>
      </w:r>
      <w:r w:rsidRPr="00DD56F1">
        <w:rPr>
          <w:b/>
          <w:bCs/>
          <w:rtl/>
        </w:rPr>
        <w:t xml:space="preserve"> </w:t>
      </w:r>
      <w:r w:rsidRPr="00DD56F1">
        <w:rPr>
          <w:rFonts w:hint="eastAsia"/>
          <w:b/>
          <w:bCs/>
          <w:rtl/>
        </w:rPr>
        <w:t>בין</w:t>
      </w:r>
      <w:r w:rsidRPr="00DD56F1">
        <w:rPr>
          <w:b/>
          <w:bCs/>
          <w:rtl/>
        </w:rPr>
        <w:t xml:space="preserve"> </w:t>
      </w:r>
      <w:r w:rsidRPr="00DD56F1">
        <w:rPr>
          <w:rFonts w:hint="eastAsia"/>
          <w:b/>
          <w:bCs/>
          <w:rtl/>
        </w:rPr>
        <w:t>יעד</w:t>
      </w:r>
      <w:r w:rsidRPr="00DD56F1">
        <w:rPr>
          <w:b/>
          <w:bCs/>
          <w:rtl/>
        </w:rPr>
        <w:t xml:space="preserve"> </w:t>
      </w:r>
      <w:r w:rsidRPr="00DD56F1">
        <w:rPr>
          <w:rFonts w:hint="eastAsia"/>
          <w:b/>
          <w:bCs/>
          <w:rtl/>
        </w:rPr>
        <w:t>האזנה</w:t>
      </w:r>
      <w:r w:rsidRPr="00DD56F1">
        <w:rPr>
          <w:b/>
          <w:bCs/>
          <w:rtl/>
        </w:rPr>
        <w:t xml:space="preserve"> </w:t>
      </w:r>
      <w:r w:rsidRPr="00DD56F1">
        <w:rPr>
          <w:rFonts w:hint="eastAsia"/>
          <w:b/>
          <w:bCs/>
          <w:rtl/>
        </w:rPr>
        <w:t>ש</w:t>
      </w:r>
      <w:r>
        <w:rPr>
          <w:rFonts w:hint="cs"/>
          <w:b/>
          <w:bCs/>
          <w:rtl/>
        </w:rPr>
        <w:t>ה</w:t>
      </w:r>
      <w:r w:rsidRPr="00DD56F1">
        <w:rPr>
          <w:rFonts w:hint="eastAsia"/>
          <w:b/>
          <w:bCs/>
          <w:rtl/>
        </w:rPr>
        <w:t>ופיע</w:t>
      </w:r>
      <w:r w:rsidRPr="00DD56F1">
        <w:rPr>
          <w:b/>
          <w:bCs/>
          <w:rtl/>
        </w:rPr>
        <w:t xml:space="preserve"> </w:t>
      </w:r>
      <w:r w:rsidRPr="00DD56F1">
        <w:rPr>
          <w:rFonts w:hint="eastAsia"/>
          <w:b/>
          <w:bCs/>
          <w:rtl/>
        </w:rPr>
        <w:t>בהיתר</w:t>
      </w:r>
      <w:r w:rsidRPr="00DD56F1">
        <w:rPr>
          <w:b/>
          <w:bCs/>
          <w:rtl/>
        </w:rPr>
        <w:t xml:space="preserve"> </w:t>
      </w:r>
      <w:r w:rsidRPr="00DD56F1">
        <w:rPr>
          <w:rFonts w:hint="eastAsia"/>
          <w:b/>
          <w:bCs/>
          <w:rtl/>
        </w:rPr>
        <w:t>האזנת</w:t>
      </w:r>
      <w:r w:rsidRPr="00DD56F1">
        <w:rPr>
          <w:b/>
          <w:bCs/>
          <w:rtl/>
        </w:rPr>
        <w:t xml:space="preserve"> </w:t>
      </w:r>
      <w:r w:rsidRPr="00DD56F1">
        <w:rPr>
          <w:rFonts w:hint="eastAsia"/>
          <w:b/>
          <w:bCs/>
          <w:rtl/>
        </w:rPr>
        <w:t>סתר</w:t>
      </w:r>
      <w:r w:rsidRPr="00DD56F1">
        <w:rPr>
          <w:b/>
          <w:bCs/>
          <w:rtl/>
        </w:rPr>
        <w:t xml:space="preserve"> </w:t>
      </w:r>
      <w:r w:rsidRPr="00DD56F1">
        <w:rPr>
          <w:rFonts w:hint="eastAsia"/>
          <w:b/>
          <w:bCs/>
          <w:rtl/>
        </w:rPr>
        <w:t>לבין</w:t>
      </w:r>
      <w:r w:rsidRPr="00DD56F1">
        <w:rPr>
          <w:b/>
          <w:bCs/>
          <w:rtl/>
        </w:rPr>
        <w:t xml:space="preserve"> </w:t>
      </w:r>
      <w:r w:rsidR="00601FFA">
        <w:rPr>
          <w:rFonts w:hint="cs"/>
          <w:b/>
          <w:bCs/>
          <w:rtl/>
        </w:rPr>
        <w:t>התקנה</w:t>
      </w:r>
      <w:r w:rsidR="00601FFA" w:rsidRPr="00DD56F1">
        <w:rPr>
          <w:b/>
          <w:bCs/>
          <w:rtl/>
        </w:rPr>
        <w:t xml:space="preserve"> </w:t>
      </w:r>
      <w:r w:rsidRPr="00DD56F1">
        <w:rPr>
          <w:rFonts w:hint="eastAsia"/>
          <w:b/>
          <w:bCs/>
          <w:rtl/>
        </w:rPr>
        <w:t>ספציפית</w:t>
      </w:r>
      <w:r w:rsidRPr="00DD56F1">
        <w:rPr>
          <w:b/>
          <w:bCs/>
          <w:rtl/>
        </w:rPr>
        <w:t xml:space="preserve"> </w:t>
      </w:r>
      <w:r>
        <w:rPr>
          <w:rFonts w:hint="cs"/>
          <w:b/>
          <w:bCs/>
          <w:rtl/>
        </w:rPr>
        <w:t>ש</w:t>
      </w:r>
      <w:r w:rsidRPr="00DD56F1">
        <w:rPr>
          <w:b/>
          <w:bCs/>
          <w:rtl/>
        </w:rPr>
        <w:t>בוצע</w:t>
      </w:r>
      <w:r>
        <w:rPr>
          <w:rFonts w:hint="cs"/>
          <w:b/>
          <w:bCs/>
          <w:rtl/>
        </w:rPr>
        <w:t>ה</w:t>
      </w:r>
      <w:r w:rsidRPr="00DD56F1">
        <w:rPr>
          <w:b/>
          <w:bCs/>
          <w:rtl/>
        </w:rPr>
        <w:t xml:space="preserve"> בכלי טכנולוגי </w:t>
      </w:r>
      <w:r w:rsidRPr="00DD56F1">
        <w:rPr>
          <w:rFonts w:hint="eastAsia"/>
          <w:b/>
          <w:bCs/>
          <w:rtl/>
        </w:rPr>
        <w:t>נעשה</w:t>
      </w:r>
      <w:r w:rsidRPr="00DD56F1">
        <w:rPr>
          <w:b/>
          <w:bCs/>
          <w:rtl/>
        </w:rPr>
        <w:t xml:space="preserve"> באופן </w:t>
      </w:r>
      <w:r w:rsidRPr="00DD56F1">
        <w:rPr>
          <w:rFonts w:hint="eastAsia"/>
          <w:b/>
          <w:bCs/>
          <w:rtl/>
        </w:rPr>
        <w:t>ידני</w:t>
      </w:r>
      <w:r w:rsidRPr="00DD56F1">
        <w:rPr>
          <w:b/>
          <w:bCs/>
          <w:rtl/>
        </w:rPr>
        <w:t xml:space="preserve"> ומסורבל ו</w:t>
      </w:r>
      <w:r>
        <w:rPr>
          <w:rFonts w:hint="cs"/>
          <w:b/>
          <w:bCs/>
          <w:rtl/>
        </w:rPr>
        <w:t xml:space="preserve">היה </w:t>
      </w:r>
      <w:r w:rsidRPr="00DD56F1">
        <w:rPr>
          <w:b/>
          <w:bCs/>
          <w:rtl/>
        </w:rPr>
        <w:t xml:space="preserve">מבוסס על הצלבה </w:t>
      </w:r>
      <w:r w:rsidRPr="00DD56F1">
        <w:rPr>
          <w:rFonts w:hint="eastAsia"/>
          <w:b/>
          <w:bCs/>
          <w:rtl/>
        </w:rPr>
        <w:t>בין</w:t>
      </w:r>
      <w:r w:rsidRPr="00DD56F1">
        <w:rPr>
          <w:b/>
          <w:bCs/>
          <w:rtl/>
        </w:rPr>
        <w:t xml:space="preserve"> </w:t>
      </w:r>
      <w:r w:rsidRPr="00DD56F1">
        <w:rPr>
          <w:rFonts w:hint="eastAsia"/>
          <w:b/>
          <w:bCs/>
          <w:rtl/>
        </w:rPr>
        <w:t>נתוני</w:t>
      </w:r>
      <w:r w:rsidRPr="00DD56F1">
        <w:rPr>
          <w:b/>
          <w:bCs/>
          <w:rtl/>
        </w:rPr>
        <w:t xml:space="preserve"> אמצעי ההאזנה המופיעים בצו </w:t>
      </w:r>
      <w:r w:rsidRPr="00DD56F1">
        <w:rPr>
          <w:rFonts w:hint="eastAsia"/>
          <w:b/>
          <w:bCs/>
          <w:rtl/>
        </w:rPr>
        <w:t>לבין</w:t>
      </w:r>
      <w:r w:rsidRPr="00DD56F1">
        <w:rPr>
          <w:b/>
          <w:bCs/>
          <w:rtl/>
        </w:rPr>
        <w:t xml:space="preserve"> </w:t>
      </w:r>
      <w:r w:rsidR="002A4200">
        <w:rPr>
          <w:rFonts w:hint="cs"/>
          <w:b/>
          <w:bCs/>
          <w:rtl/>
        </w:rPr>
        <w:t>נתונים</w:t>
      </w:r>
      <w:r w:rsidR="002A4200" w:rsidRPr="00DD56F1">
        <w:rPr>
          <w:b/>
          <w:bCs/>
          <w:rtl/>
        </w:rPr>
        <w:t xml:space="preserve"> </w:t>
      </w:r>
      <w:r w:rsidRPr="00DD56F1">
        <w:rPr>
          <w:rFonts w:hint="eastAsia"/>
          <w:b/>
          <w:bCs/>
          <w:rtl/>
        </w:rPr>
        <w:t>שבממשק</w:t>
      </w:r>
      <w:r w:rsidRPr="00DD56F1">
        <w:rPr>
          <w:b/>
          <w:bCs/>
          <w:rtl/>
        </w:rPr>
        <w:t xml:space="preserve"> </w:t>
      </w:r>
      <w:r w:rsidRPr="00DD56F1">
        <w:rPr>
          <w:rFonts w:hint="eastAsia"/>
          <w:b/>
          <w:bCs/>
          <w:rtl/>
        </w:rPr>
        <w:t>המשתמש</w:t>
      </w:r>
      <w:r w:rsidRPr="00DD56F1">
        <w:rPr>
          <w:b/>
          <w:bCs/>
          <w:rtl/>
        </w:rPr>
        <w:t xml:space="preserve"> </w:t>
      </w:r>
      <w:r w:rsidRPr="00DD56F1">
        <w:rPr>
          <w:rFonts w:hint="eastAsia"/>
          <w:b/>
          <w:bCs/>
          <w:rtl/>
        </w:rPr>
        <w:t>בכלי</w:t>
      </w:r>
      <w:r w:rsidRPr="00DD56F1">
        <w:rPr>
          <w:b/>
          <w:bCs/>
          <w:rtl/>
        </w:rPr>
        <w:t xml:space="preserve">. </w:t>
      </w:r>
    </w:p>
    <w:bookmarkEnd w:id="392"/>
    <w:p w:rsidR="000D2656" w:rsidRDefault="000D2656" w:rsidP="00511F5D">
      <w:pPr>
        <w:spacing w:line="269" w:lineRule="auto"/>
        <w:ind w:left="360"/>
        <w:rPr>
          <w:b/>
          <w:bCs/>
          <w:rtl/>
        </w:rPr>
      </w:pPr>
    </w:p>
    <w:p w:rsidR="009A1216" w:rsidRDefault="009A1216" w:rsidP="00511F5D">
      <w:pPr>
        <w:spacing w:line="269" w:lineRule="auto"/>
        <w:ind w:left="360"/>
        <w:rPr>
          <w:b/>
          <w:bCs/>
          <w:rtl/>
        </w:rPr>
      </w:pPr>
      <w:r w:rsidRPr="00DD56F1">
        <w:rPr>
          <w:rFonts w:hint="eastAsia"/>
          <w:b/>
          <w:bCs/>
          <w:rtl/>
        </w:rPr>
        <w:t>עוד</w:t>
      </w:r>
      <w:r w:rsidRPr="00DD56F1">
        <w:rPr>
          <w:b/>
          <w:bCs/>
          <w:rtl/>
        </w:rPr>
        <w:t xml:space="preserve"> </w:t>
      </w:r>
      <w:r w:rsidRPr="00DD56F1">
        <w:rPr>
          <w:rFonts w:hint="eastAsia"/>
          <w:b/>
          <w:bCs/>
          <w:rtl/>
        </w:rPr>
        <w:t>עולה</w:t>
      </w:r>
      <w:r w:rsidRPr="00DD56F1">
        <w:rPr>
          <w:b/>
          <w:bCs/>
          <w:rtl/>
        </w:rPr>
        <w:t xml:space="preserve"> </w:t>
      </w:r>
      <w:r w:rsidRPr="00DD56F1">
        <w:rPr>
          <w:rFonts w:hint="eastAsia"/>
          <w:b/>
          <w:bCs/>
          <w:rtl/>
        </w:rPr>
        <w:t>מבדיקת</w:t>
      </w:r>
      <w:r w:rsidRPr="00DD56F1">
        <w:rPr>
          <w:b/>
          <w:bCs/>
          <w:rtl/>
        </w:rPr>
        <w:t xml:space="preserve"> </w:t>
      </w:r>
      <w:r w:rsidRPr="00DD56F1">
        <w:rPr>
          <w:rFonts w:hint="eastAsia"/>
          <w:b/>
          <w:bCs/>
          <w:rtl/>
        </w:rPr>
        <w:t>מבקר</w:t>
      </w:r>
      <w:r w:rsidRPr="00DD56F1">
        <w:rPr>
          <w:b/>
          <w:bCs/>
          <w:rtl/>
        </w:rPr>
        <w:t xml:space="preserve"> </w:t>
      </w:r>
      <w:r w:rsidRPr="00DD56F1">
        <w:rPr>
          <w:rFonts w:hint="eastAsia"/>
          <w:b/>
          <w:bCs/>
          <w:rtl/>
        </w:rPr>
        <w:t>המדינה</w:t>
      </w:r>
      <w:r w:rsidRPr="00DD56F1">
        <w:rPr>
          <w:b/>
          <w:bCs/>
          <w:rtl/>
        </w:rPr>
        <w:t xml:space="preserve"> </w:t>
      </w:r>
      <w:r w:rsidRPr="00DD56F1">
        <w:rPr>
          <w:rFonts w:hint="eastAsia"/>
          <w:b/>
          <w:bCs/>
          <w:rtl/>
        </w:rPr>
        <w:t>וכן</w:t>
      </w:r>
      <w:r w:rsidRPr="00DD56F1">
        <w:rPr>
          <w:b/>
          <w:bCs/>
          <w:rtl/>
        </w:rPr>
        <w:t xml:space="preserve"> </w:t>
      </w:r>
      <w:r w:rsidRPr="00DD56F1">
        <w:rPr>
          <w:rFonts w:hint="eastAsia"/>
          <w:b/>
          <w:bCs/>
          <w:rtl/>
        </w:rPr>
        <w:t>מעבודת</w:t>
      </w:r>
      <w:r w:rsidRPr="00DD56F1">
        <w:rPr>
          <w:b/>
          <w:bCs/>
          <w:rtl/>
        </w:rPr>
        <w:t xml:space="preserve"> </w:t>
      </w:r>
      <w:r w:rsidRPr="00DD56F1">
        <w:rPr>
          <w:rFonts w:hint="eastAsia"/>
          <w:b/>
          <w:bCs/>
          <w:rtl/>
        </w:rPr>
        <w:t>צוות</w:t>
      </w:r>
      <w:r w:rsidRPr="00DD56F1">
        <w:rPr>
          <w:b/>
          <w:bCs/>
          <w:rtl/>
        </w:rPr>
        <w:t xml:space="preserve"> </w:t>
      </w:r>
      <w:r w:rsidRPr="00DD56F1">
        <w:rPr>
          <w:rFonts w:hint="eastAsia"/>
          <w:b/>
          <w:bCs/>
          <w:rtl/>
        </w:rPr>
        <w:t>מררי</w:t>
      </w:r>
      <w:r w:rsidRPr="00DD56F1">
        <w:rPr>
          <w:b/>
          <w:bCs/>
          <w:rtl/>
        </w:rPr>
        <w:t xml:space="preserve"> כי </w:t>
      </w:r>
      <w:r w:rsidRPr="00DD56F1">
        <w:rPr>
          <w:rFonts w:hint="eastAsia"/>
          <w:b/>
          <w:bCs/>
          <w:rtl/>
        </w:rPr>
        <w:t>רישום</w:t>
      </w:r>
      <w:r w:rsidRPr="00DD56F1">
        <w:rPr>
          <w:b/>
          <w:bCs/>
          <w:rtl/>
        </w:rPr>
        <w:t xml:space="preserve"> </w:t>
      </w:r>
      <w:r w:rsidR="00601FFA">
        <w:rPr>
          <w:rFonts w:hint="cs"/>
          <w:b/>
          <w:bCs/>
          <w:rtl/>
        </w:rPr>
        <w:t>ההתקנות</w:t>
      </w:r>
      <w:r w:rsidR="00601FFA" w:rsidRPr="00DD56F1">
        <w:rPr>
          <w:b/>
          <w:bCs/>
          <w:rtl/>
        </w:rPr>
        <w:t xml:space="preserve"> </w:t>
      </w:r>
      <w:r w:rsidRPr="00DD56F1">
        <w:rPr>
          <w:rFonts w:hint="eastAsia"/>
          <w:b/>
          <w:bCs/>
          <w:rtl/>
        </w:rPr>
        <w:t>באמצעות</w:t>
      </w:r>
      <w:r w:rsidRPr="00DD56F1">
        <w:rPr>
          <w:b/>
          <w:bCs/>
          <w:rtl/>
        </w:rPr>
        <w:t xml:space="preserve"> </w:t>
      </w:r>
      <w:r w:rsidRPr="00DD56F1">
        <w:rPr>
          <w:rFonts w:hint="eastAsia"/>
          <w:b/>
          <w:bCs/>
          <w:rtl/>
        </w:rPr>
        <w:t>הכלים</w:t>
      </w:r>
      <w:r w:rsidRPr="00DD56F1">
        <w:rPr>
          <w:b/>
          <w:bCs/>
          <w:rtl/>
        </w:rPr>
        <w:t xml:space="preserve"> </w:t>
      </w:r>
      <w:r w:rsidRPr="00DD56F1">
        <w:rPr>
          <w:rFonts w:hint="eastAsia"/>
          <w:b/>
          <w:bCs/>
          <w:rtl/>
        </w:rPr>
        <w:t>הטכנולוגיים</w:t>
      </w:r>
      <w:r w:rsidRPr="00DD56F1">
        <w:rPr>
          <w:b/>
          <w:bCs/>
          <w:rtl/>
        </w:rPr>
        <w:t xml:space="preserve"> </w:t>
      </w:r>
      <w:r w:rsidRPr="00DD56F1">
        <w:rPr>
          <w:rFonts w:hint="eastAsia"/>
          <w:b/>
          <w:bCs/>
          <w:rtl/>
        </w:rPr>
        <w:t>לא</w:t>
      </w:r>
      <w:r w:rsidRPr="00DD56F1">
        <w:rPr>
          <w:b/>
          <w:bCs/>
          <w:rtl/>
        </w:rPr>
        <w:t xml:space="preserve"> </w:t>
      </w:r>
      <w:r w:rsidRPr="00DD56F1">
        <w:rPr>
          <w:rFonts w:hint="eastAsia"/>
          <w:b/>
          <w:bCs/>
          <w:rtl/>
        </w:rPr>
        <w:t>עוגן</w:t>
      </w:r>
      <w:r w:rsidRPr="00DD56F1">
        <w:rPr>
          <w:b/>
          <w:bCs/>
          <w:rtl/>
        </w:rPr>
        <w:t xml:space="preserve"> </w:t>
      </w:r>
      <w:r w:rsidRPr="00DD56F1">
        <w:rPr>
          <w:rFonts w:hint="eastAsia"/>
          <w:b/>
          <w:bCs/>
          <w:rtl/>
        </w:rPr>
        <w:t>בנהלים</w:t>
      </w:r>
      <w:r w:rsidRPr="00DD56F1">
        <w:rPr>
          <w:b/>
          <w:bCs/>
          <w:rtl/>
        </w:rPr>
        <w:t>, ו</w:t>
      </w:r>
      <w:r w:rsidRPr="00DD56F1">
        <w:rPr>
          <w:rFonts w:hint="eastAsia"/>
          <w:b/>
          <w:bCs/>
          <w:rtl/>
        </w:rPr>
        <w:t>כי</w:t>
      </w:r>
      <w:r w:rsidRPr="00DD56F1">
        <w:rPr>
          <w:b/>
          <w:bCs/>
          <w:rtl/>
        </w:rPr>
        <w:t xml:space="preserve"> </w:t>
      </w:r>
      <w:r w:rsidRPr="00DD56F1">
        <w:rPr>
          <w:rFonts w:hint="eastAsia"/>
          <w:b/>
          <w:bCs/>
          <w:rtl/>
        </w:rPr>
        <w:t>כל</w:t>
      </w:r>
      <w:r w:rsidRPr="00DD56F1">
        <w:rPr>
          <w:b/>
          <w:bCs/>
          <w:rtl/>
        </w:rPr>
        <w:t xml:space="preserve"> </w:t>
      </w:r>
      <w:r w:rsidRPr="00DD56F1">
        <w:rPr>
          <w:rFonts w:hint="eastAsia"/>
          <w:b/>
          <w:bCs/>
          <w:rtl/>
        </w:rPr>
        <w:t>מטרה</w:t>
      </w:r>
      <w:r w:rsidRPr="00DD56F1">
        <w:rPr>
          <w:rStyle w:val="af"/>
          <w:b/>
          <w:bCs/>
          <w:rtl/>
        </w:rPr>
        <w:footnoteReference w:id="159"/>
      </w:r>
      <w:r w:rsidRPr="00DD56F1">
        <w:rPr>
          <w:b/>
          <w:bCs/>
          <w:rtl/>
        </w:rPr>
        <w:t xml:space="preserve"> חדשה </w:t>
      </w:r>
      <w:r w:rsidR="00601FFA">
        <w:rPr>
          <w:rFonts w:hint="cs"/>
          <w:b/>
          <w:bCs/>
          <w:rtl/>
        </w:rPr>
        <w:t>להתקנה</w:t>
      </w:r>
      <w:r w:rsidR="00601FFA" w:rsidRPr="00DD56F1">
        <w:rPr>
          <w:b/>
          <w:bCs/>
          <w:rtl/>
        </w:rPr>
        <w:t xml:space="preserve"> </w:t>
      </w:r>
      <w:r w:rsidRPr="00DD56F1">
        <w:rPr>
          <w:b/>
          <w:bCs/>
          <w:rtl/>
        </w:rPr>
        <w:t xml:space="preserve">נקשרת ליעד האזנה ספציפי, אך </w:t>
      </w:r>
      <w:r w:rsidRPr="00DD56F1">
        <w:rPr>
          <w:rFonts w:hint="eastAsia"/>
          <w:b/>
          <w:bCs/>
          <w:rtl/>
        </w:rPr>
        <w:t>ייתכן</w:t>
      </w:r>
      <w:r w:rsidRPr="00DD56F1">
        <w:rPr>
          <w:b/>
          <w:bCs/>
          <w:rtl/>
        </w:rPr>
        <w:t xml:space="preserve"> </w:t>
      </w:r>
      <w:r w:rsidRPr="00DD56F1">
        <w:rPr>
          <w:rFonts w:hint="eastAsia"/>
          <w:b/>
          <w:bCs/>
          <w:rtl/>
        </w:rPr>
        <w:t>כי</w:t>
      </w:r>
      <w:r w:rsidRPr="00DD56F1">
        <w:rPr>
          <w:b/>
          <w:bCs/>
          <w:rtl/>
        </w:rPr>
        <w:t xml:space="preserve"> כמה </w:t>
      </w:r>
      <w:r w:rsidR="00601FFA">
        <w:rPr>
          <w:rFonts w:hint="cs"/>
          <w:b/>
          <w:bCs/>
          <w:rtl/>
        </w:rPr>
        <w:t>התקנות</w:t>
      </w:r>
      <w:r w:rsidR="00601FFA" w:rsidRPr="00DD56F1">
        <w:rPr>
          <w:b/>
          <w:bCs/>
          <w:rtl/>
        </w:rPr>
        <w:t xml:space="preserve"> </w:t>
      </w:r>
      <w:r w:rsidRPr="00DD56F1">
        <w:rPr>
          <w:rFonts w:hint="eastAsia"/>
          <w:b/>
          <w:bCs/>
          <w:rtl/>
        </w:rPr>
        <w:t>נוגעות</w:t>
      </w:r>
      <w:r w:rsidRPr="00DD56F1">
        <w:rPr>
          <w:b/>
          <w:bCs/>
          <w:rtl/>
        </w:rPr>
        <w:t xml:space="preserve"> </w:t>
      </w:r>
      <w:r w:rsidRPr="00DD56F1">
        <w:rPr>
          <w:rFonts w:hint="eastAsia"/>
          <w:b/>
          <w:bCs/>
          <w:rtl/>
        </w:rPr>
        <w:t>לאותו</w:t>
      </w:r>
      <w:r w:rsidRPr="00DD56F1">
        <w:rPr>
          <w:b/>
          <w:bCs/>
          <w:rtl/>
        </w:rPr>
        <w:t xml:space="preserve"> </w:t>
      </w:r>
      <w:r w:rsidRPr="00DD56F1">
        <w:rPr>
          <w:rFonts w:hint="eastAsia"/>
          <w:b/>
          <w:bCs/>
          <w:rtl/>
        </w:rPr>
        <w:t>יעד</w:t>
      </w:r>
      <w:r w:rsidRPr="00DD56F1">
        <w:rPr>
          <w:b/>
          <w:bCs/>
          <w:rtl/>
        </w:rPr>
        <w:t xml:space="preserve"> </w:t>
      </w:r>
      <w:r w:rsidRPr="00DD56F1">
        <w:rPr>
          <w:rFonts w:hint="eastAsia"/>
          <w:b/>
          <w:bCs/>
          <w:rtl/>
        </w:rPr>
        <w:t>האזנה</w:t>
      </w:r>
      <w:r w:rsidRPr="00DD56F1">
        <w:rPr>
          <w:b/>
          <w:bCs/>
          <w:rtl/>
        </w:rPr>
        <w:t xml:space="preserve"> או </w:t>
      </w:r>
      <w:r w:rsidRPr="00DD56F1">
        <w:rPr>
          <w:rFonts w:hint="eastAsia"/>
          <w:b/>
          <w:bCs/>
          <w:rtl/>
        </w:rPr>
        <w:t>כי</w:t>
      </w:r>
      <w:r w:rsidRPr="00DD56F1">
        <w:rPr>
          <w:b/>
          <w:bCs/>
          <w:rtl/>
        </w:rPr>
        <w:t xml:space="preserve"> ליעד </w:t>
      </w:r>
      <w:r w:rsidRPr="00DD56F1">
        <w:rPr>
          <w:rFonts w:hint="eastAsia"/>
          <w:b/>
          <w:bCs/>
          <w:rtl/>
        </w:rPr>
        <w:t>האזנה</w:t>
      </w:r>
      <w:r w:rsidRPr="00DD56F1">
        <w:rPr>
          <w:b/>
          <w:bCs/>
          <w:rtl/>
        </w:rPr>
        <w:t xml:space="preserve"> ואמצעי האזנה אחד נקבעו </w:t>
      </w:r>
      <w:r w:rsidRPr="00DD56F1">
        <w:rPr>
          <w:rFonts w:hint="eastAsia"/>
          <w:b/>
          <w:bCs/>
          <w:rtl/>
        </w:rPr>
        <w:t>כמה</w:t>
      </w:r>
      <w:r w:rsidRPr="00DD56F1">
        <w:rPr>
          <w:b/>
          <w:bCs/>
          <w:rtl/>
        </w:rPr>
        <w:t xml:space="preserve"> </w:t>
      </w:r>
      <w:r w:rsidRPr="00DD56F1">
        <w:rPr>
          <w:rFonts w:hint="eastAsia"/>
          <w:b/>
          <w:bCs/>
          <w:rtl/>
        </w:rPr>
        <w:t>מטרות</w:t>
      </w:r>
      <w:r w:rsidRPr="00DD56F1">
        <w:rPr>
          <w:b/>
          <w:bCs/>
          <w:rtl/>
        </w:rPr>
        <w:t xml:space="preserve">. </w:t>
      </w:r>
      <w:r w:rsidRPr="00DD56F1">
        <w:rPr>
          <w:rFonts w:hint="eastAsia"/>
          <w:b/>
          <w:bCs/>
          <w:rtl/>
        </w:rPr>
        <w:t>לפיכך</w:t>
      </w:r>
      <w:r w:rsidRPr="00DD56F1">
        <w:rPr>
          <w:b/>
          <w:bCs/>
          <w:rtl/>
        </w:rPr>
        <w:t xml:space="preserve"> אף שצוות מררי איתר בשליפת מאגרי הנתונים של כלי טכנולוגי מסוים </w:t>
      </w:r>
      <w:r w:rsidRPr="00DD56F1">
        <w:rPr>
          <w:rFonts w:hint="eastAsia"/>
          <w:b/>
          <w:bCs/>
          <w:rtl/>
        </w:rPr>
        <w:t>היקף</w:t>
      </w:r>
      <w:r w:rsidRPr="00DD56F1">
        <w:rPr>
          <w:b/>
          <w:bCs/>
          <w:rtl/>
        </w:rPr>
        <w:t xml:space="preserve"> </w:t>
      </w:r>
      <w:r w:rsidRPr="00DD56F1">
        <w:rPr>
          <w:rFonts w:hint="eastAsia"/>
          <w:b/>
          <w:bCs/>
          <w:rtl/>
        </w:rPr>
        <w:t>מסוים</w:t>
      </w:r>
      <w:r w:rsidRPr="00DD56F1">
        <w:rPr>
          <w:b/>
          <w:bCs/>
          <w:rtl/>
        </w:rPr>
        <w:t xml:space="preserve"> </w:t>
      </w:r>
      <w:r w:rsidRPr="00DD56F1">
        <w:rPr>
          <w:rFonts w:hint="eastAsia"/>
          <w:b/>
          <w:bCs/>
          <w:rtl/>
        </w:rPr>
        <w:t>של</w:t>
      </w:r>
      <w:r w:rsidRPr="00DD56F1">
        <w:rPr>
          <w:b/>
          <w:bCs/>
          <w:rtl/>
        </w:rPr>
        <w:t xml:space="preserve"> </w:t>
      </w:r>
      <w:r w:rsidRPr="00DD56F1">
        <w:rPr>
          <w:rFonts w:hint="eastAsia"/>
          <w:b/>
          <w:bCs/>
          <w:rtl/>
        </w:rPr>
        <w:t>מטרות</w:t>
      </w:r>
      <w:r w:rsidRPr="00DD56F1">
        <w:rPr>
          <w:b/>
          <w:bCs/>
          <w:rtl/>
        </w:rPr>
        <w:t xml:space="preserve"> </w:t>
      </w:r>
      <w:r w:rsidRPr="00DD56F1">
        <w:rPr>
          <w:rFonts w:hint="eastAsia"/>
          <w:b/>
          <w:bCs/>
          <w:rtl/>
        </w:rPr>
        <w:t>ייחודיות</w:t>
      </w:r>
      <w:r w:rsidRPr="00DD56F1">
        <w:rPr>
          <w:b/>
          <w:bCs/>
          <w:rtl/>
        </w:rPr>
        <w:t xml:space="preserve"> </w:t>
      </w:r>
      <w:r w:rsidR="00601FFA">
        <w:rPr>
          <w:rFonts w:hint="cs"/>
          <w:b/>
          <w:bCs/>
          <w:rtl/>
        </w:rPr>
        <w:t>להתקנה</w:t>
      </w:r>
      <w:r w:rsidRPr="00DD56F1">
        <w:rPr>
          <w:rStyle w:val="af"/>
          <w:b/>
          <w:bCs/>
          <w:rtl/>
        </w:rPr>
        <w:footnoteReference w:id="160"/>
      </w:r>
      <w:r w:rsidRPr="00DD56F1">
        <w:rPr>
          <w:b/>
          <w:bCs/>
          <w:rtl/>
        </w:rPr>
        <w:t xml:space="preserve">, </w:t>
      </w:r>
      <w:r w:rsidRPr="00DD56F1">
        <w:rPr>
          <w:rFonts w:hint="eastAsia"/>
          <w:b/>
          <w:bCs/>
          <w:rtl/>
        </w:rPr>
        <w:t>לא</w:t>
      </w:r>
      <w:r w:rsidRPr="00DD56F1">
        <w:rPr>
          <w:b/>
          <w:bCs/>
          <w:rtl/>
        </w:rPr>
        <w:t xml:space="preserve"> </w:t>
      </w:r>
      <w:r w:rsidRPr="00DD56F1">
        <w:rPr>
          <w:rFonts w:hint="eastAsia"/>
          <w:b/>
          <w:bCs/>
          <w:rtl/>
        </w:rPr>
        <w:t>ניתן</w:t>
      </w:r>
      <w:r w:rsidRPr="00DD56F1">
        <w:rPr>
          <w:b/>
          <w:bCs/>
          <w:rtl/>
        </w:rPr>
        <w:t xml:space="preserve"> </w:t>
      </w:r>
      <w:r w:rsidRPr="00DD56F1">
        <w:rPr>
          <w:rFonts w:hint="eastAsia"/>
          <w:b/>
          <w:bCs/>
          <w:rtl/>
        </w:rPr>
        <w:t>להבטיח</w:t>
      </w:r>
      <w:r w:rsidRPr="00DD56F1">
        <w:rPr>
          <w:b/>
          <w:bCs/>
          <w:rtl/>
        </w:rPr>
        <w:t xml:space="preserve"> </w:t>
      </w:r>
      <w:r w:rsidRPr="00DD56F1">
        <w:rPr>
          <w:rFonts w:hint="eastAsia"/>
          <w:b/>
          <w:bCs/>
          <w:rtl/>
        </w:rPr>
        <w:t>כי</w:t>
      </w:r>
      <w:r w:rsidRPr="00DD56F1">
        <w:rPr>
          <w:b/>
          <w:bCs/>
          <w:rtl/>
        </w:rPr>
        <w:t xml:space="preserve"> </w:t>
      </w:r>
      <w:r w:rsidRPr="00DD56F1">
        <w:rPr>
          <w:rFonts w:hint="eastAsia"/>
          <w:b/>
          <w:bCs/>
          <w:rtl/>
        </w:rPr>
        <w:t>מדובר</w:t>
      </w:r>
      <w:r w:rsidRPr="00DD56F1">
        <w:rPr>
          <w:b/>
          <w:bCs/>
          <w:rtl/>
        </w:rPr>
        <w:t xml:space="preserve"> </w:t>
      </w:r>
      <w:r w:rsidRPr="00DD56F1">
        <w:rPr>
          <w:rFonts w:hint="eastAsia"/>
          <w:b/>
          <w:bCs/>
          <w:rtl/>
        </w:rPr>
        <w:t>ביעדי</w:t>
      </w:r>
      <w:r w:rsidRPr="00DD56F1">
        <w:rPr>
          <w:b/>
          <w:bCs/>
          <w:rtl/>
        </w:rPr>
        <w:t xml:space="preserve"> </w:t>
      </w:r>
      <w:r w:rsidRPr="00DD56F1">
        <w:rPr>
          <w:rFonts w:hint="eastAsia"/>
          <w:b/>
          <w:bCs/>
          <w:rtl/>
        </w:rPr>
        <w:t>האזנה</w:t>
      </w:r>
      <w:r w:rsidRPr="00DD56F1">
        <w:rPr>
          <w:b/>
          <w:bCs/>
          <w:rtl/>
        </w:rPr>
        <w:t xml:space="preserve"> </w:t>
      </w:r>
      <w:r w:rsidRPr="00DD56F1">
        <w:rPr>
          <w:rFonts w:hint="eastAsia"/>
          <w:b/>
          <w:bCs/>
          <w:rtl/>
        </w:rPr>
        <w:t>שונים</w:t>
      </w:r>
      <w:r w:rsidRPr="00DD56F1">
        <w:rPr>
          <w:b/>
          <w:bCs/>
          <w:rtl/>
        </w:rPr>
        <w:t xml:space="preserve"> או </w:t>
      </w:r>
      <w:r w:rsidR="00601FFA">
        <w:rPr>
          <w:rFonts w:hint="cs"/>
          <w:b/>
          <w:bCs/>
          <w:rtl/>
        </w:rPr>
        <w:t>בהתקנות</w:t>
      </w:r>
      <w:r w:rsidR="00601FFA" w:rsidRPr="00DD56F1">
        <w:rPr>
          <w:b/>
          <w:bCs/>
          <w:rtl/>
        </w:rPr>
        <w:t xml:space="preserve"> </w:t>
      </w:r>
      <w:r w:rsidRPr="00DD56F1">
        <w:rPr>
          <w:b/>
          <w:bCs/>
          <w:rtl/>
        </w:rPr>
        <w:t xml:space="preserve">ייחודיות. </w:t>
      </w:r>
    </w:p>
    <w:bookmarkEnd w:id="393"/>
    <w:p w:rsidR="009A1216" w:rsidRDefault="009A1216" w:rsidP="00511F5D">
      <w:pPr>
        <w:pStyle w:val="a5"/>
        <w:spacing w:line="269" w:lineRule="auto"/>
        <w:ind w:left="0"/>
        <w:rPr>
          <w:rtl/>
        </w:rPr>
      </w:pPr>
      <w:r>
        <w:rPr>
          <w:rFonts w:hint="cs"/>
          <w:rtl/>
        </w:rPr>
        <w:t xml:space="preserve">  </w:t>
      </w:r>
    </w:p>
    <w:p w:rsidR="009A1216" w:rsidRPr="005571ED" w:rsidRDefault="009A1216" w:rsidP="00511F5D">
      <w:pPr>
        <w:spacing w:line="269" w:lineRule="auto"/>
        <w:ind w:left="360"/>
        <w:rPr>
          <w:rtl/>
        </w:rPr>
      </w:pPr>
      <w:r w:rsidRPr="005571ED">
        <w:rPr>
          <w:rFonts w:hint="eastAsia"/>
          <w:rtl/>
        </w:rPr>
        <w:t>המשטרה</w:t>
      </w:r>
      <w:r w:rsidRPr="005571ED">
        <w:rPr>
          <w:rtl/>
        </w:rPr>
        <w:t xml:space="preserve"> </w:t>
      </w:r>
      <w:r w:rsidRPr="005571ED">
        <w:rPr>
          <w:rFonts w:hint="eastAsia"/>
          <w:rtl/>
        </w:rPr>
        <w:t>מסרה</w:t>
      </w:r>
      <w:r w:rsidRPr="005571ED">
        <w:rPr>
          <w:rtl/>
        </w:rPr>
        <w:t xml:space="preserve"> </w:t>
      </w:r>
      <w:r w:rsidRPr="005571ED">
        <w:rPr>
          <w:rFonts w:hint="eastAsia"/>
          <w:rtl/>
        </w:rPr>
        <w:t>בתגובתה</w:t>
      </w:r>
      <w:r w:rsidRPr="005571ED">
        <w:rPr>
          <w:rtl/>
        </w:rPr>
        <w:t xml:space="preserve"> </w:t>
      </w:r>
      <w:r w:rsidRPr="005571ED">
        <w:rPr>
          <w:rFonts w:hint="eastAsia"/>
          <w:rtl/>
        </w:rPr>
        <w:t>כי</w:t>
      </w:r>
      <w:r w:rsidRPr="005571ED">
        <w:rPr>
          <w:rtl/>
        </w:rPr>
        <w:t xml:space="preserve"> </w:t>
      </w:r>
      <w:r w:rsidRPr="005571ED">
        <w:rPr>
          <w:rFonts w:hint="eastAsia"/>
          <w:rtl/>
        </w:rPr>
        <w:t>במהלך</w:t>
      </w:r>
      <w:r w:rsidRPr="005571ED">
        <w:rPr>
          <w:rtl/>
        </w:rPr>
        <w:t xml:space="preserve"> </w:t>
      </w:r>
      <w:r w:rsidRPr="005571ED">
        <w:rPr>
          <w:rFonts w:hint="eastAsia"/>
          <w:rtl/>
        </w:rPr>
        <w:t>הביקורת</w:t>
      </w:r>
      <w:r w:rsidRPr="005571ED">
        <w:rPr>
          <w:rtl/>
        </w:rPr>
        <w:t xml:space="preserve">, </w:t>
      </w:r>
      <w:r w:rsidRPr="005571ED">
        <w:rPr>
          <w:rFonts w:hint="eastAsia"/>
          <w:rtl/>
        </w:rPr>
        <w:t>בשלהי</w:t>
      </w:r>
      <w:r>
        <w:rPr>
          <w:rFonts w:hint="cs"/>
          <w:rtl/>
        </w:rPr>
        <w:t xml:space="preserve"> שנת</w:t>
      </w:r>
      <w:r w:rsidRPr="005571ED">
        <w:rPr>
          <w:rtl/>
        </w:rPr>
        <w:t xml:space="preserve"> 2022, </w:t>
      </w:r>
      <w:r w:rsidRPr="005571ED">
        <w:rPr>
          <w:rFonts w:hint="eastAsia"/>
          <w:rtl/>
        </w:rPr>
        <w:t>היא</w:t>
      </w:r>
      <w:r w:rsidRPr="005571ED">
        <w:rPr>
          <w:rtl/>
        </w:rPr>
        <w:t xml:space="preserve"> </w:t>
      </w:r>
      <w:r w:rsidRPr="005571ED">
        <w:rPr>
          <w:rFonts w:hint="eastAsia"/>
          <w:rtl/>
        </w:rPr>
        <w:t>החלה</w:t>
      </w:r>
      <w:r w:rsidRPr="005571ED">
        <w:rPr>
          <w:rtl/>
        </w:rPr>
        <w:t xml:space="preserve"> </w:t>
      </w:r>
      <w:r w:rsidRPr="005571ED">
        <w:rPr>
          <w:rFonts w:hint="eastAsia"/>
          <w:rtl/>
        </w:rPr>
        <w:t>לגבש</w:t>
      </w:r>
      <w:r w:rsidRPr="005571ED">
        <w:rPr>
          <w:rtl/>
        </w:rPr>
        <w:t xml:space="preserve"> </w:t>
      </w:r>
      <w:r w:rsidR="00653609">
        <w:rPr>
          <w:rFonts w:hint="cs"/>
          <w:rtl/>
        </w:rPr>
        <w:t>הנחיות</w:t>
      </w:r>
      <w:r w:rsidRPr="005571ED">
        <w:rPr>
          <w:rtl/>
        </w:rPr>
        <w:t xml:space="preserve"> </w:t>
      </w:r>
      <w:r>
        <w:rPr>
          <w:rFonts w:hint="cs"/>
          <w:rtl/>
        </w:rPr>
        <w:t>למפעילים והנחיות עבודה למפיקים בנוגע לשימוש בכלים הטכנולוגיים</w:t>
      </w:r>
      <w:r w:rsidRPr="005571ED">
        <w:rPr>
          <w:rtl/>
        </w:rPr>
        <w:t xml:space="preserve"> המצויים בשימושה אשר בין היתר יעגנ</w:t>
      </w:r>
      <w:r>
        <w:rPr>
          <w:rFonts w:hint="cs"/>
          <w:rtl/>
        </w:rPr>
        <w:t>ו</w:t>
      </w:r>
      <w:r w:rsidRPr="005571ED">
        <w:rPr>
          <w:rtl/>
        </w:rPr>
        <w:t xml:space="preserve"> את הדרישה לתעד את סוג </w:t>
      </w:r>
      <w:r w:rsidR="00601FFA">
        <w:rPr>
          <w:rFonts w:hint="cs"/>
          <w:rtl/>
        </w:rPr>
        <w:t>ההתקנה</w:t>
      </w:r>
      <w:r w:rsidRPr="005571ED">
        <w:rPr>
          <w:rtl/>
        </w:rPr>
        <w:t>.</w:t>
      </w:r>
      <w:r>
        <w:rPr>
          <w:rFonts w:hint="cs"/>
          <w:rtl/>
        </w:rPr>
        <w:t xml:space="preserve"> </w:t>
      </w:r>
    </w:p>
    <w:p w:rsidR="000D2656" w:rsidRDefault="000D2656" w:rsidP="00511F5D">
      <w:pPr>
        <w:spacing w:line="269" w:lineRule="auto"/>
        <w:ind w:left="360"/>
        <w:rPr>
          <w:rtl/>
        </w:rPr>
      </w:pPr>
    </w:p>
    <w:p w:rsidR="009A1216" w:rsidRPr="005571ED" w:rsidRDefault="009A1216" w:rsidP="00511F5D">
      <w:pPr>
        <w:spacing w:line="269" w:lineRule="auto"/>
        <w:ind w:left="360"/>
        <w:rPr>
          <w:rtl/>
        </w:rPr>
      </w:pPr>
      <w:r w:rsidRPr="005571ED">
        <w:rPr>
          <w:rFonts w:hint="eastAsia"/>
          <w:rtl/>
        </w:rPr>
        <w:t>לפי</w:t>
      </w:r>
      <w:r w:rsidRPr="005571ED">
        <w:rPr>
          <w:rtl/>
        </w:rPr>
        <w:t xml:space="preserve"> </w:t>
      </w:r>
      <w:r w:rsidRPr="005571ED">
        <w:rPr>
          <w:rFonts w:hint="eastAsia"/>
          <w:rtl/>
        </w:rPr>
        <w:t>בדיקת</w:t>
      </w:r>
      <w:r w:rsidRPr="005571ED">
        <w:rPr>
          <w:rtl/>
        </w:rPr>
        <w:t xml:space="preserve"> </w:t>
      </w:r>
      <w:r w:rsidRPr="005571ED">
        <w:rPr>
          <w:rFonts w:hint="eastAsia"/>
          <w:rtl/>
        </w:rPr>
        <w:t>מאגרי</w:t>
      </w:r>
      <w:r w:rsidRPr="005571ED">
        <w:rPr>
          <w:rtl/>
        </w:rPr>
        <w:t xml:space="preserve"> </w:t>
      </w:r>
      <w:r w:rsidRPr="005571ED">
        <w:rPr>
          <w:rFonts w:hint="eastAsia"/>
          <w:rtl/>
        </w:rPr>
        <w:t>הנתונים</w:t>
      </w:r>
      <w:r w:rsidRPr="005571ED">
        <w:rPr>
          <w:rtl/>
        </w:rPr>
        <w:t xml:space="preserve"> </w:t>
      </w:r>
      <w:r>
        <w:rPr>
          <w:rFonts w:hint="cs"/>
          <w:rtl/>
        </w:rPr>
        <w:t>שביצע</w:t>
      </w:r>
      <w:r w:rsidRPr="005571ED">
        <w:rPr>
          <w:rtl/>
        </w:rPr>
        <w:t xml:space="preserve"> </w:t>
      </w:r>
      <w:r w:rsidRPr="005571ED">
        <w:rPr>
          <w:rFonts w:hint="eastAsia"/>
          <w:rtl/>
        </w:rPr>
        <w:t>צוות</w:t>
      </w:r>
      <w:r w:rsidRPr="005571ED">
        <w:rPr>
          <w:rtl/>
        </w:rPr>
        <w:t xml:space="preserve"> </w:t>
      </w:r>
      <w:r w:rsidRPr="005571ED">
        <w:rPr>
          <w:rFonts w:hint="eastAsia"/>
          <w:rtl/>
        </w:rPr>
        <w:t>מררי</w:t>
      </w:r>
      <w:r w:rsidRPr="005571ED">
        <w:rPr>
          <w:rtl/>
        </w:rPr>
        <w:t xml:space="preserve">, </w:t>
      </w:r>
      <w:r w:rsidRPr="005571ED">
        <w:rPr>
          <w:rFonts w:hint="eastAsia"/>
          <w:rtl/>
        </w:rPr>
        <w:t>ולנוכח</w:t>
      </w:r>
      <w:r w:rsidRPr="005571ED">
        <w:rPr>
          <w:rtl/>
        </w:rPr>
        <w:t xml:space="preserve"> האמור לעיל </w:t>
      </w:r>
      <w:r>
        <w:rPr>
          <w:rFonts w:hint="cs"/>
          <w:rtl/>
        </w:rPr>
        <w:t>בנוגע</w:t>
      </w:r>
      <w:r w:rsidRPr="005571ED">
        <w:rPr>
          <w:rtl/>
        </w:rPr>
        <w:t xml:space="preserve"> </w:t>
      </w:r>
      <w:r w:rsidRPr="005571ED">
        <w:rPr>
          <w:rFonts w:hint="eastAsia"/>
          <w:rtl/>
        </w:rPr>
        <w:t>לקושי</w:t>
      </w:r>
      <w:r w:rsidRPr="005571ED">
        <w:rPr>
          <w:rtl/>
        </w:rPr>
        <w:t xml:space="preserve"> לקבוע מסמרות לעניין מספר יעדי ההאזנה </w:t>
      </w:r>
      <w:r w:rsidRPr="005571ED">
        <w:rPr>
          <w:rFonts w:hint="eastAsia"/>
          <w:rtl/>
        </w:rPr>
        <w:t>וספירת</w:t>
      </w:r>
      <w:r w:rsidRPr="005571ED">
        <w:rPr>
          <w:rtl/>
        </w:rPr>
        <w:t xml:space="preserve"> </w:t>
      </w:r>
      <w:r w:rsidRPr="005571ED">
        <w:rPr>
          <w:rFonts w:hint="eastAsia"/>
          <w:rtl/>
        </w:rPr>
        <w:t>המטרות</w:t>
      </w:r>
      <w:r w:rsidRPr="005571ED">
        <w:rPr>
          <w:rtl/>
        </w:rPr>
        <w:t xml:space="preserve">: </w:t>
      </w:r>
      <w:bookmarkStart w:id="395" w:name="_Hlk184717976"/>
      <w:r w:rsidRPr="005571ED">
        <w:rPr>
          <w:rtl/>
        </w:rPr>
        <w:t xml:space="preserve">מתחילת שנת 2018 ועד תחילת שנת 2022 </w:t>
      </w:r>
      <w:bookmarkEnd w:id="395"/>
      <w:r w:rsidRPr="005571ED">
        <w:rPr>
          <w:rtl/>
        </w:rPr>
        <w:t xml:space="preserve">אותרו </w:t>
      </w:r>
      <w:r w:rsidR="0057757F">
        <w:rPr>
          <w:rFonts w:hint="cs"/>
          <w:rtl/>
        </w:rPr>
        <w:t>יותר מאלף</w:t>
      </w:r>
      <w:r w:rsidRPr="005571ED">
        <w:rPr>
          <w:rtl/>
        </w:rPr>
        <w:t xml:space="preserve"> מטרות ייחודיות </w:t>
      </w:r>
      <w:r w:rsidR="00601FFA">
        <w:rPr>
          <w:rFonts w:hint="cs"/>
          <w:rtl/>
        </w:rPr>
        <w:t xml:space="preserve">להתקנה </w:t>
      </w:r>
      <w:r w:rsidRPr="005571ED">
        <w:rPr>
          <w:rtl/>
        </w:rPr>
        <w:t>ב</w:t>
      </w:r>
      <w:r w:rsidR="00601FFA">
        <w:rPr>
          <w:rFonts w:hint="cs"/>
          <w:rtl/>
        </w:rPr>
        <w:t xml:space="preserve">אמצעות </w:t>
      </w:r>
      <w:r w:rsidRPr="005571ED">
        <w:rPr>
          <w:rtl/>
        </w:rPr>
        <w:t xml:space="preserve">כלי </w:t>
      </w:r>
      <w:r w:rsidRPr="005571ED">
        <w:rPr>
          <w:rFonts w:hint="eastAsia"/>
          <w:rtl/>
        </w:rPr>
        <w:t>טכנולוגי</w:t>
      </w:r>
      <w:r w:rsidRPr="005571ED">
        <w:rPr>
          <w:rtl/>
        </w:rPr>
        <w:t xml:space="preserve"> </w:t>
      </w:r>
      <w:r w:rsidRPr="005571ED">
        <w:rPr>
          <w:rFonts w:hint="eastAsia"/>
          <w:rtl/>
        </w:rPr>
        <w:t>מסוים</w:t>
      </w:r>
      <w:r w:rsidRPr="005571ED">
        <w:rPr>
          <w:rtl/>
        </w:rPr>
        <w:t>,</w:t>
      </w:r>
      <w:r w:rsidRPr="005571ED">
        <w:t xml:space="preserve"> </w:t>
      </w:r>
      <w:r w:rsidRPr="005571ED">
        <w:rPr>
          <w:rFonts w:hint="eastAsia"/>
          <w:rtl/>
        </w:rPr>
        <w:t>אשר</w:t>
      </w:r>
      <w:r w:rsidRPr="005571ED">
        <w:rPr>
          <w:rtl/>
        </w:rPr>
        <w:t xml:space="preserve"> </w:t>
      </w:r>
      <w:r w:rsidRPr="005571ED">
        <w:rPr>
          <w:rFonts w:hint="eastAsia"/>
          <w:rtl/>
        </w:rPr>
        <w:t>לגבי</w:t>
      </w:r>
      <w:r w:rsidRPr="005571ED">
        <w:rPr>
          <w:rtl/>
        </w:rPr>
        <w:t xml:space="preserve"> </w:t>
      </w:r>
      <w:r w:rsidR="005E61E7">
        <w:rPr>
          <w:rFonts w:hint="cs"/>
          <w:rtl/>
        </w:rPr>
        <w:t>מאות</w:t>
      </w:r>
      <w:r w:rsidR="005E61E7" w:rsidRPr="005571ED">
        <w:rPr>
          <w:rtl/>
        </w:rPr>
        <w:t xml:space="preserve"> </w:t>
      </w:r>
      <w:r w:rsidRPr="005571ED">
        <w:rPr>
          <w:rFonts w:hint="eastAsia"/>
          <w:rtl/>
        </w:rPr>
        <w:t>מהן</w:t>
      </w:r>
      <w:r w:rsidRPr="005571ED">
        <w:rPr>
          <w:rtl/>
        </w:rPr>
        <w:t xml:space="preserve"> </w:t>
      </w:r>
      <w:r w:rsidRPr="005571ED">
        <w:rPr>
          <w:rFonts w:hint="eastAsia"/>
          <w:rtl/>
        </w:rPr>
        <w:t>התקבלו</w:t>
      </w:r>
      <w:r w:rsidRPr="005571ED">
        <w:rPr>
          <w:rtl/>
        </w:rPr>
        <w:t xml:space="preserve"> </w:t>
      </w:r>
      <w:r w:rsidRPr="005571ED">
        <w:rPr>
          <w:rFonts w:hint="eastAsia"/>
          <w:rtl/>
        </w:rPr>
        <w:t>תוצרים</w:t>
      </w:r>
      <w:r w:rsidRPr="005571ED">
        <w:rPr>
          <w:rtl/>
        </w:rPr>
        <w:t xml:space="preserve">; </w:t>
      </w:r>
      <w:r w:rsidRPr="005571ED">
        <w:rPr>
          <w:rFonts w:hint="eastAsia"/>
          <w:rtl/>
        </w:rPr>
        <w:t>כמו</w:t>
      </w:r>
      <w:r w:rsidRPr="005571ED">
        <w:rPr>
          <w:rtl/>
        </w:rPr>
        <w:t xml:space="preserve"> </w:t>
      </w:r>
      <w:r w:rsidRPr="005571ED">
        <w:rPr>
          <w:rFonts w:hint="eastAsia"/>
          <w:rtl/>
        </w:rPr>
        <w:t>כן</w:t>
      </w:r>
      <w:r w:rsidRPr="005571ED">
        <w:rPr>
          <w:rtl/>
        </w:rPr>
        <w:t xml:space="preserve">, </w:t>
      </w:r>
      <w:r w:rsidRPr="005571ED">
        <w:rPr>
          <w:rFonts w:hint="eastAsia"/>
          <w:rtl/>
        </w:rPr>
        <w:t>אותרו</w:t>
      </w:r>
      <w:r w:rsidRPr="005571ED">
        <w:rPr>
          <w:rtl/>
        </w:rPr>
        <w:t xml:space="preserve"> </w:t>
      </w:r>
      <w:r w:rsidR="005E61E7">
        <w:rPr>
          <w:rFonts w:hint="cs"/>
          <w:rtl/>
        </w:rPr>
        <w:t>מאות</w:t>
      </w:r>
      <w:r w:rsidR="005E61E7" w:rsidRPr="005571ED">
        <w:rPr>
          <w:rtl/>
        </w:rPr>
        <w:t xml:space="preserve"> </w:t>
      </w:r>
      <w:r w:rsidRPr="005571ED">
        <w:rPr>
          <w:rFonts w:hint="eastAsia"/>
          <w:rtl/>
        </w:rPr>
        <w:t>מטרות</w:t>
      </w:r>
      <w:r w:rsidRPr="005571ED">
        <w:rPr>
          <w:rtl/>
        </w:rPr>
        <w:t xml:space="preserve"> </w:t>
      </w:r>
      <w:r w:rsidRPr="005571ED">
        <w:rPr>
          <w:rFonts w:hint="eastAsia"/>
          <w:rtl/>
        </w:rPr>
        <w:t>בכלי</w:t>
      </w:r>
      <w:r w:rsidR="005E61E7">
        <w:rPr>
          <w:rFonts w:hint="cs"/>
          <w:rtl/>
        </w:rPr>
        <w:t>ם</w:t>
      </w:r>
      <w:r w:rsidRPr="005571ED">
        <w:rPr>
          <w:rtl/>
        </w:rPr>
        <w:t xml:space="preserve"> </w:t>
      </w:r>
      <w:r w:rsidRPr="005571ED">
        <w:rPr>
          <w:rFonts w:hint="eastAsia"/>
          <w:rtl/>
        </w:rPr>
        <w:t>טכנולוגי</w:t>
      </w:r>
      <w:r w:rsidR="005E61E7">
        <w:rPr>
          <w:rFonts w:hint="cs"/>
          <w:rtl/>
        </w:rPr>
        <w:t>ים</w:t>
      </w:r>
      <w:r w:rsidRPr="005571ED">
        <w:rPr>
          <w:rtl/>
        </w:rPr>
        <w:t xml:space="preserve"> </w:t>
      </w:r>
      <w:r w:rsidRPr="005571ED">
        <w:rPr>
          <w:rFonts w:hint="eastAsia"/>
          <w:rtl/>
        </w:rPr>
        <w:t>אחר</w:t>
      </w:r>
      <w:r w:rsidR="005E61E7">
        <w:rPr>
          <w:rFonts w:hint="cs"/>
          <w:rtl/>
        </w:rPr>
        <w:t>ים</w:t>
      </w:r>
      <w:r w:rsidRPr="005571ED">
        <w:rPr>
          <w:rtl/>
        </w:rPr>
        <w:t xml:space="preserve">; בכלי </w:t>
      </w:r>
      <w:bookmarkStart w:id="396" w:name="_Hlk153100143"/>
      <w:r w:rsidRPr="005571ED">
        <w:rPr>
          <w:rFonts w:hint="eastAsia"/>
          <w:rtl/>
        </w:rPr>
        <w:t>נוסף</w:t>
      </w:r>
      <w:r w:rsidRPr="005571ED">
        <w:rPr>
          <w:rtl/>
        </w:rPr>
        <w:t xml:space="preserve"> </w:t>
      </w:r>
      <w:r w:rsidRPr="005571ED">
        <w:rPr>
          <w:rFonts w:hint="eastAsia"/>
          <w:rtl/>
        </w:rPr>
        <w:t>שפיתחה</w:t>
      </w:r>
      <w:r w:rsidRPr="005571ED">
        <w:rPr>
          <w:rtl/>
        </w:rPr>
        <w:t xml:space="preserve"> </w:t>
      </w:r>
      <w:r w:rsidRPr="005571ED">
        <w:rPr>
          <w:rFonts w:hint="eastAsia"/>
          <w:rtl/>
        </w:rPr>
        <w:t>המשטרה</w:t>
      </w:r>
      <w:r w:rsidRPr="005571ED">
        <w:rPr>
          <w:rtl/>
        </w:rPr>
        <w:t xml:space="preserve"> לא </w:t>
      </w:r>
      <w:r w:rsidRPr="005571ED">
        <w:rPr>
          <w:rFonts w:hint="eastAsia"/>
          <w:rtl/>
        </w:rPr>
        <w:t>הצליחו</w:t>
      </w:r>
      <w:r w:rsidRPr="005571ED">
        <w:rPr>
          <w:rtl/>
        </w:rPr>
        <w:t xml:space="preserve"> </w:t>
      </w:r>
      <w:bookmarkEnd w:id="396"/>
      <w:r w:rsidRPr="005571ED">
        <w:rPr>
          <w:rFonts w:hint="eastAsia"/>
          <w:rtl/>
        </w:rPr>
        <w:t>לאתר</w:t>
      </w:r>
      <w:r w:rsidRPr="005571ED">
        <w:rPr>
          <w:rtl/>
        </w:rPr>
        <w:t xml:space="preserve"> </w:t>
      </w:r>
      <w:r w:rsidRPr="005571ED">
        <w:rPr>
          <w:rFonts w:hint="eastAsia"/>
          <w:rtl/>
        </w:rPr>
        <w:t>את</w:t>
      </w:r>
      <w:r w:rsidRPr="005571ED">
        <w:rPr>
          <w:rtl/>
        </w:rPr>
        <w:t xml:space="preserve"> מספר המטרות </w:t>
      </w:r>
      <w:r w:rsidR="00601FFA">
        <w:rPr>
          <w:rFonts w:hint="cs"/>
          <w:rtl/>
        </w:rPr>
        <w:t>שהכלי</w:t>
      </w:r>
      <w:r w:rsidR="00601FFA" w:rsidRPr="005571ED">
        <w:rPr>
          <w:rtl/>
        </w:rPr>
        <w:t xml:space="preserve"> </w:t>
      </w:r>
      <w:r w:rsidR="00601FFA">
        <w:rPr>
          <w:rFonts w:hint="cs"/>
          <w:rtl/>
        </w:rPr>
        <w:t>הותקן עליהן</w:t>
      </w:r>
      <w:r w:rsidRPr="005571ED">
        <w:rPr>
          <w:rtl/>
        </w:rPr>
        <w:t xml:space="preserve">. </w:t>
      </w:r>
      <w:r w:rsidRPr="005571ED">
        <w:rPr>
          <w:rFonts w:hint="eastAsia"/>
          <w:rtl/>
        </w:rPr>
        <w:t>בסך</w:t>
      </w:r>
      <w:r w:rsidRPr="005571ED">
        <w:rPr>
          <w:rtl/>
        </w:rPr>
        <w:t xml:space="preserve"> </w:t>
      </w:r>
      <w:r w:rsidRPr="005571ED">
        <w:rPr>
          <w:rFonts w:hint="eastAsia"/>
          <w:rtl/>
        </w:rPr>
        <w:t>הכול</w:t>
      </w:r>
      <w:r w:rsidRPr="005571ED">
        <w:rPr>
          <w:rtl/>
        </w:rPr>
        <w:t xml:space="preserve"> </w:t>
      </w:r>
      <w:r w:rsidRPr="005571ED">
        <w:rPr>
          <w:rFonts w:hint="eastAsia"/>
          <w:rtl/>
        </w:rPr>
        <w:t>אותרו</w:t>
      </w:r>
      <w:r w:rsidRPr="005571ED">
        <w:rPr>
          <w:rtl/>
        </w:rPr>
        <w:t xml:space="preserve"> </w:t>
      </w:r>
      <w:r w:rsidR="00A04E12">
        <w:rPr>
          <w:rFonts w:hint="cs"/>
          <w:rtl/>
        </w:rPr>
        <w:t>יותר מאלף</w:t>
      </w:r>
      <w:r w:rsidR="005E61E7">
        <w:rPr>
          <w:rFonts w:hint="cs"/>
          <w:rtl/>
        </w:rPr>
        <w:t xml:space="preserve"> </w:t>
      </w:r>
      <w:r w:rsidRPr="005571ED">
        <w:rPr>
          <w:rFonts w:hint="eastAsia"/>
          <w:rtl/>
        </w:rPr>
        <w:t>מטרות</w:t>
      </w:r>
      <w:r w:rsidRPr="005571ED">
        <w:rPr>
          <w:rtl/>
        </w:rPr>
        <w:t xml:space="preserve"> </w:t>
      </w:r>
      <w:r w:rsidRPr="005571ED">
        <w:rPr>
          <w:rFonts w:hint="eastAsia"/>
          <w:rtl/>
        </w:rPr>
        <w:t>בכלים</w:t>
      </w:r>
      <w:r w:rsidRPr="005571ED">
        <w:rPr>
          <w:rtl/>
        </w:rPr>
        <w:t xml:space="preserve"> </w:t>
      </w:r>
      <w:r w:rsidRPr="005571ED">
        <w:rPr>
          <w:rFonts w:hint="eastAsia"/>
          <w:rtl/>
        </w:rPr>
        <w:t>השונים</w:t>
      </w:r>
      <w:r w:rsidRPr="005571ED">
        <w:rPr>
          <w:rtl/>
        </w:rPr>
        <w:t xml:space="preserve">, </w:t>
      </w:r>
      <w:r w:rsidRPr="005571ED">
        <w:rPr>
          <w:rFonts w:hint="eastAsia"/>
          <w:rtl/>
        </w:rPr>
        <w:t>אך</w:t>
      </w:r>
      <w:r w:rsidRPr="005571ED">
        <w:rPr>
          <w:rtl/>
        </w:rPr>
        <w:t xml:space="preserve"> </w:t>
      </w:r>
      <w:r w:rsidRPr="005571ED">
        <w:rPr>
          <w:rFonts w:hint="eastAsia"/>
          <w:rtl/>
        </w:rPr>
        <w:t>אין</w:t>
      </w:r>
      <w:r w:rsidRPr="005571ED">
        <w:rPr>
          <w:rtl/>
        </w:rPr>
        <w:t xml:space="preserve"> </w:t>
      </w:r>
      <w:r w:rsidRPr="005571ED">
        <w:rPr>
          <w:rFonts w:hint="eastAsia"/>
          <w:rtl/>
        </w:rPr>
        <w:t>די</w:t>
      </w:r>
      <w:r w:rsidRPr="005571ED">
        <w:rPr>
          <w:rtl/>
        </w:rPr>
        <w:t xml:space="preserve"> </w:t>
      </w:r>
      <w:r w:rsidRPr="005571ED">
        <w:rPr>
          <w:rFonts w:hint="eastAsia"/>
          <w:rtl/>
        </w:rPr>
        <w:t>נתונים</w:t>
      </w:r>
      <w:r w:rsidRPr="005571ED">
        <w:rPr>
          <w:rtl/>
        </w:rPr>
        <w:t xml:space="preserve"> </w:t>
      </w:r>
      <w:r>
        <w:rPr>
          <w:rFonts w:hint="eastAsia"/>
          <w:rtl/>
        </w:rPr>
        <w:t>כדי</w:t>
      </w:r>
      <w:r w:rsidRPr="005571ED">
        <w:rPr>
          <w:rtl/>
        </w:rPr>
        <w:t xml:space="preserve"> </w:t>
      </w:r>
      <w:r w:rsidRPr="005571ED">
        <w:rPr>
          <w:rFonts w:hint="eastAsia"/>
          <w:rtl/>
        </w:rPr>
        <w:t>לקבוע</w:t>
      </w:r>
      <w:r w:rsidRPr="005571ED">
        <w:rPr>
          <w:rtl/>
        </w:rPr>
        <w:t xml:space="preserve"> </w:t>
      </w:r>
      <w:r w:rsidRPr="005571ED">
        <w:rPr>
          <w:rFonts w:hint="eastAsia"/>
          <w:rtl/>
        </w:rPr>
        <w:t>אם</w:t>
      </w:r>
      <w:r w:rsidRPr="005571ED">
        <w:rPr>
          <w:rtl/>
        </w:rPr>
        <w:t xml:space="preserve"> </w:t>
      </w:r>
      <w:r w:rsidR="00601FFA">
        <w:rPr>
          <w:rFonts w:hint="cs"/>
          <w:rtl/>
        </w:rPr>
        <w:t xml:space="preserve">התבצעה התקנה על </w:t>
      </w:r>
      <w:r w:rsidRPr="005571ED">
        <w:rPr>
          <w:rFonts w:hint="eastAsia"/>
          <w:rtl/>
        </w:rPr>
        <w:t>אותה</w:t>
      </w:r>
      <w:r w:rsidRPr="005571ED">
        <w:rPr>
          <w:rtl/>
        </w:rPr>
        <w:t xml:space="preserve"> </w:t>
      </w:r>
      <w:r w:rsidRPr="005571ED">
        <w:rPr>
          <w:rFonts w:hint="eastAsia"/>
          <w:rtl/>
        </w:rPr>
        <w:t>מטרה</w:t>
      </w:r>
      <w:r w:rsidRPr="005571ED">
        <w:rPr>
          <w:rtl/>
        </w:rPr>
        <w:t xml:space="preserve"> </w:t>
      </w:r>
      <w:r>
        <w:rPr>
          <w:rFonts w:hint="cs"/>
          <w:rtl/>
        </w:rPr>
        <w:t>כמה</w:t>
      </w:r>
      <w:r w:rsidRPr="005571ED">
        <w:rPr>
          <w:rtl/>
        </w:rPr>
        <w:t xml:space="preserve"> </w:t>
      </w:r>
      <w:r w:rsidRPr="005571ED">
        <w:rPr>
          <w:rFonts w:hint="eastAsia"/>
          <w:rtl/>
        </w:rPr>
        <w:t>פעמים</w:t>
      </w:r>
      <w:r w:rsidRPr="005571ED">
        <w:rPr>
          <w:rtl/>
        </w:rPr>
        <w:t xml:space="preserve"> </w:t>
      </w:r>
      <w:r w:rsidRPr="005571ED">
        <w:rPr>
          <w:rFonts w:hint="eastAsia"/>
          <w:rtl/>
        </w:rPr>
        <w:t>בכלים</w:t>
      </w:r>
      <w:r w:rsidRPr="005571ED">
        <w:rPr>
          <w:rtl/>
        </w:rPr>
        <w:t xml:space="preserve"> </w:t>
      </w:r>
      <w:r w:rsidRPr="005571ED">
        <w:rPr>
          <w:rFonts w:hint="eastAsia"/>
          <w:rtl/>
        </w:rPr>
        <w:t>שונים</w:t>
      </w:r>
      <w:r w:rsidRPr="005571ED">
        <w:rPr>
          <w:rtl/>
        </w:rPr>
        <w:t xml:space="preserve">, </w:t>
      </w:r>
      <w:r w:rsidRPr="005571ED">
        <w:rPr>
          <w:rFonts w:hint="eastAsia"/>
          <w:rtl/>
        </w:rPr>
        <w:t>למעט</w:t>
      </w:r>
      <w:r w:rsidRPr="005571ED">
        <w:rPr>
          <w:rtl/>
        </w:rPr>
        <w:t xml:space="preserve"> </w:t>
      </w:r>
      <w:r w:rsidRPr="005571ED">
        <w:rPr>
          <w:rFonts w:hint="eastAsia"/>
          <w:rtl/>
        </w:rPr>
        <w:t>כלי</w:t>
      </w:r>
      <w:r w:rsidRPr="005571ED">
        <w:rPr>
          <w:rtl/>
        </w:rPr>
        <w:t xml:space="preserve"> </w:t>
      </w:r>
      <w:r w:rsidRPr="005571ED">
        <w:rPr>
          <w:rFonts w:hint="eastAsia"/>
          <w:rtl/>
        </w:rPr>
        <w:t>אחד</w:t>
      </w:r>
      <w:r w:rsidRPr="005571ED">
        <w:rPr>
          <w:rtl/>
        </w:rPr>
        <w:t xml:space="preserve"> </w:t>
      </w:r>
      <w:r w:rsidR="00601FFA">
        <w:rPr>
          <w:rFonts w:hint="cs"/>
          <w:rtl/>
        </w:rPr>
        <w:t>שמותקן על</w:t>
      </w:r>
      <w:r w:rsidR="00601FFA" w:rsidRPr="005571ED">
        <w:rPr>
          <w:rtl/>
        </w:rPr>
        <w:t xml:space="preserve"> </w:t>
      </w:r>
      <w:r w:rsidRPr="005571ED">
        <w:rPr>
          <w:rFonts w:hint="eastAsia"/>
          <w:rtl/>
        </w:rPr>
        <w:t>אמצעי</w:t>
      </w:r>
      <w:r w:rsidRPr="005571ED">
        <w:rPr>
          <w:rtl/>
        </w:rPr>
        <w:t xml:space="preserve"> </w:t>
      </w:r>
      <w:r w:rsidRPr="005571ED">
        <w:rPr>
          <w:rFonts w:hint="eastAsia"/>
          <w:rtl/>
        </w:rPr>
        <w:t>מואזן</w:t>
      </w:r>
      <w:r w:rsidRPr="005571ED">
        <w:rPr>
          <w:rtl/>
        </w:rPr>
        <w:t xml:space="preserve"> </w:t>
      </w:r>
      <w:r w:rsidRPr="005571ED">
        <w:rPr>
          <w:rFonts w:hint="eastAsia"/>
          <w:rtl/>
        </w:rPr>
        <w:t>שונה</w:t>
      </w:r>
      <w:r w:rsidRPr="005571ED">
        <w:rPr>
          <w:rtl/>
        </w:rPr>
        <w:t xml:space="preserve">. </w:t>
      </w:r>
    </w:p>
    <w:p w:rsidR="00302716" w:rsidRDefault="00302716" w:rsidP="00511F5D">
      <w:pPr>
        <w:spacing w:line="269" w:lineRule="auto"/>
        <w:ind w:left="360"/>
        <w:rPr>
          <w:b/>
          <w:bCs/>
          <w:rtl/>
        </w:rPr>
      </w:pPr>
      <w:bookmarkStart w:id="397" w:name="_Hlk155703865"/>
    </w:p>
    <w:p w:rsidR="009A1216" w:rsidRDefault="009A1216" w:rsidP="00511F5D">
      <w:pPr>
        <w:spacing w:line="269" w:lineRule="auto"/>
        <w:ind w:left="360"/>
        <w:rPr>
          <w:b/>
          <w:bCs/>
          <w:rtl/>
        </w:rPr>
      </w:pPr>
      <w:r>
        <w:rPr>
          <w:rFonts w:hint="cs"/>
          <w:b/>
          <w:bCs/>
          <w:rtl/>
        </w:rPr>
        <w:t xml:space="preserve">נמצא כי האופן שבו מנהלת חטיבת הסייבר את המידע על </w:t>
      </w:r>
      <w:r w:rsidR="00601FFA">
        <w:rPr>
          <w:rFonts w:hint="cs"/>
          <w:b/>
          <w:bCs/>
          <w:rtl/>
        </w:rPr>
        <w:t xml:space="preserve">ההתקנות </w:t>
      </w:r>
      <w:r>
        <w:rPr>
          <w:rFonts w:hint="cs"/>
          <w:b/>
          <w:bCs/>
          <w:rtl/>
        </w:rPr>
        <w:t xml:space="preserve">שהיא מבצעת נגד אמצעים מואזנים אינו מאפשר התחקות אחר הפעולות שנעשו וקבלת תמונה כוללת ומתכללת של פעולות שנעשו נגד יעד האזנה ספציפי. </w:t>
      </w:r>
      <w:bookmarkStart w:id="398" w:name="_Hlk189065788"/>
      <w:r>
        <w:rPr>
          <w:rFonts w:hint="cs"/>
          <w:b/>
          <w:bCs/>
          <w:rtl/>
        </w:rPr>
        <w:t>הדבר נובע מכך ש</w:t>
      </w:r>
      <w:r w:rsidRPr="00E77838">
        <w:rPr>
          <w:rFonts w:hint="cs"/>
          <w:b/>
          <w:bCs/>
          <w:rtl/>
        </w:rPr>
        <w:t>חטיבת הסייבר</w:t>
      </w:r>
      <w:r>
        <w:rPr>
          <w:rFonts w:hint="cs"/>
          <w:b/>
          <w:bCs/>
          <w:rtl/>
        </w:rPr>
        <w:t xml:space="preserve"> אינה מקפידה על רישום ביצוע הפעולות במערכת מרכזית אחת, אלא מנהלת באופן ידני ובמערכות ממוחשבות שונות את המידע על </w:t>
      </w:r>
      <w:r w:rsidR="00601FFA">
        <w:rPr>
          <w:rFonts w:hint="cs"/>
          <w:b/>
          <w:bCs/>
          <w:rtl/>
        </w:rPr>
        <w:t xml:space="preserve">ההתקנות </w:t>
      </w:r>
      <w:r>
        <w:rPr>
          <w:rFonts w:hint="cs"/>
          <w:b/>
          <w:bCs/>
          <w:rtl/>
        </w:rPr>
        <w:t>שמבוצעות באמצעות כלים שונים</w:t>
      </w:r>
      <w:r w:rsidRPr="00E77838">
        <w:rPr>
          <w:rFonts w:hint="cs"/>
          <w:b/>
          <w:bCs/>
          <w:rtl/>
        </w:rPr>
        <w:t xml:space="preserve">. </w:t>
      </w:r>
    </w:p>
    <w:bookmarkEnd w:id="398"/>
    <w:p w:rsidR="00302716" w:rsidRDefault="00302716" w:rsidP="00511F5D">
      <w:pPr>
        <w:spacing w:line="269" w:lineRule="auto"/>
        <w:ind w:left="360"/>
        <w:rPr>
          <w:b/>
          <w:bCs/>
          <w:rtl/>
        </w:rPr>
      </w:pPr>
    </w:p>
    <w:p w:rsidR="009A1216" w:rsidRDefault="009A1216" w:rsidP="00511F5D">
      <w:pPr>
        <w:spacing w:line="269" w:lineRule="auto"/>
        <w:ind w:left="360"/>
        <w:rPr>
          <w:b/>
          <w:bCs/>
          <w:rtl/>
        </w:rPr>
      </w:pPr>
      <w:r>
        <w:rPr>
          <w:rFonts w:hint="cs"/>
          <w:b/>
          <w:bCs/>
          <w:rtl/>
        </w:rPr>
        <w:t>כפועל יוצא מכך נוצרים ליקויים</w:t>
      </w:r>
      <w:r w:rsidRPr="00E77838">
        <w:rPr>
          <w:rFonts w:hint="cs"/>
          <w:b/>
          <w:bCs/>
          <w:rtl/>
        </w:rPr>
        <w:t xml:space="preserve"> בניהול</w:t>
      </w:r>
      <w:r>
        <w:rPr>
          <w:rFonts w:hint="cs"/>
          <w:b/>
          <w:bCs/>
          <w:rtl/>
        </w:rPr>
        <w:t xml:space="preserve"> </w:t>
      </w:r>
      <w:r w:rsidR="00601FFA">
        <w:rPr>
          <w:rFonts w:hint="cs"/>
          <w:b/>
          <w:bCs/>
          <w:rtl/>
        </w:rPr>
        <w:t xml:space="preserve">ההתקנות </w:t>
      </w:r>
      <w:r>
        <w:rPr>
          <w:rFonts w:hint="cs"/>
          <w:b/>
          <w:bCs/>
          <w:rtl/>
        </w:rPr>
        <w:t>ובפיקוח עליהן שעלולים לפגוע ב</w:t>
      </w:r>
      <w:r w:rsidRPr="00E77838">
        <w:rPr>
          <w:rFonts w:hint="cs"/>
          <w:b/>
          <w:bCs/>
          <w:rtl/>
        </w:rPr>
        <w:t>שרשרת הראיות</w:t>
      </w:r>
      <w:r>
        <w:rPr>
          <w:rStyle w:val="af"/>
          <w:b/>
          <w:bCs/>
          <w:rtl/>
        </w:rPr>
        <w:footnoteReference w:id="161"/>
      </w:r>
      <w:r>
        <w:rPr>
          <w:rFonts w:hint="cs"/>
          <w:b/>
          <w:bCs/>
          <w:rtl/>
        </w:rPr>
        <w:t xml:space="preserve"> בתיקי המודיעין והחקירה:</w:t>
      </w:r>
      <w:r w:rsidRPr="00E77838">
        <w:rPr>
          <w:rFonts w:hint="cs"/>
          <w:b/>
          <w:bCs/>
          <w:rtl/>
        </w:rPr>
        <w:t xml:space="preserve"> </w:t>
      </w:r>
      <w:r>
        <w:rPr>
          <w:rFonts w:hint="cs"/>
          <w:b/>
          <w:bCs/>
          <w:rtl/>
        </w:rPr>
        <w:t xml:space="preserve">אם השוטר אינו יודע מה הן מכלול </w:t>
      </w:r>
      <w:r w:rsidR="00601FFA">
        <w:rPr>
          <w:rFonts w:hint="cs"/>
          <w:b/>
          <w:bCs/>
          <w:rtl/>
        </w:rPr>
        <w:t xml:space="preserve">ההתקנות </w:t>
      </w:r>
      <w:r>
        <w:rPr>
          <w:rFonts w:hint="cs"/>
          <w:b/>
          <w:bCs/>
          <w:rtl/>
        </w:rPr>
        <w:t xml:space="preserve">שבוצעו כלפי אמצעים מואזנים, הוא עלול להתקשות לעקוב ולקבוע מכוח איזו </w:t>
      </w:r>
      <w:r w:rsidR="00601FFA">
        <w:rPr>
          <w:rFonts w:hint="cs"/>
          <w:b/>
          <w:bCs/>
          <w:rtl/>
        </w:rPr>
        <w:t xml:space="preserve">התקנה </w:t>
      </w:r>
      <w:r>
        <w:rPr>
          <w:rFonts w:hint="cs"/>
          <w:b/>
          <w:bCs/>
          <w:rtl/>
        </w:rPr>
        <w:t xml:space="preserve">נאסף תוצר ההאזנה הספציפי. למגבלה זו יש השלכות גם על היכולת של מערכת האכיפה להשיב לטענות בדבר אי-חוקיות איסוף מידע מודיעיני וראיות פליליות. </w:t>
      </w:r>
    </w:p>
    <w:bookmarkEnd w:id="397"/>
    <w:p w:rsidR="009A1216" w:rsidRDefault="00382AE8" w:rsidP="00511F5D">
      <w:pPr>
        <w:pStyle w:val="a5"/>
        <w:spacing w:line="269" w:lineRule="auto"/>
        <w:ind w:left="0"/>
        <w:rPr>
          <w:rtl/>
        </w:rPr>
      </w:pPr>
      <w:r>
        <w:rPr>
          <w:rFonts w:hint="cs"/>
          <w:rtl/>
        </w:rPr>
        <w:t xml:space="preserve"> </w:t>
      </w:r>
    </w:p>
    <w:p w:rsidR="009A1216" w:rsidRDefault="009A1216" w:rsidP="00511F5D">
      <w:pPr>
        <w:spacing w:line="269" w:lineRule="auto"/>
        <w:ind w:left="360"/>
        <w:rPr>
          <w:b/>
          <w:bCs/>
          <w:rtl/>
        </w:rPr>
      </w:pPr>
      <w:r w:rsidRPr="003D3676">
        <w:rPr>
          <w:rFonts w:hint="cs"/>
          <w:rtl/>
        </w:rPr>
        <w:t xml:space="preserve">המשטרה מסרה כי היא פועלת לפיתוח </w:t>
      </w:r>
      <w:r w:rsidRPr="0002142D">
        <w:rPr>
          <w:rFonts w:hint="eastAsia"/>
          <w:rtl/>
        </w:rPr>
        <w:t>מערכת</w:t>
      </w:r>
      <w:r w:rsidRPr="0002142D">
        <w:rPr>
          <w:rtl/>
        </w:rPr>
        <w:t xml:space="preserve"> </w:t>
      </w:r>
      <w:r w:rsidRPr="0002142D">
        <w:rPr>
          <w:rFonts w:hint="eastAsia"/>
          <w:rtl/>
        </w:rPr>
        <w:t>לניהול</w:t>
      </w:r>
      <w:r w:rsidRPr="0002142D">
        <w:rPr>
          <w:rtl/>
        </w:rPr>
        <w:t xml:space="preserve"> </w:t>
      </w:r>
      <w:r w:rsidRPr="0002142D">
        <w:rPr>
          <w:rFonts w:hint="eastAsia"/>
          <w:rtl/>
        </w:rPr>
        <w:t>יומן</w:t>
      </w:r>
      <w:r w:rsidRPr="0002142D">
        <w:rPr>
          <w:rtl/>
        </w:rPr>
        <w:t xml:space="preserve"> </w:t>
      </w:r>
      <w:r w:rsidRPr="0002142D">
        <w:rPr>
          <w:rFonts w:hint="eastAsia"/>
          <w:rtl/>
        </w:rPr>
        <w:t>מבצעים</w:t>
      </w:r>
      <w:r w:rsidRPr="003D3676">
        <w:rPr>
          <w:rFonts w:hint="cs"/>
          <w:rtl/>
        </w:rPr>
        <w:t xml:space="preserve"> אשר תתעד את תהליך העבודה בתחומי האזנת הסתר כדי שניתן יהיה להתחקות אחר כל </w:t>
      </w:r>
      <w:r w:rsidR="00601FFA" w:rsidRPr="003D3676">
        <w:rPr>
          <w:rFonts w:hint="eastAsia"/>
          <w:rtl/>
        </w:rPr>
        <w:t>התקנה</w:t>
      </w:r>
      <w:r w:rsidR="00601FFA" w:rsidRPr="003D3676">
        <w:rPr>
          <w:rtl/>
        </w:rPr>
        <w:t xml:space="preserve"> </w:t>
      </w:r>
      <w:r w:rsidRPr="003D3676">
        <w:rPr>
          <w:rFonts w:hint="eastAsia"/>
          <w:rtl/>
        </w:rPr>
        <w:t>או</w:t>
      </w:r>
      <w:r w:rsidRPr="003D3676">
        <w:rPr>
          <w:rtl/>
        </w:rPr>
        <w:t xml:space="preserve"> ניסיון </w:t>
      </w:r>
      <w:r w:rsidR="00601FFA" w:rsidRPr="003D3676">
        <w:rPr>
          <w:rFonts w:hint="eastAsia"/>
          <w:rtl/>
        </w:rPr>
        <w:t>התקנה</w:t>
      </w:r>
      <w:r w:rsidR="00601FFA" w:rsidRPr="003D3676">
        <w:rPr>
          <w:rtl/>
        </w:rPr>
        <w:t xml:space="preserve"> </w:t>
      </w:r>
      <w:r w:rsidRPr="003D3676">
        <w:rPr>
          <w:rFonts w:hint="eastAsia"/>
          <w:rtl/>
        </w:rPr>
        <w:t>ולעקוב</w:t>
      </w:r>
      <w:r w:rsidRPr="003D3676">
        <w:rPr>
          <w:rtl/>
        </w:rPr>
        <w:t xml:space="preserve"> אחר הניהול המבצעי של פעולות אלו. עם זאת, בשלב זה </w:t>
      </w:r>
      <w:r w:rsidRPr="0002142D">
        <w:rPr>
          <w:rFonts w:hint="eastAsia"/>
          <w:rtl/>
        </w:rPr>
        <w:t>המערכת</w:t>
      </w:r>
      <w:r w:rsidRPr="0002142D">
        <w:rPr>
          <w:rtl/>
        </w:rPr>
        <w:t xml:space="preserve"> </w:t>
      </w:r>
      <w:r w:rsidRPr="0002142D">
        <w:rPr>
          <w:rFonts w:hint="eastAsia"/>
          <w:rtl/>
        </w:rPr>
        <w:t>לניהול</w:t>
      </w:r>
      <w:r w:rsidRPr="0002142D">
        <w:rPr>
          <w:rtl/>
        </w:rPr>
        <w:t xml:space="preserve"> </w:t>
      </w:r>
      <w:r w:rsidRPr="0002142D">
        <w:rPr>
          <w:rFonts w:hint="eastAsia"/>
          <w:rtl/>
        </w:rPr>
        <w:t>יומן</w:t>
      </w:r>
      <w:r w:rsidRPr="0002142D">
        <w:rPr>
          <w:rtl/>
        </w:rPr>
        <w:t xml:space="preserve"> </w:t>
      </w:r>
      <w:r w:rsidRPr="0002142D">
        <w:rPr>
          <w:rFonts w:hint="eastAsia"/>
          <w:rtl/>
        </w:rPr>
        <w:t>מבצעים</w:t>
      </w:r>
      <w:r w:rsidRPr="003D3676">
        <w:rPr>
          <w:rFonts w:hint="cs"/>
          <w:rtl/>
        </w:rPr>
        <w:t xml:space="preserve"> תיתן מענה רק</w:t>
      </w:r>
      <w:r>
        <w:rPr>
          <w:rFonts w:hint="cs"/>
          <w:rtl/>
        </w:rPr>
        <w:t xml:space="preserve"> לחלק מהכלים הטכנולוגיים. </w:t>
      </w:r>
    </w:p>
    <w:p w:rsidR="00302716" w:rsidRDefault="00302716" w:rsidP="00511F5D">
      <w:pPr>
        <w:spacing w:line="269" w:lineRule="auto"/>
        <w:ind w:left="360"/>
        <w:rPr>
          <w:b/>
          <w:bCs/>
          <w:rtl/>
        </w:rPr>
      </w:pPr>
    </w:p>
    <w:p w:rsidR="009A1216" w:rsidRPr="00510219" w:rsidRDefault="009A1216" w:rsidP="00511F5D">
      <w:pPr>
        <w:spacing w:line="269" w:lineRule="auto"/>
        <w:ind w:left="360"/>
        <w:rPr>
          <w:rtl/>
        </w:rPr>
      </w:pPr>
      <w:r>
        <w:rPr>
          <w:rFonts w:hint="cs"/>
          <w:b/>
          <w:bCs/>
          <w:rtl/>
        </w:rPr>
        <w:t xml:space="preserve">לנוכח חשיבות התיעוד של פעולת </w:t>
      </w:r>
      <w:r w:rsidR="00601FFA">
        <w:rPr>
          <w:rFonts w:hint="cs"/>
          <w:b/>
          <w:bCs/>
          <w:rtl/>
        </w:rPr>
        <w:t>ההתקנה</w:t>
      </w:r>
      <w:r>
        <w:rPr>
          <w:rFonts w:hint="cs"/>
          <w:b/>
          <w:bCs/>
          <w:rtl/>
        </w:rPr>
        <w:t xml:space="preserve">, שהיא ראשית פעולת האיסוף ומלמדת על חוקיותה של האזנת הסתר כולה, מן הראוי שהמשטרה תאגם את הניהול האופרטיבי של </w:t>
      </w:r>
      <w:r w:rsidR="00601FFA">
        <w:rPr>
          <w:rFonts w:hint="cs"/>
          <w:b/>
          <w:bCs/>
          <w:rtl/>
        </w:rPr>
        <w:t xml:space="preserve">ההתקנות </w:t>
      </w:r>
      <w:r>
        <w:rPr>
          <w:rFonts w:hint="cs"/>
          <w:b/>
          <w:bCs/>
          <w:rtl/>
        </w:rPr>
        <w:t xml:space="preserve">במערכת ממוחשבת אחת. מומלץ כי נתוני </w:t>
      </w:r>
      <w:r w:rsidR="00601FFA">
        <w:rPr>
          <w:rFonts w:hint="cs"/>
          <w:b/>
          <w:bCs/>
          <w:rtl/>
        </w:rPr>
        <w:t xml:space="preserve">ההתקנות </w:t>
      </w:r>
      <w:r>
        <w:rPr>
          <w:rFonts w:hint="cs"/>
          <w:b/>
          <w:bCs/>
          <w:rtl/>
        </w:rPr>
        <w:t xml:space="preserve">במערכת זו יהיו בני אחזור ויתממשקו עם נתוני המערכת לניהול צווים לצורך בקרה על חוקיות פעולת </w:t>
      </w:r>
      <w:r w:rsidR="00601FFA">
        <w:rPr>
          <w:rFonts w:hint="cs"/>
          <w:b/>
          <w:bCs/>
          <w:rtl/>
        </w:rPr>
        <w:t>ההתקנה</w:t>
      </w:r>
      <w:r>
        <w:rPr>
          <w:rFonts w:hint="cs"/>
          <w:b/>
          <w:bCs/>
          <w:rtl/>
        </w:rPr>
        <w:t>.</w:t>
      </w:r>
      <w:r w:rsidR="00382AE8">
        <w:rPr>
          <w:rFonts w:hint="cs"/>
          <w:rtl/>
        </w:rPr>
        <w:t xml:space="preserve"> </w:t>
      </w:r>
    </w:p>
    <w:p w:rsidR="00302716" w:rsidRDefault="009A1216" w:rsidP="00511F5D">
      <w:pPr>
        <w:spacing w:line="269" w:lineRule="auto"/>
        <w:ind w:left="360"/>
        <w:rPr>
          <w:rFonts w:eastAsiaTheme="majorEastAsia"/>
          <w:bCs/>
          <w:szCs w:val="26"/>
          <w:rtl/>
        </w:rPr>
      </w:pPr>
      <w:r>
        <w:rPr>
          <w:rFonts w:hint="cs"/>
          <w:b/>
          <w:bCs/>
          <w:rtl/>
        </w:rPr>
        <w:t xml:space="preserve"> </w:t>
      </w:r>
      <w:bookmarkStart w:id="399" w:name="_Toc151890747"/>
      <w:bookmarkStart w:id="400" w:name="_Toc151882019"/>
      <w:bookmarkStart w:id="401" w:name="_Toc211521935"/>
    </w:p>
    <w:p w:rsidR="009A1216" w:rsidRPr="00F51465" w:rsidRDefault="009A1216" w:rsidP="008C598D">
      <w:pPr>
        <w:pStyle w:val="4"/>
        <w:numPr>
          <w:ilvl w:val="0"/>
          <w:numId w:val="17"/>
        </w:numPr>
        <w:spacing w:before="0" w:line="269" w:lineRule="auto"/>
        <w:ind w:left="-2" w:hanging="282"/>
        <w:rPr>
          <w:rtl/>
        </w:rPr>
      </w:pPr>
      <w:bookmarkStart w:id="402" w:name="_Toc219110325"/>
      <w:bookmarkStart w:id="403" w:name="_Toc219113766"/>
      <w:bookmarkStart w:id="404" w:name="_Toc219286541"/>
      <w:r w:rsidRPr="00F51465">
        <w:rPr>
          <w:rFonts w:hint="eastAsia"/>
          <w:rtl/>
        </w:rPr>
        <w:t>תיעוד</w:t>
      </w:r>
      <w:r w:rsidRPr="00F51465">
        <w:rPr>
          <w:rtl/>
        </w:rPr>
        <w:t xml:space="preserve"> </w:t>
      </w:r>
      <w:r w:rsidRPr="00F51465">
        <w:rPr>
          <w:rFonts w:hint="eastAsia"/>
          <w:rtl/>
        </w:rPr>
        <w:t>חלקי</w:t>
      </w:r>
      <w:r w:rsidRPr="00322559">
        <w:rPr>
          <w:rtl/>
        </w:rPr>
        <w:t xml:space="preserve"> </w:t>
      </w:r>
      <w:r w:rsidRPr="00322559">
        <w:rPr>
          <w:rFonts w:hint="eastAsia"/>
          <w:rtl/>
        </w:rPr>
        <w:t>של</w:t>
      </w:r>
      <w:r w:rsidRPr="00322559">
        <w:rPr>
          <w:rtl/>
        </w:rPr>
        <w:t xml:space="preserve"> </w:t>
      </w:r>
      <w:r w:rsidRPr="00322559">
        <w:rPr>
          <w:rFonts w:hint="eastAsia"/>
          <w:rtl/>
        </w:rPr>
        <w:t>ההיערכות</w:t>
      </w:r>
      <w:r w:rsidRPr="00322559">
        <w:rPr>
          <w:rtl/>
        </w:rPr>
        <w:t xml:space="preserve"> </w:t>
      </w:r>
      <w:r w:rsidR="00601FFA" w:rsidRPr="0097754A">
        <w:rPr>
          <w:rFonts w:hint="cs"/>
          <w:rtl/>
        </w:rPr>
        <w:t>להתקנה</w:t>
      </w:r>
      <w:r w:rsidR="00601FFA" w:rsidRPr="00F51465">
        <w:rPr>
          <w:rtl/>
        </w:rPr>
        <w:t xml:space="preserve"> </w:t>
      </w:r>
      <w:r w:rsidRPr="00F51465">
        <w:rPr>
          <w:rtl/>
        </w:rPr>
        <w:t>ושל ביצועה</w:t>
      </w:r>
      <w:bookmarkEnd w:id="399"/>
      <w:bookmarkEnd w:id="400"/>
      <w:bookmarkEnd w:id="401"/>
      <w:bookmarkEnd w:id="402"/>
      <w:bookmarkEnd w:id="403"/>
      <w:bookmarkEnd w:id="404"/>
      <w:r w:rsidRPr="00F51465">
        <w:rPr>
          <w:rtl/>
        </w:rPr>
        <w:t xml:space="preserve"> </w:t>
      </w:r>
    </w:p>
    <w:p w:rsidR="00302716" w:rsidRDefault="00302716" w:rsidP="00604C3D">
      <w:pPr>
        <w:spacing w:line="269" w:lineRule="auto"/>
        <w:rPr>
          <w:rtl/>
        </w:rPr>
      </w:pPr>
    </w:p>
    <w:p w:rsidR="009A1216" w:rsidRPr="00B85472" w:rsidRDefault="009A1216" w:rsidP="00604C3D">
      <w:pPr>
        <w:spacing w:line="269" w:lineRule="auto"/>
        <w:rPr>
          <w:rtl/>
        </w:rPr>
      </w:pPr>
      <w:r w:rsidRPr="00F51465">
        <w:rPr>
          <w:rFonts w:hint="cs"/>
          <w:rtl/>
        </w:rPr>
        <w:t xml:space="preserve">לפי נהליה והנחיותיה של המשטרה, שלב ההכנות </w:t>
      </w:r>
      <w:r w:rsidR="00601FFA" w:rsidRPr="00322559">
        <w:rPr>
          <w:rFonts w:hint="cs"/>
          <w:rtl/>
        </w:rPr>
        <w:t xml:space="preserve">להתקנה </w:t>
      </w:r>
      <w:r w:rsidRPr="00322559">
        <w:rPr>
          <w:rFonts w:hint="cs"/>
          <w:rtl/>
        </w:rPr>
        <w:t>לצורך ביצוע האזנת סתר נדרש כדי לוודא כי פעולת האזנת הסתר מתבצעת כדין כלפי יעד ההאזנה ולא כלפי גורם תמים בשל טעות אנוש, וכן לצורך שמירה על סודיות הכלים המבצעיים. לשם</w:t>
      </w:r>
      <w:r w:rsidRPr="00F22704">
        <w:rPr>
          <w:rFonts w:hint="cs"/>
          <w:rtl/>
        </w:rPr>
        <w:t xml:space="preserve"> כך ובהתאם לנהלים וההנחיות שלה, המשטרה מכינה שני מסמכים עיקריים: </w:t>
      </w:r>
      <w:r w:rsidR="00AE509C" w:rsidRPr="0097754A">
        <w:rPr>
          <w:rFonts w:hint="cs"/>
          <w:rtl/>
        </w:rPr>
        <w:t>מסמך א'</w:t>
      </w:r>
      <w:r w:rsidRPr="00F51465">
        <w:rPr>
          <w:rFonts w:hint="cs"/>
          <w:rtl/>
        </w:rPr>
        <w:t xml:space="preserve"> </w:t>
      </w:r>
      <w:r w:rsidR="00AE509C" w:rsidRPr="00F51465">
        <w:rPr>
          <w:rFonts w:hint="cs"/>
          <w:rtl/>
        </w:rPr>
        <w:t>ומסמך ב'</w:t>
      </w:r>
      <w:r w:rsidRPr="00F22704">
        <w:rPr>
          <w:rFonts w:hint="cs"/>
          <w:rtl/>
        </w:rPr>
        <w:t xml:space="preserve">. </w:t>
      </w:r>
    </w:p>
    <w:p w:rsidR="00302716" w:rsidRDefault="00302716" w:rsidP="00604C3D">
      <w:pPr>
        <w:spacing w:line="269" w:lineRule="auto"/>
        <w:rPr>
          <w:rtl/>
        </w:rPr>
      </w:pPr>
    </w:p>
    <w:p w:rsidR="009A1216" w:rsidRPr="00F22704" w:rsidRDefault="009A1216" w:rsidP="00604C3D">
      <w:pPr>
        <w:spacing w:line="269" w:lineRule="auto"/>
        <w:rPr>
          <w:rtl/>
        </w:rPr>
      </w:pPr>
      <w:r w:rsidRPr="00F51465">
        <w:rPr>
          <w:rFonts w:hint="cs"/>
          <w:rtl/>
        </w:rPr>
        <w:t xml:space="preserve">הנחיות המשטרה עולות בקנה אחד עם העמדה המשפטית שבדוח צוות מררי כי הסמכות להתקין כלי טכנולוגי היא מוגבלת ומחייבת </w:t>
      </w:r>
      <w:r w:rsidRPr="00F22704">
        <w:rPr>
          <w:rFonts w:hint="cs"/>
          <w:rtl/>
        </w:rPr>
        <w:t>נוקשות ודקדוק קפדני לגבולותיה</w:t>
      </w:r>
      <w:r w:rsidRPr="00F51465">
        <w:rPr>
          <w:rFonts w:hint="cs"/>
          <w:rtl/>
        </w:rPr>
        <w:t xml:space="preserve">. הגבלת הפעולות שניתן לבצע בעת </w:t>
      </w:r>
      <w:r w:rsidR="00601FFA" w:rsidRPr="00F51465">
        <w:rPr>
          <w:rFonts w:hint="cs"/>
          <w:rtl/>
        </w:rPr>
        <w:t>התקנה</w:t>
      </w:r>
      <w:r w:rsidRPr="00322559">
        <w:rPr>
          <w:rFonts w:hint="cs"/>
          <w:rtl/>
        </w:rPr>
        <w:t>, מחייבת נקיטת משנה זהירות ומשכך גוברת חשיבות התיעוד של כלל הפעולות המתבצעות במסגרת האזנת סתר.</w:t>
      </w:r>
    </w:p>
    <w:p w:rsidR="009A1216" w:rsidRPr="00B85472" w:rsidRDefault="009A1216" w:rsidP="00604C3D">
      <w:pPr>
        <w:pStyle w:val="a5"/>
        <w:spacing w:line="269" w:lineRule="auto"/>
      </w:pPr>
      <w:r w:rsidRPr="00B85472">
        <w:rPr>
          <w:rFonts w:hint="cs"/>
          <w:rtl/>
        </w:rPr>
        <w:t xml:space="preserve"> </w:t>
      </w:r>
    </w:p>
    <w:p w:rsidR="009A1216" w:rsidRDefault="009A1216" w:rsidP="00604C3D">
      <w:pPr>
        <w:spacing w:line="269" w:lineRule="auto"/>
        <w:rPr>
          <w:rtl/>
        </w:rPr>
      </w:pPr>
      <w:r w:rsidRPr="00B85472">
        <w:rPr>
          <w:rFonts w:hint="cs"/>
          <w:rtl/>
        </w:rPr>
        <w:t xml:space="preserve">המשטרה מסרה בתגובתה כי אין חובה בדין להכין </w:t>
      </w:r>
      <w:r w:rsidR="001576FE" w:rsidRPr="0097754A">
        <w:rPr>
          <w:rFonts w:hint="cs"/>
          <w:rtl/>
        </w:rPr>
        <w:t>את מסמך א'</w:t>
      </w:r>
      <w:r w:rsidRPr="00F51465">
        <w:rPr>
          <w:rtl/>
        </w:rPr>
        <w:t>,</w:t>
      </w:r>
      <w:r w:rsidRPr="00F51465">
        <w:rPr>
          <w:rFonts w:hint="cs"/>
          <w:rtl/>
        </w:rPr>
        <w:t xml:space="preserve"> וכי מדובר במסמך ע</w:t>
      </w:r>
      <w:r w:rsidRPr="00F22704">
        <w:rPr>
          <w:rFonts w:hint="cs"/>
          <w:rtl/>
        </w:rPr>
        <w:t xml:space="preserve">זר פנימי. </w:t>
      </w:r>
      <w:r w:rsidRPr="00B85472">
        <w:rPr>
          <w:rFonts w:hint="cs"/>
          <w:rtl/>
        </w:rPr>
        <w:t xml:space="preserve">מטרתה של פקודת מבצע היא לפרוס בפני כל הגורמים הרלוונטיים את דרכי הפעולה האפשרויות, מקרים ותגובות וכל המידע הידוע לצורך ביצוע ההתקנה. כמו כן, היא סבורה שאין היא נדרשת להכין </w:t>
      </w:r>
      <w:r w:rsidR="001576FE" w:rsidRPr="00B85472">
        <w:rPr>
          <w:rFonts w:hint="cs"/>
          <w:rtl/>
        </w:rPr>
        <w:t>את מסמך א'</w:t>
      </w:r>
      <w:r w:rsidRPr="00B85472">
        <w:rPr>
          <w:rFonts w:hint="cs"/>
          <w:rtl/>
        </w:rPr>
        <w:t xml:space="preserve"> בנוגע לכל הכלים הטכנולוגיים שלרשותה, ובפרט אלו שהפעלתם נעשית בדרך אחת בלבד. מטעמים דומים סברה המשטרה כי גם </w:t>
      </w:r>
      <w:r w:rsidR="001576FE" w:rsidRPr="00B85472">
        <w:rPr>
          <w:rFonts w:hint="cs"/>
          <w:rtl/>
        </w:rPr>
        <w:t>מסמך ב'</w:t>
      </w:r>
      <w:r w:rsidRPr="00096233">
        <w:rPr>
          <w:rFonts w:hint="cs"/>
          <w:rtl/>
        </w:rPr>
        <w:t xml:space="preserve"> הוא מסמך טכני.</w:t>
      </w:r>
      <w:r>
        <w:rPr>
          <w:rFonts w:hint="cs"/>
          <w:rtl/>
        </w:rPr>
        <w:t xml:space="preserve"> </w:t>
      </w:r>
    </w:p>
    <w:p w:rsidR="009A1216" w:rsidRDefault="009A1216" w:rsidP="00604C3D">
      <w:pPr>
        <w:pStyle w:val="a5"/>
        <w:spacing w:line="269" w:lineRule="auto"/>
        <w:rPr>
          <w:rtl/>
        </w:rPr>
      </w:pPr>
      <w:r>
        <w:rPr>
          <w:rFonts w:hint="cs"/>
          <w:rtl/>
        </w:rPr>
        <w:t xml:space="preserve"> </w:t>
      </w:r>
    </w:p>
    <w:p w:rsidR="009A1216" w:rsidRPr="00DC499F" w:rsidRDefault="009A1216" w:rsidP="00604C3D">
      <w:pPr>
        <w:spacing w:line="269" w:lineRule="auto"/>
        <w:rPr>
          <w:b/>
          <w:bCs/>
          <w:rtl/>
        </w:rPr>
      </w:pPr>
      <w:r w:rsidRPr="00322559">
        <w:rPr>
          <w:rFonts w:hint="eastAsia"/>
          <w:b/>
          <w:bCs/>
          <w:rtl/>
        </w:rPr>
        <w:t>מבקר</w:t>
      </w:r>
      <w:r w:rsidRPr="00322559">
        <w:rPr>
          <w:b/>
          <w:bCs/>
          <w:rtl/>
        </w:rPr>
        <w:t xml:space="preserve"> </w:t>
      </w:r>
      <w:r w:rsidRPr="00322559">
        <w:rPr>
          <w:rFonts w:hint="eastAsia"/>
          <w:b/>
          <w:bCs/>
          <w:rtl/>
        </w:rPr>
        <w:t>המדינה</w:t>
      </w:r>
      <w:r w:rsidRPr="00322559">
        <w:rPr>
          <w:b/>
          <w:bCs/>
          <w:rtl/>
        </w:rPr>
        <w:t xml:space="preserve"> </w:t>
      </w:r>
      <w:r w:rsidRPr="00322559">
        <w:rPr>
          <w:rFonts w:hint="eastAsia"/>
          <w:b/>
          <w:bCs/>
          <w:rtl/>
        </w:rPr>
        <w:t>מעיר</w:t>
      </w:r>
      <w:r w:rsidRPr="00322559">
        <w:rPr>
          <w:b/>
          <w:bCs/>
          <w:rtl/>
        </w:rPr>
        <w:t xml:space="preserve"> </w:t>
      </w:r>
      <w:r w:rsidRPr="00322559">
        <w:rPr>
          <w:rFonts w:hint="eastAsia"/>
          <w:b/>
          <w:bCs/>
          <w:rtl/>
        </w:rPr>
        <w:t>למשטרה</w:t>
      </w:r>
      <w:r w:rsidRPr="00322559">
        <w:rPr>
          <w:b/>
          <w:bCs/>
          <w:rtl/>
        </w:rPr>
        <w:t xml:space="preserve"> </w:t>
      </w:r>
      <w:r w:rsidRPr="00322559">
        <w:rPr>
          <w:rFonts w:hint="eastAsia"/>
          <w:b/>
          <w:bCs/>
          <w:rtl/>
        </w:rPr>
        <w:t>כי</w:t>
      </w:r>
      <w:r w:rsidRPr="00322559">
        <w:rPr>
          <w:b/>
          <w:bCs/>
          <w:rtl/>
        </w:rPr>
        <w:t xml:space="preserve"> </w:t>
      </w:r>
      <w:r w:rsidRPr="00322559">
        <w:rPr>
          <w:rFonts w:hint="eastAsia"/>
          <w:b/>
          <w:bCs/>
          <w:rtl/>
        </w:rPr>
        <w:t>היות</w:t>
      </w:r>
      <w:r w:rsidRPr="00322559">
        <w:rPr>
          <w:b/>
          <w:bCs/>
          <w:rtl/>
        </w:rPr>
        <w:t xml:space="preserve"> </w:t>
      </w:r>
      <w:r w:rsidRPr="00322559">
        <w:rPr>
          <w:rFonts w:hint="eastAsia"/>
          <w:b/>
          <w:bCs/>
          <w:rtl/>
        </w:rPr>
        <w:t>ש</w:t>
      </w:r>
      <w:r w:rsidR="001576FE" w:rsidRPr="0097754A">
        <w:rPr>
          <w:rFonts w:hint="cs"/>
          <w:b/>
          <w:bCs/>
          <w:rtl/>
        </w:rPr>
        <w:t xml:space="preserve">מסמך א' ומסמך ב' </w:t>
      </w:r>
      <w:r w:rsidR="00322559">
        <w:rPr>
          <w:rFonts w:hint="cs"/>
          <w:b/>
          <w:bCs/>
          <w:rtl/>
        </w:rPr>
        <w:t xml:space="preserve">(מסמכי היערכות ואישור הרלוונטיים </w:t>
      </w:r>
      <w:r w:rsidR="00C35F2D">
        <w:rPr>
          <w:rFonts w:hint="cs"/>
          <w:b/>
          <w:bCs/>
          <w:rtl/>
        </w:rPr>
        <w:t>לביצוע האזנת סתר</w:t>
      </w:r>
      <w:r w:rsidR="00322559">
        <w:rPr>
          <w:rFonts w:hint="cs"/>
          <w:b/>
          <w:bCs/>
          <w:rtl/>
        </w:rPr>
        <w:t xml:space="preserve">) </w:t>
      </w:r>
      <w:r w:rsidRPr="00322559">
        <w:rPr>
          <w:rFonts w:hint="eastAsia"/>
          <w:b/>
          <w:bCs/>
          <w:rtl/>
        </w:rPr>
        <w:t>הם</w:t>
      </w:r>
      <w:r w:rsidRPr="00322559">
        <w:rPr>
          <w:b/>
          <w:bCs/>
          <w:rtl/>
        </w:rPr>
        <w:t xml:space="preserve"> </w:t>
      </w:r>
      <w:r w:rsidRPr="00322559">
        <w:rPr>
          <w:rFonts w:hint="eastAsia"/>
          <w:b/>
          <w:bCs/>
          <w:rtl/>
        </w:rPr>
        <w:t>כלי</w:t>
      </w:r>
      <w:r w:rsidRPr="00322559">
        <w:rPr>
          <w:b/>
          <w:bCs/>
          <w:rtl/>
        </w:rPr>
        <w:t xml:space="preserve"> עזר המסייעים לוודא </w:t>
      </w:r>
      <w:r w:rsidRPr="00322559">
        <w:rPr>
          <w:rFonts w:hint="eastAsia"/>
          <w:b/>
          <w:bCs/>
          <w:rtl/>
        </w:rPr>
        <w:t>כי</w:t>
      </w:r>
      <w:r w:rsidRPr="00322559">
        <w:rPr>
          <w:b/>
          <w:bCs/>
          <w:rtl/>
        </w:rPr>
        <w:t xml:space="preserve"> </w:t>
      </w:r>
      <w:r w:rsidRPr="00322559">
        <w:rPr>
          <w:rFonts w:hint="eastAsia"/>
          <w:b/>
          <w:bCs/>
          <w:rtl/>
        </w:rPr>
        <w:t>הסמכות</w:t>
      </w:r>
      <w:r w:rsidRPr="00322559">
        <w:rPr>
          <w:b/>
          <w:bCs/>
          <w:rtl/>
        </w:rPr>
        <w:t xml:space="preserve"> </w:t>
      </w:r>
      <w:r w:rsidRPr="00322559">
        <w:rPr>
          <w:rFonts w:hint="eastAsia"/>
          <w:b/>
          <w:bCs/>
          <w:rtl/>
        </w:rPr>
        <w:t>הופעלה</w:t>
      </w:r>
      <w:r w:rsidRPr="00322559">
        <w:rPr>
          <w:b/>
          <w:bCs/>
          <w:rtl/>
        </w:rPr>
        <w:t xml:space="preserve"> בתחומי גבולותיה הנוקשים והקפדניים, התיעוד </w:t>
      </w:r>
      <w:r w:rsidRPr="00322559">
        <w:rPr>
          <w:rFonts w:hint="eastAsia"/>
          <w:b/>
          <w:bCs/>
          <w:rtl/>
        </w:rPr>
        <w:t>הוא</w:t>
      </w:r>
      <w:r w:rsidRPr="00322559">
        <w:rPr>
          <w:b/>
          <w:bCs/>
          <w:rtl/>
        </w:rPr>
        <w:t xml:space="preserve"> </w:t>
      </w:r>
      <w:r w:rsidRPr="00322559">
        <w:rPr>
          <w:rFonts w:hint="eastAsia"/>
          <w:b/>
          <w:bCs/>
          <w:rtl/>
        </w:rPr>
        <w:t>בעל</w:t>
      </w:r>
      <w:r w:rsidRPr="00322559">
        <w:rPr>
          <w:b/>
          <w:bCs/>
          <w:rtl/>
        </w:rPr>
        <w:t xml:space="preserve"> </w:t>
      </w:r>
      <w:r w:rsidRPr="00322559">
        <w:rPr>
          <w:rFonts w:hint="eastAsia"/>
          <w:b/>
          <w:bCs/>
          <w:rtl/>
        </w:rPr>
        <w:t>חשיבות</w:t>
      </w:r>
      <w:r w:rsidRPr="00322559">
        <w:rPr>
          <w:b/>
          <w:bCs/>
          <w:rtl/>
        </w:rPr>
        <w:t xml:space="preserve"> מהותי</w:t>
      </w:r>
      <w:r w:rsidRPr="00322559">
        <w:rPr>
          <w:rFonts w:hint="eastAsia"/>
          <w:b/>
          <w:bCs/>
          <w:rtl/>
        </w:rPr>
        <w:t>ת</w:t>
      </w:r>
      <w:r w:rsidRPr="00322559">
        <w:rPr>
          <w:b/>
          <w:bCs/>
          <w:rtl/>
        </w:rPr>
        <w:t xml:space="preserve"> </w:t>
      </w:r>
      <w:r w:rsidRPr="00322559">
        <w:rPr>
          <w:rFonts w:hint="eastAsia"/>
          <w:b/>
          <w:bCs/>
          <w:rtl/>
        </w:rPr>
        <w:t>ולא</w:t>
      </w:r>
      <w:r w:rsidRPr="00322559">
        <w:rPr>
          <w:b/>
          <w:bCs/>
          <w:rtl/>
        </w:rPr>
        <w:t xml:space="preserve"> </w:t>
      </w:r>
      <w:r w:rsidRPr="00322559">
        <w:rPr>
          <w:rFonts w:hint="eastAsia"/>
          <w:b/>
          <w:bCs/>
          <w:rtl/>
        </w:rPr>
        <w:t>עניין</w:t>
      </w:r>
      <w:r w:rsidRPr="00322559">
        <w:rPr>
          <w:b/>
          <w:bCs/>
          <w:rtl/>
        </w:rPr>
        <w:t xml:space="preserve"> </w:t>
      </w:r>
      <w:r w:rsidRPr="00322559">
        <w:rPr>
          <w:rFonts w:hint="eastAsia"/>
          <w:b/>
          <w:bCs/>
          <w:rtl/>
        </w:rPr>
        <w:t>טכני</w:t>
      </w:r>
      <w:r w:rsidRPr="00322559">
        <w:rPr>
          <w:b/>
          <w:bCs/>
          <w:rtl/>
        </w:rPr>
        <w:t xml:space="preserve">. </w:t>
      </w:r>
      <w:r w:rsidRPr="00322559">
        <w:rPr>
          <w:rFonts w:hint="cs"/>
          <w:b/>
          <w:bCs/>
          <w:rtl/>
        </w:rPr>
        <w:t xml:space="preserve">יתרה מכך, </w:t>
      </w:r>
      <w:r w:rsidRPr="00322559">
        <w:rPr>
          <w:b/>
          <w:bCs/>
          <w:rtl/>
        </w:rPr>
        <w:t xml:space="preserve">הנחיה מינהלית הקובעת באופן מפורש חובה לבצע פעולה, ובעניין זה הכנת </w:t>
      </w:r>
      <w:r w:rsidR="001576FE" w:rsidRPr="00322559">
        <w:rPr>
          <w:rFonts w:hint="cs"/>
          <w:b/>
          <w:bCs/>
          <w:rtl/>
        </w:rPr>
        <w:t>מסמך א'</w:t>
      </w:r>
      <w:r w:rsidRPr="00322559">
        <w:rPr>
          <w:b/>
          <w:bCs/>
          <w:rtl/>
        </w:rPr>
        <w:t xml:space="preserve"> </w:t>
      </w:r>
      <w:r w:rsidRPr="00322559">
        <w:rPr>
          <w:rFonts w:hint="cs"/>
          <w:b/>
          <w:bCs/>
          <w:rtl/>
        </w:rPr>
        <w:t>לפני</w:t>
      </w:r>
      <w:r w:rsidRPr="00322559">
        <w:rPr>
          <w:b/>
          <w:bCs/>
          <w:rtl/>
        </w:rPr>
        <w:t xml:space="preserve"> </w:t>
      </w:r>
      <w:r w:rsidR="00CB739F" w:rsidRPr="00322559">
        <w:rPr>
          <w:rFonts w:hint="cs"/>
          <w:b/>
          <w:bCs/>
          <w:rtl/>
        </w:rPr>
        <w:t>התקנה</w:t>
      </w:r>
      <w:r w:rsidR="00CB739F" w:rsidRPr="00322559">
        <w:rPr>
          <w:b/>
          <w:bCs/>
          <w:rtl/>
        </w:rPr>
        <w:t xml:space="preserve"> </w:t>
      </w:r>
      <w:r w:rsidRPr="00322559">
        <w:rPr>
          <w:b/>
          <w:bCs/>
          <w:rtl/>
        </w:rPr>
        <w:t xml:space="preserve">בכלים טכנולוגיים מסוימים ובמתווי </w:t>
      </w:r>
      <w:r w:rsidR="00CB739F" w:rsidRPr="00322559">
        <w:rPr>
          <w:rFonts w:hint="cs"/>
          <w:b/>
          <w:bCs/>
          <w:rtl/>
        </w:rPr>
        <w:t>התקנה</w:t>
      </w:r>
      <w:r w:rsidR="00CB739F" w:rsidRPr="00322559">
        <w:rPr>
          <w:b/>
          <w:bCs/>
          <w:rtl/>
        </w:rPr>
        <w:t xml:space="preserve"> </w:t>
      </w:r>
      <w:r w:rsidRPr="00322559">
        <w:rPr>
          <w:b/>
          <w:bCs/>
          <w:rtl/>
        </w:rPr>
        <w:t>מסוימים א</w:t>
      </w:r>
      <w:r w:rsidRPr="00322559">
        <w:rPr>
          <w:rFonts w:hint="eastAsia"/>
          <w:b/>
          <w:bCs/>
          <w:rtl/>
        </w:rPr>
        <w:t>ו</w:t>
      </w:r>
      <w:r w:rsidRPr="00322559">
        <w:rPr>
          <w:b/>
          <w:bCs/>
          <w:rtl/>
        </w:rPr>
        <w:t xml:space="preserve"> הנחייה הקובעת כי יש להכין</w:t>
      </w:r>
      <w:r w:rsidR="00322559">
        <w:rPr>
          <w:rFonts w:hint="cs"/>
          <w:b/>
          <w:bCs/>
          <w:rtl/>
        </w:rPr>
        <w:t xml:space="preserve"> את</w:t>
      </w:r>
      <w:r w:rsidRPr="00322559">
        <w:rPr>
          <w:b/>
          <w:bCs/>
          <w:rtl/>
        </w:rPr>
        <w:t xml:space="preserve"> </w:t>
      </w:r>
      <w:r w:rsidR="001576FE" w:rsidRPr="00322559">
        <w:rPr>
          <w:rFonts w:hint="cs"/>
          <w:b/>
          <w:bCs/>
          <w:rtl/>
        </w:rPr>
        <w:t>מסמך ב'</w:t>
      </w:r>
      <w:r w:rsidRPr="00322559">
        <w:rPr>
          <w:b/>
          <w:bCs/>
          <w:rtl/>
        </w:rPr>
        <w:t xml:space="preserve"> - היא הנחיה מחייבת לכל דבר ועניין עד לתיקונה. </w:t>
      </w:r>
      <w:r w:rsidRPr="00322559">
        <w:rPr>
          <w:rFonts w:hint="eastAsia"/>
          <w:b/>
          <w:bCs/>
          <w:rtl/>
        </w:rPr>
        <w:t>כל</w:t>
      </w:r>
      <w:r w:rsidRPr="00322559">
        <w:rPr>
          <w:b/>
          <w:bCs/>
          <w:rtl/>
        </w:rPr>
        <w:t xml:space="preserve"> </w:t>
      </w:r>
      <w:r w:rsidRPr="00322559">
        <w:rPr>
          <w:rFonts w:hint="eastAsia"/>
          <w:b/>
          <w:bCs/>
          <w:rtl/>
        </w:rPr>
        <w:t>עוד</w:t>
      </w:r>
      <w:r w:rsidRPr="00322559">
        <w:rPr>
          <w:b/>
          <w:bCs/>
          <w:rtl/>
        </w:rPr>
        <w:t xml:space="preserve"> </w:t>
      </w:r>
      <w:r w:rsidRPr="00322559">
        <w:rPr>
          <w:rFonts w:hint="eastAsia"/>
          <w:b/>
          <w:bCs/>
          <w:rtl/>
        </w:rPr>
        <w:t>ההנחיה</w:t>
      </w:r>
      <w:r w:rsidRPr="00322559">
        <w:rPr>
          <w:b/>
          <w:bCs/>
          <w:rtl/>
        </w:rPr>
        <w:t xml:space="preserve"> </w:t>
      </w:r>
      <w:r w:rsidRPr="00322559">
        <w:rPr>
          <w:rFonts w:hint="eastAsia"/>
          <w:b/>
          <w:bCs/>
          <w:rtl/>
        </w:rPr>
        <w:t>המחייבת</w:t>
      </w:r>
      <w:r w:rsidRPr="00322559">
        <w:rPr>
          <w:b/>
          <w:bCs/>
          <w:rtl/>
        </w:rPr>
        <w:t xml:space="preserve"> </w:t>
      </w:r>
      <w:r w:rsidRPr="00322559">
        <w:rPr>
          <w:rFonts w:hint="eastAsia"/>
          <w:b/>
          <w:bCs/>
          <w:rtl/>
        </w:rPr>
        <w:t>תקפה</w:t>
      </w:r>
      <w:r w:rsidRPr="00322559">
        <w:rPr>
          <w:b/>
          <w:bCs/>
          <w:rtl/>
        </w:rPr>
        <w:t xml:space="preserve">, </w:t>
      </w:r>
      <w:r w:rsidRPr="00322559">
        <w:rPr>
          <w:rFonts w:hint="eastAsia"/>
          <w:b/>
          <w:bCs/>
          <w:rtl/>
        </w:rPr>
        <w:t>סטייה</w:t>
      </w:r>
      <w:r w:rsidRPr="00322559">
        <w:rPr>
          <w:b/>
          <w:bCs/>
          <w:rtl/>
        </w:rPr>
        <w:t xml:space="preserve"> </w:t>
      </w:r>
      <w:r w:rsidRPr="00322559">
        <w:rPr>
          <w:rFonts w:hint="eastAsia"/>
          <w:b/>
          <w:bCs/>
          <w:rtl/>
        </w:rPr>
        <w:t>ממנה</w:t>
      </w:r>
      <w:r w:rsidRPr="00322559">
        <w:rPr>
          <w:b/>
          <w:bCs/>
          <w:rtl/>
        </w:rPr>
        <w:t xml:space="preserve"> </w:t>
      </w:r>
      <w:r w:rsidRPr="00322559">
        <w:rPr>
          <w:rFonts w:hint="eastAsia"/>
          <w:b/>
          <w:bCs/>
          <w:rtl/>
        </w:rPr>
        <w:t>מלמדת</w:t>
      </w:r>
      <w:r w:rsidRPr="00322559">
        <w:rPr>
          <w:b/>
          <w:bCs/>
          <w:rtl/>
        </w:rPr>
        <w:t xml:space="preserve"> </w:t>
      </w:r>
      <w:r w:rsidRPr="00322559">
        <w:rPr>
          <w:rFonts w:hint="eastAsia"/>
          <w:b/>
          <w:bCs/>
          <w:rtl/>
        </w:rPr>
        <w:t>על</w:t>
      </w:r>
      <w:r w:rsidRPr="00322559">
        <w:rPr>
          <w:b/>
          <w:bCs/>
          <w:rtl/>
        </w:rPr>
        <w:t xml:space="preserve"> </w:t>
      </w:r>
      <w:r w:rsidRPr="00322559">
        <w:rPr>
          <w:rFonts w:hint="eastAsia"/>
          <w:b/>
          <w:bCs/>
          <w:rtl/>
        </w:rPr>
        <w:t>התנהלות</w:t>
      </w:r>
      <w:r w:rsidRPr="00322559">
        <w:rPr>
          <w:b/>
          <w:bCs/>
          <w:rtl/>
        </w:rPr>
        <w:t xml:space="preserve"> </w:t>
      </w:r>
      <w:r w:rsidRPr="00322559">
        <w:rPr>
          <w:rFonts w:hint="eastAsia"/>
          <w:b/>
          <w:bCs/>
          <w:rtl/>
        </w:rPr>
        <w:t>פגומה</w:t>
      </w:r>
      <w:r w:rsidRPr="00322559">
        <w:rPr>
          <w:b/>
          <w:bCs/>
          <w:rtl/>
        </w:rPr>
        <w:t xml:space="preserve"> </w:t>
      </w:r>
      <w:r w:rsidRPr="00322559">
        <w:rPr>
          <w:rFonts w:hint="eastAsia"/>
          <w:b/>
          <w:bCs/>
          <w:rtl/>
        </w:rPr>
        <w:t>של</w:t>
      </w:r>
      <w:r w:rsidRPr="00322559">
        <w:rPr>
          <w:b/>
          <w:bCs/>
          <w:rtl/>
        </w:rPr>
        <w:t xml:space="preserve"> </w:t>
      </w:r>
      <w:r w:rsidRPr="00322559">
        <w:rPr>
          <w:rFonts w:hint="eastAsia"/>
          <w:b/>
          <w:bCs/>
          <w:rtl/>
        </w:rPr>
        <w:t>המשטרה</w:t>
      </w:r>
      <w:r w:rsidRPr="00322559">
        <w:rPr>
          <w:b/>
          <w:bCs/>
          <w:rtl/>
        </w:rPr>
        <w:t>.</w:t>
      </w:r>
      <w:r w:rsidRPr="00DC499F">
        <w:rPr>
          <w:b/>
          <w:bCs/>
          <w:rtl/>
        </w:rPr>
        <w:t xml:space="preserve"> </w:t>
      </w:r>
    </w:p>
    <w:p w:rsidR="009A1216" w:rsidRDefault="009A1216" w:rsidP="00604C3D">
      <w:pPr>
        <w:spacing w:line="269" w:lineRule="auto"/>
        <w:rPr>
          <w:b/>
          <w:bCs/>
          <w:rtl/>
        </w:rPr>
      </w:pPr>
    </w:p>
    <w:p w:rsidR="009A1216" w:rsidRPr="0097754A" w:rsidRDefault="009A1216" w:rsidP="008C598D">
      <w:pPr>
        <w:pStyle w:val="5"/>
        <w:numPr>
          <w:ilvl w:val="0"/>
          <w:numId w:val="20"/>
        </w:numPr>
        <w:spacing w:line="269" w:lineRule="auto"/>
        <w:rPr>
          <w:rtl/>
        </w:rPr>
      </w:pPr>
      <w:bookmarkStart w:id="405" w:name="_Toc151890748"/>
      <w:bookmarkStart w:id="406" w:name="_Toc151882020"/>
      <w:r w:rsidRPr="0097754A">
        <w:rPr>
          <w:rFonts w:hint="eastAsia"/>
          <w:rtl/>
        </w:rPr>
        <w:t>הכנת</w:t>
      </w:r>
      <w:r w:rsidRPr="0097754A">
        <w:rPr>
          <w:rtl/>
        </w:rPr>
        <w:t xml:space="preserve"> </w:t>
      </w:r>
      <w:bookmarkEnd w:id="405"/>
      <w:bookmarkEnd w:id="406"/>
      <w:r w:rsidR="001576FE" w:rsidRPr="0097754A">
        <w:rPr>
          <w:rFonts w:hint="cs"/>
          <w:rtl/>
        </w:rPr>
        <w:t>מסמך א'</w:t>
      </w:r>
      <w:r w:rsidRPr="0097754A">
        <w:rPr>
          <w:rtl/>
        </w:rPr>
        <w:t xml:space="preserve"> </w:t>
      </w:r>
    </w:p>
    <w:p w:rsidR="00302716" w:rsidRDefault="00302716" w:rsidP="00604C3D">
      <w:pPr>
        <w:spacing w:line="269" w:lineRule="auto"/>
        <w:rPr>
          <w:rtl/>
        </w:rPr>
      </w:pPr>
    </w:p>
    <w:p w:rsidR="009A1216" w:rsidRDefault="001576FE" w:rsidP="00E4477A">
      <w:pPr>
        <w:spacing w:line="269" w:lineRule="auto"/>
        <w:ind w:left="360"/>
        <w:rPr>
          <w:rtl/>
        </w:rPr>
      </w:pPr>
      <w:r>
        <w:rPr>
          <w:rFonts w:hint="cs"/>
          <w:rtl/>
        </w:rPr>
        <w:t>מסמך א'</w:t>
      </w:r>
      <w:r w:rsidR="009A1216">
        <w:rPr>
          <w:rFonts w:hint="cs"/>
          <w:rtl/>
        </w:rPr>
        <w:t xml:space="preserve"> ה</w:t>
      </w:r>
      <w:r w:rsidR="00220076">
        <w:rPr>
          <w:rFonts w:hint="cs"/>
          <w:rtl/>
        </w:rPr>
        <w:t>ו</w:t>
      </w:r>
      <w:r w:rsidR="009A1216">
        <w:rPr>
          <w:rFonts w:hint="cs"/>
          <w:rtl/>
        </w:rPr>
        <w:t xml:space="preserve">א הנחיה קונקרטית המפרטת את אופן ביצוע האזנת הסתר לתקשורת בין מחשבים בהתאם למתווה </w:t>
      </w:r>
      <w:r w:rsidR="00CB739F">
        <w:rPr>
          <w:rFonts w:hint="cs"/>
          <w:rtl/>
        </w:rPr>
        <w:t xml:space="preserve">ההתקנה </w:t>
      </w:r>
      <w:r w:rsidR="009A1216">
        <w:rPr>
          <w:rFonts w:hint="cs"/>
          <w:rtl/>
        </w:rPr>
        <w:t xml:space="preserve">הטכנולוגי שנבחר לצורך </w:t>
      </w:r>
      <w:r w:rsidR="00CB739F">
        <w:rPr>
          <w:rFonts w:hint="cs"/>
          <w:rtl/>
        </w:rPr>
        <w:t xml:space="preserve">התקנת כלי טכנולוגי על </w:t>
      </w:r>
      <w:r w:rsidR="009A1216">
        <w:rPr>
          <w:rFonts w:hint="cs"/>
          <w:rtl/>
        </w:rPr>
        <w:t xml:space="preserve">יעד האזנה ספציפי. </w:t>
      </w:r>
      <w:r>
        <w:rPr>
          <w:rFonts w:hint="cs"/>
          <w:rtl/>
        </w:rPr>
        <w:t xml:space="preserve">מסמך א' </w:t>
      </w:r>
      <w:r w:rsidR="009A1216">
        <w:rPr>
          <w:rFonts w:hint="cs"/>
          <w:rtl/>
        </w:rPr>
        <w:t>מפרט את זהות המטרה, את עיקרי המודיעין הקיים, את הצי"ח</w:t>
      </w:r>
      <w:r w:rsidR="009A1216">
        <w:rPr>
          <w:rStyle w:val="af"/>
          <w:rtl/>
        </w:rPr>
        <w:footnoteReference w:id="162"/>
      </w:r>
      <w:r w:rsidR="009A1216">
        <w:rPr>
          <w:rFonts w:hint="cs"/>
          <w:rtl/>
        </w:rPr>
        <w:t xml:space="preserve">, את תוכנית </w:t>
      </w:r>
      <w:r w:rsidR="00CB739F">
        <w:rPr>
          <w:rFonts w:hint="cs"/>
          <w:rtl/>
        </w:rPr>
        <w:t>ההתקנה</w:t>
      </w:r>
      <w:r w:rsidR="009A1216">
        <w:rPr>
          <w:rFonts w:hint="cs"/>
          <w:rtl/>
        </w:rPr>
        <w:t>, את לוחות הזמנים, ואת אופן</w:t>
      </w:r>
      <w:r w:rsidR="009A1216">
        <w:rPr>
          <w:rFonts w:hint="cs"/>
        </w:rPr>
        <w:t xml:space="preserve"> </w:t>
      </w:r>
      <w:r w:rsidR="009A1216">
        <w:rPr>
          <w:rFonts w:hint="cs"/>
          <w:rtl/>
        </w:rPr>
        <w:t xml:space="preserve">הקצאת הכוחות והמשימות לביצוע המבצע (לרבות מעורבות גורמי הפקה, בילוש וכיו"ב). </w:t>
      </w:r>
      <w:r w:rsidR="00281267">
        <w:rPr>
          <w:rFonts w:hint="cs"/>
          <w:rtl/>
        </w:rPr>
        <w:t xml:space="preserve">ככלל, </w:t>
      </w:r>
      <w:r w:rsidR="009A1216">
        <w:rPr>
          <w:rFonts w:hint="cs"/>
          <w:rtl/>
        </w:rPr>
        <w:t>טפסים ותבניות המוזכרים בהנחיות</w:t>
      </w:r>
      <w:r w:rsidR="00281267">
        <w:rPr>
          <w:rFonts w:hint="cs"/>
          <w:rtl/>
        </w:rPr>
        <w:t xml:space="preserve"> המשטרה גם</w:t>
      </w:r>
      <w:r w:rsidR="00281267" w:rsidRPr="00281267">
        <w:rPr>
          <w:rFonts w:hint="cs"/>
          <w:rtl/>
        </w:rPr>
        <w:t xml:space="preserve"> </w:t>
      </w:r>
      <w:r w:rsidR="00281267">
        <w:rPr>
          <w:rFonts w:hint="cs"/>
          <w:rtl/>
        </w:rPr>
        <w:t>מעוגנים בהם</w:t>
      </w:r>
      <w:r w:rsidR="009A1216">
        <w:rPr>
          <w:rFonts w:hint="cs"/>
          <w:rtl/>
        </w:rPr>
        <w:t xml:space="preserve">, </w:t>
      </w:r>
      <w:r w:rsidR="00281267">
        <w:rPr>
          <w:rFonts w:hint="cs"/>
          <w:rtl/>
        </w:rPr>
        <w:t>כדי שניתן יהיה להכין בעזרתם</w:t>
      </w:r>
      <w:r w:rsidR="009A1216">
        <w:rPr>
          <w:rFonts w:hint="cs"/>
          <w:rtl/>
        </w:rPr>
        <w:t xml:space="preserve"> </w:t>
      </w:r>
      <w:r>
        <w:rPr>
          <w:rFonts w:hint="cs"/>
          <w:rtl/>
        </w:rPr>
        <w:t>מסמך</w:t>
      </w:r>
      <w:r w:rsidR="009A1216">
        <w:rPr>
          <w:rFonts w:hint="cs"/>
          <w:rtl/>
        </w:rPr>
        <w:t xml:space="preserve"> ספציפי</w:t>
      </w:r>
      <w:r w:rsidR="00281267">
        <w:rPr>
          <w:rFonts w:hint="cs"/>
          <w:rtl/>
        </w:rPr>
        <w:t>. בהתאם לנוהג האמור,</w:t>
      </w:r>
      <w:r w:rsidR="009A1216">
        <w:rPr>
          <w:rFonts w:hint="cs"/>
          <w:rtl/>
        </w:rPr>
        <w:t xml:space="preserve"> נדרש ליצור תבניות התואמות לכל כלי טכנולוגי ומתווה </w:t>
      </w:r>
      <w:r>
        <w:rPr>
          <w:rFonts w:hint="cs"/>
          <w:rtl/>
        </w:rPr>
        <w:t xml:space="preserve">התקנה </w:t>
      </w:r>
      <w:r w:rsidR="009A1216">
        <w:rPr>
          <w:rFonts w:hint="cs"/>
          <w:rtl/>
        </w:rPr>
        <w:t>מסוים.</w:t>
      </w:r>
    </w:p>
    <w:p w:rsidR="00302716" w:rsidRDefault="00302716" w:rsidP="00E4477A">
      <w:pPr>
        <w:spacing w:line="269" w:lineRule="auto"/>
        <w:ind w:left="360"/>
        <w:rPr>
          <w:rtl/>
        </w:rPr>
      </w:pPr>
    </w:p>
    <w:p w:rsidR="009A1216" w:rsidRDefault="009A1216" w:rsidP="00E4477A">
      <w:pPr>
        <w:spacing w:line="269" w:lineRule="auto"/>
        <w:ind w:left="360"/>
        <w:rPr>
          <w:rtl/>
        </w:rPr>
      </w:pPr>
      <w:r>
        <w:rPr>
          <w:rFonts w:hint="cs"/>
          <w:rtl/>
        </w:rPr>
        <w:t xml:space="preserve">לפי הנחיות המשטרה משנת 2017, מפקד הצס"ם הארצי אחראי להכין את </w:t>
      </w:r>
      <w:r w:rsidR="001576FE">
        <w:rPr>
          <w:rFonts w:hint="cs"/>
          <w:rtl/>
        </w:rPr>
        <w:t>מסמך א'</w:t>
      </w:r>
      <w:r>
        <w:rPr>
          <w:rFonts w:hint="cs"/>
          <w:rtl/>
        </w:rPr>
        <w:t xml:space="preserve">. </w:t>
      </w:r>
      <w:r w:rsidR="001576FE">
        <w:rPr>
          <w:rFonts w:hint="cs"/>
          <w:rtl/>
        </w:rPr>
        <w:t xml:space="preserve">מסמך א' מועבר </w:t>
      </w:r>
      <w:r>
        <w:rPr>
          <w:rFonts w:hint="cs"/>
          <w:rtl/>
        </w:rPr>
        <w:t xml:space="preserve">לאישור ראש מחלק </w:t>
      </w:r>
      <w:r w:rsidR="001576FE">
        <w:rPr>
          <w:rFonts w:hint="cs"/>
          <w:rtl/>
        </w:rPr>
        <w:t>בחטיבה</w:t>
      </w:r>
      <w:r>
        <w:rPr>
          <w:rFonts w:hint="cs"/>
          <w:rtl/>
        </w:rPr>
        <w:t xml:space="preserve">. </w:t>
      </w:r>
      <w:r w:rsidR="001576FE">
        <w:rPr>
          <w:rFonts w:hint="cs"/>
          <w:rtl/>
        </w:rPr>
        <w:t>מסמך א'</w:t>
      </w:r>
      <w:r>
        <w:rPr>
          <w:rFonts w:hint="cs"/>
          <w:rtl/>
        </w:rPr>
        <w:t xml:space="preserve"> כולל רובריקה שבה הגורם המאשר כותב את החלטתו בצירוף חתימתו. </w:t>
      </w:r>
    </w:p>
    <w:p w:rsidR="00281267" w:rsidRDefault="00281267" w:rsidP="00E4477A">
      <w:pPr>
        <w:spacing w:line="269" w:lineRule="auto"/>
        <w:ind w:left="360"/>
        <w:rPr>
          <w:b/>
          <w:bCs/>
          <w:rtl/>
        </w:rPr>
      </w:pPr>
    </w:p>
    <w:p w:rsidR="009A1216" w:rsidRDefault="009A1216" w:rsidP="00E4477A">
      <w:pPr>
        <w:spacing w:line="269" w:lineRule="auto"/>
        <w:ind w:left="360"/>
        <w:rPr>
          <w:b/>
          <w:bCs/>
          <w:rtl/>
        </w:rPr>
      </w:pPr>
      <w:r w:rsidRPr="00553D43">
        <w:rPr>
          <w:rFonts w:hint="cs"/>
          <w:b/>
          <w:bCs/>
          <w:rtl/>
        </w:rPr>
        <w:t>מבדיקת מבקר המדינה עולה כי</w:t>
      </w:r>
      <w:r>
        <w:rPr>
          <w:rFonts w:hint="cs"/>
          <w:b/>
          <w:bCs/>
          <w:rtl/>
        </w:rPr>
        <w:t xml:space="preserve"> על אף הנחיית המשטרה משנת 2017,</w:t>
      </w:r>
      <w:r w:rsidRPr="00553D43">
        <w:rPr>
          <w:rFonts w:hint="cs"/>
          <w:b/>
          <w:bCs/>
          <w:rtl/>
        </w:rPr>
        <w:t xml:space="preserve"> </w:t>
      </w:r>
      <w:r>
        <w:rPr>
          <w:rFonts w:hint="cs"/>
          <w:b/>
          <w:bCs/>
          <w:rtl/>
        </w:rPr>
        <w:t xml:space="preserve">חטיבת הסייבר לא יצרה תבנית להכנת </w:t>
      </w:r>
      <w:r w:rsidR="001576FE">
        <w:rPr>
          <w:rFonts w:hint="cs"/>
          <w:b/>
          <w:bCs/>
          <w:rtl/>
        </w:rPr>
        <w:t xml:space="preserve">מסמך א' </w:t>
      </w:r>
      <w:r w:rsidRPr="005E044D">
        <w:rPr>
          <w:rFonts w:hint="eastAsia"/>
          <w:b/>
          <w:bCs/>
          <w:rtl/>
        </w:rPr>
        <w:t>לשימוש</w:t>
      </w:r>
      <w:r>
        <w:rPr>
          <w:rFonts w:hint="cs"/>
          <w:b/>
          <w:bCs/>
          <w:rtl/>
        </w:rPr>
        <w:t xml:space="preserve"> בשלושה כלים טכנולוגיים ובמתווי </w:t>
      </w:r>
      <w:r w:rsidR="00CB739F">
        <w:rPr>
          <w:rFonts w:hint="cs"/>
          <w:b/>
          <w:bCs/>
          <w:rtl/>
        </w:rPr>
        <w:t xml:space="preserve">התקנה </w:t>
      </w:r>
      <w:r>
        <w:rPr>
          <w:rFonts w:hint="cs"/>
          <w:b/>
          <w:bCs/>
          <w:rtl/>
        </w:rPr>
        <w:t>ידניים. בסך הכול ב</w:t>
      </w:r>
      <w:r w:rsidRPr="005E743E">
        <w:rPr>
          <w:rFonts w:hint="cs"/>
          <w:b/>
          <w:bCs/>
          <w:rtl/>
        </w:rPr>
        <w:t xml:space="preserve">שישה מתוך תשעה מתווי </w:t>
      </w:r>
      <w:r w:rsidR="00CB739F">
        <w:rPr>
          <w:rFonts w:hint="cs"/>
          <w:b/>
          <w:bCs/>
          <w:rtl/>
        </w:rPr>
        <w:t>ההתקנה</w:t>
      </w:r>
      <w:r w:rsidR="00CB739F" w:rsidRPr="005E743E">
        <w:rPr>
          <w:rFonts w:hint="cs"/>
          <w:b/>
          <w:bCs/>
          <w:rtl/>
        </w:rPr>
        <w:t xml:space="preserve"> </w:t>
      </w:r>
      <w:r>
        <w:rPr>
          <w:rFonts w:hint="cs"/>
          <w:b/>
          <w:bCs/>
          <w:rtl/>
        </w:rPr>
        <w:t xml:space="preserve">המשטרה לא יצרה תבניות. עוד עולה כי רק לגבי שניים </w:t>
      </w:r>
      <w:r w:rsidRPr="00553D43">
        <w:rPr>
          <w:rFonts w:hint="cs"/>
          <w:b/>
          <w:bCs/>
          <w:rtl/>
        </w:rPr>
        <w:t xml:space="preserve">מתוך </w:t>
      </w:r>
      <w:r>
        <w:rPr>
          <w:rFonts w:hint="cs"/>
          <w:b/>
          <w:bCs/>
          <w:rtl/>
        </w:rPr>
        <w:t>שישה</w:t>
      </w:r>
      <w:r w:rsidRPr="00553D43">
        <w:rPr>
          <w:rFonts w:hint="cs"/>
          <w:b/>
          <w:bCs/>
          <w:rtl/>
        </w:rPr>
        <w:t xml:space="preserve"> </w:t>
      </w:r>
      <w:r>
        <w:rPr>
          <w:rFonts w:hint="cs"/>
          <w:b/>
          <w:bCs/>
          <w:rtl/>
        </w:rPr>
        <w:t>כלים טכנולוגיים</w:t>
      </w:r>
      <w:r w:rsidRPr="00553D43">
        <w:rPr>
          <w:rFonts w:hint="cs"/>
          <w:b/>
          <w:bCs/>
          <w:rtl/>
        </w:rPr>
        <w:t xml:space="preserve"> </w:t>
      </w:r>
      <w:r>
        <w:rPr>
          <w:rFonts w:hint="cs"/>
          <w:b/>
          <w:bCs/>
          <w:rtl/>
        </w:rPr>
        <w:t>ל</w:t>
      </w:r>
      <w:r w:rsidRPr="00553D43">
        <w:rPr>
          <w:rFonts w:hint="cs"/>
          <w:b/>
          <w:bCs/>
          <w:rtl/>
        </w:rPr>
        <w:t xml:space="preserve">האזנת סתר הוכנה תבנית </w:t>
      </w:r>
      <w:r w:rsidR="001576FE">
        <w:rPr>
          <w:rFonts w:hint="cs"/>
          <w:b/>
          <w:bCs/>
          <w:rtl/>
        </w:rPr>
        <w:t>למסמך א'</w:t>
      </w:r>
      <w:r w:rsidRPr="00553D43">
        <w:rPr>
          <w:rFonts w:hint="cs"/>
          <w:b/>
          <w:bCs/>
          <w:rtl/>
        </w:rPr>
        <w:t xml:space="preserve"> המבנה את שיקול הדעת של השוטר בבחירת מתווה </w:t>
      </w:r>
      <w:r w:rsidR="001576FE">
        <w:rPr>
          <w:rFonts w:hint="cs"/>
          <w:b/>
          <w:bCs/>
          <w:rtl/>
        </w:rPr>
        <w:t xml:space="preserve">ההתקנה </w:t>
      </w:r>
      <w:r>
        <w:rPr>
          <w:rFonts w:hint="cs"/>
          <w:b/>
          <w:bCs/>
          <w:rtl/>
        </w:rPr>
        <w:t>האפשרי לביצוע באמצעות הכלי</w:t>
      </w:r>
      <w:r w:rsidRPr="00553D43">
        <w:rPr>
          <w:rFonts w:hint="cs"/>
          <w:b/>
          <w:bCs/>
          <w:rtl/>
        </w:rPr>
        <w:t>.</w:t>
      </w:r>
    </w:p>
    <w:p w:rsidR="00281267" w:rsidRDefault="00281267" w:rsidP="00E4477A">
      <w:pPr>
        <w:spacing w:line="269" w:lineRule="auto"/>
        <w:ind w:left="360"/>
        <w:rPr>
          <w:rtl/>
        </w:rPr>
      </w:pPr>
    </w:p>
    <w:p w:rsidR="009A1216" w:rsidRDefault="009A1216" w:rsidP="00E4477A">
      <w:pPr>
        <w:spacing w:line="269" w:lineRule="auto"/>
        <w:ind w:left="360"/>
        <w:rPr>
          <w:rtl/>
        </w:rPr>
      </w:pPr>
      <w:r>
        <w:rPr>
          <w:rFonts w:hint="cs"/>
          <w:rtl/>
        </w:rPr>
        <w:t>משרד מבקר המדינה דגם 66 האזנות סתר מהשנים 2019 - 2021 שבוצעו באמצעות כלים המיועדים להאזנת סתר לתקשורת בין מחשבים של טלפונים סלולריים</w:t>
      </w:r>
      <w:r>
        <w:rPr>
          <w:rStyle w:val="af"/>
          <w:rtl/>
        </w:rPr>
        <w:footnoteReference w:id="163"/>
      </w:r>
      <w:r>
        <w:rPr>
          <w:rFonts w:hint="cs"/>
          <w:rtl/>
        </w:rPr>
        <w:t>. משרד מבקר המדינה סקר את</w:t>
      </w:r>
      <w:r w:rsidR="00382AE8">
        <w:rPr>
          <w:rFonts w:hint="cs"/>
          <w:rtl/>
        </w:rPr>
        <w:t xml:space="preserve"> </w:t>
      </w:r>
      <w:r>
        <w:rPr>
          <w:rFonts w:hint="cs"/>
          <w:rtl/>
        </w:rPr>
        <w:t xml:space="preserve">התיעוד המפורט ביומן המבצעים של הצס"ם הארצי ואת התיקים הפיזיים בצס"ם. </w:t>
      </w:r>
    </w:p>
    <w:p w:rsidR="00281267" w:rsidRDefault="00281267" w:rsidP="00E4477A">
      <w:pPr>
        <w:spacing w:line="269" w:lineRule="auto"/>
        <w:ind w:left="360"/>
        <w:rPr>
          <w:b/>
          <w:bCs/>
          <w:rtl/>
        </w:rPr>
      </w:pPr>
    </w:p>
    <w:p w:rsidR="009A1216" w:rsidRDefault="009A1216" w:rsidP="00E4477A">
      <w:pPr>
        <w:spacing w:line="269" w:lineRule="auto"/>
        <w:ind w:left="360"/>
        <w:rPr>
          <w:rtl/>
        </w:rPr>
      </w:pPr>
      <w:r>
        <w:rPr>
          <w:rFonts w:hint="cs"/>
          <w:b/>
          <w:bCs/>
          <w:rtl/>
        </w:rPr>
        <w:t>מבדיקת מבקר המדינה עולה כי ב-8 מתוך 66 האזנות סתר שהתבצעו באמצעות כלים טכנולוגיים לא אותר</w:t>
      </w:r>
      <w:r w:rsidR="001576FE">
        <w:rPr>
          <w:rFonts w:hint="cs"/>
          <w:b/>
          <w:bCs/>
          <w:rtl/>
        </w:rPr>
        <w:t xml:space="preserve"> מסמך א'</w:t>
      </w:r>
      <w:r>
        <w:rPr>
          <w:rFonts w:hint="cs"/>
          <w:b/>
          <w:bCs/>
          <w:rtl/>
        </w:rPr>
        <w:t xml:space="preserve"> (12%).</w:t>
      </w:r>
      <w:r>
        <w:rPr>
          <w:rFonts w:hint="cs"/>
          <w:rtl/>
        </w:rPr>
        <w:t xml:space="preserve"> </w:t>
      </w:r>
      <w:r w:rsidRPr="00F775F7">
        <w:rPr>
          <w:rFonts w:hint="cs"/>
          <w:b/>
          <w:bCs/>
          <w:rtl/>
        </w:rPr>
        <w:t xml:space="preserve">עוד נמצא </w:t>
      </w:r>
      <w:r w:rsidRPr="00F775F7">
        <w:rPr>
          <w:b/>
          <w:bCs/>
          <w:rtl/>
        </w:rPr>
        <w:t xml:space="preserve">כי כל </w:t>
      </w:r>
      <w:r w:rsidRPr="00F775F7">
        <w:rPr>
          <w:rFonts w:hint="cs"/>
          <w:b/>
          <w:bCs/>
          <w:rtl/>
        </w:rPr>
        <w:t>58</w:t>
      </w:r>
      <w:r w:rsidRPr="00F775F7">
        <w:rPr>
          <w:b/>
          <w:bCs/>
          <w:rtl/>
        </w:rPr>
        <w:t xml:space="preserve"> </w:t>
      </w:r>
      <w:r w:rsidR="001576FE">
        <w:rPr>
          <w:rFonts w:hint="cs"/>
          <w:b/>
          <w:bCs/>
          <w:rtl/>
        </w:rPr>
        <w:t>מסמכי א'</w:t>
      </w:r>
      <w:r w:rsidRPr="00F775F7">
        <w:rPr>
          <w:b/>
          <w:bCs/>
          <w:rtl/>
        </w:rPr>
        <w:t xml:space="preserve"> שאותרו לא היו חתומ</w:t>
      </w:r>
      <w:r w:rsidR="005728E4">
        <w:rPr>
          <w:rFonts w:hint="cs"/>
          <w:b/>
          <w:bCs/>
          <w:rtl/>
        </w:rPr>
        <w:t>ים</w:t>
      </w:r>
      <w:r w:rsidRPr="00F775F7">
        <w:rPr>
          <w:b/>
          <w:bCs/>
          <w:rtl/>
        </w:rPr>
        <w:t xml:space="preserve"> על ידי הגורם המאשר</w:t>
      </w:r>
      <w:r w:rsidRPr="00F775F7">
        <w:rPr>
          <w:rFonts w:hint="cs"/>
          <w:b/>
          <w:bCs/>
          <w:rtl/>
        </w:rPr>
        <w:t xml:space="preserve"> וכי לעיתים </w:t>
      </w:r>
      <w:r w:rsidR="001576FE">
        <w:rPr>
          <w:rFonts w:hint="cs"/>
          <w:b/>
          <w:bCs/>
          <w:rtl/>
        </w:rPr>
        <w:t>השוטרים</w:t>
      </w:r>
      <w:r w:rsidRPr="00F775F7">
        <w:rPr>
          <w:rFonts w:hint="cs"/>
          <w:b/>
          <w:bCs/>
          <w:rtl/>
        </w:rPr>
        <w:t xml:space="preserve"> מדווחים בכתב במערכת לניהול מבצעים על אודות האישור שניתן בעל פה </w:t>
      </w:r>
      <w:r w:rsidR="001576FE">
        <w:rPr>
          <w:rFonts w:hint="cs"/>
          <w:b/>
          <w:bCs/>
          <w:rtl/>
        </w:rPr>
        <w:t>למסמך א'</w:t>
      </w:r>
      <w:r w:rsidRPr="00F775F7">
        <w:rPr>
          <w:rFonts w:hint="cs"/>
          <w:b/>
          <w:bCs/>
          <w:rtl/>
        </w:rPr>
        <w:t xml:space="preserve"> שהכינו, אולם אין נוהג גורף בנושא.</w:t>
      </w:r>
    </w:p>
    <w:p w:rsidR="00281267" w:rsidRDefault="00281267" w:rsidP="00E4477A">
      <w:pPr>
        <w:spacing w:line="269" w:lineRule="auto"/>
        <w:ind w:left="360"/>
        <w:rPr>
          <w:rtl/>
        </w:rPr>
      </w:pPr>
    </w:p>
    <w:p w:rsidR="009A1216" w:rsidRDefault="009A1216" w:rsidP="00E4477A">
      <w:pPr>
        <w:spacing w:line="269" w:lineRule="auto"/>
        <w:ind w:left="360"/>
        <w:rPr>
          <w:rtl/>
        </w:rPr>
      </w:pPr>
      <w:r>
        <w:rPr>
          <w:rFonts w:hint="cs"/>
          <w:rtl/>
        </w:rPr>
        <w:t xml:space="preserve">להלן </w:t>
      </w:r>
      <w:r w:rsidR="006D0F86">
        <w:rPr>
          <w:rFonts w:hint="cs"/>
          <w:rtl/>
        </w:rPr>
        <w:t xml:space="preserve">תרשים </w:t>
      </w:r>
      <w:r>
        <w:rPr>
          <w:rFonts w:hint="cs"/>
          <w:rtl/>
        </w:rPr>
        <w:t xml:space="preserve">המפרט את 66 ההאזנות שמומשו בחלוקה בין האזנות </w:t>
      </w:r>
      <w:r w:rsidR="001576FE">
        <w:rPr>
          <w:rFonts w:hint="cs"/>
          <w:rtl/>
        </w:rPr>
        <w:t xml:space="preserve">שנכתב </w:t>
      </w:r>
      <w:r>
        <w:rPr>
          <w:rFonts w:hint="cs"/>
          <w:rtl/>
        </w:rPr>
        <w:t xml:space="preserve">בעניינן </w:t>
      </w:r>
      <w:r w:rsidR="001576FE">
        <w:rPr>
          <w:rFonts w:hint="cs"/>
          <w:rtl/>
        </w:rPr>
        <w:t>מסמך א'</w:t>
      </w:r>
      <w:r>
        <w:rPr>
          <w:rFonts w:hint="cs"/>
          <w:rtl/>
        </w:rPr>
        <w:t xml:space="preserve"> ובין האזנות שלא </w:t>
      </w:r>
      <w:r w:rsidR="001576FE">
        <w:rPr>
          <w:rFonts w:hint="cs"/>
          <w:rtl/>
        </w:rPr>
        <w:t xml:space="preserve">נכתב מסמך </w:t>
      </w:r>
      <w:r>
        <w:rPr>
          <w:rFonts w:hint="cs"/>
          <w:rtl/>
        </w:rPr>
        <w:t>כאמור, וכן בין ההאזנות שתועד כי הגורם האחראי אישר אותן בעל פה ובין אלה שלא תועד אישורן כאמור:</w:t>
      </w:r>
    </w:p>
    <w:p w:rsidR="00281267" w:rsidRDefault="00281267" w:rsidP="00604C3D">
      <w:pPr>
        <w:spacing w:line="269" w:lineRule="auto"/>
        <w:ind w:left="720"/>
        <w:jc w:val="center"/>
        <w:rPr>
          <w:rtl/>
        </w:rPr>
      </w:pPr>
      <w:bookmarkStart w:id="407" w:name="_Hlk179363486"/>
    </w:p>
    <w:p w:rsidR="00E4477A" w:rsidRDefault="00E4477A" w:rsidP="00604C3D">
      <w:pPr>
        <w:spacing w:line="269" w:lineRule="auto"/>
        <w:ind w:left="720"/>
        <w:jc w:val="center"/>
        <w:rPr>
          <w:rtl/>
        </w:rPr>
      </w:pPr>
    </w:p>
    <w:p w:rsidR="009A1216" w:rsidRDefault="009A1216" w:rsidP="00604C3D">
      <w:pPr>
        <w:spacing w:line="269" w:lineRule="auto"/>
        <w:ind w:left="720"/>
        <w:jc w:val="center"/>
        <w:rPr>
          <w:rtl/>
        </w:rPr>
      </w:pPr>
      <w:r w:rsidRPr="005E044D">
        <w:rPr>
          <w:rFonts w:hint="eastAsia"/>
          <w:rtl/>
        </w:rPr>
        <w:t>תרשים</w:t>
      </w:r>
      <w:r w:rsidR="00E53E3D">
        <w:rPr>
          <w:rFonts w:hint="cs"/>
          <w:rtl/>
        </w:rPr>
        <w:t xml:space="preserve"> 13</w:t>
      </w:r>
      <w:r w:rsidRPr="00975421">
        <w:rPr>
          <w:rFonts w:hint="cs"/>
          <w:rtl/>
        </w:rPr>
        <w:t>:</w:t>
      </w:r>
      <w:r w:rsidR="0094051A">
        <w:rPr>
          <w:rFonts w:hint="cs"/>
          <w:rtl/>
        </w:rPr>
        <w:t xml:space="preserve"> </w:t>
      </w:r>
      <w:r w:rsidR="0094051A" w:rsidRPr="00FE7291">
        <w:rPr>
          <w:rFonts w:hint="eastAsia"/>
          <w:b/>
          <w:bCs/>
          <w:rtl/>
        </w:rPr>
        <w:t>ממצאי</w:t>
      </w:r>
      <w:r w:rsidRPr="00FE7291">
        <w:rPr>
          <w:b/>
          <w:bCs/>
          <w:rtl/>
        </w:rPr>
        <w:t xml:space="preserve"> </w:t>
      </w:r>
      <w:r w:rsidRPr="005E044D">
        <w:rPr>
          <w:rFonts w:hint="eastAsia"/>
          <w:b/>
          <w:bCs/>
          <w:rtl/>
        </w:rPr>
        <w:t>דגימת</w:t>
      </w:r>
      <w:r w:rsidRPr="005E044D">
        <w:rPr>
          <w:b/>
          <w:bCs/>
          <w:rtl/>
        </w:rPr>
        <w:t xml:space="preserve"> </w:t>
      </w:r>
      <w:r w:rsidRPr="005E044D">
        <w:rPr>
          <w:rFonts w:hint="eastAsia"/>
          <w:b/>
          <w:bCs/>
          <w:rtl/>
        </w:rPr>
        <w:t>האזנות</w:t>
      </w:r>
      <w:r w:rsidRPr="005E044D">
        <w:rPr>
          <w:b/>
          <w:bCs/>
          <w:rtl/>
        </w:rPr>
        <w:t xml:space="preserve"> </w:t>
      </w:r>
      <w:r w:rsidRPr="005E044D">
        <w:rPr>
          <w:rFonts w:hint="eastAsia"/>
          <w:b/>
          <w:bCs/>
          <w:rtl/>
        </w:rPr>
        <w:t>סתר</w:t>
      </w:r>
      <w:r w:rsidRPr="005E044D">
        <w:rPr>
          <w:b/>
          <w:bCs/>
          <w:rtl/>
        </w:rPr>
        <w:t xml:space="preserve"> - </w:t>
      </w:r>
      <w:r w:rsidRPr="005E044D">
        <w:rPr>
          <w:rFonts w:hint="eastAsia"/>
          <w:b/>
          <w:bCs/>
          <w:rtl/>
        </w:rPr>
        <w:t>בדיקת</w:t>
      </w:r>
      <w:r w:rsidRPr="005E044D">
        <w:rPr>
          <w:b/>
          <w:bCs/>
          <w:rtl/>
        </w:rPr>
        <w:t xml:space="preserve"> </w:t>
      </w:r>
      <w:r w:rsidRPr="005E044D">
        <w:rPr>
          <w:rFonts w:hint="eastAsia"/>
          <w:b/>
          <w:bCs/>
          <w:rtl/>
        </w:rPr>
        <w:t>תקינות</w:t>
      </w:r>
      <w:r w:rsidRPr="005E044D">
        <w:rPr>
          <w:b/>
          <w:bCs/>
          <w:rtl/>
        </w:rPr>
        <w:t xml:space="preserve"> </w:t>
      </w:r>
      <w:r w:rsidR="001576FE">
        <w:rPr>
          <w:rFonts w:hint="cs"/>
          <w:b/>
          <w:bCs/>
          <w:rtl/>
        </w:rPr>
        <w:t>מסמך א'</w:t>
      </w:r>
    </w:p>
    <w:p w:rsidR="00E4477A" w:rsidRDefault="00E4477A" w:rsidP="00604C3D">
      <w:pPr>
        <w:spacing w:line="269" w:lineRule="auto"/>
        <w:ind w:left="720"/>
        <w:jc w:val="center"/>
        <w:rPr>
          <w:rtl/>
        </w:rPr>
      </w:pPr>
    </w:p>
    <w:p w:rsidR="00A67C09" w:rsidRDefault="00A67C09" w:rsidP="00F553D5">
      <w:pPr>
        <w:spacing w:line="269" w:lineRule="auto"/>
        <w:ind w:left="-2"/>
        <w:jc w:val="center"/>
        <w:rPr>
          <w:rtl/>
        </w:rPr>
      </w:pPr>
      <w:r>
        <w:rPr>
          <w:noProof/>
          <w:rtl/>
          <w:lang w:val="he-IL"/>
        </w:rPr>
        <w:drawing>
          <wp:inline distT="0" distB="0" distL="0" distR="0" wp14:anchorId="293EA8EF" wp14:editId="6ED938A1">
            <wp:extent cx="4310803" cy="2340000"/>
            <wp:effectExtent l="0" t="0" r="0" b="317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8C9A7.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0803" cy="2340000"/>
                    </a:xfrm>
                    <a:prstGeom prst="rect">
                      <a:avLst/>
                    </a:prstGeom>
                  </pic:spPr>
                </pic:pic>
              </a:graphicData>
            </a:graphic>
          </wp:inline>
        </w:drawing>
      </w:r>
    </w:p>
    <w:bookmarkEnd w:id="407"/>
    <w:p w:rsidR="009A1216" w:rsidRDefault="009A1216" w:rsidP="00E4477A">
      <w:pPr>
        <w:spacing w:line="269" w:lineRule="auto"/>
        <w:ind w:firstLine="360"/>
        <w:rPr>
          <w:szCs w:val="20"/>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p>
    <w:p w:rsidR="006B362B" w:rsidRDefault="006B362B" w:rsidP="00E4477A">
      <w:pPr>
        <w:pStyle w:val="a5"/>
        <w:spacing w:line="269" w:lineRule="auto"/>
        <w:ind w:left="720"/>
        <w:rPr>
          <w:rtl/>
        </w:rPr>
      </w:pPr>
      <w:bookmarkStart w:id="408" w:name="_Hlk155704087"/>
    </w:p>
    <w:p w:rsidR="009A1216" w:rsidRPr="00F11C2C" w:rsidRDefault="009A1216" w:rsidP="00E4477A">
      <w:pPr>
        <w:spacing w:line="269" w:lineRule="auto"/>
        <w:ind w:left="360"/>
        <w:rPr>
          <w:b/>
          <w:bCs/>
          <w:sz w:val="24"/>
          <w:rtl/>
        </w:rPr>
      </w:pPr>
      <w:r w:rsidRPr="00F11C2C">
        <w:rPr>
          <w:rFonts w:hint="cs"/>
          <w:b/>
          <w:bCs/>
          <w:sz w:val="24"/>
          <w:rtl/>
        </w:rPr>
        <w:t xml:space="preserve">מהתרשים עולה כי ב-6 </w:t>
      </w:r>
      <w:r>
        <w:rPr>
          <w:rFonts w:hint="cs"/>
          <w:b/>
          <w:bCs/>
          <w:sz w:val="24"/>
          <w:rtl/>
        </w:rPr>
        <w:t xml:space="preserve">מתוך 66 </w:t>
      </w:r>
      <w:r w:rsidRPr="00F11C2C">
        <w:rPr>
          <w:rFonts w:hint="cs"/>
          <w:b/>
          <w:bCs/>
          <w:sz w:val="24"/>
          <w:rtl/>
        </w:rPr>
        <w:t xml:space="preserve">מהמקרים לא הייתה כל אינדיקציה לאישור הפעולה - לא </w:t>
      </w:r>
      <w:r w:rsidR="00063989">
        <w:rPr>
          <w:rFonts w:hint="cs"/>
          <w:b/>
          <w:bCs/>
          <w:sz w:val="24"/>
          <w:rtl/>
        </w:rPr>
        <w:t>היה מסמך א'</w:t>
      </w:r>
      <w:r w:rsidRPr="00F11C2C">
        <w:rPr>
          <w:rFonts w:hint="cs"/>
          <w:b/>
          <w:bCs/>
          <w:sz w:val="24"/>
          <w:rtl/>
        </w:rPr>
        <w:t xml:space="preserve"> ואף לא </w:t>
      </w:r>
      <w:r>
        <w:rPr>
          <w:rFonts w:hint="cs"/>
          <w:b/>
          <w:bCs/>
          <w:sz w:val="24"/>
          <w:rtl/>
        </w:rPr>
        <w:t xml:space="preserve">תועד </w:t>
      </w:r>
      <w:r w:rsidRPr="00F11C2C">
        <w:rPr>
          <w:rFonts w:hint="cs"/>
          <w:b/>
          <w:bCs/>
          <w:sz w:val="24"/>
          <w:rtl/>
        </w:rPr>
        <w:t>אישור בעל פה ביומן המבצעים</w:t>
      </w:r>
      <w:r>
        <w:rPr>
          <w:rFonts w:hint="cs"/>
          <w:b/>
          <w:bCs/>
          <w:sz w:val="24"/>
          <w:rtl/>
        </w:rPr>
        <w:t xml:space="preserve"> </w:t>
      </w:r>
      <w:r w:rsidRPr="00F11C2C">
        <w:rPr>
          <w:rFonts w:hint="cs"/>
          <w:b/>
          <w:bCs/>
          <w:sz w:val="24"/>
          <w:rtl/>
        </w:rPr>
        <w:t xml:space="preserve">(9%); בשני מקרים נוספים לא </w:t>
      </w:r>
      <w:r w:rsidR="00063989">
        <w:rPr>
          <w:rFonts w:hint="cs"/>
          <w:b/>
          <w:bCs/>
          <w:sz w:val="24"/>
          <w:rtl/>
        </w:rPr>
        <w:t>היה מסמך א'</w:t>
      </w:r>
      <w:r w:rsidRPr="00F11C2C">
        <w:rPr>
          <w:rFonts w:hint="cs"/>
          <w:b/>
          <w:bCs/>
          <w:sz w:val="24"/>
          <w:rtl/>
        </w:rPr>
        <w:t xml:space="preserve"> אך היה תיעוד ביומן המבצעים כי הפעולה אושרה; ב-50 מקרים </w:t>
      </w:r>
      <w:r w:rsidR="00063989">
        <w:rPr>
          <w:rFonts w:hint="cs"/>
          <w:b/>
          <w:bCs/>
          <w:sz w:val="24"/>
          <w:rtl/>
        </w:rPr>
        <w:t>היה מסמך א'</w:t>
      </w:r>
      <w:r w:rsidRPr="00F11C2C">
        <w:rPr>
          <w:rFonts w:hint="cs"/>
          <w:b/>
          <w:bCs/>
          <w:sz w:val="24"/>
          <w:rtl/>
        </w:rPr>
        <w:t xml:space="preserve"> אך לא תועד אישור של </w:t>
      </w:r>
      <w:r w:rsidR="00063989">
        <w:rPr>
          <w:rFonts w:hint="cs"/>
          <w:b/>
          <w:bCs/>
          <w:sz w:val="24"/>
          <w:rtl/>
        </w:rPr>
        <w:t xml:space="preserve">המסמך </w:t>
      </w:r>
      <w:r w:rsidRPr="00F11C2C">
        <w:rPr>
          <w:rFonts w:hint="cs"/>
          <w:b/>
          <w:bCs/>
          <w:sz w:val="24"/>
          <w:rtl/>
        </w:rPr>
        <w:t xml:space="preserve">; </w:t>
      </w:r>
      <w:r>
        <w:rPr>
          <w:rFonts w:hint="cs"/>
          <w:b/>
          <w:bCs/>
          <w:sz w:val="24"/>
          <w:rtl/>
        </w:rPr>
        <w:t xml:space="preserve">יוצא אפוא כי ב-52 מקרים (79%) היה מידע חלקי על אישור הפעולה </w:t>
      </w:r>
      <w:r w:rsidRPr="00F11C2C">
        <w:rPr>
          <w:rFonts w:hint="cs"/>
          <w:b/>
          <w:bCs/>
          <w:sz w:val="24"/>
          <w:rtl/>
        </w:rPr>
        <w:t>וב-8 (12%) מהמקרים אותר</w:t>
      </w:r>
      <w:r w:rsidR="00063989">
        <w:rPr>
          <w:rFonts w:hint="cs"/>
          <w:b/>
          <w:bCs/>
          <w:sz w:val="24"/>
          <w:rtl/>
        </w:rPr>
        <w:t xml:space="preserve"> מסמך א' </w:t>
      </w:r>
      <w:r w:rsidRPr="00F11C2C">
        <w:rPr>
          <w:rFonts w:hint="cs"/>
          <w:b/>
          <w:bCs/>
          <w:sz w:val="24"/>
          <w:rtl/>
        </w:rPr>
        <w:t>עם אישור בעל פה לביצועה.</w:t>
      </w:r>
      <w:bookmarkEnd w:id="408"/>
      <w:r>
        <w:rPr>
          <w:rFonts w:hint="cs"/>
          <w:b/>
          <w:bCs/>
          <w:sz w:val="24"/>
          <w:rtl/>
        </w:rPr>
        <w:t xml:space="preserve"> </w:t>
      </w:r>
    </w:p>
    <w:p w:rsidR="006B362B" w:rsidRDefault="006B362B" w:rsidP="00E4477A">
      <w:pPr>
        <w:spacing w:line="269" w:lineRule="auto"/>
        <w:ind w:left="720"/>
        <w:rPr>
          <w:b/>
          <w:bCs/>
          <w:rtl/>
        </w:rPr>
      </w:pPr>
    </w:p>
    <w:p w:rsidR="009A1216" w:rsidRDefault="00063989" w:rsidP="00E4477A">
      <w:pPr>
        <w:spacing w:line="269" w:lineRule="auto"/>
        <w:ind w:left="360"/>
        <w:rPr>
          <w:b/>
          <w:bCs/>
          <w:rtl/>
        </w:rPr>
      </w:pPr>
      <w:r>
        <w:rPr>
          <w:rFonts w:hint="cs"/>
          <w:b/>
          <w:bCs/>
          <w:rtl/>
        </w:rPr>
        <w:t>מסמך א'</w:t>
      </w:r>
      <w:r w:rsidR="009A1216">
        <w:rPr>
          <w:rFonts w:hint="cs"/>
          <w:b/>
          <w:bCs/>
          <w:rtl/>
        </w:rPr>
        <w:t xml:space="preserve"> משמש הנחיה מקצועית קונקרטית לשוטרים המבצעים את פעולת האזנת הסתר מתוקף צו ספציפי. הבקשה לצו, </w:t>
      </w:r>
      <w:r>
        <w:rPr>
          <w:rFonts w:hint="cs"/>
          <w:b/>
          <w:bCs/>
          <w:rtl/>
        </w:rPr>
        <w:t>מסמך א'</w:t>
      </w:r>
      <w:r w:rsidR="009A1216">
        <w:rPr>
          <w:rFonts w:hint="cs"/>
          <w:b/>
          <w:bCs/>
          <w:rtl/>
        </w:rPr>
        <w:t xml:space="preserve"> והדיווחים על אודות מימוש האזנת הסתר הם האסמכתאות העיקריות המלמדות על מימוש האזנת הסתר. אי-הקפדה על ביצוע האזנות רק לאחר שהוכ</w:t>
      </w:r>
      <w:r>
        <w:rPr>
          <w:rFonts w:hint="cs"/>
          <w:b/>
          <w:bCs/>
          <w:rtl/>
        </w:rPr>
        <w:t>ן</w:t>
      </w:r>
      <w:r w:rsidR="009A1216">
        <w:rPr>
          <w:rFonts w:hint="cs"/>
          <w:b/>
          <w:bCs/>
          <w:rtl/>
        </w:rPr>
        <w:t xml:space="preserve"> ונחת</w:t>
      </w:r>
      <w:r>
        <w:rPr>
          <w:rFonts w:hint="cs"/>
          <w:b/>
          <w:bCs/>
          <w:rtl/>
        </w:rPr>
        <w:t>ם</w:t>
      </w:r>
      <w:r w:rsidR="009A1216">
        <w:rPr>
          <w:rFonts w:hint="cs"/>
          <w:b/>
          <w:bCs/>
          <w:rtl/>
        </w:rPr>
        <w:t xml:space="preserve"> </w:t>
      </w:r>
      <w:r>
        <w:rPr>
          <w:rFonts w:hint="cs"/>
          <w:b/>
          <w:bCs/>
          <w:rtl/>
        </w:rPr>
        <w:t>מסמך א' ה</w:t>
      </w:r>
      <w:r w:rsidR="009A1216">
        <w:rPr>
          <w:rFonts w:hint="cs"/>
          <w:b/>
          <w:bCs/>
          <w:rtl/>
        </w:rPr>
        <w:t xml:space="preserve">מלא, עלולה להעיד על פעולה פגומה או על פעולה שנעשתה בניגוד להנחיות המשטרה ולתכליתן. </w:t>
      </w:r>
    </w:p>
    <w:p w:rsidR="006B362B" w:rsidRDefault="006B362B" w:rsidP="00E4477A">
      <w:pPr>
        <w:spacing w:line="269" w:lineRule="auto"/>
        <w:ind w:left="720"/>
        <w:rPr>
          <w:b/>
          <w:bCs/>
          <w:rtl/>
        </w:rPr>
      </w:pPr>
    </w:p>
    <w:p w:rsidR="006B362B" w:rsidRDefault="009A1216" w:rsidP="00E4477A">
      <w:pPr>
        <w:spacing w:line="269" w:lineRule="auto"/>
        <w:ind w:left="360"/>
        <w:rPr>
          <w:b/>
          <w:bCs/>
          <w:rtl/>
        </w:rPr>
      </w:pPr>
      <w:r>
        <w:rPr>
          <w:rFonts w:hint="cs"/>
          <w:b/>
          <w:bCs/>
          <w:rtl/>
        </w:rPr>
        <w:t xml:space="preserve">על המשטרה להקפיד על הכנת </w:t>
      </w:r>
      <w:r w:rsidR="00063989">
        <w:rPr>
          <w:rFonts w:hint="cs"/>
          <w:b/>
          <w:bCs/>
          <w:rtl/>
        </w:rPr>
        <w:t>מסמכי א'</w:t>
      </w:r>
      <w:r>
        <w:rPr>
          <w:rFonts w:hint="cs"/>
          <w:b/>
          <w:bCs/>
          <w:rtl/>
        </w:rPr>
        <w:t xml:space="preserve"> המפרט</w:t>
      </w:r>
      <w:r w:rsidR="00063989">
        <w:rPr>
          <w:rFonts w:hint="cs"/>
          <w:b/>
          <w:bCs/>
          <w:rtl/>
        </w:rPr>
        <w:t>ים</w:t>
      </w:r>
      <w:r>
        <w:rPr>
          <w:rFonts w:hint="cs"/>
          <w:b/>
          <w:bCs/>
          <w:rtl/>
        </w:rPr>
        <w:t xml:space="preserve"> את מתווה </w:t>
      </w:r>
      <w:r w:rsidR="00063989">
        <w:rPr>
          <w:rFonts w:hint="cs"/>
          <w:b/>
          <w:bCs/>
          <w:rtl/>
        </w:rPr>
        <w:t xml:space="preserve">ההתקנה </w:t>
      </w:r>
      <w:r>
        <w:rPr>
          <w:rFonts w:hint="cs"/>
          <w:b/>
          <w:bCs/>
          <w:rtl/>
        </w:rPr>
        <w:t xml:space="preserve">שנבחר, מתוך כלל המתווים האפשריים, בנוגע לכל פעולת </w:t>
      </w:r>
      <w:r w:rsidR="00063989">
        <w:rPr>
          <w:rFonts w:hint="cs"/>
          <w:b/>
          <w:bCs/>
          <w:rtl/>
        </w:rPr>
        <w:t xml:space="preserve">התקנה </w:t>
      </w:r>
      <w:r>
        <w:rPr>
          <w:rFonts w:hint="cs"/>
          <w:b/>
          <w:bCs/>
          <w:rtl/>
        </w:rPr>
        <w:t xml:space="preserve">שהיא מבצעת לצורך ביצוע האזנת סתר. כמו כן, עליה לתעד את האישורים שניתנו לביצוע הפעולה בהתאם </w:t>
      </w:r>
      <w:r w:rsidR="00063989">
        <w:rPr>
          <w:rFonts w:hint="cs"/>
          <w:b/>
          <w:bCs/>
          <w:rtl/>
        </w:rPr>
        <w:t>לאמור במסמך א'</w:t>
      </w:r>
      <w:r>
        <w:rPr>
          <w:rFonts w:hint="cs"/>
          <w:b/>
          <w:bCs/>
          <w:rtl/>
        </w:rPr>
        <w:t>.</w:t>
      </w:r>
      <w:bookmarkStart w:id="409" w:name="_Hlk177285995"/>
    </w:p>
    <w:p w:rsidR="00E4477A" w:rsidRPr="009D0112" w:rsidRDefault="00E4477A" w:rsidP="00E4477A">
      <w:pPr>
        <w:spacing w:line="269" w:lineRule="auto"/>
        <w:ind w:left="360"/>
        <w:rPr>
          <w:b/>
          <w:bCs/>
          <w:rtl/>
        </w:rPr>
      </w:pPr>
    </w:p>
    <w:p w:rsidR="009A1216" w:rsidRPr="00011CFA" w:rsidRDefault="009A1216" w:rsidP="00E4477A">
      <w:pPr>
        <w:spacing w:line="269" w:lineRule="auto"/>
        <w:ind w:left="360"/>
        <w:rPr>
          <w:rtl/>
        </w:rPr>
      </w:pPr>
      <w:r>
        <w:rPr>
          <w:rFonts w:hint="cs"/>
          <w:rtl/>
        </w:rPr>
        <w:t>לפי 'כלל הקפאת הזכירה שבעבר', בית המשפט רשאי לקבל תרשומת בכתב המתארת את אופן התרחשות הדברים כראיה לאמיתות תוכנם. בית המשפט רשאי להעדיף את התרשומת על פני עדות העד שטוען כי אינו זוכר את פרטי ההתרחשות בחלוף הזמן</w:t>
      </w:r>
      <w:r>
        <w:rPr>
          <w:rStyle w:val="af"/>
          <w:rtl/>
        </w:rPr>
        <w:footnoteReference w:id="164"/>
      </w:r>
      <w:r>
        <w:rPr>
          <w:rFonts w:hint="cs"/>
          <w:rtl/>
        </w:rPr>
        <w:t xml:space="preserve">. </w:t>
      </w:r>
      <w:r w:rsidRPr="00011CFA">
        <w:rPr>
          <w:rFonts w:hint="cs"/>
          <w:rtl/>
        </w:rPr>
        <w:t>לפי הפסיקה</w:t>
      </w:r>
      <w:r>
        <w:rPr>
          <w:rStyle w:val="af"/>
          <w:rtl/>
        </w:rPr>
        <w:footnoteReference w:id="165"/>
      </w:r>
      <w:r w:rsidRPr="00011CFA">
        <w:rPr>
          <w:rFonts w:hint="cs"/>
          <w:rtl/>
        </w:rPr>
        <w:t xml:space="preserve">, </w:t>
      </w:r>
      <w:r>
        <w:rPr>
          <w:rFonts w:hint="cs"/>
          <w:rtl/>
        </w:rPr>
        <w:t xml:space="preserve">'כלל הקפאת הזכירה שבעבר' חל ביתר שאת על שוטרים: הם אינם זוכרים את ההתרחשויות, נוכח היקף האירועים שהם מטפלים בהם, גם בחלוף זמן קצר. </w:t>
      </w:r>
    </w:p>
    <w:p w:rsidR="006B362B" w:rsidRDefault="006B362B" w:rsidP="00E4477A">
      <w:pPr>
        <w:spacing w:line="269" w:lineRule="auto"/>
        <w:ind w:left="360"/>
        <w:rPr>
          <w:b/>
          <w:bCs/>
          <w:rtl/>
        </w:rPr>
      </w:pPr>
      <w:bookmarkStart w:id="410" w:name="_Hlk185160205"/>
      <w:bookmarkStart w:id="411" w:name="_Hlk155704188"/>
    </w:p>
    <w:p w:rsidR="009A1216" w:rsidRDefault="009A1216" w:rsidP="00E4477A">
      <w:pPr>
        <w:spacing w:line="269" w:lineRule="auto"/>
        <w:ind w:left="360"/>
        <w:rPr>
          <w:b/>
          <w:bCs/>
          <w:rtl/>
        </w:rPr>
      </w:pPr>
      <w:r w:rsidRPr="00F11C2C">
        <w:rPr>
          <w:rFonts w:hint="cs"/>
          <w:b/>
          <w:bCs/>
          <w:rtl/>
        </w:rPr>
        <w:t>כאמור, כלל</w:t>
      </w:r>
      <w:r>
        <w:rPr>
          <w:rFonts w:hint="cs"/>
          <w:b/>
          <w:bCs/>
          <w:rtl/>
        </w:rPr>
        <w:t xml:space="preserve"> </w:t>
      </w:r>
      <w:r w:rsidR="00063989">
        <w:rPr>
          <w:rFonts w:hint="cs"/>
          <w:b/>
          <w:bCs/>
          <w:rtl/>
        </w:rPr>
        <w:t>מסמכי א'</w:t>
      </w:r>
      <w:r w:rsidRPr="00F11C2C">
        <w:rPr>
          <w:rFonts w:hint="cs"/>
          <w:b/>
          <w:bCs/>
          <w:rtl/>
        </w:rPr>
        <w:t xml:space="preserve"> </w:t>
      </w:r>
      <w:bookmarkEnd w:id="410"/>
      <w:r w:rsidRPr="00F11C2C">
        <w:rPr>
          <w:rFonts w:hint="cs"/>
          <w:b/>
          <w:bCs/>
          <w:rtl/>
        </w:rPr>
        <w:t>שאותרו לא היו חתומ</w:t>
      </w:r>
      <w:r w:rsidR="00063989">
        <w:rPr>
          <w:rFonts w:hint="cs"/>
          <w:b/>
          <w:bCs/>
          <w:rtl/>
        </w:rPr>
        <w:t>ים</w:t>
      </w:r>
      <w:r w:rsidRPr="00F11C2C">
        <w:rPr>
          <w:rFonts w:hint="cs"/>
          <w:b/>
          <w:bCs/>
          <w:rtl/>
        </w:rPr>
        <w:t xml:space="preserve"> על ידי הגורם המאשר (58 </w:t>
      </w:r>
      <w:r w:rsidR="00063989">
        <w:rPr>
          <w:rFonts w:hint="cs"/>
          <w:b/>
          <w:bCs/>
          <w:rtl/>
        </w:rPr>
        <w:t>מסמכים</w:t>
      </w:r>
      <w:r w:rsidR="00063989" w:rsidRPr="00F11C2C">
        <w:rPr>
          <w:rFonts w:hint="cs"/>
          <w:b/>
          <w:bCs/>
          <w:rtl/>
        </w:rPr>
        <w:t xml:space="preserve"> </w:t>
      </w:r>
      <w:r>
        <w:rPr>
          <w:rFonts w:hint="cs"/>
          <w:b/>
          <w:bCs/>
          <w:rtl/>
        </w:rPr>
        <w:t>ב</w:t>
      </w:r>
      <w:r w:rsidRPr="00F11C2C">
        <w:rPr>
          <w:rFonts w:hint="cs"/>
          <w:b/>
          <w:bCs/>
          <w:rtl/>
        </w:rPr>
        <w:t>סך הכ</w:t>
      </w:r>
      <w:r>
        <w:rPr>
          <w:rFonts w:hint="cs"/>
          <w:b/>
          <w:bCs/>
          <w:rtl/>
        </w:rPr>
        <w:t>ו</w:t>
      </w:r>
      <w:r w:rsidRPr="00F11C2C">
        <w:rPr>
          <w:rFonts w:hint="cs"/>
          <w:b/>
          <w:bCs/>
          <w:rtl/>
        </w:rPr>
        <w:t>ל)</w:t>
      </w:r>
      <w:r>
        <w:rPr>
          <w:rFonts w:hint="cs"/>
          <w:b/>
          <w:bCs/>
          <w:rtl/>
        </w:rPr>
        <w:t xml:space="preserve">. בהיעדר הקפדה על חתימה בכתב לאישור </w:t>
      </w:r>
      <w:r w:rsidR="00063989">
        <w:rPr>
          <w:rFonts w:hint="cs"/>
          <w:b/>
          <w:bCs/>
          <w:rtl/>
        </w:rPr>
        <w:t>מסמך א'</w:t>
      </w:r>
      <w:r>
        <w:rPr>
          <w:rFonts w:hint="cs"/>
          <w:b/>
          <w:bCs/>
          <w:rtl/>
        </w:rPr>
        <w:t xml:space="preserve">, המשטרה אינה יכולה להעיד על חזקת תקינות </w:t>
      </w:r>
      <w:bookmarkEnd w:id="411"/>
      <w:r>
        <w:rPr>
          <w:rFonts w:hint="cs"/>
          <w:b/>
          <w:bCs/>
          <w:rtl/>
        </w:rPr>
        <w:t xml:space="preserve">פעולת </w:t>
      </w:r>
      <w:r w:rsidR="00063989">
        <w:rPr>
          <w:rFonts w:hint="cs"/>
          <w:b/>
          <w:bCs/>
          <w:rtl/>
        </w:rPr>
        <w:t>ההתקנה</w:t>
      </w:r>
      <w:r>
        <w:rPr>
          <w:rFonts w:hint="cs"/>
          <w:b/>
          <w:bCs/>
          <w:rtl/>
        </w:rPr>
        <w:t xml:space="preserve">, פעולה בעלת משמעות מיוחדת שאי-תיעודה כנדרש עלול להיחשב לנזק ראייתי. </w:t>
      </w:r>
    </w:p>
    <w:bookmarkEnd w:id="409"/>
    <w:p w:rsidR="006B362B" w:rsidRDefault="006B362B" w:rsidP="00E4477A">
      <w:pPr>
        <w:spacing w:line="269" w:lineRule="auto"/>
        <w:ind w:left="360"/>
        <w:rPr>
          <w:b/>
          <w:bCs/>
          <w:rtl/>
        </w:rPr>
      </w:pPr>
    </w:p>
    <w:p w:rsidR="009A1216" w:rsidRDefault="009A1216" w:rsidP="00E4477A">
      <w:pPr>
        <w:spacing w:line="269" w:lineRule="auto"/>
        <w:ind w:left="360"/>
        <w:rPr>
          <w:b/>
          <w:bCs/>
          <w:rtl/>
        </w:rPr>
      </w:pPr>
      <w:r>
        <w:rPr>
          <w:rFonts w:hint="cs"/>
          <w:b/>
          <w:bCs/>
          <w:rtl/>
        </w:rPr>
        <w:t xml:space="preserve">על המשטרה להקפיד על מתן אישור בכתב </w:t>
      </w:r>
      <w:r w:rsidR="00063989">
        <w:rPr>
          <w:rFonts w:hint="cs"/>
          <w:b/>
          <w:bCs/>
          <w:rtl/>
        </w:rPr>
        <w:t>למסמך א'</w:t>
      </w:r>
      <w:r>
        <w:rPr>
          <w:rFonts w:hint="cs"/>
          <w:b/>
          <w:bCs/>
          <w:rtl/>
        </w:rPr>
        <w:t xml:space="preserve"> ועל רישום מלא של הפעולות המבוצעות למימוש האזנת הסתר. לנוכח הדרישה להפרדת תפקידים בין הגורם המבצע לגורם המאשר, יש להקפיד כי הגורם המורשה למתן אישור בכתב לא ייכלל בין הגורמים המבצעיים או גורמי ההכוונה המקצועית. </w:t>
      </w:r>
    </w:p>
    <w:p w:rsidR="006B362B" w:rsidRDefault="006B362B" w:rsidP="00604C3D">
      <w:pPr>
        <w:spacing w:line="269" w:lineRule="auto"/>
        <w:rPr>
          <w:b/>
          <w:bCs/>
          <w:rtl/>
        </w:rPr>
      </w:pPr>
      <w:bookmarkStart w:id="412" w:name="_Hlk177287060"/>
    </w:p>
    <w:p w:rsidR="009A1216" w:rsidRPr="00FB5BE9" w:rsidRDefault="009A1216" w:rsidP="00E4477A">
      <w:pPr>
        <w:spacing w:line="269" w:lineRule="auto"/>
        <w:ind w:left="360"/>
        <w:rPr>
          <w:b/>
          <w:bCs/>
          <w:rtl/>
        </w:rPr>
      </w:pPr>
      <w:r>
        <w:rPr>
          <w:rFonts w:hint="cs"/>
          <w:b/>
          <w:bCs/>
          <w:rtl/>
        </w:rPr>
        <w:t xml:space="preserve">ככל שהשימוש בכלים טכנולוגיים ילך ויגבר, כך גם סיכויי הגשת תוצרי האזנת הסתר כראיה במשפט הפלילי גדלים, ובהתאמה גם האפשרות לטעון טענות נגד הליך </w:t>
      </w:r>
      <w:r w:rsidR="00CB739F">
        <w:rPr>
          <w:rFonts w:hint="cs"/>
          <w:b/>
          <w:bCs/>
          <w:rtl/>
        </w:rPr>
        <w:t xml:space="preserve">התקנת </w:t>
      </w:r>
      <w:r w:rsidR="006B362B">
        <w:rPr>
          <w:rFonts w:hint="cs"/>
          <w:b/>
          <w:bCs/>
          <w:rtl/>
        </w:rPr>
        <w:t>ה</w:t>
      </w:r>
      <w:r w:rsidR="00CB739F">
        <w:rPr>
          <w:rFonts w:hint="cs"/>
          <w:b/>
          <w:bCs/>
          <w:rtl/>
        </w:rPr>
        <w:t xml:space="preserve">כלי </w:t>
      </w:r>
      <w:r w:rsidR="006B362B">
        <w:rPr>
          <w:rFonts w:hint="cs"/>
          <w:b/>
          <w:bCs/>
          <w:rtl/>
        </w:rPr>
        <w:t>ה</w:t>
      </w:r>
      <w:r w:rsidR="00CB739F">
        <w:rPr>
          <w:rFonts w:hint="cs"/>
          <w:b/>
          <w:bCs/>
          <w:rtl/>
        </w:rPr>
        <w:t>טכנולוגי</w:t>
      </w:r>
      <w:r w:rsidR="00D6431B">
        <w:rPr>
          <w:rFonts w:hint="cs"/>
          <w:b/>
          <w:bCs/>
          <w:rtl/>
        </w:rPr>
        <w:t xml:space="preserve"> ליעד האזנה</w:t>
      </w:r>
      <w:r>
        <w:rPr>
          <w:rFonts w:hint="cs"/>
          <w:b/>
          <w:bCs/>
          <w:rtl/>
        </w:rPr>
        <w:t xml:space="preserve">. </w:t>
      </w:r>
      <w:bookmarkEnd w:id="412"/>
      <w:r w:rsidRPr="00FB5BE9">
        <w:rPr>
          <w:rFonts w:hint="eastAsia"/>
          <w:b/>
          <w:bCs/>
          <w:rtl/>
        </w:rPr>
        <w:t>לפי</w:t>
      </w:r>
      <w:r w:rsidRPr="00FB5BE9">
        <w:rPr>
          <w:b/>
          <w:bCs/>
          <w:rtl/>
        </w:rPr>
        <w:t xml:space="preserve"> כלל "הקפאת הזכירה שבעבר", </w:t>
      </w:r>
      <w:r>
        <w:rPr>
          <w:b/>
          <w:bCs/>
          <w:rtl/>
        </w:rPr>
        <w:t>כדי</w:t>
      </w:r>
      <w:r w:rsidRPr="00FB5BE9">
        <w:rPr>
          <w:b/>
          <w:bCs/>
          <w:rtl/>
        </w:rPr>
        <w:t xml:space="preserve"> שבית המשפט יקבל את התרשומת בכתב כראיה עליו להשתכנע ראשית כול שהרישום שנעשה בשעתו על ידי העד הוא רישום כן, </w:t>
      </w:r>
      <w:r w:rsidRPr="00FB5BE9">
        <w:rPr>
          <w:rFonts w:hint="eastAsia"/>
          <w:b/>
          <w:bCs/>
          <w:rtl/>
        </w:rPr>
        <w:t>אמיתי</w:t>
      </w:r>
      <w:r w:rsidRPr="00FB5BE9">
        <w:rPr>
          <w:b/>
          <w:bCs/>
          <w:rtl/>
        </w:rPr>
        <w:t xml:space="preserve"> ומדויק. </w:t>
      </w:r>
    </w:p>
    <w:p w:rsidR="006B362B" w:rsidRDefault="006B362B" w:rsidP="00E4477A">
      <w:pPr>
        <w:spacing w:line="269" w:lineRule="auto"/>
        <w:ind w:left="360"/>
        <w:rPr>
          <w:b/>
          <w:bCs/>
          <w:rtl/>
        </w:rPr>
      </w:pPr>
      <w:bookmarkStart w:id="413" w:name="_Toc132608794"/>
    </w:p>
    <w:p w:rsidR="009A1216" w:rsidRDefault="009A1216" w:rsidP="00E4477A">
      <w:pPr>
        <w:spacing w:line="269" w:lineRule="auto"/>
        <w:ind w:left="360"/>
        <w:rPr>
          <w:b/>
          <w:bCs/>
          <w:rtl/>
        </w:rPr>
      </w:pPr>
      <w:r>
        <w:rPr>
          <w:rFonts w:hint="cs"/>
          <w:b/>
          <w:bCs/>
          <w:rtl/>
        </w:rPr>
        <w:t xml:space="preserve">נמצא כי לאחר אישור </w:t>
      </w:r>
      <w:r w:rsidR="007F6110">
        <w:rPr>
          <w:rFonts w:hint="cs"/>
          <w:b/>
          <w:bCs/>
          <w:rtl/>
        </w:rPr>
        <w:t>מסמך א'</w:t>
      </w:r>
      <w:r>
        <w:rPr>
          <w:rFonts w:hint="cs"/>
          <w:b/>
          <w:bCs/>
          <w:rtl/>
        </w:rPr>
        <w:t>, אין מגבלה על עריכת</w:t>
      </w:r>
      <w:r w:rsidR="005728E4">
        <w:rPr>
          <w:rFonts w:hint="cs"/>
          <w:b/>
          <w:bCs/>
          <w:rtl/>
        </w:rPr>
        <w:t>ו</w:t>
      </w:r>
      <w:r>
        <w:rPr>
          <w:rFonts w:hint="cs"/>
          <w:b/>
          <w:bCs/>
          <w:rtl/>
        </w:rPr>
        <w:t xml:space="preserve"> במערכת לניהול מבצעים. זאת, להבדיל מהבקשות לצו ומהצו החתום הנסרקים למערכת לניהול צווים. מבקר המדינה איתר </w:t>
      </w:r>
      <w:r w:rsidR="007F6110">
        <w:rPr>
          <w:rFonts w:hint="cs"/>
          <w:b/>
          <w:bCs/>
          <w:rtl/>
        </w:rPr>
        <w:t>מסמך אחד</w:t>
      </w:r>
      <w:r>
        <w:rPr>
          <w:rFonts w:hint="cs"/>
          <w:b/>
          <w:bCs/>
          <w:rtl/>
        </w:rPr>
        <w:t xml:space="preserve"> לא חתו</w:t>
      </w:r>
      <w:r w:rsidR="007F6110">
        <w:rPr>
          <w:rFonts w:hint="cs"/>
          <w:b/>
          <w:bCs/>
          <w:rtl/>
        </w:rPr>
        <w:t>ם</w:t>
      </w:r>
      <w:r>
        <w:rPr>
          <w:rFonts w:hint="cs"/>
          <w:b/>
          <w:bCs/>
          <w:rtl/>
        </w:rPr>
        <w:t xml:space="preserve"> </w:t>
      </w:r>
      <w:r w:rsidR="007F6110">
        <w:rPr>
          <w:rFonts w:hint="cs"/>
          <w:b/>
          <w:bCs/>
          <w:rtl/>
        </w:rPr>
        <w:t xml:space="preserve">שנערך </w:t>
      </w:r>
      <w:r>
        <w:rPr>
          <w:rFonts w:hint="cs"/>
          <w:b/>
          <w:bCs/>
          <w:rtl/>
        </w:rPr>
        <w:t xml:space="preserve">כמה חודשים לאחר </w:t>
      </w:r>
      <w:r w:rsidR="007F6110">
        <w:rPr>
          <w:rFonts w:hint="cs"/>
          <w:b/>
          <w:bCs/>
          <w:rtl/>
        </w:rPr>
        <w:t xml:space="preserve">הוצאתו </w:t>
      </w:r>
      <w:r>
        <w:rPr>
          <w:rFonts w:hint="cs"/>
          <w:b/>
          <w:bCs/>
          <w:rtl/>
        </w:rPr>
        <w:t xml:space="preserve">ובעת שנעשו כבר פעולות למימוש האזנת סתר זו. </w:t>
      </w:r>
    </w:p>
    <w:p w:rsidR="006B362B" w:rsidRDefault="006B362B" w:rsidP="00E4477A">
      <w:pPr>
        <w:spacing w:line="269" w:lineRule="auto"/>
        <w:ind w:left="360"/>
        <w:rPr>
          <w:b/>
          <w:bCs/>
          <w:rtl/>
        </w:rPr>
      </w:pPr>
    </w:p>
    <w:p w:rsidR="009A1216" w:rsidRDefault="009A1216" w:rsidP="00E4477A">
      <w:pPr>
        <w:spacing w:line="269" w:lineRule="auto"/>
        <w:ind w:left="360"/>
        <w:rPr>
          <w:b/>
          <w:bCs/>
          <w:rtl/>
        </w:rPr>
      </w:pPr>
      <w:r>
        <w:rPr>
          <w:rFonts w:hint="cs"/>
          <w:b/>
          <w:bCs/>
          <w:rtl/>
        </w:rPr>
        <w:t>לנוכח מעמד</w:t>
      </w:r>
      <w:r w:rsidR="007F6110">
        <w:rPr>
          <w:rFonts w:hint="cs"/>
          <w:b/>
          <w:bCs/>
          <w:rtl/>
        </w:rPr>
        <w:t>ו</w:t>
      </w:r>
      <w:r>
        <w:rPr>
          <w:rFonts w:hint="cs"/>
          <w:b/>
          <w:bCs/>
          <w:rtl/>
        </w:rPr>
        <w:t xml:space="preserve"> של </w:t>
      </w:r>
      <w:r w:rsidR="007F6110">
        <w:rPr>
          <w:rFonts w:hint="cs"/>
          <w:b/>
          <w:bCs/>
          <w:rtl/>
        </w:rPr>
        <w:t xml:space="preserve">מסמך א' </w:t>
      </w:r>
      <w:r>
        <w:rPr>
          <w:rFonts w:hint="cs"/>
          <w:b/>
          <w:bCs/>
          <w:rtl/>
        </w:rPr>
        <w:t xml:space="preserve">כאסמכתה המלמדת שמימוש האזנת הסתר והליך </w:t>
      </w:r>
      <w:r w:rsidR="00AF4EFA">
        <w:rPr>
          <w:rFonts w:hint="cs"/>
          <w:b/>
          <w:bCs/>
          <w:rtl/>
        </w:rPr>
        <w:t xml:space="preserve">ההתקנה </w:t>
      </w:r>
      <w:r>
        <w:rPr>
          <w:rFonts w:hint="cs"/>
          <w:b/>
          <w:bCs/>
          <w:rtl/>
        </w:rPr>
        <w:t>התבצעו כנדרש, מומלץ כי המשטרה תוודא שאי אפשר לערוך אות</w:t>
      </w:r>
      <w:r w:rsidR="007F6110">
        <w:rPr>
          <w:rFonts w:hint="cs"/>
          <w:b/>
          <w:bCs/>
          <w:rtl/>
        </w:rPr>
        <w:t>ו</w:t>
      </w:r>
      <w:r>
        <w:rPr>
          <w:rFonts w:hint="cs"/>
          <w:b/>
          <w:bCs/>
          <w:rtl/>
        </w:rPr>
        <w:t xml:space="preserve"> בדיעבד במערכות הממוחשבות, וכי כלל </w:t>
      </w:r>
      <w:r w:rsidR="007F6110">
        <w:rPr>
          <w:rFonts w:hint="cs"/>
          <w:b/>
          <w:bCs/>
          <w:rtl/>
        </w:rPr>
        <w:t>מסמכי א'</w:t>
      </w:r>
      <w:r>
        <w:rPr>
          <w:rFonts w:hint="cs"/>
          <w:b/>
          <w:bCs/>
          <w:rtl/>
        </w:rPr>
        <w:t xml:space="preserve"> בנוגע ליעד האזנה </w:t>
      </w:r>
      <w:r w:rsidR="007F6110">
        <w:rPr>
          <w:rFonts w:hint="cs"/>
          <w:b/>
          <w:bCs/>
          <w:rtl/>
        </w:rPr>
        <w:t xml:space="preserve">נשמרים </w:t>
      </w:r>
      <w:r>
        <w:rPr>
          <w:rFonts w:hint="cs"/>
          <w:b/>
          <w:bCs/>
          <w:rtl/>
        </w:rPr>
        <w:t>בתצורת</w:t>
      </w:r>
      <w:r w:rsidR="007F6110">
        <w:rPr>
          <w:rFonts w:hint="cs"/>
          <w:b/>
          <w:bCs/>
          <w:rtl/>
        </w:rPr>
        <w:t>ם</w:t>
      </w:r>
      <w:r>
        <w:rPr>
          <w:rFonts w:hint="cs"/>
          <w:b/>
          <w:bCs/>
          <w:rtl/>
        </w:rPr>
        <w:t xml:space="preserve"> המקורית לאחר חתימת</w:t>
      </w:r>
      <w:r w:rsidR="007F6110">
        <w:rPr>
          <w:rFonts w:hint="cs"/>
          <w:b/>
          <w:bCs/>
          <w:rtl/>
        </w:rPr>
        <w:t>ם</w:t>
      </w:r>
      <w:r>
        <w:rPr>
          <w:rFonts w:hint="cs"/>
          <w:b/>
          <w:bCs/>
          <w:rtl/>
        </w:rPr>
        <w:t xml:space="preserve">. </w:t>
      </w:r>
    </w:p>
    <w:p w:rsidR="009A1216" w:rsidRDefault="009A1216" w:rsidP="00E4477A">
      <w:pPr>
        <w:pStyle w:val="a5"/>
        <w:spacing w:line="269" w:lineRule="auto"/>
        <w:ind w:left="153"/>
        <w:rPr>
          <w:rtl/>
        </w:rPr>
      </w:pPr>
      <w:r>
        <w:rPr>
          <w:rFonts w:hint="cs"/>
          <w:rtl/>
        </w:rPr>
        <w:t xml:space="preserve"> </w:t>
      </w:r>
    </w:p>
    <w:p w:rsidR="009A1216" w:rsidRDefault="009A1216" w:rsidP="00604C3D">
      <w:pPr>
        <w:spacing w:line="269" w:lineRule="auto"/>
        <w:rPr>
          <w:rtl/>
        </w:rPr>
      </w:pPr>
      <w:r w:rsidRPr="005571ED">
        <w:rPr>
          <w:rFonts w:hint="eastAsia"/>
          <w:rtl/>
        </w:rPr>
        <w:t>המשטרה</w:t>
      </w:r>
      <w:r w:rsidRPr="005571ED">
        <w:rPr>
          <w:rtl/>
        </w:rPr>
        <w:t xml:space="preserve"> </w:t>
      </w:r>
      <w:r w:rsidRPr="005571ED">
        <w:rPr>
          <w:rFonts w:hint="eastAsia"/>
          <w:rtl/>
        </w:rPr>
        <w:t>מסרה</w:t>
      </w:r>
      <w:r w:rsidRPr="005571ED">
        <w:rPr>
          <w:rtl/>
        </w:rPr>
        <w:t xml:space="preserve"> </w:t>
      </w:r>
      <w:r w:rsidRPr="005571ED">
        <w:rPr>
          <w:rFonts w:hint="eastAsia"/>
          <w:rtl/>
        </w:rPr>
        <w:t>בתגובתה</w:t>
      </w:r>
      <w:r w:rsidRPr="005571ED">
        <w:rPr>
          <w:rtl/>
        </w:rPr>
        <w:t xml:space="preserve"> </w:t>
      </w:r>
      <w:r w:rsidRPr="005571ED">
        <w:rPr>
          <w:rFonts w:hint="eastAsia"/>
          <w:rtl/>
        </w:rPr>
        <w:t>כי</w:t>
      </w:r>
      <w:r w:rsidRPr="005571ED">
        <w:rPr>
          <w:rtl/>
        </w:rPr>
        <w:t xml:space="preserve"> </w:t>
      </w:r>
      <w:r w:rsidRPr="005571ED">
        <w:rPr>
          <w:rFonts w:hint="eastAsia"/>
          <w:rtl/>
        </w:rPr>
        <w:t>היא</w:t>
      </w:r>
      <w:r w:rsidRPr="005571ED">
        <w:rPr>
          <w:rtl/>
        </w:rPr>
        <w:t xml:space="preserve"> </w:t>
      </w:r>
      <w:r w:rsidRPr="005571ED">
        <w:rPr>
          <w:rFonts w:hint="eastAsia"/>
          <w:rtl/>
        </w:rPr>
        <w:t>פועלת</w:t>
      </w:r>
      <w:r w:rsidRPr="005571ED">
        <w:rPr>
          <w:rtl/>
        </w:rPr>
        <w:t xml:space="preserve"> </w:t>
      </w:r>
      <w:r w:rsidRPr="005571ED">
        <w:rPr>
          <w:rFonts w:hint="eastAsia"/>
          <w:rtl/>
        </w:rPr>
        <w:t>להקמת</w:t>
      </w:r>
      <w:r w:rsidRPr="005571ED">
        <w:rPr>
          <w:rtl/>
        </w:rPr>
        <w:t xml:space="preserve"> </w:t>
      </w:r>
      <w:r w:rsidRPr="005571ED">
        <w:rPr>
          <w:rFonts w:hint="eastAsia"/>
          <w:rtl/>
        </w:rPr>
        <w:t>מערכת</w:t>
      </w:r>
      <w:r w:rsidRPr="005571ED">
        <w:rPr>
          <w:rtl/>
        </w:rPr>
        <w:t xml:space="preserve"> </w:t>
      </w:r>
      <w:r w:rsidRPr="005571ED">
        <w:rPr>
          <w:rFonts w:hint="eastAsia"/>
          <w:rtl/>
        </w:rPr>
        <w:t>לניהול</w:t>
      </w:r>
      <w:r w:rsidRPr="005571ED">
        <w:rPr>
          <w:rtl/>
        </w:rPr>
        <w:t xml:space="preserve"> </w:t>
      </w:r>
      <w:r w:rsidRPr="005571ED">
        <w:rPr>
          <w:rFonts w:hint="eastAsia"/>
          <w:rtl/>
        </w:rPr>
        <w:t>יומ</w:t>
      </w:r>
      <w:r>
        <w:rPr>
          <w:rFonts w:hint="cs"/>
          <w:rtl/>
        </w:rPr>
        <w:t>ן</w:t>
      </w:r>
      <w:r w:rsidRPr="005571ED">
        <w:rPr>
          <w:rtl/>
        </w:rPr>
        <w:t xml:space="preserve"> </w:t>
      </w:r>
      <w:r w:rsidRPr="005571ED">
        <w:rPr>
          <w:rFonts w:hint="eastAsia"/>
          <w:rtl/>
        </w:rPr>
        <w:t>מבצעים</w:t>
      </w:r>
      <w:r>
        <w:rPr>
          <w:rFonts w:hint="cs"/>
          <w:rtl/>
        </w:rPr>
        <w:t xml:space="preserve"> </w:t>
      </w:r>
      <w:r w:rsidRPr="005571ED">
        <w:rPr>
          <w:rtl/>
        </w:rPr>
        <w:t>לתיעוד השימוש בכלים טכנולוגיים מיוחדים</w:t>
      </w:r>
      <w:r>
        <w:rPr>
          <w:rFonts w:hint="cs"/>
          <w:rtl/>
        </w:rPr>
        <w:t xml:space="preserve"> ובה </w:t>
      </w:r>
      <w:r w:rsidR="00E45EE9">
        <w:rPr>
          <w:rFonts w:hint="cs"/>
          <w:rtl/>
        </w:rPr>
        <w:t xml:space="preserve">לא ניתן יהיה לערוך את </w:t>
      </w:r>
      <w:r w:rsidR="007F6110">
        <w:rPr>
          <w:rFonts w:hint="cs"/>
          <w:rtl/>
        </w:rPr>
        <w:t>מסמך א'</w:t>
      </w:r>
      <w:r>
        <w:rPr>
          <w:rFonts w:hint="cs"/>
          <w:rtl/>
        </w:rPr>
        <w:t xml:space="preserve"> החתו</w:t>
      </w:r>
      <w:r w:rsidR="007F6110">
        <w:rPr>
          <w:rFonts w:hint="cs"/>
          <w:rtl/>
        </w:rPr>
        <w:t>ם</w:t>
      </w:r>
      <w:r w:rsidRPr="005571ED">
        <w:rPr>
          <w:rtl/>
        </w:rPr>
        <w:t>.</w:t>
      </w:r>
    </w:p>
    <w:p w:rsidR="00E53E3D" w:rsidRDefault="00E53E3D" w:rsidP="00604C3D">
      <w:pPr>
        <w:spacing w:line="269" w:lineRule="auto"/>
        <w:rPr>
          <w:rtl/>
        </w:rPr>
      </w:pPr>
    </w:p>
    <w:p w:rsidR="009A1216" w:rsidRPr="00D852B8" w:rsidRDefault="009A1216" w:rsidP="008C598D">
      <w:pPr>
        <w:pStyle w:val="5"/>
        <w:numPr>
          <w:ilvl w:val="0"/>
          <w:numId w:val="20"/>
        </w:numPr>
        <w:spacing w:line="269" w:lineRule="auto"/>
        <w:rPr>
          <w:rtl/>
        </w:rPr>
      </w:pPr>
      <w:bookmarkStart w:id="414" w:name="_Toc151890749"/>
      <w:bookmarkStart w:id="415" w:name="_Toc151882021"/>
      <w:bookmarkEnd w:id="413"/>
      <w:r w:rsidRPr="00D852B8">
        <w:rPr>
          <w:rFonts w:hint="cs"/>
          <w:rtl/>
        </w:rPr>
        <w:t xml:space="preserve">הכנת </w:t>
      </w:r>
      <w:bookmarkEnd w:id="414"/>
      <w:bookmarkEnd w:id="415"/>
      <w:r w:rsidR="007F6110">
        <w:rPr>
          <w:rFonts w:hint="cs"/>
          <w:rtl/>
        </w:rPr>
        <w:t>מסמך ב'</w:t>
      </w:r>
      <w:r w:rsidRPr="00D852B8">
        <w:rPr>
          <w:rFonts w:hint="cs"/>
          <w:rtl/>
        </w:rPr>
        <w:t xml:space="preserve"> </w:t>
      </w:r>
    </w:p>
    <w:p w:rsidR="006B362B" w:rsidRDefault="006B362B" w:rsidP="00604C3D">
      <w:pPr>
        <w:spacing w:line="269" w:lineRule="auto"/>
        <w:rPr>
          <w:rtl/>
        </w:rPr>
      </w:pPr>
    </w:p>
    <w:p w:rsidR="009A1216" w:rsidRDefault="009A1216" w:rsidP="00E4477A">
      <w:pPr>
        <w:spacing w:line="269" w:lineRule="auto"/>
        <w:ind w:left="360"/>
        <w:rPr>
          <w:rtl/>
        </w:rPr>
      </w:pPr>
      <w:r>
        <w:rPr>
          <w:rFonts w:hint="cs"/>
          <w:rtl/>
        </w:rPr>
        <w:t xml:space="preserve">עובדי הצס"ם הם שמוציאים את </w:t>
      </w:r>
      <w:r w:rsidR="007F6110">
        <w:rPr>
          <w:rFonts w:hint="cs"/>
          <w:rtl/>
        </w:rPr>
        <w:t>מסמך ב'</w:t>
      </w:r>
      <w:r>
        <w:rPr>
          <w:rFonts w:hint="cs"/>
          <w:rtl/>
        </w:rPr>
        <w:t xml:space="preserve">. </w:t>
      </w:r>
      <w:r w:rsidR="007F6110">
        <w:rPr>
          <w:rFonts w:hint="cs"/>
          <w:rtl/>
        </w:rPr>
        <w:t xml:space="preserve">מסמך ב' </w:t>
      </w:r>
      <w:r>
        <w:rPr>
          <w:rFonts w:hint="cs"/>
          <w:rtl/>
        </w:rPr>
        <w:t xml:space="preserve">הוא האסמכתה לקיומו של צו תקף המאפשר מימוש האזנה. תכליתו להסדיר מקור הרשאה יחיד לביצוע פעולת האזנת הסתר, שכן מקור הסמכות עשוי לנבוע ממגוון של היתרים וצווים. לפי נוהלי המשטרה, הוצאת </w:t>
      </w:r>
      <w:r w:rsidR="00395FDD">
        <w:rPr>
          <w:rFonts w:hint="cs"/>
          <w:rtl/>
        </w:rPr>
        <w:t xml:space="preserve">מסמך ב' </w:t>
      </w:r>
      <w:r>
        <w:rPr>
          <w:rFonts w:hint="cs"/>
          <w:rtl/>
        </w:rPr>
        <w:t xml:space="preserve">מחייבת בדיקה אם הצו תקין ואם הוא עומד בהנחיות החטיבה. בנוהלי המשטרה יש הבחנה בין </w:t>
      </w:r>
      <w:r w:rsidR="00395FDD">
        <w:rPr>
          <w:rFonts w:hint="cs"/>
          <w:rtl/>
        </w:rPr>
        <w:t>מסמך ב' המתייחס</w:t>
      </w:r>
      <w:r>
        <w:rPr>
          <w:rFonts w:hint="cs"/>
          <w:rtl/>
        </w:rPr>
        <w:t xml:space="preserve"> לשמע לבין </w:t>
      </w:r>
      <w:r w:rsidR="00395FDD">
        <w:rPr>
          <w:rFonts w:hint="cs"/>
          <w:rtl/>
        </w:rPr>
        <w:t>מסמך ב' המתייחס</w:t>
      </w:r>
      <w:r>
        <w:rPr>
          <w:rFonts w:hint="cs"/>
          <w:rtl/>
        </w:rPr>
        <w:t xml:space="preserve"> להאזנה לתקשורת בין מחשבים. </w:t>
      </w:r>
    </w:p>
    <w:p w:rsidR="006B362B" w:rsidRDefault="006B362B" w:rsidP="00E4477A">
      <w:pPr>
        <w:spacing w:line="269" w:lineRule="auto"/>
        <w:ind w:left="360"/>
        <w:rPr>
          <w:b/>
          <w:bCs/>
          <w:rtl/>
        </w:rPr>
      </w:pPr>
      <w:bookmarkStart w:id="416" w:name="_Hlk146730891"/>
    </w:p>
    <w:p w:rsidR="009A1216" w:rsidRDefault="00395FDD" w:rsidP="00E4477A">
      <w:pPr>
        <w:spacing w:line="269" w:lineRule="auto"/>
        <w:ind w:left="360"/>
        <w:rPr>
          <w:b/>
          <w:bCs/>
          <w:rtl/>
        </w:rPr>
      </w:pPr>
      <w:r>
        <w:rPr>
          <w:rFonts w:hint="cs"/>
          <w:b/>
          <w:bCs/>
          <w:rtl/>
        </w:rPr>
        <w:t>מסמך ב'</w:t>
      </w:r>
      <w:r w:rsidR="009A1216">
        <w:rPr>
          <w:rFonts w:hint="cs"/>
          <w:b/>
          <w:bCs/>
          <w:rtl/>
        </w:rPr>
        <w:t xml:space="preserve"> הוא אסמכתה המתעדת ביצוע בפועל של האזנה, אשר מצביעה על תקינות מימוש סמכות האזנת הסתר ומשמשת תנאי סף לצורך מימושה.</w:t>
      </w:r>
      <w:bookmarkEnd w:id="416"/>
      <w:r w:rsidR="009A1216" w:rsidRPr="00430816">
        <w:rPr>
          <w:rFonts w:hint="cs"/>
          <w:b/>
          <w:bCs/>
          <w:rtl/>
        </w:rPr>
        <w:t xml:space="preserve"> </w:t>
      </w:r>
      <w:r w:rsidR="009A1216">
        <w:rPr>
          <w:rFonts w:hint="cs"/>
          <w:b/>
          <w:bCs/>
          <w:rtl/>
        </w:rPr>
        <w:t>למרות זאת, המשטרה התירה בהנחיותיה את</w:t>
      </w:r>
      <w:r w:rsidR="00E45EE9">
        <w:rPr>
          <w:rFonts w:hint="cs"/>
          <w:b/>
          <w:bCs/>
          <w:rtl/>
        </w:rPr>
        <w:t xml:space="preserve"> הכנת</w:t>
      </w:r>
      <w:r w:rsidR="009A1216" w:rsidRPr="00430816">
        <w:rPr>
          <w:rFonts w:hint="cs"/>
          <w:b/>
          <w:bCs/>
          <w:rtl/>
        </w:rPr>
        <w:t xml:space="preserve"> </w:t>
      </w:r>
      <w:r>
        <w:rPr>
          <w:rFonts w:hint="cs"/>
          <w:b/>
          <w:bCs/>
          <w:rtl/>
        </w:rPr>
        <w:t>מסמך ב'</w:t>
      </w:r>
      <w:r w:rsidR="009A1216" w:rsidRPr="00430816">
        <w:rPr>
          <w:rFonts w:hint="cs"/>
          <w:b/>
          <w:bCs/>
          <w:rtl/>
        </w:rPr>
        <w:t xml:space="preserve"> לתקשורת בין מחשבים בדיעבד</w:t>
      </w:r>
      <w:r w:rsidR="009A1216">
        <w:rPr>
          <w:rFonts w:hint="cs"/>
          <w:b/>
          <w:bCs/>
          <w:rtl/>
        </w:rPr>
        <w:t xml:space="preserve"> ולאחר שבוצעה </w:t>
      </w:r>
      <w:r w:rsidR="00AF4EFA">
        <w:rPr>
          <w:rFonts w:hint="cs"/>
          <w:b/>
          <w:bCs/>
          <w:rtl/>
        </w:rPr>
        <w:t xml:space="preserve">ההתקנה </w:t>
      </w:r>
      <w:r w:rsidR="009A1216">
        <w:rPr>
          <w:rFonts w:hint="cs"/>
          <w:b/>
          <w:bCs/>
          <w:rtl/>
        </w:rPr>
        <w:t>בפועל</w:t>
      </w:r>
      <w:r w:rsidR="009A1216" w:rsidRPr="00430816">
        <w:rPr>
          <w:rFonts w:hint="cs"/>
          <w:b/>
          <w:bCs/>
          <w:rtl/>
        </w:rPr>
        <w:t xml:space="preserve">. </w:t>
      </w:r>
    </w:p>
    <w:p w:rsidR="006B362B" w:rsidRDefault="006B362B" w:rsidP="00E4477A">
      <w:pPr>
        <w:spacing w:line="269" w:lineRule="auto"/>
        <w:ind w:left="360"/>
        <w:rPr>
          <w:rtl/>
        </w:rPr>
      </w:pPr>
      <w:bookmarkStart w:id="417" w:name="_Hlk153100826"/>
    </w:p>
    <w:p w:rsidR="009A1216" w:rsidRDefault="009A1216" w:rsidP="00E4477A">
      <w:pPr>
        <w:spacing w:line="269" w:lineRule="auto"/>
        <w:ind w:left="360"/>
        <w:rPr>
          <w:rtl/>
        </w:rPr>
      </w:pPr>
      <w:r>
        <w:rPr>
          <w:rFonts w:hint="cs"/>
          <w:rtl/>
        </w:rPr>
        <w:t xml:space="preserve">מבקר המדינה בחן </w:t>
      </w:r>
      <w:r w:rsidR="007076B3">
        <w:rPr>
          <w:rFonts w:hint="cs"/>
          <w:rtl/>
        </w:rPr>
        <w:t xml:space="preserve">מאות </w:t>
      </w:r>
      <w:r>
        <w:rPr>
          <w:rFonts w:hint="cs"/>
          <w:rtl/>
        </w:rPr>
        <w:t>צווים להאזנה לתקשורת בין מחשבים</w:t>
      </w:r>
      <w:r w:rsidRPr="00925AFB">
        <w:rPr>
          <w:rFonts w:hint="cs"/>
          <w:rtl/>
        </w:rPr>
        <w:t xml:space="preserve"> </w:t>
      </w:r>
      <w:r>
        <w:rPr>
          <w:rFonts w:hint="cs"/>
          <w:rtl/>
        </w:rPr>
        <w:t xml:space="preserve">שהוכנו בשנים 2019 - 2021 וסומנו כצווים שמומשו. </w:t>
      </w:r>
      <w:r w:rsidR="000417FA">
        <w:rPr>
          <w:rFonts w:hint="cs"/>
          <w:rtl/>
        </w:rPr>
        <w:t xml:space="preserve">במספר </w:t>
      </w:r>
      <w:r>
        <w:rPr>
          <w:rFonts w:hint="cs"/>
          <w:rtl/>
        </w:rPr>
        <w:t xml:space="preserve">צווים שצוין כי מומשו לא אותר </w:t>
      </w:r>
      <w:r w:rsidR="00395FDD">
        <w:rPr>
          <w:rFonts w:hint="cs"/>
          <w:rtl/>
        </w:rPr>
        <w:t>מסמך ב'</w:t>
      </w:r>
      <w:r>
        <w:rPr>
          <w:rFonts w:hint="cs"/>
          <w:rtl/>
        </w:rPr>
        <w:t xml:space="preserve"> כלל (2%); </w:t>
      </w:r>
      <w:r w:rsidR="006B362B">
        <w:rPr>
          <w:rFonts w:hint="cs"/>
          <w:rtl/>
        </w:rPr>
        <w:t>ב-</w:t>
      </w:r>
      <w:r>
        <w:rPr>
          <w:rFonts w:hint="cs"/>
          <w:rtl/>
        </w:rPr>
        <w:t xml:space="preserve">83% מאותם צווים שמומשו הוצא </w:t>
      </w:r>
      <w:r w:rsidR="00395FDD">
        <w:rPr>
          <w:rFonts w:hint="cs"/>
          <w:rtl/>
        </w:rPr>
        <w:t xml:space="preserve">מסמך ב' </w:t>
      </w:r>
      <w:r>
        <w:rPr>
          <w:rFonts w:hint="cs"/>
          <w:rtl/>
        </w:rPr>
        <w:t>לתקשורת בין מחשבים המשמש לצורך מעקב אחר השימוש בכלים טכנולוגיים ואישורם, וב-</w:t>
      </w:r>
      <w:r w:rsidR="007076B3">
        <w:rPr>
          <w:rFonts w:hint="cs"/>
          <w:rtl/>
        </w:rPr>
        <w:t>15%</w:t>
      </w:r>
      <w:r>
        <w:rPr>
          <w:rFonts w:hint="cs"/>
          <w:rtl/>
        </w:rPr>
        <w:t xml:space="preserve"> מהצווים אותר </w:t>
      </w:r>
      <w:r w:rsidR="00395FDD">
        <w:rPr>
          <w:rFonts w:hint="cs"/>
          <w:rtl/>
        </w:rPr>
        <w:t xml:space="preserve">מסמך ב' </w:t>
      </w:r>
      <w:r>
        <w:rPr>
          <w:rFonts w:hint="cs"/>
          <w:rtl/>
        </w:rPr>
        <w:t xml:space="preserve">המשמש אסמכתה להאזנה לשמע בלבד ולא לתקשורת בין מחשבים. </w:t>
      </w:r>
    </w:p>
    <w:p w:rsidR="006B362B" w:rsidRDefault="006B362B" w:rsidP="00E4477A">
      <w:pPr>
        <w:spacing w:line="269" w:lineRule="auto"/>
        <w:ind w:left="360"/>
        <w:rPr>
          <w:b/>
          <w:bCs/>
          <w:rtl/>
        </w:rPr>
      </w:pPr>
      <w:bookmarkStart w:id="418" w:name="_Hlk155704498"/>
      <w:bookmarkStart w:id="419" w:name="_Hlk146730874"/>
      <w:bookmarkEnd w:id="417"/>
    </w:p>
    <w:p w:rsidR="009A1216" w:rsidRDefault="009A1216" w:rsidP="00E4477A">
      <w:pPr>
        <w:spacing w:line="269" w:lineRule="auto"/>
        <w:ind w:left="360"/>
        <w:rPr>
          <w:rtl/>
        </w:rPr>
      </w:pPr>
      <w:r w:rsidRPr="00DA66B6">
        <w:rPr>
          <w:rFonts w:hint="cs"/>
          <w:b/>
          <w:bCs/>
          <w:rtl/>
        </w:rPr>
        <w:t xml:space="preserve">מנתוני המשטרה עולה כי בעת הפעלת כלים טכנולוגיים לצורך ביצוע האזנות סתר לתקשורת בין מחשבים, </w:t>
      </w:r>
      <w:r>
        <w:rPr>
          <w:rFonts w:hint="cs"/>
          <w:b/>
          <w:bCs/>
          <w:rtl/>
        </w:rPr>
        <w:t>המשטרה</w:t>
      </w:r>
      <w:r w:rsidRPr="00DA66B6">
        <w:rPr>
          <w:rFonts w:hint="cs"/>
          <w:b/>
          <w:bCs/>
          <w:rtl/>
        </w:rPr>
        <w:t xml:space="preserve"> לא הקפידה לאשר ולתעד את </w:t>
      </w:r>
      <w:r w:rsidR="00395FDD">
        <w:rPr>
          <w:rFonts w:hint="cs"/>
          <w:b/>
          <w:bCs/>
          <w:rtl/>
        </w:rPr>
        <w:t>מסמכי ב'</w:t>
      </w:r>
      <w:r w:rsidR="00395FDD" w:rsidRPr="00DA66B6">
        <w:rPr>
          <w:rFonts w:hint="cs"/>
          <w:b/>
          <w:bCs/>
          <w:rtl/>
        </w:rPr>
        <w:t xml:space="preserve"> </w:t>
      </w:r>
      <w:r w:rsidRPr="00DA66B6">
        <w:rPr>
          <w:rFonts w:hint="cs"/>
          <w:b/>
          <w:bCs/>
          <w:rtl/>
        </w:rPr>
        <w:t xml:space="preserve">המתאימים </w:t>
      </w:r>
      <w:r>
        <w:rPr>
          <w:rFonts w:hint="cs"/>
          <w:b/>
          <w:bCs/>
          <w:rtl/>
        </w:rPr>
        <w:t>בהתאם לסוג ההאזנה שבוצעה</w:t>
      </w:r>
      <w:r w:rsidRPr="00DA66B6">
        <w:rPr>
          <w:rFonts w:hint="cs"/>
          <w:b/>
          <w:bCs/>
          <w:rtl/>
        </w:rPr>
        <w:t xml:space="preserve">. </w:t>
      </w:r>
      <w:r>
        <w:rPr>
          <w:rFonts w:hint="cs"/>
          <w:b/>
          <w:bCs/>
          <w:rtl/>
        </w:rPr>
        <w:t xml:space="preserve">היעדר הרישום התקין של </w:t>
      </w:r>
      <w:r w:rsidR="00395FDD">
        <w:rPr>
          <w:rFonts w:hint="cs"/>
          <w:b/>
          <w:bCs/>
          <w:rtl/>
        </w:rPr>
        <w:t>מסמכי ב'</w:t>
      </w:r>
      <w:r>
        <w:rPr>
          <w:rFonts w:hint="cs"/>
          <w:b/>
          <w:bCs/>
          <w:rtl/>
        </w:rPr>
        <w:t xml:space="preserve"> ואפשרות רישומם בדיעבד מקשים על ביצוע בקרה לגבי תהליכי העבודה שמקיימת המשטרה: ראשית, לא ניתן לבחון את נחיצותם של צווים שבהם התבקשו דרכי האזנה רבות על בסיס השוואה בין מה שהתבקש בצו למה שמומש כפי שמופיע </w:t>
      </w:r>
      <w:r w:rsidR="00395FDD">
        <w:rPr>
          <w:rFonts w:hint="cs"/>
          <w:b/>
          <w:bCs/>
          <w:rtl/>
        </w:rPr>
        <w:t xml:space="preserve">במסמך ב' </w:t>
      </w:r>
      <w:r>
        <w:rPr>
          <w:rFonts w:hint="cs"/>
          <w:b/>
          <w:bCs/>
          <w:rtl/>
        </w:rPr>
        <w:t xml:space="preserve">(למשל, צו להאזנה לתקשורת בין מחשבים מומש רק בנוגע להאזנת שמע); שנית, לא ניתן לבחון את נחיצות הוצאתם של צווים דחופים על בסיס חישוב פער הזמנים בין מועד גיבוש הצורך לבין מועד ביצוע האזנת הסתר בפועל, בהתאם לרשום </w:t>
      </w:r>
      <w:r w:rsidR="00395FDD">
        <w:rPr>
          <w:rFonts w:hint="cs"/>
          <w:b/>
          <w:bCs/>
          <w:rtl/>
        </w:rPr>
        <w:t>במסמך ב'</w:t>
      </w:r>
      <w:r>
        <w:rPr>
          <w:rFonts w:hint="cs"/>
          <w:b/>
          <w:bCs/>
          <w:rtl/>
        </w:rPr>
        <w:t xml:space="preserve"> ולסוג ההאזנה המצוין בו - האזנה לשמע או לתקשורת בין מחשבים. </w:t>
      </w:r>
      <w:bookmarkEnd w:id="418"/>
    </w:p>
    <w:bookmarkEnd w:id="419"/>
    <w:p w:rsidR="006B362B" w:rsidRDefault="006B362B" w:rsidP="00E4477A">
      <w:pPr>
        <w:spacing w:line="269" w:lineRule="auto"/>
        <w:ind w:left="360"/>
        <w:rPr>
          <w:b/>
          <w:bCs/>
          <w:rtl/>
        </w:rPr>
      </w:pPr>
    </w:p>
    <w:p w:rsidR="009A1216" w:rsidRDefault="009A1216" w:rsidP="00E4477A">
      <w:pPr>
        <w:spacing w:line="269" w:lineRule="auto"/>
        <w:ind w:left="360"/>
        <w:rPr>
          <w:rtl/>
        </w:rPr>
      </w:pPr>
      <w:r>
        <w:rPr>
          <w:rFonts w:hint="cs"/>
          <w:b/>
          <w:bCs/>
          <w:rtl/>
        </w:rPr>
        <w:t xml:space="preserve">מומלץ שהמשטרה תוציא מראש את </w:t>
      </w:r>
      <w:r w:rsidR="00395FDD">
        <w:rPr>
          <w:rFonts w:hint="cs"/>
          <w:b/>
          <w:bCs/>
          <w:rtl/>
        </w:rPr>
        <w:t xml:space="preserve">מסמכי ב' </w:t>
      </w:r>
      <w:r>
        <w:rPr>
          <w:rFonts w:hint="cs"/>
          <w:b/>
          <w:bCs/>
          <w:rtl/>
        </w:rPr>
        <w:t xml:space="preserve">לכל סוגי ההאזנות ותקפיד על רישומם התקין. </w:t>
      </w:r>
    </w:p>
    <w:p w:rsidR="009A1216" w:rsidRDefault="009A1216" w:rsidP="00604C3D">
      <w:pPr>
        <w:spacing w:line="269" w:lineRule="auto"/>
        <w:rPr>
          <w:b/>
          <w:bCs/>
          <w:rtl/>
        </w:rPr>
      </w:pPr>
    </w:p>
    <w:p w:rsidR="009A1216" w:rsidRPr="0097754A" w:rsidRDefault="009A1216" w:rsidP="008C598D">
      <w:pPr>
        <w:pStyle w:val="5"/>
        <w:numPr>
          <w:ilvl w:val="0"/>
          <w:numId w:val="20"/>
        </w:numPr>
        <w:spacing w:line="269" w:lineRule="auto"/>
        <w:rPr>
          <w:rtl/>
        </w:rPr>
      </w:pPr>
      <w:bookmarkStart w:id="420" w:name="_Toc151890750"/>
      <w:bookmarkStart w:id="421" w:name="_Toc151882022"/>
      <w:r w:rsidRPr="0097754A">
        <w:rPr>
          <w:rFonts w:hint="eastAsia"/>
          <w:rtl/>
        </w:rPr>
        <w:t>ניהול</w:t>
      </w:r>
      <w:r w:rsidRPr="0097754A">
        <w:rPr>
          <w:rtl/>
        </w:rPr>
        <w:t xml:space="preserve"> </w:t>
      </w:r>
      <w:r w:rsidRPr="0097754A">
        <w:rPr>
          <w:rFonts w:hint="eastAsia"/>
          <w:rtl/>
        </w:rPr>
        <w:t>יומן</w:t>
      </w:r>
      <w:r w:rsidRPr="0097754A">
        <w:rPr>
          <w:rtl/>
        </w:rPr>
        <w:t xml:space="preserve"> </w:t>
      </w:r>
      <w:r w:rsidRPr="0097754A">
        <w:rPr>
          <w:rFonts w:hint="eastAsia"/>
          <w:rtl/>
        </w:rPr>
        <w:t>מבצעים</w:t>
      </w:r>
      <w:r w:rsidRPr="0097754A">
        <w:rPr>
          <w:rtl/>
        </w:rPr>
        <w:t xml:space="preserve"> </w:t>
      </w:r>
      <w:r w:rsidRPr="0097754A">
        <w:rPr>
          <w:rFonts w:hint="eastAsia"/>
          <w:rtl/>
        </w:rPr>
        <w:t>לתיעוד</w:t>
      </w:r>
      <w:r w:rsidRPr="0097754A">
        <w:rPr>
          <w:rtl/>
        </w:rPr>
        <w:t xml:space="preserve"> </w:t>
      </w:r>
      <w:bookmarkEnd w:id="420"/>
      <w:bookmarkEnd w:id="421"/>
      <w:r w:rsidR="00AF4EFA" w:rsidRPr="0097754A">
        <w:rPr>
          <w:rFonts w:hint="cs"/>
          <w:rtl/>
        </w:rPr>
        <w:t>ההתקנות</w:t>
      </w:r>
      <w:r w:rsidR="00AF4EFA" w:rsidRPr="0097754A">
        <w:rPr>
          <w:rtl/>
        </w:rPr>
        <w:t xml:space="preserve"> </w:t>
      </w:r>
    </w:p>
    <w:p w:rsidR="006B362B" w:rsidRDefault="006B362B" w:rsidP="00604C3D">
      <w:pPr>
        <w:spacing w:line="269" w:lineRule="auto"/>
        <w:rPr>
          <w:rtl/>
        </w:rPr>
      </w:pPr>
    </w:p>
    <w:p w:rsidR="009A1216" w:rsidRPr="00E17A03" w:rsidRDefault="009A1216" w:rsidP="00E4477A">
      <w:pPr>
        <w:spacing w:line="269" w:lineRule="auto"/>
        <w:ind w:left="360"/>
        <w:rPr>
          <w:rtl/>
        </w:rPr>
      </w:pPr>
      <w:r w:rsidRPr="00CD50E4">
        <w:rPr>
          <w:rFonts w:hint="eastAsia"/>
          <w:rtl/>
        </w:rPr>
        <w:t>במשטרה</w:t>
      </w:r>
      <w:r w:rsidRPr="008538F8">
        <w:rPr>
          <w:rtl/>
        </w:rPr>
        <w:t xml:space="preserve"> </w:t>
      </w:r>
      <w:r w:rsidRPr="00956B1C">
        <w:rPr>
          <w:rFonts w:hint="eastAsia"/>
          <w:rtl/>
        </w:rPr>
        <w:t>יש</w:t>
      </w:r>
      <w:r w:rsidRPr="00CD50E4">
        <w:rPr>
          <w:rtl/>
        </w:rPr>
        <w:t xml:space="preserve"> </w:t>
      </w:r>
      <w:r w:rsidR="00CD50E4" w:rsidRPr="0097754A">
        <w:rPr>
          <w:rFonts w:hint="eastAsia"/>
          <w:rtl/>
        </w:rPr>
        <w:t>גורמים</w:t>
      </w:r>
      <w:r w:rsidR="00CD50E4" w:rsidRPr="0097754A">
        <w:rPr>
          <w:rtl/>
        </w:rPr>
        <w:t xml:space="preserve"> </w:t>
      </w:r>
      <w:r w:rsidR="00CD50E4" w:rsidRPr="0097754A">
        <w:rPr>
          <w:rFonts w:hint="eastAsia"/>
          <w:rtl/>
        </w:rPr>
        <w:t>שונים</w:t>
      </w:r>
      <w:r w:rsidRPr="00CD50E4">
        <w:rPr>
          <w:rtl/>
        </w:rPr>
        <w:t xml:space="preserve"> </w:t>
      </w:r>
      <w:r w:rsidRPr="008538F8">
        <w:rPr>
          <w:rFonts w:hint="eastAsia"/>
          <w:rtl/>
        </w:rPr>
        <w:t>המבצע</w:t>
      </w:r>
      <w:r w:rsidR="00CD50E4" w:rsidRPr="0097754A">
        <w:rPr>
          <w:rFonts w:hint="eastAsia"/>
          <w:rtl/>
        </w:rPr>
        <w:t>ים</w:t>
      </w:r>
      <w:r w:rsidRPr="00CD50E4">
        <w:rPr>
          <w:rtl/>
        </w:rPr>
        <w:t xml:space="preserve"> </w:t>
      </w:r>
      <w:r w:rsidR="00AF4EFA">
        <w:rPr>
          <w:rFonts w:hint="cs"/>
          <w:rtl/>
        </w:rPr>
        <w:t>התקנות</w:t>
      </w:r>
      <w:r w:rsidR="00AF4EFA" w:rsidRPr="00956B1C">
        <w:rPr>
          <w:rtl/>
        </w:rPr>
        <w:t xml:space="preserve"> </w:t>
      </w:r>
      <w:r w:rsidRPr="00956B1C">
        <w:rPr>
          <w:rtl/>
        </w:rPr>
        <w:t>לצורכי האזנת סתר או פעולות לאיסוף תוצרי האזנת סתר.</w:t>
      </w:r>
      <w:r w:rsidRPr="00E17A03">
        <w:rPr>
          <w:rtl/>
        </w:rPr>
        <w:t xml:space="preserve"> </w:t>
      </w:r>
    </w:p>
    <w:p w:rsidR="006B362B" w:rsidRDefault="006B362B" w:rsidP="00E4477A">
      <w:pPr>
        <w:spacing w:line="269" w:lineRule="auto"/>
        <w:ind w:left="360"/>
        <w:rPr>
          <w:rtl/>
        </w:rPr>
      </w:pPr>
      <w:bookmarkStart w:id="422" w:name="_Hlk177288282"/>
      <w:bookmarkStart w:id="423" w:name="_Hlk177288327"/>
    </w:p>
    <w:p w:rsidR="009A1216" w:rsidRPr="00E17A03" w:rsidRDefault="009A1216" w:rsidP="00E4477A">
      <w:pPr>
        <w:spacing w:line="269" w:lineRule="auto"/>
        <w:ind w:left="360"/>
        <w:rPr>
          <w:rtl/>
        </w:rPr>
      </w:pPr>
      <w:r w:rsidRPr="00E17A03">
        <w:rPr>
          <w:rFonts w:hint="eastAsia"/>
          <w:rtl/>
        </w:rPr>
        <w:t>יומן</w:t>
      </w:r>
      <w:r w:rsidRPr="00E17A03">
        <w:rPr>
          <w:rtl/>
        </w:rPr>
        <w:t xml:space="preserve"> </w:t>
      </w:r>
      <w:r w:rsidRPr="00E17A03">
        <w:rPr>
          <w:rFonts w:hint="eastAsia"/>
          <w:rtl/>
        </w:rPr>
        <w:t>מבצעים</w:t>
      </w:r>
      <w:r w:rsidRPr="00E17A03">
        <w:rPr>
          <w:rtl/>
        </w:rPr>
        <w:t xml:space="preserve"> </w:t>
      </w:r>
      <w:r w:rsidRPr="00E17A03">
        <w:rPr>
          <w:rFonts w:hint="eastAsia"/>
          <w:rtl/>
        </w:rPr>
        <w:t>מכיל</w:t>
      </w:r>
      <w:r w:rsidRPr="00E17A03">
        <w:rPr>
          <w:rtl/>
        </w:rPr>
        <w:t xml:space="preserve"> </w:t>
      </w:r>
      <w:r w:rsidRPr="00E17A03">
        <w:rPr>
          <w:rFonts w:hint="eastAsia"/>
          <w:rtl/>
        </w:rPr>
        <w:t>את</w:t>
      </w:r>
      <w:r w:rsidRPr="00E17A03">
        <w:rPr>
          <w:rtl/>
        </w:rPr>
        <w:t xml:space="preserve"> </w:t>
      </w:r>
      <w:r w:rsidRPr="00E17A03">
        <w:rPr>
          <w:rFonts w:hint="eastAsia"/>
          <w:rtl/>
        </w:rPr>
        <w:t>כלל</w:t>
      </w:r>
      <w:r w:rsidRPr="00E17A03">
        <w:rPr>
          <w:rtl/>
        </w:rPr>
        <w:t xml:space="preserve"> </w:t>
      </w:r>
      <w:r w:rsidRPr="00E17A03">
        <w:rPr>
          <w:rFonts w:hint="eastAsia"/>
          <w:rtl/>
        </w:rPr>
        <w:t>האירועים</w:t>
      </w:r>
      <w:r w:rsidRPr="00E17A03">
        <w:rPr>
          <w:rtl/>
        </w:rPr>
        <w:t xml:space="preserve"> </w:t>
      </w:r>
      <w:r w:rsidRPr="00E17A03">
        <w:rPr>
          <w:rFonts w:hint="eastAsia"/>
          <w:rtl/>
        </w:rPr>
        <w:t>שמתרחשים</w:t>
      </w:r>
      <w:r w:rsidRPr="00E17A03">
        <w:rPr>
          <w:rtl/>
        </w:rPr>
        <w:t xml:space="preserve"> </w:t>
      </w:r>
      <w:r w:rsidRPr="00E17A03">
        <w:rPr>
          <w:rFonts w:hint="eastAsia"/>
          <w:rtl/>
        </w:rPr>
        <w:t>בתחום</w:t>
      </w:r>
      <w:r w:rsidRPr="00E17A03">
        <w:rPr>
          <w:rtl/>
        </w:rPr>
        <w:t xml:space="preserve"> </w:t>
      </w:r>
      <w:r w:rsidRPr="00E17A03">
        <w:rPr>
          <w:rFonts w:hint="eastAsia"/>
          <w:rtl/>
        </w:rPr>
        <w:t>מסוים</w:t>
      </w:r>
      <w:r w:rsidRPr="00E17A03">
        <w:rPr>
          <w:rtl/>
        </w:rPr>
        <w:t xml:space="preserve"> </w:t>
      </w:r>
      <w:r w:rsidRPr="00E17A03">
        <w:rPr>
          <w:rFonts w:hint="eastAsia"/>
          <w:rtl/>
        </w:rPr>
        <w:t>ומאפשר</w:t>
      </w:r>
      <w:r w:rsidRPr="00E17A03">
        <w:rPr>
          <w:rtl/>
        </w:rPr>
        <w:t xml:space="preserve"> </w:t>
      </w:r>
      <w:r w:rsidRPr="00E17A03">
        <w:rPr>
          <w:rFonts w:hint="eastAsia"/>
          <w:rtl/>
        </w:rPr>
        <w:t>לכל</w:t>
      </w:r>
      <w:r w:rsidRPr="00E17A03">
        <w:rPr>
          <w:rtl/>
        </w:rPr>
        <w:t xml:space="preserve"> </w:t>
      </w:r>
      <w:r w:rsidRPr="00E17A03">
        <w:rPr>
          <w:rFonts w:hint="eastAsia"/>
          <w:rtl/>
        </w:rPr>
        <w:t>דרג</w:t>
      </w:r>
      <w:r w:rsidRPr="00E17A03">
        <w:rPr>
          <w:rtl/>
        </w:rPr>
        <w:t xml:space="preserve"> </w:t>
      </w:r>
      <w:r w:rsidRPr="00E17A03">
        <w:rPr>
          <w:rFonts w:hint="eastAsia"/>
          <w:rtl/>
        </w:rPr>
        <w:t>לקבל</w:t>
      </w:r>
      <w:r w:rsidRPr="00E17A03">
        <w:rPr>
          <w:rtl/>
        </w:rPr>
        <w:t xml:space="preserve"> </w:t>
      </w:r>
      <w:r w:rsidRPr="00E17A03">
        <w:rPr>
          <w:rFonts w:hint="eastAsia"/>
          <w:rtl/>
        </w:rPr>
        <w:t>תמונת</w:t>
      </w:r>
      <w:r w:rsidRPr="00E17A03">
        <w:rPr>
          <w:rtl/>
        </w:rPr>
        <w:t xml:space="preserve"> </w:t>
      </w:r>
      <w:r w:rsidRPr="00E17A03">
        <w:rPr>
          <w:rFonts w:hint="eastAsia"/>
          <w:rtl/>
        </w:rPr>
        <w:t>מצב</w:t>
      </w:r>
      <w:r w:rsidRPr="00E17A03">
        <w:rPr>
          <w:rtl/>
        </w:rPr>
        <w:t xml:space="preserve"> </w:t>
      </w:r>
      <w:r w:rsidRPr="00E17A03">
        <w:rPr>
          <w:rFonts w:hint="eastAsia"/>
          <w:rtl/>
        </w:rPr>
        <w:t>עדכנית</w:t>
      </w:r>
      <w:r w:rsidRPr="00E17A03">
        <w:rPr>
          <w:rtl/>
        </w:rPr>
        <w:t xml:space="preserve"> </w:t>
      </w:r>
      <w:r>
        <w:rPr>
          <w:rFonts w:hint="cs"/>
          <w:rtl/>
        </w:rPr>
        <w:t>ע</w:t>
      </w:r>
      <w:r w:rsidRPr="00E17A03">
        <w:rPr>
          <w:rFonts w:hint="eastAsia"/>
          <w:rtl/>
        </w:rPr>
        <w:t>ל</w:t>
      </w:r>
      <w:r w:rsidRPr="00E17A03">
        <w:rPr>
          <w:rtl/>
        </w:rPr>
        <w:t xml:space="preserve"> </w:t>
      </w:r>
      <w:r w:rsidRPr="00E17A03">
        <w:rPr>
          <w:rFonts w:hint="eastAsia"/>
          <w:rtl/>
        </w:rPr>
        <w:t>כלל</w:t>
      </w:r>
      <w:r w:rsidRPr="00E17A03">
        <w:rPr>
          <w:rtl/>
        </w:rPr>
        <w:t xml:space="preserve"> </w:t>
      </w:r>
      <w:r w:rsidRPr="00E17A03">
        <w:rPr>
          <w:rFonts w:hint="eastAsia"/>
          <w:rtl/>
        </w:rPr>
        <w:t>האירועים</w:t>
      </w:r>
      <w:r w:rsidRPr="00E17A03">
        <w:rPr>
          <w:rtl/>
        </w:rPr>
        <w:t xml:space="preserve"> </w:t>
      </w:r>
      <w:r w:rsidRPr="00E17A03">
        <w:rPr>
          <w:rFonts w:hint="eastAsia"/>
          <w:rtl/>
        </w:rPr>
        <w:t>שהתרחשו</w:t>
      </w:r>
      <w:r w:rsidRPr="00E17A03">
        <w:rPr>
          <w:rtl/>
        </w:rPr>
        <w:t xml:space="preserve"> </w:t>
      </w:r>
      <w:r w:rsidRPr="00E17A03">
        <w:rPr>
          <w:rFonts w:hint="eastAsia"/>
          <w:rtl/>
        </w:rPr>
        <w:t>ועתידים</w:t>
      </w:r>
      <w:r w:rsidRPr="00E17A03">
        <w:rPr>
          <w:rtl/>
        </w:rPr>
        <w:t xml:space="preserve"> </w:t>
      </w:r>
      <w:r w:rsidRPr="00E17A03">
        <w:rPr>
          <w:rFonts w:hint="eastAsia"/>
          <w:rtl/>
        </w:rPr>
        <w:t>להתרחש</w:t>
      </w:r>
      <w:r w:rsidRPr="00E17A03">
        <w:rPr>
          <w:rtl/>
        </w:rPr>
        <w:t xml:space="preserve"> </w:t>
      </w:r>
      <w:r w:rsidRPr="00E17A03">
        <w:rPr>
          <w:rFonts w:hint="eastAsia"/>
          <w:rtl/>
        </w:rPr>
        <w:t>באותו</w:t>
      </w:r>
      <w:r w:rsidRPr="00E17A03">
        <w:rPr>
          <w:rtl/>
        </w:rPr>
        <w:t xml:space="preserve"> </w:t>
      </w:r>
      <w:r w:rsidRPr="00E17A03">
        <w:rPr>
          <w:rFonts w:hint="eastAsia"/>
          <w:rtl/>
        </w:rPr>
        <w:t>התחום</w:t>
      </w:r>
      <w:r w:rsidRPr="00E17A03">
        <w:rPr>
          <w:rtl/>
        </w:rPr>
        <w:t xml:space="preserve">. </w:t>
      </w:r>
      <w:r w:rsidRPr="00E17A03">
        <w:rPr>
          <w:rFonts w:hint="eastAsia"/>
          <w:rtl/>
        </w:rPr>
        <w:t>יומן</w:t>
      </w:r>
      <w:r w:rsidRPr="00E17A03">
        <w:rPr>
          <w:rtl/>
        </w:rPr>
        <w:t xml:space="preserve"> </w:t>
      </w:r>
      <w:r w:rsidRPr="00E17A03">
        <w:rPr>
          <w:rFonts w:hint="eastAsia"/>
          <w:rtl/>
        </w:rPr>
        <w:t>המבצעים</w:t>
      </w:r>
      <w:r w:rsidRPr="00E17A03">
        <w:rPr>
          <w:rtl/>
        </w:rPr>
        <w:t xml:space="preserve"> </w:t>
      </w:r>
      <w:r w:rsidRPr="00E17A03">
        <w:rPr>
          <w:rFonts w:hint="eastAsia"/>
          <w:rtl/>
        </w:rPr>
        <w:t>הוא</w:t>
      </w:r>
      <w:r w:rsidRPr="00E17A03">
        <w:rPr>
          <w:rtl/>
        </w:rPr>
        <w:t xml:space="preserve"> </w:t>
      </w:r>
      <w:r w:rsidRPr="00E17A03">
        <w:rPr>
          <w:rFonts w:hint="eastAsia"/>
          <w:rtl/>
        </w:rPr>
        <w:t>המקור</w:t>
      </w:r>
      <w:r w:rsidRPr="00E17A03">
        <w:rPr>
          <w:rtl/>
        </w:rPr>
        <w:t xml:space="preserve"> </w:t>
      </w:r>
      <w:r w:rsidRPr="00E17A03">
        <w:rPr>
          <w:rFonts w:hint="eastAsia"/>
          <w:rtl/>
        </w:rPr>
        <w:t>המרכזי</w:t>
      </w:r>
      <w:r w:rsidRPr="00E17A03">
        <w:rPr>
          <w:rtl/>
        </w:rPr>
        <w:t xml:space="preserve"> </w:t>
      </w:r>
      <w:r w:rsidRPr="00E17A03">
        <w:rPr>
          <w:rFonts w:hint="eastAsia"/>
          <w:rtl/>
        </w:rPr>
        <w:t>ליצירת</w:t>
      </w:r>
      <w:r w:rsidRPr="00E17A03">
        <w:rPr>
          <w:rtl/>
        </w:rPr>
        <w:t xml:space="preserve"> </w:t>
      </w:r>
      <w:r w:rsidRPr="00E17A03">
        <w:rPr>
          <w:rFonts w:hint="eastAsia"/>
          <w:rtl/>
        </w:rPr>
        <w:t>תמונת</w:t>
      </w:r>
      <w:r w:rsidRPr="00E17A03">
        <w:rPr>
          <w:rtl/>
        </w:rPr>
        <w:t xml:space="preserve"> </w:t>
      </w:r>
      <w:r w:rsidRPr="00E17A03">
        <w:rPr>
          <w:rFonts w:hint="eastAsia"/>
          <w:rtl/>
        </w:rPr>
        <w:t>מצב</w:t>
      </w:r>
      <w:r w:rsidRPr="00E17A03">
        <w:rPr>
          <w:rtl/>
        </w:rPr>
        <w:t xml:space="preserve"> </w:t>
      </w:r>
      <w:r>
        <w:rPr>
          <w:rFonts w:hint="cs"/>
          <w:rtl/>
        </w:rPr>
        <w:t xml:space="preserve">של </w:t>
      </w:r>
      <w:r w:rsidRPr="00E17A03">
        <w:rPr>
          <w:rFonts w:hint="eastAsia"/>
          <w:rtl/>
        </w:rPr>
        <w:t>אירוע</w:t>
      </w:r>
      <w:r w:rsidRPr="00E17A03">
        <w:rPr>
          <w:rtl/>
        </w:rPr>
        <w:t xml:space="preserve"> </w:t>
      </w:r>
      <w:r w:rsidRPr="00E17A03">
        <w:rPr>
          <w:rFonts w:hint="eastAsia"/>
          <w:rtl/>
        </w:rPr>
        <w:t>המנוהל</w:t>
      </w:r>
      <w:r w:rsidRPr="00E17A03">
        <w:rPr>
          <w:rtl/>
        </w:rPr>
        <w:t xml:space="preserve"> </w:t>
      </w:r>
      <w:r w:rsidRPr="00E17A03">
        <w:rPr>
          <w:rFonts w:hint="eastAsia"/>
          <w:rtl/>
        </w:rPr>
        <w:t>באמצעותו</w:t>
      </w:r>
      <w:r w:rsidRPr="00E17A03">
        <w:rPr>
          <w:rtl/>
        </w:rPr>
        <w:t>.</w:t>
      </w:r>
    </w:p>
    <w:bookmarkEnd w:id="422"/>
    <w:p w:rsidR="006B362B" w:rsidRDefault="006B362B" w:rsidP="00E4477A">
      <w:pPr>
        <w:spacing w:line="269" w:lineRule="auto"/>
        <w:ind w:left="360"/>
        <w:rPr>
          <w:rtl/>
        </w:rPr>
      </w:pPr>
    </w:p>
    <w:p w:rsidR="009A1216" w:rsidRPr="00E17A03" w:rsidRDefault="009A1216" w:rsidP="00E4477A">
      <w:pPr>
        <w:spacing w:line="269" w:lineRule="auto"/>
        <w:ind w:left="360"/>
        <w:rPr>
          <w:rtl/>
        </w:rPr>
      </w:pPr>
      <w:r w:rsidRPr="00E17A03">
        <w:rPr>
          <w:rtl/>
        </w:rPr>
        <w:t xml:space="preserve">משנת 2017 חטיבת הסייבר החזיקה </w:t>
      </w:r>
      <w:r>
        <w:rPr>
          <w:rFonts w:hint="cs"/>
          <w:rtl/>
        </w:rPr>
        <w:t>בכמה</w:t>
      </w:r>
      <w:r w:rsidRPr="00E17A03">
        <w:rPr>
          <w:rtl/>
        </w:rPr>
        <w:t xml:space="preserve"> יומני מבצעים לצורך ניהול הפעולות המבוצעות אגב האזנת סתר במערכת ממוחשבת ייעודית</w:t>
      </w:r>
      <w:r>
        <w:rPr>
          <w:rFonts w:hint="cs"/>
          <w:rtl/>
        </w:rPr>
        <w:t>,</w:t>
      </w:r>
      <w:r w:rsidRPr="00E17A03">
        <w:rPr>
          <w:rtl/>
        </w:rPr>
        <w:t xml:space="preserve"> שמטרתה </w:t>
      </w:r>
      <w:r w:rsidRPr="00E17A03">
        <w:rPr>
          <w:rFonts w:hint="eastAsia"/>
          <w:rtl/>
        </w:rPr>
        <w:t>נ</w:t>
      </w:r>
      <w:r w:rsidRPr="00E17A03">
        <w:rPr>
          <w:rtl/>
        </w:rPr>
        <w:t xml:space="preserve">יהול יומן אירועים סיגינטיים בפריסה ארצית. </w:t>
      </w:r>
      <w:r>
        <w:rPr>
          <w:rFonts w:hint="cs"/>
          <w:rtl/>
        </w:rPr>
        <w:t>רוב</w:t>
      </w:r>
      <w:r w:rsidRPr="00E17A03">
        <w:rPr>
          <w:rtl/>
        </w:rPr>
        <w:t xml:space="preserve"> יומני המבצעים הקיימים התייחסו לתהליך ביצוע בדיקות היתכנות</w:t>
      </w:r>
      <w:r>
        <w:rPr>
          <w:rStyle w:val="af"/>
          <w:rtl/>
        </w:rPr>
        <w:footnoteReference w:id="166"/>
      </w:r>
      <w:r w:rsidRPr="00E17A03">
        <w:rPr>
          <w:rtl/>
        </w:rPr>
        <w:t xml:space="preserve"> </w:t>
      </w:r>
      <w:r w:rsidR="006B362B">
        <w:rPr>
          <w:rFonts w:hint="cs"/>
          <w:rtl/>
        </w:rPr>
        <w:t>ו</w:t>
      </w:r>
      <w:r>
        <w:rPr>
          <w:rFonts w:hint="cs"/>
          <w:rtl/>
        </w:rPr>
        <w:t>ל</w:t>
      </w:r>
      <w:r w:rsidRPr="00E17A03">
        <w:rPr>
          <w:rtl/>
        </w:rPr>
        <w:t xml:space="preserve">תיעוד מתווי </w:t>
      </w:r>
      <w:r w:rsidR="00AF4EFA">
        <w:rPr>
          <w:rFonts w:hint="cs"/>
          <w:rtl/>
        </w:rPr>
        <w:t>ההתקנה</w:t>
      </w:r>
      <w:r w:rsidR="00AF4EFA" w:rsidRPr="00E17A03">
        <w:rPr>
          <w:rtl/>
        </w:rPr>
        <w:t xml:space="preserve"> </w:t>
      </w:r>
      <w:r w:rsidRPr="00E17A03">
        <w:rPr>
          <w:rtl/>
        </w:rPr>
        <w:t>בשני כלים טכנולוגיים ספציפיים</w:t>
      </w:r>
      <w:r>
        <w:rPr>
          <w:rFonts w:hint="cs"/>
          <w:rtl/>
        </w:rPr>
        <w:t>,</w:t>
      </w:r>
      <w:r w:rsidRPr="00E17A03">
        <w:rPr>
          <w:rtl/>
        </w:rPr>
        <w:t xml:space="preserve"> </w:t>
      </w:r>
      <w:r>
        <w:rPr>
          <w:rFonts w:hint="cs"/>
          <w:rtl/>
        </w:rPr>
        <w:t>ואילו</w:t>
      </w:r>
      <w:r w:rsidRPr="00E17A03">
        <w:rPr>
          <w:rtl/>
        </w:rPr>
        <w:t xml:space="preserve"> מתווי </w:t>
      </w:r>
      <w:r w:rsidR="00AF4EFA">
        <w:rPr>
          <w:rFonts w:hint="cs"/>
          <w:rtl/>
        </w:rPr>
        <w:t>התקנה</w:t>
      </w:r>
      <w:r w:rsidR="00AF4EFA" w:rsidRPr="00E17A03">
        <w:rPr>
          <w:rtl/>
        </w:rPr>
        <w:t xml:space="preserve"> </w:t>
      </w:r>
      <w:r>
        <w:rPr>
          <w:rFonts w:hint="cs"/>
          <w:rtl/>
        </w:rPr>
        <w:t>אחרים</w:t>
      </w:r>
      <w:r w:rsidRPr="00E17A03">
        <w:rPr>
          <w:rtl/>
        </w:rPr>
        <w:t xml:space="preserve"> לא תועדו</w:t>
      </w:r>
      <w:r>
        <w:rPr>
          <w:rFonts w:hint="cs"/>
          <w:rtl/>
        </w:rPr>
        <w:t xml:space="preserve"> ביומנים אלה</w:t>
      </w:r>
      <w:r w:rsidRPr="00E17A03">
        <w:rPr>
          <w:rtl/>
        </w:rPr>
        <w:t xml:space="preserve">. </w:t>
      </w:r>
    </w:p>
    <w:p w:rsidR="00992C85" w:rsidRDefault="00992C85" w:rsidP="00E4477A">
      <w:pPr>
        <w:spacing w:line="269" w:lineRule="auto"/>
        <w:ind w:left="360"/>
        <w:rPr>
          <w:rtl/>
        </w:rPr>
      </w:pPr>
    </w:p>
    <w:p w:rsidR="009A1216" w:rsidRDefault="009A1216" w:rsidP="00E4477A">
      <w:pPr>
        <w:spacing w:line="269" w:lineRule="auto"/>
        <w:ind w:left="360"/>
        <w:rPr>
          <w:rtl/>
        </w:rPr>
      </w:pPr>
      <w:r w:rsidRPr="00E17A03">
        <w:rPr>
          <w:rFonts w:hint="eastAsia"/>
          <w:rtl/>
        </w:rPr>
        <w:t>בשנת</w:t>
      </w:r>
      <w:r w:rsidRPr="00E17A03">
        <w:rPr>
          <w:rtl/>
        </w:rPr>
        <w:t xml:space="preserve"> 2023</w:t>
      </w:r>
      <w:r>
        <w:rPr>
          <w:rFonts w:hint="cs"/>
          <w:rtl/>
        </w:rPr>
        <w:t xml:space="preserve"> החלה</w:t>
      </w:r>
      <w:r w:rsidRPr="00E17A03">
        <w:rPr>
          <w:rtl/>
        </w:rPr>
        <w:t xml:space="preserve"> </w:t>
      </w:r>
      <w:r w:rsidRPr="00E17A03">
        <w:rPr>
          <w:rFonts w:hint="eastAsia"/>
          <w:rtl/>
        </w:rPr>
        <w:t>המשטרה</w:t>
      </w:r>
      <w:r w:rsidRPr="00E17A03">
        <w:rPr>
          <w:rtl/>
        </w:rPr>
        <w:t xml:space="preserve"> </w:t>
      </w:r>
      <w:r>
        <w:rPr>
          <w:rFonts w:hint="cs"/>
          <w:rtl/>
        </w:rPr>
        <w:t>להשתמש</w:t>
      </w:r>
      <w:r w:rsidRPr="00E17A03">
        <w:rPr>
          <w:rtl/>
        </w:rPr>
        <w:t xml:space="preserve"> </w:t>
      </w:r>
      <w:r w:rsidRPr="00E17A03">
        <w:rPr>
          <w:rFonts w:hint="eastAsia"/>
          <w:rtl/>
        </w:rPr>
        <w:t>ביומן</w:t>
      </w:r>
      <w:r w:rsidRPr="00E17A03">
        <w:rPr>
          <w:rtl/>
        </w:rPr>
        <w:t xml:space="preserve"> </w:t>
      </w:r>
      <w:r w:rsidRPr="00E17A03">
        <w:rPr>
          <w:rFonts w:hint="eastAsia"/>
          <w:rtl/>
        </w:rPr>
        <w:t>מבצעים</w:t>
      </w:r>
      <w:r>
        <w:rPr>
          <w:rFonts w:hint="cs"/>
          <w:rtl/>
        </w:rPr>
        <w:t xml:space="preserve"> זה</w:t>
      </w:r>
      <w:r w:rsidRPr="00E17A03">
        <w:rPr>
          <w:rtl/>
        </w:rPr>
        <w:t xml:space="preserve"> </w:t>
      </w:r>
      <w:r w:rsidRPr="00E17A03">
        <w:rPr>
          <w:rFonts w:hint="eastAsia"/>
          <w:rtl/>
        </w:rPr>
        <w:t>גם</w:t>
      </w:r>
      <w:r w:rsidRPr="00E17A03">
        <w:rPr>
          <w:rtl/>
        </w:rPr>
        <w:t xml:space="preserve"> </w:t>
      </w:r>
      <w:r w:rsidRPr="00E17A03">
        <w:rPr>
          <w:rFonts w:hint="eastAsia"/>
          <w:rtl/>
        </w:rPr>
        <w:t>לצורך</w:t>
      </w:r>
      <w:r w:rsidRPr="00E17A03">
        <w:rPr>
          <w:rtl/>
        </w:rPr>
        <w:t xml:space="preserve"> תיעוד ביצוע מתווי </w:t>
      </w:r>
      <w:r w:rsidR="00AF4EFA">
        <w:rPr>
          <w:rFonts w:hint="cs"/>
          <w:rtl/>
        </w:rPr>
        <w:t>התקנה</w:t>
      </w:r>
      <w:r w:rsidR="00AF4EFA" w:rsidRPr="00E17A03">
        <w:rPr>
          <w:rtl/>
        </w:rPr>
        <w:t xml:space="preserve"> </w:t>
      </w:r>
      <w:r w:rsidRPr="00E17A03">
        <w:rPr>
          <w:rtl/>
        </w:rPr>
        <w:t>נוספים.</w:t>
      </w:r>
      <w:r>
        <w:rPr>
          <w:rFonts w:hint="cs"/>
          <w:rtl/>
        </w:rPr>
        <w:t xml:space="preserve"> </w:t>
      </w:r>
    </w:p>
    <w:p w:rsidR="00992C85" w:rsidRDefault="00992C85" w:rsidP="00E4477A">
      <w:pPr>
        <w:spacing w:line="269" w:lineRule="auto"/>
        <w:ind w:left="360"/>
        <w:rPr>
          <w:b/>
          <w:bCs/>
          <w:rtl/>
        </w:rPr>
      </w:pPr>
      <w:bookmarkStart w:id="424" w:name="_Hlk155704526"/>
    </w:p>
    <w:p w:rsidR="009A1216" w:rsidRDefault="009A1216" w:rsidP="00E4477A">
      <w:pPr>
        <w:spacing w:line="269" w:lineRule="auto"/>
        <w:ind w:left="360"/>
        <w:rPr>
          <w:b/>
          <w:bCs/>
          <w:rtl/>
        </w:rPr>
      </w:pPr>
      <w:r w:rsidRPr="00B2531D">
        <w:rPr>
          <w:rFonts w:hint="cs"/>
          <w:b/>
          <w:bCs/>
          <w:rtl/>
        </w:rPr>
        <w:t xml:space="preserve">נמצא כי חטיבת הסייבר </w:t>
      </w:r>
      <w:r w:rsidR="00992C85">
        <w:rPr>
          <w:rFonts w:hint="cs"/>
          <w:b/>
          <w:bCs/>
          <w:rtl/>
        </w:rPr>
        <w:t xml:space="preserve">לא תיעדה </w:t>
      </w:r>
      <w:r w:rsidRPr="00B2531D">
        <w:rPr>
          <w:rFonts w:hint="cs"/>
          <w:b/>
          <w:bCs/>
          <w:rtl/>
        </w:rPr>
        <w:t xml:space="preserve">ביומני מבצעים </w:t>
      </w:r>
      <w:r>
        <w:rPr>
          <w:rFonts w:hint="cs"/>
          <w:b/>
          <w:bCs/>
          <w:rtl/>
        </w:rPr>
        <w:t>את השימוש</w:t>
      </w:r>
      <w:r w:rsidRPr="00B2531D">
        <w:rPr>
          <w:rFonts w:hint="cs"/>
          <w:b/>
          <w:bCs/>
          <w:rtl/>
        </w:rPr>
        <w:t xml:space="preserve"> </w:t>
      </w:r>
      <w:r>
        <w:rPr>
          <w:rFonts w:hint="cs"/>
          <w:b/>
          <w:bCs/>
          <w:rtl/>
        </w:rPr>
        <w:t>בכל</w:t>
      </w:r>
      <w:r w:rsidRPr="00B2531D">
        <w:rPr>
          <w:rFonts w:hint="cs"/>
          <w:b/>
          <w:bCs/>
          <w:rtl/>
        </w:rPr>
        <w:t xml:space="preserve"> הכלים הטכנולוגיים</w:t>
      </w:r>
      <w:r>
        <w:rPr>
          <w:rFonts w:hint="cs"/>
          <w:b/>
          <w:bCs/>
          <w:rtl/>
        </w:rPr>
        <w:t xml:space="preserve"> להאזנות סתר </w:t>
      </w:r>
      <w:r w:rsidRPr="00B2531D">
        <w:rPr>
          <w:rFonts w:hint="cs"/>
          <w:b/>
          <w:bCs/>
          <w:rtl/>
        </w:rPr>
        <w:t>ו</w:t>
      </w:r>
      <w:r>
        <w:rPr>
          <w:rFonts w:hint="cs"/>
          <w:b/>
          <w:bCs/>
          <w:rtl/>
        </w:rPr>
        <w:t xml:space="preserve">את היישום של </w:t>
      </w:r>
      <w:r w:rsidRPr="00B2531D">
        <w:rPr>
          <w:rFonts w:hint="cs"/>
          <w:b/>
          <w:bCs/>
          <w:rtl/>
        </w:rPr>
        <w:t xml:space="preserve">מתווי </w:t>
      </w:r>
      <w:r w:rsidR="00AF4EFA">
        <w:rPr>
          <w:rFonts w:hint="cs"/>
          <w:b/>
          <w:bCs/>
          <w:rtl/>
        </w:rPr>
        <w:t>ההתקנה</w:t>
      </w:r>
      <w:r w:rsidR="00AF4EFA" w:rsidRPr="00B2531D">
        <w:rPr>
          <w:rFonts w:hint="cs"/>
          <w:b/>
          <w:bCs/>
          <w:rtl/>
        </w:rPr>
        <w:t xml:space="preserve"> </w:t>
      </w:r>
      <w:r w:rsidRPr="00B2531D">
        <w:rPr>
          <w:rFonts w:hint="cs"/>
          <w:b/>
          <w:bCs/>
          <w:rtl/>
        </w:rPr>
        <w:t>המבוצעים על ידה.</w:t>
      </w:r>
      <w:r>
        <w:rPr>
          <w:rFonts w:hint="cs"/>
          <w:b/>
          <w:bCs/>
          <w:rtl/>
        </w:rPr>
        <w:t xml:space="preserve"> היעדר התיעוד של הפעולות </w:t>
      </w:r>
      <w:r w:rsidR="00992C85">
        <w:rPr>
          <w:rFonts w:hint="cs"/>
          <w:b/>
          <w:bCs/>
          <w:rtl/>
        </w:rPr>
        <w:t>ש</w:t>
      </w:r>
      <w:r>
        <w:rPr>
          <w:rFonts w:hint="cs"/>
          <w:b/>
          <w:bCs/>
          <w:rtl/>
        </w:rPr>
        <w:t>המשטרה</w:t>
      </w:r>
      <w:r w:rsidR="00992C85">
        <w:rPr>
          <w:rFonts w:hint="cs"/>
          <w:b/>
          <w:bCs/>
          <w:rtl/>
        </w:rPr>
        <w:t xml:space="preserve"> מבצעת</w:t>
      </w:r>
      <w:r>
        <w:rPr>
          <w:rFonts w:hint="cs"/>
          <w:b/>
          <w:bCs/>
          <w:rtl/>
        </w:rPr>
        <w:t xml:space="preserve"> בעת שימוש בכלים טכנולוגיים וביצוע מתווי </w:t>
      </w:r>
      <w:r w:rsidR="00AF4EFA">
        <w:rPr>
          <w:rFonts w:hint="cs"/>
          <w:b/>
          <w:bCs/>
          <w:rtl/>
        </w:rPr>
        <w:t xml:space="preserve">התקנה </w:t>
      </w:r>
      <w:r>
        <w:rPr>
          <w:rFonts w:hint="cs"/>
          <w:b/>
          <w:bCs/>
          <w:rtl/>
        </w:rPr>
        <w:t xml:space="preserve">פוגעת משמעותית ביכולת המשטרה לבחון בדיעבד את חוקיות פעולותיה. במהלך הביקורת היעדר התיעוד השפיע גם על יכולתה של המשטרה לבסס את טענותיה בנוגע לבדיקת המקרים שבהם היא חרגה מהוראות הדין בביצוע </w:t>
      </w:r>
      <w:r w:rsidR="00AF4EFA">
        <w:rPr>
          <w:rFonts w:hint="cs"/>
          <w:b/>
          <w:bCs/>
          <w:rtl/>
        </w:rPr>
        <w:t>ההתקנות</w:t>
      </w:r>
      <w:r>
        <w:rPr>
          <w:rFonts w:hint="cs"/>
          <w:b/>
          <w:bCs/>
          <w:rtl/>
        </w:rPr>
        <w:t xml:space="preserve">, איסוף תוצרים אסורים, שימוש בתוצרים אסורים והפקתם. </w:t>
      </w:r>
    </w:p>
    <w:bookmarkEnd w:id="424"/>
    <w:p w:rsidR="00992C85" w:rsidRDefault="00992C85" w:rsidP="00E4477A">
      <w:pPr>
        <w:spacing w:line="269" w:lineRule="auto"/>
        <w:ind w:left="360"/>
        <w:rPr>
          <w:b/>
          <w:bCs/>
          <w:rtl/>
        </w:rPr>
      </w:pPr>
    </w:p>
    <w:p w:rsidR="009A1216" w:rsidRPr="00820CE0" w:rsidRDefault="009A1216" w:rsidP="00E4477A">
      <w:pPr>
        <w:spacing w:line="269" w:lineRule="auto"/>
        <w:ind w:left="360"/>
        <w:rPr>
          <w:rtl/>
        </w:rPr>
      </w:pPr>
      <w:r>
        <w:rPr>
          <w:rFonts w:hint="cs"/>
          <w:b/>
          <w:bCs/>
          <w:rtl/>
        </w:rPr>
        <w:t xml:space="preserve">מומלץ כי המשטרה תתעד ביומני מבצעים סדורים את כלל האזנות הסתר, לרבות השימוש בכל הכלים הטכנולוגיים וכלי העזר העומדים לרשותה, את בדיקות ההיתכנות, ואת </w:t>
      </w:r>
      <w:r w:rsidR="00AF4EFA">
        <w:rPr>
          <w:rFonts w:hint="cs"/>
          <w:b/>
          <w:bCs/>
          <w:rtl/>
        </w:rPr>
        <w:t xml:space="preserve">ההתקנות </w:t>
      </w:r>
      <w:r>
        <w:rPr>
          <w:rFonts w:hint="cs"/>
          <w:b/>
          <w:bCs/>
          <w:rtl/>
        </w:rPr>
        <w:t xml:space="preserve">שמבצעים גורמי המשטרה השונים. </w:t>
      </w:r>
      <w:bookmarkEnd w:id="423"/>
    </w:p>
    <w:p w:rsidR="009A1216" w:rsidRDefault="009A1216" w:rsidP="00E4477A">
      <w:pPr>
        <w:pStyle w:val="a5"/>
        <w:spacing w:line="269" w:lineRule="auto"/>
        <w:ind w:left="0"/>
        <w:rPr>
          <w:rtl/>
        </w:rPr>
      </w:pPr>
      <w:r>
        <w:rPr>
          <w:rFonts w:hint="cs"/>
          <w:rtl/>
        </w:rPr>
        <w:t xml:space="preserve"> </w:t>
      </w:r>
    </w:p>
    <w:p w:rsidR="00992C85" w:rsidRDefault="009A1216" w:rsidP="00E4477A">
      <w:pPr>
        <w:spacing w:line="269" w:lineRule="auto"/>
        <w:ind w:left="360"/>
        <w:rPr>
          <w:rFonts w:eastAsiaTheme="majorEastAsia"/>
          <w:bCs/>
          <w:szCs w:val="26"/>
          <w:rtl/>
        </w:rPr>
      </w:pPr>
      <w:r w:rsidRPr="005571ED">
        <w:rPr>
          <w:rFonts w:hint="eastAsia"/>
          <w:rtl/>
        </w:rPr>
        <w:t>המשטרה</w:t>
      </w:r>
      <w:r w:rsidRPr="005571ED">
        <w:rPr>
          <w:rtl/>
        </w:rPr>
        <w:t xml:space="preserve"> </w:t>
      </w:r>
      <w:r w:rsidRPr="005571ED">
        <w:rPr>
          <w:rFonts w:hint="eastAsia"/>
          <w:rtl/>
        </w:rPr>
        <w:t>מסרה</w:t>
      </w:r>
      <w:r w:rsidRPr="005571ED">
        <w:rPr>
          <w:rtl/>
        </w:rPr>
        <w:t xml:space="preserve"> </w:t>
      </w:r>
      <w:r w:rsidRPr="005571ED">
        <w:rPr>
          <w:rFonts w:hint="eastAsia"/>
          <w:rtl/>
        </w:rPr>
        <w:t>בתגובתה</w:t>
      </w:r>
      <w:r w:rsidRPr="005571ED">
        <w:rPr>
          <w:rtl/>
        </w:rPr>
        <w:t xml:space="preserve"> </w:t>
      </w:r>
      <w:r w:rsidRPr="005571ED">
        <w:rPr>
          <w:rFonts w:hint="eastAsia"/>
          <w:rtl/>
        </w:rPr>
        <w:t>כי</w:t>
      </w:r>
      <w:r w:rsidRPr="005571ED">
        <w:rPr>
          <w:rtl/>
        </w:rPr>
        <w:t xml:space="preserve"> </w:t>
      </w:r>
      <w:r w:rsidRPr="005571ED">
        <w:rPr>
          <w:rFonts w:hint="eastAsia"/>
          <w:rtl/>
        </w:rPr>
        <w:t>היא</w:t>
      </w:r>
      <w:r w:rsidRPr="005571ED">
        <w:rPr>
          <w:rtl/>
        </w:rPr>
        <w:t xml:space="preserve"> </w:t>
      </w:r>
      <w:r w:rsidRPr="005571ED">
        <w:rPr>
          <w:rFonts w:hint="eastAsia"/>
          <w:rtl/>
        </w:rPr>
        <w:t>פועלת</w:t>
      </w:r>
      <w:r w:rsidRPr="005571ED">
        <w:rPr>
          <w:rtl/>
        </w:rPr>
        <w:t xml:space="preserve"> </w:t>
      </w:r>
      <w:r w:rsidRPr="005571ED">
        <w:rPr>
          <w:rFonts w:hint="eastAsia"/>
          <w:rtl/>
        </w:rPr>
        <w:t>להקמת</w:t>
      </w:r>
      <w:r w:rsidRPr="005571ED">
        <w:rPr>
          <w:rtl/>
        </w:rPr>
        <w:t xml:space="preserve"> </w:t>
      </w:r>
      <w:r w:rsidRPr="005571ED">
        <w:rPr>
          <w:rFonts w:hint="eastAsia"/>
          <w:rtl/>
        </w:rPr>
        <w:t>מערכת</w:t>
      </w:r>
      <w:r w:rsidRPr="005571ED">
        <w:rPr>
          <w:rtl/>
        </w:rPr>
        <w:t xml:space="preserve"> </w:t>
      </w:r>
      <w:r w:rsidRPr="005571ED">
        <w:rPr>
          <w:rFonts w:hint="eastAsia"/>
          <w:rtl/>
        </w:rPr>
        <w:t>לניהול</w:t>
      </w:r>
      <w:r w:rsidRPr="005571ED">
        <w:rPr>
          <w:rtl/>
        </w:rPr>
        <w:t xml:space="preserve"> </w:t>
      </w:r>
      <w:r w:rsidRPr="005571ED">
        <w:rPr>
          <w:rFonts w:hint="eastAsia"/>
          <w:rtl/>
        </w:rPr>
        <w:t>יומ</w:t>
      </w:r>
      <w:r>
        <w:rPr>
          <w:rFonts w:hint="cs"/>
          <w:rtl/>
        </w:rPr>
        <w:t>ן</w:t>
      </w:r>
      <w:r w:rsidRPr="005571ED">
        <w:rPr>
          <w:rtl/>
        </w:rPr>
        <w:t xml:space="preserve"> </w:t>
      </w:r>
      <w:r w:rsidRPr="005571ED">
        <w:rPr>
          <w:rFonts w:hint="eastAsia"/>
          <w:rtl/>
        </w:rPr>
        <w:t>מבצעים</w:t>
      </w:r>
      <w:r w:rsidR="00382AE8">
        <w:rPr>
          <w:rFonts w:hint="cs"/>
          <w:rtl/>
        </w:rPr>
        <w:t xml:space="preserve"> </w:t>
      </w:r>
      <w:r w:rsidRPr="005571ED">
        <w:rPr>
          <w:rtl/>
        </w:rPr>
        <w:t>לתיעוד השימוש בכלים טכנולוגיים מיוחדים</w:t>
      </w:r>
      <w:r>
        <w:rPr>
          <w:rFonts w:hint="cs"/>
          <w:rtl/>
        </w:rPr>
        <w:t>, וכי יש כלים שהמעקב אחר הפעולות שמבוצעות באמצעותם מנוהל במערכת לניהול צווים</w:t>
      </w:r>
      <w:r w:rsidR="00746A11">
        <w:rPr>
          <w:rFonts w:hint="cs"/>
          <w:rtl/>
        </w:rPr>
        <w:t>.</w:t>
      </w:r>
      <w:bookmarkStart w:id="425" w:name="_Toc151890734"/>
      <w:bookmarkStart w:id="426" w:name="_Toc151882006"/>
      <w:bookmarkStart w:id="427" w:name="_Toc211521936"/>
      <w:bookmarkStart w:id="428" w:name="_Hlk141096349"/>
      <w:bookmarkStart w:id="429" w:name="_Toc132608793"/>
    </w:p>
    <w:p w:rsidR="00E53E3D" w:rsidRPr="009B5D2E" w:rsidRDefault="00E53E3D" w:rsidP="00604C3D">
      <w:pPr>
        <w:spacing w:line="269" w:lineRule="auto"/>
        <w:rPr>
          <w:rFonts w:eastAsiaTheme="majorEastAsia"/>
          <w:bCs/>
          <w:sz w:val="10"/>
          <w:szCs w:val="16"/>
          <w:rtl/>
        </w:rPr>
      </w:pPr>
    </w:p>
    <w:p w:rsidR="009A1216" w:rsidRDefault="009A1216" w:rsidP="008C598D">
      <w:pPr>
        <w:pStyle w:val="4"/>
        <w:numPr>
          <w:ilvl w:val="0"/>
          <w:numId w:val="17"/>
        </w:numPr>
        <w:spacing w:before="0" w:line="269" w:lineRule="auto"/>
        <w:ind w:left="-2" w:hanging="282"/>
        <w:rPr>
          <w:rtl/>
        </w:rPr>
      </w:pPr>
      <w:bookmarkStart w:id="430" w:name="_Toc219110326"/>
      <w:bookmarkStart w:id="431" w:name="_Toc219113767"/>
      <w:bookmarkStart w:id="432" w:name="_Toc219286542"/>
      <w:r>
        <w:rPr>
          <w:rFonts w:hint="cs"/>
          <w:rtl/>
        </w:rPr>
        <w:t xml:space="preserve">ההסדרה המשפטית של פעולת </w:t>
      </w:r>
      <w:bookmarkEnd w:id="425"/>
      <w:bookmarkEnd w:id="426"/>
      <w:r w:rsidR="00AF4EFA">
        <w:rPr>
          <w:rFonts w:hint="cs"/>
          <w:rtl/>
        </w:rPr>
        <w:t>ההתקנה</w:t>
      </w:r>
      <w:bookmarkEnd w:id="427"/>
      <w:bookmarkEnd w:id="430"/>
      <w:bookmarkEnd w:id="431"/>
      <w:bookmarkEnd w:id="432"/>
    </w:p>
    <w:p w:rsidR="009A1216" w:rsidRPr="00095586" w:rsidRDefault="009A1216" w:rsidP="00604C3D">
      <w:pPr>
        <w:spacing w:line="269" w:lineRule="auto"/>
        <w:rPr>
          <w:rtl/>
        </w:rPr>
      </w:pPr>
    </w:p>
    <w:p w:rsidR="009A1216" w:rsidRPr="00B85472" w:rsidRDefault="00EF587E" w:rsidP="008C598D">
      <w:pPr>
        <w:pStyle w:val="5"/>
        <w:numPr>
          <w:ilvl w:val="0"/>
          <w:numId w:val="36"/>
        </w:numPr>
        <w:spacing w:line="269" w:lineRule="auto"/>
        <w:rPr>
          <w:rtl/>
        </w:rPr>
      </w:pPr>
      <w:bookmarkStart w:id="433" w:name="_Toc151890735"/>
      <w:bookmarkStart w:id="434" w:name="_Toc151882007"/>
      <w:r>
        <w:rPr>
          <w:rFonts w:hint="cs"/>
          <w:rtl/>
        </w:rPr>
        <w:t>הסדרת</w:t>
      </w:r>
      <w:r w:rsidRPr="00B85472">
        <w:rPr>
          <w:rtl/>
        </w:rPr>
        <w:t xml:space="preserve"> </w:t>
      </w:r>
      <w:r w:rsidR="009A1216" w:rsidRPr="00B85472">
        <w:rPr>
          <w:rFonts w:hint="eastAsia"/>
          <w:rtl/>
        </w:rPr>
        <w:t>מתווי</w:t>
      </w:r>
      <w:r w:rsidR="009A1216" w:rsidRPr="00B85472">
        <w:rPr>
          <w:rtl/>
        </w:rPr>
        <w:t xml:space="preserve"> </w:t>
      </w:r>
      <w:bookmarkEnd w:id="433"/>
      <w:bookmarkEnd w:id="434"/>
      <w:r w:rsidR="00AF4EFA" w:rsidRPr="0097754A">
        <w:rPr>
          <w:rFonts w:hint="cs"/>
          <w:rtl/>
        </w:rPr>
        <w:t>ההתקנה</w:t>
      </w:r>
      <w:r w:rsidR="00AF4EFA" w:rsidRPr="00B85472">
        <w:rPr>
          <w:rtl/>
        </w:rPr>
        <w:t xml:space="preserve"> </w:t>
      </w:r>
      <w:r w:rsidR="009A1216" w:rsidRPr="00B85472">
        <w:rPr>
          <w:rtl/>
        </w:rPr>
        <w:t>שביצעה המשטרה</w:t>
      </w:r>
    </w:p>
    <w:p w:rsidR="00992C85" w:rsidRDefault="00992C85" w:rsidP="00604C3D">
      <w:pPr>
        <w:spacing w:line="269" w:lineRule="auto"/>
        <w:rPr>
          <w:rtl/>
        </w:rPr>
      </w:pPr>
      <w:bookmarkStart w:id="435" w:name="_Hlk141096390"/>
      <w:bookmarkEnd w:id="428"/>
    </w:p>
    <w:p w:rsidR="009A1216" w:rsidRPr="00E9432B" w:rsidRDefault="009A1216" w:rsidP="00E4477A">
      <w:pPr>
        <w:spacing w:line="269" w:lineRule="auto"/>
        <w:ind w:left="360"/>
        <w:rPr>
          <w:rtl/>
        </w:rPr>
      </w:pPr>
      <w:r w:rsidRPr="00B85472">
        <w:rPr>
          <w:rFonts w:hint="cs"/>
          <w:rtl/>
        </w:rPr>
        <w:t xml:space="preserve">מתווה </w:t>
      </w:r>
      <w:r w:rsidR="00AF4EFA" w:rsidRPr="00B85472">
        <w:rPr>
          <w:rFonts w:hint="cs"/>
          <w:rtl/>
        </w:rPr>
        <w:t xml:space="preserve">התקנה </w:t>
      </w:r>
      <w:r w:rsidRPr="00B85472">
        <w:rPr>
          <w:rFonts w:hint="cs"/>
          <w:rtl/>
        </w:rPr>
        <w:t xml:space="preserve">הוא דרך הנדסית-טכנולוגית, </w:t>
      </w:r>
      <w:bookmarkStart w:id="436" w:name="_Hlk187221556"/>
      <w:r w:rsidRPr="00B85472">
        <w:rPr>
          <w:rFonts w:hint="cs"/>
          <w:rtl/>
        </w:rPr>
        <w:t xml:space="preserve">המבוססת על </w:t>
      </w:r>
      <w:r w:rsidRPr="00B85472">
        <w:rPr>
          <w:rFonts w:hint="eastAsia"/>
          <w:rtl/>
        </w:rPr>
        <w:t>שימוש</w:t>
      </w:r>
      <w:r w:rsidRPr="00B85472">
        <w:rPr>
          <w:rtl/>
        </w:rPr>
        <w:t xml:space="preserve"> בקוד מחשב המאפשר </w:t>
      </w:r>
      <w:bookmarkEnd w:id="436"/>
      <w:r w:rsidRPr="00B85472">
        <w:rPr>
          <w:rFonts w:hint="eastAsia"/>
          <w:rtl/>
        </w:rPr>
        <w:t>השתלטות</w:t>
      </w:r>
      <w:r w:rsidRPr="00096233">
        <w:rPr>
          <w:rtl/>
        </w:rPr>
        <w:t xml:space="preserve"> מרחוק על מכשיר קצה או ביצוע </w:t>
      </w:r>
      <w:r w:rsidR="008E0010">
        <w:rPr>
          <w:rFonts w:hint="cs"/>
          <w:rtl/>
        </w:rPr>
        <w:t>פעולה אחרת</w:t>
      </w:r>
      <w:r w:rsidR="008E0010" w:rsidRPr="00096233">
        <w:rPr>
          <w:rtl/>
        </w:rPr>
        <w:t xml:space="preserve"> </w:t>
      </w:r>
      <w:r w:rsidRPr="00096233">
        <w:rPr>
          <w:rtl/>
        </w:rPr>
        <w:t xml:space="preserve">על מכשיר כלשהו </w:t>
      </w:r>
      <w:bookmarkStart w:id="437" w:name="_Hlk187221626"/>
      <w:r w:rsidRPr="00096233">
        <w:rPr>
          <w:rFonts w:hint="eastAsia"/>
          <w:rtl/>
        </w:rPr>
        <w:t>לצורך</w:t>
      </w:r>
      <w:r w:rsidRPr="00096233">
        <w:rPr>
          <w:rtl/>
        </w:rPr>
        <w:t xml:space="preserve"> קבלת תוצרי </w:t>
      </w:r>
      <w:r w:rsidRPr="00096233">
        <w:rPr>
          <w:rFonts w:hint="eastAsia"/>
          <w:rtl/>
        </w:rPr>
        <w:t>האזנה</w:t>
      </w:r>
      <w:r w:rsidRPr="00E9432B">
        <w:rPr>
          <w:rtl/>
        </w:rPr>
        <w:t xml:space="preserve"> </w:t>
      </w:r>
      <w:r w:rsidRPr="00E9432B">
        <w:rPr>
          <w:rFonts w:hint="eastAsia"/>
          <w:rtl/>
        </w:rPr>
        <w:t>שמקורם</w:t>
      </w:r>
      <w:r w:rsidRPr="00E9432B">
        <w:rPr>
          <w:rtl/>
        </w:rPr>
        <w:t xml:space="preserve"> </w:t>
      </w:r>
      <w:r w:rsidRPr="00E9432B">
        <w:rPr>
          <w:rFonts w:hint="eastAsia"/>
          <w:rtl/>
        </w:rPr>
        <w:t>במכשיר</w:t>
      </w:r>
      <w:r w:rsidRPr="00E9432B">
        <w:rPr>
          <w:rtl/>
        </w:rPr>
        <w:t xml:space="preserve"> </w:t>
      </w:r>
      <w:r w:rsidRPr="00E9432B">
        <w:rPr>
          <w:rFonts w:hint="eastAsia"/>
          <w:rtl/>
        </w:rPr>
        <w:t>הקצה</w:t>
      </w:r>
      <w:r w:rsidRPr="00E9432B">
        <w:rPr>
          <w:rtl/>
        </w:rPr>
        <w:t xml:space="preserve"> </w:t>
      </w:r>
      <w:r w:rsidRPr="00E9432B">
        <w:rPr>
          <w:rFonts w:hint="eastAsia"/>
          <w:rtl/>
        </w:rPr>
        <w:t>שהוא</w:t>
      </w:r>
      <w:r w:rsidRPr="00E9432B">
        <w:rPr>
          <w:rtl/>
        </w:rPr>
        <w:t xml:space="preserve"> </w:t>
      </w:r>
      <w:r w:rsidRPr="00E9432B">
        <w:rPr>
          <w:rFonts w:hint="eastAsia"/>
          <w:rtl/>
        </w:rPr>
        <w:t>יעד</w:t>
      </w:r>
      <w:r w:rsidRPr="00E9432B">
        <w:rPr>
          <w:rtl/>
        </w:rPr>
        <w:t xml:space="preserve"> </w:t>
      </w:r>
      <w:r w:rsidRPr="00E9432B">
        <w:rPr>
          <w:rFonts w:hint="eastAsia"/>
          <w:rtl/>
        </w:rPr>
        <w:t>ההאזנה</w:t>
      </w:r>
      <w:r w:rsidRPr="00E9432B">
        <w:rPr>
          <w:rFonts w:hint="cs"/>
          <w:rtl/>
        </w:rPr>
        <w:t xml:space="preserve">. </w:t>
      </w:r>
      <w:bookmarkEnd w:id="437"/>
      <w:r w:rsidRPr="00E9432B">
        <w:rPr>
          <w:rFonts w:hint="cs"/>
          <w:rtl/>
        </w:rPr>
        <w:t xml:space="preserve">לאור מסקנת צוות מררי נדרש לקדם חקיקה עדכנית כדי להסדיר באופן מפורש וברור את היקף סמכויות העזר הנלוות לביצוע פעולות האזנת סתר. </w:t>
      </w:r>
    </w:p>
    <w:p w:rsidR="00992C85" w:rsidRDefault="00992C85" w:rsidP="00E4477A">
      <w:pPr>
        <w:spacing w:line="269" w:lineRule="auto"/>
        <w:ind w:left="360"/>
        <w:rPr>
          <w:rtl/>
        </w:rPr>
      </w:pPr>
      <w:bookmarkStart w:id="438" w:name="_Hlk141096377"/>
      <w:bookmarkEnd w:id="435"/>
    </w:p>
    <w:p w:rsidR="009A1216" w:rsidRPr="00F8134E" w:rsidRDefault="009A1216" w:rsidP="00E4477A">
      <w:pPr>
        <w:spacing w:line="269" w:lineRule="auto"/>
        <w:ind w:left="360"/>
      </w:pPr>
      <w:r w:rsidRPr="00B85472">
        <w:rPr>
          <w:rFonts w:hint="cs"/>
          <w:rtl/>
        </w:rPr>
        <w:t xml:space="preserve">לרשות המשטרה עמדו במהלך שנות פעילות חטיבת הסייבר, כמה דרכים </w:t>
      </w:r>
      <w:r w:rsidR="00B86F70" w:rsidRPr="00B85472">
        <w:rPr>
          <w:rFonts w:hint="cs"/>
          <w:rtl/>
        </w:rPr>
        <w:t xml:space="preserve">להתקנת כלי טכנולוגי על </w:t>
      </w:r>
      <w:r w:rsidRPr="00B85472">
        <w:rPr>
          <w:rFonts w:hint="cs"/>
          <w:rtl/>
        </w:rPr>
        <w:t>מכשיר קצה לשם האזנת סתר</w:t>
      </w:r>
      <w:r w:rsidR="00F10A3E">
        <w:rPr>
          <w:rFonts w:hint="cs"/>
          <w:rtl/>
        </w:rPr>
        <w:t xml:space="preserve">. משרד מבקר המדינה איגד אותן </w:t>
      </w:r>
      <w:r w:rsidRPr="00B85472">
        <w:rPr>
          <w:rFonts w:hint="cs"/>
          <w:rtl/>
        </w:rPr>
        <w:t xml:space="preserve">בתשעה מתווי </w:t>
      </w:r>
      <w:r w:rsidR="00B86F70" w:rsidRPr="00096233">
        <w:rPr>
          <w:rFonts w:hint="cs"/>
          <w:rtl/>
        </w:rPr>
        <w:t>התקנה</w:t>
      </w:r>
      <w:r w:rsidRPr="00096233">
        <w:rPr>
          <w:rFonts w:hint="cs"/>
          <w:rtl/>
        </w:rPr>
        <w:t xml:space="preserve">. המשטרה עשויה להשתמש ביותר ממתווה אחד במהלך ביצוע פעולה </w:t>
      </w:r>
      <w:r w:rsidR="00B86F70" w:rsidRPr="00096233">
        <w:rPr>
          <w:rFonts w:hint="cs"/>
          <w:rtl/>
        </w:rPr>
        <w:t xml:space="preserve">להתקנת כלי טכנולוגי נגד </w:t>
      </w:r>
      <w:r w:rsidRPr="00E9432B">
        <w:rPr>
          <w:rFonts w:hint="cs"/>
          <w:rtl/>
        </w:rPr>
        <w:t xml:space="preserve">יעד האזנה. </w:t>
      </w:r>
      <w:r w:rsidRPr="00E9432B">
        <w:rPr>
          <w:rFonts w:hint="eastAsia"/>
          <w:rtl/>
        </w:rPr>
        <w:t>מתווי</w:t>
      </w:r>
      <w:r w:rsidRPr="00E9432B">
        <w:rPr>
          <w:rtl/>
        </w:rPr>
        <w:t xml:space="preserve"> </w:t>
      </w:r>
      <w:r w:rsidR="00B86F70" w:rsidRPr="0097754A">
        <w:rPr>
          <w:rFonts w:hint="cs"/>
          <w:rtl/>
        </w:rPr>
        <w:t>ההתקנה</w:t>
      </w:r>
      <w:r w:rsidR="00B86F70" w:rsidRPr="00B85472">
        <w:rPr>
          <w:rtl/>
        </w:rPr>
        <w:t xml:space="preserve"> </w:t>
      </w:r>
      <w:r w:rsidRPr="00B85472">
        <w:rPr>
          <w:rFonts w:hint="eastAsia"/>
          <w:rtl/>
        </w:rPr>
        <w:t>נחלקים</w:t>
      </w:r>
      <w:r w:rsidRPr="00B85472">
        <w:rPr>
          <w:rtl/>
        </w:rPr>
        <w:t xml:space="preserve"> </w:t>
      </w:r>
      <w:r w:rsidRPr="00B85472">
        <w:rPr>
          <w:rFonts w:hint="eastAsia"/>
          <w:rtl/>
        </w:rPr>
        <w:t>לפעולות</w:t>
      </w:r>
      <w:r w:rsidRPr="00B85472">
        <w:rPr>
          <w:rtl/>
        </w:rPr>
        <w:t xml:space="preserve"> </w:t>
      </w:r>
      <w:r w:rsidRPr="00B85472">
        <w:rPr>
          <w:rFonts w:hint="eastAsia"/>
          <w:rtl/>
        </w:rPr>
        <w:t>ידניות</w:t>
      </w:r>
      <w:r w:rsidRPr="00B85472">
        <w:rPr>
          <w:rtl/>
        </w:rPr>
        <w:t xml:space="preserve"> </w:t>
      </w:r>
      <w:r w:rsidRPr="00096233">
        <w:rPr>
          <w:rFonts w:hint="eastAsia"/>
          <w:rtl/>
        </w:rPr>
        <w:t>שהשוטר</w:t>
      </w:r>
      <w:r w:rsidRPr="00096233">
        <w:rPr>
          <w:rtl/>
        </w:rPr>
        <w:t xml:space="preserve"> </w:t>
      </w:r>
      <w:r w:rsidRPr="00096233">
        <w:rPr>
          <w:rFonts w:hint="eastAsia"/>
          <w:rtl/>
        </w:rPr>
        <w:t>צריך</w:t>
      </w:r>
      <w:r w:rsidRPr="00096233">
        <w:rPr>
          <w:rtl/>
        </w:rPr>
        <w:t xml:space="preserve"> </w:t>
      </w:r>
      <w:r w:rsidRPr="00096233">
        <w:rPr>
          <w:rFonts w:hint="eastAsia"/>
          <w:rtl/>
        </w:rPr>
        <w:t>לבצע</w:t>
      </w:r>
      <w:r w:rsidRPr="00E9432B">
        <w:rPr>
          <w:rtl/>
        </w:rPr>
        <w:t xml:space="preserve">, </w:t>
      </w:r>
      <w:r w:rsidRPr="00E9432B">
        <w:rPr>
          <w:rFonts w:hint="eastAsia"/>
          <w:rtl/>
        </w:rPr>
        <w:t>לפעולות</w:t>
      </w:r>
      <w:r w:rsidRPr="00E9432B">
        <w:rPr>
          <w:rtl/>
        </w:rPr>
        <w:t xml:space="preserve"> </w:t>
      </w:r>
      <w:r w:rsidRPr="00E9432B">
        <w:rPr>
          <w:rFonts w:hint="eastAsia"/>
          <w:rtl/>
        </w:rPr>
        <w:t>אוטומטיות</w:t>
      </w:r>
      <w:r w:rsidRPr="00E9432B">
        <w:rPr>
          <w:rtl/>
        </w:rPr>
        <w:t xml:space="preserve"> </w:t>
      </w:r>
      <w:r w:rsidRPr="00E9432B">
        <w:rPr>
          <w:rFonts w:hint="eastAsia"/>
          <w:rtl/>
        </w:rPr>
        <w:t>הנעשות</w:t>
      </w:r>
      <w:r w:rsidRPr="00E9432B">
        <w:rPr>
          <w:rtl/>
        </w:rPr>
        <w:t xml:space="preserve"> </w:t>
      </w:r>
      <w:r w:rsidRPr="00E9432B">
        <w:rPr>
          <w:rFonts w:hint="eastAsia"/>
          <w:rtl/>
        </w:rPr>
        <w:t>בכלים</w:t>
      </w:r>
      <w:r w:rsidRPr="00E9432B">
        <w:rPr>
          <w:rtl/>
        </w:rPr>
        <w:t xml:space="preserve"> </w:t>
      </w:r>
      <w:r w:rsidRPr="00E9432B">
        <w:rPr>
          <w:rFonts w:hint="eastAsia"/>
          <w:rtl/>
        </w:rPr>
        <w:t>הטכנולוגיים</w:t>
      </w:r>
      <w:r w:rsidRPr="00E9432B">
        <w:rPr>
          <w:rtl/>
        </w:rPr>
        <w:t xml:space="preserve"> </w:t>
      </w:r>
      <w:r w:rsidRPr="00E9432B">
        <w:rPr>
          <w:rFonts w:hint="eastAsia"/>
          <w:rtl/>
        </w:rPr>
        <w:t>או</w:t>
      </w:r>
      <w:r w:rsidRPr="00E9432B">
        <w:rPr>
          <w:rtl/>
        </w:rPr>
        <w:t xml:space="preserve"> </w:t>
      </w:r>
      <w:r w:rsidRPr="00E9432B">
        <w:rPr>
          <w:rFonts w:hint="eastAsia"/>
          <w:rtl/>
        </w:rPr>
        <w:t>בכלי</w:t>
      </w:r>
      <w:r w:rsidRPr="00E9432B">
        <w:rPr>
          <w:rtl/>
        </w:rPr>
        <w:t xml:space="preserve"> </w:t>
      </w:r>
      <w:r w:rsidRPr="00F8134E">
        <w:rPr>
          <w:rFonts w:hint="eastAsia"/>
          <w:rtl/>
        </w:rPr>
        <w:t>עזר</w:t>
      </w:r>
      <w:r w:rsidRPr="00F8134E">
        <w:rPr>
          <w:rtl/>
        </w:rPr>
        <w:t xml:space="preserve"> </w:t>
      </w:r>
      <w:r w:rsidRPr="00F8134E">
        <w:rPr>
          <w:rFonts w:hint="eastAsia"/>
          <w:rtl/>
        </w:rPr>
        <w:t>נוספים</w:t>
      </w:r>
      <w:r w:rsidR="00AE155A">
        <w:rPr>
          <w:rFonts w:hint="cs"/>
          <w:rtl/>
        </w:rPr>
        <w:t xml:space="preserve"> ועוד</w:t>
      </w:r>
      <w:r w:rsidRPr="00F8134E">
        <w:rPr>
          <w:rtl/>
        </w:rPr>
        <w:t>.</w:t>
      </w:r>
      <w:r w:rsidRPr="00F8134E">
        <w:rPr>
          <w:rFonts w:hint="cs"/>
          <w:rtl/>
        </w:rPr>
        <w:t xml:space="preserve"> </w:t>
      </w:r>
    </w:p>
    <w:p w:rsidR="00992C85" w:rsidRDefault="00992C85" w:rsidP="00E4477A">
      <w:pPr>
        <w:spacing w:line="269" w:lineRule="auto"/>
        <w:ind w:left="360"/>
        <w:rPr>
          <w:rtl/>
        </w:rPr>
      </w:pPr>
      <w:bookmarkStart w:id="439" w:name="_Hlk188182497"/>
    </w:p>
    <w:p w:rsidR="009A1216" w:rsidRDefault="008A67C6" w:rsidP="00E4477A">
      <w:pPr>
        <w:spacing w:line="269" w:lineRule="auto"/>
        <w:ind w:left="360"/>
        <w:rPr>
          <w:rtl/>
        </w:rPr>
      </w:pPr>
      <w:r w:rsidRPr="00B85472">
        <w:rPr>
          <w:rFonts w:hint="eastAsia"/>
          <w:rtl/>
        </w:rPr>
        <w:t>בלוח</w:t>
      </w:r>
      <w:r w:rsidRPr="00B85472">
        <w:rPr>
          <w:rtl/>
        </w:rPr>
        <w:t xml:space="preserve"> </w:t>
      </w:r>
      <w:r w:rsidR="009A1216" w:rsidRPr="00B85472">
        <w:rPr>
          <w:rFonts w:hint="eastAsia"/>
          <w:rtl/>
        </w:rPr>
        <w:t>שלהלן</w:t>
      </w:r>
      <w:r w:rsidR="009A1216" w:rsidRPr="00B85472">
        <w:rPr>
          <w:rtl/>
        </w:rPr>
        <w:t xml:space="preserve"> יפורטו </w:t>
      </w:r>
      <w:r w:rsidR="009A1216" w:rsidRPr="00B85472">
        <w:rPr>
          <w:rFonts w:hint="eastAsia"/>
          <w:rtl/>
        </w:rPr>
        <w:t>מתווי</w:t>
      </w:r>
      <w:r w:rsidR="009A1216" w:rsidRPr="00B85472">
        <w:rPr>
          <w:rtl/>
        </w:rPr>
        <w:t xml:space="preserve"> </w:t>
      </w:r>
      <w:r w:rsidR="00B86F70" w:rsidRPr="0097754A">
        <w:rPr>
          <w:rFonts w:hint="cs"/>
          <w:rtl/>
        </w:rPr>
        <w:t>ההתקנה</w:t>
      </w:r>
      <w:r w:rsidR="00B86F70" w:rsidRPr="00B85472">
        <w:rPr>
          <w:rtl/>
        </w:rPr>
        <w:t xml:space="preserve"> </w:t>
      </w:r>
      <w:r w:rsidR="009A1216" w:rsidRPr="00B85472">
        <w:rPr>
          <w:rFonts w:hint="eastAsia"/>
          <w:rtl/>
        </w:rPr>
        <w:t>העומדים</w:t>
      </w:r>
      <w:r w:rsidR="009A1216" w:rsidRPr="00B85472">
        <w:rPr>
          <w:rtl/>
        </w:rPr>
        <w:t xml:space="preserve"> לרשות </w:t>
      </w:r>
      <w:r w:rsidR="009A1216" w:rsidRPr="00B85472">
        <w:rPr>
          <w:rFonts w:hint="eastAsia"/>
          <w:rtl/>
        </w:rPr>
        <w:t>המשטרה</w:t>
      </w:r>
      <w:r w:rsidR="009A1216" w:rsidRPr="00B85472">
        <w:rPr>
          <w:rtl/>
        </w:rPr>
        <w:t xml:space="preserve"> </w:t>
      </w:r>
      <w:r w:rsidR="009A1216" w:rsidRPr="00B85472">
        <w:rPr>
          <w:rFonts w:hint="eastAsia"/>
          <w:rtl/>
        </w:rPr>
        <w:t>לפי</w:t>
      </w:r>
      <w:r w:rsidR="009A1216" w:rsidRPr="00B85472">
        <w:rPr>
          <w:rtl/>
        </w:rPr>
        <w:t xml:space="preserve"> </w:t>
      </w:r>
      <w:r w:rsidR="009A1216" w:rsidRPr="00B85472">
        <w:rPr>
          <w:rFonts w:hint="eastAsia"/>
          <w:rtl/>
        </w:rPr>
        <w:t>המידע</w:t>
      </w:r>
      <w:r w:rsidR="009A1216" w:rsidRPr="00096233">
        <w:rPr>
          <w:rtl/>
        </w:rPr>
        <w:t xml:space="preserve"> </w:t>
      </w:r>
      <w:r w:rsidR="009A1216" w:rsidRPr="00096233">
        <w:rPr>
          <w:rFonts w:hint="eastAsia"/>
          <w:rtl/>
        </w:rPr>
        <w:t>שאסף</w:t>
      </w:r>
      <w:r w:rsidR="009A1216" w:rsidRPr="00096233">
        <w:rPr>
          <w:rtl/>
        </w:rPr>
        <w:t xml:space="preserve"> </w:t>
      </w:r>
      <w:r w:rsidR="009A1216" w:rsidRPr="00096233">
        <w:rPr>
          <w:rFonts w:hint="eastAsia"/>
          <w:rtl/>
        </w:rPr>
        <w:t>משרד</w:t>
      </w:r>
      <w:r w:rsidR="009A1216" w:rsidRPr="00096233">
        <w:rPr>
          <w:rtl/>
        </w:rPr>
        <w:t xml:space="preserve"> </w:t>
      </w:r>
      <w:r w:rsidR="009A1216" w:rsidRPr="00E9432B">
        <w:rPr>
          <w:rFonts w:hint="eastAsia"/>
          <w:rtl/>
        </w:rPr>
        <w:t>מבקר</w:t>
      </w:r>
      <w:r w:rsidR="009A1216" w:rsidRPr="00E9432B">
        <w:rPr>
          <w:rtl/>
        </w:rPr>
        <w:t xml:space="preserve"> </w:t>
      </w:r>
      <w:r w:rsidR="009A1216" w:rsidRPr="00E9432B">
        <w:rPr>
          <w:rFonts w:hint="eastAsia"/>
          <w:rtl/>
        </w:rPr>
        <w:t>המדינה</w:t>
      </w:r>
      <w:r w:rsidR="009A1216" w:rsidRPr="00E9432B">
        <w:rPr>
          <w:rtl/>
        </w:rPr>
        <w:t xml:space="preserve"> ודרכי ביצוע</w:t>
      </w:r>
      <w:r w:rsidR="009A1216" w:rsidRPr="00E9432B">
        <w:rPr>
          <w:rFonts w:hint="eastAsia"/>
          <w:rtl/>
        </w:rPr>
        <w:t>ם</w:t>
      </w:r>
      <w:r w:rsidR="009A1216" w:rsidRPr="00E9432B">
        <w:rPr>
          <w:rtl/>
        </w:rPr>
        <w:t xml:space="preserve"> (אם יש כמה דרכי ביצוע לאותו מתווה); בחינת </w:t>
      </w:r>
      <w:r w:rsidR="00EF587E">
        <w:rPr>
          <w:rFonts w:hint="cs"/>
          <w:rtl/>
        </w:rPr>
        <w:t>ה</w:t>
      </w:r>
      <w:r w:rsidR="009A1216" w:rsidRPr="00E9432B">
        <w:rPr>
          <w:rtl/>
        </w:rPr>
        <w:t xml:space="preserve">מצב המשפטי כיום, </w:t>
      </w:r>
      <w:r w:rsidR="009A1216" w:rsidRPr="00E9432B">
        <w:rPr>
          <w:rFonts w:hint="eastAsia"/>
          <w:rtl/>
        </w:rPr>
        <w:t>בהתאם</w:t>
      </w:r>
      <w:r w:rsidR="009A1216" w:rsidRPr="00E9432B">
        <w:rPr>
          <w:rtl/>
        </w:rPr>
        <w:t xml:space="preserve"> </w:t>
      </w:r>
      <w:r w:rsidR="009A1216" w:rsidRPr="00E9432B">
        <w:rPr>
          <w:rFonts w:hint="eastAsia"/>
          <w:rtl/>
        </w:rPr>
        <w:t>לעמדת</w:t>
      </w:r>
      <w:r w:rsidR="009A1216" w:rsidRPr="00E9432B">
        <w:rPr>
          <w:rtl/>
        </w:rPr>
        <w:t xml:space="preserve"> </w:t>
      </w:r>
      <w:r w:rsidR="009A1216" w:rsidRPr="00E9432B">
        <w:rPr>
          <w:rFonts w:hint="eastAsia"/>
          <w:rtl/>
        </w:rPr>
        <w:t>היועמ</w:t>
      </w:r>
      <w:r w:rsidR="009A1216" w:rsidRPr="00F8134E">
        <w:rPr>
          <w:rtl/>
        </w:rPr>
        <w:t>"</w:t>
      </w:r>
      <w:r w:rsidR="009A1216" w:rsidRPr="00F8134E">
        <w:rPr>
          <w:rFonts w:hint="eastAsia"/>
          <w:rtl/>
        </w:rPr>
        <w:t>שית לממשלה</w:t>
      </w:r>
      <w:r w:rsidR="009A1216" w:rsidRPr="00F8134E">
        <w:rPr>
          <w:rFonts w:hint="cs"/>
          <w:rtl/>
        </w:rPr>
        <w:t>;</w:t>
      </w:r>
      <w:r w:rsidR="009A1216" w:rsidRPr="00F8134E">
        <w:rPr>
          <w:rtl/>
        </w:rPr>
        <w:t xml:space="preserve"> </w:t>
      </w:r>
      <w:r w:rsidR="009A1216" w:rsidRPr="00F8134E">
        <w:rPr>
          <w:rFonts w:hint="eastAsia"/>
          <w:rtl/>
        </w:rPr>
        <w:t>ותדירות</w:t>
      </w:r>
      <w:r w:rsidR="009A1216" w:rsidRPr="00F8134E">
        <w:rPr>
          <w:rtl/>
        </w:rPr>
        <w:t xml:space="preserve"> </w:t>
      </w:r>
      <w:r w:rsidR="009A1216" w:rsidRPr="00F8134E">
        <w:rPr>
          <w:rFonts w:hint="eastAsia"/>
          <w:rtl/>
        </w:rPr>
        <w:t>השימוש</w:t>
      </w:r>
      <w:r w:rsidR="009A1216" w:rsidRPr="00F8134E">
        <w:rPr>
          <w:rtl/>
        </w:rPr>
        <w:t xml:space="preserve"> של המשטרה </w:t>
      </w:r>
      <w:r w:rsidR="009A1216" w:rsidRPr="00F8134E">
        <w:rPr>
          <w:rFonts w:hint="eastAsia"/>
          <w:rtl/>
        </w:rPr>
        <w:t>בה</w:t>
      </w:r>
      <w:r w:rsidR="009A1216" w:rsidRPr="00F8134E">
        <w:rPr>
          <w:rFonts w:hint="cs"/>
          <w:rtl/>
        </w:rPr>
        <w:t>ם</w:t>
      </w:r>
      <w:r w:rsidR="009A1216" w:rsidRPr="00F8134E">
        <w:rPr>
          <w:rtl/>
        </w:rPr>
        <w:t xml:space="preserve"> </w:t>
      </w:r>
      <w:r w:rsidR="009A1216" w:rsidRPr="00F8134E">
        <w:rPr>
          <w:rFonts w:hint="eastAsia"/>
          <w:rtl/>
        </w:rPr>
        <w:t>אם</w:t>
      </w:r>
      <w:r w:rsidR="009A1216" w:rsidRPr="00F8134E">
        <w:rPr>
          <w:rtl/>
        </w:rPr>
        <w:t xml:space="preserve"> </w:t>
      </w:r>
      <w:r w:rsidR="009A1216" w:rsidRPr="00F8134E">
        <w:rPr>
          <w:rFonts w:hint="eastAsia"/>
          <w:rtl/>
        </w:rPr>
        <w:t>זו</w:t>
      </w:r>
      <w:r w:rsidR="009A1216" w:rsidRPr="00F8134E">
        <w:rPr>
          <w:rtl/>
        </w:rPr>
        <w:t xml:space="preserve"> </w:t>
      </w:r>
      <w:r w:rsidR="009A1216" w:rsidRPr="00F8134E">
        <w:rPr>
          <w:rFonts w:hint="eastAsia"/>
          <w:rtl/>
        </w:rPr>
        <w:t>ידועה</w:t>
      </w:r>
      <w:r w:rsidR="009A1216" w:rsidRPr="00F8134E">
        <w:rPr>
          <w:rtl/>
        </w:rPr>
        <w:t xml:space="preserve">. </w:t>
      </w:r>
      <w:r w:rsidR="009A1216" w:rsidRPr="00F8134E">
        <w:rPr>
          <w:rFonts w:hint="eastAsia"/>
          <w:rtl/>
        </w:rPr>
        <w:t>יצוין</w:t>
      </w:r>
      <w:r w:rsidR="009A1216" w:rsidRPr="007804CA">
        <w:rPr>
          <w:rtl/>
        </w:rPr>
        <w:t xml:space="preserve"> </w:t>
      </w:r>
      <w:r w:rsidR="009A1216" w:rsidRPr="007804CA">
        <w:rPr>
          <w:rFonts w:hint="eastAsia"/>
          <w:rtl/>
        </w:rPr>
        <w:t>כי</w:t>
      </w:r>
      <w:r w:rsidR="009A1216" w:rsidRPr="007804CA">
        <w:rPr>
          <w:rtl/>
        </w:rPr>
        <w:t xml:space="preserve"> </w:t>
      </w:r>
      <w:r w:rsidR="009A1216" w:rsidRPr="0021405A">
        <w:rPr>
          <w:rFonts w:hint="eastAsia"/>
          <w:rtl/>
        </w:rPr>
        <w:t>אי</w:t>
      </w:r>
      <w:r w:rsidR="009A1216" w:rsidRPr="00387E09">
        <w:rPr>
          <w:rFonts w:hint="cs"/>
          <w:rtl/>
        </w:rPr>
        <w:t>-</w:t>
      </w:r>
      <w:r w:rsidR="009A1216" w:rsidRPr="00EE5E9B">
        <w:rPr>
          <w:rFonts w:hint="eastAsia"/>
          <w:rtl/>
        </w:rPr>
        <w:t>ידיעה</w:t>
      </w:r>
      <w:r w:rsidR="009A1216" w:rsidRPr="00EE5E9B">
        <w:rPr>
          <w:rtl/>
        </w:rPr>
        <w:t xml:space="preserve"> </w:t>
      </w:r>
      <w:r w:rsidR="009A1216" w:rsidRPr="001A3A70">
        <w:rPr>
          <w:rFonts w:hint="eastAsia"/>
          <w:rtl/>
        </w:rPr>
        <w:t>על</w:t>
      </w:r>
      <w:r w:rsidR="009A1216" w:rsidRPr="001A3A70">
        <w:rPr>
          <w:rtl/>
        </w:rPr>
        <w:t xml:space="preserve"> </w:t>
      </w:r>
      <w:r w:rsidR="009A1216" w:rsidRPr="001A3A70">
        <w:rPr>
          <w:rFonts w:hint="eastAsia"/>
          <w:rtl/>
        </w:rPr>
        <w:t>אודות</w:t>
      </w:r>
      <w:r w:rsidR="009A1216" w:rsidRPr="001A3A70">
        <w:rPr>
          <w:rtl/>
        </w:rPr>
        <w:t xml:space="preserve"> </w:t>
      </w:r>
      <w:r w:rsidR="009A1216" w:rsidRPr="001A3A70">
        <w:rPr>
          <w:rFonts w:hint="eastAsia"/>
          <w:rtl/>
        </w:rPr>
        <w:t>היקף</w:t>
      </w:r>
      <w:r w:rsidR="009A1216" w:rsidRPr="001A3A70">
        <w:rPr>
          <w:rtl/>
        </w:rPr>
        <w:t xml:space="preserve"> </w:t>
      </w:r>
      <w:r w:rsidR="009A1216" w:rsidRPr="001A3A70">
        <w:rPr>
          <w:rFonts w:hint="eastAsia"/>
          <w:rtl/>
        </w:rPr>
        <w:t>השימוש</w:t>
      </w:r>
      <w:r w:rsidR="009A1216" w:rsidRPr="001A3A70">
        <w:rPr>
          <w:rtl/>
        </w:rPr>
        <w:t xml:space="preserve"> </w:t>
      </w:r>
      <w:r w:rsidR="009A1216" w:rsidRPr="001A3A70">
        <w:rPr>
          <w:rFonts w:hint="eastAsia"/>
          <w:rtl/>
        </w:rPr>
        <w:t>של</w:t>
      </w:r>
      <w:r w:rsidR="009A1216" w:rsidRPr="001A3A70">
        <w:rPr>
          <w:rtl/>
        </w:rPr>
        <w:t xml:space="preserve"> </w:t>
      </w:r>
      <w:r w:rsidR="009A1216" w:rsidRPr="001A3A70">
        <w:rPr>
          <w:rFonts w:hint="eastAsia"/>
          <w:rtl/>
        </w:rPr>
        <w:t>המשטרה</w:t>
      </w:r>
      <w:r w:rsidR="009A1216" w:rsidRPr="001A3A70">
        <w:rPr>
          <w:rtl/>
        </w:rPr>
        <w:t xml:space="preserve"> </w:t>
      </w:r>
      <w:r w:rsidR="009A1216" w:rsidRPr="001A3A70">
        <w:rPr>
          <w:rFonts w:hint="eastAsia"/>
          <w:rtl/>
        </w:rPr>
        <w:t>במתווה</w:t>
      </w:r>
      <w:r w:rsidR="009A1216" w:rsidRPr="001A3A70">
        <w:rPr>
          <w:rtl/>
        </w:rPr>
        <w:t xml:space="preserve"> </w:t>
      </w:r>
      <w:r w:rsidR="00B86F70" w:rsidRPr="001A3A70">
        <w:rPr>
          <w:rFonts w:hint="cs"/>
          <w:rtl/>
        </w:rPr>
        <w:t>התקנה</w:t>
      </w:r>
      <w:r w:rsidR="00B86F70" w:rsidRPr="001A3A70">
        <w:rPr>
          <w:rtl/>
        </w:rPr>
        <w:t xml:space="preserve"> </w:t>
      </w:r>
      <w:r w:rsidR="009A1216" w:rsidRPr="001A3A70">
        <w:rPr>
          <w:rFonts w:hint="eastAsia"/>
          <w:rtl/>
        </w:rPr>
        <w:t>מסוים</w:t>
      </w:r>
      <w:r w:rsidR="009A1216" w:rsidRPr="001A3A70">
        <w:rPr>
          <w:rtl/>
        </w:rPr>
        <w:t xml:space="preserve"> </w:t>
      </w:r>
      <w:r w:rsidR="009A1216" w:rsidRPr="001A3A70">
        <w:rPr>
          <w:rFonts w:hint="eastAsia"/>
          <w:rtl/>
        </w:rPr>
        <w:t>נובעת</w:t>
      </w:r>
      <w:r w:rsidR="009A1216" w:rsidRPr="001A3A70">
        <w:rPr>
          <w:rtl/>
        </w:rPr>
        <w:t xml:space="preserve"> </w:t>
      </w:r>
      <w:r w:rsidR="009A1216" w:rsidRPr="001A3A70">
        <w:rPr>
          <w:rFonts w:hint="eastAsia"/>
          <w:rtl/>
        </w:rPr>
        <w:t>מפערים</w:t>
      </w:r>
      <w:r w:rsidR="009A1216" w:rsidRPr="001A3A70">
        <w:rPr>
          <w:rtl/>
        </w:rPr>
        <w:t xml:space="preserve"> </w:t>
      </w:r>
      <w:r w:rsidR="009A1216" w:rsidRPr="001A3A70">
        <w:rPr>
          <w:rFonts w:hint="eastAsia"/>
          <w:rtl/>
        </w:rPr>
        <w:t>בתיעוד</w:t>
      </w:r>
      <w:r w:rsidR="009A1216" w:rsidRPr="001A3A70">
        <w:rPr>
          <w:rtl/>
        </w:rPr>
        <w:t xml:space="preserve"> </w:t>
      </w:r>
      <w:r w:rsidR="009A1216" w:rsidRPr="001A3A70">
        <w:rPr>
          <w:rFonts w:hint="eastAsia"/>
          <w:rtl/>
        </w:rPr>
        <w:t>הפעולות</w:t>
      </w:r>
      <w:r w:rsidR="009A1216" w:rsidRPr="001A3A70">
        <w:rPr>
          <w:rtl/>
        </w:rPr>
        <w:t xml:space="preserve"> </w:t>
      </w:r>
      <w:r w:rsidR="009A1216" w:rsidRPr="001A3A70">
        <w:rPr>
          <w:rFonts w:hint="eastAsia"/>
          <w:rtl/>
        </w:rPr>
        <w:t>הללו</w:t>
      </w:r>
      <w:r w:rsidR="009A1216" w:rsidRPr="001A3A70">
        <w:rPr>
          <w:rtl/>
        </w:rPr>
        <w:t xml:space="preserve"> </w:t>
      </w:r>
      <w:r w:rsidR="009A1216" w:rsidRPr="001A3A70">
        <w:rPr>
          <w:rFonts w:hint="eastAsia"/>
          <w:rtl/>
        </w:rPr>
        <w:t>במשטרה</w:t>
      </w:r>
      <w:bookmarkEnd w:id="439"/>
      <w:r w:rsidR="009A1216" w:rsidRPr="001A3A70">
        <w:rPr>
          <w:rFonts w:hint="cs"/>
          <w:rtl/>
        </w:rPr>
        <w:t>.</w:t>
      </w:r>
    </w:p>
    <w:p w:rsidR="00992C85" w:rsidRPr="009B5D2E" w:rsidRDefault="00992C85" w:rsidP="00604C3D">
      <w:pPr>
        <w:bidi w:val="0"/>
        <w:spacing w:line="269" w:lineRule="auto"/>
        <w:rPr>
          <w:sz w:val="2"/>
          <w:szCs w:val="2"/>
          <w:rtl/>
        </w:rPr>
      </w:pPr>
      <w:bookmarkStart w:id="440" w:name="_Hlk184113794"/>
      <w:bookmarkEnd w:id="361"/>
    </w:p>
    <w:p w:rsidR="009A1216" w:rsidRDefault="008A67C6" w:rsidP="00604C3D">
      <w:pPr>
        <w:spacing w:line="269" w:lineRule="auto"/>
        <w:jc w:val="center"/>
        <w:rPr>
          <w:rtl/>
        </w:rPr>
      </w:pPr>
      <w:r>
        <w:rPr>
          <w:rFonts w:hint="cs"/>
          <w:rtl/>
        </w:rPr>
        <w:t>לוח</w:t>
      </w:r>
      <w:r w:rsidRPr="00260D8D">
        <w:rPr>
          <w:rtl/>
        </w:rPr>
        <w:t xml:space="preserve"> </w:t>
      </w:r>
      <w:r w:rsidRPr="0021269D">
        <w:rPr>
          <w:rFonts w:ascii="David" w:hAnsi="David"/>
          <w:sz w:val="24"/>
        </w:rPr>
        <w:t>9</w:t>
      </w:r>
      <w:r w:rsidR="009A1216" w:rsidRPr="00975421">
        <w:rPr>
          <w:rFonts w:hint="cs"/>
          <w:rtl/>
        </w:rPr>
        <w:t>:</w:t>
      </w:r>
      <w:r w:rsidR="009A1216">
        <w:rPr>
          <w:rFonts w:hint="cs"/>
          <w:rtl/>
        </w:rPr>
        <w:t xml:space="preserve"> </w:t>
      </w:r>
      <w:r w:rsidR="007306B7">
        <w:rPr>
          <w:rFonts w:hint="cs"/>
          <w:b/>
          <w:bCs/>
          <w:rtl/>
        </w:rPr>
        <w:t xml:space="preserve">הסדרת </w:t>
      </w:r>
      <w:r w:rsidR="009A1216">
        <w:rPr>
          <w:rFonts w:hint="cs"/>
          <w:b/>
          <w:bCs/>
          <w:rtl/>
        </w:rPr>
        <w:t xml:space="preserve">מתווי </w:t>
      </w:r>
      <w:r w:rsidR="00B86F70">
        <w:rPr>
          <w:rFonts w:hint="cs"/>
          <w:b/>
          <w:bCs/>
          <w:rtl/>
        </w:rPr>
        <w:t>ההתקנה</w:t>
      </w:r>
    </w:p>
    <w:tbl>
      <w:tblPr>
        <w:tblStyle w:val="aff6"/>
        <w:bidiVisual/>
        <w:tblW w:w="7974" w:type="dxa"/>
        <w:tblInd w:w="756" w:type="dxa"/>
        <w:tblLook w:val="04A0" w:firstRow="1" w:lastRow="0" w:firstColumn="1" w:lastColumn="0" w:noHBand="0" w:noVBand="1"/>
      </w:tblPr>
      <w:tblGrid>
        <w:gridCol w:w="1168"/>
        <w:gridCol w:w="841"/>
        <w:gridCol w:w="2151"/>
        <w:gridCol w:w="2592"/>
        <w:gridCol w:w="1222"/>
      </w:tblGrid>
      <w:tr w:rsidR="009A1216" w:rsidRPr="00E53E3D" w:rsidTr="005839A2">
        <w:tc>
          <w:tcPr>
            <w:tcW w:w="1168" w:type="dxa"/>
            <w:tcBorders>
              <w:top w:val="single" w:sz="24" w:space="0" w:color="auto"/>
              <w:left w:val="single" w:sz="24" w:space="0" w:color="auto"/>
              <w:bottom w:val="single" w:sz="24" w:space="0" w:color="auto"/>
            </w:tcBorders>
          </w:tcPr>
          <w:p w:rsidR="009A1216" w:rsidRPr="00E53E3D" w:rsidRDefault="009A1216" w:rsidP="00604C3D">
            <w:pPr>
              <w:spacing w:line="269" w:lineRule="auto"/>
              <w:jc w:val="center"/>
              <w:rPr>
                <w:b/>
                <w:bCs/>
                <w:sz w:val="22"/>
                <w:szCs w:val="22"/>
                <w:rtl/>
              </w:rPr>
            </w:pPr>
            <w:bookmarkStart w:id="441" w:name="_Hlk188182377"/>
            <w:r w:rsidRPr="00E53E3D">
              <w:rPr>
                <w:rFonts w:hint="eastAsia"/>
                <w:b/>
                <w:bCs/>
                <w:sz w:val="22"/>
                <w:szCs w:val="22"/>
                <w:rtl/>
              </w:rPr>
              <w:t>מס</w:t>
            </w:r>
            <w:r w:rsidRPr="00E53E3D">
              <w:rPr>
                <w:b/>
                <w:bCs/>
                <w:sz w:val="22"/>
                <w:szCs w:val="22"/>
                <w:rtl/>
              </w:rPr>
              <w:t>"ד</w:t>
            </w:r>
            <w:r w:rsidRPr="00E53E3D">
              <w:rPr>
                <w:rFonts w:hint="cs"/>
                <w:b/>
                <w:bCs/>
                <w:sz w:val="22"/>
                <w:szCs w:val="22"/>
                <w:rtl/>
              </w:rPr>
              <w:t xml:space="preserve"> </w:t>
            </w:r>
            <w:r w:rsidRPr="00E53E3D">
              <w:rPr>
                <w:rFonts w:hint="eastAsia"/>
                <w:b/>
                <w:bCs/>
                <w:sz w:val="22"/>
                <w:szCs w:val="22"/>
                <w:rtl/>
              </w:rPr>
              <w:t>מתווה</w:t>
            </w:r>
          </w:p>
        </w:tc>
        <w:tc>
          <w:tcPr>
            <w:tcW w:w="841" w:type="dxa"/>
            <w:tcBorders>
              <w:top w:val="single" w:sz="24" w:space="0" w:color="auto"/>
              <w:bottom w:val="single" w:sz="24" w:space="0" w:color="auto"/>
              <w:right w:val="single" w:sz="24" w:space="0" w:color="auto"/>
            </w:tcBorders>
          </w:tcPr>
          <w:p w:rsidR="009A1216" w:rsidRPr="00E53E3D" w:rsidRDefault="009A1216" w:rsidP="00604C3D">
            <w:pPr>
              <w:spacing w:line="269" w:lineRule="auto"/>
              <w:jc w:val="center"/>
              <w:rPr>
                <w:b/>
                <w:bCs/>
                <w:sz w:val="22"/>
                <w:szCs w:val="22"/>
                <w:rtl/>
              </w:rPr>
            </w:pPr>
            <w:r w:rsidRPr="00E53E3D">
              <w:rPr>
                <w:rFonts w:hint="eastAsia"/>
                <w:b/>
                <w:bCs/>
                <w:sz w:val="22"/>
                <w:szCs w:val="22"/>
                <w:rtl/>
              </w:rPr>
              <w:t>דרכי</w:t>
            </w:r>
            <w:r w:rsidRPr="00E53E3D">
              <w:rPr>
                <w:b/>
                <w:bCs/>
                <w:sz w:val="22"/>
                <w:szCs w:val="22"/>
                <w:rtl/>
              </w:rPr>
              <w:t xml:space="preserve"> </w:t>
            </w:r>
            <w:r w:rsidRPr="00E53E3D">
              <w:rPr>
                <w:rFonts w:hint="cs"/>
                <w:b/>
                <w:bCs/>
                <w:sz w:val="22"/>
                <w:szCs w:val="22"/>
                <w:rtl/>
              </w:rPr>
              <w:t>ה</w:t>
            </w:r>
            <w:r w:rsidRPr="00E53E3D">
              <w:rPr>
                <w:rFonts w:hint="eastAsia"/>
                <w:b/>
                <w:bCs/>
                <w:sz w:val="22"/>
                <w:szCs w:val="22"/>
                <w:rtl/>
              </w:rPr>
              <w:t>ביצוע</w:t>
            </w:r>
          </w:p>
        </w:tc>
        <w:tc>
          <w:tcPr>
            <w:tcW w:w="2151" w:type="dxa"/>
            <w:tcBorders>
              <w:top w:val="single" w:sz="24" w:space="0" w:color="auto"/>
              <w:left w:val="single" w:sz="24" w:space="0" w:color="auto"/>
              <w:bottom w:val="single" w:sz="24" w:space="0" w:color="auto"/>
              <w:right w:val="single" w:sz="24" w:space="0" w:color="auto"/>
            </w:tcBorders>
          </w:tcPr>
          <w:p w:rsidR="009A1216" w:rsidRPr="00E53E3D" w:rsidRDefault="009A1216" w:rsidP="00604C3D">
            <w:pPr>
              <w:spacing w:line="269" w:lineRule="auto"/>
              <w:jc w:val="center"/>
              <w:rPr>
                <w:b/>
                <w:bCs/>
                <w:sz w:val="22"/>
                <w:szCs w:val="22"/>
                <w:rtl/>
              </w:rPr>
            </w:pPr>
            <w:r w:rsidRPr="00E53E3D">
              <w:rPr>
                <w:rFonts w:hint="cs"/>
                <w:b/>
                <w:bCs/>
                <w:sz w:val="22"/>
                <w:szCs w:val="22"/>
                <w:rtl/>
              </w:rPr>
              <w:t>הכלי הטכנולוגי שבו ניתן להשתמש במתווה זה או הפעלה ידנית</w:t>
            </w:r>
          </w:p>
        </w:tc>
        <w:tc>
          <w:tcPr>
            <w:tcW w:w="2592" w:type="dxa"/>
            <w:tcBorders>
              <w:top w:val="single" w:sz="24" w:space="0" w:color="auto"/>
              <w:left w:val="single" w:sz="24" w:space="0" w:color="auto"/>
              <w:bottom w:val="single" w:sz="24" w:space="0" w:color="auto"/>
              <w:right w:val="single" w:sz="24" w:space="0" w:color="auto"/>
            </w:tcBorders>
          </w:tcPr>
          <w:p w:rsidR="009A1216" w:rsidRPr="00E53E3D" w:rsidRDefault="00E53E3D" w:rsidP="00604C3D">
            <w:pPr>
              <w:spacing w:line="269" w:lineRule="auto"/>
              <w:jc w:val="center"/>
              <w:rPr>
                <w:b/>
                <w:bCs/>
                <w:sz w:val="22"/>
                <w:szCs w:val="22"/>
                <w:rtl/>
              </w:rPr>
            </w:pPr>
            <w:r>
              <w:rPr>
                <w:rFonts w:hint="cs"/>
                <w:b/>
                <w:bCs/>
                <w:sz w:val="22"/>
                <w:szCs w:val="22"/>
                <w:rtl/>
              </w:rPr>
              <w:t>ה</w:t>
            </w:r>
            <w:r w:rsidR="00EF587E" w:rsidRPr="00E53E3D">
              <w:rPr>
                <w:rFonts w:hint="cs"/>
                <w:b/>
                <w:bCs/>
                <w:sz w:val="22"/>
                <w:szCs w:val="22"/>
                <w:rtl/>
              </w:rPr>
              <w:t xml:space="preserve">מצב </w:t>
            </w:r>
            <w:r>
              <w:rPr>
                <w:rFonts w:hint="cs"/>
                <w:b/>
                <w:bCs/>
                <w:sz w:val="22"/>
                <w:szCs w:val="22"/>
                <w:rtl/>
              </w:rPr>
              <w:t>ה</w:t>
            </w:r>
            <w:r w:rsidR="00EF587E" w:rsidRPr="00E53E3D">
              <w:rPr>
                <w:rFonts w:hint="cs"/>
                <w:b/>
                <w:bCs/>
                <w:sz w:val="22"/>
                <w:szCs w:val="22"/>
                <w:rtl/>
              </w:rPr>
              <w:t>משפטי</w:t>
            </w:r>
          </w:p>
        </w:tc>
        <w:tc>
          <w:tcPr>
            <w:tcW w:w="1222" w:type="dxa"/>
            <w:tcBorders>
              <w:top w:val="single" w:sz="24" w:space="0" w:color="auto"/>
              <w:left w:val="single" w:sz="24" w:space="0" w:color="auto"/>
              <w:bottom w:val="single" w:sz="24" w:space="0" w:color="auto"/>
              <w:right w:val="single" w:sz="24" w:space="0" w:color="auto"/>
            </w:tcBorders>
          </w:tcPr>
          <w:p w:rsidR="009A1216" w:rsidRPr="00E53E3D" w:rsidRDefault="009A1216" w:rsidP="00604C3D">
            <w:pPr>
              <w:spacing w:line="269" w:lineRule="auto"/>
              <w:jc w:val="center"/>
              <w:rPr>
                <w:b/>
                <w:bCs/>
                <w:sz w:val="22"/>
                <w:szCs w:val="22"/>
                <w:rtl/>
              </w:rPr>
            </w:pPr>
            <w:r w:rsidRPr="00E53E3D">
              <w:rPr>
                <w:rFonts w:hint="cs"/>
                <w:b/>
                <w:bCs/>
                <w:sz w:val="22"/>
                <w:szCs w:val="22"/>
                <w:rtl/>
              </w:rPr>
              <w:t>תדירות ה</w:t>
            </w:r>
            <w:r w:rsidRPr="00E53E3D">
              <w:rPr>
                <w:rFonts w:hint="eastAsia"/>
                <w:b/>
                <w:bCs/>
                <w:sz w:val="22"/>
                <w:szCs w:val="22"/>
                <w:rtl/>
              </w:rPr>
              <w:t>שימוש</w:t>
            </w:r>
          </w:p>
          <w:p w:rsidR="009A1216" w:rsidRPr="00E53E3D" w:rsidRDefault="009A1216" w:rsidP="00604C3D">
            <w:pPr>
              <w:spacing w:line="269" w:lineRule="auto"/>
              <w:jc w:val="center"/>
              <w:rPr>
                <w:b/>
                <w:bCs/>
                <w:sz w:val="22"/>
                <w:szCs w:val="22"/>
                <w:rtl/>
              </w:rPr>
            </w:pPr>
            <w:r w:rsidRPr="00E53E3D">
              <w:rPr>
                <w:rFonts w:hint="cs"/>
                <w:b/>
                <w:bCs/>
                <w:sz w:val="22"/>
                <w:szCs w:val="22"/>
                <w:rtl/>
              </w:rPr>
              <w:t>במתווה</w:t>
            </w:r>
            <w:r w:rsidRPr="00E53E3D">
              <w:rPr>
                <w:rStyle w:val="af"/>
                <w:b/>
                <w:bCs/>
                <w:sz w:val="22"/>
                <w:szCs w:val="22"/>
                <w:rtl/>
              </w:rPr>
              <w:footnoteReference w:id="167"/>
            </w:r>
          </w:p>
        </w:tc>
      </w:tr>
      <w:tr w:rsidR="009A1216" w:rsidRPr="00E53E3D" w:rsidTr="005839A2">
        <w:tc>
          <w:tcPr>
            <w:tcW w:w="1168" w:type="dxa"/>
            <w:tcBorders>
              <w:top w:val="single" w:sz="24" w:space="0" w:color="auto"/>
              <w:left w:val="single" w:sz="24" w:space="0" w:color="auto"/>
              <w:bottom w:val="single" w:sz="2"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(1)</w:t>
            </w:r>
          </w:p>
        </w:tc>
        <w:tc>
          <w:tcPr>
            <w:tcW w:w="841" w:type="dxa"/>
            <w:tcBorders>
              <w:top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p>
        </w:tc>
        <w:tc>
          <w:tcPr>
            <w:tcW w:w="2151" w:type="dxa"/>
            <w:tcBorders>
              <w:top w:val="single" w:sz="24"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שני כלים</w:t>
            </w:r>
          </w:p>
        </w:tc>
        <w:tc>
          <w:tcPr>
            <w:tcW w:w="2592" w:type="dxa"/>
            <w:tcBorders>
              <w:top w:val="single" w:sz="24" w:space="0" w:color="auto"/>
              <w:left w:val="single" w:sz="24" w:space="0" w:color="auto"/>
              <w:bottom w:val="single" w:sz="2"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top w:val="single" w:sz="24"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תדיר</w:t>
            </w:r>
          </w:p>
        </w:tc>
      </w:tr>
      <w:tr w:rsidR="009A1216" w:rsidRPr="00E53E3D" w:rsidTr="005839A2">
        <w:tc>
          <w:tcPr>
            <w:tcW w:w="1168" w:type="dxa"/>
            <w:tcBorders>
              <w:top w:val="single" w:sz="2" w:space="0" w:color="auto"/>
              <w:left w:val="single" w:sz="24" w:space="0" w:color="auto"/>
              <w:bottom w:val="single" w:sz="2"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(2)</w:t>
            </w:r>
          </w:p>
        </w:tc>
        <w:tc>
          <w:tcPr>
            <w:tcW w:w="841" w:type="dxa"/>
            <w:tcBorders>
              <w:top w:val="single" w:sz="2"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p>
        </w:tc>
        <w:tc>
          <w:tcPr>
            <w:tcW w:w="2151"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שלושה כלים</w:t>
            </w:r>
          </w:p>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top w:val="single" w:sz="2" w:space="0" w:color="auto"/>
              <w:left w:val="single" w:sz="24" w:space="0" w:color="auto"/>
              <w:bottom w:val="single" w:sz="2"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תדיר</w:t>
            </w:r>
          </w:p>
        </w:tc>
      </w:tr>
      <w:tr w:rsidR="009A1216" w:rsidRPr="00E53E3D" w:rsidTr="005839A2">
        <w:tc>
          <w:tcPr>
            <w:tcW w:w="1168" w:type="dxa"/>
            <w:tcBorders>
              <w:top w:val="single" w:sz="2" w:space="0" w:color="auto"/>
              <w:left w:val="single" w:sz="24" w:space="0" w:color="auto"/>
              <w:bottom w:val="single" w:sz="2"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(3)</w:t>
            </w:r>
          </w:p>
        </w:tc>
        <w:tc>
          <w:tcPr>
            <w:tcW w:w="841" w:type="dxa"/>
            <w:tcBorders>
              <w:top w:val="single" w:sz="2"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p>
        </w:tc>
        <w:tc>
          <w:tcPr>
            <w:tcW w:w="2151"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כלי</w:t>
            </w:r>
          </w:p>
        </w:tc>
        <w:tc>
          <w:tcPr>
            <w:tcW w:w="2592" w:type="dxa"/>
            <w:tcBorders>
              <w:top w:val="single" w:sz="2" w:space="0" w:color="auto"/>
              <w:left w:val="single" w:sz="24" w:space="0" w:color="auto"/>
              <w:bottom w:val="single" w:sz="2"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תדיר</w:t>
            </w:r>
          </w:p>
        </w:tc>
      </w:tr>
      <w:tr w:rsidR="009A1216" w:rsidRPr="00E53E3D" w:rsidTr="005839A2">
        <w:tc>
          <w:tcPr>
            <w:tcW w:w="1168" w:type="dxa"/>
            <w:tcBorders>
              <w:top w:val="single" w:sz="2" w:space="0" w:color="auto"/>
              <w:left w:val="single" w:sz="24" w:space="0" w:color="auto"/>
              <w:bottom w:val="single" w:sz="2"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(4)</w:t>
            </w:r>
          </w:p>
        </w:tc>
        <w:tc>
          <w:tcPr>
            <w:tcW w:w="841" w:type="dxa"/>
            <w:tcBorders>
              <w:top w:val="single" w:sz="2"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p>
        </w:tc>
        <w:tc>
          <w:tcPr>
            <w:tcW w:w="2151"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שני כלים</w:t>
            </w:r>
          </w:p>
        </w:tc>
        <w:tc>
          <w:tcPr>
            <w:tcW w:w="2592" w:type="dxa"/>
            <w:tcBorders>
              <w:top w:val="single" w:sz="2" w:space="0" w:color="auto"/>
              <w:left w:val="single" w:sz="24" w:space="0" w:color="auto"/>
              <w:bottom w:val="single" w:sz="2"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b/>
                <w:bCs/>
                <w:sz w:val="22"/>
                <w:szCs w:val="22"/>
                <w:rtl/>
              </w:rPr>
            </w:pPr>
            <w:r w:rsidRPr="00E53E3D">
              <w:rPr>
                <w:rFonts w:hint="cs"/>
                <w:sz w:val="22"/>
                <w:szCs w:val="22"/>
                <w:rtl/>
              </w:rPr>
              <w:t>מותר</w:t>
            </w:r>
          </w:p>
        </w:tc>
        <w:tc>
          <w:tcPr>
            <w:tcW w:w="1222"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תדיר</w:t>
            </w:r>
          </w:p>
        </w:tc>
      </w:tr>
      <w:tr w:rsidR="009A1216" w:rsidRPr="00E53E3D" w:rsidTr="005839A2">
        <w:tc>
          <w:tcPr>
            <w:tcW w:w="1168" w:type="dxa"/>
            <w:tcBorders>
              <w:top w:val="single" w:sz="2" w:space="0" w:color="auto"/>
              <w:left w:val="single" w:sz="24" w:space="0" w:color="auto"/>
              <w:bottom w:val="single" w:sz="2"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(5)</w:t>
            </w:r>
          </w:p>
        </w:tc>
        <w:tc>
          <w:tcPr>
            <w:tcW w:w="841" w:type="dxa"/>
            <w:tcBorders>
              <w:top w:val="single" w:sz="2"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p>
        </w:tc>
        <w:tc>
          <w:tcPr>
            <w:tcW w:w="2151"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ארבעה כלים</w:t>
            </w:r>
          </w:p>
        </w:tc>
        <w:tc>
          <w:tcPr>
            <w:tcW w:w="2592" w:type="dxa"/>
            <w:tcBorders>
              <w:top w:val="single" w:sz="2" w:space="0" w:color="auto"/>
              <w:left w:val="single" w:sz="24" w:space="0" w:color="auto"/>
              <w:bottom w:val="single" w:sz="2"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תדיר</w:t>
            </w:r>
          </w:p>
        </w:tc>
      </w:tr>
      <w:tr w:rsidR="009A1216" w:rsidRPr="00E53E3D" w:rsidTr="005839A2">
        <w:tc>
          <w:tcPr>
            <w:tcW w:w="1168" w:type="dxa"/>
            <w:tcBorders>
              <w:top w:val="single" w:sz="2" w:space="0" w:color="auto"/>
              <w:left w:val="single" w:sz="24" w:space="0" w:color="auto"/>
              <w:bottom w:val="single" w:sz="2"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(6)</w:t>
            </w:r>
          </w:p>
        </w:tc>
        <w:tc>
          <w:tcPr>
            <w:tcW w:w="841" w:type="dxa"/>
            <w:tcBorders>
              <w:top w:val="single" w:sz="2"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p>
        </w:tc>
        <w:tc>
          <w:tcPr>
            <w:tcW w:w="2151"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top w:val="single" w:sz="2" w:space="0" w:color="auto"/>
              <w:left w:val="single" w:sz="24" w:space="0" w:color="auto"/>
              <w:bottom w:val="single" w:sz="2"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לא ידוע</w:t>
            </w:r>
            <w:r w:rsidRPr="00E53E3D">
              <w:rPr>
                <w:rStyle w:val="af"/>
                <w:sz w:val="22"/>
                <w:szCs w:val="22"/>
                <w:rtl/>
              </w:rPr>
              <w:footnoteReference w:id="168"/>
            </w:r>
          </w:p>
        </w:tc>
      </w:tr>
      <w:tr w:rsidR="009A1216" w:rsidRPr="00E53E3D" w:rsidTr="005839A2">
        <w:tc>
          <w:tcPr>
            <w:tcW w:w="1168" w:type="dxa"/>
            <w:tcBorders>
              <w:top w:val="single" w:sz="2" w:space="0" w:color="auto"/>
              <w:left w:val="single" w:sz="24" w:space="0" w:color="auto"/>
              <w:bottom w:val="single" w:sz="2"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(7)</w:t>
            </w:r>
          </w:p>
        </w:tc>
        <w:tc>
          <w:tcPr>
            <w:tcW w:w="841" w:type="dxa"/>
            <w:tcBorders>
              <w:top w:val="single" w:sz="2"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p>
        </w:tc>
        <w:tc>
          <w:tcPr>
            <w:tcW w:w="2151"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כלי</w:t>
            </w:r>
          </w:p>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top w:val="single" w:sz="2" w:space="0" w:color="auto"/>
              <w:left w:val="single" w:sz="24" w:space="0" w:color="auto"/>
              <w:bottom w:val="single" w:sz="2" w:space="0" w:color="auto"/>
              <w:right w:val="single" w:sz="24" w:space="0" w:color="auto"/>
            </w:tcBorders>
            <w:shd w:val="clear" w:color="auto" w:fill="F5D0D7" w:themeFill="accent1" w:themeFillTint="33"/>
          </w:tcPr>
          <w:p w:rsidR="009A1216" w:rsidRPr="00E53E3D" w:rsidRDefault="009A1216" w:rsidP="00604C3D">
            <w:pPr>
              <w:spacing w:line="269" w:lineRule="auto"/>
              <w:jc w:val="center"/>
              <w:rPr>
                <w:b/>
                <w:bCs/>
                <w:sz w:val="22"/>
                <w:szCs w:val="22"/>
                <w:rtl/>
              </w:rPr>
            </w:pPr>
            <w:r w:rsidRPr="00E53E3D">
              <w:rPr>
                <w:rFonts w:hint="eastAsia"/>
                <w:b/>
                <w:bCs/>
                <w:sz w:val="22"/>
                <w:szCs w:val="22"/>
                <w:rtl/>
              </w:rPr>
              <w:t>מעורר</w:t>
            </w:r>
            <w:r w:rsidRPr="00E53E3D">
              <w:rPr>
                <w:b/>
                <w:bCs/>
                <w:sz w:val="22"/>
                <w:szCs w:val="22"/>
                <w:rtl/>
              </w:rPr>
              <w:t xml:space="preserve"> </w:t>
            </w:r>
            <w:r w:rsidRPr="00E53E3D">
              <w:rPr>
                <w:rFonts w:hint="eastAsia"/>
                <w:b/>
                <w:bCs/>
                <w:sz w:val="22"/>
                <w:szCs w:val="22"/>
                <w:rtl/>
              </w:rPr>
              <w:t>קושי</w:t>
            </w:r>
            <w:r w:rsidRPr="00E53E3D">
              <w:rPr>
                <w:b/>
                <w:bCs/>
                <w:sz w:val="22"/>
                <w:szCs w:val="22"/>
                <w:rtl/>
              </w:rPr>
              <w:t xml:space="preserve"> </w:t>
            </w:r>
            <w:r w:rsidRPr="00E53E3D">
              <w:rPr>
                <w:rFonts w:hint="eastAsia"/>
                <w:b/>
                <w:bCs/>
                <w:sz w:val="22"/>
                <w:szCs w:val="22"/>
                <w:rtl/>
              </w:rPr>
              <w:t>משפטי</w:t>
            </w:r>
          </w:p>
        </w:tc>
        <w:tc>
          <w:tcPr>
            <w:tcW w:w="1222" w:type="dxa"/>
            <w:tcBorders>
              <w:top w:val="single" w:sz="2" w:space="0" w:color="auto"/>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לא ידוע</w:t>
            </w:r>
          </w:p>
        </w:tc>
      </w:tr>
      <w:tr w:rsidR="009A1216" w:rsidRPr="00E53E3D" w:rsidTr="005839A2">
        <w:tc>
          <w:tcPr>
            <w:tcW w:w="1168" w:type="dxa"/>
            <w:vMerge w:val="restart"/>
            <w:tcBorders>
              <w:top w:val="single" w:sz="2" w:space="0" w:color="auto"/>
              <w:lef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(8)</w:t>
            </w:r>
          </w:p>
        </w:tc>
        <w:tc>
          <w:tcPr>
            <w:tcW w:w="841" w:type="dxa"/>
            <w:tcBorders>
              <w:top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 xml:space="preserve">(א) </w:t>
            </w:r>
          </w:p>
        </w:tc>
        <w:tc>
          <w:tcPr>
            <w:tcW w:w="2151" w:type="dxa"/>
            <w:tcBorders>
              <w:top w:val="single" w:sz="2" w:space="0" w:color="auto"/>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top w:val="single" w:sz="2" w:space="0" w:color="auto"/>
              <w:left w:val="single" w:sz="24"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top w:val="single" w:sz="2" w:space="0" w:color="auto"/>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תדיר</w:t>
            </w:r>
          </w:p>
        </w:tc>
      </w:tr>
      <w:tr w:rsidR="009A1216" w:rsidRPr="00E53E3D" w:rsidTr="005839A2">
        <w:tc>
          <w:tcPr>
            <w:tcW w:w="1168" w:type="dxa"/>
            <w:vMerge/>
            <w:tcBorders>
              <w:left w:val="single" w:sz="24" w:space="0" w:color="auto"/>
            </w:tcBorders>
          </w:tcPr>
          <w:p w:rsidR="009A1216" w:rsidRPr="00E53E3D" w:rsidRDefault="009A1216" w:rsidP="00604C3D">
            <w:pPr>
              <w:spacing w:line="269" w:lineRule="auto"/>
              <w:jc w:val="center"/>
              <w:rPr>
                <w:sz w:val="22"/>
                <w:szCs w:val="22"/>
                <w:rtl/>
              </w:rPr>
            </w:pPr>
          </w:p>
        </w:tc>
        <w:tc>
          <w:tcPr>
            <w:tcW w:w="841" w:type="dxa"/>
            <w:tcBorders>
              <w:right w:val="single" w:sz="24" w:space="0" w:color="auto"/>
            </w:tcBorders>
          </w:tcPr>
          <w:p w:rsidR="009A1216" w:rsidRPr="00E53E3D" w:rsidRDefault="009A1216" w:rsidP="00604C3D">
            <w:pPr>
              <w:spacing w:line="269" w:lineRule="auto"/>
              <w:jc w:val="center"/>
              <w:rPr>
                <w:sz w:val="22"/>
                <w:szCs w:val="22"/>
                <w:rtl/>
              </w:rPr>
            </w:pPr>
            <w:r w:rsidRPr="00E53E3D">
              <w:rPr>
                <w:sz w:val="22"/>
                <w:szCs w:val="22"/>
                <w:rtl/>
              </w:rPr>
              <w:t>(ב)</w:t>
            </w:r>
            <w:r w:rsidRPr="00E53E3D">
              <w:rPr>
                <w:rFonts w:hint="cs"/>
                <w:sz w:val="22"/>
                <w:szCs w:val="22"/>
                <w:rtl/>
              </w:rPr>
              <w:t xml:space="preserve"> </w:t>
            </w:r>
          </w:p>
        </w:tc>
        <w:tc>
          <w:tcPr>
            <w:tcW w:w="2151"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left w:val="single" w:sz="24"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תדיר</w:t>
            </w:r>
          </w:p>
        </w:tc>
      </w:tr>
      <w:tr w:rsidR="009A1216" w:rsidRPr="00E53E3D" w:rsidTr="005839A2">
        <w:tc>
          <w:tcPr>
            <w:tcW w:w="1168" w:type="dxa"/>
            <w:vMerge/>
            <w:tcBorders>
              <w:left w:val="single" w:sz="24" w:space="0" w:color="auto"/>
            </w:tcBorders>
          </w:tcPr>
          <w:p w:rsidR="009A1216" w:rsidRPr="00E53E3D" w:rsidRDefault="009A1216" w:rsidP="00604C3D">
            <w:pPr>
              <w:spacing w:line="269" w:lineRule="auto"/>
              <w:jc w:val="center"/>
              <w:rPr>
                <w:sz w:val="22"/>
                <w:szCs w:val="22"/>
                <w:rtl/>
              </w:rPr>
            </w:pPr>
          </w:p>
        </w:tc>
        <w:tc>
          <w:tcPr>
            <w:tcW w:w="841" w:type="dxa"/>
            <w:tcBorders>
              <w:right w:val="single" w:sz="24" w:space="0" w:color="auto"/>
            </w:tcBorders>
          </w:tcPr>
          <w:p w:rsidR="009A1216" w:rsidRPr="00E53E3D" w:rsidRDefault="009A1216" w:rsidP="00604C3D">
            <w:pPr>
              <w:spacing w:line="269" w:lineRule="auto"/>
              <w:jc w:val="center"/>
              <w:rPr>
                <w:sz w:val="22"/>
                <w:szCs w:val="22"/>
                <w:rtl/>
              </w:rPr>
            </w:pPr>
            <w:r w:rsidRPr="00E53E3D">
              <w:rPr>
                <w:sz w:val="22"/>
                <w:szCs w:val="22"/>
                <w:rtl/>
              </w:rPr>
              <w:t>(ג)</w:t>
            </w:r>
            <w:r w:rsidRPr="00E53E3D">
              <w:rPr>
                <w:rFonts w:hint="cs"/>
                <w:sz w:val="22"/>
                <w:szCs w:val="22"/>
                <w:rtl/>
              </w:rPr>
              <w:t xml:space="preserve"> </w:t>
            </w:r>
          </w:p>
        </w:tc>
        <w:tc>
          <w:tcPr>
            <w:tcW w:w="2151"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left w:val="single" w:sz="24"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תדיר</w:t>
            </w:r>
          </w:p>
        </w:tc>
      </w:tr>
      <w:tr w:rsidR="009A1216" w:rsidRPr="00E53E3D" w:rsidTr="005839A2">
        <w:tc>
          <w:tcPr>
            <w:tcW w:w="1168" w:type="dxa"/>
            <w:vMerge/>
            <w:tcBorders>
              <w:left w:val="single" w:sz="24" w:space="0" w:color="auto"/>
            </w:tcBorders>
          </w:tcPr>
          <w:p w:rsidR="009A1216" w:rsidRPr="00E53E3D" w:rsidRDefault="009A1216" w:rsidP="00604C3D">
            <w:pPr>
              <w:spacing w:line="269" w:lineRule="auto"/>
              <w:jc w:val="center"/>
              <w:rPr>
                <w:sz w:val="22"/>
                <w:szCs w:val="22"/>
                <w:rtl/>
              </w:rPr>
            </w:pPr>
          </w:p>
        </w:tc>
        <w:tc>
          <w:tcPr>
            <w:tcW w:w="841" w:type="dxa"/>
            <w:tcBorders>
              <w:right w:val="single" w:sz="24" w:space="0" w:color="auto"/>
            </w:tcBorders>
          </w:tcPr>
          <w:p w:rsidR="009A1216" w:rsidRPr="00E53E3D" w:rsidRDefault="009A1216" w:rsidP="00604C3D">
            <w:pPr>
              <w:spacing w:line="269" w:lineRule="auto"/>
              <w:jc w:val="center"/>
              <w:rPr>
                <w:sz w:val="22"/>
                <w:szCs w:val="22"/>
                <w:rtl/>
              </w:rPr>
            </w:pPr>
            <w:r w:rsidRPr="00E53E3D">
              <w:rPr>
                <w:sz w:val="22"/>
                <w:szCs w:val="22"/>
                <w:rtl/>
              </w:rPr>
              <w:t>(ד)</w:t>
            </w:r>
            <w:r w:rsidRPr="00E53E3D">
              <w:rPr>
                <w:rFonts w:hint="cs"/>
                <w:sz w:val="22"/>
                <w:szCs w:val="22"/>
                <w:rtl/>
              </w:rPr>
              <w:t xml:space="preserve"> </w:t>
            </w:r>
          </w:p>
        </w:tc>
        <w:tc>
          <w:tcPr>
            <w:tcW w:w="2151"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left w:val="single" w:sz="24" w:space="0" w:color="auto"/>
              <w:right w:val="single" w:sz="24" w:space="0" w:color="auto"/>
            </w:tcBorders>
            <w:shd w:val="clear" w:color="auto" w:fill="EBBF7D" w:themeFill="accent2" w:themeFillTint="99"/>
          </w:tcPr>
          <w:p w:rsidR="009A1216" w:rsidRPr="00E53E3D" w:rsidRDefault="009A1216" w:rsidP="00604C3D">
            <w:pPr>
              <w:spacing w:line="269" w:lineRule="auto"/>
              <w:jc w:val="center"/>
              <w:rPr>
                <w:sz w:val="22"/>
                <w:szCs w:val="22"/>
                <w:rtl/>
              </w:rPr>
            </w:pPr>
            <w:r w:rsidRPr="00E53E3D">
              <w:rPr>
                <w:rFonts w:hint="cs"/>
                <w:sz w:val="22"/>
                <w:szCs w:val="22"/>
                <w:rtl/>
              </w:rPr>
              <w:t>מורכב משפטית</w:t>
            </w:r>
          </w:p>
        </w:tc>
        <w:tc>
          <w:tcPr>
            <w:tcW w:w="1222"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לא ידוע</w:t>
            </w:r>
          </w:p>
        </w:tc>
      </w:tr>
      <w:tr w:rsidR="009A1216" w:rsidRPr="00E53E3D" w:rsidTr="005839A2">
        <w:tc>
          <w:tcPr>
            <w:tcW w:w="1168" w:type="dxa"/>
            <w:vMerge/>
            <w:tcBorders>
              <w:left w:val="single" w:sz="24" w:space="0" w:color="auto"/>
              <w:bottom w:val="single" w:sz="2" w:space="0" w:color="auto"/>
            </w:tcBorders>
          </w:tcPr>
          <w:p w:rsidR="009A1216" w:rsidRPr="00E53E3D" w:rsidRDefault="009A1216" w:rsidP="00604C3D">
            <w:pPr>
              <w:spacing w:line="269" w:lineRule="auto"/>
              <w:jc w:val="center"/>
              <w:rPr>
                <w:sz w:val="22"/>
                <w:szCs w:val="22"/>
                <w:rtl/>
              </w:rPr>
            </w:pPr>
          </w:p>
        </w:tc>
        <w:tc>
          <w:tcPr>
            <w:tcW w:w="841" w:type="dxa"/>
            <w:tcBorders>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sz w:val="22"/>
                <w:szCs w:val="22"/>
                <w:rtl/>
              </w:rPr>
              <w:t>(ה)</w:t>
            </w:r>
            <w:r w:rsidRPr="00E53E3D">
              <w:rPr>
                <w:rFonts w:hint="cs"/>
                <w:sz w:val="22"/>
                <w:szCs w:val="22"/>
                <w:rtl/>
              </w:rPr>
              <w:t xml:space="preserve"> </w:t>
            </w:r>
          </w:p>
        </w:tc>
        <w:tc>
          <w:tcPr>
            <w:tcW w:w="2151" w:type="dxa"/>
            <w:tcBorders>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כלי</w:t>
            </w:r>
          </w:p>
        </w:tc>
        <w:tc>
          <w:tcPr>
            <w:tcW w:w="2592" w:type="dxa"/>
            <w:tcBorders>
              <w:left w:val="single" w:sz="24" w:space="0" w:color="auto"/>
              <w:bottom w:val="single" w:sz="2" w:space="0" w:color="auto"/>
              <w:right w:val="single" w:sz="24" w:space="0" w:color="auto"/>
            </w:tcBorders>
            <w:shd w:val="clear" w:color="auto" w:fill="E17487" w:themeFill="accent1" w:themeFillTint="99"/>
          </w:tcPr>
          <w:p w:rsidR="009A1216" w:rsidRPr="00E53E3D" w:rsidRDefault="00EF587E" w:rsidP="00604C3D">
            <w:pPr>
              <w:spacing w:line="269" w:lineRule="auto"/>
              <w:jc w:val="center"/>
              <w:rPr>
                <w:b/>
                <w:bCs/>
                <w:sz w:val="22"/>
                <w:szCs w:val="22"/>
                <w:rtl/>
              </w:rPr>
            </w:pPr>
            <w:r w:rsidRPr="00E53E3D">
              <w:rPr>
                <w:rFonts w:hint="cs"/>
                <w:b/>
                <w:bCs/>
                <w:sz w:val="22"/>
                <w:szCs w:val="22"/>
                <w:rtl/>
              </w:rPr>
              <w:t>אסור</w:t>
            </w:r>
          </w:p>
        </w:tc>
        <w:tc>
          <w:tcPr>
            <w:tcW w:w="1222" w:type="dxa"/>
            <w:tcBorders>
              <w:left w:val="single" w:sz="24" w:space="0" w:color="auto"/>
              <w:bottom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לא ידוע</w:t>
            </w:r>
          </w:p>
        </w:tc>
      </w:tr>
      <w:tr w:rsidR="009A1216" w:rsidRPr="00E53E3D" w:rsidTr="005839A2">
        <w:tc>
          <w:tcPr>
            <w:tcW w:w="1168" w:type="dxa"/>
            <w:vMerge w:val="restart"/>
            <w:tcBorders>
              <w:top w:val="single" w:sz="2" w:space="0" w:color="auto"/>
              <w:lef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(9)</w:t>
            </w:r>
          </w:p>
        </w:tc>
        <w:tc>
          <w:tcPr>
            <w:tcW w:w="841" w:type="dxa"/>
            <w:tcBorders>
              <w:top w:val="single" w:sz="2" w:space="0" w:color="auto"/>
              <w:right w:val="single" w:sz="24" w:space="0" w:color="auto"/>
            </w:tcBorders>
          </w:tcPr>
          <w:p w:rsidR="009A1216" w:rsidRPr="00E53E3D" w:rsidRDefault="009A1216" w:rsidP="00604C3D">
            <w:pPr>
              <w:spacing w:line="269" w:lineRule="auto"/>
              <w:jc w:val="center"/>
              <w:rPr>
                <w:sz w:val="22"/>
                <w:szCs w:val="22"/>
                <w:rtl/>
              </w:rPr>
            </w:pPr>
            <w:r w:rsidRPr="00E53E3D">
              <w:rPr>
                <w:sz w:val="22"/>
                <w:szCs w:val="22"/>
                <w:rtl/>
              </w:rPr>
              <w:t>(א)</w:t>
            </w:r>
            <w:r w:rsidRPr="00E53E3D">
              <w:rPr>
                <w:rFonts w:hint="cs"/>
                <w:sz w:val="22"/>
                <w:szCs w:val="22"/>
                <w:rtl/>
              </w:rPr>
              <w:t xml:space="preserve"> </w:t>
            </w:r>
          </w:p>
        </w:tc>
        <w:tc>
          <w:tcPr>
            <w:tcW w:w="2151" w:type="dxa"/>
            <w:tcBorders>
              <w:top w:val="single" w:sz="2" w:space="0" w:color="auto"/>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top w:val="single" w:sz="2" w:space="0" w:color="auto"/>
              <w:left w:val="single" w:sz="24"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top w:val="single" w:sz="2" w:space="0" w:color="auto"/>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לא ידוע</w:t>
            </w:r>
          </w:p>
        </w:tc>
      </w:tr>
      <w:tr w:rsidR="009A1216" w:rsidRPr="00E53E3D" w:rsidTr="005839A2">
        <w:tc>
          <w:tcPr>
            <w:tcW w:w="1168" w:type="dxa"/>
            <w:vMerge/>
            <w:tcBorders>
              <w:left w:val="single" w:sz="24" w:space="0" w:color="auto"/>
            </w:tcBorders>
          </w:tcPr>
          <w:p w:rsidR="009A1216" w:rsidRPr="00E53E3D" w:rsidRDefault="009A1216" w:rsidP="00604C3D">
            <w:pPr>
              <w:spacing w:line="269" w:lineRule="auto"/>
              <w:jc w:val="center"/>
              <w:rPr>
                <w:sz w:val="22"/>
                <w:szCs w:val="22"/>
                <w:rtl/>
              </w:rPr>
            </w:pPr>
          </w:p>
        </w:tc>
        <w:tc>
          <w:tcPr>
            <w:tcW w:w="841" w:type="dxa"/>
            <w:tcBorders>
              <w:right w:val="single" w:sz="24" w:space="0" w:color="auto"/>
            </w:tcBorders>
          </w:tcPr>
          <w:p w:rsidR="009A1216" w:rsidRPr="00E53E3D" w:rsidRDefault="009A1216" w:rsidP="00604C3D">
            <w:pPr>
              <w:spacing w:line="269" w:lineRule="auto"/>
              <w:jc w:val="center"/>
              <w:rPr>
                <w:sz w:val="22"/>
                <w:szCs w:val="22"/>
                <w:rtl/>
              </w:rPr>
            </w:pPr>
            <w:r w:rsidRPr="00E53E3D">
              <w:rPr>
                <w:sz w:val="22"/>
                <w:szCs w:val="22"/>
                <w:rtl/>
              </w:rPr>
              <w:t>(ב)</w:t>
            </w:r>
            <w:r w:rsidRPr="00E53E3D">
              <w:rPr>
                <w:rFonts w:hint="cs"/>
                <w:sz w:val="22"/>
                <w:szCs w:val="22"/>
                <w:rtl/>
              </w:rPr>
              <w:t xml:space="preserve"> </w:t>
            </w:r>
          </w:p>
        </w:tc>
        <w:tc>
          <w:tcPr>
            <w:tcW w:w="2151"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left w:val="single" w:sz="24" w:space="0" w:color="auto"/>
              <w:right w:val="single" w:sz="24" w:space="0" w:color="auto"/>
            </w:tcBorders>
            <w:shd w:val="clear" w:color="auto" w:fill="DDDB87" w:themeFill="accent3" w:themeFillTint="99"/>
          </w:tcPr>
          <w:p w:rsidR="009A1216" w:rsidRPr="00E53E3D" w:rsidRDefault="00EF587E" w:rsidP="00604C3D">
            <w:pPr>
              <w:spacing w:line="269" w:lineRule="auto"/>
              <w:jc w:val="center"/>
              <w:rPr>
                <w:sz w:val="22"/>
                <w:szCs w:val="22"/>
                <w:rtl/>
              </w:rPr>
            </w:pPr>
            <w:r w:rsidRPr="00E53E3D">
              <w:rPr>
                <w:rFonts w:hint="cs"/>
                <w:sz w:val="22"/>
                <w:szCs w:val="22"/>
                <w:rtl/>
              </w:rPr>
              <w:t>מותר</w:t>
            </w:r>
          </w:p>
        </w:tc>
        <w:tc>
          <w:tcPr>
            <w:tcW w:w="1222"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לא ידוע</w:t>
            </w:r>
          </w:p>
        </w:tc>
      </w:tr>
      <w:tr w:rsidR="009A1216" w:rsidRPr="00E53E3D" w:rsidTr="005839A2">
        <w:tc>
          <w:tcPr>
            <w:tcW w:w="1168" w:type="dxa"/>
            <w:vMerge/>
            <w:tcBorders>
              <w:left w:val="single" w:sz="24" w:space="0" w:color="auto"/>
            </w:tcBorders>
          </w:tcPr>
          <w:p w:rsidR="009A1216" w:rsidRPr="00E53E3D" w:rsidRDefault="009A1216" w:rsidP="00604C3D">
            <w:pPr>
              <w:spacing w:line="269" w:lineRule="auto"/>
              <w:jc w:val="center"/>
              <w:rPr>
                <w:sz w:val="22"/>
                <w:szCs w:val="22"/>
                <w:rtl/>
              </w:rPr>
            </w:pPr>
          </w:p>
        </w:tc>
        <w:tc>
          <w:tcPr>
            <w:tcW w:w="841" w:type="dxa"/>
            <w:tcBorders>
              <w:right w:val="single" w:sz="24" w:space="0" w:color="auto"/>
            </w:tcBorders>
          </w:tcPr>
          <w:p w:rsidR="009A1216" w:rsidRPr="00E53E3D" w:rsidRDefault="009A1216" w:rsidP="00604C3D">
            <w:pPr>
              <w:spacing w:line="269" w:lineRule="auto"/>
              <w:jc w:val="center"/>
              <w:rPr>
                <w:sz w:val="22"/>
                <w:szCs w:val="22"/>
                <w:rtl/>
              </w:rPr>
            </w:pPr>
            <w:r w:rsidRPr="00E53E3D">
              <w:rPr>
                <w:sz w:val="22"/>
                <w:szCs w:val="22"/>
                <w:rtl/>
              </w:rPr>
              <w:t>(ג)</w:t>
            </w:r>
            <w:r w:rsidRPr="00E53E3D">
              <w:rPr>
                <w:rFonts w:hint="cs"/>
                <w:sz w:val="22"/>
                <w:szCs w:val="22"/>
                <w:rtl/>
              </w:rPr>
              <w:t xml:space="preserve"> </w:t>
            </w:r>
          </w:p>
        </w:tc>
        <w:tc>
          <w:tcPr>
            <w:tcW w:w="2151"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כלי והפעלה ידנית</w:t>
            </w:r>
          </w:p>
        </w:tc>
        <w:tc>
          <w:tcPr>
            <w:tcW w:w="2592" w:type="dxa"/>
            <w:tcBorders>
              <w:left w:val="single" w:sz="24" w:space="0" w:color="auto"/>
              <w:right w:val="single" w:sz="24" w:space="0" w:color="auto"/>
            </w:tcBorders>
            <w:shd w:val="clear" w:color="auto" w:fill="E17487" w:themeFill="accent1" w:themeFillTint="99"/>
          </w:tcPr>
          <w:p w:rsidR="009A1216" w:rsidRPr="00E53E3D" w:rsidRDefault="00456366" w:rsidP="00604C3D">
            <w:pPr>
              <w:spacing w:line="269" w:lineRule="auto"/>
              <w:jc w:val="center"/>
              <w:rPr>
                <w:b/>
                <w:bCs/>
                <w:sz w:val="22"/>
                <w:szCs w:val="22"/>
                <w:rtl/>
              </w:rPr>
            </w:pPr>
            <w:r w:rsidRPr="00E53E3D">
              <w:rPr>
                <w:rFonts w:hint="cs"/>
                <w:b/>
                <w:bCs/>
                <w:sz w:val="22"/>
                <w:szCs w:val="22"/>
                <w:rtl/>
              </w:rPr>
              <w:t>אסור</w:t>
            </w:r>
          </w:p>
        </w:tc>
        <w:tc>
          <w:tcPr>
            <w:tcW w:w="1222" w:type="dxa"/>
            <w:tcBorders>
              <w:left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לא ידוע</w:t>
            </w:r>
          </w:p>
        </w:tc>
      </w:tr>
      <w:tr w:rsidR="009A1216" w:rsidRPr="00E53E3D" w:rsidTr="005839A2">
        <w:tc>
          <w:tcPr>
            <w:tcW w:w="1168" w:type="dxa"/>
            <w:vMerge/>
            <w:tcBorders>
              <w:left w:val="single" w:sz="24" w:space="0" w:color="auto"/>
              <w:bottom w:val="single" w:sz="24" w:space="0" w:color="auto"/>
            </w:tcBorders>
          </w:tcPr>
          <w:p w:rsidR="009A1216" w:rsidRPr="00E53E3D" w:rsidRDefault="009A1216" w:rsidP="00604C3D">
            <w:pPr>
              <w:spacing w:line="269" w:lineRule="auto"/>
              <w:jc w:val="center"/>
              <w:rPr>
                <w:sz w:val="22"/>
                <w:szCs w:val="22"/>
                <w:rtl/>
              </w:rPr>
            </w:pPr>
          </w:p>
        </w:tc>
        <w:tc>
          <w:tcPr>
            <w:tcW w:w="841" w:type="dxa"/>
            <w:tcBorders>
              <w:bottom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(ד)</w:t>
            </w:r>
            <w:r w:rsidRPr="00E53E3D">
              <w:rPr>
                <w:rFonts w:hint="cs"/>
                <w:sz w:val="22"/>
                <w:szCs w:val="22"/>
              </w:rPr>
              <w:t xml:space="preserve"> </w:t>
            </w:r>
          </w:p>
        </w:tc>
        <w:tc>
          <w:tcPr>
            <w:tcW w:w="2151" w:type="dxa"/>
            <w:tcBorders>
              <w:left w:val="single" w:sz="24" w:space="0" w:color="auto"/>
              <w:bottom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הפעלה ידנית</w:t>
            </w:r>
          </w:p>
        </w:tc>
        <w:tc>
          <w:tcPr>
            <w:tcW w:w="2592" w:type="dxa"/>
            <w:tcBorders>
              <w:left w:val="single" w:sz="24" w:space="0" w:color="auto"/>
              <w:bottom w:val="single" w:sz="24" w:space="0" w:color="auto"/>
              <w:right w:val="single" w:sz="24" w:space="0" w:color="auto"/>
            </w:tcBorders>
            <w:shd w:val="clear" w:color="auto" w:fill="F5D0D7" w:themeFill="accent1" w:themeFillTint="33"/>
          </w:tcPr>
          <w:p w:rsidR="009A1216" w:rsidRPr="00E53E3D" w:rsidRDefault="009A1216" w:rsidP="00604C3D">
            <w:pPr>
              <w:spacing w:line="269" w:lineRule="auto"/>
              <w:jc w:val="center"/>
              <w:rPr>
                <w:b/>
                <w:bCs/>
                <w:sz w:val="22"/>
                <w:szCs w:val="22"/>
                <w:rtl/>
              </w:rPr>
            </w:pPr>
            <w:r w:rsidRPr="00E53E3D">
              <w:rPr>
                <w:rFonts w:hint="eastAsia"/>
                <w:b/>
                <w:bCs/>
                <w:sz w:val="22"/>
                <w:szCs w:val="22"/>
                <w:rtl/>
              </w:rPr>
              <w:t>מעורר</w:t>
            </w:r>
            <w:r w:rsidRPr="00E53E3D">
              <w:rPr>
                <w:b/>
                <w:bCs/>
                <w:sz w:val="22"/>
                <w:szCs w:val="22"/>
                <w:rtl/>
              </w:rPr>
              <w:t xml:space="preserve"> </w:t>
            </w:r>
            <w:r w:rsidRPr="00E53E3D">
              <w:rPr>
                <w:rFonts w:hint="eastAsia"/>
                <w:b/>
                <w:bCs/>
                <w:sz w:val="22"/>
                <w:szCs w:val="22"/>
                <w:rtl/>
              </w:rPr>
              <w:t>קושי</w:t>
            </w:r>
            <w:r w:rsidRPr="00E53E3D">
              <w:rPr>
                <w:b/>
                <w:bCs/>
                <w:sz w:val="22"/>
                <w:szCs w:val="22"/>
                <w:rtl/>
              </w:rPr>
              <w:t xml:space="preserve"> </w:t>
            </w:r>
            <w:r w:rsidRPr="00E53E3D">
              <w:rPr>
                <w:rFonts w:hint="eastAsia"/>
                <w:b/>
                <w:bCs/>
                <w:sz w:val="22"/>
                <w:szCs w:val="22"/>
                <w:rtl/>
              </w:rPr>
              <w:t>משפטי</w:t>
            </w:r>
          </w:p>
        </w:tc>
        <w:tc>
          <w:tcPr>
            <w:tcW w:w="1222" w:type="dxa"/>
            <w:tcBorders>
              <w:left w:val="single" w:sz="24" w:space="0" w:color="auto"/>
              <w:bottom w:val="single" w:sz="24" w:space="0" w:color="auto"/>
              <w:right w:val="single" w:sz="24" w:space="0" w:color="auto"/>
            </w:tcBorders>
          </w:tcPr>
          <w:p w:rsidR="009A1216" w:rsidRPr="00E53E3D" w:rsidRDefault="009A1216" w:rsidP="00604C3D">
            <w:pPr>
              <w:spacing w:line="269" w:lineRule="auto"/>
              <w:jc w:val="center"/>
              <w:rPr>
                <w:sz w:val="22"/>
                <w:szCs w:val="22"/>
                <w:rtl/>
              </w:rPr>
            </w:pPr>
            <w:r w:rsidRPr="00E53E3D">
              <w:rPr>
                <w:rFonts w:hint="cs"/>
                <w:sz w:val="22"/>
                <w:szCs w:val="22"/>
                <w:rtl/>
              </w:rPr>
              <w:t>לא ידוע</w:t>
            </w:r>
          </w:p>
        </w:tc>
      </w:tr>
    </w:tbl>
    <w:bookmarkEnd w:id="440"/>
    <w:bookmarkEnd w:id="441"/>
    <w:p w:rsidR="009A1216" w:rsidRDefault="009A1216" w:rsidP="00604C3D">
      <w:pPr>
        <w:spacing w:line="269" w:lineRule="auto"/>
        <w:rPr>
          <w:szCs w:val="20"/>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B56ECE">
        <w:rPr>
          <w:rFonts w:hint="cs"/>
          <w:szCs w:val="20"/>
          <w:rtl/>
        </w:rPr>
        <w:t>.</w:t>
      </w:r>
    </w:p>
    <w:p w:rsidR="00E4477A" w:rsidRDefault="00E4477A" w:rsidP="00604C3D">
      <w:pPr>
        <w:spacing w:line="269" w:lineRule="auto"/>
        <w:rPr>
          <w:szCs w:val="20"/>
          <w:rtl/>
        </w:rPr>
      </w:pPr>
    </w:p>
    <w:p w:rsidR="009A1216" w:rsidRPr="00B85472" w:rsidRDefault="009A1216" w:rsidP="00E4477A">
      <w:pPr>
        <w:pStyle w:val="aff2"/>
        <w:spacing w:line="269" w:lineRule="auto"/>
        <w:ind w:left="720"/>
        <w:rPr>
          <w:rtl/>
        </w:rPr>
      </w:pPr>
      <w:bookmarkStart w:id="442" w:name="_Hlk155704591"/>
      <w:bookmarkEnd w:id="438"/>
      <w:r w:rsidRPr="00B85472">
        <w:rPr>
          <w:rFonts w:hint="eastAsia"/>
          <w:rtl/>
        </w:rPr>
        <w:t>משרד</w:t>
      </w:r>
      <w:r w:rsidRPr="00B85472">
        <w:rPr>
          <w:rtl/>
        </w:rPr>
        <w:t xml:space="preserve"> מבקר המדינה מצא כי לרשות המשטרה תשעה מתווי </w:t>
      </w:r>
      <w:r w:rsidR="00B86F70" w:rsidRPr="00BB075D">
        <w:rPr>
          <w:rFonts w:hint="cs"/>
          <w:rtl/>
        </w:rPr>
        <w:t>התקנה</w:t>
      </w:r>
      <w:r w:rsidR="00B86F70" w:rsidRPr="00B85472">
        <w:rPr>
          <w:rtl/>
        </w:rPr>
        <w:t xml:space="preserve"> </w:t>
      </w:r>
      <w:r w:rsidRPr="00B85472">
        <w:rPr>
          <w:rtl/>
        </w:rPr>
        <w:t xml:space="preserve">בהם ניתן היה להשתמש בשנים האחרונות. </w:t>
      </w:r>
      <w:r w:rsidRPr="00B85472">
        <w:rPr>
          <w:rFonts w:hint="eastAsia"/>
          <w:rtl/>
        </w:rPr>
        <w:t>המשטרה</w:t>
      </w:r>
      <w:r w:rsidRPr="00096233">
        <w:rPr>
          <w:rtl/>
        </w:rPr>
        <w:t xml:space="preserve"> </w:t>
      </w:r>
      <w:r w:rsidRPr="00096233">
        <w:rPr>
          <w:rFonts w:hint="eastAsia"/>
          <w:rtl/>
        </w:rPr>
        <w:t>השתמשה</w:t>
      </w:r>
      <w:r w:rsidRPr="00096233">
        <w:rPr>
          <w:rtl/>
        </w:rPr>
        <w:t xml:space="preserve"> </w:t>
      </w:r>
      <w:r w:rsidRPr="00096233">
        <w:rPr>
          <w:rFonts w:hint="eastAsia"/>
          <w:rtl/>
        </w:rPr>
        <w:t>בפועל</w:t>
      </w:r>
      <w:r w:rsidRPr="00096233">
        <w:rPr>
          <w:rtl/>
        </w:rPr>
        <w:t xml:space="preserve"> </w:t>
      </w:r>
      <w:r w:rsidRPr="00096233">
        <w:rPr>
          <w:rFonts w:hint="eastAsia"/>
          <w:rtl/>
        </w:rPr>
        <w:t>בשלושה</w:t>
      </w:r>
      <w:r w:rsidRPr="00096233">
        <w:rPr>
          <w:rtl/>
        </w:rPr>
        <w:t xml:space="preserve"> </w:t>
      </w:r>
      <w:r w:rsidRPr="00096233">
        <w:rPr>
          <w:rFonts w:hint="eastAsia"/>
          <w:rtl/>
        </w:rPr>
        <w:t>מתווי</w:t>
      </w:r>
      <w:r w:rsidRPr="00096233">
        <w:rPr>
          <w:rtl/>
        </w:rPr>
        <w:t xml:space="preserve"> </w:t>
      </w:r>
      <w:r w:rsidR="007F1BC5" w:rsidRPr="00BB075D">
        <w:rPr>
          <w:rFonts w:hint="cs"/>
          <w:rtl/>
        </w:rPr>
        <w:t>התקנה</w:t>
      </w:r>
      <w:r w:rsidR="007F1BC5" w:rsidRPr="00B85472">
        <w:rPr>
          <w:rtl/>
        </w:rPr>
        <w:t xml:space="preserve"> </w:t>
      </w:r>
      <w:r w:rsidRPr="00B85472">
        <w:rPr>
          <w:rtl/>
        </w:rPr>
        <w:t xml:space="preserve">אשר חלק מדרכי הביצוע שלהם </w:t>
      </w:r>
      <w:r w:rsidRPr="00096233">
        <w:rPr>
          <w:rFonts w:hint="eastAsia"/>
          <w:rtl/>
        </w:rPr>
        <w:t>נפסלו</w:t>
      </w:r>
      <w:r w:rsidRPr="00096233">
        <w:rPr>
          <w:rtl/>
        </w:rPr>
        <w:t xml:space="preserve"> </w:t>
      </w:r>
      <w:r w:rsidRPr="00096233">
        <w:rPr>
          <w:rFonts w:hint="eastAsia"/>
          <w:rtl/>
        </w:rPr>
        <w:t>או</w:t>
      </w:r>
      <w:r w:rsidRPr="00096233">
        <w:rPr>
          <w:rtl/>
        </w:rPr>
        <w:t xml:space="preserve"> </w:t>
      </w:r>
      <w:r w:rsidRPr="00096233">
        <w:rPr>
          <w:rFonts w:hint="eastAsia"/>
          <w:rtl/>
        </w:rPr>
        <w:t>מעלים</w:t>
      </w:r>
      <w:r w:rsidRPr="00096233">
        <w:rPr>
          <w:rtl/>
        </w:rPr>
        <w:t xml:space="preserve"> </w:t>
      </w:r>
      <w:r w:rsidRPr="00096233">
        <w:rPr>
          <w:rFonts w:hint="eastAsia"/>
          <w:rtl/>
        </w:rPr>
        <w:t>קשיים</w:t>
      </w:r>
      <w:r w:rsidRPr="00E9432B">
        <w:rPr>
          <w:rtl/>
        </w:rPr>
        <w:t xml:space="preserve"> </w:t>
      </w:r>
      <w:r w:rsidRPr="00E9432B">
        <w:rPr>
          <w:rFonts w:hint="eastAsia"/>
          <w:rtl/>
        </w:rPr>
        <w:t>משפטיים</w:t>
      </w:r>
      <w:r w:rsidRPr="00E9432B">
        <w:rPr>
          <w:rtl/>
        </w:rPr>
        <w:t xml:space="preserve">, </w:t>
      </w:r>
      <w:r w:rsidRPr="00E9432B">
        <w:rPr>
          <w:rFonts w:hint="eastAsia"/>
          <w:rtl/>
        </w:rPr>
        <w:t>כמפורט</w:t>
      </w:r>
      <w:r w:rsidRPr="00E9432B">
        <w:rPr>
          <w:rtl/>
        </w:rPr>
        <w:t xml:space="preserve"> להלן: (</w:t>
      </w:r>
      <w:r w:rsidRPr="00E9432B">
        <w:rPr>
          <w:rFonts w:hint="eastAsia"/>
          <w:rtl/>
        </w:rPr>
        <w:t>א</w:t>
      </w:r>
      <w:r w:rsidRPr="00E9432B">
        <w:rPr>
          <w:rtl/>
        </w:rPr>
        <w:t xml:space="preserve">) </w:t>
      </w:r>
      <w:r w:rsidRPr="00E9432B">
        <w:rPr>
          <w:rFonts w:hint="eastAsia"/>
          <w:rtl/>
        </w:rPr>
        <w:t>מתווה</w:t>
      </w:r>
      <w:r w:rsidRPr="00E9432B">
        <w:rPr>
          <w:rtl/>
        </w:rPr>
        <w:t xml:space="preserve"> </w:t>
      </w:r>
      <w:r w:rsidR="007F1BC5" w:rsidRPr="00BB075D">
        <w:rPr>
          <w:rFonts w:hint="cs"/>
          <w:rtl/>
        </w:rPr>
        <w:t>התקנה</w:t>
      </w:r>
      <w:r w:rsidR="007F1BC5" w:rsidRPr="00B85472">
        <w:rPr>
          <w:rtl/>
        </w:rPr>
        <w:t xml:space="preserve"> </w:t>
      </w:r>
      <w:r w:rsidRPr="00B85472">
        <w:rPr>
          <w:rtl/>
        </w:rPr>
        <w:t xml:space="preserve">7 - </w:t>
      </w:r>
      <w:r w:rsidRPr="00B85472">
        <w:rPr>
          <w:rFonts w:hint="eastAsia"/>
          <w:rtl/>
        </w:rPr>
        <w:t>המתווה</w:t>
      </w:r>
      <w:r w:rsidRPr="00096233">
        <w:rPr>
          <w:rtl/>
        </w:rPr>
        <w:t xml:space="preserve"> </w:t>
      </w:r>
      <w:r w:rsidRPr="00096233">
        <w:rPr>
          <w:rFonts w:hint="eastAsia"/>
          <w:rtl/>
        </w:rPr>
        <w:t>לא</w:t>
      </w:r>
      <w:r w:rsidRPr="00096233">
        <w:rPr>
          <w:rtl/>
        </w:rPr>
        <w:t xml:space="preserve"> </w:t>
      </w:r>
      <w:r w:rsidRPr="00096233">
        <w:rPr>
          <w:rFonts w:hint="eastAsia"/>
          <w:rtl/>
        </w:rPr>
        <w:t>אושר</w:t>
      </w:r>
      <w:r w:rsidRPr="00096233">
        <w:rPr>
          <w:rtl/>
        </w:rPr>
        <w:t xml:space="preserve"> </w:t>
      </w:r>
      <w:r w:rsidRPr="00096233">
        <w:rPr>
          <w:rFonts w:hint="eastAsia"/>
          <w:rtl/>
        </w:rPr>
        <w:t>על</w:t>
      </w:r>
      <w:r w:rsidRPr="00096233">
        <w:rPr>
          <w:rtl/>
        </w:rPr>
        <w:t xml:space="preserve"> </w:t>
      </w:r>
      <w:r w:rsidRPr="00096233">
        <w:rPr>
          <w:rFonts w:hint="eastAsia"/>
          <w:rtl/>
        </w:rPr>
        <w:t>ידי</w:t>
      </w:r>
      <w:r w:rsidRPr="00096233">
        <w:rPr>
          <w:rtl/>
        </w:rPr>
        <w:t xml:space="preserve"> הייעוץ המשפטי לממשלה ב</w:t>
      </w:r>
      <w:r w:rsidRPr="00E9432B">
        <w:rPr>
          <w:rFonts w:hint="eastAsia"/>
          <w:rtl/>
        </w:rPr>
        <w:t>משרד</w:t>
      </w:r>
      <w:r w:rsidRPr="00E9432B">
        <w:rPr>
          <w:rtl/>
        </w:rPr>
        <w:t xml:space="preserve"> </w:t>
      </w:r>
      <w:r w:rsidRPr="00E9432B">
        <w:rPr>
          <w:rFonts w:hint="eastAsia"/>
          <w:rtl/>
        </w:rPr>
        <w:t>המשפטים</w:t>
      </w:r>
      <w:r w:rsidRPr="00E9432B">
        <w:rPr>
          <w:rtl/>
        </w:rPr>
        <w:t xml:space="preserve"> </w:t>
      </w:r>
      <w:r w:rsidRPr="00E9432B">
        <w:rPr>
          <w:rFonts w:hint="eastAsia"/>
          <w:rtl/>
        </w:rPr>
        <w:t>בדצמבר</w:t>
      </w:r>
      <w:r w:rsidRPr="00E9432B">
        <w:rPr>
          <w:rtl/>
        </w:rPr>
        <w:t xml:space="preserve"> 2022 </w:t>
      </w:r>
      <w:r w:rsidRPr="00E9432B">
        <w:rPr>
          <w:rFonts w:hint="eastAsia"/>
          <w:rtl/>
        </w:rPr>
        <w:t>משום</w:t>
      </w:r>
      <w:r w:rsidRPr="00E9432B">
        <w:rPr>
          <w:rtl/>
        </w:rPr>
        <w:t xml:space="preserve"> </w:t>
      </w:r>
      <w:r w:rsidRPr="00E9432B">
        <w:rPr>
          <w:rFonts w:hint="eastAsia"/>
          <w:rtl/>
        </w:rPr>
        <w:t>שהוא</w:t>
      </w:r>
      <w:r w:rsidRPr="00E9432B">
        <w:rPr>
          <w:rtl/>
        </w:rPr>
        <w:t xml:space="preserve"> </w:t>
      </w:r>
      <w:r w:rsidRPr="00E9432B">
        <w:rPr>
          <w:rFonts w:hint="eastAsia"/>
          <w:rtl/>
        </w:rPr>
        <w:t>מעורר</w:t>
      </w:r>
      <w:r w:rsidRPr="00E9432B">
        <w:rPr>
          <w:rtl/>
        </w:rPr>
        <w:t xml:space="preserve"> </w:t>
      </w:r>
      <w:r w:rsidRPr="00E9432B">
        <w:rPr>
          <w:rFonts w:hint="eastAsia"/>
          <w:rtl/>
        </w:rPr>
        <w:t>קושי</w:t>
      </w:r>
      <w:r w:rsidRPr="00E9432B">
        <w:rPr>
          <w:rtl/>
        </w:rPr>
        <w:t xml:space="preserve"> </w:t>
      </w:r>
      <w:r w:rsidRPr="00E9432B">
        <w:rPr>
          <w:rFonts w:hint="eastAsia"/>
          <w:rtl/>
        </w:rPr>
        <w:t>משפטי</w:t>
      </w:r>
      <w:r w:rsidRPr="00F8134E">
        <w:rPr>
          <w:rtl/>
        </w:rPr>
        <w:t>; (</w:t>
      </w:r>
      <w:r w:rsidRPr="00F8134E">
        <w:rPr>
          <w:rFonts w:hint="eastAsia"/>
          <w:rtl/>
        </w:rPr>
        <w:t>ב</w:t>
      </w:r>
      <w:r w:rsidRPr="00F8134E">
        <w:rPr>
          <w:rtl/>
        </w:rPr>
        <w:t xml:space="preserve">) מתווה </w:t>
      </w:r>
      <w:r w:rsidR="007F1BC5" w:rsidRPr="00BB075D">
        <w:rPr>
          <w:rFonts w:hint="cs"/>
          <w:rtl/>
        </w:rPr>
        <w:t>התקנה</w:t>
      </w:r>
      <w:r w:rsidR="007F1BC5" w:rsidRPr="00B85472">
        <w:rPr>
          <w:rtl/>
        </w:rPr>
        <w:t xml:space="preserve"> </w:t>
      </w:r>
      <w:r w:rsidRPr="00B85472">
        <w:rPr>
          <w:rtl/>
        </w:rPr>
        <w:t xml:space="preserve">8 </w:t>
      </w:r>
      <w:r w:rsidR="00F10A3E">
        <w:rPr>
          <w:rFonts w:hint="cs"/>
          <w:rtl/>
        </w:rPr>
        <w:t>-</w:t>
      </w:r>
      <w:r w:rsidR="00F10A3E" w:rsidRPr="00B85472">
        <w:rPr>
          <w:rtl/>
        </w:rPr>
        <w:t xml:space="preserve"> </w:t>
      </w:r>
      <w:r w:rsidRPr="00B85472">
        <w:rPr>
          <w:rFonts w:hint="eastAsia"/>
          <w:rtl/>
        </w:rPr>
        <w:t>מתווה</w:t>
      </w:r>
      <w:r w:rsidRPr="00096233">
        <w:rPr>
          <w:rtl/>
        </w:rPr>
        <w:t xml:space="preserve"> שכולל חמש דרכי ביצוע שונות, שהוגדר כ"פעילות טקטית" </w:t>
      </w:r>
      <w:r w:rsidRPr="00096233">
        <w:rPr>
          <w:rFonts w:hint="eastAsia"/>
          <w:rtl/>
        </w:rPr>
        <w:t>המתבצעת</w:t>
      </w:r>
      <w:r w:rsidRPr="00096233">
        <w:rPr>
          <w:rtl/>
        </w:rPr>
        <w:t xml:space="preserve"> באמצעות כלי </w:t>
      </w:r>
      <w:r w:rsidRPr="00096233">
        <w:rPr>
          <w:rFonts w:hint="eastAsia"/>
          <w:rtl/>
        </w:rPr>
        <w:t>טכנולוגי</w:t>
      </w:r>
      <w:r w:rsidRPr="00096233">
        <w:rPr>
          <w:rtl/>
        </w:rPr>
        <w:t xml:space="preserve"> או כלי עזר </w:t>
      </w:r>
      <w:r w:rsidRPr="00096233">
        <w:rPr>
          <w:rFonts w:hint="eastAsia"/>
          <w:rtl/>
        </w:rPr>
        <w:t>או</w:t>
      </w:r>
      <w:r w:rsidRPr="00096233">
        <w:rPr>
          <w:rtl/>
        </w:rPr>
        <w:t xml:space="preserve"> באופן ידני. </w:t>
      </w:r>
      <w:r w:rsidRPr="00E9432B">
        <w:rPr>
          <w:rFonts w:hint="eastAsia"/>
          <w:rtl/>
        </w:rPr>
        <w:t>דרכי</w:t>
      </w:r>
      <w:r w:rsidRPr="00E9432B">
        <w:rPr>
          <w:rtl/>
        </w:rPr>
        <w:t xml:space="preserve"> </w:t>
      </w:r>
      <w:r w:rsidRPr="00E9432B">
        <w:rPr>
          <w:rFonts w:hint="eastAsia"/>
          <w:rtl/>
        </w:rPr>
        <w:t>ביצוע</w:t>
      </w:r>
      <w:r w:rsidRPr="00E9432B">
        <w:rPr>
          <w:rtl/>
        </w:rPr>
        <w:t xml:space="preserve"> </w:t>
      </w:r>
      <w:r w:rsidRPr="00E9432B">
        <w:rPr>
          <w:rFonts w:hint="eastAsia"/>
          <w:rtl/>
        </w:rPr>
        <w:t>אלו</w:t>
      </w:r>
      <w:r w:rsidRPr="00E9432B">
        <w:rPr>
          <w:rtl/>
        </w:rPr>
        <w:t xml:space="preserve"> </w:t>
      </w:r>
      <w:r w:rsidRPr="00E9432B">
        <w:rPr>
          <w:rFonts w:hint="eastAsia"/>
          <w:rtl/>
        </w:rPr>
        <w:t>מעלות</w:t>
      </w:r>
      <w:r w:rsidRPr="00E9432B">
        <w:rPr>
          <w:rtl/>
        </w:rPr>
        <w:t xml:space="preserve"> </w:t>
      </w:r>
      <w:r w:rsidRPr="00E9432B">
        <w:rPr>
          <w:rFonts w:hint="eastAsia"/>
          <w:rtl/>
        </w:rPr>
        <w:t>סוגיות</w:t>
      </w:r>
      <w:r w:rsidRPr="00E9432B">
        <w:rPr>
          <w:rtl/>
        </w:rPr>
        <w:t xml:space="preserve"> </w:t>
      </w:r>
      <w:r w:rsidRPr="00E9432B">
        <w:rPr>
          <w:rFonts w:hint="eastAsia"/>
          <w:rtl/>
        </w:rPr>
        <w:t>משפטיות</w:t>
      </w:r>
      <w:r w:rsidRPr="00E9432B">
        <w:rPr>
          <w:rtl/>
        </w:rPr>
        <w:t xml:space="preserve"> </w:t>
      </w:r>
      <w:r w:rsidRPr="00E9432B">
        <w:rPr>
          <w:rFonts w:hint="eastAsia"/>
          <w:rtl/>
        </w:rPr>
        <w:t>מורכבות</w:t>
      </w:r>
      <w:r w:rsidRPr="00E9432B">
        <w:rPr>
          <w:rtl/>
        </w:rPr>
        <w:t xml:space="preserve">. חלק מדרכי הביצוע נבחנו על </w:t>
      </w:r>
      <w:r w:rsidRPr="00E9432B">
        <w:rPr>
          <w:rFonts w:hint="eastAsia"/>
          <w:rtl/>
        </w:rPr>
        <w:t>ידי</w:t>
      </w:r>
      <w:r w:rsidRPr="00F8134E">
        <w:rPr>
          <w:rtl/>
        </w:rPr>
        <w:t xml:space="preserve"> </w:t>
      </w:r>
      <w:r w:rsidRPr="00F8134E">
        <w:rPr>
          <w:rFonts w:hint="eastAsia"/>
          <w:rtl/>
        </w:rPr>
        <w:t>היועמ</w:t>
      </w:r>
      <w:r w:rsidRPr="00F8134E">
        <w:rPr>
          <w:rtl/>
        </w:rPr>
        <w:t xml:space="preserve">"ש </w:t>
      </w:r>
      <w:r w:rsidRPr="00F8134E">
        <w:rPr>
          <w:rFonts w:hint="eastAsia"/>
          <w:rtl/>
        </w:rPr>
        <w:t>למשטרה</w:t>
      </w:r>
      <w:r w:rsidRPr="00F8134E">
        <w:rPr>
          <w:rtl/>
        </w:rPr>
        <w:t xml:space="preserve"> </w:t>
      </w:r>
      <w:r w:rsidRPr="00F8134E">
        <w:rPr>
          <w:rFonts w:hint="eastAsia"/>
          <w:rtl/>
        </w:rPr>
        <w:t>ופרקליטות</w:t>
      </w:r>
      <w:r w:rsidRPr="00F8134E">
        <w:rPr>
          <w:rtl/>
        </w:rPr>
        <w:t xml:space="preserve"> </w:t>
      </w:r>
      <w:r w:rsidRPr="00F8134E">
        <w:rPr>
          <w:rFonts w:hint="eastAsia"/>
          <w:rtl/>
        </w:rPr>
        <w:t>המדינה</w:t>
      </w:r>
      <w:r w:rsidRPr="00F8134E">
        <w:rPr>
          <w:rtl/>
        </w:rPr>
        <w:t xml:space="preserve">; </w:t>
      </w:r>
      <w:r w:rsidRPr="00F8134E">
        <w:rPr>
          <w:rFonts w:hint="eastAsia"/>
          <w:rtl/>
        </w:rPr>
        <w:t>דרך</w:t>
      </w:r>
      <w:r w:rsidRPr="00F8134E">
        <w:rPr>
          <w:rtl/>
        </w:rPr>
        <w:t xml:space="preserve"> </w:t>
      </w:r>
      <w:r w:rsidRPr="00F8134E">
        <w:rPr>
          <w:rFonts w:hint="eastAsia"/>
          <w:rtl/>
        </w:rPr>
        <w:t>ביצוע</w:t>
      </w:r>
      <w:r w:rsidRPr="00F8134E">
        <w:rPr>
          <w:rtl/>
        </w:rPr>
        <w:t xml:space="preserve"> </w:t>
      </w:r>
      <w:r w:rsidRPr="00F8134E">
        <w:rPr>
          <w:rFonts w:hint="eastAsia"/>
          <w:rtl/>
        </w:rPr>
        <w:t>נוספת</w:t>
      </w:r>
      <w:r w:rsidRPr="00F8134E">
        <w:rPr>
          <w:rtl/>
        </w:rPr>
        <w:t xml:space="preserve"> </w:t>
      </w:r>
      <w:r w:rsidRPr="00F8134E">
        <w:rPr>
          <w:rFonts w:hint="eastAsia"/>
          <w:rtl/>
        </w:rPr>
        <w:t>במתווה</w:t>
      </w:r>
      <w:r w:rsidRPr="00F8134E">
        <w:rPr>
          <w:rtl/>
        </w:rPr>
        <w:t xml:space="preserve"> </w:t>
      </w:r>
      <w:r w:rsidRPr="007804CA">
        <w:rPr>
          <w:rFonts w:hint="eastAsia"/>
          <w:rtl/>
        </w:rPr>
        <w:t>זה</w:t>
      </w:r>
      <w:r w:rsidRPr="007804CA">
        <w:rPr>
          <w:rtl/>
        </w:rPr>
        <w:t xml:space="preserve">, </w:t>
      </w:r>
      <w:r w:rsidRPr="007804CA">
        <w:rPr>
          <w:rFonts w:hint="eastAsia"/>
          <w:rtl/>
        </w:rPr>
        <w:t>הכוללת</w:t>
      </w:r>
      <w:r w:rsidRPr="007804CA">
        <w:rPr>
          <w:rtl/>
        </w:rPr>
        <w:t xml:space="preserve"> </w:t>
      </w:r>
      <w:r w:rsidRPr="007804CA">
        <w:rPr>
          <w:rFonts w:hint="eastAsia"/>
          <w:rtl/>
        </w:rPr>
        <w:t>ביצוע</w:t>
      </w:r>
      <w:r w:rsidRPr="007804CA">
        <w:rPr>
          <w:rtl/>
        </w:rPr>
        <w:t xml:space="preserve"> </w:t>
      </w:r>
      <w:r w:rsidRPr="007804CA">
        <w:rPr>
          <w:rFonts w:hint="eastAsia"/>
          <w:rtl/>
        </w:rPr>
        <w:t>חיפוש</w:t>
      </w:r>
      <w:r w:rsidRPr="007804CA">
        <w:rPr>
          <w:rtl/>
        </w:rPr>
        <w:t xml:space="preserve"> </w:t>
      </w:r>
      <w:r w:rsidRPr="007804CA">
        <w:rPr>
          <w:rFonts w:hint="eastAsia"/>
          <w:rtl/>
        </w:rPr>
        <w:t>סמ</w:t>
      </w:r>
      <w:r w:rsidRPr="0021405A">
        <w:rPr>
          <w:rFonts w:hint="eastAsia"/>
          <w:rtl/>
        </w:rPr>
        <w:t>וי</w:t>
      </w:r>
      <w:r w:rsidRPr="00EE5E9B">
        <w:rPr>
          <w:rtl/>
        </w:rPr>
        <w:t xml:space="preserve"> </w:t>
      </w:r>
      <w:r w:rsidRPr="00EE5E9B">
        <w:rPr>
          <w:rFonts w:hint="eastAsia"/>
          <w:rtl/>
        </w:rPr>
        <w:t>במידע</w:t>
      </w:r>
      <w:r w:rsidRPr="001A3A70">
        <w:rPr>
          <w:rtl/>
        </w:rPr>
        <w:t xml:space="preserve"> </w:t>
      </w:r>
      <w:r w:rsidRPr="001A3A70">
        <w:rPr>
          <w:rFonts w:hint="eastAsia"/>
          <w:rtl/>
        </w:rPr>
        <w:t>אגור</w:t>
      </w:r>
      <w:r w:rsidRPr="001A3A70">
        <w:rPr>
          <w:rtl/>
        </w:rPr>
        <w:t xml:space="preserve"> </w:t>
      </w:r>
      <w:r w:rsidRPr="001A3A70">
        <w:rPr>
          <w:rFonts w:hint="eastAsia"/>
          <w:rtl/>
        </w:rPr>
        <w:t>באמצעות</w:t>
      </w:r>
      <w:r w:rsidRPr="001A3A70">
        <w:rPr>
          <w:rtl/>
        </w:rPr>
        <w:t xml:space="preserve"> </w:t>
      </w:r>
      <w:r w:rsidRPr="001A3A70">
        <w:rPr>
          <w:rFonts w:hint="eastAsia"/>
          <w:rtl/>
        </w:rPr>
        <w:t>כלי</w:t>
      </w:r>
      <w:r w:rsidRPr="001A3A70">
        <w:rPr>
          <w:rtl/>
        </w:rPr>
        <w:t xml:space="preserve"> </w:t>
      </w:r>
      <w:r w:rsidRPr="001A3A70">
        <w:rPr>
          <w:rFonts w:hint="eastAsia"/>
          <w:rtl/>
        </w:rPr>
        <w:t>טכנולוגי</w:t>
      </w:r>
      <w:r w:rsidRPr="001A3A70">
        <w:rPr>
          <w:rtl/>
        </w:rPr>
        <w:t xml:space="preserve">, </w:t>
      </w:r>
      <w:r w:rsidRPr="001A3A70">
        <w:rPr>
          <w:rFonts w:hint="eastAsia"/>
          <w:rtl/>
        </w:rPr>
        <w:t>נפסלה</w:t>
      </w:r>
      <w:r w:rsidRPr="001A3A70">
        <w:rPr>
          <w:rtl/>
        </w:rPr>
        <w:t xml:space="preserve"> </w:t>
      </w:r>
      <w:r w:rsidRPr="001A3A70">
        <w:rPr>
          <w:rFonts w:hint="eastAsia"/>
          <w:rtl/>
        </w:rPr>
        <w:t>בדיעבד</w:t>
      </w:r>
      <w:r w:rsidRPr="001A3A70">
        <w:rPr>
          <w:rtl/>
        </w:rPr>
        <w:t xml:space="preserve"> </w:t>
      </w:r>
      <w:r w:rsidRPr="001A3A70">
        <w:rPr>
          <w:rFonts w:hint="eastAsia"/>
          <w:rtl/>
        </w:rPr>
        <w:t>כפעולה</w:t>
      </w:r>
      <w:r w:rsidRPr="001A3A70">
        <w:rPr>
          <w:rtl/>
        </w:rPr>
        <w:t xml:space="preserve"> </w:t>
      </w:r>
      <w:r w:rsidR="00456366">
        <w:rPr>
          <w:rFonts w:hint="cs"/>
          <w:rtl/>
        </w:rPr>
        <w:t>אסורה</w:t>
      </w:r>
      <w:r w:rsidRPr="001A3A70">
        <w:rPr>
          <w:rtl/>
        </w:rPr>
        <w:t xml:space="preserve"> </w:t>
      </w:r>
      <w:r w:rsidRPr="001A3A70">
        <w:rPr>
          <w:rFonts w:hint="eastAsia"/>
          <w:rtl/>
        </w:rPr>
        <w:t>לנוכח</w:t>
      </w:r>
      <w:r w:rsidRPr="001A3A70">
        <w:rPr>
          <w:rtl/>
        </w:rPr>
        <w:t xml:space="preserve"> </w:t>
      </w:r>
      <w:r w:rsidRPr="001A3A70">
        <w:rPr>
          <w:rFonts w:hint="eastAsia"/>
          <w:rtl/>
        </w:rPr>
        <w:t>מסקנות</w:t>
      </w:r>
      <w:r w:rsidRPr="001A3A70">
        <w:rPr>
          <w:rtl/>
        </w:rPr>
        <w:t xml:space="preserve"> </w:t>
      </w:r>
      <w:r w:rsidRPr="001A3A70">
        <w:rPr>
          <w:rFonts w:hint="eastAsia"/>
          <w:rtl/>
        </w:rPr>
        <w:t>צוות</w:t>
      </w:r>
      <w:r w:rsidRPr="001A3A70">
        <w:rPr>
          <w:rtl/>
        </w:rPr>
        <w:t xml:space="preserve"> </w:t>
      </w:r>
      <w:r w:rsidRPr="001A3A70">
        <w:rPr>
          <w:rFonts w:hint="eastAsia"/>
          <w:rtl/>
        </w:rPr>
        <w:t>מררי</w:t>
      </w:r>
      <w:r w:rsidRPr="001A3A70">
        <w:rPr>
          <w:rtl/>
        </w:rPr>
        <w:t xml:space="preserve">; (ג) </w:t>
      </w:r>
      <w:r w:rsidRPr="001A3A70">
        <w:rPr>
          <w:rFonts w:hint="eastAsia"/>
          <w:rtl/>
        </w:rPr>
        <w:t>מתווה</w:t>
      </w:r>
      <w:r w:rsidRPr="001A3A70">
        <w:rPr>
          <w:rtl/>
        </w:rPr>
        <w:t xml:space="preserve"> </w:t>
      </w:r>
      <w:r w:rsidR="007F1BC5" w:rsidRPr="00BB075D">
        <w:rPr>
          <w:rFonts w:hint="cs"/>
          <w:rtl/>
        </w:rPr>
        <w:t>התקנה</w:t>
      </w:r>
      <w:r w:rsidR="007F1BC5" w:rsidRPr="00B85472">
        <w:rPr>
          <w:rtl/>
        </w:rPr>
        <w:t xml:space="preserve"> </w:t>
      </w:r>
      <w:r w:rsidRPr="00B85472">
        <w:rPr>
          <w:rtl/>
        </w:rPr>
        <w:t xml:space="preserve">9(ג) - </w:t>
      </w:r>
      <w:r w:rsidRPr="00B85472">
        <w:rPr>
          <w:rFonts w:hint="eastAsia"/>
          <w:rtl/>
        </w:rPr>
        <w:t>מתווה</w:t>
      </w:r>
      <w:r w:rsidRPr="00096233">
        <w:rPr>
          <w:rtl/>
        </w:rPr>
        <w:t xml:space="preserve"> </w:t>
      </w:r>
      <w:r w:rsidRPr="00096233">
        <w:rPr>
          <w:rFonts w:hint="eastAsia"/>
          <w:rtl/>
        </w:rPr>
        <w:t>שכולל</w:t>
      </w:r>
      <w:r w:rsidRPr="00096233">
        <w:rPr>
          <w:rtl/>
        </w:rPr>
        <w:t xml:space="preserve"> </w:t>
      </w:r>
      <w:r w:rsidRPr="00096233">
        <w:rPr>
          <w:rFonts w:hint="eastAsia"/>
          <w:rtl/>
        </w:rPr>
        <w:t>ארבע</w:t>
      </w:r>
      <w:r w:rsidRPr="00096233">
        <w:rPr>
          <w:rtl/>
        </w:rPr>
        <w:t xml:space="preserve"> </w:t>
      </w:r>
      <w:r w:rsidRPr="00096233">
        <w:rPr>
          <w:rFonts w:hint="eastAsia"/>
          <w:rtl/>
        </w:rPr>
        <w:t>דרכי</w:t>
      </w:r>
      <w:r w:rsidRPr="00096233">
        <w:rPr>
          <w:rtl/>
        </w:rPr>
        <w:t xml:space="preserve"> </w:t>
      </w:r>
      <w:r w:rsidRPr="00096233">
        <w:rPr>
          <w:rFonts w:hint="eastAsia"/>
          <w:rtl/>
        </w:rPr>
        <w:t>ביצוע</w:t>
      </w:r>
      <w:r w:rsidRPr="00096233">
        <w:rPr>
          <w:rtl/>
        </w:rPr>
        <w:t xml:space="preserve"> </w:t>
      </w:r>
      <w:r w:rsidRPr="00E9432B">
        <w:rPr>
          <w:rFonts w:hint="eastAsia"/>
          <w:rtl/>
        </w:rPr>
        <w:t>שונות</w:t>
      </w:r>
      <w:r w:rsidRPr="00E9432B">
        <w:rPr>
          <w:rtl/>
        </w:rPr>
        <w:t xml:space="preserve">. </w:t>
      </w:r>
      <w:r w:rsidRPr="00E9432B">
        <w:rPr>
          <w:rFonts w:hint="eastAsia"/>
          <w:rtl/>
        </w:rPr>
        <w:t>דרך</w:t>
      </w:r>
      <w:r w:rsidRPr="00E9432B">
        <w:rPr>
          <w:rtl/>
        </w:rPr>
        <w:t xml:space="preserve"> </w:t>
      </w:r>
      <w:r w:rsidRPr="00E9432B">
        <w:rPr>
          <w:rFonts w:hint="eastAsia"/>
          <w:rtl/>
        </w:rPr>
        <w:t>ביצוע</w:t>
      </w:r>
      <w:r w:rsidRPr="00E9432B">
        <w:rPr>
          <w:rtl/>
        </w:rPr>
        <w:t xml:space="preserve"> </w:t>
      </w:r>
      <w:r w:rsidRPr="00E9432B">
        <w:rPr>
          <w:rFonts w:hint="eastAsia"/>
          <w:rtl/>
        </w:rPr>
        <w:t>אחת</w:t>
      </w:r>
      <w:r w:rsidRPr="00E9432B">
        <w:rPr>
          <w:rtl/>
        </w:rPr>
        <w:t xml:space="preserve"> </w:t>
      </w:r>
      <w:r w:rsidRPr="00E9432B">
        <w:rPr>
          <w:rFonts w:hint="eastAsia"/>
          <w:rtl/>
        </w:rPr>
        <w:t>במתווה</w:t>
      </w:r>
      <w:r w:rsidRPr="00E9432B">
        <w:rPr>
          <w:rtl/>
        </w:rPr>
        <w:t xml:space="preserve"> </w:t>
      </w:r>
      <w:r w:rsidRPr="00E9432B">
        <w:rPr>
          <w:rFonts w:hint="eastAsia"/>
          <w:rtl/>
        </w:rPr>
        <w:t>זה</w:t>
      </w:r>
      <w:r w:rsidRPr="00E9432B">
        <w:rPr>
          <w:rtl/>
        </w:rPr>
        <w:t xml:space="preserve"> </w:t>
      </w:r>
      <w:r w:rsidRPr="00E9432B">
        <w:rPr>
          <w:rFonts w:hint="eastAsia"/>
          <w:rtl/>
        </w:rPr>
        <w:t>נפסלה</w:t>
      </w:r>
      <w:r w:rsidRPr="00E9432B">
        <w:rPr>
          <w:rtl/>
        </w:rPr>
        <w:t xml:space="preserve"> לנוכח מסקנות צוות מררי </w:t>
      </w:r>
      <w:r w:rsidRPr="00E9432B">
        <w:rPr>
          <w:rFonts w:hint="eastAsia"/>
          <w:rtl/>
        </w:rPr>
        <w:t>כי</w:t>
      </w:r>
      <w:r w:rsidRPr="00F8134E">
        <w:rPr>
          <w:rtl/>
        </w:rPr>
        <w:t xml:space="preserve"> </w:t>
      </w:r>
      <w:r w:rsidRPr="00F8134E">
        <w:rPr>
          <w:rFonts w:hint="eastAsia"/>
          <w:rtl/>
        </w:rPr>
        <w:t>היא</w:t>
      </w:r>
      <w:r w:rsidRPr="00F8134E">
        <w:rPr>
          <w:rtl/>
        </w:rPr>
        <w:t xml:space="preserve"> </w:t>
      </w:r>
      <w:r w:rsidR="00EF587E">
        <w:rPr>
          <w:rFonts w:hint="cs"/>
          <w:rtl/>
        </w:rPr>
        <w:t xml:space="preserve">פעולה </w:t>
      </w:r>
      <w:r w:rsidR="00456366">
        <w:rPr>
          <w:rFonts w:hint="cs"/>
          <w:rtl/>
        </w:rPr>
        <w:t>אסורה ש</w:t>
      </w:r>
      <w:r w:rsidRPr="00F8134E">
        <w:rPr>
          <w:rFonts w:hint="eastAsia"/>
          <w:rtl/>
        </w:rPr>
        <w:t>כוללת</w:t>
      </w:r>
      <w:r w:rsidRPr="00F8134E">
        <w:rPr>
          <w:rtl/>
        </w:rPr>
        <w:t xml:space="preserve"> </w:t>
      </w:r>
      <w:r w:rsidRPr="00F8134E">
        <w:rPr>
          <w:rFonts w:hint="eastAsia"/>
          <w:rtl/>
        </w:rPr>
        <w:t>חיפוש</w:t>
      </w:r>
      <w:r w:rsidRPr="00F8134E">
        <w:rPr>
          <w:rtl/>
        </w:rPr>
        <w:t xml:space="preserve"> </w:t>
      </w:r>
      <w:r w:rsidRPr="00F8134E">
        <w:rPr>
          <w:rFonts w:hint="eastAsia"/>
          <w:rtl/>
        </w:rPr>
        <w:t>סמוי</w:t>
      </w:r>
      <w:r w:rsidRPr="00B85472">
        <w:rPr>
          <w:rStyle w:val="af"/>
          <w:rtl/>
        </w:rPr>
        <w:footnoteReference w:id="169"/>
      </w:r>
      <w:r w:rsidRPr="00B85472">
        <w:rPr>
          <w:rtl/>
        </w:rPr>
        <w:t xml:space="preserve"> במידע אגור. </w:t>
      </w:r>
    </w:p>
    <w:p w:rsidR="009A1216" w:rsidRPr="00096233" w:rsidRDefault="00382AE8" w:rsidP="00604C3D">
      <w:pPr>
        <w:pStyle w:val="a5"/>
        <w:spacing w:line="269" w:lineRule="auto"/>
        <w:rPr>
          <w:rtl/>
        </w:rPr>
      </w:pPr>
      <w:r>
        <w:rPr>
          <w:rtl/>
        </w:rPr>
        <w:t xml:space="preserve"> </w:t>
      </w:r>
    </w:p>
    <w:p w:rsidR="009A1216" w:rsidRPr="007804CA" w:rsidRDefault="009A1216" w:rsidP="00E4477A">
      <w:pPr>
        <w:spacing w:line="269" w:lineRule="auto"/>
        <w:ind w:left="720"/>
        <w:rPr>
          <w:rtl/>
        </w:rPr>
      </w:pPr>
      <w:r w:rsidRPr="00096233">
        <w:rPr>
          <w:rFonts w:hint="eastAsia"/>
          <w:rtl/>
        </w:rPr>
        <w:t>המשטרה</w:t>
      </w:r>
      <w:r w:rsidRPr="00096233">
        <w:rPr>
          <w:rtl/>
        </w:rPr>
        <w:t xml:space="preserve"> </w:t>
      </w:r>
      <w:r w:rsidRPr="00096233">
        <w:rPr>
          <w:rFonts w:hint="eastAsia"/>
          <w:rtl/>
        </w:rPr>
        <w:t>מסרה</w:t>
      </w:r>
      <w:r w:rsidRPr="00096233">
        <w:rPr>
          <w:rtl/>
        </w:rPr>
        <w:t xml:space="preserve"> </w:t>
      </w:r>
      <w:r w:rsidRPr="00096233">
        <w:rPr>
          <w:rFonts w:hint="eastAsia"/>
          <w:rtl/>
        </w:rPr>
        <w:t>בתגובתה</w:t>
      </w:r>
      <w:r w:rsidRPr="00096233">
        <w:rPr>
          <w:rtl/>
        </w:rPr>
        <w:t xml:space="preserve"> </w:t>
      </w:r>
      <w:r w:rsidRPr="00096233">
        <w:rPr>
          <w:rFonts w:hint="eastAsia"/>
          <w:rtl/>
        </w:rPr>
        <w:t>כי</w:t>
      </w:r>
      <w:r w:rsidRPr="00096233">
        <w:rPr>
          <w:rtl/>
        </w:rPr>
        <w:t xml:space="preserve"> </w:t>
      </w:r>
      <w:r w:rsidRPr="00E9432B">
        <w:rPr>
          <w:rFonts w:hint="eastAsia"/>
          <w:rtl/>
        </w:rPr>
        <w:t>בנוגע</w:t>
      </w:r>
      <w:r w:rsidRPr="00E9432B">
        <w:rPr>
          <w:rtl/>
        </w:rPr>
        <w:t xml:space="preserve"> </w:t>
      </w:r>
      <w:r w:rsidRPr="00E9432B">
        <w:rPr>
          <w:rFonts w:hint="eastAsia"/>
          <w:rtl/>
        </w:rPr>
        <w:t>למתווה</w:t>
      </w:r>
      <w:r w:rsidRPr="00E9432B">
        <w:rPr>
          <w:rtl/>
        </w:rPr>
        <w:t xml:space="preserve"> </w:t>
      </w:r>
      <w:r w:rsidR="007F1BC5" w:rsidRPr="00BB075D">
        <w:rPr>
          <w:rFonts w:hint="cs"/>
          <w:rtl/>
        </w:rPr>
        <w:t>התקנה</w:t>
      </w:r>
      <w:r w:rsidR="007F1BC5" w:rsidRPr="00096233">
        <w:rPr>
          <w:rtl/>
        </w:rPr>
        <w:t xml:space="preserve"> </w:t>
      </w:r>
      <w:r w:rsidRPr="00096233">
        <w:rPr>
          <w:rtl/>
        </w:rPr>
        <w:t xml:space="preserve">7 </w:t>
      </w:r>
      <w:r w:rsidR="00F10A3E">
        <w:rPr>
          <w:rFonts w:hint="cs"/>
          <w:rtl/>
        </w:rPr>
        <w:t>-</w:t>
      </w:r>
      <w:r w:rsidR="00F10A3E" w:rsidRPr="00096233">
        <w:rPr>
          <w:rtl/>
        </w:rPr>
        <w:t xml:space="preserve"> </w:t>
      </w:r>
      <w:r w:rsidRPr="00096233">
        <w:rPr>
          <w:rFonts w:hint="eastAsia"/>
          <w:rtl/>
        </w:rPr>
        <w:t>בעבר</w:t>
      </w:r>
      <w:r w:rsidRPr="00096233">
        <w:rPr>
          <w:rtl/>
        </w:rPr>
        <w:t xml:space="preserve"> מתווה זה בוצע באמצעות כלי טכנולוגי </w:t>
      </w:r>
      <w:r w:rsidRPr="00096233">
        <w:rPr>
          <w:rFonts w:hint="eastAsia"/>
          <w:rtl/>
        </w:rPr>
        <w:t>וזאת</w:t>
      </w:r>
      <w:r w:rsidRPr="00096233">
        <w:rPr>
          <w:rtl/>
        </w:rPr>
        <w:t xml:space="preserve"> </w:t>
      </w:r>
      <w:r w:rsidRPr="00E9432B">
        <w:rPr>
          <w:rFonts w:hint="eastAsia"/>
          <w:rtl/>
        </w:rPr>
        <w:t>במסגרת</w:t>
      </w:r>
      <w:r w:rsidRPr="00E9432B">
        <w:rPr>
          <w:rtl/>
        </w:rPr>
        <w:t xml:space="preserve"> </w:t>
      </w:r>
      <w:r w:rsidRPr="00E9432B">
        <w:rPr>
          <w:rFonts w:hint="eastAsia"/>
          <w:rtl/>
        </w:rPr>
        <w:t>צו</w:t>
      </w:r>
      <w:r w:rsidRPr="00E9432B">
        <w:rPr>
          <w:rtl/>
        </w:rPr>
        <w:t xml:space="preserve"> </w:t>
      </w:r>
      <w:r w:rsidRPr="00E9432B">
        <w:rPr>
          <w:rFonts w:hint="eastAsia"/>
          <w:rtl/>
        </w:rPr>
        <w:t>האזנת</w:t>
      </w:r>
      <w:r w:rsidRPr="00E9432B">
        <w:rPr>
          <w:rtl/>
        </w:rPr>
        <w:t xml:space="preserve"> </w:t>
      </w:r>
      <w:r w:rsidRPr="00E9432B">
        <w:rPr>
          <w:rFonts w:hint="eastAsia"/>
          <w:rtl/>
        </w:rPr>
        <w:t>סתר</w:t>
      </w:r>
      <w:r w:rsidRPr="00E9432B">
        <w:rPr>
          <w:rtl/>
        </w:rPr>
        <w:t xml:space="preserve"> </w:t>
      </w:r>
      <w:r w:rsidRPr="00E9432B">
        <w:rPr>
          <w:rFonts w:hint="eastAsia"/>
          <w:rtl/>
        </w:rPr>
        <w:t>לתקשורת</w:t>
      </w:r>
      <w:r w:rsidRPr="00E9432B">
        <w:rPr>
          <w:rtl/>
        </w:rPr>
        <w:t xml:space="preserve"> </w:t>
      </w:r>
      <w:r w:rsidRPr="00E9432B">
        <w:rPr>
          <w:rFonts w:hint="eastAsia"/>
          <w:rtl/>
        </w:rPr>
        <w:t>בין</w:t>
      </w:r>
      <w:r w:rsidRPr="00E9432B">
        <w:rPr>
          <w:rtl/>
        </w:rPr>
        <w:t xml:space="preserve"> </w:t>
      </w:r>
      <w:r w:rsidRPr="00E9432B">
        <w:rPr>
          <w:rFonts w:hint="eastAsia"/>
          <w:rtl/>
        </w:rPr>
        <w:t>מחשבים</w:t>
      </w:r>
      <w:r w:rsidRPr="00E9432B">
        <w:rPr>
          <w:rtl/>
        </w:rPr>
        <w:t xml:space="preserve">. לאחר קבלת התייחסות משרד המשפטים בסוף 2022, היא ניוונה את היכולת לעשות שימוש במתווה זה באמצעות כלי טכנולוגי זה. זאת, לנוכח הקושי המשפטי המתעורר בנוגע למתווה זה. אך לעמדתה יש מקרים בהם היא עשויה להיות רשאית להשתמש במתווה זה באמצעות הכלי. בהקשר זה הבהירה המשטרה כי בחלק מהמקרים, שמספרם אינו ידוע, </w:t>
      </w:r>
      <w:r w:rsidRPr="00F8134E">
        <w:rPr>
          <w:rFonts w:hint="eastAsia"/>
          <w:rtl/>
        </w:rPr>
        <w:t>הפעולה</w:t>
      </w:r>
      <w:r w:rsidRPr="00F8134E">
        <w:rPr>
          <w:rtl/>
        </w:rPr>
        <w:t xml:space="preserve"> </w:t>
      </w:r>
      <w:r w:rsidRPr="00F8134E">
        <w:rPr>
          <w:rFonts w:hint="eastAsia"/>
          <w:rtl/>
        </w:rPr>
        <w:t>בוצעה</w:t>
      </w:r>
      <w:r w:rsidRPr="00F8134E">
        <w:rPr>
          <w:rtl/>
        </w:rPr>
        <w:t xml:space="preserve"> באופן ידני </w:t>
      </w:r>
      <w:r w:rsidRPr="00F8134E">
        <w:rPr>
          <w:rFonts w:hint="eastAsia"/>
          <w:rtl/>
        </w:rPr>
        <w:t>ו</w:t>
      </w:r>
      <w:r w:rsidR="002123EE">
        <w:rPr>
          <w:rFonts w:hint="cs"/>
          <w:rtl/>
        </w:rPr>
        <w:t>כלי טכנולוגי מסוים</w:t>
      </w:r>
      <w:r w:rsidRPr="00F8134E">
        <w:rPr>
          <w:rtl/>
        </w:rPr>
        <w:t xml:space="preserve"> נבח</w:t>
      </w:r>
      <w:r w:rsidR="002123EE">
        <w:rPr>
          <w:rFonts w:hint="cs"/>
          <w:rtl/>
        </w:rPr>
        <w:t>ן</w:t>
      </w:r>
      <w:r w:rsidRPr="00F8134E">
        <w:rPr>
          <w:rtl/>
        </w:rPr>
        <w:t xml:space="preserve"> במקביל</w:t>
      </w:r>
      <w:r w:rsidR="002123EE">
        <w:rPr>
          <w:rFonts w:hint="cs"/>
          <w:rtl/>
        </w:rPr>
        <w:t xml:space="preserve"> לפעולה</w:t>
      </w:r>
      <w:r w:rsidR="00B76766">
        <w:rPr>
          <w:rFonts w:hint="cs"/>
          <w:rtl/>
        </w:rPr>
        <w:t xml:space="preserve"> הידנית</w:t>
      </w:r>
      <w:r w:rsidRPr="00F8134E">
        <w:rPr>
          <w:rtl/>
        </w:rPr>
        <w:t xml:space="preserve"> ובלי שניתן אישור משפטי לכך. </w:t>
      </w:r>
      <w:r w:rsidRPr="00F8134E">
        <w:rPr>
          <w:rFonts w:hint="eastAsia"/>
          <w:rtl/>
        </w:rPr>
        <w:t>עוד</w:t>
      </w:r>
      <w:r w:rsidRPr="00F8134E">
        <w:rPr>
          <w:rtl/>
        </w:rPr>
        <w:t xml:space="preserve"> </w:t>
      </w:r>
      <w:r w:rsidRPr="00F8134E">
        <w:rPr>
          <w:rFonts w:hint="eastAsia"/>
          <w:rtl/>
        </w:rPr>
        <w:t>מסרה</w:t>
      </w:r>
      <w:r w:rsidRPr="00F8134E">
        <w:rPr>
          <w:rtl/>
        </w:rPr>
        <w:t xml:space="preserve"> </w:t>
      </w:r>
      <w:r w:rsidRPr="00F8134E">
        <w:rPr>
          <w:rFonts w:hint="eastAsia"/>
          <w:rtl/>
        </w:rPr>
        <w:t>המשטרה</w:t>
      </w:r>
      <w:r w:rsidRPr="00F8134E">
        <w:rPr>
          <w:rtl/>
        </w:rPr>
        <w:t xml:space="preserve"> </w:t>
      </w:r>
      <w:r w:rsidRPr="00F8134E">
        <w:rPr>
          <w:rFonts w:hint="eastAsia"/>
          <w:rtl/>
        </w:rPr>
        <w:t>כי</w:t>
      </w:r>
      <w:r w:rsidRPr="00F8134E">
        <w:rPr>
          <w:rtl/>
        </w:rPr>
        <w:t xml:space="preserve"> "פעולה זו, אף שלכאורה ניתן להסביר אותה כאמור, ככל הנראה לא הובהרה בבקשה לצו. עם זאת, במקרים אלו, ככל שאירעו, תוצרי האזנת הסתר לא שימשו לצורך פעילות אופרטיבית</w:t>
      </w:r>
      <w:r w:rsidRPr="007804CA">
        <w:rPr>
          <w:rtl/>
        </w:rPr>
        <w:t>"</w:t>
      </w:r>
      <w:r w:rsidR="00B13C9A" w:rsidRPr="007804CA">
        <w:rPr>
          <w:rtl/>
        </w:rPr>
        <w:t>.</w:t>
      </w:r>
    </w:p>
    <w:p w:rsidR="009A1216" w:rsidRPr="00EE5E9B" w:rsidRDefault="00382AE8" w:rsidP="00E4477A">
      <w:pPr>
        <w:pStyle w:val="a5"/>
        <w:spacing w:line="269" w:lineRule="auto"/>
        <w:ind w:left="153"/>
        <w:rPr>
          <w:rtl/>
        </w:rPr>
      </w:pPr>
      <w:r>
        <w:rPr>
          <w:rtl/>
        </w:rPr>
        <w:t xml:space="preserve"> </w:t>
      </w:r>
    </w:p>
    <w:p w:rsidR="009A1216" w:rsidRPr="00096233" w:rsidRDefault="009A1216" w:rsidP="00E4477A">
      <w:pPr>
        <w:spacing w:line="269" w:lineRule="auto"/>
        <w:ind w:left="720"/>
        <w:rPr>
          <w:rtl/>
        </w:rPr>
      </w:pPr>
      <w:r w:rsidRPr="001A3A70">
        <w:rPr>
          <w:rFonts w:hint="eastAsia"/>
          <w:rtl/>
        </w:rPr>
        <w:t>אשר</w:t>
      </w:r>
      <w:r w:rsidRPr="001A3A70">
        <w:rPr>
          <w:rtl/>
        </w:rPr>
        <w:t xml:space="preserve"> </w:t>
      </w:r>
      <w:r w:rsidRPr="001A3A70">
        <w:rPr>
          <w:rFonts w:hint="eastAsia"/>
          <w:rtl/>
        </w:rPr>
        <w:t>להסדרה</w:t>
      </w:r>
      <w:r w:rsidRPr="001A3A70">
        <w:rPr>
          <w:rtl/>
        </w:rPr>
        <w:t xml:space="preserve"> </w:t>
      </w:r>
      <w:r w:rsidRPr="001A3A70">
        <w:rPr>
          <w:rFonts w:hint="eastAsia"/>
          <w:rtl/>
        </w:rPr>
        <w:t>המשפטית</w:t>
      </w:r>
      <w:r w:rsidRPr="001A3A70">
        <w:rPr>
          <w:rtl/>
        </w:rPr>
        <w:t xml:space="preserve"> </w:t>
      </w:r>
      <w:r w:rsidRPr="001A3A70">
        <w:rPr>
          <w:rFonts w:hint="eastAsia"/>
          <w:rtl/>
        </w:rPr>
        <w:t>של</w:t>
      </w:r>
      <w:r w:rsidRPr="001A3A70">
        <w:rPr>
          <w:rtl/>
        </w:rPr>
        <w:t xml:space="preserve"> </w:t>
      </w:r>
      <w:r w:rsidRPr="001A3A70">
        <w:rPr>
          <w:rFonts w:hint="eastAsia"/>
          <w:rtl/>
        </w:rPr>
        <w:t>מתווה</w:t>
      </w:r>
      <w:r w:rsidRPr="001A3A70">
        <w:rPr>
          <w:rtl/>
        </w:rPr>
        <w:t xml:space="preserve"> </w:t>
      </w:r>
      <w:r w:rsidR="007F1BC5" w:rsidRPr="00BB075D">
        <w:rPr>
          <w:rFonts w:hint="cs"/>
          <w:rtl/>
        </w:rPr>
        <w:t>התקנה</w:t>
      </w:r>
      <w:r w:rsidR="007F1BC5" w:rsidRPr="00096233">
        <w:rPr>
          <w:rtl/>
        </w:rPr>
        <w:t xml:space="preserve"> </w:t>
      </w:r>
      <w:r w:rsidRPr="00096233">
        <w:rPr>
          <w:rtl/>
        </w:rPr>
        <w:t xml:space="preserve">7 </w:t>
      </w:r>
      <w:r w:rsidRPr="00096233">
        <w:rPr>
          <w:rFonts w:hint="eastAsia"/>
          <w:rtl/>
        </w:rPr>
        <w:t>מסרה</w:t>
      </w:r>
      <w:r w:rsidRPr="00096233">
        <w:rPr>
          <w:rtl/>
        </w:rPr>
        <w:t xml:space="preserve"> </w:t>
      </w:r>
      <w:r w:rsidRPr="00096233">
        <w:rPr>
          <w:rFonts w:hint="eastAsia"/>
          <w:rtl/>
        </w:rPr>
        <w:t>המשטרה</w:t>
      </w:r>
      <w:r w:rsidRPr="00096233">
        <w:rPr>
          <w:rtl/>
        </w:rPr>
        <w:t xml:space="preserve"> </w:t>
      </w:r>
      <w:r w:rsidRPr="00096233">
        <w:rPr>
          <w:rFonts w:hint="eastAsia"/>
          <w:rtl/>
        </w:rPr>
        <w:t>כי</w:t>
      </w:r>
      <w:r w:rsidRPr="00096233">
        <w:rPr>
          <w:rtl/>
        </w:rPr>
        <w:t xml:space="preserve"> </w:t>
      </w:r>
      <w:r w:rsidRPr="00096233">
        <w:rPr>
          <w:rFonts w:hint="eastAsia"/>
          <w:rtl/>
        </w:rPr>
        <w:t>לטעמה</w:t>
      </w:r>
      <w:r w:rsidRPr="00096233">
        <w:rPr>
          <w:rtl/>
        </w:rPr>
        <w:t xml:space="preserve"> </w:t>
      </w:r>
      <w:r w:rsidRPr="00096233">
        <w:rPr>
          <w:rFonts w:hint="eastAsia"/>
          <w:rtl/>
        </w:rPr>
        <w:t>לא</w:t>
      </w:r>
      <w:r w:rsidRPr="00096233">
        <w:rPr>
          <w:rtl/>
        </w:rPr>
        <w:t xml:space="preserve"> </w:t>
      </w:r>
      <w:r w:rsidRPr="00096233">
        <w:rPr>
          <w:rFonts w:hint="eastAsia"/>
          <w:rtl/>
        </w:rPr>
        <w:t>נדרשת</w:t>
      </w:r>
      <w:r w:rsidRPr="00096233">
        <w:rPr>
          <w:rtl/>
        </w:rPr>
        <w:t xml:space="preserve"> </w:t>
      </w:r>
      <w:r w:rsidRPr="00E9432B">
        <w:rPr>
          <w:rFonts w:hint="eastAsia"/>
          <w:rtl/>
        </w:rPr>
        <w:t>חוות</w:t>
      </w:r>
      <w:r w:rsidRPr="00E9432B">
        <w:rPr>
          <w:rtl/>
        </w:rPr>
        <w:t xml:space="preserve"> </w:t>
      </w:r>
      <w:r w:rsidRPr="00E9432B">
        <w:rPr>
          <w:rFonts w:hint="eastAsia"/>
          <w:rtl/>
        </w:rPr>
        <w:t>דעת</w:t>
      </w:r>
      <w:r w:rsidRPr="00E9432B">
        <w:rPr>
          <w:rtl/>
        </w:rPr>
        <w:t xml:space="preserve"> </w:t>
      </w:r>
      <w:r w:rsidRPr="00E9432B">
        <w:rPr>
          <w:rFonts w:hint="eastAsia"/>
          <w:rtl/>
        </w:rPr>
        <w:t>משפטית</w:t>
      </w:r>
      <w:r w:rsidRPr="00E9432B">
        <w:rPr>
          <w:rtl/>
        </w:rPr>
        <w:t xml:space="preserve"> </w:t>
      </w:r>
      <w:r w:rsidRPr="00E9432B">
        <w:rPr>
          <w:rFonts w:hint="eastAsia"/>
          <w:rtl/>
        </w:rPr>
        <w:t>בנוגע</w:t>
      </w:r>
      <w:r w:rsidRPr="00E9432B">
        <w:rPr>
          <w:rtl/>
        </w:rPr>
        <w:t xml:space="preserve"> </w:t>
      </w:r>
      <w:r w:rsidRPr="00E9432B">
        <w:rPr>
          <w:rFonts w:hint="eastAsia"/>
          <w:rtl/>
        </w:rPr>
        <w:t>למקרה</w:t>
      </w:r>
      <w:r w:rsidRPr="00E9432B">
        <w:rPr>
          <w:rtl/>
        </w:rPr>
        <w:t xml:space="preserve"> </w:t>
      </w:r>
      <w:r w:rsidRPr="00E9432B">
        <w:rPr>
          <w:rFonts w:hint="eastAsia"/>
          <w:rtl/>
        </w:rPr>
        <w:t>בו</w:t>
      </w:r>
      <w:r w:rsidRPr="00E9432B">
        <w:rPr>
          <w:rtl/>
        </w:rPr>
        <w:t xml:space="preserve"> </w:t>
      </w:r>
      <w:r w:rsidRPr="00E9432B">
        <w:rPr>
          <w:rFonts w:hint="eastAsia"/>
          <w:rtl/>
        </w:rPr>
        <w:t>היא</w:t>
      </w:r>
      <w:r w:rsidRPr="00E9432B">
        <w:rPr>
          <w:rtl/>
        </w:rPr>
        <w:t xml:space="preserve"> </w:t>
      </w:r>
      <w:r w:rsidRPr="00E9432B">
        <w:rPr>
          <w:rFonts w:hint="eastAsia"/>
          <w:rtl/>
        </w:rPr>
        <w:t>עשויה</w:t>
      </w:r>
      <w:r w:rsidRPr="00F8134E">
        <w:rPr>
          <w:rtl/>
        </w:rPr>
        <w:t xml:space="preserve"> </w:t>
      </w:r>
      <w:r w:rsidRPr="00F8134E">
        <w:rPr>
          <w:rFonts w:hint="eastAsia"/>
          <w:rtl/>
        </w:rPr>
        <w:t>להיות</w:t>
      </w:r>
      <w:r w:rsidRPr="00F8134E">
        <w:rPr>
          <w:rtl/>
        </w:rPr>
        <w:t xml:space="preserve"> </w:t>
      </w:r>
      <w:r w:rsidRPr="00F8134E">
        <w:rPr>
          <w:rFonts w:hint="eastAsia"/>
          <w:rtl/>
        </w:rPr>
        <w:t>רשאית</w:t>
      </w:r>
      <w:r w:rsidRPr="00F8134E">
        <w:rPr>
          <w:rtl/>
        </w:rPr>
        <w:t xml:space="preserve"> </w:t>
      </w:r>
      <w:r w:rsidRPr="00F8134E">
        <w:rPr>
          <w:rFonts w:hint="eastAsia"/>
          <w:rtl/>
        </w:rPr>
        <w:t>להשתמש</w:t>
      </w:r>
      <w:r w:rsidRPr="00F8134E">
        <w:rPr>
          <w:rtl/>
        </w:rPr>
        <w:t xml:space="preserve"> </w:t>
      </w:r>
      <w:r w:rsidRPr="00F8134E">
        <w:rPr>
          <w:rFonts w:hint="eastAsia"/>
          <w:rtl/>
        </w:rPr>
        <w:t>במתווה</w:t>
      </w:r>
      <w:r w:rsidRPr="00F8134E">
        <w:rPr>
          <w:rtl/>
        </w:rPr>
        <w:t xml:space="preserve"> </w:t>
      </w:r>
      <w:r w:rsidR="007F1BC5" w:rsidRPr="00BB075D">
        <w:rPr>
          <w:rFonts w:hint="cs"/>
          <w:rtl/>
        </w:rPr>
        <w:t>התקנה</w:t>
      </w:r>
      <w:r w:rsidR="007F1BC5" w:rsidRPr="00096233">
        <w:rPr>
          <w:rtl/>
        </w:rPr>
        <w:t xml:space="preserve"> </w:t>
      </w:r>
      <w:r w:rsidRPr="00096233">
        <w:rPr>
          <w:rtl/>
        </w:rPr>
        <w:t xml:space="preserve">7, </w:t>
      </w:r>
      <w:r w:rsidRPr="00096233">
        <w:rPr>
          <w:rFonts w:hint="eastAsia"/>
          <w:rtl/>
        </w:rPr>
        <w:t>משום</w:t>
      </w:r>
      <w:r w:rsidRPr="00096233">
        <w:rPr>
          <w:rtl/>
        </w:rPr>
        <w:t xml:space="preserve"> "שמדובר בפעולה שאין בה הפעלת סמכות, וכל אדם יכול לעשותה, לפיכך אין מניעה משפטית לעשות כן". </w:t>
      </w:r>
    </w:p>
    <w:p w:rsidR="009A1216" w:rsidRPr="00096233" w:rsidRDefault="009A1216" w:rsidP="00E4477A">
      <w:pPr>
        <w:pStyle w:val="a5"/>
        <w:spacing w:line="269" w:lineRule="auto"/>
        <w:ind w:left="153"/>
        <w:rPr>
          <w:rtl/>
        </w:rPr>
      </w:pPr>
    </w:p>
    <w:p w:rsidR="009A1216" w:rsidRPr="00F8134E" w:rsidRDefault="009A1216" w:rsidP="00E4477A">
      <w:pPr>
        <w:spacing w:line="269" w:lineRule="auto"/>
        <w:ind w:left="720"/>
        <w:rPr>
          <w:sz w:val="24"/>
          <w:rtl/>
        </w:rPr>
      </w:pPr>
      <w:r w:rsidRPr="00096233">
        <w:rPr>
          <w:rFonts w:hint="eastAsia"/>
          <w:sz w:val="24"/>
          <w:rtl/>
        </w:rPr>
        <w:t>מתשובת</w:t>
      </w:r>
      <w:r w:rsidRPr="00096233">
        <w:rPr>
          <w:sz w:val="24"/>
          <w:rtl/>
        </w:rPr>
        <w:t xml:space="preserve"> </w:t>
      </w:r>
      <w:r w:rsidRPr="00096233">
        <w:rPr>
          <w:rFonts w:hint="eastAsia"/>
          <w:sz w:val="24"/>
          <w:rtl/>
        </w:rPr>
        <w:t>משרד</w:t>
      </w:r>
      <w:r w:rsidRPr="00E9432B">
        <w:rPr>
          <w:sz w:val="24"/>
          <w:rtl/>
        </w:rPr>
        <w:t xml:space="preserve"> </w:t>
      </w:r>
      <w:r w:rsidRPr="00E9432B">
        <w:rPr>
          <w:rFonts w:hint="eastAsia"/>
          <w:sz w:val="24"/>
          <w:rtl/>
        </w:rPr>
        <w:t>המשפטים</w:t>
      </w:r>
      <w:r w:rsidRPr="00E9432B">
        <w:rPr>
          <w:sz w:val="24"/>
          <w:rtl/>
        </w:rPr>
        <w:t xml:space="preserve"> </w:t>
      </w:r>
      <w:r w:rsidRPr="00E9432B">
        <w:rPr>
          <w:rFonts w:hint="eastAsia"/>
          <w:sz w:val="24"/>
          <w:rtl/>
        </w:rPr>
        <w:t>מנובמבר</w:t>
      </w:r>
      <w:r w:rsidRPr="00E9432B">
        <w:rPr>
          <w:sz w:val="24"/>
          <w:rtl/>
        </w:rPr>
        <w:t xml:space="preserve"> 2024 </w:t>
      </w:r>
      <w:r w:rsidRPr="00E9432B">
        <w:rPr>
          <w:rFonts w:hint="eastAsia"/>
          <w:sz w:val="24"/>
          <w:rtl/>
        </w:rPr>
        <w:t>עולה</w:t>
      </w:r>
      <w:r w:rsidRPr="00E9432B">
        <w:rPr>
          <w:sz w:val="24"/>
          <w:rtl/>
        </w:rPr>
        <w:t xml:space="preserve"> </w:t>
      </w:r>
      <w:r w:rsidRPr="00E9432B">
        <w:rPr>
          <w:rFonts w:hint="eastAsia"/>
          <w:sz w:val="24"/>
          <w:rtl/>
        </w:rPr>
        <w:t>כי</w:t>
      </w:r>
      <w:r w:rsidRPr="00E9432B">
        <w:rPr>
          <w:sz w:val="24"/>
          <w:rtl/>
        </w:rPr>
        <w:t xml:space="preserve"> </w:t>
      </w:r>
      <w:r w:rsidRPr="00E9432B">
        <w:rPr>
          <w:rFonts w:hint="eastAsia"/>
          <w:sz w:val="24"/>
          <w:rtl/>
        </w:rPr>
        <w:t>משרד</w:t>
      </w:r>
      <w:r w:rsidRPr="00E9432B">
        <w:rPr>
          <w:sz w:val="24"/>
          <w:rtl/>
        </w:rPr>
        <w:t xml:space="preserve"> </w:t>
      </w:r>
      <w:r w:rsidRPr="00E9432B">
        <w:rPr>
          <w:rFonts w:hint="eastAsia"/>
          <w:sz w:val="24"/>
          <w:rtl/>
        </w:rPr>
        <w:t>המשפטים</w:t>
      </w:r>
      <w:r w:rsidRPr="00E9432B">
        <w:rPr>
          <w:sz w:val="24"/>
          <w:rtl/>
        </w:rPr>
        <w:t xml:space="preserve"> </w:t>
      </w:r>
      <w:r w:rsidRPr="00E9432B">
        <w:rPr>
          <w:rFonts w:hint="eastAsia"/>
          <w:sz w:val="24"/>
          <w:rtl/>
        </w:rPr>
        <w:t>לא</w:t>
      </w:r>
      <w:r w:rsidRPr="00E9432B">
        <w:rPr>
          <w:sz w:val="24"/>
          <w:rtl/>
        </w:rPr>
        <w:t xml:space="preserve"> </w:t>
      </w:r>
      <w:r w:rsidRPr="00F8134E">
        <w:rPr>
          <w:rFonts w:hint="eastAsia"/>
          <w:sz w:val="24"/>
          <w:rtl/>
        </w:rPr>
        <w:t>מכיר</w:t>
      </w:r>
      <w:r w:rsidRPr="00F8134E">
        <w:rPr>
          <w:sz w:val="24"/>
          <w:rtl/>
        </w:rPr>
        <w:t xml:space="preserve"> </w:t>
      </w:r>
      <w:r w:rsidRPr="00F8134E">
        <w:rPr>
          <w:rFonts w:hint="eastAsia"/>
          <w:sz w:val="24"/>
          <w:rtl/>
        </w:rPr>
        <w:t>את</w:t>
      </w:r>
      <w:r w:rsidRPr="00F8134E">
        <w:rPr>
          <w:sz w:val="24"/>
          <w:rtl/>
        </w:rPr>
        <w:t xml:space="preserve"> </w:t>
      </w:r>
      <w:r w:rsidRPr="00F8134E">
        <w:rPr>
          <w:rFonts w:hint="eastAsia"/>
          <w:sz w:val="24"/>
          <w:rtl/>
        </w:rPr>
        <w:t>ההבחנה</w:t>
      </w:r>
      <w:r w:rsidRPr="00F8134E">
        <w:rPr>
          <w:sz w:val="24"/>
          <w:rtl/>
        </w:rPr>
        <w:t xml:space="preserve"> </w:t>
      </w:r>
      <w:r w:rsidRPr="00F8134E">
        <w:rPr>
          <w:rFonts w:hint="eastAsia"/>
          <w:sz w:val="24"/>
          <w:rtl/>
        </w:rPr>
        <w:t>שביצעה</w:t>
      </w:r>
      <w:r w:rsidRPr="00F8134E">
        <w:rPr>
          <w:sz w:val="24"/>
          <w:rtl/>
        </w:rPr>
        <w:t xml:space="preserve"> </w:t>
      </w:r>
      <w:r w:rsidRPr="00F8134E">
        <w:rPr>
          <w:rFonts w:hint="eastAsia"/>
          <w:sz w:val="24"/>
          <w:rtl/>
        </w:rPr>
        <w:t>המשטרה</w:t>
      </w:r>
      <w:r w:rsidRPr="00F8134E">
        <w:rPr>
          <w:sz w:val="24"/>
          <w:rtl/>
        </w:rPr>
        <w:t xml:space="preserve"> </w:t>
      </w:r>
      <w:r w:rsidRPr="00F8134E">
        <w:rPr>
          <w:rFonts w:hint="eastAsia"/>
          <w:sz w:val="24"/>
          <w:rtl/>
        </w:rPr>
        <w:t>בנוגע</w:t>
      </w:r>
      <w:r w:rsidRPr="00F8134E">
        <w:rPr>
          <w:sz w:val="24"/>
          <w:rtl/>
        </w:rPr>
        <w:t xml:space="preserve"> </w:t>
      </w:r>
      <w:r w:rsidRPr="00F8134E">
        <w:rPr>
          <w:rFonts w:hint="eastAsia"/>
          <w:sz w:val="24"/>
          <w:rtl/>
        </w:rPr>
        <w:t>למתווה</w:t>
      </w:r>
      <w:r w:rsidRPr="00F8134E">
        <w:rPr>
          <w:sz w:val="24"/>
          <w:rtl/>
        </w:rPr>
        <w:t xml:space="preserve"> </w:t>
      </w:r>
      <w:r w:rsidR="007F1BC5" w:rsidRPr="00BB075D">
        <w:rPr>
          <w:rFonts w:hint="cs"/>
          <w:sz w:val="24"/>
          <w:rtl/>
        </w:rPr>
        <w:t>התקנה</w:t>
      </w:r>
      <w:r w:rsidR="007F1BC5" w:rsidRPr="00096233">
        <w:rPr>
          <w:sz w:val="24"/>
          <w:rtl/>
        </w:rPr>
        <w:t xml:space="preserve"> </w:t>
      </w:r>
      <w:r w:rsidRPr="00096233">
        <w:rPr>
          <w:sz w:val="24"/>
          <w:rtl/>
        </w:rPr>
        <w:t xml:space="preserve">7 </w:t>
      </w:r>
      <w:r w:rsidRPr="00096233">
        <w:rPr>
          <w:rFonts w:hint="eastAsia"/>
          <w:sz w:val="24"/>
          <w:rtl/>
        </w:rPr>
        <w:t>משום</w:t>
      </w:r>
      <w:r w:rsidRPr="00096233">
        <w:rPr>
          <w:sz w:val="24"/>
          <w:rtl/>
        </w:rPr>
        <w:t xml:space="preserve"> </w:t>
      </w:r>
      <w:r w:rsidRPr="00096233">
        <w:rPr>
          <w:rFonts w:hint="eastAsia"/>
          <w:sz w:val="24"/>
          <w:rtl/>
        </w:rPr>
        <w:t>שאין</w:t>
      </w:r>
      <w:r w:rsidRPr="00096233">
        <w:rPr>
          <w:sz w:val="24"/>
          <w:rtl/>
        </w:rPr>
        <w:t xml:space="preserve"> </w:t>
      </w:r>
      <w:r w:rsidRPr="00096233">
        <w:rPr>
          <w:rFonts w:hint="eastAsia"/>
          <w:sz w:val="24"/>
          <w:rtl/>
        </w:rPr>
        <w:t>הוא</w:t>
      </w:r>
      <w:r w:rsidRPr="00096233">
        <w:rPr>
          <w:sz w:val="24"/>
          <w:rtl/>
        </w:rPr>
        <w:t xml:space="preserve"> </w:t>
      </w:r>
      <w:r w:rsidRPr="00096233">
        <w:rPr>
          <w:rFonts w:hint="eastAsia"/>
          <w:sz w:val="24"/>
          <w:rtl/>
        </w:rPr>
        <w:t>מכיר</w:t>
      </w:r>
      <w:r w:rsidRPr="00096233">
        <w:rPr>
          <w:sz w:val="24"/>
          <w:rtl/>
        </w:rPr>
        <w:t xml:space="preserve"> </w:t>
      </w:r>
      <w:r w:rsidRPr="00096233">
        <w:rPr>
          <w:rFonts w:hint="eastAsia"/>
          <w:sz w:val="24"/>
          <w:rtl/>
        </w:rPr>
        <w:t>חלק</w:t>
      </w:r>
      <w:r w:rsidRPr="00096233">
        <w:rPr>
          <w:sz w:val="24"/>
          <w:rtl/>
        </w:rPr>
        <w:t xml:space="preserve"> </w:t>
      </w:r>
      <w:r w:rsidRPr="00096233">
        <w:rPr>
          <w:rFonts w:hint="eastAsia"/>
          <w:sz w:val="24"/>
          <w:rtl/>
        </w:rPr>
        <w:t>מדרכי</w:t>
      </w:r>
      <w:r w:rsidRPr="00096233">
        <w:rPr>
          <w:sz w:val="24"/>
          <w:rtl/>
        </w:rPr>
        <w:t xml:space="preserve"> </w:t>
      </w:r>
      <w:r w:rsidRPr="00E9432B">
        <w:rPr>
          <w:rFonts w:hint="eastAsia"/>
          <w:sz w:val="24"/>
          <w:rtl/>
        </w:rPr>
        <w:t>הביצוע</w:t>
      </w:r>
      <w:r w:rsidRPr="00E9432B">
        <w:rPr>
          <w:sz w:val="24"/>
          <w:rtl/>
        </w:rPr>
        <w:t xml:space="preserve"> </w:t>
      </w:r>
      <w:r w:rsidRPr="00E9432B">
        <w:rPr>
          <w:rFonts w:hint="eastAsia"/>
          <w:sz w:val="24"/>
          <w:rtl/>
        </w:rPr>
        <w:t>אותן</w:t>
      </w:r>
      <w:r w:rsidRPr="00E9432B">
        <w:rPr>
          <w:sz w:val="24"/>
          <w:rtl/>
        </w:rPr>
        <w:t xml:space="preserve"> </w:t>
      </w:r>
      <w:r w:rsidRPr="00E9432B">
        <w:rPr>
          <w:rFonts w:hint="eastAsia"/>
          <w:sz w:val="24"/>
          <w:rtl/>
        </w:rPr>
        <w:t>תיארה</w:t>
      </w:r>
      <w:r w:rsidRPr="00E9432B">
        <w:rPr>
          <w:sz w:val="24"/>
          <w:rtl/>
        </w:rPr>
        <w:t xml:space="preserve"> </w:t>
      </w:r>
      <w:r w:rsidRPr="00E9432B">
        <w:rPr>
          <w:rFonts w:hint="eastAsia"/>
          <w:sz w:val="24"/>
          <w:rtl/>
        </w:rPr>
        <w:t>המשטרה</w:t>
      </w:r>
      <w:r w:rsidRPr="00E9432B">
        <w:rPr>
          <w:sz w:val="24"/>
          <w:rtl/>
        </w:rPr>
        <w:t xml:space="preserve">, </w:t>
      </w:r>
      <w:r w:rsidRPr="00E9432B">
        <w:rPr>
          <w:rFonts w:hint="eastAsia"/>
          <w:sz w:val="24"/>
          <w:rtl/>
        </w:rPr>
        <w:t>ולפיכך</w:t>
      </w:r>
      <w:r w:rsidRPr="00E9432B">
        <w:rPr>
          <w:sz w:val="24"/>
          <w:rtl/>
        </w:rPr>
        <w:t xml:space="preserve"> </w:t>
      </w:r>
      <w:r w:rsidRPr="00E9432B">
        <w:rPr>
          <w:rFonts w:hint="eastAsia"/>
          <w:sz w:val="24"/>
          <w:rtl/>
        </w:rPr>
        <w:t>לא</w:t>
      </w:r>
      <w:r w:rsidRPr="00E9432B">
        <w:rPr>
          <w:sz w:val="24"/>
          <w:rtl/>
        </w:rPr>
        <w:t xml:space="preserve"> </w:t>
      </w:r>
      <w:r w:rsidRPr="00E9432B">
        <w:rPr>
          <w:rFonts w:hint="eastAsia"/>
          <w:sz w:val="24"/>
          <w:rtl/>
        </w:rPr>
        <w:t>נכתבה</w:t>
      </w:r>
      <w:r w:rsidRPr="00E9432B">
        <w:rPr>
          <w:sz w:val="24"/>
          <w:rtl/>
        </w:rPr>
        <w:t xml:space="preserve"> </w:t>
      </w:r>
      <w:r w:rsidRPr="00E9432B">
        <w:rPr>
          <w:rFonts w:hint="eastAsia"/>
          <w:sz w:val="24"/>
          <w:rtl/>
        </w:rPr>
        <w:t>חוות</w:t>
      </w:r>
      <w:r w:rsidRPr="00F8134E">
        <w:rPr>
          <w:sz w:val="24"/>
          <w:rtl/>
        </w:rPr>
        <w:t xml:space="preserve"> </w:t>
      </w:r>
      <w:r w:rsidRPr="00F8134E">
        <w:rPr>
          <w:rFonts w:hint="eastAsia"/>
          <w:sz w:val="24"/>
          <w:rtl/>
        </w:rPr>
        <w:t>דעת</w:t>
      </w:r>
      <w:r w:rsidRPr="00F8134E">
        <w:rPr>
          <w:sz w:val="24"/>
          <w:rtl/>
        </w:rPr>
        <w:t xml:space="preserve"> בנושא.</w:t>
      </w:r>
    </w:p>
    <w:p w:rsidR="009A1216" w:rsidRPr="00F8134E" w:rsidRDefault="009A1216" w:rsidP="00E4477A">
      <w:pPr>
        <w:pStyle w:val="a5"/>
        <w:spacing w:line="269" w:lineRule="auto"/>
        <w:ind w:left="153"/>
        <w:rPr>
          <w:rtl/>
        </w:rPr>
      </w:pPr>
      <w:r w:rsidRPr="00F8134E">
        <w:rPr>
          <w:rtl/>
        </w:rPr>
        <w:t xml:space="preserve"> </w:t>
      </w:r>
      <w:r w:rsidR="00382AE8">
        <w:rPr>
          <w:rtl/>
        </w:rPr>
        <w:t xml:space="preserve"> </w:t>
      </w:r>
    </w:p>
    <w:p w:rsidR="009A1216" w:rsidRPr="00096233" w:rsidRDefault="009A1216" w:rsidP="00E4477A">
      <w:pPr>
        <w:spacing w:line="269" w:lineRule="auto"/>
        <w:ind w:left="720"/>
        <w:rPr>
          <w:b/>
          <w:bCs/>
          <w:rtl/>
        </w:rPr>
      </w:pPr>
      <w:r w:rsidRPr="00F8134E">
        <w:rPr>
          <w:rFonts w:hint="eastAsia"/>
          <w:b/>
          <w:bCs/>
          <w:rtl/>
        </w:rPr>
        <w:t>מבקר</w:t>
      </w:r>
      <w:r w:rsidRPr="00F8134E">
        <w:rPr>
          <w:b/>
          <w:bCs/>
          <w:rtl/>
        </w:rPr>
        <w:t xml:space="preserve"> המדינה מעיר למשטרה כי ביצוע מתווה </w:t>
      </w:r>
      <w:r w:rsidR="007F1BC5" w:rsidRPr="00BB075D">
        <w:rPr>
          <w:rFonts w:hint="cs"/>
          <w:b/>
          <w:bCs/>
          <w:rtl/>
        </w:rPr>
        <w:t>התקנה</w:t>
      </w:r>
      <w:r w:rsidR="007F1BC5" w:rsidRPr="00096233">
        <w:rPr>
          <w:b/>
          <w:bCs/>
          <w:rtl/>
        </w:rPr>
        <w:t xml:space="preserve"> </w:t>
      </w:r>
      <w:r w:rsidRPr="00096233">
        <w:rPr>
          <w:b/>
          <w:bCs/>
          <w:rtl/>
        </w:rPr>
        <w:t xml:space="preserve">7 - שמביא לפגיעה בזכות לפרטיות וכן מעלה סוגיות משפטיות שונות, דורש הכנת חוות דעת משפטית להסדרת ביצוע פעולה זו בשיתוף הייעוץ המשפטי לממשלה במשרד המשפטים. חוות דעת זו נדרשת להצביע, בין היתר, על מקור הסמכות החוקי ועל התנאים שבהם נדרשת המשטרה לעמוד כדי לבצעה. </w:t>
      </w:r>
    </w:p>
    <w:bookmarkEnd w:id="442"/>
    <w:p w:rsidR="009A1216" w:rsidRPr="00096233" w:rsidRDefault="00382AE8" w:rsidP="00E4477A">
      <w:pPr>
        <w:pStyle w:val="a5"/>
        <w:spacing w:line="269" w:lineRule="auto"/>
        <w:ind w:left="153"/>
        <w:rPr>
          <w:rtl/>
        </w:rPr>
      </w:pPr>
      <w:r>
        <w:rPr>
          <w:rtl/>
        </w:rPr>
        <w:t xml:space="preserve"> </w:t>
      </w:r>
    </w:p>
    <w:p w:rsidR="009A1216" w:rsidRPr="00096233" w:rsidRDefault="009A1216" w:rsidP="00E4477A">
      <w:pPr>
        <w:spacing w:line="269" w:lineRule="auto"/>
        <w:ind w:left="720"/>
        <w:rPr>
          <w:rtl/>
        </w:rPr>
      </w:pPr>
      <w:r w:rsidRPr="00E9432B">
        <w:rPr>
          <w:rFonts w:hint="eastAsia"/>
          <w:rtl/>
        </w:rPr>
        <w:t>המשטרה</w:t>
      </w:r>
      <w:r w:rsidRPr="00E9432B">
        <w:rPr>
          <w:rtl/>
        </w:rPr>
        <w:t xml:space="preserve"> </w:t>
      </w:r>
      <w:r w:rsidRPr="00E9432B">
        <w:rPr>
          <w:rFonts w:hint="eastAsia"/>
          <w:rtl/>
        </w:rPr>
        <w:t>מסרה</w:t>
      </w:r>
      <w:r w:rsidRPr="00E9432B">
        <w:rPr>
          <w:rtl/>
        </w:rPr>
        <w:t xml:space="preserve"> </w:t>
      </w:r>
      <w:r w:rsidRPr="00E9432B">
        <w:rPr>
          <w:rFonts w:hint="eastAsia"/>
          <w:rtl/>
        </w:rPr>
        <w:t>בתשובתה</w:t>
      </w:r>
      <w:r w:rsidRPr="00E9432B">
        <w:rPr>
          <w:rtl/>
        </w:rPr>
        <w:t xml:space="preserve"> </w:t>
      </w:r>
      <w:r w:rsidRPr="00E9432B">
        <w:rPr>
          <w:rFonts w:hint="eastAsia"/>
          <w:rtl/>
        </w:rPr>
        <w:t>מפברואר</w:t>
      </w:r>
      <w:r w:rsidRPr="00E9432B">
        <w:rPr>
          <w:rtl/>
        </w:rPr>
        <w:t xml:space="preserve"> 2025 </w:t>
      </w:r>
      <w:r w:rsidRPr="00E9432B">
        <w:rPr>
          <w:rFonts w:hint="eastAsia"/>
          <w:rtl/>
        </w:rPr>
        <w:t>כי</w:t>
      </w:r>
      <w:r w:rsidRPr="00E9432B">
        <w:rPr>
          <w:rtl/>
        </w:rPr>
        <w:t xml:space="preserve"> </w:t>
      </w:r>
      <w:r w:rsidRPr="00E9432B">
        <w:rPr>
          <w:rFonts w:hint="eastAsia"/>
          <w:rtl/>
        </w:rPr>
        <w:t>היא</w:t>
      </w:r>
      <w:r w:rsidRPr="00E9432B">
        <w:rPr>
          <w:rtl/>
        </w:rPr>
        <w:t xml:space="preserve"> </w:t>
      </w:r>
      <w:r w:rsidRPr="00E9432B">
        <w:rPr>
          <w:rFonts w:hint="eastAsia"/>
          <w:rtl/>
        </w:rPr>
        <w:t>לא</w:t>
      </w:r>
      <w:r w:rsidRPr="00E9432B">
        <w:rPr>
          <w:rtl/>
        </w:rPr>
        <w:t xml:space="preserve"> </w:t>
      </w:r>
      <w:r w:rsidRPr="00E9432B">
        <w:rPr>
          <w:rFonts w:hint="eastAsia"/>
          <w:rtl/>
        </w:rPr>
        <w:t>מבצעת</w:t>
      </w:r>
      <w:r w:rsidRPr="00F8134E">
        <w:rPr>
          <w:rtl/>
        </w:rPr>
        <w:t xml:space="preserve"> </w:t>
      </w:r>
      <w:r w:rsidRPr="00F8134E">
        <w:rPr>
          <w:rFonts w:hint="eastAsia"/>
          <w:rtl/>
        </w:rPr>
        <w:t>את</w:t>
      </w:r>
      <w:r w:rsidRPr="00F8134E">
        <w:rPr>
          <w:rtl/>
        </w:rPr>
        <w:t xml:space="preserve"> </w:t>
      </w:r>
      <w:r w:rsidRPr="00F8134E">
        <w:rPr>
          <w:rFonts w:hint="eastAsia"/>
          <w:rtl/>
        </w:rPr>
        <w:t>מתווה</w:t>
      </w:r>
      <w:r w:rsidRPr="00F8134E">
        <w:rPr>
          <w:rtl/>
        </w:rPr>
        <w:t xml:space="preserve"> </w:t>
      </w:r>
      <w:r w:rsidR="007F1BC5" w:rsidRPr="00BB075D">
        <w:rPr>
          <w:rFonts w:hint="cs"/>
          <w:rtl/>
        </w:rPr>
        <w:t>התקנה</w:t>
      </w:r>
      <w:r w:rsidR="007F1BC5" w:rsidRPr="00096233">
        <w:rPr>
          <w:rtl/>
        </w:rPr>
        <w:t xml:space="preserve"> </w:t>
      </w:r>
      <w:r w:rsidRPr="00096233">
        <w:rPr>
          <w:rtl/>
        </w:rPr>
        <w:t xml:space="preserve">7 </w:t>
      </w:r>
      <w:r w:rsidRPr="00096233">
        <w:rPr>
          <w:rFonts w:hint="eastAsia"/>
          <w:rtl/>
        </w:rPr>
        <w:t>באופן</w:t>
      </w:r>
      <w:r w:rsidRPr="00096233">
        <w:rPr>
          <w:rtl/>
        </w:rPr>
        <w:t xml:space="preserve"> </w:t>
      </w:r>
      <w:r w:rsidRPr="00096233">
        <w:rPr>
          <w:rFonts w:hint="eastAsia"/>
          <w:rtl/>
        </w:rPr>
        <w:t>ידני</w:t>
      </w:r>
      <w:r w:rsidRPr="00096233">
        <w:rPr>
          <w:rtl/>
        </w:rPr>
        <w:t xml:space="preserve"> </w:t>
      </w:r>
      <w:r w:rsidRPr="00096233">
        <w:rPr>
          <w:rFonts w:hint="eastAsia"/>
          <w:rtl/>
        </w:rPr>
        <w:t>או</w:t>
      </w:r>
      <w:r w:rsidRPr="00096233">
        <w:rPr>
          <w:rtl/>
        </w:rPr>
        <w:t xml:space="preserve"> </w:t>
      </w:r>
      <w:r w:rsidRPr="00096233">
        <w:rPr>
          <w:rFonts w:hint="eastAsia"/>
          <w:rtl/>
        </w:rPr>
        <w:t>ממוכן</w:t>
      </w:r>
      <w:r w:rsidRPr="00096233">
        <w:rPr>
          <w:rtl/>
        </w:rPr>
        <w:t xml:space="preserve">, </w:t>
      </w:r>
      <w:r w:rsidRPr="00096233">
        <w:rPr>
          <w:rFonts w:hint="eastAsia"/>
          <w:rtl/>
        </w:rPr>
        <w:t>וכל</w:t>
      </w:r>
      <w:r w:rsidRPr="00096233">
        <w:rPr>
          <w:rtl/>
        </w:rPr>
        <w:t xml:space="preserve"> </w:t>
      </w:r>
      <w:r w:rsidRPr="00096233">
        <w:rPr>
          <w:rFonts w:hint="eastAsia"/>
          <w:rtl/>
        </w:rPr>
        <w:t>הפעולות</w:t>
      </w:r>
      <w:r w:rsidRPr="00E9432B">
        <w:rPr>
          <w:rtl/>
        </w:rPr>
        <w:t xml:space="preserve"> </w:t>
      </w:r>
      <w:r w:rsidRPr="00E9432B">
        <w:rPr>
          <w:rFonts w:hint="eastAsia"/>
          <w:rtl/>
        </w:rPr>
        <w:t>שמבוצעות</w:t>
      </w:r>
      <w:r w:rsidRPr="00E9432B">
        <w:rPr>
          <w:rtl/>
        </w:rPr>
        <w:t xml:space="preserve"> </w:t>
      </w:r>
      <w:r w:rsidRPr="00E9432B">
        <w:rPr>
          <w:rFonts w:hint="eastAsia"/>
          <w:rtl/>
        </w:rPr>
        <w:t>ביחס</w:t>
      </w:r>
      <w:r w:rsidRPr="00E9432B">
        <w:rPr>
          <w:rtl/>
        </w:rPr>
        <w:t xml:space="preserve"> </w:t>
      </w:r>
      <w:r w:rsidR="007F1BC5" w:rsidRPr="00BB075D">
        <w:rPr>
          <w:rFonts w:hint="cs"/>
          <w:rtl/>
        </w:rPr>
        <w:t>להתקנה של כלי טכנולוגי</w:t>
      </w:r>
      <w:r w:rsidR="007F1BC5" w:rsidRPr="00096233">
        <w:rPr>
          <w:rtl/>
        </w:rPr>
        <w:t xml:space="preserve"> </w:t>
      </w:r>
      <w:r w:rsidR="007F1BC5" w:rsidRPr="00BB075D">
        <w:rPr>
          <w:rFonts w:hint="cs"/>
          <w:rtl/>
        </w:rPr>
        <w:t>על</w:t>
      </w:r>
      <w:r w:rsidRPr="00096233">
        <w:rPr>
          <w:rtl/>
        </w:rPr>
        <w:t xml:space="preserve"> </w:t>
      </w:r>
      <w:r w:rsidRPr="00096233">
        <w:rPr>
          <w:rFonts w:hint="eastAsia"/>
          <w:rtl/>
        </w:rPr>
        <w:t>האמצעי</w:t>
      </w:r>
      <w:r w:rsidRPr="00096233">
        <w:rPr>
          <w:rtl/>
        </w:rPr>
        <w:t xml:space="preserve"> </w:t>
      </w:r>
      <w:r w:rsidRPr="00096233">
        <w:rPr>
          <w:rFonts w:hint="eastAsia"/>
          <w:rtl/>
        </w:rPr>
        <w:t>המואזן</w:t>
      </w:r>
      <w:r w:rsidRPr="00096233">
        <w:rPr>
          <w:rtl/>
        </w:rPr>
        <w:t xml:space="preserve"> </w:t>
      </w:r>
      <w:r w:rsidRPr="00096233">
        <w:rPr>
          <w:rFonts w:hint="eastAsia"/>
          <w:rtl/>
        </w:rPr>
        <w:t>הרלוונטי</w:t>
      </w:r>
      <w:r w:rsidRPr="00096233">
        <w:rPr>
          <w:rtl/>
        </w:rPr>
        <w:t xml:space="preserve"> </w:t>
      </w:r>
      <w:r w:rsidRPr="00096233">
        <w:rPr>
          <w:rFonts w:hint="eastAsia"/>
          <w:rtl/>
        </w:rPr>
        <w:t>למתווה</w:t>
      </w:r>
      <w:r w:rsidRPr="00096233">
        <w:rPr>
          <w:rtl/>
        </w:rPr>
        <w:t xml:space="preserve"> </w:t>
      </w:r>
      <w:r w:rsidR="007F1BC5" w:rsidRPr="00BB075D">
        <w:rPr>
          <w:rFonts w:hint="cs"/>
          <w:rtl/>
        </w:rPr>
        <w:t>התקנה</w:t>
      </w:r>
      <w:r w:rsidR="007F1BC5" w:rsidRPr="00096233">
        <w:rPr>
          <w:rtl/>
        </w:rPr>
        <w:t xml:space="preserve"> </w:t>
      </w:r>
      <w:r w:rsidRPr="00096233">
        <w:rPr>
          <w:rtl/>
        </w:rPr>
        <w:t xml:space="preserve">7 </w:t>
      </w:r>
      <w:r w:rsidRPr="00096233">
        <w:rPr>
          <w:rFonts w:hint="eastAsia"/>
          <w:rtl/>
        </w:rPr>
        <w:t>לא</w:t>
      </w:r>
      <w:r w:rsidRPr="00096233">
        <w:rPr>
          <w:rtl/>
        </w:rPr>
        <w:t xml:space="preserve"> </w:t>
      </w:r>
      <w:r w:rsidRPr="00096233">
        <w:rPr>
          <w:rFonts w:hint="eastAsia"/>
          <w:rtl/>
        </w:rPr>
        <w:t>בוצעו</w:t>
      </w:r>
      <w:r w:rsidRPr="00096233">
        <w:rPr>
          <w:rtl/>
        </w:rPr>
        <w:t xml:space="preserve"> </w:t>
      </w:r>
      <w:r w:rsidRPr="00096233">
        <w:rPr>
          <w:rFonts w:hint="eastAsia"/>
          <w:rtl/>
        </w:rPr>
        <w:t>במתווה</w:t>
      </w:r>
      <w:r w:rsidRPr="00096233">
        <w:rPr>
          <w:rtl/>
        </w:rPr>
        <w:t xml:space="preserve"> </w:t>
      </w:r>
      <w:r w:rsidR="007F1BC5" w:rsidRPr="00BB075D">
        <w:rPr>
          <w:rFonts w:hint="cs"/>
          <w:rtl/>
        </w:rPr>
        <w:t>התקנה</w:t>
      </w:r>
      <w:r w:rsidR="007F1BC5" w:rsidRPr="00096233">
        <w:rPr>
          <w:rtl/>
        </w:rPr>
        <w:t xml:space="preserve"> </w:t>
      </w:r>
      <w:r w:rsidRPr="00096233">
        <w:rPr>
          <w:rFonts w:hint="eastAsia"/>
          <w:rtl/>
        </w:rPr>
        <w:t>זה</w:t>
      </w:r>
      <w:r w:rsidRPr="00096233">
        <w:rPr>
          <w:rtl/>
        </w:rPr>
        <w:t xml:space="preserve">, </w:t>
      </w:r>
      <w:r w:rsidRPr="00096233">
        <w:rPr>
          <w:rFonts w:hint="eastAsia"/>
          <w:rtl/>
        </w:rPr>
        <w:t>אלא</w:t>
      </w:r>
      <w:r w:rsidRPr="00096233">
        <w:rPr>
          <w:rtl/>
        </w:rPr>
        <w:t xml:space="preserve"> </w:t>
      </w:r>
      <w:r w:rsidRPr="00096233">
        <w:rPr>
          <w:rFonts w:hint="eastAsia"/>
          <w:rtl/>
        </w:rPr>
        <w:t>במתווי</w:t>
      </w:r>
      <w:r w:rsidR="00382AE8">
        <w:rPr>
          <w:rtl/>
        </w:rPr>
        <w:t xml:space="preserve"> </w:t>
      </w:r>
      <w:r w:rsidR="007F1BC5" w:rsidRPr="00BB075D">
        <w:rPr>
          <w:rFonts w:hint="cs"/>
          <w:rtl/>
        </w:rPr>
        <w:t>התקנה</w:t>
      </w:r>
      <w:r w:rsidR="007F1BC5" w:rsidRPr="00096233">
        <w:rPr>
          <w:rtl/>
        </w:rPr>
        <w:t xml:space="preserve"> </w:t>
      </w:r>
      <w:r w:rsidRPr="00096233">
        <w:rPr>
          <w:rFonts w:hint="eastAsia"/>
          <w:rtl/>
        </w:rPr>
        <w:t>אחרים</w:t>
      </w:r>
      <w:r w:rsidRPr="00096233">
        <w:rPr>
          <w:rtl/>
        </w:rPr>
        <w:t>.</w:t>
      </w:r>
    </w:p>
    <w:p w:rsidR="009A1216" w:rsidRPr="00096233" w:rsidRDefault="00382AE8" w:rsidP="00E4477A">
      <w:pPr>
        <w:pStyle w:val="a5"/>
        <w:spacing w:line="269" w:lineRule="auto"/>
        <w:ind w:left="153"/>
        <w:rPr>
          <w:rtl/>
        </w:rPr>
      </w:pPr>
      <w:r>
        <w:rPr>
          <w:rtl/>
        </w:rPr>
        <w:t xml:space="preserve">  </w:t>
      </w:r>
    </w:p>
    <w:p w:rsidR="009A1216" w:rsidRPr="00096233" w:rsidRDefault="009A1216" w:rsidP="00E4477A">
      <w:pPr>
        <w:spacing w:line="269" w:lineRule="auto"/>
        <w:ind w:left="720"/>
        <w:rPr>
          <w:b/>
          <w:bCs/>
          <w:rtl/>
        </w:rPr>
      </w:pPr>
      <w:r w:rsidRPr="00096233">
        <w:rPr>
          <w:rFonts w:hint="eastAsia"/>
          <w:b/>
          <w:bCs/>
          <w:rtl/>
        </w:rPr>
        <w:t>מבקר</w:t>
      </w:r>
      <w:r w:rsidRPr="00096233">
        <w:rPr>
          <w:b/>
          <w:bCs/>
          <w:rtl/>
        </w:rPr>
        <w:t xml:space="preserve"> המדינה מבהיר למשטרה כי מעיון במסמכי המשטרה (לרבות יומני מבצעים </w:t>
      </w:r>
      <w:r w:rsidRPr="00096233">
        <w:rPr>
          <w:rFonts w:hint="eastAsia"/>
          <w:b/>
          <w:bCs/>
          <w:rtl/>
        </w:rPr>
        <w:t>שנכתבו</w:t>
      </w:r>
      <w:r w:rsidRPr="00096233">
        <w:rPr>
          <w:b/>
          <w:bCs/>
          <w:rtl/>
        </w:rPr>
        <w:t xml:space="preserve"> </w:t>
      </w:r>
      <w:r w:rsidRPr="00E9432B">
        <w:rPr>
          <w:rFonts w:hint="eastAsia"/>
          <w:b/>
          <w:bCs/>
          <w:rtl/>
        </w:rPr>
        <w:t>בזמן</w:t>
      </w:r>
      <w:r w:rsidRPr="00E9432B">
        <w:rPr>
          <w:b/>
          <w:bCs/>
          <w:rtl/>
        </w:rPr>
        <w:t xml:space="preserve"> </w:t>
      </w:r>
      <w:r w:rsidRPr="00E9432B">
        <w:rPr>
          <w:rFonts w:hint="eastAsia"/>
          <w:b/>
          <w:bCs/>
          <w:rtl/>
        </w:rPr>
        <w:t>אמת</w:t>
      </w:r>
      <w:r w:rsidRPr="00E9432B">
        <w:rPr>
          <w:b/>
          <w:bCs/>
          <w:rtl/>
        </w:rPr>
        <w:t xml:space="preserve"> </w:t>
      </w:r>
      <w:r w:rsidRPr="00E9432B">
        <w:rPr>
          <w:rFonts w:hint="eastAsia"/>
          <w:b/>
          <w:bCs/>
          <w:rtl/>
        </w:rPr>
        <w:t>על</w:t>
      </w:r>
      <w:r w:rsidRPr="00E9432B">
        <w:rPr>
          <w:b/>
          <w:bCs/>
          <w:rtl/>
        </w:rPr>
        <w:t xml:space="preserve"> </w:t>
      </w:r>
      <w:r w:rsidRPr="00E9432B">
        <w:rPr>
          <w:rFonts w:hint="eastAsia"/>
          <w:b/>
          <w:bCs/>
          <w:rtl/>
        </w:rPr>
        <w:t>ידי</w:t>
      </w:r>
      <w:r w:rsidRPr="00E9432B">
        <w:rPr>
          <w:b/>
          <w:bCs/>
          <w:rtl/>
        </w:rPr>
        <w:t xml:space="preserve"> </w:t>
      </w:r>
      <w:r w:rsidRPr="00E9432B">
        <w:rPr>
          <w:rFonts w:hint="eastAsia"/>
          <w:b/>
          <w:bCs/>
          <w:rtl/>
        </w:rPr>
        <w:t>מפעילים</w:t>
      </w:r>
      <w:r w:rsidRPr="00E9432B">
        <w:rPr>
          <w:b/>
          <w:bCs/>
          <w:rtl/>
        </w:rPr>
        <w:t xml:space="preserve"> </w:t>
      </w:r>
      <w:r w:rsidRPr="00E9432B">
        <w:rPr>
          <w:rFonts w:hint="eastAsia"/>
          <w:b/>
          <w:bCs/>
          <w:rtl/>
        </w:rPr>
        <w:t>טכנולוגיים</w:t>
      </w:r>
      <w:r w:rsidRPr="00E9432B">
        <w:rPr>
          <w:b/>
          <w:bCs/>
          <w:rtl/>
        </w:rPr>
        <w:t xml:space="preserve">, מסמכי הנחיות להמשך פעילות של היחידות החוקרות לאחר ביצוע </w:t>
      </w:r>
      <w:r w:rsidR="00096233">
        <w:rPr>
          <w:rFonts w:hint="cs"/>
          <w:b/>
          <w:bCs/>
          <w:rtl/>
        </w:rPr>
        <w:t>ההתקנות</w:t>
      </w:r>
      <w:r w:rsidR="00096233" w:rsidRPr="00096233">
        <w:rPr>
          <w:b/>
          <w:bCs/>
          <w:rtl/>
        </w:rPr>
        <w:t xml:space="preserve"> </w:t>
      </w:r>
      <w:r w:rsidRPr="00096233">
        <w:rPr>
          <w:b/>
          <w:bCs/>
          <w:rtl/>
        </w:rPr>
        <w:t xml:space="preserve">וכן תשובות המשטרה לטיוטות הדוח) עולה בבירור שבניגוד לטענות שבתשובתה מתווה </w:t>
      </w:r>
      <w:r w:rsidR="007F1BC5" w:rsidRPr="00BB075D">
        <w:rPr>
          <w:rFonts w:hint="cs"/>
          <w:b/>
          <w:bCs/>
          <w:rtl/>
        </w:rPr>
        <w:t>התקנה</w:t>
      </w:r>
      <w:r w:rsidR="007F1BC5" w:rsidRPr="00096233">
        <w:rPr>
          <w:b/>
          <w:bCs/>
          <w:rtl/>
        </w:rPr>
        <w:t xml:space="preserve"> </w:t>
      </w:r>
      <w:r w:rsidRPr="00096233">
        <w:rPr>
          <w:b/>
          <w:bCs/>
          <w:rtl/>
        </w:rPr>
        <w:t xml:space="preserve">7 לא בוצע רק באמצעות הכלי הטכנולוגי שנוון בסוף שנת 2022, אלא בהפעלה ידנית לכל אורך השנים. עוד עולה כי מתווי </w:t>
      </w:r>
      <w:r w:rsidR="007F1BC5" w:rsidRPr="00BB075D">
        <w:rPr>
          <w:rFonts w:hint="cs"/>
          <w:b/>
          <w:bCs/>
          <w:rtl/>
        </w:rPr>
        <w:t>ההתקנה</w:t>
      </w:r>
      <w:r w:rsidR="007F1BC5" w:rsidRPr="00096233">
        <w:rPr>
          <w:b/>
          <w:bCs/>
          <w:rtl/>
        </w:rPr>
        <w:t xml:space="preserve"> </w:t>
      </w:r>
      <w:r w:rsidRPr="00096233">
        <w:rPr>
          <w:b/>
          <w:bCs/>
          <w:rtl/>
        </w:rPr>
        <w:t xml:space="preserve">ודרכי הביצוע שלהם אינם מעוגנים בחוות דעת משפטיות סדורות המבוססות על חוות דעת הנדסיות-טכנולוגיות המבארות את אופן ביצועם. </w:t>
      </w:r>
    </w:p>
    <w:p w:rsidR="009A1216" w:rsidRPr="00096233" w:rsidRDefault="009A1216" w:rsidP="00E4477A">
      <w:pPr>
        <w:pStyle w:val="a5"/>
        <w:spacing w:line="269" w:lineRule="auto"/>
        <w:ind w:left="153"/>
        <w:rPr>
          <w:rtl/>
        </w:rPr>
      </w:pPr>
    </w:p>
    <w:p w:rsidR="009A1216" w:rsidRPr="00096233" w:rsidRDefault="009A1216" w:rsidP="00E4477A">
      <w:pPr>
        <w:spacing w:line="269" w:lineRule="auto"/>
        <w:ind w:left="720"/>
        <w:rPr>
          <w:rtl/>
        </w:rPr>
      </w:pPr>
      <w:r w:rsidRPr="00096233">
        <w:rPr>
          <w:rFonts w:hint="eastAsia"/>
          <w:rtl/>
        </w:rPr>
        <w:t>עוד</w:t>
      </w:r>
      <w:r w:rsidRPr="00096233">
        <w:rPr>
          <w:rtl/>
        </w:rPr>
        <w:t xml:space="preserve"> מסרה המשטרה כי </w:t>
      </w:r>
      <w:r w:rsidRPr="00096233">
        <w:rPr>
          <w:rFonts w:hint="eastAsia"/>
          <w:rtl/>
        </w:rPr>
        <w:t>בנוגע</w:t>
      </w:r>
      <w:r w:rsidRPr="00E9432B">
        <w:rPr>
          <w:rtl/>
        </w:rPr>
        <w:t xml:space="preserve"> למתווה </w:t>
      </w:r>
      <w:r w:rsidR="007F1BC5" w:rsidRPr="00BB075D">
        <w:rPr>
          <w:rFonts w:hint="cs"/>
          <w:rtl/>
        </w:rPr>
        <w:t>התקנה</w:t>
      </w:r>
      <w:r w:rsidR="007F1BC5" w:rsidRPr="00096233">
        <w:rPr>
          <w:rtl/>
        </w:rPr>
        <w:t xml:space="preserve"> </w:t>
      </w:r>
      <w:r w:rsidRPr="00096233">
        <w:rPr>
          <w:rtl/>
        </w:rPr>
        <w:t xml:space="preserve">8(ה) - המשטרה לא </w:t>
      </w:r>
      <w:r w:rsidRPr="00096233">
        <w:rPr>
          <w:rFonts w:hint="eastAsia"/>
          <w:rtl/>
        </w:rPr>
        <w:t>השתמשה</w:t>
      </w:r>
      <w:r w:rsidRPr="00096233">
        <w:rPr>
          <w:rtl/>
        </w:rPr>
        <w:t xml:space="preserve"> </w:t>
      </w:r>
      <w:r w:rsidRPr="00096233">
        <w:rPr>
          <w:rFonts w:hint="eastAsia"/>
          <w:rtl/>
        </w:rPr>
        <w:t>במתווה</w:t>
      </w:r>
      <w:r w:rsidRPr="00096233">
        <w:rPr>
          <w:rtl/>
        </w:rPr>
        <w:t xml:space="preserve"> זה משום שהיא מעדיפה לעשות שימוש בדרכי הביצוע הנוספות שקיימות במתווה </w:t>
      </w:r>
      <w:r w:rsidR="007F1BC5" w:rsidRPr="00BB075D">
        <w:rPr>
          <w:rFonts w:hint="cs"/>
          <w:rtl/>
        </w:rPr>
        <w:t>התקנה</w:t>
      </w:r>
      <w:r w:rsidR="007F1BC5" w:rsidRPr="00096233">
        <w:rPr>
          <w:rtl/>
        </w:rPr>
        <w:t xml:space="preserve"> </w:t>
      </w:r>
      <w:r w:rsidRPr="00096233">
        <w:rPr>
          <w:rtl/>
        </w:rPr>
        <w:t xml:space="preserve">8 ולטעמה הן יעילות ומהימנות יותר, ואילו </w:t>
      </w:r>
      <w:r w:rsidRPr="00096233">
        <w:rPr>
          <w:rFonts w:hint="eastAsia"/>
          <w:rtl/>
        </w:rPr>
        <w:t>בנוגע</w:t>
      </w:r>
      <w:r w:rsidRPr="00096233">
        <w:rPr>
          <w:rtl/>
        </w:rPr>
        <w:t xml:space="preserve"> למתווה </w:t>
      </w:r>
      <w:r w:rsidR="007F1BC5" w:rsidRPr="00BB075D">
        <w:rPr>
          <w:rFonts w:hint="cs"/>
          <w:rtl/>
        </w:rPr>
        <w:t>התקנה</w:t>
      </w:r>
      <w:r w:rsidR="007F1BC5" w:rsidRPr="00096233">
        <w:rPr>
          <w:rtl/>
        </w:rPr>
        <w:t xml:space="preserve"> </w:t>
      </w:r>
      <w:r w:rsidRPr="00096233">
        <w:rPr>
          <w:rtl/>
        </w:rPr>
        <w:t xml:space="preserve">9(ג) - המשטרה הפסיקה </w:t>
      </w:r>
      <w:r w:rsidRPr="00096233">
        <w:rPr>
          <w:rFonts w:hint="eastAsia"/>
          <w:rtl/>
        </w:rPr>
        <w:t>להשתמש</w:t>
      </w:r>
      <w:r w:rsidRPr="00096233">
        <w:rPr>
          <w:rtl/>
        </w:rPr>
        <w:t xml:space="preserve"> במתווה זה משנת 2022.</w:t>
      </w:r>
    </w:p>
    <w:p w:rsidR="009A1216" w:rsidRPr="00096233" w:rsidRDefault="009A1216" w:rsidP="00E4477A">
      <w:pPr>
        <w:pStyle w:val="a5"/>
        <w:spacing w:line="269" w:lineRule="auto"/>
        <w:ind w:left="153"/>
        <w:rPr>
          <w:rtl/>
        </w:rPr>
      </w:pPr>
    </w:p>
    <w:p w:rsidR="009A1216" w:rsidRPr="00096233" w:rsidRDefault="009A1216" w:rsidP="00E4477A">
      <w:pPr>
        <w:spacing w:line="269" w:lineRule="auto"/>
        <w:ind w:left="720"/>
        <w:rPr>
          <w:b/>
          <w:bCs/>
          <w:rtl/>
        </w:rPr>
      </w:pPr>
      <w:r w:rsidRPr="00096233">
        <w:rPr>
          <w:rFonts w:hint="eastAsia"/>
          <w:b/>
          <w:bCs/>
          <w:rtl/>
        </w:rPr>
        <w:t>מבקר</w:t>
      </w:r>
      <w:r w:rsidRPr="00096233">
        <w:rPr>
          <w:b/>
          <w:bCs/>
          <w:rtl/>
        </w:rPr>
        <w:t xml:space="preserve"> </w:t>
      </w:r>
      <w:r w:rsidRPr="00E9432B">
        <w:rPr>
          <w:rFonts w:hint="eastAsia"/>
          <w:b/>
          <w:bCs/>
          <w:rtl/>
        </w:rPr>
        <w:t>המדינה</w:t>
      </w:r>
      <w:r w:rsidRPr="00E9432B">
        <w:rPr>
          <w:b/>
          <w:bCs/>
          <w:rtl/>
        </w:rPr>
        <w:t xml:space="preserve"> </w:t>
      </w:r>
      <w:r w:rsidRPr="00E9432B">
        <w:rPr>
          <w:rFonts w:hint="eastAsia"/>
          <w:b/>
          <w:bCs/>
          <w:rtl/>
        </w:rPr>
        <w:t>מבהיר</w:t>
      </w:r>
      <w:r w:rsidRPr="00E9432B">
        <w:rPr>
          <w:b/>
          <w:bCs/>
          <w:rtl/>
        </w:rPr>
        <w:t xml:space="preserve"> </w:t>
      </w:r>
      <w:r w:rsidRPr="00E9432B">
        <w:rPr>
          <w:rFonts w:hint="eastAsia"/>
          <w:b/>
          <w:bCs/>
          <w:rtl/>
        </w:rPr>
        <w:t>למשטרה</w:t>
      </w:r>
      <w:r w:rsidRPr="00E9432B">
        <w:rPr>
          <w:b/>
          <w:bCs/>
          <w:rtl/>
        </w:rPr>
        <w:t xml:space="preserve"> </w:t>
      </w:r>
      <w:r w:rsidRPr="00E9432B">
        <w:rPr>
          <w:rFonts w:hint="eastAsia"/>
          <w:b/>
          <w:bCs/>
          <w:rtl/>
        </w:rPr>
        <w:t>כי</w:t>
      </w:r>
      <w:r w:rsidRPr="00E9432B">
        <w:rPr>
          <w:b/>
          <w:bCs/>
          <w:rtl/>
        </w:rPr>
        <w:t xml:space="preserve"> </w:t>
      </w:r>
      <w:r w:rsidRPr="00E9432B">
        <w:rPr>
          <w:rFonts w:hint="eastAsia"/>
          <w:b/>
          <w:bCs/>
          <w:rtl/>
        </w:rPr>
        <w:t>מעיון</w:t>
      </w:r>
      <w:r w:rsidRPr="00E9432B">
        <w:rPr>
          <w:b/>
          <w:bCs/>
          <w:rtl/>
        </w:rPr>
        <w:t xml:space="preserve"> </w:t>
      </w:r>
      <w:r w:rsidRPr="00E9432B">
        <w:rPr>
          <w:rFonts w:hint="eastAsia"/>
          <w:b/>
          <w:bCs/>
          <w:rtl/>
        </w:rPr>
        <w:t>במסמכי</w:t>
      </w:r>
      <w:r w:rsidRPr="00E9432B">
        <w:rPr>
          <w:b/>
          <w:bCs/>
          <w:rtl/>
        </w:rPr>
        <w:t xml:space="preserve"> </w:t>
      </w:r>
      <w:r w:rsidRPr="00E9432B">
        <w:rPr>
          <w:rFonts w:hint="eastAsia"/>
          <w:b/>
          <w:bCs/>
          <w:rtl/>
        </w:rPr>
        <w:t>המשטרה</w:t>
      </w:r>
      <w:r w:rsidRPr="00E9432B">
        <w:rPr>
          <w:b/>
          <w:bCs/>
          <w:rtl/>
        </w:rPr>
        <w:t xml:space="preserve"> (בפרט יומני המבצעים </w:t>
      </w:r>
      <w:r w:rsidRPr="00E9432B">
        <w:rPr>
          <w:rFonts w:hint="eastAsia"/>
          <w:b/>
          <w:bCs/>
          <w:rtl/>
        </w:rPr>
        <w:t>שנכתבו</w:t>
      </w:r>
      <w:r w:rsidRPr="00F8134E">
        <w:rPr>
          <w:b/>
          <w:bCs/>
          <w:rtl/>
        </w:rPr>
        <w:t xml:space="preserve"> </w:t>
      </w:r>
      <w:r w:rsidRPr="00F8134E">
        <w:rPr>
          <w:rFonts w:hint="eastAsia"/>
          <w:b/>
          <w:bCs/>
          <w:rtl/>
        </w:rPr>
        <w:t>בזמן</w:t>
      </w:r>
      <w:r w:rsidRPr="00F8134E">
        <w:rPr>
          <w:b/>
          <w:bCs/>
          <w:rtl/>
        </w:rPr>
        <w:t xml:space="preserve"> </w:t>
      </w:r>
      <w:r w:rsidRPr="00F8134E">
        <w:rPr>
          <w:rFonts w:hint="eastAsia"/>
          <w:b/>
          <w:bCs/>
          <w:rtl/>
        </w:rPr>
        <w:t>אמת</w:t>
      </w:r>
      <w:r w:rsidRPr="00F8134E">
        <w:rPr>
          <w:b/>
          <w:bCs/>
          <w:rtl/>
        </w:rPr>
        <w:t xml:space="preserve"> </w:t>
      </w:r>
      <w:r w:rsidRPr="00F8134E">
        <w:rPr>
          <w:rFonts w:hint="eastAsia"/>
          <w:b/>
          <w:bCs/>
          <w:rtl/>
        </w:rPr>
        <w:t>על</w:t>
      </w:r>
      <w:r w:rsidRPr="00F8134E">
        <w:rPr>
          <w:b/>
          <w:bCs/>
          <w:rtl/>
        </w:rPr>
        <w:t xml:space="preserve"> </w:t>
      </w:r>
      <w:r w:rsidRPr="00F8134E">
        <w:rPr>
          <w:rFonts w:hint="eastAsia"/>
          <w:b/>
          <w:bCs/>
          <w:rtl/>
        </w:rPr>
        <w:t>ידי</w:t>
      </w:r>
      <w:r w:rsidRPr="00F8134E">
        <w:rPr>
          <w:b/>
          <w:bCs/>
          <w:rtl/>
        </w:rPr>
        <w:t xml:space="preserve"> </w:t>
      </w:r>
      <w:r w:rsidRPr="00F8134E">
        <w:rPr>
          <w:rFonts w:hint="eastAsia"/>
          <w:b/>
          <w:bCs/>
          <w:rtl/>
        </w:rPr>
        <w:t>מפעילים</w:t>
      </w:r>
      <w:r w:rsidRPr="00F8134E">
        <w:rPr>
          <w:b/>
          <w:bCs/>
          <w:rtl/>
        </w:rPr>
        <w:t xml:space="preserve"> </w:t>
      </w:r>
      <w:r w:rsidRPr="00F8134E">
        <w:rPr>
          <w:rFonts w:hint="eastAsia"/>
          <w:b/>
          <w:bCs/>
          <w:rtl/>
        </w:rPr>
        <w:t>טכנולוגיים</w:t>
      </w:r>
      <w:r w:rsidRPr="00F8134E">
        <w:rPr>
          <w:b/>
          <w:bCs/>
          <w:rtl/>
        </w:rPr>
        <w:t xml:space="preserve"> ביחס </w:t>
      </w:r>
      <w:r w:rsidR="007F1BC5" w:rsidRPr="00BB075D">
        <w:rPr>
          <w:rFonts w:hint="cs"/>
          <w:b/>
          <w:bCs/>
          <w:rtl/>
        </w:rPr>
        <w:t>להתקנות</w:t>
      </w:r>
      <w:r w:rsidR="007F1BC5" w:rsidRPr="00096233">
        <w:rPr>
          <w:b/>
          <w:bCs/>
          <w:rtl/>
        </w:rPr>
        <w:t xml:space="preserve"> </w:t>
      </w:r>
      <w:r w:rsidRPr="00096233">
        <w:rPr>
          <w:b/>
          <w:bCs/>
          <w:rtl/>
        </w:rPr>
        <w:t xml:space="preserve">ספציפיות) </w:t>
      </w:r>
      <w:r w:rsidRPr="00096233">
        <w:rPr>
          <w:rFonts w:hint="eastAsia"/>
          <w:b/>
          <w:bCs/>
          <w:rtl/>
        </w:rPr>
        <w:t>עולה</w:t>
      </w:r>
      <w:r w:rsidRPr="00096233">
        <w:rPr>
          <w:b/>
          <w:bCs/>
          <w:rtl/>
        </w:rPr>
        <w:t xml:space="preserve"> </w:t>
      </w:r>
      <w:r w:rsidRPr="00096233">
        <w:rPr>
          <w:rFonts w:hint="eastAsia"/>
          <w:b/>
          <w:bCs/>
          <w:rtl/>
        </w:rPr>
        <w:t>בבירור</w:t>
      </w:r>
      <w:r w:rsidRPr="00096233">
        <w:rPr>
          <w:b/>
          <w:bCs/>
          <w:rtl/>
        </w:rPr>
        <w:t xml:space="preserve"> </w:t>
      </w:r>
      <w:r w:rsidRPr="00096233">
        <w:rPr>
          <w:rFonts w:hint="eastAsia"/>
          <w:b/>
          <w:bCs/>
          <w:rtl/>
        </w:rPr>
        <w:t>כי</w:t>
      </w:r>
      <w:r w:rsidRPr="00096233">
        <w:rPr>
          <w:b/>
          <w:bCs/>
          <w:rtl/>
        </w:rPr>
        <w:t xml:space="preserve"> </w:t>
      </w:r>
      <w:r w:rsidRPr="00096233">
        <w:rPr>
          <w:rFonts w:hint="eastAsia"/>
          <w:b/>
          <w:bCs/>
          <w:rtl/>
        </w:rPr>
        <w:t>בניגוד</w:t>
      </w:r>
      <w:r w:rsidRPr="00096233">
        <w:rPr>
          <w:b/>
          <w:bCs/>
          <w:rtl/>
        </w:rPr>
        <w:t xml:space="preserve"> </w:t>
      </w:r>
      <w:r w:rsidRPr="00E9432B">
        <w:rPr>
          <w:rFonts w:hint="eastAsia"/>
          <w:b/>
          <w:bCs/>
          <w:rtl/>
        </w:rPr>
        <w:t>לטענותיה</w:t>
      </w:r>
      <w:r w:rsidRPr="00E9432B">
        <w:rPr>
          <w:b/>
          <w:bCs/>
          <w:rtl/>
        </w:rPr>
        <w:t xml:space="preserve"> </w:t>
      </w:r>
      <w:r w:rsidRPr="00E9432B">
        <w:rPr>
          <w:rFonts w:hint="eastAsia"/>
          <w:b/>
          <w:bCs/>
          <w:rtl/>
        </w:rPr>
        <w:t>נעשה</w:t>
      </w:r>
      <w:r w:rsidRPr="00E9432B">
        <w:rPr>
          <w:b/>
          <w:bCs/>
          <w:rtl/>
        </w:rPr>
        <w:t xml:space="preserve"> </w:t>
      </w:r>
      <w:r w:rsidRPr="00E9432B">
        <w:rPr>
          <w:rFonts w:hint="eastAsia"/>
          <w:b/>
          <w:bCs/>
          <w:rtl/>
        </w:rPr>
        <w:t>שימוש</w:t>
      </w:r>
      <w:r w:rsidRPr="00E9432B">
        <w:rPr>
          <w:b/>
          <w:bCs/>
          <w:rtl/>
        </w:rPr>
        <w:t xml:space="preserve"> </w:t>
      </w:r>
      <w:r w:rsidRPr="00E9432B">
        <w:rPr>
          <w:rFonts w:hint="eastAsia"/>
          <w:b/>
          <w:bCs/>
          <w:rtl/>
        </w:rPr>
        <w:t>במתווה</w:t>
      </w:r>
      <w:r w:rsidRPr="00E9432B">
        <w:rPr>
          <w:b/>
          <w:bCs/>
          <w:rtl/>
        </w:rPr>
        <w:t xml:space="preserve"> </w:t>
      </w:r>
      <w:r w:rsidR="007F1BC5" w:rsidRPr="00BB075D">
        <w:rPr>
          <w:rFonts w:hint="cs"/>
          <w:b/>
          <w:bCs/>
          <w:rtl/>
        </w:rPr>
        <w:t>התקנה</w:t>
      </w:r>
      <w:r w:rsidR="007F1BC5" w:rsidRPr="00096233">
        <w:rPr>
          <w:b/>
          <w:bCs/>
          <w:rtl/>
        </w:rPr>
        <w:t xml:space="preserve"> </w:t>
      </w:r>
      <w:r w:rsidRPr="00096233">
        <w:rPr>
          <w:b/>
          <w:bCs/>
          <w:rtl/>
        </w:rPr>
        <w:t>8(ה)</w:t>
      </w:r>
      <w:r w:rsidRPr="00096233">
        <w:rPr>
          <w:b/>
          <w:bCs/>
          <w:vertAlign w:val="superscript"/>
          <w:rtl/>
        </w:rPr>
        <w:footnoteReference w:id="170"/>
      </w:r>
      <w:r w:rsidRPr="00096233">
        <w:rPr>
          <w:b/>
          <w:bCs/>
          <w:rtl/>
        </w:rPr>
        <w:t xml:space="preserve">. </w:t>
      </w:r>
      <w:r w:rsidRPr="00096233">
        <w:rPr>
          <w:rFonts w:hint="eastAsia"/>
          <w:b/>
          <w:bCs/>
          <w:rtl/>
        </w:rPr>
        <w:t>קיומן</w:t>
      </w:r>
      <w:r w:rsidRPr="00096233">
        <w:rPr>
          <w:b/>
          <w:bCs/>
          <w:rtl/>
        </w:rPr>
        <w:t xml:space="preserve"> של דרכים נוספות </w:t>
      </w:r>
      <w:r w:rsidR="007306B7">
        <w:rPr>
          <w:rFonts w:hint="cs"/>
          <w:b/>
          <w:bCs/>
          <w:rtl/>
        </w:rPr>
        <w:t>ומותרות</w:t>
      </w:r>
      <w:r w:rsidR="007306B7" w:rsidRPr="00096233">
        <w:rPr>
          <w:b/>
          <w:bCs/>
          <w:rtl/>
        </w:rPr>
        <w:t xml:space="preserve"> </w:t>
      </w:r>
      <w:r w:rsidRPr="00096233">
        <w:rPr>
          <w:b/>
          <w:bCs/>
          <w:rtl/>
        </w:rPr>
        <w:t xml:space="preserve">לביצוע הפעולות אינו מעלה או מוריד לעניין התיעוד שמצביע כי המשטרה עשתה שימוש בפועל במתווי </w:t>
      </w:r>
      <w:r w:rsidR="007F1BC5" w:rsidRPr="00BB075D">
        <w:rPr>
          <w:rFonts w:hint="cs"/>
          <w:b/>
          <w:bCs/>
          <w:rtl/>
        </w:rPr>
        <w:t>התקנה</w:t>
      </w:r>
      <w:r w:rsidR="007F1BC5" w:rsidRPr="00096233">
        <w:rPr>
          <w:b/>
          <w:bCs/>
          <w:rtl/>
        </w:rPr>
        <w:t xml:space="preserve"> </w:t>
      </w:r>
      <w:r w:rsidR="00456366">
        <w:rPr>
          <w:rFonts w:hint="cs"/>
          <w:b/>
          <w:bCs/>
          <w:rtl/>
        </w:rPr>
        <w:t>אסורים</w:t>
      </w:r>
      <w:r w:rsidRPr="00096233">
        <w:rPr>
          <w:b/>
          <w:bCs/>
          <w:rtl/>
        </w:rPr>
        <w:t xml:space="preserve">. </w:t>
      </w:r>
    </w:p>
    <w:p w:rsidR="0013734E" w:rsidRDefault="0013734E" w:rsidP="00604C3D">
      <w:pPr>
        <w:spacing w:line="269" w:lineRule="auto"/>
        <w:rPr>
          <w:b/>
          <w:bCs/>
          <w:sz w:val="24"/>
          <w:rtl/>
        </w:rPr>
      </w:pPr>
      <w:bookmarkStart w:id="443" w:name="_Hlk155704678"/>
      <w:bookmarkStart w:id="444" w:name="_Hlk190160047"/>
    </w:p>
    <w:p w:rsidR="009A1216" w:rsidRPr="00096233" w:rsidRDefault="009A1216" w:rsidP="00E4477A">
      <w:pPr>
        <w:spacing w:line="269" w:lineRule="auto"/>
        <w:ind w:left="720"/>
        <w:rPr>
          <w:b/>
          <w:bCs/>
          <w:sz w:val="24"/>
          <w:rtl/>
        </w:rPr>
      </w:pPr>
      <w:r w:rsidRPr="00096233">
        <w:rPr>
          <w:rFonts w:hint="eastAsia"/>
          <w:b/>
          <w:bCs/>
          <w:sz w:val="24"/>
          <w:rtl/>
        </w:rPr>
        <w:t>עוד</w:t>
      </w:r>
      <w:r w:rsidRPr="00096233">
        <w:rPr>
          <w:b/>
          <w:bCs/>
          <w:sz w:val="24"/>
          <w:rtl/>
        </w:rPr>
        <w:t xml:space="preserve"> </w:t>
      </w:r>
      <w:r w:rsidRPr="00096233">
        <w:rPr>
          <w:rFonts w:hint="eastAsia"/>
          <w:b/>
          <w:bCs/>
          <w:sz w:val="24"/>
          <w:rtl/>
        </w:rPr>
        <w:t>נמצא</w:t>
      </w:r>
      <w:r w:rsidRPr="00096233">
        <w:rPr>
          <w:sz w:val="24"/>
          <w:rtl/>
        </w:rPr>
        <w:t xml:space="preserve"> </w:t>
      </w:r>
      <w:r w:rsidRPr="00096233">
        <w:rPr>
          <w:rFonts w:hint="eastAsia"/>
          <w:b/>
          <w:bCs/>
          <w:sz w:val="24"/>
          <w:rtl/>
        </w:rPr>
        <w:t>כי</w:t>
      </w:r>
      <w:r w:rsidRPr="00096233">
        <w:rPr>
          <w:b/>
          <w:bCs/>
          <w:sz w:val="24"/>
          <w:rtl/>
        </w:rPr>
        <w:t xml:space="preserve"> המשטרה השתמשה בכלי עזר מבצעיים, לכל הפחות בשישה כלים, לביצוע מתווי </w:t>
      </w:r>
      <w:bookmarkEnd w:id="443"/>
      <w:r w:rsidR="007F1BC5" w:rsidRPr="00BB075D">
        <w:rPr>
          <w:rFonts w:hint="cs"/>
          <w:b/>
          <w:bCs/>
          <w:sz w:val="24"/>
          <w:rtl/>
        </w:rPr>
        <w:t>התקנה</w:t>
      </w:r>
      <w:r w:rsidR="007F1BC5" w:rsidRPr="00096233">
        <w:rPr>
          <w:b/>
          <w:bCs/>
          <w:sz w:val="24"/>
          <w:rtl/>
        </w:rPr>
        <w:t xml:space="preserve"> </w:t>
      </w:r>
      <w:r w:rsidRPr="00096233">
        <w:rPr>
          <w:b/>
          <w:bCs/>
          <w:sz w:val="24"/>
          <w:rtl/>
        </w:rPr>
        <w:t>בלי שקיבלה מהייעוץ המשפטי למשטרה אישור להשתמש בהם.</w:t>
      </w:r>
    </w:p>
    <w:bookmarkEnd w:id="444"/>
    <w:p w:rsidR="0013734E" w:rsidRDefault="0013734E" w:rsidP="00E4477A">
      <w:pPr>
        <w:spacing w:line="269" w:lineRule="auto"/>
        <w:ind w:left="720"/>
        <w:rPr>
          <w:b/>
          <w:bCs/>
          <w:sz w:val="24"/>
          <w:rtl/>
        </w:rPr>
      </w:pPr>
    </w:p>
    <w:p w:rsidR="009A1216" w:rsidRPr="00B01757" w:rsidRDefault="009A1216" w:rsidP="00E4477A">
      <w:pPr>
        <w:spacing w:line="269" w:lineRule="auto"/>
        <w:ind w:left="720"/>
        <w:rPr>
          <w:b/>
          <w:bCs/>
          <w:sz w:val="24"/>
          <w:rtl/>
        </w:rPr>
      </w:pPr>
      <w:r w:rsidRPr="00096233">
        <w:rPr>
          <w:rFonts w:hint="cs"/>
          <w:b/>
          <w:bCs/>
          <w:sz w:val="24"/>
          <w:rtl/>
        </w:rPr>
        <w:t xml:space="preserve">על המשטרה לוודא שכל אחד ממתווי </w:t>
      </w:r>
      <w:r w:rsidR="007F1BC5" w:rsidRPr="00096233">
        <w:rPr>
          <w:rFonts w:hint="cs"/>
          <w:b/>
          <w:bCs/>
          <w:sz w:val="24"/>
          <w:rtl/>
        </w:rPr>
        <w:t xml:space="preserve">ההתקנה </w:t>
      </w:r>
      <w:r w:rsidRPr="00096233">
        <w:rPr>
          <w:rFonts w:hint="cs"/>
          <w:b/>
          <w:bCs/>
          <w:sz w:val="24"/>
          <w:rtl/>
        </w:rPr>
        <w:t xml:space="preserve">ומדרכי הביצוע של המתווים המתבצעים באופן ידני, באמצעות כלים טכנולוגיים וכלי עזר </w:t>
      </w:r>
      <w:r w:rsidR="00AE155A">
        <w:rPr>
          <w:rFonts w:hint="cs"/>
          <w:b/>
          <w:bCs/>
          <w:sz w:val="24"/>
          <w:rtl/>
        </w:rPr>
        <w:t>ועוד</w:t>
      </w:r>
      <w:r w:rsidRPr="00096233">
        <w:rPr>
          <w:rFonts w:hint="cs"/>
          <w:b/>
          <w:bCs/>
          <w:sz w:val="24"/>
          <w:rtl/>
        </w:rPr>
        <w:t xml:space="preserve"> - מעוגנים בדין ומאושרים לשימוש מהבחינה המשפטית לא</w:t>
      </w:r>
      <w:r w:rsidRPr="00E9432B">
        <w:rPr>
          <w:rFonts w:hint="cs"/>
          <w:b/>
          <w:bCs/>
          <w:sz w:val="24"/>
          <w:rtl/>
        </w:rPr>
        <w:t xml:space="preserve">חר קבלת חוות דעת הנדסית-טכנולוגית המפרטת את כלל דרכי הביצוע הרלוונטיות למתווה. חשיבות ההסדרה המשפטית באמצעות הכנת חוות דעת עולה ביתר שאת לנוכח הבחנות משפטיות שביקשה המשטרה לבסס בנוגע לחלק ממתווי </w:t>
      </w:r>
      <w:r w:rsidR="00DD1003" w:rsidRPr="00E9432B">
        <w:rPr>
          <w:rFonts w:hint="cs"/>
          <w:b/>
          <w:bCs/>
          <w:sz w:val="24"/>
          <w:rtl/>
        </w:rPr>
        <w:t>ההתקנה</w:t>
      </w:r>
      <w:r w:rsidRPr="00E9432B">
        <w:rPr>
          <w:rFonts w:hint="cs"/>
          <w:b/>
          <w:bCs/>
          <w:sz w:val="24"/>
          <w:rtl/>
        </w:rPr>
        <w:t xml:space="preserve">, אך אלו אינן מוכרות לייעוץ המשפטי לממשלה במשרד המשפטים. עד לקבלת אישור משפטי, על המשטרה לוודא כי לא ייעשה כל שימוש במתווי </w:t>
      </w:r>
      <w:r w:rsidR="00DD1003" w:rsidRPr="00E9432B">
        <w:rPr>
          <w:rFonts w:hint="cs"/>
          <w:b/>
          <w:bCs/>
          <w:sz w:val="24"/>
          <w:rtl/>
        </w:rPr>
        <w:t>התקנה</w:t>
      </w:r>
      <w:r w:rsidR="00DD1003" w:rsidRPr="00F8134E">
        <w:rPr>
          <w:rFonts w:hint="cs"/>
          <w:b/>
          <w:bCs/>
          <w:sz w:val="24"/>
          <w:rtl/>
        </w:rPr>
        <w:t xml:space="preserve"> </w:t>
      </w:r>
      <w:r w:rsidRPr="00F8134E">
        <w:rPr>
          <w:rFonts w:hint="cs"/>
          <w:b/>
          <w:bCs/>
          <w:sz w:val="24"/>
          <w:rtl/>
        </w:rPr>
        <w:t>לא מאושרים.</w:t>
      </w:r>
      <w:r w:rsidRPr="00B01757">
        <w:rPr>
          <w:rFonts w:hint="cs"/>
          <w:b/>
          <w:bCs/>
          <w:sz w:val="24"/>
          <w:rtl/>
        </w:rPr>
        <w:t xml:space="preserve"> </w:t>
      </w:r>
    </w:p>
    <w:p w:rsidR="009A1216" w:rsidRDefault="009A1216" w:rsidP="00604C3D">
      <w:pPr>
        <w:spacing w:line="269" w:lineRule="auto"/>
        <w:rPr>
          <w:b/>
          <w:bCs/>
          <w:rtl/>
        </w:rPr>
      </w:pPr>
    </w:p>
    <w:p w:rsidR="009A1216" w:rsidRPr="00E94442" w:rsidRDefault="009A1216" w:rsidP="00E4477A">
      <w:pPr>
        <w:pStyle w:val="5"/>
        <w:numPr>
          <w:ilvl w:val="0"/>
          <w:numId w:val="36"/>
        </w:numPr>
        <w:spacing w:line="269" w:lineRule="auto"/>
        <w:rPr>
          <w:rtl/>
        </w:rPr>
      </w:pPr>
      <w:bookmarkStart w:id="445" w:name="_Toc151890746"/>
      <w:bookmarkStart w:id="446" w:name="_Toc151882018"/>
      <w:r>
        <w:rPr>
          <w:rFonts w:hint="cs"/>
          <w:rtl/>
        </w:rPr>
        <w:t>הסדרת השימוש ב</w:t>
      </w:r>
      <w:r w:rsidRPr="00E94442">
        <w:rPr>
          <w:rFonts w:hint="eastAsia"/>
          <w:rtl/>
        </w:rPr>
        <w:t>מידע</w:t>
      </w:r>
      <w:r w:rsidRPr="00E94442">
        <w:rPr>
          <w:rtl/>
        </w:rPr>
        <w:t xml:space="preserve"> </w:t>
      </w:r>
      <w:r w:rsidRPr="00E94442">
        <w:rPr>
          <w:rFonts w:hint="eastAsia"/>
          <w:rtl/>
        </w:rPr>
        <w:t>הנדרש</w:t>
      </w:r>
      <w:r w:rsidRPr="00E94442">
        <w:rPr>
          <w:rtl/>
        </w:rPr>
        <w:t xml:space="preserve"> </w:t>
      </w:r>
      <w:r w:rsidRPr="00E94442">
        <w:rPr>
          <w:rFonts w:hint="eastAsia"/>
          <w:rtl/>
        </w:rPr>
        <w:t>להבטחת</w:t>
      </w:r>
      <w:r w:rsidRPr="00E94442">
        <w:rPr>
          <w:rtl/>
        </w:rPr>
        <w:t xml:space="preserve"> </w:t>
      </w:r>
      <w:r w:rsidR="00DD1003">
        <w:rPr>
          <w:rFonts w:hint="cs"/>
          <w:rtl/>
        </w:rPr>
        <w:t>ההתקנה</w:t>
      </w:r>
      <w:r w:rsidR="00DD1003" w:rsidRPr="00E94442">
        <w:rPr>
          <w:rtl/>
        </w:rPr>
        <w:t xml:space="preserve"> </w:t>
      </w:r>
      <w:r w:rsidRPr="00E94442">
        <w:rPr>
          <w:rFonts w:hint="eastAsia"/>
          <w:rtl/>
        </w:rPr>
        <w:t>ו</w:t>
      </w:r>
      <w:r>
        <w:rPr>
          <w:rFonts w:hint="cs"/>
          <w:rtl/>
        </w:rPr>
        <w:t>ל</w:t>
      </w:r>
      <w:r w:rsidRPr="00E94442">
        <w:rPr>
          <w:rFonts w:hint="eastAsia"/>
          <w:rtl/>
        </w:rPr>
        <w:t>אבטחת</w:t>
      </w:r>
      <w:r>
        <w:rPr>
          <w:rFonts w:hint="cs"/>
          <w:rtl/>
        </w:rPr>
        <w:t xml:space="preserve"> הכלי</w:t>
      </w:r>
      <w:bookmarkEnd w:id="445"/>
      <w:bookmarkEnd w:id="446"/>
    </w:p>
    <w:p w:rsidR="0013734E" w:rsidRDefault="0013734E" w:rsidP="00604C3D">
      <w:pPr>
        <w:spacing w:line="269" w:lineRule="auto"/>
        <w:rPr>
          <w:rtl/>
        </w:rPr>
      </w:pPr>
    </w:p>
    <w:p w:rsidR="009A1216" w:rsidRPr="007D696C" w:rsidRDefault="00D6431B" w:rsidP="00E4477A">
      <w:pPr>
        <w:spacing w:line="269" w:lineRule="auto"/>
        <w:ind w:left="360"/>
        <w:rPr>
          <w:rtl/>
        </w:rPr>
      </w:pPr>
      <w:r>
        <w:rPr>
          <w:rtl/>
        </w:rPr>
        <w:t xml:space="preserve">הייעוץ המשפטי לממשלה במשרד המשפטים והיועמ"שית לממשלה גיבשו את העמדה המשפטית שבדוח צוות מררי והכירו </w:t>
      </w:r>
      <w:r w:rsidR="009A1216" w:rsidRPr="007D696C">
        <w:rPr>
          <w:rFonts w:hint="eastAsia"/>
          <w:rtl/>
        </w:rPr>
        <w:t>בכך</w:t>
      </w:r>
      <w:r w:rsidR="009A1216" w:rsidRPr="007D696C">
        <w:rPr>
          <w:rtl/>
        </w:rPr>
        <w:t xml:space="preserve"> </w:t>
      </w:r>
      <w:r w:rsidR="009A1216" w:rsidRPr="007D696C">
        <w:rPr>
          <w:rFonts w:hint="eastAsia"/>
          <w:rtl/>
        </w:rPr>
        <w:t>שיש</w:t>
      </w:r>
      <w:r w:rsidR="009A1216" w:rsidRPr="007D696C">
        <w:rPr>
          <w:rtl/>
        </w:rPr>
        <w:t xml:space="preserve"> </w:t>
      </w:r>
      <w:r w:rsidR="009A1216" w:rsidRPr="007D696C">
        <w:rPr>
          <w:rFonts w:hint="eastAsia"/>
          <w:rtl/>
        </w:rPr>
        <w:t>מידע</w:t>
      </w:r>
      <w:r w:rsidR="009A1216" w:rsidRPr="007D696C">
        <w:rPr>
          <w:rtl/>
        </w:rPr>
        <w:t xml:space="preserve"> </w:t>
      </w:r>
      <w:r w:rsidR="009A1216" w:rsidRPr="007D696C">
        <w:rPr>
          <w:rFonts w:hint="eastAsia"/>
          <w:rtl/>
        </w:rPr>
        <w:t>שלא</w:t>
      </w:r>
      <w:r w:rsidR="009A1216" w:rsidRPr="007D696C">
        <w:rPr>
          <w:rtl/>
        </w:rPr>
        <w:t xml:space="preserve"> ניתן לאסוף אותו כתוצר האזנת סתר, אך יש סמכות </w:t>
      </w:r>
      <w:r w:rsidR="009A1216">
        <w:rPr>
          <w:rFonts w:hint="cs"/>
          <w:rtl/>
        </w:rPr>
        <w:t>להשתמש</w:t>
      </w:r>
      <w:r w:rsidR="009A1216" w:rsidRPr="007D696C">
        <w:rPr>
          <w:rtl/>
        </w:rPr>
        <w:t xml:space="preserve"> בו לצורך </w:t>
      </w:r>
      <w:r w:rsidR="009A1216" w:rsidRPr="007D696C">
        <w:rPr>
          <w:rFonts w:hint="eastAsia"/>
          <w:rtl/>
        </w:rPr>
        <w:t>הבטחת</w:t>
      </w:r>
      <w:r w:rsidR="009A1216" w:rsidRPr="007D696C">
        <w:rPr>
          <w:rtl/>
        </w:rPr>
        <w:t xml:space="preserve"> </w:t>
      </w:r>
      <w:r w:rsidR="009A1216" w:rsidRPr="007D696C">
        <w:rPr>
          <w:rFonts w:hint="eastAsia"/>
          <w:rtl/>
        </w:rPr>
        <w:t>ה</w:t>
      </w:r>
      <w:r w:rsidR="00DD1003">
        <w:rPr>
          <w:rFonts w:hint="eastAsia"/>
          <w:rtl/>
        </w:rPr>
        <w:t>התקנה</w:t>
      </w:r>
      <w:r w:rsidR="009A1216" w:rsidRPr="007D696C">
        <w:rPr>
          <w:rtl/>
        </w:rPr>
        <w:t xml:space="preserve"> </w:t>
      </w:r>
      <w:r w:rsidR="009A1216">
        <w:rPr>
          <w:rFonts w:hint="cs"/>
          <w:rtl/>
        </w:rPr>
        <w:t>מאחר</w:t>
      </w:r>
      <w:r w:rsidR="009A1216" w:rsidRPr="007D696C">
        <w:rPr>
          <w:rtl/>
        </w:rPr>
        <w:t xml:space="preserve"> </w:t>
      </w:r>
      <w:r w:rsidR="009A1216">
        <w:rPr>
          <w:rFonts w:hint="cs"/>
          <w:rtl/>
        </w:rPr>
        <w:t>ש</w:t>
      </w:r>
      <w:r w:rsidR="009A1216" w:rsidRPr="007D696C">
        <w:rPr>
          <w:rtl/>
        </w:rPr>
        <w:t>המידע</w:t>
      </w:r>
      <w:r w:rsidR="009A1216">
        <w:rPr>
          <w:rFonts w:hint="cs"/>
          <w:rtl/>
        </w:rPr>
        <w:t xml:space="preserve"> חיוני</w:t>
      </w:r>
      <w:r w:rsidR="009A1216" w:rsidRPr="007D696C">
        <w:rPr>
          <w:rtl/>
        </w:rPr>
        <w:t xml:space="preserve"> לצורך התקנת כלי טכנולוגי או מניעת חשיפת הכלי לפי סעיף 10א לחוק האזנת סתר</w:t>
      </w:r>
      <w:r w:rsidR="009A1216">
        <w:rPr>
          <w:rStyle w:val="af"/>
          <w:rtl/>
        </w:rPr>
        <w:footnoteReference w:id="171"/>
      </w:r>
      <w:r w:rsidR="009A1216" w:rsidRPr="007D696C">
        <w:rPr>
          <w:rtl/>
        </w:rPr>
        <w:t xml:space="preserve">. </w:t>
      </w:r>
    </w:p>
    <w:p w:rsidR="0013734E" w:rsidRDefault="0013734E" w:rsidP="00E4477A">
      <w:pPr>
        <w:spacing w:line="269" w:lineRule="auto"/>
        <w:ind w:left="360"/>
        <w:rPr>
          <w:b/>
          <w:bCs/>
          <w:rtl/>
        </w:rPr>
      </w:pPr>
      <w:bookmarkStart w:id="447" w:name="_Hlk155704849"/>
    </w:p>
    <w:p w:rsidR="009A1216" w:rsidRPr="007D696C" w:rsidRDefault="009A1216" w:rsidP="00E4477A">
      <w:pPr>
        <w:spacing w:line="269" w:lineRule="auto"/>
        <w:ind w:left="360"/>
        <w:rPr>
          <w:b/>
          <w:bCs/>
          <w:rtl/>
        </w:rPr>
      </w:pPr>
      <w:r w:rsidRPr="007D696C">
        <w:rPr>
          <w:rFonts w:hint="eastAsia"/>
          <w:b/>
          <w:bCs/>
          <w:rtl/>
        </w:rPr>
        <w:t>כבר</w:t>
      </w:r>
      <w:r w:rsidRPr="007D696C">
        <w:rPr>
          <w:b/>
          <w:bCs/>
          <w:rtl/>
        </w:rPr>
        <w:t xml:space="preserve"> בשנת 2014 </w:t>
      </w:r>
      <w:r>
        <w:rPr>
          <w:rFonts w:hint="cs"/>
          <w:b/>
          <w:bCs/>
          <w:rtl/>
        </w:rPr>
        <w:t>חטיבת הסייבר</w:t>
      </w:r>
      <w:r w:rsidRPr="007D696C">
        <w:rPr>
          <w:b/>
          <w:bCs/>
          <w:rtl/>
        </w:rPr>
        <w:t xml:space="preserve"> ידעה כי יש מידע </w:t>
      </w:r>
      <w:r w:rsidR="00A77084">
        <w:rPr>
          <w:rFonts w:hint="cs"/>
          <w:b/>
          <w:bCs/>
          <w:rtl/>
        </w:rPr>
        <w:t xml:space="preserve">אסור </w:t>
      </w:r>
      <w:r w:rsidRPr="007D696C">
        <w:rPr>
          <w:b/>
          <w:bCs/>
          <w:rtl/>
        </w:rPr>
        <w:t>המתקבל בכלי טכנולוגי מסוים עם ביצוע ה</w:t>
      </w:r>
      <w:r w:rsidR="00DD1003">
        <w:rPr>
          <w:b/>
          <w:bCs/>
          <w:rtl/>
        </w:rPr>
        <w:t>התקנה</w:t>
      </w:r>
      <w:r w:rsidRPr="007D696C">
        <w:rPr>
          <w:b/>
          <w:bCs/>
          <w:rtl/>
        </w:rPr>
        <w:t xml:space="preserve">, ואף אסרה על השימוש בו לצורכי האזנת סתר. עם זאת, </w:t>
      </w:r>
      <w:r w:rsidRPr="007D696C">
        <w:rPr>
          <w:rFonts w:hint="eastAsia"/>
          <w:b/>
          <w:bCs/>
          <w:rtl/>
        </w:rPr>
        <w:t>מבדיקת</w:t>
      </w:r>
      <w:r w:rsidRPr="007D696C">
        <w:rPr>
          <w:b/>
          <w:bCs/>
          <w:rtl/>
        </w:rPr>
        <w:t xml:space="preserve"> </w:t>
      </w:r>
      <w:r>
        <w:rPr>
          <w:rFonts w:hint="cs"/>
          <w:b/>
          <w:bCs/>
          <w:rtl/>
        </w:rPr>
        <w:t xml:space="preserve">מסמכי המשטרה שביצע משרד </w:t>
      </w:r>
      <w:r w:rsidRPr="007D696C">
        <w:rPr>
          <w:b/>
          <w:bCs/>
          <w:rtl/>
        </w:rPr>
        <w:t xml:space="preserve">מבקר המדינה עולה כי </w:t>
      </w:r>
      <w:r w:rsidRPr="007D696C">
        <w:rPr>
          <w:rFonts w:hint="eastAsia"/>
          <w:b/>
          <w:bCs/>
          <w:rtl/>
        </w:rPr>
        <w:t>עד</w:t>
      </w:r>
      <w:r w:rsidRPr="007D696C">
        <w:rPr>
          <w:b/>
          <w:bCs/>
          <w:rtl/>
        </w:rPr>
        <w:t xml:space="preserve"> ל</w:t>
      </w:r>
      <w:r>
        <w:rPr>
          <w:rFonts w:hint="cs"/>
          <w:b/>
          <w:bCs/>
          <w:rtl/>
        </w:rPr>
        <w:t xml:space="preserve">ביצוע </w:t>
      </w:r>
      <w:r w:rsidRPr="007D696C">
        <w:rPr>
          <w:b/>
          <w:bCs/>
          <w:rtl/>
        </w:rPr>
        <w:t xml:space="preserve">עבודת צוות מררי, </w:t>
      </w:r>
      <w:r>
        <w:rPr>
          <w:rFonts w:hint="cs"/>
          <w:b/>
          <w:bCs/>
          <w:rtl/>
        </w:rPr>
        <w:t>חטיבת הסייבר</w:t>
      </w:r>
      <w:r w:rsidRPr="007D696C">
        <w:rPr>
          <w:b/>
          <w:bCs/>
          <w:rtl/>
        </w:rPr>
        <w:t xml:space="preserve"> </w:t>
      </w:r>
      <w:r w:rsidRPr="007D696C">
        <w:rPr>
          <w:rFonts w:hint="eastAsia"/>
          <w:b/>
          <w:bCs/>
          <w:rtl/>
        </w:rPr>
        <w:t>לא</w:t>
      </w:r>
      <w:r w:rsidRPr="007D696C">
        <w:rPr>
          <w:b/>
          <w:bCs/>
          <w:rtl/>
        </w:rPr>
        <w:t xml:space="preserve"> </w:t>
      </w:r>
      <w:r>
        <w:rPr>
          <w:rFonts w:hint="cs"/>
          <w:b/>
          <w:bCs/>
          <w:rtl/>
        </w:rPr>
        <w:t>הגדירה</w:t>
      </w:r>
      <w:r w:rsidRPr="007D696C">
        <w:rPr>
          <w:b/>
          <w:bCs/>
          <w:rtl/>
        </w:rPr>
        <w:t xml:space="preserve"> </w:t>
      </w:r>
      <w:r>
        <w:rPr>
          <w:rFonts w:hint="cs"/>
          <w:b/>
          <w:bCs/>
          <w:rtl/>
        </w:rPr>
        <w:t xml:space="preserve">את </w:t>
      </w:r>
      <w:r w:rsidRPr="007D696C">
        <w:rPr>
          <w:b/>
          <w:bCs/>
          <w:rtl/>
        </w:rPr>
        <w:t xml:space="preserve">המידע </w:t>
      </w:r>
      <w:r w:rsidRPr="007D696C">
        <w:rPr>
          <w:rFonts w:hint="eastAsia"/>
          <w:b/>
          <w:bCs/>
          <w:rtl/>
        </w:rPr>
        <w:t>הנחוץ</w:t>
      </w:r>
      <w:r w:rsidRPr="007D696C">
        <w:rPr>
          <w:b/>
          <w:bCs/>
          <w:rtl/>
        </w:rPr>
        <w:t xml:space="preserve"> </w:t>
      </w:r>
      <w:r w:rsidRPr="007D696C">
        <w:rPr>
          <w:rFonts w:hint="eastAsia"/>
          <w:b/>
          <w:bCs/>
          <w:rtl/>
        </w:rPr>
        <w:t>לה</w:t>
      </w:r>
      <w:r w:rsidRPr="007D696C">
        <w:rPr>
          <w:b/>
          <w:bCs/>
          <w:rtl/>
        </w:rPr>
        <w:t xml:space="preserve"> להבטחת </w:t>
      </w:r>
      <w:r w:rsidR="00DD1003">
        <w:rPr>
          <w:b/>
          <w:bCs/>
          <w:rtl/>
        </w:rPr>
        <w:t>התקנה</w:t>
      </w:r>
      <w:r w:rsidRPr="007D696C">
        <w:rPr>
          <w:b/>
          <w:bCs/>
          <w:rtl/>
        </w:rPr>
        <w:t xml:space="preserve"> באמצעות כלים טכנולוגיים לצורכי האזנת סתר</w:t>
      </w:r>
      <w:r>
        <w:rPr>
          <w:rFonts w:hint="cs"/>
          <w:b/>
          <w:bCs/>
          <w:rtl/>
        </w:rPr>
        <w:t>, לרבות הכלי האמור,</w:t>
      </w:r>
      <w:r w:rsidRPr="007D696C">
        <w:rPr>
          <w:b/>
          <w:bCs/>
          <w:rtl/>
        </w:rPr>
        <w:t xml:space="preserve"> </w:t>
      </w:r>
      <w:r w:rsidRPr="007D696C">
        <w:rPr>
          <w:rFonts w:hint="eastAsia"/>
          <w:b/>
          <w:bCs/>
          <w:rtl/>
        </w:rPr>
        <w:t>ו</w:t>
      </w:r>
      <w:r>
        <w:rPr>
          <w:rFonts w:hint="cs"/>
          <w:b/>
          <w:bCs/>
          <w:rtl/>
        </w:rPr>
        <w:t xml:space="preserve">לא קבעה </w:t>
      </w:r>
      <w:r w:rsidRPr="007D696C">
        <w:rPr>
          <w:rFonts w:hint="eastAsia"/>
          <w:b/>
          <w:bCs/>
          <w:rtl/>
        </w:rPr>
        <w:t>מהו</w:t>
      </w:r>
      <w:r w:rsidRPr="007D696C">
        <w:rPr>
          <w:b/>
          <w:bCs/>
          <w:rtl/>
        </w:rPr>
        <w:t xml:space="preserve"> </w:t>
      </w:r>
      <w:r w:rsidRPr="007D696C">
        <w:rPr>
          <w:rFonts w:hint="eastAsia"/>
          <w:b/>
          <w:bCs/>
          <w:rtl/>
        </w:rPr>
        <w:t>המידע</w:t>
      </w:r>
      <w:r w:rsidRPr="007D696C">
        <w:rPr>
          <w:b/>
          <w:bCs/>
          <w:rtl/>
        </w:rPr>
        <w:t xml:space="preserve"> </w:t>
      </w:r>
      <w:r w:rsidRPr="007D696C">
        <w:rPr>
          <w:rFonts w:hint="eastAsia"/>
          <w:b/>
          <w:bCs/>
          <w:rtl/>
        </w:rPr>
        <w:t>הנחוץ</w:t>
      </w:r>
      <w:r w:rsidRPr="007D696C">
        <w:rPr>
          <w:b/>
          <w:bCs/>
          <w:rtl/>
        </w:rPr>
        <w:t xml:space="preserve"> </w:t>
      </w:r>
      <w:r w:rsidRPr="007D696C">
        <w:rPr>
          <w:rFonts w:hint="eastAsia"/>
          <w:b/>
          <w:bCs/>
          <w:rtl/>
        </w:rPr>
        <w:t>לצורך</w:t>
      </w:r>
      <w:r w:rsidRPr="007D696C">
        <w:rPr>
          <w:b/>
          <w:bCs/>
          <w:rtl/>
        </w:rPr>
        <w:t xml:space="preserve"> </w:t>
      </w:r>
      <w:r w:rsidRPr="007D696C">
        <w:rPr>
          <w:rFonts w:hint="eastAsia"/>
          <w:b/>
          <w:bCs/>
          <w:rtl/>
        </w:rPr>
        <w:t>אבטחת</w:t>
      </w:r>
      <w:r w:rsidRPr="007D696C">
        <w:rPr>
          <w:b/>
          <w:bCs/>
          <w:rtl/>
        </w:rPr>
        <w:t xml:space="preserve"> </w:t>
      </w:r>
      <w:r w:rsidRPr="007D696C">
        <w:rPr>
          <w:rFonts w:hint="eastAsia"/>
          <w:b/>
          <w:bCs/>
          <w:rtl/>
        </w:rPr>
        <w:t>הכלים</w:t>
      </w:r>
      <w:r>
        <w:rPr>
          <w:rFonts w:hint="cs"/>
          <w:b/>
          <w:bCs/>
          <w:rtl/>
        </w:rPr>
        <w:t>; כמו כן, המשטרה לא גיבשה חוות דעת משפטית בנושא</w:t>
      </w:r>
      <w:r w:rsidRPr="007D696C">
        <w:rPr>
          <w:b/>
          <w:bCs/>
          <w:rtl/>
        </w:rPr>
        <w:t xml:space="preserve">. </w:t>
      </w:r>
      <w:r>
        <w:rPr>
          <w:rFonts w:hint="cs"/>
          <w:b/>
          <w:bCs/>
          <w:rtl/>
        </w:rPr>
        <w:t xml:space="preserve">רק </w:t>
      </w:r>
      <w:r w:rsidRPr="007D696C">
        <w:rPr>
          <w:rFonts w:hint="eastAsia"/>
          <w:b/>
          <w:bCs/>
          <w:rtl/>
        </w:rPr>
        <w:t>במהלך</w:t>
      </w:r>
      <w:r w:rsidRPr="007D696C">
        <w:rPr>
          <w:b/>
          <w:bCs/>
          <w:rtl/>
        </w:rPr>
        <w:t xml:space="preserve"> עבודת צוות מררי, גיבשה </w:t>
      </w:r>
      <w:r w:rsidRPr="007D696C">
        <w:rPr>
          <w:rFonts w:hint="eastAsia"/>
          <w:b/>
          <w:bCs/>
          <w:rtl/>
        </w:rPr>
        <w:t>המשטרה</w:t>
      </w:r>
      <w:r w:rsidRPr="007D696C">
        <w:rPr>
          <w:b/>
          <w:bCs/>
          <w:rtl/>
        </w:rPr>
        <w:t xml:space="preserve"> עמדה בנושא </w:t>
      </w:r>
      <w:r w:rsidRPr="007D696C">
        <w:rPr>
          <w:rFonts w:hint="eastAsia"/>
          <w:b/>
          <w:bCs/>
          <w:rtl/>
        </w:rPr>
        <w:t>והציגה</w:t>
      </w:r>
      <w:r w:rsidRPr="007D696C">
        <w:rPr>
          <w:b/>
          <w:bCs/>
          <w:rtl/>
        </w:rPr>
        <w:t xml:space="preserve"> </w:t>
      </w:r>
      <w:r>
        <w:rPr>
          <w:rFonts w:hint="cs"/>
          <w:b/>
          <w:bCs/>
          <w:rtl/>
        </w:rPr>
        <w:t>כמה</w:t>
      </w:r>
      <w:r w:rsidRPr="007D696C">
        <w:rPr>
          <w:b/>
          <w:bCs/>
          <w:rtl/>
        </w:rPr>
        <w:t xml:space="preserve"> סוגי מידע שלטעמה נדרשים לצורך הבטחת </w:t>
      </w:r>
      <w:r w:rsidR="00DD1003">
        <w:rPr>
          <w:rFonts w:hint="cs"/>
          <w:b/>
          <w:bCs/>
          <w:rtl/>
        </w:rPr>
        <w:t>ה</w:t>
      </w:r>
      <w:r w:rsidR="00DD1003">
        <w:rPr>
          <w:b/>
          <w:bCs/>
          <w:rtl/>
        </w:rPr>
        <w:t>התקנה</w:t>
      </w:r>
      <w:r w:rsidRPr="007D696C">
        <w:rPr>
          <w:b/>
          <w:bCs/>
          <w:rtl/>
        </w:rPr>
        <w:t xml:space="preserve"> או אבטחת הכלי</w:t>
      </w:r>
      <w:bookmarkEnd w:id="447"/>
      <w:r w:rsidRPr="007D696C">
        <w:rPr>
          <w:b/>
          <w:bCs/>
          <w:rtl/>
        </w:rPr>
        <w:t xml:space="preserve">. </w:t>
      </w:r>
    </w:p>
    <w:p w:rsidR="0013734E" w:rsidRDefault="0013734E" w:rsidP="00E4477A">
      <w:pPr>
        <w:spacing w:line="269" w:lineRule="auto"/>
        <w:ind w:left="360"/>
        <w:rPr>
          <w:rtl/>
        </w:rPr>
      </w:pPr>
    </w:p>
    <w:p w:rsidR="009A1216" w:rsidRDefault="009A1216" w:rsidP="00E4477A">
      <w:pPr>
        <w:spacing w:line="269" w:lineRule="auto"/>
        <w:ind w:left="360"/>
        <w:rPr>
          <w:rtl/>
        </w:rPr>
      </w:pPr>
      <w:r>
        <w:rPr>
          <w:rFonts w:hint="cs"/>
          <w:rtl/>
        </w:rPr>
        <w:t xml:space="preserve">בעמדה המשפטית שבדוח </w:t>
      </w:r>
      <w:r w:rsidRPr="007D696C">
        <w:rPr>
          <w:rFonts w:hint="eastAsia"/>
          <w:rtl/>
        </w:rPr>
        <w:t>צוות</w:t>
      </w:r>
      <w:r w:rsidRPr="007D696C">
        <w:rPr>
          <w:rtl/>
        </w:rPr>
        <w:t xml:space="preserve"> </w:t>
      </w:r>
      <w:r w:rsidRPr="007D696C">
        <w:rPr>
          <w:rFonts w:hint="eastAsia"/>
          <w:rtl/>
        </w:rPr>
        <w:t>מררי</w:t>
      </w:r>
      <w:r w:rsidRPr="007D696C">
        <w:rPr>
          <w:rtl/>
        </w:rPr>
        <w:t xml:space="preserve"> </w:t>
      </w:r>
      <w:r>
        <w:rPr>
          <w:rFonts w:hint="cs"/>
          <w:rtl/>
        </w:rPr>
        <w:t>נ</w:t>
      </w:r>
      <w:r w:rsidRPr="007D696C">
        <w:rPr>
          <w:rFonts w:hint="eastAsia"/>
          <w:rtl/>
        </w:rPr>
        <w:t>קבע</w:t>
      </w:r>
      <w:r w:rsidRPr="007D696C">
        <w:rPr>
          <w:rtl/>
        </w:rPr>
        <w:t xml:space="preserve"> כי יש להבחין בין שימוש במידע לצורך הבטחת </w:t>
      </w:r>
      <w:r>
        <w:rPr>
          <w:rFonts w:hint="cs"/>
          <w:rtl/>
        </w:rPr>
        <w:t>ה</w:t>
      </w:r>
      <w:r w:rsidR="00DD1003">
        <w:rPr>
          <w:rFonts w:hint="cs"/>
          <w:rtl/>
        </w:rPr>
        <w:t>התקנה</w:t>
      </w:r>
      <w:r>
        <w:rPr>
          <w:rFonts w:hint="cs"/>
          <w:rtl/>
        </w:rPr>
        <w:t xml:space="preserve"> או אבטחת הכלי </w:t>
      </w:r>
      <w:r w:rsidRPr="007D696C">
        <w:rPr>
          <w:rtl/>
        </w:rPr>
        <w:t xml:space="preserve">לבין אפשרות הפקת המידע על ידי המשטרה כתוצר האזנת סתר. </w:t>
      </w:r>
      <w:r>
        <w:rPr>
          <w:rFonts w:hint="cs"/>
          <w:rtl/>
        </w:rPr>
        <w:t xml:space="preserve">לפיכך </w:t>
      </w:r>
      <w:r w:rsidRPr="007D696C">
        <w:rPr>
          <w:rtl/>
        </w:rPr>
        <w:t xml:space="preserve">קבע צוות מררי כי המידע הנחוץ להבטחת </w:t>
      </w:r>
      <w:r w:rsidR="00DD1003">
        <w:rPr>
          <w:rtl/>
        </w:rPr>
        <w:t>ה</w:t>
      </w:r>
      <w:r w:rsidR="00DD1003">
        <w:rPr>
          <w:rFonts w:hint="cs"/>
          <w:rtl/>
        </w:rPr>
        <w:t>ה</w:t>
      </w:r>
      <w:r w:rsidR="00DD1003">
        <w:rPr>
          <w:rtl/>
        </w:rPr>
        <w:t>תקנה</w:t>
      </w:r>
      <w:r w:rsidRPr="007D696C">
        <w:rPr>
          <w:rtl/>
        </w:rPr>
        <w:t xml:space="preserve"> או אבטחת הכלי לא יהיה חשוף לעיני אדם, ו</w:t>
      </w:r>
      <w:r>
        <w:rPr>
          <w:rFonts w:hint="cs"/>
          <w:rtl/>
        </w:rPr>
        <w:t xml:space="preserve">כי </w:t>
      </w:r>
      <w:r w:rsidRPr="007D696C">
        <w:rPr>
          <w:rtl/>
        </w:rPr>
        <w:t>ייעשה בו שימוש באופן ממוכן בלבד.</w:t>
      </w:r>
      <w:r>
        <w:rPr>
          <w:rtl/>
        </w:rPr>
        <w:t xml:space="preserve"> </w:t>
      </w:r>
    </w:p>
    <w:p w:rsidR="0013734E" w:rsidRDefault="0013734E" w:rsidP="00E4477A">
      <w:pPr>
        <w:spacing w:line="269" w:lineRule="auto"/>
        <w:ind w:left="360"/>
        <w:rPr>
          <w:rtl/>
        </w:rPr>
      </w:pPr>
    </w:p>
    <w:p w:rsidR="009A1216" w:rsidRPr="007D696C" w:rsidRDefault="009A1216" w:rsidP="00E4477A">
      <w:pPr>
        <w:spacing w:line="269" w:lineRule="auto"/>
        <w:ind w:left="360"/>
        <w:rPr>
          <w:rtl/>
        </w:rPr>
      </w:pPr>
      <w:r>
        <w:rPr>
          <w:rFonts w:hint="cs"/>
          <w:rtl/>
        </w:rPr>
        <w:t xml:space="preserve">בעמדה המשפטית שבדוח </w:t>
      </w:r>
      <w:r w:rsidRPr="007D696C">
        <w:rPr>
          <w:rFonts w:hint="eastAsia"/>
          <w:rtl/>
        </w:rPr>
        <w:t>צוות</w:t>
      </w:r>
      <w:r w:rsidRPr="007D696C">
        <w:rPr>
          <w:rtl/>
        </w:rPr>
        <w:t xml:space="preserve"> מררי </w:t>
      </w:r>
      <w:r w:rsidR="00D513CA">
        <w:rPr>
          <w:rFonts w:hint="cs"/>
          <w:rtl/>
        </w:rPr>
        <w:t>נקבעו</w:t>
      </w:r>
      <w:r w:rsidR="00B13C9A">
        <w:rPr>
          <w:rFonts w:hint="cs"/>
          <w:rtl/>
        </w:rPr>
        <w:t xml:space="preserve"> </w:t>
      </w:r>
      <w:r>
        <w:rPr>
          <w:rFonts w:hint="cs"/>
          <w:rtl/>
        </w:rPr>
        <w:t xml:space="preserve">סוגי </w:t>
      </w:r>
      <w:r w:rsidRPr="007D696C">
        <w:rPr>
          <w:rFonts w:hint="eastAsia"/>
          <w:rtl/>
        </w:rPr>
        <w:t>המידע</w:t>
      </w:r>
      <w:r w:rsidRPr="007D696C">
        <w:rPr>
          <w:rtl/>
        </w:rPr>
        <w:t xml:space="preserve"> שניתן לאסוף לצורך הבטחת </w:t>
      </w:r>
      <w:r w:rsidR="00DD1003" w:rsidRPr="007D696C">
        <w:rPr>
          <w:rtl/>
        </w:rPr>
        <w:t>ה</w:t>
      </w:r>
      <w:r w:rsidR="00DD1003">
        <w:rPr>
          <w:rFonts w:hint="cs"/>
          <w:rtl/>
        </w:rPr>
        <w:t>התקנה</w:t>
      </w:r>
      <w:r w:rsidR="00DD1003" w:rsidRPr="007D696C">
        <w:rPr>
          <w:rtl/>
        </w:rPr>
        <w:t xml:space="preserve"> </w:t>
      </w:r>
      <w:r w:rsidRPr="007D696C">
        <w:rPr>
          <w:rtl/>
        </w:rPr>
        <w:t xml:space="preserve">ואבטחת הכלי: </w:t>
      </w:r>
    </w:p>
    <w:p w:rsidR="009A1216" w:rsidRPr="005E6E28" w:rsidRDefault="009A1216" w:rsidP="00E4477A">
      <w:pPr>
        <w:pStyle w:val="af2"/>
        <w:numPr>
          <w:ilvl w:val="0"/>
          <w:numId w:val="31"/>
        </w:numPr>
        <w:spacing w:line="269" w:lineRule="auto"/>
        <w:ind w:left="720"/>
        <w:rPr>
          <w:rtl/>
        </w:rPr>
      </w:pPr>
      <w:r w:rsidRPr="007D696C">
        <w:rPr>
          <w:rtl/>
        </w:rPr>
        <w:t>מידע טכני על המכשיר</w:t>
      </w:r>
      <w:r w:rsidR="00746A11">
        <w:rPr>
          <w:rtl/>
        </w:rPr>
        <w:t>.</w:t>
      </w:r>
      <w:r w:rsidRPr="007D696C">
        <w:rPr>
          <w:rtl/>
        </w:rPr>
        <w:t xml:space="preserve"> </w:t>
      </w:r>
    </w:p>
    <w:p w:rsidR="009A1216" w:rsidRDefault="009A1216" w:rsidP="00E4477A">
      <w:pPr>
        <w:pStyle w:val="af2"/>
        <w:numPr>
          <w:ilvl w:val="0"/>
          <w:numId w:val="31"/>
        </w:numPr>
        <w:spacing w:line="269" w:lineRule="auto"/>
        <w:ind w:left="720"/>
      </w:pPr>
      <w:r w:rsidRPr="00A512AA">
        <w:rPr>
          <w:rFonts w:hint="eastAsia"/>
          <w:rtl/>
        </w:rPr>
        <w:t>רשימת</w:t>
      </w:r>
      <w:r w:rsidRPr="00A512AA">
        <w:rPr>
          <w:rtl/>
        </w:rPr>
        <w:t xml:space="preserve"> האפליקציות המותקנות </w:t>
      </w:r>
      <w:r w:rsidRPr="00A512AA">
        <w:rPr>
          <w:rFonts w:hint="eastAsia"/>
          <w:rtl/>
        </w:rPr>
        <w:t>ב</w:t>
      </w:r>
      <w:r w:rsidRPr="00A512AA">
        <w:rPr>
          <w:rtl/>
        </w:rPr>
        <w:t xml:space="preserve">מכשיר. </w:t>
      </w:r>
    </w:p>
    <w:p w:rsidR="006E4299" w:rsidRPr="00A512AA" w:rsidRDefault="006E4299" w:rsidP="00E4477A">
      <w:pPr>
        <w:pStyle w:val="af2"/>
        <w:spacing w:line="269" w:lineRule="auto"/>
      </w:pPr>
    </w:p>
    <w:p w:rsidR="009A1216" w:rsidRPr="007D696C" w:rsidRDefault="009A1216" w:rsidP="00E4477A">
      <w:pPr>
        <w:spacing w:line="269" w:lineRule="auto"/>
        <w:ind w:left="360"/>
        <w:rPr>
          <w:rtl/>
        </w:rPr>
      </w:pPr>
      <w:r>
        <w:rPr>
          <w:rFonts w:hint="cs"/>
          <w:rtl/>
        </w:rPr>
        <w:t xml:space="preserve">בעמדה המשפטית שבדוח </w:t>
      </w:r>
      <w:r w:rsidRPr="007D696C">
        <w:rPr>
          <w:rFonts w:hint="eastAsia"/>
          <w:rtl/>
        </w:rPr>
        <w:t>צוות</w:t>
      </w:r>
      <w:r w:rsidRPr="007D696C">
        <w:rPr>
          <w:rtl/>
        </w:rPr>
        <w:t xml:space="preserve"> </w:t>
      </w:r>
      <w:r w:rsidRPr="007D696C">
        <w:rPr>
          <w:rFonts w:hint="eastAsia"/>
          <w:rtl/>
        </w:rPr>
        <w:t>מררי</w:t>
      </w:r>
      <w:r w:rsidRPr="007D696C">
        <w:rPr>
          <w:rtl/>
        </w:rPr>
        <w:t xml:space="preserve"> </w:t>
      </w:r>
      <w:r w:rsidRPr="007D696C">
        <w:rPr>
          <w:rFonts w:hint="eastAsia"/>
          <w:rtl/>
        </w:rPr>
        <w:t>אף</w:t>
      </w:r>
      <w:r w:rsidRPr="007D696C">
        <w:rPr>
          <w:rtl/>
        </w:rPr>
        <w:t xml:space="preserve"> </w:t>
      </w:r>
      <w:r w:rsidR="00D513CA">
        <w:rPr>
          <w:rFonts w:hint="cs"/>
          <w:rtl/>
        </w:rPr>
        <w:t>נקבע</w:t>
      </w:r>
      <w:r w:rsidR="00B13C9A">
        <w:rPr>
          <w:rFonts w:hint="cs"/>
          <w:rtl/>
        </w:rPr>
        <w:t xml:space="preserve"> </w:t>
      </w:r>
      <w:r w:rsidRPr="007D696C">
        <w:rPr>
          <w:rFonts w:hint="eastAsia"/>
          <w:rtl/>
        </w:rPr>
        <w:t>כי</w:t>
      </w:r>
      <w:r w:rsidRPr="007D696C">
        <w:rPr>
          <w:rtl/>
        </w:rPr>
        <w:t xml:space="preserve"> </w:t>
      </w:r>
      <w:r w:rsidRPr="007D696C">
        <w:rPr>
          <w:rFonts w:hint="eastAsia"/>
          <w:rtl/>
        </w:rPr>
        <w:t>יש</w:t>
      </w:r>
      <w:r w:rsidRPr="007D696C">
        <w:rPr>
          <w:rtl/>
        </w:rPr>
        <w:t xml:space="preserve"> </w:t>
      </w:r>
      <w:r w:rsidRPr="007D696C">
        <w:rPr>
          <w:rFonts w:hint="eastAsia"/>
          <w:rtl/>
        </w:rPr>
        <w:t>להסדיר</w:t>
      </w:r>
      <w:r w:rsidRPr="007D696C">
        <w:rPr>
          <w:rtl/>
        </w:rPr>
        <w:t xml:space="preserve"> </w:t>
      </w:r>
      <w:r>
        <w:rPr>
          <w:rFonts w:hint="cs"/>
          <w:rtl/>
        </w:rPr>
        <w:t xml:space="preserve">בחקיקה </w:t>
      </w:r>
      <w:r w:rsidRPr="007D696C">
        <w:rPr>
          <w:rFonts w:hint="eastAsia"/>
          <w:rtl/>
        </w:rPr>
        <w:t>את</w:t>
      </w:r>
      <w:r w:rsidRPr="007D696C">
        <w:rPr>
          <w:rtl/>
        </w:rPr>
        <w:t xml:space="preserve"> </w:t>
      </w:r>
      <w:r w:rsidRPr="007D696C">
        <w:rPr>
          <w:rFonts w:hint="eastAsia"/>
          <w:rtl/>
        </w:rPr>
        <w:t>סמכויות</w:t>
      </w:r>
      <w:r w:rsidRPr="007D696C">
        <w:rPr>
          <w:rtl/>
        </w:rPr>
        <w:t xml:space="preserve"> </w:t>
      </w:r>
      <w:r w:rsidRPr="007D696C">
        <w:rPr>
          <w:rFonts w:hint="eastAsia"/>
          <w:rtl/>
        </w:rPr>
        <w:t>העזר</w:t>
      </w:r>
      <w:r w:rsidRPr="007D696C">
        <w:rPr>
          <w:rtl/>
        </w:rPr>
        <w:t xml:space="preserve"> </w:t>
      </w:r>
      <w:r w:rsidRPr="007D696C">
        <w:rPr>
          <w:rFonts w:hint="eastAsia"/>
          <w:rtl/>
        </w:rPr>
        <w:t>הספציפיות</w:t>
      </w:r>
      <w:r w:rsidRPr="007D696C">
        <w:rPr>
          <w:rtl/>
        </w:rPr>
        <w:t xml:space="preserve"> </w:t>
      </w:r>
      <w:r w:rsidRPr="007D696C">
        <w:rPr>
          <w:rFonts w:hint="eastAsia"/>
          <w:rtl/>
        </w:rPr>
        <w:t>לפי</w:t>
      </w:r>
      <w:r w:rsidRPr="007D696C">
        <w:rPr>
          <w:rtl/>
        </w:rPr>
        <w:t xml:space="preserve"> </w:t>
      </w:r>
      <w:r w:rsidRPr="007D696C">
        <w:rPr>
          <w:rFonts w:hint="eastAsia"/>
          <w:rtl/>
        </w:rPr>
        <w:t>סעיף</w:t>
      </w:r>
      <w:r w:rsidRPr="007D696C">
        <w:rPr>
          <w:rtl/>
        </w:rPr>
        <w:t xml:space="preserve"> 10א </w:t>
      </w:r>
      <w:r w:rsidRPr="007D696C">
        <w:rPr>
          <w:rFonts w:hint="eastAsia"/>
          <w:rtl/>
        </w:rPr>
        <w:t>ל</w:t>
      </w:r>
      <w:r>
        <w:rPr>
          <w:rFonts w:hint="eastAsia"/>
          <w:rtl/>
        </w:rPr>
        <w:t>חוק האזנת סתר</w:t>
      </w:r>
      <w:r w:rsidRPr="007D696C">
        <w:rPr>
          <w:rtl/>
        </w:rPr>
        <w:t xml:space="preserve"> </w:t>
      </w:r>
      <w:r>
        <w:rPr>
          <w:rtl/>
        </w:rPr>
        <w:t>כדי</w:t>
      </w:r>
      <w:r w:rsidRPr="007D696C">
        <w:rPr>
          <w:rtl/>
        </w:rPr>
        <w:t xml:space="preserve"> לקבוע באופן מפורש וברור </w:t>
      </w:r>
      <w:r>
        <w:rPr>
          <w:rFonts w:hint="cs"/>
          <w:rtl/>
        </w:rPr>
        <w:t xml:space="preserve">אילו </w:t>
      </w:r>
      <w:r w:rsidRPr="007D696C">
        <w:rPr>
          <w:rtl/>
        </w:rPr>
        <w:t xml:space="preserve">פעולות ניתן לבצע </w:t>
      </w:r>
      <w:r>
        <w:rPr>
          <w:rtl/>
        </w:rPr>
        <w:t>כדי</w:t>
      </w:r>
      <w:r w:rsidRPr="007D696C">
        <w:rPr>
          <w:rtl/>
        </w:rPr>
        <w:t xml:space="preserve"> להתקין את אמצעי ההאזנה. </w:t>
      </w:r>
    </w:p>
    <w:p w:rsidR="0013734E" w:rsidRDefault="0013734E" w:rsidP="00604C3D">
      <w:pPr>
        <w:spacing w:line="269" w:lineRule="auto"/>
        <w:rPr>
          <w:b/>
          <w:bCs/>
          <w:rtl/>
        </w:rPr>
      </w:pPr>
    </w:p>
    <w:p w:rsidR="009A1216" w:rsidRPr="00425289" w:rsidRDefault="009A1216" w:rsidP="00E4477A">
      <w:pPr>
        <w:spacing w:line="269" w:lineRule="auto"/>
        <w:ind w:left="360"/>
        <w:rPr>
          <w:rtl/>
        </w:rPr>
      </w:pPr>
      <w:r w:rsidRPr="007D696C">
        <w:rPr>
          <w:rFonts w:hint="eastAsia"/>
          <w:b/>
          <w:bCs/>
          <w:rtl/>
        </w:rPr>
        <w:t>על</w:t>
      </w:r>
      <w:r w:rsidRPr="007D696C">
        <w:rPr>
          <w:b/>
          <w:bCs/>
          <w:rtl/>
        </w:rPr>
        <w:t xml:space="preserve"> </w:t>
      </w:r>
      <w:r w:rsidRPr="00A965E8">
        <w:rPr>
          <w:rFonts w:hint="cs"/>
          <w:b/>
          <w:bCs/>
          <w:rtl/>
        </w:rPr>
        <w:t>משרד המשפטים</w:t>
      </w:r>
      <w:r>
        <w:rPr>
          <w:rFonts w:hint="cs"/>
          <w:b/>
          <w:bCs/>
          <w:rtl/>
        </w:rPr>
        <w:t xml:space="preserve"> - האחראי על עבודת המטה,</w:t>
      </w:r>
      <w:r w:rsidRPr="00117790">
        <w:rPr>
          <w:rFonts w:hint="cs"/>
          <w:b/>
          <w:bCs/>
          <w:rtl/>
        </w:rPr>
        <w:t xml:space="preserve"> </w:t>
      </w:r>
      <w:r>
        <w:rPr>
          <w:rFonts w:hint="cs"/>
          <w:b/>
          <w:bCs/>
          <w:rtl/>
        </w:rPr>
        <w:t>בתיאום עם הגורמים הרלוונטיים</w:t>
      </w:r>
      <w:r>
        <w:rPr>
          <w:b/>
          <w:bCs/>
          <w:rtl/>
        </w:rPr>
        <w:t xml:space="preserve"> </w:t>
      </w:r>
      <w:r>
        <w:rPr>
          <w:rFonts w:hint="cs"/>
          <w:b/>
          <w:bCs/>
          <w:rtl/>
        </w:rPr>
        <w:t>לפעול</w:t>
      </w:r>
      <w:r w:rsidR="00382AE8">
        <w:rPr>
          <w:rFonts w:hint="cs"/>
          <w:b/>
          <w:bCs/>
          <w:rtl/>
        </w:rPr>
        <w:t xml:space="preserve"> </w:t>
      </w:r>
      <w:r w:rsidRPr="007D696C">
        <w:rPr>
          <w:b/>
          <w:bCs/>
          <w:rtl/>
        </w:rPr>
        <w:t xml:space="preserve">בהקדם האפשרי </w:t>
      </w:r>
      <w:r>
        <w:rPr>
          <w:rFonts w:hint="cs"/>
          <w:b/>
          <w:bCs/>
          <w:rtl/>
        </w:rPr>
        <w:t xml:space="preserve">לתיקון </w:t>
      </w:r>
      <w:r>
        <w:rPr>
          <w:b/>
          <w:bCs/>
          <w:rtl/>
        </w:rPr>
        <w:t>חוק האזנת סתר</w:t>
      </w:r>
      <w:r w:rsidRPr="007D696C">
        <w:rPr>
          <w:b/>
          <w:bCs/>
          <w:rtl/>
        </w:rPr>
        <w:t xml:space="preserve">, </w:t>
      </w:r>
      <w:r>
        <w:rPr>
          <w:rFonts w:hint="cs"/>
          <w:b/>
          <w:bCs/>
          <w:rtl/>
        </w:rPr>
        <w:t>באופן</w:t>
      </w:r>
      <w:r w:rsidRPr="007D696C">
        <w:rPr>
          <w:b/>
          <w:bCs/>
          <w:rtl/>
        </w:rPr>
        <w:t xml:space="preserve"> ש</w:t>
      </w:r>
      <w:r>
        <w:rPr>
          <w:rFonts w:hint="cs"/>
          <w:b/>
          <w:bCs/>
          <w:rtl/>
        </w:rPr>
        <w:t xml:space="preserve">הוא </w:t>
      </w:r>
      <w:r w:rsidRPr="007D696C">
        <w:rPr>
          <w:b/>
          <w:bCs/>
          <w:rtl/>
        </w:rPr>
        <w:t xml:space="preserve">יבהיר אילו פעולות </w:t>
      </w:r>
      <w:r w:rsidRPr="007D696C">
        <w:rPr>
          <w:rFonts w:hint="eastAsia"/>
          <w:b/>
          <w:bCs/>
          <w:rtl/>
        </w:rPr>
        <w:t>המשטרה</w:t>
      </w:r>
      <w:r w:rsidRPr="007D696C">
        <w:rPr>
          <w:b/>
          <w:bCs/>
          <w:rtl/>
        </w:rPr>
        <w:t xml:space="preserve"> </w:t>
      </w:r>
      <w:r w:rsidRPr="007D696C">
        <w:rPr>
          <w:rFonts w:hint="eastAsia"/>
          <w:b/>
          <w:bCs/>
          <w:rtl/>
        </w:rPr>
        <w:t>רשאית</w:t>
      </w:r>
      <w:r w:rsidRPr="007D696C">
        <w:rPr>
          <w:b/>
          <w:bCs/>
          <w:rtl/>
        </w:rPr>
        <w:t xml:space="preserve"> לבצע </w:t>
      </w:r>
      <w:r>
        <w:rPr>
          <w:rFonts w:hint="cs"/>
          <w:b/>
          <w:bCs/>
          <w:rtl/>
        </w:rPr>
        <w:t>מתוקף</w:t>
      </w:r>
      <w:r>
        <w:rPr>
          <w:rFonts w:hint="cs"/>
          <w:b/>
          <w:bCs/>
        </w:rPr>
        <w:t xml:space="preserve"> </w:t>
      </w:r>
      <w:r w:rsidRPr="007D696C">
        <w:rPr>
          <w:b/>
          <w:bCs/>
          <w:rtl/>
        </w:rPr>
        <w:t>סמכויות העזר ל</w:t>
      </w:r>
      <w:r w:rsidRPr="007D696C">
        <w:rPr>
          <w:rFonts w:hint="eastAsia"/>
          <w:b/>
          <w:bCs/>
          <w:rtl/>
        </w:rPr>
        <w:t>צורך</w:t>
      </w:r>
      <w:r w:rsidRPr="007D696C">
        <w:rPr>
          <w:b/>
          <w:bCs/>
          <w:rtl/>
        </w:rPr>
        <w:t xml:space="preserve"> התק</w:t>
      </w:r>
      <w:r w:rsidRPr="007D696C">
        <w:rPr>
          <w:rFonts w:hint="eastAsia"/>
          <w:b/>
          <w:bCs/>
          <w:rtl/>
        </w:rPr>
        <w:t>נת</w:t>
      </w:r>
      <w:r w:rsidRPr="007D696C">
        <w:rPr>
          <w:b/>
          <w:bCs/>
          <w:rtl/>
        </w:rPr>
        <w:t xml:space="preserve"> אמצעי האזנה</w:t>
      </w:r>
      <w:r>
        <w:rPr>
          <w:rFonts w:hint="cs"/>
          <w:b/>
          <w:bCs/>
          <w:rtl/>
        </w:rPr>
        <w:t>.</w:t>
      </w:r>
      <w:r w:rsidRPr="007D696C">
        <w:rPr>
          <w:b/>
          <w:bCs/>
          <w:rtl/>
        </w:rPr>
        <w:t xml:space="preserve"> </w:t>
      </w:r>
      <w:r w:rsidRPr="007D696C">
        <w:rPr>
          <w:rFonts w:hint="eastAsia"/>
          <w:b/>
          <w:bCs/>
          <w:rtl/>
        </w:rPr>
        <w:t>בפרט</w:t>
      </w:r>
      <w:r>
        <w:rPr>
          <w:rFonts w:hint="cs"/>
          <w:b/>
          <w:bCs/>
          <w:rtl/>
        </w:rPr>
        <w:t xml:space="preserve"> יש להבהיר</w:t>
      </w:r>
      <w:r>
        <w:rPr>
          <w:rFonts w:hint="cs"/>
          <w:b/>
          <w:bCs/>
        </w:rPr>
        <w:t xml:space="preserve"> </w:t>
      </w:r>
      <w:r>
        <w:rPr>
          <w:rFonts w:hint="cs"/>
          <w:b/>
          <w:bCs/>
          <w:rtl/>
        </w:rPr>
        <w:t>אילו פעולות ניתן לבצע לצורך</w:t>
      </w:r>
      <w:r w:rsidRPr="007D696C">
        <w:rPr>
          <w:b/>
          <w:bCs/>
          <w:rtl/>
        </w:rPr>
        <w:t xml:space="preserve"> </w:t>
      </w:r>
      <w:r w:rsidRPr="007D696C">
        <w:rPr>
          <w:rFonts w:hint="eastAsia"/>
          <w:b/>
          <w:bCs/>
          <w:rtl/>
        </w:rPr>
        <w:t>הבטחת</w:t>
      </w:r>
      <w:r w:rsidRPr="007D696C">
        <w:rPr>
          <w:b/>
          <w:bCs/>
          <w:rtl/>
        </w:rPr>
        <w:t xml:space="preserve"> </w:t>
      </w:r>
      <w:r>
        <w:rPr>
          <w:rFonts w:hint="cs"/>
          <w:b/>
          <w:bCs/>
          <w:rtl/>
        </w:rPr>
        <w:t>ה</w:t>
      </w:r>
      <w:r w:rsidR="00DD1003">
        <w:rPr>
          <w:rFonts w:hint="eastAsia"/>
          <w:b/>
          <w:bCs/>
          <w:rtl/>
        </w:rPr>
        <w:t>התקנה</w:t>
      </w:r>
      <w:r w:rsidRPr="007D696C">
        <w:rPr>
          <w:b/>
          <w:bCs/>
          <w:rtl/>
        </w:rPr>
        <w:t xml:space="preserve"> </w:t>
      </w:r>
      <w:r w:rsidR="000155B0">
        <w:rPr>
          <w:rFonts w:hint="cs"/>
          <w:b/>
          <w:bCs/>
          <w:rtl/>
        </w:rPr>
        <w:t xml:space="preserve">המתבצעת </w:t>
      </w:r>
      <w:r w:rsidR="00CD1395">
        <w:rPr>
          <w:rFonts w:hint="cs"/>
          <w:b/>
          <w:bCs/>
          <w:rtl/>
        </w:rPr>
        <w:t>תוך שימוש</w:t>
      </w:r>
      <w:r w:rsidR="00CD1395" w:rsidRPr="007D696C">
        <w:rPr>
          <w:b/>
          <w:bCs/>
          <w:rtl/>
        </w:rPr>
        <w:t xml:space="preserve"> </w:t>
      </w:r>
      <w:r w:rsidR="00CD1395">
        <w:rPr>
          <w:rFonts w:hint="cs"/>
          <w:b/>
          <w:bCs/>
          <w:rtl/>
        </w:rPr>
        <w:t>ב</w:t>
      </w:r>
      <w:r w:rsidRPr="007D696C">
        <w:rPr>
          <w:rFonts w:hint="eastAsia"/>
          <w:b/>
          <w:bCs/>
          <w:rtl/>
        </w:rPr>
        <w:t>כלים</w:t>
      </w:r>
      <w:r w:rsidRPr="007D696C">
        <w:rPr>
          <w:b/>
          <w:bCs/>
          <w:rtl/>
        </w:rPr>
        <w:t xml:space="preserve"> </w:t>
      </w:r>
      <w:r w:rsidRPr="007D696C">
        <w:rPr>
          <w:rFonts w:hint="eastAsia"/>
          <w:b/>
          <w:bCs/>
          <w:rtl/>
        </w:rPr>
        <w:t>טכנולוגיים</w:t>
      </w:r>
      <w:r w:rsidR="000155B0">
        <w:rPr>
          <w:rFonts w:hint="cs"/>
          <w:b/>
          <w:bCs/>
          <w:rtl/>
        </w:rPr>
        <w:t xml:space="preserve"> או באופן ידני</w:t>
      </w:r>
      <w:r w:rsidRPr="007D696C">
        <w:rPr>
          <w:b/>
          <w:bCs/>
          <w:rtl/>
        </w:rPr>
        <w:t xml:space="preserve"> </w:t>
      </w:r>
      <w:r w:rsidRPr="007D696C">
        <w:rPr>
          <w:rFonts w:hint="eastAsia"/>
          <w:b/>
          <w:bCs/>
          <w:rtl/>
        </w:rPr>
        <w:t>ו</w:t>
      </w:r>
      <w:r>
        <w:rPr>
          <w:rFonts w:hint="cs"/>
          <w:b/>
          <w:bCs/>
          <w:rtl/>
        </w:rPr>
        <w:t xml:space="preserve">לצורך </w:t>
      </w:r>
      <w:r w:rsidRPr="007D696C">
        <w:rPr>
          <w:rFonts w:hint="eastAsia"/>
          <w:b/>
          <w:bCs/>
          <w:rtl/>
        </w:rPr>
        <w:t>אבטחת</w:t>
      </w:r>
      <w:r w:rsidRPr="007D696C">
        <w:rPr>
          <w:b/>
          <w:bCs/>
          <w:rtl/>
        </w:rPr>
        <w:t xml:space="preserve"> </w:t>
      </w:r>
      <w:r w:rsidRPr="007D696C">
        <w:rPr>
          <w:rFonts w:hint="eastAsia"/>
          <w:b/>
          <w:bCs/>
          <w:rtl/>
        </w:rPr>
        <w:t>הכלים</w:t>
      </w:r>
      <w:r w:rsidRPr="007D696C">
        <w:rPr>
          <w:b/>
          <w:bCs/>
          <w:rtl/>
        </w:rPr>
        <w:t xml:space="preserve"> באופן מתמשך</w:t>
      </w:r>
      <w:r>
        <w:rPr>
          <w:rFonts w:hint="cs"/>
          <w:b/>
          <w:bCs/>
          <w:rtl/>
        </w:rPr>
        <w:t xml:space="preserve">, ומה הן הקטגוריות של סוגי המידע שניתן </w:t>
      </w:r>
      <w:r w:rsidRPr="007D696C">
        <w:rPr>
          <w:rFonts w:hint="eastAsia"/>
          <w:b/>
          <w:bCs/>
          <w:rtl/>
        </w:rPr>
        <w:t>יהיה</w:t>
      </w:r>
      <w:r w:rsidRPr="007D696C">
        <w:rPr>
          <w:b/>
          <w:bCs/>
          <w:rtl/>
        </w:rPr>
        <w:t xml:space="preserve"> </w:t>
      </w:r>
      <w:r>
        <w:rPr>
          <w:rFonts w:hint="cs"/>
          <w:b/>
          <w:bCs/>
          <w:rtl/>
        </w:rPr>
        <w:t>לאסוף לצורך כך</w:t>
      </w:r>
      <w:r w:rsidRPr="007D696C">
        <w:rPr>
          <w:b/>
          <w:bCs/>
          <w:rtl/>
        </w:rPr>
        <w:t xml:space="preserve">. </w:t>
      </w:r>
    </w:p>
    <w:p w:rsidR="0013734E" w:rsidRDefault="0013734E" w:rsidP="00E4477A">
      <w:pPr>
        <w:spacing w:line="269" w:lineRule="auto"/>
        <w:ind w:left="360"/>
        <w:rPr>
          <w:b/>
          <w:bCs/>
          <w:rtl/>
        </w:rPr>
      </w:pPr>
    </w:p>
    <w:p w:rsidR="009A1216" w:rsidRPr="007D696C" w:rsidRDefault="009A1216" w:rsidP="00E4477A">
      <w:pPr>
        <w:spacing w:line="269" w:lineRule="auto"/>
        <w:ind w:left="360"/>
        <w:rPr>
          <w:b/>
          <w:bCs/>
          <w:rtl/>
        </w:rPr>
      </w:pPr>
      <w:r w:rsidRPr="007D696C">
        <w:rPr>
          <w:rFonts w:hint="eastAsia"/>
          <w:b/>
          <w:bCs/>
          <w:rtl/>
        </w:rPr>
        <w:t>עד</w:t>
      </w:r>
      <w:r w:rsidRPr="007D696C">
        <w:rPr>
          <w:b/>
          <w:bCs/>
          <w:rtl/>
        </w:rPr>
        <w:t xml:space="preserve"> להסדרת החקיקה </w:t>
      </w:r>
      <w:r>
        <w:rPr>
          <w:rFonts w:hint="cs"/>
          <w:b/>
          <w:bCs/>
          <w:rtl/>
        </w:rPr>
        <w:t xml:space="preserve">של סמכויות העזר לצורך התקנת אמצעי האזנה, </w:t>
      </w:r>
      <w:r w:rsidRPr="007D696C">
        <w:rPr>
          <w:rFonts w:hint="eastAsia"/>
          <w:b/>
          <w:bCs/>
          <w:rtl/>
        </w:rPr>
        <w:t>על</w:t>
      </w:r>
      <w:r w:rsidRPr="007D696C">
        <w:rPr>
          <w:b/>
          <w:bCs/>
          <w:rtl/>
        </w:rPr>
        <w:t xml:space="preserve"> </w:t>
      </w:r>
      <w:r>
        <w:rPr>
          <w:b/>
          <w:bCs/>
          <w:rtl/>
        </w:rPr>
        <w:t>המשטרה</w:t>
      </w:r>
      <w:r w:rsidRPr="007D696C">
        <w:rPr>
          <w:b/>
          <w:bCs/>
          <w:rtl/>
        </w:rPr>
        <w:t xml:space="preserve"> לגבש </w:t>
      </w:r>
      <w:r w:rsidRPr="007D696C">
        <w:rPr>
          <w:rFonts w:hint="eastAsia"/>
          <w:b/>
          <w:bCs/>
          <w:rtl/>
        </w:rPr>
        <w:t>חוות</w:t>
      </w:r>
      <w:r w:rsidRPr="007D696C">
        <w:rPr>
          <w:b/>
          <w:bCs/>
          <w:rtl/>
        </w:rPr>
        <w:t xml:space="preserve"> דעת משפטית</w:t>
      </w:r>
      <w:r>
        <w:rPr>
          <w:rFonts w:hint="cs"/>
          <w:b/>
          <w:bCs/>
          <w:rtl/>
        </w:rPr>
        <w:t xml:space="preserve"> בנושא</w:t>
      </w:r>
      <w:r w:rsidRPr="007D696C">
        <w:rPr>
          <w:b/>
          <w:bCs/>
          <w:rtl/>
        </w:rPr>
        <w:t xml:space="preserve"> </w:t>
      </w:r>
      <w:r>
        <w:rPr>
          <w:rFonts w:hint="eastAsia"/>
          <w:b/>
          <w:bCs/>
          <w:rtl/>
        </w:rPr>
        <w:t>בנוגע</w:t>
      </w:r>
      <w:r w:rsidRPr="007D696C">
        <w:rPr>
          <w:b/>
          <w:bCs/>
          <w:rtl/>
        </w:rPr>
        <w:t xml:space="preserve"> </w:t>
      </w:r>
      <w:r w:rsidRPr="007D696C">
        <w:rPr>
          <w:rFonts w:hint="eastAsia"/>
          <w:b/>
          <w:bCs/>
          <w:rtl/>
        </w:rPr>
        <w:t>לכל</w:t>
      </w:r>
      <w:r w:rsidRPr="007D696C">
        <w:rPr>
          <w:b/>
          <w:bCs/>
          <w:rtl/>
        </w:rPr>
        <w:t xml:space="preserve"> </w:t>
      </w:r>
      <w:r w:rsidRPr="007D696C">
        <w:rPr>
          <w:rFonts w:hint="eastAsia"/>
          <w:b/>
          <w:bCs/>
          <w:rtl/>
        </w:rPr>
        <w:t>אחד</w:t>
      </w:r>
      <w:r w:rsidRPr="007D696C">
        <w:rPr>
          <w:b/>
          <w:bCs/>
          <w:rtl/>
        </w:rPr>
        <w:t xml:space="preserve"> </w:t>
      </w:r>
      <w:r w:rsidRPr="007D696C">
        <w:rPr>
          <w:rFonts w:hint="eastAsia"/>
          <w:b/>
          <w:bCs/>
          <w:rtl/>
        </w:rPr>
        <w:t>מהכלים</w:t>
      </w:r>
      <w:r w:rsidRPr="007D696C">
        <w:rPr>
          <w:b/>
          <w:bCs/>
          <w:rtl/>
        </w:rPr>
        <w:t xml:space="preserve"> </w:t>
      </w:r>
      <w:r w:rsidRPr="007D696C">
        <w:rPr>
          <w:rFonts w:hint="eastAsia"/>
          <w:b/>
          <w:bCs/>
          <w:rtl/>
        </w:rPr>
        <w:t>הטכנולוגיים</w:t>
      </w:r>
      <w:r w:rsidRPr="007D696C">
        <w:rPr>
          <w:b/>
          <w:bCs/>
          <w:rtl/>
        </w:rPr>
        <w:t xml:space="preserve"> </w:t>
      </w:r>
      <w:r>
        <w:rPr>
          <w:rFonts w:hint="cs"/>
          <w:b/>
          <w:bCs/>
          <w:rtl/>
        </w:rPr>
        <w:t>ש</w:t>
      </w:r>
      <w:r w:rsidRPr="007D696C">
        <w:rPr>
          <w:rFonts w:hint="eastAsia"/>
          <w:b/>
          <w:bCs/>
          <w:rtl/>
        </w:rPr>
        <w:t>היא</w:t>
      </w:r>
      <w:r w:rsidRPr="007D696C">
        <w:rPr>
          <w:b/>
          <w:bCs/>
          <w:rtl/>
        </w:rPr>
        <w:t xml:space="preserve"> </w:t>
      </w:r>
      <w:r w:rsidRPr="007D696C">
        <w:rPr>
          <w:rFonts w:hint="eastAsia"/>
          <w:b/>
          <w:bCs/>
          <w:rtl/>
        </w:rPr>
        <w:t>מחזיקה</w:t>
      </w:r>
      <w:r>
        <w:rPr>
          <w:rFonts w:hint="cs"/>
          <w:b/>
          <w:bCs/>
          <w:rtl/>
        </w:rPr>
        <w:t xml:space="preserve"> בהם. במסגרת חוות הדעת</w:t>
      </w:r>
      <w:r w:rsidRPr="007D696C">
        <w:rPr>
          <w:b/>
          <w:bCs/>
          <w:rtl/>
        </w:rPr>
        <w:t xml:space="preserve"> </w:t>
      </w:r>
      <w:r>
        <w:rPr>
          <w:rFonts w:hint="cs"/>
          <w:b/>
          <w:bCs/>
          <w:rtl/>
        </w:rPr>
        <w:t>תקבע המשטרה</w:t>
      </w:r>
      <w:r w:rsidRPr="007D696C">
        <w:rPr>
          <w:b/>
          <w:bCs/>
          <w:rtl/>
        </w:rPr>
        <w:t xml:space="preserve"> </w:t>
      </w:r>
      <w:r w:rsidRPr="007D696C">
        <w:rPr>
          <w:rFonts w:hint="eastAsia"/>
          <w:b/>
          <w:bCs/>
          <w:rtl/>
        </w:rPr>
        <w:t>אילו</w:t>
      </w:r>
      <w:r w:rsidRPr="007D696C">
        <w:rPr>
          <w:b/>
          <w:bCs/>
          <w:rtl/>
        </w:rPr>
        <w:t xml:space="preserve"> </w:t>
      </w:r>
      <w:r w:rsidRPr="007D696C">
        <w:rPr>
          <w:rFonts w:hint="eastAsia"/>
          <w:b/>
          <w:bCs/>
          <w:rtl/>
        </w:rPr>
        <w:t>פעולות</w:t>
      </w:r>
      <w:r w:rsidRPr="007D696C">
        <w:rPr>
          <w:b/>
          <w:bCs/>
          <w:rtl/>
        </w:rPr>
        <w:t xml:space="preserve"> </w:t>
      </w:r>
      <w:r w:rsidRPr="007D696C">
        <w:rPr>
          <w:rFonts w:hint="eastAsia"/>
          <w:b/>
          <w:bCs/>
          <w:rtl/>
        </w:rPr>
        <w:t>ניתן</w:t>
      </w:r>
      <w:r w:rsidRPr="007D696C">
        <w:rPr>
          <w:b/>
          <w:bCs/>
          <w:rtl/>
        </w:rPr>
        <w:t xml:space="preserve"> </w:t>
      </w:r>
      <w:r w:rsidRPr="007D696C">
        <w:rPr>
          <w:rFonts w:hint="eastAsia"/>
          <w:b/>
          <w:bCs/>
          <w:rtl/>
        </w:rPr>
        <w:t>לבצע</w:t>
      </w:r>
      <w:r w:rsidRPr="007D696C">
        <w:rPr>
          <w:b/>
          <w:bCs/>
          <w:rtl/>
        </w:rPr>
        <w:t xml:space="preserve"> </w:t>
      </w:r>
      <w:r w:rsidRPr="007D696C">
        <w:rPr>
          <w:rFonts w:hint="eastAsia"/>
          <w:b/>
          <w:bCs/>
          <w:rtl/>
        </w:rPr>
        <w:t>באמצעות</w:t>
      </w:r>
      <w:r w:rsidRPr="007D696C">
        <w:rPr>
          <w:b/>
          <w:bCs/>
          <w:rtl/>
        </w:rPr>
        <w:t xml:space="preserve"> </w:t>
      </w:r>
      <w:r w:rsidRPr="007D696C">
        <w:rPr>
          <w:rFonts w:hint="eastAsia"/>
          <w:b/>
          <w:bCs/>
          <w:rtl/>
        </w:rPr>
        <w:t>הכלי</w:t>
      </w:r>
      <w:r w:rsidRPr="007D696C">
        <w:rPr>
          <w:b/>
          <w:bCs/>
          <w:rtl/>
        </w:rPr>
        <w:t xml:space="preserve"> </w:t>
      </w:r>
      <w:r>
        <w:rPr>
          <w:rFonts w:hint="eastAsia"/>
          <w:b/>
          <w:bCs/>
          <w:rtl/>
        </w:rPr>
        <w:t>כדי</w:t>
      </w:r>
      <w:r w:rsidRPr="007D696C">
        <w:rPr>
          <w:b/>
          <w:bCs/>
          <w:rtl/>
        </w:rPr>
        <w:t xml:space="preserve"> </w:t>
      </w:r>
      <w:r w:rsidRPr="007D696C">
        <w:rPr>
          <w:rFonts w:hint="eastAsia"/>
          <w:b/>
          <w:bCs/>
          <w:rtl/>
        </w:rPr>
        <w:t>להבטיח</w:t>
      </w:r>
      <w:r w:rsidRPr="007D696C">
        <w:rPr>
          <w:b/>
          <w:bCs/>
          <w:rtl/>
        </w:rPr>
        <w:t xml:space="preserve"> </w:t>
      </w:r>
      <w:r w:rsidRPr="007D696C">
        <w:rPr>
          <w:rFonts w:hint="eastAsia"/>
          <w:b/>
          <w:bCs/>
          <w:rtl/>
        </w:rPr>
        <w:t>את</w:t>
      </w:r>
      <w:r w:rsidRPr="007D696C">
        <w:rPr>
          <w:b/>
          <w:bCs/>
          <w:rtl/>
        </w:rPr>
        <w:t xml:space="preserve"> </w:t>
      </w:r>
      <w:r w:rsidRPr="007D696C">
        <w:rPr>
          <w:rFonts w:hint="eastAsia"/>
          <w:b/>
          <w:bCs/>
          <w:rtl/>
        </w:rPr>
        <w:t>ה</w:t>
      </w:r>
      <w:r w:rsidR="00DD1003">
        <w:rPr>
          <w:rFonts w:hint="eastAsia"/>
          <w:b/>
          <w:bCs/>
          <w:rtl/>
        </w:rPr>
        <w:t>התקנה</w:t>
      </w:r>
      <w:r w:rsidRPr="007D696C">
        <w:rPr>
          <w:b/>
          <w:bCs/>
          <w:rtl/>
        </w:rPr>
        <w:t xml:space="preserve"> </w:t>
      </w:r>
      <w:r w:rsidRPr="007D696C">
        <w:rPr>
          <w:rFonts w:hint="eastAsia"/>
          <w:b/>
          <w:bCs/>
          <w:rtl/>
        </w:rPr>
        <w:t>ואת</w:t>
      </w:r>
      <w:r w:rsidRPr="007D696C">
        <w:rPr>
          <w:b/>
          <w:bCs/>
          <w:rtl/>
        </w:rPr>
        <w:t xml:space="preserve"> אבטחת הכלי, וכן איזה מידע </w:t>
      </w:r>
      <w:r w:rsidRPr="007D696C">
        <w:rPr>
          <w:rFonts w:hint="eastAsia"/>
          <w:b/>
          <w:bCs/>
          <w:rtl/>
        </w:rPr>
        <w:t>ניתן</w:t>
      </w:r>
      <w:r w:rsidRPr="007D696C">
        <w:rPr>
          <w:b/>
          <w:bCs/>
          <w:rtl/>
        </w:rPr>
        <w:t xml:space="preserve"> לאסוף לשם כך.</w:t>
      </w:r>
      <w:r>
        <w:rPr>
          <w:b/>
          <w:bCs/>
          <w:rtl/>
        </w:rPr>
        <w:t xml:space="preserve"> </w:t>
      </w:r>
    </w:p>
    <w:p w:rsidR="009A1216" w:rsidRPr="00C522BB" w:rsidRDefault="00382AE8" w:rsidP="00E4477A">
      <w:pPr>
        <w:pStyle w:val="a5"/>
        <w:spacing w:line="269" w:lineRule="auto"/>
        <w:ind w:left="0"/>
        <w:rPr>
          <w:rtl/>
        </w:rPr>
      </w:pPr>
      <w:r>
        <w:rPr>
          <w:rFonts w:hint="cs"/>
          <w:rtl/>
        </w:rPr>
        <w:t xml:space="preserve"> </w:t>
      </w:r>
    </w:p>
    <w:p w:rsidR="009A1216" w:rsidRPr="00BE0131" w:rsidRDefault="009A1216" w:rsidP="00E4477A">
      <w:pPr>
        <w:spacing w:line="269" w:lineRule="auto"/>
        <w:ind w:left="360"/>
        <w:rPr>
          <w:rtl/>
        </w:rPr>
      </w:pPr>
      <w:r>
        <w:rPr>
          <w:rFonts w:hint="cs"/>
          <w:rtl/>
        </w:rPr>
        <w:t>המשטרה</w:t>
      </w:r>
      <w:r w:rsidRPr="00C522BB">
        <w:rPr>
          <w:rFonts w:hint="cs"/>
          <w:rtl/>
        </w:rPr>
        <w:t xml:space="preserve"> מסרה בתשובתה כי הכינה חוות דעת משפטיות </w:t>
      </w:r>
      <w:r>
        <w:rPr>
          <w:rFonts w:hint="cs"/>
          <w:rtl/>
        </w:rPr>
        <w:t>בנוגע</w:t>
      </w:r>
      <w:r w:rsidRPr="00C522BB">
        <w:rPr>
          <w:rFonts w:hint="cs"/>
          <w:rtl/>
        </w:rPr>
        <w:t xml:space="preserve"> לכלים הטכנולוגיים </w:t>
      </w:r>
      <w:r>
        <w:rPr>
          <w:rFonts w:hint="cs"/>
          <w:rtl/>
        </w:rPr>
        <w:t>ש</w:t>
      </w:r>
      <w:r w:rsidRPr="00C522BB">
        <w:rPr>
          <w:rFonts w:hint="cs"/>
          <w:rtl/>
        </w:rPr>
        <w:t xml:space="preserve">בהם אין היא מתכוונת להפסיק </w:t>
      </w:r>
      <w:r>
        <w:rPr>
          <w:rFonts w:hint="cs"/>
          <w:rtl/>
        </w:rPr>
        <w:t>להשתמש</w:t>
      </w:r>
      <w:r w:rsidRPr="00C522BB">
        <w:rPr>
          <w:rFonts w:hint="cs"/>
          <w:rtl/>
        </w:rPr>
        <w:t xml:space="preserve"> ובהן </w:t>
      </w:r>
      <w:r>
        <w:rPr>
          <w:rFonts w:hint="cs"/>
          <w:rtl/>
        </w:rPr>
        <w:t xml:space="preserve">היא </w:t>
      </w:r>
      <w:r w:rsidRPr="00C522BB">
        <w:rPr>
          <w:rFonts w:hint="cs"/>
          <w:rtl/>
        </w:rPr>
        <w:t>התייחסה למידע הנדרש לצורכי אבטחת הכלי. עוד היא ציינה כי לאחר בחינה נמצא שבכלי מסוים לא ניתן היה לאסוף את המידע</w:t>
      </w:r>
      <w:r>
        <w:rPr>
          <w:rFonts w:hint="cs"/>
          <w:rtl/>
        </w:rPr>
        <w:t xml:space="preserve"> באופן</w:t>
      </w:r>
      <w:r w:rsidRPr="00C522BB">
        <w:rPr>
          <w:rFonts w:hint="cs"/>
          <w:rtl/>
        </w:rPr>
        <w:t xml:space="preserve"> ממוכן בלבד ו</w:t>
      </w:r>
      <w:r>
        <w:rPr>
          <w:rFonts w:hint="cs"/>
          <w:rtl/>
        </w:rPr>
        <w:t xml:space="preserve">בו-זמנית </w:t>
      </w:r>
      <w:r w:rsidRPr="00C522BB">
        <w:rPr>
          <w:rFonts w:hint="cs"/>
          <w:rtl/>
        </w:rPr>
        <w:t xml:space="preserve">למנוע עיון של המשטרה במידע זה. לכן, היא ניוונה לחלוטין את אפשרות האיסוף של מידע זה הנדרש לאבטחת אותו הכלי. כמו כן, המשטרה </w:t>
      </w:r>
      <w:r>
        <w:rPr>
          <w:rFonts w:hint="cs"/>
          <w:rtl/>
        </w:rPr>
        <w:t xml:space="preserve">מסרה כי היא </w:t>
      </w:r>
      <w:r w:rsidRPr="00C522BB">
        <w:rPr>
          <w:rFonts w:hint="cs"/>
          <w:rtl/>
        </w:rPr>
        <w:t xml:space="preserve">לא הכינה חוות דעת משפטיות </w:t>
      </w:r>
      <w:r>
        <w:rPr>
          <w:rFonts w:hint="cs"/>
          <w:rtl/>
        </w:rPr>
        <w:t>בנוגע</w:t>
      </w:r>
      <w:r w:rsidRPr="00C522BB">
        <w:rPr>
          <w:rFonts w:hint="cs"/>
          <w:rtl/>
        </w:rPr>
        <w:t xml:space="preserve"> לכלים נוספים </w:t>
      </w:r>
      <w:r w:rsidRPr="00BE0131">
        <w:rPr>
          <w:rFonts w:hint="cs"/>
          <w:rtl/>
        </w:rPr>
        <w:t>ש</w:t>
      </w:r>
      <w:r>
        <w:rPr>
          <w:rFonts w:hint="cs"/>
          <w:rtl/>
        </w:rPr>
        <w:t xml:space="preserve">בהם </w:t>
      </w:r>
      <w:r w:rsidRPr="00BE0131">
        <w:rPr>
          <w:rFonts w:hint="cs"/>
          <w:rtl/>
        </w:rPr>
        <w:t xml:space="preserve">היא הפסיקה </w:t>
      </w:r>
      <w:r>
        <w:rPr>
          <w:rFonts w:hint="cs"/>
          <w:rtl/>
        </w:rPr>
        <w:t>להשתמש</w:t>
      </w:r>
      <w:r w:rsidRPr="00BE0131">
        <w:rPr>
          <w:rFonts w:hint="cs"/>
          <w:rtl/>
        </w:rPr>
        <w:t>.</w:t>
      </w:r>
      <w:r>
        <w:rPr>
          <w:rFonts w:hint="cs"/>
          <w:rtl/>
        </w:rPr>
        <w:t xml:space="preserve"> </w:t>
      </w:r>
    </w:p>
    <w:p w:rsidR="009A1216" w:rsidRPr="00DC7E1B" w:rsidRDefault="009A1216" w:rsidP="00E4477A">
      <w:pPr>
        <w:pStyle w:val="a5"/>
        <w:spacing w:line="269" w:lineRule="auto"/>
        <w:ind w:left="0"/>
        <w:rPr>
          <w:rtl/>
        </w:rPr>
      </w:pPr>
      <w:r w:rsidRPr="00BE0131">
        <w:rPr>
          <w:rFonts w:hint="cs"/>
          <w:rtl/>
        </w:rPr>
        <w:t xml:space="preserve"> </w:t>
      </w:r>
      <w:r w:rsidR="00382AE8">
        <w:rPr>
          <w:rFonts w:hint="cs"/>
          <w:rtl/>
        </w:rPr>
        <w:t xml:space="preserve"> </w:t>
      </w:r>
    </w:p>
    <w:p w:rsidR="009A1216" w:rsidRDefault="009A1216" w:rsidP="00E4477A">
      <w:pPr>
        <w:spacing w:line="269" w:lineRule="auto"/>
        <w:ind w:left="360"/>
        <w:rPr>
          <w:rtl/>
        </w:rPr>
      </w:pPr>
      <w:r>
        <w:rPr>
          <w:rFonts w:hint="cs"/>
          <w:rtl/>
        </w:rPr>
        <w:t xml:space="preserve">עוד נמצא כי </w:t>
      </w:r>
      <w:r w:rsidRPr="00DC7E1B">
        <w:rPr>
          <w:rFonts w:hint="cs"/>
          <w:rtl/>
        </w:rPr>
        <w:t xml:space="preserve">באוגוסט 2023 </w:t>
      </w:r>
      <w:r>
        <w:rPr>
          <w:rFonts w:hint="cs"/>
          <w:rtl/>
        </w:rPr>
        <w:t xml:space="preserve">דרש משרד המשפטים מהמשטרה להשלים את חוות הדעת המשפטית בנוגע לכלי מסוים ולכלול בה רשימה סגורה של המידע שניתן לאסוף באמצעות הכלי במסגרת סעיף 10א. ואולם, בבחינה של נוסח חוות הדעת המשפטית העדכנית מאוקטובר 2023, שהועברה לידי משרד מבקר המדינה בדצמבר 2024, עולה כי לא הוכנה רשימה סגורה של מידע זה, אלא אוזכרו שלוש דוגמאות לסוגי מידע שהם נתונים טכניים שניתן לאסוף אותם לצורך זה. </w:t>
      </w:r>
    </w:p>
    <w:p w:rsidR="009A1216" w:rsidRPr="00C522BB" w:rsidRDefault="00382AE8" w:rsidP="00E4477A">
      <w:pPr>
        <w:pStyle w:val="a5"/>
        <w:spacing w:line="269" w:lineRule="auto"/>
        <w:ind w:left="0"/>
        <w:rPr>
          <w:rtl/>
        </w:rPr>
      </w:pPr>
      <w:r>
        <w:rPr>
          <w:rFonts w:hint="cs"/>
          <w:rtl/>
        </w:rPr>
        <w:t xml:space="preserve"> </w:t>
      </w:r>
    </w:p>
    <w:p w:rsidR="009A1216" w:rsidRPr="00C522BB" w:rsidRDefault="009A1216" w:rsidP="00E4477A">
      <w:pPr>
        <w:spacing w:line="269" w:lineRule="auto"/>
        <w:ind w:left="360"/>
        <w:rPr>
          <w:b/>
          <w:bCs/>
          <w:rtl/>
        </w:rPr>
      </w:pPr>
      <w:r w:rsidRPr="00C522BB">
        <w:rPr>
          <w:rFonts w:hint="cs"/>
          <w:b/>
          <w:bCs/>
          <w:rtl/>
        </w:rPr>
        <w:t xml:space="preserve">לנוכח העובדה כי כלל הכלים שבהם החזיקה המשטרה שימשו לביצוע </w:t>
      </w:r>
      <w:r w:rsidR="00096233">
        <w:rPr>
          <w:rFonts w:hint="cs"/>
          <w:b/>
          <w:bCs/>
          <w:rtl/>
        </w:rPr>
        <w:t>התקנות של הכלים על אמצעים מואזנים של יעדי האזנה,</w:t>
      </w:r>
      <w:r w:rsidR="00096233" w:rsidRPr="00C522BB">
        <w:rPr>
          <w:rFonts w:hint="cs"/>
          <w:b/>
          <w:bCs/>
          <w:rtl/>
        </w:rPr>
        <w:t xml:space="preserve"> </w:t>
      </w:r>
      <w:r w:rsidRPr="00C522BB">
        <w:rPr>
          <w:rFonts w:hint="cs"/>
          <w:b/>
          <w:bCs/>
          <w:rtl/>
        </w:rPr>
        <w:t>ו</w:t>
      </w:r>
      <w:r w:rsidR="00096233">
        <w:rPr>
          <w:rFonts w:hint="cs"/>
          <w:b/>
          <w:bCs/>
          <w:rtl/>
        </w:rPr>
        <w:t xml:space="preserve">לכן, התקנתם </w:t>
      </w:r>
      <w:r w:rsidRPr="00C522BB">
        <w:rPr>
          <w:rFonts w:hint="cs"/>
          <w:b/>
          <w:bCs/>
          <w:rtl/>
        </w:rPr>
        <w:t>הביא</w:t>
      </w:r>
      <w:r w:rsidR="00096233">
        <w:rPr>
          <w:rFonts w:hint="cs"/>
          <w:b/>
          <w:bCs/>
          <w:rtl/>
        </w:rPr>
        <w:t>ה</w:t>
      </w:r>
      <w:r w:rsidRPr="00C522BB">
        <w:rPr>
          <w:rFonts w:hint="cs"/>
          <w:b/>
          <w:bCs/>
          <w:rtl/>
        </w:rPr>
        <w:t xml:space="preserve"> לאיסוף מידע ותוצרי האזנה ששימשו בפרשיות מודיעי</w:t>
      </w:r>
      <w:r>
        <w:rPr>
          <w:rFonts w:hint="cs"/>
          <w:b/>
          <w:bCs/>
          <w:rtl/>
        </w:rPr>
        <w:t>ניות</w:t>
      </w:r>
      <w:r w:rsidRPr="00C522BB">
        <w:rPr>
          <w:rFonts w:hint="cs"/>
          <w:b/>
          <w:bCs/>
          <w:rtl/>
        </w:rPr>
        <w:t xml:space="preserve"> ותיקי חקירה,</w:t>
      </w:r>
      <w:r>
        <w:rPr>
          <w:rFonts w:hint="cs"/>
          <w:b/>
          <w:bCs/>
          <w:rtl/>
        </w:rPr>
        <w:t xml:space="preserve"> כולל כלים שבהם הפסיקה המשטרה להשתמש,</w:t>
      </w:r>
      <w:r w:rsidRPr="00C522BB">
        <w:rPr>
          <w:rFonts w:hint="cs"/>
          <w:b/>
          <w:bCs/>
          <w:rtl/>
        </w:rPr>
        <w:t xml:space="preserve"> על המשטרה להשלים את כלל חוות הדעת המשפטיות הנוגעות לחוקיות השימוש בכלים הטכנולוגיים </w:t>
      </w:r>
      <w:r>
        <w:rPr>
          <w:rFonts w:hint="cs"/>
          <w:b/>
          <w:bCs/>
          <w:rtl/>
        </w:rPr>
        <w:t>הכוללות כתיבת התייחסות מפורטת וברורה בנושא</w:t>
      </w:r>
      <w:r w:rsidRPr="00C522BB">
        <w:rPr>
          <w:rFonts w:hint="cs"/>
          <w:b/>
          <w:bCs/>
          <w:rtl/>
        </w:rPr>
        <w:t xml:space="preserve"> מימוש סמכויות העזר לביצוע האזנת סתר</w:t>
      </w:r>
      <w:r>
        <w:rPr>
          <w:rFonts w:hint="cs"/>
          <w:b/>
          <w:bCs/>
          <w:rtl/>
        </w:rPr>
        <w:t xml:space="preserve"> באמצעות כל כלי </w:t>
      </w:r>
      <w:r w:rsidRPr="00C522BB">
        <w:rPr>
          <w:rFonts w:hint="cs"/>
          <w:b/>
          <w:bCs/>
          <w:rtl/>
        </w:rPr>
        <w:t>ו</w:t>
      </w:r>
      <w:r>
        <w:rPr>
          <w:rFonts w:hint="cs"/>
          <w:b/>
          <w:bCs/>
          <w:rtl/>
        </w:rPr>
        <w:t xml:space="preserve">פירוט </w:t>
      </w:r>
      <w:r w:rsidRPr="00C522BB">
        <w:rPr>
          <w:rFonts w:hint="cs"/>
          <w:b/>
          <w:bCs/>
          <w:rtl/>
        </w:rPr>
        <w:t>המידע הנאסף אגב פעולה זו.</w:t>
      </w:r>
    </w:p>
    <w:p w:rsidR="009A1216" w:rsidRPr="007D696C" w:rsidRDefault="009A1216" w:rsidP="00604C3D">
      <w:pPr>
        <w:spacing w:line="269" w:lineRule="auto"/>
        <w:rPr>
          <w:b/>
          <w:bCs/>
          <w:rtl/>
        </w:rPr>
      </w:pPr>
    </w:p>
    <w:p w:rsidR="009A1216" w:rsidRDefault="009A1216" w:rsidP="008C598D">
      <w:pPr>
        <w:pStyle w:val="4"/>
        <w:numPr>
          <w:ilvl w:val="0"/>
          <w:numId w:val="27"/>
        </w:numPr>
        <w:spacing w:before="0" w:line="269" w:lineRule="auto"/>
        <w:rPr>
          <w:rtl/>
        </w:rPr>
      </w:pPr>
      <w:bookmarkStart w:id="448" w:name="_Toc151890751"/>
      <w:bookmarkStart w:id="449" w:name="_Toc151882023"/>
      <w:bookmarkStart w:id="450" w:name="_Toc211521937"/>
      <w:bookmarkStart w:id="451" w:name="_Toc219110327"/>
      <w:bookmarkStart w:id="452" w:name="_Toc219113768"/>
      <w:bookmarkStart w:id="453" w:name="_Toc219286543"/>
      <w:r>
        <w:rPr>
          <w:rFonts w:hint="cs"/>
          <w:rtl/>
        </w:rPr>
        <w:t>הפערים בהכנת נהלים והנחיות</w:t>
      </w:r>
      <w:bookmarkEnd w:id="448"/>
      <w:bookmarkEnd w:id="449"/>
      <w:r>
        <w:rPr>
          <w:rFonts w:hint="cs"/>
          <w:rtl/>
        </w:rPr>
        <w:t xml:space="preserve"> ל</w:t>
      </w:r>
      <w:r w:rsidR="00DD1003">
        <w:rPr>
          <w:rFonts w:hint="cs"/>
          <w:rtl/>
        </w:rPr>
        <w:t>התקנה</w:t>
      </w:r>
      <w:bookmarkEnd w:id="450"/>
      <w:bookmarkEnd w:id="451"/>
      <w:bookmarkEnd w:id="452"/>
      <w:bookmarkEnd w:id="453"/>
      <w:r>
        <w:rPr>
          <w:rFonts w:hint="cs"/>
          <w:rtl/>
        </w:rPr>
        <w:t xml:space="preserve"> </w:t>
      </w:r>
    </w:p>
    <w:p w:rsidR="0073303F" w:rsidRDefault="0073303F" w:rsidP="00604C3D">
      <w:pPr>
        <w:spacing w:line="269" w:lineRule="auto"/>
        <w:rPr>
          <w:rtl/>
        </w:rPr>
      </w:pPr>
    </w:p>
    <w:p w:rsidR="009A1216" w:rsidRDefault="009A1216" w:rsidP="0096347D">
      <w:pPr>
        <w:spacing w:line="269" w:lineRule="auto"/>
        <w:ind w:left="360"/>
        <w:rPr>
          <w:rtl/>
        </w:rPr>
      </w:pPr>
      <w:r>
        <w:rPr>
          <w:rFonts w:hint="cs"/>
          <w:rtl/>
        </w:rPr>
        <w:t xml:space="preserve">בהיעדר תפיסת הפעלה בתחום האזנות סתר, משרד מבקר המדינה בחן את הפקודות, הנהלים וההנחיות החלים בנוגע לשימוש בכלים טכנולוגיים וכן לביצוע האזנות סתר. </w:t>
      </w:r>
    </w:p>
    <w:p w:rsidR="0073303F" w:rsidRPr="00A24DD6" w:rsidRDefault="0073303F" w:rsidP="0096347D">
      <w:pPr>
        <w:spacing w:line="269" w:lineRule="auto"/>
        <w:ind w:left="360"/>
        <w:rPr>
          <w:rtl/>
        </w:rPr>
      </w:pPr>
    </w:p>
    <w:p w:rsidR="009A1216" w:rsidRDefault="009A1216" w:rsidP="0096347D">
      <w:pPr>
        <w:spacing w:line="269" w:lineRule="auto"/>
        <w:ind w:left="360"/>
        <w:rPr>
          <w:rtl/>
        </w:rPr>
      </w:pPr>
      <w:r>
        <w:rPr>
          <w:rFonts w:hint="cs"/>
          <w:rtl/>
        </w:rPr>
        <w:t>הנחיה מינהלית היא סדרה של כללים שמטרתם אסדרה של סמכות הנתונה בידי הרשות המינהלית בהיעדר כללים משפטיים פורמליים (חוקים או תקנות) המסדירים במדויק את דרך הפעלת שיקול הדעת</w:t>
      </w:r>
      <w:r>
        <w:rPr>
          <w:rStyle w:val="af"/>
          <w:rtl/>
        </w:rPr>
        <w:footnoteReference w:id="172"/>
      </w:r>
      <w:r>
        <w:rPr>
          <w:rFonts w:hint="cs"/>
          <w:rtl/>
        </w:rPr>
        <w:t xml:space="preserve">. ככלל, ההנחיה המינהלית מפורסמת כנוהל או כהנחיה וכאשר נדרשת הנחיה תפעולית </w:t>
      </w:r>
      <w:r w:rsidRPr="003B0085">
        <w:rPr>
          <w:rtl/>
        </w:rPr>
        <w:t>לשימוש במערכות ממוחשבות</w:t>
      </w:r>
      <w:r>
        <w:rPr>
          <w:rFonts w:hint="cs"/>
          <w:rtl/>
        </w:rPr>
        <w:t>,</w:t>
      </w:r>
      <w:r w:rsidRPr="003B0085">
        <w:rPr>
          <w:rtl/>
        </w:rPr>
        <w:t xml:space="preserve"> </w:t>
      </w:r>
      <w:r>
        <w:rPr>
          <w:rFonts w:hint="cs"/>
          <w:rtl/>
        </w:rPr>
        <w:t>ב</w:t>
      </w:r>
      <w:r w:rsidRPr="003B0085">
        <w:rPr>
          <w:rtl/>
        </w:rPr>
        <w:t>כלים טכניים ו</w:t>
      </w:r>
      <w:r>
        <w:rPr>
          <w:rFonts w:hint="cs"/>
          <w:rtl/>
        </w:rPr>
        <w:t xml:space="preserve">בכלים </w:t>
      </w:r>
      <w:r w:rsidRPr="003B0085">
        <w:rPr>
          <w:rtl/>
        </w:rPr>
        <w:t>טכנולוגיים</w:t>
      </w:r>
      <w:r>
        <w:rPr>
          <w:rFonts w:hint="cs"/>
          <w:rtl/>
        </w:rPr>
        <w:t xml:space="preserve"> - ההנחיה המינהלית מתבססת על </w:t>
      </w:r>
      <w:r w:rsidR="007E125E">
        <w:rPr>
          <w:rFonts w:hint="cs"/>
          <w:rtl/>
        </w:rPr>
        <w:t>"</w:t>
      </w:r>
      <w:r>
        <w:rPr>
          <w:rFonts w:hint="cs"/>
          <w:rtl/>
        </w:rPr>
        <w:t>מדריך למשתמש</w:t>
      </w:r>
      <w:r w:rsidR="007E125E">
        <w:rPr>
          <w:rFonts w:hint="cs"/>
          <w:rtl/>
        </w:rPr>
        <w:t>"</w:t>
      </w:r>
      <w:r>
        <w:rPr>
          <w:rFonts w:hint="cs"/>
          <w:rtl/>
        </w:rPr>
        <w:t xml:space="preserve">. </w:t>
      </w:r>
      <w:r w:rsidRPr="00F702C2">
        <w:rPr>
          <w:rFonts w:hint="cs"/>
          <w:rtl/>
        </w:rPr>
        <w:t>נ</w:t>
      </w:r>
      <w:r>
        <w:rPr>
          <w:rFonts w:hint="cs"/>
          <w:rtl/>
        </w:rPr>
        <w:t>ו</w:t>
      </w:r>
      <w:r w:rsidRPr="00F702C2">
        <w:rPr>
          <w:rFonts w:hint="cs"/>
          <w:rtl/>
        </w:rPr>
        <w:t>הלי המשטרה, המוצאים תחת ידי המפכ"ל, ראשי אגפים, ראשי מינהל ומפקדי מחוז, כפופים לפקודות המטה הארצי</w:t>
      </w:r>
      <w:r w:rsidRPr="00F702C2">
        <w:rPr>
          <w:vertAlign w:val="superscript"/>
          <w:rtl/>
        </w:rPr>
        <w:footnoteReference w:id="173"/>
      </w:r>
      <w:r w:rsidRPr="00F702C2">
        <w:rPr>
          <w:rFonts w:hint="cs"/>
          <w:rtl/>
        </w:rPr>
        <w:t xml:space="preserve">. </w:t>
      </w:r>
    </w:p>
    <w:p w:rsidR="0073303F" w:rsidRDefault="0073303F" w:rsidP="00604C3D">
      <w:pPr>
        <w:pStyle w:val="af2"/>
        <w:spacing w:line="269" w:lineRule="auto"/>
        <w:ind w:left="0"/>
        <w:rPr>
          <w:rtl/>
        </w:rPr>
      </w:pPr>
    </w:p>
    <w:p w:rsidR="009A1216" w:rsidRDefault="009A1216" w:rsidP="0096347D">
      <w:pPr>
        <w:spacing w:line="269" w:lineRule="auto"/>
        <w:ind w:left="360"/>
        <w:rPr>
          <w:rtl/>
        </w:rPr>
      </w:pPr>
      <w:r>
        <w:rPr>
          <w:rFonts w:hint="cs"/>
          <w:rtl/>
        </w:rPr>
        <w:t>חשיבותם של הנהלים מתגברת אף לאור הצורך לעמוד במגבלות השימוש בכלים הטכנולוגיים ובמתווי ה</w:t>
      </w:r>
      <w:r w:rsidR="00DD1003">
        <w:rPr>
          <w:rFonts w:hint="cs"/>
          <w:rtl/>
        </w:rPr>
        <w:t>התקנה</w:t>
      </w:r>
      <w:r>
        <w:rPr>
          <w:rFonts w:hint="cs"/>
          <w:rtl/>
        </w:rPr>
        <w:t xml:space="preserve"> בהתאם לאישור המשפטי לשימוש בכלים אלו ולגבולות הסמכות של המשטרה לבצע האזנות סתר. להלן תרשים המציג את המדרג הנורמטיבי של נהלים והנחיות במשטרה:</w:t>
      </w:r>
    </w:p>
    <w:p w:rsidR="0073303F" w:rsidRDefault="0073303F" w:rsidP="00604C3D">
      <w:pPr>
        <w:spacing w:line="269" w:lineRule="auto"/>
        <w:jc w:val="center"/>
        <w:rPr>
          <w:rtl/>
        </w:rPr>
      </w:pPr>
    </w:p>
    <w:p w:rsidR="009A1216" w:rsidRDefault="009A1216" w:rsidP="00604C3D">
      <w:pPr>
        <w:keepNext/>
        <w:keepLines/>
        <w:spacing w:line="269" w:lineRule="auto"/>
        <w:jc w:val="center"/>
        <w:rPr>
          <w:rtl/>
        </w:rPr>
      </w:pPr>
      <w:r w:rsidRPr="00260D8D">
        <w:rPr>
          <w:rFonts w:hint="eastAsia"/>
          <w:rtl/>
        </w:rPr>
        <w:t>תרשים</w:t>
      </w:r>
      <w:r w:rsidR="00E53E3D">
        <w:rPr>
          <w:rFonts w:hint="cs"/>
          <w:rtl/>
        </w:rPr>
        <w:t xml:space="preserve"> 14</w:t>
      </w:r>
      <w:r w:rsidRPr="00975421">
        <w:rPr>
          <w:rFonts w:hint="cs"/>
          <w:rtl/>
        </w:rPr>
        <w:t>:</w:t>
      </w:r>
      <w:r>
        <w:rPr>
          <w:rFonts w:hint="cs"/>
          <w:rtl/>
        </w:rPr>
        <w:t xml:space="preserve"> </w:t>
      </w:r>
      <w:r>
        <w:rPr>
          <w:rFonts w:hint="cs"/>
          <w:b/>
          <w:bCs/>
          <w:rtl/>
        </w:rPr>
        <w:t xml:space="preserve">המדרג </w:t>
      </w:r>
      <w:r w:rsidRPr="00260D8D">
        <w:rPr>
          <w:rFonts w:hint="eastAsia"/>
          <w:b/>
          <w:bCs/>
          <w:rtl/>
        </w:rPr>
        <w:t>ה</w:t>
      </w:r>
      <w:r>
        <w:rPr>
          <w:rFonts w:hint="cs"/>
          <w:b/>
          <w:bCs/>
          <w:rtl/>
        </w:rPr>
        <w:t>נורמטיבי של נהלים והנחיות במשטרה</w:t>
      </w:r>
    </w:p>
    <w:p w:rsidR="009A1216" w:rsidRDefault="009A1216" w:rsidP="00604C3D">
      <w:pPr>
        <w:spacing w:line="269" w:lineRule="auto"/>
        <w:jc w:val="center"/>
        <w:rPr>
          <w:rtl/>
        </w:rPr>
      </w:pPr>
      <w:r>
        <w:rPr>
          <w:noProof/>
          <w:rtl/>
          <w:lang w:val="he-IL"/>
        </w:rPr>
        <w:drawing>
          <wp:inline distT="0" distB="0" distL="0" distR="0" wp14:anchorId="0136C7DE" wp14:editId="2D9E30EB">
            <wp:extent cx="5219700" cy="2981325"/>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כלים טכנולוגים - המדריך הנורמטיבי של נהלים והנחייות במשטרה.jpg"/>
                    <pic:cNvPicPr/>
                  </pic:nvPicPr>
                  <pic:blipFill rotWithShape="1">
                    <a:blip r:embed="rId25" cstate="print">
                      <a:extLst>
                        <a:ext uri="{28A0092B-C50C-407E-A947-70E740481C1C}">
                          <a14:useLocalDpi xmlns:a14="http://schemas.microsoft.com/office/drawing/2010/main" val="0"/>
                        </a:ext>
                      </a:extLst>
                    </a:blip>
                    <a:srcRect t="18989" b="27464"/>
                    <a:stretch/>
                  </pic:blipFill>
                  <pic:spPr bwMode="auto">
                    <a:xfrm>
                      <a:off x="0" y="0"/>
                      <a:ext cx="5219700" cy="2981325"/>
                    </a:xfrm>
                    <a:prstGeom prst="rect">
                      <a:avLst/>
                    </a:prstGeom>
                    <a:ln>
                      <a:noFill/>
                    </a:ln>
                    <a:extLst>
                      <a:ext uri="{53640926-AAD7-44D8-BBD7-CCE9431645EC}">
                        <a14:shadowObscured xmlns:a14="http://schemas.microsoft.com/office/drawing/2010/main"/>
                      </a:ext>
                    </a:extLst>
                  </pic:spPr>
                </pic:pic>
              </a:graphicData>
            </a:graphic>
          </wp:inline>
        </w:drawing>
      </w:r>
    </w:p>
    <w:p w:rsidR="009A1216" w:rsidRPr="00E53E3D" w:rsidRDefault="009A1216" w:rsidP="00604C3D">
      <w:pPr>
        <w:spacing w:line="269" w:lineRule="auto"/>
        <w:rPr>
          <w:szCs w:val="20"/>
          <w:rtl/>
        </w:rPr>
      </w:pPr>
      <w:r w:rsidRPr="00E53E3D">
        <w:rPr>
          <w:rFonts w:hint="eastAsia"/>
          <w:szCs w:val="20"/>
          <w:rtl/>
        </w:rPr>
        <w:t>על</w:t>
      </w:r>
      <w:r w:rsidRPr="00E53E3D">
        <w:rPr>
          <w:szCs w:val="20"/>
          <w:rtl/>
        </w:rPr>
        <w:t xml:space="preserve"> </w:t>
      </w:r>
      <w:r w:rsidRPr="00E53E3D">
        <w:rPr>
          <w:rFonts w:hint="eastAsia"/>
          <w:szCs w:val="20"/>
          <w:rtl/>
        </w:rPr>
        <w:t>פי</w:t>
      </w:r>
      <w:r w:rsidRPr="00E53E3D">
        <w:rPr>
          <w:szCs w:val="20"/>
          <w:rtl/>
        </w:rPr>
        <w:t xml:space="preserve"> </w:t>
      </w:r>
      <w:r w:rsidRPr="00E53E3D">
        <w:rPr>
          <w:rFonts w:hint="eastAsia"/>
          <w:szCs w:val="20"/>
          <w:rtl/>
        </w:rPr>
        <w:t>מידע</w:t>
      </w:r>
      <w:r w:rsidRPr="00E53E3D">
        <w:rPr>
          <w:szCs w:val="20"/>
          <w:rtl/>
        </w:rPr>
        <w:t xml:space="preserve"> </w:t>
      </w:r>
      <w:r w:rsidRPr="00E53E3D">
        <w:rPr>
          <w:rFonts w:hint="eastAsia"/>
          <w:szCs w:val="20"/>
          <w:rtl/>
        </w:rPr>
        <w:t>שנאסף</w:t>
      </w:r>
      <w:r w:rsidRPr="00E53E3D">
        <w:rPr>
          <w:szCs w:val="20"/>
          <w:rtl/>
        </w:rPr>
        <w:t xml:space="preserve"> </w:t>
      </w:r>
      <w:r w:rsidRPr="00E53E3D">
        <w:rPr>
          <w:rFonts w:hint="eastAsia"/>
          <w:szCs w:val="20"/>
          <w:rtl/>
        </w:rPr>
        <w:t>בביקורת</w:t>
      </w:r>
      <w:r w:rsidRPr="00E53E3D">
        <w:rPr>
          <w:szCs w:val="20"/>
          <w:rtl/>
        </w:rPr>
        <w:t xml:space="preserve">, </w:t>
      </w:r>
      <w:r w:rsidRPr="00E53E3D">
        <w:rPr>
          <w:rFonts w:hint="eastAsia"/>
          <w:szCs w:val="20"/>
          <w:rtl/>
        </w:rPr>
        <w:t>בעיבוד</w:t>
      </w:r>
      <w:r w:rsidRPr="00E53E3D">
        <w:rPr>
          <w:szCs w:val="20"/>
          <w:rtl/>
        </w:rPr>
        <w:t xml:space="preserve"> </w:t>
      </w:r>
      <w:r w:rsidRPr="00E53E3D">
        <w:rPr>
          <w:rFonts w:hint="eastAsia"/>
          <w:szCs w:val="20"/>
          <w:rtl/>
        </w:rPr>
        <w:t>משרד</w:t>
      </w:r>
      <w:r w:rsidRPr="00E53E3D">
        <w:rPr>
          <w:szCs w:val="20"/>
          <w:rtl/>
        </w:rPr>
        <w:t xml:space="preserve"> </w:t>
      </w:r>
      <w:r w:rsidRPr="00E53E3D">
        <w:rPr>
          <w:rFonts w:hint="eastAsia"/>
          <w:szCs w:val="20"/>
          <w:rtl/>
        </w:rPr>
        <w:t>מבקר</w:t>
      </w:r>
      <w:r w:rsidRPr="00E53E3D">
        <w:rPr>
          <w:szCs w:val="20"/>
          <w:rtl/>
        </w:rPr>
        <w:t xml:space="preserve"> </w:t>
      </w:r>
      <w:r w:rsidRPr="00E53E3D">
        <w:rPr>
          <w:rFonts w:hint="eastAsia"/>
          <w:szCs w:val="20"/>
          <w:rtl/>
        </w:rPr>
        <w:t>המדינה</w:t>
      </w:r>
      <w:r w:rsidR="008D34C6" w:rsidRPr="00E53E3D">
        <w:rPr>
          <w:rFonts w:hint="cs"/>
          <w:szCs w:val="20"/>
          <w:rtl/>
        </w:rPr>
        <w:t>.</w:t>
      </w:r>
    </w:p>
    <w:p w:rsidR="009A1216" w:rsidRPr="00A24DD6" w:rsidRDefault="009A1216" w:rsidP="00604C3D">
      <w:pPr>
        <w:spacing w:line="269" w:lineRule="auto"/>
        <w:rPr>
          <w:rtl/>
        </w:rPr>
      </w:pPr>
    </w:p>
    <w:p w:rsidR="009A1216" w:rsidRDefault="009A1216" w:rsidP="0096347D">
      <w:pPr>
        <w:pStyle w:val="5"/>
        <w:numPr>
          <w:ilvl w:val="0"/>
          <w:numId w:val="26"/>
        </w:numPr>
        <w:spacing w:line="269" w:lineRule="auto"/>
        <w:ind w:left="720"/>
        <w:rPr>
          <w:rtl/>
        </w:rPr>
      </w:pPr>
      <w:r>
        <w:rPr>
          <w:rFonts w:hint="cs"/>
          <w:rtl/>
        </w:rPr>
        <w:t>היעדר נהלים של אגף חקירות ומודיעין</w:t>
      </w:r>
    </w:p>
    <w:p w:rsidR="0073303F" w:rsidRPr="00A24DD6" w:rsidRDefault="0073303F" w:rsidP="0096347D">
      <w:pPr>
        <w:spacing w:line="269" w:lineRule="auto"/>
        <w:ind w:left="360"/>
      </w:pPr>
      <w:bookmarkStart w:id="454" w:name="_Hlk177296214"/>
    </w:p>
    <w:p w:rsidR="009A1216" w:rsidRPr="00F702C2" w:rsidRDefault="009A1216" w:rsidP="0096347D">
      <w:pPr>
        <w:spacing w:line="269" w:lineRule="auto"/>
        <w:ind w:left="720"/>
        <w:rPr>
          <w:rtl/>
        </w:rPr>
      </w:pPr>
      <w:r w:rsidRPr="00F702C2">
        <w:rPr>
          <w:rFonts w:hint="cs"/>
          <w:rtl/>
        </w:rPr>
        <w:t>לפי פקודת מטא"ר בנושא, נוהל הוא אוסף כללים המסדיר באופן מפורט, כללי ולאורך זמן את דרך הפעולה של המשטרה בעניינים כגון התווי</w:t>
      </w:r>
      <w:r>
        <w:rPr>
          <w:rFonts w:hint="cs"/>
          <w:rtl/>
        </w:rPr>
        <w:t>י</w:t>
      </w:r>
      <w:r w:rsidRPr="00F702C2">
        <w:rPr>
          <w:rFonts w:hint="cs"/>
          <w:rtl/>
        </w:rPr>
        <w:t>ת שיקול הדעת של המשטרה בהפעלת סמכויותיה</w:t>
      </w:r>
      <w:r w:rsidRPr="00F702C2">
        <w:rPr>
          <w:vertAlign w:val="superscript"/>
          <w:rtl/>
        </w:rPr>
        <w:footnoteReference w:id="174"/>
      </w:r>
      <w:r w:rsidRPr="00F702C2">
        <w:rPr>
          <w:rFonts w:hint="cs"/>
          <w:rtl/>
        </w:rPr>
        <w:t xml:space="preserve">. </w:t>
      </w:r>
      <w:r>
        <w:rPr>
          <w:rFonts w:hint="cs"/>
          <w:rtl/>
        </w:rPr>
        <w:t xml:space="preserve">נוסף על כך </w:t>
      </w:r>
      <w:r w:rsidRPr="00F702C2">
        <w:rPr>
          <w:rFonts w:hint="cs"/>
          <w:rtl/>
        </w:rPr>
        <w:t>המשטרה נוהגת ל</w:t>
      </w:r>
      <w:r>
        <w:rPr>
          <w:rFonts w:hint="cs"/>
          <w:rtl/>
        </w:rPr>
        <w:t>קבוע</w:t>
      </w:r>
      <w:r w:rsidRPr="00F702C2">
        <w:rPr>
          <w:rFonts w:hint="cs"/>
          <w:rtl/>
        </w:rPr>
        <w:t xml:space="preserve"> הנחיות עבודה פנימיות שאינן עולות לכדי נהלים, למשל הנחיות העוסקות בנושאים פנים</w:t>
      </w:r>
      <w:r>
        <w:rPr>
          <w:rFonts w:hint="cs"/>
          <w:rtl/>
        </w:rPr>
        <w:t>-</w:t>
      </w:r>
      <w:r w:rsidRPr="00F702C2">
        <w:rPr>
          <w:rFonts w:hint="cs"/>
          <w:rtl/>
        </w:rPr>
        <w:t xml:space="preserve">יחידתיים. על כן, הוראה מקצועית החלה על חטיבה מקצועית אך גם על המערך הפרוס </w:t>
      </w:r>
      <w:r>
        <w:rPr>
          <w:rFonts w:hint="cs"/>
          <w:rtl/>
        </w:rPr>
        <w:t xml:space="preserve">אמורה להיות </w:t>
      </w:r>
      <w:r w:rsidRPr="00F702C2">
        <w:rPr>
          <w:rFonts w:hint="cs"/>
          <w:rtl/>
        </w:rPr>
        <w:t>מוסדרת בנוהל, ואילו הוראה מקצועית החלה על אנשי החטיבה המקצועית בלבד מוסדרת בהנחיה פנימית.</w:t>
      </w:r>
      <w:r>
        <w:rPr>
          <w:rFonts w:hint="cs"/>
          <w:rtl/>
        </w:rPr>
        <w:t xml:space="preserve"> כל זאת,</w:t>
      </w:r>
      <w:r w:rsidRPr="00D1545D">
        <w:rPr>
          <w:rFonts w:hint="cs"/>
          <w:rtl/>
        </w:rPr>
        <w:t xml:space="preserve"> בהתאם להנחיות בנושא שניתנו על ידי רמ"ד פקודות המשטרה</w:t>
      </w:r>
      <w:r>
        <w:rPr>
          <w:rFonts w:hint="cs"/>
          <w:rtl/>
        </w:rPr>
        <w:t>, כפי שהועברו לחטיבת הסייבר בנובמבר 2020 אגב טיפולה בהנחיות החטיבה.</w:t>
      </w:r>
    </w:p>
    <w:p w:rsidR="0073303F" w:rsidRPr="00A24DD6" w:rsidRDefault="0073303F" w:rsidP="0096347D">
      <w:pPr>
        <w:spacing w:line="269" w:lineRule="auto"/>
        <w:ind w:left="720"/>
      </w:pPr>
    </w:p>
    <w:p w:rsidR="009A1216" w:rsidRPr="00F702C2" w:rsidRDefault="009A1216" w:rsidP="0096347D">
      <w:pPr>
        <w:spacing w:line="269" w:lineRule="auto"/>
        <w:ind w:left="720"/>
        <w:rPr>
          <w:rtl/>
        </w:rPr>
      </w:pPr>
      <w:r>
        <w:rPr>
          <w:rFonts w:hint="cs"/>
          <w:rtl/>
        </w:rPr>
        <w:t>לנוכח</w:t>
      </w:r>
      <w:r w:rsidRPr="00F702C2">
        <w:rPr>
          <w:rFonts w:hint="cs"/>
          <w:rtl/>
        </w:rPr>
        <w:t xml:space="preserve"> האמור, סמכויות ביצוע </w:t>
      </w:r>
      <w:r w:rsidR="00DD1003">
        <w:rPr>
          <w:rFonts w:hint="cs"/>
          <w:rtl/>
        </w:rPr>
        <w:t>התקנה</w:t>
      </w:r>
      <w:r>
        <w:rPr>
          <w:rFonts w:hint="cs"/>
          <w:rtl/>
        </w:rPr>
        <w:t xml:space="preserve"> לצורכי האזנת סתר וה</w:t>
      </w:r>
      <w:r w:rsidRPr="00F702C2">
        <w:rPr>
          <w:rFonts w:hint="cs"/>
          <w:rtl/>
        </w:rPr>
        <w:t>שימוש בכלים טכנולוגיים נדרשים להיות מוסדרים באמצעות נ</w:t>
      </w:r>
      <w:r>
        <w:rPr>
          <w:rFonts w:hint="cs"/>
          <w:rtl/>
        </w:rPr>
        <w:t>ו</w:t>
      </w:r>
      <w:r w:rsidRPr="00F702C2">
        <w:rPr>
          <w:rFonts w:hint="cs"/>
          <w:rtl/>
        </w:rPr>
        <w:t xml:space="preserve">הלי אח"ם האגפיים והנחיות </w:t>
      </w:r>
      <w:r>
        <w:rPr>
          <w:rFonts w:hint="cs"/>
          <w:rtl/>
        </w:rPr>
        <w:t>ה</w:t>
      </w:r>
      <w:r w:rsidRPr="00F702C2">
        <w:rPr>
          <w:rFonts w:hint="cs"/>
          <w:rtl/>
        </w:rPr>
        <w:t xml:space="preserve">עבודה </w:t>
      </w:r>
      <w:r>
        <w:rPr>
          <w:rFonts w:hint="cs"/>
          <w:rtl/>
        </w:rPr>
        <w:t>ה</w:t>
      </w:r>
      <w:r w:rsidRPr="00F702C2">
        <w:rPr>
          <w:rFonts w:hint="cs"/>
          <w:rtl/>
        </w:rPr>
        <w:t xml:space="preserve">פנימיות </w:t>
      </w:r>
      <w:r>
        <w:rPr>
          <w:rFonts w:hint="cs"/>
          <w:rtl/>
        </w:rPr>
        <w:t>בחטיבת הסייבר</w:t>
      </w:r>
      <w:r w:rsidRPr="00F702C2">
        <w:rPr>
          <w:rFonts w:hint="cs"/>
          <w:rtl/>
        </w:rPr>
        <w:t>, בהתאם למהות הפעול</w:t>
      </w:r>
      <w:r>
        <w:rPr>
          <w:rFonts w:hint="cs"/>
          <w:rtl/>
        </w:rPr>
        <w:t>ה</w:t>
      </w:r>
      <w:r w:rsidRPr="00F702C2">
        <w:rPr>
          <w:rFonts w:hint="cs"/>
          <w:rtl/>
        </w:rPr>
        <w:t xml:space="preserve"> ו</w:t>
      </w:r>
      <w:r>
        <w:rPr>
          <w:rFonts w:hint="cs"/>
          <w:rtl/>
        </w:rPr>
        <w:t>ל</w:t>
      </w:r>
      <w:r w:rsidRPr="00F702C2">
        <w:rPr>
          <w:rFonts w:hint="cs"/>
          <w:rtl/>
        </w:rPr>
        <w:t>גבולות תחולת</w:t>
      </w:r>
      <w:r>
        <w:rPr>
          <w:rFonts w:hint="cs"/>
          <w:rtl/>
        </w:rPr>
        <w:t>ה</w:t>
      </w:r>
      <w:r w:rsidRPr="00F702C2">
        <w:rPr>
          <w:rFonts w:hint="cs"/>
          <w:rtl/>
        </w:rPr>
        <w:t xml:space="preserve"> על </w:t>
      </w:r>
      <w:r>
        <w:rPr>
          <w:rFonts w:hint="cs"/>
          <w:rtl/>
        </w:rPr>
        <w:t>המערך הפרוס</w:t>
      </w:r>
      <w:r w:rsidRPr="00F702C2">
        <w:rPr>
          <w:rFonts w:hint="cs"/>
          <w:rtl/>
        </w:rPr>
        <w:t xml:space="preserve">. </w:t>
      </w:r>
    </w:p>
    <w:p w:rsidR="0073303F" w:rsidRDefault="0073303F" w:rsidP="0096347D">
      <w:pPr>
        <w:spacing w:line="269" w:lineRule="auto"/>
        <w:ind w:left="720"/>
        <w:rPr>
          <w:b/>
          <w:bCs/>
        </w:rPr>
      </w:pPr>
      <w:bookmarkStart w:id="456" w:name="_Hlk155704991"/>
    </w:p>
    <w:p w:rsidR="009A1216" w:rsidRDefault="009A1216" w:rsidP="0096347D">
      <w:pPr>
        <w:spacing w:line="269" w:lineRule="auto"/>
        <w:ind w:left="720"/>
        <w:rPr>
          <w:b/>
          <w:bCs/>
          <w:rtl/>
        </w:rPr>
      </w:pPr>
      <w:r w:rsidRPr="00AD6E31">
        <w:rPr>
          <w:rFonts w:hint="eastAsia"/>
          <w:b/>
          <w:bCs/>
          <w:rtl/>
        </w:rPr>
        <w:t>חרף</w:t>
      </w:r>
      <w:r w:rsidRPr="00AD6E31">
        <w:rPr>
          <w:b/>
          <w:bCs/>
          <w:rtl/>
        </w:rPr>
        <w:t xml:space="preserve"> העובדה כי פעולות בתחום האזנת הסתר מבוצעות על ידי חטיבת הסייבר והמערך הפרוס, אגף חקירות ומודיעין לא קבע </w:t>
      </w:r>
      <w:r w:rsidRPr="00784E26">
        <w:rPr>
          <w:rFonts w:hint="eastAsia"/>
          <w:b/>
          <w:bCs/>
          <w:rtl/>
        </w:rPr>
        <w:t>נהלי</w:t>
      </w:r>
      <w:r w:rsidRPr="00784E26">
        <w:rPr>
          <w:rFonts w:hint="cs"/>
          <w:b/>
          <w:bCs/>
          <w:rtl/>
        </w:rPr>
        <w:t xml:space="preserve">ם </w:t>
      </w:r>
      <w:r w:rsidRPr="00784E26">
        <w:rPr>
          <w:rFonts w:hint="eastAsia"/>
          <w:b/>
          <w:bCs/>
          <w:rtl/>
        </w:rPr>
        <w:t>בנושא</w:t>
      </w:r>
      <w:r w:rsidRPr="00784E26">
        <w:rPr>
          <w:b/>
          <w:bCs/>
          <w:rtl/>
        </w:rPr>
        <w:t xml:space="preserve"> </w:t>
      </w:r>
      <w:r w:rsidRPr="00784E26">
        <w:rPr>
          <w:rFonts w:hint="eastAsia"/>
          <w:b/>
          <w:bCs/>
          <w:rtl/>
        </w:rPr>
        <w:t>שימוש</w:t>
      </w:r>
      <w:r w:rsidRPr="00784E26">
        <w:rPr>
          <w:b/>
          <w:bCs/>
          <w:rtl/>
        </w:rPr>
        <w:t xml:space="preserve"> </w:t>
      </w:r>
      <w:r w:rsidRPr="00784E26">
        <w:rPr>
          <w:rFonts w:hint="eastAsia"/>
          <w:b/>
          <w:bCs/>
          <w:rtl/>
        </w:rPr>
        <w:t>בכלים</w:t>
      </w:r>
      <w:r w:rsidRPr="00784E26">
        <w:rPr>
          <w:b/>
          <w:bCs/>
          <w:rtl/>
        </w:rPr>
        <w:t xml:space="preserve"> </w:t>
      </w:r>
      <w:r w:rsidRPr="00784E26">
        <w:rPr>
          <w:rFonts w:hint="eastAsia"/>
          <w:b/>
          <w:bCs/>
          <w:rtl/>
        </w:rPr>
        <w:t>טכנולוגיים</w:t>
      </w:r>
      <w:r w:rsidRPr="00784E26">
        <w:rPr>
          <w:b/>
          <w:bCs/>
          <w:rtl/>
        </w:rPr>
        <w:t xml:space="preserve">, </w:t>
      </w:r>
      <w:r w:rsidRPr="00784E26">
        <w:rPr>
          <w:rFonts w:hint="eastAsia"/>
          <w:b/>
          <w:bCs/>
          <w:rtl/>
        </w:rPr>
        <w:t>ובפרט</w:t>
      </w:r>
      <w:r w:rsidRPr="00784E26">
        <w:rPr>
          <w:b/>
          <w:bCs/>
          <w:rtl/>
        </w:rPr>
        <w:t xml:space="preserve"> </w:t>
      </w:r>
      <w:r w:rsidRPr="00784E26">
        <w:rPr>
          <w:rFonts w:hint="eastAsia"/>
          <w:b/>
          <w:bCs/>
          <w:rtl/>
        </w:rPr>
        <w:t>בנושא</w:t>
      </w:r>
      <w:r w:rsidRPr="00784E26">
        <w:rPr>
          <w:b/>
          <w:bCs/>
          <w:rtl/>
        </w:rPr>
        <w:t xml:space="preserve"> ביצוע מתווי </w:t>
      </w:r>
      <w:r w:rsidR="00DD1003">
        <w:rPr>
          <w:rFonts w:hint="cs"/>
          <w:b/>
          <w:bCs/>
          <w:rtl/>
        </w:rPr>
        <w:t>ה</w:t>
      </w:r>
      <w:r w:rsidR="00DD1003">
        <w:rPr>
          <w:b/>
          <w:bCs/>
          <w:rtl/>
        </w:rPr>
        <w:t>התקנה</w:t>
      </w:r>
      <w:r w:rsidRPr="00AD6E31">
        <w:rPr>
          <w:b/>
          <w:bCs/>
          <w:rtl/>
        </w:rPr>
        <w:t>.</w:t>
      </w:r>
      <w:r>
        <w:rPr>
          <w:rFonts w:hint="cs"/>
          <w:b/>
          <w:bCs/>
          <w:rtl/>
        </w:rPr>
        <w:t xml:space="preserve"> עם זאת, חטיבת הסייבר קבעה הנחיות עבודה פנימיות בנושא.</w:t>
      </w:r>
    </w:p>
    <w:p w:rsidR="009A1216" w:rsidRDefault="009A1216" w:rsidP="00E4477A">
      <w:pPr>
        <w:spacing w:line="269" w:lineRule="auto"/>
        <w:ind w:left="360"/>
        <w:rPr>
          <w:b/>
          <w:bCs/>
          <w:rtl/>
        </w:rPr>
      </w:pPr>
      <w:r>
        <w:rPr>
          <w:rFonts w:hint="cs"/>
          <w:b/>
          <w:bCs/>
          <w:rtl/>
        </w:rPr>
        <w:t xml:space="preserve"> </w:t>
      </w:r>
    </w:p>
    <w:bookmarkEnd w:id="456"/>
    <w:p w:rsidR="009A1216" w:rsidRDefault="009A1216" w:rsidP="0096347D">
      <w:pPr>
        <w:spacing w:line="269" w:lineRule="auto"/>
        <w:ind w:left="720"/>
        <w:rPr>
          <w:rtl/>
        </w:rPr>
      </w:pPr>
      <w:r>
        <w:rPr>
          <w:rFonts w:hint="cs"/>
          <w:rtl/>
        </w:rPr>
        <w:t>הנחיית עבודה של חטיבת הסייבר בנושא השימוש בכלים טכנולוגיים משנת 2017 מפרטת, בין היתר, את תהליך ההכנה ל</w:t>
      </w:r>
      <w:r w:rsidR="00DD1003">
        <w:rPr>
          <w:rFonts w:hint="cs"/>
          <w:rtl/>
        </w:rPr>
        <w:t>התקנה</w:t>
      </w:r>
      <w:r w:rsidR="000F1EFC">
        <w:rPr>
          <w:rFonts w:hint="cs"/>
          <w:rtl/>
        </w:rPr>
        <w:t xml:space="preserve"> ואת תהליכי ההפקה</w:t>
      </w:r>
      <w:r>
        <w:rPr>
          <w:rFonts w:hint="cs"/>
          <w:rtl/>
        </w:rPr>
        <w:t>. הנחיה זו אינה מתייחסת לאופן ביצוע מתווה ה</w:t>
      </w:r>
      <w:r w:rsidR="00DD1003">
        <w:rPr>
          <w:rFonts w:hint="cs"/>
          <w:rtl/>
        </w:rPr>
        <w:t>התקנה</w:t>
      </w:r>
      <w:r>
        <w:rPr>
          <w:rFonts w:hint="cs"/>
          <w:rtl/>
        </w:rPr>
        <w:t xml:space="preserve"> גופו או לכלים הטכנולוגיים שנדרש להשתמש בהם במסגרת ה</w:t>
      </w:r>
      <w:r w:rsidR="00DD1003">
        <w:rPr>
          <w:rFonts w:hint="cs"/>
          <w:rtl/>
        </w:rPr>
        <w:t>התקנה</w:t>
      </w:r>
      <w:r>
        <w:rPr>
          <w:rFonts w:hint="cs"/>
          <w:rtl/>
        </w:rPr>
        <w:t xml:space="preserve">. </w:t>
      </w:r>
    </w:p>
    <w:p w:rsidR="0073303F" w:rsidRPr="00A24DD6" w:rsidRDefault="0073303F" w:rsidP="0096347D">
      <w:pPr>
        <w:spacing w:line="269" w:lineRule="auto"/>
        <w:ind w:left="720"/>
      </w:pPr>
    </w:p>
    <w:p w:rsidR="009A1216" w:rsidRDefault="009A1216" w:rsidP="0096347D">
      <w:pPr>
        <w:spacing w:line="269" w:lineRule="auto"/>
        <w:ind w:left="720"/>
        <w:rPr>
          <w:rtl/>
        </w:rPr>
      </w:pPr>
      <w:r w:rsidRPr="00F702C2">
        <w:rPr>
          <w:rFonts w:hint="cs"/>
          <w:rtl/>
        </w:rPr>
        <w:t xml:space="preserve">בשנת 2017 הנחה רח"ט הסייבר </w:t>
      </w:r>
      <w:r>
        <w:rPr>
          <w:rFonts w:hint="cs"/>
          <w:rtl/>
        </w:rPr>
        <w:t xml:space="preserve">בנוגע לעיגון נהלים והנחיות בתחום האזנות הסתר, </w:t>
      </w:r>
      <w:r w:rsidRPr="00F702C2">
        <w:rPr>
          <w:rFonts w:hint="cs"/>
          <w:rtl/>
        </w:rPr>
        <w:t xml:space="preserve">כי יש לבחון כיצד </w:t>
      </w:r>
      <w:r>
        <w:rPr>
          <w:rFonts w:hint="cs"/>
          <w:rtl/>
        </w:rPr>
        <w:t>"</w:t>
      </w:r>
      <w:r w:rsidRPr="00F702C2">
        <w:rPr>
          <w:rFonts w:hint="cs"/>
          <w:rtl/>
        </w:rPr>
        <w:t>לצמצם ככל האפשר את הנהלים ולהרחיב את ההנחיות</w:t>
      </w:r>
      <w:r>
        <w:rPr>
          <w:rFonts w:hint="cs"/>
          <w:rtl/>
        </w:rPr>
        <w:t xml:space="preserve">", בין היתר משום שנהלים דורשים קבלת אישורים על ידי גורמים מחוץ לחטיבה ואילו הנחיות דורשות אישור פנימי בלבד. </w:t>
      </w:r>
    </w:p>
    <w:p w:rsidR="0073303F" w:rsidRPr="00A24DD6" w:rsidRDefault="0073303F" w:rsidP="0096347D">
      <w:pPr>
        <w:spacing w:line="269" w:lineRule="auto"/>
        <w:ind w:left="720"/>
      </w:pPr>
    </w:p>
    <w:p w:rsidR="009A1216" w:rsidRPr="00F702C2" w:rsidRDefault="009A1216" w:rsidP="0096347D">
      <w:pPr>
        <w:spacing w:line="269" w:lineRule="auto"/>
        <w:ind w:left="720"/>
        <w:rPr>
          <w:rtl/>
        </w:rPr>
      </w:pPr>
      <w:r>
        <w:rPr>
          <w:rFonts w:hint="cs"/>
          <w:rtl/>
        </w:rPr>
        <w:t>משרד מבקר המדינה סקר שש הנחיות עבודה פנימיות של חטיבת הסייבר, שנכנסו לתוקף מפברואר 2014 ועד ינואר 2022, שלוש הנחיות נוספות שנכנסו לתוקף לאחר פרסום "פרשת פגסוס" וטיוטת הנחיה נוספת מאפריל 2023 שעדיין לא אושרה</w:t>
      </w:r>
      <w:r>
        <w:rPr>
          <w:rStyle w:val="af"/>
          <w:rtl/>
        </w:rPr>
        <w:footnoteReference w:id="175"/>
      </w:r>
      <w:r>
        <w:rPr>
          <w:rFonts w:hint="cs"/>
          <w:rtl/>
        </w:rPr>
        <w:t xml:space="preserve">. ההנחיות נוגעות </w:t>
      </w:r>
      <w:r w:rsidR="004C1FFC">
        <w:rPr>
          <w:rFonts w:hint="cs"/>
          <w:rtl/>
        </w:rPr>
        <w:t xml:space="preserve">להתקנות </w:t>
      </w:r>
      <w:r>
        <w:rPr>
          <w:rFonts w:hint="cs"/>
          <w:rtl/>
        </w:rPr>
        <w:t>ולעיתים מפרטות</w:t>
      </w:r>
      <w:r w:rsidRPr="00F702C2">
        <w:rPr>
          <w:rFonts w:hint="cs"/>
          <w:rtl/>
        </w:rPr>
        <w:t xml:space="preserve"> </w:t>
      </w:r>
      <w:r>
        <w:rPr>
          <w:rFonts w:hint="cs"/>
          <w:rtl/>
        </w:rPr>
        <w:t>את דרכי ביצוען וכן את אופן השימוש בכלים טכנולוגיים לשם כך.</w:t>
      </w:r>
      <w:bookmarkStart w:id="457" w:name="_Hlk153102520"/>
    </w:p>
    <w:p w:rsidR="0073303F" w:rsidRDefault="0073303F" w:rsidP="0096347D">
      <w:pPr>
        <w:spacing w:line="269" w:lineRule="auto"/>
        <w:ind w:left="360"/>
      </w:pPr>
      <w:bookmarkStart w:id="458" w:name="_Toc151890752"/>
      <w:bookmarkStart w:id="459" w:name="_Toc151882024"/>
      <w:bookmarkEnd w:id="457"/>
    </w:p>
    <w:p w:rsidR="009A1216" w:rsidRDefault="009A1216" w:rsidP="0096347D">
      <w:pPr>
        <w:pStyle w:val="5"/>
        <w:numPr>
          <w:ilvl w:val="0"/>
          <w:numId w:val="26"/>
        </w:numPr>
        <w:spacing w:line="269" w:lineRule="auto"/>
        <w:ind w:left="720"/>
        <w:rPr>
          <w:rtl/>
        </w:rPr>
      </w:pPr>
      <w:r>
        <w:rPr>
          <w:rFonts w:hint="cs"/>
          <w:rtl/>
        </w:rPr>
        <w:t xml:space="preserve">מתווי </w:t>
      </w:r>
      <w:r w:rsidR="00DD1003">
        <w:rPr>
          <w:rFonts w:hint="cs"/>
          <w:rtl/>
        </w:rPr>
        <w:t>התקנה</w:t>
      </w:r>
      <w:r>
        <w:rPr>
          <w:rFonts w:hint="cs"/>
          <w:rtl/>
        </w:rPr>
        <w:t xml:space="preserve"> שלא הוסדרו ב</w:t>
      </w:r>
      <w:r w:rsidRPr="00A61B78">
        <w:rPr>
          <w:rFonts w:hint="eastAsia"/>
          <w:rtl/>
        </w:rPr>
        <w:t>הנחיות</w:t>
      </w:r>
      <w:r w:rsidRPr="00A61B78">
        <w:rPr>
          <w:rtl/>
        </w:rPr>
        <w:t xml:space="preserve"> </w:t>
      </w:r>
      <w:bookmarkEnd w:id="458"/>
      <w:bookmarkEnd w:id="459"/>
    </w:p>
    <w:p w:rsidR="0073303F" w:rsidRDefault="0073303F" w:rsidP="0096347D">
      <w:pPr>
        <w:spacing w:line="269" w:lineRule="auto"/>
        <w:ind w:left="312"/>
        <w:rPr>
          <w:rtl/>
        </w:rPr>
      </w:pPr>
      <w:bookmarkStart w:id="460" w:name="_Hlk150340781"/>
    </w:p>
    <w:p w:rsidR="009A1216" w:rsidRDefault="009A1216" w:rsidP="0096347D">
      <w:pPr>
        <w:spacing w:line="269" w:lineRule="auto"/>
        <w:ind w:left="720"/>
        <w:rPr>
          <w:rtl/>
        </w:rPr>
      </w:pPr>
      <w:r>
        <w:rPr>
          <w:rFonts w:hint="cs"/>
          <w:rtl/>
        </w:rPr>
        <w:t>משרד מבקר המדינה סקר עשר</w:t>
      </w:r>
      <w:r w:rsidRPr="00420EFF">
        <w:rPr>
          <w:rtl/>
        </w:rPr>
        <w:t xml:space="preserve"> הנחיות עבודה פנימיות של חטיבת הסייבר שנוגעות </w:t>
      </w:r>
      <w:r w:rsidR="004C1FFC">
        <w:rPr>
          <w:rFonts w:hint="cs"/>
          <w:rtl/>
        </w:rPr>
        <w:t>להתקנות</w:t>
      </w:r>
      <w:r w:rsidR="004C1FFC" w:rsidRPr="00420EFF">
        <w:rPr>
          <w:rtl/>
        </w:rPr>
        <w:t xml:space="preserve"> </w:t>
      </w:r>
      <w:r w:rsidRPr="00420EFF">
        <w:rPr>
          <w:rtl/>
        </w:rPr>
        <w:t xml:space="preserve">ועשויות לפרט את דרכי ביצוע </w:t>
      </w:r>
      <w:r w:rsidR="004C1FFC">
        <w:rPr>
          <w:rFonts w:hint="cs"/>
          <w:rtl/>
        </w:rPr>
        <w:t>ההתקנות</w:t>
      </w:r>
      <w:r w:rsidRPr="006551BD">
        <w:rPr>
          <w:rtl/>
        </w:rPr>
        <w:t>.</w:t>
      </w:r>
      <w:r w:rsidRPr="00420EFF">
        <w:rPr>
          <w:rtl/>
        </w:rPr>
        <w:t xml:space="preserve"> </w:t>
      </w:r>
      <w:r>
        <w:rPr>
          <w:rFonts w:hint="cs"/>
          <w:rtl/>
        </w:rPr>
        <w:t>להלן סיכום ממצאי בדיקת מבקר המדינה בנוגע לאזכור של תשעת מתווי ה</w:t>
      </w:r>
      <w:r w:rsidR="00DD1003">
        <w:rPr>
          <w:rFonts w:hint="cs"/>
          <w:rtl/>
        </w:rPr>
        <w:t>התקנה</w:t>
      </w:r>
      <w:r>
        <w:rPr>
          <w:rFonts w:hint="cs"/>
          <w:rtl/>
        </w:rPr>
        <w:t xml:space="preserve"> שבשימוש המשטרה בעשר הנחיות החטיבה ובנוגע לפירוט בהנחיות את דרך ביצוע ה</w:t>
      </w:r>
      <w:r w:rsidR="00DD1003">
        <w:rPr>
          <w:rFonts w:hint="cs"/>
          <w:rtl/>
        </w:rPr>
        <w:t>התקנה</w:t>
      </w:r>
      <w:r>
        <w:rPr>
          <w:rFonts w:hint="cs"/>
          <w:rtl/>
        </w:rPr>
        <w:t>, כלומר, הפעולות המותרות והאסורות לביצוע במסגרת ה</w:t>
      </w:r>
      <w:bookmarkEnd w:id="460"/>
      <w:r w:rsidR="00DD1003">
        <w:rPr>
          <w:rFonts w:hint="cs"/>
          <w:rtl/>
        </w:rPr>
        <w:t>התקנה</w:t>
      </w:r>
      <w:r>
        <w:rPr>
          <w:rFonts w:hint="cs"/>
          <w:rtl/>
        </w:rPr>
        <w:t>:</w:t>
      </w:r>
    </w:p>
    <w:p w:rsidR="009B5D2E" w:rsidRDefault="009B5D2E" w:rsidP="00604C3D">
      <w:pPr>
        <w:spacing w:line="269" w:lineRule="auto"/>
        <w:ind w:left="-48"/>
        <w:rPr>
          <w:rtl/>
        </w:rPr>
      </w:pPr>
    </w:p>
    <w:p w:rsidR="009A1216" w:rsidRPr="00F36D49" w:rsidRDefault="008A67C6" w:rsidP="009B5D2E">
      <w:pPr>
        <w:spacing w:line="269" w:lineRule="auto"/>
        <w:jc w:val="center"/>
        <w:rPr>
          <w:b/>
          <w:bCs/>
          <w:rtl/>
        </w:rPr>
      </w:pPr>
      <w:r>
        <w:rPr>
          <w:rFonts w:hint="cs"/>
          <w:rtl/>
        </w:rPr>
        <w:t>לוח</w:t>
      </w:r>
      <w:r w:rsidRPr="00F36D49">
        <w:rPr>
          <w:rFonts w:hint="cs"/>
          <w:rtl/>
        </w:rPr>
        <w:t xml:space="preserve"> </w:t>
      </w:r>
      <w:r w:rsidR="009B5D2E">
        <w:rPr>
          <w:rFonts w:hint="cs"/>
          <w:rtl/>
        </w:rPr>
        <w:t>10</w:t>
      </w:r>
      <w:r w:rsidR="009A1216">
        <w:rPr>
          <w:rFonts w:hint="cs"/>
          <w:rtl/>
        </w:rPr>
        <w:t xml:space="preserve">: </w:t>
      </w:r>
      <w:r w:rsidR="009A1216" w:rsidRPr="00F36D49">
        <w:rPr>
          <w:rFonts w:hint="cs"/>
          <w:b/>
          <w:bCs/>
          <w:rtl/>
        </w:rPr>
        <w:t xml:space="preserve">בחינת פירוט דרך ביצוע מתווי </w:t>
      </w:r>
      <w:r w:rsidR="00DD1003">
        <w:rPr>
          <w:rFonts w:hint="cs"/>
          <w:b/>
          <w:bCs/>
          <w:rtl/>
        </w:rPr>
        <w:t>התקנה</w:t>
      </w:r>
      <w:r w:rsidR="009A1216" w:rsidRPr="00F36D49">
        <w:rPr>
          <w:rFonts w:hint="cs"/>
          <w:b/>
          <w:bCs/>
          <w:rtl/>
        </w:rPr>
        <w:t xml:space="preserve"> ספציפיים בהנחיות החטיבה</w:t>
      </w:r>
    </w:p>
    <w:tbl>
      <w:tblPr>
        <w:tblStyle w:val="15"/>
        <w:bidiVisual/>
        <w:tblW w:w="8221" w:type="dxa"/>
        <w:jc w:val="center"/>
        <w:tblLook w:val="04A0" w:firstRow="1" w:lastRow="0" w:firstColumn="1" w:lastColumn="0" w:noHBand="0" w:noVBand="1"/>
      </w:tblPr>
      <w:tblGrid>
        <w:gridCol w:w="1701"/>
        <w:gridCol w:w="3260"/>
        <w:gridCol w:w="3260"/>
      </w:tblGrid>
      <w:tr w:rsidR="009A1216" w:rsidRPr="00673486" w:rsidTr="00212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auto"/>
              <w:left w:val="single" w:sz="18" w:space="0" w:color="auto"/>
              <w:bottom w:val="single" w:sz="18" w:space="0" w:color="auto"/>
              <w:right w:val="single" w:sz="18" w:space="0" w:color="auto"/>
            </w:tcBorders>
          </w:tcPr>
          <w:p w:rsidR="009A1216" w:rsidRPr="00673486" w:rsidRDefault="009A1216" w:rsidP="00604C3D">
            <w:pPr>
              <w:spacing w:line="269" w:lineRule="auto"/>
              <w:jc w:val="center"/>
              <w:rPr>
                <w:sz w:val="22"/>
                <w:szCs w:val="22"/>
                <w:rtl/>
              </w:rPr>
            </w:pPr>
            <w:r w:rsidRPr="00673486">
              <w:rPr>
                <w:rFonts w:hint="cs"/>
                <w:sz w:val="22"/>
                <w:szCs w:val="22"/>
                <w:rtl/>
              </w:rPr>
              <w:t xml:space="preserve">מתווה </w:t>
            </w:r>
            <w:r w:rsidR="00DD1003" w:rsidRPr="00673486">
              <w:rPr>
                <w:rFonts w:hint="cs"/>
                <w:sz w:val="22"/>
                <w:szCs w:val="22"/>
                <w:rtl/>
              </w:rPr>
              <w:t>התקנה</w:t>
            </w:r>
            <w:r w:rsidRPr="00673486">
              <w:rPr>
                <w:rStyle w:val="af"/>
                <w:sz w:val="22"/>
                <w:szCs w:val="22"/>
                <w:rtl/>
              </w:rPr>
              <w:footnoteReference w:id="176"/>
            </w:r>
          </w:p>
        </w:tc>
        <w:tc>
          <w:tcPr>
            <w:tcW w:w="3260" w:type="dxa"/>
            <w:tcBorders>
              <w:top w:val="single" w:sz="18" w:space="0" w:color="auto"/>
              <w:left w:val="single" w:sz="18" w:space="0" w:color="auto"/>
              <w:bottom w:val="single" w:sz="18" w:space="0" w:color="auto"/>
            </w:tcBorders>
          </w:tcPr>
          <w:p w:rsidR="009A1216" w:rsidRPr="00673486" w:rsidRDefault="009A1216" w:rsidP="00604C3D">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המתווה מוזכר בהנחיות המשטרה</w:t>
            </w:r>
          </w:p>
        </w:tc>
        <w:tc>
          <w:tcPr>
            <w:tcW w:w="3260" w:type="dxa"/>
            <w:tcBorders>
              <w:top w:val="single" w:sz="18" w:space="0" w:color="auto"/>
              <w:bottom w:val="single" w:sz="18" w:space="0" w:color="auto"/>
              <w:right w:val="single" w:sz="18" w:space="0" w:color="auto"/>
            </w:tcBorders>
          </w:tcPr>
          <w:p w:rsidR="009A1216" w:rsidRPr="00673486" w:rsidRDefault="009A1216" w:rsidP="00604C3D">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הפעולות המותרות והאסורות לביצוע מפורטות בהנחיה</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auto"/>
              <w:left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1</w:t>
            </w:r>
          </w:p>
        </w:tc>
        <w:tc>
          <w:tcPr>
            <w:tcW w:w="3260" w:type="dxa"/>
            <w:tcBorders>
              <w:top w:val="single" w:sz="18" w:space="0" w:color="auto"/>
              <w:left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c>
          <w:tcPr>
            <w:tcW w:w="3260" w:type="dxa"/>
            <w:tcBorders>
              <w:top w:val="single" w:sz="18" w:space="0" w:color="auto"/>
              <w:right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2</w:t>
            </w:r>
          </w:p>
        </w:tc>
        <w:tc>
          <w:tcPr>
            <w:tcW w:w="3260" w:type="dxa"/>
            <w:tcBorders>
              <w:left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c>
          <w:tcPr>
            <w:tcW w:w="3260" w:type="dxa"/>
            <w:tcBorders>
              <w:right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3</w:t>
            </w:r>
          </w:p>
        </w:tc>
        <w:tc>
          <w:tcPr>
            <w:tcW w:w="3260" w:type="dxa"/>
            <w:tcBorders>
              <w:left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c>
          <w:tcPr>
            <w:tcW w:w="3260" w:type="dxa"/>
            <w:tcBorders>
              <w:right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4</w:t>
            </w:r>
          </w:p>
        </w:tc>
        <w:tc>
          <w:tcPr>
            <w:tcW w:w="3260" w:type="dxa"/>
            <w:tcBorders>
              <w:left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c>
          <w:tcPr>
            <w:tcW w:w="3260" w:type="dxa"/>
            <w:tcBorders>
              <w:right w:val="single" w:sz="18" w:space="0" w:color="auto"/>
            </w:tcBorders>
            <w:shd w:val="clear" w:color="auto" w:fill="EBBF7D" w:themeFill="accent2"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73486">
              <w:rPr>
                <w:rFonts w:hint="cs"/>
                <w:sz w:val="22"/>
                <w:szCs w:val="22"/>
                <w:rtl/>
              </w:rPr>
              <w:t>לא</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5</w:t>
            </w:r>
          </w:p>
        </w:tc>
        <w:tc>
          <w:tcPr>
            <w:tcW w:w="3260" w:type="dxa"/>
            <w:tcBorders>
              <w:left w:val="single" w:sz="18" w:space="0" w:color="auto"/>
            </w:tcBorders>
            <w:shd w:val="clear" w:color="auto" w:fill="EBBF7D" w:themeFill="accent2"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לא</w:t>
            </w:r>
          </w:p>
        </w:tc>
        <w:tc>
          <w:tcPr>
            <w:tcW w:w="3260" w:type="dxa"/>
            <w:tcBorders>
              <w:right w:val="single" w:sz="18" w:space="0" w:color="auto"/>
            </w:tcBorders>
            <w:shd w:val="clear" w:color="auto" w:fill="EBBF7D" w:themeFill="accent2"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לא</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6</w:t>
            </w:r>
          </w:p>
        </w:tc>
        <w:tc>
          <w:tcPr>
            <w:tcW w:w="3260" w:type="dxa"/>
            <w:tcBorders>
              <w:left w:val="single" w:sz="18" w:space="0" w:color="auto"/>
            </w:tcBorders>
            <w:shd w:val="clear" w:color="auto" w:fill="EBBF7D" w:themeFill="accent2"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לא</w:t>
            </w:r>
          </w:p>
        </w:tc>
        <w:tc>
          <w:tcPr>
            <w:tcW w:w="3260" w:type="dxa"/>
            <w:tcBorders>
              <w:right w:val="single" w:sz="18" w:space="0" w:color="auto"/>
            </w:tcBorders>
            <w:shd w:val="clear" w:color="auto" w:fill="EBBF7D" w:themeFill="accent2"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לא</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7</w:t>
            </w:r>
          </w:p>
        </w:tc>
        <w:tc>
          <w:tcPr>
            <w:tcW w:w="3260" w:type="dxa"/>
            <w:tcBorders>
              <w:left w:val="single" w:sz="18" w:space="0" w:color="auto"/>
            </w:tcBorders>
            <w:shd w:val="clear" w:color="auto" w:fill="EBBF7D" w:themeFill="accent2"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לא</w:t>
            </w:r>
          </w:p>
        </w:tc>
        <w:tc>
          <w:tcPr>
            <w:tcW w:w="3260" w:type="dxa"/>
            <w:tcBorders>
              <w:right w:val="single" w:sz="18" w:space="0" w:color="auto"/>
            </w:tcBorders>
            <w:shd w:val="clear" w:color="auto" w:fill="EBBF7D" w:themeFill="accent2"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לא</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8</w:t>
            </w:r>
          </w:p>
        </w:tc>
        <w:tc>
          <w:tcPr>
            <w:tcW w:w="3260" w:type="dxa"/>
            <w:tcBorders>
              <w:left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c>
          <w:tcPr>
            <w:tcW w:w="3260" w:type="dxa"/>
            <w:tcBorders>
              <w:right w:val="single" w:sz="18" w:space="0" w:color="auto"/>
            </w:tcBorders>
            <w:shd w:val="clear" w:color="auto" w:fill="FFFFCC"/>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פירוט חלקי</w:t>
            </w:r>
          </w:p>
        </w:tc>
      </w:tr>
      <w:tr w:rsidR="009A1216" w:rsidRPr="00673486" w:rsidTr="0021269D">
        <w:trPr>
          <w:jc w:val="center"/>
        </w:trPr>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bottom w:val="single" w:sz="18" w:space="0" w:color="auto"/>
              <w:right w:val="single" w:sz="18" w:space="0" w:color="auto"/>
            </w:tcBorders>
          </w:tcPr>
          <w:p w:rsidR="009A1216" w:rsidRPr="00673486" w:rsidRDefault="009A1216" w:rsidP="00604C3D">
            <w:pPr>
              <w:spacing w:line="269" w:lineRule="auto"/>
              <w:ind w:left="312"/>
              <w:jc w:val="center"/>
              <w:rPr>
                <w:sz w:val="22"/>
                <w:szCs w:val="22"/>
                <w:rtl/>
              </w:rPr>
            </w:pPr>
            <w:r w:rsidRPr="00673486">
              <w:rPr>
                <w:rFonts w:hint="cs"/>
                <w:sz w:val="22"/>
                <w:szCs w:val="22"/>
                <w:rtl/>
              </w:rPr>
              <w:t>9</w:t>
            </w:r>
          </w:p>
        </w:tc>
        <w:tc>
          <w:tcPr>
            <w:tcW w:w="3260" w:type="dxa"/>
            <w:tcBorders>
              <w:left w:val="single" w:sz="18" w:space="0" w:color="auto"/>
              <w:bottom w:val="single" w:sz="18" w:space="0" w:color="auto"/>
            </w:tcBorders>
            <w:shd w:val="clear" w:color="auto" w:fill="DDDB87" w:themeFill="accent3" w:themeFillTint="99"/>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כן</w:t>
            </w:r>
          </w:p>
        </w:tc>
        <w:tc>
          <w:tcPr>
            <w:tcW w:w="3260" w:type="dxa"/>
            <w:tcBorders>
              <w:bottom w:val="single" w:sz="18" w:space="0" w:color="auto"/>
              <w:right w:val="single" w:sz="18" w:space="0" w:color="auto"/>
            </w:tcBorders>
            <w:shd w:val="clear" w:color="auto" w:fill="FFFFCC"/>
          </w:tcPr>
          <w:p w:rsidR="009A1216" w:rsidRPr="00673486"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673486">
              <w:rPr>
                <w:rFonts w:hint="cs"/>
                <w:sz w:val="22"/>
                <w:szCs w:val="22"/>
                <w:rtl/>
              </w:rPr>
              <w:t>פירוט חלקי</w:t>
            </w:r>
          </w:p>
        </w:tc>
      </w:tr>
    </w:tbl>
    <w:p w:rsidR="009A1216" w:rsidRDefault="009A1216" w:rsidP="00604C3D">
      <w:pPr>
        <w:spacing w:line="269" w:lineRule="auto"/>
        <w:jc w:val="left"/>
        <w:rPr>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DA0144">
        <w:rPr>
          <w:rFonts w:hint="cs"/>
          <w:rtl/>
        </w:rPr>
        <w:t>.</w:t>
      </w:r>
    </w:p>
    <w:p w:rsidR="0073303F" w:rsidRPr="000904E9" w:rsidRDefault="0073303F" w:rsidP="00604C3D">
      <w:pPr>
        <w:spacing w:line="269" w:lineRule="auto"/>
        <w:rPr>
          <w:rtl/>
        </w:rPr>
      </w:pPr>
    </w:p>
    <w:p w:rsidR="009A1216" w:rsidRDefault="009A1216" w:rsidP="0096347D">
      <w:pPr>
        <w:spacing w:line="269" w:lineRule="auto"/>
        <w:ind w:left="720"/>
        <w:rPr>
          <w:b/>
          <w:bCs/>
          <w:rtl/>
        </w:rPr>
      </w:pPr>
      <w:r>
        <w:rPr>
          <w:rFonts w:hint="cs"/>
          <w:b/>
          <w:bCs/>
          <w:rtl/>
        </w:rPr>
        <w:t xml:space="preserve">נמצא </w:t>
      </w:r>
      <w:r w:rsidRPr="0002142D">
        <w:rPr>
          <w:rFonts w:hint="cs"/>
          <w:b/>
          <w:bCs/>
          <w:rtl/>
        </w:rPr>
        <w:t xml:space="preserve">כי מתוך </w:t>
      </w:r>
      <w:r w:rsidRPr="00A512AA">
        <w:rPr>
          <w:rFonts w:hint="eastAsia"/>
          <w:b/>
          <w:bCs/>
          <w:rtl/>
        </w:rPr>
        <w:t>תשעה</w:t>
      </w:r>
      <w:r w:rsidRPr="0002142D">
        <w:rPr>
          <w:rFonts w:hint="cs"/>
          <w:b/>
          <w:bCs/>
          <w:rtl/>
        </w:rPr>
        <w:t xml:space="preserve"> מתווי </w:t>
      </w:r>
      <w:r w:rsidR="00DD1003" w:rsidRPr="0002142D">
        <w:rPr>
          <w:rFonts w:hint="cs"/>
          <w:b/>
          <w:bCs/>
          <w:rtl/>
        </w:rPr>
        <w:t>התקנה</w:t>
      </w:r>
      <w:r w:rsidR="00906EEE" w:rsidRPr="004F36D2">
        <w:rPr>
          <w:rFonts w:hint="cs"/>
          <w:b/>
          <w:bCs/>
          <w:rtl/>
        </w:rPr>
        <w:t>,</w:t>
      </w:r>
      <w:r w:rsidRPr="004F36D2">
        <w:rPr>
          <w:rFonts w:hint="cs"/>
          <w:b/>
          <w:bCs/>
          <w:rtl/>
        </w:rPr>
        <w:t xml:space="preserve"> </w:t>
      </w:r>
      <w:bookmarkStart w:id="461" w:name="_Hlk155705054"/>
      <w:r w:rsidRPr="004F36D2">
        <w:rPr>
          <w:rFonts w:hint="cs"/>
          <w:b/>
          <w:bCs/>
          <w:rtl/>
        </w:rPr>
        <w:t>חטיבת הסייבר מבצעת זה כמה שנים שלושה מתווים בלא שפעולות אלו הוסדרו</w:t>
      </w:r>
      <w:r>
        <w:rPr>
          <w:rFonts w:hint="cs"/>
          <w:b/>
          <w:bCs/>
          <w:rtl/>
        </w:rPr>
        <w:t xml:space="preserve"> באמצעות הנחיות פנימיות של החטיבה כמתחייב (אחד מהם מוזכר בטיוטת הנחייה שטרם אושרה).</w:t>
      </w:r>
      <w:bookmarkEnd w:id="461"/>
      <w:r>
        <w:rPr>
          <w:rFonts w:hint="cs"/>
          <w:b/>
          <w:bCs/>
          <w:rtl/>
        </w:rPr>
        <w:t xml:space="preserve"> </w:t>
      </w:r>
    </w:p>
    <w:p w:rsidR="0073303F" w:rsidRPr="000904E9" w:rsidRDefault="0073303F" w:rsidP="0096347D">
      <w:pPr>
        <w:spacing w:line="269" w:lineRule="auto"/>
        <w:ind w:left="360"/>
        <w:rPr>
          <w:rtl/>
        </w:rPr>
      </w:pPr>
      <w:bookmarkStart w:id="462" w:name="_Hlk190084493"/>
    </w:p>
    <w:p w:rsidR="009A1216" w:rsidRDefault="009A1216" w:rsidP="0096347D">
      <w:pPr>
        <w:spacing w:line="269" w:lineRule="auto"/>
        <w:ind w:left="720"/>
        <w:rPr>
          <w:b/>
          <w:bCs/>
          <w:rtl/>
        </w:rPr>
      </w:pPr>
      <w:r>
        <w:rPr>
          <w:rFonts w:hint="cs"/>
          <w:b/>
          <w:bCs/>
          <w:rtl/>
        </w:rPr>
        <w:t>כמו כן, מתוך ששת המתווים שאוזכרו בהנחיות</w:t>
      </w:r>
      <w:r w:rsidRPr="0002142D">
        <w:rPr>
          <w:rFonts w:hint="cs"/>
          <w:b/>
          <w:bCs/>
          <w:rtl/>
        </w:rPr>
        <w:t xml:space="preserve">, בנוגע </w:t>
      </w:r>
      <w:r w:rsidRPr="00A512AA">
        <w:rPr>
          <w:rFonts w:hint="eastAsia"/>
          <w:b/>
          <w:bCs/>
          <w:rtl/>
        </w:rPr>
        <w:t>לשלושה</w:t>
      </w:r>
      <w:r w:rsidRPr="0002142D">
        <w:rPr>
          <w:rFonts w:hint="cs"/>
          <w:b/>
          <w:bCs/>
          <w:rtl/>
        </w:rPr>
        <w:t xml:space="preserve"> מתווים</w:t>
      </w:r>
      <w:r>
        <w:rPr>
          <w:rFonts w:hint="cs"/>
          <w:b/>
          <w:bCs/>
          <w:rtl/>
        </w:rPr>
        <w:t xml:space="preserve"> המענה המקצועי בהנחיות היה חלקי: (א)</w:t>
      </w:r>
      <w:r>
        <w:rPr>
          <w:rFonts w:hint="cs"/>
          <w:b/>
          <w:bCs/>
        </w:rPr>
        <w:t xml:space="preserve"> </w:t>
      </w:r>
      <w:r>
        <w:rPr>
          <w:rFonts w:hint="cs"/>
          <w:b/>
          <w:bCs/>
          <w:rtl/>
        </w:rPr>
        <w:t xml:space="preserve">במתווה </w:t>
      </w:r>
      <w:r w:rsidR="00DD1003">
        <w:rPr>
          <w:rFonts w:hint="cs"/>
          <w:b/>
          <w:bCs/>
          <w:rtl/>
        </w:rPr>
        <w:t>התקנה</w:t>
      </w:r>
      <w:r>
        <w:rPr>
          <w:rFonts w:hint="cs"/>
          <w:b/>
          <w:bCs/>
          <w:rtl/>
        </w:rPr>
        <w:t xml:space="preserve"> אחד שמוזכר בהנחיות</w:t>
      </w:r>
      <w:r w:rsidRPr="00F702C2">
        <w:rPr>
          <w:rFonts w:hint="cs"/>
          <w:b/>
          <w:bCs/>
          <w:rtl/>
        </w:rPr>
        <w:t xml:space="preserve"> </w:t>
      </w:r>
      <w:r>
        <w:rPr>
          <w:rFonts w:hint="cs"/>
          <w:b/>
          <w:bCs/>
          <w:rtl/>
        </w:rPr>
        <w:t>לא פורטו</w:t>
      </w:r>
      <w:r w:rsidRPr="00F702C2">
        <w:rPr>
          <w:rFonts w:hint="cs"/>
          <w:b/>
          <w:bCs/>
          <w:rtl/>
        </w:rPr>
        <w:t xml:space="preserve"> הפעולות המותרות והאסורות לביצוע בעת הוצאת</w:t>
      </w:r>
      <w:r>
        <w:rPr>
          <w:rFonts w:hint="cs"/>
          <w:b/>
          <w:bCs/>
          <w:rtl/>
        </w:rPr>
        <w:t xml:space="preserve">ו </w:t>
      </w:r>
      <w:r w:rsidRPr="00F702C2">
        <w:rPr>
          <w:rFonts w:hint="cs"/>
          <w:b/>
          <w:bCs/>
          <w:rtl/>
        </w:rPr>
        <w:t xml:space="preserve">לפועל; </w:t>
      </w:r>
      <w:r>
        <w:rPr>
          <w:rFonts w:hint="cs"/>
          <w:b/>
          <w:bCs/>
          <w:rtl/>
        </w:rPr>
        <w:t xml:space="preserve">(ב) </w:t>
      </w:r>
      <w:r w:rsidRPr="00F702C2">
        <w:rPr>
          <w:rFonts w:hint="cs"/>
          <w:b/>
          <w:bCs/>
          <w:rtl/>
        </w:rPr>
        <w:t xml:space="preserve">בשני מתווי </w:t>
      </w:r>
      <w:r w:rsidR="00DD1003">
        <w:rPr>
          <w:rFonts w:hint="cs"/>
          <w:b/>
          <w:bCs/>
          <w:rtl/>
        </w:rPr>
        <w:t>התקנה</w:t>
      </w:r>
      <w:r w:rsidRPr="00F702C2">
        <w:rPr>
          <w:rFonts w:hint="cs"/>
          <w:b/>
          <w:bCs/>
          <w:rtl/>
        </w:rPr>
        <w:t xml:space="preserve"> נוספים מפורטות</w:t>
      </w:r>
      <w:r>
        <w:rPr>
          <w:rFonts w:hint="cs"/>
          <w:b/>
          <w:bCs/>
          <w:rtl/>
        </w:rPr>
        <w:t xml:space="preserve"> בהנחיות</w:t>
      </w:r>
      <w:r w:rsidRPr="00F702C2">
        <w:rPr>
          <w:rFonts w:hint="cs"/>
          <w:b/>
          <w:bCs/>
          <w:rtl/>
        </w:rPr>
        <w:t xml:space="preserve"> רק חלק מהפעולות המותרות לביצוע ב</w:t>
      </w:r>
      <w:r>
        <w:rPr>
          <w:rFonts w:hint="cs"/>
          <w:b/>
          <w:bCs/>
          <w:rtl/>
        </w:rPr>
        <w:t>עת הוצאתם לפועל.</w:t>
      </w:r>
    </w:p>
    <w:bookmarkEnd w:id="462"/>
    <w:p w:rsidR="009A1216" w:rsidRDefault="009A1216" w:rsidP="0096347D">
      <w:pPr>
        <w:spacing w:line="269" w:lineRule="auto"/>
        <w:ind w:left="720"/>
        <w:rPr>
          <w:b/>
          <w:bCs/>
          <w:rtl/>
        </w:rPr>
      </w:pPr>
      <w:r>
        <w:rPr>
          <w:rFonts w:hint="cs"/>
          <w:b/>
          <w:bCs/>
          <w:rtl/>
        </w:rPr>
        <w:t>בהקשר זה יצוין כי חלק מהפערים נובעים מהיעדר הפירוט הנדרש בנהלים של הפעולות הידניות</w:t>
      </w:r>
      <w:r>
        <w:rPr>
          <w:rStyle w:val="af"/>
          <w:b/>
          <w:bCs/>
          <w:rtl/>
        </w:rPr>
        <w:footnoteReference w:id="177"/>
      </w:r>
      <w:r>
        <w:rPr>
          <w:rFonts w:hint="cs"/>
          <w:b/>
          <w:bCs/>
          <w:rtl/>
        </w:rPr>
        <w:t xml:space="preserve"> המותרות לביצוע במתווי </w:t>
      </w:r>
      <w:r w:rsidR="00DD1003">
        <w:rPr>
          <w:rFonts w:hint="cs"/>
          <w:b/>
          <w:bCs/>
          <w:rtl/>
        </w:rPr>
        <w:t>ההתקנה</w:t>
      </w:r>
      <w:r>
        <w:rPr>
          <w:rFonts w:hint="cs"/>
          <w:b/>
          <w:bCs/>
          <w:rtl/>
        </w:rPr>
        <w:t xml:space="preserve">: ההנחיות אינן מפרטות את רצף הפעולות הידניות שהשוטר נדרש לבצע. מצב זה עלול להביא לכך ששוטרים יבצעו מתווי </w:t>
      </w:r>
      <w:r w:rsidR="00DD1003">
        <w:rPr>
          <w:rFonts w:hint="cs"/>
          <w:b/>
          <w:bCs/>
          <w:rtl/>
        </w:rPr>
        <w:t>התקנה</w:t>
      </w:r>
      <w:r>
        <w:rPr>
          <w:rFonts w:hint="cs"/>
          <w:b/>
          <w:bCs/>
          <w:rtl/>
        </w:rPr>
        <w:t xml:space="preserve"> באופן בלתי אחיד ובלתי מפוקח. היעדר העיגון אף עלול להביא לביצוע פעולות </w:t>
      </w:r>
      <w:r w:rsidR="00456366">
        <w:rPr>
          <w:rFonts w:hint="cs"/>
          <w:b/>
          <w:bCs/>
          <w:rtl/>
        </w:rPr>
        <w:t>אסורות</w:t>
      </w:r>
      <w:r>
        <w:rPr>
          <w:rFonts w:hint="cs"/>
          <w:b/>
          <w:bCs/>
          <w:rtl/>
        </w:rPr>
        <w:t xml:space="preserve">. </w:t>
      </w:r>
    </w:p>
    <w:p w:rsidR="0073303F" w:rsidRPr="000904E9" w:rsidRDefault="0073303F" w:rsidP="0096347D">
      <w:pPr>
        <w:spacing w:line="269" w:lineRule="auto"/>
        <w:ind w:left="360"/>
        <w:rPr>
          <w:rtl/>
        </w:rPr>
      </w:pPr>
    </w:p>
    <w:p w:rsidR="009A1216" w:rsidRPr="005571ED" w:rsidRDefault="009A1216" w:rsidP="0096347D">
      <w:pPr>
        <w:spacing w:line="269" w:lineRule="auto"/>
        <w:ind w:left="720"/>
        <w:rPr>
          <w:rtl/>
        </w:rPr>
      </w:pPr>
      <w:r w:rsidRPr="005571ED">
        <w:rPr>
          <w:rFonts w:hint="eastAsia"/>
          <w:rtl/>
        </w:rPr>
        <w:t>למשל</w:t>
      </w:r>
      <w:r w:rsidRPr="005571ED">
        <w:rPr>
          <w:rtl/>
        </w:rPr>
        <w:t xml:space="preserve">, במתווה </w:t>
      </w:r>
      <w:r>
        <w:rPr>
          <w:rFonts w:hint="cs"/>
          <w:rtl/>
        </w:rPr>
        <w:t>ה</w:t>
      </w:r>
      <w:r w:rsidR="00DD1003">
        <w:rPr>
          <w:rtl/>
        </w:rPr>
        <w:t>התקנה</w:t>
      </w:r>
      <w:r w:rsidRPr="005571ED">
        <w:rPr>
          <w:rtl/>
        </w:rPr>
        <w:t xml:space="preserve"> של מכשיר קצה מסוים</w:t>
      </w:r>
      <w:r w:rsidR="00382AE8">
        <w:rPr>
          <w:rtl/>
        </w:rPr>
        <w:t xml:space="preserve"> </w:t>
      </w:r>
      <w:r w:rsidRPr="005571ED">
        <w:rPr>
          <w:rtl/>
        </w:rPr>
        <w:t>קיימות שתי הנחיות עבודה:</w:t>
      </w:r>
      <w:r w:rsidRPr="005571ED">
        <w:t xml:space="preserve"> </w:t>
      </w:r>
      <w:r w:rsidRPr="005571ED">
        <w:rPr>
          <w:rFonts w:hint="eastAsia"/>
          <w:rtl/>
        </w:rPr>
        <w:t>האחת</w:t>
      </w:r>
      <w:r w:rsidRPr="005571ED">
        <w:rPr>
          <w:rtl/>
        </w:rPr>
        <w:t xml:space="preserve"> משנת 2021 ו</w:t>
      </w:r>
      <w:r w:rsidRPr="005571ED">
        <w:rPr>
          <w:rFonts w:hint="eastAsia"/>
          <w:rtl/>
        </w:rPr>
        <w:t>השנייה</w:t>
      </w:r>
      <w:r w:rsidRPr="005571ED">
        <w:t xml:space="preserve"> </w:t>
      </w:r>
      <w:r w:rsidRPr="005571ED">
        <w:rPr>
          <w:rtl/>
        </w:rPr>
        <w:t>משנת 2023, המתאר</w:t>
      </w:r>
      <w:r w:rsidRPr="005571ED">
        <w:rPr>
          <w:rFonts w:hint="eastAsia"/>
          <w:rtl/>
        </w:rPr>
        <w:t>ות</w:t>
      </w:r>
      <w:r w:rsidRPr="005571ED">
        <w:rPr>
          <w:rtl/>
        </w:rPr>
        <w:t xml:space="preserve"> באופן כללי מתווה </w:t>
      </w:r>
      <w:r w:rsidR="00DD1003">
        <w:rPr>
          <w:rtl/>
        </w:rPr>
        <w:t>התקנה</w:t>
      </w:r>
      <w:r w:rsidRPr="005571ED">
        <w:rPr>
          <w:rtl/>
        </w:rPr>
        <w:t xml:space="preserve"> המוגדר כ"פעילות טקטית". אבל ההנחיות </w:t>
      </w:r>
      <w:r>
        <w:rPr>
          <w:rFonts w:hint="cs"/>
          <w:rtl/>
        </w:rPr>
        <w:t>אינן</w:t>
      </w:r>
      <w:r w:rsidRPr="005571ED">
        <w:rPr>
          <w:rtl/>
        </w:rPr>
        <w:t xml:space="preserve"> מפרטות את כל הפעולות הנכללות במתווה </w:t>
      </w:r>
      <w:r w:rsidR="00DD1003">
        <w:rPr>
          <w:rtl/>
        </w:rPr>
        <w:t>התקנה</w:t>
      </w:r>
      <w:r w:rsidRPr="005571ED">
        <w:rPr>
          <w:rtl/>
        </w:rPr>
        <w:t xml:space="preserve"> זה </w:t>
      </w:r>
      <w:r w:rsidRPr="005571ED">
        <w:rPr>
          <w:rFonts w:hint="eastAsia"/>
          <w:rtl/>
        </w:rPr>
        <w:t>ואת</w:t>
      </w:r>
      <w:r w:rsidRPr="005571ED">
        <w:rPr>
          <w:rtl/>
        </w:rPr>
        <w:t xml:space="preserve"> כלי </w:t>
      </w:r>
      <w:r>
        <w:rPr>
          <w:rFonts w:hint="cs"/>
          <w:rtl/>
        </w:rPr>
        <w:t>ה</w:t>
      </w:r>
      <w:r w:rsidRPr="005571ED">
        <w:rPr>
          <w:rtl/>
        </w:rPr>
        <w:t xml:space="preserve">עזר </w:t>
      </w:r>
      <w:r w:rsidRPr="005571ED">
        <w:rPr>
          <w:rFonts w:hint="eastAsia"/>
          <w:rtl/>
        </w:rPr>
        <w:t>ש</w:t>
      </w:r>
      <w:r w:rsidRPr="005571ED">
        <w:rPr>
          <w:rtl/>
        </w:rPr>
        <w:t xml:space="preserve">ניתן </w:t>
      </w:r>
      <w:r w:rsidRPr="005571ED">
        <w:rPr>
          <w:rFonts w:hint="eastAsia"/>
          <w:rtl/>
        </w:rPr>
        <w:t>להשתמש</w:t>
      </w:r>
      <w:r w:rsidRPr="005571ED">
        <w:rPr>
          <w:rtl/>
        </w:rPr>
        <w:t xml:space="preserve"> </w:t>
      </w:r>
      <w:r w:rsidRPr="005571ED">
        <w:rPr>
          <w:rFonts w:hint="eastAsia"/>
          <w:rtl/>
        </w:rPr>
        <w:t>בהם</w:t>
      </w:r>
      <w:r w:rsidRPr="005571ED">
        <w:rPr>
          <w:rtl/>
        </w:rPr>
        <w:t xml:space="preserve"> לצורך ביצוע ה</w:t>
      </w:r>
      <w:r w:rsidR="00DD1003">
        <w:rPr>
          <w:rtl/>
        </w:rPr>
        <w:t>התקנה</w:t>
      </w:r>
      <w:r w:rsidRPr="005571ED">
        <w:rPr>
          <w:rtl/>
        </w:rPr>
        <w:t>.</w:t>
      </w:r>
    </w:p>
    <w:p w:rsidR="0073303F" w:rsidRPr="000904E9" w:rsidRDefault="0073303F" w:rsidP="0096347D">
      <w:pPr>
        <w:spacing w:line="269" w:lineRule="auto"/>
        <w:ind w:left="360"/>
        <w:rPr>
          <w:rtl/>
        </w:rPr>
      </w:pPr>
    </w:p>
    <w:p w:rsidR="009A1216" w:rsidRPr="005571ED" w:rsidRDefault="009A1216" w:rsidP="0096347D">
      <w:pPr>
        <w:spacing w:line="269" w:lineRule="auto"/>
        <w:ind w:left="720"/>
        <w:rPr>
          <w:rtl/>
        </w:rPr>
      </w:pPr>
      <w:r w:rsidRPr="005571ED">
        <w:rPr>
          <w:rFonts w:hint="eastAsia"/>
          <w:rtl/>
        </w:rPr>
        <w:t>מדוגמה</w:t>
      </w:r>
      <w:r w:rsidRPr="005571ED">
        <w:rPr>
          <w:rtl/>
        </w:rPr>
        <w:t xml:space="preserve"> נוספת עולה כי לפי הנחיית עבודה של חטיב</w:t>
      </w:r>
      <w:r w:rsidRPr="005571ED">
        <w:rPr>
          <w:rFonts w:hint="eastAsia"/>
          <w:rtl/>
        </w:rPr>
        <w:t>ת</w:t>
      </w:r>
      <w:r w:rsidRPr="005571ED">
        <w:rPr>
          <w:rtl/>
        </w:rPr>
        <w:t xml:space="preserve"> </w:t>
      </w:r>
      <w:r w:rsidRPr="005571ED">
        <w:rPr>
          <w:rFonts w:hint="eastAsia"/>
          <w:rtl/>
        </w:rPr>
        <w:t>הסייבר</w:t>
      </w:r>
      <w:r w:rsidRPr="005571ED">
        <w:rPr>
          <w:rtl/>
        </w:rPr>
        <w:t xml:space="preserve"> משנת 2021, שוטר היה רשאי </w:t>
      </w:r>
      <w:r w:rsidRPr="005571ED">
        <w:rPr>
          <w:rFonts w:hint="eastAsia"/>
          <w:rtl/>
        </w:rPr>
        <w:t>להשתמש</w:t>
      </w:r>
      <w:r w:rsidRPr="005571ED">
        <w:rPr>
          <w:rtl/>
        </w:rPr>
        <w:t xml:space="preserve"> </w:t>
      </w:r>
      <w:r w:rsidRPr="005571ED">
        <w:rPr>
          <w:rFonts w:hint="eastAsia"/>
          <w:rtl/>
        </w:rPr>
        <w:t>בדרך</w:t>
      </w:r>
      <w:r w:rsidRPr="005571ED">
        <w:rPr>
          <w:rtl/>
        </w:rPr>
        <w:t xml:space="preserve"> ביצוע </w:t>
      </w:r>
      <w:r w:rsidRPr="005571ED">
        <w:rPr>
          <w:rFonts w:hint="eastAsia"/>
          <w:rtl/>
        </w:rPr>
        <w:t>של</w:t>
      </w:r>
      <w:r w:rsidRPr="005571ED">
        <w:rPr>
          <w:rtl/>
        </w:rPr>
        <w:t xml:space="preserve"> </w:t>
      </w:r>
      <w:r w:rsidR="00DD1003">
        <w:rPr>
          <w:rFonts w:hint="eastAsia"/>
          <w:rtl/>
        </w:rPr>
        <w:t>התקנה</w:t>
      </w:r>
      <w:r w:rsidRPr="005571ED">
        <w:rPr>
          <w:rtl/>
        </w:rPr>
        <w:t xml:space="preserve"> </w:t>
      </w:r>
      <w:r w:rsidRPr="005571ED">
        <w:rPr>
          <w:rFonts w:hint="eastAsia"/>
          <w:rtl/>
        </w:rPr>
        <w:t>אשר</w:t>
      </w:r>
      <w:r w:rsidRPr="005571ED">
        <w:rPr>
          <w:rtl/>
        </w:rPr>
        <w:t xml:space="preserve"> בדיעבד</w:t>
      </w:r>
      <w:r>
        <w:rPr>
          <w:rFonts w:hint="cs"/>
          <w:rtl/>
        </w:rPr>
        <w:t xml:space="preserve"> -</w:t>
      </w:r>
      <w:r w:rsidRPr="005571ED">
        <w:rPr>
          <w:rtl/>
        </w:rPr>
        <w:t xml:space="preserve"> אגב עבודת צוות מררי בשנת 2022, </w:t>
      </w:r>
      <w:r w:rsidRPr="005571ED">
        <w:rPr>
          <w:rFonts w:hint="eastAsia"/>
          <w:rtl/>
        </w:rPr>
        <w:t>נאסר</w:t>
      </w:r>
      <w:r w:rsidRPr="005571ED">
        <w:rPr>
          <w:rtl/>
        </w:rPr>
        <w:t xml:space="preserve"> להשתמש ב</w:t>
      </w:r>
      <w:r>
        <w:rPr>
          <w:rFonts w:hint="cs"/>
          <w:rtl/>
        </w:rPr>
        <w:t>ו</w:t>
      </w:r>
      <w:r w:rsidRPr="005571ED">
        <w:rPr>
          <w:rtl/>
        </w:rPr>
        <w:t xml:space="preserve">. </w:t>
      </w:r>
    </w:p>
    <w:p w:rsidR="009A1216" w:rsidRPr="000904E9" w:rsidRDefault="009A1216" w:rsidP="0096347D">
      <w:pPr>
        <w:spacing w:line="269" w:lineRule="auto"/>
        <w:ind w:left="720"/>
        <w:rPr>
          <w:rtl/>
        </w:rPr>
      </w:pPr>
    </w:p>
    <w:p w:rsidR="009A1216" w:rsidRDefault="009A1216" w:rsidP="0096347D">
      <w:pPr>
        <w:spacing w:line="269" w:lineRule="auto"/>
        <w:ind w:left="720"/>
        <w:rPr>
          <w:b/>
          <w:bCs/>
        </w:rPr>
      </w:pPr>
      <w:r w:rsidRPr="005571ED">
        <w:rPr>
          <w:rFonts w:hint="eastAsia"/>
          <w:b/>
          <w:bCs/>
          <w:rtl/>
        </w:rPr>
        <w:t>יוצא</w:t>
      </w:r>
      <w:r w:rsidRPr="005571ED">
        <w:rPr>
          <w:b/>
          <w:bCs/>
          <w:rtl/>
        </w:rPr>
        <w:t xml:space="preserve"> אפוא כי </w:t>
      </w:r>
      <w:r>
        <w:rPr>
          <w:rFonts w:hint="cs"/>
          <w:b/>
          <w:bCs/>
          <w:rtl/>
        </w:rPr>
        <w:t>חרף חשיבות עיגון הנחיות ונהלים בתהליכי קבלת ההחלטות של רשות מינהלית</w:t>
      </w:r>
      <w:r>
        <w:rPr>
          <w:rStyle w:val="af"/>
          <w:b/>
          <w:bCs/>
          <w:rtl/>
        </w:rPr>
        <w:footnoteReference w:id="178"/>
      </w:r>
      <w:r>
        <w:rPr>
          <w:rFonts w:hint="cs"/>
          <w:b/>
          <w:bCs/>
          <w:rtl/>
        </w:rPr>
        <w:t xml:space="preserve"> ולמרות הסיכון העולה מביצוע פעולות טכנולוגיות חדשניות שעלולות </w:t>
      </w:r>
      <w:r w:rsidR="00456366">
        <w:rPr>
          <w:rFonts w:hint="cs"/>
          <w:b/>
          <w:bCs/>
          <w:rtl/>
        </w:rPr>
        <w:t>להיות אסורות</w:t>
      </w:r>
      <w:r w:rsidR="008F01B0">
        <w:rPr>
          <w:rFonts w:hint="cs"/>
          <w:b/>
          <w:bCs/>
          <w:rtl/>
        </w:rPr>
        <w:t xml:space="preserve"> ו</w:t>
      </w:r>
      <w:r>
        <w:rPr>
          <w:rFonts w:hint="cs"/>
          <w:b/>
          <w:bCs/>
          <w:rtl/>
        </w:rPr>
        <w:t>להתבצע ללא סמכות,</w:t>
      </w:r>
      <w:r w:rsidRPr="005571ED">
        <w:rPr>
          <w:b/>
          <w:bCs/>
          <w:rtl/>
        </w:rPr>
        <w:t xml:space="preserve"> </w:t>
      </w:r>
      <w:r w:rsidRPr="005571ED">
        <w:rPr>
          <w:rFonts w:hint="eastAsia"/>
          <w:b/>
          <w:bCs/>
          <w:rtl/>
        </w:rPr>
        <w:t>בין</w:t>
      </w:r>
      <w:r w:rsidRPr="005571ED">
        <w:rPr>
          <w:b/>
          <w:bCs/>
          <w:rtl/>
        </w:rPr>
        <w:t xml:space="preserve"> השנים 2014 </w:t>
      </w:r>
      <w:r>
        <w:rPr>
          <w:rFonts w:hint="cs"/>
          <w:b/>
          <w:bCs/>
          <w:rtl/>
        </w:rPr>
        <w:t>-</w:t>
      </w:r>
      <w:r w:rsidRPr="005571ED">
        <w:rPr>
          <w:b/>
          <w:bCs/>
          <w:rtl/>
        </w:rPr>
        <w:t xml:space="preserve"> 2023</w:t>
      </w:r>
      <w:r>
        <w:rPr>
          <w:rFonts w:hint="cs"/>
          <w:b/>
          <w:bCs/>
          <w:rtl/>
        </w:rPr>
        <w:t xml:space="preserve"> </w:t>
      </w:r>
      <w:r w:rsidRPr="005571ED">
        <w:rPr>
          <w:rFonts w:hint="eastAsia"/>
          <w:b/>
          <w:bCs/>
          <w:rtl/>
        </w:rPr>
        <w:t>המשטרה</w:t>
      </w:r>
      <w:r w:rsidRPr="005571ED">
        <w:rPr>
          <w:b/>
          <w:bCs/>
          <w:rtl/>
        </w:rPr>
        <w:t xml:space="preserve"> </w:t>
      </w:r>
      <w:r w:rsidRPr="005571ED">
        <w:rPr>
          <w:rFonts w:hint="eastAsia"/>
          <w:b/>
          <w:bCs/>
          <w:rtl/>
        </w:rPr>
        <w:t>לא</w:t>
      </w:r>
      <w:r w:rsidRPr="005571ED">
        <w:rPr>
          <w:b/>
          <w:bCs/>
          <w:rtl/>
        </w:rPr>
        <w:t xml:space="preserve"> </w:t>
      </w:r>
      <w:r w:rsidRPr="005571ED">
        <w:rPr>
          <w:rFonts w:hint="eastAsia"/>
          <w:b/>
          <w:bCs/>
          <w:rtl/>
        </w:rPr>
        <w:t>עיגנה</w:t>
      </w:r>
      <w:r w:rsidRPr="005571ED">
        <w:rPr>
          <w:b/>
          <w:bCs/>
          <w:rtl/>
        </w:rPr>
        <w:t xml:space="preserve"> </w:t>
      </w:r>
      <w:r w:rsidRPr="005571ED">
        <w:rPr>
          <w:rFonts w:hint="eastAsia"/>
          <w:b/>
          <w:bCs/>
          <w:rtl/>
        </w:rPr>
        <w:t>באופן</w:t>
      </w:r>
      <w:r w:rsidRPr="005571ED">
        <w:rPr>
          <w:b/>
          <w:bCs/>
          <w:rtl/>
        </w:rPr>
        <w:t xml:space="preserve"> </w:t>
      </w:r>
      <w:r w:rsidRPr="005571ED">
        <w:rPr>
          <w:rFonts w:hint="eastAsia"/>
          <w:b/>
          <w:bCs/>
          <w:rtl/>
        </w:rPr>
        <w:t>מלא</w:t>
      </w:r>
      <w:r w:rsidRPr="005571ED">
        <w:rPr>
          <w:b/>
          <w:bCs/>
          <w:rtl/>
        </w:rPr>
        <w:t xml:space="preserve"> </w:t>
      </w:r>
      <w:r w:rsidRPr="005571ED">
        <w:rPr>
          <w:rFonts w:hint="eastAsia"/>
          <w:b/>
          <w:bCs/>
          <w:rtl/>
        </w:rPr>
        <w:t>ומסודר</w:t>
      </w:r>
      <w:r w:rsidRPr="005571ED">
        <w:rPr>
          <w:b/>
          <w:bCs/>
          <w:rtl/>
        </w:rPr>
        <w:t xml:space="preserve"> </w:t>
      </w:r>
      <w:r w:rsidRPr="005571ED">
        <w:rPr>
          <w:rFonts w:hint="eastAsia"/>
          <w:b/>
          <w:bCs/>
          <w:rtl/>
        </w:rPr>
        <w:t>בהנחיות</w:t>
      </w:r>
      <w:r>
        <w:rPr>
          <w:rFonts w:hint="cs"/>
          <w:b/>
          <w:bCs/>
          <w:rtl/>
        </w:rPr>
        <w:t xml:space="preserve"> החטיבה ובנוהלי המשטרה</w:t>
      </w:r>
      <w:r w:rsidRPr="005571ED">
        <w:rPr>
          <w:b/>
          <w:bCs/>
          <w:rtl/>
        </w:rPr>
        <w:t xml:space="preserve"> </w:t>
      </w:r>
      <w:r w:rsidRPr="005571ED">
        <w:rPr>
          <w:rFonts w:hint="eastAsia"/>
          <w:b/>
          <w:bCs/>
          <w:rtl/>
        </w:rPr>
        <w:t>את</w:t>
      </w:r>
      <w:r w:rsidRPr="005571ED">
        <w:rPr>
          <w:b/>
          <w:bCs/>
          <w:rtl/>
        </w:rPr>
        <w:t xml:space="preserve"> </w:t>
      </w:r>
      <w:r w:rsidRPr="005571ED">
        <w:rPr>
          <w:rFonts w:hint="eastAsia"/>
          <w:b/>
          <w:bCs/>
          <w:rtl/>
        </w:rPr>
        <w:t>מתווי</w:t>
      </w:r>
      <w:r w:rsidRPr="005571ED">
        <w:rPr>
          <w:b/>
          <w:bCs/>
          <w:rtl/>
        </w:rPr>
        <w:t xml:space="preserve"> </w:t>
      </w:r>
      <w:r w:rsidRPr="005571ED">
        <w:rPr>
          <w:rFonts w:hint="eastAsia"/>
          <w:b/>
          <w:bCs/>
          <w:rtl/>
        </w:rPr>
        <w:t>ה</w:t>
      </w:r>
      <w:r w:rsidR="00DD1003">
        <w:rPr>
          <w:rFonts w:hint="eastAsia"/>
          <w:b/>
          <w:bCs/>
          <w:rtl/>
        </w:rPr>
        <w:t>התקנה</w:t>
      </w:r>
      <w:r w:rsidRPr="005571ED">
        <w:rPr>
          <w:b/>
          <w:bCs/>
          <w:rtl/>
        </w:rPr>
        <w:t xml:space="preserve"> המבוצעים על ידה באופן ידני ובאמצעות כלים טכנולוגיים</w:t>
      </w:r>
      <w:r>
        <w:rPr>
          <w:rFonts w:hint="cs"/>
          <w:b/>
          <w:bCs/>
          <w:rtl/>
        </w:rPr>
        <w:t>.</w:t>
      </w:r>
      <w:r w:rsidRPr="005571ED">
        <w:rPr>
          <w:b/>
          <w:bCs/>
        </w:rPr>
        <w:t xml:space="preserve"> </w:t>
      </w:r>
    </w:p>
    <w:p w:rsidR="0073303F" w:rsidRPr="000904E9" w:rsidRDefault="0073303F" w:rsidP="0096347D">
      <w:pPr>
        <w:spacing w:line="269" w:lineRule="auto"/>
        <w:ind w:left="720"/>
        <w:rPr>
          <w:rtl/>
        </w:rPr>
      </w:pPr>
      <w:bookmarkStart w:id="463" w:name="_Hlk155705232"/>
    </w:p>
    <w:p w:rsidR="009A1216" w:rsidRPr="00BE0131" w:rsidRDefault="009A1216" w:rsidP="0096347D">
      <w:pPr>
        <w:spacing w:line="269" w:lineRule="auto"/>
        <w:ind w:left="720"/>
        <w:rPr>
          <w:b/>
          <w:bCs/>
          <w:rtl/>
        </w:rPr>
      </w:pPr>
      <w:r w:rsidRPr="00BE0131">
        <w:rPr>
          <w:rFonts w:hint="eastAsia"/>
          <w:b/>
          <w:bCs/>
          <w:rtl/>
        </w:rPr>
        <w:t>עוד</w:t>
      </w:r>
      <w:r w:rsidRPr="00BE0131">
        <w:rPr>
          <w:b/>
          <w:bCs/>
          <w:rtl/>
        </w:rPr>
        <w:t xml:space="preserve"> </w:t>
      </w:r>
      <w:r w:rsidRPr="00BE0131">
        <w:rPr>
          <w:rFonts w:hint="eastAsia"/>
          <w:b/>
          <w:bCs/>
          <w:rtl/>
        </w:rPr>
        <w:t>נמצא</w:t>
      </w:r>
      <w:r w:rsidRPr="00BE0131">
        <w:rPr>
          <w:b/>
          <w:bCs/>
          <w:rtl/>
        </w:rPr>
        <w:t xml:space="preserve"> </w:t>
      </w:r>
      <w:r w:rsidRPr="00BE0131">
        <w:rPr>
          <w:rFonts w:hint="eastAsia"/>
          <w:b/>
          <w:bCs/>
          <w:rtl/>
        </w:rPr>
        <w:t>כי</w:t>
      </w:r>
      <w:r w:rsidRPr="00BE0131">
        <w:rPr>
          <w:b/>
          <w:bCs/>
          <w:rtl/>
        </w:rPr>
        <w:t xml:space="preserve"> </w:t>
      </w:r>
      <w:r w:rsidRPr="00BE0131">
        <w:rPr>
          <w:rFonts w:hint="eastAsia"/>
          <w:b/>
          <w:bCs/>
          <w:rtl/>
        </w:rPr>
        <w:t>בהיעדר</w:t>
      </w:r>
      <w:r w:rsidRPr="00BE0131">
        <w:rPr>
          <w:b/>
          <w:bCs/>
          <w:rtl/>
        </w:rPr>
        <w:t xml:space="preserve"> עיגון מסודר ומלא של מתווי ה</w:t>
      </w:r>
      <w:r w:rsidR="00DD1003">
        <w:rPr>
          <w:b/>
          <w:bCs/>
          <w:rtl/>
        </w:rPr>
        <w:t>התקנה</w:t>
      </w:r>
      <w:r w:rsidRPr="00BE0131">
        <w:rPr>
          <w:b/>
          <w:bCs/>
          <w:rtl/>
        </w:rPr>
        <w:t xml:space="preserve"> בנהלים והנחיות פנימיות, חטיבת הסייבר קבעה הנחיות סותרות. למשל, </w:t>
      </w:r>
      <w:r w:rsidRPr="00BE0131">
        <w:rPr>
          <w:rFonts w:hint="eastAsia"/>
          <w:b/>
          <w:bCs/>
          <w:rtl/>
        </w:rPr>
        <w:t>אותה</w:t>
      </w:r>
      <w:r w:rsidRPr="00BE0131">
        <w:rPr>
          <w:b/>
          <w:bCs/>
          <w:rtl/>
        </w:rPr>
        <w:t xml:space="preserve"> </w:t>
      </w:r>
      <w:r w:rsidRPr="00BE0131">
        <w:rPr>
          <w:rFonts w:hint="eastAsia"/>
          <w:b/>
          <w:bCs/>
          <w:rtl/>
        </w:rPr>
        <w:t>הנחיה</w:t>
      </w:r>
      <w:r w:rsidRPr="00BE0131">
        <w:rPr>
          <w:b/>
          <w:bCs/>
          <w:rtl/>
        </w:rPr>
        <w:t xml:space="preserve"> משנת 2021</w:t>
      </w:r>
      <w:r>
        <w:rPr>
          <w:rFonts w:hint="cs"/>
          <w:b/>
          <w:bCs/>
          <w:rtl/>
        </w:rPr>
        <w:t>,</w:t>
      </w:r>
      <w:r>
        <w:rPr>
          <w:b/>
          <w:bCs/>
          <w:rtl/>
        </w:rPr>
        <w:t xml:space="preserve"> </w:t>
      </w:r>
      <w:r w:rsidRPr="00BE0131">
        <w:rPr>
          <w:b/>
          <w:bCs/>
          <w:rtl/>
        </w:rPr>
        <w:t xml:space="preserve">ובה פירוט דרך ביצוע של </w:t>
      </w:r>
      <w:r w:rsidR="00DD1003">
        <w:rPr>
          <w:b/>
          <w:bCs/>
          <w:rtl/>
        </w:rPr>
        <w:t>התקנה</w:t>
      </w:r>
      <w:r w:rsidRPr="00BE0131">
        <w:rPr>
          <w:b/>
          <w:bCs/>
          <w:rtl/>
        </w:rPr>
        <w:t xml:space="preserve"> שנפסלה בדיעבד</w:t>
      </w:r>
      <w:r>
        <w:rPr>
          <w:b/>
          <w:bCs/>
          <w:rtl/>
        </w:rPr>
        <w:t xml:space="preserve"> </w:t>
      </w:r>
      <w:r w:rsidRPr="00BE0131">
        <w:rPr>
          <w:b/>
          <w:bCs/>
          <w:rtl/>
        </w:rPr>
        <w:t>נכתבה בניגוד להנחיה פנימית אחרת של החטיבה משנת 2017</w:t>
      </w:r>
      <w:r w:rsidRPr="00BE0131">
        <w:rPr>
          <w:rStyle w:val="af"/>
          <w:b/>
          <w:bCs/>
          <w:rtl/>
        </w:rPr>
        <w:footnoteReference w:id="179"/>
      </w:r>
      <w:r w:rsidRPr="00BE0131">
        <w:rPr>
          <w:b/>
          <w:bCs/>
          <w:rtl/>
        </w:rPr>
        <w:t xml:space="preserve">, </w:t>
      </w:r>
      <w:r w:rsidRPr="00BE0131">
        <w:rPr>
          <w:rFonts w:hint="eastAsia"/>
          <w:b/>
          <w:bCs/>
          <w:rtl/>
        </w:rPr>
        <w:t>שאסרה</w:t>
      </w:r>
      <w:r w:rsidRPr="00BE0131">
        <w:rPr>
          <w:b/>
          <w:bCs/>
          <w:rtl/>
        </w:rPr>
        <w:t xml:space="preserve"> </w:t>
      </w:r>
      <w:r w:rsidRPr="00BE0131">
        <w:rPr>
          <w:rFonts w:hint="eastAsia"/>
          <w:b/>
          <w:bCs/>
          <w:rtl/>
        </w:rPr>
        <w:t>מלכתחילה</w:t>
      </w:r>
      <w:r w:rsidRPr="00BE0131">
        <w:rPr>
          <w:b/>
          <w:bCs/>
          <w:rtl/>
        </w:rPr>
        <w:t xml:space="preserve"> </w:t>
      </w:r>
      <w:r w:rsidRPr="00BE0131">
        <w:rPr>
          <w:rFonts w:hint="eastAsia"/>
          <w:b/>
          <w:bCs/>
          <w:rtl/>
        </w:rPr>
        <w:t>להפיק</w:t>
      </w:r>
      <w:r w:rsidRPr="00BE0131">
        <w:rPr>
          <w:b/>
          <w:bCs/>
          <w:rtl/>
        </w:rPr>
        <w:t xml:space="preserve"> </w:t>
      </w:r>
      <w:r w:rsidRPr="00BE0131">
        <w:rPr>
          <w:rFonts w:hint="eastAsia"/>
          <w:b/>
          <w:bCs/>
          <w:rtl/>
        </w:rPr>
        <w:t>את</w:t>
      </w:r>
      <w:r w:rsidRPr="00BE0131">
        <w:rPr>
          <w:b/>
          <w:bCs/>
          <w:rtl/>
        </w:rPr>
        <w:t xml:space="preserve"> </w:t>
      </w:r>
      <w:r w:rsidRPr="00BE0131">
        <w:rPr>
          <w:rFonts w:hint="eastAsia"/>
          <w:b/>
          <w:bCs/>
          <w:rtl/>
        </w:rPr>
        <w:t>התוצרים</w:t>
      </w:r>
      <w:r w:rsidRPr="00BE0131">
        <w:rPr>
          <w:b/>
          <w:bCs/>
          <w:rtl/>
        </w:rPr>
        <w:t xml:space="preserve"> </w:t>
      </w:r>
      <w:r w:rsidRPr="00BE0131">
        <w:rPr>
          <w:rFonts w:hint="eastAsia"/>
          <w:b/>
          <w:bCs/>
          <w:rtl/>
        </w:rPr>
        <w:t>הללו</w:t>
      </w:r>
      <w:r w:rsidRPr="00BE0131">
        <w:rPr>
          <w:b/>
          <w:bCs/>
          <w:rtl/>
        </w:rPr>
        <w:t xml:space="preserve">, </w:t>
      </w:r>
      <w:r>
        <w:rPr>
          <w:rFonts w:hint="cs"/>
          <w:b/>
          <w:bCs/>
          <w:rtl/>
        </w:rPr>
        <w:t>ולפיכך</w:t>
      </w:r>
      <w:r w:rsidRPr="00BE0131">
        <w:rPr>
          <w:b/>
          <w:bCs/>
          <w:rtl/>
        </w:rPr>
        <w:t xml:space="preserve"> </w:t>
      </w:r>
      <w:r w:rsidRPr="00BE0131">
        <w:rPr>
          <w:rFonts w:hint="eastAsia"/>
          <w:b/>
          <w:bCs/>
          <w:rtl/>
        </w:rPr>
        <w:t>לא</w:t>
      </w:r>
      <w:r w:rsidRPr="00BE0131">
        <w:rPr>
          <w:b/>
          <w:bCs/>
          <w:rtl/>
        </w:rPr>
        <w:t xml:space="preserve"> </w:t>
      </w:r>
      <w:r w:rsidRPr="00BE0131">
        <w:rPr>
          <w:rFonts w:hint="eastAsia"/>
          <w:b/>
          <w:bCs/>
          <w:rtl/>
        </w:rPr>
        <w:t>ניתן</w:t>
      </w:r>
      <w:r w:rsidRPr="00BE0131">
        <w:rPr>
          <w:b/>
          <w:bCs/>
          <w:rtl/>
        </w:rPr>
        <w:t xml:space="preserve"> </w:t>
      </w:r>
      <w:r w:rsidRPr="00BE0131">
        <w:rPr>
          <w:rFonts w:hint="eastAsia"/>
          <w:b/>
          <w:bCs/>
          <w:rtl/>
        </w:rPr>
        <w:t>היה</w:t>
      </w:r>
      <w:r w:rsidRPr="00BE0131">
        <w:rPr>
          <w:b/>
          <w:bCs/>
          <w:rtl/>
        </w:rPr>
        <w:t xml:space="preserve"> </w:t>
      </w:r>
      <w:r w:rsidRPr="00BE0131">
        <w:rPr>
          <w:rFonts w:hint="eastAsia"/>
          <w:b/>
          <w:bCs/>
          <w:rtl/>
        </w:rPr>
        <w:t>להשתמש</w:t>
      </w:r>
      <w:r w:rsidRPr="00BE0131">
        <w:rPr>
          <w:b/>
          <w:bCs/>
          <w:rtl/>
        </w:rPr>
        <w:t xml:space="preserve"> </w:t>
      </w:r>
      <w:r w:rsidRPr="00BE0131">
        <w:rPr>
          <w:rFonts w:hint="eastAsia"/>
          <w:b/>
          <w:bCs/>
          <w:rtl/>
        </w:rPr>
        <w:t>בתוצרים</w:t>
      </w:r>
      <w:r w:rsidRPr="00BE0131">
        <w:rPr>
          <w:b/>
          <w:bCs/>
          <w:rtl/>
        </w:rPr>
        <w:t xml:space="preserve"> הללו לצורך ביצוע </w:t>
      </w:r>
      <w:r w:rsidR="00DD1003">
        <w:rPr>
          <w:rFonts w:hint="cs"/>
          <w:b/>
          <w:bCs/>
          <w:rtl/>
        </w:rPr>
        <w:t>ה</w:t>
      </w:r>
      <w:r w:rsidR="00DD1003">
        <w:rPr>
          <w:b/>
          <w:bCs/>
          <w:rtl/>
        </w:rPr>
        <w:t>התקנה</w:t>
      </w:r>
      <w:r w:rsidRPr="00BE0131">
        <w:rPr>
          <w:b/>
          <w:bCs/>
          <w:rtl/>
        </w:rPr>
        <w:t>.</w:t>
      </w:r>
    </w:p>
    <w:p w:rsidR="009A1216" w:rsidRDefault="009A1216" w:rsidP="0096347D">
      <w:pPr>
        <w:pStyle w:val="a5"/>
        <w:spacing w:line="269" w:lineRule="auto"/>
        <w:ind w:left="1080"/>
        <w:rPr>
          <w:rtl/>
        </w:rPr>
      </w:pPr>
    </w:p>
    <w:p w:rsidR="009A1216" w:rsidRPr="005571ED" w:rsidRDefault="009A1216" w:rsidP="0096347D">
      <w:pPr>
        <w:spacing w:line="269" w:lineRule="auto"/>
        <w:ind w:left="720"/>
        <w:rPr>
          <w:b/>
          <w:bCs/>
          <w:rtl/>
        </w:rPr>
      </w:pPr>
      <w:r>
        <w:rPr>
          <w:rFonts w:hint="cs"/>
          <w:b/>
          <w:bCs/>
          <w:rtl/>
        </w:rPr>
        <w:t xml:space="preserve">פערים בתהליכי עיגון סדור של נהלים והנחיות, אף הביאו למצב שבו </w:t>
      </w:r>
      <w:r w:rsidRPr="005571ED">
        <w:rPr>
          <w:rFonts w:hint="eastAsia"/>
          <w:b/>
          <w:bCs/>
          <w:rtl/>
        </w:rPr>
        <w:t>חלק</w:t>
      </w:r>
      <w:r w:rsidRPr="005571ED">
        <w:rPr>
          <w:b/>
          <w:bCs/>
          <w:rtl/>
        </w:rPr>
        <w:t xml:space="preserve"> </w:t>
      </w:r>
      <w:r w:rsidRPr="005571ED">
        <w:rPr>
          <w:rFonts w:hint="eastAsia"/>
          <w:b/>
          <w:bCs/>
          <w:rtl/>
        </w:rPr>
        <w:t>מהנחיות</w:t>
      </w:r>
      <w:r>
        <w:rPr>
          <w:rFonts w:hint="cs"/>
          <w:b/>
          <w:bCs/>
          <w:rtl/>
        </w:rPr>
        <w:t xml:space="preserve"> החטיבה הפנימיות </w:t>
      </w:r>
      <w:r w:rsidRPr="005571ED">
        <w:rPr>
          <w:b/>
          <w:bCs/>
          <w:rtl/>
        </w:rPr>
        <w:t xml:space="preserve">שנכתבו </w:t>
      </w:r>
      <w:r w:rsidRPr="005571ED">
        <w:rPr>
          <w:rFonts w:hint="eastAsia"/>
          <w:b/>
          <w:bCs/>
          <w:rtl/>
        </w:rPr>
        <w:t>סתרו</w:t>
      </w:r>
      <w:r w:rsidRPr="005571ED">
        <w:rPr>
          <w:b/>
          <w:bCs/>
          <w:rtl/>
        </w:rPr>
        <w:t xml:space="preserve"> </w:t>
      </w:r>
      <w:r w:rsidRPr="005571ED">
        <w:rPr>
          <w:rFonts w:hint="eastAsia"/>
          <w:b/>
          <w:bCs/>
          <w:rtl/>
        </w:rPr>
        <w:t>האחת</w:t>
      </w:r>
      <w:r w:rsidRPr="005571ED">
        <w:rPr>
          <w:b/>
          <w:bCs/>
          <w:rtl/>
        </w:rPr>
        <w:t xml:space="preserve"> </w:t>
      </w:r>
      <w:r w:rsidRPr="005571ED">
        <w:rPr>
          <w:rFonts w:hint="eastAsia"/>
          <w:b/>
          <w:bCs/>
          <w:rtl/>
        </w:rPr>
        <w:t>את</w:t>
      </w:r>
      <w:r w:rsidRPr="005571ED">
        <w:rPr>
          <w:b/>
          <w:bCs/>
          <w:rtl/>
        </w:rPr>
        <w:t xml:space="preserve"> </w:t>
      </w:r>
      <w:r w:rsidRPr="005571ED">
        <w:rPr>
          <w:rFonts w:hint="eastAsia"/>
          <w:b/>
          <w:bCs/>
          <w:rtl/>
        </w:rPr>
        <w:t>השנייה</w:t>
      </w:r>
      <w:r w:rsidRPr="005571ED">
        <w:rPr>
          <w:b/>
          <w:bCs/>
          <w:rtl/>
        </w:rPr>
        <w:t xml:space="preserve">. </w:t>
      </w:r>
      <w:r w:rsidRPr="005571ED">
        <w:rPr>
          <w:rFonts w:hint="eastAsia"/>
          <w:b/>
          <w:bCs/>
          <w:rtl/>
        </w:rPr>
        <w:t>חומרת</w:t>
      </w:r>
      <w:r w:rsidRPr="005571ED">
        <w:rPr>
          <w:b/>
          <w:bCs/>
          <w:rtl/>
        </w:rPr>
        <w:t xml:space="preserve"> </w:t>
      </w:r>
      <w:r w:rsidRPr="005571ED">
        <w:rPr>
          <w:rFonts w:hint="eastAsia"/>
          <w:b/>
          <w:bCs/>
          <w:rtl/>
        </w:rPr>
        <w:t>ליקויי</w:t>
      </w:r>
      <w:r w:rsidRPr="005571ED">
        <w:rPr>
          <w:b/>
          <w:bCs/>
          <w:rtl/>
        </w:rPr>
        <w:t xml:space="preserve"> </w:t>
      </w:r>
      <w:r w:rsidRPr="005571ED">
        <w:rPr>
          <w:rFonts w:hint="eastAsia"/>
          <w:b/>
          <w:bCs/>
          <w:rtl/>
        </w:rPr>
        <w:t>אי</w:t>
      </w:r>
      <w:r w:rsidR="00184673">
        <w:rPr>
          <w:rFonts w:hint="cs"/>
          <w:b/>
          <w:bCs/>
          <w:rtl/>
        </w:rPr>
        <w:t>-</w:t>
      </w:r>
      <w:r w:rsidRPr="005571ED">
        <w:rPr>
          <w:rFonts w:hint="eastAsia"/>
          <w:b/>
          <w:bCs/>
          <w:rtl/>
        </w:rPr>
        <w:t>הסדרת</w:t>
      </w:r>
      <w:r w:rsidRPr="005571ED">
        <w:rPr>
          <w:b/>
          <w:bCs/>
          <w:rtl/>
        </w:rPr>
        <w:t xml:space="preserve"> </w:t>
      </w:r>
      <w:r w:rsidRPr="005571ED">
        <w:rPr>
          <w:rFonts w:hint="eastAsia"/>
          <w:b/>
          <w:bCs/>
          <w:rtl/>
        </w:rPr>
        <w:t>הנהלים</w:t>
      </w:r>
      <w:r w:rsidRPr="005571ED">
        <w:rPr>
          <w:b/>
          <w:bCs/>
          <w:rtl/>
        </w:rPr>
        <w:t xml:space="preserve"> </w:t>
      </w:r>
      <w:r w:rsidRPr="005571ED">
        <w:rPr>
          <w:rFonts w:hint="eastAsia"/>
          <w:b/>
          <w:bCs/>
          <w:rtl/>
        </w:rPr>
        <w:t>גוברת</w:t>
      </w:r>
      <w:r w:rsidRPr="005571ED">
        <w:rPr>
          <w:b/>
          <w:bCs/>
          <w:rtl/>
        </w:rPr>
        <w:t xml:space="preserve"> </w:t>
      </w:r>
      <w:r>
        <w:rPr>
          <w:rFonts w:hint="cs"/>
          <w:b/>
          <w:bCs/>
          <w:rtl/>
        </w:rPr>
        <w:t>ב</w:t>
      </w:r>
      <w:r w:rsidRPr="005571ED">
        <w:rPr>
          <w:rFonts w:hint="eastAsia"/>
          <w:b/>
          <w:bCs/>
          <w:rtl/>
        </w:rPr>
        <w:t>מקום</w:t>
      </w:r>
      <w:r w:rsidRPr="005571ED">
        <w:rPr>
          <w:b/>
          <w:bCs/>
          <w:rtl/>
        </w:rPr>
        <w:t xml:space="preserve"> </w:t>
      </w:r>
      <w:r>
        <w:rPr>
          <w:rFonts w:hint="cs"/>
          <w:b/>
          <w:bCs/>
          <w:rtl/>
        </w:rPr>
        <w:t>ש</w:t>
      </w:r>
      <w:r w:rsidRPr="005571ED">
        <w:rPr>
          <w:rFonts w:hint="eastAsia"/>
          <w:b/>
          <w:bCs/>
          <w:rtl/>
        </w:rPr>
        <w:t>בו</w:t>
      </w:r>
      <w:r w:rsidRPr="005571ED">
        <w:rPr>
          <w:b/>
          <w:bCs/>
          <w:rtl/>
        </w:rPr>
        <w:t xml:space="preserve"> </w:t>
      </w:r>
      <w:r w:rsidRPr="005571ED">
        <w:rPr>
          <w:rFonts w:hint="eastAsia"/>
          <w:b/>
          <w:bCs/>
          <w:rtl/>
        </w:rPr>
        <w:t>נמצא</w:t>
      </w:r>
      <w:r w:rsidRPr="005571ED">
        <w:rPr>
          <w:b/>
          <w:bCs/>
          <w:rtl/>
        </w:rPr>
        <w:t xml:space="preserve"> </w:t>
      </w:r>
      <w:r w:rsidRPr="005571ED">
        <w:rPr>
          <w:rFonts w:hint="eastAsia"/>
          <w:b/>
          <w:bCs/>
          <w:rtl/>
        </w:rPr>
        <w:t>בדיעבד</w:t>
      </w:r>
      <w:r w:rsidRPr="005571ED">
        <w:rPr>
          <w:b/>
          <w:bCs/>
          <w:rtl/>
        </w:rPr>
        <w:t xml:space="preserve"> </w:t>
      </w:r>
      <w:r w:rsidRPr="005571ED">
        <w:rPr>
          <w:rFonts w:hint="eastAsia"/>
          <w:b/>
          <w:bCs/>
          <w:rtl/>
        </w:rPr>
        <w:t>כי</w:t>
      </w:r>
      <w:r w:rsidRPr="005571ED">
        <w:rPr>
          <w:b/>
          <w:bCs/>
          <w:rtl/>
        </w:rPr>
        <w:t xml:space="preserve"> </w:t>
      </w:r>
      <w:r w:rsidRPr="005571ED">
        <w:rPr>
          <w:rFonts w:hint="eastAsia"/>
          <w:b/>
          <w:bCs/>
          <w:rtl/>
        </w:rPr>
        <w:t>אותן</w:t>
      </w:r>
      <w:r w:rsidRPr="005571ED">
        <w:rPr>
          <w:b/>
          <w:bCs/>
          <w:rtl/>
        </w:rPr>
        <w:t xml:space="preserve"> הנחיות </w:t>
      </w:r>
      <w:r>
        <w:rPr>
          <w:rFonts w:hint="cs"/>
          <w:b/>
          <w:bCs/>
          <w:rtl/>
        </w:rPr>
        <w:t>התירו</w:t>
      </w:r>
      <w:r w:rsidRPr="005571ED">
        <w:rPr>
          <w:b/>
          <w:bCs/>
          <w:rtl/>
        </w:rPr>
        <w:t xml:space="preserve"> ביצוע פעולות </w:t>
      </w:r>
      <w:r w:rsidR="00456366">
        <w:rPr>
          <w:rFonts w:hint="cs"/>
          <w:b/>
          <w:bCs/>
          <w:rtl/>
        </w:rPr>
        <w:t>אסורות</w:t>
      </w:r>
      <w:r w:rsidRPr="005571ED">
        <w:rPr>
          <w:b/>
          <w:bCs/>
          <w:rtl/>
        </w:rPr>
        <w:t xml:space="preserve">. </w:t>
      </w:r>
    </w:p>
    <w:bookmarkEnd w:id="463"/>
    <w:p w:rsidR="009A1216" w:rsidRPr="00F702C2" w:rsidRDefault="009A1216" w:rsidP="0096347D">
      <w:pPr>
        <w:spacing w:line="269" w:lineRule="auto"/>
        <w:ind w:left="720"/>
        <w:rPr>
          <w:szCs w:val="20"/>
          <w:rtl/>
        </w:rPr>
      </w:pPr>
    </w:p>
    <w:bookmarkEnd w:id="454"/>
    <w:p w:rsidR="009A1216" w:rsidRDefault="009A1216" w:rsidP="0096347D">
      <w:pPr>
        <w:pStyle w:val="5"/>
        <w:numPr>
          <w:ilvl w:val="0"/>
          <w:numId w:val="26"/>
        </w:numPr>
        <w:spacing w:line="269" w:lineRule="auto"/>
        <w:ind w:left="731"/>
        <w:rPr>
          <w:rtl/>
        </w:rPr>
      </w:pPr>
      <w:r>
        <w:rPr>
          <w:rFonts w:hint="cs"/>
          <w:rtl/>
        </w:rPr>
        <w:t xml:space="preserve">כלים טכנולוגיים שלא הוסדרו בהנחיות </w:t>
      </w:r>
    </w:p>
    <w:p w:rsidR="0073303F" w:rsidRPr="000904E9" w:rsidRDefault="0073303F" w:rsidP="0096347D">
      <w:pPr>
        <w:spacing w:line="269" w:lineRule="auto"/>
        <w:ind w:left="720"/>
        <w:rPr>
          <w:rtl/>
        </w:rPr>
      </w:pPr>
    </w:p>
    <w:p w:rsidR="009A1216" w:rsidRDefault="009A1216" w:rsidP="0096347D">
      <w:pPr>
        <w:spacing w:line="269" w:lineRule="auto"/>
        <w:ind w:left="720"/>
        <w:rPr>
          <w:rtl/>
        </w:rPr>
      </w:pPr>
      <w:r>
        <w:rPr>
          <w:rFonts w:hint="cs"/>
          <w:rtl/>
        </w:rPr>
        <w:t>כדי שנהלים והנחיות יסדירו את ביצוע מתווי ה</w:t>
      </w:r>
      <w:r w:rsidR="00DD1003">
        <w:rPr>
          <w:rFonts w:hint="cs"/>
          <w:rtl/>
        </w:rPr>
        <w:t>התקנה</w:t>
      </w:r>
      <w:r>
        <w:rPr>
          <w:rFonts w:hint="cs"/>
          <w:rtl/>
        </w:rPr>
        <w:t xml:space="preserve"> במלואם, הם נדרשים להתייחס לפעולות המבוצעות על ידי השוטר מחד גיסא, ולאופן השימוש בכלים טכנולוגיים התומכים בביצוע ה</w:t>
      </w:r>
      <w:r w:rsidR="00DD1003">
        <w:rPr>
          <w:rFonts w:hint="cs"/>
          <w:rtl/>
        </w:rPr>
        <w:t>התקנה</w:t>
      </w:r>
      <w:r>
        <w:rPr>
          <w:rFonts w:hint="cs"/>
          <w:rtl/>
        </w:rPr>
        <w:t xml:space="preserve">, מאידך גיסא. לפיכך, נהלים אלו נדרשים לפרט באילו כלים ניתן להשתמש לצורך ביצוע מתווה </w:t>
      </w:r>
      <w:r w:rsidR="00DD1003">
        <w:rPr>
          <w:rFonts w:hint="cs"/>
          <w:rtl/>
        </w:rPr>
        <w:t>התקנה</w:t>
      </w:r>
      <w:r>
        <w:rPr>
          <w:rFonts w:hint="cs"/>
          <w:rtl/>
        </w:rPr>
        <w:t xml:space="preserve"> מסוים. </w:t>
      </w:r>
    </w:p>
    <w:p w:rsidR="00F202B8" w:rsidRPr="000904E9" w:rsidRDefault="00F202B8" w:rsidP="0096347D">
      <w:pPr>
        <w:spacing w:line="269" w:lineRule="auto"/>
        <w:ind w:left="1080"/>
        <w:rPr>
          <w:rtl/>
        </w:rPr>
      </w:pPr>
    </w:p>
    <w:p w:rsidR="009A1216" w:rsidRDefault="009A1216" w:rsidP="0096347D">
      <w:pPr>
        <w:spacing w:line="269" w:lineRule="auto"/>
        <w:ind w:left="720"/>
        <w:rPr>
          <w:rtl/>
        </w:rPr>
      </w:pPr>
      <w:r w:rsidRPr="00F702C2">
        <w:rPr>
          <w:rFonts w:hint="cs"/>
          <w:rtl/>
        </w:rPr>
        <w:t xml:space="preserve">להלן סיכום הבדיקה </w:t>
      </w:r>
      <w:r>
        <w:rPr>
          <w:rFonts w:hint="cs"/>
          <w:rtl/>
        </w:rPr>
        <w:t>שביצע</w:t>
      </w:r>
      <w:r w:rsidRPr="00F702C2">
        <w:rPr>
          <w:rFonts w:hint="cs"/>
          <w:rtl/>
        </w:rPr>
        <w:t xml:space="preserve"> משרד מבקר המדינה בנוגע </w:t>
      </w:r>
      <w:r>
        <w:rPr>
          <w:rFonts w:hint="cs"/>
          <w:rtl/>
        </w:rPr>
        <w:t>לאזכור</w:t>
      </w:r>
      <w:r w:rsidRPr="00F702C2">
        <w:rPr>
          <w:rFonts w:hint="cs"/>
          <w:rtl/>
        </w:rPr>
        <w:t xml:space="preserve"> </w:t>
      </w:r>
      <w:r>
        <w:rPr>
          <w:rFonts w:hint="cs"/>
          <w:rtl/>
        </w:rPr>
        <w:t xml:space="preserve">של שימוש בכלים טכנולוגיים ספציפיים לצורך ביצוע </w:t>
      </w:r>
      <w:r w:rsidRPr="00F702C2">
        <w:rPr>
          <w:rFonts w:hint="cs"/>
          <w:rtl/>
        </w:rPr>
        <w:t xml:space="preserve">מתווי </w:t>
      </w:r>
      <w:r w:rsidR="00DD1003">
        <w:rPr>
          <w:rFonts w:hint="cs"/>
          <w:rtl/>
        </w:rPr>
        <w:t>התקנה</w:t>
      </w:r>
      <w:r>
        <w:rPr>
          <w:rFonts w:hint="cs"/>
          <w:rtl/>
        </w:rPr>
        <w:t xml:space="preserve"> בעשר ההנחיות של חטיבת הסייבר ולפירוט של אופן השימוש בכלים, כלומר, הפעולות המותרות והאסורות לביצוע באמצעותם:</w:t>
      </w:r>
    </w:p>
    <w:p w:rsidR="00F202B8" w:rsidRDefault="00F202B8" w:rsidP="00604C3D">
      <w:pPr>
        <w:spacing w:line="269" w:lineRule="auto"/>
        <w:jc w:val="center"/>
        <w:rPr>
          <w:rtl/>
        </w:rPr>
      </w:pPr>
    </w:p>
    <w:p w:rsidR="009B5D2E" w:rsidRDefault="009B5D2E">
      <w:pPr>
        <w:bidi w:val="0"/>
        <w:spacing w:after="200" w:line="276" w:lineRule="auto"/>
        <w:rPr>
          <w:rtl/>
        </w:rPr>
      </w:pPr>
      <w:r>
        <w:rPr>
          <w:rtl/>
        </w:rPr>
        <w:br w:type="page"/>
      </w:r>
    </w:p>
    <w:p w:rsidR="009A1216" w:rsidRPr="00F36D49" w:rsidRDefault="008A67C6" w:rsidP="00604C3D">
      <w:pPr>
        <w:spacing w:line="269" w:lineRule="auto"/>
        <w:jc w:val="center"/>
        <w:rPr>
          <w:b/>
          <w:bCs/>
          <w:rtl/>
        </w:rPr>
      </w:pPr>
      <w:r>
        <w:rPr>
          <w:rFonts w:hint="cs"/>
          <w:rtl/>
        </w:rPr>
        <w:t>לוח</w:t>
      </w:r>
      <w:r w:rsidRPr="00F36D49">
        <w:rPr>
          <w:rFonts w:hint="cs"/>
          <w:rtl/>
        </w:rPr>
        <w:t xml:space="preserve"> </w:t>
      </w:r>
      <w:r w:rsidRPr="00F202B8">
        <w:rPr>
          <w:rFonts w:ascii="David" w:hAnsi="David"/>
          <w:sz w:val="24"/>
          <w:szCs w:val="32"/>
        </w:rPr>
        <w:t>11</w:t>
      </w:r>
      <w:r w:rsidR="009A1216">
        <w:rPr>
          <w:rFonts w:hint="cs"/>
          <w:rtl/>
        </w:rPr>
        <w:t xml:space="preserve">: </w:t>
      </w:r>
      <w:r w:rsidR="009A1216" w:rsidRPr="00F36D49">
        <w:rPr>
          <w:rFonts w:hint="cs"/>
          <w:b/>
          <w:bCs/>
          <w:rtl/>
        </w:rPr>
        <w:t xml:space="preserve">בחינת פירוט דרך ביצוע מתווי </w:t>
      </w:r>
      <w:r w:rsidR="00DD1003">
        <w:rPr>
          <w:rFonts w:hint="cs"/>
          <w:b/>
          <w:bCs/>
          <w:rtl/>
        </w:rPr>
        <w:t>התקנה</w:t>
      </w:r>
      <w:r w:rsidR="009A1216" w:rsidRPr="00F36D49">
        <w:rPr>
          <w:rFonts w:hint="cs"/>
          <w:b/>
          <w:bCs/>
          <w:rtl/>
        </w:rPr>
        <w:t xml:space="preserve"> באמצעות כלים טכנולוגיים </w:t>
      </w:r>
    </w:p>
    <w:p w:rsidR="009A1216" w:rsidRPr="00F36D49" w:rsidRDefault="009A1216" w:rsidP="00604C3D">
      <w:pPr>
        <w:spacing w:line="269" w:lineRule="auto"/>
        <w:jc w:val="center"/>
        <w:rPr>
          <w:b/>
          <w:bCs/>
          <w:rtl/>
        </w:rPr>
      </w:pPr>
      <w:r w:rsidRPr="00F36D49">
        <w:rPr>
          <w:rFonts w:hint="cs"/>
          <w:b/>
          <w:bCs/>
          <w:rtl/>
        </w:rPr>
        <w:t>בהנחיות החטיבה</w:t>
      </w:r>
    </w:p>
    <w:tbl>
      <w:tblPr>
        <w:tblStyle w:val="15"/>
        <w:bidiVisual/>
        <w:tblW w:w="8221" w:type="dxa"/>
        <w:tblInd w:w="589" w:type="dxa"/>
        <w:tblLook w:val="04A0" w:firstRow="1" w:lastRow="0" w:firstColumn="1" w:lastColumn="0" w:noHBand="0" w:noVBand="1"/>
      </w:tblPr>
      <w:tblGrid>
        <w:gridCol w:w="1701"/>
        <w:gridCol w:w="3260"/>
        <w:gridCol w:w="3260"/>
      </w:tblGrid>
      <w:tr w:rsidR="009A1216" w:rsidRPr="007D3E8D" w:rsidTr="00212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auto"/>
              <w:left w:val="single" w:sz="18" w:space="0" w:color="auto"/>
              <w:bottom w:val="single" w:sz="18" w:space="0" w:color="auto"/>
              <w:right w:val="single" w:sz="18" w:space="0" w:color="auto"/>
            </w:tcBorders>
          </w:tcPr>
          <w:p w:rsidR="009A1216" w:rsidRPr="007D3E8D" w:rsidRDefault="007D3E8D" w:rsidP="00604C3D">
            <w:pPr>
              <w:spacing w:line="269" w:lineRule="auto"/>
              <w:jc w:val="center"/>
              <w:rPr>
                <w:sz w:val="22"/>
                <w:szCs w:val="22"/>
                <w:rtl/>
              </w:rPr>
            </w:pPr>
            <w:r w:rsidRPr="007D3E8D">
              <w:rPr>
                <w:rFonts w:hint="cs"/>
                <w:sz w:val="22"/>
                <w:szCs w:val="22"/>
                <w:rtl/>
              </w:rPr>
              <w:t>ה</w:t>
            </w:r>
            <w:r w:rsidR="009A1216" w:rsidRPr="007D3E8D">
              <w:rPr>
                <w:rFonts w:hint="cs"/>
                <w:sz w:val="22"/>
                <w:szCs w:val="22"/>
                <w:rtl/>
              </w:rPr>
              <w:t xml:space="preserve">כלי </w:t>
            </w:r>
            <w:r w:rsidRPr="007D3E8D">
              <w:rPr>
                <w:rFonts w:hint="cs"/>
                <w:sz w:val="22"/>
                <w:szCs w:val="22"/>
                <w:rtl/>
              </w:rPr>
              <w:t>ה</w:t>
            </w:r>
            <w:r w:rsidR="00D6431B" w:rsidRPr="007D3E8D">
              <w:rPr>
                <w:rFonts w:hint="cs"/>
                <w:sz w:val="22"/>
                <w:szCs w:val="22"/>
                <w:rtl/>
              </w:rPr>
              <w:t>טכנולוגי</w:t>
            </w:r>
          </w:p>
        </w:tc>
        <w:tc>
          <w:tcPr>
            <w:tcW w:w="3260" w:type="dxa"/>
            <w:tcBorders>
              <w:top w:val="single" w:sz="18" w:space="0" w:color="auto"/>
              <w:left w:val="single" w:sz="18" w:space="0" w:color="auto"/>
              <w:bottom w:val="single" w:sz="18" w:space="0" w:color="auto"/>
            </w:tcBorders>
          </w:tcPr>
          <w:p w:rsidR="009A1216" w:rsidRPr="007D3E8D" w:rsidRDefault="009A1216" w:rsidP="00604C3D">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 xml:space="preserve">מוזכר </w:t>
            </w:r>
            <w:r w:rsidR="00D6431B" w:rsidRPr="007D3E8D">
              <w:rPr>
                <w:rFonts w:hint="cs"/>
                <w:sz w:val="22"/>
                <w:szCs w:val="22"/>
                <w:rtl/>
              </w:rPr>
              <w:t>בנוהל או בהנחיה</w:t>
            </w:r>
            <w:r w:rsidRPr="007D3E8D">
              <w:rPr>
                <w:rFonts w:hint="cs"/>
                <w:sz w:val="22"/>
                <w:szCs w:val="22"/>
                <w:rtl/>
              </w:rPr>
              <w:t xml:space="preserve"> של המשטרה</w:t>
            </w:r>
          </w:p>
        </w:tc>
        <w:tc>
          <w:tcPr>
            <w:tcW w:w="3260" w:type="dxa"/>
            <w:tcBorders>
              <w:top w:val="single" w:sz="18" w:space="0" w:color="auto"/>
              <w:bottom w:val="single" w:sz="18" w:space="0" w:color="auto"/>
              <w:right w:val="single" w:sz="18" w:space="0" w:color="auto"/>
            </w:tcBorders>
          </w:tcPr>
          <w:p w:rsidR="009A1216" w:rsidRPr="007D3E8D" w:rsidRDefault="009A1216" w:rsidP="00604C3D">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הפעולות המותרות והאסורות לביצוע</w:t>
            </w:r>
            <w:r w:rsidR="006949B3" w:rsidRPr="007D3E8D">
              <w:rPr>
                <w:rFonts w:hint="cs"/>
                <w:sz w:val="22"/>
                <w:szCs w:val="22"/>
                <w:rtl/>
              </w:rPr>
              <w:t xml:space="preserve"> מפורטות בהנחיה</w:t>
            </w:r>
          </w:p>
        </w:tc>
      </w:tr>
      <w:tr w:rsidR="009A1216" w:rsidRPr="007D3E8D" w:rsidTr="0021269D">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auto"/>
              <w:left w:val="single" w:sz="18" w:space="0" w:color="auto"/>
              <w:right w:val="single" w:sz="18" w:space="0" w:color="auto"/>
            </w:tcBorders>
          </w:tcPr>
          <w:p w:rsidR="009A1216" w:rsidRPr="007D3E8D" w:rsidRDefault="009A1216" w:rsidP="00604C3D">
            <w:pPr>
              <w:spacing w:line="269" w:lineRule="auto"/>
              <w:jc w:val="center"/>
              <w:rPr>
                <w:i/>
                <w:iCs/>
                <w:sz w:val="22"/>
                <w:szCs w:val="22"/>
                <w:rtl/>
              </w:rPr>
            </w:pPr>
            <w:r w:rsidRPr="007D3E8D">
              <w:rPr>
                <w:rFonts w:hint="cs"/>
                <w:i/>
                <w:iCs/>
                <w:sz w:val="22"/>
                <w:szCs w:val="22"/>
                <w:rtl/>
              </w:rPr>
              <w:t>א</w:t>
            </w:r>
          </w:p>
        </w:tc>
        <w:tc>
          <w:tcPr>
            <w:tcW w:w="3260" w:type="dxa"/>
            <w:tcBorders>
              <w:top w:val="single" w:sz="18" w:space="0" w:color="auto"/>
              <w:left w:val="single" w:sz="18" w:space="0" w:color="auto"/>
            </w:tcBorders>
            <w:shd w:val="clear" w:color="auto" w:fill="DDDB87" w:themeFill="accent3"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כן</w:t>
            </w:r>
          </w:p>
        </w:tc>
        <w:tc>
          <w:tcPr>
            <w:tcW w:w="3260" w:type="dxa"/>
            <w:tcBorders>
              <w:top w:val="single" w:sz="18" w:space="0" w:color="auto"/>
              <w:right w:val="single" w:sz="18" w:space="0" w:color="auto"/>
            </w:tcBorders>
            <w:shd w:val="clear" w:color="auto" w:fill="DDDB87" w:themeFill="accent3"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כן</w:t>
            </w:r>
          </w:p>
        </w:tc>
      </w:tr>
      <w:tr w:rsidR="009A1216" w:rsidRPr="007D3E8D" w:rsidTr="0021269D">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7D3E8D" w:rsidRDefault="009A1216" w:rsidP="00604C3D">
            <w:pPr>
              <w:spacing w:line="269" w:lineRule="auto"/>
              <w:jc w:val="center"/>
              <w:rPr>
                <w:i/>
                <w:iCs/>
                <w:sz w:val="22"/>
                <w:szCs w:val="22"/>
                <w:rtl/>
              </w:rPr>
            </w:pPr>
            <w:r w:rsidRPr="007D3E8D">
              <w:rPr>
                <w:rFonts w:hint="cs"/>
                <w:i/>
                <w:iCs/>
                <w:sz w:val="22"/>
                <w:szCs w:val="22"/>
                <w:rtl/>
              </w:rPr>
              <w:t>ב</w:t>
            </w:r>
          </w:p>
        </w:tc>
        <w:tc>
          <w:tcPr>
            <w:tcW w:w="3260" w:type="dxa"/>
            <w:tcBorders>
              <w:lef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c>
          <w:tcPr>
            <w:tcW w:w="3260" w:type="dxa"/>
            <w:tcBorders>
              <w:righ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r>
      <w:tr w:rsidR="009A1216" w:rsidRPr="007D3E8D" w:rsidTr="0021269D">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7D3E8D" w:rsidRDefault="009A1216" w:rsidP="00604C3D">
            <w:pPr>
              <w:spacing w:line="269" w:lineRule="auto"/>
              <w:jc w:val="center"/>
              <w:rPr>
                <w:i/>
                <w:iCs/>
                <w:sz w:val="22"/>
                <w:szCs w:val="22"/>
                <w:rtl/>
              </w:rPr>
            </w:pPr>
            <w:r w:rsidRPr="007D3E8D">
              <w:rPr>
                <w:rFonts w:hint="cs"/>
                <w:i/>
                <w:iCs/>
                <w:sz w:val="22"/>
                <w:szCs w:val="22"/>
                <w:rtl/>
              </w:rPr>
              <w:t>ג</w:t>
            </w:r>
          </w:p>
        </w:tc>
        <w:tc>
          <w:tcPr>
            <w:tcW w:w="3260" w:type="dxa"/>
            <w:tcBorders>
              <w:lef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c>
          <w:tcPr>
            <w:tcW w:w="3260" w:type="dxa"/>
            <w:tcBorders>
              <w:righ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r>
      <w:tr w:rsidR="009A1216" w:rsidRPr="007D3E8D" w:rsidTr="0021269D">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7D3E8D" w:rsidRDefault="009A1216" w:rsidP="00604C3D">
            <w:pPr>
              <w:spacing w:line="269" w:lineRule="auto"/>
              <w:jc w:val="center"/>
              <w:rPr>
                <w:i/>
                <w:iCs/>
                <w:sz w:val="22"/>
                <w:szCs w:val="22"/>
                <w:rtl/>
              </w:rPr>
            </w:pPr>
            <w:r w:rsidRPr="007D3E8D">
              <w:rPr>
                <w:rFonts w:hint="cs"/>
                <w:i/>
                <w:iCs/>
                <w:sz w:val="22"/>
                <w:szCs w:val="22"/>
                <w:rtl/>
              </w:rPr>
              <w:t>ד</w:t>
            </w:r>
          </w:p>
        </w:tc>
        <w:tc>
          <w:tcPr>
            <w:tcW w:w="3260" w:type="dxa"/>
            <w:tcBorders>
              <w:lef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c>
          <w:tcPr>
            <w:tcW w:w="3260" w:type="dxa"/>
            <w:tcBorders>
              <w:righ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r>
      <w:tr w:rsidR="009A1216" w:rsidRPr="007D3E8D" w:rsidTr="0021269D">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right w:val="single" w:sz="18" w:space="0" w:color="auto"/>
            </w:tcBorders>
          </w:tcPr>
          <w:p w:rsidR="009A1216" w:rsidRPr="007D3E8D" w:rsidRDefault="009A1216" w:rsidP="00604C3D">
            <w:pPr>
              <w:spacing w:line="269" w:lineRule="auto"/>
              <w:jc w:val="center"/>
              <w:rPr>
                <w:i/>
                <w:iCs/>
                <w:sz w:val="22"/>
                <w:szCs w:val="22"/>
                <w:rtl/>
              </w:rPr>
            </w:pPr>
            <w:r w:rsidRPr="007D3E8D">
              <w:rPr>
                <w:rFonts w:hint="cs"/>
                <w:i/>
                <w:iCs/>
                <w:sz w:val="22"/>
                <w:szCs w:val="22"/>
                <w:rtl/>
              </w:rPr>
              <w:t>ה</w:t>
            </w:r>
          </w:p>
        </w:tc>
        <w:tc>
          <w:tcPr>
            <w:tcW w:w="3260" w:type="dxa"/>
            <w:tcBorders>
              <w:lef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c>
          <w:tcPr>
            <w:tcW w:w="3260" w:type="dxa"/>
            <w:tcBorders>
              <w:righ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r>
      <w:tr w:rsidR="009A1216" w:rsidRPr="007D3E8D" w:rsidTr="0021269D">
        <w:tc>
          <w:tcPr>
            <w:cnfStyle w:val="001000000000" w:firstRow="0" w:lastRow="0" w:firstColumn="1" w:lastColumn="0" w:oddVBand="0" w:evenVBand="0" w:oddHBand="0" w:evenHBand="0" w:firstRowFirstColumn="0" w:firstRowLastColumn="0" w:lastRowFirstColumn="0" w:lastRowLastColumn="0"/>
            <w:tcW w:w="1701" w:type="dxa"/>
            <w:tcBorders>
              <w:left w:val="single" w:sz="18" w:space="0" w:color="auto"/>
              <w:bottom w:val="single" w:sz="18" w:space="0" w:color="auto"/>
              <w:right w:val="single" w:sz="18" w:space="0" w:color="auto"/>
            </w:tcBorders>
          </w:tcPr>
          <w:p w:rsidR="009A1216" w:rsidRPr="007D3E8D" w:rsidRDefault="009A1216" w:rsidP="00604C3D">
            <w:pPr>
              <w:spacing w:line="269" w:lineRule="auto"/>
              <w:jc w:val="center"/>
              <w:rPr>
                <w:i/>
                <w:iCs/>
                <w:sz w:val="22"/>
                <w:szCs w:val="22"/>
                <w:rtl/>
              </w:rPr>
            </w:pPr>
            <w:r w:rsidRPr="007D3E8D">
              <w:rPr>
                <w:rFonts w:hint="cs"/>
                <w:i/>
                <w:iCs/>
                <w:sz w:val="22"/>
                <w:szCs w:val="22"/>
                <w:rtl/>
              </w:rPr>
              <w:t>ו</w:t>
            </w:r>
          </w:p>
        </w:tc>
        <w:tc>
          <w:tcPr>
            <w:tcW w:w="3260" w:type="dxa"/>
            <w:tcBorders>
              <w:left w:val="single" w:sz="18" w:space="0" w:color="auto"/>
              <w:bottom w:val="single" w:sz="18" w:space="0" w:color="auto"/>
            </w:tcBorders>
            <w:shd w:val="clear" w:color="auto" w:fill="DDDB87" w:themeFill="accent3"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כן</w:t>
            </w:r>
          </w:p>
        </w:tc>
        <w:tc>
          <w:tcPr>
            <w:tcW w:w="3260" w:type="dxa"/>
            <w:tcBorders>
              <w:bottom w:val="single" w:sz="18" w:space="0" w:color="auto"/>
              <w:right w:val="single" w:sz="18" w:space="0" w:color="auto"/>
            </w:tcBorders>
            <w:shd w:val="clear" w:color="auto" w:fill="EBBF7D" w:themeFill="accent2" w:themeFillTint="99"/>
          </w:tcPr>
          <w:p w:rsidR="009A1216" w:rsidRPr="007D3E8D" w:rsidRDefault="009A1216" w:rsidP="00604C3D">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7D3E8D">
              <w:rPr>
                <w:rFonts w:hint="cs"/>
                <w:sz w:val="22"/>
                <w:szCs w:val="22"/>
                <w:rtl/>
              </w:rPr>
              <w:t>לא</w:t>
            </w:r>
          </w:p>
        </w:tc>
      </w:tr>
    </w:tbl>
    <w:p w:rsidR="009A1216" w:rsidRDefault="009A1216" w:rsidP="00604C3D">
      <w:pPr>
        <w:spacing w:line="269" w:lineRule="auto"/>
        <w:jc w:val="left"/>
        <w:rPr>
          <w:b/>
          <w:bCs/>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sidR="007D3E8D">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7D3E8D">
        <w:rPr>
          <w:rFonts w:hint="cs"/>
          <w:szCs w:val="20"/>
          <w:rtl/>
        </w:rPr>
        <w:t>.</w:t>
      </w:r>
    </w:p>
    <w:p w:rsidR="00263D2F" w:rsidRDefault="00263D2F" w:rsidP="00604C3D">
      <w:pPr>
        <w:pStyle w:val="a5"/>
        <w:spacing w:line="269" w:lineRule="auto"/>
        <w:ind w:left="0"/>
        <w:rPr>
          <w:rtl/>
        </w:rPr>
      </w:pPr>
    </w:p>
    <w:p w:rsidR="009A1216" w:rsidRDefault="009A1216" w:rsidP="0096347D">
      <w:pPr>
        <w:spacing w:line="269" w:lineRule="auto"/>
        <w:ind w:left="720"/>
        <w:rPr>
          <w:rtl/>
        </w:rPr>
      </w:pPr>
      <w:r w:rsidRPr="0002142D">
        <w:rPr>
          <w:b/>
          <w:bCs/>
          <w:rtl/>
        </w:rPr>
        <w:t xml:space="preserve">נמצא כי חטיבת הסייבר </w:t>
      </w:r>
      <w:r w:rsidRPr="004F36D2">
        <w:rPr>
          <w:rFonts w:hint="cs"/>
          <w:b/>
          <w:bCs/>
          <w:rtl/>
        </w:rPr>
        <w:t>השתמשה</w:t>
      </w:r>
      <w:r w:rsidRPr="004F36D2">
        <w:rPr>
          <w:b/>
          <w:bCs/>
          <w:rtl/>
        </w:rPr>
        <w:t xml:space="preserve"> זה </w:t>
      </w:r>
      <w:r w:rsidRPr="00073F97">
        <w:rPr>
          <w:rFonts w:hint="cs"/>
          <w:b/>
          <w:bCs/>
          <w:rtl/>
        </w:rPr>
        <w:t>כמה</w:t>
      </w:r>
      <w:r w:rsidRPr="00073F97">
        <w:rPr>
          <w:b/>
          <w:bCs/>
          <w:rtl/>
        </w:rPr>
        <w:t xml:space="preserve"> שנים </w:t>
      </w:r>
      <w:r w:rsidRPr="00A512AA">
        <w:rPr>
          <w:rFonts w:hint="eastAsia"/>
          <w:b/>
          <w:bCs/>
          <w:rtl/>
        </w:rPr>
        <w:t>בשלושה</w:t>
      </w:r>
      <w:r w:rsidRPr="0002142D">
        <w:rPr>
          <w:rFonts w:hint="cs"/>
          <w:b/>
          <w:bCs/>
          <w:rtl/>
        </w:rPr>
        <w:t xml:space="preserve"> כלים טכנולוגיים</w:t>
      </w:r>
      <w:r w:rsidRPr="0002142D">
        <w:rPr>
          <w:b/>
          <w:bCs/>
          <w:rtl/>
        </w:rPr>
        <w:t xml:space="preserve"> בלא </w:t>
      </w:r>
      <w:r w:rsidRPr="004F36D2">
        <w:rPr>
          <w:rFonts w:hint="cs"/>
          <w:b/>
          <w:bCs/>
          <w:rtl/>
        </w:rPr>
        <w:t>שכלים</w:t>
      </w:r>
      <w:r w:rsidRPr="004F36D2">
        <w:rPr>
          <w:b/>
          <w:bCs/>
          <w:rtl/>
        </w:rPr>
        <w:t xml:space="preserve"> אלו </w:t>
      </w:r>
      <w:r w:rsidRPr="00073F97">
        <w:rPr>
          <w:rFonts w:hint="cs"/>
          <w:b/>
          <w:bCs/>
          <w:rtl/>
        </w:rPr>
        <w:t>מוזכרים</w:t>
      </w:r>
      <w:r w:rsidRPr="00073F97">
        <w:rPr>
          <w:b/>
          <w:bCs/>
          <w:rtl/>
        </w:rPr>
        <w:t xml:space="preserve"> </w:t>
      </w:r>
      <w:r w:rsidRPr="00073F97">
        <w:rPr>
          <w:rFonts w:hint="cs"/>
          <w:b/>
          <w:bCs/>
          <w:rtl/>
        </w:rPr>
        <w:t>ב</w:t>
      </w:r>
      <w:r w:rsidRPr="00073F97">
        <w:rPr>
          <w:b/>
          <w:bCs/>
          <w:rtl/>
        </w:rPr>
        <w:t>הנחיות פנימיות של החטיבה כמתחייב</w:t>
      </w:r>
      <w:r w:rsidRPr="00073F97">
        <w:rPr>
          <w:rFonts w:hint="cs"/>
          <w:b/>
          <w:bCs/>
          <w:rtl/>
        </w:rPr>
        <w:t>;</w:t>
      </w:r>
      <w:r w:rsidRPr="00073F97">
        <w:rPr>
          <w:b/>
          <w:bCs/>
          <w:rtl/>
        </w:rPr>
        <w:t xml:space="preserve"> כלי </w:t>
      </w:r>
      <w:r w:rsidRPr="00A512AA">
        <w:rPr>
          <w:rFonts w:hint="eastAsia"/>
          <w:b/>
          <w:bCs/>
          <w:rtl/>
        </w:rPr>
        <w:t>רביעי</w:t>
      </w:r>
      <w:r w:rsidRPr="0002142D">
        <w:rPr>
          <w:b/>
          <w:bCs/>
          <w:rtl/>
        </w:rPr>
        <w:t xml:space="preserve"> מוזכר בטיוטת הנחיה מאפר</w:t>
      </w:r>
      <w:r w:rsidRPr="004F36D2">
        <w:rPr>
          <w:b/>
          <w:bCs/>
          <w:rtl/>
        </w:rPr>
        <w:t>יל 2023 שעדיין לא אושרה</w:t>
      </w:r>
      <w:r w:rsidRPr="004F36D2">
        <w:rPr>
          <w:rFonts w:hint="cs"/>
          <w:b/>
          <w:bCs/>
          <w:rtl/>
        </w:rPr>
        <w:t>.</w:t>
      </w:r>
      <w:r w:rsidRPr="00073F97">
        <w:rPr>
          <w:b/>
          <w:bCs/>
          <w:rtl/>
        </w:rPr>
        <w:t xml:space="preserve"> </w:t>
      </w:r>
      <w:r w:rsidRPr="00073F97">
        <w:rPr>
          <w:rFonts w:hint="eastAsia"/>
          <w:b/>
          <w:bCs/>
          <w:rtl/>
        </w:rPr>
        <w:t>כלי</w:t>
      </w:r>
      <w:r w:rsidRPr="00073F97">
        <w:rPr>
          <w:b/>
          <w:bCs/>
          <w:rtl/>
        </w:rPr>
        <w:t xml:space="preserve"> </w:t>
      </w:r>
      <w:r w:rsidRPr="00A512AA">
        <w:rPr>
          <w:rFonts w:hint="eastAsia"/>
          <w:b/>
          <w:bCs/>
          <w:rtl/>
        </w:rPr>
        <w:t>חמישי</w:t>
      </w:r>
      <w:r w:rsidRPr="0002142D">
        <w:rPr>
          <w:rFonts w:hint="cs"/>
          <w:b/>
          <w:bCs/>
          <w:rtl/>
        </w:rPr>
        <w:t xml:space="preserve"> </w:t>
      </w:r>
      <w:r w:rsidRPr="004F36D2">
        <w:rPr>
          <w:b/>
          <w:bCs/>
          <w:rtl/>
        </w:rPr>
        <w:t xml:space="preserve">מוזכר </w:t>
      </w:r>
      <w:r w:rsidRPr="004F36D2">
        <w:rPr>
          <w:rFonts w:hint="cs"/>
          <w:b/>
          <w:bCs/>
          <w:rtl/>
        </w:rPr>
        <w:t>בהנחיה מינואר</w:t>
      </w:r>
      <w:r w:rsidRPr="00073F97">
        <w:rPr>
          <w:b/>
          <w:bCs/>
          <w:rtl/>
        </w:rPr>
        <w:t xml:space="preserve"> 2023, </w:t>
      </w:r>
      <w:r w:rsidRPr="00073F97">
        <w:rPr>
          <w:rFonts w:hint="eastAsia"/>
          <w:b/>
          <w:bCs/>
          <w:rtl/>
        </w:rPr>
        <w:t>אבל</w:t>
      </w:r>
      <w:r w:rsidRPr="00073F97">
        <w:rPr>
          <w:b/>
          <w:bCs/>
          <w:rtl/>
        </w:rPr>
        <w:t xml:space="preserve"> אין </w:t>
      </w:r>
      <w:r w:rsidRPr="00073F97">
        <w:rPr>
          <w:rFonts w:hint="cs"/>
          <w:b/>
          <w:bCs/>
          <w:rtl/>
        </w:rPr>
        <w:t>בהנחיה</w:t>
      </w:r>
      <w:r w:rsidRPr="00073F97">
        <w:rPr>
          <w:b/>
          <w:bCs/>
          <w:rtl/>
        </w:rPr>
        <w:t xml:space="preserve"> </w:t>
      </w:r>
      <w:r w:rsidRPr="00073F97">
        <w:rPr>
          <w:rFonts w:hint="eastAsia"/>
          <w:b/>
          <w:bCs/>
          <w:rtl/>
        </w:rPr>
        <w:t>פירוט</w:t>
      </w:r>
      <w:r w:rsidRPr="00073F97">
        <w:rPr>
          <w:rFonts w:hint="cs"/>
          <w:b/>
          <w:bCs/>
          <w:rtl/>
        </w:rPr>
        <w:t xml:space="preserve"> מלא של</w:t>
      </w:r>
      <w:r w:rsidRPr="00073F97">
        <w:rPr>
          <w:b/>
          <w:bCs/>
          <w:rtl/>
        </w:rPr>
        <w:t xml:space="preserve"> </w:t>
      </w:r>
      <w:r w:rsidRPr="00073F97">
        <w:rPr>
          <w:rFonts w:hint="eastAsia"/>
          <w:b/>
          <w:bCs/>
          <w:rtl/>
        </w:rPr>
        <w:t>הפעולות</w:t>
      </w:r>
      <w:r w:rsidRPr="00073F97">
        <w:rPr>
          <w:b/>
          <w:bCs/>
          <w:rtl/>
        </w:rPr>
        <w:t xml:space="preserve"> </w:t>
      </w:r>
      <w:r w:rsidRPr="00073F97">
        <w:rPr>
          <w:rFonts w:hint="eastAsia"/>
          <w:b/>
          <w:bCs/>
          <w:rtl/>
        </w:rPr>
        <w:t>המותרות</w:t>
      </w:r>
      <w:r w:rsidRPr="00073F97">
        <w:rPr>
          <w:b/>
          <w:bCs/>
          <w:rtl/>
        </w:rPr>
        <w:t xml:space="preserve"> ו</w:t>
      </w:r>
      <w:r w:rsidRPr="00073F97">
        <w:rPr>
          <w:rFonts w:hint="eastAsia"/>
          <w:b/>
          <w:bCs/>
          <w:rtl/>
        </w:rPr>
        <w:t>האסורות</w:t>
      </w:r>
      <w:r w:rsidRPr="0012106F">
        <w:rPr>
          <w:b/>
          <w:bCs/>
          <w:rtl/>
        </w:rPr>
        <w:t xml:space="preserve"> לב</w:t>
      </w:r>
      <w:r w:rsidRPr="0012106F">
        <w:rPr>
          <w:rFonts w:hint="eastAsia"/>
          <w:b/>
          <w:bCs/>
          <w:rtl/>
        </w:rPr>
        <w:t>יצוע</w:t>
      </w:r>
      <w:r w:rsidRPr="0012106F">
        <w:rPr>
          <w:b/>
          <w:bCs/>
          <w:rtl/>
        </w:rPr>
        <w:t xml:space="preserve"> </w:t>
      </w:r>
      <w:r w:rsidRPr="003C5FB9">
        <w:rPr>
          <w:rFonts w:hint="eastAsia"/>
          <w:b/>
          <w:bCs/>
          <w:rtl/>
        </w:rPr>
        <w:t>באמצעות</w:t>
      </w:r>
      <w:r w:rsidRPr="00454FE8">
        <w:rPr>
          <w:b/>
          <w:bCs/>
          <w:rtl/>
        </w:rPr>
        <w:t xml:space="preserve"> הכלי</w:t>
      </w:r>
      <w:r w:rsidRPr="00454FE8">
        <w:rPr>
          <w:rFonts w:hint="cs"/>
          <w:b/>
          <w:bCs/>
          <w:rtl/>
        </w:rPr>
        <w:t>;</w:t>
      </w:r>
      <w:r w:rsidRPr="008F5DEA">
        <w:rPr>
          <w:b/>
          <w:bCs/>
          <w:rtl/>
        </w:rPr>
        <w:t xml:space="preserve"> </w:t>
      </w:r>
      <w:r w:rsidRPr="008F5DEA">
        <w:rPr>
          <w:rFonts w:hint="cs"/>
          <w:b/>
          <w:bCs/>
          <w:rtl/>
        </w:rPr>
        <w:t>ורק לגבי</w:t>
      </w:r>
      <w:r w:rsidRPr="008F5DEA">
        <w:rPr>
          <w:b/>
          <w:bCs/>
          <w:rtl/>
        </w:rPr>
        <w:t xml:space="preserve"> כלי מבצעי אחד</w:t>
      </w:r>
      <w:r w:rsidRPr="008F5DEA">
        <w:rPr>
          <w:rFonts w:hint="cs"/>
          <w:b/>
          <w:bCs/>
          <w:rtl/>
        </w:rPr>
        <w:t xml:space="preserve"> </w:t>
      </w:r>
      <w:r w:rsidRPr="00A512AA">
        <w:rPr>
          <w:rFonts w:hint="eastAsia"/>
          <w:b/>
          <w:bCs/>
          <w:rtl/>
        </w:rPr>
        <w:t>מששת</w:t>
      </w:r>
      <w:r w:rsidRPr="0002142D">
        <w:rPr>
          <w:rFonts w:hint="cs"/>
          <w:b/>
          <w:bCs/>
          <w:rtl/>
        </w:rPr>
        <w:t xml:space="preserve"> הכלים</w:t>
      </w:r>
      <w:r w:rsidRPr="0046484A">
        <w:rPr>
          <w:b/>
          <w:bCs/>
          <w:rtl/>
        </w:rPr>
        <w:t xml:space="preserve"> </w:t>
      </w:r>
      <w:r>
        <w:rPr>
          <w:rFonts w:hint="cs"/>
          <w:b/>
          <w:bCs/>
          <w:rtl/>
        </w:rPr>
        <w:t>נקבעה</w:t>
      </w:r>
      <w:r w:rsidRPr="0046484A">
        <w:rPr>
          <w:b/>
          <w:bCs/>
          <w:rtl/>
        </w:rPr>
        <w:t xml:space="preserve"> </w:t>
      </w:r>
      <w:r w:rsidRPr="0046484A">
        <w:rPr>
          <w:rFonts w:hint="eastAsia"/>
          <w:b/>
          <w:bCs/>
          <w:rtl/>
        </w:rPr>
        <w:t>הנחיה</w:t>
      </w:r>
      <w:r w:rsidRPr="0046484A">
        <w:rPr>
          <w:b/>
          <w:bCs/>
          <w:rtl/>
        </w:rPr>
        <w:t xml:space="preserve"> </w:t>
      </w:r>
      <w:r w:rsidRPr="0046484A">
        <w:rPr>
          <w:rFonts w:hint="eastAsia"/>
          <w:b/>
          <w:bCs/>
          <w:rtl/>
        </w:rPr>
        <w:t>המפרטת</w:t>
      </w:r>
      <w:r w:rsidRPr="0046484A">
        <w:rPr>
          <w:b/>
          <w:bCs/>
          <w:rtl/>
        </w:rPr>
        <w:t xml:space="preserve"> אילו פעולות מותרות לביצוע </w:t>
      </w:r>
      <w:r w:rsidRPr="0046484A">
        <w:rPr>
          <w:rFonts w:hint="eastAsia"/>
          <w:b/>
          <w:bCs/>
          <w:rtl/>
        </w:rPr>
        <w:t>במתווי</w:t>
      </w:r>
      <w:r w:rsidRPr="0046484A">
        <w:rPr>
          <w:b/>
          <w:bCs/>
          <w:rtl/>
        </w:rPr>
        <w:t xml:space="preserve"> ה</w:t>
      </w:r>
      <w:r w:rsidR="00DD1003">
        <w:rPr>
          <w:b/>
          <w:bCs/>
          <w:rtl/>
        </w:rPr>
        <w:t>התקנה</w:t>
      </w:r>
      <w:r w:rsidRPr="0046484A">
        <w:rPr>
          <w:b/>
          <w:bCs/>
          <w:rtl/>
        </w:rPr>
        <w:t xml:space="preserve"> באותו הכלי.</w:t>
      </w:r>
    </w:p>
    <w:p w:rsidR="00F202B8" w:rsidRPr="000904E9" w:rsidRDefault="00F202B8" w:rsidP="00604C3D">
      <w:pPr>
        <w:spacing w:line="269" w:lineRule="auto"/>
        <w:rPr>
          <w:rtl/>
        </w:rPr>
      </w:pPr>
      <w:bookmarkStart w:id="464" w:name="_Hlk155705574"/>
    </w:p>
    <w:p w:rsidR="00F202B8" w:rsidRPr="000904E9" w:rsidRDefault="00F202B8" w:rsidP="00604C3D">
      <w:pPr>
        <w:spacing w:line="269" w:lineRule="auto"/>
        <w:jc w:val="center"/>
        <w:rPr>
          <w:b/>
          <w:bCs/>
          <w:rtl/>
        </w:rPr>
      </w:pPr>
      <w:r w:rsidRPr="000904E9">
        <w:rPr>
          <w:rFonts w:ascii="Segoe UI Symbol" w:hAnsi="Segoe UI Symbol" w:cs="Segoe UI Symbol" w:hint="cs"/>
          <w:b/>
          <w:bCs/>
          <w:rtl/>
        </w:rPr>
        <w:t>✰</w:t>
      </w:r>
    </w:p>
    <w:p w:rsidR="00F202B8" w:rsidRDefault="00F202B8" w:rsidP="00604C3D">
      <w:pPr>
        <w:spacing w:line="269" w:lineRule="auto"/>
        <w:rPr>
          <w:rtl/>
        </w:rPr>
      </w:pPr>
    </w:p>
    <w:p w:rsidR="009A1216" w:rsidRDefault="009A1216" w:rsidP="0096347D">
      <w:pPr>
        <w:spacing w:line="269" w:lineRule="auto"/>
        <w:ind w:left="360"/>
        <w:rPr>
          <w:b/>
          <w:bCs/>
          <w:rtl/>
        </w:rPr>
      </w:pPr>
      <w:r>
        <w:rPr>
          <w:rFonts w:hint="cs"/>
          <w:b/>
          <w:bCs/>
          <w:rtl/>
        </w:rPr>
        <w:t>להיעדרם של</w:t>
      </w:r>
      <w:r w:rsidRPr="00F702C2">
        <w:rPr>
          <w:rFonts w:hint="cs"/>
          <w:b/>
          <w:bCs/>
          <w:rtl/>
        </w:rPr>
        <w:t xml:space="preserve"> </w:t>
      </w:r>
      <w:r>
        <w:rPr>
          <w:rFonts w:hint="cs"/>
          <w:b/>
          <w:bCs/>
          <w:rtl/>
        </w:rPr>
        <w:t>נהלים והנחיות</w:t>
      </w:r>
      <w:r w:rsidRPr="00F702C2">
        <w:rPr>
          <w:rFonts w:hint="cs"/>
          <w:b/>
          <w:bCs/>
          <w:rtl/>
        </w:rPr>
        <w:t xml:space="preserve"> מסודרים ומפורטים לביצוע מתווי </w:t>
      </w:r>
      <w:r w:rsidR="00DD1003">
        <w:rPr>
          <w:rFonts w:hint="cs"/>
          <w:b/>
          <w:bCs/>
          <w:rtl/>
        </w:rPr>
        <w:t>התקנה</w:t>
      </w:r>
      <w:r>
        <w:rPr>
          <w:rFonts w:hint="cs"/>
          <w:b/>
          <w:bCs/>
          <w:rtl/>
        </w:rPr>
        <w:t xml:space="preserve"> ולשימוש בכלים טכנולוגיים יש השלכות על גורמי השטח בחטיבה ובמערך הפרוס: (א) הם </w:t>
      </w:r>
      <w:r w:rsidRPr="00F702C2">
        <w:rPr>
          <w:rFonts w:hint="cs"/>
          <w:b/>
          <w:bCs/>
          <w:rtl/>
        </w:rPr>
        <w:t xml:space="preserve">עלולים </w:t>
      </w:r>
      <w:r>
        <w:rPr>
          <w:rFonts w:hint="cs"/>
          <w:b/>
          <w:bCs/>
          <w:rtl/>
        </w:rPr>
        <w:t>ש</w:t>
      </w:r>
      <w:r w:rsidRPr="00F702C2">
        <w:rPr>
          <w:rFonts w:hint="cs"/>
          <w:b/>
          <w:bCs/>
          <w:rtl/>
        </w:rPr>
        <w:t xml:space="preserve">לא לדעת אילו פעולות מותרות ואסורות לביצוע במסגרת </w:t>
      </w:r>
      <w:r w:rsidR="00DD1003">
        <w:rPr>
          <w:rFonts w:hint="cs"/>
          <w:b/>
          <w:bCs/>
          <w:rtl/>
        </w:rPr>
        <w:t>התקנה</w:t>
      </w:r>
      <w:r w:rsidRPr="00F702C2">
        <w:rPr>
          <w:rFonts w:hint="cs"/>
          <w:b/>
          <w:bCs/>
          <w:rtl/>
        </w:rPr>
        <w:t xml:space="preserve"> לצורך האזנת סתר לתקשורת בין מחשבים</w:t>
      </w:r>
      <w:r>
        <w:rPr>
          <w:rFonts w:hint="cs"/>
          <w:b/>
          <w:bCs/>
          <w:rtl/>
        </w:rPr>
        <w:t>; (ב)</w:t>
      </w:r>
      <w:r>
        <w:rPr>
          <w:rFonts w:hint="cs"/>
          <w:b/>
          <w:bCs/>
        </w:rPr>
        <w:t xml:space="preserve"> </w:t>
      </w:r>
      <w:r>
        <w:rPr>
          <w:rFonts w:hint="cs"/>
          <w:b/>
          <w:bCs/>
          <w:rtl/>
        </w:rPr>
        <w:t>הם עלולים שלא לדעת אילו פעולות מותרות ואסורות לביצוע באמצעות הכלים שבידיהם;</w:t>
      </w:r>
      <w:r w:rsidRPr="00F702C2">
        <w:rPr>
          <w:rFonts w:hint="cs"/>
          <w:b/>
          <w:bCs/>
          <w:rtl/>
        </w:rPr>
        <w:t xml:space="preserve"> </w:t>
      </w:r>
      <w:r>
        <w:rPr>
          <w:rFonts w:hint="cs"/>
          <w:b/>
          <w:bCs/>
          <w:rtl/>
        </w:rPr>
        <w:t>(ג)</w:t>
      </w:r>
      <w:r>
        <w:rPr>
          <w:rFonts w:hint="cs"/>
          <w:b/>
          <w:bCs/>
        </w:rPr>
        <w:t xml:space="preserve"> </w:t>
      </w:r>
      <w:r>
        <w:rPr>
          <w:rFonts w:hint="cs"/>
          <w:b/>
          <w:bCs/>
          <w:rtl/>
        </w:rPr>
        <w:t xml:space="preserve">לא ניתן לצפות מהם לבצע התאמות בהנחיות הקיימות לגבי כלי אחד ולהחילן על כלי אחר; (ד) </w:t>
      </w:r>
      <w:r w:rsidRPr="00F702C2">
        <w:rPr>
          <w:rFonts w:hint="cs"/>
          <w:b/>
          <w:bCs/>
          <w:rtl/>
        </w:rPr>
        <w:t xml:space="preserve">אין נוהל שמנחה את השוטרים כיצד לבחור </w:t>
      </w:r>
      <w:r>
        <w:rPr>
          <w:rFonts w:hint="cs"/>
          <w:b/>
          <w:bCs/>
          <w:rtl/>
        </w:rPr>
        <w:t>באחד מ</w:t>
      </w:r>
      <w:r w:rsidRPr="00F702C2">
        <w:rPr>
          <w:rFonts w:hint="cs"/>
          <w:b/>
          <w:bCs/>
          <w:rtl/>
        </w:rPr>
        <w:t>מתווי ה</w:t>
      </w:r>
      <w:r w:rsidR="00DD1003">
        <w:rPr>
          <w:rFonts w:hint="cs"/>
          <w:b/>
          <w:bCs/>
          <w:rtl/>
        </w:rPr>
        <w:t>התקנה</w:t>
      </w:r>
      <w:r w:rsidRPr="00F702C2">
        <w:rPr>
          <w:rFonts w:hint="cs"/>
          <w:b/>
          <w:bCs/>
          <w:rtl/>
        </w:rPr>
        <w:t xml:space="preserve"> השונים בהתאם לפוטנציאל הפגיעה של כל </w:t>
      </w:r>
      <w:r w:rsidR="00DD1003">
        <w:rPr>
          <w:rFonts w:hint="cs"/>
          <w:b/>
          <w:bCs/>
          <w:rtl/>
        </w:rPr>
        <w:t>התקנה</w:t>
      </w:r>
      <w:r w:rsidRPr="00F702C2">
        <w:rPr>
          <w:rFonts w:hint="cs"/>
          <w:b/>
          <w:bCs/>
          <w:rtl/>
        </w:rPr>
        <w:t xml:space="preserve">, </w:t>
      </w:r>
      <w:r>
        <w:rPr>
          <w:rFonts w:hint="cs"/>
          <w:b/>
          <w:bCs/>
          <w:rtl/>
        </w:rPr>
        <w:t>בהתאם ל</w:t>
      </w:r>
      <w:r w:rsidRPr="00F702C2">
        <w:rPr>
          <w:rFonts w:hint="cs"/>
          <w:b/>
          <w:bCs/>
          <w:rtl/>
        </w:rPr>
        <w:t xml:space="preserve">זהות הגורמים שעלולים להיפגע ממנה, </w:t>
      </w:r>
      <w:r>
        <w:rPr>
          <w:rFonts w:hint="cs"/>
          <w:b/>
          <w:bCs/>
          <w:rtl/>
        </w:rPr>
        <w:t>בהתאם ל</w:t>
      </w:r>
      <w:r w:rsidRPr="00F702C2">
        <w:rPr>
          <w:rFonts w:hint="cs"/>
          <w:b/>
          <w:bCs/>
          <w:rtl/>
        </w:rPr>
        <w:t xml:space="preserve">סיכון לחשיפה של כל </w:t>
      </w:r>
      <w:r w:rsidR="00DD1003">
        <w:rPr>
          <w:rFonts w:hint="cs"/>
          <w:b/>
          <w:bCs/>
          <w:rtl/>
        </w:rPr>
        <w:t>התקנה</w:t>
      </w:r>
      <w:r w:rsidRPr="00F702C2">
        <w:rPr>
          <w:rFonts w:hint="cs"/>
          <w:b/>
          <w:bCs/>
          <w:rtl/>
        </w:rPr>
        <w:t xml:space="preserve"> וכיו"ב. </w:t>
      </w:r>
    </w:p>
    <w:p w:rsidR="0073303F" w:rsidRDefault="0073303F" w:rsidP="0096347D">
      <w:pPr>
        <w:spacing w:line="269" w:lineRule="auto"/>
        <w:ind w:left="360"/>
        <w:rPr>
          <w:b/>
          <w:bCs/>
          <w:rtl/>
        </w:rPr>
      </w:pPr>
    </w:p>
    <w:p w:rsidR="009A1216" w:rsidRDefault="009A1216" w:rsidP="0096347D">
      <w:pPr>
        <w:spacing w:line="269" w:lineRule="auto"/>
        <w:ind w:left="360"/>
        <w:rPr>
          <w:b/>
          <w:bCs/>
          <w:rtl/>
        </w:rPr>
      </w:pPr>
      <w:r w:rsidRPr="007B6EAC">
        <w:rPr>
          <w:rFonts w:hint="eastAsia"/>
          <w:b/>
          <w:bCs/>
          <w:rtl/>
        </w:rPr>
        <w:t>יתרה</w:t>
      </w:r>
      <w:r w:rsidRPr="007B6EAC">
        <w:rPr>
          <w:b/>
          <w:bCs/>
          <w:rtl/>
        </w:rPr>
        <w:t xml:space="preserve"> </w:t>
      </w:r>
      <w:r>
        <w:rPr>
          <w:rFonts w:hint="cs"/>
          <w:b/>
          <w:bCs/>
          <w:rtl/>
        </w:rPr>
        <w:t>מזו</w:t>
      </w:r>
      <w:r w:rsidRPr="007B6EAC">
        <w:rPr>
          <w:b/>
          <w:bCs/>
          <w:rtl/>
        </w:rPr>
        <w:t xml:space="preserve">, </w:t>
      </w:r>
      <w:r w:rsidRPr="007B6EAC">
        <w:rPr>
          <w:rFonts w:hint="eastAsia"/>
          <w:b/>
          <w:bCs/>
          <w:rtl/>
        </w:rPr>
        <w:t>בהיעדר</w:t>
      </w:r>
      <w:r w:rsidRPr="007B6EAC">
        <w:rPr>
          <w:b/>
          <w:bCs/>
          <w:rtl/>
        </w:rPr>
        <w:t xml:space="preserve"> עיגון </w:t>
      </w:r>
      <w:r>
        <w:rPr>
          <w:rFonts w:hint="cs"/>
          <w:b/>
          <w:bCs/>
          <w:rtl/>
        </w:rPr>
        <w:t xml:space="preserve">של </w:t>
      </w:r>
      <w:r w:rsidRPr="007B6EAC">
        <w:rPr>
          <w:b/>
          <w:bCs/>
          <w:rtl/>
        </w:rPr>
        <w:t>נהלים אגפיים המאושרים על ידי ראש א</w:t>
      </w:r>
      <w:r>
        <w:rPr>
          <w:rFonts w:hint="cs"/>
          <w:b/>
          <w:bCs/>
          <w:rtl/>
        </w:rPr>
        <w:t>ח"ם, גורמי הפיקוד במחוז, בחטיבה ובאגף אינם יכולים לבצע בקרה על יישום ראוי של הוראות הדין בעת שימוש בכלים אלו ובעת</w:t>
      </w:r>
      <w:r>
        <w:rPr>
          <w:rFonts w:hint="cs"/>
          <w:b/>
          <w:bCs/>
        </w:rPr>
        <w:t xml:space="preserve"> </w:t>
      </w:r>
      <w:r>
        <w:rPr>
          <w:rFonts w:hint="cs"/>
          <w:b/>
          <w:bCs/>
          <w:rtl/>
        </w:rPr>
        <w:t>ביצוע מתווי ה</w:t>
      </w:r>
      <w:r w:rsidR="00DD1003">
        <w:rPr>
          <w:rFonts w:hint="cs"/>
          <w:b/>
          <w:bCs/>
          <w:rtl/>
        </w:rPr>
        <w:t>התקנה</w:t>
      </w:r>
      <w:r>
        <w:rPr>
          <w:rFonts w:hint="cs"/>
          <w:b/>
          <w:bCs/>
          <w:rtl/>
        </w:rPr>
        <w:t xml:space="preserve"> השונים.</w:t>
      </w:r>
      <w:bookmarkEnd w:id="464"/>
    </w:p>
    <w:p w:rsidR="009A1216" w:rsidRDefault="009A1216" w:rsidP="0096347D">
      <w:pPr>
        <w:pStyle w:val="a5"/>
        <w:spacing w:line="269" w:lineRule="auto"/>
        <w:ind w:left="0"/>
        <w:rPr>
          <w:rtl/>
        </w:rPr>
      </w:pPr>
    </w:p>
    <w:p w:rsidR="009A1216" w:rsidRDefault="009A1216" w:rsidP="0096347D">
      <w:pPr>
        <w:spacing w:line="269" w:lineRule="auto"/>
        <w:ind w:left="360"/>
        <w:rPr>
          <w:rtl/>
        </w:rPr>
      </w:pPr>
      <w:r w:rsidRPr="005571ED">
        <w:rPr>
          <w:rFonts w:hint="eastAsia"/>
          <w:rtl/>
        </w:rPr>
        <w:t>המשטרה</w:t>
      </w:r>
      <w:r w:rsidRPr="005571ED">
        <w:rPr>
          <w:rtl/>
        </w:rPr>
        <w:t xml:space="preserve"> מסרה כי</w:t>
      </w:r>
      <w:r>
        <w:rPr>
          <w:rFonts w:hint="cs"/>
          <w:rtl/>
        </w:rPr>
        <w:t xml:space="preserve"> בעקבות דוח צוות מררי</w:t>
      </w:r>
      <w:r w:rsidRPr="005571ED">
        <w:rPr>
          <w:rtl/>
        </w:rPr>
        <w:t xml:space="preserve"> </w:t>
      </w:r>
      <w:r w:rsidRPr="005571ED">
        <w:rPr>
          <w:rFonts w:hint="eastAsia"/>
          <w:rtl/>
        </w:rPr>
        <w:t>היא</w:t>
      </w:r>
      <w:r w:rsidRPr="005571ED">
        <w:rPr>
          <w:rtl/>
        </w:rPr>
        <w:t xml:space="preserve"> </w:t>
      </w:r>
      <w:r>
        <w:rPr>
          <w:rFonts w:hint="cs"/>
          <w:rtl/>
        </w:rPr>
        <w:t>עמלה</w:t>
      </w:r>
      <w:r w:rsidRPr="005571ED">
        <w:rPr>
          <w:rtl/>
        </w:rPr>
        <w:t xml:space="preserve"> על </w:t>
      </w:r>
      <w:r w:rsidRPr="005571ED">
        <w:rPr>
          <w:rFonts w:hint="eastAsia"/>
          <w:rtl/>
        </w:rPr>
        <w:t>תהליך</w:t>
      </w:r>
      <w:r w:rsidRPr="005571ED">
        <w:rPr>
          <w:rtl/>
        </w:rPr>
        <w:t xml:space="preserve"> </w:t>
      </w:r>
      <w:r w:rsidRPr="005571ED">
        <w:rPr>
          <w:rFonts w:hint="eastAsia"/>
          <w:rtl/>
        </w:rPr>
        <w:t>עדכון</w:t>
      </w:r>
      <w:r w:rsidRPr="005571ED">
        <w:rPr>
          <w:rtl/>
        </w:rPr>
        <w:t xml:space="preserve"> </w:t>
      </w:r>
      <w:r w:rsidRPr="005571ED">
        <w:rPr>
          <w:rFonts w:hint="eastAsia"/>
          <w:rtl/>
        </w:rPr>
        <w:t>הנהלים</w:t>
      </w:r>
      <w:r w:rsidRPr="005571ED">
        <w:rPr>
          <w:rtl/>
        </w:rPr>
        <w:t xml:space="preserve"> </w:t>
      </w:r>
      <w:r w:rsidRPr="005571ED">
        <w:rPr>
          <w:rFonts w:hint="eastAsia"/>
          <w:rtl/>
        </w:rPr>
        <w:t>וההנחיות</w:t>
      </w:r>
      <w:r w:rsidRPr="005571ED">
        <w:rPr>
          <w:rtl/>
        </w:rPr>
        <w:t xml:space="preserve">. </w:t>
      </w:r>
      <w:r>
        <w:rPr>
          <w:rFonts w:hint="cs"/>
          <w:rtl/>
        </w:rPr>
        <w:t xml:space="preserve">בין היתר, היא מגבשת </w:t>
      </w:r>
      <w:r w:rsidRPr="005571ED">
        <w:rPr>
          <w:rtl/>
        </w:rPr>
        <w:t xml:space="preserve">הנחיות </w:t>
      </w:r>
      <w:r>
        <w:rPr>
          <w:rFonts w:hint="cs"/>
          <w:rtl/>
        </w:rPr>
        <w:t>לחלק מה</w:t>
      </w:r>
      <w:r w:rsidRPr="005571ED">
        <w:rPr>
          <w:rtl/>
        </w:rPr>
        <w:t xml:space="preserve">כלים </w:t>
      </w:r>
      <w:r>
        <w:rPr>
          <w:rFonts w:hint="cs"/>
          <w:rtl/>
        </w:rPr>
        <w:t>ה</w:t>
      </w:r>
      <w:r w:rsidRPr="005571ED">
        <w:rPr>
          <w:rtl/>
        </w:rPr>
        <w:t xml:space="preserve">טכנולוגיים </w:t>
      </w:r>
      <w:r>
        <w:rPr>
          <w:rFonts w:hint="cs"/>
          <w:rtl/>
        </w:rPr>
        <w:t>אשר בכוונתה להמשיך ולהשתמש בהם בעתיד ובנוגע למתווי ה</w:t>
      </w:r>
      <w:r w:rsidR="00DD1003">
        <w:rPr>
          <w:rFonts w:hint="cs"/>
          <w:rtl/>
        </w:rPr>
        <w:t>התקנה</w:t>
      </w:r>
      <w:r>
        <w:rPr>
          <w:rFonts w:hint="cs"/>
          <w:rtl/>
        </w:rPr>
        <w:t xml:space="preserve"> המבוצעים באמצעותם.</w:t>
      </w:r>
      <w:r w:rsidRPr="005571ED">
        <w:rPr>
          <w:rtl/>
        </w:rPr>
        <w:t xml:space="preserve"> אלו הועברו לאישור פיקוד </w:t>
      </w:r>
      <w:r w:rsidR="00F202B8">
        <w:rPr>
          <w:rFonts w:hint="cs"/>
          <w:rtl/>
        </w:rPr>
        <w:t>אח"ם</w:t>
      </w:r>
      <w:r w:rsidR="007154B5">
        <w:rPr>
          <w:rFonts w:hint="cs"/>
          <w:rtl/>
        </w:rPr>
        <w:t xml:space="preserve"> ובהמשך לאישור הייעוץ המשפטי לממשלה במשרד המשפטים</w:t>
      </w:r>
      <w:r w:rsidRPr="005571ED">
        <w:rPr>
          <w:rtl/>
        </w:rPr>
        <w:t xml:space="preserve">. </w:t>
      </w:r>
      <w:r w:rsidRPr="005571ED">
        <w:rPr>
          <w:rFonts w:hint="eastAsia"/>
          <w:rtl/>
        </w:rPr>
        <w:t>נהלים</w:t>
      </w:r>
      <w:r w:rsidR="000155B0">
        <w:rPr>
          <w:rFonts w:hint="cs"/>
          <w:rtl/>
        </w:rPr>
        <w:t xml:space="preserve"> והנחיות</w:t>
      </w:r>
      <w:r w:rsidRPr="005571ED">
        <w:rPr>
          <w:rtl/>
        </w:rPr>
        <w:t xml:space="preserve"> </w:t>
      </w:r>
      <w:r w:rsidRPr="005571ED">
        <w:rPr>
          <w:rFonts w:hint="eastAsia"/>
          <w:rtl/>
        </w:rPr>
        <w:t>אלו</w:t>
      </w:r>
      <w:r w:rsidRPr="005571ED">
        <w:rPr>
          <w:rtl/>
        </w:rPr>
        <w:t xml:space="preserve"> </w:t>
      </w:r>
      <w:r w:rsidRPr="005571ED">
        <w:rPr>
          <w:rFonts w:hint="eastAsia"/>
          <w:rtl/>
        </w:rPr>
        <w:t>נכתבו</w:t>
      </w:r>
      <w:r w:rsidRPr="005571ED">
        <w:rPr>
          <w:rtl/>
        </w:rPr>
        <w:t xml:space="preserve"> </w:t>
      </w:r>
      <w:r w:rsidRPr="005571ED">
        <w:rPr>
          <w:rFonts w:hint="eastAsia"/>
          <w:rtl/>
        </w:rPr>
        <w:t>תוך</w:t>
      </w:r>
      <w:r w:rsidRPr="005571ED">
        <w:rPr>
          <w:rtl/>
        </w:rPr>
        <w:t xml:space="preserve"> </w:t>
      </w:r>
      <w:r w:rsidRPr="005571ED">
        <w:rPr>
          <w:rFonts w:hint="eastAsia"/>
          <w:rtl/>
        </w:rPr>
        <w:t>השמת</w:t>
      </w:r>
      <w:r w:rsidRPr="005571ED">
        <w:rPr>
          <w:rtl/>
        </w:rPr>
        <w:t xml:space="preserve"> </w:t>
      </w:r>
      <w:r w:rsidRPr="005571ED">
        <w:rPr>
          <w:rFonts w:hint="eastAsia"/>
          <w:rtl/>
        </w:rPr>
        <w:t>דגש</w:t>
      </w:r>
      <w:r w:rsidRPr="005571ED">
        <w:rPr>
          <w:rtl/>
        </w:rPr>
        <w:t xml:space="preserve"> </w:t>
      </w:r>
      <w:r w:rsidRPr="005571ED">
        <w:rPr>
          <w:rFonts w:hint="eastAsia"/>
          <w:rtl/>
        </w:rPr>
        <w:t>על</w:t>
      </w:r>
      <w:r w:rsidRPr="005571ED">
        <w:rPr>
          <w:rtl/>
        </w:rPr>
        <w:t xml:space="preserve"> </w:t>
      </w:r>
      <w:r w:rsidRPr="005571ED">
        <w:rPr>
          <w:rFonts w:hint="eastAsia"/>
          <w:rtl/>
        </w:rPr>
        <w:t>סנכרון</w:t>
      </w:r>
      <w:r w:rsidRPr="005571ED">
        <w:rPr>
          <w:rtl/>
        </w:rPr>
        <w:t xml:space="preserve"> </w:t>
      </w:r>
      <w:r w:rsidRPr="005571ED">
        <w:rPr>
          <w:rFonts w:hint="eastAsia"/>
          <w:rtl/>
        </w:rPr>
        <w:t>הוראות</w:t>
      </w:r>
      <w:r w:rsidRPr="005571ED">
        <w:rPr>
          <w:rtl/>
        </w:rPr>
        <w:t xml:space="preserve">, </w:t>
      </w:r>
      <w:r w:rsidRPr="005571ED">
        <w:rPr>
          <w:rFonts w:hint="eastAsia"/>
          <w:rtl/>
        </w:rPr>
        <w:t>הגדרת</w:t>
      </w:r>
      <w:r w:rsidRPr="005571ED">
        <w:rPr>
          <w:rtl/>
        </w:rPr>
        <w:t xml:space="preserve"> </w:t>
      </w:r>
      <w:r w:rsidRPr="005571ED">
        <w:rPr>
          <w:rFonts w:hint="eastAsia"/>
          <w:rtl/>
        </w:rPr>
        <w:t>הצורך</w:t>
      </w:r>
      <w:r w:rsidRPr="005571ED">
        <w:rPr>
          <w:rtl/>
        </w:rPr>
        <w:t xml:space="preserve"> </w:t>
      </w:r>
      <w:r w:rsidRPr="005571ED">
        <w:rPr>
          <w:rFonts w:hint="eastAsia"/>
          <w:rtl/>
        </w:rPr>
        <w:t>בכלי</w:t>
      </w:r>
      <w:r w:rsidRPr="005571ED">
        <w:rPr>
          <w:rtl/>
        </w:rPr>
        <w:t xml:space="preserve">, </w:t>
      </w:r>
      <w:r w:rsidRPr="005571ED">
        <w:rPr>
          <w:rFonts w:hint="eastAsia"/>
          <w:rtl/>
        </w:rPr>
        <w:t>תיאור</w:t>
      </w:r>
      <w:r w:rsidRPr="005571ED">
        <w:rPr>
          <w:rtl/>
        </w:rPr>
        <w:t xml:space="preserve"> </w:t>
      </w:r>
      <w:r w:rsidRPr="005571ED">
        <w:rPr>
          <w:rFonts w:hint="eastAsia"/>
          <w:rtl/>
        </w:rPr>
        <w:t>תהליך</w:t>
      </w:r>
      <w:r w:rsidRPr="005571ED">
        <w:rPr>
          <w:rtl/>
        </w:rPr>
        <w:t xml:space="preserve"> </w:t>
      </w:r>
      <w:r w:rsidRPr="005571ED">
        <w:rPr>
          <w:rFonts w:hint="eastAsia"/>
          <w:rtl/>
        </w:rPr>
        <w:t>העבודה</w:t>
      </w:r>
      <w:r w:rsidRPr="005571ED">
        <w:rPr>
          <w:rtl/>
        </w:rPr>
        <w:t xml:space="preserve"> והגדרת מנגנוני דיווח, פיקוח ובקרה. </w:t>
      </w:r>
      <w:r>
        <w:rPr>
          <w:rFonts w:hint="cs"/>
          <w:rtl/>
        </w:rPr>
        <w:t xml:space="preserve">בנוגע לחלק מהכלים המיועדים לשימוש מפיקים היא פועלת לעגן הנחיות עבודה, כגון, מדריכים למשתמש. עוד ציינה המשטרה כי לעמדתה ההנחיות אינן בגדר נוהל הדורש אישור על ידי ראש אח"ם. זאת, משום שמדובר במסמכים טכניים במהותם, ואילו נהלים מגדירים נורמות. </w:t>
      </w:r>
    </w:p>
    <w:p w:rsidR="009A1216" w:rsidRPr="00BE0131" w:rsidRDefault="009A1216" w:rsidP="0096347D">
      <w:pPr>
        <w:pStyle w:val="a5"/>
        <w:spacing w:line="269" w:lineRule="auto"/>
        <w:ind w:left="0"/>
        <w:rPr>
          <w:rtl/>
        </w:rPr>
      </w:pPr>
    </w:p>
    <w:p w:rsidR="009A1216" w:rsidRPr="000904E9" w:rsidRDefault="009A1216" w:rsidP="0096347D">
      <w:pPr>
        <w:spacing w:line="269" w:lineRule="auto"/>
        <w:ind w:left="360"/>
        <w:rPr>
          <w:b/>
          <w:bCs/>
          <w:rtl/>
        </w:rPr>
      </w:pPr>
      <w:bookmarkStart w:id="465" w:name="_Hlk188185697"/>
      <w:r w:rsidRPr="000904E9">
        <w:rPr>
          <w:rFonts w:hint="cs"/>
          <w:b/>
          <w:bCs/>
          <w:rtl/>
        </w:rPr>
        <w:t xml:space="preserve">משרד מבקר המדינה בחן את ההנחיות שגיבשה המשטרה ומצא שהיא לא עיגנה את </w:t>
      </w:r>
      <w:r w:rsidR="000155B0" w:rsidRPr="000904E9">
        <w:rPr>
          <w:rFonts w:hint="cs"/>
          <w:b/>
          <w:bCs/>
          <w:rtl/>
        </w:rPr>
        <w:t xml:space="preserve">ההנחיות </w:t>
      </w:r>
      <w:r w:rsidRPr="000904E9">
        <w:rPr>
          <w:rFonts w:hint="cs"/>
          <w:b/>
          <w:bCs/>
          <w:rtl/>
        </w:rPr>
        <w:t>החלות על חטיבת הסייבר וגם על המערך הפרוס במחוזות בנוהלי ראש אח"ם, כנדרש לפי פקודות מטא"ר.</w:t>
      </w:r>
      <w:bookmarkEnd w:id="465"/>
      <w:r w:rsidRPr="000904E9">
        <w:rPr>
          <w:rFonts w:hint="cs"/>
          <w:b/>
          <w:bCs/>
          <w:rtl/>
        </w:rPr>
        <w:t xml:space="preserve"> עוד נמצא מסקירת </w:t>
      </w:r>
      <w:r w:rsidR="000155B0" w:rsidRPr="000904E9">
        <w:rPr>
          <w:rFonts w:hint="cs"/>
          <w:b/>
          <w:bCs/>
          <w:rtl/>
        </w:rPr>
        <w:t>ההנחיות</w:t>
      </w:r>
      <w:r w:rsidRPr="000904E9">
        <w:rPr>
          <w:rFonts w:hint="cs"/>
          <w:b/>
          <w:bCs/>
          <w:rtl/>
        </w:rPr>
        <w:t xml:space="preserve"> כי המשטרה לא פירטה את כלל מתווי ה</w:t>
      </w:r>
      <w:r w:rsidR="00DD1003" w:rsidRPr="000904E9">
        <w:rPr>
          <w:rFonts w:hint="cs"/>
          <w:b/>
          <w:bCs/>
          <w:rtl/>
        </w:rPr>
        <w:t>התקנה</w:t>
      </w:r>
      <w:r w:rsidRPr="000904E9">
        <w:rPr>
          <w:rFonts w:hint="cs"/>
          <w:b/>
          <w:bCs/>
          <w:rtl/>
        </w:rPr>
        <w:t xml:space="preserve"> המבוצעים באמצעות כלי טכנולוגי מסוים באחת מפקודות אלו.</w:t>
      </w:r>
    </w:p>
    <w:p w:rsidR="009A1216" w:rsidRPr="002A00D4" w:rsidRDefault="009A1216" w:rsidP="0096347D">
      <w:pPr>
        <w:pStyle w:val="a5"/>
        <w:spacing w:line="269" w:lineRule="auto"/>
        <w:ind w:left="153"/>
        <w:rPr>
          <w:rtl/>
        </w:rPr>
      </w:pPr>
    </w:p>
    <w:p w:rsidR="009A1216" w:rsidRPr="000904E9" w:rsidRDefault="009A1216" w:rsidP="0096347D">
      <w:pPr>
        <w:spacing w:line="269" w:lineRule="auto"/>
        <w:ind w:left="360"/>
        <w:rPr>
          <w:rtl/>
        </w:rPr>
      </w:pPr>
      <w:r w:rsidRPr="000904E9">
        <w:rPr>
          <w:rFonts w:hint="cs"/>
          <w:rtl/>
        </w:rPr>
        <w:t xml:space="preserve">עוד מסרה המשטרה כי </w:t>
      </w:r>
      <w:r w:rsidRPr="000904E9">
        <w:rPr>
          <w:rtl/>
        </w:rPr>
        <w:t xml:space="preserve">עם רכישת </w:t>
      </w:r>
      <w:r w:rsidRPr="000904E9">
        <w:rPr>
          <w:rFonts w:hint="cs"/>
          <w:rtl/>
        </w:rPr>
        <w:t>כלי טכנולוגי</w:t>
      </w:r>
      <w:r w:rsidRPr="000904E9">
        <w:rPr>
          <w:rtl/>
        </w:rPr>
        <w:t xml:space="preserve"> מחברה חיצונית, ייתכן ויתקבל מדריך משתמש מהחברה. עם זאת, מדריך משתמש זה לא מועבר לשוטר המפעיל את המוצר, כמסמך המחייב אותו לתהליך העבודה, אלא נכתב</w:t>
      </w:r>
      <w:r w:rsidR="003A6E15" w:rsidRPr="000904E9">
        <w:rPr>
          <w:rFonts w:hint="cs"/>
          <w:rtl/>
        </w:rPr>
        <w:t>ו</w:t>
      </w:r>
      <w:r w:rsidRPr="000904E9">
        <w:rPr>
          <w:rtl/>
        </w:rPr>
        <w:t xml:space="preserve">ת </w:t>
      </w:r>
      <w:r w:rsidR="0016548D" w:rsidRPr="000904E9">
        <w:rPr>
          <w:rFonts w:hint="cs"/>
          <w:rtl/>
        </w:rPr>
        <w:t>הנחיות עבודה</w:t>
      </w:r>
      <w:r w:rsidRPr="000904E9">
        <w:rPr>
          <w:rtl/>
        </w:rPr>
        <w:t xml:space="preserve"> למפעיל </w:t>
      </w:r>
      <w:r w:rsidR="0016548D" w:rsidRPr="000904E9">
        <w:rPr>
          <w:rFonts w:hint="cs"/>
          <w:rtl/>
        </w:rPr>
        <w:t>ו</w:t>
      </w:r>
      <w:r w:rsidRPr="000904E9">
        <w:rPr>
          <w:rtl/>
        </w:rPr>
        <w:t>למפיק המתווים את תהליך העבודה ו</w:t>
      </w:r>
      <w:r w:rsidRPr="000904E9">
        <w:rPr>
          <w:rFonts w:hint="cs"/>
          <w:rtl/>
        </w:rPr>
        <w:t xml:space="preserve">את </w:t>
      </w:r>
      <w:r w:rsidRPr="000904E9">
        <w:rPr>
          <w:rtl/>
        </w:rPr>
        <w:t xml:space="preserve">אופן השימוש במוצר. </w:t>
      </w:r>
      <w:r w:rsidRPr="000904E9">
        <w:rPr>
          <w:rFonts w:hint="cs"/>
          <w:rtl/>
        </w:rPr>
        <w:t>הו</w:t>
      </w:r>
      <w:r w:rsidRPr="000904E9">
        <w:rPr>
          <w:rtl/>
        </w:rPr>
        <w:t xml:space="preserve">דגש כי בנוגע </w:t>
      </w:r>
      <w:r w:rsidRPr="000904E9">
        <w:rPr>
          <w:rFonts w:hint="cs"/>
          <w:rtl/>
        </w:rPr>
        <w:t>לכלים המוזכרים בדוח ושבכוונת המשטרה להשתמש</w:t>
      </w:r>
      <w:r w:rsidR="00055D2E" w:rsidRPr="000904E9">
        <w:rPr>
          <w:rFonts w:hint="cs"/>
          <w:rtl/>
        </w:rPr>
        <w:t xml:space="preserve"> בהם</w:t>
      </w:r>
      <w:r w:rsidRPr="000904E9">
        <w:rPr>
          <w:rtl/>
        </w:rPr>
        <w:t>, אלה הותאמו לצ</w:t>
      </w:r>
      <w:r w:rsidRPr="000904E9">
        <w:rPr>
          <w:rFonts w:hint="cs"/>
          <w:rtl/>
        </w:rPr>
        <w:t>ו</w:t>
      </w:r>
      <w:r w:rsidRPr="000904E9">
        <w:rPr>
          <w:rtl/>
        </w:rPr>
        <w:t xml:space="preserve">רכי המשטרה ולכן גם אם התקבל מדריך שכזה הוא איננו רלוונטי, </w:t>
      </w:r>
      <w:r w:rsidRPr="000904E9">
        <w:rPr>
          <w:rFonts w:hint="cs"/>
          <w:rtl/>
        </w:rPr>
        <w:t>ו</w:t>
      </w:r>
      <w:r w:rsidRPr="000904E9">
        <w:rPr>
          <w:rtl/>
        </w:rPr>
        <w:t>אינו מהווה מסמך עבודה מחייב שכן תהליך העבודה צריך להיות מותאם למשטרה.</w:t>
      </w:r>
    </w:p>
    <w:p w:rsidR="009A1216" w:rsidRPr="009E6578" w:rsidRDefault="009A1216" w:rsidP="00604C3D">
      <w:pPr>
        <w:pStyle w:val="a5"/>
        <w:spacing w:line="269" w:lineRule="auto"/>
        <w:rPr>
          <w:rtl/>
        </w:rPr>
      </w:pPr>
    </w:p>
    <w:p w:rsidR="009A1216" w:rsidRPr="000904E9" w:rsidRDefault="009A1216" w:rsidP="0096347D">
      <w:pPr>
        <w:spacing w:line="269" w:lineRule="auto"/>
        <w:ind w:left="360"/>
        <w:rPr>
          <w:b/>
          <w:bCs/>
          <w:rtl/>
        </w:rPr>
      </w:pPr>
      <w:r w:rsidRPr="000904E9">
        <w:rPr>
          <w:rFonts w:hint="cs"/>
          <w:b/>
          <w:bCs/>
          <w:rtl/>
        </w:rPr>
        <w:t xml:space="preserve">נמצא כי המשטרה כותבת מדריכי משתמשים לשוטרים לצורך </w:t>
      </w:r>
      <w:bookmarkStart w:id="466" w:name="_Hlk188186152"/>
      <w:r w:rsidRPr="000904E9">
        <w:rPr>
          <w:rFonts w:hint="cs"/>
          <w:b/>
          <w:bCs/>
          <w:rtl/>
        </w:rPr>
        <w:t>היכרות עם המערכות ולצורך הדרכה לגבי שימוש נכון ויעיל במערכות המפותחות על ידה</w:t>
      </w:r>
      <w:bookmarkEnd w:id="466"/>
      <w:r w:rsidRPr="000904E9">
        <w:rPr>
          <w:rFonts w:hint="cs"/>
          <w:b/>
          <w:bCs/>
          <w:rtl/>
        </w:rPr>
        <w:t xml:space="preserve">. עם זאת, המשטרה אינה סבורה כי היא צריכה להחזיק במדריכי משתמש בנוגע לכלים שהיא רוכשת מספק חיצוני. לאור העובדה </w:t>
      </w:r>
      <w:bookmarkStart w:id="467" w:name="_Hlk188185809"/>
      <w:r w:rsidRPr="000904E9">
        <w:rPr>
          <w:rFonts w:hint="cs"/>
          <w:b/>
          <w:bCs/>
          <w:rtl/>
        </w:rPr>
        <w:t>שהשוטרים משתמשים בכלים טכנולוגיים מורכבים ורגישים, מוצע שהמשטרה תוודא שהתמיכה המקצועית לשוטרים, שמטרתה לוודא שימוש נכון בכלים, תתבסס גם על מדריכים למשתמש</w:t>
      </w:r>
      <w:bookmarkEnd w:id="467"/>
      <w:r w:rsidRPr="000904E9">
        <w:rPr>
          <w:rFonts w:hint="cs"/>
          <w:b/>
          <w:bCs/>
          <w:rtl/>
        </w:rPr>
        <w:t xml:space="preserve">. </w:t>
      </w:r>
    </w:p>
    <w:p w:rsidR="0073303F" w:rsidRDefault="0073303F" w:rsidP="0096347D">
      <w:pPr>
        <w:spacing w:line="269" w:lineRule="auto"/>
        <w:ind w:left="360"/>
        <w:rPr>
          <w:b/>
          <w:bCs/>
          <w:rtl/>
        </w:rPr>
      </w:pPr>
    </w:p>
    <w:p w:rsidR="009A1216" w:rsidRDefault="009A1216" w:rsidP="0096347D">
      <w:pPr>
        <w:spacing w:line="269" w:lineRule="auto"/>
        <w:ind w:left="360"/>
        <w:rPr>
          <w:b/>
          <w:bCs/>
          <w:rtl/>
        </w:rPr>
      </w:pPr>
      <w:r>
        <w:rPr>
          <w:rFonts w:hint="cs"/>
          <w:b/>
          <w:bCs/>
          <w:rtl/>
        </w:rPr>
        <w:t>מומלץ כי אח"ם יעגן, בשיתוף גורמי הטכנולוגיה במשטרה וספקי הכלים הטכנולוגיים, פקודת הפעלה או הנחיה ייעודית לגבי כל אחד מהכלים הטכנולוגיים שבשימושה של המשטרה. כמו כן, מומלץ כי בהוראה יפורטו האופן שבו ניתן לממש את מתווי ה</w:t>
      </w:r>
      <w:r w:rsidR="00DD1003">
        <w:rPr>
          <w:rFonts w:hint="cs"/>
          <w:b/>
          <w:bCs/>
          <w:rtl/>
        </w:rPr>
        <w:t>התקנה</w:t>
      </w:r>
      <w:r>
        <w:rPr>
          <w:rFonts w:hint="cs"/>
          <w:b/>
          <w:bCs/>
          <w:rtl/>
        </w:rPr>
        <w:t xml:space="preserve"> המותרים לביצוע באמצעות הכלי וכן כלל הפעולות המותרות והאסורות לביצוע בעת השימוש בו.</w:t>
      </w:r>
      <w:r w:rsidRPr="00A67E6F">
        <w:rPr>
          <w:rFonts w:hint="cs"/>
          <w:b/>
          <w:bCs/>
          <w:rtl/>
        </w:rPr>
        <w:t xml:space="preserve"> </w:t>
      </w:r>
      <w:bookmarkStart w:id="468" w:name="_Hlk199416777"/>
      <w:r>
        <w:rPr>
          <w:rFonts w:hint="cs"/>
          <w:b/>
          <w:bCs/>
          <w:rtl/>
        </w:rPr>
        <w:t xml:space="preserve">בהתאם לזהות הגורמים המורשים להשתמש בכלי הטכנולוגי ייקבע אם פקודת ההפעלה וההנחיות הרלוונטיות יעוגנו כנוהל אגפי (אם הפעולות מבוצעות גם על ידי המערך הפרוס במחוזות) או כהנחיה חטיבתית (אם הפעולות מבוצעות על ידי גורמים במטה חטיבת הסייבר בלבד). </w:t>
      </w:r>
      <w:bookmarkEnd w:id="468"/>
      <w:r>
        <w:rPr>
          <w:rFonts w:hint="cs"/>
          <w:b/>
          <w:bCs/>
          <w:rtl/>
        </w:rPr>
        <w:t>מומלץ שהמשטרה תצרף להוראה מדריך למשתמש המפרט לשוטר את התצורה הפיזית של הכלי ואת ממשק המשתמש בתוכנה.</w:t>
      </w:r>
    </w:p>
    <w:p w:rsidR="009B5D2E" w:rsidRDefault="009B5D2E" w:rsidP="00604C3D">
      <w:pPr>
        <w:spacing w:line="269" w:lineRule="auto"/>
        <w:rPr>
          <w:b/>
          <w:bCs/>
          <w:rtl/>
        </w:rPr>
      </w:pPr>
    </w:p>
    <w:p w:rsidR="009A1216" w:rsidRDefault="00096233" w:rsidP="008C598D">
      <w:pPr>
        <w:pStyle w:val="4"/>
        <w:numPr>
          <w:ilvl w:val="0"/>
          <w:numId w:val="27"/>
        </w:numPr>
        <w:spacing w:before="0" w:line="269" w:lineRule="auto"/>
        <w:rPr>
          <w:rtl/>
        </w:rPr>
      </w:pPr>
      <w:bookmarkStart w:id="469" w:name="_Toc219110328"/>
      <w:bookmarkStart w:id="470" w:name="_Toc219113769"/>
      <w:bookmarkStart w:id="471" w:name="_Toc219286544"/>
      <w:bookmarkStart w:id="472" w:name="_Toc151890754"/>
      <w:bookmarkStart w:id="473" w:name="_Toc151882026"/>
      <w:bookmarkStart w:id="474" w:name="_Toc211521938"/>
      <w:bookmarkStart w:id="475" w:name="_Toc151890764"/>
      <w:bookmarkStart w:id="476" w:name="_Toc151882036"/>
      <w:r>
        <w:rPr>
          <w:rFonts w:hint="cs"/>
          <w:rtl/>
        </w:rPr>
        <w:t>התקנות של כלים טכנולוגיים</w:t>
      </w:r>
      <w:bookmarkEnd w:id="469"/>
      <w:bookmarkEnd w:id="470"/>
      <w:bookmarkEnd w:id="471"/>
      <w:r w:rsidRPr="00C97F44">
        <w:rPr>
          <w:rFonts w:hint="cs"/>
          <w:rtl/>
        </w:rPr>
        <w:t xml:space="preserve"> </w:t>
      </w:r>
      <w:bookmarkEnd w:id="472"/>
      <w:bookmarkEnd w:id="473"/>
      <w:bookmarkEnd w:id="474"/>
    </w:p>
    <w:p w:rsidR="00263D2F" w:rsidRDefault="00263D2F" w:rsidP="00604C3D">
      <w:pPr>
        <w:spacing w:line="269" w:lineRule="auto"/>
        <w:rPr>
          <w:rtl/>
        </w:rPr>
      </w:pPr>
    </w:p>
    <w:p w:rsidR="009A1216" w:rsidRDefault="009A1216" w:rsidP="0096347D">
      <w:pPr>
        <w:spacing w:line="269" w:lineRule="auto"/>
        <w:ind w:left="312"/>
        <w:rPr>
          <w:rtl/>
        </w:rPr>
      </w:pPr>
      <w:r w:rsidRPr="00F62970">
        <w:rPr>
          <w:rFonts w:hint="eastAsia"/>
          <w:rtl/>
        </w:rPr>
        <w:t>להלן</w:t>
      </w:r>
      <w:r>
        <w:rPr>
          <w:rFonts w:hint="cs"/>
          <w:rtl/>
        </w:rPr>
        <w:t xml:space="preserve"> יובא</w:t>
      </w:r>
      <w:r w:rsidRPr="00F62970">
        <w:rPr>
          <w:rtl/>
        </w:rPr>
        <w:t xml:space="preserve"> </w:t>
      </w:r>
      <w:r w:rsidRPr="00F62970">
        <w:rPr>
          <w:rFonts w:hint="eastAsia"/>
          <w:rtl/>
        </w:rPr>
        <w:t>פירוט</w:t>
      </w:r>
      <w:r w:rsidRPr="00F62970">
        <w:rPr>
          <w:rtl/>
        </w:rPr>
        <w:t xml:space="preserve"> </w:t>
      </w:r>
      <w:r w:rsidRPr="00F62970">
        <w:rPr>
          <w:rFonts w:hint="eastAsia"/>
          <w:rtl/>
        </w:rPr>
        <w:t>על</w:t>
      </w:r>
      <w:r w:rsidRPr="00F62970">
        <w:rPr>
          <w:rtl/>
        </w:rPr>
        <w:t xml:space="preserve"> </w:t>
      </w:r>
      <w:r w:rsidRPr="00F62970">
        <w:rPr>
          <w:rFonts w:hint="eastAsia"/>
          <w:rtl/>
        </w:rPr>
        <w:t>אודות</w:t>
      </w:r>
      <w:r w:rsidRPr="00F62970">
        <w:rPr>
          <w:rtl/>
        </w:rPr>
        <w:t xml:space="preserve"> </w:t>
      </w:r>
      <w:r w:rsidR="00E9432B">
        <w:rPr>
          <w:rFonts w:hint="cs"/>
          <w:rtl/>
        </w:rPr>
        <w:t xml:space="preserve">התקנות </w:t>
      </w:r>
      <w:r w:rsidR="00A77084">
        <w:rPr>
          <w:rFonts w:hint="cs"/>
          <w:rtl/>
        </w:rPr>
        <w:t xml:space="preserve">אסורות </w:t>
      </w:r>
      <w:r w:rsidR="00E9432B">
        <w:rPr>
          <w:rFonts w:hint="cs"/>
          <w:rtl/>
        </w:rPr>
        <w:t>של כלים טכנולוגיים נגד יעדי האזנה</w:t>
      </w:r>
      <w:r w:rsidR="00263D2F">
        <w:rPr>
          <w:rFonts w:hint="cs"/>
          <w:rtl/>
        </w:rPr>
        <w:t>. פעולות אלו אסורות משום שהן</w:t>
      </w:r>
      <w:r>
        <w:rPr>
          <w:rFonts w:hint="cs"/>
          <w:rtl/>
        </w:rPr>
        <w:t xml:space="preserve"> התבצע</w:t>
      </w:r>
      <w:r w:rsidR="00263D2F">
        <w:rPr>
          <w:rFonts w:hint="cs"/>
          <w:rtl/>
        </w:rPr>
        <w:t>ו</w:t>
      </w:r>
      <w:r>
        <w:rPr>
          <w:rFonts w:hint="cs"/>
          <w:rtl/>
        </w:rPr>
        <w:t xml:space="preserve"> בחוסר סמכות, תוך חריגה מסמכות או עוררו קושי משפטי.</w:t>
      </w:r>
    </w:p>
    <w:p w:rsidR="009A1216" w:rsidRDefault="009A1216" w:rsidP="00604C3D">
      <w:pPr>
        <w:spacing w:line="269" w:lineRule="auto"/>
        <w:rPr>
          <w:rtl/>
        </w:rPr>
      </w:pPr>
    </w:p>
    <w:p w:rsidR="009A1216" w:rsidRPr="00F36D49" w:rsidRDefault="008A67C6" w:rsidP="00604C3D">
      <w:pPr>
        <w:spacing w:line="269" w:lineRule="auto"/>
        <w:ind w:left="312"/>
        <w:jc w:val="center"/>
        <w:rPr>
          <w:b/>
          <w:bCs/>
          <w:rtl/>
        </w:rPr>
      </w:pPr>
      <w:bookmarkStart w:id="477" w:name="_Hlk184111896"/>
      <w:r>
        <w:rPr>
          <w:rFonts w:hint="cs"/>
          <w:rtl/>
        </w:rPr>
        <w:t>לוח</w:t>
      </w:r>
      <w:r w:rsidRPr="00F36D49">
        <w:rPr>
          <w:rFonts w:hint="cs"/>
          <w:rtl/>
        </w:rPr>
        <w:t xml:space="preserve"> </w:t>
      </w:r>
      <w:r w:rsidR="00263D2F">
        <w:rPr>
          <w:rFonts w:ascii="David" w:hAnsi="David"/>
          <w:sz w:val="24"/>
        </w:rPr>
        <w:t>12</w:t>
      </w:r>
      <w:r w:rsidR="009A1216">
        <w:rPr>
          <w:rFonts w:hint="cs"/>
          <w:rtl/>
        </w:rPr>
        <w:t xml:space="preserve">: </w:t>
      </w:r>
      <w:r w:rsidR="00E9432B">
        <w:rPr>
          <w:rFonts w:hint="cs"/>
          <w:b/>
          <w:bCs/>
          <w:rtl/>
        </w:rPr>
        <w:t xml:space="preserve">התקנות </w:t>
      </w:r>
      <w:r w:rsidR="003D3676">
        <w:rPr>
          <w:rFonts w:hint="cs"/>
          <w:b/>
          <w:bCs/>
          <w:rtl/>
        </w:rPr>
        <w:t xml:space="preserve">אסורות </w:t>
      </w:r>
      <w:r w:rsidR="00E9432B">
        <w:rPr>
          <w:rFonts w:hint="cs"/>
          <w:b/>
          <w:bCs/>
          <w:rtl/>
        </w:rPr>
        <w:t>של כלים טכנולוגיים</w:t>
      </w:r>
      <w:r w:rsidR="00877B0F">
        <w:rPr>
          <w:rFonts w:hint="cs"/>
          <w:b/>
          <w:bCs/>
          <w:rtl/>
        </w:rPr>
        <w:t xml:space="preserve"> </w:t>
      </w:r>
    </w:p>
    <w:tbl>
      <w:tblPr>
        <w:tblStyle w:val="aff6"/>
        <w:bidiVisual/>
        <w:tblW w:w="8259" w:type="dxa"/>
        <w:jc w:val="center"/>
        <w:tblLook w:val="04A0" w:firstRow="1" w:lastRow="0" w:firstColumn="1" w:lastColumn="0" w:noHBand="0" w:noVBand="1"/>
      </w:tblPr>
      <w:tblGrid>
        <w:gridCol w:w="2434"/>
        <w:gridCol w:w="3740"/>
        <w:gridCol w:w="2085"/>
      </w:tblGrid>
      <w:tr w:rsidR="00955BF3" w:rsidRPr="007D3E8D" w:rsidTr="00955BF3">
        <w:trPr>
          <w:jc w:val="center"/>
        </w:trPr>
        <w:tc>
          <w:tcPr>
            <w:tcW w:w="2434" w:type="dxa"/>
            <w:tcBorders>
              <w:top w:val="single" w:sz="24" w:space="0" w:color="auto"/>
              <w:left w:val="single" w:sz="24" w:space="0" w:color="auto"/>
              <w:bottom w:val="single" w:sz="24" w:space="0" w:color="auto"/>
              <w:right w:val="single" w:sz="24" w:space="0" w:color="auto"/>
            </w:tcBorders>
          </w:tcPr>
          <w:p w:rsidR="00955BF3" w:rsidRPr="007D3E8D" w:rsidRDefault="00955BF3" w:rsidP="00604C3D">
            <w:pPr>
              <w:spacing w:line="269" w:lineRule="auto"/>
              <w:jc w:val="center"/>
              <w:rPr>
                <w:rFonts w:eastAsia="Calibri"/>
                <w:b/>
                <w:bCs/>
                <w:sz w:val="22"/>
                <w:szCs w:val="22"/>
                <w:rtl/>
              </w:rPr>
            </w:pPr>
            <w:bookmarkStart w:id="478" w:name="_Hlk188186081"/>
            <w:bookmarkEnd w:id="477"/>
            <w:r w:rsidRPr="007D3E8D">
              <w:rPr>
                <w:rFonts w:eastAsia="Calibri" w:hint="cs"/>
                <w:b/>
                <w:bCs/>
                <w:sz w:val="22"/>
                <w:szCs w:val="22"/>
                <w:rtl/>
              </w:rPr>
              <w:t>התקנה</w:t>
            </w:r>
          </w:p>
        </w:tc>
        <w:tc>
          <w:tcPr>
            <w:tcW w:w="3740" w:type="dxa"/>
            <w:tcBorders>
              <w:top w:val="single" w:sz="24" w:space="0" w:color="auto"/>
              <w:left w:val="single" w:sz="24" w:space="0" w:color="auto"/>
              <w:bottom w:val="single" w:sz="24" w:space="0" w:color="auto"/>
              <w:right w:val="single" w:sz="24" w:space="0" w:color="auto"/>
            </w:tcBorders>
          </w:tcPr>
          <w:p w:rsidR="00955BF3" w:rsidRPr="007D3E8D" w:rsidRDefault="00955BF3" w:rsidP="00604C3D">
            <w:pPr>
              <w:spacing w:line="269" w:lineRule="auto"/>
              <w:jc w:val="center"/>
              <w:rPr>
                <w:rFonts w:eastAsia="Calibri"/>
                <w:b/>
                <w:bCs/>
                <w:sz w:val="22"/>
                <w:szCs w:val="22"/>
                <w:rtl/>
              </w:rPr>
            </w:pPr>
            <w:r w:rsidRPr="007D3E8D">
              <w:rPr>
                <w:rFonts w:eastAsia="Calibri" w:hint="cs"/>
                <w:b/>
                <w:bCs/>
                <w:sz w:val="22"/>
                <w:szCs w:val="22"/>
                <w:rtl/>
              </w:rPr>
              <w:t>המצב המשפטי</w:t>
            </w:r>
          </w:p>
        </w:tc>
        <w:tc>
          <w:tcPr>
            <w:tcW w:w="2085" w:type="dxa"/>
            <w:tcBorders>
              <w:top w:val="single" w:sz="24" w:space="0" w:color="auto"/>
              <w:left w:val="single" w:sz="24" w:space="0" w:color="auto"/>
              <w:bottom w:val="single" w:sz="24" w:space="0" w:color="auto"/>
              <w:right w:val="single" w:sz="24" w:space="0" w:color="auto"/>
            </w:tcBorders>
          </w:tcPr>
          <w:p w:rsidR="00955BF3" w:rsidRPr="007D3E8D" w:rsidRDefault="00955BF3" w:rsidP="00604C3D">
            <w:pPr>
              <w:spacing w:line="269" w:lineRule="auto"/>
              <w:jc w:val="center"/>
              <w:rPr>
                <w:rFonts w:eastAsia="Calibri"/>
                <w:b/>
                <w:bCs/>
                <w:sz w:val="22"/>
                <w:szCs w:val="22"/>
                <w:rtl/>
              </w:rPr>
            </w:pPr>
            <w:r w:rsidRPr="007D3E8D">
              <w:rPr>
                <w:rFonts w:eastAsia="Calibri" w:hint="cs"/>
                <w:b/>
                <w:bCs/>
                <w:sz w:val="22"/>
                <w:szCs w:val="22"/>
                <w:rtl/>
              </w:rPr>
              <w:t>מספר המקרים שבהם אותרה התקנה</w:t>
            </w:r>
          </w:p>
        </w:tc>
      </w:tr>
      <w:tr w:rsidR="00955BF3" w:rsidRPr="007D3E8D" w:rsidTr="00955BF3">
        <w:trPr>
          <w:jc w:val="center"/>
        </w:trPr>
        <w:tc>
          <w:tcPr>
            <w:tcW w:w="2434" w:type="dxa"/>
            <w:tcBorders>
              <w:top w:val="single" w:sz="2" w:space="0" w:color="auto"/>
              <w:left w:val="single" w:sz="24" w:space="0" w:color="auto"/>
              <w:bottom w:val="single" w:sz="2" w:space="0" w:color="auto"/>
              <w:right w:val="single" w:sz="24" w:space="0" w:color="auto"/>
            </w:tcBorders>
          </w:tcPr>
          <w:p w:rsidR="00955BF3" w:rsidRPr="007D3E8D" w:rsidRDefault="00955BF3" w:rsidP="00604C3D">
            <w:pPr>
              <w:spacing w:line="269" w:lineRule="auto"/>
              <w:jc w:val="left"/>
              <w:rPr>
                <w:rFonts w:eastAsia="Calibri"/>
                <w:sz w:val="22"/>
                <w:szCs w:val="22"/>
                <w:rtl/>
              </w:rPr>
            </w:pPr>
            <w:r w:rsidRPr="007D3E8D">
              <w:rPr>
                <w:rFonts w:eastAsia="Calibri" w:hint="cs"/>
                <w:sz w:val="22"/>
                <w:szCs w:val="22"/>
                <w:rtl/>
              </w:rPr>
              <w:t>מתווה התקנה 7</w:t>
            </w:r>
          </w:p>
        </w:tc>
        <w:tc>
          <w:tcPr>
            <w:tcW w:w="3740" w:type="dxa"/>
            <w:tcBorders>
              <w:top w:val="single" w:sz="2" w:space="0" w:color="auto"/>
              <w:left w:val="single" w:sz="24" w:space="0" w:color="auto"/>
              <w:bottom w:val="single" w:sz="2" w:space="0" w:color="auto"/>
              <w:right w:val="single" w:sz="24" w:space="0" w:color="auto"/>
            </w:tcBorders>
            <w:shd w:val="clear" w:color="auto" w:fill="FCDEDE"/>
          </w:tcPr>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פעולה ש</w:t>
            </w:r>
            <w:r w:rsidRPr="007D3E8D">
              <w:rPr>
                <w:rFonts w:eastAsia="Calibri" w:hint="eastAsia"/>
                <w:b/>
                <w:bCs/>
                <w:sz w:val="22"/>
                <w:szCs w:val="22"/>
                <w:rtl/>
              </w:rPr>
              <w:t>מעורר</w:t>
            </w:r>
            <w:r w:rsidRPr="007D3E8D">
              <w:rPr>
                <w:rFonts w:eastAsia="Calibri" w:hint="cs"/>
                <w:b/>
                <w:bCs/>
                <w:sz w:val="22"/>
                <w:szCs w:val="22"/>
                <w:rtl/>
              </w:rPr>
              <w:t>ת</w:t>
            </w:r>
            <w:r w:rsidRPr="007D3E8D">
              <w:rPr>
                <w:rFonts w:eastAsia="Calibri"/>
                <w:b/>
                <w:bCs/>
                <w:sz w:val="22"/>
                <w:szCs w:val="22"/>
                <w:rtl/>
              </w:rPr>
              <w:t xml:space="preserve"> </w:t>
            </w:r>
            <w:r w:rsidRPr="007D3E8D">
              <w:rPr>
                <w:rFonts w:eastAsia="Calibri" w:hint="eastAsia"/>
                <w:b/>
                <w:bCs/>
                <w:sz w:val="22"/>
                <w:szCs w:val="22"/>
                <w:rtl/>
              </w:rPr>
              <w:t>קושי</w:t>
            </w:r>
            <w:r w:rsidRPr="007D3E8D">
              <w:rPr>
                <w:rFonts w:eastAsia="Calibri"/>
                <w:b/>
                <w:bCs/>
                <w:sz w:val="22"/>
                <w:szCs w:val="22"/>
                <w:rtl/>
              </w:rPr>
              <w:t xml:space="preserve"> </w:t>
            </w:r>
            <w:r w:rsidRPr="007D3E8D">
              <w:rPr>
                <w:rFonts w:eastAsia="Calibri" w:hint="eastAsia"/>
                <w:b/>
                <w:bCs/>
                <w:sz w:val="22"/>
                <w:szCs w:val="22"/>
                <w:rtl/>
              </w:rPr>
              <w:t>משפטי</w:t>
            </w:r>
          </w:p>
        </w:tc>
        <w:tc>
          <w:tcPr>
            <w:tcW w:w="2085" w:type="dxa"/>
            <w:tcBorders>
              <w:top w:val="single" w:sz="2" w:space="0" w:color="auto"/>
              <w:left w:val="single" w:sz="24" w:space="0" w:color="auto"/>
              <w:bottom w:val="single" w:sz="2" w:space="0" w:color="auto"/>
              <w:right w:val="single" w:sz="24" w:space="0" w:color="auto"/>
            </w:tcBorders>
          </w:tcPr>
          <w:p w:rsidR="00955BF3" w:rsidRPr="007D3E8D" w:rsidRDefault="00955BF3" w:rsidP="00604C3D">
            <w:pPr>
              <w:spacing w:line="269" w:lineRule="auto"/>
              <w:jc w:val="center"/>
              <w:rPr>
                <w:rFonts w:eastAsia="Calibri"/>
                <w:sz w:val="22"/>
                <w:szCs w:val="22"/>
                <w:rtl/>
              </w:rPr>
            </w:pPr>
            <w:r w:rsidRPr="007D3E8D">
              <w:rPr>
                <w:rFonts w:eastAsia="Calibri"/>
                <w:sz w:val="22"/>
                <w:szCs w:val="22"/>
                <w:rtl/>
              </w:rPr>
              <w:t>2</w:t>
            </w:r>
          </w:p>
        </w:tc>
      </w:tr>
      <w:tr w:rsidR="00955BF3" w:rsidRPr="007D3E8D" w:rsidTr="00955BF3">
        <w:trPr>
          <w:jc w:val="center"/>
        </w:trPr>
        <w:tc>
          <w:tcPr>
            <w:tcW w:w="2434" w:type="dxa"/>
            <w:tcBorders>
              <w:left w:val="single" w:sz="24" w:space="0" w:color="auto"/>
              <w:bottom w:val="single" w:sz="2" w:space="0" w:color="auto"/>
              <w:right w:val="single" w:sz="24" w:space="0" w:color="auto"/>
            </w:tcBorders>
          </w:tcPr>
          <w:p w:rsidR="00955BF3" w:rsidRPr="007D3E8D" w:rsidRDefault="00955BF3" w:rsidP="00604C3D">
            <w:pPr>
              <w:spacing w:line="269" w:lineRule="auto"/>
              <w:jc w:val="left"/>
              <w:rPr>
                <w:rFonts w:eastAsia="Calibri"/>
                <w:sz w:val="22"/>
                <w:szCs w:val="22"/>
                <w:rtl/>
              </w:rPr>
            </w:pPr>
            <w:r w:rsidRPr="007D3E8D">
              <w:rPr>
                <w:rFonts w:eastAsia="Calibri" w:hint="cs"/>
                <w:sz w:val="22"/>
                <w:szCs w:val="22"/>
                <w:rtl/>
              </w:rPr>
              <w:t>מתווה התקנה 8(ה)</w:t>
            </w:r>
          </w:p>
        </w:tc>
        <w:tc>
          <w:tcPr>
            <w:tcW w:w="3740" w:type="dxa"/>
            <w:tcBorders>
              <w:left w:val="single" w:sz="24" w:space="0" w:color="auto"/>
              <w:bottom w:val="single" w:sz="2" w:space="0" w:color="auto"/>
              <w:right w:val="single" w:sz="24" w:space="0" w:color="auto"/>
            </w:tcBorders>
            <w:shd w:val="clear" w:color="auto" w:fill="F69C9D"/>
          </w:tcPr>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פעולה אסורה</w:t>
            </w:r>
          </w:p>
        </w:tc>
        <w:tc>
          <w:tcPr>
            <w:tcW w:w="2085" w:type="dxa"/>
            <w:tcBorders>
              <w:left w:val="single" w:sz="24" w:space="0" w:color="auto"/>
              <w:bottom w:val="single" w:sz="2" w:space="0" w:color="auto"/>
              <w:right w:val="single" w:sz="24" w:space="0" w:color="auto"/>
            </w:tcBorders>
          </w:tcPr>
          <w:p w:rsidR="00955BF3" w:rsidRPr="007D3E8D" w:rsidRDefault="00955BF3" w:rsidP="00604C3D">
            <w:pPr>
              <w:spacing w:line="269" w:lineRule="auto"/>
              <w:jc w:val="center"/>
              <w:rPr>
                <w:rFonts w:eastAsia="Calibri"/>
                <w:sz w:val="22"/>
                <w:szCs w:val="22"/>
                <w:rtl/>
              </w:rPr>
            </w:pPr>
            <w:r w:rsidRPr="007D3E8D">
              <w:rPr>
                <w:rFonts w:eastAsia="Calibri" w:hint="cs"/>
                <w:sz w:val="22"/>
                <w:szCs w:val="22"/>
                <w:rtl/>
              </w:rPr>
              <w:t>2</w:t>
            </w:r>
          </w:p>
          <w:p w:rsidR="00955BF3" w:rsidRPr="007D3E8D" w:rsidRDefault="00955BF3" w:rsidP="00604C3D">
            <w:pPr>
              <w:spacing w:line="269" w:lineRule="auto"/>
              <w:jc w:val="center"/>
              <w:rPr>
                <w:rFonts w:eastAsia="Calibri"/>
                <w:sz w:val="22"/>
                <w:szCs w:val="22"/>
                <w:rtl/>
              </w:rPr>
            </w:pPr>
          </w:p>
        </w:tc>
      </w:tr>
      <w:tr w:rsidR="00955BF3" w:rsidRPr="007D3E8D" w:rsidTr="00955BF3">
        <w:trPr>
          <w:jc w:val="center"/>
        </w:trPr>
        <w:tc>
          <w:tcPr>
            <w:tcW w:w="2434" w:type="dxa"/>
            <w:tcBorders>
              <w:left w:val="single" w:sz="24" w:space="0" w:color="auto"/>
              <w:right w:val="single" w:sz="24" w:space="0" w:color="auto"/>
            </w:tcBorders>
          </w:tcPr>
          <w:p w:rsidR="00955BF3" w:rsidRPr="007D3E8D" w:rsidRDefault="00955BF3" w:rsidP="00604C3D">
            <w:pPr>
              <w:spacing w:line="269" w:lineRule="auto"/>
              <w:jc w:val="left"/>
              <w:rPr>
                <w:rFonts w:eastAsia="Calibri"/>
                <w:sz w:val="22"/>
                <w:szCs w:val="22"/>
                <w:rtl/>
              </w:rPr>
            </w:pPr>
            <w:r w:rsidRPr="007D3E8D">
              <w:rPr>
                <w:rFonts w:eastAsia="Calibri" w:hint="cs"/>
                <w:sz w:val="22"/>
                <w:szCs w:val="22"/>
                <w:rtl/>
              </w:rPr>
              <w:t xml:space="preserve">מתווה התקנה 9(ג) </w:t>
            </w:r>
          </w:p>
        </w:tc>
        <w:tc>
          <w:tcPr>
            <w:tcW w:w="3740" w:type="dxa"/>
            <w:tcBorders>
              <w:left w:val="single" w:sz="24" w:space="0" w:color="auto"/>
              <w:right w:val="single" w:sz="24" w:space="0" w:color="auto"/>
            </w:tcBorders>
            <w:shd w:val="clear" w:color="auto" w:fill="F69C9D"/>
          </w:tcPr>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פעולה אסורה</w:t>
            </w:r>
          </w:p>
        </w:tc>
        <w:tc>
          <w:tcPr>
            <w:tcW w:w="2085" w:type="dxa"/>
            <w:tcBorders>
              <w:left w:val="single" w:sz="24" w:space="0" w:color="auto"/>
              <w:right w:val="single" w:sz="24" w:space="0" w:color="auto"/>
            </w:tcBorders>
          </w:tcPr>
          <w:p w:rsidR="00955BF3" w:rsidRPr="007D3E8D" w:rsidRDefault="00955BF3" w:rsidP="00604C3D">
            <w:pPr>
              <w:spacing w:line="269" w:lineRule="auto"/>
              <w:jc w:val="center"/>
              <w:rPr>
                <w:rFonts w:eastAsia="Calibri"/>
                <w:sz w:val="22"/>
                <w:szCs w:val="22"/>
                <w:rtl/>
              </w:rPr>
            </w:pPr>
            <w:r w:rsidRPr="007D3E8D">
              <w:rPr>
                <w:rFonts w:eastAsia="Calibri" w:hint="cs"/>
                <w:sz w:val="22"/>
                <w:szCs w:val="22"/>
                <w:rtl/>
              </w:rPr>
              <w:t>1</w:t>
            </w:r>
          </w:p>
        </w:tc>
      </w:tr>
      <w:tr w:rsidR="00955BF3" w:rsidRPr="007D3E8D" w:rsidTr="00955BF3">
        <w:trPr>
          <w:jc w:val="center"/>
        </w:trPr>
        <w:tc>
          <w:tcPr>
            <w:tcW w:w="2434" w:type="dxa"/>
            <w:tcBorders>
              <w:top w:val="single" w:sz="24" w:space="0" w:color="auto"/>
              <w:left w:val="single" w:sz="24" w:space="0" w:color="auto"/>
              <w:bottom w:val="single" w:sz="24" w:space="0" w:color="auto"/>
              <w:right w:val="single" w:sz="24" w:space="0" w:color="auto"/>
            </w:tcBorders>
          </w:tcPr>
          <w:p w:rsidR="00955BF3" w:rsidRPr="007D3E8D" w:rsidRDefault="00955BF3" w:rsidP="00604C3D">
            <w:pPr>
              <w:spacing w:line="269" w:lineRule="auto"/>
              <w:jc w:val="left"/>
              <w:rPr>
                <w:rFonts w:eastAsia="Calibri"/>
                <w:sz w:val="22"/>
                <w:szCs w:val="22"/>
                <w:rtl/>
              </w:rPr>
            </w:pPr>
            <w:r w:rsidRPr="007D3E8D">
              <w:rPr>
                <w:rFonts w:eastAsia="Calibri" w:hint="cs"/>
                <w:sz w:val="22"/>
                <w:szCs w:val="22"/>
                <w:rtl/>
              </w:rPr>
              <w:t>שימוש בכלי טכנולוגי לפני אישורו המשפטי</w:t>
            </w:r>
          </w:p>
        </w:tc>
        <w:tc>
          <w:tcPr>
            <w:tcW w:w="3740" w:type="dxa"/>
            <w:tcBorders>
              <w:top w:val="single" w:sz="24" w:space="0" w:color="auto"/>
              <w:left w:val="single" w:sz="24" w:space="0" w:color="auto"/>
              <w:bottom w:val="single" w:sz="24" w:space="0" w:color="auto"/>
              <w:right w:val="single" w:sz="24" w:space="0" w:color="auto"/>
            </w:tcBorders>
            <w:shd w:val="clear" w:color="auto" w:fill="FCDEDE"/>
          </w:tcPr>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פעולה פגומה שאושרה בדיעבד ורק באופן חלקי</w:t>
            </w:r>
            <w:r w:rsidRPr="007D3E8D">
              <w:rPr>
                <w:rFonts w:eastAsia="Calibri"/>
                <w:b/>
                <w:bCs/>
                <w:sz w:val="22"/>
                <w:szCs w:val="22"/>
                <w:vertAlign w:val="superscript"/>
                <w:rtl/>
              </w:rPr>
              <w:footnoteReference w:id="180"/>
            </w:r>
          </w:p>
        </w:tc>
        <w:tc>
          <w:tcPr>
            <w:tcW w:w="2085" w:type="dxa"/>
            <w:tcBorders>
              <w:top w:val="single" w:sz="24" w:space="0" w:color="auto"/>
              <w:left w:val="single" w:sz="24" w:space="0" w:color="auto"/>
              <w:bottom w:val="single" w:sz="24" w:space="0" w:color="auto"/>
              <w:right w:val="single" w:sz="24" w:space="0" w:color="auto"/>
            </w:tcBorders>
          </w:tcPr>
          <w:p w:rsidR="00955BF3" w:rsidRPr="007D3E8D" w:rsidRDefault="00955BF3" w:rsidP="00604C3D">
            <w:pPr>
              <w:spacing w:line="269" w:lineRule="auto"/>
              <w:jc w:val="center"/>
              <w:rPr>
                <w:rFonts w:eastAsia="Calibri"/>
                <w:sz w:val="22"/>
                <w:szCs w:val="22"/>
                <w:rtl/>
              </w:rPr>
            </w:pPr>
            <w:r w:rsidRPr="007D3E8D">
              <w:rPr>
                <w:rFonts w:eastAsia="Calibri" w:hint="cs"/>
                <w:sz w:val="22"/>
                <w:szCs w:val="22"/>
                <w:rtl/>
              </w:rPr>
              <w:t>2</w:t>
            </w:r>
          </w:p>
        </w:tc>
      </w:tr>
      <w:tr w:rsidR="00955BF3" w:rsidRPr="007D3E8D" w:rsidTr="00955BF3">
        <w:trPr>
          <w:jc w:val="center"/>
        </w:trPr>
        <w:tc>
          <w:tcPr>
            <w:tcW w:w="2434" w:type="dxa"/>
            <w:tcBorders>
              <w:top w:val="single" w:sz="24" w:space="0" w:color="auto"/>
              <w:left w:val="single" w:sz="24" w:space="0" w:color="auto"/>
              <w:right w:val="single" w:sz="24" w:space="0" w:color="auto"/>
            </w:tcBorders>
          </w:tcPr>
          <w:p w:rsidR="00955BF3" w:rsidRPr="007D3E8D" w:rsidRDefault="00955BF3" w:rsidP="00604C3D">
            <w:pPr>
              <w:spacing w:line="269" w:lineRule="auto"/>
              <w:jc w:val="left"/>
              <w:rPr>
                <w:rFonts w:eastAsia="Calibri"/>
                <w:sz w:val="22"/>
                <w:szCs w:val="22"/>
                <w:rtl/>
              </w:rPr>
            </w:pPr>
            <w:r w:rsidRPr="007D3E8D">
              <w:rPr>
                <w:rFonts w:eastAsia="Calibri" w:hint="cs"/>
                <w:sz w:val="22"/>
                <w:szCs w:val="22"/>
                <w:rtl/>
              </w:rPr>
              <w:t>התקנה ללא צו</w:t>
            </w:r>
          </w:p>
        </w:tc>
        <w:tc>
          <w:tcPr>
            <w:tcW w:w="3740" w:type="dxa"/>
            <w:tcBorders>
              <w:top w:val="single" w:sz="24" w:space="0" w:color="auto"/>
              <w:left w:val="single" w:sz="24" w:space="0" w:color="auto"/>
              <w:right w:val="single" w:sz="24" w:space="0" w:color="auto"/>
            </w:tcBorders>
            <w:shd w:val="clear" w:color="auto" w:fill="F69C9D"/>
          </w:tcPr>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האזנת סתר אסורה</w:t>
            </w:r>
          </w:p>
        </w:tc>
        <w:tc>
          <w:tcPr>
            <w:tcW w:w="2085" w:type="dxa"/>
            <w:tcBorders>
              <w:top w:val="single" w:sz="24" w:space="0" w:color="auto"/>
              <w:left w:val="single" w:sz="24" w:space="0" w:color="auto"/>
              <w:right w:val="single" w:sz="24" w:space="0" w:color="auto"/>
            </w:tcBorders>
          </w:tcPr>
          <w:p w:rsidR="00955BF3" w:rsidRPr="007D3E8D" w:rsidRDefault="00955BF3" w:rsidP="00604C3D">
            <w:pPr>
              <w:spacing w:line="269" w:lineRule="auto"/>
              <w:jc w:val="center"/>
              <w:rPr>
                <w:rFonts w:eastAsia="Calibri"/>
                <w:sz w:val="22"/>
                <w:szCs w:val="22"/>
                <w:rtl/>
              </w:rPr>
            </w:pPr>
            <w:r w:rsidRPr="007D3E8D">
              <w:rPr>
                <w:rFonts w:eastAsia="Calibri" w:hint="cs"/>
                <w:sz w:val="22"/>
                <w:szCs w:val="22"/>
                <w:rtl/>
              </w:rPr>
              <w:t>2</w:t>
            </w:r>
          </w:p>
        </w:tc>
      </w:tr>
      <w:tr w:rsidR="00955BF3" w:rsidRPr="007D3E8D" w:rsidTr="00955BF3">
        <w:trPr>
          <w:jc w:val="center"/>
        </w:trPr>
        <w:tc>
          <w:tcPr>
            <w:tcW w:w="2434" w:type="dxa"/>
            <w:tcBorders>
              <w:left w:val="single" w:sz="24" w:space="0" w:color="auto"/>
              <w:right w:val="single" w:sz="24" w:space="0" w:color="auto"/>
            </w:tcBorders>
          </w:tcPr>
          <w:p w:rsidR="00955BF3" w:rsidRPr="007D3E8D" w:rsidRDefault="00955BF3" w:rsidP="00604C3D">
            <w:pPr>
              <w:spacing w:line="269" w:lineRule="auto"/>
              <w:jc w:val="left"/>
              <w:rPr>
                <w:rFonts w:eastAsia="Calibri"/>
                <w:sz w:val="22"/>
                <w:szCs w:val="22"/>
                <w:rtl/>
              </w:rPr>
            </w:pPr>
            <w:r w:rsidRPr="007D3E8D">
              <w:rPr>
                <w:rFonts w:eastAsia="Calibri" w:hint="cs"/>
                <w:sz w:val="22"/>
                <w:szCs w:val="22"/>
                <w:rtl/>
              </w:rPr>
              <w:t>התקנת כלי טכנולוגי כלפי יעד תמים</w:t>
            </w:r>
          </w:p>
        </w:tc>
        <w:tc>
          <w:tcPr>
            <w:tcW w:w="3740" w:type="dxa"/>
            <w:tcBorders>
              <w:left w:val="single" w:sz="24" w:space="0" w:color="auto"/>
              <w:right w:val="single" w:sz="24" w:space="0" w:color="auto"/>
            </w:tcBorders>
            <w:shd w:val="clear" w:color="auto" w:fill="FDD99B"/>
          </w:tcPr>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 xml:space="preserve">האזנת סתר אסורה </w:t>
            </w:r>
          </w:p>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שנעשתה בטעות בתום לב</w:t>
            </w:r>
          </w:p>
        </w:tc>
        <w:tc>
          <w:tcPr>
            <w:tcW w:w="2085" w:type="dxa"/>
            <w:tcBorders>
              <w:left w:val="single" w:sz="24" w:space="0" w:color="auto"/>
              <w:right w:val="single" w:sz="24" w:space="0" w:color="auto"/>
            </w:tcBorders>
          </w:tcPr>
          <w:p w:rsidR="00955BF3" w:rsidRPr="007D3E8D" w:rsidRDefault="00955BF3" w:rsidP="00604C3D">
            <w:pPr>
              <w:spacing w:line="269" w:lineRule="auto"/>
              <w:jc w:val="center"/>
              <w:rPr>
                <w:rFonts w:eastAsia="Calibri"/>
                <w:sz w:val="22"/>
                <w:szCs w:val="22"/>
                <w:rtl/>
              </w:rPr>
            </w:pPr>
            <w:r w:rsidRPr="007D3E8D">
              <w:rPr>
                <w:rFonts w:eastAsia="Calibri" w:hint="cs"/>
                <w:sz w:val="22"/>
                <w:szCs w:val="22"/>
                <w:rtl/>
              </w:rPr>
              <w:t>13</w:t>
            </w:r>
          </w:p>
        </w:tc>
      </w:tr>
      <w:tr w:rsidR="00955BF3" w:rsidRPr="007D3E8D" w:rsidTr="00955BF3">
        <w:trPr>
          <w:jc w:val="center"/>
        </w:trPr>
        <w:tc>
          <w:tcPr>
            <w:tcW w:w="2434" w:type="dxa"/>
            <w:tcBorders>
              <w:left w:val="single" w:sz="24" w:space="0" w:color="auto"/>
              <w:bottom w:val="single" w:sz="24" w:space="0" w:color="auto"/>
              <w:right w:val="single" w:sz="24" w:space="0" w:color="auto"/>
            </w:tcBorders>
          </w:tcPr>
          <w:p w:rsidR="00955BF3" w:rsidRPr="007D3E8D" w:rsidRDefault="00955BF3" w:rsidP="00604C3D">
            <w:pPr>
              <w:spacing w:line="269" w:lineRule="auto"/>
              <w:jc w:val="left"/>
              <w:rPr>
                <w:rFonts w:eastAsia="Calibri"/>
                <w:sz w:val="22"/>
                <w:szCs w:val="22"/>
                <w:rtl/>
              </w:rPr>
            </w:pPr>
            <w:r w:rsidRPr="007D3E8D">
              <w:rPr>
                <w:rFonts w:eastAsia="Calibri" w:hint="cs"/>
                <w:sz w:val="22"/>
                <w:szCs w:val="22"/>
                <w:rtl/>
              </w:rPr>
              <w:t>התקנה ללא צו מתאים</w:t>
            </w:r>
          </w:p>
        </w:tc>
        <w:tc>
          <w:tcPr>
            <w:tcW w:w="3740" w:type="dxa"/>
            <w:tcBorders>
              <w:left w:val="single" w:sz="24" w:space="0" w:color="auto"/>
              <w:bottom w:val="single" w:sz="24" w:space="0" w:color="auto"/>
              <w:right w:val="single" w:sz="24" w:space="0" w:color="auto"/>
            </w:tcBorders>
            <w:shd w:val="clear" w:color="auto" w:fill="FDD99B"/>
          </w:tcPr>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 xml:space="preserve">האזנת סתר אסורה </w:t>
            </w:r>
          </w:p>
          <w:p w:rsidR="00955BF3" w:rsidRPr="007D3E8D" w:rsidRDefault="00955BF3" w:rsidP="00604C3D">
            <w:pPr>
              <w:spacing w:line="269" w:lineRule="auto"/>
              <w:jc w:val="left"/>
              <w:rPr>
                <w:rFonts w:eastAsia="Calibri"/>
                <w:b/>
                <w:bCs/>
                <w:sz w:val="22"/>
                <w:szCs w:val="22"/>
                <w:rtl/>
              </w:rPr>
            </w:pPr>
            <w:r w:rsidRPr="007D3E8D">
              <w:rPr>
                <w:rFonts w:eastAsia="Calibri" w:hint="cs"/>
                <w:b/>
                <w:bCs/>
                <w:sz w:val="22"/>
                <w:szCs w:val="22"/>
                <w:rtl/>
              </w:rPr>
              <w:t>שנעשתה בטעות בתום לב</w:t>
            </w:r>
          </w:p>
        </w:tc>
        <w:tc>
          <w:tcPr>
            <w:tcW w:w="2085" w:type="dxa"/>
            <w:tcBorders>
              <w:left w:val="single" w:sz="24" w:space="0" w:color="auto"/>
              <w:bottom w:val="single" w:sz="24" w:space="0" w:color="auto"/>
              <w:right w:val="single" w:sz="24" w:space="0" w:color="auto"/>
            </w:tcBorders>
          </w:tcPr>
          <w:p w:rsidR="00955BF3" w:rsidRPr="007D3E8D" w:rsidRDefault="00955BF3" w:rsidP="00604C3D">
            <w:pPr>
              <w:spacing w:line="269" w:lineRule="auto"/>
              <w:jc w:val="center"/>
              <w:rPr>
                <w:rFonts w:eastAsia="Calibri"/>
                <w:sz w:val="22"/>
                <w:szCs w:val="22"/>
                <w:rtl/>
              </w:rPr>
            </w:pPr>
            <w:r w:rsidRPr="007D3E8D">
              <w:rPr>
                <w:rFonts w:eastAsia="Calibri" w:hint="cs"/>
                <w:sz w:val="22"/>
                <w:szCs w:val="22"/>
                <w:rtl/>
              </w:rPr>
              <w:t>3</w:t>
            </w:r>
          </w:p>
        </w:tc>
      </w:tr>
    </w:tbl>
    <w:bookmarkEnd w:id="478"/>
    <w:p w:rsidR="009A1216" w:rsidRDefault="009A1216" w:rsidP="00604C3D">
      <w:pPr>
        <w:spacing w:line="269" w:lineRule="auto"/>
        <w:jc w:val="left"/>
        <w:rPr>
          <w:b/>
          <w:bCs/>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sidR="005A7854">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5A7854">
        <w:rPr>
          <w:rFonts w:hint="cs"/>
          <w:szCs w:val="20"/>
          <w:rtl/>
        </w:rPr>
        <w:t>.</w:t>
      </w:r>
    </w:p>
    <w:p w:rsidR="00263D2F" w:rsidRPr="000904E9" w:rsidRDefault="00263D2F" w:rsidP="00604C3D">
      <w:pPr>
        <w:spacing w:line="269" w:lineRule="auto"/>
      </w:pPr>
      <w:bookmarkStart w:id="479" w:name="_Toc151890758"/>
      <w:bookmarkStart w:id="480" w:name="_Toc151882030"/>
      <w:bookmarkStart w:id="481" w:name="_Hlk185160953"/>
    </w:p>
    <w:p w:rsidR="009A1216" w:rsidRDefault="009A1216" w:rsidP="008C598D">
      <w:pPr>
        <w:pStyle w:val="af2"/>
        <w:numPr>
          <w:ilvl w:val="0"/>
          <w:numId w:val="21"/>
        </w:numPr>
        <w:spacing w:line="269" w:lineRule="auto"/>
      </w:pPr>
      <w:r w:rsidRPr="007D3E8D">
        <w:rPr>
          <w:rStyle w:val="70"/>
          <w:rFonts w:hint="cs"/>
          <w:rtl/>
        </w:rPr>
        <w:t xml:space="preserve">שימוש במתווי </w:t>
      </w:r>
      <w:r w:rsidR="00DD1003" w:rsidRPr="007D3E8D">
        <w:rPr>
          <w:rStyle w:val="70"/>
          <w:rFonts w:hint="cs"/>
          <w:rtl/>
        </w:rPr>
        <w:t>התקנה</w:t>
      </w:r>
      <w:r w:rsidRPr="007D3E8D">
        <w:rPr>
          <w:rStyle w:val="70"/>
          <w:rFonts w:hint="cs"/>
          <w:rtl/>
        </w:rPr>
        <w:t xml:space="preserve"> תוך חריגה מהוראות הדין</w:t>
      </w:r>
      <w:bookmarkEnd w:id="479"/>
      <w:bookmarkEnd w:id="480"/>
      <w:r w:rsidRPr="00BE0131">
        <w:rPr>
          <w:rFonts w:eastAsiaTheme="majorEastAsia" w:hint="cs"/>
          <w:bCs/>
          <w:spacing w:val="40"/>
          <w:rtl/>
        </w:rPr>
        <w:t>:</w:t>
      </w:r>
      <w:r>
        <w:rPr>
          <w:rFonts w:eastAsiaTheme="majorEastAsia" w:hint="cs"/>
          <w:bCs/>
          <w:spacing w:val="40"/>
          <w:rtl/>
        </w:rPr>
        <w:t xml:space="preserve"> </w:t>
      </w:r>
      <w:r w:rsidRPr="00BE0131">
        <w:rPr>
          <w:rFonts w:hint="cs"/>
          <w:rtl/>
        </w:rPr>
        <w:t>בבדיקות</w:t>
      </w:r>
      <w:bookmarkEnd w:id="481"/>
      <w:r w:rsidRPr="00BE0131">
        <w:rPr>
          <w:rFonts w:hint="cs"/>
          <w:rtl/>
        </w:rPr>
        <w:t xml:space="preserve"> </w:t>
      </w:r>
      <w:r>
        <w:rPr>
          <w:rFonts w:hint="cs"/>
          <w:rtl/>
        </w:rPr>
        <w:t xml:space="preserve">שביצע משרד מבקר המדינה במסמכי המשטרה ובכלים הטכנולוגיים עלו כמה מקרים שבהם בוצעו מתווי </w:t>
      </w:r>
      <w:r w:rsidR="00DD1003">
        <w:rPr>
          <w:rFonts w:hint="cs"/>
          <w:rtl/>
        </w:rPr>
        <w:t>התקנה</w:t>
      </w:r>
      <w:r>
        <w:rPr>
          <w:rFonts w:hint="cs"/>
          <w:rtl/>
        </w:rPr>
        <w:t xml:space="preserve"> תוך חריגה מסמכות או שהם מעוררים קושי משפטי: </w:t>
      </w:r>
    </w:p>
    <w:p w:rsidR="00263D2F" w:rsidRPr="000904E9" w:rsidRDefault="00263D2F" w:rsidP="00604C3D">
      <w:pPr>
        <w:spacing w:line="269" w:lineRule="auto"/>
      </w:pPr>
      <w:bookmarkStart w:id="482" w:name="_Toc151890759"/>
      <w:bookmarkStart w:id="483" w:name="_Toc151882031"/>
    </w:p>
    <w:p w:rsidR="009A1216" w:rsidRDefault="009A1216" w:rsidP="00333EA5">
      <w:pPr>
        <w:pStyle w:val="af2"/>
        <w:numPr>
          <w:ilvl w:val="1"/>
          <w:numId w:val="21"/>
        </w:numPr>
        <w:spacing w:line="269" w:lineRule="auto"/>
        <w:ind w:left="1145" w:hanging="425"/>
      </w:pPr>
      <w:r w:rsidRPr="007D3E8D">
        <w:rPr>
          <w:rStyle w:val="80"/>
          <w:rFonts w:hint="eastAsia"/>
          <w:rtl/>
        </w:rPr>
        <w:t>מתווה</w:t>
      </w:r>
      <w:r w:rsidRPr="007D3E8D">
        <w:rPr>
          <w:rStyle w:val="80"/>
          <w:rtl/>
        </w:rPr>
        <w:t xml:space="preserve"> </w:t>
      </w:r>
      <w:r w:rsidR="00DD1003" w:rsidRPr="007D3E8D">
        <w:rPr>
          <w:rStyle w:val="80"/>
          <w:rtl/>
        </w:rPr>
        <w:t>התקנה</w:t>
      </w:r>
      <w:r w:rsidR="007D3E8D">
        <w:rPr>
          <w:rStyle w:val="80"/>
          <w:rFonts w:hint="cs"/>
          <w:rtl/>
        </w:rPr>
        <w:t xml:space="preserve"> </w:t>
      </w:r>
      <w:r w:rsidRPr="007D3E8D">
        <w:rPr>
          <w:rStyle w:val="80"/>
          <w:rFonts w:hint="cs"/>
          <w:rtl/>
        </w:rPr>
        <w:t>7</w:t>
      </w:r>
      <w:bookmarkEnd w:id="482"/>
      <w:bookmarkEnd w:id="483"/>
      <w:r>
        <w:rPr>
          <w:rFonts w:hint="cs"/>
          <w:rtl/>
        </w:rPr>
        <w:t xml:space="preserve">: משרד מבקר המדינה איתר שני מקרים בהם נעשה שימוש במתווה </w:t>
      </w:r>
      <w:r w:rsidR="00DD1003">
        <w:rPr>
          <w:rFonts w:hint="cs"/>
          <w:rtl/>
        </w:rPr>
        <w:t>התקנה</w:t>
      </w:r>
      <w:r>
        <w:rPr>
          <w:rFonts w:hint="cs"/>
          <w:rtl/>
        </w:rPr>
        <w:t xml:space="preserve"> זה. </w:t>
      </w:r>
    </w:p>
    <w:p w:rsidR="009A1216" w:rsidRDefault="00382AE8" w:rsidP="00333EA5">
      <w:pPr>
        <w:pStyle w:val="a5"/>
        <w:spacing w:line="269" w:lineRule="auto"/>
        <w:ind w:left="296"/>
        <w:rPr>
          <w:rStyle w:val="50"/>
          <w:rtl/>
        </w:rPr>
      </w:pPr>
      <w:r>
        <w:rPr>
          <w:rFonts w:hint="cs"/>
          <w:rtl/>
        </w:rPr>
        <w:t xml:space="preserve"> </w:t>
      </w:r>
    </w:p>
    <w:p w:rsidR="009A1216" w:rsidRDefault="009A1216" w:rsidP="00333EA5">
      <w:pPr>
        <w:pStyle w:val="af2"/>
        <w:spacing w:line="269" w:lineRule="auto"/>
        <w:ind w:left="1145"/>
      </w:pPr>
      <w:r>
        <w:rPr>
          <w:rFonts w:hint="cs"/>
          <w:rtl/>
        </w:rPr>
        <w:t>יתרה מזו, משרד מבקר המדינה איתר שני מקרים נוספים שבהם נאסף מידע</w:t>
      </w:r>
      <w:r w:rsidR="00382AE8">
        <w:rPr>
          <w:rFonts w:hint="cs"/>
          <w:rtl/>
        </w:rPr>
        <w:t xml:space="preserve"> </w:t>
      </w:r>
      <w:r>
        <w:rPr>
          <w:rFonts w:hint="cs"/>
          <w:rtl/>
        </w:rPr>
        <w:t xml:space="preserve">המשמש לצורך </w:t>
      </w:r>
      <w:r w:rsidR="00DD1003">
        <w:rPr>
          <w:rFonts w:hint="cs"/>
          <w:rtl/>
        </w:rPr>
        <w:t>התקנת כלי טכנולוגי על</w:t>
      </w:r>
      <w:r>
        <w:rPr>
          <w:rFonts w:hint="cs"/>
          <w:rtl/>
        </w:rPr>
        <w:t xml:space="preserve"> מכשיר קצה במתווה </w:t>
      </w:r>
      <w:r w:rsidR="00DD1003">
        <w:rPr>
          <w:rFonts w:hint="cs"/>
          <w:rtl/>
        </w:rPr>
        <w:t>התקנה</w:t>
      </w:r>
      <w:r>
        <w:rPr>
          <w:rFonts w:hint="cs"/>
          <w:rtl/>
        </w:rPr>
        <w:t xml:space="preserve"> 7. מידע זה הועבר מהיחידה המזמינה את ה</w:t>
      </w:r>
      <w:r w:rsidR="00DD1003">
        <w:rPr>
          <w:rFonts w:hint="cs"/>
          <w:rtl/>
        </w:rPr>
        <w:t>התקנה</w:t>
      </w:r>
      <w:r>
        <w:rPr>
          <w:rFonts w:hint="cs"/>
          <w:rtl/>
        </w:rPr>
        <w:t xml:space="preserve"> לידי היחידה המבצעת במסגרת הליך ההיערכות ל</w:t>
      </w:r>
      <w:r w:rsidR="00DD1003">
        <w:rPr>
          <w:rFonts w:hint="cs"/>
          <w:rtl/>
        </w:rPr>
        <w:t>התקנה</w:t>
      </w:r>
      <w:r>
        <w:rPr>
          <w:rFonts w:hint="cs"/>
          <w:rtl/>
        </w:rPr>
        <w:t>. התנהלות זו מעלה חשש כי המשטרה השתמשה במתווה ה</w:t>
      </w:r>
      <w:r w:rsidR="00DD1003">
        <w:rPr>
          <w:rFonts w:hint="cs"/>
          <w:rtl/>
        </w:rPr>
        <w:t>התקנה</w:t>
      </w:r>
      <w:r>
        <w:rPr>
          <w:rFonts w:hint="cs"/>
          <w:rtl/>
        </w:rPr>
        <w:t>, שבדיעבד לא אושר על ידי משרד המשפטים. בהיעדר תיעוד ביצוע של מתווה ה</w:t>
      </w:r>
      <w:r w:rsidR="00DD1003">
        <w:rPr>
          <w:rFonts w:hint="cs"/>
          <w:rtl/>
        </w:rPr>
        <w:t>התקנה</w:t>
      </w:r>
      <w:r>
        <w:rPr>
          <w:rFonts w:hint="cs"/>
          <w:rtl/>
        </w:rPr>
        <w:t>, לא אותרו במשטרה די נתונים כדי לקבוע כי ה</w:t>
      </w:r>
      <w:r w:rsidR="00DD1003">
        <w:rPr>
          <w:rFonts w:hint="cs"/>
          <w:rtl/>
        </w:rPr>
        <w:t>התקנה</w:t>
      </w:r>
      <w:r>
        <w:rPr>
          <w:rFonts w:hint="cs"/>
          <w:rtl/>
        </w:rPr>
        <w:t xml:space="preserve"> בוצעה בפועל במתווה זה. </w:t>
      </w:r>
    </w:p>
    <w:p w:rsidR="009A1216" w:rsidRDefault="00382AE8" w:rsidP="00333EA5">
      <w:pPr>
        <w:pStyle w:val="a5"/>
        <w:spacing w:line="269" w:lineRule="auto"/>
        <w:ind w:left="296"/>
        <w:rPr>
          <w:rStyle w:val="50"/>
          <w:rtl/>
        </w:rPr>
      </w:pPr>
      <w:r>
        <w:rPr>
          <w:rFonts w:hint="cs"/>
          <w:rtl/>
        </w:rPr>
        <w:t xml:space="preserve"> </w:t>
      </w:r>
    </w:p>
    <w:p w:rsidR="009A1216" w:rsidRDefault="009A1216" w:rsidP="00333EA5">
      <w:pPr>
        <w:pStyle w:val="af2"/>
        <w:spacing w:line="269" w:lineRule="auto"/>
        <w:ind w:left="1145"/>
        <w:rPr>
          <w:rtl/>
        </w:rPr>
      </w:pPr>
      <w:bookmarkStart w:id="484" w:name="_Hlk190938132"/>
      <w:r>
        <w:rPr>
          <w:rFonts w:hint="cs"/>
          <w:rtl/>
        </w:rPr>
        <w:t xml:space="preserve">המשטרה מסרה במענה לשאלות משרד מבקר המדינה כי היא השתמשה במידע מסוים במקרים שבהם היא הצטרכה להשיג מידע נוסף שהיה חסר לה. זאת, לשם איסוף תוצרי האזנת סתר ולא לצורך </w:t>
      </w:r>
      <w:bookmarkEnd w:id="484"/>
      <w:r w:rsidR="00DD1003">
        <w:rPr>
          <w:rFonts w:hint="cs"/>
          <w:rtl/>
        </w:rPr>
        <w:t>התקנה</w:t>
      </w:r>
      <w:r w:rsidRPr="00DA35AD">
        <w:rPr>
          <w:rtl/>
        </w:rPr>
        <w:t>.</w:t>
      </w:r>
    </w:p>
    <w:p w:rsidR="009A1216" w:rsidRDefault="00382AE8" w:rsidP="00333EA5">
      <w:pPr>
        <w:pStyle w:val="a5"/>
        <w:spacing w:line="269" w:lineRule="auto"/>
        <w:ind w:left="296"/>
        <w:rPr>
          <w:rStyle w:val="50"/>
          <w:rtl/>
        </w:rPr>
      </w:pPr>
      <w:r>
        <w:rPr>
          <w:rFonts w:hint="cs"/>
          <w:rtl/>
        </w:rPr>
        <w:t xml:space="preserve"> </w:t>
      </w:r>
    </w:p>
    <w:p w:rsidR="009A1216" w:rsidRDefault="009A1216" w:rsidP="00333EA5">
      <w:pPr>
        <w:pStyle w:val="af2"/>
        <w:spacing w:line="269" w:lineRule="auto"/>
        <w:ind w:left="1145"/>
      </w:pPr>
      <w:r>
        <w:rPr>
          <w:rFonts w:hint="cs"/>
          <w:rtl/>
        </w:rPr>
        <w:t xml:space="preserve">לעמדת מבקר המדינה, </w:t>
      </w:r>
      <w:bookmarkStart w:id="485" w:name="_Hlk190253032"/>
      <w:r>
        <w:rPr>
          <w:rFonts w:hint="cs"/>
          <w:rtl/>
        </w:rPr>
        <w:t xml:space="preserve">בניגוד לעמדת המשטרה אין המדובר בשימוש לצורך איסוף תוצרים בלבד, אלא לביצוע </w:t>
      </w:r>
      <w:r w:rsidR="00DD1003">
        <w:rPr>
          <w:rFonts w:hint="cs"/>
          <w:rtl/>
        </w:rPr>
        <w:t>התקנה</w:t>
      </w:r>
      <w:r>
        <w:rPr>
          <w:rFonts w:hint="cs"/>
          <w:rtl/>
        </w:rPr>
        <w:t xml:space="preserve"> העומדת בפני עצמה</w:t>
      </w:r>
      <w:bookmarkEnd w:id="485"/>
      <w:r>
        <w:rPr>
          <w:rFonts w:hint="cs"/>
          <w:rtl/>
        </w:rPr>
        <w:t>.</w:t>
      </w:r>
      <w:r w:rsidRPr="0075195C">
        <w:rPr>
          <w:rFonts w:hint="cs"/>
          <w:rtl/>
        </w:rPr>
        <w:t xml:space="preserve"> </w:t>
      </w:r>
      <w:r>
        <w:rPr>
          <w:rFonts w:hint="cs"/>
          <w:rtl/>
        </w:rPr>
        <w:t xml:space="preserve">הואיל והעברת המידע האמור לידי מפעילים טכנולוגיים משמש באופן בלעדי לביצוע </w:t>
      </w:r>
      <w:r w:rsidR="00DD1003">
        <w:rPr>
          <w:rFonts w:hint="cs"/>
          <w:rtl/>
        </w:rPr>
        <w:t>התקנה</w:t>
      </w:r>
      <w:r>
        <w:rPr>
          <w:rFonts w:hint="cs"/>
          <w:rtl/>
        </w:rPr>
        <w:t xml:space="preserve"> מסוג זה, אין לו שימושים נוספים לצורכי איסוף מידע מודיעיני או ביצוע מתווי </w:t>
      </w:r>
      <w:r w:rsidR="00DD1003">
        <w:rPr>
          <w:rFonts w:hint="cs"/>
          <w:rtl/>
        </w:rPr>
        <w:t>התקנה</w:t>
      </w:r>
      <w:r>
        <w:rPr>
          <w:rFonts w:hint="cs"/>
          <w:rtl/>
        </w:rPr>
        <w:t xml:space="preserve"> </w:t>
      </w:r>
      <w:r w:rsidR="0034709B">
        <w:rPr>
          <w:rFonts w:hint="cs"/>
          <w:rtl/>
        </w:rPr>
        <w:t xml:space="preserve">מותרים </w:t>
      </w:r>
      <w:r>
        <w:rPr>
          <w:rFonts w:hint="cs"/>
          <w:rtl/>
        </w:rPr>
        <w:t xml:space="preserve">אחרים ולכן אין היא פעולת </w:t>
      </w:r>
      <w:r w:rsidR="00DD1003">
        <w:rPr>
          <w:rFonts w:hint="cs"/>
          <w:rtl/>
        </w:rPr>
        <w:t xml:space="preserve">איסוף </w:t>
      </w:r>
      <w:r>
        <w:rPr>
          <w:rFonts w:hint="cs"/>
          <w:rtl/>
        </w:rPr>
        <w:t xml:space="preserve">בלבד אלא פעולת </w:t>
      </w:r>
      <w:r w:rsidR="00DD1003">
        <w:rPr>
          <w:rFonts w:hint="cs"/>
          <w:rtl/>
        </w:rPr>
        <w:t>התקנה</w:t>
      </w:r>
      <w:r>
        <w:rPr>
          <w:rFonts w:hint="cs"/>
          <w:rtl/>
        </w:rPr>
        <w:t xml:space="preserve"> נוספת. </w:t>
      </w:r>
    </w:p>
    <w:p w:rsidR="00263D2F" w:rsidRPr="00263D2F" w:rsidRDefault="00263D2F" w:rsidP="00333EA5">
      <w:pPr>
        <w:pStyle w:val="af2"/>
        <w:spacing w:line="269" w:lineRule="auto"/>
        <w:ind w:left="1365"/>
        <w:rPr>
          <w:rStyle w:val="50"/>
          <w:rFonts w:eastAsiaTheme="minorHAnsi"/>
          <w:bCs w:val="0"/>
          <w:spacing w:val="0"/>
          <w:szCs w:val="20"/>
        </w:rPr>
      </w:pPr>
      <w:bookmarkStart w:id="486" w:name="_Toc151890760"/>
      <w:bookmarkStart w:id="487" w:name="_Toc151882032"/>
    </w:p>
    <w:p w:rsidR="009A1216" w:rsidRPr="00346CD3" w:rsidRDefault="009A1216" w:rsidP="00333EA5">
      <w:pPr>
        <w:pStyle w:val="af2"/>
        <w:numPr>
          <w:ilvl w:val="1"/>
          <w:numId w:val="21"/>
        </w:numPr>
        <w:spacing w:line="269" w:lineRule="auto"/>
        <w:ind w:left="1145" w:hanging="425"/>
        <w:rPr>
          <w:rStyle w:val="50"/>
          <w:rFonts w:eastAsiaTheme="minorHAnsi"/>
          <w:bCs w:val="0"/>
          <w:spacing w:val="0"/>
          <w:szCs w:val="20"/>
          <w:rtl/>
        </w:rPr>
      </w:pPr>
      <w:r w:rsidRPr="007D3E8D">
        <w:rPr>
          <w:rStyle w:val="80"/>
          <w:rFonts w:hint="eastAsia"/>
          <w:rtl/>
        </w:rPr>
        <w:t>מתווה</w:t>
      </w:r>
      <w:r w:rsidRPr="007D3E8D">
        <w:rPr>
          <w:rStyle w:val="80"/>
          <w:rtl/>
        </w:rPr>
        <w:t xml:space="preserve"> </w:t>
      </w:r>
      <w:r w:rsidR="00DD1003" w:rsidRPr="007D3E8D">
        <w:rPr>
          <w:rStyle w:val="80"/>
          <w:rFonts w:hint="eastAsia"/>
          <w:rtl/>
        </w:rPr>
        <w:t>התקנה</w:t>
      </w:r>
      <w:r w:rsidRPr="007D3E8D">
        <w:rPr>
          <w:rStyle w:val="80"/>
          <w:rtl/>
        </w:rPr>
        <w:t xml:space="preserve"> 8</w:t>
      </w:r>
      <w:r w:rsidRPr="007D3E8D">
        <w:rPr>
          <w:rStyle w:val="80"/>
          <w:rFonts w:hint="cs"/>
          <w:rtl/>
        </w:rPr>
        <w:t>(ה)</w:t>
      </w:r>
      <w:bookmarkEnd w:id="486"/>
      <w:bookmarkEnd w:id="487"/>
      <w:r w:rsidRPr="007D3E8D">
        <w:rPr>
          <w:rStyle w:val="80"/>
          <w:rFonts w:hint="cs"/>
          <w:rtl/>
        </w:rPr>
        <w:t>:</w:t>
      </w:r>
      <w:r w:rsidRPr="00234CB9">
        <w:rPr>
          <w:rStyle w:val="50"/>
          <w:rFonts w:eastAsiaTheme="minorHAnsi" w:hint="cs"/>
          <w:bCs w:val="0"/>
          <w:spacing w:val="0"/>
          <w:rtl/>
        </w:rPr>
        <w:t xml:space="preserve"> </w:t>
      </w:r>
      <w:r w:rsidRPr="000861F9">
        <w:rPr>
          <w:rStyle w:val="50"/>
          <w:rFonts w:eastAsiaTheme="minorHAnsi" w:hint="eastAsia"/>
          <w:bCs w:val="0"/>
          <w:spacing w:val="0"/>
          <w:rtl/>
        </w:rPr>
        <w:t>משרד</w:t>
      </w:r>
      <w:r w:rsidRPr="000861F9">
        <w:rPr>
          <w:rStyle w:val="50"/>
          <w:rFonts w:eastAsiaTheme="minorHAnsi"/>
          <w:bCs w:val="0"/>
          <w:spacing w:val="0"/>
          <w:rtl/>
        </w:rPr>
        <w:t xml:space="preserve"> מבקר המדינה איתר </w:t>
      </w:r>
      <w:r>
        <w:rPr>
          <w:rStyle w:val="50"/>
          <w:rFonts w:eastAsiaTheme="minorHAnsi" w:hint="cs"/>
          <w:bCs w:val="0"/>
          <w:spacing w:val="0"/>
          <w:rtl/>
        </w:rPr>
        <w:t>שני</w:t>
      </w:r>
      <w:r w:rsidRPr="000861F9">
        <w:rPr>
          <w:rStyle w:val="50"/>
          <w:rFonts w:eastAsiaTheme="minorHAnsi"/>
          <w:bCs w:val="0"/>
          <w:spacing w:val="0"/>
          <w:rtl/>
        </w:rPr>
        <w:t xml:space="preserve"> מקרים שבהם </w:t>
      </w:r>
      <w:bookmarkStart w:id="488" w:name="_Hlk171435032"/>
      <w:r w:rsidRPr="000861F9">
        <w:rPr>
          <w:rStyle w:val="50"/>
          <w:rFonts w:eastAsiaTheme="minorHAnsi" w:hint="eastAsia"/>
          <w:bCs w:val="0"/>
          <w:spacing w:val="0"/>
          <w:rtl/>
        </w:rPr>
        <w:t>נעשה</w:t>
      </w:r>
      <w:r w:rsidRPr="000861F9">
        <w:rPr>
          <w:rStyle w:val="50"/>
          <w:rFonts w:eastAsiaTheme="minorHAnsi"/>
          <w:bCs w:val="0"/>
          <w:spacing w:val="0"/>
          <w:rtl/>
        </w:rPr>
        <w:t xml:space="preserve"> </w:t>
      </w:r>
      <w:r w:rsidRPr="000861F9">
        <w:rPr>
          <w:rStyle w:val="50"/>
          <w:rFonts w:eastAsiaTheme="minorHAnsi" w:hint="eastAsia"/>
          <w:bCs w:val="0"/>
          <w:spacing w:val="0"/>
          <w:rtl/>
        </w:rPr>
        <w:t>שימוש</w:t>
      </w:r>
      <w:r w:rsidRPr="000861F9">
        <w:rPr>
          <w:rStyle w:val="50"/>
          <w:rFonts w:eastAsiaTheme="minorHAnsi"/>
          <w:bCs w:val="0"/>
          <w:spacing w:val="0"/>
          <w:rtl/>
        </w:rPr>
        <w:t xml:space="preserve"> </w:t>
      </w:r>
      <w:r w:rsidRPr="000861F9">
        <w:rPr>
          <w:rStyle w:val="50"/>
          <w:rFonts w:eastAsiaTheme="minorHAnsi" w:hint="eastAsia"/>
          <w:bCs w:val="0"/>
          <w:spacing w:val="0"/>
          <w:rtl/>
        </w:rPr>
        <w:t>במידע</w:t>
      </w:r>
      <w:r w:rsidRPr="000861F9">
        <w:rPr>
          <w:rStyle w:val="50"/>
          <w:rFonts w:eastAsiaTheme="minorHAnsi"/>
          <w:bCs w:val="0"/>
          <w:spacing w:val="0"/>
          <w:rtl/>
        </w:rPr>
        <w:t xml:space="preserve"> </w:t>
      </w:r>
      <w:r w:rsidRPr="000861F9">
        <w:rPr>
          <w:rStyle w:val="50"/>
          <w:rFonts w:eastAsiaTheme="minorHAnsi" w:hint="eastAsia"/>
          <w:bCs w:val="0"/>
          <w:spacing w:val="0"/>
          <w:rtl/>
        </w:rPr>
        <w:t>אסור</w:t>
      </w:r>
      <w:r w:rsidRPr="000861F9">
        <w:rPr>
          <w:rStyle w:val="50"/>
          <w:rFonts w:eastAsiaTheme="minorHAnsi"/>
          <w:bCs w:val="0"/>
          <w:spacing w:val="0"/>
          <w:rtl/>
        </w:rPr>
        <w:t xml:space="preserve"> </w:t>
      </w:r>
      <w:r w:rsidRPr="000861F9">
        <w:rPr>
          <w:rStyle w:val="50"/>
          <w:rFonts w:eastAsiaTheme="minorHAnsi" w:hint="eastAsia"/>
          <w:bCs w:val="0"/>
          <w:spacing w:val="0"/>
          <w:rtl/>
        </w:rPr>
        <w:t>שהתקבל</w:t>
      </w:r>
      <w:r w:rsidRPr="000861F9">
        <w:rPr>
          <w:rStyle w:val="50"/>
          <w:rFonts w:eastAsiaTheme="minorHAnsi"/>
          <w:bCs w:val="0"/>
          <w:spacing w:val="0"/>
          <w:rtl/>
        </w:rPr>
        <w:t xml:space="preserve"> </w:t>
      </w:r>
      <w:r w:rsidRPr="000861F9">
        <w:rPr>
          <w:rStyle w:val="50"/>
          <w:rFonts w:eastAsiaTheme="minorHAnsi" w:hint="eastAsia"/>
          <w:bCs w:val="0"/>
          <w:spacing w:val="0"/>
          <w:rtl/>
        </w:rPr>
        <w:t>בחיפוש</w:t>
      </w:r>
      <w:r w:rsidRPr="000861F9">
        <w:rPr>
          <w:rStyle w:val="50"/>
          <w:rFonts w:eastAsiaTheme="minorHAnsi"/>
          <w:bCs w:val="0"/>
          <w:spacing w:val="0"/>
          <w:rtl/>
        </w:rPr>
        <w:t xml:space="preserve"> </w:t>
      </w:r>
      <w:r>
        <w:rPr>
          <w:rStyle w:val="50"/>
          <w:rFonts w:eastAsiaTheme="minorHAnsi" w:hint="cs"/>
          <w:bCs w:val="0"/>
          <w:spacing w:val="0"/>
          <w:rtl/>
        </w:rPr>
        <w:t>במידע אגור על גבי מכשיר קצה</w:t>
      </w:r>
      <w:r w:rsidRPr="000861F9">
        <w:rPr>
          <w:rStyle w:val="50"/>
          <w:rFonts w:eastAsiaTheme="minorHAnsi"/>
          <w:bCs w:val="0"/>
          <w:spacing w:val="0"/>
          <w:rtl/>
        </w:rPr>
        <w:t xml:space="preserve"> </w:t>
      </w:r>
      <w:r w:rsidRPr="000861F9">
        <w:rPr>
          <w:rStyle w:val="50"/>
          <w:rFonts w:eastAsiaTheme="minorHAnsi" w:hint="eastAsia"/>
          <w:bCs w:val="0"/>
          <w:spacing w:val="0"/>
          <w:rtl/>
        </w:rPr>
        <w:t>לצורך</w:t>
      </w:r>
      <w:r w:rsidRPr="000861F9">
        <w:rPr>
          <w:rStyle w:val="50"/>
          <w:rFonts w:eastAsiaTheme="minorHAnsi"/>
          <w:bCs w:val="0"/>
          <w:spacing w:val="0"/>
          <w:rtl/>
        </w:rPr>
        <w:t xml:space="preserve"> </w:t>
      </w:r>
      <w:r w:rsidRPr="000861F9">
        <w:rPr>
          <w:rStyle w:val="50"/>
          <w:rFonts w:eastAsiaTheme="minorHAnsi" w:hint="eastAsia"/>
          <w:bCs w:val="0"/>
          <w:spacing w:val="0"/>
          <w:rtl/>
        </w:rPr>
        <w:t>ביצוע</w:t>
      </w:r>
      <w:r w:rsidRPr="000861F9">
        <w:rPr>
          <w:rStyle w:val="50"/>
          <w:rFonts w:eastAsiaTheme="minorHAnsi"/>
          <w:bCs w:val="0"/>
          <w:spacing w:val="0"/>
          <w:rtl/>
        </w:rPr>
        <w:t xml:space="preserve"> </w:t>
      </w:r>
      <w:r w:rsidRPr="000861F9">
        <w:rPr>
          <w:rStyle w:val="50"/>
          <w:rFonts w:eastAsiaTheme="minorHAnsi" w:hint="eastAsia"/>
          <w:bCs w:val="0"/>
          <w:spacing w:val="0"/>
          <w:rtl/>
        </w:rPr>
        <w:t>מתווה</w:t>
      </w:r>
      <w:r w:rsidRPr="000861F9">
        <w:rPr>
          <w:rStyle w:val="50"/>
          <w:rFonts w:eastAsiaTheme="minorHAnsi"/>
          <w:bCs w:val="0"/>
          <w:spacing w:val="0"/>
          <w:rtl/>
        </w:rPr>
        <w:t xml:space="preserve"> </w:t>
      </w:r>
      <w:bookmarkEnd w:id="488"/>
      <w:r w:rsidR="00FE3FAD">
        <w:rPr>
          <w:rStyle w:val="50"/>
          <w:rFonts w:eastAsiaTheme="minorHAnsi" w:hint="eastAsia"/>
          <w:bCs w:val="0"/>
          <w:spacing w:val="0"/>
          <w:rtl/>
        </w:rPr>
        <w:t>התקנה</w:t>
      </w:r>
      <w:r w:rsidRPr="000861F9">
        <w:rPr>
          <w:rStyle w:val="50"/>
          <w:rFonts w:eastAsiaTheme="minorHAnsi"/>
          <w:bCs w:val="0"/>
          <w:spacing w:val="0"/>
          <w:rtl/>
        </w:rPr>
        <w:t>.</w:t>
      </w:r>
      <w:r w:rsidRPr="00D0506A">
        <w:rPr>
          <w:rStyle w:val="50"/>
          <w:rFonts w:eastAsiaTheme="minorHAnsi" w:hint="cs"/>
          <w:bCs w:val="0"/>
          <w:spacing w:val="0"/>
          <w:rtl/>
        </w:rPr>
        <w:t xml:space="preserve"> </w:t>
      </w:r>
      <w:r w:rsidRPr="0001665A">
        <w:rPr>
          <w:rStyle w:val="50"/>
          <w:rFonts w:eastAsiaTheme="minorHAnsi" w:hint="eastAsia"/>
          <w:bCs w:val="0"/>
          <w:spacing w:val="0"/>
          <w:rtl/>
        </w:rPr>
        <w:t>ה</w:t>
      </w:r>
      <w:r w:rsidRPr="00234CB9">
        <w:rPr>
          <w:rStyle w:val="50"/>
          <w:rFonts w:eastAsiaTheme="minorHAnsi" w:hint="cs"/>
          <w:bCs w:val="0"/>
          <w:spacing w:val="0"/>
          <w:rtl/>
        </w:rPr>
        <w:t xml:space="preserve">שימוש במידע </w:t>
      </w:r>
      <w:r>
        <w:rPr>
          <w:rStyle w:val="50"/>
          <w:rFonts w:eastAsiaTheme="minorHAnsi" w:hint="cs"/>
          <w:bCs w:val="0"/>
          <w:spacing w:val="0"/>
          <w:rtl/>
        </w:rPr>
        <w:t>ה</w:t>
      </w:r>
      <w:r w:rsidRPr="00234CB9">
        <w:rPr>
          <w:rStyle w:val="50"/>
          <w:rFonts w:eastAsiaTheme="minorHAnsi" w:hint="cs"/>
          <w:bCs w:val="0"/>
          <w:spacing w:val="0"/>
          <w:rtl/>
        </w:rPr>
        <w:t>אסור לצורך ביצוע ה</w:t>
      </w:r>
      <w:r w:rsidR="00FE3FAD">
        <w:rPr>
          <w:rStyle w:val="50"/>
          <w:rFonts w:eastAsiaTheme="minorHAnsi" w:hint="cs"/>
          <w:bCs w:val="0"/>
          <w:spacing w:val="0"/>
          <w:rtl/>
        </w:rPr>
        <w:t>התקנה</w:t>
      </w:r>
      <w:r w:rsidRPr="00234CB9">
        <w:rPr>
          <w:rStyle w:val="50"/>
          <w:rFonts w:eastAsiaTheme="minorHAnsi" w:hint="cs"/>
          <w:bCs w:val="0"/>
          <w:spacing w:val="0"/>
          <w:rtl/>
        </w:rPr>
        <w:t xml:space="preserve"> התגלה </w:t>
      </w:r>
      <w:r>
        <w:rPr>
          <w:rStyle w:val="50"/>
          <w:rFonts w:eastAsiaTheme="minorHAnsi" w:hint="cs"/>
          <w:bCs w:val="0"/>
          <w:spacing w:val="0"/>
          <w:rtl/>
        </w:rPr>
        <w:t xml:space="preserve">ביומני המבצעים </w:t>
      </w:r>
      <w:r w:rsidRPr="00234CB9">
        <w:rPr>
          <w:rStyle w:val="50"/>
          <w:rFonts w:eastAsiaTheme="minorHAnsi" w:hint="cs"/>
          <w:bCs w:val="0"/>
          <w:spacing w:val="0"/>
          <w:rtl/>
        </w:rPr>
        <w:t>באמצעות רשומות</w:t>
      </w:r>
      <w:r>
        <w:rPr>
          <w:rStyle w:val="50"/>
          <w:rFonts w:eastAsiaTheme="minorHAnsi" w:hint="cs"/>
          <w:bCs w:val="0"/>
          <w:spacing w:val="0"/>
          <w:rtl/>
        </w:rPr>
        <w:t xml:space="preserve"> של המפעילים הטכנולוגיים</w:t>
      </w:r>
      <w:r w:rsidRPr="00234CB9">
        <w:rPr>
          <w:rStyle w:val="50"/>
          <w:rFonts w:eastAsiaTheme="minorHAnsi" w:hint="cs"/>
          <w:bCs w:val="0"/>
          <w:spacing w:val="0"/>
          <w:rtl/>
        </w:rPr>
        <w:t xml:space="preserve"> המתעדות את ההיערכות לביצוע ה</w:t>
      </w:r>
      <w:r w:rsidR="00FE3FAD">
        <w:rPr>
          <w:rStyle w:val="50"/>
          <w:rFonts w:eastAsiaTheme="minorHAnsi" w:hint="cs"/>
          <w:bCs w:val="0"/>
          <w:spacing w:val="0"/>
          <w:rtl/>
        </w:rPr>
        <w:t>התקנה</w:t>
      </w:r>
      <w:r w:rsidRPr="00234CB9">
        <w:rPr>
          <w:rStyle w:val="50"/>
          <w:rFonts w:eastAsiaTheme="minorHAnsi" w:hint="cs"/>
          <w:bCs w:val="0"/>
          <w:spacing w:val="0"/>
          <w:rtl/>
        </w:rPr>
        <w:t xml:space="preserve"> ואת </w:t>
      </w:r>
      <w:r w:rsidR="004C1FFC">
        <w:rPr>
          <w:rStyle w:val="50"/>
          <w:rFonts w:eastAsiaTheme="minorHAnsi" w:hint="cs"/>
          <w:bCs w:val="0"/>
          <w:spacing w:val="0"/>
          <w:rtl/>
        </w:rPr>
        <w:t>ההתקנות</w:t>
      </w:r>
      <w:r w:rsidRPr="00234CB9">
        <w:rPr>
          <w:rStyle w:val="50"/>
          <w:rFonts w:eastAsiaTheme="minorHAnsi" w:hint="cs"/>
          <w:bCs w:val="0"/>
          <w:spacing w:val="0"/>
          <w:rtl/>
        </w:rPr>
        <w:t>.</w:t>
      </w:r>
    </w:p>
    <w:p w:rsidR="009A1216" w:rsidRDefault="009A1216" w:rsidP="00333EA5">
      <w:pPr>
        <w:pStyle w:val="a5"/>
        <w:spacing w:line="269" w:lineRule="auto"/>
        <w:ind w:left="296"/>
        <w:rPr>
          <w:rStyle w:val="50"/>
          <w:szCs w:val="24"/>
          <w:rtl/>
        </w:rPr>
      </w:pPr>
    </w:p>
    <w:p w:rsidR="009A1216" w:rsidRDefault="009A1216" w:rsidP="00333EA5">
      <w:pPr>
        <w:pStyle w:val="af2"/>
        <w:spacing w:line="269" w:lineRule="auto"/>
        <w:ind w:left="1145"/>
        <w:rPr>
          <w:rtl/>
        </w:rPr>
      </w:pPr>
      <w:r w:rsidRPr="00474FBD">
        <w:rPr>
          <w:rFonts w:hint="eastAsia"/>
          <w:rtl/>
        </w:rPr>
        <w:t>המשטרה</w:t>
      </w:r>
      <w:r w:rsidRPr="00474FBD">
        <w:rPr>
          <w:rtl/>
        </w:rPr>
        <w:t xml:space="preserve"> מסרה בתשובתה כי </w:t>
      </w:r>
      <w:r>
        <w:rPr>
          <w:rFonts w:hint="eastAsia"/>
          <w:rtl/>
        </w:rPr>
        <w:t>בנוגע</w:t>
      </w:r>
      <w:r w:rsidRPr="00474FBD">
        <w:rPr>
          <w:rtl/>
        </w:rPr>
        <w:t xml:space="preserve"> לשני </w:t>
      </w:r>
      <w:r>
        <w:rPr>
          <w:rFonts w:hint="cs"/>
          <w:rtl/>
        </w:rPr>
        <w:t>ה</w:t>
      </w:r>
      <w:r w:rsidRPr="00474FBD">
        <w:rPr>
          <w:rtl/>
        </w:rPr>
        <w:t xml:space="preserve">מקרים </w:t>
      </w:r>
      <w:r w:rsidRPr="00474FBD">
        <w:rPr>
          <w:rFonts w:hint="eastAsia"/>
          <w:rtl/>
        </w:rPr>
        <w:t>מתווה</w:t>
      </w:r>
      <w:r w:rsidRPr="00474FBD">
        <w:rPr>
          <w:rtl/>
        </w:rPr>
        <w:t xml:space="preserve"> ה</w:t>
      </w:r>
      <w:r w:rsidR="00FE3FAD">
        <w:rPr>
          <w:rtl/>
        </w:rPr>
        <w:t>התקנה</w:t>
      </w:r>
      <w:r w:rsidRPr="00474FBD">
        <w:rPr>
          <w:rtl/>
        </w:rPr>
        <w:t xml:space="preserve"> האמור </w:t>
      </w:r>
      <w:r w:rsidRPr="00474FBD">
        <w:rPr>
          <w:rFonts w:hint="eastAsia"/>
          <w:rtl/>
        </w:rPr>
        <w:t>לא</w:t>
      </w:r>
      <w:r w:rsidRPr="00474FBD">
        <w:rPr>
          <w:rtl/>
        </w:rPr>
        <w:t xml:space="preserve"> </w:t>
      </w:r>
      <w:r w:rsidRPr="00474FBD">
        <w:rPr>
          <w:rFonts w:hint="eastAsia"/>
          <w:rtl/>
        </w:rPr>
        <w:t>בוצע</w:t>
      </w:r>
      <w:r w:rsidRPr="00474FBD">
        <w:rPr>
          <w:rtl/>
        </w:rPr>
        <w:t xml:space="preserve">, </w:t>
      </w:r>
      <w:r w:rsidRPr="00474FBD">
        <w:rPr>
          <w:rFonts w:hint="eastAsia"/>
          <w:rtl/>
        </w:rPr>
        <w:t>לא</w:t>
      </w:r>
      <w:r w:rsidRPr="00474FBD">
        <w:rPr>
          <w:rtl/>
        </w:rPr>
        <w:t xml:space="preserve"> </w:t>
      </w:r>
      <w:r w:rsidRPr="00474FBD">
        <w:rPr>
          <w:rFonts w:hint="eastAsia"/>
          <w:rtl/>
        </w:rPr>
        <w:t>נעשה</w:t>
      </w:r>
      <w:r w:rsidRPr="00474FBD">
        <w:rPr>
          <w:rtl/>
        </w:rPr>
        <w:t xml:space="preserve"> </w:t>
      </w:r>
      <w:r w:rsidRPr="00474FBD">
        <w:rPr>
          <w:rFonts w:hint="eastAsia"/>
          <w:rtl/>
        </w:rPr>
        <w:t>שימוש</w:t>
      </w:r>
      <w:r w:rsidRPr="00474FBD">
        <w:rPr>
          <w:rtl/>
        </w:rPr>
        <w:t xml:space="preserve"> </w:t>
      </w:r>
      <w:r w:rsidRPr="00474FBD">
        <w:rPr>
          <w:rFonts w:hint="eastAsia"/>
          <w:rtl/>
        </w:rPr>
        <w:t>בתוצרים</w:t>
      </w:r>
      <w:r w:rsidRPr="00474FBD">
        <w:rPr>
          <w:rtl/>
        </w:rPr>
        <w:t xml:space="preserve"> </w:t>
      </w:r>
      <w:r w:rsidRPr="00474FBD">
        <w:rPr>
          <w:rFonts w:hint="eastAsia"/>
          <w:rtl/>
        </w:rPr>
        <w:t>האסורים</w:t>
      </w:r>
      <w:r w:rsidRPr="00474FBD">
        <w:rPr>
          <w:rtl/>
        </w:rPr>
        <w:t xml:space="preserve"> </w:t>
      </w:r>
      <w:r w:rsidRPr="00474FBD">
        <w:rPr>
          <w:rFonts w:hint="eastAsia"/>
          <w:rtl/>
        </w:rPr>
        <w:t>ולא</w:t>
      </w:r>
      <w:r w:rsidRPr="00474FBD">
        <w:rPr>
          <w:rtl/>
        </w:rPr>
        <w:t xml:space="preserve"> </w:t>
      </w:r>
      <w:r w:rsidRPr="00474FBD">
        <w:rPr>
          <w:rFonts w:hint="eastAsia"/>
          <w:rtl/>
        </w:rPr>
        <w:t>הוצא</w:t>
      </w:r>
      <w:r w:rsidRPr="00474FBD">
        <w:rPr>
          <w:rtl/>
        </w:rPr>
        <w:t xml:space="preserve"> </w:t>
      </w:r>
      <w:r w:rsidRPr="00474FBD">
        <w:rPr>
          <w:rFonts w:hint="eastAsia"/>
          <w:rtl/>
        </w:rPr>
        <w:t>צו</w:t>
      </w:r>
      <w:r w:rsidRPr="00474FBD">
        <w:rPr>
          <w:rtl/>
        </w:rPr>
        <w:t xml:space="preserve"> </w:t>
      </w:r>
      <w:r w:rsidRPr="00474FBD">
        <w:rPr>
          <w:rFonts w:hint="eastAsia"/>
          <w:rtl/>
        </w:rPr>
        <w:t>האזנת</w:t>
      </w:r>
      <w:r w:rsidRPr="00474FBD">
        <w:rPr>
          <w:rtl/>
        </w:rPr>
        <w:t xml:space="preserve"> </w:t>
      </w:r>
      <w:r w:rsidRPr="00474FBD">
        <w:rPr>
          <w:rFonts w:hint="eastAsia"/>
          <w:rtl/>
        </w:rPr>
        <w:t>סתר</w:t>
      </w:r>
      <w:r w:rsidRPr="00474FBD">
        <w:rPr>
          <w:rtl/>
        </w:rPr>
        <w:t xml:space="preserve"> </w:t>
      </w:r>
      <w:r w:rsidRPr="00474FBD">
        <w:rPr>
          <w:rFonts w:hint="eastAsia"/>
          <w:rtl/>
        </w:rPr>
        <w:t>לתקשורת</w:t>
      </w:r>
      <w:r w:rsidRPr="00474FBD">
        <w:rPr>
          <w:rtl/>
        </w:rPr>
        <w:t xml:space="preserve"> </w:t>
      </w:r>
      <w:r w:rsidRPr="00474FBD">
        <w:rPr>
          <w:rFonts w:hint="eastAsia"/>
          <w:rtl/>
        </w:rPr>
        <w:t>בין</w:t>
      </w:r>
      <w:r w:rsidRPr="00474FBD">
        <w:rPr>
          <w:rtl/>
        </w:rPr>
        <w:t xml:space="preserve"> </w:t>
      </w:r>
      <w:r w:rsidRPr="00474FBD">
        <w:rPr>
          <w:rFonts w:hint="eastAsia"/>
          <w:rtl/>
        </w:rPr>
        <w:t>מחשבים</w:t>
      </w:r>
      <w:r w:rsidRPr="00474FBD">
        <w:rPr>
          <w:rtl/>
        </w:rPr>
        <w:t xml:space="preserve">. </w:t>
      </w:r>
    </w:p>
    <w:p w:rsidR="009A1216" w:rsidRDefault="009A1216" w:rsidP="00333EA5">
      <w:pPr>
        <w:pStyle w:val="a5"/>
        <w:spacing w:line="269" w:lineRule="auto"/>
        <w:ind w:left="296"/>
        <w:rPr>
          <w:rStyle w:val="50"/>
          <w:rtl/>
        </w:rPr>
      </w:pPr>
    </w:p>
    <w:p w:rsidR="009A1216" w:rsidRPr="00474FBD" w:rsidRDefault="009A1216" w:rsidP="00333EA5">
      <w:pPr>
        <w:pStyle w:val="af2"/>
        <w:spacing w:line="269" w:lineRule="auto"/>
        <w:ind w:left="1145"/>
        <w:rPr>
          <w:rtl/>
        </w:rPr>
      </w:pPr>
      <w:r>
        <w:rPr>
          <w:rFonts w:hint="cs"/>
          <w:rtl/>
        </w:rPr>
        <w:t>משרד מבקר המדינה בחן את טענות המשטרה בנוגע לשני המקרים ומצא כי יש לדחותן: ראשית, משום שפעולות אלו נרשמו על ידי מפעילים טכנולוגיים ביומני המבצעים בזמן אמת בעת ביצוען, ורישומן הברור והמפורש מצביע על ביצוע ה</w:t>
      </w:r>
      <w:r w:rsidR="00FE3FAD">
        <w:rPr>
          <w:rFonts w:hint="cs"/>
          <w:rtl/>
        </w:rPr>
        <w:t>התקנה</w:t>
      </w:r>
      <w:r>
        <w:rPr>
          <w:rFonts w:hint="cs"/>
          <w:rtl/>
        </w:rPr>
        <w:t xml:space="preserve"> ועל דרך קבלת המידע ששימש לצורך ביצוע ה</w:t>
      </w:r>
      <w:r w:rsidR="00FE3FAD">
        <w:rPr>
          <w:rFonts w:hint="cs"/>
          <w:rtl/>
        </w:rPr>
        <w:t>התקנה</w:t>
      </w:r>
      <w:r>
        <w:rPr>
          <w:rFonts w:hint="cs"/>
          <w:rtl/>
        </w:rPr>
        <w:t xml:space="preserve"> ומעיד </w:t>
      </w:r>
      <w:r w:rsidR="006F5640">
        <w:rPr>
          <w:rFonts w:hint="cs"/>
          <w:rtl/>
        </w:rPr>
        <w:t>שהיא אסורה</w:t>
      </w:r>
      <w:r>
        <w:rPr>
          <w:rFonts w:hint="cs"/>
          <w:rtl/>
        </w:rPr>
        <w:t>; שנית, משום שהיעדר הוצאת צו אינו שולל את ביצוע הפעולה על ידם, בפרט לנוכח הליקויים שנמצאו בתהליך בדיקת ההיתכנות</w:t>
      </w:r>
      <w:r>
        <w:rPr>
          <w:rStyle w:val="af"/>
          <w:rtl/>
        </w:rPr>
        <w:footnoteReference w:id="181"/>
      </w:r>
      <w:r>
        <w:rPr>
          <w:rFonts w:hint="cs"/>
          <w:rtl/>
        </w:rPr>
        <w:t xml:space="preserve">. </w:t>
      </w:r>
    </w:p>
    <w:p w:rsidR="00263D2F" w:rsidRPr="000904E9" w:rsidRDefault="00263D2F" w:rsidP="006E4299">
      <w:pPr>
        <w:spacing w:line="269" w:lineRule="auto"/>
      </w:pPr>
      <w:bookmarkStart w:id="489" w:name="_Toc151890762"/>
      <w:bookmarkStart w:id="490" w:name="_Toc151882034"/>
    </w:p>
    <w:p w:rsidR="009A1216" w:rsidRPr="00E9432B" w:rsidRDefault="009A1216" w:rsidP="00333EA5">
      <w:pPr>
        <w:pStyle w:val="af2"/>
        <w:numPr>
          <w:ilvl w:val="1"/>
          <w:numId w:val="21"/>
        </w:numPr>
        <w:spacing w:line="269" w:lineRule="auto"/>
        <w:ind w:left="1145" w:hanging="425"/>
        <w:rPr>
          <w:rStyle w:val="50"/>
          <w:rFonts w:eastAsiaTheme="minorHAnsi"/>
          <w:bCs w:val="0"/>
          <w:spacing w:val="0"/>
          <w:szCs w:val="20"/>
        </w:rPr>
      </w:pPr>
      <w:r w:rsidRPr="007D3E8D">
        <w:rPr>
          <w:rStyle w:val="80"/>
          <w:rFonts w:hint="cs"/>
          <w:rtl/>
        </w:rPr>
        <w:t xml:space="preserve">מתווה </w:t>
      </w:r>
      <w:r w:rsidR="00FE3FAD" w:rsidRPr="007D3E8D">
        <w:rPr>
          <w:rStyle w:val="80"/>
          <w:rFonts w:hint="cs"/>
          <w:rtl/>
        </w:rPr>
        <w:t>התקנה</w:t>
      </w:r>
      <w:r w:rsidRPr="007D3E8D">
        <w:rPr>
          <w:rStyle w:val="80"/>
          <w:rFonts w:hint="cs"/>
          <w:rtl/>
        </w:rPr>
        <w:t xml:space="preserve"> 9(ג)</w:t>
      </w:r>
      <w:bookmarkEnd w:id="489"/>
      <w:bookmarkEnd w:id="490"/>
      <w:r w:rsidRPr="007D3E8D">
        <w:rPr>
          <w:rStyle w:val="80"/>
          <w:rFonts w:hint="cs"/>
          <w:rtl/>
        </w:rPr>
        <w:t>:</w:t>
      </w:r>
      <w:r w:rsidRPr="00E9432B">
        <w:rPr>
          <w:rStyle w:val="50"/>
          <w:rFonts w:eastAsiaTheme="minorHAnsi" w:hint="cs"/>
          <w:bCs w:val="0"/>
          <w:spacing w:val="0"/>
          <w:rtl/>
        </w:rPr>
        <w:t xml:space="preserve"> </w:t>
      </w:r>
      <w:bookmarkStart w:id="491" w:name="_Hlk203289182"/>
      <w:r w:rsidRPr="00E9432B">
        <w:rPr>
          <w:rStyle w:val="50"/>
          <w:rFonts w:eastAsiaTheme="minorHAnsi"/>
          <w:bCs w:val="0"/>
          <w:spacing w:val="0"/>
          <w:rtl/>
        </w:rPr>
        <w:t>א</w:t>
      </w:r>
      <w:r w:rsidR="00874748">
        <w:rPr>
          <w:rStyle w:val="50"/>
          <w:rFonts w:eastAsiaTheme="minorHAnsi" w:hint="cs"/>
          <w:bCs w:val="0"/>
          <w:spacing w:val="0"/>
          <w:rtl/>
        </w:rPr>
        <w:t>ו</w:t>
      </w:r>
      <w:r w:rsidRPr="00E9432B">
        <w:rPr>
          <w:rStyle w:val="50"/>
          <w:rFonts w:eastAsiaTheme="minorHAnsi"/>
          <w:bCs w:val="0"/>
          <w:spacing w:val="0"/>
          <w:rtl/>
        </w:rPr>
        <w:t>תר מקרה אחד שבו נעשה שימוש במתווה ה</w:t>
      </w:r>
      <w:r w:rsidR="00FE3FAD" w:rsidRPr="00BB075D">
        <w:rPr>
          <w:rStyle w:val="50"/>
          <w:rFonts w:eastAsiaTheme="minorHAnsi"/>
          <w:bCs w:val="0"/>
          <w:spacing w:val="0"/>
          <w:rtl/>
        </w:rPr>
        <w:t>התקנה</w:t>
      </w:r>
      <w:r w:rsidRPr="00E9432B">
        <w:rPr>
          <w:rStyle w:val="50"/>
          <w:rFonts w:eastAsiaTheme="minorHAnsi"/>
          <w:bCs w:val="0"/>
          <w:spacing w:val="0"/>
          <w:rtl/>
        </w:rPr>
        <w:t xml:space="preserve"> בדרך ביצוע </w:t>
      </w:r>
      <w:r w:rsidR="006F5640">
        <w:rPr>
          <w:rStyle w:val="50"/>
          <w:rFonts w:eastAsiaTheme="minorHAnsi" w:hint="cs"/>
          <w:bCs w:val="0"/>
          <w:spacing w:val="0"/>
          <w:rtl/>
        </w:rPr>
        <w:t>אסורה</w:t>
      </w:r>
      <w:r w:rsidRPr="00E9432B">
        <w:rPr>
          <w:rStyle w:val="50"/>
          <w:rFonts w:eastAsiaTheme="minorHAnsi"/>
          <w:bCs w:val="0"/>
          <w:spacing w:val="0"/>
          <w:rtl/>
        </w:rPr>
        <w:t xml:space="preserve">. באותו מקרה נעשה חיפוש במידע אגור על גבי מכשיר ונעשה שימוש בתוצרים אסורים גם לצורך ביצוע מתווה </w:t>
      </w:r>
      <w:r w:rsidR="00FE3FAD" w:rsidRPr="00BB075D">
        <w:rPr>
          <w:rStyle w:val="50"/>
          <w:rFonts w:eastAsiaTheme="minorHAnsi"/>
          <w:bCs w:val="0"/>
          <w:spacing w:val="0"/>
          <w:rtl/>
        </w:rPr>
        <w:t>התקנה</w:t>
      </w:r>
      <w:r w:rsidRPr="00E9432B">
        <w:rPr>
          <w:rStyle w:val="50"/>
          <w:rFonts w:eastAsiaTheme="minorHAnsi"/>
          <w:bCs w:val="0"/>
          <w:spacing w:val="0"/>
          <w:rtl/>
        </w:rPr>
        <w:t xml:space="preserve"> זה. </w:t>
      </w:r>
    </w:p>
    <w:p w:rsidR="009A1216" w:rsidRDefault="009A1216" w:rsidP="008C598D">
      <w:pPr>
        <w:pStyle w:val="af2"/>
        <w:numPr>
          <w:ilvl w:val="0"/>
          <w:numId w:val="21"/>
        </w:numPr>
        <w:spacing w:line="269" w:lineRule="auto"/>
      </w:pPr>
      <w:bookmarkStart w:id="492" w:name="_Toc151890763"/>
      <w:bookmarkStart w:id="493" w:name="_Toc151882035"/>
      <w:bookmarkEnd w:id="491"/>
      <w:r w:rsidRPr="007D3E8D">
        <w:rPr>
          <w:rStyle w:val="70"/>
          <w:rFonts w:hint="cs"/>
          <w:rtl/>
        </w:rPr>
        <w:t>שימוש בכלי טכנולוגי קודם לאישורו המשפטי</w:t>
      </w:r>
      <w:bookmarkEnd w:id="492"/>
      <w:bookmarkEnd w:id="493"/>
      <w:r w:rsidRPr="007D3E8D">
        <w:rPr>
          <w:rStyle w:val="70"/>
          <w:rFonts w:hint="cs"/>
          <w:rtl/>
        </w:rPr>
        <w:t>:</w:t>
      </w:r>
      <w:r>
        <w:rPr>
          <w:rFonts w:hint="cs"/>
          <w:rtl/>
        </w:rPr>
        <w:t xml:space="preserve"> ממסמכי המשטרה, עולה שבמקרה אחד נעשה שימוש בכלי טכנולוגי מסוים </w:t>
      </w:r>
      <w:r w:rsidR="00E9432B">
        <w:rPr>
          <w:rFonts w:hint="cs"/>
          <w:rtl/>
        </w:rPr>
        <w:t>והוא הותקן</w:t>
      </w:r>
      <w:r w:rsidR="00382AE8">
        <w:rPr>
          <w:rFonts w:hint="cs"/>
          <w:rtl/>
        </w:rPr>
        <w:t xml:space="preserve"> </w:t>
      </w:r>
      <w:r w:rsidR="00E9432B">
        <w:rPr>
          <w:rFonts w:hint="cs"/>
          <w:rtl/>
        </w:rPr>
        <w:t xml:space="preserve">בשתי הזדמנויות </w:t>
      </w:r>
      <w:r>
        <w:rPr>
          <w:rFonts w:hint="cs"/>
          <w:rtl/>
        </w:rPr>
        <w:t xml:space="preserve">בספטמבר 2021 עוד לפני שניתן האישור המשפטי להשתמש בו, ובמקרה אחר נעשה שימוש בכלי טכנולוגי מסוים ביולי 2021 עוד לפני שניתן האישור המשפטי להשתמש בו. </w:t>
      </w:r>
    </w:p>
    <w:p w:rsidR="009A1216" w:rsidRDefault="009A1216" w:rsidP="00604C3D">
      <w:pPr>
        <w:pStyle w:val="a5"/>
        <w:spacing w:line="269" w:lineRule="auto"/>
        <w:rPr>
          <w:rtl/>
        </w:rPr>
      </w:pPr>
    </w:p>
    <w:p w:rsidR="009A1216" w:rsidRDefault="009A1216" w:rsidP="00333EA5">
      <w:pPr>
        <w:spacing w:line="269" w:lineRule="auto"/>
        <w:ind w:left="720"/>
        <w:rPr>
          <w:rtl/>
        </w:rPr>
      </w:pPr>
      <w:r>
        <w:rPr>
          <w:rFonts w:hint="cs"/>
          <w:rtl/>
        </w:rPr>
        <w:t>המשטרה מסרה בתגובתה כי "</w:t>
      </w:r>
      <w:bookmarkStart w:id="494" w:name="_Hlk190254406"/>
      <w:r w:rsidRPr="00234CB9">
        <w:rPr>
          <w:rtl/>
        </w:rPr>
        <w:t xml:space="preserve">במהלך הליך רכש </w:t>
      </w:r>
      <w:r>
        <w:rPr>
          <w:rFonts w:hint="cs"/>
          <w:rtl/>
        </w:rPr>
        <w:t>הכלי האמור</w:t>
      </w:r>
      <w:r w:rsidRPr="00234CB9">
        <w:rPr>
          <w:rtl/>
        </w:rPr>
        <w:t xml:space="preserve"> ובחינת הצורך, הגורמים הטכנולוגיים הפעילו את הכלי טרם ניתן אישור משפטי לעשות בו שימוש, בכפוף לצו שיפוטי המאשר פעולה זו. מבלי להקל ראש באמור, אין בכך כדי לגרוע מההליך הסדור שהתקיים </w:t>
      </w:r>
      <w:r>
        <w:rPr>
          <w:rtl/>
        </w:rPr>
        <w:t>בנוגע</w:t>
      </w:r>
      <w:r w:rsidRPr="00234CB9">
        <w:rPr>
          <w:rtl/>
        </w:rPr>
        <w:t xml:space="preserve"> להליכי הרכש ואישור המערכת כשנה לאחר מכן</w:t>
      </w:r>
      <w:bookmarkEnd w:id="494"/>
      <w:r>
        <w:rPr>
          <w:rFonts w:hint="cs"/>
          <w:rtl/>
        </w:rPr>
        <w:t>"</w:t>
      </w:r>
      <w:r w:rsidRPr="00234CB9">
        <w:rPr>
          <w:rtl/>
        </w:rPr>
        <w:t>.</w:t>
      </w:r>
    </w:p>
    <w:p w:rsidR="00263D2F" w:rsidRPr="000904E9" w:rsidRDefault="00263D2F" w:rsidP="00604C3D">
      <w:pPr>
        <w:spacing w:line="269" w:lineRule="auto"/>
      </w:pPr>
      <w:bookmarkStart w:id="495" w:name="_Toc151890757"/>
      <w:bookmarkStart w:id="496" w:name="_Toc151882029"/>
    </w:p>
    <w:p w:rsidR="009A1216" w:rsidRDefault="00FE3FAD" w:rsidP="008C598D">
      <w:pPr>
        <w:pStyle w:val="af2"/>
        <w:numPr>
          <w:ilvl w:val="0"/>
          <w:numId w:val="21"/>
        </w:numPr>
        <w:spacing w:line="269" w:lineRule="auto"/>
      </w:pPr>
      <w:r>
        <w:rPr>
          <w:rStyle w:val="50"/>
          <w:rFonts w:hint="eastAsia"/>
          <w:rtl/>
        </w:rPr>
        <w:t>התקנה</w:t>
      </w:r>
      <w:r w:rsidR="009A1216" w:rsidRPr="00BB764F">
        <w:rPr>
          <w:rStyle w:val="50"/>
          <w:rtl/>
        </w:rPr>
        <w:t xml:space="preserve"> ללא צו </w:t>
      </w:r>
      <w:r w:rsidR="009A1216" w:rsidRPr="00BB764F">
        <w:rPr>
          <w:rStyle w:val="50"/>
          <w:rFonts w:hint="eastAsia"/>
          <w:rtl/>
        </w:rPr>
        <w:t>תקף</w:t>
      </w:r>
      <w:bookmarkEnd w:id="495"/>
      <w:bookmarkEnd w:id="496"/>
      <w:r w:rsidR="009A1216">
        <w:rPr>
          <w:rFonts w:hint="cs"/>
          <w:rtl/>
        </w:rPr>
        <w:t xml:space="preserve"> </w:t>
      </w:r>
    </w:p>
    <w:p w:rsidR="00263D2F" w:rsidRPr="000904E9" w:rsidRDefault="00263D2F" w:rsidP="00604C3D">
      <w:pPr>
        <w:spacing w:line="269" w:lineRule="auto"/>
      </w:pPr>
    </w:p>
    <w:p w:rsidR="009A1216" w:rsidRDefault="009A1216" w:rsidP="00333EA5">
      <w:pPr>
        <w:pStyle w:val="af2"/>
        <w:numPr>
          <w:ilvl w:val="0"/>
          <w:numId w:val="37"/>
        </w:numPr>
        <w:spacing w:line="269" w:lineRule="auto"/>
        <w:ind w:left="1144"/>
      </w:pPr>
      <w:r>
        <w:rPr>
          <w:rFonts w:hint="cs"/>
          <w:rtl/>
        </w:rPr>
        <w:t xml:space="preserve">בבדיקות שביצע משרד מבקר המדינה בנושא במסמכי המשטרה ובמערכת לניהול צווים של המשטרה עלו שני מקרים המעוררים חשש כי מתווה </w:t>
      </w:r>
      <w:r w:rsidR="00FE3FAD">
        <w:rPr>
          <w:rFonts w:hint="cs"/>
          <w:rtl/>
        </w:rPr>
        <w:t>התקנה</w:t>
      </w:r>
      <w:r>
        <w:rPr>
          <w:rFonts w:hint="cs"/>
          <w:rtl/>
        </w:rPr>
        <w:t xml:space="preserve"> מסוים בוצע בלא שהיה צו האזנת סתר תקף בעניינו. המשטרה לא ניהלה בקביעות ביומני המבצעים רשומות המתעדות את מועדי הביצוע של כל שלבי ה</w:t>
      </w:r>
      <w:r w:rsidR="00FE3FAD">
        <w:rPr>
          <w:rFonts w:hint="cs"/>
          <w:rtl/>
        </w:rPr>
        <w:t>התקנה</w:t>
      </w:r>
      <w:r>
        <w:rPr>
          <w:rFonts w:hint="cs"/>
          <w:rtl/>
        </w:rPr>
        <w:t>, ולכן ברשומות שבהן ציון מועד ראשית פעולת ה</w:t>
      </w:r>
      <w:r w:rsidR="00FE3FAD">
        <w:rPr>
          <w:rFonts w:hint="cs"/>
          <w:rtl/>
        </w:rPr>
        <w:t>התקנה</w:t>
      </w:r>
      <w:r>
        <w:rPr>
          <w:rFonts w:hint="cs"/>
          <w:rtl/>
        </w:rPr>
        <w:t xml:space="preserve"> קדם למועד הוצאת הצו עולה חשש כאמור. בנוגע</w:t>
      </w:r>
      <w:r w:rsidRPr="00716B55">
        <w:rPr>
          <w:rFonts w:hint="cs"/>
          <w:rtl/>
        </w:rPr>
        <w:t xml:space="preserve"> למקרה נוסף שהעלה חשש מסוג זה, הציגה המשטרה צו מתאים </w:t>
      </w:r>
      <w:r>
        <w:rPr>
          <w:rFonts w:hint="cs"/>
          <w:rtl/>
        </w:rPr>
        <w:t xml:space="preserve">אשר היה תקף בעת ביצוע הפעולות. </w:t>
      </w:r>
    </w:p>
    <w:p w:rsidR="009A1216" w:rsidRPr="000904E9" w:rsidRDefault="009A1216" w:rsidP="00333EA5">
      <w:pPr>
        <w:spacing w:line="269" w:lineRule="auto"/>
        <w:ind w:left="444"/>
        <w:rPr>
          <w:rtl/>
        </w:rPr>
      </w:pPr>
    </w:p>
    <w:p w:rsidR="009A1216" w:rsidRDefault="009A1216" w:rsidP="00333EA5">
      <w:pPr>
        <w:spacing w:line="269" w:lineRule="auto"/>
        <w:ind w:left="1144"/>
        <w:rPr>
          <w:rtl/>
        </w:rPr>
      </w:pPr>
      <w:r w:rsidRPr="002911D2">
        <w:rPr>
          <w:rFonts w:hint="cs"/>
          <w:rtl/>
        </w:rPr>
        <w:t xml:space="preserve">במענה לשאלות מבקר המדינה, המשטרה לא הזימה את הממצאים </w:t>
      </w:r>
      <w:r>
        <w:rPr>
          <w:rFonts w:hint="cs"/>
          <w:rtl/>
        </w:rPr>
        <w:t>ש</w:t>
      </w:r>
      <w:r w:rsidRPr="002911D2">
        <w:rPr>
          <w:rFonts w:hint="cs"/>
          <w:rtl/>
        </w:rPr>
        <w:t xml:space="preserve">לפיהם </w:t>
      </w:r>
      <w:r>
        <w:rPr>
          <w:rFonts w:hint="cs"/>
          <w:rtl/>
        </w:rPr>
        <w:t>בהתאם</w:t>
      </w:r>
      <w:r w:rsidRPr="002911D2">
        <w:rPr>
          <w:rFonts w:hint="cs"/>
          <w:rtl/>
        </w:rPr>
        <w:t xml:space="preserve"> </w:t>
      </w:r>
      <w:r>
        <w:rPr>
          <w:rFonts w:hint="cs"/>
          <w:rtl/>
        </w:rPr>
        <w:t>ל</w:t>
      </w:r>
      <w:r w:rsidRPr="002911D2">
        <w:rPr>
          <w:rFonts w:hint="cs"/>
          <w:rtl/>
        </w:rPr>
        <w:t xml:space="preserve">תיעוד המבצעי המצוי ברשותה בוצעו פעולות המחייבות החזקת צו בתוקף, </w:t>
      </w:r>
      <w:r>
        <w:rPr>
          <w:rFonts w:hint="cs"/>
          <w:rtl/>
        </w:rPr>
        <w:t xml:space="preserve">ובהן </w:t>
      </w:r>
      <w:r w:rsidRPr="002911D2">
        <w:rPr>
          <w:rFonts w:hint="cs"/>
          <w:rtl/>
        </w:rPr>
        <w:t xml:space="preserve">בין היתר, בדיקות היתכנות המקיימות שיחה לפי חוק האזנת סתר. </w:t>
      </w:r>
    </w:p>
    <w:p w:rsidR="00263D2F" w:rsidRPr="000904E9" w:rsidRDefault="00263D2F" w:rsidP="00604C3D">
      <w:pPr>
        <w:spacing w:line="269" w:lineRule="auto"/>
      </w:pPr>
    </w:p>
    <w:p w:rsidR="009A1216" w:rsidRDefault="009A1216" w:rsidP="00333EA5">
      <w:pPr>
        <w:pStyle w:val="af2"/>
        <w:numPr>
          <w:ilvl w:val="0"/>
          <w:numId w:val="37"/>
        </w:numPr>
        <w:spacing w:line="269" w:lineRule="auto"/>
        <w:ind w:left="1144"/>
      </w:pPr>
      <w:r>
        <w:rPr>
          <w:rFonts w:hint="cs"/>
          <w:rtl/>
        </w:rPr>
        <w:t>בבדיקות צוות מררי עלה כי בכלי טכנולוגי מסוים</w:t>
      </w:r>
      <w:r w:rsidR="00382AE8">
        <w:rPr>
          <w:rFonts w:hint="cs"/>
          <w:rtl/>
        </w:rPr>
        <w:t xml:space="preserve"> </w:t>
      </w:r>
      <w:r>
        <w:rPr>
          <w:rFonts w:hint="cs"/>
          <w:rtl/>
        </w:rPr>
        <w:t xml:space="preserve">בוצעה </w:t>
      </w:r>
      <w:r w:rsidR="00FE3FAD">
        <w:rPr>
          <w:rFonts w:hint="cs"/>
          <w:rtl/>
        </w:rPr>
        <w:t>התקנה</w:t>
      </w:r>
      <w:r>
        <w:rPr>
          <w:rFonts w:hint="cs"/>
          <w:rtl/>
        </w:rPr>
        <w:t xml:space="preserve"> אחת כמה שעות לאחר שפג תוקף הצו. </w:t>
      </w:r>
    </w:p>
    <w:p w:rsidR="009A1216" w:rsidRDefault="009A1216" w:rsidP="00604C3D">
      <w:pPr>
        <w:pStyle w:val="a5"/>
        <w:spacing w:line="269" w:lineRule="auto"/>
        <w:ind w:left="0"/>
        <w:rPr>
          <w:rtl/>
        </w:rPr>
      </w:pPr>
    </w:p>
    <w:p w:rsidR="009A1216" w:rsidRDefault="009A1216" w:rsidP="00333EA5">
      <w:pPr>
        <w:spacing w:line="269" w:lineRule="auto"/>
        <w:ind w:left="1144"/>
        <w:rPr>
          <w:rtl/>
        </w:rPr>
      </w:pPr>
      <w:r>
        <w:rPr>
          <w:rFonts w:hint="cs"/>
          <w:rtl/>
        </w:rPr>
        <w:t>המש</w:t>
      </w:r>
      <w:r>
        <w:rPr>
          <w:rFonts w:hint="eastAsia"/>
          <w:rtl/>
        </w:rPr>
        <w:t>טרה</w:t>
      </w:r>
      <w:r>
        <w:rPr>
          <w:rFonts w:hint="cs"/>
          <w:rtl/>
        </w:rPr>
        <w:t xml:space="preserve"> מסרה כי ה</w:t>
      </w:r>
      <w:r w:rsidR="00FE3FAD">
        <w:rPr>
          <w:rFonts w:hint="cs"/>
          <w:rtl/>
        </w:rPr>
        <w:t>התקנה</w:t>
      </w:r>
      <w:r>
        <w:rPr>
          <w:rFonts w:hint="cs"/>
          <w:rtl/>
        </w:rPr>
        <w:t xml:space="preserve"> שנבדקה על ידי צוות מררי לא צלחה וממילא לא נאספו תוצרים במסגרתה. </w:t>
      </w:r>
    </w:p>
    <w:p w:rsidR="00263D2F" w:rsidRPr="000904E9" w:rsidRDefault="00263D2F" w:rsidP="00604C3D">
      <w:pPr>
        <w:spacing w:line="269" w:lineRule="auto"/>
      </w:pPr>
      <w:bookmarkStart w:id="497" w:name="_Toc151890755"/>
      <w:bookmarkStart w:id="498" w:name="_Toc151882027"/>
      <w:bookmarkStart w:id="499" w:name="_Hlk190065974"/>
    </w:p>
    <w:p w:rsidR="009A1216" w:rsidRDefault="00FE3FAD" w:rsidP="008C598D">
      <w:pPr>
        <w:pStyle w:val="af2"/>
        <w:numPr>
          <w:ilvl w:val="0"/>
          <w:numId w:val="21"/>
        </w:numPr>
        <w:spacing w:line="269" w:lineRule="auto"/>
      </w:pPr>
      <w:r w:rsidRPr="007D3E8D">
        <w:rPr>
          <w:rStyle w:val="70"/>
          <w:rFonts w:hint="eastAsia"/>
          <w:rtl/>
        </w:rPr>
        <w:t>התקנה</w:t>
      </w:r>
      <w:r w:rsidR="009A1216" w:rsidRPr="007D3E8D">
        <w:rPr>
          <w:rStyle w:val="70"/>
          <w:rtl/>
        </w:rPr>
        <w:t xml:space="preserve"> של</w:t>
      </w:r>
      <w:r w:rsidRPr="007D3E8D">
        <w:rPr>
          <w:rStyle w:val="70"/>
          <w:rFonts w:hint="cs"/>
          <w:rtl/>
        </w:rPr>
        <w:t xml:space="preserve"> כלי טכנולוגי </w:t>
      </w:r>
      <w:r w:rsidR="00E9432B" w:rsidRPr="007D3E8D">
        <w:rPr>
          <w:rStyle w:val="70"/>
          <w:rFonts w:hint="cs"/>
          <w:rtl/>
        </w:rPr>
        <w:t>כלפי</w:t>
      </w:r>
      <w:r w:rsidR="009A1216" w:rsidRPr="007D3E8D">
        <w:rPr>
          <w:rStyle w:val="70"/>
          <w:rtl/>
        </w:rPr>
        <w:t xml:space="preserve"> יעד תמים </w:t>
      </w:r>
      <w:r w:rsidR="009A1216" w:rsidRPr="007D3E8D">
        <w:rPr>
          <w:rStyle w:val="70"/>
          <w:rFonts w:hint="eastAsia"/>
          <w:rtl/>
        </w:rPr>
        <w:t>בשל</w:t>
      </w:r>
      <w:r w:rsidR="009A1216" w:rsidRPr="007D3E8D">
        <w:rPr>
          <w:rStyle w:val="70"/>
          <w:rtl/>
        </w:rPr>
        <w:t xml:space="preserve"> טעות </w:t>
      </w:r>
      <w:r w:rsidR="009A1216" w:rsidRPr="007D3E8D">
        <w:rPr>
          <w:rStyle w:val="70"/>
          <w:rFonts w:hint="cs"/>
          <w:rtl/>
        </w:rPr>
        <w:t>אנוש</w:t>
      </w:r>
      <w:bookmarkEnd w:id="497"/>
      <w:bookmarkEnd w:id="498"/>
      <w:r w:rsidR="009A1216" w:rsidRPr="007D3E8D">
        <w:rPr>
          <w:rStyle w:val="70"/>
          <w:rFonts w:hint="cs"/>
          <w:rtl/>
        </w:rPr>
        <w:t>:</w:t>
      </w:r>
      <w:r w:rsidR="009A1216">
        <w:rPr>
          <w:rFonts w:hint="cs"/>
          <w:rtl/>
        </w:rPr>
        <w:t xml:space="preserve"> בבדיקת צוות מררי עלה כי באמצעות כלי טכנולוגי מסוים אותרו 13 ניסיונות שלא צלחו </w:t>
      </w:r>
      <w:r w:rsidR="004B37D6">
        <w:rPr>
          <w:rFonts w:hint="cs"/>
          <w:rtl/>
        </w:rPr>
        <w:t xml:space="preserve">להתקנת כלי </w:t>
      </w:r>
      <w:r w:rsidR="00CF5F7A">
        <w:rPr>
          <w:rFonts w:hint="cs"/>
          <w:rtl/>
        </w:rPr>
        <w:t>טכנולוגי כלפי</w:t>
      </w:r>
      <w:r w:rsidR="009A1216">
        <w:rPr>
          <w:rFonts w:hint="cs"/>
          <w:rtl/>
        </w:rPr>
        <w:t xml:space="preserve"> יעדי האזנה תמימים אשר לא הוצא נגדם צו האזנת סתר. זאת, בשל הזנה שגויה בידי המפעיל של המידע הנדרש לצורך השימוש בכלי הטכנולוגי. </w:t>
      </w:r>
    </w:p>
    <w:p w:rsidR="009A1216" w:rsidRPr="000904E9" w:rsidRDefault="009A1216" w:rsidP="00604C3D">
      <w:pPr>
        <w:spacing w:line="269" w:lineRule="auto"/>
        <w:rPr>
          <w:rtl/>
        </w:rPr>
      </w:pPr>
    </w:p>
    <w:p w:rsidR="009A1216" w:rsidRDefault="009A1216" w:rsidP="00333EA5">
      <w:pPr>
        <w:spacing w:line="269" w:lineRule="auto"/>
        <w:ind w:left="720"/>
        <w:rPr>
          <w:b/>
          <w:rtl/>
        </w:rPr>
      </w:pPr>
      <w:r>
        <w:rPr>
          <w:rFonts w:hint="cs"/>
          <w:b/>
          <w:rtl/>
        </w:rPr>
        <w:t>משרד המשפטים</w:t>
      </w:r>
      <w:r w:rsidRPr="002E187B">
        <w:rPr>
          <w:b/>
          <w:rtl/>
        </w:rPr>
        <w:t xml:space="preserve"> </w:t>
      </w:r>
      <w:r w:rsidRPr="000904E9">
        <w:rPr>
          <w:rtl/>
        </w:rPr>
        <w:t>מסר</w:t>
      </w:r>
      <w:r>
        <w:rPr>
          <w:rFonts w:hint="cs"/>
          <w:b/>
          <w:rtl/>
        </w:rPr>
        <w:t xml:space="preserve"> כי בכל המקרים האמורים נמצא שמדובר בניסיונות </w:t>
      </w:r>
      <w:r w:rsidR="00FE3FAD">
        <w:rPr>
          <w:rFonts w:hint="cs"/>
          <w:b/>
          <w:rtl/>
        </w:rPr>
        <w:t>התקנה</w:t>
      </w:r>
      <w:r>
        <w:rPr>
          <w:rFonts w:hint="cs"/>
          <w:b/>
          <w:rtl/>
        </w:rPr>
        <w:t xml:space="preserve"> שלא צלחו ולא התקבלו בעניינם תוצרים.</w:t>
      </w:r>
      <w:r w:rsidR="00382AE8">
        <w:rPr>
          <w:rFonts w:hint="cs"/>
          <w:b/>
          <w:rtl/>
        </w:rPr>
        <w:t xml:space="preserve"> </w:t>
      </w:r>
    </w:p>
    <w:p w:rsidR="00263D2F" w:rsidRPr="000904E9" w:rsidRDefault="00263D2F" w:rsidP="00604C3D">
      <w:pPr>
        <w:spacing w:line="269" w:lineRule="auto"/>
      </w:pPr>
      <w:bookmarkStart w:id="500" w:name="_Toc151890756"/>
      <w:bookmarkStart w:id="501" w:name="_Toc151882028"/>
      <w:bookmarkEnd w:id="499"/>
    </w:p>
    <w:p w:rsidR="009A1216" w:rsidRDefault="00FE3FAD" w:rsidP="008C598D">
      <w:pPr>
        <w:pStyle w:val="af2"/>
        <w:numPr>
          <w:ilvl w:val="0"/>
          <w:numId w:val="21"/>
        </w:numPr>
        <w:spacing w:line="269" w:lineRule="auto"/>
      </w:pPr>
      <w:r w:rsidRPr="007D3E8D">
        <w:rPr>
          <w:rStyle w:val="70"/>
          <w:rFonts w:hint="eastAsia"/>
          <w:rtl/>
        </w:rPr>
        <w:t>התקנה</w:t>
      </w:r>
      <w:r w:rsidR="009A1216" w:rsidRPr="007D3E8D">
        <w:rPr>
          <w:rStyle w:val="70"/>
          <w:rtl/>
        </w:rPr>
        <w:t xml:space="preserve"> ללא צו </w:t>
      </w:r>
      <w:r w:rsidR="009A1216" w:rsidRPr="007D3E8D">
        <w:rPr>
          <w:rStyle w:val="70"/>
          <w:rFonts w:hint="eastAsia"/>
          <w:rtl/>
        </w:rPr>
        <w:t>מתאים</w:t>
      </w:r>
      <w:bookmarkEnd w:id="500"/>
      <w:bookmarkEnd w:id="501"/>
      <w:r w:rsidR="009A1216" w:rsidRPr="007D3E8D">
        <w:rPr>
          <w:rStyle w:val="70"/>
          <w:rFonts w:hint="cs"/>
          <w:rtl/>
        </w:rPr>
        <w:t>:</w:t>
      </w:r>
      <w:r w:rsidR="009A1216">
        <w:rPr>
          <w:rFonts w:hint="cs"/>
          <w:rtl/>
        </w:rPr>
        <w:t xml:space="preserve"> בבדיקת צוות מררי עלה כי בכלי טכנולוגי מסוים התבצעו שלוש </w:t>
      </w:r>
      <w:r w:rsidR="004C1FFC">
        <w:rPr>
          <w:rFonts w:hint="cs"/>
          <w:rtl/>
        </w:rPr>
        <w:t xml:space="preserve">התקנות </w:t>
      </w:r>
      <w:r w:rsidR="009A1216">
        <w:rPr>
          <w:rFonts w:hint="cs"/>
          <w:rtl/>
        </w:rPr>
        <w:t xml:space="preserve">ללא צו מתאים: </w:t>
      </w:r>
    </w:p>
    <w:p w:rsidR="00263D2F" w:rsidRPr="000904E9" w:rsidRDefault="00263D2F" w:rsidP="00604C3D">
      <w:pPr>
        <w:spacing w:line="269" w:lineRule="auto"/>
      </w:pPr>
    </w:p>
    <w:p w:rsidR="009A1216" w:rsidRDefault="00FE3FAD" w:rsidP="00333EA5">
      <w:pPr>
        <w:pStyle w:val="af2"/>
        <w:numPr>
          <w:ilvl w:val="0"/>
          <w:numId w:val="40"/>
        </w:numPr>
        <w:spacing w:line="269" w:lineRule="auto"/>
        <w:ind w:left="1351" w:hanging="567"/>
      </w:pPr>
      <w:r>
        <w:rPr>
          <w:rFonts w:hint="cs"/>
          <w:rtl/>
        </w:rPr>
        <w:t>התקנה</w:t>
      </w:r>
      <w:r w:rsidR="009A1216">
        <w:rPr>
          <w:rFonts w:hint="cs"/>
          <w:rtl/>
        </w:rPr>
        <w:t xml:space="preserve"> אחת בוצעה כלפי אמצעי מואזן מכוח צו ובו פרטי יעד ההאזנה בלבד ללא פרטי האמצעי המואזן. פרטי האמצעי המואזן נדרשים לצורך הגדרת מטרת ה</w:t>
      </w:r>
      <w:r>
        <w:rPr>
          <w:rFonts w:hint="cs"/>
          <w:rtl/>
        </w:rPr>
        <w:t>התקנה</w:t>
      </w:r>
      <w:r w:rsidR="009A1216">
        <w:rPr>
          <w:rFonts w:hint="cs"/>
          <w:rtl/>
        </w:rPr>
        <w:t xml:space="preserve">. </w:t>
      </w:r>
    </w:p>
    <w:p w:rsidR="00263D2F" w:rsidRPr="000904E9" w:rsidRDefault="00263D2F" w:rsidP="00333EA5">
      <w:pPr>
        <w:spacing w:line="269" w:lineRule="auto"/>
        <w:ind w:left="361"/>
      </w:pPr>
    </w:p>
    <w:p w:rsidR="009A1216" w:rsidRDefault="009A1216" w:rsidP="00333EA5">
      <w:pPr>
        <w:pStyle w:val="af2"/>
        <w:numPr>
          <w:ilvl w:val="0"/>
          <w:numId w:val="40"/>
        </w:numPr>
        <w:spacing w:line="269" w:lineRule="auto"/>
        <w:ind w:left="1351" w:hanging="567"/>
      </w:pPr>
      <w:r>
        <w:rPr>
          <w:rFonts w:hint="cs"/>
          <w:rtl/>
        </w:rPr>
        <w:t xml:space="preserve">שתי </w:t>
      </w:r>
      <w:r w:rsidR="00E9432B">
        <w:rPr>
          <w:rFonts w:hint="cs"/>
          <w:rtl/>
        </w:rPr>
        <w:t xml:space="preserve">התקנות של כלים טכנולוגיים המשמשים להאזנה לתקשורת בין מחשבים </w:t>
      </w:r>
      <w:r>
        <w:rPr>
          <w:rFonts w:hint="cs"/>
          <w:rtl/>
        </w:rPr>
        <w:t xml:space="preserve">התבצעו מכוח צווים שבהם לא פורטה דרך ההאזנה הרלוונטית לתקשורת בין מחשבים, ולפיכך הצו אינו מאשר שימוש </w:t>
      </w:r>
      <w:r w:rsidR="00E9432B">
        <w:rPr>
          <w:rFonts w:hint="cs"/>
          <w:rtl/>
        </w:rPr>
        <w:t xml:space="preserve">מעין זה </w:t>
      </w:r>
      <w:r>
        <w:rPr>
          <w:rFonts w:hint="cs"/>
          <w:rtl/>
        </w:rPr>
        <w:t xml:space="preserve">לאיסוף תוצרי האזנת סתר. </w:t>
      </w:r>
    </w:p>
    <w:p w:rsidR="00263D2F" w:rsidRDefault="00263D2F" w:rsidP="00604C3D">
      <w:pPr>
        <w:spacing w:line="269" w:lineRule="auto"/>
        <w:rPr>
          <w:b/>
          <w:bCs/>
          <w:rtl/>
        </w:rPr>
      </w:pPr>
      <w:bookmarkStart w:id="502" w:name="_Hlk190066016"/>
    </w:p>
    <w:p w:rsidR="009A1216" w:rsidRDefault="009A1216" w:rsidP="00DF4779">
      <w:pPr>
        <w:spacing w:line="269" w:lineRule="auto"/>
        <w:ind w:left="423"/>
        <w:rPr>
          <w:b/>
          <w:bCs/>
          <w:rtl/>
        </w:rPr>
      </w:pPr>
      <w:r>
        <w:rPr>
          <w:rFonts w:hint="cs"/>
          <w:b/>
          <w:bCs/>
          <w:rtl/>
        </w:rPr>
        <w:t xml:space="preserve">נמצא כי בעת השימוש בכלים טכנולוגיים וביצוע האזנות סתר על ידי המשטרה ב-19 מקרים היא ביצעה </w:t>
      </w:r>
      <w:r w:rsidR="00E9432B">
        <w:rPr>
          <w:rFonts w:hint="cs"/>
          <w:b/>
          <w:bCs/>
          <w:rtl/>
        </w:rPr>
        <w:t xml:space="preserve">התקנות </w:t>
      </w:r>
      <w:r w:rsidR="006F5640">
        <w:rPr>
          <w:rFonts w:hint="cs"/>
          <w:b/>
          <w:bCs/>
          <w:rtl/>
        </w:rPr>
        <w:t>אסורות</w:t>
      </w:r>
      <w:r>
        <w:rPr>
          <w:rFonts w:hint="cs"/>
          <w:b/>
          <w:bCs/>
          <w:rtl/>
        </w:rPr>
        <w:t xml:space="preserve"> או שחוקיותן מוטלת בספק (</w:t>
      </w:r>
      <w:r w:rsidR="00E9432B">
        <w:rPr>
          <w:rFonts w:hint="cs"/>
          <w:b/>
          <w:bCs/>
          <w:rtl/>
        </w:rPr>
        <w:t xml:space="preserve">התקנה של כלי טכנולוגי כלפי </w:t>
      </w:r>
      <w:r>
        <w:rPr>
          <w:rFonts w:hint="cs"/>
          <w:b/>
          <w:bCs/>
          <w:rtl/>
        </w:rPr>
        <w:t xml:space="preserve">יעד תמים בשל טעות אנוש, </w:t>
      </w:r>
      <w:r w:rsidR="00FE3FAD">
        <w:rPr>
          <w:rFonts w:hint="cs"/>
          <w:b/>
          <w:bCs/>
          <w:rtl/>
        </w:rPr>
        <w:t>התקנה</w:t>
      </w:r>
      <w:r>
        <w:rPr>
          <w:rFonts w:hint="cs"/>
          <w:b/>
          <w:bCs/>
          <w:rtl/>
        </w:rPr>
        <w:t xml:space="preserve"> </w:t>
      </w:r>
      <w:r w:rsidR="00E9432B">
        <w:rPr>
          <w:rFonts w:hint="cs"/>
          <w:b/>
          <w:bCs/>
          <w:rtl/>
        </w:rPr>
        <w:t xml:space="preserve">של כלי טכנולוגי </w:t>
      </w:r>
      <w:r>
        <w:rPr>
          <w:rFonts w:hint="cs"/>
          <w:b/>
          <w:bCs/>
          <w:rtl/>
        </w:rPr>
        <w:t>ללא צו מתאים ו</w:t>
      </w:r>
      <w:r w:rsidR="00FE3FAD">
        <w:rPr>
          <w:rFonts w:hint="cs"/>
          <w:b/>
          <w:bCs/>
          <w:rtl/>
        </w:rPr>
        <w:t>התקנה</w:t>
      </w:r>
      <w:r>
        <w:rPr>
          <w:rFonts w:hint="cs"/>
          <w:b/>
          <w:bCs/>
          <w:rtl/>
        </w:rPr>
        <w:t xml:space="preserve"> ללא צו תקף), ובחמישה מקרים התברר בדיעבד כי המשטרה ביצעה </w:t>
      </w:r>
      <w:r w:rsidR="00FE3FAD">
        <w:rPr>
          <w:rFonts w:hint="cs"/>
          <w:b/>
          <w:bCs/>
          <w:rtl/>
        </w:rPr>
        <w:t>התקנה</w:t>
      </w:r>
      <w:r>
        <w:rPr>
          <w:rFonts w:hint="cs"/>
          <w:b/>
          <w:bCs/>
          <w:rtl/>
        </w:rPr>
        <w:t xml:space="preserve"> </w:t>
      </w:r>
      <w:r w:rsidR="006F5640">
        <w:rPr>
          <w:rFonts w:hint="cs"/>
          <w:b/>
          <w:bCs/>
          <w:rtl/>
        </w:rPr>
        <w:t>אסורה</w:t>
      </w:r>
      <w:r>
        <w:rPr>
          <w:rFonts w:hint="cs"/>
          <w:b/>
          <w:bCs/>
          <w:rtl/>
        </w:rPr>
        <w:t xml:space="preserve"> בחוסר סמכות או תוך </w:t>
      </w:r>
      <w:r w:rsidRPr="00C659E0">
        <w:rPr>
          <w:rFonts w:hint="cs"/>
          <w:b/>
          <w:bCs/>
          <w:rtl/>
        </w:rPr>
        <w:t xml:space="preserve">חריגה מסמכות (שימוש במתווה </w:t>
      </w:r>
      <w:r w:rsidR="00FE3FAD">
        <w:rPr>
          <w:rFonts w:hint="cs"/>
          <w:b/>
          <w:bCs/>
          <w:rtl/>
        </w:rPr>
        <w:t>התקנה</w:t>
      </w:r>
      <w:r w:rsidRPr="00C659E0">
        <w:rPr>
          <w:rFonts w:hint="cs"/>
          <w:b/>
          <w:bCs/>
          <w:rtl/>
        </w:rPr>
        <w:t xml:space="preserve"> פסול, שימוש בכלים טכנולוגיים לפני אישורם</w:t>
      </w:r>
      <w:r>
        <w:rPr>
          <w:rFonts w:hint="cs"/>
          <w:b/>
          <w:bCs/>
          <w:rtl/>
        </w:rPr>
        <w:t xml:space="preserve"> המשפטי). המקרים נבחנו פעם נוספת על ידי מבקר המדינה בשל טענות המשטרה נגד ממצאי הביקורת (בפרט בנוגע למתווה </w:t>
      </w:r>
      <w:r w:rsidR="00FE3FAD">
        <w:rPr>
          <w:rFonts w:hint="cs"/>
          <w:b/>
          <w:bCs/>
          <w:rtl/>
        </w:rPr>
        <w:t>התקנה</w:t>
      </w:r>
      <w:r>
        <w:rPr>
          <w:rFonts w:hint="cs"/>
          <w:b/>
          <w:bCs/>
          <w:rtl/>
        </w:rPr>
        <w:t xml:space="preserve"> 7 ומתווה </w:t>
      </w:r>
      <w:r w:rsidR="00FE3FAD">
        <w:rPr>
          <w:rFonts w:hint="cs"/>
          <w:b/>
          <w:bCs/>
          <w:rtl/>
        </w:rPr>
        <w:t>התקנה</w:t>
      </w:r>
      <w:r>
        <w:rPr>
          <w:rFonts w:hint="cs"/>
          <w:b/>
          <w:bCs/>
          <w:rtl/>
        </w:rPr>
        <w:t xml:space="preserve"> 8(ה)), אולם חלק מטענות המשטרה נדחו לאחר בחינתן. </w:t>
      </w:r>
    </w:p>
    <w:p w:rsidR="009A1216" w:rsidRPr="001E635D" w:rsidRDefault="009A1216" w:rsidP="00DF4779">
      <w:pPr>
        <w:pStyle w:val="a5"/>
        <w:spacing w:line="269" w:lineRule="auto"/>
        <w:ind w:left="0"/>
        <w:rPr>
          <w:rtl/>
        </w:rPr>
      </w:pPr>
    </w:p>
    <w:p w:rsidR="009A1216" w:rsidRDefault="009A1216" w:rsidP="00DF4779">
      <w:pPr>
        <w:spacing w:line="269" w:lineRule="auto"/>
        <w:ind w:left="423"/>
        <w:rPr>
          <w:b/>
          <w:bCs/>
          <w:rtl/>
        </w:rPr>
      </w:pPr>
      <w:r>
        <w:rPr>
          <w:rFonts w:hint="cs"/>
          <w:b/>
          <w:bCs/>
          <w:rtl/>
        </w:rPr>
        <w:t xml:space="preserve">בנוגע ליתרת המקרים, שבהם המשטרה לא חלקה על ממצאי הביקורת המלמדים על ביצוע פעולה </w:t>
      </w:r>
      <w:r w:rsidR="006F5640">
        <w:rPr>
          <w:rFonts w:hint="cs"/>
          <w:b/>
          <w:bCs/>
          <w:rtl/>
        </w:rPr>
        <w:t>אסורה</w:t>
      </w:r>
      <w:r>
        <w:rPr>
          <w:rFonts w:hint="cs"/>
          <w:b/>
          <w:bCs/>
          <w:rtl/>
        </w:rPr>
        <w:t>, העלו המשטרה והייעוץ המשפטי לממשלה במשרד המשפטים מספר טענות: (א) ה</w:t>
      </w:r>
      <w:r w:rsidR="00FE3FAD">
        <w:rPr>
          <w:rFonts w:hint="cs"/>
          <w:b/>
          <w:bCs/>
          <w:rtl/>
        </w:rPr>
        <w:t>התקנה</w:t>
      </w:r>
      <w:r>
        <w:rPr>
          <w:rFonts w:hint="cs"/>
          <w:b/>
          <w:bCs/>
          <w:rtl/>
        </w:rPr>
        <w:t xml:space="preserve"> </w:t>
      </w:r>
      <w:r w:rsidR="006F5640">
        <w:rPr>
          <w:rFonts w:hint="cs"/>
          <w:b/>
          <w:bCs/>
          <w:rtl/>
        </w:rPr>
        <w:t xml:space="preserve">האסורה </w:t>
      </w:r>
      <w:r>
        <w:rPr>
          <w:rFonts w:hint="cs"/>
          <w:b/>
          <w:bCs/>
          <w:rtl/>
        </w:rPr>
        <w:t>לא הולידה ראייה שהוגשה במסגרת כתב אישום, כלומר לא נעשה שימוש ראייתי בתוצרי ה</w:t>
      </w:r>
      <w:r w:rsidR="00FE3FAD">
        <w:rPr>
          <w:rFonts w:hint="cs"/>
          <w:b/>
          <w:bCs/>
          <w:rtl/>
        </w:rPr>
        <w:t>התקנה</w:t>
      </w:r>
      <w:r>
        <w:rPr>
          <w:rFonts w:hint="cs"/>
          <w:b/>
          <w:bCs/>
          <w:rtl/>
        </w:rPr>
        <w:t xml:space="preserve"> </w:t>
      </w:r>
      <w:r w:rsidR="006F5640">
        <w:rPr>
          <w:rFonts w:hint="cs"/>
          <w:b/>
          <w:bCs/>
          <w:rtl/>
        </w:rPr>
        <w:t>האסורה</w:t>
      </w:r>
      <w:r>
        <w:rPr>
          <w:rFonts w:hint="cs"/>
          <w:b/>
          <w:bCs/>
          <w:rtl/>
        </w:rPr>
        <w:t>; (ב) ה</w:t>
      </w:r>
      <w:r w:rsidR="00FE3FAD">
        <w:rPr>
          <w:rFonts w:hint="cs"/>
          <w:b/>
          <w:bCs/>
          <w:rtl/>
        </w:rPr>
        <w:t>התקנה</w:t>
      </w:r>
      <w:r>
        <w:rPr>
          <w:rFonts w:hint="cs"/>
          <w:b/>
          <w:bCs/>
          <w:rtl/>
        </w:rPr>
        <w:t xml:space="preserve"> </w:t>
      </w:r>
      <w:r w:rsidR="006F5640">
        <w:rPr>
          <w:rFonts w:hint="cs"/>
          <w:b/>
          <w:bCs/>
          <w:rtl/>
        </w:rPr>
        <w:t xml:space="preserve">האסורה </w:t>
      </w:r>
      <w:r>
        <w:rPr>
          <w:rFonts w:hint="cs"/>
          <w:b/>
          <w:bCs/>
          <w:rtl/>
        </w:rPr>
        <w:t>לא צלחה; (ג) ה</w:t>
      </w:r>
      <w:r w:rsidR="00FE3FAD">
        <w:rPr>
          <w:rFonts w:hint="cs"/>
          <w:b/>
          <w:bCs/>
          <w:rtl/>
        </w:rPr>
        <w:t>התקנה</w:t>
      </w:r>
      <w:r w:rsidR="006F5640">
        <w:rPr>
          <w:rFonts w:hint="cs"/>
          <w:b/>
          <w:bCs/>
          <w:rtl/>
        </w:rPr>
        <w:t xml:space="preserve"> האסורה</w:t>
      </w:r>
      <w:r w:rsidR="00382AE8">
        <w:rPr>
          <w:rFonts w:hint="cs"/>
          <w:b/>
          <w:bCs/>
          <w:rtl/>
        </w:rPr>
        <w:t xml:space="preserve"> </w:t>
      </w:r>
      <w:r>
        <w:rPr>
          <w:rFonts w:hint="cs"/>
          <w:b/>
          <w:bCs/>
          <w:rtl/>
        </w:rPr>
        <w:t>התבצעה כאשר המשטרה החזיקה בצו שיפוטי תקף.</w:t>
      </w:r>
      <w:r w:rsidR="00382AE8">
        <w:rPr>
          <w:rFonts w:hint="cs"/>
          <w:b/>
          <w:bCs/>
          <w:rtl/>
        </w:rPr>
        <w:t xml:space="preserve"> </w:t>
      </w:r>
    </w:p>
    <w:p w:rsidR="009A1216" w:rsidRPr="001E635D" w:rsidRDefault="009A1216" w:rsidP="00DF4779">
      <w:pPr>
        <w:pStyle w:val="a5"/>
        <w:spacing w:line="269" w:lineRule="auto"/>
        <w:ind w:left="0"/>
        <w:rPr>
          <w:rtl/>
        </w:rPr>
      </w:pPr>
    </w:p>
    <w:p w:rsidR="009A1216" w:rsidRDefault="009A1216" w:rsidP="00DF4779">
      <w:pPr>
        <w:spacing w:line="269" w:lineRule="auto"/>
        <w:ind w:left="423"/>
        <w:rPr>
          <w:b/>
          <w:bCs/>
          <w:rtl/>
        </w:rPr>
      </w:pPr>
      <w:r>
        <w:rPr>
          <w:rFonts w:hint="cs"/>
          <w:b/>
          <w:bCs/>
          <w:rtl/>
        </w:rPr>
        <w:t>מבקר המדינה מדגיש כי מהביקורת עלה ש</w:t>
      </w:r>
      <w:r w:rsidRPr="001E635D">
        <w:rPr>
          <w:rFonts w:hint="cs"/>
          <w:b/>
          <w:bCs/>
          <w:rtl/>
        </w:rPr>
        <w:t xml:space="preserve">המשטרה ביצעה </w:t>
      </w:r>
      <w:r w:rsidR="00F8134E">
        <w:rPr>
          <w:rFonts w:hint="cs"/>
          <w:b/>
          <w:bCs/>
          <w:rtl/>
        </w:rPr>
        <w:t xml:space="preserve">התקנות </w:t>
      </w:r>
      <w:r w:rsidR="006F5640">
        <w:rPr>
          <w:rFonts w:hint="cs"/>
          <w:b/>
          <w:bCs/>
          <w:rtl/>
        </w:rPr>
        <w:t>אסורות</w:t>
      </w:r>
      <w:r w:rsidRPr="001E635D">
        <w:rPr>
          <w:rFonts w:hint="cs"/>
          <w:b/>
          <w:bCs/>
          <w:rtl/>
        </w:rPr>
        <w:t xml:space="preserve"> </w:t>
      </w:r>
      <w:r>
        <w:rPr>
          <w:rFonts w:hint="cs"/>
          <w:b/>
          <w:bCs/>
          <w:rtl/>
        </w:rPr>
        <w:t>ו</w:t>
      </w:r>
      <w:r w:rsidR="0034709B">
        <w:rPr>
          <w:rFonts w:hint="cs"/>
          <w:b/>
          <w:bCs/>
          <w:rtl/>
        </w:rPr>
        <w:t xml:space="preserve">חרף </w:t>
      </w:r>
      <w:r w:rsidR="006F5640">
        <w:rPr>
          <w:rFonts w:hint="cs"/>
          <w:b/>
          <w:bCs/>
          <w:rtl/>
        </w:rPr>
        <w:t>האיסור</w:t>
      </w:r>
      <w:r w:rsidR="0034709B">
        <w:rPr>
          <w:rFonts w:hint="cs"/>
          <w:b/>
          <w:bCs/>
          <w:rtl/>
        </w:rPr>
        <w:t xml:space="preserve"> </w:t>
      </w:r>
      <w:r>
        <w:rPr>
          <w:rFonts w:hint="cs"/>
          <w:b/>
          <w:bCs/>
          <w:rtl/>
        </w:rPr>
        <w:t xml:space="preserve">הפעילה כלים טכנולוגיים פוגעניים ללא אישור משפטי ובחוסר סמכות. </w:t>
      </w:r>
    </w:p>
    <w:p w:rsidR="009A1216" w:rsidRPr="001E635D" w:rsidRDefault="009A1216" w:rsidP="00DF4779">
      <w:pPr>
        <w:pStyle w:val="a5"/>
        <w:spacing w:line="269" w:lineRule="auto"/>
        <w:ind w:left="0"/>
        <w:rPr>
          <w:rtl/>
        </w:rPr>
      </w:pPr>
    </w:p>
    <w:p w:rsidR="009A1216" w:rsidRDefault="009A1216" w:rsidP="00DF4779">
      <w:pPr>
        <w:spacing w:line="269" w:lineRule="auto"/>
        <w:ind w:left="423"/>
        <w:rPr>
          <w:b/>
          <w:bCs/>
          <w:rtl/>
        </w:rPr>
      </w:pPr>
      <w:r>
        <w:rPr>
          <w:rFonts w:hint="cs"/>
          <w:b/>
          <w:bCs/>
          <w:rtl/>
        </w:rPr>
        <w:t xml:space="preserve">מבקר המדינה מעיר למשטרה ולייעוץ המשפטי לממשלה במשרד המשפטים </w:t>
      </w:r>
      <w:r w:rsidRPr="00253210">
        <w:rPr>
          <w:rFonts w:hint="cs"/>
          <w:b/>
          <w:bCs/>
          <w:rtl/>
        </w:rPr>
        <w:t xml:space="preserve">כי </w:t>
      </w:r>
      <w:r w:rsidRPr="00253210">
        <w:rPr>
          <w:b/>
          <w:bCs/>
          <w:rtl/>
        </w:rPr>
        <w:t>גופי אכיפת החוק מחויבים לפעול כדין בכל הפעולות שהם מקיימים</w:t>
      </w:r>
      <w:r w:rsidRPr="00253210">
        <w:rPr>
          <w:rFonts w:hint="cs"/>
          <w:b/>
          <w:bCs/>
          <w:rtl/>
        </w:rPr>
        <w:t xml:space="preserve"> בכל שלבי אכיפת החוק (</w:t>
      </w:r>
      <w:r w:rsidRPr="00253210">
        <w:rPr>
          <w:b/>
          <w:bCs/>
          <w:rtl/>
        </w:rPr>
        <w:t>ניהול הפרשייה המודיעינית, שלבי החקירה ואיסוף הראיות</w:t>
      </w:r>
      <w:r w:rsidRPr="00253210">
        <w:rPr>
          <w:rFonts w:hint="cs"/>
          <w:b/>
          <w:bCs/>
          <w:rtl/>
        </w:rPr>
        <w:t>,</w:t>
      </w:r>
      <w:r w:rsidRPr="00253210">
        <w:rPr>
          <w:b/>
          <w:bCs/>
          <w:rtl/>
        </w:rPr>
        <w:t xml:space="preserve"> ו</w:t>
      </w:r>
      <w:r w:rsidRPr="00253210">
        <w:rPr>
          <w:rFonts w:hint="cs"/>
          <w:b/>
          <w:bCs/>
          <w:rtl/>
        </w:rPr>
        <w:t>כן</w:t>
      </w:r>
      <w:r w:rsidRPr="00253210">
        <w:rPr>
          <w:b/>
          <w:bCs/>
          <w:rtl/>
        </w:rPr>
        <w:t xml:space="preserve"> הגשת כתב אישום</w:t>
      </w:r>
      <w:r w:rsidRPr="00253210">
        <w:rPr>
          <w:rFonts w:hint="cs"/>
          <w:b/>
          <w:bCs/>
          <w:rtl/>
        </w:rPr>
        <w:t>)</w:t>
      </w:r>
      <w:r w:rsidRPr="00253210">
        <w:rPr>
          <w:b/>
          <w:bCs/>
          <w:rtl/>
        </w:rPr>
        <w:t xml:space="preserve">. אין זה ראוי שגופי אכיפת החוק יישענו, בבואם להתייחס למקרים בהם נמצאו פעולות </w:t>
      </w:r>
      <w:r w:rsidR="006F5640">
        <w:rPr>
          <w:rFonts w:hint="cs"/>
          <w:b/>
          <w:bCs/>
          <w:rtl/>
        </w:rPr>
        <w:t>אסורות</w:t>
      </w:r>
      <w:r w:rsidRPr="00253210">
        <w:rPr>
          <w:b/>
          <w:bCs/>
          <w:rtl/>
        </w:rPr>
        <w:t>, על טענ</w:t>
      </w:r>
      <w:r>
        <w:rPr>
          <w:rFonts w:hint="cs"/>
          <w:b/>
          <w:bCs/>
          <w:rtl/>
        </w:rPr>
        <w:t>ות</w:t>
      </w:r>
      <w:r w:rsidRPr="00253210">
        <w:rPr>
          <w:b/>
          <w:bCs/>
          <w:rtl/>
        </w:rPr>
        <w:t xml:space="preserve"> ש</w:t>
      </w:r>
      <w:r>
        <w:rPr>
          <w:rFonts w:hint="cs"/>
          <w:b/>
          <w:bCs/>
          <w:rtl/>
        </w:rPr>
        <w:t>מצמצמו</w:t>
      </w:r>
      <w:r w:rsidRPr="00253210">
        <w:rPr>
          <w:rFonts w:hint="cs"/>
          <w:b/>
          <w:bCs/>
          <w:rtl/>
        </w:rPr>
        <w:t xml:space="preserve">ת את </w:t>
      </w:r>
      <w:r>
        <w:rPr>
          <w:rFonts w:hint="cs"/>
          <w:b/>
          <w:bCs/>
          <w:rtl/>
        </w:rPr>
        <w:t xml:space="preserve">השלכות הפעולה </w:t>
      </w:r>
      <w:r w:rsidR="006F5640">
        <w:rPr>
          <w:rFonts w:hint="cs"/>
          <w:b/>
          <w:bCs/>
          <w:rtl/>
        </w:rPr>
        <w:t>האסורה</w:t>
      </w:r>
      <w:r w:rsidRPr="00253210">
        <w:rPr>
          <w:rFonts w:hint="cs"/>
          <w:b/>
          <w:bCs/>
          <w:rtl/>
        </w:rPr>
        <w:t xml:space="preserve"> </w:t>
      </w:r>
      <w:r>
        <w:rPr>
          <w:rFonts w:hint="cs"/>
          <w:b/>
          <w:bCs/>
          <w:rtl/>
        </w:rPr>
        <w:t>ל</w:t>
      </w:r>
      <w:r w:rsidRPr="00253210">
        <w:rPr>
          <w:rFonts w:hint="cs"/>
          <w:b/>
          <w:bCs/>
          <w:rtl/>
        </w:rPr>
        <w:t xml:space="preserve">תוצאותיה במישור הראייתי במסגרת כתב אישום או </w:t>
      </w:r>
      <w:r>
        <w:rPr>
          <w:rFonts w:hint="cs"/>
          <w:b/>
          <w:bCs/>
          <w:rtl/>
        </w:rPr>
        <w:t xml:space="preserve">לבחינתה </w:t>
      </w:r>
      <w:r w:rsidRPr="00253210">
        <w:rPr>
          <w:rFonts w:hint="cs"/>
          <w:b/>
          <w:bCs/>
          <w:rtl/>
        </w:rPr>
        <w:t>בראי הצלחתה המעשית</w:t>
      </w:r>
      <w:r>
        <w:rPr>
          <w:rFonts w:hint="cs"/>
          <w:b/>
          <w:bCs/>
          <w:rtl/>
        </w:rPr>
        <w:t>, ולחלופין נשענות על קיומו של צו שיפוטי שלא יכול לרפא את פגמיה מראש או בדיעבד</w:t>
      </w:r>
      <w:r w:rsidRPr="00253210">
        <w:rPr>
          <w:rFonts w:hint="cs"/>
          <w:b/>
          <w:bCs/>
          <w:rtl/>
        </w:rPr>
        <w:t xml:space="preserve">. התייחסות זו משקפת גישה הנמנעת מלנקוט עמדה ברורה ונוקבת לפיה אין מקום לביצוע </w:t>
      </w:r>
      <w:r w:rsidR="00F8134E">
        <w:rPr>
          <w:rFonts w:hint="cs"/>
          <w:b/>
          <w:bCs/>
          <w:rtl/>
        </w:rPr>
        <w:t>ההתקנות</w:t>
      </w:r>
      <w:r w:rsidR="00F8134E" w:rsidRPr="00253210">
        <w:rPr>
          <w:rFonts w:hint="cs"/>
          <w:b/>
          <w:bCs/>
          <w:rtl/>
        </w:rPr>
        <w:t xml:space="preserve"> </w:t>
      </w:r>
      <w:r w:rsidRPr="00253210">
        <w:rPr>
          <w:rFonts w:hint="cs"/>
          <w:b/>
          <w:bCs/>
          <w:rtl/>
        </w:rPr>
        <w:t>ללא אסמכת</w:t>
      </w:r>
      <w:r w:rsidR="004D22B7">
        <w:rPr>
          <w:rFonts w:hint="cs"/>
          <w:b/>
          <w:bCs/>
          <w:rtl/>
        </w:rPr>
        <w:t>ה</w:t>
      </w:r>
      <w:r w:rsidRPr="00253210">
        <w:rPr>
          <w:rFonts w:hint="cs"/>
          <w:b/>
          <w:bCs/>
          <w:rtl/>
        </w:rPr>
        <w:t xml:space="preserve"> מתאימה ובהליך </w:t>
      </w:r>
      <w:r>
        <w:rPr>
          <w:rFonts w:hint="cs"/>
          <w:b/>
          <w:bCs/>
          <w:rtl/>
        </w:rPr>
        <w:t>חוקי ו</w:t>
      </w:r>
      <w:r w:rsidRPr="00253210">
        <w:rPr>
          <w:rFonts w:hint="cs"/>
          <w:b/>
          <w:bCs/>
          <w:rtl/>
        </w:rPr>
        <w:t xml:space="preserve">סדור. </w:t>
      </w:r>
      <w:r w:rsidRPr="00253210">
        <w:rPr>
          <w:b/>
          <w:bCs/>
          <w:rtl/>
        </w:rPr>
        <w:t xml:space="preserve">מן הראוי שגופי אכיפת החוק יתייחסו בחומרה לפעולות </w:t>
      </w:r>
      <w:r w:rsidR="006F5640">
        <w:rPr>
          <w:rFonts w:hint="cs"/>
          <w:b/>
          <w:bCs/>
          <w:rtl/>
        </w:rPr>
        <w:t>האסורות</w:t>
      </w:r>
      <w:r w:rsidRPr="00253210">
        <w:rPr>
          <w:b/>
          <w:bCs/>
          <w:rtl/>
        </w:rPr>
        <w:t xml:space="preserve"> שביצעה המשטרה אף אם לא צלחו, לא הניבו תוצרים אסורים, לא הוגשו כתבי אישום ולא התקיים הליך פלילי בעניינ</w:t>
      </w:r>
      <w:r w:rsidR="0099782F">
        <w:rPr>
          <w:rFonts w:hint="cs"/>
          <w:b/>
          <w:bCs/>
          <w:rtl/>
        </w:rPr>
        <w:t>ן</w:t>
      </w:r>
      <w:r w:rsidRPr="00253210">
        <w:rPr>
          <w:b/>
          <w:bCs/>
          <w:rtl/>
        </w:rPr>
        <w:t>.</w:t>
      </w:r>
      <w:r>
        <w:rPr>
          <w:rFonts w:hint="cs"/>
          <w:b/>
          <w:bCs/>
          <w:rtl/>
        </w:rPr>
        <w:t xml:space="preserve"> </w:t>
      </w:r>
    </w:p>
    <w:p w:rsidR="009A1216" w:rsidRDefault="009A1216" w:rsidP="00DF4779">
      <w:pPr>
        <w:pStyle w:val="a5"/>
        <w:spacing w:line="269" w:lineRule="auto"/>
        <w:ind w:left="423"/>
        <w:rPr>
          <w:rtl/>
        </w:rPr>
      </w:pPr>
      <w:r w:rsidDel="007E542F">
        <w:rPr>
          <w:b/>
          <w:bCs/>
          <w:rtl/>
        </w:rPr>
        <w:t xml:space="preserve"> </w:t>
      </w:r>
      <w:bookmarkEnd w:id="502"/>
    </w:p>
    <w:p w:rsidR="009A1216" w:rsidRDefault="009A1216" w:rsidP="00DF4779">
      <w:pPr>
        <w:spacing w:line="269" w:lineRule="auto"/>
        <w:ind w:left="423"/>
        <w:rPr>
          <w:b/>
          <w:bCs/>
          <w:rtl/>
        </w:rPr>
      </w:pPr>
      <w:r w:rsidRPr="005A19A3">
        <w:rPr>
          <w:rFonts w:hint="cs"/>
          <w:b/>
          <w:bCs/>
          <w:rtl/>
        </w:rPr>
        <w:t xml:space="preserve">מומלץ כי המשטרה תבחן, בשיתוף הפרקליטות </w:t>
      </w:r>
      <w:r>
        <w:rPr>
          <w:rFonts w:hint="cs"/>
          <w:b/>
          <w:bCs/>
          <w:rtl/>
        </w:rPr>
        <w:t>במקרים</w:t>
      </w:r>
      <w:r w:rsidRPr="005A19A3">
        <w:rPr>
          <w:rFonts w:hint="cs"/>
          <w:b/>
          <w:bCs/>
          <w:rtl/>
        </w:rPr>
        <w:t xml:space="preserve"> הרלוונטיים את השלכות </w:t>
      </w:r>
      <w:r>
        <w:rPr>
          <w:rFonts w:hint="cs"/>
          <w:b/>
          <w:bCs/>
          <w:rtl/>
        </w:rPr>
        <w:t xml:space="preserve">ביצוע </w:t>
      </w:r>
      <w:r w:rsidR="00F8134E">
        <w:rPr>
          <w:rFonts w:hint="cs"/>
          <w:b/>
          <w:bCs/>
          <w:rtl/>
        </w:rPr>
        <w:t>ההתקנות</w:t>
      </w:r>
      <w:r w:rsidR="00F8134E" w:rsidRPr="005A19A3">
        <w:rPr>
          <w:rFonts w:hint="cs"/>
          <w:b/>
          <w:bCs/>
          <w:rtl/>
        </w:rPr>
        <w:t xml:space="preserve"> </w:t>
      </w:r>
      <w:r w:rsidRPr="005A19A3">
        <w:rPr>
          <w:rFonts w:hint="cs"/>
          <w:b/>
          <w:bCs/>
          <w:rtl/>
        </w:rPr>
        <w:t>על ניהול פרשיות מודיעין ותיקי חקירה פליליים.</w:t>
      </w:r>
    </w:p>
    <w:p w:rsidR="009A1216" w:rsidRPr="00F16F08" w:rsidRDefault="009A1216" w:rsidP="00DF4779">
      <w:pPr>
        <w:pStyle w:val="a5"/>
        <w:spacing w:line="269" w:lineRule="auto"/>
        <w:ind w:left="0"/>
        <w:rPr>
          <w:rtl/>
        </w:rPr>
      </w:pPr>
    </w:p>
    <w:p w:rsidR="009A1216" w:rsidRPr="00F16F08" w:rsidRDefault="009A1216" w:rsidP="00DF4779">
      <w:pPr>
        <w:spacing w:line="269" w:lineRule="auto"/>
        <w:ind w:left="423"/>
        <w:rPr>
          <w:rtl/>
        </w:rPr>
      </w:pPr>
      <w:r>
        <w:rPr>
          <w:rFonts w:hint="cs"/>
          <w:rtl/>
        </w:rPr>
        <w:t xml:space="preserve">הפרקליטות מסרה למבקר המדינה כי היא תבחן את המקרים הללו לנוכח ממצאי בדיקתו. </w:t>
      </w:r>
    </w:p>
    <w:p w:rsidR="00263D2F" w:rsidRDefault="00263D2F" w:rsidP="00DF4779">
      <w:pPr>
        <w:spacing w:line="269" w:lineRule="auto"/>
        <w:ind w:left="423"/>
        <w:rPr>
          <w:b/>
          <w:bCs/>
          <w:rtl/>
        </w:rPr>
      </w:pPr>
      <w:bookmarkStart w:id="503" w:name="_Hlk188186627"/>
    </w:p>
    <w:p w:rsidR="009A1216" w:rsidRDefault="009A1216" w:rsidP="00DF4779">
      <w:pPr>
        <w:spacing w:line="269" w:lineRule="auto"/>
        <w:ind w:left="423"/>
        <w:rPr>
          <w:b/>
          <w:bCs/>
          <w:rtl/>
        </w:rPr>
      </w:pPr>
      <w:r>
        <w:rPr>
          <w:rFonts w:hint="cs"/>
          <w:b/>
          <w:bCs/>
          <w:rtl/>
        </w:rPr>
        <w:t xml:space="preserve">ממסמכי המשטרה עולה כי המשטרה ביצעה </w:t>
      </w:r>
      <w:r w:rsidR="00F8134E">
        <w:rPr>
          <w:rFonts w:hint="cs"/>
          <w:b/>
          <w:bCs/>
          <w:rtl/>
        </w:rPr>
        <w:t xml:space="preserve">התקנות </w:t>
      </w:r>
      <w:r w:rsidR="006F5640">
        <w:rPr>
          <w:rFonts w:hint="cs"/>
          <w:b/>
          <w:bCs/>
          <w:rtl/>
        </w:rPr>
        <w:t xml:space="preserve">אסורות </w:t>
      </w:r>
      <w:r>
        <w:rPr>
          <w:rFonts w:hint="cs"/>
          <w:b/>
          <w:bCs/>
          <w:rtl/>
        </w:rPr>
        <w:t xml:space="preserve">תוך חריגה מסמכות בגלל שני גורמים עיקריים: (א) ביצוע מתווי </w:t>
      </w:r>
      <w:r w:rsidR="00FE3FAD">
        <w:rPr>
          <w:rFonts w:hint="cs"/>
          <w:b/>
          <w:bCs/>
          <w:rtl/>
        </w:rPr>
        <w:t>התקנה</w:t>
      </w:r>
      <w:r>
        <w:rPr>
          <w:rFonts w:hint="cs"/>
          <w:b/>
          <w:bCs/>
          <w:rtl/>
        </w:rPr>
        <w:t xml:space="preserve"> להאזנת סתר באופן ידני. הדבר מגביר את החשש לביצוע פעולות באופן בלתי עקבי, בלתי אחיד וחסר מנגנוני פיקוח ובקרה; (ב) תיעוד חלקי בלבד של פעולות ה</w:t>
      </w:r>
      <w:r w:rsidR="00FE3FAD">
        <w:rPr>
          <w:rFonts w:hint="cs"/>
          <w:b/>
          <w:bCs/>
          <w:rtl/>
        </w:rPr>
        <w:t>התקנה</w:t>
      </w:r>
      <w:r>
        <w:rPr>
          <w:rFonts w:hint="cs"/>
          <w:b/>
          <w:bCs/>
          <w:rtl/>
        </w:rPr>
        <w:t xml:space="preserve"> להאזנת סתר באופן ששלבים שונים במתווי ה</w:t>
      </w:r>
      <w:r w:rsidR="00FE3FAD">
        <w:rPr>
          <w:rFonts w:hint="cs"/>
          <w:b/>
          <w:bCs/>
          <w:rtl/>
        </w:rPr>
        <w:t>התקנה</w:t>
      </w:r>
      <w:r>
        <w:rPr>
          <w:rFonts w:hint="cs"/>
          <w:b/>
          <w:bCs/>
          <w:rtl/>
        </w:rPr>
        <w:t xml:space="preserve"> אינם מפורטים כדבעי ואינם בני אחזור ובקרה. בפרט, אין מסמך המרכז את כל הפעולות שבוצעו במסגרת ה</w:t>
      </w:r>
      <w:r w:rsidR="00FE3FAD">
        <w:rPr>
          <w:rFonts w:hint="cs"/>
          <w:b/>
          <w:bCs/>
          <w:rtl/>
        </w:rPr>
        <w:t>התקנה</w:t>
      </w:r>
      <w:r>
        <w:rPr>
          <w:rFonts w:hint="cs"/>
          <w:b/>
          <w:bCs/>
          <w:rtl/>
        </w:rPr>
        <w:t>, הפעולות שבוצעו לא תועדו בפירוט במסמכים הספורדיים הקיימים, ולא בוצע רישום סדור של מקור המידע ששימש לצורכי ה</w:t>
      </w:r>
      <w:bookmarkEnd w:id="503"/>
      <w:r w:rsidR="00FE3FAD">
        <w:rPr>
          <w:rFonts w:hint="cs"/>
          <w:b/>
          <w:bCs/>
          <w:rtl/>
        </w:rPr>
        <w:t>התקנה</w:t>
      </w:r>
      <w:r>
        <w:rPr>
          <w:rFonts w:hint="cs"/>
          <w:b/>
          <w:bCs/>
          <w:rtl/>
        </w:rPr>
        <w:t xml:space="preserve">. </w:t>
      </w:r>
    </w:p>
    <w:p w:rsidR="009A1216" w:rsidRDefault="009A1216" w:rsidP="00DF4779">
      <w:pPr>
        <w:pStyle w:val="a5"/>
        <w:spacing w:line="269" w:lineRule="auto"/>
        <w:ind w:left="423"/>
        <w:rPr>
          <w:rtl/>
        </w:rPr>
      </w:pPr>
    </w:p>
    <w:p w:rsidR="009A1216" w:rsidRDefault="009A1216" w:rsidP="00DF4779">
      <w:pPr>
        <w:spacing w:line="269" w:lineRule="auto"/>
        <w:ind w:left="423"/>
        <w:rPr>
          <w:rtl/>
        </w:rPr>
      </w:pPr>
      <w:r w:rsidRPr="00511A85">
        <w:rPr>
          <w:rFonts w:hint="cs"/>
          <w:rtl/>
        </w:rPr>
        <w:t>המשטרה מסרה בתגובתה כי</w:t>
      </w:r>
      <w:r w:rsidRPr="00511A85">
        <w:rPr>
          <w:rtl/>
        </w:rPr>
        <w:t xml:space="preserve"> המחשבה כי כלל </w:t>
      </w:r>
      <w:r>
        <w:rPr>
          <w:rFonts w:hint="cs"/>
          <w:rtl/>
        </w:rPr>
        <w:t>הכלים יותאמו לצרכיה</w:t>
      </w:r>
      <w:r w:rsidRPr="00511A85">
        <w:rPr>
          <w:rtl/>
        </w:rPr>
        <w:t xml:space="preserve"> באופן הרמטי, בכל רגע נתון, ללא כל תקלה </w:t>
      </w:r>
      <w:r>
        <w:rPr>
          <w:rFonts w:hint="cs"/>
          <w:rtl/>
        </w:rPr>
        <w:t>-</w:t>
      </w:r>
      <w:r w:rsidRPr="00511A85">
        <w:rPr>
          <w:rtl/>
        </w:rPr>
        <w:t xml:space="preserve"> אינה ישימה. לצורך זה נדרשת תפיסת בקרה טכנולוגית משולבת שאינה מסתמכת על "הגנה" טכנולוגית בלבד הכוללת: גידור טכנולוגי בהתאם לאישורים המשפטיים ובחינת המערכת טרם השימוש, אך לא פחות חשוב מכך, גידור מתודולוגי בכתב המגדיר את מרחב הפעולה של מפעיל המערכת </w:t>
      </w:r>
      <w:r>
        <w:rPr>
          <w:rtl/>
        </w:rPr>
        <w:t>בנוגע</w:t>
      </w:r>
      <w:r w:rsidRPr="00511A85">
        <w:rPr>
          <w:rtl/>
        </w:rPr>
        <w:t xml:space="preserve"> לכל מערכת ו</w:t>
      </w:r>
      <w:r>
        <w:rPr>
          <w:rFonts w:hint="cs"/>
          <w:rtl/>
        </w:rPr>
        <w:t xml:space="preserve">ביצוע </w:t>
      </w:r>
      <w:r w:rsidRPr="00511A85">
        <w:rPr>
          <w:rtl/>
        </w:rPr>
        <w:t>בקרות אנושיות באופן עיתי. רק השילוב של שני הדברים יחד יוכלו לצמצם את מרחב התקלה האפשרית ו</w:t>
      </w:r>
      <w:r>
        <w:rPr>
          <w:rFonts w:hint="cs"/>
          <w:rtl/>
        </w:rPr>
        <w:t xml:space="preserve">לאפשר את </w:t>
      </w:r>
      <w:r w:rsidRPr="00511A85">
        <w:rPr>
          <w:rtl/>
        </w:rPr>
        <w:t xml:space="preserve">הטיפול בה בטווח זמן קצר. תפיסה זו כיום הינה חלק משגרת העבודה של החטיבה </w:t>
      </w:r>
      <w:r>
        <w:rPr>
          <w:rtl/>
        </w:rPr>
        <w:t>בנוגע</w:t>
      </w:r>
      <w:r w:rsidRPr="00511A85">
        <w:rPr>
          <w:rtl/>
        </w:rPr>
        <w:t xml:space="preserve"> למערכות השונות.</w:t>
      </w:r>
    </w:p>
    <w:p w:rsidR="00263D2F" w:rsidRDefault="00263D2F" w:rsidP="00DF4779">
      <w:pPr>
        <w:spacing w:line="269" w:lineRule="auto"/>
        <w:ind w:left="423"/>
        <w:rPr>
          <w:b/>
          <w:bCs/>
          <w:rtl/>
        </w:rPr>
      </w:pPr>
    </w:p>
    <w:p w:rsidR="009A1216" w:rsidRDefault="009A1216" w:rsidP="00DF4779">
      <w:pPr>
        <w:spacing w:line="269" w:lineRule="auto"/>
        <w:ind w:left="423"/>
        <w:rPr>
          <w:b/>
          <w:bCs/>
          <w:rtl/>
        </w:rPr>
      </w:pPr>
      <w:r>
        <w:rPr>
          <w:rFonts w:hint="cs"/>
          <w:b/>
          <w:bCs/>
          <w:rtl/>
        </w:rPr>
        <w:t>מומלץ כי המשטרה ת</w:t>
      </w:r>
      <w:r>
        <w:rPr>
          <w:rFonts w:ascii="David" w:hAnsi="David"/>
          <w:b/>
          <w:bCs/>
          <w:rtl/>
        </w:rPr>
        <w:t>ְּ</w:t>
      </w:r>
      <w:r>
        <w:rPr>
          <w:rFonts w:hint="cs"/>
          <w:b/>
          <w:bCs/>
          <w:rtl/>
        </w:rPr>
        <w:t>מ</w:t>
      </w:r>
      <w:r>
        <w:rPr>
          <w:rFonts w:ascii="David" w:hAnsi="David"/>
          <w:b/>
          <w:bCs/>
          <w:rtl/>
        </w:rPr>
        <w:t>ַ</w:t>
      </w:r>
      <w:r>
        <w:rPr>
          <w:rFonts w:hint="cs"/>
          <w:b/>
          <w:bCs/>
          <w:rtl/>
        </w:rPr>
        <w:t>כ</w:t>
      </w:r>
      <w:r>
        <w:rPr>
          <w:rFonts w:ascii="David" w:hAnsi="David"/>
          <w:b/>
          <w:bCs/>
          <w:rtl/>
        </w:rPr>
        <w:t>ֵּ</w:t>
      </w:r>
      <w:r>
        <w:rPr>
          <w:rFonts w:hint="cs"/>
          <w:b/>
          <w:bCs/>
          <w:rtl/>
        </w:rPr>
        <w:t>ן, ככל הניתן, את פעולות ה</w:t>
      </w:r>
      <w:r w:rsidR="00FE3FAD">
        <w:rPr>
          <w:rFonts w:hint="cs"/>
          <w:b/>
          <w:bCs/>
          <w:rtl/>
        </w:rPr>
        <w:t>התקנה</w:t>
      </w:r>
      <w:r>
        <w:rPr>
          <w:rFonts w:hint="cs"/>
          <w:b/>
          <w:bCs/>
          <w:rtl/>
        </w:rPr>
        <w:t xml:space="preserve"> שמבוצעות באופן ידני. כלומר, ששלב </w:t>
      </w:r>
      <w:r w:rsidR="00FE3FAD">
        <w:rPr>
          <w:rFonts w:hint="cs"/>
          <w:b/>
          <w:bCs/>
          <w:rtl/>
        </w:rPr>
        <w:t>התקנה</w:t>
      </w:r>
      <w:r>
        <w:rPr>
          <w:rFonts w:hint="cs"/>
          <w:b/>
          <w:bCs/>
          <w:rtl/>
        </w:rPr>
        <w:t xml:space="preserve"> המבוצע באופן ידני או על ידי שימוש בכלי עזר יעבור תהליך של כימוס</w:t>
      </w:r>
      <w:r>
        <w:rPr>
          <w:rStyle w:val="af"/>
          <w:b/>
          <w:bCs/>
          <w:rtl/>
        </w:rPr>
        <w:footnoteReference w:id="182"/>
      </w:r>
      <w:r>
        <w:rPr>
          <w:rFonts w:hint="cs"/>
          <w:b/>
          <w:bCs/>
          <w:rtl/>
        </w:rPr>
        <w:t xml:space="preserve"> באופן שהפעולות יבוצעו באופן אוטומטי ואחיד בכל מתווה </w:t>
      </w:r>
      <w:r w:rsidR="00C879F0">
        <w:rPr>
          <w:rFonts w:hint="cs"/>
          <w:b/>
          <w:bCs/>
          <w:rtl/>
        </w:rPr>
        <w:t>התקנה ש</w:t>
      </w:r>
      <w:r>
        <w:rPr>
          <w:rFonts w:hint="cs"/>
          <w:b/>
          <w:bCs/>
          <w:rtl/>
        </w:rPr>
        <w:t>נבחר. זאת כדי להפחית התערבות יד האדם בביצוע הפעולות, למעט בשלבי הזנת הנתונים הנדרשים לביצוע ה</w:t>
      </w:r>
      <w:r w:rsidR="00FE3FAD">
        <w:rPr>
          <w:rFonts w:hint="cs"/>
          <w:b/>
          <w:bCs/>
          <w:rtl/>
        </w:rPr>
        <w:t>התקנה</w:t>
      </w:r>
      <w:r>
        <w:rPr>
          <w:rFonts w:hint="cs"/>
          <w:b/>
          <w:bCs/>
          <w:rtl/>
        </w:rPr>
        <w:t>.</w:t>
      </w:r>
    </w:p>
    <w:p w:rsidR="00263D2F" w:rsidRDefault="00263D2F" w:rsidP="00DF4779">
      <w:pPr>
        <w:spacing w:line="269" w:lineRule="auto"/>
        <w:ind w:left="423"/>
        <w:rPr>
          <w:b/>
          <w:bCs/>
          <w:rtl/>
        </w:rPr>
      </w:pPr>
    </w:p>
    <w:p w:rsidR="009A1216" w:rsidRDefault="009A1216" w:rsidP="00DF4779">
      <w:pPr>
        <w:spacing w:line="269" w:lineRule="auto"/>
        <w:ind w:left="423"/>
        <w:rPr>
          <w:b/>
          <w:bCs/>
          <w:rtl/>
        </w:rPr>
      </w:pPr>
      <w:r>
        <w:rPr>
          <w:rFonts w:hint="cs"/>
          <w:b/>
          <w:bCs/>
          <w:rtl/>
        </w:rPr>
        <w:t>עוד מומלץ כי בכל אחד ממתווי ה</w:t>
      </w:r>
      <w:r w:rsidR="00FE3FAD">
        <w:rPr>
          <w:rFonts w:hint="cs"/>
          <w:b/>
          <w:bCs/>
          <w:rtl/>
        </w:rPr>
        <w:t>התקנה</w:t>
      </w:r>
      <w:r>
        <w:rPr>
          <w:rFonts w:hint="cs"/>
          <w:b/>
          <w:bCs/>
          <w:rtl/>
        </w:rPr>
        <w:t xml:space="preserve"> המשטרה תנהל יומן מבצעים ייעודי, ובו יבוצע </w:t>
      </w:r>
      <w:r w:rsidRPr="00E07628">
        <w:rPr>
          <w:rFonts w:hint="eastAsia"/>
          <w:b/>
          <w:bCs/>
          <w:rtl/>
        </w:rPr>
        <w:t>רישום</w:t>
      </w:r>
      <w:r w:rsidRPr="00E07628">
        <w:rPr>
          <w:b/>
          <w:bCs/>
          <w:rtl/>
        </w:rPr>
        <w:t xml:space="preserve"> </w:t>
      </w:r>
      <w:r w:rsidRPr="00E07628">
        <w:rPr>
          <w:rFonts w:hint="eastAsia"/>
          <w:b/>
          <w:bCs/>
          <w:rtl/>
        </w:rPr>
        <w:t>ברור</w:t>
      </w:r>
      <w:r>
        <w:rPr>
          <w:rFonts w:hint="cs"/>
          <w:b/>
          <w:bCs/>
          <w:rtl/>
        </w:rPr>
        <w:t xml:space="preserve"> וגלוי של הפעולות שבוצעו, מועד ביצוען ומקור</w:t>
      </w:r>
      <w:r w:rsidRPr="00E07628">
        <w:rPr>
          <w:b/>
          <w:bCs/>
          <w:rtl/>
        </w:rPr>
        <w:t xml:space="preserve"> המי</w:t>
      </w:r>
      <w:r w:rsidRPr="00E07628">
        <w:rPr>
          <w:rFonts w:hint="eastAsia"/>
          <w:b/>
          <w:bCs/>
          <w:rtl/>
        </w:rPr>
        <w:t>דע</w:t>
      </w:r>
      <w:r w:rsidRPr="00E07628">
        <w:rPr>
          <w:b/>
          <w:bCs/>
          <w:rtl/>
        </w:rPr>
        <w:t xml:space="preserve"> </w:t>
      </w:r>
      <w:r>
        <w:rPr>
          <w:rFonts w:hint="cs"/>
          <w:b/>
          <w:bCs/>
          <w:rtl/>
        </w:rPr>
        <w:t>של</w:t>
      </w:r>
      <w:r w:rsidRPr="00E07628">
        <w:rPr>
          <w:b/>
          <w:bCs/>
          <w:rtl/>
        </w:rPr>
        <w:t xml:space="preserve"> </w:t>
      </w:r>
      <w:r>
        <w:rPr>
          <w:rFonts w:hint="cs"/>
          <w:b/>
          <w:bCs/>
          <w:rtl/>
        </w:rPr>
        <w:t>כל אחד מפריטי המידע שנעשה בהם שימוש ב</w:t>
      </w:r>
      <w:r w:rsidR="00FE3FAD">
        <w:rPr>
          <w:rFonts w:hint="cs"/>
          <w:b/>
          <w:bCs/>
          <w:rtl/>
        </w:rPr>
        <w:t>התקנה</w:t>
      </w:r>
      <w:r>
        <w:rPr>
          <w:rFonts w:hint="cs"/>
          <w:b/>
          <w:bCs/>
          <w:rtl/>
        </w:rPr>
        <w:t xml:space="preserve">. כמו כן, מומלץ כי במקרים שבהם </w:t>
      </w:r>
      <w:r w:rsidR="00F8134E">
        <w:rPr>
          <w:rFonts w:hint="cs"/>
          <w:b/>
          <w:bCs/>
          <w:rtl/>
        </w:rPr>
        <w:t>בוצעו התקנות</w:t>
      </w:r>
      <w:r>
        <w:rPr>
          <w:rFonts w:hint="cs"/>
          <w:b/>
          <w:bCs/>
          <w:rtl/>
        </w:rPr>
        <w:t xml:space="preserve"> באופן ידני או שנעשה שימוש בכלים טכנולוגיים שהשימוש בהם הותר תוך הגבלת סוגי </w:t>
      </w:r>
      <w:r w:rsidR="00F8134E">
        <w:rPr>
          <w:rFonts w:hint="cs"/>
          <w:b/>
          <w:bCs/>
          <w:rtl/>
        </w:rPr>
        <w:t xml:space="preserve">ההתקנות </w:t>
      </w:r>
      <w:r>
        <w:rPr>
          <w:rFonts w:hint="cs"/>
          <w:b/>
          <w:bCs/>
          <w:rtl/>
        </w:rPr>
        <w:t xml:space="preserve">שניתן לבצע באמצעותם - הפרקליטות תבחן את יומני המבצעים של המשטרה כדי לעמוד על תקינות הפעולות ועל השלכותיהן על הראיות בתיקים המובאים בפניה מכוח סמכותה. </w:t>
      </w:r>
    </w:p>
    <w:p w:rsidR="008265F2" w:rsidRDefault="008265F2" w:rsidP="00604C3D">
      <w:pPr>
        <w:spacing w:line="269" w:lineRule="auto"/>
        <w:rPr>
          <w:b/>
          <w:bCs/>
          <w:rtl/>
        </w:rPr>
      </w:pPr>
    </w:p>
    <w:p w:rsidR="009A1216" w:rsidRDefault="009A1216" w:rsidP="00850505">
      <w:pPr>
        <w:pStyle w:val="4"/>
        <w:numPr>
          <w:ilvl w:val="0"/>
          <w:numId w:val="27"/>
        </w:numPr>
        <w:spacing w:before="0" w:line="269" w:lineRule="auto"/>
        <w:rPr>
          <w:rtl/>
        </w:rPr>
      </w:pPr>
      <w:bookmarkStart w:id="505" w:name="_Toc211521939"/>
      <w:bookmarkStart w:id="506" w:name="_Toc219110329"/>
      <w:bookmarkStart w:id="507" w:name="_Toc219113770"/>
      <w:bookmarkStart w:id="508" w:name="_Toc219286545"/>
      <w:r>
        <w:rPr>
          <w:rFonts w:hint="cs"/>
          <w:rtl/>
        </w:rPr>
        <w:t xml:space="preserve">ההסדרה המשפטית של </w:t>
      </w:r>
      <w:r w:rsidRPr="007F7C87">
        <w:rPr>
          <w:rFonts w:hint="eastAsia"/>
          <w:rtl/>
        </w:rPr>
        <w:t>איסוף</w:t>
      </w:r>
      <w:r w:rsidRPr="007F7C87">
        <w:rPr>
          <w:rtl/>
        </w:rPr>
        <w:t xml:space="preserve"> </w:t>
      </w:r>
      <w:r w:rsidRPr="007F7C87">
        <w:rPr>
          <w:rFonts w:hint="eastAsia"/>
          <w:rtl/>
        </w:rPr>
        <w:t>תוצרי</w:t>
      </w:r>
      <w:r w:rsidRPr="007F7C87">
        <w:rPr>
          <w:rtl/>
        </w:rPr>
        <w:t xml:space="preserve"> </w:t>
      </w:r>
      <w:r w:rsidRPr="007F7C87">
        <w:rPr>
          <w:rFonts w:hint="eastAsia"/>
          <w:rtl/>
        </w:rPr>
        <w:t>ההאזנה</w:t>
      </w:r>
      <w:bookmarkEnd w:id="475"/>
      <w:bookmarkEnd w:id="476"/>
      <w:bookmarkEnd w:id="505"/>
      <w:bookmarkEnd w:id="506"/>
      <w:bookmarkEnd w:id="507"/>
      <w:bookmarkEnd w:id="508"/>
      <w:r>
        <w:rPr>
          <w:rFonts w:hint="cs"/>
          <w:rtl/>
        </w:rPr>
        <w:t xml:space="preserve"> </w:t>
      </w:r>
    </w:p>
    <w:p w:rsidR="00B2242D" w:rsidRDefault="00B2242D" w:rsidP="00604C3D">
      <w:pPr>
        <w:spacing w:line="269" w:lineRule="auto"/>
        <w:rPr>
          <w:rtl/>
        </w:rPr>
      </w:pPr>
    </w:p>
    <w:p w:rsidR="009A1216" w:rsidRPr="00F702C2" w:rsidRDefault="009A1216" w:rsidP="00DF4779">
      <w:pPr>
        <w:spacing w:line="269" w:lineRule="auto"/>
        <w:ind w:left="360"/>
        <w:rPr>
          <w:rtl/>
        </w:rPr>
      </w:pPr>
      <w:r>
        <w:rPr>
          <w:rFonts w:hint="cs"/>
          <w:rtl/>
        </w:rPr>
        <w:t>לאחר ש</w:t>
      </w:r>
      <w:r w:rsidR="009431AA">
        <w:rPr>
          <w:rFonts w:hint="cs"/>
          <w:rtl/>
        </w:rPr>
        <w:t xml:space="preserve">כלי טכנולוגי מותקן על </w:t>
      </w:r>
      <w:r>
        <w:rPr>
          <w:rFonts w:hint="cs"/>
          <w:rtl/>
        </w:rPr>
        <w:t xml:space="preserve">אמצעי מואזן בהצלחה, המשטרה מבצעת באופן ידני או באמצעות כלי טכנולוגי איסוף של תוצרי האזנת הסתר. פעולת האיסוף עשויה לכלול איסוף תוצרי האזנה באופן אוטומטי ופסיבי באמצעות כלי טכנולוגי או באמצעות ביצוע פעולות אקטיביות שמבצע מפעיל הכלי. </w:t>
      </w:r>
    </w:p>
    <w:p w:rsidR="00B2242D" w:rsidRDefault="00B2242D" w:rsidP="00DF4779">
      <w:pPr>
        <w:spacing w:line="269" w:lineRule="auto"/>
        <w:ind w:left="360"/>
        <w:rPr>
          <w:rtl/>
        </w:rPr>
      </w:pPr>
    </w:p>
    <w:p w:rsidR="009A1216" w:rsidRDefault="009A1216" w:rsidP="00DF4779">
      <w:pPr>
        <w:spacing w:line="269" w:lineRule="auto"/>
        <w:ind w:left="360"/>
        <w:rPr>
          <w:rtl/>
        </w:rPr>
      </w:pPr>
      <w:r>
        <w:rPr>
          <w:rFonts w:hint="cs"/>
          <w:rtl/>
        </w:rPr>
        <w:t xml:space="preserve">בהתאם לחוק, </w:t>
      </w:r>
      <w:r w:rsidRPr="00F702C2">
        <w:rPr>
          <w:rFonts w:hint="cs"/>
          <w:rtl/>
        </w:rPr>
        <w:t xml:space="preserve">מידע שיש </w:t>
      </w:r>
      <w:r>
        <w:rPr>
          <w:rFonts w:hint="cs"/>
          <w:rtl/>
        </w:rPr>
        <w:t xml:space="preserve">למשטרה </w:t>
      </w:r>
      <w:r w:rsidRPr="00F702C2">
        <w:rPr>
          <w:rFonts w:hint="cs"/>
          <w:rtl/>
        </w:rPr>
        <w:t>סמכות לקבלו במסגרת האזנת סתר צריך להיות מידע שמופק על ידי מחשב</w:t>
      </w:r>
      <w:r w:rsidRPr="00F702C2">
        <w:rPr>
          <w:vertAlign w:val="superscript"/>
          <w:rtl/>
        </w:rPr>
        <w:footnoteReference w:id="183"/>
      </w:r>
      <w:r>
        <w:rPr>
          <w:rFonts w:hint="cs"/>
          <w:rtl/>
        </w:rPr>
        <w:t>,</w:t>
      </w:r>
      <w:r w:rsidRPr="00F702C2">
        <w:rPr>
          <w:rFonts w:hint="cs"/>
          <w:rtl/>
        </w:rPr>
        <w:t xml:space="preserve"> עובר דרך חומר מתווך (כבל תקשורת פיזי, גלי רדיו וכיו"ב) ונקלט בזמן העברתו על ידי המאזין. כאשר המידע מאוחסן במכשיר קצה ולא נע בתווך התקשורת בין </w:t>
      </w:r>
      <w:r>
        <w:rPr>
          <w:rFonts w:hint="cs"/>
          <w:rtl/>
        </w:rPr>
        <w:t>מחשבים</w:t>
      </w:r>
      <w:r w:rsidRPr="00F702C2">
        <w:rPr>
          <w:rFonts w:hint="cs"/>
          <w:rtl/>
        </w:rPr>
        <w:t xml:space="preserve">, אין </w:t>
      </w:r>
      <w:r>
        <w:rPr>
          <w:rFonts w:hint="cs"/>
          <w:rtl/>
        </w:rPr>
        <w:t xml:space="preserve">למשטרה </w:t>
      </w:r>
      <w:r w:rsidRPr="00F702C2">
        <w:rPr>
          <w:rFonts w:hint="cs"/>
          <w:rtl/>
        </w:rPr>
        <w:t xml:space="preserve">סמכות להאזין לו </w:t>
      </w:r>
      <w:r>
        <w:rPr>
          <w:rFonts w:hint="cs"/>
          <w:rtl/>
        </w:rPr>
        <w:t>ב</w:t>
      </w:r>
      <w:r w:rsidRPr="00F702C2">
        <w:rPr>
          <w:rFonts w:hint="cs"/>
          <w:rtl/>
        </w:rPr>
        <w:t>האזנת סתר</w:t>
      </w:r>
      <w:r>
        <w:rPr>
          <w:rStyle w:val="af"/>
          <w:rtl/>
        </w:rPr>
        <w:footnoteReference w:id="184"/>
      </w:r>
      <w:r w:rsidRPr="00F702C2">
        <w:rPr>
          <w:rFonts w:hint="cs"/>
          <w:rtl/>
        </w:rPr>
        <w:t>.</w:t>
      </w:r>
    </w:p>
    <w:p w:rsidR="00B2242D" w:rsidRDefault="00B2242D" w:rsidP="00DF4779">
      <w:pPr>
        <w:spacing w:line="269" w:lineRule="auto"/>
        <w:ind w:left="360"/>
        <w:rPr>
          <w:szCs w:val="20"/>
          <w:rtl/>
        </w:rPr>
      </w:pPr>
    </w:p>
    <w:p w:rsidR="009A1216" w:rsidRDefault="009A1216" w:rsidP="00DF4779">
      <w:pPr>
        <w:spacing w:line="269" w:lineRule="auto"/>
        <w:ind w:left="360"/>
        <w:rPr>
          <w:rtl/>
        </w:rPr>
      </w:pPr>
      <w:r w:rsidRPr="00F702C2">
        <w:rPr>
          <w:rFonts w:hint="cs"/>
          <w:rtl/>
        </w:rPr>
        <w:t>עם זאת, משרד המשפטים והיועמ"ש למשטרה הכירו בכך שהאזנה לתקשורת בין מחשבים אינה חפה מתקלות טכניות ו</w:t>
      </w:r>
      <w:r>
        <w:rPr>
          <w:rFonts w:hint="cs"/>
          <w:rtl/>
        </w:rPr>
        <w:t xml:space="preserve">מהיעדר רציפות מלאה בקליטת המידע בשל אילוצים </w:t>
      </w:r>
      <w:r w:rsidRPr="00F702C2">
        <w:rPr>
          <w:rFonts w:hint="cs"/>
          <w:rtl/>
        </w:rPr>
        <w:t>טכנולוגי</w:t>
      </w:r>
      <w:r>
        <w:rPr>
          <w:rFonts w:hint="cs"/>
          <w:rtl/>
        </w:rPr>
        <w:t>ים</w:t>
      </w:r>
      <w:r w:rsidRPr="00F702C2">
        <w:rPr>
          <w:rFonts w:hint="cs"/>
          <w:rtl/>
        </w:rPr>
        <w:t xml:space="preserve">. </w:t>
      </w:r>
      <w:r>
        <w:rPr>
          <w:rFonts w:hint="cs"/>
          <w:rtl/>
        </w:rPr>
        <w:t>בנסיבות אלה</w:t>
      </w:r>
      <w:r w:rsidRPr="00F702C2">
        <w:rPr>
          <w:rFonts w:hint="cs"/>
          <w:rtl/>
        </w:rPr>
        <w:t xml:space="preserve"> </w:t>
      </w:r>
      <w:r>
        <w:rPr>
          <w:rFonts w:hint="cs"/>
          <w:rtl/>
        </w:rPr>
        <w:t xml:space="preserve">משרד המשפטים ביסס את </w:t>
      </w:r>
      <w:r w:rsidRPr="00F702C2">
        <w:rPr>
          <w:rFonts w:hint="cs"/>
          <w:rtl/>
        </w:rPr>
        <w:t xml:space="preserve">סמכות איסוף תוצרי האזנת סתר על </w:t>
      </w:r>
      <w:r>
        <w:rPr>
          <w:rFonts w:hint="cs"/>
          <w:rtl/>
        </w:rPr>
        <w:t>מענה למספר שאלות</w:t>
      </w:r>
      <w:r w:rsidRPr="00F702C2">
        <w:rPr>
          <w:rFonts w:hint="cs"/>
          <w:rtl/>
        </w:rPr>
        <w:t xml:space="preserve"> שלפיה</w:t>
      </w:r>
      <w:r>
        <w:rPr>
          <w:rFonts w:hint="cs"/>
          <w:rtl/>
        </w:rPr>
        <w:t>ן</w:t>
      </w:r>
      <w:r w:rsidRPr="00F702C2">
        <w:rPr>
          <w:rFonts w:hint="cs"/>
          <w:rtl/>
        </w:rPr>
        <w:t xml:space="preserve"> שיחה מותרת להאזנה לפי </w:t>
      </w:r>
      <w:r>
        <w:rPr>
          <w:rFonts w:hint="cs"/>
          <w:rtl/>
        </w:rPr>
        <w:t xml:space="preserve">חוק האזנת סתר </w:t>
      </w:r>
      <w:r w:rsidR="003D6F75">
        <w:rPr>
          <w:rFonts w:hint="cs"/>
          <w:rtl/>
        </w:rPr>
        <w:t>-</w:t>
      </w:r>
      <w:r>
        <w:rPr>
          <w:rFonts w:hint="cs"/>
          <w:rtl/>
        </w:rPr>
        <w:t xml:space="preserve"> דרך איסוף המידע, היקף המידע המועבר ומודעות יעד ההאזנה לכך שהמידע הועבר בתווך התקשורת</w:t>
      </w:r>
      <w:r w:rsidRPr="00F702C2">
        <w:rPr>
          <w:rFonts w:hint="cs"/>
          <w:rtl/>
        </w:rPr>
        <w:t>:</w:t>
      </w:r>
    </w:p>
    <w:p w:rsidR="009A1216" w:rsidRDefault="009A1216" w:rsidP="00604C3D">
      <w:pPr>
        <w:spacing w:line="269" w:lineRule="auto"/>
        <w:rPr>
          <w:rtl/>
        </w:rPr>
      </w:pPr>
    </w:p>
    <w:p w:rsidR="009A1216" w:rsidRPr="00CF554E" w:rsidRDefault="00E641F8" w:rsidP="00DF4779">
      <w:pPr>
        <w:pStyle w:val="5"/>
        <w:numPr>
          <w:ilvl w:val="0"/>
          <w:numId w:val="24"/>
        </w:numPr>
        <w:spacing w:line="269" w:lineRule="auto"/>
        <w:ind w:left="707"/>
      </w:pPr>
      <w:r>
        <w:rPr>
          <w:rFonts w:hint="cs"/>
          <w:rtl/>
        </w:rPr>
        <w:t>איסוף מידע אגור</w:t>
      </w:r>
    </w:p>
    <w:p w:rsidR="00B2242D" w:rsidRDefault="00B2242D" w:rsidP="00604C3D">
      <w:pPr>
        <w:spacing w:line="269" w:lineRule="auto"/>
        <w:rPr>
          <w:rtl/>
        </w:rPr>
      </w:pPr>
    </w:p>
    <w:p w:rsidR="009A1216" w:rsidRDefault="009A1216" w:rsidP="00DF4779">
      <w:pPr>
        <w:spacing w:line="269" w:lineRule="auto"/>
        <w:ind w:left="707"/>
        <w:rPr>
          <w:rtl/>
        </w:rPr>
      </w:pPr>
      <w:r>
        <w:rPr>
          <w:rFonts w:hint="cs"/>
          <w:rtl/>
        </w:rPr>
        <w:t>צוות מררי סיכם את עמדתו העקרונית לגבי ההבחנה המקובלת בין סמכות החיפוש הסמוי</w:t>
      </w:r>
      <w:r>
        <w:rPr>
          <w:rStyle w:val="af"/>
          <w:rtl/>
        </w:rPr>
        <w:footnoteReference w:id="185"/>
      </w:r>
      <w:r>
        <w:rPr>
          <w:rFonts w:hint="cs"/>
          <w:rtl/>
        </w:rPr>
        <w:t xml:space="preserve"> לסמכות האזנת הסתר: "איסוף לאחור של מידע אגור </w:t>
      </w:r>
      <w:r w:rsidR="003D6F75">
        <w:rPr>
          <w:rFonts w:hint="cs"/>
          <w:rtl/>
        </w:rPr>
        <w:t>-</w:t>
      </w:r>
      <w:r>
        <w:rPr>
          <w:rFonts w:hint="cs"/>
          <w:rtl/>
        </w:rPr>
        <w:t xml:space="preserve"> שזו פעולת חיפוש, לבין העתקה מרגע התחלת הפעולה ואילך של המידע שמתקבל או נשלח בתקשורת בין מחשבים, אף אם ההעתקה היא של מידע אגור שנאגר סמוך מאוד לאחר אגירתו </w:t>
      </w:r>
      <w:r w:rsidR="003D6F75">
        <w:rPr>
          <w:rFonts w:hint="cs"/>
          <w:rtl/>
        </w:rPr>
        <w:t>-</w:t>
      </w:r>
      <w:r>
        <w:rPr>
          <w:rFonts w:hint="cs"/>
          <w:rtl/>
        </w:rPr>
        <w:t xml:space="preserve"> שזו פעולה של האזנת סתר"</w:t>
      </w:r>
      <w:r>
        <w:rPr>
          <w:rStyle w:val="af"/>
          <w:rtl/>
        </w:rPr>
        <w:footnoteReference w:id="186"/>
      </w:r>
      <w:r>
        <w:rPr>
          <w:rFonts w:hint="cs"/>
          <w:rtl/>
        </w:rPr>
        <w:t xml:space="preserve">. עמדה זו מסכמת את הליך ההסדרה המשפטית שביצע משרד המשפטים בנוגע לאפשרות איסוף מידע אגור ממכשיר קצה. </w:t>
      </w:r>
    </w:p>
    <w:p w:rsidR="00B2242D" w:rsidRDefault="00B2242D" w:rsidP="00604C3D">
      <w:pPr>
        <w:spacing w:line="269" w:lineRule="auto"/>
        <w:rPr>
          <w:rtl/>
        </w:rPr>
      </w:pPr>
    </w:p>
    <w:p w:rsidR="009A1216" w:rsidRPr="00F702C2" w:rsidRDefault="009A1216" w:rsidP="00DF4779">
      <w:pPr>
        <w:spacing w:line="269" w:lineRule="auto"/>
        <w:ind w:left="707"/>
      </w:pPr>
      <w:r w:rsidRPr="007C68D6">
        <w:rPr>
          <w:rFonts w:hint="cs"/>
          <w:rtl/>
        </w:rPr>
        <w:t>במסגרת</w:t>
      </w:r>
      <w:r w:rsidRPr="00C61645">
        <w:rPr>
          <w:rFonts w:hint="cs"/>
          <w:rtl/>
        </w:rPr>
        <w:t xml:space="preserve"> העמדה העקרונית</w:t>
      </w:r>
      <w:r w:rsidR="0042635E">
        <w:rPr>
          <w:rFonts w:hint="cs"/>
          <w:rtl/>
        </w:rPr>
        <w:t xml:space="preserve"> האמורה</w:t>
      </w:r>
      <w:r w:rsidRPr="00C61645">
        <w:rPr>
          <w:rFonts w:hint="cs"/>
          <w:rtl/>
        </w:rPr>
        <w:t xml:space="preserve"> לא נקבע אימתי </w:t>
      </w:r>
      <w:r>
        <w:rPr>
          <w:rFonts w:hint="cs"/>
          <w:rtl/>
        </w:rPr>
        <w:t>העתקת</w:t>
      </w:r>
      <w:r w:rsidRPr="00C61645">
        <w:rPr>
          <w:rFonts w:hint="cs"/>
          <w:rtl/>
        </w:rPr>
        <w:t xml:space="preserve"> המידע בדיעבד ובסמוך למועד העברתו בתווך התקשורת לא </w:t>
      </w:r>
      <w:r>
        <w:rPr>
          <w:rFonts w:hint="cs"/>
          <w:rtl/>
        </w:rPr>
        <w:t>תיחשב</w:t>
      </w:r>
      <w:r w:rsidRPr="00C61645">
        <w:rPr>
          <w:rFonts w:hint="cs"/>
          <w:rtl/>
        </w:rPr>
        <w:t xml:space="preserve"> עוד האזנת סתר אלא חיפוש במידע אגור</w:t>
      </w:r>
      <w:r w:rsidRPr="00C61645">
        <w:rPr>
          <w:vertAlign w:val="superscript"/>
          <w:rtl/>
        </w:rPr>
        <w:footnoteReference w:id="187"/>
      </w:r>
      <w:r w:rsidRPr="00C61645">
        <w:rPr>
          <w:rFonts w:hint="cs"/>
          <w:rtl/>
        </w:rPr>
        <w:t>.</w:t>
      </w:r>
      <w:r>
        <w:rPr>
          <w:rFonts w:hint="cs"/>
          <w:rtl/>
        </w:rPr>
        <w:t xml:space="preserve"> </w:t>
      </w:r>
      <w:r w:rsidR="00AC1107">
        <w:rPr>
          <w:rFonts w:hint="cs"/>
          <w:rtl/>
        </w:rPr>
        <w:t>ל</w:t>
      </w:r>
      <w:r w:rsidRPr="00656D15">
        <w:rPr>
          <w:rtl/>
        </w:rPr>
        <w:t>עמדת צוות מררי בכל הנוגע לשאלה של קו הגבול המפריד בין המועד בו המידע נחשב מהותית כ</w:t>
      </w:r>
      <w:r>
        <w:rPr>
          <w:rFonts w:hint="cs"/>
          <w:rtl/>
        </w:rPr>
        <w:t>'</w:t>
      </w:r>
      <w:r w:rsidRPr="00656D15">
        <w:rPr>
          <w:rtl/>
        </w:rPr>
        <w:t>אגור</w:t>
      </w:r>
      <w:r>
        <w:rPr>
          <w:rFonts w:hint="cs"/>
          <w:rtl/>
        </w:rPr>
        <w:t>'</w:t>
      </w:r>
      <w:r w:rsidRPr="00656D15">
        <w:rPr>
          <w:rtl/>
        </w:rPr>
        <w:t xml:space="preserve"> ואינו בר האזנה, לבין המועד שבו המידע נחשב ככזה שעודנו </w:t>
      </w:r>
      <w:r>
        <w:rPr>
          <w:rFonts w:hint="cs"/>
          <w:rtl/>
        </w:rPr>
        <w:t>'</w:t>
      </w:r>
      <w:r w:rsidRPr="00656D15">
        <w:rPr>
          <w:rtl/>
        </w:rPr>
        <w:t>בתקשורת בין מחשבים</w:t>
      </w:r>
      <w:r>
        <w:rPr>
          <w:rFonts w:hint="cs"/>
          <w:rtl/>
        </w:rPr>
        <w:t>'</w:t>
      </w:r>
      <w:r w:rsidRPr="00656D15">
        <w:rPr>
          <w:rtl/>
        </w:rPr>
        <w:t xml:space="preserve"> ובר-האזנה, על אף שמבחינה טכנית הוא מצוי כבר במצב </w:t>
      </w:r>
      <w:r>
        <w:rPr>
          <w:rFonts w:hint="cs"/>
          <w:rtl/>
        </w:rPr>
        <w:t>'</w:t>
      </w:r>
      <w:r w:rsidRPr="00656D15">
        <w:rPr>
          <w:rtl/>
        </w:rPr>
        <w:t>מנוחה</w:t>
      </w:r>
      <w:r>
        <w:rPr>
          <w:rFonts w:hint="cs"/>
          <w:rtl/>
        </w:rPr>
        <w:t xml:space="preserve">' </w:t>
      </w:r>
      <w:r w:rsidRPr="00656D15">
        <w:rPr>
          <w:rtl/>
        </w:rPr>
        <w:t xml:space="preserve">או </w:t>
      </w:r>
      <w:r>
        <w:rPr>
          <w:rFonts w:hint="cs"/>
          <w:rtl/>
        </w:rPr>
        <w:t>'</w:t>
      </w:r>
      <w:r w:rsidRPr="00656D15">
        <w:rPr>
          <w:rtl/>
        </w:rPr>
        <w:t>אגירה</w:t>
      </w:r>
      <w:r>
        <w:rPr>
          <w:rFonts w:hint="cs"/>
          <w:rtl/>
        </w:rPr>
        <w:t>'</w:t>
      </w:r>
      <w:r w:rsidRPr="00656D15">
        <w:rPr>
          <w:rtl/>
        </w:rPr>
        <w:t xml:space="preserve"> - יש קושי לנקוב בפרק זמן ברור באופן שהוא חף משרירותיות. </w:t>
      </w:r>
      <w:r w:rsidRPr="00C61645">
        <w:rPr>
          <w:rFonts w:hint="cs"/>
          <w:rtl/>
        </w:rPr>
        <w:t>ב</w:t>
      </w:r>
      <w:r>
        <w:rPr>
          <w:rFonts w:hint="cs"/>
          <w:rtl/>
        </w:rPr>
        <w:t xml:space="preserve">עקבות </w:t>
      </w:r>
      <w:r w:rsidRPr="00C61645">
        <w:rPr>
          <w:rFonts w:hint="cs"/>
          <w:rtl/>
        </w:rPr>
        <w:t xml:space="preserve">בחינת הכלים </w:t>
      </w:r>
      <w:r>
        <w:rPr>
          <w:rFonts w:hint="cs"/>
          <w:rtl/>
        </w:rPr>
        <w:t xml:space="preserve">הטכנולוגיים </w:t>
      </w:r>
      <w:r w:rsidRPr="00C61645">
        <w:rPr>
          <w:rFonts w:hint="cs"/>
          <w:rtl/>
        </w:rPr>
        <w:t xml:space="preserve">הקיימים </w:t>
      </w:r>
      <w:r>
        <w:rPr>
          <w:rFonts w:hint="cs"/>
          <w:rtl/>
        </w:rPr>
        <w:t>במשטרה שביצע</w:t>
      </w:r>
      <w:r w:rsidRPr="00C61645">
        <w:rPr>
          <w:rFonts w:hint="cs"/>
          <w:rtl/>
        </w:rPr>
        <w:t xml:space="preserve"> צוות מררי</w:t>
      </w:r>
      <w:r>
        <w:rPr>
          <w:rFonts w:hint="cs"/>
          <w:rtl/>
        </w:rPr>
        <w:t xml:space="preserve"> הוא מסר</w:t>
      </w:r>
      <w:r w:rsidRPr="00C61645">
        <w:rPr>
          <w:rFonts w:hint="cs"/>
          <w:rtl/>
        </w:rPr>
        <w:t xml:space="preserve"> כי </w:t>
      </w:r>
      <w:r w:rsidR="00357871">
        <w:rPr>
          <w:rFonts w:hint="cs"/>
          <w:rtl/>
        </w:rPr>
        <w:t xml:space="preserve">הציגו בפניו </w:t>
      </w:r>
      <w:r w:rsidRPr="00C61645">
        <w:rPr>
          <w:rFonts w:hint="cs"/>
          <w:rtl/>
        </w:rPr>
        <w:t xml:space="preserve">תדירות </w:t>
      </w:r>
      <w:r w:rsidR="00357871">
        <w:rPr>
          <w:rFonts w:hint="cs"/>
          <w:rtl/>
        </w:rPr>
        <w:t xml:space="preserve">משתנה של </w:t>
      </w:r>
      <w:r w:rsidRPr="00C61645">
        <w:rPr>
          <w:rFonts w:hint="cs"/>
          <w:rtl/>
        </w:rPr>
        <w:t>קליטת המידע.</w:t>
      </w:r>
      <w:r>
        <w:rPr>
          <w:rFonts w:hint="cs"/>
          <w:rtl/>
        </w:rPr>
        <w:t xml:space="preserve"> </w:t>
      </w:r>
    </w:p>
    <w:p w:rsidR="00B2242D" w:rsidRDefault="00B2242D" w:rsidP="00DF4779">
      <w:pPr>
        <w:spacing w:line="269" w:lineRule="auto"/>
        <w:ind w:left="707"/>
        <w:rPr>
          <w:rtl/>
        </w:rPr>
      </w:pPr>
    </w:p>
    <w:p w:rsidR="009A1216" w:rsidRDefault="009A1216" w:rsidP="00DF4779">
      <w:pPr>
        <w:spacing w:line="269" w:lineRule="auto"/>
        <w:ind w:left="707"/>
        <w:rPr>
          <w:rtl/>
        </w:rPr>
      </w:pPr>
      <w:r w:rsidRPr="000861F9">
        <w:rPr>
          <w:rFonts w:hint="eastAsia"/>
          <w:rtl/>
        </w:rPr>
        <w:t>הדין</w:t>
      </w:r>
      <w:r w:rsidRPr="000861F9">
        <w:rPr>
          <w:rtl/>
        </w:rPr>
        <w:t xml:space="preserve"> </w:t>
      </w:r>
      <w:r w:rsidRPr="000861F9">
        <w:rPr>
          <w:rFonts w:hint="eastAsia"/>
          <w:rtl/>
        </w:rPr>
        <w:t>יצר</w:t>
      </w:r>
      <w:r w:rsidRPr="000861F9">
        <w:rPr>
          <w:rtl/>
        </w:rPr>
        <w:t xml:space="preserve"> </w:t>
      </w:r>
      <w:r w:rsidRPr="000861F9">
        <w:rPr>
          <w:rFonts w:hint="eastAsia"/>
          <w:rtl/>
        </w:rPr>
        <w:t>הבחנה</w:t>
      </w:r>
      <w:r w:rsidRPr="000861F9">
        <w:rPr>
          <w:rtl/>
        </w:rPr>
        <w:t xml:space="preserve"> </w:t>
      </w:r>
      <w:r w:rsidRPr="000861F9">
        <w:rPr>
          <w:rFonts w:hint="eastAsia"/>
          <w:rtl/>
        </w:rPr>
        <w:t>עקרונית</w:t>
      </w:r>
      <w:r w:rsidRPr="000861F9">
        <w:rPr>
          <w:rtl/>
        </w:rPr>
        <w:t xml:space="preserve"> </w:t>
      </w:r>
      <w:r w:rsidRPr="000861F9">
        <w:rPr>
          <w:rFonts w:hint="eastAsia"/>
          <w:rtl/>
        </w:rPr>
        <w:t>בין</w:t>
      </w:r>
      <w:r w:rsidRPr="000861F9">
        <w:rPr>
          <w:rtl/>
        </w:rPr>
        <w:t xml:space="preserve"> </w:t>
      </w:r>
      <w:r w:rsidRPr="000861F9">
        <w:rPr>
          <w:rFonts w:hint="eastAsia"/>
          <w:rtl/>
        </w:rPr>
        <w:t>המותר</w:t>
      </w:r>
      <w:r w:rsidRPr="000861F9">
        <w:rPr>
          <w:rtl/>
        </w:rPr>
        <w:t xml:space="preserve"> </w:t>
      </w:r>
      <w:r w:rsidRPr="000861F9">
        <w:rPr>
          <w:rFonts w:hint="eastAsia"/>
          <w:rtl/>
        </w:rPr>
        <w:t>והאסור</w:t>
      </w:r>
      <w:r w:rsidRPr="000861F9">
        <w:rPr>
          <w:rtl/>
        </w:rPr>
        <w:t xml:space="preserve"> </w:t>
      </w:r>
      <w:r w:rsidRPr="000861F9">
        <w:rPr>
          <w:rFonts w:hint="eastAsia"/>
          <w:rtl/>
        </w:rPr>
        <w:t>בתחום</w:t>
      </w:r>
      <w:r w:rsidRPr="000861F9">
        <w:rPr>
          <w:rtl/>
        </w:rPr>
        <w:t xml:space="preserve"> </w:t>
      </w:r>
      <w:r w:rsidRPr="000861F9">
        <w:rPr>
          <w:rFonts w:hint="eastAsia"/>
          <w:rtl/>
        </w:rPr>
        <w:t>האזנות</w:t>
      </w:r>
      <w:r w:rsidRPr="000861F9">
        <w:rPr>
          <w:rtl/>
        </w:rPr>
        <w:t xml:space="preserve"> </w:t>
      </w:r>
      <w:r w:rsidRPr="000861F9">
        <w:rPr>
          <w:rFonts w:hint="eastAsia"/>
          <w:rtl/>
        </w:rPr>
        <w:t>הסתר</w:t>
      </w:r>
      <w:r w:rsidRPr="000861F9">
        <w:rPr>
          <w:rtl/>
        </w:rPr>
        <w:t xml:space="preserve"> </w:t>
      </w:r>
      <w:r w:rsidRPr="000861F9">
        <w:rPr>
          <w:rFonts w:hint="eastAsia"/>
          <w:rtl/>
        </w:rPr>
        <w:t>והחיפוש</w:t>
      </w:r>
      <w:r w:rsidRPr="000861F9">
        <w:rPr>
          <w:rtl/>
        </w:rPr>
        <w:t xml:space="preserve"> </w:t>
      </w:r>
      <w:r w:rsidRPr="000861F9">
        <w:rPr>
          <w:rFonts w:hint="eastAsia"/>
          <w:rtl/>
        </w:rPr>
        <w:t>הסמוי</w:t>
      </w:r>
      <w:r w:rsidRPr="000861F9">
        <w:rPr>
          <w:rtl/>
        </w:rPr>
        <w:t xml:space="preserve">: </w:t>
      </w:r>
      <w:r w:rsidRPr="000861F9">
        <w:rPr>
          <w:rFonts w:hint="eastAsia"/>
          <w:rtl/>
        </w:rPr>
        <w:t>האזנת</w:t>
      </w:r>
      <w:r w:rsidRPr="000861F9">
        <w:rPr>
          <w:rtl/>
        </w:rPr>
        <w:t xml:space="preserve"> </w:t>
      </w:r>
      <w:r w:rsidRPr="000861F9">
        <w:rPr>
          <w:rFonts w:hint="eastAsia"/>
          <w:rtl/>
        </w:rPr>
        <w:t>סתר</w:t>
      </w:r>
      <w:r w:rsidRPr="000861F9">
        <w:rPr>
          <w:rtl/>
        </w:rPr>
        <w:t xml:space="preserve"> - </w:t>
      </w:r>
      <w:r w:rsidRPr="000861F9">
        <w:rPr>
          <w:rFonts w:hint="eastAsia"/>
          <w:rtl/>
        </w:rPr>
        <w:t>המותרת</w:t>
      </w:r>
      <w:r w:rsidRPr="000861F9">
        <w:rPr>
          <w:rtl/>
        </w:rPr>
        <w:t xml:space="preserve"> </w:t>
      </w:r>
      <w:r w:rsidRPr="000861F9">
        <w:rPr>
          <w:rFonts w:hint="eastAsia"/>
          <w:rtl/>
        </w:rPr>
        <w:t>בחוק</w:t>
      </w:r>
      <w:r w:rsidRPr="000861F9">
        <w:rPr>
          <w:rtl/>
        </w:rPr>
        <w:t xml:space="preserve"> - </w:t>
      </w:r>
      <w:r w:rsidRPr="000861F9">
        <w:rPr>
          <w:rFonts w:hint="eastAsia"/>
          <w:rtl/>
        </w:rPr>
        <w:t>היא</w:t>
      </w:r>
      <w:r w:rsidRPr="000861F9">
        <w:rPr>
          <w:rtl/>
        </w:rPr>
        <w:t xml:space="preserve"> </w:t>
      </w:r>
      <w:r w:rsidRPr="000861F9">
        <w:rPr>
          <w:rFonts w:hint="eastAsia"/>
          <w:rtl/>
        </w:rPr>
        <w:t>איסוף</w:t>
      </w:r>
      <w:r w:rsidRPr="000861F9">
        <w:rPr>
          <w:rtl/>
        </w:rPr>
        <w:t xml:space="preserve"> </w:t>
      </w:r>
      <w:r w:rsidRPr="000861F9">
        <w:rPr>
          <w:rFonts w:hint="eastAsia"/>
          <w:rtl/>
        </w:rPr>
        <w:t>של</w:t>
      </w:r>
      <w:r w:rsidRPr="000861F9">
        <w:rPr>
          <w:rtl/>
        </w:rPr>
        <w:t xml:space="preserve"> </w:t>
      </w:r>
      <w:r w:rsidRPr="000861F9">
        <w:rPr>
          <w:rFonts w:hint="eastAsia"/>
          <w:rtl/>
        </w:rPr>
        <w:t>תוצרים</w:t>
      </w:r>
      <w:r w:rsidRPr="000861F9">
        <w:rPr>
          <w:rtl/>
        </w:rPr>
        <w:t xml:space="preserve"> </w:t>
      </w:r>
      <w:r w:rsidRPr="000861F9">
        <w:rPr>
          <w:rFonts w:hint="eastAsia"/>
          <w:rtl/>
        </w:rPr>
        <w:t>שהתקבלו</w:t>
      </w:r>
      <w:r w:rsidRPr="000861F9">
        <w:rPr>
          <w:rtl/>
        </w:rPr>
        <w:t xml:space="preserve"> </w:t>
      </w:r>
      <w:r w:rsidRPr="000861F9">
        <w:rPr>
          <w:rFonts w:hint="eastAsia"/>
          <w:rtl/>
        </w:rPr>
        <w:t>או</w:t>
      </w:r>
      <w:r w:rsidRPr="000861F9">
        <w:rPr>
          <w:rtl/>
        </w:rPr>
        <w:t xml:space="preserve"> </w:t>
      </w:r>
      <w:r w:rsidRPr="000861F9">
        <w:rPr>
          <w:rFonts w:hint="eastAsia"/>
          <w:rtl/>
        </w:rPr>
        <w:t>נשלחו</w:t>
      </w:r>
      <w:r w:rsidRPr="000861F9">
        <w:rPr>
          <w:rtl/>
        </w:rPr>
        <w:t xml:space="preserve"> </w:t>
      </w:r>
      <w:r w:rsidRPr="000861F9">
        <w:rPr>
          <w:rFonts w:hint="eastAsia"/>
          <w:rtl/>
        </w:rPr>
        <w:t>בתקשורת</w:t>
      </w:r>
      <w:r w:rsidRPr="000861F9">
        <w:rPr>
          <w:rtl/>
        </w:rPr>
        <w:t xml:space="preserve"> </w:t>
      </w:r>
      <w:r w:rsidRPr="000861F9">
        <w:rPr>
          <w:rFonts w:hint="eastAsia"/>
          <w:rtl/>
        </w:rPr>
        <w:t>בין</w:t>
      </w:r>
      <w:r w:rsidRPr="000861F9">
        <w:rPr>
          <w:rtl/>
        </w:rPr>
        <w:t xml:space="preserve"> </w:t>
      </w:r>
      <w:r w:rsidRPr="000861F9">
        <w:rPr>
          <w:rFonts w:hint="eastAsia"/>
          <w:rtl/>
        </w:rPr>
        <w:t>מחשבים</w:t>
      </w:r>
      <w:r w:rsidRPr="000861F9">
        <w:rPr>
          <w:rtl/>
        </w:rPr>
        <w:t xml:space="preserve"> </w:t>
      </w:r>
      <w:r w:rsidRPr="000861F9">
        <w:rPr>
          <w:rFonts w:hint="eastAsia"/>
          <w:rtl/>
        </w:rPr>
        <w:t>מרגע</w:t>
      </w:r>
      <w:r w:rsidRPr="000861F9">
        <w:rPr>
          <w:rtl/>
        </w:rPr>
        <w:t xml:space="preserve"> </w:t>
      </w:r>
      <w:r w:rsidRPr="000861F9">
        <w:rPr>
          <w:rFonts w:hint="eastAsia"/>
          <w:rtl/>
        </w:rPr>
        <w:t>תחילת</w:t>
      </w:r>
      <w:r w:rsidRPr="000861F9">
        <w:rPr>
          <w:rtl/>
        </w:rPr>
        <w:t xml:space="preserve"> </w:t>
      </w:r>
      <w:r w:rsidRPr="000861F9">
        <w:rPr>
          <w:rFonts w:hint="eastAsia"/>
          <w:rtl/>
        </w:rPr>
        <w:t>ההאזנה</w:t>
      </w:r>
      <w:r w:rsidRPr="000861F9">
        <w:rPr>
          <w:rtl/>
        </w:rPr>
        <w:t xml:space="preserve">, </w:t>
      </w:r>
      <w:r w:rsidRPr="000861F9">
        <w:rPr>
          <w:rFonts w:hint="eastAsia"/>
          <w:rtl/>
        </w:rPr>
        <w:t>כלומר</w:t>
      </w:r>
      <w:r w:rsidRPr="000861F9">
        <w:rPr>
          <w:rtl/>
        </w:rPr>
        <w:t xml:space="preserve"> </w:t>
      </w:r>
      <w:r w:rsidRPr="000861F9">
        <w:rPr>
          <w:rFonts w:hint="eastAsia"/>
          <w:rtl/>
        </w:rPr>
        <w:t>איסוף</w:t>
      </w:r>
      <w:r w:rsidRPr="000861F9">
        <w:rPr>
          <w:rtl/>
        </w:rPr>
        <w:t xml:space="preserve"> </w:t>
      </w:r>
      <w:r w:rsidRPr="000861F9">
        <w:rPr>
          <w:rFonts w:hint="eastAsia"/>
          <w:rtl/>
        </w:rPr>
        <w:t>צופה</w:t>
      </w:r>
      <w:r w:rsidRPr="000861F9">
        <w:rPr>
          <w:rtl/>
        </w:rPr>
        <w:t xml:space="preserve"> </w:t>
      </w:r>
      <w:r w:rsidRPr="000861F9">
        <w:rPr>
          <w:rFonts w:hint="eastAsia"/>
          <w:rtl/>
        </w:rPr>
        <w:t>פני</w:t>
      </w:r>
      <w:r w:rsidRPr="000861F9">
        <w:rPr>
          <w:rtl/>
        </w:rPr>
        <w:t xml:space="preserve"> </w:t>
      </w:r>
      <w:r w:rsidRPr="000861F9">
        <w:rPr>
          <w:rFonts w:hint="eastAsia"/>
          <w:rtl/>
        </w:rPr>
        <w:t>עתיד</w:t>
      </w:r>
      <w:r w:rsidRPr="000861F9">
        <w:rPr>
          <w:rStyle w:val="af"/>
          <w:rtl/>
        </w:rPr>
        <w:footnoteReference w:id="188"/>
      </w:r>
      <w:r w:rsidRPr="000861F9">
        <w:rPr>
          <w:rtl/>
        </w:rPr>
        <w:t>; חיפוש סמוי - שלא הוסדר בחוק - הוא איסוף לאחור של מידע אגור.</w:t>
      </w:r>
      <w:bookmarkStart w:id="509" w:name="_Hlk190255253"/>
    </w:p>
    <w:p w:rsidR="00625661" w:rsidRDefault="00625661" w:rsidP="00DF4779">
      <w:pPr>
        <w:pStyle w:val="a5"/>
        <w:spacing w:line="269" w:lineRule="auto"/>
        <w:ind w:left="707"/>
        <w:rPr>
          <w:rtl/>
        </w:rPr>
      </w:pPr>
    </w:p>
    <w:p w:rsidR="003C5B48" w:rsidRPr="002E4CF2" w:rsidRDefault="006168D0" w:rsidP="00DF4779">
      <w:pPr>
        <w:spacing w:line="269" w:lineRule="auto"/>
        <w:ind w:left="707"/>
        <w:rPr>
          <w:rtl/>
        </w:rPr>
      </w:pPr>
      <w:r w:rsidRPr="002E4CF2">
        <w:rPr>
          <w:rFonts w:hint="eastAsia"/>
          <w:rtl/>
        </w:rPr>
        <w:t>בארבעה</w:t>
      </w:r>
      <w:r w:rsidRPr="002E4CF2">
        <w:rPr>
          <w:rtl/>
        </w:rPr>
        <w:t xml:space="preserve"> </w:t>
      </w:r>
      <w:r w:rsidRPr="002E4CF2">
        <w:rPr>
          <w:rFonts w:hint="eastAsia"/>
          <w:rtl/>
        </w:rPr>
        <w:t>מתוך</w:t>
      </w:r>
      <w:r w:rsidRPr="002E4CF2">
        <w:rPr>
          <w:rtl/>
        </w:rPr>
        <w:t xml:space="preserve"> </w:t>
      </w:r>
      <w:r w:rsidRPr="002E4CF2">
        <w:rPr>
          <w:rFonts w:hint="eastAsia"/>
          <w:rtl/>
        </w:rPr>
        <w:t>שישה</w:t>
      </w:r>
      <w:r w:rsidRPr="002E4CF2">
        <w:rPr>
          <w:rtl/>
        </w:rPr>
        <w:t xml:space="preserve"> כלים טכנולוגיים ש</w:t>
      </w:r>
      <w:r w:rsidRPr="002E4CF2">
        <w:rPr>
          <w:rFonts w:hint="eastAsia"/>
          <w:rtl/>
        </w:rPr>
        <w:t>היו</w:t>
      </w:r>
      <w:r w:rsidRPr="002E4CF2">
        <w:rPr>
          <w:rtl/>
        </w:rPr>
        <w:t xml:space="preserve"> </w:t>
      </w:r>
      <w:r w:rsidRPr="002E4CF2">
        <w:rPr>
          <w:rFonts w:hint="eastAsia"/>
          <w:rtl/>
        </w:rPr>
        <w:t>בשימוש</w:t>
      </w:r>
      <w:r w:rsidRPr="002E4CF2">
        <w:rPr>
          <w:rtl/>
        </w:rPr>
        <w:t xml:space="preserve"> המשטרה בוצע איסוף מידע אגור במכשיר קצה במסגרת האזנת סתר. אין די מידע בנוגע </w:t>
      </w:r>
      <w:r w:rsidRPr="002E4CF2">
        <w:rPr>
          <w:rFonts w:hint="eastAsia"/>
          <w:rtl/>
        </w:rPr>
        <w:t>לשני</w:t>
      </w:r>
      <w:r w:rsidRPr="002E4CF2">
        <w:rPr>
          <w:rtl/>
        </w:rPr>
        <w:t xml:space="preserve"> הכלים הטכנולוגיים הנותרים. </w:t>
      </w:r>
      <w:bookmarkEnd w:id="509"/>
    </w:p>
    <w:p w:rsidR="009A1216" w:rsidRDefault="009A1216" w:rsidP="00DF4779">
      <w:pPr>
        <w:pStyle w:val="a5"/>
        <w:spacing w:line="269" w:lineRule="auto"/>
        <w:ind w:left="140"/>
        <w:rPr>
          <w:rtl/>
        </w:rPr>
      </w:pPr>
    </w:p>
    <w:p w:rsidR="009A1216" w:rsidRPr="009C4225" w:rsidRDefault="009A1216" w:rsidP="00DF4779">
      <w:pPr>
        <w:spacing w:line="269" w:lineRule="auto"/>
        <w:ind w:left="707"/>
      </w:pPr>
      <w:r w:rsidRPr="00C659E0">
        <w:rPr>
          <w:rFonts w:hint="cs"/>
          <w:rtl/>
        </w:rPr>
        <w:t>המשטרה מסרה כ</w:t>
      </w:r>
      <w:r>
        <w:rPr>
          <w:rFonts w:hint="cs"/>
          <w:rtl/>
        </w:rPr>
        <w:t xml:space="preserve">י בנוגע לכלים הטכנולוגיים מושא הדוח, </w:t>
      </w:r>
      <w:r w:rsidRPr="002B67B3">
        <w:rPr>
          <w:rtl/>
        </w:rPr>
        <w:t>תדירות קליטת המידע משתנה בהתאם</w:t>
      </w:r>
      <w:r>
        <w:rPr>
          <w:rFonts w:hint="cs"/>
          <w:rtl/>
        </w:rPr>
        <w:t xml:space="preserve"> לכמה אילוצים:</w:t>
      </w:r>
      <w:r w:rsidRPr="002B67B3">
        <w:rPr>
          <w:rtl/>
        </w:rPr>
        <w:t xml:space="preserve"> סוג התוצר</w:t>
      </w:r>
      <w:r>
        <w:rPr>
          <w:rFonts w:hint="cs"/>
          <w:rtl/>
        </w:rPr>
        <w:t xml:space="preserve"> המועתק,</w:t>
      </w:r>
      <w:r w:rsidRPr="002B67B3">
        <w:rPr>
          <w:rtl/>
        </w:rPr>
        <w:t xml:space="preserve"> אילוצים טכנולוגיים</w:t>
      </w:r>
      <w:r>
        <w:rPr>
          <w:rFonts w:hint="cs"/>
          <w:rtl/>
        </w:rPr>
        <w:t xml:space="preserve"> הנוגעים לאופן הפעלת הכלי,</w:t>
      </w:r>
      <w:r w:rsidRPr="002B67B3">
        <w:rPr>
          <w:rtl/>
        </w:rPr>
        <w:t xml:space="preserve"> ואילוצי</w:t>
      </w:r>
      <w:r>
        <w:rPr>
          <w:rFonts w:hint="cs"/>
          <w:rtl/>
        </w:rPr>
        <w:t>ם</w:t>
      </w:r>
      <w:r w:rsidRPr="002B67B3">
        <w:rPr>
          <w:rtl/>
        </w:rPr>
        <w:t xml:space="preserve"> </w:t>
      </w:r>
      <w:r>
        <w:rPr>
          <w:rFonts w:hint="cs"/>
          <w:rtl/>
        </w:rPr>
        <w:t>הנוגעים לשמירה על אבטחת הכלי.</w:t>
      </w:r>
    </w:p>
    <w:p w:rsidR="00625661" w:rsidRDefault="00625661" w:rsidP="00DF4779">
      <w:pPr>
        <w:spacing w:line="269" w:lineRule="auto"/>
        <w:ind w:left="707"/>
        <w:rPr>
          <w:b/>
          <w:bCs/>
          <w:rtl/>
        </w:rPr>
      </w:pPr>
      <w:bookmarkStart w:id="510" w:name="_Hlk188186853"/>
    </w:p>
    <w:p w:rsidR="002A0036" w:rsidRDefault="009A1216" w:rsidP="00DF4779">
      <w:pPr>
        <w:spacing w:line="269" w:lineRule="auto"/>
        <w:ind w:left="707"/>
        <w:rPr>
          <w:b/>
          <w:bCs/>
          <w:rtl/>
        </w:rPr>
      </w:pPr>
      <w:r>
        <w:rPr>
          <w:rFonts w:hint="cs"/>
          <w:b/>
          <w:bCs/>
          <w:rtl/>
        </w:rPr>
        <w:t>חוות הדעת המשפטית שבדוח צוות מררי בנוגע לאיסוף מידע אגור במכשיר הקצה הייתה חשובה בנסיבות שבהן היא ניתנה כחלק מהבדיקה הדחופה של "פרשת פגסוס"</w:t>
      </w:r>
      <w:r w:rsidR="003C4F42">
        <w:rPr>
          <w:rFonts w:hint="cs"/>
          <w:b/>
          <w:bCs/>
          <w:rtl/>
        </w:rPr>
        <w:t>. זו הניחה את אבן הבוחן לבחינת השימוש בכלים טכנולוגיים להאזנות סתר</w:t>
      </w:r>
      <w:r>
        <w:rPr>
          <w:rFonts w:hint="cs"/>
          <w:b/>
          <w:bCs/>
          <w:rtl/>
        </w:rPr>
        <w:t xml:space="preserve">. </w:t>
      </w:r>
      <w:r w:rsidR="001133A5">
        <w:rPr>
          <w:rFonts w:hint="cs"/>
          <w:b/>
          <w:bCs/>
          <w:rtl/>
        </w:rPr>
        <w:t xml:space="preserve">בשלב בו חוות הדעת ניתנה, עדיין </w:t>
      </w:r>
      <w:r>
        <w:rPr>
          <w:rFonts w:hint="cs"/>
          <w:b/>
          <w:bCs/>
          <w:rtl/>
        </w:rPr>
        <w:t>לא נקבע פרק זמן ברור שבו ניתן לבצע את הפעולה החריגה שמתירה איסוף של מידע אגור במסגרת האזנת סתר.</w:t>
      </w:r>
      <w:r w:rsidR="006722F5">
        <w:rPr>
          <w:rFonts w:hint="cs"/>
          <w:b/>
          <w:bCs/>
          <w:rtl/>
        </w:rPr>
        <w:t xml:space="preserve"> </w:t>
      </w:r>
    </w:p>
    <w:p w:rsidR="002A0036" w:rsidRDefault="002A0036" w:rsidP="00604C3D">
      <w:pPr>
        <w:spacing w:line="269" w:lineRule="auto"/>
        <w:rPr>
          <w:b/>
          <w:bCs/>
          <w:rtl/>
        </w:rPr>
      </w:pPr>
    </w:p>
    <w:p w:rsidR="002A0036" w:rsidRPr="004E6745" w:rsidRDefault="006722F5" w:rsidP="00DF4779">
      <w:pPr>
        <w:spacing w:line="269" w:lineRule="auto"/>
        <w:ind w:left="707"/>
        <w:rPr>
          <w:rtl/>
        </w:rPr>
      </w:pPr>
      <w:r w:rsidRPr="004E6745">
        <w:rPr>
          <w:rFonts w:hint="eastAsia"/>
          <w:rtl/>
        </w:rPr>
        <w:t>לעמדת</w:t>
      </w:r>
      <w:r w:rsidRPr="004E6745">
        <w:rPr>
          <w:rtl/>
        </w:rPr>
        <w:t xml:space="preserve"> </w:t>
      </w:r>
      <w:r w:rsidRPr="004E6745">
        <w:rPr>
          <w:rFonts w:hint="eastAsia"/>
          <w:rtl/>
        </w:rPr>
        <w:t>הייעוץ</w:t>
      </w:r>
      <w:r w:rsidRPr="004E6745">
        <w:rPr>
          <w:rtl/>
        </w:rPr>
        <w:t xml:space="preserve"> </w:t>
      </w:r>
      <w:r w:rsidRPr="004E6745">
        <w:rPr>
          <w:rFonts w:hint="eastAsia"/>
          <w:rtl/>
        </w:rPr>
        <w:t>המשפטי</w:t>
      </w:r>
      <w:r w:rsidRPr="004E6745">
        <w:rPr>
          <w:rtl/>
        </w:rPr>
        <w:t xml:space="preserve"> </w:t>
      </w:r>
      <w:r w:rsidRPr="004E6745">
        <w:rPr>
          <w:rFonts w:hint="eastAsia"/>
          <w:rtl/>
        </w:rPr>
        <w:t>לממשלה</w:t>
      </w:r>
      <w:r w:rsidRPr="004E6745">
        <w:rPr>
          <w:rtl/>
        </w:rPr>
        <w:t xml:space="preserve">, </w:t>
      </w:r>
      <w:r w:rsidRPr="004E6745">
        <w:rPr>
          <w:rFonts w:hint="eastAsia"/>
          <w:rtl/>
        </w:rPr>
        <w:t>לא</w:t>
      </w:r>
      <w:r w:rsidRPr="004E6745">
        <w:rPr>
          <w:rtl/>
        </w:rPr>
        <w:t xml:space="preserve"> </w:t>
      </w:r>
      <w:r w:rsidRPr="004E6745">
        <w:rPr>
          <w:rFonts w:hint="eastAsia"/>
          <w:rtl/>
        </w:rPr>
        <w:t>ניתן</w:t>
      </w:r>
      <w:r w:rsidRPr="004E6745">
        <w:rPr>
          <w:rtl/>
        </w:rPr>
        <w:t xml:space="preserve"> </w:t>
      </w:r>
      <w:r w:rsidRPr="004E6745">
        <w:rPr>
          <w:rFonts w:hint="eastAsia"/>
          <w:rtl/>
        </w:rPr>
        <w:t>לקבוע</w:t>
      </w:r>
      <w:r w:rsidRPr="004E6745">
        <w:rPr>
          <w:rtl/>
        </w:rPr>
        <w:t xml:space="preserve"> </w:t>
      </w:r>
      <w:r w:rsidRPr="004E6745">
        <w:rPr>
          <w:rFonts w:hint="eastAsia"/>
          <w:rtl/>
        </w:rPr>
        <w:t>פרק</w:t>
      </w:r>
      <w:r w:rsidRPr="004E6745">
        <w:rPr>
          <w:rtl/>
        </w:rPr>
        <w:t xml:space="preserve"> </w:t>
      </w:r>
      <w:r w:rsidRPr="004E6745">
        <w:rPr>
          <w:rFonts w:hint="eastAsia"/>
          <w:rtl/>
        </w:rPr>
        <w:t>זמן</w:t>
      </w:r>
      <w:r w:rsidRPr="004E6745">
        <w:rPr>
          <w:rtl/>
        </w:rPr>
        <w:t xml:space="preserve"> </w:t>
      </w:r>
      <w:r w:rsidRPr="004E6745">
        <w:rPr>
          <w:rFonts w:hint="eastAsia"/>
          <w:rtl/>
        </w:rPr>
        <w:t>ברור</w:t>
      </w:r>
      <w:r w:rsidRPr="004E6745">
        <w:rPr>
          <w:rtl/>
        </w:rPr>
        <w:t xml:space="preserve"> </w:t>
      </w:r>
      <w:r w:rsidRPr="004E6745">
        <w:rPr>
          <w:rFonts w:hint="eastAsia"/>
          <w:rtl/>
        </w:rPr>
        <w:t>בחוות</w:t>
      </w:r>
      <w:r w:rsidRPr="004E6745">
        <w:rPr>
          <w:rtl/>
        </w:rPr>
        <w:t xml:space="preserve"> </w:t>
      </w:r>
      <w:r w:rsidRPr="004E6745">
        <w:rPr>
          <w:rFonts w:hint="eastAsia"/>
          <w:rtl/>
        </w:rPr>
        <w:t>הדעת</w:t>
      </w:r>
      <w:r w:rsidRPr="004E6745">
        <w:rPr>
          <w:rtl/>
        </w:rPr>
        <w:t xml:space="preserve"> </w:t>
      </w:r>
      <w:r w:rsidRPr="004E6745">
        <w:rPr>
          <w:rFonts w:hint="eastAsia"/>
          <w:rtl/>
        </w:rPr>
        <w:t>המשפטית</w:t>
      </w:r>
      <w:r w:rsidRPr="004E6745">
        <w:rPr>
          <w:rtl/>
        </w:rPr>
        <w:t xml:space="preserve"> </w:t>
      </w:r>
      <w:r w:rsidRPr="004E6745">
        <w:rPr>
          <w:rFonts w:hint="eastAsia"/>
          <w:rtl/>
        </w:rPr>
        <w:t>הכללית</w:t>
      </w:r>
      <w:r w:rsidRPr="004E6745">
        <w:rPr>
          <w:rtl/>
        </w:rPr>
        <w:t xml:space="preserve"> </w:t>
      </w:r>
      <w:r w:rsidRPr="004E6745">
        <w:rPr>
          <w:rFonts w:hint="eastAsia"/>
          <w:rtl/>
        </w:rPr>
        <w:t>העוסקת</w:t>
      </w:r>
      <w:r w:rsidRPr="004E6745">
        <w:rPr>
          <w:rtl/>
        </w:rPr>
        <w:t xml:space="preserve"> </w:t>
      </w:r>
      <w:r w:rsidRPr="004E6745">
        <w:rPr>
          <w:rFonts w:hint="eastAsia"/>
          <w:rtl/>
        </w:rPr>
        <w:t>בשימוש</w:t>
      </w:r>
      <w:r w:rsidRPr="004E6745">
        <w:rPr>
          <w:rtl/>
        </w:rPr>
        <w:t xml:space="preserve"> </w:t>
      </w:r>
      <w:r w:rsidRPr="004E6745">
        <w:rPr>
          <w:rFonts w:hint="eastAsia"/>
          <w:rtl/>
        </w:rPr>
        <w:t>בכלים</w:t>
      </w:r>
      <w:r w:rsidRPr="004E6745">
        <w:rPr>
          <w:rtl/>
        </w:rPr>
        <w:t xml:space="preserve"> </w:t>
      </w:r>
      <w:r w:rsidRPr="004E6745">
        <w:rPr>
          <w:rFonts w:hint="eastAsia"/>
          <w:rtl/>
        </w:rPr>
        <w:t>טכנולוגיים</w:t>
      </w:r>
      <w:r w:rsidRPr="004E6745">
        <w:rPr>
          <w:rtl/>
        </w:rPr>
        <w:t xml:space="preserve"> </w:t>
      </w:r>
      <w:r w:rsidRPr="004E6745">
        <w:rPr>
          <w:rFonts w:hint="eastAsia"/>
          <w:rtl/>
        </w:rPr>
        <w:t>לצורכי</w:t>
      </w:r>
      <w:r w:rsidRPr="004E6745">
        <w:rPr>
          <w:rtl/>
        </w:rPr>
        <w:t xml:space="preserve"> </w:t>
      </w:r>
      <w:r w:rsidRPr="004E6745">
        <w:rPr>
          <w:rFonts w:hint="eastAsia"/>
          <w:rtl/>
        </w:rPr>
        <w:t>האזנת</w:t>
      </w:r>
      <w:r w:rsidRPr="004E6745">
        <w:rPr>
          <w:rtl/>
        </w:rPr>
        <w:t xml:space="preserve"> </w:t>
      </w:r>
      <w:r w:rsidRPr="004E6745">
        <w:rPr>
          <w:rFonts w:hint="eastAsia"/>
          <w:rtl/>
        </w:rPr>
        <w:t>סתר</w:t>
      </w:r>
      <w:r w:rsidRPr="004E6745">
        <w:rPr>
          <w:rtl/>
        </w:rPr>
        <w:t xml:space="preserve">, </w:t>
      </w:r>
      <w:r w:rsidRPr="004E6745">
        <w:rPr>
          <w:rFonts w:hint="eastAsia"/>
          <w:rtl/>
        </w:rPr>
        <w:t>ויש</w:t>
      </w:r>
      <w:r w:rsidRPr="004E6745">
        <w:rPr>
          <w:rtl/>
        </w:rPr>
        <w:t xml:space="preserve"> </w:t>
      </w:r>
      <w:r w:rsidRPr="004E6745">
        <w:rPr>
          <w:rFonts w:hint="eastAsia"/>
          <w:rtl/>
        </w:rPr>
        <w:t>להסתפק</w:t>
      </w:r>
      <w:r w:rsidRPr="004E6745">
        <w:rPr>
          <w:rtl/>
        </w:rPr>
        <w:t xml:space="preserve"> </w:t>
      </w:r>
      <w:r w:rsidRPr="004E6745">
        <w:rPr>
          <w:rFonts w:hint="eastAsia"/>
          <w:rtl/>
        </w:rPr>
        <w:t>בתבחינים</w:t>
      </w:r>
      <w:r w:rsidRPr="004E6745">
        <w:rPr>
          <w:rtl/>
        </w:rPr>
        <w:t xml:space="preserve"> </w:t>
      </w:r>
      <w:r w:rsidRPr="004E6745">
        <w:rPr>
          <w:rFonts w:hint="eastAsia"/>
          <w:rtl/>
        </w:rPr>
        <w:t>שנקבעו</w:t>
      </w:r>
      <w:r w:rsidRPr="004E6745">
        <w:rPr>
          <w:rtl/>
        </w:rPr>
        <w:t xml:space="preserve"> </w:t>
      </w:r>
      <w:r w:rsidRPr="004E6745">
        <w:rPr>
          <w:rFonts w:hint="eastAsia"/>
          <w:rtl/>
        </w:rPr>
        <w:t>בחוות</w:t>
      </w:r>
      <w:r w:rsidRPr="004E6745">
        <w:rPr>
          <w:rtl/>
        </w:rPr>
        <w:t xml:space="preserve"> </w:t>
      </w:r>
      <w:r w:rsidRPr="004E6745">
        <w:rPr>
          <w:rFonts w:hint="eastAsia"/>
          <w:rtl/>
        </w:rPr>
        <w:t>הדעת</w:t>
      </w:r>
      <w:r w:rsidRPr="004E6745">
        <w:rPr>
          <w:rtl/>
        </w:rPr>
        <w:t xml:space="preserve"> </w:t>
      </w:r>
      <w:r w:rsidRPr="004E6745">
        <w:rPr>
          <w:rFonts w:hint="eastAsia"/>
          <w:rtl/>
        </w:rPr>
        <w:t>ביחס</w:t>
      </w:r>
      <w:r w:rsidRPr="004E6745">
        <w:rPr>
          <w:rtl/>
        </w:rPr>
        <w:t xml:space="preserve"> </w:t>
      </w:r>
      <w:r w:rsidRPr="004E6745">
        <w:rPr>
          <w:rFonts w:hint="eastAsia"/>
          <w:rtl/>
        </w:rPr>
        <w:t>לפרק</w:t>
      </w:r>
      <w:r w:rsidRPr="004E6745">
        <w:rPr>
          <w:rtl/>
        </w:rPr>
        <w:t xml:space="preserve"> </w:t>
      </w:r>
      <w:r w:rsidRPr="004E6745">
        <w:rPr>
          <w:rFonts w:hint="eastAsia"/>
          <w:rtl/>
        </w:rPr>
        <w:t>הזמן</w:t>
      </w:r>
      <w:r w:rsidRPr="004E6745">
        <w:rPr>
          <w:rtl/>
        </w:rPr>
        <w:t>.</w:t>
      </w:r>
    </w:p>
    <w:p w:rsidR="002A0036" w:rsidRDefault="002A0036" w:rsidP="00DF4779">
      <w:pPr>
        <w:spacing w:line="269" w:lineRule="auto"/>
        <w:ind w:left="707"/>
        <w:rPr>
          <w:b/>
          <w:bCs/>
          <w:rtl/>
        </w:rPr>
      </w:pPr>
    </w:p>
    <w:bookmarkEnd w:id="510"/>
    <w:p w:rsidR="009A1216" w:rsidRDefault="002D44B9" w:rsidP="00DF4779">
      <w:pPr>
        <w:spacing w:line="269" w:lineRule="auto"/>
        <w:ind w:left="707"/>
        <w:rPr>
          <w:b/>
          <w:bCs/>
          <w:rtl/>
        </w:rPr>
      </w:pPr>
      <w:r>
        <w:rPr>
          <w:rFonts w:hint="cs"/>
          <w:b/>
          <w:bCs/>
          <w:rtl/>
        </w:rPr>
        <w:t xml:space="preserve">במצב הקיים שבו ההסדרה החקיקתית אינה שלמה, </w:t>
      </w:r>
      <w:r w:rsidR="003C4F42">
        <w:rPr>
          <w:rFonts w:hint="cs"/>
          <w:b/>
          <w:bCs/>
          <w:rtl/>
        </w:rPr>
        <w:t>בראייה צופה פני עתיד, ו</w:t>
      </w:r>
      <w:r w:rsidR="002A0036">
        <w:rPr>
          <w:rFonts w:hint="cs"/>
          <w:b/>
          <w:bCs/>
          <w:rtl/>
        </w:rPr>
        <w:t xml:space="preserve">גם </w:t>
      </w:r>
      <w:r w:rsidR="003C4F42">
        <w:rPr>
          <w:rFonts w:hint="cs"/>
          <w:b/>
          <w:bCs/>
          <w:rtl/>
        </w:rPr>
        <w:t xml:space="preserve">לנוכח השינויים וההתפתחויות </w:t>
      </w:r>
      <w:r w:rsidR="00DC3D7C">
        <w:rPr>
          <w:rFonts w:hint="cs"/>
          <w:b/>
          <w:bCs/>
          <w:rtl/>
        </w:rPr>
        <w:t xml:space="preserve">שיחולו </w:t>
      </w:r>
      <w:r w:rsidR="003C4F42">
        <w:rPr>
          <w:rFonts w:hint="cs"/>
          <w:b/>
          <w:bCs/>
          <w:rtl/>
        </w:rPr>
        <w:t xml:space="preserve">בכלים הטכנולוגיים, מומלץ כי תינתן הדעת לצורך בקביעת </w:t>
      </w:r>
      <w:r w:rsidR="006168D0">
        <w:rPr>
          <w:rFonts w:hint="cs"/>
          <w:b/>
          <w:bCs/>
          <w:rtl/>
        </w:rPr>
        <w:t>תבחינים ברורים</w:t>
      </w:r>
      <w:r w:rsidR="003C4F42">
        <w:rPr>
          <w:rFonts w:hint="cs"/>
          <w:b/>
          <w:bCs/>
          <w:rtl/>
        </w:rPr>
        <w:t xml:space="preserve"> בחוות דעת</w:t>
      </w:r>
      <w:r>
        <w:rPr>
          <w:rFonts w:hint="cs"/>
          <w:b/>
          <w:bCs/>
          <w:rtl/>
        </w:rPr>
        <w:t xml:space="preserve">. </w:t>
      </w:r>
      <w:r w:rsidR="003C4F42">
        <w:rPr>
          <w:rFonts w:hint="cs"/>
          <w:b/>
          <w:bCs/>
          <w:rtl/>
        </w:rPr>
        <w:t>לפי</w:t>
      </w:r>
      <w:r>
        <w:rPr>
          <w:rFonts w:hint="cs"/>
          <w:b/>
          <w:bCs/>
          <w:rtl/>
        </w:rPr>
        <w:t xml:space="preserve"> חוות הדעת </w:t>
      </w:r>
      <w:r w:rsidR="003C4F42">
        <w:rPr>
          <w:rFonts w:hint="cs"/>
          <w:b/>
          <w:bCs/>
          <w:rtl/>
        </w:rPr>
        <w:t xml:space="preserve">ייבחנו </w:t>
      </w:r>
      <w:r w:rsidR="004B074A">
        <w:rPr>
          <w:rFonts w:hint="cs"/>
          <w:b/>
          <w:bCs/>
          <w:rtl/>
        </w:rPr>
        <w:t xml:space="preserve">בעתיד </w:t>
      </w:r>
      <w:r w:rsidR="003C4F42">
        <w:rPr>
          <w:rFonts w:hint="cs"/>
          <w:b/>
          <w:bCs/>
          <w:rtl/>
        </w:rPr>
        <w:t>יכולות טכנולוגיות, כלים ספציפיים ועדכון גרסאות</w:t>
      </w:r>
      <w:r w:rsidR="006168D0">
        <w:rPr>
          <w:rFonts w:hint="cs"/>
          <w:b/>
          <w:bCs/>
          <w:rtl/>
        </w:rPr>
        <w:t>יהם</w:t>
      </w:r>
      <w:r w:rsidR="009A1216">
        <w:rPr>
          <w:rFonts w:hint="cs"/>
          <w:b/>
          <w:bCs/>
          <w:rtl/>
        </w:rPr>
        <w:t>.</w:t>
      </w:r>
      <w:r w:rsidR="00CC55D0">
        <w:rPr>
          <w:rFonts w:hint="cs"/>
          <w:b/>
          <w:bCs/>
          <w:rtl/>
        </w:rPr>
        <w:t xml:space="preserve"> בין היתר, מומלץ כי משרד המשפטים ישקול </w:t>
      </w:r>
      <w:r w:rsidR="00C15224">
        <w:rPr>
          <w:rFonts w:hint="cs"/>
          <w:b/>
          <w:bCs/>
          <w:rtl/>
        </w:rPr>
        <w:t xml:space="preserve">כי בחוות הדעת העוסקת </w:t>
      </w:r>
      <w:r w:rsidR="00EB7718">
        <w:rPr>
          <w:rFonts w:hint="cs"/>
          <w:b/>
          <w:bCs/>
          <w:rtl/>
        </w:rPr>
        <w:t>ב</w:t>
      </w:r>
      <w:r w:rsidR="00C15224">
        <w:rPr>
          <w:rFonts w:hint="cs"/>
          <w:b/>
          <w:bCs/>
          <w:rtl/>
        </w:rPr>
        <w:t xml:space="preserve">פרשנות הדין הקיים, תינתן </w:t>
      </w:r>
      <w:r w:rsidR="00CC55D0">
        <w:rPr>
          <w:rFonts w:hint="cs"/>
          <w:b/>
          <w:bCs/>
          <w:rtl/>
        </w:rPr>
        <w:t>התייחסות לפרק הזמן הנדרש</w:t>
      </w:r>
      <w:r w:rsidR="00C15224">
        <w:rPr>
          <w:rFonts w:hint="cs"/>
          <w:b/>
          <w:bCs/>
          <w:rtl/>
        </w:rPr>
        <w:t xml:space="preserve"> בו ניתן לאסוף מידע אגור</w:t>
      </w:r>
      <w:r w:rsidR="00CC55D0">
        <w:rPr>
          <w:rFonts w:hint="cs"/>
          <w:b/>
          <w:bCs/>
          <w:rtl/>
        </w:rPr>
        <w:t xml:space="preserve"> ו</w:t>
      </w:r>
      <w:r w:rsidR="00C15224">
        <w:rPr>
          <w:rFonts w:hint="cs"/>
          <w:b/>
          <w:bCs/>
          <w:rtl/>
        </w:rPr>
        <w:t xml:space="preserve">בחינתו </w:t>
      </w:r>
      <w:r w:rsidR="00E70D53">
        <w:rPr>
          <w:rFonts w:hint="cs"/>
          <w:b/>
          <w:bCs/>
          <w:rtl/>
        </w:rPr>
        <w:t xml:space="preserve">ביחס </w:t>
      </w:r>
      <w:r w:rsidR="00CC55D0">
        <w:rPr>
          <w:rFonts w:hint="cs"/>
          <w:b/>
          <w:bCs/>
          <w:rtl/>
        </w:rPr>
        <w:t>לסוגי המידע ש</w:t>
      </w:r>
      <w:r w:rsidR="00E70D53">
        <w:rPr>
          <w:rFonts w:hint="cs"/>
          <w:b/>
          <w:bCs/>
          <w:rtl/>
        </w:rPr>
        <w:t>נאסף</w:t>
      </w:r>
      <w:r w:rsidR="00CC55D0">
        <w:rPr>
          <w:rFonts w:hint="cs"/>
          <w:b/>
          <w:bCs/>
          <w:rtl/>
        </w:rPr>
        <w:t xml:space="preserve">. </w:t>
      </w:r>
    </w:p>
    <w:p w:rsidR="00625661" w:rsidRDefault="008265F2" w:rsidP="00837D04">
      <w:pPr>
        <w:bidi w:val="0"/>
        <w:spacing w:after="200" w:line="276" w:lineRule="auto"/>
      </w:pPr>
      <w:r>
        <w:rPr>
          <w:b/>
          <w:bCs/>
          <w:rtl/>
        </w:rPr>
        <w:br w:type="page"/>
      </w:r>
    </w:p>
    <w:p w:rsidR="009A1216" w:rsidRPr="00CF554E" w:rsidRDefault="009A1216" w:rsidP="00DF4779">
      <w:pPr>
        <w:pStyle w:val="5"/>
        <w:numPr>
          <w:ilvl w:val="0"/>
          <w:numId w:val="24"/>
        </w:numPr>
        <w:spacing w:line="269" w:lineRule="auto"/>
        <w:ind w:left="707"/>
      </w:pPr>
      <w:r>
        <w:rPr>
          <w:rFonts w:hint="cs"/>
          <w:rtl/>
        </w:rPr>
        <w:t xml:space="preserve">פעולות </w:t>
      </w:r>
      <w:r w:rsidRPr="00D147F9">
        <w:rPr>
          <w:rFonts w:hint="eastAsia"/>
          <w:rtl/>
        </w:rPr>
        <w:t>גיבוי</w:t>
      </w:r>
      <w:r w:rsidRPr="00D147F9">
        <w:rPr>
          <w:rtl/>
        </w:rPr>
        <w:t xml:space="preserve"> </w:t>
      </w:r>
      <w:r w:rsidRPr="00D147F9">
        <w:rPr>
          <w:rFonts w:hint="eastAsia"/>
          <w:rtl/>
        </w:rPr>
        <w:t>מידע</w:t>
      </w:r>
      <w:r w:rsidRPr="00D147F9">
        <w:rPr>
          <w:rtl/>
        </w:rPr>
        <w:t xml:space="preserve"> </w:t>
      </w:r>
      <w:r w:rsidRPr="00D147F9">
        <w:rPr>
          <w:rFonts w:hint="eastAsia"/>
          <w:rtl/>
        </w:rPr>
        <w:t>וסנכרון</w:t>
      </w:r>
      <w:r w:rsidRPr="00D147F9">
        <w:rPr>
          <w:rFonts w:hint="cs"/>
          <w:rtl/>
        </w:rPr>
        <w:t xml:space="preserve"> בין</w:t>
      </w:r>
      <w:r w:rsidRPr="00D147F9">
        <w:rPr>
          <w:rtl/>
        </w:rPr>
        <w:t xml:space="preserve"> מכשירים</w:t>
      </w:r>
      <w:r>
        <w:rPr>
          <w:rFonts w:hint="cs"/>
          <w:rtl/>
        </w:rPr>
        <w:t xml:space="preserve"> </w:t>
      </w:r>
    </w:p>
    <w:p w:rsidR="00625661" w:rsidRDefault="00625661" w:rsidP="00604C3D">
      <w:pPr>
        <w:spacing w:line="269" w:lineRule="auto"/>
        <w:rPr>
          <w:rtl/>
        </w:rPr>
      </w:pPr>
    </w:p>
    <w:p w:rsidR="009A1216" w:rsidRDefault="009A1216" w:rsidP="00DF4779">
      <w:pPr>
        <w:spacing w:line="269" w:lineRule="auto"/>
        <w:ind w:left="707"/>
        <w:rPr>
          <w:rtl/>
        </w:rPr>
      </w:pPr>
      <w:r>
        <w:rPr>
          <w:rFonts w:hint="cs"/>
          <w:rtl/>
        </w:rPr>
        <w:t>העמדה המשפטית שבדוח צוות מררי קבעה כי יש מידע שעובר בתקשורת בין מחשבים, אך לפי תכלית חוק האזנת סתר, הוא אינו נכלל כמידע בר האזנה שניתן לאסוף אותו מכוח חוק האזנת סתר הקיים: סנכרון מידע</w:t>
      </w:r>
      <w:r>
        <w:rPr>
          <w:rStyle w:val="af"/>
          <w:rtl/>
        </w:rPr>
        <w:footnoteReference w:id="189"/>
      </w:r>
      <w:r>
        <w:rPr>
          <w:rFonts w:hint="cs"/>
          <w:rtl/>
        </w:rPr>
        <w:t xml:space="preserve"> וגיבוי מידע</w:t>
      </w:r>
      <w:r w:rsidRPr="00D62F69">
        <w:rPr>
          <w:rStyle w:val="af"/>
          <w:rtl/>
        </w:rPr>
        <w:footnoteReference w:id="190"/>
      </w:r>
      <w:r>
        <w:rPr>
          <w:rFonts w:hint="cs"/>
          <w:rtl/>
        </w:rPr>
        <w:t xml:space="preserve">. </w:t>
      </w:r>
    </w:p>
    <w:p w:rsidR="009A1216" w:rsidRDefault="009A1216" w:rsidP="00DF4779">
      <w:pPr>
        <w:pStyle w:val="a5"/>
        <w:spacing w:line="269" w:lineRule="auto"/>
        <w:ind w:left="140"/>
        <w:rPr>
          <w:rtl/>
        </w:rPr>
      </w:pPr>
      <w:r>
        <w:rPr>
          <w:rFonts w:hint="cs"/>
          <w:rtl/>
        </w:rPr>
        <w:t xml:space="preserve"> </w:t>
      </w:r>
    </w:p>
    <w:p w:rsidR="009A1216" w:rsidRDefault="009A1216" w:rsidP="00DF4779">
      <w:pPr>
        <w:spacing w:line="269" w:lineRule="auto"/>
        <w:ind w:left="707"/>
        <w:rPr>
          <w:rtl/>
        </w:rPr>
      </w:pPr>
      <w:r>
        <w:rPr>
          <w:rFonts w:hint="cs"/>
          <w:rtl/>
        </w:rPr>
        <w:t xml:space="preserve">משרד המשפטים מסר כי הוא מקדם שני תיקוני חקיקה - תיקון חוק האזנת סתר ועיגון של הסמכות לביצוע חיפוש סמוי </w:t>
      </w:r>
      <w:r w:rsidR="00D6431B">
        <w:rPr>
          <w:rFonts w:hint="cs"/>
          <w:rtl/>
        </w:rPr>
        <w:t>ב</w:t>
      </w:r>
      <w:r>
        <w:rPr>
          <w:rFonts w:hint="cs"/>
          <w:rtl/>
        </w:rPr>
        <w:t>חוק החיפוש הסמוי</w:t>
      </w:r>
      <w:r w:rsidR="008E5BC5">
        <w:rPr>
          <w:rFonts w:hint="cs"/>
          <w:rtl/>
        </w:rPr>
        <w:t xml:space="preserve"> בחסד"פ</w:t>
      </w:r>
      <w:r>
        <w:rPr>
          <w:rFonts w:hint="cs"/>
          <w:rtl/>
        </w:rPr>
        <w:t>. בכל אחד מהתיקונים, יהיה דרוש לערוך את האיזונים הנדרשים בין צורכי המשטרה לבין הפגיעה בזכויות חוקתיות. בכל מקרה, לעמדת היועמ</w:t>
      </w:r>
      <w:r>
        <w:rPr>
          <w:rtl/>
        </w:rPr>
        <w:t>"</w:t>
      </w:r>
      <w:r>
        <w:rPr>
          <w:rFonts w:hint="cs"/>
          <w:rtl/>
        </w:rPr>
        <w:t>שית לממשלה אין מקום להתיר במסגרת התיקון לחוק האזנת סתר איסופו של מידע שהועבר במסגרת גיבוי או סנכרון</w:t>
      </w:r>
      <w:r w:rsidR="005310B7">
        <w:rPr>
          <w:rFonts w:hint="cs"/>
          <w:rtl/>
        </w:rPr>
        <w:t xml:space="preserve"> של</w:t>
      </w:r>
      <w:r>
        <w:rPr>
          <w:rFonts w:hint="cs"/>
          <w:rtl/>
        </w:rPr>
        <w:t xml:space="preserve"> מידע. </w:t>
      </w:r>
    </w:p>
    <w:p w:rsidR="009A1216" w:rsidRDefault="009A1216" w:rsidP="00DF4779">
      <w:pPr>
        <w:pStyle w:val="a5"/>
        <w:spacing w:line="269" w:lineRule="auto"/>
        <w:ind w:left="140"/>
        <w:rPr>
          <w:rtl/>
        </w:rPr>
      </w:pPr>
    </w:p>
    <w:p w:rsidR="009A1216" w:rsidRDefault="009A1216" w:rsidP="00DF4779">
      <w:pPr>
        <w:spacing w:line="269" w:lineRule="auto"/>
        <w:ind w:left="707"/>
        <w:rPr>
          <w:rtl/>
        </w:rPr>
      </w:pPr>
      <w:r>
        <w:rPr>
          <w:rFonts w:hint="cs"/>
          <w:rtl/>
        </w:rPr>
        <w:t>המשטרה מסרה כי היא</w:t>
      </w:r>
      <w:r>
        <w:rPr>
          <w:rtl/>
        </w:rPr>
        <w:t xml:space="preserve"> תברך על כל עדכון חקיקה ו</w:t>
      </w:r>
      <w:r>
        <w:rPr>
          <w:rFonts w:hint="cs"/>
          <w:rtl/>
        </w:rPr>
        <w:t xml:space="preserve">על כל </w:t>
      </w:r>
      <w:r>
        <w:rPr>
          <w:rtl/>
        </w:rPr>
        <w:t xml:space="preserve">בחינה </w:t>
      </w:r>
      <w:r>
        <w:rPr>
          <w:rFonts w:hint="cs"/>
          <w:rtl/>
        </w:rPr>
        <w:t>שיבצע</w:t>
      </w:r>
      <w:r>
        <w:rPr>
          <w:rtl/>
        </w:rPr>
        <w:t xml:space="preserve"> משרד המשפטים באופן שירחיב את סמכויותיה לחיפוש סמוי </w:t>
      </w:r>
      <w:r>
        <w:rPr>
          <w:rFonts w:hint="cs"/>
          <w:rtl/>
        </w:rPr>
        <w:t>ויתאים את</w:t>
      </w:r>
      <w:r>
        <w:rPr>
          <w:rtl/>
        </w:rPr>
        <w:t xml:space="preserve"> חוק האזנת סתר למציאות הטכנולוגית המשתנה בנוגע לכלל סוגי המידע הניתנים לאיסוף. </w:t>
      </w:r>
    </w:p>
    <w:p w:rsidR="00625661" w:rsidRDefault="00625661" w:rsidP="00DF4779">
      <w:pPr>
        <w:spacing w:line="269" w:lineRule="auto"/>
        <w:ind w:left="707"/>
        <w:rPr>
          <w:b/>
          <w:bCs/>
          <w:rtl/>
        </w:rPr>
      </w:pPr>
    </w:p>
    <w:p w:rsidR="009A1216" w:rsidRPr="00A965E8" w:rsidRDefault="009A1216" w:rsidP="00DF4779">
      <w:pPr>
        <w:spacing w:line="269" w:lineRule="auto"/>
        <w:ind w:left="707"/>
        <w:rPr>
          <w:b/>
          <w:bCs/>
          <w:rtl/>
        </w:rPr>
      </w:pPr>
      <w:r w:rsidRPr="007B6EAC">
        <w:rPr>
          <w:rFonts w:hint="eastAsia"/>
          <w:b/>
          <w:bCs/>
          <w:rtl/>
        </w:rPr>
        <w:t>מבקר</w:t>
      </w:r>
      <w:r w:rsidRPr="007B6EAC">
        <w:rPr>
          <w:b/>
          <w:bCs/>
          <w:rtl/>
        </w:rPr>
        <w:t xml:space="preserve"> </w:t>
      </w:r>
      <w:r w:rsidRPr="007B6EAC">
        <w:rPr>
          <w:rFonts w:hint="eastAsia"/>
          <w:b/>
          <w:bCs/>
          <w:rtl/>
        </w:rPr>
        <w:t>המדינה</w:t>
      </w:r>
      <w:r w:rsidRPr="007B6EAC">
        <w:rPr>
          <w:b/>
          <w:bCs/>
          <w:rtl/>
        </w:rPr>
        <w:t xml:space="preserve"> </w:t>
      </w:r>
      <w:r w:rsidRPr="007B6EAC">
        <w:rPr>
          <w:rFonts w:hint="eastAsia"/>
          <w:b/>
          <w:bCs/>
          <w:rtl/>
        </w:rPr>
        <w:t>מעיר</w:t>
      </w:r>
      <w:r w:rsidRPr="007B6EAC">
        <w:rPr>
          <w:b/>
          <w:bCs/>
          <w:rtl/>
        </w:rPr>
        <w:t xml:space="preserve"> </w:t>
      </w:r>
      <w:r w:rsidRPr="007B6EAC">
        <w:rPr>
          <w:rFonts w:hint="eastAsia"/>
          <w:b/>
          <w:bCs/>
          <w:rtl/>
        </w:rPr>
        <w:t>כי</w:t>
      </w:r>
      <w:r w:rsidRPr="007B6EAC">
        <w:rPr>
          <w:b/>
          <w:bCs/>
          <w:rtl/>
        </w:rPr>
        <w:t xml:space="preserve"> </w:t>
      </w:r>
      <w:bookmarkStart w:id="511" w:name="_Hlk154399864"/>
      <w:r>
        <w:rPr>
          <w:rFonts w:hint="cs"/>
          <w:b/>
          <w:bCs/>
          <w:rtl/>
        </w:rPr>
        <w:t xml:space="preserve">כיום, גם לאחר פרסום העמדה המשפטית שבדוח צוות מררי ובהיעדר עיגון של החיפוש הסמוי בחקיקה, נותר פער משמעותי בסמכויות המשטרה לאסוף מידע שמועבר בעת </w:t>
      </w:r>
      <w:bookmarkEnd w:id="511"/>
      <w:r w:rsidRPr="00310D6B">
        <w:rPr>
          <w:b/>
          <w:bCs/>
          <w:rtl/>
        </w:rPr>
        <w:t xml:space="preserve">גיבוי מכשיר </w:t>
      </w:r>
      <w:r>
        <w:rPr>
          <w:rFonts w:hint="cs"/>
          <w:b/>
          <w:bCs/>
          <w:rtl/>
        </w:rPr>
        <w:t xml:space="preserve">או </w:t>
      </w:r>
      <w:r w:rsidRPr="00310D6B">
        <w:rPr>
          <w:rFonts w:hint="eastAsia"/>
          <w:b/>
          <w:bCs/>
          <w:rtl/>
        </w:rPr>
        <w:t>סנכרון</w:t>
      </w:r>
      <w:r w:rsidRPr="00310D6B">
        <w:rPr>
          <w:b/>
          <w:bCs/>
          <w:rtl/>
        </w:rPr>
        <w:t xml:space="preserve"> מידע</w:t>
      </w:r>
      <w:r w:rsidRPr="00525986">
        <w:rPr>
          <w:rFonts w:hint="eastAsia"/>
          <w:b/>
          <w:bCs/>
          <w:rtl/>
        </w:rPr>
        <w:t xml:space="preserve"> </w:t>
      </w:r>
      <w:r w:rsidRPr="007B6EAC">
        <w:rPr>
          <w:rFonts w:hint="eastAsia"/>
          <w:b/>
          <w:bCs/>
          <w:rtl/>
        </w:rPr>
        <w:t>בשל</w:t>
      </w:r>
      <w:r w:rsidRPr="007B6EAC">
        <w:rPr>
          <w:b/>
          <w:bCs/>
          <w:rtl/>
        </w:rPr>
        <w:t xml:space="preserve"> </w:t>
      </w:r>
      <w:r w:rsidRPr="007B6EAC">
        <w:rPr>
          <w:rFonts w:hint="eastAsia"/>
          <w:b/>
          <w:bCs/>
          <w:rtl/>
        </w:rPr>
        <w:t>שיטת</w:t>
      </w:r>
      <w:r w:rsidRPr="007B6EAC">
        <w:rPr>
          <w:b/>
          <w:bCs/>
          <w:rtl/>
        </w:rPr>
        <w:t xml:space="preserve"> </w:t>
      </w:r>
      <w:r w:rsidRPr="007B6EAC">
        <w:rPr>
          <w:rFonts w:hint="eastAsia"/>
          <w:b/>
          <w:bCs/>
          <w:rtl/>
        </w:rPr>
        <w:t>העברתו</w:t>
      </w:r>
      <w:r w:rsidRPr="00A965E8">
        <w:rPr>
          <w:rFonts w:hint="cs"/>
          <w:b/>
          <w:bCs/>
          <w:rtl/>
        </w:rPr>
        <w:t xml:space="preserve"> ואיסופו</w:t>
      </w:r>
      <w:r>
        <w:rPr>
          <w:rFonts w:hint="cs"/>
          <w:b/>
          <w:bCs/>
          <w:rtl/>
        </w:rPr>
        <w:t>. הדבר</w:t>
      </w:r>
      <w:r w:rsidRPr="007B6EAC">
        <w:rPr>
          <w:b/>
          <w:bCs/>
          <w:rtl/>
        </w:rPr>
        <w:t xml:space="preserve"> </w:t>
      </w:r>
      <w:r w:rsidRPr="007B6EAC">
        <w:rPr>
          <w:rFonts w:hint="eastAsia"/>
          <w:b/>
          <w:bCs/>
          <w:rtl/>
        </w:rPr>
        <w:t>פוגע</w:t>
      </w:r>
      <w:r w:rsidRPr="007B6EAC">
        <w:rPr>
          <w:b/>
          <w:bCs/>
          <w:rtl/>
        </w:rPr>
        <w:t xml:space="preserve"> </w:t>
      </w:r>
      <w:r w:rsidRPr="007B6EAC">
        <w:rPr>
          <w:rFonts w:hint="eastAsia"/>
          <w:b/>
          <w:bCs/>
          <w:rtl/>
        </w:rPr>
        <w:t>ביכולת</w:t>
      </w:r>
      <w:r w:rsidRPr="007B6EAC">
        <w:rPr>
          <w:b/>
          <w:bCs/>
          <w:rtl/>
        </w:rPr>
        <w:t xml:space="preserve"> </w:t>
      </w:r>
      <w:r w:rsidRPr="007B6EAC">
        <w:rPr>
          <w:rFonts w:hint="eastAsia"/>
          <w:b/>
          <w:bCs/>
          <w:rtl/>
        </w:rPr>
        <w:t>המשטרה</w:t>
      </w:r>
      <w:r w:rsidRPr="007B6EAC">
        <w:rPr>
          <w:b/>
          <w:bCs/>
          <w:rtl/>
        </w:rPr>
        <w:t xml:space="preserve"> </w:t>
      </w:r>
      <w:r w:rsidRPr="007B6EAC">
        <w:rPr>
          <w:rFonts w:hint="eastAsia"/>
          <w:b/>
          <w:bCs/>
          <w:rtl/>
        </w:rPr>
        <w:t>לקבלת</w:t>
      </w:r>
      <w:r w:rsidRPr="007B6EAC">
        <w:rPr>
          <w:b/>
          <w:bCs/>
          <w:rtl/>
        </w:rPr>
        <w:t xml:space="preserve"> </w:t>
      </w:r>
      <w:r w:rsidRPr="007B6EAC">
        <w:rPr>
          <w:rFonts w:hint="eastAsia"/>
          <w:b/>
          <w:bCs/>
          <w:rtl/>
        </w:rPr>
        <w:t>תמונ</w:t>
      </w:r>
      <w:r>
        <w:rPr>
          <w:rFonts w:hint="cs"/>
          <w:b/>
          <w:bCs/>
          <w:rtl/>
        </w:rPr>
        <w:t>ת מצב</w:t>
      </w:r>
      <w:r w:rsidRPr="007B6EAC">
        <w:rPr>
          <w:b/>
          <w:bCs/>
          <w:rtl/>
        </w:rPr>
        <w:t xml:space="preserve"> </w:t>
      </w:r>
      <w:r w:rsidR="00A86AE9">
        <w:rPr>
          <w:rFonts w:hint="cs"/>
          <w:b/>
          <w:bCs/>
          <w:rtl/>
        </w:rPr>
        <w:t>הנדרשת</w:t>
      </w:r>
      <w:r w:rsidR="00A86AE9" w:rsidRPr="007B6EAC">
        <w:rPr>
          <w:b/>
          <w:bCs/>
          <w:rtl/>
        </w:rPr>
        <w:t xml:space="preserve"> </w:t>
      </w:r>
      <w:r>
        <w:rPr>
          <w:rFonts w:hint="cs"/>
          <w:b/>
          <w:bCs/>
          <w:rtl/>
        </w:rPr>
        <w:t>ע</w:t>
      </w:r>
      <w:r w:rsidRPr="007B6EAC">
        <w:rPr>
          <w:rFonts w:hint="eastAsia"/>
          <w:b/>
          <w:bCs/>
          <w:rtl/>
        </w:rPr>
        <w:t>ל</w:t>
      </w:r>
      <w:r w:rsidRPr="007B6EAC">
        <w:rPr>
          <w:b/>
          <w:bCs/>
          <w:rtl/>
        </w:rPr>
        <w:t xml:space="preserve"> </w:t>
      </w:r>
      <w:r w:rsidRPr="007B6EAC">
        <w:rPr>
          <w:rFonts w:hint="eastAsia"/>
          <w:b/>
          <w:bCs/>
          <w:rtl/>
        </w:rPr>
        <w:t>המידע</w:t>
      </w:r>
      <w:r w:rsidRPr="007B6EAC">
        <w:rPr>
          <w:b/>
          <w:bCs/>
          <w:rtl/>
        </w:rPr>
        <w:t xml:space="preserve"> </w:t>
      </w:r>
      <w:r w:rsidRPr="007B6EAC">
        <w:rPr>
          <w:rFonts w:hint="eastAsia"/>
          <w:b/>
          <w:bCs/>
          <w:rtl/>
        </w:rPr>
        <w:t>הקיים</w:t>
      </w:r>
      <w:r w:rsidRPr="007B6EAC">
        <w:rPr>
          <w:b/>
          <w:bCs/>
          <w:rtl/>
        </w:rPr>
        <w:t xml:space="preserve"> </w:t>
      </w:r>
      <w:r w:rsidRPr="007B6EAC">
        <w:rPr>
          <w:rFonts w:hint="eastAsia"/>
          <w:b/>
          <w:bCs/>
          <w:rtl/>
        </w:rPr>
        <w:t>במכשיר</w:t>
      </w:r>
      <w:r w:rsidRPr="007B6EAC">
        <w:rPr>
          <w:b/>
          <w:bCs/>
          <w:rtl/>
        </w:rPr>
        <w:t xml:space="preserve"> </w:t>
      </w:r>
      <w:r w:rsidRPr="007B6EAC">
        <w:rPr>
          <w:rFonts w:hint="eastAsia"/>
          <w:b/>
          <w:bCs/>
          <w:rtl/>
        </w:rPr>
        <w:t>המשמש</w:t>
      </w:r>
      <w:r w:rsidRPr="007B6EAC">
        <w:rPr>
          <w:b/>
          <w:bCs/>
          <w:rtl/>
        </w:rPr>
        <w:t xml:space="preserve"> </w:t>
      </w:r>
      <w:r w:rsidRPr="007B6EAC">
        <w:rPr>
          <w:rFonts w:hint="eastAsia"/>
          <w:b/>
          <w:bCs/>
          <w:rtl/>
        </w:rPr>
        <w:t>לצורך</w:t>
      </w:r>
      <w:r w:rsidRPr="007B6EAC">
        <w:rPr>
          <w:b/>
          <w:bCs/>
          <w:rtl/>
        </w:rPr>
        <w:t xml:space="preserve"> </w:t>
      </w:r>
      <w:r w:rsidRPr="007B6EAC">
        <w:rPr>
          <w:rFonts w:hint="eastAsia"/>
          <w:b/>
          <w:bCs/>
          <w:rtl/>
        </w:rPr>
        <w:t>ביצוע</w:t>
      </w:r>
      <w:r w:rsidRPr="007B6EAC">
        <w:rPr>
          <w:b/>
          <w:bCs/>
          <w:rtl/>
        </w:rPr>
        <w:t xml:space="preserve"> </w:t>
      </w:r>
      <w:r w:rsidRPr="007B6EAC">
        <w:rPr>
          <w:rFonts w:hint="eastAsia"/>
          <w:b/>
          <w:bCs/>
          <w:rtl/>
        </w:rPr>
        <w:t>עבירות</w:t>
      </w:r>
      <w:r>
        <w:rPr>
          <w:rFonts w:hint="cs"/>
          <w:b/>
          <w:bCs/>
          <w:rtl/>
        </w:rPr>
        <w:t>;</w:t>
      </w:r>
      <w:r w:rsidRPr="007B6EAC">
        <w:rPr>
          <w:b/>
          <w:bCs/>
          <w:rtl/>
        </w:rPr>
        <w:t xml:space="preserve"> לבסס את ההערכה המודיעינית כי </w:t>
      </w:r>
      <w:r>
        <w:rPr>
          <w:rFonts w:hint="cs"/>
          <w:b/>
          <w:bCs/>
          <w:rtl/>
        </w:rPr>
        <w:t>מתקיים</w:t>
      </w:r>
      <w:r w:rsidRPr="007B6EAC">
        <w:rPr>
          <w:b/>
          <w:bCs/>
          <w:rtl/>
        </w:rPr>
        <w:t xml:space="preserve"> יסוד </w:t>
      </w:r>
      <w:r w:rsidRPr="007B6EAC">
        <w:rPr>
          <w:rFonts w:hint="eastAsia"/>
          <w:b/>
          <w:bCs/>
          <w:rtl/>
        </w:rPr>
        <w:t>לחשד</w:t>
      </w:r>
      <w:r w:rsidRPr="007B6EAC">
        <w:rPr>
          <w:b/>
          <w:bCs/>
          <w:rtl/>
        </w:rPr>
        <w:t xml:space="preserve"> </w:t>
      </w:r>
      <w:r w:rsidRPr="007B6EAC">
        <w:rPr>
          <w:rFonts w:hint="eastAsia"/>
          <w:b/>
          <w:bCs/>
          <w:rtl/>
        </w:rPr>
        <w:t>לביצוע</w:t>
      </w:r>
      <w:r w:rsidRPr="007B6EAC">
        <w:rPr>
          <w:b/>
          <w:bCs/>
          <w:rtl/>
        </w:rPr>
        <w:t xml:space="preserve"> </w:t>
      </w:r>
      <w:r w:rsidRPr="007B6EAC">
        <w:rPr>
          <w:rFonts w:hint="eastAsia"/>
          <w:b/>
          <w:bCs/>
          <w:rtl/>
        </w:rPr>
        <w:t>העבירה</w:t>
      </w:r>
      <w:r>
        <w:rPr>
          <w:rFonts w:hint="cs"/>
          <w:b/>
          <w:bCs/>
          <w:rtl/>
        </w:rPr>
        <w:t>;</w:t>
      </w:r>
      <w:r w:rsidRPr="007B6EAC">
        <w:rPr>
          <w:b/>
          <w:bCs/>
          <w:rtl/>
        </w:rPr>
        <w:t xml:space="preserve"> ולקבוע כי לא קיים מידע </w:t>
      </w:r>
      <w:r>
        <w:rPr>
          <w:rFonts w:hint="cs"/>
          <w:b/>
          <w:bCs/>
          <w:rtl/>
        </w:rPr>
        <w:t>המפריך</w:t>
      </w:r>
      <w:r w:rsidRPr="007B6EAC">
        <w:rPr>
          <w:b/>
          <w:bCs/>
          <w:rtl/>
        </w:rPr>
        <w:t xml:space="preserve"> </w:t>
      </w:r>
      <w:r w:rsidRPr="007B6EAC">
        <w:rPr>
          <w:rFonts w:hint="eastAsia"/>
          <w:b/>
          <w:bCs/>
          <w:rtl/>
        </w:rPr>
        <w:t>את</w:t>
      </w:r>
      <w:r w:rsidRPr="007B6EAC">
        <w:rPr>
          <w:b/>
          <w:bCs/>
          <w:rtl/>
        </w:rPr>
        <w:t xml:space="preserve"> </w:t>
      </w:r>
      <w:r w:rsidRPr="007B6EAC">
        <w:rPr>
          <w:rFonts w:hint="eastAsia"/>
          <w:b/>
          <w:bCs/>
          <w:rtl/>
        </w:rPr>
        <w:t>ההערכה</w:t>
      </w:r>
      <w:r w:rsidRPr="007B6EAC">
        <w:rPr>
          <w:b/>
          <w:bCs/>
          <w:rtl/>
        </w:rPr>
        <w:t xml:space="preserve"> </w:t>
      </w:r>
      <w:r w:rsidRPr="007B6EAC">
        <w:rPr>
          <w:rFonts w:hint="eastAsia"/>
          <w:b/>
          <w:bCs/>
          <w:rtl/>
        </w:rPr>
        <w:t>הזו</w:t>
      </w:r>
      <w:r w:rsidRPr="007B6EAC">
        <w:rPr>
          <w:b/>
          <w:bCs/>
          <w:rtl/>
        </w:rPr>
        <w:t xml:space="preserve">. </w:t>
      </w:r>
    </w:p>
    <w:p w:rsidR="00625661" w:rsidRDefault="00625661" w:rsidP="00DF4779">
      <w:pPr>
        <w:spacing w:line="269" w:lineRule="auto"/>
        <w:ind w:left="707"/>
        <w:rPr>
          <w:b/>
          <w:bCs/>
          <w:rtl/>
        </w:rPr>
      </w:pPr>
    </w:p>
    <w:p w:rsidR="009A1216" w:rsidRDefault="009A1216" w:rsidP="00DF4779">
      <w:pPr>
        <w:spacing w:line="269" w:lineRule="auto"/>
        <w:ind w:left="707"/>
        <w:rPr>
          <w:b/>
          <w:bCs/>
          <w:rtl/>
        </w:rPr>
      </w:pPr>
      <w:r w:rsidRPr="00F8420E">
        <w:rPr>
          <w:rFonts w:hint="cs"/>
          <w:b/>
          <w:bCs/>
          <w:rtl/>
        </w:rPr>
        <w:t xml:space="preserve">מומלץ כי משרד המשפטים, האחראי לעבודת המטה, </w:t>
      </w:r>
      <w:r>
        <w:rPr>
          <w:rFonts w:hint="cs"/>
          <w:b/>
          <w:bCs/>
          <w:rtl/>
        </w:rPr>
        <w:t>יפעל ל</w:t>
      </w:r>
      <w:r w:rsidRPr="00F8420E">
        <w:rPr>
          <w:rFonts w:hint="cs"/>
          <w:b/>
          <w:bCs/>
          <w:rtl/>
        </w:rPr>
        <w:t>אסדר</w:t>
      </w:r>
      <w:r>
        <w:rPr>
          <w:rFonts w:hint="cs"/>
          <w:b/>
          <w:bCs/>
          <w:rtl/>
        </w:rPr>
        <w:t>ה</w:t>
      </w:r>
      <w:r w:rsidRPr="00F8420E">
        <w:rPr>
          <w:rFonts w:hint="cs"/>
          <w:b/>
          <w:bCs/>
          <w:rtl/>
        </w:rPr>
        <w:t xml:space="preserve"> בדברי החקיקה הרלוונטיים (</w:t>
      </w:r>
      <w:r>
        <w:rPr>
          <w:rFonts w:hint="cs"/>
          <w:b/>
          <w:bCs/>
          <w:rtl/>
        </w:rPr>
        <w:t>ו</w:t>
      </w:r>
      <w:r w:rsidRPr="00F8420E">
        <w:rPr>
          <w:rFonts w:hint="cs"/>
          <w:b/>
          <w:bCs/>
          <w:rtl/>
        </w:rPr>
        <w:t xml:space="preserve">בפרט </w:t>
      </w:r>
      <w:r>
        <w:rPr>
          <w:rFonts w:hint="cs"/>
          <w:b/>
          <w:bCs/>
          <w:rtl/>
        </w:rPr>
        <w:t>ב</w:t>
      </w:r>
      <w:r w:rsidRPr="00F8420E">
        <w:rPr>
          <w:rFonts w:hint="cs"/>
          <w:b/>
          <w:bCs/>
          <w:rtl/>
        </w:rPr>
        <w:t xml:space="preserve">חוק החיפוש הסמוי), ובתיאום עם </w:t>
      </w:r>
      <w:r>
        <w:rPr>
          <w:rFonts w:hint="cs"/>
          <w:b/>
          <w:bCs/>
          <w:rtl/>
        </w:rPr>
        <w:t>המשטרה</w:t>
      </w:r>
      <w:r w:rsidRPr="00F8420E">
        <w:rPr>
          <w:rFonts w:hint="cs"/>
          <w:b/>
          <w:bCs/>
          <w:rtl/>
        </w:rPr>
        <w:t xml:space="preserve">, </w:t>
      </w:r>
      <w:r>
        <w:rPr>
          <w:rFonts w:hint="cs"/>
          <w:b/>
          <w:bCs/>
          <w:rtl/>
        </w:rPr>
        <w:t>של</w:t>
      </w:r>
      <w:r w:rsidRPr="00F8420E">
        <w:rPr>
          <w:rFonts w:hint="cs"/>
          <w:b/>
          <w:bCs/>
          <w:rtl/>
        </w:rPr>
        <w:t xml:space="preserve"> איסוף </w:t>
      </w:r>
      <w:r>
        <w:rPr>
          <w:rFonts w:hint="cs"/>
          <w:b/>
          <w:bCs/>
          <w:rtl/>
        </w:rPr>
        <w:t>ה</w:t>
      </w:r>
      <w:r w:rsidRPr="00F8420E">
        <w:rPr>
          <w:rFonts w:hint="cs"/>
          <w:b/>
          <w:bCs/>
          <w:rtl/>
        </w:rPr>
        <w:t>מידע הנוצר בהליכי הגיבוי והסנכרון של מכשירי הקצה ו</w:t>
      </w:r>
      <w:r>
        <w:rPr>
          <w:rFonts w:hint="cs"/>
          <w:b/>
          <w:bCs/>
          <w:rtl/>
        </w:rPr>
        <w:t xml:space="preserve">את </w:t>
      </w:r>
      <w:r w:rsidRPr="00F8420E">
        <w:rPr>
          <w:rFonts w:hint="cs"/>
          <w:b/>
          <w:bCs/>
          <w:rtl/>
        </w:rPr>
        <w:t>הגבלתה למקרים המתאימים</w:t>
      </w:r>
      <w:r w:rsidR="000E4A8B">
        <w:rPr>
          <w:rFonts w:hint="cs"/>
          <w:b/>
          <w:bCs/>
          <w:rtl/>
        </w:rPr>
        <w:t xml:space="preserve"> ולתכלית הראויה</w:t>
      </w:r>
      <w:r w:rsidRPr="00F8420E">
        <w:rPr>
          <w:rFonts w:hint="cs"/>
          <w:b/>
          <w:bCs/>
          <w:rtl/>
        </w:rPr>
        <w:t xml:space="preserve">. </w:t>
      </w:r>
    </w:p>
    <w:p w:rsidR="009A1216" w:rsidRDefault="009A1216" w:rsidP="00604C3D">
      <w:pPr>
        <w:spacing w:line="269" w:lineRule="auto"/>
        <w:rPr>
          <w:b/>
          <w:bCs/>
          <w:rtl/>
        </w:rPr>
      </w:pPr>
    </w:p>
    <w:p w:rsidR="009A1216" w:rsidRDefault="009A1216" w:rsidP="00DF4779">
      <w:pPr>
        <w:pStyle w:val="5"/>
        <w:numPr>
          <w:ilvl w:val="0"/>
          <w:numId w:val="24"/>
        </w:numPr>
        <w:spacing w:line="269" w:lineRule="auto"/>
        <w:ind w:left="707"/>
        <w:rPr>
          <w:rtl/>
        </w:rPr>
      </w:pPr>
      <w:bookmarkStart w:id="512" w:name="_מידע_בר_איסוף"/>
      <w:bookmarkStart w:id="513" w:name="_Toc151890766"/>
      <w:bookmarkStart w:id="514" w:name="_Toc151882038"/>
      <w:bookmarkEnd w:id="429"/>
      <w:bookmarkEnd w:id="512"/>
      <w:r>
        <w:rPr>
          <w:rFonts w:hint="cs"/>
          <w:rtl/>
        </w:rPr>
        <w:t>הסדרה משפטית חלקית של איסוף תוצרי האזנה בהתאם לסוג</w:t>
      </w:r>
      <w:r w:rsidRPr="00A51058">
        <w:rPr>
          <w:rFonts w:hint="cs"/>
        </w:rPr>
        <w:t xml:space="preserve"> </w:t>
      </w:r>
      <w:r>
        <w:rPr>
          <w:rFonts w:hint="cs"/>
          <w:rtl/>
        </w:rPr>
        <w:t>ה</w:t>
      </w:r>
      <w:r w:rsidRPr="00A51058">
        <w:rPr>
          <w:rFonts w:hint="eastAsia"/>
          <w:rtl/>
        </w:rPr>
        <w:t>מידע</w:t>
      </w:r>
      <w:r>
        <w:rPr>
          <w:rFonts w:hint="cs"/>
          <w:rtl/>
        </w:rPr>
        <w:t xml:space="preserve"> הנאסף</w:t>
      </w:r>
      <w:r w:rsidRPr="00A51058">
        <w:rPr>
          <w:rtl/>
        </w:rPr>
        <w:t xml:space="preserve"> </w:t>
      </w:r>
      <w:bookmarkEnd w:id="513"/>
      <w:bookmarkEnd w:id="514"/>
    </w:p>
    <w:p w:rsidR="00625661" w:rsidRDefault="00625661" w:rsidP="00604C3D">
      <w:pPr>
        <w:spacing w:line="269" w:lineRule="auto"/>
        <w:rPr>
          <w:rtl/>
        </w:rPr>
      </w:pPr>
    </w:p>
    <w:p w:rsidR="009A1216" w:rsidRDefault="009A1216" w:rsidP="00DF4779">
      <w:pPr>
        <w:spacing w:line="269" w:lineRule="auto"/>
        <w:ind w:left="707"/>
        <w:rPr>
          <w:rtl/>
        </w:rPr>
      </w:pPr>
      <w:r>
        <w:rPr>
          <w:rFonts w:hint="cs"/>
          <w:rtl/>
        </w:rPr>
        <w:t>עד כה נסקרו מתווי ה</w:t>
      </w:r>
      <w:r w:rsidR="00FE3FAD">
        <w:rPr>
          <w:rFonts w:hint="cs"/>
          <w:rtl/>
        </w:rPr>
        <w:t>התקנה</w:t>
      </w:r>
      <w:r>
        <w:rPr>
          <w:rFonts w:hint="cs"/>
          <w:rtl/>
        </w:rPr>
        <w:t xml:space="preserve"> ודרך הפעלתם הכללית של הכלים הטכנולוגיים ויכולותיהם וכן פערים וליקויים בתהליך איסוף תוצרי האזנת סתר. בתת פרק זה, ייסקרו הפערים ביכולת איסוף תוצרי האזנת סתר לפי סוגי מידע קונקרטיים שנאספו תוך שימוש בכלים הטכנולוגיים. </w:t>
      </w:r>
    </w:p>
    <w:p w:rsidR="009A1216" w:rsidRDefault="009A1216" w:rsidP="00DF4779">
      <w:pPr>
        <w:spacing w:line="269" w:lineRule="auto"/>
        <w:ind w:left="707"/>
        <w:rPr>
          <w:rtl/>
        </w:rPr>
      </w:pPr>
    </w:p>
    <w:p w:rsidR="004A32C6" w:rsidRDefault="009A1216" w:rsidP="00DF4779">
      <w:pPr>
        <w:spacing w:line="269" w:lineRule="auto"/>
        <w:ind w:left="707"/>
        <w:rPr>
          <w:rtl/>
        </w:rPr>
      </w:pPr>
      <w:r w:rsidRPr="00FD7EB7">
        <w:rPr>
          <w:rFonts w:hint="cs"/>
          <w:rtl/>
        </w:rPr>
        <w:t>משרד מבקר המדינה סיווג את סוגי המידע בהתאם לסקירה של הכלים הטכנולוגיים, לדגימת 12 יעדי האזנה</w:t>
      </w:r>
      <w:r>
        <w:rPr>
          <w:rFonts w:hint="cs"/>
          <w:rtl/>
        </w:rPr>
        <w:t xml:space="preserve"> </w:t>
      </w:r>
      <w:r w:rsidRPr="00FD7EB7">
        <w:rPr>
          <w:rFonts w:hint="cs"/>
          <w:rtl/>
        </w:rPr>
        <w:t xml:space="preserve">ולבחינה של מאגרי נתונים של חברה מסוימת בכלי טכנולוגי מסוים שעובדו במסגרת דוח צוות מררי. </w:t>
      </w:r>
    </w:p>
    <w:p w:rsidR="00C65B0A" w:rsidRDefault="00C65B0A" w:rsidP="00DF4779">
      <w:pPr>
        <w:spacing w:line="269" w:lineRule="auto"/>
        <w:ind w:left="707"/>
        <w:rPr>
          <w:rtl/>
        </w:rPr>
      </w:pPr>
    </w:p>
    <w:p w:rsidR="009A1216" w:rsidRPr="007E2FDC" w:rsidRDefault="009A1216" w:rsidP="00DF4779">
      <w:pPr>
        <w:spacing w:line="269" w:lineRule="auto"/>
        <w:ind w:left="707"/>
        <w:rPr>
          <w:rtl/>
        </w:rPr>
      </w:pPr>
      <w:r w:rsidRPr="007E2FDC">
        <w:rPr>
          <w:rFonts w:hint="cs"/>
          <w:rtl/>
        </w:rPr>
        <w:t xml:space="preserve">בהקשר זה יצוין כי צוות מררי קיבל </w:t>
      </w:r>
      <w:r w:rsidR="00625661">
        <w:rPr>
          <w:rFonts w:hint="cs"/>
          <w:rtl/>
        </w:rPr>
        <w:t>ועיבד</w:t>
      </w:r>
      <w:r w:rsidR="00625661" w:rsidRPr="007E2FDC">
        <w:rPr>
          <w:rFonts w:hint="cs"/>
          <w:rtl/>
        </w:rPr>
        <w:t xml:space="preserve"> </w:t>
      </w:r>
      <w:r w:rsidRPr="007E2FDC">
        <w:rPr>
          <w:rFonts w:hint="cs"/>
          <w:rtl/>
        </w:rPr>
        <w:t xml:space="preserve">מאגרי נתונים של חברה מסוימת בנוגע לשימוש בכלי טכנולוגי מסוים. לפי מאגרי הנתונים, בעת השימוש בכלי הטכנולוגי בשנים 2018 </w:t>
      </w:r>
      <w:r w:rsidR="0084129F">
        <w:rPr>
          <w:rFonts w:hint="cs"/>
          <w:rtl/>
        </w:rPr>
        <w:t>-</w:t>
      </w:r>
      <w:r w:rsidRPr="007E2FDC">
        <w:rPr>
          <w:rFonts w:hint="cs"/>
          <w:rtl/>
        </w:rPr>
        <w:t xml:space="preserve"> ינואר 2022 נאספו כ-7.65 מיליון תוצרי האזנת סתר </w:t>
      </w:r>
      <w:r w:rsidR="00847B5D">
        <w:rPr>
          <w:rFonts w:hint="cs"/>
          <w:rtl/>
        </w:rPr>
        <w:t>מ</w:t>
      </w:r>
      <w:r w:rsidR="005E61E7">
        <w:rPr>
          <w:rFonts w:hint="cs"/>
          <w:rtl/>
        </w:rPr>
        <w:t>מאות</w:t>
      </w:r>
      <w:r w:rsidRPr="007E2FDC">
        <w:rPr>
          <w:rFonts w:hint="cs"/>
          <w:rtl/>
        </w:rPr>
        <w:t xml:space="preserve"> מטרות</w:t>
      </w:r>
      <w:r w:rsidRPr="007E2FDC">
        <w:rPr>
          <w:vertAlign w:val="superscript"/>
          <w:rtl/>
        </w:rPr>
        <w:footnoteReference w:id="191"/>
      </w:r>
      <w:r w:rsidRPr="007E2FDC">
        <w:rPr>
          <w:rFonts w:hint="cs"/>
          <w:rtl/>
        </w:rPr>
        <w:t>.</w:t>
      </w:r>
    </w:p>
    <w:p w:rsidR="00625661" w:rsidRDefault="00625661" w:rsidP="00604C3D">
      <w:pPr>
        <w:spacing w:line="269" w:lineRule="auto"/>
        <w:rPr>
          <w:szCs w:val="20"/>
          <w:rtl/>
        </w:rPr>
      </w:pPr>
    </w:p>
    <w:p w:rsidR="009A1216" w:rsidRDefault="009A1216" w:rsidP="00DF4779">
      <w:pPr>
        <w:spacing w:line="269" w:lineRule="auto"/>
        <w:ind w:left="707"/>
        <w:rPr>
          <w:rtl/>
        </w:rPr>
      </w:pPr>
      <w:r w:rsidRPr="009709B2">
        <w:rPr>
          <w:rFonts w:hint="cs"/>
          <w:rtl/>
        </w:rPr>
        <w:t xml:space="preserve">להלן </w:t>
      </w:r>
      <w:r w:rsidR="00140D3B">
        <w:rPr>
          <w:rFonts w:hint="cs"/>
          <w:rtl/>
        </w:rPr>
        <w:t>לוח</w:t>
      </w:r>
      <w:r w:rsidRPr="009709B2">
        <w:rPr>
          <w:rFonts w:hint="cs"/>
          <w:rtl/>
        </w:rPr>
        <w:t xml:space="preserve"> המפרט את סוג </w:t>
      </w:r>
      <w:r w:rsidR="00140D3B">
        <w:rPr>
          <w:rFonts w:hint="cs"/>
          <w:rtl/>
        </w:rPr>
        <w:t>ה</w:t>
      </w:r>
      <w:r w:rsidRPr="009709B2">
        <w:rPr>
          <w:rFonts w:hint="cs"/>
          <w:rtl/>
        </w:rPr>
        <w:t xml:space="preserve">מידע שאספה המשטרה באמצעות כלים טכנולוגיים ואת </w:t>
      </w:r>
      <w:r w:rsidR="00DA13E7">
        <w:rPr>
          <w:rFonts w:hint="cs"/>
          <w:rtl/>
        </w:rPr>
        <w:t>המצב המשפטי המאפשר את</w:t>
      </w:r>
      <w:r w:rsidR="00DA13E7" w:rsidRPr="009709B2">
        <w:rPr>
          <w:rFonts w:hint="cs"/>
          <w:rtl/>
        </w:rPr>
        <w:t xml:space="preserve"> </w:t>
      </w:r>
      <w:r w:rsidRPr="009709B2">
        <w:rPr>
          <w:rFonts w:hint="cs"/>
          <w:rtl/>
        </w:rPr>
        <w:t>איסופו בהתאם לתבחינים שנקבעו. ב</w:t>
      </w:r>
      <w:r w:rsidR="00140D3B">
        <w:rPr>
          <w:rFonts w:hint="cs"/>
          <w:rtl/>
        </w:rPr>
        <w:t xml:space="preserve">לוח </w:t>
      </w:r>
      <w:r w:rsidRPr="009709B2">
        <w:rPr>
          <w:rFonts w:hint="cs"/>
          <w:rtl/>
        </w:rPr>
        <w:t>יפורטו סוג המידע בר האיסוף; עמדת הייעוץ המשפטי לממשלה בנוגע לסוג מידע זה</w:t>
      </w:r>
      <w:r w:rsidRPr="009709B2">
        <w:rPr>
          <w:vertAlign w:val="superscript"/>
          <w:rtl/>
        </w:rPr>
        <w:footnoteReference w:id="192"/>
      </w:r>
      <w:r w:rsidRPr="009709B2">
        <w:rPr>
          <w:rFonts w:hint="cs"/>
          <w:rtl/>
        </w:rPr>
        <w:t>;</w:t>
      </w:r>
      <w:r w:rsidRPr="009709B2">
        <w:rPr>
          <w:rFonts w:hint="cs"/>
        </w:rPr>
        <w:t xml:space="preserve"> </w:t>
      </w:r>
      <w:r w:rsidRPr="009709B2">
        <w:rPr>
          <w:rFonts w:hint="cs"/>
          <w:rtl/>
        </w:rPr>
        <w:t>דרך האיסוף בפועל בהתאם לממצאי הבדיקות של מבקר המדינה</w:t>
      </w:r>
      <w:r w:rsidR="003D7341">
        <w:rPr>
          <w:rFonts w:hint="cs"/>
          <w:rtl/>
        </w:rPr>
        <w:t>:</w:t>
      </w:r>
      <w:r w:rsidRPr="009709B2">
        <w:rPr>
          <w:rFonts w:hint="cs"/>
          <w:rtl/>
        </w:rPr>
        <w:t xml:space="preserve"> </w:t>
      </w:r>
    </w:p>
    <w:p w:rsidR="007038FA" w:rsidRDefault="007038FA" w:rsidP="00604C3D">
      <w:pPr>
        <w:spacing w:line="269" w:lineRule="auto"/>
        <w:rPr>
          <w:rtl/>
        </w:rPr>
      </w:pPr>
    </w:p>
    <w:p w:rsidR="009A1216" w:rsidRDefault="008A67C6" w:rsidP="00604C3D">
      <w:pPr>
        <w:spacing w:line="269" w:lineRule="auto"/>
        <w:jc w:val="center"/>
        <w:rPr>
          <w:rtl/>
        </w:rPr>
      </w:pPr>
      <w:r w:rsidRPr="006F5640">
        <w:rPr>
          <w:rFonts w:hint="eastAsia"/>
          <w:rtl/>
        </w:rPr>
        <w:t>לוח</w:t>
      </w:r>
      <w:r w:rsidR="007038FA">
        <w:rPr>
          <w:rFonts w:hint="cs"/>
          <w:rtl/>
        </w:rPr>
        <w:t xml:space="preserve"> 13</w:t>
      </w:r>
      <w:r w:rsidR="009A1216" w:rsidRPr="006F5640">
        <w:rPr>
          <w:rtl/>
        </w:rPr>
        <w:t xml:space="preserve">: </w:t>
      </w:r>
      <w:r w:rsidR="009A1216" w:rsidRPr="006F5640">
        <w:rPr>
          <w:rFonts w:hint="eastAsia"/>
          <w:b/>
          <w:bCs/>
          <w:rtl/>
        </w:rPr>
        <w:t>סוגי</w:t>
      </w:r>
      <w:r w:rsidR="009A1216" w:rsidRPr="006F5640">
        <w:rPr>
          <w:b/>
          <w:bCs/>
          <w:rtl/>
        </w:rPr>
        <w:t xml:space="preserve"> </w:t>
      </w:r>
      <w:r w:rsidR="009A1216" w:rsidRPr="006F5640">
        <w:rPr>
          <w:rFonts w:hint="eastAsia"/>
          <w:b/>
          <w:bCs/>
          <w:rtl/>
        </w:rPr>
        <w:t>המידע</w:t>
      </w:r>
      <w:r w:rsidR="009A1216" w:rsidRPr="006F5640">
        <w:rPr>
          <w:b/>
          <w:bCs/>
          <w:rtl/>
        </w:rPr>
        <w:t xml:space="preserve"> </w:t>
      </w:r>
      <w:r w:rsidR="009A1216" w:rsidRPr="006F5640">
        <w:rPr>
          <w:rFonts w:hint="eastAsia"/>
          <w:b/>
          <w:bCs/>
          <w:rtl/>
        </w:rPr>
        <w:t>שנאסף</w:t>
      </w:r>
      <w:r w:rsidR="009A1216" w:rsidRPr="006F5640">
        <w:rPr>
          <w:b/>
          <w:bCs/>
          <w:rtl/>
        </w:rPr>
        <w:t xml:space="preserve"> </w:t>
      </w:r>
      <w:r w:rsidR="009A1216" w:rsidRPr="006F5640">
        <w:rPr>
          <w:rFonts w:hint="eastAsia"/>
          <w:b/>
          <w:bCs/>
          <w:rtl/>
        </w:rPr>
        <w:t>באמצעות</w:t>
      </w:r>
      <w:r w:rsidR="009A1216" w:rsidRPr="006F5640">
        <w:rPr>
          <w:b/>
          <w:bCs/>
          <w:rtl/>
        </w:rPr>
        <w:t xml:space="preserve"> </w:t>
      </w:r>
      <w:r w:rsidR="009A1216" w:rsidRPr="006F5640">
        <w:rPr>
          <w:rFonts w:hint="eastAsia"/>
          <w:b/>
          <w:bCs/>
          <w:rtl/>
        </w:rPr>
        <w:t>כלים</w:t>
      </w:r>
      <w:r w:rsidR="009A1216" w:rsidRPr="006F5640">
        <w:rPr>
          <w:b/>
          <w:bCs/>
          <w:rtl/>
        </w:rPr>
        <w:t xml:space="preserve"> </w:t>
      </w:r>
      <w:r w:rsidR="009A1216" w:rsidRPr="006F5640">
        <w:rPr>
          <w:rFonts w:hint="eastAsia"/>
          <w:b/>
          <w:bCs/>
          <w:rtl/>
        </w:rPr>
        <w:t>טכנולוגיים</w:t>
      </w:r>
      <w:r w:rsidR="009A1216" w:rsidRPr="006F5640">
        <w:rPr>
          <w:b/>
          <w:bCs/>
          <w:rtl/>
        </w:rPr>
        <w:t xml:space="preserve"> </w:t>
      </w:r>
    </w:p>
    <w:tbl>
      <w:tblPr>
        <w:tblStyle w:val="15"/>
        <w:tblpPr w:leftFromText="180" w:rightFromText="180" w:vertAnchor="text" w:tblpXSpec="center" w:tblpY="1"/>
        <w:tblOverlap w:val="never"/>
        <w:bidiVisual/>
        <w:tblW w:w="8499" w:type="dxa"/>
        <w:jc w:val="center"/>
        <w:tblLayout w:type="fixed"/>
        <w:tblLook w:val="04A0" w:firstRow="1" w:lastRow="0" w:firstColumn="1" w:lastColumn="0" w:noHBand="0" w:noVBand="1"/>
      </w:tblPr>
      <w:tblGrid>
        <w:gridCol w:w="850"/>
        <w:gridCol w:w="1985"/>
        <w:gridCol w:w="1417"/>
        <w:gridCol w:w="1843"/>
        <w:gridCol w:w="2404"/>
      </w:tblGrid>
      <w:tr w:rsidR="009A1216" w:rsidRPr="007038FA" w:rsidTr="00B82A2F">
        <w:trPr>
          <w:cnfStyle w:val="100000000000" w:firstRow="1" w:lastRow="0" w:firstColumn="0" w:lastColumn="0" w:oddVBand="0" w:evenVBand="0" w:oddHBand="0" w:evenHBand="0" w:firstRowFirstColumn="0" w:firstRowLastColumn="0" w:lastRowFirstColumn="0" w:lastRowLastColumn="0"/>
          <w:trHeight w:val="307"/>
          <w:tblHeader/>
          <w:jc w:val="center"/>
        </w:trPr>
        <w:tc>
          <w:tcPr>
            <w:cnfStyle w:val="001000000000" w:firstRow="0" w:lastRow="0" w:firstColumn="1" w:lastColumn="0" w:oddVBand="0" w:evenVBand="0" w:oddHBand="0" w:evenHBand="0" w:firstRowFirstColumn="0" w:firstRowLastColumn="0" w:lastRowFirstColumn="0" w:lastRowLastColumn="0"/>
            <w:tcW w:w="850" w:type="dxa"/>
            <w:tcBorders>
              <w:top w:val="single" w:sz="24" w:space="0" w:color="auto"/>
              <w:left w:val="single" w:sz="24" w:space="0" w:color="auto"/>
              <w:bottom w:val="single" w:sz="24" w:space="0" w:color="auto"/>
            </w:tcBorders>
            <w:shd w:val="clear" w:color="auto" w:fill="BFBFBF" w:themeFill="background1" w:themeFillShade="BF"/>
          </w:tcPr>
          <w:p w:rsidR="009A1216" w:rsidRPr="007038FA" w:rsidRDefault="009A1216" w:rsidP="00604C3D">
            <w:pPr>
              <w:pStyle w:val="afe"/>
              <w:spacing w:line="269" w:lineRule="auto"/>
              <w:jc w:val="center"/>
              <w:rPr>
                <w:b w:val="0"/>
                <w:sz w:val="22"/>
                <w:szCs w:val="22"/>
                <w:rtl/>
              </w:rPr>
            </w:pPr>
            <w:bookmarkStart w:id="516" w:name="_Hlk155709462"/>
            <w:r w:rsidRPr="007038FA">
              <w:rPr>
                <w:rFonts w:hint="cs"/>
                <w:b w:val="0"/>
                <w:sz w:val="22"/>
                <w:szCs w:val="22"/>
                <w:rtl/>
              </w:rPr>
              <w:t>סוג המידע</w:t>
            </w:r>
          </w:p>
        </w:tc>
        <w:tc>
          <w:tcPr>
            <w:tcW w:w="1985" w:type="dxa"/>
            <w:tcBorders>
              <w:top w:val="single" w:sz="24" w:space="0" w:color="auto"/>
              <w:bottom w:val="single" w:sz="24" w:space="0" w:color="auto"/>
            </w:tcBorders>
            <w:shd w:val="clear" w:color="auto" w:fill="BFBFBF" w:themeFill="background1" w:themeFillShade="BF"/>
          </w:tcPr>
          <w:p w:rsidR="009A1216" w:rsidRPr="007038FA" w:rsidRDefault="009A1216" w:rsidP="00604C3D">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b w:val="0"/>
                <w:i w:val="0"/>
                <w:iCs w:val="0"/>
                <w:sz w:val="22"/>
                <w:szCs w:val="22"/>
                <w:rtl/>
              </w:rPr>
            </w:pPr>
            <w:r w:rsidRPr="007038FA">
              <w:rPr>
                <w:rFonts w:hint="cs"/>
                <w:b w:val="0"/>
                <w:i w:val="0"/>
                <w:iCs w:val="0"/>
                <w:sz w:val="22"/>
                <w:szCs w:val="22"/>
                <w:rtl/>
              </w:rPr>
              <w:t>עמדת הייעוץ המשפטי לממשלה</w:t>
            </w:r>
            <w:r w:rsidRPr="007038FA">
              <w:rPr>
                <w:rStyle w:val="af"/>
                <w:b w:val="0"/>
                <w:i w:val="0"/>
                <w:iCs w:val="0"/>
                <w:sz w:val="22"/>
                <w:szCs w:val="22"/>
                <w:rtl/>
              </w:rPr>
              <w:footnoteReference w:id="193"/>
            </w:r>
          </w:p>
        </w:tc>
        <w:tc>
          <w:tcPr>
            <w:tcW w:w="1417" w:type="dxa"/>
            <w:tcBorders>
              <w:top w:val="single" w:sz="24" w:space="0" w:color="auto"/>
              <w:bottom w:val="single" w:sz="24" w:space="0" w:color="auto"/>
            </w:tcBorders>
            <w:shd w:val="clear" w:color="auto" w:fill="BFBFBF" w:themeFill="background1" w:themeFillShade="BF"/>
          </w:tcPr>
          <w:p w:rsidR="009A1216" w:rsidRPr="007038FA" w:rsidRDefault="009A1216" w:rsidP="00604C3D">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b w:val="0"/>
                <w:i w:val="0"/>
                <w:iCs w:val="0"/>
                <w:sz w:val="22"/>
                <w:szCs w:val="22"/>
                <w:rtl/>
              </w:rPr>
            </w:pPr>
            <w:r w:rsidRPr="007038FA">
              <w:rPr>
                <w:rFonts w:hint="cs"/>
                <w:b w:val="0"/>
                <w:i w:val="0"/>
                <w:iCs w:val="0"/>
                <w:sz w:val="22"/>
                <w:szCs w:val="22"/>
                <w:rtl/>
              </w:rPr>
              <w:t>דין מקנה סמכות</w:t>
            </w:r>
          </w:p>
        </w:tc>
        <w:tc>
          <w:tcPr>
            <w:tcW w:w="1843" w:type="dxa"/>
            <w:tcBorders>
              <w:top w:val="single" w:sz="24" w:space="0" w:color="auto"/>
              <w:bottom w:val="single" w:sz="24" w:space="0" w:color="auto"/>
            </w:tcBorders>
            <w:shd w:val="clear" w:color="auto" w:fill="BFBFBF" w:themeFill="background1" w:themeFillShade="BF"/>
          </w:tcPr>
          <w:p w:rsidR="009A1216" w:rsidRPr="007038FA" w:rsidRDefault="009A1216" w:rsidP="00604C3D">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b w:val="0"/>
                <w:i w:val="0"/>
                <w:iCs w:val="0"/>
                <w:sz w:val="22"/>
                <w:szCs w:val="22"/>
                <w:rtl/>
              </w:rPr>
            </w:pPr>
            <w:r w:rsidRPr="007038FA">
              <w:rPr>
                <w:rFonts w:hint="cs"/>
                <w:b w:val="0"/>
                <w:i w:val="0"/>
                <w:iCs w:val="0"/>
                <w:sz w:val="22"/>
                <w:szCs w:val="22"/>
                <w:rtl/>
              </w:rPr>
              <w:t>דרך איסוף בפועל</w:t>
            </w:r>
          </w:p>
        </w:tc>
        <w:tc>
          <w:tcPr>
            <w:tcW w:w="2404" w:type="dxa"/>
            <w:tcBorders>
              <w:top w:val="single" w:sz="24" w:space="0" w:color="auto"/>
              <w:bottom w:val="single" w:sz="24" w:space="0" w:color="auto"/>
              <w:right w:val="single" w:sz="24" w:space="0" w:color="auto"/>
            </w:tcBorders>
            <w:shd w:val="clear" w:color="auto" w:fill="BFBFBF" w:themeFill="background1" w:themeFillShade="BF"/>
          </w:tcPr>
          <w:p w:rsidR="009A1216" w:rsidRPr="007038FA" w:rsidRDefault="009A1216" w:rsidP="00604C3D">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b w:val="0"/>
                <w:i w:val="0"/>
                <w:iCs w:val="0"/>
                <w:sz w:val="22"/>
                <w:szCs w:val="22"/>
                <w:rtl/>
              </w:rPr>
            </w:pPr>
            <w:r w:rsidRPr="007038FA">
              <w:rPr>
                <w:rFonts w:hint="cs"/>
                <w:b w:val="0"/>
                <w:i w:val="0"/>
                <w:iCs w:val="0"/>
                <w:sz w:val="22"/>
                <w:szCs w:val="22"/>
                <w:rtl/>
              </w:rPr>
              <w:t>הקושי העולה מאיסוף התוצר לגישת מבקר המדינה</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top w:val="single" w:sz="24" w:space="0" w:color="auto"/>
              <w:left w:val="single" w:sz="24" w:space="0" w:color="auto"/>
            </w:tcBorders>
          </w:tcPr>
          <w:p w:rsidR="009A1216" w:rsidRPr="007038FA" w:rsidRDefault="009A1216" w:rsidP="00604C3D">
            <w:pPr>
              <w:pStyle w:val="afe"/>
              <w:spacing w:line="269" w:lineRule="auto"/>
              <w:jc w:val="left"/>
              <w:rPr>
                <w:sz w:val="22"/>
                <w:szCs w:val="22"/>
                <w:rtl/>
              </w:rPr>
            </w:pPr>
            <w:r w:rsidRPr="007038FA">
              <w:rPr>
                <w:rFonts w:hint="cs"/>
                <w:sz w:val="22"/>
                <w:szCs w:val="22"/>
                <w:rtl/>
              </w:rPr>
              <w:t>א'</w:t>
            </w:r>
          </w:p>
        </w:tc>
        <w:tc>
          <w:tcPr>
            <w:tcW w:w="1985" w:type="dxa"/>
            <w:tcBorders>
              <w:top w:val="single" w:sz="24" w:space="0" w:color="auto"/>
            </w:tcBorders>
            <w:shd w:val="clear" w:color="auto" w:fill="E17487" w:themeFill="accent1" w:themeFillTint="99"/>
          </w:tcPr>
          <w:p w:rsidR="009A1216" w:rsidRPr="007038FA" w:rsidRDefault="00DA13E7"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אסור</w:t>
            </w:r>
          </w:p>
        </w:tc>
        <w:tc>
          <w:tcPr>
            <w:tcW w:w="1417" w:type="dxa"/>
            <w:tcBorders>
              <w:top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אין</w:t>
            </w:r>
          </w:p>
        </w:tc>
        <w:tc>
          <w:tcPr>
            <w:tcW w:w="1843" w:type="dxa"/>
            <w:tcBorders>
              <w:top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w:t>
            </w:r>
          </w:p>
        </w:tc>
        <w:tc>
          <w:tcPr>
            <w:tcW w:w="2404" w:type="dxa"/>
            <w:tcBorders>
              <w:top w:val="single" w:sz="24" w:space="0" w:color="auto"/>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נאסף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single" w:sz="24" w:space="0" w:color="auto"/>
            </w:tcBorders>
          </w:tcPr>
          <w:p w:rsidR="009A1216" w:rsidRPr="007038FA" w:rsidRDefault="009A1216" w:rsidP="00604C3D">
            <w:pPr>
              <w:pStyle w:val="afe"/>
              <w:spacing w:line="269" w:lineRule="auto"/>
              <w:jc w:val="left"/>
              <w:rPr>
                <w:sz w:val="22"/>
                <w:szCs w:val="22"/>
                <w:rtl/>
              </w:rPr>
            </w:pPr>
            <w:r w:rsidRPr="007038FA">
              <w:rPr>
                <w:rFonts w:hint="eastAsia"/>
                <w:i w:val="0"/>
                <w:iCs w:val="0"/>
                <w:sz w:val="22"/>
                <w:szCs w:val="22"/>
                <w:rtl/>
              </w:rPr>
              <w:t>פתקים</w:t>
            </w:r>
          </w:p>
        </w:tc>
        <w:tc>
          <w:tcPr>
            <w:tcW w:w="1985" w:type="dxa"/>
            <w:shd w:val="clear" w:color="auto" w:fill="E17487" w:themeFill="accent1" w:themeFillTint="99"/>
          </w:tcPr>
          <w:p w:rsidR="009A1216" w:rsidRPr="007038FA" w:rsidRDefault="00DA13E7"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אסור</w:t>
            </w:r>
          </w:p>
        </w:tc>
        <w:tc>
          <w:tcPr>
            <w:tcW w:w="1417" w:type="dxa"/>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אין</w:t>
            </w:r>
          </w:p>
        </w:tc>
        <w:tc>
          <w:tcPr>
            <w:tcW w:w="1843" w:type="dxa"/>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w:t>
            </w:r>
          </w:p>
        </w:tc>
        <w:tc>
          <w:tcPr>
            <w:tcW w:w="2404" w:type="dxa"/>
            <w:tcBorders>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נאסף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single" w:sz="24" w:space="0" w:color="auto"/>
              <w:bottom w:val="single" w:sz="4" w:space="0" w:color="auto"/>
            </w:tcBorders>
          </w:tcPr>
          <w:p w:rsidR="009A1216" w:rsidRPr="007038FA" w:rsidRDefault="009A1216" w:rsidP="00604C3D">
            <w:pPr>
              <w:pStyle w:val="afe"/>
              <w:spacing w:line="269" w:lineRule="auto"/>
              <w:jc w:val="left"/>
              <w:rPr>
                <w:sz w:val="22"/>
                <w:szCs w:val="22"/>
                <w:rtl/>
              </w:rPr>
            </w:pPr>
            <w:r w:rsidRPr="007038FA">
              <w:rPr>
                <w:rFonts w:hint="eastAsia"/>
                <w:i w:val="0"/>
                <w:iCs w:val="0"/>
                <w:sz w:val="22"/>
                <w:szCs w:val="22"/>
                <w:rtl/>
              </w:rPr>
              <w:t>פריטי</w:t>
            </w:r>
            <w:r w:rsidRPr="007038FA">
              <w:rPr>
                <w:i w:val="0"/>
                <w:iCs w:val="0"/>
                <w:sz w:val="22"/>
                <w:szCs w:val="22"/>
                <w:rtl/>
              </w:rPr>
              <w:t xml:space="preserve"> </w:t>
            </w:r>
            <w:r w:rsidRPr="007038FA">
              <w:rPr>
                <w:rFonts w:hint="eastAsia"/>
                <w:i w:val="0"/>
                <w:iCs w:val="0"/>
                <w:sz w:val="22"/>
                <w:szCs w:val="22"/>
                <w:rtl/>
              </w:rPr>
              <w:t>יומן</w:t>
            </w:r>
          </w:p>
        </w:tc>
        <w:tc>
          <w:tcPr>
            <w:tcW w:w="1985" w:type="dxa"/>
            <w:tcBorders>
              <w:bottom w:val="single" w:sz="4" w:space="0" w:color="auto"/>
            </w:tcBorders>
            <w:shd w:val="clear" w:color="auto" w:fill="E17487" w:themeFill="accent1" w:themeFillTint="99"/>
          </w:tcPr>
          <w:p w:rsidR="009A1216" w:rsidRPr="007038FA" w:rsidRDefault="00DA13E7"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אסור</w:t>
            </w:r>
          </w:p>
        </w:tc>
        <w:tc>
          <w:tcPr>
            <w:tcW w:w="1417" w:type="dxa"/>
            <w:tcBorders>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r w:rsidRPr="007038FA">
              <w:rPr>
                <w:i w:val="0"/>
                <w:iCs w:val="0"/>
                <w:sz w:val="22"/>
                <w:szCs w:val="22"/>
                <w:vertAlign w:val="superscript"/>
                <w:rtl/>
              </w:rPr>
              <w:footnoteReference w:id="194"/>
            </w:r>
          </w:p>
        </w:tc>
        <w:tc>
          <w:tcPr>
            <w:tcW w:w="1843" w:type="dxa"/>
            <w:tcBorders>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 + ה"ס</w:t>
            </w:r>
          </w:p>
        </w:tc>
        <w:tc>
          <w:tcPr>
            <w:tcW w:w="2404" w:type="dxa"/>
            <w:tcBorders>
              <w:bottom w:val="single" w:sz="4" w:space="0" w:color="auto"/>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sidRPr="007038FA">
              <w:rPr>
                <w:rFonts w:hint="cs"/>
                <w:b/>
                <w:bCs/>
                <w:i w:val="0"/>
                <w:iCs w:val="0"/>
                <w:sz w:val="22"/>
                <w:szCs w:val="22"/>
                <w:rtl/>
              </w:rPr>
              <w:t>נאסף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24" w:space="0" w:color="auto"/>
              <w:bottom w:val="single" w:sz="4" w:space="0" w:color="auto"/>
            </w:tcBorders>
          </w:tcPr>
          <w:p w:rsidR="009A1216" w:rsidRPr="007038FA" w:rsidRDefault="00F67B37" w:rsidP="00604C3D">
            <w:pPr>
              <w:pStyle w:val="afe"/>
              <w:spacing w:line="269" w:lineRule="auto"/>
              <w:jc w:val="left"/>
              <w:rPr>
                <w:sz w:val="22"/>
                <w:szCs w:val="22"/>
                <w:rtl/>
              </w:rPr>
            </w:pPr>
            <w:r w:rsidRPr="007038FA">
              <w:rPr>
                <w:rFonts w:hint="cs"/>
                <w:i w:val="0"/>
                <w:iCs w:val="0"/>
                <w:sz w:val="22"/>
                <w:szCs w:val="22"/>
                <w:rtl/>
              </w:rPr>
              <w:t>ב'</w:t>
            </w:r>
          </w:p>
        </w:tc>
        <w:tc>
          <w:tcPr>
            <w:tcW w:w="1985" w:type="dxa"/>
            <w:tcBorders>
              <w:top w:val="single" w:sz="4" w:space="0" w:color="auto"/>
              <w:bottom w:val="single" w:sz="4" w:space="0" w:color="auto"/>
            </w:tcBorders>
            <w:shd w:val="clear" w:color="auto" w:fill="E17487" w:themeFill="accent1" w:themeFillTint="99"/>
          </w:tcPr>
          <w:p w:rsidR="009A1216" w:rsidRPr="007038FA" w:rsidRDefault="00DA13E7"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אסור</w:t>
            </w:r>
          </w:p>
        </w:tc>
        <w:tc>
          <w:tcPr>
            <w:tcW w:w="1417" w:type="dxa"/>
            <w:tcBorders>
              <w:top w:val="single" w:sz="4" w:space="0" w:color="auto"/>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p>
        </w:tc>
        <w:tc>
          <w:tcPr>
            <w:tcW w:w="1843" w:type="dxa"/>
            <w:tcBorders>
              <w:top w:val="single" w:sz="4" w:space="0" w:color="auto"/>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 ה"ס</w:t>
            </w:r>
          </w:p>
        </w:tc>
        <w:tc>
          <w:tcPr>
            <w:tcW w:w="2404" w:type="dxa"/>
            <w:tcBorders>
              <w:top w:val="single" w:sz="4" w:space="0" w:color="auto"/>
              <w:bottom w:val="single" w:sz="4" w:space="0" w:color="auto"/>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אפשר לאסוף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24" w:space="0" w:color="auto"/>
              <w:bottom w:val="single" w:sz="4" w:space="0" w:color="auto"/>
            </w:tcBorders>
          </w:tcPr>
          <w:p w:rsidR="009A1216" w:rsidRPr="007038FA" w:rsidRDefault="00F67B37" w:rsidP="00604C3D">
            <w:pPr>
              <w:pStyle w:val="afe"/>
              <w:spacing w:line="269" w:lineRule="auto"/>
              <w:jc w:val="left"/>
              <w:rPr>
                <w:sz w:val="22"/>
                <w:szCs w:val="22"/>
                <w:rtl/>
              </w:rPr>
            </w:pPr>
            <w:r w:rsidRPr="007038FA">
              <w:rPr>
                <w:rFonts w:hint="cs"/>
                <w:sz w:val="22"/>
                <w:szCs w:val="22"/>
                <w:rtl/>
              </w:rPr>
              <w:t>ג'</w:t>
            </w:r>
          </w:p>
        </w:tc>
        <w:tc>
          <w:tcPr>
            <w:tcW w:w="1985" w:type="dxa"/>
            <w:tcBorders>
              <w:top w:val="single" w:sz="4" w:space="0" w:color="auto"/>
              <w:bottom w:val="single" w:sz="4" w:space="0" w:color="auto"/>
            </w:tcBorders>
            <w:shd w:val="clear" w:color="auto" w:fill="EBBF7D" w:themeFill="accent2" w:themeFillTint="99"/>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i w:val="0"/>
                <w:iCs w:val="0"/>
                <w:sz w:val="22"/>
                <w:szCs w:val="22"/>
                <w:rtl/>
              </w:rPr>
            </w:pPr>
            <w:r w:rsidRPr="007038FA">
              <w:rPr>
                <w:rFonts w:hint="eastAsia"/>
                <w:b/>
                <w:bCs/>
                <w:i w:val="0"/>
                <w:iCs w:val="0"/>
                <w:sz w:val="22"/>
                <w:szCs w:val="22"/>
                <w:rtl/>
              </w:rPr>
              <w:t>יש</w:t>
            </w:r>
            <w:r w:rsidRPr="007038FA">
              <w:rPr>
                <w:b/>
                <w:bCs/>
                <w:i w:val="0"/>
                <w:iCs w:val="0"/>
                <w:sz w:val="22"/>
                <w:szCs w:val="22"/>
                <w:rtl/>
              </w:rPr>
              <w:t xml:space="preserve"> </w:t>
            </w:r>
            <w:r w:rsidRPr="007038FA">
              <w:rPr>
                <w:rFonts w:hint="eastAsia"/>
                <w:b/>
                <w:bCs/>
                <w:i w:val="0"/>
                <w:iCs w:val="0"/>
                <w:sz w:val="22"/>
                <w:szCs w:val="22"/>
                <w:rtl/>
              </w:rPr>
              <w:t>סמכות</w:t>
            </w:r>
            <w:r w:rsidRPr="007038FA">
              <w:rPr>
                <w:b/>
                <w:bCs/>
                <w:i w:val="0"/>
                <w:iCs w:val="0"/>
                <w:sz w:val="22"/>
                <w:szCs w:val="22"/>
                <w:rtl/>
              </w:rPr>
              <w:t xml:space="preserve"> </w:t>
            </w:r>
            <w:r w:rsidRPr="007038FA">
              <w:rPr>
                <w:rFonts w:hint="eastAsia"/>
                <w:b/>
                <w:bCs/>
                <w:i w:val="0"/>
                <w:iCs w:val="0"/>
                <w:sz w:val="22"/>
                <w:szCs w:val="22"/>
                <w:rtl/>
              </w:rPr>
              <w:t>חלקית</w:t>
            </w:r>
            <w:r w:rsidRPr="007038FA">
              <w:rPr>
                <w:b/>
                <w:bCs/>
                <w:i w:val="0"/>
                <w:iCs w:val="0"/>
                <w:sz w:val="22"/>
                <w:szCs w:val="22"/>
                <w:rtl/>
              </w:rPr>
              <w:t xml:space="preserve"> </w:t>
            </w:r>
            <w:r w:rsidRPr="007038FA">
              <w:rPr>
                <w:rFonts w:hint="eastAsia"/>
                <w:b/>
                <w:bCs/>
                <w:i w:val="0"/>
                <w:iCs w:val="0"/>
                <w:sz w:val="22"/>
                <w:szCs w:val="22"/>
                <w:rtl/>
              </w:rPr>
              <w:t>בהתאם</w:t>
            </w:r>
            <w:r w:rsidRPr="007038FA">
              <w:rPr>
                <w:b/>
                <w:bCs/>
                <w:i w:val="0"/>
                <w:iCs w:val="0"/>
                <w:sz w:val="22"/>
                <w:szCs w:val="22"/>
                <w:rtl/>
              </w:rPr>
              <w:t xml:space="preserve"> </w:t>
            </w:r>
            <w:r w:rsidRPr="007038FA">
              <w:rPr>
                <w:rFonts w:hint="eastAsia"/>
                <w:b/>
                <w:bCs/>
                <w:i w:val="0"/>
                <w:iCs w:val="0"/>
                <w:sz w:val="22"/>
                <w:szCs w:val="22"/>
                <w:rtl/>
              </w:rPr>
              <w:t>ל</w:t>
            </w:r>
            <w:r w:rsidRPr="007038FA">
              <w:rPr>
                <w:rFonts w:hint="cs"/>
                <w:b/>
                <w:bCs/>
                <w:i w:val="0"/>
                <w:iCs w:val="0"/>
                <w:sz w:val="22"/>
                <w:szCs w:val="22"/>
                <w:rtl/>
              </w:rPr>
              <w:t>דרך</w:t>
            </w:r>
            <w:r w:rsidRPr="007038FA">
              <w:rPr>
                <w:b/>
                <w:bCs/>
                <w:i w:val="0"/>
                <w:iCs w:val="0"/>
                <w:sz w:val="22"/>
                <w:szCs w:val="22"/>
                <w:rtl/>
              </w:rPr>
              <w:t xml:space="preserve"> איסוף התוצר</w:t>
            </w:r>
            <w:r w:rsidRPr="007038FA">
              <w:rPr>
                <w:rFonts w:hint="cs"/>
                <w:b/>
                <w:bCs/>
                <w:i w:val="0"/>
                <w:iCs w:val="0"/>
                <w:sz w:val="22"/>
                <w:szCs w:val="22"/>
                <w:rtl/>
              </w:rPr>
              <w:t xml:space="preserve"> בפועל</w:t>
            </w:r>
            <w:r w:rsidRPr="007038FA">
              <w:rPr>
                <w:rStyle w:val="af"/>
                <w:b/>
                <w:bCs/>
                <w:i w:val="0"/>
                <w:iCs w:val="0"/>
                <w:sz w:val="22"/>
                <w:szCs w:val="22"/>
                <w:rtl/>
              </w:rPr>
              <w:footnoteReference w:id="195"/>
            </w:r>
          </w:p>
        </w:tc>
        <w:tc>
          <w:tcPr>
            <w:tcW w:w="1417" w:type="dxa"/>
            <w:tcBorders>
              <w:top w:val="single" w:sz="4" w:space="0" w:color="auto"/>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 xml:space="preserve">אין </w:t>
            </w:r>
          </w:p>
        </w:tc>
        <w:tc>
          <w:tcPr>
            <w:tcW w:w="1843" w:type="dxa"/>
            <w:tcBorders>
              <w:top w:val="single" w:sz="4" w:space="0" w:color="auto"/>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w:t>
            </w:r>
          </w:p>
        </w:tc>
        <w:tc>
          <w:tcPr>
            <w:tcW w:w="2404" w:type="dxa"/>
            <w:tcBorders>
              <w:top w:val="single" w:sz="4" w:space="0" w:color="auto"/>
              <w:bottom w:val="single" w:sz="4" w:space="0" w:color="auto"/>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 xml:space="preserve"> נאסף בחיפוש סמוי ובמתווה </w:t>
            </w:r>
            <w:r w:rsidR="00FE3FAD" w:rsidRPr="007038FA">
              <w:rPr>
                <w:rFonts w:hint="cs"/>
                <w:b/>
                <w:bCs/>
                <w:i w:val="0"/>
                <w:iCs w:val="0"/>
                <w:sz w:val="22"/>
                <w:szCs w:val="22"/>
                <w:rtl/>
              </w:rPr>
              <w:t>התקנה</w:t>
            </w:r>
            <w:r w:rsidRPr="007038FA">
              <w:rPr>
                <w:rFonts w:hint="cs"/>
                <w:b/>
                <w:bCs/>
                <w:i w:val="0"/>
                <w:iCs w:val="0"/>
                <w:sz w:val="22"/>
                <w:szCs w:val="22"/>
                <w:rtl/>
              </w:rPr>
              <w:t xml:space="preserve"> 7</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24" w:space="0" w:color="auto"/>
              <w:bottom w:val="single" w:sz="4" w:space="0" w:color="auto"/>
            </w:tcBorders>
          </w:tcPr>
          <w:p w:rsidR="009A1216" w:rsidRPr="007038FA" w:rsidRDefault="00F67B37" w:rsidP="00604C3D">
            <w:pPr>
              <w:pStyle w:val="afe"/>
              <w:spacing w:line="269" w:lineRule="auto"/>
              <w:jc w:val="left"/>
              <w:rPr>
                <w:sz w:val="22"/>
                <w:szCs w:val="22"/>
                <w:rtl/>
              </w:rPr>
            </w:pPr>
            <w:r w:rsidRPr="007038FA">
              <w:rPr>
                <w:rFonts w:hint="cs"/>
                <w:sz w:val="22"/>
                <w:szCs w:val="22"/>
                <w:rtl/>
              </w:rPr>
              <w:t>ד'</w:t>
            </w:r>
          </w:p>
        </w:tc>
        <w:tc>
          <w:tcPr>
            <w:tcW w:w="1985" w:type="dxa"/>
            <w:tcBorders>
              <w:top w:val="single" w:sz="4" w:space="0" w:color="auto"/>
              <w:bottom w:val="single" w:sz="4" w:space="0" w:color="auto"/>
            </w:tcBorders>
            <w:shd w:val="clear" w:color="auto" w:fill="EBBF7D" w:themeFill="accent2" w:themeFillTint="99"/>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b/>
                <w:bCs/>
                <w:i w:val="0"/>
                <w:iCs w:val="0"/>
                <w:sz w:val="22"/>
                <w:szCs w:val="22"/>
                <w:rtl/>
              </w:rPr>
              <w:t>יש</w:t>
            </w:r>
            <w:r w:rsidRPr="007038FA">
              <w:rPr>
                <w:b/>
                <w:bCs/>
                <w:i w:val="0"/>
                <w:iCs w:val="0"/>
                <w:sz w:val="22"/>
                <w:szCs w:val="22"/>
                <w:rtl/>
              </w:rPr>
              <w:t xml:space="preserve"> </w:t>
            </w:r>
            <w:r w:rsidRPr="007038FA">
              <w:rPr>
                <w:rFonts w:hint="eastAsia"/>
                <w:b/>
                <w:bCs/>
                <w:i w:val="0"/>
                <w:iCs w:val="0"/>
                <w:sz w:val="22"/>
                <w:szCs w:val="22"/>
                <w:rtl/>
              </w:rPr>
              <w:t>סמכות</w:t>
            </w:r>
            <w:r w:rsidRPr="007038FA">
              <w:rPr>
                <w:b/>
                <w:bCs/>
                <w:i w:val="0"/>
                <w:iCs w:val="0"/>
                <w:sz w:val="22"/>
                <w:szCs w:val="22"/>
                <w:rtl/>
              </w:rPr>
              <w:t xml:space="preserve"> </w:t>
            </w:r>
            <w:r w:rsidRPr="007038FA">
              <w:rPr>
                <w:rFonts w:hint="eastAsia"/>
                <w:b/>
                <w:bCs/>
                <w:i w:val="0"/>
                <w:iCs w:val="0"/>
                <w:sz w:val="22"/>
                <w:szCs w:val="22"/>
                <w:rtl/>
              </w:rPr>
              <w:t>רק</w:t>
            </w:r>
            <w:r w:rsidRPr="007038FA">
              <w:rPr>
                <w:b/>
                <w:bCs/>
                <w:i w:val="0"/>
                <w:iCs w:val="0"/>
                <w:sz w:val="22"/>
                <w:szCs w:val="22"/>
                <w:rtl/>
              </w:rPr>
              <w:t xml:space="preserve"> </w:t>
            </w:r>
            <w:r w:rsidRPr="007038FA">
              <w:rPr>
                <w:rFonts w:hint="eastAsia"/>
                <w:b/>
                <w:bCs/>
                <w:i w:val="0"/>
                <w:iCs w:val="0"/>
                <w:sz w:val="22"/>
                <w:szCs w:val="22"/>
                <w:rtl/>
              </w:rPr>
              <w:t>בנוגע</w:t>
            </w:r>
            <w:r w:rsidRPr="007038FA">
              <w:rPr>
                <w:b/>
                <w:bCs/>
                <w:i w:val="0"/>
                <w:iCs w:val="0"/>
                <w:sz w:val="22"/>
                <w:szCs w:val="22"/>
                <w:rtl/>
              </w:rPr>
              <w:t xml:space="preserve"> </w:t>
            </w:r>
            <w:r w:rsidRPr="007038FA">
              <w:rPr>
                <w:rFonts w:hint="eastAsia"/>
                <w:b/>
                <w:bCs/>
                <w:i w:val="0"/>
                <w:iCs w:val="0"/>
                <w:sz w:val="22"/>
                <w:szCs w:val="22"/>
                <w:rtl/>
              </w:rPr>
              <w:t>לחלק</w:t>
            </w:r>
            <w:r w:rsidRPr="007038FA">
              <w:rPr>
                <w:b/>
                <w:bCs/>
                <w:i w:val="0"/>
                <w:iCs w:val="0"/>
                <w:sz w:val="22"/>
                <w:szCs w:val="22"/>
                <w:rtl/>
              </w:rPr>
              <w:t xml:space="preserve"> </w:t>
            </w:r>
            <w:r w:rsidRPr="007038FA">
              <w:rPr>
                <w:rFonts w:hint="eastAsia"/>
                <w:b/>
                <w:bCs/>
                <w:i w:val="0"/>
                <w:iCs w:val="0"/>
                <w:sz w:val="22"/>
                <w:szCs w:val="22"/>
                <w:rtl/>
              </w:rPr>
              <w:t>מהנתונים</w:t>
            </w:r>
          </w:p>
        </w:tc>
        <w:tc>
          <w:tcPr>
            <w:tcW w:w="1417" w:type="dxa"/>
            <w:tcBorders>
              <w:top w:val="single" w:sz="4" w:space="0" w:color="auto"/>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p>
        </w:tc>
        <w:tc>
          <w:tcPr>
            <w:tcW w:w="1843" w:type="dxa"/>
            <w:tcBorders>
              <w:top w:val="single" w:sz="4" w:space="0" w:color="auto"/>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 +</w:t>
            </w:r>
            <w:r w:rsidRPr="007038FA">
              <w:rPr>
                <w:rFonts w:hint="cs"/>
                <w:i w:val="0"/>
                <w:iCs w:val="0"/>
                <w:sz w:val="22"/>
                <w:szCs w:val="22"/>
              </w:rPr>
              <w:t xml:space="preserve"> </w:t>
            </w:r>
            <w:r w:rsidRPr="007038FA">
              <w:rPr>
                <w:rFonts w:hint="cs"/>
                <w:i w:val="0"/>
                <w:iCs w:val="0"/>
                <w:sz w:val="22"/>
                <w:szCs w:val="22"/>
                <w:rtl/>
              </w:rPr>
              <w:t>ה"ס</w:t>
            </w:r>
          </w:p>
        </w:tc>
        <w:tc>
          <w:tcPr>
            <w:tcW w:w="2404" w:type="dxa"/>
            <w:tcBorders>
              <w:top w:val="single" w:sz="4" w:space="0" w:color="auto"/>
              <w:bottom w:val="single" w:sz="4" w:space="0" w:color="auto"/>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נאסף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24" w:space="0" w:color="auto"/>
            </w:tcBorders>
          </w:tcPr>
          <w:p w:rsidR="009A1216" w:rsidRPr="007038FA" w:rsidRDefault="00F67B37" w:rsidP="00604C3D">
            <w:pPr>
              <w:pStyle w:val="afe"/>
              <w:spacing w:line="269" w:lineRule="auto"/>
              <w:jc w:val="left"/>
              <w:rPr>
                <w:sz w:val="22"/>
                <w:szCs w:val="22"/>
                <w:rtl/>
              </w:rPr>
            </w:pPr>
            <w:r w:rsidRPr="007038FA">
              <w:rPr>
                <w:rFonts w:hint="cs"/>
                <w:i w:val="0"/>
                <w:iCs w:val="0"/>
                <w:sz w:val="22"/>
                <w:szCs w:val="22"/>
                <w:rtl/>
              </w:rPr>
              <w:t>ה'</w:t>
            </w:r>
          </w:p>
        </w:tc>
        <w:tc>
          <w:tcPr>
            <w:tcW w:w="1985" w:type="dxa"/>
            <w:tcBorders>
              <w:top w:val="single" w:sz="4" w:space="0" w:color="auto"/>
            </w:tcBorders>
            <w:shd w:val="clear" w:color="auto" w:fill="DDDB87" w:themeFill="accent3" w:themeFillTint="99"/>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b/>
                <w:bCs/>
                <w:i w:val="0"/>
                <w:iCs w:val="0"/>
                <w:sz w:val="22"/>
                <w:szCs w:val="22"/>
                <w:rtl/>
              </w:rPr>
              <w:t>יש</w:t>
            </w:r>
            <w:r w:rsidRPr="007038FA">
              <w:rPr>
                <w:b/>
                <w:bCs/>
                <w:i w:val="0"/>
                <w:iCs w:val="0"/>
                <w:sz w:val="22"/>
                <w:szCs w:val="22"/>
                <w:rtl/>
              </w:rPr>
              <w:t xml:space="preserve"> </w:t>
            </w:r>
            <w:r w:rsidRPr="007038FA">
              <w:rPr>
                <w:rFonts w:hint="eastAsia"/>
                <w:b/>
                <w:bCs/>
                <w:i w:val="0"/>
                <w:iCs w:val="0"/>
                <w:sz w:val="22"/>
                <w:szCs w:val="22"/>
                <w:rtl/>
              </w:rPr>
              <w:t>סמכות</w:t>
            </w:r>
            <w:r w:rsidRPr="007038FA">
              <w:rPr>
                <w:b/>
                <w:bCs/>
                <w:i w:val="0"/>
                <w:iCs w:val="0"/>
                <w:sz w:val="22"/>
                <w:szCs w:val="22"/>
                <w:rtl/>
              </w:rPr>
              <w:t xml:space="preserve"> </w:t>
            </w:r>
            <w:r w:rsidRPr="007038FA">
              <w:rPr>
                <w:rFonts w:hint="eastAsia"/>
                <w:b/>
                <w:bCs/>
                <w:i w:val="0"/>
                <w:iCs w:val="0"/>
                <w:sz w:val="22"/>
                <w:szCs w:val="22"/>
                <w:rtl/>
              </w:rPr>
              <w:t>לשם</w:t>
            </w:r>
            <w:r w:rsidRPr="007038FA">
              <w:rPr>
                <w:b/>
                <w:bCs/>
                <w:i w:val="0"/>
                <w:iCs w:val="0"/>
                <w:sz w:val="22"/>
                <w:szCs w:val="22"/>
                <w:rtl/>
              </w:rPr>
              <w:t xml:space="preserve"> </w:t>
            </w:r>
            <w:r w:rsidRPr="007038FA">
              <w:rPr>
                <w:rFonts w:hint="eastAsia"/>
                <w:b/>
                <w:bCs/>
                <w:i w:val="0"/>
                <w:iCs w:val="0"/>
                <w:sz w:val="22"/>
                <w:szCs w:val="22"/>
                <w:rtl/>
              </w:rPr>
              <w:t>התקנת</w:t>
            </w:r>
            <w:r w:rsidRPr="007038FA">
              <w:rPr>
                <w:b/>
                <w:bCs/>
                <w:i w:val="0"/>
                <w:iCs w:val="0"/>
                <w:sz w:val="22"/>
                <w:szCs w:val="22"/>
                <w:rtl/>
              </w:rPr>
              <w:t xml:space="preserve"> </w:t>
            </w:r>
            <w:r w:rsidRPr="007038FA">
              <w:rPr>
                <w:rFonts w:hint="eastAsia"/>
                <w:b/>
                <w:bCs/>
                <w:i w:val="0"/>
                <w:iCs w:val="0"/>
                <w:sz w:val="22"/>
                <w:szCs w:val="22"/>
                <w:rtl/>
              </w:rPr>
              <w:t>הכלי</w:t>
            </w:r>
          </w:p>
        </w:tc>
        <w:tc>
          <w:tcPr>
            <w:tcW w:w="1417" w:type="dxa"/>
            <w:tcBorders>
              <w:top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p>
        </w:tc>
        <w:tc>
          <w:tcPr>
            <w:tcW w:w="1843" w:type="dxa"/>
            <w:tcBorders>
              <w:top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w:t>
            </w:r>
          </w:p>
        </w:tc>
        <w:tc>
          <w:tcPr>
            <w:tcW w:w="2404" w:type="dxa"/>
            <w:tcBorders>
              <w:top w:val="single" w:sz="4" w:space="0" w:color="auto"/>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i w:val="0"/>
                <w:iCs w:val="0"/>
                <w:sz w:val="22"/>
                <w:szCs w:val="22"/>
                <w:rtl/>
              </w:rPr>
            </w:pPr>
            <w:r w:rsidRPr="007038FA">
              <w:rPr>
                <w:rFonts w:hint="cs"/>
                <w:b/>
                <w:bCs/>
                <w:i w:val="0"/>
                <w:iCs w:val="0"/>
                <w:sz w:val="22"/>
                <w:szCs w:val="22"/>
                <w:rtl/>
              </w:rPr>
              <w:t>נאסף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single" w:sz="24" w:space="0" w:color="auto"/>
            </w:tcBorders>
          </w:tcPr>
          <w:p w:rsidR="009A1216" w:rsidRPr="007038FA" w:rsidRDefault="00F90489" w:rsidP="00604C3D">
            <w:pPr>
              <w:pStyle w:val="afe"/>
              <w:spacing w:line="269" w:lineRule="auto"/>
              <w:jc w:val="left"/>
              <w:rPr>
                <w:sz w:val="22"/>
                <w:szCs w:val="22"/>
                <w:rtl/>
              </w:rPr>
            </w:pPr>
            <w:r w:rsidRPr="007038FA">
              <w:rPr>
                <w:rFonts w:hint="cs"/>
                <w:sz w:val="22"/>
                <w:szCs w:val="22"/>
                <w:rtl/>
              </w:rPr>
              <w:t>ו'</w:t>
            </w:r>
          </w:p>
        </w:tc>
        <w:tc>
          <w:tcPr>
            <w:tcW w:w="1985" w:type="dxa"/>
            <w:shd w:val="clear" w:color="auto" w:fill="DDDB87" w:themeFill="accent3" w:themeFillTint="99"/>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b/>
                <w:bCs/>
                <w:i w:val="0"/>
                <w:iCs w:val="0"/>
                <w:sz w:val="22"/>
                <w:szCs w:val="22"/>
                <w:rtl/>
              </w:rPr>
              <w:t>יש</w:t>
            </w:r>
            <w:r w:rsidRPr="007038FA">
              <w:rPr>
                <w:b/>
                <w:bCs/>
                <w:i w:val="0"/>
                <w:iCs w:val="0"/>
                <w:sz w:val="22"/>
                <w:szCs w:val="22"/>
                <w:rtl/>
              </w:rPr>
              <w:t xml:space="preserve"> </w:t>
            </w:r>
            <w:r w:rsidRPr="007038FA">
              <w:rPr>
                <w:rFonts w:hint="eastAsia"/>
                <w:b/>
                <w:bCs/>
                <w:i w:val="0"/>
                <w:iCs w:val="0"/>
                <w:sz w:val="22"/>
                <w:szCs w:val="22"/>
                <w:rtl/>
              </w:rPr>
              <w:t>סמכות</w:t>
            </w:r>
            <w:r w:rsidRPr="007038FA">
              <w:rPr>
                <w:b/>
                <w:bCs/>
                <w:i w:val="0"/>
                <w:iCs w:val="0"/>
                <w:sz w:val="22"/>
                <w:szCs w:val="22"/>
                <w:rtl/>
              </w:rPr>
              <w:t xml:space="preserve"> </w:t>
            </w:r>
            <w:r w:rsidRPr="007038FA">
              <w:rPr>
                <w:rFonts w:hint="eastAsia"/>
                <w:b/>
                <w:bCs/>
                <w:i w:val="0"/>
                <w:iCs w:val="0"/>
                <w:sz w:val="22"/>
                <w:szCs w:val="22"/>
                <w:rtl/>
              </w:rPr>
              <w:t>לשם</w:t>
            </w:r>
            <w:r w:rsidRPr="007038FA">
              <w:rPr>
                <w:b/>
                <w:bCs/>
                <w:i w:val="0"/>
                <w:iCs w:val="0"/>
                <w:sz w:val="22"/>
                <w:szCs w:val="22"/>
                <w:rtl/>
              </w:rPr>
              <w:t xml:space="preserve"> </w:t>
            </w:r>
            <w:r w:rsidRPr="007038FA">
              <w:rPr>
                <w:rFonts w:hint="eastAsia"/>
                <w:b/>
                <w:bCs/>
                <w:i w:val="0"/>
                <w:iCs w:val="0"/>
                <w:sz w:val="22"/>
                <w:szCs w:val="22"/>
                <w:rtl/>
              </w:rPr>
              <w:t>התקנת</w:t>
            </w:r>
            <w:r w:rsidRPr="007038FA">
              <w:rPr>
                <w:b/>
                <w:bCs/>
                <w:i w:val="0"/>
                <w:iCs w:val="0"/>
                <w:sz w:val="22"/>
                <w:szCs w:val="22"/>
                <w:rtl/>
              </w:rPr>
              <w:t xml:space="preserve"> </w:t>
            </w:r>
            <w:r w:rsidRPr="007038FA">
              <w:rPr>
                <w:rFonts w:hint="eastAsia"/>
                <w:b/>
                <w:bCs/>
                <w:i w:val="0"/>
                <w:iCs w:val="0"/>
                <w:sz w:val="22"/>
                <w:szCs w:val="22"/>
                <w:rtl/>
              </w:rPr>
              <w:t>הכלי</w:t>
            </w:r>
          </w:p>
        </w:tc>
        <w:tc>
          <w:tcPr>
            <w:tcW w:w="1417" w:type="dxa"/>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p>
        </w:tc>
        <w:tc>
          <w:tcPr>
            <w:tcW w:w="1843" w:type="dxa"/>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w:t>
            </w:r>
          </w:p>
        </w:tc>
        <w:tc>
          <w:tcPr>
            <w:tcW w:w="2404" w:type="dxa"/>
            <w:tcBorders>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i w:val="0"/>
                <w:iCs w:val="0"/>
                <w:sz w:val="22"/>
                <w:szCs w:val="22"/>
                <w:rtl/>
              </w:rPr>
            </w:pPr>
            <w:r w:rsidRPr="007038FA">
              <w:rPr>
                <w:rFonts w:hint="cs"/>
                <w:b/>
                <w:bCs/>
                <w:i w:val="0"/>
                <w:iCs w:val="0"/>
                <w:sz w:val="22"/>
                <w:szCs w:val="22"/>
                <w:rtl/>
              </w:rPr>
              <w:t>נאסף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single" w:sz="24" w:space="0" w:color="auto"/>
              <w:bottom w:val="single" w:sz="4" w:space="0" w:color="auto"/>
            </w:tcBorders>
          </w:tcPr>
          <w:p w:rsidR="009A1216" w:rsidRPr="007038FA" w:rsidRDefault="00F67B37" w:rsidP="00604C3D">
            <w:pPr>
              <w:pStyle w:val="afe"/>
              <w:spacing w:line="269" w:lineRule="auto"/>
              <w:jc w:val="left"/>
              <w:rPr>
                <w:sz w:val="22"/>
                <w:szCs w:val="22"/>
                <w:rtl/>
              </w:rPr>
            </w:pPr>
            <w:r w:rsidRPr="007038FA">
              <w:rPr>
                <w:rFonts w:hint="cs"/>
                <w:sz w:val="22"/>
                <w:szCs w:val="22"/>
                <w:rtl/>
              </w:rPr>
              <w:t>ז'</w:t>
            </w:r>
          </w:p>
        </w:tc>
        <w:tc>
          <w:tcPr>
            <w:tcW w:w="1985" w:type="dxa"/>
            <w:tcBorders>
              <w:bottom w:val="single" w:sz="4" w:space="0" w:color="auto"/>
            </w:tcBorders>
            <w:shd w:val="clear" w:color="auto" w:fill="DDDB87" w:themeFill="accent3" w:themeFillTint="99"/>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b/>
                <w:bCs/>
                <w:i w:val="0"/>
                <w:iCs w:val="0"/>
                <w:sz w:val="22"/>
                <w:szCs w:val="22"/>
                <w:rtl/>
              </w:rPr>
              <w:t>יש</w:t>
            </w:r>
            <w:r w:rsidRPr="007038FA">
              <w:rPr>
                <w:b/>
                <w:bCs/>
                <w:i w:val="0"/>
                <w:iCs w:val="0"/>
                <w:sz w:val="22"/>
                <w:szCs w:val="22"/>
                <w:rtl/>
              </w:rPr>
              <w:t xml:space="preserve"> </w:t>
            </w:r>
            <w:r w:rsidRPr="007038FA">
              <w:rPr>
                <w:rFonts w:hint="eastAsia"/>
                <w:b/>
                <w:bCs/>
                <w:i w:val="0"/>
                <w:iCs w:val="0"/>
                <w:sz w:val="22"/>
                <w:szCs w:val="22"/>
                <w:rtl/>
              </w:rPr>
              <w:t>סמכות</w:t>
            </w:r>
            <w:r w:rsidRPr="007038FA">
              <w:rPr>
                <w:rStyle w:val="af"/>
                <w:b/>
                <w:bCs/>
                <w:i w:val="0"/>
                <w:iCs w:val="0"/>
                <w:sz w:val="22"/>
                <w:szCs w:val="22"/>
                <w:rtl/>
              </w:rPr>
              <w:footnoteReference w:id="196"/>
            </w:r>
          </w:p>
        </w:tc>
        <w:tc>
          <w:tcPr>
            <w:tcW w:w="1417" w:type="dxa"/>
            <w:tcBorders>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p>
        </w:tc>
        <w:tc>
          <w:tcPr>
            <w:tcW w:w="1843" w:type="dxa"/>
            <w:tcBorders>
              <w:bottom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 + ה"ס</w:t>
            </w:r>
          </w:p>
        </w:tc>
        <w:tc>
          <w:tcPr>
            <w:tcW w:w="2404" w:type="dxa"/>
            <w:tcBorders>
              <w:bottom w:val="single" w:sz="4" w:space="0" w:color="auto"/>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i w:val="0"/>
                <w:iCs w:val="0"/>
                <w:sz w:val="22"/>
                <w:szCs w:val="22"/>
                <w:rtl/>
              </w:rPr>
            </w:pPr>
            <w:r w:rsidRPr="007038FA">
              <w:rPr>
                <w:rFonts w:hint="cs"/>
                <w:b/>
                <w:bCs/>
                <w:i w:val="0"/>
                <w:iCs w:val="0"/>
                <w:sz w:val="22"/>
                <w:szCs w:val="22"/>
                <w:rtl/>
              </w:rPr>
              <w:t>נאסף בחיפוש סמוי</w:t>
            </w:r>
            <w:r w:rsidRPr="007038FA">
              <w:rPr>
                <w:rStyle w:val="afb"/>
                <w:b/>
                <w:bCs/>
                <w:i w:val="0"/>
                <w:iCs w:val="0"/>
                <w:sz w:val="22"/>
                <w:szCs w:val="22"/>
                <w:rtl/>
              </w:rPr>
              <w:t xml:space="preserve"> </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24" w:space="0" w:color="auto"/>
            </w:tcBorders>
          </w:tcPr>
          <w:p w:rsidR="009A1216" w:rsidRPr="007038FA" w:rsidRDefault="00F67B37" w:rsidP="00604C3D">
            <w:pPr>
              <w:pStyle w:val="afe"/>
              <w:spacing w:line="269" w:lineRule="auto"/>
              <w:jc w:val="left"/>
              <w:rPr>
                <w:sz w:val="22"/>
                <w:szCs w:val="22"/>
                <w:rtl/>
              </w:rPr>
            </w:pPr>
            <w:r w:rsidRPr="007038FA">
              <w:rPr>
                <w:rFonts w:hint="cs"/>
                <w:sz w:val="22"/>
                <w:szCs w:val="22"/>
                <w:rtl/>
              </w:rPr>
              <w:t>ח'</w:t>
            </w:r>
          </w:p>
        </w:tc>
        <w:tc>
          <w:tcPr>
            <w:tcW w:w="1985" w:type="dxa"/>
            <w:tcBorders>
              <w:top w:val="single" w:sz="4" w:space="0" w:color="auto"/>
            </w:tcBorders>
            <w:shd w:val="clear" w:color="auto" w:fill="DDDB87" w:themeFill="accent3" w:themeFillTint="99"/>
          </w:tcPr>
          <w:p w:rsidR="009A1216" w:rsidRPr="007038FA" w:rsidRDefault="00DA13E7"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מותר</w:t>
            </w:r>
            <w:r w:rsidR="009A1216" w:rsidRPr="007038FA">
              <w:rPr>
                <w:rStyle w:val="af"/>
                <w:b/>
                <w:bCs/>
                <w:i w:val="0"/>
                <w:iCs w:val="0"/>
                <w:sz w:val="22"/>
                <w:szCs w:val="22"/>
                <w:rtl/>
              </w:rPr>
              <w:footnoteReference w:id="197"/>
            </w:r>
          </w:p>
        </w:tc>
        <w:tc>
          <w:tcPr>
            <w:tcW w:w="1417" w:type="dxa"/>
            <w:tcBorders>
              <w:top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 xml:space="preserve">ה"ס </w:t>
            </w:r>
          </w:p>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באופן חלקי</w:t>
            </w:r>
          </w:p>
        </w:tc>
        <w:tc>
          <w:tcPr>
            <w:tcW w:w="1843" w:type="dxa"/>
            <w:tcBorders>
              <w:top w:val="single" w:sz="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 + ה"ס</w:t>
            </w:r>
          </w:p>
        </w:tc>
        <w:tc>
          <w:tcPr>
            <w:tcW w:w="2404" w:type="dxa"/>
            <w:tcBorders>
              <w:top w:val="single" w:sz="4" w:space="0" w:color="auto"/>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אפשר לאסוף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single" w:sz="24" w:space="0" w:color="auto"/>
            </w:tcBorders>
          </w:tcPr>
          <w:p w:rsidR="009A1216" w:rsidRPr="007038FA" w:rsidRDefault="009A1216" w:rsidP="00604C3D">
            <w:pPr>
              <w:pStyle w:val="afe"/>
              <w:spacing w:line="269" w:lineRule="auto"/>
              <w:jc w:val="left"/>
              <w:rPr>
                <w:sz w:val="22"/>
                <w:szCs w:val="22"/>
                <w:rtl/>
              </w:rPr>
            </w:pPr>
            <w:r w:rsidRPr="007038FA">
              <w:rPr>
                <w:rFonts w:hint="eastAsia"/>
                <w:i w:val="0"/>
                <w:iCs w:val="0"/>
                <w:sz w:val="22"/>
                <w:szCs w:val="22"/>
                <w:rtl/>
              </w:rPr>
              <w:t>הודעות</w:t>
            </w:r>
          </w:p>
        </w:tc>
        <w:tc>
          <w:tcPr>
            <w:tcW w:w="1985" w:type="dxa"/>
            <w:shd w:val="clear" w:color="auto" w:fill="DDDB87" w:themeFill="accent3" w:themeFillTint="99"/>
          </w:tcPr>
          <w:p w:rsidR="009A1216" w:rsidRPr="007038FA" w:rsidRDefault="00DA13E7"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מותר</w:t>
            </w:r>
            <w:r w:rsidR="009A1216" w:rsidRPr="007038FA">
              <w:rPr>
                <w:rStyle w:val="af"/>
                <w:b/>
                <w:bCs/>
                <w:i w:val="0"/>
                <w:iCs w:val="0"/>
                <w:sz w:val="22"/>
                <w:szCs w:val="22"/>
                <w:rtl/>
              </w:rPr>
              <w:footnoteReference w:id="198"/>
            </w:r>
          </w:p>
        </w:tc>
        <w:tc>
          <w:tcPr>
            <w:tcW w:w="1417" w:type="dxa"/>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p>
        </w:tc>
        <w:tc>
          <w:tcPr>
            <w:tcW w:w="1843" w:type="dxa"/>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 + ה"ס</w:t>
            </w:r>
          </w:p>
        </w:tc>
        <w:tc>
          <w:tcPr>
            <w:tcW w:w="2404" w:type="dxa"/>
            <w:tcBorders>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i w:val="0"/>
                <w:iCs w:val="0"/>
                <w:sz w:val="22"/>
                <w:szCs w:val="22"/>
                <w:rtl/>
              </w:rPr>
            </w:pPr>
            <w:r w:rsidRPr="007038FA">
              <w:rPr>
                <w:rFonts w:hint="cs"/>
                <w:b/>
                <w:bCs/>
                <w:i w:val="0"/>
                <w:iCs w:val="0"/>
                <w:sz w:val="22"/>
                <w:szCs w:val="22"/>
                <w:rtl/>
              </w:rPr>
              <w:t>אפשר לאסוף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single" w:sz="24" w:space="0" w:color="auto"/>
            </w:tcBorders>
          </w:tcPr>
          <w:p w:rsidR="009A1216" w:rsidRPr="007038FA" w:rsidRDefault="00F67B37" w:rsidP="00604C3D">
            <w:pPr>
              <w:pStyle w:val="afe"/>
              <w:spacing w:line="269" w:lineRule="auto"/>
              <w:jc w:val="left"/>
              <w:rPr>
                <w:sz w:val="22"/>
                <w:szCs w:val="22"/>
                <w:rtl/>
              </w:rPr>
            </w:pPr>
            <w:r w:rsidRPr="007038FA">
              <w:rPr>
                <w:rFonts w:hint="cs"/>
                <w:sz w:val="22"/>
                <w:szCs w:val="22"/>
                <w:rtl/>
              </w:rPr>
              <w:t>ט'</w:t>
            </w:r>
          </w:p>
        </w:tc>
        <w:tc>
          <w:tcPr>
            <w:tcW w:w="1985" w:type="dxa"/>
            <w:shd w:val="clear" w:color="auto" w:fill="DDDB87" w:themeFill="accent3" w:themeFillTint="99"/>
          </w:tcPr>
          <w:p w:rsidR="009A1216" w:rsidRPr="007038FA" w:rsidRDefault="00DA13E7"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מותר</w:t>
            </w:r>
            <w:r w:rsidR="009A1216" w:rsidRPr="007038FA">
              <w:rPr>
                <w:rStyle w:val="af"/>
                <w:b/>
                <w:bCs/>
                <w:i w:val="0"/>
                <w:iCs w:val="0"/>
                <w:sz w:val="22"/>
                <w:szCs w:val="22"/>
                <w:rtl/>
              </w:rPr>
              <w:footnoteReference w:id="199"/>
            </w:r>
          </w:p>
        </w:tc>
        <w:tc>
          <w:tcPr>
            <w:tcW w:w="1417" w:type="dxa"/>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p>
        </w:tc>
        <w:tc>
          <w:tcPr>
            <w:tcW w:w="1843" w:type="dxa"/>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 + ה"ס</w:t>
            </w:r>
          </w:p>
        </w:tc>
        <w:tc>
          <w:tcPr>
            <w:tcW w:w="2404" w:type="dxa"/>
            <w:tcBorders>
              <w:right w:val="single" w:sz="24" w:space="0" w:color="auto"/>
            </w:tcBorders>
          </w:tcPr>
          <w:p w:rsidR="009A1216" w:rsidRPr="007038FA" w:rsidRDefault="009A1216" w:rsidP="00604C3D">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אפשר לאסוף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single" w:sz="24" w:space="0" w:color="auto"/>
            </w:tcBorders>
          </w:tcPr>
          <w:p w:rsidR="009A1216" w:rsidRPr="007038FA" w:rsidRDefault="009A1216" w:rsidP="00B82A2F">
            <w:pPr>
              <w:pStyle w:val="afe"/>
              <w:spacing w:line="269" w:lineRule="auto"/>
              <w:jc w:val="left"/>
              <w:rPr>
                <w:sz w:val="22"/>
                <w:szCs w:val="22"/>
                <w:rtl/>
              </w:rPr>
            </w:pPr>
            <w:r w:rsidRPr="007038FA">
              <w:rPr>
                <w:rFonts w:hint="eastAsia"/>
                <w:i w:val="0"/>
                <w:iCs w:val="0"/>
                <w:sz w:val="22"/>
                <w:szCs w:val="22"/>
                <w:rtl/>
              </w:rPr>
              <w:t>שיחות</w:t>
            </w:r>
          </w:p>
        </w:tc>
        <w:tc>
          <w:tcPr>
            <w:tcW w:w="1985" w:type="dxa"/>
            <w:shd w:val="clear" w:color="auto" w:fill="DDDB87" w:themeFill="accent3" w:themeFillTint="99"/>
          </w:tcPr>
          <w:p w:rsidR="009A1216" w:rsidRPr="007038FA" w:rsidRDefault="00DA13E7" w:rsidP="00B82A2F">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מותר</w:t>
            </w:r>
          </w:p>
        </w:tc>
        <w:tc>
          <w:tcPr>
            <w:tcW w:w="1417" w:type="dxa"/>
          </w:tcPr>
          <w:p w:rsidR="009A1216" w:rsidRPr="007038FA" w:rsidRDefault="009A1216" w:rsidP="00B82A2F">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w:t>
            </w:r>
          </w:p>
        </w:tc>
        <w:tc>
          <w:tcPr>
            <w:tcW w:w="1843" w:type="dxa"/>
          </w:tcPr>
          <w:p w:rsidR="009A1216" w:rsidRPr="007038FA" w:rsidRDefault="009A1216" w:rsidP="00604C3D">
            <w:pPr>
              <w:pStyle w:val="afe"/>
              <w:spacing w:line="269" w:lineRule="auto"/>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חיפוש סמוי + ה"ס</w:t>
            </w:r>
          </w:p>
        </w:tc>
        <w:tc>
          <w:tcPr>
            <w:tcW w:w="2404" w:type="dxa"/>
            <w:tcBorders>
              <w:right w:val="single" w:sz="24" w:space="0" w:color="auto"/>
            </w:tcBorders>
          </w:tcPr>
          <w:p w:rsidR="009A1216" w:rsidRPr="007038FA" w:rsidRDefault="009A1216" w:rsidP="00604C3D">
            <w:pPr>
              <w:pStyle w:val="afe"/>
              <w:spacing w:line="269"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אפשר לאסוף בחיפוש סמוי</w:t>
            </w:r>
          </w:p>
        </w:tc>
      </w:tr>
      <w:tr w:rsidR="009A1216" w:rsidRPr="007038FA" w:rsidTr="00B82A2F">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single" w:sz="24" w:space="0" w:color="auto"/>
              <w:bottom w:val="single" w:sz="24" w:space="0" w:color="auto"/>
            </w:tcBorders>
          </w:tcPr>
          <w:p w:rsidR="009A1216" w:rsidRPr="007038FA" w:rsidRDefault="00F67B37" w:rsidP="00B82A2F">
            <w:pPr>
              <w:pStyle w:val="afe"/>
              <w:spacing w:line="269" w:lineRule="auto"/>
              <w:jc w:val="left"/>
              <w:rPr>
                <w:sz w:val="22"/>
                <w:szCs w:val="22"/>
                <w:rtl/>
              </w:rPr>
            </w:pPr>
            <w:r w:rsidRPr="007038FA">
              <w:rPr>
                <w:rFonts w:hint="cs"/>
                <w:sz w:val="22"/>
                <w:szCs w:val="22"/>
                <w:rtl/>
              </w:rPr>
              <w:t>י'</w:t>
            </w:r>
          </w:p>
        </w:tc>
        <w:tc>
          <w:tcPr>
            <w:tcW w:w="1985" w:type="dxa"/>
            <w:tcBorders>
              <w:bottom w:val="single" w:sz="24" w:space="0" w:color="auto"/>
            </w:tcBorders>
            <w:shd w:val="clear" w:color="auto" w:fill="DDDB87" w:themeFill="accent3" w:themeFillTint="99"/>
          </w:tcPr>
          <w:p w:rsidR="009A1216" w:rsidRPr="007038FA" w:rsidRDefault="00DA13E7" w:rsidP="00B82A2F">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b/>
                <w:bCs/>
                <w:i w:val="0"/>
                <w:iCs w:val="0"/>
                <w:sz w:val="22"/>
                <w:szCs w:val="22"/>
                <w:rtl/>
              </w:rPr>
              <w:t>מותר</w:t>
            </w:r>
          </w:p>
        </w:tc>
        <w:tc>
          <w:tcPr>
            <w:tcW w:w="1417" w:type="dxa"/>
            <w:tcBorders>
              <w:bottom w:val="single" w:sz="24" w:space="0" w:color="auto"/>
            </w:tcBorders>
          </w:tcPr>
          <w:p w:rsidR="009A1216" w:rsidRPr="007038FA" w:rsidRDefault="009A1216" w:rsidP="00B82A2F">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ה"ס + נתק"ש</w:t>
            </w:r>
          </w:p>
        </w:tc>
        <w:tc>
          <w:tcPr>
            <w:tcW w:w="1843" w:type="dxa"/>
            <w:tcBorders>
              <w:bottom w:val="single" w:sz="24" w:space="0" w:color="auto"/>
            </w:tcBorders>
          </w:tcPr>
          <w:p w:rsidR="009A1216" w:rsidRPr="007038FA" w:rsidRDefault="009A1216" w:rsidP="00B82A2F">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sidRPr="007038FA">
              <w:rPr>
                <w:rFonts w:hint="cs"/>
                <w:i w:val="0"/>
                <w:iCs w:val="0"/>
                <w:sz w:val="22"/>
                <w:szCs w:val="22"/>
                <w:rtl/>
              </w:rPr>
              <w:t>חיפוש סמוי + ה"ס</w:t>
            </w:r>
          </w:p>
        </w:tc>
        <w:tc>
          <w:tcPr>
            <w:tcW w:w="2404" w:type="dxa"/>
            <w:tcBorders>
              <w:bottom w:val="single" w:sz="24" w:space="0" w:color="auto"/>
              <w:right w:val="single" w:sz="24" w:space="0" w:color="auto"/>
            </w:tcBorders>
          </w:tcPr>
          <w:p w:rsidR="009A1216" w:rsidRPr="007038FA" w:rsidRDefault="009A1216" w:rsidP="00604C3D">
            <w:pPr>
              <w:pStyle w:val="afe"/>
              <w:spacing w:line="269" w:lineRule="auto"/>
              <w:jc w:val="center"/>
              <w:cnfStyle w:val="000000000000" w:firstRow="0" w:lastRow="0" w:firstColumn="0" w:lastColumn="0" w:oddVBand="0" w:evenVBand="0" w:oddHBand="0" w:evenHBand="0" w:firstRowFirstColumn="0" w:firstRowLastColumn="0" w:lastRowFirstColumn="0" w:lastRowLastColumn="0"/>
              <w:rPr>
                <w:b/>
                <w:bCs/>
                <w:i w:val="0"/>
                <w:iCs w:val="0"/>
                <w:sz w:val="22"/>
                <w:szCs w:val="22"/>
                <w:rtl/>
              </w:rPr>
            </w:pPr>
            <w:r w:rsidRPr="007038FA">
              <w:rPr>
                <w:rFonts w:hint="cs"/>
                <w:b/>
                <w:bCs/>
                <w:i w:val="0"/>
                <w:iCs w:val="0"/>
                <w:sz w:val="22"/>
                <w:szCs w:val="22"/>
                <w:rtl/>
              </w:rPr>
              <w:t>אפשר לאסוף בחיפוש סמוי</w:t>
            </w:r>
          </w:p>
        </w:tc>
      </w:tr>
    </w:tbl>
    <w:p w:rsidR="009A1216" w:rsidRDefault="009A1216" w:rsidP="00604C3D">
      <w:pPr>
        <w:spacing w:line="269" w:lineRule="auto"/>
        <w:rPr>
          <w:noProof/>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sidR="005A7854">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5A7854">
        <w:rPr>
          <w:rFonts w:hint="cs"/>
          <w:szCs w:val="20"/>
          <w:rtl/>
        </w:rPr>
        <w:t>.</w:t>
      </w:r>
      <w:r>
        <w:rPr>
          <w:noProof/>
        </w:rPr>
        <w:t xml:space="preserve"> </w:t>
      </w:r>
    </w:p>
    <w:p w:rsidR="00376C95" w:rsidRDefault="00376C95" w:rsidP="00604C3D">
      <w:pPr>
        <w:spacing w:line="269" w:lineRule="auto"/>
        <w:rPr>
          <w:b/>
          <w:bCs/>
          <w:rtl/>
        </w:rPr>
      </w:pPr>
    </w:p>
    <w:p w:rsidR="009A1216" w:rsidRDefault="009A1216" w:rsidP="00DF4779">
      <w:pPr>
        <w:spacing w:line="269" w:lineRule="auto"/>
        <w:ind w:left="720"/>
        <w:rPr>
          <w:b/>
          <w:bCs/>
          <w:rtl/>
        </w:rPr>
      </w:pPr>
      <w:r w:rsidRPr="00A512AA">
        <w:rPr>
          <w:rFonts w:hint="eastAsia"/>
          <w:b/>
          <w:bCs/>
          <w:rtl/>
        </w:rPr>
        <w:t>מהלוח</w:t>
      </w:r>
      <w:r w:rsidRPr="00A512AA">
        <w:rPr>
          <w:b/>
          <w:bCs/>
          <w:rtl/>
        </w:rPr>
        <w:t xml:space="preserve"> </w:t>
      </w:r>
      <w:r w:rsidRPr="00A512AA">
        <w:rPr>
          <w:rFonts w:hint="eastAsia"/>
          <w:b/>
          <w:bCs/>
          <w:rtl/>
        </w:rPr>
        <w:t>עולה</w:t>
      </w:r>
      <w:r w:rsidRPr="00A512AA">
        <w:rPr>
          <w:b/>
          <w:bCs/>
          <w:rtl/>
        </w:rPr>
        <w:t xml:space="preserve"> </w:t>
      </w:r>
      <w:r w:rsidRPr="00A512AA">
        <w:rPr>
          <w:rFonts w:hint="eastAsia"/>
          <w:b/>
          <w:bCs/>
          <w:rtl/>
        </w:rPr>
        <w:t>כי</w:t>
      </w:r>
      <w:r w:rsidRPr="00A512AA">
        <w:rPr>
          <w:b/>
          <w:bCs/>
          <w:rtl/>
        </w:rPr>
        <w:t xml:space="preserve"> </w:t>
      </w:r>
      <w:bookmarkStart w:id="517" w:name="_Hlk188187637"/>
      <w:r w:rsidRPr="00A512AA">
        <w:rPr>
          <w:rFonts w:hint="eastAsia"/>
          <w:b/>
          <w:bCs/>
          <w:rtl/>
        </w:rPr>
        <w:t>בכלים</w:t>
      </w:r>
      <w:r w:rsidRPr="00A512AA">
        <w:rPr>
          <w:b/>
          <w:bCs/>
          <w:rtl/>
        </w:rPr>
        <w:t xml:space="preserve"> </w:t>
      </w:r>
      <w:r w:rsidRPr="00A512AA">
        <w:rPr>
          <w:rFonts w:hint="eastAsia"/>
          <w:b/>
          <w:bCs/>
          <w:rtl/>
        </w:rPr>
        <w:t>הטכנולוגיים</w:t>
      </w:r>
      <w:r w:rsidRPr="00A512AA">
        <w:rPr>
          <w:b/>
          <w:bCs/>
          <w:rtl/>
        </w:rPr>
        <w:t xml:space="preserve"> </w:t>
      </w:r>
      <w:r w:rsidRPr="00A512AA">
        <w:rPr>
          <w:rFonts w:hint="eastAsia"/>
          <w:b/>
          <w:bCs/>
          <w:rtl/>
        </w:rPr>
        <w:t>שבשימוש</w:t>
      </w:r>
      <w:r w:rsidRPr="00A512AA">
        <w:rPr>
          <w:b/>
          <w:bCs/>
          <w:rtl/>
        </w:rPr>
        <w:t xml:space="preserve"> </w:t>
      </w:r>
      <w:r w:rsidRPr="00A512AA">
        <w:rPr>
          <w:rFonts w:hint="eastAsia"/>
          <w:b/>
          <w:bCs/>
          <w:rtl/>
        </w:rPr>
        <w:t>המשטרה</w:t>
      </w:r>
      <w:r w:rsidRPr="00A512AA">
        <w:rPr>
          <w:b/>
          <w:bCs/>
          <w:rtl/>
        </w:rPr>
        <w:t xml:space="preserve"> </w:t>
      </w:r>
      <w:r w:rsidRPr="00A512AA">
        <w:rPr>
          <w:rFonts w:hint="eastAsia"/>
          <w:b/>
          <w:bCs/>
          <w:rtl/>
        </w:rPr>
        <w:t>קיים</w:t>
      </w:r>
      <w:r w:rsidRPr="00A512AA">
        <w:rPr>
          <w:b/>
          <w:bCs/>
          <w:rtl/>
        </w:rPr>
        <w:t xml:space="preserve"> פער בסיסי בדרך האיסוף של התוצרים: 4 </w:t>
      </w:r>
      <w:r w:rsidRPr="00A512AA">
        <w:rPr>
          <w:rFonts w:hint="eastAsia"/>
          <w:b/>
          <w:bCs/>
          <w:rtl/>
        </w:rPr>
        <w:t>סוגי</w:t>
      </w:r>
      <w:r w:rsidRPr="00A512AA">
        <w:rPr>
          <w:b/>
          <w:bCs/>
          <w:rtl/>
        </w:rPr>
        <w:t xml:space="preserve"> </w:t>
      </w:r>
      <w:r w:rsidRPr="00A512AA">
        <w:rPr>
          <w:rFonts w:hint="eastAsia"/>
          <w:b/>
          <w:bCs/>
          <w:rtl/>
        </w:rPr>
        <w:t>מידע</w:t>
      </w:r>
      <w:r w:rsidRPr="00A512AA">
        <w:rPr>
          <w:b/>
          <w:bCs/>
          <w:rtl/>
        </w:rPr>
        <w:t xml:space="preserve"> מתוך 14 </w:t>
      </w:r>
      <w:r w:rsidRPr="00A512AA">
        <w:rPr>
          <w:rFonts w:hint="eastAsia"/>
          <w:b/>
          <w:bCs/>
          <w:rtl/>
        </w:rPr>
        <w:t>ניתנים</w:t>
      </w:r>
      <w:r w:rsidRPr="00A512AA">
        <w:rPr>
          <w:b/>
          <w:bCs/>
          <w:rtl/>
        </w:rPr>
        <w:t xml:space="preserve"> לאיסוף </w:t>
      </w:r>
      <w:r w:rsidRPr="00A512AA">
        <w:rPr>
          <w:rFonts w:hint="eastAsia"/>
          <w:b/>
          <w:bCs/>
          <w:rtl/>
        </w:rPr>
        <w:t>מתוך</w:t>
      </w:r>
      <w:r w:rsidRPr="00A512AA">
        <w:rPr>
          <w:b/>
          <w:bCs/>
          <w:rtl/>
        </w:rPr>
        <w:t xml:space="preserve"> </w:t>
      </w:r>
      <w:r w:rsidRPr="00A512AA">
        <w:rPr>
          <w:rFonts w:hint="eastAsia"/>
          <w:b/>
          <w:bCs/>
          <w:rtl/>
        </w:rPr>
        <w:t>המידע</w:t>
      </w:r>
      <w:r w:rsidRPr="00A512AA">
        <w:rPr>
          <w:b/>
          <w:bCs/>
          <w:rtl/>
        </w:rPr>
        <w:t xml:space="preserve"> </w:t>
      </w:r>
      <w:r w:rsidRPr="00A512AA">
        <w:rPr>
          <w:rFonts w:hint="eastAsia"/>
          <w:b/>
          <w:bCs/>
          <w:rtl/>
        </w:rPr>
        <w:t>האגור</w:t>
      </w:r>
      <w:r w:rsidRPr="00A512AA">
        <w:rPr>
          <w:b/>
          <w:bCs/>
          <w:rtl/>
        </w:rPr>
        <w:t xml:space="preserve"> </w:t>
      </w:r>
      <w:r w:rsidRPr="00A512AA">
        <w:rPr>
          <w:rFonts w:hint="eastAsia"/>
          <w:b/>
          <w:bCs/>
          <w:rtl/>
        </w:rPr>
        <w:t>במכשיר</w:t>
      </w:r>
      <w:r w:rsidRPr="00A512AA">
        <w:rPr>
          <w:b/>
          <w:bCs/>
          <w:rtl/>
        </w:rPr>
        <w:t xml:space="preserve"> </w:t>
      </w:r>
      <w:r w:rsidRPr="00A512AA">
        <w:rPr>
          <w:rFonts w:hint="eastAsia"/>
          <w:b/>
          <w:bCs/>
          <w:rtl/>
        </w:rPr>
        <w:t>הקצה</w:t>
      </w:r>
      <w:r w:rsidRPr="00A512AA">
        <w:rPr>
          <w:b/>
          <w:bCs/>
          <w:rtl/>
        </w:rPr>
        <w:t xml:space="preserve"> בלבד (חיפוש סמוי במסגרת האזנת סתר) ולא </w:t>
      </w:r>
      <w:r w:rsidRPr="00A512AA">
        <w:rPr>
          <w:rFonts w:hint="eastAsia"/>
          <w:b/>
          <w:bCs/>
          <w:rtl/>
        </w:rPr>
        <w:t>באמצעות</w:t>
      </w:r>
      <w:r w:rsidRPr="00A512AA">
        <w:rPr>
          <w:b/>
          <w:bCs/>
          <w:rtl/>
        </w:rPr>
        <w:t xml:space="preserve"> </w:t>
      </w:r>
      <w:r w:rsidRPr="00A512AA">
        <w:rPr>
          <w:rFonts w:hint="eastAsia"/>
          <w:b/>
          <w:bCs/>
          <w:rtl/>
        </w:rPr>
        <w:t>קליטה</w:t>
      </w:r>
      <w:r w:rsidRPr="00A512AA">
        <w:rPr>
          <w:b/>
          <w:bCs/>
          <w:rtl/>
        </w:rPr>
        <w:t xml:space="preserve"> </w:t>
      </w:r>
      <w:r w:rsidRPr="00A512AA">
        <w:rPr>
          <w:rFonts w:hint="eastAsia"/>
          <w:b/>
          <w:bCs/>
          <w:rtl/>
        </w:rPr>
        <w:t>של</w:t>
      </w:r>
      <w:r w:rsidRPr="00A512AA">
        <w:rPr>
          <w:b/>
          <w:bCs/>
          <w:rtl/>
        </w:rPr>
        <w:t xml:space="preserve"> </w:t>
      </w:r>
      <w:r w:rsidRPr="00A512AA">
        <w:rPr>
          <w:rFonts w:hint="eastAsia"/>
          <w:b/>
          <w:bCs/>
          <w:rtl/>
        </w:rPr>
        <w:t>התוצר</w:t>
      </w:r>
      <w:r w:rsidRPr="00A512AA">
        <w:rPr>
          <w:b/>
          <w:bCs/>
          <w:rtl/>
        </w:rPr>
        <w:t xml:space="preserve"> </w:t>
      </w:r>
      <w:r w:rsidRPr="00A512AA">
        <w:rPr>
          <w:rFonts w:hint="eastAsia"/>
          <w:b/>
          <w:bCs/>
          <w:rtl/>
        </w:rPr>
        <w:t>בעת</w:t>
      </w:r>
      <w:r w:rsidRPr="00A512AA">
        <w:rPr>
          <w:b/>
          <w:bCs/>
          <w:rtl/>
        </w:rPr>
        <w:t xml:space="preserve"> </w:t>
      </w:r>
      <w:r w:rsidRPr="00A512AA">
        <w:rPr>
          <w:rFonts w:hint="eastAsia"/>
          <w:b/>
          <w:bCs/>
          <w:rtl/>
        </w:rPr>
        <w:t>מעברו</w:t>
      </w:r>
      <w:r w:rsidRPr="00A512AA">
        <w:rPr>
          <w:b/>
          <w:bCs/>
          <w:rtl/>
        </w:rPr>
        <w:t xml:space="preserve"> </w:t>
      </w:r>
      <w:r w:rsidRPr="00A512AA">
        <w:rPr>
          <w:rFonts w:hint="eastAsia"/>
          <w:b/>
          <w:bCs/>
          <w:rtl/>
        </w:rPr>
        <w:t>בתקשורת</w:t>
      </w:r>
      <w:r w:rsidRPr="00A512AA">
        <w:rPr>
          <w:b/>
          <w:bCs/>
          <w:rtl/>
        </w:rPr>
        <w:t xml:space="preserve"> </w:t>
      </w:r>
      <w:r w:rsidRPr="00A512AA">
        <w:rPr>
          <w:rFonts w:hint="eastAsia"/>
          <w:b/>
          <w:bCs/>
          <w:rtl/>
        </w:rPr>
        <w:t>בין</w:t>
      </w:r>
      <w:r w:rsidRPr="00A512AA">
        <w:rPr>
          <w:b/>
          <w:bCs/>
          <w:rtl/>
        </w:rPr>
        <w:t xml:space="preserve"> </w:t>
      </w:r>
      <w:r w:rsidRPr="00A512AA">
        <w:rPr>
          <w:rFonts w:hint="eastAsia"/>
          <w:b/>
          <w:bCs/>
          <w:rtl/>
        </w:rPr>
        <w:t>מחשבים</w:t>
      </w:r>
      <w:r w:rsidRPr="00A512AA">
        <w:rPr>
          <w:b/>
          <w:bCs/>
          <w:rtl/>
        </w:rPr>
        <w:t xml:space="preserve">, </w:t>
      </w:r>
      <w:r w:rsidRPr="00A512AA">
        <w:rPr>
          <w:rFonts w:hint="eastAsia"/>
          <w:b/>
          <w:bCs/>
          <w:rtl/>
        </w:rPr>
        <w:t>ו</w:t>
      </w:r>
      <w:r w:rsidRPr="00A512AA">
        <w:rPr>
          <w:b/>
          <w:bCs/>
          <w:rtl/>
        </w:rPr>
        <w:t xml:space="preserve">-10 סוגי מידע ניתנים לאיסוף </w:t>
      </w:r>
      <w:r w:rsidRPr="00A512AA">
        <w:rPr>
          <w:rFonts w:hint="eastAsia"/>
          <w:b/>
          <w:bCs/>
          <w:rtl/>
        </w:rPr>
        <w:t>בדרכים</w:t>
      </w:r>
      <w:r w:rsidRPr="00A512AA">
        <w:rPr>
          <w:b/>
          <w:bCs/>
          <w:rtl/>
        </w:rPr>
        <w:t xml:space="preserve"> </w:t>
      </w:r>
      <w:r w:rsidRPr="00A512AA">
        <w:rPr>
          <w:rFonts w:hint="eastAsia"/>
          <w:b/>
          <w:bCs/>
          <w:rtl/>
        </w:rPr>
        <w:t>חלופיות</w:t>
      </w:r>
      <w:r w:rsidRPr="00A512AA">
        <w:rPr>
          <w:b/>
          <w:bCs/>
          <w:rtl/>
        </w:rPr>
        <w:t xml:space="preserve">: חיפוש סמוי במידע </w:t>
      </w:r>
      <w:r w:rsidRPr="00A512AA">
        <w:rPr>
          <w:rFonts w:hint="eastAsia"/>
          <w:b/>
          <w:bCs/>
          <w:rtl/>
        </w:rPr>
        <w:t>האגור</w:t>
      </w:r>
      <w:r w:rsidRPr="00A512AA">
        <w:rPr>
          <w:b/>
          <w:bCs/>
          <w:rtl/>
        </w:rPr>
        <w:t xml:space="preserve"> </w:t>
      </w:r>
      <w:r w:rsidRPr="00A512AA">
        <w:rPr>
          <w:rFonts w:hint="eastAsia"/>
          <w:b/>
          <w:bCs/>
          <w:rtl/>
        </w:rPr>
        <w:t>במכשיר</w:t>
      </w:r>
      <w:r w:rsidRPr="00A512AA">
        <w:rPr>
          <w:b/>
          <w:bCs/>
          <w:rtl/>
        </w:rPr>
        <w:t xml:space="preserve"> </w:t>
      </w:r>
      <w:r w:rsidRPr="00A512AA">
        <w:rPr>
          <w:rFonts w:hint="eastAsia"/>
          <w:b/>
          <w:bCs/>
          <w:rtl/>
        </w:rPr>
        <w:t>הקצה</w:t>
      </w:r>
      <w:r w:rsidRPr="00A512AA">
        <w:rPr>
          <w:b/>
          <w:bCs/>
          <w:rtl/>
        </w:rPr>
        <w:t xml:space="preserve"> </w:t>
      </w:r>
      <w:r w:rsidRPr="00A512AA">
        <w:rPr>
          <w:rFonts w:hint="eastAsia"/>
          <w:b/>
          <w:bCs/>
          <w:rtl/>
        </w:rPr>
        <w:t>או</w:t>
      </w:r>
      <w:r w:rsidRPr="00A512AA">
        <w:rPr>
          <w:b/>
          <w:bCs/>
          <w:rtl/>
        </w:rPr>
        <w:t xml:space="preserve"> </w:t>
      </w:r>
      <w:r w:rsidRPr="00A512AA">
        <w:rPr>
          <w:rFonts w:hint="eastAsia"/>
          <w:b/>
          <w:bCs/>
          <w:rtl/>
        </w:rPr>
        <w:t>באמצעות</w:t>
      </w:r>
      <w:r w:rsidRPr="00A512AA">
        <w:rPr>
          <w:b/>
          <w:bCs/>
          <w:rtl/>
        </w:rPr>
        <w:t xml:space="preserve"> </w:t>
      </w:r>
      <w:r w:rsidRPr="00A512AA">
        <w:rPr>
          <w:rFonts w:hint="eastAsia"/>
          <w:b/>
          <w:bCs/>
          <w:rtl/>
        </w:rPr>
        <w:t>קליטה</w:t>
      </w:r>
      <w:r w:rsidRPr="00A512AA">
        <w:rPr>
          <w:b/>
          <w:bCs/>
          <w:rtl/>
        </w:rPr>
        <w:t xml:space="preserve"> </w:t>
      </w:r>
      <w:r w:rsidRPr="00A512AA">
        <w:rPr>
          <w:rFonts w:hint="eastAsia"/>
          <w:b/>
          <w:bCs/>
          <w:rtl/>
        </w:rPr>
        <w:t>של</w:t>
      </w:r>
      <w:r w:rsidRPr="00A512AA">
        <w:rPr>
          <w:b/>
          <w:bCs/>
          <w:rtl/>
        </w:rPr>
        <w:t xml:space="preserve"> </w:t>
      </w:r>
      <w:r w:rsidRPr="00A512AA">
        <w:rPr>
          <w:rFonts w:hint="eastAsia"/>
          <w:b/>
          <w:bCs/>
          <w:rtl/>
        </w:rPr>
        <w:t>התוצר</w:t>
      </w:r>
      <w:r w:rsidRPr="00A512AA">
        <w:rPr>
          <w:b/>
          <w:bCs/>
          <w:rtl/>
        </w:rPr>
        <w:t xml:space="preserve"> </w:t>
      </w:r>
      <w:r w:rsidRPr="00A512AA">
        <w:rPr>
          <w:rFonts w:hint="eastAsia"/>
          <w:b/>
          <w:bCs/>
          <w:rtl/>
        </w:rPr>
        <w:t>בעת</w:t>
      </w:r>
      <w:r w:rsidRPr="00A512AA">
        <w:rPr>
          <w:b/>
          <w:bCs/>
          <w:rtl/>
        </w:rPr>
        <w:t xml:space="preserve"> </w:t>
      </w:r>
      <w:r w:rsidRPr="00A512AA">
        <w:rPr>
          <w:rFonts w:hint="eastAsia"/>
          <w:b/>
          <w:bCs/>
          <w:rtl/>
        </w:rPr>
        <w:t>מעברו</w:t>
      </w:r>
      <w:r w:rsidRPr="00A512AA">
        <w:rPr>
          <w:b/>
          <w:bCs/>
          <w:rtl/>
        </w:rPr>
        <w:t xml:space="preserve"> </w:t>
      </w:r>
      <w:r w:rsidRPr="00A512AA">
        <w:rPr>
          <w:rFonts w:hint="eastAsia"/>
          <w:b/>
          <w:bCs/>
          <w:rtl/>
        </w:rPr>
        <w:t>בתקשורת</w:t>
      </w:r>
      <w:r w:rsidRPr="00A512AA">
        <w:rPr>
          <w:b/>
          <w:bCs/>
          <w:rtl/>
        </w:rPr>
        <w:t xml:space="preserve"> </w:t>
      </w:r>
      <w:r w:rsidRPr="00A512AA">
        <w:rPr>
          <w:rFonts w:hint="eastAsia"/>
          <w:b/>
          <w:bCs/>
          <w:rtl/>
        </w:rPr>
        <w:t>בין</w:t>
      </w:r>
      <w:r w:rsidRPr="00A512AA">
        <w:rPr>
          <w:b/>
          <w:bCs/>
          <w:rtl/>
        </w:rPr>
        <w:t xml:space="preserve"> </w:t>
      </w:r>
      <w:r w:rsidRPr="00A512AA">
        <w:rPr>
          <w:rFonts w:hint="eastAsia"/>
          <w:b/>
          <w:bCs/>
          <w:rtl/>
        </w:rPr>
        <w:t>מחשבים</w:t>
      </w:r>
      <w:r w:rsidRPr="00A512AA">
        <w:rPr>
          <w:b/>
          <w:bCs/>
          <w:rtl/>
        </w:rPr>
        <w:t xml:space="preserve"> וכן שימוש בשיטת פעולה המשמשת גם את מתווה </w:t>
      </w:r>
      <w:r w:rsidR="00062A25" w:rsidRPr="00A512AA">
        <w:rPr>
          <w:b/>
          <w:bCs/>
          <w:rtl/>
        </w:rPr>
        <w:t>התקנה</w:t>
      </w:r>
      <w:r w:rsidRPr="00A512AA">
        <w:rPr>
          <w:b/>
          <w:bCs/>
          <w:rtl/>
        </w:rPr>
        <w:t xml:space="preserve"> 7</w:t>
      </w:r>
      <w:r w:rsidR="00746A11">
        <w:rPr>
          <w:b/>
          <w:bCs/>
          <w:rtl/>
        </w:rPr>
        <w:t>.</w:t>
      </w:r>
      <w:r w:rsidRPr="00FB5BE9">
        <w:rPr>
          <w:b/>
          <w:bCs/>
          <w:rtl/>
        </w:rPr>
        <w:t xml:space="preserve"> </w:t>
      </w:r>
    </w:p>
    <w:bookmarkEnd w:id="517"/>
    <w:p w:rsidR="009A1216" w:rsidRDefault="009A1216" w:rsidP="00DF4779">
      <w:pPr>
        <w:pStyle w:val="a5"/>
        <w:spacing w:line="269" w:lineRule="auto"/>
        <w:ind w:left="153"/>
        <w:rPr>
          <w:rtl/>
        </w:rPr>
      </w:pPr>
    </w:p>
    <w:p w:rsidR="009A1216" w:rsidRPr="00A160CB" w:rsidRDefault="009A1216" w:rsidP="00DF4779">
      <w:pPr>
        <w:spacing w:line="269" w:lineRule="auto"/>
        <w:ind w:left="720"/>
        <w:rPr>
          <w:rtl/>
        </w:rPr>
      </w:pPr>
      <w:r>
        <w:rPr>
          <w:rFonts w:hint="cs"/>
          <w:rtl/>
        </w:rPr>
        <w:t>הייעוץ המשפטי לממשלה ב</w:t>
      </w:r>
      <w:r w:rsidRPr="00C659E0">
        <w:rPr>
          <w:rtl/>
        </w:rPr>
        <w:t xml:space="preserve">משרד המשפטים מסר </w:t>
      </w:r>
      <w:r>
        <w:rPr>
          <w:rFonts w:hint="cs"/>
          <w:rtl/>
        </w:rPr>
        <w:t xml:space="preserve">כי </w:t>
      </w:r>
      <w:r w:rsidRPr="00C659E0">
        <w:rPr>
          <w:rtl/>
        </w:rPr>
        <w:t xml:space="preserve">עמדתו העקבית היא </w:t>
      </w:r>
      <w:r>
        <w:rPr>
          <w:rFonts w:hint="cs"/>
          <w:rtl/>
        </w:rPr>
        <w:t>ש</w:t>
      </w:r>
      <w:r w:rsidRPr="00C659E0">
        <w:rPr>
          <w:rtl/>
        </w:rPr>
        <w:t>העובדה שניתן טכנולוגית לאסוף סוגי מידע באמצעות חיפוש סמוי אין בה כדי להביא לשבירת ההבחנה המשפטית בין ״האזנת סתר״ לבין ״חיפוש סמוי". היכולות הטכנולוגיות של הכלים הטכנולוגיים לא אמורות להשפיע ולשנות או לקבוע את גדרי הסמכות הניתנת למשטרה.</w:t>
      </w:r>
      <w:r>
        <w:rPr>
          <w:rFonts w:hint="cs"/>
          <w:rtl/>
        </w:rPr>
        <w:t xml:space="preserve"> </w:t>
      </w:r>
      <w:r w:rsidRPr="00093383">
        <w:rPr>
          <w:rtl/>
        </w:rPr>
        <w:t>הייעוץ המשפטי מתנגד להסדרה בחקיקה של פעולות חיפוש סמוי במסגרת האזנת סתר. אין באמור, כדי לשלול את הצורך והדחיפות בהסדרת הסמכות לביצוע חיפוש סמוי אך זו אינה חל</w:t>
      </w:r>
      <w:r>
        <w:rPr>
          <w:rFonts w:hint="cs"/>
          <w:rtl/>
        </w:rPr>
        <w:t>ק</w:t>
      </w:r>
      <w:r w:rsidRPr="00093383">
        <w:rPr>
          <w:rtl/>
        </w:rPr>
        <w:t xml:space="preserve"> </w:t>
      </w:r>
      <w:r w:rsidRPr="005A19FE">
        <w:rPr>
          <w:rtl/>
        </w:rPr>
        <w:t>מהסמכות להאזנת סתר.</w:t>
      </w:r>
    </w:p>
    <w:p w:rsidR="00376C95" w:rsidRDefault="00376C95" w:rsidP="00DF4779">
      <w:pPr>
        <w:spacing w:line="269" w:lineRule="auto"/>
        <w:ind w:left="720"/>
        <w:rPr>
          <w:b/>
          <w:bCs/>
          <w:rtl/>
        </w:rPr>
      </w:pPr>
    </w:p>
    <w:p w:rsidR="009A1216" w:rsidRDefault="009A1216" w:rsidP="00DF4779">
      <w:pPr>
        <w:spacing w:line="269" w:lineRule="auto"/>
        <w:ind w:left="720"/>
        <w:rPr>
          <w:b/>
          <w:bCs/>
          <w:rtl/>
        </w:rPr>
      </w:pPr>
      <w:r w:rsidRPr="00A512AA">
        <w:rPr>
          <w:rFonts w:hint="eastAsia"/>
          <w:b/>
          <w:bCs/>
          <w:rtl/>
        </w:rPr>
        <w:t>נמצא</w:t>
      </w:r>
      <w:r w:rsidRPr="00A512AA">
        <w:rPr>
          <w:b/>
          <w:bCs/>
          <w:rtl/>
        </w:rPr>
        <w:t xml:space="preserve"> כי </w:t>
      </w:r>
      <w:bookmarkStart w:id="518" w:name="_Hlk188187723"/>
      <w:r w:rsidRPr="00A512AA">
        <w:rPr>
          <w:rFonts w:hint="eastAsia"/>
          <w:b/>
          <w:bCs/>
          <w:rtl/>
        </w:rPr>
        <w:t>כל</w:t>
      </w:r>
      <w:r w:rsidRPr="00A512AA">
        <w:rPr>
          <w:b/>
          <w:bCs/>
          <w:rtl/>
        </w:rPr>
        <w:t xml:space="preserve"> 14 </w:t>
      </w:r>
      <w:r w:rsidRPr="00A512AA">
        <w:rPr>
          <w:rFonts w:hint="eastAsia"/>
          <w:b/>
          <w:bCs/>
          <w:rtl/>
        </w:rPr>
        <w:t>סוגי</w:t>
      </w:r>
      <w:r w:rsidRPr="00A512AA">
        <w:rPr>
          <w:b/>
          <w:bCs/>
          <w:rtl/>
        </w:rPr>
        <w:t xml:space="preserve"> </w:t>
      </w:r>
      <w:r w:rsidRPr="00A512AA">
        <w:rPr>
          <w:rFonts w:hint="eastAsia"/>
          <w:b/>
          <w:bCs/>
          <w:rtl/>
        </w:rPr>
        <w:t>המידע</w:t>
      </w:r>
      <w:r w:rsidRPr="00A512AA">
        <w:rPr>
          <w:b/>
          <w:bCs/>
          <w:rtl/>
        </w:rPr>
        <w:t xml:space="preserve"> </w:t>
      </w:r>
      <w:r w:rsidRPr="00A512AA">
        <w:rPr>
          <w:rFonts w:hint="eastAsia"/>
          <w:b/>
          <w:bCs/>
          <w:rtl/>
        </w:rPr>
        <w:t>ניתנים</w:t>
      </w:r>
      <w:r w:rsidRPr="00A512AA">
        <w:rPr>
          <w:b/>
          <w:bCs/>
          <w:rtl/>
        </w:rPr>
        <w:t xml:space="preserve"> </w:t>
      </w:r>
      <w:r w:rsidRPr="00A512AA">
        <w:rPr>
          <w:rFonts w:hint="eastAsia"/>
          <w:b/>
          <w:bCs/>
          <w:rtl/>
        </w:rPr>
        <w:t>לאיסוף</w:t>
      </w:r>
      <w:r w:rsidRPr="00A512AA">
        <w:rPr>
          <w:b/>
          <w:bCs/>
          <w:rtl/>
        </w:rPr>
        <w:t xml:space="preserve"> </w:t>
      </w:r>
      <w:r w:rsidRPr="00A512AA">
        <w:rPr>
          <w:rFonts w:hint="eastAsia"/>
          <w:b/>
          <w:bCs/>
          <w:rtl/>
        </w:rPr>
        <w:t>בחיפוש</w:t>
      </w:r>
      <w:r w:rsidRPr="00A512AA">
        <w:rPr>
          <w:b/>
          <w:bCs/>
          <w:rtl/>
        </w:rPr>
        <w:t xml:space="preserve"> </w:t>
      </w:r>
      <w:r w:rsidRPr="00A512AA">
        <w:rPr>
          <w:rFonts w:hint="eastAsia"/>
          <w:b/>
          <w:bCs/>
          <w:rtl/>
        </w:rPr>
        <w:t>סמוי</w:t>
      </w:r>
      <w:r w:rsidRPr="00A512AA">
        <w:rPr>
          <w:b/>
          <w:bCs/>
          <w:rtl/>
        </w:rPr>
        <w:t xml:space="preserve"> - </w:t>
      </w:r>
      <w:r w:rsidRPr="00A512AA">
        <w:rPr>
          <w:rFonts w:hint="eastAsia"/>
          <w:b/>
          <w:bCs/>
          <w:rtl/>
        </w:rPr>
        <w:t>איסופם</w:t>
      </w:r>
      <w:r w:rsidRPr="00A512AA">
        <w:rPr>
          <w:b/>
          <w:bCs/>
          <w:rtl/>
        </w:rPr>
        <w:t xml:space="preserve"> </w:t>
      </w:r>
      <w:r w:rsidRPr="00A512AA">
        <w:rPr>
          <w:rFonts w:hint="eastAsia"/>
          <w:b/>
          <w:bCs/>
          <w:rtl/>
        </w:rPr>
        <w:t>מחייב</w:t>
      </w:r>
      <w:r w:rsidRPr="00A512AA">
        <w:rPr>
          <w:b/>
          <w:bCs/>
          <w:rtl/>
        </w:rPr>
        <w:t xml:space="preserve"> </w:t>
      </w:r>
      <w:r w:rsidRPr="00A512AA">
        <w:rPr>
          <w:rFonts w:hint="eastAsia"/>
          <w:b/>
          <w:bCs/>
          <w:rtl/>
        </w:rPr>
        <w:t>העתקה</w:t>
      </w:r>
      <w:r w:rsidRPr="00A512AA">
        <w:rPr>
          <w:b/>
          <w:bCs/>
          <w:rtl/>
        </w:rPr>
        <w:t xml:space="preserve"> </w:t>
      </w:r>
      <w:r w:rsidRPr="00A512AA">
        <w:rPr>
          <w:rFonts w:hint="eastAsia"/>
          <w:b/>
          <w:bCs/>
          <w:rtl/>
        </w:rPr>
        <w:t>של</w:t>
      </w:r>
      <w:r w:rsidRPr="00A512AA">
        <w:rPr>
          <w:b/>
          <w:bCs/>
          <w:rtl/>
        </w:rPr>
        <w:t xml:space="preserve"> </w:t>
      </w:r>
      <w:r w:rsidRPr="00A512AA">
        <w:rPr>
          <w:rFonts w:hint="eastAsia"/>
          <w:b/>
          <w:bCs/>
          <w:rtl/>
        </w:rPr>
        <w:t>מידע</w:t>
      </w:r>
      <w:r w:rsidRPr="00A512AA">
        <w:rPr>
          <w:b/>
          <w:bCs/>
          <w:rtl/>
        </w:rPr>
        <w:t xml:space="preserve"> </w:t>
      </w:r>
      <w:r w:rsidRPr="00A512AA">
        <w:rPr>
          <w:rFonts w:hint="eastAsia"/>
          <w:b/>
          <w:bCs/>
          <w:rtl/>
        </w:rPr>
        <w:t>אגור</w:t>
      </w:r>
      <w:r w:rsidRPr="00A512AA">
        <w:rPr>
          <w:b/>
          <w:bCs/>
          <w:rtl/>
        </w:rPr>
        <w:t xml:space="preserve"> </w:t>
      </w:r>
      <w:r w:rsidRPr="00A512AA">
        <w:rPr>
          <w:rFonts w:hint="eastAsia"/>
          <w:b/>
          <w:bCs/>
          <w:rtl/>
        </w:rPr>
        <w:t>על</w:t>
      </w:r>
      <w:r w:rsidRPr="00A512AA">
        <w:rPr>
          <w:b/>
          <w:bCs/>
          <w:rtl/>
        </w:rPr>
        <w:t xml:space="preserve"> </w:t>
      </w:r>
      <w:r w:rsidRPr="00A512AA">
        <w:rPr>
          <w:rFonts w:hint="eastAsia"/>
          <w:b/>
          <w:bCs/>
          <w:rtl/>
        </w:rPr>
        <w:t>המכשיר</w:t>
      </w:r>
      <w:r w:rsidRPr="00A512AA">
        <w:rPr>
          <w:b/>
          <w:bCs/>
          <w:rtl/>
        </w:rPr>
        <w:t xml:space="preserve"> (חיפוש </w:t>
      </w:r>
      <w:r w:rsidRPr="00A512AA">
        <w:rPr>
          <w:rFonts w:hint="eastAsia"/>
          <w:b/>
          <w:bCs/>
          <w:rtl/>
        </w:rPr>
        <w:t>סמוי</w:t>
      </w:r>
      <w:r w:rsidRPr="00A512AA">
        <w:rPr>
          <w:b/>
          <w:bCs/>
          <w:rtl/>
        </w:rPr>
        <w:t xml:space="preserve">) </w:t>
      </w:r>
      <w:r w:rsidRPr="00A512AA">
        <w:rPr>
          <w:rFonts w:hint="eastAsia"/>
          <w:b/>
          <w:bCs/>
          <w:rtl/>
        </w:rPr>
        <w:t>או</w:t>
      </w:r>
      <w:r w:rsidRPr="00A512AA">
        <w:rPr>
          <w:b/>
          <w:bCs/>
          <w:rtl/>
        </w:rPr>
        <w:t xml:space="preserve"> </w:t>
      </w:r>
      <w:r w:rsidRPr="00A512AA">
        <w:rPr>
          <w:rFonts w:hint="eastAsia"/>
          <w:b/>
          <w:bCs/>
          <w:rtl/>
        </w:rPr>
        <w:t>שאפשר</w:t>
      </w:r>
      <w:r w:rsidRPr="00A512AA">
        <w:rPr>
          <w:b/>
          <w:bCs/>
          <w:rtl/>
        </w:rPr>
        <w:t xml:space="preserve"> </w:t>
      </w:r>
      <w:r w:rsidRPr="00A512AA">
        <w:rPr>
          <w:rFonts w:hint="eastAsia"/>
          <w:b/>
          <w:bCs/>
          <w:rtl/>
        </w:rPr>
        <w:t>לבצע</w:t>
      </w:r>
      <w:r w:rsidRPr="00A512AA">
        <w:rPr>
          <w:b/>
          <w:bCs/>
          <w:rtl/>
        </w:rPr>
        <w:t xml:space="preserve"> </w:t>
      </w:r>
      <w:r w:rsidRPr="00A512AA">
        <w:rPr>
          <w:rFonts w:hint="eastAsia"/>
          <w:b/>
          <w:bCs/>
          <w:rtl/>
        </w:rPr>
        <w:t>את</w:t>
      </w:r>
      <w:r w:rsidRPr="00A512AA">
        <w:rPr>
          <w:b/>
          <w:bCs/>
          <w:rtl/>
        </w:rPr>
        <w:t xml:space="preserve"> </w:t>
      </w:r>
      <w:r w:rsidRPr="00A512AA">
        <w:rPr>
          <w:rFonts w:hint="eastAsia"/>
          <w:b/>
          <w:bCs/>
          <w:rtl/>
        </w:rPr>
        <w:t>האיסוף</w:t>
      </w:r>
      <w:r w:rsidRPr="00A512AA">
        <w:rPr>
          <w:b/>
          <w:bCs/>
          <w:rtl/>
        </w:rPr>
        <w:t xml:space="preserve"> </w:t>
      </w:r>
      <w:r w:rsidRPr="00A512AA">
        <w:rPr>
          <w:rFonts w:hint="eastAsia"/>
          <w:b/>
          <w:bCs/>
          <w:rtl/>
        </w:rPr>
        <w:t>בדרך</w:t>
      </w:r>
      <w:r w:rsidRPr="00A512AA">
        <w:rPr>
          <w:b/>
          <w:bCs/>
          <w:rtl/>
        </w:rPr>
        <w:t xml:space="preserve"> </w:t>
      </w:r>
      <w:r w:rsidRPr="00A512AA">
        <w:rPr>
          <w:rFonts w:hint="eastAsia"/>
          <w:b/>
          <w:bCs/>
          <w:rtl/>
        </w:rPr>
        <w:t>זו</w:t>
      </w:r>
      <w:r w:rsidRPr="00A512AA">
        <w:rPr>
          <w:b/>
          <w:bCs/>
          <w:rtl/>
        </w:rPr>
        <w:t xml:space="preserve">. </w:t>
      </w:r>
      <w:r w:rsidRPr="00A512AA">
        <w:rPr>
          <w:rFonts w:hint="eastAsia"/>
          <w:b/>
          <w:bCs/>
          <w:rtl/>
        </w:rPr>
        <w:t>עובדה</w:t>
      </w:r>
      <w:r w:rsidRPr="00A512AA">
        <w:rPr>
          <w:b/>
          <w:bCs/>
          <w:rtl/>
        </w:rPr>
        <w:t xml:space="preserve"> </w:t>
      </w:r>
      <w:r w:rsidRPr="00A512AA">
        <w:rPr>
          <w:rFonts w:hint="eastAsia"/>
          <w:b/>
          <w:bCs/>
          <w:rtl/>
        </w:rPr>
        <w:t>זו</w:t>
      </w:r>
      <w:r w:rsidRPr="00A512AA">
        <w:rPr>
          <w:b/>
          <w:bCs/>
          <w:rtl/>
        </w:rPr>
        <w:t xml:space="preserve"> </w:t>
      </w:r>
      <w:r w:rsidRPr="00A512AA">
        <w:rPr>
          <w:rFonts w:hint="eastAsia"/>
          <w:b/>
          <w:bCs/>
          <w:rtl/>
        </w:rPr>
        <w:t>מלמדת</w:t>
      </w:r>
      <w:r w:rsidRPr="00A512AA">
        <w:rPr>
          <w:b/>
          <w:bCs/>
          <w:rtl/>
        </w:rPr>
        <w:t xml:space="preserve"> </w:t>
      </w:r>
      <w:r w:rsidRPr="00A512AA">
        <w:rPr>
          <w:rFonts w:hint="eastAsia"/>
          <w:b/>
          <w:bCs/>
          <w:rtl/>
        </w:rPr>
        <w:t>על</w:t>
      </w:r>
      <w:r w:rsidRPr="00A512AA">
        <w:rPr>
          <w:b/>
          <w:bCs/>
          <w:rtl/>
        </w:rPr>
        <w:t xml:space="preserve"> </w:t>
      </w:r>
      <w:r w:rsidRPr="00A512AA">
        <w:rPr>
          <w:rFonts w:hint="eastAsia"/>
          <w:b/>
          <w:bCs/>
          <w:rtl/>
        </w:rPr>
        <w:t>צורך</w:t>
      </w:r>
      <w:r w:rsidRPr="00A512AA">
        <w:rPr>
          <w:b/>
          <w:bCs/>
          <w:rtl/>
        </w:rPr>
        <w:t xml:space="preserve"> </w:t>
      </w:r>
      <w:r w:rsidRPr="00A512AA">
        <w:rPr>
          <w:rFonts w:hint="eastAsia"/>
          <w:b/>
          <w:bCs/>
          <w:rtl/>
        </w:rPr>
        <w:t>קריטי</w:t>
      </w:r>
      <w:r w:rsidRPr="00A512AA">
        <w:rPr>
          <w:b/>
          <w:bCs/>
          <w:rtl/>
        </w:rPr>
        <w:t xml:space="preserve"> </w:t>
      </w:r>
      <w:r w:rsidRPr="00A512AA">
        <w:rPr>
          <w:rFonts w:hint="eastAsia"/>
          <w:b/>
          <w:bCs/>
          <w:rtl/>
        </w:rPr>
        <w:t>בהסדרה</w:t>
      </w:r>
      <w:r w:rsidRPr="00A512AA">
        <w:rPr>
          <w:b/>
          <w:bCs/>
          <w:rtl/>
        </w:rPr>
        <w:t xml:space="preserve"> </w:t>
      </w:r>
      <w:r w:rsidRPr="00A512AA">
        <w:rPr>
          <w:rFonts w:hint="eastAsia"/>
          <w:b/>
          <w:bCs/>
          <w:rtl/>
        </w:rPr>
        <w:t>חקיקתית</w:t>
      </w:r>
      <w:r w:rsidRPr="00A512AA">
        <w:rPr>
          <w:b/>
          <w:bCs/>
          <w:rtl/>
        </w:rPr>
        <w:t xml:space="preserve"> </w:t>
      </w:r>
      <w:r w:rsidRPr="00A512AA">
        <w:rPr>
          <w:rFonts w:hint="eastAsia"/>
          <w:b/>
          <w:bCs/>
          <w:rtl/>
        </w:rPr>
        <w:t>של</w:t>
      </w:r>
      <w:r w:rsidRPr="00A512AA">
        <w:rPr>
          <w:b/>
          <w:bCs/>
          <w:rtl/>
        </w:rPr>
        <w:t xml:space="preserve"> </w:t>
      </w:r>
      <w:r w:rsidRPr="00A512AA">
        <w:rPr>
          <w:rFonts w:hint="eastAsia"/>
          <w:b/>
          <w:bCs/>
          <w:rtl/>
        </w:rPr>
        <w:t>סמכויות</w:t>
      </w:r>
      <w:r w:rsidRPr="00A512AA">
        <w:rPr>
          <w:b/>
          <w:bCs/>
          <w:rtl/>
        </w:rPr>
        <w:t xml:space="preserve"> </w:t>
      </w:r>
      <w:r w:rsidRPr="00A512AA">
        <w:rPr>
          <w:rFonts w:hint="eastAsia"/>
          <w:b/>
          <w:bCs/>
          <w:rtl/>
        </w:rPr>
        <w:t>המשטרה</w:t>
      </w:r>
      <w:r w:rsidRPr="00A512AA">
        <w:rPr>
          <w:b/>
          <w:bCs/>
          <w:rtl/>
        </w:rPr>
        <w:t xml:space="preserve"> </w:t>
      </w:r>
      <w:r w:rsidRPr="00A512AA">
        <w:rPr>
          <w:rFonts w:hint="eastAsia"/>
          <w:b/>
          <w:bCs/>
          <w:rtl/>
        </w:rPr>
        <w:t>והרחבתן</w:t>
      </w:r>
      <w:r w:rsidRPr="00A512AA">
        <w:rPr>
          <w:b/>
          <w:bCs/>
          <w:rtl/>
        </w:rPr>
        <w:t xml:space="preserve"> </w:t>
      </w:r>
      <w:r w:rsidRPr="00A512AA">
        <w:rPr>
          <w:rFonts w:hint="eastAsia"/>
          <w:b/>
          <w:bCs/>
          <w:rtl/>
        </w:rPr>
        <w:t>לפעולות</w:t>
      </w:r>
      <w:r w:rsidRPr="00A512AA">
        <w:rPr>
          <w:b/>
          <w:bCs/>
          <w:rtl/>
        </w:rPr>
        <w:t xml:space="preserve"> </w:t>
      </w:r>
      <w:r w:rsidRPr="00A512AA">
        <w:rPr>
          <w:rFonts w:hint="eastAsia"/>
          <w:b/>
          <w:bCs/>
          <w:rtl/>
        </w:rPr>
        <w:t>של</w:t>
      </w:r>
      <w:r w:rsidRPr="00A512AA">
        <w:rPr>
          <w:b/>
          <w:bCs/>
          <w:rtl/>
        </w:rPr>
        <w:t xml:space="preserve"> </w:t>
      </w:r>
      <w:r w:rsidRPr="00A512AA">
        <w:rPr>
          <w:rFonts w:hint="eastAsia"/>
          <w:b/>
          <w:bCs/>
          <w:rtl/>
        </w:rPr>
        <w:t>העתקת</w:t>
      </w:r>
      <w:r w:rsidRPr="00A512AA">
        <w:rPr>
          <w:b/>
          <w:bCs/>
          <w:rtl/>
        </w:rPr>
        <w:t xml:space="preserve"> </w:t>
      </w:r>
      <w:r w:rsidRPr="00A512AA">
        <w:rPr>
          <w:rFonts w:hint="eastAsia"/>
          <w:b/>
          <w:bCs/>
          <w:rtl/>
        </w:rPr>
        <w:t>מידע</w:t>
      </w:r>
      <w:r w:rsidRPr="00A512AA">
        <w:rPr>
          <w:b/>
          <w:bCs/>
          <w:rtl/>
        </w:rPr>
        <w:t xml:space="preserve"> </w:t>
      </w:r>
      <w:r w:rsidRPr="00A512AA">
        <w:rPr>
          <w:rFonts w:hint="eastAsia"/>
          <w:b/>
          <w:bCs/>
          <w:rtl/>
        </w:rPr>
        <w:t>אגור</w:t>
      </w:r>
      <w:r w:rsidRPr="00A512AA">
        <w:rPr>
          <w:b/>
          <w:bCs/>
          <w:rtl/>
        </w:rPr>
        <w:t xml:space="preserve"> </w:t>
      </w:r>
      <w:r w:rsidRPr="00A512AA">
        <w:rPr>
          <w:rFonts w:hint="eastAsia"/>
          <w:b/>
          <w:bCs/>
          <w:rtl/>
        </w:rPr>
        <w:t>על</w:t>
      </w:r>
      <w:r w:rsidRPr="00A512AA">
        <w:rPr>
          <w:b/>
          <w:bCs/>
          <w:rtl/>
        </w:rPr>
        <w:t xml:space="preserve"> </w:t>
      </w:r>
      <w:r w:rsidRPr="00A512AA">
        <w:rPr>
          <w:rFonts w:hint="eastAsia"/>
          <w:b/>
          <w:bCs/>
          <w:rtl/>
        </w:rPr>
        <w:t>המכשיר</w:t>
      </w:r>
      <w:r w:rsidRPr="00A512AA">
        <w:rPr>
          <w:b/>
          <w:bCs/>
          <w:rtl/>
        </w:rPr>
        <w:t xml:space="preserve"> (חיפוש </w:t>
      </w:r>
      <w:r w:rsidRPr="00A512AA">
        <w:rPr>
          <w:rFonts w:hint="eastAsia"/>
          <w:b/>
          <w:bCs/>
          <w:rtl/>
        </w:rPr>
        <w:t>סמוי</w:t>
      </w:r>
      <w:r w:rsidRPr="00A512AA">
        <w:rPr>
          <w:b/>
          <w:bCs/>
          <w:rtl/>
        </w:rPr>
        <w:t xml:space="preserve">), </w:t>
      </w:r>
      <w:r w:rsidRPr="00A512AA">
        <w:rPr>
          <w:rFonts w:hint="eastAsia"/>
          <w:b/>
          <w:bCs/>
          <w:rtl/>
        </w:rPr>
        <w:t>הן</w:t>
      </w:r>
      <w:r w:rsidRPr="00A512AA">
        <w:rPr>
          <w:b/>
          <w:bCs/>
          <w:rtl/>
        </w:rPr>
        <w:t xml:space="preserve"> </w:t>
      </w:r>
      <w:r w:rsidRPr="00A512AA">
        <w:rPr>
          <w:rFonts w:hint="eastAsia"/>
          <w:b/>
          <w:bCs/>
          <w:rtl/>
        </w:rPr>
        <w:t>במסגרת</w:t>
      </w:r>
      <w:r w:rsidRPr="00A512AA">
        <w:rPr>
          <w:b/>
          <w:bCs/>
          <w:rtl/>
        </w:rPr>
        <w:t xml:space="preserve"> </w:t>
      </w:r>
      <w:r w:rsidRPr="00A512AA">
        <w:rPr>
          <w:rFonts w:hint="eastAsia"/>
          <w:b/>
          <w:bCs/>
          <w:rtl/>
        </w:rPr>
        <w:t>חוק</w:t>
      </w:r>
      <w:r w:rsidRPr="00A512AA">
        <w:rPr>
          <w:b/>
          <w:bCs/>
          <w:rtl/>
        </w:rPr>
        <w:t xml:space="preserve"> </w:t>
      </w:r>
      <w:r w:rsidRPr="00A512AA">
        <w:rPr>
          <w:rFonts w:hint="eastAsia"/>
          <w:b/>
          <w:bCs/>
          <w:rtl/>
        </w:rPr>
        <w:t>האזנת</w:t>
      </w:r>
      <w:r w:rsidRPr="00A512AA">
        <w:rPr>
          <w:b/>
          <w:bCs/>
          <w:rtl/>
        </w:rPr>
        <w:t xml:space="preserve"> </w:t>
      </w:r>
      <w:r w:rsidRPr="00A512AA">
        <w:rPr>
          <w:rFonts w:hint="eastAsia"/>
          <w:b/>
          <w:bCs/>
          <w:rtl/>
        </w:rPr>
        <w:t>סתר</w:t>
      </w:r>
      <w:r w:rsidRPr="00A512AA">
        <w:rPr>
          <w:b/>
          <w:bCs/>
          <w:rtl/>
        </w:rPr>
        <w:t xml:space="preserve"> </w:t>
      </w:r>
      <w:r w:rsidRPr="00A512AA">
        <w:rPr>
          <w:rFonts w:hint="eastAsia"/>
          <w:b/>
          <w:bCs/>
          <w:rtl/>
        </w:rPr>
        <w:t>והן</w:t>
      </w:r>
      <w:r w:rsidRPr="00A512AA">
        <w:rPr>
          <w:b/>
          <w:bCs/>
          <w:rtl/>
        </w:rPr>
        <w:t xml:space="preserve"> </w:t>
      </w:r>
      <w:r w:rsidRPr="00A512AA">
        <w:rPr>
          <w:rFonts w:hint="eastAsia"/>
          <w:b/>
          <w:bCs/>
          <w:rtl/>
        </w:rPr>
        <w:t>במסגרת</w:t>
      </w:r>
      <w:r w:rsidRPr="00A512AA">
        <w:rPr>
          <w:b/>
          <w:bCs/>
          <w:rtl/>
        </w:rPr>
        <w:t xml:space="preserve"> </w:t>
      </w:r>
      <w:r w:rsidRPr="00A512AA">
        <w:rPr>
          <w:rFonts w:hint="eastAsia"/>
          <w:b/>
          <w:bCs/>
          <w:rtl/>
        </w:rPr>
        <w:t>חוק</w:t>
      </w:r>
      <w:r w:rsidRPr="00A512AA">
        <w:rPr>
          <w:b/>
          <w:bCs/>
          <w:rtl/>
        </w:rPr>
        <w:t xml:space="preserve"> </w:t>
      </w:r>
      <w:r w:rsidRPr="00A512AA">
        <w:rPr>
          <w:rFonts w:hint="eastAsia"/>
          <w:b/>
          <w:bCs/>
          <w:rtl/>
        </w:rPr>
        <w:t>החיפוש</w:t>
      </w:r>
      <w:r w:rsidRPr="00A512AA">
        <w:rPr>
          <w:b/>
          <w:bCs/>
          <w:rtl/>
        </w:rPr>
        <w:t xml:space="preserve"> </w:t>
      </w:r>
      <w:r w:rsidRPr="00A512AA">
        <w:rPr>
          <w:rFonts w:hint="eastAsia"/>
          <w:b/>
          <w:bCs/>
          <w:rtl/>
        </w:rPr>
        <w:t>הסמוי</w:t>
      </w:r>
      <w:r w:rsidRPr="00A512AA">
        <w:rPr>
          <w:b/>
          <w:bCs/>
          <w:rtl/>
        </w:rPr>
        <w:t xml:space="preserve">. </w:t>
      </w:r>
      <w:r w:rsidR="00D66B2E">
        <w:rPr>
          <w:rFonts w:hint="cs"/>
          <w:b/>
          <w:bCs/>
          <w:rtl/>
        </w:rPr>
        <w:t>לעמדת מבקר המדינה,</w:t>
      </w:r>
      <w:r w:rsidRPr="00A512AA">
        <w:rPr>
          <w:b/>
          <w:bCs/>
          <w:rtl/>
        </w:rPr>
        <w:t xml:space="preserve"> </w:t>
      </w:r>
      <w:r w:rsidRPr="00A512AA">
        <w:rPr>
          <w:rFonts w:hint="eastAsia"/>
          <w:b/>
          <w:bCs/>
          <w:rtl/>
        </w:rPr>
        <w:t>הפעלת</w:t>
      </w:r>
      <w:r w:rsidRPr="00A512AA">
        <w:rPr>
          <w:b/>
          <w:bCs/>
          <w:rtl/>
        </w:rPr>
        <w:t xml:space="preserve"> </w:t>
      </w:r>
      <w:r w:rsidRPr="00A512AA">
        <w:rPr>
          <w:rFonts w:hint="eastAsia"/>
          <w:b/>
          <w:bCs/>
          <w:rtl/>
        </w:rPr>
        <w:t>סמכות</w:t>
      </w:r>
      <w:r w:rsidRPr="00A512AA">
        <w:rPr>
          <w:b/>
          <w:bCs/>
          <w:rtl/>
        </w:rPr>
        <w:t xml:space="preserve"> </w:t>
      </w:r>
      <w:r w:rsidRPr="00A512AA">
        <w:rPr>
          <w:rFonts w:hint="eastAsia"/>
          <w:b/>
          <w:bCs/>
          <w:rtl/>
        </w:rPr>
        <w:t>פוגענית</w:t>
      </w:r>
      <w:r w:rsidRPr="00A512AA">
        <w:rPr>
          <w:b/>
          <w:bCs/>
          <w:rtl/>
        </w:rPr>
        <w:t xml:space="preserve"> </w:t>
      </w:r>
      <w:r w:rsidRPr="00A512AA">
        <w:rPr>
          <w:rFonts w:hint="eastAsia"/>
          <w:b/>
          <w:bCs/>
          <w:rtl/>
        </w:rPr>
        <w:t>של</w:t>
      </w:r>
      <w:r w:rsidRPr="00A512AA">
        <w:rPr>
          <w:b/>
          <w:bCs/>
          <w:rtl/>
        </w:rPr>
        <w:t xml:space="preserve"> </w:t>
      </w:r>
      <w:r w:rsidRPr="00A512AA">
        <w:rPr>
          <w:rFonts w:hint="eastAsia"/>
          <w:b/>
          <w:bCs/>
          <w:rtl/>
        </w:rPr>
        <w:t>רשות</w:t>
      </w:r>
      <w:r w:rsidRPr="00A512AA">
        <w:rPr>
          <w:b/>
          <w:bCs/>
          <w:rtl/>
        </w:rPr>
        <w:t xml:space="preserve"> </w:t>
      </w:r>
      <w:r w:rsidRPr="00A512AA">
        <w:rPr>
          <w:rFonts w:hint="eastAsia"/>
          <w:b/>
          <w:bCs/>
          <w:rtl/>
        </w:rPr>
        <w:t>מנהלית</w:t>
      </w:r>
      <w:r w:rsidRPr="00A512AA">
        <w:rPr>
          <w:b/>
          <w:bCs/>
          <w:rtl/>
        </w:rPr>
        <w:t xml:space="preserve"> </w:t>
      </w:r>
      <w:r w:rsidRPr="00A512AA">
        <w:rPr>
          <w:rFonts w:hint="eastAsia"/>
          <w:b/>
          <w:bCs/>
          <w:rtl/>
        </w:rPr>
        <w:t>אינה</w:t>
      </w:r>
      <w:r w:rsidRPr="00A512AA">
        <w:rPr>
          <w:b/>
          <w:bCs/>
          <w:rtl/>
        </w:rPr>
        <w:t xml:space="preserve"> </w:t>
      </w:r>
      <w:r w:rsidRPr="00A512AA">
        <w:rPr>
          <w:rFonts w:hint="eastAsia"/>
          <w:b/>
          <w:bCs/>
          <w:rtl/>
        </w:rPr>
        <w:t>אילוץ</w:t>
      </w:r>
      <w:r w:rsidRPr="00A512AA">
        <w:rPr>
          <w:b/>
          <w:bCs/>
          <w:rtl/>
        </w:rPr>
        <w:t xml:space="preserve"> </w:t>
      </w:r>
      <w:r w:rsidRPr="00A512AA">
        <w:rPr>
          <w:rFonts w:hint="eastAsia"/>
          <w:b/>
          <w:bCs/>
          <w:rtl/>
        </w:rPr>
        <w:t>טכנולוגי</w:t>
      </w:r>
      <w:r w:rsidRPr="00A512AA">
        <w:rPr>
          <w:b/>
          <w:bCs/>
          <w:rtl/>
        </w:rPr>
        <w:t xml:space="preserve"> </w:t>
      </w:r>
      <w:r w:rsidRPr="00A512AA">
        <w:rPr>
          <w:rFonts w:hint="eastAsia"/>
          <w:b/>
          <w:bCs/>
          <w:rtl/>
        </w:rPr>
        <w:t>בלבד</w:t>
      </w:r>
      <w:r w:rsidRPr="00A512AA">
        <w:rPr>
          <w:b/>
          <w:bCs/>
          <w:rtl/>
        </w:rPr>
        <w:t xml:space="preserve"> </w:t>
      </w:r>
      <w:r w:rsidRPr="00A512AA">
        <w:rPr>
          <w:rFonts w:hint="eastAsia"/>
          <w:b/>
          <w:bCs/>
          <w:rtl/>
        </w:rPr>
        <w:t>אלא</w:t>
      </w:r>
      <w:r w:rsidRPr="00A512AA">
        <w:rPr>
          <w:b/>
          <w:bCs/>
          <w:rtl/>
        </w:rPr>
        <w:t xml:space="preserve"> </w:t>
      </w:r>
      <w:r w:rsidRPr="00A512AA">
        <w:rPr>
          <w:rFonts w:hint="eastAsia"/>
          <w:b/>
          <w:bCs/>
          <w:rtl/>
        </w:rPr>
        <w:t>קושי</w:t>
      </w:r>
      <w:r w:rsidRPr="00A512AA">
        <w:rPr>
          <w:b/>
          <w:bCs/>
          <w:rtl/>
        </w:rPr>
        <w:t xml:space="preserve"> </w:t>
      </w:r>
      <w:r w:rsidRPr="00A512AA">
        <w:rPr>
          <w:rFonts w:hint="eastAsia"/>
          <w:b/>
          <w:bCs/>
          <w:rtl/>
        </w:rPr>
        <w:t>משפטי</w:t>
      </w:r>
      <w:r w:rsidRPr="00A512AA">
        <w:rPr>
          <w:b/>
          <w:bCs/>
          <w:rtl/>
        </w:rPr>
        <w:t xml:space="preserve"> </w:t>
      </w:r>
      <w:r w:rsidRPr="00A512AA">
        <w:rPr>
          <w:rFonts w:hint="eastAsia"/>
          <w:b/>
          <w:bCs/>
          <w:rtl/>
        </w:rPr>
        <w:t>מהותי</w:t>
      </w:r>
      <w:r w:rsidRPr="00A512AA">
        <w:rPr>
          <w:b/>
          <w:bCs/>
          <w:rtl/>
        </w:rPr>
        <w:t xml:space="preserve"> </w:t>
      </w:r>
      <w:r w:rsidRPr="00A512AA">
        <w:rPr>
          <w:rFonts w:hint="eastAsia"/>
          <w:b/>
          <w:bCs/>
          <w:rtl/>
        </w:rPr>
        <w:t>הדורש</w:t>
      </w:r>
      <w:r w:rsidRPr="00A512AA">
        <w:rPr>
          <w:b/>
          <w:bCs/>
          <w:rtl/>
        </w:rPr>
        <w:t xml:space="preserve"> </w:t>
      </w:r>
      <w:r w:rsidRPr="00A512AA">
        <w:rPr>
          <w:rFonts w:hint="eastAsia"/>
          <w:b/>
          <w:bCs/>
          <w:rtl/>
        </w:rPr>
        <w:t>הסדרה</w:t>
      </w:r>
      <w:r w:rsidRPr="00A512AA">
        <w:rPr>
          <w:b/>
          <w:bCs/>
          <w:rtl/>
        </w:rPr>
        <w:t xml:space="preserve"> </w:t>
      </w:r>
      <w:r w:rsidRPr="00A512AA">
        <w:rPr>
          <w:rFonts w:hint="eastAsia"/>
          <w:b/>
          <w:bCs/>
          <w:rtl/>
        </w:rPr>
        <w:t>חקיקתית</w:t>
      </w:r>
      <w:r w:rsidRPr="00A512AA">
        <w:rPr>
          <w:b/>
          <w:bCs/>
          <w:rtl/>
        </w:rPr>
        <w:t xml:space="preserve"> </w:t>
      </w:r>
      <w:r w:rsidRPr="00A512AA">
        <w:rPr>
          <w:rFonts w:hint="eastAsia"/>
          <w:b/>
          <w:bCs/>
          <w:rtl/>
        </w:rPr>
        <w:t>ברורה</w:t>
      </w:r>
      <w:r w:rsidRPr="00A512AA">
        <w:rPr>
          <w:b/>
          <w:bCs/>
          <w:rtl/>
        </w:rPr>
        <w:t>.</w:t>
      </w:r>
      <w:bookmarkEnd w:id="518"/>
      <w:r>
        <w:rPr>
          <w:rFonts w:hint="cs"/>
          <w:b/>
          <w:bCs/>
          <w:rtl/>
        </w:rPr>
        <w:t xml:space="preserve"> </w:t>
      </w:r>
    </w:p>
    <w:p w:rsidR="00376C95" w:rsidRDefault="00376C95" w:rsidP="00DF4779">
      <w:pPr>
        <w:spacing w:line="269" w:lineRule="auto"/>
        <w:ind w:left="720"/>
        <w:rPr>
          <w:b/>
          <w:bCs/>
          <w:rtl/>
        </w:rPr>
      </w:pPr>
      <w:bookmarkStart w:id="519" w:name="_Hlk188187811"/>
      <w:bookmarkStart w:id="520" w:name="_Hlk155708181"/>
    </w:p>
    <w:p w:rsidR="009A1216" w:rsidRDefault="009A1216" w:rsidP="00DF4779">
      <w:pPr>
        <w:spacing w:line="269" w:lineRule="auto"/>
        <w:ind w:left="720"/>
        <w:rPr>
          <w:rtl/>
        </w:rPr>
      </w:pPr>
      <w:r>
        <w:rPr>
          <w:rFonts w:hint="cs"/>
          <w:b/>
          <w:bCs/>
          <w:rtl/>
        </w:rPr>
        <w:t xml:space="preserve">עוד נמצא כי בשנים 2014 - 2024: אגב הכנסת הכלים הטכנולוגיים, לאחר ההסדרה המשפטית שבדוח צוות מררי, ובמהלך ביקורת משרד מבקר המדינה </w:t>
      </w:r>
      <w:r w:rsidR="007038FA">
        <w:rPr>
          <w:rFonts w:hint="cs"/>
          <w:b/>
          <w:bCs/>
          <w:rtl/>
        </w:rPr>
        <w:t>-</w:t>
      </w:r>
      <w:r>
        <w:rPr>
          <w:rFonts w:hint="cs"/>
          <w:b/>
          <w:bCs/>
          <w:rtl/>
        </w:rPr>
        <w:t xml:space="preserve"> </w:t>
      </w:r>
      <w:r w:rsidR="00A21B0F">
        <w:rPr>
          <w:rFonts w:hint="cs"/>
          <w:b/>
          <w:bCs/>
          <w:rtl/>
        </w:rPr>
        <w:t>הייעוץ המשפטי לממשלה ב</w:t>
      </w:r>
      <w:r>
        <w:rPr>
          <w:rFonts w:hint="cs"/>
          <w:b/>
          <w:bCs/>
          <w:rtl/>
        </w:rPr>
        <w:t xml:space="preserve">משרד המשפטים והמשטרה התייחסו באופן חלקי למהות המידע, נחיצות איסופו וחוקיות איסופו בנוגע לשלושה סוגי </w:t>
      </w:r>
      <w:bookmarkEnd w:id="519"/>
      <w:r>
        <w:rPr>
          <w:rFonts w:hint="cs"/>
          <w:b/>
          <w:bCs/>
          <w:rtl/>
        </w:rPr>
        <w:t xml:space="preserve">מידע. </w:t>
      </w:r>
      <w:r w:rsidRPr="00C659E0">
        <w:rPr>
          <w:rFonts w:hint="eastAsia"/>
          <w:b/>
          <w:bCs/>
          <w:rtl/>
        </w:rPr>
        <w:t>ההתייחסות</w:t>
      </w:r>
      <w:r w:rsidRPr="00C659E0">
        <w:rPr>
          <w:b/>
          <w:bCs/>
          <w:rtl/>
        </w:rPr>
        <w:t xml:space="preserve"> </w:t>
      </w:r>
      <w:r w:rsidRPr="00C659E0">
        <w:rPr>
          <w:rFonts w:hint="eastAsia"/>
          <w:b/>
          <w:bCs/>
          <w:rtl/>
        </w:rPr>
        <w:t>החלקית</w:t>
      </w:r>
      <w:r w:rsidRPr="00C659E0">
        <w:rPr>
          <w:b/>
          <w:bCs/>
          <w:rtl/>
        </w:rPr>
        <w:t xml:space="preserve"> </w:t>
      </w:r>
      <w:r w:rsidRPr="00C659E0">
        <w:rPr>
          <w:rFonts w:hint="eastAsia"/>
          <w:b/>
          <w:bCs/>
          <w:rtl/>
        </w:rPr>
        <w:t>מותירה</w:t>
      </w:r>
      <w:r w:rsidRPr="00C659E0">
        <w:rPr>
          <w:b/>
          <w:bCs/>
          <w:rtl/>
        </w:rPr>
        <w:t xml:space="preserve"> </w:t>
      </w:r>
      <w:r w:rsidRPr="00C659E0">
        <w:rPr>
          <w:rFonts w:hint="eastAsia"/>
          <w:b/>
          <w:bCs/>
          <w:rtl/>
        </w:rPr>
        <w:t>את</w:t>
      </w:r>
      <w:r w:rsidRPr="00C659E0">
        <w:rPr>
          <w:b/>
          <w:bCs/>
          <w:rtl/>
        </w:rPr>
        <w:t xml:space="preserve"> </w:t>
      </w:r>
      <w:r w:rsidRPr="00C659E0">
        <w:rPr>
          <w:rFonts w:hint="eastAsia"/>
          <w:b/>
          <w:bCs/>
          <w:rtl/>
        </w:rPr>
        <w:t>סוגי</w:t>
      </w:r>
      <w:r w:rsidRPr="00C659E0">
        <w:rPr>
          <w:b/>
          <w:bCs/>
          <w:rtl/>
        </w:rPr>
        <w:t xml:space="preserve"> </w:t>
      </w:r>
      <w:r w:rsidRPr="00C659E0">
        <w:rPr>
          <w:rFonts w:hint="eastAsia"/>
          <w:b/>
          <w:bCs/>
          <w:rtl/>
        </w:rPr>
        <w:t>המידע</w:t>
      </w:r>
      <w:r w:rsidRPr="00C659E0">
        <w:rPr>
          <w:b/>
          <w:bCs/>
          <w:rtl/>
        </w:rPr>
        <w:t xml:space="preserve"> </w:t>
      </w:r>
      <w:r w:rsidRPr="00C659E0">
        <w:rPr>
          <w:rFonts w:hint="eastAsia"/>
          <w:b/>
          <w:bCs/>
          <w:rtl/>
        </w:rPr>
        <w:t>הללו</w:t>
      </w:r>
      <w:r w:rsidRPr="00C659E0">
        <w:rPr>
          <w:b/>
          <w:bCs/>
          <w:rtl/>
        </w:rPr>
        <w:t xml:space="preserve"> </w:t>
      </w:r>
      <w:r w:rsidRPr="00C659E0">
        <w:rPr>
          <w:rFonts w:hint="eastAsia"/>
          <w:b/>
          <w:bCs/>
          <w:rtl/>
        </w:rPr>
        <w:t>ללא</w:t>
      </w:r>
      <w:r w:rsidRPr="00C659E0">
        <w:rPr>
          <w:b/>
          <w:bCs/>
          <w:rtl/>
        </w:rPr>
        <w:t xml:space="preserve"> </w:t>
      </w:r>
      <w:r w:rsidRPr="00C659E0">
        <w:rPr>
          <w:rFonts w:hint="eastAsia"/>
          <w:b/>
          <w:bCs/>
          <w:rtl/>
        </w:rPr>
        <w:t>הכרעה</w:t>
      </w:r>
      <w:r w:rsidRPr="00C659E0">
        <w:rPr>
          <w:b/>
          <w:bCs/>
          <w:rtl/>
        </w:rPr>
        <w:t xml:space="preserve"> </w:t>
      </w:r>
      <w:r w:rsidRPr="00C659E0">
        <w:rPr>
          <w:rFonts w:hint="eastAsia"/>
          <w:b/>
          <w:bCs/>
          <w:rtl/>
        </w:rPr>
        <w:t>משפטית</w:t>
      </w:r>
      <w:r w:rsidRPr="00C659E0">
        <w:rPr>
          <w:b/>
          <w:bCs/>
          <w:rtl/>
        </w:rPr>
        <w:t xml:space="preserve"> </w:t>
      </w:r>
      <w:r w:rsidRPr="00C659E0">
        <w:rPr>
          <w:rFonts w:hint="eastAsia"/>
          <w:b/>
          <w:bCs/>
          <w:rtl/>
        </w:rPr>
        <w:t>ברורה</w:t>
      </w:r>
      <w:r w:rsidRPr="00C659E0">
        <w:rPr>
          <w:b/>
          <w:bCs/>
          <w:rtl/>
        </w:rPr>
        <w:t xml:space="preserve"> </w:t>
      </w:r>
      <w:r w:rsidRPr="00C659E0">
        <w:rPr>
          <w:rFonts w:hint="eastAsia"/>
          <w:b/>
          <w:bCs/>
          <w:rtl/>
        </w:rPr>
        <w:t>בדבר</w:t>
      </w:r>
      <w:r w:rsidRPr="00C659E0">
        <w:rPr>
          <w:b/>
          <w:bCs/>
          <w:rtl/>
        </w:rPr>
        <w:t xml:space="preserve"> </w:t>
      </w:r>
      <w:r w:rsidRPr="00C659E0">
        <w:rPr>
          <w:rFonts w:hint="eastAsia"/>
          <w:b/>
          <w:bCs/>
          <w:rtl/>
        </w:rPr>
        <w:t>חוקיות</w:t>
      </w:r>
      <w:r w:rsidRPr="00C659E0">
        <w:rPr>
          <w:b/>
          <w:bCs/>
          <w:rtl/>
        </w:rPr>
        <w:t xml:space="preserve"> </w:t>
      </w:r>
      <w:r w:rsidRPr="00C659E0">
        <w:rPr>
          <w:rFonts w:hint="eastAsia"/>
          <w:b/>
          <w:bCs/>
          <w:rtl/>
        </w:rPr>
        <w:t>איסופם</w:t>
      </w:r>
      <w:r>
        <w:rPr>
          <w:rFonts w:hint="cs"/>
          <w:b/>
          <w:bCs/>
          <w:rtl/>
        </w:rPr>
        <w:t xml:space="preserve">. </w:t>
      </w:r>
      <w:r w:rsidRPr="0065290D">
        <w:rPr>
          <w:rFonts w:hint="eastAsia"/>
          <w:b/>
          <w:bCs/>
          <w:rtl/>
        </w:rPr>
        <w:t>מבקר</w:t>
      </w:r>
      <w:r w:rsidRPr="0065290D">
        <w:rPr>
          <w:b/>
          <w:bCs/>
          <w:rtl/>
        </w:rPr>
        <w:t xml:space="preserve"> </w:t>
      </w:r>
      <w:r w:rsidRPr="0065290D">
        <w:rPr>
          <w:rFonts w:hint="eastAsia"/>
          <w:b/>
          <w:bCs/>
          <w:rtl/>
        </w:rPr>
        <w:t>המדינה</w:t>
      </w:r>
      <w:r w:rsidRPr="0065290D">
        <w:rPr>
          <w:b/>
          <w:bCs/>
          <w:rtl/>
        </w:rPr>
        <w:t xml:space="preserve"> </w:t>
      </w:r>
      <w:r w:rsidRPr="0065290D">
        <w:rPr>
          <w:rFonts w:hint="eastAsia"/>
          <w:b/>
          <w:bCs/>
          <w:rtl/>
        </w:rPr>
        <w:t>הציג</w:t>
      </w:r>
      <w:r w:rsidRPr="0065290D">
        <w:rPr>
          <w:b/>
          <w:bCs/>
          <w:rtl/>
        </w:rPr>
        <w:t xml:space="preserve"> </w:t>
      </w:r>
      <w:r w:rsidRPr="0065290D">
        <w:rPr>
          <w:rFonts w:hint="eastAsia"/>
          <w:b/>
          <w:bCs/>
          <w:rtl/>
        </w:rPr>
        <w:t>בפני</w:t>
      </w:r>
      <w:r w:rsidRPr="0065290D">
        <w:rPr>
          <w:b/>
          <w:bCs/>
          <w:rtl/>
        </w:rPr>
        <w:t xml:space="preserve"> </w:t>
      </w:r>
      <w:r w:rsidRPr="0065290D">
        <w:rPr>
          <w:rFonts w:hint="eastAsia"/>
          <w:b/>
          <w:bCs/>
          <w:rtl/>
        </w:rPr>
        <w:t>הגופים</w:t>
      </w:r>
      <w:r w:rsidRPr="0065290D">
        <w:rPr>
          <w:b/>
          <w:bCs/>
          <w:rtl/>
        </w:rPr>
        <w:t xml:space="preserve"> </w:t>
      </w:r>
      <w:r w:rsidRPr="0065290D">
        <w:rPr>
          <w:rFonts w:hint="eastAsia"/>
          <w:b/>
          <w:bCs/>
          <w:rtl/>
        </w:rPr>
        <w:t>את</w:t>
      </w:r>
      <w:r w:rsidRPr="0065290D">
        <w:rPr>
          <w:b/>
          <w:bCs/>
          <w:rtl/>
        </w:rPr>
        <w:t xml:space="preserve"> </w:t>
      </w:r>
      <w:r w:rsidRPr="0065290D">
        <w:rPr>
          <w:rFonts w:hint="eastAsia"/>
          <w:b/>
          <w:bCs/>
          <w:rtl/>
        </w:rPr>
        <w:t>שלושת</w:t>
      </w:r>
      <w:r w:rsidRPr="0065290D">
        <w:rPr>
          <w:b/>
          <w:bCs/>
          <w:rtl/>
        </w:rPr>
        <w:t xml:space="preserve"> </w:t>
      </w:r>
      <w:r w:rsidRPr="0065290D">
        <w:rPr>
          <w:rFonts w:hint="eastAsia"/>
          <w:b/>
          <w:bCs/>
          <w:rtl/>
        </w:rPr>
        <w:t>סוגי</w:t>
      </w:r>
      <w:r w:rsidRPr="0065290D">
        <w:rPr>
          <w:b/>
          <w:bCs/>
          <w:rtl/>
        </w:rPr>
        <w:t xml:space="preserve"> </w:t>
      </w:r>
      <w:r w:rsidRPr="0065290D">
        <w:rPr>
          <w:rFonts w:hint="eastAsia"/>
          <w:b/>
          <w:bCs/>
          <w:rtl/>
        </w:rPr>
        <w:t>המידע</w:t>
      </w:r>
      <w:r w:rsidRPr="0065290D">
        <w:rPr>
          <w:b/>
          <w:bCs/>
          <w:rtl/>
        </w:rPr>
        <w:t xml:space="preserve"> </w:t>
      </w:r>
      <w:r w:rsidRPr="0065290D">
        <w:rPr>
          <w:rFonts w:hint="eastAsia"/>
          <w:b/>
          <w:bCs/>
          <w:rtl/>
        </w:rPr>
        <w:t>והנסיבות</w:t>
      </w:r>
      <w:r w:rsidRPr="0065290D">
        <w:rPr>
          <w:b/>
          <w:bCs/>
          <w:rtl/>
        </w:rPr>
        <w:t xml:space="preserve"> </w:t>
      </w:r>
      <w:r>
        <w:rPr>
          <w:rFonts w:hint="cs"/>
          <w:b/>
          <w:bCs/>
          <w:rtl/>
        </w:rPr>
        <w:t>ש</w:t>
      </w:r>
      <w:r w:rsidRPr="0065290D">
        <w:rPr>
          <w:rFonts w:hint="eastAsia"/>
          <w:b/>
          <w:bCs/>
          <w:rtl/>
        </w:rPr>
        <w:t>מהן</w:t>
      </w:r>
      <w:r w:rsidRPr="0065290D">
        <w:rPr>
          <w:b/>
          <w:bCs/>
          <w:rtl/>
        </w:rPr>
        <w:t xml:space="preserve"> </w:t>
      </w:r>
      <w:r w:rsidRPr="0065290D">
        <w:rPr>
          <w:rFonts w:hint="eastAsia"/>
          <w:b/>
          <w:bCs/>
          <w:rtl/>
        </w:rPr>
        <w:t>עלה</w:t>
      </w:r>
      <w:r w:rsidRPr="0065290D">
        <w:rPr>
          <w:b/>
          <w:bCs/>
          <w:rtl/>
        </w:rPr>
        <w:t xml:space="preserve"> </w:t>
      </w:r>
      <w:r w:rsidRPr="0065290D">
        <w:rPr>
          <w:rFonts w:hint="eastAsia"/>
          <w:b/>
          <w:bCs/>
          <w:rtl/>
        </w:rPr>
        <w:t>כי</w:t>
      </w:r>
      <w:r w:rsidRPr="0065290D">
        <w:rPr>
          <w:b/>
          <w:bCs/>
          <w:rtl/>
        </w:rPr>
        <w:t xml:space="preserve"> </w:t>
      </w:r>
      <w:r w:rsidRPr="0065290D">
        <w:rPr>
          <w:rFonts w:hint="eastAsia"/>
          <w:b/>
          <w:bCs/>
          <w:rtl/>
        </w:rPr>
        <w:t>ההתייחסות</w:t>
      </w:r>
      <w:r w:rsidRPr="0065290D">
        <w:rPr>
          <w:b/>
          <w:bCs/>
          <w:rtl/>
        </w:rPr>
        <w:t xml:space="preserve"> </w:t>
      </w:r>
      <w:r w:rsidRPr="0065290D">
        <w:rPr>
          <w:rFonts w:hint="eastAsia"/>
          <w:b/>
          <w:bCs/>
          <w:rtl/>
        </w:rPr>
        <w:t>לגביהם</w:t>
      </w:r>
      <w:r w:rsidRPr="0065290D">
        <w:rPr>
          <w:b/>
          <w:bCs/>
          <w:rtl/>
        </w:rPr>
        <w:t xml:space="preserve"> </w:t>
      </w:r>
      <w:r w:rsidRPr="0065290D">
        <w:rPr>
          <w:rFonts w:hint="eastAsia"/>
          <w:b/>
          <w:bCs/>
          <w:rtl/>
        </w:rPr>
        <w:t>הייתה</w:t>
      </w:r>
      <w:r w:rsidRPr="0065290D">
        <w:rPr>
          <w:b/>
          <w:bCs/>
          <w:rtl/>
        </w:rPr>
        <w:t xml:space="preserve"> </w:t>
      </w:r>
      <w:r w:rsidRPr="0065290D">
        <w:rPr>
          <w:rFonts w:hint="eastAsia"/>
          <w:b/>
          <w:bCs/>
          <w:rtl/>
        </w:rPr>
        <w:t>חלקית</w:t>
      </w:r>
      <w:r w:rsidRPr="0065290D">
        <w:rPr>
          <w:b/>
          <w:bCs/>
          <w:rtl/>
        </w:rPr>
        <w:t>.</w:t>
      </w:r>
      <w:bookmarkEnd w:id="520"/>
    </w:p>
    <w:p w:rsidR="00376C95" w:rsidRDefault="00376C95" w:rsidP="00DF4779">
      <w:pPr>
        <w:spacing w:line="269" w:lineRule="auto"/>
        <w:ind w:left="720"/>
        <w:rPr>
          <w:b/>
          <w:bCs/>
          <w:rtl/>
        </w:rPr>
      </w:pPr>
    </w:p>
    <w:p w:rsidR="009A1216" w:rsidRDefault="009A1216" w:rsidP="00DF4779">
      <w:pPr>
        <w:spacing w:line="269" w:lineRule="auto"/>
        <w:ind w:left="720"/>
      </w:pPr>
      <w:r w:rsidRPr="00365DE6">
        <w:rPr>
          <w:rFonts w:hint="eastAsia"/>
          <w:b/>
          <w:bCs/>
          <w:rtl/>
        </w:rPr>
        <w:t>מוצע</w:t>
      </w:r>
      <w:r w:rsidRPr="00365DE6">
        <w:rPr>
          <w:b/>
          <w:bCs/>
          <w:rtl/>
        </w:rPr>
        <w:t xml:space="preserve"> כי </w:t>
      </w:r>
      <w:r>
        <w:rPr>
          <w:rFonts w:hint="cs"/>
          <w:b/>
          <w:bCs/>
          <w:rtl/>
        </w:rPr>
        <w:t>הייעוץ המשפטי לממשלה ב</w:t>
      </w:r>
      <w:r w:rsidRPr="00365DE6">
        <w:rPr>
          <w:b/>
          <w:bCs/>
          <w:rtl/>
        </w:rPr>
        <w:t xml:space="preserve">משרד המשפטים </w:t>
      </w:r>
      <w:r>
        <w:rPr>
          <w:rFonts w:hint="cs"/>
          <w:b/>
          <w:bCs/>
          <w:rtl/>
        </w:rPr>
        <w:t>יבחן בתיאום עם המשטרה</w:t>
      </w:r>
      <w:r w:rsidRPr="00365DE6">
        <w:rPr>
          <w:b/>
          <w:bCs/>
          <w:rtl/>
        </w:rPr>
        <w:t xml:space="preserve"> את האיסור הגורף </w:t>
      </w:r>
      <w:r>
        <w:rPr>
          <w:rFonts w:hint="cs"/>
          <w:b/>
          <w:bCs/>
          <w:rtl/>
        </w:rPr>
        <w:t xml:space="preserve">שנקבע על ידי צוות מררי </w:t>
      </w:r>
      <w:r w:rsidRPr="00365DE6">
        <w:rPr>
          <w:b/>
          <w:bCs/>
          <w:rtl/>
        </w:rPr>
        <w:t xml:space="preserve">לאיסוף </w:t>
      </w:r>
      <w:r>
        <w:rPr>
          <w:rFonts w:hint="cs"/>
          <w:b/>
          <w:bCs/>
          <w:rtl/>
        </w:rPr>
        <w:t>סוג מידע מסוים ויכריע באופן מלא בדבר מכלול פריטי המידע הניתנים לאיסוף ושיטת איסופם המותרת בשני סוגי המידע הנוספים. זאת</w:t>
      </w:r>
      <w:r w:rsidRPr="00365DE6">
        <w:rPr>
          <w:b/>
          <w:bCs/>
          <w:rtl/>
        </w:rPr>
        <w:t>, לנוכח ה</w:t>
      </w:r>
      <w:r>
        <w:rPr>
          <w:rFonts w:hint="cs"/>
          <w:b/>
          <w:bCs/>
          <w:rtl/>
        </w:rPr>
        <w:t>אפשרות כי יש דרכי שימוש בסוגי מידע אלו שהם בני העברה בתווך תקשורת בין מחשבים, ואלו נחשבים "שיחה" הניתנת להאזנה, קרי מידע שנאסף בהתאם לחוק האזנת סתר.</w:t>
      </w:r>
    </w:p>
    <w:p w:rsidR="00376C95" w:rsidRDefault="00376C95" w:rsidP="00DF4779">
      <w:pPr>
        <w:spacing w:line="269" w:lineRule="auto"/>
        <w:ind w:left="720"/>
        <w:rPr>
          <w:b/>
          <w:bCs/>
          <w:rtl/>
        </w:rPr>
      </w:pPr>
      <w:bookmarkStart w:id="521" w:name="_Hlk155709418"/>
    </w:p>
    <w:p w:rsidR="009A1216" w:rsidRDefault="009A1216" w:rsidP="00DF4779">
      <w:pPr>
        <w:spacing w:line="269" w:lineRule="auto"/>
        <w:ind w:left="720"/>
        <w:rPr>
          <w:b/>
          <w:bCs/>
          <w:rtl/>
        </w:rPr>
      </w:pPr>
      <w:r>
        <w:rPr>
          <w:rFonts w:hint="cs"/>
          <w:b/>
          <w:bCs/>
          <w:rtl/>
        </w:rPr>
        <w:t>אי-ההסדרה החקיקתית, ההסדרה המשפטית החלקית, וההישענות על פרשנות החוק הקיים שחסר</w:t>
      </w:r>
      <w:r w:rsidR="00A6016A">
        <w:rPr>
          <w:rFonts w:hint="cs"/>
          <w:b/>
          <w:bCs/>
          <w:rtl/>
        </w:rPr>
        <w:t>ה</w:t>
      </w:r>
      <w:r>
        <w:rPr>
          <w:rFonts w:hint="cs"/>
          <w:b/>
          <w:bCs/>
          <w:rtl/>
        </w:rPr>
        <w:t xml:space="preserve"> התייחסות ברורה ומפורשת לסמכויות איסוף תוצרי האזנת סתר</w:t>
      </w:r>
      <w:r w:rsidR="00D3445C">
        <w:rPr>
          <w:rFonts w:hint="cs"/>
          <w:b/>
          <w:bCs/>
          <w:rtl/>
        </w:rPr>
        <w:t xml:space="preserve"> </w:t>
      </w:r>
      <w:r w:rsidR="00117580">
        <w:rPr>
          <w:rFonts w:hint="cs"/>
          <w:b/>
          <w:bCs/>
          <w:rtl/>
        </w:rPr>
        <w:t>עלול</w:t>
      </w:r>
      <w:r w:rsidR="00A6016A">
        <w:rPr>
          <w:rFonts w:hint="cs"/>
          <w:b/>
          <w:bCs/>
          <w:rtl/>
        </w:rPr>
        <w:t>ים</w:t>
      </w:r>
      <w:r w:rsidR="00117580">
        <w:rPr>
          <w:rFonts w:hint="cs"/>
          <w:b/>
          <w:bCs/>
          <w:rtl/>
        </w:rPr>
        <w:t xml:space="preserve"> </w:t>
      </w:r>
      <w:r>
        <w:rPr>
          <w:rFonts w:hint="cs"/>
          <w:b/>
          <w:bCs/>
          <w:rtl/>
        </w:rPr>
        <w:t xml:space="preserve">לפגוע פגיעה משמעותית בעקרון חוקיות המינהל ובפרט בעקרון בהירות החוק והוודאות המשפטית של הציבור לגבי מהות המידע הניתן לאיסוף בהאזנת סתר. במצב זה, נפגמת יכולת הציבור לבקר ולהעמיד למבחן משפטי את החוקתיות והמידתיות של הפגיעה הנגרמת בחקיקה לנוכח התפתחות הטכנולוגיה ויכולות יצירת סוגי מידע חדשים, שונים ובלתי מוכרים שיעוגנו בחקיקה. למשל, הציבור יוכל לטעון כנגד איסוף מידע הנוגע לבריאותו של אדם או למאפייניו הפיזיים. </w:t>
      </w:r>
      <w:bookmarkEnd w:id="521"/>
    </w:p>
    <w:p w:rsidR="009A1216" w:rsidRDefault="009A1216" w:rsidP="00DF4779">
      <w:pPr>
        <w:pStyle w:val="a5"/>
        <w:spacing w:line="269" w:lineRule="auto"/>
        <w:ind w:left="153"/>
        <w:rPr>
          <w:rtl/>
        </w:rPr>
      </w:pPr>
    </w:p>
    <w:p w:rsidR="009A1216" w:rsidRPr="005571ED" w:rsidRDefault="009A1216" w:rsidP="00DF4779">
      <w:pPr>
        <w:spacing w:line="269" w:lineRule="auto"/>
        <w:ind w:left="720"/>
        <w:rPr>
          <w:rtl/>
        </w:rPr>
      </w:pPr>
      <w:r w:rsidRPr="005571ED">
        <w:rPr>
          <w:rFonts w:hint="eastAsia"/>
          <w:rtl/>
        </w:rPr>
        <w:t>בתשובת</w:t>
      </w:r>
      <w:r w:rsidRPr="005571ED">
        <w:rPr>
          <w:rtl/>
        </w:rPr>
        <w:t xml:space="preserve"> </w:t>
      </w:r>
      <w:r w:rsidRPr="005571ED">
        <w:rPr>
          <w:rFonts w:hint="eastAsia"/>
          <w:rtl/>
        </w:rPr>
        <w:t>משרד</w:t>
      </w:r>
      <w:r w:rsidRPr="005571ED">
        <w:rPr>
          <w:rtl/>
        </w:rPr>
        <w:t xml:space="preserve"> </w:t>
      </w:r>
      <w:r w:rsidRPr="005571ED">
        <w:rPr>
          <w:rFonts w:hint="eastAsia"/>
          <w:rtl/>
        </w:rPr>
        <w:t>המשפטים</w:t>
      </w:r>
      <w:r w:rsidRPr="005571ED">
        <w:rPr>
          <w:rtl/>
        </w:rPr>
        <w:t xml:space="preserve"> </w:t>
      </w:r>
      <w:r w:rsidRPr="005571ED">
        <w:rPr>
          <w:rFonts w:hint="eastAsia"/>
          <w:rtl/>
        </w:rPr>
        <w:t>נמסר</w:t>
      </w:r>
      <w:r w:rsidRPr="005571ED">
        <w:rPr>
          <w:rtl/>
        </w:rPr>
        <w:t xml:space="preserve"> </w:t>
      </w:r>
      <w:r w:rsidRPr="005571ED">
        <w:rPr>
          <w:rFonts w:hint="eastAsia"/>
          <w:rtl/>
        </w:rPr>
        <w:t>כי</w:t>
      </w:r>
      <w:r w:rsidRPr="005571ED">
        <w:rPr>
          <w:rtl/>
        </w:rPr>
        <w:t xml:space="preserve"> </w:t>
      </w:r>
      <w:r w:rsidRPr="005571ED">
        <w:rPr>
          <w:rFonts w:hint="eastAsia"/>
          <w:rtl/>
        </w:rPr>
        <w:t>לעמדתם</w:t>
      </w:r>
      <w:r w:rsidRPr="005571ED">
        <w:rPr>
          <w:rtl/>
        </w:rPr>
        <w:t xml:space="preserve"> </w:t>
      </w:r>
      <w:r w:rsidRPr="005571ED">
        <w:rPr>
          <w:rFonts w:hint="eastAsia"/>
          <w:rtl/>
        </w:rPr>
        <w:t>אין</w:t>
      </w:r>
      <w:r w:rsidRPr="005571ED">
        <w:rPr>
          <w:rtl/>
        </w:rPr>
        <w:t xml:space="preserve"> </w:t>
      </w:r>
      <w:r w:rsidRPr="005571ED">
        <w:rPr>
          <w:rFonts w:hint="eastAsia"/>
          <w:rtl/>
        </w:rPr>
        <w:t>צורך</w:t>
      </w:r>
      <w:r w:rsidRPr="005571ED">
        <w:rPr>
          <w:rtl/>
        </w:rPr>
        <w:t xml:space="preserve"> </w:t>
      </w:r>
      <w:r w:rsidRPr="005571ED">
        <w:rPr>
          <w:rFonts w:hint="eastAsia"/>
          <w:rtl/>
        </w:rPr>
        <w:t>לעגן</w:t>
      </w:r>
      <w:r w:rsidRPr="005571ED">
        <w:rPr>
          <w:rtl/>
        </w:rPr>
        <w:t xml:space="preserve"> </w:t>
      </w:r>
      <w:r w:rsidRPr="005571ED">
        <w:rPr>
          <w:rFonts w:hint="eastAsia"/>
          <w:rtl/>
        </w:rPr>
        <w:t>בחקיקה</w:t>
      </w:r>
      <w:r w:rsidRPr="005571ED">
        <w:rPr>
          <w:rtl/>
        </w:rPr>
        <w:t xml:space="preserve"> </w:t>
      </w:r>
      <w:r w:rsidRPr="005571ED">
        <w:rPr>
          <w:rFonts w:hint="eastAsia"/>
          <w:rtl/>
        </w:rPr>
        <w:t>כל</w:t>
      </w:r>
      <w:r w:rsidRPr="005571ED">
        <w:rPr>
          <w:rtl/>
        </w:rPr>
        <w:t xml:space="preserve"> </w:t>
      </w:r>
      <w:r w:rsidRPr="005571ED">
        <w:rPr>
          <w:rFonts w:hint="eastAsia"/>
          <w:rtl/>
        </w:rPr>
        <w:t>סוג</w:t>
      </w:r>
      <w:r w:rsidRPr="005571ED">
        <w:rPr>
          <w:rtl/>
        </w:rPr>
        <w:t xml:space="preserve"> </w:t>
      </w:r>
      <w:r w:rsidRPr="005571ED">
        <w:rPr>
          <w:rFonts w:hint="eastAsia"/>
          <w:rtl/>
        </w:rPr>
        <w:t>מידע</w:t>
      </w:r>
      <w:r w:rsidRPr="005571ED">
        <w:rPr>
          <w:rtl/>
        </w:rPr>
        <w:t xml:space="preserve"> </w:t>
      </w:r>
      <w:r w:rsidRPr="005571ED">
        <w:rPr>
          <w:rFonts w:hint="eastAsia"/>
          <w:rtl/>
        </w:rPr>
        <w:t>הניתן</w:t>
      </w:r>
      <w:r w:rsidRPr="005571ED">
        <w:rPr>
          <w:rtl/>
        </w:rPr>
        <w:t xml:space="preserve"> </w:t>
      </w:r>
      <w:r w:rsidRPr="005571ED">
        <w:rPr>
          <w:rFonts w:hint="eastAsia"/>
          <w:rtl/>
        </w:rPr>
        <w:t>לאיסוף</w:t>
      </w:r>
      <w:r w:rsidRPr="005571ED">
        <w:rPr>
          <w:rtl/>
        </w:rPr>
        <w:t xml:space="preserve"> </w:t>
      </w:r>
      <w:r w:rsidRPr="005571ED">
        <w:rPr>
          <w:rFonts w:hint="eastAsia"/>
          <w:rtl/>
        </w:rPr>
        <w:t>במסגרת</w:t>
      </w:r>
      <w:r w:rsidRPr="005571ED">
        <w:rPr>
          <w:rtl/>
        </w:rPr>
        <w:t xml:space="preserve"> </w:t>
      </w:r>
      <w:r w:rsidRPr="005571ED">
        <w:rPr>
          <w:rFonts w:hint="eastAsia"/>
          <w:rtl/>
        </w:rPr>
        <w:t>חקיקה</w:t>
      </w:r>
      <w:r w:rsidRPr="005571ED">
        <w:rPr>
          <w:rtl/>
        </w:rPr>
        <w:t xml:space="preserve"> </w:t>
      </w:r>
      <w:r w:rsidRPr="005571ED">
        <w:rPr>
          <w:rFonts w:hint="eastAsia"/>
          <w:rtl/>
        </w:rPr>
        <w:t>ראשית</w:t>
      </w:r>
      <w:r w:rsidRPr="005571ED">
        <w:rPr>
          <w:rtl/>
        </w:rPr>
        <w:t xml:space="preserve"> </w:t>
      </w:r>
      <w:r w:rsidRPr="005571ED">
        <w:rPr>
          <w:rFonts w:hint="eastAsia"/>
          <w:rtl/>
        </w:rPr>
        <w:t>וזאת</w:t>
      </w:r>
      <w:r w:rsidRPr="005571ED">
        <w:rPr>
          <w:rtl/>
        </w:rPr>
        <w:t xml:space="preserve"> </w:t>
      </w:r>
      <w:r w:rsidRPr="005571ED">
        <w:rPr>
          <w:rFonts w:hint="eastAsia"/>
          <w:rtl/>
        </w:rPr>
        <w:t>מ</w:t>
      </w:r>
      <w:r>
        <w:rPr>
          <w:rFonts w:hint="cs"/>
          <w:rtl/>
        </w:rPr>
        <w:t xml:space="preserve">פני </w:t>
      </w:r>
      <w:r w:rsidRPr="005571ED">
        <w:rPr>
          <w:rFonts w:hint="eastAsia"/>
          <w:rtl/>
        </w:rPr>
        <w:t>שלא</w:t>
      </w:r>
      <w:r w:rsidRPr="005571ED">
        <w:rPr>
          <w:rtl/>
        </w:rPr>
        <w:t xml:space="preserve"> ניתן לצפות אפריורית את כל סוגי המידע שניתן יהיה לאסוף באמצעות </w:t>
      </w:r>
      <w:r w:rsidRPr="005571ED">
        <w:rPr>
          <w:rFonts w:hint="eastAsia"/>
          <w:rtl/>
        </w:rPr>
        <w:t>הכלים</w:t>
      </w:r>
      <w:r w:rsidRPr="005571ED">
        <w:rPr>
          <w:rtl/>
        </w:rPr>
        <w:t xml:space="preserve"> </w:t>
      </w:r>
      <w:r w:rsidRPr="005571ED">
        <w:rPr>
          <w:rFonts w:hint="eastAsia"/>
          <w:rtl/>
        </w:rPr>
        <w:t>הטכנולוגיים</w:t>
      </w:r>
      <w:r w:rsidRPr="005571ED">
        <w:rPr>
          <w:rtl/>
        </w:rPr>
        <w:t xml:space="preserve"> </w:t>
      </w:r>
      <w:r w:rsidRPr="005571ED">
        <w:rPr>
          <w:rFonts w:hint="eastAsia"/>
          <w:rtl/>
        </w:rPr>
        <w:t>השונים</w:t>
      </w:r>
      <w:r>
        <w:rPr>
          <w:rFonts w:hint="cs"/>
          <w:rtl/>
        </w:rPr>
        <w:t>,</w:t>
      </w:r>
      <w:r w:rsidRPr="005571ED">
        <w:rPr>
          <w:rtl/>
        </w:rPr>
        <w:t xml:space="preserve"> </w:t>
      </w:r>
      <w:r w:rsidRPr="005571ED">
        <w:rPr>
          <w:rFonts w:hint="eastAsia"/>
          <w:rtl/>
        </w:rPr>
        <w:t>ו</w:t>
      </w:r>
      <w:r>
        <w:rPr>
          <w:rFonts w:hint="cs"/>
          <w:rtl/>
        </w:rPr>
        <w:t>על כ</w:t>
      </w:r>
      <w:r w:rsidRPr="005571ED">
        <w:rPr>
          <w:rFonts w:hint="eastAsia"/>
          <w:rtl/>
        </w:rPr>
        <w:t>ן</w:t>
      </w:r>
      <w:r w:rsidRPr="005571ED">
        <w:rPr>
          <w:rtl/>
        </w:rPr>
        <w:t xml:space="preserve"> במסגרת החקיקה העתידית יש מקום להגדיר את גדרי הסמכות לאיסוף מידע באופן שייתן מענה גם לסוגי חומרים שאינם מוכרים או ידועים כיום. </w:t>
      </w:r>
      <w:r>
        <w:rPr>
          <w:rFonts w:hint="cs"/>
          <w:rtl/>
        </w:rPr>
        <w:t xml:space="preserve">זאת, בין היתר לאור תפיסת משרד המשפטים כי חקיקה בתחום זה נדרשת להיות ניטרלית טכנולוגית. </w:t>
      </w:r>
    </w:p>
    <w:p w:rsidR="00B659B4" w:rsidRDefault="00B659B4" w:rsidP="00604C3D">
      <w:pPr>
        <w:spacing w:line="269" w:lineRule="auto"/>
        <w:rPr>
          <w:b/>
          <w:bCs/>
          <w:rtl/>
        </w:rPr>
      </w:pPr>
    </w:p>
    <w:p w:rsidR="009A1216" w:rsidRDefault="009A1216" w:rsidP="00DF4779">
      <w:pPr>
        <w:spacing w:line="269" w:lineRule="auto"/>
        <w:ind w:left="720"/>
        <w:rPr>
          <w:b/>
          <w:bCs/>
          <w:rtl/>
        </w:rPr>
      </w:pPr>
      <w:r>
        <w:rPr>
          <w:rFonts w:hint="cs"/>
          <w:b/>
          <w:bCs/>
          <w:rtl/>
        </w:rPr>
        <w:t xml:space="preserve">מומלץ כי </w:t>
      </w:r>
      <w:r w:rsidRPr="00A965E8">
        <w:rPr>
          <w:rFonts w:hint="cs"/>
          <w:b/>
          <w:bCs/>
          <w:rtl/>
        </w:rPr>
        <w:t>משרד המשפטים</w:t>
      </w:r>
      <w:r>
        <w:rPr>
          <w:rFonts w:hint="cs"/>
          <w:b/>
          <w:bCs/>
          <w:rtl/>
        </w:rPr>
        <w:t>, האחראי לעבודת המטה</w:t>
      </w:r>
      <w:r w:rsidDel="00D964D2">
        <w:rPr>
          <w:rFonts w:hint="cs"/>
          <w:b/>
          <w:bCs/>
          <w:rtl/>
        </w:rPr>
        <w:t xml:space="preserve"> </w:t>
      </w:r>
      <w:r>
        <w:rPr>
          <w:rFonts w:hint="cs"/>
          <w:b/>
          <w:bCs/>
          <w:rtl/>
        </w:rPr>
        <w:t xml:space="preserve">ולקידום הסדרת תיקוני החקיקה הנדרשים לחוק חיפוש סמוי ולחוק האזנת סתר יגדיר בשני דברי החקיקה האלו את סמכות איסוף המידע ומהות המידע החוסה תחת כל חוק באופן מפורש וברור, ואת הקטגוריות הכלליות של סוגי המידע הדיגיטלי בר האיסוף. נוסף על כך ובמסגרת ההסדרה המשפטית, מומלץ כי חוקיות איסוף פריטי מידע ספציפיים או מטא-דאטה שנוצרו בנוגע לאותו המידע תוגדר בחוות דעת משפטית סדורה הנוגעת לסמכויות הכלליות מכוח דברי החקיקה, ובחוות דעת משפטיות קונקרטיות המאשרות שימוש בכלים טכנולוגיים, תוך עמידה ברורה ומפורשת אילו פריטי מידע ספציפיים ניתן לאסוף באמצעות הכלים הטכנולוגיים ובאיזו שיטת איסוף. </w:t>
      </w:r>
    </w:p>
    <w:p w:rsidR="00B659B4" w:rsidRDefault="00B659B4" w:rsidP="00604C3D">
      <w:pPr>
        <w:bidi w:val="0"/>
        <w:spacing w:line="269" w:lineRule="auto"/>
        <w:rPr>
          <w:rtl/>
        </w:rPr>
      </w:pPr>
      <w:bookmarkStart w:id="522" w:name="_Toc211521940"/>
    </w:p>
    <w:p w:rsidR="009A1216" w:rsidRDefault="009A1216" w:rsidP="00850505">
      <w:pPr>
        <w:pStyle w:val="4"/>
        <w:numPr>
          <w:ilvl w:val="0"/>
          <w:numId w:val="27"/>
        </w:numPr>
        <w:spacing w:before="0" w:line="269" w:lineRule="auto"/>
        <w:rPr>
          <w:rtl/>
        </w:rPr>
      </w:pPr>
      <w:bookmarkStart w:id="523" w:name="_Toc219110330"/>
      <w:bookmarkStart w:id="524" w:name="_Toc219113771"/>
      <w:bookmarkStart w:id="525" w:name="_Toc219286546"/>
      <w:r>
        <w:rPr>
          <w:rFonts w:hint="cs"/>
          <w:rtl/>
        </w:rPr>
        <w:t>איסוף תוצרי האזנת סתר שחורג מהוראות הדין</w:t>
      </w:r>
      <w:bookmarkEnd w:id="522"/>
      <w:bookmarkEnd w:id="523"/>
      <w:bookmarkEnd w:id="524"/>
      <w:bookmarkEnd w:id="525"/>
      <w:r>
        <w:rPr>
          <w:rFonts w:hint="cs"/>
          <w:rtl/>
        </w:rPr>
        <w:t xml:space="preserve"> </w:t>
      </w:r>
    </w:p>
    <w:p w:rsidR="0073303F" w:rsidRPr="0073303F" w:rsidRDefault="0073303F" w:rsidP="00604C3D">
      <w:pPr>
        <w:spacing w:line="269" w:lineRule="auto"/>
      </w:pPr>
    </w:p>
    <w:bookmarkEnd w:id="516"/>
    <w:p w:rsidR="009A1216" w:rsidRDefault="009A1216" w:rsidP="00DF4779">
      <w:pPr>
        <w:pStyle w:val="5"/>
        <w:numPr>
          <w:ilvl w:val="0"/>
          <w:numId w:val="28"/>
        </w:numPr>
        <w:spacing w:line="269" w:lineRule="auto"/>
        <w:ind w:left="707"/>
        <w:rPr>
          <w:rtl/>
        </w:rPr>
      </w:pPr>
      <w:r>
        <w:rPr>
          <w:rFonts w:hint="cs"/>
          <w:rtl/>
        </w:rPr>
        <w:t xml:space="preserve">סוגי מידע </w:t>
      </w:r>
      <w:r w:rsidR="00A77084">
        <w:rPr>
          <w:rFonts w:hint="cs"/>
          <w:rtl/>
        </w:rPr>
        <w:t xml:space="preserve">שאיסופם </w:t>
      </w:r>
      <w:r w:rsidR="006F5640">
        <w:rPr>
          <w:rFonts w:hint="cs"/>
          <w:rtl/>
        </w:rPr>
        <w:t>אסור</w:t>
      </w:r>
    </w:p>
    <w:p w:rsidR="009A1216" w:rsidRDefault="009A1216" w:rsidP="00604C3D">
      <w:pPr>
        <w:pStyle w:val="a5"/>
        <w:spacing w:line="269" w:lineRule="auto"/>
        <w:rPr>
          <w:rtl/>
        </w:rPr>
      </w:pPr>
      <w:r>
        <w:rPr>
          <w:rFonts w:hint="cs"/>
          <w:rtl/>
        </w:rPr>
        <w:t xml:space="preserve"> </w:t>
      </w:r>
    </w:p>
    <w:p w:rsidR="009A1216" w:rsidRDefault="009A1216" w:rsidP="00DF4779">
      <w:pPr>
        <w:spacing w:line="269" w:lineRule="auto"/>
        <w:ind w:left="707"/>
        <w:rPr>
          <w:rtl/>
        </w:rPr>
      </w:pPr>
      <w:r w:rsidRPr="00F702C2">
        <w:rPr>
          <w:rFonts w:hint="cs"/>
          <w:rtl/>
        </w:rPr>
        <w:t xml:space="preserve">להלן </w:t>
      </w:r>
      <w:r>
        <w:rPr>
          <w:rFonts w:hint="cs"/>
          <w:rtl/>
        </w:rPr>
        <w:t>לוח</w:t>
      </w:r>
      <w:r w:rsidRPr="00F702C2">
        <w:rPr>
          <w:rFonts w:hint="cs"/>
          <w:rtl/>
        </w:rPr>
        <w:t xml:space="preserve"> המפרט </w:t>
      </w:r>
      <w:r>
        <w:rPr>
          <w:rFonts w:hint="cs"/>
          <w:rtl/>
        </w:rPr>
        <w:t>את</w:t>
      </w:r>
      <w:r w:rsidRPr="00F702C2">
        <w:rPr>
          <w:rFonts w:hint="cs"/>
          <w:rtl/>
        </w:rPr>
        <w:t xml:space="preserve"> </w:t>
      </w:r>
      <w:r>
        <w:rPr>
          <w:rFonts w:hint="cs"/>
          <w:rtl/>
        </w:rPr>
        <w:t>פעולות המשטרה לאיסוף מידע באמצע</w:t>
      </w:r>
      <w:r w:rsidRPr="00F702C2">
        <w:rPr>
          <w:rFonts w:hint="cs"/>
          <w:rtl/>
        </w:rPr>
        <w:t xml:space="preserve">ות כלי טכנולוגי מסוים </w:t>
      </w:r>
      <w:r>
        <w:rPr>
          <w:rFonts w:hint="cs"/>
          <w:rtl/>
        </w:rPr>
        <w:t xml:space="preserve">ואת </w:t>
      </w:r>
      <w:r w:rsidR="00410628">
        <w:rPr>
          <w:rFonts w:hint="cs"/>
          <w:rtl/>
        </w:rPr>
        <w:t xml:space="preserve">המצב המשפטי המאפשר את </w:t>
      </w:r>
      <w:r>
        <w:rPr>
          <w:rFonts w:hint="cs"/>
          <w:rtl/>
        </w:rPr>
        <w:t>איסופו</w:t>
      </w:r>
      <w:r w:rsidRPr="00F702C2">
        <w:rPr>
          <w:rFonts w:hint="cs"/>
          <w:rtl/>
        </w:rPr>
        <w:t xml:space="preserve"> בהתאם לתבחינים שנקבעו. ב</w:t>
      </w:r>
      <w:r>
        <w:rPr>
          <w:rFonts w:hint="cs"/>
          <w:rtl/>
        </w:rPr>
        <w:t>לוח</w:t>
      </w:r>
      <w:r w:rsidRPr="00F702C2">
        <w:rPr>
          <w:rFonts w:hint="cs"/>
          <w:rtl/>
        </w:rPr>
        <w:t xml:space="preserve"> יפורטו סוג המידע בר האיסוף; האם המשטרה אסרה </w:t>
      </w:r>
      <w:r>
        <w:rPr>
          <w:rFonts w:hint="cs"/>
          <w:rtl/>
        </w:rPr>
        <w:t>את</w:t>
      </w:r>
      <w:r w:rsidRPr="00F702C2">
        <w:rPr>
          <w:rFonts w:hint="cs"/>
          <w:rtl/>
        </w:rPr>
        <w:t xml:space="preserve"> האיסוף או </w:t>
      </w:r>
      <w:r>
        <w:rPr>
          <w:rFonts w:hint="cs"/>
          <w:rtl/>
        </w:rPr>
        <w:t xml:space="preserve">את </w:t>
      </w:r>
      <w:r w:rsidRPr="00F702C2">
        <w:rPr>
          <w:rFonts w:hint="cs"/>
          <w:rtl/>
        </w:rPr>
        <w:t>ההפקה של סוג המידע בהוראות ו</w:t>
      </w:r>
      <w:r>
        <w:rPr>
          <w:rFonts w:hint="cs"/>
          <w:rtl/>
        </w:rPr>
        <w:t>ב</w:t>
      </w:r>
      <w:r w:rsidRPr="00F702C2">
        <w:rPr>
          <w:rFonts w:hint="cs"/>
          <w:rtl/>
        </w:rPr>
        <w:t>הנחיות שיצאו תחת ידה</w:t>
      </w:r>
      <w:r>
        <w:rPr>
          <w:rFonts w:hint="cs"/>
          <w:rtl/>
        </w:rPr>
        <w:t xml:space="preserve"> (שנים 2014 - 2017);</w:t>
      </w:r>
      <w:r w:rsidRPr="00F702C2">
        <w:rPr>
          <w:rFonts w:hint="cs"/>
          <w:rtl/>
        </w:rPr>
        <w:t xml:space="preserve"> מהי עמדת </w:t>
      </w:r>
      <w:r>
        <w:rPr>
          <w:rFonts w:hint="cs"/>
          <w:rtl/>
        </w:rPr>
        <w:t>הייעוץ המשפטי לממשלה</w:t>
      </w:r>
      <w:r w:rsidRPr="00F702C2">
        <w:rPr>
          <w:rFonts w:hint="cs"/>
          <w:rtl/>
        </w:rPr>
        <w:t xml:space="preserve"> </w:t>
      </w:r>
      <w:r>
        <w:rPr>
          <w:rFonts w:hint="cs"/>
          <w:rtl/>
        </w:rPr>
        <w:t>בנוגע</w:t>
      </w:r>
      <w:r w:rsidRPr="00F702C2">
        <w:rPr>
          <w:rFonts w:hint="cs"/>
          <w:rtl/>
        </w:rPr>
        <w:t xml:space="preserve"> לסוג מידע זה;</w:t>
      </w:r>
      <w:r w:rsidRPr="00F702C2">
        <w:rPr>
          <w:rFonts w:hint="cs"/>
        </w:rPr>
        <w:t xml:space="preserve"> </w:t>
      </w:r>
      <w:r w:rsidRPr="00F702C2">
        <w:rPr>
          <w:rFonts w:hint="cs"/>
          <w:rtl/>
        </w:rPr>
        <w:t xml:space="preserve">והשיעור היחסי של איסוף סוג המידע האמור מתוך </w:t>
      </w:r>
      <w:r>
        <w:rPr>
          <w:rFonts w:hint="cs"/>
          <w:rtl/>
        </w:rPr>
        <w:t>כלל</w:t>
      </w:r>
      <w:r w:rsidRPr="00F702C2">
        <w:rPr>
          <w:rFonts w:hint="cs"/>
          <w:rtl/>
        </w:rPr>
        <w:t xml:space="preserve"> </w:t>
      </w:r>
      <w:r w:rsidR="00D22589">
        <w:rPr>
          <w:rFonts w:hint="cs"/>
          <w:rtl/>
        </w:rPr>
        <w:t xml:space="preserve">המטרות שמהן </w:t>
      </w:r>
      <w:r w:rsidRPr="00F702C2">
        <w:rPr>
          <w:rFonts w:hint="cs"/>
          <w:rtl/>
        </w:rPr>
        <w:t>נאספו</w:t>
      </w:r>
      <w:r w:rsidR="00D22589">
        <w:rPr>
          <w:rFonts w:hint="cs"/>
          <w:rtl/>
        </w:rPr>
        <w:t xml:space="preserve"> תוצרים</w:t>
      </w:r>
      <w:r>
        <w:rPr>
          <w:rFonts w:hint="cs"/>
          <w:rtl/>
        </w:rPr>
        <w:t>.</w:t>
      </w:r>
    </w:p>
    <w:p w:rsidR="00C4338B" w:rsidRDefault="00C4338B">
      <w:pPr>
        <w:bidi w:val="0"/>
        <w:spacing w:after="200" w:line="276" w:lineRule="auto"/>
        <w:rPr>
          <w:rtl/>
        </w:rPr>
      </w:pPr>
      <w:bookmarkStart w:id="526" w:name="_Hlk184112043"/>
      <w:r>
        <w:rPr>
          <w:rtl/>
        </w:rPr>
        <w:br w:type="page"/>
      </w:r>
    </w:p>
    <w:p w:rsidR="009A1216" w:rsidRDefault="008A67C6" w:rsidP="00604C3D">
      <w:pPr>
        <w:spacing w:line="269" w:lineRule="auto"/>
        <w:jc w:val="center"/>
        <w:rPr>
          <w:rtl/>
        </w:rPr>
      </w:pPr>
      <w:r w:rsidRPr="004F36D2">
        <w:rPr>
          <w:rFonts w:hint="eastAsia"/>
          <w:rtl/>
        </w:rPr>
        <w:t>לוח</w:t>
      </w:r>
      <w:r w:rsidRPr="004F36D2">
        <w:rPr>
          <w:rtl/>
        </w:rPr>
        <w:t xml:space="preserve"> </w:t>
      </w:r>
      <w:r w:rsidRPr="0021269D">
        <w:rPr>
          <w:rFonts w:ascii="David" w:hAnsi="David"/>
          <w:sz w:val="24"/>
        </w:rPr>
        <w:t>14</w:t>
      </w:r>
      <w:r w:rsidR="009A1216" w:rsidRPr="004F36D2">
        <w:rPr>
          <w:rtl/>
        </w:rPr>
        <w:t xml:space="preserve">: </w:t>
      </w:r>
      <w:r w:rsidR="009A1216" w:rsidRPr="004F36D2">
        <w:rPr>
          <w:rFonts w:hint="eastAsia"/>
          <w:b/>
          <w:bCs/>
          <w:rtl/>
        </w:rPr>
        <w:t>איסוף</w:t>
      </w:r>
      <w:r w:rsidR="009A1216" w:rsidRPr="004F36D2">
        <w:rPr>
          <w:b/>
          <w:bCs/>
          <w:rtl/>
        </w:rPr>
        <w:t xml:space="preserve"> </w:t>
      </w:r>
      <w:r w:rsidR="009A1216" w:rsidRPr="004F36D2">
        <w:rPr>
          <w:rFonts w:hint="eastAsia"/>
          <w:b/>
          <w:bCs/>
          <w:rtl/>
        </w:rPr>
        <w:t>בפועל</w:t>
      </w:r>
      <w:r w:rsidR="009A1216" w:rsidRPr="004F36D2">
        <w:rPr>
          <w:b/>
          <w:bCs/>
          <w:rtl/>
        </w:rPr>
        <w:t xml:space="preserve"> </w:t>
      </w:r>
      <w:r w:rsidR="009A1216" w:rsidRPr="004F36D2">
        <w:rPr>
          <w:rFonts w:hint="eastAsia"/>
          <w:b/>
          <w:bCs/>
          <w:rtl/>
        </w:rPr>
        <w:t>של</w:t>
      </w:r>
      <w:r w:rsidR="009A1216" w:rsidRPr="004F36D2">
        <w:rPr>
          <w:b/>
          <w:bCs/>
          <w:rtl/>
        </w:rPr>
        <w:t xml:space="preserve"> </w:t>
      </w:r>
      <w:r w:rsidR="009A1216" w:rsidRPr="004F36D2">
        <w:rPr>
          <w:rFonts w:hint="eastAsia"/>
          <w:b/>
          <w:bCs/>
          <w:rtl/>
        </w:rPr>
        <w:t>תוצרי</w:t>
      </w:r>
      <w:r w:rsidR="009A1216" w:rsidRPr="004F36D2">
        <w:rPr>
          <w:b/>
          <w:bCs/>
          <w:rtl/>
        </w:rPr>
        <w:t xml:space="preserve"> </w:t>
      </w:r>
      <w:r w:rsidR="009A1216" w:rsidRPr="004F36D2">
        <w:rPr>
          <w:rFonts w:hint="eastAsia"/>
          <w:b/>
          <w:bCs/>
          <w:rtl/>
        </w:rPr>
        <w:t>האזנה</w:t>
      </w:r>
      <w:r w:rsidR="009A1216" w:rsidRPr="004F36D2">
        <w:rPr>
          <w:b/>
          <w:bCs/>
          <w:rtl/>
        </w:rPr>
        <w:t xml:space="preserve"> </w:t>
      </w:r>
      <w:r w:rsidR="009A1216" w:rsidRPr="004F36D2">
        <w:rPr>
          <w:rFonts w:hint="eastAsia"/>
          <w:b/>
          <w:bCs/>
          <w:rtl/>
        </w:rPr>
        <w:t>באמצעות</w:t>
      </w:r>
      <w:r w:rsidR="009A1216" w:rsidRPr="004F36D2">
        <w:rPr>
          <w:b/>
          <w:bCs/>
          <w:rtl/>
        </w:rPr>
        <w:t xml:space="preserve"> </w:t>
      </w:r>
      <w:r w:rsidR="009A1216" w:rsidRPr="004F36D2">
        <w:rPr>
          <w:rFonts w:hint="eastAsia"/>
          <w:b/>
          <w:bCs/>
          <w:rtl/>
        </w:rPr>
        <w:t>כלי</w:t>
      </w:r>
      <w:r w:rsidR="009A1216" w:rsidRPr="004F36D2">
        <w:rPr>
          <w:b/>
          <w:bCs/>
          <w:rtl/>
        </w:rPr>
        <w:t xml:space="preserve"> </w:t>
      </w:r>
      <w:r w:rsidR="009A1216" w:rsidRPr="004F36D2">
        <w:rPr>
          <w:rFonts w:hint="eastAsia"/>
          <w:b/>
          <w:bCs/>
          <w:rtl/>
        </w:rPr>
        <w:t>טכנולוגי</w:t>
      </w:r>
      <w:r w:rsidR="009A1216" w:rsidRPr="004F36D2">
        <w:rPr>
          <w:b/>
          <w:bCs/>
          <w:rtl/>
        </w:rPr>
        <w:t xml:space="preserve"> </w:t>
      </w:r>
      <w:r w:rsidR="009A1216" w:rsidRPr="004F36D2">
        <w:rPr>
          <w:rFonts w:hint="eastAsia"/>
          <w:b/>
          <w:bCs/>
          <w:rtl/>
        </w:rPr>
        <w:t>מסוים</w:t>
      </w:r>
      <w:r w:rsidR="009A1216" w:rsidRPr="004F36D2">
        <w:rPr>
          <w:b/>
          <w:bCs/>
          <w:rtl/>
        </w:rPr>
        <w:t xml:space="preserve">, </w:t>
      </w:r>
      <w:r w:rsidR="007038FA">
        <w:rPr>
          <w:b/>
          <w:bCs/>
          <w:rtl/>
        </w:rPr>
        <w:br/>
      </w:r>
      <w:r w:rsidR="009A1216" w:rsidRPr="004F36D2">
        <w:rPr>
          <w:rFonts w:hint="eastAsia"/>
          <w:b/>
          <w:bCs/>
          <w:rtl/>
        </w:rPr>
        <w:t>ינואר</w:t>
      </w:r>
      <w:r w:rsidR="009A1216" w:rsidRPr="004F36D2">
        <w:rPr>
          <w:b/>
          <w:bCs/>
          <w:rtl/>
        </w:rPr>
        <w:t xml:space="preserve"> 2018 - </w:t>
      </w:r>
      <w:r w:rsidR="009A1216" w:rsidRPr="004F36D2">
        <w:rPr>
          <w:rFonts w:hint="eastAsia"/>
          <w:b/>
          <w:bCs/>
          <w:rtl/>
        </w:rPr>
        <w:t>ינואר</w:t>
      </w:r>
      <w:r w:rsidR="009A1216" w:rsidRPr="004F36D2">
        <w:rPr>
          <w:b/>
          <w:bCs/>
          <w:rtl/>
        </w:rPr>
        <w:t xml:space="preserve"> 2022</w:t>
      </w:r>
      <w:r w:rsidR="009A1216" w:rsidRPr="00B32DE5">
        <w:rPr>
          <w:b/>
          <w:bCs/>
          <w:rtl/>
        </w:rPr>
        <w:t xml:space="preserve"> </w:t>
      </w:r>
    </w:p>
    <w:tbl>
      <w:tblPr>
        <w:tblStyle w:val="15"/>
        <w:bidiVisual/>
        <w:tblW w:w="8785" w:type="dxa"/>
        <w:jc w:val="center"/>
        <w:tblLayout w:type="fixed"/>
        <w:tblLook w:val="04A0" w:firstRow="1" w:lastRow="0" w:firstColumn="1" w:lastColumn="0" w:noHBand="0" w:noVBand="1"/>
      </w:tblPr>
      <w:tblGrid>
        <w:gridCol w:w="1757"/>
        <w:gridCol w:w="1757"/>
        <w:gridCol w:w="1757"/>
        <w:gridCol w:w="1757"/>
        <w:gridCol w:w="1757"/>
      </w:tblGrid>
      <w:tr w:rsidR="009A1216" w:rsidRPr="007038FA" w:rsidTr="00837D0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auto"/>
              <w:left w:val="single" w:sz="24" w:space="0" w:color="auto"/>
              <w:bottom w:val="single" w:sz="24" w:space="0" w:color="auto"/>
            </w:tcBorders>
          </w:tcPr>
          <w:p w:rsidR="009A1216" w:rsidRPr="007038FA" w:rsidRDefault="009A1216" w:rsidP="00837D04">
            <w:pPr>
              <w:pStyle w:val="afe"/>
              <w:spacing w:line="269" w:lineRule="auto"/>
              <w:jc w:val="center"/>
              <w:rPr>
                <w:b w:val="0"/>
                <w:bCs w:val="0"/>
                <w:i w:val="0"/>
                <w:iCs w:val="0"/>
                <w:sz w:val="22"/>
                <w:szCs w:val="22"/>
                <w:rtl/>
              </w:rPr>
            </w:pPr>
            <w:r w:rsidRPr="007038FA">
              <w:rPr>
                <w:rFonts w:hint="cs"/>
                <w:i w:val="0"/>
                <w:iCs w:val="0"/>
                <w:sz w:val="22"/>
                <w:szCs w:val="22"/>
                <w:rtl/>
              </w:rPr>
              <w:t>המצב המשפטי</w:t>
            </w:r>
          </w:p>
          <w:p w:rsidR="009A1216" w:rsidRPr="007038FA" w:rsidRDefault="009A1216" w:rsidP="00837D04">
            <w:pPr>
              <w:pStyle w:val="afe"/>
              <w:spacing w:line="269" w:lineRule="auto"/>
              <w:jc w:val="center"/>
              <w:rPr>
                <w:sz w:val="22"/>
                <w:szCs w:val="22"/>
                <w:rtl/>
              </w:rPr>
            </w:pPr>
            <w:r w:rsidRPr="007038FA">
              <w:rPr>
                <w:rFonts w:hint="cs"/>
                <w:i w:val="0"/>
                <w:iCs w:val="0"/>
                <w:sz w:val="22"/>
                <w:szCs w:val="22"/>
                <w:rtl/>
              </w:rPr>
              <w:t>לאורך השנים ועד למועד כתיבת הדוח</w:t>
            </w:r>
          </w:p>
        </w:tc>
        <w:tc>
          <w:tcPr>
            <w:tcW w:w="0" w:type="dxa"/>
            <w:tcBorders>
              <w:top w:val="single" w:sz="24" w:space="0" w:color="auto"/>
              <w:bottom w:val="single" w:sz="24" w:space="0" w:color="auto"/>
            </w:tcBorders>
          </w:tcPr>
          <w:p w:rsidR="009A1216" w:rsidRPr="007038FA" w:rsidRDefault="009A1216" w:rsidP="00837D04">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i w:val="0"/>
                <w:iCs w:val="0"/>
                <w:sz w:val="22"/>
                <w:szCs w:val="22"/>
                <w:rtl/>
              </w:rPr>
            </w:pPr>
            <w:bookmarkStart w:id="527" w:name="_Hlk188190484"/>
            <w:r w:rsidRPr="007038FA">
              <w:rPr>
                <w:rFonts w:hint="cs"/>
                <w:i w:val="0"/>
                <w:iCs w:val="0"/>
                <w:sz w:val="22"/>
                <w:szCs w:val="22"/>
                <w:rtl/>
              </w:rPr>
              <w:t>סוג המידע</w:t>
            </w:r>
          </w:p>
        </w:tc>
        <w:tc>
          <w:tcPr>
            <w:tcW w:w="0" w:type="dxa"/>
            <w:tcBorders>
              <w:top w:val="single" w:sz="24" w:space="0" w:color="auto"/>
              <w:bottom w:val="single" w:sz="24" w:space="0" w:color="auto"/>
            </w:tcBorders>
          </w:tcPr>
          <w:p w:rsidR="009A1216" w:rsidRPr="007038FA" w:rsidRDefault="005E61E7" w:rsidP="00837D04">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b w:val="0"/>
                <w:bCs w:val="0"/>
                <w:i w:val="0"/>
                <w:iCs w:val="0"/>
                <w:sz w:val="22"/>
                <w:szCs w:val="22"/>
                <w:rtl/>
              </w:rPr>
            </w:pPr>
            <w:r w:rsidRPr="007038FA">
              <w:rPr>
                <w:rFonts w:hint="cs"/>
                <w:i w:val="0"/>
                <w:iCs w:val="0"/>
                <w:sz w:val="22"/>
                <w:szCs w:val="22"/>
                <w:rtl/>
              </w:rPr>
              <w:t xml:space="preserve">אחוז </w:t>
            </w:r>
            <w:r w:rsidR="009A1216" w:rsidRPr="007038FA">
              <w:rPr>
                <w:rFonts w:hint="cs"/>
                <w:i w:val="0"/>
                <w:iCs w:val="0"/>
                <w:sz w:val="22"/>
                <w:szCs w:val="22"/>
                <w:rtl/>
              </w:rPr>
              <w:t>המטרות שמהן נאסף</w:t>
            </w:r>
            <w:r w:rsidR="009A1216" w:rsidRPr="007038FA">
              <w:rPr>
                <w:rFonts w:hint="cs"/>
                <w:b w:val="0"/>
                <w:bCs w:val="0"/>
                <w:i w:val="0"/>
                <w:iCs w:val="0"/>
                <w:sz w:val="22"/>
                <w:szCs w:val="22"/>
                <w:rtl/>
              </w:rPr>
              <w:t xml:space="preserve"> </w:t>
            </w:r>
            <w:r w:rsidR="009A1216" w:rsidRPr="007038FA">
              <w:rPr>
                <w:rFonts w:hint="eastAsia"/>
                <w:i w:val="0"/>
                <w:iCs w:val="0"/>
                <w:sz w:val="22"/>
                <w:szCs w:val="22"/>
                <w:rtl/>
              </w:rPr>
              <w:t>המידע</w:t>
            </w:r>
          </w:p>
          <w:p w:rsidR="009A1216" w:rsidRPr="007038FA" w:rsidRDefault="009A1216" w:rsidP="00837D04">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i w:val="0"/>
                <w:iCs w:val="0"/>
                <w:sz w:val="22"/>
                <w:szCs w:val="22"/>
                <w:rtl/>
              </w:rPr>
            </w:pPr>
          </w:p>
        </w:tc>
        <w:tc>
          <w:tcPr>
            <w:tcW w:w="0" w:type="dxa"/>
            <w:tcBorders>
              <w:top w:val="single" w:sz="24" w:space="0" w:color="auto"/>
              <w:bottom w:val="single" w:sz="24" w:space="0" w:color="auto"/>
            </w:tcBorders>
          </w:tcPr>
          <w:p w:rsidR="009A1216" w:rsidRPr="007038FA" w:rsidRDefault="009A1216" w:rsidP="00837D04">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b w:val="0"/>
                <w:bCs w:val="0"/>
                <w:i w:val="0"/>
                <w:iCs w:val="0"/>
                <w:color w:val="C00000"/>
                <w:sz w:val="22"/>
                <w:szCs w:val="22"/>
                <w:rtl/>
              </w:rPr>
            </w:pPr>
            <w:r w:rsidRPr="007038FA">
              <w:rPr>
                <w:rFonts w:hint="cs"/>
                <w:i w:val="0"/>
                <w:iCs w:val="0"/>
                <w:sz w:val="22"/>
                <w:szCs w:val="22"/>
                <w:rtl/>
              </w:rPr>
              <w:t>עמדת המשטרה בנהליה</w:t>
            </w:r>
          </w:p>
        </w:tc>
        <w:tc>
          <w:tcPr>
            <w:tcW w:w="0" w:type="dxa"/>
            <w:tcBorders>
              <w:top w:val="single" w:sz="24" w:space="0" w:color="auto"/>
              <w:bottom w:val="single" w:sz="24" w:space="0" w:color="auto"/>
              <w:right w:val="single" w:sz="24" w:space="0" w:color="auto"/>
            </w:tcBorders>
          </w:tcPr>
          <w:p w:rsidR="009A1216" w:rsidRPr="007038FA" w:rsidRDefault="009A1216" w:rsidP="00837D04">
            <w:pPr>
              <w:pStyle w:val="afe"/>
              <w:spacing w:line="269" w:lineRule="auto"/>
              <w:jc w:val="center"/>
              <w:cnfStyle w:val="100000000000" w:firstRow="1" w:lastRow="0" w:firstColumn="0" w:lastColumn="0" w:oddVBand="0" w:evenVBand="0" w:oddHBand="0" w:evenHBand="0" w:firstRowFirstColumn="0" w:firstRowLastColumn="0" w:lastRowFirstColumn="0" w:lastRowLastColumn="0"/>
              <w:rPr>
                <w:b w:val="0"/>
                <w:bCs w:val="0"/>
                <w:i w:val="0"/>
                <w:iCs w:val="0"/>
                <w:color w:val="94922A" w:themeColor="accent3" w:themeShade="BF"/>
                <w:sz w:val="22"/>
                <w:szCs w:val="22"/>
                <w:rtl/>
              </w:rPr>
            </w:pPr>
            <w:r w:rsidRPr="007038FA">
              <w:rPr>
                <w:rFonts w:hint="cs"/>
                <w:i w:val="0"/>
                <w:iCs w:val="0"/>
                <w:sz w:val="22"/>
                <w:szCs w:val="22"/>
                <w:rtl/>
              </w:rPr>
              <w:t>עמדת הייעוץ המשפטי לממשלה</w:t>
            </w:r>
            <w:r w:rsidRPr="007038FA">
              <w:rPr>
                <w:rStyle w:val="af"/>
                <w:i w:val="0"/>
                <w:iCs w:val="0"/>
                <w:sz w:val="22"/>
                <w:szCs w:val="22"/>
                <w:rtl/>
              </w:rPr>
              <w:footnoteReference w:id="200"/>
            </w: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auto"/>
              <w:left w:val="single" w:sz="24" w:space="0" w:color="auto"/>
            </w:tcBorders>
            <w:shd w:val="clear" w:color="auto" w:fill="E17487" w:themeFill="accent1" w:themeFillTint="99"/>
          </w:tcPr>
          <w:p w:rsidR="009A1216" w:rsidRPr="007038FA" w:rsidRDefault="009A1216" w:rsidP="00837D04">
            <w:pPr>
              <w:pStyle w:val="afe"/>
              <w:spacing w:line="269" w:lineRule="auto"/>
              <w:ind w:left="510"/>
              <w:jc w:val="left"/>
              <w:rPr>
                <w:sz w:val="22"/>
                <w:szCs w:val="22"/>
                <w:rtl/>
              </w:rPr>
            </w:pPr>
            <w:r w:rsidRPr="007038FA">
              <w:rPr>
                <w:rFonts w:hint="cs"/>
                <w:i w:val="0"/>
                <w:iCs w:val="0"/>
                <w:sz w:val="22"/>
                <w:szCs w:val="22"/>
                <w:rtl/>
              </w:rPr>
              <w:t>אסור</w:t>
            </w:r>
          </w:p>
        </w:tc>
        <w:tc>
          <w:tcPr>
            <w:tcW w:w="0" w:type="dxa"/>
            <w:tcBorders>
              <w:top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sz w:val="22"/>
                <w:szCs w:val="22"/>
                <w:rtl/>
              </w:rPr>
              <w:t>א'</w:t>
            </w:r>
          </w:p>
        </w:tc>
        <w:tc>
          <w:tcPr>
            <w:tcW w:w="0" w:type="dxa"/>
            <w:tcBorders>
              <w:top w:val="single" w:sz="24" w:space="0" w:color="auto"/>
            </w:tcBorders>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40%</w:t>
            </w:r>
          </w:p>
        </w:tc>
        <w:tc>
          <w:tcPr>
            <w:tcW w:w="0" w:type="dxa"/>
            <w:tcBorders>
              <w:top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אסור</w:t>
            </w:r>
          </w:p>
        </w:tc>
        <w:tc>
          <w:tcPr>
            <w:tcW w:w="0" w:type="dxa"/>
            <w:tcBorders>
              <w:top w:val="single" w:sz="24" w:space="0" w:color="auto"/>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אין סמכות</w:t>
            </w:r>
          </w:p>
          <w:p w:rsidR="00B601BE" w:rsidRPr="007038FA" w:rsidRDefault="00B601BE"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tcBorders>
            <w:shd w:val="clear" w:color="auto" w:fill="E17487" w:themeFill="accent1"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אסור</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eastAsia"/>
                <w:b/>
                <w:bCs/>
                <w:i w:val="0"/>
                <w:iCs w:val="0"/>
                <w:sz w:val="22"/>
                <w:szCs w:val="22"/>
                <w:rtl/>
              </w:rPr>
              <w:t>פתקים</w:t>
            </w:r>
          </w:p>
        </w:tc>
        <w:tc>
          <w:tcPr>
            <w:tcW w:w="0" w:type="dxa"/>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9%</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אסור</w:t>
            </w:r>
          </w:p>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p>
        </w:tc>
        <w:tc>
          <w:tcPr>
            <w:tcW w:w="0" w:type="dxa"/>
            <w:tcBorders>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אין סמכות</w:t>
            </w: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bottom w:val="single" w:sz="4" w:space="0" w:color="999999" w:themeColor="text1" w:themeTint="66"/>
            </w:tcBorders>
            <w:shd w:val="clear" w:color="auto" w:fill="E17487" w:themeFill="accent1"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 xml:space="preserve">אסור </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eastAsia"/>
                <w:b/>
                <w:bCs/>
                <w:i w:val="0"/>
                <w:iCs w:val="0"/>
                <w:sz w:val="22"/>
                <w:szCs w:val="22"/>
                <w:rtl/>
              </w:rPr>
              <w:t>פריטי</w:t>
            </w:r>
            <w:r w:rsidRPr="007038FA">
              <w:rPr>
                <w:b/>
                <w:bCs/>
                <w:i w:val="0"/>
                <w:iCs w:val="0"/>
                <w:sz w:val="22"/>
                <w:szCs w:val="22"/>
                <w:rtl/>
              </w:rPr>
              <w:t xml:space="preserve"> </w:t>
            </w:r>
            <w:r w:rsidRPr="007038FA">
              <w:rPr>
                <w:rFonts w:hint="eastAsia"/>
                <w:b/>
                <w:bCs/>
                <w:i w:val="0"/>
                <w:iCs w:val="0"/>
                <w:sz w:val="22"/>
                <w:szCs w:val="22"/>
                <w:rtl/>
              </w:rPr>
              <w:t>יומן</w:t>
            </w:r>
            <w:r w:rsidRPr="007038FA">
              <w:rPr>
                <w:rStyle w:val="af"/>
                <w:b/>
                <w:bCs/>
                <w:i w:val="0"/>
                <w:iCs w:val="0"/>
                <w:sz w:val="22"/>
                <w:szCs w:val="22"/>
                <w:rtl/>
              </w:rPr>
              <w:footnoteReference w:id="201"/>
            </w:r>
          </w:p>
        </w:tc>
        <w:tc>
          <w:tcPr>
            <w:tcW w:w="0" w:type="dxa"/>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9%</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אסור</w:t>
            </w:r>
          </w:p>
        </w:tc>
        <w:tc>
          <w:tcPr>
            <w:tcW w:w="0" w:type="dxa"/>
            <w:tcBorders>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אין סמכות</w:t>
            </w:r>
          </w:p>
          <w:p w:rsidR="00B601BE" w:rsidRPr="007038FA" w:rsidRDefault="00B601BE"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tcBorders>
            <w:shd w:val="clear" w:color="auto" w:fill="E17487" w:themeFill="accent1"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הותר, אסור בדיעבד</w:t>
            </w:r>
          </w:p>
        </w:tc>
        <w:tc>
          <w:tcPr>
            <w:tcW w:w="0" w:type="dxa"/>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i w:val="0"/>
                <w:iCs w:val="0"/>
                <w:sz w:val="22"/>
                <w:szCs w:val="22"/>
                <w:rtl/>
              </w:rPr>
            </w:pPr>
            <w:r w:rsidRPr="007038FA">
              <w:rPr>
                <w:rFonts w:hint="cs"/>
                <w:b/>
                <w:bCs/>
                <w:i w:val="0"/>
                <w:iCs w:val="0"/>
                <w:sz w:val="22"/>
                <w:szCs w:val="22"/>
                <w:rtl/>
              </w:rPr>
              <w:t>ב'</w:t>
            </w:r>
          </w:p>
        </w:tc>
        <w:tc>
          <w:tcPr>
            <w:tcW w:w="0" w:type="dxa"/>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27%</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מותר</w:t>
            </w:r>
            <w:r w:rsidRPr="007038FA">
              <w:rPr>
                <w:i w:val="0"/>
                <w:iCs w:val="0"/>
                <w:sz w:val="22"/>
                <w:szCs w:val="22"/>
                <w:rtl/>
              </w:rPr>
              <w:t xml:space="preserve"> - הנחיות לא מפורשות</w:t>
            </w:r>
          </w:p>
        </w:tc>
        <w:tc>
          <w:tcPr>
            <w:tcW w:w="0" w:type="dxa"/>
            <w:tcBorders>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i w:val="0"/>
                <w:iCs w:val="0"/>
                <w:sz w:val="22"/>
                <w:szCs w:val="22"/>
                <w:rtl/>
              </w:rPr>
              <w:t>אין</w:t>
            </w:r>
            <w:r w:rsidRPr="007038FA">
              <w:rPr>
                <w:i w:val="0"/>
                <w:iCs w:val="0"/>
                <w:sz w:val="22"/>
                <w:szCs w:val="22"/>
                <w:rtl/>
              </w:rPr>
              <w:t xml:space="preserve"> </w:t>
            </w:r>
            <w:r w:rsidRPr="007038FA">
              <w:rPr>
                <w:rFonts w:hint="eastAsia"/>
                <w:i w:val="0"/>
                <w:iCs w:val="0"/>
                <w:sz w:val="22"/>
                <w:szCs w:val="22"/>
                <w:rtl/>
              </w:rPr>
              <w:t>סמכות</w:t>
            </w: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bottom w:val="single" w:sz="4" w:space="0" w:color="auto"/>
            </w:tcBorders>
            <w:shd w:val="clear" w:color="auto" w:fill="F5D0D7" w:themeFill="accent1" w:themeFillTint="33"/>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הותר, הותר חלקית בדיעבד</w:t>
            </w:r>
          </w:p>
        </w:tc>
        <w:tc>
          <w:tcPr>
            <w:tcW w:w="0" w:type="dxa"/>
            <w:tcBorders>
              <w:bottom w:val="single" w:sz="4" w:space="0" w:color="auto"/>
            </w:tcBorders>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sz w:val="22"/>
                <w:szCs w:val="22"/>
                <w:rtl/>
              </w:rPr>
              <w:t>ג'</w:t>
            </w:r>
          </w:p>
        </w:tc>
        <w:tc>
          <w:tcPr>
            <w:tcW w:w="0" w:type="dxa"/>
            <w:tcBorders>
              <w:bottom w:val="single" w:sz="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לא פורט</w:t>
            </w:r>
          </w:p>
        </w:tc>
        <w:tc>
          <w:tcPr>
            <w:tcW w:w="0" w:type="dxa"/>
            <w:tcBorders>
              <w:bottom w:val="single" w:sz="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מותר</w:t>
            </w:r>
          </w:p>
        </w:tc>
        <w:tc>
          <w:tcPr>
            <w:tcW w:w="0" w:type="dxa"/>
            <w:tcBorders>
              <w:bottom w:val="single" w:sz="4" w:space="0" w:color="auto"/>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i w:val="0"/>
                <w:iCs w:val="0"/>
                <w:sz w:val="22"/>
                <w:szCs w:val="22"/>
                <w:rtl/>
              </w:rPr>
              <w:t>יש</w:t>
            </w:r>
            <w:r w:rsidRPr="007038FA">
              <w:rPr>
                <w:i w:val="0"/>
                <w:iCs w:val="0"/>
                <w:sz w:val="22"/>
                <w:szCs w:val="22"/>
                <w:rtl/>
              </w:rPr>
              <w:t xml:space="preserve"> </w:t>
            </w:r>
            <w:r w:rsidRPr="007038FA">
              <w:rPr>
                <w:rFonts w:hint="eastAsia"/>
                <w:i w:val="0"/>
                <w:iCs w:val="0"/>
                <w:sz w:val="22"/>
                <w:szCs w:val="22"/>
                <w:rtl/>
              </w:rPr>
              <w:t>סמכות</w:t>
            </w:r>
            <w:r w:rsidRPr="007038FA">
              <w:rPr>
                <w:i w:val="0"/>
                <w:iCs w:val="0"/>
                <w:sz w:val="22"/>
                <w:szCs w:val="22"/>
                <w:rtl/>
              </w:rPr>
              <w:t xml:space="preserve"> </w:t>
            </w:r>
            <w:r w:rsidRPr="007038FA">
              <w:rPr>
                <w:rFonts w:hint="eastAsia"/>
                <w:i w:val="0"/>
                <w:iCs w:val="0"/>
                <w:sz w:val="22"/>
                <w:szCs w:val="22"/>
                <w:rtl/>
              </w:rPr>
              <w:t>רק</w:t>
            </w:r>
            <w:r w:rsidRPr="007038FA">
              <w:rPr>
                <w:i w:val="0"/>
                <w:iCs w:val="0"/>
                <w:sz w:val="22"/>
                <w:szCs w:val="22"/>
                <w:rtl/>
              </w:rPr>
              <w:t xml:space="preserve"> </w:t>
            </w:r>
            <w:r w:rsidRPr="007038FA">
              <w:rPr>
                <w:rFonts w:hint="eastAsia"/>
                <w:i w:val="0"/>
                <w:iCs w:val="0"/>
                <w:sz w:val="22"/>
                <w:szCs w:val="22"/>
                <w:rtl/>
              </w:rPr>
              <w:t>בנוגע</w:t>
            </w:r>
            <w:r w:rsidRPr="007038FA">
              <w:rPr>
                <w:i w:val="0"/>
                <w:iCs w:val="0"/>
                <w:sz w:val="22"/>
                <w:szCs w:val="22"/>
                <w:rtl/>
              </w:rPr>
              <w:t xml:space="preserve"> </w:t>
            </w:r>
            <w:r w:rsidRPr="007038FA">
              <w:rPr>
                <w:rFonts w:hint="eastAsia"/>
                <w:i w:val="0"/>
                <w:iCs w:val="0"/>
                <w:sz w:val="22"/>
                <w:szCs w:val="22"/>
                <w:rtl/>
              </w:rPr>
              <w:t>לחלק</w:t>
            </w:r>
            <w:r w:rsidRPr="007038FA">
              <w:rPr>
                <w:i w:val="0"/>
                <w:iCs w:val="0"/>
                <w:sz w:val="22"/>
                <w:szCs w:val="22"/>
                <w:rtl/>
              </w:rPr>
              <w:t xml:space="preserve"> </w:t>
            </w:r>
            <w:r w:rsidRPr="007038FA">
              <w:rPr>
                <w:rFonts w:hint="eastAsia"/>
                <w:i w:val="0"/>
                <w:iCs w:val="0"/>
                <w:sz w:val="22"/>
                <w:szCs w:val="22"/>
                <w:rtl/>
              </w:rPr>
              <w:t>משיטות</w:t>
            </w:r>
            <w:r w:rsidRPr="007038FA">
              <w:rPr>
                <w:i w:val="0"/>
                <w:iCs w:val="0"/>
                <w:sz w:val="22"/>
                <w:szCs w:val="22"/>
                <w:rtl/>
              </w:rPr>
              <w:t xml:space="preserve"> </w:t>
            </w:r>
            <w:r w:rsidRPr="007038FA">
              <w:rPr>
                <w:rFonts w:hint="eastAsia"/>
                <w:i w:val="0"/>
                <w:iCs w:val="0"/>
                <w:sz w:val="22"/>
                <w:szCs w:val="22"/>
                <w:rtl/>
              </w:rPr>
              <w:t>האיסוף</w:t>
            </w: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24" w:space="0" w:color="auto"/>
              <w:bottom w:val="single" w:sz="8" w:space="0" w:color="auto"/>
            </w:tcBorders>
            <w:shd w:val="clear" w:color="auto" w:fill="EBBF7D" w:themeFill="accent2"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נאסר, הותר חלקית בדיעבד</w:t>
            </w:r>
          </w:p>
        </w:tc>
        <w:tc>
          <w:tcPr>
            <w:tcW w:w="0" w:type="dxa"/>
            <w:tcBorders>
              <w:top w:val="single" w:sz="4" w:space="0" w:color="auto"/>
              <w:bottom w:val="single" w:sz="8" w:space="0" w:color="auto"/>
            </w:tcBorders>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sz w:val="22"/>
                <w:szCs w:val="22"/>
                <w:rtl/>
              </w:rPr>
              <w:t>ד'</w:t>
            </w:r>
          </w:p>
        </w:tc>
        <w:tc>
          <w:tcPr>
            <w:tcW w:w="0" w:type="dxa"/>
            <w:tcBorders>
              <w:top w:val="single" w:sz="4" w:space="0" w:color="auto"/>
              <w:bottom w:val="single" w:sz="8" w:space="0" w:color="auto"/>
            </w:tcBorders>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59%</w:t>
            </w:r>
          </w:p>
        </w:tc>
        <w:tc>
          <w:tcPr>
            <w:tcW w:w="0" w:type="dxa"/>
            <w:tcBorders>
              <w:top w:val="single" w:sz="4" w:space="0" w:color="auto"/>
              <w:bottom w:val="single" w:sz="8"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 xml:space="preserve">אסור </w:t>
            </w:r>
            <w:r w:rsidR="003D6F75">
              <w:rPr>
                <w:rFonts w:hint="cs"/>
                <w:i w:val="0"/>
                <w:iCs w:val="0"/>
                <w:sz w:val="22"/>
                <w:szCs w:val="22"/>
                <w:rtl/>
              </w:rPr>
              <w:t>-</w:t>
            </w:r>
            <w:r w:rsidRPr="007038FA">
              <w:rPr>
                <w:rFonts w:hint="cs"/>
                <w:i w:val="0"/>
                <w:iCs w:val="0"/>
                <w:sz w:val="22"/>
                <w:szCs w:val="22"/>
                <w:rtl/>
              </w:rPr>
              <w:t xml:space="preserve"> קיימות הנחיות סותרות</w:t>
            </w:r>
          </w:p>
        </w:tc>
        <w:tc>
          <w:tcPr>
            <w:tcW w:w="0" w:type="dxa"/>
            <w:tcBorders>
              <w:top w:val="single" w:sz="4" w:space="0" w:color="auto"/>
              <w:bottom w:val="single" w:sz="8" w:space="0" w:color="auto"/>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יש סמכות בנוגע לחלק מהנתונים</w:t>
            </w: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uto"/>
              <w:left w:val="single" w:sz="24" w:space="0" w:color="auto"/>
            </w:tcBorders>
            <w:shd w:val="clear" w:color="auto" w:fill="EBBF7D" w:themeFill="accent2"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נאסר, הותר בדיעבד</w:t>
            </w:r>
          </w:p>
        </w:tc>
        <w:tc>
          <w:tcPr>
            <w:tcW w:w="0" w:type="dxa"/>
            <w:tcBorders>
              <w:top w:val="single" w:sz="8" w:space="0" w:color="auto"/>
            </w:tcBorders>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sz w:val="22"/>
                <w:szCs w:val="22"/>
                <w:rtl/>
              </w:rPr>
              <w:t>ח'</w:t>
            </w:r>
          </w:p>
        </w:tc>
        <w:tc>
          <w:tcPr>
            <w:tcW w:w="0" w:type="dxa"/>
            <w:tcBorders>
              <w:top w:val="single" w:sz="8" w:space="0" w:color="auto"/>
            </w:tcBorders>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57%</w:t>
            </w:r>
          </w:p>
        </w:tc>
        <w:tc>
          <w:tcPr>
            <w:tcW w:w="0" w:type="dxa"/>
            <w:tcBorders>
              <w:top w:val="single" w:sz="8"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אסור</w:t>
            </w:r>
          </w:p>
        </w:tc>
        <w:tc>
          <w:tcPr>
            <w:tcW w:w="0" w:type="dxa"/>
            <w:tcBorders>
              <w:top w:val="single" w:sz="8" w:space="0" w:color="auto"/>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i w:val="0"/>
                <w:iCs w:val="0"/>
                <w:sz w:val="22"/>
                <w:szCs w:val="22"/>
                <w:rtl/>
              </w:rPr>
              <w:t>יש</w:t>
            </w:r>
            <w:r w:rsidRPr="007038FA">
              <w:rPr>
                <w:i w:val="0"/>
                <w:iCs w:val="0"/>
                <w:sz w:val="22"/>
                <w:szCs w:val="22"/>
                <w:rtl/>
              </w:rPr>
              <w:t xml:space="preserve"> </w:t>
            </w:r>
            <w:r w:rsidRPr="007038FA">
              <w:rPr>
                <w:rFonts w:hint="eastAsia"/>
                <w:i w:val="0"/>
                <w:iCs w:val="0"/>
                <w:sz w:val="22"/>
                <w:szCs w:val="22"/>
                <w:rtl/>
              </w:rPr>
              <w:t>סמכות</w:t>
            </w:r>
            <w:r w:rsidRPr="007038FA">
              <w:rPr>
                <w:rStyle w:val="af"/>
                <w:i w:val="0"/>
                <w:iCs w:val="0"/>
                <w:sz w:val="22"/>
                <w:szCs w:val="22"/>
                <w:rtl/>
              </w:rPr>
              <w:footnoteReference w:id="202"/>
            </w: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tcBorders>
            <w:shd w:val="clear" w:color="auto" w:fill="EBBF7D" w:themeFill="accent2"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נאסר, הותר בדיעבד</w:t>
            </w:r>
          </w:p>
        </w:tc>
        <w:tc>
          <w:tcPr>
            <w:tcW w:w="0" w:type="dxa"/>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i w:val="0"/>
                <w:iCs w:val="0"/>
                <w:sz w:val="22"/>
                <w:szCs w:val="22"/>
                <w:rtl/>
              </w:rPr>
              <w:t>ה'</w:t>
            </w:r>
          </w:p>
        </w:tc>
        <w:tc>
          <w:tcPr>
            <w:tcW w:w="0" w:type="dxa"/>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63%</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אסור</w:t>
            </w:r>
          </w:p>
        </w:tc>
        <w:tc>
          <w:tcPr>
            <w:tcW w:w="0" w:type="dxa"/>
            <w:tcBorders>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יש סמכות לשם התקנת הכלי</w:t>
            </w: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bottom w:val="single" w:sz="4" w:space="0" w:color="auto"/>
            </w:tcBorders>
            <w:shd w:val="clear" w:color="auto" w:fill="EBBF7D" w:themeFill="accent2"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נאסר, הותר בדיעבד</w:t>
            </w:r>
          </w:p>
        </w:tc>
        <w:tc>
          <w:tcPr>
            <w:tcW w:w="0" w:type="dxa"/>
            <w:tcBorders>
              <w:bottom w:val="single" w:sz="4" w:space="0" w:color="auto"/>
            </w:tcBorders>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sz w:val="22"/>
                <w:szCs w:val="22"/>
                <w:rtl/>
              </w:rPr>
              <w:t>ז'</w:t>
            </w:r>
          </w:p>
        </w:tc>
        <w:tc>
          <w:tcPr>
            <w:tcW w:w="0" w:type="dxa"/>
            <w:tcBorders>
              <w:bottom w:val="single" w:sz="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לא פורט</w:t>
            </w:r>
          </w:p>
        </w:tc>
        <w:tc>
          <w:tcPr>
            <w:tcW w:w="0" w:type="dxa"/>
            <w:tcBorders>
              <w:bottom w:val="single" w:sz="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אסור</w:t>
            </w:r>
          </w:p>
        </w:tc>
        <w:tc>
          <w:tcPr>
            <w:tcW w:w="0" w:type="dxa"/>
            <w:tcBorders>
              <w:bottom w:val="single" w:sz="4" w:space="0" w:color="auto"/>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יש סמכות לשם התקנת הכלי</w:t>
            </w: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24" w:space="0" w:color="auto"/>
            </w:tcBorders>
            <w:shd w:val="clear" w:color="auto" w:fill="DDDB87" w:themeFill="accent3"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מותר</w:t>
            </w:r>
          </w:p>
        </w:tc>
        <w:tc>
          <w:tcPr>
            <w:tcW w:w="0" w:type="dxa"/>
            <w:tcBorders>
              <w:top w:val="single" w:sz="4" w:space="0" w:color="auto"/>
            </w:tcBorders>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sz w:val="22"/>
                <w:szCs w:val="22"/>
                <w:rtl/>
              </w:rPr>
              <w:t>ט'</w:t>
            </w:r>
          </w:p>
        </w:tc>
        <w:tc>
          <w:tcPr>
            <w:tcW w:w="0" w:type="dxa"/>
            <w:tcBorders>
              <w:top w:val="single" w:sz="4" w:space="0" w:color="auto"/>
            </w:tcBorders>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38%</w:t>
            </w:r>
          </w:p>
        </w:tc>
        <w:tc>
          <w:tcPr>
            <w:tcW w:w="0" w:type="dxa"/>
            <w:tcBorders>
              <w:top w:val="single" w:sz="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מותר</w:t>
            </w:r>
          </w:p>
        </w:tc>
        <w:tc>
          <w:tcPr>
            <w:tcW w:w="0" w:type="dxa"/>
            <w:tcBorders>
              <w:top w:val="single" w:sz="4" w:space="0" w:color="auto"/>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i w:val="0"/>
                <w:iCs w:val="0"/>
                <w:sz w:val="22"/>
                <w:szCs w:val="22"/>
                <w:rtl/>
              </w:rPr>
              <w:t>יש</w:t>
            </w:r>
            <w:r w:rsidRPr="007038FA">
              <w:rPr>
                <w:i w:val="0"/>
                <w:iCs w:val="0"/>
                <w:sz w:val="22"/>
                <w:szCs w:val="22"/>
                <w:rtl/>
              </w:rPr>
              <w:t xml:space="preserve"> </w:t>
            </w:r>
            <w:r w:rsidRPr="007038FA">
              <w:rPr>
                <w:rFonts w:hint="eastAsia"/>
                <w:i w:val="0"/>
                <w:iCs w:val="0"/>
                <w:sz w:val="22"/>
                <w:szCs w:val="22"/>
                <w:rtl/>
              </w:rPr>
              <w:t>סמכות</w:t>
            </w:r>
            <w:r w:rsidRPr="007038FA">
              <w:rPr>
                <w:rStyle w:val="af"/>
                <w:i w:val="0"/>
                <w:iCs w:val="0"/>
                <w:sz w:val="22"/>
                <w:szCs w:val="22"/>
                <w:rtl/>
              </w:rPr>
              <w:footnoteReference w:id="203"/>
            </w:r>
          </w:p>
          <w:p w:rsidR="00B601BE" w:rsidRPr="007038FA" w:rsidRDefault="00B601BE"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tcBorders>
            <w:shd w:val="clear" w:color="auto" w:fill="DDDB87" w:themeFill="accent3"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מותר</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eastAsia"/>
                <w:b/>
                <w:bCs/>
                <w:i w:val="0"/>
                <w:iCs w:val="0"/>
                <w:sz w:val="22"/>
                <w:szCs w:val="22"/>
                <w:rtl/>
              </w:rPr>
              <w:t>שיחות</w:t>
            </w:r>
          </w:p>
        </w:tc>
        <w:tc>
          <w:tcPr>
            <w:tcW w:w="0" w:type="dxa"/>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72%</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מותר</w:t>
            </w:r>
          </w:p>
        </w:tc>
        <w:tc>
          <w:tcPr>
            <w:tcW w:w="0" w:type="dxa"/>
            <w:tcBorders>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i w:val="0"/>
                <w:iCs w:val="0"/>
                <w:sz w:val="22"/>
                <w:szCs w:val="22"/>
                <w:rtl/>
              </w:rPr>
              <w:t>יש</w:t>
            </w:r>
            <w:r w:rsidRPr="007038FA">
              <w:rPr>
                <w:i w:val="0"/>
                <w:iCs w:val="0"/>
                <w:sz w:val="22"/>
                <w:szCs w:val="22"/>
                <w:rtl/>
              </w:rPr>
              <w:t xml:space="preserve"> </w:t>
            </w:r>
            <w:r w:rsidRPr="007038FA">
              <w:rPr>
                <w:rFonts w:hint="eastAsia"/>
                <w:i w:val="0"/>
                <w:iCs w:val="0"/>
                <w:sz w:val="22"/>
                <w:szCs w:val="22"/>
                <w:rtl/>
              </w:rPr>
              <w:t>סמכות</w:t>
            </w:r>
          </w:p>
          <w:p w:rsidR="00B601BE" w:rsidRPr="007038FA" w:rsidRDefault="00B601BE"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tcBorders>
            <w:shd w:val="clear" w:color="auto" w:fill="DDDB87" w:themeFill="accent3"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מותר</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eastAsia"/>
                <w:b/>
                <w:bCs/>
                <w:i w:val="0"/>
                <w:iCs w:val="0"/>
                <w:sz w:val="22"/>
                <w:szCs w:val="22"/>
                <w:rtl/>
              </w:rPr>
              <w:t>הודעות</w:t>
            </w:r>
          </w:p>
        </w:tc>
        <w:tc>
          <w:tcPr>
            <w:tcW w:w="0" w:type="dxa"/>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73%</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מותר</w:t>
            </w:r>
          </w:p>
        </w:tc>
        <w:tc>
          <w:tcPr>
            <w:tcW w:w="0" w:type="dxa"/>
            <w:tcBorders>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i w:val="0"/>
                <w:iCs w:val="0"/>
                <w:sz w:val="22"/>
                <w:szCs w:val="22"/>
                <w:rtl/>
              </w:rPr>
              <w:t>יש</w:t>
            </w:r>
            <w:r w:rsidRPr="007038FA">
              <w:rPr>
                <w:i w:val="0"/>
                <w:iCs w:val="0"/>
                <w:sz w:val="22"/>
                <w:szCs w:val="22"/>
                <w:rtl/>
              </w:rPr>
              <w:t xml:space="preserve"> </w:t>
            </w:r>
            <w:r w:rsidRPr="007038FA">
              <w:rPr>
                <w:rFonts w:hint="eastAsia"/>
                <w:i w:val="0"/>
                <w:iCs w:val="0"/>
                <w:sz w:val="22"/>
                <w:szCs w:val="22"/>
                <w:rtl/>
              </w:rPr>
              <w:t>סמכות</w:t>
            </w:r>
            <w:r w:rsidRPr="007038FA">
              <w:rPr>
                <w:rStyle w:val="af"/>
                <w:i w:val="0"/>
                <w:iCs w:val="0"/>
                <w:sz w:val="22"/>
                <w:szCs w:val="22"/>
                <w:rtl/>
              </w:rPr>
              <w:footnoteReference w:id="204"/>
            </w:r>
          </w:p>
          <w:p w:rsidR="00B601BE" w:rsidRPr="007038FA" w:rsidRDefault="00B601BE"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tcBorders>
            <w:shd w:val="clear" w:color="auto" w:fill="DDDB87" w:themeFill="accent3"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מותר</w:t>
            </w:r>
          </w:p>
        </w:tc>
        <w:tc>
          <w:tcPr>
            <w:tcW w:w="0" w:type="dxa"/>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sz w:val="22"/>
                <w:szCs w:val="22"/>
                <w:rtl/>
              </w:rPr>
              <w:t>י'</w:t>
            </w:r>
          </w:p>
        </w:tc>
        <w:tc>
          <w:tcPr>
            <w:tcW w:w="0" w:type="dxa"/>
          </w:tcPr>
          <w:p w:rsidR="009A1216" w:rsidRPr="007038FA" w:rsidRDefault="005E61E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sidDel="005E61E7">
              <w:rPr>
                <w:rFonts w:hint="cs"/>
                <w:sz w:val="22"/>
                <w:szCs w:val="22"/>
                <w:rtl/>
              </w:rPr>
              <w:t xml:space="preserve"> </w:t>
            </w:r>
            <w:r w:rsidR="009A1216" w:rsidRPr="007038FA">
              <w:rPr>
                <w:rFonts w:hint="cs"/>
                <w:i w:val="0"/>
                <w:iCs w:val="0"/>
                <w:sz w:val="22"/>
                <w:szCs w:val="22"/>
                <w:rtl/>
              </w:rPr>
              <w:t>98%</w:t>
            </w:r>
          </w:p>
        </w:tc>
        <w:tc>
          <w:tcPr>
            <w:tcW w:w="0" w:type="dxa"/>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מותר</w:t>
            </w:r>
          </w:p>
        </w:tc>
        <w:tc>
          <w:tcPr>
            <w:tcW w:w="0" w:type="dxa"/>
            <w:tcBorders>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eastAsia"/>
                <w:i w:val="0"/>
                <w:iCs w:val="0"/>
                <w:sz w:val="22"/>
                <w:szCs w:val="22"/>
                <w:rtl/>
              </w:rPr>
              <w:t>יש</w:t>
            </w:r>
            <w:r w:rsidRPr="007038FA">
              <w:rPr>
                <w:i w:val="0"/>
                <w:iCs w:val="0"/>
                <w:sz w:val="22"/>
                <w:szCs w:val="22"/>
                <w:rtl/>
              </w:rPr>
              <w:t xml:space="preserve"> </w:t>
            </w:r>
            <w:r w:rsidRPr="007038FA">
              <w:rPr>
                <w:rFonts w:hint="eastAsia"/>
                <w:i w:val="0"/>
                <w:iCs w:val="0"/>
                <w:sz w:val="22"/>
                <w:szCs w:val="22"/>
                <w:rtl/>
              </w:rPr>
              <w:t>סמכות</w:t>
            </w:r>
          </w:p>
          <w:p w:rsidR="00B601BE" w:rsidRPr="007038FA" w:rsidRDefault="00B601BE"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p>
        </w:tc>
      </w:tr>
      <w:tr w:rsidR="009A1216" w:rsidRPr="007038FA" w:rsidTr="00837D04">
        <w:trPr>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24" w:space="0" w:color="auto"/>
              <w:bottom w:val="single" w:sz="24" w:space="0" w:color="auto"/>
            </w:tcBorders>
            <w:shd w:val="clear" w:color="auto" w:fill="DDDB87" w:themeFill="accent3" w:themeFillTint="99"/>
          </w:tcPr>
          <w:p w:rsidR="009A1216" w:rsidRPr="007038FA" w:rsidRDefault="009A1216" w:rsidP="00837D04">
            <w:pPr>
              <w:pStyle w:val="afe"/>
              <w:spacing w:line="269" w:lineRule="auto"/>
              <w:jc w:val="left"/>
              <w:rPr>
                <w:sz w:val="22"/>
                <w:szCs w:val="22"/>
                <w:rtl/>
              </w:rPr>
            </w:pPr>
            <w:r w:rsidRPr="007038FA">
              <w:rPr>
                <w:rFonts w:hint="cs"/>
                <w:i w:val="0"/>
                <w:iCs w:val="0"/>
                <w:sz w:val="22"/>
                <w:szCs w:val="22"/>
                <w:rtl/>
              </w:rPr>
              <w:t>מותר</w:t>
            </w:r>
          </w:p>
        </w:tc>
        <w:tc>
          <w:tcPr>
            <w:tcW w:w="0" w:type="dxa"/>
            <w:tcBorders>
              <w:bottom w:val="single" w:sz="24" w:space="0" w:color="auto"/>
            </w:tcBorders>
          </w:tcPr>
          <w:p w:rsidR="009A1216" w:rsidRPr="007038FA" w:rsidRDefault="00F67B37"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b/>
                <w:bCs/>
                <w:sz w:val="22"/>
                <w:szCs w:val="22"/>
                <w:rtl/>
              </w:rPr>
            </w:pPr>
            <w:r w:rsidRPr="007038FA">
              <w:rPr>
                <w:rFonts w:hint="cs"/>
                <w:b/>
                <w:bCs/>
                <w:sz w:val="22"/>
                <w:szCs w:val="22"/>
                <w:rtl/>
              </w:rPr>
              <w:t>ו'</w:t>
            </w:r>
          </w:p>
        </w:tc>
        <w:tc>
          <w:tcPr>
            <w:tcW w:w="0" w:type="dxa"/>
            <w:tcBorders>
              <w:bottom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אין מידע</w:t>
            </w:r>
          </w:p>
        </w:tc>
        <w:tc>
          <w:tcPr>
            <w:tcW w:w="0" w:type="dxa"/>
            <w:tcBorders>
              <w:bottom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מותר</w:t>
            </w:r>
          </w:p>
        </w:tc>
        <w:tc>
          <w:tcPr>
            <w:tcW w:w="0" w:type="dxa"/>
            <w:tcBorders>
              <w:bottom w:val="single" w:sz="24" w:space="0" w:color="auto"/>
              <w:right w:val="single" w:sz="24" w:space="0" w:color="auto"/>
            </w:tcBorders>
          </w:tcPr>
          <w:p w:rsidR="009A1216" w:rsidRPr="007038FA" w:rsidRDefault="009A1216"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r w:rsidRPr="007038FA">
              <w:rPr>
                <w:rFonts w:hint="cs"/>
                <w:i w:val="0"/>
                <w:iCs w:val="0"/>
                <w:sz w:val="22"/>
                <w:szCs w:val="22"/>
                <w:rtl/>
              </w:rPr>
              <w:t>יש סמכות</w:t>
            </w:r>
          </w:p>
          <w:p w:rsidR="00B601BE" w:rsidRPr="007038FA" w:rsidRDefault="00B601BE" w:rsidP="00837D04">
            <w:pPr>
              <w:pStyle w:val="afe"/>
              <w:spacing w:line="269" w:lineRule="auto"/>
              <w:jc w:val="left"/>
              <w:cnfStyle w:val="000000000000" w:firstRow="0" w:lastRow="0" w:firstColumn="0" w:lastColumn="0" w:oddVBand="0" w:evenVBand="0" w:oddHBand="0" w:evenHBand="0" w:firstRowFirstColumn="0" w:firstRowLastColumn="0" w:lastRowFirstColumn="0" w:lastRowLastColumn="0"/>
              <w:rPr>
                <w:i w:val="0"/>
                <w:iCs w:val="0"/>
                <w:sz w:val="22"/>
                <w:szCs w:val="22"/>
                <w:rtl/>
              </w:rPr>
            </w:pPr>
          </w:p>
        </w:tc>
      </w:tr>
    </w:tbl>
    <w:bookmarkEnd w:id="526"/>
    <w:bookmarkEnd w:id="527"/>
    <w:p w:rsidR="009A1216" w:rsidRPr="002B1173" w:rsidRDefault="009A1216" w:rsidP="00604C3D">
      <w:pPr>
        <w:spacing w:line="269" w:lineRule="auto"/>
        <w:rPr>
          <w:szCs w:val="20"/>
        </w:rPr>
      </w:pPr>
      <w:r w:rsidRPr="00BB075D">
        <w:rPr>
          <w:rFonts w:hint="eastAsia"/>
          <w:szCs w:val="20"/>
          <w:rtl/>
        </w:rPr>
        <w:t>על</w:t>
      </w:r>
      <w:r w:rsidRPr="00BB075D">
        <w:rPr>
          <w:szCs w:val="20"/>
          <w:rtl/>
        </w:rPr>
        <w:t xml:space="preserve"> </w:t>
      </w:r>
      <w:r w:rsidRPr="00BB075D">
        <w:rPr>
          <w:rFonts w:hint="eastAsia"/>
          <w:szCs w:val="20"/>
          <w:rtl/>
        </w:rPr>
        <w:t>פי</w:t>
      </w:r>
      <w:r w:rsidRPr="00BB075D">
        <w:rPr>
          <w:szCs w:val="20"/>
          <w:rtl/>
        </w:rPr>
        <w:t xml:space="preserve"> </w:t>
      </w:r>
      <w:r w:rsidRPr="00BB075D">
        <w:rPr>
          <w:rFonts w:hint="eastAsia"/>
          <w:szCs w:val="20"/>
          <w:rtl/>
        </w:rPr>
        <w:t>מידע</w:t>
      </w:r>
      <w:r w:rsidRPr="00BB075D">
        <w:rPr>
          <w:szCs w:val="20"/>
          <w:rtl/>
        </w:rPr>
        <w:t xml:space="preserve"> </w:t>
      </w:r>
      <w:r w:rsidRPr="00BB075D">
        <w:rPr>
          <w:rFonts w:hint="eastAsia"/>
          <w:szCs w:val="20"/>
          <w:rtl/>
        </w:rPr>
        <w:t>שנאסף</w:t>
      </w:r>
      <w:r w:rsidRPr="00BB075D">
        <w:rPr>
          <w:szCs w:val="20"/>
          <w:rtl/>
        </w:rPr>
        <w:t xml:space="preserve"> </w:t>
      </w:r>
      <w:r w:rsidRPr="00BB075D">
        <w:rPr>
          <w:rFonts w:hint="eastAsia"/>
          <w:szCs w:val="20"/>
          <w:rtl/>
        </w:rPr>
        <w:t>בביקורת</w:t>
      </w:r>
      <w:r w:rsidR="005A7854">
        <w:rPr>
          <w:rFonts w:hint="cs"/>
          <w:szCs w:val="20"/>
          <w:rtl/>
        </w:rPr>
        <w:t>,</w:t>
      </w:r>
      <w:r w:rsidRPr="00BB075D">
        <w:rPr>
          <w:szCs w:val="20"/>
          <w:rtl/>
        </w:rPr>
        <w:t xml:space="preserve"> </w:t>
      </w:r>
      <w:r w:rsidRPr="00BB075D">
        <w:rPr>
          <w:rFonts w:hint="eastAsia"/>
          <w:szCs w:val="20"/>
          <w:rtl/>
        </w:rPr>
        <w:t>בעיבוד</w:t>
      </w:r>
      <w:r w:rsidRPr="00BB075D">
        <w:rPr>
          <w:szCs w:val="20"/>
          <w:rtl/>
        </w:rPr>
        <w:t xml:space="preserve"> </w:t>
      </w:r>
      <w:r w:rsidRPr="00BB075D">
        <w:rPr>
          <w:rFonts w:hint="eastAsia"/>
          <w:szCs w:val="20"/>
          <w:rtl/>
        </w:rPr>
        <w:t>משרד</w:t>
      </w:r>
      <w:r w:rsidRPr="00BB075D">
        <w:rPr>
          <w:szCs w:val="20"/>
          <w:rtl/>
        </w:rPr>
        <w:t xml:space="preserve"> </w:t>
      </w:r>
      <w:r w:rsidRPr="00BB075D">
        <w:rPr>
          <w:rFonts w:hint="eastAsia"/>
          <w:szCs w:val="20"/>
          <w:rtl/>
        </w:rPr>
        <w:t>מבקר</w:t>
      </w:r>
      <w:r w:rsidRPr="00BB075D">
        <w:rPr>
          <w:szCs w:val="20"/>
          <w:rtl/>
        </w:rPr>
        <w:t xml:space="preserve"> </w:t>
      </w:r>
      <w:r w:rsidRPr="00BB075D">
        <w:rPr>
          <w:rFonts w:hint="eastAsia"/>
          <w:szCs w:val="20"/>
          <w:rtl/>
        </w:rPr>
        <w:t>המדינה</w:t>
      </w:r>
      <w:r w:rsidR="00A600C0">
        <w:rPr>
          <w:rFonts w:hint="cs"/>
          <w:szCs w:val="20"/>
          <w:rtl/>
        </w:rPr>
        <w:t>.</w:t>
      </w:r>
      <w:r w:rsidRPr="00BB075D">
        <w:rPr>
          <w:szCs w:val="20"/>
        </w:rPr>
        <w:t xml:space="preserve"> </w:t>
      </w:r>
    </w:p>
    <w:p w:rsidR="009A1216" w:rsidRDefault="00382AE8" w:rsidP="00604C3D">
      <w:pPr>
        <w:pStyle w:val="a5"/>
        <w:spacing w:line="269" w:lineRule="auto"/>
        <w:rPr>
          <w:rtl/>
        </w:rPr>
      </w:pPr>
      <w:r>
        <w:rPr>
          <w:rFonts w:hint="cs"/>
          <w:rtl/>
        </w:rPr>
        <w:t xml:space="preserve"> </w:t>
      </w:r>
    </w:p>
    <w:p w:rsidR="009A1216" w:rsidRPr="00F8420E" w:rsidRDefault="009A1216" w:rsidP="00DF4779">
      <w:pPr>
        <w:spacing w:line="269" w:lineRule="auto"/>
        <w:ind w:left="720"/>
        <w:rPr>
          <w:b/>
          <w:bCs/>
          <w:rtl/>
        </w:rPr>
      </w:pPr>
      <w:bookmarkStart w:id="528" w:name="_Hlk177556602"/>
      <w:r w:rsidRPr="00F8420E">
        <w:rPr>
          <w:rFonts w:hint="cs"/>
          <w:b/>
          <w:bCs/>
          <w:rtl/>
        </w:rPr>
        <w:t>מהלוח עולה כי אף על פי שלמשטרה היה ידוע שקיימות מגבלות משפטיות לאסוף סוגי מידע שונים, אלו נאספו על ידה באמצעות כלים טכנולוגיים במהלך השנים. מתוך 14 סוגי מידע</w:t>
      </w:r>
      <w:r w:rsidR="00D77413">
        <w:rPr>
          <w:rFonts w:hint="cs"/>
          <w:b/>
          <w:bCs/>
          <w:rtl/>
        </w:rPr>
        <w:t>,</w:t>
      </w:r>
      <w:r w:rsidRPr="00F8420E">
        <w:rPr>
          <w:rFonts w:hint="cs"/>
          <w:b/>
          <w:bCs/>
          <w:rtl/>
        </w:rPr>
        <w:t xml:space="preserve"> </w:t>
      </w:r>
      <w:bookmarkStart w:id="529" w:name="_Hlk188190702"/>
      <w:r>
        <w:rPr>
          <w:rFonts w:hint="cs"/>
          <w:b/>
          <w:bCs/>
          <w:rtl/>
        </w:rPr>
        <w:t>בנוגע</w:t>
      </w:r>
      <w:r w:rsidRPr="00F8420E">
        <w:rPr>
          <w:rFonts w:hint="cs"/>
          <w:b/>
          <w:bCs/>
          <w:rtl/>
        </w:rPr>
        <w:t xml:space="preserve"> ל-9 סוגי מידע נמצאו פערים בין איסוף המידע בפועל להתרת האיסוף בחוות דעת משפטית. </w:t>
      </w:r>
      <w:r w:rsidR="00410628">
        <w:rPr>
          <w:rFonts w:hint="cs"/>
          <w:b/>
          <w:bCs/>
          <w:rtl/>
        </w:rPr>
        <w:t>החומרה</w:t>
      </w:r>
      <w:r w:rsidRPr="00F8420E">
        <w:rPr>
          <w:rFonts w:hint="cs"/>
          <w:b/>
          <w:bCs/>
          <w:rtl/>
        </w:rPr>
        <w:t xml:space="preserve"> הגלומה באיסוף המידע משתנה בהתאם למצב המשפטי שהיה קיים עד לפרסום "פרשת פגסוס", לאחר דוח צוות מררי ובמהלך ביקורת משרד מבקר המדינה</w:t>
      </w:r>
      <w:r>
        <w:rPr>
          <w:rFonts w:hint="cs"/>
          <w:b/>
          <w:bCs/>
          <w:rtl/>
        </w:rPr>
        <w:t>, כמפורט להלן</w:t>
      </w:r>
      <w:r w:rsidRPr="00F8420E">
        <w:rPr>
          <w:rFonts w:hint="cs"/>
          <w:b/>
          <w:bCs/>
          <w:rtl/>
        </w:rPr>
        <w:t xml:space="preserve">: </w:t>
      </w:r>
      <w:bookmarkEnd w:id="528"/>
    </w:p>
    <w:p w:rsidR="009A1216" w:rsidRDefault="009A1216" w:rsidP="00604C3D">
      <w:pPr>
        <w:spacing w:line="269" w:lineRule="auto"/>
        <w:rPr>
          <w:b/>
          <w:bCs/>
          <w:rtl/>
        </w:rPr>
      </w:pPr>
    </w:p>
    <w:p w:rsidR="009A1216" w:rsidRPr="005571ED" w:rsidRDefault="009A1216" w:rsidP="00DF4779">
      <w:pPr>
        <w:pStyle w:val="af2"/>
        <w:numPr>
          <w:ilvl w:val="6"/>
          <w:numId w:val="35"/>
        </w:numPr>
        <w:spacing w:line="269" w:lineRule="auto"/>
        <w:ind w:left="1081"/>
        <w:rPr>
          <w:b/>
          <w:bCs/>
          <w:rtl/>
        </w:rPr>
      </w:pPr>
      <w:r w:rsidRPr="005571ED">
        <w:rPr>
          <w:b/>
          <w:bCs/>
          <w:rtl/>
        </w:rPr>
        <w:t xml:space="preserve">3 </w:t>
      </w:r>
      <w:r w:rsidRPr="005571ED">
        <w:rPr>
          <w:rFonts w:hint="eastAsia"/>
          <w:b/>
          <w:bCs/>
          <w:rtl/>
        </w:rPr>
        <w:t>סוגי</w:t>
      </w:r>
      <w:r w:rsidRPr="005571ED">
        <w:rPr>
          <w:b/>
          <w:bCs/>
          <w:rtl/>
        </w:rPr>
        <w:t xml:space="preserve"> מידע נאספו על ידי המשטרה </w:t>
      </w:r>
      <w:r w:rsidRPr="005571ED">
        <w:rPr>
          <w:rFonts w:hint="eastAsia"/>
          <w:b/>
          <w:bCs/>
          <w:rtl/>
        </w:rPr>
        <w:t>אף</w:t>
      </w:r>
      <w:r w:rsidRPr="005571ED">
        <w:rPr>
          <w:b/>
          <w:bCs/>
          <w:rtl/>
        </w:rPr>
        <w:t xml:space="preserve"> שהיה ידוע </w:t>
      </w:r>
      <w:r>
        <w:rPr>
          <w:rFonts w:hint="cs"/>
          <w:b/>
          <w:bCs/>
          <w:rtl/>
        </w:rPr>
        <w:t>לה</w:t>
      </w:r>
      <w:r w:rsidRPr="005571ED">
        <w:rPr>
          <w:b/>
          <w:bCs/>
          <w:rtl/>
        </w:rPr>
        <w:t xml:space="preserve"> כי חל איסור משפטי לאסוף מידע </w:t>
      </w:r>
      <w:r w:rsidRPr="005571ED">
        <w:rPr>
          <w:rFonts w:hint="eastAsia"/>
          <w:b/>
          <w:bCs/>
          <w:rtl/>
        </w:rPr>
        <w:t>מסוג</w:t>
      </w:r>
      <w:r w:rsidRPr="005571ED">
        <w:rPr>
          <w:b/>
          <w:bCs/>
          <w:rtl/>
        </w:rPr>
        <w:t xml:space="preserve"> </w:t>
      </w:r>
      <w:r w:rsidRPr="005571ED">
        <w:rPr>
          <w:rFonts w:hint="eastAsia"/>
          <w:b/>
          <w:bCs/>
          <w:rtl/>
        </w:rPr>
        <w:t>זה</w:t>
      </w:r>
      <w:r w:rsidRPr="005571ED">
        <w:rPr>
          <w:b/>
          <w:bCs/>
          <w:rtl/>
        </w:rPr>
        <w:t xml:space="preserve"> ואיסופם אסור עד היום. תוצר מהסוגים שפורטו לעיל </w:t>
      </w:r>
      <w:r w:rsidR="005E61E7">
        <w:rPr>
          <w:rFonts w:hint="cs"/>
          <w:b/>
          <w:bCs/>
          <w:rtl/>
        </w:rPr>
        <w:t>נאסף מ-</w:t>
      </w:r>
      <w:r w:rsidRPr="005571ED">
        <w:rPr>
          <w:b/>
          <w:bCs/>
          <w:rtl/>
        </w:rPr>
        <w:t>40%</w:t>
      </w:r>
      <w:r w:rsidR="005E61E7">
        <w:rPr>
          <w:rFonts w:hint="cs"/>
          <w:b/>
          <w:bCs/>
          <w:rtl/>
        </w:rPr>
        <w:t xml:space="preserve"> מהמטרות</w:t>
      </w:r>
      <w:r w:rsidRPr="005571ED">
        <w:rPr>
          <w:b/>
          <w:bCs/>
          <w:rtl/>
        </w:rPr>
        <w:t>.</w:t>
      </w:r>
    </w:p>
    <w:p w:rsidR="009A1216" w:rsidRDefault="009A1216" w:rsidP="00604C3D">
      <w:pPr>
        <w:spacing w:line="269" w:lineRule="auto"/>
        <w:contextualSpacing/>
        <w:rPr>
          <w:rtl/>
        </w:rPr>
      </w:pPr>
    </w:p>
    <w:p w:rsidR="009A1216" w:rsidRDefault="009A1216" w:rsidP="00DF4779">
      <w:pPr>
        <w:pStyle w:val="af2"/>
        <w:numPr>
          <w:ilvl w:val="6"/>
          <w:numId w:val="35"/>
        </w:numPr>
        <w:spacing w:line="269" w:lineRule="auto"/>
        <w:ind w:left="1081"/>
        <w:rPr>
          <w:b/>
          <w:bCs/>
        </w:rPr>
      </w:pPr>
      <w:r w:rsidRPr="005571ED">
        <w:rPr>
          <w:b/>
          <w:bCs/>
          <w:rtl/>
        </w:rPr>
        <w:t>סוג מידע</w:t>
      </w:r>
      <w:r>
        <w:rPr>
          <w:rFonts w:hint="cs"/>
          <w:b/>
          <w:bCs/>
          <w:rtl/>
        </w:rPr>
        <w:t xml:space="preserve"> אחד</w:t>
      </w:r>
      <w:r w:rsidRPr="005571ED">
        <w:rPr>
          <w:b/>
          <w:bCs/>
          <w:rtl/>
        </w:rPr>
        <w:t xml:space="preserve"> נאס</w:t>
      </w:r>
      <w:r>
        <w:rPr>
          <w:rFonts w:hint="cs"/>
          <w:b/>
          <w:bCs/>
          <w:rtl/>
        </w:rPr>
        <w:t xml:space="preserve">ף </w:t>
      </w:r>
      <w:r w:rsidRPr="005571ED">
        <w:rPr>
          <w:b/>
          <w:bCs/>
          <w:rtl/>
        </w:rPr>
        <w:t xml:space="preserve">על ידי המשטרה והותר להפקה ושימוש בנהלי המשטרה </w:t>
      </w:r>
      <w:r>
        <w:rPr>
          <w:rFonts w:hint="cs"/>
          <w:b/>
          <w:bCs/>
          <w:rtl/>
        </w:rPr>
        <w:t>ב</w:t>
      </w:r>
      <w:r w:rsidRPr="005571ED">
        <w:rPr>
          <w:b/>
          <w:bCs/>
          <w:rtl/>
        </w:rPr>
        <w:t xml:space="preserve">שנים 2014 </w:t>
      </w:r>
      <w:r>
        <w:rPr>
          <w:rFonts w:hint="cs"/>
          <w:b/>
          <w:bCs/>
          <w:rtl/>
        </w:rPr>
        <w:t>-</w:t>
      </w:r>
      <w:r w:rsidRPr="005571ED">
        <w:rPr>
          <w:b/>
          <w:bCs/>
          <w:rtl/>
        </w:rPr>
        <w:t xml:space="preserve"> 2017, אך בדיעבד נמצא כי איסופ</w:t>
      </w:r>
      <w:r>
        <w:rPr>
          <w:rFonts w:hint="cs"/>
          <w:b/>
          <w:bCs/>
          <w:rtl/>
        </w:rPr>
        <w:t>ו</w:t>
      </w:r>
      <w:r w:rsidR="0027505C">
        <w:rPr>
          <w:rFonts w:hint="cs"/>
          <w:b/>
          <w:bCs/>
          <w:rtl/>
        </w:rPr>
        <w:t xml:space="preserve"> אסור</w:t>
      </w:r>
      <w:r w:rsidRPr="005571ED">
        <w:rPr>
          <w:b/>
          <w:bCs/>
          <w:rtl/>
        </w:rPr>
        <w:t xml:space="preserve"> </w:t>
      </w:r>
      <w:r w:rsidR="00757642">
        <w:rPr>
          <w:rFonts w:hint="cs"/>
          <w:b/>
          <w:bCs/>
          <w:rtl/>
        </w:rPr>
        <w:t>אינו עומד בהלימה להוראות הדין</w:t>
      </w:r>
      <w:r>
        <w:rPr>
          <w:rFonts w:hint="cs"/>
          <w:b/>
          <w:bCs/>
          <w:rtl/>
        </w:rPr>
        <w:t>. תוצר מהסוגים שפורטו לעיל</w:t>
      </w:r>
      <w:r w:rsidR="005E61E7">
        <w:rPr>
          <w:rFonts w:hint="cs"/>
          <w:b/>
          <w:bCs/>
          <w:rtl/>
        </w:rPr>
        <w:t xml:space="preserve"> נאסף מ-</w:t>
      </w:r>
      <w:r>
        <w:rPr>
          <w:rFonts w:hint="cs"/>
          <w:b/>
          <w:bCs/>
          <w:rtl/>
        </w:rPr>
        <w:t>27%</w:t>
      </w:r>
      <w:r w:rsidR="005E61E7">
        <w:rPr>
          <w:rFonts w:hint="cs"/>
          <w:b/>
          <w:bCs/>
          <w:rtl/>
        </w:rPr>
        <w:t xml:space="preserve"> מהמטרות</w:t>
      </w:r>
      <w:r>
        <w:rPr>
          <w:rFonts w:hint="cs"/>
          <w:b/>
          <w:bCs/>
          <w:rtl/>
        </w:rPr>
        <w:t xml:space="preserve">. </w:t>
      </w:r>
    </w:p>
    <w:p w:rsidR="009A1216" w:rsidRPr="00C65B0A" w:rsidRDefault="009A1216" w:rsidP="00604C3D">
      <w:pPr>
        <w:spacing w:line="269" w:lineRule="auto"/>
      </w:pPr>
    </w:p>
    <w:p w:rsidR="009A1216" w:rsidRDefault="009A1216" w:rsidP="00DF4779">
      <w:pPr>
        <w:pStyle w:val="af2"/>
        <w:numPr>
          <w:ilvl w:val="6"/>
          <w:numId w:val="35"/>
        </w:numPr>
        <w:spacing w:line="269" w:lineRule="auto"/>
        <w:ind w:left="1081"/>
        <w:rPr>
          <w:b/>
          <w:bCs/>
        </w:rPr>
      </w:pPr>
      <w:r>
        <w:rPr>
          <w:rFonts w:hint="cs"/>
          <w:b/>
          <w:bCs/>
          <w:rtl/>
        </w:rPr>
        <w:t xml:space="preserve">סוג מידע אחד נאסף על ידי המשטרה והותר להפקה ושימוש, אך בדיעבד נמצא כי איסופו בחלק משיטות האיסוף </w:t>
      </w:r>
      <w:r w:rsidR="00410628">
        <w:rPr>
          <w:rFonts w:hint="cs"/>
          <w:b/>
          <w:bCs/>
          <w:rtl/>
        </w:rPr>
        <w:t>היה אסור</w:t>
      </w:r>
      <w:r>
        <w:rPr>
          <w:rFonts w:hint="cs"/>
          <w:b/>
          <w:bCs/>
          <w:rtl/>
        </w:rPr>
        <w:t xml:space="preserve">, והוא הותר רק באופן חלקי. </w:t>
      </w:r>
    </w:p>
    <w:p w:rsidR="009A1216" w:rsidRPr="00C65B0A" w:rsidRDefault="009A1216" w:rsidP="00604C3D">
      <w:pPr>
        <w:spacing w:line="269" w:lineRule="auto"/>
        <w:rPr>
          <w:rtl/>
        </w:rPr>
      </w:pPr>
    </w:p>
    <w:p w:rsidR="009A1216" w:rsidRPr="00200101" w:rsidRDefault="009A1216" w:rsidP="00DF4779">
      <w:pPr>
        <w:pStyle w:val="af2"/>
        <w:numPr>
          <w:ilvl w:val="6"/>
          <w:numId w:val="35"/>
        </w:numPr>
        <w:spacing w:line="269" w:lineRule="auto"/>
        <w:ind w:left="1081"/>
        <w:rPr>
          <w:b/>
          <w:bCs/>
          <w:rtl/>
        </w:rPr>
      </w:pPr>
      <w:r w:rsidRPr="005571ED">
        <w:rPr>
          <w:rFonts w:hint="eastAsia"/>
          <w:b/>
          <w:bCs/>
          <w:rtl/>
        </w:rPr>
        <w:t>סוג</w:t>
      </w:r>
      <w:r w:rsidRPr="005571ED">
        <w:rPr>
          <w:b/>
          <w:bCs/>
          <w:rtl/>
        </w:rPr>
        <w:t xml:space="preserve"> </w:t>
      </w:r>
      <w:r w:rsidR="00D77413">
        <w:rPr>
          <w:rFonts w:hint="cs"/>
          <w:b/>
          <w:bCs/>
          <w:rtl/>
        </w:rPr>
        <w:t xml:space="preserve">מידע </w:t>
      </w:r>
      <w:r w:rsidRPr="005571ED">
        <w:rPr>
          <w:rFonts w:hint="eastAsia"/>
          <w:b/>
          <w:bCs/>
          <w:rtl/>
        </w:rPr>
        <w:t>אחד</w:t>
      </w:r>
      <w:r w:rsidRPr="005571ED">
        <w:rPr>
          <w:b/>
          <w:bCs/>
          <w:rtl/>
        </w:rPr>
        <w:t xml:space="preserve"> </w:t>
      </w:r>
      <w:r w:rsidRPr="005571ED">
        <w:rPr>
          <w:rFonts w:hint="eastAsia"/>
          <w:b/>
          <w:bCs/>
          <w:rtl/>
        </w:rPr>
        <w:t>נאסף</w:t>
      </w:r>
      <w:r w:rsidRPr="005571ED">
        <w:rPr>
          <w:b/>
          <w:bCs/>
          <w:rtl/>
        </w:rPr>
        <w:t xml:space="preserve"> </w:t>
      </w:r>
      <w:r w:rsidRPr="005571ED">
        <w:rPr>
          <w:rFonts w:hint="eastAsia"/>
          <w:b/>
          <w:bCs/>
          <w:rtl/>
        </w:rPr>
        <w:t>על</w:t>
      </w:r>
      <w:r w:rsidRPr="005571ED">
        <w:rPr>
          <w:b/>
          <w:bCs/>
          <w:rtl/>
        </w:rPr>
        <w:t xml:space="preserve"> </w:t>
      </w:r>
      <w:r w:rsidRPr="005571ED">
        <w:rPr>
          <w:rFonts w:hint="eastAsia"/>
          <w:b/>
          <w:bCs/>
          <w:rtl/>
        </w:rPr>
        <w:t>ידי</w:t>
      </w:r>
      <w:r w:rsidRPr="005571ED">
        <w:rPr>
          <w:b/>
          <w:bCs/>
          <w:rtl/>
        </w:rPr>
        <w:t xml:space="preserve"> </w:t>
      </w:r>
      <w:r w:rsidRPr="005571ED">
        <w:rPr>
          <w:rFonts w:hint="eastAsia"/>
          <w:b/>
          <w:bCs/>
          <w:rtl/>
        </w:rPr>
        <w:t>המשטרה</w:t>
      </w:r>
      <w:r w:rsidRPr="005571ED">
        <w:rPr>
          <w:b/>
          <w:bCs/>
          <w:rtl/>
        </w:rPr>
        <w:t xml:space="preserve">, </w:t>
      </w:r>
      <w:r w:rsidRPr="005571ED">
        <w:rPr>
          <w:rFonts w:hint="eastAsia"/>
          <w:b/>
          <w:bCs/>
          <w:rtl/>
        </w:rPr>
        <w:t>אף</w:t>
      </w:r>
      <w:r w:rsidRPr="005571ED">
        <w:rPr>
          <w:b/>
          <w:bCs/>
          <w:rtl/>
        </w:rPr>
        <w:t xml:space="preserve"> </w:t>
      </w:r>
      <w:r w:rsidRPr="005571ED">
        <w:rPr>
          <w:rFonts w:hint="eastAsia"/>
          <w:b/>
          <w:bCs/>
          <w:rtl/>
        </w:rPr>
        <w:t>שהיה</w:t>
      </w:r>
      <w:r w:rsidRPr="005571ED">
        <w:rPr>
          <w:b/>
          <w:bCs/>
          <w:rtl/>
        </w:rPr>
        <w:t xml:space="preserve"> </w:t>
      </w:r>
      <w:r w:rsidRPr="005571ED">
        <w:rPr>
          <w:rFonts w:hint="eastAsia"/>
          <w:b/>
          <w:bCs/>
          <w:rtl/>
        </w:rPr>
        <w:t>ידוע</w:t>
      </w:r>
      <w:r w:rsidRPr="005571ED">
        <w:rPr>
          <w:b/>
          <w:bCs/>
          <w:rtl/>
        </w:rPr>
        <w:t xml:space="preserve"> </w:t>
      </w:r>
      <w:r>
        <w:rPr>
          <w:rFonts w:hint="cs"/>
          <w:b/>
          <w:bCs/>
          <w:rtl/>
        </w:rPr>
        <w:t>לה</w:t>
      </w:r>
      <w:r w:rsidRPr="005571ED">
        <w:rPr>
          <w:b/>
          <w:bCs/>
          <w:rtl/>
        </w:rPr>
        <w:t xml:space="preserve"> </w:t>
      </w:r>
      <w:r w:rsidRPr="005571ED">
        <w:rPr>
          <w:rFonts w:hint="eastAsia"/>
          <w:b/>
          <w:bCs/>
          <w:rtl/>
        </w:rPr>
        <w:t>כי</w:t>
      </w:r>
      <w:r w:rsidRPr="005571ED">
        <w:rPr>
          <w:b/>
          <w:bCs/>
          <w:rtl/>
        </w:rPr>
        <w:t xml:space="preserve"> </w:t>
      </w:r>
      <w:r w:rsidRPr="005571ED">
        <w:rPr>
          <w:rFonts w:hint="eastAsia"/>
          <w:b/>
          <w:bCs/>
          <w:rtl/>
        </w:rPr>
        <w:t>חל</w:t>
      </w:r>
      <w:r w:rsidRPr="005571ED">
        <w:rPr>
          <w:b/>
          <w:bCs/>
          <w:rtl/>
        </w:rPr>
        <w:t xml:space="preserve"> </w:t>
      </w:r>
      <w:r w:rsidRPr="005571ED">
        <w:rPr>
          <w:rFonts w:hint="eastAsia"/>
          <w:b/>
          <w:bCs/>
          <w:rtl/>
        </w:rPr>
        <w:t>אי</w:t>
      </w:r>
      <w:r>
        <w:rPr>
          <w:rFonts w:hint="cs"/>
          <w:b/>
          <w:bCs/>
          <w:rtl/>
        </w:rPr>
        <w:t>ס</w:t>
      </w:r>
      <w:r w:rsidRPr="005571ED">
        <w:rPr>
          <w:rFonts w:hint="eastAsia"/>
          <w:b/>
          <w:bCs/>
          <w:rtl/>
        </w:rPr>
        <w:t>ור</w:t>
      </w:r>
      <w:r w:rsidRPr="005571ED">
        <w:rPr>
          <w:b/>
          <w:bCs/>
          <w:rtl/>
        </w:rPr>
        <w:t xml:space="preserve"> </w:t>
      </w:r>
      <w:r w:rsidRPr="005571ED">
        <w:rPr>
          <w:rFonts w:hint="eastAsia"/>
          <w:b/>
          <w:bCs/>
          <w:rtl/>
        </w:rPr>
        <w:t>משפטי</w:t>
      </w:r>
      <w:r w:rsidRPr="005571ED">
        <w:rPr>
          <w:b/>
          <w:bCs/>
          <w:rtl/>
        </w:rPr>
        <w:t xml:space="preserve"> לאסוף מידע מסוג זה ואיסופו הותר בדיעבד בחוות הדעת המשפטית שבדוח צוות מררי</w:t>
      </w:r>
      <w:r w:rsidR="00410628">
        <w:rPr>
          <w:rFonts w:hint="cs"/>
          <w:b/>
          <w:bCs/>
          <w:rtl/>
        </w:rPr>
        <w:t>,</w:t>
      </w:r>
      <w:r w:rsidRPr="005571ED">
        <w:rPr>
          <w:b/>
          <w:bCs/>
          <w:rtl/>
        </w:rPr>
        <w:t xml:space="preserve"> </w:t>
      </w:r>
      <w:r>
        <w:rPr>
          <w:rFonts w:hint="cs"/>
          <w:b/>
          <w:bCs/>
          <w:rtl/>
        </w:rPr>
        <w:t>אך לא בנוגע לכל פריטי המידע המרכיבים את סוג המידע הזה</w:t>
      </w:r>
      <w:r w:rsidRPr="005571ED">
        <w:rPr>
          <w:b/>
          <w:bCs/>
          <w:rtl/>
        </w:rPr>
        <w:t xml:space="preserve">. </w:t>
      </w:r>
      <w:r w:rsidRPr="00200101">
        <w:rPr>
          <w:b/>
          <w:bCs/>
          <w:rtl/>
        </w:rPr>
        <w:t>תוצר</w:t>
      </w:r>
      <w:r w:rsidR="00410628">
        <w:rPr>
          <w:rFonts w:hint="cs"/>
          <w:b/>
          <w:bCs/>
          <w:rtl/>
        </w:rPr>
        <w:t xml:space="preserve"> </w:t>
      </w:r>
      <w:r w:rsidR="0034361D">
        <w:rPr>
          <w:rFonts w:hint="cs"/>
          <w:b/>
          <w:bCs/>
          <w:rtl/>
        </w:rPr>
        <w:t xml:space="preserve">מסוג </w:t>
      </w:r>
      <w:r w:rsidR="00410628">
        <w:rPr>
          <w:rFonts w:hint="cs"/>
          <w:b/>
          <w:bCs/>
          <w:rtl/>
        </w:rPr>
        <w:t>זה</w:t>
      </w:r>
      <w:r w:rsidR="005E61E7">
        <w:rPr>
          <w:rFonts w:hint="cs"/>
          <w:b/>
          <w:bCs/>
          <w:rtl/>
        </w:rPr>
        <w:t xml:space="preserve"> נאסף מ-59% מהמטרות</w:t>
      </w:r>
      <w:r>
        <w:rPr>
          <w:rFonts w:hint="cs"/>
          <w:b/>
          <w:bCs/>
          <w:rtl/>
        </w:rPr>
        <w:t>.</w:t>
      </w:r>
      <w:r w:rsidRPr="00200101">
        <w:rPr>
          <w:b/>
          <w:bCs/>
          <w:rtl/>
        </w:rPr>
        <w:t xml:space="preserve"> </w:t>
      </w:r>
    </w:p>
    <w:p w:rsidR="009A1216" w:rsidRPr="00C65B0A" w:rsidRDefault="009A1216" w:rsidP="00604C3D">
      <w:pPr>
        <w:spacing w:line="269" w:lineRule="auto"/>
      </w:pPr>
    </w:p>
    <w:p w:rsidR="009A1216" w:rsidRDefault="009A1216" w:rsidP="00DF4779">
      <w:pPr>
        <w:pStyle w:val="af2"/>
        <w:numPr>
          <w:ilvl w:val="6"/>
          <w:numId w:val="35"/>
        </w:numPr>
        <w:spacing w:line="269" w:lineRule="auto"/>
        <w:ind w:left="1081"/>
        <w:rPr>
          <w:b/>
          <w:bCs/>
        </w:rPr>
      </w:pPr>
      <w:r w:rsidRPr="005571ED">
        <w:rPr>
          <w:b/>
          <w:bCs/>
          <w:rtl/>
        </w:rPr>
        <w:t xml:space="preserve">3 סוגי מידע נאספו על ידי המשטרה, </w:t>
      </w:r>
      <w:r w:rsidRPr="005571ED">
        <w:rPr>
          <w:rFonts w:hint="eastAsia"/>
          <w:b/>
          <w:bCs/>
          <w:rtl/>
        </w:rPr>
        <w:t>אף</w:t>
      </w:r>
      <w:r w:rsidRPr="005571ED">
        <w:rPr>
          <w:b/>
          <w:bCs/>
          <w:rtl/>
        </w:rPr>
        <w:t xml:space="preserve"> </w:t>
      </w:r>
      <w:r w:rsidRPr="005571ED">
        <w:rPr>
          <w:rFonts w:hint="eastAsia"/>
          <w:b/>
          <w:bCs/>
          <w:rtl/>
        </w:rPr>
        <w:t>שהיה</w:t>
      </w:r>
      <w:r w:rsidRPr="005571ED">
        <w:rPr>
          <w:b/>
          <w:bCs/>
          <w:rtl/>
        </w:rPr>
        <w:t xml:space="preserve"> </w:t>
      </w:r>
      <w:r w:rsidRPr="005571ED">
        <w:rPr>
          <w:rFonts w:hint="eastAsia"/>
          <w:b/>
          <w:bCs/>
          <w:rtl/>
        </w:rPr>
        <w:t>ידוע</w:t>
      </w:r>
      <w:r w:rsidRPr="005571ED">
        <w:rPr>
          <w:b/>
          <w:bCs/>
          <w:rtl/>
        </w:rPr>
        <w:t xml:space="preserve"> </w:t>
      </w:r>
      <w:r>
        <w:rPr>
          <w:rFonts w:hint="cs"/>
          <w:b/>
          <w:bCs/>
          <w:rtl/>
        </w:rPr>
        <w:t>לה</w:t>
      </w:r>
      <w:r w:rsidRPr="005571ED">
        <w:rPr>
          <w:b/>
          <w:bCs/>
          <w:rtl/>
        </w:rPr>
        <w:t xml:space="preserve"> </w:t>
      </w:r>
      <w:r w:rsidRPr="005571ED">
        <w:rPr>
          <w:rFonts w:hint="eastAsia"/>
          <w:b/>
          <w:bCs/>
          <w:rtl/>
        </w:rPr>
        <w:t>כי</w:t>
      </w:r>
      <w:r w:rsidRPr="005571ED">
        <w:rPr>
          <w:b/>
          <w:bCs/>
          <w:rtl/>
        </w:rPr>
        <w:t xml:space="preserve"> </w:t>
      </w:r>
      <w:r w:rsidRPr="005571ED">
        <w:rPr>
          <w:rFonts w:hint="eastAsia"/>
          <w:b/>
          <w:bCs/>
          <w:rtl/>
        </w:rPr>
        <w:t>חל</w:t>
      </w:r>
      <w:r w:rsidRPr="005571ED">
        <w:rPr>
          <w:b/>
          <w:bCs/>
          <w:rtl/>
        </w:rPr>
        <w:t xml:space="preserve"> </w:t>
      </w:r>
      <w:r w:rsidRPr="005571ED">
        <w:rPr>
          <w:rFonts w:hint="eastAsia"/>
          <w:b/>
          <w:bCs/>
          <w:rtl/>
        </w:rPr>
        <w:t>איסור</w:t>
      </w:r>
      <w:r w:rsidRPr="005571ED">
        <w:rPr>
          <w:b/>
          <w:bCs/>
          <w:rtl/>
        </w:rPr>
        <w:t xml:space="preserve"> </w:t>
      </w:r>
      <w:r w:rsidRPr="005571ED">
        <w:rPr>
          <w:rFonts w:hint="eastAsia"/>
          <w:b/>
          <w:bCs/>
          <w:rtl/>
        </w:rPr>
        <w:t>משפטי</w:t>
      </w:r>
      <w:r w:rsidRPr="005571ED">
        <w:rPr>
          <w:b/>
          <w:bCs/>
          <w:rtl/>
        </w:rPr>
        <w:t xml:space="preserve"> </w:t>
      </w:r>
      <w:r w:rsidRPr="005571ED">
        <w:rPr>
          <w:rFonts w:hint="eastAsia"/>
          <w:b/>
          <w:bCs/>
          <w:rtl/>
        </w:rPr>
        <w:t>לאסוף</w:t>
      </w:r>
      <w:r w:rsidRPr="005571ED">
        <w:rPr>
          <w:b/>
          <w:bCs/>
          <w:rtl/>
        </w:rPr>
        <w:t xml:space="preserve"> </w:t>
      </w:r>
      <w:r w:rsidRPr="005571ED">
        <w:rPr>
          <w:rFonts w:hint="eastAsia"/>
          <w:b/>
          <w:bCs/>
          <w:rtl/>
        </w:rPr>
        <w:t>מידע</w:t>
      </w:r>
      <w:r w:rsidRPr="005571ED">
        <w:rPr>
          <w:b/>
          <w:bCs/>
          <w:rtl/>
        </w:rPr>
        <w:t xml:space="preserve"> </w:t>
      </w:r>
      <w:r w:rsidRPr="005571ED">
        <w:rPr>
          <w:rFonts w:hint="eastAsia"/>
          <w:b/>
          <w:bCs/>
          <w:rtl/>
        </w:rPr>
        <w:t>מסוג</w:t>
      </w:r>
      <w:r w:rsidRPr="005571ED">
        <w:rPr>
          <w:b/>
          <w:bCs/>
          <w:rtl/>
        </w:rPr>
        <w:t xml:space="preserve"> זה ואיסופם הותר </w:t>
      </w:r>
      <w:r w:rsidRPr="005571ED">
        <w:rPr>
          <w:rFonts w:hint="eastAsia"/>
          <w:b/>
          <w:bCs/>
          <w:rtl/>
        </w:rPr>
        <w:t>בדיעבד</w:t>
      </w:r>
      <w:r w:rsidRPr="005571ED">
        <w:rPr>
          <w:b/>
          <w:bCs/>
          <w:rtl/>
        </w:rPr>
        <w:t xml:space="preserve"> </w:t>
      </w:r>
      <w:r w:rsidRPr="005571ED">
        <w:rPr>
          <w:rFonts w:hint="eastAsia"/>
          <w:b/>
          <w:bCs/>
          <w:rtl/>
        </w:rPr>
        <w:t>בחוות</w:t>
      </w:r>
      <w:r w:rsidRPr="005571ED">
        <w:rPr>
          <w:b/>
          <w:bCs/>
          <w:rtl/>
        </w:rPr>
        <w:t xml:space="preserve"> </w:t>
      </w:r>
      <w:r w:rsidRPr="005571ED">
        <w:rPr>
          <w:rFonts w:hint="eastAsia"/>
          <w:b/>
          <w:bCs/>
          <w:rtl/>
        </w:rPr>
        <w:t>הדעת</w:t>
      </w:r>
      <w:r w:rsidRPr="005571ED">
        <w:rPr>
          <w:b/>
          <w:bCs/>
          <w:rtl/>
        </w:rPr>
        <w:t xml:space="preserve"> </w:t>
      </w:r>
      <w:r w:rsidRPr="005571ED">
        <w:rPr>
          <w:rFonts w:hint="eastAsia"/>
          <w:b/>
          <w:bCs/>
          <w:rtl/>
        </w:rPr>
        <w:t>המשפטית</w:t>
      </w:r>
      <w:r w:rsidRPr="005571ED">
        <w:rPr>
          <w:b/>
          <w:bCs/>
          <w:rtl/>
        </w:rPr>
        <w:t xml:space="preserve"> </w:t>
      </w:r>
      <w:r w:rsidRPr="005571ED">
        <w:rPr>
          <w:rFonts w:hint="eastAsia"/>
          <w:b/>
          <w:bCs/>
          <w:rtl/>
        </w:rPr>
        <w:t>שבדוח</w:t>
      </w:r>
      <w:r w:rsidRPr="005571ED">
        <w:rPr>
          <w:b/>
          <w:bCs/>
          <w:rtl/>
        </w:rPr>
        <w:t xml:space="preserve"> </w:t>
      </w:r>
      <w:r w:rsidRPr="005571ED">
        <w:rPr>
          <w:rFonts w:hint="eastAsia"/>
          <w:b/>
          <w:bCs/>
          <w:rtl/>
        </w:rPr>
        <w:t>צוות</w:t>
      </w:r>
      <w:r w:rsidRPr="005571ED">
        <w:rPr>
          <w:b/>
          <w:bCs/>
          <w:rtl/>
        </w:rPr>
        <w:t xml:space="preserve"> </w:t>
      </w:r>
      <w:r w:rsidRPr="005571ED">
        <w:rPr>
          <w:rFonts w:hint="eastAsia"/>
          <w:b/>
          <w:bCs/>
          <w:rtl/>
        </w:rPr>
        <w:t>מררי</w:t>
      </w:r>
      <w:r w:rsidRPr="005571ED">
        <w:rPr>
          <w:b/>
          <w:bCs/>
          <w:rtl/>
        </w:rPr>
        <w:t xml:space="preserve">. </w:t>
      </w:r>
      <w:r w:rsidRPr="005571ED">
        <w:rPr>
          <w:rFonts w:hint="eastAsia"/>
          <w:b/>
          <w:bCs/>
          <w:rtl/>
        </w:rPr>
        <w:t>שניים</w:t>
      </w:r>
      <w:r w:rsidRPr="005571ED">
        <w:rPr>
          <w:b/>
          <w:bCs/>
          <w:rtl/>
        </w:rPr>
        <w:t xml:space="preserve"> </w:t>
      </w:r>
      <w:r w:rsidRPr="005571ED">
        <w:rPr>
          <w:rFonts w:hint="eastAsia"/>
          <w:b/>
          <w:bCs/>
          <w:rtl/>
        </w:rPr>
        <w:t>מתוכם</w:t>
      </w:r>
      <w:r w:rsidRPr="005571ED">
        <w:rPr>
          <w:b/>
          <w:bCs/>
          <w:rtl/>
        </w:rPr>
        <w:t xml:space="preserve"> </w:t>
      </w:r>
      <w:r w:rsidRPr="005571ED">
        <w:rPr>
          <w:rFonts w:hint="eastAsia"/>
          <w:b/>
          <w:bCs/>
          <w:rtl/>
        </w:rPr>
        <w:t>הותרו</w:t>
      </w:r>
      <w:r w:rsidRPr="005571ED">
        <w:rPr>
          <w:b/>
          <w:bCs/>
          <w:rtl/>
        </w:rPr>
        <w:t xml:space="preserve"> בדיעבד רק לצור</w:t>
      </w:r>
      <w:r w:rsidRPr="005571ED">
        <w:rPr>
          <w:rFonts w:hint="eastAsia"/>
          <w:b/>
          <w:bCs/>
          <w:rtl/>
        </w:rPr>
        <w:t>כי</w:t>
      </w:r>
      <w:r w:rsidRPr="005571ED">
        <w:rPr>
          <w:b/>
          <w:bCs/>
          <w:rtl/>
        </w:rPr>
        <w:t xml:space="preserve"> </w:t>
      </w:r>
      <w:r w:rsidRPr="005571ED">
        <w:rPr>
          <w:rFonts w:hint="eastAsia"/>
          <w:b/>
          <w:bCs/>
          <w:rtl/>
        </w:rPr>
        <w:t>הבטחת</w:t>
      </w:r>
      <w:r w:rsidRPr="005571ED">
        <w:rPr>
          <w:b/>
          <w:bCs/>
          <w:rtl/>
        </w:rPr>
        <w:t xml:space="preserve"> </w:t>
      </w:r>
      <w:r w:rsidR="00F8134E">
        <w:rPr>
          <w:rFonts w:hint="cs"/>
          <w:b/>
          <w:bCs/>
          <w:rtl/>
        </w:rPr>
        <w:t>ההתקנה</w:t>
      </w:r>
      <w:r w:rsidR="00F8134E" w:rsidRPr="005571ED">
        <w:rPr>
          <w:b/>
          <w:bCs/>
          <w:rtl/>
        </w:rPr>
        <w:t xml:space="preserve"> </w:t>
      </w:r>
      <w:r w:rsidRPr="005571ED">
        <w:rPr>
          <w:rFonts w:hint="eastAsia"/>
          <w:b/>
          <w:bCs/>
          <w:rtl/>
        </w:rPr>
        <w:t>ואבטחת</w:t>
      </w:r>
      <w:r w:rsidRPr="005571ED">
        <w:rPr>
          <w:b/>
          <w:bCs/>
          <w:rtl/>
        </w:rPr>
        <w:t xml:space="preserve"> </w:t>
      </w:r>
      <w:r w:rsidRPr="005571ED">
        <w:rPr>
          <w:rFonts w:hint="eastAsia"/>
          <w:b/>
          <w:bCs/>
          <w:rtl/>
        </w:rPr>
        <w:t>הכלי</w:t>
      </w:r>
      <w:r w:rsidRPr="005571ED">
        <w:rPr>
          <w:b/>
          <w:bCs/>
          <w:rtl/>
        </w:rPr>
        <w:t xml:space="preserve"> </w:t>
      </w:r>
      <w:r w:rsidRPr="005571ED">
        <w:rPr>
          <w:rFonts w:hint="eastAsia"/>
          <w:b/>
          <w:bCs/>
          <w:rtl/>
        </w:rPr>
        <w:t>ונאסרו</w:t>
      </w:r>
      <w:r w:rsidRPr="005571ED">
        <w:rPr>
          <w:b/>
          <w:bCs/>
          <w:rtl/>
        </w:rPr>
        <w:t xml:space="preserve"> </w:t>
      </w:r>
      <w:r w:rsidRPr="005571ED">
        <w:rPr>
          <w:rFonts w:hint="eastAsia"/>
          <w:b/>
          <w:bCs/>
          <w:rtl/>
        </w:rPr>
        <w:t>לעיון</w:t>
      </w:r>
      <w:r w:rsidRPr="005571ED">
        <w:rPr>
          <w:b/>
          <w:bCs/>
          <w:rtl/>
        </w:rPr>
        <w:t xml:space="preserve"> </w:t>
      </w:r>
      <w:r w:rsidRPr="005571ED">
        <w:rPr>
          <w:rFonts w:hint="eastAsia"/>
          <w:b/>
          <w:bCs/>
          <w:rtl/>
        </w:rPr>
        <w:t>לצורכי</w:t>
      </w:r>
      <w:r w:rsidRPr="005571ED">
        <w:rPr>
          <w:b/>
          <w:bCs/>
          <w:rtl/>
        </w:rPr>
        <w:t xml:space="preserve"> </w:t>
      </w:r>
      <w:r w:rsidRPr="005571ED">
        <w:rPr>
          <w:rFonts w:hint="eastAsia"/>
          <w:b/>
          <w:bCs/>
          <w:rtl/>
        </w:rPr>
        <w:t>הפקת</w:t>
      </w:r>
      <w:r w:rsidRPr="005571ED">
        <w:rPr>
          <w:b/>
          <w:bCs/>
          <w:rtl/>
        </w:rPr>
        <w:t xml:space="preserve"> </w:t>
      </w:r>
      <w:r w:rsidRPr="005571ED">
        <w:rPr>
          <w:rFonts w:hint="eastAsia"/>
          <w:b/>
          <w:bCs/>
          <w:rtl/>
        </w:rPr>
        <w:t>ידיעות</w:t>
      </w:r>
      <w:r w:rsidRPr="005571ED">
        <w:rPr>
          <w:b/>
          <w:bCs/>
          <w:rtl/>
        </w:rPr>
        <w:t xml:space="preserve"> </w:t>
      </w:r>
      <w:r w:rsidRPr="005571ED">
        <w:rPr>
          <w:rFonts w:hint="eastAsia"/>
          <w:b/>
          <w:bCs/>
          <w:rtl/>
        </w:rPr>
        <w:t>מודיעיניות</w:t>
      </w:r>
      <w:r w:rsidRPr="005571ED">
        <w:rPr>
          <w:b/>
          <w:bCs/>
          <w:rtl/>
        </w:rPr>
        <w:t xml:space="preserve"> </w:t>
      </w:r>
      <w:r w:rsidRPr="005571ED">
        <w:rPr>
          <w:rFonts w:hint="eastAsia"/>
          <w:b/>
          <w:bCs/>
          <w:rtl/>
        </w:rPr>
        <w:t>או</w:t>
      </w:r>
      <w:r w:rsidRPr="005571ED">
        <w:rPr>
          <w:b/>
          <w:bCs/>
          <w:rtl/>
        </w:rPr>
        <w:t xml:space="preserve"> </w:t>
      </w:r>
      <w:r w:rsidRPr="005571ED">
        <w:rPr>
          <w:rFonts w:hint="eastAsia"/>
          <w:b/>
          <w:bCs/>
          <w:rtl/>
        </w:rPr>
        <w:t>ראיות</w:t>
      </w:r>
      <w:r w:rsidRPr="005571ED">
        <w:rPr>
          <w:b/>
          <w:bCs/>
          <w:rtl/>
        </w:rPr>
        <w:t xml:space="preserve"> </w:t>
      </w:r>
      <w:r w:rsidRPr="005571ED">
        <w:rPr>
          <w:rFonts w:hint="eastAsia"/>
          <w:b/>
          <w:bCs/>
          <w:rtl/>
        </w:rPr>
        <w:t>פליליות</w:t>
      </w:r>
      <w:r w:rsidRPr="005571ED">
        <w:rPr>
          <w:b/>
          <w:bCs/>
          <w:rtl/>
        </w:rPr>
        <w:t xml:space="preserve">. </w:t>
      </w:r>
      <w:r w:rsidRPr="00803C38">
        <w:rPr>
          <w:b/>
          <w:bCs/>
          <w:rtl/>
        </w:rPr>
        <w:t xml:space="preserve">תוצר מהסוגים שפורטו לעיל </w:t>
      </w:r>
      <w:r w:rsidR="005E61E7">
        <w:rPr>
          <w:rFonts w:hint="cs"/>
          <w:b/>
          <w:bCs/>
          <w:rtl/>
        </w:rPr>
        <w:t>נאסף מ-</w:t>
      </w:r>
      <w:r w:rsidRPr="005571ED">
        <w:rPr>
          <w:b/>
          <w:bCs/>
          <w:rtl/>
        </w:rPr>
        <w:t>63</w:t>
      </w:r>
      <w:r w:rsidRPr="00803C38">
        <w:rPr>
          <w:b/>
          <w:bCs/>
          <w:rtl/>
        </w:rPr>
        <w:t>%</w:t>
      </w:r>
      <w:r w:rsidR="005E61E7">
        <w:rPr>
          <w:rFonts w:hint="cs"/>
          <w:b/>
          <w:bCs/>
          <w:rtl/>
        </w:rPr>
        <w:t xml:space="preserve"> מהמטרות</w:t>
      </w:r>
      <w:r w:rsidRPr="00803C38">
        <w:rPr>
          <w:b/>
          <w:bCs/>
          <w:rtl/>
        </w:rPr>
        <w:t>.</w:t>
      </w:r>
    </w:p>
    <w:bookmarkEnd w:id="529"/>
    <w:p w:rsidR="00B601BE" w:rsidRDefault="00B601BE" w:rsidP="00604C3D">
      <w:pPr>
        <w:spacing w:line="269" w:lineRule="auto"/>
        <w:rPr>
          <w:b/>
          <w:bCs/>
          <w:rtl/>
        </w:rPr>
      </w:pPr>
    </w:p>
    <w:p w:rsidR="009A1216" w:rsidRDefault="009A1216" w:rsidP="00B25F60">
      <w:pPr>
        <w:spacing w:line="269" w:lineRule="auto"/>
        <w:ind w:left="720"/>
        <w:rPr>
          <w:b/>
          <w:bCs/>
          <w:rtl/>
        </w:rPr>
      </w:pPr>
      <w:r>
        <w:rPr>
          <w:rFonts w:hint="cs"/>
          <w:b/>
          <w:bCs/>
          <w:rtl/>
        </w:rPr>
        <w:t>מומלץ כי המשטרה תאתר את המקרים שבהם נאספו סוגי מידע</w:t>
      </w:r>
      <w:r w:rsidR="0034361D">
        <w:rPr>
          <w:rFonts w:hint="cs"/>
          <w:b/>
          <w:bCs/>
          <w:rtl/>
        </w:rPr>
        <w:t xml:space="preserve"> אסורים</w:t>
      </w:r>
      <w:r>
        <w:rPr>
          <w:rFonts w:hint="cs"/>
          <w:b/>
          <w:bCs/>
          <w:rtl/>
        </w:rPr>
        <w:t xml:space="preserve"> בהאזנת סתר</w:t>
      </w:r>
      <w:r w:rsidR="00746A11">
        <w:rPr>
          <w:rFonts w:hint="cs"/>
          <w:b/>
          <w:bCs/>
          <w:rtl/>
        </w:rPr>
        <w:t>,</w:t>
      </w:r>
      <w:r>
        <w:rPr>
          <w:rFonts w:hint="cs"/>
          <w:b/>
          <w:bCs/>
          <w:rtl/>
        </w:rPr>
        <w:t xml:space="preserve"> וכי היא תבחן, בשיתוף הפרקליטות בתיקים הרלוונטיים, את השלכות איסוף תוצרים אלו על ניהול פרשיות מודיעין ותיקי חקירה פליליים. </w:t>
      </w:r>
      <w:r w:rsidRPr="00F8420E">
        <w:rPr>
          <w:rFonts w:hint="cs"/>
          <w:b/>
          <w:bCs/>
          <w:rtl/>
        </w:rPr>
        <w:t xml:space="preserve">יודגש כי אין היא צריכה להמתין לדרישה של משרד המשפטים אלא ליזום באופן עצמאי בחינה של המקרים </w:t>
      </w:r>
      <w:r>
        <w:rPr>
          <w:rFonts w:hint="cs"/>
          <w:b/>
          <w:bCs/>
          <w:rtl/>
        </w:rPr>
        <w:t>ש</w:t>
      </w:r>
      <w:r w:rsidRPr="00F8420E">
        <w:rPr>
          <w:rFonts w:hint="cs"/>
          <w:b/>
          <w:bCs/>
          <w:rtl/>
        </w:rPr>
        <w:t xml:space="preserve">בהם נאסף מידע </w:t>
      </w:r>
      <w:r w:rsidR="0034361D">
        <w:rPr>
          <w:rFonts w:hint="cs"/>
          <w:b/>
          <w:bCs/>
          <w:rtl/>
        </w:rPr>
        <w:t>אסור</w:t>
      </w:r>
      <w:r w:rsidRPr="00F8420E">
        <w:rPr>
          <w:rFonts w:hint="cs"/>
          <w:b/>
          <w:bCs/>
          <w:rtl/>
        </w:rPr>
        <w:t xml:space="preserve"> ולבחון את השלכותיו על ניהול פרשיות המודיעין ותיקי החקירה.</w:t>
      </w:r>
      <w:r>
        <w:rPr>
          <w:rFonts w:hint="cs"/>
          <w:b/>
          <w:bCs/>
          <w:rtl/>
        </w:rPr>
        <w:t xml:space="preserve"> </w:t>
      </w:r>
    </w:p>
    <w:p w:rsidR="009A1216" w:rsidRDefault="009A1216" w:rsidP="00B25F60">
      <w:pPr>
        <w:pStyle w:val="a5"/>
        <w:spacing w:line="269" w:lineRule="auto"/>
        <w:ind w:left="153"/>
        <w:rPr>
          <w:rtl/>
        </w:rPr>
      </w:pPr>
      <w:r>
        <w:rPr>
          <w:rFonts w:hint="cs"/>
          <w:rtl/>
        </w:rPr>
        <w:t xml:space="preserve"> </w:t>
      </w:r>
    </w:p>
    <w:p w:rsidR="009A1216" w:rsidRDefault="009A1216" w:rsidP="00B25F60">
      <w:pPr>
        <w:spacing w:line="269" w:lineRule="auto"/>
        <w:ind w:left="720"/>
        <w:rPr>
          <w:b/>
          <w:bCs/>
          <w:rtl/>
        </w:rPr>
      </w:pPr>
      <w:r w:rsidRPr="008639C0">
        <w:rPr>
          <w:rFonts w:hint="cs"/>
          <w:rtl/>
        </w:rPr>
        <w:t xml:space="preserve">המשטרה מסרה בתגובתה כי היא פועלת לבצע את ההתאמות בכלים הטכנולוגיים בהתאם לעמדת </w:t>
      </w:r>
      <w:r>
        <w:rPr>
          <w:rFonts w:hint="cs"/>
          <w:rtl/>
        </w:rPr>
        <w:t>היועמ</w:t>
      </w:r>
      <w:r>
        <w:rPr>
          <w:rtl/>
        </w:rPr>
        <w:t>"</w:t>
      </w:r>
      <w:r>
        <w:rPr>
          <w:rFonts w:hint="cs"/>
          <w:rtl/>
        </w:rPr>
        <w:t>שית לממשלה</w:t>
      </w:r>
      <w:r w:rsidRPr="008639C0">
        <w:rPr>
          <w:rFonts w:hint="cs"/>
          <w:rtl/>
        </w:rPr>
        <w:t xml:space="preserve"> בנושא איסוף תוצרי האזנת סתר. עוד היא מסרה כי היא פועלת בשיתוף פעולה מלא עם פרקליטות המדינה ו</w:t>
      </w:r>
      <w:r>
        <w:rPr>
          <w:rFonts w:hint="cs"/>
          <w:rtl/>
        </w:rPr>
        <w:t>היועמ</w:t>
      </w:r>
      <w:r>
        <w:rPr>
          <w:rtl/>
        </w:rPr>
        <w:t>"</w:t>
      </w:r>
      <w:r>
        <w:rPr>
          <w:rFonts w:hint="cs"/>
          <w:rtl/>
        </w:rPr>
        <w:t>שית לממשלה</w:t>
      </w:r>
      <w:r w:rsidRPr="008639C0">
        <w:rPr>
          <w:rFonts w:hint="cs"/>
          <w:rtl/>
        </w:rPr>
        <w:t xml:space="preserve">, </w:t>
      </w:r>
      <w:r w:rsidRPr="008639C0">
        <w:rPr>
          <w:rtl/>
        </w:rPr>
        <w:t xml:space="preserve">בבחינת כלל התיקים התלויים ועומדים ובפרט במסגרת עתירות לגילוי ראיה או הליכים אחרים, והיא תמשיך לעשות כן בכל דרישה שתתקבל ממשרד המשפטים או </w:t>
      </w:r>
      <w:r>
        <w:rPr>
          <w:rFonts w:hint="cs"/>
          <w:rtl/>
        </w:rPr>
        <w:t>מ</w:t>
      </w:r>
      <w:r w:rsidRPr="008639C0">
        <w:rPr>
          <w:rtl/>
        </w:rPr>
        <w:t>פרקליטות המדינה.</w:t>
      </w:r>
    </w:p>
    <w:p w:rsidR="009A1216" w:rsidRDefault="009A1216" w:rsidP="00B25F60">
      <w:pPr>
        <w:pStyle w:val="a5"/>
        <w:spacing w:line="269" w:lineRule="auto"/>
        <w:ind w:left="153"/>
        <w:rPr>
          <w:rtl/>
        </w:rPr>
      </w:pPr>
    </w:p>
    <w:p w:rsidR="009A1216" w:rsidRDefault="009A1216" w:rsidP="00B25F60">
      <w:pPr>
        <w:spacing w:line="269" w:lineRule="auto"/>
        <w:ind w:left="720"/>
        <w:rPr>
          <w:rtl/>
        </w:rPr>
      </w:pPr>
      <w:r>
        <w:rPr>
          <w:rFonts w:hint="cs"/>
          <w:rtl/>
        </w:rPr>
        <w:t xml:space="preserve">פרקליטות המדינה מסרה בתגובה כי היא תעמיד לעניין זה את הנציגים המוסמכים מטעמה לצורך בחינה של תיקים פתוחים שהגיעו לפרקליטות שבהם תמצא המשטרה שנאסף מידע </w:t>
      </w:r>
      <w:r w:rsidR="00A77084">
        <w:rPr>
          <w:rFonts w:hint="cs"/>
          <w:rtl/>
        </w:rPr>
        <w:t>אסור</w:t>
      </w:r>
      <w:r>
        <w:rPr>
          <w:rFonts w:hint="cs"/>
          <w:rtl/>
        </w:rPr>
        <w:t xml:space="preserve">. הפרקליטות תבחן אם נעשה שימוש במידע עודף </w:t>
      </w:r>
      <w:r w:rsidR="00A77084">
        <w:rPr>
          <w:rFonts w:hint="cs"/>
          <w:rtl/>
        </w:rPr>
        <w:t>שאיסופו אסור</w:t>
      </w:r>
      <w:r>
        <w:rPr>
          <w:rFonts w:hint="cs"/>
          <w:rtl/>
        </w:rPr>
        <w:t xml:space="preserve">, ואם נעשה בו שימוש ראייתי; כמו כן תיבחן השאלה אם איסוף זה משליך על קבילותן של ראיות שנאספו בתיק. </w:t>
      </w:r>
      <w:bookmarkStart w:id="530" w:name="_Hlk190259135"/>
      <w:r>
        <w:rPr>
          <w:rFonts w:hint="cs"/>
          <w:rtl/>
        </w:rPr>
        <w:t xml:space="preserve">עוד היא מסרה כי בכל המקרים בהם בוצעה </w:t>
      </w:r>
      <w:r w:rsidR="00062A25">
        <w:rPr>
          <w:rFonts w:hint="cs"/>
          <w:rtl/>
        </w:rPr>
        <w:t>התקנה</w:t>
      </w:r>
      <w:r>
        <w:rPr>
          <w:rFonts w:hint="cs"/>
          <w:rtl/>
        </w:rPr>
        <w:t xml:space="preserve"> באמצעות הכלי נאסף מידע החורג מגדרי הצו. כמו כן, מאז פרוץ הפרשה היא איתרה יותר מ-30 תיקי חקירה המתנהלים בהליך פלילי שבהם הכלי הטכנולוגי הופעל על ידי המשטרה ונאספו תוצרים </w:t>
      </w:r>
      <w:r w:rsidR="00A77084">
        <w:rPr>
          <w:rFonts w:hint="cs"/>
          <w:rtl/>
        </w:rPr>
        <w:t>אסורים</w:t>
      </w:r>
      <w:r>
        <w:rPr>
          <w:rFonts w:hint="cs"/>
          <w:rtl/>
        </w:rPr>
        <w:t>.</w:t>
      </w:r>
      <w:r w:rsidR="00382AE8">
        <w:rPr>
          <w:rFonts w:hint="cs"/>
          <w:rtl/>
        </w:rPr>
        <w:t xml:space="preserve"> </w:t>
      </w:r>
    </w:p>
    <w:p w:rsidR="007038FA" w:rsidRDefault="007038FA" w:rsidP="00604C3D">
      <w:pPr>
        <w:spacing w:line="269" w:lineRule="auto"/>
        <w:rPr>
          <w:rtl/>
        </w:rPr>
      </w:pPr>
    </w:p>
    <w:p w:rsidR="009A1216" w:rsidRDefault="009A1216" w:rsidP="00B25F60">
      <w:pPr>
        <w:pStyle w:val="5"/>
        <w:numPr>
          <w:ilvl w:val="0"/>
          <w:numId w:val="28"/>
        </w:numPr>
        <w:spacing w:line="269" w:lineRule="auto"/>
        <w:ind w:left="707"/>
        <w:rPr>
          <w:rtl/>
        </w:rPr>
      </w:pPr>
      <w:bookmarkStart w:id="531" w:name="_Toc151890765"/>
      <w:bookmarkStart w:id="532" w:name="_Toc151882037"/>
      <w:bookmarkEnd w:id="530"/>
      <w:r>
        <w:rPr>
          <w:rFonts w:hint="cs"/>
          <w:rtl/>
        </w:rPr>
        <w:t>איסוף תוצרי האזנה היסטוריים</w:t>
      </w:r>
      <w:bookmarkEnd w:id="531"/>
      <w:bookmarkEnd w:id="532"/>
      <w:r>
        <w:rPr>
          <w:rFonts w:hint="cs"/>
          <w:rtl/>
        </w:rPr>
        <w:t xml:space="preserve"> </w:t>
      </w:r>
      <w:r w:rsidR="008F01B0">
        <w:rPr>
          <w:rFonts w:hint="cs"/>
          <w:rtl/>
        </w:rPr>
        <w:t>אסורים</w:t>
      </w:r>
    </w:p>
    <w:p w:rsidR="00B601BE" w:rsidRDefault="00B601BE" w:rsidP="00604C3D">
      <w:pPr>
        <w:spacing w:line="269" w:lineRule="auto"/>
        <w:rPr>
          <w:rtl/>
        </w:rPr>
      </w:pPr>
    </w:p>
    <w:p w:rsidR="009A1216" w:rsidRDefault="009A1216" w:rsidP="00B25F60">
      <w:pPr>
        <w:spacing w:line="269" w:lineRule="auto"/>
        <w:ind w:left="707"/>
        <w:rPr>
          <w:rtl/>
        </w:rPr>
      </w:pPr>
      <w:r>
        <w:rPr>
          <w:rFonts w:hint="cs"/>
          <w:rtl/>
        </w:rPr>
        <w:t xml:space="preserve">כפי שעולה בבדיקת צוות מררי ובבדיקות משרד מבקר המדינה, המשטרה החזיקה בכלים טכנולוגיים המאפשרים איסוף </w:t>
      </w:r>
      <w:bookmarkStart w:id="533" w:name="_Hlk155710748"/>
      <w:r>
        <w:rPr>
          <w:rFonts w:hint="cs"/>
          <w:rtl/>
        </w:rPr>
        <w:t xml:space="preserve">מידע אגור שנוצר לפני התקנת </w:t>
      </w:r>
      <w:r w:rsidR="0021405A">
        <w:rPr>
          <w:rFonts w:hint="cs"/>
          <w:rtl/>
        </w:rPr>
        <w:t xml:space="preserve">הכלי </w:t>
      </w:r>
      <w:r>
        <w:rPr>
          <w:rFonts w:hint="cs"/>
          <w:rtl/>
        </w:rPr>
        <w:t xml:space="preserve">בפועל ואף לפני שאושר צו האזנת הסתר בעניינו </w:t>
      </w:r>
      <w:bookmarkEnd w:id="533"/>
      <w:r>
        <w:rPr>
          <w:rFonts w:hint="cs"/>
          <w:rtl/>
        </w:rPr>
        <w:t xml:space="preserve">(להלן - תוצרי האזנה היסטוריים). </w:t>
      </w:r>
    </w:p>
    <w:p w:rsidR="00B601BE" w:rsidRDefault="00B601BE" w:rsidP="00B25F60">
      <w:pPr>
        <w:spacing w:line="269" w:lineRule="auto"/>
        <w:ind w:left="707"/>
        <w:rPr>
          <w:rtl/>
        </w:rPr>
      </w:pPr>
    </w:p>
    <w:p w:rsidR="009A1216" w:rsidRDefault="009A1216" w:rsidP="00B25F60">
      <w:pPr>
        <w:spacing w:line="269" w:lineRule="auto"/>
        <w:ind w:left="707"/>
        <w:rPr>
          <w:rtl/>
        </w:rPr>
      </w:pPr>
      <w:r w:rsidRPr="004F36D2">
        <w:rPr>
          <w:rFonts w:hint="cs"/>
          <w:rtl/>
        </w:rPr>
        <w:t xml:space="preserve">מתוך </w:t>
      </w:r>
      <w:r w:rsidRPr="00A512AA">
        <w:rPr>
          <w:rFonts w:hint="eastAsia"/>
          <w:rtl/>
        </w:rPr>
        <w:t>ארבעה</w:t>
      </w:r>
      <w:r w:rsidRPr="004F36D2">
        <w:rPr>
          <w:rFonts w:hint="cs"/>
          <w:rtl/>
        </w:rPr>
        <w:t xml:space="preserve"> כלים טכנולוגיים המאפשרים איסוף מידע אגור, בשלושה כלים מתאפשר איסוף של תוצרי האזנה היסטוריים. על כל אחד מהכלים חלות מגבלות שונות בעניין זה. המגבלות חלות עם ביצוע ה</w:t>
      </w:r>
      <w:r w:rsidR="00062A25" w:rsidRPr="00073F97">
        <w:rPr>
          <w:rFonts w:hint="cs"/>
          <w:rtl/>
        </w:rPr>
        <w:t>התקנה</w:t>
      </w:r>
      <w:r w:rsidRPr="00073F97">
        <w:rPr>
          <w:rFonts w:hint="cs"/>
          <w:rtl/>
        </w:rPr>
        <w:t xml:space="preserve"> על</w:t>
      </w:r>
      <w:r>
        <w:rPr>
          <w:rFonts w:hint="cs"/>
          <w:rtl/>
        </w:rPr>
        <w:t xml:space="preserve"> האמצעי המואזן, ולכן ייתכן כי בנוגע למטרה מסוימת (יעד האזנה או אמצעי מואזן) התבצעו כמה </w:t>
      </w:r>
      <w:r w:rsidR="00F8134E">
        <w:rPr>
          <w:rFonts w:hint="cs"/>
          <w:rtl/>
        </w:rPr>
        <w:t xml:space="preserve">התקנות </w:t>
      </w:r>
      <w:r>
        <w:rPr>
          <w:rFonts w:hint="cs"/>
          <w:rtl/>
        </w:rPr>
        <w:t xml:space="preserve">שתוצאתן איסוף תוצרי האזנה היסטוריים וכמה </w:t>
      </w:r>
      <w:r w:rsidR="00F8134E">
        <w:rPr>
          <w:rFonts w:hint="cs"/>
          <w:rtl/>
        </w:rPr>
        <w:t xml:space="preserve">התקנות </w:t>
      </w:r>
      <w:r>
        <w:rPr>
          <w:rFonts w:hint="cs"/>
          <w:rtl/>
        </w:rPr>
        <w:t xml:space="preserve">שמנעו איסוף מסוג זה. מטבע הדברים, די במקרה אחד של אי-הטלת מגבלה על איסוף תוצרי האזנה היסטוריים כדי לאפשר איסוף מידע </w:t>
      </w:r>
      <w:r w:rsidR="00A77084">
        <w:rPr>
          <w:rFonts w:hint="cs"/>
          <w:rtl/>
        </w:rPr>
        <w:t>אסור</w:t>
      </w:r>
      <w:r>
        <w:rPr>
          <w:rFonts w:hint="cs"/>
          <w:rtl/>
        </w:rPr>
        <w:t xml:space="preserve">. </w:t>
      </w:r>
    </w:p>
    <w:p w:rsidR="00B601BE" w:rsidRDefault="00B601BE" w:rsidP="00B25F60">
      <w:pPr>
        <w:spacing w:line="269" w:lineRule="auto"/>
        <w:ind w:left="707"/>
        <w:rPr>
          <w:rtl/>
        </w:rPr>
      </w:pPr>
    </w:p>
    <w:p w:rsidR="009A1216" w:rsidRDefault="009A1216" w:rsidP="00B25F60">
      <w:pPr>
        <w:spacing w:line="269" w:lineRule="auto"/>
        <w:ind w:left="707"/>
        <w:rPr>
          <w:rtl/>
        </w:rPr>
      </w:pPr>
      <w:r>
        <w:rPr>
          <w:rFonts w:hint="cs"/>
          <w:rtl/>
        </w:rPr>
        <w:t>למשל, בבדיקה של המשטרה בנושא מטרות שהותק</w:t>
      </w:r>
      <w:r w:rsidR="00847B5D">
        <w:rPr>
          <w:rFonts w:hint="cs"/>
          <w:rtl/>
        </w:rPr>
        <w:t>נ</w:t>
      </w:r>
      <w:r>
        <w:rPr>
          <w:rFonts w:hint="cs"/>
          <w:rtl/>
        </w:rPr>
        <w:t xml:space="preserve">ו </w:t>
      </w:r>
      <w:r w:rsidR="00847B5D">
        <w:rPr>
          <w:rFonts w:hint="cs"/>
          <w:rtl/>
        </w:rPr>
        <w:t xml:space="preserve">להן כלים טכנולוגים </w:t>
      </w:r>
      <w:r>
        <w:rPr>
          <w:rFonts w:hint="cs"/>
          <w:rtl/>
        </w:rPr>
        <w:t xml:space="preserve">בשנת 2019 אותרו 23 מקרים שבהם נאספו תוצרי האזנת סתר שנוצרו עוד קודם שהחלה האזנת הסתר ולפני כניסת הצו לתוקפו. </w:t>
      </w:r>
    </w:p>
    <w:p w:rsidR="00B601BE" w:rsidRDefault="00B601BE" w:rsidP="00B25F60">
      <w:pPr>
        <w:spacing w:line="269" w:lineRule="auto"/>
        <w:ind w:left="707"/>
        <w:rPr>
          <w:b/>
          <w:bCs/>
          <w:rtl/>
        </w:rPr>
      </w:pPr>
    </w:p>
    <w:p w:rsidR="009A1216" w:rsidRPr="00FB5BE9" w:rsidRDefault="009A1216" w:rsidP="00B25F60">
      <w:pPr>
        <w:spacing w:line="269" w:lineRule="auto"/>
        <w:ind w:left="707"/>
        <w:rPr>
          <w:b/>
          <w:bCs/>
          <w:rtl/>
        </w:rPr>
      </w:pPr>
      <w:r>
        <w:rPr>
          <w:rFonts w:hint="cs"/>
          <w:b/>
          <w:bCs/>
          <w:rtl/>
        </w:rPr>
        <w:t>נמצא</w:t>
      </w:r>
      <w:r w:rsidRPr="00FB5BE9">
        <w:rPr>
          <w:b/>
          <w:bCs/>
          <w:rtl/>
        </w:rPr>
        <w:t xml:space="preserve"> כי </w:t>
      </w:r>
      <w:r w:rsidRPr="00FB5BE9">
        <w:rPr>
          <w:rFonts w:hint="eastAsia"/>
          <w:b/>
          <w:bCs/>
          <w:rtl/>
        </w:rPr>
        <w:t>המשטרה</w:t>
      </w:r>
      <w:r w:rsidRPr="00FB5BE9">
        <w:rPr>
          <w:b/>
          <w:bCs/>
          <w:rtl/>
        </w:rPr>
        <w:t xml:space="preserve"> </w:t>
      </w:r>
      <w:r w:rsidRPr="00FB5BE9">
        <w:rPr>
          <w:rFonts w:hint="eastAsia"/>
          <w:b/>
          <w:bCs/>
          <w:rtl/>
        </w:rPr>
        <w:t>החילה</w:t>
      </w:r>
      <w:r w:rsidRPr="00FB5BE9">
        <w:rPr>
          <w:b/>
          <w:bCs/>
          <w:rtl/>
        </w:rPr>
        <w:t xml:space="preserve"> </w:t>
      </w:r>
      <w:r w:rsidRPr="00FB5BE9">
        <w:rPr>
          <w:rFonts w:hint="eastAsia"/>
          <w:b/>
          <w:bCs/>
          <w:rtl/>
        </w:rPr>
        <w:t>בכלים</w:t>
      </w:r>
      <w:r w:rsidRPr="00FB5BE9">
        <w:rPr>
          <w:b/>
          <w:bCs/>
          <w:rtl/>
        </w:rPr>
        <w:t xml:space="preserve"> </w:t>
      </w:r>
      <w:r w:rsidRPr="00FB5BE9">
        <w:rPr>
          <w:rFonts w:hint="eastAsia"/>
          <w:b/>
          <w:bCs/>
          <w:rtl/>
        </w:rPr>
        <w:t>טכנולוגיים</w:t>
      </w:r>
      <w:r w:rsidRPr="00FB5BE9">
        <w:rPr>
          <w:b/>
          <w:bCs/>
          <w:rtl/>
        </w:rPr>
        <w:t xml:space="preserve"> </w:t>
      </w:r>
      <w:r w:rsidRPr="00FB5BE9">
        <w:rPr>
          <w:rFonts w:hint="eastAsia"/>
          <w:b/>
          <w:bCs/>
          <w:rtl/>
        </w:rPr>
        <w:t>את</w:t>
      </w:r>
      <w:r w:rsidRPr="00FB5BE9">
        <w:rPr>
          <w:b/>
          <w:bCs/>
          <w:rtl/>
        </w:rPr>
        <w:t xml:space="preserve"> </w:t>
      </w:r>
      <w:r w:rsidRPr="00FB5BE9">
        <w:rPr>
          <w:rFonts w:hint="eastAsia"/>
          <w:b/>
          <w:bCs/>
          <w:rtl/>
        </w:rPr>
        <w:t>מגבלת</w:t>
      </w:r>
      <w:r w:rsidRPr="00FB5BE9">
        <w:rPr>
          <w:b/>
          <w:bCs/>
          <w:rtl/>
        </w:rPr>
        <w:t xml:space="preserve"> </w:t>
      </w:r>
      <w:r w:rsidRPr="00FB5BE9">
        <w:rPr>
          <w:rFonts w:hint="eastAsia"/>
          <w:b/>
          <w:bCs/>
          <w:rtl/>
        </w:rPr>
        <w:t>איסוף</w:t>
      </w:r>
      <w:r w:rsidRPr="00FB5BE9">
        <w:rPr>
          <w:b/>
          <w:bCs/>
          <w:rtl/>
        </w:rPr>
        <w:t xml:space="preserve"> </w:t>
      </w:r>
      <w:r w:rsidRPr="00FB5BE9">
        <w:rPr>
          <w:rFonts w:hint="eastAsia"/>
          <w:b/>
          <w:bCs/>
          <w:rtl/>
        </w:rPr>
        <w:t>התוצרים</w:t>
      </w:r>
      <w:r w:rsidRPr="00FB5BE9">
        <w:rPr>
          <w:b/>
          <w:bCs/>
          <w:rtl/>
        </w:rPr>
        <w:t xml:space="preserve"> </w:t>
      </w:r>
      <w:r w:rsidRPr="00FB5BE9">
        <w:rPr>
          <w:rFonts w:hint="eastAsia"/>
          <w:b/>
          <w:bCs/>
          <w:rtl/>
        </w:rPr>
        <w:t>ההיסטוריים</w:t>
      </w:r>
      <w:r w:rsidRPr="00FB5BE9">
        <w:rPr>
          <w:b/>
          <w:bCs/>
          <w:rtl/>
        </w:rPr>
        <w:t xml:space="preserve">, </w:t>
      </w:r>
      <w:r w:rsidRPr="00FB5BE9">
        <w:rPr>
          <w:rFonts w:hint="eastAsia"/>
          <w:b/>
          <w:bCs/>
          <w:rtl/>
        </w:rPr>
        <w:t>ואולם</w:t>
      </w:r>
      <w:r w:rsidRPr="00FB5BE9">
        <w:rPr>
          <w:b/>
          <w:bCs/>
          <w:rtl/>
        </w:rPr>
        <w:t xml:space="preserve"> </w:t>
      </w:r>
      <w:r w:rsidRPr="00FB5BE9">
        <w:rPr>
          <w:rFonts w:hint="eastAsia"/>
          <w:b/>
          <w:bCs/>
          <w:rtl/>
        </w:rPr>
        <w:t>עקיפת</w:t>
      </w:r>
      <w:r w:rsidRPr="00FB5BE9">
        <w:rPr>
          <w:b/>
          <w:bCs/>
          <w:rtl/>
        </w:rPr>
        <w:t xml:space="preserve"> </w:t>
      </w:r>
      <w:r w:rsidRPr="00FB5BE9">
        <w:rPr>
          <w:rFonts w:hint="eastAsia"/>
          <w:b/>
          <w:bCs/>
          <w:rtl/>
        </w:rPr>
        <w:t>המגבלה</w:t>
      </w:r>
      <w:r w:rsidRPr="00FB5BE9">
        <w:rPr>
          <w:b/>
          <w:bCs/>
          <w:rtl/>
        </w:rPr>
        <w:t xml:space="preserve"> </w:t>
      </w:r>
      <w:r w:rsidRPr="00FB5BE9">
        <w:rPr>
          <w:rFonts w:hint="eastAsia"/>
          <w:b/>
          <w:bCs/>
          <w:rtl/>
        </w:rPr>
        <w:t>הייתה</w:t>
      </w:r>
      <w:r w:rsidRPr="00FB5BE9">
        <w:rPr>
          <w:b/>
          <w:bCs/>
          <w:rtl/>
        </w:rPr>
        <w:t xml:space="preserve"> </w:t>
      </w:r>
      <w:r w:rsidRPr="00FB5BE9">
        <w:rPr>
          <w:rFonts w:hint="eastAsia"/>
          <w:b/>
          <w:bCs/>
          <w:rtl/>
        </w:rPr>
        <w:t>פשוטה</w:t>
      </w:r>
      <w:r w:rsidRPr="00FB5BE9">
        <w:rPr>
          <w:b/>
          <w:bCs/>
          <w:rtl/>
        </w:rPr>
        <w:t xml:space="preserve">. </w:t>
      </w:r>
    </w:p>
    <w:p w:rsidR="00B601BE" w:rsidRDefault="00B601BE" w:rsidP="00B25F60">
      <w:pPr>
        <w:spacing w:line="269" w:lineRule="auto"/>
        <w:ind w:left="707"/>
        <w:rPr>
          <w:b/>
          <w:bCs/>
          <w:rtl/>
        </w:rPr>
      </w:pPr>
      <w:bookmarkStart w:id="534" w:name="_Hlk155710716"/>
    </w:p>
    <w:p w:rsidR="009A1216" w:rsidRDefault="009A1216" w:rsidP="00B25F60">
      <w:pPr>
        <w:spacing w:line="269" w:lineRule="auto"/>
        <w:ind w:left="707"/>
        <w:rPr>
          <w:b/>
          <w:bCs/>
          <w:rtl/>
        </w:rPr>
      </w:pPr>
      <w:r>
        <w:rPr>
          <w:rFonts w:hint="cs"/>
          <w:b/>
          <w:bCs/>
          <w:rtl/>
        </w:rPr>
        <w:t>נמצא כי חרף האיסור לאסוף תוצרי האזנה היסטוריים, בשלושה כלים טכנולוגיים המשטרה אספה בפועל</w:t>
      </w:r>
      <w:r w:rsidRPr="00690392">
        <w:rPr>
          <w:rFonts w:hint="cs"/>
          <w:b/>
          <w:bCs/>
          <w:rtl/>
        </w:rPr>
        <w:t xml:space="preserve"> תוצרים היסטוריים</w:t>
      </w:r>
      <w:r>
        <w:rPr>
          <w:rFonts w:hint="cs"/>
          <w:b/>
          <w:bCs/>
          <w:rtl/>
        </w:rPr>
        <w:t xml:space="preserve"> </w:t>
      </w:r>
      <w:r w:rsidR="008F01B0">
        <w:rPr>
          <w:rFonts w:hint="cs"/>
          <w:b/>
          <w:bCs/>
          <w:rtl/>
        </w:rPr>
        <w:t>אסורים</w:t>
      </w:r>
      <w:r w:rsidRPr="00690392">
        <w:rPr>
          <w:rFonts w:hint="cs"/>
          <w:b/>
          <w:bCs/>
          <w:rtl/>
        </w:rPr>
        <w:t xml:space="preserve">. </w:t>
      </w:r>
      <w:r>
        <w:rPr>
          <w:rFonts w:hint="cs"/>
          <w:b/>
          <w:bCs/>
          <w:rtl/>
        </w:rPr>
        <w:t xml:space="preserve">הדבר נעשה בדרך של עקיפת המגבלות הטכנולוגיות על ביצוע פעולה זו, והיא נועדה לאפשר קבלת תוצרי האזנת סתר שנדרש היה להשלים את איסופם בין </w:t>
      </w:r>
      <w:r w:rsidR="00062A25">
        <w:rPr>
          <w:rFonts w:hint="cs"/>
          <w:b/>
          <w:bCs/>
          <w:rtl/>
        </w:rPr>
        <w:t>התקנה</w:t>
      </w:r>
      <w:r>
        <w:rPr>
          <w:rFonts w:hint="cs"/>
          <w:b/>
          <w:bCs/>
          <w:rtl/>
        </w:rPr>
        <w:t xml:space="preserve"> ל</w:t>
      </w:r>
      <w:r w:rsidR="00062A25">
        <w:rPr>
          <w:rFonts w:hint="cs"/>
          <w:b/>
          <w:bCs/>
          <w:rtl/>
        </w:rPr>
        <w:t>התקנה</w:t>
      </w:r>
      <w:r>
        <w:rPr>
          <w:rFonts w:hint="cs"/>
          <w:b/>
          <w:bCs/>
          <w:rtl/>
        </w:rPr>
        <w:t xml:space="preserve"> ובמהלך תקופת תחולתו של</w:t>
      </w:r>
      <w:r>
        <w:rPr>
          <w:rFonts w:hint="cs"/>
          <w:b/>
          <w:bCs/>
        </w:rPr>
        <w:t xml:space="preserve"> </w:t>
      </w:r>
      <w:r>
        <w:rPr>
          <w:rFonts w:hint="cs"/>
          <w:b/>
          <w:bCs/>
          <w:rtl/>
        </w:rPr>
        <w:t xml:space="preserve">צו האזנת הסתר או לצורך קבלת תוצרי האזנה שקדמו לתקופת הצו. </w:t>
      </w:r>
    </w:p>
    <w:bookmarkEnd w:id="534"/>
    <w:p w:rsidR="00B601BE" w:rsidRDefault="00B601BE" w:rsidP="00B25F60">
      <w:pPr>
        <w:spacing w:line="269" w:lineRule="auto"/>
        <w:ind w:left="707"/>
        <w:rPr>
          <w:b/>
          <w:bCs/>
          <w:rtl/>
        </w:rPr>
      </w:pPr>
    </w:p>
    <w:p w:rsidR="009A1216" w:rsidRDefault="009A1216" w:rsidP="00B25F60">
      <w:pPr>
        <w:spacing w:line="269" w:lineRule="auto"/>
        <w:ind w:left="707"/>
        <w:rPr>
          <w:b/>
          <w:bCs/>
          <w:rtl/>
        </w:rPr>
      </w:pPr>
      <w:r w:rsidRPr="001A175F">
        <w:rPr>
          <w:rFonts w:hint="cs"/>
          <w:b/>
          <w:bCs/>
          <w:rtl/>
        </w:rPr>
        <w:t xml:space="preserve">על המשטרה </w:t>
      </w:r>
      <w:r>
        <w:rPr>
          <w:rFonts w:hint="cs"/>
          <w:b/>
          <w:bCs/>
          <w:rtl/>
        </w:rPr>
        <w:t xml:space="preserve">לוודא כי לא מתאפשר איסוף תוצרי האזנה היסטוריים </w:t>
      </w:r>
      <w:r w:rsidR="008F01B0">
        <w:rPr>
          <w:rFonts w:hint="cs"/>
          <w:b/>
          <w:bCs/>
          <w:rtl/>
        </w:rPr>
        <w:t>אסורים</w:t>
      </w:r>
      <w:r>
        <w:rPr>
          <w:rFonts w:hint="cs"/>
          <w:b/>
          <w:bCs/>
          <w:rtl/>
        </w:rPr>
        <w:t xml:space="preserve"> באמצעות הגבלה גורפת של אפשרות זו בכלים הטכנולוגיים העומדים לרשותה. </w:t>
      </w:r>
    </w:p>
    <w:p w:rsidR="009A1216" w:rsidRDefault="009A1216" w:rsidP="00B25F60">
      <w:pPr>
        <w:pStyle w:val="a5"/>
        <w:spacing w:line="269" w:lineRule="auto"/>
        <w:ind w:left="140"/>
        <w:rPr>
          <w:rtl/>
        </w:rPr>
      </w:pPr>
    </w:p>
    <w:p w:rsidR="009A1216" w:rsidRPr="00AF6A0F" w:rsidRDefault="009A1216" w:rsidP="00B25F60">
      <w:pPr>
        <w:spacing w:line="269" w:lineRule="auto"/>
        <w:ind w:left="707"/>
        <w:rPr>
          <w:rtl/>
        </w:rPr>
      </w:pPr>
      <w:r w:rsidRPr="00AF6A0F">
        <w:rPr>
          <w:rFonts w:hint="eastAsia"/>
          <w:rtl/>
        </w:rPr>
        <w:t>המשטרה</w:t>
      </w:r>
      <w:r w:rsidRPr="00AF6A0F">
        <w:rPr>
          <w:rtl/>
        </w:rPr>
        <w:t xml:space="preserve"> מסרה כי היא פועלת </w:t>
      </w:r>
      <w:r w:rsidRPr="00AF6A0F">
        <w:rPr>
          <w:rFonts w:hint="eastAsia"/>
          <w:rtl/>
        </w:rPr>
        <w:t>לבצע</w:t>
      </w:r>
      <w:r w:rsidRPr="00AF6A0F">
        <w:rPr>
          <w:rtl/>
        </w:rPr>
        <w:t xml:space="preserve"> </w:t>
      </w:r>
      <w:r w:rsidRPr="00AF6A0F">
        <w:rPr>
          <w:rFonts w:hint="eastAsia"/>
          <w:rtl/>
        </w:rPr>
        <w:t>ניוונים</w:t>
      </w:r>
      <w:r w:rsidRPr="00AF6A0F">
        <w:rPr>
          <w:rtl/>
        </w:rPr>
        <w:t xml:space="preserve"> </w:t>
      </w:r>
      <w:r w:rsidRPr="00AF6A0F">
        <w:rPr>
          <w:rFonts w:hint="eastAsia"/>
          <w:rtl/>
        </w:rPr>
        <w:t>בכלים</w:t>
      </w:r>
      <w:r w:rsidRPr="00AF6A0F">
        <w:rPr>
          <w:rtl/>
        </w:rPr>
        <w:t xml:space="preserve"> </w:t>
      </w:r>
      <w:r w:rsidRPr="00AF6A0F">
        <w:rPr>
          <w:rFonts w:hint="eastAsia"/>
          <w:rtl/>
        </w:rPr>
        <w:t>הטכנולוגיים</w:t>
      </w:r>
      <w:r w:rsidRPr="00AF6A0F">
        <w:rPr>
          <w:rtl/>
        </w:rPr>
        <w:t xml:space="preserve"> </w:t>
      </w:r>
      <w:r w:rsidRPr="00AF6A0F">
        <w:rPr>
          <w:rFonts w:hint="eastAsia"/>
          <w:rtl/>
        </w:rPr>
        <w:t>בהתאם</w:t>
      </w:r>
      <w:r w:rsidRPr="00AF6A0F">
        <w:rPr>
          <w:rtl/>
        </w:rPr>
        <w:t xml:space="preserve"> </w:t>
      </w:r>
      <w:r w:rsidRPr="00AF6A0F">
        <w:rPr>
          <w:rFonts w:hint="eastAsia"/>
          <w:rtl/>
        </w:rPr>
        <w:t>להנחיית</w:t>
      </w:r>
      <w:r w:rsidRPr="00AF6A0F">
        <w:rPr>
          <w:rtl/>
        </w:rPr>
        <w:t xml:space="preserve"> </w:t>
      </w:r>
      <w:r>
        <w:rPr>
          <w:rFonts w:hint="eastAsia"/>
          <w:rtl/>
        </w:rPr>
        <w:t>היועמ</w:t>
      </w:r>
      <w:r>
        <w:rPr>
          <w:rtl/>
        </w:rPr>
        <w:t>"</w:t>
      </w:r>
      <w:r>
        <w:rPr>
          <w:rFonts w:hint="eastAsia"/>
          <w:rtl/>
        </w:rPr>
        <w:t>שית לממשלה</w:t>
      </w:r>
      <w:r w:rsidRPr="00AF6A0F">
        <w:rPr>
          <w:rtl/>
        </w:rPr>
        <w:t>.</w:t>
      </w:r>
    </w:p>
    <w:p w:rsidR="009A1216" w:rsidRPr="004A70D4" w:rsidRDefault="009A1216" w:rsidP="00B25F60">
      <w:pPr>
        <w:pStyle w:val="a5"/>
        <w:spacing w:line="269" w:lineRule="auto"/>
        <w:ind w:left="140"/>
        <w:rPr>
          <w:rtl/>
        </w:rPr>
      </w:pPr>
    </w:p>
    <w:p w:rsidR="009A1216" w:rsidRDefault="009A1216" w:rsidP="00B25F60">
      <w:pPr>
        <w:spacing w:line="269" w:lineRule="auto"/>
        <w:ind w:left="707"/>
        <w:rPr>
          <w:b/>
          <w:bCs/>
          <w:rtl/>
        </w:rPr>
      </w:pPr>
      <w:r w:rsidRPr="006C3D0C">
        <w:rPr>
          <w:rFonts w:hint="eastAsia"/>
          <w:b/>
          <w:bCs/>
          <w:rtl/>
        </w:rPr>
        <w:t>מומלץ</w:t>
      </w:r>
      <w:r w:rsidRPr="006C3D0C">
        <w:rPr>
          <w:b/>
          <w:bCs/>
          <w:rtl/>
        </w:rPr>
        <w:t xml:space="preserve"> כי </w:t>
      </w:r>
      <w:r w:rsidRPr="006C3D0C">
        <w:rPr>
          <w:rFonts w:hint="eastAsia"/>
          <w:b/>
          <w:bCs/>
          <w:rtl/>
        </w:rPr>
        <w:t>המשטרה</w:t>
      </w:r>
      <w:r w:rsidRPr="006C3D0C">
        <w:rPr>
          <w:b/>
          <w:bCs/>
          <w:rtl/>
        </w:rPr>
        <w:t xml:space="preserve"> </w:t>
      </w:r>
      <w:r w:rsidRPr="006C3D0C">
        <w:rPr>
          <w:rFonts w:hint="eastAsia"/>
          <w:b/>
          <w:bCs/>
          <w:rtl/>
        </w:rPr>
        <w:t>תבחן</w:t>
      </w:r>
      <w:r w:rsidRPr="006C3D0C">
        <w:rPr>
          <w:b/>
          <w:bCs/>
          <w:rtl/>
        </w:rPr>
        <w:t xml:space="preserve">, במסגרת בדיקות מעבדה על מכשירים משטרתיים </w:t>
      </w:r>
      <w:r w:rsidRPr="006C3D0C">
        <w:rPr>
          <w:rFonts w:hint="eastAsia"/>
          <w:b/>
          <w:bCs/>
          <w:rtl/>
        </w:rPr>
        <w:t>אם</w:t>
      </w:r>
      <w:r w:rsidRPr="006C3D0C">
        <w:rPr>
          <w:b/>
          <w:bCs/>
          <w:rtl/>
        </w:rPr>
        <w:t xml:space="preserve"> </w:t>
      </w:r>
      <w:r w:rsidRPr="006C3D0C">
        <w:rPr>
          <w:rFonts w:hint="eastAsia"/>
          <w:b/>
          <w:bCs/>
          <w:rtl/>
        </w:rPr>
        <w:t>הניוונים</w:t>
      </w:r>
      <w:r w:rsidRPr="006C3D0C">
        <w:rPr>
          <w:b/>
          <w:bCs/>
          <w:rtl/>
        </w:rPr>
        <w:t xml:space="preserve"> </w:t>
      </w:r>
      <w:r w:rsidRPr="006C3D0C">
        <w:rPr>
          <w:rFonts w:hint="eastAsia"/>
          <w:b/>
          <w:bCs/>
          <w:rtl/>
        </w:rPr>
        <w:t>בכלים</w:t>
      </w:r>
      <w:r w:rsidRPr="006C3D0C">
        <w:rPr>
          <w:b/>
          <w:bCs/>
          <w:rtl/>
        </w:rPr>
        <w:t xml:space="preserve"> </w:t>
      </w:r>
      <w:r w:rsidRPr="006C3D0C">
        <w:rPr>
          <w:rFonts w:hint="eastAsia"/>
          <w:b/>
          <w:bCs/>
          <w:rtl/>
        </w:rPr>
        <w:t>הטכנולוגיים</w:t>
      </w:r>
      <w:r w:rsidRPr="006C3D0C">
        <w:rPr>
          <w:b/>
          <w:bCs/>
          <w:rtl/>
        </w:rPr>
        <w:t xml:space="preserve"> </w:t>
      </w:r>
      <w:r>
        <w:rPr>
          <w:rFonts w:hint="cs"/>
          <w:b/>
          <w:bCs/>
          <w:rtl/>
        </w:rPr>
        <w:t>ש</w:t>
      </w:r>
      <w:r w:rsidRPr="006C3D0C">
        <w:rPr>
          <w:rFonts w:hint="eastAsia"/>
          <w:b/>
          <w:bCs/>
          <w:rtl/>
        </w:rPr>
        <w:t>עליהם</w:t>
      </w:r>
      <w:r w:rsidRPr="006C3D0C">
        <w:rPr>
          <w:b/>
          <w:bCs/>
          <w:rtl/>
        </w:rPr>
        <w:t xml:space="preserve"> </w:t>
      </w:r>
      <w:r w:rsidRPr="006C3D0C">
        <w:rPr>
          <w:rFonts w:hint="eastAsia"/>
          <w:b/>
          <w:bCs/>
          <w:rtl/>
        </w:rPr>
        <w:t>עמלה</w:t>
      </w:r>
      <w:r w:rsidRPr="006C3D0C">
        <w:rPr>
          <w:b/>
          <w:bCs/>
          <w:rtl/>
        </w:rPr>
        <w:t xml:space="preserve"> </w:t>
      </w:r>
      <w:r w:rsidRPr="006C3D0C">
        <w:rPr>
          <w:rFonts w:hint="eastAsia"/>
          <w:b/>
          <w:bCs/>
          <w:rtl/>
        </w:rPr>
        <w:t>מונעים</w:t>
      </w:r>
      <w:r w:rsidRPr="006C3D0C">
        <w:rPr>
          <w:b/>
          <w:bCs/>
          <w:rtl/>
        </w:rPr>
        <w:t xml:space="preserve"> </w:t>
      </w:r>
      <w:r w:rsidRPr="006C3D0C">
        <w:rPr>
          <w:rFonts w:hint="eastAsia"/>
          <w:b/>
          <w:bCs/>
          <w:rtl/>
        </w:rPr>
        <w:t>איסוף</w:t>
      </w:r>
      <w:r w:rsidRPr="006C3D0C">
        <w:rPr>
          <w:b/>
          <w:bCs/>
          <w:rtl/>
        </w:rPr>
        <w:t xml:space="preserve"> </w:t>
      </w:r>
      <w:r w:rsidRPr="006C3D0C">
        <w:rPr>
          <w:rFonts w:hint="eastAsia"/>
          <w:b/>
          <w:bCs/>
          <w:rtl/>
        </w:rPr>
        <w:t>תוצרי</w:t>
      </w:r>
      <w:r w:rsidRPr="006C3D0C">
        <w:rPr>
          <w:b/>
          <w:bCs/>
          <w:rtl/>
        </w:rPr>
        <w:t xml:space="preserve"> </w:t>
      </w:r>
      <w:r w:rsidRPr="006C3D0C">
        <w:rPr>
          <w:rFonts w:hint="eastAsia"/>
          <w:b/>
          <w:bCs/>
          <w:rtl/>
        </w:rPr>
        <w:t>האזנה</w:t>
      </w:r>
      <w:r w:rsidRPr="006C3D0C">
        <w:rPr>
          <w:b/>
          <w:bCs/>
          <w:rtl/>
        </w:rPr>
        <w:t xml:space="preserve"> </w:t>
      </w:r>
      <w:r w:rsidRPr="006C3D0C">
        <w:rPr>
          <w:rFonts w:hint="eastAsia"/>
          <w:b/>
          <w:bCs/>
          <w:rtl/>
        </w:rPr>
        <w:t>היסטוריים</w:t>
      </w:r>
      <w:r w:rsidRPr="006C3D0C">
        <w:rPr>
          <w:b/>
          <w:bCs/>
          <w:rtl/>
        </w:rPr>
        <w:t xml:space="preserve"> </w:t>
      </w:r>
      <w:r w:rsidR="008F01B0">
        <w:rPr>
          <w:rFonts w:hint="cs"/>
          <w:b/>
          <w:bCs/>
          <w:rtl/>
        </w:rPr>
        <w:t>אסורים</w:t>
      </w:r>
      <w:r w:rsidRPr="006C3D0C">
        <w:rPr>
          <w:b/>
          <w:bCs/>
          <w:rtl/>
        </w:rPr>
        <w:t xml:space="preserve">. </w:t>
      </w:r>
      <w:r w:rsidRPr="006C3D0C">
        <w:rPr>
          <w:rFonts w:hint="eastAsia"/>
          <w:b/>
          <w:bCs/>
          <w:rtl/>
        </w:rPr>
        <w:t>עוד</w:t>
      </w:r>
      <w:r w:rsidRPr="006C3D0C">
        <w:rPr>
          <w:b/>
          <w:bCs/>
          <w:rtl/>
        </w:rPr>
        <w:t xml:space="preserve"> </w:t>
      </w:r>
      <w:r w:rsidRPr="006C3D0C">
        <w:rPr>
          <w:rFonts w:hint="eastAsia"/>
          <w:b/>
          <w:bCs/>
          <w:rtl/>
        </w:rPr>
        <w:t>מומלץ</w:t>
      </w:r>
      <w:r w:rsidRPr="006C3D0C">
        <w:rPr>
          <w:b/>
          <w:bCs/>
          <w:rtl/>
        </w:rPr>
        <w:t xml:space="preserve"> </w:t>
      </w:r>
      <w:r w:rsidRPr="006C3D0C">
        <w:rPr>
          <w:rFonts w:hint="eastAsia"/>
          <w:b/>
          <w:bCs/>
          <w:rtl/>
        </w:rPr>
        <w:t>כי</w:t>
      </w:r>
      <w:r w:rsidRPr="006C3D0C">
        <w:rPr>
          <w:b/>
          <w:bCs/>
          <w:rtl/>
        </w:rPr>
        <w:t xml:space="preserve"> </w:t>
      </w:r>
      <w:r w:rsidRPr="006C3D0C">
        <w:rPr>
          <w:rFonts w:hint="eastAsia"/>
          <w:b/>
          <w:bCs/>
          <w:rtl/>
        </w:rPr>
        <w:t>תוצרי</w:t>
      </w:r>
      <w:r w:rsidRPr="006C3D0C">
        <w:rPr>
          <w:b/>
          <w:bCs/>
          <w:rtl/>
        </w:rPr>
        <w:t xml:space="preserve"> </w:t>
      </w:r>
      <w:r w:rsidRPr="006C3D0C">
        <w:rPr>
          <w:rFonts w:hint="eastAsia"/>
          <w:b/>
          <w:bCs/>
          <w:rtl/>
        </w:rPr>
        <w:t>הבדיקות</w:t>
      </w:r>
      <w:r w:rsidRPr="006C3D0C">
        <w:rPr>
          <w:b/>
          <w:bCs/>
          <w:rtl/>
        </w:rPr>
        <w:t xml:space="preserve"> </w:t>
      </w:r>
      <w:r w:rsidRPr="006C3D0C">
        <w:rPr>
          <w:rFonts w:hint="eastAsia"/>
          <w:b/>
          <w:bCs/>
          <w:rtl/>
        </w:rPr>
        <w:t>והצגת</w:t>
      </w:r>
      <w:r w:rsidRPr="006C3D0C">
        <w:rPr>
          <w:b/>
          <w:bCs/>
          <w:rtl/>
        </w:rPr>
        <w:t xml:space="preserve"> </w:t>
      </w:r>
      <w:r>
        <w:rPr>
          <w:rFonts w:hint="cs"/>
          <w:b/>
          <w:bCs/>
          <w:rtl/>
        </w:rPr>
        <w:t>ה</w:t>
      </w:r>
      <w:r w:rsidRPr="006C3D0C">
        <w:rPr>
          <w:rFonts w:hint="eastAsia"/>
          <w:b/>
          <w:bCs/>
          <w:rtl/>
        </w:rPr>
        <w:t>תכלית</w:t>
      </w:r>
      <w:r w:rsidRPr="006C3D0C">
        <w:rPr>
          <w:b/>
          <w:bCs/>
          <w:rtl/>
        </w:rPr>
        <w:t xml:space="preserve"> </w:t>
      </w:r>
      <w:r w:rsidRPr="006C3D0C">
        <w:rPr>
          <w:rFonts w:hint="eastAsia"/>
          <w:b/>
          <w:bCs/>
          <w:rtl/>
        </w:rPr>
        <w:t>של</w:t>
      </w:r>
      <w:r w:rsidRPr="006C3D0C">
        <w:rPr>
          <w:b/>
          <w:bCs/>
          <w:rtl/>
        </w:rPr>
        <w:t xml:space="preserve"> </w:t>
      </w:r>
      <w:r w:rsidRPr="006C3D0C">
        <w:rPr>
          <w:rFonts w:hint="eastAsia"/>
          <w:b/>
          <w:bCs/>
          <w:rtl/>
        </w:rPr>
        <w:t>הניוונים</w:t>
      </w:r>
      <w:r w:rsidRPr="006C3D0C">
        <w:rPr>
          <w:b/>
          <w:bCs/>
          <w:rtl/>
        </w:rPr>
        <w:t xml:space="preserve"> </w:t>
      </w:r>
      <w:r w:rsidRPr="006C3D0C">
        <w:rPr>
          <w:rFonts w:hint="eastAsia"/>
          <w:b/>
          <w:bCs/>
          <w:rtl/>
        </w:rPr>
        <w:t>בכלי</w:t>
      </w:r>
      <w:r w:rsidRPr="006C3D0C">
        <w:rPr>
          <w:b/>
          <w:bCs/>
          <w:rtl/>
        </w:rPr>
        <w:t xml:space="preserve"> </w:t>
      </w:r>
      <w:r w:rsidRPr="006C3D0C">
        <w:rPr>
          <w:rFonts w:hint="eastAsia"/>
          <w:b/>
          <w:bCs/>
          <w:rtl/>
        </w:rPr>
        <w:t>תובא</w:t>
      </w:r>
      <w:r w:rsidRPr="006C3D0C">
        <w:rPr>
          <w:b/>
          <w:bCs/>
          <w:rtl/>
        </w:rPr>
        <w:t xml:space="preserve"> בפני </w:t>
      </w:r>
      <w:r w:rsidRPr="006C3D0C">
        <w:rPr>
          <w:rFonts w:hint="eastAsia"/>
          <w:b/>
          <w:bCs/>
          <w:rtl/>
        </w:rPr>
        <w:t>משרד</w:t>
      </w:r>
      <w:r w:rsidRPr="006C3D0C">
        <w:rPr>
          <w:b/>
          <w:bCs/>
          <w:rtl/>
        </w:rPr>
        <w:t xml:space="preserve"> המשפטים </w:t>
      </w:r>
      <w:r w:rsidRPr="006C3D0C">
        <w:rPr>
          <w:rFonts w:hint="eastAsia"/>
          <w:b/>
          <w:bCs/>
          <w:rtl/>
        </w:rPr>
        <w:t>בליווי</w:t>
      </w:r>
      <w:r w:rsidRPr="006C3D0C">
        <w:rPr>
          <w:b/>
          <w:bCs/>
          <w:rtl/>
        </w:rPr>
        <w:t xml:space="preserve"> חוות דעת הנדסית-טכנולוגית </w:t>
      </w:r>
      <w:r w:rsidRPr="006C3D0C">
        <w:rPr>
          <w:rFonts w:hint="eastAsia"/>
          <w:b/>
          <w:bCs/>
          <w:rtl/>
        </w:rPr>
        <w:t>המלמדת</w:t>
      </w:r>
      <w:r w:rsidRPr="006C3D0C">
        <w:rPr>
          <w:b/>
          <w:bCs/>
          <w:rtl/>
        </w:rPr>
        <w:t xml:space="preserve"> </w:t>
      </w:r>
      <w:r w:rsidRPr="006C3D0C">
        <w:rPr>
          <w:rFonts w:hint="eastAsia"/>
          <w:b/>
          <w:bCs/>
          <w:rtl/>
        </w:rPr>
        <w:t>על</w:t>
      </w:r>
      <w:r w:rsidRPr="006C3D0C">
        <w:rPr>
          <w:b/>
          <w:bCs/>
          <w:rtl/>
        </w:rPr>
        <w:t xml:space="preserve"> </w:t>
      </w:r>
      <w:r w:rsidRPr="006C3D0C">
        <w:rPr>
          <w:rFonts w:hint="eastAsia"/>
          <w:b/>
          <w:bCs/>
          <w:rtl/>
        </w:rPr>
        <w:t>אופן</w:t>
      </w:r>
      <w:r w:rsidRPr="006C3D0C">
        <w:rPr>
          <w:b/>
          <w:bCs/>
          <w:rtl/>
        </w:rPr>
        <w:t xml:space="preserve"> </w:t>
      </w:r>
      <w:r w:rsidRPr="006C3D0C">
        <w:rPr>
          <w:rFonts w:hint="eastAsia"/>
          <w:b/>
          <w:bCs/>
          <w:rtl/>
        </w:rPr>
        <w:t>ביצוע</w:t>
      </w:r>
      <w:r w:rsidRPr="006C3D0C">
        <w:rPr>
          <w:b/>
          <w:bCs/>
          <w:rtl/>
        </w:rPr>
        <w:t xml:space="preserve"> </w:t>
      </w:r>
      <w:r w:rsidRPr="006C3D0C">
        <w:rPr>
          <w:rFonts w:hint="eastAsia"/>
          <w:b/>
          <w:bCs/>
          <w:rtl/>
        </w:rPr>
        <w:t>הניוונים</w:t>
      </w:r>
      <w:r w:rsidRPr="006C3D0C">
        <w:rPr>
          <w:b/>
          <w:bCs/>
          <w:rtl/>
        </w:rPr>
        <w:t xml:space="preserve">. </w:t>
      </w:r>
    </w:p>
    <w:p w:rsidR="00C4338B" w:rsidRPr="006C3D0C" w:rsidRDefault="00C4338B" w:rsidP="00604C3D">
      <w:pPr>
        <w:spacing w:line="269" w:lineRule="auto"/>
        <w:rPr>
          <w:b/>
          <w:bCs/>
          <w:rtl/>
        </w:rPr>
      </w:pPr>
    </w:p>
    <w:p w:rsidR="009A1216" w:rsidRPr="00C20DF6" w:rsidRDefault="009A1216" w:rsidP="00B25F60">
      <w:pPr>
        <w:pStyle w:val="5"/>
        <w:numPr>
          <w:ilvl w:val="0"/>
          <w:numId w:val="28"/>
        </w:numPr>
        <w:spacing w:line="269" w:lineRule="auto"/>
        <w:ind w:left="707"/>
      </w:pPr>
      <w:bookmarkStart w:id="535" w:name="_Toc151890767"/>
      <w:bookmarkStart w:id="536" w:name="_Toc151882039"/>
      <w:r>
        <w:rPr>
          <w:rFonts w:hint="cs"/>
          <w:rtl/>
        </w:rPr>
        <w:t xml:space="preserve">ביצוע פעולות </w:t>
      </w:r>
      <w:r w:rsidR="005A19FE">
        <w:rPr>
          <w:rFonts w:hint="cs"/>
          <w:rtl/>
        </w:rPr>
        <w:t>אסורות</w:t>
      </w:r>
      <w:r>
        <w:rPr>
          <w:rFonts w:hint="cs"/>
          <w:rtl/>
        </w:rPr>
        <w:t xml:space="preserve"> באמצעות כלים טכנולוגיים </w:t>
      </w:r>
      <w:bookmarkEnd w:id="535"/>
      <w:bookmarkEnd w:id="536"/>
    </w:p>
    <w:p w:rsidR="00B601BE" w:rsidRDefault="00B601BE" w:rsidP="00604C3D">
      <w:pPr>
        <w:spacing w:line="269" w:lineRule="auto"/>
        <w:rPr>
          <w:rtl/>
        </w:rPr>
      </w:pPr>
    </w:p>
    <w:p w:rsidR="009A1216" w:rsidRDefault="009A1216" w:rsidP="00B25F60">
      <w:pPr>
        <w:spacing w:line="269" w:lineRule="auto"/>
        <w:ind w:left="707"/>
        <w:rPr>
          <w:rtl/>
        </w:rPr>
      </w:pPr>
      <w:r w:rsidRPr="00A512AA">
        <w:rPr>
          <w:rFonts w:hint="eastAsia"/>
          <w:rtl/>
        </w:rPr>
        <w:t>יש</w:t>
      </w:r>
      <w:r w:rsidRPr="00A512AA">
        <w:rPr>
          <w:rtl/>
        </w:rPr>
        <w:t xml:space="preserve"> כלים טכנולוגיים המאפשרים </w:t>
      </w:r>
      <w:r w:rsidR="00A645E2">
        <w:rPr>
          <w:rFonts w:hint="cs"/>
          <w:rtl/>
        </w:rPr>
        <w:t>ביצוע פעולות אקטיביות</w:t>
      </w:r>
      <w:r w:rsidRPr="00A512AA">
        <w:rPr>
          <w:rtl/>
        </w:rPr>
        <w:t xml:space="preserve"> ויצירת מידע יש מאין </w:t>
      </w:r>
      <w:r w:rsidR="00560AE5">
        <w:rPr>
          <w:rFonts w:hint="cs"/>
          <w:rtl/>
        </w:rPr>
        <w:t>ש</w:t>
      </w:r>
      <w:r w:rsidRPr="00A512AA">
        <w:rPr>
          <w:rtl/>
        </w:rPr>
        <w:t xml:space="preserve">אינם חלק מהסמכויות הקבועות בחוק האזנת סתר. </w:t>
      </w:r>
      <w:bookmarkStart w:id="537" w:name="_Hlk196730294"/>
      <w:r w:rsidRPr="00A512AA">
        <w:rPr>
          <w:rFonts w:hint="eastAsia"/>
          <w:rtl/>
        </w:rPr>
        <w:t>משרד</w:t>
      </w:r>
      <w:r w:rsidRPr="00A512AA">
        <w:rPr>
          <w:rtl/>
        </w:rPr>
        <w:t xml:space="preserve"> </w:t>
      </w:r>
      <w:r w:rsidRPr="00A512AA">
        <w:rPr>
          <w:rFonts w:hint="eastAsia"/>
          <w:rtl/>
        </w:rPr>
        <w:t>מבקר</w:t>
      </w:r>
      <w:r w:rsidRPr="00A512AA">
        <w:rPr>
          <w:rtl/>
        </w:rPr>
        <w:t xml:space="preserve"> </w:t>
      </w:r>
      <w:r w:rsidRPr="00A512AA">
        <w:rPr>
          <w:rFonts w:hint="eastAsia"/>
          <w:rtl/>
        </w:rPr>
        <w:t>המדינה</w:t>
      </w:r>
      <w:r w:rsidRPr="00A512AA">
        <w:rPr>
          <w:rtl/>
        </w:rPr>
        <w:t xml:space="preserve"> </w:t>
      </w:r>
      <w:r w:rsidRPr="00A512AA">
        <w:rPr>
          <w:rFonts w:hint="eastAsia"/>
          <w:rtl/>
        </w:rPr>
        <w:t>הציג</w:t>
      </w:r>
      <w:r w:rsidRPr="00A512AA">
        <w:rPr>
          <w:rtl/>
        </w:rPr>
        <w:t xml:space="preserve"> </w:t>
      </w:r>
      <w:r w:rsidRPr="00A512AA">
        <w:rPr>
          <w:rFonts w:hint="eastAsia"/>
          <w:rtl/>
        </w:rPr>
        <w:t>בפני</w:t>
      </w:r>
      <w:r w:rsidRPr="00A512AA">
        <w:rPr>
          <w:rtl/>
        </w:rPr>
        <w:t xml:space="preserve"> </w:t>
      </w:r>
      <w:r w:rsidRPr="00A512AA">
        <w:rPr>
          <w:rFonts w:hint="eastAsia"/>
          <w:rtl/>
        </w:rPr>
        <w:t>המשטרה</w:t>
      </w:r>
      <w:r w:rsidRPr="00A512AA">
        <w:rPr>
          <w:rtl/>
        </w:rPr>
        <w:t xml:space="preserve"> </w:t>
      </w:r>
      <w:r w:rsidRPr="00A512AA">
        <w:rPr>
          <w:rFonts w:hint="eastAsia"/>
          <w:rtl/>
        </w:rPr>
        <w:t>ומשרד</w:t>
      </w:r>
      <w:r w:rsidRPr="00A512AA">
        <w:rPr>
          <w:rtl/>
        </w:rPr>
        <w:t xml:space="preserve"> </w:t>
      </w:r>
      <w:r w:rsidRPr="00A512AA">
        <w:rPr>
          <w:rFonts w:hint="eastAsia"/>
          <w:rtl/>
        </w:rPr>
        <w:t>המשפטים</w:t>
      </w:r>
      <w:r w:rsidRPr="00A512AA">
        <w:rPr>
          <w:rtl/>
        </w:rPr>
        <w:t xml:space="preserve"> </w:t>
      </w:r>
      <w:r w:rsidRPr="00A512AA">
        <w:rPr>
          <w:rFonts w:hint="eastAsia"/>
          <w:rtl/>
        </w:rPr>
        <w:t>חמש</w:t>
      </w:r>
      <w:r w:rsidRPr="00A512AA">
        <w:rPr>
          <w:rtl/>
        </w:rPr>
        <w:t xml:space="preserve"> </w:t>
      </w:r>
      <w:r w:rsidRPr="00A512AA">
        <w:rPr>
          <w:rFonts w:hint="eastAsia"/>
          <w:rtl/>
        </w:rPr>
        <w:t>פעולות</w:t>
      </w:r>
      <w:r w:rsidRPr="00A512AA">
        <w:rPr>
          <w:rtl/>
        </w:rPr>
        <w:t xml:space="preserve"> </w:t>
      </w:r>
      <w:r w:rsidRPr="00A512AA">
        <w:rPr>
          <w:rFonts w:hint="eastAsia"/>
          <w:rtl/>
        </w:rPr>
        <w:t>כאמור</w:t>
      </w:r>
      <w:r w:rsidRPr="00A512AA">
        <w:rPr>
          <w:rtl/>
        </w:rPr>
        <w:t>.</w:t>
      </w:r>
      <w:r>
        <w:rPr>
          <w:rFonts w:hint="cs"/>
          <w:rtl/>
        </w:rPr>
        <w:t xml:space="preserve"> </w:t>
      </w:r>
    </w:p>
    <w:p w:rsidR="009A1216" w:rsidRPr="004E54FD" w:rsidRDefault="009A1216" w:rsidP="00B25F60">
      <w:pPr>
        <w:pStyle w:val="a5"/>
        <w:spacing w:line="269" w:lineRule="auto"/>
        <w:ind w:left="140"/>
        <w:rPr>
          <w:rtl/>
        </w:rPr>
      </w:pPr>
      <w:bookmarkStart w:id="538" w:name="_Hlk196730477"/>
      <w:bookmarkEnd w:id="537"/>
    </w:p>
    <w:p w:rsidR="009A1216" w:rsidRDefault="009A1216" w:rsidP="00B25F60">
      <w:pPr>
        <w:spacing w:line="269" w:lineRule="auto"/>
        <w:ind w:left="707"/>
        <w:rPr>
          <w:rtl/>
        </w:rPr>
      </w:pPr>
      <w:r w:rsidRPr="004E54FD">
        <w:rPr>
          <w:rFonts w:hint="cs"/>
          <w:rtl/>
        </w:rPr>
        <w:t xml:space="preserve">המשטרה מסרה התייחסותה לפעולות אלו, וביחס לשתי פעולות טענה המשטרה שהן לא בוצעו. </w:t>
      </w:r>
      <w:r w:rsidRPr="004E54FD">
        <w:rPr>
          <w:rtl/>
        </w:rPr>
        <w:t>המקרים נבחנו פעם נוספת על ידי מבקר המדינה בשל טענות המשטרה נגד ממצאי הביקורת</w:t>
      </w:r>
      <w:r w:rsidRPr="004E54FD">
        <w:rPr>
          <w:rFonts w:hint="cs"/>
          <w:rtl/>
        </w:rPr>
        <w:t>,</w:t>
      </w:r>
      <w:r w:rsidRPr="004E54FD">
        <w:rPr>
          <w:rtl/>
        </w:rPr>
        <w:t xml:space="preserve"> אולם חלק מטענות המשטרה נדחו לאחר בחינתן</w:t>
      </w:r>
      <w:r w:rsidRPr="004E54FD">
        <w:rPr>
          <w:rFonts w:hint="cs"/>
          <w:rtl/>
        </w:rPr>
        <w:t xml:space="preserve">: בנוגע לפעולה אחת נמצא כי לפי מאגרי המידע של כלי טכנולוגי מסוים ובבדיקת הכלי הטכנולוגי על ידי צוות הביקורת, הפעולה אכן התבצעה; ובנוגע לפעולה השנייה נמצא שהמשטרה אישרה לבצע האזנת סתר שמטרת ההאזנה היא ביצוע אותה פעולה </w:t>
      </w:r>
      <w:r w:rsidR="00A77084">
        <w:rPr>
          <w:rFonts w:hint="cs"/>
          <w:rtl/>
        </w:rPr>
        <w:t>אסורה</w:t>
      </w:r>
      <w:r w:rsidRPr="004E54FD">
        <w:rPr>
          <w:rFonts w:hint="cs"/>
          <w:rtl/>
        </w:rPr>
        <w:t>, ולכן אישור ההאזנה וביצוע ההאזנה התבצע למטרה אסורה</w:t>
      </w:r>
      <w:r w:rsidRPr="004E54FD">
        <w:rPr>
          <w:rtl/>
        </w:rPr>
        <w:t>.</w:t>
      </w:r>
    </w:p>
    <w:bookmarkEnd w:id="538"/>
    <w:p w:rsidR="0065692F" w:rsidRDefault="0065692F" w:rsidP="00B25F60">
      <w:pPr>
        <w:spacing w:line="269" w:lineRule="auto"/>
        <w:ind w:left="707"/>
        <w:rPr>
          <w:b/>
          <w:bCs/>
          <w:rtl/>
        </w:rPr>
      </w:pPr>
    </w:p>
    <w:p w:rsidR="009A1216" w:rsidRDefault="009A1216" w:rsidP="00B25F60">
      <w:pPr>
        <w:spacing w:line="269" w:lineRule="auto"/>
        <w:ind w:left="707"/>
        <w:rPr>
          <w:b/>
          <w:bCs/>
          <w:rtl/>
        </w:rPr>
      </w:pPr>
      <w:r>
        <w:rPr>
          <w:rFonts w:hint="cs"/>
          <w:b/>
          <w:bCs/>
          <w:rtl/>
        </w:rPr>
        <w:t>נמצא כי</w:t>
      </w:r>
      <w:r w:rsidRPr="00783DE8">
        <w:rPr>
          <w:rFonts w:hint="cs"/>
          <w:b/>
          <w:bCs/>
          <w:rtl/>
        </w:rPr>
        <w:t xml:space="preserve"> </w:t>
      </w:r>
      <w:r>
        <w:rPr>
          <w:rFonts w:hint="cs"/>
          <w:b/>
          <w:bCs/>
          <w:rtl/>
        </w:rPr>
        <w:t>המשטרה נהגה להשתמש</w:t>
      </w:r>
      <w:r w:rsidRPr="00783DE8">
        <w:rPr>
          <w:rFonts w:hint="cs"/>
          <w:b/>
          <w:bCs/>
          <w:rtl/>
        </w:rPr>
        <w:t xml:space="preserve"> בכלים טכנולוגיים לצורך ביצוע פעולות</w:t>
      </w:r>
      <w:r>
        <w:rPr>
          <w:rFonts w:hint="cs"/>
          <w:b/>
          <w:bCs/>
          <w:rtl/>
        </w:rPr>
        <w:t xml:space="preserve"> אקטיביות</w:t>
      </w:r>
      <w:r w:rsidRPr="00783DE8">
        <w:rPr>
          <w:rFonts w:hint="cs"/>
          <w:b/>
          <w:bCs/>
          <w:rtl/>
        </w:rPr>
        <w:t xml:space="preserve"> </w:t>
      </w:r>
      <w:r w:rsidR="0027505C">
        <w:rPr>
          <w:rFonts w:hint="cs"/>
          <w:b/>
          <w:bCs/>
          <w:rtl/>
        </w:rPr>
        <w:t>אסורות</w:t>
      </w:r>
      <w:r w:rsidR="008F01B0">
        <w:rPr>
          <w:rFonts w:hint="cs"/>
          <w:b/>
          <w:bCs/>
          <w:rtl/>
        </w:rPr>
        <w:t xml:space="preserve"> </w:t>
      </w:r>
      <w:r w:rsidRPr="00783DE8">
        <w:rPr>
          <w:rFonts w:hint="cs"/>
          <w:b/>
          <w:bCs/>
          <w:rtl/>
        </w:rPr>
        <w:t>באמצעי המואזן</w:t>
      </w:r>
      <w:r w:rsidR="007038FA">
        <w:rPr>
          <w:rFonts w:hint="cs"/>
          <w:b/>
          <w:bCs/>
          <w:rtl/>
        </w:rPr>
        <w:t xml:space="preserve"> </w:t>
      </w:r>
      <w:r w:rsidR="008F01B0">
        <w:rPr>
          <w:rFonts w:hint="cs"/>
          <w:b/>
          <w:bCs/>
          <w:rtl/>
        </w:rPr>
        <w:t>-</w:t>
      </w:r>
      <w:r w:rsidRPr="00783DE8">
        <w:rPr>
          <w:rFonts w:hint="cs"/>
          <w:b/>
          <w:bCs/>
          <w:rtl/>
        </w:rPr>
        <w:t xml:space="preserve"> לרבות יצירת מידע יש מאין</w:t>
      </w:r>
      <w:r w:rsidR="008F01B0">
        <w:rPr>
          <w:rFonts w:hint="cs"/>
          <w:b/>
          <w:bCs/>
          <w:rtl/>
        </w:rPr>
        <w:t xml:space="preserve"> -</w:t>
      </w:r>
      <w:r w:rsidRPr="00783DE8">
        <w:rPr>
          <w:rFonts w:hint="cs"/>
          <w:b/>
          <w:bCs/>
          <w:rtl/>
        </w:rPr>
        <w:t xml:space="preserve"> ללא סמכות. חלק מהפעולות נועדו להבטיח </w:t>
      </w:r>
      <w:r>
        <w:rPr>
          <w:rFonts w:hint="cs"/>
          <w:b/>
          <w:bCs/>
          <w:rtl/>
        </w:rPr>
        <w:t xml:space="preserve">איסוף תוצרים </w:t>
      </w:r>
      <w:r w:rsidRPr="00783DE8">
        <w:rPr>
          <w:rFonts w:hint="cs"/>
          <w:b/>
          <w:bCs/>
          <w:rtl/>
        </w:rPr>
        <w:t>לצורכי האזנת סתר או כחלק מהפעלת סמכויות העזר לביצוע האזנת סתר</w:t>
      </w:r>
      <w:r>
        <w:rPr>
          <w:rFonts w:hint="cs"/>
          <w:b/>
          <w:bCs/>
          <w:rtl/>
        </w:rPr>
        <w:t>, וחלקן נועדו לסייע בביצוע פעילות מבצעית</w:t>
      </w:r>
      <w:r w:rsidRPr="00783DE8">
        <w:rPr>
          <w:rFonts w:hint="cs"/>
          <w:b/>
          <w:bCs/>
          <w:rtl/>
        </w:rPr>
        <w:t>.</w:t>
      </w:r>
      <w:r>
        <w:rPr>
          <w:rFonts w:hint="cs"/>
          <w:b/>
          <w:bCs/>
          <w:rtl/>
        </w:rPr>
        <w:t xml:space="preserve"> </w:t>
      </w:r>
    </w:p>
    <w:p w:rsidR="0065692F" w:rsidRDefault="0065692F" w:rsidP="00B25F60">
      <w:pPr>
        <w:spacing w:line="269" w:lineRule="auto"/>
        <w:ind w:left="707"/>
        <w:rPr>
          <w:b/>
          <w:bCs/>
          <w:rtl/>
        </w:rPr>
      </w:pPr>
    </w:p>
    <w:p w:rsidR="009A1216" w:rsidRDefault="009A1216" w:rsidP="00B25F60">
      <w:pPr>
        <w:spacing w:line="269" w:lineRule="auto"/>
        <w:ind w:left="707"/>
        <w:rPr>
          <w:b/>
          <w:bCs/>
          <w:rtl/>
        </w:rPr>
      </w:pPr>
      <w:r>
        <w:rPr>
          <w:rFonts w:hint="cs"/>
          <w:b/>
          <w:bCs/>
          <w:rtl/>
        </w:rPr>
        <w:t xml:space="preserve">לעמדת מבקר המדינה, מסקירה של הפעולות האקטיביות </w:t>
      </w:r>
      <w:r w:rsidR="0027505C">
        <w:rPr>
          <w:rFonts w:hint="cs"/>
          <w:b/>
          <w:bCs/>
          <w:rtl/>
        </w:rPr>
        <w:t>האסורות</w:t>
      </w:r>
      <w:r>
        <w:rPr>
          <w:rFonts w:hint="cs"/>
          <w:b/>
          <w:bCs/>
          <w:rtl/>
        </w:rPr>
        <w:t>, עולה כי הן</w:t>
      </w:r>
      <w:r w:rsidR="009E29D9">
        <w:rPr>
          <w:rFonts w:hint="cs"/>
          <w:b/>
          <w:bCs/>
          <w:rtl/>
        </w:rPr>
        <w:t xml:space="preserve"> מגלמות צורך מבצעי</w:t>
      </w:r>
      <w:r>
        <w:rPr>
          <w:rFonts w:hint="cs"/>
          <w:b/>
          <w:bCs/>
          <w:rtl/>
        </w:rPr>
        <w:t xml:space="preserve"> קריטי לתפעול של כלים טכנולוגיים ולקבלת תמונת מודיעין על הפעילות הסיגינטית של עבריינים, ולפיכך נודעת חשיבות מיוחדת להסדרתן באופן מקיף ומיידי. </w:t>
      </w:r>
    </w:p>
    <w:p w:rsidR="009A1216" w:rsidRDefault="009A1216" w:rsidP="00B25F60">
      <w:pPr>
        <w:pStyle w:val="a5"/>
        <w:spacing w:line="269" w:lineRule="auto"/>
        <w:ind w:left="140"/>
        <w:rPr>
          <w:rtl/>
        </w:rPr>
      </w:pPr>
    </w:p>
    <w:p w:rsidR="009A1216" w:rsidRDefault="009A1216" w:rsidP="00B25F60">
      <w:pPr>
        <w:spacing w:line="269" w:lineRule="auto"/>
        <w:ind w:left="707"/>
        <w:rPr>
          <w:rtl/>
        </w:rPr>
      </w:pPr>
      <w:r w:rsidRPr="005571ED">
        <w:rPr>
          <w:rFonts w:hint="eastAsia"/>
          <w:rtl/>
        </w:rPr>
        <w:t>משרד</w:t>
      </w:r>
      <w:r w:rsidRPr="005571ED">
        <w:rPr>
          <w:rtl/>
        </w:rPr>
        <w:t xml:space="preserve"> </w:t>
      </w:r>
      <w:r w:rsidRPr="005571ED">
        <w:rPr>
          <w:rFonts w:hint="eastAsia"/>
          <w:rtl/>
        </w:rPr>
        <w:t>המשפטים</w:t>
      </w:r>
      <w:r w:rsidRPr="005571ED">
        <w:rPr>
          <w:rtl/>
        </w:rPr>
        <w:t xml:space="preserve"> </w:t>
      </w:r>
      <w:r w:rsidRPr="005571ED">
        <w:rPr>
          <w:rFonts w:hint="eastAsia"/>
          <w:rtl/>
        </w:rPr>
        <w:t>מסר</w:t>
      </w:r>
      <w:r w:rsidRPr="005571ED">
        <w:rPr>
          <w:rtl/>
        </w:rPr>
        <w:t xml:space="preserve"> </w:t>
      </w:r>
      <w:r w:rsidRPr="005571ED">
        <w:rPr>
          <w:rFonts w:hint="eastAsia"/>
          <w:rtl/>
        </w:rPr>
        <w:t>בתגובתו</w:t>
      </w:r>
      <w:r w:rsidRPr="005571ED">
        <w:rPr>
          <w:rtl/>
        </w:rPr>
        <w:t xml:space="preserve"> כי </w:t>
      </w:r>
      <w:r w:rsidRPr="005571ED">
        <w:rPr>
          <w:rFonts w:hint="eastAsia"/>
          <w:rtl/>
        </w:rPr>
        <w:t>עיגון</w:t>
      </w:r>
      <w:r w:rsidRPr="005571ED">
        <w:rPr>
          <w:rtl/>
        </w:rPr>
        <w:t xml:space="preserve"> כל אחת מהפעולות האקטיביות המסווגות, ייבחן לאחר בחינה משפטית המאזנת, בין היתר, בין צרכי המשטרה לבין </w:t>
      </w:r>
      <w:r w:rsidRPr="005571ED">
        <w:rPr>
          <w:rFonts w:hint="eastAsia"/>
          <w:rtl/>
        </w:rPr>
        <w:t>מידת</w:t>
      </w:r>
      <w:r w:rsidRPr="005571ED">
        <w:rPr>
          <w:rtl/>
        </w:rPr>
        <w:t xml:space="preserve"> הפגיעה בפרטיותו של אדם. </w:t>
      </w:r>
    </w:p>
    <w:p w:rsidR="009A1216" w:rsidRDefault="009A1216" w:rsidP="00B25F60">
      <w:pPr>
        <w:pStyle w:val="a5"/>
        <w:spacing w:line="269" w:lineRule="auto"/>
        <w:ind w:left="140"/>
        <w:rPr>
          <w:rtl/>
        </w:rPr>
      </w:pPr>
    </w:p>
    <w:p w:rsidR="009A1216" w:rsidRPr="005571ED" w:rsidRDefault="009A1216" w:rsidP="00B25F60">
      <w:pPr>
        <w:spacing w:line="269" w:lineRule="auto"/>
        <w:ind w:left="707"/>
        <w:rPr>
          <w:rtl/>
        </w:rPr>
      </w:pPr>
      <w:r>
        <w:rPr>
          <w:rFonts w:hint="cs"/>
          <w:rtl/>
        </w:rPr>
        <w:t xml:space="preserve">המשטרה מסרה בתגובתה כי </w:t>
      </w:r>
      <w:r w:rsidRPr="0086530E">
        <w:rPr>
          <w:rtl/>
        </w:rPr>
        <w:t xml:space="preserve">בכל המקרים שצוינו </w:t>
      </w:r>
      <w:r>
        <w:rPr>
          <w:rFonts w:hint="cs"/>
          <w:rtl/>
        </w:rPr>
        <w:t>היא</w:t>
      </w:r>
      <w:r w:rsidRPr="0086530E">
        <w:rPr>
          <w:rtl/>
        </w:rPr>
        <w:t xml:space="preserve"> פעלה במסגרת סמכויותיה על פי דין ומכל מקום </w:t>
      </w:r>
      <w:r>
        <w:rPr>
          <w:rFonts w:hint="cs"/>
          <w:rtl/>
        </w:rPr>
        <w:t xml:space="preserve">היא </w:t>
      </w:r>
      <w:r w:rsidRPr="0086530E">
        <w:rPr>
          <w:rtl/>
        </w:rPr>
        <w:t xml:space="preserve">תפעל בנושאים אלה על פי הנחיות </w:t>
      </w:r>
      <w:r>
        <w:rPr>
          <w:rFonts w:hint="cs"/>
          <w:rtl/>
        </w:rPr>
        <w:t>היועמ"ש</w:t>
      </w:r>
      <w:r w:rsidRPr="0086530E">
        <w:rPr>
          <w:rtl/>
        </w:rPr>
        <w:t xml:space="preserve"> לממשלה. </w:t>
      </w:r>
      <w:r>
        <w:rPr>
          <w:rFonts w:hint="cs"/>
          <w:rtl/>
        </w:rPr>
        <w:t xml:space="preserve">כמו כן </w:t>
      </w:r>
      <w:r>
        <w:rPr>
          <w:rtl/>
        </w:rPr>
        <w:t>המשטרה</w:t>
      </w:r>
      <w:r w:rsidRPr="0086530E">
        <w:rPr>
          <w:rtl/>
        </w:rPr>
        <w:t xml:space="preserve"> תברך על כל חקיקה אשר תרחיב את סל הכלים שיאפשרו לה מאבק בפשיעה.</w:t>
      </w:r>
      <w:r>
        <w:rPr>
          <w:rtl/>
        </w:rPr>
        <w:t xml:space="preserve"> </w:t>
      </w:r>
      <w:r w:rsidRPr="0086530E">
        <w:rPr>
          <w:rtl/>
        </w:rPr>
        <w:t xml:space="preserve">כלל הפעולות המוזכרות בפרק זה רק ממחישות את החסר שקיים בחקיקה </w:t>
      </w:r>
      <w:r>
        <w:rPr>
          <w:rtl/>
        </w:rPr>
        <w:t>בנוגע</w:t>
      </w:r>
      <w:r w:rsidRPr="0086530E">
        <w:rPr>
          <w:rtl/>
        </w:rPr>
        <w:t xml:space="preserve"> לסמכויות ולפעולות שאמורות לתת מענה. עד להסדרת החקיקה אין מנוס מפרשנות תכליתית של חוק</w:t>
      </w:r>
      <w:r>
        <w:rPr>
          <w:rFonts w:hint="cs"/>
          <w:rtl/>
        </w:rPr>
        <w:t xml:space="preserve"> האזנת סתר</w:t>
      </w:r>
      <w:r w:rsidRPr="0086530E">
        <w:rPr>
          <w:rtl/>
        </w:rPr>
        <w:t xml:space="preserve"> שתאפשר להגשים את מטרתו.</w:t>
      </w:r>
      <w:r>
        <w:rPr>
          <w:rtl/>
        </w:rPr>
        <w:t xml:space="preserve"> </w:t>
      </w:r>
    </w:p>
    <w:p w:rsidR="0065692F" w:rsidRDefault="0065692F" w:rsidP="00B25F60">
      <w:pPr>
        <w:spacing w:line="269" w:lineRule="auto"/>
        <w:ind w:left="707"/>
        <w:rPr>
          <w:b/>
          <w:bCs/>
          <w:rtl/>
        </w:rPr>
      </w:pPr>
    </w:p>
    <w:p w:rsidR="009A1216" w:rsidRDefault="009A1216" w:rsidP="00B25F60">
      <w:pPr>
        <w:spacing w:line="269" w:lineRule="auto"/>
        <w:ind w:left="707"/>
        <w:rPr>
          <w:b/>
          <w:bCs/>
          <w:rtl/>
        </w:rPr>
      </w:pPr>
      <w:r>
        <w:rPr>
          <w:rFonts w:hint="cs"/>
          <w:b/>
          <w:bCs/>
          <w:rtl/>
        </w:rPr>
        <w:t xml:space="preserve">לנוכח ממצאי הביקורת ולפיהם המשטרה ביצעה פעולות אקטיביות </w:t>
      </w:r>
      <w:r w:rsidR="0027505C">
        <w:rPr>
          <w:rFonts w:hint="cs"/>
          <w:b/>
          <w:bCs/>
          <w:rtl/>
        </w:rPr>
        <w:t>אסורות</w:t>
      </w:r>
      <w:r>
        <w:rPr>
          <w:rFonts w:hint="cs"/>
          <w:b/>
          <w:bCs/>
          <w:rtl/>
        </w:rPr>
        <w:t>, על המשטרה לוודא שכל הפעולות האקטיביות שהיא מבקשת לבצע במהלך האזנת סתר או לצרכים מבצעיים נוספים, המתבצעות בד בבד עם ביצוע האזנת סתר, מעוגנות בדין ומאושרות לשימוש על ידי משרד המשפטים לאחר סקירה של חוות דעת הנדסית-טכנולוגית המפרטת את אופן ביצוע הפעולות</w:t>
      </w:r>
      <w:r w:rsidR="00D95F3D">
        <w:rPr>
          <w:rFonts w:hint="cs"/>
          <w:b/>
          <w:bCs/>
          <w:rtl/>
        </w:rPr>
        <w:t xml:space="preserve"> ובחינת ההיתכנות המשפטית להסדרתן</w:t>
      </w:r>
      <w:r>
        <w:rPr>
          <w:rFonts w:hint="cs"/>
          <w:b/>
          <w:bCs/>
          <w:rtl/>
        </w:rPr>
        <w:t xml:space="preserve">. עד לקבלת אישור משפטי, על המשטרה לוודא כי לא ננקטות הפעולות האקטיביות האמורות, באופן ידני או באמצעות כלים טכנולוגיים, וכי לא נוצר מידע יש מאין שאינו תוצר של "שיחה" כהגדרתה בדין. </w:t>
      </w:r>
    </w:p>
    <w:p w:rsidR="0065692F" w:rsidRPr="00C65B0A" w:rsidRDefault="0065692F" w:rsidP="00B25F60">
      <w:pPr>
        <w:spacing w:line="269" w:lineRule="auto"/>
        <w:ind w:left="707"/>
        <w:rPr>
          <w:rtl/>
        </w:rPr>
      </w:pPr>
    </w:p>
    <w:p w:rsidR="009A1216" w:rsidRPr="00C65B0A" w:rsidRDefault="009A1216" w:rsidP="00B25F60">
      <w:pPr>
        <w:spacing w:line="269" w:lineRule="auto"/>
        <w:ind w:left="707"/>
        <w:rPr>
          <w:b/>
          <w:bCs/>
          <w:rtl/>
        </w:rPr>
      </w:pPr>
      <w:r w:rsidRPr="00C65B0A">
        <w:rPr>
          <w:rFonts w:hint="cs"/>
          <w:b/>
          <w:bCs/>
          <w:rtl/>
        </w:rPr>
        <w:t xml:space="preserve">מומלץ שהמשטרה תוודא כי לאחר ההסדרה המשפטית או החקיקתית של כל פעולה אקטיבית ויצירת מידע יש מאין באמצעות כלים טכנולוגיים - כלל הפעולות יעוגנו בנוהלי אח"ם ובמדריך למשתמש של כל כלי. </w:t>
      </w:r>
    </w:p>
    <w:p w:rsidR="009A1216" w:rsidRPr="00C65B0A" w:rsidRDefault="009A1216" w:rsidP="00604C3D">
      <w:pPr>
        <w:spacing w:line="269" w:lineRule="auto"/>
        <w:rPr>
          <w:rtl/>
        </w:rPr>
      </w:pPr>
    </w:p>
    <w:p w:rsidR="009A1216" w:rsidRDefault="009A1216" w:rsidP="00850505">
      <w:pPr>
        <w:pStyle w:val="4"/>
        <w:numPr>
          <w:ilvl w:val="0"/>
          <w:numId w:val="27"/>
        </w:numPr>
        <w:spacing w:before="0" w:line="269" w:lineRule="auto"/>
      </w:pPr>
      <w:bookmarkStart w:id="539" w:name="_Toc219110331"/>
      <w:bookmarkStart w:id="540" w:name="_Toc219113772"/>
      <w:bookmarkStart w:id="541" w:name="_Toc219286547"/>
      <w:r>
        <w:rPr>
          <w:rFonts w:hint="cs"/>
          <w:rtl/>
        </w:rPr>
        <w:t>תיעוד דרך איסוף תוצרי האזנת סתר</w:t>
      </w:r>
      <w:bookmarkEnd w:id="539"/>
      <w:bookmarkEnd w:id="540"/>
      <w:bookmarkEnd w:id="541"/>
    </w:p>
    <w:p w:rsidR="009A1216" w:rsidRDefault="009A1216" w:rsidP="00604C3D">
      <w:pPr>
        <w:pStyle w:val="a5"/>
        <w:spacing w:line="269" w:lineRule="auto"/>
        <w:rPr>
          <w:rtl/>
        </w:rPr>
      </w:pPr>
    </w:p>
    <w:p w:rsidR="009A1216" w:rsidRPr="00C65B0A" w:rsidRDefault="009A1216" w:rsidP="00B25F60">
      <w:pPr>
        <w:spacing w:line="269" w:lineRule="auto"/>
        <w:ind w:left="360"/>
        <w:rPr>
          <w:rtl/>
        </w:rPr>
      </w:pPr>
      <w:r w:rsidRPr="00C65B0A">
        <w:rPr>
          <w:rFonts w:hint="cs"/>
          <w:rtl/>
        </w:rPr>
        <w:t xml:space="preserve">בבדיקת כלי טכנולוגי מסוים, מצא צוות הביקורת כי בנוגע לחלק מסוגי התוצרים שנאספו דרך הכלי, ניתן היה לאתר רישום של דרך האיסוף של התוצר שהתקבל. כלומר, בממשק המשתמש של הכלי ניתן היה לראות לגבי תוצר האזנה מסוים רישום המסביר כיצד התוצר הספציפי נאסף. </w:t>
      </w:r>
    </w:p>
    <w:p w:rsidR="009A1216" w:rsidRDefault="009A1216" w:rsidP="00B25F60">
      <w:pPr>
        <w:pStyle w:val="a5"/>
        <w:spacing w:line="269" w:lineRule="auto"/>
        <w:ind w:left="0"/>
        <w:rPr>
          <w:rtl/>
        </w:rPr>
      </w:pPr>
    </w:p>
    <w:p w:rsidR="009A1216" w:rsidRPr="00C65B0A" w:rsidRDefault="009A1216" w:rsidP="00B25F60">
      <w:pPr>
        <w:spacing w:line="269" w:lineRule="auto"/>
        <w:ind w:left="360"/>
        <w:rPr>
          <w:b/>
          <w:bCs/>
          <w:rtl/>
        </w:rPr>
      </w:pPr>
      <w:r w:rsidRPr="00C65B0A">
        <w:rPr>
          <w:rFonts w:hint="eastAsia"/>
          <w:b/>
          <w:bCs/>
          <w:rtl/>
        </w:rPr>
        <w:t>נמצא כי</w:t>
      </w:r>
      <w:r w:rsidRPr="00C65B0A">
        <w:rPr>
          <w:b/>
          <w:bCs/>
          <w:rtl/>
        </w:rPr>
        <w:t xml:space="preserve"> </w:t>
      </w:r>
      <w:r w:rsidRPr="00C65B0A">
        <w:rPr>
          <w:rFonts w:hint="eastAsia"/>
          <w:b/>
          <w:bCs/>
          <w:rtl/>
        </w:rPr>
        <w:t>בחלק</w:t>
      </w:r>
      <w:r w:rsidRPr="00C65B0A">
        <w:rPr>
          <w:b/>
          <w:bCs/>
          <w:rtl/>
        </w:rPr>
        <w:t xml:space="preserve"> </w:t>
      </w:r>
      <w:r w:rsidRPr="00C65B0A">
        <w:rPr>
          <w:rFonts w:hint="eastAsia"/>
          <w:b/>
          <w:bCs/>
          <w:rtl/>
        </w:rPr>
        <w:t>מ</w:t>
      </w:r>
      <w:r w:rsidRPr="00C65B0A">
        <w:rPr>
          <w:rFonts w:hint="cs"/>
          <w:b/>
          <w:bCs/>
          <w:rtl/>
        </w:rPr>
        <w:t xml:space="preserve">סוגי </w:t>
      </w:r>
      <w:r w:rsidRPr="00C65B0A">
        <w:rPr>
          <w:rFonts w:hint="eastAsia"/>
          <w:b/>
          <w:bCs/>
          <w:rtl/>
        </w:rPr>
        <w:t>תוצרי</w:t>
      </w:r>
      <w:r w:rsidRPr="00C65B0A">
        <w:rPr>
          <w:b/>
          <w:bCs/>
          <w:rtl/>
        </w:rPr>
        <w:t xml:space="preserve"> </w:t>
      </w:r>
      <w:r w:rsidRPr="00C65B0A">
        <w:rPr>
          <w:rFonts w:hint="eastAsia"/>
          <w:b/>
          <w:bCs/>
          <w:rtl/>
        </w:rPr>
        <w:t>האזנת</w:t>
      </w:r>
      <w:r w:rsidRPr="00C65B0A">
        <w:rPr>
          <w:b/>
          <w:bCs/>
          <w:rtl/>
        </w:rPr>
        <w:t xml:space="preserve"> </w:t>
      </w:r>
      <w:r w:rsidRPr="00C65B0A">
        <w:rPr>
          <w:rFonts w:hint="eastAsia"/>
          <w:b/>
          <w:bCs/>
          <w:rtl/>
        </w:rPr>
        <w:t>הסתר</w:t>
      </w:r>
      <w:r w:rsidRPr="00C65B0A">
        <w:rPr>
          <w:b/>
          <w:bCs/>
          <w:rtl/>
        </w:rPr>
        <w:t xml:space="preserve"> </w:t>
      </w:r>
      <w:r w:rsidRPr="00C65B0A">
        <w:rPr>
          <w:rFonts w:hint="eastAsia"/>
          <w:b/>
          <w:bCs/>
          <w:rtl/>
        </w:rPr>
        <w:t>ניתן</w:t>
      </w:r>
      <w:r w:rsidRPr="00C65B0A">
        <w:rPr>
          <w:b/>
          <w:bCs/>
          <w:rtl/>
        </w:rPr>
        <w:t xml:space="preserve"> </w:t>
      </w:r>
      <w:r w:rsidRPr="00C65B0A">
        <w:rPr>
          <w:rFonts w:hint="eastAsia"/>
          <w:b/>
          <w:bCs/>
          <w:rtl/>
        </w:rPr>
        <w:t>היה</w:t>
      </w:r>
      <w:r w:rsidRPr="00C65B0A">
        <w:rPr>
          <w:b/>
          <w:bCs/>
          <w:rtl/>
        </w:rPr>
        <w:t xml:space="preserve"> </w:t>
      </w:r>
      <w:r w:rsidRPr="00C65B0A">
        <w:rPr>
          <w:rFonts w:hint="eastAsia"/>
          <w:b/>
          <w:bCs/>
          <w:rtl/>
        </w:rPr>
        <w:t>לאתר</w:t>
      </w:r>
      <w:r w:rsidRPr="00C65B0A">
        <w:rPr>
          <w:b/>
          <w:bCs/>
          <w:rtl/>
        </w:rPr>
        <w:t xml:space="preserve"> </w:t>
      </w:r>
      <w:r w:rsidRPr="00C65B0A">
        <w:rPr>
          <w:rFonts w:hint="eastAsia"/>
          <w:b/>
          <w:bCs/>
          <w:rtl/>
        </w:rPr>
        <w:t>בכלי</w:t>
      </w:r>
      <w:r w:rsidRPr="00C65B0A">
        <w:rPr>
          <w:b/>
          <w:bCs/>
          <w:rtl/>
        </w:rPr>
        <w:t xml:space="preserve"> </w:t>
      </w:r>
      <w:r w:rsidRPr="00C65B0A">
        <w:rPr>
          <w:rFonts w:hint="eastAsia"/>
          <w:b/>
          <w:bCs/>
          <w:rtl/>
        </w:rPr>
        <w:t>טכנולוגי</w:t>
      </w:r>
      <w:r w:rsidRPr="00C65B0A">
        <w:rPr>
          <w:b/>
          <w:bCs/>
          <w:rtl/>
        </w:rPr>
        <w:t xml:space="preserve"> </w:t>
      </w:r>
      <w:r w:rsidRPr="00C65B0A">
        <w:rPr>
          <w:rFonts w:hint="eastAsia"/>
          <w:b/>
          <w:bCs/>
          <w:rtl/>
        </w:rPr>
        <w:t>מסוים</w:t>
      </w:r>
      <w:r w:rsidRPr="00C65B0A">
        <w:rPr>
          <w:b/>
          <w:bCs/>
          <w:rtl/>
        </w:rPr>
        <w:t xml:space="preserve"> </w:t>
      </w:r>
      <w:r w:rsidRPr="00C65B0A">
        <w:rPr>
          <w:rFonts w:hint="eastAsia"/>
          <w:b/>
          <w:bCs/>
          <w:rtl/>
        </w:rPr>
        <w:t>את</w:t>
      </w:r>
      <w:r w:rsidRPr="00C65B0A">
        <w:rPr>
          <w:b/>
          <w:bCs/>
          <w:rtl/>
        </w:rPr>
        <w:t xml:space="preserve"> </w:t>
      </w:r>
      <w:r w:rsidRPr="00C65B0A">
        <w:rPr>
          <w:rFonts w:hint="eastAsia"/>
          <w:b/>
          <w:bCs/>
          <w:rtl/>
        </w:rPr>
        <w:t>דרך</w:t>
      </w:r>
      <w:r w:rsidRPr="00C65B0A">
        <w:rPr>
          <w:b/>
          <w:bCs/>
          <w:rtl/>
        </w:rPr>
        <w:t xml:space="preserve"> </w:t>
      </w:r>
      <w:r w:rsidRPr="00C65B0A">
        <w:rPr>
          <w:rFonts w:hint="eastAsia"/>
          <w:b/>
          <w:bCs/>
          <w:rtl/>
        </w:rPr>
        <w:t>האיסוף</w:t>
      </w:r>
      <w:r w:rsidRPr="00C65B0A">
        <w:rPr>
          <w:b/>
          <w:bCs/>
          <w:rtl/>
        </w:rPr>
        <w:t xml:space="preserve"> </w:t>
      </w:r>
      <w:r w:rsidRPr="00C65B0A">
        <w:rPr>
          <w:rFonts w:hint="eastAsia"/>
          <w:b/>
          <w:bCs/>
          <w:rtl/>
        </w:rPr>
        <w:t>של</w:t>
      </w:r>
      <w:r w:rsidRPr="00C65B0A">
        <w:rPr>
          <w:b/>
          <w:bCs/>
          <w:rtl/>
        </w:rPr>
        <w:t xml:space="preserve"> </w:t>
      </w:r>
      <w:r w:rsidRPr="00C65B0A">
        <w:rPr>
          <w:rFonts w:hint="eastAsia"/>
          <w:b/>
          <w:bCs/>
          <w:rtl/>
        </w:rPr>
        <w:t>התוצר</w:t>
      </w:r>
      <w:r w:rsidRPr="00C65B0A">
        <w:rPr>
          <w:b/>
          <w:bCs/>
          <w:rtl/>
        </w:rPr>
        <w:t xml:space="preserve"> </w:t>
      </w:r>
      <w:r w:rsidRPr="00C65B0A">
        <w:rPr>
          <w:rFonts w:hint="eastAsia"/>
          <w:b/>
          <w:bCs/>
          <w:rtl/>
        </w:rPr>
        <w:t>הספציפי</w:t>
      </w:r>
      <w:r w:rsidRPr="00C65B0A">
        <w:rPr>
          <w:b/>
          <w:bCs/>
          <w:rtl/>
        </w:rPr>
        <w:t>.</w:t>
      </w:r>
    </w:p>
    <w:p w:rsidR="0065692F" w:rsidRDefault="0065692F" w:rsidP="00B25F60">
      <w:pPr>
        <w:spacing w:line="269" w:lineRule="auto"/>
        <w:ind w:left="360"/>
        <w:rPr>
          <w:b/>
          <w:bCs/>
          <w:rtl/>
        </w:rPr>
      </w:pPr>
    </w:p>
    <w:p w:rsidR="009A1216" w:rsidRDefault="009A1216" w:rsidP="00B25F60">
      <w:pPr>
        <w:spacing w:line="269" w:lineRule="auto"/>
        <w:ind w:left="360"/>
        <w:rPr>
          <w:b/>
          <w:bCs/>
          <w:rtl/>
        </w:rPr>
      </w:pPr>
      <w:r>
        <w:rPr>
          <w:rFonts w:hint="cs"/>
          <w:b/>
          <w:bCs/>
          <w:rtl/>
        </w:rPr>
        <w:t xml:space="preserve">לנוכח קיומן של דרכים חלופיות לאיסוף מידע מאמצעי מואזן, </w:t>
      </w:r>
      <w:r w:rsidR="0034361D">
        <w:rPr>
          <w:rFonts w:hint="cs"/>
          <w:b/>
          <w:bCs/>
          <w:rtl/>
        </w:rPr>
        <w:t>מותרות ואסורות</w:t>
      </w:r>
      <w:r>
        <w:rPr>
          <w:rFonts w:hint="cs"/>
          <w:b/>
          <w:bCs/>
          <w:rtl/>
        </w:rPr>
        <w:t>, עקרונות מינהל תקין מחייבים כי תתועד דרך האיסוף של המידע.</w:t>
      </w:r>
      <w:r w:rsidRPr="00E07628">
        <w:rPr>
          <w:b/>
          <w:bCs/>
          <w:rtl/>
        </w:rPr>
        <w:t xml:space="preserve"> </w:t>
      </w:r>
      <w:r w:rsidRPr="00E07628">
        <w:rPr>
          <w:rFonts w:hint="eastAsia"/>
          <w:b/>
          <w:bCs/>
          <w:rtl/>
        </w:rPr>
        <w:t>על</w:t>
      </w:r>
      <w:r w:rsidRPr="00E07628">
        <w:rPr>
          <w:b/>
          <w:bCs/>
          <w:rtl/>
        </w:rPr>
        <w:t xml:space="preserve"> </w:t>
      </w:r>
      <w:r w:rsidRPr="00E07628">
        <w:rPr>
          <w:rFonts w:hint="eastAsia"/>
          <w:b/>
          <w:bCs/>
          <w:rtl/>
        </w:rPr>
        <w:t>המשטרה</w:t>
      </w:r>
      <w:r w:rsidRPr="00E07628">
        <w:rPr>
          <w:b/>
          <w:bCs/>
          <w:rtl/>
        </w:rPr>
        <w:t xml:space="preserve"> לוודא כי </w:t>
      </w:r>
      <w:r>
        <w:rPr>
          <w:rFonts w:hint="cs"/>
          <w:b/>
          <w:bCs/>
          <w:rtl/>
        </w:rPr>
        <w:t xml:space="preserve">בוצע בכלים הטכנולוגיים </w:t>
      </w:r>
      <w:r w:rsidRPr="00E07628">
        <w:rPr>
          <w:rFonts w:hint="eastAsia"/>
          <w:b/>
          <w:bCs/>
          <w:rtl/>
        </w:rPr>
        <w:t>רישום</w:t>
      </w:r>
      <w:r w:rsidRPr="00E07628">
        <w:rPr>
          <w:b/>
          <w:bCs/>
          <w:rtl/>
        </w:rPr>
        <w:t xml:space="preserve"> </w:t>
      </w:r>
      <w:r w:rsidRPr="00E07628">
        <w:rPr>
          <w:rFonts w:hint="eastAsia"/>
          <w:b/>
          <w:bCs/>
          <w:rtl/>
        </w:rPr>
        <w:t>ברור</w:t>
      </w:r>
      <w:r>
        <w:rPr>
          <w:rFonts w:hint="cs"/>
          <w:b/>
          <w:bCs/>
          <w:rtl/>
        </w:rPr>
        <w:t xml:space="preserve"> של דרך האיסוף של כל אחד מפריטי המידע, וכי מידע זה יהיה גלוי לנציגי המשטרה</w:t>
      </w:r>
      <w:r w:rsidRPr="00E07628">
        <w:rPr>
          <w:b/>
          <w:bCs/>
          <w:rtl/>
        </w:rPr>
        <w:t xml:space="preserve"> </w:t>
      </w:r>
      <w:r>
        <w:rPr>
          <w:rFonts w:hint="cs"/>
          <w:b/>
          <w:bCs/>
          <w:rtl/>
        </w:rPr>
        <w:t>ולפרקליטות וזמין ככל שיידרש לניהול ההליך הפלילי.</w:t>
      </w:r>
      <w:r w:rsidRPr="00E07628">
        <w:rPr>
          <w:b/>
          <w:bCs/>
          <w:rtl/>
        </w:rPr>
        <w:t xml:space="preserve"> </w:t>
      </w:r>
    </w:p>
    <w:p w:rsidR="009A1216" w:rsidRPr="00C65B0A" w:rsidRDefault="009A1216" w:rsidP="00604C3D">
      <w:pPr>
        <w:spacing w:line="269" w:lineRule="auto"/>
        <w:rPr>
          <w:rtl/>
        </w:rPr>
      </w:pPr>
      <w:r w:rsidRPr="00C65B0A" w:rsidDel="007A43B7">
        <w:rPr>
          <w:rtl/>
        </w:rPr>
        <w:t xml:space="preserve"> </w:t>
      </w:r>
    </w:p>
    <w:p w:rsidR="009A1216" w:rsidRDefault="009A1216" w:rsidP="00604C3D">
      <w:pPr>
        <w:spacing w:line="269" w:lineRule="auto"/>
        <w:jc w:val="center"/>
        <w:rPr>
          <w:rFonts w:ascii="Arial" w:hAnsi="Arial" w:cs="Arial"/>
          <w:b/>
          <w:bCs/>
          <w:sz w:val="36"/>
          <w:rtl/>
        </w:rPr>
      </w:pPr>
      <w:r w:rsidRPr="003228DB">
        <w:rPr>
          <w:rFonts w:ascii="Segoe UI Symbol" w:hAnsi="Segoe UI Symbol" w:cs="Segoe UI Symbol" w:hint="cs"/>
          <w:b/>
          <w:bCs/>
          <w:sz w:val="36"/>
          <w:rtl/>
        </w:rPr>
        <w:t>✰</w:t>
      </w:r>
    </w:p>
    <w:p w:rsidR="0065692F" w:rsidRDefault="0065692F" w:rsidP="00604C3D">
      <w:pPr>
        <w:spacing w:line="269" w:lineRule="auto"/>
        <w:rPr>
          <w:b/>
          <w:bCs/>
          <w:rtl/>
        </w:rPr>
      </w:pPr>
    </w:p>
    <w:p w:rsidR="009A1216" w:rsidRDefault="009A1216" w:rsidP="00604C3D">
      <w:pPr>
        <w:spacing w:line="269" w:lineRule="auto"/>
        <w:rPr>
          <w:b/>
          <w:bCs/>
          <w:rtl/>
        </w:rPr>
      </w:pPr>
      <w:r>
        <w:rPr>
          <w:rFonts w:hint="cs"/>
          <w:b/>
          <w:bCs/>
          <w:rtl/>
        </w:rPr>
        <w:t xml:space="preserve">החל משנת 2012 ועד לפרסום פרשת "פגסוס" בינואר 2022 המשטרה ביצעה פעולות </w:t>
      </w:r>
      <w:r w:rsidR="00062A25">
        <w:rPr>
          <w:rFonts w:hint="cs"/>
          <w:b/>
          <w:bCs/>
          <w:rtl/>
        </w:rPr>
        <w:t>התקנה</w:t>
      </w:r>
      <w:r>
        <w:rPr>
          <w:rFonts w:hint="cs"/>
          <w:b/>
          <w:bCs/>
          <w:rtl/>
        </w:rPr>
        <w:t xml:space="preserve"> של אמצעים מואזנים, </w:t>
      </w:r>
      <w:r w:rsidRPr="00A160CB">
        <w:rPr>
          <w:rFonts w:hint="cs"/>
          <w:b/>
          <w:bCs/>
          <w:rtl/>
        </w:rPr>
        <w:t xml:space="preserve">באמצעות </w:t>
      </w:r>
      <w:r w:rsidRPr="004F36D2">
        <w:rPr>
          <w:rFonts w:hint="eastAsia"/>
          <w:b/>
          <w:bCs/>
          <w:rtl/>
        </w:rPr>
        <w:t>כלים</w:t>
      </w:r>
      <w:r w:rsidRPr="004F36D2">
        <w:rPr>
          <w:b/>
          <w:bCs/>
          <w:rtl/>
        </w:rPr>
        <w:t xml:space="preserve"> </w:t>
      </w:r>
      <w:r w:rsidRPr="004F36D2">
        <w:rPr>
          <w:rFonts w:hint="eastAsia"/>
          <w:b/>
          <w:bCs/>
          <w:rtl/>
        </w:rPr>
        <w:t>טכנולוגיים</w:t>
      </w:r>
      <w:r w:rsidRPr="004F36D2">
        <w:rPr>
          <w:b/>
          <w:bCs/>
          <w:rtl/>
        </w:rPr>
        <w:t xml:space="preserve"> </w:t>
      </w:r>
      <w:r w:rsidRPr="004F36D2">
        <w:rPr>
          <w:rFonts w:hint="eastAsia"/>
          <w:b/>
          <w:bCs/>
          <w:rtl/>
        </w:rPr>
        <w:t>או</w:t>
      </w:r>
      <w:r w:rsidRPr="004F36D2">
        <w:rPr>
          <w:b/>
          <w:bCs/>
          <w:rtl/>
        </w:rPr>
        <w:t xml:space="preserve"> </w:t>
      </w:r>
      <w:r w:rsidRPr="004F36D2">
        <w:rPr>
          <w:rFonts w:hint="eastAsia"/>
          <w:b/>
          <w:bCs/>
          <w:rtl/>
        </w:rPr>
        <w:t>באופן</w:t>
      </w:r>
      <w:r w:rsidRPr="004F36D2">
        <w:rPr>
          <w:b/>
          <w:bCs/>
          <w:rtl/>
        </w:rPr>
        <w:t xml:space="preserve"> </w:t>
      </w:r>
      <w:r w:rsidRPr="004F36D2">
        <w:rPr>
          <w:rFonts w:hint="eastAsia"/>
          <w:b/>
          <w:bCs/>
          <w:rtl/>
        </w:rPr>
        <w:t>ידני</w:t>
      </w:r>
      <w:r>
        <w:rPr>
          <w:rFonts w:hint="cs"/>
          <w:b/>
          <w:bCs/>
          <w:rtl/>
        </w:rPr>
        <w:t xml:space="preserve">, ואיסוף תוצרי האזנה ממכשירים אלו. </w:t>
      </w:r>
      <w:r w:rsidR="0034361D">
        <w:rPr>
          <w:rFonts w:hint="cs"/>
          <w:b/>
          <w:bCs/>
          <w:rtl/>
        </w:rPr>
        <w:t xml:space="preserve">בחלק מהמקרים </w:t>
      </w:r>
      <w:r>
        <w:rPr>
          <w:rFonts w:hint="cs"/>
          <w:b/>
          <w:bCs/>
          <w:rtl/>
        </w:rPr>
        <w:t xml:space="preserve">המשטרה ביצעה פעולות </w:t>
      </w:r>
      <w:r w:rsidR="00062A25">
        <w:rPr>
          <w:rFonts w:hint="cs"/>
          <w:b/>
          <w:bCs/>
          <w:rtl/>
        </w:rPr>
        <w:t>התקנה</w:t>
      </w:r>
      <w:r>
        <w:rPr>
          <w:rFonts w:hint="cs"/>
          <w:b/>
          <w:bCs/>
          <w:rtl/>
        </w:rPr>
        <w:t xml:space="preserve"> ופעולות איסוף (פסיבי ואקטיבי) </w:t>
      </w:r>
      <w:r w:rsidR="0027505C">
        <w:rPr>
          <w:rFonts w:hint="cs"/>
          <w:b/>
          <w:bCs/>
          <w:rtl/>
        </w:rPr>
        <w:t>אסורות</w:t>
      </w:r>
      <w:r>
        <w:rPr>
          <w:rFonts w:hint="cs"/>
          <w:b/>
          <w:bCs/>
          <w:rtl/>
        </w:rPr>
        <w:t xml:space="preserve"> ו</w:t>
      </w:r>
      <w:r w:rsidR="0034361D">
        <w:rPr>
          <w:rFonts w:hint="cs"/>
          <w:b/>
          <w:bCs/>
          <w:rtl/>
        </w:rPr>
        <w:t xml:space="preserve">באופן </w:t>
      </w:r>
      <w:r>
        <w:rPr>
          <w:rFonts w:hint="cs"/>
          <w:b/>
          <w:bCs/>
          <w:rtl/>
        </w:rPr>
        <w:t>בלתי סדור, ותהליכים אלו תועדו באופן חלקי בלבד.</w:t>
      </w:r>
      <w:r w:rsidR="00382AE8">
        <w:rPr>
          <w:rFonts w:hint="cs"/>
          <w:b/>
          <w:bCs/>
          <w:rtl/>
        </w:rPr>
        <w:t xml:space="preserve"> </w:t>
      </w:r>
    </w:p>
    <w:p w:rsidR="0065692F" w:rsidRDefault="0065692F" w:rsidP="00604C3D">
      <w:pPr>
        <w:spacing w:line="269" w:lineRule="auto"/>
        <w:rPr>
          <w:b/>
          <w:bCs/>
          <w:rtl/>
        </w:rPr>
      </w:pPr>
    </w:p>
    <w:p w:rsidR="009A1216" w:rsidRDefault="0034361D" w:rsidP="00604C3D">
      <w:pPr>
        <w:spacing w:line="269" w:lineRule="auto"/>
        <w:rPr>
          <w:b/>
          <w:bCs/>
          <w:rtl/>
        </w:rPr>
      </w:pPr>
      <w:r>
        <w:rPr>
          <w:rFonts w:hint="cs"/>
          <w:b/>
          <w:bCs/>
          <w:rtl/>
        </w:rPr>
        <w:t>האיסור החל על</w:t>
      </w:r>
      <w:r w:rsidR="009A1216">
        <w:rPr>
          <w:rFonts w:hint="cs"/>
          <w:b/>
          <w:bCs/>
          <w:rtl/>
        </w:rPr>
        <w:t xml:space="preserve"> חלק מפעולות ה</w:t>
      </w:r>
      <w:r w:rsidR="00062A25">
        <w:rPr>
          <w:rFonts w:hint="cs"/>
          <w:b/>
          <w:bCs/>
          <w:rtl/>
        </w:rPr>
        <w:t>התקנה</w:t>
      </w:r>
      <w:r w:rsidR="009A1216">
        <w:rPr>
          <w:rFonts w:hint="cs"/>
          <w:b/>
          <w:bCs/>
          <w:rtl/>
        </w:rPr>
        <w:t xml:space="preserve"> והאיסוף של מידע האגור במכשיר קצה שביצעה המשטרה, עד להסדרתן המשפטית, נובע מפערים יסודיים וקריטיים בדין הקיים הן בנוגע לפעולות הניתנות לביצוע במסגרת האזנת סתר והן בהיעדר סמכות לביצוע חיפוש סמוי שעדיין לא עוגנה בחקיקה. </w:t>
      </w:r>
    </w:p>
    <w:p w:rsidR="0065692F" w:rsidRPr="00C65B0A" w:rsidRDefault="0065692F" w:rsidP="00604C3D">
      <w:pPr>
        <w:spacing w:line="269" w:lineRule="auto"/>
        <w:rPr>
          <w:rtl/>
        </w:rPr>
      </w:pPr>
    </w:p>
    <w:p w:rsidR="009A1216" w:rsidRPr="00C65B0A" w:rsidRDefault="009A1216" w:rsidP="00604C3D">
      <w:pPr>
        <w:spacing w:line="269" w:lineRule="auto"/>
        <w:rPr>
          <w:b/>
          <w:bCs/>
          <w:rtl/>
        </w:rPr>
      </w:pPr>
      <w:r w:rsidRPr="00C65B0A">
        <w:rPr>
          <w:rFonts w:hint="cs"/>
          <w:b/>
          <w:bCs/>
          <w:rtl/>
        </w:rPr>
        <w:t xml:space="preserve">על אף המצב המשפטי המורכב, בשנים 2014 </w:t>
      </w:r>
      <w:r w:rsidR="003D6F75" w:rsidRPr="00C65B0A">
        <w:rPr>
          <w:rFonts w:hint="cs"/>
          <w:b/>
          <w:bCs/>
          <w:rtl/>
        </w:rPr>
        <w:t>-</w:t>
      </w:r>
      <w:r w:rsidRPr="00C65B0A">
        <w:rPr>
          <w:rFonts w:hint="cs"/>
          <w:b/>
          <w:bCs/>
          <w:rtl/>
        </w:rPr>
        <w:t xml:space="preserve"> 2017 המשטרה הותירה את רוב פעולות ה</w:t>
      </w:r>
      <w:r w:rsidR="00062A25" w:rsidRPr="00C65B0A">
        <w:rPr>
          <w:rFonts w:hint="cs"/>
          <w:b/>
          <w:bCs/>
          <w:rtl/>
        </w:rPr>
        <w:t>התקנה</w:t>
      </w:r>
      <w:r w:rsidRPr="00C65B0A">
        <w:rPr>
          <w:rFonts w:hint="cs"/>
          <w:b/>
          <w:bCs/>
          <w:rtl/>
        </w:rPr>
        <w:t xml:space="preserve"> להאזנת סתר ואיסוף תוצרי האזנת סתר עמומות ולא מפורטות בנהלים מחייבים: (א)</w:t>
      </w:r>
      <w:r w:rsidRPr="00C65B0A">
        <w:rPr>
          <w:rFonts w:hint="cs"/>
          <w:b/>
          <w:bCs/>
        </w:rPr>
        <w:t xml:space="preserve"> </w:t>
      </w:r>
      <w:bookmarkStart w:id="542" w:name="_Hlk155709123"/>
      <w:r w:rsidRPr="00C65B0A">
        <w:rPr>
          <w:rFonts w:hint="cs"/>
          <w:b/>
          <w:bCs/>
          <w:rtl/>
        </w:rPr>
        <w:t xml:space="preserve">מתוך 9 מתווי </w:t>
      </w:r>
      <w:r w:rsidR="00062A25" w:rsidRPr="00C65B0A">
        <w:rPr>
          <w:rFonts w:hint="cs"/>
          <w:b/>
          <w:bCs/>
          <w:rtl/>
        </w:rPr>
        <w:t>התקנה</w:t>
      </w:r>
      <w:r w:rsidRPr="00C65B0A">
        <w:rPr>
          <w:rFonts w:hint="cs"/>
          <w:b/>
          <w:bCs/>
          <w:rtl/>
        </w:rPr>
        <w:t>, שלושה לא הוסדרו בנהלים והנחיות כלל ושלושה אוזכרו בנהלים והנחיות אך ללא פירוט מספק</w:t>
      </w:r>
      <w:bookmarkEnd w:id="542"/>
      <w:r w:rsidRPr="00C65B0A">
        <w:rPr>
          <w:rFonts w:hint="cs"/>
          <w:b/>
          <w:bCs/>
          <w:rtl/>
        </w:rPr>
        <w:t xml:space="preserve">; (ב) מתוך שישה כלים טכנולוגיים רק כלי טכנולוגי אחד אוזכר בהנחיות ובנהלים ופורטו לגביו מלוא הפעולות המותרות והאסורות לביצוע במסגרת </w:t>
      </w:r>
      <w:r w:rsidR="00062A25" w:rsidRPr="00C65B0A">
        <w:rPr>
          <w:rFonts w:hint="cs"/>
          <w:b/>
          <w:bCs/>
          <w:rtl/>
        </w:rPr>
        <w:t>התקנה</w:t>
      </w:r>
      <w:r w:rsidRPr="00C65B0A">
        <w:rPr>
          <w:rFonts w:hint="cs"/>
          <w:b/>
          <w:bCs/>
          <w:rtl/>
        </w:rPr>
        <w:t xml:space="preserve">. יתרה מזו, המשטרה ומשרד המשפטים ביצעו בשנים 2022 - 2024 ובדיעבד את תהליך ההסדרה המשפטית הנדרשת לאיסוף סוגי תוצרי האזנת הסתר ובאופן חלקי. </w:t>
      </w:r>
    </w:p>
    <w:p w:rsidR="0065692F" w:rsidRDefault="0065692F" w:rsidP="00604C3D">
      <w:pPr>
        <w:spacing w:line="269" w:lineRule="auto"/>
        <w:rPr>
          <w:b/>
          <w:bCs/>
          <w:rtl/>
        </w:rPr>
      </w:pPr>
    </w:p>
    <w:p w:rsidR="009A1216" w:rsidRPr="003228DB" w:rsidRDefault="009A1216" w:rsidP="00604C3D">
      <w:pPr>
        <w:spacing w:line="269" w:lineRule="auto"/>
        <w:rPr>
          <w:b/>
          <w:bCs/>
          <w:rtl/>
        </w:rPr>
      </w:pPr>
      <w:r>
        <w:rPr>
          <w:rFonts w:hint="cs"/>
          <w:b/>
          <w:bCs/>
          <w:rtl/>
        </w:rPr>
        <w:t>הסדרה חלקית בלבד של פעולות ה</w:t>
      </w:r>
      <w:r w:rsidR="00062A25">
        <w:rPr>
          <w:rFonts w:hint="cs"/>
          <w:b/>
          <w:bCs/>
          <w:rtl/>
        </w:rPr>
        <w:t>התקנה</w:t>
      </w:r>
      <w:r>
        <w:rPr>
          <w:rFonts w:hint="cs"/>
          <w:b/>
          <w:bCs/>
          <w:rtl/>
        </w:rPr>
        <w:t xml:space="preserve"> והאיסוף בחוות דעת משפטיות ובנהלים</w:t>
      </w:r>
      <w:r w:rsidRPr="003228DB">
        <w:rPr>
          <w:rFonts w:hint="cs"/>
          <w:b/>
          <w:bCs/>
          <w:rtl/>
        </w:rPr>
        <w:t xml:space="preserve"> מערערת את יסודות חזקת מ</w:t>
      </w:r>
      <w:r>
        <w:rPr>
          <w:rFonts w:hint="cs"/>
          <w:b/>
          <w:bCs/>
          <w:rtl/>
        </w:rPr>
        <w:t>י</w:t>
      </w:r>
      <w:r w:rsidRPr="003228DB">
        <w:rPr>
          <w:rFonts w:hint="cs"/>
          <w:b/>
          <w:bCs/>
          <w:rtl/>
        </w:rPr>
        <w:t>נהל תקין שאמור</w:t>
      </w:r>
      <w:r>
        <w:rPr>
          <w:rFonts w:hint="cs"/>
          <w:b/>
          <w:bCs/>
          <w:rtl/>
        </w:rPr>
        <w:t>ים</w:t>
      </w:r>
      <w:r w:rsidRPr="003228DB">
        <w:rPr>
          <w:rFonts w:hint="cs"/>
          <w:b/>
          <w:bCs/>
          <w:rtl/>
        </w:rPr>
        <w:t xml:space="preserve"> לעמוד למשטרה: אם הפעולות שהמשטרה מבצעת בזמן ה</w:t>
      </w:r>
      <w:r w:rsidR="00062A25">
        <w:rPr>
          <w:rFonts w:hint="cs"/>
          <w:b/>
          <w:bCs/>
          <w:rtl/>
        </w:rPr>
        <w:t>התקנה</w:t>
      </w:r>
      <w:r w:rsidRPr="003228DB">
        <w:rPr>
          <w:rFonts w:hint="cs"/>
          <w:b/>
          <w:bCs/>
          <w:rtl/>
        </w:rPr>
        <w:t xml:space="preserve"> לא עוגנו בהוראות מחייבות, </w:t>
      </w:r>
      <w:r>
        <w:rPr>
          <w:rFonts w:hint="cs"/>
          <w:b/>
          <w:bCs/>
          <w:rtl/>
        </w:rPr>
        <w:t>הרי ש</w:t>
      </w:r>
      <w:r w:rsidRPr="003228DB">
        <w:rPr>
          <w:rFonts w:hint="cs"/>
          <w:b/>
          <w:bCs/>
          <w:rtl/>
        </w:rPr>
        <w:t>קיים קושי בסיסי לאמת את קיומה של חזקת תקינות ה</w:t>
      </w:r>
      <w:r w:rsidR="00062A25">
        <w:rPr>
          <w:rFonts w:hint="cs"/>
          <w:b/>
          <w:bCs/>
          <w:rtl/>
        </w:rPr>
        <w:t>התקנה</w:t>
      </w:r>
      <w:r>
        <w:rPr>
          <w:rFonts w:hint="cs"/>
          <w:b/>
          <w:bCs/>
          <w:rtl/>
        </w:rPr>
        <w:t xml:space="preserve"> או האיסוף</w:t>
      </w:r>
      <w:r w:rsidRPr="003228DB">
        <w:rPr>
          <w:rFonts w:hint="cs"/>
          <w:b/>
          <w:bCs/>
          <w:rtl/>
        </w:rPr>
        <w:t>.</w:t>
      </w:r>
      <w:r>
        <w:rPr>
          <w:rFonts w:hint="cs"/>
          <w:b/>
          <w:bCs/>
          <w:rtl/>
        </w:rPr>
        <w:t xml:space="preserve"> </w:t>
      </w:r>
    </w:p>
    <w:p w:rsidR="0065692F" w:rsidRDefault="0065692F" w:rsidP="00604C3D">
      <w:pPr>
        <w:spacing w:line="269" w:lineRule="auto"/>
        <w:rPr>
          <w:b/>
          <w:bCs/>
          <w:rtl/>
        </w:rPr>
      </w:pPr>
    </w:p>
    <w:p w:rsidR="009A1216" w:rsidRPr="003228DB" w:rsidRDefault="009A1216" w:rsidP="00604C3D">
      <w:pPr>
        <w:spacing w:line="269" w:lineRule="auto"/>
        <w:rPr>
          <w:b/>
          <w:bCs/>
          <w:rtl/>
        </w:rPr>
      </w:pPr>
      <w:r>
        <w:rPr>
          <w:rFonts w:hint="cs"/>
          <w:b/>
          <w:bCs/>
          <w:rtl/>
        </w:rPr>
        <w:t>ה</w:t>
      </w:r>
      <w:r w:rsidRPr="003228DB">
        <w:rPr>
          <w:rFonts w:hint="cs"/>
          <w:b/>
          <w:bCs/>
          <w:rtl/>
        </w:rPr>
        <w:t>מחסור בנוהלי עבודה המפרטים את הפעולות המותרות במתווי ה</w:t>
      </w:r>
      <w:r w:rsidR="00062A25">
        <w:rPr>
          <w:rFonts w:hint="cs"/>
          <w:b/>
          <w:bCs/>
          <w:rtl/>
        </w:rPr>
        <w:t>התקנה</w:t>
      </w:r>
      <w:r w:rsidRPr="003228DB">
        <w:rPr>
          <w:rFonts w:hint="cs"/>
          <w:b/>
          <w:bCs/>
          <w:rtl/>
        </w:rPr>
        <w:t xml:space="preserve"> הוביל</w:t>
      </w:r>
      <w:r>
        <w:rPr>
          <w:rFonts w:hint="cs"/>
          <w:b/>
          <w:bCs/>
          <w:rtl/>
        </w:rPr>
        <w:t>,</w:t>
      </w:r>
      <w:r w:rsidRPr="003228DB">
        <w:rPr>
          <w:rFonts w:hint="cs"/>
          <w:b/>
          <w:bCs/>
          <w:rtl/>
        </w:rPr>
        <w:t xml:space="preserve"> הלכה למעשה, להיעדר פיקוח ובקרה של גורמי אח"ם, פיקוד המשטרה </w:t>
      </w:r>
      <w:r>
        <w:rPr>
          <w:rFonts w:hint="cs"/>
          <w:b/>
          <w:bCs/>
          <w:rtl/>
        </w:rPr>
        <w:t>והיועמ"ש למשטרה</w:t>
      </w:r>
      <w:r w:rsidRPr="003228DB">
        <w:rPr>
          <w:rFonts w:hint="cs"/>
          <w:b/>
          <w:bCs/>
          <w:rtl/>
        </w:rPr>
        <w:t xml:space="preserve"> על פעולות קריטיות המבוצעות בחטיבת הסייבר. </w:t>
      </w:r>
      <w:r>
        <w:rPr>
          <w:rFonts w:hint="cs"/>
          <w:b/>
          <w:bCs/>
          <w:rtl/>
        </w:rPr>
        <w:t>לפיכך</w:t>
      </w:r>
      <w:r w:rsidRPr="003228DB">
        <w:rPr>
          <w:rFonts w:hint="cs"/>
          <w:b/>
          <w:bCs/>
          <w:rtl/>
        </w:rPr>
        <w:t xml:space="preserve"> פעולות </w:t>
      </w:r>
      <w:r w:rsidR="00062A25">
        <w:rPr>
          <w:rFonts w:hint="cs"/>
          <w:b/>
          <w:bCs/>
          <w:rtl/>
        </w:rPr>
        <w:t>התקנה</w:t>
      </w:r>
      <w:r w:rsidRPr="003228DB">
        <w:rPr>
          <w:rFonts w:hint="cs"/>
          <w:b/>
          <w:bCs/>
          <w:rtl/>
        </w:rPr>
        <w:t xml:space="preserve"> </w:t>
      </w:r>
      <w:r w:rsidR="0027505C">
        <w:rPr>
          <w:rFonts w:hint="cs"/>
          <w:b/>
          <w:bCs/>
          <w:rtl/>
        </w:rPr>
        <w:t>אסורות</w:t>
      </w:r>
      <w:r w:rsidR="0034361D">
        <w:rPr>
          <w:rFonts w:hint="cs"/>
          <w:b/>
          <w:bCs/>
          <w:rtl/>
        </w:rPr>
        <w:t xml:space="preserve"> </w:t>
      </w:r>
      <w:r>
        <w:rPr>
          <w:rFonts w:hint="cs"/>
          <w:b/>
          <w:bCs/>
          <w:rtl/>
        </w:rPr>
        <w:t>התגל</w:t>
      </w:r>
      <w:r w:rsidR="0034361D">
        <w:rPr>
          <w:rFonts w:hint="cs"/>
          <w:b/>
          <w:bCs/>
          <w:rtl/>
        </w:rPr>
        <w:t>ו</w:t>
      </w:r>
      <w:r>
        <w:rPr>
          <w:rFonts w:hint="cs"/>
          <w:b/>
          <w:bCs/>
          <w:rtl/>
        </w:rPr>
        <w:t xml:space="preserve"> על פי רוב</w:t>
      </w:r>
      <w:r w:rsidRPr="003228DB">
        <w:rPr>
          <w:rFonts w:hint="cs"/>
          <w:b/>
          <w:bCs/>
          <w:rtl/>
        </w:rPr>
        <w:t xml:space="preserve"> רק אחר מעשה. </w:t>
      </w:r>
    </w:p>
    <w:p w:rsidR="00A005F3" w:rsidRDefault="00A005F3" w:rsidP="00604C3D">
      <w:pPr>
        <w:spacing w:line="269" w:lineRule="auto"/>
        <w:rPr>
          <w:b/>
          <w:bCs/>
          <w:rtl/>
        </w:rPr>
      </w:pPr>
    </w:p>
    <w:p w:rsidR="009A1216" w:rsidRDefault="009A1216" w:rsidP="00604C3D">
      <w:pPr>
        <w:spacing w:line="269" w:lineRule="auto"/>
        <w:rPr>
          <w:b/>
          <w:bCs/>
          <w:rtl/>
        </w:rPr>
      </w:pPr>
      <w:r>
        <w:rPr>
          <w:rFonts w:hint="cs"/>
          <w:b/>
          <w:bCs/>
          <w:rtl/>
        </w:rPr>
        <w:t>בשים לב להסדרה המשפטית החלקית ו</w:t>
      </w:r>
      <w:r w:rsidRPr="003228DB">
        <w:rPr>
          <w:rFonts w:hint="eastAsia"/>
          <w:b/>
          <w:bCs/>
          <w:rtl/>
        </w:rPr>
        <w:t>עד</w:t>
      </w:r>
      <w:r w:rsidRPr="003228DB">
        <w:rPr>
          <w:b/>
          <w:bCs/>
          <w:rtl/>
        </w:rPr>
        <w:t xml:space="preserve"> </w:t>
      </w:r>
      <w:r>
        <w:rPr>
          <w:rFonts w:hint="cs"/>
          <w:b/>
          <w:bCs/>
          <w:rtl/>
        </w:rPr>
        <w:t>לתיקון</w:t>
      </w:r>
      <w:r w:rsidRPr="003228DB">
        <w:rPr>
          <w:b/>
          <w:bCs/>
          <w:rtl/>
        </w:rPr>
        <w:t xml:space="preserve"> </w:t>
      </w:r>
      <w:r>
        <w:rPr>
          <w:rFonts w:hint="cs"/>
          <w:b/>
          <w:bCs/>
          <w:rtl/>
        </w:rPr>
        <w:t xml:space="preserve">חוק האזנת סתר, לרבות הסדרת </w:t>
      </w:r>
      <w:r w:rsidRPr="003228DB">
        <w:rPr>
          <w:b/>
          <w:bCs/>
          <w:rtl/>
        </w:rPr>
        <w:t>סמכויות העזר</w:t>
      </w:r>
      <w:r>
        <w:rPr>
          <w:rFonts w:hint="cs"/>
          <w:b/>
          <w:bCs/>
          <w:rtl/>
        </w:rPr>
        <w:t>, וכן עד לחקיקת חוק החיפוש הסמוי,</w:t>
      </w:r>
      <w:r w:rsidRPr="003228DB">
        <w:rPr>
          <w:b/>
          <w:bCs/>
          <w:rtl/>
        </w:rPr>
        <w:t xml:space="preserve"> על המשטרה</w:t>
      </w:r>
      <w:r>
        <w:rPr>
          <w:rFonts w:hint="cs"/>
          <w:b/>
          <w:bCs/>
          <w:rtl/>
        </w:rPr>
        <w:t xml:space="preserve"> </w:t>
      </w:r>
      <w:r w:rsidRPr="003228DB">
        <w:rPr>
          <w:b/>
          <w:bCs/>
          <w:rtl/>
        </w:rPr>
        <w:t>ל</w:t>
      </w:r>
      <w:r>
        <w:rPr>
          <w:rFonts w:hint="cs"/>
          <w:b/>
          <w:bCs/>
          <w:rtl/>
        </w:rPr>
        <w:t xml:space="preserve">השלים את </w:t>
      </w:r>
      <w:r w:rsidRPr="003228DB">
        <w:rPr>
          <w:b/>
          <w:bCs/>
          <w:rtl/>
        </w:rPr>
        <w:t>ע</w:t>
      </w:r>
      <w:r>
        <w:rPr>
          <w:rFonts w:hint="cs"/>
          <w:b/>
          <w:bCs/>
          <w:rtl/>
        </w:rPr>
        <w:t>י</w:t>
      </w:r>
      <w:r w:rsidRPr="003228DB">
        <w:rPr>
          <w:b/>
          <w:bCs/>
          <w:rtl/>
        </w:rPr>
        <w:t>ג</w:t>
      </w:r>
      <w:r>
        <w:rPr>
          <w:rFonts w:hint="cs"/>
          <w:b/>
          <w:bCs/>
          <w:rtl/>
        </w:rPr>
        <w:t>ו</w:t>
      </w:r>
      <w:r w:rsidRPr="003228DB">
        <w:rPr>
          <w:b/>
          <w:bCs/>
          <w:rtl/>
        </w:rPr>
        <w:t>ן מתווי ה</w:t>
      </w:r>
      <w:r w:rsidR="00062A25">
        <w:rPr>
          <w:b/>
          <w:bCs/>
          <w:rtl/>
        </w:rPr>
        <w:t>התקנה</w:t>
      </w:r>
      <w:r>
        <w:rPr>
          <w:rFonts w:hint="cs"/>
          <w:b/>
          <w:bCs/>
          <w:rtl/>
        </w:rPr>
        <w:t>, איסוף תוצרי האזנת סתר</w:t>
      </w:r>
      <w:r w:rsidRPr="003228DB">
        <w:rPr>
          <w:b/>
          <w:bCs/>
          <w:rtl/>
        </w:rPr>
        <w:t xml:space="preserve"> </w:t>
      </w:r>
      <w:r w:rsidRPr="003228DB">
        <w:rPr>
          <w:rFonts w:hint="cs"/>
          <w:b/>
          <w:bCs/>
          <w:rtl/>
        </w:rPr>
        <w:t xml:space="preserve">והשימוש בכלים טכנולוגיים </w:t>
      </w:r>
      <w:r w:rsidRPr="003228DB">
        <w:rPr>
          <w:b/>
          <w:bCs/>
          <w:rtl/>
        </w:rPr>
        <w:t>ב</w:t>
      </w:r>
      <w:r>
        <w:rPr>
          <w:rFonts w:hint="cs"/>
          <w:b/>
          <w:bCs/>
          <w:rtl/>
        </w:rPr>
        <w:t>תורת הפעלה, ב</w:t>
      </w:r>
      <w:r w:rsidRPr="003228DB">
        <w:rPr>
          <w:b/>
          <w:bCs/>
          <w:rtl/>
        </w:rPr>
        <w:t>נ</w:t>
      </w:r>
      <w:r>
        <w:rPr>
          <w:rFonts w:hint="cs"/>
          <w:b/>
          <w:bCs/>
          <w:rtl/>
        </w:rPr>
        <w:t>ו</w:t>
      </w:r>
      <w:r w:rsidRPr="003228DB">
        <w:rPr>
          <w:b/>
          <w:bCs/>
          <w:rtl/>
        </w:rPr>
        <w:t>הלי אח"ם</w:t>
      </w:r>
      <w:r>
        <w:rPr>
          <w:rFonts w:hint="cs"/>
          <w:b/>
          <w:bCs/>
          <w:rtl/>
        </w:rPr>
        <w:t>,</w:t>
      </w:r>
      <w:r w:rsidRPr="003228DB">
        <w:rPr>
          <w:rFonts w:hint="cs"/>
          <w:b/>
          <w:bCs/>
          <w:rtl/>
        </w:rPr>
        <w:t xml:space="preserve"> </w:t>
      </w:r>
      <w:r>
        <w:rPr>
          <w:rFonts w:hint="cs"/>
          <w:b/>
          <w:bCs/>
          <w:rtl/>
        </w:rPr>
        <w:t>ב</w:t>
      </w:r>
      <w:r w:rsidRPr="003228DB">
        <w:rPr>
          <w:rFonts w:hint="cs"/>
          <w:b/>
          <w:bCs/>
          <w:rtl/>
        </w:rPr>
        <w:t>הנחיות</w:t>
      </w:r>
      <w:r>
        <w:rPr>
          <w:rFonts w:hint="cs"/>
          <w:b/>
          <w:bCs/>
          <w:rtl/>
        </w:rPr>
        <w:t xml:space="preserve"> החטיבה ובמדריכים למשתמשים</w:t>
      </w:r>
      <w:r w:rsidRPr="003228DB">
        <w:rPr>
          <w:b/>
          <w:bCs/>
          <w:rtl/>
        </w:rPr>
        <w:t xml:space="preserve">. </w:t>
      </w:r>
      <w:r>
        <w:rPr>
          <w:rFonts w:hint="cs"/>
          <w:b/>
          <w:bCs/>
          <w:rtl/>
        </w:rPr>
        <w:t xml:space="preserve">מומלץ כי הסדרה נוהלית זו תתבצע בשיתוף משרד המשפטים במקרים הרלוונטיים. </w:t>
      </w:r>
    </w:p>
    <w:p w:rsidR="00A005F3" w:rsidRDefault="00A005F3" w:rsidP="00604C3D">
      <w:pPr>
        <w:spacing w:line="269" w:lineRule="auto"/>
        <w:rPr>
          <w:b/>
          <w:bCs/>
          <w:rtl/>
        </w:rPr>
      </w:pPr>
    </w:p>
    <w:p w:rsidR="009A1216" w:rsidRDefault="009A1216" w:rsidP="00604C3D">
      <w:pPr>
        <w:spacing w:line="269" w:lineRule="auto"/>
        <w:rPr>
          <w:b/>
          <w:bCs/>
          <w:rtl/>
        </w:rPr>
      </w:pPr>
      <w:r>
        <w:rPr>
          <w:rFonts w:hint="cs"/>
          <w:b/>
          <w:bCs/>
          <w:rtl/>
        </w:rPr>
        <w:t xml:space="preserve">מומלץ כי </w:t>
      </w:r>
      <w:r w:rsidRPr="00A965E8">
        <w:rPr>
          <w:rFonts w:hint="cs"/>
          <w:b/>
          <w:bCs/>
          <w:rtl/>
        </w:rPr>
        <w:t>משרד המשפטים</w:t>
      </w:r>
      <w:r>
        <w:rPr>
          <w:rFonts w:hint="cs"/>
          <w:b/>
          <w:bCs/>
          <w:rtl/>
        </w:rPr>
        <w:t xml:space="preserve"> האחראי על עבודת המטה</w:t>
      </w:r>
      <w:r w:rsidRPr="00A965E8" w:rsidDel="009A7935">
        <w:rPr>
          <w:rFonts w:hint="cs"/>
          <w:b/>
          <w:bCs/>
          <w:rtl/>
        </w:rPr>
        <w:t xml:space="preserve"> </w:t>
      </w:r>
      <w:r>
        <w:rPr>
          <w:rFonts w:hint="cs"/>
          <w:b/>
          <w:bCs/>
          <w:rtl/>
        </w:rPr>
        <w:t>ישקול בתיאום עם הגורמים הרלוונטיים</w:t>
      </w:r>
      <w:r w:rsidRPr="00A965E8" w:rsidDel="00676048">
        <w:rPr>
          <w:rFonts w:hint="cs"/>
          <w:b/>
          <w:bCs/>
          <w:rtl/>
        </w:rPr>
        <w:t xml:space="preserve"> </w:t>
      </w:r>
      <w:r w:rsidRPr="00A965E8">
        <w:rPr>
          <w:rFonts w:hint="cs"/>
          <w:b/>
          <w:bCs/>
          <w:rtl/>
        </w:rPr>
        <w:t xml:space="preserve">כי בעת </w:t>
      </w:r>
      <w:r>
        <w:rPr>
          <w:rFonts w:hint="cs"/>
          <w:b/>
          <w:bCs/>
          <w:rtl/>
        </w:rPr>
        <w:t>ההסדרה החקיקתית של</w:t>
      </w:r>
      <w:r w:rsidRPr="00A965E8">
        <w:rPr>
          <w:rFonts w:hint="cs"/>
          <w:b/>
          <w:bCs/>
          <w:rtl/>
        </w:rPr>
        <w:t xml:space="preserve"> סמכויות האזנת הסתר והחיפוש הסמוי </w:t>
      </w:r>
      <w:r>
        <w:rPr>
          <w:rFonts w:hint="cs"/>
          <w:b/>
          <w:bCs/>
          <w:rtl/>
        </w:rPr>
        <w:t>יוסדרו קטגוריות של סוגי המידע</w:t>
      </w:r>
      <w:r w:rsidR="00D95F3D">
        <w:rPr>
          <w:rStyle w:val="af"/>
          <w:b/>
          <w:bCs/>
          <w:rtl/>
        </w:rPr>
        <w:footnoteReference w:id="205"/>
      </w:r>
      <w:r>
        <w:rPr>
          <w:rFonts w:hint="cs"/>
          <w:b/>
          <w:bCs/>
          <w:rtl/>
        </w:rPr>
        <w:t xml:space="preserve"> שניתן לאסוף באמצעות כלים טכנולוגיים, וכן פעולות של איסוף מידע אגור (חיפוש סמוי) במסגרת האזנת סתר ופעולות נוספות המאפשרות יצירת מידע יש מאין תוך שמירה על מהימנות תוצרי ההאזנה. נחיצות ההסדרה החקיקתית היא מהותית לנוכח ההסדרה המשפטית </w:t>
      </w:r>
      <w:r w:rsidR="002648A0">
        <w:rPr>
          <w:rFonts w:hint="cs"/>
          <w:b/>
          <w:bCs/>
          <w:rtl/>
        </w:rPr>
        <w:t>שלעמדת המבקר, עדיין לא הושלמה בכללותה</w:t>
      </w:r>
      <w:r>
        <w:rPr>
          <w:rFonts w:hint="cs"/>
          <w:b/>
          <w:bCs/>
          <w:rtl/>
        </w:rPr>
        <w:t xml:space="preserve">. </w:t>
      </w:r>
    </w:p>
    <w:p w:rsidR="009A1216" w:rsidRDefault="009A1216" w:rsidP="00604C3D">
      <w:pPr>
        <w:pStyle w:val="a5"/>
        <w:spacing w:line="269" w:lineRule="auto"/>
        <w:rPr>
          <w:rtl/>
        </w:rPr>
      </w:pPr>
    </w:p>
    <w:p w:rsidR="009A1216" w:rsidRDefault="009A1216" w:rsidP="00604C3D">
      <w:pPr>
        <w:spacing w:line="269" w:lineRule="auto"/>
        <w:rPr>
          <w:rFonts w:eastAsiaTheme="majorEastAsia"/>
          <w:szCs w:val="28"/>
          <w:u w:val="single"/>
          <w:rtl/>
        </w:rPr>
      </w:pPr>
      <w:r>
        <w:rPr>
          <w:rFonts w:hint="cs"/>
          <w:b/>
          <w:bCs/>
          <w:rtl/>
        </w:rPr>
        <w:t>אשר לפעולות ה</w:t>
      </w:r>
      <w:r w:rsidR="00062A25">
        <w:rPr>
          <w:rFonts w:hint="cs"/>
          <w:b/>
          <w:bCs/>
          <w:rtl/>
        </w:rPr>
        <w:t>התקנה</w:t>
      </w:r>
      <w:r>
        <w:rPr>
          <w:rFonts w:hint="cs"/>
          <w:b/>
          <w:bCs/>
          <w:rtl/>
        </w:rPr>
        <w:t xml:space="preserve"> והאיסוף </w:t>
      </w:r>
      <w:r w:rsidR="00CC69ED">
        <w:rPr>
          <w:rFonts w:hint="cs"/>
          <w:b/>
          <w:bCs/>
          <w:rtl/>
        </w:rPr>
        <w:t>האסורות</w:t>
      </w:r>
      <w:r>
        <w:rPr>
          <w:rFonts w:hint="cs"/>
          <w:b/>
          <w:bCs/>
          <w:rtl/>
        </w:rPr>
        <w:t xml:space="preserve">, </w:t>
      </w:r>
      <w:r w:rsidRPr="009D1449">
        <w:rPr>
          <w:b/>
          <w:bCs/>
          <w:rtl/>
        </w:rPr>
        <w:t xml:space="preserve">מומלץ כי המשטרה תאתר </w:t>
      </w:r>
      <w:r>
        <w:rPr>
          <w:rFonts w:hint="cs"/>
          <w:b/>
          <w:bCs/>
          <w:rtl/>
        </w:rPr>
        <w:t>את ה</w:t>
      </w:r>
      <w:r w:rsidRPr="009D1449">
        <w:rPr>
          <w:b/>
          <w:bCs/>
          <w:rtl/>
        </w:rPr>
        <w:t xml:space="preserve">תיקים הרלוונטיים </w:t>
      </w:r>
      <w:r>
        <w:rPr>
          <w:rFonts w:hint="cs"/>
          <w:b/>
          <w:bCs/>
          <w:rtl/>
        </w:rPr>
        <w:t>שבהם בוצעו פעולות אלו, ו</w:t>
      </w:r>
      <w:r w:rsidRPr="009D1449">
        <w:rPr>
          <w:b/>
          <w:bCs/>
          <w:rtl/>
        </w:rPr>
        <w:t xml:space="preserve">תבחן בשיתוף הפרקליטות את השלכות </w:t>
      </w:r>
      <w:r>
        <w:rPr>
          <w:rFonts w:hint="cs"/>
          <w:b/>
          <w:bCs/>
          <w:rtl/>
        </w:rPr>
        <w:t>הפעולות</w:t>
      </w:r>
      <w:r w:rsidRPr="009D1449">
        <w:rPr>
          <w:b/>
          <w:bCs/>
          <w:rtl/>
        </w:rPr>
        <w:t xml:space="preserve"> על ניהול פרשיות מודיעין ותיקי חקירה פליליים. </w:t>
      </w:r>
    </w:p>
    <w:p w:rsidR="007038FA" w:rsidRDefault="007038FA" w:rsidP="00604C3D">
      <w:pPr>
        <w:spacing w:line="269" w:lineRule="auto"/>
        <w:rPr>
          <w:rFonts w:eastAsiaTheme="majorEastAsia"/>
          <w:szCs w:val="28"/>
          <w:u w:val="single"/>
        </w:rPr>
      </w:pPr>
    </w:p>
    <w:p w:rsidR="009A1216" w:rsidRPr="000275A3" w:rsidRDefault="009A1216" w:rsidP="00604C3D">
      <w:pPr>
        <w:pStyle w:val="3"/>
        <w:spacing w:before="0" w:line="269" w:lineRule="auto"/>
      </w:pPr>
      <w:bookmarkStart w:id="543" w:name="_Toc193282988"/>
      <w:bookmarkStart w:id="544" w:name="_Toc219286548"/>
      <w:r>
        <w:rPr>
          <w:rFonts w:hint="cs"/>
          <w:rtl/>
        </w:rPr>
        <w:t xml:space="preserve">2.4 </w:t>
      </w:r>
      <w:r w:rsidRPr="000275A3">
        <w:rPr>
          <w:rFonts w:hint="cs"/>
          <w:rtl/>
        </w:rPr>
        <w:t>הפקה ושימוש בתוצרי האזנת סתר</w:t>
      </w:r>
      <w:bookmarkEnd w:id="543"/>
      <w:bookmarkEnd w:id="544"/>
    </w:p>
    <w:p w:rsidR="00A005F3" w:rsidRDefault="00A005F3" w:rsidP="00604C3D">
      <w:pPr>
        <w:spacing w:line="269" w:lineRule="auto"/>
        <w:rPr>
          <w:rtl/>
        </w:rPr>
      </w:pPr>
    </w:p>
    <w:p w:rsidR="009A1216" w:rsidRDefault="009A1216" w:rsidP="00604C3D">
      <w:pPr>
        <w:spacing w:line="269" w:lineRule="auto"/>
        <w:rPr>
          <w:rtl/>
        </w:rPr>
      </w:pPr>
      <w:r>
        <w:rPr>
          <w:rFonts w:hint="cs"/>
          <w:rtl/>
        </w:rPr>
        <w:t>לפי תורת המודיעין של המשטרה, לאחר איסוף המודיעין המידע שנאסף עובר תהליך של עיבוד והערכה: המידע נבדק, ממוין, מועשר, מוערך ומנותח לשם קביעת תמונת מצב, הסקת מסקנות ומתן המלצות. פעולות אלו מנגישות את תמונת המודיעין לגורמי המשטרה בתחומי הפשיעה שבאחריותם ומאפשרות תהליך של קבלת החלטות וביצוע פעולות חקירה ומודיעין נוספות. דיווח המודיעין למאגר המודיעין של המשטרה משרת את המערכת כולה, מאפשר לבעלי התפקידים לקבל את מלוא המידע העדכני הדרוש לצורך מילוי תפקידם, לקבל תמונת מצב רחבה ומקיפה ולשמר את המידע המודיעיני ב"זיכרון הקולקטיבי" של הארגון</w:t>
      </w:r>
      <w:r>
        <w:rPr>
          <w:rStyle w:val="af"/>
          <w:rtl/>
        </w:rPr>
        <w:footnoteReference w:id="206"/>
      </w:r>
      <w:r>
        <w:rPr>
          <w:rFonts w:hint="cs"/>
          <w:rtl/>
        </w:rPr>
        <w:t xml:space="preserve">. </w:t>
      </w:r>
    </w:p>
    <w:p w:rsidR="00A005F3" w:rsidRDefault="00A005F3" w:rsidP="00604C3D">
      <w:pPr>
        <w:spacing w:line="269" w:lineRule="auto"/>
        <w:rPr>
          <w:rtl/>
        </w:rPr>
      </w:pPr>
      <w:bookmarkStart w:id="545" w:name="_Hlk156304133"/>
    </w:p>
    <w:p w:rsidR="009A1216" w:rsidRDefault="009A1216" w:rsidP="00604C3D">
      <w:pPr>
        <w:spacing w:line="269" w:lineRule="auto"/>
        <w:rPr>
          <w:rtl/>
        </w:rPr>
      </w:pPr>
      <w:r>
        <w:rPr>
          <w:rFonts w:hint="cs"/>
          <w:rtl/>
        </w:rPr>
        <w:t>בתחום האזנות הסתר, שלב העיבוד וההערכה של המידע שהתקבל הוא שלב ההפקה, והוא השלב השלישי מבין השלבים המתוארים בדוח זה</w:t>
      </w:r>
      <w:bookmarkEnd w:id="545"/>
      <w:r>
        <w:rPr>
          <w:rFonts w:hint="cs"/>
          <w:rtl/>
        </w:rPr>
        <w:t>. שלב זה מורכב ומרובה שלבים</w:t>
      </w:r>
      <w:r w:rsidR="00BF2704">
        <w:rPr>
          <w:rStyle w:val="af"/>
          <w:rtl/>
        </w:rPr>
        <w:footnoteReference w:id="207"/>
      </w:r>
      <w:r>
        <w:rPr>
          <w:rFonts w:hint="cs"/>
          <w:rtl/>
        </w:rPr>
        <w:t>, לרבות עיון בתוצרי ההאזנה (צפייה או האזנה); מיון וסיווג של התוצר לשם קביעת מידת הרלוונטיות שלו לחקירה; הכנת תקציר של התוצר ותמלולו - הפיכת תוצר ההאזנה שהוא חומר גולמי לידיעה מודיעינית שניתן לעבד אותה; עיבוד הידיעה המודיעינית לכדי מוצר מודיעין באמצעות ניתוח, הערכה והעשרה של הידיעה; הכנת פרפרזה של מוצר המודיעין שהיא תמצית של המידע הרלוונטי שעולה ממנו לשימוש</w:t>
      </w:r>
      <w:r>
        <w:rPr>
          <w:rStyle w:val="af"/>
          <w:rtl/>
        </w:rPr>
        <w:footnoteReference w:id="208"/>
      </w:r>
      <w:r>
        <w:rPr>
          <w:rFonts w:hint="cs"/>
          <w:rtl/>
        </w:rPr>
        <w:t xml:space="preserve"> של צרכן מסוים ותוך השמטה של מידע שחשיפתו לצרכן תסכן מקורות או מבצעים; ואיגום כמה מוצרי מודיעין לכדי תמונת מודיעין שמגובשת בדוח תובנות. כלל פעולות ההפקה מבוצעות על ידי מפיק מוסמך. </w:t>
      </w:r>
    </w:p>
    <w:p w:rsidR="00A005F3" w:rsidRDefault="00A005F3" w:rsidP="00604C3D">
      <w:pPr>
        <w:spacing w:line="269" w:lineRule="auto"/>
        <w:rPr>
          <w:rtl/>
        </w:rPr>
      </w:pPr>
    </w:p>
    <w:p w:rsidR="009A1216" w:rsidRDefault="009A1216" w:rsidP="00604C3D">
      <w:pPr>
        <w:spacing w:line="269" w:lineRule="auto"/>
        <w:rPr>
          <w:rtl/>
        </w:rPr>
      </w:pPr>
      <w:r>
        <w:rPr>
          <w:rFonts w:hint="cs"/>
          <w:rtl/>
        </w:rPr>
        <w:t>העידן הנוכחי, שבו אורח החיים הדיגיטלי מביא ליצירת נתוני עתק במכשיר קצה קטן, מאתגר את הליכי העיבוד, הארגון והניתוח של תוצרי האזנה. בכל האזנה נאספים תוצרים ממקורות רבים, בכמויות גדולות, בתצורות ואיכויות שונות, והם בעלי משקל ראייתי משתנה שהערכתו מורכבת. אתגר מזעור הפגיעה בפרטיות הנובעת מהליך הפקת התוצרים ומניעת שימוש לא ראוי בהם קדם לעידן הנוכחי</w:t>
      </w:r>
      <w:r>
        <w:rPr>
          <w:rStyle w:val="af"/>
          <w:rtl/>
        </w:rPr>
        <w:footnoteReference w:id="209"/>
      </w:r>
      <w:r>
        <w:rPr>
          <w:rFonts w:hint="cs"/>
          <w:rtl/>
        </w:rPr>
        <w:t xml:space="preserve">, ואולם בעידן של נתוני עתק האתגר הולך וגדל. </w:t>
      </w:r>
    </w:p>
    <w:p w:rsidR="00A005F3" w:rsidRDefault="00A005F3" w:rsidP="00604C3D">
      <w:pPr>
        <w:spacing w:line="269" w:lineRule="auto"/>
        <w:rPr>
          <w:rtl/>
        </w:rPr>
      </w:pPr>
    </w:p>
    <w:p w:rsidR="009A1216" w:rsidRDefault="009A1216" w:rsidP="00604C3D">
      <w:pPr>
        <w:spacing w:line="269" w:lineRule="auto"/>
        <w:rPr>
          <w:rtl/>
        </w:rPr>
      </w:pPr>
      <w:r>
        <w:rPr>
          <w:rFonts w:hint="cs"/>
          <w:rtl/>
        </w:rPr>
        <w:t>פעולת ההפקה על כלל רבדיה כפופה לעקרון המידתיות ה</w:t>
      </w:r>
      <w:r w:rsidRPr="00D26F16">
        <w:rPr>
          <w:rtl/>
        </w:rPr>
        <w:t>מחייב שיינקטו כל הצעדים הנדרשים כדי שהפגיעה</w:t>
      </w:r>
      <w:r>
        <w:rPr>
          <w:rFonts w:hint="cs"/>
          <w:rtl/>
        </w:rPr>
        <w:t xml:space="preserve"> ביעד ההאזנה ובמואזנים שעימם הוא נמצא בקשר לא תחרוג מן הנדרש. </w:t>
      </w:r>
    </w:p>
    <w:p w:rsidR="00A005F3" w:rsidRDefault="00A005F3" w:rsidP="00604C3D">
      <w:pPr>
        <w:spacing w:line="269" w:lineRule="auto"/>
        <w:rPr>
          <w:rtl/>
        </w:rPr>
      </w:pPr>
    </w:p>
    <w:p w:rsidR="009A1216" w:rsidRDefault="009A1216" w:rsidP="00604C3D">
      <w:pPr>
        <w:spacing w:line="269" w:lineRule="auto"/>
        <w:rPr>
          <w:rtl/>
        </w:rPr>
      </w:pPr>
      <w:r>
        <w:rPr>
          <w:rFonts w:hint="cs"/>
          <w:rtl/>
        </w:rPr>
        <w:t>תקנות האזנת סתר מעגנות את עיקרי הסמכויות הרלוונטיות לתהליך ההפקה: הסמכות של מבצע ההאזנה להאזין לתוצר ההאזנה; הסמכות לבצע הפקה מודיעינית של תוצר האזנה; החובה לאפשר ליחידה המזמינה להאזין לתוצר ההאזנה; החובה להעביר את המידע שהושג בהאזנה ואת חומר ההקלטה לידי היחידה המזמינה. עוד נקבע בתקנות האזנת סתר שפנקס האזנות הסתר ישמש האמצעי לתיעוד שרשרת הראיות</w:t>
      </w:r>
      <w:r>
        <w:rPr>
          <w:rStyle w:val="af"/>
          <w:rtl/>
        </w:rPr>
        <w:footnoteReference w:id="210"/>
      </w:r>
      <w:r>
        <w:rPr>
          <w:rFonts w:hint="cs"/>
          <w:rtl/>
        </w:rPr>
        <w:t xml:space="preserve"> של תוצרי ההאזנה - כלומר, רישום של </w:t>
      </w:r>
      <w:r>
        <w:rPr>
          <w:rtl/>
        </w:rPr>
        <w:t xml:space="preserve">כל העברה של </w:t>
      </w:r>
      <w:r>
        <w:rPr>
          <w:rFonts w:hint="cs"/>
          <w:rtl/>
        </w:rPr>
        <w:t>תוצר האזנה</w:t>
      </w:r>
      <w:r>
        <w:rPr>
          <w:rtl/>
        </w:rPr>
        <w:t xml:space="preserve"> למקום אחר בציון המען, תאריך ההעברה, תאריך ההחזרה המשוערת ותאריך ההחזרה בפועל</w:t>
      </w:r>
      <w:r>
        <w:rPr>
          <w:rStyle w:val="af"/>
          <w:rtl/>
        </w:rPr>
        <w:footnoteReference w:id="211"/>
      </w:r>
      <w:r>
        <w:rPr>
          <w:rtl/>
        </w:rPr>
        <w:t>.</w:t>
      </w:r>
      <w:r>
        <w:rPr>
          <w:rFonts w:hint="cs"/>
          <w:rtl/>
        </w:rPr>
        <w:t xml:space="preserve"> </w:t>
      </w:r>
    </w:p>
    <w:p w:rsidR="00BF2704" w:rsidRDefault="00BF2704" w:rsidP="00604C3D">
      <w:pPr>
        <w:spacing w:line="269" w:lineRule="auto"/>
        <w:rPr>
          <w:rtl/>
        </w:rPr>
      </w:pPr>
    </w:p>
    <w:p w:rsidR="009A1216" w:rsidRDefault="009A1216" w:rsidP="00604C3D">
      <w:pPr>
        <w:spacing w:line="269" w:lineRule="auto"/>
        <w:rPr>
          <w:rtl/>
        </w:rPr>
      </w:pPr>
      <w:r>
        <w:rPr>
          <w:rFonts w:hint="cs"/>
          <w:rtl/>
        </w:rPr>
        <w:t xml:space="preserve">נוהלי המשטרה העוסקים בהפקה של תוצרי האזנת הסתר מפרטים מכלול רב של פעולות </w:t>
      </w:r>
      <w:r w:rsidR="003230AD">
        <w:rPr>
          <w:rFonts w:hint="cs"/>
          <w:rtl/>
        </w:rPr>
        <w:t>שמבצעים</w:t>
      </w:r>
      <w:r>
        <w:rPr>
          <w:rFonts w:hint="cs"/>
          <w:rtl/>
        </w:rPr>
        <w:t xml:space="preserve"> מפיקי שמע ומפיקי תקשורת בין מחשבים. להלן פירוט של השלבים העיקריים: </w:t>
      </w:r>
    </w:p>
    <w:p w:rsidR="00BF2704" w:rsidRDefault="00BF2704" w:rsidP="00604C3D">
      <w:pPr>
        <w:spacing w:line="269" w:lineRule="auto"/>
        <w:jc w:val="center"/>
        <w:rPr>
          <w:rtl/>
        </w:rPr>
      </w:pPr>
    </w:p>
    <w:p w:rsidR="009A1216" w:rsidRDefault="009A1216" w:rsidP="00C4338B">
      <w:pPr>
        <w:keepNext/>
        <w:keepLines/>
        <w:spacing w:line="269" w:lineRule="auto"/>
        <w:jc w:val="center"/>
        <w:rPr>
          <w:rtl/>
        </w:rPr>
      </w:pPr>
      <w:r w:rsidRPr="00F36D49">
        <w:rPr>
          <w:rFonts w:hint="cs"/>
          <w:rtl/>
        </w:rPr>
        <w:t>תרשים</w:t>
      </w:r>
      <w:r w:rsidR="007038FA">
        <w:rPr>
          <w:rFonts w:hint="cs"/>
          <w:rtl/>
        </w:rPr>
        <w:t xml:space="preserve"> 15</w:t>
      </w:r>
      <w:r>
        <w:rPr>
          <w:rFonts w:hint="cs"/>
          <w:rtl/>
        </w:rPr>
        <w:t xml:space="preserve">: </w:t>
      </w:r>
      <w:bookmarkStart w:id="547" w:name="_Hlk156304177"/>
      <w:r w:rsidRPr="00C659E0">
        <w:rPr>
          <w:rFonts w:hint="eastAsia"/>
          <w:b/>
          <w:bCs/>
          <w:rtl/>
        </w:rPr>
        <w:t>ה</w:t>
      </w:r>
      <w:r w:rsidRPr="00F36D49">
        <w:rPr>
          <w:rFonts w:hint="cs"/>
          <w:b/>
          <w:bCs/>
          <w:rtl/>
        </w:rPr>
        <w:t>שלבי</w:t>
      </w:r>
      <w:r>
        <w:rPr>
          <w:rFonts w:hint="cs"/>
          <w:b/>
          <w:bCs/>
          <w:rtl/>
        </w:rPr>
        <w:t xml:space="preserve">ם העיקריים </w:t>
      </w:r>
      <w:r w:rsidR="00A600C0">
        <w:rPr>
          <w:rFonts w:hint="cs"/>
          <w:b/>
          <w:bCs/>
          <w:rtl/>
        </w:rPr>
        <w:t>ב</w:t>
      </w:r>
      <w:r w:rsidR="00A600C0" w:rsidRPr="00F36D49">
        <w:rPr>
          <w:rFonts w:hint="cs"/>
          <w:b/>
          <w:bCs/>
          <w:rtl/>
        </w:rPr>
        <w:t xml:space="preserve">הפקת </w:t>
      </w:r>
      <w:r w:rsidRPr="00F36D49">
        <w:rPr>
          <w:rFonts w:hint="cs"/>
          <w:b/>
          <w:bCs/>
          <w:rtl/>
        </w:rPr>
        <w:t xml:space="preserve">תוצרי </w:t>
      </w:r>
      <w:r w:rsidR="00A600C0">
        <w:rPr>
          <w:rFonts w:hint="cs"/>
          <w:b/>
          <w:bCs/>
          <w:rtl/>
        </w:rPr>
        <w:t>ה</w:t>
      </w:r>
      <w:r w:rsidRPr="00F36D49">
        <w:rPr>
          <w:rFonts w:hint="cs"/>
          <w:b/>
          <w:bCs/>
          <w:rtl/>
        </w:rPr>
        <w:t>האזנה</w:t>
      </w:r>
      <w:bookmarkEnd w:id="547"/>
    </w:p>
    <w:p w:rsidR="009A1216" w:rsidRDefault="009A1216" w:rsidP="00604C3D">
      <w:pPr>
        <w:spacing w:line="269" w:lineRule="auto"/>
        <w:jc w:val="center"/>
        <w:rPr>
          <w:szCs w:val="20"/>
          <w:rtl/>
        </w:rPr>
      </w:pPr>
      <w:r>
        <w:rPr>
          <w:noProof/>
          <w:szCs w:val="20"/>
          <w:rtl/>
          <w:lang w:val="he-IL"/>
        </w:rPr>
        <w:drawing>
          <wp:inline distT="0" distB="0" distL="0" distR="0" wp14:anchorId="28C773BA" wp14:editId="06AF6913">
            <wp:extent cx="5589905" cy="3876675"/>
            <wp:effectExtent l="0" t="0" r="0"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גילוי עבירות 19.37.jpg"/>
                    <pic:cNvPicPr/>
                  </pic:nvPicPr>
                  <pic:blipFill rotWithShape="1">
                    <a:blip r:embed="rId26" cstate="print">
                      <a:extLst>
                        <a:ext uri="{28A0092B-C50C-407E-A947-70E740481C1C}">
                          <a14:useLocalDpi xmlns:a14="http://schemas.microsoft.com/office/drawing/2010/main" val="0"/>
                        </a:ext>
                      </a:extLst>
                    </a:blip>
                    <a:srcRect t="3866" b="3553"/>
                    <a:stretch/>
                  </pic:blipFill>
                  <pic:spPr bwMode="auto">
                    <a:xfrm>
                      <a:off x="0" y="0"/>
                      <a:ext cx="5630371" cy="3904739"/>
                    </a:xfrm>
                    <a:prstGeom prst="rect">
                      <a:avLst/>
                    </a:prstGeom>
                    <a:ln>
                      <a:noFill/>
                    </a:ln>
                    <a:extLst>
                      <a:ext uri="{53640926-AAD7-44D8-BBD7-CCE9431645EC}">
                        <a14:shadowObscured xmlns:a14="http://schemas.microsoft.com/office/drawing/2010/main"/>
                      </a:ext>
                    </a:extLst>
                  </pic:spPr>
                </pic:pic>
              </a:graphicData>
            </a:graphic>
          </wp:inline>
        </w:drawing>
      </w:r>
    </w:p>
    <w:p w:rsidR="009A1216" w:rsidRDefault="009A1216" w:rsidP="00604C3D">
      <w:pPr>
        <w:spacing w:line="269" w:lineRule="auto"/>
        <w:rPr>
          <w:noProof/>
          <w:rtl/>
        </w:rPr>
      </w:pPr>
      <w:bookmarkStart w:id="548" w:name="_Hlk154681786"/>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sidR="00A600C0">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A600C0">
        <w:rPr>
          <w:rFonts w:hint="cs"/>
          <w:szCs w:val="20"/>
          <w:rtl/>
        </w:rPr>
        <w:t>.</w:t>
      </w:r>
      <w:r>
        <w:rPr>
          <w:noProof/>
        </w:rPr>
        <w:t xml:space="preserve"> </w:t>
      </w:r>
    </w:p>
    <w:p w:rsidR="009A1216" w:rsidRDefault="009A1216" w:rsidP="00604C3D">
      <w:pPr>
        <w:spacing w:line="269" w:lineRule="auto"/>
        <w:rPr>
          <w:noProof/>
          <w:rtl/>
        </w:rPr>
      </w:pPr>
    </w:p>
    <w:p w:rsidR="009A1216" w:rsidRDefault="009A1216" w:rsidP="00B25F60">
      <w:pPr>
        <w:pStyle w:val="4"/>
        <w:numPr>
          <w:ilvl w:val="0"/>
          <w:numId w:val="77"/>
        </w:numPr>
        <w:spacing w:before="0" w:line="269" w:lineRule="auto"/>
        <w:ind w:left="423" w:hanging="438"/>
        <w:rPr>
          <w:rtl/>
        </w:rPr>
      </w:pPr>
      <w:bookmarkStart w:id="549" w:name="_Toc211521942"/>
      <w:bookmarkStart w:id="550" w:name="_Toc219110333"/>
      <w:bookmarkStart w:id="551" w:name="_Toc219113774"/>
      <w:bookmarkStart w:id="552" w:name="_Toc219286549"/>
      <w:bookmarkEnd w:id="548"/>
      <w:r>
        <w:rPr>
          <w:rFonts w:hint="cs"/>
          <w:rtl/>
        </w:rPr>
        <w:t>ניהול המידע על הפקת תוצרי האזנת סתר</w:t>
      </w:r>
      <w:bookmarkEnd w:id="549"/>
      <w:bookmarkEnd w:id="550"/>
      <w:bookmarkEnd w:id="551"/>
      <w:bookmarkEnd w:id="552"/>
    </w:p>
    <w:p w:rsidR="009A1216" w:rsidRPr="00011709" w:rsidRDefault="009A1216" w:rsidP="00604C3D">
      <w:pPr>
        <w:spacing w:line="269" w:lineRule="auto"/>
        <w:rPr>
          <w:rtl/>
        </w:rPr>
      </w:pPr>
    </w:p>
    <w:p w:rsidR="009A1216" w:rsidRPr="00281A71" w:rsidRDefault="009A1216" w:rsidP="00B25F60">
      <w:pPr>
        <w:pStyle w:val="5"/>
        <w:numPr>
          <w:ilvl w:val="0"/>
          <w:numId w:val="45"/>
        </w:numPr>
        <w:spacing w:line="269" w:lineRule="auto"/>
        <w:ind w:left="787"/>
        <w:rPr>
          <w:rtl/>
        </w:rPr>
      </w:pPr>
      <w:r>
        <w:rPr>
          <w:rFonts w:hint="cs"/>
          <w:rtl/>
        </w:rPr>
        <w:t>היעדרה של</w:t>
      </w:r>
      <w:r w:rsidRPr="00281A71">
        <w:rPr>
          <w:rtl/>
        </w:rPr>
        <w:t xml:space="preserve"> מערכת ממוחשבת</w:t>
      </w:r>
      <w:r>
        <w:rPr>
          <w:rFonts w:hint="cs"/>
          <w:rtl/>
        </w:rPr>
        <w:t xml:space="preserve"> מרכזית</w:t>
      </w:r>
      <w:r w:rsidRPr="00281A71">
        <w:rPr>
          <w:rtl/>
        </w:rPr>
        <w:t xml:space="preserve"> </w:t>
      </w:r>
      <w:r>
        <w:rPr>
          <w:rFonts w:hint="cs"/>
          <w:rtl/>
        </w:rPr>
        <w:t>להפקת תוצר האזנת סתר</w:t>
      </w:r>
    </w:p>
    <w:p w:rsidR="00BF2704" w:rsidRDefault="00BF2704" w:rsidP="00604C3D">
      <w:pPr>
        <w:spacing w:line="269" w:lineRule="auto"/>
        <w:rPr>
          <w:rtl/>
        </w:rPr>
      </w:pPr>
    </w:p>
    <w:p w:rsidR="009A1216" w:rsidRDefault="009A1216" w:rsidP="00B25F60">
      <w:pPr>
        <w:spacing w:line="269" w:lineRule="auto"/>
        <w:ind w:left="720"/>
        <w:rPr>
          <w:rtl/>
        </w:rPr>
      </w:pPr>
      <w:r>
        <w:rPr>
          <w:rFonts w:hint="cs"/>
          <w:rtl/>
        </w:rPr>
        <w:t>המשטרה מחזיקה במערכת ממוחשבת להפקת תוצרי האזנת סתר</w:t>
      </w:r>
      <w:r w:rsidR="00746A11">
        <w:rPr>
          <w:rFonts w:hint="cs"/>
          <w:rtl/>
        </w:rPr>
        <w:t>.</w:t>
      </w:r>
      <w:r>
        <w:rPr>
          <w:rFonts w:hint="cs"/>
          <w:rtl/>
        </w:rPr>
        <w:t xml:space="preserve"> מטרתה של המערכת - קליטת</w:t>
      </w:r>
      <w:r w:rsidRPr="00C82F23">
        <w:rPr>
          <w:rtl/>
        </w:rPr>
        <w:t xml:space="preserve"> תוצרי </w:t>
      </w:r>
      <w:r>
        <w:rPr>
          <w:rFonts w:hint="cs"/>
          <w:rtl/>
        </w:rPr>
        <w:t>האזנה שנאספו</w:t>
      </w:r>
      <w:r w:rsidRPr="00C82F23">
        <w:rPr>
          <w:rtl/>
        </w:rPr>
        <w:t xml:space="preserve">, הפקתם, ניתוחם וניהול תהליכי העבודה </w:t>
      </w:r>
      <w:r>
        <w:rPr>
          <w:rFonts w:hint="cs"/>
          <w:rtl/>
        </w:rPr>
        <w:t>בתחום זה. המשטרה החליפה את המערכת הממוחשבת בשנת 2022 כדי שתוכל לעמוד בקצב של ההתפתחויות הטכנולוגיות, כדי שהפגיעה ביכולת הפקת תוצרי ההאזנה בשל שינוי בתצורת תוצר ההאזנה תהיה מזערית</w:t>
      </w:r>
      <w:r w:rsidRPr="00C82F23">
        <w:rPr>
          <w:rtl/>
        </w:rPr>
        <w:t>.</w:t>
      </w:r>
      <w:r>
        <w:rPr>
          <w:rFonts w:hint="cs"/>
          <w:rtl/>
        </w:rPr>
        <w:t xml:space="preserve"> </w:t>
      </w:r>
    </w:p>
    <w:p w:rsidR="00BF2704" w:rsidRDefault="00BF2704" w:rsidP="00B25F60">
      <w:pPr>
        <w:spacing w:line="269" w:lineRule="auto"/>
        <w:ind w:left="720"/>
        <w:rPr>
          <w:rtl/>
        </w:rPr>
      </w:pPr>
    </w:p>
    <w:p w:rsidR="009A1216" w:rsidRDefault="009A1216" w:rsidP="00B25F60">
      <w:pPr>
        <w:spacing w:line="269" w:lineRule="auto"/>
        <w:ind w:left="720"/>
        <w:rPr>
          <w:rtl/>
        </w:rPr>
      </w:pPr>
      <w:r>
        <w:rPr>
          <w:rFonts w:hint="cs"/>
          <w:rtl/>
        </w:rPr>
        <w:t>ממסמכי המשטרה עולה כי כבר בשנת 2014 הציגה חטיבת הסייבר את הצורך בהפקה של תוצרי האזנת סתר מגוונים, בעלי תצורות שונות, שמקורם בכלים טכנולוגיים</w:t>
      </w:r>
      <w:r w:rsidR="00746A11">
        <w:rPr>
          <w:rFonts w:hint="cs"/>
          <w:rtl/>
        </w:rPr>
        <w:t>.</w:t>
      </w:r>
      <w:r>
        <w:rPr>
          <w:rFonts w:hint="cs"/>
          <w:rtl/>
        </w:rPr>
        <w:t xml:space="preserve"> בשנת 2017 דרישה זו הועלתה ביתר שאת בעת שהמשטרה נערכה להגשת תוצרי האזנת סתר לתקשורת בין מחשבים כראיה בהליך פלילי, וביצעה זאת על בסיס פתרון אד-הוק תוך הבנה כי נדרש פתרון מקיף לטווח ארוך. עוד עולה כי המשטרה עסקה בהיעדרה של מערכת מרכזית להפקת כלל תוצרי האזנת הסתר לאורך תקופה זו ועמדה על חשיבות שמירת הזיקה בין תוצרי האזנת סתר ליעד האזנה.</w:t>
      </w:r>
    </w:p>
    <w:p w:rsidR="00BF2704" w:rsidRDefault="00BF2704" w:rsidP="00B25F60">
      <w:pPr>
        <w:spacing w:line="269" w:lineRule="auto"/>
        <w:ind w:left="720"/>
        <w:rPr>
          <w:rtl/>
        </w:rPr>
      </w:pPr>
    </w:p>
    <w:p w:rsidR="009A1216" w:rsidRDefault="009A1216" w:rsidP="00B25F60">
      <w:pPr>
        <w:spacing w:line="269" w:lineRule="auto"/>
        <w:ind w:left="720"/>
        <w:rPr>
          <w:rtl/>
        </w:rPr>
      </w:pPr>
      <w:r>
        <w:rPr>
          <w:rFonts w:hint="cs"/>
          <w:rtl/>
        </w:rPr>
        <w:t xml:space="preserve">למשל, בשנת 2020 החליטה המשטרה על ביזור חלק מהכלים הטכנולוגיים המצויים בידי חטיבת הסייבר למערך הפרוס. לפי הנחיות פנימיות של החטיבה, שפורסמו בעקבות קבלתה של החלטה זו, ההפקה של תוצרי ההאזנה תתבצע על גבי עמדות של הכלי הטכנולוגי שתכליתו איסוף התוצרים. כפועל יוצא מכך, ההפקה אינה מתבצעת בעמדות שיש מהן גישה למערכת המרכזית להפקה של המשטרה. </w:t>
      </w:r>
    </w:p>
    <w:p w:rsidR="00BF2704" w:rsidRDefault="00BF2704" w:rsidP="00604C3D">
      <w:pPr>
        <w:spacing w:line="269" w:lineRule="auto"/>
        <w:rPr>
          <w:b/>
          <w:bCs/>
          <w:rtl/>
        </w:rPr>
      </w:pPr>
    </w:p>
    <w:p w:rsidR="009A1216" w:rsidRDefault="009A1216" w:rsidP="00B25F60">
      <w:pPr>
        <w:spacing w:line="269" w:lineRule="auto"/>
        <w:ind w:left="720"/>
        <w:rPr>
          <w:b/>
          <w:bCs/>
          <w:rtl/>
        </w:rPr>
      </w:pPr>
      <w:r w:rsidRPr="00FB5BE9">
        <w:rPr>
          <w:rFonts w:hint="eastAsia"/>
          <w:b/>
          <w:bCs/>
          <w:rtl/>
        </w:rPr>
        <w:t>נמצא</w:t>
      </w:r>
      <w:r w:rsidRPr="00FB5BE9">
        <w:rPr>
          <w:b/>
          <w:bCs/>
          <w:rtl/>
        </w:rPr>
        <w:t xml:space="preserve"> כי המערכת </w:t>
      </w:r>
      <w:r w:rsidRPr="00FB5BE9">
        <w:rPr>
          <w:rFonts w:hint="eastAsia"/>
          <w:b/>
          <w:bCs/>
          <w:rtl/>
        </w:rPr>
        <w:t>המרכזית</w:t>
      </w:r>
      <w:r w:rsidRPr="00FB5BE9">
        <w:rPr>
          <w:b/>
          <w:bCs/>
          <w:rtl/>
        </w:rPr>
        <w:t xml:space="preserve"> </w:t>
      </w:r>
      <w:r w:rsidRPr="00FB5BE9">
        <w:rPr>
          <w:rFonts w:hint="eastAsia"/>
          <w:b/>
          <w:bCs/>
          <w:rtl/>
        </w:rPr>
        <w:t>לניהול</w:t>
      </w:r>
      <w:r w:rsidRPr="00FB5BE9">
        <w:rPr>
          <w:b/>
          <w:bCs/>
          <w:rtl/>
        </w:rPr>
        <w:t xml:space="preserve"> </w:t>
      </w:r>
      <w:r w:rsidRPr="00FB5BE9">
        <w:rPr>
          <w:rFonts w:hint="eastAsia"/>
          <w:b/>
          <w:bCs/>
          <w:rtl/>
        </w:rPr>
        <w:t>הפקה</w:t>
      </w:r>
      <w:r w:rsidRPr="00FB5BE9">
        <w:rPr>
          <w:b/>
          <w:bCs/>
          <w:rtl/>
        </w:rPr>
        <w:t xml:space="preserve">, שאמונה על קליטת תוצרי האזנת סתר שנאספו, </w:t>
      </w:r>
      <w:r w:rsidRPr="00FB5BE9">
        <w:rPr>
          <w:rFonts w:hint="eastAsia"/>
          <w:b/>
          <w:bCs/>
          <w:rtl/>
        </w:rPr>
        <w:t>אינה</w:t>
      </w:r>
      <w:r w:rsidRPr="00FB5BE9">
        <w:rPr>
          <w:b/>
          <w:bCs/>
          <w:rtl/>
        </w:rPr>
        <w:t xml:space="preserve"> </w:t>
      </w:r>
      <w:r w:rsidRPr="00FB5BE9">
        <w:rPr>
          <w:rFonts w:hint="eastAsia"/>
          <w:b/>
          <w:bCs/>
          <w:rtl/>
        </w:rPr>
        <w:t>מקיימת</w:t>
      </w:r>
      <w:r w:rsidRPr="00FB5BE9">
        <w:rPr>
          <w:b/>
          <w:bCs/>
          <w:rtl/>
        </w:rPr>
        <w:t xml:space="preserve"> ממשק לקליטת פלטי תוצרי האזנה </w:t>
      </w:r>
      <w:r w:rsidRPr="00FB5BE9">
        <w:rPr>
          <w:rFonts w:hint="eastAsia"/>
          <w:b/>
          <w:bCs/>
          <w:rtl/>
        </w:rPr>
        <w:t>שמקורם</w:t>
      </w:r>
      <w:r w:rsidRPr="00FB5BE9">
        <w:rPr>
          <w:b/>
          <w:bCs/>
          <w:rtl/>
        </w:rPr>
        <w:t xml:space="preserve"> </w:t>
      </w:r>
      <w:r w:rsidRPr="00FB5BE9">
        <w:rPr>
          <w:rFonts w:hint="eastAsia"/>
          <w:b/>
          <w:bCs/>
          <w:rtl/>
        </w:rPr>
        <w:t>בכלים</w:t>
      </w:r>
      <w:r w:rsidRPr="00FB5BE9">
        <w:rPr>
          <w:b/>
          <w:bCs/>
          <w:rtl/>
        </w:rPr>
        <w:t xml:space="preserve"> טכנולוגיים </w:t>
      </w:r>
      <w:r w:rsidRPr="00FB5BE9">
        <w:rPr>
          <w:rFonts w:hint="eastAsia"/>
          <w:b/>
          <w:bCs/>
          <w:rtl/>
        </w:rPr>
        <w:t>מסוימים</w:t>
      </w:r>
      <w:r w:rsidRPr="00FB5BE9">
        <w:rPr>
          <w:b/>
          <w:bCs/>
          <w:rtl/>
        </w:rPr>
        <w:t xml:space="preserve">. כפועל יוצא מכך, </w:t>
      </w:r>
      <w:r w:rsidRPr="00FB5BE9">
        <w:rPr>
          <w:rFonts w:hint="eastAsia"/>
          <w:b/>
          <w:bCs/>
          <w:rtl/>
        </w:rPr>
        <w:t>תוצרי</w:t>
      </w:r>
      <w:r w:rsidRPr="00FB5BE9">
        <w:rPr>
          <w:b/>
          <w:bCs/>
          <w:rtl/>
        </w:rPr>
        <w:t xml:space="preserve"> </w:t>
      </w:r>
      <w:r w:rsidRPr="00FB5BE9">
        <w:rPr>
          <w:rFonts w:hint="eastAsia"/>
          <w:b/>
          <w:bCs/>
          <w:rtl/>
        </w:rPr>
        <w:t>האזנת</w:t>
      </w:r>
      <w:r w:rsidRPr="00FB5BE9">
        <w:rPr>
          <w:b/>
          <w:bCs/>
          <w:rtl/>
        </w:rPr>
        <w:t xml:space="preserve"> </w:t>
      </w:r>
      <w:r w:rsidRPr="00FB5BE9">
        <w:rPr>
          <w:rFonts w:hint="eastAsia"/>
          <w:b/>
          <w:bCs/>
          <w:rtl/>
        </w:rPr>
        <w:t>סתר</w:t>
      </w:r>
      <w:r w:rsidRPr="00FB5BE9">
        <w:rPr>
          <w:b/>
          <w:bCs/>
          <w:rtl/>
        </w:rPr>
        <w:t xml:space="preserve"> </w:t>
      </w:r>
      <w:r w:rsidRPr="00FB5BE9">
        <w:rPr>
          <w:rFonts w:hint="eastAsia"/>
          <w:b/>
          <w:bCs/>
          <w:rtl/>
        </w:rPr>
        <w:t>שנאספו</w:t>
      </w:r>
      <w:r w:rsidRPr="00FB5BE9">
        <w:rPr>
          <w:b/>
          <w:bCs/>
          <w:rtl/>
        </w:rPr>
        <w:t xml:space="preserve"> </w:t>
      </w:r>
      <w:r w:rsidRPr="00FB5BE9">
        <w:rPr>
          <w:rFonts w:hint="eastAsia"/>
          <w:b/>
          <w:bCs/>
          <w:rtl/>
        </w:rPr>
        <w:t>באמצעות</w:t>
      </w:r>
      <w:r w:rsidRPr="00FB5BE9">
        <w:rPr>
          <w:b/>
          <w:bCs/>
          <w:rtl/>
        </w:rPr>
        <w:t xml:space="preserve"> </w:t>
      </w:r>
      <w:r w:rsidRPr="00FB5BE9">
        <w:rPr>
          <w:rFonts w:hint="eastAsia"/>
          <w:b/>
          <w:bCs/>
          <w:rtl/>
        </w:rPr>
        <w:t>כלים</w:t>
      </w:r>
      <w:r w:rsidRPr="00FB5BE9">
        <w:rPr>
          <w:b/>
          <w:bCs/>
          <w:rtl/>
        </w:rPr>
        <w:t xml:space="preserve"> </w:t>
      </w:r>
      <w:r w:rsidRPr="00FB5BE9">
        <w:rPr>
          <w:rFonts w:hint="eastAsia"/>
          <w:b/>
          <w:bCs/>
          <w:rtl/>
        </w:rPr>
        <w:t>טכנולוגיים</w:t>
      </w:r>
      <w:r w:rsidRPr="00FB5BE9">
        <w:rPr>
          <w:b/>
          <w:bCs/>
          <w:rtl/>
        </w:rPr>
        <w:t xml:space="preserve"> </w:t>
      </w:r>
      <w:r w:rsidRPr="00FB5BE9">
        <w:rPr>
          <w:rFonts w:hint="eastAsia"/>
          <w:b/>
          <w:bCs/>
          <w:rtl/>
        </w:rPr>
        <w:t>אינם</w:t>
      </w:r>
      <w:r w:rsidRPr="00FB5BE9">
        <w:rPr>
          <w:b/>
          <w:bCs/>
          <w:rtl/>
        </w:rPr>
        <w:t xml:space="preserve"> </w:t>
      </w:r>
      <w:r w:rsidRPr="00FB5BE9">
        <w:rPr>
          <w:rFonts w:hint="eastAsia"/>
          <w:b/>
          <w:bCs/>
          <w:rtl/>
        </w:rPr>
        <w:t>מופקים</w:t>
      </w:r>
      <w:r w:rsidRPr="00FB5BE9">
        <w:rPr>
          <w:b/>
          <w:bCs/>
          <w:rtl/>
        </w:rPr>
        <w:t xml:space="preserve"> </w:t>
      </w:r>
      <w:r w:rsidRPr="00FB5BE9">
        <w:rPr>
          <w:rFonts w:hint="eastAsia"/>
          <w:b/>
          <w:bCs/>
          <w:rtl/>
        </w:rPr>
        <w:t>באמצעות</w:t>
      </w:r>
      <w:r w:rsidRPr="00FB5BE9">
        <w:rPr>
          <w:b/>
          <w:bCs/>
          <w:rtl/>
        </w:rPr>
        <w:t xml:space="preserve"> </w:t>
      </w:r>
      <w:r w:rsidRPr="00FB5BE9">
        <w:rPr>
          <w:rFonts w:hint="eastAsia"/>
          <w:b/>
          <w:bCs/>
          <w:rtl/>
        </w:rPr>
        <w:t>המערכת</w:t>
      </w:r>
      <w:r w:rsidRPr="00FB5BE9">
        <w:rPr>
          <w:b/>
          <w:bCs/>
          <w:rtl/>
        </w:rPr>
        <w:t>.</w:t>
      </w:r>
    </w:p>
    <w:p w:rsidR="009A1216" w:rsidRDefault="009A1216" w:rsidP="00B25F60">
      <w:pPr>
        <w:pStyle w:val="a5"/>
        <w:spacing w:line="269" w:lineRule="auto"/>
        <w:ind w:left="720"/>
        <w:rPr>
          <w:rtl/>
        </w:rPr>
      </w:pPr>
    </w:p>
    <w:p w:rsidR="009A1216" w:rsidRPr="0069760B" w:rsidRDefault="009A1216" w:rsidP="00B25F60">
      <w:pPr>
        <w:spacing w:line="269" w:lineRule="auto"/>
        <w:ind w:left="720"/>
        <w:rPr>
          <w:rtl/>
        </w:rPr>
      </w:pPr>
      <w:r w:rsidRPr="0069760B">
        <w:rPr>
          <w:rFonts w:hint="cs"/>
          <w:rtl/>
        </w:rPr>
        <w:t xml:space="preserve">המשטרה מסרה כי </w:t>
      </w:r>
      <w:r w:rsidRPr="0069760B">
        <w:rPr>
          <w:rtl/>
        </w:rPr>
        <w:t xml:space="preserve">מרבית האזנות הסתר </w:t>
      </w:r>
      <w:r>
        <w:rPr>
          <w:rFonts w:hint="cs"/>
          <w:rtl/>
        </w:rPr>
        <w:t>מנוהלות ב</w:t>
      </w:r>
      <w:r w:rsidRPr="0069760B">
        <w:rPr>
          <w:rFonts w:hint="cs"/>
          <w:rtl/>
        </w:rPr>
        <w:t>מערכת המרכזית לניהול הפקה</w:t>
      </w:r>
      <w:r w:rsidRPr="0069760B">
        <w:rPr>
          <w:rtl/>
        </w:rPr>
        <w:t xml:space="preserve"> </w:t>
      </w:r>
      <w:r>
        <w:rPr>
          <w:rFonts w:hint="cs"/>
          <w:rtl/>
        </w:rPr>
        <w:t xml:space="preserve">ואילו </w:t>
      </w:r>
      <w:r w:rsidRPr="0069760B">
        <w:rPr>
          <w:rtl/>
        </w:rPr>
        <w:t>האזנ</w:t>
      </w:r>
      <w:r>
        <w:rPr>
          <w:rFonts w:hint="cs"/>
          <w:rtl/>
        </w:rPr>
        <w:t>ו</w:t>
      </w:r>
      <w:r w:rsidRPr="0069760B">
        <w:rPr>
          <w:rtl/>
        </w:rPr>
        <w:t>ת סתר לתקשורת בין מחשבים</w:t>
      </w:r>
      <w:r>
        <w:rPr>
          <w:rFonts w:hint="cs"/>
          <w:rtl/>
        </w:rPr>
        <w:t xml:space="preserve"> אינן מנוהלות במערכת זו, אך</w:t>
      </w:r>
      <w:r w:rsidRPr="0069760B">
        <w:rPr>
          <w:rtl/>
        </w:rPr>
        <w:t xml:space="preserve"> מדובר באופן יחסי בכמות מצומצמת של האזנות (כ15% בלבד).</w:t>
      </w:r>
    </w:p>
    <w:p w:rsidR="00BF2704" w:rsidRDefault="00BF2704" w:rsidP="00B25F60">
      <w:pPr>
        <w:spacing w:line="269" w:lineRule="auto"/>
        <w:ind w:left="720"/>
        <w:rPr>
          <w:b/>
          <w:bCs/>
          <w:rtl/>
        </w:rPr>
      </w:pPr>
    </w:p>
    <w:p w:rsidR="009A1216" w:rsidRPr="00B5340D" w:rsidRDefault="009A1216" w:rsidP="00B25F60">
      <w:pPr>
        <w:spacing w:line="269" w:lineRule="auto"/>
        <w:ind w:left="720"/>
        <w:rPr>
          <w:b/>
          <w:bCs/>
          <w:rtl/>
        </w:rPr>
      </w:pPr>
      <w:r w:rsidRPr="00B5340D">
        <w:rPr>
          <w:rFonts w:hint="eastAsia"/>
          <w:b/>
          <w:bCs/>
          <w:rtl/>
        </w:rPr>
        <w:t>החל</w:t>
      </w:r>
      <w:r w:rsidRPr="00B5340D">
        <w:rPr>
          <w:b/>
          <w:bCs/>
          <w:rtl/>
        </w:rPr>
        <w:t xml:space="preserve"> </w:t>
      </w:r>
      <w:r w:rsidRPr="00B5340D">
        <w:rPr>
          <w:rFonts w:hint="eastAsia"/>
          <w:b/>
          <w:bCs/>
          <w:rtl/>
        </w:rPr>
        <w:t>בשנת</w:t>
      </w:r>
      <w:r w:rsidRPr="00B5340D">
        <w:rPr>
          <w:b/>
          <w:bCs/>
          <w:rtl/>
        </w:rPr>
        <w:t xml:space="preserve"> 2011 המשטרה הפיקה תוצרי האזנה של תקשורת בין מחשבים, שנאספו באמצעות כלים טכנולוגיים מסוימים, באופן ידני ומחוץ למערכת ההפקה המרכזית שבידה. </w:t>
      </w:r>
      <w:r w:rsidRPr="00B5340D">
        <w:rPr>
          <w:rFonts w:hint="eastAsia"/>
          <w:b/>
          <w:bCs/>
          <w:rtl/>
        </w:rPr>
        <w:t>לעיתים</w:t>
      </w:r>
      <w:r w:rsidRPr="00B5340D">
        <w:rPr>
          <w:b/>
          <w:bCs/>
          <w:rtl/>
        </w:rPr>
        <w:t xml:space="preserve"> ההפקה </w:t>
      </w:r>
      <w:r w:rsidRPr="00B5340D">
        <w:rPr>
          <w:rFonts w:hint="eastAsia"/>
          <w:b/>
          <w:bCs/>
          <w:rtl/>
        </w:rPr>
        <w:t>בוצעה</w:t>
      </w:r>
      <w:r w:rsidRPr="00B5340D">
        <w:rPr>
          <w:b/>
          <w:bCs/>
          <w:rtl/>
        </w:rPr>
        <w:t xml:space="preserve"> בכלי הטכנולוגי עצמו, ולרוב </w:t>
      </w:r>
      <w:r w:rsidRPr="00B5340D">
        <w:rPr>
          <w:rFonts w:hint="eastAsia"/>
          <w:b/>
          <w:bCs/>
          <w:rtl/>
        </w:rPr>
        <w:t>באופן</w:t>
      </w:r>
      <w:r w:rsidRPr="00B5340D">
        <w:rPr>
          <w:b/>
          <w:bCs/>
          <w:rtl/>
        </w:rPr>
        <w:t xml:space="preserve"> </w:t>
      </w:r>
      <w:r w:rsidRPr="00B5340D">
        <w:rPr>
          <w:rFonts w:hint="eastAsia"/>
          <w:b/>
          <w:bCs/>
          <w:rtl/>
        </w:rPr>
        <w:t>ידני</w:t>
      </w:r>
      <w:r w:rsidRPr="00B5340D">
        <w:rPr>
          <w:b/>
          <w:bCs/>
          <w:rtl/>
        </w:rPr>
        <w:t xml:space="preserve">. </w:t>
      </w:r>
      <w:r w:rsidRPr="00B5340D">
        <w:rPr>
          <w:rFonts w:hint="eastAsia"/>
          <w:b/>
          <w:bCs/>
          <w:rtl/>
        </w:rPr>
        <w:t>תוצרי</w:t>
      </w:r>
      <w:r w:rsidRPr="00B5340D">
        <w:rPr>
          <w:b/>
          <w:bCs/>
          <w:rtl/>
        </w:rPr>
        <w:t xml:space="preserve"> ההפקה נשמרו במערכת מאובטחת לאחסון מסמכים באופן ספורדי </w:t>
      </w:r>
      <w:r w:rsidRPr="00B5340D">
        <w:rPr>
          <w:rFonts w:hint="eastAsia"/>
          <w:b/>
          <w:bCs/>
          <w:rtl/>
        </w:rPr>
        <w:t>וללא</w:t>
      </w:r>
      <w:r w:rsidRPr="00B5340D">
        <w:rPr>
          <w:b/>
          <w:bCs/>
          <w:rtl/>
        </w:rPr>
        <w:t xml:space="preserve"> </w:t>
      </w:r>
      <w:r w:rsidRPr="00B5340D">
        <w:rPr>
          <w:rFonts w:hint="eastAsia"/>
          <w:b/>
          <w:bCs/>
          <w:rtl/>
        </w:rPr>
        <w:t>תהליכי</w:t>
      </w:r>
      <w:r w:rsidRPr="00B5340D">
        <w:rPr>
          <w:b/>
          <w:bCs/>
          <w:rtl/>
        </w:rPr>
        <w:t xml:space="preserve"> </w:t>
      </w:r>
      <w:r w:rsidRPr="00B5340D">
        <w:rPr>
          <w:rFonts w:hint="eastAsia"/>
          <w:b/>
          <w:bCs/>
          <w:rtl/>
        </w:rPr>
        <w:t>תיוק</w:t>
      </w:r>
      <w:r w:rsidRPr="00B5340D">
        <w:rPr>
          <w:b/>
          <w:bCs/>
          <w:rtl/>
        </w:rPr>
        <w:t xml:space="preserve"> </w:t>
      </w:r>
      <w:r w:rsidRPr="00B5340D">
        <w:rPr>
          <w:rFonts w:hint="eastAsia"/>
          <w:b/>
          <w:bCs/>
          <w:rtl/>
        </w:rPr>
        <w:t>וארכוב</w:t>
      </w:r>
      <w:r w:rsidRPr="00B5340D">
        <w:rPr>
          <w:b/>
          <w:bCs/>
          <w:rtl/>
        </w:rPr>
        <w:t xml:space="preserve"> </w:t>
      </w:r>
      <w:r w:rsidRPr="00B5340D">
        <w:rPr>
          <w:rFonts w:hint="eastAsia"/>
          <w:b/>
          <w:bCs/>
          <w:rtl/>
        </w:rPr>
        <w:t>סדורים</w:t>
      </w:r>
      <w:r w:rsidRPr="00B5340D">
        <w:rPr>
          <w:b/>
          <w:bCs/>
          <w:rtl/>
        </w:rPr>
        <w:t xml:space="preserve">. </w:t>
      </w:r>
      <w:r w:rsidRPr="00B5340D">
        <w:rPr>
          <w:rFonts w:hint="eastAsia"/>
          <w:b/>
          <w:bCs/>
          <w:rtl/>
        </w:rPr>
        <w:t>רק</w:t>
      </w:r>
      <w:r w:rsidRPr="00B5340D">
        <w:rPr>
          <w:b/>
          <w:bCs/>
          <w:rtl/>
        </w:rPr>
        <w:t xml:space="preserve"> בשנת 2022 </w:t>
      </w:r>
      <w:r w:rsidRPr="00976417">
        <w:rPr>
          <w:rFonts w:hint="cs"/>
          <w:b/>
          <w:bCs/>
          <w:rtl/>
        </w:rPr>
        <w:t xml:space="preserve">החלה </w:t>
      </w:r>
      <w:r w:rsidRPr="00B5340D">
        <w:rPr>
          <w:rFonts w:hint="eastAsia"/>
          <w:b/>
          <w:bCs/>
          <w:rtl/>
        </w:rPr>
        <w:t>המשטרה</w:t>
      </w:r>
      <w:r w:rsidRPr="00B5340D">
        <w:rPr>
          <w:b/>
          <w:bCs/>
          <w:rtl/>
        </w:rPr>
        <w:t xml:space="preserve"> </w:t>
      </w:r>
      <w:r w:rsidRPr="00B5340D">
        <w:rPr>
          <w:rFonts w:hint="eastAsia"/>
          <w:b/>
          <w:bCs/>
          <w:rtl/>
        </w:rPr>
        <w:t>ליישם</w:t>
      </w:r>
      <w:r w:rsidRPr="00B5340D">
        <w:rPr>
          <w:b/>
          <w:bCs/>
          <w:rtl/>
        </w:rPr>
        <w:t xml:space="preserve"> פתרון חלקי להפקת תוצרי האזנת סתר לתקשורת בין מחשבים במערכת ההפקה המרכזית. כפועל יוצא מכך, </w:t>
      </w:r>
      <w:r w:rsidRPr="00B5340D">
        <w:rPr>
          <w:rFonts w:hint="eastAsia"/>
          <w:b/>
          <w:bCs/>
          <w:rtl/>
        </w:rPr>
        <w:t>המשטרה</w:t>
      </w:r>
      <w:r w:rsidRPr="00B5340D">
        <w:rPr>
          <w:b/>
          <w:bCs/>
          <w:rtl/>
        </w:rPr>
        <w:t xml:space="preserve"> ניהלה תהליכי הפקה של תוצרי האזנת סתר לתקשורת בין מחשבים באופן ידני, מסורבל, בלתי סדור וללא שימור זיקה שאינה ניתנת לניתוק בין תוצרי ההאזנה לבין יעד ההאזנה. </w:t>
      </w:r>
    </w:p>
    <w:p w:rsidR="00BF2704" w:rsidRDefault="00BF2704" w:rsidP="00B25F60">
      <w:pPr>
        <w:spacing w:line="269" w:lineRule="auto"/>
        <w:ind w:left="720"/>
        <w:rPr>
          <w:b/>
          <w:bCs/>
          <w:rtl/>
        </w:rPr>
      </w:pPr>
    </w:p>
    <w:p w:rsidR="00BF2704" w:rsidRDefault="009A1216" w:rsidP="00B25F60">
      <w:pPr>
        <w:spacing w:line="269" w:lineRule="auto"/>
        <w:ind w:left="720"/>
        <w:rPr>
          <w:b/>
          <w:bCs/>
          <w:rtl/>
        </w:rPr>
      </w:pPr>
      <w:r>
        <w:rPr>
          <w:rFonts w:hint="cs"/>
          <w:b/>
          <w:bCs/>
          <w:rtl/>
        </w:rPr>
        <w:t>דרך זו אף פוגעת ביכולת המשטרה לפקח על הפקת תוצרי האזנת הסתר ועל מידת עמידת גורמי ההפקה בדרישות הדין. זאת משום ש</w:t>
      </w:r>
      <w:bookmarkStart w:id="553" w:name="_Hlk188252999"/>
      <w:r>
        <w:rPr>
          <w:rFonts w:hint="cs"/>
          <w:b/>
          <w:bCs/>
          <w:rtl/>
        </w:rPr>
        <w:t>ניהול מבוזר של ההפקה מקשה את ניהול הפעולות בפנקס האזנות סתר, את הבקרה על זהות הגורמים שעיינו בתוצרי ההאזנה או במוצרי המודיעין שהוכנו בעניינם ואת בדיקת ההלימה בין מימוש ההאזנה לבין מגבלות הצו.</w:t>
      </w:r>
      <w:r>
        <w:rPr>
          <w:rFonts w:hint="cs"/>
          <w:rtl/>
        </w:rPr>
        <w:t xml:space="preserve"> </w:t>
      </w:r>
      <w:r>
        <w:rPr>
          <w:rFonts w:hint="cs"/>
          <w:b/>
          <w:bCs/>
          <w:rtl/>
        </w:rPr>
        <w:t>התנהלות זו מגבילה את יכולת הפיקוח והבקרה על ההפקה, ב</w:t>
      </w:r>
      <w:r w:rsidRPr="00E77838">
        <w:rPr>
          <w:rFonts w:hint="cs"/>
          <w:b/>
          <w:bCs/>
          <w:rtl/>
        </w:rPr>
        <w:t>שרשרת הראיות</w:t>
      </w:r>
      <w:r>
        <w:rPr>
          <w:rFonts w:hint="cs"/>
          <w:b/>
          <w:bCs/>
          <w:rtl/>
        </w:rPr>
        <w:t xml:space="preserve"> בתיקי המודיעין והחקירה, ואת היכולת לתחקר ולהפיק לקחים מאירועים שבהם עולה חשש שנעשתה פעולה </w:t>
      </w:r>
      <w:bookmarkEnd w:id="553"/>
      <w:r w:rsidR="00BC1083">
        <w:rPr>
          <w:rFonts w:hint="cs"/>
          <w:b/>
          <w:bCs/>
          <w:rtl/>
        </w:rPr>
        <w:t>אסורה</w:t>
      </w:r>
      <w:r>
        <w:rPr>
          <w:rFonts w:hint="cs"/>
          <w:b/>
          <w:bCs/>
          <w:rtl/>
        </w:rPr>
        <w:t>.</w:t>
      </w:r>
      <w:r w:rsidRPr="00E77838">
        <w:rPr>
          <w:rFonts w:hint="cs"/>
          <w:b/>
          <w:bCs/>
          <w:rtl/>
        </w:rPr>
        <w:t xml:space="preserve"> </w:t>
      </w:r>
    </w:p>
    <w:p w:rsidR="00C4338B" w:rsidRPr="00C4338B" w:rsidRDefault="00C4338B" w:rsidP="00C4338B">
      <w:pPr>
        <w:spacing w:line="269" w:lineRule="auto"/>
        <w:rPr>
          <w:b/>
          <w:bCs/>
        </w:rPr>
      </w:pPr>
    </w:p>
    <w:p w:rsidR="009A1216" w:rsidRDefault="009A1216" w:rsidP="00B25F60">
      <w:pPr>
        <w:pStyle w:val="5"/>
        <w:numPr>
          <w:ilvl w:val="0"/>
          <w:numId w:val="45"/>
        </w:numPr>
        <w:spacing w:line="269" w:lineRule="auto"/>
        <w:ind w:left="787"/>
        <w:rPr>
          <w:rtl/>
        </w:rPr>
      </w:pPr>
      <w:r>
        <w:rPr>
          <w:rFonts w:hint="cs"/>
          <w:rtl/>
        </w:rPr>
        <w:t xml:space="preserve">ניהול המידע על תהליך הפקת תוצרי האזנת סתר </w:t>
      </w:r>
    </w:p>
    <w:p w:rsidR="00BF2704" w:rsidRDefault="00BF2704" w:rsidP="00604C3D">
      <w:pPr>
        <w:spacing w:line="269" w:lineRule="auto"/>
        <w:rPr>
          <w:rtl/>
        </w:rPr>
      </w:pPr>
    </w:p>
    <w:p w:rsidR="009A1216" w:rsidRDefault="009A1216" w:rsidP="00B25F60">
      <w:pPr>
        <w:spacing w:line="269" w:lineRule="auto"/>
        <w:ind w:left="720"/>
        <w:rPr>
          <w:rtl/>
        </w:rPr>
      </w:pPr>
      <w:r>
        <w:rPr>
          <w:rFonts w:hint="cs"/>
          <w:rtl/>
        </w:rPr>
        <w:t xml:space="preserve">כאמור, </w:t>
      </w:r>
      <w:r w:rsidRPr="00F702C2">
        <w:rPr>
          <w:rFonts w:hint="cs"/>
          <w:rtl/>
        </w:rPr>
        <w:t>לפי מאגרי הנתונים, בעת השימוש בכלי טכנולוגי</w:t>
      </w:r>
      <w:r>
        <w:rPr>
          <w:rFonts w:hint="cs"/>
          <w:rtl/>
        </w:rPr>
        <w:t xml:space="preserve"> מסוים מתחילת שנת 2018 ועד תחילת שנת 2022</w:t>
      </w:r>
      <w:r w:rsidRPr="00F702C2">
        <w:rPr>
          <w:rFonts w:hint="cs"/>
          <w:rtl/>
        </w:rPr>
        <w:t xml:space="preserve">, נאספו </w:t>
      </w:r>
      <w:r>
        <w:rPr>
          <w:rFonts w:hint="cs"/>
          <w:rtl/>
        </w:rPr>
        <w:t>כ-7.63 מיליון</w:t>
      </w:r>
      <w:r w:rsidRPr="00F702C2">
        <w:rPr>
          <w:rFonts w:hint="cs"/>
          <w:rtl/>
        </w:rPr>
        <w:t xml:space="preserve"> תוצרי האזנת סתר</w:t>
      </w:r>
      <w:r>
        <w:rPr>
          <w:rFonts w:hint="cs"/>
          <w:rtl/>
        </w:rPr>
        <w:t xml:space="preserve"> </w:t>
      </w:r>
      <w:r w:rsidR="00DB1A9A">
        <w:rPr>
          <w:rFonts w:hint="cs"/>
          <w:rtl/>
        </w:rPr>
        <w:t xml:space="preserve">ממאות </w:t>
      </w:r>
      <w:r w:rsidRPr="00F702C2">
        <w:rPr>
          <w:rFonts w:hint="cs"/>
          <w:rtl/>
        </w:rPr>
        <w:t>מטרות</w:t>
      </w:r>
      <w:r>
        <w:rPr>
          <w:rFonts w:hint="cs"/>
          <w:rtl/>
        </w:rPr>
        <w:t xml:space="preserve">. היקף תוצרי האזנת הסתר לכל יעד האזנה עשוי להשתנות במידה ניכרת בהתאם לאורחות חייו הדיגיטליים של היעד. עם זאת, ניתן להעריך כי נאספו אלפי תוצרי האזנת סתר לכל יעד האזנה. הערכה זו עולה בקנה אחד גם עם סקירת כלי טכנולוגי מסוים על ידי נציגי משרד מבקר המדינה. </w:t>
      </w:r>
    </w:p>
    <w:p w:rsidR="00BF2704" w:rsidRDefault="00BF2704" w:rsidP="00B25F60">
      <w:pPr>
        <w:spacing w:line="269" w:lineRule="auto"/>
        <w:ind w:left="720"/>
        <w:rPr>
          <w:rtl/>
        </w:rPr>
      </w:pPr>
    </w:p>
    <w:p w:rsidR="009A1216" w:rsidRPr="00E674DA" w:rsidRDefault="009A1216" w:rsidP="00B25F60">
      <w:pPr>
        <w:spacing w:line="269" w:lineRule="auto"/>
        <w:ind w:left="720"/>
        <w:rPr>
          <w:rtl/>
        </w:rPr>
      </w:pPr>
      <w:r>
        <w:rPr>
          <w:rFonts w:hint="cs"/>
          <w:rtl/>
        </w:rPr>
        <w:t xml:space="preserve">יצוין כי </w:t>
      </w:r>
      <w:r w:rsidRPr="00E674DA">
        <w:rPr>
          <w:rFonts w:hint="cs"/>
          <w:rtl/>
        </w:rPr>
        <w:t xml:space="preserve">כבר בשנת 2004 עמד מבקר המדינה על החשיבות שבבחינת יעילות האזנת הסתר ומידת השגת יעדן של האזנות הסתר, בהתאם לבקשה </w:t>
      </w:r>
      <w:r>
        <w:rPr>
          <w:rFonts w:hint="cs"/>
          <w:rtl/>
        </w:rPr>
        <w:t>ש</w:t>
      </w:r>
      <w:r w:rsidRPr="00E674DA">
        <w:rPr>
          <w:rFonts w:hint="cs"/>
          <w:rtl/>
        </w:rPr>
        <w:t>בצו</w:t>
      </w:r>
      <w:r>
        <w:rPr>
          <w:rStyle w:val="af"/>
          <w:rtl/>
        </w:rPr>
        <w:footnoteReference w:id="212"/>
      </w:r>
      <w:r w:rsidRPr="00E674DA">
        <w:rPr>
          <w:rFonts w:hint="cs"/>
          <w:rtl/>
        </w:rPr>
        <w:t xml:space="preserve">. </w:t>
      </w:r>
    </w:p>
    <w:p w:rsidR="00BF2704" w:rsidRDefault="00BF2704" w:rsidP="00B25F60">
      <w:pPr>
        <w:spacing w:line="269" w:lineRule="auto"/>
        <w:ind w:left="720"/>
        <w:rPr>
          <w:b/>
          <w:bCs/>
          <w:rtl/>
        </w:rPr>
      </w:pPr>
    </w:p>
    <w:p w:rsidR="009A1216" w:rsidRDefault="009A1216" w:rsidP="00B25F60">
      <w:pPr>
        <w:spacing w:line="269" w:lineRule="auto"/>
        <w:ind w:left="720"/>
        <w:rPr>
          <w:b/>
          <w:bCs/>
          <w:rtl/>
        </w:rPr>
      </w:pPr>
      <w:r>
        <w:rPr>
          <w:rFonts w:hint="cs"/>
          <w:b/>
          <w:bCs/>
          <w:rtl/>
        </w:rPr>
        <w:t xml:space="preserve">לנוכח היעדרה של מערכת מרכזית להפקה שבה מנוהלים כל תוצרי האזנת הסתר לתקשורת בין מחשבים, </w:t>
      </w:r>
      <w:r w:rsidRPr="00E77838">
        <w:rPr>
          <w:rFonts w:hint="cs"/>
          <w:b/>
          <w:bCs/>
          <w:rtl/>
        </w:rPr>
        <w:t xml:space="preserve">חטיבת הסייבר </w:t>
      </w:r>
      <w:r>
        <w:rPr>
          <w:rFonts w:hint="cs"/>
          <w:b/>
          <w:bCs/>
          <w:rtl/>
        </w:rPr>
        <w:t xml:space="preserve">אינה יכולה לתכלל את מיליוני תוצרי האזנת הסתר שהופקו </w:t>
      </w:r>
      <w:r w:rsidRPr="00E77838">
        <w:rPr>
          <w:rFonts w:hint="cs"/>
          <w:b/>
          <w:bCs/>
          <w:rtl/>
        </w:rPr>
        <w:t>על ידה</w:t>
      </w:r>
      <w:r>
        <w:rPr>
          <w:rFonts w:hint="cs"/>
          <w:b/>
          <w:bCs/>
          <w:rtl/>
        </w:rPr>
        <w:t xml:space="preserve">. </w:t>
      </w:r>
      <w:bookmarkStart w:id="554" w:name="_Hlk188253162"/>
      <w:r>
        <w:rPr>
          <w:rFonts w:hint="cs"/>
          <w:b/>
          <w:bCs/>
          <w:rtl/>
        </w:rPr>
        <w:t xml:space="preserve">לפיכך אין היא </w:t>
      </w:r>
      <w:bookmarkStart w:id="555" w:name="_Hlk188253069"/>
      <w:r>
        <w:rPr>
          <w:rFonts w:hint="cs"/>
          <w:b/>
          <w:bCs/>
          <w:rtl/>
        </w:rPr>
        <w:t xml:space="preserve">יכולה לנהל את תהליך ההפקה בכללותו ולנתח את אפקטיביות ההפקה. </w:t>
      </w:r>
      <w:r w:rsidRPr="00EF0ADD">
        <w:rPr>
          <w:rFonts w:hint="cs"/>
          <w:b/>
          <w:bCs/>
          <w:rtl/>
        </w:rPr>
        <w:t xml:space="preserve">הפיקוח </w:t>
      </w:r>
      <w:r>
        <w:rPr>
          <w:rFonts w:hint="cs"/>
          <w:b/>
          <w:bCs/>
          <w:rtl/>
        </w:rPr>
        <w:t xml:space="preserve">על האפקטיביות </w:t>
      </w:r>
      <w:r w:rsidRPr="00EF0ADD">
        <w:rPr>
          <w:rFonts w:hint="cs"/>
          <w:b/>
          <w:bCs/>
          <w:rtl/>
        </w:rPr>
        <w:t xml:space="preserve">עשוי להתרופף </w:t>
      </w:r>
      <w:r>
        <w:rPr>
          <w:rFonts w:hint="cs"/>
          <w:b/>
          <w:bCs/>
          <w:rtl/>
        </w:rPr>
        <w:t xml:space="preserve">עם הזמן </w:t>
      </w:r>
      <w:r w:rsidRPr="00EF0ADD">
        <w:rPr>
          <w:rFonts w:hint="cs"/>
          <w:b/>
          <w:bCs/>
          <w:rtl/>
        </w:rPr>
        <w:t>לנוכח היקפים הולכים וגדלים של האזנות</w:t>
      </w:r>
      <w:r>
        <w:rPr>
          <w:rFonts w:hint="cs"/>
          <w:b/>
          <w:bCs/>
          <w:rtl/>
        </w:rPr>
        <w:t>, תוצרים וריבוי סוגי התוצרים</w:t>
      </w:r>
      <w:r w:rsidRPr="00EF0ADD">
        <w:rPr>
          <w:rFonts w:hint="cs"/>
          <w:b/>
          <w:bCs/>
          <w:rtl/>
        </w:rPr>
        <w:t>.</w:t>
      </w:r>
      <w:bookmarkEnd w:id="554"/>
      <w:r>
        <w:rPr>
          <w:rFonts w:hint="cs"/>
          <w:b/>
          <w:bCs/>
          <w:rtl/>
        </w:rPr>
        <w:t xml:space="preserve"> </w:t>
      </w:r>
      <w:bookmarkEnd w:id="555"/>
      <w:r>
        <w:rPr>
          <w:rFonts w:hint="cs"/>
          <w:b/>
          <w:bCs/>
          <w:rtl/>
        </w:rPr>
        <w:t>מערכת הפקה מרכזית עשויה אף לסייע בבחינת</w:t>
      </w:r>
      <w:r w:rsidRPr="006A0A5E">
        <w:rPr>
          <w:b/>
          <w:bCs/>
          <w:rtl/>
        </w:rPr>
        <w:t xml:space="preserve"> פתרונות טכנולוגיים להפקת תוצרי האזנה בהתאם לסוגם</w:t>
      </w:r>
      <w:r>
        <w:rPr>
          <w:rFonts w:hint="cs"/>
          <w:b/>
          <w:bCs/>
          <w:rtl/>
        </w:rPr>
        <w:t>.</w:t>
      </w:r>
    </w:p>
    <w:p w:rsidR="009A1216" w:rsidRDefault="009A1216" w:rsidP="00B25F60">
      <w:pPr>
        <w:pStyle w:val="a5"/>
        <w:spacing w:line="269" w:lineRule="auto"/>
        <w:ind w:left="720"/>
        <w:rPr>
          <w:rtl/>
        </w:rPr>
      </w:pPr>
    </w:p>
    <w:p w:rsidR="009A1216" w:rsidRDefault="009A1216" w:rsidP="00B25F60">
      <w:pPr>
        <w:spacing w:line="269" w:lineRule="auto"/>
        <w:ind w:left="720"/>
      </w:pPr>
      <w:r>
        <w:rPr>
          <w:rFonts w:hint="eastAsia"/>
          <w:rtl/>
        </w:rPr>
        <w:t>המשטרה</w:t>
      </w:r>
      <w:r w:rsidRPr="00234CB9">
        <w:rPr>
          <w:rtl/>
        </w:rPr>
        <w:t xml:space="preserve"> </w:t>
      </w:r>
      <w:r w:rsidRPr="00234CB9">
        <w:rPr>
          <w:rFonts w:hint="eastAsia"/>
          <w:rtl/>
        </w:rPr>
        <w:t>מסרה</w:t>
      </w:r>
      <w:r w:rsidRPr="00234CB9">
        <w:rPr>
          <w:rtl/>
        </w:rPr>
        <w:t xml:space="preserve"> </w:t>
      </w:r>
      <w:r w:rsidRPr="00234CB9">
        <w:rPr>
          <w:rFonts w:hint="eastAsia"/>
          <w:rtl/>
        </w:rPr>
        <w:t>בתשובתה</w:t>
      </w:r>
      <w:r w:rsidRPr="00234CB9">
        <w:rPr>
          <w:rtl/>
        </w:rPr>
        <w:t xml:space="preserve"> </w:t>
      </w:r>
      <w:r w:rsidRPr="00234CB9">
        <w:rPr>
          <w:rFonts w:hint="eastAsia"/>
          <w:rtl/>
        </w:rPr>
        <w:t>כי</w:t>
      </w:r>
      <w:r w:rsidRPr="00234CB9">
        <w:rPr>
          <w:rtl/>
        </w:rPr>
        <w:t xml:space="preserve"> </w:t>
      </w:r>
      <w:r w:rsidRPr="00234CB9">
        <w:rPr>
          <w:rFonts w:hint="eastAsia"/>
          <w:rtl/>
        </w:rPr>
        <w:t>חיבור</w:t>
      </w:r>
      <w:r w:rsidRPr="00234CB9">
        <w:rPr>
          <w:rtl/>
        </w:rPr>
        <w:t xml:space="preserve"> </w:t>
      </w:r>
      <w:r w:rsidRPr="00234CB9">
        <w:rPr>
          <w:rFonts w:hint="eastAsia"/>
          <w:rtl/>
        </w:rPr>
        <w:t>תוצרי</w:t>
      </w:r>
      <w:r w:rsidRPr="00234CB9">
        <w:rPr>
          <w:rtl/>
        </w:rPr>
        <w:t xml:space="preserve"> </w:t>
      </w:r>
      <w:r w:rsidRPr="00234CB9">
        <w:rPr>
          <w:rFonts w:hint="eastAsia"/>
          <w:rtl/>
        </w:rPr>
        <w:t>ההאזנה</w:t>
      </w:r>
      <w:r w:rsidRPr="00234CB9">
        <w:rPr>
          <w:rtl/>
        </w:rPr>
        <w:t xml:space="preserve"> </w:t>
      </w:r>
      <w:r w:rsidRPr="00234CB9">
        <w:rPr>
          <w:rFonts w:hint="eastAsia"/>
          <w:rtl/>
        </w:rPr>
        <w:t>ממערכות</w:t>
      </w:r>
      <w:r w:rsidRPr="00234CB9">
        <w:rPr>
          <w:rtl/>
        </w:rPr>
        <w:t xml:space="preserve"> </w:t>
      </w:r>
      <w:r w:rsidRPr="00234CB9">
        <w:rPr>
          <w:rFonts w:hint="eastAsia"/>
          <w:rtl/>
        </w:rPr>
        <w:t>וכלים</w:t>
      </w:r>
      <w:r w:rsidRPr="00234CB9">
        <w:rPr>
          <w:rtl/>
        </w:rPr>
        <w:t xml:space="preserve"> </w:t>
      </w:r>
      <w:r w:rsidRPr="00234CB9">
        <w:rPr>
          <w:rFonts w:hint="eastAsia"/>
          <w:rtl/>
        </w:rPr>
        <w:t>שונים</w:t>
      </w:r>
      <w:r w:rsidRPr="00234CB9">
        <w:rPr>
          <w:rtl/>
        </w:rPr>
        <w:t xml:space="preserve"> </w:t>
      </w:r>
      <w:r w:rsidRPr="00234CB9">
        <w:rPr>
          <w:rFonts w:hint="eastAsia"/>
          <w:rtl/>
        </w:rPr>
        <w:t>הוא</w:t>
      </w:r>
      <w:r w:rsidRPr="00234CB9">
        <w:rPr>
          <w:rtl/>
        </w:rPr>
        <w:t xml:space="preserve"> </w:t>
      </w:r>
      <w:r w:rsidRPr="00234CB9">
        <w:rPr>
          <w:rFonts w:hint="eastAsia"/>
          <w:rtl/>
        </w:rPr>
        <w:t>אתגר</w:t>
      </w:r>
      <w:r w:rsidRPr="00234CB9">
        <w:rPr>
          <w:rtl/>
        </w:rPr>
        <w:t xml:space="preserve"> </w:t>
      </w:r>
      <w:r w:rsidRPr="00234CB9">
        <w:rPr>
          <w:rFonts w:hint="eastAsia"/>
          <w:rtl/>
        </w:rPr>
        <w:t>טכנולוגי</w:t>
      </w:r>
      <w:r w:rsidRPr="00234CB9">
        <w:rPr>
          <w:rtl/>
        </w:rPr>
        <w:t xml:space="preserve"> </w:t>
      </w:r>
      <w:r w:rsidRPr="00234CB9">
        <w:rPr>
          <w:rFonts w:hint="eastAsia"/>
          <w:rtl/>
        </w:rPr>
        <w:t>מורכב</w:t>
      </w:r>
      <w:r>
        <w:rPr>
          <w:rFonts w:hint="cs"/>
          <w:rtl/>
        </w:rPr>
        <w:t>,</w:t>
      </w:r>
      <w:r w:rsidRPr="00234CB9">
        <w:rPr>
          <w:rtl/>
        </w:rPr>
        <w:t xml:space="preserve"> </w:t>
      </w:r>
      <w:r w:rsidRPr="00234CB9">
        <w:rPr>
          <w:rFonts w:hint="eastAsia"/>
          <w:rtl/>
        </w:rPr>
        <w:t>מבין</w:t>
      </w:r>
      <w:r w:rsidRPr="00234CB9">
        <w:rPr>
          <w:rtl/>
        </w:rPr>
        <w:t xml:space="preserve"> האתגרים: </w:t>
      </w:r>
      <w:r w:rsidRPr="00234CB9">
        <w:rPr>
          <w:rFonts w:hint="eastAsia"/>
          <w:rtl/>
        </w:rPr>
        <w:t>הצורך</w:t>
      </w:r>
      <w:r w:rsidRPr="00234CB9">
        <w:rPr>
          <w:rtl/>
        </w:rPr>
        <w:t xml:space="preserve"> להקים ממשק בין </w:t>
      </w:r>
      <w:r>
        <w:rPr>
          <w:rFonts w:hint="cs"/>
          <w:rtl/>
        </w:rPr>
        <w:t>כמה</w:t>
      </w:r>
      <w:r w:rsidRPr="00234CB9">
        <w:rPr>
          <w:rtl/>
        </w:rPr>
        <w:t xml:space="preserve"> כלים ומערכות והסיכון </w:t>
      </w:r>
      <w:r w:rsidRPr="00234CB9">
        <w:rPr>
          <w:rFonts w:hint="eastAsia"/>
          <w:rtl/>
        </w:rPr>
        <w:t>שמערכת</w:t>
      </w:r>
      <w:r w:rsidRPr="00234CB9">
        <w:rPr>
          <w:rtl/>
        </w:rPr>
        <w:t xml:space="preserve"> </w:t>
      </w:r>
      <w:r w:rsidRPr="00234CB9">
        <w:rPr>
          <w:rFonts w:hint="eastAsia"/>
          <w:rtl/>
        </w:rPr>
        <w:t>כזו</w:t>
      </w:r>
      <w:r w:rsidRPr="00234CB9">
        <w:rPr>
          <w:rtl/>
        </w:rPr>
        <w:t xml:space="preserve"> לא </w:t>
      </w:r>
      <w:r w:rsidRPr="00234CB9">
        <w:rPr>
          <w:rFonts w:hint="eastAsia"/>
          <w:rtl/>
        </w:rPr>
        <w:t>תקלוט</w:t>
      </w:r>
      <w:r w:rsidRPr="00234CB9">
        <w:rPr>
          <w:rtl/>
        </w:rPr>
        <w:t xml:space="preserve"> </w:t>
      </w:r>
      <w:r w:rsidRPr="00234CB9">
        <w:rPr>
          <w:rFonts w:hint="eastAsia"/>
          <w:rtl/>
        </w:rPr>
        <w:t>תוצרים</w:t>
      </w:r>
      <w:r w:rsidRPr="00234CB9">
        <w:rPr>
          <w:rtl/>
        </w:rPr>
        <w:t xml:space="preserve"> בזמן ו</w:t>
      </w:r>
      <w:r w:rsidRPr="00234CB9">
        <w:rPr>
          <w:rFonts w:hint="eastAsia"/>
          <w:rtl/>
        </w:rPr>
        <w:t>לכן</w:t>
      </w:r>
      <w:r w:rsidRPr="00234CB9">
        <w:rPr>
          <w:rtl/>
        </w:rPr>
        <w:t xml:space="preserve"> </w:t>
      </w:r>
      <w:r w:rsidRPr="00234CB9">
        <w:rPr>
          <w:rFonts w:hint="eastAsia"/>
          <w:rtl/>
        </w:rPr>
        <w:t>לא</w:t>
      </w:r>
      <w:r w:rsidRPr="00234CB9">
        <w:rPr>
          <w:rtl/>
        </w:rPr>
        <w:t xml:space="preserve"> </w:t>
      </w:r>
      <w:r w:rsidRPr="00234CB9">
        <w:rPr>
          <w:rFonts w:hint="eastAsia"/>
          <w:rtl/>
        </w:rPr>
        <w:t>תעמוד</w:t>
      </w:r>
      <w:r w:rsidRPr="00234CB9">
        <w:rPr>
          <w:rtl/>
        </w:rPr>
        <w:t xml:space="preserve"> </w:t>
      </w:r>
      <w:r w:rsidRPr="00234CB9">
        <w:rPr>
          <w:rFonts w:hint="eastAsia"/>
          <w:rtl/>
        </w:rPr>
        <w:t>בסטנדרט</w:t>
      </w:r>
      <w:r w:rsidRPr="00234CB9">
        <w:rPr>
          <w:rtl/>
        </w:rPr>
        <w:t xml:space="preserve"> </w:t>
      </w:r>
      <w:r w:rsidRPr="00234CB9">
        <w:rPr>
          <w:rFonts w:hint="eastAsia"/>
          <w:rtl/>
        </w:rPr>
        <w:t>המבצעי</w:t>
      </w:r>
      <w:r w:rsidRPr="00234CB9">
        <w:rPr>
          <w:rtl/>
        </w:rPr>
        <w:t xml:space="preserve"> </w:t>
      </w:r>
      <w:r w:rsidRPr="00234CB9">
        <w:rPr>
          <w:rFonts w:hint="eastAsia"/>
          <w:rtl/>
        </w:rPr>
        <w:t>הנדרש</w:t>
      </w:r>
      <w:r w:rsidRPr="00234CB9">
        <w:rPr>
          <w:rtl/>
        </w:rPr>
        <w:t xml:space="preserve"> </w:t>
      </w:r>
      <w:r w:rsidRPr="00234CB9">
        <w:rPr>
          <w:rFonts w:hint="eastAsia"/>
          <w:rtl/>
        </w:rPr>
        <w:t>ממנה</w:t>
      </w:r>
      <w:r w:rsidRPr="00234CB9">
        <w:rPr>
          <w:rtl/>
        </w:rPr>
        <w:t>. המשטרה קיימה ומקיימת בנושא זה דיונים רבים. על אף האתגרים, המשטרה מקפידה על תהליך הפקה בהתאם לדין.</w:t>
      </w:r>
    </w:p>
    <w:p w:rsidR="00BF2704" w:rsidRDefault="00BF2704" w:rsidP="00B25F60">
      <w:pPr>
        <w:spacing w:line="269" w:lineRule="auto"/>
        <w:ind w:left="720"/>
        <w:rPr>
          <w:b/>
          <w:bCs/>
          <w:rtl/>
        </w:rPr>
      </w:pPr>
    </w:p>
    <w:p w:rsidR="009A1216" w:rsidRDefault="009A1216" w:rsidP="00B25F60">
      <w:pPr>
        <w:spacing w:line="269" w:lineRule="auto"/>
        <w:ind w:left="720"/>
        <w:rPr>
          <w:b/>
          <w:bCs/>
          <w:rtl/>
        </w:rPr>
      </w:pPr>
      <w:r>
        <w:rPr>
          <w:rFonts w:hint="cs"/>
          <w:b/>
          <w:bCs/>
          <w:rtl/>
        </w:rPr>
        <w:t xml:space="preserve">לנוכח חשיבות התיעוד של פעולת ההפקה, שמלמדת על היקף הפגיעה בפועל בפרטיותו של יעד ההאזנה ועל פוטנציאל הפגיעה בזכויות החשוד למול התועלת שהתקבלה מהפקת תוצרי ההאזנה, מומלץ שהמשטרה תנהל את ההפקה של תוצרי האזנת סתר לתקשורת בין מחשבים במערכת ממוחשבת אחת. </w:t>
      </w:r>
    </w:p>
    <w:p w:rsidR="00A2519C" w:rsidRDefault="00A2519C" w:rsidP="00604C3D">
      <w:pPr>
        <w:bidi w:val="0"/>
        <w:spacing w:line="269" w:lineRule="auto"/>
        <w:rPr>
          <w:rFonts w:eastAsiaTheme="majorEastAsia"/>
          <w:bCs/>
          <w:szCs w:val="26"/>
          <w:rtl/>
        </w:rPr>
      </w:pPr>
      <w:bookmarkStart w:id="556" w:name="_Toc211521943"/>
      <w:bookmarkStart w:id="557" w:name="_Toc151890787"/>
    </w:p>
    <w:p w:rsidR="009A1216" w:rsidRDefault="009A1216" w:rsidP="00B25F60">
      <w:pPr>
        <w:pStyle w:val="4"/>
        <w:numPr>
          <w:ilvl w:val="0"/>
          <w:numId w:val="77"/>
        </w:numPr>
        <w:spacing w:before="0" w:line="269" w:lineRule="auto"/>
        <w:ind w:left="423" w:hanging="438"/>
        <w:rPr>
          <w:rtl/>
        </w:rPr>
      </w:pPr>
      <w:bookmarkStart w:id="558" w:name="_Toc219110334"/>
      <w:bookmarkStart w:id="559" w:name="_Toc219113775"/>
      <w:bookmarkStart w:id="560" w:name="_Toc219286550"/>
      <w:r>
        <w:rPr>
          <w:rFonts w:hint="cs"/>
          <w:rtl/>
        </w:rPr>
        <w:t>פעולת ההפקה</w:t>
      </w:r>
      <w:r w:rsidRPr="00990F7A">
        <w:rPr>
          <w:rFonts w:hint="cs"/>
          <w:rtl/>
        </w:rPr>
        <w:t xml:space="preserve"> </w:t>
      </w:r>
      <w:r>
        <w:rPr>
          <w:rFonts w:hint="cs"/>
          <w:rtl/>
        </w:rPr>
        <w:t>של תוצרי האזנת סתר</w:t>
      </w:r>
      <w:bookmarkEnd w:id="556"/>
      <w:bookmarkEnd w:id="558"/>
      <w:bookmarkEnd w:id="559"/>
      <w:bookmarkEnd w:id="560"/>
    </w:p>
    <w:bookmarkEnd w:id="557"/>
    <w:p w:rsidR="00A2519C" w:rsidRDefault="00A2519C" w:rsidP="00604C3D">
      <w:pPr>
        <w:spacing w:line="269" w:lineRule="auto"/>
        <w:rPr>
          <w:rtl/>
        </w:rPr>
      </w:pPr>
    </w:p>
    <w:p w:rsidR="009A1216" w:rsidRDefault="009A1216" w:rsidP="00B25F60">
      <w:pPr>
        <w:spacing w:line="269" w:lineRule="auto"/>
        <w:ind w:left="423"/>
        <w:rPr>
          <w:rtl/>
        </w:rPr>
      </w:pPr>
      <w:r>
        <w:rPr>
          <w:rFonts w:hint="cs"/>
          <w:rtl/>
        </w:rPr>
        <w:t xml:space="preserve">חוק האזנת סתר אינו מתייחס במישרין ובפירוט לסמכויות הפקת תוצרי האזנת סתר וממעט להפריד בין פעולת איסוף תוצר ההאזנה לפעולת ההפקה. הסדרה חקיקתית זו התאימה לתקופה שבה גובשה, בעת שהתקיימו האזנות סתר מסוג שמע בלבד. </w:t>
      </w:r>
    </w:p>
    <w:p w:rsidR="00A2519C" w:rsidRDefault="00A2519C" w:rsidP="00B25F60">
      <w:pPr>
        <w:spacing w:line="269" w:lineRule="auto"/>
        <w:ind w:left="423"/>
        <w:rPr>
          <w:rtl/>
        </w:rPr>
      </w:pPr>
    </w:p>
    <w:p w:rsidR="009A1216" w:rsidRDefault="009A1216" w:rsidP="00B25F60">
      <w:pPr>
        <w:spacing w:line="269" w:lineRule="auto"/>
        <w:ind w:left="423"/>
        <w:rPr>
          <w:rtl/>
        </w:rPr>
      </w:pPr>
      <w:r>
        <w:rPr>
          <w:rFonts w:hint="cs"/>
          <w:rtl/>
        </w:rPr>
        <w:t>עם זאת, חוק האזנת סתר מתייחס לאפשרות הפסקת פעולת ההפקה בכל הנוגע להקשבה לשיחה חסויה</w:t>
      </w:r>
      <w:r>
        <w:rPr>
          <w:rStyle w:val="af"/>
          <w:rtl/>
        </w:rPr>
        <w:footnoteReference w:id="213"/>
      </w:r>
      <w:r>
        <w:rPr>
          <w:rFonts w:hint="cs"/>
          <w:rtl/>
        </w:rPr>
        <w:t>. כמו כן, תקנות האזנת סתר מבחינות בין התוצרים השונים של האזנת הסתר</w:t>
      </w:r>
      <w:r>
        <w:rPr>
          <w:rStyle w:val="af"/>
          <w:rtl/>
        </w:rPr>
        <w:footnoteReference w:id="214"/>
      </w:r>
      <w:r>
        <w:rPr>
          <w:rFonts w:hint="cs"/>
          <w:rtl/>
        </w:rPr>
        <w:t>:</w:t>
      </w:r>
    </w:p>
    <w:p w:rsidR="00A2519C" w:rsidRPr="00C65B0A" w:rsidRDefault="00A2519C" w:rsidP="00B25F60">
      <w:pPr>
        <w:spacing w:line="269" w:lineRule="auto"/>
        <w:ind w:left="423"/>
      </w:pPr>
    </w:p>
    <w:p w:rsidR="009A1216" w:rsidRDefault="009A1216" w:rsidP="00B25F60">
      <w:pPr>
        <w:pStyle w:val="af2"/>
        <w:numPr>
          <w:ilvl w:val="1"/>
          <w:numId w:val="15"/>
        </w:numPr>
        <w:spacing w:line="269" w:lineRule="auto"/>
        <w:ind w:left="735"/>
      </w:pPr>
      <w:r w:rsidRPr="007038FA">
        <w:rPr>
          <w:rStyle w:val="70"/>
          <w:rFonts w:hint="cs"/>
          <w:rtl/>
        </w:rPr>
        <w:t>חומר ההקלטה:</w:t>
      </w:r>
      <w:r>
        <w:rPr>
          <w:rFonts w:hint="cs"/>
          <w:rtl/>
        </w:rPr>
        <w:t xml:space="preserve"> האמצעי שעל גביו נשמרת ההאזנה. בשל שיטת איסוף תוצרי האזנה בעידן הדיגיטלי חומר ההקלטה הוא תוצר ההאזנה</w:t>
      </w:r>
      <w:r w:rsidRPr="00237C54">
        <w:rPr>
          <w:rFonts w:hint="cs"/>
          <w:rtl/>
        </w:rPr>
        <w:t xml:space="preserve"> </w:t>
      </w:r>
      <w:r>
        <w:rPr>
          <w:rFonts w:hint="cs"/>
          <w:rtl/>
        </w:rPr>
        <w:t>עצמו השמור על גבי שרת מחשב. כלומר זהו העתק של החומר הגולמי שנאסף. בדוח זה חומר ההקלטה יוגדר כתוצר האזנה.</w:t>
      </w:r>
    </w:p>
    <w:p w:rsidR="00EC6D8C" w:rsidRPr="00C65B0A" w:rsidRDefault="00EC6D8C" w:rsidP="00B25F60">
      <w:pPr>
        <w:spacing w:line="269" w:lineRule="auto"/>
        <w:ind w:left="423"/>
      </w:pPr>
    </w:p>
    <w:p w:rsidR="009A1216" w:rsidRDefault="009A1216" w:rsidP="00B25F60">
      <w:pPr>
        <w:pStyle w:val="af2"/>
        <w:numPr>
          <w:ilvl w:val="1"/>
          <w:numId w:val="15"/>
        </w:numPr>
        <w:spacing w:line="269" w:lineRule="auto"/>
        <w:ind w:left="735"/>
      </w:pPr>
      <w:r w:rsidRPr="007038FA">
        <w:rPr>
          <w:rStyle w:val="70"/>
          <w:rFonts w:hint="cs"/>
          <w:rtl/>
        </w:rPr>
        <w:t>מידע שהושג בהאזנה</w:t>
      </w:r>
      <w:r w:rsidR="007038FA">
        <w:rPr>
          <w:rStyle w:val="70"/>
          <w:rFonts w:hint="cs"/>
          <w:rtl/>
        </w:rPr>
        <w:t>:</w:t>
      </w:r>
      <w:r>
        <w:rPr>
          <w:rFonts w:hint="cs"/>
          <w:rtl/>
        </w:rPr>
        <w:t xml:space="preserve"> מכלול העיבודים שבוצעו לתוצר ההאזנה הגולמי, כלומר:</w:t>
      </w:r>
      <w:r>
        <w:rPr>
          <w:rFonts w:hint="cs"/>
        </w:rPr>
        <w:t xml:space="preserve"> </w:t>
      </w:r>
      <w:r>
        <w:rPr>
          <w:rFonts w:hint="cs"/>
          <w:rtl/>
        </w:rPr>
        <w:t xml:space="preserve">הידיעה המודיעינית - התמלול והתמצות של תוצר ההאזנה הגולמי; מוצר המודיעין - עיבוד הידיעה; הפרפרזה - תמצית מוצר המודיעין; ודוח התובנות - תמונת המודיעין המשלבת כמה מוצרי מודיעין. </w:t>
      </w:r>
    </w:p>
    <w:p w:rsidR="00A2519C" w:rsidRDefault="00A2519C" w:rsidP="00B25F60">
      <w:pPr>
        <w:spacing w:line="269" w:lineRule="auto"/>
        <w:ind w:left="423"/>
        <w:rPr>
          <w:rtl/>
        </w:rPr>
      </w:pPr>
    </w:p>
    <w:p w:rsidR="009A1216" w:rsidRDefault="009A1216" w:rsidP="00B25F60">
      <w:pPr>
        <w:spacing w:line="269" w:lineRule="auto"/>
        <w:ind w:left="423"/>
        <w:rPr>
          <w:rtl/>
        </w:rPr>
      </w:pPr>
      <w:r>
        <w:rPr>
          <w:rFonts w:hint="cs"/>
          <w:rtl/>
        </w:rPr>
        <w:t xml:space="preserve">כפועל יוצא מכך, תקנות האזנת הסתר מכירות בפער הקיים בין תוצר ההאזנה שנאסף לבין פעולות שניתן לבצע בו כדי להשיג מידע, קרי הפקתו. במשך השנים הצביעה המשטרה על שתי תכליות להפקת תוצרי האזנת סתר - הפקה לצורך ראייתי והפקה לצורכי מודיעין. </w:t>
      </w:r>
    </w:p>
    <w:p w:rsidR="009A1216" w:rsidRPr="00885FC1" w:rsidRDefault="009A1216" w:rsidP="00604C3D">
      <w:pPr>
        <w:spacing w:line="269" w:lineRule="auto"/>
        <w:rPr>
          <w:rtl/>
        </w:rPr>
      </w:pPr>
    </w:p>
    <w:p w:rsidR="009A1216" w:rsidRDefault="009A1216" w:rsidP="00B25F60">
      <w:pPr>
        <w:pStyle w:val="5"/>
        <w:numPr>
          <w:ilvl w:val="0"/>
          <w:numId w:val="46"/>
        </w:numPr>
        <w:spacing w:line="269" w:lineRule="auto"/>
        <w:ind w:left="849" w:hanging="423"/>
        <w:rPr>
          <w:rtl/>
        </w:rPr>
      </w:pPr>
      <w:bookmarkStart w:id="561" w:name="_Toc151890788"/>
      <w:r>
        <w:rPr>
          <w:rFonts w:hint="cs"/>
          <w:rtl/>
        </w:rPr>
        <w:t xml:space="preserve">אי-הסדרה חקיקתית של </w:t>
      </w:r>
      <w:r w:rsidRPr="0041401C">
        <w:rPr>
          <w:rFonts w:hint="cs"/>
          <w:rtl/>
        </w:rPr>
        <w:t>הפקה לצורכי מודיעין</w:t>
      </w:r>
      <w:bookmarkEnd w:id="561"/>
    </w:p>
    <w:p w:rsidR="00A2519C" w:rsidRDefault="00A2519C" w:rsidP="00B25F60">
      <w:pPr>
        <w:spacing w:line="269" w:lineRule="auto"/>
        <w:ind w:left="720"/>
        <w:rPr>
          <w:rtl/>
        </w:rPr>
      </w:pPr>
    </w:p>
    <w:p w:rsidR="009A1216" w:rsidRDefault="009A1216" w:rsidP="00200F5D">
      <w:pPr>
        <w:spacing w:line="269" w:lineRule="auto"/>
        <w:ind w:left="849"/>
        <w:rPr>
          <w:rtl/>
        </w:rPr>
      </w:pPr>
      <w:r>
        <w:rPr>
          <w:rFonts w:hint="cs"/>
          <w:rtl/>
        </w:rPr>
        <w:t xml:space="preserve">הפקה לצורך ראייתי היא התכלית העיקרית של האזנת הסתר. משמעותה כי תוצרי האזנת הסתר שימשו לניתוח הערכה והעשרה של המודיעין על אודות יעד ההאזנה והעבירות המפורטות בצו. נחיצות ההפקה לצורך ראייתי ברורה ומתבססת במישרין על הבקשה לצו האזנת הסתר. הפקה לצורך ראייתי היא הכלל. </w:t>
      </w:r>
    </w:p>
    <w:p w:rsidR="00A2519C" w:rsidRDefault="00A2519C" w:rsidP="00B25F60">
      <w:pPr>
        <w:spacing w:line="269" w:lineRule="auto"/>
        <w:ind w:left="720"/>
        <w:rPr>
          <w:rtl/>
        </w:rPr>
      </w:pPr>
    </w:p>
    <w:p w:rsidR="009A1216" w:rsidRDefault="009A1216" w:rsidP="00200F5D">
      <w:pPr>
        <w:spacing w:line="269" w:lineRule="auto"/>
        <w:ind w:left="849"/>
        <w:rPr>
          <w:rtl/>
        </w:rPr>
      </w:pPr>
      <w:r>
        <w:rPr>
          <w:rFonts w:hint="cs"/>
          <w:rtl/>
        </w:rPr>
        <w:t xml:space="preserve">החריג הוא הפקה לצורכי מודיעין; משמעותה כי מתוצרי האזנת סתר שנאספו על בסיס צו האזנת סתר </w:t>
      </w:r>
      <w:r w:rsidRPr="002D66D7">
        <w:rPr>
          <w:rFonts w:hint="cs"/>
          <w:rtl/>
        </w:rPr>
        <w:t>קונקרטי מופק מידע על עבירות או אנשים שלא צוינו בצו</w:t>
      </w:r>
      <w:r>
        <w:rPr>
          <w:rFonts w:hint="cs"/>
          <w:rtl/>
        </w:rPr>
        <w:t xml:space="preserve"> או מופק מידע שהפקתו נאסרה על ידי בית המשפט</w:t>
      </w:r>
      <w:r w:rsidRPr="002D66D7">
        <w:rPr>
          <w:rFonts w:hint="cs"/>
          <w:rtl/>
        </w:rPr>
        <w:t xml:space="preserve">. הפקה זו </w:t>
      </w:r>
      <w:r w:rsidRPr="002D66D7">
        <w:rPr>
          <w:rFonts w:hint="eastAsia"/>
          <w:rtl/>
        </w:rPr>
        <w:t>הותרה</w:t>
      </w:r>
      <w:r w:rsidRPr="002D66D7">
        <w:rPr>
          <w:rtl/>
        </w:rPr>
        <w:t xml:space="preserve"> </w:t>
      </w:r>
      <w:r w:rsidRPr="002D66D7">
        <w:rPr>
          <w:rFonts w:hint="cs"/>
          <w:rtl/>
        </w:rPr>
        <w:t>בתקנות האזנת סתר ומשתמעת מ</w:t>
      </w:r>
      <w:r>
        <w:rPr>
          <w:rFonts w:hint="cs"/>
          <w:rtl/>
        </w:rPr>
        <w:t>חוק האזנת סתר</w:t>
      </w:r>
      <w:r w:rsidRPr="002D66D7">
        <w:rPr>
          <w:rFonts w:hint="cs"/>
          <w:rtl/>
        </w:rPr>
        <w:t>, אך לא הוסדרה במלואה</w:t>
      </w:r>
      <w:r w:rsidRPr="002D66D7">
        <w:rPr>
          <w:rStyle w:val="af"/>
          <w:rtl/>
        </w:rPr>
        <w:footnoteReference w:id="215"/>
      </w:r>
      <w:r w:rsidRPr="002D66D7">
        <w:rPr>
          <w:rFonts w:hint="cs"/>
          <w:rtl/>
        </w:rPr>
        <w:t xml:space="preserve">. בשנת 2003 היועמ"ש דאז הטיל ספק באפשרות </w:t>
      </w:r>
      <w:r>
        <w:rPr>
          <w:rFonts w:hint="cs"/>
          <w:rtl/>
        </w:rPr>
        <w:t>להשתמש</w:t>
      </w:r>
      <w:r w:rsidRPr="002D66D7">
        <w:rPr>
          <w:rFonts w:hint="cs"/>
          <w:rtl/>
        </w:rPr>
        <w:t xml:space="preserve"> בתוצרים אסורים לצורכי מודיעין. ל</w:t>
      </w:r>
      <w:r>
        <w:rPr>
          <w:rFonts w:hint="cs"/>
          <w:rtl/>
        </w:rPr>
        <w:t xml:space="preserve">פי </w:t>
      </w:r>
      <w:r w:rsidRPr="002D66D7">
        <w:rPr>
          <w:rFonts w:hint="cs"/>
          <w:rtl/>
        </w:rPr>
        <w:t>עמדתו, אין להפיק מידע מודיעיני על כל עבירה ללא הגבלה</w:t>
      </w:r>
      <w:r>
        <w:rPr>
          <w:rFonts w:hint="cs"/>
          <w:rtl/>
        </w:rPr>
        <w:t>,</w:t>
      </w:r>
      <w:r w:rsidRPr="002D66D7">
        <w:rPr>
          <w:rFonts w:hint="cs"/>
          <w:rtl/>
        </w:rPr>
        <w:t xml:space="preserve"> אלא יש לפרש סמכות זו באופן מצומצם ולהפעילה באופן ראוי ומידתי</w:t>
      </w:r>
      <w:r w:rsidRPr="002D66D7">
        <w:rPr>
          <w:rStyle w:val="af"/>
          <w:rtl/>
        </w:rPr>
        <w:footnoteReference w:id="216"/>
      </w:r>
      <w:r w:rsidRPr="002D66D7">
        <w:rPr>
          <w:rFonts w:hint="cs"/>
          <w:rtl/>
        </w:rPr>
        <w:t xml:space="preserve">. </w:t>
      </w:r>
    </w:p>
    <w:p w:rsidR="00A2519C" w:rsidRDefault="00A2519C" w:rsidP="00B25F60">
      <w:pPr>
        <w:spacing w:line="269" w:lineRule="auto"/>
        <w:ind w:left="720"/>
        <w:rPr>
          <w:rtl/>
        </w:rPr>
      </w:pPr>
    </w:p>
    <w:p w:rsidR="009A1216" w:rsidRDefault="009A1216" w:rsidP="00200F5D">
      <w:pPr>
        <w:spacing w:line="269" w:lineRule="auto"/>
        <w:ind w:left="849"/>
        <w:rPr>
          <w:rtl/>
        </w:rPr>
      </w:pPr>
      <w:r>
        <w:rPr>
          <w:rFonts w:hint="cs"/>
          <w:rtl/>
        </w:rPr>
        <w:t>לפי דוח מבקר המדינה משנת 2004, הפקת מידע מודיעיני היא פעולה נלווית בלבד שתוצריה משניים לתכלית העיקרית של הבקשה להאזנת הסתר - הפקה לצורך ראייתי. לפיכך הפקה לצורכי מודיעין דורשת ליבון והסדרת כללים ברורים בנושא</w:t>
      </w:r>
      <w:r>
        <w:rPr>
          <w:rStyle w:val="af"/>
          <w:rtl/>
        </w:rPr>
        <w:footnoteReference w:id="217"/>
      </w:r>
      <w:r>
        <w:rPr>
          <w:rFonts w:hint="cs"/>
          <w:rtl/>
        </w:rPr>
        <w:t xml:space="preserve">. </w:t>
      </w:r>
    </w:p>
    <w:p w:rsidR="00A2519C" w:rsidRDefault="00A2519C" w:rsidP="00200F5D">
      <w:pPr>
        <w:spacing w:line="269" w:lineRule="auto"/>
        <w:ind w:left="849"/>
        <w:rPr>
          <w:rtl/>
        </w:rPr>
      </w:pPr>
    </w:p>
    <w:p w:rsidR="009A1216" w:rsidRPr="00A72307" w:rsidRDefault="009A1216" w:rsidP="00200F5D">
      <w:pPr>
        <w:spacing w:line="269" w:lineRule="auto"/>
        <w:ind w:left="849"/>
        <w:rPr>
          <w:rtl/>
        </w:rPr>
      </w:pPr>
      <w:r w:rsidRPr="00A72307">
        <w:rPr>
          <w:rFonts w:hint="cs"/>
          <w:rtl/>
        </w:rPr>
        <w:t>לפי דוח צוות לבנת משיח</w:t>
      </w:r>
      <w:r>
        <w:rPr>
          <w:rFonts w:hint="cs"/>
          <w:rtl/>
        </w:rPr>
        <w:t xml:space="preserve"> משנת 2005</w:t>
      </w:r>
      <w:r w:rsidRPr="00A72307">
        <w:rPr>
          <w:rFonts w:hint="cs"/>
          <w:rtl/>
        </w:rPr>
        <w:t xml:space="preserve">, </w:t>
      </w:r>
      <w:r>
        <w:rPr>
          <w:rFonts w:hint="cs"/>
          <w:rtl/>
        </w:rPr>
        <w:t xml:space="preserve">הדן בין היתר בנושא </w:t>
      </w:r>
      <w:r w:rsidRPr="00A72307">
        <w:rPr>
          <w:rFonts w:hint="cs"/>
          <w:rtl/>
        </w:rPr>
        <w:t xml:space="preserve">הפקת מידע </w:t>
      </w:r>
      <w:r>
        <w:rPr>
          <w:rFonts w:hint="cs"/>
          <w:rtl/>
        </w:rPr>
        <w:t>לצורכי מודיעין</w:t>
      </w:r>
      <w:r w:rsidRPr="00A72307">
        <w:rPr>
          <w:rFonts w:hint="cs"/>
          <w:rtl/>
        </w:rPr>
        <w:t xml:space="preserve"> מתוצרי האזנה</w:t>
      </w:r>
      <w:r>
        <w:rPr>
          <w:rFonts w:hint="cs"/>
          <w:rtl/>
        </w:rPr>
        <w:t xml:space="preserve"> - הפקה זו</w:t>
      </w:r>
      <w:r w:rsidRPr="00A72307">
        <w:rPr>
          <w:rFonts w:hint="cs"/>
          <w:rtl/>
        </w:rPr>
        <w:t xml:space="preserve"> </w:t>
      </w:r>
      <w:r>
        <w:rPr>
          <w:rFonts w:hint="cs"/>
          <w:rtl/>
        </w:rPr>
        <w:t>דורשת הסדרה מלאה</w:t>
      </w:r>
      <w:r w:rsidRPr="00A72307">
        <w:rPr>
          <w:rFonts w:hint="cs"/>
          <w:rtl/>
        </w:rPr>
        <w:t xml:space="preserve">. הוזכר כי לנוכח הפגיעה בזכויות יסוד, המליץ הצוות בשנת </w:t>
      </w:r>
      <w:r>
        <w:rPr>
          <w:rFonts w:hint="cs"/>
          <w:rtl/>
        </w:rPr>
        <w:t>2005</w:t>
      </w:r>
      <w:r w:rsidRPr="00A72307">
        <w:rPr>
          <w:rFonts w:hint="cs"/>
          <w:rtl/>
        </w:rPr>
        <w:t xml:space="preserve"> להסדיר את הפקת המידע </w:t>
      </w:r>
      <w:r>
        <w:rPr>
          <w:rFonts w:hint="cs"/>
          <w:rtl/>
        </w:rPr>
        <w:t>לצורכי מודיעין מתוצרי האזנת סתר</w:t>
      </w:r>
      <w:r w:rsidRPr="00A72307">
        <w:rPr>
          <w:rFonts w:hint="cs"/>
          <w:rtl/>
        </w:rPr>
        <w:t xml:space="preserve"> בחקיקה ראשית ולא להסתפק בנהלים הקיימים</w:t>
      </w:r>
      <w:r w:rsidRPr="00A72307">
        <w:rPr>
          <w:rStyle w:val="af"/>
          <w:rtl/>
        </w:rPr>
        <w:footnoteReference w:id="218"/>
      </w:r>
      <w:r w:rsidRPr="00A72307">
        <w:rPr>
          <w:rFonts w:hint="cs"/>
          <w:rtl/>
        </w:rPr>
        <w:t xml:space="preserve">. הצעת נוסח חקיקה אף הוצאה תחת ידי הצוות. במסגרת הצעה זו הוגדרו </w:t>
      </w:r>
      <w:r>
        <w:rPr>
          <w:rFonts w:hint="cs"/>
          <w:rtl/>
        </w:rPr>
        <w:t>שני</w:t>
      </w:r>
      <w:r w:rsidRPr="00A72307">
        <w:rPr>
          <w:rFonts w:hint="cs"/>
          <w:rtl/>
        </w:rPr>
        <w:t xml:space="preserve"> מקרים </w:t>
      </w:r>
      <w:r>
        <w:rPr>
          <w:rFonts w:hint="cs"/>
          <w:rtl/>
        </w:rPr>
        <w:t>ש</w:t>
      </w:r>
      <w:r w:rsidRPr="00A72307">
        <w:rPr>
          <w:rFonts w:hint="cs"/>
          <w:rtl/>
        </w:rPr>
        <w:t xml:space="preserve">בהם ניתן יהיה לבצע הפקה של תוצרי האזנה לצורכי מודיעין: </w:t>
      </w:r>
    </w:p>
    <w:p w:rsidR="00A2519C" w:rsidRDefault="00A2519C" w:rsidP="00604C3D">
      <w:pPr>
        <w:widowControl w:val="0"/>
        <w:spacing w:line="269" w:lineRule="auto"/>
        <w:ind w:left="1077"/>
      </w:pPr>
    </w:p>
    <w:p w:rsidR="009A1216" w:rsidRDefault="009A1216" w:rsidP="00200F5D">
      <w:pPr>
        <w:widowControl w:val="0"/>
        <w:numPr>
          <w:ilvl w:val="2"/>
          <w:numId w:val="16"/>
        </w:numPr>
        <w:spacing w:line="269" w:lineRule="auto"/>
        <w:ind w:left="1235"/>
      </w:pPr>
      <w:r w:rsidRPr="00A72307">
        <w:rPr>
          <w:rFonts w:hint="cs"/>
          <w:rtl/>
        </w:rPr>
        <w:t>ה</w:t>
      </w:r>
      <w:r w:rsidRPr="00A72307">
        <w:rPr>
          <w:rtl/>
        </w:rPr>
        <w:t xml:space="preserve">מידע עשוי לסייע לגילוי או למניעה של פעילות פלילית, </w:t>
      </w:r>
      <w:r>
        <w:rPr>
          <w:rFonts w:hint="cs"/>
          <w:rtl/>
        </w:rPr>
        <w:t>והוא מופק</w:t>
      </w:r>
      <w:r w:rsidRPr="00A72307">
        <w:rPr>
          <w:rFonts w:hint="cs"/>
          <w:rtl/>
        </w:rPr>
        <w:t xml:space="preserve"> מתוצר</w:t>
      </w:r>
      <w:r w:rsidRPr="00A72307">
        <w:rPr>
          <w:rtl/>
        </w:rPr>
        <w:t xml:space="preserve"> שניתן לתמלל בהתאם להיתר</w:t>
      </w:r>
      <w:r w:rsidRPr="00A72307">
        <w:rPr>
          <w:rFonts w:hint="cs"/>
          <w:rtl/>
        </w:rPr>
        <w:t>.</w:t>
      </w:r>
    </w:p>
    <w:p w:rsidR="00EC6D8C" w:rsidRPr="00A72307" w:rsidRDefault="00EC6D8C" w:rsidP="00200F5D">
      <w:pPr>
        <w:widowControl w:val="0"/>
        <w:spacing w:line="269" w:lineRule="auto"/>
        <w:ind w:left="1235"/>
        <w:rPr>
          <w:rtl/>
        </w:rPr>
      </w:pPr>
    </w:p>
    <w:p w:rsidR="009A1216" w:rsidRDefault="009A1216" w:rsidP="00200F5D">
      <w:pPr>
        <w:numPr>
          <w:ilvl w:val="2"/>
          <w:numId w:val="16"/>
        </w:numPr>
        <w:spacing w:line="269" w:lineRule="auto"/>
        <w:ind w:left="1235"/>
      </w:pPr>
      <w:r w:rsidRPr="00A72307">
        <w:rPr>
          <w:rFonts w:hint="cs"/>
          <w:rtl/>
        </w:rPr>
        <w:t xml:space="preserve">המידע, </w:t>
      </w:r>
      <w:r>
        <w:rPr>
          <w:rFonts w:hint="cs"/>
          <w:rtl/>
        </w:rPr>
        <w:t xml:space="preserve">המופק </w:t>
      </w:r>
      <w:r w:rsidRPr="00A72307">
        <w:rPr>
          <w:rFonts w:hint="cs"/>
          <w:rtl/>
        </w:rPr>
        <w:t>מתוצר האזנה שנקלט כדין אך אסור לתמללו,</w:t>
      </w:r>
      <w:r>
        <w:rPr>
          <w:rFonts w:hint="cs"/>
          <w:rtl/>
        </w:rPr>
        <w:t xml:space="preserve"> </w:t>
      </w:r>
      <w:r w:rsidRPr="00A72307">
        <w:rPr>
          <w:rFonts w:hint="cs"/>
          <w:rtl/>
        </w:rPr>
        <w:t xml:space="preserve">ישמש לגילוי עבירה או </w:t>
      </w:r>
      <w:r>
        <w:rPr>
          <w:rFonts w:hint="cs"/>
          <w:rtl/>
        </w:rPr>
        <w:t>ל</w:t>
      </w:r>
      <w:r w:rsidRPr="00A72307">
        <w:rPr>
          <w:rFonts w:hint="cs"/>
          <w:rtl/>
        </w:rPr>
        <w:t>מניעתה</w:t>
      </w:r>
      <w:r>
        <w:rPr>
          <w:rFonts w:hint="cs"/>
          <w:rtl/>
        </w:rPr>
        <w:t>,</w:t>
      </w:r>
      <w:r w:rsidRPr="00A72307">
        <w:rPr>
          <w:rFonts w:hint="cs"/>
          <w:rtl/>
        </w:rPr>
        <w:t xml:space="preserve"> ו</w:t>
      </w:r>
      <w:r>
        <w:rPr>
          <w:rFonts w:hint="cs"/>
          <w:rtl/>
        </w:rPr>
        <w:t xml:space="preserve">זאת </w:t>
      </w:r>
      <w:r w:rsidRPr="00A72307">
        <w:rPr>
          <w:rFonts w:hint="cs"/>
          <w:rtl/>
        </w:rPr>
        <w:t xml:space="preserve">רק אם </w:t>
      </w:r>
      <w:r w:rsidRPr="00A72307">
        <w:rPr>
          <w:rtl/>
        </w:rPr>
        <w:t>השימוש חיוני לשם סיכול מיידי של עבירה או לשם פעילות</w:t>
      </w:r>
      <w:r>
        <w:rPr>
          <w:rFonts w:hint="cs"/>
          <w:rtl/>
        </w:rPr>
        <w:t xml:space="preserve"> </w:t>
      </w:r>
      <w:r w:rsidRPr="00A72307">
        <w:rPr>
          <w:rtl/>
        </w:rPr>
        <w:t>מבצעית מיידית</w:t>
      </w:r>
      <w:r w:rsidRPr="00A72307">
        <w:rPr>
          <w:rFonts w:hint="cs"/>
          <w:rtl/>
        </w:rPr>
        <w:t xml:space="preserve">. </w:t>
      </w:r>
    </w:p>
    <w:p w:rsidR="000F4EB6" w:rsidRDefault="000F4EB6" w:rsidP="00604C3D">
      <w:pPr>
        <w:spacing w:line="269" w:lineRule="auto"/>
        <w:rPr>
          <w:b/>
          <w:bCs/>
          <w:rtl/>
        </w:rPr>
      </w:pPr>
    </w:p>
    <w:p w:rsidR="009A1216" w:rsidRDefault="009A1216" w:rsidP="00200F5D">
      <w:pPr>
        <w:spacing w:line="269" w:lineRule="auto"/>
        <w:ind w:left="838"/>
        <w:rPr>
          <w:b/>
          <w:bCs/>
          <w:rtl/>
        </w:rPr>
      </w:pPr>
      <w:r>
        <w:rPr>
          <w:rFonts w:hint="cs"/>
          <w:b/>
          <w:bCs/>
          <w:rtl/>
        </w:rPr>
        <w:t xml:space="preserve">המשטרה מפיקה תוצרי האזנת סתר לצורכי מודיעין זה שנים רבות. עוד בשנת 2005 המליץ צוות לבנת משיח להסדיר באופן מלא את ההפקה של תוצרי האזנה לצורכי מודיעין. </w:t>
      </w:r>
      <w:r w:rsidRPr="00A72307">
        <w:rPr>
          <w:rFonts w:hint="cs"/>
          <w:b/>
          <w:bCs/>
          <w:rtl/>
        </w:rPr>
        <w:t xml:space="preserve">בשנים 2008 - 2009 הועלו שתי הצעות לתיקון חוק האזנת סתר </w:t>
      </w:r>
      <w:r>
        <w:rPr>
          <w:rFonts w:hint="cs"/>
          <w:b/>
          <w:bCs/>
          <w:rtl/>
        </w:rPr>
        <w:t>כדי</w:t>
      </w:r>
      <w:r w:rsidRPr="00A72307">
        <w:rPr>
          <w:rFonts w:hint="cs"/>
          <w:b/>
          <w:bCs/>
          <w:rtl/>
        </w:rPr>
        <w:t xml:space="preserve"> להסדיר את הפקת המידע המודיעיני מתוצרי האזנה בחקיקה ראשית</w:t>
      </w:r>
      <w:r w:rsidRPr="00A72307">
        <w:rPr>
          <w:rStyle w:val="af"/>
          <w:b/>
          <w:bCs/>
          <w:rtl/>
        </w:rPr>
        <w:footnoteReference w:id="219"/>
      </w:r>
      <w:r>
        <w:rPr>
          <w:rFonts w:hint="cs"/>
          <w:b/>
          <w:bCs/>
          <w:rtl/>
        </w:rPr>
        <w:t>. זאת</w:t>
      </w:r>
      <w:r w:rsidRPr="00A72307">
        <w:rPr>
          <w:rFonts w:hint="cs"/>
          <w:b/>
          <w:bCs/>
          <w:rtl/>
        </w:rPr>
        <w:t xml:space="preserve"> לנוכח הפגיעה בזכויות </w:t>
      </w:r>
      <w:r w:rsidR="0014094F">
        <w:rPr>
          <w:rFonts w:hint="cs"/>
          <w:b/>
          <w:bCs/>
          <w:rtl/>
        </w:rPr>
        <w:t>הפרט</w:t>
      </w:r>
      <w:r w:rsidRPr="00A72307">
        <w:rPr>
          <w:rFonts w:hint="cs"/>
          <w:b/>
          <w:bCs/>
          <w:rtl/>
        </w:rPr>
        <w:t xml:space="preserve"> הנגרמת מהפעלת סמכות זו. ואולם </w:t>
      </w:r>
      <w:r>
        <w:rPr>
          <w:rFonts w:hint="cs"/>
          <w:b/>
          <w:bCs/>
          <w:rtl/>
        </w:rPr>
        <w:t>במועד סיום הביקורת,</w:t>
      </w:r>
      <w:r w:rsidRPr="00A72307">
        <w:rPr>
          <w:rFonts w:hint="cs"/>
          <w:b/>
          <w:bCs/>
          <w:rtl/>
        </w:rPr>
        <w:t xml:space="preserve"> כ-15 שנים </w:t>
      </w:r>
      <w:r>
        <w:rPr>
          <w:rFonts w:hint="cs"/>
          <w:b/>
          <w:bCs/>
          <w:rtl/>
        </w:rPr>
        <w:t>לאחר</w:t>
      </w:r>
      <w:r w:rsidRPr="00A72307">
        <w:rPr>
          <w:rFonts w:hint="cs"/>
          <w:b/>
          <w:bCs/>
          <w:rtl/>
        </w:rPr>
        <w:t xml:space="preserve"> העלאת הצעת החוק </w:t>
      </w:r>
      <w:r>
        <w:rPr>
          <w:rFonts w:hint="cs"/>
          <w:b/>
          <w:bCs/>
          <w:rtl/>
        </w:rPr>
        <w:t>וכ-20</w:t>
      </w:r>
      <w:r w:rsidRPr="00A72307">
        <w:rPr>
          <w:rFonts w:hint="cs"/>
          <w:b/>
          <w:bCs/>
          <w:rtl/>
        </w:rPr>
        <w:t xml:space="preserve"> שנה </w:t>
      </w:r>
      <w:r>
        <w:rPr>
          <w:rFonts w:hint="cs"/>
          <w:b/>
          <w:bCs/>
          <w:rtl/>
        </w:rPr>
        <w:t xml:space="preserve">לאחר שהוגשה </w:t>
      </w:r>
      <w:r w:rsidRPr="00A72307">
        <w:rPr>
          <w:rFonts w:hint="cs"/>
          <w:b/>
          <w:bCs/>
          <w:rtl/>
        </w:rPr>
        <w:t>המלצת צוות לבנת משיח, הסדרת סמכות זו בחקיקה ראשית לא קודמה.</w:t>
      </w:r>
    </w:p>
    <w:p w:rsidR="009A1216" w:rsidRDefault="009A1216" w:rsidP="00200F5D">
      <w:pPr>
        <w:pStyle w:val="a5"/>
        <w:spacing w:line="269" w:lineRule="auto"/>
        <w:ind w:left="271"/>
        <w:rPr>
          <w:rtl/>
        </w:rPr>
      </w:pPr>
    </w:p>
    <w:p w:rsidR="009A1216" w:rsidRDefault="009A1216" w:rsidP="00200F5D">
      <w:pPr>
        <w:spacing w:line="269" w:lineRule="auto"/>
        <w:ind w:left="838"/>
        <w:rPr>
          <w:b/>
          <w:bCs/>
          <w:rtl/>
        </w:rPr>
      </w:pPr>
      <w:r>
        <w:rPr>
          <w:rFonts w:hint="cs"/>
          <w:rtl/>
        </w:rPr>
        <w:t>החל בשנת 2008 קידם משרד המשפטים הצעות לתיקון חוק האזנות הסתר המסדירות, בין היתר, את הפקת המידע המודיעיני. ממשרד המשפטים נמסר כי בשנת 2016 הפצת התזכיר לתיקון החוק לא אושרה על ידי השר האחראי על החוק. יצוין כי לאחר שנת 2020 משרד המשפטים לא קידם את הפצת התזכיר באמצעות השר האחראי הרלוונטי.</w:t>
      </w:r>
    </w:p>
    <w:p w:rsidR="000F4EB6" w:rsidRDefault="000F4EB6" w:rsidP="00200F5D">
      <w:pPr>
        <w:spacing w:line="269" w:lineRule="auto"/>
        <w:ind w:left="838"/>
        <w:rPr>
          <w:b/>
          <w:bCs/>
          <w:rtl/>
        </w:rPr>
      </w:pPr>
    </w:p>
    <w:p w:rsidR="009A1216" w:rsidRPr="001511BF" w:rsidRDefault="009A1216" w:rsidP="00200F5D">
      <w:pPr>
        <w:spacing w:line="269" w:lineRule="auto"/>
        <w:ind w:left="838"/>
        <w:rPr>
          <w:b/>
          <w:bCs/>
          <w:rtl/>
        </w:rPr>
      </w:pPr>
      <w:r w:rsidRPr="00A72307">
        <w:rPr>
          <w:rFonts w:hint="cs"/>
          <w:b/>
          <w:bCs/>
          <w:rtl/>
        </w:rPr>
        <w:t xml:space="preserve">מומלץ כי </w:t>
      </w:r>
      <w:r w:rsidRPr="00A965E8">
        <w:rPr>
          <w:rFonts w:hint="cs"/>
          <w:b/>
          <w:bCs/>
          <w:rtl/>
        </w:rPr>
        <w:t>משרד המשפטים</w:t>
      </w:r>
      <w:r>
        <w:rPr>
          <w:rFonts w:hint="cs"/>
          <w:b/>
          <w:bCs/>
          <w:rtl/>
        </w:rPr>
        <w:t>, האחראי על עבודת המטה,</w:t>
      </w:r>
      <w:r w:rsidRPr="00A72307" w:rsidDel="009A7935">
        <w:rPr>
          <w:rFonts w:hint="cs"/>
          <w:b/>
          <w:bCs/>
          <w:rtl/>
        </w:rPr>
        <w:t xml:space="preserve"> </w:t>
      </w:r>
      <w:r>
        <w:rPr>
          <w:rFonts w:hint="cs"/>
          <w:b/>
          <w:bCs/>
          <w:rtl/>
        </w:rPr>
        <w:t>יקדם</w:t>
      </w:r>
      <w:r w:rsidRPr="00A72307">
        <w:rPr>
          <w:rFonts w:hint="cs"/>
          <w:b/>
          <w:bCs/>
          <w:rtl/>
        </w:rPr>
        <w:t xml:space="preserve"> </w:t>
      </w:r>
      <w:r>
        <w:rPr>
          <w:rFonts w:hint="cs"/>
          <w:b/>
          <w:bCs/>
          <w:rtl/>
        </w:rPr>
        <w:t xml:space="preserve">מחדש </w:t>
      </w:r>
      <w:r w:rsidRPr="00A72307">
        <w:rPr>
          <w:rFonts w:hint="cs"/>
          <w:b/>
          <w:bCs/>
          <w:rtl/>
        </w:rPr>
        <w:t>את</w:t>
      </w:r>
      <w:r>
        <w:rPr>
          <w:rFonts w:hint="cs"/>
          <w:b/>
          <w:bCs/>
          <w:rtl/>
        </w:rPr>
        <w:t xml:space="preserve"> הצעות החקיקה ל</w:t>
      </w:r>
      <w:r w:rsidRPr="00A72307">
        <w:rPr>
          <w:rFonts w:hint="cs"/>
          <w:b/>
          <w:bCs/>
          <w:rtl/>
        </w:rPr>
        <w:t xml:space="preserve">הסדרת הסמכות להפיק מידע מודיעיני מתוצרי האזנת סתר </w:t>
      </w:r>
      <w:r>
        <w:rPr>
          <w:rFonts w:hint="cs"/>
          <w:b/>
          <w:bCs/>
          <w:rtl/>
        </w:rPr>
        <w:t xml:space="preserve">ויפרט את </w:t>
      </w:r>
      <w:r w:rsidRPr="001511BF">
        <w:rPr>
          <w:rFonts w:hint="cs"/>
          <w:b/>
          <w:bCs/>
          <w:rtl/>
        </w:rPr>
        <w:t xml:space="preserve">המקרים </w:t>
      </w:r>
      <w:r>
        <w:rPr>
          <w:rFonts w:hint="cs"/>
          <w:b/>
          <w:bCs/>
          <w:rtl/>
        </w:rPr>
        <w:t>ש</w:t>
      </w:r>
      <w:r w:rsidRPr="001511BF">
        <w:rPr>
          <w:rFonts w:hint="cs"/>
          <w:b/>
          <w:bCs/>
          <w:rtl/>
        </w:rPr>
        <w:t xml:space="preserve">בהם ניתן </w:t>
      </w:r>
      <w:r>
        <w:rPr>
          <w:rFonts w:hint="cs"/>
          <w:b/>
          <w:bCs/>
          <w:rtl/>
        </w:rPr>
        <w:t>להשתמש</w:t>
      </w:r>
      <w:r w:rsidRPr="001511BF">
        <w:rPr>
          <w:rFonts w:hint="cs"/>
          <w:b/>
          <w:bCs/>
          <w:rtl/>
        </w:rPr>
        <w:t xml:space="preserve"> בה.</w:t>
      </w:r>
    </w:p>
    <w:p w:rsidR="000F4EB6" w:rsidRDefault="000F4EB6" w:rsidP="00200F5D">
      <w:pPr>
        <w:spacing w:line="269" w:lineRule="auto"/>
        <w:ind w:left="838"/>
        <w:rPr>
          <w:rtl/>
        </w:rPr>
      </w:pPr>
    </w:p>
    <w:p w:rsidR="009A1216" w:rsidRDefault="009A1216" w:rsidP="00200F5D">
      <w:pPr>
        <w:spacing w:line="269" w:lineRule="auto"/>
        <w:ind w:left="838"/>
        <w:rPr>
          <w:rtl/>
        </w:rPr>
      </w:pPr>
      <w:r w:rsidRPr="001511BF">
        <w:rPr>
          <w:rFonts w:hint="cs"/>
          <w:rtl/>
        </w:rPr>
        <w:t xml:space="preserve">לאחר פרסום דוח צוות לבנת משיח, במאי 2005, </w:t>
      </w:r>
      <w:r>
        <w:rPr>
          <w:rFonts w:hint="cs"/>
          <w:rtl/>
        </w:rPr>
        <w:t>הוציאה חטיבת המודיעין הנחיה פנימית</w:t>
      </w:r>
      <w:r w:rsidRPr="001511BF">
        <w:rPr>
          <w:rFonts w:hint="cs"/>
          <w:rtl/>
        </w:rPr>
        <w:t xml:space="preserve"> בנושא הפקה </w:t>
      </w:r>
      <w:r>
        <w:rPr>
          <w:rFonts w:hint="cs"/>
          <w:rtl/>
        </w:rPr>
        <w:t xml:space="preserve">של תוצרי האזנה </w:t>
      </w:r>
      <w:r w:rsidRPr="001511BF">
        <w:rPr>
          <w:rFonts w:hint="cs"/>
          <w:rtl/>
        </w:rPr>
        <w:t xml:space="preserve">לצורכי מודיעין. </w:t>
      </w:r>
      <w:r>
        <w:rPr>
          <w:rFonts w:hint="cs"/>
          <w:rtl/>
        </w:rPr>
        <w:t>ההנחיה</w:t>
      </w:r>
      <w:r w:rsidRPr="001511BF">
        <w:rPr>
          <w:rFonts w:hint="cs"/>
          <w:rtl/>
        </w:rPr>
        <w:t xml:space="preserve"> מפרט</w:t>
      </w:r>
      <w:r>
        <w:rPr>
          <w:rFonts w:hint="cs"/>
          <w:rtl/>
        </w:rPr>
        <w:t>ת</w:t>
      </w:r>
      <w:r w:rsidRPr="001511BF">
        <w:rPr>
          <w:rFonts w:hint="cs"/>
          <w:rtl/>
        </w:rPr>
        <w:t xml:space="preserve"> את המקרים </w:t>
      </w:r>
      <w:r>
        <w:rPr>
          <w:rFonts w:hint="cs"/>
          <w:rtl/>
        </w:rPr>
        <w:t>ש</w:t>
      </w:r>
      <w:r w:rsidRPr="001511BF">
        <w:rPr>
          <w:rFonts w:hint="cs"/>
          <w:rtl/>
        </w:rPr>
        <w:t>בהם ניתן יהיה לבצע</w:t>
      </w:r>
      <w:r>
        <w:rPr>
          <w:rFonts w:hint="cs"/>
          <w:rtl/>
        </w:rPr>
        <w:t xml:space="preserve"> הפקה של תוצרי</w:t>
      </w:r>
      <w:r w:rsidRPr="001511BF">
        <w:rPr>
          <w:rFonts w:hint="cs"/>
          <w:rtl/>
        </w:rPr>
        <w:t xml:space="preserve"> האזנה לצורכי מודיעין</w:t>
      </w:r>
      <w:r>
        <w:rPr>
          <w:rFonts w:hint="cs"/>
          <w:rtl/>
        </w:rPr>
        <w:t>,</w:t>
      </w:r>
      <w:r w:rsidRPr="001511BF">
        <w:rPr>
          <w:rFonts w:hint="cs"/>
          <w:rtl/>
        </w:rPr>
        <w:t xml:space="preserve"> אף בניגוד למגבלות </w:t>
      </w:r>
      <w:r>
        <w:rPr>
          <w:rFonts w:hint="cs"/>
          <w:rtl/>
        </w:rPr>
        <w:t>שהטיל בית המשפט בצו האזנה קונקרטי על</w:t>
      </w:r>
      <w:r w:rsidRPr="001511BF">
        <w:rPr>
          <w:rFonts w:hint="cs"/>
          <w:rtl/>
        </w:rPr>
        <w:t xml:space="preserve"> </w:t>
      </w:r>
      <w:r>
        <w:rPr>
          <w:rFonts w:hint="cs"/>
          <w:rtl/>
        </w:rPr>
        <w:t>הפקת תוצרי ההאזנה שנאספו לצורכי איסוף ראיות פליליות</w:t>
      </w:r>
      <w:r w:rsidRPr="001511BF">
        <w:rPr>
          <w:rFonts w:hint="cs"/>
          <w:rtl/>
        </w:rPr>
        <w:t>.</w:t>
      </w:r>
    </w:p>
    <w:p w:rsidR="009A1216" w:rsidRDefault="009A1216" w:rsidP="00604C3D">
      <w:pPr>
        <w:pStyle w:val="a5"/>
        <w:spacing w:line="269" w:lineRule="auto"/>
        <w:rPr>
          <w:rtl/>
        </w:rPr>
      </w:pPr>
    </w:p>
    <w:p w:rsidR="009A1216" w:rsidRPr="001511BF" w:rsidRDefault="009A1216" w:rsidP="00200F5D">
      <w:pPr>
        <w:spacing w:line="269" w:lineRule="auto"/>
        <w:ind w:left="838"/>
      </w:pPr>
      <w:r>
        <w:rPr>
          <w:rFonts w:hint="cs"/>
          <w:rtl/>
        </w:rPr>
        <w:t xml:space="preserve">המשטרה מסרה בתגובתה כי הנוהל אושר על ידי </w:t>
      </w:r>
      <w:r w:rsidRPr="00573F40">
        <w:rPr>
          <w:rtl/>
        </w:rPr>
        <w:t>משרד המשפטים</w:t>
      </w:r>
      <w:r>
        <w:rPr>
          <w:rFonts w:hint="cs"/>
          <w:rtl/>
        </w:rPr>
        <w:t xml:space="preserve"> ו</w:t>
      </w:r>
      <w:r w:rsidRPr="00573F40">
        <w:rPr>
          <w:rtl/>
        </w:rPr>
        <w:t xml:space="preserve">מאפשר למשטרה להפיק מידע מודיעיני במקרים המתאימים למערכת המודיעין המשטרתית. בהתאם לנוהל, קיים שיקול דעת לגורם המזמין, </w:t>
      </w:r>
      <w:r>
        <w:rPr>
          <w:rFonts w:hint="cs"/>
          <w:rtl/>
        </w:rPr>
        <w:t>שהוא</w:t>
      </w:r>
      <w:r w:rsidRPr="00573F40">
        <w:rPr>
          <w:rtl/>
        </w:rPr>
        <w:t xml:space="preserve"> בעל הידע המקצועי בתחום המודיעין, </w:t>
      </w:r>
      <w:r>
        <w:rPr>
          <w:rFonts w:hint="cs"/>
          <w:rtl/>
        </w:rPr>
        <w:t>והוא</w:t>
      </w:r>
      <w:r w:rsidRPr="00573F40">
        <w:rPr>
          <w:rtl/>
        </w:rPr>
        <w:t xml:space="preserve"> בעל המומחיות להחליט מהו החומר האיסופי המתאים לשם הפקתו כחומר מודיעיני.</w:t>
      </w:r>
    </w:p>
    <w:p w:rsidR="000F4EB6" w:rsidRDefault="000F4EB6" w:rsidP="00200F5D">
      <w:pPr>
        <w:spacing w:line="269" w:lineRule="auto"/>
        <w:ind w:left="838"/>
        <w:rPr>
          <w:rtl/>
        </w:rPr>
      </w:pPr>
    </w:p>
    <w:p w:rsidR="000F4EB6" w:rsidRDefault="009A1216" w:rsidP="00200F5D">
      <w:pPr>
        <w:spacing w:line="269" w:lineRule="auto"/>
        <w:ind w:left="838"/>
        <w:rPr>
          <w:rtl/>
        </w:rPr>
      </w:pPr>
      <w:r w:rsidRPr="001511BF">
        <w:rPr>
          <w:rFonts w:hint="cs"/>
          <w:rtl/>
        </w:rPr>
        <w:t>הפקה</w:t>
      </w:r>
      <w:r>
        <w:rPr>
          <w:rFonts w:hint="cs"/>
          <w:rtl/>
        </w:rPr>
        <w:t xml:space="preserve"> </w:t>
      </w:r>
      <w:r w:rsidRPr="001511BF">
        <w:rPr>
          <w:rFonts w:hint="cs"/>
          <w:rtl/>
        </w:rPr>
        <w:t xml:space="preserve">לצורכי מודיעין מאפשרת פגיעה משמעותית ביעד ההאזנה לנוכח האפשרות כי יופקו תוצרי האזנה </w:t>
      </w:r>
      <w:r>
        <w:rPr>
          <w:rFonts w:hint="cs"/>
          <w:rtl/>
        </w:rPr>
        <w:t>ש</w:t>
      </w:r>
      <w:r w:rsidRPr="001511BF">
        <w:rPr>
          <w:rFonts w:hint="cs"/>
          <w:rtl/>
        </w:rPr>
        <w:t>הפקתם אסורה בהתאם למגבלות הצו</w:t>
      </w:r>
      <w:r>
        <w:rPr>
          <w:rFonts w:hint="cs"/>
          <w:rtl/>
        </w:rPr>
        <w:t>;</w:t>
      </w:r>
      <w:r w:rsidRPr="001511BF">
        <w:rPr>
          <w:rFonts w:hint="cs"/>
          <w:rtl/>
        </w:rPr>
        <w:t xml:space="preserve"> כלומר תוצרים ש</w:t>
      </w:r>
      <w:r w:rsidR="009C0C8C">
        <w:rPr>
          <w:rFonts w:hint="cs"/>
          <w:rtl/>
        </w:rPr>
        <w:t>נאספו</w:t>
      </w:r>
      <w:r w:rsidRPr="001511BF">
        <w:rPr>
          <w:rFonts w:hint="cs"/>
          <w:rtl/>
        </w:rPr>
        <w:t xml:space="preserve"> כדין אך חלות מגבלות על הפקתם, כגון, תוצרים שנוגעים לצנעת פרטיותו של יעד ההאזנה ונאסרים</w:t>
      </w:r>
      <w:r>
        <w:rPr>
          <w:rFonts w:hint="cs"/>
          <w:rtl/>
        </w:rPr>
        <w:t>,</w:t>
      </w:r>
      <w:r w:rsidRPr="001511BF">
        <w:rPr>
          <w:rFonts w:hint="cs"/>
          <w:rtl/>
        </w:rPr>
        <w:t xml:space="preserve"> ככלל</w:t>
      </w:r>
      <w:r>
        <w:rPr>
          <w:rFonts w:hint="cs"/>
          <w:rtl/>
        </w:rPr>
        <w:t>,</w:t>
      </w:r>
      <w:r w:rsidRPr="001511BF">
        <w:rPr>
          <w:rFonts w:hint="cs"/>
          <w:rtl/>
        </w:rPr>
        <w:t xml:space="preserve"> לתמלול.</w:t>
      </w:r>
    </w:p>
    <w:p w:rsidR="00016E2D" w:rsidRPr="00C4338B" w:rsidRDefault="00016E2D" w:rsidP="00200F5D">
      <w:pPr>
        <w:spacing w:line="269" w:lineRule="auto"/>
        <w:ind w:left="838"/>
        <w:rPr>
          <w:rtl/>
        </w:rPr>
      </w:pPr>
    </w:p>
    <w:p w:rsidR="009A1216" w:rsidRPr="00FB5BE9" w:rsidRDefault="009A1216" w:rsidP="00200F5D">
      <w:pPr>
        <w:spacing w:line="269" w:lineRule="auto"/>
        <w:ind w:left="838"/>
        <w:rPr>
          <w:b/>
          <w:bCs/>
          <w:rtl/>
        </w:rPr>
      </w:pPr>
      <w:r w:rsidRPr="00FB5BE9">
        <w:rPr>
          <w:rFonts w:hint="eastAsia"/>
          <w:b/>
          <w:bCs/>
          <w:rtl/>
        </w:rPr>
        <w:t>החל</w:t>
      </w:r>
      <w:r w:rsidRPr="00FB5BE9">
        <w:rPr>
          <w:b/>
          <w:bCs/>
          <w:rtl/>
        </w:rPr>
        <w:t xml:space="preserve"> משנת 2005 עיגנו </w:t>
      </w:r>
      <w:r w:rsidRPr="00FB5BE9">
        <w:rPr>
          <w:rFonts w:hint="eastAsia"/>
          <w:b/>
          <w:bCs/>
          <w:rtl/>
        </w:rPr>
        <w:t>הנחיות</w:t>
      </w:r>
      <w:r w:rsidRPr="00FB5BE9">
        <w:rPr>
          <w:b/>
          <w:bCs/>
          <w:rtl/>
        </w:rPr>
        <w:t xml:space="preserve"> </w:t>
      </w:r>
      <w:r w:rsidRPr="00FB5BE9">
        <w:rPr>
          <w:rFonts w:hint="eastAsia"/>
          <w:b/>
          <w:bCs/>
          <w:rtl/>
        </w:rPr>
        <w:t>המשטרה</w:t>
      </w:r>
      <w:r w:rsidRPr="00FB5BE9">
        <w:rPr>
          <w:b/>
          <w:bCs/>
          <w:rtl/>
        </w:rPr>
        <w:t xml:space="preserve"> באופן חל</w:t>
      </w:r>
      <w:r w:rsidRPr="00FB5BE9">
        <w:rPr>
          <w:rFonts w:hint="eastAsia"/>
          <w:b/>
          <w:bCs/>
          <w:rtl/>
        </w:rPr>
        <w:t>קי</w:t>
      </w:r>
      <w:r w:rsidRPr="00FB5BE9">
        <w:rPr>
          <w:b/>
          <w:bCs/>
          <w:rtl/>
        </w:rPr>
        <w:t xml:space="preserve"> </w:t>
      </w:r>
      <w:r w:rsidRPr="00FB5BE9">
        <w:rPr>
          <w:rFonts w:hint="eastAsia"/>
          <w:b/>
          <w:bCs/>
          <w:rtl/>
        </w:rPr>
        <w:t>בלבד</w:t>
      </w:r>
      <w:r w:rsidRPr="00FB5BE9">
        <w:rPr>
          <w:b/>
          <w:bCs/>
          <w:rtl/>
        </w:rPr>
        <w:t xml:space="preserve"> </w:t>
      </w:r>
      <w:r w:rsidRPr="00FB5BE9">
        <w:rPr>
          <w:rFonts w:hint="eastAsia"/>
          <w:b/>
          <w:bCs/>
          <w:rtl/>
        </w:rPr>
        <w:t>את</w:t>
      </w:r>
      <w:r w:rsidRPr="00FB5BE9">
        <w:rPr>
          <w:b/>
          <w:bCs/>
          <w:rtl/>
        </w:rPr>
        <w:t xml:space="preserve"> </w:t>
      </w:r>
      <w:r w:rsidRPr="00FB5BE9">
        <w:rPr>
          <w:rFonts w:hint="eastAsia"/>
          <w:b/>
          <w:bCs/>
          <w:rtl/>
        </w:rPr>
        <w:t>התנאים</w:t>
      </w:r>
      <w:r w:rsidRPr="00FB5BE9">
        <w:rPr>
          <w:b/>
          <w:bCs/>
          <w:rtl/>
        </w:rPr>
        <w:t xml:space="preserve"> </w:t>
      </w:r>
      <w:r w:rsidRPr="00FB5BE9">
        <w:rPr>
          <w:rFonts w:hint="eastAsia"/>
          <w:b/>
          <w:bCs/>
          <w:rtl/>
        </w:rPr>
        <w:t>לביצוע</w:t>
      </w:r>
      <w:r w:rsidRPr="00FB5BE9">
        <w:rPr>
          <w:b/>
          <w:bCs/>
          <w:rtl/>
        </w:rPr>
        <w:t xml:space="preserve"> </w:t>
      </w:r>
      <w:r w:rsidRPr="00FB5BE9">
        <w:rPr>
          <w:rFonts w:hint="eastAsia"/>
          <w:b/>
          <w:bCs/>
          <w:rtl/>
        </w:rPr>
        <w:t>הפקה</w:t>
      </w:r>
      <w:r>
        <w:rPr>
          <w:rFonts w:hint="cs"/>
          <w:b/>
          <w:bCs/>
          <w:rtl/>
        </w:rPr>
        <w:t xml:space="preserve"> </w:t>
      </w:r>
      <w:r w:rsidRPr="00FB5BE9">
        <w:rPr>
          <w:rFonts w:hint="eastAsia"/>
          <w:b/>
          <w:bCs/>
          <w:rtl/>
        </w:rPr>
        <w:t>לצורכי</w:t>
      </w:r>
      <w:r w:rsidRPr="00FB5BE9">
        <w:rPr>
          <w:b/>
          <w:bCs/>
          <w:rtl/>
        </w:rPr>
        <w:t xml:space="preserve"> </w:t>
      </w:r>
      <w:r w:rsidRPr="00FB5BE9">
        <w:rPr>
          <w:rFonts w:hint="eastAsia"/>
          <w:b/>
          <w:bCs/>
          <w:rtl/>
        </w:rPr>
        <w:t>מודיעין</w:t>
      </w:r>
      <w:r w:rsidRPr="00FB5BE9">
        <w:rPr>
          <w:b/>
          <w:bCs/>
          <w:rtl/>
        </w:rPr>
        <w:t>: (</w:t>
      </w:r>
      <w:r w:rsidRPr="00FB5BE9">
        <w:rPr>
          <w:rFonts w:hint="eastAsia"/>
          <w:b/>
          <w:bCs/>
          <w:rtl/>
        </w:rPr>
        <w:t>א</w:t>
      </w:r>
      <w:r w:rsidRPr="00FB5BE9">
        <w:rPr>
          <w:b/>
          <w:bCs/>
          <w:rtl/>
        </w:rPr>
        <w:t xml:space="preserve">) הם </w:t>
      </w:r>
      <w:r w:rsidRPr="00FB5BE9">
        <w:rPr>
          <w:rFonts w:hint="eastAsia"/>
          <w:b/>
          <w:bCs/>
          <w:rtl/>
        </w:rPr>
        <w:t>אינם</w:t>
      </w:r>
      <w:r w:rsidRPr="00FB5BE9">
        <w:rPr>
          <w:b/>
          <w:bCs/>
          <w:rtl/>
        </w:rPr>
        <w:t xml:space="preserve"> </w:t>
      </w:r>
      <w:r w:rsidRPr="00FB5BE9">
        <w:rPr>
          <w:rFonts w:hint="eastAsia"/>
          <w:b/>
          <w:bCs/>
          <w:rtl/>
        </w:rPr>
        <w:t>מגדירים</w:t>
      </w:r>
      <w:r w:rsidRPr="00FB5BE9">
        <w:rPr>
          <w:b/>
          <w:bCs/>
          <w:rtl/>
        </w:rPr>
        <w:t xml:space="preserve"> </w:t>
      </w:r>
      <w:r w:rsidRPr="00FB5BE9">
        <w:rPr>
          <w:rFonts w:hint="eastAsia"/>
          <w:b/>
          <w:bCs/>
          <w:rtl/>
        </w:rPr>
        <w:t>מהי</w:t>
      </w:r>
      <w:r w:rsidRPr="00FB5BE9">
        <w:rPr>
          <w:b/>
          <w:bCs/>
          <w:rtl/>
        </w:rPr>
        <w:t xml:space="preserve"> </w:t>
      </w:r>
      <w:r w:rsidRPr="00FB5BE9">
        <w:rPr>
          <w:rFonts w:hint="eastAsia"/>
          <w:b/>
          <w:bCs/>
          <w:rtl/>
        </w:rPr>
        <w:t>פעילות</w:t>
      </w:r>
      <w:r w:rsidRPr="00FB5BE9">
        <w:rPr>
          <w:b/>
          <w:bCs/>
          <w:rtl/>
        </w:rPr>
        <w:t xml:space="preserve"> </w:t>
      </w:r>
      <w:r w:rsidRPr="00FB5BE9">
        <w:rPr>
          <w:rFonts w:hint="eastAsia"/>
          <w:b/>
          <w:bCs/>
          <w:rtl/>
        </w:rPr>
        <w:t>שטח</w:t>
      </w:r>
      <w:r w:rsidRPr="00FB5BE9">
        <w:rPr>
          <w:b/>
          <w:bCs/>
          <w:rtl/>
        </w:rPr>
        <w:t xml:space="preserve"> </w:t>
      </w:r>
      <w:r w:rsidRPr="00FB5BE9">
        <w:rPr>
          <w:rFonts w:hint="eastAsia"/>
          <w:b/>
          <w:bCs/>
          <w:rtl/>
        </w:rPr>
        <w:t>מבצעית</w:t>
      </w:r>
      <w:r w:rsidRPr="00FB5BE9">
        <w:rPr>
          <w:b/>
          <w:bCs/>
          <w:rtl/>
        </w:rPr>
        <w:t xml:space="preserve"> המאפשרת הפקה של תוצרי האזנת סתר שהפקתם הוגבלה; (</w:t>
      </w:r>
      <w:r w:rsidRPr="00FB5BE9">
        <w:rPr>
          <w:rFonts w:hint="eastAsia"/>
          <w:b/>
          <w:bCs/>
          <w:rtl/>
        </w:rPr>
        <w:t>ב</w:t>
      </w:r>
      <w:r w:rsidRPr="00FB5BE9">
        <w:rPr>
          <w:b/>
          <w:bCs/>
          <w:rtl/>
        </w:rPr>
        <w:t>)</w:t>
      </w:r>
      <w:r w:rsidRPr="00FB5BE9">
        <w:rPr>
          <w:b/>
          <w:bCs/>
        </w:rPr>
        <w:t xml:space="preserve"> </w:t>
      </w:r>
      <w:r w:rsidRPr="00FB5BE9">
        <w:rPr>
          <w:rFonts w:hint="eastAsia"/>
          <w:b/>
          <w:bCs/>
          <w:rtl/>
        </w:rPr>
        <w:t>הם</w:t>
      </w:r>
      <w:r w:rsidRPr="00FB5BE9">
        <w:rPr>
          <w:b/>
          <w:bCs/>
          <w:rtl/>
        </w:rPr>
        <w:t xml:space="preserve"> </w:t>
      </w:r>
      <w:r w:rsidRPr="00FB5BE9">
        <w:rPr>
          <w:rFonts w:hint="eastAsia"/>
          <w:b/>
          <w:bCs/>
          <w:rtl/>
        </w:rPr>
        <w:t>אינם</w:t>
      </w:r>
      <w:r w:rsidRPr="00FB5BE9">
        <w:rPr>
          <w:b/>
          <w:bCs/>
          <w:rtl/>
        </w:rPr>
        <w:t xml:space="preserve"> </w:t>
      </w:r>
      <w:r w:rsidRPr="00FB5BE9">
        <w:rPr>
          <w:rFonts w:hint="eastAsia"/>
          <w:b/>
          <w:bCs/>
          <w:rtl/>
        </w:rPr>
        <w:t>מגדירים</w:t>
      </w:r>
      <w:r w:rsidRPr="00FB5BE9">
        <w:rPr>
          <w:b/>
          <w:bCs/>
          <w:rtl/>
        </w:rPr>
        <w:t xml:space="preserve"> אילו עבירות הדורשות סיכול </w:t>
      </w:r>
      <w:r w:rsidRPr="00FB5BE9">
        <w:rPr>
          <w:rFonts w:hint="eastAsia"/>
          <w:b/>
          <w:bCs/>
          <w:rtl/>
        </w:rPr>
        <w:t>מיידי</w:t>
      </w:r>
      <w:r w:rsidRPr="00FB5BE9">
        <w:rPr>
          <w:b/>
          <w:bCs/>
          <w:rtl/>
        </w:rPr>
        <w:t xml:space="preserve"> מאפשרות הפקה של תוצרי האזנת סתר שהפקתם הוגבלה; (</w:t>
      </w:r>
      <w:r w:rsidRPr="00FB5BE9">
        <w:rPr>
          <w:rFonts w:hint="eastAsia"/>
          <w:b/>
          <w:bCs/>
          <w:rtl/>
        </w:rPr>
        <w:t>ב</w:t>
      </w:r>
      <w:r w:rsidRPr="00FB5BE9">
        <w:rPr>
          <w:b/>
          <w:bCs/>
          <w:rtl/>
        </w:rPr>
        <w:t>)</w:t>
      </w:r>
      <w:r w:rsidRPr="00FB5BE9">
        <w:rPr>
          <w:b/>
          <w:bCs/>
        </w:rPr>
        <w:t xml:space="preserve"> </w:t>
      </w:r>
      <w:r w:rsidRPr="00FB5BE9">
        <w:rPr>
          <w:rFonts w:hint="eastAsia"/>
          <w:b/>
          <w:bCs/>
          <w:rtl/>
        </w:rPr>
        <w:t>הם</w:t>
      </w:r>
      <w:r w:rsidRPr="00FB5BE9">
        <w:rPr>
          <w:b/>
          <w:bCs/>
          <w:rtl/>
        </w:rPr>
        <w:t xml:space="preserve"> </w:t>
      </w:r>
      <w:r w:rsidRPr="00FB5BE9">
        <w:rPr>
          <w:rFonts w:hint="eastAsia"/>
          <w:b/>
          <w:bCs/>
          <w:rtl/>
        </w:rPr>
        <w:t>אינם</w:t>
      </w:r>
      <w:r w:rsidRPr="00FB5BE9">
        <w:rPr>
          <w:b/>
          <w:bCs/>
          <w:rtl/>
        </w:rPr>
        <w:t xml:space="preserve"> </w:t>
      </w:r>
      <w:r w:rsidRPr="00FB5BE9">
        <w:rPr>
          <w:rFonts w:hint="eastAsia"/>
          <w:b/>
          <w:bCs/>
          <w:rtl/>
        </w:rPr>
        <w:t>קובעים</w:t>
      </w:r>
      <w:r w:rsidRPr="00FB5BE9">
        <w:rPr>
          <w:b/>
          <w:bCs/>
          <w:rtl/>
        </w:rPr>
        <w:t xml:space="preserve"> </w:t>
      </w:r>
      <w:r w:rsidRPr="00FB5BE9">
        <w:rPr>
          <w:rFonts w:hint="eastAsia"/>
          <w:b/>
          <w:bCs/>
          <w:rtl/>
        </w:rPr>
        <w:t>מיהו</w:t>
      </w:r>
      <w:r w:rsidRPr="00FB5BE9">
        <w:rPr>
          <w:b/>
          <w:bCs/>
          <w:rtl/>
        </w:rPr>
        <w:t xml:space="preserve"> הגורם המאשר לבצע האזנת סתר לצורכי מודיעין; (</w:t>
      </w:r>
      <w:r w:rsidRPr="00FB5BE9">
        <w:rPr>
          <w:rFonts w:hint="eastAsia"/>
          <w:b/>
          <w:bCs/>
          <w:rtl/>
        </w:rPr>
        <w:t>ד</w:t>
      </w:r>
      <w:r w:rsidRPr="00FB5BE9">
        <w:rPr>
          <w:b/>
          <w:bCs/>
          <w:rtl/>
        </w:rPr>
        <w:t>)</w:t>
      </w:r>
      <w:r w:rsidRPr="00FB5BE9">
        <w:rPr>
          <w:b/>
          <w:bCs/>
        </w:rPr>
        <w:t xml:space="preserve"> </w:t>
      </w:r>
      <w:r w:rsidRPr="00FB5BE9">
        <w:rPr>
          <w:rFonts w:hint="eastAsia"/>
          <w:b/>
          <w:bCs/>
          <w:rtl/>
        </w:rPr>
        <w:t>הם</w:t>
      </w:r>
      <w:r w:rsidRPr="00FB5BE9">
        <w:rPr>
          <w:b/>
          <w:bCs/>
          <w:rtl/>
        </w:rPr>
        <w:t xml:space="preserve"> </w:t>
      </w:r>
      <w:r w:rsidRPr="00FB5BE9">
        <w:rPr>
          <w:rFonts w:hint="eastAsia"/>
          <w:b/>
          <w:bCs/>
          <w:rtl/>
        </w:rPr>
        <w:t>אינם</w:t>
      </w:r>
      <w:r w:rsidRPr="00FB5BE9">
        <w:rPr>
          <w:b/>
          <w:bCs/>
          <w:rtl/>
        </w:rPr>
        <w:t xml:space="preserve"> </w:t>
      </w:r>
      <w:r w:rsidRPr="00FB5BE9">
        <w:rPr>
          <w:rFonts w:hint="eastAsia"/>
          <w:b/>
          <w:bCs/>
          <w:rtl/>
        </w:rPr>
        <w:t>מגדירים</w:t>
      </w:r>
      <w:r w:rsidRPr="00FB5BE9">
        <w:rPr>
          <w:b/>
          <w:bCs/>
          <w:rtl/>
        </w:rPr>
        <w:t xml:space="preserve"> </w:t>
      </w:r>
      <w:r w:rsidRPr="00FB5BE9">
        <w:rPr>
          <w:rFonts w:hint="eastAsia"/>
          <w:b/>
          <w:bCs/>
          <w:rtl/>
        </w:rPr>
        <w:t>כיצד</w:t>
      </w:r>
      <w:r w:rsidRPr="00FB5BE9">
        <w:rPr>
          <w:b/>
          <w:bCs/>
          <w:rtl/>
        </w:rPr>
        <w:t xml:space="preserve"> </w:t>
      </w:r>
      <w:r w:rsidRPr="00FB5BE9">
        <w:rPr>
          <w:rFonts w:hint="eastAsia"/>
          <w:b/>
          <w:bCs/>
          <w:rtl/>
        </w:rPr>
        <w:t>יסומנו</w:t>
      </w:r>
      <w:r w:rsidRPr="00FB5BE9">
        <w:rPr>
          <w:b/>
          <w:bCs/>
          <w:rtl/>
        </w:rPr>
        <w:t xml:space="preserve"> </w:t>
      </w:r>
      <w:r w:rsidRPr="00FB5BE9">
        <w:rPr>
          <w:rFonts w:hint="eastAsia"/>
          <w:b/>
          <w:bCs/>
          <w:rtl/>
        </w:rPr>
        <w:t>תוצרי</w:t>
      </w:r>
      <w:r w:rsidRPr="00FB5BE9">
        <w:rPr>
          <w:b/>
          <w:bCs/>
          <w:rtl/>
        </w:rPr>
        <w:t xml:space="preserve"> </w:t>
      </w:r>
      <w:r w:rsidRPr="00FB5BE9">
        <w:rPr>
          <w:rFonts w:hint="eastAsia"/>
          <w:b/>
          <w:bCs/>
          <w:rtl/>
        </w:rPr>
        <w:t>האזנה</w:t>
      </w:r>
      <w:r w:rsidRPr="00FB5BE9">
        <w:rPr>
          <w:b/>
          <w:bCs/>
          <w:rtl/>
        </w:rPr>
        <w:t xml:space="preserve"> </w:t>
      </w:r>
      <w:r w:rsidRPr="00FB5BE9">
        <w:rPr>
          <w:rFonts w:hint="eastAsia"/>
          <w:b/>
          <w:bCs/>
          <w:rtl/>
        </w:rPr>
        <w:t>שהופקו</w:t>
      </w:r>
      <w:r w:rsidRPr="00FB5BE9">
        <w:rPr>
          <w:b/>
          <w:bCs/>
          <w:rtl/>
        </w:rPr>
        <w:t xml:space="preserve"> </w:t>
      </w:r>
      <w:r w:rsidRPr="00FB5BE9">
        <w:rPr>
          <w:rFonts w:hint="eastAsia"/>
          <w:b/>
          <w:bCs/>
          <w:rtl/>
        </w:rPr>
        <w:t>באופן</w:t>
      </w:r>
      <w:r w:rsidRPr="00FB5BE9">
        <w:rPr>
          <w:b/>
          <w:bCs/>
          <w:rtl/>
        </w:rPr>
        <w:t xml:space="preserve"> </w:t>
      </w:r>
      <w:r w:rsidRPr="00FB5BE9">
        <w:rPr>
          <w:rFonts w:hint="eastAsia"/>
          <w:b/>
          <w:bCs/>
          <w:rtl/>
        </w:rPr>
        <w:t>חריג</w:t>
      </w:r>
      <w:r w:rsidRPr="00FB5BE9">
        <w:rPr>
          <w:b/>
          <w:bCs/>
          <w:rtl/>
        </w:rPr>
        <w:t xml:space="preserve"> </w:t>
      </w:r>
      <w:r w:rsidRPr="00FB5BE9">
        <w:rPr>
          <w:rFonts w:hint="eastAsia"/>
          <w:b/>
          <w:bCs/>
          <w:rtl/>
        </w:rPr>
        <w:t>לצורכי</w:t>
      </w:r>
      <w:r w:rsidRPr="00FB5BE9">
        <w:rPr>
          <w:b/>
          <w:bCs/>
          <w:rtl/>
        </w:rPr>
        <w:t xml:space="preserve"> </w:t>
      </w:r>
      <w:r w:rsidRPr="00FB5BE9">
        <w:rPr>
          <w:rFonts w:hint="eastAsia"/>
          <w:b/>
          <w:bCs/>
          <w:rtl/>
        </w:rPr>
        <w:t>מודיעין</w:t>
      </w:r>
      <w:r w:rsidRPr="00FB5BE9">
        <w:rPr>
          <w:b/>
          <w:bCs/>
          <w:rtl/>
        </w:rPr>
        <w:t xml:space="preserve">, </w:t>
      </w:r>
      <w:r w:rsidRPr="00FB5BE9">
        <w:rPr>
          <w:rFonts w:hint="eastAsia"/>
          <w:b/>
          <w:bCs/>
          <w:rtl/>
        </w:rPr>
        <w:t>אשר</w:t>
      </w:r>
      <w:r w:rsidRPr="00FB5BE9">
        <w:rPr>
          <w:b/>
          <w:bCs/>
          <w:rtl/>
        </w:rPr>
        <w:t xml:space="preserve"> </w:t>
      </w:r>
      <w:r w:rsidRPr="00FB5BE9">
        <w:rPr>
          <w:rFonts w:hint="eastAsia"/>
          <w:b/>
          <w:bCs/>
          <w:rtl/>
        </w:rPr>
        <w:t>אילולא</w:t>
      </w:r>
      <w:r w:rsidRPr="00FB5BE9">
        <w:rPr>
          <w:b/>
          <w:bCs/>
          <w:rtl/>
        </w:rPr>
        <w:t xml:space="preserve"> </w:t>
      </w:r>
      <w:r w:rsidRPr="00FB5BE9">
        <w:rPr>
          <w:rFonts w:hint="eastAsia"/>
          <w:b/>
          <w:bCs/>
          <w:rtl/>
        </w:rPr>
        <w:t>צורך</w:t>
      </w:r>
      <w:r w:rsidRPr="00FB5BE9">
        <w:rPr>
          <w:b/>
          <w:bCs/>
          <w:rtl/>
        </w:rPr>
        <w:t xml:space="preserve"> </w:t>
      </w:r>
      <w:r w:rsidRPr="00FB5BE9">
        <w:rPr>
          <w:rFonts w:hint="eastAsia"/>
          <w:b/>
          <w:bCs/>
          <w:rtl/>
        </w:rPr>
        <w:t>זה</w:t>
      </w:r>
      <w:r w:rsidRPr="00FB5BE9">
        <w:rPr>
          <w:b/>
          <w:bCs/>
          <w:rtl/>
        </w:rPr>
        <w:t xml:space="preserve"> </w:t>
      </w:r>
      <w:r w:rsidRPr="00FB5BE9">
        <w:rPr>
          <w:rFonts w:hint="eastAsia"/>
          <w:b/>
          <w:bCs/>
          <w:rtl/>
        </w:rPr>
        <w:t>הפקתם</w:t>
      </w:r>
      <w:r w:rsidRPr="00FB5BE9">
        <w:rPr>
          <w:b/>
          <w:bCs/>
          <w:rtl/>
        </w:rPr>
        <w:t xml:space="preserve"> </w:t>
      </w:r>
      <w:r w:rsidRPr="00FB5BE9">
        <w:rPr>
          <w:rFonts w:hint="eastAsia"/>
          <w:b/>
          <w:bCs/>
          <w:rtl/>
        </w:rPr>
        <w:t>הייתה</w:t>
      </w:r>
      <w:r w:rsidRPr="00FB5BE9">
        <w:rPr>
          <w:b/>
          <w:bCs/>
          <w:rtl/>
        </w:rPr>
        <w:t xml:space="preserve"> </w:t>
      </w:r>
      <w:r w:rsidRPr="00FB5BE9">
        <w:rPr>
          <w:rFonts w:hint="eastAsia"/>
          <w:b/>
          <w:bCs/>
          <w:rtl/>
        </w:rPr>
        <w:t>אסורה</w:t>
      </w:r>
      <w:r w:rsidRPr="00FB5BE9">
        <w:rPr>
          <w:b/>
          <w:bCs/>
          <w:rtl/>
        </w:rPr>
        <w:t xml:space="preserve"> </w:t>
      </w:r>
      <w:r w:rsidRPr="00FB5BE9">
        <w:rPr>
          <w:rFonts w:hint="eastAsia"/>
          <w:b/>
          <w:bCs/>
          <w:rtl/>
        </w:rPr>
        <w:t>בצו</w:t>
      </w:r>
      <w:r w:rsidRPr="00FB5BE9">
        <w:rPr>
          <w:b/>
          <w:bCs/>
          <w:rtl/>
        </w:rPr>
        <w:t xml:space="preserve">. </w:t>
      </w:r>
    </w:p>
    <w:p w:rsidR="000F4EB6" w:rsidRDefault="000F4EB6" w:rsidP="00200F5D">
      <w:pPr>
        <w:spacing w:line="269" w:lineRule="auto"/>
        <w:ind w:left="838"/>
        <w:rPr>
          <w:b/>
          <w:bCs/>
          <w:rtl/>
        </w:rPr>
      </w:pPr>
    </w:p>
    <w:p w:rsidR="009A1216" w:rsidRPr="001511BF" w:rsidRDefault="009A1216" w:rsidP="00200F5D">
      <w:pPr>
        <w:spacing w:line="269" w:lineRule="auto"/>
        <w:ind w:left="838"/>
        <w:rPr>
          <w:b/>
          <w:bCs/>
          <w:rtl/>
        </w:rPr>
      </w:pPr>
      <w:r w:rsidRPr="001511BF">
        <w:rPr>
          <w:rFonts w:hint="cs"/>
          <w:b/>
          <w:bCs/>
          <w:rtl/>
        </w:rPr>
        <w:t>אף על פי שהפקה לצורכי מודיעין היא פעולה חריגה, המאפשרת למשטרה להפיק תוצרי האזנת סתר</w:t>
      </w:r>
      <w:r>
        <w:rPr>
          <w:rFonts w:hint="cs"/>
          <w:b/>
          <w:bCs/>
          <w:rtl/>
        </w:rPr>
        <w:t xml:space="preserve"> שנאספו כדין</w:t>
      </w:r>
      <w:r w:rsidRPr="001511BF">
        <w:rPr>
          <w:rFonts w:hint="cs"/>
          <w:b/>
          <w:bCs/>
          <w:rtl/>
        </w:rPr>
        <w:t xml:space="preserve"> בניגוד למגבלות </w:t>
      </w:r>
      <w:r>
        <w:rPr>
          <w:rFonts w:hint="cs"/>
          <w:b/>
          <w:bCs/>
          <w:rtl/>
        </w:rPr>
        <w:t>שהוטלו על הפקתם בצו</w:t>
      </w:r>
      <w:r w:rsidRPr="001511BF">
        <w:rPr>
          <w:rFonts w:hint="cs"/>
          <w:b/>
          <w:bCs/>
          <w:rtl/>
        </w:rPr>
        <w:t xml:space="preserve">, המשטרה לא פירטה באופן מספק </w:t>
      </w:r>
      <w:r>
        <w:rPr>
          <w:rFonts w:hint="cs"/>
          <w:b/>
          <w:bCs/>
          <w:rtl/>
        </w:rPr>
        <w:t>בהנחיותיה</w:t>
      </w:r>
      <w:r w:rsidRPr="001511BF">
        <w:rPr>
          <w:rFonts w:hint="cs"/>
          <w:b/>
          <w:bCs/>
          <w:rtl/>
        </w:rPr>
        <w:t xml:space="preserve"> את התנאים לביצוע פעולה זו. </w:t>
      </w:r>
    </w:p>
    <w:p w:rsidR="000F4EB6" w:rsidRDefault="000F4EB6" w:rsidP="00200F5D">
      <w:pPr>
        <w:spacing w:line="269" w:lineRule="auto"/>
        <w:ind w:left="838"/>
        <w:rPr>
          <w:b/>
          <w:bCs/>
          <w:rtl/>
        </w:rPr>
      </w:pPr>
    </w:p>
    <w:p w:rsidR="009A1216" w:rsidRPr="00A72307" w:rsidRDefault="009A1216" w:rsidP="00200F5D">
      <w:pPr>
        <w:spacing w:line="269" w:lineRule="auto"/>
        <w:ind w:left="838"/>
        <w:rPr>
          <w:b/>
          <w:bCs/>
          <w:rtl/>
        </w:rPr>
      </w:pPr>
      <w:r w:rsidRPr="001511BF">
        <w:rPr>
          <w:rFonts w:hint="cs"/>
          <w:b/>
          <w:bCs/>
          <w:rtl/>
        </w:rPr>
        <w:t xml:space="preserve">מומלץ כי </w:t>
      </w:r>
      <w:r>
        <w:rPr>
          <w:rFonts w:hint="cs"/>
          <w:b/>
          <w:bCs/>
          <w:rtl/>
        </w:rPr>
        <w:t>עד להסדרה המלאה של הסמכות לבצע הפקת תוצרי האזנת סתר לצורכי מודיעין בחקיקה ראשית, המשטרה</w:t>
      </w:r>
      <w:r w:rsidRPr="001511BF">
        <w:rPr>
          <w:rFonts w:hint="cs"/>
          <w:b/>
          <w:bCs/>
          <w:rtl/>
        </w:rPr>
        <w:t xml:space="preserve"> תפרט </w:t>
      </w:r>
      <w:r>
        <w:rPr>
          <w:rFonts w:hint="cs"/>
          <w:b/>
          <w:bCs/>
          <w:rtl/>
        </w:rPr>
        <w:t>בנהלים ובהנחיות</w:t>
      </w:r>
      <w:r w:rsidRPr="001511BF">
        <w:rPr>
          <w:rFonts w:hint="cs"/>
          <w:b/>
          <w:bCs/>
          <w:rtl/>
        </w:rPr>
        <w:t xml:space="preserve"> את התנאים ל</w:t>
      </w:r>
      <w:r>
        <w:rPr>
          <w:rFonts w:hint="cs"/>
          <w:b/>
          <w:bCs/>
          <w:rtl/>
        </w:rPr>
        <w:t>אישור הפקת התוצרים ולהפקתם בפועל</w:t>
      </w:r>
      <w:r w:rsidRPr="001511BF">
        <w:rPr>
          <w:rFonts w:hint="cs"/>
          <w:b/>
          <w:bCs/>
          <w:rtl/>
        </w:rPr>
        <w:t xml:space="preserve"> לצורכי מודיעין</w:t>
      </w:r>
      <w:r>
        <w:rPr>
          <w:rFonts w:hint="cs"/>
          <w:b/>
          <w:bCs/>
          <w:rtl/>
        </w:rPr>
        <w:t>, לרבות את זהות הגורם המאשר את ביצועה ואת סוגי העבירות והפעולות המבצעיות המצדיקות הפקה של תוצרי האזנה לצורכי מודיעין</w:t>
      </w:r>
      <w:r w:rsidRPr="001511BF">
        <w:rPr>
          <w:rFonts w:hint="cs"/>
          <w:b/>
          <w:bCs/>
          <w:rtl/>
        </w:rPr>
        <w:t xml:space="preserve">. כמו כן, מומלץ כי היא תפעל לסימון תוצרי האזנת סתר שהופקו לצורכי מודיעין בניגוד למגבלות הצו, </w:t>
      </w:r>
      <w:r>
        <w:rPr>
          <w:rFonts w:hint="cs"/>
          <w:b/>
          <w:bCs/>
          <w:rtl/>
        </w:rPr>
        <w:t>כדי</w:t>
      </w:r>
      <w:r w:rsidRPr="001511BF">
        <w:rPr>
          <w:rFonts w:hint="cs"/>
          <w:b/>
          <w:bCs/>
          <w:rtl/>
        </w:rPr>
        <w:t xml:space="preserve"> שניתן יהיה </w:t>
      </w:r>
      <w:r>
        <w:rPr>
          <w:rFonts w:hint="cs"/>
          <w:b/>
          <w:bCs/>
          <w:rtl/>
        </w:rPr>
        <w:t>לעשות</w:t>
      </w:r>
      <w:r w:rsidRPr="001511BF">
        <w:rPr>
          <w:rFonts w:hint="cs"/>
          <w:b/>
          <w:bCs/>
          <w:rtl/>
        </w:rPr>
        <w:t xml:space="preserve"> בקרה על היקף השימוש באפשרות זו.</w:t>
      </w:r>
      <w:r>
        <w:rPr>
          <w:rFonts w:hint="cs"/>
          <w:b/>
          <w:bCs/>
          <w:rtl/>
        </w:rPr>
        <w:t xml:space="preserve"> </w:t>
      </w:r>
    </w:p>
    <w:p w:rsidR="009A1216" w:rsidRDefault="009A1216" w:rsidP="00604C3D">
      <w:pPr>
        <w:spacing w:line="269" w:lineRule="auto"/>
        <w:rPr>
          <w:rtl/>
        </w:rPr>
      </w:pPr>
    </w:p>
    <w:p w:rsidR="009A1216" w:rsidRDefault="009A1216" w:rsidP="00200F5D">
      <w:pPr>
        <w:pStyle w:val="5"/>
        <w:numPr>
          <w:ilvl w:val="0"/>
          <w:numId w:val="46"/>
        </w:numPr>
        <w:spacing w:line="269" w:lineRule="auto"/>
        <w:ind w:left="849" w:hanging="423"/>
        <w:rPr>
          <w:rtl/>
        </w:rPr>
      </w:pPr>
      <w:r>
        <w:rPr>
          <w:rFonts w:hint="cs"/>
          <w:rtl/>
        </w:rPr>
        <w:t>היעדר שליטה על פעולת העיון</w:t>
      </w:r>
    </w:p>
    <w:p w:rsidR="000F4EB6" w:rsidRDefault="000F4EB6" w:rsidP="00604C3D">
      <w:pPr>
        <w:spacing w:line="269" w:lineRule="auto"/>
        <w:rPr>
          <w:rtl/>
        </w:rPr>
      </w:pPr>
    </w:p>
    <w:p w:rsidR="009A1216" w:rsidRDefault="009A1216" w:rsidP="00200F5D">
      <w:pPr>
        <w:spacing w:line="269" w:lineRule="auto"/>
        <w:ind w:left="849"/>
        <w:rPr>
          <w:rtl/>
        </w:rPr>
      </w:pPr>
      <w:r w:rsidRPr="00D627B1">
        <w:rPr>
          <w:rFonts w:hint="cs"/>
          <w:rtl/>
        </w:rPr>
        <w:t xml:space="preserve">השלב הראשון בהפקה </w:t>
      </w:r>
      <w:r>
        <w:rPr>
          <w:rFonts w:hint="cs"/>
          <w:rtl/>
        </w:rPr>
        <w:t xml:space="preserve">לצורך ראייתי או לצורכי מודיעין </w:t>
      </w:r>
      <w:r w:rsidRPr="00D627B1">
        <w:rPr>
          <w:rFonts w:hint="cs"/>
          <w:rtl/>
        </w:rPr>
        <w:t>הוא העיון ברשימת תוצרי ההאזנה, מיון הרשימה ועיון בתוצר</w:t>
      </w:r>
      <w:r>
        <w:rPr>
          <w:rFonts w:hint="cs"/>
          <w:rtl/>
        </w:rPr>
        <w:t>י</w:t>
      </w:r>
      <w:r w:rsidRPr="00D627B1">
        <w:rPr>
          <w:rFonts w:hint="cs"/>
          <w:rtl/>
        </w:rPr>
        <w:t xml:space="preserve"> האזנה ספציפיים</w:t>
      </w:r>
      <w:r w:rsidR="00A61008">
        <w:rPr>
          <w:rFonts w:hint="cs"/>
          <w:rtl/>
        </w:rPr>
        <w:t xml:space="preserve"> בהתאם לסוג המידע שנאסף</w:t>
      </w:r>
      <w:r w:rsidRPr="00D627B1">
        <w:rPr>
          <w:rFonts w:hint="cs"/>
          <w:rtl/>
        </w:rPr>
        <w:t xml:space="preserve">. </w:t>
      </w:r>
    </w:p>
    <w:p w:rsidR="000F4EB6" w:rsidRDefault="000F4EB6" w:rsidP="00200F5D">
      <w:pPr>
        <w:spacing w:line="269" w:lineRule="auto"/>
        <w:ind w:left="849"/>
        <w:rPr>
          <w:rtl/>
        </w:rPr>
      </w:pPr>
    </w:p>
    <w:p w:rsidR="009A1216" w:rsidRDefault="009A1216" w:rsidP="00200F5D">
      <w:pPr>
        <w:spacing w:line="269" w:lineRule="auto"/>
        <w:ind w:left="849"/>
        <w:rPr>
          <w:rtl/>
        </w:rPr>
      </w:pPr>
      <w:r>
        <w:rPr>
          <w:rFonts w:hint="cs"/>
          <w:rtl/>
        </w:rPr>
        <w:t>לפי תקנות האזנת סתר, הגורם העיקרי ששולט בתוצרי ההאזנה</w:t>
      </w:r>
      <w:r>
        <w:rPr>
          <w:rStyle w:val="af"/>
          <w:rtl/>
        </w:rPr>
        <w:footnoteReference w:id="220"/>
      </w:r>
      <w:r>
        <w:rPr>
          <w:rFonts w:hint="cs"/>
          <w:rtl/>
        </w:rPr>
        <w:t xml:space="preserve"> ובמידע שהושג בהאזנה הוא מבצע ההאזנה, קרי גורמי ההפקה. עם זאת, בהתאם לתקנות, גורמי ההפקה חייבים להעביר את תוצרי ההאזנה והמידע שהושג בהאזנה לידי היחידה המזמינה וכן לידי כל מי שהיחידה המזמינה הורתה כי הוא נדרש לקבלו לצורך מילוי תפקידו.</w:t>
      </w:r>
    </w:p>
    <w:p w:rsidR="000F4EB6" w:rsidRDefault="000F4EB6" w:rsidP="00200F5D">
      <w:pPr>
        <w:spacing w:line="269" w:lineRule="auto"/>
        <w:ind w:left="849"/>
        <w:rPr>
          <w:rtl/>
        </w:rPr>
      </w:pPr>
    </w:p>
    <w:p w:rsidR="009A1216" w:rsidRDefault="009A1216" w:rsidP="00200F5D">
      <w:pPr>
        <w:spacing w:line="269" w:lineRule="auto"/>
        <w:ind w:left="849"/>
        <w:rPr>
          <w:rtl/>
        </w:rPr>
      </w:pPr>
      <w:r>
        <w:rPr>
          <w:rFonts w:hint="cs"/>
          <w:rtl/>
        </w:rPr>
        <w:t xml:space="preserve">בשנת 2012 הוציאה מחלקת הסייבר הנחייה פנימית ולפיה יש לבצע מידור פנימי במשטרה, </w:t>
      </w:r>
      <w:r w:rsidRPr="00621B4E">
        <w:rPr>
          <w:rFonts w:hint="cs"/>
          <w:rtl/>
        </w:rPr>
        <w:t>ובמסגרתו תוגבל החשיפה של גורמים שונים, לרבות היחידה המזמינה, לתוצרי ההאזנה ולעיתים אף למידע שהושג בהאזנה</w:t>
      </w:r>
      <w:r w:rsidRPr="00621B4E">
        <w:rPr>
          <w:rtl/>
        </w:rPr>
        <w:t xml:space="preserve">. הנחיה זו אף אושרה על ידי פרקליטות המדינה באותה השנה. </w:t>
      </w:r>
      <w:r w:rsidRPr="00621B4E">
        <w:rPr>
          <w:rFonts w:hint="eastAsia"/>
          <w:rtl/>
        </w:rPr>
        <w:t>הפרקליטות</w:t>
      </w:r>
      <w:r w:rsidRPr="00621B4E">
        <w:rPr>
          <w:rtl/>
        </w:rPr>
        <w:t xml:space="preserve"> </w:t>
      </w:r>
      <w:r w:rsidRPr="00621B4E">
        <w:rPr>
          <w:rFonts w:hint="eastAsia"/>
          <w:rtl/>
        </w:rPr>
        <w:t>ציינה</w:t>
      </w:r>
      <w:r w:rsidRPr="00621B4E">
        <w:rPr>
          <w:rtl/>
        </w:rPr>
        <w:t xml:space="preserve"> </w:t>
      </w:r>
      <w:r w:rsidRPr="00621B4E">
        <w:rPr>
          <w:rFonts w:hint="eastAsia"/>
          <w:rtl/>
        </w:rPr>
        <w:t>כי</w:t>
      </w:r>
      <w:r w:rsidRPr="00621B4E">
        <w:rPr>
          <w:rtl/>
        </w:rPr>
        <w:t xml:space="preserve"> </w:t>
      </w:r>
      <w:r w:rsidRPr="00621B4E">
        <w:rPr>
          <w:rFonts w:hint="eastAsia"/>
          <w:rtl/>
        </w:rPr>
        <w:t>הפעלת</w:t>
      </w:r>
      <w:r w:rsidRPr="00621B4E">
        <w:rPr>
          <w:rtl/>
        </w:rPr>
        <w:t xml:space="preserve"> </w:t>
      </w:r>
      <w:r w:rsidRPr="00621B4E">
        <w:rPr>
          <w:rFonts w:hint="eastAsia"/>
          <w:rtl/>
        </w:rPr>
        <w:t>כלים</w:t>
      </w:r>
      <w:r w:rsidRPr="00621B4E">
        <w:rPr>
          <w:rtl/>
        </w:rPr>
        <w:t xml:space="preserve"> </w:t>
      </w:r>
      <w:r w:rsidRPr="00621B4E">
        <w:rPr>
          <w:rFonts w:hint="eastAsia"/>
          <w:rtl/>
        </w:rPr>
        <w:t>מיוחדים</w:t>
      </w:r>
      <w:r w:rsidRPr="00621B4E">
        <w:rPr>
          <w:rtl/>
        </w:rPr>
        <w:t xml:space="preserve"> </w:t>
      </w:r>
      <w:r w:rsidRPr="00621B4E">
        <w:rPr>
          <w:rFonts w:hint="eastAsia"/>
          <w:rtl/>
        </w:rPr>
        <w:t>מחייבת</w:t>
      </w:r>
      <w:r w:rsidRPr="00621B4E">
        <w:rPr>
          <w:rtl/>
        </w:rPr>
        <w:t xml:space="preserve"> </w:t>
      </w:r>
      <w:r w:rsidRPr="00621B4E">
        <w:rPr>
          <w:rFonts w:hint="eastAsia"/>
          <w:rtl/>
        </w:rPr>
        <w:t>הוצאת</w:t>
      </w:r>
      <w:r w:rsidRPr="00621B4E">
        <w:rPr>
          <w:rtl/>
        </w:rPr>
        <w:t xml:space="preserve"> </w:t>
      </w:r>
      <w:r w:rsidRPr="00621B4E">
        <w:rPr>
          <w:rFonts w:hint="eastAsia"/>
          <w:rtl/>
        </w:rPr>
        <w:t>מזכר</w:t>
      </w:r>
      <w:r w:rsidRPr="00621B4E">
        <w:rPr>
          <w:rtl/>
        </w:rPr>
        <w:t xml:space="preserve"> </w:t>
      </w:r>
      <w:r w:rsidRPr="00621B4E">
        <w:rPr>
          <w:rFonts w:hint="eastAsia"/>
          <w:rtl/>
        </w:rPr>
        <w:t>אינדיקציה</w:t>
      </w:r>
      <w:r w:rsidRPr="00621B4E">
        <w:rPr>
          <w:rtl/>
        </w:rPr>
        <w:t xml:space="preserve"> </w:t>
      </w:r>
      <w:r w:rsidRPr="00621B4E">
        <w:rPr>
          <w:rFonts w:hint="eastAsia"/>
          <w:rtl/>
        </w:rPr>
        <w:t>המעיד</w:t>
      </w:r>
      <w:r w:rsidRPr="00621B4E">
        <w:rPr>
          <w:rtl/>
        </w:rPr>
        <w:t xml:space="preserve"> </w:t>
      </w:r>
      <w:r w:rsidRPr="00621B4E">
        <w:rPr>
          <w:rFonts w:hint="eastAsia"/>
          <w:rtl/>
        </w:rPr>
        <w:t>על</w:t>
      </w:r>
      <w:r w:rsidRPr="00621B4E">
        <w:rPr>
          <w:rtl/>
        </w:rPr>
        <w:t xml:space="preserve"> </w:t>
      </w:r>
      <w:r w:rsidRPr="00621B4E">
        <w:rPr>
          <w:rFonts w:hint="eastAsia"/>
          <w:rtl/>
        </w:rPr>
        <w:t>עצם</w:t>
      </w:r>
      <w:r w:rsidRPr="00621B4E">
        <w:rPr>
          <w:rtl/>
        </w:rPr>
        <w:t xml:space="preserve"> </w:t>
      </w:r>
      <w:r w:rsidRPr="00621B4E">
        <w:rPr>
          <w:rFonts w:hint="eastAsia"/>
          <w:rtl/>
        </w:rPr>
        <w:t>השימוש</w:t>
      </w:r>
      <w:r w:rsidRPr="00621B4E">
        <w:rPr>
          <w:rtl/>
        </w:rPr>
        <w:t xml:space="preserve"> </w:t>
      </w:r>
      <w:r w:rsidRPr="00621B4E">
        <w:rPr>
          <w:rFonts w:hint="eastAsia"/>
          <w:rtl/>
        </w:rPr>
        <w:t>בהם</w:t>
      </w:r>
      <w:r w:rsidRPr="00621B4E">
        <w:rPr>
          <w:rtl/>
        </w:rPr>
        <w:t xml:space="preserve"> </w:t>
      </w:r>
      <w:r w:rsidRPr="00621B4E">
        <w:rPr>
          <w:rFonts w:hint="eastAsia"/>
          <w:rtl/>
        </w:rPr>
        <w:t>בתיק</w:t>
      </w:r>
      <w:r w:rsidRPr="00621B4E">
        <w:rPr>
          <w:rtl/>
        </w:rPr>
        <w:t xml:space="preserve"> </w:t>
      </w:r>
      <w:r w:rsidRPr="00621B4E">
        <w:rPr>
          <w:rFonts w:hint="eastAsia"/>
          <w:rtl/>
        </w:rPr>
        <w:t>החקירה</w:t>
      </w:r>
      <w:r w:rsidRPr="00621B4E">
        <w:rPr>
          <w:rtl/>
        </w:rPr>
        <w:t xml:space="preserve"> </w:t>
      </w:r>
      <w:r w:rsidRPr="00621B4E">
        <w:rPr>
          <w:rFonts w:hint="eastAsia"/>
          <w:rtl/>
        </w:rPr>
        <w:t>או</w:t>
      </w:r>
      <w:r w:rsidRPr="00621B4E">
        <w:rPr>
          <w:rtl/>
        </w:rPr>
        <w:t xml:space="preserve"> </w:t>
      </w:r>
      <w:r w:rsidRPr="00621B4E">
        <w:rPr>
          <w:rFonts w:hint="eastAsia"/>
          <w:rtl/>
        </w:rPr>
        <w:t>הפרשייה</w:t>
      </w:r>
      <w:r w:rsidRPr="00621B4E">
        <w:rPr>
          <w:rtl/>
        </w:rPr>
        <w:t xml:space="preserve"> </w:t>
      </w:r>
      <w:r w:rsidRPr="00621B4E">
        <w:rPr>
          <w:rFonts w:hint="eastAsia"/>
          <w:rtl/>
        </w:rPr>
        <w:t>המודיעינית</w:t>
      </w:r>
      <w:r w:rsidRPr="00621B4E">
        <w:rPr>
          <w:rtl/>
        </w:rPr>
        <w:t>;</w:t>
      </w:r>
      <w:r w:rsidRPr="00621B4E">
        <w:t xml:space="preserve"> </w:t>
      </w:r>
      <w:r w:rsidRPr="00621B4E">
        <w:rPr>
          <w:rFonts w:hint="eastAsia"/>
          <w:rtl/>
        </w:rPr>
        <w:t>כמו</w:t>
      </w:r>
      <w:r w:rsidRPr="00621B4E">
        <w:rPr>
          <w:rtl/>
        </w:rPr>
        <w:t xml:space="preserve"> </w:t>
      </w:r>
      <w:r w:rsidRPr="00621B4E">
        <w:rPr>
          <w:rFonts w:hint="eastAsia"/>
          <w:rtl/>
        </w:rPr>
        <w:t>כן</w:t>
      </w:r>
      <w:r w:rsidRPr="00621B4E">
        <w:rPr>
          <w:rtl/>
        </w:rPr>
        <w:t xml:space="preserve">, </w:t>
      </w:r>
      <w:r w:rsidRPr="00621B4E">
        <w:rPr>
          <w:rFonts w:hint="eastAsia"/>
          <w:rtl/>
        </w:rPr>
        <w:t>אם</w:t>
      </w:r>
      <w:r w:rsidRPr="00621B4E">
        <w:rPr>
          <w:rtl/>
        </w:rPr>
        <w:t xml:space="preserve"> </w:t>
      </w:r>
      <w:r w:rsidRPr="00621B4E">
        <w:rPr>
          <w:rFonts w:hint="eastAsia"/>
          <w:rtl/>
        </w:rPr>
        <w:t>ייאסף</w:t>
      </w:r>
      <w:r w:rsidRPr="00621B4E">
        <w:rPr>
          <w:rtl/>
        </w:rPr>
        <w:t xml:space="preserve"> </w:t>
      </w:r>
      <w:r w:rsidRPr="00621B4E">
        <w:rPr>
          <w:rFonts w:hint="eastAsia"/>
          <w:rtl/>
        </w:rPr>
        <w:t>מידע</w:t>
      </w:r>
      <w:r w:rsidRPr="00621B4E">
        <w:rPr>
          <w:rtl/>
        </w:rPr>
        <w:t xml:space="preserve"> </w:t>
      </w:r>
      <w:r w:rsidRPr="00621B4E">
        <w:rPr>
          <w:rFonts w:hint="eastAsia"/>
          <w:rtl/>
        </w:rPr>
        <w:t>בעל</w:t>
      </w:r>
      <w:r w:rsidRPr="00621B4E">
        <w:rPr>
          <w:rtl/>
        </w:rPr>
        <w:t xml:space="preserve"> </w:t>
      </w:r>
      <w:r w:rsidRPr="00621B4E">
        <w:rPr>
          <w:rFonts w:hint="eastAsia"/>
          <w:rtl/>
        </w:rPr>
        <w:t>ערך</w:t>
      </w:r>
      <w:r w:rsidRPr="00621B4E">
        <w:rPr>
          <w:rtl/>
        </w:rPr>
        <w:t xml:space="preserve"> </w:t>
      </w:r>
      <w:r w:rsidRPr="00621B4E">
        <w:rPr>
          <w:rFonts w:hint="eastAsia"/>
          <w:rtl/>
        </w:rPr>
        <w:t>חקירתי</w:t>
      </w:r>
      <w:r w:rsidRPr="00621B4E">
        <w:rPr>
          <w:rtl/>
        </w:rPr>
        <w:t xml:space="preserve"> באמצעות כלים מיוחדים, נדרשת </w:t>
      </w:r>
      <w:r w:rsidRPr="00621B4E">
        <w:rPr>
          <w:rFonts w:hint="eastAsia"/>
          <w:rtl/>
        </w:rPr>
        <w:t>הוצאת</w:t>
      </w:r>
      <w:r w:rsidRPr="00621B4E">
        <w:rPr>
          <w:rtl/>
        </w:rPr>
        <w:t xml:space="preserve"> </w:t>
      </w:r>
      <w:r w:rsidRPr="00621B4E">
        <w:rPr>
          <w:rFonts w:hint="eastAsia"/>
          <w:rtl/>
        </w:rPr>
        <w:t>פרפראזה</w:t>
      </w:r>
      <w:r w:rsidRPr="00621B4E">
        <w:rPr>
          <w:rtl/>
        </w:rPr>
        <w:t xml:space="preserve"> על אודות מידע מודיעיני זה </w:t>
      </w:r>
      <w:r w:rsidRPr="00621B4E">
        <w:rPr>
          <w:rFonts w:hint="eastAsia"/>
          <w:rtl/>
        </w:rPr>
        <w:t>שתועבר</w:t>
      </w:r>
      <w:r w:rsidRPr="00621B4E">
        <w:rPr>
          <w:rtl/>
        </w:rPr>
        <w:t xml:space="preserve"> </w:t>
      </w:r>
      <w:r w:rsidRPr="00621B4E">
        <w:rPr>
          <w:rFonts w:hint="eastAsia"/>
          <w:rtl/>
        </w:rPr>
        <w:t>לתיק</w:t>
      </w:r>
      <w:r w:rsidRPr="00621B4E">
        <w:rPr>
          <w:rtl/>
        </w:rPr>
        <w:t xml:space="preserve"> </w:t>
      </w:r>
      <w:r w:rsidRPr="00621B4E">
        <w:rPr>
          <w:rFonts w:hint="eastAsia"/>
          <w:rtl/>
        </w:rPr>
        <w:t>החקירה</w:t>
      </w:r>
      <w:r w:rsidRPr="00621B4E">
        <w:rPr>
          <w:rtl/>
        </w:rPr>
        <w:t>.</w:t>
      </w:r>
      <w:r>
        <w:rPr>
          <w:rFonts w:hint="cs"/>
          <w:rtl/>
        </w:rPr>
        <w:t xml:space="preserve"> עוד קבעה הפרקליטות בנוגע להנחיה של המשטרה כי במקרה של הגשת כתב אישום, בישיבת החסיונות שמתקיימת בפרקליטות ייחשף הכלי ו"חומרי הגלם שהופקו באמצעותו במלואם" בפני פרקליט מוסמך ובעל סיווג ביטחוני מתאים.</w:t>
      </w:r>
      <w:r w:rsidRPr="00621B4E">
        <w:rPr>
          <w:rtl/>
        </w:rPr>
        <w:t xml:space="preserve"> </w:t>
      </w:r>
      <w:r w:rsidRPr="00621B4E">
        <w:rPr>
          <w:rFonts w:hint="eastAsia"/>
          <w:rtl/>
        </w:rPr>
        <w:t>בשנת</w:t>
      </w:r>
      <w:r w:rsidRPr="00621B4E">
        <w:rPr>
          <w:rtl/>
        </w:rPr>
        <w:t xml:space="preserve"> 2016 </w:t>
      </w:r>
      <w:r w:rsidRPr="00621B4E">
        <w:rPr>
          <w:rFonts w:hint="eastAsia"/>
          <w:rtl/>
        </w:rPr>
        <w:t>החליט</w:t>
      </w:r>
      <w:r w:rsidRPr="00621B4E">
        <w:rPr>
          <w:rtl/>
        </w:rPr>
        <w:t xml:space="preserve"> </w:t>
      </w:r>
      <w:r w:rsidRPr="00621B4E">
        <w:rPr>
          <w:rFonts w:hint="eastAsia"/>
          <w:rtl/>
        </w:rPr>
        <w:t>רח</w:t>
      </w:r>
      <w:r w:rsidRPr="00621B4E">
        <w:rPr>
          <w:rtl/>
        </w:rPr>
        <w:t xml:space="preserve">"ט </w:t>
      </w:r>
      <w:r w:rsidRPr="00621B4E">
        <w:rPr>
          <w:rFonts w:hint="eastAsia"/>
          <w:rtl/>
        </w:rPr>
        <w:t>הסייבר</w:t>
      </w:r>
      <w:r w:rsidRPr="00621B4E">
        <w:rPr>
          <w:rtl/>
        </w:rPr>
        <w:t xml:space="preserve"> לחזור על </w:t>
      </w:r>
      <w:r w:rsidRPr="00621B4E">
        <w:rPr>
          <w:rFonts w:hint="eastAsia"/>
          <w:rtl/>
        </w:rPr>
        <w:t>עקרונות</w:t>
      </w:r>
      <w:r w:rsidRPr="00621B4E">
        <w:rPr>
          <w:rtl/>
        </w:rPr>
        <w:t xml:space="preserve"> </w:t>
      </w:r>
      <w:r w:rsidRPr="00621B4E">
        <w:rPr>
          <w:rFonts w:hint="eastAsia"/>
          <w:rtl/>
        </w:rPr>
        <w:t>הנחיה</w:t>
      </w:r>
      <w:r w:rsidRPr="00621B4E">
        <w:rPr>
          <w:rtl/>
        </w:rPr>
        <w:t xml:space="preserve"> </w:t>
      </w:r>
      <w:r w:rsidRPr="00621B4E">
        <w:rPr>
          <w:rFonts w:hint="eastAsia"/>
          <w:rtl/>
        </w:rPr>
        <w:t>זו</w:t>
      </w:r>
      <w:r>
        <w:rPr>
          <w:rFonts w:hint="cs"/>
          <w:rtl/>
        </w:rPr>
        <w:t xml:space="preserve"> באשר למידור גורמי המשטרה לכלים ולתוצרים</w:t>
      </w:r>
      <w:r w:rsidRPr="00621B4E">
        <w:rPr>
          <w:rFonts w:hint="cs"/>
          <w:rtl/>
        </w:rPr>
        <w:t>. החלטתו הסתמכה על עיקרון בתחום אבטחת המידע, שלפיו - "</w:t>
      </w:r>
      <w:r w:rsidRPr="00621B4E">
        <w:rPr>
          <w:rtl/>
        </w:rPr>
        <w:t>עובדי חטיבת הסיגינט</w:t>
      </w:r>
      <w:r w:rsidRPr="00621B4E">
        <w:rPr>
          <w:rFonts w:hint="cs"/>
          <w:rtl/>
        </w:rPr>
        <w:t xml:space="preserve"> </w:t>
      </w:r>
      <w:r w:rsidRPr="00621B4E">
        <w:rPr>
          <w:rtl/>
        </w:rPr>
        <w:t>לא יעבירו כל מידע על פעילויות יכולות ושיטות שמשמשות את החטיבה, שהגיעו לידיעתם בשל חלקם בנושא או בדרך אגב, לכל</w:t>
      </w:r>
      <w:r w:rsidRPr="0085333C">
        <w:rPr>
          <w:rtl/>
        </w:rPr>
        <w:t xml:space="preserve"> אדם אחר בין שמשרת בחטיבת הסיגינט ובין שלא, אלא אם כן הדבר נעשה במסגרת תפקידם</w:t>
      </w:r>
      <w:r>
        <w:rPr>
          <w:rFonts w:hint="cs"/>
          <w:rtl/>
        </w:rPr>
        <w:t xml:space="preserve">". </w:t>
      </w:r>
    </w:p>
    <w:p w:rsidR="000F4EB6" w:rsidRDefault="000F4EB6" w:rsidP="00200F5D">
      <w:pPr>
        <w:spacing w:line="269" w:lineRule="auto"/>
        <w:ind w:left="849"/>
        <w:rPr>
          <w:rtl/>
        </w:rPr>
      </w:pPr>
    </w:p>
    <w:p w:rsidR="009A1216" w:rsidRDefault="009A1216" w:rsidP="00200F5D">
      <w:pPr>
        <w:spacing w:line="269" w:lineRule="auto"/>
        <w:ind w:left="849"/>
        <w:rPr>
          <w:rtl/>
        </w:rPr>
      </w:pPr>
      <w:r>
        <w:rPr>
          <w:rFonts w:hint="cs"/>
          <w:rtl/>
        </w:rPr>
        <w:t xml:space="preserve">בשנת 2017 תפיסת מידור תוצרי ההאזנה אף עוגנה בהנחיה פנימית נוספת של החטיבה. לפי ההנחיה, תוצרי ההאזנה לתקשורת בין מחשבים שהוגדרו כ"נתון חסוי מיוחד" וכן כלל המידע המושג אגב האזנה לתוצרים אלו (פרפראזה ודוח תובנות) אינם נגישים למי שאינו בעל תפקיד שקיבל מחטיבת הסייבר הרשאה לצפות בהם. </w:t>
      </w:r>
    </w:p>
    <w:p w:rsidR="000F4EB6" w:rsidRDefault="000F4EB6" w:rsidP="00604C3D">
      <w:pPr>
        <w:spacing w:line="269" w:lineRule="auto"/>
        <w:rPr>
          <w:rtl/>
        </w:rPr>
      </w:pPr>
    </w:p>
    <w:p w:rsidR="009A1216" w:rsidRDefault="009A1216" w:rsidP="00200F5D">
      <w:pPr>
        <w:spacing w:line="269" w:lineRule="auto"/>
        <w:ind w:left="849"/>
        <w:rPr>
          <w:rtl/>
        </w:rPr>
      </w:pPr>
      <w:r>
        <w:rPr>
          <w:rFonts w:hint="cs"/>
          <w:rtl/>
        </w:rPr>
        <w:t xml:space="preserve">עוד נקבע בהנחיה כי כדי להביא לידיעת הגורמים המעורבים בתיק החקירה או הפרשייה את דבר קיומו של חומר מודיעיני מסווג שהם אינם מורשים לעיין בו, מוכנס לכל תיק שבו הופעל כלי טכנולוגי מזכר </w:t>
      </w:r>
      <w:r w:rsidRPr="00533257">
        <w:rPr>
          <w:rFonts w:hint="cs"/>
          <w:rtl/>
        </w:rPr>
        <w:t>המעיד</w:t>
      </w:r>
      <w:r>
        <w:rPr>
          <w:rFonts w:hint="cs"/>
          <w:rtl/>
        </w:rPr>
        <w:t xml:space="preserve"> על כך.</w:t>
      </w:r>
    </w:p>
    <w:p w:rsidR="000F4EB6" w:rsidRDefault="000F4EB6" w:rsidP="00200F5D">
      <w:pPr>
        <w:spacing w:line="269" w:lineRule="auto"/>
        <w:ind w:left="849"/>
        <w:rPr>
          <w:rtl/>
        </w:rPr>
      </w:pPr>
    </w:p>
    <w:p w:rsidR="009A1216" w:rsidRDefault="009A1216" w:rsidP="00200F5D">
      <w:pPr>
        <w:spacing w:line="269" w:lineRule="auto"/>
        <w:ind w:left="849"/>
        <w:rPr>
          <w:rtl/>
        </w:rPr>
      </w:pPr>
      <w:r w:rsidRPr="00192EA1">
        <w:rPr>
          <w:rFonts w:hint="cs"/>
          <w:rtl/>
        </w:rPr>
        <w:t xml:space="preserve">בשנת 2018, במסגרת עבודת המטה </w:t>
      </w:r>
      <w:r>
        <w:rPr>
          <w:rFonts w:hint="cs"/>
          <w:rtl/>
        </w:rPr>
        <w:t>שביצעה המשטרה</w:t>
      </w:r>
      <w:r w:rsidRPr="00192EA1">
        <w:rPr>
          <w:rFonts w:hint="cs"/>
          <w:rtl/>
        </w:rPr>
        <w:t xml:space="preserve"> בנושא "הרצף המודיעיני" </w:t>
      </w:r>
      <w:r>
        <w:rPr>
          <w:rFonts w:hint="cs"/>
          <w:rtl/>
        </w:rPr>
        <w:t>ה</w:t>
      </w:r>
      <w:r w:rsidRPr="00192EA1">
        <w:rPr>
          <w:rFonts w:hint="cs"/>
          <w:rtl/>
        </w:rPr>
        <w:t xml:space="preserve">תגבשה התפיסה כי היא נדרשת ליצור תשתית מודיעינית איתנה </w:t>
      </w:r>
      <w:r w:rsidRPr="00192EA1">
        <w:rPr>
          <w:rtl/>
        </w:rPr>
        <w:t xml:space="preserve">המובילה לגיבוש תמונת מודיעין עדכנית </w:t>
      </w:r>
      <w:r w:rsidRPr="00192EA1">
        <w:rPr>
          <w:rFonts w:hint="cs"/>
          <w:rtl/>
        </w:rPr>
        <w:t>העוסקת בתופעות הפשיעה השונות, בפיזור הגיאוגרפי של הפשיעה ובטיפול באירועי פשיעה קונקרטיים. לכן באחריותה לקבוע שרשרת להעברת מידע מודיעיני ערכי, אמין, מדויק ורלוונטי בטווח זמן מיידי ליחידות השיטור (אח"ם ואג"ם) המובלות על ידי הכוונת המודיעין.</w:t>
      </w:r>
      <w:r>
        <w:rPr>
          <w:rFonts w:hint="cs"/>
          <w:rtl/>
        </w:rPr>
        <w:t xml:space="preserve"> </w:t>
      </w:r>
    </w:p>
    <w:p w:rsidR="000F4EB6" w:rsidRDefault="000F4EB6" w:rsidP="00200F5D">
      <w:pPr>
        <w:spacing w:line="269" w:lineRule="auto"/>
        <w:ind w:left="849"/>
        <w:rPr>
          <w:rtl/>
        </w:rPr>
      </w:pPr>
    </w:p>
    <w:p w:rsidR="009A1216" w:rsidRDefault="009A1216" w:rsidP="00200F5D">
      <w:pPr>
        <w:spacing w:line="269" w:lineRule="auto"/>
        <w:ind w:left="849"/>
        <w:rPr>
          <w:rtl/>
        </w:rPr>
      </w:pPr>
      <w:r>
        <w:rPr>
          <w:rFonts w:hint="cs"/>
          <w:rtl/>
        </w:rPr>
        <w:t>המשטרה הס</w:t>
      </w:r>
      <w:bookmarkStart w:id="562" w:name="tempMark"/>
      <w:bookmarkEnd w:id="562"/>
      <w:r>
        <w:rPr>
          <w:rFonts w:hint="cs"/>
          <w:rtl/>
        </w:rPr>
        <w:t xml:space="preserve">יקה מעבודת המטה כי </w:t>
      </w:r>
      <w:r w:rsidRPr="00192EA1">
        <w:rPr>
          <w:rtl/>
        </w:rPr>
        <w:t>על</w:t>
      </w:r>
      <w:r>
        <w:rPr>
          <w:rFonts w:hint="cs"/>
          <w:rtl/>
        </w:rPr>
        <w:t xml:space="preserve">יה </w:t>
      </w:r>
      <w:r w:rsidRPr="00192EA1">
        <w:rPr>
          <w:rtl/>
        </w:rPr>
        <w:t>למקד את מאמציה ביצירת תשתית מודיעינית בכלל רבדי העשייה שלה</w:t>
      </w:r>
      <w:r>
        <w:rPr>
          <w:rFonts w:hint="cs"/>
          <w:rtl/>
        </w:rPr>
        <w:t>,</w:t>
      </w:r>
      <w:r w:rsidRPr="00192EA1">
        <w:rPr>
          <w:rtl/>
        </w:rPr>
        <w:t xml:space="preserve"> המתבססת על תפיסת הפעלה מעודכנת ורלוונטית</w:t>
      </w:r>
      <w:r w:rsidRPr="00192EA1">
        <w:rPr>
          <w:rFonts w:hint="cs"/>
          <w:rtl/>
        </w:rPr>
        <w:t>.</w:t>
      </w:r>
      <w:r>
        <w:rPr>
          <w:rFonts w:hint="cs"/>
          <w:rtl/>
        </w:rPr>
        <w:t xml:space="preserve"> עוד הסיקה כי </w:t>
      </w:r>
      <w:r w:rsidRPr="00192EA1">
        <w:rPr>
          <w:rtl/>
        </w:rPr>
        <w:t>נדרשת הקמה</w:t>
      </w:r>
      <w:r>
        <w:rPr>
          <w:rFonts w:hint="cs"/>
          <w:rtl/>
        </w:rPr>
        <w:t xml:space="preserve"> של</w:t>
      </w:r>
      <w:r w:rsidRPr="00192EA1">
        <w:rPr>
          <w:rtl/>
        </w:rPr>
        <w:t xml:space="preserve"> סביבה מודיעינית מבודלת המרכזת </w:t>
      </w:r>
      <w:r>
        <w:rPr>
          <w:rFonts w:hint="cs"/>
          <w:rtl/>
        </w:rPr>
        <w:t>בתוכה</w:t>
      </w:r>
      <w:r w:rsidRPr="00192EA1">
        <w:rPr>
          <w:rtl/>
        </w:rPr>
        <w:t xml:space="preserve"> את כלל המידע האיסופי המודיעיני הרגיש וקובעת</w:t>
      </w:r>
      <w:r>
        <w:rPr>
          <w:rFonts w:hint="cs"/>
          <w:rtl/>
        </w:rPr>
        <w:t xml:space="preserve"> את דרגי מידור המידע, וכי נדרשים מתודולוגיה, נהלים ופלטפורמה טכנולוגית המסייעת בהפקת המידע תוך שמירה על מידור מקורותיו</w:t>
      </w:r>
      <w:r w:rsidRPr="00192EA1">
        <w:rPr>
          <w:rFonts w:hint="cs"/>
          <w:rtl/>
        </w:rPr>
        <w:t>.</w:t>
      </w:r>
      <w:r>
        <w:rPr>
          <w:rFonts w:hint="cs"/>
          <w:rtl/>
        </w:rPr>
        <w:t xml:space="preserve"> אלו יאפשרו, בין היתר, מיסוד תחומי אחריות חדשים במשטרה, כגון הקמת זירה להיתוך מידע מודיעיני, הפקת תובנות ממאגרי מידע גדולים ושימוש בכלים מתקדמים לפיצוח פרשיות מודיעיניות ותיקי חקירה מורכבים. </w:t>
      </w:r>
    </w:p>
    <w:p w:rsidR="009A1216" w:rsidRDefault="009A1216" w:rsidP="00200F5D">
      <w:pPr>
        <w:pStyle w:val="a5"/>
        <w:spacing w:line="269" w:lineRule="auto"/>
        <w:ind w:left="282"/>
        <w:rPr>
          <w:rtl/>
        </w:rPr>
      </w:pPr>
    </w:p>
    <w:p w:rsidR="009A1216" w:rsidRDefault="009A1216" w:rsidP="00200F5D">
      <w:pPr>
        <w:spacing w:line="269" w:lineRule="auto"/>
        <w:ind w:left="849"/>
      </w:pPr>
      <w:r>
        <w:rPr>
          <w:rFonts w:hint="cs"/>
          <w:rtl/>
        </w:rPr>
        <w:t>בשנת 2020 המשטרה</w:t>
      </w:r>
      <w:r w:rsidR="009C0C8C">
        <w:rPr>
          <w:rFonts w:hint="cs"/>
          <w:rtl/>
        </w:rPr>
        <w:t xml:space="preserve"> העבירה</w:t>
      </w:r>
      <w:r>
        <w:rPr>
          <w:rFonts w:hint="cs"/>
          <w:rtl/>
        </w:rPr>
        <w:t xml:space="preserve"> </w:t>
      </w:r>
      <w:r w:rsidR="009C0C8C">
        <w:rPr>
          <w:rFonts w:hint="cs"/>
          <w:rtl/>
        </w:rPr>
        <w:t>ל</w:t>
      </w:r>
      <w:r>
        <w:rPr>
          <w:rFonts w:hint="cs"/>
          <w:rtl/>
        </w:rPr>
        <w:t xml:space="preserve">פרקליטות רשימה מעודכנת של כלים ויכולות הדורשים הטלת חיסיון אגב דיון בהנחיה משנת 2012, אך לא הביאה בפניה את ההנחיה משנת 2017. </w:t>
      </w:r>
    </w:p>
    <w:p w:rsidR="000F4EB6" w:rsidRPr="00C65B0A" w:rsidRDefault="000F4EB6" w:rsidP="00200F5D">
      <w:pPr>
        <w:spacing w:line="269" w:lineRule="auto"/>
        <w:ind w:left="849"/>
        <w:rPr>
          <w:rtl/>
        </w:rPr>
      </w:pPr>
    </w:p>
    <w:p w:rsidR="009A1216" w:rsidRPr="00C65B0A" w:rsidRDefault="009A1216" w:rsidP="00200F5D">
      <w:pPr>
        <w:spacing w:line="269" w:lineRule="auto"/>
        <w:ind w:left="849"/>
        <w:rPr>
          <w:b/>
          <w:bCs/>
          <w:rtl/>
        </w:rPr>
      </w:pPr>
      <w:r w:rsidRPr="00C65B0A">
        <w:rPr>
          <w:rFonts w:hint="cs"/>
          <w:b/>
          <w:bCs/>
          <w:rtl/>
        </w:rPr>
        <w:t xml:space="preserve">החלטת רח"ט הסייבר משנת 2016 - להגביל את הגישה של היחידה המזמינה לתוצרי האזנה של תקשורת בין מחשבים שמקורם בכלים טכנולוגיים כדי למנוע חשיפה של שיטות ואמצעים מיוחדים - אינה עולה בקנה אחד עם תקנות האזנת סתר. זאת משום שהתקנות מחייבות לאפשר ליחידה המזמינה גישה לתוצרי ההאזנה ולמידע שהושג בהאזנה. </w:t>
      </w:r>
    </w:p>
    <w:p w:rsidR="000F4EB6" w:rsidRDefault="000F4EB6" w:rsidP="00200F5D">
      <w:pPr>
        <w:spacing w:line="269" w:lineRule="auto"/>
        <w:ind w:left="849"/>
        <w:rPr>
          <w:b/>
          <w:bCs/>
          <w:rtl/>
        </w:rPr>
      </w:pPr>
    </w:p>
    <w:p w:rsidR="009A1216" w:rsidRDefault="009A1216" w:rsidP="00200F5D">
      <w:pPr>
        <w:spacing w:line="269" w:lineRule="auto"/>
        <w:ind w:left="849"/>
        <w:rPr>
          <w:b/>
          <w:bCs/>
          <w:rtl/>
        </w:rPr>
      </w:pPr>
      <w:r>
        <w:rPr>
          <w:rFonts w:hint="cs"/>
          <w:b/>
          <w:bCs/>
          <w:rtl/>
        </w:rPr>
        <w:t xml:space="preserve">מומלץ כי </w:t>
      </w:r>
      <w:r w:rsidRPr="00A965E8">
        <w:rPr>
          <w:rFonts w:hint="cs"/>
          <w:b/>
          <w:bCs/>
          <w:rtl/>
        </w:rPr>
        <w:t>משרד המשפטים</w:t>
      </w:r>
      <w:r>
        <w:rPr>
          <w:rFonts w:hint="cs"/>
          <w:b/>
          <w:bCs/>
          <w:rtl/>
        </w:rPr>
        <w:t xml:space="preserve"> האחראי על עבודת המטה</w:t>
      </w:r>
      <w:r w:rsidDel="009A7935">
        <w:rPr>
          <w:rFonts w:hint="cs"/>
          <w:b/>
          <w:bCs/>
          <w:rtl/>
        </w:rPr>
        <w:t xml:space="preserve"> </w:t>
      </w:r>
      <w:r>
        <w:rPr>
          <w:rFonts w:hint="cs"/>
          <w:b/>
          <w:bCs/>
          <w:rtl/>
        </w:rPr>
        <w:t xml:space="preserve">בתיאום עם הגורמים הרלוונטיים ובשיתוף המשטרה ישקלו את הצורך לעדכן את תקנות האזנת סתר כדי לעגן תפיסה סדורה בדבר העיון של גורמי המשטרה (הפקה לעומת היחידה המזמינה) בתוצרי האזנת סתר ובמידע שהושג בהאזנה באמצעות כלים טכנולוגיים מיוחדים. מוצע כי במסגרת הסדרה זו יישקל האיזון בין הגבלת החשיפה לשיטות ולאמצעים הנובעים משימוש בכלים טכנולוגיים מיוחדים לבין הצורך בכך שהמידע הנדרש לגיבוש תמונה מודיעינית שלמה וסדורה בעניינו של יעד האזנה יהיה נגיש לגורמי החקירה והמודיעין. </w:t>
      </w:r>
    </w:p>
    <w:p w:rsidR="009A1216" w:rsidRDefault="009A1216" w:rsidP="00200F5D">
      <w:pPr>
        <w:pStyle w:val="a5"/>
        <w:spacing w:line="269" w:lineRule="auto"/>
        <w:ind w:left="282"/>
        <w:rPr>
          <w:rtl/>
        </w:rPr>
      </w:pPr>
    </w:p>
    <w:p w:rsidR="009A1216" w:rsidRDefault="009A1216" w:rsidP="00200F5D">
      <w:pPr>
        <w:spacing w:line="269" w:lineRule="auto"/>
        <w:ind w:left="849"/>
        <w:rPr>
          <w:b/>
          <w:bCs/>
          <w:rtl/>
        </w:rPr>
      </w:pPr>
      <w:r>
        <w:rPr>
          <w:rFonts w:hint="cs"/>
          <w:rtl/>
        </w:rPr>
        <w:t>המשטרה</w:t>
      </w:r>
      <w:r w:rsidRPr="00F50314">
        <w:rPr>
          <w:rFonts w:hint="cs"/>
          <w:rtl/>
        </w:rPr>
        <w:t xml:space="preserve"> מסרה בתשובתה כי היא סבורה שהסדרת העיון בתוצרי האזנת סתר צריכה להתבצע בנהלים פנימיים של המשטרה.</w:t>
      </w:r>
      <w:r>
        <w:rPr>
          <w:rFonts w:hint="cs"/>
          <w:b/>
          <w:bCs/>
          <w:rtl/>
        </w:rPr>
        <w:t xml:space="preserve"> </w:t>
      </w:r>
      <w:bookmarkStart w:id="563" w:name="_Hlk185835180"/>
      <w:r w:rsidRPr="000375B4">
        <w:rPr>
          <w:rFonts w:hint="eastAsia"/>
          <w:rtl/>
        </w:rPr>
        <w:t>עוד</w:t>
      </w:r>
      <w:r w:rsidRPr="000375B4">
        <w:rPr>
          <w:rtl/>
        </w:rPr>
        <w:t xml:space="preserve"> היא סבורה כי ניתן להסתפק באיזון </w:t>
      </w:r>
      <w:r>
        <w:rPr>
          <w:rFonts w:hint="cs"/>
          <w:rtl/>
        </w:rPr>
        <w:t xml:space="preserve">שביקש </w:t>
      </w:r>
      <w:r w:rsidRPr="000375B4">
        <w:rPr>
          <w:rtl/>
        </w:rPr>
        <w:t>רח"ט הסייבר ב</w:t>
      </w:r>
      <w:r>
        <w:rPr>
          <w:rFonts w:hint="cs"/>
          <w:rtl/>
        </w:rPr>
        <w:t>שנת 2023 לקיים,</w:t>
      </w:r>
      <w:r w:rsidRPr="000375B4">
        <w:rPr>
          <w:rtl/>
        </w:rPr>
        <w:t xml:space="preserve"> </w:t>
      </w:r>
      <w:r>
        <w:rPr>
          <w:rFonts w:hint="cs"/>
          <w:rtl/>
        </w:rPr>
        <w:t>ו</w:t>
      </w:r>
      <w:r w:rsidRPr="000375B4">
        <w:rPr>
          <w:rtl/>
        </w:rPr>
        <w:t xml:space="preserve">לפיו, </w:t>
      </w:r>
      <w:r w:rsidRPr="000375B4">
        <w:rPr>
          <w:rFonts w:hint="eastAsia"/>
          <w:rtl/>
        </w:rPr>
        <w:t>מפקדי</w:t>
      </w:r>
      <w:r w:rsidRPr="000375B4">
        <w:rPr>
          <w:rtl/>
        </w:rPr>
        <w:t xml:space="preserve"> </w:t>
      </w:r>
      <w:r w:rsidRPr="000375B4">
        <w:rPr>
          <w:rFonts w:hint="eastAsia"/>
          <w:rtl/>
        </w:rPr>
        <w:t>יחידות</w:t>
      </w:r>
      <w:r w:rsidRPr="000375B4">
        <w:rPr>
          <w:rtl/>
        </w:rPr>
        <w:t xml:space="preserve"> </w:t>
      </w:r>
      <w:r w:rsidRPr="000375B4">
        <w:rPr>
          <w:rFonts w:hint="eastAsia"/>
          <w:rtl/>
        </w:rPr>
        <w:t>חוקרות</w:t>
      </w:r>
      <w:r w:rsidRPr="000375B4">
        <w:rPr>
          <w:rtl/>
        </w:rPr>
        <w:t xml:space="preserve"> </w:t>
      </w:r>
      <w:r w:rsidRPr="000375B4">
        <w:rPr>
          <w:rFonts w:hint="eastAsia"/>
          <w:rtl/>
        </w:rPr>
        <w:t>רשאים</w:t>
      </w:r>
      <w:r w:rsidRPr="000375B4">
        <w:rPr>
          <w:rtl/>
        </w:rPr>
        <w:t xml:space="preserve"> </w:t>
      </w:r>
      <w:r>
        <w:rPr>
          <w:rFonts w:hint="cs"/>
          <w:rtl/>
        </w:rPr>
        <w:t>להיכנס לחדרים רגישים ולהיחשף ל</w:t>
      </w:r>
      <w:r w:rsidRPr="000375B4">
        <w:rPr>
          <w:rFonts w:hint="eastAsia"/>
          <w:rtl/>
        </w:rPr>
        <w:t>תוצרי</w:t>
      </w:r>
      <w:r w:rsidRPr="000375B4">
        <w:rPr>
          <w:rtl/>
        </w:rPr>
        <w:t xml:space="preserve"> </w:t>
      </w:r>
      <w:r w:rsidRPr="000375B4">
        <w:rPr>
          <w:rFonts w:hint="eastAsia"/>
          <w:rtl/>
        </w:rPr>
        <w:t>האזנת</w:t>
      </w:r>
      <w:r w:rsidRPr="000375B4">
        <w:rPr>
          <w:rtl/>
        </w:rPr>
        <w:t xml:space="preserve"> </w:t>
      </w:r>
      <w:r w:rsidRPr="000375B4">
        <w:rPr>
          <w:rFonts w:hint="eastAsia"/>
          <w:rtl/>
        </w:rPr>
        <w:t>סתר</w:t>
      </w:r>
      <w:r w:rsidRPr="000375B4">
        <w:rPr>
          <w:rtl/>
        </w:rPr>
        <w:t xml:space="preserve"> </w:t>
      </w:r>
      <w:r w:rsidRPr="000375B4">
        <w:rPr>
          <w:rFonts w:hint="eastAsia"/>
          <w:rtl/>
        </w:rPr>
        <w:t>שמקורם</w:t>
      </w:r>
      <w:r w:rsidRPr="000375B4">
        <w:rPr>
          <w:rtl/>
        </w:rPr>
        <w:t xml:space="preserve"> </w:t>
      </w:r>
      <w:r w:rsidRPr="000375B4">
        <w:rPr>
          <w:rFonts w:hint="eastAsia"/>
          <w:rtl/>
        </w:rPr>
        <w:t>בכלים</w:t>
      </w:r>
      <w:r w:rsidRPr="000375B4">
        <w:rPr>
          <w:rtl/>
        </w:rPr>
        <w:t xml:space="preserve"> </w:t>
      </w:r>
      <w:r w:rsidRPr="000375B4">
        <w:rPr>
          <w:rFonts w:hint="eastAsia"/>
          <w:rtl/>
        </w:rPr>
        <w:t>טכנולוגיים</w:t>
      </w:r>
      <w:r w:rsidRPr="000375B4">
        <w:rPr>
          <w:rtl/>
        </w:rPr>
        <w:t xml:space="preserve"> </w:t>
      </w:r>
      <w:r w:rsidRPr="000375B4">
        <w:rPr>
          <w:rFonts w:hint="eastAsia"/>
          <w:rtl/>
        </w:rPr>
        <w:t>במשרדי</w:t>
      </w:r>
      <w:r w:rsidRPr="000375B4">
        <w:rPr>
          <w:rtl/>
        </w:rPr>
        <w:t xml:space="preserve"> </w:t>
      </w:r>
      <w:r w:rsidRPr="000375B4">
        <w:rPr>
          <w:rFonts w:hint="eastAsia"/>
          <w:rtl/>
        </w:rPr>
        <w:t>החטיבה</w:t>
      </w:r>
      <w:r w:rsidRPr="000375B4">
        <w:rPr>
          <w:rtl/>
        </w:rPr>
        <w:t>.</w:t>
      </w:r>
      <w:r>
        <w:rPr>
          <w:rFonts w:hint="cs"/>
          <w:rtl/>
        </w:rPr>
        <w:t xml:space="preserve"> כמו</w:t>
      </w:r>
      <w:r w:rsidR="00382AE8">
        <w:rPr>
          <w:rFonts w:hint="cs"/>
          <w:rtl/>
        </w:rPr>
        <w:t xml:space="preserve"> </w:t>
      </w:r>
      <w:r>
        <w:rPr>
          <w:rFonts w:hint="cs"/>
          <w:rtl/>
        </w:rPr>
        <w:t>כן</w:t>
      </w:r>
      <w:r w:rsidR="00382AE8">
        <w:rPr>
          <w:rFonts w:hint="cs"/>
          <w:rtl/>
        </w:rPr>
        <w:t xml:space="preserve"> </w:t>
      </w:r>
      <w:r>
        <w:rPr>
          <w:rFonts w:hint="cs"/>
          <w:rtl/>
        </w:rPr>
        <w:t>ישנם</w:t>
      </w:r>
      <w:r w:rsidR="00382AE8">
        <w:rPr>
          <w:rFonts w:hint="cs"/>
          <w:rtl/>
        </w:rPr>
        <w:t xml:space="preserve"> </w:t>
      </w:r>
      <w:r>
        <w:rPr>
          <w:rFonts w:hint="cs"/>
          <w:rtl/>
        </w:rPr>
        <w:t>גורמי מודיעין אשר היו חשופים לתוצרים.</w:t>
      </w:r>
      <w:r w:rsidR="00382AE8">
        <w:rPr>
          <w:rFonts w:hint="cs"/>
          <w:rtl/>
        </w:rPr>
        <w:t xml:space="preserve"> </w:t>
      </w:r>
      <w:r>
        <w:rPr>
          <w:rFonts w:hint="cs"/>
          <w:rtl/>
        </w:rPr>
        <w:t xml:space="preserve">עם זאת, היא הבהירה כי ההנחיות העוסקות בנושאים אלו, ובפרט הרשאות גישה למקום שבו נמצאים כלים טכנולוגיים, עדיין לא אושרו נכון לסוף שנת 2024. </w:t>
      </w:r>
      <w:bookmarkEnd w:id="563"/>
    </w:p>
    <w:p w:rsidR="009A1216" w:rsidRDefault="009A1216" w:rsidP="00200F5D">
      <w:pPr>
        <w:pStyle w:val="a5"/>
        <w:spacing w:line="269" w:lineRule="auto"/>
        <w:ind w:left="282"/>
        <w:rPr>
          <w:rtl/>
        </w:rPr>
      </w:pPr>
    </w:p>
    <w:p w:rsidR="009A1216" w:rsidRDefault="009A1216" w:rsidP="00200F5D">
      <w:pPr>
        <w:spacing w:line="269" w:lineRule="auto"/>
        <w:ind w:left="849"/>
        <w:rPr>
          <w:b/>
          <w:bCs/>
          <w:rtl/>
        </w:rPr>
      </w:pPr>
      <w:r>
        <w:rPr>
          <w:rFonts w:hint="cs"/>
          <w:b/>
          <w:bCs/>
          <w:rtl/>
        </w:rPr>
        <w:t xml:space="preserve">מבקר המדינה מעיר בהתייחס לתשובת המשטרה כי בשים לב לכך שתקנות ההאזנה הקיימות מסדירות את העיון בתוצרי האזנה ושהחלטת הרח"ט </w:t>
      </w:r>
      <w:r w:rsidR="00F94C99">
        <w:rPr>
          <w:rFonts w:hint="cs"/>
          <w:b/>
          <w:bCs/>
          <w:rtl/>
        </w:rPr>
        <w:t xml:space="preserve">משנת 2016 </w:t>
      </w:r>
      <w:r>
        <w:rPr>
          <w:rFonts w:hint="cs"/>
          <w:b/>
          <w:bCs/>
          <w:rtl/>
        </w:rPr>
        <w:t xml:space="preserve">סותרת את התקנות, נדרש שההסדרה הנורמטיבית הרלוונטית תיעשה בתקנות. עוד יוער כי ההחלטה </w:t>
      </w:r>
      <w:r w:rsidRPr="003043A8">
        <w:rPr>
          <w:b/>
          <w:bCs/>
          <w:rtl/>
        </w:rPr>
        <w:t>נעשת</w:t>
      </w:r>
      <w:r>
        <w:rPr>
          <w:rFonts w:hint="cs"/>
          <w:b/>
          <w:bCs/>
          <w:rtl/>
        </w:rPr>
        <w:t>ה</w:t>
      </w:r>
      <w:r w:rsidRPr="003043A8">
        <w:rPr>
          <w:b/>
          <w:bCs/>
          <w:rtl/>
        </w:rPr>
        <w:t xml:space="preserve"> באופן חד צדדי </w:t>
      </w:r>
      <w:r>
        <w:rPr>
          <w:rFonts w:hint="cs"/>
          <w:b/>
          <w:bCs/>
          <w:rtl/>
        </w:rPr>
        <w:t xml:space="preserve">בחטיבת הסייבר והיא פוגעת בניהול המודיעין בכללותו שעליו אחראית </w:t>
      </w:r>
      <w:r w:rsidRPr="003043A8">
        <w:rPr>
          <w:b/>
          <w:bCs/>
          <w:rtl/>
        </w:rPr>
        <w:t>חטיבת המודיעין</w:t>
      </w:r>
      <w:r>
        <w:rPr>
          <w:rFonts w:hint="cs"/>
          <w:b/>
          <w:bCs/>
          <w:rtl/>
        </w:rPr>
        <w:t xml:space="preserve">. </w:t>
      </w:r>
    </w:p>
    <w:p w:rsidR="00282AF8" w:rsidRDefault="00282AF8" w:rsidP="00200F5D">
      <w:pPr>
        <w:spacing w:line="269" w:lineRule="auto"/>
        <w:ind w:left="849"/>
        <w:rPr>
          <w:b/>
          <w:bCs/>
          <w:rtl/>
        </w:rPr>
      </w:pPr>
    </w:p>
    <w:p w:rsidR="009A1216" w:rsidRDefault="009A1216" w:rsidP="00200F5D">
      <w:pPr>
        <w:spacing w:line="269" w:lineRule="auto"/>
        <w:ind w:left="849"/>
        <w:rPr>
          <w:b/>
          <w:bCs/>
          <w:rtl/>
        </w:rPr>
      </w:pPr>
      <w:r>
        <w:rPr>
          <w:rFonts w:hint="cs"/>
          <w:b/>
          <w:bCs/>
          <w:rtl/>
        </w:rPr>
        <w:t xml:space="preserve">משכך מוצע כי לאחר עיגון המתודולוגיה לאיזון בין עיון בתוצרי האזנת סתר לבין מידורם בתקנות, המשטרה תעגן הליכי אכיפה ובקרה: ראשית, מערכת ההפקה המרכזית תפעל בהלימה למתודולוגיה זו ותתמשק עם המערכת המרכזית לניהול מודיעין במשטרה בהתאם לחזון "הרצף המודיעיני". שנית, תתבצע בקרה אקטיבית על טיב יישום הליכי האכיפה, והמשטרה תפעל לאיתור מקרים או ניסיונות לעקיפת הגבלת העיון. </w:t>
      </w:r>
    </w:p>
    <w:p w:rsidR="00282AF8" w:rsidRDefault="00282AF8" w:rsidP="00200F5D">
      <w:pPr>
        <w:spacing w:line="269" w:lineRule="auto"/>
        <w:ind w:left="849"/>
        <w:rPr>
          <w:rtl/>
        </w:rPr>
      </w:pPr>
    </w:p>
    <w:p w:rsidR="009A1216" w:rsidRDefault="009A1216" w:rsidP="00200F5D">
      <w:pPr>
        <w:spacing w:line="269" w:lineRule="auto"/>
        <w:ind w:left="849"/>
        <w:rPr>
          <w:rtl/>
        </w:rPr>
      </w:pPr>
      <w:r>
        <w:rPr>
          <w:rFonts w:hint="cs"/>
          <w:rtl/>
        </w:rPr>
        <w:t xml:space="preserve">יוצא אפוא כי המשטרה ביקשה להחיל על מידע שהושג בהאזנה שתי מגבלות עיקריות: (א) מגבלת מידור שקבעה חטיבת הסייבר בנוגע לגישה לתוצרי האזנת סתר של כלים טכנולוגיים מיוחדים ושלא הוסדרה בתקנות; (ב) מגבלת גישה של גורמים שאינם מהיחידה המזמינה, שיוכלו לקבל גישה לתוצרי האזנה למידע שהושג בהאזנה לצורך מילוי תפקידם בלבד, בהתאם לתקנות. </w:t>
      </w:r>
    </w:p>
    <w:p w:rsidR="00282AF8" w:rsidRDefault="00282AF8" w:rsidP="00200F5D">
      <w:pPr>
        <w:spacing w:line="269" w:lineRule="auto"/>
        <w:ind w:left="849"/>
        <w:rPr>
          <w:rtl/>
        </w:rPr>
      </w:pPr>
    </w:p>
    <w:p w:rsidR="009A1216" w:rsidRDefault="009A1216" w:rsidP="00200F5D">
      <w:pPr>
        <w:spacing w:line="269" w:lineRule="auto"/>
        <w:ind w:left="849"/>
        <w:rPr>
          <w:rtl/>
        </w:rPr>
      </w:pPr>
      <w:r>
        <w:rPr>
          <w:rFonts w:hint="cs"/>
          <w:rtl/>
        </w:rPr>
        <w:t xml:space="preserve">על אף המגבלות הללו, </w:t>
      </w:r>
      <w:r w:rsidRPr="00D627B1">
        <w:rPr>
          <w:rFonts w:hint="cs"/>
          <w:rtl/>
        </w:rPr>
        <w:t xml:space="preserve">לפי הנחיות </w:t>
      </w:r>
      <w:r>
        <w:rPr>
          <w:rFonts w:hint="cs"/>
          <w:rtl/>
        </w:rPr>
        <w:t>החטיבה</w:t>
      </w:r>
      <w:r w:rsidRPr="00D627B1">
        <w:rPr>
          <w:rFonts w:hint="cs"/>
          <w:rtl/>
        </w:rPr>
        <w:t xml:space="preserve">, </w:t>
      </w:r>
      <w:r>
        <w:rPr>
          <w:rFonts w:hint="cs"/>
          <w:rtl/>
        </w:rPr>
        <w:t>יש היקף נרחב של גורמים הרשאים לעיין בתוצרי האזנת הסתר ובמידע שהושג בהאזנה:</w:t>
      </w:r>
      <w:r w:rsidRPr="00C358F3">
        <w:rPr>
          <w:rtl/>
        </w:rPr>
        <w:t xml:space="preserve"> </w:t>
      </w:r>
      <w:r>
        <w:rPr>
          <w:rFonts w:hint="cs"/>
          <w:rtl/>
        </w:rPr>
        <w:t xml:space="preserve">היחידה </w:t>
      </w:r>
      <w:r w:rsidRPr="00C358F3">
        <w:rPr>
          <w:rtl/>
        </w:rPr>
        <w:t>המזמי</w:t>
      </w:r>
      <w:r>
        <w:rPr>
          <w:rFonts w:hint="cs"/>
          <w:rtl/>
        </w:rPr>
        <w:t>נה</w:t>
      </w:r>
      <w:r w:rsidRPr="00C358F3">
        <w:rPr>
          <w:rtl/>
        </w:rPr>
        <w:t>, המפעיל, המבצע והממונה הישיר על מבצע האזנה ומי שהמזמין הורה להעביר לו חומר האזנה</w:t>
      </w:r>
      <w:r>
        <w:rPr>
          <w:rFonts w:hint="cs"/>
          <w:rtl/>
        </w:rPr>
        <w:t>. החל משנת 2017, לכל המוקדם שליחת תוצרי האזנת סתר לתקשורת בין מחשבים שמקורם בכלים טכנולוגיים מסוימים</w:t>
      </w:r>
      <w:r w:rsidR="00382AE8">
        <w:rPr>
          <w:rFonts w:hint="cs"/>
          <w:rtl/>
        </w:rPr>
        <w:t xml:space="preserve"> </w:t>
      </w:r>
      <w:r>
        <w:rPr>
          <w:rFonts w:hint="cs"/>
          <w:rtl/>
        </w:rPr>
        <w:t>התבצעה באמצעות ייצוא</w:t>
      </w:r>
      <w:r>
        <w:rPr>
          <w:rStyle w:val="af"/>
          <w:rtl/>
        </w:rPr>
        <w:footnoteReference w:id="221"/>
      </w:r>
      <w:r>
        <w:rPr>
          <w:rFonts w:hint="cs"/>
          <w:rtl/>
        </w:rPr>
        <w:t xml:space="preserve"> התוצרים ושליחתם לגורם המשטרתי הרלוונטי מחוץ לחטיבת הסייבר. </w:t>
      </w:r>
    </w:p>
    <w:p w:rsidR="00282AF8" w:rsidRDefault="00282AF8" w:rsidP="00200F5D">
      <w:pPr>
        <w:spacing w:line="269" w:lineRule="auto"/>
        <w:ind w:left="849"/>
        <w:rPr>
          <w:rtl/>
        </w:rPr>
      </w:pPr>
    </w:p>
    <w:p w:rsidR="009A1216" w:rsidRDefault="009A1216" w:rsidP="00200F5D">
      <w:pPr>
        <w:spacing w:line="269" w:lineRule="auto"/>
        <w:ind w:left="849"/>
        <w:rPr>
          <w:rtl/>
        </w:rPr>
      </w:pPr>
      <w:r>
        <w:rPr>
          <w:rFonts w:hint="cs"/>
          <w:rtl/>
        </w:rPr>
        <w:t xml:space="preserve">מבקר המדינה בחן כלים ומסמכים הנוגעים לכלים הטכנולוגיים לאיסוף תוצרי האזנת סתר לתקשורת בין מחשבים. להלן יוצגו ממצאי הבדיקה בנוגע לאפשרות העיון בתוצרי האזנת סתר: </w:t>
      </w:r>
    </w:p>
    <w:p w:rsidR="00282AF8" w:rsidRPr="00C65B0A" w:rsidRDefault="00282AF8" w:rsidP="00604C3D">
      <w:pPr>
        <w:spacing w:line="269" w:lineRule="auto"/>
      </w:pPr>
    </w:p>
    <w:p w:rsidR="009A1216" w:rsidRDefault="009A1216" w:rsidP="00200F5D">
      <w:pPr>
        <w:pStyle w:val="af2"/>
        <w:numPr>
          <w:ilvl w:val="0"/>
          <w:numId w:val="29"/>
        </w:numPr>
        <w:spacing w:line="269" w:lineRule="auto"/>
        <w:ind w:left="1221" w:hanging="394"/>
        <w:rPr>
          <w:rtl/>
        </w:rPr>
      </w:pPr>
      <w:r>
        <w:rPr>
          <w:rFonts w:hint="cs"/>
          <w:rtl/>
        </w:rPr>
        <w:t>ניתן לעיין בתוצרי האזנת הסתר בחלק מכלי האיסוף עצמם. בחלק מהכלים אף מובנית בקרה חלקית על העיון בתוצרי ההאזנה: אם אחד הגורמים עיין בתוצר מסוים, אז</w:t>
      </w:r>
      <w:r w:rsidR="00382AE8">
        <w:rPr>
          <w:rFonts w:hint="cs"/>
          <w:rtl/>
        </w:rPr>
        <w:t xml:space="preserve"> </w:t>
      </w:r>
      <w:r>
        <w:rPr>
          <w:rFonts w:hint="cs"/>
          <w:rtl/>
        </w:rPr>
        <w:t xml:space="preserve">נוסף סימון המעיד כי עיינו בתוצר ההאזנה, אך הסימון הוא בר שינוי. כלומר, תוצר האזנה שסומן כ"נקרא" ניתן לסימון מחדש כ"לא נקרא". ממצאים דומים אף נמצאו על ידי צוות מררי. </w:t>
      </w:r>
    </w:p>
    <w:p w:rsidR="00282AF8" w:rsidRPr="00C65B0A" w:rsidRDefault="00282AF8" w:rsidP="00604C3D">
      <w:pPr>
        <w:spacing w:line="269" w:lineRule="auto"/>
      </w:pPr>
    </w:p>
    <w:p w:rsidR="009A1216" w:rsidRDefault="009A1216" w:rsidP="00200F5D">
      <w:pPr>
        <w:pStyle w:val="af2"/>
        <w:numPr>
          <w:ilvl w:val="0"/>
          <w:numId w:val="29"/>
        </w:numPr>
        <w:spacing w:line="269" w:lineRule="auto"/>
        <w:ind w:left="1221" w:hanging="394"/>
        <w:rPr>
          <w:rtl/>
        </w:rPr>
      </w:pPr>
      <w:r>
        <w:rPr>
          <w:rFonts w:hint="cs"/>
          <w:rtl/>
        </w:rPr>
        <w:t>במרבית הכלים הטכנולוגיים</w:t>
      </w:r>
      <w:r w:rsidR="00382AE8">
        <w:rPr>
          <w:rFonts w:hint="cs"/>
          <w:rtl/>
        </w:rPr>
        <w:t xml:space="preserve"> </w:t>
      </w:r>
      <w:r>
        <w:rPr>
          <w:rFonts w:hint="cs"/>
          <w:rtl/>
        </w:rPr>
        <w:t>תוצרי ההאזנה ניתנים לייצוא או נשמרים מראש בתיקייה מחוץ למערכת הממוחשבת של הכלי.</w:t>
      </w:r>
    </w:p>
    <w:p w:rsidR="00282AF8" w:rsidRDefault="00282AF8" w:rsidP="00604C3D">
      <w:pPr>
        <w:spacing w:line="269" w:lineRule="auto"/>
        <w:ind w:left="308"/>
        <w:rPr>
          <w:rtl/>
        </w:rPr>
      </w:pPr>
    </w:p>
    <w:p w:rsidR="009A1216" w:rsidRPr="00F2609B" w:rsidRDefault="009A1216" w:rsidP="00200F5D">
      <w:pPr>
        <w:spacing w:line="269" w:lineRule="auto"/>
        <w:ind w:left="1221"/>
        <w:rPr>
          <w:rtl/>
        </w:rPr>
      </w:pPr>
      <w:r>
        <w:rPr>
          <w:rFonts w:hint="cs"/>
          <w:rtl/>
        </w:rPr>
        <w:t xml:space="preserve">בשנת 2020 החליטה חטיבת הסייבר על ביזור יכולת הפקת תוצרי האזנת סתר לתקשורת בין מחשבים, כך שתתבצע בצס"ם המחוזיים ולא רק בצס"ם הארצי. </w:t>
      </w:r>
      <w:r w:rsidRPr="00F2609B">
        <w:rPr>
          <w:rFonts w:hint="cs"/>
          <w:rtl/>
        </w:rPr>
        <w:t>לפי הנחיה פנימית של החטיבה</w:t>
      </w:r>
      <w:r>
        <w:rPr>
          <w:rFonts w:hint="cs"/>
          <w:rtl/>
        </w:rPr>
        <w:t xml:space="preserve"> מאותה שנה,</w:t>
      </w:r>
      <w:r w:rsidRPr="00F2609B">
        <w:rPr>
          <w:rFonts w:hint="cs"/>
          <w:rtl/>
        </w:rPr>
        <w:t xml:space="preserve"> </w:t>
      </w:r>
      <w:r>
        <w:rPr>
          <w:rFonts w:hint="cs"/>
          <w:rtl/>
        </w:rPr>
        <w:t>כאשר</w:t>
      </w:r>
      <w:r w:rsidRPr="00F2609B">
        <w:rPr>
          <w:rFonts w:hint="cs"/>
          <w:rtl/>
        </w:rPr>
        <w:t xml:space="preserve"> במקום המושב של הצס"</w:t>
      </w:r>
      <w:r>
        <w:rPr>
          <w:rFonts w:hint="cs"/>
          <w:rtl/>
        </w:rPr>
        <w:t>ם</w:t>
      </w:r>
      <w:r w:rsidRPr="00F2609B">
        <w:rPr>
          <w:rFonts w:hint="cs"/>
          <w:rtl/>
        </w:rPr>
        <w:t xml:space="preserve"> המחוזי</w:t>
      </w:r>
      <w:r>
        <w:rPr>
          <w:rFonts w:hint="cs"/>
          <w:rtl/>
        </w:rPr>
        <w:t xml:space="preserve"> האחראי להפקת התוצרים לא הייתה עמדה של כלי טכנולוגי</w:t>
      </w:r>
      <w:r w:rsidRPr="00F2609B">
        <w:rPr>
          <w:rFonts w:hint="cs"/>
          <w:rtl/>
        </w:rPr>
        <w:t>, ניתן היה לייצא את כל תוצרי ההאזנה מהכלי הטכנולוגי</w:t>
      </w:r>
      <w:r>
        <w:rPr>
          <w:rFonts w:hint="cs"/>
          <w:rtl/>
        </w:rPr>
        <w:t xml:space="preserve"> כדי להעבירם לידיו</w:t>
      </w:r>
      <w:r w:rsidRPr="00F2609B">
        <w:rPr>
          <w:rFonts w:hint="cs"/>
          <w:rtl/>
        </w:rPr>
        <w:t xml:space="preserve">. אף על פי כן, הודגש כי הפקת התוצרים תתבצע בהתאם להוראות בדבר תוצרי האזנה שהפקתם אסורה. </w:t>
      </w:r>
    </w:p>
    <w:p w:rsidR="00282AF8" w:rsidRDefault="00282AF8" w:rsidP="00200F5D">
      <w:pPr>
        <w:spacing w:line="269" w:lineRule="auto"/>
        <w:ind w:left="1221"/>
        <w:rPr>
          <w:rtl/>
        </w:rPr>
      </w:pPr>
    </w:p>
    <w:p w:rsidR="009A1216" w:rsidRDefault="009A1216" w:rsidP="00200F5D">
      <w:pPr>
        <w:spacing w:line="269" w:lineRule="auto"/>
        <w:ind w:left="1221"/>
        <w:rPr>
          <w:rtl/>
        </w:rPr>
      </w:pPr>
      <w:r w:rsidRPr="004A6E76">
        <w:rPr>
          <w:rtl/>
        </w:rPr>
        <w:t>משרד מבקר המדינה</w:t>
      </w:r>
      <w:r>
        <w:rPr>
          <w:rFonts w:hint="cs"/>
          <w:rtl/>
        </w:rPr>
        <w:t xml:space="preserve"> בחן</w:t>
      </w:r>
      <w:r w:rsidRPr="004A6E76">
        <w:rPr>
          <w:rtl/>
        </w:rPr>
        <w:t xml:space="preserve"> 12 יעדי האזנה</w:t>
      </w:r>
      <w:r>
        <w:rPr>
          <w:rFonts w:hint="cs"/>
          <w:rtl/>
        </w:rPr>
        <w:t xml:space="preserve">. מבדיקה זו עלה כי לגבי 7 (58%) מתוך 12 יעדי האזנה בוצע ייצוא של תוצרי האזנת הסתר מחוץ לכלי הטכנולוגי. </w:t>
      </w:r>
    </w:p>
    <w:p w:rsidR="00282AF8" w:rsidRPr="00C65B0A" w:rsidRDefault="00282AF8" w:rsidP="00604C3D">
      <w:pPr>
        <w:spacing w:line="269" w:lineRule="auto"/>
      </w:pPr>
    </w:p>
    <w:p w:rsidR="009A1216" w:rsidRDefault="009A1216" w:rsidP="00200F5D">
      <w:pPr>
        <w:pStyle w:val="af2"/>
        <w:numPr>
          <w:ilvl w:val="0"/>
          <w:numId w:val="29"/>
        </w:numPr>
        <w:spacing w:line="269" w:lineRule="auto"/>
        <w:ind w:left="1221" w:hanging="394"/>
      </w:pPr>
      <w:r>
        <w:rPr>
          <w:rFonts w:hint="cs"/>
          <w:rtl/>
        </w:rPr>
        <w:t xml:space="preserve">בכלים טכנולוגיים מסוימים שבהם קיים הליך ניהול הרשאות בכלי, מתן גישה לשימוש בתוצרי ההאזנה שנאספו באמצעות הכלי בנוגע ליעד האזנה מסוים משמעו גישה גורפת לכלל התוצרים ולא לתוצרי האזנה ספציפיים. </w:t>
      </w:r>
    </w:p>
    <w:p w:rsidR="009A1216" w:rsidRDefault="009A1216" w:rsidP="00604C3D">
      <w:pPr>
        <w:pStyle w:val="a5"/>
        <w:spacing w:line="269" w:lineRule="auto"/>
        <w:rPr>
          <w:rtl/>
        </w:rPr>
      </w:pPr>
    </w:p>
    <w:p w:rsidR="009A1216" w:rsidRDefault="009A1216" w:rsidP="00200F5D">
      <w:pPr>
        <w:spacing w:line="269" w:lineRule="auto"/>
        <w:ind w:left="1221"/>
        <w:rPr>
          <w:rtl/>
        </w:rPr>
      </w:pPr>
      <w:r>
        <w:rPr>
          <w:rtl/>
        </w:rPr>
        <w:t>המשטרה מסרה כי ייצוא התוצרים לצס"</w:t>
      </w:r>
      <w:r>
        <w:rPr>
          <w:rFonts w:hint="cs"/>
          <w:rtl/>
        </w:rPr>
        <w:t>ם</w:t>
      </w:r>
      <w:r>
        <w:rPr>
          <w:rtl/>
        </w:rPr>
        <w:t xml:space="preserve"> המחוזי נועד לאפשר שימוש מושכל בתוצרים שמקורם בכלי הטכנולוגי בהתאם לייעוד הצס"</w:t>
      </w:r>
      <w:r>
        <w:rPr>
          <w:rFonts w:hint="cs"/>
          <w:rtl/>
        </w:rPr>
        <w:t>ם</w:t>
      </w:r>
      <w:r>
        <w:rPr>
          <w:rtl/>
        </w:rPr>
        <w:t xml:space="preserve">. העברת התוצרים הספציפיים למפיק הרלוונטי המוסמך לטפל בהם מעידה על הקפדה בנוגע לרגישות המידע. ייצוא התוצרים מתועד במערכת לאחסון קבצים מאובטחים. </w:t>
      </w:r>
    </w:p>
    <w:p w:rsidR="00282AF8" w:rsidRDefault="00282AF8" w:rsidP="00604C3D">
      <w:pPr>
        <w:spacing w:line="269" w:lineRule="auto"/>
        <w:rPr>
          <w:b/>
          <w:bCs/>
          <w:rtl/>
        </w:rPr>
      </w:pPr>
    </w:p>
    <w:p w:rsidR="009A1216" w:rsidRDefault="009A1216" w:rsidP="00200F5D">
      <w:pPr>
        <w:spacing w:line="269" w:lineRule="auto"/>
        <w:ind w:left="720"/>
        <w:rPr>
          <w:b/>
          <w:bCs/>
          <w:rtl/>
        </w:rPr>
      </w:pPr>
      <w:r>
        <w:rPr>
          <w:rFonts w:hint="cs"/>
          <w:b/>
          <w:bCs/>
          <w:rtl/>
        </w:rPr>
        <w:t>המשטרה קבעה בהנחיותיה כי העיון בתוצרי האזנת סתר מוגבל בהתאם למידור הכלים הטכנולוגיים. ואולם, נמצא כי לחטיבת הסייבר</w:t>
      </w:r>
      <w:r w:rsidRPr="00785710">
        <w:rPr>
          <w:rFonts w:hint="cs"/>
          <w:b/>
          <w:bCs/>
          <w:rtl/>
        </w:rPr>
        <w:t xml:space="preserve"> </w:t>
      </w:r>
      <w:r w:rsidRPr="00A428AF">
        <w:rPr>
          <w:rFonts w:hint="cs"/>
          <w:b/>
          <w:bCs/>
          <w:rtl/>
        </w:rPr>
        <w:t xml:space="preserve">אין יכולת שליטה, פיקוח ובקרה על </w:t>
      </w:r>
      <w:r>
        <w:rPr>
          <w:rFonts w:hint="cs"/>
          <w:b/>
          <w:bCs/>
          <w:rtl/>
        </w:rPr>
        <w:t xml:space="preserve">מידור </w:t>
      </w:r>
      <w:r w:rsidRPr="00A428AF">
        <w:rPr>
          <w:rFonts w:hint="cs"/>
          <w:b/>
          <w:bCs/>
          <w:rtl/>
        </w:rPr>
        <w:t xml:space="preserve">העיון </w:t>
      </w:r>
      <w:r>
        <w:rPr>
          <w:rFonts w:hint="cs"/>
          <w:b/>
          <w:bCs/>
          <w:rtl/>
        </w:rPr>
        <w:t xml:space="preserve">של גורמי המשטרה </w:t>
      </w:r>
      <w:r w:rsidRPr="00A428AF">
        <w:rPr>
          <w:rFonts w:hint="cs"/>
          <w:b/>
          <w:bCs/>
          <w:rtl/>
        </w:rPr>
        <w:t>בתוצרי האזנת סתר</w:t>
      </w:r>
      <w:r>
        <w:rPr>
          <w:rFonts w:hint="cs"/>
          <w:b/>
          <w:bCs/>
          <w:rtl/>
        </w:rPr>
        <w:t xml:space="preserve"> לתקשורת בין מחשבים אף אם מקורם בכלים טכנולוגיים מסווגים משלושה טעמים: (א) </w:t>
      </w:r>
      <w:r w:rsidRPr="00A428AF">
        <w:rPr>
          <w:rFonts w:hint="cs"/>
          <w:b/>
          <w:bCs/>
          <w:rtl/>
        </w:rPr>
        <w:t xml:space="preserve">היעדר מערכת מרכזית לניהול הפקת כל תוצרי האזנת </w:t>
      </w:r>
      <w:r>
        <w:rPr>
          <w:rFonts w:hint="cs"/>
          <w:b/>
          <w:bCs/>
          <w:rtl/>
        </w:rPr>
        <w:t>ה</w:t>
      </w:r>
      <w:r w:rsidRPr="00A428AF">
        <w:rPr>
          <w:rFonts w:hint="cs"/>
          <w:b/>
          <w:bCs/>
          <w:rtl/>
        </w:rPr>
        <w:t>סתר לתקשורת בין מחשבים</w:t>
      </w:r>
      <w:r>
        <w:rPr>
          <w:rFonts w:hint="cs"/>
          <w:b/>
          <w:bCs/>
          <w:rtl/>
        </w:rPr>
        <w:t xml:space="preserve"> המאפשרת ניהול של העיון בתוצרים ומעקב בנושא;</w:t>
      </w:r>
      <w:r w:rsidRPr="00A428AF">
        <w:rPr>
          <w:rFonts w:hint="cs"/>
          <w:b/>
          <w:bCs/>
          <w:rtl/>
        </w:rPr>
        <w:t xml:space="preserve"> </w:t>
      </w:r>
      <w:r>
        <w:rPr>
          <w:rFonts w:hint="cs"/>
          <w:b/>
          <w:bCs/>
          <w:rtl/>
        </w:rPr>
        <w:t>(ב)</w:t>
      </w:r>
      <w:r>
        <w:rPr>
          <w:rFonts w:hint="cs"/>
          <w:b/>
          <w:bCs/>
        </w:rPr>
        <w:t xml:space="preserve"> </w:t>
      </w:r>
      <w:r w:rsidRPr="00A428AF">
        <w:rPr>
          <w:rFonts w:hint="cs"/>
          <w:b/>
          <w:bCs/>
          <w:rtl/>
        </w:rPr>
        <w:t xml:space="preserve">האפשרות לייצא את תוצרי האזנת הסתר </w:t>
      </w:r>
      <w:r>
        <w:rPr>
          <w:rFonts w:hint="cs"/>
          <w:b/>
          <w:bCs/>
          <w:rtl/>
        </w:rPr>
        <w:t>אל מחוץ ל</w:t>
      </w:r>
      <w:r w:rsidRPr="00A428AF">
        <w:rPr>
          <w:rFonts w:hint="cs"/>
          <w:b/>
          <w:bCs/>
          <w:rtl/>
        </w:rPr>
        <w:t xml:space="preserve">כלים </w:t>
      </w:r>
      <w:r>
        <w:rPr>
          <w:rFonts w:hint="cs"/>
          <w:b/>
          <w:bCs/>
          <w:rtl/>
        </w:rPr>
        <w:t>ה</w:t>
      </w:r>
      <w:r w:rsidRPr="00A428AF">
        <w:rPr>
          <w:rFonts w:hint="cs"/>
          <w:b/>
          <w:bCs/>
          <w:rtl/>
        </w:rPr>
        <w:t>טכנולוגיים</w:t>
      </w:r>
      <w:r>
        <w:rPr>
          <w:rFonts w:hint="cs"/>
          <w:b/>
          <w:bCs/>
          <w:rtl/>
        </w:rPr>
        <w:t>, שמירתם ברשת הכללית של המשטרה ופתיחת אפשרות העתקתם או העברתם ללא בקרה - המשטרה נהגה כך משנת 2017 לכל המוקדם, ובשנת 2020 אף הפיצה הנחיה לבצע את ייצוא התוצרים עבור צס"מים שלא החזיקו בכלי טכנולוגי מסוים; (ג) וניהול הרשאות נרחב לשימוש בחלק מהכלים הטכנולוגיים, שמשמעו אפשרות צפייה למשתמש ספציפי בכלל תוצרי האזנת הסתר שנאספו באמצעות הכלי.</w:t>
      </w:r>
      <w:r w:rsidRPr="00A428AF">
        <w:rPr>
          <w:rFonts w:hint="cs"/>
          <w:b/>
          <w:bCs/>
          <w:rtl/>
        </w:rPr>
        <w:t xml:space="preserve"> </w:t>
      </w:r>
      <w:r>
        <w:rPr>
          <w:rFonts w:hint="cs"/>
          <w:b/>
          <w:bCs/>
          <w:rtl/>
        </w:rPr>
        <w:t xml:space="preserve">ליקוי זה הולך ומחמיר בשנים האחרונות, ככל שמספר הכלים הטכנולוגיים בשימוש המשטרה גדל, והיקף התוצרים הנאספים באמצעותם גדל באופן מעריכי. </w:t>
      </w:r>
    </w:p>
    <w:p w:rsidR="00282AF8" w:rsidRDefault="00282AF8" w:rsidP="00200F5D">
      <w:pPr>
        <w:spacing w:line="269" w:lineRule="auto"/>
        <w:ind w:left="720"/>
        <w:rPr>
          <w:b/>
          <w:bCs/>
          <w:rtl/>
        </w:rPr>
      </w:pPr>
    </w:p>
    <w:p w:rsidR="009A1216" w:rsidRDefault="009A1216" w:rsidP="00200F5D">
      <w:pPr>
        <w:spacing w:line="269" w:lineRule="auto"/>
        <w:ind w:left="720"/>
        <w:rPr>
          <w:b/>
          <w:bCs/>
          <w:rtl/>
        </w:rPr>
      </w:pPr>
      <w:r w:rsidRPr="00757B4D">
        <w:rPr>
          <w:rFonts w:hint="cs"/>
          <w:b/>
          <w:bCs/>
          <w:rtl/>
        </w:rPr>
        <w:t xml:space="preserve">על המשטרה להבטיח כי העיון בתוצרי האזנה, </w:t>
      </w:r>
      <w:r>
        <w:rPr>
          <w:rFonts w:hint="cs"/>
          <w:b/>
          <w:bCs/>
          <w:rtl/>
        </w:rPr>
        <w:t>שהם</w:t>
      </w:r>
      <w:r w:rsidRPr="00757B4D">
        <w:rPr>
          <w:rFonts w:hint="cs"/>
          <w:b/>
          <w:bCs/>
          <w:rtl/>
        </w:rPr>
        <w:t xml:space="preserve"> החומר הגולמי, מוגבל לתוצרי ההאזנה הספציפיים </w:t>
      </w:r>
      <w:r>
        <w:rPr>
          <w:rFonts w:hint="cs"/>
          <w:b/>
          <w:bCs/>
          <w:rtl/>
        </w:rPr>
        <w:t>ש</w:t>
      </w:r>
      <w:r w:rsidRPr="00757B4D">
        <w:rPr>
          <w:rFonts w:hint="cs"/>
          <w:b/>
          <w:bCs/>
          <w:rtl/>
        </w:rPr>
        <w:t>נדרש עיון</w:t>
      </w:r>
      <w:r>
        <w:rPr>
          <w:rFonts w:hint="cs"/>
          <w:b/>
          <w:bCs/>
          <w:rtl/>
        </w:rPr>
        <w:t xml:space="preserve"> בהם</w:t>
      </w:r>
      <w:r w:rsidRPr="00757B4D">
        <w:rPr>
          <w:rFonts w:hint="cs"/>
          <w:b/>
          <w:bCs/>
          <w:rtl/>
        </w:rPr>
        <w:t xml:space="preserve">. עוד עליה לוודא כי </w:t>
      </w:r>
      <w:r>
        <w:rPr>
          <w:rFonts w:hint="cs"/>
          <w:b/>
          <w:bCs/>
          <w:rtl/>
        </w:rPr>
        <w:t xml:space="preserve">כאשר </w:t>
      </w:r>
      <w:r w:rsidRPr="00757B4D">
        <w:rPr>
          <w:rFonts w:hint="cs"/>
          <w:b/>
          <w:bCs/>
          <w:rtl/>
        </w:rPr>
        <w:t xml:space="preserve">גורמי המשטרה </w:t>
      </w:r>
      <w:r>
        <w:rPr>
          <w:rFonts w:hint="cs"/>
          <w:b/>
          <w:bCs/>
          <w:rtl/>
        </w:rPr>
        <w:t xml:space="preserve">נדרשים לעיין בתוצרי האזנה </w:t>
      </w:r>
      <w:r w:rsidRPr="00757B4D">
        <w:rPr>
          <w:rFonts w:hint="cs"/>
          <w:b/>
          <w:bCs/>
          <w:rtl/>
        </w:rPr>
        <w:t>לצורך מילוי תפקידם</w:t>
      </w:r>
      <w:r>
        <w:rPr>
          <w:rFonts w:hint="cs"/>
          <w:b/>
          <w:bCs/>
          <w:rtl/>
        </w:rPr>
        <w:t>,</w:t>
      </w:r>
      <w:r w:rsidRPr="00757B4D">
        <w:rPr>
          <w:rFonts w:hint="cs"/>
          <w:b/>
          <w:bCs/>
          <w:rtl/>
        </w:rPr>
        <w:t xml:space="preserve"> </w:t>
      </w:r>
      <w:r>
        <w:rPr>
          <w:rFonts w:hint="cs"/>
          <w:b/>
          <w:bCs/>
          <w:rtl/>
        </w:rPr>
        <w:t>ה</w:t>
      </w:r>
      <w:r w:rsidRPr="00757B4D">
        <w:rPr>
          <w:rFonts w:hint="cs"/>
          <w:b/>
          <w:bCs/>
          <w:rtl/>
        </w:rPr>
        <w:t xml:space="preserve">הרשאה </w:t>
      </w:r>
      <w:r>
        <w:rPr>
          <w:rFonts w:hint="cs"/>
          <w:b/>
          <w:bCs/>
          <w:rtl/>
        </w:rPr>
        <w:t>לעיון בהם</w:t>
      </w:r>
      <w:r w:rsidRPr="00757B4D">
        <w:rPr>
          <w:rFonts w:hint="cs"/>
          <w:b/>
          <w:bCs/>
          <w:rtl/>
        </w:rPr>
        <w:t xml:space="preserve"> ניתנת לאחר ו</w:t>
      </w:r>
      <w:r>
        <w:rPr>
          <w:rFonts w:hint="cs"/>
          <w:b/>
          <w:bCs/>
          <w:rtl/>
        </w:rPr>
        <w:t>ו</w:t>
      </w:r>
      <w:r w:rsidRPr="00757B4D">
        <w:rPr>
          <w:rFonts w:hint="cs"/>
          <w:b/>
          <w:bCs/>
          <w:rtl/>
        </w:rPr>
        <w:t xml:space="preserve">ידוא כי עילת הבקשה לקבלת גישה לתוצרי ההאזנה הולמת את הגדרת תפקידם. מומלץ כי פעולה זו תתבצע על בסיס מתן הרשאות קונקרטיות במערכת ההפקה לבעלי התפקידים הללו </w:t>
      </w:r>
      <w:r>
        <w:rPr>
          <w:rFonts w:hint="cs"/>
          <w:b/>
          <w:bCs/>
          <w:rtl/>
        </w:rPr>
        <w:t>באופן</w:t>
      </w:r>
      <w:r w:rsidRPr="00757B4D">
        <w:rPr>
          <w:rFonts w:hint="cs"/>
          <w:b/>
          <w:bCs/>
          <w:rtl/>
        </w:rPr>
        <w:t xml:space="preserve"> שהרשאתם ועצם צפייתם בתוצרים תירשם במערכת</w:t>
      </w:r>
      <w:r>
        <w:rPr>
          <w:rFonts w:hint="cs"/>
          <w:b/>
          <w:bCs/>
          <w:rtl/>
        </w:rPr>
        <w:t xml:space="preserve"> ללא אפשרות עריכת הרישום אודות העיון</w:t>
      </w:r>
      <w:r w:rsidRPr="00757B4D">
        <w:rPr>
          <w:rFonts w:hint="cs"/>
          <w:b/>
          <w:bCs/>
          <w:rtl/>
        </w:rPr>
        <w:t xml:space="preserve">. </w:t>
      </w:r>
    </w:p>
    <w:p w:rsidR="00EC6D8C" w:rsidRDefault="00EC6D8C" w:rsidP="00604C3D">
      <w:pPr>
        <w:spacing w:line="269" w:lineRule="auto"/>
        <w:rPr>
          <w:b/>
          <w:bCs/>
          <w:rtl/>
        </w:rPr>
      </w:pPr>
    </w:p>
    <w:p w:rsidR="009A1216" w:rsidRDefault="009A1216" w:rsidP="00200F5D">
      <w:pPr>
        <w:pStyle w:val="4"/>
        <w:numPr>
          <w:ilvl w:val="0"/>
          <w:numId w:val="77"/>
        </w:numPr>
        <w:spacing w:before="0" w:line="269" w:lineRule="auto"/>
        <w:ind w:left="423" w:hanging="438"/>
        <w:rPr>
          <w:rtl/>
        </w:rPr>
      </w:pPr>
      <w:bookmarkStart w:id="564" w:name="_Toc211521944"/>
      <w:bookmarkStart w:id="565" w:name="_Toc219110335"/>
      <w:bookmarkStart w:id="566" w:name="_Toc219113776"/>
      <w:bookmarkStart w:id="567" w:name="_Toc219286551"/>
      <w:r>
        <w:rPr>
          <w:rFonts w:hint="cs"/>
          <w:rtl/>
        </w:rPr>
        <w:t>דיגיטציה חלקית של פנקס האזנות הסתר</w:t>
      </w:r>
      <w:bookmarkEnd w:id="564"/>
      <w:bookmarkEnd w:id="565"/>
      <w:bookmarkEnd w:id="566"/>
      <w:bookmarkEnd w:id="567"/>
    </w:p>
    <w:p w:rsidR="00B731D2" w:rsidRDefault="00B731D2" w:rsidP="00604C3D">
      <w:pPr>
        <w:spacing w:line="269" w:lineRule="auto"/>
        <w:rPr>
          <w:rtl/>
        </w:rPr>
      </w:pPr>
    </w:p>
    <w:p w:rsidR="009A1216" w:rsidRDefault="009A1216" w:rsidP="00200F5D">
      <w:pPr>
        <w:spacing w:line="269" w:lineRule="auto"/>
        <w:ind w:left="423"/>
        <w:rPr>
          <w:rtl/>
        </w:rPr>
      </w:pPr>
      <w:r>
        <w:rPr>
          <w:rFonts w:hint="cs"/>
          <w:rtl/>
        </w:rPr>
        <w:t>הכלי העיקרי לתיעוד פעולת ההפקה הוא פנקס האזנות סתר. לצידו מסמכים קונקרטיים המעידים על ביצוע פעולת ההפקה: יומן ההפקה שמלמד על הפקת המידע בפועל מכל תוצר האזנה ספציפי, פראפרזה על תוצר האזנה ספציפי, דוח תובנות המאגד תמונת מודיעין מורכבת, מסמך צי"ח</w:t>
      </w:r>
      <w:r>
        <w:rPr>
          <w:rStyle w:val="af"/>
          <w:rtl/>
        </w:rPr>
        <w:footnoteReference w:id="222"/>
      </w:r>
      <w:r>
        <w:rPr>
          <w:rFonts w:hint="cs"/>
          <w:rtl/>
        </w:rPr>
        <w:t xml:space="preserve"> ליעד ההאזנה המכווין את פעולות האיסוף העתידיות וכיו"ב. </w:t>
      </w:r>
    </w:p>
    <w:p w:rsidR="005310B7" w:rsidRDefault="005310B7" w:rsidP="00200F5D">
      <w:pPr>
        <w:spacing w:line="269" w:lineRule="auto"/>
        <w:ind w:left="423"/>
        <w:rPr>
          <w:rtl/>
        </w:rPr>
      </w:pPr>
    </w:p>
    <w:p w:rsidR="009A1216" w:rsidRDefault="009A1216" w:rsidP="00200F5D">
      <w:pPr>
        <w:spacing w:line="269" w:lineRule="auto"/>
        <w:ind w:left="423"/>
        <w:rPr>
          <w:rtl/>
        </w:rPr>
      </w:pPr>
      <w:r>
        <w:rPr>
          <w:rFonts w:hint="cs"/>
          <w:rtl/>
        </w:rPr>
        <w:t>לפי נוהלי המשטרה, פנקס האזנת סתר יכלול את המסמכים האלה: היתרי האזנת הסתר לרבות הבקשה ונימוקיה, טופס הזמנת האזנת הסתר,</w:t>
      </w:r>
      <w:r w:rsidR="00874748">
        <w:rPr>
          <w:rFonts w:hint="cs"/>
          <w:rtl/>
        </w:rPr>
        <w:t xml:space="preserve"> מסמכי היערכות לביצוע האזנת סתר</w:t>
      </w:r>
      <w:r>
        <w:rPr>
          <w:rFonts w:hint="cs"/>
          <w:rtl/>
        </w:rPr>
        <w:t xml:space="preserve"> טופסי מעקב אחר העברת חומרי האזנת הסתר, טופסי זיהוי דוברים, מועדי מימוש האזנת הסתר, ניתוק או העלאה של עמדות, מסמכי העברת חומרים בין רשויות חוקרות, חומרים הנוגעים להסרת מגבלות וכיו"ב. </w:t>
      </w:r>
    </w:p>
    <w:p w:rsidR="00B731D2" w:rsidRDefault="00B731D2" w:rsidP="00200F5D">
      <w:pPr>
        <w:spacing w:line="269" w:lineRule="auto"/>
        <w:ind w:left="423"/>
        <w:rPr>
          <w:rtl/>
        </w:rPr>
      </w:pPr>
    </w:p>
    <w:p w:rsidR="009A1216" w:rsidRDefault="009A1216" w:rsidP="00200F5D">
      <w:pPr>
        <w:spacing w:line="269" w:lineRule="auto"/>
        <w:ind w:left="423"/>
        <w:rPr>
          <w:rtl/>
        </w:rPr>
      </w:pPr>
      <w:r>
        <w:rPr>
          <w:rFonts w:hint="cs"/>
          <w:rtl/>
        </w:rPr>
        <w:t>כאמור, בתקנות האזנות הסתר נקבע שפנקס האזנות הסתר ישמש האמצעי לתיעוד שרשרת הראיות</w:t>
      </w:r>
      <w:r>
        <w:rPr>
          <w:rStyle w:val="af"/>
          <w:rtl/>
        </w:rPr>
        <w:footnoteReference w:id="223"/>
      </w:r>
      <w:r>
        <w:rPr>
          <w:rFonts w:hint="cs"/>
          <w:rtl/>
        </w:rPr>
        <w:t xml:space="preserve"> של תוצרי ההאזנה - כלומר, רישום של </w:t>
      </w:r>
      <w:r>
        <w:rPr>
          <w:rtl/>
        </w:rPr>
        <w:t xml:space="preserve">כל העברה של </w:t>
      </w:r>
      <w:r>
        <w:rPr>
          <w:rFonts w:hint="cs"/>
          <w:rtl/>
        </w:rPr>
        <w:t>תוצר האזנה</w:t>
      </w:r>
      <w:r>
        <w:rPr>
          <w:rtl/>
        </w:rPr>
        <w:t xml:space="preserve"> למקום אחר, בציון המען, תאריך ההעברה, תאריך ההחזרה המשוערת ותאריך ההחזרה בפועל</w:t>
      </w:r>
      <w:r>
        <w:rPr>
          <w:rStyle w:val="af"/>
          <w:rtl/>
        </w:rPr>
        <w:footnoteReference w:id="224"/>
      </w:r>
      <w:r>
        <w:rPr>
          <w:rtl/>
        </w:rPr>
        <w:t>.</w:t>
      </w:r>
      <w:r>
        <w:rPr>
          <w:rFonts w:hint="cs"/>
          <w:rtl/>
        </w:rPr>
        <w:t xml:space="preserve"> כבר בדוח מבקר המדינה משנת 2004 עלה כי הרישום בפנקס האזנות סתר הוא חלקי, וכי המשטרה אינה רושמת את המקומות שאליהם מועבר חומר ההקלטה</w:t>
      </w:r>
      <w:r>
        <w:rPr>
          <w:rStyle w:val="af"/>
          <w:rtl/>
        </w:rPr>
        <w:footnoteReference w:id="225"/>
      </w:r>
      <w:r>
        <w:rPr>
          <w:rFonts w:hint="cs"/>
          <w:rtl/>
        </w:rPr>
        <w:t xml:space="preserve">. </w:t>
      </w:r>
    </w:p>
    <w:p w:rsidR="00B731D2" w:rsidRDefault="00B731D2" w:rsidP="00200F5D">
      <w:pPr>
        <w:spacing w:line="269" w:lineRule="auto"/>
        <w:ind w:left="423"/>
        <w:rPr>
          <w:rtl/>
        </w:rPr>
      </w:pPr>
    </w:p>
    <w:p w:rsidR="009A1216" w:rsidRDefault="009A1216" w:rsidP="00200F5D">
      <w:pPr>
        <w:spacing w:line="269" w:lineRule="auto"/>
        <w:ind w:left="423"/>
        <w:rPr>
          <w:rtl/>
        </w:rPr>
      </w:pPr>
      <w:r>
        <w:rPr>
          <w:rFonts w:hint="cs"/>
          <w:rtl/>
        </w:rPr>
        <w:t>לפי דוח צוות לבנת משיח משנת 2005, פנקס ההאזנות נועד לאפשר בקרה על מכלול הפעולות שנעשו בקשר להאזנת סתר מסוימת, לרבות על מימוש ההאזנה לפי המגבלות הקבועות בהיתר</w:t>
      </w:r>
      <w:r>
        <w:rPr>
          <w:rStyle w:val="af"/>
          <w:rtl/>
        </w:rPr>
        <w:footnoteReference w:id="226"/>
      </w:r>
      <w:r>
        <w:rPr>
          <w:rFonts w:hint="cs"/>
          <w:rtl/>
        </w:rPr>
        <w:t>. כמו כן, ניתן יהיה לעשות מעקב אחר הגורמים שניתנה להם גישה לחומר ולוודא כי רק למורשים ניתנה גישה</w:t>
      </w:r>
      <w:r>
        <w:rPr>
          <w:rStyle w:val="af"/>
          <w:rtl/>
        </w:rPr>
        <w:footnoteReference w:id="227"/>
      </w:r>
      <w:r>
        <w:rPr>
          <w:rFonts w:hint="cs"/>
          <w:rtl/>
        </w:rPr>
        <w:t xml:space="preserve">. </w:t>
      </w:r>
    </w:p>
    <w:p w:rsidR="00A54CC3" w:rsidRDefault="00A54CC3" w:rsidP="00200F5D">
      <w:pPr>
        <w:spacing w:line="269" w:lineRule="auto"/>
        <w:ind w:left="423"/>
        <w:rPr>
          <w:rtl/>
        </w:rPr>
      </w:pPr>
    </w:p>
    <w:p w:rsidR="009A1216" w:rsidRDefault="009A1216" w:rsidP="00200F5D">
      <w:pPr>
        <w:spacing w:line="269" w:lineRule="auto"/>
        <w:ind w:left="423"/>
        <w:rPr>
          <w:rtl/>
        </w:rPr>
      </w:pPr>
      <w:r>
        <w:rPr>
          <w:rFonts w:hint="cs"/>
          <w:rtl/>
        </w:rPr>
        <w:t xml:space="preserve">בשנת 2019 החליטה חטיבת הסייבר כי פנקסי האזנות הסתר ינוהלו באופן ממוחשב חלף ניהולם בקלסרים פיזיים. לפי ההחלטה, כלל המסמכים שתויקו בפנקס הידני ייסרקו למערכת לניהול צווים, ואילו מסמכים ומדיות שאינם ניתנים לסריקה יתויקו בקלסר אך ימולא לגביהם טופס המרכז את כלל התוצרים שאינם ניתנים סריקה, כגון קובצי שמע ותמלילים חסויים המועברים להחלטת שופט. עוד הוחלט כי לשם כך יעודכן הנוהל המשטרתי הרלוונטי. </w:t>
      </w:r>
    </w:p>
    <w:p w:rsidR="00A54CC3" w:rsidRDefault="00A54CC3" w:rsidP="00200F5D">
      <w:pPr>
        <w:spacing w:line="269" w:lineRule="auto"/>
        <w:ind w:left="423"/>
        <w:rPr>
          <w:rtl/>
        </w:rPr>
      </w:pPr>
    </w:p>
    <w:p w:rsidR="009A1216" w:rsidRDefault="009A1216" w:rsidP="00200F5D">
      <w:pPr>
        <w:spacing w:line="269" w:lineRule="auto"/>
        <w:ind w:left="423"/>
        <w:rPr>
          <w:rtl/>
        </w:rPr>
      </w:pPr>
      <w:r>
        <w:rPr>
          <w:rFonts w:hint="cs"/>
          <w:rtl/>
        </w:rPr>
        <w:t xml:space="preserve">לנוכח תכלית פנקס האזנות הסתר, נדרש כי תהיה הלימה בין פנקס האזנות הסתר, יומן ההפקה, היקף תוצרי האזנת הסתר שנאספו ויתרת המסמכים שנאגדים אגב האזנת הסתר ופעילות המודיעין. </w:t>
      </w:r>
    </w:p>
    <w:p w:rsidR="00A54CC3" w:rsidRDefault="00A54CC3" w:rsidP="00200F5D">
      <w:pPr>
        <w:spacing w:line="269" w:lineRule="auto"/>
        <w:ind w:left="423"/>
        <w:rPr>
          <w:rtl/>
        </w:rPr>
      </w:pPr>
    </w:p>
    <w:p w:rsidR="009A1216" w:rsidRDefault="009A1216" w:rsidP="00200F5D">
      <w:pPr>
        <w:spacing w:line="269" w:lineRule="auto"/>
        <w:ind w:left="423"/>
        <w:rPr>
          <w:rtl/>
        </w:rPr>
      </w:pPr>
      <w:r>
        <w:rPr>
          <w:rFonts w:hint="cs"/>
          <w:rtl/>
        </w:rPr>
        <w:t>מבקר המדינה סקר את רישום המידע הנחוץ לצורך הכנת פנקס האזנות סתר בהתאם לתקנות, ואת מקום רישום המידע במערכות הממוחשבות של המשטרה.</w:t>
      </w:r>
    </w:p>
    <w:p w:rsidR="00A54CC3" w:rsidRDefault="00A54CC3" w:rsidP="00200F5D">
      <w:pPr>
        <w:spacing w:line="269" w:lineRule="auto"/>
        <w:ind w:left="423"/>
        <w:rPr>
          <w:b/>
          <w:bCs/>
          <w:rtl/>
        </w:rPr>
      </w:pPr>
    </w:p>
    <w:p w:rsidR="009A1216" w:rsidRDefault="009A1216" w:rsidP="00200F5D">
      <w:pPr>
        <w:spacing w:line="269" w:lineRule="auto"/>
        <w:ind w:left="423"/>
        <w:rPr>
          <w:b/>
          <w:bCs/>
          <w:rtl/>
        </w:rPr>
      </w:pPr>
      <w:r>
        <w:rPr>
          <w:rFonts w:hint="cs"/>
          <w:b/>
          <w:bCs/>
          <w:rtl/>
        </w:rPr>
        <w:t xml:space="preserve">פנקס האזנות הסתר אמור לכלול מידע על הפעולות שבוצעו בנוגע לתוצרי ההאזנה ולאפשר בקרה שוטפת על פעולות אלו. </w:t>
      </w:r>
      <w:r w:rsidRPr="00882E2A">
        <w:rPr>
          <w:rFonts w:hint="cs"/>
          <w:b/>
          <w:bCs/>
          <w:rtl/>
        </w:rPr>
        <w:t xml:space="preserve">על </w:t>
      </w:r>
      <w:r>
        <w:rPr>
          <w:rFonts w:hint="cs"/>
          <w:b/>
          <w:bCs/>
          <w:rtl/>
        </w:rPr>
        <w:t xml:space="preserve">אף החלטת המשטרה משנת 2019 לעבור לניהול פנקס האזנות סתר דיגיטלי, </w:t>
      </w:r>
      <w:r w:rsidRPr="00882E2A">
        <w:rPr>
          <w:rFonts w:hint="cs"/>
          <w:b/>
          <w:bCs/>
          <w:rtl/>
        </w:rPr>
        <w:t>המשטרה לא עדכנה את הנוהל בנושא</w:t>
      </w:r>
      <w:r>
        <w:rPr>
          <w:rFonts w:hint="cs"/>
          <w:b/>
          <w:bCs/>
          <w:rtl/>
        </w:rPr>
        <w:t>.</w:t>
      </w:r>
      <w:r w:rsidRPr="00882E2A">
        <w:rPr>
          <w:rFonts w:hint="cs"/>
          <w:b/>
          <w:bCs/>
          <w:rtl/>
        </w:rPr>
        <w:t xml:space="preserve"> </w:t>
      </w:r>
      <w:r w:rsidRPr="000B5FB4">
        <w:rPr>
          <w:rFonts w:hint="cs"/>
          <w:b/>
          <w:bCs/>
          <w:rtl/>
        </w:rPr>
        <w:t>פנקס</w:t>
      </w:r>
      <w:r w:rsidRPr="00125B4B">
        <w:rPr>
          <w:rFonts w:hint="cs"/>
          <w:b/>
          <w:bCs/>
          <w:rtl/>
        </w:rPr>
        <w:t xml:space="preserve"> האזנות הסתר הדיגיטלי </w:t>
      </w:r>
      <w:r>
        <w:rPr>
          <w:rFonts w:hint="cs"/>
          <w:b/>
          <w:bCs/>
          <w:rtl/>
        </w:rPr>
        <w:t>מנוהל</w:t>
      </w:r>
      <w:r w:rsidRPr="00125B4B">
        <w:rPr>
          <w:rFonts w:hint="cs"/>
          <w:b/>
          <w:bCs/>
          <w:rtl/>
        </w:rPr>
        <w:t xml:space="preserve"> </w:t>
      </w:r>
      <w:r>
        <w:rPr>
          <w:rFonts w:hint="cs"/>
          <w:b/>
          <w:bCs/>
          <w:rtl/>
        </w:rPr>
        <w:t>ב</w:t>
      </w:r>
      <w:r w:rsidRPr="00125B4B">
        <w:rPr>
          <w:rFonts w:hint="cs"/>
          <w:b/>
          <w:bCs/>
          <w:rtl/>
        </w:rPr>
        <w:t>מערכות ממוחשבות שונות במשטרה</w:t>
      </w:r>
      <w:r>
        <w:rPr>
          <w:rFonts w:hint="cs"/>
          <w:b/>
          <w:bCs/>
          <w:rtl/>
        </w:rPr>
        <w:t>, ו</w:t>
      </w:r>
      <w:r w:rsidRPr="00125B4B">
        <w:rPr>
          <w:rFonts w:hint="cs"/>
          <w:b/>
          <w:bCs/>
          <w:rtl/>
        </w:rPr>
        <w:t>חלק מהפרטים הנדרשים להיות רשומים בו</w:t>
      </w:r>
      <w:r>
        <w:rPr>
          <w:rFonts w:hint="cs"/>
          <w:b/>
          <w:bCs/>
          <w:rtl/>
        </w:rPr>
        <w:t xml:space="preserve"> על פי דין</w:t>
      </w:r>
      <w:r>
        <w:rPr>
          <w:rStyle w:val="af"/>
          <w:b/>
          <w:bCs/>
          <w:rtl/>
        </w:rPr>
        <w:footnoteReference w:id="228"/>
      </w:r>
      <w:r>
        <w:rPr>
          <w:rFonts w:hint="cs"/>
          <w:b/>
          <w:bCs/>
          <w:rtl/>
        </w:rPr>
        <w:t xml:space="preserve"> מבוזרים במערכות ממוחשבות שונות. ביזור המידע במערכות ממוחשבות מקשה על איתורו ובנוגע לחלק מפרטי המידע </w:t>
      </w:r>
      <w:r w:rsidRPr="00125B4B">
        <w:rPr>
          <w:rFonts w:hint="cs"/>
          <w:b/>
          <w:bCs/>
          <w:rtl/>
        </w:rPr>
        <w:t>לא נית</w:t>
      </w:r>
      <w:r>
        <w:rPr>
          <w:rFonts w:hint="cs"/>
          <w:b/>
          <w:bCs/>
          <w:rtl/>
        </w:rPr>
        <w:t>ן</w:t>
      </w:r>
      <w:r w:rsidRPr="00125B4B">
        <w:rPr>
          <w:rFonts w:hint="cs"/>
          <w:b/>
          <w:bCs/>
          <w:rtl/>
        </w:rPr>
        <w:t xml:space="preserve"> לעי</w:t>
      </w:r>
      <w:r>
        <w:rPr>
          <w:rFonts w:hint="cs"/>
          <w:b/>
          <w:bCs/>
          <w:rtl/>
        </w:rPr>
        <w:t>י</w:t>
      </w:r>
      <w:r w:rsidRPr="00125B4B">
        <w:rPr>
          <w:rFonts w:hint="cs"/>
          <w:b/>
          <w:bCs/>
          <w:rtl/>
        </w:rPr>
        <w:t>ן</w:t>
      </w:r>
      <w:r>
        <w:rPr>
          <w:rFonts w:hint="cs"/>
          <w:b/>
          <w:bCs/>
          <w:rtl/>
        </w:rPr>
        <w:t xml:space="preserve"> בהם</w:t>
      </w:r>
      <w:r w:rsidRPr="00125B4B">
        <w:rPr>
          <w:rFonts w:hint="cs"/>
          <w:b/>
          <w:bCs/>
          <w:rtl/>
        </w:rPr>
        <w:t xml:space="preserve"> ללא הרשאה מתאימה</w:t>
      </w:r>
      <w:r>
        <w:rPr>
          <w:rFonts w:hint="cs"/>
          <w:b/>
          <w:bCs/>
          <w:rtl/>
        </w:rPr>
        <w:t>, ובפרט לאחר העברת תוצרי ההאזנה לידי הצס"ם באמצעות המערכת לאחסון קבצים מאובטחים.</w:t>
      </w:r>
      <w:r>
        <w:rPr>
          <w:rFonts w:hint="cs"/>
          <w:rtl/>
        </w:rPr>
        <w:t xml:space="preserve"> </w:t>
      </w:r>
      <w:r>
        <w:rPr>
          <w:rFonts w:hint="cs"/>
          <w:b/>
          <w:bCs/>
          <w:rtl/>
        </w:rPr>
        <w:t xml:space="preserve">כמו כן, </w:t>
      </w:r>
      <w:r w:rsidRPr="00870E1C">
        <w:rPr>
          <w:b/>
          <w:bCs/>
          <w:rtl/>
        </w:rPr>
        <w:t xml:space="preserve">בפועל חטיבת הסייבר עדיין מנהלת מסמכים שרלוונטיים לפנקס האזנות הסתר </w:t>
      </w:r>
      <w:r>
        <w:rPr>
          <w:rFonts w:hint="cs"/>
          <w:b/>
          <w:bCs/>
          <w:rtl/>
        </w:rPr>
        <w:t xml:space="preserve">גם </w:t>
      </w:r>
      <w:r w:rsidRPr="00870E1C">
        <w:rPr>
          <w:b/>
          <w:bCs/>
          <w:rtl/>
        </w:rPr>
        <w:t>בתיק פיזי.</w:t>
      </w:r>
    </w:p>
    <w:p w:rsidR="009A1216" w:rsidRDefault="009A1216" w:rsidP="00200F5D">
      <w:pPr>
        <w:pStyle w:val="a5"/>
        <w:spacing w:line="269" w:lineRule="auto"/>
        <w:ind w:left="0"/>
        <w:rPr>
          <w:rtl/>
        </w:rPr>
      </w:pPr>
      <w:r>
        <w:rPr>
          <w:rFonts w:hint="cs"/>
          <w:rtl/>
        </w:rPr>
        <w:t xml:space="preserve"> </w:t>
      </w:r>
      <w:r w:rsidR="00382AE8">
        <w:rPr>
          <w:rFonts w:hint="cs"/>
          <w:rtl/>
        </w:rPr>
        <w:t xml:space="preserve"> </w:t>
      </w:r>
    </w:p>
    <w:p w:rsidR="009A1216" w:rsidRDefault="009A1216" w:rsidP="00200F5D">
      <w:pPr>
        <w:spacing w:line="269" w:lineRule="auto"/>
        <w:ind w:left="423"/>
        <w:rPr>
          <w:rtl/>
        </w:rPr>
      </w:pPr>
      <w:r>
        <w:rPr>
          <w:rFonts w:hint="cs"/>
          <w:rtl/>
        </w:rPr>
        <w:t>המשטרה</w:t>
      </w:r>
      <w:r w:rsidRPr="00866C45">
        <w:rPr>
          <w:rFonts w:hint="cs"/>
          <w:rtl/>
        </w:rPr>
        <w:t xml:space="preserve"> מסרה בתגובתה כי היא סבורה שאין פסול בהמשך ניהול פנקס האזנות הסתר הפיזי</w:t>
      </w:r>
      <w:r>
        <w:rPr>
          <w:rFonts w:hint="cs"/>
          <w:rtl/>
        </w:rPr>
        <w:t>, וכי הנוהל הקיים תקף לניהול פנקס ההאזנות גם באופן דיגיטלי והוא יעודכן בהמשך</w:t>
      </w:r>
      <w:r w:rsidRPr="00866C45">
        <w:rPr>
          <w:rFonts w:hint="cs"/>
          <w:rtl/>
        </w:rPr>
        <w:t xml:space="preserve">. עוד היא מסרה כי </w:t>
      </w:r>
      <w:r>
        <w:rPr>
          <w:rFonts w:hint="cs"/>
          <w:rtl/>
        </w:rPr>
        <w:t>בנוגע</w:t>
      </w:r>
      <w:r w:rsidRPr="00866C45">
        <w:rPr>
          <w:rFonts w:hint="cs"/>
          <w:rtl/>
        </w:rPr>
        <w:t xml:space="preserve"> להאזנות סתר לתקשורת בין מחשבים</w:t>
      </w:r>
      <w:r>
        <w:rPr>
          <w:rFonts w:hint="cs"/>
          <w:rtl/>
        </w:rPr>
        <w:t>, המהוות כ-15% מסך ההאזנות,</w:t>
      </w:r>
      <w:r w:rsidRPr="00866C45">
        <w:rPr>
          <w:rFonts w:hint="cs"/>
          <w:rtl/>
        </w:rPr>
        <w:t xml:space="preserve"> יש אתגרים הנוגעים לרישום מועד ביצוע ההאזנה ו</w:t>
      </w:r>
      <w:r>
        <w:rPr>
          <w:rFonts w:hint="cs"/>
          <w:rtl/>
        </w:rPr>
        <w:t>ל</w:t>
      </w:r>
      <w:r w:rsidRPr="00866C45">
        <w:rPr>
          <w:rFonts w:hint="cs"/>
          <w:rtl/>
        </w:rPr>
        <w:t xml:space="preserve">רישום מקום החזקת חומר ההקלטה לסוגיו (בהתאם לכלי </w:t>
      </w:r>
      <w:r>
        <w:rPr>
          <w:rFonts w:hint="cs"/>
          <w:rtl/>
        </w:rPr>
        <w:t>ש</w:t>
      </w:r>
      <w:r w:rsidRPr="00866C45">
        <w:rPr>
          <w:rFonts w:hint="cs"/>
          <w:rtl/>
        </w:rPr>
        <w:t xml:space="preserve">בו נאספו תוצרי ההאזנה) הנובעים מהשימוש בכלים טכנולוגיים שונים. </w:t>
      </w:r>
      <w:r>
        <w:rPr>
          <w:rFonts w:hint="cs"/>
          <w:rtl/>
        </w:rPr>
        <w:t>עם זאת</w:t>
      </w:r>
      <w:r w:rsidRPr="00866C45">
        <w:rPr>
          <w:rFonts w:hint="cs"/>
          <w:rtl/>
        </w:rPr>
        <w:t xml:space="preserve">, היא פועלת </w:t>
      </w:r>
      <w:r>
        <w:rPr>
          <w:rFonts w:hint="cs"/>
          <w:rtl/>
        </w:rPr>
        <w:t>כדי</w:t>
      </w:r>
      <w:r w:rsidRPr="00866C45">
        <w:rPr>
          <w:rFonts w:hint="cs"/>
          <w:rtl/>
        </w:rPr>
        <w:t xml:space="preserve"> לתת מענה להיבטים אלו במסגרת </w:t>
      </w:r>
      <w:r>
        <w:rPr>
          <w:rFonts w:hint="cs"/>
          <w:rtl/>
        </w:rPr>
        <w:t>ה</w:t>
      </w:r>
      <w:r w:rsidRPr="00866C45">
        <w:rPr>
          <w:rFonts w:hint="cs"/>
          <w:rtl/>
        </w:rPr>
        <w:t>פיתוח וה</w:t>
      </w:r>
      <w:r>
        <w:rPr>
          <w:rFonts w:hint="cs"/>
          <w:rtl/>
        </w:rPr>
        <w:t>ה</w:t>
      </w:r>
      <w:r w:rsidRPr="00866C45">
        <w:rPr>
          <w:rFonts w:hint="cs"/>
          <w:rtl/>
        </w:rPr>
        <w:t>קמ</w:t>
      </w:r>
      <w:r>
        <w:rPr>
          <w:rFonts w:hint="cs"/>
          <w:rtl/>
        </w:rPr>
        <w:t>ה של</w:t>
      </w:r>
      <w:r w:rsidRPr="00866C45">
        <w:rPr>
          <w:rFonts w:hint="cs"/>
          <w:rtl/>
        </w:rPr>
        <w:t xml:space="preserve"> המערכת לניהול יומן מבצעים</w:t>
      </w:r>
      <w:r>
        <w:rPr>
          <w:rFonts w:hint="cs"/>
          <w:rtl/>
        </w:rPr>
        <w:t>.</w:t>
      </w:r>
      <w:r w:rsidRPr="00866C45">
        <w:rPr>
          <w:rFonts w:hint="cs"/>
          <w:rtl/>
        </w:rPr>
        <w:t xml:space="preserve"> בה יהיה תיעוד של </w:t>
      </w:r>
      <w:r w:rsidR="008B6A44">
        <w:rPr>
          <w:rFonts w:hint="cs"/>
          <w:rtl/>
        </w:rPr>
        <w:t>מסמך ב'</w:t>
      </w:r>
      <w:r w:rsidRPr="00866C45">
        <w:rPr>
          <w:rFonts w:hint="cs"/>
          <w:rtl/>
        </w:rPr>
        <w:t xml:space="preserve"> אשר יעיד על מועד ביצוע ההאזנה, ושם הכלי שבאמצעותו התבצעה ההאזנה</w:t>
      </w:r>
      <w:r>
        <w:rPr>
          <w:rFonts w:hint="cs"/>
          <w:rtl/>
        </w:rPr>
        <w:t>, וכן יתבצע רישום של פרטים נוספים הנדרשים לניהול פנקס האזנות הסתר במערכת לניהול צווים</w:t>
      </w:r>
      <w:r w:rsidRPr="00866C45">
        <w:rPr>
          <w:rFonts w:hint="cs"/>
          <w:rtl/>
        </w:rPr>
        <w:t xml:space="preserve">. </w:t>
      </w:r>
    </w:p>
    <w:p w:rsidR="00A54CC3" w:rsidRDefault="00A54CC3" w:rsidP="00200F5D">
      <w:pPr>
        <w:spacing w:line="269" w:lineRule="auto"/>
        <w:ind w:left="423"/>
        <w:rPr>
          <w:b/>
          <w:bCs/>
          <w:rtl/>
        </w:rPr>
      </w:pPr>
    </w:p>
    <w:p w:rsidR="00EC6D8C" w:rsidRDefault="009A1216" w:rsidP="00200F5D">
      <w:pPr>
        <w:spacing w:line="269" w:lineRule="auto"/>
        <w:ind w:left="423"/>
        <w:rPr>
          <w:b/>
          <w:bCs/>
          <w:rtl/>
        </w:rPr>
      </w:pPr>
      <w:r>
        <w:rPr>
          <w:rFonts w:hint="cs"/>
          <w:b/>
          <w:bCs/>
          <w:rtl/>
        </w:rPr>
        <w:t xml:space="preserve">כעולה מתשובת המשטרה, היא פועלת למציאת פתרונות לקשיים הנובעים מניהול תוצרי האזנת סתר לתקשורת בין מחשבים באמצעות פיתוח והקמה של מערכות ממוחשבות חדשות. </w:t>
      </w:r>
      <w:bookmarkStart w:id="568" w:name="_Hlk189400359"/>
      <w:r>
        <w:rPr>
          <w:rFonts w:hint="cs"/>
          <w:b/>
          <w:bCs/>
          <w:rtl/>
        </w:rPr>
        <w:t xml:space="preserve">לנוכח היכולת לייצא תוצרי ההאזנה מחוץ לכלים הטכנולוגיים שמביאה לאיבוד השליטה על העיון בתוצרים ומשפיעה על אפשרות רישום השמות של מי שהאזינו או עיינו בחומר הקלטה - מומלץ </w:t>
      </w:r>
      <w:bookmarkEnd w:id="568"/>
      <w:r>
        <w:rPr>
          <w:rFonts w:hint="cs"/>
          <w:b/>
          <w:bCs/>
          <w:rtl/>
        </w:rPr>
        <w:t>כי המשטרה תשלים את תהליך הסבת פנקס האזנות הסתר מתיק פיזי שהשוטרים ממלאים באופן ידני למערכת ממוחשבת מקיפה המתעדת את שרשרת הראיות ושומרת על מהימנות התוצרים וכן מאפשרת</w:t>
      </w:r>
      <w:r>
        <w:rPr>
          <w:rFonts w:hint="cs"/>
          <w:b/>
          <w:bCs/>
        </w:rPr>
        <w:t xml:space="preserve"> </w:t>
      </w:r>
      <w:r>
        <w:rPr>
          <w:rFonts w:hint="cs"/>
          <w:b/>
          <w:bCs/>
          <w:rtl/>
        </w:rPr>
        <w:t>מעקב על העיון בהם, הפקתם והשימוש בהם.</w:t>
      </w:r>
    </w:p>
    <w:p w:rsidR="00C4338B" w:rsidRDefault="009A1216" w:rsidP="00604C3D">
      <w:pPr>
        <w:spacing w:line="269" w:lineRule="auto"/>
        <w:rPr>
          <w:b/>
          <w:bCs/>
          <w:rtl/>
        </w:rPr>
      </w:pPr>
      <w:r>
        <w:rPr>
          <w:rFonts w:hint="cs"/>
          <w:b/>
          <w:bCs/>
          <w:rtl/>
        </w:rPr>
        <w:t xml:space="preserve"> </w:t>
      </w:r>
    </w:p>
    <w:p w:rsidR="009A1216" w:rsidRPr="00095D86" w:rsidRDefault="00C4338B" w:rsidP="00C4338B">
      <w:pPr>
        <w:bidi w:val="0"/>
        <w:spacing w:after="200" w:line="276" w:lineRule="auto"/>
        <w:rPr>
          <w:b/>
          <w:bCs/>
          <w:rtl/>
        </w:rPr>
      </w:pPr>
      <w:r>
        <w:rPr>
          <w:b/>
          <w:bCs/>
          <w:rtl/>
        </w:rPr>
        <w:br w:type="page"/>
      </w:r>
    </w:p>
    <w:p w:rsidR="009A1216" w:rsidRPr="005D3983" w:rsidRDefault="009A1216" w:rsidP="00200F5D">
      <w:pPr>
        <w:pStyle w:val="4"/>
        <w:numPr>
          <w:ilvl w:val="0"/>
          <w:numId w:val="77"/>
        </w:numPr>
        <w:spacing w:before="0" w:line="269" w:lineRule="auto"/>
        <w:ind w:left="423" w:hanging="438"/>
        <w:rPr>
          <w:rtl/>
        </w:rPr>
      </w:pPr>
      <w:bookmarkStart w:id="569" w:name="_Toc211521945"/>
      <w:bookmarkStart w:id="570" w:name="_Toc219110336"/>
      <w:bookmarkStart w:id="571" w:name="_Toc219113777"/>
      <w:bookmarkStart w:id="572" w:name="_Toc219286552"/>
      <w:r>
        <w:rPr>
          <w:rFonts w:hint="cs"/>
          <w:rtl/>
        </w:rPr>
        <w:t xml:space="preserve">הפקה ושימוש </w:t>
      </w:r>
      <w:r w:rsidR="00BC1083">
        <w:rPr>
          <w:rFonts w:hint="cs"/>
          <w:rtl/>
        </w:rPr>
        <w:t>אסורים</w:t>
      </w:r>
      <w:r>
        <w:rPr>
          <w:rFonts w:hint="cs"/>
          <w:rtl/>
        </w:rPr>
        <w:t xml:space="preserve"> בתוצרי האזנת סתר</w:t>
      </w:r>
      <w:bookmarkEnd w:id="569"/>
      <w:bookmarkEnd w:id="570"/>
      <w:bookmarkEnd w:id="571"/>
      <w:bookmarkEnd w:id="572"/>
    </w:p>
    <w:p w:rsidR="00A54CC3" w:rsidRDefault="00A54CC3" w:rsidP="00604C3D">
      <w:pPr>
        <w:spacing w:line="269" w:lineRule="auto"/>
        <w:rPr>
          <w:rtl/>
        </w:rPr>
      </w:pPr>
    </w:p>
    <w:p w:rsidR="009A1216" w:rsidRDefault="009A1216" w:rsidP="00200F5D">
      <w:pPr>
        <w:spacing w:line="269" w:lineRule="auto"/>
        <w:ind w:left="423"/>
      </w:pPr>
      <w:r>
        <w:rPr>
          <w:rFonts w:hint="cs"/>
          <w:rtl/>
        </w:rPr>
        <w:t>לפעול</w:t>
      </w:r>
      <w:r w:rsidR="00D6431B">
        <w:rPr>
          <w:rFonts w:hint="cs"/>
          <w:rtl/>
        </w:rPr>
        <w:t xml:space="preserve">ה האסורה של </w:t>
      </w:r>
      <w:r>
        <w:rPr>
          <w:rFonts w:hint="cs"/>
          <w:rtl/>
        </w:rPr>
        <w:t>הפקה</w:t>
      </w:r>
      <w:r>
        <w:rPr>
          <w:rStyle w:val="af"/>
          <w:rtl/>
        </w:rPr>
        <w:footnoteReference w:id="229"/>
      </w:r>
      <w:r>
        <w:rPr>
          <w:rFonts w:hint="cs"/>
          <w:rtl/>
        </w:rPr>
        <w:t xml:space="preserve"> ושימוש</w:t>
      </w:r>
      <w:r>
        <w:rPr>
          <w:rStyle w:val="af"/>
          <w:rtl/>
        </w:rPr>
        <w:footnoteReference w:id="230"/>
      </w:r>
      <w:r>
        <w:rPr>
          <w:rFonts w:hint="cs"/>
          <w:rtl/>
        </w:rPr>
        <w:t xml:space="preserve"> בתוצרי האזנת סתר </w:t>
      </w:r>
      <w:r w:rsidR="00BC1083">
        <w:rPr>
          <w:rFonts w:hint="cs"/>
          <w:rtl/>
        </w:rPr>
        <w:t>אסורים</w:t>
      </w:r>
      <w:r>
        <w:rPr>
          <w:rFonts w:hint="cs"/>
          <w:rtl/>
        </w:rPr>
        <w:t>, שתי נפקויות עיקריות בניהול ההליך הפלילי: הראשונה, במקרה בו ההפקה והשימוש עלו לכדי שימוש ראייתי</w:t>
      </w:r>
      <w:r>
        <w:rPr>
          <w:rStyle w:val="af"/>
          <w:rtl/>
        </w:rPr>
        <w:footnoteReference w:id="231"/>
      </w:r>
      <w:r>
        <w:rPr>
          <w:rFonts w:hint="cs"/>
          <w:rtl/>
        </w:rPr>
        <w:t xml:space="preserve"> - אפשרות פסילת ראיה שהוגשה בהליך הפלילי</w:t>
      </w:r>
      <w:r>
        <w:rPr>
          <w:rStyle w:val="af"/>
          <w:rtl/>
        </w:rPr>
        <w:footnoteReference w:id="232"/>
      </w:r>
      <w:r>
        <w:rPr>
          <w:rFonts w:hint="cs"/>
          <w:rtl/>
        </w:rPr>
        <w:t>; השנייה, העלאת טענה מקדמית כי ניהול ההליך הפלילי עומד בסתירה מהותית לעקרונות של צדק והגינות משפטית</w:t>
      </w:r>
      <w:r>
        <w:rPr>
          <w:rStyle w:val="af"/>
          <w:rtl/>
        </w:rPr>
        <w:footnoteReference w:id="233"/>
      </w:r>
      <w:r>
        <w:rPr>
          <w:rFonts w:hint="cs"/>
          <w:rtl/>
        </w:rPr>
        <w:t xml:space="preserve">. </w:t>
      </w:r>
    </w:p>
    <w:p w:rsidR="00A54CC3" w:rsidRDefault="00A54CC3" w:rsidP="00200F5D">
      <w:pPr>
        <w:spacing w:line="269" w:lineRule="auto"/>
        <w:ind w:left="423"/>
        <w:rPr>
          <w:rtl/>
        </w:rPr>
      </w:pPr>
    </w:p>
    <w:p w:rsidR="009A1216" w:rsidRDefault="009A1216" w:rsidP="00200F5D">
      <w:pPr>
        <w:spacing w:line="269" w:lineRule="auto"/>
        <w:ind w:left="423"/>
        <w:rPr>
          <w:rtl/>
        </w:rPr>
      </w:pPr>
      <w:r>
        <w:rPr>
          <w:rFonts w:hint="cs"/>
          <w:rtl/>
        </w:rPr>
        <w:t>השיקולים הנשקלים בהחלטה לפסול ראיה שהושגה שלא כדין הם, בין היתר, אופייה וחומרתה של אי-החוקיות שהייתה כרוכה בהשגת הראיה, מידת ההשפעה של ההפרה על הראיה שהושגה והעניין לציבור בנושא זה</w:t>
      </w:r>
      <w:r>
        <w:rPr>
          <w:rStyle w:val="af"/>
          <w:rtl/>
        </w:rPr>
        <w:footnoteReference w:id="234"/>
      </w:r>
      <w:r>
        <w:rPr>
          <w:rFonts w:hint="cs"/>
          <w:rtl/>
        </w:rPr>
        <w:t>. השיקולים הנשקלים אם להפסיק את ניהול ההליך הפלילי מטעמי הגנה מן הצדק הם, בין היתר, מידת הפגיעה ביכולתו של הנאשם להתגונן ומידת האשם הרובץ על הרשות שפגעה בהליך או בנאשם</w:t>
      </w:r>
      <w:r>
        <w:rPr>
          <w:rStyle w:val="af"/>
          <w:rtl/>
        </w:rPr>
        <w:footnoteReference w:id="235"/>
      </w:r>
      <w:r>
        <w:rPr>
          <w:rFonts w:hint="cs"/>
          <w:rtl/>
        </w:rPr>
        <w:t xml:space="preserve">. </w:t>
      </w:r>
    </w:p>
    <w:p w:rsidR="009A1216" w:rsidRDefault="009A1216" w:rsidP="00200F5D">
      <w:pPr>
        <w:spacing w:line="269" w:lineRule="auto"/>
        <w:ind w:left="423"/>
        <w:rPr>
          <w:rtl/>
        </w:rPr>
      </w:pPr>
    </w:p>
    <w:p w:rsidR="009A1216" w:rsidRDefault="009A1216" w:rsidP="00200F5D">
      <w:pPr>
        <w:spacing w:line="269" w:lineRule="auto"/>
        <w:ind w:left="423"/>
        <w:rPr>
          <w:rtl/>
        </w:rPr>
      </w:pPr>
      <w:r>
        <w:rPr>
          <w:rFonts w:hint="cs"/>
          <w:rtl/>
        </w:rPr>
        <w:t xml:space="preserve">לפעולת ההפקה והשימוש בתוצרי האזנת סתר </w:t>
      </w:r>
      <w:r w:rsidR="00BC1083">
        <w:rPr>
          <w:rFonts w:hint="cs"/>
          <w:rtl/>
        </w:rPr>
        <w:t>אסורים</w:t>
      </w:r>
      <w:r>
        <w:rPr>
          <w:rFonts w:hint="cs"/>
          <w:rtl/>
        </w:rPr>
        <w:t xml:space="preserve"> ושהשימוש בהם אסור יש כמובן נפקות גם בעולם המשפט המנהלי: </w:t>
      </w:r>
    </w:p>
    <w:p w:rsidR="00A54CC3" w:rsidRDefault="00A54CC3" w:rsidP="00200F5D">
      <w:pPr>
        <w:spacing w:line="269" w:lineRule="auto"/>
        <w:ind w:left="423"/>
        <w:rPr>
          <w:rtl/>
        </w:rPr>
      </w:pPr>
    </w:p>
    <w:p w:rsidR="009A1216" w:rsidRDefault="009A1216" w:rsidP="00200F5D">
      <w:pPr>
        <w:spacing w:line="269" w:lineRule="auto"/>
        <w:ind w:left="423"/>
        <w:rPr>
          <w:rtl/>
        </w:rPr>
      </w:pPr>
      <w:r>
        <w:rPr>
          <w:rFonts w:hint="cs"/>
          <w:rtl/>
        </w:rPr>
        <w:t>לפי הנחיות המשטרה כבר משנת 2017, יש תוצרים האסורים לצפייה, קל וחומר להפקה. הנחיה נוספת משנת 2020 של החטיבה שעסקה בהפקת תוצרי האזנת סתר על ידי צס"ם ארצי, הוגדרו תוצרי האזנת סתר שהפקתם אסורה</w:t>
      </w:r>
      <w:r>
        <w:rPr>
          <w:rStyle w:val="af"/>
          <w:rtl/>
        </w:rPr>
        <w:footnoteReference w:id="236"/>
      </w:r>
      <w:r>
        <w:rPr>
          <w:rFonts w:hint="cs"/>
          <w:rtl/>
        </w:rPr>
        <w:t xml:space="preserve">. </w:t>
      </w:r>
    </w:p>
    <w:p w:rsidR="00A54CC3" w:rsidRDefault="00A54CC3" w:rsidP="00200F5D">
      <w:pPr>
        <w:spacing w:line="269" w:lineRule="auto"/>
        <w:ind w:left="423"/>
        <w:rPr>
          <w:rtl/>
        </w:rPr>
      </w:pPr>
    </w:p>
    <w:p w:rsidR="009A1216" w:rsidRDefault="009A1216" w:rsidP="00200F5D">
      <w:pPr>
        <w:spacing w:line="269" w:lineRule="auto"/>
        <w:ind w:left="423"/>
        <w:rPr>
          <w:rtl/>
        </w:rPr>
      </w:pPr>
      <w:r>
        <w:rPr>
          <w:rFonts w:hint="cs"/>
          <w:rtl/>
        </w:rPr>
        <w:t>משרד מבקר המדינה בחן כלי טכנולוגי מסוים וערך חיפוש במסמכים של המשטרה במסגרת זו נבחן עניינם של 22 יעדי האזנה, 19 מהם בנוגע ל</w:t>
      </w:r>
      <w:r w:rsidR="00062A25">
        <w:rPr>
          <w:rFonts w:hint="cs"/>
          <w:rtl/>
        </w:rPr>
        <w:t>התקנה</w:t>
      </w:r>
      <w:r>
        <w:rPr>
          <w:rFonts w:hint="cs"/>
          <w:rtl/>
        </w:rPr>
        <w:t xml:space="preserve"> של</w:t>
      </w:r>
      <w:r w:rsidR="00062A25">
        <w:rPr>
          <w:rFonts w:hint="cs"/>
          <w:rtl/>
        </w:rPr>
        <w:t xml:space="preserve"> כלי טכנולוגי על</w:t>
      </w:r>
      <w:r>
        <w:rPr>
          <w:rFonts w:hint="cs"/>
          <w:rtl/>
        </w:rPr>
        <w:t xml:space="preserve"> מכשיר קצה מסוים ו-10 מהם בנוגע ל</w:t>
      </w:r>
      <w:r w:rsidR="00062A25">
        <w:rPr>
          <w:rFonts w:hint="cs"/>
          <w:rtl/>
        </w:rPr>
        <w:t>התקנה</w:t>
      </w:r>
      <w:r>
        <w:rPr>
          <w:rFonts w:hint="cs"/>
          <w:rtl/>
        </w:rPr>
        <w:t xml:space="preserve"> של </w:t>
      </w:r>
      <w:r w:rsidR="00062A25">
        <w:rPr>
          <w:rFonts w:hint="cs"/>
          <w:rtl/>
        </w:rPr>
        <w:t xml:space="preserve">כלי טכנולוגי על </w:t>
      </w:r>
      <w:r>
        <w:rPr>
          <w:rFonts w:hint="cs"/>
          <w:rtl/>
        </w:rPr>
        <w:t xml:space="preserve">מכשיר קצה מסוג אחר. הטיפול ב-12 יעדי האזנה אף נבחן על גבי כלי טכנולוגי מסוים. </w:t>
      </w:r>
    </w:p>
    <w:p w:rsidR="00A54CC3" w:rsidRDefault="00A54CC3" w:rsidP="00200F5D">
      <w:pPr>
        <w:spacing w:line="269" w:lineRule="auto"/>
        <w:ind w:left="423"/>
        <w:rPr>
          <w:b/>
          <w:bCs/>
          <w:rtl/>
        </w:rPr>
      </w:pPr>
    </w:p>
    <w:p w:rsidR="009A1216" w:rsidRDefault="009A1216" w:rsidP="00200F5D">
      <w:pPr>
        <w:spacing w:line="269" w:lineRule="auto"/>
        <w:ind w:left="423"/>
        <w:rPr>
          <w:rtl/>
        </w:rPr>
      </w:pPr>
      <w:r>
        <w:rPr>
          <w:rFonts w:hint="eastAsia"/>
          <w:b/>
          <w:bCs/>
          <w:rtl/>
        </w:rPr>
        <w:t>נמצא כי</w:t>
      </w:r>
      <w:r w:rsidRPr="00FB5BE9">
        <w:rPr>
          <w:b/>
          <w:bCs/>
          <w:rtl/>
        </w:rPr>
        <w:t xml:space="preserve"> </w:t>
      </w:r>
      <w:r w:rsidRPr="00FB5BE9">
        <w:rPr>
          <w:rFonts w:hint="eastAsia"/>
          <w:b/>
          <w:bCs/>
          <w:rtl/>
        </w:rPr>
        <w:t>המשטרה</w:t>
      </w:r>
      <w:r w:rsidRPr="00FB5BE9">
        <w:rPr>
          <w:b/>
          <w:bCs/>
          <w:rtl/>
        </w:rPr>
        <w:t xml:space="preserve"> </w:t>
      </w:r>
      <w:r w:rsidRPr="00FB5BE9">
        <w:rPr>
          <w:rFonts w:hint="eastAsia"/>
          <w:b/>
          <w:bCs/>
          <w:rtl/>
        </w:rPr>
        <w:t>השתמשה</w:t>
      </w:r>
      <w:r w:rsidRPr="00FB5BE9">
        <w:rPr>
          <w:b/>
          <w:bCs/>
          <w:rtl/>
        </w:rPr>
        <w:t xml:space="preserve"> </w:t>
      </w:r>
      <w:r w:rsidRPr="00FB5BE9">
        <w:rPr>
          <w:rFonts w:hint="eastAsia"/>
          <w:b/>
          <w:bCs/>
          <w:rtl/>
        </w:rPr>
        <w:t>בכלי</w:t>
      </w:r>
      <w:r w:rsidRPr="00FB5BE9">
        <w:rPr>
          <w:b/>
          <w:bCs/>
          <w:rtl/>
        </w:rPr>
        <w:t xml:space="preserve"> </w:t>
      </w:r>
      <w:r w:rsidRPr="00FB5BE9">
        <w:rPr>
          <w:rFonts w:hint="eastAsia"/>
          <w:b/>
          <w:bCs/>
          <w:rtl/>
        </w:rPr>
        <w:t>טכנולוגי</w:t>
      </w:r>
      <w:r w:rsidRPr="00FB5BE9">
        <w:rPr>
          <w:b/>
          <w:bCs/>
          <w:rtl/>
        </w:rPr>
        <w:t xml:space="preserve"> </w:t>
      </w:r>
      <w:r w:rsidRPr="00FB5BE9">
        <w:rPr>
          <w:rFonts w:hint="eastAsia"/>
          <w:b/>
          <w:bCs/>
          <w:rtl/>
        </w:rPr>
        <w:t>מסוים</w:t>
      </w:r>
      <w:r w:rsidRPr="00FB5BE9">
        <w:rPr>
          <w:b/>
          <w:bCs/>
          <w:rtl/>
        </w:rPr>
        <w:t xml:space="preserve"> המיועד לאיסוף תוצרי האזנת סתר ככלי </w:t>
      </w:r>
      <w:r w:rsidRPr="00FB5BE9">
        <w:rPr>
          <w:rFonts w:hint="eastAsia"/>
          <w:b/>
          <w:bCs/>
          <w:rtl/>
        </w:rPr>
        <w:t>תומך</w:t>
      </w:r>
      <w:r w:rsidRPr="00FB5BE9">
        <w:rPr>
          <w:b/>
          <w:bCs/>
          <w:rtl/>
        </w:rPr>
        <w:t xml:space="preserve"> </w:t>
      </w:r>
      <w:r w:rsidRPr="00FB5BE9">
        <w:rPr>
          <w:rFonts w:hint="eastAsia"/>
          <w:b/>
          <w:bCs/>
          <w:rtl/>
        </w:rPr>
        <w:t>בהפקת</w:t>
      </w:r>
      <w:r w:rsidRPr="00FB5BE9">
        <w:rPr>
          <w:b/>
          <w:bCs/>
          <w:rtl/>
        </w:rPr>
        <w:t xml:space="preserve"> </w:t>
      </w:r>
      <w:r w:rsidRPr="00FB5BE9">
        <w:rPr>
          <w:rFonts w:hint="eastAsia"/>
          <w:b/>
          <w:bCs/>
          <w:rtl/>
        </w:rPr>
        <w:t>תוצרים</w:t>
      </w:r>
      <w:r>
        <w:rPr>
          <w:rFonts w:hint="cs"/>
          <w:b/>
          <w:bCs/>
          <w:rtl/>
        </w:rPr>
        <w:t>.</w:t>
      </w:r>
      <w:r w:rsidRPr="00FB5BE9">
        <w:rPr>
          <w:b/>
          <w:bCs/>
          <w:rtl/>
        </w:rPr>
        <w:t xml:space="preserve"> </w:t>
      </w:r>
      <w:r w:rsidRPr="00FB5BE9">
        <w:rPr>
          <w:rFonts w:hint="eastAsia"/>
          <w:b/>
          <w:bCs/>
          <w:rtl/>
        </w:rPr>
        <w:t>הכלי</w:t>
      </w:r>
      <w:r w:rsidRPr="00FB5BE9">
        <w:rPr>
          <w:b/>
          <w:bCs/>
          <w:rtl/>
        </w:rPr>
        <w:t xml:space="preserve"> </w:t>
      </w:r>
      <w:r w:rsidRPr="00FB5BE9">
        <w:rPr>
          <w:rFonts w:hint="eastAsia"/>
          <w:b/>
          <w:bCs/>
          <w:rtl/>
        </w:rPr>
        <w:t>אפשר</w:t>
      </w:r>
      <w:r w:rsidRPr="00FB5BE9">
        <w:rPr>
          <w:b/>
          <w:bCs/>
          <w:rtl/>
        </w:rPr>
        <w:t xml:space="preserve">, </w:t>
      </w:r>
      <w:r w:rsidRPr="00FB5BE9">
        <w:rPr>
          <w:rFonts w:hint="eastAsia"/>
          <w:b/>
          <w:bCs/>
          <w:rtl/>
        </w:rPr>
        <w:t>אגב</w:t>
      </w:r>
      <w:r w:rsidRPr="00FB5BE9">
        <w:rPr>
          <w:b/>
          <w:bCs/>
          <w:rtl/>
        </w:rPr>
        <w:t xml:space="preserve"> </w:t>
      </w:r>
      <w:r w:rsidRPr="00FB5BE9">
        <w:rPr>
          <w:rFonts w:hint="eastAsia"/>
          <w:b/>
          <w:bCs/>
          <w:rtl/>
        </w:rPr>
        <w:t>אורחא</w:t>
      </w:r>
      <w:r>
        <w:rPr>
          <w:rFonts w:hint="cs"/>
          <w:b/>
          <w:bCs/>
          <w:rtl/>
        </w:rPr>
        <w:t xml:space="preserve"> ולנוכח אי-ניוונו הטכנולוגי על ידי המשטרה,</w:t>
      </w:r>
      <w:r w:rsidRPr="00FB5BE9">
        <w:rPr>
          <w:b/>
          <w:bCs/>
          <w:rtl/>
        </w:rPr>
        <w:t xml:space="preserve"> </w:t>
      </w:r>
      <w:r w:rsidRPr="00FB5BE9">
        <w:rPr>
          <w:rFonts w:hint="eastAsia"/>
          <w:b/>
          <w:bCs/>
          <w:rtl/>
        </w:rPr>
        <w:t>הפקת</w:t>
      </w:r>
      <w:r w:rsidRPr="00FB5BE9">
        <w:rPr>
          <w:b/>
          <w:bCs/>
          <w:rtl/>
        </w:rPr>
        <w:t xml:space="preserve"> </w:t>
      </w:r>
      <w:r w:rsidRPr="00FB5BE9">
        <w:rPr>
          <w:rFonts w:hint="eastAsia"/>
          <w:b/>
          <w:bCs/>
          <w:rtl/>
        </w:rPr>
        <w:t>תוצרים</w:t>
      </w:r>
      <w:r w:rsidRPr="00FB5BE9">
        <w:rPr>
          <w:b/>
          <w:bCs/>
          <w:rtl/>
        </w:rPr>
        <w:t xml:space="preserve"> האסורים להפקה </w:t>
      </w:r>
      <w:r w:rsidRPr="00FB5BE9">
        <w:rPr>
          <w:rFonts w:hint="eastAsia"/>
          <w:b/>
          <w:bCs/>
          <w:rtl/>
        </w:rPr>
        <w:t>ושימוש</w:t>
      </w:r>
      <w:r w:rsidRPr="00FB5BE9">
        <w:rPr>
          <w:b/>
          <w:bCs/>
          <w:rtl/>
        </w:rPr>
        <w:t xml:space="preserve"> </w:t>
      </w:r>
      <w:r w:rsidRPr="00FB5BE9">
        <w:rPr>
          <w:rFonts w:hint="eastAsia"/>
          <w:b/>
          <w:bCs/>
          <w:rtl/>
        </w:rPr>
        <w:t>בהם</w:t>
      </w:r>
      <w:r>
        <w:rPr>
          <w:rFonts w:hint="cs"/>
          <w:rtl/>
        </w:rPr>
        <w:t xml:space="preserve">. </w:t>
      </w:r>
    </w:p>
    <w:p w:rsidR="00C4338B" w:rsidRDefault="00C4338B" w:rsidP="00200F5D">
      <w:pPr>
        <w:spacing w:line="269" w:lineRule="auto"/>
        <w:ind w:left="423"/>
        <w:rPr>
          <w:rtl/>
        </w:rPr>
      </w:pPr>
    </w:p>
    <w:p w:rsidR="009A1216" w:rsidRDefault="009A1216" w:rsidP="00200F5D">
      <w:pPr>
        <w:spacing w:line="269" w:lineRule="auto"/>
        <w:ind w:left="423"/>
        <w:rPr>
          <w:rtl/>
        </w:rPr>
      </w:pPr>
      <w:r>
        <w:rPr>
          <w:rFonts w:hint="cs"/>
          <w:rtl/>
        </w:rPr>
        <w:t xml:space="preserve">להלן </w:t>
      </w:r>
      <w:r w:rsidR="00EC6D8C">
        <w:rPr>
          <w:rFonts w:hint="cs"/>
          <w:rtl/>
        </w:rPr>
        <w:t>ה</w:t>
      </w:r>
      <w:r>
        <w:rPr>
          <w:rFonts w:hint="cs"/>
          <w:rtl/>
        </w:rPr>
        <w:t>פירוט:</w:t>
      </w:r>
    </w:p>
    <w:p w:rsidR="009A1216" w:rsidRPr="00F36D49" w:rsidRDefault="008A67C6" w:rsidP="00604C3D">
      <w:pPr>
        <w:spacing w:line="269" w:lineRule="auto"/>
        <w:ind w:left="312"/>
        <w:jc w:val="center"/>
        <w:rPr>
          <w:b/>
          <w:bCs/>
          <w:rtl/>
        </w:rPr>
      </w:pPr>
      <w:bookmarkStart w:id="573" w:name="_Hlk184113922"/>
      <w:r>
        <w:rPr>
          <w:rFonts w:hint="cs"/>
          <w:rtl/>
        </w:rPr>
        <w:t>לוח</w:t>
      </w:r>
      <w:r w:rsidR="00EC6D8C">
        <w:rPr>
          <w:rFonts w:hint="cs"/>
          <w:rtl/>
        </w:rPr>
        <w:t xml:space="preserve"> 15</w:t>
      </w:r>
      <w:r w:rsidR="009A1216">
        <w:rPr>
          <w:rFonts w:hint="cs"/>
          <w:rtl/>
        </w:rPr>
        <w:t xml:space="preserve">: </w:t>
      </w:r>
      <w:r w:rsidR="0023199F">
        <w:rPr>
          <w:rFonts w:hint="cs"/>
          <w:b/>
          <w:bCs/>
          <w:rtl/>
        </w:rPr>
        <w:t xml:space="preserve">הפקת תוצרים </w:t>
      </w:r>
      <w:r w:rsidR="009A1216">
        <w:rPr>
          <w:rFonts w:hint="cs"/>
          <w:b/>
          <w:bCs/>
          <w:rtl/>
        </w:rPr>
        <w:t xml:space="preserve">ושימוש </w:t>
      </w:r>
      <w:r w:rsidR="0035673C">
        <w:rPr>
          <w:rFonts w:hint="cs"/>
          <w:b/>
          <w:bCs/>
          <w:rtl/>
        </w:rPr>
        <w:t xml:space="preserve">אסור </w:t>
      </w:r>
      <w:r w:rsidR="0023199F">
        <w:rPr>
          <w:rFonts w:hint="cs"/>
          <w:b/>
          <w:bCs/>
          <w:rtl/>
        </w:rPr>
        <w:t xml:space="preserve">בהם </w:t>
      </w:r>
    </w:p>
    <w:tbl>
      <w:tblPr>
        <w:tblStyle w:val="aff6"/>
        <w:bidiVisual/>
        <w:tblW w:w="7721" w:type="dxa"/>
        <w:jc w:val="center"/>
        <w:tblLook w:val="04A0" w:firstRow="1" w:lastRow="0" w:firstColumn="1" w:lastColumn="0" w:noHBand="0" w:noVBand="1"/>
      </w:tblPr>
      <w:tblGrid>
        <w:gridCol w:w="2934"/>
        <w:gridCol w:w="2719"/>
        <w:gridCol w:w="2068"/>
      </w:tblGrid>
      <w:tr w:rsidR="001A5166" w:rsidRPr="00EC6D8C" w:rsidTr="00837D04">
        <w:trPr>
          <w:jc w:val="center"/>
        </w:trPr>
        <w:tc>
          <w:tcPr>
            <w:tcW w:w="2934" w:type="dxa"/>
            <w:tcBorders>
              <w:top w:val="single" w:sz="24" w:space="0" w:color="auto"/>
              <w:left w:val="single" w:sz="24" w:space="0" w:color="auto"/>
              <w:bottom w:val="single" w:sz="24" w:space="0" w:color="auto"/>
              <w:right w:val="single" w:sz="24" w:space="0" w:color="auto"/>
            </w:tcBorders>
          </w:tcPr>
          <w:p w:rsidR="001A5166" w:rsidRPr="00EC6D8C" w:rsidRDefault="001A5166" w:rsidP="00604C3D">
            <w:pPr>
              <w:spacing w:line="269" w:lineRule="auto"/>
              <w:jc w:val="center"/>
              <w:rPr>
                <w:rFonts w:eastAsia="Calibri"/>
                <w:b/>
                <w:bCs/>
                <w:sz w:val="22"/>
                <w:szCs w:val="22"/>
                <w:rtl/>
              </w:rPr>
            </w:pPr>
            <w:bookmarkStart w:id="574" w:name="_Hlk188253765"/>
            <w:r w:rsidRPr="00EC6D8C">
              <w:rPr>
                <w:rFonts w:eastAsia="Calibri" w:hint="cs"/>
                <w:b/>
                <w:bCs/>
                <w:sz w:val="22"/>
                <w:szCs w:val="22"/>
                <w:rtl/>
              </w:rPr>
              <w:t>סוג הפעולה</w:t>
            </w:r>
          </w:p>
        </w:tc>
        <w:tc>
          <w:tcPr>
            <w:tcW w:w="2719" w:type="dxa"/>
            <w:tcBorders>
              <w:top w:val="single" w:sz="24" w:space="0" w:color="auto"/>
              <w:left w:val="single" w:sz="24" w:space="0" w:color="auto"/>
              <w:bottom w:val="single" w:sz="24" w:space="0" w:color="auto"/>
              <w:right w:val="single" w:sz="24" w:space="0" w:color="auto"/>
            </w:tcBorders>
          </w:tcPr>
          <w:p w:rsidR="001A5166" w:rsidRPr="00EC6D8C" w:rsidRDefault="001A5166" w:rsidP="00604C3D">
            <w:pPr>
              <w:spacing w:line="269" w:lineRule="auto"/>
              <w:jc w:val="center"/>
              <w:rPr>
                <w:rFonts w:eastAsia="Calibri"/>
                <w:b/>
                <w:bCs/>
                <w:sz w:val="22"/>
                <w:szCs w:val="22"/>
                <w:rtl/>
              </w:rPr>
            </w:pPr>
            <w:r w:rsidRPr="00EC6D8C">
              <w:rPr>
                <w:rFonts w:eastAsia="Calibri" w:hint="cs"/>
                <w:b/>
                <w:bCs/>
                <w:sz w:val="22"/>
                <w:szCs w:val="22"/>
                <w:rtl/>
              </w:rPr>
              <w:t>המצב המשפטי</w:t>
            </w:r>
          </w:p>
        </w:tc>
        <w:tc>
          <w:tcPr>
            <w:tcW w:w="2068" w:type="dxa"/>
            <w:tcBorders>
              <w:top w:val="single" w:sz="24" w:space="0" w:color="auto"/>
              <w:left w:val="single" w:sz="24" w:space="0" w:color="auto"/>
              <w:bottom w:val="single" w:sz="24" w:space="0" w:color="auto"/>
              <w:right w:val="single" w:sz="24" w:space="0" w:color="auto"/>
            </w:tcBorders>
          </w:tcPr>
          <w:p w:rsidR="001A5166" w:rsidRPr="00EC6D8C" w:rsidRDefault="001A5166" w:rsidP="00604C3D">
            <w:pPr>
              <w:spacing w:line="269" w:lineRule="auto"/>
              <w:jc w:val="center"/>
              <w:rPr>
                <w:rFonts w:eastAsia="Calibri"/>
                <w:b/>
                <w:bCs/>
                <w:sz w:val="22"/>
                <w:szCs w:val="22"/>
                <w:rtl/>
              </w:rPr>
            </w:pPr>
            <w:r w:rsidRPr="00EC6D8C">
              <w:rPr>
                <w:rFonts w:eastAsia="Calibri" w:hint="cs"/>
                <w:b/>
                <w:bCs/>
                <w:sz w:val="22"/>
                <w:szCs w:val="22"/>
                <w:rtl/>
              </w:rPr>
              <w:t>מספר מקרים בהם בוצעה הפעולה</w:t>
            </w:r>
          </w:p>
        </w:tc>
      </w:tr>
      <w:tr w:rsidR="001A5166" w:rsidRPr="00EC6D8C" w:rsidTr="00837D04">
        <w:trPr>
          <w:jc w:val="center"/>
        </w:trPr>
        <w:tc>
          <w:tcPr>
            <w:tcW w:w="2934" w:type="dxa"/>
            <w:tcBorders>
              <w:top w:val="single" w:sz="24" w:space="0" w:color="auto"/>
              <w:left w:val="single" w:sz="24" w:space="0" w:color="auto"/>
              <w:bottom w:val="dotted" w:sz="4" w:space="0" w:color="auto"/>
              <w:right w:val="single" w:sz="24" w:space="0" w:color="auto"/>
            </w:tcBorders>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ייצוא תוצרים שהפקתם אסורה מתוך כלי טכנולוגי</w:t>
            </w:r>
          </w:p>
        </w:tc>
        <w:tc>
          <w:tcPr>
            <w:tcW w:w="2719" w:type="dxa"/>
            <w:tcBorders>
              <w:top w:val="single" w:sz="24" w:space="0" w:color="auto"/>
              <w:left w:val="single" w:sz="24" w:space="0" w:color="auto"/>
              <w:bottom w:val="dotted" w:sz="4" w:space="0" w:color="auto"/>
              <w:right w:val="single" w:sz="24" w:space="0" w:color="auto"/>
            </w:tcBorders>
            <w:shd w:val="clear" w:color="auto" w:fill="FDD99B"/>
          </w:tcPr>
          <w:p w:rsidR="001A5166" w:rsidRPr="00EC6D8C" w:rsidRDefault="001A5166" w:rsidP="00604C3D">
            <w:pPr>
              <w:spacing w:line="269" w:lineRule="auto"/>
              <w:jc w:val="center"/>
              <w:rPr>
                <w:rFonts w:eastAsia="Calibri"/>
                <w:b/>
                <w:bCs/>
                <w:sz w:val="22"/>
                <w:szCs w:val="22"/>
                <w:rtl/>
              </w:rPr>
            </w:pPr>
            <w:r w:rsidRPr="00EC6D8C">
              <w:rPr>
                <w:rFonts w:eastAsia="Calibri" w:hint="cs"/>
                <w:b/>
                <w:bCs/>
                <w:sz w:val="22"/>
                <w:szCs w:val="22"/>
                <w:rtl/>
              </w:rPr>
              <w:t>מעיד על כוונה להפיק תוצר אסור</w:t>
            </w:r>
          </w:p>
        </w:tc>
        <w:tc>
          <w:tcPr>
            <w:tcW w:w="2068" w:type="dxa"/>
            <w:tcBorders>
              <w:top w:val="single" w:sz="24" w:space="0" w:color="auto"/>
              <w:left w:val="single" w:sz="24" w:space="0" w:color="auto"/>
              <w:bottom w:val="dotted" w:sz="4" w:space="0" w:color="auto"/>
              <w:right w:val="single" w:sz="24" w:space="0" w:color="auto"/>
            </w:tcBorders>
            <w:vAlign w:val="center"/>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7</w:t>
            </w:r>
          </w:p>
        </w:tc>
      </w:tr>
      <w:tr w:rsidR="001A5166" w:rsidRPr="00EC6D8C" w:rsidTr="00837D04">
        <w:trPr>
          <w:jc w:val="center"/>
        </w:trPr>
        <w:tc>
          <w:tcPr>
            <w:tcW w:w="2934" w:type="dxa"/>
            <w:tcBorders>
              <w:top w:val="dotted" w:sz="4" w:space="0" w:color="auto"/>
              <w:left w:val="single" w:sz="24" w:space="0" w:color="auto"/>
              <w:bottom w:val="dotted" w:sz="4" w:space="0" w:color="auto"/>
              <w:right w:val="single" w:sz="24" w:space="0" w:color="auto"/>
            </w:tcBorders>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עיון בתוצרים שהפקתם אסורה</w:t>
            </w:r>
          </w:p>
        </w:tc>
        <w:tc>
          <w:tcPr>
            <w:tcW w:w="2719" w:type="dxa"/>
            <w:tcBorders>
              <w:top w:val="dotted" w:sz="4" w:space="0" w:color="auto"/>
              <w:left w:val="single" w:sz="24" w:space="0" w:color="auto"/>
              <w:bottom w:val="dotted" w:sz="4" w:space="0" w:color="auto"/>
              <w:right w:val="single" w:sz="24" w:space="0" w:color="auto"/>
            </w:tcBorders>
            <w:shd w:val="clear" w:color="auto" w:fill="FDD99B"/>
          </w:tcPr>
          <w:p w:rsidR="001A5166" w:rsidRPr="00EC6D8C" w:rsidRDefault="001A5166" w:rsidP="00604C3D">
            <w:pPr>
              <w:spacing w:line="269" w:lineRule="auto"/>
              <w:jc w:val="center"/>
              <w:rPr>
                <w:rFonts w:eastAsia="Calibri"/>
                <w:b/>
                <w:bCs/>
                <w:sz w:val="22"/>
                <w:szCs w:val="22"/>
                <w:rtl/>
              </w:rPr>
            </w:pPr>
            <w:r w:rsidRPr="00EC6D8C">
              <w:rPr>
                <w:rFonts w:eastAsia="Calibri" w:hint="cs"/>
                <w:b/>
                <w:bCs/>
                <w:sz w:val="22"/>
                <w:szCs w:val="22"/>
                <w:rtl/>
              </w:rPr>
              <w:t>מעיד על כוונה להפיק תוצר אסור</w:t>
            </w:r>
          </w:p>
        </w:tc>
        <w:tc>
          <w:tcPr>
            <w:tcW w:w="2068" w:type="dxa"/>
            <w:tcBorders>
              <w:top w:val="dotted" w:sz="4" w:space="0" w:color="auto"/>
              <w:left w:val="single" w:sz="24" w:space="0" w:color="auto"/>
              <w:bottom w:val="dotted" w:sz="4" w:space="0" w:color="auto"/>
              <w:right w:val="single" w:sz="24" w:space="0" w:color="auto"/>
            </w:tcBorders>
            <w:vAlign w:val="center"/>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9</w:t>
            </w:r>
            <w:r w:rsidRPr="00EC6D8C">
              <w:rPr>
                <w:rFonts w:eastAsia="Calibri"/>
                <w:sz w:val="22"/>
                <w:szCs w:val="22"/>
                <w:vertAlign w:val="superscript"/>
                <w:rtl/>
              </w:rPr>
              <w:footnoteReference w:id="237"/>
            </w:r>
          </w:p>
        </w:tc>
      </w:tr>
      <w:tr w:rsidR="001A5166" w:rsidRPr="00EC6D8C" w:rsidTr="00837D04">
        <w:trPr>
          <w:jc w:val="center"/>
        </w:trPr>
        <w:tc>
          <w:tcPr>
            <w:tcW w:w="2934" w:type="dxa"/>
            <w:tcBorders>
              <w:top w:val="dotted" w:sz="4" w:space="0" w:color="auto"/>
              <w:left w:val="single" w:sz="24" w:space="0" w:color="auto"/>
              <w:bottom w:val="dotted" w:sz="4" w:space="0" w:color="auto"/>
              <w:right w:val="single" w:sz="24" w:space="0" w:color="auto"/>
            </w:tcBorders>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הפקה של תוצרים שהפקתם אסורה</w:t>
            </w:r>
          </w:p>
        </w:tc>
        <w:tc>
          <w:tcPr>
            <w:tcW w:w="2719" w:type="dxa"/>
            <w:tcBorders>
              <w:top w:val="dotted" w:sz="4" w:space="0" w:color="auto"/>
              <w:left w:val="single" w:sz="24" w:space="0" w:color="auto"/>
              <w:bottom w:val="dotted" w:sz="4" w:space="0" w:color="auto"/>
              <w:right w:val="single" w:sz="24" w:space="0" w:color="auto"/>
            </w:tcBorders>
            <w:shd w:val="clear" w:color="auto" w:fill="FCDEDE"/>
          </w:tcPr>
          <w:p w:rsidR="001A5166" w:rsidRPr="00EC6D8C" w:rsidRDefault="001A5166" w:rsidP="00604C3D">
            <w:pPr>
              <w:spacing w:line="269" w:lineRule="auto"/>
              <w:jc w:val="center"/>
              <w:rPr>
                <w:rFonts w:eastAsia="Calibri"/>
                <w:b/>
                <w:bCs/>
                <w:sz w:val="22"/>
                <w:szCs w:val="22"/>
                <w:rtl/>
              </w:rPr>
            </w:pPr>
            <w:r w:rsidRPr="00EC6D8C">
              <w:rPr>
                <w:rFonts w:eastAsia="Calibri" w:hint="cs"/>
                <w:b/>
                <w:bCs/>
                <w:sz w:val="22"/>
                <w:szCs w:val="22"/>
                <w:rtl/>
              </w:rPr>
              <w:t>הפקה אסורה</w:t>
            </w:r>
          </w:p>
        </w:tc>
        <w:tc>
          <w:tcPr>
            <w:tcW w:w="2068" w:type="dxa"/>
            <w:tcBorders>
              <w:top w:val="dotted" w:sz="4" w:space="0" w:color="auto"/>
              <w:left w:val="single" w:sz="24" w:space="0" w:color="auto"/>
              <w:bottom w:val="dotted" w:sz="4" w:space="0" w:color="auto"/>
              <w:right w:val="single" w:sz="24" w:space="0" w:color="auto"/>
            </w:tcBorders>
            <w:vAlign w:val="center"/>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8</w:t>
            </w:r>
          </w:p>
        </w:tc>
      </w:tr>
      <w:tr w:rsidR="001A5166" w:rsidRPr="00EC6D8C" w:rsidTr="00837D04">
        <w:trPr>
          <w:jc w:val="center"/>
        </w:trPr>
        <w:tc>
          <w:tcPr>
            <w:tcW w:w="2934" w:type="dxa"/>
            <w:tcBorders>
              <w:top w:val="dotted" w:sz="4" w:space="0" w:color="auto"/>
              <w:left w:val="single" w:sz="24" w:space="0" w:color="auto"/>
              <w:bottom w:val="dotted" w:sz="4" w:space="0" w:color="auto"/>
              <w:right w:val="single" w:sz="24" w:space="0" w:color="auto"/>
            </w:tcBorders>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שימוש בתוצרים שהפקתם אסורה</w:t>
            </w:r>
            <w:r w:rsidRPr="00EC6D8C">
              <w:rPr>
                <w:rFonts w:eastAsia="Calibri"/>
                <w:sz w:val="22"/>
                <w:szCs w:val="22"/>
                <w:vertAlign w:val="superscript"/>
                <w:rtl/>
              </w:rPr>
              <w:footnoteReference w:id="238"/>
            </w:r>
          </w:p>
        </w:tc>
        <w:tc>
          <w:tcPr>
            <w:tcW w:w="2719" w:type="dxa"/>
            <w:tcBorders>
              <w:top w:val="dotted" w:sz="4" w:space="0" w:color="auto"/>
              <w:left w:val="single" w:sz="24" w:space="0" w:color="auto"/>
              <w:bottom w:val="dotted" w:sz="4" w:space="0" w:color="auto"/>
              <w:right w:val="single" w:sz="24" w:space="0" w:color="auto"/>
            </w:tcBorders>
            <w:shd w:val="clear" w:color="auto" w:fill="F69C9D"/>
          </w:tcPr>
          <w:p w:rsidR="001A5166" w:rsidRPr="00EC6D8C" w:rsidRDefault="001A5166" w:rsidP="00604C3D">
            <w:pPr>
              <w:spacing w:line="269" w:lineRule="auto"/>
              <w:jc w:val="center"/>
              <w:rPr>
                <w:rFonts w:eastAsia="Calibri"/>
                <w:b/>
                <w:bCs/>
                <w:sz w:val="22"/>
                <w:szCs w:val="22"/>
                <w:rtl/>
              </w:rPr>
            </w:pPr>
            <w:r w:rsidRPr="00EC6D8C">
              <w:rPr>
                <w:rFonts w:eastAsia="Calibri" w:hint="cs"/>
                <w:b/>
                <w:bCs/>
                <w:sz w:val="22"/>
                <w:szCs w:val="22"/>
                <w:rtl/>
              </w:rPr>
              <w:t>שימוש אסור</w:t>
            </w:r>
          </w:p>
        </w:tc>
        <w:tc>
          <w:tcPr>
            <w:tcW w:w="2068" w:type="dxa"/>
            <w:tcBorders>
              <w:top w:val="dotted" w:sz="4" w:space="0" w:color="auto"/>
              <w:left w:val="single" w:sz="24" w:space="0" w:color="auto"/>
              <w:bottom w:val="dotted" w:sz="4" w:space="0" w:color="auto"/>
              <w:right w:val="single" w:sz="24" w:space="0" w:color="auto"/>
            </w:tcBorders>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10</w:t>
            </w:r>
          </w:p>
        </w:tc>
      </w:tr>
      <w:tr w:rsidR="001A5166" w:rsidRPr="00EC6D8C" w:rsidTr="00837D04">
        <w:trPr>
          <w:jc w:val="center"/>
        </w:trPr>
        <w:tc>
          <w:tcPr>
            <w:tcW w:w="2934" w:type="dxa"/>
            <w:tcBorders>
              <w:top w:val="dotted" w:sz="4" w:space="0" w:color="auto"/>
              <w:left w:val="single" w:sz="24" w:space="0" w:color="auto"/>
              <w:bottom w:val="single" w:sz="24" w:space="0" w:color="auto"/>
              <w:right w:val="single" w:sz="24" w:space="0" w:color="auto"/>
            </w:tcBorders>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שימוש בתוצרים שהפקתם אסורה לצורכי התקנה של כלים טכנולוגיים</w:t>
            </w:r>
          </w:p>
        </w:tc>
        <w:tc>
          <w:tcPr>
            <w:tcW w:w="2719" w:type="dxa"/>
            <w:tcBorders>
              <w:top w:val="dotted" w:sz="4" w:space="0" w:color="auto"/>
              <w:left w:val="single" w:sz="24" w:space="0" w:color="auto"/>
              <w:bottom w:val="single" w:sz="24" w:space="0" w:color="auto"/>
              <w:right w:val="single" w:sz="24" w:space="0" w:color="auto"/>
            </w:tcBorders>
            <w:shd w:val="clear" w:color="auto" w:fill="F69C9D"/>
          </w:tcPr>
          <w:p w:rsidR="001A5166" w:rsidRPr="00EC6D8C" w:rsidRDefault="001A5166" w:rsidP="00604C3D">
            <w:pPr>
              <w:spacing w:line="269" w:lineRule="auto"/>
              <w:jc w:val="center"/>
              <w:rPr>
                <w:rFonts w:eastAsia="Calibri"/>
                <w:b/>
                <w:bCs/>
                <w:sz w:val="22"/>
                <w:szCs w:val="22"/>
                <w:rtl/>
              </w:rPr>
            </w:pPr>
            <w:r w:rsidRPr="00EC6D8C">
              <w:rPr>
                <w:rFonts w:eastAsia="Calibri" w:hint="cs"/>
                <w:b/>
                <w:bCs/>
                <w:sz w:val="22"/>
                <w:szCs w:val="22"/>
                <w:rtl/>
              </w:rPr>
              <w:t>שימוש אסור</w:t>
            </w:r>
          </w:p>
        </w:tc>
        <w:tc>
          <w:tcPr>
            <w:tcW w:w="2068" w:type="dxa"/>
            <w:tcBorders>
              <w:top w:val="dotted" w:sz="4" w:space="0" w:color="auto"/>
              <w:left w:val="single" w:sz="24" w:space="0" w:color="auto"/>
              <w:bottom w:val="single" w:sz="24" w:space="0" w:color="auto"/>
              <w:right w:val="single" w:sz="24" w:space="0" w:color="auto"/>
            </w:tcBorders>
          </w:tcPr>
          <w:p w:rsidR="001A5166" w:rsidRPr="00EC6D8C" w:rsidRDefault="001A5166" w:rsidP="00604C3D">
            <w:pPr>
              <w:spacing w:line="269" w:lineRule="auto"/>
              <w:jc w:val="center"/>
              <w:rPr>
                <w:rFonts w:eastAsia="Calibri"/>
                <w:sz w:val="22"/>
                <w:szCs w:val="22"/>
                <w:rtl/>
              </w:rPr>
            </w:pPr>
            <w:r w:rsidRPr="00EC6D8C">
              <w:rPr>
                <w:rFonts w:eastAsia="Calibri" w:hint="cs"/>
                <w:sz w:val="22"/>
                <w:szCs w:val="22"/>
                <w:rtl/>
              </w:rPr>
              <w:t>3</w:t>
            </w:r>
            <w:r w:rsidRPr="00EC6D8C">
              <w:rPr>
                <w:rFonts w:eastAsia="Calibri"/>
                <w:sz w:val="22"/>
                <w:szCs w:val="22"/>
                <w:vertAlign w:val="superscript"/>
                <w:rtl/>
              </w:rPr>
              <w:footnoteReference w:id="239"/>
            </w:r>
          </w:p>
        </w:tc>
      </w:tr>
    </w:tbl>
    <w:bookmarkEnd w:id="574"/>
    <w:p w:rsidR="009A1216" w:rsidRPr="0053255F" w:rsidRDefault="009A1216" w:rsidP="00C4338B">
      <w:pPr>
        <w:spacing w:line="269" w:lineRule="auto"/>
        <w:jc w:val="left"/>
        <w:rPr>
          <w:szCs w:val="20"/>
          <w:rtl/>
        </w:rPr>
      </w:pPr>
      <w:r w:rsidRPr="00EC6334">
        <w:rPr>
          <w:rFonts w:hint="cs"/>
          <w:szCs w:val="20"/>
          <w:rtl/>
        </w:rPr>
        <w:t>על</w:t>
      </w:r>
      <w:r w:rsidRPr="00EC6334">
        <w:rPr>
          <w:szCs w:val="20"/>
          <w:rtl/>
        </w:rPr>
        <w:t xml:space="preserve"> </w:t>
      </w:r>
      <w:r w:rsidRPr="00EC6334">
        <w:rPr>
          <w:rFonts w:hint="cs"/>
          <w:szCs w:val="20"/>
          <w:rtl/>
        </w:rPr>
        <w:t>פי</w:t>
      </w:r>
      <w:r w:rsidRPr="00EC6334">
        <w:rPr>
          <w:szCs w:val="20"/>
          <w:rtl/>
        </w:rPr>
        <w:t xml:space="preserve"> </w:t>
      </w:r>
      <w:r w:rsidRPr="00EC6334">
        <w:rPr>
          <w:rFonts w:hint="cs"/>
          <w:szCs w:val="20"/>
          <w:rtl/>
        </w:rPr>
        <w:t>מידע</w:t>
      </w:r>
      <w:r w:rsidRPr="00EC6334">
        <w:rPr>
          <w:szCs w:val="20"/>
          <w:rtl/>
        </w:rPr>
        <w:t xml:space="preserve"> </w:t>
      </w:r>
      <w:r w:rsidRPr="00EC6334">
        <w:rPr>
          <w:rFonts w:hint="cs"/>
          <w:szCs w:val="20"/>
          <w:rtl/>
        </w:rPr>
        <w:t>שנאסף</w:t>
      </w:r>
      <w:r w:rsidRPr="00EC6334">
        <w:rPr>
          <w:szCs w:val="20"/>
          <w:rtl/>
        </w:rPr>
        <w:t xml:space="preserve"> </w:t>
      </w:r>
      <w:r w:rsidRPr="00EC6334">
        <w:rPr>
          <w:rFonts w:hint="cs"/>
          <w:szCs w:val="20"/>
          <w:rtl/>
        </w:rPr>
        <w:t>בביקורת</w:t>
      </w:r>
      <w:r w:rsidR="0023199F">
        <w:rPr>
          <w:rFonts w:hint="cs"/>
          <w:szCs w:val="20"/>
          <w:rtl/>
        </w:rPr>
        <w:t>,</w:t>
      </w:r>
      <w:r w:rsidRPr="00EC6334">
        <w:rPr>
          <w:szCs w:val="20"/>
          <w:rtl/>
        </w:rPr>
        <w:t xml:space="preserve"> </w:t>
      </w:r>
      <w:r w:rsidRPr="00EC6334">
        <w:rPr>
          <w:rFonts w:hint="cs"/>
          <w:szCs w:val="20"/>
          <w:rtl/>
        </w:rPr>
        <w:t>בעיבוד</w:t>
      </w:r>
      <w:r w:rsidRPr="00EC6334">
        <w:rPr>
          <w:szCs w:val="20"/>
          <w:rtl/>
        </w:rPr>
        <w:t xml:space="preserve"> </w:t>
      </w:r>
      <w:r w:rsidRPr="00EC6334">
        <w:rPr>
          <w:rFonts w:hint="cs"/>
          <w:szCs w:val="20"/>
          <w:rtl/>
        </w:rPr>
        <w:t>משרד</w:t>
      </w:r>
      <w:r w:rsidRPr="00EC6334">
        <w:rPr>
          <w:szCs w:val="20"/>
          <w:rtl/>
        </w:rPr>
        <w:t xml:space="preserve"> </w:t>
      </w:r>
      <w:r w:rsidRPr="00EC6334">
        <w:rPr>
          <w:rFonts w:hint="cs"/>
          <w:szCs w:val="20"/>
          <w:rtl/>
        </w:rPr>
        <w:t>מ</w:t>
      </w:r>
      <w:r>
        <w:rPr>
          <w:rFonts w:hint="cs"/>
          <w:szCs w:val="20"/>
          <w:rtl/>
        </w:rPr>
        <w:t>ב</w:t>
      </w:r>
      <w:r w:rsidRPr="00EC6334">
        <w:rPr>
          <w:rFonts w:hint="cs"/>
          <w:szCs w:val="20"/>
          <w:rtl/>
        </w:rPr>
        <w:t>קר</w:t>
      </w:r>
      <w:r w:rsidRPr="00EC6334">
        <w:rPr>
          <w:szCs w:val="20"/>
          <w:rtl/>
        </w:rPr>
        <w:t xml:space="preserve"> </w:t>
      </w:r>
      <w:r w:rsidRPr="00EC6334">
        <w:rPr>
          <w:rFonts w:hint="cs"/>
          <w:szCs w:val="20"/>
          <w:rtl/>
        </w:rPr>
        <w:t>המדינה</w:t>
      </w:r>
      <w:r w:rsidR="0023199F" w:rsidRPr="0053255F">
        <w:rPr>
          <w:szCs w:val="20"/>
          <w:rtl/>
        </w:rPr>
        <w:t>.</w:t>
      </w:r>
    </w:p>
    <w:bookmarkEnd w:id="573"/>
    <w:p w:rsidR="002D7F3F" w:rsidRPr="00C65B0A" w:rsidRDefault="002D7F3F" w:rsidP="00604C3D">
      <w:pPr>
        <w:spacing w:line="269" w:lineRule="auto"/>
      </w:pPr>
    </w:p>
    <w:p w:rsidR="009A1216" w:rsidRPr="00016E2D" w:rsidRDefault="009A1216" w:rsidP="00016E2D">
      <w:pPr>
        <w:pStyle w:val="5"/>
        <w:numPr>
          <w:ilvl w:val="0"/>
          <w:numId w:val="78"/>
        </w:numPr>
        <w:spacing w:line="269" w:lineRule="auto"/>
        <w:ind w:left="849"/>
        <w:rPr>
          <w:b/>
          <w:bCs w:val="0"/>
        </w:rPr>
      </w:pPr>
      <w:r w:rsidRPr="00016E2D">
        <w:rPr>
          <w:rStyle w:val="50"/>
          <w:rFonts w:hint="cs"/>
          <w:b/>
          <w:bCs/>
          <w:rtl/>
        </w:rPr>
        <w:t>ייצוא תוצרי האזנה שהפקתם אסורה מתוך כלי טכנולוגי</w:t>
      </w:r>
      <w:r w:rsidRPr="00016E2D">
        <w:rPr>
          <w:rFonts w:hint="cs"/>
          <w:b/>
          <w:bCs w:val="0"/>
          <w:rtl/>
        </w:rPr>
        <w:t xml:space="preserve"> </w:t>
      </w:r>
    </w:p>
    <w:p w:rsidR="002D7F3F" w:rsidRPr="00C65B0A" w:rsidRDefault="002D7F3F" w:rsidP="00604C3D">
      <w:pPr>
        <w:spacing w:line="269" w:lineRule="auto"/>
        <w:rPr>
          <w:rtl/>
        </w:rPr>
      </w:pPr>
    </w:p>
    <w:p w:rsidR="009A1216" w:rsidRDefault="009A1216" w:rsidP="00016E2D">
      <w:pPr>
        <w:pStyle w:val="af2"/>
        <w:spacing w:line="269" w:lineRule="auto"/>
        <w:ind w:left="849"/>
        <w:rPr>
          <w:b/>
          <w:bCs/>
          <w:rtl/>
        </w:rPr>
      </w:pPr>
      <w:r w:rsidRPr="007B2A13">
        <w:rPr>
          <w:rFonts w:hint="eastAsia"/>
          <w:b/>
          <w:bCs/>
          <w:rtl/>
        </w:rPr>
        <w:t>משרד</w:t>
      </w:r>
      <w:r w:rsidRPr="007B2A13">
        <w:rPr>
          <w:b/>
          <w:bCs/>
          <w:rtl/>
        </w:rPr>
        <w:t xml:space="preserve"> </w:t>
      </w:r>
      <w:r w:rsidRPr="007B2A13">
        <w:rPr>
          <w:rFonts w:hint="eastAsia"/>
          <w:b/>
          <w:bCs/>
          <w:rtl/>
        </w:rPr>
        <w:t>מבקר</w:t>
      </w:r>
      <w:r w:rsidRPr="007B2A13">
        <w:rPr>
          <w:b/>
          <w:bCs/>
          <w:rtl/>
        </w:rPr>
        <w:t xml:space="preserve"> </w:t>
      </w:r>
      <w:r w:rsidRPr="007B2A13">
        <w:rPr>
          <w:rFonts w:hint="eastAsia"/>
          <w:b/>
          <w:bCs/>
          <w:rtl/>
        </w:rPr>
        <w:t>המדינה</w:t>
      </w:r>
      <w:r w:rsidRPr="007B2A13">
        <w:rPr>
          <w:b/>
          <w:bCs/>
          <w:rtl/>
        </w:rPr>
        <w:t xml:space="preserve"> </w:t>
      </w:r>
      <w:r w:rsidRPr="007B2A13">
        <w:rPr>
          <w:rFonts w:hint="eastAsia"/>
          <w:b/>
          <w:bCs/>
          <w:rtl/>
        </w:rPr>
        <w:t>איתר</w:t>
      </w:r>
      <w:r w:rsidRPr="007B2A13">
        <w:rPr>
          <w:b/>
          <w:bCs/>
          <w:rtl/>
        </w:rPr>
        <w:t xml:space="preserve"> </w:t>
      </w:r>
      <w:r w:rsidRPr="007B2A13">
        <w:rPr>
          <w:rFonts w:hint="eastAsia"/>
          <w:b/>
          <w:bCs/>
          <w:rtl/>
        </w:rPr>
        <w:t>שבעה</w:t>
      </w:r>
      <w:r w:rsidRPr="007B2A13">
        <w:rPr>
          <w:b/>
          <w:bCs/>
          <w:rtl/>
        </w:rPr>
        <w:t xml:space="preserve"> </w:t>
      </w:r>
      <w:r w:rsidRPr="007B2A13">
        <w:rPr>
          <w:rFonts w:hint="eastAsia"/>
          <w:b/>
          <w:bCs/>
          <w:rtl/>
        </w:rPr>
        <w:t>מקרים</w:t>
      </w:r>
      <w:r w:rsidRPr="007B2A13">
        <w:rPr>
          <w:b/>
          <w:bCs/>
          <w:rtl/>
        </w:rPr>
        <w:t xml:space="preserve"> </w:t>
      </w:r>
      <w:r w:rsidRPr="007B2A13">
        <w:rPr>
          <w:rFonts w:hint="eastAsia"/>
          <w:b/>
          <w:bCs/>
          <w:rtl/>
        </w:rPr>
        <w:t>שבהם</w:t>
      </w:r>
      <w:r w:rsidRPr="007B2A13">
        <w:rPr>
          <w:b/>
          <w:bCs/>
          <w:rtl/>
        </w:rPr>
        <w:t xml:space="preserve"> </w:t>
      </w:r>
      <w:r w:rsidRPr="007B2A13">
        <w:rPr>
          <w:rFonts w:hint="eastAsia"/>
          <w:b/>
          <w:bCs/>
          <w:rtl/>
        </w:rPr>
        <w:t>בוצע</w:t>
      </w:r>
      <w:r w:rsidRPr="007B2A13">
        <w:rPr>
          <w:b/>
          <w:bCs/>
          <w:rtl/>
        </w:rPr>
        <w:t xml:space="preserve"> </w:t>
      </w:r>
      <w:r w:rsidRPr="007B2A13">
        <w:rPr>
          <w:rFonts w:hint="eastAsia"/>
          <w:b/>
          <w:bCs/>
          <w:rtl/>
        </w:rPr>
        <w:t>ייצוא</w:t>
      </w:r>
      <w:r w:rsidRPr="007B2A13">
        <w:rPr>
          <w:b/>
          <w:bCs/>
          <w:rtl/>
        </w:rPr>
        <w:t xml:space="preserve"> </w:t>
      </w:r>
      <w:r w:rsidRPr="007B2A13">
        <w:rPr>
          <w:rFonts w:hint="eastAsia"/>
          <w:b/>
          <w:bCs/>
          <w:rtl/>
        </w:rPr>
        <w:t>תוצרים</w:t>
      </w:r>
      <w:r w:rsidRPr="007B2A13">
        <w:rPr>
          <w:b/>
          <w:bCs/>
          <w:rtl/>
        </w:rPr>
        <w:t xml:space="preserve"> </w:t>
      </w:r>
      <w:r w:rsidRPr="007B2A13">
        <w:rPr>
          <w:rFonts w:hint="eastAsia"/>
          <w:b/>
          <w:bCs/>
          <w:rtl/>
        </w:rPr>
        <w:t>שהפקתם</w:t>
      </w:r>
      <w:r w:rsidRPr="007B2A13">
        <w:rPr>
          <w:b/>
          <w:bCs/>
          <w:rtl/>
        </w:rPr>
        <w:t xml:space="preserve"> </w:t>
      </w:r>
      <w:r w:rsidRPr="007B2A13">
        <w:rPr>
          <w:rFonts w:hint="eastAsia"/>
          <w:b/>
          <w:bCs/>
          <w:rtl/>
        </w:rPr>
        <w:t>אסורה</w:t>
      </w:r>
      <w:r w:rsidRPr="007B2A13">
        <w:rPr>
          <w:b/>
          <w:bCs/>
          <w:rtl/>
        </w:rPr>
        <w:t xml:space="preserve"> </w:t>
      </w:r>
      <w:r w:rsidRPr="007B2A13">
        <w:rPr>
          <w:rFonts w:hint="eastAsia"/>
          <w:b/>
          <w:bCs/>
          <w:rtl/>
        </w:rPr>
        <w:t>מהכלי</w:t>
      </w:r>
      <w:r w:rsidRPr="007B2A13">
        <w:rPr>
          <w:b/>
          <w:bCs/>
          <w:rtl/>
        </w:rPr>
        <w:t xml:space="preserve"> </w:t>
      </w:r>
      <w:r w:rsidRPr="007B2A13">
        <w:rPr>
          <w:rFonts w:hint="eastAsia"/>
          <w:b/>
          <w:bCs/>
          <w:rtl/>
        </w:rPr>
        <w:t>הטכנולוגי</w:t>
      </w:r>
      <w:r w:rsidRPr="007B2A13">
        <w:rPr>
          <w:b/>
          <w:bCs/>
          <w:rtl/>
        </w:rPr>
        <w:t xml:space="preserve"> </w:t>
      </w:r>
      <w:r w:rsidRPr="007B2A13">
        <w:rPr>
          <w:rFonts w:hint="eastAsia"/>
          <w:b/>
          <w:bCs/>
          <w:rtl/>
        </w:rPr>
        <w:t>לרשתות</w:t>
      </w:r>
      <w:r w:rsidRPr="007B2A13">
        <w:rPr>
          <w:b/>
          <w:bCs/>
          <w:rtl/>
        </w:rPr>
        <w:t xml:space="preserve"> </w:t>
      </w:r>
      <w:r w:rsidRPr="007B2A13">
        <w:rPr>
          <w:rFonts w:hint="eastAsia"/>
          <w:b/>
          <w:bCs/>
          <w:rtl/>
        </w:rPr>
        <w:t>המחשוב</w:t>
      </w:r>
      <w:r w:rsidRPr="007B2A13">
        <w:rPr>
          <w:b/>
          <w:bCs/>
          <w:rtl/>
        </w:rPr>
        <w:t xml:space="preserve"> </w:t>
      </w:r>
      <w:r w:rsidRPr="007B2A13">
        <w:rPr>
          <w:rFonts w:hint="eastAsia"/>
          <w:b/>
          <w:bCs/>
          <w:rtl/>
        </w:rPr>
        <w:t>של</w:t>
      </w:r>
      <w:r w:rsidRPr="007B2A13">
        <w:rPr>
          <w:b/>
          <w:bCs/>
          <w:rtl/>
        </w:rPr>
        <w:t xml:space="preserve"> </w:t>
      </w:r>
      <w:r w:rsidRPr="007B2A13">
        <w:rPr>
          <w:rFonts w:hint="eastAsia"/>
          <w:b/>
          <w:bCs/>
          <w:rtl/>
        </w:rPr>
        <w:t>המשטרה</w:t>
      </w:r>
      <w:r w:rsidRPr="007B2A13">
        <w:rPr>
          <w:b/>
          <w:bCs/>
          <w:rtl/>
        </w:rPr>
        <w:t xml:space="preserve"> (מתוך 12 </w:t>
      </w:r>
      <w:r w:rsidRPr="007B2A13">
        <w:rPr>
          <w:rFonts w:hint="eastAsia"/>
          <w:b/>
          <w:bCs/>
          <w:rtl/>
        </w:rPr>
        <w:t>יעדי</w:t>
      </w:r>
      <w:r w:rsidRPr="007B2A13">
        <w:rPr>
          <w:b/>
          <w:bCs/>
          <w:rtl/>
        </w:rPr>
        <w:t xml:space="preserve"> </w:t>
      </w:r>
      <w:r w:rsidRPr="007B2A13">
        <w:rPr>
          <w:rFonts w:hint="eastAsia"/>
          <w:b/>
          <w:bCs/>
          <w:rtl/>
        </w:rPr>
        <w:t>ההאזנה</w:t>
      </w:r>
      <w:r w:rsidRPr="007B2A13">
        <w:rPr>
          <w:b/>
          <w:bCs/>
          <w:rtl/>
        </w:rPr>
        <w:t xml:space="preserve"> </w:t>
      </w:r>
      <w:r w:rsidRPr="007B2A13">
        <w:rPr>
          <w:rFonts w:hint="eastAsia"/>
          <w:b/>
          <w:bCs/>
          <w:rtl/>
        </w:rPr>
        <w:t>שנבדקו</w:t>
      </w:r>
      <w:r w:rsidRPr="007B2A13">
        <w:rPr>
          <w:b/>
          <w:bCs/>
          <w:rtl/>
        </w:rPr>
        <w:t>)</w:t>
      </w:r>
      <w:r w:rsidRPr="0038224C">
        <w:rPr>
          <w:rFonts w:hint="cs"/>
          <w:b/>
          <w:bCs/>
          <w:rtl/>
        </w:rPr>
        <w:t>.</w:t>
      </w:r>
      <w:r>
        <w:rPr>
          <w:rFonts w:hint="cs"/>
          <w:b/>
          <w:bCs/>
          <w:rtl/>
        </w:rPr>
        <w:t xml:space="preserve"> </w:t>
      </w:r>
      <w:bookmarkStart w:id="575" w:name="_Hlk188254013"/>
      <w:r>
        <w:rPr>
          <w:rFonts w:hint="cs"/>
          <w:b/>
          <w:bCs/>
          <w:rtl/>
        </w:rPr>
        <w:t>התוצרים שיוצאו הם תוצרים שנאספו ממידע אגור במכשיר הקצה (חיפוש סמוי) ותוצרים שנאספו לפי סעיף 10א לחוק ומטרתם הבטחת ה</w:t>
      </w:r>
      <w:r w:rsidR="00062A25">
        <w:rPr>
          <w:rFonts w:hint="cs"/>
          <w:b/>
          <w:bCs/>
          <w:rtl/>
        </w:rPr>
        <w:t>התקנה</w:t>
      </w:r>
      <w:r>
        <w:rPr>
          <w:rFonts w:hint="cs"/>
          <w:b/>
          <w:bCs/>
          <w:rtl/>
        </w:rPr>
        <w:t xml:space="preserve"> ואבטחת הכלי, ואין הם מיועדים להפקה בידי מפיקים.</w:t>
      </w:r>
      <w:bookmarkEnd w:id="575"/>
      <w:r>
        <w:rPr>
          <w:rFonts w:hint="cs"/>
          <w:b/>
          <w:bCs/>
          <w:rtl/>
        </w:rPr>
        <w:t xml:space="preserve"> </w:t>
      </w:r>
    </w:p>
    <w:p w:rsidR="009A1216" w:rsidRDefault="009A1216" w:rsidP="00016E2D">
      <w:pPr>
        <w:pStyle w:val="a5"/>
        <w:spacing w:line="269" w:lineRule="auto"/>
        <w:ind w:left="0"/>
        <w:rPr>
          <w:rtl/>
        </w:rPr>
      </w:pPr>
    </w:p>
    <w:p w:rsidR="009A1216" w:rsidRPr="00234CB9" w:rsidRDefault="009A1216" w:rsidP="00016E2D">
      <w:pPr>
        <w:pStyle w:val="af2"/>
        <w:spacing w:line="269" w:lineRule="auto"/>
        <w:ind w:left="849"/>
        <w:rPr>
          <w:rtl/>
        </w:rPr>
      </w:pPr>
      <w:r>
        <w:rPr>
          <w:rFonts w:hint="cs"/>
          <w:rtl/>
        </w:rPr>
        <w:t xml:space="preserve">המשטרה מסרה כי ככלל, הייצוא נועד להעברת התוצרים מהעמדה למפיק </w:t>
      </w:r>
      <w:r w:rsidRPr="001C1985">
        <w:rPr>
          <w:rtl/>
        </w:rPr>
        <w:t xml:space="preserve">זאת </w:t>
      </w:r>
      <w:r>
        <w:rPr>
          <w:rFonts w:hint="cs"/>
          <w:rtl/>
        </w:rPr>
        <w:t>לנוכח</w:t>
      </w:r>
      <w:r w:rsidRPr="001C1985">
        <w:rPr>
          <w:rtl/>
        </w:rPr>
        <w:t xml:space="preserve"> מגבלות טכנולוגיות של פריסת עמדות הקצה בצס"</w:t>
      </w:r>
      <w:r>
        <w:rPr>
          <w:rFonts w:hint="cs"/>
          <w:rtl/>
        </w:rPr>
        <w:t xml:space="preserve">ם. כמו כן, המשטרה סברה שיש להבחין בין תוצרים שהפקתם אסורה לפי נוהלי המשטרה לבין תוצרים שניתן לקבל אותם לפי סעיף 10א לחוק האזנת סתר המיועד לעבודת מפעילי הכלים הטכנולוגיים. זאת, משום שבשעתו נדרשו המפיקים לסייע לאתר אפשרות של חשיפת הכלי באמצעות הצלבת תוצרי האזנת הסתר למידע שהתקבל מכוח סעיף 10א. </w:t>
      </w:r>
    </w:p>
    <w:p w:rsidR="002D7F3F" w:rsidRDefault="002D7F3F" w:rsidP="00016E2D">
      <w:pPr>
        <w:pStyle w:val="af2"/>
        <w:spacing w:line="269" w:lineRule="auto"/>
        <w:ind w:left="1106"/>
        <w:rPr>
          <w:b/>
          <w:bCs/>
          <w:rtl/>
        </w:rPr>
      </w:pPr>
    </w:p>
    <w:p w:rsidR="009A1216" w:rsidRDefault="009A1216" w:rsidP="00016E2D">
      <w:pPr>
        <w:pStyle w:val="af2"/>
        <w:spacing w:line="269" w:lineRule="auto"/>
        <w:ind w:left="849"/>
        <w:rPr>
          <w:b/>
          <w:bCs/>
          <w:rtl/>
        </w:rPr>
      </w:pPr>
      <w:r>
        <w:rPr>
          <w:rFonts w:hint="cs"/>
          <w:b/>
          <w:bCs/>
          <w:rtl/>
        </w:rPr>
        <w:t xml:space="preserve">מבקר המדינה מדגיש כי </w:t>
      </w:r>
      <w:r w:rsidRPr="00B23725">
        <w:rPr>
          <w:rFonts w:hint="cs"/>
          <w:b/>
          <w:bCs/>
          <w:rtl/>
        </w:rPr>
        <w:t>ייצוא תוצרים שהפקתם אסורה</w:t>
      </w:r>
      <w:r>
        <w:rPr>
          <w:rFonts w:hint="cs"/>
          <w:b/>
          <w:bCs/>
          <w:rtl/>
        </w:rPr>
        <w:t xml:space="preserve">, בין </w:t>
      </w:r>
      <w:r w:rsidR="00B923AB">
        <w:rPr>
          <w:rFonts w:hint="cs"/>
          <w:b/>
          <w:bCs/>
          <w:rtl/>
        </w:rPr>
        <w:t xml:space="preserve">אם איסופם התבצע </w:t>
      </w:r>
      <w:r>
        <w:rPr>
          <w:rFonts w:hint="cs"/>
          <w:b/>
          <w:bCs/>
          <w:rtl/>
        </w:rPr>
        <w:t xml:space="preserve">מכוח סעיף 10א לחוק האזנת סתר ובין </w:t>
      </w:r>
      <w:r w:rsidR="00B923AB">
        <w:rPr>
          <w:rFonts w:hint="cs"/>
          <w:b/>
          <w:bCs/>
          <w:rtl/>
        </w:rPr>
        <w:t>אם איסופם התבצע שלא ב</w:t>
      </w:r>
      <w:r w:rsidR="0058215A">
        <w:rPr>
          <w:rFonts w:hint="cs"/>
          <w:b/>
          <w:bCs/>
          <w:rtl/>
        </w:rPr>
        <w:t>ה</w:t>
      </w:r>
      <w:r w:rsidR="00B923AB">
        <w:rPr>
          <w:rFonts w:hint="cs"/>
          <w:b/>
          <w:bCs/>
          <w:rtl/>
        </w:rPr>
        <w:t>לימה להוראות הדין</w:t>
      </w:r>
      <w:r>
        <w:rPr>
          <w:rFonts w:hint="cs"/>
          <w:b/>
          <w:bCs/>
          <w:rtl/>
        </w:rPr>
        <w:t>, אל מחוץ</w:t>
      </w:r>
      <w:r w:rsidRPr="00B23725">
        <w:rPr>
          <w:rFonts w:hint="cs"/>
          <w:b/>
          <w:bCs/>
          <w:rtl/>
        </w:rPr>
        <w:t xml:space="preserve"> </w:t>
      </w:r>
      <w:r>
        <w:rPr>
          <w:rFonts w:hint="cs"/>
          <w:b/>
          <w:bCs/>
          <w:rtl/>
        </w:rPr>
        <w:t>ל</w:t>
      </w:r>
      <w:r w:rsidRPr="00B23725">
        <w:rPr>
          <w:rFonts w:hint="cs"/>
          <w:b/>
          <w:bCs/>
          <w:rtl/>
        </w:rPr>
        <w:t xml:space="preserve">כלי הטכנולוגי פוגע פגיעה משמעותית </w:t>
      </w:r>
      <w:r>
        <w:rPr>
          <w:rFonts w:hint="cs"/>
          <w:b/>
          <w:bCs/>
          <w:rtl/>
        </w:rPr>
        <w:t xml:space="preserve">בחזקת תקינות הניהול של תוצרי האזנת הסתר על ידי המשטרה. זאת, משום שייצוא התוצרים עבור המפיק נעשה בדרך כלל לצורך הפקת התוצרים. ייצוא תוצרי ההאזנה עלול לחשוף את המשטרה לטענות בדבר הגנה מן הצדק לנוכח היעדר רישום של ההצדקה לפעולת הייצוא וחוסר היכולת לפקח באופן מקיף ומלא על כל פעולה נוספת המבוצעת בנוגע לתוצרים אלו - הפקתם או שימוש בהם. </w:t>
      </w:r>
    </w:p>
    <w:p w:rsidR="009A1216" w:rsidRPr="00C91306" w:rsidRDefault="009A1216" w:rsidP="00016E2D">
      <w:pPr>
        <w:pStyle w:val="a5"/>
        <w:spacing w:line="269" w:lineRule="auto"/>
        <w:ind w:left="0"/>
        <w:rPr>
          <w:rtl/>
        </w:rPr>
      </w:pPr>
      <w:r w:rsidRPr="00C91306">
        <w:rPr>
          <w:rFonts w:hint="cs"/>
          <w:rtl/>
        </w:rPr>
        <w:t xml:space="preserve"> </w:t>
      </w:r>
    </w:p>
    <w:p w:rsidR="009A1216" w:rsidRPr="00C91306" w:rsidRDefault="009A1216" w:rsidP="00016E2D">
      <w:pPr>
        <w:pStyle w:val="af2"/>
        <w:spacing w:line="269" w:lineRule="auto"/>
        <w:ind w:left="849"/>
        <w:rPr>
          <w:rtl/>
        </w:rPr>
      </w:pPr>
      <w:r>
        <w:rPr>
          <w:rFonts w:hint="cs"/>
          <w:rtl/>
        </w:rPr>
        <w:t xml:space="preserve">המשטרה מסרה כי </w:t>
      </w:r>
      <w:r w:rsidRPr="00C91306">
        <w:rPr>
          <w:rtl/>
        </w:rPr>
        <w:t>במסגרת הניוונים שבוצעו ב</w:t>
      </w:r>
      <w:r>
        <w:rPr>
          <w:rFonts w:hint="cs"/>
          <w:rtl/>
        </w:rPr>
        <w:t>כלי לאחר דו"ח צוות מררי</w:t>
      </w:r>
      <w:r w:rsidRPr="00C91306">
        <w:rPr>
          <w:rtl/>
        </w:rPr>
        <w:t xml:space="preserve">, ולאור העובדה </w:t>
      </w:r>
      <w:r>
        <w:rPr>
          <w:rFonts w:hint="cs"/>
          <w:rtl/>
        </w:rPr>
        <w:t>ש</w:t>
      </w:r>
      <w:r w:rsidRPr="00C91306">
        <w:rPr>
          <w:rtl/>
        </w:rPr>
        <w:t xml:space="preserve">קיימות עמדות מבוזרות במערך הפרוס, הוחלט </w:t>
      </w:r>
      <w:r>
        <w:rPr>
          <w:rFonts w:hint="cs"/>
          <w:rtl/>
        </w:rPr>
        <w:t>ש</w:t>
      </w:r>
      <w:r w:rsidRPr="00C91306">
        <w:rPr>
          <w:rtl/>
        </w:rPr>
        <w:t>לא לאפשר את פעולת הייצוא במערכת החדשה.</w:t>
      </w:r>
    </w:p>
    <w:p w:rsidR="002D7F3F" w:rsidRDefault="002D7F3F" w:rsidP="00604C3D">
      <w:pPr>
        <w:spacing w:line="269" w:lineRule="auto"/>
        <w:rPr>
          <w:rtl/>
        </w:rPr>
      </w:pPr>
    </w:p>
    <w:p w:rsidR="00C4338B" w:rsidRDefault="00C4338B" w:rsidP="00604C3D">
      <w:pPr>
        <w:spacing w:line="269" w:lineRule="auto"/>
        <w:rPr>
          <w:rtl/>
        </w:rPr>
      </w:pPr>
    </w:p>
    <w:p w:rsidR="00C4338B" w:rsidRPr="007313C6" w:rsidRDefault="00C4338B" w:rsidP="00604C3D">
      <w:pPr>
        <w:spacing w:line="269" w:lineRule="auto"/>
      </w:pPr>
    </w:p>
    <w:p w:rsidR="009A1216" w:rsidRPr="00016E2D" w:rsidRDefault="009A1216" w:rsidP="00016E2D">
      <w:pPr>
        <w:pStyle w:val="5"/>
        <w:numPr>
          <w:ilvl w:val="0"/>
          <w:numId w:val="78"/>
        </w:numPr>
        <w:spacing w:line="269" w:lineRule="auto"/>
        <w:ind w:left="849"/>
        <w:rPr>
          <w:b/>
          <w:bCs w:val="0"/>
        </w:rPr>
      </w:pPr>
      <w:r w:rsidRPr="00016E2D">
        <w:rPr>
          <w:rStyle w:val="50"/>
          <w:rFonts w:hint="cs"/>
          <w:b/>
          <w:bCs/>
          <w:rtl/>
        </w:rPr>
        <w:t xml:space="preserve">עיון בתוצרים </w:t>
      </w:r>
      <w:r w:rsidR="00B73E7B" w:rsidRPr="00016E2D">
        <w:rPr>
          <w:rStyle w:val="50"/>
          <w:rFonts w:hint="cs"/>
          <w:b/>
          <w:bCs/>
          <w:rtl/>
        </w:rPr>
        <w:t>אסורים</w:t>
      </w:r>
      <w:r w:rsidRPr="00016E2D">
        <w:rPr>
          <w:rStyle w:val="50"/>
          <w:rFonts w:hint="cs"/>
          <w:b/>
          <w:bCs/>
          <w:rtl/>
        </w:rPr>
        <w:t xml:space="preserve"> באמצעות הכלי הטכנולוגי</w:t>
      </w:r>
      <w:r w:rsidRPr="00016E2D">
        <w:rPr>
          <w:rFonts w:hint="cs"/>
          <w:b/>
          <w:bCs w:val="0"/>
          <w:rtl/>
        </w:rPr>
        <w:t xml:space="preserve"> </w:t>
      </w:r>
    </w:p>
    <w:p w:rsidR="002D7F3F" w:rsidRPr="007313C6" w:rsidRDefault="002D7F3F" w:rsidP="00604C3D">
      <w:pPr>
        <w:spacing w:line="269" w:lineRule="auto"/>
        <w:rPr>
          <w:rtl/>
        </w:rPr>
      </w:pPr>
    </w:p>
    <w:p w:rsidR="009A1216" w:rsidRDefault="009A1216" w:rsidP="00016E2D">
      <w:pPr>
        <w:spacing w:line="269" w:lineRule="auto"/>
        <w:ind w:left="849"/>
        <w:rPr>
          <w:b/>
          <w:bCs/>
          <w:rtl/>
        </w:rPr>
      </w:pPr>
      <w:r w:rsidRPr="007B2A13">
        <w:rPr>
          <w:rFonts w:hint="eastAsia"/>
          <w:b/>
          <w:bCs/>
          <w:rtl/>
        </w:rPr>
        <w:t>משרד</w:t>
      </w:r>
      <w:r w:rsidRPr="007B2A13">
        <w:rPr>
          <w:b/>
          <w:bCs/>
          <w:rtl/>
        </w:rPr>
        <w:t xml:space="preserve"> מבקר המדינה איתר </w:t>
      </w:r>
      <w:r w:rsidRPr="007B2A13">
        <w:rPr>
          <w:rFonts w:hint="eastAsia"/>
          <w:b/>
          <w:bCs/>
          <w:rtl/>
        </w:rPr>
        <w:t>תשעה</w:t>
      </w:r>
      <w:r w:rsidRPr="007B2A13">
        <w:rPr>
          <w:b/>
          <w:bCs/>
          <w:rtl/>
        </w:rPr>
        <w:t xml:space="preserve"> </w:t>
      </w:r>
      <w:r w:rsidRPr="007B2A13">
        <w:rPr>
          <w:rFonts w:hint="eastAsia"/>
          <w:b/>
          <w:bCs/>
          <w:rtl/>
        </w:rPr>
        <w:t>מקרים</w:t>
      </w:r>
      <w:r w:rsidRPr="007B2A13">
        <w:rPr>
          <w:b/>
          <w:bCs/>
          <w:rtl/>
        </w:rPr>
        <w:t xml:space="preserve"> </w:t>
      </w:r>
      <w:r w:rsidRPr="007B2A13">
        <w:rPr>
          <w:rFonts w:hint="eastAsia"/>
          <w:b/>
          <w:bCs/>
          <w:rtl/>
        </w:rPr>
        <w:t>שבהם</w:t>
      </w:r>
      <w:r w:rsidRPr="007B2A13">
        <w:rPr>
          <w:b/>
          <w:bCs/>
          <w:rtl/>
        </w:rPr>
        <w:t xml:space="preserve"> </w:t>
      </w:r>
      <w:r w:rsidRPr="007B2A13">
        <w:rPr>
          <w:rFonts w:hint="eastAsia"/>
          <w:b/>
          <w:bCs/>
          <w:rtl/>
        </w:rPr>
        <w:t>גורמי</w:t>
      </w:r>
      <w:r w:rsidRPr="007B2A13">
        <w:rPr>
          <w:b/>
          <w:bCs/>
          <w:rtl/>
        </w:rPr>
        <w:t xml:space="preserve"> </w:t>
      </w:r>
      <w:r w:rsidRPr="007B2A13">
        <w:rPr>
          <w:rFonts w:hint="eastAsia"/>
          <w:b/>
          <w:bCs/>
          <w:rtl/>
        </w:rPr>
        <w:t>משטרה</w:t>
      </w:r>
      <w:r w:rsidRPr="007B2A13">
        <w:rPr>
          <w:b/>
          <w:bCs/>
          <w:rtl/>
        </w:rPr>
        <w:t xml:space="preserve"> </w:t>
      </w:r>
      <w:r w:rsidRPr="007B2A13">
        <w:rPr>
          <w:rFonts w:hint="eastAsia"/>
          <w:b/>
          <w:bCs/>
          <w:rtl/>
        </w:rPr>
        <w:t>עיינו</w:t>
      </w:r>
      <w:r w:rsidRPr="007B2A13">
        <w:rPr>
          <w:b/>
          <w:bCs/>
          <w:rtl/>
        </w:rPr>
        <w:t xml:space="preserve"> </w:t>
      </w:r>
      <w:r w:rsidRPr="007B2A13">
        <w:rPr>
          <w:rFonts w:hint="eastAsia"/>
          <w:b/>
          <w:bCs/>
          <w:rtl/>
        </w:rPr>
        <w:t>בתוצרים</w:t>
      </w:r>
      <w:r w:rsidRPr="007B2A13">
        <w:rPr>
          <w:b/>
          <w:bCs/>
          <w:rtl/>
        </w:rPr>
        <w:t xml:space="preserve"> </w:t>
      </w:r>
      <w:r w:rsidR="00B73E7B">
        <w:rPr>
          <w:rFonts w:hint="cs"/>
          <w:b/>
          <w:bCs/>
          <w:rtl/>
        </w:rPr>
        <w:t>אסורים</w:t>
      </w:r>
      <w:r w:rsidRPr="007B2A13">
        <w:rPr>
          <w:b/>
          <w:bCs/>
          <w:rtl/>
        </w:rPr>
        <w:t xml:space="preserve"> באמצעות </w:t>
      </w:r>
      <w:r w:rsidRPr="007B2A13">
        <w:rPr>
          <w:rFonts w:hint="eastAsia"/>
          <w:b/>
          <w:bCs/>
          <w:rtl/>
        </w:rPr>
        <w:t>כלי</w:t>
      </w:r>
      <w:r w:rsidRPr="007B2A13">
        <w:rPr>
          <w:b/>
          <w:bCs/>
          <w:rtl/>
        </w:rPr>
        <w:t xml:space="preserve"> טכנולוגי (</w:t>
      </w:r>
      <w:r w:rsidRPr="007B2A13">
        <w:rPr>
          <w:rFonts w:hint="eastAsia"/>
          <w:b/>
          <w:bCs/>
          <w:rtl/>
        </w:rPr>
        <w:t>מתוך</w:t>
      </w:r>
      <w:r w:rsidRPr="007B2A13">
        <w:rPr>
          <w:b/>
          <w:bCs/>
          <w:rtl/>
        </w:rPr>
        <w:t xml:space="preserve"> 12 </w:t>
      </w:r>
      <w:r w:rsidRPr="007B2A13">
        <w:rPr>
          <w:rFonts w:hint="eastAsia"/>
          <w:b/>
          <w:bCs/>
          <w:rtl/>
        </w:rPr>
        <w:t>יעדי</w:t>
      </w:r>
      <w:r w:rsidRPr="007B2A13">
        <w:rPr>
          <w:b/>
          <w:bCs/>
          <w:rtl/>
        </w:rPr>
        <w:t xml:space="preserve"> ההאזנה שנבדקו). </w:t>
      </w:r>
    </w:p>
    <w:p w:rsidR="009A1216" w:rsidRPr="0032599C" w:rsidRDefault="00382AE8" w:rsidP="00016E2D">
      <w:pPr>
        <w:pStyle w:val="a5"/>
        <w:spacing w:line="269" w:lineRule="auto"/>
        <w:ind w:left="0"/>
        <w:rPr>
          <w:rtl/>
        </w:rPr>
      </w:pPr>
      <w:r>
        <w:rPr>
          <w:rFonts w:hint="cs"/>
          <w:rtl/>
        </w:rPr>
        <w:t xml:space="preserve"> </w:t>
      </w:r>
    </w:p>
    <w:p w:rsidR="009A1216" w:rsidRPr="00D30B1C" w:rsidRDefault="009A1216" w:rsidP="00016E2D">
      <w:pPr>
        <w:pStyle w:val="af2"/>
        <w:spacing w:line="269" w:lineRule="auto"/>
        <w:ind w:left="849"/>
        <w:rPr>
          <w:rtl/>
        </w:rPr>
      </w:pPr>
      <w:r w:rsidRPr="00D30B1C">
        <w:rPr>
          <w:rFonts w:hint="cs"/>
          <w:rtl/>
        </w:rPr>
        <w:t>המשטרה מסרה כי בממשק המשתמש של כלי טכנולוגי מסוים, ניתן היה לסמן תוצר כ</w:t>
      </w:r>
      <w:r>
        <w:rPr>
          <w:rFonts w:hint="cs"/>
          <w:rtl/>
        </w:rPr>
        <w:t>'</w:t>
      </w:r>
      <w:r w:rsidRPr="00D30B1C">
        <w:rPr>
          <w:rFonts w:hint="cs"/>
          <w:rtl/>
        </w:rPr>
        <w:t>נקרא</w:t>
      </w:r>
      <w:r>
        <w:rPr>
          <w:rFonts w:hint="cs"/>
          <w:rtl/>
        </w:rPr>
        <w:t>'</w:t>
      </w:r>
      <w:r w:rsidRPr="00D30B1C">
        <w:rPr>
          <w:rFonts w:hint="cs"/>
          <w:rtl/>
        </w:rPr>
        <w:t xml:space="preserve"> אם הוא היה ראשון ברשימת התוצרים</w:t>
      </w:r>
      <w:r>
        <w:rPr>
          <w:rFonts w:hint="cs"/>
          <w:rtl/>
        </w:rPr>
        <w:t>,</w:t>
      </w:r>
      <w:r w:rsidRPr="00D30B1C">
        <w:rPr>
          <w:rFonts w:hint="cs"/>
          <w:rtl/>
        </w:rPr>
        <w:t xml:space="preserve"> וכי מדובר בשינוי אוטומטי</w:t>
      </w:r>
      <w:r>
        <w:rPr>
          <w:rFonts w:hint="cs"/>
          <w:rtl/>
        </w:rPr>
        <w:t xml:space="preserve"> של סטטוס תוצר ההאזנה</w:t>
      </w:r>
      <w:r w:rsidRPr="00D30B1C">
        <w:rPr>
          <w:rFonts w:hint="cs"/>
          <w:rtl/>
        </w:rPr>
        <w:t xml:space="preserve"> המופיע כברירת מחדל במערכת. </w:t>
      </w:r>
      <w:r>
        <w:rPr>
          <w:rFonts w:hint="cs"/>
          <w:rtl/>
        </w:rPr>
        <w:t xml:space="preserve">לעמדתה </w:t>
      </w:r>
      <w:r w:rsidRPr="00250C73">
        <w:rPr>
          <w:rtl/>
        </w:rPr>
        <w:t>הדבר אינו מעיד בהכרח על עיון בפועל של המפיק בתוצרי האזנת הסתר.</w:t>
      </w:r>
    </w:p>
    <w:p w:rsidR="009A1216" w:rsidRDefault="009A1216" w:rsidP="00016E2D">
      <w:pPr>
        <w:pStyle w:val="a5"/>
        <w:spacing w:line="269" w:lineRule="auto"/>
        <w:ind w:left="0"/>
        <w:rPr>
          <w:rtl/>
        </w:rPr>
      </w:pPr>
    </w:p>
    <w:p w:rsidR="009A1216" w:rsidRPr="00234CB9" w:rsidRDefault="009A1216" w:rsidP="00016E2D">
      <w:pPr>
        <w:pStyle w:val="af2"/>
        <w:spacing w:line="269" w:lineRule="auto"/>
        <w:ind w:left="849"/>
        <w:rPr>
          <w:rtl/>
        </w:rPr>
      </w:pPr>
      <w:r>
        <w:rPr>
          <w:rFonts w:hint="cs"/>
          <w:rtl/>
        </w:rPr>
        <w:t xml:space="preserve">במסגרת בחינת יעדי ההאזנה, מצא משרד מבקר המדינה שסימון תוצרי האזנה כתוצרים ש'נקראו' אינו תוצאה של השינוי האוטומטי בסטטוס תוצר ההאזנה המופיע כברירת מחדל במערכת בלבד; אותרו מקרים שבהם תוצרי האזנה מאותו סוג התקבלו לתוך הכלי הטכנולוגי באותו הזמן, ויותר משניים מהם סומנו כ'נקראו'. כך שאין מדובר בסימון הנובע ממיקום התוצר כראשון מתוך רשימת התוצרים בתצוגה. כמו כן, אותרו מקרים של עיון קונקרטי בתוצרים אסורים ושימוש בהם לאחר מכן. לפיכך, ההסבר של המשטרה אינו סותר את ממצאי הביקורת. </w:t>
      </w:r>
    </w:p>
    <w:p w:rsidR="002D7F3F" w:rsidRPr="007313C6" w:rsidRDefault="002D7F3F" w:rsidP="00016E2D">
      <w:pPr>
        <w:spacing w:line="269" w:lineRule="auto"/>
        <w:ind w:left="426"/>
        <w:rPr>
          <w:rtl/>
        </w:rPr>
      </w:pPr>
    </w:p>
    <w:p w:rsidR="009A1216" w:rsidRDefault="009A1216" w:rsidP="00016E2D">
      <w:pPr>
        <w:spacing w:line="269" w:lineRule="auto"/>
        <w:ind w:left="849"/>
        <w:rPr>
          <w:b/>
          <w:bCs/>
          <w:rtl/>
        </w:rPr>
      </w:pPr>
      <w:r>
        <w:rPr>
          <w:rFonts w:hint="cs"/>
          <w:b/>
          <w:bCs/>
          <w:rtl/>
        </w:rPr>
        <w:t xml:space="preserve">יוצא אפוא כי בבדיקת מבקר המדינה </w:t>
      </w:r>
      <w:r w:rsidRPr="00FB5BE9">
        <w:rPr>
          <w:b/>
          <w:bCs/>
          <w:rtl/>
        </w:rPr>
        <w:t>נמצא</w:t>
      </w:r>
      <w:r>
        <w:rPr>
          <w:rFonts w:hint="cs"/>
          <w:b/>
          <w:bCs/>
          <w:rtl/>
        </w:rPr>
        <w:t>ו מקרים המלמדים</w:t>
      </w:r>
      <w:r w:rsidRPr="00FB5BE9">
        <w:rPr>
          <w:b/>
          <w:bCs/>
          <w:rtl/>
        </w:rPr>
        <w:t xml:space="preserve"> </w:t>
      </w:r>
      <w:r>
        <w:rPr>
          <w:rFonts w:hint="cs"/>
          <w:b/>
          <w:bCs/>
          <w:rtl/>
        </w:rPr>
        <w:t>ש</w:t>
      </w:r>
      <w:r w:rsidRPr="00FB5BE9">
        <w:rPr>
          <w:b/>
          <w:bCs/>
          <w:rtl/>
        </w:rPr>
        <w:t xml:space="preserve">העיון </w:t>
      </w:r>
      <w:r>
        <w:rPr>
          <w:rFonts w:hint="cs"/>
          <w:b/>
          <w:bCs/>
          <w:rtl/>
        </w:rPr>
        <w:t xml:space="preserve">לאו דווקא </w:t>
      </w:r>
      <w:r w:rsidRPr="00FB5BE9">
        <w:rPr>
          <w:b/>
          <w:bCs/>
          <w:rtl/>
        </w:rPr>
        <w:t xml:space="preserve">היה ספורדי </w:t>
      </w:r>
      <w:r>
        <w:rPr>
          <w:rFonts w:hint="cs"/>
          <w:b/>
          <w:bCs/>
          <w:rtl/>
        </w:rPr>
        <w:t>וכי סימון תוצרי האזנה כ'נקראו' לא נבע רק</w:t>
      </w:r>
      <w:r w:rsidRPr="00FB5BE9">
        <w:rPr>
          <w:b/>
          <w:bCs/>
          <w:rtl/>
        </w:rPr>
        <w:t xml:space="preserve"> ממגבלות </w:t>
      </w:r>
      <w:r w:rsidRPr="00FB5BE9">
        <w:rPr>
          <w:rFonts w:hint="eastAsia"/>
          <w:b/>
          <w:bCs/>
          <w:rtl/>
        </w:rPr>
        <w:t>שמקורן</w:t>
      </w:r>
      <w:r w:rsidRPr="00FB5BE9">
        <w:rPr>
          <w:b/>
          <w:bCs/>
          <w:rtl/>
        </w:rPr>
        <w:t xml:space="preserve"> </w:t>
      </w:r>
      <w:r w:rsidRPr="00FB5BE9">
        <w:rPr>
          <w:rFonts w:hint="eastAsia"/>
          <w:b/>
          <w:bCs/>
          <w:rtl/>
        </w:rPr>
        <w:t>בכלי</w:t>
      </w:r>
      <w:r w:rsidRPr="00FB5BE9">
        <w:rPr>
          <w:b/>
          <w:bCs/>
          <w:rtl/>
        </w:rPr>
        <w:t xml:space="preserve"> הטכנולוגי, כגון סימון אוטומטי של עיון. </w:t>
      </w:r>
    </w:p>
    <w:p w:rsidR="002D7F3F" w:rsidRPr="007313C6" w:rsidRDefault="002D7F3F" w:rsidP="00016E2D">
      <w:pPr>
        <w:spacing w:line="269" w:lineRule="auto"/>
        <w:ind w:left="426"/>
        <w:rPr>
          <w:rtl/>
        </w:rPr>
      </w:pPr>
    </w:p>
    <w:p w:rsidR="009A1216" w:rsidRPr="009B2F27" w:rsidRDefault="009A1216" w:rsidP="00016E2D">
      <w:pPr>
        <w:spacing w:line="269" w:lineRule="auto"/>
        <w:ind w:left="849"/>
        <w:rPr>
          <w:b/>
          <w:bCs/>
        </w:rPr>
      </w:pPr>
      <w:r w:rsidRPr="009B2F27">
        <w:rPr>
          <w:rFonts w:hint="cs"/>
          <w:b/>
          <w:bCs/>
          <w:rtl/>
        </w:rPr>
        <w:t xml:space="preserve">עיון בתוצרים שהפקתם אסורה פוגע בזכויות יעדי ההאזנה לפרטיות </w:t>
      </w:r>
      <w:r>
        <w:rPr>
          <w:rFonts w:hint="cs"/>
          <w:b/>
          <w:bCs/>
          <w:rtl/>
        </w:rPr>
        <w:t>ועלול</w:t>
      </w:r>
      <w:r w:rsidRPr="009B2F27">
        <w:rPr>
          <w:rFonts w:hint="cs"/>
          <w:b/>
          <w:bCs/>
          <w:rtl/>
        </w:rPr>
        <w:t xml:space="preserve"> להעיד על פעולה מכוונת. בהיעדר תיעוד מספק</w:t>
      </w:r>
      <w:r>
        <w:rPr>
          <w:rFonts w:hint="cs"/>
          <w:b/>
          <w:bCs/>
          <w:rtl/>
        </w:rPr>
        <w:t xml:space="preserve"> במערכות המשטרה, מבקר המדינה מצא כי קשה</w:t>
      </w:r>
      <w:r w:rsidRPr="009B2F27">
        <w:rPr>
          <w:rFonts w:hint="cs"/>
          <w:b/>
          <w:bCs/>
          <w:rtl/>
        </w:rPr>
        <w:t xml:space="preserve"> להעריך את נפקות הפגיעה </w:t>
      </w:r>
      <w:r>
        <w:rPr>
          <w:rFonts w:hint="cs"/>
          <w:b/>
          <w:bCs/>
          <w:rtl/>
        </w:rPr>
        <w:t>שמקורה ב</w:t>
      </w:r>
      <w:r w:rsidRPr="009B2F27">
        <w:rPr>
          <w:rFonts w:hint="cs"/>
          <w:b/>
          <w:bCs/>
          <w:rtl/>
        </w:rPr>
        <w:t>עיון בתוצרי האזנה אסורים.</w:t>
      </w:r>
      <w:r>
        <w:rPr>
          <w:rFonts w:hint="cs"/>
          <w:b/>
          <w:bCs/>
          <w:rtl/>
        </w:rPr>
        <w:t xml:space="preserve"> </w:t>
      </w:r>
    </w:p>
    <w:p w:rsidR="002D7F3F" w:rsidRPr="007313C6" w:rsidRDefault="002D7F3F" w:rsidP="00604C3D">
      <w:pPr>
        <w:spacing w:line="269" w:lineRule="auto"/>
      </w:pPr>
    </w:p>
    <w:p w:rsidR="009A1216" w:rsidRPr="00016E2D" w:rsidRDefault="009A1216" w:rsidP="00016E2D">
      <w:pPr>
        <w:pStyle w:val="5"/>
        <w:numPr>
          <w:ilvl w:val="0"/>
          <w:numId w:val="78"/>
        </w:numPr>
        <w:spacing w:line="269" w:lineRule="auto"/>
        <w:ind w:left="849"/>
        <w:rPr>
          <w:rStyle w:val="50"/>
          <w:b/>
        </w:rPr>
      </w:pPr>
      <w:r w:rsidRPr="00016E2D">
        <w:rPr>
          <w:rStyle w:val="50"/>
          <w:rFonts w:hint="cs"/>
          <w:b/>
          <w:bCs/>
          <w:rtl/>
        </w:rPr>
        <w:t xml:space="preserve">הפקה של תוצרים </w:t>
      </w:r>
      <w:r w:rsidR="005E1BED" w:rsidRPr="00016E2D">
        <w:rPr>
          <w:rStyle w:val="50"/>
          <w:rFonts w:hint="cs"/>
          <w:b/>
          <w:bCs/>
          <w:rtl/>
        </w:rPr>
        <w:t>אסורים</w:t>
      </w:r>
      <w:r w:rsidRPr="00016E2D">
        <w:rPr>
          <w:rStyle w:val="50"/>
          <w:rFonts w:hint="cs"/>
          <w:b/>
          <w:bCs/>
          <w:rtl/>
        </w:rPr>
        <w:t xml:space="preserve"> ושימוש בהם</w:t>
      </w:r>
    </w:p>
    <w:p w:rsidR="009A1216" w:rsidRDefault="009A1216" w:rsidP="00604C3D">
      <w:pPr>
        <w:pStyle w:val="a5"/>
        <w:spacing w:line="269" w:lineRule="auto"/>
        <w:ind w:left="0"/>
        <w:rPr>
          <w:rtl/>
        </w:rPr>
      </w:pPr>
    </w:p>
    <w:p w:rsidR="009A1216" w:rsidRDefault="009A1216" w:rsidP="00016E2D">
      <w:pPr>
        <w:spacing w:line="269" w:lineRule="auto"/>
        <w:ind w:left="849"/>
      </w:pPr>
      <w:r>
        <w:rPr>
          <w:rFonts w:hint="cs"/>
          <w:rtl/>
        </w:rPr>
        <w:t xml:space="preserve">במסגרת בחינת יעדי ההאזנה, בחן משרד מבקר המדינה מסמכים של המשטרה המפנים לתוצרי האזנת סתר שמקורם בכלים טכנולוגיים ומסמכים המלמדים על הפקת תוצרי האזנת סתר אסורים על ידי מפיקים ועל שימוש של מפעילים או יחידות חקירה במשטרה בתוצרי האזנת סתר אסורים. </w:t>
      </w:r>
    </w:p>
    <w:p w:rsidR="002D7F3F" w:rsidRPr="007313C6" w:rsidRDefault="002D7F3F" w:rsidP="00016E2D">
      <w:pPr>
        <w:spacing w:line="269" w:lineRule="auto"/>
        <w:ind w:left="426"/>
        <w:rPr>
          <w:rtl/>
        </w:rPr>
      </w:pPr>
    </w:p>
    <w:p w:rsidR="009A1216" w:rsidRDefault="009A1216" w:rsidP="00016E2D">
      <w:pPr>
        <w:spacing w:line="269" w:lineRule="auto"/>
        <w:ind w:left="849"/>
        <w:rPr>
          <w:b/>
          <w:bCs/>
          <w:rtl/>
        </w:rPr>
      </w:pPr>
      <w:r w:rsidRPr="007B2A13">
        <w:rPr>
          <w:rFonts w:hint="eastAsia"/>
          <w:b/>
          <w:bCs/>
          <w:rtl/>
        </w:rPr>
        <w:t>משרד</w:t>
      </w:r>
      <w:r w:rsidRPr="007B2A13">
        <w:rPr>
          <w:b/>
          <w:bCs/>
          <w:rtl/>
        </w:rPr>
        <w:t xml:space="preserve"> </w:t>
      </w:r>
      <w:r w:rsidRPr="007B2A13">
        <w:rPr>
          <w:rFonts w:hint="eastAsia"/>
          <w:b/>
          <w:bCs/>
          <w:rtl/>
        </w:rPr>
        <w:t>מבקר</w:t>
      </w:r>
      <w:r w:rsidRPr="007B2A13">
        <w:rPr>
          <w:b/>
          <w:bCs/>
          <w:rtl/>
        </w:rPr>
        <w:t xml:space="preserve"> </w:t>
      </w:r>
      <w:r w:rsidRPr="007B2A13">
        <w:rPr>
          <w:rFonts w:hint="eastAsia"/>
          <w:b/>
          <w:bCs/>
          <w:rtl/>
        </w:rPr>
        <w:t>המדינה</w:t>
      </w:r>
      <w:r w:rsidRPr="007B2A13">
        <w:rPr>
          <w:b/>
          <w:bCs/>
          <w:rtl/>
        </w:rPr>
        <w:t xml:space="preserve"> </w:t>
      </w:r>
      <w:r w:rsidRPr="007B2A13">
        <w:rPr>
          <w:rFonts w:hint="eastAsia"/>
          <w:b/>
          <w:bCs/>
          <w:rtl/>
        </w:rPr>
        <w:t>איתר</w:t>
      </w:r>
      <w:r w:rsidRPr="007B2A13">
        <w:rPr>
          <w:b/>
          <w:bCs/>
          <w:rtl/>
        </w:rPr>
        <w:t xml:space="preserve"> </w:t>
      </w:r>
      <w:r>
        <w:rPr>
          <w:rFonts w:hint="cs"/>
          <w:b/>
          <w:bCs/>
          <w:rtl/>
        </w:rPr>
        <w:t>10</w:t>
      </w:r>
      <w:r w:rsidRPr="007B2A13">
        <w:rPr>
          <w:b/>
          <w:bCs/>
          <w:rtl/>
        </w:rPr>
        <w:t xml:space="preserve"> מקרים </w:t>
      </w:r>
      <w:r>
        <w:rPr>
          <w:rFonts w:hint="cs"/>
          <w:b/>
          <w:bCs/>
          <w:rtl/>
        </w:rPr>
        <w:t xml:space="preserve">בהם מפיקים, מפעילים של כלים טכנולוגיים ויחידות חוקרות הפיקו </w:t>
      </w:r>
      <w:r w:rsidRPr="007B2A13">
        <w:rPr>
          <w:rFonts w:hint="eastAsia"/>
          <w:b/>
          <w:bCs/>
          <w:rtl/>
        </w:rPr>
        <w:t>תוצרים</w:t>
      </w:r>
      <w:r w:rsidRPr="007B2A13">
        <w:rPr>
          <w:b/>
          <w:bCs/>
          <w:rtl/>
        </w:rPr>
        <w:t xml:space="preserve"> </w:t>
      </w:r>
      <w:r w:rsidR="00B73E7B">
        <w:rPr>
          <w:rFonts w:hint="cs"/>
          <w:b/>
          <w:bCs/>
          <w:rtl/>
        </w:rPr>
        <w:t>אסורים</w:t>
      </w:r>
      <w:r w:rsidRPr="007B2A13">
        <w:rPr>
          <w:b/>
          <w:bCs/>
          <w:rtl/>
        </w:rPr>
        <w:t xml:space="preserve"> </w:t>
      </w:r>
      <w:r w:rsidRPr="00FF0977">
        <w:rPr>
          <w:rFonts w:hint="cs"/>
          <w:b/>
          <w:bCs/>
          <w:rtl/>
        </w:rPr>
        <w:t>או השתמשו</w:t>
      </w:r>
      <w:r w:rsidRPr="00FF0977">
        <w:rPr>
          <w:b/>
          <w:bCs/>
          <w:rtl/>
        </w:rPr>
        <w:t xml:space="preserve"> </w:t>
      </w:r>
      <w:r>
        <w:rPr>
          <w:rFonts w:hint="cs"/>
          <w:b/>
          <w:bCs/>
          <w:rtl/>
        </w:rPr>
        <w:t xml:space="preserve">בהם בשש פרשיות ותיקי חקירה. אחד מהמקרים אף הביא למשיכת ראיות בהליך פלילי מתנהל. </w:t>
      </w:r>
    </w:p>
    <w:p w:rsidR="00246A43" w:rsidRPr="007313C6" w:rsidRDefault="00246A43" w:rsidP="00016E2D">
      <w:pPr>
        <w:spacing w:line="269" w:lineRule="auto"/>
        <w:ind w:left="426"/>
        <w:rPr>
          <w:rtl/>
        </w:rPr>
      </w:pPr>
    </w:p>
    <w:p w:rsidR="00D81171" w:rsidRDefault="00D81171" w:rsidP="00016E2D">
      <w:pPr>
        <w:spacing w:line="269" w:lineRule="auto"/>
        <w:ind w:left="849"/>
        <w:rPr>
          <w:rtl/>
        </w:rPr>
      </w:pPr>
      <w:r w:rsidRPr="00D81171">
        <w:rPr>
          <w:rtl/>
        </w:rPr>
        <w:t xml:space="preserve">יצוין כי פרקליטות המדינה איתרה מקרה אחד שבו נעשה שימוש במתווה </w:t>
      </w:r>
      <w:r w:rsidR="00585908">
        <w:rPr>
          <w:rFonts w:hint="cs"/>
          <w:rtl/>
        </w:rPr>
        <w:t>ההתקנה</w:t>
      </w:r>
      <w:r w:rsidRPr="00D81171">
        <w:rPr>
          <w:rtl/>
        </w:rPr>
        <w:t xml:space="preserve"> בדרך ביצוע </w:t>
      </w:r>
      <w:r w:rsidR="00E10F16">
        <w:rPr>
          <w:rFonts w:hint="cs"/>
          <w:rtl/>
        </w:rPr>
        <w:t>שאינה הולמת את הוראות הדין</w:t>
      </w:r>
      <w:r w:rsidRPr="00D81171">
        <w:rPr>
          <w:rtl/>
        </w:rPr>
        <w:t xml:space="preserve">. באותו מקרה נעשה חיפוש במידע אגור על גבי מכשיר ונעשה שימוש בתוצרים אסורים גם לצורך ביצוע מתווה </w:t>
      </w:r>
      <w:r w:rsidR="00585908">
        <w:rPr>
          <w:rFonts w:hint="cs"/>
          <w:rtl/>
        </w:rPr>
        <w:t>התקנה</w:t>
      </w:r>
      <w:r w:rsidRPr="00D81171">
        <w:rPr>
          <w:rtl/>
        </w:rPr>
        <w:t xml:space="preserve"> זה. </w:t>
      </w:r>
      <w:r w:rsidR="00585908">
        <w:rPr>
          <w:rFonts w:hint="cs"/>
          <w:rtl/>
        </w:rPr>
        <w:t>ההתקנה</w:t>
      </w:r>
      <w:r w:rsidRPr="00D81171">
        <w:rPr>
          <w:rtl/>
        </w:rPr>
        <w:t xml:space="preserve"> הביאה להשגת ראיות </w:t>
      </w:r>
      <w:r w:rsidR="0035673C">
        <w:rPr>
          <w:rFonts w:hint="cs"/>
          <w:rtl/>
        </w:rPr>
        <w:t xml:space="preserve">אסורות </w:t>
      </w:r>
      <w:r w:rsidRPr="00D81171">
        <w:rPr>
          <w:rtl/>
        </w:rPr>
        <w:t>ממכשיר הקצה. ראיות אלו נכללו בכתב האישום עם הגשתו אך נמשכו מהתיק עקב אופן השגתן.</w:t>
      </w:r>
    </w:p>
    <w:p w:rsidR="009A1216" w:rsidRDefault="009A1216" w:rsidP="00016E2D">
      <w:pPr>
        <w:pStyle w:val="a5"/>
        <w:spacing w:line="269" w:lineRule="auto"/>
        <w:ind w:left="0"/>
        <w:rPr>
          <w:rtl/>
        </w:rPr>
      </w:pPr>
    </w:p>
    <w:p w:rsidR="009A1216" w:rsidRDefault="009A1216" w:rsidP="00016E2D">
      <w:pPr>
        <w:spacing w:line="269" w:lineRule="auto"/>
        <w:ind w:left="849"/>
        <w:rPr>
          <w:rtl/>
        </w:rPr>
      </w:pPr>
      <w:r w:rsidRPr="00234CB9">
        <w:rPr>
          <w:rFonts w:hint="eastAsia"/>
          <w:rtl/>
        </w:rPr>
        <w:t>המשטרה</w:t>
      </w:r>
      <w:r w:rsidRPr="00234CB9">
        <w:rPr>
          <w:rtl/>
        </w:rPr>
        <w:t xml:space="preserve"> מסרה בתשובתה התייחסות למקרים הספציפיים שהועלו </w:t>
      </w:r>
      <w:r>
        <w:rPr>
          <w:rFonts w:hint="cs"/>
          <w:rtl/>
        </w:rPr>
        <w:t>ל</w:t>
      </w:r>
      <w:r w:rsidRPr="00234CB9">
        <w:rPr>
          <w:rtl/>
        </w:rPr>
        <w:t xml:space="preserve">פניה על ידי </w:t>
      </w:r>
      <w:r>
        <w:rPr>
          <w:rFonts w:hint="cs"/>
          <w:rtl/>
        </w:rPr>
        <w:t>מבקר המדינה</w:t>
      </w:r>
      <w:r w:rsidRPr="00234CB9">
        <w:rPr>
          <w:rtl/>
        </w:rPr>
        <w:t xml:space="preserve">. </w:t>
      </w:r>
      <w:r>
        <w:rPr>
          <w:rFonts w:hint="cs"/>
          <w:rtl/>
        </w:rPr>
        <w:t xml:space="preserve">בתשובתה ביקשה המשטרה להדגיש כי למעט במקרה אחד, לא בוצעו פעולות חקירה על בסיס תוצרי האזנת סתר </w:t>
      </w:r>
      <w:r w:rsidR="00B73E7B">
        <w:rPr>
          <w:rFonts w:hint="cs"/>
          <w:rtl/>
        </w:rPr>
        <w:t>אסורים</w:t>
      </w:r>
      <w:r>
        <w:rPr>
          <w:rFonts w:hint="cs"/>
          <w:rtl/>
        </w:rPr>
        <w:t>. בחלק מהמקרים טענה המשטרה כי התוצרים התקבלו כדין, ובחלק מהמקרים אף טענה כי לא איתרה אינדיקציות לשימוש בתוצרים הללו.</w:t>
      </w:r>
      <w:r w:rsidR="005637F9">
        <w:rPr>
          <w:rFonts w:hint="cs"/>
          <w:rtl/>
        </w:rPr>
        <w:t xml:space="preserve"> עוד היא ציינה כי </w:t>
      </w:r>
      <w:r w:rsidR="005637F9" w:rsidRPr="005637F9">
        <w:rPr>
          <w:rFonts w:hint="cs"/>
          <w:rtl/>
        </w:rPr>
        <w:t>במקרה אחד, שבו היה שימוש ראייתי ההחלטה על משיכת הראיות הייתה של הפרקליטות בשל עמדת צוות מררי בנושא</w:t>
      </w:r>
      <w:r w:rsidR="00E61480">
        <w:rPr>
          <w:rFonts w:hint="cs"/>
          <w:rtl/>
        </w:rPr>
        <w:t>.</w:t>
      </w:r>
    </w:p>
    <w:p w:rsidR="009A1216" w:rsidRDefault="009A1216" w:rsidP="00016E2D">
      <w:pPr>
        <w:pStyle w:val="a5"/>
        <w:spacing w:line="269" w:lineRule="auto"/>
        <w:ind w:left="0"/>
        <w:rPr>
          <w:rtl/>
        </w:rPr>
      </w:pPr>
      <w:r>
        <w:rPr>
          <w:rFonts w:hint="cs"/>
          <w:rtl/>
        </w:rPr>
        <w:t xml:space="preserve"> </w:t>
      </w:r>
    </w:p>
    <w:p w:rsidR="009A1216" w:rsidRDefault="009A1216" w:rsidP="00016E2D">
      <w:pPr>
        <w:spacing w:line="269" w:lineRule="auto"/>
        <w:ind w:left="849"/>
        <w:rPr>
          <w:rtl/>
        </w:rPr>
      </w:pPr>
      <w:r>
        <w:rPr>
          <w:rFonts w:hint="cs"/>
          <w:rtl/>
        </w:rPr>
        <w:t xml:space="preserve">מבקר המדינה בחן את טענות המשטרה בנוגע לכל המקרים הספציפיים, ומצא כי בניגוד לעמדת המשטרה אכן נעשה שימוש והפקה בתוצרים </w:t>
      </w:r>
      <w:r w:rsidR="002A172C">
        <w:rPr>
          <w:rFonts w:hint="cs"/>
          <w:rtl/>
        </w:rPr>
        <w:t>אסורים</w:t>
      </w:r>
      <w:r>
        <w:rPr>
          <w:rFonts w:hint="cs"/>
          <w:rtl/>
        </w:rPr>
        <w:t xml:space="preserve">. בין הממצאים המבססים מסקנה זו </w:t>
      </w:r>
      <w:r w:rsidR="007D7B84">
        <w:rPr>
          <w:rFonts w:hint="cs"/>
          <w:rtl/>
        </w:rPr>
        <w:t>-</w:t>
      </w:r>
      <w:r>
        <w:rPr>
          <w:rFonts w:hint="cs"/>
          <w:rtl/>
        </w:rPr>
        <w:t xml:space="preserve"> תיעוד המעיד על עיון בתוצרים האלו ורישום המידע העולה מהם על גבי מסמכים שבשימוש שגרתי של המפעילים הטכנולוגיים, גורמי ההפקה והיחידות החוקרות, כגון תרשומות מבצעיות או מסמכים מודיעיניים.</w:t>
      </w:r>
      <w:r w:rsidR="00D81171" w:rsidRPr="00D81171">
        <w:rPr>
          <w:rFonts w:hint="cs"/>
          <w:rtl/>
        </w:rPr>
        <w:t xml:space="preserve"> באשר למקרה בו היה שימוש ראייתי בתוצרים </w:t>
      </w:r>
      <w:r w:rsidR="00B73E7B">
        <w:rPr>
          <w:rFonts w:hint="cs"/>
          <w:rtl/>
        </w:rPr>
        <w:t>אסורים</w:t>
      </w:r>
      <w:r w:rsidR="00D81171" w:rsidRPr="00D81171">
        <w:rPr>
          <w:rFonts w:hint="cs"/>
          <w:rtl/>
        </w:rPr>
        <w:t xml:space="preserve">, </w:t>
      </w:r>
      <w:r w:rsidR="00D81171" w:rsidRPr="00D81171">
        <w:rPr>
          <w:rtl/>
        </w:rPr>
        <w:t>משרד מבקר המדינה מעיר למשטרה כי משיכת הראיות על ידי הפרקליטות במקרה זה מדברת בפני עצמה</w:t>
      </w:r>
      <w:r w:rsidR="00D81171">
        <w:rPr>
          <w:rFonts w:hint="cs"/>
          <w:rtl/>
        </w:rPr>
        <w:t>.</w:t>
      </w:r>
    </w:p>
    <w:p w:rsidR="009A1216" w:rsidRDefault="009A1216" w:rsidP="00016E2D">
      <w:pPr>
        <w:pStyle w:val="a5"/>
        <w:spacing w:line="269" w:lineRule="auto"/>
        <w:ind w:left="0"/>
        <w:rPr>
          <w:rtl/>
        </w:rPr>
      </w:pPr>
    </w:p>
    <w:p w:rsidR="009A1216" w:rsidRPr="00234CB9" w:rsidRDefault="009A1216" w:rsidP="00016E2D">
      <w:pPr>
        <w:spacing w:line="269" w:lineRule="auto"/>
        <w:ind w:left="849"/>
        <w:rPr>
          <w:rtl/>
        </w:rPr>
      </w:pPr>
      <w:bookmarkStart w:id="576" w:name="_Hlk190260256"/>
      <w:r>
        <w:rPr>
          <w:rFonts w:hint="cs"/>
          <w:rtl/>
        </w:rPr>
        <w:t xml:space="preserve">משרד המשפטים מסר בתשובתו הנוספת מפברואר 2025 כי בבדיקתו את המקרים נמצא כי למעט ההליך הפלילי בו הפרקליטות משכה ראיות ביוני 2023, הם לא מצאו כל מקרה נוסף </w:t>
      </w:r>
      <w:r w:rsidRPr="00C65B0A">
        <w:rPr>
          <w:rFonts w:hint="cs"/>
          <w:rtl/>
        </w:rPr>
        <w:t>שבו</w:t>
      </w:r>
      <w:r>
        <w:rPr>
          <w:rFonts w:hint="cs"/>
          <w:rtl/>
        </w:rPr>
        <w:t xml:space="preserve"> נעשה שימוש ראייתי, עקיף או נגזר, בתוצר שאיסופו חורג מהוראות הדין. עם זאת, בבדיקתם עלה כי במספר מקרים אכן הופקו תוצרים מסוג זה, אך לא נעשה בהם שימוש ראייתי לאחר הפקתם</w:t>
      </w:r>
      <w:bookmarkEnd w:id="576"/>
      <w:r>
        <w:rPr>
          <w:rFonts w:hint="cs"/>
          <w:rtl/>
        </w:rPr>
        <w:t xml:space="preserve">. </w:t>
      </w:r>
    </w:p>
    <w:p w:rsidR="002D7F3F" w:rsidRPr="007313C6" w:rsidRDefault="002D7F3F" w:rsidP="00016E2D">
      <w:pPr>
        <w:spacing w:line="269" w:lineRule="auto"/>
        <w:ind w:left="426"/>
        <w:rPr>
          <w:rtl/>
        </w:rPr>
      </w:pPr>
    </w:p>
    <w:p w:rsidR="009A1216" w:rsidRDefault="009A1216" w:rsidP="00016E2D">
      <w:pPr>
        <w:spacing w:line="269" w:lineRule="auto"/>
        <w:ind w:left="849"/>
        <w:rPr>
          <w:b/>
          <w:bCs/>
          <w:rtl/>
        </w:rPr>
      </w:pPr>
      <w:r w:rsidRPr="00BB2D50">
        <w:rPr>
          <w:rFonts w:hint="cs"/>
          <w:b/>
          <w:bCs/>
          <w:rtl/>
        </w:rPr>
        <w:t>פעול</w:t>
      </w:r>
      <w:r>
        <w:rPr>
          <w:rFonts w:hint="cs"/>
          <w:b/>
          <w:bCs/>
          <w:rtl/>
        </w:rPr>
        <w:t>ו</w:t>
      </w:r>
      <w:r w:rsidRPr="00BB2D50">
        <w:rPr>
          <w:rFonts w:hint="cs"/>
          <w:b/>
          <w:bCs/>
          <w:rtl/>
        </w:rPr>
        <w:t>ת ההפקה והשימוש שעשתה המשטרה ב</w:t>
      </w:r>
      <w:r>
        <w:rPr>
          <w:rFonts w:hint="cs"/>
          <w:b/>
          <w:bCs/>
          <w:rtl/>
        </w:rPr>
        <w:t xml:space="preserve">אמצעות </w:t>
      </w:r>
      <w:r w:rsidRPr="00BB2D50">
        <w:rPr>
          <w:rFonts w:hint="cs"/>
          <w:b/>
          <w:bCs/>
          <w:rtl/>
        </w:rPr>
        <w:t xml:space="preserve">תוצרי האזנת סתר </w:t>
      </w:r>
      <w:r w:rsidR="00B73E7B">
        <w:rPr>
          <w:rFonts w:hint="cs"/>
          <w:b/>
          <w:bCs/>
          <w:rtl/>
        </w:rPr>
        <w:t>אסורים</w:t>
      </w:r>
      <w:r w:rsidRPr="00BB2D50">
        <w:rPr>
          <w:rFonts w:hint="cs"/>
          <w:b/>
          <w:bCs/>
          <w:rtl/>
        </w:rPr>
        <w:t xml:space="preserve"> פוגע</w:t>
      </w:r>
      <w:r>
        <w:rPr>
          <w:rFonts w:hint="cs"/>
          <w:b/>
          <w:bCs/>
          <w:rtl/>
        </w:rPr>
        <w:t>ו</w:t>
      </w:r>
      <w:r w:rsidRPr="00BB2D50">
        <w:rPr>
          <w:rFonts w:hint="cs"/>
          <w:b/>
          <w:bCs/>
          <w:rtl/>
        </w:rPr>
        <w:t>ת פגיעה משמעותית בזכויות יעדי ההאזנה</w:t>
      </w:r>
      <w:r>
        <w:rPr>
          <w:rFonts w:hint="cs"/>
          <w:b/>
          <w:bCs/>
          <w:rtl/>
        </w:rPr>
        <w:t xml:space="preserve">. מבקר המדינה מדגיש כי ההפקה בידי מפיקי המשטרה או השימוש בידי מפעילים טכנולוגיים ויחידות חקירה של תוצרי האזנת סתר </w:t>
      </w:r>
      <w:r w:rsidR="00B73E7B">
        <w:rPr>
          <w:rFonts w:hint="cs"/>
          <w:b/>
          <w:bCs/>
          <w:rtl/>
        </w:rPr>
        <w:t>אסורים</w:t>
      </w:r>
      <w:r>
        <w:rPr>
          <w:rFonts w:hint="cs"/>
          <w:b/>
          <w:bCs/>
          <w:rtl/>
        </w:rPr>
        <w:t xml:space="preserve"> אף אם נעשו רק במישור המודיעיני הן פעולות </w:t>
      </w:r>
      <w:r w:rsidR="00AD164E">
        <w:rPr>
          <w:rFonts w:hint="cs"/>
          <w:b/>
          <w:bCs/>
          <w:rtl/>
        </w:rPr>
        <w:t>אסורות</w:t>
      </w:r>
      <w:r>
        <w:rPr>
          <w:rFonts w:hint="cs"/>
          <w:b/>
          <w:bCs/>
          <w:rtl/>
        </w:rPr>
        <w:t xml:space="preserve">. לפיכך, </w:t>
      </w:r>
      <w:r w:rsidRPr="00BB2D50">
        <w:rPr>
          <w:rFonts w:hint="cs"/>
          <w:b/>
          <w:bCs/>
          <w:rtl/>
        </w:rPr>
        <w:t>המשטרה</w:t>
      </w:r>
      <w:r>
        <w:rPr>
          <w:rFonts w:hint="cs"/>
          <w:b/>
          <w:bCs/>
          <w:rtl/>
        </w:rPr>
        <w:t xml:space="preserve"> חושפת את עצמה</w:t>
      </w:r>
      <w:r w:rsidRPr="00BB2D50">
        <w:rPr>
          <w:rFonts w:hint="cs"/>
          <w:b/>
          <w:bCs/>
          <w:rtl/>
        </w:rPr>
        <w:t xml:space="preserve"> לטענות בדבר הגנה מן הצדק ופסלות ראיות </w:t>
      </w:r>
      <w:r>
        <w:rPr>
          <w:rFonts w:hint="cs"/>
          <w:b/>
          <w:bCs/>
          <w:rtl/>
        </w:rPr>
        <w:t xml:space="preserve">אם </w:t>
      </w:r>
      <w:r w:rsidRPr="00BB2D50">
        <w:rPr>
          <w:rFonts w:hint="cs"/>
          <w:b/>
          <w:bCs/>
          <w:rtl/>
        </w:rPr>
        <w:t>ינוהלו הליכים פליליים בעניינ</w:t>
      </w:r>
      <w:r>
        <w:rPr>
          <w:rFonts w:hint="cs"/>
          <w:b/>
          <w:bCs/>
          <w:rtl/>
        </w:rPr>
        <w:t>ן.</w:t>
      </w:r>
    </w:p>
    <w:p w:rsidR="00863460" w:rsidRPr="007313C6" w:rsidRDefault="00863460" w:rsidP="00604C3D">
      <w:pPr>
        <w:spacing w:line="269" w:lineRule="auto"/>
      </w:pPr>
    </w:p>
    <w:p w:rsidR="009A1216" w:rsidRPr="00016E2D" w:rsidRDefault="00F8134E" w:rsidP="00016E2D">
      <w:pPr>
        <w:pStyle w:val="5"/>
        <w:numPr>
          <w:ilvl w:val="0"/>
          <w:numId w:val="78"/>
        </w:numPr>
        <w:spacing w:line="269" w:lineRule="auto"/>
        <w:ind w:left="849"/>
        <w:rPr>
          <w:b/>
          <w:bCs w:val="0"/>
        </w:rPr>
      </w:pPr>
      <w:r w:rsidRPr="00016E2D">
        <w:rPr>
          <w:rStyle w:val="50"/>
          <w:rFonts w:hint="cs"/>
          <w:b/>
          <w:bCs/>
          <w:rtl/>
        </w:rPr>
        <w:t xml:space="preserve">התקנת כלי טכנולוגי על </w:t>
      </w:r>
      <w:r w:rsidR="009A1216" w:rsidRPr="00016E2D">
        <w:rPr>
          <w:rStyle w:val="50"/>
          <w:rFonts w:hint="cs"/>
          <w:b/>
          <w:bCs/>
          <w:rtl/>
        </w:rPr>
        <w:t xml:space="preserve">מכשיר קצה </w:t>
      </w:r>
      <w:r w:rsidRPr="00016E2D">
        <w:rPr>
          <w:rStyle w:val="50"/>
          <w:rFonts w:hint="cs"/>
          <w:b/>
          <w:bCs/>
          <w:rtl/>
        </w:rPr>
        <w:t xml:space="preserve">המתבססת </w:t>
      </w:r>
      <w:r w:rsidR="009A1216" w:rsidRPr="00016E2D">
        <w:rPr>
          <w:rStyle w:val="50"/>
          <w:rFonts w:hint="cs"/>
          <w:b/>
          <w:bCs/>
          <w:rtl/>
        </w:rPr>
        <w:t xml:space="preserve">על תוצרי האזנת סתר </w:t>
      </w:r>
      <w:r w:rsidR="002A172C" w:rsidRPr="00016E2D">
        <w:rPr>
          <w:rStyle w:val="50"/>
          <w:rFonts w:hint="cs"/>
          <w:b/>
          <w:bCs/>
          <w:rtl/>
        </w:rPr>
        <w:t>אסורים</w:t>
      </w:r>
    </w:p>
    <w:p w:rsidR="002D7F3F" w:rsidRPr="00016E2D" w:rsidRDefault="002D7F3F" w:rsidP="00604C3D">
      <w:pPr>
        <w:spacing w:line="269" w:lineRule="auto"/>
        <w:rPr>
          <w:b/>
          <w:bCs/>
          <w:rtl/>
        </w:rPr>
      </w:pPr>
    </w:p>
    <w:p w:rsidR="009A1216" w:rsidRPr="00FB5BE9" w:rsidRDefault="009A1216" w:rsidP="00016E2D">
      <w:pPr>
        <w:spacing w:line="269" w:lineRule="auto"/>
        <w:ind w:left="849"/>
        <w:rPr>
          <w:b/>
          <w:bCs/>
        </w:rPr>
      </w:pPr>
      <w:r w:rsidRPr="00FB5BE9">
        <w:rPr>
          <w:rFonts w:hint="eastAsia"/>
          <w:b/>
          <w:bCs/>
          <w:rtl/>
        </w:rPr>
        <w:t>נוסף</w:t>
      </w:r>
      <w:r w:rsidRPr="00FB5BE9">
        <w:rPr>
          <w:b/>
          <w:bCs/>
          <w:rtl/>
        </w:rPr>
        <w:t xml:space="preserve"> </w:t>
      </w:r>
      <w:r w:rsidRPr="00FB5BE9">
        <w:rPr>
          <w:rFonts w:hint="eastAsia"/>
          <w:b/>
          <w:bCs/>
          <w:rtl/>
        </w:rPr>
        <w:t>על</w:t>
      </w:r>
      <w:r w:rsidRPr="00FB5BE9">
        <w:rPr>
          <w:b/>
          <w:bCs/>
          <w:rtl/>
        </w:rPr>
        <w:t xml:space="preserve"> </w:t>
      </w:r>
      <w:r w:rsidRPr="00FB5BE9">
        <w:rPr>
          <w:rFonts w:hint="eastAsia"/>
          <w:b/>
          <w:bCs/>
          <w:rtl/>
        </w:rPr>
        <w:t>המקרה</w:t>
      </w:r>
      <w:r w:rsidRPr="00FB5BE9">
        <w:rPr>
          <w:b/>
          <w:bCs/>
          <w:rtl/>
        </w:rPr>
        <w:t xml:space="preserve"> </w:t>
      </w:r>
      <w:r w:rsidRPr="00FB5BE9">
        <w:rPr>
          <w:rFonts w:hint="eastAsia"/>
          <w:b/>
          <w:bCs/>
          <w:rtl/>
        </w:rPr>
        <w:t>שבו</w:t>
      </w:r>
      <w:r w:rsidRPr="00FB5BE9">
        <w:rPr>
          <w:b/>
          <w:bCs/>
          <w:rtl/>
        </w:rPr>
        <w:t xml:space="preserve"> </w:t>
      </w:r>
      <w:r w:rsidRPr="00FB5BE9">
        <w:rPr>
          <w:rFonts w:hint="eastAsia"/>
          <w:b/>
          <w:bCs/>
          <w:rtl/>
        </w:rPr>
        <w:t>הפרקליטות</w:t>
      </w:r>
      <w:r w:rsidRPr="00FB5BE9">
        <w:rPr>
          <w:b/>
          <w:bCs/>
          <w:rtl/>
        </w:rPr>
        <w:t xml:space="preserve"> </w:t>
      </w:r>
      <w:r w:rsidRPr="00FB5BE9">
        <w:rPr>
          <w:rFonts w:hint="eastAsia"/>
          <w:b/>
          <w:bCs/>
          <w:rtl/>
        </w:rPr>
        <w:t>משכה</w:t>
      </w:r>
      <w:r w:rsidRPr="00FB5BE9">
        <w:rPr>
          <w:b/>
          <w:bCs/>
          <w:rtl/>
        </w:rPr>
        <w:t xml:space="preserve"> </w:t>
      </w:r>
      <w:r w:rsidRPr="00FB5BE9">
        <w:rPr>
          <w:rFonts w:hint="eastAsia"/>
          <w:b/>
          <w:bCs/>
          <w:rtl/>
        </w:rPr>
        <w:t>ראיות</w:t>
      </w:r>
      <w:r w:rsidRPr="00FB5BE9">
        <w:rPr>
          <w:b/>
          <w:bCs/>
          <w:rtl/>
        </w:rPr>
        <w:t xml:space="preserve"> </w:t>
      </w:r>
      <w:r w:rsidRPr="00FB5BE9">
        <w:rPr>
          <w:rFonts w:hint="eastAsia"/>
          <w:b/>
          <w:bCs/>
          <w:rtl/>
        </w:rPr>
        <w:t>שהוגשו</w:t>
      </w:r>
      <w:r w:rsidRPr="00FB5BE9">
        <w:rPr>
          <w:b/>
          <w:bCs/>
          <w:rtl/>
        </w:rPr>
        <w:t xml:space="preserve"> </w:t>
      </w:r>
      <w:r w:rsidRPr="00FB5BE9">
        <w:rPr>
          <w:rFonts w:hint="eastAsia"/>
          <w:b/>
          <w:bCs/>
          <w:rtl/>
        </w:rPr>
        <w:t>בהליך</w:t>
      </w:r>
      <w:r w:rsidRPr="00FB5BE9">
        <w:rPr>
          <w:b/>
          <w:bCs/>
          <w:rtl/>
        </w:rPr>
        <w:t xml:space="preserve"> </w:t>
      </w:r>
      <w:r w:rsidRPr="00FB5BE9">
        <w:rPr>
          <w:rFonts w:hint="eastAsia"/>
          <w:b/>
          <w:bCs/>
          <w:rtl/>
        </w:rPr>
        <w:t>הפלילי</w:t>
      </w:r>
      <w:r w:rsidRPr="00FB5BE9">
        <w:rPr>
          <w:b/>
          <w:bCs/>
          <w:rtl/>
        </w:rPr>
        <w:t xml:space="preserve"> איתר משרד מבקר המדינה </w:t>
      </w:r>
      <w:r>
        <w:rPr>
          <w:rFonts w:hint="cs"/>
          <w:b/>
          <w:bCs/>
          <w:rtl/>
        </w:rPr>
        <w:t>שני</w:t>
      </w:r>
      <w:r w:rsidRPr="00FB5BE9">
        <w:rPr>
          <w:b/>
          <w:bCs/>
          <w:rtl/>
        </w:rPr>
        <w:t xml:space="preserve"> מקרים </w:t>
      </w:r>
      <w:bookmarkStart w:id="577" w:name="_Hlk188254868"/>
      <w:r>
        <w:rPr>
          <w:rFonts w:hint="cs"/>
          <w:b/>
          <w:bCs/>
          <w:rtl/>
        </w:rPr>
        <w:t>שבהם מפעילים טכנולוגיים מטעם המשטרה השתמשו</w:t>
      </w:r>
      <w:r w:rsidRPr="00FB5BE9">
        <w:rPr>
          <w:b/>
          <w:bCs/>
          <w:rtl/>
        </w:rPr>
        <w:t xml:space="preserve"> בתוצרי האזנה אסורים שנאספו ממכשיר קצה אחד לצורך ביצוע </w:t>
      </w:r>
      <w:r w:rsidR="00062A25">
        <w:rPr>
          <w:b/>
          <w:bCs/>
          <w:rtl/>
        </w:rPr>
        <w:t>התקנה</w:t>
      </w:r>
      <w:r w:rsidRPr="00FB5BE9">
        <w:rPr>
          <w:b/>
          <w:bCs/>
          <w:rtl/>
        </w:rPr>
        <w:t xml:space="preserve"> של מכשיר קצה אחר. </w:t>
      </w:r>
      <w:r w:rsidRPr="00FB5BE9">
        <w:rPr>
          <w:rFonts w:hint="eastAsia"/>
          <w:b/>
          <w:bCs/>
          <w:rtl/>
        </w:rPr>
        <w:t>זאת</w:t>
      </w:r>
      <w:r w:rsidRPr="00FB5BE9">
        <w:rPr>
          <w:b/>
          <w:bCs/>
          <w:rtl/>
        </w:rPr>
        <w:t xml:space="preserve">, בהתאם לתרשומת פנימית מבצעית </w:t>
      </w:r>
      <w:r w:rsidRPr="00FB5BE9">
        <w:rPr>
          <w:rFonts w:hint="eastAsia"/>
          <w:b/>
          <w:bCs/>
          <w:rtl/>
        </w:rPr>
        <w:t>שהכינו</w:t>
      </w:r>
      <w:r w:rsidRPr="00FB5BE9">
        <w:rPr>
          <w:b/>
          <w:bCs/>
          <w:rtl/>
        </w:rPr>
        <w:t xml:space="preserve"> גורמי המשטרה </w:t>
      </w:r>
      <w:r w:rsidRPr="00FB5BE9">
        <w:rPr>
          <w:rFonts w:hint="eastAsia"/>
          <w:b/>
          <w:bCs/>
          <w:rtl/>
        </w:rPr>
        <w:t>העוסקת</w:t>
      </w:r>
      <w:r w:rsidRPr="00FB5BE9">
        <w:rPr>
          <w:b/>
          <w:bCs/>
          <w:rtl/>
        </w:rPr>
        <w:t xml:space="preserve"> </w:t>
      </w:r>
      <w:r w:rsidRPr="00FB5BE9">
        <w:rPr>
          <w:rFonts w:hint="eastAsia"/>
          <w:b/>
          <w:bCs/>
          <w:rtl/>
        </w:rPr>
        <w:t>בשימוש</w:t>
      </w:r>
      <w:r w:rsidRPr="00FB5BE9">
        <w:rPr>
          <w:b/>
          <w:bCs/>
          <w:rtl/>
        </w:rPr>
        <w:t xml:space="preserve"> </w:t>
      </w:r>
      <w:r w:rsidRPr="00FB5BE9">
        <w:rPr>
          <w:rFonts w:hint="eastAsia"/>
          <w:b/>
          <w:bCs/>
          <w:rtl/>
        </w:rPr>
        <w:t>אקטיבי</w:t>
      </w:r>
      <w:r w:rsidRPr="00FB5BE9">
        <w:rPr>
          <w:b/>
          <w:bCs/>
          <w:rtl/>
        </w:rPr>
        <w:t xml:space="preserve"> </w:t>
      </w:r>
      <w:r w:rsidRPr="00FB5BE9">
        <w:rPr>
          <w:rFonts w:hint="eastAsia"/>
          <w:b/>
          <w:bCs/>
          <w:rtl/>
        </w:rPr>
        <w:t>בתוצרים</w:t>
      </w:r>
      <w:r w:rsidRPr="00FB5BE9">
        <w:rPr>
          <w:b/>
          <w:bCs/>
          <w:rtl/>
        </w:rPr>
        <w:t xml:space="preserve"> </w:t>
      </w:r>
      <w:r w:rsidRPr="00FB5BE9">
        <w:rPr>
          <w:rFonts w:hint="eastAsia"/>
          <w:b/>
          <w:bCs/>
          <w:rtl/>
        </w:rPr>
        <w:t>אלו</w:t>
      </w:r>
      <w:r w:rsidRPr="00FB5BE9">
        <w:rPr>
          <w:b/>
          <w:bCs/>
          <w:rtl/>
        </w:rPr>
        <w:t xml:space="preserve"> </w:t>
      </w:r>
      <w:r w:rsidRPr="00FB5BE9">
        <w:rPr>
          <w:rFonts w:hint="eastAsia"/>
          <w:b/>
          <w:bCs/>
          <w:rtl/>
        </w:rPr>
        <w:t>לצורך</w:t>
      </w:r>
      <w:r w:rsidRPr="00FB5BE9">
        <w:rPr>
          <w:b/>
          <w:bCs/>
          <w:rtl/>
        </w:rPr>
        <w:t xml:space="preserve"> </w:t>
      </w:r>
      <w:r w:rsidRPr="00FB5BE9">
        <w:rPr>
          <w:rFonts w:hint="eastAsia"/>
          <w:b/>
          <w:bCs/>
          <w:rtl/>
        </w:rPr>
        <w:t>ביצוע</w:t>
      </w:r>
      <w:r w:rsidRPr="00FB5BE9">
        <w:rPr>
          <w:b/>
          <w:bCs/>
          <w:rtl/>
        </w:rPr>
        <w:t xml:space="preserve"> </w:t>
      </w:r>
      <w:r w:rsidRPr="00FB5BE9">
        <w:rPr>
          <w:rFonts w:hint="eastAsia"/>
          <w:b/>
          <w:bCs/>
          <w:rtl/>
        </w:rPr>
        <w:t>ה</w:t>
      </w:r>
      <w:r w:rsidR="00062A25">
        <w:rPr>
          <w:rFonts w:hint="eastAsia"/>
          <w:b/>
          <w:bCs/>
          <w:rtl/>
        </w:rPr>
        <w:t>התקנה</w:t>
      </w:r>
      <w:r w:rsidRPr="00FB5BE9">
        <w:rPr>
          <w:b/>
          <w:bCs/>
          <w:rtl/>
        </w:rPr>
        <w:t>.</w:t>
      </w:r>
      <w:r>
        <w:rPr>
          <w:b/>
          <w:bCs/>
          <w:rtl/>
        </w:rPr>
        <w:t xml:space="preserve"> </w:t>
      </w:r>
    </w:p>
    <w:bookmarkEnd w:id="577"/>
    <w:p w:rsidR="009A1216" w:rsidRPr="00D40BA5" w:rsidRDefault="009A1216" w:rsidP="00016E2D">
      <w:pPr>
        <w:pStyle w:val="a5"/>
        <w:spacing w:line="269" w:lineRule="auto"/>
        <w:ind w:left="0"/>
        <w:rPr>
          <w:rtl/>
        </w:rPr>
      </w:pPr>
    </w:p>
    <w:p w:rsidR="009A1216" w:rsidRPr="00C65B0A" w:rsidRDefault="009A1216" w:rsidP="00016E2D">
      <w:pPr>
        <w:spacing w:line="269" w:lineRule="auto"/>
        <w:ind w:left="849"/>
        <w:rPr>
          <w:b/>
          <w:bCs/>
        </w:rPr>
      </w:pPr>
      <w:r w:rsidRPr="00C65B0A">
        <w:rPr>
          <w:rFonts w:hint="cs"/>
          <w:b/>
          <w:bCs/>
          <w:rtl/>
        </w:rPr>
        <w:t xml:space="preserve">פעולת </w:t>
      </w:r>
      <w:r w:rsidR="00062A25" w:rsidRPr="00C65B0A">
        <w:rPr>
          <w:rFonts w:hint="cs"/>
          <w:b/>
          <w:bCs/>
          <w:rtl/>
        </w:rPr>
        <w:t>התקנה</w:t>
      </w:r>
      <w:r w:rsidRPr="00C65B0A">
        <w:rPr>
          <w:rFonts w:hint="cs"/>
          <w:b/>
          <w:bCs/>
          <w:rtl/>
        </w:rPr>
        <w:t xml:space="preserve"> </w:t>
      </w:r>
      <w:r w:rsidR="00062A25" w:rsidRPr="00C65B0A">
        <w:rPr>
          <w:rFonts w:hint="cs"/>
          <w:b/>
          <w:bCs/>
          <w:rtl/>
        </w:rPr>
        <w:t xml:space="preserve">של כלי טכנולוגי </w:t>
      </w:r>
      <w:r w:rsidRPr="00C65B0A">
        <w:rPr>
          <w:rFonts w:hint="cs"/>
          <w:b/>
          <w:bCs/>
          <w:rtl/>
        </w:rPr>
        <w:t xml:space="preserve">המבוצעת על בסיס תוצר </w:t>
      </w:r>
      <w:r w:rsidR="0035673C" w:rsidRPr="00C65B0A">
        <w:rPr>
          <w:rFonts w:hint="cs"/>
          <w:b/>
          <w:bCs/>
          <w:rtl/>
        </w:rPr>
        <w:t>שאיסופו אסור</w:t>
      </w:r>
      <w:r w:rsidRPr="00C65B0A">
        <w:rPr>
          <w:rFonts w:hint="cs"/>
          <w:b/>
          <w:bCs/>
          <w:rtl/>
        </w:rPr>
        <w:t xml:space="preserve"> מקעקעת את החוקיות של הפעולה ושל כל תוצר שנאסף באמצעותה. השפעותיה של </w:t>
      </w:r>
      <w:r w:rsidR="00062A25" w:rsidRPr="00C65B0A">
        <w:rPr>
          <w:rFonts w:hint="cs"/>
          <w:b/>
          <w:bCs/>
          <w:rtl/>
        </w:rPr>
        <w:t>ה</w:t>
      </w:r>
      <w:r w:rsidR="0027505C" w:rsidRPr="00C65B0A">
        <w:rPr>
          <w:rFonts w:hint="cs"/>
          <w:b/>
          <w:bCs/>
          <w:rtl/>
        </w:rPr>
        <w:t>ה</w:t>
      </w:r>
      <w:r w:rsidR="00062A25" w:rsidRPr="00C65B0A">
        <w:rPr>
          <w:rFonts w:hint="cs"/>
          <w:b/>
          <w:bCs/>
          <w:rtl/>
        </w:rPr>
        <w:t>תקנה</w:t>
      </w:r>
      <w:r w:rsidRPr="00C65B0A">
        <w:rPr>
          <w:rFonts w:hint="cs"/>
          <w:b/>
          <w:bCs/>
          <w:rtl/>
        </w:rPr>
        <w:t xml:space="preserve"> </w:t>
      </w:r>
      <w:r w:rsidR="0035673C" w:rsidRPr="00C65B0A">
        <w:rPr>
          <w:rFonts w:hint="cs"/>
          <w:b/>
          <w:bCs/>
          <w:rtl/>
        </w:rPr>
        <w:t>האסורה</w:t>
      </w:r>
      <w:r w:rsidRPr="00C65B0A">
        <w:rPr>
          <w:rFonts w:hint="cs"/>
          <w:b/>
          <w:bCs/>
          <w:rtl/>
        </w:rPr>
        <w:t xml:space="preserve"> עשויות להיות רחבות והרסניות בכל הנוגע לפסילת ראיות פליליות, למניעת שימוש בתוצרי מודיעין ולקיומו של מחדל חקירה העומד בלב פרשייה מודיעינית או תיק חקירה. </w:t>
      </w:r>
    </w:p>
    <w:p w:rsidR="002D7F3F" w:rsidRDefault="002D7F3F" w:rsidP="00604C3D">
      <w:pPr>
        <w:spacing w:line="269" w:lineRule="auto"/>
        <w:rPr>
          <w:b/>
          <w:bCs/>
          <w:rtl/>
        </w:rPr>
      </w:pPr>
    </w:p>
    <w:p w:rsidR="009A1216" w:rsidRDefault="009A1216" w:rsidP="00212501">
      <w:pPr>
        <w:spacing w:line="269" w:lineRule="auto"/>
        <w:ind w:left="423"/>
        <w:rPr>
          <w:b/>
          <w:bCs/>
          <w:rtl/>
        </w:rPr>
      </w:pPr>
      <w:r w:rsidRPr="009B2F27">
        <w:rPr>
          <w:rFonts w:hint="cs"/>
          <w:b/>
          <w:bCs/>
          <w:rtl/>
        </w:rPr>
        <w:t>מתוך 12 יעדי האזנה ש</w:t>
      </w:r>
      <w:r>
        <w:rPr>
          <w:rFonts w:hint="cs"/>
          <w:b/>
          <w:bCs/>
          <w:rtl/>
        </w:rPr>
        <w:t xml:space="preserve">משרד מבקר המדינה </w:t>
      </w:r>
      <w:r w:rsidRPr="009B2F27">
        <w:rPr>
          <w:rFonts w:hint="cs"/>
          <w:b/>
          <w:bCs/>
          <w:rtl/>
        </w:rPr>
        <w:t>בדק</w:t>
      </w:r>
      <w:r>
        <w:rPr>
          <w:rFonts w:hint="cs"/>
          <w:b/>
          <w:bCs/>
          <w:rtl/>
        </w:rPr>
        <w:t xml:space="preserve"> את השימוש בתוצרי האזנת סתר שנאספו לגביהם באמצעות כלי מסוים,</w:t>
      </w:r>
      <w:r w:rsidRPr="009B2F27">
        <w:rPr>
          <w:rFonts w:hint="cs"/>
          <w:b/>
          <w:bCs/>
          <w:rtl/>
        </w:rPr>
        <w:t xml:space="preserve"> </w:t>
      </w:r>
      <w:r>
        <w:rPr>
          <w:rFonts w:hint="cs"/>
          <w:b/>
          <w:bCs/>
          <w:rtl/>
        </w:rPr>
        <w:t>בנוגע</w:t>
      </w:r>
      <w:r w:rsidRPr="009B2F27">
        <w:rPr>
          <w:rFonts w:hint="cs"/>
          <w:b/>
          <w:bCs/>
          <w:rtl/>
        </w:rPr>
        <w:t xml:space="preserve"> ל</w:t>
      </w:r>
      <w:r>
        <w:rPr>
          <w:rFonts w:hint="cs"/>
          <w:b/>
          <w:bCs/>
          <w:rtl/>
        </w:rPr>
        <w:t xml:space="preserve">-11 </w:t>
      </w:r>
      <w:r w:rsidRPr="009B2F27">
        <w:rPr>
          <w:rFonts w:hint="cs"/>
          <w:b/>
          <w:bCs/>
          <w:rtl/>
        </w:rPr>
        <w:t>יעד</w:t>
      </w:r>
      <w:r>
        <w:rPr>
          <w:rFonts w:hint="cs"/>
          <w:b/>
          <w:bCs/>
          <w:rtl/>
        </w:rPr>
        <w:t>י</w:t>
      </w:r>
      <w:r w:rsidRPr="009B2F27">
        <w:rPr>
          <w:rFonts w:hint="cs"/>
          <w:b/>
          <w:bCs/>
          <w:rtl/>
        </w:rPr>
        <w:t xml:space="preserve"> האזנה </w:t>
      </w:r>
      <w:r>
        <w:rPr>
          <w:rFonts w:hint="cs"/>
          <w:b/>
          <w:bCs/>
          <w:rtl/>
        </w:rPr>
        <w:t xml:space="preserve">המשטרה </w:t>
      </w:r>
      <w:r w:rsidRPr="009B2F27">
        <w:rPr>
          <w:rFonts w:hint="cs"/>
          <w:b/>
          <w:bCs/>
          <w:rtl/>
        </w:rPr>
        <w:t>ב</w:t>
      </w:r>
      <w:r>
        <w:rPr>
          <w:rFonts w:hint="cs"/>
          <w:b/>
          <w:bCs/>
          <w:rtl/>
        </w:rPr>
        <w:t>י</w:t>
      </w:r>
      <w:r w:rsidRPr="009B2F27">
        <w:rPr>
          <w:rFonts w:hint="cs"/>
          <w:b/>
          <w:bCs/>
          <w:rtl/>
        </w:rPr>
        <w:t>צעה</w:t>
      </w:r>
      <w:r>
        <w:rPr>
          <w:rFonts w:hint="cs"/>
          <w:b/>
          <w:bCs/>
          <w:rtl/>
        </w:rPr>
        <w:t xml:space="preserve"> לכל הפחות פעולה אחת</w:t>
      </w:r>
      <w:r w:rsidRPr="009B2F27">
        <w:rPr>
          <w:rFonts w:hint="cs"/>
          <w:b/>
          <w:bCs/>
          <w:rtl/>
        </w:rPr>
        <w:t xml:space="preserve"> </w:t>
      </w:r>
      <w:r w:rsidR="00CD487B">
        <w:rPr>
          <w:rFonts w:hint="cs"/>
          <w:b/>
          <w:bCs/>
          <w:rtl/>
        </w:rPr>
        <w:t>אסורה</w:t>
      </w:r>
      <w:r w:rsidR="000E3595">
        <w:rPr>
          <w:rFonts w:hint="cs"/>
          <w:b/>
          <w:bCs/>
          <w:rtl/>
        </w:rPr>
        <w:t xml:space="preserve"> </w:t>
      </w:r>
      <w:r w:rsidRPr="009B2F27">
        <w:rPr>
          <w:rFonts w:hint="cs"/>
          <w:b/>
          <w:bCs/>
          <w:rtl/>
        </w:rPr>
        <w:t xml:space="preserve">- </w:t>
      </w:r>
      <w:bookmarkStart w:id="578" w:name="_Hlk189402033"/>
      <w:r w:rsidRPr="009B2F27">
        <w:rPr>
          <w:rFonts w:hint="cs"/>
          <w:b/>
          <w:bCs/>
          <w:rtl/>
        </w:rPr>
        <w:t xml:space="preserve">ייצוא, עיון, הפקה בפועל, שימוש בתוצרי האזנה או </w:t>
      </w:r>
      <w:r>
        <w:rPr>
          <w:rFonts w:hint="cs"/>
          <w:b/>
          <w:bCs/>
          <w:rtl/>
        </w:rPr>
        <w:t>ביצוע</w:t>
      </w:r>
      <w:r w:rsidRPr="009B2F27">
        <w:rPr>
          <w:rFonts w:hint="cs"/>
          <w:b/>
          <w:bCs/>
          <w:rtl/>
        </w:rPr>
        <w:t xml:space="preserve"> </w:t>
      </w:r>
      <w:r w:rsidR="00062A25">
        <w:rPr>
          <w:rFonts w:hint="cs"/>
          <w:b/>
          <w:bCs/>
          <w:rtl/>
        </w:rPr>
        <w:t>התקנה</w:t>
      </w:r>
      <w:r w:rsidRPr="009B2F27">
        <w:rPr>
          <w:rFonts w:hint="cs"/>
          <w:b/>
          <w:bCs/>
          <w:rtl/>
        </w:rPr>
        <w:t xml:space="preserve"> </w:t>
      </w:r>
      <w:r>
        <w:rPr>
          <w:rFonts w:hint="cs"/>
          <w:b/>
          <w:bCs/>
          <w:rtl/>
        </w:rPr>
        <w:t xml:space="preserve">בעזרת </w:t>
      </w:r>
      <w:r w:rsidRPr="009B2F27">
        <w:rPr>
          <w:rFonts w:hint="cs"/>
          <w:b/>
          <w:bCs/>
          <w:rtl/>
        </w:rPr>
        <w:t>תוצרי האזנה אלו</w:t>
      </w:r>
      <w:bookmarkEnd w:id="578"/>
      <w:r w:rsidRPr="009B2F27">
        <w:rPr>
          <w:rFonts w:hint="cs"/>
          <w:b/>
          <w:bCs/>
          <w:rtl/>
        </w:rPr>
        <w:t>.</w:t>
      </w:r>
      <w:r>
        <w:rPr>
          <w:rFonts w:hint="cs"/>
          <w:b/>
          <w:bCs/>
          <w:rtl/>
        </w:rPr>
        <w:t xml:space="preserve"> כמו </w:t>
      </w:r>
      <w:bookmarkStart w:id="579" w:name="_Hlk188254927"/>
      <w:r>
        <w:rPr>
          <w:rFonts w:hint="cs"/>
          <w:b/>
          <w:bCs/>
          <w:rtl/>
        </w:rPr>
        <w:t xml:space="preserve">כן נבחנו עוד </w:t>
      </w:r>
      <w:r w:rsidR="00A93E60">
        <w:rPr>
          <w:rFonts w:hint="cs"/>
          <w:b/>
          <w:bCs/>
          <w:rtl/>
        </w:rPr>
        <w:t xml:space="preserve">7 </w:t>
      </w:r>
      <w:r>
        <w:rPr>
          <w:rFonts w:hint="cs"/>
          <w:b/>
          <w:bCs/>
          <w:rtl/>
        </w:rPr>
        <w:t xml:space="preserve">יעדים נוספים שבהם, לפי מסמכים שהחזיקה המשטרה, עלה חשש שנעשו פעולות של הפקת תוצרי האזנה </w:t>
      </w:r>
      <w:r w:rsidR="0035673C">
        <w:rPr>
          <w:rFonts w:hint="cs"/>
          <w:b/>
          <w:bCs/>
          <w:rtl/>
        </w:rPr>
        <w:t>שאיסופם אסור</w:t>
      </w:r>
      <w:r>
        <w:rPr>
          <w:rFonts w:hint="cs"/>
          <w:b/>
          <w:bCs/>
          <w:rtl/>
        </w:rPr>
        <w:t xml:space="preserve"> או שימוש בהם לפי מסמכים שהחזיקה המשטרה. מהם, אותרו שלושה יעדים שבהם בוצעו הפקה ושימוש </w:t>
      </w:r>
      <w:r w:rsidR="0035673C">
        <w:rPr>
          <w:rFonts w:hint="cs"/>
          <w:b/>
          <w:bCs/>
          <w:rtl/>
        </w:rPr>
        <w:t xml:space="preserve">אסורים </w:t>
      </w:r>
      <w:r>
        <w:rPr>
          <w:rFonts w:hint="cs"/>
          <w:b/>
          <w:bCs/>
          <w:rtl/>
        </w:rPr>
        <w:t>בתוצרים</w:t>
      </w:r>
      <w:r w:rsidR="0035673C">
        <w:rPr>
          <w:rFonts w:hint="cs"/>
          <w:b/>
          <w:bCs/>
          <w:rtl/>
        </w:rPr>
        <w:t xml:space="preserve"> אסורים</w:t>
      </w:r>
      <w:r>
        <w:rPr>
          <w:rFonts w:hint="cs"/>
          <w:b/>
          <w:bCs/>
          <w:rtl/>
        </w:rPr>
        <w:t xml:space="preserve">. בסך הכול אותרו 14 יעדים שבהם נעשה שימוש בתוצרי האזנה </w:t>
      </w:r>
      <w:r w:rsidR="00B93F04">
        <w:rPr>
          <w:rFonts w:hint="cs"/>
          <w:b/>
          <w:bCs/>
          <w:rtl/>
        </w:rPr>
        <w:t>שאיסופם אסור</w:t>
      </w:r>
      <w:r>
        <w:rPr>
          <w:rFonts w:hint="cs"/>
          <w:b/>
          <w:bCs/>
          <w:rtl/>
        </w:rPr>
        <w:t xml:space="preserve"> ב-10 פרשיות ותיקי חקירה; בנוגע ל-5 יעדים לא אותרו אינדיקציות לביצוע הפקה ושימוש </w:t>
      </w:r>
      <w:r w:rsidR="00B93F04">
        <w:rPr>
          <w:rFonts w:hint="cs"/>
          <w:b/>
          <w:bCs/>
          <w:rtl/>
        </w:rPr>
        <w:t>אסור</w:t>
      </w:r>
      <w:r>
        <w:rPr>
          <w:rFonts w:hint="cs"/>
          <w:b/>
          <w:bCs/>
          <w:rtl/>
        </w:rPr>
        <w:t xml:space="preserve">. </w:t>
      </w:r>
      <w:bookmarkEnd w:id="579"/>
    </w:p>
    <w:p w:rsidR="002D7F3F" w:rsidRDefault="002D7F3F" w:rsidP="00604C3D">
      <w:pPr>
        <w:spacing w:line="269" w:lineRule="auto"/>
        <w:rPr>
          <w:rtl/>
        </w:rPr>
      </w:pPr>
    </w:p>
    <w:p w:rsidR="009A1216" w:rsidRPr="00AF7F14" w:rsidRDefault="009A1216" w:rsidP="00212501">
      <w:pPr>
        <w:spacing w:line="269" w:lineRule="auto"/>
        <w:ind w:left="423"/>
        <w:rPr>
          <w:rtl/>
        </w:rPr>
      </w:pPr>
      <w:r w:rsidRPr="00AF7F14">
        <w:rPr>
          <w:rFonts w:hint="eastAsia"/>
          <w:rtl/>
        </w:rPr>
        <w:t>לאחר</w:t>
      </w:r>
      <w:r w:rsidRPr="00AF7F14">
        <w:rPr>
          <w:rtl/>
        </w:rPr>
        <w:t xml:space="preserve"> פרסום </w:t>
      </w:r>
      <w:r w:rsidRPr="00AF7F14">
        <w:rPr>
          <w:rFonts w:hint="cs"/>
          <w:rtl/>
        </w:rPr>
        <w:t>"</w:t>
      </w:r>
      <w:r w:rsidRPr="00AF7F14">
        <w:rPr>
          <w:rtl/>
        </w:rPr>
        <w:t xml:space="preserve">פרשת פגסוס" נעשתה הבחנה בשיח הציבורי לרבות הדיון שהתקיים במסגרת עבודת צוות מררי, בין פעולות </w:t>
      </w:r>
      <w:r w:rsidR="00B93F04">
        <w:rPr>
          <w:rFonts w:hint="cs"/>
          <w:rtl/>
        </w:rPr>
        <w:t>אסורות</w:t>
      </w:r>
      <w:r w:rsidRPr="00AF7F14">
        <w:rPr>
          <w:rtl/>
        </w:rPr>
        <w:t xml:space="preserve"> בשלבי ה</w:t>
      </w:r>
      <w:r w:rsidR="00062A25">
        <w:rPr>
          <w:rtl/>
        </w:rPr>
        <w:t>התקנה</w:t>
      </w:r>
      <w:r w:rsidRPr="00AF7F14">
        <w:rPr>
          <w:rtl/>
        </w:rPr>
        <w:t xml:space="preserve"> והאיסוף של תוצרי האזנת סתר לבין השימוש הלכה למעשה בתוצרים אסורים במסגרת ניהול תיקי חקירה</w:t>
      </w:r>
      <w:r w:rsidRPr="00AF7F14">
        <w:rPr>
          <w:rFonts w:hint="cs"/>
          <w:rtl/>
        </w:rPr>
        <w:t xml:space="preserve"> פליליים</w:t>
      </w:r>
      <w:r w:rsidRPr="00AF7F14">
        <w:rPr>
          <w:rtl/>
        </w:rPr>
        <w:t xml:space="preserve">. </w:t>
      </w:r>
    </w:p>
    <w:p w:rsidR="009A1216" w:rsidRDefault="009A1216" w:rsidP="00604C3D">
      <w:pPr>
        <w:pStyle w:val="a5"/>
        <w:spacing w:line="269" w:lineRule="auto"/>
        <w:rPr>
          <w:rtl/>
        </w:rPr>
      </w:pPr>
    </w:p>
    <w:p w:rsidR="009A1216" w:rsidRPr="00234CB9" w:rsidRDefault="009A1216" w:rsidP="00212501">
      <w:pPr>
        <w:spacing w:line="269" w:lineRule="auto"/>
        <w:ind w:left="423"/>
        <w:rPr>
          <w:rtl/>
        </w:rPr>
      </w:pPr>
      <w:r w:rsidRPr="00234CB9">
        <w:rPr>
          <w:rFonts w:hint="eastAsia"/>
          <w:rtl/>
        </w:rPr>
        <w:t>משרד</w:t>
      </w:r>
      <w:r w:rsidRPr="00234CB9">
        <w:rPr>
          <w:rtl/>
        </w:rPr>
        <w:t xml:space="preserve"> המשפטים מסר כי </w:t>
      </w:r>
      <w:r w:rsidRPr="00234CB9">
        <w:rPr>
          <w:rFonts w:hint="eastAsia"/>
          <w:rtl/>
        </w:rPr>
        <w:t>כבר</w:t>
      </w:r>
      <w:r w:rsidRPr="00234CB9">
        <w:rPr>
          <w:rtl/>
        </w:rPr>
        <w:t xml:space="preserve"> בדוח צוות מררי </w:t>
      </w:r>
      <w:r w:rsidRPr="00234CB9">
        <w:rPr>
          <w:rFonts w:hint="eastAsia"/>
          <w:rtl/>
        </w:rPr>
        <w:t>הודגש</w:t>
      </w:r>
      <w:r w:rsidRPr="00234CB9">
        <w:rPr>
          <w:rtl/>
        </w:rPr>
        <w:t xml:space="preserve"> </w:t>
      </w:r>
      <w:r w:rsidRPr="00234CB9">
        <w:rPr>
          <w:rFonts w:hint="eastAsia"/>
          <w:rtl/>
        </w:rPr>
        <w:t>כי</w:t>
      </w:r>
      <w:r w:rsidRPr="00234CB9">
        <w:rPr>
          <w:rtl/>
        </w:rPr>
        <w:t xml:space="preserve"> </w:t>
      </w:r>
      <w:r w:rsidRPr="00234CB9">
        <w:rPr>
          <w:rFonts w:hint="eastAsia"/>
          <w:rtl/>
        </w:rPr>
        <w:t>עצם</w:t>
      </w:r>
      <w:r w:rsidRPr="00234CB9">
        <w:rPr>
          <w:rtl/>
        </w:rPr>
        <w:t xml:space="preserve"> </w:t>
      </w:r>
      <w:r w:rsidRPr="00234CB9">
        <w:rPr>
          <w:rFonts w:hint="eastAsia"/>
          <w:rtl/>
        </w:rPr>
        <w:t>האיסוף</w:t>
      </w:r>
      <w:r w:rsidRPr="00234CB9">
        <w:rPr>
          <w:rtl/>
        </w:rPr>
        <w:t xml:space="preserve"> </w:t>
      </w:r>
      <w:r w:rsidRPr="00234CB9">
        <w:rPr>
          <w:rFonts w:hint="eastAsia"/>
          <w:rtl/>
        </w:rPr>
        <w:t>של</w:t>
      </w:r>
      <w:r w:rsidRPr="00234CB9">
        <w:rPr>
          <w:rtl/>
        </w:rPr>
        <w:t xml:space="preserve"> </w:t>
      </w:r>
      <w:r w:rsidRPr="00234CB9">
        <w:rPr>
          <w:rFonts w:hint="eastAsia"/>
          <w:rtl/>
        </w:rPr>
        <w:t>מידע</w:t>
      </w:r>
      <w:r w:rsidRPr="00234CB9">
        <w:rPr>
          <w:rtl/>
        </w:rPr>
        <w:t xml:space="preserve"> </w:t>
      </w:r>
      <w:r w:rsidRPr="00234CB9">
        <w:rPr>
          <w:rFonts w:hint="eastAsia"/>
          <w:rtl/>
        </w:rPr>
        <w:t>אסור</w:t>
      </w:r>
      <w:r w:rsidRPr="00234CB9">
        <w:rPr>
          <w:rtl/>
        </w:rPr>
        <w:t xml:space="preserve"> </w:t>
      </w:r>
      <w:r w:rsidRPr="00234CB9">
        <w:rPr>
          <w:rFonts w:hint="eastAsia"/>
          <w:rtl/>
        </w:rPr>
        <w:t>הצביע</w:t>
      </w:r>
      <w:r w:rsidRPr="00234CB9">
        <w:rPr>
          <w:rtl/>
        </w:rPr>
        <w:t xml:space="preserve"> על פגיעה בזכות לפרטיות, וכי בדיעבד לא ניתן היה להסתפק בגידור </w:t>
      </w:r>
      <w:r w:rsidRPr="00234CB9">
        <w:rPr>
          <w:rFonts w:hint="eastAsia"/>
          <w:rtl/>
        </w:rPr>
        <w:t>יכולות</w:t>
      </w:r>
      <w:r w:rsidRPr="00234CB9">
        <w:rPr>
          <w:rtl/>
        </w:rPr>
        <w:t xml:space="preserve"> </w:t>
      </w:r>
      <w:r w:rsidRPr="00234CB9">
        <w:rPr>
          <w:rFonts w:hint="eastAsia"/>
          <w:rtl/>
        </w:rPr>
        <w:t>הכלים</w:t>
      </w:r>
      <w:r w:rsidRPr="00234CB9">
        <w:rPr>
          <w:rtl/>
        </w:rPr>
        <w:t xml:space="preserve"> </w:t>
      </w:r>
      <w:r w:rsidRPr="00234CB9">
        <w:rPr>
          <w:rFonts w:hint="eastAsia"/>
          <w:rtl/>
        </w:rPr>
        <w:t>הטכנולוגיים</w:t>
      </w:r>
      <w:r>
        <w:rPr>
          <w:rFonts w:hint="cs"/>
          <w:rtl/>
        </w:rPr>
        <w:t xml:space="preserve"> באמצעות נהלים כפי שביצעה המשטרה</w:t>
      </w:r>
      <w:r w:rsidRPr="00234CB9">
        <w:rPr>
          <w:rtl/>
        </w:rPr>
        <w:t xml:space="preserve">. </w:t>
      </w:r>
    </w:p>
    <w:p w:rsidR="009A1216" w:rsidRDefault="009A1216" w:rsidP="00604C3D">
      <w:pPr>
        <w:pStyle w:val="a5"/>
        <w:spacing w:line="269" w:lineRule="auto"/>
        <w:rPr>
          <w:rtl/>
        </w:rPr>
      </w:pPr>
      <w:bookmarkStart w:id="580" w:name="_Hlk187655868"/>
      <w:r>
        <w:rPr>
          <w:rFonts w:hint="cs"/>
          <w:rtl/>
        </w:rPr>
        <w:t xml:space="preserve"> </w:t>
      </w:r>
    </w:p>
    <w:p w:rsidR="009A1216" w:rsidRPr="00234CB9" w:rsidRDefault="009A1216" w:rsidP="00212501">
      <w:pPr>
        <w:spacing w:line="269" w:lineRule="auto"/>
        <w:ind w:left="423"/>
        <w:rPr>
          <w:szCs w:val="20"/>
          <w:rtl/>
        </w:rPr>
      </w:pPr>
      <w:r>
        <w:rPr>
          <w:rFonts w:hint="eastAsia"/>
          <w:rtl/>
        </w:rPr>
        <w:t>המשטרה</w:t>
      </w:r>
      <w:r w:rsidRPr="00234CB9">
        <w:rPr>
          <w:rtl/>
        </w:rPr>
        <w:t xml:space="preserve"> </w:t>
      </w:r>
      <w:r w:rsidRPr="00234CB9">
        <w:rPr>
          <w:rFonts w:hint="eastAsia"/>
          <w:rtl/>
        </w:rPr>
        <w:t>מסרה</w:t>
      </w:r>
      <w:r w:rsidRPr="00234CB9">
        <w:rPr>
          <w:rtl/>
        </w:rPr>
        <w:t xml:space="preserve"> </w:t>
      </w:r>
      <w:r w:rsidRPr="00234CB9">
        <w:rPr>
          <w:rFonts w:hint="eastAsia"/>
          <w:rtl/>
        </w:rPr>
        <w:t>כי</w:t>
      </w:r>
      <w:r w:rsidRPr="00234CB9">
        <w:rPr>
          <w:rtl/>
        </w:rPr>
        <w:t xml:space="preserve"> </w:t>
      </w:r>
      <w:r w:rsidRPr="00234CB9">
        <w:rPr>
          <w:rFonts w:hint="eastAsia"/>
          <w:rtl/>
        </w:rPr>
        <w:t>לעמדתה</w:t>
      </w:r>
      <w:r w:rsidRPr="00234CB9">
        <w:rPr>
          <w:rtl/>
        </w:rPr>
        <w:t xml:space="preserve"> </w:t>
      </w:r>
      <w:r w:rsidRPr="00234CB9">
        <w:rPr>
          <w:rFonts w:hint="eastAsia"/>
          <w:rtl/>
        </w:rPr>
        <w:t>בדו</w:t>
      </w:r>
      <w:r w:rsidRPr="00234CB9">
        <w:rPr>
          <w:rtl/>
        </w:rPr>
        <w:t xml:space="preserve">"ח </w:t>
      </w:r>
      <w:r>
        <w:rPr>
          <w:rFonts w:hint="cs"/>
          <w:rtl/>
        </w:rPr>
        <w:t xml:space="preserve">צוות </w:t>
      </w:r>
      <w:r w:rsidRPr="00234CB9">
        <w:rPr>
          <w:rFonts w:hint="eastAsia"/>
          <w:rtl/>
        </w:rPr>
        <w:t>מררי</w:t>
      </w:r>
      <w:r w:rsidRPr="00234CB9">
        <w:rPr>
          <w:rtl/>
        </w:rPr>
        <w:t xml:space="preserve"> </w:t>
      </w:r>
      <w:r w:rsidRPr="00234CB9">
        <w:rPr>
          <w:rFonts w:hint="eastAsia"/>
          <w:rtl/>
        </w:rPr>
        <w:t>לא</w:t>
      </w:r>
      <w:r w:rsidRPr="00234CB9">
        <w:rPr>
          <w:rtl/>
        </w:rPr>
        <w:t xml:space="preserve"> </w:t>
      </w:r>
      <w:r w:rsidRPr="00234CB9">
        <w:rPr>
          <w:rFonts w:hint="eastAsia"/>
          <w:rtl/>
        </w:rPr>
        <w:t>נעשה</w:t>
      </w:r>
      <w:r w:rsidRPr="00234CB9">
        <w:rPr>
          <w:rtl/>
        </w:rPr>
        <w:t xml:space="preserve"> </w:t>
      </w:r>
      <w:r w:rsidRPr="00234CB9">
        <w:rPr>
          <w:rFonts w:hint="eastAsia"/>
          <w:rtl/>
        </w:rPr>
        <w:t>שימוש</w:t>
      </w:r>
      <w:r w:rsidRPr="00234CB9">
        <w:rPr>
          <w:rtl/>
        </w:rPr>
        <w:t xml:space="preserve"> </w:t>
      </w:r>
      <w:r w:rsidRPr="00234CB9">
        <w:rPr>
          <w:rFonts w:hint="eastAsia"/>
          <w:rtl/>
        </w:rPr>
        <w:t>בטרמינולוגיה</w:t>
      </w:r>
      <w:r w:rsidRPr="00234CB9">
        <w:rPr>
          <w:rtl/>
        </w:rPr>
        <w:t xml:space="preserve"> </w:t>
      </w:r>
      <w:r w:rsidRPr="00234CB9">
        <w:rPr>
          <w:rFonts w:hint="eastAsia"/>
          <w:rtl/>
        </w:rPr>
        <w:t>של</w:t>
      </w:r>
      <w:r w:rsidRPr="00234CB9">
        <w:rPr>
          <w:rtl/>
        </w:rPr>
        <w:t xml:space="preserve"> </w:t>
      </w:r>
      <w:r w:rsidRPr="00234CB9">
        <w:rPr>
          <w:rFonts w:hint="eastAsia"/>
          <w:rtl/>
        </w:rPr>
        <w:t>פעולות</w:t>
      </w:r>
      <w:r w:rsidRPr="00234CB9">
        <w:rPr>
          <w:rtl/>
        </w:rPr>
        <w:t xml:space="preserve"> </w:t>
      </w:r>
      <w:r w:rsidRPr="00234CB9">
        <w:rPr>
          <w:rFonts w:hint="eastAsia"/>
          <w:rtl/>
        </w:rPr>
        <w:t>לא</w:t>
      </w:r>
      <w:r w:rsidRPr="00234CB9">
        <w:rPr>
          <w:rtl/>
        </w:rPr>
        <w:t xml:space="preserve"> </w:t>
      </w:r>
      <w:r w:rsidRPr="00234CB9">
        <w:rPr>
          <w:rFonts w:hint="eastAsia"/>
          <w:rtl/>
        </w:rPr>
        <w:t>חוקיות</w:t>
      </w:r>
      <w:r w:rsidRPr="00234CB9">
        <w:rPr>
          <w:rtl/>
        </w:rPr>
        <w:t xml:space="preserve">, </w:t>
      </w:r>
      <w:r w:rsidRPr="00234CB9">
        <w:rPr>
          <w:rFonts w:hint="eastAsia"/>
          <w:rtl/>
        </w:rPr>
        <w:t>אלא</w:t>
      </w:r>
      <w:r w:rsidRPr="00234CB9">
        <w:rPr>
          <w:rtl/>
        </w:rPr>
        <w:t xml:space="preserve"> </w:t>
      </w:r>
      <w:r w:rsidRPr="00234CB9">
        <w:rPr>
          <w:rFonts w:hint="eastAsia"/>
          <w:rtl/>
        </w:rPr>
        <w:t>רק</w:t>
      </w:r>
      <w:r w:rsidRPr="00234CB9">
        <w:rPr>
          <w:rtl/>
        </w:rPr>
        <w:t xml:space="preserve"> </w:t>
      </w:r>
      <w:r>
        <w:rPr>
          <w:rFonts w:hint="cs"/>
          <w:rtl/>
        </w:rPr>
        <w:t>ב"</w:t>
      </w:r>
      <w:r w:rsidRPr="00234CB9">
        <w:rPr>
          <w:rFonts w:hint="eastAsia"/>
          <w:rtl/>
        </w:rPr>
        <w:t>חריגות</w:t>
      </w:r>
      <w:r w:rsidRPr="00234CB9">
        <w:rPr>
          <w:rtl/>
        </w:rPr>
        <w:t xml:space="preserve"> ביכולות הטכנולוגיות</w:t>
      </w:r>
      <w:r>
        <w:rPr>
          <w:rFonts w:hint="cs"/>
          <w:rtl/>
        </w:rPr>
        <w:t>"</w:t>
      </w:r>
      <w:r w:rsidRPr="00234CB9">
        <w:rPr>
          <w:rtl/>
        </w:rPr>
        <w:t xml:space="preserve"> לקבלת תוצרים מסוימים שאינם מותרים לפי חוק האזנת סתר.</w:t>
      </w:r>
      <w:r>
        <w:rPr>
          <w:rtl/>
        </w:rPr>
        <w:t xml:space="preserve"> </w:t>
      </w:r>
    </w:p>
    <w:p w:rsidR="002D7F3F" w:rsidRDefault="002D7F3F" w:rsidP="00604C3D">
      <w:pPr>
        <w:spacing w:line="269" w:lineRule="auto"/>
        <w:rPr>
          <w:b/>
          <w:bCs/>
          <w:rtl/>
        </w:rPr>
      </w:pPr>
      <w:bookmarkStart w:id="581" w:name="_Hlk188255285"/>
      <w:bookmarkEnd w:id="580"/>
    </w:p>
    <w:p w:rsidR="009A1216" w:rsidRDefault="009A1216" w:rsidP="00212501">
      <w:pPr>
        <w:spacing w:line="269" w:lineRule="auto"/>
        <w:ind w:left="423"/>
        <w:rPr>
          <w:b/>
          <w:bCs/>
          <w:rtl/>
        </w:rPr>
      </w:pPr>
      <w:r>
        <w:rPr>
          <w:rFonts w:hint="cs"/>
          <w:b/>
          <w:bCs/>
          <w:rtl/>
        </w:rPr>
        <w:t xml:space="preserve">מבקר המדינה מדגיש כי </w:t>
      </w:r>
      <w:r w:rsidR="00B93F04">
        <w:rPr>
          <w:rFonts w:hint="cs"/>
          <w:b/>
          <w:bCs/>
          <w:rtl/>
        </w:rPr>
        <w:t>החומרה הגלומה</w:t>
      </w:r>
      <w:r>
        <w:rPr>
          <w:rFonts w:hint="cs"/>
          <w:b/>
          <w:bCs/>
          <w:rtl/>
        </w:rPr>
        <w:t xml:space="preserve"> בשימוש </w:t>
      </w:r>
      <w:r w:rsidR="00B93F04">
        <w:rPr>
          <w:rFonts w:hint="cs"/>
          <w:b/>
          <w:bCs/>
          <w:rtl/>
        </w:rPr>
        <w:t xml:space="preserve">אסור </w:t>
      </w:r>
      <w:r>
        <w:rPr>
          <w:rFonts w:hint="cs"/>
          <w:b/>
          <w:bCs/>
          <w:rtl/>
        </w:rPr>
        <w:t>בכלים טכנולוגיים אינה נמדדת רק על בסיס פוטנציאל היכולת של הכלים הטכנולוגיים לחרוג מסמכויות המשטרה על פי חוק, אלא גם בנוגע לעצם השימוש שנעשה בפועל על ידי המשטרה בכלים הטכנולוגיים ובמידע שנאסף באמצעותם. לכן, חומרת פעולות ה</w:t>
      </w:r>
      <w:r w:rsidR="00062A25">
        <w:rPr>
          <w:b/>
          <w:bCs/>
          <w:rtl/>
        </w:rPr>
        <w:t>התקנה</w:t>
      </w:r>
      <w:r w:rsidRPr="007B2A13">
        <w:rPr>
          <w:b/>
          <w:bCs/>
          <w:rtl/>
        </w:rPr>
        <w:t xml:space="preserve"> ו</w:t>
      </w:r>
      <w:r>
        <w:rPr>
          <w:rFonts w:hint="cs"/>
          <w:b/>
          <w:bCs/>
          <w:rtl/>
        </w:rPr>
        <w:t>ה</w:t>
      </w:r>
      <w:r w:rsidRPr="007B2A13">
        <w:rPr>
          <w:b/>
          <w:bCs/>
          <w:rtl/>
        </w:rPr>
        <w:t xml:space="preserve">איסוף </w:t>
      </w:r>
      <w:r w:rsidR="005344DD">
        <w:rPr>
          <w:rFonts w:hint="cs"/>
          <w:b/>
          <w:bCs/>
          <w:rtl/>
        </w:rPr>
        <w:t>האסורות</w:t>
      </w:r>
      <w:r>
        <w:rPr>
          <w:rFonts w:hint="cs"/>
          <w:b/>
          <w:bCs/>
          <w:rtl/>
        </w:rPr>
        <w:t>, אינה פוחתת משום שתוצרים אלו לא הופקו או לא נעשה בהם שימוש ראייתי</w:t>
      </w:r>
      <w:r w:rsidRPr="007B2A13">
        <w:rPr>
          <w:b/>
          <w:bCs/>
          <w:rtl/>
        </w:rPr>
        <w:t xml:space="preserve">. </w:t>
      </w:r>
      <w:r>
        <w:rPr>
          <w:rFonts w:hint="cs"/>
          <w:b/>
          <w:bCs/>
          <w:rtl/>
        </w:rPr>
        <w:t xml:space="preserve">יתרה מכך, משרד מבקר המדינה איתר מקרים בהם נעשו פעולות של הפקת תוצרים אסורים או שימוש בהם </w:t>
      </w:r>
      <w:r w:rsidR="00CC2FEF">
        <w:rPr>
          <w:rFonts w:hint="cs"/>
          <w:b/>
          <w:bCs/>
          <w:rtl/>
        </w:rPr>
        <w:t>ה</w:t>
      </w:r>
      <w:r>
        <w:rPr>
          <w:rFonts w:hint="cs"/>
          <w:b/>
          <w:bCs/>
          <w:rtl/>
        </w:rPr>
        <w:t>חומר</w:t>
      </w:r>
      <w:r w:rsidR="00CC2FEF">
        <w:rPr>
          <w:rFonts w:hint="cs"/>
          <w:b/>
          <w:bCs/>
          <w:rtl/>
        </w:rPr>
        <w:t>ה</w:t>
      </w:r>
      <w:r>
        <w:rPr>
          <w:rFonts w:hint="cs"/>
          <w:b/>
          <w:bCs/>
          <w:rtl/>
        </w:rPr>
        <w:t xml:space="preserve"> גדולה יותר</w:t>
      </w:r>
      <w:bookmarkEnd w:id="581"/>
      <w:r>
        <w:rPr>
          <w:rFonts w:hint="cs"/>
          <w:b/>
          <w:bCs/>
          <w:rtl/>
        </w:rPr>
        <w:t xml:space="preserve">. </w:t>
      </w:r>
    </w:p>
    <w:p w:rsidR="009A1216" w:rsidRDefault="009A1216" w:rsidP="00604C3D">
      <w:pPr>
        <w:pStyle w:val="a5"/>
        <w:spacing w:line="269" w:lineRule="auto"/>
        <w:rPr>
          <w:rtl/>
        </w:rPr>
      </w:pPr>
    </w:p>
    <w:p w:rsidR="009A1216" w:rsidRPr="00A71102" w:rsidRDefault="009A1216" w:rsidP="00212501">
      <w:pPr>
        <w:spacing w:line="269" w:lineRule="auto"/>
        <w:ind w:left="423"/>
        <w:rPr>
          <w:b/>
          <w:bCs/>
          <w:rtl/>
        </w:rPr>
      </w:pPr>
      <w:r w:rsidRPr="00A71102">
        <w:rPr>
          <w:rFonts w:hint="cs"/>
          <w:b/>
          <w:bCs/>
          <w:rtl/>
        </w:rPr>
        <w:t>מבקר המדינה מעיר למשטרה ול</w:t>
      </w:r>
      <w:r>
        <w:rPr>
          <w:rFonts w:hint="cs"/>
          <w:b/>
          <w:bCs/>
          <w:rtl/>
        </w:rPr>
        <w:t>ייעוץ המשפטי לממשלה ב</w:t>
      </w:r>
      <w:r w:rsidRPr="00A71102">
        <w:rPr>
          <w:rFonts w:hint="cs"/>
          <w:b/>
          <w:bCs/>
          <w:rtl/>
        </w:rPr>
        <w:t xml:space="preserve">משרד המשפטים כי </w:t>
      </w:r>
      <w:r w:rsidRPr="00A71102">
        <w:rPr>
          <w:b/>
          <w:bCs/>
          <w:rtl/>
        </w:rPr>
        <w:t>גופי אכיפת החוק מחויבים לפעול כדין בכל הפעולות שהם מקיימים</w:t>
      </w:r>
      <w:r w:rsidRPr="00A71102">
        <w:rPr>
          <w:rFonts w:hint="cs"/>
          <w:b/>
          <w:bCs/>
          <w:rtl/>
        </w:rPr>
        <w:t xml:space="preserve"> בכל שלבי אכיפת החוק (</w:t>
      </w:r>
      <w:r w:rsidRPr="00A71102">
        <w:rPr>
          <w:b/>
          <w:bCs/>
          <w:rtl/>
        </w:rPr>
        <w:t>ניהול הפרשייה המודיעינית, שלבי החקירה ואיסוף הראיות</w:t>
      </w:r>
      <w:r w:rsidRPr="00A71102">
        <w:rPr>
          <w:rFonts w:hint="cs"/>
          <w:b/>
          <w:bCs/>
          <w:rtl/>
        </w:rPr>
        <w:t>,</w:t>
      </w:r>
      <w:r w:rsidRPr="00A71102">
        <w:rPr>
          <w:b/>
          <w:bCs/>
          <w:rtl/>
        </w:rPr>
        <w:t xml:space="preserve"> ו</w:t>
      </w:r>
      <w:r w:rsidRPr="00A71102">
        <w:rPr>
          <w:rFonts w:hint="cs"/>
          <w:b/>
          <w:bCs/>
          <w:rtl/>
        </w:rPr>
        <w:t>כן</w:t>
      </w:r>
      <w:r w:rsidRPr="00A71102">
        <w:rPr>
          <w:b/>
          <w:bCs/>
          <w:rtl/>
        </w:rPr>
        <w:t xml:space="preserve"> הגשת כתב אישום</w:t>
      </w:r>
      <w:r w:rsidRPr="00A71102">
        <w:rPr>
          <w:rFonts w:hint="cs"/>
          <w:b/>
          <w:bCs/>
          <w:rtl/>
        </w:rPr>
        <w:t>)</w:t>
      </w:r>
      <w:r w:rsidRPr="00A71102">
        <w:rPr>
          <w:b/>
          <w:bCs/>
          <w:rtl/>
        </w:rPr>
        <w:t xml:space="preserve">. אין זה ראוי שגופי אכיפת החוק יישענו, בבואם להתייחס למקרים בהם נמצאו פעולות </w:t>
      </w:r>
      <w:r w:rsidR="00CC2FEF">
        <w:rPr>
          <w:rFonts w:hint="cs"/>
          <w:b/>
          <w:bCs/>
          <w:rtl/>
        </w:rPr>
        <w:t>אסורות</w:t>
      </w:r>
      <w:r w:rsidRPr="00A71102">
        <w:rPr>
          <w:b/>
          <w:bCs/>
          <w:rtl/>
        </w:rPr>
        <w:t>, על טענ</w:t>
      </w:r>
      <w:r w:rsidRPr="00A71102">
        <w:rPr>
          <w:rFonts w:hint="cs"/>
          <w:b/>
          <w:bCs/>
          <w:rtl/>
        </w:rPr>
        <w:t>ות</w:t>
      </w:r>
      <w:r w:rsidRPr="00A71102">
        <w:rPr>
          <w:b/>
          <w:bCs/>
          <w:rtl/>
        </w:rPr>
        <w:t xml:space="preserve"> ש</w:t>
      </w:r>
      <w:r w:rsidRPr="00A71102">
        <w:rPr>
          <w:rFonts w:hint="cs"/>
          <w:b/>
          <w:bCs/>
          <w:rtl/>
        </w:rPr>
        <w:t xml:space="preserve">מצמצמות את השלכות </w:t>
      </w:r>
      <w:r w:rsidR="00CC2FEF">
        <w:rPr>
          <w:rFonts w:hint="cs"/>
          <w:b/>
          <w:bCs/>
          <w:rtl/>
        </w:rPr>
        <w:t>האיסור</w:t>
      </w:r>
      <w:r w:rsidRPr="00A71102">
        <w:rPr>
          <w:rFonts w:hint="cs"/>
          <w:b/>
          <w:bCs/>
          <w:rtl/>
        </w:rPr>
        <w:t xml:space="preserve"> </w:t>
      </w:r>
      <w:r>
        <w:rPr>
          <w:rFonts w:hint="cs"/>
          <w:b/>
          <w:bCs/>
          <w:rtl/>
        </w:rPr>
        <w:t>למקרים בהם נעשה בתוצרים אסורים שימוש ראייתי</w:t>
      </w:r>
      <w:r w:rsidRPr="00A71102">
        <w:rPr>
          <w:rFonts w:hint="cs"/>
          <w:b/>
          <w:bCs/>
          <w:rtl/>
        </w:rPr>
        <w:t xml:space="preserve">. התייחסות זו משקפת גישה הנמנעת מלנקוט עמדה ברורה ונוקבת לפיה אין מקום לביצוע </w:t>
      </w:r>
      <w:r>
        <w:rPr>
          <w:rFonts w:hint="cs"/>
          <w:b/>
          <w:bCs/>
          <w:rtl/>
        </w:rPr>
        <w:t>הפקה ושימוש בתוצרים אסורים</w:t>
      </w:r>
      <w:r w:rsidRPr="00A71102">
        <w:rPr>
          <w:rFonts w:hint="cs"/>
          <w:b/>
          <w:bCs/>
          <w:rtl/>
        </w:rPr>
        <w:t xml:space="preserve">. </w:t>
      </w:r>
      <w:r w:rsidRPr="00A71102">
        <w:rPr>
          <w:b/>
          <w:bCs/>
          <w:rtl/>
        </w:rPr>
        <w:t>מן הראוי שגופי אכיפת החוק יתייחסו בחומרה לפעולות שביצעה המשטרה אף אם לא הוגשו כתבי אישום ולא התקיים הליך פלילי בעניינם.</w:t>
      </w:r>
      <w:r w:rsidRPr="00A71102">
        <w:rPr>
          <w:rFonts w:hint="cs"/>
          <w:b/>
          <w:bCs/>
          <w:rtl/>
        </w:rPr>
        <w:t xml:space="preserve"> </w:t>
      </w:r>
    </w:p>
    <w:p w:rsidR="009A1216" w:rsidRDefault="009A1216" w:rsidP="00604C3D">
      <w:pPr>
        <w:pStyle w:val="a5"/>
        <w:spacing w:line="269" w:lineRule="auto"/>
        <w:rPr>
          <w:rtl/>
        </w:rPr>
      </w:pPr>
    </w:p>
    <w:p w:rsidR="009A1216" w:rsidRDefault="009A1216" w:rsidP="00212501">
      <w:pPr>
        <w:spacing w:line="269" w:lineRule="auto"/>
        <w:ind w:left="423"/>
        <w:rPr>
          <w:rtl/>
        </w:rPr>
      </w:pPr>
      <w:r>
        <w:rPr>
          <w:rFonts w:hint="cs"/>
          <w:rtl/>
        </w:rPr>
        <w:t>עוד מסרה המשטרה</w:t>
      </w:r>
      <w:r w:rsidRPr="00234CB9">
        <w:rPr>
          <w:rtl/>
        </w:rPr>
        <w:t xml:space="preserve"> כי </w:t>
      </w:r>
      <w:r>
        <w:rPr>
          <w:rFonts w:hint="cs"/>
          <w:rtl/>
        </w:rPr>
        <w:t>משנת 2014 היא</w:t>
      </w:r>
      <w:r w:rsidRPr="00234CB9">
        <w:rPr>
          <w:rtl/>
        </w:rPr>
        <w:t xml:space="preserve"> </w:t>
      </w:r>
      <w:r>
        <w:rPr>
          <w:rFonts w:hint="cs"/>
          <w:rtl/>
        </w:rPr>
        <w:t>גיבשה</w:t>
      </w:r>
      <w:r w:rsidRPr="00234CB9">
        <w:rPr>
          <w:rtl/>
        </w:rPr>
        <w:t xml:space="preserve"> הנחיות עבודה </w:t>
      </w:r>
      <w:r>
        <w:rPr>
          <w:rtl/>
        </w:rPr>
        <w:t>בנוגע</w:t>
      </w:r>
      <w:r w:rsidRPr="00234CB9">
        <w:rPr>
          <w:rtl/>
        </w:rPr>
        <w:t xml:space="preserve"> </w:t>
      </w:r>
      <w:r>
        <w:rPr>
          <w:rFonts w:hint="cs"/>
          <w:rtl/>
        </w:rPr>
        <w:t>ל</w:t>
      </w:r>
      <w:r w:rsidRPr="00234CB9">
        <w:rPr>
          <w:rtl/>
        </w:rPr>
        <w:t xml:space="preserve">הפקת התוצר הסיגינטי מהמערכות הטכנולוגיות השונות. במעלה הדרך, </w:t>
      </w:r>
      <w:r>
        <w:rPr>
          <w:rtl/>
        </w:rPr>
        <w:t>בנוגע</w:t>
      </w:r>
      <w:r w:rsidRPr="00234CB9">
        <w:rPr>
          <w:rtl/>
        </w:rPr>
        <w:t xml:space="preserve"> להפעלת </w:t>
      </w:r>
      <w:r>
        <w:rPr>
          <w:rFonts w:hint="cs"/>
          <w:rtl/>
        </w:rPr>
        <w:t>כלים טקטיים</w:t>
      </w:r>
      <w:r w:rsidRPr="00234CB9">
        <w:rPr>
          <w:rtl/>
        </w:rPr>
        <w:t xml:space="preserve">, כתבו </w:t>
      </w:r>
      <w:r>
        <w:rPr>
          <w:rFonts w:hint="cs"/>
          <w:rtl/>
        </w:rPr>
        <w:t xml:space="preserve">שוטרים ממחלקת טכנולוגיות </w:t>
      </w:r>
      <w:r w:rsidRPr="00234CB9">
        <w:rPr>
          <w:rtl/>
        </w:rPr>
        <w:t xml:space="preserve">מספר מצומצם של מסמכי עבודה פנימיים </w:t>
      </w:r>
      <w:r>
        <w:rPr>
          <w:rFonts w:hint="cs"/>
          <w:rtl/>
        </w:rPr>
        <w:t>אך אלו</w:t>
      </w:r>
      <w:r w:rsidRPr="00234CB9">
        <w:rPr>
          <w:rtl/>
        </w:rPr>
        <w:t xml:space="preserve"> לא אושרו</w:t>
      </w:r>
      <w:r>
        <w:rPr>
          <w:rtl/>
        </w:rPr>
        <w:t xml:space="preserve"> </w:t>
      </w:r>
      <w:r>
        <w:rPr>
          <w:rFonts w:hint="cs"/>
          <w:rtl/>
        </w:rPr>
        <w:t xml:space="preserve">בידי </w:t>
      </w:r>
      <w:r w:rsidRPr="00234CB9">
        <w:rPr>
          <w:rtl/>
        </w:rPr>
        <w:t xml:space="preserve">גורמי פיקוד החטיבה. בשל כך נמצא פער מסוים בין הנחיות העבודה למפיק, </w:t>
      </w:r>
      <w:r>
        <w:rPr>
          <w:rFonts w:hint="cs"/>
          <w:rtl/>
        </w:rPr>
        <w:t>ש</w:t>
      </w:r>
      <w:r w:rsidRPr="00234CB9">
        <w:rPr>
          <w:rtl/>
        </w:rPr>
        <w:t>אושרו במתווה אישורים סדור ע</w:t>
      </w:r>
      <w:r>
        <w:rPr>
          <w:rFonts w:hint="cs"/>
          <w:rtl/>
        </w:rPr>
        <w:t>ל ידי</w:t>
      </w:r>
      <w:r w:rsidRPr="00234CB9">
        <w:rPr>
          <w:rtl/>
        </w:rPr>
        <w:t xml:space="preserve"> פיקוד החטיבה, לבין מסמך העבודה של הגורמים הטכנו-מבצעיים.</w:t>
      </w:r>
    </w:p>
    <w:p w:rsidR="009A1216" w:rsidRDefault="009A1216" w:rsidP="00604C3D">
      <w:pPr>
        <w:pStyle w:val="a5"/>
        <w:spacing w:line="269" w:lineRule="auto"/>
        <w:rPr>
          <w:rtl/>
        </w:rPr>
      </w:pPr>
    </w:p>
    <w:p w:rsidR="009A1216" w:rsidRPr="007313C6" w:rsidRDefault="009A1216" w:rsidP="00212501">
      <w:pPr>
        <w:spacing w:line="269" w:lineRule="auto"/>
        <w:ind w:left="423"/>
        <w:rPr>
          <w:b/>
          <w:bCs/>
          <w:rtl/>
        </w:rPr>
      </w:pPr>
      <w:r w:rsidRPr="007313C6">
        <w:rPr>
          <w:rFonts w:hint="eastAsia"/>
          <w:b/>
          <w:bCs/>
          <w:rtl/>
        </w:rPr>
        <w:t>מבקר</w:t>
      </w:r>
      <w:r w:rsidRPr="007313C6">
        <w:rPr>
          <w:b/>
          <w:bCs/>
          <w:rtl/>
        </w:rPr>
        <w:t xml:space="preserve"> המדינה מעיר למשטרה </w:t>
      </w:r>
      <w:r w:rsidRPr="007313C6">
        <w:rPr>
          <w:rFonts w:hint="eastAsia"/>
          <w:b/>
          <w:bCs/>
          <w:rtl/>
        </w:rPr>
        <w:t>כי</w:t>
      </w:r>
      <w:r w:rsidRPr="007313C6">
        <w:rPr>
          <w:b/>
          <w:bCs/>
          <w:rtl/>
        </w:rPr>
        <w:t xml:space="preserve"> </w:t>
      </w:r>
      <w:r w:rsidRPr="007313C6">
        <w:rPr>
          <w:rFonts w:hint="eastAsia"/>
          <w:b/>
          <w:bCs/>
          <w:rtl/>
        </w:rPr>
        <w:t>האחריות</w:t>
      </w:r>
      <w:r w:rsidRPr="007313C6">
        <w:rPr>
          <w:b/>
          <w:bCs/>
          <w:rtl/>
        </w:rPr>
        <w:t xml:space="preserve"> </w:t>
      </w:r>
      <w:r w:rsidRPr="007313C6">
        <w:rPr>
          <w:rFonts w:hint="eastAsia"/>
          <w:b/>
          <w:bCs/>
          <w:rtl/>
        </w:rPr>
        <w:t>להנחיה</w:t>
      </w:r>
      <w:r w:rsidRPr="007313C6">
        <w:rPr>
          <w:b/>
          <w:bCs/>
          <w:rtl/>
        </w:rPr>
        <w:t xml:space="preserve"> </w:t>
      </w:r>
      <w:r w:rsidRPr="007313C6">
        <w:rPr>
          <w:rFonts w:hint="eastAsia"/>
          <w:b/>
          <w:bCs/>
          <w:rtl/>
        </w:rPr>
        <w:t>המקצועית</w:t>
      </w:r>
      <w:r w:rsidRPr="007313C6">
        <w:rPr>
          <w:b/>
          <w:bCs/>
          <w:rtl/>
        </w:rPr>
        <w:t xml:space="preserve"> </w:t>
      </w:r>
      <w:r w:rsidRPr="007313C6">
        <w:rPr>
          <w:rFonts w:hint="eastAsia"/>
          <w:b/>
          <w:bCs/>
          <w:rtl/>
        </w:rPr>
        <w:t>של</w:t>
      </w:r>
      <w:r w:rsidRPr="007313C6">
        <w:rPr>
          <w:b/>
          <w:bCs/>
          <w:rtl/>
        </w:rPr>
        <w:t xml:space="preserve"> </w:t>
      </w:r>
      <w:r w:rsidRPr="007313C6">
        <w:rPr>
          <w:rFonts w:hint="eastAsia"/>
          <w:b/>
          <w:bCs/>
          <w:rtl/>
        </w:rPr>
        <w:t>שוטרי</w:t>
      </w:r>
      <w:r w:rsidRPr="007313C6">
        <w:rPr>
          <w:b/>
          <w:bCs/>
          <w:rtl/>
        </w:rPr>
        <w:t xml:space="preserve"> </w:t>
      </w:r>
      <w:r w:rsidRPr="007313C6">
        <w:rPr>
          <w:rFonts w:hint="eastAsia"/>
          <w:b/>
          <w:bCs/>
          <w:rtl/>
        </w:rPr>
        <w:t>החטיבה</w:t>
      </w:r>
      <w:r w:rsidRPr="007313C6">
        <w:rPr>
          <w:b/>
          <w:bCs/>
          <w:rtl/>
        </w:rPr>
        <w:t xml:space="preserve">, </w:t>
      </w:r>
      <w:r w:rsidRPr="007313C6">
        <w:rPr>
          <w:rFonts w:hint="eastAsia"/>
          <w:b/>
          <w:bCs/>
          <w:rtl/>
        </w:rPr>
        <w:t>פיקוח</w:t>
      </w:r>
      <w:r w:rsidRPr="007313C6">
        <w:rPr>
          <w:b/>
          <w:bCs/>
          <w:rtl/>
        </w:rPr>
        <w:t xml:space="preserve"> על </w:t>
      </w:r>
      <w:r w:rsidRPr="007313C6">
        <w:rPr>
          <w:rFonts w:hint="eastAsia"/>
          <w:b/>
          <w:bCs/>
          <w:rtl/>
        </w:rPr>
        <w:t>תקינות</w:t>
      </w:r>
      <w:r w:rsidRPr="007313C6">
        <w:rPr>
          <w:b/>
          <w:bCs/>
          <w:rtl/>
        </w:rPr>
        <w:t xml:space="preserve"> </w:t>
      </w:r>
      <w:r w:rsidRPr="007313C6">
        <w:rPr>
          <w:rFonts w:hint="eastAsia"/>
          <w:b/>
          <w:bCs/>
          <w:rtl/>
        </w:rPr>
        <w:t>עבודתם</w:t>
      </w:r>
      <w:r w:rsidRPr="007313C6">
        <w:rPr>
          <w:b/>
          <w:bCs/>
          <w:rtl/>
        </w:rPr>
        <w:t xml:space="preserve">, </w:t>
      </w:r>
      <w:r w:rsidRPr="007313C6">
        <w:rPr>
          <w:rFonts w:hint="eastAsia"/>
          <w:b/>
          <w:bCs/>
          <w:rtl/>
        </w:rPr>
        <w:t>ו</w:t>
      </w:r>
      <w:r w:rsidRPr="007313C6">
        <w:rPr>
          <w:rFonts w:hint="cs"/>
          <w:b/>
          <w:bCs/>
          <w:rtl/>
        </w:rPr>
        <w:t>ל</w:t>
      </w:r>
      <w:r w:rsidRPr="007313C6">
        <w:rPr>
          <w:rFonts w:hint="eastAsia"/>
          <w:b/>
          <w:bCs/>
          <w:rtl/>
        </w:rPr>
        <w:t>בקרה</w:t>
      </w:r>
      <w:r w:rsidRPr="007313C6">
        <w:rPr>
          <w:b/>
          <w:bCs/>
          <w:rtl/>
        </w:rPr>
        <w:t xml:space="preserve"> על </w:t>
      </w:r>
      <w:r w:rsidRPr="007313C6">
        <w:rPr>
          <w:rFonts w:hint="cs"/>
          <w:b/>
          <w:bCs/>
          <w:rtl/>
        </w:rPr>
        <w:t>מימוש סמכויותיהם</w:t>
      </w:r>
      <w:r w:rsidRPr="007313C6">
        <w:rPr>
          <w:b/>
          <w:bCs/>
          <w:rtl/>
        </w:rPr>
        <w:t xml:space="preserve"> </w:t>
      </w:r>
      <w:r w:rsidRPr="007313C6">
        <w:rPr>
          <w:rFonts w:hint="eastAsia"/>
          <w:b/>
          <w:bCs/>
          <w:rtl/>
        </w:rPr>
        <w:t>כדין</w:t>
      </w:r>
      <w:r w:rsidRPr="007313C6">
        <w:rPr>
          <w:b/>
          <w:bCs/>
          <w:rtl/>
        </w:rPr>
        <w:t xml:space="preserve"> מוטלת בראש ובראשונה על מפקדיהם הישירים, </w:t>
      </w:r>
      <w:r w:rsidRPr="007313C6">
        <w:rPr>
          <w:rFonts w:hint="eastAsia"/>
          <w:b/>
          <w:bCs/>
          <w:rtl/>
        </w:rPr>
        <w:t>על</w:t>
      </w:r>
      <w:r w:rsidRPr="007313C6">
        <w:rPr>
          <w:b/>
          <w:bCs/>
          <w:rtl/>
        </w:rPr>
        <w:t xml:space="preserve"> </w:t>
      </w:r>
      <w:r w:rsidRPr="007313C6">
        <w:rPr>
          <w:rFonts w:hint="cs"/>
          <w:b/>
          <w:bCs/>
          <w:rtl/>
        </w:rPr>
        <w:t>חטיבת הסייבר</w:t>
      </w:r>
      <w:r w:rsidRPr="007313C6">
        <w:rPr>
          <w:b/>
          <w:bCs/>
          <w:rtl/>
        </w:rPr>
        <w:t xml:space="preserve"> האחראית על ההכוונה המקצועית </w:t>
      </w:r>
      <w:r w:rsidRPr="007313C6">
        <w:rPr>
          <w:rFonts w:hint="eastAsia"/>
          <w:b/>
          <w:bCs/>
          <w:rtl/>
        </w:rPr>
        <w:t>של</w:t>
      </w:r>
      <w:r w:rsidRPr="007313C6">
        <w:rPr>
          <w:b/>
          <w:bCs/>
          <w:rtl/>
        </w:rPr>
        <w:t xml:space="preserve"> </w:t>
      </w:r>
      <w:r w:rsidRPr="007313C6">
        <w:rPr>
          <w:rFonts w:hint="cs"/>
          <w:b/>
          <w:bCs/>
          <w:rtl/>
        </w:rPr>
        <w:t>אנשיה</w:t>
      </w:r>
      <w:r w:rsidRPr="007313C6">
        <w:rPr>
          <w:b/>
          <w:bCs/>
          <w:rtl/>
        </w:rPr>
        <w:t xml:space="preserve">, על </w:t>
      </w:r>
      <w:r w:rsidRPr="007313C6">
        <w:rPr>
          <w:rFonts w:hint="eastAsia"/>
          <w:b/>
          <w:bCs/>
          <w:rtl/>
        </w:rPr>
        <w:t>הייעוץ</w:t>
      </w:r>
      <w:r w:rsidRPr="007313C6">
        <w:rPr>
          <w:b/>
          <w:bCs/>
          <w:rtl/>
        </w:rPr>
        <w:t xml:space="preserve"> </w:t>
      </w:r>
      <w:r w:rsidRPr="007313C6">
        <w:rPr>
          <w:rFonts w:hint="eastAsia"/>
          <w:b/>
          <w:bCs/>
          <w:rtl/>
        </w:rPr>
        <w:t>המשפטי</w:t>
      </w:r>
      <w:r w:rsidRPr="007313C6">
        <w:rPr>
          <w:b/>
          <w:bCs/>
          <w:rtl/>
        </w:rPr>
        <w:t xml:space="preserve"> </w:t>
      </w:r>
      <w:r w:rsidRPr="007313C6">
        <w:rPr>
          <w:rFonts w:hint="eastAsia"/>
          <w:b/>
          <w:bCs/>
          <w:rtl/>
        </w:rPr>
        <w:t>של</w:t>
      </w:r>
      <w:r w:rsidRPr="007313C6">
        <w:rPr>
          <w:b/>
          <w:bCs/>
          <w:rtl/>
        </w:rPr>
        <w:t xml:space="preserve"> </w:t>
      </w:r>
      <w:r w:rsidRPr="007313C6">
        <w:rPr>
          <w:rFonts w:hint="eastAsia"/>
          <w:b/>
          <w:bCs/>
          <w:rtl/>
        </w:rPr>
        <w:t>החטיבה</w:t>
      </w:r>
      <w:r w:rsidRPr="007313C6">
        <w:rPr>
          <w:b/>
          <w:bCs/>
          <w:rtl/>
        </w:rPr>
        <w:t xml:space="preserve"> </w:t>
      </w:r>
      <w:r w:rsidRPr="007313C6">
        <w:rPr>
          <w:rFonts w:hint="eastAsia"/>
          <w:b/>
          <w:bCs/>
          <w:rtl/>
        </w:rPr>
        <w:t>והמשטרה</w:t>
      </w:r>
      <w:r w:rsidRPr="007313C6">
        <w:rPr>
          <w:b/>
          <w:bCs/>
          <w:rtl/>
        </w:rPr>
        <w:t xml:space="preserve"> ובפרט על ראש החטיבה. נציגי משרד מבקר המדינה נפגשו עם </w:t>
      </w:r>
      <w:r w:rsidRPr="007313C6">
        <w:rPr>
          <w:rFonts w:hint="eastAsia"/>
          <w:b/>
          <w:bCs/>
          <w:rtl/>
        </w:rPr>
        <w:t>מספר</w:t>
      </w:r>
      <w:r w:rsidRPr="007313C6">
        <w:rPr>
          <w:b/>
          <w:bCs/>
          <w:rtl/>
        </w:rPr>
        <w:t xml:space="preserve"> רב של שוטרים במהלך הביקורת, </w:t>
      </w:r>
      <w:r w:rsidRPr="007313C6">
        <w:rPr>
          <w:rFonts w:hint="eastAsia"/>
          <w:b/>
          <w:bCs/>
          <w:rtl/>
        </w:rPr>
        <w:t>והתרשמו</w:t>
      </w:r>
      <w:r w:rsidRPr="007313C6">
        <w:rPr>
          <w:b/>
          <w:bCs/>
          <w:rtl/>
        </w:rPr>
        <w:t xml:space="preserve"> </w:t>
      </w:r>
      <w:r w:rsidRPr="007313C6">
        <w:rPr>
          <w:rFonts w:hint="eastAsia"/>
          <w:b/>
          <w:bCs/>
          <w:rtl/>
        </w:rPr>
        <w:t>באופן</w:t>
      </w:r>
      <w:r w:rsidRPr="007313C6">
        <w:rPr>
          <w:b/>
          <w:bCs/>
          <w:rtl/>
        </w:rPr>
        <w:t xml:space="preserve"> </w:t>
      </w:r>
      <w:r w:rsidRPr="007313C6">
        <w:rPr>
          <w:rFonts w:hint="eastAsia"/>
          <w:b/>
          <w:bCs/>
          <w:rtl/>
        </w:rPr>
        <w:t>בלתי</w:t>
      </w:r>
      <w:r w:rsidRPr="007313C6">
        <w:rPr>
          <w:b/>
          <w:bCs/>
          <w:rtl/>
        </w:rPr>
        <w:t xml:space="preserve"> </w:t>
      </w:r>
      <w:r w:rsidRPr="007313C6">
        <w:rPr>
          <w:rFonts w:hint="eastAsia"/>
          <w:b/>
          <w:bCs/>
          <w:rtl/>
        </w:rPr>
        <w:t>אמצעי</w:t>
      </w:r>
      <w:r w:rsidRPr="007313C6">
        <w:rPr>
          <w:b/>
          <w:bCs/>
          <w:rtl/>
        </w:rPr>
        <w:t xml:space="preserve"> </w:t>
      </w:r>
      <w:r w:rsidRPr="007313C6">
        <w:rPr>
          <w:rFonts w:hint="eastAsia"/>
          <w:b/>
          <w:bCs/>
          <w:rtl/>
        </w:rPr>
        <w:t>מהפער</w:t>
      </w:r>
      <w:r w:rsidRPr="007313C6">
        <w:rPr>
          <w:b/>
          <w:bCs/>
          <w:rtl/>
        </w:rPr>
        <w:t xml:space="preserve"> </w:t>
      </w:r>
      <w:r w:rsidRPr="007313C6">
        <w:rPr>
          <w:rFonts w:hint="eastAsia"/>
          <w:b/>
          <w:bCs/>
          <w:rtl/>
        </w:rPr>
        <w:t>בין</w:t>
      </w:r>
      <w:r w:rsidRPr="007313C6">
        <w:rPr>
          <w:b/>
          <w:bCs/>
          <w:rtl/>
        </w:rPr>
        <w:t xml:space="preserve"> </w:t>
      </w:r>
      <w:r w:rsidRPr="007313C6">
        <w:rPr>
          <w:rFonts w:hint="eastAsia"/>
          <w:b/>
          <w:bCs/>
          <w:rtl/>
        </w:rPr>
        <w:t>שאיפתם</w:t>
      </w:r>
      <w:r w:rsidRPr="007313C6">
        <w:rPr>
          <w:b/>
          <w:bCs/>
          <w:rtl/>
        </w:rPr>
        <w:t xml:space="preserve"> </w:t>
      </w:r>
      <w:r w:rsidRPr="007313C6">
        <w:rPr>
          <w:rFonts w:hint="eastAsia"/>
          <w:b/>
          <w:bCs/>
          <w:rtl/>
        </w:rPr>
        <w:t>של</w:t>
      </w:r>
      <w:r w:rsidRPr="007313C6">
        <w:rPr>
          <w:b/>
          <w:bCs/>
          <w:rtl/>
        </w:rPr>
        <w:t xml:space="preserve"> </w:t>
      </w:r>
      <w:r w:rsidRPr="007313C6">
        <w:rPr>
          <w:rFonts w:hint="eastAsia"/>
          <w:b/>
          <w:bCs/>
          <w:rtl/>
        </w:rPr>
        <w:t>שוטרים</w:t>
      </w:r>
      <w:r w:rsidRPr="007313C6">
        <w:rPr>
          <w:b/>
          <w:bCs/>
          <w:rtl/>
        </w:rPr>
        <w:t xml:space="preserve"> </w:t>
      </w:r>
      <w:r w:rsidRPr="007313C6">
        <w:rPr>
          <w:rFonts w:hint="eastAsia"/>
          <w:b/>
          <w:bCs/>
          <w:rtl/>
        </w:rPr>
        <w:t>אלו</w:t>
      </w:r>
      <w:r w:rsidRPr="007313C6">
        <w:rPr>
          <w:b/>
          <w:bCs/>
          <w:rtl/>
        </w:rPr>
        <w:t xml:space="preserve"> </w:t>
      </w:r>
      <w:r w:rsidRPr="007313C6">
        <w:rPr>
          <w:rFonts w:hint="eastAsia"/>
          <w:b/>
          <w:bCs/>
          <w:rtl/>
        </w:rPr>
        <w:t>לבצע</w:t>
      </w:r>
      <w:r w:rsidRPr="007313C6">
        <w:rPr>
          <w:b/>
          <w:bCs/>
          <w:rtl/>
        </w:rPr>
        <w:t xml:space="preserve"> </w:t>
      </w:r>
      <w:r w:rsidRPr="007313C6">
        <w:rPr>
          <w:rFonts w:hint="eastAsia"/>
          <w:b/>
          <w:bCs/>
          <w:rtl/>
        </w:rPr>
        <w:t>את</w:t>
      </w:r>
      <w:r w:rsidRPr="007313C6">
        <w:rPr>
          <w:b/>
          <w:bCs/>
          <w:rtl/>
        </w:rPr>
        <w:t xml:space="preserve"> </w:t>
      </w:r>
      <w:r w:rsidRPr="007313C6">
        <w:rPr>
          <w:rFonts w:hint="eastAsia"/>
          <w:b/>
          <w:bCs/>
          <w:rtl/>
        </w:rPr>
        <w:t>המשימות</w:t>
      </w:r>
      <w:r w:rsidRPr="007313C6">
        <w:rPr>
          <w:b/>
          <w:bCs/>
          <w:rtl/>
        </w:rPr>
        <w:t xml:space="preserve"> </w:t>
      </w:r>
      <w:r w:rsidRPr="007313C6">
        <w:rPr>
          <w:rFonts w:hint="eastAsia"/>
          <w:b/>
          <w:bCs/>
          <w:rtl/>
        </w:rPr>
        <w:t>המוטלות</w:t>
      </w:r>
      <w:r w:rsidRPr="007313C6">
        <w:rPr>
          <w:b/>
          <w:bCs/>
          <w:rtl/>
        </w:rPr>
        <w:t xml:space="preserve"> </w:t>
      </w:r>
      <w:r w:rsidRPr="007313C6">
        <w:rPr>
          <w:rFonts w:hint="eastAsia"/>
          <w:b/>
          <w:bCs/>
          <w:rtl/>
        </w:rPr>
        <w:t>עליהם</w:t>
      </w:r>
      <w:r w:rsidRPr="007313C6">
        <w:rPr>
          <w:b/>
          <w:bCs/>
          <w:rtl/>
        </w:rPr>
        <w:t xml:space="preserve"> </w:t>
      </w:r>
      <w:r w:rsidRPr="007313C6">
        <w:rPr>
          <w:rFonts w:hint="eastAsia"/>
          <w:b/>
          <w:bCs/>
          <w:rtl/>
        </w:rPr>
        <w:t>במסגרת</w:t>
      </w:r>
      <w:r w:rsidRPr="007313C6">
        <w:rPr>
          <w:b/>
          <w:bCs/>
          <w:rtl/>
        </w:rPr>
        <w:t xml:space="preserve"> </w:t>
      </w:r>
      <w:r w:rsidRPr="007313C6">
        <w:rPr>
          <w:rFonts w:hint="eastAsia"/>
          <w:b/>
          <w:bCs/>
          <w:rtl/>
        </w:rPr>
        <w:t>הלחימה</w:t>
      </w:r>
      <w:r w:rsidRPr="007313C6">
        <w:rPr>
          <w:b/>
          <w:bCs/>
          <w:rtl/>
        </w:rPr>
        <w:t xml:space="preserve"> </w:t>
      </w:r>
      <w:r w:rsidRPr="007313C6">
        <w:rPr>
          <w:rFonts w:hint="eastAsia"/>
          <w:b/>
          <w:bCs/>
          <w:rtl/>
        </w:rPr>
        <w:t>בפשיעה</w:t>
      </w:r>
      <w:r w:rsidRPr="007313C6">
        <w:rPr>
          <w:b/>
          <w:bCs/>
          <w:rtl/>
        </w:rPr>
        <w:t xml:space="preserve"> </w:t>
      </w:r>
      <w:r w:rsidRPr="007313C6">
        <w:rPr>
          <w:rFonts w:hint="eastAsia"/>
          <w:b/>
          <w:bCs/>
          <w:rtl/>
        </w:rPr>
        <w:t>הגוברת</w:t>
      </w:r>
      <w:r w:rsidRPr="007313C6">
        <w:rPr>
          <w:b/>
          <w:bCs/>
          <w:rtl/>
        </w:rPr>
        <w:t xml:space="preserve"> לבין מחסור בהנחייתם המקצועית כמפורט בדוח זה.</w:t>
      </w:r>
      <w:r w:rsidR="00382AE8" w:rsidRPr="007313C6">
        <w:rPr>
          <w:b/>
          <w:bCs/>
          <w:rtl/>
        </w:rPr>
        <w:t xml:space="preserve"> </w:t>
      </w:r>
    </w:p>
    <w:p w:rsidR="002D7F3F" w:rsidRDefault="002D7F3F" w:rsidP="00604C3D">
      <w:pPr>
        <w:spacing w:line="269" w:lineRule="auto"/>
        <w:rPr>
          <w:b/>
          <w:bCs/>
          <w:rtl/>
        </w:rPr>
      </w:pPr>
      <w:bookmarkStart w:id="582" w:name="_Hlk188255323"/>
    </w:p>
    <w:p w:rsidR="009A1216" w:rsidRDefault="009A1216" w:rsidP="00212501">
      <w:pPr>
        <w:spacing w:line="269" w:lineRule="auto"/>
        <w:ind w:left="423"/>
        <w:rPr>
          <w:rtl/>
        </w:rPr>
      </w:pPr>
      <w:r>
        <w:rPr>
          <w:rFonts w:hint="cs"/>
          <w:b/>
          <w:bCs/>
          <w:rtl/>
        </w:rPr>
        <w:t xml:space="preserve">פעולות ההפקה של תוצרי האזנה </w:t>
      </w:r>
      <w:r w:rsidR="00CC2FEF">
        <w:rPr>
          <w:rFonts w:hint="cs"/>
          <w:b/>
          <w:bCs/>
          <w:rtl/>
        </w:rPr>
        <w:t>אסורים</w:t>
      </w:r>
      <w:r>
        <w:rPr>
          <w:rFonts w:hint="cs"/>
          <w:b/>
          <w:bCs/>
          <w:rtl/>
        </w:rPr>
        <w:t xml:space="preserve"> והשימוש בהם מערערות את יסודות חזקת תקינות המינהל שעליהן מבססת המשטרה את פעילותה בתחום זה. הן עשויות להביא לריבוי הליכי גילוי ראיה, לסיכון חשיפה של כלים ואמצעים, להיפוך נטל הראיה בנוגע לתקינות הגשת ראיות בתיקים שבהם התבצעו האזנות סתר ולחזרה מכתבי אישום. גדולה מזו, פעולות ההפקה של תוצרי האזנה </w:t>
      </w:r>
      <w:r w:rsidR="00367CAF">
        <w:rPr>
          <w:rFonts w:hint="cs"/>
          <w:b/>
          <w:bCs/>
          <w:rtl/>
        </w:rPr>
        <w:t>אסורים</w:t>
      </w:r>
      <w:r>
        <w:rPr>
          <w:rFonts w:hint="cs"/>
          <w:b/>
          <w:bCs/>
          <w:rtl/>
        </w:rPr>
        <w:t xml:space="preserve"> והשימוש בהם פוגעות פגיעה אנושה באמון הציבור במשטרה, וכפועל יוצא מכך - ביכולתה למצות את משאביה הגלויים והחסויים בלחימה בפשיעה</w:t>
      </w:r>
      <w:r w:rsidRPr="00346CE4">
        <w:rPr>
          <w:b/>
          <w:bCs/>
          <w:rtl/>
        </w:rPr>
        <w:t>.</w:t>
      </w:r>
      <w:bookmarkEnd w:id="582"/>
      <w:r>
        <w:rPr>
          <w:rFonts w:hint="cs"/>
          <w:rtl/>
        </w:rPr>
        <w:t xml:space="preserve"> </w:t>
      </w:r>
      <w:r w:rsidRPr="008D6A17">
        <w:rPr>
          <w:rFonts w:hint="eastAsia"/>
          <w:b/>
          <w:bCs/>
          <w:rtl/>
        </w:rPr>
        <w:t>על</w:t>
      </w:r>
      <w:r w:rsidRPr="008D6A17">
        <w:rPr>
          <w:b/>
          <w:bCs/>
          <w:rtl/>
        </w:rPr>
        <w:t xml:space="preserve"> </w:t>
      </w:r>
      <w:r w:rsidRPr="008D6A17">
        <w:rPr>
          <w:rFonts w:hint="eastAsia"/>
          <w:b/>
          <w:bCs/>
          <w:rtl/>
        </w:rPr>
        <w:t>המשטרה</w:t>
      </w:r>
      <w:r w:rsidRPr="008D6A17">
        <w:rPr>
          <w:b/>
          <w:bCs/>
          <w:rtl/>
        </w:rPr>
        <w:t xml:space="preserve"> </w:t>
      </w:r>
      <w:r w:rsidRPr="008D6A17">
        <w:rPr>
          <w:rFonts w:hint="eastAsia"/>
          <w:b/>
          <w:bCs/>
          <w:rtl/>
        </w:rPr>
        <w:t>להקפיד</w:t>
      </w:r>
      <w:r>
        <w:rPr>
          <w:rFonts w:hint="cs"/>
          <w:b/>
          <w:bCs/>
          <w:rtl/>
        </w:rPr>
        <w:t xml:space="preserve"> שלא ייעשו כל פעולות להפקת תוצרי האזנה </w:t>
      </w:r>
      <w:r w:rsidR="00367CAF">
        <w:rPr>
          <w:rFonts w:hint="cs"/>
          <w:b/>
          <w:bCs/>
          <w:rtl/>
        </w:rPr>
        <w:t>אסורים</w:t>
      </w:r>
      <w:r>
        <w:rPr>
          <w:rFonts w:hint="cs"/>
          <w:b/>
          <w:bCs/>
          <w:rtl/>
        </w:rPr>
        <w:t xml:space="preserve"> ולשימוש בהם.</w:t>
      </w:r>
      <w:r w:rsidR="00382AE8">
        <w:rPr>
          <w:rFonts w:hint="cs"/>
          <w:b/>
          <w:bCs/>
          <w:rtl/>
        </w:rPr>
        <w:t xml:space="preserve"> </w:t>
      </w:r>
    </w:p>
    <w:p w:rsidR="009A1216" w:rsidRDefault="009A1216" w:rsidP="00604C3D">
      <w:pPr>
        <w:pStyle w:val="a5"/>
        <w:spacing w:line="269" w:lineRule="auto"/>
        <w:rPr>
          <w:rtl/>
        </w:rPr>
      </w:pPr>
    </w:p>
    <w:p w:rsidR="009A1216" w:rsidRDefault="009A1216" w:rsidP="00212501">
      <w:pPr>
        <w:spacing w:line="269" w:lineRule="auto"/>
        <w:ind w:left="423"/>
        <w:rPr>
          <w:rtl/>
        </w:rPr>
      </w:pPr>
      <w:r>
        <w:rPr>
          <w:rFonts w:hint="cs"/>
          <w:rtl/>
        </w:rPr>
        <w:t xml:space="preserve">המשטרה מסרה כי בעקבות דוח צוות מררי היא עומלת על הטיפול בתחום ההפקה בכמה נדבכים משלימים: כתיבת הנחיות עבודה לגורמי ההפקה, לכלים הטכנולוגיים </w:t>
      </w:r>
      <w:r w:rsidR="0016548D">
        <w:rPr>
          <w:rFonts w:hint="cs"/>
          <w:rtl/>
        </w:rPr>
        <w:t>ו</w:t>
      </w:r>
      <w:r>
        <w:rPr>
          <w:rFonts w:hint="cs"/>
          <w:rtl/>
        </w:rPr>
        <w:t>למפעילים, ו</w:t>
      </w:r>
      <w:r w:rsidR="00AB2FEE">
        <w:rPr>
          <w:rFonts w:hint="cs"/>
          <w:rtl/>
        </w:rPr>
        <w:t xml:space="preserve">כן </w:t>
      </w:r>
      <w:r>
        <w:rPr>
          <w:rFonts w:hint="cs"/>
          <w:rtl/>
        </w:rPr>
        <w:t>ביצוע התאמות טכנולוגיות לכלים ולמערכות. זאת כדי למנוע את האפשרות שגורמי המשטרה יקבלו לידיהם מידע שאיסופו לא הותר בחוק, ושהמפעילים יוכלו לבצע פעולות שאינן בסמכותם על פי דין</w:t>
      </w:r>
      <w:r w:rsidRPr="007E18D3">
        <w:rPr>
          <w:rtl/>
        </w:rPr>
        <w:t>.</w:t>
      </w:r>
    </w:p>
    <w:p w:rsidR="006E4299" w:rsidRDefault="006E4299" w:rsidP="00604C3D">
      <w:pPr>
        <w:spacing w:line="269" w:lineRule="auto"/>
        <w:rPr>
          <w:b/>
          <w:bCs/>
        </w:rPr>
      </w:pPr>
    </w:p>
    <w:p w:rsidR="002D7F3F" w:rsidRDefault="009A1216" w:rsidP="006E4299">
      <w:pPr>
        <w:spacing w:line="269" w:lineRule="auto"/>
        <w:jc w:val="center"/>
        <w:rPr>
          <w:rFonts w:ascii="Arial" w:hAnsi="Arial" w:cs="Arial"/>
          <w:b/>
          <w:bCs/>
          <w:sz w:val="36"/>
          <w:rtl/>
        </w:rPr>
      </w:pPr>
      <w:r w:rsidRPr="003228DB">
        <w:rPr>
          <w:rFonts w:ascii="Segoe UI Symbol" w:hAnsi="Segoe UI Symbol" w:cs="Segoe UI Symbol" w:hint="cs"/>
          <w:b/>
          <w:bCs/>
          <w:sz w:val="36"/>
          <w:rtl/>
        </w:rPr>
        <w:t>✰</w:t>
      </w:r>
    </w:p>
    <w:p w:rsidR="00016E2D" w:rsidRPr="006E4299" w:rsidRDefault="00016E2D" w:rsidP="006E4299">
      <w:pPr>
        <w:spacing w:line="269" w:lineRule="auto"/>
        <w:jc w:val="center"/>
        <w:rPr>
          <w:rFonts w:ascii="Arial" w:hAnsi="Arial" w:cs="Arial"/>
          <w:b/>
          <w:bCs/>
          <w:sz w:val="36"/>
          <w:rtl/>
        </w:rPr>
      </w:pPr>
    </w:p>
    <w:p w:rsidR="009A1216" w:rsidRDefault="009A1216" w:rsidP="00604C3D">
      <w:pPr>
        <w:spacing w:line="269" w:lineRule="auto"/>
        <w:rPr>
          <w:b/>
          <w:bCs/>
          <w:rtl/>
        </w:rPr>
      </w:pPr>
      <w:r>
        <w:rPr>
          <w:rFonts w:hint="cs"/>
          <w:b/>
          <w:bCs/>
          <w:rtl/>
        </w:rPr>
        <w:t xml:space="preserve">המשטרה עוסקת בהפקת תוצרי האזנת סתר זה שנים רבות וזה יותר מעשור בהפקת תוצרי האזנת סתר לתקשורת בין מחשבים. אולם הביקורת העלתה כי המשטרה לא פעלה כדי להביא להסדרת סמכותה להפיק תוצרי האזנת סתר לצורכי מודיעין בחקיקה ראשית, לא עדכנה הנחיות הנוגעות להפקת תוצרי האזנת סתר לתקשורת בין מחשבים ולא הגבילה גישה לחומרי הקלטה ומידע שהושג בהאזנה </w:t>
      </w:r>
      <w:r w:rsidR="00FE6360">
        <w:rPr>
          <w:rFonts w:hint="cs"/>
          <w:b/>
          <w:bCs/>
          <w:rtl/>
        </w:rPr>
        <w:t>אסורה</w:t>
      </w:r>
      <w:r>
        <w:rPr>
          <w:rFonts w:hint="cs"/>
          <w:b/>
          <w:bCs/>
          <w:rtl/>
        </w:rPr>
        <w:t xml:space="preserve">. נוסף על כך, </w:t>
      </w:r>
      <w:r w:rsidR="00367CAF">
        <w:rPr>
          <w:rFonts w:hint="cs"/>
          <w:b/>
          <w:bCs/>
          <w:rtl/>
        </w:rPr>
        <w:t xml:space="preserve">בחלק המקרים </w:t>
      </w:r>
      <w:r>
        <w:rPr>
          <w:rFonts w:hint="cs"/>
          <w:b/>
          <w:bCs/>
          <w:rtl/>
        </w:rPr>
        <w:t xml:space="preserve">המשטרה ביצעה פעולות ההפקה ושימוש </w:t>
      </w:r>
      <w:r w:rsidR="00367CAF">
        <w:rPr>
          <w:rFonts w:hint="cs"/>
          <w:b/>
          <w:bCs/>
          <w:rtl/>
        </w:rPr>
        <w:t>בתוצרים אסורים ובאופן</w:t>
      </w:r>
      <w:r>
        <w:rPr>
          <w:rFonts w:hint="cs"/>
          <w:b/>
          <w:bCs/>
          <w:rtl/>
        </w:rPr>
        <w:t xml:space="preserve"> בלתי סדור. </w:t>
      </w:r>
    </w:p>
    <w:p w:rsidR="002D7F3F" w:rsidRDefault="002D7F3F" w:rsidP="00604C3D">
      <w:pPr>
        <w:spacing w:line="269" w:lineRule="auto"/>
        <w:rPr>
          <w:b/>
          <w:bCs/>
          <w:rtl/>
        </w:rPr>
      </w:pPr>
    </w:p>
    <w:p w:rsidR="009A1216" w:rsidRDefault="009A1216" w:rsidP="00604C3D">
      <w:pPr>
        <w:spacing w:line="269" w:lineRule="auto"/>
        <w:rPr>
          <w:b/>
          <w:bCs/>
          <w:rtl/>
        </w:rPr>
      </w:pPr>
      <w:r>
        <w:rPr>
          <w:rFonts w:hint="cs"/>
          <w:b/>
          <w:bCs/>
          <w:rtl/>
        </w:rPr>
        <w:t xml:space="preserve">פערים ביכולת האיתור של פעולות הפקה </w:t>
      </w:r>
      <w:r w:rsidR="00CD487B">
        <w:rPr>
          <w:rFonts w:hint="cs"/>
          <w:b/>
          <w:bCs/>
          <w:rtl/>
        </w:rPr>
        <w:t>אסורות</w:t>
      </w:r>
      <w:r>
        <w:rPr>
          <w:rFonts w:hint="cs"/>
          <w:b/>
          <w:bCs/>
          <w:rtl/>
        </w:rPr>
        <w:t xml:space="preserve"> נובעים מליקויים יסודיים וקריטיים בניהול הליך ההפקה, ובפרט לנוכח העובדה שהמשטרה ביצעה פעולות מורכבות להפקת היקף אדיר של תוצרי האזנה ללא מערכת הפקה מרכזית ותוך ביזור פנקס האזנות הסתר. יוצא אפוא כי לחטיבת הסייבר אין יכולת שליטה, פיקוח ובקרה על העיון בתוצרי האזנת סתר לתקשורת בין מחשבים. </w:t>
      </w:r>
    </w:p>
    <w:p w:rsidR="002D7F3F" w:rsidRDefault="002D7F3F" w:rsidP="00604C3D">
      <w:pPr>
        <w:spacing w:line="269" w:lineRule="auto"/>
        <w:rPr>
          <w:b/>
          <w:bCs/>
          <w:rtl/>
        </w:rPr>
      </w:pPr>
    </w:p>
    <w:p w:rsidR="009A1216" w:rsidRDefault="009A1216" w:rsidP="00604C3D">
      <w:pPr>
        <w:spacing w:line="269" w:lineRule="auto"/>
        <w:rPr>
          <w:b/>
          <w:bCs/>
          <w:rtl/>
        </w:rPr>
      </w:pPr>
      <w:r>
        <w:rPr>
          <w:rFonts w:hint="cs"/>
          <w:b/>
          <w:bCs/>
          <w:rtl/>
        </w:rPr>
        <w:t xml:space="preserve">מומלץ כי המשטרה תבצע שינוי מקיף ומשמעותי בתהליך הפקת תוצרי האזנת הסתר, ובכלל זה איגום תוצרי האזנת הסתר והפקתם במערכת הפקה מרכזית. עוד מומלץ כי המשטרה תפעל לכך שמערכת הפקה מרכזית תאפשר אכיפה אקטיבית של הפעולות המותרות והאסורות, תנהל את ההרשאות להפקת תוצרי האזנת הסתר ולעיון בהם ותשמש בסיס איתן לאיגוד כל החומר הנדרש בתיק החקירה הגלוי והחסוי. </w:t>
      </w:r>
    </w:p>
    <w:p w:rsidR="002D7F3F" w:rsidRDefault="002D7F3F" w:rsidP="00604C3D">
      <w:pPr>
        <w:spacing w:line="269" w:lineRule="auto"/>
        <w:rPr>
          <w:b/>
          <w:bCs/>
          <w:rtl/>
        </w:rPr>
      </w:pPr>
    </w:p>
    <w:p w:rsidR="009A1216" w:rsidRDefault="009A1216" w:rsidP="00604C3D">
      <w:pPr>
        <w:spacing w:line="269" w:lineRule="auto"/>
        <w:rPr>
          <w:b/>
          <w:bCs/>
          <w:rtl/>
        </w:rPr>
      </w:pPr>
      <w:r>
        <w:rPr>
          <w:rFonts w:hint="cs"/>
          <w:b/>
          <w:bCs/>
          <w:rtl/>
        </w:rPr>
        <w:t>מוצע כי בעת העברת תיקי חקירה לידי הפרקליטות לצורך קבלת החלטות שבתחום סמכותה, הפרקליטות תעיין ביומני ההפקה באופן דיגיטלי כדי שתוכל לקיים בקרה סדורה ומלאה על עריכת יומני ההפקה, ובפרט בנוגע לתוצרי האזנה של תקשורת בין מחשבים, כחלק בלתי נפרד מאחריותה לניהול ההליך הפלילי.</w:t>
      </w:r>
      <w:r w:rsidR="00382AE8">
        <w:rPr>
          <w:rFonts w:hint="cs"/>
          <w:b/>
          <w:bCs/>
          <w:rtl/>
        </w:rPr>
        <w:t xml:space="preserve"> </w:t>
      </w:r>
    </w:p>
    <w:p w:rsidR="002D7F3F" w:rsidRDefault="002D7F3F" w:rsidP="00604C3D">
      <w:pPr>
        <w:spacing w:line="269" w:lineRule="auto"/>
        <w:rPr>
          <w:b/>
          <w:bCs/>
          <w:rtl/>
        </w:rPr>
      </w:pPr>
    </w:p>
    <w:p w:rsidR="009A1216" w:rsidRDefault="009A1216" w:rsidP="00604C3D">
      <w:pPr>
        <w:spacing w:line="269" w:lineRule="auto"/>
        <w:rPr>
          <w:b/>
          <w:bCs/>
          <w:rtl/>
        </w:rPr>
      </w:pPr>
      <w:r>
        <w:rPr>
          <w:rFonts w:hint="cs"/>
          <w:b/>
          <w:bCs/>
          <w:rtl/>
        </w:rPr>
        <w:t xml:space="preserve">עוד מומלץ כי משרד המשפטים האחראי על עבודת המטה יפעל בתיאום עם הגורמים הרלוונטיים להסדרת החקיקה הנדרשת בתחום הפקת תוצרי האזנת הסתר. </w:t>
      </w:r>
    </w:p>
    <w:p w:rsidR="00E939FE" w:rsidRDefault="00E939FE" w:rsidP="00604C3D">
      <w:pPr>
        <w:spacing w:line="269" w:lineRule="auto"/>
        <w:rPr>
          <w:b/>
          <w:bCs/>
          <w:rtl/>
        </w:rPr>
      </w:pPr>
    </w:p>
    <w:p w:rsidR="00837D04" w:rsidRDefault="00837D04" w:rsidP="00604C3D">
      <w:pPr>
        <w:spacing w:line="269" w:lineRule="auto"/>
        <w:rPr>
          <w:b/>
          <w:bCs/>
          <w:rtl/>
        </w:rPr>
      </w:pPr>
    </w:p>
    <w:p w:rsidR="00BE1CFE" w:rsidRPr="00BE1CFE" w:rsidRDefault="00BE1CFE" w:rsidP="00604C3D">
      <w:pPr>
        <w:pStyle w:val="3"/>
        <w:spacing w:before="0" w:line="269" w:lineRule="auto"/>
        <w:rPr>
          <w:rFonts w:eastAsia="Times New Roman"/>
          <w:szCs w:val="32"/>
          <w:rtl/>
        </w:rPr>
      </w:pPr>
      <w:bookmarkStart w:id="583" w:name="_Toc219286553"/>
      <w:r w:rsidRPr="00BE1CFE">
        <w:rPr>
          <w:rFonts w:eastAsia="Times New Roman" w:hint="cs"/>
          <w:rtl/>
        </w:rPr>
        <w:t>2.5 ביעור חומרי האזנת סתר</w:t>
      </w:r>
      <w:bookmarkEnd w:id="583"/>
    </w:p>
    <w:bookmarkEnd w:id="282"/>
    <w:p w:rsidR="00B4118C" w:rsidRDefault="00B4118C" w:rsidP="00604C3D">
      <w:pPr>
        <w:spacing w:line="269" w:lineRule="auto"/>
        <w:rPr>
          <w:rFonts w:eastAsia="Calibri"/>
          <w:sz w:val="16"/>
          <w:szCs w:val="16"/>
          <w:rtl/>
        </w:rPr>
      </w:pPr>
    </w:p>
    <w:p w:rsidR="00BE1CFE" w:rsidRPr="00BE1CFE" w:rsidRDefault="00BE1CFE" w:rsidP="00604C3D">
      <w:pPr>
        <w:spacing w:line="269" w:lineRule="auto"/>
        <w:rPr>
          <w:rFonts w:ascii="David" w:eastAsia="Calibri" w:hAnsi="David"/>
          <w:sz w:val="24"/>
          <w:rtl/>
        </w:rPr>
      </w:pPr>
      <w:r w:rsidRPr="00BE1CFE">
        <w:rPr>
          <w:rFonts w:ascii="David" w:eastAsia="Calibri" w:hAnsi="David" w:hint="cs"/>
          <w:sz w:val="24"/>
          <w:rtl/>
        </w:rPr>
        <w:t>ביעור תוצרי האזנות סתר נועד להבטיח את הגנת פרטיותם של יעדי האזנה ומואזנים אחרים שדבריהם הוקלטו ואשר החקירה בעניינם הסתיימה בגניזת התיק, ולחלופין שההליך המשפטי בעניינם הסתיים או שאין בדברים שהוקלטו משום סיוע למניעת עבירות.</w:t>
      </w:r>
    </w:p>
    <w:p w:rsidR="00B4118C" w:rsidRDefault="00B4118C" w:rsidP="00604C3D">
      <w:pPr>
        <w:spacing w:line="269" w:lineRule="auto"/>
        <w:rPr>
          <w:rFonts w:eastAsia="Calibri"/>
          <w:sz w:val="16"/>
          <w:szCs w:val="16"/>
          <w:rtl/>
        </w:rPr>
      </w:pPr>
    </w:p>
    <w:p w:rsidR="00BE1CFE" w:rsidRPr="00BE1CFE" w:rsidRDefault="00BE1CFE" w:rsidP="00604C3D">
      <w:pPr>
        <w:spacing w:line="269" w:lineRule="auto"/>
        <w:rPr>
          <w:rFonts w:eastAsia="Calibri"/>
        </w:rPr>
      </w:pPr>
      <w:r w:rsidRPr="00BE1CFE">
        <w:rPr>
          <w:rFonts w:ascii="David" w:eastAsia="Calibri" w:hAnsi="David" w:hint="cs"/>
          <w:sz w:val="24"/>
          <w:rtl/>
        </w:rPr>
        <w:t>סעיף 9ב לחוק האזנת סתר קובע כי ראש הממשלה - בהסכמת שר המשפטים - יקבע כללים לגבי ביעור תוצרי האזנות סתר. החוק קובע כי תוצר האזנת סתר שאינו דרוש למניעת עבירות או לגילוי עבריינים יימחק או יבוער על פי הוראה בכתב של קצין משטרה מוסמך. עוד קובע החוק כי תוצר האזנת סתר שהוא חומר חקירה לא יימחק אלא לאחר תום ההליכים המשפטיים בעניינו ובתנאי שהתובע נתן מראש אישור בכתב למחיקתו. תקנה 7(א) לתקנות האזנת סתר קובעת כי על כל מחזיק בתוצר האזנת סתר למחוק אותו בתוך עשרה ימים מרגע קבלת ההוראה על מחיקתו</w:t>
      </w:r>
      <w:r w:rsidRPr="00BE1CFE">
        <w:rPr>
          <w:rFonts w:eastAsia="Calibri"/>
          <w:vertAlign w:val="superscript"/>
          <w:rtl/>
        </w:rPr>
        <w:footnoteReference w:id="240"/>
      </w:r>
      <w:r w:rsidRPr="00BE1CFE">
        <w:rPr>
          <w:rFonts w:eastAsia="Calibri" w:hint="cs"/>
          <w:rtl/>
        </w:rPr>
        <w:t>.</w:t>
      </w:r>
    </w:p>
    <w:p w:rsidR="00B4118C" w:rsidRDefault="00B4118C" w:rsidP="00604C3D">
      <w:pPr>
        <w:spacing w:line="269" w:lineRule="auto"/>
        <w:rPr>
          <w:rFonts w:eastAsia="Calibri"/>
          <w:sz w:val="16"/>
          <w:szCs w:val="16"/>
          <w:rtl/>
        </w:rPr>
      </w:pPr>
    </w:p>
    <w:p w:rsidR="00BE1CFE" w:rsidRPr="00BE1CFE" w:rsidRDefault="00BE1CFE" w:rsidP="00604C3D">
      <w:pPr>
        <w:spacing w:line="269" w:lineRule="auto"/>
        <w:rPr>
          <w:rFonts w:ascii="David" w:eastAsia="Calibri" w:hAnsi="David"/>
          <w:sz w:val="24"/>
          <w:rtl/>
        </w:rPr>
      </w:pPr>
      <w:r w:rsidRPr="00BE1CFE">
        <w:rPr>
          <w:rFonts w:ascii="David" w:eastAsia="Calibri" w:hAnsi="David" w:hint="cs"/>
          <w:sz w:val="24"/>
          <w:rtl/>
        </w:rPr>
        <w:t>ב-5.10.14 התקיימה במשרד המשפטים ישיבה בהשתתפות יועמ"ש מחלקת הסייבר וגורמים מהפרקליטות ומ</w:t>
      </w:r>
      <w:r w:rsidR="00844501">
        <w:rPr>
          <w:rFonts w:ascii="David" w:eastAsia="Calibri" w:hAnsi="David" w:hint="cs"/>
          <w:sz w:val="24"/>
          <w:rtl/>
        </w:rPr>
        <w:t>הייעוץ המשפטי לממשלה</w:t>
      </w:r>
      <w:r w:rsidRPr="00BE1CFE">
        <w:rPr>
          <w:rFonts w:ascii="David" w:eastAsia="Calibri" w:hAnsi="David" w:hint="cs"/>
          <w:sz w:val="24"/>
          <w:rtl/>
        </w:rPr>
        <w:t xml:space="preserve"> בנושא ביעור תוצרי האזנת סתר, ובה סוכמו מועדי הביעור של תוצרי האזנות סתר בהתאם לסטטוס החקירה או ההליך המשפטי ולחומרת העבירות. בעקבות הישיבה עודכנו בנוהל המשטרתי כללי הביעור של חומרי האזנת סתר, אופן ביצוע הביעור בפועל וחובות הדיווח, התיעוד, הפיקוח והבקרה בעניין זה. </w:t>
      </w:r>
    </w:p>
    <w:p w:rsidR="00B4118C" w:rsidRDefault="00B4118C" w:rsidP="00604C3D">
      <w:pPr>
        <w:spacing w:line="269" w:lineRule="auto"/>
        <w:rPr>
          <w:rFonts w:eastAsia="Calibri"/>
          <w:sz w:val="16"/>
          <w:szCs w:val="16"/>
          <w:rtl/>
        </w:rPr>
      </w:pPr>
    </w:p>
    <w:p w:rsidR="00BE1CFE" w:rsidRPr="00BE1CFE" w:rsidRDefault="00BE1CFE" w:rsidP="00604C3D">
      <w:pPr>
        <w:spacing w:line="269" w:lineRule="auto"/>
        <w:rPr>
          <w:rFonts w:ascii="David" w:eastAsia="Calibri" w:hAnsi="David"/>
          <w:sz w:val="24"/>
          <w:rtl/>
        </w:rPr>
      </w:pPr>
      <w:r w:rsidRPr="00BE1CFE">
        <w:rPr>
          <w:rFonts w:ascii="David" w:eastAsia="Calibri" w:hAnsi="David" w:hint="cs"/>
          <w:sz w:val="24"/>
          <w:rtl/>
        </w:rPr>
        <w:t xml:space="preserve">על פי הנוהל, על כל ראש מחלק הפקה או ראש צס"ם מחוזי למנות "רפרנט ביעור" מטעמו, שתפקידו לרכז אחת לשנה את רשימת תוצרי האזנות הסתר המיועדים לביעור. ראש מחלק הפקה או ראש צס"ם מציג לפני קצין משטרה מוסמך את הרשימה האמורה. לאחר שקצין המשטרה המוסמך בוחן את הרשימה </w:t>
      </w:r>
      <w:r w:rsidR="00F33EC7">
        <w:rPr>
          <w:rFonts w:ascii="David" w:eastAsia="Calibri" w:hAnsi="David" w:hint="cs"/>
          <w:sz w:val="24"/>
          <w:rtl/>
        </w:rPr>
        <w:t>ה</w:t>
      </w:r>
      <w:r w:rsidRPr="00BE1CFE">
        <w:rPr>
          <w:rFonts w:ascii="David" w:eastAsia="Calibri" w:hAnsi="David" w:hint="cs"/>
          <w:sz w:val="24"/>
          <w:rtl/>
        </w:rPr>
        <w:t>ו</w:t>
      </w:r>
      <w:r w:rsidR="00F33EC7">
        <w:rPr>
          <w:rFonts w:ascii="David" w:eastAsia="Calibri" w:hAnsi="David" w:hint="cs"/>
          <w:sz w:val="24"/>
          <w:rtl/>
        </w:rPr>
        <w:t xml:space="preserve">א </w:t>
      </w:r>
      <w:r w:rsidRPr="00BE1CFE">
        <w:rPr>
          <w:rFonts w:ascii="David" w:eastAsia="Calibri" w:hAnsi="David" w:hint="cs"/>
          <w:sz w:val="24"/>
          <w:rtl/>
        </w:rPr>
        <w:t xml:space="preserve">מעביר הוראת ביעור ליחידות המשטרה אשר צריכה להיות מיושמת בתוך עשרה ימים מיום קבלתה. </w:t>
      </w:r>
    </w:p>
    <w:p w:rsidR="00B4118C" w:rsidRDefault="00B4118C" w:rsidP="00604C3D">
      <w:pPr>
        <w:spacing w:line="269" w:lineRule="auto"/>
        <w:rPr>
          <w:rFonts w:eastAsia="Calibri"/>
          <w:sz w:val="16"/>
          <w:szCs w:val="16"/>
          <w:rtl/>
        </w:rPr>
      </w:pPr>
    </w:p>
    <w:p w:rsidR="00BE1CFE" w:rsidRPr="00BE1CFE" w:rsidRDefault="00BE1CFE" w:rsidP="00604C3D">
      <w:pPr>
        <w:spacing w:line="269" w:lineRule="auto"/>
        <w:rPr>
          <w:rFonts w:ascii="David" w:eastAsia="Calibri" w:hAnsi="David"/>
          <w:sz w:val="24"/>
          <w:rtl/>
        </w:rPr>
      </w:pPr>
      <w:r w:rsidRPr="00BE1CFE">
        <w:rPr>
          <w:rFonts w:ascii="David" w:eastAsia="Calibri" w:hAnsi="David" w:hint="cs"/>
          <w:sz w:val="24"/>
          <w:rtl/>
        </w:rPr>
        <w:t xml:space="preserve">עוד נקבע בנוהל כי לא יבוער תוצר האזנת סתר בתיק חקירה פתוח או בתיק חקירה שנסגר בעילה של עבריין לא נודע או בתיק שבו הנאשם זוכה. בנוהל נקבעו מועדי ביעור כדלהלן: </w:t>
      </w:r>
    </w:p>
    <w:p w:rsidR="00B4118C" w:rsidRPr="00B4118C" w:rsidRDefault="00B4118C" w:rsidP="00604C3D">
      <w:pPr>
        <w:spacing w:line="269" w:lineRule="auto"/>
        <w:ind w:left="1077"/>
        <w:contextualSpacing/>
        <w:rPr>
          <w:rFonts w:ascii="David" w:eastAsia="Calibri" w:hAnsi="David"/>
          <w:sz w:val="24"/>
        </w:rPr>
      </w:pPr>
    </w:p>
    <w:p w:rsidR="00B4118C" w:rsidRPr="00963052" w:rsidRDefault="00BE1CFE" w:rsidP="008C598D">
      <w:pPr>
        <w:pStyle w:val="af2"/>
        <w:numPr>
          <w:ilvl w:val="0"/>
          <w:numId w:val="62"/>
        </w:numPr>
        <w:spacing w:line="269" w:lineRule="auto"/>
        <w:rPr>
          <w:rFonts w:ascii="David" w:eastAsia="Calibri" w:hAnsi="David"/>
          <w:sz w:val="24"/>
        </w:rPr>
      </w:pPr>
      <w:r w:rsidRPr="00963052">
        <w:rPr>
          <w:rFonts w:ascii="David" w:eastAsia="Calibri" w:hAnsi="David" w:hint="cs"/>
          <w:sz w:val="24"/>
          <w:rtl/>
        </w:rPr>
        <w:t>בתיק חקירה שנסגר - בתום שנתיים ממועד סגירת התיק.</w:t>
      </w:r>
      <w:r w:rsidR="00B4118C" w:rsidRPr="00963052">
        <w:rPr>
          <w:rFonts w:ascii="David" w:eastAsia="Calibri" w:hAnsi="David"/>
          <w:sz w:val="24"/>
        </w:rPr>
        <w:t xml:space="preserve"> </w:t>
      </w:r>
    </w:p>
    <w:p w:rsidR="00B4118C" w:rsidRPr="00963052" w:rsidRDefault="00BE1CFE" w:rsidP="008C598D">
      <w:pPr>
        <w:pStyle w:val="af2"/>
        <w:numPr>
          <w:ilvl w:val="0"/>
          <w:numId w:val="62"/>
        </w:numPr>
        <w:spacing w:line="269" w:lineRule="auto"/>
        <w:rPr>
          <w:rFonts w:ascii="David" w:eastAsia="Calibri" w:hAnsi="David"/>
          <w:sz w:val="24"/>
        </w:rPr>
      </w:pPr>
      <w:r w:rsidRPr="00BE1CFE">
        <w:rPr>
          <w:rFonts w:ascii="David" w:eastAsia="Calibri" w:hAnsi="David" w:hint="cs"/>
          <w:sz w:val="24"/>
          <w:rtl/>
        </w:rPr>
        <w:t xml:space="preserve">בפרשייה מודיעינית שבה לא נפתחה חקירה גלויה </w:t>
      </w:r>
      <w:r w:rsidR="003D6F75">
        <w:rPr>
          <w:rFonts w:ascii="David" w:eastAsia="Calibri" w:hAnsi="David" w:hint="cs"/>
          <w:sz w:val="24"/>
          <w:rtl/>
        </w:rPr>
        <w:t>-</w:t>
      </w:r>
      <w:r w:rsidRPr="00BE1CFE">
        <w:rPr>
          <w:rFonts w:ascii="David" w:eastAsia="Calibri" w:hAnsi="David" w:hint="cs"/>
          <w:sz w:val="24"/>
          <w:rtl/>
        </w:rPr>
        <w:t xml:space="preserve"> בחלוף שלוש שנים מתום ההאזנה.</w:t>
      </w:r>
    </w:p>
    <w:p w:rsidR="00BE1CFE" w:rsidRPr="00BE1CFE" w:rsidRDefault="00BE1CFE" w:rsidP="008C598D">
      <w:pPr>
        <w:pStyle w:val="af2"/>
        <w:numPr>
          <w:ilvl w:val="0"/>
          <w:numId w:val="62"/>
        </w:numPr>
        <w:spacing w:line="269" w:lineRule="auto"/>
        <w:rPr>
          <w:rFonts w:ascii="David" w:eastAsia="Calibri" w:hAnsi="David"/>
          <w:sz w:val="24"/>
        </w:rPr>
      </w:pPr>
      <w:r w:rsidRPr="00BE1CFE">
        <w:rPr>
          <w:rFonts w:ascii="David" w:eastAsia="Calibri" w:hAnsi="David" w:hint="cs"/>
          <w:sz w:val="24"/>
          <w:rtl/>
        </w:rPr>
        <w:t xml:space="preserve">בתיק פרשייה מודיעינית </w:t>
      </w:r>
      <w:r w:rsidR="00F33EC7" w:rsidRPr="00BE1CFE">
        <w:rPr>
          <w:rFonts w:ascii="David" w:eastAsia="Calibri" w:hAnsi="David" w:hint="cs"/>
          <w:sz w:val="24"/>
          <w:rtl/>
        </w:rPr>
        <w:t xml:space="preserve">שנסגר </w:t>
      </w:r>
      <w:r w:rsidRPr="00BE1CFE">
        <w:rPr>
          <w:rFonts w:ascii="David" w:eastAsia="Calibri" w:hAnsi="David" w:hint="cs"/>
          <w:sz w:val="24"/>
          <w:rtl/>
        </w:rPr>
        <w:t>- בתום חמש שנים מסגירת התיק.</w:t>
      </w:r>
    </w:p>
    <w:p w:rsidR="00BE1CFE" w:rsidRPr="00BE1CFE" w:rsidRDefault="00BE1CFE" w:rsidP="008C598D">
      <w:pPr>
        <w:pStyle w:val="af2"/>
        <w:numPr>
          <w:ilvl w:val="0"/>
          <w:numId w:val="62"/>
        </w:numPr>
        <w:spacing w:line="269" w:lineRule="auto"/>
        <w:rPr>
          <w:rFonts w:ascii="David" w:eastAsia="Calibri" w:hAnsi="David"/>
          <w:sz w:val="24"/>
        </w:rPr>
      </w:pPr>
      <w:r w:rsidRPr="00BE1CFE">
        <w:rPr>
          <w:rFonts w:ascii="David" w:eastAsia="Calibri" w:hAnsi="David" w:hint="cs"/>
          <w:sz w:val="24"/>
          <w:rtl/>
        </w:rPr>
        <w:t xml:space="preserve">בתיק שבו הוגש כתב אישום </w:t>
      </w:r>
      <w:r w:rsidR="00071794">
        <w:rPr>
          <w:rFonts w:ascii="David" w:eastAsia="Calibri" w:hAnsi="David" w:hint="cs"/>
          <w:sz w:val="24"/>
          <w:rtl/>
        </w:rPr>
        <w:t>-</w:t>
      </w:r>
      <w:r w:rsidRPr="00BE1CFE">
        <w:rPr>
          <w:rFonts w:ascii="David" w:eastAsia="Calibri" w:hAnsi="David" w:hint="cs"/>
          <w:sz w:val="24"/>
          <w:rtl/>
        </w:rPr>
        <w:t xml:space="preserve"> בחלוף חמש שנים מיום שפסק הדין הפך לחלוט</w:t>
      </w:r>
      <w:r w:rsidRPr="00963052">
        <w:rPr>
          <w:rFonts w:ascii="David" w:eastAsia="Calibri" w:hAnsi="David"/>
          <w:sz w:val="24"/>
          <w:rtl/>
        </w:rPr>
        <w:footnoteReference w:id="241"/>
      </w:r>
      <w:r w:rsidRPr="00BE1CFE">
        <w:rPr>
          <w:rFonts w:ascii="David" w:eastAsia="Calibri" w:hAnsi="David" w:hint="cs"/>
          <w:sz w:val="24"/>
          <w:rtl/>
        </w:rPr>
        <w:t>.</w:t>
      </w:r>
    </w:p>
    <w:p w:rsidR="00BE1CFE" w:rsidRPr="00BE1CFE" w:rsidRDefault="00BE1CFE" w:rsidP="008C598D">
      <w:pPr>
        <w:pStyle w:val="af2"/>
        <w:numPr>
          <w:ilvl w:val="0"/>
          <w:numId w:val="62"/>
        </w:numPr>
        <w:spacing w:line="269" w:lineRule="auto"/>
        <w:rPr>
          <w:rFonts w:ascii="David" w:eastAsia="Calibri" w:hAnsi="David"/>
          <w:sz w:val="24"/>
          <w:rtl/>
        </w:rPr>
      </w:pPr>
      <w:r w:rsidRPr="00BE1CFE">
        <w:rPr>
          <w:rFonts w:ascii="David" w:eastAsia="Calibri" w:hAnsi="David" w:hint="cs"/>
          <w:sz w:val="24"/>
          <w:rtl/>
        </w:rPr>
        <w:t>בתיק שעניינו פשע חמור</w:t>
      </w:r>
      <w:r w:rsidRPr="00BE1CFE">
        <w:rPr>
          <w:rFonts w:ascii="David" w:eastAsia="Calibri" w:hAnsi="David"/>
          <w:sz w:val="24"/>
          <w:vertAlign w:val="superscript"/>
          <w:rtl/>
        </w:rPr>
        <w:footnoteReference w:id="242"/>
      </w:r>
      <w:r w:rsidRPr="00BE1CFE">
        <w:rPr>
          <w:rFonts w:ascii="David" w:eastAsia="Calibri" w:hAnsi="David" w:hint="cs"/>
          <w:sz w:val="24"/>
          <w:rtl/>
        </w:rPr>
        <w:t xml:space="preserve"> - בחלוף עשר שנים מיום שפסק הדין הפך לחלוט או ממועד סגירת תיק החקירה או מתום ההאזנה לפרשייה מודיעינית.</w:t>
      </w:r>
    </w:p>
    <w:p w:rsidR="00B4118C" w:rsidRPr="006E4299" w:rsidRDefault="00B4118C" w:rsidP="00604C3D">
      <w:pPr>
        <w:spacing w:line="269" w:lineRule="auto"/>
        <w:rPr>
          <w:rFonts w:eastAsia="Calibri"/>
          <w:sz w:val="24"/>
          <w:rtl/>
        </w:rPr>
      </w:pPr>
    </w:p>
    <w:p w:rsidR="00BE1CFE" w:rsidRPr="00BE1CFE" w:rsidRDefault="00BE1CFE" w:rsidP="00604C3D">
      <w:pPr>
        <w:spacing w:line="269" w:lineRule="auto"/>
        <w:rPr>
          <w:rFonts w:ascii="David" w:eastAsia="Calibri" w:hAnsi="David"/>
          <w:sz w:val="24"/>
          <w:rtl/>
        </w:rPr>
      </w:pPr>
      <w:r w:rsidRPr="00BE1CFE">
        <w:rPr>
          <w:rFonts w:ascii="David" w:eastAsia="Calibri" w:hAnsi="David" w:hint="cs"/>
          <w:sz w:val="24"/>
          <w:rtl/>
        </w:rPr>
        <w:t xml:space="preserve">במחצית השנייה של שנת 2014 עשה המבקר הפנימי של המשרד לביטחון לאומי בקרה בחטיבת הסייבר בתחום האזנות סתר. במסגרת הבקרה נמצא, בין היתר, כי במערך ההפקה של המשטרה לא מתבצע הליך סדור של ביעור חומרי האזנת סתר ומחיקתם. בעקבות ממצאי הבקרה נדרשה המשטרה ליישם את הנחיות החוק והנוהל בנושא ולבצע מעקב עיתי אחר הליך הביעור והמחיקה האמור. </w:t>
      </w:r>
    </w:p>
    <w:p w:rsidR="00B4118C" w:rsidRPr="006E4299" w:rsidRDefault="00B4118C" w:rsidP="00604C3D">
      <w:pPr>
        <w:spacing w:line="269" w:lineRule="auto"/>
        <w:rPr>
          <w:rFonts w:eastAsia="Calibri"/>
          <w:sz w:val="24"/>
          <w:rtl/>
        </w:rPr>
      </w:pPr>
    </w:p>
    <w:p w:rsidR="00BE1CFE" w:rsidRPr="00BE1CFE" w:rsidRDefault="00BE1CFE" w:rsidP="00604C3D">
      <w:pPr>
        <w:spacing w:line="269" w:lineRule="auto"/>
        <w:rPr>
          <w:rFonts w:ascii="David" w:eastAsia="Calibri" w:hAnsi="David"/>
          <w:sz w:val="24"/>
          <w:rtl/>
        </w:rPr>
      </w:pPr>
      <w:r w:rsidRPr="00BE1CFE">
        <w:rPr>
          <w:rFonts w:ascii="David" w:eastAsia="Calibri" w:hAnsi="David" w:hint="cs"/>
          <w:sz w:val="24"/>
          <w:rtl/>
        </w:rPr>
        <w:t>לנוכח ממצאי הבקרה מיפו יחידות הסיגינט חומרי האזנות סתר ישנים משנות השמונים והתשעים של המאה העשרים, שנשמרו בסלילי הקלטה ואוחסנו בארגזים. במהלך המיפוי התברר כי ביעור חומרי האזנות סתר משנת 2000 ואילך בעייתי כיוון שהם קוטלגו על פי תאריכים ולא על פי פרשיות, והמידע שנשמר במדיה אחת כלל לעיתים כמה פרשיות. עקב כך, בסוף הליך המיפוי, בשנת 2016 בוערו סלילי הקלטה עד שנת 2000 בלבד.</w:t>
      </w:r>
      <w:r w:rsidRPr="00BE1CFE">
        <w:rPr>
          <w:rFonts w:ascii="David" w:eastAsia="Calibri" w:hAnsi="David"/>
          <w:sz w:val="24"/>
          <w:rtl/>
        </w:rPr>
        <w:t xml:space="preserve"> </w:t>
      </w:r>
    </w:p>
    <w:p w:rsidR="00B4118C" w:rsidRPr="006E4299" w:rsidRDefault="00B4118C" w:rsidP="00604C3D">
      <w:pPr>
        <w:spacing w:line="269" w:lineRule="auto"/>
        <w:rPr>
          <w:rFonts w:eastAsia="Calibri"/>
          <w:sz w:val="24"/>
          <w:rtl/>
        </w:rPr>
      </w:pPr>
    </w:p>
    <w:p w:rsidR="00BE1CFE" w:rsidRPr="00BE1CFE" w:rsidRDefault="00BE1CFE" w:rsidP="00604C3D">
      <w:pPr>
        <w:spacing w:line="269" w:lineRule="auto"/>
        <w:rPr>
          <w:rFonts w:ascii="David" w:eastAsia="Calibri" w:hAnsi="David"/>
          <w:sz w:val="24"/>
          <w:rtl/>
        </w:rPr>
      </w:pPr>
      <w:r w:rsidRPr="00BE1CFE">
        <w:rPr>
          <w:rFonts w:ascii="David" w:eastAsia="Calibri" w:hAnsi="David" w:hint="cs"/>
          <w:sz w:val="24"/>
          <w:rtl/>
        </w:rPr>
        <w:t>בבקרות שבוצעו בחטיבת הסייבר בשנים 2016 - 2019 צוין כי "הנושא לא מטופל כנדרש, קיים פער של שנים בטיפול בנושא",</w:t>
      </w:r>
      <w:r w:rsidR="00382AE8">
        <w:rPr>
          <w:rFonts w:ascii="David" w:eastAsia="Calibri" w:hAnsi="David" w:hint="cs"/>
          <w:sz w:val="24"/>
          <w:rtl/>
        </w:rPr>
        <w:t xml:space="preserve"> </w:t>
      </w:r>
      <w:r w:rsidRPr="00BE1CFE">
        <w:rPr>
          <w:rFonts w:ascii="David" w:eastAsia="Calibri" w:hAnsi="David" w:hint="cs"/>
          <w:sz w:val="24"/>
          <w:rtl/>
        </w:rPr>
        <w:t>וכי "לא בוצע מיפוי של חומרי האזנה המיועדים לביעור ובפועל לא בוצע ביעור". משנת 2019 ו</w:t>
      </w:r>
      <w:r w:rsidRPr="00BE1CFE">
        <w:rPr>
          <w:rFonts w:ascii="David" w:eastAsia="Calibri" w:hAnsi="David" w:hint="eastAsia"/>
          <w:sz w:val="24"/>
          <w:rtl/>
        </w:rPr>
        <w:t>עד</w:t>
      </w:r>
      <w:r w:rsidRPr="00BE1CFE">
        <w:rPr>
          <w:rFonts w:ascii="David" w:eastAsia="Calibri" w:hAnsi="David"/>
          <w:sz w:val="24"/>
          <w:rtl/>
        </w:rPr>
        <w:t xml:space="preserve"> </w:t>
      </w:r>
      <w:r w:rsidRPr="00BE1CFE">
        <w:rPr>
          <w:rFonts w:ascii="David" w:eastAsia="Calibri" w:hAnsi="David" w:hint="eastAsia"/>
          <w:sz w:val="24"/>
          <w:rtl/>
        </w:rPr>
        <w:t>מועד</w:t>
      </w:r>
      <w:r w:rsidRPr="00BE1CFE">
        <w:rPr>
          <w:rFonts w:ascii="David" w:eastAsia="Calibri" w:hAnsi="David"/>
          <w:sz w:val="24"/>
          <w:rtl/>
        </w:rPr>
        <w:t xml:space="preserve"> </w:t>
      </w:r>
      <w:r w:rsidRPr="00BE1CFE">
        <w:rPr>
          <w:rFonts w:ascii="David" w:eastAsia="Calibri" w:hAnsi="David" w:hint="eastAsia"/>
          <w:sz w:val="24"/>
          <w:rtl/>
        </w:rPr>
        <w:t>סיום</w:t>
      </w:r>
      <w:r w:rsidRPr="00BE1CFE">
        <w:rPr>
          <w:rFonts w:ascii="David" w:eastAsia="Calibri" w:hAnsi="David"/>
          <w:sz w:val="24"/>
          <w:rtl/>
        </w:rPr>
        <w:t xml:space="preserve"> </w:t>
      </w:r>
      <w:r w:rsidRPr="00BE1CFE">
        <w:rPr>
          <w:rFonts w:ascii="David" w:eastAsia="Calibri" w:hAnsi="David" w:hint="eastAsia"/>
          <w:sz w:val="24"/>
          <w:rtl/>
        </w:rPr>
        <w:t>הביקורת</w:t>
      </w:r>
      <w:r w:rsidRPr="00BE1CFE">
        <w:rPr>
          <w:rFonts w:ascii="David" w:eastAsia="Calibri" w:hAnsi="David"/>
          <w:sz w:val="24"/>
          <w:rtl/>
        </w:rPr>
        <w:t xml:space="preserve"> </w:t>
      </w:r>
      <w:r w:rsidRPr="00BE1CFE">
        <w:rPr>
          <w:rFonts w:ascii="David" w:eastAsia="Calibri" w:hAnsi="David" w:hint="cs"/>
          <w:sz w:val="24"/>
          <w:rtl/>
        </w:rPr>
        <w:t>לא בוצעה בקרה בנושא</w:t>
      </w:r>
      <w:r w:rsidRPr="00BE1CFE">
        <w:rPr>
          <w:rFonts w:ascii="David" w:eastAsia="Calibri" w:hAnsi="David"/>
          <w:sz w:val="24"/>
          <w:vertAlign w:val="superscript"/>
          <w:rtl/>
        </w:rPr>
        <w:footnoteReference w:id="243"/>
      </w:r>
      <w:r w:rsidRPr="00BE1CFE">
        <w:rPr>
          <w:rFonts w:ascii="David" w:eastAsia="Calibri" w:hAnsi="David"/>
          <w:sz w:val="24"/>
          <w:rtl/>
        </w:rPr>
        <w:t>.</w:t>
      </w:r>
      <w:r w:rsidRPr="00BE1CFE">
        <w:rPr>
          <w:rFonts w:ascii="David" w:eastAsia="Calibri" w:hAnsi="David" w:hint="cs"/>
          <w:sz w:val="24"/>
          <w:rtl/>
        </w:rPr>
        <w:t xml:space="preserve"> </w:t>
      </w:r>
    </w:p>
    <w:p w:rsidR="00B4118C" w:rsidRPr="006E4299" w:rsidRDefault="00B4118C" w:rsidP="00604C3D">
      <w:pPr>
        <w:spacing w:line="269" w:lineRule="auto"/>
        <w:rPr>
          <w:rFonts w:eastAsia="Calibri"/>
          <w:sz w:val="24"/>
          <w:rtl/>
        </w:rPr>
      </w:pPr>
    </w:p>
    <w:p w:rsidR="00BE1CFE" w:rsidRPr="00BE1CFE" w:rsidRDefault="00BE1CFE" w:rsidP="00604C3D">
      <w:pPr>
        <w:spacing w:line="269" w:lineRule="auto"/>
        <w:rPr>
          <w:rFonts w:ascii="David" w:eastAsia="Calibri" w:hAnsi="David"/>
          <w:sz w:val="24"/>
          <w:rtl/>
        </w:rPr>
      </w:pPr>
      <w:r w:rsidRPr="00BE1CFE">
        <w:rPr>
          <w:rFonts w:ascii="David" w:eastAsia="Calibri" w:hAnsi="David" w:hint="cs"/>
          <w:sz w:val="24"/>
          <w:rtl/>
        </w:rPr>
        <w:t xml:space="preserve">ב-24.1.22 הנחתה חטיבת הסייבר את כל ראשי מחלק הפקה או צס"ם מחוזי להעביר לידיה את שמות הרפרנטים לתחום הביעור ואת סטטוס הביעור לשנת 2021 של תוצרי האזנות הסתר ששמורים ביחידותיהם. לאחר כשנה, ב-13.2.23, הורתה החטיבה לכל מחלק הפקה או צס"ם למסור לה עד 19.2.23 עדכון בדבר כלל תוצרי האזנת הסתר שיש לבער. כמו כן היא ציינה כי ב-1.3.23 עתידה להתבצע בקרה בנושא תהליך עבודת הביעור. </w:t>
      </w:r>
    </w:p>
    <w:p w:rsidR="00B4118C" w:rsidRPr="006E4299" w:rsidRDefault="00B4118C" w:rsidP="00604C3D">
      <w:pPr>
        <w:spacing w:line="269" w:lineRule="auto"/>
        <w:rPr>
          <w:rFonts w:eastAsia="Calibri"/>
          <w:sz w:val="24"/>
          <w:rtl/>
        </w:rPr>
      </w:pPr>
      <w:bookmarkStart w:id="584" w:name="_Hlk147755698"/>
    </w:p>
    <w:p w:rsidR="00BE1CFE" w:rsidRPr="00BE1CFE" w:rsidRDefault="00BE1CFE" w:rsidP="00604C3D">
      <w:pPr>
        <w:spacing w:line="269" w:lineRule="auto"/>
        <w:rPr>
          <w:rFonts w:ascii="David" w:eastAsia="Calibri" w:hAnsi="David"/>
          <w:sz w:val="24"/>
          <w:rtl/>
        </w:rPr>
      </w:pPr>
      <w:r w:rsidRPr="00BE1CFE">
        <w:rPr>
          <w:rFonts w:ascii="David" w:eastAsia="Calibri" w:hAnsi="David" w:hint="eastAsia"/>
          <w:sz w:val="24"/>
          <w:rtl/>
        </w:rPr>
        <w:t>בתשובתה</w:t>
      </w:r>
      <w:r w:rsidRPr="00BE1CFE">
        <w:rPr>
          <w:rFonts w:ascii="David" w:eastAsia="Calibri" w:hAnsi="David"/>
          <w:sz w:val="24"/>
          <w:rtl/>
        </w:rPr>
        <w:t xml:space="preserve"> כתבה המשטרה כי </w:t>
      </w:r>
      <w:r w:rsidRPr="00BE1CFE">
        <w:rPr>
          <w:rFonts w:ascii="David" w:eastAsia="Calibri" w:hAnsi="David" w:hint="eastAsia"/>
          <w:sz w:val="24"/>
          <w:rtl/>
        </w:rPr>
        <w:t>ביעור</w:t>
      </w:r>
      <w:r w:rsidRPr="00BE1CFE">
        <w:rPr>
          <w:rFonts w:ascii="David" w:eastAsia="Calibri" w:hAnsi="David"/>
          <w:sz w:val="24"/>
          <w:rtl/>
        </w:rPr>
        <w:t xml:space="preserve"> חומרי האזנ</w:t>
      </w:r>
      <w:r w:rsidRPr="00BE1CFE">
        <w:rPr>
          <w:rFonts w:ascii="David" w:eastAsia="Calibri" w:hAnsi="David" w:hint="cs"/>
          <w:sz w:val="24"/>
          <w:rtl/>
        </w:rPr>
        <w:t>ו</w:t>
      </w:r>
      <w:r w:rsidRPr="00BE1CFE">
        <w:rPr>
          <w:rFonts w:ascii="David" w:eastAsia="Calibri" w:hAnsi="David"/>
          <w:sz w:val="24"/>
          <w:rtl/>
        </w:rPr>
        <w:t>ת סתר הוא תהליך מורכב</w:t>
      </w:r>
      <w:r w:rsidRPr="00BE1CFE">
        <w:rPr>
          <w:rFonts w:ascii="David" w:eastAsia="Calibri" w:hAnsi="David" w:hint="cs"/>
          <w:sz w:val="24"/>
          <w:rtl/>
        </w:rPr>
        <w:t>, הכו</w:t>
      </w:r>
      <w:r w:rsidRPr="00BE1CFE">
        <w:rPr>
          <w:rFonts w:ascii="David" w:eastAsia="Calibri" w:hAnsi="David"/>
          <w:sz w:val="24"/>
          <w:rtl/>
        </w:rPr>
        <w:t>לל סוגי אישורים שונים במשטרה ומחוצה לה</w:t>
      </w:r>
      <w:r w:rsidRPr="00BE1CFE">
        <w:rPr>
          <w:rFonts w:ascii="David" w:eastAsia="Calibri" w:hAnsi="David" w:hint="cs"/>
          <w:sz w:val="24"/>
          <w:rtl/>
        </w:rPr>
        <w:t>,</w:t>
      </w:r>
      <w:r w:rsidRPr="00BE1CFE">
        <w:rPr>
          <w:rFonts w:ascii="David" w:eastAsia="Calibri" w:hAnsi="David"/>
          <w:sz w:val="24"/>
          <w:rtl/>
        </w:rPr>
        <w:t xml:space="preserve"> שאינו יכול לקבל ביטוי רק בתוצאתו הסופית. תהליך הביעור מתחיל </w:t>
      </w:r>
      <w:r w:rsidRPr="00BE1CFE">
        <w:rPr>
          <w:rFonts w:ascii="David" w:eastAsia="Calibri" w:hAnsi="David" w:hint="eastAsia"/>
          <w:sz w:val="24"/>
          <w:rtl/>
        </w:rPr>
        <w:t>במיון</w:t>
      </w:r>
      <w:r w:rsidRPr="00BE1CFE">
        <w:rPr>
          <w:rFonts w:ascii="David" w:eastAsia="Calibri" w:hAnsi="David"/>
          <w:sz w:val="24"/>
          <w:rtl/>
        </w:rPr>
        <w:t xml:space="preserve"> </w:t>
      </w:r>
      <w:r w:rsidRPr="00BE1CFE">
        <w:rPr>
          <w:rFonts w:ascii="David" w:eastAsia="Calibri" w:hAnsi="David" w:hint="eastAsia"/>
          <w:sz w:val="24"/>
          <w:rtl/>
        </w:rPr>
        <w:t>התוצרים</w:t>
      </w:r>
      <w:r w:rsidRPr="00BE1CFE">
        <w:rPr>
          <w:rFonts w:ascii="David" w:eastAsia="Calibri" w:hAnsi="David"/>
          <w:sz w:val="24"/>
          <w:rtl/>
        </w:rPr>
        <w:t xml:space="preserve"> </w:t>
      </w:r>
      <w:r w:rsidRPr="00BE1CFE">
        <w:rPr>
          <w:rFonts w:ascii="David" w:eastAsia="Calibri" w:hAnsi="David" w:hint="eastAsia"/>
          <w:sz w:val="24"/>
          <w:rtl/>
        </w:rPr>
        <w:t>וסופו</w:t>
      </w:r>
      <w:r w:rsidRPr="00BE1CFE">
        <w:rPr>
          <w:rFonts w:ascii="David" w:eastAsia="Calibri" w:hAnsi="David"/>
          <w:sz w:val="24"/>
          <w:rtl/>
        </w:rPr>
        <w:t xml:space="preserve"> </w:t>
      </w:r>
      <w:r w:rsidRPr="00BE1CFE">
        <w:rPr>
          <w:rFonts w:ascii="David" w:eastAsia="Calibri" w:hAnsi="David" w:hint="eastAsia"/>
          <w:sz w:val="24"/>
          <w:rtl/>
        </w:rPr>
        <w:t>בפעולת</w:t>
      </w:r>
      <w:r w:rsidRPr="00BE1CFE">
        <w:rPr>
          <w:rFonts w:ascii="David" w:eastAsia="Calibri" w:hAnsi="David"/>
          <w:sz w:val="24"/>
          <w:rtl/>
        </w:rPr>
        <w:t xml:space="preserve"> </w:t>
      </w:r>
      <w:r w:rsidRPr="00BE1CFE">
        <w:rPr>
          <w:rFonts w:ascii="David" w:eastAsia="Calibri" w:hAnsi="David" w:hint="eastAsia"/>
          <w:sz w:val="24"/>
          <w:rtl/>
        </w:rPr>
        <w:t>ביעור</w:t>
      </w:r>
      <w:r w:rsidRPr="00BE1CFE">
        <w:rPr>
          <w:rFonts w:ascii="David" w:eastAsia="Calibri" w:hAnsi="David"/>
          <w:sz w:val="24"/>
          <w:rtl/>
        </w:rPr>
        <w:t xml:space="preserve"> </w:t>
      </w:r>
      <w:r w:rsidRPr="00BE1CFE">
        <w:rPr>
          <w:rFonts w:ascii="David" w:eastAsia="Calibri" w:hAnsi="David" w:hint="eastAsia"/>
          <w:sz w:val="24"/>
          <w:rtl/>
        </w:rPr>
        <w:t>או</w:t>
      </w:r>
      <w:r w:rsidRPr="00BE1CFE">
        <w:rPr>
          <w:rFonts w:ascii="David" w:eastAsia="Calibri" w:hAnsi="David"/>
          <w:sz w:val="24"/>
          <w:rtl/>
        </w:rPr>
        <w:t xml:space="preserve"> </w:t>
      </w:r>
      <w:r w:rsidRPr="00BE1CFE">
        <w:rPr>
          <w:rFonts w:ascii="David" w:eastAsia="Calibri" w:hAnsi="David" w:hint="eastAsia"/>
          <w:sz w:val="24"/>
          <w:rtl/>
        </w:rPr>
        <w:t>בהחלטה</w:t>
      </w:r>
      <w:r w:rsidRPr="00BE1CFE">
        <w:rPr>
          <w:rFonts w:ascii="David" w:eastAsia="Calibri" w:hAnsi="David"/>
          <w:sz w:val="24"/>
          <w:rtl/>
        </w:rPr>
        <w:t xml:space="preserve"> </w:t>
      </w:r>
      <w:r w:rsidRPr="00BE1CFE">
        <w:rPr>
          <w:rFonts w:ascii="David" w:eastAsia="Calibri" w:hAnsi="David" w:hint="eastAsia"/>
          <w:sz w:val="24"/>
          <w:rtl/>
        </w:rPr>
        <w:t>שלא</w:t>
      </w:r>
      <w:r w:rsidRPr="00BE1CFE">
        <w:rPr>
          <w:rFonts w:ascii="David" w:eastAsia="Calibri" w:hAnsi="David"/>
          <w:sz w:val="24"/>
          <w:rtl/>
        </w:rPr>
        <w:t xml:space="preserve"> </w:t>
      </w:r>
      <w:r w:rsidRPr="00BE1CFE">
        <w:rPr>
          <w:rFonts w:ascii="David" w:eastAsia="Calibri" w:hAnsi="David" w:hint="eastAsia"/>
          <w:sz w:val="24"/>
          <w:rtl/>
        </w:rPr>
        <w:t>לבער</w:t>
      </w:r>
      <w:r w:rsidRPr="00BE1CFE">
        <w:rPr>
          <w:rFonts w:ascii="David" w:eastAsia="Calibri" w:hAnsi="David"/>
          <w:sz w:val="24"/>
          <w:rtl/>
        </w:rPr>
        <w:t xml:space="preserve"> </w:t>
      </w:r>
      <w:r w:rsidRPr="00BE1CFE">
        <w:rPr>
          <w:rFonts w:ascii="David" w:eastAsia="Calibri" w:hAnsi="David" w:hint="eastAsia"/>
          <w:sz w:val="24"/>
          <w:rtl/>
        </w:rPr>
        <w:t>את</w:t>
      </w:r>
      <w:r w:rsidRPr="00BE1CFE">
        <w:rPr>
          <w:rFonts w:ascii="David" w:eastAsia="Calibri" w:hAnsi="David"/>
          <w:sz w:val="24"/>
          <w:rtl/>
        </w:rPr>
        <w:t xml:space="preserve"> </w:t>
      </w:r>
      <w:r w:rsidRPr="00BE1CFE">
        <w:rPr>
          <w:rFonts w:ascii="David" w:eastAsia="Calibri" w:hAnsi="David" w:hint="eastAsia"/>
          <w:sz w:val="24"/>
          <w:rtl/>
        </w:rPr>
        <w:t>תוצרי</w:t>
      </w:r>
      <w:r w:rsidRPr="00BE1CFE">
        <w:rPr>
          <w:rFonts w:ascii="David" w:eastAsia="Calibri" w:hAnsi="David"/>
          <w:sz w:val="24"/>
          <w:rtl/>
        </w:rPr>
        <w:t xml:space="preserve"> </w:t>
      </w:r>
      <w:r w:rsidRPr="00BE1CFE">
        <w:rPr>
          <w:rFonts w:ascii="David" w:eastAsia="Calibri" w:hAnsi="David" w:hint="cs"/>
          <w:sz w:val="24"/>
          <w:rtl/>
        </w:rPr>
        <w:t>ה</w:t>
      </w:r>
      <w:r w:rsidRPr="00BE1CFE">
        <w:rPr>
          <w:rFonts w:ascii="David" w:eastAsia="Calibri" w:hAnsi="David" w:hint="eastAsia"/>
          <w:sz w:val="24"/>
          <w:rtl/>
        </w:rPr>
        <w:t>האזנה</w:t>
      </w:r>
      <w:r w:rsidRPr="00BE1CFE">
        <w:rPr>
          <w:rFonts w:ascii="David" w:eastAsia="Calibri" w:hAnsi="David"/>
          <w:sz w:val="24"/>
          <w:rtl/>
        </w:rPr>
        <w:t xml:space="preserve"> </w:t>
      </w:r>
      <w:r w:rsidRPr="00BE1CFE">
        <w:rPr>
          <w:rFonts w:ascii="David" w:eastAsia="Calibri" w:hAnsi="David" w:hint="eastAsia"/>
          <w:sz w:val="24"/>
          <w:rtl/>
        </w:rPr>
        <w:t>כדוגמת</w:t>
      </w:r>
      <w:r w:rsidRPr="00BE1CFE">
        <w:rPr>
          <w:rFonts w:ascii="David" w:eastAsia="Calibri" w:hAnsi="David"/>
          <w:sz w:val="24"/>
          <w:rtl/>
        </w:rPr>
        <w:t xml:space="preserve"> </w:t>
      </w:r>
      <w:r w:rsidRPr="00BE1CFE">
        <w:rPr>
          <w:rFonts w:ascii="David" w:eastAsia="Calibri" w:hAnsi="David" w:hint="eastAsia"/>
          <w:sz w:val="24"/>
          <w:rtl/>
        </w:rPr>
        <w:t>חומרים</w:t>
      </w:r>
      <w:r w:rsidRPr="00BE1CFE">
        <w:rPr>
          <w:rFonts w:ascii="David" w:eastAsia="Calibri" w:hAnsi="David"/>
          <w:sz w:val="24"/>
          <w:rtl/>
        </w:rPr>
        <w:t xml:space="preserve"> </w:t>
      </w:r>
      <w:r w:rsidRPr="00BE1CFE">
        <w:rPr>
          <w:rFonts w:ascii="David" w:eastAsia="Calibri" w:hAnsi="David" w:hint="eastAsia"/>
          <w:sz w:val="24"/>
          <w:rtl/>
        </w:rPr>
        <w:t>שנאספו</w:t>
      </w:r>
      <w:r w:rsidRPr="00BE1CFE">
        <w:rPr>
          <w:rFonts w:ascii="David" w:eastAsia="Calibri" w:hAnsi="David"/>
          <w:sz w:val="24"/>
          <w:rtl/>
        </w:rPr>
        <w:t xml:space="preserve"> </w:t>
      </w:r>
      <w:r w:rsidRPr="00BE1CFE">
        <w:rPr>
          <w:rFonts w:ascii="David" w:eastAsia="Calibri" w:hAnsi="David" w:hint="eastAsia"/>
          <w:sz w:val="24"/>
          <w:rtl/>
        </w:rPr>
        <w:t>בחקירה</w:t>
      </w:r>
      <w:r w:rsidRPr="00BE1CFE">
        <w:rPr>
          <w:rFonts w:ascii="David" w:eastAsia="Calibri" w:hAnsi="David"/>
          <w:sz w:val="24"/>
          <w:rtl/>
        </w:rPr>
        <w:t xml:space="preserve"> </w:t>
      </w:r>
      <w:r w:rsidRPr="00BE1CFE">
        <w:rPr>
          <w:rFonts w:ascii="David" w:eastAsia="Calibri" w:hAnsi="David" w:hint="eastAsia"/>
          <w:sz w:val="24"/>
          <w:rtl/>
        </w:rPr>
        <w:t>של</w:t>
      </w:r>
      <w:r w:rsidRPr="00BE1CFE">
        <w:rPr>
          <w:rFonts w:ascii="David" w:eastAsia="Calibri" w:hAnsi="David"/>
          <w:sz w:val="24"/>
          <w:rtl/>
        </w:rPr>
        <w:t xml:space="preserve"> </w:t>
      </w:r>
      <w:r w:rsidRPr="00BE1CFE">
        <w:rPr>
          <w:rFonts w:ascii="David" w:eastAsia="Calibri" w:hAnsi="David" w:hint="eastAsia"/>
          <w:sz w:val="24"/>
          <w:rtl/>
        </w:rPr>
        <w:t>תיקי</w:t>
      </w:r>
      <w:r w:rsidRPr="00BE1CFE">
        <w:rPr>
          <w:rFonts w:ascii="David" w:eastAsia="Calibri" w:hAnsi="David"/>
          <w:sz w:val="24"/>
          <w:rtl/>
        </w:rPr>
        <w:t xml:space="preserve"> </w:t>
      </w:r>
      <w:r w:rsidRPr="00BE1CFE">
        <w:rPr>
          <w:rFonts w:ascii="David" w:eastAsia="Calibri" w:hAnsi="David" w:hint="eastAsia"/>
          <w:sz w:val="24"/>
          <w:rtl/>
        </w:rPr>
        <w:t>רצח</w:t>
      </w:r>
      <w:r w:rsidRPr="00BE1CFE">
        <w:rPr>
          <w:rFonts w:ascii="David" w:eastAsia="Calibri" w:hAnsi="David"/>
          <w:sz w:val="24"/>
          <w:rtl/>
        </w:rPr>
        <w:t xml:space="preserve"> </w:t>
      </w:r>
      <w:r w:rsidRPr="00BE1CFE">
        <w:rPr>
          <w:rFonts w:ascii="David" w:eastAsia="Calibri" w:hAnsi="David" w:hint="eastAsia"/>
          <w:sz w:val="24"/>
          <w:rtl/>
        </w:rPr>
        <w:t>לא</w:t>
      </w:r>
      <w:r w:rsidRPr="00BE1CFE">
        <w:rPr>
          <w:rFonts w:ascii="David" w:eastAsia="Calibri" w:hAnsi="David"/>
          <w:sz w:val="24"/>
          <w:rtl/>
        </w:rPr>
        <w:t xml:space="preserve"> </w:t>
      </w:r>
      <w:r w:rsidRPr="00BE1CFE">
        <w:rPr>
          <w:rFonts w:ascii="David" w:eastAsia="Calibri" w:hAnsi="David" w:hint="eastAsia"/>
          <w:sz w:val="24"/>
          <w:rtl/>
        </w:rPr>
        <w:t>מפוענחים</w:t>
      </w:r>
      <w:r w:rsidRPr="00BE1CFE">
        <w:rPr>
          <w:rFonts w:ascii="David" w:eastAsia="Calibri" w:hAnsi="David" w:hint="cs"/>
          <w:sz w:val="24"/>
          <w:rtl/>
        </w:rPr>
        <w:t>.</w:t>
      </w:r>
      <w:r w:rsidRPr="00BE1CFE">
        <w:rPr>
          <w:rFonts w:ascii="David" w:eastAsia="Calibri" w:hAnsi="David"/>
          <w:sz w:val="24"/>
          <w:rtl/>
        </w:rPr>
        <w:t xml:space="preserve"> </w:t>
      </w:r>
      <w:r w:rsidRPr="00BE1CFE">
        <w:rPr>
          <w:rFonts w:ascii="David" w:eastAsia="Calibri" w:hAnsi="David" w:hint="cs"/>
          <w:sz w:val="24"/>
          <w:rtl/>
        </w:rPr>
        <w:t>עוד כתבה המשטרה כי לעיתים</w:t>
      </w:r>
      <w:r w:rsidRPr="00BE1CFE">
        <w:rPr>
          <w:rFonts w:ascii="David" w:eastAsia="Calibri" w:hAnsi="David"/>
          <w:sz w:val="24"/>
          <w:rtl/>
        </w:rPr>
        <w:t xml:space="preserve"> ה</w:t>
      </w:r>
      <w:r w:rsidRPr="00BE1CFE">
        <w:rPr>
          <w:rFonts w:ascii="David" w:eastAsia="Calibri" w:hAnsi="David" w:hint="cs"/>
          <w:sz w:val="24"/>
          <w:rtl/>
        </w:rPr>
        <w:t>ה</w:t>
      </w:r>
      <w:r w:rsidRPr="00BE1CFE">
        <w:rPr>
          <w:rFonts w:ascii="David" w:eastAsia="Calibri" w:hAnsi="David"/>
          <w:sz w:val="24"/>
          <w:rtl/>
        </w:rPr>
        <w:t xml:space="preserve">חלטה שלא לבער את חומרי </w:t>
      </w:r>
      <w:r w:rsidRPr="00BE1CFE">
        <w:rPr>
          <w:rFonts w:ascii="David" w:eastAsia="Calibri" w:hAnsi="David" w:hint="cs"/>
          <w:sz w:val="24"/>
          <w:rtl/>
        </w:rPr>
        <w:t>ה</w:t>
      </w:r>
      <w:r w:rsidRPr="00BE1CFE">
        <w:rPr>
          <w:rFonts w:ascii="David" w:eastAsia="Calibri" w:hAnsi="David"/>
          <w:sz w:val="24"/>
          <w:rtl/>
        </w:rPr>
        <w:t xml:space="preserve">האזנה </w:t>
      </w:r>
      <w:r w:rsidRPr="00BE1CFE">
        <w:rPr>
          <w:rFonts w:ascii="David" w:eastAsia="Calibri" w:hAnsi="David" w:hint="cs"/>
          <w:sz w:val="24"/>
          <w:rtl/>
        </w:rPr>
        <w:t xml:space="preserve">נובעת </w:t>
      </w:r>
      <w:r w:rsidRPr="00BE1CFE">
        <w:rPr>
          <w:rFonts w:ascii="David" w:eastAsia="Calibri" w:hAnsi="David"/>
          <w:sz w:val="24"/>
          <w:rtl/>
        </w:rPr>
        <w:t>מ</w:t>
      </w:r>
      <w:r w:rsidRPr="00BE1CFE">
        <w:rPr>
          <w:rFonts w:ascii="David" w:eastAsia="Calibri" w:hAnsi="David" w:hint="cs"/>
          <w:sz w:val="24"/>
          <w:rtl/>
        </w:rPr>
        <w:t xml:space="preserve">הצורך לשמור על תוצרי ההאזנה לצורכי </w:t>
      </w:r>
      <w:r w:rsidRPr="00BE1CFE">
        <w:rPr>
          <w:rFonts w:ascii="David" w:eastAsia="Calibri" w:hAnsi="David"/>
          <w:sz w:val="24"/>
          <w:rtl/>
        </w:rPr>
        <w:t>חקיר</w:t>
      </w:r>
      <w:r w:rsidRPr="00BE1CFE">
        <w:rPr>
          <w:rFonts w:ascii="David" w:eastAsia="Calibri" w:hAnsi="David" w:hint="cs"/>
          <w:sz w:val="24"/>
          <w:rtl/>
        </w:rPr>
        <w:t>ה בעתיד,</w:t>
      </w:r>
      <w:r w:rsidRPr="00BE1CFE">
        <w:rPr>
          <w:rFonts w:ascii="David" w:eastAsia="Calibri" w:hAnsi="David"/>
          <w:sz w:val="24"/>
          <w:rtl/>
        </w:rPr>
        <w:t xml:space="preserve"> ו</w:t>
      </w:r>
      <w:r w:rsidRPr="00BE1CFE">
        <w:rPr>
          <w:rFonts w:ascii="David" w:eastAsia="Calibri" w:hAnsi="David" w:hint="cs"/>
          <w:sz w:val="24"/>
          <w:rtl/>
        </w:rPr>
        <w:t xml:space="preserve">לעיתים הפרקליטות מחליטה שלא </w:t>
      </w:r>
      <w:r w:rsidRPr="00BE1CFE">
        <w:rPr>
          <w:rFonts w:ascii="David" w:eastAsia="Calibri" w:hAnsi="David" w:hint="eastAsia"/>
          <w:sz w:val="24"/>
          <w:rtl/>
        </w:rPr>
        <w:t>ל</w:t>
      </w:r>
      <w:r w:rsidRPr="00BE1CFE">
        <w:rPr>
          <w:rFonts w:ascii="David" w:eastAsia="Calibri" w:hAnsi="David" w:hint="cs"/>
          <w:sz w:val="24"/>
          <w:rtl/>
        </w:rPr>
        <w:t xml:space="preserve">אשר </w:t>
      </w:r>
      <w:r w:rsidRPr="00BE1CFE">
        <w:rPr>
          <w:rFonts w:ascii="David" w:eastAsia="Calibri" w:hAnsi="David" w:hint="eastAsia"/>
          <w:sz w:val="24"/>
          <w:rtl/>
        </w:rPr>
        <w:t>ב</w:t>
      </w:r>
      <w:r w:rsidRPr="00BE1CFE">
        <w:rPr>
          <w:rFonts w:ascii="David" w:eastAsia="Calibri" w:hAnsi="David" w:hint="cs"/>
          <w:sz w:val="24"/>
          <w:rtl/>
        </w:rPr>
        <w:t>י</w:t>
      </w:r>
      <w:r w:rsidRPr="00BE1CFE">
        <w:rPr>
          <w:rFonts w:ascii="David" w:eastAsia="Calibri" w:hAnsi="David" w:hint="eastAsia"/>
          <w:sz w:val="24"/>
          <w:rtl/>
        </w:rPr>
        <w:t>ע</w:t>
      </w:r>
      <w:r w:rsidRPr="00BE1CFE">
        <w:rPr>
          <w:rFonts w:ascii="David" w:eastAsia="Calibri" w:hAnsi="David" w:hint="cs"/>
          <w:sz w:val="24"/>
          <w:rtl/>
        </w:rPr>
        <w:t>ו</w:t>
      </w:r>
      <w:r w:rsidRPr="00BE1CFE">
        <w:rPr>
          <w:rFonts w:ascii="David" w:eastAsia="Calibri" w:hAnsi="David" w:hint="eastAsia"/>
          <w:sz w:val="24"/>
          <w:rtl/>
        </w:rPr>
        <w:t>ר</w:t>
      </w:r>
      <w:r w:rsidRPr="00BE1CFE">
        <w:rPr>
          <w:rFonts w:ascii="David" w:eastAsia="Calibri" w:hAnsi="David"/>
          <w:sz w:val="24"/>
          <w:rtl/>
        </w:rPr>
        <w:t xml:space="preserve"> </w:t>
      </w:r>
      <w:r w:rsidRPr="00BE1CFE">
        <w:rPr>
          <w:rFonts w:ascii="David" w:eastAsia="Calibri" w:hAnsi="David" w:hint="eastAsia"/>
          <w:sz w:val="24"/>
          <w:rtl/>
        </w:rPr>
        <w:t>חומרי</w:t>
      </w:r>
      <w:r w:rsidRPr="00BE1CFE">
        <w:rPr>
          <w:rFonts w:ascii="David" w:eastAsia="Calibri" w:hAnsi="David"/>
          <w:sz w:val="24"/>
          <w:rtl/>
        </w:rPr>
        <w:t xml:space="preserve"> </w:t>
      </w:r>
      <w:r w:rsidRPr="00BE1CFE">
        <w:rPr>
          <w:rFonts w:ascii="David" w:eastAsia="Calibri" w:hAnsi="David" w:hint="eastAsia"/>
          <w:sz w:val="24"/>
          <w:rtl/>
        </w:rPr>
        <w:t>האזנה</w:t>
      </w:r>
      <w:r w:rsidRPr="00BE1CFE">
        <w:rPr>
          <w:rFonts w:ascii="David" w:eastAsia="Calibri" w:hAnsi="David" w:hint="cs"/>
          <w:sz w:val="24"/>
          <w:rtl/>
        </w:rPr>
        <w:t xml:space="preserve">. </w:t>
      </w:r>
    </w:p>
    <w:p w:rsidR="00BE1CFE" w:rsidRPr="00BE1CFE" w:rsidRDefault="00BE1CFE" w:rsidP="00604C3D">
      <w:pPr>
        <w:spacing w:line="269" w:lineRule="auto"/>
        <w:rPr>
          <w:rFonts w:ascii="David" w:eastAsia="Calibri" w:hAnsi="David"/>
          <w:sz w:val="24"/>
          <w:rtl/>
        </w:rPr>
      </w:pPr>
    </w:p>
    <w:p w:rsidR="00BE1CFE" w:rsidRPr="00BE1CFE" w:rsidRDefault="00BE1CFE" w:rsidP="00604C3D">
      <w:pPr>
        <w:spacing w:line="269" w:lineRule="auto"/>
        <w:rPr>
          <w:rFonts w:ascii="David" w:eastAsia="Calibri" w:hAnsi="David"/>
          <w:b/>
          <w:bCs/>
          <w:sz w:val="24"/>
          <w:rtl/>
        </w:rPr>
      </w:pPr>
      <w:r w:rsidRPr="00BE1CFE">
        <w:rPr>
          <w:rFonts w:ascii="David" w:eastAsia="Calibri" w:hAnsi="David" w:hint="cs"/>
          <w:b/>
          <w:bCs/>
          <w:sz w:val="24"/>
          <w:rtl/>
        </w:rPr>
        <w:t>השימוש בכלים טכנולוגיים הביא לאיסוף תוצרים בהיקף עצום ומאלפי יעדי האזנה. מדובר בהיקף מידע המוערך בכ-50 טרה-בייט</w:t>
      </w:r>
      <w:r w:rsidRPr="00BE1CFE">
        <w:rPr>
          <w:rFonts w:ascii="David" w:eastAsia="Calibri" w:hAnsi="David"/>
          <w:b/>
          <w:bCs/>
          <w:sz w:val="24"/>
          <w:vertAlign w:val="superscript"/>
          <w:rtl/>
        </w:rPr>
        <w:footnoteReference w:id="244"/>
      </w:r>
      <w:r w:rsidRPr="00BE1CFE">
        <w:rPr>
          <w:rFonts w:ascii="David" w:eastAsia="Calibri" w:hAnsi="David" w:hint="cs"/>
          <w:b/>
          <w:bCs/>
          <w:sz w:val="24"/>
          <w:rtl/>
        </w:rPr>
        <w:t>. יודגש כי רוב המידע האמור אינו דרוש למניעת עבירה או לגילוי עבריינים והוא טעון ביעור על פי הדין, קל וחומר במקרים שבהם</w:t>
      </w:r>
      <w:r w:rsidR="00382AE8">
        <w:rPr>
          <w:rFonts w:ascii="David" w:eastAsia="Calibri" w:hAnsi="David" w:hint="cs"/>
          <w:b/>
          <w:bCs/>
          <w:sz w:val="24"/>
          <w:rtl/>
        </w:rPr>
        <w:t xml:space="preserve"> </w:t>
      </w:r>
      <w:r w:rsidRPr="00BE1CFE">
        <w:rPr>
          <w:rFonts w:ascii="David" w:eastAsia="Calibri" w:hAnsi="David" w:hint="cs"/>
          <w:b/>
          <w:bCs/>
          <w:sz w:val="24"/>
          <w:rtl/>
        </w:rPr>
        <w:t xml:space="preserve">המשטרה מחזיקה בתוצרי האזנת סתר לתקשורת בין מחשבים </w:t>
      </w:r>
      <w:r w:rsidR="00AD164E">
        <w:rPr>
          <w:rFonts w:ascii="David" w:eastAsia="Calibri" w:hAnsi="David" w:hint="cs"/>
          <w:b/>
          <w:bCs/>
          <w:sz w:val="24"/>
          <w:rtl/>
        </w:rPr>
        <w:t>שאיסופם אסור</w:t>
      </w:r>
      <w:r w:rsidRPr="00BE1CFE">
        <w:rPr>
          <w:rFonts w:ascii="David" w:eastAsia="Calibri" w:hAnsi="David" w:hint="cs"/>
          <w:b/>
          <w:bCs/>
          <w:sz w:val="24"/>
          <w:rtl/>
        </w:rPr>
        <w:t>.</w:t>
      </w:r>
    </w:p>
    <w:p w:rsidR="00B4118C" w:rsidRPr="00BC7AF0" w:rsidRDefault="00B4118C" w:rsidP="00604C3D">
      <w:pPr>
        <w:spacing w:line="269" w:lineRule="auto"/>
        <w:rPr>
          <w:rFonts w:eastAsia="Calibri"/>
          <w:sz w:val="28"/>
          <w:szCs w:val="28"/>
          <w:rtl/>
        </w:rPr>
      </w:pPr>
    </w:p>
    <w:p w:rsidR="00BE1CFE" w:rsidRPr="00BE1CFE" w:rsidRDefault="00BE1CFE" w:rsidP="00604C3D">
      <w:pPr>
        <w:spacing w:line="269" w:lineRule="auto"/>
        <w:rPr>
          <w:rFonts w:ascii="David" w:eastAsia="Calibri" w:hAnsi="David"/>
          <w:b/>
          <w:bCs/>
          <w:sz w:val="24"/>
          <w:rtl/>
        </w:rPr>
      </w:pPr>
      <w:r w:rsidRPr="00BE1CFE">
        <w:rPr>
          <w:rFonts w:ascii="David" w:eastAsia="Calibri" w:hAnsi="David" w:hint="cs"/>
          <w:b/>
          <w:bCs/>
          <w:sz w:val="24"/>
          <w:rtl/>
        </w:rPr>
        <w:t>הוראות חוק האזנת סתר קובעות כי ככלל, תוצר האזנת סתר שאינו דרוש למניעת עבירות או לגילוי עבריינים יימחק או יבוער, ואולם נמצא כי המשטרה לא ביערה חומרי האזנת סתר שנצברו במערכותיה הממוחשבות במשך שנים ארוכות.</w:t>
      </w:r>
    </w:p>
    <w:p w:rsidR="00B4118C" w:rsidRPr="00BC7AF0" w:rsidRDefault="00B4118C" w:rsidP="00604C3D">
      <w:pPr>
        <w:spacing w:line="269" w:lineRule="auto"/>
        <w:rPr>
          <w:rFonts w:eastAsia="Calibri"/>
          <w:sz w:val="24"/>
          <w:rtl/>
        </w:rPr>
      </w:pPr>
    </w:p>
    <w:p w:rsidR="00BE1CFE" w:rsidRPr="00BE1CFE" w:rsidRDefault="00BE1CFE" w:rsidP="00604C3D">
      <w:pPr>
        <w:spacing w:line="269" w:lineRule="auto"/>
        <w:rPr>
          <w:rFonts w:ascii="David" w:eastAsia="Calibri" w:hAnsi="David"/>
          <w:b/>
          <w:bCs/>
          <w:sz w:val="24"/>
          <w:rtl/>
        </w:rPr>
      </w:pPr>
      <w:r w:rsidRPr="00BE1CFE">
        <w:rPr>
          <w:rFonts w:ascii="David" w:eastAsia="Calibri" w:hAnsi="David" w:hint="cs"/>
          <w:b/>
          <w:bCs/>
          <w:sz w:val="24"/>
          <w:rtl/>
        </w:rPr>
        <w:t xml:space="preserve">עוד נמצא כי שלא בהתאם לדרישות נהליה, היא כלל לא מיפתה את חומרי ההאזנה שהיה עליה לבחון כדי לקבוע אם לבערם. עד שנת 2016 מופו סלילי ההקלטות משנות השמונים והתשעים של המאה העשרים, ובשנים 2016 - 2018 מופו עמדות הנדרשות לביעור בכמה מחוזות ויחידות במשטרה; אולם משנת 2018 ועד מועד תחילת הביקורת לא מופו ולא בוערו חומרי האזנת סתר במשטרה בהתאם לדרישות החוק והנוהל. במהלך הביקורת, </w:t>
      </w:r>
      <w:r w:rsidR="009B0BDE">
        <w:rPr>
          <w:rFonts w:ascii="David" w:eastAsia="Calibri" w:hAnsi="David" w:hint="cs"/>
          <w:b/>
          <w:bCs/>
          <w:sz w:val="24"/>
          <w:rtl/>
        </w:rPr>
        <w:t>יולי</w:t>
      </w:r>
      <w:r w:rsidR="009B0BDE" w:rsidRPr="00BE1CFE">
        <w:rPr>
          <w:rFonts w:ascii="David" w:eastAsia="Calibri" w:hAnsi="David" w:hint="cs"/>
          <w:b/>
          <w:bCs/>
          <w:sz w:val="24"/>
          <w:rtl/>
        </w:rPr>
        <w:t xml:space="preserve"> </w:t>
      </w:r>
      <w:r w:rsidRPr="00BE1CFE">
        <w:rPr>
          <w:rFonts w:ascii="David" w:eastAsia="Calibri" w:hAnsi="David" w:hint="cs"/>
          <w:b/>
          <w:bCs/>
          <w:sz w:val="24"/>
          <w:rtl/>
        </w:rPr>
        <w:t xml:space="preserve">2023 - </w:t>
      </w:r>
      <w:r w:rsidR="009B0BDE">
        <w:rPr>
          <w:rFonts w:ascii="David" w:eastAsia="Calibri" w:hAnsi="David" w:hint="cs"/>
          <w:b/>
          <w:bCs/>
          <w:sz w:val="24"/>
          <w:rtl/>
        </w:rPr>
        <w:t>דצמבר</w:t>
      </w:r>
      <w:r w:rsidR="009B0BDE" w:rsidRPr="00BE1CFE">
        <w:rPr>
          <w:rFonts w:ascii="David" w:eastAsia="Calibri" w:hAnsi="David" w:hint="cs"/>
          <w:b/>
          <w:bCs/>
          <w:sz w:val="24"/>
          <w:rtl/>
        </w:rPr>
        <w:t xml:space="preserve"> </w:t>
      </w:r>
      <w:r w:rsidRPr="00BE1CFE">
        <w:rPr>
          <w:rFonts w:ascii="David" w:eastAsia="Calibri" w:hAnsi="David" w:hint="cs"/>
          <w:b/>
          <w:bCs/>
          <w:sz w:val="24"/>
          <w:rtl/>
        </w:rPr>
        <w:t>2023, בוצע ביעור של עמדות האזנת סתר בחלק ממחוזות המשטרה (דרום, חוף ומרכז) ויחידותיה (</w:t>
      </w:r>
      <w:r w:rsidR="002151BA">
        <w:rPr>
          <w:rFonts w:ascii="David" w:eastAsia="Calibri" w:hAnsi="David" w:hint="cs"/>
          <w:b/>
          <w:bCs/>
          <w:sz w:val="24"/>
          <w:rtl/>
        </w:rPr>
        <w:t xml:space="preserve">כגון </w:t>
      </w:r>
      <w:r w:rsidRPr="00BE1CFE">
        <w:rPr>
          <w:rFonts w:ascii="David" w:eastAsia="Calibri" w:hAnsi="David" w:hint="cs"/>
          <w:b/>
          <w:bCs/>
          <w:sz w:val="24"/>
          <w:rtl/>
        </w:rPr>
        <w:t xml:space="preserve">להב 433). </w:t>
      </w:r>
    </w:p>
    <w:p w:rsidR="00B4118C" w:rsidRPr="00BC7AF0" w:rsidRDefault="00B4118C" w:rsidP="00604C3D">
      <w:pPr>
        <w:spacing w:line="269" w:lineRule="auto"/>
        <w:rPr>
          <w:rFonts w:eastAsia="Calibri"/>
          <w:sz w:val="24"/>
          <w:rtl/>
        </w:rPr>
      </w:pPr>
    </w:p>
    <w:p w:rsidR="00BE1CFE" w:rsidRPr="004D0451" w:rsidRDefault="00BE1CFE" w:rsidP="00604C3D">
      <w:pPr>
        <w:spacing w:line="269" w:lineRule="auto"/>
        <w:rPr>
          <w:rFonts w:eastAsia="Calibri"/>
          <w:rtl/>
        </w:rPr>
      </w:pPr>
      <w:r w:rsidRPr="00BE1CFE">
        <w:rPr>
          <w:rFonts w:ascii="David" w:eastAsia="Calibri" w:hAnsi="David" w:hint="cs"/>
          <w:b/>
          <w:bCs/>
          <w:sz w:val="24"/>
          <w:rtl/>
        </w:rPr>
        <w:t>מלבד אי-קיום הוראות הדין לעניין ביעור חומרי האזנת סתר, התנהלות המשטרה בנוגע להחזקתה בתוצרי האזנת סתר שאין הצדקה להחזיקם חושפת אותה גם לסיכונים בתחומי אבטחת המידע וההגנה על מאגרי מידע רגישים בהיקף עצום הנוגעים לזכות לפרטיות ולזכויות חשודים בהליך פלילי.</w:t>
      </w:r>
    </w:p>
    <w:bookmarkEnd w:id="584"/>
    <w:p w:rsidR="00B4118C" w:rsidRPr="00BC7AF0" w:rsidRDefault="00B4118C" w:rsidP="00604C3D">
      <w:pPr>
        <w:spacing w:line="269" w:lineRule="auto"/>
        <w:rPr>
          <w:rFonts w:eastAsia="Calibri"/>
          <w:sz w:val="24"/>
          <w:rtl/>
        </w:rPr>
      </w:pPr>
    </w:p>
    <w:p w:rsidR="00BE1CFE" w:rsidRPr="00BE1CFE" w:rsidRDefault="00BE1CFE" w:rsidP="00604C3D">
      <w:pPr>
        <w:spacing w:line="269" w:lineRule="auto"/>
        <w:rPr>
          <w:rFonts w:ascii="David" w:eastAsia="Calibri" w:hAnsi="David"/>
          <w:b/>
          <w:bCs/>
          <w:sz w:val="24"/>
          <w:rtl/>
        </w:rPr>
      </w:pPr>
      <w:r w:rsidRPr="00BE1CFE">
        <w:rPr>
          <w:rFonts w:ascii="David" w:eastAsia="Calibri" w:hAnsi="David" w:hint="cs"/>
          <w:b/>
          <w:bCs/>
          <w:sz w:val="24"/>
          <w:rtl/>
        </w:rPr>
        <w:t>על המשטרה לפעול לביעור כלל חומרי האזנת הסתר השמורים במערכותיה בהתאם לדרישות החוק ולנהלים המפורטים שקבעה בנושא. מומלץ כי המשטרה תסכם תכנית להשלמת הפעולות שיבטיחו בסופן ביעור של חומרי האזנת סתר, לרבות לוח זמנים מחייב ובקרה עיתית על יישום התוכנית.</w:t>
      </w:r>
    </w:p>
    <w:p w:rsidR="00BE1CFE" w:rsidRPr="00BE1CFE" w:rsidRDefault="00BE1CFE" w:rsidP="00604C3D">
      <w:pPr>
        <w:spacing w:line="269" w:lineRule="auto"/>
        <w:rPr>
          <w:rFonts w:ascii="David" w:eastAsia="Calibri" w:hAnsi="David"/>
          <w:b/>
          <w:bCs/>
          <w:sz w:val="24"/>
          <w:rtl/>
        </w:rPr>
      </w:pPr>
    </w:p>
    <w:p w:rsidR="00BE1CFE" w:rsidRDefault="00BE1CFE" w:rsidP="00604C3D">
      <w:pPr>
        <w:spacing w:line="269" w:lineRule="auto"/>
        <w:rPr>
          <w:rFonts w:ascii="David" w:eastAsia="Calibri" w:hAnsi="David"/>
          <w:sz w:val="24"/>
          <w:rtl/>
        </w:rPr>
      </w:pPr>
      <w:r w:rsidRPr="00BE1CFE">
        <w:rPr>
          <w:rFonts w:ascii="David" w:eastAsia="Calibri" w:hAnsi="David" w:hint="eastAsia"/>
          <w:sz w:val="24"/>
          <w:rtl/>
        </w:rPr>
        <w:t>המשטרה</w:t>
      </w:r>
      <w:r w:rsidRPr="00BE1CFE">
        <w:rPr>
          <w:rFonts w:ascii="David" w:eastAsia="Calibri" w:hAnsi="David"/>
          <w:sz w:val="24"/>
          <w:rtl/>
        </w:rPr>
        <w:t xml:space="preserve"> כתבה בתשובתה כי היא מכירה בצורך לבער חומרי האזנת סתר שעומדים בקריטריונים לביעור, </w:t>
      </w:r>
      <w:r w:rsidRPr="00BE1CFE">
        <w:rPr>
          <w:rFonts w:ascii="David" w:eastAsia="Calibri" w:hAnsi="David" w:hint="cs"/>
          <w:sz w:val="24"/>
          <w:rtl/>
        </w:rPr>
        <w:t xml:space="preserve">עם זאת </w:t>
      </w:r>
      <w:r w:rsidRPr="00BE1CFE">
        <w:rPr>
          <w:rFonts w:ascii="David" w:eastAsia="Calibri" w:hAnsi="David" w:hint="eastAsia"/>
          <w:sz w:val="24"/>
          <w:rtl/>
        </w:rPr>
        <w:t>מדובר</w:t>
      </w:r>
      <w:r w:rsidRPr="00BE1CFE">
        <w:rPr>
          <w:rFonts w:ascii="David" w:eastAsia="Calibri" w:hAnsi="David"/>
          <w:sz w:val="24"/>
          <w:rtl/>
        </w:rPr>
        <w:t xml:space="preserve"> </w:t>
      </w:r>
      <w:r w:rsidRPr="00BE1CFE">
        <w:rPr>
          <w:rFonts w:ascii="David" w:eastAsia="Calibri" w:hAnsi="David" w:hint="eastAsia"/>
          <w:sz w:val="24"/>
          <w:rtl/>
        </w:rPr>
        <w:t>בהליך</w:t>
      </w:r>
      <w:r w:rsidRPr="00BE1CFE">
        <w:rPr>
          <w:rFonts w:ascii="David" w:eastAsia="Calibri" w:hAnsi="David"/>
          <w:sz w:val="24"/>
          <w:rtl/>
        </w:rPr>
        <w:t xml:space="preserve"> </w:t>
      </w:r>
      <w:r w:rsidRPr="00BE1CFE">
        <w:rPr>
          <w:rFonts w:ascii="David" w:eastAsia="Calibri" w:hAnsi="David" w:hint="eastAsia"/>
          <w:sz w:val="24"/>
          <w:rtl/>
        </w:rPr>
        <w:t>מורכב</w:t>
      </w:r>
      <w:r w:rsidRPr="00BE1CFE">
        <w:rPr>
          <w:rFonts w:ascii="David" w:eastAsia="Calibri" w:hAnsi="David"/>
          <w:sz w:val="24"/>
          <w:rtl/>
        </w:rPr>
        <w:t xml:space="preserve"> שנמצא ב</w:t>
      </w:r>
      <w:r w:rsidRPr="00BE1CFE">
        <w:rPr>
          <w:rFonts w:ascii="David" w:eastAsia="Calibri" w:hAnsi="David" w:hint="cs"/>
          <w:sz w:val="24"/>
          <w:rtl/>
        </w:rPr>
        <w:t>ת</w:t>
      </w:r>
      <w:r w:rsidRPr="00BE1CFE">
        <w:rPr>
          <w:rFonts w:ascii="David" w:eastAsia="Calibri" w:hAnsi="David"/>
          <w:sz w:val="24"/>
          <w:rtl/>
        </w:rPr>
        <w:t>הליך טיוב כדי להבטיח ביעור של חומרי האזנת סתר שאין בהם צורך</w:t>
      </w:r>
      <w:r w:rsidRPr="00BE1CFE">
        <w:rPr>
          <w:rFonts w:ascii="David" w:eastAsia="Calibri" w:hAnsi="David" w:hint="cs"/>
          <w:sz w:val="24"/>
          <w:rtl/>
        </w:rPr>
        <w:t>.</w:t>
      </w:r>
      <w:r w:rsidRPr="00BE1CFE">
        <w:rPr>
          <w:rFonts w:ascii="David" w:eastAsia="Calibri" w:hAnsi="David"/>
          <w:sz w:val="24"/>
          <w:rtl/>
        </w:rPr>
        <w:t xml:space="preserve"> </w:t>
      </w:r>
      <w:r w:rsidRPr="00BE1CFE">
        <w:rPr>
          <w:rFonts w:ascii="David" w:eastAsia="Calibri" w:hAnsi="David" w:hint="cs"/>
          <w:sz w:val="24"/>
          <w:rtl/>
        </w:rPr>
        <w:t xml:space="preserve">עוד היא כתבה כי </w:t>
      </w:r>
      <w:r w:rsidRPr="00BE1CFE">
        <w:rPr>
          <w:rFonts w:ascii="David" w:eastAsia="Calibri" w:hAnsi="David" w:hint="eastAsia"/>
          <w:sz w:val="24"/>
          <w:rtl/>
        </w:rPr>
        <w:t>מטה</w:t>
      </w:r>
      <w:r w:rsidRPr="00BE1CFE">
        <w:rPr>
          <w:rFonts w:ascii="David" w:eastAsia="Calibri" w:hAnsi="David"/>
          <w:sz w:val="24"/>
          <w:rtl/>
        </w:rPr>
        <w:t xml:space="preserve"> החטיבה מקדם את הנושא </w:t>
      </w:r>
      <w:r w:rsidRPr="00BE1CFE">
        <w:rPr>
          <w:rFonts w:ascii="David" w:eastAsia="Calibri" w:hAnsi="David" w:hint="eastAsia"/>
          <w:sz w:val="24"/>
          <w:rtl/>
        </w:rPr>
        <w:t>במגוון</w:t>
      </w:r>
      <w:r w:rsidRPr="00BE1CFE">
        <w:rPr>
          <w:rFonts w:ascii="David" w:eastAsia="Calibri" w:hAnsi="David"/>
          <w:sz w:val="24"/>
          <w:rtl/>
        </w:rPr>
        <w:t xml:space="preserve"> </w:t>
      </w:r>
      <w:r w:rsidRPr="00BE1CFE">
        <w:rPr>
          <w:rFonts w:ascii="David" w:eastAsia="Calibri" w:hAnsi="David" w:hint="eastAsia"/>
          <w:sz w:val="24"/>
          <w:rtl/>
        </w:rPr>
        <w:t>אופנים</w:t>
      </w:r>
      <w:r w:rsidRPr="00BE1CFE">
        <w:rPr>
          <w:rFonts w:ascii="David" w:eastAsia="Calibri" w:hAnsi="David" w:hint="cs"/>
          <w:sz w:val="24"/>
          <w:rtl/>
        </w:rPr>
        <w:t>,</w:t>
      </w:r>
      <w:r w:rsidRPr="00BE1CFE">
        <w:rPr>
          <w:rFonts w:ascii="David" w:eastAsia="Calibri" w:hAnsi="David"/>
          <w:sz w:val="24"/>
          <w:rtl/>
        </w:rPr>
        <w:t xml:space="preserve"> </w:t>
      </w:r>
      <w:r w:rsidRPr="00BE1CFE">
        <w:rPr>
          <w:rFonts w:ascii="David" w:eastAsia="Calibri" w:hAnsi="David" w:hint="eastAsia"/>
          <w:sz w:val="24"/>
          <w:rtl/>
        </w:rPr>
        <w:t>והוא</w:t>
      </w:r>
      <w:r w:rsidRPr="00BE1CFE">
        <w:rPr>
          <w:rFonts w:ascii="David" w:eastAsia="Calibri" w:hAnsi="David"/>
          <w:sz w:val="24"/>
          <w:rtl/>
        </w:rPr>
        <w:t xml:space="preserve"> </w:t>
      </w:r>
      <w:r w:rsidRPr="00BE1CFE">
        <w:rPr>
          <w:rFonts w:ascii="David" w:eastAsia="Calibri" w:hAnsi="David" w:hint="eastAsia"/>
          <w:sz w:val="24"/>
          <w:rtl/>
        </w:rPr>
        <w:t>נמצא</w:t>
      </w:r>
      <w:r w:rsidRPr="00BE1CFE">
        <w:rPr>
          <w:rFonts w:ascii="David" w:eastAsia="Calibri" w:hAnsi="David"/>
          <w:sz w:val="24"/>
          <w:rtl/>
        </w:rPr>
        <w:t xml:space="preserve"> </w:t>
      </w:r>
      <w:r w:rsidRPr="00BE1CFE">
        <w:rPr>
          <w:rFonts w:ascii="David" w:eastAsia="Calibri" w:hAnsi="David" w:hint="eastAsia"/>
          <w:sz w:val="24"/>
          <w:rtl/>
        </w:rPr>
        <w:t>בהליך</w:t>
      </w:r>
      <w:r w:rsidRPr="00BE1CFE">
        <w:rPr>
          <w:rFonts w:ascii="David" w:eastAsia="Calibri" w:hAnsi="David"/>
          <w:sz w:val="24"/>
          <w:rtl/>
        </w:rPr>
        <w:t xml:space="preserve"> </w:t>
      </w:r>
      <w:r w:rsidRPr="00BE1CFE">
        <w:rPr>
          <w:rFonts w:ascii="David" w:eastAsia="Calibri" w:hAnsi="David" w:hint="eastAsia"/>
          <w:sz w:val="24"/>
          <w:rtl/>
        </w:rPr>
        <w:t>מיפוי</w:t>
      </w:r>
      <w:r w:rsidRPr="00BE1CFE">
        <w:rPr>
          <w:rFonts w:ascii="David" w:eastAsia="Calibri" w:hAnsi="David"/>
          <w:sz w:val="24"/>
          <w:rtl/>
        </w:rPr>
        <w:t xml:space="preserve"> </w:t>
      </w:r>
      <w:r w:rsidRPr="00BE1CFE">
        <w:rPr>
          <w:rFonts w:ascii="David" w:eastAsia="Calibri" w:hAnsi="David" w:hint="eastAsia"/>
          <w:sz w:val="24"/>
          <w:rtl/>
        </w:rPr>
        <w:t>עמדות</w:t>
      </w:r>
      <w:r w:rsidRPr="00BE1CFE">
        <w:rPr>
          <w:rFonts w:ascii="David" w:eastAsia="Calibri" w:hAnsi="David"/>
          <w:sz w:val="24"/>
          <w:rtl/>
        </w:rPr>
        <w:t xml:space="preserve"> </w:t>
      </w:r>
      <w:r w:rsidRPr="00BE1CFE">
        <w:rPr>
          <w:rFonts w:ascii="David" w:eastAsia="Calibri" w:hAnsi="David" w:hint="eastAsia"/>
          <w:sz w:val="24"/>
          <w:rtl/>
        </w:rPr>
        <w:t>לביעור</w:t>
      </w:r>
      <w:r w:rsidRPr="00BE1CFE">
        <w:rPr>
          <w:rFonts w:ascii="David" w:eastAsia="Calibri" w:hAnsi="David"/>
          <w:sz w:val="24"/>
          <w:rtl/>
        </w:rPr>
        <w:t xml:space="preserve">. </w:t>
      </w:r>
      <w:r w:rsidRPr="00BE1CFE">
        <w:rPr>
          <w:rFonts w:ascii="David" w:eastAsia="Calibri" w:hAnsi="David" w:hint="eastAsia"/>
          <w:sz w:val="24"/>
          <w:rtl/>
        </w:rPr>
        <w:t>עם</w:t>
      </w:r>
      <w:r w:rsidRPr="00BE1CFE">
        <w:rPr>
          <w:rFonts w:ascii="David" w:eastAsia="Calibri" w:hAnsi="David"/>
          <w:sz w:val="24"/>
          <w:rtl/>
        </w:rPr>
        <w:t xml:space="preserve"> </w:t>
      </w:r>
      <w:r w:rsidRPr="00BE1CFE">
        <w:rPr>
          <w:rFonts w:ascii="David" w:eastAsia="Calibri" w:hAnsi="David" w:hint="eastAsia"/>
          <w:sz w:val="24"/>
          <w:rtl/>
        </w:rPr>
        <w:t>קליטת</w:t>
      </w:r>
      <w:r w:rsidRPr="00BE1CFE">
        <w:rPr>
          <w:rFonts w:ascii="David" w:eastAsia="Calibri" w:hAnsi="David"/>
          <w:sz w:val="24"/>
          <w:rtl/>
        </w:rPr>
        <w:t xml:space="preserve"> </w:t>
      </w:r>
      <w:r w:rsidRPr="00BE1CFE">
        <w:rPr>
          <w:rFonts w:ascii="David" w:eastAsia="Calibri" w:hAnsi="David" w:hint="eastAsia"/>
          <w:sz w:val="24"/>
          <w:rtl/>
        </w:rPr>
        <w:t>מערכות</w:t>
      </w:r>
      <w:r w:rsidRPr="00BE1CFE">
        <w:rPr>
          <w:rFonts w:ascii="David" w:eastAsia="Calibri" w:hAnsi="David"/>
          <w:sz w:val="24"/>
          <w:rtl/>
        </w:rPr>
        <w:t xml:space="preserve"> </w:t>
      </w:r>
      <w:r w:rsidRPr="00BE1CFE">
        <w:rPr>
          <w:rFonts w:ascii="David" w:eastAsia="Calibri" w:hAnsi="David" w:hint="eastAsia"/>
          <w:sz w:val="24"/>
          <w:rtl/>
        </w:rPr>
        <w:t>האזנת</w:t>
      </w:r>
      <w:r w:rsidRPr="00BE1CFE">
        <w:rPr>
          <w:rFonts w:ascii="David" w:eastAsia="Calibri" w:hAnsi="David"/>
          <w:sz w:val="24"/>
          <w:rtl/>
        </w:rPr>
        <w:t xml:space="preserve"> </w:t>
      </w:r>
      <w:r w:rsidRPr="00BE1CFE">
        <w:rPr>
          <w:rFonts w:ascii="David" w:eastAsia="Calibri" w:hAnsi="David" w:hint="eastAsia"/>
          <w:sz w:val="24"/>
          <w:rtl/>
        </w:rPr>
        <w:t>סתר</w:t>
      </w:r>
      <w:r w:rsidRPr="00BE1CFE">
        <w:rPr>
          <w:rFonts w:ascii="David" w:eastAsia="Calibri" w:hAnsi="David"/>
          <w:sz w:val="24"/>
          <w:rtl/>
        </w:rPr>
        <w:t xml:space="preserve"> </w:t>
      </w:r>
      <w:r w:rsidRPr="00BE1CFE">
        <w:rPr>
          <w:rFonts w:ascii="David" w:eastAsia="Calibri" w:hAnsi="David" w:hint="eastAsia"/>
          <w:sz w:val="24"/>
          <w:rtl/>
        </w:rPr>
        <w:t>חדשות</w:t>
      </w:r>
      <w:r w:rsidRPr="00BE1CFE">
        <w:rPr>
          <w:rFonts w:ascii="David" w:eastAsia="Calibri" w:hAnsi="David"/>
          <w:sz w:val="24"/>
          <w:rtl/>
        </w:rPr>
        <w:t xml:space="preserve"> </w:t>
      </w:r>
      <w:r w:rsidRPr="00BE1CFE">
        <w:rPr>
          <w:rFonts w:ascii="David" w:eastAsia="Calibri" w:hAnsi="David" w:hint="eastAsia"/>
          <w:sz w:val="24"/>
          <w:rtl/>
        </w:rPr>
        <w:t>במשטרה</w:t>
      </w:r>
      <w:r w:rsidRPr="00BE1CFE">
        <w:rPr>
          <w:rFonts w:ascii="David" w:eastAsia="Calibri" w:hAnsi="David"/>
          <w:sz w:val="24"/>
          <w:rtl/>
        </w:rPr>
        <w:t xml:space="preserve"> </w:t>
      </w:r>
      <w:r w:rsidRPr="00BE1CFE">
        <w:rPr>
          <w:rFonts w:ascii="David" w:eastAsia="Calibri" w:hAnsi="David" w:hint="eastAsia"/>
          <w:sz w:val="24"/>
          <w:rtl/>
        </w:rPr>
        <w:t>מושקעות</w:t>
      </w:r>
      <w:r w:rsidRPr="00BE1CFE">
        <w:rPr>
          <w:rFonts w:ascii="David" w:eastAsia="Calibri" w:hAnsi="David"/>
          <w:sz w:val="24"/>
          <w:rtl/>
        </w:rPr>
        <w:t xml:space="preserve"> </w:t>
      </w:r>
      <w:r w:rsidRPr="00BE1CFE">
        <w:rPr>
          <w:rFonts w:ascii="David" w:eastAsia="Calibri" w:hAnsi="David" w:hint="eastAsia"/>
          <w:sz w:val="24"/>
          <w:rtl/>
        </w:rPr>
        <w:t>תשומות</w:t>
      </w:r>
      <w:r w:rsidRPr="00BE1CFE">
        <w:rPr>
          <w:rFonts w:ascii="David" w:eastAsia="Calibri" w:hAnsi="David"/>
          <w:sz w:val="24"/>
          <w:rtl/>
        </w:rPr>
        <w:t xml:space="preserve"> </w:t>
      </w:r>
      <w:r w:rsidRPr="00BE1CFE">
        <w:rPr>
          <w:rFonts w:ascii="David" w:eastAsia="Calibri" w:hAnsi="David" w:hint="eastAsia"/>
          <w:sz w:val="24"/>
          <w:rtl/>
        </w:rPr>
        <w:t>רבות</w:t>
      </w:r>
      <w:r w:rsidRPr="00BE1CFE">
        <w:rPr>
          <w:rFonts w:ascii="David" w:eastAsia="Calibri" w:hAnsi="David"/>
          <w:sz w:val="24"/>
          <w:rtl/>
        </w:rPr>
        <w:t xml:space="preserve"> </w:t>
      </w:r>
      <w:r w:rsidRPr="00BE1CFE">
        <w:rPr>
          <w:rFonts w:ascii="David" w:eastAsia="Calibri" w:hAnsi="David" w:hint="eastAsia"/>
          <w:sz w:val="24"/>
          <w:rtl/>
        </w:rPr>
        <w:t>ל</w:t>
      </w:r>
      <w:r w:rsidRPr="00BE1CFE">
        <w:rPr>
          <w:rFonts w:ascii="David" w:eastAsia="Calibri" w:hAnsi="David" w:hint="cs"/>
          <w:sz w:val="24"/>
          <w:rtl/>
        </w:rPr>
        <w:t>צורך</w:t>
      </w:r>
      <w:r w:rsidRPr="00BE1CFE">
        <w:rPr>
          <w:rFonts w:ascii="David" w:eastAsia="Calibri" w:hAnsi="David"/>
          <w:sz w:val="24"/>
          <w:rtl/>
        </w:rPr>
        <w:t xml:space="preserve"> </w:t>
      </w:r>
      <w:r w:rsidRPr="00BE1CFE">
        <w:rPr>
          <w:rFonts w:ascii="David" w:eastAsia="Calibri" w:hAnsi="David" w:hint="eastAsia"/>
          <w:sz w:val="24"/>
          <w:rtl/>
        </w:rPr>
        <w:t>קידום</w:t>
      </w:r>
      <w:r w:rsidRPr="00BE1CFE">
        <w:rPr>
          <w:rFonts w:ascii="David" w:eastAsia="Calibri" w:hAnsi="David"/>
          <w:sz w:val="24"/>
          <w:rtl/>
        </w:rPr>
        <w:t xml:space="preserve"> </w:t>
      </w:r>
      <w:r w:rsidRPr="00BE1CFE">
        <w:rPr>
          <w:rFonts w:ascii="David" w:eastAsia="Calibri" w:hAnsi="David" w:hint="eastAsia"/>
          <w:sz w:val="24"/>
          <w:rtl/>
        </w:rPr>
        <w:t>הליכי</w:t>
      </w:r>
      <w:r w:rsidRPr="00BE1CFE">
        <w:rPr>
          <w:rFonts w:ascii="David" w:eastAsia="Calibri" w:hAnsi="David"/>
          <w:sz w:val="24"/>
          <w:rtl/>
        </w:rPr>
        <w:t xml:space="preserve"> </w:t>
      </w:r>
      <w:r w:rsidRPr="00BE1CFE">
        <w:rPr>
          <w:rFonts w:ascii="David" w:eastAsia="Calibri" w:hAnsi="David" w:hint="cs"/>
          <w:sz w:val="24"/>
          <w:rtl/>
        </w:rPr>
        <w:t>ה</w:t>
      </w:r>
      <w:r w:rsidRPr="00BE1CFE">
        <w:rPr>
          <w:rFonts w:ascii="David" w:eastAsia="Calibri" w:hAnsi="David" w:hint="eastAsia"/>
          <w:sz w:val="24"/>
          <w:rtl/>
        </w:rPr>
        <w:t>ביעור</w:t>
      </w:r>
      <w:r w:rsidRPr="00BE1CFE">
        <w:rPr>
          <w:rFonts w:ascii="David" w:eastAsia="Calibri" w:hAnsi="David"/>
          <w:sz w:val="24"/>
          <w:rtl/>
        </w:rPr>
        <w:t xml:space="preserve"> </w:t>
      </w:r>
      <w:r w:rsidRPr="00BE1CFE">
        <w:rPr>
          <w:rFonts w:ascii="David" w:eastAsia="Calibri" w:hAnsi="David" w:hint="cs"/>
          <w:sz w:val="24"/>
          <w:rtl/>
        </w:rPr>
        <w:t xml:space="preserve">של </w:t>
      </w:r>
      <w:r w:rsidRPr="00BE1CFE">
        <w:rPr>
          <w:rFonts w:ascii="David" w:eastAsia="Calibri" w:hAnsi="David" w:hint="eastAsia"/>
          <w:sz w:val="24"/>
          <w:rtl/>
        </w:rPr>
        <w:t>תוצרי</w:t>
      </w:r>
      <w:r w:rsidRPr="00BE1CFE">
        <w:rPr>
          <w:rFonts w:ascii="David" w:eastAsia="Calibri" w:hAnsi="David"/>
          <w:sz w:val="24"/>
          <w:rtl/>
        </w:rPr>
        <w:t xml:space="preserve"> </w:t>
      </w:r>
      <w:r w:rsidRPr="00BE1CFE">
        <w:rPr>
          <w:rFonts w:ascii="David" w:eastAsia="Calibri" w:hAnsi="David" w:hint="eastAsia"/>
          <w:sz w:val="24"/>
          <w:rtl/>
        </w:rPr>
        <w:t>האזנות</w:t>
      </w:r>
      <w:r w:rsidRPr="00BE1CFE">
        <w:rPr>
          <w:rFonts w:ascii="David" w:eastAsia="Calibri" w:hAnsi="David"/>
          <w:sz w:val="24"/>
          <w:rtl/>
        </w:rPr>
        <w:t xml:space="preserve"> </w:t>
      </w:r>
      <w:r w:rsidRPr="00BE1CFE">
        <w:rPr>
          <w:rFonts w:ascii="David" w:eastAsia="Calibri" w:hAnsi="David" w:hint="eastAsia"/>
          <w:sz w:val="24"/>
          <w:rtl/>
        </w:rPr>
        <w:t>סתר</w:t>
      </w:r>
      <w:r w:rsidRPr="00BE1CFE">
        <w:rPr>
          <w:rFonts w:ascii="David" w:eastAsia="Calibri" w:hAnsi="David"/>
          <w:sz w:val="24"/>
          <w:rtl/>
        </w:rPr>
        <w:t xml:space="preserve"> </w:t>
      </w:r>
      <w:r w:rsidRPr="00BE1CFE">
        <w:rPr>
          <w:rFonts w:ascii="David" w:eastAsia="Calibri" w:hAnsi="David" w:hint="eastAsia"/>
          <w:sz w:val="24"/>
          <w:rtl/>
        </w:rPr>
        <w:t>כך</w:t>
      </w:r>
      <w:r w:rsidRPr="00BE1CFE">
        <w:rPr>
          <w:rFonts w:ascii="David" w:eastAsia="Calibri" w:hAnsi="David"/>
          <w:sz w:val="24"/>
          <w:rtl/>
        </w:rPr>
        <w:t xml:space="preserve"> </w:t>
      </w:r>
      <w:r w:rsidRPr="00BE1CFE">
        <w:rPr>
          <w:rFonts w:ascii="David" w:eastAsia="Calibri" w:hAnsi="David" w:hint="eastAsia"/>
          <w:sz w:val="24"/>
          <w:rtl/>
        </w:rPr>
        <w:t>שיתאימו</w:t>
      </w:r>
      <w:r w:rsidRPr="00BE1CFE">
        <w:rPr>
          <w:rFonts w:ascii="David" w:eastAsia="Calibri" w:hAnsi="David"/>
          <w:sz w:val="24"/>
          <w:rtl/>
        </w:rPr>
        <w:t xml:space="preserve"> </w:t>
      </w:r>
      <w:r w:rsidRPr="00BE1CFE">
        <w:rPr>
          <w:rFonts w:ascii="David" w:eastAsia="Calibri" w:hAnsi="David" w:hint="eastAsia"/>
          <w:sz w:val="24"/>
          <w:rtl/>
        </w:rPr>
        <w:t>לנהלים</w:t>
      </w:r>
      <w:r w:rsidRPr="00BE1CFE">
        <w:rPr>
          <w:rFonts w:ascii="David" w:eastAsia="Calibri" w:hAnsi="David"/>
          <w:sz w:val="24"/>
          <w:rtl/>
        </w:rPr>
        <w:t xml:space="preserve"> </w:t>
      </w:r>
      <w:r w:rsidRPr="00BE1CFE">
        <w:rPr>
          <w:rFonts w:ascii="David" w:eastAsia="Calibri" w:hAnsi="David" w:hint="eastAsia"/>
          <w:sz w:val="24"/>
          <w:rtl/>
        </w:rPr>
        <w:t>ולדרישת</w:t>
      </w:r>
      <w:r w:rsidRPr="00BE1CFE">
        <w:rPr>
          <w:rFonts w:ascii="David" w:eastAsia="Calibri" w:hAnsi="David"/>
          <w:sz w:val="24"/>
          <w:rtl/>
        </w:rPr>
        <w:t xml:space="preserve"> </w:t>
      </w:r>
      <w:r w:rsidRPr="00BE1CFE">
        <w:rPr>
          <w:rFonts w:ascii="David" w:eastAsia="Calibri" w:hAnsi="David" w:hint="eastAsia"/>
          <w:sz w:val="24"/>
          <w:rtl/>
        </w:rPr>
        <w:t>החוק</w:t>
      </w:r>
      <w:r w:rsidRPr="00BE1CFE">
        <w:rPr>
          <w:rFonts w:ascii="David" w:eastAsia="Calibri" w:hAnsi="David"/>
          <w:sz w:val="24"/>
          <w:rtl/>
        </w:rPr>
        <w:t>.</w:t>
      </w:r>
      <w:r w:rsidRPr="00BE1CFE">
        <w:rPr>
          <w:rFonts w:ascii="David" w:eastAsia="Calibri" w:hAnsi="David" w:hint="cs"/>
          <w:sz w:val="24"/>
          <w:rtl/>
        </w:rPr>
        <w:t xml:space="preserve"> </w:t>
      </w:r>
    </w:p>
    <w:p w:rsidR="00B42AA2" w:rsidRPr="0025585B" w:rsidRDefault="00B42AA2" w:rsidP="00604C3D">
      <w:pPr>
        <w:spacing w:line="269" w:lineRule="auto"/>
        <w:jc w:val="center"/>
        <w:rPr>
          <w:rFonts w:ascii="Arial" w:hAnsi="Arial" w:cs="Arial"/>
          <w:b/>
          <w:bCs/>
          <w:sz w:val="36"/>
          <w:rtl/>
        </w:rPr>
      </w:pPr>
      <w:r>
        <w:rPr>
          <w:rFonts w:ascii="Segoe UI Symbol" w:hAnsi="Segoe UI Symbol" w:cs="Segoe UI Symbol" w:hint="cs"/>
          <w:b/>
          <w:bCs/>
          <w:sz w:val="36"/>
          <w:rtl/>
        </w:rPr>
        <w:t>✰</w:t>
      </w:r>
    </w:p>
    <w:p w:rsidR="00B42AA2" w:rsidRPr="00637CE3" w:rsidRDefault="00B42AA2" w:rsidP="00604C3D">
      <w:pPr>
        <w:spacing w:line="269" w:lineRule="auto"/>
        <w:rPr>
          <w:rtl/>
        </w:rPr>
      </w:pPr>
    </w:p>
    <w:p w:rsidR="00B42AA2" w:rsidRPr="0025585B" w:rsidRDefault="00B42AA2" w:rsidP="00604C3D">
      <w:pPr>
        <w:spacing w:line="269" w:lineRule="auto"/>
        <w:rPr>
          <w:b/>
          <w:bCs/>
          <w:rtl/>
        </w:rPr>
      </w:pPr>
      <w:r w:rsidRPr="0025585B">
        <w:rPr>
          <w:rFonts w:hint="cs"/>
          <w:b/>
          <w:bCs/>
          <w:rtl/>
        </w:rPr>
        <w:t>מס</w:t>
      </w:r>
      <w:r w:rsidRPr="0025585B">
        <w:rPr>
          <w:b/>
          <w:bCs/>
          <w:rtl/>
        </w:rPr>
        <w:t xml:space="preserve">קירת תהליכי העבודה בתחום האזנות הסתר במשטרה עולים פערים תפקודיים משמעותיים ויסודיים בעבודת המשטרה. פערים אלו הביאו לביצוע פעולות חמורות ופוגעניות בתחומי הגשת בקשות, </w:t>
      </w:r>
      <w:r w:rsidR="00F8134E" w:rsidRPr="00F8134E">
        <w:rPr>
          <w:rFonts w:hint="cs"/>
          <w:b/>
          <w:bCs/>
          <w:rtl/>
        </w:rPr>
        <w:t>התקנות כלים טכנולוגיים על</w:t>
      </w:r>
      <w:r w:rsidR="00F8134E" w:rsidRPr="0025585B">
        <w:rPr>
          <w:b/>
          <w:bCs/>
          <w:rtl/>
        </w:rPr>
        <w:t xml:space="preserve"> </w:t>
      </w:r>
      <w:r w:rsidRPr="0025585B">
        <w:rPr>
          <w:b/>
          <w:bCs/>
          <w:rtl/>
        </w:rPr>
        <w:t xml:space="preserve">מכשירי קצה, איסוף תוצרי האזנת סתר, הפקת התוצרים </w:t>
      </w:r>
      <w:r w:rsidR="002151BA">
        <w:rPr>
          <w:rFonts w:hint="cs"/>
          <w:b/>
          <w:bCs/>
          <w:rtl/>
        </w:rPr>
        <w:t>ו</w:t>
      </w:r>
      <w:r w:rsidRPr="0025585B">
        <w:rPr>
          <w:b/>
          <w:bCs/>
          <w:rtl/>
        </w:rPr>
        <w:t xml:space="preserve">השימוש בהם, וביעור התוצרים. ניתוח תהליכי העבודה בתחום האזנות הסתר במשטרה העלה כי חלק מהפעולות שהתבצעו בשלבים שונים של התהליך </w:t>
      </w:r>
      <w:r w:rsidR="00373673">
        <w:rPr>
          <w:rFonts w:hint="cs"/>
          <w:b/>
          <w:bCs/>
          <w:rtl/>
        </w:rPr>
        <w:t>הן פעולות אסורות</w:t>
      </w:r>
      <w:r w:rsidRPr="0025585B">
        <w:rPr>
          <w:b/>
          <w:bCs/>
          <w:rtl/>
        </w:rPr>
        <w:t>. ביסודם של הפערים שהובילו לתוצאה זו עומדים פערים משמעותיים בתחום האסדרה ופרקטיקות שיושמו במציאות של אסדרה לקויה. להלן הפרטים</w:t>
      </w:r>
      <w:r w:rsidRPr="0025585B">
        <w:rPr>
          <w:b/>
          <w:bCs/>
        </w:rPr>
        <w:t>:</w:t>
      </w:r>
      <w:r w:rsidR="00382AE8">
        <w:rPr>
          <w:b/>
          <w:bCs/>
          <w:rtl/>
        </w:rPr>
        <w:t xml:space="preserve"> </w:t>
      </w:r>
    </w:p>
    <w:p w:rsidR="00B42AA2" w:rsidRPr="0025585B" w:rsidRDefault="00B42AA2" w:rsidP="00604C3D">
      <w:pPr>
        <w:spacing w:line="269" w:lineRule="auto"/>
        <w:rPr>
          <w:b/>
          <w:bCs/>
          <w:rtl/>
        </w:rPr>
      </w:pPr>
    </w:p>
    <w:p w:rsidR="00B42AA2" w:rsidRDefault="00B42AA2" w:rsidP="00FD41FE">
      <w:pPr>
        <w:pStyle w:val="af2"/>
        <w:numPr>
          <w:ilvl w:val="1"/>
          <w:numId w:val="41"/>
        </w:numPr>
        <w:spacing w:line="269" w:lineRule="auto"/>
        <w:ind w:left="339"/>
        <w:rPr>
          <w:b/>
          <w:bCs/>
        </w:rPr>
      </w:pPr>
      <w:r w:rsidRPr="0025585B">
        <w:rPr>
          <w:b/>
          <w:bCs/>
          <w:rtl/>
        </w:rPr>
        <w:t>החקיקה בתחום האזנות סתר אינה מסדירה את סמכויות המשטרה בעידן הטכנולוגי הנוכחי אף על פי שאלו נחוצות לה באופן קריטי כדי למלא את תפקידה</w:t>
      </w:r>
      <w:r w:rsidRPr="0025585B">
        <w:rPr>
          <w:b/>
          <w:bCs/>
        </w:rPr>
        <w:t>.</w:t>
      </w:r>
    </w:p>
    <w:p w:rsidR="00071794" w:rsidRPr="0025585B" w:rsidRDefault="00071794" w:rsidP="00604C3D">
      <w:pPr>
        <w:pStyle w:val="af2"/>
        <w:spacing w:line="269" w:lineRule="auto"/>
        <w:ind w:left="340"/>
        <w:rPr>
          <w:b/>
          <w:bCs/>
        </w:rPr>
      </w:pPr>
    </w:p>
    <w:p w:rsidR="00B42AA2" w:rsidRDefault="00B42AA2" w:rsidP="00FD41FE">
      <w:pPr>
        <w:pStyle w:val="af2"/>
        <w:numPr>
          <w:ilvl w:val="1"/>
          <w:numId w:val="41"/>
        </w:numPr>
        <w:spacing w:line="269" w:lineRule="auto"/>
        <w:ind w:left="339"/>
        <w:rPr>
          <w:b/>
          <w:bCs/>
        </w:rPr>
      </w:pPr>
      <w:r w:rsidRPr="0025585B">
        <w:rPr>
          <w:b/>
          <w:bCs/>
          <w:rtl/>
        </w:rPr>
        <w:t>לאורך השנים נעשתה על ידי המשטרה ומשרד המשפטים הסדרה משפטית חלקית, הנשענת על תשתית חקיקתית רעועה ושאינה סוקרת את מכלול הכלים הטכנולוגיים והפעולות שאותן מבקשת המשטרה לבצע בתחום האזנות הסתר</w:t>
      </w:r>
      <w:r w:rsidRPr="0025585B">
        <w:rPr>
          <w:b/>
          <w:bCs/>
        </w:rPr>
        <w:t>.</w:t>
      </w:r>
    </w:p>
    <w:p w:rsidR="00071794" w:rsidRPr="00071794" w:rsidRDefault="00071794" w:rsidP="00604C3D">
      <w:pPr>
        <w:spacing w:line="269" w:lineRule="auto"/>
        <w:rPr>
          <w:b/>
          <w:bCs/>
          <w:rtl/>
        </w:rPr>
      </w:pPr>
    </w:p>
    <w:p w:rsidR="00B42AA2" w:rsidRDefault="00B42AA2" w:rsidP="00FD41FE">
      <w:pPr>
        <w:pStyle w:val="af2"/>
        <w:numPr>
          <w:ilvl w:val="1"/>
          <w:numId w:val="41"/>
        </w:numPr>
        <w:spacing w:line="269" w:lineRule="auto"/>
        <w:ind w:left="339"/>
        <w:rPr>
          <w:b/>
          <w:bCs/>
        </w:rPr>
      </w:pPr>
      <w:r w:rsidRPr="0025585B">
        <w:rPr>
          <w:b/>
          <w:bCs/>
          <w:rtl/>
        </w:rPr>
        <w:t>נוצרו מנגנונים עוקפים לתהליך התקין של הוצאת בקשות</w:t>
      </w:r>
      <w:r w:rsidR="00772CAA">
        <w:rPr>
          <w:rFonts w:hint="cs"/>
          <w:b/>
          <w:bCs/>
          <w:rtl/>
        </w:rPr>
        <w:t xml:space="preserve"> להאזנת סתר</w:t>
      </w:r>
      <w:r w:rsidRPr="0025585B">
        <w:rPr>
          <w:b/>
          <w:bCs/>
          <w:rtl/>
        </w:rPr>
        <w:t>, כך שאלו אינם מחייבים עוד אישור של דרגים בכירים במשטרה, בפרקליטות ובחינה של בתי המשפט. המנגנונים העוקפים מאפשרים קבלת אישור לביצוע האזנות סתר ושימוש בכלים טכנולוגיים בפיקוח הולך ומתרופף וללא בקרה חיצונית לגורמי הביצוע שבמשטרה</w:t>
      </w:r>
      <w:r w:rsidRPr="0025585B">
        <w:rPr>
          <w:b/>
          <w:bCs/>
        </w:rPr>
        <w:t>.</w:t>
      </w:r>
    </w:p>
    <w:p w:rsidR="00071794" w:rsidRPr="00071794" w:rsidRDefault="00071794" w:rsidP="00604C3D">
      <w:pPr>
        <w:spacing w:line="269" w:lineRule="auto"/>
        <w:rPr>
          <w:b/>
          <w:bCs/>
          <w:rtl/>
        </w:rPr>
      </w:pPr>
    </w:p>
    <w:p w:rsidR="00B42AA2" w:rsidRDefault="00B42AA2" w:rsidP="00FD41FE">
      <w:pPr>
        <w:pStyle w:val="af2"/>
        <w:numPr>
          <w:ilvl w:val="1"/>
          <w:numId w:val="41"/>
        </w:numPr>
        <w:spacing w:line="269" w:lineRule="auto"/>
        <w:ind w:left="339"/>
        <w:rPr>
          <w:b/>
          <w:bCs/>
        </w:rPr>
      </w:pPr>
      <w:r w:rsidRPr="0025585B">
        <w:rPr>
          <w:b/>
          <w:bCs/>
          <w:rtl/>
        </w:rPr>
        <w:t xml:space="preserve">קיים מחסור בנהלים ובהנחיות שיתוו את המותר והאסור לביצוע בהליכי הגשת הבקשות, </w:t>
      </w:r>
      <w:r w:rsidR="00F8134E">
        <w:rPr>
          <w:rFonts w:hint="cs"/>
          <w:b/>
          <w:bCs/>
          <w:rtl/>
        </w:rPr>
        <w:t>ההתקנה של כלים טכנולוגיים</w:t>
      </w:r>
      <w:r w:rsidR="007804CA">
        <w:rPr>
          <w:rFonts w:hint="cs"/>
          <w:b/>
          <w:bCs/>
          <w:rtl/>
        </w:rPr>
        <w:t xml:space="preserve"> והאזנה לתקשורת בין מחשבים המתבצעת באופן ידני</w:t>
      </w:r>
      <w:r w:rsidRPr="0025585B">
        <w:rPr>
          <w:b/>
          <w:bCs/>
          <w:rtl/>
        </w:rPr>
        <w:t>, האיסוף וההפקה</w:t>
      </w:r>
      <w:r w:rsidRPr="0025585B">
        <w:rPr>
          <w:b/>
          <w:bCs/>
        </w:rPr>
        <w:t>.</w:t>
      </w:r>
    </w:p>
    <w:p w:rsidR="00071794" w:rsidRPr="00071794" w:rsidRDefault="00071794" w:rsidP="00604C3D">
      <w:pPr>
        <w:spacing w:line="269" w:lineRule="auto"/>
        <w:rPr>
          <w:b/>
          <w:bCs/>
          <w:rtl/>
        </w:rPr>
      </w:pPr>
    </w:p>
    <w:p w:rsidR="00B42AA2" w:rsidRPr="0025585B" w:rsidRDefault="00B42AA2" w:rsidP="00FD41FE">
      <w:pPr>
        <w:pStyle w:val="af2"/>
        <w:numPr>
          <w:ilvl w:val="1"/>
          <w:numId w:val="41"/>
        </w:numPr>
        <w:spacing w:line="269" w:lineRule="auto"/>
        <w:ind w:left="339"/>
        <w:rPr>
          <w:b/>
          <w:bCs/>
        </w:rPr>
      </w:pPr>
      <w:r w:rsidRPr="0025585B">
        <w:rPr>
          <w:rFonts w:hint="cs"/>
          <w:b/>
          <w:bCs/>
          <w:rtl/>
        </w:rPr>
        <w:t xml:space="preserve">קיימים </w:t>
      </w:r>
      <w:r w:rsidRPr="0025585B">
        <w:rPr>
          <w:b/>
          <w:bCs/>
          <w:rtl/>
        </w:rPr>
        <w:t xml:space="preserve">פערים במילוי בקשות, בתיעוד פעולות המבוצעות על ידי המשטרה ובניהול ובאיגום של המידע על אודות פעילותה </w:t>
      </w:r>
      <w:r w:rsidR="006A16B1">
        <w:rPr>
          <w:rFonts w:hint="cs"/>
          <w:b/>
          <w:bCs/>
          <w:rtl/>
        </w:rPr>
        <w:t>ה</w:t>
      </w:r>
      <w:r w:rsidRPr="0025585B">
        <w:rPr>
          <w:b/>
          <w:bCs/>
          <w:rtl/>
        </w:rPr>
        <w:t xml:space="preserve">מונעים מהמשטרה לשקף את תמונת המצב לבית המשפט ולהפריד בין פעולות </w:t>
      </w:r>
      <w:r w:rsidR="00CD487B">
        <w:rPr>
          <w:rFonts w:hint="cs"/>
          <w:b/>
          <w:bCs/>
          <w:rtl/>
        </w:rPr>
        <w:t>מותרות ואסורות</w:t>
      </w:r>
      <w:r w:rsidRPr="0025585B">
        <w:rPr>
          <w:b/>
          <w:bCs/>
        </w:rPr>
        <w:t>.</w:t>
      </w:r>
    </w:p>
    <w:p w:rsidR="00B42AA2" w:rsidRPr="0025585B" w:rsidRDefault="00B42AA2" w:rsidP="00604C3D">
      <w:pPr>
        <w:pStyle w:val="af2"/>
        <w:spacing w:line="269" w:lineRule="auto"/>
        <w:ind w:left="312"/>
        <w:rPr>
          <w:b/>
          <w:bCs/>
          <w:rtl/>
        </w:rPr>
      </w:pPr>
    </w:p>
    <w:p w:rsidR="00B42AA2" w:rsidRPr="0025585B" w:rsidRDefault="00B42AA2" w:rsidP="00604C3D">
      <w:pPr>
        <w:spacing w:line="269" w:lineRule="auto"/>
        <w:rPr>
          <w:b/>
          <w:bCs/>
          <w:rtl/>
        </w:rPr>
      </w:pPr>
      <w:r w:rsidRPr="0025585B">
        <w:rPr>
          <w:b/>
          <w:bCs/>
          <w:rtl/>
        </w:rPr>
        <w:t xml:space="preserve">לנוכח תשובות משרד המשפטים והמשטרה, משרד מבקר המדינה מעיר שמחויבותם של גופי אכיפת החוק לפעול כדין היא מוגברת מתוקף תפקידם. הם מחויבים לפעול בהתאם למגבלות הדין בכל שלבי אכיפת החוק (ניהול הפרשייה המודיעינית, שלבי החקירה ואיסוף הראיות, וכן הגשת כתב אישום). לפיכך, מבקר המדינה מדגיש כי אין זה ראוי להגביל את הדיון בנושא השלכות הפעולות </w:t>
      </w:r>
      <w:r w:rsidR="00CD487B">
        <w:rPr>
          <w:rFonts w:hint="cs"/>
          <w:b/>
          <w:bCs/>
          <w:rtl/>
        </w:rPr>
        <w:t>האסורות</w:t>
      </w:r>
      <w:r w:rsidRPr="0025585B">
        <w:rPr>
          <w:b/>
          <w:bCs/>
          <w:rtl/>
        </w:rPr>
        <w:t xml:space="preserve"> (ביצוע </w:t>
      </w:r>
      <w:r w:rsidR="007804CA">
        <w:rPr>
          <w:rFonts w:hint="cs"/>
          <w:b/>
          <w:bCs/>
          <w:rtl/>
        </w:rPr>
        <w:t>התקנות</w:t>
      </w:r>
      <w:r w:rsidR="00CD487B">
        <w:rPr>
          <w:rFonts w:hint="cs"/>
          <w:b/>
          <w:bCs/>
          <w:rtl/>
        </w:rPr>
        <w:t>,</w:t>
      </w:r>
      <w:r w:rsidR="007804CA" w:rsidRPr="0025585B">
        <w:rPr>
          <w:b/>
          <w:bCs/>
          <w:rtl/>
        </w:rPr>
        <w:t xml:space="preserve"> </w:t>
      </w:r>
      <w:r w:rsidRPr="0025585B">
        <w:rPr>
          <w:b/>
          <w:bCs/>
          <w:rtl/>
        </w:rPr>
        <w:t xml:space="preserve">הפקת תוצרים אסורים ושימוש בהם) רק למקרים שבהם פעולות אלו השפיעו על הליך פלילי ספציפי, כגון, משיכת הראיות בתיק הפלילי שנוהל בפרקליטות בשנת 2023. הגבלת הדיון באופן זה מפחיתה מהשלכות הפעולות </w:t>
      </w:r>
      <w:r w:rsidR="00CD487B">
        <w:rPr>
          <w:rFonts w:hint="cs"/>
          <w:b/>
          <w:bCs/>
          <w:rtl/>
        </w:rPr>
        <w:t>האסורות</w:t>
      </w:r>
      <w:r w:rsidRPr="0025585B">
        <w:rPr>
          <w:b/>
          <w:bCs/>
          <w:rtl/>
        </w:rPr>
        <w:t xml:space="preserve">, ובפרט מפחיתה מן הפגיעה הנגרמת לאמון הציבור במערכת אכיפת החוק. יוצא אפוא כי ראוי שגופי אכיפת החוק יתייחסו בחומרה לפעולות </w:t>
      </w:r>
      <w:r w:rsidR="00CD487B">
        <w:rPr>
          <w:rFonts w:hint="cs"/>
          <w:b/>
          <w:bCs/>
          <w:rtl/>
        </w:rPr>
        <w:t>האסורות</w:t>
      </w:r>
      <w:r w:rsidRPr="0025585B">
        <w:rPr>
          <w:b/>
          <w:bCs/>
          <w:rtl/>
        </w:rPr>
        <w:t xml:space="preserve"> בכל מצב: במקרים שבהם ה</w:t>
      </w:r>
      <w:r w:rsidR="00062A25">
        <w:rPr>
          <w:b/>
          <w:bCs/>
          <w:rtl/>
        </w:rPr>
        <w:t>התקנה</w:t>
      </w:r>
      <w:r w:rsidRPr="0025585B">
        <w:rPr>
          <w:b/>
          <w:bCs/>
          <w:rtl/>
        </w:rPr>
        <w:t xml:space="preserve"> </w:t>
      </w:r>
      <w:r w:rsidR="00CD487B">
        <w:rPr>
          <w:rFonts w:hint="cs"/>
          <w:b/>
          <w:bCs/>
          <w:rtl/>
        </w:rPr>
        <w:t xml:space="preserve">האסורה </w:t>
      </w:r>
      <w:r w:rsidRPr="0025585B">
        <w:rPr>
          <w:b/>
          <w:bCs/>
          <w:rtl/>
        </w:rPr>
        <w:t>לא צלחה; במקרים שבהם ה</w:t>
      </w:r>
      <w:r w:rsidR="00062A25">
        <w:rPr>
          <w:b/>
          <w:bCs/>
          <w:rtl/>
        </w:rPr>
        <w:t>התקנה</w:t>
      </w:r>
      <w:r w:rsidRPr="0025585B">
        <w:rPr>
          <w:b/>
          <w:bCs/>
          <w:rtl/>
        </w:rPr>
        <w:t xml:space="preserve"> </w:t>
      </w:r>
      <w:r w:rsidR="00CD487B">
        <w:rPr>
          <w:rFonts w:hint="cs"/>
          <w:b/>
          <w:bCs/>
          <w:rtl/>
        </w:rPr>
        <w:t>האסורה</w:t>
      </w:r>
      <w:r w:rsidRPr="0025585B">
        <w:rPr>
          <w:b/>
          <w:bCs/>
          <w:rtl/>
        </w:rPr>
        <w:t xml:space="preserve"> לא הניבה איסוף תוצר אסור; ובמקרים שבהם בוצעו הפקה או שימוש </w:t>
      </w:r>
      <w:r w:rsidR="007263D8">
        <w:rPr>
          <w:rFonts w:hint="cs"/>
          <w:b/>
          <w:bCs/>
          <w:rtl/>
        </w:rPr>
        <w:t>בתוצרים אסורים</w:t>
      </w:r>
      <w:r w:rsidRPr="0025585B">
        <w:rPr>
          <w:b/>
          <w:bCs/>
          <w:rtl/>
        </w:rPr>
        <w:t xml:space="preserve"> בזמן ניהול הפרשייה המודיעינית אבל לא הוגש כתב אישום או לא התנהל הליך פלילי.</w:t>
      </w:r>
    </w:p>
    <w:p w:rsidR="00B42AA2" w:rsidRPr="0025585B" w:rsidRDefault="00B42AA2" w:rsidP="00604C3D">
      <w:pPr>
        <w:spacing w:line="269" w:lineRule="auto"/>
        <w:rPr>
          <w:b/>
          <w:bCs/>
          <w:rtl/>
        </w:rPr>
      </w:pPr>
    </w:p>
    <w:p w:rsidR="00B42AA2" w:rsidRPr="0025585B" w:rsidRDefault="00B42AA2" w:rsidP="00604C3D">
      <w:pPr>
        <w:spacing w:line="269" w:lineRule="auto"/>
        <w:rPr>
          <w:b/>
          <w:bCs/>
          <w:rtl/>
        </w:rPr>
      </w:pPr>
      <w:r w:rsidRPr="0025585B">
        <w:rPr>
          <w:b/>
          <w:bCs/>
          <w:rtl/>
        </w:rPr>
        <w:t xml:space="preserve">כל הפערים הללו הובילו לאורך שנים רבות לכרסום הולך וגובר בעקרון ריסון הכוח בתחום האזנות הסתר. יתרה מכך, הפערים בעיגון הוראות מחייבות - בחקיקה, בחוות דעת משפטיות בנהלים ובהנחיות - מערערים את יסודות חזקת המינהל התקין שאמורים לעמוד למשטרה: אם אין עיגון של הפעולה בהוראה מחייבת, אין נורמה בסיסית, ברורה, וודאית ומוסכמת המפרטת מהי הפעולה התקינה שאותה המשטרה מוסמכת לבצע. </w:t>
      </w:r>
    </w:p>
    <w:p w:rsidR="00B42AA2" w:rsidRPr="0025585B" w:rsidRDefault="00B42AA2" w:rsidP="00604C3D">
      <w:pPr>
        <w:spacing w:line="269" w:lineRule="auto"/>
        <w:rPr>
          <w:b/>
          <w:bCs/>
          <w:rtl/>
        </w:rPr>
      </w:pPr>
    </w:p>
    <w:p w:rsidR="00C4338B" w:rsidRDefault="00B42AA2" w:rsidP="00604C3D">
      <w:pPr>
        <w:spacing w:line="269" w:lineRule="auto"/>
        <w:rPr>
          <w:rtl/>
        </w:rPr>
      </w:pPr>
      <w:r w:rsidRPr="0025585B">
        <w:rPr>
          <w:b/>
          <w:bCs/>
          <w:rtl/>
        </w:rPr>
        <w:t>שורת הפערים הקריטיים בתחום האזנות הסתר מחייבים את המשטרה ומשרד המשפטים במתן מענה יסודי ומקיף לצורכי המשטרה בתחום אכיפת החוק והמאבק בארגוני הפשיעה באמצעות כלים טכנולוגיים והגדרת סמכויות ברורות ומפורשות. עם זאת, המשטרה נדרשת לבחינת עומק של תהליכי העבודה, ועליה להגביר בשיתוף משרד המשפטים את הפיקוח על פעולותיה בתחום. כמו כן, עליה לפעול להידוק משמעותי של מנגנוני הבקרה והריסון של הפעולות שהיא מבצעת בכל מקרה ומקרה.</w:t>
      </w:r>
      <w:r>
        <w:rPr>
          <w:rtl/>
        </w:rPr>
        <w:t xml:space="preserve">  </w:t>
      </w:r>
    </w:p>
    <w:p w:rsidR="00B42AA2" w:rsidRDefault="00C4338B" w:rsidP="00C4338B">
      <w:pPr>
        <w:bidi w:val="0"/>
        <w:spacing w:after="200" w:line="276" w:lineRule="auto"/>
      </w:pPr>
      <w:r>
        <w:rPr>
          <w:rtl/>
        </w:rPr>
        <w:br w:type="page"/>
      </w:r>
    </w:p>
    <w:p w:rsidR="00E46818" w:rsidRDefault="00E46818" w:rsidP="000372F7">
      <w:pPr>
        <w:pStyle w:val="2"/>
        <w:numPr>
          <w:ilvl w:val="0"/>
          <w:numId w:val="79"/>
        </w:numPr>
        <w:spacing w:before="0" w:line="269" w:lineRule="auto"/>
        <w:rPr>
          <w:rFonts w:eastAsia="Times New Roman"/>
          <w:rtl/>
        </w:rPr>
      </w:pPr>
      <w:bookmarkStart w:id="586" w:name="_Toc219286554"/>
      <w:r w:rsidRPr="000372F7">
        <w:rPr>
          <w:rFonts w:eastAsia="Times New Roman" w:hint="cs"/>
          <w:rtl/>
        </w:rPr>
        <w:t>שימוש</w:t>
      </w:r>
      <w:r w:rsidRPr="00BE1CFE">
        <w:rPr>
          <w:rFonts w:eastAsia="Times New Roman" w:hint="cs"/>
          <w:rtl/>
        </w:rPr>
        <w:t xml:space="preserve"> בנתוני תקשורת</w:t>
      </w:r>
      <w:bookmarkEnd w:id="586"/>
    </w:p>
    <w:p w:rsidR="00071794" w:rsidRPr="00071794" w:rsidRDefault="00071794" w:rsidP="00604C3D">
      <w:pPr>
        <w:spacing w:line="269" w:lineRule="auto"/>
        <w:rPr>
          <w:rtl/>
        </w:rPr>
      </w:pPr>
    </w:p>
    <w:p w:rsidR="00E46818" w:rsidRPr="00BE1CFE" w:rsidRDefault="00E46818" w:rsidP="00604C3D">
      <w:pPr>
        <w:pStyle w:val="3"/>
        <w:spacing w:before="0" w:line="269" w:lineRule="auto"/>
        <w:rPr>
          <w:rFonts w:eastAsia="Times New Roman"/>
          <w:rtl/>
        </w:rPr>
      </w:pPr>
      <w:bookmarkStart w:id="587" w:name="_Toc219286555"/>
      <w:r w:rsidRPr="00BE1CFE">
        <w:rPr>
          <w:rFonts w:eastAsia="Times New Roman" w:hint="cs"/>
          <w:rtl/>
        </w:rPr>
        <w:t>3.1 מבוא</w:t>
      </w:r>
      <w:bookmarkEnd w:id="587"/>
    </w:p>
    <w:p w:rsidR="00B47E58" w:rsidRDefault="00B47E58" w:rsidP="00604C3D">
      <w:pPr>
        <w:spacing w:line="269" w:lineRule="auto"/>
        <w:rPr>
          <w:rFonts w:eastAsia="Calibri"/>
          <w:rtl/>
        </w:rPr>
      </w:pPr>
    </w:p>
    <w:p w:rsidR="00E46818" w:rsidRPr="00BE1CFE" w:rsidRDefault="00E46818" w:rsidP="00604C3D">
      <w:pPr>
        <w:spacing w:line="269" w:lineRule="auto"/>
        <w:rPr>
          <w:rFonts w:eastAsia="Calibri"/>
          <w:rtl/>
        </w:rPr>
      </w:pPr>
      <w:r w:rsidRPr="00BE1CFE">
        <w:rPr>
          <w:rFonts w:eastAsia="Calibri" w:hint="cs"/>
          <w:rtl/>
        </w:rPr>
        <w:t xml:space="preserve">משטרת ישראל עוסקת, בין השאר, במלחמה בפשיעה ובסיכולה, ובכלל זה במניעת ביצוע עבירות ובחקירתן, באיתור חשודים בפעילות פלילית ובהבאתם לדין, באיתור נעדרים ובהצלת חיים יום-יומית. לצורך מילוי תפקידיה ועמידה במשימות המוטלות עליה מקבלת המשטרה מידע ונתונים המצויים בידי חברות התקשורת. </w:t>
      </w:r>
    </w:p>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rtl/>
        </w:rPr>
      </w:pPr>
      <w:r w:rsidRPr="00BE1CFE">
        <w:rPr>
          <w:rFonts w:eastAsia="Calibri" w:hint="cs"/>
          <w:rtl/>
        </w:rPr>
        <w:t>חוק נתוני תקשורת מסמיך את בית המשפט להתיר למשטרה לקבל לידיה, בהתאם לבקשתה, נתוני תקשורת ממאגר מידע של חברות תקשורת באמצעות צו שיפוטי, אם שוכנע שהדבר נדרש לאחת המטרות המפורטות בחוק בעבירת עוון או פשע, ובלבד שאין בקבלת נתוני התקשורת כדי לפגוע, במידה העולה על הנדרש, בפרטיותו של אדם. נוסף על כך, במקרים שאינם סובלים דיחוי וכאשר אין בידי המשטרה שהות מספקת לפנות לבית המשפט לצורך הוצאת צו משפטי, קצין מוסמך</w:t>
      </w:r>
      <w:r w:rsidRPr="00BE1CFE">
        <w:rPr>
          <w:rFonts w:eastAsia="Calibri"/>
          <w:vertAlign w:val="superscript"/>
          <w:rtl/>
        </w:rPr>
        <w:footnoteReference w:id="245"/>
      </w:r>
      <w:r w:rsidRPr="00BE1CFE">
        <w:rPr>
          <w:rFonts w:eastAsia="Calibri" w:hint="cs"/>
          <w:rtl/>
        </w:rPr>
        <w:t xml:space="preserve"> רשאי לתת היתר מינהלי לקבלת נתוני תקשורת מחברות תקשורת שתוקפו עד 24 שעות</w:t>
      </w:r>
      <w:r w:rsidRPr="00BE1CFE">
        <w:rPr>
          <w:rFonts w:eastAsia="Calibri"/>
          <w:vertAlign w:val="superscript"/>
          <w:rtl/>
        </w:rPr>
        <w:footnoteReference w:id="246"/>
      </w:r>
      <w:r w:rsidRPr="00BE1CFE">
        <w:rPr>
          <w:rFonts w:eastAsia="Calibri" w:hint="cs"/>
          <w:rtl/>
        </w:rPr>
        <w:t xml:space="preserve"> אם שוכנע כי הדבר נדרש לשם מניעת עבירה מסוג פשע או גילוי מבצעה או לשם הצלת חיי אדם. בכל בקשה לצו או להיתר מינהלי המשטרה מנמקת את בקשתה על בסיס חשד קונקרטי לביצוע עבירות פליליות או לשם הצלת חיי אדם.</w:t>
      </w:r>
      <w:r>
        <w:rPr>
          <w:rFonts w:eastAsia="Calibri" w:hint="cs"/>
          <w:rtl/>
        </w:rPr>
        <w:t xml:space="preserve"> </w:t>
      </w:r>
    </w:p>
    <w:p w:rsidR="00B47E58" w:rsidRPr="00B47E58" w:rsidRDefault="00B47E58" w:rsidP="00604C3D">
      <w:pPr>
        <w:spacing w:line="269" w:lineRule="auto"/>
        <w:ind w:left="424"/>
        <w:contextualSpacing/>
        <w:rPr>
          <w:rFonts w:eastAsia="Calibri"/>
        </w:rPr>
      </w:pPr>
    </w:p>
    <w:p w:rsidR="00E46818" w:rsidRPr="00071794" w:rsidRDefault="00E46818" w:rsidP="008C598D">
      <w:pPr>
        <w:pStyle w:val="af2"/>
        <w:numPr>
          <w:ilvl w:val="0"/>
          <w:numId w:val="50"/>
        </w:numPr>
        <w:spacing w:line="269" w:lineRule="auto"/>
        <w:ind w:left="423"/>
        <w:rPr>
          <w:rFonts w:eastAsia="Calibri"/>
          <w:rtl/>
        </w:rPr>
      </w:pPr>
      <w:r w:rsidRPr="00071794">
        <w:rPr>
          <w:rStyle w:val="70"/>
          <w:rFonts w:hint="cs"/>
          <w:rtl/>
        </w:rPr>
        <w:t>חוק נתוני תקשורת</w:t>
      </w:r>
      <w:r w:rsidRPr="00071794">
        <w:rPr>
          <w:rStyle w:val="70"/>
          <w:rtl/>
        </w:rPr>
        <w:t>:</w:t>
      </w:r>
      <w:r w:rsidRPr="00071794">
        <w:rPr>
          <w:rFonts w:eastAsia="Calibri" w:hint="cs"/>
          <w:rtl/>
        </w:rPr>
        <w:t xml:space="preserve"> מטרתו של חוק נתוני תקשורת, כפי שהוצגה בדברי ההסבר לחוק</w:t>
      </w:r>
      <w:r w:rsidRPr="00BE1CFE">
        <w:rPr>
          <w:vertAlign w:val="superscript"/>
          <w:rtl/>
        </w:rPr>
        <w:footnoteReference w:id="247"/>
      </w:r>
      <w:r w:rsidRPr="00071794">
        <w:rPr>
          <w:rFonts w:eastAsia="Calibri" w:hint="cs"/>
          <w:rtl/>
        </w:rPr>
        <w:t xml:space="preserve">, היא קביעת הסדר משפטי כולל אשר יבטא את האיזון הראוי בין הצורך של המשטרה לקבל לידיה נתוני תקשורת וכן מידע מחברות התקשורת לצורך מילוי תפקידיה השונים, לבין הצורך להימנע מפגיעה בפרטיותם של אנשים במידה העולה על הנדרש. </w:t>
      </w:r>
    </w:p>
    <w:p w:rsidR="00B47E58" w:rsidRDefault="00B47E58" w:rsidP="00604C3D">
      <w:pPr>
        <w:spacing w:line="269" w:lineRule="auto"/>
        <w:ind w:left="424"/>
        <w:rPr>
          <w:rFonts w:eastAsia="Calibri"/>
          <w:szCs w:val="20"/>
          <w:rtl/>
        </w:rPr>
      </w:pPr>
    </w:p>
    <w:p w:rsidR="00E46818" w:rsidRPr="00BE1CFE" w:rsidRDefault="00E46818" w:rsidP="00604C3D">
      <w:pPr>
        <w:spacing w:line="269" w:lineRule="auto"/>
        <w:ind w:left="424"/>
        <w:rPr>
          <w:rFonts w:eastAsia="Calibri"/>
          <w:rtl/>
        </w:rPr>
      </w:pPr>
      <w:r w:rsidRPr="00BE1CFE">
        <w:rPr>
          <w:rFonts w:eastAsia="Calibri" w:hint="cs"/>
          <w:rtl/>
        </w:rPr>
        <w:t>המשטרה נדרשת לאמץ במהירות רבה כלים ושיטות מתקדמים כדי להילחם בפשיעה ולעמוד במשימותיה וכדי לא להיוותר מאחור בקרב הטכנולוגי נגד גורמים עברייניים</w:t>
      </w:r>
      <w:r w:rsidRPr="00BE1CFE">
        <w:rPr>
          <w:rFonts w:eastAsia="Calibri"/>
          <w:vertAlign w:val="superscript"/>
          <w:rtl/>
        </w:rPr>
        <w:footnoteReference w:id="248"/>
      </w:r>
      <w:r w:rsidRPr="00BE1CFE">
        <w:rPr>
          <w:rFonts w:eastAsia="Calibri" w:hint="cs"/>
          <w:rtl/>
        </w:rPr>
        <w:t>. עם זאת, בסמכויות המוקנות למשטרה בחוק נתוני תקשורת גלום פוטנציאל רב לפגיעה בפרטיות, ולכן נדרשות רשויות האכיפה להשתמש כראוי בסמכויות שהוקנו להן תוך הפעלת שיקול דעת זהיר והקפדה יתרה על כך שהשימוש בסמכויות ייעשה רק בהיקף ובמידה המתחייבים. לפיכך, במסגרת בקשתה של המשטרה מבית המשפט לאשר לה לקבל לידיה נתוני תקשורת, עליה להצביע לכל הפחות על תחילתה של תשתית ראייתית לכאורית לפעולה משטרתית לצורך גילוי עבירות או עבריינים קונקרטיים ולא לצורכי איסוף מודיעין כללי בנוגע לעבירות או עבריינים</w:t>
      </w:r>
      <w:r w:rsidRPr="00BE1CFE">
        <w:rPr>
          <w:rFonts w:eastAsia="Calibri"/>
          <w:vertAlign w:val="superscript"/>
          <w:rtl/>
        </w:rPr>
        <w:footnoteReference w:id="249"/>
      </w:r>
      <w:r w:rsidRPr="00BE1CFE">
        <w:rPr>
          <w:rFonts w:eastAsia="Calibri" w:hint="cs"/>
          <w:rtl/>
        </w:rPr>
        <w:t xml:space="preserve">. </w:t>
      </w:r>
    </w:p>
    <w:p w:rsidR="00B47E58" w:rsidRDefault="00B47E58" w:rsidP="00604C3D">
      <w:pPr>
        <w:spacing w:line="269" w:lineRule="auto"/>
        <w:ind w:left="424"/>
        <w:rPr>
          <w:rFonts w:eastAsia="Calibri"/>
          <w:szCs w:val="20"/>
          <w:rtl/>
        </w:rPr>
      </w:pPr>
    </w:p>
    <w:p w:rsidR="00E46818" w:rsidRPr="00BE1CFE" w:rsidRDefault="00E46818" w:rsidP="00604C3D">
      <w:pPr>
        <w:spacing w:line="269" w:lineRule="auto"/>
        <w:ind w:left="424"/>
        <w:rPr>
          <w:rFonts w:eastAsia="Calibri"/>
          <w:rtl/>
        </w:rPr>
      </w:pPr>
      <w:r w:rsidRPr="00BE1CFE">
        <w:rPr>
          <w:rFonts w:eastAsia="Calibri" w:hint="cs"/>
          <w:rtl/>
        </w:rPr>
        <w:t>חוק נתוני תקשורת מאפשר למשטרה לקבל לידיה נתוני תקשורת בשני מסלולים: מסלול שגרה ומסלול חירום</w:t>
      </w:r>
      <w:r>
        <w:rPr>
          <w:rStyle w:val="af"/>
          <w:rFonts w:eastAsia="Calibri"/>
          <w:rtl/>
        </w:rPr>
        <w:footnoteReference w:id="250"/>
      </w:r>
      <w:r w:rsidRPr="00BE1CFE">
        <w:rPr>
          <w:rFonts w:eastAsia="Calibri" w:hint="cs"/>
          <w:rtl/>
        </w:rPr>
        <w:t>. בעת שגרה נדרשת המשטרה להגיש לבית משפט השלום בקשה לקבלת הנתונים, והוא רשאי לתת לה צו לקבלתם, שתוקפו עד 30 ימים</w:t>
      </w:r>
      <w:r w:rsidRPr="00BE1CFE">
        <w:rPr>
          <w:rFonts w:eastAsia="Calibri"/>
          <w:vertAlign w:val="superscript"/>
          <w:rtl/>
        </w:rPr>
        <w:footnoteReference w:id="251"/>
      </w:r>
      <w:r w:rsidRPr="00BE1CFE">
        <w:rPr>
          <w:rFonts w:eastAsia="Calibri" w:hint="cs"/>
          <w:rtl/>
        </w:rPr>
        <w:t>. העילות שנקבעו בחוק לשם קבלת צו שיפוטי הן הצלת חיי אדם או הגנה עליהם; גילוי עבירות, חקירתן או מניעתן; גילוי עבריינים והעמדתם לדין וכן חילוט רכוש על פי דין</w:t>
      </w:r>
      <w:r w:rsidRPr="00BE1CFE">
        <w:rPr>
          <w:rFonts w:eastAsia="Calibri"/>
          <w:vertAlign w:val="superscript"/>
          <w:rtl/>
        </w:rPr>
        <w:footnoteReference w:id="252"/>
      </w:r>
      <w:r w:rsidRPr="00BE1CFE">
        <w:rPr>
          <w:rFonts w:eastAsia="Calibri" w:hint="cs"/>
          <w:rtl/>
        </w:rPr>
        <w:t xml:space="preserve">. </w:t>
      </w:r>
    </w:p>
    <w:p w:rsidR="00B47E58" w:rsidRPr="00B47E58" w:rsidRDefault="00B47E58" w:rsidP="00604C3D">
      <w:pPr>
        <w:spacing w:line="269" w:lineRule="auto"/>
        <w:ind w:left="424"/>
        <w:contextualSpacing/>
        <w:rPr>
          <w:rFonts w:eastAsia="Calibri"/>
        </w:rPr>
      </w:pPr>
    </w:p>
    <w:p w:rsidR="00E46818" w:rsidRPr="00BE1CFE" w:rsidRDefault="00E46818" w:rsidP="008C598D">
      <w:pPr>
        <w:pStyle w:val="af2"/>
        <w:numPr>
          <w:ilvl w:val="0"/>
          <w:numId w:val="50"/>
        </w:numPr>
        <w:spacing w:line="269" w:lineRule="auto"/>
        <w:ind w:left="423"/>
        <w:rPr>
          <w:rFonts w:eastAsia="Calibri"/>
        </w:rPr>
      </w:pPr>
      <w:r w:rsidRPr="00071794">
        <w:rPr>
          <w:rStyle w:val="70"/>
          <w:rFonts w:hint="cs"/>
          <w:b/>
          <w:rtl/>
        </w:rPr>
        <w:t>נתוני</w:t>
      </w:r>
      <w:r w:rsidRPr="00BE1CFE">
        <w:rPr>
          <w:rFonts w:eastAsia="Times New Roman" w:hint="cs"/>
          <w:bCs/>
          <w:spacing w:val="40"/>
          <w:rtl/>
        </w:rPr>
        <w:t xml:space="preserve"> התקשורת המתקבלים במשטרה</w:t>
      </w:r>
      <w:r w:rsidRPr="00BE1CFE">
        <w:rPr>
          <w:rFonts w:eastAsia="Times New Roman"/>
          <w:b/>
          <w:bCs/>
          <w:spacing w:val="40"/>
          <w:rtl/>
        </w:rPr>
        <w:t>:</w:t>
      </w:r>
      <w:r w:rsidRPr="00BE1CFE">
        <w:rPr>
          <w:rFonts w:eastAsia="Times New Roman"/>
          <w:spacing w:val="40"/>
          <w:rtl/>
        </w:rPr>
        <w:t xml:space="preserve"> </w:t>
      </w:r>
      <w:r w:rsidRPr="00BE1CFE">
        <w:rPr>
          <w:rFonts w:eastAsia="Calibri" w:hint="cs"/>
          <w:rtl/>
        </w:rPr>
        <w:t>נתוני התקשורת שהמשטרה רשאית לקבל מחברות התקשורת נחלקים לשלושה סוגים: נתוני מנוי</w:t>
      </w:r>
      <w:r w:rsidRPr="00BE1CFE">
        <w:rPr>
          <w:rFonts w:eastAsia="Calibri"/>
          <w:vertAlign w:val="superscript"/>
          <w:rtl/>
        </w:rPr>
        <w:footnoteReference w:id="253"/>
      </w:r>
      <w:r w:rsidRPr="00BE1CFE">
        <w:rPr>
          <w:rFonts w:eastAsia="Calibri" w:hint="cs"/>
          <w:rtl/>
        </w:rPr>
        <w:t>, נתוני תעבורה</w:t>
      </w:r>
      <w:r w:rsidRPr="00BE1CFE">
        <w:rPr>
          <w:rFonts w:eastAsia="Calibri"/>
          <w:vertAlign w:val="superscript"/>
          <w:rtl/>
        </w:rPr>
        <w:footnoteReference w:id="254"/>
      </w:r>
      <w:r w:rsidRPr="00BE1CFE">
        <w:rPr>
          <w:rFonts w:eastAsia="Calibri" w:hint="cs"/>
          <w:rtl/>
        </w:rPr>
        <w:t xml:space="preserve"> ונתוני מיקום</w:t>
      </w:r>
      <w:r w:rsidRPr="00BE1CFE">
        <w:rPr>
          <w:rFonts w:eastAsia="Calibri"/>
          <w:vertAlign w:val="superscript"/>
          <w:rtl/>
        </w:rPr>
        <w:footnoteReference w:id="255"/>
      </w:r>
      <w:r w:rsidRPr="00BE1CFE">
        <w:rPr>
          <w:rFonts w:eastAsia="Calibri" w:hint="cs"/>
          <w:rtl/>
        </w:rPr>
        <w:t>. נתונים אלו אינם כוללים את תוכני השיחות או ההודעות של המנוי, ולמעשה, נתוני התקשורת הם מטא-דאטה, והם נוגעים לאמצעי התקשורת ולשימוש בו</w:t>
      </w:r>
      <w:r w:rsidRPr="00BE1CFE">
        <w:rPr>
          <w:rFonts w:eastAsia="Calibri"/>
          <w:vertAlign w:val="superscript"/>
          <w:rtl/>
        </w:rPr>
        <w:footnoteReference w:id="256"/>
      </w:r>
      <w:r w:rsidRPr="00BE1CFE">
        <w:rPr>
          <w:rFonts w:eastAsia="Calibri" w:hint="cs"/>
          <w:rtl/>
        </w:rPr>
        <w:t xml:space="preserve">. בתרשים שלהלן מוצגים נתוני התקשורת לפי סוגיהם. </w:t>
      </w:r>
    </w:p>
    <w:p w:rsidR="00B47E58" w:rsidRDefault="00B47E58" w:rsidP="00604C3D">
      <w:pPr>
        <w:spacing w:line="269" w:lineRule="auto"/>
        <w:ind w:left="424"/>
        <w:contextualSpacing/>
        <w:jc w:val="center"/>
        <w:rPr>
          <w:rFonts w:eastAsia="Calibri"/>
          <w:szCs w:val="20"/>
          <w:rtl/>
        </w:rPr>
      </w:pPr>
    </w:p>
    <w:p w:rsidR="00E46818" w:rsidRPr="00BE1CFE" w:rsidRDefault="00E46818" w:rsidP="00604C3D">
      <w:pPr>
        <w:spacing w:line="269" w:lineRule="auto"/>
        <w:ind w:left="424"/>
        <w:contextualSpacing/>
        <w:jc w:val="center"/>
        <w:rPr>
          <w:rFonts w:eastAsia="Calibri"/>
          <w:b/>
          <w:bCs/>
          <w:rtl/>
        </w:rPr>
      </w:pPr>
      <w:r w:rsidRPr="00BE1CFE">
        <w:rPr>
          <w:rFonts w:eastAsia="Calibri" w:hint="eastAsia"/>
          <w:rtl/>
        </w:rPr>
        <w:t>תרשים</w:t>
      </w:r>
      <w:r w:rsidR="00071794">
        <w:rPr>
          <w:rFonts w:eastAsia="Calibri" w:hint="cs"/>
          <w:rtl/>
        </w:rPr>
        <w:t xml:space="preserve"> 16</w:t>
      </w:r>
      <w:r w:rsidRPr="00BE1CFE">
        <w:rPr>
          <w:rFonts w:eastAsia="Calibri"/>
          <w:rtl/>
        </w:rPr>
        <w:t>:</w:t>
      </w:r>
      <w:r w:rsidRPr="00BE1CFE">
        <w:rPr>
          <w:rFonts w:eastAsia="Calibri" w:hint="cs"/>
          <w:b/>
          <w:bCs/>
          <w:rtl/>
        </w:rPr>
        <w:t xml:space="preserve"> נתוני התקשורת המתקבלים במשטרה, בחלוקה לסוגים</w:t>
      </w:r>
    </w:p>
    <w:p w:rsidR="00E46818" w:rsidRPr="00BE1CFE" w:rsidRDefault="00F202B8" w:rsidP="00604C3D">
      <w:pPr>
        <w:spacing w:line="269" w:lineRule="auto"/>
        <w:ind w:left="424"/>
        <w:contextualSpacing/>
        <w:jc w:val="center"/>
        <w:rPr>
          <w:rFonts w:eastAsia="Calibri"/>
          <w:b/>
          <w:bCs/>
        </w:rPr>
      </w:pPr>
      <w:r>
        <w:rPr>
          <w:rFonts w:eastAsia="Calibri"/>
          <w:b/>
          <w:bCs/>
          <w:noProof/>
        </w:rPr>
        <w:drawing>
          <wp:inline distT="0" distB="0" distL="0" distR="0" wp14:anchorId="1F473697" wp14:editId="34FE0720">
            <wp:extent cx="4455450" cy="3524250"/>
            <wp:effectExtent l="0" t="0" r="254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רשים 18.png"/>
                    <pic:cNvPicPr/>
                  </pic:nvPicPr>
                  <pic:blipFill>
                    <a:blip r:embed="rId27">
                      <a:extLst>
                        <a:ext uri="{28A0092B-C50C-407E-A947-70E740481C1C}">
                          <a14:useLocalDpi xmlns:a14="http://schemas.microsoft.com/office/drawing/2010/main" val="0"/>
                        </a:ext>
                      </a:extLst>
                    </a:blip>
                    <a:stretch>
                      <a:fillRect/>
                    </a:stretch>
                  </pic:blipFill>
                  <pic:spPr>
                    <a:xfrm>
                      <a:off x="0" y="0"/>
                      <a:ext cx="4483527" cy="3546459"/>
                    </a:xfrm>
                    <a:prstGeom prst="rect">
                      <a:avLst/>
                    </a:prstGeom>
                  </pic:spPr>
                </pic:pic>
              </a:graphicData>
            </a:graphic>
          </wp:inline>
        </w:drawing>
      </w:r>
    </w:p>
    <w:p w:rsidR="00E46818" w:rsidRDefault="00E46818" w:rsidP="00604C3D">
      <w:pPr>
        <w:spacing w:line="269" w:lineRule="auto"/>
        <w:ind w:left="424"/>
        <w:rPr>
          <w:rFonts w:eastAsia="Calibri"/>
          <w:szCs w:val="20"/>
          <w:rtl/>
        </w:rPr>
      </w:pPr>
      <w:r>
        <w:rPr>
          <w:rFonts w:eastAsia="Calibri" w:hint="cs"/>
          <w:szCs w:val="20"/>
          <w:rtl/>
        </w:rPr>
        <w:t>בהתאם לחוק נתוני תקשורת</w:t>
      </w:r>
      <w:r w:rsidRPr="00BE1CFE">
        <w:rPr>
          <w:rFonts w:eastAsia="Calibri" w:hint="cs"/>
          <w:szCs w:val="20"/>
          <w:rtl/>
        </w:rPr>
        <w:t xml:space="preserve">, </w:t>
      </w:r>
      <w:r w:rsidRPr="00BE1CFE">
        <w:rPr>
          <w:rFonts w:eastAsia="Calibri" w:hint="eastAsia"/>
          <w:szCs w:val="20"/>
          <w:rtl/>
        </w:rPr>
        <w:t>בעיבוד</w:t>
      </w:r>
      <w:r w:rsidRPr="00BE1CFE">
        <w:rPr>
          <w:rFonts w:eastAsia="Calibri"/>
          <w:szCs w:val="20"/>
          <w:rtl/>
        </w:rPr>
        <w:t xml:space="preserve"> </w:t>
      </w:r>
      <w:r w:rsidRPr="00BE1CFE">
        <w:rPr>
          <w:rFonts w:eastAsia="Calibri" w:hint="eastAsia"/>
          <w:szCs w:val="20"/>
          <w:rtl/>
        </w:rPr>
        <w:t>משרד</w:t>
      </w:r>
      <w:r w:rsidRPr="00BE1CFE">
        <w:rPr>
          <w:rFonts w:eastAsia="Calibri"/>
          <w:szCs w:val="20"/>
          <w:rtl/>
        </w:rPr>
        <w:t xml:space="preserve"> </w:t>
      </w:r>
      <w:r w:rsidRPr="00BE1CFE">
        <w:rPr>
          <w:rFonts w:eastAsia="Calibri" w:hint="eastAsia"/>
          <w:szCs w:val="20"/>
          <w:rtl/>
        </w:rPr>
        <w:t>מבקר</w:t>
      </w:r>
      <w:r w:rsidRPr="00BE1CFE">
        <w:rPr>
          <w:rFonts w:eastAsia="Calibri"/>
          <w:szCs w:val="20"/>
          <w:rtl/>
        </w:rPr>
        <w:t xml:space="preserve"> </w:t>
      </w:r>
      <w:r w:rsidRPr="00BE1CFE">
        <w:rPr>
          <w:rFonts w:eastAsia="Calibri" w:hint="eastAsia"/>
          <w:szCs w:val="20"/>
          <w:rtl/>
        </w:rPr>
        <w:t>המדינה</w:t>
      </w:r>
      <w:r w:rsidRPr="00BE1CFE">
        <w:rPr>
          <w:rFonts w:eastAsia="Calibri" w:hint="cs"/>
          <w:szCs w:val="20"/>
          <w:rtl/>
        </w:rPr>
        <w:t xml:space="preserve">. </w:t>
      </w:r>
    </w:p>
    <w:p w:rsidR="00071794" w:rsidRPr="00BE1CFE" w:rsidRDefault="00071794" w:rsidP="00604C3D">
      <w:pPr>
        <w:spacing w:line="269" w:lineRule="auto"/>
        <w:ind w:left="424"/>
        <w:rPr>
          <w:rFonts w:eastAsia="Calibri"/>
          <w:szCs w:val="20"/>
          <w:rtl/>
        </w:rPr>
      </w:pPr>
    </w:p>
    <w:p w:rsidR="00E46818" w:rsidRPr="00BE1CFE" w:rsidRDefault="00E46818" w:rsidP="00604C3D">
      <w:pPr>
        <w:spacing w:line="269" w:lineRule="auto"/>
        <w:ind w:left="424"/>
        <w:rPr>
          <w:rFonts w:eastAsia="Calibri"/>
          <w:rtl/>
        </w:rPr>
      </w:pPr>
      <w:r w:rsidRPr="00BE1CFE">
        <w:rPr>
          <w:rFonts w:eastAsia="Calibri" w:hint="cs"/>
          <w:rtl/>
        </w:rPr>
        <w:t>נוסף על נתוני התקשורת המועברים למשטרה מכוחו של צו שיפוטי או היתר מינהלי, חוק נתוני תקשורת קובע, בין היתר, כי המשטרה רשאית להקים ולהחזיק שני מאגרי מידע הכוללים מידע שחברות התקשורת מחויבות להעביר למשטרה</w:t>
      </w:r>
      <w:r w:rsidRPr="00BE1CFE">
        <w:rPr>
          <w:rFonts w:eastAsia="Calibri"/>
          <w:vertAlign w:val="superscript"/>
          <w:rtl/>
        </w:rPr>
        <w:footnoteReference w:id="257"/>
      </w:r>
      <w:r w:rsidRPr="00BE1CFE">
        <w:rPr>
          <w:rFonts w:eastAsia="Calibri" w:hint="cs"/>
          <w:rtl/>
        </w:rPr>
        <w:t>: (א)</w:t>
      </w:r>
      <w:r w:rsidRPr="00BE1CFE">
        <w:rPr>
          <w:rFonts w:eastAsia="Calibri" w:hint="cs"/>
        </w:rPr>
        <w:t xml:space="preserve"> </w:t>
      </w:r>
      <w:r w:rsidRPr="00BE1CFE">
        <w:rPr>
          <w:rFonts w:eastAsia="Calibri" w:hint="cs"/>
          <w:rtl/>
        </w:rPr>
        <w:t>מאגר בעלויות הכולל את נתוני הזיהוי של כל מנויי החברה ואת מספרי הזיהוי של מכשירי הטלפון או של רכיבי הטלפון; (ב)</w:t>
      </w:r>
      <w:r w:rsidRPr="00BE1CFE">
        <w:rPr>
          <w:rFonts w:eastAsia="Calibri" w:hint="cs"/>
        </w:rPr>
        <w:t xml:space="preserve"> </w:t>
      </w:r>
      <w:r w:rsidRPr="00BE1CFE">
        <w:rPr>
          <w:rFonts w:eastAsia="Calibri" w:hint="cs"/>
          <w:rtl/>
        </w:rPr>
        <w:t xml:space="preserve">מאגר אנטנות הכולל את מפת מיקומי האנטנות המשמשות את החברה ואזורי הכיסוי שלהן. </w:t>
      </w:r>
    </w:p>
    <w:p w:rsidR="00B47E58" w:rsidRPr="00B47E58" w:rsidRDefault="00B47E58" w:rsidP="00604C3D">
      <w:pPr>
        <w:spacing w:line="269" w:lineRule="auto"/>
        <w:ind w:left="424"/>
        <w:contextualSpacing/>
        <w:rPr>
          <w:rFonts w:eastAsia="Calibri"/>
        </w:rPr>
      </w:pPr>
    </w:p>
    <w:p w:rsidR="00E46818" w:rsidRPr="00BE1CFE" w:rsidRDefault="00E46818" w:rsidP="008C598D">
      <w:pPr>
        <w:pStyle w:val="af2"/>
        <w:numPr>
          <w:ilvl w:val="0"/>
          <w:numId w:val="50"/>
        </w:numPr>
        <w:spacing w:line="269" w:lineRule="auto"/>
        <w:ind w:left="423"/>
        <w:rPr>
          <w:rFonts w:eastAsia="Calibri"/>
          <w:rtl/>
        </w:rPr>
      </w:pPr>
      <w:r w:rsidRPr="00071794">
        <w:rPr>
          <w:rStyle w:val="70"/>
          <w:rFonts w:hint="cs"/>
          <w:rtl/>
        </w:rPr>
        <w:t>תפקידן מחקרי תקשורת</w:t>
      </w:r>
      <w:r w:rsidRPr="00071794">
        <w:rPr>
          <w:rStyle w:val="70"/>
          <w:rtl/>
        </w:rPr>
        <w:t>:</w:t>
      </w:r>
      <w:r w:rsidRPr="00BE1CFE">
        <w:rPr>
          <w:rFonts w:eastAsia="Times New Roman"/>
          <w:spacing w:val="40"/>
          <w:rtl/>
        </w:rPr>
        <w:t xml:space="preserve"> </w:t>
      </w:r>
      <w:r w:rsidRPr="00BE1CFE">
        <w:rPr>
          <w:rFonts w:eastAsia="Calibri" w:hint="cs"/>
          <w:rtl/>
        </w:rPr>
        <w:t xml:space="preserve">לאור חשיבות נתוני התקשורת בהיבטים של איסוף מידע מודיעיני, איסוף מידע ראייתי והצלת חיים, הוחלט במשטרה לבזר את פעילות מיצוי המידע ותחקור נתוני התקשורת לתחנות המשטרה במחוזות. הביזור לתחנות נעשה באמצעות </w:t>
      </w:r>
      <w:r w:rsidRPr="00BE1CFE">
        <w:rPr>
          <w:rFonts w:eastAsia="Calibri"/>
          <w:rtl/>
        </w:rPr>
        <w:t xml:space="preserve">שוטרים המוסמכים </w:t>
      </w:r>
      <w:r w:rsidRPr="00BE1CFE">
        <w:rPr>
          <w:rFonts w:eastAsia="Calibri" w:hint="cs"/>
          <w:rtl/>
        </w:rPr>
        <w:t>כ</w:t>
      </w:r>
      <w:r w:rsidRPr="00BE1CFE">
        <w:rPr>
          <w:rFonts w:eastAsia="Calibri"/>
          <w:rtl/>
        </w:rPr>
        <w:t>תפקידני מחקרי תקשורת</w:t>
      </w:r>
      <w:r w:rsidRPr="00BE1CFE">
        <w:rPr>
          <w:rFonts w:eastAsia="Times New Roman"/>
          <w:b/>
          <w:spacing w:val="40"/>
          <w:vertAlign w:val="superscript"/>
          <w:rtl/>
        </w:rPr>
        <w:footnoteReference w:id="258"/>
      </w:r>
      <w:r w:rsidRPr="00BE1CFE">
        <w:rPr>
          <w:rFonts w:eastAsia="Calibri" w:hint="cs"/>
          <w:rtl/>
        </w:rPr>
        <w:t xml:space="preserve"> (להלן גם </w:t>
      </w:r>
      <w:r w:rsidR="00071794">
        <w:rPr>
          <w:rFonts w:eastAsia="Calibri" w:hint="cs"/>
          <w:rtl/>
        </w:rPr>
        <w:t>-</w:t>
      </w:r>
      <w:r w:rsidRPr="00BE1CFE">
        <w:rPr>
          <w:rFonts w:eastAsia="Calibri" w:hint="cs"/>
          <w:rtl/>
        </w:rPr>
        <w:t xml:space="preserve"> תפקידן מחת"ק</w:t>
      </w:r>
      <w:r w:rsidRPr="00BE1CFE">
        <w:rPr>
          <w:rFonts w:eastAsia="Times New Roman" w:hint="cs"/>
          <w:sz w:val="24"/>
          <w:rtl/>
          <w:lang w:eastAsia="he-IL"/>
        </w:rPr>
        <w:t>) בכל אחת מתחנות המחוז, לשם שיפור יכולות המשטרה</w:t>
      </w:r>
      <w:r w:rsidRPr="00BE1CFE">
        <w:rPr>
          <w:rFonts w:eastAsia="Times New Roman"/>
          <w:sz w:val="24"/>
          <w:rtl/>
          <w:lang w:eastAsia="he-IL"/>
        </w:rPr>
        <w:t xml:space="preserve"> להתמודד</w:t>
      </w:r>
      <w:r w:rsidRPr="00BE1CFE">
        <w:rPr>
          <w:rFonts w:eastAsia="Times New Roman" w:hint="cs"/>
          <w:sz w:val="24"/>
          <w:rtl/>
          <w:lang w:eastAsia="he-IL"/>
        </w:rPr>
        <w:t>ות</w:t>
      </w:r>
      <w:r w:rsidRPr="00BE1CFE">
        <w:rPr>
          <w:rFonts w:eastAsia="Times New Roman"/>
          <w:sz w:val="24"/>
          <w:rtl/>
          <w:lang w:eastAsia="he-IL"/>
        </w:rPr>
        <w:t xml:space="preserve"> עם פרשיות ואירועים במישור המודיעיני ו</w:t>
      </w:r>
      <w:r w:rsidRPr="00BE1CFE">
        <w:rPr>
          <w:rFonts w:eastAsia="Times New Roman" w:hint="cs"/>
          <w:sz w:val="24"/>
          <w:rtl/>
          <w:lang w:eastAsia="he-IL"/>
        </w:rPr>
        <w:t xml:space="preserve">במישור </w:t>
      </w:r>
      <w:r w:rsidRPr="00BE1CFE">
        <w:rPr>
          <w:rFonts w:eastAsia="Times New Roman"/>
          <w:sz w:val="24"/>
          <w:rtl/>
          <w:lang w:eastAsia="he-IL"/>
        </w:rPr>
        <w:t>החקירתי</w:t>
      </w:r>
      <w:r w:rsidRPr="00BE1CFE">
        <w:rPr>
          <w:rFonts w:eastAsia="Calibri" w:hint="cs"/>
          <w:rtl/>
        </w:rPr>
        <w:t xml:space="preserve">. בשנים 2017 </w:t>
      </w:r>
      <w:r w:rsidR="00071794">
        <w:rPr>
          <w:rFonts w:eastAsia="Calibri" w:hint="cs"/>
          <w:rtl/>
        </w:rPr>
        <w:t>-</w:t>
      </w:r>
      <w:r w:rsidRPr="00BE1CFE">
        <w:rPr>
          <w:rFonts w:eastAsia="Calibri" w:hint="cs"/>
          <w:rtl/>
        </w:rPr>
        <w:t xml:space="preserve"> 2021 הכשירה והסמיכה המשטרה תפקידני מחת"ק, ומספרם הכולל גדל מ-70 בשנת 2017 ל-189 בשנת 2021. </w:t>
      </w:r>
    </w:p>
    <w:p w:rsidR="00B47E58" w:rsidRDefault="00B47E58" w:rsidP="00604C3D">
      <w:pPr>
        <w:spacing w:line="269" w:lineRule="auto"/>
        <w:ind w:left="424"/>
        <w:contextualSpacing/>
        <w:rPr>
          <w:rFonts w:eastAsia="Calibri"/>
          <w:szCs w:val="20"/>
          <w:rtl/>
        </w:rPr>
      </w:pPr>
    </w:p>
    <w:p w:rsidR="00E46818" w:rsidRPr="00BE1CFE" w:rsidRDefault="00E46818" w:rsidP="00604C3D">
      <w:pPr>
        <w:spacing w:line="269" w:lineRule="auto"/>
        <w:ind w:left="424"/>
        <w:contextualSpacing/>
        <w:rPr>
          <w:rFonts w:eastAsia="Calibri"/>
          <w:rtl/>
        </w:rPr>
      </w:pPr>
      <w:r w:rsidRPr="00BE1CFE">
        <w:rPr>
          <w:rFonts w:eastAsia="Calibri" w:hint="cs"/>
          <w:sz w:val="18"/>
          <w:rtl/>
        </w:rPr>
        <w:t>חטיבת הסייבר הסדירה בקרה פנימית דו-שלבית,</w:t>
      </w:r>
      <w:r w:rsidRPr="00BE1CFE">
        <w:rPr>
          <w:rFonts w:eastAsia="Calibri" w:hint="cs"/>
          <w:rtl/>
        </w:rPr>
        <w:t xml:space="preserve"> באמצעות </w:t>
      </w:r>
      <w:r w:rsidRPr="00BE1CFE">
        <w:rPr>
          <w:rFonts w:eastAsia="Calibri"/>
          <w:rtl/>
        </w:rPr>
        <w:t>תפקיד</w:t>
      </w:r>
      <w:r w:rsidRPr="00BE1CFE">
        <w:rPr>
          <w:rFonts w:eastAsia="Calibri" w:hint="cs"/>
          <w:rtl/>
        </w:rPr>
        <w:t>ני</w:t>
      </w:r>
      <w:r w:rsidRPr="00BE1CFE">
        <w:rPr>
          <w:rFonts w:eastAsia="Calibri"/>
          <w:rtl/>
        </w:rPr>
        <w:t xml:space="preserve"> </w:t>
      </w:r>
      <w:r w:rsidRPr="00BE1CFE">
        <w:rPr>
          <w:rFonts w:eastAsia="Calibri" w:hint="cs"/>
          <w:rtl/>
        </w:rPr>
        <w:t>ה</w:t>
      </w:r>
      <w:r w:rsidRPr="00BE1CFE">
        <w:rPr>
          <w:rFonts w:eastAsia="Calibri"/>
          <w:rtl/>
        </w:rPr>
        <w:t>מחת"ק</w:t>
      </w:r>
      <w:r w:rsidRPr="00BE1CFE">
        <w:rPr>
          <w:rFonts w:eastAsia="Calibri" w:hint="cs"/>
          <w:sz w:val="18"/>
          <w:rtl/>
        </w:rPr>
        <w:t>, על תהליך</w:t>
      </w:r>
      <w:r w:rsidRPr="00BE1CFE">
        <w:rPr>
          <w:rFonts w:eastAsia="Calibri" w:hint="cs"/>
          <w:rtl/>
        </w:rPr>
        <w:t xml:space="preserve"> הגשת הבקשה לבית המשפט להוצאת צו נתוני תקשורת ועל תהליך הזנת ההחלטה במערכת ניהול צווים.</w:t>
      </w:r>
      <w:r w:rsidRPr="00BE1CFE">
        <w:rPr>
          <w:rFonts w:eastAsia="Calibri"/>
          <w:rtl/>
        </w:rPr>
        <w:t xml:space="preserve"> </w:t>
      </w:r>
      <w:r w:rsidRPr="00BE1CFE">
        <w:rPr>
          <w:rFonts w:eastAsia="Calibri" w:hint="eastAsia"/>
          <w:rtl/>
        </w:rPr>
        <w:t>תפקידן</w:t>
      </w:r>
      <w:r w:rsidRPr="00BE1CFE">
        <w:rPr>
          <w:rFonts w:eastAsia="Calibri"/>
          <w:rtl/>
        </w:rPr>
        <w:t xml:space="preserve"> </w:t>
      </w:r>
      <w:r w:rsidRPr="00BE1CFE">
        <w:rPr>
          <w:rFonts w:eastAsia="Calibri" w:hint="cs"/>
          <w:rtl/>
        </w:rPr>
        <w:t>ה</w:t>
      </w:r>
      <w:r w:rsidRPr="00BE1CFE">
        <w:rPr>
          <w:rFonts w:eastAsia="Calibri" w:hint="eastAsia"/>
          <w:rtl/>
        </w:rPr>
        <w:t>מחת</w:t>
      </w:r>
      <w:r w:rsidRPr="00BE1CFE">
        <w:rPr>
          <w:rFonts w:eastAsia="Calibri"/>
          <w:rtl/>
        </w:rPr>
        <w:t>"</w:t>
      </w:r>
      <w:r w:rsidRPr="00BE1CFE">
        <w:rPr>
          <w:rFonts w:eastAsia="Calibri" w:hint="eastAsia"/>
          <w:rtl/>
        </w:rPr>
        <w:t>ק</w:t>
      </w:r>
      <w:r w:rsidRPr="00BE1CFE">
        <w:rPr>
          <w:rFonts w:eastAsia="Calibri"/>
          <w:rtl/>
        </w:rPr>
        <w:t xml:space="preserve"> </w:t>
      </w:r>
      <w:r w:rsidRPr="00BE1CFE">
        <w:rPr>
          <w:rFonts w:eastAsia="Calibri" w:hint="eastAsia"/>
          <w:rtl/>
        </w:rPr>
        <w:t>מבצע</w:t>
      </w:r>
      <w:r w:rsidRPr="00BE1CFE">
        <w:rPr>
          <w:rFonts w:eastAsia="Calibri"/>
          <w:rtl/>
        </w:rPr>
        <w:t xml:space="preserve"> </w:t>
      </w:r>
      <w:r w:rsidRPr="00BE1CFE">
        <w:rPr>
          <w:rFonts w:eastAsia="Calibri" w:hint="eastAsia"/>
          <w:rtl/>
        </w:rPr>
        <w:t>בקרה</w:t>
      </w:r>
      <w:r w:rsidRPr="00BE1CFE">
        <w:rPr>
          <w:rFonts w:eastAsia="Calibri"/>
          <w:rtl/>
        </w:rPr>
        <w:t xml:space="preserve"> </w:t>
      </w:r>
      <w:r w:rsidRPr="00BE1CFE">
        <w:rPr>
          <w:rFonts w:eastAsia="Calibri" w:hint="eastAsia"/>
          <w:rtl/>
        </w:rPr>
        <w:t>ראשונית</w:t>
      </w:r>
      <w:r w:rsidRPr="00BE1CFE">
        <w:rPr>
          <w:rFonts w:eastAsia="Calibri"/>
          <w:rtl/>
        </w:rPr>
        <w:t xml:space="preserve"> </w:t>
      </w:r>
      <w:r w:rsidRPr="00BE1CFE">
        <w:rPr>
          <w:rFonts w:eastAsia="Calibri" w:hint="eastAsia"/>
          <w:rtl/>
        </w:rPr>
        <w:t>בעת</w:t>
      </w:r>
      <w:r w:rsidRPr="00BE1CFE">
        <w:rPr>
          <w:rFonts w:eastAsia="Calibri"/>
          <w:rtl/>
        </w:rPr>
        <w:t xml:space="preserve"> </w:t>
      </w:r>
      <w:r w:rsidRPr="00BE1CFE">
        <w:rPr>
          <w:rFonts w:eastAsia="Calibri" w:hint="eastAsia"/>
          <w:rtl/>
        </w:rPr>
        <w:t>הכנת</w:t>
      </w:r>
      <w:r w:rsidRPr="00BE1CFE">
        <w:rPr>
          <w:rFonts w:eastAsia="Calibri"/>
          <w:rtl/>
        </w:rPr>
        <w:t xml:space="preserve"> </w:t>
      </w:r>
      <w:r w:rsidRPr="00BE1CFE">
        <w:rPr>
          <w:rFonts w:eastAsia="Calibri" w:hint="eastAsia"/>
          <w:rtl/>
        </w:rPr>
        <w:t>הבקשה</w:t>
      </w:r>
      <w:r w:rsidRPr="00BE1CFE">
        <w:rPr>
          <w:rFonts w:eastAsia="Calibri"/>
          <w:rtl/>
        </w:rPr>
        <w:t xml:space="preserve"> </w:t>
      </w:r>
      <w:r w:rsidRPr="00BE1CFE">
        <w:rPr>
          <w:rFonts w:eastAsia="Calibri" w:hint="eastAsia"/>
          <w:rtl/>
        </w:rPr>
        <w:t>לצו</w:t>
      </w:r>
      <w:r w:rsidRPr="00BE1CFE">
        <w:rPr>
          <w:rFonts w:eastAsia="Calibri"/>
          <w:rtl/>
        </w:rPr>
        <w:t xml:space="preserve"> </w:t>
      </w:r>
      <w:r w:rsidRPr="00BE1CFE">
        <w:rPr>
          <w:rFonts w:eastAsia="Calibri" w:hint="cs"/>
          <w:rtl/>
        </w:rPr>
        <w:t>בית משפט</w:t>
      </w:r>
      <w:r w:rsidRPr="00BE1CFE">
        <w:rPr>
          <w:rFonts w:eastAsia="Calibri"/>
          <w:rtl/>
        </w:rPr>
        <w:t xml:space="preserve">. </w:t>
      </w:r>
      <w:r w:rsidRPr="00BE1CFE">
        <w:rPr>
          <w:rFonts w:eastAsia="Calibri" w:hint="cs"/>
          <w:rtl/>
        </w:rPr>
        <w:t>לאחר קבלת הצו</w:t>
      </w:r>
      <w:r w:rsidRPr="00BE1CFE">
        <w:rPr>
          <w:rFonts w:eastAsia="Calibri"/>
          <w:rtl/>
        </w:rPr>
        <w:t xml:space="preserve"> </w:t>
      </w:r>
      <w:r w:rsidRPr="00BE1CFE">
        <w:rPr>
          <w:rFonts w:eastAsia="Calibri" w:hint="eastAsia"/>
          <w:rtl/>
        </w:rPr>
        <w:t>מתבצע</w:t>
      </w:r>
      <w:r w:rsidRPr="00BE1CFE">
        <w:rPr>
          <w:rFonts w:eastAsia="Calibri"/>
          <w:rtl/>
        </w:rPr>
        <w:t xml:space="preserve"> </w:t>
      </w:r>
      <w:r w:rsidRPr="00BE1CFE">
        <w:rPr>
          <w:rFonts w:eastAsia="Calibri" w:hint="eastAsia"/>
          <w:rtl/>
        </w:rPr>
        <w:t>תהליך</w:t>
      </w:r>
      <w:r w:rsidRPr="00BE1CFE">
        <w:rPr>
          <w:rFonts w:eastAsia="Calibri"/>
          <w:rtl/>
        </w:rPr>
        <w:t xml:space="preserve"> </w:t>
      </w:r>
      <w:r w:rsidRPr="00BE1CFE">
        <w:rPr>
          <w:rFonts w:eastAsia="Calibri" w:hint="eastAsia"/>
          <w:rtl/>
        </w:rPr>
        <w:t>של</w:t>
      </w:r>
      <w:r w:rsidRPr="00BE1CFE">
        <w:rPr>
          <w:rFonts w:eastAsia="Calibri"/>
          <w:rtl/>
        </w:rPr>
        <w:t xml:space="preserve"> </w:t>
      </w:r>
      <w:r w:rsidRPr="00BE1CFE">
        <w:rPr>
          <w:rFonts w:eastAsia="Calibri" w:hint="eastAsia"/>
          <w:rtl/>
        </w:rPr>
        <w:t>בקרה</w:t>
      </w:r>
      <w:r w:rsidRPr="00BE1CFE">
        <w:rPr>
          <w:rFonts w:eastAsia="Calibri"/>
          <w:rtl/>
        </w:rPr>
        <w:t xml:space="preserve"> </w:t>
      </w:r>
      <w:r w:rsidRPr="00BE1CFE">
        <w:rPr>
          <w:rFonts w:eastAsia="Calibri" w:hint="eastAsia"/>
          <w:rtl/>
        </w:rPr>
        <w:t>נוספת</w:t>
      </w:r>
      <w:r w:rsidRPr="00BE1CFE">
        <w:rPr>
          <w:rFonts w:eastAsia="Calibri"/>
          <w:rtl/>
        </w:rPr>
        <w:t xml:space="preserve"> </w:t>
      </w:r>
      <w:r w:rsidRPr="00BE1CFE">
        <w:rPr>
          <w:rFonts w:eastAsia="Calibri" w:hint="cs"/>
          <w:rtl/>
        </w:rPr>
        <w:t>ש</w:t>
      </w:r>
      <w:r w:rsidRPr="00BE1CFE">
        <w:rPr>
          <w:rFonts w:eastAsia="Calibri" w:hint="eastAsia"/>
          <w:rtl/>
        </w:rPr>
        <w:t>בו</w:t>
      </w:r>
      <w:r w:rsidRPr="00BE1CFE">
        <w:rPr>
          <w:rFonts w:eastAsia="Calibri"/>
          <w:rtl/>
        </w:rPr>
        <w:t xml:space="preserve"> </w:t>
      </w:r>
      <w:r w:rsidRPr="00BE1CFE">
        <w:rPr>
          <w:rFonts w:eastAsia="Calibri" w:hint="cs"/>
          <w:rtl/>
        </w:rPr>
        <w:t>ה</w:t>
      </w:r>
      <w:r w:rsidRPr="00BE1CFE">
        <w:rPr>
          <w:rFonts w:eastAsia="Calibri" w:hint="eastAsia"/>
          <w:rtl/>
        </w:rPr>
        <w:t>תפקידן</w:t>
      </w:r>
      <w:r w:rsidRPr="00BE1CFE">
        <w:rPr>
          <w:rFonts w:eastAsia="Calibri"/>
          <w:rtl/>
        </w:rPr>
        <w:t xml:space="preserve"> </w:t>
      </w:r>
      <w:r w:rsidRPr="00BE1CFE">
        <w:rPr>
          <w:rFonts w:eastAsia="Calibri" w:hint="eastAsia"/>
          <w:rtl/>
        </w:rPr>
        <w:t>בוחן</w:t>
      </w:r>
      <w:r w:rsidRPr="00BE1CFE">
        <w:rPr>
          <w:rFonts w:eastAsia="Calibri"/>
          <w:rtl/>
        </w:rPr>
        <w:t xml:space="preserve"> </w:t>
      </w:r>
      <w:r w:rsidRPr="00BE1CFE">
        <w:rPr>
          <w:rFonts w:eastAsia="Calibri" w:hint="eastAsia"/>
          <w:rtl/>
        </w:rPr>
        <w:t>את</w:t>
      </w:r>
      <w:r w:rsidRPr="00BE1CFE">
        <w:rPr>
          <w:rFonts w:eastAsia="Calibri"/>
          <w:rtl/>
        </w:rPr>
        <w:t xml:space="preserve"> </w:t>
      </w:r>
      <w:r w:rsidRPr="00BE1CFE">
        <w:rPr>
          <w:rFonts w:eastAsia="Calibri" w:hint="eastAsia"/>
          <w:rtl/>
        </w:rPr>
        <w:t>החלטת</w:t>
      </w:r>
      <w:r w:rsidRPr="00BE1CFE">
        <w:rPr>
          <w:rFonts w:eastAsia="Calibri"/>
          <w:rtl/>
        </w:rPr>
        <w:t xml:space="preserve"> </w:t>
      </w:r>
      <w:r w:rsidRPr="00BE1CFE">
        <w:rPr>
          <w:rFonts w:eastAsia="Calibri" w:hint="eastAsia"/>
          <w:rtl/>
        </w:rPr>
        <w:t>בי</w:t>
      </w:r>
      <w:r w:rsidRPr="00BE1CFE">
        <w:rPr>
          <w:rFonts w:eastAsia="Calibri" w:hint="cs"/>
          <w:rtl/>
        </w:rPr>
        <w:t>ת המשפט</w:t>
      </w:r>
      <w:r w:rsidRPr="00BE1CFE">
        <w:rPr>
          <w:rFonts w:eastAsia="Calibri"/>
          <w:rtl/>
        </w:rPr>
        <w:t xml:space="preserve"> </w:t>
      </w:r>
      <w:r w:rsidRPr="00BE1CFE">
        <w:rPr>
          <w:rFonts w:eastAsia="Calibri" w:hint="eastAsia"/>
          <w:rtl/>
        </w:rPr>
        <w:t>בטרם</w:t>
      </w:r>
      <w:r w:rsidRPr="00BE1CFE">
        <w:rPr>
          <w:rFonts w:eastAsia="Calibri"/>
          <w:rtl/>
        </w:rPr>
        <w:t xml:space="preserve"> </w:t>
      </w:r>
      <w:r w:rsidRPr="00BE1CFE">
        <w:rPr>
          <w:rFonts w:eastAsia="Calibri" w:hint="eastAsia"/>
          <w:rtl/>
        </w:rPr>
        <w:t>יבצע</w:t>
      </w:r>
      <w:r w:rsidRPr="00BE1CFE">
        <w:rPr>
          <w:rFonts w:eastAsia="Calibri"/>
          <w:rtl/>
        </w:rPr>
        <w:t xml:space="preserve"> </w:t>
      </w:r>
      <w:r w:rsidRPr="00BE1CFE">
        <w:rPr>
          <w:rFonts w:eastAsia="Calibri" w:hint="eastAsia"/>
          <w:rtl/>
        </w:rPr>
        <w:t>את</w:t>
      </w:r>
      <w:r w:rsidRPr="00BE1CFE">
        <w:rPr>
          <w:rFonts w:eastAsia="Calibri"/>
          <w:rtl/>
        </w:rPr>
        <w:t xml:space="preserve"> </w:t>
      </w:r>
      <w:r w:rsidRPr="00BE1CFE">
        <w:rPr>
          <w:rFonts w:eastAsia="Calibri" w:hint="eastAsia"/>
          <w:rtl/>
        </w:rPr>
        <w:t>תהליך</w:t>
      </w:r>
      <w:r w:rsidRPr="00BE1CFE">
        <w:rPr>
          <w:rFonts w:eastAsia="Calibri"/>
          <w:rtl/>
        </w:rPr>
        <w:t xml:space="preserve"> </w:t>
      </w:r>
      <w:r w:rsidRPr="00BE1CFE">
        <w:rPr>
          <w:rFonts w:eastAsia="Calibri" w:hint="eastAsia"/>
          <w:rtl/>
        </w:rPr>
        <w:t>מימוש</w:t>
      </w:r>
      <w:r w:rsidRPr="00BE1CFE">
        <w:rPr>
          <w:rFonts w:eastAsia="Calibri"/>
          <w:rtl/>
        </w:rPr>
        <w:t xml:space="preserve"> </w:t>
      </w:r>
      <w:r w:rsidRPr="00BE1CFE">
        <w:rPr>
          <w:rFonts w:eastAsia="Calibri" w:hint="eastAsia"/>
          <w:rtl/>
        </w:rPr>
        <w:t>נתוני</w:t>
      </w:r>
      <w:r w:rsidRPr="00BE1CFE">
        <w:rPr>
          <w:rFonts w:eastAsia="Calibri"/>
          <w:rtl/>
        </w:rPr>
        <w:t xml:space="preserve"> </w:t>
      </w:r>
      <w:r w:rsidRPr="00BE1CFE">
        <w:rPr>
          <w:rFonts w:eastAsia="Calibri" w:hint="eastAsia"/>
          <w:rtl/>
        </w:rPr>
        <w:t>התקשורת</w:t>
      </w:r>
      <w:r w:rsidRPr="00BE1CFE">
        <w:rPr>
          <w:rFonts w:eastAsia="Calibri"/>
          <w:rtl/>
        </w:rPr>
        <w:t xml:space="preserve"> </w:t>
      </w:r>
      <w:r w:rsidRPr="00BE1CFE">
        <w:rPr>
          <w:rFonts w:eastAsia="Calibri" w:hint="eastAsia"/>
          <w:rtl/>
        </w:rPr>
        <w:t>מול</w:t>
      </w:r>
      <w:r w:rsidRPr="00BE1CFE">
        <w:rPr>
          <w:rFonts w:eastAsia="Calibri"/>
          <w:rtl/>
        </w:rPr>
        <w:t xml:space="preserve"> </w:t>
      </w:r>
      <w:r w:rsidRPr="00BE1CFE">
        <w:rPr>
          <w:rFonts w:eastAsia="Calibri" w:hint="eastAsia"/>
          <w:rtl/>
        </w:rPr>
        <w:t>חברות</w:t>
      </w:r>
      <w:r w:rsidRPr="00BE1CFE">
        <w:rPr>
          <w:rFonts w:eastAsia="Calibri"/>
          <w:rtl/>
        </w:rPr>
        <w:t xml:space="preserve"> </w:t>
      </w:r>
      <w:r w:rsidRPr="00BE1CFE">
        <w:rPr>
          <w:rFonts w:eastAsia="Calibri" w:hint="eastAsia"/>
          <w:rtl/>
        </w:rPr>
        <w:t>התקשורת</w:t>
      </w:r>
      <w:r w:rsidRPr="00BE1CFE">
        <w:rPr>
          <w:rFonts w:eastAsia="Calibri"/>
          <w:rtl/>
        </w:rPr>
        <w:t>.</w:t>
      </w:r>
      <w:r w:rsidRPr="00BE1CFE">
        <w:rPr>
          <w:rFonts w:eastAsia="Calibri" w:hint="cs"/>
          <w:rtl/>
        </w:rPr>
        <w:t xml:space="preserve"> הנחיית העבודה של החטיבה מפרטת את הבדיקות המקצועיות שתפקידן המחת"ק נדרש לבצע לפני שהיחידה מגישה את הבקשה לבית המשפט וגם לאחר קבלת החלטת בית המשפט. הבדיקה המקדימה של התפקידן נועדה </w:t>
      </w:r>
      <w:r w:rsidRPr="00BE1CFE">
        <w:rPr>
          <w:rFonts w:eastAsia="Calibri"/>
          <w:rtl/>
        </w:rPr>
        <w:t>לוודא ש</w:t>
      </w:r>
      <w:r w:rsidRPr="00BE1CFE">
        <w:rPr>
          <w:rFonts w:eastAsia="Calibri" w:hint="cs"/>
          <w:rtl/>
        </w:rPr>
        <w:t xml:space="preserve">באירוע הקונקרטי </w:t>
      </w:r>
      <w:r w:rsidRPr="00BE1CFE">
        <w:rPr>
          <w:rFonts w:eastAsia="Calibri"/>
          <w:rtl/>
        </w:rPr>
        <w:t>מתקיים האיזון המתאים בין הצורך ב</w:t>
      </w:r>
      <w:r w:rsidRPr="00BE1CFE">
        <w:rPr>
          <w:rFonts w:eastAsia="Calibri" w:hint="cs"/>
          <w:rtl/>
        </w:rPr>
        <w:t>קבלת נתוני תקשורת</w:t>
      </w:r>
      <w:r w:rsidRPr="00BE1CFE">
        <w:rPr>
          <w:rFonts w:eastAsia="Calibri"/>
          <w:rtl/>
        </w:rPr>
        <w:t xml:space="preserve"> </w:t>
      </w:r>
      <w:r w:rsidRPr="00BE1CFE">
        <w:rPr>
          <w:rFonts w:eastAsia="Calibri" w:hint="cs"/>
          <w:rtl/>
        </w:rPr>
        <w:t>לשם</w:t>
      </w:r>
      <w:r w:rsidRPr="00BE1CFE">
        <w:rPr>
          <w:rFonts w:eastAsia="Calibri"/>
          <w:rtl/>
        </w:rPr>
        <w:t xml:space="preserve"> טיפול מיטבי ואפקטיבי</w:t>
      </w:r>
      <w:r w:rsidRPr="00BE1CFE">
        <w:rPr>
          <w:rFonts w:eastAsia="Calibri" w:hint="cs"/>
          <w:rtl/>
        </w:rPr>
        <w:t xml:space="preserve"> של המשטרה באירוע</w:t>
      </w:r>
      <w:r w:rsidRPr="00BE1CFE">
        <w:rPr>
          <w:rFonts w:eastAsia="Calibri"/>
          <w:rtl/>
        </w:rPr>
        <w:t xml:space="preserve"> לבין </w:t>
      </w:r>
      <w:r w:rsidRPr="00BE1CFE">
        <w:rPr>
          <w:rFonts w:eastAsia="Calibri" w:hint="cs"/>
          <w:rtl/>
        </w:rPr>
        <w:t xml:space="preserve">הצורך למנוע </w:t>
      </w:r>
      <w:r w:rsidRPr="00BE1CFE">
        <w:rPr>
          <w:rFonts w:eastAsia="Calibri"/>
          <w:rtl/>
        </w:rPr>
        <w:t xml:space="preserve">פגיעה בפרטיות </w:t>
      </w:r>
      <w:r w:rsidRPr="00BE1CFE">
        <w:rPr>
          <w:rFonts w:eastAsia="Calibri" w:hint="cs"/>
          <w:rtl/>
        </w:rPr>
        <w:t>הנגרמת</w:t>
      </w:r>
      <w:r w:rsidRPr="00BE1CFE">
        <w:rPr>
          <w:rFonts w:eastAsia="Calibri"/>
          <w:rtl/>
        </w:rPr>
        <w:t xml:space="preserve"> מעצם קבלת מידע מסוג זה</w:t>
      </w:r>
      <w:r w:rsidRPr="00BE1CFE">
        <w:rPr>
          <w:rFonts w:eastAsia="Calibri" w:hint="cs"/>
          <w:rtl/>
        </w:rPr>
        <w:t>.</w:t>
      </w:r>
    </w:p>
    <w:p w:rsidR="00E46818" w:rsidRPr="00BE1CFE" w:rsidRDefault="00E46818" w:rsidP="00604C3D">
      <w:pPr>
        <w:spacing w:line="269" w:lineRule="auto"/>
        <w:ind w:left="424"/>
        <w:contextualSpacing/>
        <w:rPr>
          <w:rFonts w:eastAsia="Calibri"/>
          <w:rtl/>
        </w:rPr>
      </w:pPr>
    </w:p>
    <w:p w:rsidR="00E46818" w:rsidRDefault="00E46818" w:rsidP="008C598D">
      <w:pPr>
        <w:pStyle w:val="af2"/>
        <w:numPr>
          <w:ilvl w:val="0"/>
          <w:numId w:val="50"/>
        </w:numPr>
        <w:spacing w:line="269" w:lineRule="auto"/>
        <w:ind w:left="423"/>
        <w:rPr>
          <w:rFonts w:eastAsia="Calibri"/>
        </w:rPr>
      </w:pPr>
      <w:r w:rsidRPr="00BE1CFE">
        <w:rPr>
          <w:rFonts w:eastAsia="Times New Roman" w:hint="cs"/>
          <w:bCs/>
          <w:spacing w:val="40"/>
          <w:rtl/>
        </w:rPr>
        <w:t xml:space="preserve">היקפי </w:t>
      </w:r>
      <w:r w:rsidRPr="00071794">
        <w:rPr>
          <w:rStyle w:val="70"/>
          <w:rFonts w:hint="cs"/>
          <w:b/>
          <w:rtl/>
        </w:rPr>
        <w:t>הצווים</w:t>
      </w:r>
      <w:r w:rsidRPr="00BE1CFE">
        <w:rPr>
          <w:rFonts w:eastAsia="Times New Roman" w:hint="cs"/>
          <w:bCs/>
          <w:spacing w:val="40"/>
          <w:rtl/>
        </w:rPr>
        <w:t xml:space="preserve"> השיפוטיים וההיתרים המינהליים</w:t>
      </w:r>
      <w:r w:rsidRPr="00BE1CFE">
        <w:rPr>
          <w:rFonts w:eastAsia="Times New Roman"/>
          <w:b/>
          <w:bCs/>
          <w:spacing w:val="40"/>
          <w:rtl/>
        </w:rPr>
        <w:t>:</w:t>
      </w:r>
      <w:r w:rsidRPr="00BE1CFE">
        <w:rPr>
          <w:rFonts w:eastAsia="Times New Roman" w:hint="cs"/>
          <w:spacing w:val="40"/>
          <w:rtl/>
        </w:rPr>
        <w:t xml:space="preserve"> </w:t>
      </w:r>
      <w:r w:rsidRPr="00BE1CFE">
        <w:rPr>
          <w:rFonts w:eastAsia="Calibri" w:hint="eastAsia"/>
          <w:rtl/>
        </w:rPr>
        <w:t>בשנים</w:t>
      </w:r>
      <w:r w:rsidRPr="00BE1CFE">
        <w:rPr>
          <w:rFonts w:eastAsia="Calibri"/>
          <w:rtl/>
        </w:rPr>
        <w:t xml:space="preserve"> 2017 </w:t>
      </w:r>
      <w:r w:rsidRPr="00BE1CFE">
        <w:rPr>
          <w:rFonts w:eastAsia="Calibri" w:hint="cs"/>
          <w:rtl/>
        </w:rPr>
        <w:t>-</w:t>
      </w:r>
      <w:r w:rsidRPr="00BE1CFE">
        <w:rPr>
          <w:rFonts w:eastAsia="Calibri"/>
          <w:rtl/>
        </w:rPr>
        <w:t xml:space="preserve"> </w:t>
      </w:r>
      <w:r w:rsidRPr="00BE1CFE">
        <w:rPr>
          <w:rFonts w:eastAsia="Calibri" w:hint="cs"/>
          <w:rtl/>
        </w:rPr>
        <w:t>2021 אושרו כ-255,000 צווים שיפוטיים והיתרים מינהליים לקבלת נתוני תקשורת לצורכי המשטרה. בלוח ובתרשים שלהלן מוצגים נתוני המשטרה לגבי היקף הצווים וההיתרים שאושרו במהלך תקופה זו.</w:t>
      </w:r>
    </w:p>
    <w:p w:rsidR="00837D04" w:rsidRPr="00BE1CFE" w:rsidRDefault="00837D04" w:rsidP="00837D04">
      <w:pPr>
        <w:pStyle w:val="af2"/>
        <w:spacing w:line="269" w:lineRule="auto"/>
        <w:ind w:left="423"/>
        <w:rPr>
          <w:rFonts w:eastAsia="Calibri"/>
        </w:rPr>
      </w:pPr>
    </w:p>
    <w:p w:rsidR="00E46818" w:rsidRPr="00BE1CFE" w:rsidRDefault="00E46818" w:rsidP="00604C3D">
      <w:pPr>
        <w:spacing w:line="269" w:lineRule="auto"/>
        <w:ind w:left="424"/>
        <w:contextualSpacing/>
        <w:jc w:val="center"/>
        <w:rPr>
          <w:rFonts w:eastAsia="Calibri"/>
          <w:sz w:val="18"/>
          <w:rtl/>
        </w:rPr>
      </w:pPr>
      <w:r w:rsidRPr="00BE1CFE">
        <w:rPr>
          <w:rFonts w:eastAsia="Calibri" w:hint="cs"/>
          <w:sz w:val="18"/>
          <w:rtl/>
        </w:rPr>
        <w:t>תרשים</w:t>
      </w:r>
      <w:r w:rsidR="00071794">
        <w:rPr>
          <w:rFonts w:eastAsia="Calibri" w:hint="cs"/>
          <w:sz w:val="18"/>
          <w:rtl/>
        </w:rPr>
        <w:t xml:space="preserve"> 17</w:t>
      </w:r>
      <w:r w:rsidRPr="00BE1CFE">
        <w:rPr>
          <w:rFonts w:eastAsia="Calibri" w:hint="cs"/>
          <w:sz w:val="18"/>
          <w:rtl/>
        </w:rPr>
        <w:t xml:space="preserve">: </w:t>
      </w:r>
      <w:r w:rsidRPr="00BE1CFE">
        <w:rPr>
          <w:rFonts w:eastAsia="Calibri" w:hint="cs"/>
          <w:b/>
          <w:bCs/>
          <w:rtl/>
        </w:rPr>
        <w:t>היקף הצווים השיפוטיים וההיתרים המינהליים לקבלת נתוני תקשורת שאושרו, 2017 - 2021</w:t>
      </w:r>
    </w:p>
    <w:p w:rsidR="00E46818" w:rsidRPr="00BE1CFE" w:rsidRDefault="00E46818" w:rsidP="00604C3D">
      <w:pPr>
        <w:spacing w:line="269" w:lineRule="auto"/>
        <w:ind w:left="424"/>
        <w:contextualSpacing/>
        <w:jc w:val="center"/>
        <w:rPr>
          <w:rFonts w:eastAsia="Calibri"/>
          <w:sz w:val="18"/>
          <w:rtl/>
        </w:rPr>
      </w:pPr>
      <w:r w:rsidRPr="00BE1CFE">
        <w:rPr>
          <w:rFonts w:eastAsia="Calibri"/>
          <w:noProof/>
        </w:rPr>
        <w:drawing>
          <wp:inline distT="0" distB="0" distL="0" distR="0" wp14:anchorId="1AE40574" wp14:editId="38B1E618">
            <wp:extent cx="4549775" cy="2479675"/>
            <wp:effectExtent l="0" t="0" r="3175" b="15875"/>
            <wp:docPr id="73" name="תרשים 73">
              <a:extLst xmlns:a="http://schemas.openxmlformats.org/drawingml/2006/main">
                <a:ext uri="{FF2B5EF4-FFF2-40B4-BE49-F238E27FC236}">
                  <a16:creationId xmlns:a16="http://schemas.microsoft.com/office/drawing/2014/main" id="{ED06CFC5-20CB-4119-BFBF-DA5869CBC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6818" w:rsidRPr="00BE1CFE" w:rsidRDefault="00E46818" w:rsidP="00604C3D">
      <w:pPr>
        <w:spacing w:line="269" w:lineRule="auto"/>
        <w:rPr>
          <w:rFonts w:eastAsia="Calibri"/>
          <w:rtl/>
        </w:rPr>
      </w:pPr>
      <w:r w:rsidRPr="00BE1CFE">
        <w:rPr>
          <w:rFonts w:eastAsia="Calibri" w:hint="cs"/>
          <w:sz w:val="14"/>
          <w:szCs w:val="20"/>
          <w:rtl/>
        </w:rPr>
        <w:t>על פי</w:t>
      </w:r>
      <w:r w:rsidRPr="00BE1CFE">
        <w:rPr>
          <w:rFonts w:eastAsia="Calibri"/>
          <w:sz w:val="14"/>
          <w:szCs w:val="20"/>
          <w:rtl/>
        </w:rPr>
        <w:t xml:space="preserve"> </w:t>
      </w:r>
      <w:r w:rsidRPr="00BE1CFE">
        <w:rPr>
          <w:rFonts w:eastAsia="Calibri" w:hint="eastAsia"/>
          <w:sz w:val="14"/>
          <w:szCs w:val="20"/>
          <w:rtl/>
        </w:rPr>
        <w:t>נתוני</w:t>
      </w:r>
      <w:r w:rsidRPr="00BE1CFE">
        <w:rPr>
          <w:rFonts w:eastAsia="Calibri"/>
          <w:sz w:val="14"/>
          <w:szCs w:val="20"/>
          <w:rtl/>
        </w:rPr>
        <w:t xml:space="preserve"> </w:t>
      </w:r>
      <w:r w:rsidRPr="00BE1CFE">
        <w:rPr>
          <w:rFonts w:eastAsia="Calibri" w:hint="cs"/>
          <w:sz w:val="14"/>
          <w:szCs w:val="20"/>
          <w:rtl/>
        </w:rPr>
        <w:t>ה</w:t>
      </w:r>
      <w:r w:rsidRPr="00BE1CFE">
        <w:rPr>
          <w:rFonts w:eastAsia="Calibri" w:hint="eastAsia"/>
          <w:sz w:val="14"/>
          <w:szCs w:val="20"/>
          <w:rtl/>
        </w:rPr>
        <w:t>משטר</w:t>
      </w:r>
      <w:r w:rsidRPr="00BE1CFE">
        <w:rPr>
          <w:rFonts w:eastAsia="Calibri" w:hint="cs"/>
          <w:sz w:val="14"/>
          <w:szCs w:val="20"/>
          <w:rtl/>
        </w:rPr>
        <w:t>ה,</w:t>
      </w:r>
      <w:r w:rsidRPr="00BE1CFE">
        <w:rPr>
          <w:rFonts w:eastAsia="Calibri"/>
          <w:sz w:val="14"/>
          <w:szCs w:val="20"/>
          <w:rtl/>
        </w:rPr>
        <w:t xml:space="preserve"> </w:t>
      </w:r>
      <w:r w:rsidRPr="00BE1CFE">
        <w:rPr>
          <w:rFonts w:eastAsia="Calibri" w:hint="eastAsia"/>
          <w:sz w:val="14"/>
          <w:szCs w:val="20"/>
          <w:rtl/>
        </w:rPr>
        <w:t>בעיבוד</w:t>
      </w:r>
      <w:r w:rsidRPr="00BE1CFE">
        <w:rPr>
          <w:rFonts w:eastAsia="Calibri"/>
          <w:sz w:val="14"/>
          <w:szCs w:val="20"/>
          <w:rtl/>
        </w:rPr>
        <w:t xml:space="preserve"> </w:t>
      </w:r>
      <w:r w:rsidRPr="00BE1CFE">
        <w:rPr>
          <w:rFonts w:eastAsia="Calibri" w:hint="eastAsia"/>
          <w:sz w:val="14"/>
          <w:szCs w:val="20"/>
          <w:rtl/>
        </w:rPr>
        <w:t>משרד</w:t>
      </w:r>
      <w:r w:rsidRPr="00BE1CFE">
        <w:rPr>
          <w:rFonts w:eastAsia="Calibri"/>
          <w:sz w:val="14"/>
          <w:szCs w:val="20"/>
          <w:rtl/>
        </w:rPr>
        <w:t xml:space="preserve"> </w:t>
      </w:r>
      <w:r w:rsidRPr="00BE1CFE">
        <w:rPr>
          <w:rFonts w:eastAsia="Calibri" w:hint="eastAsia"/>
          <w:sz w:val="14"/>
          <w:szCs w:val="20"/>
          <w:rtl/>
        </w:rPr>
        <w:t>מבקר</w:t>
      </w:r>
      <w:r w:rsidRPr="00BE1CFE">
        <w:rPr>
          <w:rFonts w:eastAsia="Calibri"/>
          <w:sz w:val="14"/>
          <w:szCs w:val="20"/>
          <w:rtl/>
        </w:rPr>
        <w:t xml:space="preserve"> </w:t>
      </w:r>
      <w:r w:rsidRPr="00BE1CFE">
        <w:rPr>
          <w:rFonts w:eastAsia="Calibri" w:hint="eastAsia"/>
          <w:sz w:val="14"/>
          <w:szCs w:val="20"/>
          <w:rtl/>
        </w:rPr>
        <w:t>המדינה</w:t>
      </w:r>
      <w:r w:rsidRPr="00BE1CFE">
        <w:rPr>
          <w:rFonts w:eastAsia="Calibri" w:hint="cs"/>
          <w:sz w:val="14"/>
          <w:szCs w:val="20"/>
          <w:rtl/>
        </w:rPr>
        <w:t>.</w:t>
      </w:r>
    </w:p>
    <w:p w:rsidR="00B47E58" w:rsidRDefault="00B47E58" w:rsidP="00604C3D">
      <w:pPr>
        <w:spacing w:line="269" w:lineRule="auto"/>
        <w:ind w:left="-1"/>
        <w:contextualSpacing/>
        <w:rPr>
          <w:rFonts w:eastAsia="Calibri"/>
          <w:szCs w:val="20"/>
          <w:rtl/>
        </w:rPr>
      </w:pPr>
    </w:p>
    <w:p w:rsidR="00E46818" w:rsidRPr="00BE1CFE" w:rsidRDefault="00E46818" w:rsidP="00604C3D">
      <w:pPr>
        <w:spacing w:line="269" w:lineRule="auto"/>
        <w:ind w:left="-1"/>
        <w:contextualSpacing/>
        <w:rPr>
          <w:rFonts w:eastAsia="Calibri"/>
          <w:b/>
          <w:bCs/>
          <w:rtl/>
        </w:rPr>
      </w:pPr>
      <w:r w:rsidRPr="00BE1CFE">
        <w:rPr>
          <w:rFonts w:eastAsia="Calibri" w:hint="cs"/>
          <w:b/>
          <w:bCs/>
          <w:rtl/>
        </w:rPr>
        <w:t>מהתרשים</w:t>
      </w:r>
      <w:r w:rsidRPr="00BE1CFE">
        <w:rPr>
          <w:rFonts w:eastAsia="Calibri"/>
          <w:b/>
          <w:bCs/>
          <w:rtl/>
        </w:rPr>
        <w:t xml:space="preserve"> עולה כי </w:t>
      </w:r>
      <w:bookmarkStart w:id="588" w:name="_Hlk156376421"/>
      <w:r w:rsidRPr="00BE1CFE">
        <w:rPr>
          <w:rFonts w:eastAsia="Calibri" w:hint="cs"/>
          <w:b/>
          <w:bCs/>
          <w:rtl/>
        </w:rPr>
        <w:t>ב</w:t>
      </w:r>
      <w:r w:rsidRPr="00BE1CFE">
        <w:rPr>
          <w:rFonts w:eastAsia="Calibri"/>
          <w:b/>
          <w:bCs/>
          <w:rtl/>
        </w:rPr>
        <w:t>שנים 2017 - 2021 חל גידול מתמיד ב</w:t>
      </w:r>
      <w:r w:rsidRPr="00BE1CFE">
        <w:rPr>
          <w:rFonts w:eastAsia="Calibri" w:hint="cs"/>
          <w:b/>
          <w:bCs/>
          <w:rtl/>
        </w:rPr>
        <w:t xml:space="preserve">סך </w:t>
      </w:r>
      <w:r w:rsidRPr="00BE1CFE">
        <w:rPr>
          <w:rFonts w:eastAsia="Calibri"/>
          <w:b/>
          <w:bCs/>
          <w:rtl/>
        </w:rPr>
        <w:t>היקף הצווים השיפוטיים וההיתרים המינהליים לקבלת נתוני תקשורת שאושרו בכל שנה - סך הכול משנת 2017 עד לשנת 2021 מספר האישורים גדל ב-40% (מ-40,783 אישורים ל-</w:t>
      </w:r>
      <w:r w:rsidRPr="00BE1CFE">
        <w:rPr>
          <w:rFonts w:eastAsia="Calibri" w:hint="cs"/>
          <w:b/>
          <w:bCs/>
          <w:rtl/>
        </w:rPr>
        <w:t>57,283</w:t>
      </w:r>
      <w:r w:rsidRPr="00BE1CFE">
        <w:rPr>
          <w:rFonts w:eastAsia="Calibri"/>
          <w:b/>
          <w:bCs/>
          <w:rtl/>
        </w:rPr>
        <w:t>).</w:t>
      </w:r>
      <w:r w:rsidRPr="00BE1CFE">
        <w:rPr>
          <w:rFonts w:eastAsia="Calibri" w:hint="cs"/>
          <w:b/>
          <w:bCs/>
          <w:rtl/>
        </w:rPr>
        <w:t xml:space="preserve"> כמו כן, לאורך השנים הללו </w:t>
      </w:r>
      <w:r w:rsidRPr="00BE1CFE">
        <w:rPr>
          <w:rFonts w:eastAsia="Calibri" w:hint="eastAsia"/>
          <w:b/>
          <w:bCs/>
          <w:rtl/>
        </w:rPr>
        <w:t>ההיתרים</w:t>
      </w:r>
      <w:r w:rsidRPr="00BE1CFE">
        <w:rPr>
          <w:rFonts w:eastAsia="Calibri"/>
          <w:b/>
          <w:bCs/>
          <w:rtl/>
        </w:rPr>
        <w:t xml:space="preserve"> המ</w:t>
      </w:r>
      <w:r w:rsidRPr="00BE1CFE">
        <w:rPr>
          <w:rFonts w:eastAsia="Calibri" w:hint="cs"/>
          <w:b/>
          <w:bCs/>
          <w:rtl/>
        </w:rPr>
        <w:t>י</w:t>
      </w:r>
      <w:r w:rsidRPr="00BE1CFE">
        <w:rPr>
          <w:rFonts w:eastAsia="Calibri"/>
          <w:b/>
          <w:bCs/>
          <w:rtl/>
        </w:rPr>
        <w:t>נהליים היוו כשליש מסך האישורים לקבלת נתוני תקשורת</w:t>
      </w:r>
      <w:r w:rsidRPr="00BE1CFE">
        <w:rPr>
          <w:rFonts w:eastAsia="Calibri" w:hint="cs"/>
          <w:b/>
          <w:bCs/>
          <w:rtl/>
        </w:rPr>
        <w:t>, ורובם ניתנו למטרת הצלת חיי אדם (ראו להלן)</w:t>
      </w:r>
      <w:r w:rsidRPr="00BE1CFE">
        <w:rPr>
          <w:rFonts w:eastAsia="Calibri"/>
          <w:b/>
          <w:bCs/>
          <w:rtl/>
        </w:rPr>
        <w:t xml:space="preserve">. </w:t>
      </w:r>
      <w:bookmarkEnd w:id="588"/>
    </w:p>
    <w:p w:rsidR="00B47E58" w:rsidRDefault="00B47E58" w:rsidP="00604C3D">
      <w:pPr>
        <w:spacing w:line="269" w:lineRule="auto"/>
        <w:ind w:left="-1"/>
        <w:contextualSpacing/>
        <w:rPr>
          <w:rFonts w:eastAsia="Calibri"/>
          <w:sz w:val="16"/>
          <w:szCs w:val="16"/>
          <w:rtl/>
        </w:rPr>
      </w:pPr>
    </w:p>
    <w:p w:rsidR="00E46818" w:rsidRPr="00BE1CFE" w:rsidRDefault="00E46818" w:rsidP="00604C3D">
      <w:pPr>
        <w:spacing w:line="269" w:lineRule="auto"/>
        <w:ind w:left="-1"/>
        <w:contextualSpacing/>
        <w:rPr>
          <w:rFonts w:eastAsia="Calibri"/>
          <w:rtl/>
        </w:rPr>
      </w:pPr>
      <w:r w:rsidRPr="00BE1CFE">
        <w:rPr>
          <w:rFonts w:eastAsia="Calibri"/>
          <w:rtl/>
        </w:rPr>
        <w:t>המשטרה הסבירה בתשובתה את הגידול בנתונים המפורטים בתרשים</w:t>
      </w:r>
      <w:r w:rsidRPr="00BE1CFE">
        <w:rPr>
          <w:rFonts w:eastAsia="Calibri" w:hint="cs"/>
          <w:rtl/>
        </w:rPr>
        <w:t xml:space="preserve"> בכך שבשנים אלו חל גידול באוכלוסייה וכן חל גידול בהיקף השימוש של עבריינים באמצעי תקשורת. כמו כן </w:t>
      </w:r>
      <w:r>
        <w:rPr>
          <w:rFonts w:eastAsia="Calibri" w:hint="cs"/>
          <w:rtl/>
        </w:rPr>
        <w:t xml:space="preserve">היא </w:t>
      </w:r>
      <w:r w:rsidRPr="00BE1CFE">
        <w:rPr>
          <w:rFonts w:eastAsia="Calibri" w:hint="cs"/>
          <w:rtl/>
        </w:rPr>
        <w:t xml:space="preserve">הסבירה כי </w:t>
      </w:r>
      <w:r w:rsidRPr="00BE1CFE">
        <w:rPr>
          <w:rFonts w:eastAsia="Calibri"/>
          <w:rtl/>
        </w:rPr>
        <w:t>בשנים 2017</w:t>
      </w:r>
      <w:r>
        <w:rPr>
          <w:rFonts w:eastAsia="Calibri" w:hint="cs"/>
          <w:rtl/>
        </w:rPr>
        <w:t xml:space="preserve"> </w:t>
      </w:r>
      <w:r w:rsidRPr="00BE1CFE">
        <w:rPr>
          <w:rFonts w:eastAsia="Calibri" w:hint="cs"/>
          <w:rtl/>
        </w:rPr>
        <w:t>-</w:t>
      </w:r>
      <w:r>
        <w:rPr>
          <w:rFonts w:eastAsia="Calibri" w:hint="cs"/>
          <w:rtl/>
        </w:rPr>
        <w:t xml:space="preserve"> </w:t>
      </w:r>
      <w:r w:rsidRPr="00BE1CFE">
        <w:rPr>
          <w:rFonts w:eastAsia="Calibri"/>
          <w:rtl/>
        </w:rPr>
        <w:t>2021</w:t>
      </w:r>
      <w:r w:rsidRPr="00BE1CFE">
        <w:rPr>
          <w:rFonts w:eastAsia="Calibri" w:hint="cs"/>
          <w:rtl/>
        </w:rPr>
        <w:t xml:space="preserve"> </w:t>
      </w:r>
      <w:r w:rsidRPr="00BE1CFE">
        <w:rPr>
          <w:rFonts w:eastAsia="Calibri"/>
          <w:rtl/>
        </w:rPr>
        <w:t>נפתחו במשטר</w:t>
      </w:r>
      <w:r w:rsidRPr="00BE1CFE">
        <w:rPr>
          <w:rFonts w:eastAsia="Calibri" w:hint="cs"/>
          <w:rtl/>
        </w:rPr>
        <w:t>ה</w:t>
      </w:r>
      <w:r w:rsidRPr="00BE1CFE">
        <w:rPr>
          <w:rFonts w:eastAsia="Calibri"/>
          <w:rtl/>
        </w:rPr>
        <w:t xml:space="preserve"> </w:t>
      </w:r>
      <w:r w:rsidRPr="00BE1CFE">
        <w:rPr>
          <w:rFonts w:eastAsia="Calibri" w:hint="cs"/>
          <w:rtl/>
        </w:rPr>
        <w:t>יותר</w:t>
      </w:r>
      <w:r>
        <w:rPr>
          <w:rFonts w:eastAsia="Calibri" w:hint="cs"/>
          <w:rtl/>
        </w:rPr>
        <w:t xml:space="preserve"> </w:t>
      </w:r>
      <w:r w:rsidRPr="00BE1CFE">
        <w:rPr>
          <w:rFonts w:eastAsia="Calibri"/>
          <w:rtl/>
        </w:rPr>
        <w:t>מ</w:t>
      </w:r>
      <w:r w:rsidRPr="00BE1CFE">
        <w:rPr>
          <w:rFonts w:eastAsia="Calibri" w:hint="cs"/>
          <w:rtl/>
        </w:rPr>
        <w:t>-</w:t>
      </w:r>
      <w:r w:rsidRPr="00BE1CFE">
        <w:rPr>
          <w:rFonts w:eastAsia="Calibri"/>
          <w:rtl/>
        </w:rPr>
        <w:t>1,536,100 תיקי חקירה בעבירות</w:t>
      </w:r>
      <w:r w:rsidRPr="00BE1CFE">
        <w:rPr>
          <w:rFonts w:eastAsia="Calibri" w:hint="cs"/>
          <w:rtl/>
        </w:rPr>
        <w:t xml:space="preserve"> עוון, פשע ופשע חמור, ויש להתייחס להיקף הצווים השיפוטיים וההיתרים המינהליים ביחס לתיקי החקירה שנפתחו בשנים אלו.</w:t>
      </w:r>
    </w:p>
    <w:p w:rsidR="00B47E58" w:rsidRDefault="00B47E58" w:rsidP="00604C3D">
      <w:pPr>
        <w:spacing w:line="269" w:lineRule="auto"/>
        <w:ind w:left="-1"/>
        <w:contextualSpacing/>
        <w:rPr>
          <w:rFonts w:eastAsia="Calibri"/>
          <w:sz w:val="16"/>
          <w:szCs w:val="16"/>
          <w:rtl/>
        </w:rPr>
      </w:pPr>
    </w:p>
    <w:p w:rsidR="00E46818" w:rsidRDefault="00E46818" w:rsidP="00837D04">
      <w:pPr>
        <w:spacing w:line="269" w:lineRule="auto"/>
        <w:ind w:left="-1"/>
        <w:contextualSpacing/>
        <w:rPr>
          <w:rtl/>
        </w:rPr>
      </w:pPr>
      <w:r w:rsidRPr="00BE1CFE">
        <w:rPr>
          <w:rFonts w:eastAsia="Calibri" w:hint="cs"/>
          <w:rtl/>
        </w:rPr>
        <w:t xml:space="preserve">משרד מבקר המדינה מבהיר כי שיעור הגידול באוכלוסייה אינו </w:t>
      </w:r>
      <w:r>
        <w:rPr>
          <w:rFonts w:eastAsia="Calibri" w:hint="cs"/>
          <w:rtl/>
        </w:rPr>
        <w:t>מסביר את הפער</w:t>
      </w:r>
      <w:r w:rsidRPr="00BE1CFE">
        <w:rPr>
          <w:rFonts w:eastAsia="Calibri" w:hint="cs"/>
          <w:rtl/>
        </w:rPr>
        <w:t xml:space="preserve"> כיוון שבאותן שנים שיעור הגידול באוכלוסייה היה כ-7.4%, ואילו שיעור הגידול במספר האישורים היה כ-40%. לעניין מספר תיקי החקירה שציינה המשטרה יובהר כי בהתאם לשנתון הסטטיסטי של המשטרה חל קיטון בשיעור של 5% במספר תיקי החקירה שנפתחו בשנים 2018 - 2022. </w:t>
      </w:r>
    </w:p>
    <w:p w:rsidR="00837D04" w:rsidRPr="00BE1CFE" w:rsidRDefault="00837D04" w:rsidP="00837D04">
      <w:pPr>
        <w:spacing w:line="269" w:lineRule="auto"/>
        <w:ind w:left="-1"/>
        <w:contextualSpacing/>
        <w:rPr>
          <w:rtl/>
        </w:rPr>
      </w:pPr>
    </w:p>
    <w:p w:rsidR="00E46818" w:rsidRPr="00BE1CFE" w:rsidRDefault="00E46818" w:rsidP="00604C3D">
      <w:pPr>
        <w:pStyle w:val="3"/>
        <w:spacing w:before="0" w:line="269" w:lineRule="auto"/>
        <w:rPr>
          <w:rFonts w:eastAsia="Times New Roman"/>
        </w:rPr>
      </w:pPr>
      <w:bookmarkStart w:id="589" w:name="_Toc219286556"/>
      <w:r w:rsidRPr="00BE1CFE">
        <w:rPr>
          <w:rFonts w:eastAsia="Times New Roman" w:hint="cs"/>
          <w:rtl/>
        </w:rPr>
        <w:t>3.2 ההליכים להוצאת צו שיפוטי</w:t>
      </w:r>
      <w:bookmarkEnd w:id="589"/>
      <w:r w:rsidRPr="00BE1CFE">
        <w:rPr>
          <w:rFonts w:eastAsia="Times New Roman" w:hint="cs"/>
          <w:rtl/>
        </w:rPr>
        <w:t xml:space="preserve"> </w:t>
      </w:r>
    </w:p>
    <w:p w:rsidR="00B47E58" w:rsidRDefault="00B47E58" w:rsidP="00604C3D">
      <w:pPr>
        <w:spacing w:line="269" w:lineRule="auto"/>
        <w:contextualSpacing/>
        <w:rPr>
          <w:rFonts w:eastAsia="Calibri"/>
          <w:szCs w:val="20"/>
          <w:rtl/>
        </w:rPr>
      </w:pPr>
    </w:p>
    <w:p w:rsidR="00E46818" w:rsidRPr="00BE1CFE" w:rsidRDefault="00E46818" w:rsidP="00604C3D">
      <w:pPr>
        <w:spacing w:line="269" w:lineRule="auto"/>
        <w:contextualSpacing/>
        <w:rPr>
          <w:rFonts w:eastAsia="Calibri"/>
          <w:sz w:val="18"/>
        </w:rPr>
      </w:pPr>
      <w:r w:rsidRPr="00BE1CFE">
        <w:rPr>
          <w:rFonts w:eastAsia="Calibri" w:hint="cs"/>
          <w:sz w:val="18"/>
          <w:rtl/>
        </w:rPr>
        <w:t>בארבע השנים הראשונות שלאחר כניסת חוק נתוני תקשורת לתוקפו (2008 - 2012) דיווח השר לביטחון הפנים לוועדת החוקה, חוק ומשפט של הכנסת על מספר הבקשות שהגישה המשטרה לבתי המשפט לקבלת נתוני תקשורת, וזאת מכוח הוראת שעה שנקבעה בחוק</w:t>
      </w:r>
      <w:r w:rsidRPr="00BE1CFE">
        <w:rPr>
          <w:rFonts w:eastAsia="Calibri"/>
          <w:sz w:val="18"/>
          <w:vertAlign w:val="superscript"/>
          <w:rtl/>
        </w:rPr>
        <w:footnoteReference w:id="259"/>
      </w:r>
      <w:r w:rsidRPr="00BE1CFE">
        <w:rPr>
          <w:rFonts w:eastAsia="Calibri" w:hint="cs"/>
          <w:sz w:val="18"/>
          <w:rtl/>
        </w:rPr>
        <w:t>. נמצא כי בארבע השנים האמורות חל גידול בשיעור של 83% במספר הבקשות להוצאת צו לקבלת נתוני תקשורת שהוגשו לבתי משפט וקיבלו את אישורם</w:t>
      </w:r>
      <w:r w:rsidRPr="00BE1CFE">
        <w:rPr>
          <w:rFonts w:eastAsia="Calibri"/>
          <w:sz w:val="18"/>
          <w:vertAlign w:val="superscript"/>
          <w:rtl/>
        </w:rPr>
        <w:footnoteReference w:id="260"/>
      </w:r>
      <w:r w:rsidRPr="00BE1CFE">
        <w:rPr>
          <w:rFonts w:eastAsia="Calibri" w:hint="cs"/>
          <w:sz w:val="18"/>
          <w:rtl/>
        </w:rPr>
        <w:t xml:space="preserve">. </w:t>
      </w:r>
    </w:p>
    <w:p w:rsidR="00B47E58" w:rsidRDefault="00B47E58" w:rsidP="00604C3D">
      <w:pPr>
        <w:spacing w:line="269" w:lineRule="auto"/>
        <w:contextualSpacing/>
        <w:rPr>
          <w:rFonts w:eastAsia="Calibri"/>
          <w:szCs w:val="20"/>
          <w:rtl/>
        </w:rPr>
      </w:pPr>
    </w:p>
    <w:p w:rsidR="00E46818" w:rsidRPr="00BE1CFE" w:rsidRDefault="00E46818" w:rsidP="00604C3D">
      <w:pPr>
        <w:spacing w:line="269" w:lineRule="auto"/>
        <w:contextualSpacing/>
        <w:rPr>
          <w:rFonts w:eastAsia="Calibri"/>
          <w:sz w:val="18"/>
          <w:rtl/>
        </w:rPr>
      </w:pPr>
      <w:r w:rsidRPr="00BE1CFE">
        <w:rPr>
          <w:rFonts w:eastAsia="Calibri" w:hint="cs"/>
          <w:sz w:val="18"/>
          <w:rtl/>
        </w:rPr>
        <w:t xml:space="preserve">בלוח שלהלן מוצגים נתוני המשטרה בנושא פילוח הבקשות שהוגשו לבית המשפט לשם הוצאת צו לקבלת נתוני תקשורת בשנים 2017 - 2021. </w:t>
      </w:r>
      <w:r w:rsidRPr="00BE1CFE">
        <w:rPr>
          <w:rFonts w:eastAsia="Calibri"/>
          <w:sz w:val="18"/>
          <w:rtl/>
        </w:rPr>
        <w:t>יצוין כי המשטרה יכולה לנמק את הבקשה לקבלת נתוני תקשורת בכמה עילות שונות הקבועות בחוק,</w:t>
      </w:r>
      <w:r w:rsidRPr="00BE1CFE">
        <w:rPr>
          <w:rFonts w:eastAsia="Calibri" w:hint="cs"/>
          <w:sz w:val="18"/>
          <w:rtl/>
        </w:rPr>
        <w:t xml:space="preserve"> בהתאם למצב העובדתי ופרטי האירוע. </w:t>
      </w:r>
    </w:p>
    <w:p w:rsidR="00B47E58" w:rsidRDefault="00B47E58" w:rsidP="00604C3D">
      <w:pPr>
        <w:spacing w:line="269" w:lineRule="auto"/>
        <w:jc w:val="center"/>
        <w:rPr>
          <w:rFonts w:eastAsia="Calibri"/>
          <w:szCs w:val="20"/>
          <w:rtl/>
        </w:rPr>
      </w:pPr>
      <w:bookmarkStart w:id="590" w:name="_Hlk138608725"/>
    </w:p>
    <w:p w:rsidR="00E46818" w:rsidRPr="008B16BA" w:rsidRDefault="00E46818" w:rsidP="00604C3D">
      <w:pPr>
        <w:spacing w:line="269" w:lineRule="auto"/>
        <w:jc w:val="center"/>
        <w:rPr>
          <w:rFonts w:eastAsia="Calibri"/>
          <w:b/>
          <w:bCs/>
          <w:sz w:val="18"/>
          <w:rtl/>
        </w:rPr>
      </w:pPr>
      <w:r w:rsidRPr="0021269D">
        <w:rPr>
          <w:rFonts w:eastAsia="Calibri" w:hint="eastAsia"/>
          <w:sz w:val="18"/>
          <w:rtl/>
        </w:rPr>
        <w:t>לוח</w:t>
      </w:r>
      <w:r w:rsidRPr="0021269D">
        <w:rPr>
          <w:rFonts w:eastAsia="Calibri" w:hint="cs"/>
          <w:sz w:val="18"/>
          <w:rtl/>
        </w:rPr>
        <w:t xml:space="preserve"> 16:</w:t>
      </w:r>
      <w:r w:rsidRPr="008B16BA">
        <w:rPr>
          <w:rFonts w:eastAsia="Calibri"/>
          <w:b/>
          <w:bCs/>
          <w:sz w:val="18"/>
          <w:rtl/>
        </w:rPr>
        <w:t xml:space="preserve"> </w:t>
      </w:r>
      <w:r w:rsidRPr="008B16BA">
        <w:rPr>
          <w:rFonts w:eastAsia="Calibri" w:hint="eastAsia"/>
          <w:b/>
          <w:bCs/>
          <w:sz w:val="18"/>
          <w:rtl/>
        </w:rPr>
        <w:t>פילוח</w:t>
      </w:r>
      <w:r w:rsidRPr="008B16BA">
        <w:rPr>
          <w:rFonts w:eastAsia="Calibri"/>
          <w:b/>
          <w:bCs/>
          <w:sz w:val="18"/>
          <w:rtl/>
        </w:rPr>
        <w:t xml:space="preserve"> </w:t>
      </w:r>
      <w:r w:rsidRPr="008B16BA">
        <w:rPr>
          <w:rFonts w:eastAsia="Calibri" w:hint="eastAsia"/>
          <w:b/>
          <w:bCs/>
          <w:sz w:val="18"/>
          <w:rtl/>
        </w:rPr>
        <w:t>הבקשות</w:t>
      </w:r>
      <w:r w:rsidRPr="008B16BA">
        <w:rPr>
          <w:rFonts w:eastAsia="Calibri"/>
          <w:b/>
          <w:bCs/>
          <w:sz w:val="18"/>
          <w:rtl/>
        </w:rPr>
        <w:t xml:space="preserve"> </w:t>
      </w:r>
      <w:r w:rsidRPr="008B16BA">
        <w:rPr>
          <w:rFonts w:eastAsia="Calibri" w:hint="eastAsia"/>
          <w:b/>
          <w:bCs/>
          <w:sz w:val="18"/>
          <w:rtl/>
        </w:rPr>
        <w:t>לבתי</w:t>
      </w:r>
      <w:r w:rsidRPr="008B16BA">
        <w:rPr>
          <w:rFonts w:eastAsia="Calibri"/>
          <w:b/>
          <w:bCs/>
          <w:sz w:val="18"/>
          <w:rtl/>
        </w:rPr>
        <w:t xml:space="preserve"> </w:t>
      </w:r>
      <w:r w:rsidRPr="008B16BA">
        <w:rPr>
          <w:rFonts w:eastAsia="Calibri" w:hint="eastAsia"/>
          <w:b/>
          <w:bCs/>
          <w:sz w:val="18"/>
          <w:rtl/>
        </w:rPr>
        <w:t>המשפט</w:t>
      </w:r>
      <w:r w:rsidRPr="008B16BA">
        <w:rPr>
          <w:rFonts w:eastAsia="Calibri" w:hint="cs"/>
          <w:b/>
          <w:bCs/>
          <w:sz w:val="18"/>
          <w:rtl/>
        </w:rPr>
        <w:t xml:space="preserve"> להוצאת צו לקבלת נתוני תקשורת, </w:t>
      </w:r>
      <w:r w:rsidRPr="008B16BA">
        <w:rPr>
          <w:b/>
          <w:bCs/>
          <w:rtl/>
        </w:rPr>
        <w:t>לפי מטרותיהן וסטטוס הטיפול בהן,</w:t>
      </w:r>
      <w:r>
        <w:rPr>
          <w:b/>
          <w:bCs/>
          <w:rtl/>
        </w:rPr>
        <w:t xml:space="preserve"> </w:t>
      </w:r>
      <w:r w:rsidRPr="008B16BA">
        <w:rPr>
          <w:rFonts w:eastAsia="Calibri"/>
          <w:b/>
          <w:bCs/>
          <w:sz w:val="18"/>
          <w:rtl/>
        </w:rPr>
        <w:t>201</w:t>
      </w:r>
      <w:r w:rsidRPr="008B16BA">
        <w:rPr>
          <w:rFonts w:eastAsia="Calibri" w:hint="cs"/>
          <w:b/>
          <w:bCs/>
          <w:sz w:val="18"/>
          <w:rtl/>
        </w:rPr>
        <w:t>7</w:t>
      </w:r>
      <w:r w:rsidRPr="008B16BA">
        <w:rPr>
          <w:rFonts w:eastAsia="Calibri"/>
          <w:b/>
          <w:bCs/>
          <w:sz w:val="18"/>
          <w:rtl/>
        </w:rPr>
        <w:t xml:space="preserve"> - </w:t>
      </w:r>
      <w:r w:rsidRPr="008B16BA">
        <w:rPr>
          <w:rFonts w:eastAsia="Calibri" w:hint="cs"/>
          <w:b/>
          <w:bCs/>
          <w:sz w:val="18"/>
          <w:rtl/>
        </w:rPr>
        <w:t>2021</w:t>
      </w:r>
    </w:p>
    <w:tbl>
      <w:tblPr>
        <w:tblStyle w:val="afc"/>
        <w:bidiVisual/>
        <w:tblW w:w="8351" w:type="dxa"/>
        <w:jc w:val="center"/>
        <w:tblLook w:val="04A0" w:firstRow="1" w:lastRow="0" w:firstColumn="1" w:lastColumn="0" w:noHBand="0" w:noVBand="1"/>
      </w:tblPr>
      <w:tblGrid>
        <w:gridCol w:w="2830"/>
        <w:gridCol w:w="1134"/>
        <w:gridCol w:w="1134"/>
        <w:gridCol w:w="993"/>
        <w:gridCol w:w="1134"/>
        <w:gridCol w:w="1126"/>
      </w:tblGrid>
      <w:tr w:rsidR="00E46818" w:rsidRPr="003C04C6" w:rsidTr="00E552D6">
        <w:trPr>
          <w:jc w:val="center"/>
        </w:trPr>
        <w:tc>
          <w:tcPr>
            <w:tcW w:w="2830" w:type="dxa"/>
            <w:tcBorders>
              <w:top w:val="single" w:sz="4" w:space="0" w:color="auto"/>
              <w:left w:val="single" w:sz="4" w:space="0" w:color="auto"/>
              <w:bottom w:val="single" w:sz="12" w:space="0" w:color="auto"/>
              <w:right w:val="single" w:sz="4" w:space="0" w:color="auto"/>
            </w:tcBorders>
            <w:shd w:val="clear" w:color="auto" w:fill="D9D9D9"/>
          </w:tcPr>
          <w:p w:rsidR="00E46818" w:rsidRPr="003C04C6" w:rsidRDefault="00E46818" w:rsidP="00604C3D">
            <w:pPr>
              <w:spacing w:line="269" w:lineRule="auto"/>
              <w:rPr>
                <w:rFonts w:eastAsia="Calibri"/>
                <w:b/>
                <w:bCs/>
                <w:sz w:val="18"/>
                <w:rtl/>
              </w:rPr>
            </w:pPr>
          </w:p>
        </w:tc>
        <w:tc>
          <w:tcPr>
            <w:tcW w:w="1134" w:type="dxa"/>
            <w:tcBorders>
              <w:top w:val="single" w:sz="4" w:space="0" w:color="auto"/>
              <w:left w:val="single" w:sz="4" w:space="0" w:color="auto"/>
              <w:bottom w:val="single" w:sz="12" w:space="0" w:color="auto"/>
              <w:right w:val="single" w:sz="4" w:space="0" w:color="auto"/>
            </w:tcBorders>
            <w:shd w:val="clear" w:color="auto" w:fill="D9D9D9"/>
          </w:tcPr>
          <w:p w:rsidR="00E46818" w:rsidRPr="003C04C6" w:rsidRDefault="00E46818" w:rsidP="00604C3D">
            <w:pPr>
              <w:spacing w:line="269" w:lineRule="auto"/>
              <w:jc w:val="center"/>
              <w:rPr>
                <w:rFonts w:eastAsia="Calibri"/>
                <w:b/>
                <w:bCs/>
                <w:sz w:val="18"/>
                <w:rtl/>
              </w:rPr>
            </w:pPr>
            <w:r w:rsidRPr="003C04C6">
              <w:rPr>
                <w:rFonts w:eastAsia="Calibri" w:hint="cs"/>
                <w:b/>
                <w:bCs/>
                <w:sz w:val="18"/>
                <w:rtl/>
              </w:rPr>
              <w:t>2017</w:t>
            </w:r>
          </w:p>
        </w:tc>
        <w:tc>
          <w:tcPr>
            <w:tcW w:w="1134" w:type="dxa"/>
            <w:tcBorders>
              <w:top w:val="single" w:sz="4" w:space="0" w:color="auto"/>
              <w:left w:val="single" w:sz="4" w:space="0" w:color="auto"/>
              <w:bottom w:val="single" w:sz="12" w:space="0" w:color="auto"/>
              <w:right w:val="single" w:sz="4" w:space="0" w:color="auto"/>
            </w:tcBorders>
            <w:shd w:val="clear" w:color="auto" w:fill="D9D9D9"/>
          </w:tcPr>
          <w:p w:rsidR="00E46818" w:rsidRPr="003C04C6" w:rsidRDefault="00E46818" w:rsidP="00604C3D">
            <w:pPr>
              <w:spacing w:line="269" w:lineRule="auto"/>
              <w:jc w:val="center"/>
              <w:rPr>
                <w:rFonts w:eastAsia="Calibri"/>
                <w:b/>
                <w:bCs/>
                <w:sz w:val="18"/>
                <w:rtl/>
              </w:rPr>
            </w:pPr>
            <w:r w:rsidRPr="003C04C6">
              <w:rPr>
                <w:rFonts w:eastAsia="Calibri" w:hint="cs"/>
                <w:b/>
                <w:bCs/>
                <w:sz w:val="18"/>
                <w:rtl/>
              </w:rPr>
              <w:t>2018</w:t>
            </w:r>
          </w:p>
        </w:tc>
        <w:tc>
          <w:tcPr>
            <w:tcW w:w="993" w:type="dxa"/>
            <w:tcBorders>
              <w:top w:val="single" w:sz="4" w:space="0" w:color="auto"/>
              <w:left w:val="single" w:sz="4" w:space="0" w:color="auto"/>
              <w:bottom w:val="single" w:sz="12" w:space="0" w:color="auto"/>
              <w:right w:val="single" w:sz="4" w:space="0" w:color="auto"/>
            </w:tcBorders>
            <w:shd w:val="clear" w:color="auto" w:fill="D9D9D9"/>
          </w:tcPr>
          <w:p w:rsidR="00E46818" w:rsidRPr="003C04C6" w:rsidRDefault="00E46818" w:rsidP="00604C3D">
            <w:pPr>
              <w:spacing w:line="269" w:lineRule="auto"/>
              <w:jc w:val="center"/>
              <w:rPr>
                <w:rFonts w:eastAsia="Calibri"/>
                <w:b/>
                <w:bCs/>
                <w:sz w:val="18"/>
                <w:rtl/>
              </w:rPr>
            </w:pPr>
            <w:r w:rsidRPr="003C04C6">
              <w:rPr>
                <w:rFonts w:eastAsia="Calibri" w:hint="cs"/>
                <w:b/>
                <w:bCs/>
                <w:sz w:val="18"/>
                <w:rtl/>
              </w:rPr>
              <w:t>2019</w:t>
            </w:r>
          </w:p>
        </w:tc>
        <w:tc>
          <w:tcPr>
            <w:tcW w:w="1134" w:type="dxa"/>
            <w:tcBorders>
              <w:top w:val="single" w:sz="4" w:space="0" w:color="auto"/>
              <w:left w:val="single" w:sz="4" w:space="0" w:color="auto"/>
              <w:bottom w:val="single" w:sz="12" w:space="0" w:color="auto"/>
              <w:right w:val="single" w:sz="4"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18"/>
                <w:rtl/>
              </w:rPr>
              <w:t>20</w:t>
            </w:r>
            <w:r w:rsidRPr="003C04C6">
              <w:rPr>
                <w:rFonts w:eastAsia="Calibri" w:hint="cs"/>
                <w:b/>
                <w:bCs/>
                <w:sz w:val="22"/>
                <w:szCs w:val="22"/>
                <w:rtl/>
              </w:rPr>
              <w:t>20</w:t>
            </w:r>
          </w:p>
        </w:tc>
        <w:tc>
          <w:tcPr>
            <w:tcW w:w="1126" w:type="dxa"/>
            <w:tcBorders>
              <w:top w:val="single" w:sz="4" w:space="0" w:color="auto"/>
              <w:left w:val="single" w:sz="4" w:space="0" w:color="auto"/>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2021</w:t>
            </w:r>
          </w:p>
        </w:tc>
      </w:tr>
      <w:tr w:rsidR="00E46818" w:rsidRPr="003C04C6" w:rsidTr="00E552D6">
        <w:trPr>
          <w:jc w:val="center"/>
        </w:trPr>
        <w:tc>
          <w:tcPr>
            <w:tcW w:w="2830" w:type="dxa"/>
            <w:tcBorders>
              <w:top w:val="single" w:sz="12" w:space="0" w:color="auto"/>
              <w:left w:val="single" w:sz="4" w:space="0" w:color="auto"/>
              <w:bottom w:val="single" w:sz="4"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 xml:space="preserve">מספר הבקשות לצו בית משפט שהוגשו </w:t>
            </w:r>
          </w:p>
        </w:tc>
        <w:tc>
          <w:tcPr>
            <w:tcW w:w="1134" w:type="dxa"/>
            <w:tcBorders>
              <w:top w:val="single" w:sz="12" w:space="0" w:color="auto"/>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27,076</w:t>
            </w:r>
          </w:p>
        </w:tc>
        <w:tc>
          <w:tcPr>
            <w:tcW w:w="1134"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31,852</w:t>
            </w:r>
          </w:p>
        </w:tc>
        <w:tc>
          <w:tcPr>
            <w:tcW w:w="993"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36,607</w:t>
            </w:r>
          </w:p>
        </w:tc>
        <w:tc>
          <w:tcPr>
            <w:tcW w:w="1134"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40,677</w:t>
            </w:r>
          </w:p>
        </w:tc>
        <w:tc>
          <w:tcPr>
            <w:tcW w:w="1126"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ascii="David" w:eastAsia="Calibri" w:hAnsi="David"/>
                <w:color w:val="000000"/>
                <w:sz w:val="22"/>
                <w:szCs w:val="22"/>
                <w:rtl/>
              </w:rPr>
              <w:t>41,442</w:t>
            </w:r>
          </w:p>
        </w:tc>
      </w:tr>
      <w:tr w:rsidR="00E46818" w:rsidRPr="003C04C6" w:rsidTr="00E552D6">
        <w:trPr>
          <w:jc w:val="center"/>
        </w:trPr>
        <w:tc>
          <w:tcPr>
            <w:tcW w:w="2830" w:type="dxa"/>
            <w:tcBorders>
              <w:top w:val="single" w:sz="4" w:space="0" w:color="auto"/>
              <w:left w:val="single" w:sz="4" w:space="0" w:color="auto"/>
              <w:bottom w:val="single" w:sz="4"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מספר הבקשות לצו בית משפט שאושרו</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27,033</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31,714</w:t>
            </w:r>
          </w:p>
        </w:tc>
        <w:tc>
          <w:tcPr>
            <w:tcW w:w="993"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36,443</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40,502</w:t>
            </w:r>
          </w:p>
        </w:tc>
        <w:tc>
          <w:tcPr>
            <w:tcW w:w="1126" w:type="dxa"/>
            <w:vAlign w:val="center"/>
          </w:tcPr>
          <w:p w:rsidR="00E46818" w:rsidRPr="003C04C6" w:rsidRDefault="00E46818" w:rsidP="00604C3D">
            <w:pPr>
              <w:spacing w:line="269" w:lineRule="auto"/>
              <w:jc w:val="left"/>
              <w:rPr>
                <w:rFonts w:eastAsia="Calibri"/>
                <w:sz w:val="22"/>
                <w:szCs w:val="22"/>
                <w:rtl/>
              </w:rPr>
            </w:pPr>
            <w:r w:rsidRPr="003C04C6">
              <w:rPr>
                <w:rFonts w:ascii="David" w:eastAsia="Calibri" w:hAnsi="David"/>
                <w:color w:val="000000"/>
                <w:sz w:val="22"/>
                <w:szCs w:val="22"/>
                <w:rtl/>
              </w:rPr>
              <w:t>41,207</w:t>
            </w:r>
          </w:p>
        </w:tc>
      </w:tr>
      <w:tr w:rsidR="00E46818" w:rsidRPr="003C04C6" w:rsidTr="00E552D6">
        <w:trPr>
          <w:jc w:val="center"/>
        </w:trPr>
        <w:tc>
          <w:tcPr>
            <w:tcW w:w="2830" w:type="dxa"/>
            <w:tcBorders>
              <w:top w:val="single" w:sz="4" w:space="0" w:color="auto"/>
              <w:left w:val="single" w:sz="4" w:space="0" w:color="auto"/>
              <w:bottom w:val="single" w:sz="4"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מספר הבקשות לצו בית משפט שנדחו</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43</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138</w:t>
            </w:r>
          </w:p>
        </w:tc>
        <w:tc>
          <w:tcPr>
            <w:tcW w:w="993"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164</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175</w:t>
            </w:r>
          </w:p>
        </w:tc>
        <w:tc>
          <w:tcPr>
            <w:tcW w:w="1126" w:type="dxa"/>
            <w:vAlign w:val="center"/>
          </w:tcPr>
          <w:p w:rsidR="00E46818" w:rsidRPr="003C04C6" w:rsidRDefault="00E46818" w:rsidP="00604C3D">
            <w:pPr>
              <w:spacing w:line="269" w:lineRule="auto"/>
              <w:jc w:val="left"/>
              <w:rPr>
                <w:rFonts w:eastAsia="Calibri"/>
                <w:sz w:val="22"/>
                <w:szCs w:val="22"/>
                <w:rtl/>
              </w:rPr>
            </w:pPr>
            <w:r w:rsidRPr="003C04C6">
              <w:rPr>
                <w:rFonts w:ascii="David" w:eastAsia="Calibri" w:hAnsi="David"/>
                <w:color w:val="000000"/>
                <w:sz w:val="22"/>
                <w:szCs w:val="22"/>
                <w:rtl/>
              </w:rPr>
              <w:t>235</w:t>
            </w:r>
          </w:p>
        </w:tc>
      </w:tr>
      <w:tr w:rsidR="00E46818" w:rsidRPr="003C04C6" w:rsidTr="00E552D6">
        <w:trPr>
          <w:jc w:val="center"/>
        </w:trPr>
        <w:tc>
          <w:tcPr>
            <w:tcW w:w="2830" w:type="dxa"/>
            <w:tcBorders>
              <w:top w:val="single" w:sz="4" w:space="0" w:color="auto"/>
              <w:left w:val="single" w:sz="4" w:space="0" w:color="auto"/>
              <w:bottom w:val="single" w:sz="4"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בקשות שהוגשו לצורך הצלת חיי אדם</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1,023</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1,321</w:t>
            </w:r>
          </w:p>
        </w:tc>
        <w:tc>
          <w:tcPr>
            <w:tcW w:w="993"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2,373</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3,014</w:t>
            </w:r>
          </w:p>
        </w:tc>
        <w:tc>
          <w:tcPr>
            <w:tcW w:w="1126" w:type="dxa"/>
            <w:vAlign w:val="center"/>
          </w:tcPr>
          <w:p w:rsidR="00E46818" w:rsidRPr="003C04C6" w:rsidRDefault="00E46818" w:rsidP="00604C3D">
            <w:pPr>
              <w:spacing w:line="269" w:lineRule="auto"/>
              <w:jc w:val="left"/>
              <w:rPr>
                <w:rFonts w:eastAsia="Calibri"/>
                <w:sz w:val="22"/>
                <w:szCs w:val="22"/>
                <w:rtl/>
              </w:rPr>
            </w:pPr>
            <w:r w:rsidRPr="003C04C6">
              <w:rPr>
                <w:rFonts w:ascii="David" w:eastAsia="Calibri" w:hAnsi="David"/>
                <w:color w:val="000000"/>
                <w:sz w:val="22"/>
                <w:szCs w:val="22"/>
                <w:rtl/>
              </w:rPr>
              <w:t>3,649</w:t>
            </w:r>
          </w:p>
        </w:tc>
      </w:tr>
      <w:tr w:rsidR="00E46818" w:rsidRPr="003C04C6" w:rsidTr="00E552D6">
        <w:trPr>
          <w:jc w:val="center"/>
        </w:trPr>
        <w:tc>
          <w:tcPr>
            <w:tcW w:w="2830" w:type="dxa"/>
            <w:tcBorders>
              <w:top w:val="single" w:sz="4" w:space="0" w:color="auto"/>
              <w:left w:val="single" w:sz="4" w:space="0" w:color="auto"/>
              <w:bottom w:val="single" w:sz="4"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בקשות שהוגשו לצורך גילוי עבריינים וחקירת עבירות</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26,563</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31,190</w:t>
            </w:r>
          </w:p>
        </w:tc>
        <w:tc>
          <w:tcPr>
            <w:tcW w:w="993"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35,696</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39,864</w:t>
            </w:r>
          </w:p>
        </w:tc>
        <w:tc>
          <w:tcPr>
            <w:tcW w:w="1126" w:type="dxa"/>
            <w:vAlign w:val="center"/>
          </w:tcPr>
          <w:p w:rsidR="00E46818" w:rsidRPr="003C04C6" w:rsidRDefault="00E46818" w:rsidP="00604C3D">
            <w:pPr>
              <w:spacing w:line="269" w:lineRule="auto"/>
              <w:jc w:val="left"/>
              <w:rPr>
                <w:rFonts w:eastAsia="Calibri"/>
                <w:sz w:val="22"/>
                <w:szCs w:val="22"/>
                <w:rtl/>
              </w:rPr>
            </w:pPr>
            <w:r w:rsidRPr="003C04C6">
              <w:rPr>
                <w:rFonts w:ascii="David" w:eastAsia="Calibri" w:hAnsi="David"/>
                <w:color w:val="000000"/>
                <w:sz w:val="22"/>
                <w:szCs w:val="22"/>
                <w:rtl/>
              </w:rPr>
              <w:t>40,485</w:t>
            </w:r>
          </w:p>
        </w:tc>
      </w:tr>
      <w:tr w:rsidR="00E46818" w:rsidRPr="003C04C6" w:rsidTr="00E552D6">
        <w:trPr>
          <w:jc w:val="center"/>
        </w:trPr>
        <w:tc>
          <w:tcPr>
            <w:tcW w:w="2830" w:type="dxa"/>
            <w:tcBorders>
              <w:top w:val="single" w:sz="4" w:space="0" w:color="auto"/>
              <w:left w:val="single" w:sz="4" w:space="0" w:color="auto"/>
              <w:bottom w:val="single" w:sz="4"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בקשות שהוגשו לצורך חילוט רכוש</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392</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674</w:t>
            </w:r>
          </w:p>
        </w:tc>
        <w:tc>
          <w:tcPr>
            <w:tcW w:w="993"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2,408</w:t>
            </w:r>
          </w:p>
        </w:tc>
        <w:tc>
          <w:tcPr>
            <w:tcW w:w="1134"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3,241</w:t>
            </w:r>
          </w:p>
        </w:tc>
        <w:tc>
          <w:tcPr>
            <w:tcW w:w="1126" w:type="dxa"/>
            <w:vAlign w:val="center"/>
          </w:tcPr>
          <w:p w:rsidR="00E46818" w:rsidRPr="003C04C6" w:rsidRDefault="00E46818" w:rsidP="00604C3D">
            <w:pPr>
              <w:spacing w:line="269" w:lineRule="auto"/>
              <w:jc w:val="left"/>
              <w:rPr>
                <w:rFonts w:eastAsia="Calibri"/>
                <w:sz w:val="22"/>
                <w:szCs w:val="22"/>
                <w:rtl/>
              </w:rPr>
            </w:pPr>
            <w:r w:rsidRPr="003C04C6">
              <w:rPr>
                <w:rFonts w:ascii="David" w:eastAsia="Calibri" w:hAnsi="David"/>
                <w:color w:val="000000"/>
                <w:sz w:val="22"/>
                <w:szCs w:val="22"/>
                <w:rtl/>
              </w:rPr>
              <w:t>3,494</w:t>
            </w:r>
          </w:p>
        </w:tc>
      </w:tr>
    </w:tbl>
    <w:p w:rsidR="00E46818" w:rsidRPr="00BE1CFE" w:rsidRDefault="00E46818" w:rsidP="00604C3D">
      <w:pPr>
        <w:spacing w:line="269" w:lineRule="auto"/>
        <w:rPr>
          <w:rFonts w:eastAsia="Calibri"/>
          <w:b/>
          <w:bCs/>
          <w:rtl/>
        </w:rPr>
      </w:pPr>
      <w:r w:rsidRPr="00BE1CFE">
        <w:rPr>
          <w:rFonts w:eastAsia="Calibri" w:hint="cs"/>
          <w:szCs w:val="20"/>
          <w:rtl/>
        </w:rPr>
        <w:t>על</w:t>
      </w:r>
      <w:r w:rsidRPr="00BE1CFE">
        <w:rPr>
          <w:rFonts w:eastAsia="Calibri"/>
          <w:szCs w:val="20"/>
          <w:rtl/>
        </w:rPr>
        <w:t xml:space="preserve"> </w:t>
      </w:r>
      <w:r w:rsidRPr="00BE1CFE">
        <w:rPr>
          <w:rFonts w:eastAsia="Calibri" w:hint="cs"/>
          <w:szCs w:val="20"/>
          <w:rtl/>
        </w:rPr>
        <w:t>פי</w:t>
      </w:r>
      <w:r w:rsidRPr="00BE1CFE">
        <w:rPr>
          <w:rFonts w:eastAsia="Calibri"/>
          <w:szCs w:val="20"/>
          <w:rtl/>
        </w:rPr>
        <w:t xml:space="preserve"> </w:t>
      </w:r>
      <w:r w:rsidRPr="00BE1CFE">
        <w:rPr>
          <w:rFonts w:eastAsia="Calibri" w:hint="cs"/>
          <w:szCs w:val="20"/>
          <w:rtl/>
        </w:rPr>
        <w:t>נתוני</w:t>
      </w:r>
      <w:r w:rsidRPr="00BE1CFE">
        <w:rPr>
          <w:rFonts w:eastAsia="Calibri"/>
          <w:szCs w:val="20"/>
          <w:rtl/>
        </w:rPr>
        <w:t xml:space="preserve"> </w:t>
      </w:r>
      <w:r w:rsidRPr="00BE1CFE">
        <w:rPr>
          <w:rFonts w:eastAsia="Calibri" w:hint="cs"/>
          <w:szCs w:val="20"/>
          <w:rtl/>
        </w:rPr>
        <w:t>המשטרה,</w:t>
      </w:r>
      <w:r w:rsidRPr="00BE1CFE">
        <w:rPr>
          <w:rFonts w:eastAsia="Calibri"/>
          <w:szCs w:val="20"/>
          <w:rtl/>
        </w:rPr>
        <w:t xml:space="preserve"> </w:t>
      </w:r>
      <w:r w:rsidRPr="00BE1CFE">
        <w:rPr>
          <w:rFonts w:eastAsia="Calibri" w:hint="cs"/>
          <w:szCs w:val="20"/>
          <w:rtl/>
        </w:rPr>
        <w:t>בעיבוד</w:t>
      </w:r>
      <w:r w:rsidRPr="00BE1CFE">
        <w:rPr>
          <w:rFonts w:eastAsia="Calibri"/>
          <w:szCs w:val="20"/>
          <w:rtl/>
        </w:rPr>
        <w:t xml:space="preserve"> </w:t>
      </w:r>
      <w:r w:rsidRPr="00BE1CFE">
        <w:rPr>
          <w:rFonts w:eastAsia="Calibri" w:hint="cs"/>
          <w:szCs w:val="20"/>
          <w:rtl/>
        </w:rPr>
        <w:t>משרד</w:t>
      </w:r>
      <w:r w:rsidRPr="00BE1CFE">
        <w:rPr>
          <w:rFonts w:eastAsia="Calibri"/>
          <w:szCs w:val="20"/>
          <w:rtl/>
        </w:rPr>
        <w:t xml:space="preserve"> </w:t>
      </w:r>
      <w:r w:rsidRPr="00BE1CFE">
        <w:rPr>
          <w:rFonts w:eastAsia="Calibri" w:hint="cs"/>
          <w:szCs w:val="20"/>
          <w:rtl/>
        </w:rPr>
        <w:t>מבקר</w:t>
      </w:r>
      <w:r w:rsidRPr="00BE1CFE">
        <w:rPr>
          <w:rFonts w:eastAsia="Calibri"/>
          <w:szCs w:val="20"/>
          <w:rtl/>
        </w:rPr>
        <w:t xml:space="preserve"> </w:t>
      </w:r>
      <w:r w:rsidRPr="00BE1CFE">
        <w:rPr>
          <w:rFonts w:eastAsia="Calibri" w:hint="cs"/>
          <w:szCs w:val="20"/>
          <w:rtl/>
        </w:rPr>
        <w:t>המדינה</w:t>
      </w:r>
      <w:r w:rsidRPr="00BE1CFE">
        <w:rPr>
          <w:rFonts w:eastAsia="Calibri" w:hint="cs"/>
          <w:rtl/>
        </w:rPr>
        <w:t>.</w:t>
      </w:r>
    </w:p>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b/>
          <w:bCs/>
          <w:sz w:val="18"/>
          <w:rtl/>
        </w:rPr>
      </w:pPr>
      <w:r w:rsidRPr="00BE1CFE">
        <w:rPr>
          <w:rFonts w:eastAsia="Calibri" w:hint="eastAsia"/>
          <w:b/>
          <w:bCs/>
          <w:sz w:val="18"/>
          <w:rtl/>
        </w:rPr>
        <w:t>מהלוח</w:t>
      </w:r>
      <w:r w:rsidRPr="00BE1CFE">
        <w:rPr>
          <w:rFonts w:eastAsia="Calibri"/>
          <w:b/>
          <w:bCs/>
          <w:sz w:val="18"/>
          <w:rtl/>
        </w:rPr>
        <w:t xml:space="preserve"> עולה כי </w:t>
      </w:r>
      <w:r w:rsidRPr="00BE1CFE">
        <w:rPr>
          <w:rFonts w:eastAsia="Calibri" w:hint="eastAsia"/>
          <w:b/>
          <w:bCs/>
          <w:sz w:val="18"/>
          <w:rtl/>
        </w:rPr>
        <w:t>בשנים</w:t>
      </w:r>
      <w:r w:rsidRPr="00BE1CFE">
        <w:rPr>
          <w:rFonts w:eastAsia="Calibri"/>
          <w:b/>
          <w:bCs/>
          <w:sz w:val="18"/>
          <w:rtl/>
        </w:rPr>
        <w:t xml:space="preserve"> 2017 </w:t>
      </w:r>
      <w:r w:rsidR="0084129F">
        <w:rPr>
          <w:rFonts w:eastAsia="Calibri" w:hint="cs"/>
          <w:b/>
          <w:bCs/>
          <w:sz w:val="18"/>
          <w:rtl/>
        </w:rPr>
        <w:t>-</w:t>
      </w:r>
      <w:r w:rsidRPr="00BE1CFE">
        <w:rPr>
          <w:rFonts w:eastAsia="Calibri"/>
          <w:b/>
          <w:bCs/>
          <w:sz w:val="18"/>
          <w:rtl/>
        </w:rPr>
        <w:t xml:space="preserve"> 2021 חל </w:t>
      </w:r>
      <w:r w:rsidRPr="00BE1CFE">
        <w:rPr>
          <w:rFonts w:eastAsia="Calibri" w:hint="eastAsia"/>
          <w:b/>
          <w:bCs/>
          <w:sz w:val="18"/>
          <w:rtl/>
        </w:rPr>
        <w:t>גידול</w:t>
      </w:r>
      <w:r w:rsidRPr="00BE1CFE">
        <w:rPr>
          <w:rFonts w:eastAsia="Calibri"/>
          <w:b/>
          <w:bCs/>
          <w:sz w:val="18"/>
          <w:rtl/>
        </w:rPr>
        <w:t xml:space="preserve"> </w:t>
      </w:r>
      <w:r w:rsidRPr="00BE1CFE">
        <w:rPr>
          <w:rFonts w:eastAsia="Calibri" w:hint="eastAsia"/>
          <w:b/>
          <w:bCs/>
          <w:sz w:val="18"/>
          <w:rtl/>
        </w:rPr>
        <w:t>עקבי</w:t>
      </w:r>
      <w:r w:rsidRPr="00BE1CFE">
        <w:rPr>
          <w:rFonts w:eastAsia="Calibri"/>
          <w:b/>
          <w:bCs/>
          <w:sz w:val="18"/>
          <w:rtl/>
        </w:rPr>
        <w:t xml:space="preserve"> של כ-53% במספר הבקשות </w:t>
      </w:r>
      <w:r w:rsidRPr="00BE1CFE">
        <w:rPr>
          <w:rFonts w:eastAsia="Calibri" w:hint="eastAsia"/>
          <w:b/>
          <w:bCs/>
          <w:sz w:val="18"/>
          <w:rtl/>
        </w:rPr>
        <w:t>שהגישה</w:t>
      </w:r>
      <w:r w:rsidRPr="00BE1CFE">
        <w:rPr>
          <w:rFonts w:eastAsia="Calibri"/>
          <w:b/>
          <w:bCs/>
          <w:sz w:val="18"/>
          <w:rtl/>
        </w:rPr>
        <w:t xml:space="preserve"> המשטרה </w:t>
      </w:r>
      <w:r w:rsidRPr="00BE1CFE">
        <w:rPr>
          <w:rFonts w:eastAsia="Calibri" w:hint="eastAsia"/>
          <w:b/>
          <w:bCs/>
          <w:sz w:val="18"/>
          <w:rtl/>
        </w:rPr>
        <w:t>לבתי</w:t>
      </w:r>
      <w:r w:rsidRPr="00BE1CFE">
        <w:rPr>
          <w:rFonts w:eastAsia="Calibri"/>
          <w:b/>
          <w:bCs/>
          <w:sz w:val="18"/>
          <w:rtl/>
        </w:rPr>
        <w:t xml:space="preserve"> המשפט לשם </w:t>
      </w:r>
      <w:r w:rsidRPr="00BE1CFE">
        <w:rPr>
          <w:rFonts w:eastAsia="Calibri" w:hint="cs"/>
          <w:b/>
          <w:bCs/>
          <w:sz w:val="18"/>
          <w:rtl/>
        </w:rPr>
        <w:t xml:space="preserve">הוצאת </w:t>
      </w:r>
      <w:r w:rsidRPr="00BE1CFE">
        <w:rPr>
          <w:rFonts w:eastAsia="Calibri"/>
          <w:b/>
          <w:bCs/>
          <w:sz w:val="18"/>
          <w:rtl/>
        </w:rPr>
        <w:t>צווים לקבלת נתוני תקשורת</w:t>
      </w:r>
      <w:r w:rsidRPr="00BE1CFE">
        <w:rPr>
          <w:rFonts w:eastAsia="Calibri" w:hint="cs"/>
          <w:b/>
          <w:bCs/>
          <w:sz w:val="18"/>
          <w:rtl/>
        </w:rPr>
        <w:t>, ובסך הכול הוגשו 177,654 בקשות</w:t>
      </w:r>
      <w:r w:rsidRPr="00BE1CFE">
        <w:rPr>
          <w:rFonts w:eastAsia="Calibri"/>
          <w:b/>
          <w:bCs/>
          <w:sz w:val="18"/>
          <w:rtl/>
        </w:rPr>
        <w:t xml:space="preserve">. שיעור הבקשות </w:t>
      </w:r>
      <w:r w:rsidRPr="00BE1CFE">
        <w:rPr>
          <w:rFonts w:eastAsia="Calibri" w:hint="eastAsia"/>
          <w:b/>
          <w:bCs/>
          <w:sz w:val="18"/>
          <w:rtl/>
        </w:rPr>
        <w:t>הממוצע</w:t>
      </w:r>
      <w:r w:rsidRPr="00BE1CFE">
        <w:rPr>
          <w:rFonts w:eastAsia="Calibri"/>
          <w:b/>
          <w:bCs/>
          <w:sz w:val="18"/>
          <w:rtl/>
        </w:rPr>
        <w:t xml:space="preserve"> </w:t>
      </w:r>
      <w:r w:rsidRPr="00BE1CFE">
        <w:rPr>
          <w:rFonts w:eastAsia="Calibri" w:hint="eastAsia"/>
          <w:b/>
          <w:bCs/>
          <w:sz w:val="18"/>
          <w:rtl/>
        </w:rPr>
        <w:t>שדחו</w:t>
      </w:r>
      <w:r w:rsidRPr="00BE1CFE">
        <w:rPr>
          <w:rFonts w:eastAsia="Calibri"/>
          <w:b/>
          <w:bCs/>
          <w:sz w:val="18"/>
          <w:rtl/>
        </w:rPr>
        <w:t xml:space="preserve"> בתי המשפט באותן שנים </w:t>
      </w:r>
      <w:r w:rsidRPr="00BE1CFE">
        <w:rPr>
          <w:rFonts w:eastAsia="Calibri" w:hint="eastAsia"/>
          <w:b/>
          <w:bCs/>
          <w:sz w:val="18"/>
          <w:rtl/>
        </w:rPr>
        <w:t>היה</w:t>
      </w:r>
      <w:r w:rsidRPr="00BE1CFE">
        <w:rPr>
          <w:rFonts w:eastAsia="Calibri"/>
          <w:b/>
          <w:bCs/>
          <w:sz w:val="18"/>
          <w:rtl/>
        </w:rPr>
        <w:t xml:space="preserve"> 0.</w:t>
      </w:r>
      <w:r w:rsidRPr="00BE1CFE">
        <w:rPr>
          <w:rFonts w:eastAsia="Calibri" w:hint="cs"/>
          <w:b/>
          <w:bCs/>
          <w:sz w:val="18"/>
          <w:rtl/>
        </w:rPr>
        <w:t>42</w:t>
      </w:r>
      <w:r w:rsidRPr="00BE1CFE">
        <w:rPr>
          <w:rFonts w:eastAsia="Calibri"/>
          <w:b/>
          <w:bCs/>
          <w:sz w:val="18"/>
          <w:rtl/>
        </w:rPr>
        <w:t>%</w:t>
      </w:r>
      <w:r w:rsidRPr="00BE1CFE">
        <w:rPr>
          <w:rFonts w:eastAsia="Calibri" w:hint="cs"/>
          <w:b/>
          <w:bCs/>
          <w:sz w:val="18"/>
          <w:rtl/>
        </w:rPr>
        <w:t xml:space="preserve"> (755 בקשות)</w:t>
      </w:r>
      <w:r w:rsidRPr="00BE1CFE">
        <w:rPr>
          <w:rFonts w:eastAsia="Calibri"/>
          <w:b/>
          <w:bCs/>
          <w:sz w:val="18"/>
          <w:rtl/>
        </w:rPr>
        <w:t xml:space="preserve">. </w:t>
      </w:r>
      <w:bookmarkEnd w:id="590"/>
      <w:r w:rsidRPr="00BE1CFE">
        <w:rPr>
          <w:rFonts w:eastAsia="Calibri" w:hint="eastAsia"/>
          <w:b/>
          <w:bCs/>
          <w:sz w:val="18"/>
          <w:rtl/>
        </w:rPr>
        <w:t>הגידול</w:t>
      </w:r>
      <w:r w:rsidRPr="00BE1CFE">
        <w:rPr>
          <w:rFonts w:eastAsia="Calibri"/>
          <w:b/>
          <w:bCs/>
          <w:sz w:val="18"/>
          <w:rtl/>
        </w:rPr>
        <w:t xml:space="preserve"> </w:t>
      </w:r>
      <w:r w:rsidRPr="00BE1CFE">
        <w:rPr>
          <w:rFonts w:eastAsia="Calibri" w:hint="eastAsia"/>
          <w:b/>
          <w:bCs/>
          <w:sz w:val="18"/>
          <w:rtl/>
        </w:rPr>
        <w:t>ב</w:t>
      </w:r>
      <w:r w:rsidRPr="00BE1CFE">
        <w:rPr>
          <w:rFonts w:eastAsia="Calibri" w:hint="cs"/>
          <w:b/>
          <w:bCs/>
          <w:sz w:val="18"/>
          <w:rtl/>
        </w:rPr>
        <w:t>מספר</w:t>
      </w:r>
      <w:r w:rsidRPr="00BE1CFE">
        <w:rPr>
          <w:rFonts w:eastAsia="Calibri"/>
          <w:b/>
          <w:bCs/>
          <w:sz w:val="18"/>
          <w:rtl/>
        </w:rPr>
        <w:t xml:space="preserve"> הבקשות נובע בין היתר </w:t>
      </w:r>
      <w:r w:rsidRPr="00BE1CFE">
        <w:rPr>
          <w:rFonts w:eastAsia="Calibri" w:hint="cs"/>
          <w:b/>
          <w:bCs/>
          <w:sz w:val="18"/>
          <w:rtl/>
        </w:rPr>
        <w:t>מהגדלת מספר תפקידני המחת"ק מ-70 בשנת 2017 ל-189 בשנת 2021 ומ</w:t>
      </w:r>
      <w:r w:rsidRPr="00BE1CFE">
        <w:rPr>
          <w:rFonts w:eastAsia="Calibri"/>
          <w:b/>
          <w:bCs/>
          <w:sz w:val="18"/>
          <w:rtl/>
        </w:rPr>
        <w:t xml:space="preserve">הטמעת יכולות </w:t>
      </w:r>
      <w:r w:rsidRPr="00BE1CFE">
        <w:rPr>
          <w:rFonts w:eastAsia="Calibri" w:hint="eastAsia"/>
          <w:b/>
          <w:bCs/>
          <w:sz w:val="18"/>
          <w:rtl/>
        </w:rPr>
        <w:t>התחקור</w:t>
      </w:r>
      <w:r w:rsidRPr="00BE1CFE">
        <w:rPr>
          <w:rFonts w:eastAsia="Calibri"/>
          <w:b/>
          <w:bCs/>
          <w:sz w:val="18"/>
          <w:rtl/>
        </w:rPr>
        <w:t xml:space="preserve"> </w:t>
      </w:r>
      <w:r w:rsidRPr="00BE1CFE">
        <w:rPr>
          <w:rFonts w:eastAsia="Calibri" w:hint="eastAsia"/>
          <w:b/>
          <w:bCs/>
          <w:sz w:val="18"/>
          <w:rtl/>
        </w:rPr>
        <w:t>והניתוח</w:t>
      </w:r>
      <w:r w:rsidRPr="00BE1CFE">
        <w:rPr>
          <w:rFonts w:eastAsia="Calibri"/>
          <w:b/>
          <w:bCs/>
          <w:sz w:val="18"/>
          <w:rtl/>
        </w:rPr>
        <w:t xml:space="preserve"> </w:t>
      </w:r>
      <w:r w:rsidRPr="00BE1CFE">
        <w:rPr>
          <w:rFonts w:eastAsia="Calibri" w:hint="eastAsia"/>
          <w:b/>
          <w:bCs/>
          <w:sz w:val="18"/>
          <w:rtl/>
        </w:rPr>
        <w:t>של</w:t>
      </w:r>
      <w:r w:rsidRPr="00BE1CFE">
        <w:rPr>
          <w:rFonts w:eastAsia="Calibri"/>
          <w:b/>
          <w:bCs/>
          <w:sz w:val="18"/>
          <w:rtl/>
        </w:rPr>
        <w:t xml:space="preserve"> </w:t>
      </w:r>
      <w:r w:rsidRPr="00BE1CFE">
        <w:rPr>
          <w:rFonts w:eastAsia="Calibri" w:hint="eastAsia"/>
          <w:b/>
          <w:bCs/>
          <w:sz w:val="18"/>
          <w:rtl/>
        </w:rPr>
        <w:t>נתוני</w:t>
      </w:r>
      <w:r w:rsidRPr="00BE1CFE">
        <w:rPr>
          <w:rFonts w:eastAsia="Calibri"/>
          <w:b/>
          <w:bCs/>
          <w:sz w:val="18"/>
          <w:rtl/>
        </w:rPr>
        <w:t xml:space="preserve"> </w:t>
      </w:r>
      <w:r w:rsidRPr="00BE1CFE">
        <w:rPr>
          <w:rFonts w:eastAsia="Calibri" w:hint="eastAsia"/>
          <w:b/>
          <w:bCs/>
          <w:sz w:val="18"/>
          <w:rtl/>
        </w:rPr>
        <w:t>תקשורת</w:t>
      </w:r>
      <w:r w:rsidRPr="00BE1CFE">
        <w:rPr>
          <w:rFonts w:eastAsia="Calibri"/>
          <w:b/>
          <w:bCs/>
          <w:sz w:val="18"/>
          <w:rtl/>
        </w:rPr>
        <w:t xml:space="preserve"> </w:t>
      </w:r>
      <w:r w:rsidRPr="00BE1CFE">
        <w:rPr>
          <w:rFonts w:eastAsia="Calibri" w:hint="eastAsia"/>
          <w:b/>
          <w:bCs/>
          <w:sz w:val="18"/>
          <w:rtl/>
        </w:rPr>
        <w:t>בפעולות</w:t>
      </w:r>
      <w:r w:rsidRPr="00BE1CFE">
        <w:rPr>
          <w:rFonts w:eastAsia="Calibri"/>
          <w:b/>
          <w:bCs/>
          <w:sz w:val="18"/>
          <w:rtl/>
        </w:rPr>
        <w:t xml:space="preserve"> </w:t>
      </w:r>
      <w:r w:rsidRPr="00BE1CFE">
        <w:rPr>
          <w:rFonts w:eastAsia="Calibri" w:hint="eastAsia"/>
          <w:b/>
          <w:bCs/>
          <w:sz w:val="18"/>
          <w:rtl/>
        </w:rPr>
        <w:t>החקירה</w:t>
      </w:r>
      <w:r w:rsidRPr="00BE1CFE">
        <w:rPr>
          <w:rFonts w:eastAsia="Calibri"/>
          <w:b/>
          <w:bCs/>
          <w:sz w:val="18"/>
          <w:rtl/>
        </w:rPr>
        <w:t xml:space="preserve"> </w:t>
      </w:r>
      <w:r w:rsidRPr="00BE1CFE">
        <w:rPr>
          <w:rFonts w:eastAsia="Calibri" w:hint="eastAsia"/>
          <w:b/>
          <w:bCs/>
          <w:sz w:val="18"/>
          <w:rtl/>
        </w:rPr>
        <w:t>של</w:t>
      </w:r>
      <w:r w:rsidRPr="00BE1CFE">
        <w:rPr>
          <w:rFonts w:eastAsia="Calibri"/>
          <w:b/>
          <w:bCs/>
          <w:sz w:val="18"/>
          <w:rtl/>
        </w:rPr>
        <w:t xml:space="preserve"> </w:t>
      </w:r>
      <w:r w:rsidRPr="00BE1CFE">
        <w:rPr>
          <w:rFonts w:eastAsia="Calibri" w:hint="eastAsia"/>
          <w:b/>
          <w:bCs/>
          <w:sz w:val="18"/>
          <w:rtl/>
        </w:rPr>
        <w:t>יחידות</w:t>
      </w:r>
      <w:r w:rsidRPr="00BE1CFE">
        <w:rPr>
          <w:rFonts w:eastAsia="Calibri"/>
          <w:b/>
          <w:bCs/>
          <w:sz w:val="18"/>
          <w:rtl/>
        </w:rPr>
        <w:t xml:space="preserve"> </w:t>
      </w:r>
      <w:r w:rsidRPr="00BE1CFE">
        <w:rPr>
          <w:rFonts w:eastAsia="Calibri" w:hint="eastAsia"/>
          <w:b/>
          <w:bCs/>
          <w:sz w:val="18"/>
          <w:rtl/>
        </w:rPr>
        <w:t>המשטרה</w:t>
      </w:r>
      <w:r w:rsidRPr="00BE1CFE">
        <w:rPr>
          <w:rFonts w:eastAsia="Calibri" w:hint="cs"/>
          <w:b/>
          <w:bCs/>
          <w:sz w:val="18"/>
          <w:rtl/>
        </w:rPr>
        <w:t xml:space="preserve"> - פעולות המעידות על אימוץ טכנולוגיות בתחום הסיגינט לצורכי חקירה והתמודדות עם אירועי פשיעה</w:t>
      </w:r>
      <w:r w:rsidRPr="00BE1CFE">
        <w:rPr>
          <w:rFonts w:eastAsia="Calibri"/>
          <w:b/>
          <w:bCs/>
          <w:sz w:val="18"/>
          <w:rtl/>
        </w:rPr>
        <w:t>.</w:t>
      </w:r>
      <w:r w:rsidRPr="00BE1CFE">
        <w:rPr>
          <w:rFonts w:eastAsia="Calibri" w:hint="cs"/>
          <w:b/>
          <w:bCs/>
          <w:sz w:val="18"/>
          <w:rtl/>
        </w:rPr>
        <w:t xml:space="preserve"> </w:t>
      </w:r>
    </w:p>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sz w:val="18"/>
          <w:rtl/>
        </w:rPr>
      </w:pPr>
      <w:r w:rsidRPr="00BE1CFE">
        <w:rPr>
          <w:rFonts w:eastAsia="Calibri" w:hint="cs"/>
          <w:sz w:val="18"/>
          <w:rtl/>
        </w:rPr>
        <w:t>כאמור לעיל, נתוני התקשורת נחלקים לשלושה סוגים: נתוני מנוי, נתוני תעבורה ונתוני מיקום. בבקשה להוצאת צו המשטרה יכולה לבקש נתונים מסוימים מכל שלושת הסוגים, מחלק מהם או מקטגוריות מסוימות בכל סוג, בהתאם ליעד הבקשה</w:t>
      </w:r>
      <w:r w:rsidRPr="00BE1CFE">
        <w:rPr>
          <w:rFonts w:eastAsia="Calibri"/>
          <w:sz w:val="18"/>
          <w:vertAlign w:val="superscript"/>
          <w:rtl/>
        </w:rPr>
        <w:footnoteReference w:id="261"/>
      </w:r>
      <w:r w:rsidRPr="00BE1CFE">
        <w:rPr>
          <w:rFonts w:eastAsia="Calibri" w:hint="cs"/>
          <w:sz w:val="18"/>
          <w:rtl/>
        </w:rPr>
        <w:t xml:space="preserve"> - אדם, אמצעי תקשורת או שניהם. מסיבה זאת היקף הנתונים המתבקשים גדול בהרבה מהיקף הבקשות. בלוח שלהלן מפורט היקף נתוני התקשורת שהתבקשו בבקשות שהוגשו לבתי המשפט ואושרו, בחלוקה לשלושת סוגי נתוני התקשורת המוגדרים בחוק. </w:t>
      </w:r>
    </w:p>
    <w:p w:rsidR="00B47E58" w:rsidRDefault="00B47E58" w:rsidP="00604C3D">
      <w:pPr>
        <w:spacing w:line="269" w:lineRule="auto"/>
        <w:jc w:val="center"/>
        <w:rPr>
          <w:rFonts w:eastAsia="Calibri"/>
          <w:szCs w:val="20"/>
          <w:rtl/>
        </w:rPr>
      </w:pPr>
      <w:bookmarkStart w:id="591" w:name="_Hlk138608809"/>
    </w:p>
    <w:p w:rsidR="00E46818" w:rsidRPr="00BE1CFE" w:rsidRDefault="00E46818" w:rsidP="00604C3D">
      <w:pPr>
        <w:spacing w:line="269" w:lineRule="auto"/>
        <w:jc w:val="center"/>
        <w:rPr>
          <w:rFonts w:eastAsia="Calibri"/>
          <w:b/>
          <w:bCs/>
          <w:sz w:val="18"/>
          <w:rtl/>
        </w:rPr>
      </w:pPr>
      <w:r w:rsidRPr="00BE1CFE">
        <w:rPr>
          <w:rFonts w:eastAsia="Calibri" w:hint="eastAsia"/>
          <w:sz w:val="18"/>
          <w:rtl/>
        </w:rPr>
        <w:t>לוח</w:t>
      </w:r>
      <w:r w:rsidRPr="00BE1CFE">
        <w:rPr>
          <w:rFonts w:eastAsia="Calibri" w:hint="cs"/>
          <w:sz w:val="18"/>
          <w:rtl/>
        </w:rPr>
        <w:t xml:space="preserve"> </w:t>
      </w:r>
      <w:r>
        <w:rPr>
          <w:rFonts w:eastAsia="Calibri" w:hint="cs"/>
          <w:sz w:val="18"/>
          <w:rtl/>
        </w:rPr>
        <w:t>17</w:t>
      </w:r>
      <w:r w:rsidRPr="00BE1CFE">
        <w:rPr>
          <w:rFonts w:eastAsia="Calibri"/>
          <w:sz w:val="18"/>
          <w:rtl/>
        </w:rPr>
        <w:t>:</w:t>
      </w:r>
      <w:r w:rsidRPr="00BE1CFE">
        <w:rPr>
          <w:rFonts w:eastAsia="Calibri"/>
          <w:b/>
          <w:bCs/>
          <w:sz w:val="18"/>
          <w:rtl/>
        </w:rPr>
        <w:t xml:space="preserve"> </w:t>
      </w:r>
      <w:r w:rsidRPr="00BE1CFE">
        <w:rPr>
          <w:rFonts w:eastAsia="Calibri" w:hint="cs"/>
          <w:b/>
          <w:bCs/>
          <w:sz w:val="18"/>
          <w:rtl/>
        </w:rPr>
        <w:t>היקף</w:t>
      </w:r>
      <w:r w:rsidRPr="00BE1CFE">
        <w:rPr>
          <w:rFonts w:eastAsia="Calibri"/>
          <w:b/>
          <w:bCs/>
          <w:sz w:val="18"/>
          <w:rtl/>
        </w:rPr>
        <w:t xml:space="preserve"> </w:t>
      </w:r>
      <w:r w:rsidRPr="00BE1CFE">
        <w:rPr>
          <w:rFonts w:eastAsia="Calibri" w:hint="eastAsia"/>
          <w:b/>
          <w:bCs/>
          <w:sz w:val="18"/>
          <w:rtl/>
        </w:rPr>
        <w:t>סוגי</w:t>
      </w:r>
      <w:r w:rsidRPr="00BE1CFE">
        <w:rPr>
          <w:rFonts w:eastAsia="Calibri"/>
          <w:b/>
          <w:bCs/>
          <w:sz w:val="18"/>
          <w:rtl/>
        </w:rPr>
        <w:t xml:space="preserve"> </w:t>
      </w:r>
      <w:r w:rsidRPr="00BE1CFE">
        <w:rPr>
          <w:rFonts w:eastAsia="Calibri" w:hint="eastAsia"/>
          <w:b/>
          <w:bCs/>
          <w:sz w:val="18"/>
          <w:rtl/>
        </w:rPr>
        <w:t>נתוני</w:t>
      </w:r>
      <w:r w:rsidRPr="00BE1CFE">
        <w:rPr>
          <w:rFonts w:eastAsia="Calibri"/>
          <w:b/>
          <w:bCs/>
          <w:sz w:val="18"/>
          <w:rtl/>
        </w:rPr>
        <w:t xml:space="preserve"> </w:t>
      </w:r>
      <w:r w:rsidRPr="00BE1CFE">
        <w:rPr>
          <w:rFonts w:eastAsia="Calibri" w:hint="cs"/>
          <w:b/>
          <w:bCs/>
          <w:sz w:val="18"/>
          <w:rtl/>
        </w:rPr>
        <w:t>ה</w:t>
      </w:r>
      <w:r w:rsidRPr="00BE1CFE">
        <w:rPr>
          <w:rFonts w:eastAsia="Calibri" w:hint="eastAsia"/>
          <w:b/>
          <w:bCs/>
          <w:sz w:val="18"/>
          <w:rtl/>
        </w:rPr>
        <w:t>תקשורת</w:t>
      </w:r>
      <w:r w:rsidRPr="00BE1CFE">
        <w:rPr>
          <w:rFonts w:eastAsia="Calibri"/>
          <w:b/>
          <w:bCs/>
          <w:sz w:val="18"/>
          <w:rtl/>
        </w:rPr>
        <w:t xml:space="preserve"> </w:t>
      </w:r>
      <w:r w:rsidRPr="00BE1CFE">
        <w:rPr>
          <w:rFonts w:eastAsia="Calibri" w:hint="eastAsia"/>
          <w:b/>
          <w:bCs/>
          <w:sz w:val="18"/>
          <w:rtl/>
        </w:rPr>
        <w:t>שאושרו</w:t>
      </w:r>
      <w:r w:rsidRPr="00BE1CFE">
        <w:rPr>
          <w:rFonts w:eastAsia="Calibri"/>
          <w:b/>
          <w:bCs/>
          <w:sz w:val="18"/>
          <w:rtl/>
        </w:rPr>
        <w:t xml:space="preserve"> </w:t>
      </w:r>
      <w:r w:rsidRPr="00BE1CFE">
        <w:rPr>
          <w:rFonts w:eastAsia="Calibri" w:hint="eastAsia"/>
          <w:b/>
          <w:bCs/>
          <w:sz w:val="18"/>
          <w:rtl/>
        </w:rPr>
        <w:t>בצווים</w:t>
      </w:r>
      <w:r w:rsidRPr="00BE1CFE">
        <w:rPr>
          <w:rFonts w:eastAsia="Calibri" w:hint="cs"/>
          <w:b/>
          <w:bCs/>
          <w:sz w:val="18"/>
          <w:rtl/>
        </w:rPr>
        <w:t>,</w:t>
      </w:r>
      <w:r w:rsidRPr="00BE1CFE">
        <w:rPr>
          <w:rFonts w:eastAsia="Calibri"/>
          <w:b/>
          <w:bCs/>
          <w:sz w:val="18"/>
          <w:rtl/>
        </w:rPr>
        <w:t xml:space="preserve"> </w:t>
      </w:r>
      <w:r w:rsidRPr="00BE1CFE">
        <w:rPr>
          <w:rFonts w:eastAsia="Calibri" w:hint="cs"/>
          <w:b/>
          <w:bCs/>
          <w:sz w:val="18"/>
          <w:rtl/>
        </w:rPr>
        <w:t>2017</w:t>
      </w:r>
      <w:r w:rsidRPr="00BE1CFE">
        <w:rPr>
          <w:rFonts w:eastAsia="Calibri"/>
          <w:b/>
          <w:bCs/>
          <w:sz w:val="18"/>
          <w:rtl/>
        </w:rPr>
        <w:t xml:space="preserve"> - </w:t>
      </w:r>
      <w:r w:rsidRPr="00BE1CFE">
        <w:rPr>
          <w:rFonts w:eastAsia="Calibri" w:hint="cs"/>
          <w:b/>
          <w:bCs/>
          <w:sz w:val="18"/>
          <w:rtl/>
        </w:rPr>
        <w:t>2021</w:t>
      </w:r>
    </w:p>
    <w:bookmarkEnd w:id="591"/>
    <w:tbl>
      <w:tblPr>
        <w:tblStyle w:val="afc"/>
        <w:tblpPr w:leftFromText="180" w:rightFromText="180" w:vertAnchor="text" w:horzAnchor="margin" w:tblpXSpec="center" w:tblpY="8"/>
        <w:bidiVisual/>
        <w:tblW w:w="7935" w:type="dxa"/>
        <w:tblLayout w:type="fixed"/>
        <w:tblLook w:val="04A0" w:firstRow="1" w:lastRow="0" w:firstColumn="1" w:lastColumn="0" w:noHBand="0" w:noVBand="1"/>
      </w:tblPr>
      <w:tblGrid>
        <w:gridCol w:w="1559"/>
        <w:gridCol w:w="1417"/>
        <w:gridCol w:w="1276"/>
        <w:gridCol w:w="1134"/>
        <w:gridCol w:w="1276"/>
        <w:gridCol w:w="1273"/>
      </w:tblGrid>
      <w:tr w:rsidR="00E46818" w:rsidRPr="00CB2202" w:rsidTr="00212501">
        <w:tc>
          <w:tcPr>
            <w:tcW w:w="1559" w:type="dxa"/>
            <w:tcBorders>
              <w:bottom w:val="single" w:sz="12" w:space="0" w:color="auto"/>
              <w:right w:val="single" w:sz="4" w:space="0" w:color="auto"/>
            </w:tcBorders>
            <w:shd w:val="clear" w:color="auto" w:fill="D9D9D9"/>
          </w:tcPr>
          <w:p w:rsidR="00E46818" w:rsidRPr="00CB2202" w:rsidRDefault="00E46818" w:rsidP="00604C3D">
            <w:pPr>
              <w:spacing w:line="269" w:lineRule="auto"/>
              <w:rPr>
                <w:rFonts w:eastAsia="Calibri"/>
                <w:b/>
                <w:bCs/>
                <w:sz w:val="22"/>
                <w:szCs w:val="22"/>
                <w:rtl/>
              </w:rPr>
            </w:pPr>
          </w:p>
        </w:tc>
        <w:tc>
          <w:tcPr>
            <w:tcW w:w="1417" w:type="dxa"/>
            <w:tcBorders>
              <w:left w:val="single" w:sz="4" w:space="0" w:color="auto"/>
              <w:bottom w:val="single" w:sz="12" w:space="0" w:color="auto"/>
              <w:right w:val="single" w:sz="4" w:space="0" w:color="auto"/>
            </w:tcBorders>
            <w:shd w:val="clear" w:color="auto" w:fill="D9D9D9"/>
          </w:tcPr>
          <w:p w:rsidR="00E46818" w:rsidRPr="00CB2202" w:rsidRDefault="00E46818" w:rsidP="00604C3D">
            <w:pPr>
              <w:spacing w:line="269" w:lineRule="auto"/>
              <w:jc w:val="center"/>
              <w:rPr>
                <w:rFonts w:eastAsia="Calibri"/>
                <w:b/>
                <w:bCs/>
                <w:sz w:val="22"/>
                <w:szCs w:val="22"/>
                <w:rtl/>
              </w:rPr>
            </w:pPr>
            <w:r w:rsidRPr="00CB2202">
              <w:rPr>
                <w:rFonts w:eastAsia="Calibri" w:hint="cs"/>
                <w:b/>
                <w:bCs/>
                <w:sz w:val="22"/>
                <w:szCs w:val="22"/>
                <w:rtl/>
              </w:rPr>
              <w:t>2017</w:t>
            </w:r>
          </w:p>
        </w:tc>
        <w:tc>
          <w:tcPr>
            <w:tcW w:w="1276" w:type="dxa"/>
            <w:tcBorders>
              <w:left w:val="single" w:sz="4" w:space="0" w:color="auto"/>
              <w:bottom w:val="single" w:sz="12" w:space="0" w:color="auto"/>
              <w:right w:val="single" w:sz="4" w:space="0" w:color="auto"/>
            </w:tcBorders>
            <w:shd w:val="clear" w:color="auto" w:fill="D9D9D9"/>
          </w:tcPr>
          <w:p w:rsidR="00E46818" w:rsidRPr="00CB2202" w:rsidRDefault="00E46818" w:rsidP="00604C3D">
            <w:pPr>
              <w:spacing w:line="269" w:lineRule="auto"/>
              <w:jc w:val="center"/>
              <w:rPr>
                <w:rFonts w:eastAsia="Calibri"/>
                <w:b/>
                <w:bCs/>
                <w:sz w:val="22"/>
                <w:szCs w:val="22"/>
                <w:rtl/>
              </w:rPr>
            </w:pPr>
            <w:r w:rsidRPr="00CB2202">
              <w:rPr>
                <w:rFonts w:eastAsia="Calibri" w:hint="cs"/>
                <w:b/>
                <w:bCs/>
                <w:sz w:val="22"/>
                <w:szCs w:val="22"/>
                <w:rtl/>
              </w:rPr>
              <w:t>2018</w:t>
            </w:r>
          </w:p>
        </w:tc>
        <w:tc>
          <w:tcPr>
            <w:tcW w:w="1134" w:type="dxa"/>
            <w:tcBorders>
              <w:left w:val="single" w:sz="4" w:space="0" w:color="auto"/>
              <w:bottom w:val="single" w:sz="12" w:space="0" w:color="auto"/>
              <w:right w:val="single" w:sz="4" w:space="0" w:color="auto"/>
            </w:tcBorders>
            <w:shd w:val="clear" w:color="auto" w:fill="D9D9D9"/>
          </w:tcPr>
          <w:p w:rsidR="00E46818" w:rsidRPr="00CB2202" w:rsidRDefault="00E46818" w:rsidP="00604C3D">
            <w:pPr>
              <w:spacing w:line="269" w:lineRule="auto"/>
              <w:jc w:val="center"/>
              <w:rPr>
                <w:rFonts w:eastAsia="Calibri"/>
                <w:b/>
                <w:bCs/>
                <w:sz w:val="22"/>
                <w:szCs w:val="22"/>
                <w:rtl/>
              </w:rPr>
            </w:pPr>
            <w:r w:rsidRPr="00CB2202">
              <w:rPr>
                <w:rFonts w:eastAsia="Calibri" w:hint="cs"/>
                <w:b/>
                <w:bCs/>
                <w:sz w:val="22"/>
                <w:szCs w:val="22"/>
                <w:rtl/>
              </w:rPr>
              <w:t>2019</w:t>
            </w:r>
          </w:p>
        </w:tc>
        <w:tc>
          <w:tcPr>
            <w:tcW w:w="1276" w:type="dxa"/>
            <w:tcBorders>
              <w:left w:val="single" w:sz="4" w:space="0" w:color="auto"/>
              <w:bottom w:val="single" w:sz="12" w:space="0" w:color="auto"/>
              <w:right w:val="single" w:sz="4" w:space="0" w:color="auto"/>
            </w:tcBorders>
            <w:shd w:val="clear" w:color="auto" w:fill="D9D9D9"/>
          </w:tcPr>
          <w:p w:rsidR="00E46818" w:rsidRPr="00CB2202" w:rsidRDefault="00E46818" w:rsidP="00604C3D">
            <w:pPr>
              <w:spacing w:line="269" w:lineRule="auto"/>
              <w:jc w:val="center"/>
              <w:rPr>
                <w:rFonts w:eastAsia="Calibri"/>
                <w:b/>
                <w:bCs/>
                <w:sz w:val="22"/>
                <w:szCs w:val="22"/>
                <w:rtl/>
              </w:rPr>
            </w:pPr>
            <w:r w:rsidRPr="00CB2202">
              <w:rPr>
                <w:rFonts w:eastAsia="Calibri" w:hint="cs"/>
                <w:b/>
                <w:bCs/>
                <w:sz w:val="22"/>
                <w:szCs w:val="22"/>
                <w:rtl/>
              </w:rPr>
              <w:t>2020</w:t>
            </w:r>
          </w:p>
        </w:tc>
        <w:tc>
          <w:tcPr>
            <w:tcW w:w="1273" w:type="dxa"/>
            <w:tcBorders>
              <w:left w:val="single" w:sz="4" w:space="0" w:color="auto"/>
              <w:bottom w:val="single" w:sz="12" w:space="0" w:color="auto"/>
            </w:tcBorders>
            <w:shd w:val="clear" w:color="auto" w:fill="D9D9D9"/>
          </w:tcPr>
          <w:p w:rsidR="00E46818" w:rsidRPr="00CB2202" w:rsidRDefault="00E46818" w:rsidP="00604C3D">
            <w:pPr>
              <w:spacing w:line="269" w:lineRule="auto"/>
              <w:jc w:val="center"/>
              <w:rPr>
                <w:rFonts w:eastAsia="Calibri"/>
                <w:b/>
                <w:bCs/>
                <w:sz w:val="22"/>
                <w:szCs w:val="22"/>
                <w:rtl/>
              </w:rPr>
            </w:pPr>
            <w:r w:rsidRPr="00CB2202">
              <w:rPr>
                <w:rFonts w:eastAsia="Calibri" w:hint="cs"/>
                <w:b/>
                <w:bCs/>
                <w:sz w:val="22"/>
                <w:szCs w:val="22"/>
                <w:rtl/>
              </w:rPr>
              <w:t>2021</w:t>
            </w:r>
          </w:p>
        </w:tc>
      </w:tr>
      <w:tr w:rsidR="00E46818" w:rsidRPr="00CB2202" w:rsidTr="00212501">
        <w:tc>
          <w:tcPr>
            <w:tcW w:w="1559" w:type="dxa"/>
            <w:tcBorders>
              <w:top w:val="single" w:sz="12" w:space="0" w:color="auto"/>
              <w:right w:val="single" w:sz="12" w:space="0" w:color="auto"/>
            </w:tcBorders>
            <w:shd w:val="clear" w:color="auto" w:fill="D9D9D9"/>
          </w:tcPr>
          <w:p w:rsidR="00E46818" w:rsidRPr="00CB2202" w:rsidRDefault="00E46818" w:rsidP="00604C3D">
            <w:pPr>
              <w:spacing w:line="269" w:lineRule="auto"/>
              <w:rPr>
                <w:rFonts w:eastAsia="Calibri"/>
                <w:b/>
                <w:bCs/>
                <w:sz w:val="22"/>
                <w:szCs w:val="22"/>
                <w:rtl/>
              </w:rPr>
            </w:pPr>
            <w:r w:rsidRPr="00CB2202">
              <w:rPr>
                <w:rFonts w:eastAsia="Calibri" w:hint="cs"/>
                <w:b/>
                <w:bCs/>
                <w:sz w:val="22"/>
                <w:szCs w:val="22"/>
                <w:rtl/>
              </w:rPr>
              <w:t xml:space="preserve">נתוני מנוי </w:t>
            </w:r>
          </w:p>
        </w:tc>
        <w:tc>
          <w:tcPr>
            <w:tcW w:w="1417" w:type="dxa"/>
            <w:tcBorders>
              <w:top w:val="single" w:sz="12" w:space="0" w:color="auto"/>
              <w:left w:val="single" w:sz="12" w:space="0" w:color="auto"/>
            </w:tcBorders>
            <w:vAlign w:val="bottom"/>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57,309</w:t>
            </w:r>
          </w:p>
        </w:tc>
        <w:tc>
          <w:tcPr>
            <w:tcW w:w="1276" w:type="dxa"/>
            <w:tcBorders>
              <w:top w:val="single" w:sz="12" w:space="0" w:color="auto"/>
            </w:tcBorders>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66,933</w:t>
            </w:r>
          </w:p>
        </w:tc>
        <w:tc>
          <w:tcPr>
            <w:tcW w:w="1134" w:type="dxa"/>
            <w:tcBorders>
              <w:top w:val="single" w:sz="12" w:space="0" w:color="auto"/>
            </w:tcBorders>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84,177</w:t>
            </w:r>
          </w:p>
        </w:tc>
        <w:tc>
          <w:tcPr>
            <w:tcW w:w="1276" w:type="dxa"/>
            <w:tcBorders>
              <w:top w:val="single" w:sz="12" w:space="0" w:color="auto"/>
            </w:tcBorders>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100,168</w:t>
            </w:r>
          </w:p>
        </w:tc>
        <w:tc>
          <w:tcPr>
            <w:tcW w:w="1273" w:type="dxa"/>
            <w:tcBorders>
              <w:top w:val="single" w:sz="12" w:space="0" w:color="auto"/>
            </w:tcBorders>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101,729</w:t>
            </w:r>
          </w:p>
        </w:tc>
      </w:tr>
      <w:tr w:rsidR="00E46818" w:rsidRPr="00CB2202" w:rsidTr="00212501">
        <w:tc>
          <w:tcPr>
            <w:tcW w:w="1559" w:type="dxa"/>
            <w:tcBorders>
              <w:right w:val="single" w:sz="12" w:space="0" w:color="auto"/>
            </w:tcBorders>
            <w:shd w:val="clear" w:color="auto" w:fill="D9D9D9"/>
          </w:tcPr>
          <w:p w:rsidR="00E46818" w:rsidRPr="00CB2202" w:rsidRDefault="00E46818" w:rsidP="00604C3D">
            <w:pPr>
              <w:spacing w:line="269" w:lineRule="auto"/>
              <w:rPr>
                <w:rFonts w:eastAsia="Calibri"/>
                <w:b/>
                <w:bCs/>
                <w:sz w:val="22"/>
                <w:szCs w:val="22"/>
                <w:rtl/>
              </w:rPr>
            </w:pPr>
            <w:r w:rsidRPr="00CB2202">
              <w:rPr>
                <w:rFonts w:eastAsia="Calibri" w:hint="cs"/>
                <w:b/>
                <w:bCs/>
                <w:sz w:val="22"/>
                <w:szCs w:val="22"/>
                <w:rtl/>
              </w:rPr>
              <w:t>נתוני תעבורה</w:t>
            </w:r>
          </w:p>
        </w:tc>
        <w:tc>
          <w:tcPr>
            <w:tcW w:w="1417" w:type="dxa"/>
            <w:tcBorders>
              <w:left w:val="single" w:sz="12" w:space="0" w:color="auto"/>
            </w:tcBorders>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71,034</w:t>
            </w:r>
          </w:p>
        </w:tc>
        <w:tc>
          <w:tcPr>
            <w:tcW w:w="1276" w:type="dxa"/>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87,582</w:t>
            </w:r>
          </w:p>
        </w:tc>
        <w:tc>
          <w:tcPr>
            <w:tcW w:w="1134" w:type="dxa"/>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114,962</w:t>
            </w:r>
          </w:p>
        </w:tc>
        <w:tc>
          <w:tcPr>
            <w:tcW w:w="1276" w:type="dxa"/>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144,423</w:t>
            </w:r>
          </w:p>
        </w:tc>
        <w:tc>
          <w:tcPr>
            <w:tcW w:w="1273" w:type="dxa"/>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153,111</w:t>
            </w:r>
          </w:p>
        </w:tc>
      </w:tr>
      <w:tr w:rsidR="00E46818" w:rsidRPr="00CB2202" w:rsidTr="00212501">
        <w:tc>
          <w:tcPr>
            <w:tcW w:w="1559" w:type="dxa"/>
            <w:tcBorders>
              <w:right w:val="single" w:sz="12" w:space="0" w:color="auto"/>
            </w:tcBorders>
            <w:shd w:val="clear" w:color="auto" w:fill="D9D9D9"/>
          </w:tcPr>
          <w:p w:rsidR="00E46818" w:rsidRPr="00CB2202" w:rsidRDefault="00E46818" w:rsidP="00604C3D">
            <w:pPr>
              <w:spacing w:line="269" w:lineRule="auto"/>
              <w:rPr>
                <w:rFonts w:eastAsia="Calibri"/>
                <w:b/>
                <w:bCs/>
                <w:sz w:val="22"/>
                <w:szCs w:val="22"/>
                <w:rtl/>
              </w:rPr>
            </w:pPr>
            <w:r w:rsidRPr="00CB2202">
              <w:rPr>
                <w:rFonts w:eastAsia="Calibri" w:hint="cs"/>
                <w:b/>
                <w:bCs/>
                <w:sz w:val="22"/>
                <w:szCs w:val="22"/>
                <w:rtl/>
              </w:rPr>
              <w:t>נתוני מיקום</w:t>
            </w:r>
          </w:p>
        </w:tc>
        <w:tc>
          <w:tcPr>
            <w:tcW w:w="1417" w:type="dxa"/>
            <w:tcBorders>
              <w:left w:val="single" w:sz="12" w:space="0" w:color="auto"/>
            </w:tcBorders>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80,517</w:t>
            </w:r>
          </w:p>
        </w:tc>
        <w:tc>
          <w:tcPr>
            <w:tcW w:w="1276" w:type="dxa"/>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107,227</w:t>
            </w:r>
          </w:p>
        </w:tc>
        <w:tc>
          <w:tcPr>
            <w:tcW w:w="1134" w:type="dxa"/>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137,594</w:t>
            </w:r>
          </w:p>
        </w:tc>
        <w:tc>
          <w:tcPr>
            <w:tcW w:w="1276" w:type="dxa"/>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175,786</w:t>
            </w:r>
          </w:p>
        </w:tc>
        <w:tc>
          <w:tcPr>
            <w:tcW w:w="1273" w:type="dxa"/>
            <w:vAlign w:val="center"/>
          </w:tcPr>
          <w:p w:rsidR="00E46818" w:rsidRPr="00CB2202" w:rsidRDefault="00E46818" w:rsidP="00604C3D">
            <w:pPr>
              <w:spacing w:line="269" w:lineRule="auto"/>
              <w:jc w:val="left"/>
              <w:rPr>
                <w:rFonts w:eastAsia="Calibri"/>
                <w:sz w:val="22"/>
                <w:szCs w:val="22"/>
                <w:rtl/>
              </w:rPr>
            </w:pPr>
            <w:r w:rsidRPr="00CB2202">
              <w:rPr>
                <w:rFonts w:eastAsia="Calibri" w:hint="cs"/>
                <w:sz w:val="22"/>
                <w:szCs w:val="22"/>
                <w:rtl/>
              </w:rPr>
              <w:t>186,488</w:t>
            </w:r>
          </w:p>
        </w:tc>
      </w:tr>
    </w:tbl>
    <w:p w:rsidR="00E46818" w:rsidRPr="00BE1CFE" w:rsidRDefault="00E46818" w:rsidP="00604C3D">
      <w:pPr>
        <w:spacing w:line="269" w:lineRule="auto"/>
        <w:rPr>
          <w:rFonts w:eastAsia="Calibri"/>
          <w:b/>
          <w:bCs/>
          <w:rtl/>
        </w:rPr>
      </w:pPr>
      <w:r w:rsidRPr="00BE1CFE">
        <w:rPr>
          <w:rFonts w:eastAsia="Calibri" w:hint="cs"/>
          <w:szCs w:val="20"/>
          <w:rtl/>
        </w:rPr>
        <w:t>על</w:t>
      </w:r>
      <w:r w:rsidRPr="00BE1CFE">
        <w:rPr>
          <w:rFonts w:eastAsia="Calibri"/>
          <w:szCs w:val="20"/>
          <w:rtl/>
        </w:rPr>
        <w:t xml:space="preserve"> </w:t>
      </w:r>
      <w:r w:rsidRPr="00BE1CFE">
        <w:rPr>
          <w:rFonts w:eastAsia="Calibri" w:hint="cs"/>
          <w:szCs w:val="20"/>
          <w:rtl/>
        </w:rPr>
        <w:t>פי</w:t>
      </w:r>
      <w:r w:rsidRPr="00BE1CFE">
        <w:rPr>
          <w:rFonts w:eastAsia="Calibri"/>
          <w:szCs w:val="20"/>
          <w:rtl/>
        </w:rPr>
        <w:t xml:space="preserve"> </w:t>
      </w:r>
      <w:r w:rsidRPr="00BE1CFE">
        <w:rPr>
          <w:rFonts w:eastAsia="Calibri" w:hint="cs"/>
          <w:szCs w:val="20"/>
          <w:rtl/>
        </w:rPr>
        <w:t>נתוני</w:t>
      </w:r>
      <w:r w:rsidRPr="00BE1CFE">
        <w:rPr>
          <w:rFonts w:eastAsia="Calibri"/>
          <w:szCs w:val="20"/>
          <w:rtl/>
        </w:rPr>
        <w:t xml:space="preserve"> </w:t>
      </w:r>
      <w:r w:rsidRPr="00BE1CFE">
        <w:rPr>
          <w:rFonts w:eastAsia="Calibri" w:hint="cs"/>
          <w:szCs w:val="20"/>
          <w:rtl/>
        </w:rPr>
        <w:t>המשטרה,</w:t>
      </w:r>
      <w:r w:rsidRPr="00BE1CFE">
        <w:rPr>
          <w:rFonts w:eastAsia="Calibri"/>
          <w:szCs w:val="20"/>
          <w:rtl/>
        </w:rPr>
        <w:t xml:space="preserve"> </w:t>
      </w:r>
      <w:r w:rsidRPr="00BE1CFE">
        <w:rPr>
          <w:rFonts w:eastAsia="Calibri" w:hint="cs"/>
          <w:szCs w:val="20"/>
          <w:rtl/>
        </w:rPr>
        <w:t>בעיבוד</w:t>
      </w:r>
      <w:r w:rsidRPr="00BE1CFE">
        <w:rPr>
          <w:rFonts w:eastAsia="Calibri"/>
          <w:szCs w:val="20"/>
          <w:rtl/>
        </w:rPr>
        <w:t xml:space="preserve"> </w:t>
      </w:r>
      <w:r w:rsidRPr="00BE1CFE">
        <w:rPr>
          <w:rFonts w:eastAsia="Calibri" w:hint="cs"/>
          <w:szCs w:val="20"/>
          <w:rtl/>
        </w:rPr>
        <w:t>משרד</w:t>
      </w:r>
      <w:r w:rsidRPr="00BE1CFE">
        <w:rPr>
          <w:rFonts w:eastAsia="Calibri"/>
          <w:szCs w:val="20"/>
          <w:rtl/>
        </w:rPr>
        <w:t xml:space="preserve"> </w:t>
      </w:r>
      <w:r w:rsidRPr="00BE1CFE">
        <w:rPr>
          <w:rFonts w:eastAsia="Calibri" w:hint="cs"/>
          <w:szCs w:val="20"/>
          <w:rtl/>
        </w:rPr>
        <w:t>מבקר</w:t>
      </w:r>
      <w:r w:rsidRPr="00BE1CFE">
        <w:rPr>
          <w:rFonts w:eastAsia="Calibri"/>
          <w:szCs w:val="20"/>
          <w:rtl/>
        </w:rPr>
        <w:t xml:space="preserve"> </w:t>
      </w:r>
      <w:r w:rsidRPr="00BE1CFE">
        <w:rPr>
          <w:rFonts w:eastAsia="Calibri" w:hint="cs"/>
          <w:szCs w:val="20"/>
          <w:rtl/>
        </w:rPr>
        <w:t>המדינה</w:t>
      </w:r>
      <w:r w:rsidRPr="00BE1CFE">
        <w:rPr>
          <w:rFonts w:eastAsia="Calibri" w:hint="cs"/>
          <w:rtl/>
        </w:rPr>
        <w:t>.</w:t>
      </w:r>
    </w:p>
    <w:p w:rsidR="00B47E58" w:rsidRDefault="00B47E58" w:rsidP="00604C3D">
      <w:pPr>
        <w:spacing w:line="269" w:lineRule="auto"/>
        <w:rPr>
          <w:rFonts w:eastAsia="Calibri"/>
          <w:szCs w:val="20"/>
          <w:rtl/>
        </w:rPr>
      </w:pPr>
    </w:p>
    <w:p w:rsidR="00E46818" w:rsidRDefault="00E46818" w:rsidP="00604C3D">
      <w:pPr>
        <w:spacing w:line="269" w:lineRule="auto"/>
        <w:rPr>
          <w:rFonts w:eastAsia="Calibri"/>
          <w:b/>
          <w:bCs/>
          <w:sz w:val="18"/>
          <w:rtl/>
        </w:rPr>
      </w:pPr>
      <w:r w:rsidRPr="00BE1CFE">
        <w:rPr>
          <w:rFonts w:eastAsia="Calibri" w:hint="eastAsia"/>
          <w:b/>
          <w:bCs/>
          <w:sz w:val="18"/>
          <w:rtl/>
        </w:rPr>
        <w:t>מהלוח</w:t>
      </w:r>
      <w:r w:rsidRPr="00BE1CFE">
        <w:rPr>
          <w:rFonts w:eastAsia="Calibri"/>
          <w:b/>
          <w:bCs/>
          <w:sz w:val="18"/>
          <w:rtl/>
        </w:rPr>
        <w:t xml:space="preserve"> </w:t>
      </w:r>
      <w:r w:rsidRPr="00BE1CFE">
        <w:rPr>
          <w:rFonts w:eastAsia="Calibri" w:hint="eastAsia"/>
          <w:b/>
          <w:bCs/>
          <w:sz w:val="18"/>
          <w:rtl/>
        </w:rPr>
        <w:t>עולה</w:t>
      </w:r>
      <w:r w:rsidRPr="00BE1CFE">
        <w:rPr>
          <w:rFonts w:eastAsia="Calibri"/>
          <w:b/>
          <w:bCs/>
          <w:sz w:val="18"/>
          <w:rtl/>
        </w:rPr>
        <w:t xml:space="preserve"> כי </w:t>
      </w:r>
      <w:r w:rsidRPr="00BE1CFE">
        <w:rPr>
          <w:rFonts w:eastAsia="Calibri" w:hint="eastAsia"/>
          <w:b/>
          <w:bCs/>
          <w:sz w:val="18"/>
          <w:rtl/>
        </w:rPr>
        <w:t>משנת</w:t>
      </w:r>
      <w:r w:rsidRPr="00BE1CFE">
        <w:rPr>
          <w:rFonts w:eastAsia="Calibri"/>
          <w:b/>
          <w:bCs/>
          <w:sz w:val="18"/>
          <w:rtl/>
        </w:rPr>
        <w:t xml:space="preserve"> 2017 </w:t>
      </w:r>
      <w:r w:rsidRPr="00BE1CFE">
        <w:rPr>
          <w:rFonts w:eastAsia="Calibri" w:hint="eastAsia"/>
          <w:b/>
          <w:bCs/>
          <w:sz w:val="18"/>
          <w:rtl/>
        </w:rPr>
        <w:t>עד</w:t>
      </w:r>
      <w:r w:rsidRPr="00BE1CFE">
        <w:rPr>
          <w:rFonts w:eastAsia="Calibri"/>
          <w:b/>
          <w:bCs/>
          <w:sz w:val="18"/>
          <w:rtl/>
        </w:rPr>
        <w:t xml:space="preserve"> שנת 2021 </w:t>
      </w:r>
      <w:r w:rsidRPr="00BE1CFE">
        <w:rPr>
          <w:rFonts w:eastAsia="Calibri" w:hint="eastAsia"/>
          <w:b/>
          <w:bCs/>
          <w:sz w:val="18"/>
          <w:rtl/>
        </w:rPr>
        <w:t>גדל</w:t>
      </w:r>
      <w:r w:rsidRPr="00BE1CFE">
        <w:rPr>
          <w:rFonts w:eastAsia="Calibri"/>
          <w:b/>
          <w:bCs/>
          <w:sz w:val="18"/>
          <w:rtl/>
        </w:rPr>
        <w:t xml:space="preserve"> </w:t>
      </w:r>
      <w:r w:rsidRPr="00BE1CFE">
        <w:rPr>
          <w:rFonts w:eastAsia="Calibri" w:hint="eastAsia"/>
          <w:b/>
          <w:bCs/>
          <w:sz w:val="18"/>
          <w:rtl/>
        </w:rPr>
        <w:t>היקף</w:t>
      </w:r>
      <w:r w:rsidRPr="00BE1CFE">
        <w:rPr>
          <w:rFonts w:eastAsia="Calibri"/>
          <w:b/>
          <w:bCs/>
          <w:sz w:val="18"/>
          <w:rtl/>
        </w:rPr>
        <w:t xml:space="preserve"> </w:t>
      </w:r>
      <w:r w:rsidRPr="00BE1CFE">
        <w:rPr>
          <w:rFonts w:eastAsia="Calibri" w:hint="eastAsia"/>
          <w:b/>
          <w:bCs/>
          <w:sz w:val="18"/>
          <w:rtl/>
        </w:rPr>
        <w:t>נתוני</w:t>
      </w:r>
      <w:r w:rsidRPr="00BE1CFE">
        <w:rPr>
          <w:rFonts w:eastAsia="Calibri"/>
          <w:b/>
          <w:bCs/>
          <w:sz w:val="18"/>
          <w:rtl/>
        </w:rPr>
        <w:t xml:space="preserve"> </w:t>
      </w:r>
      <w:r w:rsidRPr="00BE1CFE">
        <w:rPr>
          <w:rFonts w:eastAsia="Calibri" w:hint="eastAsia"/>
          <w:b/>
          <w:bCs/>
          <w:sz w:val="18"/>
          <w:rtl/>
        </w:rPr>
        <w:t>התעבורה</w:t>
      </w:r>
      <w:r w:rsidRPr="00BE1CFE">
        <w:rPr>
          <w:rFonts w:eastAsia="Calibri"/>
          <w:b/>
          <w:bCs/>
          <w:sz w:val="18"/>
          <w:rtl/>
        </w:rPr>
        <w:t xml:space="preserve"> </w:t>
      </w:r>
      <w:r w:rsidRPr="00BE1CFE">
        <w:rPr>
          <w:rFonts w:eastAsia="Calibri" w:hint="eastAsia"/>
          <w:b/>
          <w:bCs/>
          <w:sz w:val="18"/>
          <w:rtl/>
        </w:rPr>
        <w:t>ונתוני</w:t>
      </w:r>
      <w:r w:rsidRPr="00BE1CFE">
        <w:rPr>
          <w:rFonts w:eastAsia="Calibri"/>
          <w:b/>
          <w:bCs/>
          <w:sz w:val="18"/>
          <w:rtl/>
        </w:rPr>
        <w:t xml:space="preserve"> </w:t>
      </w:r>
      <w:r w:rsidRPr="00BE1CFE">
        <w:rPr>
          <w:rFonts w:eastAsia="Calibri" w:hint="eastAsia"/>
          <w:b/>
          <w:bCs/>
          <w:sz w:val="18"/>
          <w:rtl/>
        </w:rPr>
        <w:t>המיקום</w:t>
      </w:r>
      <w:r w:rsidRPr="00BE1CFE">
        <w:rPr>
          <w:rFonts w:eastAsia="Calibri"/>
          <w:b/>
          <w:bCs/>
          <w:sz w:val="18"/>
          <w:rtl/>
        </w:rPr>
        <w:t xml:space="preserve"> </w:t>
      </w:r>
      <w:r w:rsidRPr="00BE1CFE">
        <w:rPr>
          <w:rFonts w:eastAsia="Calibri" w:hint="eastAsia"/>
          <w:b/>
          <w:bCs/>
          <w:sz w:val="18"/>
          <w:rtl/>
        </w:rPr>
        <w:t>שקיבלה</w:t>
      </w:r>
      <w:r w:rsidRPr="00BE1CFE">
        <w:rPr>
          <w:rFonts w:eastAsia="Calibri"/>
          <w:b/>
          <w:bCs/>
          <w:sz w:val="18"/>
          <w:rtl/>
        </w:rPr>
        <w:t xml:space="preserve"> </w:t>
      </w:r>
      <w:r w:rsidRPr="00BE1CFE">
        <w:rPr>
          <w:rFonts w:eastAsia="Calibri" w:hint="eastAsia"/>
          <w:b/>
          <w:bCs/>
          <w:sz w:val="18"/>
          <w:rtl/>
        </w:rPr>
        <w:t>המשטרה</w:t>
      </w:r>
      <w:r w:rsidRPr="00BE1CFE">
        <w:rPr>
          <w:rFonts w:eastAsia="Calibri"/>
          <w:b/>
          <w:bCs/>
          <w:sz w:val="18"/>
          <w:rtl/>
        </w:rPr>
        <w:t xml:space="preserve"> </w:t>
      </w:r>
      <w:r w:rsidRPr="00BE1CFE">
        <w:rPr>
          <w:rFonts w:eastAsia="Calibri" w:hint="eastAsia"/>
          <w:b/>
          <w:bCs/>
          <w:sz w:val="18"/>
          <w:rtl/>
        </w:rPr>
        <w:t>באמצעות</w:t>
      </w:r>
      <w:r w:rsidRPr="00BE1CFE">
        <w:rPr>
          <w:rFonts w:eastAsia="Calibri"/>
          <w:b/>
          <w:bCs/>
          <w:sz w:val="18"/>
          <w:rtl/>
        </w:rPr>
        <w:t xml:space="preserve"> </w:t>
      </w:r>
      <w:r w:rsidRPr="00BE1CFE">
        <w:rPr>
          <w:rFonts w:eastAsia="Calibri" w:hint="eastAsia"/>
          <w:b/>
          <w:bCs/>
          <w:sz w:val="18"/>
          <w:rtl/>
        </w:rPr>
        <w:t>צווי</w:t>
      </w:r>
      <w:r w:rsidRPr="00BE1CFE">
        <w:rPr>
          <w:rFonts w:eastAsia="Calibri"/>
          <w:b/>
          <w:bCs/>
          <w:sz w:val="18"/>
          <w:rtl/>
        </w:rPr>
        <w:t xml:space="preserve"> </w:t>
      </w:r>
      <w:r w:rsidRPr="00BE1CFE">
        <w:rPr>
          <w:rFonts w:eastAsia="Calibri" w:hint="eastAsia"/>
          <w:b/>
          <w:bCs/>
          <w:sz w:val="18"/>
          <w:rtl/>
        </w:rPr>
        <w:t>בית</w:t>
      </w:r>
      <w:r w:rsidRPr="00BE1CFE">
        <w:rPr>
          <w:rFonts w:eastAsia="Calibri"/>
          <w:b/>
          <w:bCs/>
          <w:sz w:val="18"/>
          <w:rtl/>
        </w:rPr>
        <w:t xml:space="preserve"> </w:t>
      </w:r>
      <w:r w:rsidRPr="00BE1CFE">
        <w:rPr>
          <w:rFonts w:eastAsia="Calibri" w:hint="eastAsia"/>
          <w:b/>
          <w:bCs/>
          <w:sz w:val="18"/>
          <w:rtl/>
        </w:rPr>
        <w:t>משפט</w:t>
      </w:r>
      <w:r w:rsidRPr="00BE1CFE">
        <w:rPr>
          <w:rFonts w:eastAsia="Calibri"/>
          <w:b/>
          <w:bCs/>
          <w:sz w:val="18"/>
          <w:rtl/>
        </w:rPr>
        <w:t xml:space="preserve"> פי שניים ומעלה (</w:t>
      </w:r>
      <w:r w:rsidRPr="00BE1CFE">
        <w:rPr>
          <w:rFonts w:eastAsia="Calibri" w:hint="eastAsia"/>
          <w:b/>
          <w:bCs/>
          <w:sz w:val="18"/>
          <w:rtl/>
        </w:rPr>
        <w:t>גידול</w:t>
      </w:r>
      <w:r w:rsidRPr="00BE1CFE">
        <w:rPr>
          <w:rFonts w:eastAsia="Calibri"/>
          <w:b/>
          <w:bCs/>
          <w:sz w:val="18"/>
          <w:rtl/>
        </w:rPr>
        <w:t xml:space="preserve"> </w:t>
      </w:r>
      <w:r w:rsidRPr="00BE1CFE">
        <w:rPr>
          <w:rFonts w:eastAsia="Calibri" w:hint="eastAsia"/>
          <w:b/>
          <w:bCs/>
          <w:sz w:val="18"/>
          <w:rtl/>
        </w:rPr>
        <w:t>של</w:t>
      </w:r>
      <w:r w:rsidRPr="00BE1CFE">
        <w:rPr>
          <w:rFonts w:eastAsia="Calibri"/>
          <w:b/>
          <w:bCs/>
          <w:sz w:val="18"/>
          <w:rtl/>
        </w:rPr>
        <w:t xml:space="preserve"> כ-115% בהיקף נתוני התעבורה </w:t>
      </w:r>
      <w:r w:rsidRPr="00BE1CFE">
        <w:rPr>
          <w:rFonts w:eastAsia="Calibri" w:hint="eastAsia"/>
          <w:b/>
          <w:bCs/>
          <w:sz w:val="18"/>
          <w:rtl/>
        </w:rPr>
        <w:t>וגידול</w:t>
      </w:r>
      <w:r w:rsidRPr="00BE1CFE">
        <w:rPr>
          <w:rFonts w:eastAsia="Calibri"/>
          <w:b/>
          <w:bCs/>
          <w:sz w:val="18"/>
          <w:rtl/>
        </w:rPr>
        <w:t xml:space="preserve"> </w:t>
      </w:r>
      <w:r w:rsidRPr="00BE1CFE">
        <w:rPr>
          <w:rFonts w:eastAsia="Calibri" w:hint="eastAsia"/>
          <w:b/>
          <w:bCs/>
          <w:sz w:val="18"/>
          <w:rtl/>
        </w:rPr>
        <w:t>של</w:t>
      </w:r>
      <w:r w:rsidRPr="00BE1CFE">
        <w:rPr>
          <w:rFonts w:eastAsia="Calibri"/>
          <w:b/>
          <w:bCs/>
          <w:sz w:val="18"/>
          <w:rtl/>
        </w:rPr>
        <w:t xml:space="preserve"> </w:t>
      </w:r>
      <w:r w:rsidRPr="00BE1CFE">
        <w:rPr>
          <w:rFonts w:eastAsia="Calibri" w:hint="eastAsia"/>
          <w:b/>
          <w:bCs/>
          <w:sz w:val="18"/>
          <w:rtl/>
        </w:rPr>
        <w:t>כ</w:t>
      </w:r>
      <w:r w:rsidRPr="00BE1CFE">
        <w:rPr>
          <w:rFonts w:eastAsia="Calibri"/>
          <w:b/>
          <w:bCs/>
          <w:sz w:val="18"/>
          <w:rtl/>
        </w:rPr>
        <w:t>-</w:t>
      </w:r>
      <w:r>
        <w:rPr>
          <w:rFonts w:eastAsia="Calibri" w:hint="cs"/>
          <w:b/>
          <w:bCs/>
          <w:sz w:val="18"/>
          <w:rtl/>
        </w:rPr>
        <w:t>132</w:t>
      </w:r>
      <w:r w:rsidRPr="00BE1CFE">
        <w:rPr>
          <w:rFonts w:eastAsia="Calibri"/>
          <w:b/>
          <w:bCs/>
          <w:sz w:val="18"/>
          <w:rtl/>
        </w:rPr>
        <w:t xml:space="preserve">% </w:t>
      </w:r>
      <w:r w:rsidRPr="00BE1CFE">
        <w:rPr>
          <w:rFonts w:eastAsia="Calibri" w:hint="eastAsia"/>
          <w:b/>
          <w:bCs/>
          <w:sz w:val="18"/>
          <w:rtl/>
        </w:rPr>
        <w:t>בהיקף</w:t>
      </w:r>
      <w:r w:rsidRPr="00BE1CFE">
        <w:rPr>
          <w:rFonts w:eastAsia="Calibri"/>
          <w:b/>
          <w:bCs/>
          <w:sz w:val="18"/>
          <w:rtl/>
        </w:rPr>
        <w:t xml:space="preserve"> </w:t>
      </w:r>
      <w:r w:rsidRPr="00BE1CFE">
        <w:rPr>
          <w:rFonts w:eastAsia="Calibri" w:hint="eastAsia"/>
          <w:b/>
          <w:bCs/>
          <w:sz w:val="18"/>
          <w:rtl/>
        </w:rPr>
        <w:t>נתוני</w:t>
      </w:r>
      <w:r w:rsidRPr="00BE1CFE">
        <w:rPr>
          <w:rFonts w:eastAsia="Calibri"/>
          <w:b/>
          <w:bCs/>
          <w:sz w:val="18"/>
          <w:rtl/>
        </w:rPr>
        <w:t xml:space="preserve"> המיקום). בשנים אלו </w:t>
      </w:r>
      <w:r w:rsidRPr="00BE1CFE">
        <w:rPr>
          <w:rFonts w:eastAsia="Calibri" w:hint="cs"/>
          <w:b/>
          <w:bCs/>
          <w:sz w:val="18"/>
          <w:rtl/>
        </w:rPr>
        <w:t xml:space="preserve">גם </w:t>
      </w:r>
      <w:r w:rsidRPr="00BE1CFE">
        <w:rPr>
          <w:rFonts w:eastAsia="Calibri" w:hint="eastAsia"/>
          <w:b/>
          <w:bCs/>
          <w:sz w:val="18"/>
          <w:rtl/>
        </w:rPr>
        <w:t>חל</w:t>
      </w:r>
      <w:r w:rsidRPr="00BE1CFE">
        <w:rPr>
          <w:rFonts w:eastAsia="Calibri"/>
          <w:b/>
          <w:bCs/>
          <w:sz w:val="18"/>
          <w:rtl/>
        </w:rPr>
        <w:t xml:space="preserve"> </w:t>
      </w:r>
      <w:r w:rsidRPr="00BE1CFE">
        <w:rPr>
          <w:rFonts w:eastAsia="Calibri" w:hint="eastAsia"/>
          <w:b/>
          <w:bCs/>
          <w:sz w:val="18"/>
          <w:rtl/>
        </w:rPr>
        <w:t>גידול</w:t>
      </w:r>
      <w:r w:rsidRPr="00BE1CFE">
        <w:rPr>
          <w:rFonts w:eastAsia="Calibri"/>
          <w:b/>
          <w:bCs/>
          <w:sz w:val="18"/>
          <w:rtl/>
        </w:rPr>
        <w:t xml:space="preserve"> של כ-78% בהיקף נתוני המנוי שהתקבלו במשטרה.</w:t>
      </w:r>
    </w:p>
    <w:p w:rsidR="00CB2202" w:rsidRPr="00BE1CFE" w:rsidRDefault="00CB2202" w:rsidP="00604C3D">
      <w:pPr>
        <w:spacing w:line="269" w:lineRule="auto"/>
        <w:rPr>
          <w:rFonts w:eastAsia="Calibri"/>
          <w:b/>
          <w:bCs/>
          <w:sz w:val="18"/>
          <w:rtl/>
        </w:rPr>
      </w:pPr>
    </w:p>
    <w:p w:rsidR="00E46818" w:rsidRPr="00BE1CFE" w:rsidRDefault="00E46818" w:rsidP="00604C3D">
      <w:pPr>
        <w:keepNext/>
        <w:keepLines/>
        <w:spacing w:line="269" w:lineRule="auto"/>
        <w:outlineLvl w:val="3"/>
        <w:rPr>
          <w:rFonts w:eastAsia="Times New Roman"/>
          <w:bCs/>
          <w:sz w:val="18"/>
          <w:szCs w:val="26"/>
          <w:rtl/>
        </w:rPr>
      </w:pPr>
      <w:bookmarkStart w:id="592" w:name="_Toc211521950"/>
      <w:bookmarkStart w:id="593" w:name="_Toc219110341"/>
      <w:bookmarkStart w:id="594" w:name="_Toc219113782"/>
      <w:bookmarkStart w:id="595" w:name="_Toc219286557"/>
      <w:r w:rsidRPr="00BE1CFE">
        <w:rPr>
          <w:rFonts w:eastAsia="Times New Roman" w:hint="cs"/>
          <w:bCs/>
          <w:szCs w:val="26"/>
          <w:rtl/>
        </w:rPr>
        <w:t>נתוני תקשורת היסטוריים ועתידיים</w:t>
      </w:r>
      <w:bookmarkEnd w:id="592"/>
      <w:bookmarkEnd w:id="593"/>
      <w:bookmarkEnd w:id="594"/>
      <w:bookmarkEnd w:id="595"/>
      <w:r w:rsidRPr="00BE1CFE">
        <w:rPr>
          <w:rFonts w:eastAsia="Times New Roman" w:hint="cs"/>
          <w:bCs/>
          <w:sz w:val="18"/>
          <w:szCs w:val="26"/>
          <w:rtl/>
        </w:rPr>
        <w:t xml:space="preserve"> </w:t>
      </w:r>
    </w:p>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sz w:val="18"/>
        </w:rPr>
      </w:pPr>
      <w:r w:rsidRPr="00BE1CFE">
        <w:rPr>
          <w:rFonts w:eastAsia="Calibri" w:hint="cs"/>
          <w:sz w:val="18"/>
          <w:rtl/>
        </w:rPr>
        <w:t xml:space="preserve">בחוק נתוני </w:t>
      </w:r>
      <w:r w:rsidRPr="00BE1CFE">
        <w:rPr>
          <w:rFonts w:eastAsia="Calibri" w:hint="cs"/>
          <w:rtl/>
        </w:rPr>
        <w:t>תקשורת</w:t>
      </w:r>
      <w:r w:rsidRPr="00BE1CFE">
        <w:rPr>
          <w:rFonts w:eastAsia="Calibri" w:hint="cs"/>
          <w:sz w:val="18"/>
          <w:rtl/>
        </w:rPr>
        <w:t xml:space="preserve"> נקבע כי בית המשפט יכול לתת צו לקבלת נתונים עתידיים שתוקפו עד 30 ימים ממועד מתן הצו</w:t>
      </w:r>
      <w:r w:rsidRPr="00BE1CFE">
        <w:rPr>
          <w:rFonts w:eastAsia="Calibri"/>
          <w:sz w:val="18"/>
          <w:vertAlign w:val="superscript"/>
          <w:rtl/>
        </w:rPr>
        <w:footnoteReference w:id="262"/>
      </w:r>
      <w:r w:rsidRPr="00BE1CFE">
        <w:rPr>
          <w:rFonts w:eastAsia="Calibri" w:hint="cs"/>
          <w:sz w:val="18"/>
          <w:rtl/>
        </w:rPr>
        <w:t>. לעומת זאת, החוק אינו מגביל את תקופת הצו לקבל נתוני תקשורת היסטוריים (</w:t>
      </w:r>
      <w:bookmarkStart w:id="596" w:name="_Hlk156287613"/>
      <w:r w:rsidRPr="00BE1CFE">
        <w:rPr>
          <w:rFonts w:eastAsia="Calibri" w:hint="cs"/>
          <w:sz w:val="18"/>
          <w:rtl/>
        </w:rPr>
        <w:t xml:space="preserve">מתקופות שקדמו למועד מתן הצו). </w:t>
      </w:r>
      <w:bookmarkEnd w:id="596"/>
    </w:p>
    <w:p w:rsidR="00B47E58" w:rsidRDefault="00B47E58" w:rsidP="00604C3D">
      <w:pPr>
        <w:spacing w:line="269" w:lineRule="auto"/>
        <w:contextualSpacing/>
        <w:rPr>
          <w:rFonts w:eastAsia="Calibri"/>
          <w:szCs w:val="20"/>
          <w:rtl/>
        </w:rPr>
      </w:pPr>
    </w:p>
    <w:p w:rsidR="00E46818" w:rsidRPr="00BE1CFE" w:rsidRDefault="00E46818" w:rsidP="00604C3D">
      <w:pPr>
        <w:spacing w:line="269" w:lineRule="auto"/>
        <w:contextualSpacing/>
        <w:rPr>
          <w:rFonts w:eastAsia="Calibri"/>
          <w:sz w:val="18"/>
          <w:rtl/>
        </w:rPr>
      </w:pPr>
      <w:r w:rsidRPr="00BE1CFE">
        <w:rPr>
          <w:rFonts w:eastAsia="Calibri" w:hint="cs"/>
          <w:sz w:val="18"/>
          <w:rtl/>
        </w:rPr>
        <w:t xml:space="preserve">הבחנה זו </w:t>
      </w:r>
      <w:r w:rsidRPr="00BE1CFE">
        <w:rPr>
          <w:rFonts w:eastAsia="Calibri" w:hint="eastAsia"/>
          <w:sz w:val="18"/>
          <w:rtl/>
        </w:rPr>
        <w:t>נובעת</w:t>
      </w:r>
      <w:r w:rsidRPr="00BE1CFE">
        <w:rPr>
          <w:rFonts w:eastAsia="Calibri" w:hint="cs"/>
          <w:sz w:val="18"/>
          <w:rtl/>
        </w:rPr>
        <w:t xml:space="preserve"> מהצורך באיזון בין המחויבות להימנע מפגיעה בפרטיות ל</w:t>
      </w:r>
      <w:r w:rsidRPr="00BE1CFE">
        <w:rPr>
          <w:rFonts w:eastAsia="Calibri"/>
          <w:sz w:val="18"/>
          <w:rtl/>
        </w:rPr>
        <w:t>בין הצורך של המשטרה לקבל לידיה נתוני תקשורת לצורך מילוי תפקידיה</w:t>
      </w:r>
      <w:r w:rsidRPr="00BE1CFE">
        <w:rPr>
          <w:rFonts w:eastAsia="Calibri" w:hint="cs"/>
          <w:sz w:val="18"/>
          <w:rtl/>
        </w:rPr>
        <w:t>. כאשר מדובר בצו לקבלת נתונים עתידיים, לא בהכרח נעברה עבירה בשלב הוצאת הצו, ולכן, מכוח העיקרון של הגבלת הכוח וצמצום הפגיעה בפרטיות, ניתן להתיר צו עתידי שתוקפו מוגבל ל-30 ימים. לעומת זאת, כאשר מדובר בנתוני עבר כבר נעברה העבירה בשלב הוצאת הצו, ולכן נקבע כי ניתן להתיר בצו קבלת נתונים לתקופה ארוכה ככל הנדרש לצורכי החקירה.</w:t>
      </w:r>
    </w:p>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rtl/>
        </w:rPr>
      </w:pPr>
      <w:r w:rsidRPr="00BE1CFE">
        <w:rPr>
          <w:rFonts w:eastAsia="Calibri" w:hint="cs"/>
          <w:sz w:val="18"/>
          <w:rtl/>
        </w:rPr>
        <w:t>בנוהל בנושא קבלת נתוני תקשורת</w:t>
      </w:r>
      <w:r w:rsidRPr="00BE1CFE">
        <w:rPr>
          <w:rFonts w:eastAsia="Calibri" w:hint="cs"/>
          <w:rtl/>
        </w:rPr>
        <w:t xml:space="preserve"> </w:t>
      </w:r>
      <w:r w:rsidRPr="00BE1CFE">
        <w:rPr>
          <w:rFonts w:eastAsia="Calibri" w:hint="cs"/>
          <w:sz w:val="18"/>
          <w:rtl/>
        </w:rPr>
        <w:t xml:space="preserve">קבעה חטיבת הסייבר כי כאשר נדרשים נתוני תקשורת לצורכי חקירה, קצין המשטרה המאשר את הגשת הבקשה לבית המשפט צריך </w:t>
      </w:r>
      <w:bookmarkStart w:id="597" w:name="_Hlk156724355"/>
      <w:r w:rsidRPr="00BE1CFE">
        <w:rPr>
          <w:rFonts w:eastAsia="Calibri" w:hint="cs"/>
          <w:rtl/>
        </w:rPr>
        <w:t>לוודא שפרק הזמן שלגביו מתבקשים נתוני התקשורת אינו חורג מפרק הזמן הנדרש</w:t>
      </w:r>
      <w:bookmarkEnd w:id="597"/>
      <w:r w:rsidRPr="00BE1CFE">
        <w:rPr>
          <w:rFonts w:eastAsia="Calibri" w:hint="cs"/>
          <w:sz w:val="18"/>
          <w:rtl/>
        </w:rPr>
        <w:t>.</w:t>
      </w:r>
    </w:p>
    <w:p w:rsidR="00B47E58" w:rsidRDefault="00B47E58" w:rsidP="00604C3D">
      <w:pPr>
        <w:spacing w:line="269" w:lineRule="auto"/>
        <w:rPr>
          <w:rFonts w:eastAsia="Calibri"/>
          <w:szCs w:val="20"/>
          <w:rtl/>
        </w:rPr>
      </w:pPr>
    </w:p>
    <w:p w:rsidR="00E46818" w:rsidRDefault="00E46818" w:rsidP="00604C3D">
      <w:pPr>
        <w:spacing w:line="269" w:lineRule="auto"/>
        <w:rPr>
          <w:rFonts w:eastAsia="Calibri"/>
          <w:sz w:val="18"/>
          <w:rtl/>
        </w:rPr>
      </w:pPr>
      <w:r w:rsidRPr="00BE1CFE">
        <w:rPr>
          <w:rFonts w:eastAsia="Calibri" w:hint="cs"/>
          <w:sz w:val="18"/>
          <w:rtl/>
        </w:rPr>
        <w:t>בלוחות ובתרשים שלהלן מוצגים פרקי הזמן שלגביהם נענו בקשות המשטרה וניתן צו בית המשפט לקבלת נתוני תקשורת - נתונים היסטוריים ונתונים עתידיים.</w:t>
      </w:r>
    </w:p>
    <w:p w:rsidR="00837D04" w:rsidRPr="00BE1CFE" w:rsidRDefault="00837D04" w:rsidP="00604C3D">
      <w:pPr>
        <w:spacing w:line="269" w:lineRule="auto"/>
        <w:rPr>
          <w:rFonts w:eastAsia="Calibri"/>
          <w:sz w:val="18"/>
          <w:rtl/>
        </w:rPr>
      </w:pPr>
    </w:p>
    <w:p w:rsidR="00E46818" w:rsidRDefault="00E46818" w:rsidP="00604C3D">
      <w:pPr>
        <w:spacing w:line="269" w:lineRule="auto"/>
        <w:jc w:val="center"/>
        <w:rPr>
          <w:rFonts w:eastAsia="Calibri"/>
          <w:sz w:val="18"/>
          <w:rtl/>
        </w:rPr>
      </w:pPr>
      <w:bookmarkStart w:id="598" w:name="_Hlk138608988"/>
    </w:p>
    <w:p w:rsidR="00E46818" w:rsidRPr="00BE1CFE" w:rsidRDefault="00E46818" w:rsidP="00604C3D">
      <w:pPr>
        <w:spacing w:line="269" w:lineRule="auto"/>
        <w:jc w:val="center"/>
        <w:rPr>
          <w:rFonts w:eastAsia="Calibri"/>
          <w:b/>
          <w:bCs/>
          <w:sz w:val="18"/>
          <w:rtl/>
        </w:rPr>
      </w:pPr>
      <w:r w:rsidRPr="00BE1CFE">
        <w:rPr>
          <w:rFonts w:eastAsia="Calibri" w:hint="eastAsia"/>
          <w:sz w:val="18"/>
          <w:rtl/>
        </w:rPr>
        <w:t>לוח</w:t>
      </w:r>
      <w:r w:rsidRPr="00BE1CFE">
        <w:rPr>
          <w:rFonts w:eastAsia="Calibri" w:hint="cs"/>
          <w:sz w:val="18"/>
          <w:rtl/>
        </w:rPr>
        <w:t xml:space="preserve"> </w:t>
      </w:r>
      <w:r>
        <w:rPr>
          <w:rFonts w:eastAsia="Calibri" w:hint="cs"/>
          <w:sz w:val="18"/>
          <w:rtl/>
        </w:rPr>
        <w:t>18</w:t>
      </w:r>
      <w:r w:rsidRPr="00BE1CFE">
        <w:rPr>
          <w:rFonts w:eastAsia="Calibri"/>
          <w:sz w:val="18"/>
          <w:rtl/>
        </w:rPr>
        <w:t>:</w:t>
      </w:r>
      <w:r w:rsidRPr="00BE1CFE">
        <w:rPr>
          <w:rFonts w:eastAsia="Calibri"/>
          <w:b/>
          <w:bCs/>
          <w:sz w:val="18"/>
          <w:rtl/>
        </w:rPr>
        <w:t xml:space="preserve"> </w:t>
      </w:r>
      <w:r w:rsidRPr="00BE1CFE">
        <w:rPr>
          <w:rFonts w:eastAsia="Calibri" w:hint="eastAsia"/>
          <w:b/>
          <w:bCs/>
          <w:sz w:val="18"/>
          <w:rtl/>
        </w:rPr>
        <w:t>פילוח</w:t>
      </w:r>
      <w:r w:rsidRPr="00BE1CFE">
        <w:rPr>
          <w:rFonts w:eastAsia="Calibri"/>
          <w:b/>
          <w:bCs/>
          <w:sz w:val="18"/>
          <w:rtl/>
        </w:rPr>
        <w:t xml:space="preserve"> </w:t>
      </w:r>
      <w:r w:rsidRPr="00BE1CFE">
        <w:rPr>
          <w:rFonts w:eastAsia="Calibri" w:hint="cs"/>
          <w:b/>
          <w:bCs/>
          <w:sz w:val="18"/>
          <w:rtl/>
        </w:rPr>
        <w:t xml:space="preserve">מספר </w:t>
      </w:r>
      <w:r w:rsidRPr="00BE1CFE">
        <w:rPr>
          <w:rFonts w:eastAsia="Calibri"/>
          <w:b/>
          <w:bCs/>
          <w:sz w:val="18"/>
          <w:rtl/>
        </w:rPr>
        <w:t xml:space="preserve">צווי בית </w:t>
      </w:r>
      <w:r w:rsidRPr="00BE1CFE">
        <w:rPr>
          <w:rFonts w:eastAsia="Calibri" w:hint="cs"/>
          <w:b/>
          <w:bCs/>
          <w:sz w:val="18"/>
          <w:rtl/>
        </w:rPr>
        <w:t>ה</w:t>
      </w:r>
      <w:r w:rsidRPr="00BE1CFE">
        <w:rPr>
          <w:rFonts w:eastAsia="Calibri"/>
          <w:b/>
          <w:bCs/>
          <w:sz w:val="18"/>
          <w:rtl/>
        </w:rPr>
        <w:t xml:space="preserve">משפט </w:t>
      </w:r>
      <w:r w:rsidRPr="00BE1CFE">
        <w:rPr>
          <w:rFonts w:eastAsia="Calibri" w:hint="eastAsia"/>
          <w:b/>
          <w:bCs/>
          <w:sz w:val="18"/>
          <w:rtl/>
        </w:rPr>
        <w:t>לקבלת</w:t>
      </w:r>
      <w:r w:rsidRPr="00BE1CFE">
        <w:rPr>
          <w:rFonts w:eastAsia="Calibri"/>
          <w:b/>
          <w:bCs/>
          <w:sz w:val="18"/>
          <w:rtl/>
        </w:rPr>
        <w:t xml:space="preserve"> </w:t>
      </w:r>
      <w:r w:rsidRPr="00BE1CFE">
        <w:rPr>
          <w:rFonts w:eastAsia="Calibri" w:hint="eastAsia"/>
          <w:b/>
          <w:bCs/>
          <w:sz w:val="18"/>
          <w:rtl/>
        </w:rPr>
        <w:t>נתוני</w:t>
      </w:r>
      <w:r w:rsidRPr="00BE1CFE">
        <w:rPr>
          <w:rFonts w:eastAsia="Calibri"/>
          <w:b/>
          <w:bCs/>
          <w:sz w:val="18"/>
          <w:rtl/>
        </w:rPr>
        <w:t xml:space="preserve"> </w:t>
      </w:r>
      <w:r w:rsidRPr="00BE1CFE">
        <w:rPr>
          <w:rFonts w:eastAsia="Calibri" w:hint="cs"/>
          <w:b/>
          <w:bCs/>
          <w:sz w:val="18"/>
          <w:rtl/>
        </w:rPr>
        <w:t xml:space="preserve">תקשורת </w:t>
      </w:r>
      <w:r w:rsidRPr="00BE1CFE">
        <w:rPr>
          <w:rFonts w:eastAsia="Calibri" w:hint="eastAsia"/>
          <w:b/>
          <w:bCs/>
          <w:sz w:val="18"/>
          <w:rtl/>
        </w:rPr>
        <w:t>ה</w:t>
      </w:r>
      <w:r w:rsidRPr="00BE1CFE">
        <w:rPr>
          <w:rFonts w:eastAsia="Calibri" w:hint="cs"/>
          <w:b/>
          <w:bCs/>
          <w:sz w:val="18"/>
          <w:rtl/>
        </w:rPr>
        <w:t>י</w:t>
      </w:r>
      <w:r w:rsidRPr="00BE1CFE">
        <w:rPr>
          <w:rFonts w:eastAsia="Calibri" w:hint="eastAsia"/>
          <w:b/>
          <w:bCs/>
          <w:sz w:val="18"/>
          <w:rtl/>
        </w:rPr>
        <w:t>סטור</w:t>
      </w:r>
      <w:r w:rsidRPr="00BE1CFE">
        <w:rPr>
          <w:rFonts w:eastAsia="Calibri" w:hint="cs"/>
          <w:b/>
          <w:bCs/>
          <w:sz w:val="18"/>
          <w:rtl/>
        </w:rPr>
        <w:t>י</w:t>
      </w:r>
      <w:r w:rsidRPr="00BE1CFE">
        <w:rPr>
          <w:rFonts w:eastAsia="Calibri" w:hint="eastAsia"/>
          <w:b/>
          <w:bCs/>
          <w:sz w:val="18"/>
          <w:rtl/>
        </w:rPr>
        <w:t>ים</w:t>
      </w:r>
      <w:r w:rsidRPr="00BE1CFE">
        <w:rPr>
          <w:rFonts w:eastAsia="Calibri" w:hint="cs"/>
          <w:b/>
          <w:bCs/>
          <w:sz w:val="18"/>
          <w:rtl/>
        </w:rPr>
        <w:t>,</w:t>
      </w:r>
      <w:r w:rsidRPr="00BE1CFE">
        <w:rPr>
          <w:rFonts w:eastAsia="Calibri"/>
          <w:b/>
          <w:bCs/>
          <w:sz w:val="18"/>
          <w:rtl/>
        </w:rPr>
        <w:t xml:space="preserve"> </w:t>
      </w:r>
      <w:r w:rsidRPr="00BE1CFE">
        <w:rPr>
          <w:rFonts w:eastAsia="Calibri" w:hint="cs"/>
          <w:b/>
          <w:bCs/>
          <w:sz w:val="18"/>
          <w:rtl/>
        </w:rPr>
        <w:t xml:space="preserve">בחלוקה </w:t>
      </w:r>
      <w:r w:rsidRPr="00BE1CFE">
        <w:rPr>
          <w:rFonts w:eastAsia="Calibri" w:hint="eastAsia"/>
          <w:b/>
          <w:bCs/>
          <w:sz w:val="18"/>
          <w:rtl/>
        </w:rPr>
        <w:t>ל</w:t>
      </w:r>
      <w:r w:rsidRPr="00BE1CFE">
        <w:rPr>
          <w:rFonts w:eastAsia="Calibri" w:hint="cs"/>
          <w:b/>
          <w:bCs/>
          <w:sz w:val="18"/>
          <w:rtl/>
        </w:rPr>
        <w:t xml:space="preserve">פרקי הזמן שלגביהם התבקשו הנתונים </w:t>
      </w:r>
    </w:p>
    <w:tbl>
      <w:tblPr>
        <w:tblStyle w:val="afc"/>
        <w:bidiVisual/>
        <w:tblW w:w="7975" w:type="dxa"/>
        <w:tblInd w:w="258" w:type="dxa"/>
        <w:tblLayout w:type="fixed"/>
        <w:tblLook w:val="04A0" w:firstRow="1" w:lastRow="0" w:firstColumn="1" w:lastColumn="0" w:noHBand="0" w:noVBand="1"/>
      </w:tblPr>
      <w:tblGrid>
        <w:gridCol w:w="1604"/>
        <w:gridCol w:w="1134"/>
        <w:gridCol w:w="1276"/>
        <w:gridCol w:w="1275"/>
        <w:gridCol w:w="1418"/>
        <w:gridCol w:w="1268"/>
      </w:tblGrid>
      <w:tr w:rsidR="00E46818" w:rsidRPr="003C04C6" w:rsidTr="00E552D6">
        <w:tc>
          <w:tcPr>
            <w:tcW w:w="1604" w:type="dxa"/>
            <w:tcBorders>
              <w:bottom w:val="single" w:sz="12" w:space="0" w:color="auto"/>
            </w:tcBorders>
            <w:shd w:val="clear" w:color="auto" w:fill="D9D9D9"/>
          </w:tcPr>
          <w:p w:rsidR="00E46818" w:rsidRPr="003C04C6" w:rsidRDefault="00E46818" w:rsidP="00604C3D">
            <w:pPr>
              <w:spacing w:line="269" w:lineRule="auto"/>
              <w:rPr>
                <w:rFonts w:eastAsia="Calibri"/>
                <w:b/>
                <w:bCs/>
                <w:sz w:val="22"/>
                <w:szCs w:val="22"/>
                <w:rtl/>
              </w:rPr>
            </w:pPr>
          </w:p>
        </w:tc>
        <w:tc>
          <w:tcPr>
            <w:tcW w:w="1134"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2017</w:t>
            </w:r>
          </w:p>
        </w:tc>
        <w:tc>
          <w:tcPr>
            <w:tcW w:w="1276"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2018</w:t>
            </w:r>
          </w:p>
        </w:tc>
        <w:tc>
          <w:tcPr>
            <w:tcW w:w="1275"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2019</w:t>
            </w:r>
          </w:p>
        </w:tc>
        <w:tc>
          <w:tcPr>
            <w:tcW w:w="1418"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2020</w:t>
            </w:r>
          </w:p>
        </w:tc>
        <w:tc>
          <w:tcPr>
            <w:tcW w:w="1268"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2021</w:t>
            </w:r>
          </w:p>
        </w:tc>
      </w:tr>
      <w:tr w:rsidR="00E46818" w:rsidRPr="003C04C6" w:rsidTr="00E552D6">
        <w:tc>
          <w:tcPr>
            <w:tcW w:w="1604" w:type="dxa"/>
            <w:tcBorders>
              <w:top w:val="single" w:sz="12" w:space="0" w:color="auto"/>
              <w:right w:val="single" w:sz="12" w:space="0" w:color="auto"/>
            </w:tcBorders>
            <w:shd w:val="clear" w:color="auto" w:fill="D9D9D9"/>
          </w:tcPr>
          <w:p w:rsidR="00E46818" w:rsidRPr="003C04C6" w:rsidRDefault="00E46818" w:rsidP="00604C3D">
            <w:pPr>
              <w:spacing w:line="269" w:lineRule="auto"/>
              <w:rPr>
                <w:rFonts w:eastAsia="Calibri"/>
                <w:b/>
                <w:bCs/>
                <w:sz w:val="22"/>
                <w:szCs w:val="22"/>
                <w:rtl/>
              </w:rPr>
            </w:pPr>
            <w:r w:rsidRPr="003C04C6">
              <w:rPr>
                <w:rFonts w:eastAsia="Calibri" w:hint="cs"/>
                <w:b/>
                <w:bCs/>
                <w:sz w:val="22"/>
                <w:szCs w:val="22"/>
                <w:rtl/>
              </w:rPr>
              <w:t xml:space="preserve">עד 24 שעות </w:t>
            </w:r>
          </w:p>
        </w:tc>
        <w:tc>
          <w:tcPr>
            <w:tcW w:w="1134" w:type="dxa"/>
            <w:tcBorders>
              <w:top w:val="single" w:sz="12" w:space="0" w:color="auto"/>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0</w:t>
            </w:r>
          </w:p>
        </w:tc>
        <w:tc>
          <w:tcPr>
            <w:tcW w:w="1276"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0</w:t>
            </w:r>
          </w:p>
        </w:tc>
        <w:tc>
          <w:tcPr>
            <w:tcW w:w="1275"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0</w:t>
            </w:r>
          </w:p>
        </w:tc>
        <w:tc>
          <w:tcPr>
            <w:tcW w:w="1418"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0</w:t>
            </w:r>
          </w:p>
        </w:tc>
        <w:tc>
          <w:tcPr>
            <w:tcW w:w="1268"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0</w:t>
            </w:r>
          </w:p>
        </w:tc>
      </w:tr>
      <w:tr w:rsidR="00E46818" w:rsidRPr="003C04C6" w:rsidTr="00E552D6">
        <w:tc>
          <w:tcPr>
            <w:tcW w:w="1604" w:type="dxa"/>
            <w:tcBorders>
              <w:right w:val="single" w:sz="12" w:space="0" w:color="auto"/>
            </w:tcBorders>
            <w:shd w:val="clear" w:color="auto" w:fill="D9D9D9"/>
          </w:tcPr>
          <w:p w:rsidR="00E46818" w:rsidRPr="003C04C6" w:rsidRDefault="00E46818" w:rsidP="00604C3D">
            <w:pPr>
              <w:spacing w:line="269" w:lineRule="auto"/>
              <w:rPr>
                <w:rFonts w:eastAsia="Calibri"/>
                <w:b/>
                <w:bCs/>
                <w:sz w:val="22"/>
                <w:szCs w:val="22"/>
                <w:rtl/>
              </w:rPr>
            </w:pPr>
            <w:r w:rsidRPr="003C04C6">
              <w:rPr>
                <w:rFonts w:eastAsia="Calibri" w:hint="cs"/>
                <w:b/>
                <w:bCs/>
                <w:sz w:val="22"/>
                <w:szCs w:val="22"/>
                <w:rtl/>
              </w:rPr>
              <w:t>עד שבוע</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2,414</w:t>
            </w:r>
          </w:p>
        </w:tc>
        <w:tc>
          <w:tcPr>
            <w:tcW w:w="1276"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2,223</w:t>
            </w:r>
          </w:p>
        </w:tc>
        <w:tc>
          <w:tcPr>
            <w:tcW w:w="1275"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1,896</w:t>
            </w:r>
          </w:p>
        </w:tc>
        <w:tc>
          <w:tcPr>
            <w:tcW w:w="141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1,747</w:t>
            </w:r>
          </w:p>
        </w:tc>
        <w:tc>
          <w:tcPr>
            <w:tcW w:w="126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1,551</w:t>
            </w:r>
          </w:p>
        </w:tc>
      </w:tr>
      <w:tr w:rsidR="00E46818" w:rsidRPr="003C04C6" w:rsidTr="00E552D6">
        <w:tc>
          <w:tcPr>
            <w:tcW w:w="1604" w:type="dxa"/>
            <w:tcBorders>
              <w:right w:val="single" w:sz="12" w:space="0" w:color="auto"/>
            </w:tcBorders>
            <w:shd w:val="clear" w:color="auto" w:fill="D9D9D9"/>
          </w:tcPr>
          <w:p w:rsidR="00E46818" w:rsidRPr="003C04C6" w:rsidRDefault="00E46818" w:rsidP="00604C3D">
            <w:pPr>
              <w:spacing w:line="269" w:lineRule="auto"/>
              <w:rPr>
                <w:rFonts w:eastAsia="Calibri"/>
                <w:b/>
                <w:bCs/>
                <w:sz w:val="22"/>
                <w:szCs w:val="22"/>
                <w:rtl/>
              </w:rPr>
            </w:pPr>
            <w:r w:rsidRPr="003C04C6">
              <w:rPr>
                <w:rFonts w:eastAsia="Calibri" w:hint="cs"/>
                <w:b/>
                <w:bCs/>
                <w:sz w:val="22"/>
                <w:szCs w:val="22"/>
                <w:rtl/>
              </w:rPr>
              <w:t>עד שבועיים</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920</w:t>
            </w:r>
          </w:p>
        </w:tc>
        <w:tc>
          <w:tcPr>
            <w:tcW w:w="1276"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949</w:t>
            </w:r>
          </w:p>
        </w:tc>
        <w:tc>
          <w:tcPr>
            <w:tcW w:w="1275"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881</w:t>
            </w:r>
          </w:p>
        </w:tc>
        <w:tc>
          <w:tcPr>
            <w:tcW w:w="141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787</w:t>
            </w:r>
          </w:p>
        </w:tc>
        <w:tc>
          <w:tcPr>
            <w:tcW w:w="126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704</w:t>
            </w:r>
          </w:p>
        </w:tc>
      </w:tr>
      <w:tr w:rsidR="00E46818" w:rsidRPr="003C04C6" w:rsidTr="00E552D6">
        <w:tc>
          <w:tcPr>
            <w:tcW w:w="1604" w:type="dxa"/>
            <w:tcBorders>
              <w:right w:val="single" w:sz="12" w:space="0" w:color="auto"/>
            </w:tcBorders>
            <w:shd w:val="clear" w:color="auto" w:fill="D9D9D9"/>
          </w:tcPr>
          <w:p w:rsidR="00E46818" w:rsidRPr="003C04C6" w:rsidRDefault="00E46818" w:rsidP="00604C3D">
            <w:pPr>
              <w:spacing w:line="269" w:lineRule="auto"/>
              <w:rPr>
                <w:rFonts w:eastAsia="Calibri"/>
                <w:b/>
                <w:bCs/>
                <w:sz w:val="22"/>
                <w:szCs w:val="22"/>
                <w:rtl/>
              </w:rPr>
            </w:pPr>
            <w:r w:rsidRPr="003C04C6">
              <w:rPr>
                <w:rFonts w:eastAsia="Calibri" w:hint="cs"/>
                <w:b/>
                <w:bCs/>
                <w:sz w:val="22"/>
                <w:szCs w:val="22"/>
                <w:rtl/>
              </w:rPr>
              <w:t>עד 30 ימים</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1,659</w:t>
            </w:r>
          </w:p>
        </w:tc>
        <w:tc>
          <w:tcPr>
            <w:tcW w:w="1276"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1,780</w:t>
            </w:r>
          </w:p>
        </w:tc>
        <w:tc>
          <w:tcPr>
            <w:tcW w:w="1275"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1,836</w:t>
            </w:r>
          </w:p>
        </w:tc>
        <w:tc>
          <w:tcPr>
            <w:tcW w:w="141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1,921</w:t>
            </w:r>
          </w:p>
        </w:tc>
        <w:tc>
          <w:tcPr>
            <w:tcW w:w="126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1,628</w:t>
            </w:r>
          </w:p>
        </w:tc>
      </w:tr>
      <w:tr w:rsidR="00E46818" w:rsidRPr="003C04C6" w:rsidTr="00E552D6">
        <w:tc>
          <w:tcPr>
            <w:tcW w:w="1604" w:type="dxa"/>
            <w:tcBorders>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עד שלושה חודשים</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3,491</w:t>
            </w:r>
          </w:p>
        </w:tc>
        <w:tc>
          <w:tcPr>
            <w:tcW w:w="1276"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4,152</w:t>
            </w:r>
          </w:p>
        </w:tc>
        <w:tc>
          <w:tcPr>
            <w:tcW w:w="1275"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4,600</w:t>
            </w:r>
          </w:p>
        </w:tc>
        <w:tc>
          <w:tcPr>
            <w:tcW w:w="141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5,106</w:t>
            </w:r>
          </w:p>
        </w:tc>
        <w:tc>
          <w:tcPr>
            <w:tcW w:w="126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4,656</w:t>
            </w:r>
          </w:p>
        </w:tc>
      </w:tr>
      <w:tr w:rsidR="00E46818" w:rsidRPr="003C04C6" w:rsidTr="00E552D6">
        <w:tc>
          <w:tcPr>
            <w:tcW w:w="1604" w:type="dxa"/>
            <w:tcBorders>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עד שישה חודשים</w:t>
            </w:r>
          </w:p>
        </w:tc>
        <w:tc>
          <w:tcPr>
            <w:tcW w:w="1134" w:type="dxa"/>
            <w:tcBorders>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2,069</w:t>
            </w:r>
          </w:p>
        </w:tc>
        <w:tc>
          <w:tcPr>
            <w:tcW w:w="1276"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2,592</w:t>
            </w:r>
          </w:p>
        </w:tc>
        <w:tc>
          <w:tcPr>
            <w:tcW w:w="1275"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2,956</w:t>
            </w:r>
          </w:p>
        </w:tc>
        <w:tc>
          <w:tcPr>
            <w:tcW w:w="141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3,235</w:t>
            </w:r>
          </w:p>
        </w:tc>
        <w:tc>
          <w:tcPr>
            <w:tcW w:w="1268" w:type="dxa"/>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3,139</w:t>
            </w:r>
          </w:p>
        </w:tc>
      </w:tr>
      <w:tr w:rsidR="00E46818" w:rsidRPr="003C04C6" w:rsidTr="00E552D6">
        <w:tc>
          <w:tcPr>
            <w:tcW w:w="1604" w:type="dxa"/>
            <w:tcBorders>
              <w:bottom w:val="single" w:sz="4"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מעל שישה חודשים</w:t>
            </w:r>
          </w:p>
        </w:tc>
        <w:tc>
          <w:tcPr>
            <w:tcW w:w="1134" w:type="dxa"/>
            <w:tcBorders>
              <w:left w:val="single" w:sz="12" w:space="0" w:color="auto"/>
              <w:bottom w:val="single" w:sz="4"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806</w:t>
            </w:r>
          </w:p>
        </w:tc>
        <w:tc>
          <w:tcPr>
            <w:tcW w:w="1276" w:type="dxa"/>
            <w:tcBorders>
              <w:bottom w:val="single" w:sz="4"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1,088</w:t>
            </w:r>
          </w:p>
        </w:tc>
        <w:tc>
          <w:tcPr>
            <w:tcW w:w="1275" w:type="dxa"/>
            <w:tcBorders>
              <w:bottom w:val="single" w:sz="4"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1,211</w:t>
            </w:r>
          </w:p>
        </w:tc>
        <w:tc>
          <w:tcPr>
            <w:tcW w:w="1418" w:type="dxa"/>
            <w:tcBorders>
              <w:bottom w:val="single" w:sz="4"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1,189</w:t>
            </w:r>
          </w:p>
        </w:tc>
        <w:tc>
          <w:tcPr>
            <w:tcW w:w="1268" w:type="dxa"/>
            <w:tcBorders>
              <w:bottom w:val="single" w:sz="4"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1,164</w:t>
            </w:r>
          </w:p>
        </w:tc>
      </w:tr>
      <w:tr w:rsidR="00E46818" w:rsidRPr="003C04C6" w:rsidTr="00E552D6">
        <w:tc>
          <w:tcPr>
            <w:tcW w:w="1604" w:type="dxa"/>
            <w:tcBorders>
              <w:bottom w:val="single" w:sz="12"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מעל שנה</w:t>
            </w:r>
          </w:p>
        </w:tc>
        <w:tc>
          <w:tcPr>
            <w:tcW w:w="1134" w:type="dxa"/>
            <w:tcBorders>
              <w:left w:val="single" w:sz="12" w:space="0" w:color="auto"/>
              <w:bottom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285</w:t>
            </w:r>
          </w:p>
        </w:tc>
        <w:tc>
          <w:tcPr>
            <w:tcW w:w="1276" w:type="dxa"/>
            <w:tcBorders>
              <w:bottom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384</w:t>
            </w:r>
          </w:p>
        </w:tc>
        <w:tc>
          <w:tcPr>
            <w:tcW w:w="1275" w:type="dxa"/>
            <w:tcBorders>
              <w:bottom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489</w:t>
            </w:r>
          </w:p>
        </w:tc>
        <w:tc>
          <w:tcPr>
            <w:tcW w:w="1418" w:type="dxa"/>
            <w:tcBorders>
              <w:bottom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453</w:t>
            </w:r>
          </w:p>
        </w:tc>
        <w:tc>
          <w:tcPr>
            <w:tcW w:w="1268" w:type="dxa"/>
            <w:tcBorders>
              <w:bottom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409</w:t>
            </w:r>
          </w:p>
        </w:tc>
      </w:tr>
      <w:tr w:rsidR="00E46818" w:rsidRPr="003C04C6" w:rsidTr="00E552D6">
        <w:tc>
          <w:tcPr>
            <w:tcW w:w="1604" w:type="dxa"/>
            <w:tcBorders>
              <w:top w:val="single" w:sz="12" w:space="0" w:color="auto"/>
              <w:right w:val="single" w:sz="12" w:space="0" w:color="auto"/>
            </w:tcBorders>
            <w:shd w:val="clear" w:color="auto" w:fill="D9D9D9"/>
          </w:tcPr>
          <w:p w:rsidR="00E46818" w:rsidRPr="003C04C6" w:rsidRDefault="00E46818" w:rsidP="00604C3D">
            <w:pPr>
              <w:spacing w:line="269" w:lineRule="auto"/>
              <w:rPr>
                <w:rFonts w:eastAsia="Calibri"/>
                <w:b/>
                <w:bCs/>
                <w:sz w:val="22"/>
                <w:szCs w:val="22"/>
                <w:rtl/>
              </w:rPr>
            </w:pPr>
            <w:r w:rsidRPr="003C04C6">
              <w:rPr>
                <w:rFonts w:eastAsia="Calibri" w:hint="cs"/>
                <w:b/>
                <w:bCs/>
                <w:sz w:val="22"/>
                <w:szCs w:val="22"/>
                <w:rtl/>
              </w:rPr>
              <w:t>בסך הכול</w:t>
            </w:r>
          </w:p>
        </w:tc>
        <w:tc>
          <w:tcPr>
            <w:tcW w:w="1134" w:type="dxa"/>
            <w:tcBorders>
              <w:top w:val="single" w:sz="12" w:space="0" w:color="auto"/>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11,644</w:t>
            </w:r>
          </w:p>
        </w:tc>
        <w:tc>
          <w:tcPr>
            <w:tcW w:w="1276"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13,168</w:t>
            </w:r>
          </w:p>
        </w:tc>
        <w:tc>
          <w:tcPr>
            <w:tcW w:w="1275"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13,869</w:t>
            </w:r>
          </w:p>
        </w:tc>
        <w:tc>
          <w:tcPr>
            <w:tcW w:w="1418"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14,438</w:t>
            </w:r>
          </w:p>
        </w:tc>
        <w:tc>
          <w:tcPr>
            <w:tcW w:w="1268"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13,251</w:t>
            </w:r>
          </w:p>
        </w:tc>
      </w:tr>
    </w:tbl>
    <w:p w:rsidR="00E46818" w:rsidRPr="00BE1CFE" w:rsidRDefault="00E46818" w:rsidP="00604C3D">
      <w:pPr>
        <w:spacing w:line="269" w:lineRule="auto"/>
        <w:rPr>
          <w:rFonts w:eastAsia="Calibri"/>
          <w:szCs w:val="20"/>
          <w:rtl/>
        </w:rPr>
      </w:pPr>
      <w:r w:rsidRPr="00BE1CFE">
        <w:rPr>
          <w:rFonts w:eastAsia="Calibri" w:hint="cs"/>
          <w:szCs w:val="20"/>
          <w:rtl/>
        </w:rPr>
        <w:t>על</w:t>
      </w:r>
      <w:r w:rsidRPr="00BE1CFE">
        <w:rPr>
          <w:rFonts w:eastAsia="Calibri"/>
          <w:szCs w:val="20"/>
          <w:rtl/>
        </w:rPr>
        <w:t xml:space="preserve"> </w:t>
      </w:r>
      <w:r w:rsidRPr="00BE1CFE">
        <w:rPr>
          <w:rFonts w:eastAsia="Calibri" w:hint="cs"/>
          <w:szCs w:val="20"/>
          <w:rtl/>
        </w:rPr>
        <w:t>פי</w:t>
      </w:r>
      <w:r w:rsidRPr="00BE1CFE">
        <w:rPr>
          <w:rFonts w:eastAsia="Calibri"/>
          <w:szCs w:val="20"/>
          <w:rtl/>
        </w:rPr>
        <w:t xml:space="preserve"> </w:t>
      </w:r>
      <w:r w:rsidRPr="00BE1CFE">
        <w:rPr>
          <w:rFonts w:eastAsia="Calibri" w:hint="cs"/>
          <w:szCs w:val="20"/>
          <w:rtl/>
        </w:rPr>
        <w:t>נתוני</w:t>
      </w:r>
      <w:r w:rsidRPr="00BE1CFE">
        <w:rPr>
          <w:rFonts w:eastAsia="Calibri"/>
          <w:szCs w:val="20"/>
          <w:rtl/>
        </w:rPr>
        <w:t xml:space="preserve"> </w:t>
      </w:r>
      <w:r w:rsidRPr="00BE1CFE">
        <w:rPr>
          <w:rFonts w:eastAsia="Calibri" w:hint="cs"/>
          <w:szCs w:val="20"/>
          <w:rtl/>
        </w:rPr>
        <w:t>המשטרה,</w:t>
      </w:r>
      <w:r w:rsidRPr="00BE1CFE">
        <w:rPr>
          <w:rFonts w:eastAsia="Calibri"/>
          <w:szCs w:val="20"/>
          <w:rtl/>
        </w:rPr>
        <w:t xml:space="preserve"> </w:t>
      </w:r>
      <w:r w:rsidRPr="00BE1CFE">
        <w:rPr>
          <w:rFonts w:eastAsia="Calibri" w:hint="cs"/>
          <w:szCs w:val="20"/>
          <w:rtl/>
        </w:rPr>
        <w:t>בעיבוד</w:t>
      </w:r>
      <w:r w:rsidRPr="00BE1CFE">
        <w:rPr>
          <w:rFonts w:eastAsia="Calibri"/>
          <w:szCs w:val="20"/>
          <w:rtl/>
        </w:rPr>
        <w:t xml:space="preserve"> </w:t>
      </w:r>
      <w:r w:rsidRPr="00BE1CFE">
        <w:rPr>
          <w:rFonts w:eastAsia="Calibri" w:hint="cs"/>
          <w:szCs w:val="20"/>
          <w:rtl/>
        </w:rPr>
        <w:t>משרד</w:t>
      </w:r>
      <w:r w:rsidRPr="00BE1CFE">
        <w:rPr>
          <w:rFonts w:eastAsia="Calibri"/>
          <w:szCs w:val="20"/>
          <w:rtl/>
        </w:rPr>
        <w:t xml:space="preserve"> </w:t>
      </w:r>
      <w:r w:rsidRPr="00BE1CFE">
        <w:rPr>
          <w:rFonts w:eastAsia="Calibri" w:hint="cs"/>
          <w:szCs w:val="20"/>
          <w:rtl/>
        </w:rPr>
        <w:t>מבקר</w:t>
      </w:r>
      <w:r w:rsidRPr="00BE1CFE">
        <w:rPr>
          <w:rFonts w:eastAsia="Calibri"/>
          <w:szCs w:val="20"/>
          <w:rtl/>
        </w:rPr>
        <w:t xml:space="preserve"> </w:t>
      </w:r>
      <w:r w:rsidRPr="00BE1CFE">
        <w:rPr>
          <w:rFonts w:eastAsia="Calibri" w:hint="cs"/>
          <w:szCs w:val="20"/>
          <w:rtl/>
        </w:rPr>
        <w:t>המדינה</w:t>
      </w:r>
      <w:r w:rsidRPr="00BE1CFE">
        <w:rPr>
          <w:rFonts w:eastAsia="Calibri"/>
          <w:szCs w:val="20"/>
          <w:rtl/>
        </w:rPr>
        <w:t>.</w:t>
      </w:r>
    </w:p>
    <w:p w:rsidR="00B47E58" w:rsidRDefault="00B47E58" w:rsidP="00604C3D">
      <w:pPr>
        <w:spacing w:line="269" w:lineRule="auto"/>
        <w:jc w:val="center"/>
        <w:rPr>
          <w:rFonts w:eastAsia="Calibri"/>
          <w:szCs w:val="20"/>
          <w:rtl/>
        </w:rPr>
      </w:pPr>
    </w:p>
    <w:p w:rsidR="0043429A" w:rsidRDefault="0043429A" w:rsidP="00604C3D">
      <w:pPr>
        <w:spacing w:line="269" w:lineRule="auto"/>
        <w:jc w:val="center"/>
        <w:rPr>
          <w:rFonts w:eastAsia="Calibri"/>
          <w:szCs w:val="20"/>
          <w:rtl/>
        </w:rPr>
      </w:pPr>
    </w:p>
    <w:p w:rsidR="00E46818" w:rsidRPr="00BE1CFE" w:rsidRDefault="00E46818" w:rsidP="00604C3D">
      <w:pPr>
        <w:spacing w:line="269" w:lineRule="auto"/>
        <w:jc w:val="center"/>
        <w:rPr>
          <w:rFonts w:eastAsia="Calibri"/>
          <w:b/>
          <w:bCs/>
          <w:sz w:val="18"/>
          <w:rtl/>
        </w:rPr>
      </w:pPr>
      <w:r w:rsidRPr="00BE1CFE">
        <w:rPr>
          <w:rFonts w:eastAsia="Calibri" w:hint="eastAsia"/>
          <w:rtl/>
        </w:rPr>
        <w:t>תרשים</w:t>
      </w:r>
      <w:r w:rsidR="006F3BF1">
        <w:rPr>
          <w:rFonts w:eastAsia="Calibri" w:hint="cs"/>
          <w:rtl/>
        </w:rPr>
        <w:t xml:space="preserve"> 18</w:t>
      </w:r>
      <w:r w:rsidRPr="00BE1CFE">
        <w:rPr>
          <w:rFonts w:eastAsia="Calibri"/>
          <w:rtl/>
        </w:rPr>
        <w:t>:</w:t>
      </w:r>
      <w:r w:rsidRPr="00BE1CFE">
        <w:rPr>
          <w:rFonts w:eastAsia="Calibri" w:hint="cs"/>
          <w:b/>
          <w:bCs/>
          <w:sz w:val="18"/>
          <w:rtl/>
        </w:rPr>
        <w:t xml:space="preserve"> שיעור</w:t>
      </w:r>
      <w:r w:rsidRPr="00BE1CFE">
        <w:rPr>
          <w:rFonts w:eastAsia="Calibri"/>
          <w:b/>
          <w:bCs/>
          <w:sz w:val="18"/>
          <w:rtl/>
        </w:rPr>
        <w:t xml:space="preserve"> </w:t>
      </w:r>
      <w:r w:rsidRPr="00BE1CFE">
        <w:rPr>
          <w:rFonts w:eastAsia="Calibri" w:hint="cs"/>
          <w:b/>
          <w:bCs/>
          <w:sz w:val="18"/>
          <w:rtl/>
        </w:rPr>
        <w:t>צווי בית המשפט</w:t>
      </w:r>
      <w:r w:rsidRPr="00BE1CFE">
        <w:rPr>
          <w:rFonts w:eastAsia="Calibri"/>
          <w:b/>
          <w:bCs/>
          <w:sz w:val="18"/>
          <w:rtl/>
        </w:rPr>
        <w:t xml:space="preserve"> </w:t>
      </w:r>
      <w:r w:rsidRPr="00BE1CFE">
        <w:rPr>
          <w:rFonts w:eastAsia="Calibri" w:hint="eastAsia"/>
          <w:b/>
          <w:bCs/>
          <w:sz w:val="18"/>
          <w:rtl/>
        </w:rPr>
        <w:t>לקבלת</w:t>
      </w:r>
      <w:r w:rsidRPr="00BE1CFE">
        <w:rPr>
          <w:rFonts w:eastAsia="Calibri"/>
          <w:b/>
          <w:bCs/>
          <w:sz w:val="18"/>
          <w:rtl/>
        </w:rPr>
        <w:t xml:space="preserve"> </w:t>
      </w:r>
      <w:r w:rsidRPr="00BE1CFE">
        <w:rPr>
          <w:rFonts w:eastAsia="Calibri" w:hint="eastAsia"/>
          <w:b/>
          <w:bCs/>
          <w:sz w:val="18"/>
          <w:rtl/>
        </w:rPr>
        <w:t>נתוני</w:t>
      </w:r>
      <w:r w:rsidRPr="00BE1CFE">
        <w:rPr>
          <w:rFonts w:eastAsia="Calibri"/>
          <w:b/>
          <w:bCs/>
          <w:sz w:val="18"/>
          <w:rtl/>
        </w:rPr>
        <w:t xml:space="preserve"> </w:t>
      </w:r>
      <w:r w:rsidRPr="00BE1CFE">
        <w:rPr>
          <w:rFonts w:eastAsia="Calibri" w:hint="cs"/>
          <w:b/>
          <w:bCs/>
          <w:sz w:val="18"/>
          <w:rtl/>
        </w:rPr>
        <w:t xml:space="preserve">תקשורת </w:t>
      </w:r>
      <w:r w:rsidRPr="00BE1CFE">
        <w:rPr>
          <w:rFonts w:eastAsia="Calibri" w:hint="eastAsia"/>
          <w:b/>
          <w:bCs/>
          <w:sz w:val="18"/>
          <w:rtl/>
        </w:rPr>
        <w:t>ה</w:t>
      </w:r>
      <w:r w:rsidRPr="00BE1CFE">
        <w:rPr>
          <w:rFonts w:eastAsia="Calibri" w:hint="cs"/>
          <w:b/>
          <w:bCs/>
          <w:sz w:val="18"/>
          <w:rtl/>
        </w:rPr>
        <w:t>י</w:t>
      </w:r>
      <w:r w:rsidRPr="00BE1CFE">
        <w:rPr>
          <w:rFonts w:eastAsia="Calibri" w:hint="eastAsia"/>
          <w:b/>
          <w:bCs/>
          <w:sz w:val="18"/>
          <w:rtl/>
        </w:rPr>
        <w:t>סטור</w:t>
      </w:r>
      <w:r w:rsidRPr="00BE1CFE">
        <w:rPr>
          <w:rFonts w:eastAsia="Calibri" w:hint="cs"/>
          <w:b/>
          <w:bCs/>
          <w:sz w:val="18"/>
          <w:rtl/>
        </w:rPr>
        <w:t>י</w:t>
      </w:r>
      <w:r w:rsidRPr="00BE1CFE">
        <w:rPr>
          <w:rFonts w:eastAsia="Calibri" w:hint="eastAsia"/>
          <w:b/>
          <w:bCs/>
          <w:sz w:val="18"/>
          <w:rtl/>
        </w:rPr>
        <w:t>ים</w:t>
      </w:r>
      <w:r w:rsidRPr="00BE1CFE">
        <w:rPr>
          <w:rFonts w:eastAsia="Calibri" w:hint="cs"/>
          <w:b/>
          <w:bCs/>
          <w:sz w:val="18"/>
          <w:rtl/>
        </w:rPr>
        <w:t>, בחלוקה</w:t>
      </w:r>
      <w:r w:rsidRPr="00BE1CFE">
        <w:rPr>
          <w:rFonts w:eastAsia="Calibri"/>
          <w:b/>
          <w:bCs/>
          <w:sz w:val="18"/>
          <w:rtl/>
        </w:rPr>
        <w:t xml:space="preserve"> </w:t>
      </w:r>
      <w:r w:rsidRPr="00BE1CFE">
        <w:rPr>
          <w:rFonts w:eastAsia="Calibri" w:hint="eastAsia"/>
          <w:b/>
          <w:bCs/>
          <w:sz w:val="18"/>
          <w:rtl/>
        </w:rPr>
        <w:t>ל</w:t>
      </w:r>
      <w:r w:rsidRPr="00BE1CFE">
        <w:rPr>
          <w:rFonts w:eastAsia="Calibri" w:hint="cs"/>
          <w:b/>
          <w:bCs/>
          <w:sz w:val="18"/>
          <w:rtl/>
        </w:rPr>
        <w:t>פרקי הזמן שלגביהם התבקשו הנתונים - עד 30 יום ומ-30 יום ומעלה</w:t>
      </w:r>
    </w:p>
    <w:p w:rsidR="00E46818" w:rsidRPr="00BE1CFE" w:rsidRDefault="00837D04" w:rsidP="00604C3D">
      <w:pPr>
        <w:spacing w:line="269" w:lineRule="auto"/>
        <w:jc w:val="center"/>
        <w:rPr>
          <w:rFonts w:eastAsia="Calibri"/>
          <w:b/>
          <w:bCs/>
          <w:sz w:val="18"/>
        </w:rPr>
      </w:pPr>
      <w:r>
        <w:rPr>
          <w:rFonts w:eastAsia="Calibri"/>
          <w:b/>
          <w:bCs/>
          <w:noProof/>
          <w:sz w:val="18"/>
        </w:rPr>
        <w:drawing>
          <wp:inline distT="0" distB="0" distL="0" distR="0" wp14:anchorId="2219EB84" wp14:editId="6601B0A2">
            <wp:extent cx="5219700" cy="3180080"/>
            <wp:effectExtent l="0" t="0" r="0" b="127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רשים 18.jpg"/>
                    <pic:cNvPicPr/>
                  </pic:nvPicPr>
                  <pic:blipFill>
                    <a:blip r:embed="rId29">
                      <a:extLst>
                        <a:ext uri="{28A0092B-C50C-407E-A947-70E740481C1C}">
                          <a14:useLocalDpi xmlns:a14="http://schemas.microsoft.com/office/drawing/2010/main" val="0"/>
                        </a:ext>
                      </a:extLst>
                    </a:blip>
                    <a:stretch>
                      <a:fillRect/>
                    </a:stretch>
                  </pic:blipFill>
                  <pic:spPr>
                    <a:xfrm>
                      <a:off x="0" y="0"/>
                      <a:ext cx="5219700" cy="3180080"/>
                    </a:xfrm>
                    <a:prstGeom prst="rect">
                      <a:avLst/>
                    </a:prstGeom>
                  </pic:spPr>
                </pic:pic>
              </a:graphicData>
            </a:graphic>
          </wp:inline>
        </w:drawing>
      </w:r>
    </w:p>
    <w:p w:rsidR="00E46818" w:rsidRPr="00BE1CFE" w:rsidRDefault="00E46818" w:rsidP="00604C3D">
      <w:pPr>
        <w:spacing w:line="269" w:lineRule="auto"/>
        <w:rPr>
          <w:rFonts w:eastAsia="Calibri"/>
          <w:sz w:val="16"/>
          <w:szCs w:val="22"/>
          <w:rtl/>
        </w:rPr>
      </w:pPr>
      <w:r w:rsidRPr="00BE1CFE">
        <w:rPr>
          <w:rFonts w:eastAsia="Calibri" w:hint="cs"/>
          <w:sz w:val="16"/>
          <w:szCs w:val="22"/>
          <w:rtl/>
        </w:rPr>
        <w:t>על פי</w:t>
      </w:r>
      <w:r w:rsidRPr="00BE1CFE">
        <w:rPr>
          <w:rFonts w:eastAsia="Calibri"/>
          <w:sz w:val="16"/>
          <w:szCs w:val="22"/>
          <w:rtl/>
        </w:rPr>
        <w:t xml:space="preserve"> </w:t>
      </w:r>
      <w:r w:rsidRPr="00BE1CFE">
        <w:rPr>
          <w:rFonts w:eastAsia="Calibri" w:hint="eastAsia"/>
          <w:sz w:val="16"/>
          <w:szCs w:val="22"/>
          <w:rtl/>
        </w:rPr>
        <w:t>נתוני</w:t>
      </w:r>
      <w:r w:rsidRPr="00BE1CFE">
        <w:rPr>
          <w:rFonts w:eastAsia="Calibri"/>
          <w:sz w:val="16"/>
          <w:szCs w:val="22"/>
          <w:rtl/>
        </w:rPr>
        <w:t xml:space="preserve"> </w:t>
      </w:r>
      <w:r w:rsidRPr="00BE1CFE">
        <w:rPr>
          <w:rFonts w:eastAsia="Calibri" w:hint="cs"/>
          <w:sz w:val="16"/>
          <w:szCs w:val="22"/>
          <w:rtl/>
        </w:rPr>
        <w:t>ה</w:t>
      </w:r>
      <w:r w:rsidRPr="00BE1CFE">
        <w:rPr>
          <w:rFonts w:eastAsia="Calibri" w:hint="eastAsia"/>
          <w:sz w:val="16"/>
          <w:szCs w:val="22"/>
          <w:rtl/>
        </w:rPr>
        <w:t>משטר</w:t>
      </w:r>
      <w:r w:rsidRPr="00BE1CFE">
        <w:rPr>
          <w:rFonts w:eastAsia="Calibri" w:hint="cs"/>
          <w:sz w:val="16"/>
          <w:szCs w:val="22"/>
          <w:rtl/>
        </w:rPr>
        <w:t>ה,</w:t>
      </w:r>
      <w:r w:rsidRPr="00BE1CFE">
        <w:rPr>
          <w:rFonts w:eastAsia="Calibri"/>
          <w:sz w:val="16"/>
          <w:szCs w:val="22"/>
          <w:rtl/>
        </w:rPr>
        <w:t xml:space="preserve"> </w:t>
      </w:r>
      <w:r w:rsidRPr="00BE1CFE">
        <w:rPr>
          <w:rFonts w:eastAsia="Calibri" w:hint="eastAsia"/>
          <w:sz w:val="16"/>
          <w:szCs w:val="22"/>
          <w:rtl/>
        </w:rPr>
        <w:t>בעיבוד</w:t>
      </w:r>
      <w:r w:rsidRPr="00BE1CFE">
        <w:rPr>
          <w:rFonts w:eastAsia="Calibri"/>
          <w:sz w:val="16"/>
          <w:szCs w:val="22"/>
          <w:rtl/>
        </w:rPr>
        <w:t xml:space="preserve"> </w:t>
      </w:r>
      <w:r w:rsidRPr="00BE1CFE">
        <w:rPr>
          <w:rFonts w:eastAsia="Calibri" w:hint="eastAsia"/>
          <w:sz w:val="16"/>
          <w:szCs w:val="22"/>
          <w:rtl/>
        </w:rPr>
        <w:t>משרד</w:t>
      </w:r>
      <w:r w:rsidRPr="00BE1CFE">
        <w:rPr>
          <w:rFonts w:eastAsia="Calibri"/>
          <w:sz w:val="16"/>
          <w:szCs w:val="22"/>
          <w:rtl/>
        </w:rPr>
        <w:t xml:space="preserve"> </w:t>
      </w:r>
      <w:r w:rsidRPr="00BE1CFE">
        <w:rPr>
          <w:rFonts w:eastAsia="Calibri" w:hint="eastAsia"/>
          <w:sz w:val="16"/>
          <w:szCs w:val="22"/>
          <w:rtl/>
        </w:rPr>
        <w:t>מבקר</w:t>
      </w:r>
      <w:r w:rsidRPr="00BE1CFE">
        <w:rPr>
          <w:rFonts w:eastAsia="Calibri"/>
          <w:sz w:val="16"/>
          <w:szCs w:val="22"/>
          <w:rtl/>
        </w:rPr>
        <w:t xml:space="preserve"> </w:t>
      </w:r>
      <w:r w:rsidRPr="00BE1CFE">
        <w:rPr>
          <w:rFonts w:eastAsia="Calibri" w:hint="eastAsia"/>
          <w:sz w:val="16"/>
          <w:szCs w:val="22"/>
          <w:rtl/>
        </w:rPr>
        <w:t>המדינה</w:t>
      </w:r>
      <w:r w:rsidRPr="00BE1CFE">
        <w:rPr>
          <w:rFonts w:eastAsia="Calibri" w:hint="cs"/>
          <w:sz w:val="16"/>
          <w:szCs w:val="22"/>
          <w:rtl/>
        </w:rPr>
        <w:t>.</w:t>
      </w:r>
    </w:p>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b/>
          <w:bCs/>
          <w:sz w:val="18"/>
          <w:rtl/>
        </w:rPr>
      </w:pPr>
      <w:r w:rsidRPr="00BE1CFE">
        <w:rPr>
          <w:rFonts w:eastAsia="Calibri" w:hint="cs"/>
          <w:b/>
          <w:bCs/>
          <w:sz w:val="18"/>
          <w:rtl/>
        </w:rPr>
        <w:t>מהנתונים עולה כי בשנים 2017 - 2021 מסתמנת מגמה של המשטרה להאריך את פרקי הזמן שלגביהם היא מבקשת צו לקבלת נתוני תקשורת היסטוריים. שיעור הבקשות שהגישה המשטרה לקבלת נתוני תקשורת היסטוריים לפרקי זמן של עד 30 יום פחת מ-43% בשנת 2017 ל-29% בשנת 2021. לעומת זאת, שיעור הבקשות שהוגשו לקבלת נתונים לפרקי זמן של 30 יום ומעלה גדל מ-57% בשנת 2017 ל-71% בשנת 2021.</w:t>
      </w:r>
    </w:p>
    <w:bookmarkEnd w:id="598"/>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b/>
          <w:bCs/>
          <w:sz w:val="18"/>
          <w:rtl/>
        </w:rPr>
      </w:pPr>
      <w:r w:rsidRPr="00BE1CFE">
        <w:rPr>
          <w:rFonts w:eastAsia="Calibri" w:hint="cs"/>
          <w:b/>
          <w:bCs/>
          <w:sz w:val="18"/>
          <w:rtl/>
        </w:rPr>
        <w:t xml:space="preserve">מומלץ כי המשטרה תנתח את הנתונים ותבחן אם המגמה של הארכת פרקי הזמן שלגביהם היא מבקשת נתוני תקשורת היסטוריים מקורה בשינוי בצורך מבצעי או בצורך חקירתי, ואם מגמה זו משקפת גם עלייה בתרומת נתוני התקשורת לצורכי החקירה או הצרכים המבצעיים. </w:t>
      </w:r>
    </w:p>
    <w:p w:rsidR="00B47E58" w:rsidRDefault="00B47E58" w:rsidP="00604C3D">
      <w:pPr>
        <w:spacing w:line="269" w:lineRule="auto"/>
        <w:rPr>
          <w:rFonts w:eastAsia="Calibri"/>
          <w:sz w:val="16"/>
          <w:szCs w:val="16"/>
          <w:rtl/>
        </w:rPr>
      </w:pPr>
    </w:p>
    <w:p w:rsidR="00E46818" w:rsidRPr="00BE1CFE" w:rsidRDefault="00E46818" w:rsidP="00604C3D">
      <w:pPr>
        <w:spacing w:line="269" w:lineRule="auto"/>
        <w:rPr>
          <w:rFonts w:eastAsia="Calibri"/>
          <w:sz w:val="18"/>
          <w:rtl/>
        </w:rPr>
      </w:pPr>
      <w:r w:rsidRPr="00BE1CFE">
        <w:rPr>
          <w:rFonts w:eastAsia="Calibri" w:hint="cs"/>
          <w:sz w:val="18"/>
          <w:rtl/>
        </w:rPr>
        <w:t xml:space="preserve">המשטרה מסרה בתשובתה כי היא </w:t>
      </w:r>
      <w:r w:rsidRPr="00BE1CFE">
        <w:rPr>
          <w:rFonts w:eastAsia="Calibri" w:hint="eastAsia"/>
          <w:sz w:val="18"/>
          <w:rtl/>
        </w:rPr>
        <w:t>מקבלת</w:t>
      </w:r>
      <w:r w:rsidRPr="00BE1CFE">
        <w:rPr>
          <w:rFonts w:eastAsia="Calibri"/>
          <w:sz w:val="18"/>
          <w:rtl/>
        </w:rPr>
        <w:t xml:space="preserve"> </w:t>
      </w:r>
      <w:r w:rsidRPr="00BE1CFE">
        <w:rPr>
          <w:rFonts w:eastAsia="Calibri" w:hint="eastAsia"/>
          <w:sz w:val="18"/>
          <w:rtl/>
        </w:rPr>
        <w:t>את</w:t>
      </w:r>
      <w:r w:rsidRPr="00BE1CFE">
        <w:rPr>
          <w:rFonts w:eastAsia="Calibri"/>
          <w:sz w:val="18"/>
          <w:rtl/>
        </w:rPr>
        <w:t xml:space="preserve"> </w:t>
      </w:r>
      <w:r w:rsidRPr="00BE1CFE">
        <w:rPr>
          <w:rFonts w:eastAsia="Calibri" w:hint="cs"/>
          <w:sz w:val="18"/>
          <w:rtl/>
        </w:rPr>
        <w:t>ה</w:t>
      </w:r>
      <w:r w:rsidRPr="00BE1CFE">
        <w:rPr>
          <w:rFonts w:eastAsia="Calibri" w:hint="eastAsia"/>
          <w:sz w:val="18"/>
          <w:rtl/>
        </w:rPr>
        <w:t>המלצ</w:t>
      </w:r>
      <w:r w:rsidRPr="00BE1CFE">
        <w:rPr>
          <w:rFonts w:eastAsia="Calibri" w:hint="cs"/>
          <w:sz w:val="18"/>
          <w:rtl/>
        </w:rPr>
        <w:t>ה</w:t>
      </w:r>
      <w:r w:rsidRPr="00BE1CFE">
        <w:rPr>
          <w:rFonts w:eastAsia="Calibri"/>
          <w:sz w:val="18"/>
          <w:rtl/>
        </w:rPr>
        <w:t xml:space="preserve"> </w:t>
      </w:r>
      <w:r w:rsidRPr="00BE1CFE">
        <w:rPr>
          <w:rFonts w:eastAsia="Calibri" w:hint="eastAsia"/>
          <w:sz w:val="18"/>
          <w:rtl/>
        </w:rPr>
        <w:t>ומקדמת</w:t>
      </w:r>
      <w:r w:rsidRPr="00BE1CFE">
        <w:rPr>
          <w:rFonts w:eastAsia="Calibri"/>
          <w:sz w:val="18"/>
          <w:rtl/>
        </w:rPr>
        <w:t xml:space="preserve"> </w:t>
      </w:r>
      <w:r w:rsidRPr="00BE1CFE">
        <w:rPr>
          <w:rFonts w:eastAsia="Calibri" w:hint="eastAsia"/>
          <w:sz w:val="18"/>
          <w:rtl/>
        </w:rPr>
        <w:t>בברכה</w:t>
      </w:r>
      <w:r w:rsidRPr="00BE1CFE">
        <w:rPr>
          <w:rFonts w:eastAsia="Calibri"/>
          <w:sz w:val="18"/>
          <w:rtl/>
        </w:rPr>
        <w:t xml:space="preserve"> </w:t>
      </w:r>
      <w:r w:rsidRPr="00BE1CFE">
        <w:rPr>
          <w:rFonts w:eastAsia="Calibri" w:hint="cs"/>
          <w:sz w:val="18"/>
          <w:rtl/>
        </w:rPr>
        <w:t>בחינה של</w:t>
      </w:r>
      <w:r w:rsidRPr="00BE1CFE">
        <w:rPr>
          <w:rFonts w:eastAsia="Calibri"/>
          <w:sz w:val="18"/>
          <w:rtl/>
        </w:rPr>
        <w:t xml:space="preserve"> </w:t>
      </w:r>
      <w:r w:rsidRPr="00BE1CFE">
        <w:rPr>
          <w:rFonts w:eastAsia="Calibri" w:hint="eastAsia"/>
          <w:sz w:val="18"/>
          <w:rtl/>
        </w:rPr>
        <w:t>המגמות</w:t>
      </w:r>
      <w:r w:rsidRPr="00BE1CFE">
        <w:rPr>
          <w:rFonts w:eastAsia="Calibri" w:hint="cs"/>
          <w:sz w:val="18"/>
          <w:rtl/>
        </w:rPr>
        <w:t xml:space="preserve"> האמורות</w:t>
      </w:r>
      <w:r w:rsidRPr="00BE1CFE">
        <w:rPr>
          <w:rFonts w:eastAsia="Calibri"/>
          <w:sz w:val="18"/>
          <w:rtl/>
        </w:rPr>
        <w:t xml:space="preserve">, </w:t>
      </w:r>
      <w:r w:rsidRPr="00BE1CFE">
        <w:rPr>
          <w:rFonts w:eastAsia="Calibri" w:hint="eastAsia"/>
          <w:sz w:val="18"/>
          <w:rtl/>
        </w:rPr>
        <w:t>כפי</w:t>
      </w:r>
      <w:r w:rsidRPr="00BE1CFE">
        <w:rPr>
          <w:rFonts w:eastAsia="Calibri"/>
          <w:sz w:val="18"/>
          <w:rtl/>
        </w:rPr>
        <w:t xml:space="preserve"> </w:t>
      </w:r>
      <w:r w:rsidRPr="00BE1CFE">
        <w:rPr>
          <w:rFonts w:eastAsia="Calibri" w:hint="eastAsia"/>
          <w:sz w:val="18"/>
          <w:rtl/>
        </w:rPr>
        <w:t>שהיא</w:t>
      </w:r>
      <w:r w:rsidRPr="00BE1CFE">
        <w:rPr>
          <w:rFonts w:eastAsia="Calibri"/>
          <w:sz w:val="18"/>
          <w:rtl/>
        </w:rPr>
        <w:t xml:space="preserve"> </w:t>
      </w:r>
      <w:r w:rsidRPr="00BE1CFE">
        <w:rPr>
          <w:rFonts w:eastAsia="Calibri" w:hint="eastAsia"/>
          <w:sz w:val="18"/>
          <w:rtl/>
        </w:rPr>
        <w:t>עושה</w:t>
      </w:r>
      <w:r w:rsidRPr="00BE1CFE">
        <w:rPr>
          <w:rFonts w:eastAsia="Calibri"/>
          <w:sz w:val="18"/>
          <w:rtl/>
        </w:rPr>
        <w:t xml:space="preserve"> </w:t>
      </w:r>
      <w:r w:rsidRPr="00BE1CFE">
        <w:rPr>
          <w:rFonts w:eastAsia="Calibri" w:hint="eastAsia"/>
          <w:sz w:val="18"/>
          <w:rtl/>
        </w:rPr>
        <w:t>מעת</w:t>
      </w:r>
      <w:r w:rsidRPr="00BE1CFE">
        <w:rPr>
          <w:rFonts w:eastAsia="Calibri"/>
          <w:sz w:val="18"/>
          <w:rtl/>
        </w:rPr>
        <w:t xml:space="preserve"> </w:t>
      </w:r>
      <w:r w:rsidRPr="00BE1CFE">
        <w:rPr>
          <w:rFonts w:eastAsia="Calibri" w:hint="eastAsia"/>
          <w:sz w:val="18"/>
          <w:rtl/>
        </w:rPr>
        <w:t>לעת</w:t>
      </w:r>
      <w:r w:rsidRPr="00BE1CFE">
        <w:rPr>
          <w:rFonts w:eastAsia="Calibri" w:hint="cs"/>
          <w:sz w:val="18"/>
          <w:rtl/>
        </w:rPr>
        <w:t>.</w:t>
      </w:r>
    </w:p>
    <w:p w:rsidR="00B47E58" w:rsidRDefault="00B47E58" w:rsidP="00604C3D">
      <w:pPr>
        <w:spacing w:line="269" w:lineRule="auto"/>
        <w:jc w:val="center"/>
        <w:rPr>
          <w:rFonts w:eastAsia="Calibri"/>
          <w:szCs w:val="20"/>
          <w:rtl/>
        </w:rPr>
      </w:pPr>
      <w:bookmarkStart w:id="599" w:name="_Hlk138609205"/>
    </w:p>
    <w:p w:rsidR="00E46818" w:rsidRPr="00BE1CFE" w:rsidRDefault="00E46818" w:rsidP="00604C3D">
      <w:pPr>
        <w:spacing w:line="269" w:lineRule="auto"/>
        <w:jc w:val="center"/>
        <w:rPr>
          <w:rFonts w:eastAsia="Calibri"/>
          <w:b/>
          <w:bCs/>
          <w:sz w:val="18"/>
          <w:rtl/>
        </w:rPr>
      </w:pPr>
      <w:r w:rsidRPr="00BE1CFE">
        <w:rPr>
          <w:rFonts w:eastAsia="Calibri" w:hint="eastAsia"/>
          <w:sz w:val="18"/>
          <w:rtl/>
        </w:rPr>
        <w:t>לוח</w:t>
      </w:r>
      <w:r w:rsidRPr="00BE1CFE">
        <w:rPr>
          <w:rFonts w:eastAsia="Calibri"/>
          <w:sz w:val="18"/>
          <w:rtl/>
        </w:rPr>
        <w:t xml:space="preserve"> </w:t>
      </w:r>
      <w:r>
        <w:rPr>
          <w:rFonts w:eastAsia="Calibri" w:hint="cs"/>
          <w:sz w:val="18"/>
          <w:rtl/>
        </w:rPr>
        <w:t>19</w:t>
      </w:r>
      <w:r w:rsidRPr="00BE1CFE">
        <w:rPr>
          <w:rFonts w:eastAsia="Calibri"/>
          <w:sz w:val="18"/>
          <w:rtl/>
        </w:rPr>
        <w:t xml:space="preserve">: </w:t>
      </w:r>
      <w:r w:rsidRPr="00BE1CFE">
        <w:rPr>
          <w:rFonts w:eastAsia="Calibri" w:hint="cs"/>
          <w:b/>
          <w:bCs/>
          <w:sz w:val="18"/>
          <w:rtl/>
        </w:rPr>
        <w:t>פילוח צווי בית משפט לקבלת נתוני תקשורת עתידיים, בחלוקה לפרקי הזמן שלגביהם התבקשו הנתונים</w:t>
      </w:r>
    </w:p>
    <w:tbl>
      <w:tblPr>
        <w:tblStyle w:val="afc"/>
        <w:bidiVisual/>
        <w:tblW w:w="8219" w:type="dxa"/>
        <w:tblInd w:w="-10" w:type="dxa"/>
        <w:tblLayout w:type="fixed"/>
        <w:tblLook w:val="04A0" w:firstRow="1" w:lastRow="0" w:firstColumn="1" w:lastColumn="0" w:noHBand="0" w:noVBand="1"/>
      </w:tblPr>
      <w:tblGrid>
        <w:gridCol w:w="1558"/>
        <w:gridCol w:w="1418"/>
        <w:gridCol w:w="1276"/>
        <w:gridCol w:w="1275"/>
        <w:gridCol w:w="1419"/>
        <w:gridCol w:w="1273"/>
      </w:tblGrid>
      <w:tr w:rsidR="00E46818" w:rsidRPr="006F3BF1" w:rsidTr="00E552D6">
        <w:tc>
          <w:tcPr>
            <w:tcW w:w="1558" w:type="dxa"/>
            <w:tcBorders>
              <w:bottom w:val="single" w:sz="12" w:space="0" w:color="auto"/>
            </w:tcBorders>
            <w:shd w:val="clear" w:color="auto" w:fill="D9D9D9"/>
          </w:tcPr>
          <w:p w:rsidR="00E46818" w:rsidRPr="006F3BF1" w:rsidRDefault="00E46818" w:rsidP="00604C3D">
            <w:pPr>
              <w:spacing w:line="269" w:lineRule="auto"/>
              <w:rPr>
                <w:rFonts w:eastAsia="Calibri"/>
                <w:b/>
                <w:bCs/>
                <w:sz w:val="22"/>
                <w:szCs w:val="22"/>
                <w:rtl/>
              </w:rPr>
            </w:pPr>
          </w:p>
        </w:tc>
        <w:tc>
          <w:tcPr>
            <w:tcW w:w="1418" w:type="dxa"/>
            <w:tcBorders>
              <w:bottom w:val="single" w:sz="12" w:space="0" w:color="auto"/>
            </w:tcBorders>
            <w:shd w:val="clear" w:color="auto" w:fill="D9D9D9"/>
          </w:tcPr>
          <w:p w:rsidR="00E46818" w:rsidRPr="006F3BF1" w:rsidRDefault="00E46818" w:rsidP="00604C3D">
            <w:pPr>
              <w:spacing w:line="269" w:lineRule="auto"/>
              <w:jc w:val="center"/>
              <w:rPr>
                <w:rFonts w:eastAsia="Calibri"/>
                <w:b/>
                <w:bCs/>
                <w:sz w:val="22"/>
                <w:szCs w:val="22"/>
                <w:rtl/>
              </w:rPr>
            </w:pPr>
            <w:r w:rsidRPr="006F3BF1">
              <w:rPr>
                <w:rFonts w:eastAsia="Calibri" w:hint="cs"/>
                <w:b/>
                <w:bCs/>
                <w:sz w:val="22"/>
                <w:szCs w:val="22"/>
                <w:rtl/>
              </w:rPr>
              <w:t>2017</w:t>
            </w:r>
          </w:p>
        </w:tc>
        <w:tc>
          <w:tcPr>
            <w:tcW w:w="1276" w:type="dxa"/>
            <w:tcBorders>
              <w:bottom w:val="single" w:sz="12" w:space="0" w:color="auto"/>
            </w:tcBorders>
            <w:shd w:val="clear" w:color="auto" w:fill="D9D9D9"/>
          </w:tcPr>
          <w:p w:rsidR="00E46818" w:rsidRPr="006F3BF1" w:rsidRDefault="00E46818" w:rsidP="00604C3D">
            <w:pPr>
              <w:spacing w:line="269" w:lineRule="auto"/>
              <w:jc w:val="center"/>
              <w:rPr>
                <w:rFonts w:eastAsia="Calibri"/>
                <w:b/>
                <w:bCs/>
                <w:sz w:val="22"/>
                <w:szCs w:val="22"/>
                <w:rtl/>
              </w:rPr>
            </w:pPr>
            <w:r w:rsidRPr="006F3BF1">
              <w:rPr>
                <w:rFonts w:eastAsia="Calibri" w:hint="cs"/>
                <w:b/>
                <w:bCs/>
                <w:sz w:val="22"/>
                <w:szCs w:val="22"/>
                <w:rtl/>
              </w:rPr>
              <w:t>2018</w:t>
            </w:r>
          </w:p>
        </w:tc>
        <w:tc>
          <w:tcPr>
            <w:tcW w:w="1275" w:type="dxa"/>
            <w:tcBorders>
              <w:bottom w:val="single" w:sz="12" w:space="0" w:color="auto"/>
            </w:tcBorders>
            <w:shd w:val="clear" w:color="auto" w:fill="D9D9D9"/>
          </w:tcPr>
          <w:p w:rsidR="00E46818" w:rsidRPr="006F3BF1" w:rsidRDefault="00E46818" w:rsidP="00604C3D">
            <w:pPr>
              <w:spacing w:line="269" w:lineRule="auto"/>
              <w:jc w:val="center"/>
              <w:rPr>
                <w:rFonts w:eastAsia="Calibri"/>
                <w:b/>
                <w:bCs/>
                <w:sz w:val="22"/>
                <w:szCs w:val="22"/>
                <w:rtl/>
              </w:rPr>
            </w:pPr>
            <w:r w:rsidRPr="006F3BF1">
              <w:rPr>
                <w:rFonts w:eastAsia="Calibri" w:hint="cs"/>
                <w:b/>
                <w:bCs/>
                <w:sz w:val="22"/>
                <w:szCs w:val="22"/>
                <w:rtl/>
              </w:rPr>
              <w:t>2019</w:t>
            </w:r>
          </w:p>
        </w:tc>
        <w:tc>
          <w:tcPr>
            <w:tcW w:w="1419" w:type="dxa"/>
            <w:tcBorders>
              <w:bottom w:val="single" w:sz="12" w:space="0" w:color="auto"/>
            </w:tcBorders>
            <w:shd w:val="clear" w:color="auto" w:fill="D9D9D9"/>
          </w:tcPr>
          <w:p w:rsidR="00E46818" w:rsidRPr="006F3BF1" w:rsidRDefault="00E46818" w:rsidP="00604C3D">
            <w:pPr>
              <w:spacing w:line="269" w:lineRule="auto"/>
              <w:jc w:val="center"/>
              <w:rPr>
                <w:rFonts w:eastAsia="Calibri"/>
                <w:b/>
                <w:bCs/>
                <w:sz w:val="22"/>
                <w:szCs w:val="22"/>
                <w:rtl/>
              </w:rPr>
            </w:pPr>
            <w:r w:rsidRPr="006F3BF1">
              <w:rPr>
                <w:rFonts w:eastAsia="Calibri" w:hint="cs"/>
                <w:b/>
                <w:bCs/>
                <w:sz w:val="22"/>
                <w:szCs w:val="22"/>
                <w:rtl/>
              </w:rPr>
              <w:t>2020</w:t>
            </w:r>
          </w:p>
        </w:tc>
        <w:tc>
          <w:tcPr>
            <w:tcW w:w="1273" w:type="dxa"/>
            <w:tcBorders>
              <w:bottom w:val="single" w:sz="12" w:space="0" w:color="auto"/>
            </w:tcBorders>
            <w:shd w:val="clear" w:color="auto" w:fill="D9D9D9"/>
          </w:tcPr>
          <w:p w:rsidR="00E46818" w:rsidRPr="006F3BF1" w:rsidRDefault="00E46818" w:rsidP="00604C3D">
            <w:pPr>
              <w:spacing w:line="269" w:lineRule="auto"/>
              <w:jc w:val="center"/>
              <w:rPr>
                <w:rFonts w:eastAsia="Calibri"/>
                <w:b/>
                <w:bCs/>
                <w:sz w:val="22"/>
                <w:szCs w:val="22"/>
                <w:rtl/>
              </w:rPr>
            </w:pPr>
            <w:r w:rsidRPr="006F3BF1">
              <w:rPr>
                <w:rFonts w:eastAsia="Calibri" w:hint="cs"/>
                <w:b/>
                <w:bCs/>
                <w:sz w:val="22"/>
                <w:szCs w:val="22"/>
                <w:rtl/>
              </w:rPr>
              <w:t>2021</w:t>
            </w:r>
          </w:p>
        </w:tc>
      </w:tr>
      <w:tr w:rsidR="00E46818" w:rsidRPr="006F3BF1" w:rsidTr="00E552D6">
        <w:tc>
          <w:tcPr>
            <w:tcW w:w="1558" w:type="dxa"/>
            <w:tcBorders>
              <w:top w:val="single" w:sz="12" w:space="0" w:color="auto"/>
              <w:right w:val="single" w:sz="12" w:space="0" w:color="auto"/>
            </w:tcBorders>
            <w:shd w:val="clear" w:color="auto" w:fill="D9D9D9"/>
          </w:tcPr>
          <w:p w:rsidR="00E46818" w:rsidRPr="006F3BF1" w:rsidRDefault="00E46818" w:rsidP="00604C3D">
            <w:pPr>
              <w:spacing w:line="269" w:lineRule="auto"/>
              <w:rPr>
                <w:rFonts w:eastAsia="Calibri"/>
                <w:b/>
                <w:bCs/>
                <w:sz w:val="22"/>
                <w:szCs w:val="22"/>
                <w:rtl/>
              </w:rPr>
            </w:pPr>
            <w:r w:rsidRPr="006F3BF1">
              <w:rPr>
                <w:rFonts w:eastAsia="Calibri" w:hint="cs"/>
                <w:b/>
                <w:bCs/>
                <w:sz w:val="22"/>
                <w:szCs w:val="22"/>
                <w:rtl/>
              </w:rPr>
              <w:t xml:space="preserve">עד 24 שעות </w:t>
            </w:r>
          </w:p>
        </w:tc>
        <w:tc>
          <w:tcPr>
            <w:tcW w:w="1418" w:type="dxa"/>
            <w:tcBorders>
              <w:top w:val="single" w:sz="12" w:space="0" w:color="auto"/>
              <w:left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0</w:t>
            </w:r>
          </w:p>
        </w:tc>
        <w:tc>
          <w:tcPr>
            <w:tcW w:w="1276" w:type="dxa"/>
            <w:tcBorders>
              <w:top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0</w:t>
            </w:r>
          </w:p>
        </w:tc>
        <w:tc>
          <w:tcPr>
            <w:tcW w:w="1275" w:type="dxa"/>
            <w:tcBorders>
              <w:top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0</w:t>
            </w:r>
          </w:p>
        </w:tc>
        <w:tc>
          <w:tcPr>
            <w:tcW w:w="1419" w:type="dxa"/>
            <w:tcBorders>
              <w:top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0</w:t>
            </w:r>
          </w:p>
        </w:tc>
        <w:tc>
          <w:tcPr>
            <w:tcW w:w="1273" w:type="dxa"/>
            <w:tcBorders>
              <w:top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0</w:t>
            </w:r>
          </w:p>
        </w:tc>
      </w:tr>
      <w:tr w:rsidR="00E46818" w:rsidRPr="006F3BF1" w:rsidTr="00E552D6">
        <w:tc>
          <w:tcPr>
            <w:tcW w:w="1558" w:type="dxa"/>
            <w:tcBorders>
              <w:right w:val="single" w:sz="12" w:space="0" w:color="auto"/>
            </w:tcBorders>
            <w:shd w:val="clear" w:color="auto" w:fill="D9D9D9"/>
          </w:tcPr>
          <w:p w:rsidR="00E46818" w:rsidRPr="006F3BF1" w:rsidRDefault="00E46818" w:rsidP="00604C3D">
            <w:pPr>
              <w:spacing w:line="269" w:lineRule="auto"/>
              <w:rPr>
                <w:rFonts w:eastAsia="Calibri"/>
                <w:b/>
                <w:bCs/>
                <w:sz w:val="22"/>
                <w:szCs w:val="22"/>
                <w:rtl/>
              </w:rPr>
            </w:pPr>
            <w:r w:rsidRPr="006F3BF1">
              <w:rPr>
                <w:rFonts w:eastAsia="Calibri" w:hint="cs"/>
                <w:b/>
                <w:bCs/>
                <w:sz w:val="22"/>
                <w:szCs w:val="22"/>
                <w:rtl/>
              </w:rPr>
              <w:t>עד שבוע</w:t>
            </w:r>
          </w:p>
        </w:tc>
        <w:tc>
          <w:tcPr>
            <w:tcW w:w="1418" w:type="dxa"/>
            <w:tcBorders>
              <w:left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129</w:t>
            </w:r>
          </w:p>
        </w:tc>
        <w:tc>
          <w:tcPr>
            <w:tcW w:w="1276" w:type="dxa"/>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164</w:t>
            </w:r>
          </w:p>
        </w:tc>
        <w:tc>
          <w:tcPr>
            <w:tcW w:w="1275" w:type="dxa"/>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115</w:t>
            </w:r>
          </w:p>
        </w:tc>
        <w:tc>
          <w:tcPr>
            <w:tcW w:w="1419" w:type="dxa"/>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82</w:t>
            </w:r>
          </w:p>
        </w:tc>
        <w:tc>
          <w:tcPr>
            <w:tcW w:w="1273" w:type="dxa"/>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111</w:t>
            </w:r>
          </w:p>
        </w:tc>
      </w:tr>
      <w:tr w:rsidR="00E46818" w:rsidRPr="006F3BF1" w:rsidTr="00E552D6">
        <w:tc>
          <w:tcPr>
            <w:tcW w:w="1558" w:type="dxa"/>
            <w:tcBorders>
              <w:right w:val="single" w:sz="12" w:space="0" w:color="auto"/>
            </w:tcBorders>
            <w:shd w:val="clear" w:color="auto" w:fill="D9D9D9"/>
          </w:tcPr>
          <w:p w:rsidR="00E46818" w:rsidRPr="006F3BF1" w:rsidRDefault="00E46818" w:rsidP="00604C3D">
            <w:pPr>
              <w:spacing w:line="269" w:lineRule="auto"/>
              <w:rPr>
                <w:rFonts w:eastAsia="Calibri"/>
                <w:b/>
                <w:bCs/>
                <w:sz w:val="22"/>
                <w:szCs w:val="22"/>
                <w:rtl/>
              </w:rPr>
            </w:pPr>
            <w:r w:rsidRPr="006F3BF1">
              <w:rPr>
                <w:rFonts w:eastAsia="Calibri" w:hint="cs"/>
                <w:b/>
                <w:bCs/>
                <w:sz w:val="22"/>
                <w:szCs w:val="22"/>
                <w:rtl/>
              </w:rPr>
              <w:t>עד שבועיים</w:t>
            </w:r>
          </w:p>
        </w:tc>
        <w:tc>
          <w:tcPr>
            <w:tcW w:w="1418" w:type="dxa"/>
            <w:tcBorders>
              <w:left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193</w:t>
            </w:r>
          </w:p>
        </w:tc>
        <w:tc>
          <w:tcPr>
            <w:tcW w:w="1276" w:type="dxa"/>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240</w:t>
            </w:r>
          </w:p>
        </w:tc>
        <w:tc>
          <w:tcPr>
            <w:tcW w:w="1275" w:type="dxa"/>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194</w:t>
            </w:r>
          </w:p>
        </w:tc>
        <w:tc>
          <w:tcPr>
            <w:tcW w:w="1419" w:type="dxa"/>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189</w:t>
            </w:r>
          </w:p>
        </w:tc>
        <w:tc>
          <w:tcPr>
            <w:tcW w:w="1273" w:type="dxa"/>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232</w:t>
            </w:r>
          </w:p>
        </w:tc>
      </w:tr>
      <w:tr w:rsidR="00E46818" w:rsidRPr="006F3BF1" w:rsidTr="00E552D6">
        <w:tc>
          <w:tcPr>
            <w:tcW w:w="1558" w:type="dxa"/>
            <w:tcBorders>
              <w:bottom w:val="single" w:sz="12" w:space="0" w:color="auto"/>
              <w:right w:val="single" w:sz="12" w:space="0" w:color="auto"/>
            </w:tcBorders>
            <w:shd w:val="clear" w:color="auto" w:fill="D9D9D9"/>
          </w:tcPr>
          <w:p w:rsidR="00E46818" w:rsidRPr="006F3BF1" w:rsidRDefault="00E46818" w:rsidP="00604C3D">
            <w:pPr>
              <w:spacing w:line="269" w:lineRule="auto"/>
              <w:rPr>
                <w:rFonts w:eastAsia="Calibri"/>
                <w:b/>
                <w:bCs/>
                <w:sz w:val="22"/>
                <w:szCs w:val="22"/>
                <w:rtl/>
              </w:rPr>
            </w:pPr>
            <w:r w:rsidRPr="006F3BF1">
              <w:rPr>
                <w:rFonts w:eastAsia="Calibri" w:hint="cs"/>
                <w:b/>
                <w:bCs/>
                <w:sz w:val="22"/>
                <w:szCs w:val="22"/>
                <w:rtl/>
              </w:rPr>
              <w:t>עד 30 ימים</w:t>
            </w:r>
          </w:p>
        </w:tc>
        <w:tc>
          <w:tcPr>
            <w:tcW w:w="1418" w:type="dxa"/>
            <w:tcBorders>
              <w:left w:val="single" w:sz="12" w:space="0" w:color="auto"/>
              <w:bottom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9,511</w:t>
            </w:r>
          </w:p>
        </w:tc>
        <w:tc>
          <w:tcPr>
            <w:tcW w:w="1276" w:type="dxa"/>
            <w:tcBorders>
              <w:bottom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12,018</w:t>
            </w:r>
          </w:p>
        </w:tc>
        <w:tc>
          <w:tcPr>
            <w:tcW w:w="1275" w:type="dxa"/>
            <w:tcBorders>
              <w:bottom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14,622</w:t>
            </w:r>
          </w:p>
        </w:tc>
        <w:tc>
          <w:tcPr>
            <w:tcW w:w="1419" w:type="dxa"/>
            <w:tcBorders>
              <w:bottom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18,285</w:t>
            </w:r>
          </w:p>
        </w:tc>
        <w:tc>
          <w:tcPr>
            <w:tcW w:w="1273" w:type="dxa"/>
            <w:tcBorders>
              <w:bottom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20,492</w:t>
            </w:r>
          </w:p>
        </w:tc>
      </w:tr>
      <w:tr w:rsidR="00E46818" w:rsidRPr="006F3BF1" w:rsidTr="00E552D6">
        <w:tc>
          <w:tcPr>
            <w:tcW w:w="1558" w:type="dxa"/>
            <w:tcBorders>
              <w:top w:val="single" w:sz="12" w:space="0" w:color="auto"/>
              <w:right w:val="single" w:sz="12" w:space="0" w:color="auto"/>
            </w:tcBorders>
            <w:shd w:val="clear" w:color="auto" w:fill="D9D9D9"/>
          </w:tcPr>
          <w:p w:rsidR="00E46818" w:rsidRPr="006F3BF1" w:rsidRDefault="00E46818" w:rsidP="00604C3D">
            <w:pPr>
              <w:spacing w:line="269" w:lineRule="auto"/>
              <w:rPr>
                <w:rFonts w:eastAsia="Calibri"/>
                <w:b/>
                <w:bCs/>
                <w:sz w:val="22"/>
                <w:szCs w:val="22"/>
                <w:rtl/>
              </w:rPr>
            </w:pPr>
            <w:r w:rsidRPr="006F3BF1">
              <w:rPr>
                <w:rFonts w:eastAsia="Calibri" w:hint="cs"/>
                <w:b/>
                <w:bCs/>
                <w:sz w:val="22"/>
                <w:szCs w:val="22"/>
                <w:rtl/>
              </w:rPr>
              <w:t>בסך הכול</w:t>
            </w:r>
          </w:p>
        </w:tc>
        <w:tc>
          <w:tcPr>
            <w:tcW w:w="1418" w:type="dxa"/>
            <w:tcBorders>
              <w:top w:val="single" w:sz="12" w:space="0" w:color="auto"/>
              <w:left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9,833</w:t>
            </w:r>
          </w:p>
        </w:tc>
        <w:tc>
          <w:tcPr>
            <w:tcW w:w="1276" w:type="dxa"/>
            <w:tcBorders>
              <w:top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12,422</w:t>
            </w:r>
          </w:p>
        </w:tc>
        <w:tc>
          <w:tcPr>
            <w:tcW w:w="1275" w:type="dxa"/>
            <w:tcBorders>
              <w:top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14,931</w:t>
            </w:r>
          </w:p>
        </w:tc>
        <w:tc>
          <w:tcPr>
            <w:tcW w:w="1419" w:type="dxa"/>
            <w:tcBorders>
              <w:top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18,556</w:t>
            </w:r>
          </w:p>
        </w:tc>
        <w:tc>
          <w:tcPr>
            <w:tcW w:w="1273" w:type="dxa"/>
            <w:tcBorders>
              <w:top w:val="single" w:sz="12" w:space="0" w:color="auto"/>
            </w:tcBorders>
            <w:vAlign w:val="center"/>
          </w:tcPr>
          <w:p w:rsidR="00E46818" w:rsidRPr="006F3BF1" w:rsidRDefault="00E46818" w:rsidP="00604C3D">
            <w:pPr>
              <w:spacing w:line="269" w:lineRule="auto"/>
              <w:jc w:val="left"/>
              <w:rPr>
                <w:rFonts w:eastAsia="Calibri"/>
                <w:sz w:val="22"/>
                <w:szCs w:val="22"/>
                <w:rtl/>
              </w:rPr>
            </w:pPr>
            <w:r w:rsidRPr="006F3BF1">
              <w:rPr>
                <w:rFonts w:eastAsia="Calibri" w:hint="cs"/>
                <w:sz w:val="22"/>
                <w:szCs w:val="22"/>
                <w:rtl/>
              </w:rPr>
              <w:t>20,835</w:t>
            </w:r>
          </w:p>
        </w:tc>
      </w:tr>
    </w:tbl>
    <w:p w:rsidR="00E46818" w:rsidRPr="00BE1CFE" w:rsidRDefault="00E46818" w:rsidP="00604C3D">
      <w:pPr>
        <w:spacing w:line="269" w:lineRule="auto"/>
        <w:rPr>
          <w:rFonts w:eastAsia="Calibri"/>
          <w:b/>
          <w:bCs/>
          <w:rtl/>
        </w:rPr>
      </w:pPr>
      <w:r w:rsidRPr="00BE1CFE">
        <w:rPr>
          <w:rFonts w:eastAsia="Calibri" w:hint="cs"/>
          <w:szCs w:val="20"/>
          <w:rtl/>
        </w:rPr>
        <w:t>על</w:t>
      </w:r>
      <w:r w:rsidRPr="00BE1CFE">
        <w:rPr>
          <w:rFonts w:eastAsia="Calibri"/>
          <w:szCs w:val="20"/>
          <w:rtl/>
        </w:rPr>
        <w:t xml:space="preserve"> </w:t>
      </w:r>
      <w:r w:rsidRPr="00BE1CFE">
        <w:rPr>
          <w:rFonts w:eastAsia="Calibri" w:hint="cs"/>
          <w:szCs w:val="20"/>
          <w:rtl/>
        </w:rPr>
        <w:t>פי</w:t>
      </w:r>
      <w:r w:rsidRPr="00BE1CFE">
        <w:rPr>
          <w:rFonts w:eastAsia="Calibri"/>
          <w:szCs w:val="20"/>
          <w:rtl/>
        </w:rPr>
        <w:t xml:space="preserve"> </w:t>
      </w:r>
      <w:r w:rsidRPr="00BE1CFE">
        <w:rPr>
          <w:rFonts w:eastAsia="Calibri" w:hint="cs"/>
          <w:szCs w:val="20"/>
          <w:rtl/>
        </w:rPr>
        <w:t>נתוני</w:t>
      </w:r>
      <w:r w:rsidRPr="00BE1CFE">
        <w:rPr>
          <w:rFonts w:eastAsia="Calibri"/>
          <w:szCs w:val="20"/>
          <w:rtl/>
        </w:rPr>
        <w:t xml:space="preserve"> </w:t>
      </w:r>
      <w:r w:rsidRPr="00BE1CFE">
        <w:rPr>
          <w:rFonts w:eastAsia="Calibri" w:hint="cs"/>
          <w:szCs w:val="20"/>
          <w:rtl/>
        </w:rPr>
        <w:t>המשטרה,</w:t>
      </w:r>
      <w:r w:rsidRPr="00BE1CFE">
        <w:rPr>
          <w:rFonts w:eastAsia="Calibri"/>
          <w:szCs w:val="20"/>
          <w:rtl/>
        </w:rPr>
        <w:t xml:space="preserve"> </w:t>
      </w:r>
      <w:r w:rsidRPr="00BE1CFE">
        <w:rPr>
          <w:rFonts w:eastAsia="Calibri" w:hint="cs"/>
          <w:szCs w:val="20"/>
          <w:rtl/>
        </w:rPr>
        <w:t>בעיבוד</w:t>
      </w:r>
      <w:r w:rsidRPr="00BE1CFE">
        <w:rPr>
          <w:rFonts w:eastAsia="Calibri"/>
          <w:szCs w:val="20"/>
          <w:rtl/>
        </w:rPr>
        <w:t xml:space="preserve"> </w:t>
      </w:r>
      <w:r w:rsidRPr="00BE1CFE">
        <w:rPr>
          <w:rFonts w:eastAsia="Calibri" w:hint="cs"/>
          <w:szCs w:val="20"/>
          <w:rtl/>
        </w:rPr>
        <w:t>משרד</w:t>
      </w:r>
      <w:r w:rsidRPr="00BE1CFE">
        <w:rPr>
          <w:rFonts w:eastAsia="Calibri"/>
          <w:szCs w:val="20"/>
          <w:rtl/>
        </w:rPr>
        <w:t xml:space="preserve"> </w:t>
      </w:r>
      <w:r w:rsidRPr="00BE1CFE">
        <w:rPr>
          <w:rFonts w:eastAsia="Calibri" w:hint="cs"/>
          <w:szCs w:val="20"/>
          <w:rtl/>
        </w:rPr>
        <w:t>מבקר</w:t>
      </w:r>
      <w:r w:rsidRPr="00BE1CFE">
        <w:rPr>
          <w:rFonts w:eastAsia="Calibri"/>
          <w:szCs w:val="20"/>
          <w:rtl/>
        </w:rPr>
        <w:t xml:space="preserve"> </w:t>
      </w:r>
      <w:r w:rsidRPr="00BE1CFE">
        <w:rPr>
          <w:rFonts w:eastAsia="Calibri" w:hint="cs"/>
          <w:szCs w:val="20"/>
          <w:rtl/>
        </w:rPr>
        <w:t>המדינה</w:t>
      </w:r>
      <w:r w:rsidRPr="00BE1CFE">
        <w:rPr>
          <w:rFonts w:eastAsia="Calibri" w:hint="cs"/>
          <w:rtl/>
        </w:rPr>
        <w:t>.</w:t>
      </w:r>
    </w:p>
    <w:p w:rsidR="006F3BF1" w:rsidRDefault="006F3BF1" w:rsidP="00C4338B">
      <w:pPr>
        <w:keepNext/>
        <w:keepLines/>
        <w:spacing w:line="269" w:lineRule="auto"/>
        <w:rPr>
          <w:rFonts w:eastAsia="Calibri"/>
          <w:rtl/>
        </w:rPr>
      </w:pPr>
    </w:p>
    <w:p w:rsidR="00E46818" w:rsidRDefault="00E46818" w:rsidP="00604C3D">
      <w:pPr>
        <w:keepNext/>
        <w:keepLines/>
        <w:spacing w:line="269" w:lineRule="auto"/>
        <w:jc w:val="center"/>
        <w:rPr>
          <w:rFonts w:eastAsia="Calibri"/>
          <w:sz w:val="14"/>
          <w:szCs w:val="20"/>
          <w:rtl/>
        </w:rPr>
      </w:pPr>
      <w:r w:rsidRPr="00BE1CFE">
        <w:rPr>
          <w:rFonts w:eastAsia="Calibri" w:hint="eastAsia"/>
          <w:rtl/>
        </w:rPr>
        <w:t>תרשים</w:t>
      </w:r>
      <w:r w:rsidR="006F3BF1">
        <w:rPr>
          <w:rFonts w:eastAsia="Calibri" w:hint="cs"/>
          <w:rtl/>
        </w:rPr>
        <w:t xml:space="preserve"> 19</w:t>
      </w:r>
      <w:r w:rsidRPr="00BE1CFE">
        <w:rPr>
          <w:rFonts w:eastAsia="Calibri"/>
          <w:sz w:val="18"/>
          <w:rtl/>
        </w:rPr>
        <w:t>:</w:t>
      </w:r>
      <w:r w:rsidRPr="00BE1CFE">
        <w:rPr>
          <w:rFonts w:eastAsia="Calibri"/>
          <w:b/>
          <w:bCs/>
          <w:sz w:val="18"/>
          <w:rtl/>
        </w:rPr>
        <w:t xml:space="preserve"> </w:t>
      </w:r>
      <w:r w:rsidRPr="00BE1CFE">
        <w:rPr>
          <w:rFonts w:eastAsia="Calibri" w:hint="eastAsia"/>
          <w:b/>
          <w:bCs/>
          <w:sz w:val="18"/>
          <w:rtl/>
        </w:rPr>
        <w:t>פילוח</w:t>
      </w:r>
      <w:r w:rsidRPr="00BE1CFE">
        <w:rPr>
          <w:rFonts w:eastAsia="Calibri"/>
          <w:b/>
          <w:bCs/>
          <w:sz w:val="18"/>
          <w:rtl/>
        </w:rPr>
        <w:t xml:space="preserve"> </w:t>
      </w:r>
      <w:r w:rsidRPr="00BE1CFE">
        <w:rPr>
          <w:rFonts w:eastAsia="Calibri" w:hint="cs"/>
          <w:b/>
          <w:bCs/>
          <w:sz w:val="18"/>
          <w:rtl/>
        </w:rPr>
        <w:t>מספרם הכולל של צווי בית המשפט</w:t>
      </w:r>
      <w:r w:rsidRPr="00BE1CFE">
        <w:rPr>
          <w:rFonts w:eastAsia="Calibri"/>
          <w:b/>
          <w:bCs/>
          <w:sz w:val="18"/>
          <w:rtl/>
        </w:rPr>
        <w:t xml:space="preserve"> </w:t>
      </w:r>
      <w:r w:rsidRPr="00BE1CFE">
        <w:rPr>
          <w:rFonts w:eastAsia="Calibri" w:hint="cs"/>
          <w:b/>
          <w:bCs/>
          <w:sz w:val="18"/>
          <w:rtl/>
        </w:rPr>
        <w:t xml:space="preserve">לקבלת נתוני תקשורת עתידיים, </w:t>
      </w:r>
      <w:r w:rsidR="006F3BF1">
        <w:rPr>
          <w:rFonts w:eastAsia="Calibri"/>
          <w:b/>
          <w:bCs/>
          <w:sz w:val="18"/>
          <w:rtl/>
        </w:rPr>
        <w:br/>
      </w:r>
      <w:r w:rsidRPr="00BE1CFE">
        <w:rPr>
          <w:rFonts w:eastAsia="Calibri" w:hint="cs"/>
          <w:b/>
          <w:bCs/>
          <w:sz w:val="18"/>
          <w:rtl/>
        </w:rPr>
        <w:t xml:space="preserve">2017 - 2021 </w:t>
      </w:r>
    </w:p>
    <w:p w:rsidR="00C4338B" w:rsidRDefault="00C4338B" w:rsidP="00604C3D">
      <w:pPr>
        <w:spacing w:line="269" w:lineRule="auto"/>
        <w:rPr>
          <w:rFonts w:eastAsia="Calibri"/>
          <w:sz w:val="14"/>
          <w:szCs w:val="20"/>
          <w:rtl/>
        </w:rPr>
      </w:pPr>
      <w:r>
        <w:rPr>
          <w:rFonts w:eastAsia="Calibri"/>
          <w:noProof/>
          <w:sz w:val="14"/>
          <w:szCs w:val="20"/>
        </w:rPr>
        <w:drawing>
          <wp:inline distT="0" distB="0" distL="0" distR="0" wp14:anchorId="3F3BE61E" wp14:editId="50B0AFD6">
            <wp:extent cx="5231130" cy="3030220"/>
            <wp:effectExtent l="0" t="0" r="762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1130" cy="3030220"/>
                    </a:xfrm>
                    <a:prstGeom prst="rect">
                      <a:avLst/>
                    </a:prstGeom>
                    <a:noFill/>
                  </pic:spPr>
                </pic:pic>
              </a:graphicData>
            </a:graphic>
          </wp:inline>
        </w:drawing>
      </w:r>
    </w:p>
    <w:p w:rsidR="00E46818" w:rsidRPr="00BE1CFE" w:rsidRDefault="00E46818" w:rsidP="00604C3D">
      <w:pPr>
        <w:spacing w:line="269" w:lineRule="auto"/>
        <w:rPr>
          <w:rFonts w:eastAsia="Calibri"/>
          <w:sz w:val="14"/>
          <w:szCs w:val="20"/>
          <w:rtl/>
        </w:rPr>
      </w:pPr>
      <w:r w:rsidRPr="00BE1CFE">
        <w:rPr>
          <w:rFonts w:eastAsia="Calibri" w:hint="cs"/>
          <w:sz w:val="14"/>
          <w:szCs w:val="20"/>
          <w:rtl/>
        </w:rPr>
        <w:t>על פי</w:t>
      </w:r>
      <w:r w:rsidRPr="00BE1CFE">
        <w:rPr>
          <w:rFonts w:eastAsia="Calibri"/>
          <w:sz w:val="14"/>
          <w:szCs w:val="20"/>
          <w:rtl/>
        </w:rPr>
        <w:t xml:space="preserve"> </w:t>
      </w:r>
      <w:r w:rsidRPr="00BE1CFE">
        <w:rPr>
          <w:rFonts w:eastAsia="Calibri" w:hint="eastAsia"/>
          <w:sz w:val="14"/>
          <w:szCs w:val="20"/>
          <w:rtl/>
        </w:rPr>
        <w:t>נתוני</w:t>
      </w:r>
      <w:r w:rsidRPr="00BE1CFE">
        <w:rPr>
          <w:rFonts w:eastAsia="Calibri"/>
          <w:sz w:val="14"/>
          <w:szCs w:val="20"/>
          <w:rtl/>
        </w:rPr>
        <w:t xml:space="preserve"> </w:t>
      </w:r>
      <w:r w:rsidRPr="00BE1CFE">
        <w:rPr>
          <w:rFonts w:eastAsia="Calibri" w:hint="cs"/>
          <w:sz w:val="14"/>
          <w:szCs w:val="20"/>
          <w:rtl/>
        </w:rPr>
        <w:t>ה</w:t>
      </w:r>
      <w:r w:rsidRPr="00BE1CFE">
        <w:rPr>
          <w:rFonts w:eastAsia="Calibri" w:hint="eastAsia"/>
          <w:sz w:val="14"/>
          <w:szCs w:val="20"/>
          <w:rtl/>
        </w:rPr>
        <w:t>משטר</w:t>
      </w:r>
      <w:r w:rsidRPr="00BE1CFE">
        <w:rPr>
          <w:rFonts w:eastAsia="Calibri" w:hint="cs"/>
          <w:sz w:val="14"/>
          <w:szCs w:val="20"/>
          <w:rtl/>
        </w:rPr>
        <w:t>ה,</w:t>
      </w:r>
      <w:r w:rsidRPr="00BE1CFE">
        <w:rPr>
          <w:rFonts w:eastAsia="Calibri"/>
          <w:sz w:val="14"/>
          <w:szCs w:val="20"/>
          <w:rtl/>
        </w:rPr>
        <w:t xml:space="preserve"> </w:t>
      </w:r>
      <w:r w:rsidRPr="00BE1CFE">
        <w:rPr>
          <w:rFonts w:eastAsia="Calibri" w:hint="eastAsia"/>
          <w:sz w:val="14"/>
          <w:szCs w:val="20"/>
          <w:rtl/>
        </w:rPr>
        <w:t>בעיבוד</w:t>
      </w:r>
      <w:r w:rsidRPr="00BE1CFE">
        <w:rPr>
          <w:rFonts w:eastAsia="Calibri"/>
          <w:sz w:val="14"/>
          <w:szCs w:val="20"/>
          <w:rtl/>
        </w:rPr>
        <w:t xml:space="preserve"> </w:t>
      </w:r>
      <w:r w:rsidRPr="00BE1CFE">
        <w:rPr>
          <w:rFonts w:eastAsia="Calibri" w:hint="eastAsia"/>
          <w:sz w:val="14"/>
          <w:szCs w:val="20"/>
          <w:rtl/>
        </w:rPr>
        <w:t>משרד</w:t>
      </w:r>
      <w:r w:rsidRPr="00BE1CFE">
        <w:rPr>
          <w:rFonts w:eastAsia="Calibri"/>
          <w:sz w:val="14"/>
          <w:szCs w:val="20"/>
          <w:rtl/>
        </w:rPr>
        <w:t xml:space="preserve"> </w:t>
      </w:r>
      <w:r w:rsidRPr="00BE1CFE">
        <w:rPr>
          <w:rFonts w:eastAsia="Calibri" w:hint="eastAsia"/>
          <w:sz w:val="14"/>
          <w:szCs w:val="20"/>
          <w:rtl/>
        </w:rPr>
        <w:t>מבקר</w:t>
      </w:r>
      <w:r w:rsidRPr="00BE1CFE">
        <w:rPr>
          <w:rFonts w:eastAsia="Calibri"/>
          <w:sz w:val="14"/>
          <w:szCs w:val="20"/>
          <w:rtl/>
        </w:rPr>
        <w:t xml:space="preserve"> </w:t>
      </w:r>
      <w:r w:rsidRPr="00BE1CFE">
        <w:rPr>
          <w:rFonts w:eastAsia="Calibri" w:hint="eastAsia"/>
          <w:sz w:val="14"/>
          <w:szCs w:val="20"/>
          <w:rtl/>
        </w:rPr>
        <w:t>המדינה</w:t>
      </w:r>
      <w:r w:rsidRPr="00BE1CFE">
        <w:rPr>
          <w:rFonts w:eastAsia="Calibri" w:hint="cs"/>
          <w:sz w:val="14"/>
          <w:szCs w:val="20"/>
          <w:rtl/>
        </w:rPr>
        <w:t>.</w:t>
      </w:r>
    </w:p>
    <w:p w:rsidR="00B47E58" w:rsidRDefault="00B47E58" w:rsidP="00604C3D">
      <w:pPr>
        <w:spacing w:line="269" w:lineRule="auto"/>
        <w:rPr>
          <w:rFonts w:eastAsia="Calibri"/>
          <w:b/>
          <w:bCs/>
          <w:sz w:val="18"/>
          <w:rtl/>
        </w:rPr>
      </w:pPr>
    </w:p>
    <w:p w:rsidR="00E46818" w:rsidRPr="00BE1CFE" w:rsidRDefault="00E46818" w:rsidP="00604C3D">
      <w:pPr>
        <w:spacing w:line="269" w:lineRule="auto"/>
        <w:rPr>
          <w:rFonts w:eastAsia="Calibri"/>
          <w:sz w:val="18"/>
          <w:rtl/>
        </w:rPr>
      </w:pPr>
      <w:r w:rsidRPr="00BE1CFE">
        <w:rPr>
          <w:rFonts w:eastAsia="Calibri" w:hint="cs"/>
          <w:b/>
          <w:bCs/>
          <w:sz w:val="18"/>
          <w:rtl/>
        </w:rPr>
        <w:t xml:space="preserve">מהנתונים עולה כי בשנים 2017 - 2021 בקשות המשטרה לצו בית משפט לקבלת נתוני תקשורת עתידיים כללו כמעט באופן מוחלט את פרק הזמן המרבי המותר בחוק - עד 30 </w:t>
      </w:r>
      <w:bookmarkEnd w:id="599"/>
      <w:r w:rsidRPr="00BE1CFE">
        <w:rPr>
          <w:rFonts w:eastAsia="Calibri" w:hint="cs"/>
          <w:b/>
          <w:bCs/>
          <w:sz w:val="18"/>
          <w:rtl/>
        </w:rPr>
        <w:t>יום (כ-98% מכלל הצווים לקבלת נתוני תקשורת עתידיים).</w:t>
      </w:r>
      <w:r w:rsidRPr="00BE1CFE">
        <w:rPr>
          <w:rFonts w:eastAsia="Calibri" w:hint="cs"/>
          <w:sz w:val="18"/>
          <w:rtl/>
        </w:rPr>
        <w:t xml:space="preserve"> </w:t>
      </w:r>
    </w:p>
    <w:p w:rsidR="00B47E58" w:rsidRDefault="00B47E58" w:rsidP="00604C3D">
      <w:pPr>
        <w:spacing w:line="269" w:lineRule="auto"/>
        <w:rPr>
          <w:rFonts w:eastAsia="Calibri"/>
          <w:sz w:val="16"/>
          <w:szCs w:val="16"/>
          <w:rtl/>
        </w:rPr>
      </w:pPr>
    </w:p>
    <w:p w:rsidR="00E46818" w:rsidRPr="00BE1CFE" w:rsidRDefault="00E46818" w:rsidP="00604C3D">
      <w:pPr>
        <w:spacing w:line="269" w:lineRule="auto"/>
        <w:rPr>
          <w:rFonts w:eastAsia="Calibri"/>
          <w:sz w:val="18"/>
          <w:rtl/>
        </w:rPr>
      </w:pPr>
      <w:r w:rsidRPr="00BE1CFE">
        <w:rPr>
          <w:rFonts w:eastAsia="Calibri" w:hint="cs"/>
          <w:sz w:val="18"/>
          <w:rtl/>
        </w:rPr>
        <w:t xml:space="preserve">המשטרה מסרה בתגובתה כי השימוש בנתוני תקשורת עתידיים נחוץ לפעילות המשטרה להתמודדות עם הפשיעה הגואה ולגילוי עבריינים שכן הוא מסייע למניעה ולסיכול של פשיעה קודם ביצוע העבירות. במועד הגשת הבקשה לצו בית משפט לקבלת נתוני תקשורת עתידיים כמעט תמיד לא ניתן לדעת מראש את משך הזמן שלגביו יידרשו הנתונים העתידיים שכן מדובר בשלב חקירה התחלתי שבו לא ידועים כל הפרטים הנוגעים לפרשייה. עם זאת, משעה שפסק הצורך המבצעי או החקירתי בנתוני התקשורת, אזי מפסיקה המשטרה לממש את הצו לנתוני תקשורת עתידיים. עוד הוסיפה המשטרה כי היא מבצעת בקרות בתחום נתוני התקשורת ובהן נבדק גם </w:t>
      </w:r>
      <w:r w:rsidRPr="00BE1CFE">
        <w:rPr>
          <w:rFonts w:eastAsia="Calibri" w:hint="eastAsia"/>
          <w:sz w:val="18"/>
          <w:rtl/>
        </w:rPr>
        <w:t>משך</w:t>
      </w:r>
      <w:r w:rsidRPr="00BE1CFE">
        <w:rPr>
          <w:rFonts w:eastAsia="Calibri"/>
          <w:sz w:val="18"/>
          <w:rtl/>
        </w:rPr>
        <w:t xml:space="preserve"> </w:t>
      </w:r>
      <w:r w:rsidRPr="00BE1CFE">
        <w:rPr>
          <w:rFonts w:eastAsia="Calibri" w:hint="eastAsia"/>
          <w:sz w:val="18"/>
          <w:rtl/>
        </w:rPr>
        <w:t>הזמן</w:t>
      </w:r>
      <w:r w:rsidRPr="00BE1CFE">
        <w:rPr>
          <w:rFonts w:eastAsia="Calibri"/>
          <w:sz w:val="18"/>
          <w:rtl/>
        </w:rPr>
        <w:t xml:space="preserve"> </w:t>
      </w:r>
      <w:r w:rsidRPr="00BE1CFE">
        <w:rPr>
          <w:rFonts w:eastAsia="Calibri" w:hint="eastAsia"/>
          <w:sz w:val="18"/>
          <w:rtl/>
        </w:rPr>
        <w:t>המבוקש</w:t>
      </w:r>
      <w:r w:rsidRPr="00BE1CFE">
        <w:rPr>
          <w:rFonts w:eastAsia="Calibri"/>
          <w:sz w:val="18"/>
          <w:rtl/>
        </w:rPr>
        <w:t xml:space="preserve"> </w:t>
      </w:r>
      <w:r w:rsidRPr="00BE1CFE">
        <w:rPr>
          <w:rFonts w:eastAsia="Calibri" w:hint="cs"/>
          <w:sz w:val="18"/>
          <w:rtl/>
        </w:rPr>
        <w:t>ב</w:t>
      </w:r>
      <w:r w:rsidRPr="00BE1CFE">
        <w:rPr>
          <w:rFonts w:eastAsia="Calibri" w:hint="eastAsia"/>
          <w:sz w:val="18"/>
          <w:rtl/>
        </w:rPr>
        <w:t>צו</w:t>
      </w:r>
      <w:r w:rsidRPr="00BE1CFE">
        <w:rPr>
          <w:rFonts w:eastAsia="Calibri" w:hint="cs"/>
          <w:sz w:val="18"/>
          <w:rtl/>
        </w:rPr>
        <w:t>,</w:t>
      </w:r>
      <w:r w:rsidRPr="00BE1CFE">
        <w:rPr>
          <w:rFonts w:eastAsia="Calibri"/>
          <w:sz w:val="18"/>
          <w:rtl/>
        </w:rPr>
        <w:t xml:space="preserve"> </w:t>
      </w:r>
      <w:r w:rsidRPr="00BE1CFE">
        <w:rPr>
          <w:rFonts w:eastAsia="Calibri" w:hint="cs"/>
          <w:sz w:val="18"/>
          <w:rtl/>
        </w:rPr>
        <w:t>ו</w:t>
      </w:r>
      <w:r w:rsidRPr="00BE1CFE">
        <w:rPr>
          <w:rFonts w:eastAsia="Calibri" w:hint="eastAsia"/>
          <w:sz w:val="18"/>
          <w:rtl/>
        </w:rPr>
        <w:t>מהבקרות</w:t>
      </w:r>
      <w:r w:rsidRPr="00BE1CFE">
        <w:rPr>
          <w:rFonts w:eastAsia="Calibri"/>
          <w:sz w:val="18"/>
          <w:rtl/>
        </w:rPr>
        <w:t xml:space="preserve"> </w:t>
      </w:r>
      <w:r w:rsidRPr="00BE1CFE">
        <w:rPr>
          <w:rFonts w:eastAsia="Calibri" w:hint="eastAsia"/>
          <w:sz w:val="18"/>
          <w:rtl/>
        </w:rPr>
        <w:t>לאורך</w:t>
      </w:r>
      <w:r w:rsidRPr="00BE1CFE">
        <w:rPr>
          <w:rFonts w:eastAsia="Calibri"/>
          <w:sz w:val="18"/>
          <w:rtl/>
        </w:rPr>
        <w:t xml:space="preserve"> </w:t>
      </w:r>
      <w:r w:rsidRPr="00BE1CFE">
        <w:rPr>
          <w:rFonts w:eastAsia="Calibri" w:hint="eastAsia"/>
          <w:sz w:val="18"/>
          <w:rtl/>
        </w:rPr>
        <w:t>השנים</w:t>
      </w:r>
      <w:r w:rsidRPr="00BE1CFE">
        <w:rPr>
          <w:rFonts w:eastAsia="Calibri"/>
          <w:sz w:val="18"/>
          <w:rtl/>
        </w:rPr>
        <w:t xml:space="preserve"> </w:t>
      </w:r>
      <w:r w:rsidRPr="00BE1CFE">
        <w:rPr>
          <w:rFonts w:eastAsia="Calibri" w:hint="eastAsia"/>
          <w:sz w:val="18"/>
          <w:rtl/>
        </w:rPr>
        <w:t>עולה</w:t>
      </w:r>
      <w:r w:rsidRPr="00BE1CFE">
        <w:rPr>
          <w:rFonts w:eastAsia="Calibri"/>
          <w:sz w:val="18"/>
          <w:rtl/>
        </w:rPr>
        <w:t xml:space="preserve"> </w:t>
      </w:r>
      <w:r w:rsidRPr="00BE1CFE">
        <w:rPr>
          <w:rFonts w:eastAsia="Calibri" w:hint="eastAsia"/>
          <w:sz w:val="18"/>
          <w:rtl/>
        </w:rPr>
        <w:t>כי</w:t>
      </w:r>
      <w:r w:rsidRPr="00BE1CFE">
        <w:rPr>
          <w:rFonts w:eastAsia="Calibri"/>
          <w:sz w:val="18"/>
          <w:rtl/>
        </w:rPr>
        <w:t xml:space="preserve"> </w:t>
      </w:r>
      <w:r w:rsidRPr="00BE1CFE">
        <w:rPr>
          <w:rFonts w:eastAsia="Calibri" w:hint="cs"/>
          <w:sz w:val="18"/>
          <w:rtl/>
        </w:rPr>
        <w:t>מתבצע</w:t>
      </w:r>
      <w:r w:rsidRPr="00BE1CFE">
        <w:rPr>
          <w:rFonts w:eastAsia="Calibri"/>
          <w:sz w:val="18"/>
          <w:rtl/>
        </w:rPr>
        <w:t xml:space="preserve"> </w:t>
      </w:r>
      <w:r w:rsidRPr="00BE1CFE">
        <w:rPr>
          <w:rFonts w:eastAsia="Calibri" w:hint="eastAsia"/>
          <w:sz w:val="18"/>
          <w:rtl/>
        </w:rPr>
        <w:t>שימוש</w:t>
      </w:r>
      <w:r w:rsidRPr="00BE1CFE">
        <w:rPr>
          <w:rFonts w:eastAsia="Calibri"/>
          <w:sz w:val="18"/>
          <w:rtl/>
        </w:rPr>
        <w:t xml:space="preserve"> </w:t>
      </w:r>
      <w:r w:rsidRPr="00BE1CFE">
        <w:rPr>
          <w:rFonts w:eastAsia="Calibri" w:hint="eastAsia"/>
          <w:sz w:val="18"/>
          <w:rtl/>
        </w:rPr>
        <w:t>מושכל</w:t>
      </w:r>
      <w:r w:rsidRPr="00BE1CFE">
        <w:rPr>
          <w:rFonts w:eastAsia="Calibri"/>
          <w:sz w:val="18"/>
          <w:rtl/>
        </w:rPr>
        <w:t xml:space="preserve"> </w:t>
      </w:r>
      <w:r w:rsidRPr="00BE1CFE">
        <w:rPr>
          <w:rFonts w:eastAsia="Calibri" w:hint="eastAsia"/>
          <w:sz w:val="18"/>
          <w:rtl/>
        </w:rPr>
        <w:t>בנתוני</w:t>
      </w:r>
      <w:r w:rsidRPr="00BE1CFE">
        <w:rPr>
          <w:rFonts w:eastAsia="Calibri"/>
          <w:sz w:val="18"/>
          <w:rtl/>
        </w:rPr>
        <w:t xml:space="preserve"> </w:t>
      </w:r>
      <w:r w:rsidRPr="00BE1CFE">
        <w:rPr>
          <w:rFonts w:eastAsia="Calibri" w:hint="eastAsia"/>
          <w:sz w:val="18"/>
          <w:rtl/>
        </w:rPr>
        <w:t>התקשורת</w:t>
      </w:r>
      <w:r w:rsidRPr="00BE1CFE">
        <w:rPr>
          <w:rFonts w:eastAsia="Calibri"/>
          <w:sz w:val="18"/>
          <w:rtl/>
        </w:rPr>
        <w:t>.</w:t>
      </w:r>
    </w:p>
    <w:p w:rsidR="00E46818" w:rsidRPr="00BE1CFE" w:rsidRDefault="00E46818" w:rsidP="00604C3D">
      <w:pPr>
        <w:spacing w:line="269" w:lineRule="auto"/>
        <w:rPr>
          <w:rtl/>
        </w:rPr>
      </w:pPr>
      <w:r w:rsidRPr="00BE1CFE">
        <w:rPr>
          <w:rtl/>
        </w:rPr>
        <w:br w:type="page"/>
      </w:r>
    </w:p>
    <w:p w:rsidR="00E46818" w:rsidRPr="00BE1CFE" w:rsidRDefault="00E46818" w:rsidP="00604C3D">
      <w:pPr>
        <w:pStyle w:val="3"/>
        <w:spacing w:before="0" w:line="269" w:lineRule="auto"/>
        <w:rPr>
          <w:rFonts w:eastAsia="Times New Roman"/>
        </w:rPr>
      </w:pPr>
      <w:bookmarkStart w:id="600" w:name="_Toc219286558"/>
      <w:r w:rsidRPr="00BE1CFE">
        <w:rPr>
          <w:rFonts w:eastAsia="Times New Roman" w:hint="cs"/>
          <w:rtl/>
        </w:rPr>
        <w:t>3.3 ההליכים להוצאת היתר לקבלת נתוני תקשורת שלא באמצעות פנייה לבית משפט</w:t>
      </w:r>
      <w:bookmarkEnd w:id="600"/>
      <w:r w:rsidRPr="00BE1CFE">
        <w:rPr>
          <w:rFonts w:eastAsia="Times New Roman" w:hint="cs"/>
          <w:rtl/>
        </w:rPr>
        <w:t xml:space="preserve"> </w:t>
      </w:r>
    </w:p>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rtl/>
        </w:rPr>
      </w:pPr>
      <w:r w:rsidRPr="00BE1CFE">
        <w:rPr>
          <w:rFonts w:eastAsia="Calibri" w:hint="cs"/>
          <w:rtl/>
        </w:rPr>
        <w:t>חוק נתוני תקשורת מבטא את ההכרה בכך שבמצבי חירום שבהם חל עיכוב בקבלת נתוני תקשורת עלולה להיפגע במידה ניכרת יכולת המשטרה למלא את תפקידיה. לפיכך החוק קובע כי במקרים דחופים, כאשר יש צורך שאינו סובל דיחוי בקבלת נתוני תקשורת ולא ניתן לקבל מבעוד מועד צו שיפוטי, קצין מוסמך יכול לאשר קבלת נתוני תקשורת</w:t>
      </w:r>
      <w:r w:rsidRPr="00BE1CFE">
        <w:rPr>
          <w:rFonts w:eastAsia="Calibri"/>
          <w:vertAlign w:val="superscript"/>
          <w:rtl/>
        </w:rPr>
        <w:footnoteReference w:id="263"/>
      </w:r>
      <w:r w:rsidRPr="00BE1CFE">
        <w:rPr>
          <w:rFonts w:eastAsia="Calibri" w:hint="cs"/>
          <w:rtl/>
        </w:rPr>
        <w:t xml:space="preserve"> בהיתר מינהלי</w:t>
      </w:r>
      <w:r w:rsidRPr="00BE1CFE">
        <w:rPr>
          <w:rFonts w:eastAsia="Calibri"/>
          <w:vertAlign w:val="superscript"/>
          <w:rtl/>
        </w:rPr>
        <w:footnoteReference w:id="264"/>
      </w:r>
      <w:r w:rsidRPr="00BE1CFE">
        <w:rPr>
          <w:rFonts w:eastAsia="Calibri" w:hint="cs"/>
          <w:rtl/>
        </w:rPr>
        <w:t xml:space="preserve"> במקרים האלה: אם שוכנע כי יש בכך צורך שאינו סובל דיחוי לשם מניעת עבירה מסוג פשע; לשם גילוי מבצעה של עבירה מסוג פשע; או לשם הצלת חיי אדם. התוקף המרבי של ההיתר המינהלי הוא 24 שעות ממועד הדיווח על האירוע</w:t>
      </w:r>
      <w:r w:rsidRPr="00BE1CFE">
        <w:rPr>
          <w:rFonts w:eastAsia="Calibri"/>
          <w:vertAlign w:val="superscript"/>
          <w:rtl/>
        </w:rPr>
        <w:footnoteReference w:id="265"/>
      </w:r>
      <w:r w:rsidRPr="00BE1CFE">
        <w:rPr>
          <w:rFonts w:eastAsia="Calibri" w:hint="cs"/>
          <w:rtl/>
        </w:rPr>
        <w:t>. אם האירוע לא פוענח במסגרת הזמן האמורה ועדיין יש צורך בקבלת נתוני תקשורת, המשטרה יכולה לפנות לבית המשפט לשם הגשת בקשה לצו לקבלת נתוני תקשורת.</w:t>
      </w:r>
    </w:p>
    <w:p w:rsidR="00B47E58" w:rsidRDefault="00B47E58" w:rsidP="00604C3D">
      <w:pPr>
        <w:spacing w:line="269" w:lineRule="auto"/>
        <w:rPr>
          <w:rFonts w:eastAsia="Calibri"/>
          <w:szCs w:val="20"/>
          <w:rtl/>
        </w:rPr>
      </w:pPr>
    </w:p>
    <w:p w:rsidR="00E46818" w:rsidRDefault="00E46818" w:rsidP="00604C3D">
      <w:pPr>
        <w:spacing w:line="269" w:lineRule="auto"/>
        <w:rPr>
          <w:rFonts w:eastAsia="Calibri"/>
          <w:rtl/>
        </w:rPr>
      </w:pPr>
      <w:r w:rsidRPr="00BE1CFE">
        <w:rPr>
          <w:rFonts w:eastAsia="Calibri" w:hint="eastAsia"/>
          <w:rtl/>
        </w:rPr>
        <w:t>חוק</w:t>
      </w:r>
      <w:r w:rsidRPr="00BE1CFE">
        <w:rPr>
          <w:rFonts w:eastAsia="Calibri"/>
          <w:rtl/>
        </w:rPr>
        <w:t xml:space="preserve"> נתוני תקשורת </w:t>
      </w:r>
      <w:r w:rsidRPr="00BE1CFE">
        <w:rPr>
          <w:rFonts w:eastAsia="Calibri" w:hint="cs"/>
          <w:rtl/>
        </w:rPr>
        <w:t>מקנה</w:t>
      </w:r>
      <w:r w:rsidRPr="00BE1CFE">
        <w:rPr>
          <w:rFonts w:eastAsia="Calibri"/>
          <w:rtl/>
        </w:rPr>
        <w:t xml:space="preserve"> סמכות משמעותית ביותר לקצינים מוסמכים </w:t>
      </w:r>
      <w:r w:rsidRPr="00BE1CFE">
        <w:rPr>
          <w:rFonts w:eastAsia="Calibri" w:hint="cs"/>
          <w:rtl/>
        </w:rPr>
        <w:t>ומעניק להם במקרים דחופים את</w:t>
      </w:r>
      <w:r w:rsidRPr="00BE1CFE">
        <w:rPr>
          <w:rFonts w:eastAsia="Calibri"/>
          <w:rtl/>
        </w:rPr>
        <w:t xml:space="preserve"> שיקול הדעת</w:t>
      </w:r>
      <w:r w:rsidRPr="00BE1CFE">
        <w:rPr>
          <w:rFonts w:eastAsia="Calibri" w:hint="cs"/>
          <w:rtl/>
        </w:rPr>
        <w:t xml:space="preserve"> במקום</w:t>
      </w:r>
      <w:r w:rsidRPr="00BE1CFE">
        <w:rPr>
          <w:rFonts w:eastAsia="Calibri"/>
          <w:rtl/>
        </w:rPr>
        <w:t xml:space="preserve"> </w:t>
      </w:r>
      <w:r w:rsidRPr="00BE1CFE">
        <w:rPr>
          <w:rFonts w:eastAsia="Calibri" w:hint="cs"/>
          <w:rtl/>
        </w:rPr>
        <w:t>ל</w:t>
      </w:r>
      <w:r w:rsidRPr="00BE1CFE">
        <w:rPr>
          <w:rFonts w:eastAsia="Calibri"/>
          <w:rtl/>
        </w:rPr>
        <w:t xml:space="preserve">בית המשפט. הקצין המוסמך נדרש לבצע בעצמו, בזמן אמת ובמהירות רבה, איזון בין הצורך המבצעי </w:t>
      </w:r>
      <w:r w:rsidRPr="00BE1CFE">
        <w:rPr>
          <w:rFonts w:eastAsia="Calibri" w:hint="cs"/>
          <w:rtl/>
        </w:rPr>
        <w:t>ו</w:t>
      </w:r>
      <w:r w:rsidRPr="00BE1CFE">
        <w:rPr>
          <w:rFonts w:eastAsia="Calibri"/>
          <w:rtl/>
        </w:rPr>
        <w:t xml:space="preserve">בין הזכות לשמירה על פרטיות </w:t>
      </w:r>
      <w:r w:rsidRPr="00BE1CFE">
        <w:rPr>
          <w:rFonts w:eastAsia="Calibri" w:hint="cs"/>
          <w:rtl/>
        </w:rPr>
        <w:t>ולהפחתת</w:t>
      </w:r>
      <w:r w:rsidRPr="00BE1CFE">
        <w:rPr>
          <w:rFonts w:eastAsia="Calibri"/>
          <w:rtl/>
        </w:rPr>
        <w:t xml:space="preserve"> הפגיעה בפרטיות </w:t>
      </w:r>
      <w:r w:rsidRPr="00BE1CFE">
        <w:rPr>
          <w:rFonts w:eastAsia="Calibri" w:hint="cs"/>
          <w:rtl/>
        </w:rPr>
        <w:t>במידת האפשר</w:t>
      </w:r>
      <w:r w:rsidRPr="00BE1CFE">
        <w:rPr>
          <w:rFonts w:eastAsia="Calibri"/>
          <w:rtl/>
        </w:rPr>
        <w:t xml:space="preserve">. בהתאם לתוצאת האיזון </w:t>
      </w:r>
      <w:r w:rsidRPr="00BE1CFE">
        <w:rPr>
          <w:rFonts w:eastAsia="Calibri" w:hint="eastAsia"/>
          <w:rtl/>
        </w:rPr>
        <w:t>ולשיקול</w:t>
      </w:r>
      <w:r w:rsidRPr="00BE1CFE">
        <w:rPr>
          <w:rFonts w:eastAsia="Calibri"/>
          <w:rtl/>
        </w:rPr>
        <w:t xml:space="preserve"> הדעת של הקצין המוסמך הוא נדרש לאשר או לדחות את הבקשה למתן היתר מ</w:t>
      </w:r>
      <w:r w:rsidRPr="00BE1CFE">
        <w:rPr>
          <w:rFonts w:eastAsia="Calibri" w:hint="cs"/>
          <w:rtl/>
        </w:rPr>
        <w:t>י</w:t>
      </w:r>
      <w:r w:rsidRPr="00BE1CFE">
        <w:rPr>
          <w:rFonts w:eastAsia="Calibri"/>
          <w:rtl/>
        </w:rPr>
        <w:t xml:space="preserve">נהלי. </w:t>
      </w:r>
    </w:p>
    <w:p w:rsidR="00DC21C2" w:rsidRPr="00BE1CFE" w:rsidRDefault="00DC21C2" w:rsidP="00604C3D">
      <w:pPr>
        <w:spacing w:line="269" w:lineRule="auto"/>
        <w:rPr>
          <w:rFonts w:eastAsia="Calibri"/>
          <w:rtl/>
        </w:rPr>
      </w:pPr>
    </w:p>
    <w:p w:rsidR="00E46818" w:rsidRPr="00BE1CFE" w:rsidRDefault="00E46818" w:rsidP="00FD41FE">
      <w:pPr>
        <w:pStyle w:val="4"/>
        <w:numPr>
          <w:ilvl w:val="1"/>
          <w:numId w:val="50"/>
        </w:numPr>
        <w:spacing w:before="0" w:line="269" w:lineRule="auto"/>
        <w:ind w:left="339"/>
        <w:rPr>
          <w:rFonts w:eastAsia="Times New Roman"/>
          <w:rtl/>
        </w:rPr>
      </w:pPr>
      <w:bookmarkStart w:id="601" w:name="_Toc211521952"/>
      <w:bookmarkStart w:id="602" w:name="_Toc219110343"/>
      <w:bookmarkStart w:id="603" w:name="_Toc219113784"/>
      <w:bookmarkStart w:id="604" w:name="_Toc219286559"/>
      <w:r w:rsidRPr="00BE1CFE">
        <w:rPr>
          <w:rFonts w:eastAsia="Times New Roman" w:hint="cs"/>
          <w:rtl/>
        </w:rPr>
        <w:t>השימוש בהיתרים מינהליים</w:t>
      </w:r>
      <w:bookmarkEnd w:id="601"/>
      <w:bookmarkEnd w:id="602"/>
      <w:bookmarkEnd w:id="603"/>
      <w:bookmarkEnd w:id="604"/>
    </w:p>
    <w:p w:rsidR="00B47E58" w:rsidRDefault="00B47E58" w:rsidP="00604C3D">
      <w:pPr>
        <w:spacing w:line="269" w:lineRule="auto"/>
        <w:rPr>
          <w:rFonts w:eastAsia="Calibri"/>
          <w:szCs w:val="20"/>
          <w:rtl/>
        </w:rPr>
      </w:pPr>
    </w:p>
    <w:p w:rsidR="00E46818" w:rsidRPr="00BE1CFE" w:rsidRDefault="00E46818" w:rsidP="0043429A">
      <w:pPr>
        <w:spacing w:line="269" w:lineRule="auto"/>
        <w:ind w:left="339"/>
        <w:rPr>
          <w:rFonts w:eastAsia="Calibri"/>
          <w:rtl/>
        </w:rPr>
      </w:pPr>
      <w:r w:rsidRPr="00BE1CFE">
        <w:rPr>
          <w:rFonts w:eastAsia="Calibri" w:hint="cs"/>
          <w:rtl/>
        </w:rPr>
        <w:t>החוק קובע</w:t>
      </w:r>
      <w:r w:rsidRPr="00305C86">
        <w:rPr>
          <w:rFonts w:eastAsia="Calibri"/>
          <w:vertAlign w:val="superscript"/>
          <w:rtl/>
        </w:rPr>
        <w:footnoteReference w:id="266"/>
      </w:r>
      <w:r w:rsidRPr="00BE1CFE">
        <w:rPr>
          <w:rFonts w:eastAsia="Calibri" w:hint="cs"/>
          <w:rtl/>
        </w:rPr>
        <w:t xml:space="preserve"> כי ראש אח"ם יגיש ליועמ"ש לממשלה דין וחשבון רבעוני על ההיתרים המינהליים שנתנו קצינים מוסמכים. בלוח שלהלן מוצגים הסיכומים השנתיים של הדיווחים האמורים שהוגשו ליועמ"ש לממשלה בשנים 2017 - 2021. </w:t>
      </w:r>
    </w:p>
    <w:p w:rsidR="00B47E58" w:rsidRDefault="00B47E58" w:rsidP="00604C3D">
      <w:pPr>
        <w:spacing w:line="269" w:lineRule="auto"/>
        <w:jc w:val="center"/>
        <w:rPr>
          <w:rFonts w:eastAsia="Calibri"/>
          <w:szCs w:val="20"/>
          <w:rtl/>
        </w:rPr>
      </w:pPr>
      <w:bookmarkStart w:id="605" w:name="_Hlk138609358"/>
    </w:p>
    <w:p w:rsidR="00E46818" w:rsidRPr="00BE1CFE" w:rsidRDefault="00E46818" w:rsidP="00604C3D">
      <w:pPr>
        <w:spacing w:line="269" w:lineRule="auto"/>
        <w:jc w:val="center"/>
        <w:rPr>
          <w:rFonts w:eastAsia="Calibri"/>
          <w:b/>
          <w:bCs/>
          <w:rtl/>
        </w:rPr>
      </w:pPr>
      <w:r w:rsidRPr="00BE1CFE">
        <w:rPr>
          <w:rFonts w:eastAsia="Calibri" w:hint="eastAsia"/>
          <w:rtl/>
        </w:rPr>
        <w:t>לוח</w:t>
      </w:r>
      <w:r w:rsidRPr="00BE1CFE">
        <w:rPr>
          <w:rFonts w:eastAsia="Calibri"/>
          <w:rtl/>
        </w:rPr>
        <w:t xml:space="preserve"> </w:t>
      </w:r>
      <w:r>
        <w:rPr>
          <w:rFonts w:eastAsia="Calibri" w:hint="cs"/>
          <w:rtl/>
        </w:rPr>
        <w:t>20</w:t>
      </w:r>
      <w:r w:rsidRPr="00BE1CFE">
        <w:rPr>
          <w:rFonts w:eastAsia="Calibri"/>
          <w:rtl/>
        </w:rPr>
        <w:t>:</w:t>
      </w:r>
      <w:r w:rsidRPr="00BE1CFE">
        <w:rPr>
          <w:rFonts w:eastAsia="Calibri"/>
          <w:b/>
          <w:bCs/>
          <w:rtl/>
        </w:rPr>
        <w:t xml:space="preserve"> </w:t>
      </w:r>
      <w:r w:rsidRPr="00BE1CFE">
        <w:rPr>
          <w:rFonts w:eastAsia="Calibri" w:hint="cs"/>
          <w:b/>
          <w:bCs/>
          <w:rtl/>
        </w:rPr>
        <w:t>מספר</w:t>
      </w:r>
      <w:r w:rsidRPr="00BE1CFE">
        <w:rPr>
          <w:rFonts w:eastAsia="Calibri"/>
          <w:b/>
          <w:bCs/>
          <w:rtl/>
        </w:rPr>
        <w:t xml:space="preserve"> ההיתרים המ</w:t>
      </w:r>
      <w:r w:rsidRPr="00BE1CFE">
        <w:rPr>
          <w:rFonts w:eastAsia="Calibri" w:hint="cs"/>
          <w:b/>
          <w:bCs/>
          <w:rtl/>
        </w:rPr>
        <w:t>י</w:t>
      </w:r>
      <w:r w:rsidRPr="00BE1CFE">
        <w:rPr>
          <w:rFonts w:eastAsia="Calibri"/>
          <w:b/>
          <w:bCs/>
          <w:rtl/>
        </w:rPr>
        <w:t>נהליים שאושרו</w:t>
      </w:r>
      <w:r w:rsidRPr="00BE1CFE">
        <w:rPr>
          <w:rFonts w:eastAsia="Calibri" w:hint="cs"/>
          <w:b/>
          <w:bCs/>
          <w:rtl/>
        </w:rPr>
        <w:t>,</w:t>
      </w:r>
      <w:r w:rsidRPr="00BE1CFE">
        <w:rPr>
          <w:rFonts w:eastAsia="Calibri"/>
          <w:b/>
          <w:bCs/>
          <w:rtl/>
        </w:rPr>
        <w:t xml:space="preserve"> 201</w:t>
      </w:r>
      <w:r w:rsidRPr="00BE1CFE">
        <w:rPr>
          <w:rFonts w:eastAsia="Calibri" w:hint="cs"/>
          <w:b/>
          <w:bCs/>
          <w:rtl/>
        </w:rPr>
        <w:t>7</w:t>
      </w:r>
      <w:r w:rsidRPr="00BE1CFE">
        <w:rPr>
          <w:rFonts w:eastAsia="Calibri"/>
          <w:b/>
          <w:bCs/>
          <w:rtl/>
        </w:rPr>
        <w:t xml:space="preserve"> </w:t>
      </w:r>
      <w:r w:rsidRPr="00BE1CFE">
        <w:rPr>
          <w:rFonts w:eastAsia="Calibri" w:hint="cs"/>
          <w:b/>
          <w:bCs/>
          <w:rtl/>
        </w:rPr>
        <w:t>-</w:t>
      </w:r>
      <w:r w:rsidRPr="00BE1CFE">
        <w:rPr>
          <w:rFonts w:eastAsia="Calibri"/>
          <w:b/>
          <w:bCs/>
          <w:rtl/>
        </w:rPr>
        <w:t xml:space="preserve"> 202</w:t>
      </w:r>
      <w:r w:rsidRPr="00BE1CFE">
        <w:rPr>
          <w:rFonts w:eastAsia="Calibri" w:hint="cs"/>
          <w:b/>
          <w:bCs/>
          <w:rtl/>
        </w:rPr>
        <w:t>1</w:t>
      </w:r>
      <w:r w:rsidRPr="00BE1CFE">
        <w:rPr>
          <w:rFonts w:eastAsia="Calibri"/>
          <w:b/>
          <w:bCs/>
          <w:vertAlign w:val="superscript"/>
          <w:rtl/>
        </w:rPr>
        <w:footnoteReference w:id="267"/>
      </w:r>
    </w:p>
    <w:tbl>
      <w:tblPr>
        <w:tblStyle w:val="afc"/>
        <w:bidiVisual/>
        <w:tblW w:w="8270" w:type="dxa"/>
        <w:tblLayout w:type="fixed"/>
        <w:tblLook w:val="04A0" w:firstRow="1" w:lastRow="0" w:firstColumn="1" w:lastColumn="0" w:noHBand="0" w:noVBand="1"/>
      </w:tblPr>
      <w:tblGrid>
        <w:gridCol w:w="2177"/>
        <w:gridCol w:w="1276"/>
        <w:gridCol w:w="1134"/>
        <w:gridCol w:w="1276"/>
        <w:gridCol w:w="1132"/>
        <w:gridCol w:w="1275"/>
      </w:tblGrid>
      <w:tr w:rsidR="00E46818" w:rsidRPr="003C04C6" w:rsidTr="00E552D6">
        <w:tc>
          <w:tcPr>
            <w:tcW w:w="2177" w:type="dxa"/>
            <w:tcBorders>
              <w:bottom w:val="single" w:sz="12" w:space="0" w:color="auto"/>
            </w:tcBorders>
            <w:shd w:val="clear" w:color="auto" w:fill="D9D9D9"/>
          </w:tcPr>
          <w:p w:rsidR="00E46818" w:rsidRPr="003C04C6" w:rsidRDefault="00E46818" w:rsidP="00604C3D">
            <w:pPr>
              <w:spacing w:line="269" w:lineRule="auto"/>
              <w:rPr>
                <w:rFonts w:eastAsia="Calibri"/>
                <w:b/>
                <w:bCs/>
                <w:sz w:val="22"/>
                <w:szCs w:val="22"/>
                <w:rtl/>
              </w:rPr>
            </w:pPr>
          </w:p>
        </w:tc>
        <w:tc>
          <w:tcPr>
            <w:tcW w:w="1276"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2017</w:t>
            </w:r>
          </w:p>
        </w:tc>
        <w:tc>
          <w:tcPr>
            <w:tcW w:w="1134"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2018</w:t>
            </w:r>
          </w:p>
        </w:tc>
        <w:tc>
          <w:tcPr>
            <w:tcW w:w="1276"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Pr>
            </w:pPr>
            <w:r w:rsidRPr="003C04C6">
              <w:rPr>
                <w:rFonts w:eastAsia="Calibri" w:hint="cs"/>
                <w:b/>
                <w:bCs/>
                <w:sz w:val="22"/>
                <w:szCs w:val="22"/>
                <w:rtl/>
              </w:rPr>
              <w:t>2019</w:t>
            </w:r>
          </w:p>
        </w:tc>
        <w:tc>
          <w:tcPr>
            <w:tcW w:w="1132"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2020</w:t>
            </w:r>
          </w:p>
        </w:tc>
        <w:tc>
          <w:tcPr>
            <w:tcW w:w="1275" w:type="dxa"/>
            <w:tcBorders>
              <w:bottom w:val="single" w:sz="12" w:space="0" w:color="auto"/>
            </w:tcBorders>
            <w:shd w:val="clear" w:color="auto" w:fill="D9D9D9"/>
          </w:tcPr>
          <w:p w:rsidR="00E46818" w:rsidRPr="003C04C6" w:rsidRDefault="00E46818" w:rsidP="00604C3D">
            <w:pPr>
              <w:spacing w:line="269" w:lineRule="auto"/>
              <w:jc w:val="center"/>
              <w:rPr>
                <w:rFonts w:eastAsia="Calibri"/>
                <w:b/>
                <w:bCs/>
                <w:sz w:val="22"/>
                <w:szCs w:val="22"/>
                <w:rtl/>
              </w:rPr>
            </w:pPr>
            <w:r w:rsidRPr="003C04C6">
              <w:rPr>
                <w:rFonts w:eastAsia="Calibri" w:hint="cs"/>
                <w:b/>
                <w:bCs/>
                <w:sz w:val="22"/>
                <w:szCs w:val="22"/>
                <w:rtl/>
              </w:rPr>
              <w:t>2021</w:t>
            </w:r>
          </w:p>
        </w:tc>
      </w:tr>
      <w:tr w:rsidR="00E46818" w:rsidRPr="003C04C6" w:rsidTr="00E552D6">
        <w:tc>
          <w:tcPr>
            <w:tcW w:w="2177" w:type="dxa"/>
            <w:tcBorders>
              <w:top w:val="single" w:sz="12" w:space="0" w:color="auto"/>
              <w:bottom w:val="single" w:sz="2"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היתרים שניתנו לצורך הצלת חיי אדם</w:t>
            </w:r>
          </w:p>
        </w:tc>
        <w:tc>
          <w:tcPr>
            <w:tcW w:w="1276" w:type="dxa"/>
            <w:tcBorders>
              <w:top w:val="single" w:sz="12" w:space="0" w:color="auto"/>
              <w:left w:val="single" w:sz="12" w:space="0" w:color="auto"/>
              <w:bottom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7,193</w:t>
            </w:r>
          </w:p>
        </w:tc>
        <w:tc>
          <w:tcPr>
            <w:tcW w:w="1134" w:type="dxa"/>
            <w:tcBorders>
              <w:top w:val="single" w:sz="12" w:space="0" w:color="auto"/>
              <w:bottom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9,084</w:t>
            </w:r>
          </w:p>
        </w:tc>
        <w:tc>
          <w:tcPr>
            <w:tcW w:w="1276" w:type="dxa"/>
            <w:tcBorders>
              <w:top w:val="single" w:sz="12" w:space="0" w:color="auto"/>
              <w:bottom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9,338</w:t>
            </w:r>
          </w:p>
        </w:tc>
        <w:tc>
          <w:tcPr>
            <w:tcW w:w="1132" w:type="dxa"/>
            <w:tcBorders>
              <w:top w:val="single" w:sz="12" w:space="0" w:color="auto"/>
              <w:bottom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10,013</w:t>
            </w:r>
          </w:p>
        </w:tc>
        <w:tc>
          <w:tcPr>
            <w:tcW w:w="1275" w:type="dxa"/>
            <w:tcBorders>
              <w:top w:val="single" w:sz="12" w:space="0" w:color="auto"/>
              <w:bottom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9,991</w:t>
            </w:r>
          </w:p>
        </w:tc>
      </w:tr>
      <w:tr w:rsidR="00E46818" w:rsidRPr="003C04C6" w:rsidTr="00E552D6">
        <w:tc>
          <w:tcPr>
            <w:tcW w:w="2177" w:type="dxa"/>
            <w:tcBorders>
              <w:top w:val="single" w:sz="2" w:space="0" w:color="auto"/>
              <w:left w:val="single" w:sz="2" w:space="0" w:color="auto"/>
              <w:bottom w:val="single" w:sz="12"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היתרים שניתנו לצורך מניעת פשע או גילוי מבצעו</w:t>
            </w:r>
          </w:p>
        </w:tc>
        <w:tc>
          <w:tcPr>
            <w:tcW w:w="1276" w:type="dxa"/>
            <w:tcBorders>
              <w:top w:val="single" w:sz="2" w:space="0" w:color="auto"/>
              <w:left w:val="single" w:sz="12" w:space="0" w:color="auto"/>
              <w:bottom w:val="single" w:sz="12" w:space="0" w:color="auto"/>
              <w:right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6,557</w:t>
            </w:r>
          </w:p>
        </w:tc>
        <w:tc>
          <w:tcPr>
            <w:tcW w:w="1134" w:type="dxa"/>
            <w:tcBorders>
              <w:top w:val="single" w:sz="2" w:space="0" w:color="auto"/>
              <w:left w:val="single" w:sz="2" w:space="0" w:color="auto"/>
              <w:bottom w:val="single" w:sz="12" w:space="0" w:color="auto"/>
              <w:right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6,539</w:t>
            </w:r>
          </w:p>
        </w:tc>
        <w:tc>
          <w:tcPr>
            <w:tcW w:w="1276" w:type="dxa"/>
            <w:tcBorders>
              <w:top w:val="single" w:sz="2" w:space="0" w:color="auto"/>
              <w:left w:val="single" w:sz="2" w:space="0" w:color="auto"/>
              <w:bottom w:val="single" w:sz="12" w:space="0" w:color="auto"/>
              <w:right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6,568</w:t>
            </w:r>
          </w:p>
        </w:tc>
        <w:tc>
          <w:tcPr>
            <w:tcW w:w="1132" w:type="dxa"/>
            <w:tcBorders>
              <w:top w:val="single" w:sz="2" w:space="0" w:color="auto"/>
              <w:left w:val="single" w:sz="2" w:space="0" w:color="auto"/>
              <w:bottom w:val="single" w:sz="12" w:space="0" w:color="auto"/>
              <w:right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6,337</w:t>
            </w:r>
          </w:p>
        </w:tc>
        <w:tc>
          <w:tcPr>
            <w:tcW w:w="1275" w:type="dxa"/>
            <w:tcBorders>
              <w:top w:val="single" w:sz="2" w:space="0" w:color="auto"/>
              <w:left w:val="single" w:sz="2" w:space="0" w:color="auto"/>
              <w:bottom w:val="single" w:sz="12" w:space="0" w:color="auto"/>
              <w:right w:val="single" w:sz="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6,085</w:t>
            </w:r>
          </w:p>
        </w:tc>
      </w:tr>
      <w:tr w:rsidR="00E46818" w:rsidRPr="003C04C6" w:rsidTr="00E552D6">
        <w:tc>
          <w:tcPr>
            <w:tcW w:w="2177" w:type="dxa"/>
            <w:tcBorders>
              <w:top w:val="single" w:sz="12" w:space="0" w:color="auto"/>
              <w:left w:val="single" w:sz="2" w:space="0" w:color="auto"/>
              <w:bottom w:val="single" w:sz="2" w:space="0" w:color="auto"/>
              <w:right w:val="single" w:sz="12" w:space="0" w:color="auto"/>
            </w:tcBorders>
            <w:shd w:val="clear" w:color="auto" w:fill="D9D9D9"/>
          </w:tcPr>
          <w:p w:rsidR="00E46818" w:rsidRPr="003C04C6" w:rsidRDefault="00E46818" w:rsidP="00604C3D">
            <w:pPr>
              <w:spacing w:line="269" w:lineRule="auto"/>
              <w:jc w:val="left"/>
              <w:rPr>
                <w:rFonts w:eastAsia="Calibri"/>
                <w:b/>
                <w:bCs/>
                <w:sz w:val="22"/>
                <w:szCs w:val="22"/>
                <w:rtl/>
              </w:rPr>
            </w:pPr>
            <w:r w:rsidRPr="003C04C6">
              <w:rPr>
                <w:rFonts w:eastAsia="Calibri" w:hint="cs"/>
                <w:b/>
                <w:bCs/>
                <w:sz w:val="22"/>
                <w:szCs w:val="22"/>
                <w:rtl/>
              </w:rPr>
              <w:t>מספרם הכולל של ההיתרים המינהליים שאושרו</w:t>
            </w:r>
          </w:p>
        </w:tc>
        <w:tc>
          <w:tcPr>
            <w:tcW w:w="1276" w:type="dxa"/>
            <w:tcBorders>
              <w:top w:val="single" w:sz="12" w:space="0" w:color="auto"/>
              <w:left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13,750</w:t>
            </w:r>
          </w:p>
        </w:tc>
        <w:tc>
          <w:tcPr>
            <w:tcW w:w="1134"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15,623</w:t>
            </w:r>
          </w:p>
        </w:tc>
        <w:tc>
          <w:tcPr>
            <w:tcW w:w="1276"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15,906</w:t>
            </w:r>
          </w:p>
        </w:tc>
        <w:tc>
          <w:tcPr>
            <w:tcW w:w="1132"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 xml:space="preserve">16,350 </w:t>
            </w:r>
          </w:p>
        </w:tc>
        <w:tc>
          <w:tcPr>
            <w:tcW w:w="1275" w:type="dxa"/>
            <w:tcBorders>
              <w:top w:val="single" w:sz="12" w:space="0" w:color="auto"/>
            </w:tcBorders>
            <w:vAlign w:val="center"/>
          </w:tcPr>
          <w:p w:rsidR="00E46818" w:rsidRPr="003C04C6" w:rsidRDefault="00E46818" w:rsidP="00604C3D">
            <w:pPr>
              <w:spacing w:line="269" w:lineRule="auto"/>
              <w:jc w:val="left"/>
              <w:rPr>
                <w:rFonts w:eastAsia="Calibri"/>
                <w:sz w:val="22"/>
                <w:szCs w:val="22"/>
                <w:rtl/>
              </w:rPr>
            </w:pPr>
            <w:r w:rsidRPr="003C04C6">
              <w:rPr>
                <w:rFonts w:eastAsia="Calibri" w:hint="cs"/>
                <w:sz w:val="22"/>
                <w:szCs w:val="22"/>
                <w:rtl/>
              </w:rPr>
              <w:t xml:space="preserve">16,076 </w:t>
            </w:r>
          </w:p>
        </w:tc>
      </w:tr>
    </w:tbl>
    <w:p w:rsidR="00E46818" w:rsidRPr="00BE1CFE" w:rsidRDefault="00E46818" w:rsidP="00604C3D">
      <w:pPr>
        <w:spacing w:line="269" w:lineRule="auto"/>
        <w:rPr>
          <w:rFonts w:eastAsia="Calibri"/>
          <w:sz w:val="16"/>
          <w:szCs w:val="20"/>
          <w:rtl/>
        </w:rPr>
      </w:pPr>
      <w:r w:rsidRPr="00BE1CFE">
        <w:rPr>
          <w:rFonts w:eastAsia="Calibri" w:hint="cs"/>
          <w:sz w:val="16"/>
          <w:szCs w:val="20"/>
          <w:rtl/>
        </w:rPr>
        <w:t xml:space="preserve">על פי נתוני המשטרה, בעיבוד משרד מבקר המדינה. </w:t>
      </w:r>
    </w:p>
    <w:p w:rsidR="00B47E58" w:rsidRDefault="00B47E58" w:rsidP="00604C3D">
      <w:pPr>
        <w:spacing w:line="269" w:lineRule="auto"/>
        <w:ind w:left="283"/>
        <w:rPr>
          <w:rFonts w:eastAsia="Calibri"/>
          <w:szCs w:val="20"/>
          <w:rtl/>
        </w:rPr>
      </w:pPr>
    </w:p>
    <w:p w:rsidR="00E46818" w:rsidRPr="00BE1CFE" w:rsidRDefault="00E46818" w:rsidP="0043429A">
      <w:pPr>
        <w:spacing w:line="269" w:lineRule="auto"/>
        <w:ind w:left="339"/>
        <w:rPr>
          <w:rFonts w:eastAsia="Calibri"/>
          <w:b/>
          <w:bCs/>
          <w:rtl/>
        </w:rPr>
      </w:pPr>
      <w:r w:rsidRPr="00BE1CFE">
        <w:rPr>
          <w:rFonts w:eastAsia="Calibri" w:hint="eastAsia"/>
          <w:b/>
          <w:bCs/>
          <w:rtl/>
        </w:rPr>
        <w:t>מהלוח</w:t>
      </w:r>
      <w:r w:rsidRPr="00BE1CFE">
        <w:rPr>
          <w:rFonts w:eastAsia="Calibri"/>
          <w:b/>
          <w:bCs/>
          <w:rtl/>
        </w:rPr>
        <w:t xml:space="preserve"> </w:t>
      </w:r>
      <w:r w:rsidRPr="00BE1CFE">
        <w:rPr>
          <w:rFonts w:eastAsia="Calibri" w:hint="eastAsia"/>
          <w:b/>
          <w:bCs/>
          <w:rtl/>
        </w:rPr>
        <w:t>עולה</w:t>
      </w:r>
      <w:r w:rsidRPr="00BE1CFE">
        <w:rPr>
          <w:rFonts w:eastAsia="Calibri"/>
          <w:b/>
          <w:bCs/>
          <w:rtl/>
        </w:rPr>
        <w:t xml:space="preserve"> כי </w:t>
      </w:r>
      <w:r w:rsidRPr="00BE1CFE">
        <w:rPr>
          <w:rFonts w:eastAsia="Calibri" w:hint="eastAsia"/>
          <w:b/>
          <w:bCs/>
          <w:rtl/>
        </w:rPr>
        <w:t>בשנים</w:t>
      </w:r>
      <w:r w:rsidRPr="00BE1CFE">
        <w:rPr>
          <w:rFonts w:eastAsia="Calibri"/>
          <w:b/>
          <w:bCs/>
          <w:rtl/>
        </w:rPr>
        <w:t xml:space="preserve"> 2017 </w:t>
      </w:r>
      <w:r w:rsidR="0084129F">
        <w:rPr>
          <w:rFonts w:eastAsia="Calibri" w:hint="cs"/>
          <w:b/>
          <w:bCs/>
          <w:rtl/>
        </w:rPr>
        <w:t>-</w:t>
      </w:r>
      <w:r w:rsidRPr="00BE1CFE">
        <w:rPr>
          <w:rFonts w:eastAsia="Calibri"/>
          <w:b/>
          <w:bCs/>
          <w:rtl/>
        </w:rPr>
        <w:t xml:space="preserve"> 2021 </w:t>
      </w:r>
      <w:r w:rsidRPr="00BE1CFE">
        <w:rPr>
          <w:rFonts w:eastAsia="Calibri" w:hint="cs"/>
          <w:b/>
          <w:bCs/>
          <w:rtl/>
        </w:rPr>
        <w:t xml:space="preserve">גדל </w:t>
      </w:r>
      <w:r w:rsidRPr="00BE1CFE">
        <w:rPr>
          <w:rFonts w:eastAsia="Calibri"/>
          <w:b/>
          <w:bCs/>
          <w:rtl/>
        </w:rPr>
        <w:t xml:space="preserve">מספר האישורים להיתרים </w:t>
      </w:r>
      <w:r w:rsidRPr="00BE1CFE">
        <w:rPr>
          <w:rFonts w:eastAsia="Calibri" w:hint="eastAsia"/>
          <w:b/>
          <w:bCs/>
          <w:rtl/>
        </w:rPr>
        <w:t>מינהליים</w:t>
      </w:r>
      <w:r w:rsidRPr="00BE1CFE">
        <w:rPr>
          <w:rFonts w:eastAsia="Calibri"/>
          <w:b/>
          <w:bCs/>
          <w:rtl/>
        </w:rPr>
        <w:t xml:space="preserve"> </w:t>
      </w:r>
      <w:r w:rsidRPr="00BE1CFE">
        <w:rPr>
          <w:rFonts w:eastAsia="Calibri" w:hint="eastAsia"/>
          <w:b/>
          <w:bCs/>
          <w:rtl/>
        </w:rPr>
        <w:t>ב</w:t>
      </w:r>
      <w:r w:rsidRPr="00BE1CFE">
        <w:rPr>
          <w:rFonts w:eastAsia="Calibri"/>
          <w:b/>
          <w:bCs/>
          <w:rtl/>
        </w:rPr>
        <w:t xml:space="preserve">-17%. שיעורם של ההיתרים </w:t>
      </w:r>
      <w:r w:rsidRPr="00BE1CFE">
        <w:rPr>
          <w:rFonts w:eastAsia="Calibri" w:hint="eastAsia"/>
          <w:b/>
          <w:bCs/>
          <w:rtl/>
        </w:rPr>
        <w:t>המינהליים</w:t>
      </w:r>
      <w:r w:rsidRPr="00BE1CFE">
        <w:rPr>
          <w:rFonts w:eastAsia="Calibri"/>
          <w:b/>
          <w:bCs/>
          <w:rtl/>
        </w:rPr>
        <w:t xml:space="preserve"> מתוך כלל ההיתרים שאושרו בשנת 2021 הוא 28%</w:t>
      </w:r>
      <w:r w:rsidRPr="00BE1CFE">
        <w:rPr>
          <w:rFonts w:eastAsia="Calibri"/>
          <w:b/>
          <w:bCs/>
          <w:vertAlign w:val="superscript"/>
          <w:rtl/>
        </w:rPr>
        <w:footnoteReference w:id="268"/>
      </w:r>
      <w:r w:rsidRPr="00BE1CFE">
        <w:rPr>
          <w:rFonts w:eastAsia="Calibri"/>
          <w:b/>
          <w:bCs/>
          <w:rtl/>
        </w:rPr>
        <w:t xml:space="preserve">. </w:t>
      </w:r>
      <w:r w:rsidRPr="00BE1CFE">
        <w:rPr>
          <w:rFonts w:eastAsia="Calibri" w:hint="eastAsia"/>
          <w:b/>
          <w:bCs/>
          <w:rtl/>
        </w:rPr>
        <w:t>מספרם</w:t>
      </w:r>
      <w:r w:rsidRPr="00BE1CFE">
        <w:rPr>
          <w:rFonts w:eastAsia="Calibri"/>
          <w:b/>
          <w:bCs/>
          <w:rtl/>
        </w:rPr>
        <w:t xml:space="preserve"> הכולל של ההיתרים </w:t>
      </w:r>
      <w:r w:rsidRPr="00BE1CFE">
        <w:rPr>
          <w:rFonts w:eastAsia="Calibri" w:hint="eastAsia"/>
          <w:b/>
          <w:bCs/>
          <w:rtl/>
        </w:rPr>
        <w:t>המינהליים</w:t>
      </w:r>
      <w:r w:rsidRPr="00BE1CFE">
        <w:rPr>
          <w:rFonts w:eastAsia="Calibri"/>
          <w:b/>
          <w:bCs/>
          <w:rtl/>
        </w:rPr>
        <w:t xml:space="preserve"> שאושרו בשנים אלה הסתכם ב-</w:t>
      </w:r>
      <w:r w:rsidRPr="00BE1CFE">
        <w:rPr>
          <w:rFonts w:eastAsia="Calibri" w:hint="cs"/>
          <w:b/>
          <w:bCs/>
          <w:rtl/>
        </w:rPr>
        <w:t>77,705</w:t>
      </w:r>
      <w:r w:rsidRPr="00BE1CFE">
        <w:rPr>
          <w:rFonts w:eastAsia="Calibri"/>
          <w:b/>
          <w:bCs/>
          <w:rtl/>
        </w:rPr>
        <w:t>.</w:t>
      </w:r>
    </w:p>
    <w:bookmarkEnd w:id="605"/>
    <w:p w:rsidR="00B47E58" w:rsidRDefault="00B47E58" w:rsidP="0043429A">
      <w:pPr>
        <w:spacing w:line="269" w:lineRule="auto"/>
        <w:ind w:left="325"/>
        <w:contextualSpacing/>
        <w:rPr>
          <w:rFonts w:eastAsia="Calibri"/>
          <w:szCs w:val="20"/>
          <w:rtl/>
        </w:rPr>
      </w:pPr>
    </w:p>
    <w:p w:rsidR="00E46818" w:rsidRDefault="00E46818" w:rsidP="0043429A">
      <w:pPr>
        <w:spacing w:line="269" w:lineRule="auto"/>
        <w:ind w:left="339"/>
        <w:rPr>
          <w:rFonts w:eastAsia="Calibri"/>
          <w:rtl/>
        </w:rPr>
      </w:pPr>
      <w:r w:rsidRPr="00BE1CFE">
        <w:rPr>
          <w:rFonts w:eastAsia="Calibri" w:hint="cs"/>
          <w:rtl/>
        </w:rPr>
        <w:t>בשנים 2019 - 2021 אושרו 48,332 היתרים מינהליים על ידי קצינים מוסמכים. לבקשת משרד מבקר המדינה ביצעה המשטרה שליפה של מאגר הנתונים הנוגע להיתרים אלו מתוך מערכת ניהול הצווים שבה מנהלת המשטרה גם את ההיתרים המינהליים. להלן תוצאות ניתוח מאגר הנתונים</w:t>
      </w:r>
      <w:r w:rsidR="00D6431B">
        <w:rPr>
          <w:rFonts w:eastAsia="Calibri" w:hint="cs"/>
          <w:rtl/>
        </w:rPr>
        <w:t xml:space="preserve"> שביצע משרד מבקר המדינה</w:t>
      </w:r>
      <w:r w:rsidRPr="00BE1CFE">
        <w:rPr>
          <w:rFonts w:eastAsia="Calibri" w:hint="cs"/>
          <w:rtl/>
        </w:rPr>
        <w:t>.</w:t>
      </w:r>
    </w:p>
    <w:p w:rsidR="00B47E58" w:rsidRPr="00B47E58" w:rsidRDefault="00B47E58" w:rsidP="00604C3D">
      <w:pPr>
        <w:spacing w:line="269" w:lineRule="auto"/>
        <w:ind w:left="708"/>
        <w:contextualSpacing/>
        <w:rPr>
          <w:rFonts w:eastAsia="Calibri"/>
        </w:rPr>
      </w:pPr>
    </w:p>
    <w:p w:rsidR="00E46818" w:rsidRPr="00BE1CFE" w:rsidRDefault="00E46818" w:rsidP="008C598D">
      <w:pPr>
        <w:numPr>
          <w:ilvl w:val="2"/>
          <w:numId w:val="18"/>
        </w:numPr>
        <w:spacing w:line="269" w:lineRule="auto"/>
        <w:ind w:left="708"/>
        <w:contextualSpacing/>
        <w:rPr>
          <w:rFonts w:eastAsia="Calibri"/>
          <w:rtl/>
        </w:rPr>
      </w:pPr>
      <w:r w:rsidRPr="006F3BF1">
        <w:rPr>
          <w:rStyle w:val="70"/>
          <w:rFonts w:hint="cs"/>
          <w:rtl/>
        </w:rPr>
        <w:t>היתרים מינהליים שמועד הוצאתם מוקדם לכאורה ממועד האירועים שבגינם הוצאו</w:t>
      </w:r>
      <w:r w:rsidRPr="006F3BF1">
        <w:rPr>
          <w:rStyle w:val="70"/>
          <w:rtl/>
        </w:rPr>
        <w:t>:</w:t>
      </w:r>
      <w:r w:rsidRPr="00BE1CFE">
        <w:rPr>
          <w:rFonts w:eastAsia="Calibri" w:hint="cs"/>
          <w:rtl/>
        </w:rPr>
        <w:t xml:space="preserve"> בעת </w:t>
      </w:r>
      <w:r>
        <w:rPr>
          <w:rFonts w:eastAsia="Calibri" w:hint="cs"/>
          <w:rtl/>
        </w:rPr>
        <w:t>קבלת דיווח על</w:t>
      </w:r>
      <w:r w:rsidRPr="00BE1CFE">
        <w:rPr>
          <w:rFonts w:eastAsia="Calibri" w:hint="cs"/>
          <w:rtl/>
        </w:rPr>
        <w:t xml:space="preserve"> אירוע חירום שוטרי המשל"ט נדרשים למלא במערכת ניהול הצווים את המועד שבו התקבל האירוע במשטרה</w:t>
      </w:r>
      <w:r w:rsidRPr="00BE1CFE">
        <w:rPr>
          <w:rFonts w:eastAsia="Calibri"/>
          <w:vertAlign w:val="superscript"/>
          <w:rtl/>
        </w:rPr>
        <w:footnoteReference w:id="269"/>
      </w:r>
      <w:r w:rsidRPr="00BE1CFE">
        <w:rPr>
          <w:rFonts w:eastAsia="Calibri" w:hint="cs"/>
          <w:rtl/>
        </w:rPr>
        <w:t xml:space="preserve">. הכרחי לתעד במדויק מועדים אלה כדי שיהיה אפשר לוודא </w:t>
      </w:r>
      <w:r>
        <w:rPr>
          <w:rFonts w:eastAsia="Calibri" w:hint="cs"/>
          <w:rtl/>
        </w:rPr>
        <w:t>ש</w:t>
      </w:r>
      <w:r w:rsidRPr="00BE1CFE">
        <w:rPr>
          <w:rFonts w:eastAsia="Calibri" w:hint="cs"/>
          <w:rtl/>
        </w:rPr>
        <w:t>מתן ההיתר המינהלי היה תקין, ו</w:t>
      </w:r>
      <w:r>
        <w:rPr>
          <w:rFonts w:eastAsia="Calibri" w:hint="cs"/>
          <w:rtl/>
        </w:rPr>
        <w:t>ש</w:t>
      </w:r>
      <w:r w:rsidRPr="00BE1CFE">
        <w:rPr>
          <w:rFonts w:eastAsia="Calibri" w:hint="cs"/>
          <w:rtl/>
        </w:rPr>
        <w:t>הוא עומד בדרישות החוק</w:t>
      </w:r>
      <w:r w:rsidRPr="00BE1CFE">
        <w:rPr>
          <w:rFonts w:eastAsia="Calibri"/>
          <w:vertAlign w:val="superscript"/>
          <w:rtl/>
        </w:rPr>
        <w:footnoteReference w:id="270"/>
      </w:r>
      <w:r w:rsidRPr="00BE1CFE">
        <w:rPr>
          <w:rFonts w:eastAsia="Calibri" w:hint="cs"/>
          <w:rtl/>
        </w:rPr>
        <w:t xml:space="preserve">. למשל, תוקפו של ההיתר המינהלי </w:t>
      </w:r>
      <w:r w:rsidRPr="00BE1CFE">
        <w:rPr>
          <w:rFonts w:eastAsia="Calibri" w:hint="eastAsia"/>
          <w:rtl/>
        </w:rPr>
        <w:t>מוגבל</w:t>
      </w:r>
      <w:r w:rsidRPr="00BE1CFE">
        <w:rPr>
          <w:rFonts w:eastAsia="Calibri"/>
          <w:rtl/>
        </w:rPr>
        <w:t xml:space="preserve"> ל-24 שעות </w:t>
      </w:r>
      <w:r w:rsidRPr="00BE1CFE">
        <w:rPr>
          <w:rFonts w:eastAsia="Calibri" w:hint="cs"/>
          <w:rtl/>
        </w:rPr>
        <w:t xml:space="preserve">מרגע </w:t>
      </w:r>
      <w:r w:rsidRPr="00BE1CFE">
        <w:rPr>
          <w:rFonts w:eastAsia="Calibri" w:hint="eastAsia"/>
          <w:rtl/>
        </w:rPr>
        <w:t>הדיווח</w:t>
      </w:r>
      <w:r w:rsidRPr="00BE1CFE">
        <w:rPr>
          <w:rFonts w:eastAsia="Calibri"/>
          <w:rtl/>
        </w:rPr>
        <w:t xml:space="preserve"> </w:t>
      </w:r>
      <w:r w:rsidRPr="00BE1CFE">
        <w:rPr>
          <w:rFonts w:eastAsia="Calibri" w:hint="eastAsia"/>
          <w:rtl/>
        </w:rPr>
        <w:t>למשטרה</w:t>
      </w:r>
      <w:r w:rsidRPr="00BE1CFE">
        <w:rPr>
          <w:rFonts w:eastAsia="Calibri"/>
          <w:rtl/>
        </w:rPr>
        <w:t xml:space="preserve"> </w:t>
      </w:r>
      <w:r w:rsidRPr="00BE1CFE">
        <w:rPr>
          <w:rFonts w:eastAsia="Calibri" w:hint="eastAsia"/>
          <w:rtl/>
        </w:rPr>
        <w:t>על</w:t>
      </w:r>
      <w:r w:rsidRPr="00BE1CFE">
        <w:rPr>
          <w:rFonts w:eastAsia="Calibri"/>
          <w:rtl/>
        </w:rPr>
        <w:t xml:space="preserve"> </w:t>
      </w:r>
      <w:r w:rsidRPr="00BE1CFE">
        <w:rPr>
          <w:rFonts w:eastAsia="Calibri" w:hint="eastAsia"/>
          <w:rtl/>
        </w:rPr>
        <w:t>האירוע</w:t>
      </w:r>
      <w:r w:rsidRPr="00BE1CFE">
        <w:rPr>
          <w:rFonts w:eastAsia="Calibri"/>
          <w:vertAlign w:val="superscript"/>
          <w:rtl/>
        </w:rPr>
        <w:footnoteReference w:id="271"/>
      </w:r>
      <w:r w:rsidRPr="00BE1CFE">
        <w:rPr>
          <w:rFonts w:eastAsia="Calibri"/>
          <w:rtl/>
        </w:rPr>
        <w:t>.</w:t>
      </w:r>
      <w:r w:rsidRPr="00BE1CFE">
        <w:rPr>
          <w:rFonts w:eastAsia="Calibri" w:hint="cs"/>
          <w:rtl/>
        </w:rPr>
        <w:t xml:space="preserve"> בסיום מילוי טופס האירוע נרשמות במערכת באופן אוטומטי שעת פתיחת האירוע במשל"ט </w:t>
      </w:r>
      <w:r w:rsidRPr="00BE1CFE">
        <w:rPr>
          <w:rFonts w:eastAsia="Calibri" w:hint="eastAsia"/>
          <w:rtl/>
        </w:rPr>
        <w:t>ושעת</w:t>
      </w:r>
      <w:r w:rsidRPr="00BE1CFE">
        <w:rPr>
          <w:rFonts w:eastAsia="Calibri" w:hint="cs"/>
        </w:rPr>
        <w:t xml:space="preserve"> </w:t>
      </w:r>
      <w:r w:rsidRPr="00BE1CFE">
        <w:rPr>
          <w:rFonts w:eastAsia="Calibri" w:hint="cs"/>
          <w:rtl/>
        </w:rPr>
        <w:t xml:space="preserve">מתן ההיתר המינהלי. </w:t>
      </w:r>
    </w:p>
    <w:p w:rsidR="00B47E58" w:rsidRDefault="00B47E58" w:rsidP="00604C3D">
      <w:pPr>
        <w:spacing w:line="269" w:lineRule="auto"/>
        <w:ind w:left="720"/>
        <w:contextualSpacing/>
        <w:rPr>
          <w:rFonts w:eastAsia="Calibri"/>
          <w:szCs w:val="20"/>
          <w:rtl/>
        </w:rPr>
      </w:pPr>
    </w:p>
    <w:p w:rsidR="00E46818" w:rsidRPr="00BE1CFE" w:rsidRDefault="00E46818" w:rsidP="00604C3D">
      <w:pPr>
        <w:spacing w:line="269" w:lineRule="auto"/>
        <w:ind w:left="720"/>
        <w:contextualSpacing/>
        <w:rPr>
          <w:rFonts w:eastAsia="Calibri"/>
          <w:b/>
          <w:bCs/>
          <w:rtl/>
        </w:rPr>
      </w:pPr>
      <w:r w:rsidRPr="00BE1CFE">
        <w:rPr>
          <w:rFonts w:eastAsia="Calibri"/>
          <w:b/>
          <w:bCs/>
          <w:rtl/>
        </w:rPr>
        <w:t xml:space="preserve">נמצאו 269 היתרים </w:t>
      </w:r>
      <w:r w:rsidRPr="00BE1CFE">
        <w:rPr>
          <w:rFonts w:eastAsia="Calibri" w:hint="cs"/>
          <w:b/>
          <w:bCs/>
          <w:rtl/>
        </w:rPr>
        <w:t xml:space="preserve">(מתוך 48,332 היתרים) </w:t>
      </w:r>
      <w:r w:rsidRPr="00BE1CFE">
        <w:rPr>
          <w:rFonts w:eastAsia="Calibri"/>
          <w:b/>
          <w:bCs/>
          <w:rtl/>
        </w:rPr>
        <w:t>מהשנים 2019 - 2021 שמועד</w:t>
      </w:r>
      <w:r w:rsidRPr="00BE1CFE">
        <w:rPr>
          <w:rFonts w:eastAsia="Calibri" w:hint="cs"/>
          <w:b/>
          <w:bCs/>
          <w:rtl/>
        </w:rPr>
        <w:t xml:space="preserve"> הוצאת</w:t>
      </w:r>
      <w:r w:rsidRPr="00BE1CFE">
        <w:rPr>
          <w:rFonts w:eastAsia="Calibri" w:hint="eastAsia"/>
          <w:b/>
          <w:bCs/>
          <w:rtl/>
        </w:rPr>
        <w:t>ם</w:t>
      </w:r>
      <w:r w:rsidRPr="00BE1CFE">
        <w:rPr>
          <w:rFonts w:eastAsia="Calibri" w:hint="cs"/>
          <w:b/>
          <w:bCs/>
          <w:rtl/>
        </w:rPr>
        <w:t xml:space="preserve"> קדם למועד האירוע שבגינו הוצא</w:t>
      </w:r>
      <w:r w:rsidRPr="00BE1CFE">
        <w:rPr>
          <w:rFonts w:eastAsia="Calibri" w:hint="eastAsia"/>
          <w:b/>
          <w:bCs/>
          <w:rtl/>
        </w:rPr>
        <w:t>ו</w:t>
      </w:r>
      <w:r w:rsidRPr="00BE1CFE">
        <w:rPr>
          <w:rFonts w:eastAsia="Calibri" w:hint="cs"/>
          <w:b/>
          <w:bCs/>
          <w:rtl/>
        </w:rPr>
        <w:t xml:space="preserve">. פער זמנים שבו מועד פתיחת ההיתר המינהלי במשל"ט מוקדם למועד שבו התקבל הדיווח על האירוע במשטרה מעיד לכל הפחות כי התיעוד אינו מדויק ואינו נכון. </w:t>
      </w:r>
    </w:p>
    <w:p w:rsidR="00B47E58" w:rsidRDefault="00B47E58" w:rsidP="00604C3D">
      <w:pPr>
        <w:spacing w:line="269" w:lineRule="auto"/>
        <w:ind w:left="720"/>
        <w:rPr>
          <w:rFonts w:eastAsia="Calibri"/>
          <w:sz w:val="16"/>
          <w:szCs w:val="16"/>
          <w:rtl/>
        </w:rPr>
      </w:pPr>
    </w:p>
    <w:p w:rsidR="00E46818" w:rsidRPr="00BE1CFE" w:rsidRDefault="00E46818" w:rsidP="00604C3D">
      <w:pPr>
        <w:spacing w:line="269" w:lineRule="auto"/>
        <w:ind w:left="720"/>
        <w:rPr>
          <w:rFonts w:eastAsia="Calibri"/>
          <w:b/>
          <w:bCs/>
          <w:sz w:val="24"/>
          <w:rtl/>
        </w:rPr>
      </w:pPr>
      <w:r w:rsidRPr="00BE1CFE">
        <w:rPr>
          <w:rFonts w:eastAsia="Calibri" w:hint="cs"/>
          <w:sz w:val="24"/>
          <w:rtl/>
        </w:rPr>
        <w:t xml:space="preserve">המשטרה מסרה בתשובתה </w:t>
      </w:r>
      <w:bookmarkStart w:id="606" w:name="_Hlk170134816"/>
      <w:r w:rsidRPr="00BE1CFE">
        <w:rPr>
          <w:rFonts w:eastAsia="Calibri" w:hint="cs"/>
          <w:sz w:val="24"/>
          <w:rtl/>
        </w:rPr>
        <w:t>כי 260 מההיתרים שמועד הוצאתם מוקדם אירעו בשנת 2019 - עם עליית המערכת לניהול צווים, בעקבות תקלה טכנית במערכת שתוקנה כבר בשנת 2019. בתקופת ההרצה של המערכת האירועים תועדו במקביל במערכת הישנה ובמערכת החדשה. יתר המקרים אירעו בשנים 2020 - 2021 כתוצאה מתקלות טכניות, אך גם בעניין זה פעלה המשטרה לשם תיקון המערכת. כמו כן היא מסרה כי המערכת עצמה עברה תהליכי אפיון, פיתוח והטמעה נרחבים על ידי המשטרה כדי שהמערכת תעמוד בדרישות החוק ותיתן מענה טכנולוגי נרחב למשטרה לשם ניהול דיגיטלי של הצווים.</w:t>
      </w:r>
      <w:bookmarkEnd w:id="606"/>
    </w:p>
    <w:p w:rsidR="00B47E58" w:rsidRDefault="00B47E58" w:rsidP="00604C3D">
      <w:pPr>
        <w:spacing w:line="269" w:lineRule="auto"/>
        <w:ind w:left="720"/>
        <w:contextualSpacing/>
        <w:rPr>
          <w:rFonts w:eastAsia="Calibri"/>
          <w:szCs w:val="20"/>
          <w:rtl/>
        </w:rPr>
      </w:pPr>
    </w:p>
    <w:p w:rsidR="00E46818" w:rsidRPr="00BE1CFE" w:rsidRDefault="00E46818" w:rsidP="00604C3D">
      <w:pPr>
        <w:spacing w:line="269" w:lineRule="auto"/>
        <w:ind w:left="720"/>
        <w:contextualSpacing/>
        <w:rPr>
          <w:rFonts w:eastAsia="Calibri"/>
          <w:b/>
          <w:bCs/>
          <w:color w:val="0070C0"/>
          <w:rtl/>
        </w:rPr>
      </w:pPr>
      <w:r w:rsidRPr="00BE1CFE">
        <w:rPr>
          <w:rFonts w:eastAsia="Calibri" w:hint="cs"/>
          <w:b/>
          <w:bCs/>
          <w:rtl/>
        </w:rPr>
        <w:t>על חטיבת הסייבר לעקוב אחר מועדי ההיתרים כפי שהם מתועדים במערכת ניהול הצווים ולוודא את תקינותם, וכן לאתר תקלות בתיעוד המועדים ולתקנן מוקדם ככל הניתן. מומלץ למשטרה להקים ממשק דיגיטלי בין מערכות</w:t>
      </w:r>
      <w:r w:rsidRPr="00BE1CFE">
        <w:rPr>
          <w:rFonts w:eastAsia="Calibri" w:hint="eastAsia"/>
          <w:b/>
          <w:bCs/>
          <w:rtl/>
        </w:rPr>
        <w:t>יה</w:t>
      </w:r>
      <w:r w:rsidRPr="00BE1CFE">
        <w:rPr>
          <w:rFonts w:eastAsia="Calibri" w:hint="cs"/>
          <w:b/>
          <w:bCs/>
          <w:rtl/>
        </w:rPr>
        <w:t xml:space="preserve"> </w:t>
      </w:r>
      <w:r w:rsidRPr="00BE1CFE">
        <w:rPr>
          <w:rFonts w:eastAsia="Calibri" w:hint="eastAsia"/>
          <w:b/>
          <w:bCs/>
          <w:rtl/>
        </w:rPr>
        <w:t>הממוחשבות</w:t>
      </w:r>
      <w:r w:rsidRPr="00BE1CFE">
        <w:rPr>
          <w:rFonts w:eastAsia="Calibri" w:hint="cs"/>
          <w:b/>
          <w:bCs/>
          <w:rtl/>
        </w:rPr>
        <w:t xml:space="preserve"> שבהן מתעדות יחידות</w:t>
      </w:r>
      <w:r w:rsidRPr="00BE1CFE">
        <w:rPr>
          <w:rFonts w:eastAsia="Calibri" w:hint="eastAsia"/>
          <w:b/>
          <w:bCs/>
          <w:rtl/>
        </w:rPr>
        <w:t>יה</w:t>
      </w:r>
      <w:r w:rsidRPr="00BE1CFE">
        <w:rPr>
          <w:rFonts w:eastAsia="Calibri" w:hint="cs"/>
          <w:b/>
          <w:bCs/>
          <w:rtl/>
        </w:rPr>
        <w:t xml:space="preserve"> את האירוע לראשונה לבין מערכת ניהול הצווים. באופן זה תיעוד שעת קבלת האירוע יועבר באופן ממוחשב למערכת ניהול הצווים ולא יהיה תלוי ברישום ידני, דבר שיכול למנוע מקרים של רישום פתיחת האירוע במשל"ט עוד </w:t>
      </w:r>
      <w:r w:rsidRPr="00BE1CFE">
        <w:rPr>
          <w:rFonts w:eastAsia="Calibri" w:hint="eastAsia"/>
          <w:b/>
          <w:bCs/>
          <w:rtl/>
        </w:rPr>
        <w:t>קודם</w:t>
      </w:r>
      <w:r w:rsidRPr="00BE1CFE">
        <w:rPr>
          <w:rFonts w:eastAsia="Calibri"/>
          <w:b/>
          <w:bCs/>
          <w:rtl/>
        </w:rPr>
        <w:t xml:space="preserve"> </w:t>
      </w:r>
      <w:r w:rsidRPr="00BE1CFE">
        <w:rPr>
          <w:rFonts w:eastAsia="Calibri" w:hint="cs"/>
          <w:b/>
          <w:bCs/>
          <w:rtl/>
        </w:rPr>
        <w:t xml:space="preserve">קבלת </w:t>
      </w:r>
      <w:r w:rsidRPr="00BE1CFE">
        <w:rPr>
          <w:rFonts w:eastAsia="Calibri" w:hint="eastAsia"/>
          <w:b/>
          <w:bCs/>
          <w:rtl/>
        </w:rPr>
        <w:t>הדיווח</w:t>
      </w:r>
      <w:r w:rsidRPr="00BE1CFE">
        <w:rPr>
          <w:rFonts w:eastAsia="Calibri"/>
          <w:b/>
          <w:bCs/>
          <w:rtl/>
        </w:rPr>
        <w:t xml:space="preserve"> </w:t>
      </w:r>
      <w:r w:rsidRPr="00BE1CFE">
        <w:rPr>
          <w:rFonts w:eastAsia="Calibri" w:hint="eastAsia"/>
          <w:b/>
          <w:bCs/>
          <w:rtl/>
        </w:rPr>
        <w:t>על</w:t>
      </w:r>
      <w:r w:rsidRPr="00BE1CFE">
        <w:rPr>
          <w:rFonts w:eastAsia="Calibri" w:hint="cs"/>
          <w:b/>
          <w:bCs/>
          <w:rtl/>
        </w:rPr>
        <w:t xml:space="preserve"> האירוע במשטרה. </w:t>
      </w:r>
    </w:p>
    <w:p w:rsidR="00B47E58" w:rsidRDefault="00B47E58" w:rsidP="00604C3D">
      <w:pPr>
        <w:spacing w:line="269" w:lineRule="auto"/>
        <w:ind w:left="720"/>
        <w:contextualSpacing/>
        <w:rPr>
          <w:rFonts w:eastAsia="Calibri"/>
          <w:sz w:val="16"/>
          <w:szCs w:val="16"/>
          <w:rtl/>
        </w:rPr>
      </w:pPr>
    </w:p>
    <w:p w:rsidR="00E46818" w:rsidRPr="00BE1CFE" w:rsidRDefault="00E46818" w:rsidP="00604C3D">
      <w:pPr>
        <w:spacing w:line="269" w:lineRule="auto"/>
        <w:ind w:left="720"/>
        <w:contextualSpacing/>
        <w:rPr>
          <w:rFonts w:eastAsia="Calibri"/>
          <w:rtl/>
        </w:rPr>
      </w:pPr>
      <w:r w:rsidRPr="00BE1CFE">
        <w:rPr>
          <w:rFonts w:eastAsia="Calibri" w:hint="cs"/>
          <w:rtl/>
        </w:rPr>
        <w:t>ה</w:t>
      </w:r>
      <w:r w:rsidRPr="00BE1CFE">
        <w:rPr>
          <w:rFonts w:eastAsia="Calibri" w:hint="eastAsia"/>
          <w:rtl/>
        </w:rPr>
        <w:t>משטר</w:t>
      </w:r>
      <w:r w:rsidRPr="00BE1CFE">
        <w:rPr>
          <w:rFonts w:eastAsia="Calibri" w:hint="cs"/>
          <w:rtl/>
        </w:rPr>
        <w:t>ה</w:t>
      </w:r>
      <w:r w:rsidRPr="00BE1CFE">
        <w:rPr>
          <w:rFonts w:eastAsia="Calibri"/>
          <w:rtl/>
        </w:rPr>
        <w:t xml:space="preserve"> </w:t>
      </w:r>
      <w:r w:rsidRPr="00BE1CFE">
        <w:rPr>
          <w:rFonts w:eastAsia="Calibri" w:hint="cs"/>
          <w:rtl/>
        </w:rPr>
        <w:t>מסרה כי היא רואה חשיבות בקידום תיעוד זמן קבלת האירוע במשטרה במערכות מקבילות וטיפול מקצה לקצה במערכת ניהול צווים של כל השלבים, וכי היא מקדמת תהליכים ל</w:t>
      </w:r>
      <w:r w:rsidRPr="00BE1CFE">
        <w:rPr>
          <w:rFonts w:eastAsia="Calibri" w:hint="eastAsia"/>
          <w:rtl/>
        </w:rPr>
        <w:t>הקמת</w:t>
      </w:r>
      <w:r w:rsidRPr="00BE1CFE">
        <w:rPr>
          <w:rFonts w:eastAsia="Calibri"/>
          <w:rtl/>
        </w:rPr>
        <w:t xml:space="preserve"> </w:t>
      </w:r>
      <w:r w:rsidRPr="00BE1CFE">
        <w:rPr>
          <w:rFonts w:eastAsia="Calibri" w:hint="eastAsia"/>
          <w:rtl/>
        </w:rPr>
        <w:t>הממשק</w:t>
      </w:r>
      <w:r w:rsidRPr="00BE1CFE">
        <w:rPr>
          <w:rFonts w:eastAsia="Calibri"/>
          <w:rtl/>
        </w:rPr>
        <w:t xml:space="preserve"> </w:t>
      </w:r>
      <w:r w:rsidRPr="00BE1CFE">
        <w:rPr>
          <w:rFonts w:eastAsia="Calibri" w:hint="eastAsia"/>
          <w:rtl/>
        </w:rPr>
        <w:t>הדיגיטלי</w:t>
      </w:r>
      <w:r w:rsidRPr="00BE1CFE">
        <w:rPr>
          <w:rFonts w:eastAsia="Calibri"/>
          <w:rtl/>
        </w:rPr>
        <w:t xml:space="preserve"> </w:t>
      </w:r>
      <w:r w:rsidRPr="00BE1CFE">
        <w:rPr>
          <w:rFonts w:eastAsia="Calibri" w:hint="eastAsia"/>
          <w:rtl/>
        </w:rPr>
        <w:t>המתואר</w:t>
      </w:r>
      <w:r w:rsidRPr="00BE1CFE">
        <w:rPr>
          <w:rFonts w:eastAsia="Calibri"/>
          <w:rtl/>
        </w:rPr>
        <w:t>.</w:t>
      </w:r>
    </w:p>
    <w:p w:rsidR="00B47E58" w:rsidRPr="00B47E58" w:rsidRDefault="00B47E58" w:rsidP="00604C3D">
      <w:pPr>
        <w:spacing w:line="269" w:lineRule="auto"/>
        <w:ind w:left="708"/>
        <w:contextualSpacing/>
        <w:rPr>
          <w:rFonts w:eastAsia="Calibri"/>
        </w:rPr>
      </w:pPr>
    </w:p>
    <w:p w:rsidR="00E46818" w:rsidRPr="00BE1CFE" w:rsidRDefault="00E46818" w:rsidP="008C598D">
      <w:pPr>
        <w:numPr>
          <w:ilvl w:val="2"/>
          <w:numId w:val="18"/>
        </w:numPr>
        <w:spacing w:line="269" w:lineRule="auto"/>
        <w:ind w:left="708"/>
        <w:contextualSpacing/>
        <w:rPr>
          <w:rFonts w:eastAsia="Calibri"/>
        </w:rPr>
      </w:pPr>
      <w:r w:rsidRPr="006F3BF1">
        <w:rPr>
          <w:rStyle w:val="70"/>
          <w:rFonts w:hint="cs"/>
          <w:rtl/>
        </w:rPr>
        <w:t>שימוש חוזר בהיתר מינהלי עבור אותם יעדים:</w:t>
      </w:r>
      <w:r w:rsidRPr="00BE1CFE">
        <w:rPr>
          <w:rFonts w:eastAsia="Calibri" w:hint="cs"/>
          <w:b/>
          <w:bCs/>
          <w:rtl/>
        </w:rPr>
        <w:t xml:space="preserve"> </w:t>
      </w:r>
      <w:r w:rsidRPr="00BE1CFE">
        <w:rPr>
          <w:rFonts w:eastAsia="Calibri" w:hint="cs"/>
          <w:rtl/>
        </w:rPr>
        <w:t xml:space="preserve">ייעודו של ההיתר המינהלי הוא מתן מענה מבצעי </w:t>
      </w:r>
      <w:r w:rsidRPr="00BE1CFE">
        <w:rPr>
          <w:rFonts w:eastAsia="Calibri" w:hint="eastAsia"/>
          <w:rtl/>
        </w:rPr>
        <w:t>לצורך</w:t>
      </w:r>
      <w:r w:rsidRPr="00BE1CFE">
        <w:rPr>
          <w:rFonts w:eastAsia="Calibri"/>
          <w:rtl/>
        </w:rPr>
        <w:t xml:space="preserve"> </w:t>
      </w:r>
      <w:r w:rsidRPr="00BE1CFE">
        <w:rPr>
          <w:rFonts w:eastAsia="Calibri" w:hint="cs"/>
          <w:rtl/>
        </w:rPr>
        <w:t xml:space="preserve">של המשטרה </w:t>
      </w:r>
      <w:r w:rsidRPr="00BE1CFE">
        <w:rPr>
          <w:rFonts w:eastAsia="Calibri" w:hint="eastAsia"/>
          <w:rtl/>
        </w:rPr>
        <w:t>ב</w:t>
      </w:r>
      <w:r w:rsidRPr="00BE1CFE">
        <w:rPr>
          <w:rFonts w:eastAsia="Calibri" w:hint="cs"/>
          <w:rtl/>
        </w:rPr>
        <w:t xml:space="preserve">קבלת נתוני תקשורת במצבים המוגדרים בחוק כאשר </w:t>
      </w:r>
      <w:r w:rsidRPr="00BE1CFE">
        <w:rPr>
          <w:rFonts w:eastAsia="Calibri" w:hint="eastAsia"/>
          <w:rtl/>
        </w:rPr>
        <w:t>אין</w:t>
      </w:r>
      <w:r w:rsidRPr="00BE1CFE">
        <w:rPr>
          <w:rFonts w:eastAsia="Calibri"/>
          <w:rtl/>
        </w:rPr>
        <w:t xml:space="preserve"> </w:t>
      </w:r>
      <w:r w:rsidRPr="00BE1CFE">
        <w:rPr>
          <w:rFonts w:eastAsia="Calibri" w:hint="eastAsia"/>
          <w:rtl/>
        </w:rPr>
        <w:t>למשטרה</w:t>
      </w:r>
      <w:r w:rsidRPr="00BE1CFE">
        <w:rPr>
          <w:rFonts w:eastAsia="Calibri"/>
          <w:rtl/>
        </w:rPr>
        <w:t xml:space="preserve"> </w:t>
      </w:r>
      <w:r w:rsidRPr="00BE1CFE">
        <w:rPr>
          <w:rFonts w:eastAsia="Calibri" w:hint="eastAsia"/>
          <w:rtl/>
        </w:rPr>
        <w:t>שהות</w:t>
      </w:r>
      <w:r w:rsidRPr="00BE1CFE">
        <w:rPr>
          <w:rFonts w:eastAsia="Calibri"/>
          <w:rtl/>
        </w:rPr>
        <w:t xml:space="preserve"> </w:t>
      </w:r>
      <w:r w:rsidRPr="00BE1CFE">
        <w:rPr>
          <w:rFonts w:eastAsia="Calibri" w:hint="eastAsia"/>
          <w:rtl/>
        </w:rPr>
        <w:t>מספקת</w:t>
      </w:r>
      <w:r w:rsidRPr="00BE1CFE">
        <w:rPr>
          <w:rFonts w:eastAsia="Calibri" w:hint="cs"/>
          <w:rtl/>
        </w:rPr>
        <w:t xml:space="preserve"> לפנות לבית המשפט לשם קבלת צו שיפוטי. תוקפו של ההיתר המינהלי הוא לפרק זמן של עד 24 שעות. כאשר </w:t>
      </w:r>
      <w:r w:rsidRPr="00BE1CFE">
        <w:rPr>
          <w:rFonts w:eastAsia="Calibri" w:hint="eastAsia"/>
          <w:rtl/>
        </w:rPr>
        <w:t>פג</w:t>
      </w:r>
      <w:r w:rsidRPr="00BE1CFE">
        <w:rPr>
          <w:rFonts w:eastAsia="Calibri" w:hint="cs"/>
          <w:rtl/>
        </w:rPr>
        <w:t xml:space="preserve"> תוקפו של ההיתר המינהלי, והמשטרה צריכה לקבל נתוני תקשורת נוספים, עליה לפנות לבית המשפט לקבלת </w:t>
      </w:r>
      <w:r>
        <w:rPr>
          <w:rFonts w:eastAsia="Calibri" w:hint="cs"/>
          <w:rtl/>
        </w:rPr>
        <w:t>צו</w:t>
      </w:r>
      <w:r w:rsidRPr="00BE1CFE">
        <w:rPr>
          <w:rFonts w:eastAsia="Calibri" w:hint="cs"/>
          <w:rtl/>
        </w:rPr>
        <w:t xml:space="preserve"> שיפוטי. </w:t>
      </w:r>
    </w:p>
    <w:p w:rsidR="00B47E58" w:rsidRDefault="00B47E58" w:rsidP="00604C3D">
      <w:pPr>
        <w:spacing w:line="269" w:lineRule="auto"/>
        <w:ind w:left="708"/>
        <w:rPr>
          <w:rFonts w:eastAsia="Calibri"/>
          <w:sz w:val="16"/>
          <w:szCs w:val="16"/>
          <w:rtl/>
        </w:rPr>
      </w:pPr>
    </w:p>
    <w:p w:rsidR="00E46818" w:rsidRPr="00BE1CFE" w:rsidRDefault="00E46818" w:rsidP="00604C3D">
      <w:pPr>
        <w:spacing w:line="269" w:lineRule="auto"/>
        <w:ind w:left="708"/>
        <w:rPr>
          <w:rFonts w:eastAsia="Calibri"/>
          <w:b/>
          <w:bCs/>
          <w:rtl/>
        </w:rPr>
      </w:pPr>
      <w:r w:rsidRPr="00BE1CFE">
        <w:rPr>
          <w:rFonts w:eastAsia="Calibri" w:hint="eastAsia"/>
          <w:b/>
          <w:bCs/>
          <w:rtl/>
        </w:rPr>
        <w:t>בבקרת</w:t>
      </w:r>
      <w:r w:rsidRPr="00BE1CFE">
        <w:rPr>
          <w:rFonts w:eastAsia="Calibri"/>
          <w:b/>
          <w:bCs/>
          <w:rtl/>
        </w:rPr>
        <w:t xml:space="preserve"> קצינים מוסמכים </w:t>
      </w:r>
      <w:r w:rsidRPr="00BE1CFE">
        <w:rPr>
          <w:rFonts w:eastAsia="Calibri" w:hint="eastAsia"/>
          <w:b/>
          <w:bCs/>
          <w:rtl/>
        </w:rPr>
        <w:t>שערך</w:t>
      </w:r>
      <w:r w:rsidRPr="00BE1CFE">
        <w:rPr>
          <w:rFonts w:eastAsia="Calibri"/>
          <w:b/>
          <w:bCs/>
          <w:rtl/>
        </w:rPr>
        <w:t xml:space="preserve"> מפקד המשל"ט </w:t>
      </w:r>
      <w:r w:rsidRPr="00BE1CFE">
        <w:rPr>
          <w:rFonts w:eastAsia="Calibri" w:hint="eastAsia"/>
          <w:b/>
          <w:bCs/>
          <w:rtl/>
        </w:rPr>
        <w:t>בדצמבר</w:t>
      </w:r>
      <w:r w:rsidRPr="00BE1CFE">
        <w:rPr>
          <w:rFonts w:eastAsia="Calibri"/>
          <w:b/>
          <w:bCs/>
          <w:rtl/>
        </w:rPr>
        <w:t xml:space="preserve"> 2019 </w:t>
      </w:r>
      <w:r w:rsidRPr="00BE1CFE">
        <w:rPr>
          <w:rFonts w:eastAsia="Calibri" w:hint="eastAsia"/>
          <w:b/>
          <w:bCs/>
          <w:rtl/>
        </w:rPr>
        <w:t>במחוז</w:t>
      </w:r>
      <w:r w:rsidRPr="00BE1CFE">
        <w:rPr>
          <w:rFonts w:eastAsia="Calibri"/>
          <w:b/>
          <w:bCs/>
          <w:rtl/>
        </w:rPr>
        <w:t xml:space="preserve"> </w:t>
      </w:r>
      <w:r w:rsidRPr="00BE1CFE">
        <w:rPr>
          <w:rFonts w:eastAsia="Calibri" w:hint="cs"/>
          <w:b/>
          <w:bCs/>
          <w:rtl/>
        </w:rPr>
        <w:t>ה</w:t>
      </w:r>
      <w:r w:rsidRPr="00BE1CFE">
        <w:rPr>
          <w:rFonts w:eastAsia="Calibri"/>
          <w:b/>
          <w:bCs/>
          <w:rtl/>
        </w:rPr>
        <w:t xml:space="preserve">חוף </w:t>
      </w:r>
      <w:r w:rsidRPr="00BE1CFE">
        <w:rPr>
          <w:rFonts w:eastAsia="Calibri" w:hint="eastAsia"/>
          <w:b/>
          <w:bCs/>
          <w:rtl/>
        </w:rPr>
        <w:t>נאמר</w:t>
      </w:r>
      <w:r w:rsidRPr="00BE1CFE">
        <w:rPr>
          <w:rFonts w:eastAsia="Calibri"/>
          <w:b/>
          <w:bCs/>
          <w:rtl/>
        </w:rPr>
        <w:t xml:space="preserve"> </w:t>
      </w:r>
      <w:r w:rsidRPr="00BE1CFE">
        <w:rPr>
          <w:rFonts w:eastAsia="Calibri" w:hint="eastAsia"/>
          <w:b/>
          <w:bCs/>
          <w:rtl/>
        </w:rPr>
        <w:t>כי</w:t>
      </w:r>
      <w:r w:rsidRPr="00BE1CFE">
        <w:rPr>
          <w:rFonts w:eastAsia="Calibri"/>
          <w:b/>
          <w:bCs/>
          <w:rtl/>
        </w:rPr>
        <w:t xml:space="preserve"> </w:t>
      </w:r>
      <w:r w:rsidRPr="00BE1CFE">
        <w:rPr>
          <w:rFonts w:eastAsia="Calibri" w:hint="eastAsia"/>
          <w:b/>
          <w:bCs/>
          <w:rtl/>
        </w:rPr>
        <w:t>יש</w:t>
      </w:r>
      <w:r w:rsidRPr="00BE1CFE">
        <w:rPr>
          <w:rFonts w:eastAsia="Calibri"/>
          <w:b/>
          <w:bCs/>
          <w:rtl/>
        </w:rPr>
        <w:t xml:space="preserve"> </w:t>
      </w:r>
      <w:r w:rsidRPr="00BE1CFE">
        <w:rPr>
          <w:rFonts w:eastAsia="Calibri" w:hint="eastAsia"/>
          <w:b/>
          <w:bCs/>
          <w:rtl/>
        </w:rPr>
        <w:t>להקפיד</w:t>
      </w:r>
      <w:r w:rsidRPr="00BE1CFE">
        <w:rPr>
          <w:rFonts w:eastAsia="Calibri"/>
          <w:b/>
          <w:bCs/>
          <w:rtl/>
        </w:rPr>
        <w:t xml:space="preserve"> "שלא </w:t>
      </w:r>
      <w:r w:rsidRPr="00BE1CFE">
        <w:rPr>
          <w:rFonts w:eastAsia="Calibri" w:hint="eastAsia"/>
          <w:b/>
          <w:bCs/>
          <w:rtl/>
        </w:rPr>
        <w:t>לאשר</w:t>
      </w:r>
      <w:r w:rsidRPr="00BE1CFE">
        <w:rPr>
          <w:rFonts w:eastAsia="Calibri"/>
          <w:b/>
          <w:bCs/>
          <w:rtl/>
        </w:rPr>
        <w:t xml:space="preserve"> </w:t>
      </w:r>
      <w:r w:rsidRPr="00BE1CFE">
        <w:rPr>
          <w:rFonts w:eastAsia="Calibri" w:hint="eastAsia"/>
          <w:b/>
          <w:bCs/>
          <w:rtl/>
        </w:rPr>
        <w:t>אירוע</w:t>
      </w:r>
      <w:r w:rsidRPr="00BE1CFE">
        <w:rPr>
          <w:rFonts w:eastAsia="Calibri"/>
          <w:b/>
          <w:bCs/>
          <w:rtl/>
        </w:rPr>
        <w:t xml:space="preserve"> </w:t>
      </w:r>
      <w:r w:rsidRPr="00BE1CFE">
        <w:rPr>
          <w:rFonts w:eastAsia="Calibri" w:hint="eastAsia"/>
          <w:b/>
          <w:bCs/>
          <w:rtl/>
        </w:rPr>
        <w:t>חירום</w:t>
      </w:r>
      <w:r w:rsidRPr="00BE1CFE">
        <w:rPr>
          <w:rFonts w:eastAsia="Calibri"/>
          <w:b/>
          <w:bCs/>
          <w:rtl/>
        </w:rPr>
        <w:t xml:space="preserve"> </w:t>
      </w:r>
      <w:r w:rsidRPr="00BE1CFE">
        <w:rPr>
          <w:rFonts w:eastAsia="Calibri" w:hint="eastAsia"/>
          <w:b/>
          <w:bCs/>
          <w:rtl/>
        </w:rPr>
        <w:t>על</w:t>
      </w:r>
      <w:r w:rsidRPr="00BE1CFE">
        <w:rPr>
          <w:rFonts w:eastAsia="Calibri"/>
          <w:b/>
          <w:bCs/>
          <w:rtl/>
        </w:rPr>
        <w:t xml:space="preserve"> </w:t>
      </w:r>
      <w:r w:rsidRPr="00BE1CFE">
        <w:rPr>
          <w:rFonts w:eastAsia="Calibri" w:hint="eastAsia"/>
          <w:b/>
          <w:bCs/>
          <w:rtl/>
        </w:rPr>
        <w:t>מנוי</w:t>
      </w:r>
      <w:r w:rsidRPr="00BE1CFE">
        <w:rPr>
          <w:rFonts w:eastAsia="Calibri"/>
          <w:b/>
          <w:bCs/>
          <w:rtl/>
        </w:rPr>
        <w:t xml:space="preserve"> </w:t>
      </w:r>
      <w:r w:rsidRPr="00BE1CFE">
        <w:rPr>
          <w:rFonts w:eastAsia="Calibri" w:hint="eastAsia"/>
          <w:b/>
          <w:bCs/>
          <w:rtl/>
        </w:rPr>
        <w:t>עליו</w:t>
      </w:r>
      <w:r w:rsidRPr="00BE1CFE">
        <w:rPr>
          <w:rFonts w:eastAsia="Calibri"/>
          <w:b/>
          <w:bCs/>
          <w:rtl/>
        </w:rPr>
        <w:t xml:space="preserve"> </w:t>
      </w:r>
      <w:r w:rsidRPr="00BE1CFE">
        <w:rPr>
          <w:rFonts w:eastAsia="Calibri" w:hint="eastAsia"/>
          <w:b/>
          <w:bCs/>
          <w:rtl/>
        </w:rPr>
        <w:t>נפתח</w:t>
      </w:r>
      <w:r w:rsidRPr="00BE1CFE">
        <w:rPr>
          <w:rFonts w:eastAsia="Calibri"/>
          <w:b/>
          <w:bCs/>
          <w:rtl/>
        </w:rPr>
        <w:t xml:space="preserve"> </w:t>
      </w:r>
      <w:r w:rsidRPr="00BE1CFE">
        <w:rPr>
          <w:rFonts w:eastAsia="Calibri" w:hint="eastAsia"/>
          <w:b/>
          <w:bCs/>
          <w:rtl/>
        </w:rPr>
        <w:t>בתקופה</w:t>
      </w:r>
      <w:r w:rsidRPr="00BE1CFE">
        <w:rPr>
          <w:rFonts w:eastAsia="Calibri"/>
          <w:b/>
          <w:bCs/>
          <w:rtl/>
        </w:rPr>
        <w:t xml:space="preserve"> </w:t>
      </w:r>
      <w:r w:rsidRPr="00BE1CFE">
        <w:rPr>
          <w:rFonts w:eastAsia="Calibri" w:hint="eastAsia"/>
          <w:b/>
          <w:bCs/>
          <w:rtl/>
        </w:rPr>
        <w:t>האחרונה</w:t>
      </w:r>
      <w:r w:rsidRPr="00BE1CFE">
        <w:rPr>
          <w:rFonts w:eastAsia="Calibri"/>
          <w:b/>
          <w:bCs/>
          <w:rtl/>
        </w:rPr>
        <w:t xml:space="preserve"> </w:t>
      </w:r>
      <w:r w:rsidRPr="00BE1CFE">
        <w:rPr>
          <w:rFonts w:eastAsia="Calibri" w:hint="eastAsia"/>
          <w:b/>
          <w:bCs/>
          <w:rtl/>
        </w:rPr>
        <w:t>אירוע</w:t>
      </w:r>
      <w:r w:rsidRPr="00BE1CFE">
        <w:rPr>
          <w:rFonts w:eastAsia="Calibri"/>
          <w:b/>
          <w:bCs/>
          <w:rtl/>
        </w:rPr>
        <w:t xml:space="preserve"> </w:t>
      </w:r>
      <w:r w:rsidRPr="00BE1CFE">
        <w:rPr>
          <w:rFonts w:eastAsia="Calibri" w:hint="eastAsia"/>
          <w:b/>
          <w:bCs/>
          <w:rtl/>
        </w:rPr>
        <w:t>חירום</w:t>
      </w:r>
      <w:r w:rsidRPr="00BE1CFE">
        <w:rPr>
          <w:rFonts w:eastAsia="Calibri"/>
          <w:b/>
          <w:bCs/>
          <w:rtl/>
        </w:rPr>
        <w:t xml:space="preserve"> </w:t>
      </w:r>
      <w:r w:rsidRPr="00BE1CFE">
        <w:rPr>
          <w:rFonts w:eastAsia="Calibri" w:hint="eastAsia"/>
          <w:b/>
          <w:bCs/>
          <w:rtl/>
        </w:rPr>
        <w:t>אחר</w:t>
      </w:r>
      <w:r w:rsidRPr="00BE1CFE">
        <w:rPr>
          <w:rFonts w:eastAsia="Calibri"/>
          <w:b/>
          <w:bCs/>
          <w:rtl/>
        </w:rPr>
        <w:t xml:space="preserve"> </w:t>
      </w:r>
      <w:r w:rsidRPr="00BE1CFE">
        <w:rPr>
          <w:rFonts w:eastAsia="Calibri" w:hint="eastAsia"/>
          <w:b/>
          <w:bCs/>
          <w:rtl/>
        </w:rPr>
        <w:t>בעבור</w:t>
      </w:r>
      <w:r w:rsidRPr="00BE1CFE">
        <w:rPr>
          <w:rFonts w:eastAsia="Calibri"/>
          <w:b/>
          <w:bCs/>
          <w:rtl/>
        </w:rPr>
        <w:t xml:space="preserve"> </w:t>
      </w:r>
      <w:r w:rsidRPr="00BE1CFE">
        <w:rPr>
          <w:rFonts w:eastAsia="Calibri" w:hint="eastAsia"/>
          <w:b/>
          <w:bCs/>
          <w:rtl/>
        </w:rPr>
        <w:t>אותה</w:t>
      </w:r>
      <w:r w:rsidRPr="00BE1CFE">
        <w:rPr>
          <w:rFonts w:eastAsia="Calibri"/>
          <w:b/>
          <w:bCs/>
          <w:rtl/>
        </w:rPr>
        <w:t xml:space="preserve"> </w:t>
      </w:r>
      <w:r w:rsidRPr="00BE1CFE">
        <w:rPr>
          <w:rFonts w:eastAsia="Calibri" w:hint="eastAsia"/>
          <w:b/>
          <w:bCs/>
          <w:rtl/>
        </w:rPr>
        <w:t>עילה</w:t>
      </w:r>
      <w:r w:rsidRPr="00BE1CFE">
        <w:rPr>
          <w:rFonts w:eastAsia="Calibri"/>
          <w:b/>
          <w:bCs/>
          <w:rtl/>
        </w:rPr>
        <w:t xml:space="preserve"> (בעיקר </w:t>
      </w:r>
      <w:r w:rsidRPr="00BE1CFE">
        <w:rPr>
          <w:rFonts w:eastAsia="Calibri" w:hint="eastAsia"/>
          <w:b/>
          <w:bCs/>
          <w:rtl/>
        </w:rPr>
        <w:t>באירועי</w:t>
      </w:r>
      <w:r w:rsidRPr="00BE1CFE">
        <w:rPr>
          <w:rFonts w:eastAsia="Calibri"/>
          <w:b/>
          <w:bCs/>
          <w:rtl/>
        </w:rPr>
        <w:t xml:space="preserve"> </w:t>
      </w:r>
      <w:r w:rsidRPr="00BE1CFE">
        <w:rPr>
          <w:rFonts w:eastAsia="Calibri" w:hint="eastAsia"/>
          <w:b/>
          <w:bCs/>
          <w:rtl/>
        </w:rPr>
        <w:t>פשיעה</w:t>
      </w:r>
      <w:r w:rsidRPr="00BE1CFE">
        <w:rPr>
          <w:rFonts w:eastAsia="Calibri"/>
          <w:b/>
          <w:bCs/>
          <w:rtl/>
        </w:rPr>
        <w:t>)".</w:t>
      </w:r>
    </w:p>
    <w:p w:rsidR="00B47E58" w:rsidRDefault="00B47E58" w:rsidP="00604C3D">
      <w:pPr>
        <w:spacing w:line="269" w:lineRule="auto"/>
        <w:ind w:left="720"/>
        <w:contextualSpacing/>
        <w:rPr>
          <w:rFonts w:eastAsia="Calibri"/>
          <w:szCs w:val="20"/>
          <w:rtl/>
        </w:rPr>
      </w:pPr>
    </w:p>
    <w:p w:rsidR="00E46818" w:rsidRPr="00BE1CFE" w:rsidRDefault="00E46818" w:rsidP="00604C3D">
      <w:pPr>
        <w:spacing w:line="269" w:lineRule="auto"/>
        <w:ind w:left="720"/>
        <w:contextualSpacing/>
        <w:rPr>
          <w:rFonts w:eastAsia="Calibri"/>
          <w:b/>
          <w:bCs/>
          <w:rtl/>
        </w:rPr>
      </w:pPr>
      <w:r w:rsidRPr="00BE1CFE">
        <w:rPr>
          <w:rFonts w:eastAsia="Calibri" w:hint="eastAsia"/>
          <w:b/>
          <w:bCs/>
          <w:rtl/>
        </w:rPr>
        <w:t>בשנים</w:t>
      </w:r>
      <w:r w:rsidRPr="00BE1CFE">
        <w:rPr>
          <w:rFonts w:eastAsia="Calibri"/>
          <w:b/>
          <w:bCs/>
          <w:rtl/>
        </w:rPr>
        <w:t xml:space="preserve"> 2019 - 2021 מתוך </w:t>
      </w:r>
      <w:r w:rsidRPr="00BE1CFE">
        <w:rPr>
          <w:rFonts w:eastAsia="Calibri" w:hint="cs"/>
          <w:b/>
          <w:bCs/>
          <w:rtl/>
        </w:rPr>
        <w:t>48,332</w:t>
      </w:r>
      <w:r w:rsidRPr="00BE1CFE">
        <w:rPr>
          <w:rFonts w:eastAsia="Calibri"/>
          <w:b/>
          <w:bCs/>
          <w:rtl/>
        </w:rPr>
        <w:t xml:space="preserve"> ההיתרים </w:t>
      </w:r>
      <w:r w:rsidRPr="00BE1CFE">
        <w:rPr>
          <w:rFonts w:eastAsia="Calibri" w:hint="eastAsia"/>
          <w:b/>
          <w:bCs/>
          <w:rtl/>
        </w:rPr>
        <w:t>המינהליים</w:t>
      </w:r>
      <w:r w:rsidRPr="00BE1CFE">
        <w:rPr>
          <w:rFonts w:eastAsia="Calibri" w:hint="cs"/>
          <w:b/>
          <w:bCs/>
          <w:rtl/>
        </w:rPr>
        <w:t>,</w:t>
      </w:r>
      <w:r w:rsidRPr="00BE1CFE">
        <w:rPr>
          <w:rFonts w:eastAsia="Calibri"/>
          <w:b/>
          <w:bCs/>
          <w:rtl/>
        </w:rPr>
        <w:t xml:space="preserve"> </w:t>
      </w:r>
      <w:bookmarkStart w:id="607" w:name="_Hlk185410804"/>
      <w:r>
        <w:rPr>
          <w:rFonts w:eastAsia="Calibri" w:hint="cs"/>
          <w:b/>
          <w:bCs/>
          <w:rtl/>
        </w:rPr>
        <w:t>כ-630</w:t>
      </w:r>
      <w:r w:rsidRPr="00BE1CFE">
        <w:rPr>
          <w:rFonts w:eastAsia="Calibri" w:hint="cs"/>
          <w:b/>
          <w:bCs/>
          <w:rtl/>
        </w:rPr>
        <w:t xml:space="preserve"> </w:t>
      </w:r>
      <w:r w:rsidRPr="00BE1CFE">
        <w:rPr>
          <w:rFonts w:eastAsia="Calibri" w:hint="eastAsia"/>
          <w:b/>
          <w:bCs/>
          <w:rtl/>
        </w:rPr>
        <w:t>היתרים</w:t>
      </w:r>
      <w:r w:rsidRPr="00BE1CFE">
        <w:rPr>
          <w:rFonts w:eastAsia="Calibri" w:hint="cs"/>
          <w:b/>
          <w:bCs/>
          <w:rtl/>
        </w:rPr>
        <w:t xml:space="preserve"> </w:t>
      </w:r>
      <w:r w:rsidRPr="00BE1CFE">
        <w:rPr>
          <w:rFonts w:eastAsia="Calibri"/>
          <w:b/>
          <w:bCs/>
          <w:rtl/>
        </w:rPr>
        <w:t xml:space="preserve">התבקשו </w:t>
      </w:r>
      <w:r w:rsidRPr="00BE1CFE">
        <w:rPr>
          <w:rFonts w:eastAsia="Calibri" w:hint="eastAsia"/>
          <w:b/>
          <w:bCs/>
          <w:rtl/>
        </w:rPr>
        <w:t>בעניינו</w:t>
      </w:r>
      <w:r w:rsidRPr="00BE1CFE">
        <w:rPr>
          <w:rFonts w:eastAsia="Calibri"/>
          <w:b/>
          <w:bCs/>
          <w:rtl/>
        </w:rPr>
        <w:t xml:space="preserve"> </w:t>
      </w:r>
      <w:r w:rsidRPr="00BE1CFE">
        <w:rPr>
          <w:rFonts w:eastAsia="Calibri" w:hint="eastAsia"/>
          <w:b/>
          <w:bCs/>
          <w:rtl/>
        </w:rPr>
        <w:t>של</w:t>
      </w:r>
      <w:r w:rsidRPr="00BE1CFE">
        <w:rPr>
          <w:rFonts w:eastAsia="Calibri"/>
          <w:b/>
          <w:bCs/>
          <w:rtl/>
        </w:rPr>
        <w:t xml:space="preserve"> יעד (אחד או יותר) ש</w:t>
      </w:r>
      <w:r w:rsidRPr="00BE1CFE">
        <w:rPr>
          <w:rFonts w:eastAsia="Calibri" w:hint="eastAsia"/>
          <w:b/>
          <w:bCs/>
          <w:rtl/>
        </w:rPr>
        <w:t>לגביו</w:t>
      </w:r>
      <w:r w:rsidRPr="00BE1CFE">
        <w:rPr>
          <w:rFonts w:eastAsia="Calibri"/>
          <w:b/>
          <w:bCs/>
          <w:rtl/>
        </w:rPr>
        <w:t xml:space="preserve"> כבר </w:t>
      </w:r>
      <w:r w:rsidRPr="00BE1CFE">
        <w:rPr>
          <w:rFonts w:eastAsia="Calibri" w:hint="eastAsia"/>
          <w:b/>
          <w:bCs/>
          <w:rtl/>
        </w:rPr>
        <w:t>התבקש</w:t>
      </w:r>
      <w:r w:rsidRPr="00BE1CFE">
        <w:rPr>
          <w:rFonts w:eastAsia="Calibri"/>
          <w:b/>
          <w:bCs/>
          <w:rtl/>
        </w:rPr>
        <w:t xml:space="preserve"> היתר </w:t>
      </w:r>
      <w:r w:rsidRPr="00BE1CFE">
        <w:rPr>
          <w:rFonts w:eastAsia="Calibri" w:hint="eastAsia"/>
          <w:b/>
          <w:bCs/>
          <w:rtl/>
        </w:rPr>
        <w:t>מינהלי</w:t>
      </w:r>
      <w:r w:rsidRPr="00BE1CFE">
        <w:rPr>
          <w:rFonts w:eastAsia="Calibri"/>
          <w:b/>
          <w:bCs/>
          <w:rtl/>
        </w:rPr>
        <w:t xml:space="preserve"> קודם (אחד או יותר).</w:t>
      </w:r>
      <w:r w:rsidRPr="00BE1CFE">
        <w:rPr>
          <w:rFonts w:eastAsia="Calibri" w:hint="cs"/>
          <w:b/>
          <w:bCs/>
          <w:rtl/>
        </w:rPr>
        <w:t xml:space="preserve"> היתרים אלה ניתנו </w:t>
      </w:r>
      <w:r w:rsidRPr="00BE1CFE">
        <w:rPr>
          <w:rFonts w:eastAsia="Calibri" w:hint="eastAsia"/>
          <w:b/>
          <w:bCs/>
          <w:rtl/>
        </w:rPr>
        <w:t>בתוך</w:t>
      </w:r>
      <w:r w:rsidRPr="00BE1CFE">
        <w:rPr>
          <w:rFonts w:eastAsia="Calibri"/>
          <w:b/>
          <w:bCs/>
          <w:rtl/>
        </w:rPr>
        <w:t xml:space="preserve"> 3 </w:t>
      </w:r>
      <w:r w:rsidRPr="00BE1CFE">
        <w:rPr>
          <w:rFonts w:eastAsia="Calibri" w:hint="cs"/>
          <w:b/>
          <w:bCs/>
          <w:rtl/>
        </w:rPr>
        <w:t>עד</w:t>
      </w:r>
      <w:r w:rsidRPr="00BE1CFE">
        <w:rPr>
          <w:rFonts w:eastAsia="Calibri"/>
          <w:b/>
          <w:bCs/>
          <w:rtl/>
        </w:rPr>
        <w:t xml:space="preserve"> 72 </w:t>
      </w:r>
      <w:r w:rsidRPr="00BE1CFE">
        <w:rPr>
          <w:rFonts w:eastAsia="Calibri" w:hint="eastAsia"/>
          <w:b/>
          <w:bCs/>
          <w:rtl/>
        </w:rPr>
        <w:t>שעות</w:t>
      </w:r>
      <w:r w:rsidRPr="00BE1CFE">
        <w:rPr>
          <w:rFonts w:eastAsia="Calibri" w:hint="cs"/>
          <w:b/>
          <w:bCs/>
          <w:rtl/>
        </w:rPr>
        <w:t xml:space="preserve"> </w:t>
      </w:r>
      <w:r w:rsidRPr="00BE1CFE">
        <w:rPr>
          <w:rFonts w:eastAsia="Calibri" w:hint="eastAsia"/>
          <w:b/>
          <w:bCs/>
          <w:rtl/>
        </w:rPr>
        <w:t>ממועד</w:t>
      </w:r>
      <w:r w:rsidRPr="00BE1CFE">
        <w:rPr>
          <w:rFonts w:eastAsia="Calibri"/>
          <w:b/>
          <w:bCs/>
          <w:rtl/>
        </w:rPr>
        <w:t xml:space="preserve"> </w:t>
      </w:r>
      <w:r w:rsidRPr="00BE1CFE">
        <w:rPr>
          <w:rFonts w:eastAsia="Calibri" w:hint="eastAsia"/>
          <w:b/>
          <w:bCs/>
          <w:rtl/>
        </w:rPr>
        <w:t>מתן</w:t>
      </w:r>
      <w:r w:rsidRPr="00BE1CFE">
        <w:rPr>
          <w:rFonts w:eastAsia="Calibri" w:hint="cs"/>
          <w:b/>
          <w:bCs/>
          <w:rtl/>
        </w:rPr>
        <w:t xml:space="preserve"> ההיתר הראשון</w:t>
      </w:r>
      <w:r w:rsidRPr="00BE1CFE">
        <w:rPr>
          <w:rFonts w:eastAsia="Calibri"/>
          <w:b/>
          <w:bCs/>
          <w:rtl/>
        </w:rPr>
        <w:t xml:space="preserve">, </w:t>
      </w:r>
      <w:r w:rsidRPr="00BE1CFE">
        <w:rPr>
          <w:rFonts w:eastAsia="Calibri" w:hint="eastAsia"/>
          <w:b/>
          <w:bCs/>
          <w:rtl/>
        </w:rPr>
        <w:t>דהיינו</w:t>
      </w:r>
      <w:r w:rsidRPr="00BE1CFE">
        <w:rPr>
          <w:rFonts w:eastAsia="Calibri" w:hint="cs"/>
          <w:b/>
          <w:bCs/>
          <w:rtl/>
        </w:rPr>
        <w:t xml:space="preserve"> במסגרת הזמן שבו ההיתר הקודם עדיין </w:t>
      </w:r>
      <w:r w:rsidRPr="00BE1CFE">
        <w:rPr>
          <w:rFonts w:eastAsia="Calibri" w:hint="eastAsia"/>
          <w:b/>
          <w:bCs/>
          <w:rtl/>
        </w:rPr>
        <w:t>היה</w:t>
      </w:r>
      <w:r w:rsidRPr="00BE1CFE">
        <w:rPr>
          <w:rFonts w:eastAsia="Calibri" w:hint="cs"/>
          <w:b/>
          <w:bCs/>
          <w:rtl/>
        </w:rPr>
        <w:t xml:space="preserve"> תקף או בסמוך לפקיעתו</w:t>
      </w:r>
      <w:r w:rsidRPr="00BE1CFE">
        <w:rPr>
          <w:rFonts w:eastAsia="Calibri"/>
          <w:b/>
          <w:bCs/>
          <w:rtl/>
        </w:rPr>
        <w:t>.</w:t>
      </w:r>
      <w:bookmarkEnd w:id="607"/>
    </w:p>
    <w:p w:rsidR="00B47E58" w:rsidRDefault="00B47E58" w:rsidP="00604C3D">
      <w:pPr>
        <w:spacing w:line="269" w:lineRule="auto"/>
        <w:ind w:left="720"/>
        <w:contextualSpacing/>
        <w:rPr>
          <w:rFonts w:eastAsia="Calibri"/>
          <w:sz w:val="16"/>
          <w:szCs w:val="16"/>
          <w:rtl/>
        </w:rPr>
      </w:pPr>
    </w:p>
    <w:p w:rsidR="00E46818" w:rsidRPr="00BE1CFE" w:rsidRDefault="00E46818" w:rsidP="00604C3D">
      <w:pPr>
        <w:spacing w:line="269" w:lineRule="auto"/>
        <w:ind w:left="720"/>
        <w:contextualSpacing/>
        <w:rPr>
          <w:rFonts w:eastAsia="Calibri"/>
          <w:b/>
          <w:bCs/>
          <w:rtl/>
        </w:rPr>
      </w:pPr>
      <w:r w:rsidRPr="00BE1CFE">
        <w:rPr>
          <w:rFonts w:eastAsia="Calibri" w:hint="cs"/>
          <w:rtl/>
        </w:rPr>
        <w:t>ה</w:t>
      </w:r>
      <w:r w:rsidRPr="00BE1CFE">
        <w:rPr>
          <w:rFonts w:eastAsia="Calibri" w:hint="eastAsia"/>
          <w:rtl/>
        </w:rPr>
        <w:t>משטר</w:t>
      </w:r>
      <w:r w:rsidRPr="00BE1CFE">
        <w:rPr>
          <w:rFonts w:eastAsia="Calibri" w:hint="cs"/>
          <w:rtl/>
        </w:rPr>
        <w:t>ה</w:t>
      </w:r>
      <w:r w:rsidRPr="00BE1CFE">
        <w:rPr>
          <w:rFonts w:eastAsia="Calibri"/>
          <w:rtl/>
        </w:rPr>
        <w:t xml:space="preserve"> מסר</w:t>
      </w:r>
      <w:r w:rsidRPr="00BE1CFE">
        <w:rPr>
          <w:rFonts w:eastAsia="Calibri" w:hint="cs"/>
          <w:rtl/>
        </w:rPr>
        <w:t>ה</w:t>
      </w:r>
      <w:r w:rsidRPr="00BE1CFE">
        <w:rPr>
          <w:rFonts w:eastAsia="Calibri"/>
          <w:rtl/>
        </w:rPr>
        <w:t xml:space="preserve"> בתגובה כי </w:t>
      </w:r>
      <w:r w:rsidRPr="00BE1CFE">
        <w:rPr>
          <w:rFonts w:eastAsia="Calibri" w:hint="cs"/>
          <w:rtl/>
        </w:rPr>
        <w:t xml:space="preserve">היא משתמשת בהיתרים מינהליים תוך הקפדה יתירה ועל פי דרישות החוק והנהלים; </w:t>
      </w:r>
      <w:r w:rsidRPr="00BE1CFE">
        <w:rPr>
          <w:rFonts w:eastAsia="Calibri" w:hint="eastAsia"/>
          <w:rtl/>
        </w:rPr>
        <w:t>היקף</w:t>
      </w:r>
      <w:r w:rsidRPr="00BE1CFE">
        <w:rPr>
          <w:rFonts w:eastAsia="Calibri"/>
          <w:rtl/>
        </w:rPr>
        <w:t xml:space="preserve"> ההיתרים המ</w:t>
      </w:r>
      <w:r w:rsidRPr="00BE1CFE">
        <w:rPr>
          <w:rFonts w:eastAsia="Calibri" w:hint="cs"/>
          <w:rtl/>
        </w:rPr>
        <w:t>י</w:t>
      </w:r>
      <w:r w:rsidRPr="00BE1CFE">
        <w:rPr>
          <w:rFonts w:eastAsia="Calibri"/>
          <w:rtl/>
        </w:rPr>
        <w:t xml:space="preserve">נהליים החוזרים שניתנו בטווח </w:t>
      </w:r>
      <w:r w:rsidRPr="00BE1CFE">
        <w:rPr>
          <w:rFonts w:eastAsia="Calibri" w:hint="eastAsia"/>
          <w:rtl/>
        </w:rPr>
        <w:t>של</w:t>
      </w:r>
      <w:r w:rsidRPr="00BE1CFE">
        <w:rPr>
          <w:rFonts w:eastAsia="Calibri"/>
          <w:rtl/>
        </w:rPr>
        <w:t xml:space="preserve"> 3 עד 72 </w:t>
      </w:r>
      <w:r w:rsidRPr="00BE1CFE">
        <w:rPr>
          <w:rFonts w:eastAsia="Calibri" w:hint="eastAsia"/>
          <w:rtl/>
        </w:rPr>
        <w:t>שעות</w:t>
      </w:r>
      <w:r w:rsidRPr="00BE1CFE">
        <w:rPr>
          <w:rFonts w:eastAsia="Calibri"/>
          <w:rtl/>
        </w:rPr>
        <w:t xml:space="preserve"> מתוך כלל ההיתרים המ</w:t>
      </w:r>
      <w:r w:rsidRPr="00BE1CFE">
        <w:rPr>
          <w:rFonts w:eastAsia="Calibri" w:hint="cs"/>
          <w:rtl/>
        </w:rPr>
        <w:t>י</w:t>
      </w:r>
      <w:r w:rsidRPr="00BE1CFE">
        <w:rPr>
          <w:rFonts w:eastAsia="Calibri"/>
          <w:rtl/>
        </w:rPr>
        <w:t>נהליים הוא קטן ועומד על כ-2%</w:t>
      </w:r>
      <w:r w:rsidRPr="00BE1CFE">
        <w:rPr>
          <w:rFonts w:eastAsia="Calibri" w:hint="cs"/>
          <w:rtl/>
        </w:rPr>
        <w:t>; ו</w:t>
      </w:r>
      <w:r w:rsidRPr="00BE1CFE">
        <w:rPr>
          <w:rFonts w:eastAsia="Calibri"/>
          <w:rtl/>
        </w:rPr>
        <w:t xml:space="preserve">פתיחת </w:t>
      </w:r>
      <w:r w:rsidRPr="00BE1CFE">
        <w:rPr>
          <w:rFonts w:eastAsia="Calibri" w:hint="cs"/>
          <w:rtl/>
        </w:rPr>
        <w:t>היתר מינהלי</w:t>
      </w:r>
      <w:r w:rsidRPr="00BE1CFE">
        <w:rPr>
          <w:rFonts w:eastAsia="Calibri"/>
          <w:rtl/>
        </w:rPr>
        <w:t xml:space="preserve"> חדש נ</w:t>
      </w:r>
      <w:r w:rsidRPr="00BE1CFE">
        <w:rPr>
          <w:rFonts w:eastAsia="Calibri" w:hint="eastAsia"/>
          <w:rtl/>
        </w:rPr>
        <w:t>עשית</w:t>
      </w:r>
      <w:r w:rsidRPr="00BE1CFE">
        <w:rPr>
          <w:rFonts w:eastAsia="Calibri"/>
          <w:rtl/>
        </w:rPr>
        <w:t xml:space="preserve"> </w:t>
      </w:r>
      <w:r w:rsidRPr="00BE1CFE">
        <w:rPr>
          <w:rFonts w:eastAsia="Calibri" w:hint="eastAsia"/>
          <w:rtl/>
        </w:rPr>
        <w:t>בהתאם</w:t>
      </w:r>
      <w:r w:rsidRPr="00BE1CFE">
        <w:rPr>
          <w:rFonts w:eastAsia="Calibri"/>
          <w:rtl/>
        </w:rPr>
        <w:t xml:space="preserve"> </w:t>
      </w:r>
      <w:r w:rsidRPr="00BE1CFE">
        <w:rPr>
          <w:rFonts w:eastAsia="Calibri" w:hint="eastAsia"/>
          <w:rtl/>
        </w:rPr>
        <w:t>לשיקול</w:t>
      </w:r>
      <w:r w:rsidRPr="00BE1CFE">
        <w:rPr>
          <w:rFonts w:eastAsia="Calibri"/>
          <w:rtl/>
        </w:rPr>
        <w:t xml:space="preserve"> </w:t>
      </w:r>
      <w:r w:rsidRPr="00BE1CFE">
        <w:rPr>
          <w:rFonts w:eastAsia="Calibri" w:hint="eastAsia"/>
          <w:rtl/>
        </w:rPr>
        <w:t>דעת</w:t>
      </w:r>
      <w:r w:rsidRPr="00BE1CFE">
        <w:rPr>
          <w:rFonts w:eastAsia="Calibri"/>
          <w:rtl/>
        </w:rPr>
        <w:t xml:space="preserve"> </w:t>
      </w:r>
      <w:r w:rsidRPr="00BE1CFE">
        <w:rPr>
          <w:rFonts w:eastAsia="Calibri" w:hint="eastAsia"/>
          <w:rtl/>
        </w:rPr>
        <w:t>קפדני</w:t>
      </w:r>
      <w:r w:rsidRPr="00BE1CFE">
        <w:rPr>
          <w:rFonts w:eastAsia="Calibri"/>
          <w:rtl/>
        </w:rPr>
        <w:t xml:space="preserve"> </w:t>
      </w:r>
      <w:r w:rsidRPr="00BE1CFE">
        <w:rPr>
          <w:rFonts w:eastAsia="Calibri" w:hint="eastAsia"/>
          <w:rtl/>
        </w:rPr>
        <w:t>של</w:t>
      </w:r>
      <w:r w:rsidRPr="00BE1CFE">
        <w:rPr>
          <w:rFonts w:eastAsia="Calibri"/>
          <w:rtl/>
        </w:rPr>
        <w:t xml:space="preserve"> </w:t>
      </w:r>
      <w:r w:rsidRPr="00BE1CFE">
        <w:rPr>
          <w:rFonts w:eastAsia="Calibri" w:hint="eastAsia"/>
          <w:rtl/>
        </w:rPr>
        <w:t>הקצין</w:t>
      </w:r>
      <w:r w:rsidRPr="00BE1CFE">
        <w:rPr>
          <w:rFonts w:eastAsia="Calibri"/>
          <w:rtl/>
        </w:rPr>
        <w:t xml:space="preserve"> </w:t>
      </w:r>
      <w:r w:rsidRPr="00BE1CFE">
        <w:rPr>
          <w:rFonts w:eastAsia="Calibri" w:hint="eastAsia"/>
          <w:rtl/>
        </w:rPr>
        <w:t>המוסמך</w:t>
      </w:r>
      <w:r w:rsidRPr="00BE1CFE">
        <w:rPr>
          <w:rFonts w:eastAsia="Calibri" w:hint="cs"/>
          <w:rtl/>
        </w:rPr>
        <w:t>.</w:t>
      </w:r>
      <w:r w:rsidRPr="00BE1CFE">
        <w:rPr>
          <w:rFonts w:eastAsia="Calibri" w:hint="eastAsia"/>
          <w:rtl/>
        </w:rPr>
        <w:t xml:space="preserve"> כמו</w:t>
      </w:r>
      <w:r w:rsidRPr="00BE1CFE">
        <w:rPr>
          <w:rFonts w:eastAsia="Calibri"/>
          <w:rtl/>
        </w:rPr>
        <w:t xml:space="preserve"> </w:t>
      </w:r>
      <w:r w:rsidRPr="00BE1CFE">
        <w:rPr>
          <w:rFonts w:eastAsia="Calibri" w:hint="eastAsia"/>
          <w:rtl/>
        </w:rPr>
        <w:t>כן</w:t>
      </w:r>
      <w:r w:rsidRPr="00BE1CFE">
        <w:rPr>
          <w:rFonts w:eastAsia="Calibri"/>
          <w:rtl/>
        </w:rPr>
        <w:t xml:space="preserve">, </w:t>
      </w:r>
      <w:r w:rsidRPr="00BE1CFE">
        <w:rPr>
          <w:rFonts w:eastAsia="Calibri" w:hint="eastAsia"/>
          <w:rtl/>
        </w:rPr>
        <w:t>לעמדת</w:t>
      </w:r>
      <w:r w:rsidRPr="00BE1CFE">
        <w:rPr>
          <w:rFonts w:eastAsia="Calibri"/>
          <w:rtl/>
        </w:rPr>
        <w:t xml:space="preserve"> </w:t>
      </w:r>
      <w:r w:rsidRPr="00BE1CFE">
        <w:rPr>
          <w:rFonts w:eastAsia="Calibri" w:hint="eastAsia"/>
          <w:rtl/>
        </w:rPr>
        <w:t>המשטרה</w:t>
      </w:r>
      <w:r w:rsidRPr="00BE1CFE">
        <w:rPr>
          <w:rFonts w:eastAsia="Calibri"/>
          <w:rtl/>
        </w:rPr>
        <w:t xml:space="preserve"> </w:t>
      </w:r>
      <w:r w:rsidRPr="00BE1CFE">
        <w:rPr>
          <w:rFonts w:eastAsia="Calibri" w:hint="cs"/>
          <w:rtl/>
        </w:rPr>
        <w:t>ייתכנו מצבים רבים באירועי הצלת חיי אדם ש</w:t>
      </w:r>
      <w:r w:rsidRPr="00BE1CFE">
        <w:rPr>
          <w:rFonts w:eastAsia="Calibri"/>
          <w:rtl/>
        </w:rPr>
        <w:t>בהם קיימת הצדקה</w:t>
      </w:r>
      <w:r w:rsidRPr="00BE1CFE">
        <w:rPr>
          <w:rFonts w:eastAsia="Calibri" w:hint="cs"/>
          <w:rtl/>
        </w:rPr>
        <w:t xml:space="preserve"> חוקית</w:t>
      </w:r>
      <w:r w:rsidRPr="00BE1CFE">
        <w:rPr>
          <w:rFonts w:eastAsia="Calibri"/>
          <w:rtl/>
        </w:rPr>
        <w:t xml:space="preserve"> לפתיחת </w:t>
      </w:r>
      <w:r w:rsidRPr="00BE1CFE">
        <w:rPr>
          <w:rFonts w:eastAsia="Calibri" w:hint="cs"/>
          <w:rtl/>
        </w:rPr>
        <w:t>היתר</w:t>
      </w:r>
      <w:r w:rsidRPr="00BE1CFE">
        <w:rPr>
          <w:rFonts w:eastAsia="Calibri"/>
          <w:rtl/>
        </w:rPr>
        <w:t xml:space="preserve"> מ</w:t>
      </w:r>
      <w:r w:rsidRPr="00BE1CFE">
        <w:rPr>
          <w:rFonts w:eastAsia="Calibri" w:hint="cs"/>
          <w:rtl/>
        </w:rPr>
        <w:t>י</w:t>
      </w:r>
      <w:r w:rsidRPr="00BE1CFE">
        <w:rPr>
          <w:rFonts w:eastAsia="Calibri"/>
          <w:rtl/>
        </w:rPr>
        <w:t>נהלי חדש בטווח זמן קרוב</w:t>
      </w:r>
      <w:r w:rsidRPr="00BE1CFE">
        <w:rPr>
          <w:rFonts w:eastAsia="Calibri" w:hint="cs"/>
          <w:rtl/>
        </w:rPr>
        <w:t>,</w:t>
      </w:r>
      <w:r w:rsidRPr="00BE1CFE">
        <w:rPr>
          <w:rFonts w:eastAsia="Calibri"/>
          <w:rtl/>
        </w:rPr>
        <w:t xml:space="preserve"> לדוגמה </w:t>
      </w:r>
      <w:r w:rsidRPr="00BE1CFE">
        <w:rPr>
          <w:rFonts w:eastAsia="Calibri" w:hint="cs"/>
          <w:rtl/>
        </w:rPr>
        <w:t>ב</w:t>
      </w:r>
      <w:r w:rsidRPr="00BE1CFE">
        <w:rPr>
          <w:rFonts w:eastAsia="Calibri"/>
          <w:rtl/>
        </w:rPr>
        <w:t xml:space="preserve">מקרים </w:t>
      </w:r>
      <w:r w:rsidRPr="00BE1CFE">
        <w:rPr>
          <w:rFonts w:eastAsia="Calibri" w:hint="cs"/>
          <w:rtl/>
        </w:rPr>
        <w:t>ש</w:t>
      </w:r>
      <w:r w:rsidRPr="00BE1CFE">
        <w:rPr>
          <w:rFonts w:eastAsia="Calibri"/>
          <w:rtl/>
        </w:rPr>
        <w:t>בהם מתקבל מידע חדש</w:t>
      </w:r>
      <w:r>
        <w:rPr>
          <w:rFonts w:eastAsia="Calibri" w:hint="cs"/>
          <w:rtl/>
        </w:rPr>
        <w:t xml:space="preserve"> (כגון: הישנות קבלת דיווח על אירועי הצלת חיים אדם)</w:t>
      </w:r>
      <w:r w:rsidRPr="00BE1CFE">
        <w:rPr>
          <w:rFonts w:eastAsia="Calibri"/>
          <w:rtl/>
        </w:rPr>
        <w:t xml:space="preserve">, </w:t>
      </w:r>
      <w:r w:rsidRPr="00BE1CFE">
        <w:rPr>
          <w:rFonts w:eastAsia="Calibri" w:hint="cs"/>
          <w:rtl/>
        </w:rPr>
        <w:t xml:space="preserve">כשאדם נעדר או כשמתרחשת </w:t>
      </w:r>
      <w:r w:rsidRPr="00BE1CFE">
        <w:rPr>
          <w:rFonts w:eastAsia="Calibri" w:hint="eastAsia"/>
          <w:rtl/>
        </w:rPr>
        <w:t>הסלמ</w:t>
      </w:r>
      <w:r w:rsidRPr="00BE1CFE">
        <w:rPr>
          <w:rFonts w:eastAsia="Calibri" w:hint="cs"/>
          <w:rtl/>
        </w:rPr>
        <w:t>ה</w:t>
      </w:r>
      <w:r w:rsidRPr="00BE1CFE">
        <w:rPr>
          <w:rFonts w:eastAsia="Calibri"/>
          <w:rtl/>
        </w:rPr>
        <w:t xml:space="preserve"> </w:t>
      </w:r>
      <w:r w:rsidRPr="00BE1CFE">
        <w:rPr>
          <w:rFonts w:eastAsia="Calibri" w:hint="cs"/>
          <w:rtl/>
        </w:rPr>
        <w:t>ב</w:t>
      </w:r>
      <w:r w:rsidRPr="00BE1CFE">
        <w:rPr>
          <w:rFonts w:eastAsia="Calibri" w:hint="eastAsia"/>
          <w:rtl/>
        </w:rPr>
        <w:t>אירוע</w:t>
      </w:r>
      <w:r w:rsidRPr="00BE1CFE">
        <w:rPr>
          <w:rFonts w:eastAsia="Calibri" w:hint="cs"/>
          <w:rtl/>
        </w:rPr>
        <w:t>, ועל כן היא אינה מקבלת את הביקורת בנושא זה, והיא תמשיך לפעול ביעילות המקסימלית ובמסגרת החוק</w:t>
      </w:r>
      <w:r w:rsidRPr="00BE1CFE">
        <w:rPr>
          <w:rFonts w:eastAsia="Calibri"/>
          <w:rtl/>
        </w:rPr>
        <w:t>.</w:t>
      </w:r>
      <w:r w:rsidRPr="00BE1CFE">
        <w:rPr>
          <w:rFonts w:eastAsia="Calibri" w:hint="cs"/>
          <w:rtl/>
        </w:rPr>
        <w:t xml:space="preserve"> עוד הוסיפה המשטרה כי </w:t>
      </w:r>
      <w:r w:rsidRPr="00BE1CFE">
        <w:rPr>
          <w:rFonts w:eastAsia="Calibri" w:hint="eastAsia"/>
          <w:rtl/>
        </w:rPr>
        <w:t>בשל</w:t>
      </w:r>
      <w:r w:rsidRPr="00BE1CFE">
        <w:rPr>
          <w:rFonts w:eastAsia="Calibri"/>
          <w:rtl/>
        </w:rPr>
        <w:t xml:space="preserve"> </w:t>
      </w:r>
      <w:r w:rsidRPr="00BE1CFE">
        <w:rPr>
          <w:rFonts w:eastAsia="Calibri" w:hint="eastAsia"/>
          <w:rtl/>
        </w:rPr>
        <w:t>מצבים</w:t>
      </w:r>
      <w:r w:rsidRPr="00BE1CFE">
        <w:rPr>
          <w:rFonts w:eastAsia="Calibri"/>
          <w:rtl/>
        </w:rPr>
        <w:t xml:space="preserve"> </w:t>
      </w:r>
      <w:r w:rsidRPr="00BE1CFE">
        <w:rPr>
          <w:rFonts w:eastAsia="Calibri" w:hint="eastAsia"/>
          <w:rtl/>
        </w:rPr>
        <w:t>אלה</w:t>
      </w:r>
      <w:r w:rsidRPr="00BE1CFE">
        <w:rPr>
          <w:rFonts w:eastAsia="Calibri"/>
          <w:rtl/>
        </w:rPr>
        <w:t xml:space="preserve"> </w:t>
      </w:r>
      <w:r w:rsidRPr="00BE1CFE">
        <w:rPr>
          <w:rFonts w:eastAsia="Calibri" w:hint="cs"/>
          <w:rtl/>
        </w:rPr>
        <w:t xml:space="preserve">היא מקדמת פיתוח </w:t>
      </w:r>
      <w:r w:rsidRPr="00BE1CFE">
        <w:rPr>
          <w:rFonts w:eastAsia="Calibri" w:hint="eastAsia"/>
          <w:rtl/>
        </w:rPr>
        <w:t>במערכת</w:t>
      </w:r>
      <w:r w:rsidRPr="00BE1CFE">
        <w:rPr>
          <w:rFonts w:eastAsia="Calibri"/>
          <w:rtl/>
        </w:rPr>
        <w:t xml:space="preserve"> </w:t>
      </w:r>
      <w:r w:rsidRPr="00BE1CFE">
        <w:rPr>
          <w:rFonts w:eastAsia="Calibri" w:hint="cs"/>
          <w:rtl/>
        </w:rPr>
        <w:t>שבאמצעותו</w:t>
      </w:r>
      <w:r w:rsidRPr="00BE1CFE">
        <w:rPr>
          <w:rFonts w:eastAsia="Calibri"/>
          <w:rtl/>
        </w:rPr>
        <w:t xml:space="preserve"> </w:t>
      </w:r>
      <w:r w:rsidRPr="00BE1CFE">
        <w:rPr>
          <w:rFonts w:eastAsia="Calibri" w:hint="eastAsia"/>
          <w:rtl/>
        </w:rPr>
        <w:t>יהיה</w:t>
      </w:r>
      <w:r w:rsidRPr="00BE1CFE">
        <w:rPr>
          <w:rFonts w:eastAsia="Calibri"/>
          <w:rtl/>
        </w:rPr>
        <w:t xml:space="preserve"> </w:t>
      </w:r>
      <w:r w:rsidRPr="00BE1CFE">
        <w:rPr>
          <w:rFonts w:eastAsia="Calibri" w:hint="eastAsia"/>
          <w:rtl/>
        </w:rPr>
        <w:t>לתפקידן</w:t>
      </w:r>
      <w:r w:rsidRPr="00BE1CFE">
        <w:rPr>
          <w:rFonts w:eastAsia="Calibri"/>
          <w:rtl/>
        </w:rPr>
        <w:t xml:space="preserve"> </w:t>
      </w:r>
      <w:r w:rsidRPr="00BE1CFE">
        <w:rPr>
          <w:rFonts w:eastAsia="Calibri" w:hint="eastAsia"/>
          <w:rtl/>
        </w:rPr>
        <w:t>חיווי</w:t>
      </w:r>
      <w:r w:rsidRPr="00BE1CFE">
        <w:rPr>
          <w:rFonts w:eastAsia="Calibri"/>
          <w:rtl/>
        </w:rPr>
        <w:t xml:space="preserve"> </w:t>
      </w:r>
      <w:r w:rsidRPr="00BE1CFE">
        <w:rPr>
          <w:rFonts w:eastAsia="Calibri" w:hint="eastAsia"/>
          <w:rtl/>
        </w:rPr>
        <w:t>בעת</w:t>
      </w:r>
      <w:r w:rsidRPr="00BE1CFE">
        <w:rPr>
          <w:rFonts w:eastAsia="Calibri"/>
          <w:rtl/>
        </w:rPr>
        <w:t xml:space="preserve"> </w:t>
      </w:r>
      <w:r w:rsidRPr="00BE1CFE">
        <w:rPr>
          <w:rFonts w:eastAsia="Calibri" w:hint="eastAsia"/>
          <w:rtl/>
        </w:rPr>
        <w:t>הזנת</w:t>
      </w:r>
      <w:r w:rsidRPr="00BE1CFE">
        <w:rPr>
          <w:rFonts w:eastAsia="Calibri"/>
          <w:rtl/>
        </w:rPr>
        <w:t xml:space="preserve"> </w:t>
      </w:r>
      <w:r w:rsidRPr="00BE1CFE">
        <w:rPr>
          <w:rFonts w:eastAsia="Calibri" w:hint="cs"/>
          <w:rtl/>
        </w:rPr>
        <w:t>היעד</w:t>
      </w:r>
      <w:r w:rsidRPr="00BE1CFE">
        <w:rPr>
          <w:rFonts w:eastAsia="Calibri"/>
          <w:rtl/>
        </w:rPr>
        <w:t xml:space="preserve"> </w:t>
      </w:r>
      <w:r w:rsidRPr="00BE1CFE">
        <w:rPr>
          <w:rFonts w:eastAsia="Calibri" w:hint="eastAsia"/>
          <w:rtl/>
        </w:rPr>
        <w:t>באירוע</w:t>
      </w:r>
      <w:r w:rsidRPr="00BE1CFE">
        <w:rPr>
          <w:rFonts w:eastAsia="Calibri" w:hint="cs"/>
          <w:rtl/>
        </w:rPr>
        <w:t xml:space="preserve"> במקרה שבו מדובר בהיתר חוזר לאותו יעד</w:t>
      </w:r>
      <w:r w:rsidRPr="00BE1CFE">
        <w:rPr>
          <w:rFonts w:eastAsia="Calibri"/>
          <w:rtl/>
        </w:rPr>
        <w:t>.</w:t>
      </w:r>
    </w:p>
    <w:p w:rsidR="00B47E58" w:rsidRDefault="00B47E58" w:rsidP="00604C3D">
      <w:pPr>
        <w:spacing w:line="269" w:lineRule="auto"/>
        <w:ind w:left="720"/>
        <w:contextualSpacing/>
        <w:rPr>
          <w:rFonts w:eastAsia="Calibri"/>
          <w:szCs w:val="20"/>
          <w:rtl/>
        </w:rPr>
      </w:pPr>
    </w:p>
    <w:p w:rsidR="00E46818" w:rsidRPr="00BE1CFE" w:rsidRDefault="00E46818" w:rsidP="00604C3D">
      <w:pPr>
        <w:spacing w:line="269" w:lineRule="auto"/>
        <w:ind w:left="720"/>
        <w:contextualSpacing/>
        <w:rPr>
          <w:rFonts w:eastAsia="Calibri"/>
          <w:b/>
          <w:bCs/>
          <w:rtl/>
        </w:rPr>
      </w:pPr>
      <w:r w:rsidRPr="00BE1CFE">
        <w:rPr>
          <w:rFonts w:eastAsia="Calibri" w:hint="cs"/>
          <w:b/>
          <w:bCs/>
          <w:rtl/>
        </w:rPr>
        <w:t xml:space="preserve">בהתאם לחוק נתוני תקשורת, ההיתר המינהלי מוגבל עד 24 שעות. לאחר מכן, ובהתאם לצורך, על המשטרה לפנות לבית המשפט בבקשה לצו. הוצאת </w:t>
      </w:r>
      <w:r>
        <w:rPr>
          <w:rFonts w:eastAsia="Calibri" w:hint="cs"/>
          <w:b/>
          <w:bCs/>
          <w:rtl/>
        </w:rPr>
        <w:t>כ-630</w:t>
      </w:r>
      <w:r w:rsidRPr="00BE1CFE">
        <w:rPr>
          <w:rFonts w:eastAsia="Calibri" w:hint="cs"/>
          <w:b/>
          <w:bCs/>
          <w:rtl/>
        </w:rPr>
        <w:t xml:space="preserve"> ההיתרים המינהליים החוזרים בתוך 72 שעות ממועד הוצאת ההיתר הראשון מעלה חשש כי המשטרה עקפה את הליך הוצאת הצו השיפוטי </w:t>
      </w:r>
      <w:r>
        <w:rPr>
          <w:rFonts w:eastAsia="Calibri" w:hint="cs"/>
          <w:b/>
          <w:bCs/>
          <w:rtl/>
        </w:rPr>
        <w:t>הנדרש בדין</w:t>
      </w:r>
      <w:r w:rsidRPr="00BE1CFE">
        <w:rPr>
          <w:rFonts w:eastAsia="Calibri" w:hint="cs"/>
          <w:b/>
          <w:bCs/>
          <w:rtl/>
        </w:rPr>
        <w:t>.</w:t>
      </w:r>
    </w:p>
    <w:p w:rsidR="00B47E58" w:rsidRDefault="00B47E58" w:rsidP="00604C3D">
      <w:pPr>
        <w:spacing w:line="269" w:lineRule="auto"/>
        <w:ind w:left="720"/>
        <w:contextualSpacing/>
        <w:rPr>
          <w:rFonts w:eastAsia="Calibri"/>
          <w:rtl/>
        </w:rPr>
      </w:pPr>
    </w:p>
    <w:p w:rsidR="00E46818" w:rsidRPr="00BE1CFE" w:rsidRDefault="00E46818" w:rsidP="00604C3D">
      <w:pPr>
        <w:spacing w:line="269" w:lineRule="auto"/>
        <w:ind w:left="720"/>
        <w:contextualSpacing/>
        <w:rPr>
          <w:rFonts w:eastAsia="Calibri"/>
          <w:b/>
          <w:bCs/>
          <w:rtl/>
        </w:rPr>
      </w:pPr>
      <w:r w:rsidRPr="00BE1CFE">
        <w:rPr>
          <w:rFonts w:eastAsia="Calibri" w:hint="cs"/>
          <w:b/>
          <w:bCs/>
          <w:rtl/>
        </w:rPr>
        <w:t xml:space="preserve">על המשטרה </w:t>
      </w:r>
      <w:r w:rsidRPr="00BE1CFE">
        <w:rPr>
          <w:rFonts w:eastAsia="Calibri" w:hint="eastAsia"/>
          <w:b/>
          <w:bCs/>
          <w:rtl/>
        </w:rPr>
        <w:t>להשתמש</w:t>
      </w:r>
      <w:r w:rsidRPr="00BE1CFE">
        <w:rPr>
          <w:rFonts w:eastAsia="Calibri" w:hint="cs"/>
          <w:b/>
          <w:bCs/>
          <w:rtl/>
        </w:rPr>
        <w:t xml:space="preserve"> בהיתר המינהלי בהתאם לתנאי החוק ולא כאמצעי המייתר פנ</w:t>
      </w:r>
      <w:r w:rsidRPr="00BE1CFE">
        <w:rPr>
          <w:rFonts w:eastAsia="Calibri" w:hint="eastAsia"/>
          <w:b/>
          <w:bCs/>
          <w:rtl/>
        </w:rPr>
        <w:t>י</w:t>
      </w:r>
      <w:r w:rsidRPr="00BE1CFE">
        <w:rPr>
          <w:rFonts w:eastAsia="Calibri" w:hint="cs"/>
          <w:b/>
          <w:bCs/>
          <w:rtl/>
        </w:rPr>
        <w:t>יה אל בית המשפט.</w:t>
      </w:r>
    </w:p>
    <w:p w:rsidR="00E46818" w:rsidRDefault="00E46818" w:rsidP="00604C3D">
      <w:pPr>
        <w:spacing w:line="269" w:lineRule="auto"/>
        <w:ind w:left="-567"/>
        <w:rPr>
          <w:rFonts w:eastAsia="Calibri"/>
          <w:szCs w:val="20"/>
          <w:rtl/>
        </w:rPr>
      </w:pPr>
    </w:p>
    <w:p w:rsidR="00E46818" w:rsidRPr="00BE1CFE" w:rsidRDefault="00E46818" w:rsidP="00604C3D">
      <w:pPr>
        <w:spacing w:line="269" w:lineRule="auto"/>
        <w:ind w:left="424"/>
        <w:contextualSpacing/>
        <w:rPr>
          <w:rFonts w:eastAsia="Calibri"/>
          <w:rtl/>
        </w:rPr>
      </w:pPr>
      <w:r w:rsidRPr="00BE1CFE">
        <w:rPr>
          <w:rFonts w:eastAsia="Calibri" w:hint="cs"/>
          <w:rtl/>
        </w:rPr>
        <w:t>החוק קובע כי ככל הניתן ההיתר המינהלי יינתן בכתב</w:t>
      </w:r>
      <w:r w:rsidRPr="00BE1CFE">
        <w:rPr>
          <w:rFonts w:eastAsia="Calibri"/>
          <w:vertAlign w:val="superscript"/>
          <w:rtl/>
        </w:rPr>
        <w:footnoteReference w:id="272"/>
      </w:r>
      <w:r w:rsidRPr="00BE1CFE">
        <w:rPr>
          <w:rFonts w:eastAsia="Calibri" w:hint="cs"/>
          <w:rtl/>
        </w:rPr>
        <w:t xml:space="preserve">. עם זאת, מעצם מהותו של ההיתר המינהלי - הוא ניתן במקרים דחופים, ולכן לא תמיד יתאפשר לקצין המוסמך לתת את ההיתר בכתב בזמן אמת, וייתכן שלנוכח הנסיבות והדחיפות ייאלץ הקצין המוסמך לתת את ההיתר בעל פה. לאחר קבלת ההיתר המינהלי שוטר רשאי לדרוש מחברת תקשורת להעביר למשטרה נתוני תקשורת בהתאם לפרטי ההיתר. </w:t>
      </w:r>
    </w:p>
    <w:p w:rsidR="00B47E58" w:rsidRDefault="00B47E58" w:rsidP="00604C3D">
      <w:pPr>
        <w:spacing w:line="269" w:lineRule="auto"/>
        <w:ind w:left="424"/>
        <w:contextualSpacing/>
        <w:rPr>
          <w:rFonts w:eastAsia="Calibri"/>
          <w:szCs w:val="20"/>
          <w:rtl/>
        </w:rPr>
      </w:pPr>
    </w:p>
    <w:p w:rsidR="00E46818" w:rsidRPr="00BE1CFE" w:rsidRDefault="00E46818" w:rsidP="00604C3D">
      <w:pPr>
        <w:spacing w:line="269" w:lineRule="auto"/>
        <w:ind w:left="424"/>
        <w:contextualSpacing/>
        <w:rPr>
          <w:rFonts w:eastAsia="Calibri"/>
        </w:rPr>
      </w:pPr>
      <w:r w:rsidRPr="00BE1CFE">
        <w:rPr>
          <w:rFonts w:eastAsia="Calibri" w:hint="cs"/>
          <w:rtl/>
        </w:rPr>
        <w:t>בית המשפט העליון הכיר בחשיבות של תיעוד אירוע בזמן התרחשותו או בסמוך אליו</w:t>
      </w:r>
      <w:r w:rsidRPr="00BE1CFE">
        <w:rPr>
          <w:rFonts w:eastAsia="Calibri"/>
          <w:vertAlign w:val="superscript"/>
          <w:rtl/>
        </w:rPr>
        <w:footnoteReference w:id="273"/>
      </w:r>
      <w:r w:rsidRPr="00BE1CFE">
        <w:rPr>
          <w:rFonts w:eastAsia="Calibri" w:hint="cs"/>
          <w:rtl/>
        </w:rPr>
        <w:t xml:space="preserve">. בנוהל של </w:t>
      </w:r>
      <w:r w:rsidRPr="00BE1CFE">
        <w:rPr>
          <w:rFonts w:eastAsia="Calibri"/>
          <w:rtl/>
        </w:rPr>
        <w:t xml:space="preserve">חטיבת הסייבר </w:t>
      </w:r>
      <w:r w:rsidRPr="00BE1CFE">
        <w:rPr>
          <w:rFonts w:eastAsia="Calibri" w:hint="cs"/>
          <w:rtl/>
        </w:rPr>
        <w:t>מ</w:t>
      </w:r>
      <w:r w:rsidRPr="00BE1CFE">
        <w:rPr>
          <w:rFonts w:eastAsia="Calibri"/>
          <w:rtl/>
        </w:rPr>
        <w:t xml:space="preserve">שנת 2008 </w:t>
      </w:r>
      <w:r w:rsidRPr="00BE1CFE">
        <w:rPr>
          <w:rFonts w:eastAsia="Calibri" w:hint="cs"/>
          <w:rtl/>
        </w:rPr>
        <w:t>בנושא קבלת נתוני תקשורת</w:t>
      </w:r>
      <w:r w:rsidRPr="00BE1CFE">
        <w:rPr>
          <w:rFonts w:eastAsia="Calibri"/>
          <w:rtl/>
        </w:rPr>
        <w:t xml:space="preserve"> ה</w:t>
      </w:r>
      <w:r w:rsidRPr="00BE1CFE">
        <w:rPr>
          <w:rFonts w:eastAsia="Calibri" w:hint="cs"/>
          <w:rtl/>
        </w:rPr>
        <w:t>וסדרו</w:t>
      </w:r>
      <w:r w:rsidRPr="00BE1CFE">
        <w:rPr>
          <w:rFonts w:eastAsia="Calibri"/>
          <w:rtl/>
        </w:rPr>
        <w:t xml:space="preserve"> ההנחיות בעניין מתן היתרים מ</w:t>
      </w:r>
      <w:r w:rsidRPr="00BE1CFE">
        <w:rPr>
          <w:rFonts w:eastAsia="Calibri" w:hint="cs"/>
          <w:rtl/>
        </w:rPr>
        <w:t>י</w:t>
      </w:r>
      <w:r w:rsidRPr="00BE1CFE">
        <w:rPr>
          <w:rFonts w:eastAsia="Calibri"/>
          <w:rtl/>
        </w:rPr>
        <w:t>נהליים על ידי קצינים מוסמכים.</w:t>
      </w:r>
      <w:r w:rsidRPr="00BE1CFE">
        <w:rPr>
          <w:rFonts w:eastAsia="Calibri" w:hint="cs"/>
          <w:rtl/>
        </w:rPr>
        <w:t xml:space="preserve"> על פי הנוהל, </w:t>
      </w:r>
      <w:r w:rsidRPr="00BE1CFE">
        <w:rPr>
          <w:rFonts w:eastAsia="Calibri"/>
          <w:rtl/>
        </w:rPr>
        <w:t>הבקשה להיתר</w:t>
      </w:r>
      <w:r w:rsidRPr="00BE1CFE">
        <w:rPr>
          <w:rFonts w:eastAsia="Calibri" w:hint="cs"/>
          <w:rtl/>
        </w:rPr>
        <w:t xml:space="preserve"> המינהלי</w:t>
      </w:r>
      <w:r w:rsidRPr="00BE1CFE">
        <w:rPr>
          <w:rFonts w:eastAsia="Calibri"/>
          <w:rtl/>
        </w:rPr>
        <w:t xml:space="preserve"> וההיתר</w:t>
      </w:r>
      <w:r w:rsidRPr="00BE1CFE">
        <w:rPr>
          <w:rFonts w:eastAsia="Calibri" w:hint="cs"/>
          <w:rtl/>
        </w:rPr>
        <w:t xml:space="preserve"> עצמו</w:t>
      </w:r>
      <w:r w:rsidRPr="00BE1CFE">
        <w:rPr>
          <w:rFonts w:eastAsia="Calibri"/>
          <w:rtl/>
        </w:rPr>
        <w:t xml:space="preserve"> </w:t>
      </w:r>
      <w:r w:rsidRPr="00BE1CFE">
        <w:rPr>
          <w:rFonts w:eastAsia="Calibri" w:hint="cs"/>
          <w:rtl/>
        </w:rPr>
        <w:t xml:space="preserve">יכללו </w:t>
      </w:r>
      <w:r w:rsidRPr="00BE1CFE">
        <w:rPr>
          <w:rFonts w:eastAsia="Calibri"/>
          <w:rtl/>
        </w:rPr>
        <w:t>פרטים המפורטים ב</w:t>
      </w:r>
      <w:r>
        <w:rPr>
          <w:rFonts w:eastAsia="Calibri" w:hint="cs"/>
          <w:rtl/>
        </w:rPr>
        <w:t>טופס ייעודי המצורף</w:t>
      </w:r>
      <w:r w:rsidRPr="00BE1CFE">
        <w:rPr>
          <w:rFonts w:eastAsia="Calibri"/>
          <w:rtl/>
        </w:rPr>
        <w:t xml:space="preserve"> </w:t>
      </w:r>
      <w:r w:rsidRPr="00BE1CFE">
        <w:rPr>
          <w:rFonts w:eastAsia="Calibri" w:hint="cs"/>
          <w:rtl/>
        </w:rPr>
        <w:t>לנוהל</w:t>
      </w:r>
      <w:r w:rsidRPr="00BE1CFE">
        <w:rPr>
          <w:rFonts w:eastAsia="Calibri"/>
          <w:vertAlign w:val="superscript"/>
          <w:rtl/>
        </w:rPr>
        <w:footnoteReference w:id="274"/>
      </w:r>
      <w:r w:rsidRPr="00BE1CFE">
        <w:rPr>
          <w:rFonts w:eastAsia="Calibri" w:hint="cs"/>
          <w:rtl/>
        </w:rPr>
        <w:t xml:space="preserve"> שימולאו </w:t>
      </w:r>
      <w:r w:rsidRPr="00BE1CFE">
        <w:rPr>
          <w:rFonts w:eastAsia="Calibri"/>
          <w:rtl/>
        </w:rPr>
        <w:t>ע</w:t>
      </w:r>
      <w:r w:rsidRPr="00BE1CFE">
        <w:rPr>
          <w:rFonts w:eastAsia="Calibri" w:hint="cs"/>
          <w:rtl/>
        </w:rPr>
        <w:t>ל יד</w:t>
      </w:r>
      <w:r w:rsidRPr="00BE1CFE">
        <w:rPr>
          <w:rFonts w:eastAsia="Calibri"/>
          <w:rtl/>
        </w:rPr>
        <w:t xml:space="preserve">י הגורם המבקש והקצין המוסמך </w:t>
      </w:r>
      <w:r w:rsidRPr="00BE1CFE">
        <w:rPr>
          <w:rFonts w:eastAsia="Calibri" w:hint="cs"/>
          <w:rtl/>
        </w:rPr>
        <w:t>ב</w:t>
      </w:r>
      <w:r w:rsidRPr="00BE1CFE">
        <w:rPr>
          <w:rFonts w:eastAsia="Calibri"/>
          <w:rtl/>
        </w:rPr>
        <w:t>תוך 24 שעות ממתן ההיתר</w:t>
      </w:r>
      <w:r w:rsidRPr="00BE1CFE">
        <w:rPr>
          <w:rFonts w:eastAsia="Calibri" w:hint="cs"/>
          <w:rtl/>
        </w:rPr>
        <w:t xml:space="preserve">. כמו כן, הקצין המוסמך שנתן היתר מינהלי ידווח על כך בכתב בתוך 24 שעות באמצעות טופס </w:t>
      </w:r>
      <w:r>
        <w:rPr>
          <w:rFonts w:eastAsia="Calibri" w:hint="cs"/>
          <w:rtl/>
        </w:rPr>
        <w:t>ייעודי</w:t>
      </w:r>
      <w:r w:rsidRPr="00BE1CFE">
        <w:rPr>
          <w:rFonts w:eastAsia="Calibri" w:hint="cs"/>
          <w:rtl/>
        </w:rPr>
        <w:t xml:space="preserve"> לקצין בדרגת נצ"ם שהוסמך לעניין זה. אם הקצין המוסמך אינו יכול לחתום בעצמו על הטופס, יש לפעול לפי ההוראות המפורטות בנוהל לגבי תיעוד בכתב של כלל הפעולות וההחלטות בנוגע להיתר שניתן</w:t>
      </w:r>
      <w:r w:rsidRPr="00BE1CFE">
        <w:rPr>
          <w:rFonts w:eastAsia="Calibri"/>
          <w:rtl/>
        </w:rPr>
        <w:t>.</w:t>
      </w:r>
      <w:r w:rsidRPr="00BE1CFE">
        <w:rPr>
          <w:rFonts w:eastAsia="Calibri" w:hint="cs"/>
          <w:rtl/>
        </w:rPr>
        <w:t xml:space="preserve"> בתרשים להלן תוצג שרשרת האירועים והשלבים בתהליך הוצאת צו בית משפט לקבלת נתוני תקשורת לעומת השלבים בתהליך הוצאת היתר מינהלי לקבלת הנתונים.</w:t>
      </w:r>
      <w:r>
        <w:rPr>
          <w:rFonts w:eastAsia="Calibri" w:hint="cs"/>
          <w:rtl/>
        </w:rPr>
        <w:t xml:space="preserve"> </w:t>
      </w:r>
    </w:p>
    <w:p w:rsidR="00B47E58" w:rsidRDefault="00B47E58" w:rsidP="00604C3D">
      <w:pPr>
        <w:tabs>
          <w:tab w:val="left" w:pos="2645"/>
        </w:tabs>
        <w:spacing w:line="269" w:lineRule="auto"/>
        <w:jc w:val="center"/>
        <w:rPr>
          <w:rFonts w:eastAsia="Calibri"/>
          <w:szCs w:val="20"/>
          <w:rtl/>
        </w:rPr>
      </w:pPr>
    </w:p>
    <w:p w:rsidR="00E46818" w:rsidRPr="00B41649" w:rsidRDefault="00E46818" w:rsidP="00604C3D">
      <w:pPr>
        <w:tabs>
          <w:tab w:val="left" w:pos="2645"/>
        </w:tabs>
        <w:spacing w:line="269" w:lineRule="auto"/>
        <w:jc w:val="center"/>
        <w:rPr>
          <w:rFonts w:eastAsia="Calibri"/>
        </w:rPr>
      </w:pPr>
      <w:r w:rsidRPr="00BE1CFE">
        <w:rPr>
          <w:rFonts w:eastAsia="Calibri" w:hint="eastAsia"/>
          <w:rtl/>
        </w:rPr>
        <w:t>תרשים</w:t>
      </w:r>
      <w:r w:rsidR="006F3BF1">
        <w:rPr>
          <w:rFonts w:eastAsia="Calibri" w:hint="cs"/>
          <w:rtl/>
        </w:rPr>
        <w:t xml:space="preserve"> 22</w:t>
      </w:r>
      <w:r w:rsidRPr="00BE1CFE">
        <w:rPr>
          <w:rFonts w:eastAsia="Calibri"/>
          <w:rtl/>
        </w:rPr>
        <w:t>:</w:t>
      </w:r>
      <w:r w:rsidRPr="00BE1CFE">
        <w:rPr>
          <w:rFonts w:eastAsia="Calibri" w:hint="cs"/>
          <w:b/>
          <w:bCs/>
          <w:rtl/>
        </w:rPr>
        <w:t xml:space="preserve"> </w:t>
      </w:r>
      <w:bookmarkStart w:id="608" w:name="_Hlk218521184"/>
      <w:r w:rsidRPr="00BE1CFE">
        <w:rPr>
          <w:rFonts w:eastAsia="Calibri" w:hint="cs"/>
          <w:b/>
          <w:bCs/>
          <w:rtl/>
        </w:rPr>
        <w:t>שלבי התהליך להוצאת צו בית משפט ו</w:t>
      </w:r>
      <w:r>
        <w:rPr>
          <w:rFonts w:eastAsia="Calibri" w:hint="cs"/>
          <w:b/>
          <w:bCs/>
          <w:rtl/>
        </w:rPr>
        <w:t>ל</w:t>
      </w:r>
      <w:r w:rsidRPr="00BE1CFE">
        <w:rPr>
          <w:rFonts w:eastAsia="Calibri" w:hint="cs"/>
          <w:b/>
          <w:bCs/>
          <w:rtl/>
        </w:rPr>
        <w:t xml:space="preserve">מימושו לעומת שלבי התהליך למתן היתר מינהלי </w:t>
      </w:r>
      <w:r>
        <w:rPr>
          <w:rFonts w:eastAsia="Calibri" w:hint="cs"/>
          <w:b/>
          <w:bCs/>
          <w:rtl/>
        </w:rPr>
        <w:t>ולמימושו</w:t>
      </w:r>
      <w:bookmarkEnd w:id="608"/>
      <w:r w:rsidR="00F202B8">
        <w:rPr>
          <w:rFonts w:eastAsia="Calibri"/>
          <w:noProof/>
        </w:rPr>
        <w:drawing>
          <wp:inline distT="0" distB="0" distL="0" distR="0" wp14:anchorId="7BC63FA5" wp14:editId="27F17EDE">
            <wp:extent cx="5266562" cy="663892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רשים שלבי תהליך קבלת צו שיפוטי לעומת שלבי תהליך מתן היתר מינהלי.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67665" cy="6640316"/>
                    </a:xfrm>
                    <a:prstGeom prst="rect">
                      <a:avLst/>
                    </a:prstGeom>
                  </pic:spPr>
                </pic:pic>
              </a:graphicData>
            </a:graphic>
          </wp:inline>
        </w:drawing>
      </w:r>
    </w:p>
    <w:p w:rsidR="00E46818" w:rsidRPr="00BE1CFE" w:rsidRDefault="00E46818" w:rsidP="00604C3D">
      <w:pPr>
        <w:spacing w:line="269" w:lineRule="auto"/>
        <w:ind w:left="424"/>
        <w:rPr>
          <w:rFonts w:eastAsia="Calibri"/>
          <w:szCs w:val="20"/>
          <w:rtl/>
        </w:rPr>
      </w:pPr>
      <w:r w:rsidRPr="00BE1CFE">
        <w:rPr>
          <w:rFonts w:eastAsia="Calibri" w:hint="cs"/>
          <w:szCs w:val="20"/>
          <w:rtl/>
        </w:rPr>
        <w:t xml:space="preserve">על פי חוק נתוני תקשורת ונוהלי המשטרה בנושא, </w:t>
      </w:r>
      <w:r w:rsidRPr="00BE1CFE">
        <w:rPr>
          <w:rFonts w:eastAsia="Calibri" w:hint="eastAsia"/>
          <w:szCs w:val="20"/>
          <w:rtl/>
        </w:rPr>
        <w:t>בעיבוד</w:t>
      </w:r>
      <w:r w:rsidRPr="00BE1CFE">
        <w:rPr>
          <w:rFonts w:eastAsia="Calibri"/>
          <w:szCs w:val="20"/>
          <w:rtl/>
        </w:rPr>
        <w:t xml:space="preserve"> </w:t>
      </w:r>
      <w:r w:rsidRPr="00BE1CFE">
        <w:rPr>
          <w:rFonts w:eastAsia="Calibri" w:hint="eastAsia"/>
          <w:szCs w:val="20"/>
          <w:rtl/>
        </w:rPr>
        <w:t>משרד</w:t>
      </w:r>
      <w:r w:rsidRPr="00BE1CFE">
        <w:rPr>
          <w:rFonts w:eastAsia="Calibri"/>
          <w:szCs w:val="20"/>
          <w:rtl/>
        </w:rPr>
        <w:t xml:space="preserve"> </w:t>
      </w:r>
      <w:r w:rsidRPr="00BE1CFE">
        <w:rPr>
          <w:rFonts w:eastAsia="Calibri" w:hint="eastAsia"/>
          <w:szCs w:val="20"/>
          <w:rtl/>
        </w:rPr>
        <w:t>מבקר</w:t>
      </w:r>
      <w:r w:rsidRPr="00BE1CFE">
        <w:rPr>
          <w:rFonts w:eastAsia="Calibri"/>
          <w:szCs w:val="20"/>
          <w:rtl/>
        </w:rPr>
        <w:t xml:space="preserve"> </w:t>
      </w:r>
      <w:r w:rsidRPr="00BE1CFE">
        <w:rPr>
          <w:rFonts w:eastAsia="Calibri" w:hint="eastAsia"/>
          <w:szCs w:val="20"/>
          <w:rtl/>
        </w:rPr>
        <w:t>המדינה</w:t>
      </w:r>
      <w:r w:rsidRPr="00BE1CFE">
        <w:rPr>
          <w:rFonts w:eastAsia="Calibri" w:hint="cs"/>
          <w:szCs w:val="20"/>
          <w:rtl/>
        </w:rPr>
        <w:t xml:space="preserve">. </w:t>
      </w:r>
    </w:p>
    <w:p w:rsidR="00B47E58" w:rsidRDefault="00B47E58" w:rsidP="00604C3D">
      <w:pPr>
        <w:spacing w:line="269" w:lineRule="auto"/>
        <w:ind w:left="424"/>
        <w:rPr>
          <w:rFonts w:eastAsia="Calibri"/>
          <w:szCs w:val="20"/>
          <w:rtl/>
        </w:rPr>
      </w:pPr>
    </w:p>
    <w:p w:rsidR="00E46818" w:rsidRDefault="00E46818" w:rsidP="00604C3D">
      <w:pPr>
        <w:spacing w:line="269" w:lineRule="auto"/>
        <w:ind w:left="424"/>
        <w:rPr>
          <w:rFonts w:eastAsia="Calibri"/>
          <w:rtl/>
        </w:rPr>
      </w:pPr>
      <w:r w:rsidRPr="00BE1CFE">
        <w:rPr>
          <w:rFonts w:eastAsia="Calibri" w:hint="cs"/>
          <w:rtl/>
        </w:rPr>
        <w:t xml:space="preserve">מהתרשים עולה כי בפועל, במסלול ההיתר המינהלי כלל הממשקים של המשל"ט מול היחידה החוקרת ומול הקצין המוסמך מתבצעים בעל פה באמצעות הטלפון בלבד, לרבות אישור הקצין המוסמך למתן ההיתר המינהלי. גם ממשקי היחידה החוקרת מול הקצין המוסמך מתבצעים באמצעות הטלפון. </w:t>
      </w:r>
    </w:p>
    <w:p w:rsidR="006F3BF1" w:rsidRPr="00BE1CFE" w:rsidRDefault="006F3BF1" w:rsidP="00604C3D">
      <w:pPr>
        <w:spacing w:line="269" w:lineRule="auto"/>
        <w:ind w:left="424"/>
        <w:rPr>
          <w:rFonts w:eastAsia="Calibri"/>
          <w:rtl/>
        </w:rPr>
      </w:pPr>
    </w:p>
    <w:p w:rsidR="00E46818" w:rsidRPr="00BE1CFE" w:rsidRDefault="00E46818" w:rsidP="00604C3D">
      <w:pPr>
        <w:spacing w:line="269" w:lineRule="auto"/>
        <w:ind w:left="424"/>
        <w:rPr>
          <w:rFonts w:eastAsia="Calibri"/>
          <w:b/>
          <w:bCs/>
          <w:rtl/>
        </w:rPr>
      </w:pPr>
      <w:r w:rsidRPr="00BE1CFE">
        <w:rPr>
          <w:rFonts w:eastAsia="Calibri" w:hint="cs"/>
          <w:b/>
          <w:bCs/>
          <w:rtl/>
        </w:rPr>
        <w:t xml:space="preserve">נמצא כי אף שבחוק נתוני תקשורת נקבע כי ההיתר המינהלי יינתן, "ככל הניתן בכתב", הרי שבפועל האישורים למתן היתר מינהלי ניתנים מראש על ידי הקצינים המוסמכים רק בעל פה, וכלל הבקשות וההיתרים מתועדים על ידי הקצינים המוסמכים רק בדיעבד באמצעות טופס ייעודי. דפוס תפקודי זה אינו מתיישב עם הוראות החוק, ואף לא עם העובדה שמדובר באישור מהותי ורגיש, המחייב הפעלת שיקול דעת מעין-שיפוטי. </w:t>
      </w:r>
      <w:bookmarkStart w:id="609" w:name="_Hlk185409727"/>
      <w:r w:rsidRPr="00BE1CFE">
        <w:rPr>
          <w:rFonts w:eastAsia="Calibri" w:hint="cs"/>
          <w:b/>
          <w:bCs/>
          <w:rtl/>
        </w:rPr>
        <w:t>על הקצינים המוסמכים להקפיד על מתן ההיתר המינהלי מראש בכתב, ככל שהדבר ניתן בנסיבות המבצעיות.</w:t>
      </w:r>
    </w:p>
    <w:bookmarkEnd w:id="609"/>
    <w:p w:rsidR="00B47E58" w:rsidRDefault="00B47E58" w:rsidP="00604C3D">
      <w:pPr>
        <w:spacing w:line="269" w:lineRule="auto"/>
        <w:ind w:left="424"/>
        <w:rPr>
          <w:rFonts w:eastAsia="Calibri"/>
          <w:sz w:val="16"/>
          <w:szCs w:val="16"/>
          <w:rtl/>
        </w:rPr>
      </w:pPr>
    </w:p>
    <w:p w:rsidR="00E46818" w:rsidRPr="00BE1CFE" w:rsidRDefault="00E46818" w:rsidP="00604C3D">
      <w:pPr>
        <w:spacing w:line="269" w:lineRule="auto"/>
        <w:ind w:left="424"/>
        <w:rPr>
          <w:rFonts w:eastAsia="Calibri"/>
          <w:rtl/>
        </w:rPr>
      </w:pPr>
      <w:r w:rsidRPr="00BE1CFE">
        <w:rPr>
          <w:rFonts w:eastAsia="Calibri" w:hint="cs"/>
          <w:rtl/>
        </w:rPr>
        <w:t>המשטרה מסרה בתשובתה כי היא</w:t>
      </w:r>
      <w:r w:rsidRPr="00BE1CFE">
        <w:rPr>
          <w:rFonts w:eastAsia="Calibri"/>
          <w:rtl/>
        </w:rPr>
        <w:t xml:space="preserve"> רואה חשיבות רבה בתיעוד כל פעולותיה המתבצעות בנוגע לאירועים הנפתחים במסגרת היתר מ</w:t>
      </w:r>
      <w:r w:rsidRPr="00BE1CFE">
        <w:rPr>
          <w:rFonts w:eastAsia="Calibri" w:hint="cs"/>
          <w:rtl/>
        </w:rPr>
        <w:t>י</w:t>
      </w:r>
      <w:r w:rsidRPr="00BE1CFE">
        <w:rPr>
          <w:rFonts w:eastAsia="Calibri"/>
          <w:rtl/>
        </w:rPr>
        <w:t xml:space="preserve">נהלי לנתוני תקשורת. לצורך כך </w:t>
      </w:r>
      <w:r w:rsidRPr="00BE1CFE">
        <w:rPr>
          <w:rFonts w:eastAsia="Calibri" w:hint="cs"/>
          <w:rtl/>
        </w:rPr>
        <w:t xml:space="preserve">היא פיתחה </w:t>
      </w:r>
      <w:r w:rsidRPr="00BE1CFE">
        <w:rPr>
          <w:rFonts w:eastAsia="Calibri"/>
          <w:rtl/>
        </w:rPr>
        <w:t xml:space="preserve">מערכת </w:t>
      </w:r>
      <w:r w:rsidRPr="00BE1CFE">
        <w:rPr>
          <w:rFonts w:eastAsia="Calibri" w:hint="cs"/>
          <w:rtl/>
        </w:rPr>
        <w:t xml:space="preserve">לניהול צווים </w:t>
      </w:r>
      <w:r w:rsidRPr="00BE1CFE">
        <w:rPr>
          <w:rFonts w:eastAsia="Calibri"/>
          <w:rtl/>
        </w:rPr>
        <w:t xml:space="preserve">המאפשרת תיעוד בזמן אמת </w:t>
      </w:r>
      <w:r w:rsidRPr="00BE1CFE">
        <w:rPr>
          <w:rFonts w:eastAsia="Calibri" w:hint="cs"/>
          <w:rtl/>
        </w:rPr>
        <w:t xml:space="preserve">של </w:t>
      </w:r>
      <w:r w:rsidRPr="00BE1CFE">
        <w:rPr>
          <w:rFonts w:eastAsia="Calibri"/>
          <w:rtl/>
        </w:rPr>
        <w:t>פרטי האירוע בעת קבלת אישור הקצין המוסמך באופן רחב יותר עוד מדרישות החוק.</w:t>
      </w:r>
      <w:r w:rsidRPr="00BE1CFE">
        <w:rPr>
          <w:rFonts w:eastAsia="Calibri" w:hint="cs"/>
          <w:rtl/>
        </w:rPr>
        <w:t xml:space="preserve"> אירועי החירום שבהם נדרש הקצין המוסמך לקבל החלטות מתבצעים על פי רוב בתנאי לחץ או בשטח. על כן לעמדתה </w:t>
      </w:r>
      <w:r w:rsidRPr="00BE1CFE">
        <w:rPr>
          <w:rFonts w:eastAsia="Calibri"/>
          <w:rtl/>
        </w:rPr>
        <w:t xml:space="preserve">לא בכדי </w:t>
      </w:r>
      <w:r w:rsidRPr="00BE1CFE">
        <w:rPr>
          <w:rFonts w:eastAsia="Calibri" w:hint="cs"/>
          <w:rtl/>
        </w:rPr>
        <w:t xml:space="preserve">איפשר </w:t>
      </w:r>
      <w:r w:rsidRPr="00BE1CFE">
        <w:rPr>
          <w:rFonts w:eastAsia="Calibri"/>
          <w:rtl/>
        </w:rPr>
        <w:t>המחוקק מתן היתר שלא בכתב</w:t>
      </w:r>
      <w:r w:rsidRPr="00BE1CFE">
        <w:rPr>
          <w:rFonts w:eastAsia="Calibri" w:hint="cs"/>
          <w:rtl/>
        </w:rPr>
        <w:t>,</w:t>
      </w:r>
      <w:r w:rsidRPr="00BE1CFE">
        <w:rPr>
          <w:rFonts w:eastAsia="Calibri"/>
          <w:rtl/>
        </w:rPr>
        <w:t xml:space="preserve"> ולכן ה</w:t>
      </w:r>
      <w:r w:rsidRPr="00BE1CFE">
        <w:rPr>
          <w:rFonts w:eastAsia="Calibri" w:hint="cs"/>
          <w:rtl/>
        </w:rPr>
        <w:t>יא</w:t>
      </w:r>
      <w:r w:rsidRPr="00BE1CFE">
        <w:rPr>
          <w:rFonts w:eastAsia="Calibri"/>
          <w:rtl/>
        </w:rPr>
        <w:t xml:space="preserve"> מתנגדת להמלצת </w:t>
      </w:r>
      <w:r w:rsidRPr="00BE1CFE">
        <w:rPr>
          <w:rFonts w:eastAsia="Calibri" w:hint="cs"/>
          <w:rtl/>
        </w:rPr>
        <w:t>משרד מבקר המדינה</w:t>
      </w:r>
      <w:r w:rsidRPr="00BE1CFE">
        <w:rPr>
          <w:rFonts w:eastAsia="Calibri"/>
          <w:rtl/>
        </w:rPr>
        <w:t xml:space="preserve"> להקפיד על מתן ההיתר המ</w:t>
      </w:r>
      <w:r w:rsidRPr="00BE1CFE">
        <w:rPr>
          <w:rFonts w:eastAsia="Calibri" w:hint="cs"/>
          <w:rtl/>
        </w:rPr>
        <w:t>י</w:t>
      </w:r>
      <w:r w:rsidRPr="00BE1CFE">
        <w:rPr>
          <w:rFonts w:eastAsia="Calibri"/>
          <w:rtl/>
        </w:rPr>
        <w:t>נהלי מראש בכתב</w:t>
      </w:r>
      <w:r w:rsidRPr="00BE1CFE">
        <w:rPr>
          <w:rFonts w:eastAsia="Calibri" w:hint="cs"/>
          <w:rtl/>
        </w:rPr>
        <w:t>.</w:t>
      </w:r>
    </w:p>
    <w:p w:rsidR="00B47E58" w:rsidRDefault="00B47E58" w:rsidP="00604C3D">
      <w:pPr>
        <w:spacing w:line="269" w:lineRule="auto"/>
        <w:ind w:left="424"/>
        <w:rPr>
          <w:rFonts w:eastAsia="Calibri"/>
          <w:szCs w:val="20"/>
          <w:rtl/>
        </w:rPr>
      </w:pPr>
    </w:p>
    <w:p w:rsidR="00E46818" w:rsidRPr="00BE1CFE" w:rsidRDefault="00E46818" w:rsidP="00604C3D">
      <w:pPr>
        <w:spacing w:line="269" w:lineRule="auto"/>
        <w:ind w:left="424"/>
        <w:rPr>
          <w:rFonts w:eastAsia="Calibri"/>
          <w:b/>
          <w:bCs/>
          <w:rtl/>
        </w:rPr>
      </w:pPr>
      <w:r w:rsidRPr="00BE1CFE">
        <w:rPr>
          <w:rFonts w:eastAsia="Calibri" w:hint="cs"/>
          <w:b/>
          <w:bCs/>
          <w:rtl/>
        </w:rPr>
        <w:t>אומנם תיעוד פרטי האירוע וקבלת אישור הקצין המוסמך נעשים בזמן אמת על ידי המשל"ט. עם זאת, הפרקטיקה של מתן אישור להיתר מינהלי בעל פה</w:t>
      </w:r>
      <w:r>
        <w:rPr>
          <w:rFonts w:eastAsia="Calibri" w:hint="cs"/>
          <w:b/>
          <w:bCs/>
          <w:rtl/>
        </w:rPr>
        <w:t xml:space="preserve"> ולא בכתב</w:t>
      </w:r>
      <w:r w:rsidRPr="00BE1CFE">
        <w:rPr>
          <w:rFonts w:eastAsia="Calibri" w:hint="cs"/>
          <w:b/>
          <w:bCs/>
          <w:rtl/>
        </w:rPr>
        <w:t>, מקשה להתחקות אחר</w:t>
      </w:r>
      <w:r w:rsidRPr="00BE1CFE">
        <w:rPr>
          <w:rFonts w:eastAsia="Calibri"/>
          <w:b/>
          <w:bCs/>
          <w:rtl/>
        </w:rPr>
        <w:t xml:space="preserve"> </w:t>
      </w:r>
      <w:r w:rsidRPr="00BE1CFE">
        <w:rPr>
          <w:rFonts w:eastAsia="Calibri" w:hint="cs"/>
          <w:b/>
          <w:bCs/>
          <w:rtl/>
        </w:rPr>
        <w:t xml:space="preserve">שיקול הדעת שהפעיל הקצין המוסמך בעת מתן ההיתר המינהלי. בהיעדר תיעוד בכתב של תהליך קבלת ההחלטות בנושא נבצר מהמשטרה גם לקבל מידע על היקף הבקשות שהיחידות מפנות לקצינים מוסמכים ועל מספר הסירובים של הקצינים המוסמכים לבקשותיהן. </w:t>
      </w:r>
    </w:p>
    <w:p w:rsidR="00B47E58" w:rsidRDefault="00B47E58" w:rsidP="00604C3D">
      <w:pPr>
        <w:spacing w:line="269" w:lineRule="auto"/>
        <w:ind w:left="424"/>
        <w:rPr>
          <w:rFonts w:eastAsia="Calibri"/>
          <w:sz w:val="16"/>
          <w:szCs w:val="16"/>
          <w:rtl/>
        </w:rPr>
      </w:pPr>
    </w:p>
    <w:p w:rsidR="00E46818" w:rsidRPr="00BE1CFE" w:rsidRDefault="00E46818" w:rsidP="00604C3D">
      <w:pPr>
        <w:spacing w:line="269" w:lineRule="auto"/>
        <w:ind w:left="424"/>
        <w:rPr>
          <w:rFonts w:eastAsia="Calibri"/>
          <w:rtl/>
        </w:rPr>
      </w:pPr>
      <w:r w:rsidRPr="00BE1CFE">
        <w:rPr>
          <w:rFonts w:eastAsia="Calibri" w:hint="cs"/>
          <w:rtl/>
        </w:rPr>
        <w:t xml:space="preserve">המשטרה בתשובתה ציינה כי </w:t>
      </w:r>
      <w:r w:rsidRPr="00BE1CFE">
        <w:rPr>
          <w:rFonts w:eastAsia="Calibri" w:hint="eastAsia"/>
          <w:rtl/>
        </w:rPr>
        <w:t>החוק</w:t>
      </w:r>
      <w:r w:rsidRPr="00BE1CFE">
        <w:rPr>
          <w:rFonts w:eastAsia="Calibri"/>
          <w:rtl/>
        </w:rPr>
        <w:t xml:space="preserve"> </w:t>
      </w:r>
      <w:r w:rsidRPr="00BE1CFE">
        <w:rPr>
          <w:rFonts w:eastAsia="Calibri" w:hint="eastAsia"/>
          <w:rtl/>
        </w:rPr>
        <w:t>בנוסחו</w:t>
      </w:r>
      <w:r w:rsidRPr="00BE1CFE">
        <w:rPr>
          <w:rFonts w:eastAsia="Calibri"/>
          <w:rtl/>
        </w:rPr>
        <w:t xml:space="preserve"> </w:t>
      </w:r>
      <w:r w:rsidRPr="00BE1CFE">
        <w:rPr>
          <w:rFonts w:eastAsia="Calibri" w:hint="eastAsia"/>
          <w:rtl/>
        </w:rPr>
        <w:t>הקיים</w:t>
      </w:r>
      <w:r w:rsidRPr="00BE1CFE">
        <w:rPr>
          <w:rFonts w:eastAsia="Calibri"/>
          <w:rtl/>
        </w:rPr>
        <w:t xml:space="preserve"> </w:t>
      </w:r>
      <w:r w:rsidRPr="00BE1CFE">
        <w:rPr>
          <w:rFonts w:eastAsia="Calibri" w:hint="eastAsia"/>
          <w:rtl/>
        </w:rPr>
        <w:t>אינו</w:t>
      </w:r>
      <w:r w:rsidRPr="00BE1CFE">
        <w:rPr>
          <w:rFonts w:eastAsia="Calibri"/>
          <w:rtl/>
        </w:rPr>
        <w:t xml:space="preserve"> </w:t>
      </w:r>
      <w:r w:rsidRPr="00BE1CFE">
        <w:rPr>
          <w:rFonts w:eastAsia="Calibri" w:hint="eastAsia"/>
          <w:rtl/>
        </w:rPr>
        <w:t>מחייב</w:t>
      </w:r>
      <w:r w:rsidRPr="00BE1CFE">
        <w:rPr>
          <w:rFonts w:eastAsia="Calibri"/>
          <w:rtl/>
        </w:rPr>
        <w:t xml:space="preserve"> </w:t>
      </w:r>
      <w:r w:rsidRPr="00BE1CFE">
        <w:rPr>
          <w:rFonts w:eastAsia="Calibri" w:hint="eastAsia"/>
          <w:rtl/>
        </w:rPr>
        <w:t>א</w:t>
      </w:r>
      <w:r w:rsidRPr="00BE1CFE">
        <w:rPr>
          <w:rFonts w:eastAsia="Calibri" w:hint="cs"/>
          <w:rtl/>
        </w:rPr>
        <w:t>ו</w:t>
      </w:r>
      <w:r w:rsidRPr="00BE1CFE">
        <w:rPr>
          <w:rFonts w:eastAsia="Calibri" w:hint="eastAsia"/>
          <w:rtl/>
        </w:rPr>
        <w:t>ת</w:t>
      </w:r>
      <w:r w:rsidRPr="00BE1CFE">
        <w:rPr>
          <w:rFonts w:eastAsia="Calibri" w:hint="cs"/>
          <w:rtl/>
        </w:rPr>
        <w:t>ה</w:t>
      </w:r>
      <w:r w:rsidRPr="00BE1CFE">
        <w:rPr>
          <w:rFonts w:eastAsia="Calibri"/>
          <w:rtl/>
        </w:rPr>
        <w:t xml:space="preserve"> </w:t>
      </w:r>
      <w:r w:rsidRPr="00BE1CFE">
        <w:rPr>
          <w:rFonts w:eastAsia="Calibri" w:hint="cs"/>
          <w:rtl/>
        </w:rPr>
        <w:t>ל</w:t>
      </w:r>
      <w:r w:rsidRPr="00BE1CFE">
        <w:rPr>
          <w:rFonts w:eastAsia="Calibri" w:hint="eastAsia"/>
          <w:rtl/>
        </w:rPr>
        <w:t>תעד</w:t>
      </w:r>
      <w:r w:rsidRPr="00BE1CFE">
        <w:rPr>
          <w:rFonts w:eastAsia="Calibri"/>
          <w:rtl/>
        </w:rPr>
        <w:t xml:space="preserve"> </w:t>
      </w:r>
      <w:r w:rsidRPr="00BE1CFE">
        <w:rPr>
          <w:rFonts w:eastAsia="Calibri" w:hint="cs"/>
          <w:rtl/>
        </w:rPr>
        <w:t xml:space="preserve">את </w:t>
      </w:r>
      <w:r w:rsidRPr="00BE1CFE">
        <w:rPr>
          <w:rFonts w:eastAsia="Calibri" w:hint="eastAsia"/>
          <w:rtl/>
        </w:rPr>
        <w:t>הסירובים</w:t>
      </w:r>
      <w:r w:rsidRPr="00BE1CFE">
        <w:rPr>
          <w:rFonts w:eastAsia="Calibri"/>
          <w:rtl/>
        </w:rPr>
        <w:t xml:space="preserve"> </w:t>
      </w:r>
      <w:r w:rsidRPr="00BE1CFE">
        <w:rPr>
          <w:rFonts w:eastAsia="Calibri" w:hint="eastAsia"/>
          <w:rtl/>
        </w:rPr>
        <w:t>של</w:t>
      </w:r>
      <w:r w:rsidRPr="00BE1CFE">
        <w:rPr>
          <w:rFonts w:eastAsia="Calibri"/>
          <w:rtl/>
        </w:rPr>
        <w:t xml:space="preserve"> </w:t>
      </w:r>
      <w:r w:rsidRPr="00BE1CFE">
        <w:rPr>
          <w:rFonts w:eastAsia="Calibri" w:hint="eastAsia"/>
          <w:rtl/>
        </w:rPr>
        <w:t>הקצי</w:t>
      </w:r>
      <w:r w:rsidRPr="00BE1CFE">
        <w:rPr>
          <w:rFonts w:eastAsia="Calibri" w:hint="cs"/>
          <w:rtl/>
        </w:rPr>
        <w:t xml:space="preserve">נים </w:t>
      </w:r>
      <w:r w:rsidRPr="00BE1CFE">
        <w:rPr>
          <w:rFonts w:eastAsia="Calibri" w:hint="eastAsia"/>
          <w:rtl/>
        </w:rPr>
        <w:t>המוסמ</w:t>
      </w:r>
      <w:r w:rsidRPr="00BE1CFE">
        <w:rPr>
          <w:rFonts w:eastAsia="Calibri" w:hint="cs"/>
          <w:rtl/>
        </w:rPr>
        <w:t>כים</w:t>
      </w:r>
      <w:r w:rsidRPr="00BE1CFE">
        <w:rPr>
          <w:rFonts w:eastAsia="Calibri"/>
          <w:rtl/>
        </w:rPr>
        <w:t xml:space="preserve">. </w:t>
      </w:r>
      <w:r w:rsidRPr="00BE1CFE">
        <w:rPr>
          <w:rFonts w:eastAsia="Calibri" w:hint="eastAsia"/>
          <w:rtl/>
        </w:rPr>
        <w:t>עם</w:t>
      </w:r>
      <w:r w:rsidRPr="00BE1CFE">
        <w:rPr>
          <w:rFonts w:eastAsia="Calibri"/>
          <w:rtl/>
        </w:rPr>
        <w:t xml:space="preserve"> </w:t>
      </w:r>
      <w:r w:rsidRPr="00BE1CFE">
        <w:rPr>
          <w:rFonts w:eastAsia="Calibri" w:hint="eastAsia"/>
          <w:rtl/>
        </w:rPr>
        <w:t>זאת</w:t>
      </w:r>
      <w:r w:rsidRPr="00BE1CFE">
        <w:rPr>
          <w:rFonts w:eastAsia="Calibri"/>
          <w:rtl/>
        </w:rPr>
        <w:t xml:space="preserve">, </w:t>
      </w:r>
      <w:r w:rsidRPr="00BE1CFE">
        <w:rPr>
          <w:rFonts w:eastAsia="Calibri" w:hint="eastAsia"/>
          <w:rtl/>
        </w:rPr>
        <w:t>ה</w:t>
      </w:r>
      <w:r w:rsidRPr="00BE1CFE">
        <w:rPr>
          <w:rFonts w:eastAsia="Calibri" w:hint="cs"/>
          <w:rtl/>
        </w:rPr>
        <w:t xml:space="preserve">יא </w:t>
      </w:r>
      <w:r w:rsidRPr="00BE1CFE">
        <w:rPr>
          <w:rFonts w:eastAsia="Calibri" w:hint="eastAsia"/>
          <w:rtl/>
        </w:rPr>
        <w:t>תשקול</w:t>
      </w:r>
      <w:r w:rsidRPr="00BE1CFE">
        <w:rPr>
          <w:rFonts w:eastAsia="Calibri"/>
          <w:rtl/>
        </w:rPr>
        <w:t xml:space="preserve"> </w:t>
      </w:r>
      <w:r w:rsidRPr="00BE1CFE">
        <w:rPr>
          <w:rFonts w:eastAsia="Calibri" w:hint="eastAsia"/>
          <w:rtl/>
        </w:rPr>
        <w:t>את</w:t>
      </w:r>
      <w:r w:rsidRPr="00BE1CFE">
        <w:rPr>
          <w:rFonts w:eastAsia="Calibri"/>
          <w:rtl/>
        </w:rPr>
        <w:t xml:space="preserve"> </w:t>
      </w:r>
      <w:r w:rsidRPr="00BE1CFE">
        <w:rPr>
          <w:rFonts w:eastAsia="Calibri" w:hint="eastAsia"/>
          <w:rtl/>
        </w:rPr>
        <w:t>עמדתה</w:t>
      </w:r>
      <w:r w:rsidRPr="00BE1CFE">
        <w:rPr>
          <w:rFonts w:eastAsia="Calibri"/>
          <w:rtl/>
        </w:rPr>
        <w:t xml:space="preserve"> </w:t>
      </w:r>
      <w:r w:rsidRPr="00BE1CFE">
        <w:rPr>
          <w:rFonts w:eastAsia="Calibri" w:hint="eastAsia"/>
          <w:rtl/>
        </w:rPr>
        <w:t>בעניין</w:t>
      </w:r>
      <w:r w:rsidRPr="00BE1CFE">
        <w:rPr>
          <w:rFonts w:eastAsia="Calibri"/>
          <w:rtl/>
        </w:rPr>
        <w:t xml:space="preserve"> </w:t>
      </w:r>
      <w:r w:rsidRPr="00BE1CFE">
        <w:rPr>
          <w:rFonts w:eastAsia="Calibri" w:hint="eastAsia"/>
          <w:rtl/>
        </w:rPr>
        <w:t>זה</w:t>
      </w:r>
      <w:r w:rsidRPr="00BE1CFE">
        <w:rPr>
          <w:rFonts w:eastAsia="Calibri" w:hint="cs"/>
          <w:rtl/>
        </w:rPr>
        <w:t>.</w:t>
      </w:r>
    </w:p>
    <w:p w:rsidR="00B47E58" w:rsidRDefault="00B47E58" w:rsidP="00604C3D">
      <w:pPr>
        <w:spacing w:line="269" w:lineRule="auto"/>
        <w:ind w:left="424"/>
        <w:rPr>
          <w:rFonts w:eastAsia="Calibri"/>
          <w:szCs w:val="20"/>
          <w:rtl/>
        </w:rPr>
      </w:pPr>
    </w:p>
    <w:p w:rsidR="00E46818" w:rsidRPr="00BE1CFE" w:rsidRDefault="00E46818" w:rsidP="00604C3D">
      <w:pPr>
        <w:spacing w:line="269" w:lineRule="auto"/>
        <w:ind w:left="424"/>
        <w:rPr>
          <w:rFonts w:eastAsia="Calibri"/>
          <w:rtl/>
        </w:rPr>
      </w:pPr>
      <w:r w:rsidRPr="00CA39E6">
        <w:rPr>
          <w:rFonts w:eastAsia="Calibri"/>
          <w:rtl/>
        </w:rPr>
        <w:t>במסגרת הצעת ייעול</w:t>
      </w:r>
      <w:r w:rsidRPr="00BE1CFE">
        <w:rPr>
          <w:rFonts w:eastAsia="Calibri"/>
          <w:rtl/>
        </w:rPr>
        <w:t xml:space="preserve"> שנשלחה </w:t>
      </w:r>
      <w:r w:rsidRPr="00BE1CFE">
        <w:rPr>
          <w:rFonts w:eastAsia="Calibri" w:hint="cs"/>
          <w:rtl/>
        </w:rPr>
        <w:t xml:space="preserve">למטה חטיבת הסייבר </w:t>
      </w:r>
      <w:r w:rsidRPr="00BE1CFE">
        <w:rPr>
          <w:rFonts w:eastAsia="Calibri"/>
          <w:rtl/>
        </w:rPr>
        <w:t xml:space="preserve">באוקטובר 2021 </w:t>
      </w:r>
      <w:r>
        <w:rPr>
          <w:rFonts w:eastAsia="Calibri" w:hint="cs"/>
          <w:rtl/>
        </w:rPr>
        <w:t>בנושא החלפת</w:t>
      </w:r>
      <w:r w:rsidRPr="00BE1CFE">
        <w:rPr>
          <w:rFonts w:eastAsia="Calibri" w:hint="cs"/>
          <w:rtl/>
        </w:rPr>
        <w:t xml:space="preserve"> הליך האישור הידני המתבצע כיום בהליך ממוחשב </w:t>
      </w:r>
      <w:r w:rsidRPr="00BE1CFE">
        <w:rPr>
          <w:rFonts w:eastAsia="Calibri"/>
          <w:rtl/>
        </w:rPr>
        <w:t xml:space="preserve">נכתב </w:t>
      </w:r>
      <w:r w:rsidRPr="00BE1CFE">
        <w:rPr>
          <w:rFonts w:eastAsia="Calibri" w:hint="cs"/>
          <w:rtl/>
        </w:rPr>
        <w:t>בנוגע</w:t>
      </w:r>
      <w:r w:rsidRPr="00BE1CFE">
        <w:rPr>
          <w:rFonts w:eastAsia="Calibri"/>
          <w:rtl/>
        </w:rPr>
        <w:t xml:space="preserve"> לטופס</w:t>
      </w:r>
      <w:r>
        <w:rPr>
          <w:rFonts w:eastAsia="Calibri" w:hint="cs"/>
          <w:rtl/>
        </w:rPr>
        <w:t xml:space="preserve"> הייעודי</w:t>
      </w:r>
      <w:r w:rsidRPr="00BE1CFE">
        <w:rPr>
          <w:rFonts w:eastAsia="Calibri"/>
          <w:rtl/>
        </w:rPr>
        <w:t xml:space="preserve"> </w:t>
      </w:r>
      <w:r w:rsidRPr="00BE1CFE">
        <w:rPr>
          <w:rFonts w:eastAsia="Calibri" w:hint="cs"/>
          <w:rtl/>
        </w:rPr>
        <w:t xml:space="preserve">הממולא בדיעבד </w:t>
      </w:r>
      <w:r w:rsidRPr="00BE1CFE">
        <w:rPr>
          <w:rFonts w:eastAsia="Calibri"/>
          <w:rtl/>
        </w:rPr>
        <w:t>כי קצינים רבים שוכחים למלא את הטופס</w:t>
      </w:r>
      <w:r w:rsidRPr="00BE1CFE">
        <w:rPr>
          <w:rFonts w:eastAsia="Calibri" w:hint="cs"/>
          <w:rtl/>
        </w:rPr>
        <w:t>,</w:t>
      </w:r>
      <w:r w:rsidRPr="00BE1CFE">
        <w:rPr>
          <w:rFonts w:eastAsia="Calibri"/>
          <w:rtl/>
        </w:rPr>
        <w:t xml:space="preserve"> </w:t>
      </w:r>
      <w:r w:rsidRPr="00BE1CFE">
        <w:rPr>
          <w:rFonts w:eastAsia="Calibri" w:hint="cs"/>
          <w:rtl/>
        </w:rPr>
        <w:t>ויש צורך</w:t>
      </w:r>
      <w:r w:rsidRPr="00BE1CFE">
        <w:rPr>
          <w:rFonts w:eastAsia="Calibri"/>
          <w:rtl/>
        </w:rPr>
        <w:t xml:space="preserve"> </w:t>
      </w:r>
      <w:r w:rsidRPr="00BE1CFE">
        <w:rPr>
          <w:rFonts w:eastAsia="Calibri" w:hint="cs"/>
          <w:rtl/>
        </w:rPr>
        <w:t>למסור להם תזכורות רבות בעניין;</w:t>
      </w:r>
      <w:r w:rsidRPr="00BE1CFE">
        <w:rPr>
          <w:rFonts w:eastAsia="Calibri"/>
          <w:rtl/>
        </w:rPr>
        <w:t xml:space="preserve"> קצינים רבים ממלאים את הטופס באופן שגוי</w:t>
      </w:r>
      <w:r w:rsidRPr="00BE1CFE">
        <w:rPr>
          <w:rFonts w:eastAsia="Calibri" w:hint="cs"/>
          <w:rtl/>
        </w:rPr>
        <w:t>;</w:t>
      </w:r>
      <w:r w:rsidRPr="00BE1CFE">
        <w:rPr>
          <w:rFonts w:eastAsia="Calibri"/>
          <w:rtl/>
        </w:rPr>
        <w:t xml:space="preserve"> </w:t>
      </w:r>
      <w:r w:rsidRPr="00BE1CFE">
        <w:rPr>
          <w:rFonts w:eastAsia="Calibri" w:hint="cs"/>
          <w:rtl/>
        </w:rPr>
        <w:t>ומצטברים</w:t>
      </w:r>
      <w:r w:rsidRPr="00BE1CFE">
        <w:rPr>
          <w:rFonts w:eastAsia="Calibri"/>
          <w:rtl/>
        </w:rPr>
        <w:t xml:space="preserve"> טפסים וקלסרים רבים.</w:t>
      </w:r>
      <w:r w:rsidRPr="00BE1CFE">
        <w:rPr>
          <w:rFonts w:eastAsia="Calibri" w:hint="cs"/>
          <w:rtl/>
        </w:rPr>
        <w:t xml:space="preserve"> במענה של חטיבת הסייבר מנובמבר 2021 על הצעת הייעול האמורה נאמר כי "מתוכנן </w:t>
      </w:r>
      <w:r w:rsidRPr="00BE1CFE">
        <w:rPr>
          <w:rFonts w:eastAsia="Calibri"/>
          <w:rtl/>
        </w:rPr>
        <w:t xml:space="preserve">פיתוח עתידי שיאפשר סגירת מעגל מתודולוגית וטכנולוגית של תהליך ההיתר ואישורו. בהתאם לפיתוח המתוכנן, הבקשה להיתר המנהלי תיפתח במערכת </w:t>
      </w:r>
      <w:r w:rsidRPr="00BE1CFE">
        <w:rPr>
          <w:rFonts w:eastAsia="Calibri" w:hint="cs"/>
          <w:rtl/>
        </w:rPr>
        <w:t>ממוחשבת</w:t>
      </w:r>
      <w:r w:rsidRPr="00BE1CFE">
        <w:rPr>
          <w:rFonts w:eastAsia="Calibri"/>
          <w:rtl/>
        </w:rPr>
        <w:t xml:space="preserve"> ע</w:t>
      </w:r>
      <w:r w:rsidRPr="00BE1CFE">
        <w:rPr>
          <w:rFonts w:eastAsia="Calibri" w:hint="cs"/>
          <w:rtl/>
        </w:rPr>
        <w:t>ל ידי</w:t>
      </w:r>
      <w:r w:rsidRPr="00BE1CFE">
        <w:rPr>
          <w:rFonts w:eastAsia="Calibri"/>
          <w:rtl/>
        </w:rPr>
        <w:t xml:space="preserve"> החוקר או תפקידן המשל"ט, ותישלח ישירות לשולחן העבודה של הקצין המוסמך</w:t>
      </w:r>
      <w:r w:rsidRPr="00BE1CFE">
        <w:rPr>
          <w:rFonts w:eastAsia="Calibri" w:hint="cs"/>
          <w:rtl/>
        </w:rPr>
        <w:t xml:space="preserve"> וכן לאפליקציה מאובטחת... האישור יתועד במערכת ניהול ההיתרים ויישלח במקביל לנצ"מ המחוזי המאשר".</w:t>
      </w:r>
    </w:p>
    <w:p w:rsidR="00B47E58" w:rsidRDefault="00B47E58" w:rsidP="00604C3D">
      <w:pPr>
        <w:spacing w:line="269" w:lineRule="auto"/>
        <w:ind w:left="424"/>
        <w:rPr>
          <w:rFonts w:eastAsia="Calibri"/>
          <w:szCs w:val="20"/>
          <w:rtl/>
        </w:rPr>
      </w:pPr>
      <w:bookmarkStart w:id="610" w:name="_Hlk156725297"/>
    </w:p>
    <w:p w:rsidR="00E46818" w:rsidRPr="00BE1CFE" w:rsidRDefault="00E46818" w:rsidP="00604C3D">
      <w:pPr>
        <w:spacing w:line="269" w:lineRule="auto"/>
        <w:ind w:left="424"/>
        <w:rPr>
          <w:rFonts w:eastAsia="Calibri"/>
          <w:b/>
          <w:bCs/>
          <w:rtl/>
        </w:rPr>
      </w:pPr>
      <w:r w:rsidRPr="00BE1CFE">
        <w:rPr>
          <w:rFonts w:eastAsia="Calibri" w:hint="cs"/>
          <w:b/>
          <w:bCs/>
          <w:rtl/>
        </w:rPr>
        <w:t>במועד סיום הביקורת לא החל הפיתוח הטכנולוגי שיאפשר ליחידה או למשל"ט להעביר את הבקשה בזמן אמת לקצין המוסמך בממשק דיגיטלי ויאפשר לקצין המוסמך לרשום במערכת ממוחשבת את החלטתו, לרבות את נימוקיו להחלטה</w:t>
      </w:r>
      <w:bookmarkEnd w:id="610"/>
      <w:r w:rsidRPr="00BE1CFE">
        <w:rPr>
          <w:rFonts w:eastAsia="Calibri" w:hint="cs"/>
          <w:b/>
          <w:bCs/>
          <w:rtl/>
        </w:rPr>
        <w:t xml:space="preserve">. </w:t>
      </w:r>
    </w:p>
    <w:p w:rsidR="00B47E58" w:rsidRDefault="00B47E58" w:rsidP="00604C3D">
      <w:pPr>
        <w:spacing w:line="269" w:lineRule="auto"/>
        <w:ind w:left="424"/>
        <w:rPr>
          <w:rFonts w:eastAsia="Calibri"/>
          <w:szCs w:val="20"/>
          <w:rtl/>
        </w:rPr>
      </w:pPr>
    </w:p>
    <w:p w:rsidR="00E46818" w:rsidRPr="00BE1CFE" w:rsidRDefault="00E46818" w:rsidP="00604C3D">
      <w:pPr>
        <w:spacing w:line="269" w:lineRule="auto"/>
        <w:ind w:left="424"/>
        <w:rPr>
          <w:rFonts w:eastAsia="Calibri"/>
          <w:b/>
          <w:bCs/>
          <w:rtl/>
        </w:rPr>
      </w:pPr>
      <w:r w:rsidRPr="00BE1CFE">
        <w:rPr>
          <w:rFonts w:eastAsia="Calibri" w:hint="cs"/>
          <w:b/>
          <w:bCs/>
          <w:rtl/>
        </w:rPr>
        <w:t xml:space="preserve">כדי להקל על הקצינים המוסמכים לאשר את ההיתר בכתב מוצע למשטרה לאמץ מתכונת פעולה דיגיטלית שבמסגרתה כלל השלבים בהליך מתן ההיתר המינהלי יתועדו בזמן אמת במערכת ממוחשבת ולא באמצעות טופס פיזי. באופן זה תיעוד הליכי אישור ההיתר המינהלי וכן העברתו לנצ"ם שראש אח"ם הסמיך לעניין זה יהיו מהירים יותר וסמוכים למועד מתן ההיתר כנדרש בחוק. </w:t>
      </w:r>
    </w:p>
    <w:p w:rsidR="00B47E58" w:rsidRDefault="00B47E58" w:rsidP="00604C3D">
      <w:pPr>
        <w:spacing w:line="269" w:lineRule="auto"/>
        <w:ind w:left="424"/>
        <w:rPr>
          <w:rFonts w:eastAsia="Calibri"/>
          <w:sz w:val="16"/>
          <w:szCs w:val="16"/>
          <w:rtl/>
        </w:rPr>
      </w:pPr>
    </w:p>
    <w:p w:rsidR="00E46818" w:rsidRDefault="00E46818" w:rsidP="00604C3D">
      <w:pPr>
        <w:spacing w:line="269" w:lineRule="auto"/>
        <w:ind w:left="424"/>
        <w:rPr>
          <w:rFonts w:eastAsia="Calibri"/>
          <w:rtl/>
        </w:rPr>
      </w:pPr>
      <w:r w:rsidRPr="00BE1CFE">
        <w:rPr>
          <w:rFonts w:eastAsia="Calibri" w:hint="cs"/>
          <w:rtl/>
        </w:rPr>
        <w:t>ה</w:t>
      </w:r>
      <w:r w:rsidRPr="00BE1CFE">
        <w:rPr>
          <w:rFonts w:eastAsia="Calibri" w:hint="eastAsia"/>
          <w:rtl/>
        </w:rPr>
        <w:t>משטר</w:t>
      </w:r>
      <w:r w:rsidRPr="00BE1CFE">
        <w:rPr>
          <w:rFonts w:eastAsia="Calibri" w:hint="cs"/>
          <w:rtl/>
        </w:rPr>
        <w:t>ה</w:t>
      </w:r>
      <w:r w:rsidRPr="00BE1CFE">
        <w:rPr>
          <w:rFonts w:eastAsia="Calibri"/>
          <w:rtl/>
        </w:rPr>
        <w:t xml:space="preserve"> </w:t>
      </w:r>
      <w:r w:rsidRPr="00BE1CFE">
        <w:rPr>
          <w:rFonts w:eastAsia="Calibri" w:hint="cs"/>
          <w:rtl/>
        </w:rPr>
        <w:t xml:space="preserve">מסרה בתשובתה כי לאורך השנים </w:t>
      </w:r>
      <w:r w:rsidRPr="00BE1CFE">
        <w:rPr>
          <w:rFonts w:eastAsia="Calibri" w:hint="eastAsia"/>
          <w:rtl/>
        </w:rPr>
        <w:t>ה</w:t>
      </w:r>
      <w:r w:rsidRPr="00BE1CFE">
        <w:rPr>
          <w:rFonts w:eastAsia="Calibri" w:hint="cs"/>
          <w:rtl/>
        </w:rPr>
        <w:t>יא ה</w:t>
      </w:r>
      <w:r w:rsidRPr="00BE1CFE">
        <w:rPr>
          <w:rFonts w:eastAsia="Calibri" w:hint="eastAsia"/>
          <w:rtl/>
        </w:rPr>
        <w:t>שקיעה</w:t>
      </w:r>
      <w:r w:rsidRPr="00BE1CFE">
        <w:rPr>
          <w:rFonts w:eastAsia="Calibri"/>
          <w:rtl/>
        </w:rPr>
        <w:t xml:space="preserve"> </w:t>
      </w:r>
      <w:r w:rsidRPr="00BE1CFE">
        <w:rPr>
          <w:rFonts w:eastAsia="Calibri" w:hint="eastAsia"/>
          <w:rtl/>
        </w:rPr>
        <w:t>רבות</w:t>
      </w:r>
      <w:r w:rsidRPr="00BE1CFE">
        <w:rPr>
          <w:rFonts w:eastAsia="Calibri"/>
          <w:rtl/>
        </w:rPr>
        <w:t xml:space="preserve"> </w:t>
      </w:r>
      <w:r w:rsidRPr="00BE1CFE">
        <w:rPr>
          <w:rFonts w:eastAsia="Calibri" w:hint="eastAsia"/>
          <w:rtl/>
        </w:rPr>
        <w:t>באפיון</w:t>
      </w:r>
      <w:r w:rsidRPr="00BE1CFE">
        <w:rPr>
          <w:rFonts w:eastAsia="Calibri"/>
          <w:rtl/>
        </w:rPr>
        <w:t xml:space="preserve"> </w:t>
      </w:r>
      <w:r w:rsidRPr="00BE1CFE">
        <w:rPr>
          <w:rFonts w:eastAsia="Calibri" w:hint="eastAsia"/>
          <w:rtl/>
        </w:rPr>
        <w:t>ו</w:t>
      </w:r>
      <w:r w:rsidRPr="00BE1CFE">
        <w:rPr>
          <w:rFonts w:eastAsia="Calibri" w:hint="cs"/>
          <w:rtl/>
        </w:rPr>
        <w:t>ב</w:t>
      </w:r>
      <w:r w:rsidRPr="00BE1CFE">
        <w:rPr>
          <w:rFonts w:eastAsia="Calibri" w:hint="eastAsia"/>
          <w:rtl/>
        </w:rPr>
        <w:t>פיתוח</w:t>
      </w:r>
      <w:r w:rsidRPr="00BE1CFE">
        <w:rPr>
          <w:rFonts w:eastAsia="Calibri"/>
          <w:rtl/>
        </w:rPr>
        <w:t xml:space="preserve"> </w:t>
      </w:r>
      <w:r w:rsidRPr="00BE1CFE">
        <w:rPr>
          <w:rFonts w:eastAsia="Calibri" w:hint="cs"/>
          <w:rtl/>
        </w:rPr>
        <w:t xml:space="preserve">של </w:t>
      </w:r>
      <w:r w:rsidRPr="00BE1CFE">
        <w:rPr>
          <w:rFonts w:eastAsia="Calibri" w:hint="eastAsia"/>
          <w:rtl/>
        </w:rPr>
        <w:t>המערכות</w:t>
      </w:r>
      <w:r w:rsidRPr="00BE1CFE">
        <w:rPr>
          <w:rFonts w:eastAsia="Calibri"/>
          <w:rtl/>
        </w:rPr>
        <w:t xml:space="preserve"> </w:t>
      </w:r>
      <w:r w:rsidRPr="00BE1CFE">
        <w:rPr>
          <w:rFonts w:eastAsia="Calibri" w:hint="cs"/>
          <w:rtl/>
        </w:rPr>
        <w:t xml:space="preserve">הרלוונטיות, וכי </w:t>
      </w:r>
      <w:r w:rsidRPr="00BE1CFE">
        <w:rPr>
          <w:rFonts w:eastAsia="Calibri" w:hint="eastAsia"/>
          <w:rtl/>
        </w:rPr>
        <w:t>חטיבת</w:t>
      </w:r>
      <w:r w:rsidRPr="00BE1CFE">
        <w:rPr>
          <w:rFonts w:eastAsia="Calibri"/>
          <w:rtl/>
        </w:rPr>
        <w:t xml:space="preserve"> </w:t>
      </w:r>
      <w:r w:rsidRPr="00BE1CFE">
        <w:rPr>
          <w:rFonts w:eastAsia="Calibri" w:hint="eastAsia"/>
          <w:rtl/>
        </w:rPr>
        <w:t>הסייבר</w:t>
      </w:r>
      <w:r w:rsidRPr="00BE1CFE">
        <w:rPr>
          <w:rFonts w:eastAsia="Calibri"/>
          <w:rtl/>
        </w:rPr>
        <w:t xml:space="preserve"> </w:t>
      </w:r>
      <w:r w:rsidRPr="00BE1CFE">
        <w:rPr>
          <w:rFonts w:eastAsia="Calibri" w:hint="cs"/>
          <w:rtl/>
        </w:rPr>
        <w:t>מ</w:t>
      </w:r>
      <w:r w:rsidRPr="00BE1CFE">
        <w:rPr>
          <w:rFonts w:eastAsia="Calibri" w:hint="eastAsia"/>
          <w:rtl/>
        </w:rPr>
        <w:t>קדמ</w:t>
      </w:r>
      <w:r w:rsidRPr="00BE1CFE">
        <w:rPr>
          <w:rFonts w:eastAsia="Calibri" w:hint="cs"/>
          <w:rtl/>
        </w:rPr>
        <w:t>ת</w:t>
      </w:r>
      <w:r w:rsidRPr="00BE1CFE">
        <w:rPr>
          <w:rFonts w:eastAsia="Calibri"/>
          <w:rtl/>
        </w:rPr>
        <w:t xml:space="preserve"> </w:t>
      </w:r>
      <w:r w:rsidRPr="00BE1CFE">
        <w:rPr>
          <w:rFonts w:eastAsia="Calibri" w:hint="cs"/>
          <w:rtl/>
        </w:rPr>
        <w:t>ממשק מקוון שי</w:t>
      </w:r>
      <w:r w:rsidRPr="00BE1CFE">
        <w:rPr>
          <w:rFonts w:eastAsia="Calibri" w:hint="eastAsia"/>
          <w:rtl/>
        </w:rPr>
        <w:t>אפשר</w:t>
      </w:r>
      <w:r w:rsidRPr="00BE1CFE">
        <w:rPr>
          <w:rFonts w:eastAsia="Calibri"/>
          <w:rtl/>
        </w:rPr>
        <w:t xml:space="preserve"> </w:t>
      </w:r>
      <w:r w:rsidRPr="00BE1CFE">
        <w:rPr>
          <w:rFonts w:eastAsia="Calibri" w:hint="eastAsia"/>
          <w:rtl/>
        </w:rPr>
        <w:t>לקצינים</w:t>
      </w:r>
      <w:r w:rsidRPr="00BE1CFE">
        <w:rPr>
          <w:rFonts w:eastAsia="Calibri"/>
          <w:rtl/>
        </w:rPr>
        <w:t xml:space="preserve"> </w:t>
      </w:r>
      <w:r w:rsidRPr="00BE1CFE">
        <w:rPr>
          <w:rFonts w:eastAsia="Calibri" w:hint="eastAsia"/>
          <w:rtl/>
        </w:rPr>
        <w:t>המוסמכים</w:t>
      </w:r>
      <w:r w:rsidRPr="00BE1CFE">
        <w:rPr>
          <w:rFonts w:eastAsia="Calibri"/>
          <w:rtl/>
        </w:rPr>
        <w:t xml:space="preserve"> </w:t>
      </w:r>
      <w:r w:rsidRPr="00BE1CFE">
        <w:rPr>
          <w:rFonts w:eastAsia="Calibri" w:hint="cs"/>
          <w:rtl/>
        </w:rPr>
        <w:t>ל</w:t>
      </w:r>
      <w:r w:rsidRPr="00BE1CFE">
        <w:rPr>
          <w:rFonts w:eastAsia="Calibri" w:hint="eastAsia"/>
          <w:rtl/>
        </w:rPr>
        <w:t>מל</w:t>
      </w:r>
      <w:r w:rsidRPr="00BE1CFE">
        <w:rPr>
          <w:rFonts w:eastAsia="Calibri" w:hint="cs"/>
          <w:rtl/>
        </w:rPr>
        <w:t>א</w:t>
      </w:r>
      <w:r w:rsidRPr="00BE1CFE">
        <w:rPr>
          <w:rFonts w:eastAsia="Calibri"/>
          <w:rtl/>
        </w:rPr>
        <w:t xml:space="preserve"> </w:t>
      </w:r>
      <w:r w:rsidRPr="00BE1CFE">
        <w:rPr>
          <w:rFonts w:eastAsia="Calibri" w:hint="cs"/>
          <w:rtl/>
        </w:rPr>
        <w:t xml:space="preserve">את </w:t>
      </w:r>
      <w:r>
        <w:rPr>
          <w:rFonts w:eastAsia="Calibri" w:hint="cs"/>
          <w:rtl/>
        </w:rPr>
        <w:t xml:space="preserve">הטופס הייעודי </w:t>
      </w:r>
      <w:r w:rsidRPr="00BE1CFE">
        <w:rPr>
          <w:rFonts w:eastAsia="Calibri" w:hint="eastAsia"/>
          <w:rtl/>
        </w:rPr>
        <w:t>בצורה</w:t>
      </w:r>
      <w:r w:rsidRPr="00BE1CFE">
        <w:rPr>
          <w:rFonts w:eastAsia="Calibri"/>
          <w:rtl/>
        </w:rPr>
        <w:t xml:space="preserve"> </w:t>
      </w:r>
      <w:r w:rsidRPr="00BE1CFE">
        <w:rPr>
          <w:rFonts w:eastAsia="Calibri" w:hint="eastAsia"/>
          <w:rtl/>
        </w:rPr>
        <w:t>נוחה</w:t>
      </w:r>
      <w:r w:rsidRPr="00BE1CFE">
        <w:rPr>
          <w:rFonts w:eastAsia="Calibri"/>
          <w:rtl/>
        </w:rPr>
        <w:t xml:space="preserve"> </w:t>
      </w:r>
      <w:r w:rsidRPr="00BE1CFE">
        <w:rPr>
          <w:rFonts w:eastAsia="Calibri" w:hint="eastAsia"/>
          <w:rtl/>
        </w:rPr>
        <w:t>ואחידה</w:t>
      </w:r>
      <w:r w:rsidRPr="00BE1CFE">
        <w:rPr>
          <w:rFonts w:eastAsia="Calibri" w:hint="cs"/>
          <w:rtl/>
        </w:rPr>
        <w:t>,</w:t>
      </w:r>
      <w:r w:rsidRPr="00BE1CFE">
        <w:rPr>
          <w:rFonts w:eastAsia="Calibri"/>
          <w:rtl/>
        </w:rPr>
        <w:t xml:space="preserve"> </w:t>
      </w:r>
      <w:r w:rsidRPr="00BE1CFE">
        <w:rPr>
          <w:rFonts w:eastAsia="Calibri" w:hint="cs"/>
          <w:rtl/>
        </w:rPr>
        <w:t xml:space="preserve">אך </w:t>
      </w:r>
      <w:r w:rsidRPr="00BE1CFE">
        <w:rPr>
          <w:rFonts w:eastAsia="Calibri" w:hint="eastAsia"/>
          <w:rtl/>
        </w:rPr>
        <w:t>מהלך</w:t>
      </w:r>
      <w:r w:rsidRPr="00BE1CFE">
        <w:rPr>
          <w:rFonts w:eastAsia="Calibri"/>
          <w:rtl/>
        </w:rPr>
        <w:t xml:space="preserve"> </w:t>
      </w:r>
      <w:r w:rsidRPr="00BE1CFE">
        <w:rPr>
          <w:rFonts w:eastAsia="Calibri" w:hint="eastAsia"/>
          <w:rtl/>
        </w:rPr>
        <w:t>זה</w:t>
      </w:r>
      <w:r w:rsidRPr="00BE1CFE">
        <w:rPr>
          <w:rFonts w:eastAsia="Calibri"/>
          <w:rtl/>
        </w:rPr>
        <w:t xml:space="preserve"> </w:t>
      </w:r>
      <w:r w:rsidRPr="00BE1CFE">
        <w:rPr>
          <w:rFonts w:eastAsia="Calibri" w:hint="eastAsia"/>
          <w:rtl/>
        </w:rPr>
        <w:t>התעכב</w:t>
      </w:r>
      <w:r w:rsidRPr="00BE1CFE">
        <w:rPr>
          <w:rFonts w:eastAsia="Calibri"/>
          <w:rtl/>
        </w:rPr>
        <w:t xml:space="preserve"> </w:t>
      </w:r>
      <w:r w:rsidRPr="00BE1CFE">
        <w:rPr>
          <w:rFonts w:eastAsia="Calibri" w:hint="eastAsia"/>
          <w:rtl/>
        </w:rPr>
        <w:t>בשל</w:t>
      </w:r>
      <w:r w:rsidRPr="00BE1CFE">
        <w:rPr>
          <w:rFonts w:eastAsia="Calibri"/>
          <w:rtl/>
        </w:rPr>
        <w:t xml:space="preserve"> </w:t>
      </w:r>
      <w:r w:rsidRPr="00BE1CFE">
        <w:rPr>
          <w:rFonts w:eastAsia="Calibri" w:hint="eastAsia"/>
          <w:rtl/>
        </w:rPr>
        <w:t>מגבלות</w:t>
      </w:r>
      <w:r w:rsidRPr="00BE1CFE">
        <w:rPr>
          <w:rFonts w:eastAsia="Calibri"/>
          <w:rtl/>
        </w:rPr>
        <w:t xml:space="preserve"> </w:t>
      </w:r>
      <w:r w:rsidRPr="00BE1CFE">
        <w:rPr>
          <w:rFonts w:eastAsia="Calibri" w:hint="eastAsia"/>
          <w:rtl/>
        </w:rPr>
        <w:t>משאבי</w:t>
      </w:r>
      <w:r w:rsidRPr="00BE1CFE">
        <w:rPr>
          <w:rFonts w:eastAsia="Calibri" w:hint="cs"/>
          <w:rtl/>
        </w:rPr>
        <w:t>ם</w:t>
      </w:r>
      <w:r w:rsidRPr="00BE1CFE">
        <w:rPr>
          <w:rFonts w:eastAsia="Calibri"/>
          <w:rtl/>
        </w:rPr>
        <w:t>.</w:t>
      </w:r>
      <w:r w:rsidRPr="00BE1CFE">
        <w:rPr>
          <w:rFonts w:eastAsia="Calibri" w:hint="cs"/>
          <w:rtl/>
        </w:rPr>
        <w:t xml:space="preserve"> </w:t>
      </w:r>
      <w:r w:rsidRPr="00BE1CFE">
        <w:rPr>
          <w:rFonts w:eastAsia="Calibri" w:hint="eastAsia"/>
          <w:rtl/>
        </w:rPr>
        <w:t>עד</w:t>
      </w:r>
      <w:r w:rsidRPr="00BE1CFE">
        <w:rPr>
          <w:rFonts w:eastAsia="Calibri"/>
          <w:rtl/>
        </w:rPr>
        <w:t xml:space="preserve"> </w:t>
      </w:r>
      <w:r w:rsidRPr="00BE1CFE">
        <w:rPr>
          <w:rFonts w:eastAsia="Calibri" w:hint="eastAsia"/>
          <w:rtl/>
        </w:rPr>
        <w:t>להשלמת</w:t>
      </w:r>
      <w:r w:rsidRPr="00BE1CFE">
        <w:rPr>
          <w:rFonts w:eastAsia="Calibri"/>
          <w:rtl/>
        </w:rPr>
        <w:t xml:space="preserve"> </w:t>
      </w:r>
      <w:r w:rsidRPr="00BE1CFE">
        <w:rPr>
          <w:rFonts w:eastAsia="Calibri" w:hint="eastAsia"/>
          <w:rtl/>
        </w:rPr>
        <w:t>הפיתוח</w:t>
      </w:r>
      <w:r w:rsidRPr="00BE1CFE">
        <w:rPr>
          <w:rFonts w:eastAsia="Calibri"/>
          <w:rtl/>
        </w:rPr>
        <w:t xml:space="preserve"> </w:t>
      </w:r>
      <w:r w:rsidRPr="00BE1CFE">
        <w:rPr>
          <w:rFonts w:eastAsia="Calibri" w:hint="eastAsia"/>
          <w:rtl/>
        </w:rPr>
        <w:t>של</w:t>
      </w:r>
      <w:r w:rsidRPr="00BE1CFE">
        <w:rPr>
          <w:rFonts w:eastAsia="Calibri"/>
          <w:rtl/>
        </w:rPr>
        <w:t xml:space="preserve"> </w:t>
      </w:r>
      <w:r w:rsidRPr="00BE1CFE">
        <w:rPr>
          <w:rFonts w:eastAsia="Calibri" w:hint="eastAsia"/>
          <w:rtl/>
        </w:rPr>
        <w:t>הממשק</w:t>
      </w:r>
      <w:r w:rsidRPr="00BE1CFE">
        <w:rPr>
          <w:rFonts w:eastAsia="Calibri"/>
          <w:rtl/>
        </w:rPr>
        <w:t xml:space="preserve"> </w:t>
      </w:r>
      <w:r w:rsidRPr="00BE1CFE">
        <w:rPr>
          <w:rFonts w:eastAsia="Calibri" w:hint="eastAsia"/>
          <w:rtl/>
        </w:rPr>
        <w:t>המקוון</w:t>
      </w:r>
      <w:r w:rsidRPr="00BE1CFE">
        <w:rPr>
          <w:rFonts w:eastAsia="Calibri"/>
          <w:rtl/>
        </w:rPr>
        <w:t>, מ</w:t>
      </w:r>
      <w:r w:rsidRPr="00BE1CFE">
        <w:rPr>
          <w:rFonts w:eastAsia="Calibri" w:hint="cs"/>
          <w:rtl/>
        </w:rPr>
        <w:t xml:space="preserve">קודם </w:t>
      </w:r>
      <w:r w:rsidRPr="00BE1CFE">
        <w:rPr>
          <w:rFonts w:eastAsia="Calibri"/>
          <w:rtl/>
        </w:rPr>
        <w:t xml:space="preserve">פתרון ביניים שכולל ייעול תהליך מילוי </w:t>
      </w:r>
      <w:r>
        <w:rPr>
          <w:rFonts w:eastAsia="Calibri" w:hint="cs"/>
          <w:rtl/>
        </w:rPr>
        <w:t>הטופס הייעודי</w:t>
      </w:r>
      <w:r w:rsidRPr="00BE1CFE" w:rsidDel="00D07AEC">
        <w:rPr>
          <w:rFonts w:eastAsia="Calibri" w:hint="cs"/>
          <w:rtl/>
        </w:rPr>
        <w:t xml:space="preserve"> </w:t>
      </w:r>
      <w:r w:rsidRPr="00BE1CFE">
        <w:rPr>
          <w:rFonts w:eastAsia="Calibri"/>
          <w:rtl/>
        </w:rPr>
        <w:t>כך שיהיה מובנה במערכת.</w:t>
      </w:r>
    </w:p>
    <w:p w:rsidR="00963052" w:rsidRPr="00BE1CFE" w:rsidRDefault="00963052" w:rsidP="00604C3D">
      <w:pPr>
        <w:spacing w:line="269" w:lineRule="auto"/>
        <w:ind w:left="424"/>
        <w:rPr>
          <w:rFonts w:eastAsia="Calibri"/>
          <w:rtl/>
        </w:rPr>
      </w:pPr>
    </w:p>
    <w:p w:rsidR="00E46818" w:rsidRPr="006F3BF1" w:rsidRDefault="00E46818" w:rsidP="00FD41FE">
      <w:pPr>
        <w:pStyle w:val="4"/>
        <w:numPr>
          <w:ilvl w:val="1"/>
          <w:numId w:val="50"/>
        </w:numPr>
        <w:spacing w:before="0" w:line="269" w:lineRule="auto"/>
        <w:ind w:left="339"/>
        <w:rPr>
          <w:rFonts w:eastAsia="Times New Roman"/>
          <w:b/>
          <w:rtl/>
        </w:rPr>
      </w:pPr>
      <w:bookmarkStart w:id="611" w:name="_Toc211521953"/>
      <w:bookmarkStart w:id="612" w:name="_Toc219110344"/>
      <w:bookmarkStart w:id="613" w:name="_Toc219113785"/>
      <w:bookmarkStart w:id="614" w:name="_Toc219286560"/>
      <w:r w:rsidRPr="006F3BF1">
        <w:rPr>
          <w:rFonts w:eastAsia="Times New Roman" w:hint="cs"/>
          <w:rtl/>
        </w:rPr>
        <w:t>הדיווחים</w:t>
      </w:r>
      <w:r w:rsidRPr="00BE1CFE">
        <w:rPr>
          <w:rFonts w:eastAsia="Times New Roman" w:hint="cs"/>
          <w:bCs w:val="0"/>
          <w:rtl/>
        </w:rPr>
        <w:t xml:space="preserve"> </w:t>
      </w:r>
      <w:r w:rsidRPr="006F3BF1">
        <w:rPr>
          <w:rFonts w:eastAsia="Times New Roman" w:hint="cs"/>
          <w:b/>
          <w:rtl/>
        </w:rPr>
        <w:t>על מתן היתרים מינהליים לשימוש בנתוני תקשורת</w:t>
      </w:r>
      <w:bookmarkEnd w:id="611"/>
      <w:bookmarkEnd w:id="612"/>
      <w:bookmarkEnd w:id="613"/>
      <w:bookmarkEnd w:id="614"/>
    </w:p>
    <w:p w:rsidR="00E46818" w:rsidRPr="00BE1CFE" w:rsidRDefault="00E46818" w:rsidP="00604C3D">
      <w:pPr>
        <w:spacing w:line="269" w:lineRule="auto"/>
        <w:rPr>
          <w:rtl/>
        </w:rPr>
      </w:pPr>
    </w:p>
    <w:p w:rsidR="00E46818" w:rsidRPr="00BE1CFE" w:rsidRDefault="00E46818" w:rsidP="0043429A">
      <w:pPr>
        <w:keepNext/>
        <w:keepLines/>
        <w:numPr>
          <w:ilvl w:val="2"/>
          <w:numId w:val="15"/>
        </w:numPr>
        <w:spacing w:line="269" w:lineRule="auto"/>
        <w:ind w:left="849" w:hanging="539"/>
        <w:outlineLvl w:val="4"/>
        <w:rPr>
          <w:rFonts w:eastAsia="Times New Roman"/>
          <w:bCs/>
          <w:spacing w:val="40"/>
          <w:rtl/>
        </w:rPr>
      </w:pPr>
      <w:r w:rsidRPr="00BE1CFE">
        <w:rPr>
          <w:rFonts w:eastAsia="Times New Roman" w:hint="eastAsia"/>
          <w:bCs/>
          <w:spacing w:val="40"/>
          <w:rtl/>
        </w:rPr>
        <w:t>תוצאות</w:t>
      </w:r>
      <w:r w:rsidRPr="00BE1CFE">
        <w:rPr>
          <w:rFonts w:eastAsia="Times New Roman"/>
          <w:bCs/>
          <w:spacing w:val="40"/>
          <w:rtl/>
        </w:rPr>
        <w:t xml:space="preserve"> </w:t>
      </w:r>
      <w:r w:rsidRPr="00BE1CFE">
        <w:rPr>
          <w:rFonts w:eastAsia="Times New Roman" w:hint="eastAsia"/>
          <w:bCs/>
          <w:spacing w:val="40"/>
          <w:rtl/>
        </w:rPr>
        <w:t>בדיקת</w:t>
      </w:r>
      <w:r w:rsidRPr="00BE1CFE">
        <w:rPr>
          <w:rFonts w:eastAsia="Times New Roman"/>
          <w:bCs/>
          <w:spacing w:val="40"/>
          <w:rtl/>
        </w:rPr>
        <w:t xml:space="preserve"> </w:t>
      </w:r>
      <w:r w:rsidRPr="00BE1CFE">
        <w:rPr>
          <w:rFonts w:eastAsia="Times New Roman" w:hint="eastAsia"/>
          <w:bCs/>
          <w:spacing w:val="40"/>
          <w:rtl/>
        </w:rPr>
        <w:t>משרד</w:t>
      </w:r>
      <w:r w:rsidRPr="00BE1CFE">
        <w:rPr>
          <w:rFonts w:eastAsia="Times New Roman"/>
          <w:bCs/>
          <w:spacing w:val="40"/>
          <w:rtl/>
        </w:rPr>
        <w:t xml:space="preserve"> </w:t>
      </w:r>
      <w:r w:rsidRPr="00BE1CFE">
        <w:rPr>
          <w:rFonts w:eastAsia="Times New Roman" w:hint="eastAsia"/>
          <w:bCs/>
          <w:spacing w:val="40"/>
          <w:rtl/>
        </w:rPr>
        <w:t>מבקר</w:t>
      </w:r>
      <w:r w:rsidRPr="00BE1CFE">
        <w:rPr>
          <w:rFonts w:eastAsia="Times New Roman"/>
          <w:bCs/>
          <w:spacing w:val="40"/>
          <w:rtl/>
        </w:rPr>
        <w:t xml:space="preserve"> </w:t>
      </w:r>
      <w:r w:rsidRPr="00BE1CFE">
        <w:rPr>
          <w:rFonts w:eastAsia="Times New Roman" w:hint="eastAsia"/>
          <w:bCs/>
          <w:spacing w:val="40"/>
          <w:rtl/>
        </w:rPr>
        <w:t>המדינה</w:t>
      </w:r>
    </w:p>
    <w:p w:rsidR="00B47E58" w:rsidRDefault="00B47E58" w:rsidP="00604C3D">
      <w:pPr>
        <w:spacing w:line="269" w:lineRule="auto"/>
        <w:rPr>
          <w:rFonts w:eastAsia="Calibri"/>
          <w:szCs w:val="20"/>
          <w:rtl/>
        </w:rPr>
      </w:pPr>
    </w:p>
    <w:p w:rsidR="00E46818" w:rsidRPr="00BE1CFE" w:rsidRDefault="00E46818" w:rsidP="0043429A">
      <w:pPr>
        <w:spacing w:line="269" w:lineRule="auto"/>
        <w:ind w:left="849"/>
        <w:rPr>
          <w:rFonts w:eastAsia="Calibri"/>
          <w:rtl/>
        </w:rPr>
      </w:pPr>
      <w:r w:rsidRPr="00BE1CFE">
        <w:rPr>
          <w:rFonts w:eastAsia="Calibri" w:hint="cs"/>
          <w:rtl/>
        </w:rPr>
        <w:t xml:space="preserve">על פי הנוהל בנושא נתוני תקשורת (וכן </w:t>
      </w:r>
      <w:r>
        <w:rPr>
          <w:rFonts w:eastAsia="Calibri" w:hint="cs"/>
          <w:rtl/>
        </w:rPr>
        <w:t>הטופס הייעודי</w:t>
      </w:r>
      <w:r w:rsidRPr="00BE1CFE">
        <w:rPr>
          <w:rFonts w:eastAsia="Calibri" w:hint="cs"/>
          <w:rtl/>
        </w:rPr>
        <w:t xml:space="preserve"> המצורף אליו), מתן היתר מינהלי לשימוש בנתוני תקשורת מחייב דיווח (באמצעות טופס ייעודי) על שורה של עניינים ובהם: ציון התאריך והשעה של קבלת הדיווח על האירוע במשטרה וכן ציון התאריך והשעה של הגשת הבקשה ומתן ההיתר; תיאור נסיבות האירוע; ציון העילה למתן ההיתר; פירוט הדחיפות הדורשת היתר מינהלי; תיעוד היעדים וכן סוג הנתונים שלגביהם ניתן ההיתר; מילוי פרטי השוטר מבקש ההיתר; ציון החלטת הקצין המוסמך בדבר הוספת נתונים נדרשים על פי שיקול דעת הגורמים המוסמכים; מילוי מלוא הפרטים הנדרשים על ידי השוטר מבקש ההיתר כאשר הקצין המוסמך לא חותם על הטופס בעת מתן ההיתר; תיעוד הפרטים הנדרשים בנוגע לחתימת הקצין על ההיתר: התאריך והשעה</w:t>
      </w:r>
      <w:r>
        <w:rPr>
          <w:rFonts w:eastAsia="Calibri" w:hint="cs"/>
          <w:rtl/>
        </w:rPr>
        <w:t xml:space="preserve"> של</w:t>
      </w:r>
      <w:r w:rsidRPr="00BE1CFE">
        <w:rPr>
          <w:rFonts w:eastAsia="Calibri" w:hint="cs"/>
          <w:rtl/>
        </w:rPr>
        <w:t xml:space="preserve"> החתימה על ההיתר וכן חתימה וחותמת של הקצין.</w:t>
      </w:r>
    </w:p>
    <w:p w:rsidR="00B47E58" w:rsidRDefault="00B47E58" w:rsidP="0043429A">
      <w:pPr>
        <w:spacing w:line="269" w:lineRule="auto"/>
        <w:ind w:left="849"/>
        <w:rPr>
          <w:rFonts w:eastAsia="Calibri"/>
          <w:szCs w:val="20"/>
          <w:rtl/>
        </w:rPr>
      </w:pPr>
    </w:p>
    <w:p w:rsidR="00E46818" w:rsidRPr="00BE1CFE" w:rsidRDefault="00E46818" w:rsidP="0043429A">
      <w:pPr>
        <w:spacing w:line="269" w:lineRule="auto"/>
        <w:ind w:left="849"/>
        <w:rPr>
          <w:rFonts w:eastAsia="Calibri"/>
          <w:rtl/>
        </w:rPr>
      </w:pPr>
      <w:r w:rsidRPr="00BE1CFE">
        <w:rPr>
          <w:rFonts w:eastAsia="Calibri" w:hint="cs"/>
          <w:rtl/>
        </w:rPr>
        <w:t xml:space="preserve">משרד מבקר המדינה ביצע בדיקה מדגמית של </w:t>
      </w:r>
      <w:r w:rsidRPr="00BE1CFE">
        <w:rPr>
          <w:rFonts w:eastAsia="Calibri"/>
          <w:rtl/>
        </w:rPr>
        <w:t>תקינות הדיווחים על מתן היתרים מינהליים לשימוש בנתוני תקשורת</w:t>
      </w:r>
      <w:r w:rsidRPr="00BE1CFE">
        <w:rPr>
          <w:rFonts w:eastAsia="Calibri" w:hint="cs"/>
          <w:rtl/>
        </w:rPr>
        <w:t xml:space="preserve"> באמצעות הטפסים הייעודיים לכך. נבדקו 275 טפסים שמולאו על ידי חמישה קצינים מוסמכים במחוז ירושלים בחודשים ינואר 2022 עד מרץ 2023</w:t>
      </w:r>
      <w:r w:rsidRPr="00BE1CFE">
        <w:rPr>
          <w:rFonts w:eastAsia="Calibri"/>
          <w:vertAlign w:val="superscript"/>
          <w:rtl/>
        </w:rPr>
        <w:footnoteReference w:id="275"/>
      </w:r>
      <w:r w:rsidRPr="00BE1CFE">
        <w:rPr>
          <w:rFonts w:eastAsia="Calibri" w:hint="cs"/>
          <w:rtl/>
        </w:rPr>
        <w:t xml:space="preserve">. בבקרה נבחנו 17 נושאים הנדרשים להיות מתועדים ומדווחים כמתחייב על פי הנוהל. </w:t>
      </w:r>
    </w:p>
    <w:p w:rsidR="00B47E58" w:rsidRDefault="00B47E58" w:rsidP="0043429A">
      <w:pPr>
        <w:spacing w:line="269" w:lineRule="auto"/>
        <w:ind w:left="849"/>
        <w:rPr>
          <w:rFonts w:eastAsia="Calibri"/>
          <w:szCs w:val="20"/>
          <w:rtl/>
        </w:rPr>
      </w:pPr>
    </w:p>
    <w:p w:rsidR="00E46818" w:rsidRPr="00BE1CFE" w:rsidRDefault="00E46818" w:rsidP="0043429A">
      <w:pPr>
        <w:spacing w:line="269" w:lineRule="auto"/>
        <w:ind w:left="849"/>
        <w:rPr>
          <w:rFonts w:eastAsia="Calibri"/>
          <w:b/>
          <w:bCs/>
          <w:rtl/>
        </w:rPr>
      </w:pPr>
      <w:r w:rsidRPr="00BE1CFE">
        <w:rPr>
          <w:rFonts w:eastAsia="Calibri" w:hint="cs"/>
          <w:b/>
          <w:bCs/>
          <w:rtl/>
        </w:rPr>
        <w:t>בבדיקה מדגמית שביצע משרד מבקר המדינה לגבי הדיווח של קצינים מוסמכים במשטרה על 275 מקרים שבהם נעשה שימוש בנתוני תקשורת על סמך היתרים מינהליים (שניתנו ככלל בעל פה) - התגלו ליקויים בכ-99% מהדיווחים שנמסרו (273 מתוך 275 דיווחים). ב-38 טפסים היה חוסר של פרט אחד, ואילו בכל יתר הדיווחים (235 דיווחים) היה חוסר של בין 2 ל-11 פרטים. בניתוח של הנושאים הנדרשים להיות מתועדים ומדווחים בטופס נמצאו ליקויים יסודיים באופן הדיווח לגבי כל אחד מהנושאים האלה:</w:t>
      </w:r>
    </w:p>
    <w:p w:rsidR="00B47E58" w:rsidRPr="00B47E58" w:rsidRDefault="00B47E58" w:rsidP="00604C3D">
      <w:pPr>
        <w:spacing w:line="269" w:lineRule="auto"/>
        <w:ind w:left="360"/>
        <w:contextualSpacing/>
        <w:rPr>
          <w:rFonts w:eastAsia="Calibri"/>
          <w:b/>
          <w:bCs/>
        </w:rPr>
      </w:pPr>
    </w:p>
    <w:p w:rsidR="00E46818" w:rsidRPr="00BE1CFE" w:rsidRDefault="00E46818" w:rsidP="008C598D">
      <w:pPr>
        <w:numPr>
          <w:ilvl w:val="0"/>
          <w:numId w:val="10"/>
        </w:numPr>
        <w:spacing w:line="269" w:lineRule="auto"/>
        <w:contextualSpacing/>
        <w:rPr>
          <w:rFonts w:eastAsia="Calibri"/>
          <w:b/>
          <w:bCs/>
        </w:rPr>
      </w:pPr>
      <w:r w:rsidRPr="00BE1CFE">
        <w:rPr>
          <w:rFonts w:eastAsia="Calibri" w:hint="eastAsia"/>
          <w:b/>
          <w:bCs/>
          <w:rtl/>
        </w:rPr>
        <w:t>אי</w:t>
      </w:r>
      <w:r w:rsidRPr="00BE1CFE">
        <w:rPr>
          <w:rFonts w:eastAsia="Calibri"/>
          <w:b/>
          <w:bCs/>
          <w:rtl/>
        </w:rPr>
        <w:t xml:space="preserve">-ציון יעד הבקשה ומספר הטלפון הנייד שלגביו </w:t>
      </w:r>
      <w:r w:rsidRPr="00BE1CFE">
        <w:rPr>
          <w:rFonts w:eastAsia="Calibri" w:hint="cs"/>
          <w:b/>
          <w:bCs/>
          <w:rtl/>
        </w:rPr>
        <w:t>ניתן ההיתר.</w:t>
      </w:r>
      <w:r w:rsidRPr="00BE1CFE">
        <w:rPr>
          <w:rFonts w:eastAsia="Calibri"/>
          <w:b/>
          <w:bCs/>
          <w:rtl/>
        </w:rPr>
        <w:t xml:space="preserve"> </w:t>
      </w:r>
    </w:p>
    <w:p w:rsidR="00E46818" w:rsidRPr="00BE1CFE" w:rsidRDefault="00E46818" w:rsidP="008C598D">
      <w:pPr>
        <w:numPr>
          <w:ilvl w:val="0"/>
          <w:numId w:val="10"/>
        </w:numPr>
        <w:spacing w:line="269" w:lineRule="auto"/>
        <w:contextualSpacing/>
        <w:rPr>
          <w:rFonts w:eastAsia="Calibri"/>
          <w:b/>
          <w:bCs/>
        </w:rPr>
      </w:pPr>
      <w:r w:rsidRPr="00BE1CFE">
        <w:rPr>
          <w:rFonts w:eastAsia="Calibri" w:hint="cs"/>
          <w:b/>
          <w:bCs/>
          <w:rtl/>
        </w:rPr>
        <w:t>היעדר חתימה של השוטר המבקש את ההיתר המינהלי או פרטים מזהים לגביו.</w:t>
      </w:r>
    </w:p>
    <w:p w:rsidR="00E46818" w:rsidRPr="00BE1CFE" w:rsidRDefault="00E46818" w:rsidP="008C598D">
      <w:pPr>
        <w:numPr>
          <w:ilvl w:val="0"/>
          <w:numId w:val="10"/>
        </w:numPr>
        <w:spacing w:line="269" w:lineRule="auto"/>
        <w:contextualSpacing/>
        <w:rPr>
          <w:rFonts w:eastAsia="Calibri"/>
          <w:b/>
          <w:bCs/>
        </w:rPr>
      </w:pPr>
      <w:r w:rsidRPr="00BE1CFE">
        <w:rPr>
          <w:rFonts w:eastAsia="Calibri" w:hint="eastAsia"/>
          <w:b/>
          <w:bCs/>
          <w:rtl/>
        </w:rPr>
        <w:t>היעדר</w:t>
      </w:r>
      <w:r w:rsidRPr="00BE1CFE">
        <w:rPr>
          <w:rFonts w:eastAsia="Calibri"/>
          <w:b/>
          <w:bCs/>
          <w:rtl/>
        </w:rPr>
        <w:t xml:space="preserve"> </w:t>
      </w:r>
      <w:r w:rsidRPr="00BE1CFE">
        <w:rPr>
          <w:rFonts w:eastAsia="Calibri" w:hint="eastAsia"/>
          <w:b/>
          <w:bCs/>
          <w:rtl/>
        </w:rPr>
        <w:t>חתימה</w:t>
      </w:r>
      <w:r w:rsidRPr="00BE1CFE">
        <w:rPr>
          <w:rFonts w:eastAsia="Calibri"/>
          <w:b/>
          <w:bCs/>
          <w:rtl/>
        </w:rPr>
        <w:t xml:space="preserve"> </w:t>
      </w:r>
      <w:r w:rsidRPr="00BE1CFE">
        <w:rPr>
          <w:rFonts w:eastAsia="Calibri" w:hint="cs"/>
          <w:b/>
          <w:bCs/>
          <w:rtl/>
        </w:rPr>
        <w:t xml:space="preserve">או חותמת </w:t>
      </w:r>
      <w:r w:rsidRPr="00BE1CFE">
        <w:rPr>
          <w:rFonts w:eastAsia="Calibri" w:hint="eastAsia"/>
          <w:b/>
          <w:bCs/>
          <w:rtl/>
        </w:rPr>
        <w:t>של</w:t>
      </w:r>
      <w:r w:rsidRPr="00BE1CFE">
        <w:rPr>
          <w:rFonts w:eastAsia="Calibri"/>
          <w:b/>
          <w:bCs/>
          <w:rtl/>
        </w:rPr>
        <w:t xml:space="preserve"> </w:t>
      </w:r>
      <w:r w:rsidRPr="00BE1CFE">
        <w:rPr>
          <w:rFonts w:eastAsia="Calibri" w:hint="eastAsia"/>
          <w:b/>
          <w:bCs/>
          <w:rtl/>
        </w:rPr>
        <w:t>הקצין</w:t>
      </w:r>
      <w:r w:rsidRPr="00BE1CFE">
        <w:rPr>
          <w:rFonts w:eastAsia="Calibri"/>
          <w:b/>
          <w:bCs/>
          <w:rtl/>
        </w:rPr>
        <w:t xml:space="preserve"> </w:t>
      </w:r>
      <w:r w:rsidRPr="00BE1CFE">
        <w:rPr>
          <w:rFonts w:eastAsia="Calibri" w:hint="eastAsia"/>
          <w:b/>
          <w:bCs/>
          <w:rtl/>
        </w:rPr>
        <w:t>המוסמ</w:t>
      </w:r>
      <w:r w:rsidRPr="00BE1CFE">
        <w:rPr>
          <w:rFonts w:eastAsia="Calibri" w:hint="cs"/>
          <w:b/>
          <w:bCs/>
          <w:rtl/>
        </w:rPr>
        <w:t>ך</w:t>
      </w:r>
      <w:r w:rsidRPr="00BE1CFE">
        <w:rPr>
          <w:rFonts w:eastAsia="Calibri"/>
          <w:b/>
          <w:bCs/>
          <w:rtl/>
        </w:rPr>
        <w:t xml:space="preserve"> על</w:t>
      </w:r>
      <w:r w:rsidRPr="00BE1CFE">
        <w:rPr>
          <w:rFonts w:eastAsia="Calibri" w:hint="cs"/>
          <w:b/>
          <w:bCs/>
          <w:rtl/>
        </w:rPr>
        <w:t xml:space="preserve"> </w:t>
      </w:r>
      <w:r w:rsidRPr="00BE1CFE">
        <w:rPr>
          <w:rFonts w:eastAsia="Calibri" w:hint="eastAsia"/>
          <w:b/>
          <w:bCs/>
          <w:rtl/>
        </w:rPr>
        <w:t>ההיתר</w:t>
      </w:r>
      <w:r w:rsidRPr="00BE1CFE">
        <w:rPr>
          <w:rFonts w:eastAsia="Calibri" w:hint="cs"/>
          <w:b/>
          <w:bCs/>
          <w:rtl/>
        </w:rPr>
        <w:t>.</w:t>
      </w:r>
      <w:r w:rsidRPr="00BE1CFE">
        <w:rPr>
          <w:rFonts w:eastAsia="Calibri"/>
          <w:b/>
          <w:bCs/>
          <w:rtl/>
        </w:rPr>
        <w:t xml:space="preserve"> </w:t>
      </w:r>
    </w:p>
    <w:p w:rsidR="00E46818" w:rsidRPr="00BE1CFE" w:rsidRDefault="00E46818" w:rsidP="008C598D">
      <w:pPr>
        <w:numPr>
          <w:ilvl w:val="0"/>
          <w:numId w:val="10"/>
        </w:numPr>
        <w:spacing w:line="269" w:lineRule="auto"/>
        <w:contextualSpacing/>
        <w:rPr>
          <w:rFonts w:eastAsia="Calibri"/>
          <w:b/>
          <w:bCs/>
        </w:rPr>
      </w:pPr>
      <w:r w:rsidRPr="00BE1CFE">
        <w:rPr>
          <w:rFonts w:eastAsia="Calibri" w:hint="cs"/>
          <w:b/>
          <w:bCs/>
          <w:rtl/>
        </w:rPr>
        <w:t>אי-ציון סוג נתוני התקשורת שלגביהם ניתן ההיתר.</w:t>
      </w:r>
    </w:p>
    <w:p w:rsidR="00E46818" w:rsidRPr="00BE1CFE" w:rsidRDefault="00E46818" w:rsidP="008C598D">
      <w:pPr>
        <w:numPr>
          <w:ilvl w:val="0"/>
          <w:numId w:val="10"/>
        </w:numPr>
        <w:spacing w:line="269" w:lineRule="auto"/>
        <w:contextualSpacing/>
        <w:rPr>
          <w:rFonts w:eastAsia="Calibri"/>
          <w:b/>
          <w:bCs/>
        </w:rPr>
      </w:pPr>
      <w:r w:rsidRPr="00BE1CFE">
        <w:rPr>
          <w:rFonts w:eastAsia="Calibri" w:hint="eastAsia"/>
          <w:b/>
          <w:bCs/>
          <w:rtl/>
        </w:rPr>
        <w:t>אי</w:t>
      </w:r>
      <w:r w:rsidRPr="00BE1CFE">
        <w:rPr>
          <w:rFonts w:eastAsia="Calibri"/>
          <w:b/>
          <w:bCs/>
          <w:rtl/>
        </w:rPr>
        <w:t xml:space="preserve">-ציון </w:t>
      </w:r>
      <w:r w:rsidRPr="00BE1CFE">
        <w:rPr>
          <w:rFonts w:eastAsia="Calibri" w:hint="eastAsia"/>
          <w:b/>
          <w:bCs/>
          <w:rtl/>
        </w:rPr>
        <w:t>מועד</w:t>
      </w:r>
      <w:r w:rsidRPr="00BE1CFE">
        <w:rPr>
          <w:rFonts w:eastAsia="Calibri"/>
          <w:b/>
          <w:bCs/>
          <w:rtl/>
        </w:rPr>
        <w:t xml:space="preserve"> </w:t>
      </w:r>
      <w:r w:rsidRPr="00BE1CFE">
        <w:rPr>
          <w:rFonts w:eastAsia="Calibri" w:hint="cs"/>
          <w:b/>
          <w:bCs/>
          <w:rtl/>
        </w:rPr>
        <w:t>קבלת האירוע במשטרה.</w:t>
      </w:r>
      <w:r w:rsidRPr="00BE1CFE">
        <w:rPr>
          <w:rFonts w:eastAsia="Calibri"/>
          <w:b/>
          <w:bCs/>
          <w:rtl/>
        </w:rPr>
        <w:t xml:space="preserve"> </w:t>
      </w:r>
    </w:p>
    <w:p w:rsidR="00E46818" w:rsidRPr="00BE1CFE" w:rsidRDefault="00E46818" w:rsidP="008C598D">
      <w:pPr>
        <w:numPr>
          <w:ilvl w:val="0"/>
          <w:numId w:val="10"/>
        </w:numPr>
        <w:spacing w:line="269" w:lineRule="auto"/>
        <w:contextualSpacing/>
        <w:rPr>
          <w:rFonts w:eastAsia="Calibri"/>
          <w:b/>
          <w:bCs/>
        </w:rPr>
      </w:pPr>
      <w:r w:rsidRPr="00BE1CFE">
        <w:rPr>
          <w:rFonts w:eastAsia="Calibri" w:hint="cs"/>
          <w:b/>
          <w:bCs/>
          <w:rtl/>
        </w:rPr>
        <w:t xml:space="preserve">אי ציון מועד </w:t>
      </w:r>
      <w:r w:rsidRPr="00BE1CFE">
        <w:rPr>
          <w:rFonts w:eastAsia="Calibri" w:hint="eastAsia"/>
          <w:b/>
          <w:bCs/>
          <w:rtl/>
        </w:rPr>
        <w:t>החתימה</w:t>
      </w:r>
      <w:r w:rsidRPr="00BE1CFE">
        <w:rPr>
          <w:rFonts w:eastAsia="Calibri"/>
          <w:b/>
          <w:bCs/>
          <w:rtl/>
        </w:rPr>
        <w:t xml:space="preserve"> </w:t>
      </w:r>
      <w:r w:rsidRPr="00BE1CFE">
        <w:rPr>
          <w:rFonts w:eastAsia="Calibri" w:hint="eastAsia"/>
          <w:b/>
          <w:bCs/>
          <w:rtl/>
        </w:rPr>
        <w:t>על</w:t>
      </w:r>
      <w:r w:rsidRPr="00BE1CFE">
        <w:rPr>
          <w:rFonts w:eastAsia="Calibri"/>
          <w:b/>
          <w:bCs/>
          <w:rtl/>
        </w:rPr>
        <w:t xml:space="preserve"> </w:t>
      </w:r>
      <w:r w:rsidRPr="00BE1CFE">
        <w:rPr>
          <w:rFonts w:eastAsia="Calibri" w:hint="eastAsia"/>
          <w:b/>
          <w:bCs/>
          <w:rtl/>
        </w:rPr>
        <w:t>ההיתר</w:t>
      </w:r>
      <w:r w:rsidRPr="00BE1CFE">
        <w:rPr>
          <w:rFonts w:eastAsia="Calibri" w:hint="cs"/>
          <w:b/>
          <w:bCs/>
          <w:rtl/>
        </w:rPr>
        <w:t>.</w:t>
      </w:r>
    </w:p>
    <w:p w:rsidR="00E46818" w:rsidRPr="00BE1CFE" w:rsidRDefault="00E46818" w:rsidP="008C598D">
      <w:pPr>
        <w:numPr>
          <w:ilvl w:val="0"/>
          <w:numId w:val="10"/>
        </w:numPr>
        <w:spacing w:line="269" w:lineRule="auto"/>
        <w:contextualSpacing/>
        <w:rPr>
          <w:rFonts w:eastAsia="Calibri"/>
          <w:b/>
          <w:bCs/>
        </w:rPr>
      </w:pPr>
      <w:r w:rsidRPr="00BE1CFE">
        <w:rPr>
          <w:rFonts w:eastAsia="Calibri" w:hint="eastAsia"/>
          <w:b/>
          <w:bCs/>
          <w:rtl/>
        </w:rPr>
        <w:t>אי</w:t>
      </w:r>
      <w:r w:rsidRPr="00BE1CFE">
        <w:rPr>
          <w:rFonts w:eastAsia="Calibri"/>
          <w:b/>
          <w:bCs/>
          <w:rtl/>
        </w:rPr>
        <w:t>-ציון מטרת ההיתר</w:t>
      </w:r>
      <w:r w:rsidRPr="00BE1CFE">
        <w:rPr>
          <w:rFonts w:eastAsia="Calibri" w:hint="cs"/>
          <w:b/>
          <w:bCs/>
          <w:rtl/>
        </w:rPr>
        <w:t>.</w:t>
      </w:r>
      <w:r w:rsidRPr="00BE1CFE">
        <w:rPr>
          <w:rFonts w:eastAsia="Calibri"/>
          <w:b/>
          <w:bCs/>
          <w:rtl/>
        </w:rPr>
        <w:t xml:space="preserve"> </w:t>
      </w:r>
    </w:p>
    <w:p w:rsidR="00E46818" w:rsidRPr="00BE1CFE" w:rsidRDefault="00E46818" w:rsidP="008C598D">
      <w:pPr>
        <w:numPr>
          <w:ilvl w:val="0"/>
          <w:numId w:val="10"/>
        </w:numPr>
        <w:spacing w:line="269" w:lineRule="auto"/>
        <w:contextualSpacing/>
        <w:rPr>
          <w:rFonts w:eastAsia="Calibri"/>
          <w:b/>
          <w:bCs/>
        </w:rPr>
      </w:pPr>
      <w:r w:rsidRPr="00BE1CFE">
        <w:rPr>
          <w:rFonts w:eastAsia="Calibri" w:hint="cs"/>
          <w:b/>
          <w:bCs/>
          <w:rtl/>
        </w:rPr>
        <w:t>היעדר הסבר ופירוט</w:t>
      </w:r>
      <w:r w:rsidRPr="00BE1CFE">
        <w:rPr>
          <w:rFonts w:eastAsia="Calibri"/>
          <w:b/>
          <w:bCs/>
          <w:rtl/>
        </w:rPr>
        <w:t xml:space="preserve"> הדחיפות למתן ההיתר</w:t>
      </w:r>
      <w:r w:rsidRPr="00BE1CFE">
        <w:rPr>
          <w:rFonts w:eastAsia="Calibri" w:hint="cs"/>
          <w:b/>
          <w:bCs/>
          <w:rtl/>
        </w:rPr>
        <w:t>.</w:t>
      </w:r>
      <w:r w:rsidRPr="00BE1CFE">
        <w:rPr>
          <w:rFonts w:eastAsia="Calibri"/>
          <w:b/>
          <w:bCs/>
          <w:rtl/>
        </w:rPr>
        <w:t xml:space="preserve"> </w:t>
      </w:r>
    </w:p>
    <w:p w:rsidR="00E46818" w:rsidRPr="00BE1CFE" w:rsidRDefault="00E46818" w:rsidP="008C598D">
      <w:pPr>
        <w:numPr>
          <w:ilvl w:val="0"/>
          <w:numId w:val="10"/>
        </w:numPr>
        <w:spacing w:line="269" w:lineRule="auto"/>
        <w:contextualSpacing/>
        <w:rPr>
          <w:rFonts w:eastAsia="Calibri"/>
          <w:b/>
          <w:bCs/>
        </w:rPr>
      </w:pPr>
      <w:r w:rsidRPr="00BE1CFE">
        <w:rPr>
          <w:rFonts w:eastAsia="Calibri"/>
          <w:b/>
          <w:bCs/>
          <w:rtl/>
        </w:rPr>
        <w:t xml:space="preserve">זמנים בלתי סבירים בהיתר </w:t>
      </w:r>
      <w:r w:rsidRPr="00BE1CFE">
        <w:rPr>
          <w:rFonts w:eastAsia="Calibri" w:hint="cs"/>
          <w:b/>
          <w:bCs/>
          <w:rtl/>
        </w:rPr>
        <w:t>-</w:t>
      </w:r>
      <w:r w:rsidRPr="00BE1CFE">
        <w:rPr>
          <w:rFonts w:eastAsia="Calibri"/>
          <w:b/>
          <w:bCs/>
          <w:rtl/>
        </w:rPr>
        <w:t xml:space="preserve"> </w:t>
      </w:r>
      <w:r w:rsidRPr="00BE1CFE">
        <w:rPr>
          <w:rFonts w:eastAsia="Calibri" w:hint="eastAsia"/>
          <w:b/>
          <w:bCs/>
          <w:rtl/>
        </w:rPr>
        <w:t>ציון</w:t>
      </w:r>
      <w:r w:rsidRPr="00BE1CFE">
        <w:rPr>
          <w:rFonts w:eastAsia="Calibri"/>
          <w:b/>
          <w:bCs/>
          <w:rtl/>
        </w:rPr>
        <w:t xml:space="preserve"> שעה זהה לשעת </w:t>
      </w:r>
      <w:r w:rsidRPr="00BE1CFE">
        <w:rPr>
          <w:rFonts w:eastAsia="Calibri" w:hint="cs"/>
          <w:b/>
          <w:bCs/>
          <w:rtl/>
        </w:rPr>
        <w:t>הבקשה (הטלפונית),</w:t>
      </w:r>
      <w:r w:rsidRPr="00BE1CFE">
        <w:rPr>
          <w:rFonts w:eastAsia="Calibri"/>
          <w:b/>
          <w:bCs/>
          <w:rtl/>
        </w:rPr>
        <w:t xml:space="preserve"> </w:t>
      </w:r>
      <w:r w:rsidRPr="00BE1CFE">
        <w:rPr>
          <w:rFonts w:eastAsia="Calibri" w:hint="cs"/>
          <w:b/>
          <w:bCs/>
          <w:rtl/>
        </w:rPr>
        <w:t>ל</w:t>
      </w:r>
      <w:r w:rsidRPr="00BE1CFE">
        <w:rPr>
          <w:rFonts w:eastAsia="Calibri" w:hint="eastAsia"/>
          <w:b/>
          <w:bCs/>
          <w:rtl/>
        </w:rPr>
        <w:t>שעת</w:t>
      </w:r>
      <w:r w:rsidRPr="00BE1CFE">
        <w:rPr>
          <w:rFonts w:eastAsia="Calibri"/>
          <w:b/>
          <w:bCs/>
          <w:rtl/>
        </w:rPr>
        <w:t xml:space="preserve"> </w:t>
      </w:r>
      <w:r w:rsidRPr="00BE1CFE">
        <w:rPr>
          <w:rFonts w:eastAsia="Calibri" w:hint="eastAsia"/>
          <w:b/>
          <w:bCs/>
          <w:rtl/>
        </w:rPr>
        <w:t>מתן</w:t>
      </w:r>
      <w:r w:rsidRPr="00BE1CFE">
        <w:rPr>
          <w:rFonts w:eastAsia="Calibri"/>
          <w:b/>
          <w:bCs/>
          <w:rtl/>
        </w:rPr>
        <w:t xml:space="preserve"> </w:t>
      </w:r>
      <w:r w:rsidRPr="00BE1CFE">
        <w:rPr>
          <w:rFonts w:eastAsia="Calibri" w:hint="eastAsia"/>
          <w:b/>
          <w:bCs/>
          <w:rtl/>
        </w:rPr>
        <w:t>ההיתר</w:t>
      </w:r>
      <w:r w:rsidRPr="00BE1CFE">
        <w:rPr>
          <w:rFonts w:eastAsia="Calibri"/>
          <w:b/>
          <w:bCs/>
          <w:rtl/>
        </w:rPr>
        <w:t xml:space="preserve"> (בעל </w:t>
      </w:r>
      <w:r w:rsidRPr="00BE1CFE">
        <w:rPr>
          <w:rFonts w:eastAsia="Calibri" w:hint="eastAsia"/>
          <w:b/>
          <w:bCs/>
          <w:rtl/>
        </w:rPr>
        <w:t>פה</w:t>
      </w:r>
      <w:r w:rsidRPr="00BE1CFE">
        <w:rPr>
          <w:rFonts w:eastAsia="Calibri"/>
          <w:b/>
          <w:bCs/>
          <w:rtl/>
        </w:rPr>
        <w:t xml:space="preserve">) </w:t>
      </w:r>
      <w:r w:rsidRPr="00BE1CFE">
        <w:rPr>
          <w:rFonts w:eastAsia="Calibri" w:hint="eastAsia"/>
          <w:b/>
          <w:bCs/>
          <w:rtl/>
        </w:rPr>
        <w:t>ו</w:t>
      </w:r>
      <w:r w:rsidRPr="00BE1CFE">
        <w:rPr>
          <w:rFonts w:eastAsia="Calibri" w:hint="cs"/>
          <w:b/>
          <w:bCs/>
          <w:rtl/>
        </w:rPr>
        <w:t>ל</w:t>
      </w:r>
      <w:r w:rsidRPr="00BE1CFE">
        <w:rPr>
          <w:rFonts w:eastAsia="Calibri" w:hint="eastAsia"/>
          <w:b/>
          <w:bCs/>
          <w:rtl/>
        </w:rPr>
        <w:t>שעת</w:t>
      </w:r>
      <w:r w:rsidRPr="00BE1CFE">
        <w:rPr>
          <w:rFonts w:eastAsia="Calibri"/>
          <w:b/>
          <w:bCs/>
          <w:rtl/>
        </w:rPr>
        <w:t xml:space="preserve"> </w:t>
      </w:r>
      <w:r w:rsidRPr="00BE1CFE">
        <w:rPr>
          <w:rFonts w:eastAsia="Calibri" w:hint="cs"/>
          <w:b/>
          <w:bCs/>
          <w:rtl/>
        </w:rPr>
        <w:t>חתימת</w:t>
      </w:r>
      <w:r w:rsidRPr="00BE1CFE">
        <w:rPr>
          <w:rFonts w:eastAsia="Calibri"/>
          <w:b/>
          <w:bCs/>
          <w:rtl/>
        </w:rPr>
        <w:t xml:space="preserve"> הטופס בדיעבד. </w:t>
      </w:r>
    </w:p>
    <w:p w:rsidR="00B47E58" w:rsidRDefault="00B47E58" w:rsidP="00604C3D">
      <w:pPr>
        <w:spacing w:line="269" w:lineRule="auto"/>
        <w:jc w:val="center"/>
        <w:rPr>
          <w:rFonts w:eastAsia="Calibri"/>
          <w:szCs w:val="20"/>
          <w:rtl/>
        </w:rPr>
      </w:pPr>
    </w:p>
    <w:p w:rsidR="00E46818" w:rsidRPr="00BE1CFE" w:rsidRDefault="00E46818" w:rsidP="00604C3D">
      <w:pPr>
        <w:keepNext/>
        <w:keepLines/>
        <w:spacing w:line="269" w:lineRule="auto"/>
        <w:jc w:val="center"/>
        <w:rPr>
          <w:rFonts w:eastAsia="Calibri"/>
          <w:b/>
          <w:bCs/>
          <w:rtl/>
        </w:rPr>
      </w:pPr>
      <w:r w:rsidRPr="00BE1CFE">
        <w:rPr>
          <w:rFonts w:eastAsia="Calibri" w:hint="eastAsia"/>
          <w:rtl/>
        </w:rPr>
        <w:t>תרשים</w:t>
      </w:r>
      <w:r w:rsidR="006F3BF1">
        <w:rPr>
          <w:rFonts w:eastAsia="Calibri" w:hint="cs"/>
          <w:rtl/>
        </w:rPr>
        <w:t xml:space="preserve"> 21</w:t>
      </w:r>
      <w:r w:rsidRPr="00BE1CFE">
        <w:rPr>
          <w:rFonts w:eastAsia="Calibri"/>
          <w:rtl/>
        </w:rPr>
        <w:t>:</w:t>
      </w:r>
      <w:r w:rsidRPr="00BE1CFE">
        <w:rPr>
          <w:rFonts w:eastAsia="Calibri"/>
          <w:b/>
          <w:bCs/>
          <w:rtl/>
        </w:rPr>
        <w:t xml:space="preserve"> </w:t>
      </w:r>
      <w:r w:rsidRPr="00BE1CFE">
        <w:rPr>
          <w:rFonts w:eastAsia="Calibri" w:hint="eastAsia"/>
          <w:b/>
          <w:bCs/>
          <w:rtl/>
        </w:rPr>
        <w:t>ריכוז</w:t>
      </w:r>
      <w:r w:rsidRPr="00BE1CFE">
        <w:rPr>
          <w:rFonts w:eastAsia="Calibri"/>
          <w:b/>
          <w:bCs/>
          <w:rtl/>
        </w:rPr>
        <w:t xml:space="preserve"> </w:t>
      </w:r>
      <w:r w:rsidRPr="00BE1CFE">
        <w:rPr>
          <w:rFonts w:eastAsia="Calibri" w:hint="cs"/>
          <w:b/>
          <w:bCs/>
          <w:rtl/>
        </w:rPr>
        <w:t>ה</w:t>
      </w:r>
      <w:r w:rsidRPr="00BE1CFE">
        <w:rPr>
          <w:rFonts w:eastAsia="Calibri" w:hint="eastAsia"/>
          <w:b/>
          <w:bCs/>
          <w:rtl/>
        </w:rPr>
        <w:t>ליקויים</w:t>
      </w:r>
      <w:r w:rsidRPr="00BE1CFE">
        <w:rPr>
          <w:rFonts w:eastAsia="Calibri"/>
          <w:b/>
          <w:bCs/>
          <w:rtl/>
        </w:rPr>
        <w:t xml:space="preserve"> </w:t>
      </w:r>
      <w:r w:rsidRPr="00BE1CFE">
        <w:rPr>
          <w:rFonts w:eastAsia="Calibri" w:hint="eastAsia"/>
          <w:b/>
          <w:bCs/>
          <w:rtl/>
        </w:rPr>
        <w:t>שעלו</w:t>
      </w:r>
      <w:r w:rsidRPr="00BE1CFE">
        <w:rPr>
          <w:rFonts w:eastAsia="Calibri"/>
          <w:b/>
          <w:bCs/>
          <w:rtl/>
        </w:rPr>
        <w:t xml:space="preserve"> </w:t>
      </w:r>
      <w:r w:rsidRPr="00BE1CFE">
        <w:rPr>
          <w:rFonts w:eastAsia="Calibri" w:hint="cs"/>
          <w:b/>
          <w:bCs/>
          <w:rtl/>
        </w:rPr>
        <w:t>בבדיקת משרד מבקר המדינה לגבי תקינות הדיווחים של קצינים מוסמכים במשטרה בדבר מתן היתרים מינהליים לשימוש בנתוני תקשורת</w:t>
      </w:r>
    </w:p>
    <w:p w:rsidR="00E46818" w:rsidRPr="00BE1CFE" w:rsidRDefault="00E46818" w:rsidP="00604C3D">
      <w:pPr>
        <w:spacing w:line="269" w:lineRule="auto"/>
        <w:rPr>
          <w:rFonts w:eastAsia="Calibri"/>
          <w:rtl/>
        </w:rPr>
      </w:pPr>
      <w:r w:rsidRPr="00BE1CFE">
        <w:rPr>
          <w:rFonts w:eastAsia="Calibri"/>
          <w:noProof/>
          <w:lang w:val="he-IL"/>
        </w:rPr>
        <w:drawing>
          <wp:inline distT="0" distB="0" distL="0" distR="0" wp14:anchorId="76451FE7" wp14:editId="252F5C8F">
            <wp:extent cx="5209968" cy="4239011"/>
            <wp:effectExtent l="0" t="0" r="0"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950" b="5954"/>
                    <a:stretch/>
                  </pic:blipFill>
                  <pic:spPr bwMode="auto">
                    <a:xfrm>
                      <a:off x="0" y="0"/>
                      <a:ext cx="5210175" cy="4239179"/>
                    </a:xfrm>
                    <a:prstGeom prst="rect">
                      <a:avLst/>
                    </a:prstGeom>
                    <a:noFill/>
                    <a:ln>
                      <a:noFill/>
                    </a:ln>
                    <a:extLst>
                      <a:ext uri="{53640926-AAD7-44D8-BBD7-CCE9431645EC}">
                        <a14:shadowObscured xmlns:a14="http://schemas.microsoft.com/office/drawing/2010/main"/>
                      </a:ext>
                    </a:extLst>
                  </pic:spPr>
                </pic:pic>
              </a:graphicData>
            </a:graphic>
          </wp:inline>
        </w:drawing>
      </w:r>
    </w:p>
    <w:p w:rsidR="00E46818" w:rsidRPr="00BE1CFE" w:rsidRDefault="00E46818" w:rsidP="00212501">
      <w:pPr>
        <w:spacing w:line="269" w:lineRule="auto"/>
        <w:ind w:firstLine="720"/>
        <w:rPr>
          <w:rFonts w:eastAsia="Calibri"/>
          <w:szCs w:val="20"/>
          <w:rtl/>
        </w:rPr>
      </w:pPr>
      <w:r w:rsidRPr="00BE1CFE">
        <w:rPr>
          <w:rFonts w:eastAsia="Calibri" w:hint="cs"/>
          <w:szCs w:val="20"/>
          <w:rtl/>
        </w:rPr>
        <w:t>על פי מידע שנאסף בביקורת</w:t>
      </w:r>
      <w:r>
        <w:rPr>
          <w:rFonts w:eastAsia="Calibri" w:hint="cs"/>
          <w:szCs w:val="20"/>
          <w:rtl/>
        </w:rPr>
        <w:t>,</w:t>
      </w:r>
      <w:r w:rsidRPr="00BE1CFE">
        <w:rPr>
          <w:rFonts w:eastAsia="Calibri" w:hint="cs"/>
          <w:szCs w:val="20"/>
          <w:rtl/>
        </w:rPr>
        <w:t xml:space="preserve"> </w:t>
      </w:r>
      <w:r w:rsidRPr="00BE1CFE">
        <w:rPr>
          <w:rFonts w:eastAsia="Calibri" w:hint="eastAsia"/>
          <w:szCs w:val="20"/>
          <w:rtl/>
        </w:rPr>
        <w:t>בעיבוד</w:t>
      </w:r>
      <w:r w:rsidRPr="00BE1CFE">
        <w:rPr>
          <w:rFonts w:eastAsia="Calibri"/>
          <w:szCs w:val="20"/>
          <w:rtl/>
        </w:rPr>
        <w:t xml:space="preserve"> </w:t>
      </w:r>
      <w:r w:rsidRPr="00BE1CFE">
        <w:rPr>
          <w:rFonts w:eastAsia="Calibri" w:hint="eastAsia"/>
          <w:szCs w:val="20"/>
          <w:rtl/>
        </w:rPr>
        <w:t>משרד</w:t>
      </w:r>
      <w:r w:rsidRPr="00BE1CFE">
        <w:rPr>
          <w:rFonts w:eastAsia="Calibri"/>
          <w:szCs w:val="20"/>
          <w:rtl/>
        </w:rPr>
        <w:t xml:space="preserve"> </w:t>
      </w:r>
      <w:r w:rsidRPr="00BE1CFE">
        <w:rPr>
          <w:rFonts w:eastAsia="Calibri" w:hint="eastAsia"/>
          <w:szCs w:val="20"/>
          <w:rtl/>
        </w:rPr>
        <w:t>מבקר</w:t>
      </w:r>
      <w:r w:rsidRPr="00BE1CFE">
        <w:rPr>
          <w:rFonts w:eastAsia="Calibri"/>
          <w:szCs w:val="20"/>
          <w:rtl/>
        </w:rPr>
        <w:t xml:space="preserve"> </w:t>
      </w:r>
      <w:r w:rsidRPr="00BE1CFE">
        <w:rPr>
          <w:rFonts w:eastAsia="Calibri" w:hint="eastAsia"/>
          <w:szCs w:val="20"/>
          <w:rtl/>
        </w:rPr>
        <w:t>המדינה</w:t>
      </w:r>
      <w:r>
        <w:rPr>
          <w:rFonts w:eastAsia="Calibri" w:hint="cs"/>
          <w:szCs w:val="20"/>
          <w:rtl/>
        </w:rPr>
        <w:t>.</w:t>
      </w:r>
      <w:r w:rsidRPr="00BE1CFE">
        <w:rPr>
          <w:rFonts w:eastAsia="Calibri" w:hint="cs"/>
          <w:szCs w:val="20"/>
          <w:rtl/>
        </w:rPr>
        <w:t xml:space="preserve"> </w:t>
      </w:r>
    </w:p>
    <w:p w:rsidR="00B47E58" w:rsidRDefault="00B47E58" w:rsidP="00604C3D">
      <w:pPr>
        <w:spacing w:line="269" w:lineRule="auto"/>
        <w:rPr>
          <w:rFonts w:eastAsia="Calibri"/>
          <w:sz w:val="16"/>
          <w:szCs w:val="16"/>
        </w:rPr>
      </w:pPr>
    </w:p>
    <w:p w:rsidR="00E46818" w:rsidRPr="00BE1CFE" w:rsidRDefault="00E46818" w:rsidP="00212501">
      <w:pPr>
        <w:spacing w:line="269" w:lineRule="auto"/>
        <w:ind w:left="849"/>
        <w:rPr>
          <w:rFonts w:eastAsia="Calibri"/>
          <w:rtl/>
        </w:rPr>
      </w:pPr>
      <w:r w:rsidRPr="00BE1CFE">
        <w:rPr>
          <w:rFonts w:eastAsia="Calibri" w:hint="cs"/>
          <w:rtl/>
        </w:rPr>
        <w:t xml:space="preserve">מהמשטרה נמסר בתגובה כי היא </w:t>
      </w:r>
      <w:r w:rsidRPr="00BE1CFE">
        <w:rPr>
          <w:rFonts w:eastAsia="Calibri"/>
          <w:rtl/>
        </w:rPr>
        <w:t xml:space="preserve">תבחן את הצורך במילוי כלל הפרטים </w:t>
      </w:r>
      <w:r w:rsidRPr="00BE1CFE">
        <w:rPr>
          <w:rFonts w:eastAsia="Calibri" w:hint="cs"/>
          <w:rtl/>
        </w:rPr>
        <w:t xml:space="preserve">על ידי הקצינים המוסמכים במסגרת </w:t>
      </w:r>
      <w:r>
        <w:rPr>
          <w:rFonts w:eastAsia="Calibri" w:hint="cs"/>
          <w:rtl/>
        </w:rPr>
        <w:t>הטופס הייעודי</w:t>
      </w:r>
      <w:r w:rsidRPr="00BE1CFE" w:rsidDel="002D5091">
        <w:rPr>
          <w:rFonts w:eastAsia="Calibri" w:hint="cs"/>
          <w:rtl/>
        </w:rPr>
        <w:t xml:space="preserve"> </w:t>
      </w:r>
      <w:r w:rsidRPr="00BE1CFE">
        <w:rPr>
          <w:rFonts w:eastAsia="Calibri"/>
          <w:rtl/>
        </w:rPr>
        <w:t>וכן את הדרכים לבצע פיקוח ובקרה הדוקים יותר לאופן מילויים</w:t>
      </w:r>
      <w:r w:rsidRPr="00BE1CFE">
        <w:rPr>
          <w:rFonts w:eastAsia="Calibri" w:hint="cs"/>
          <w:rtl/>
        </w:rPr>
        <w:t>.</w:t>
      </w:r>
    </w:p>
    <w:p w:rsidR="00E46818" w:rsidRPr="00BE1CFE" w:rsidRDefault="00E46818" w:rsidP="00604C3D">
      <w:pPr>
        <w:spacing w:line="269" w:lineRule="auto"/>
        <w:rPr>
          <w:rFonts w:eastAsia="Calibri"/>
          <w:rtl/>
        </w:rPr>
      </w:pPr>
    </w:p>
    <w:p w:rsidR="00E46818" w:rsidRPr="00BE1CFE" w:rsidRDefault="00E46818" w:rsidP="00261075">
      <w:pPr>
        <w:keepNext/>
        <w:keepLines/>
        <w:numPr>
          <w:ilvl w:val="2"/>
          <w:numId w:val="15"/>
        </w:numPr>
        <w:spacing w:line="269" w:lineRule="auto"/>
        <w:ind w:left="849" w:hanging="539"/>
        <w:outlineLvl w:val="4"/>
        <w:rPr>
          <w:rFonts w:eastAsia="Times New Roman"/>
          <w:bCs/>
          <w:spacing w:val="40"/>
          <w:rtl/>
        </w:rPr>
      </w:pPr>
      <w:r w:rsidRPr="00BE1CFE">
        <w:rPr>
          <w:rFonts w:eastAsia="Times New Roman" w:hint="eastAsia"/>
          <w:bCs/>
          <w:spacing w:val="40"/>
          <w:rtl/>
        </w:rPr>
        <w:t>בקרות</w:t>
      </w:r>
      <w:r w:rsidRPr="00BE1CFE">
        <w:rPr>
          <w:rFonts w:eastAsia="Times New Roman"/>
          <w:bCs/>
          <w:spacing w:val="40"/>
          <w:rtl/>
        </w:rPr>
        <w:t xml:space="preserve"> המשטרה על </w:t>
      </w:r>
      <w:r w:rsidRPr="00BE1CFE">
        <w:rPr>
          <w:rFonts w:eastAsia="Times New Roman" w:hint="eastAsia"/>
          <w:bCs/>
          <w:spacing w:val="40"/>
          <w:rtl/>
        </w:rPr>
        <w:t>תקינות</w:t>
      </w:r>
      <w:r w:rsidRPr="00BE1CFE">
        <w:rPr>
          <w:rFonts w:eastAsia="Times New Roman"/>
          <w:bCs/>
          <w:spacing w:val="40"/>
          <w:rtl/>
        </w:rPr>
        <w:t xml:space="preserve"> </w:t>
      </w:r>
      <w:r w:rsidRPr="00BE1CFE">
        <w:rPr>
          <w:rFonts w:eastAsia="Times New Roman" w:hint="eastAsia"/>
          <w:bCs/>
          <w:spacing w:val="40"/>
          <w:rtl/>
        </w:rPr>
        <w:t>הדיווחים</w:t>
      </w:r>
      <w:r w:rsidRPr="00BE1CFE">
        <w:rPr>
          <w:rFonts w:eastAsia="Times New Roman" w:hint="cs"/>
          <w:bCs/>
          <w:spacing w:val="40"/>
          <w:rtl/>
        </w:rPr>
        <w:t xml:space="preserve"> למתן היתרים מינהליים</w:t>
      </w:r>
      <w:r w:rsidRPr="00BE1CFE">
        <w:rPr>
          <w:rFonts w:eastAsia="Times New Roman"/>
          <w:bCs/>
          <w:spacing w:val="40"/>
          <w:rtl/>
        </w:rPr>
        <w:t xml:space="preserve"> </w:t>
      </w:r>
      <w:r w:rsidRPr="00BE1CFE">
        <w:rPr>
          <w:rFonts w:eastAsia="Times New Roman" w:hint="eastAsia"/>
          <w:bCs/>
          <w:spacing w:val="40"/>
          <w:rtl/>
        </w:rPr>
        <w:t>לשימוש</w:t>
      </w:r>
      <w:r w:rsidRPr="00BE1CFE">
        <w:rPr>
          <w:rFonts w:eastAsia="Times New Roman"/>
          <w:bCs/>
          <w:spacing w:val="40"/>
          <w:rtl/>
        </w:rPr>
        <w:t xml:space="preserve"> </w:t>
      </w:r>
      <w:r w:rsidRPr="00BE1CFE">
        <w:rPr>
          <w:rFonts w:eastAsia="Times New Roman" w:hint="eastAsia"/>
          <w:bCs/>
          <w:spacing w:val="40"/>
          <w:rtl/>
        </w:rPr>
        <w:t>בנתוני</w:t>
      </w:r>
      <w:r w:rsidRPr="00BE1CFE">
        <w:rPr>
          <w:rFonts w:eastAsia="Times New Roman"/>
          <w:bCs/>
          <w:spacing w:val="40"/>
          <w:rtl/>
        </w:rPr>
        <w:t xml:space="preserve"> </w:t>
      </w:r>
      <w:r w:rsidRPr="00BE1CFE">
        <w:rPr>
          <w:rFonts w:eastAsia="Times New Roman" w:hint="eastAsia"/>
          <w:bCs/>
          <w:spacing w:val="40"/>
          <w:rtl/>
        </w:rPr>
        <w:t>תקשורת</w:t>
      </w:r>
    </w:p>
    <w:p w:rsidR="00B47E58" w:rsidRDefault="00B47E58" w:rsidP="00604C3D">
      <w:pPr>
        <w:spacing w:line="269" w:lineRule="auto"/>
        <w:rPr>
          <w:rFonts w:eastAsia="Calibri"/>
          <w:szCs w:val="20"/>
        </w:rPr>
      </w:pPr>
    </w:p>
    <w:p w:rsidR="00E46818" w:rsidRPr="00BE1CFE" w:rsidRDefault="00E46818" w:rsidP="00261075">
      <w:pPr>
        <w:spacing w:line="269" w:lineRule="auto"/>
        <w:ind w:left="849"/>
        <w:rPr>
          <w:rFonts w:eastAsia="Calibri"/>
          <w:rtl/>
        </w:rPr>
      </w:pPr>
      <w:r w:rsidRPr="00BE1CFE">
        <w:rPr>
          <w:rFonts w:eastAsia="Calibri" w:hint="cs"/>
          <w:rtl/>
        </w:rPr>
        <w:t xml:space="preserve">על פי נוהלי המשטרה, הפיקוח והבקרה על מתן ההיתר המינהלי כנדרש ועל מילוי פרטי ההיתר כנדרש </w:t>
      </w:r>
      <w:r>
        <w:rPr>
          <w:rFonts w:eastAsia="Calibri" w:hint="cs"/>
          <w:rtl/>
        </w:rPr>
        <w:t>בטופס הייעודי</w:t>
      </w:r>
      <w:r w:rsidRPr="00BE1CFE">
        <w:rPr>
          <w:rFonts w:eastAsia="Calibri" w:hint="cs"/>
          <w:rtl/>
        </w:rPr>
        <w:t xml:space="preserve"> צריכים להתבצע על ידי שני גורמים: חטיבת הסייבר וקציני אח"ם מחוזיים. </w:t>
      </w:r>
    </w:p>
    <w:p w:rsidR="00B47E58" w:rsidRDefault="00B47E58" w:rsidP="00261075">
      <w:pPr>
        <w:spacing w:line="269" w:lineRule="auto"/>
        <w:ind w:left="849"/>
        <w:rPr>
          <w:rFonts w:eastAsia="Calibri"/>
          <w:szCs w:val="20"/>
          <w:rtl/>
        </w:rPr>
      </w:pPr>
    </w:p>
    <w:p w:rsidR="00E46818" w:rsidRPr="00BE1CFE" w:rsidRDefault="00E46818" w:rsidP="00261075">
      <w:pPr>
        <w:spacing w:line="269" w:lineRule="auto"/>
        <w:ind w:left="849"/>
        <w:rPr>
          <w:rFonts w:eastAsia="Calibri"/>
          <w:rtl/>
        </w:rPr>
      </w:pPr>
      <w:r w:rsidRPr="00BE1CFE">
        <w:rPr>
          <w:rFonts w:eastAsia="Calibri" w:hint="cs"/>
          <w:rtl/>
        </w:rPr>
        <w:t>בשנת 2021 ביצעו רמ"ד שליטה מבצעית ומפקד המשל"ט בחטיבת הסייבר חמש בקרות בלבד בנושא, בהן נבחנו 126 דיווחים על שימוש בנתוני תקשורת בהתאם להיתרים מינהליים</w:t>
      </w:r>
      <w:r w:rsidRPr="00BE1CFE">
        <w:rPr>
          <w:rFonts w:eastAsia="Calibri"/>
          <w:vertAlign w:val="superscript"/>
          <w:rtl/>
        </w:rPr>
        <w:footnoteReference w:id="276"/>
      </w:r>
      <w:r w:rsidRPr="00BE1CFE">
        <w:rPr>
          <w:rFonts w:eastAsia="Calibri" w:hint="cs"/>
          <w:rtl/>
        </w:rPr>
        <w:t xml:space="preserve">. במסגרת הבקרות נבדק אם יש התאמה בין מספר ההיתרים המינהליים שנתנו הקצינים המוסמכים ובין מספר הדיווחים שניתנו באמצעות </w:t>
      </w:r>
      <w:r>
        <w:rPr>
          <w:rFonts w:eastAsia="Calibri" w:hint="cs"/>
          <w:rtl/>
        </w:rPr>
        <w:t>הטפסים הייעודיים</w:t>
      </w:r>
      <w:r w:rsidRPr="00BE1CFE">
        <w:rPr>
          <w:rFonts w:eastAsia="Calibri" w:hint="cs"/>
          <w:rtl/>
        </w:rPr>
        <w:t xml:space="preserve">, וכן התבצע מדגם אקראי של כמה </w:t>
      </w:r>
      <w:r>
        <w:rPr>
          <w:rFonts w:eastAsia="Calibri" w:hint="cs"/>
          <w:rtl/>
        </w:rPr>
        <w:t>מהטפסים הייעודיים</w:t>
      </w:r>
      <w:r w:rsidRPr="00BE1CFE">
        <w:rPr>
          <w:rFonts w:eastAsia="Calibri" w:hint="cs"/>
          <w:rtl/>
        </w:rPr>
        <w:t xml:space="preserve"> לבחינת אופן מילוי הפרטים. </w:t>
      </w:r>
    </w:p>
    <w:p w:rsidR="00B47E58" w:rsidRDefault="00B47E58" w:rsidP="00261075">
      <w:pPr>
        <w:spacing w:line="269" w:lineRule="auto"/>
        <w:ind w:left="849"/>
        <w:rPr>
          <w:rFonts w:eastAsia="Calibri"/>
          <w:szCs w:val="20"/>
          <w:rtl/>
        </w:rPr>
      </w:pPr>
    </w:p>
    <w:p w:rsidR="00E46818" w:rsidRPr="00BE1CFE" w:rsidRDefault="00E46818" w:rsidP="00261075">
      <w:pPr>
        <w:spacing w:line="269" w:lineRule="auto"/>
        <w:ind w:left="849"/>
        <w:rPr>
          <w:rFonts w:eastAsia="Calibri"/>
          <w:b/>
          <w:bCs/>
          <w:rtl/>
        </w:rPr>
      </w:pPr>
      <w:r w:rsidRPr="00BE1CFE">
        <w:rPr>
          <w:rFonts w:eastAsia="Calibri" w:hint="cs"/>
          <w:b/>
          <w:bCs/>
          <w:rtl/>
        </w:rPr>
        <w:t>בשנים 2017 - 2021 נתנו קצינים מוסמכים במשטרה כ-78,000 היתרים מינהליים לקבלת נתוני תקשורת. נמצא כי בשנים אלו המשטרה ביצעה בקרה מצומצמת מאוד על דיווחי הקצינים המוסמכים על מתן היתרים מינהליים לשימוש בנתוני תקשורת: בשנים 2017 - 2020 ביצעה חטיבת הסייבר שתי בקרות בלבד בנושא זה</w:t>
      </w:r>
      <w:r w:rsidRPr="00BE1CFE">
        <w:rPr>
          <w:rFonts w:eastAsia="Calibri"/>
          <w:b/>
          <w:bCs/>
          <w:vertAlign w:val="superscript"/>
          <w:rtl/>
        </w:rPr>
        <w:footnoteReference w:id="277"/>
      </w:r>
      <w:r w:rsidRPr="00BE1CFE">
        <w:rPr>
          <w:rFonts w:eastAsia="Calibri" w:hint="cs"/>
          <w:b/>
          <w:bCs/>
          <w:rtl/>
        </w:rPr>
        <w:t>.</w:t>
      </w:r>
      <w:r w:rsidRPr="00BE1CFE">
        <w:rPr>
          <w:rFonts w:eastAsia="Calibri" w:hint="cs"/>
          <w:rtl/>
        </w:rPr>
        <w:t xml:space="preserve"> </w:t>
      </w:r>
      <w:r w:rsidRPr="00BE1CFE">
        <w:rPr>
          <w:rFonts w:eastAsia="Calibri" w:hint="cs"/>
          <w:b/>
          <w:bCs/>
          <w:rtl/>
        </w:rPr>
        <w:t>נוסף על כך</w:t>
      </w:r>
      <w:r w:rsidRPr="00BE1CFE">
        <w:rPr>
          <w:rFonts w:eastAsia="Calibri"/>
          <w:b/>
          <w:bCs/>
          <w:rtl/>
        </w:rPr>
        <w:t xml:space="preserve"> קציני </w:t>
      </w:r>
      <w:r w:rsidRPr="00BE1CFE">
        <w:rPr>
          <w:rFonts w:eastAsia="Calibri" w:hint="eastAsia"/>
          <w:b/>
          <w:bCs/>
          <w:rtl/>
        </w:rPr>
        <w:t>האח</w:t>
      </w:r>
      <w:r w:rsidRPr="00BE1CFE">
        <w:rPr>
          <w:rFonts w:eastAsia="Calibri"/>
          <w:b/>
          <w:bCs/>
          <w:rtl/>
        </w:rPr>
        <w:t>"</w:t>
      </w:r>
      <w:r w:rsidRPr="00BE1CFE">
        <w:rPr>
          <w:rFonts w:eastAsia="Calibri" w:hint="cs"/>
          <w:b/>
          <w:bCs/>
          <w:rtl/>
        </w:rPr>
        <w:t>ם</w:t>
      </w:r>
      <w:r w:rsidRPr="00BE1CFE">
        <w:rPr>
          <w:rFonts w:eastAsia="Calibri"/>
          <w:b/>
          <w:bCs/>
          <w:rtl/>
        </w:rPr>
        <w:t xml:space="preserve"> המחוזיים</w:t>
      </w:r>
      <w:r w:rsidRPr="00BE1CFE">
        <w:rPr>
          <w:rFonts w:eastAsia="Calibri" w:hint="cs"/>
          <w:b/>
          <w:bCs/>
          <w:rtl/>
        </w:rPr>
        <w:t xml:space="preserve"> אינם מבצעים בקרה על דיווחים אלה</w:t>
      </w:r>
      <w:r w:rsidRPr="00BE1CFE">
        <w:rPr>
          <w:rFonts w:eastAsia="Calibri"/>
          <w:b/>
          <w:bCs/>
          <w:vertAlign w:val="superscript"/>
          <w:rtl/>
        </w:rPr>
        <w:footnoteReference w:id="278"/>
      </w:r>
      <w:r w:rsidRPr="00BE1CFE">
        <w:rPr>
          <w:rFonts w:eastAsia="Calibri" w:hint="cs"/>
          <w:b/>
          <w:bCs/>
          <w:rtl/>
        </w:rPr>
        <w:t xml:space="preserve">. </w:t>
      </w:r>
    </w:p>
    <w:p w:rsidR="00B47E58" w:rsidRDefault="00B47E58" w:rsidP="00261075">
      <w:pPr>
        <w:spacing w:line="269" w:lineRule="auto"/>
        <w:ind w:left="849"/>
        <w:rPr>
          <w:rFonts w:eastAsia="Calibri"/>
          <w:szCs w:val="20"/>
          <w:rtl/>
        </w:rPr>
      </w:pPr>
    </w:p>
    <w:p w:rsidR="00E46818" w:rsidRPr="00BE1CFE" w:rsidRDefault="00E46818" w:rsidP="00261075">
      <w:pPr>
        <w:spacing w:line="269" w:lineRule="auto"/>
        <w:ind w:left="849"/>
        <w:rPr>
          <w:rFonts w:eastAsia="Calibri"/>
          <w:b/>
          <w:bCs/>
          <w:rtl/>
        </w:rPr>
      </w:pPr>
      <w:r w:rsidRPr="00BE1CFE">
        <w:rPr>
          <w:rFonts w:eastAsia="Calibri" w:hint="cs"/>
          <w:b/>
          <w:bCs/>
          <w:rtl/>
        </w:rPr>
        <w:t xml:space="preserve">בשנת 2021 נעשו חמש בקרות שבמסגרתן נבחנו 126 דיווחים על היתרים בלבד. בבקרות עלה כי בבחינת ההתאמה בין ההיתרים המינהליים שניתנו לבין הדיווחים שנמסרו באמצעות </w:t>
      </w:r>
      <w:r>
        <w:rPr>
          <w:rFonts w:eastAsia="Calibri" w:hint="cs"/>
          <w:b/>
          <w:bCs/>
          <w:rtl/>
        </w:rPr>
        <w:t>הטפסים הייעודיים</w:t>
      </w:r>
      <w:r w:rsidRPr="00BE1CFE">
        <w:rPr>
          <w:rFonts w:eastAsia="Calibri" w:hint="cs"/>
          <w:b/>
          <w:bCs/>
          <w:rtl/>
        </w:rPr>
        <w:t xml:space="preserve"> </w:t>
      </w:r>
      <w:r w:rsidRPr="00BE1CFE">
        <w:rPr>
          <w:rFonts w:eastAsia="Calibri" w:hint="eastAsia"/>
          <w:b/>
          <w:bCs/>
          <w:rtl/>
        </w:rPr>
        <w:t>לא</w:t>
      </w:r>
      <w:r w:rsidRPr="00BE1CFE">
        <w:rPr>
          <w:rFonts w:eastAsia="Calibri" w:hint="cs"/>
          <w:b/>
          <w:bCs/>
          <w:rtl/>
        </w:rPr>
        <w:t xml:space="preserve"> נמצאו 48 מהדיווחים. ב-83% מהדיווחים על ההיתרים שכן נמצאו לגביהם הטפסים (104 מתוך 126) עלו ליקויים יסודיים, כמפורט להלן: </w:t>
      </w:r>
    </w:p>
    <w:p w:rsidR="00B47E58" w:rsidRPr="00B47E58" w:rsidRDefault="00B47E58" w:rsidP="00261075">
      <w:pPr>
        <w:spacing w:line="269" w:lineRule="auto"/>
        <w:ind w:left="1569"/>
        <w:contextualSpacing/>
        <w:rPr>
          <w:rFonts w:eastAsia="Calibri"/>
          <w:b/>
          <w:bCs/>
        </w:rPr>
      </w:pPr>
    </w:p>
    <w:p w:rsidR="00E46818" w:rsidRPr="00BE1CFE" w:rsidRDefault="00E46818" w:rsidP="00261075">
      <w:pPr>
        <w:numPr>
          <w:ilvl w:val="0"/>
          <w:numId w:val="11"/>
        </w:numPr>
        <w:spacing w:line="269" w:lineRule="auto"/>
        <w:ind w:left="1209"/>
        <w:contextualSpacing/>
        <w:rPr>
          <w:rFonts w:eastAsia="Calibri"/>
          <w:b/>
          <w:bCs/>
        </w:rPr>
      </w:pPr>
      <w:r w:rsidRPr="00BE1CFE">
        <w:rPr>
          <w:rFonts w:eastAsia="Calibri"/>
          <w:b/>
          <w:bCs/>
          <w:rtl/>
        </w:rPr>
        <w:t>אי-ציון יעד הבקשה ומספר הטלפון הנייד שלגביו התבקשו נתוני התקשורת</w:t>
      </w:r>
      <w:r>
        <w:rPr>
          <w:rFonts w:eastAsia="Calibri" w:hint="cs"/>
          <w:b/>
          <w:bCs/>
          <w:rtl/>
        </w:rPr>
        <w:t>.</w:t>
      </w:r>
    </w:p>
    <w:p w:rsidR="00E46818" w:rsidRPr="00BE1CFE" w:rsidRDefault="00E46818" w:rsidP="00261075">
      <w:pPr>
        <w:numPr>
          <w:ilvl w:val="0"/>
          <w:numId w:val="11"/>
        </w:numPr>
        <w:spacing w:line="269" w:lineRule="auto"/>
        <w:ind w:left="1209"/>
        <w:contextualSpacing/>
        <w:rPr>
          <w:rFonts w:eastAsia="Calibri"/>
          <w:b/>
          <w:bCs/>
        </w:rPr>
      </w:pPr>
      <w:r w:rsidRPr="00BE1CFE">
        <w:rPr>
          <w:rFonts w:eastAsia="Calibri"/>
          <w:b/>
          <w:bCs/>
          <w:rtl/>
        </w:rPr>
        <w:t>היעדר חתימה של הקצין המוסמך על ההיתר</w:t>
      </w:r>
      <w:r>
        <w:rPr>
          <w:rFonts w:eastAsia="Calibri" w:hint="cs"/>
          <w:b/>
          <w:bCs/>
          <w:rtl/>
        </w:rPr>
        <w:t>.</w:t>
      </w:r>
    </w:p>
    <w:p w:rsidR="00E46818" w:rsidRPr="00BE1CFE" w:rsidRDefault="00E46818" w:rsidP="00261075">
      <w:pPr>
        <w:numPr>
          <w:ilvl w:val="0"/>
          <w:numId w:val="11"/>
        </w:numPr>
        <w:spacing w:line="269" w:lineRule="auto"/>
        <w:ind w:left="1209"/>
        <w:contextualSpacing/>
        <w:rPr>
          <w:rFonts w:eastAsia="Calibri"/>
          <w:b/>
          <w:bCs/>
        </w:rPr>
      </w:pPr>
      <w:r w:rsidRPr="00BE1CFE">
        <w:rPr>
          <w:rFonts w:eastAsia="Calibri"/>
          <w:b/>
          <w:bCs/>
          <w:rtl/>
        </w:rPr>
        <w:t>אי-ציון מועד החתימה על ההיתר</w:t>
      </w:r>
      <w:r>
        <w:rPr>
          <w:rFonts w:eastAsia="Calibri" w:hint="cs"/>
          <w:b/>
          <w:bCs/>
          <w:rtl/>
        </w:rPr>
        <w:t>.</w:t>
      </w:r>
    </w:p>
    <w:p w:rsidR="00E46818" w:rsidRPr="00BE1CFE" w:rsidRDefault="00E46818" w:rsidP="00261075">
      <w:pPr>
        <w:numPr>
          <w:ilvl w:val="0"/>
          <w:numId w:val="11"/>
        </w:numPr>
        <w:spacing w:line="269" w:lineRule="auto"/>
        <w:ind w:left="1209"/>
        <w:contextualSpacing/>
        <w:rPr>
          <w:rFonts w:eastAsia="Calibri"/>
          <w:b/>
          <w:bCs/>
        </w:rPr>
      </w:pPr>
      <w:r w:rsidRPr="00BE1CFE">
        <w:rPr>
          <w:rFonts w:eastAsia="Calibri"/>
          <w:b/>
          <w:bCs/>
          <w:rtl/>
        </w:rPr>
        <w:t>אי-ציון מטרת ההיתר</w:t>
      </w:r>
      <w:r>
        <w:rPr>
          <w:rFonts w:eastAsia="Calibri" w:hint="cs"/>
          <w:b/>
          <w:bCs/>
          <w:rtl/>
        </w:rPr>
        <w:t>.</w:t>
      </w:r>
    </w:p>
    <w:p w:rsidR="00E46818" w:rsidRPr="00BE1CFE" w:rsidRDefault="00E46818" w:rsidP="00261075">
      <w:pPr>
        <w:numPr>
          <w:ilvl w:val="0"/>
          <w:numId w:val="11"/>
        </w:numPr>
        <w:spacing w:line="269" w:lineRule="auto"/>
        <w:ind w:left="1209"/>
        <w:contextualSpacing/>
        <w:rPr>
          <w:rFonts w:eastAsia="Calibri"/>
          <w:b/>
          <w:bCs/>
        </w:rPr>
      </w:pPr>
      <w:r w:rsidRPr="00BE1CFE">
        <w:rPr>
          <w:rFonts w:eastAsia="Calibri"/>
          <w:b/>
          <w:bCs/>
          <w:rtl/>
        </w:rPr>
        <w:t>אי-ציון סיבת הדחיפות למתן ההיתר</w:t>
      </w:r>
      <w:r>
        <w:rPr>
          <w:rFonts w:eastAsia="Calibri" w:hint="cs"/>
          <w:b/>
          <w:bCs/>
          <w:rtl/>
        </w:rPr>
        <w:t>.</w:t>
      </w:r>
    </w:p>
    <w:p w:rsidR="00E46818" w:rsidRPr="00BE1CFE" w:rsidRDefault="00E46818" w:rsidP="00261075">
      <w:pPr>
        <w:numPr>
          <w:ilvl w:val="0"/>
          <w:numId w:val="11"/>
        </w:numPr>
        <w:spacing w:line="269" w:lineRule="auto"/>
        <w:ind w:left="1209"/>
        <w:contextualSpacing/>
        <w:rPr>
          <w:rFonts w:eastAsia="Calibri"/>
          <w:b/>
          <w:bCs/>
        </w:rPr>
      </w:pPr>
      <w:r w:rsidRPr="00BE1CFE">
        <w:rPr>
          <w:rFonts w:eastAsia="Calibri"/>
          <w:b/>
          <w:bCs/>
          <w:rtl/>
        </w:rPr>
        <w:t>אי-רישום עובדות בעניין האירוע שלגביו ניתן ההיתר</w:t>
      </w:r>
      <w:r>
        <w:rPr>
          <w:rFonts w:eastAsia="Calibri" w:hint="cs"/>
          <w:b/>
          <w:bCs/>
          <w:rtl/>
        </w:rPr>
        <w:t>.</w:t>
      </w:r>
    </w:p>
    <w:p w:rsidR="00E46818" w:rsidRPr="00BE1CFE" w:rsidRDefault="00E46818" w:rsidP="00261075">
      <w:pPr>
        <w:numPr>
          <w:ilvl w:val="0"/>
          <w:numId w:val="11"/>
        </w:numPr>
        <w:spacing w:line="269" w:lineRule="auto"/>
        <w:ind w:left="1209"/>
        <w:contextualSpacing/>
        <w:rPr>
          <w:rFonts w:eastAsia="Calibri"/>
          <w:b/>
          <w:bCs/>
        </w:rPr>
      </w:pPr>
      <w:r w:rsidRPr="00BE1CFE">
        <w:rPr>
          <w:rFonts w:eastAsia="Calibri"/>
          <w:b/>
          <w:bCs/>
          <w:rtl/>
        </w:rPr>
        <w:t xml:space="preserve">זמנים בלתי סבירים בהיתר - ציון שעה זהה לשעת קבלת האירוע במשטרה, </w:t>
      </w:r>
      <w:r w:rsidRPr="00BE1CFE">
        <w:rPr>
          <w:rFonts w:eastAsia="Calibri" w:hint="cs"/>
          <w:b/>
          <w:bCs/>
          <w:rtl/>
        </w:rPr>
        <w:t>ל</w:t>
      </w:r>
      <w:r w:rsidRPr="00BE1CFE">
        <w:rPr>
          <w:rFonts w:eastAsia="Calibri"/>
          <w:b/>
          <w:bCs/>
          <w:rtl/>
        </w:rPr>
        <w:t>שעת מתן ההיתר (בעל פה) ו</w:t>
      </w:r>
      <w:r w:rsidRPr="00BE1CFE">
        <w:rPr>
          <w:rFonts w:eastAsia="Calibri" w:hint="cs"/>
          <w:b/>
          <w:bCs/>
          <w:rtl/>
        </w:rPr>
        <w:t>ל</w:t>
      </w:r>
      <w:r w:rsidRPr="00BE1CFE">
        <w:rPr>
          <w:rFonts w:eastAsia="Calibri"/>
          <w:b/>
          <w:bCs/>
          <w:rtl/>
        </w:rPr>
        <w:t>שעת מילוי הטופס בדיעבד.</w:t>
      </w:r>
    </w:p>
    <w:p w:rsidR="00B47E58" w:rsidRDefault="00B47E58" w:rsidP="00261075">
      <w:pPr>
        <w:spacing w:line="269" w:lineRule="auto"/>
        <w:ind w:left="849"/>
        <w:rPr>
          <w:rFonts w:eastAsia="Calibri"/>
          <w:szCs w:val="20"/>
          <w:rtl/>
        </w:rPr>
      </w:pPr>
    </w:p>
    <w:p w:rsidR="00E46818" w:rsidRPr="00BE1CFE" w:rsidRDefault="00E46818" w:rsidP="00261075">
      <w:pPr>
        <w:spacing w:line="269" w:lineRule="auto"/>
        <w:ind w:left="849"/>
        <w:rPr>
          <w:rFonts w:eastAsia="Calibri"/>
          <w:b/>
          <w:bCs/>
          <w:rtl/>
        </w:rPr>
      </w:pPr>
      <w:r w:rsidRPr="00BE1CFE">
        <w:rPr>
          <w:rFonts w:eastAsia="Calibri" w:hint="cs"/>
          <w:b/>
          <w:bCs/>
          <w:rtl/>
        </w:rPr>
        <w:t xml:space="preserve">בדיקת משרד מבקר המדינה בדבר תקינות הדיווח של קציני משטרה מוסמכים על מתן היתר מינהלי לשימוש בנתוני תקשורת, כמתחייב מנוהלי המשטרה, העלתה ליקויים מהותיים. מדובר בשימוש בנתוני תקשורת מכוח היתר מינהלי שניתן בעל פה ושלא במסגרת הליך שיפוטי. התברר כי מרבית הדיווחים חסרים מידע בסיסי הנוגע לקבלת הנתונים והשימוש בהם. תמונת מצב זו משקפת ליקוי יסודי בטיפול המשטרה בנושא, שאף מונעת אפשרות של פיקוח ובקרה ראויים על היבטים מרכזיים בתהליך מתן ההיתרים המינהליים והדיווח עליהם, כפי שנקבעו בחוק נתוני תקשורת ובנוהלי המשטרה. ממצאים דומים עלו גם בבקרה שביצעה המשטרה בנושא בשנת 2021 לרבות ממצאים בדבר היתרים מינהליים שהאישור להם ניתן בעל פה ושלגביהם כלל לא נמצא דיווח כתוב באמצעות </w:t>
      </w:r>
      <w:r>
        <w:rPr>
          <w:rFonts w:eastAsia="Calibri" w:hint="cs"/>
          <w:b/>
          <w:bCs/>
          <w:rtl/>
        </w:rPr>
        <w:t>הטפסים</w:t>
      </w:r>
      <w:r w:rsidRPr="00BE1CFE">
        <w:rPr>
          <w:rFonts w:eastAsia="Calibri" w:hint="cs"/>
          <w:b/>
          <w:bCs/>
          <w:rtl/>
        </w:rPr>
        <w:t xml:space="preserve"> הייעודיים לכך. </w:t>
      </w:r>
    </w:p>
    <w:p w:rsidR="00B47E58" w:rsidRDefault="00B47E58" w:rsidP="00261075">
      <w:pPr>
        <w:spacing w:line="269" w:lineRule="auto"/>
        <w:ind w:left="849"/>
        <w:rPr>
          <w:rFonts w:eastAsia="Calibri"/>
          <w:sz w:val="16"/>
          <w:szCs w:val="16"/>
          <w:rtl/>
        </w:rPr>
      </w:pPr>
    </w:p>
    <w:p w:rsidR="00E46818" w:rsidRPr="00BE1CFE" w:rsidRDefault="00E46818" w:rsidP="00261075">
      <w:pPr>
        <w:spacing w:line="269" w:lineRule="auto"/>
        <w:ind w:left="849"/>
        <w:rPr>
          <w:rFonts w:eastAsia="Calibri"/>
          <w:rtl/>
        </w:rPr>
      </w:pPr>
      <w:r w:rsidRPr="00BE1CFE">
        <w:rPr>
          <w:rFonts w:eastAsia="Calibri" w:hint="cs"/>
          <w:rtl/>
        </w:rPr>
        <w:t>ה</w:t>
      </w:r>
      <w:r w:rsidRPr="00BE1CFE">
        <w:rPr>
          <w:rFonts w:eastAsia="Calibri" w:hint="eastAsia"/>
          <w:rtl/>
        </w:rPr>
        <w:t>משטר</w:t>
      </w:r>
      <w:r w:rsidRPr="00BE1CFE">
        <w:rPr>
          <w:rFonts w:eastAsia="Calibri" w:hint="cs"/>
          <w:rtl/>
        </w:rPr>
        <w:t>ה</w:t>
      </w:r>
      <w:r w:rsidRPr="00BE1CFE">
        <w:rPr>
          <w:rFonts w:eastAsia="Calibri"/>
          <w:rtl/>
        </w:rPr>
        <w:t xml:space="preserve"> </w:t>
      </w:r>
      <w:r w:rsidRPr="00BE1CFE">
        <w:rPr>
          <w:rFonts w:eastAsia="Calibri" w:hint="cs"/>
          <w:rtl/>
        </w:rPr>
        <w:t>מסרה בתשובתה כי היא</w:t>
      </w:r>
      <w:r w:rsidRPr="00BE1CFE">
        <w:rPr>
          <w:rFonts w:eastAsia="Calibri"/>
          <w:rtl/>
        </w:rPr>
        <w:t xml:space="preserve"> </w:t>
      </w:r>
      <w:r w:rsidRPr="00BE1CFE">
        <w:rPr>
          <w:rFonts w:eastAsia="Calibri" w:hint="eastAsia"/>
          <w:rtl/>
        </w:rPr>
        <w:t>מייחסת</w:t>
      </w:r>
      <w:r w:rsidRPr="00BE1CFE">
        <w:rPr>
          <w:rFonts w:eastAsia="Calibri"/>
          <w:rtl/>
        </w:rPr>
        <w:t xml:space="preserve"> </w:t>
      </w:r>
      <w:r w:rsidRPr="00BE1CFE">
        <w:rPr>
          <w:rFonts w:eastAsia="Calibri" w:hint="eastAsia"/>
          <w:rtl/>
        </w:rPr>
        <w:t>חשיבות</w:t>
      </w:r>
      <w:r w:rsidRPr="00BE1CFE">
        <w:rPr>
          <w:rFonts w:eastAsia="Calibri"/>
          <w:rtl/>
        </w:rPr>
        <w:t xml:space="preserve"> </w:t>
      </w:r>
      <w:r w:rsidRPr="00BE1CFE">
        <w:rPr>
          <w:rFonts w:eastAsia="Calibri" w:hint="eastAsia"/>
          <w:rtl/>
        </w:rPr>
        <w:t>רבה</w:t>
      </w:r>
      <w:r w:rsidRPr="00BE1CFE">
        <w:rPr>
          <w:rFonts w:eastAsia="Calibri"/>
          <w:rtl/>
        </w:rPr>
        <w:t xml:space="preserve"> </w:t>
      </w:r>
      <w:r w:rsidRPr="00BE1CFE">
        <w:rPr>
          <w:rFonts w:eastAsia="Calibri" w:hint="eastAsia"/>
          <w:rtl/>
        </w:rPr>
        <w:t>לתהליכי</w:t>
      </w:r>
      <w:r w:rsidRPr="00BE1CFE">
        <w:rPr>
          <w:rFonts w:eastAsia="Calibri"/>
          <w:rtl/>
        </w:rPr>
        <w:t xml:space="preserve"> </w:t>
      </w:r>
      <w:r w:rsidRPr="00BE1CFE">
        <w:rPr>
          <w:rFonts w:eastAsia="Calibri" w:hint="eastAsia"/>
          <w:rtl/>
        </w:rPr>
        <w:t>פיקוח</w:t>
      </w:r>
      <w:r w:rsidRPr="00BE1CFE">
        <w:rPr>
          <w:rFonts w:eastAsia="Calibri"/>
          <w:rtl/>
        </w:rPr>
        <w:t xml:space="preserve"> </w:t>
      </w:r>
      <w:r w:rsidRPr="00BE1CFE">
        <w:rPr>
          <w:rFonts w:eastAsia="Calibri" w:hint="eastAsia"/>
          <w:rtl/>
        </w:rPr>
        <w:t>ובקרה</w:t>
      </w:r>
      <w:r w:rsidRPr="00BE1CFE">
        <w:rPr>
          <w:rFonts w:eastAsia="Calibri"/>
          <w:rtl/>
        </w:rPr>
        <w:t xml:space="preserve"> </w:t>
      </w:r>
      <w:r w:rsidRPr="00BE1CFE">
        <w:rPr>
          <w:rFonts w:eastAsia="Calibri" w:hint="eastAsia"/>
          <w:rtl/>
        </w:rPr>
        <w:t>בתחום</w:t>
      </w:r>
      <w:r w:rsidRPr="00BE1CFE">
        <w:rPr>
          <w:rFonts w:eastAsia="Calibri"/>
          <w:rtl/>
        </w:rPr>
        <w:t xml:space="preserve"> </w:t>
      </w:r>
      <w:r w:rsidRPr="00BE1CFE">
        <w:rPr>
          <w:rFonts w:eastAsia="Calibri" w:hint="eastAsia"/>
          <w:rtl/>
        </w:rPr>
        <w:t>הסיגינט</w:t>
      </w:r>
      <w:r w:rsidRPr="00BE1CFE">
        <w:rPr>
          <w:rFonts w:eastAsia="Calibri"/>
          <w:rtl/>
        </w:rPr>
        <w:t xml:space="preserve"> </w:t>
      </w:r>
      <w:r w:rsidRPr="00BE1CFE">
        <w:rPr>
          <w:rFonts w:eastAsia="Calibri" w:hint="eastAsia"/>
          <w:rtl/>
        </w:rPr>
        <w:t>סייבר</w:t>
      </w:r>
      <w:r w:rsidRPr="00BE1CFE">
        <w:rPr>
          <w:rFonts w:eastAsia="Calibri"/>
          <w:rtl/>
        </w:rPr>
        <w:t xml:space="preserve"> </w:t>
      </w:r>
      <w:r w:rsidRPr="00BE1CFE">
        <w:rPr>
          <w:rFonts w:eastAsia="Calibri" w:hint="eastAsia"/>
          <w:rtl/>
        </w:rPr>
        <w:t>ובדגש</w:t>
      </w:r>
      <w:r w:rsidRPr="00BE1CFE">
        <w:rPr>
          <w:rFonts w:eastAsia="Calibri"/>
          <w:rtl/>
        </w:rPr>
        <w:t xml:space="preserve"> </w:t>
      </w:r>
      <w:r w:rsidRPr="00BE1CFE">
        <w:rPr>
          <w:rFonts w:eastAsia="Calibri" w:hint="eastAsia"/>
          <w:rtl/>
        </w:rPr>
        <w:t>על</w:t>
      </w:r>
      <w:r w:rsidRPr="00BE1CFE">
        <w:rPr>
          <w:rFonts w:eastAsia="Calibri"/>
          <w:rtl/>
        </w:rPr>
        <w:t xml:space="preserve"> </w:t>
      </w:r>
      <w:r w:rsidRPr="00BE1CFE">
        <w:rPr>
          <w:rFonts w:eastAsia="Calibri" w:hint="eastAsia"/>
          <w:rtl/>
        </w:rPr>
        <w:t>תחום</w:t>
      </w:r>
      <w:r w:rsidRPr="00BE1CFE">
        <w:rPr>
          <w:rFonts w:eastAsia="Calibri"/>
          <w:rtl/>
        </w:rPr>
        <w:t xml:space="preserve"> </w:t>
      </w:r>
      <w:r w:rsidRPr="00BE1CFE">
        <w:rPr>
          <w:rFonts w:eastAsia="Calibri" w:hint="eastAsia"/>
          <w:rtl/>
        </w:rPr>
        <w:t>ההיתרים</w:t>
      </w:r>
      <w:r w:rsidRPr="00BE1CFE">
        <w:rPr>
          <w:rFonts w:eastAsia="Calibri"/>
          <w:rtl/>
        </w:rPr>
        <w:t xml:space="preserve"> </w:t>
      </w:r>
      <w:r w:rsidRPr="00BE1CFE">
        <w:rPr>
          <w:rFonts w:eastAsia="Calibri" w:hint="eastAsia"/>
          <w:rtl/>
        </w:rPr>
        <w:t>המ</w:t>
      </w:r>
      <w:r w:rsidRPr="00BE1CFE">
        <w:rPr>
          <w:rFonts w:eastAsia="Calibri" w:hint="cs"/>
          <w:rtl/>
        </w:rPr>
        <w:t>י</w:t>
      </w:r>
      <w:r w:rsidRPr="00BE1CFE">
        <w:rPr>
          <w:rFonts w:eastAsia="Calibri" w:hint="eastAsia"/>
          <w:rtl/>
        </w:rPr>
        <w:t>נהליים</w:t>
      </w:r>
      <w:r w:rsidRPr="00BE1CFE">
        <w:rPr>
          <w:rFonts w:eastAsia="Calibri"/>
          <w:rtl/>
        </w:rPr>
        <w:t xml:space="preserve">. </w:t>
      </w:r>
      <w:r w:rsidRPr="00BE1CFE">
        <w:rPr>
          <w:rFonts w:eastAsia="Calibri" w:hint="eastAsia"/>
          <w:rtl/>
        </w:rPr>
        <w:t>מדובר</w:t>
      </w:r>
      <w:r w:rsidRPr="00BE1CFE">
        <w:rPr>
          <w:rFonts w:eastAsia="Calibri"/>
          <w:rtl/>
        </w:rPr>
        <w:t xml:space="preserve"> </w:t>
      </w:r>
      <w:r w:rsidRPr="00BE1CFE">
        <w:rPr>
          <w:rFonts w:eastAsia="Calibri" w:hint="eastAsia"/>
          <w:rtl/>
        </w:rPr>
        <w:t>בבקרות</w:t>
      </w:r>
      <w:r w:rsidRPr="00BE1CFE">
        <w:rPr>
          <w:rFonts w:eastAsia="Calibri"/>
          <w:rtl/>
        </w:rPr>
        <w:t xml:space="preserve"> </w:t>
      </w:r>
      <w:r w:rsidRPr="00BE1CFE">
        <w:rPr>
          <w:rFonts w:eastAsia="Calibri" w:hint="eastAsia"/>
          <w:rtl/>
        </w:rPr>
        <w:t>הכוללות</w:t>
      </w:r>
      <w:r w:rsidRPr="00BE1CFE">
        <w:rPr>
          <w:rFonts w:eastAsia="Calibri"/>
          <w:rtl/>
        </w:rPr>
        <w:t xml:space="preserve"> </w:t>
      </w:r>
      <w:r w:rsidRPr="00BE1CFE">
        <w:rPr>
          <w:rFonts w:eastAsia="Calibri" w:hint="eastAsia"/>
          <w:rtl/>
        </w:rPr>
        <w:t>תהליכי</w:t>
      </w:r>
      <w:r w:rsidRPr="00BE1CFE">
        <w:rPr>
          <w:rFonts w:eastAsia="Calibri"/>
          <w:rtl/>
        </w:rPr>
        <w:t xml:space="preserve"> </w:t>
      </w:r>
      <w:r w:rsidRPr="00BE1CFE">
        <w:rPr>
          <w:rFonts w:eastAsia="Calibri" w:hint="eastAsia"/>
          <w:rtl/>
        </w:rPr>
        <w:t>עבודה</w:t>
      </w:r>
      <w:r w:rsidRPr="00BE1CFE">
        <w:rPr>
          <w:rFonts w:eastAsia="Calibri"/>
          <w:rtl/>
        </w:rPr>
        <w:t xml:space="preserve">, </w:t>
      </w:r>
      <w:r w:rsidRPr="00BE1CFE">
        <w:rPr>
          <w:rFonts w:eastAsia="Calibri" w:hint="eastAsia"/>
          <w:rtl/>
        </w:rPr>
        <w:t>מערכות</w:t>
      </w:r>
      <w:r w:rsidRPr="00BE1CFE">
        <w:rPr>
          <w:rFonts w:eastAsia="Calibri"/>
          <w:rtl/>
        </w:rPr>
        <w:t xml:space="preserve"> </w:t>
      </w:r>
      <w:r w:rsidRPr="00BE1CFE">
        <w:rPr>
          <w:rFonts w:eastAsia="Calibri" w:hint="eastAsia"/>
          <w:rtl/>
        </w:rPr>
        <w:t>טכנולוגיות</w:t>
      </w:r>
      <w:r w:rsidRPr="00BE1CFE">
        <w:rPr>
          <w:rFonts w:eastAsia="Calibri"/>
          <w:rtl/>
        </w:rPr>
        <w:t xml:space="preserve"> </w:t>
      </w:r>
      <w:r w:rsidRPr="00BE1CFE">
        <w:rPr>
          <w:rFonts w:eastAsia="Calibri" w:hint="eastAsia"/>
          <w:rtl/>
        </w:rPr>
        <w:t>ובקרות</w:t>
      </w:r>
      <w:r w:rsidRPr="00BE1CFE">
        <w:rPr>
          <w:rFonts w:eastAsia="Calibri"/>
          <w:rtl/>
        </w:rPr>
        <w:t xml:space="preserve"> </w:t>
      </w:r>
      <w:r w:rsidRPr="00BE1CFE">
        <w:rPr>
          <w:rFonts w:eastAsia="Calibri" w:hint="eastAsia"/>
          <w:rtl/>
        </w:rPr>
        <w:t>פיקודיות</w:t>
      </w:r>
      <w:r w:rsidRPr="00BE1CFE">
        <w:rPr>
          <w:rFonts w:eastAsia="Calibri"/>
          <w:rtl/>
        </w:rPr>
        <w:t xml:space="preserve"> </w:t>
      </w:r>
      <w:r w:rsidRPr="00BE1CFE">
        <w:rPr>
          <w:rFonts w:eastAsia="Calibri" w:hint="eastAsia"/>
          <w:rtl/>
        </w:rPr>
        <w:t>נקודתיות</w:t>
      </w:r>
      <w:r w:rsidRPr="00BE1CFE">
        <w:rPr>
          <w:rFonts w:eastAsia="Calibri"/>
          <w:rtl/>
        </w:rPr>
        <w:t xml:space="preserve"> </w:t>
      </w:r>
      <w:r w:rsidRPr="00BE1CFE">
        <w:rPr>
          <w:rFonts w:eastAsia="Calibri" w:hint="eastAsia"/>
          <w:rtl/>
        </w:rPr>
        <w:t>ב</w:t>
      </w:r>
      <w:r w:rsidRPr="00BE1CFE">
        <w:rPr>
          <w:rFonts w:eastAsia="Calibri" w:hint="cs"/>
          <w:rtl/>
        </w:rPr>
        <w:t>נוגע</w:t>
      </w:r>
      <w:r w:rsidRPr="00BE1CFE">
        <w:rPr>
          <w:rFonts w:eastAsia="Calibri"/>
          <w:rtl/>
        </w:rPr>
        <w:t xml:space="preserve"> </w:t>
      </w:r>
      <w:r w:rsidRPr="00BE1CFE">
        <w:rPr>
          <w:rFonts w:eastAsia="Calibri" w:hint="eastAsia"/>
          <w:rtl/>
        </w:rPr>
        <w:t>לשוטרים</w:t>
      </w:r>
      <w:r w:rsidRPr="00BE1CFE">
        <w:rPr>
          <w:rFonts w:eastAsia="Calibri"/>
          <w:rtl/>
        </w:rPr>
        <w:t xml:space="preserve"> </w:t>
      </w:r>
      <w:r w:rsidRPr="00BE1CFE">
        <w:rPr>
          <w:rFonts w:eastAsia="Calibri" w:hint="eastAsia"/>
          <w:rtl/>
        </w:rPr>
        <w:t>במשל</w:t>
      </w:r>
      <w:r w:rsidRPr="00BE1CFE">
        <w:rPr>
          <w:rFonts w:eastAsia="Calibri"/>
          <w:rtl/>
        </w:rPr>
        <w:t>"</w:t>
      </w:r>
      <w:r w:rsidRPr="00BE1CFE">
        <w:rPr>
          <w:rFonts w:eastAsia="Calibri" w:hint="eastAsia"/>
          <w:rtl/>
        </w:rPr>
        <w:t>ט</w:t>
      </w:r>
      <w:r w:rsidRPr="00BE1CFE">
        <w:rPr>
          <w:rFonts w:eastAsia="Calibri" w:hint="cs"/>
          <w:rtl/>
        </w:rPr>
        <w:t>.</w:t>
      </w:r>
      <w:r w:rsidRPr="00BE1CFE">
        <w:rPr>
          <w:rFonts w:eastAsia="Calibri"/>
          <w:rtl/>
        </w:rPr>
        <w:t xml:space="preserve"> </w:t>
      </w:r>
      <w:r w:rsidRPr="00BE1CFE">
        <w:rPr>
          <w:rFonts w:eastAsia="Calibri" w:hint="cs"/>
          <w:rtl/>
        </w:rPr>
        <w:t xml:space="preserve">כך למשל, בשנים 2017 </w:t>
      </w:r>
      <w:r w:rsidR="003D6F75">
        <w:rPr>
          <w:rFonts w:eastAsia="Calibri" w:hint="cs"/>
          <w:rtl/>
        </w:rPr>
        <w:t>-</w:t>
      </w:r>
      <w:r w:rsidRPr="00BE1CFE">
        <w:rPr>
          <w:rFonts w:eastAsia="Calibri" w:hint="cs"/>
          <w:rtl/>
        </w:rPr>
        <w:t xml:space="preserve"> 2021 בוצעו 236 בקרות במשל"ט במגוון נושאים שונים.</w:t>
      </w:r>
      <w:r>
        <w:rPr>
          <w:rFonts w:eastAsia="Calibri" w:hint="cs"/>
          <w:rtl/>
        </w:rPr>
        <w:t xml:space="preserve"> </w:t>
      </w:r>
    </w:p>
    <w:p w:rsidR="00B47E58" w:rsidRDefault="00B47E58" w:rsidP="00261075">
      <w:pPr>
        <w:spacing w:line="269" w:lineRule="auto"/>
        <w:ind w:left="849"/>
        <w:rPr>
          <w:rFonts w:eastAsia="Calibri"/>
          <w:szCs w:val="20"/>
          <w:rtl/>
        </w:rPr>
      </w:pPr>
    </w:p>
    <w:p w:rsidR="00E46818" w:rsidRPr="00BE1CFE" w:rsidRDefault="00E46818" w:rsidP="00261075">
      <w:pPr>
        <w:spacing w:line="269" w:lineRule="auto"/>
        <w:ind w:left="849"/>
        <w:rPr>
          <w:rFonts w:eastAsia="Calibri"/>
          <w:b/>
          <w:bCs/>
          <w:rtl/>
        </w:rPr>
      </w:pPr>
      <w:r w:rsidRPr="00BE1CFE">
        <w:rPr>
          <w:rFonts w:eastAsia="Calibri" w:hint="cs"/>
          <w:b/>
          <w:bCs/>
          <w:rtl/>
        </w:rPr>
        <w:t xml:space="preserve">עם זאת, בהינתן שהקצינים המוסמכים מפעילים שיקול דעת מעין-שיפוטי, אין ב-236 הבקרות שנערכו בשנים 2017 </w:t>
      </w:r>
      <w:r w:rsidR="003D6F75">
        <w:rPr>
          <w:rFonts w:eastAsia="Calibri" w:hint="cs"/>
          <w:b/>
          <w:bCs/>
          <w:rtl/>
        </w:rPr>
        <w:t>-</w:t>
      </w:r>
      <w:r w:rsidRPr="00BE1CFE">
        <w:rPr>
          <w:rFonts w:eastAsia="Calibri" w:hint="cs"/>
          <w:b/>
          <w:bCs/>
          <w:rtl/>
        </w:rPr>
        <w:t xml:space="preserve"> 2021 על השוטרים והקצינים של המשל"ט כדי להוות תחליף לבקרה הנדרשת גם על דיווחי הקצינים המוסמכים בנוגע למתן היתר מינהלי על ידם. על ראש אח"ם ועל גורמי חטיבת הסייבר לוודא כי הקצינים המוסמכים ממלאים את דרישות החוק והנוהל בכל הנוגע לאופן מתן ההיתר המינהלי והדיווח עליו. מומלץ לחטיבת הסייבר לאמץ התנהלות טכנולוגית שבה כל שלבי הגשת הבקשה לקצין המוסמך ומתן ההיתר יתבצעו באופן ממוחשב כדי לייעל ולשפר את התיעוד והדיווח הנדרשים בנהליה. על חטיבת הסייבר להקפיד על ביצוע בקרה רציפה וקבועה בנושא דיווחי הקצינים המוסמכים על ההיתרים המינהליים ולוודא כי מספר ההיתרים המדווחים זהה למספר ההיתרים המינהליים הניתנים בכל שנה. </w:t>
      </w:r>
      <w:r w:rsidRPr="00BE1CFE">
        <w:rPr>
          <w:rFonts w:eastAsia="Calibri" w:hint="eastAsia"/>
          <w:b/>
          <w:bCs/>
          <w:rtl/>
        </w:rPr>
        <w:t>על</w:t>
      </w:r>
      <w:r w:rsidRPr="00BE1CFE">
        <w:rPr>
          <w:rFonts w:eastAsia="Calibri"/>
          <w:b/>
          <w:bCs/>
          <w:rtl/>
        </w:rPr>
        <w:t xml:space="preserve"> קציני </w:t>
      </w:r>
      <w:r w:rsidRPr="00BE1CFE">
        <w:rPr>
          <w:rFonts w:eastAsia="Calibri" w:hint="eastAsia"/>
          <w:b/>
          <w:bCs/>
          <w:rtl/>
        </w:rPr>
        <w:t>האח</w:t>
      </w:r>
      <w:r w:rsidRPr="00BE1CFE">
        <w:rPr>
          <w:rFonts w:eastAsia="Calibri"/>
          <w:b/>
          <w:bCs/>
          <w:rtl/>
        </w:rPr>
        <w:t>"</w:t>
      </w:r>
      <w:r w:rsidRPr="00BE1CFE">
        <w:rPr>
          <w:rFonts w:eastAsia="Calibri" w:hint="cs"/>
          <w:b/>
          <w:bCs/>
          <w:rtl/>
        </w:rPr>
        <w:t>ם</w:t>
      </w:r>
      <w:r w:rsidRPr="00BE1CFE">
        <w:rPr>
          <w:rFonts w:eastAsia="Calibri"/>
          <w:b/>
          <w:bCs/>
          <w:rtl/>
        </w:rPr>
        <w:t xml:space="preserve"> המחוזיים </w:t>
      </w:r>
      <w:r w:rsidRPr="00BE1CFE">
        <w:rPr>
          <w:rFonts w:eastAsia="Calibri" w:hint="cs"/>
          <w:b/>
          <w:bCs/>
          <w:rtl/>
        </w:rPr>
        <w:t>לבצע</w:t>
      </w:r>
      <w:r w:rsidRPr="00BE1CFE">
        <w:rPr>
          <w:rFonts w:eastAsia="Calibri"/>
          <w:b/>
          <w:bCs/>
          <w:rtl/>
        </w:rPr>
        <w:t xml:space="preserve"> בקרות על דיווחי הקצינים המוסמכים </w:t>
      </w:r>
      <w:r w:rsidRPr="00BE1CFE">
        <w:rPr>
          <w:rFonts w:eastAsia="Calibri" w:hint="eastAsia"/>
          <w:b/>
          <w:bCs/>
          <w:rtl/>
        </w:rPr>
        <w:t>המועברים</w:t>
      </w:r>
      <w:r w:rsidRPr="00BE1CFE">
        <w:rPr>
          <w:rFonts w:eastAsia="Calibri"/>
          <w:b/>
          <w:bCs/>
          <w:rtl/>
        </w:rPr>
        <w:t xml:space="preserve"> </w:t>
      </w:r>
      <w:r w:rsidRPr="00BE1CFE">
        <w:rPr>
          <w:rFonts w:eastAsia="Calibri" w:hint="eastAsia"/>
          <w:b/>
          <w:bCs/>
          <w:rtl/>
        </w:rPr>
        <w:t>אליהם</w:t>
      </w:r>
      <w:r w:rsidRPr="00BE1CFE">
        <w:rPr>
          <w:rFonts w:eastAsia="Calibri"/>
          <w:b/>
          <w:bCs/>
          <w:rtl/>
        </w:rPr>
        <w:t xml:space="preserve"> </w:t>
      </w:r>
      <w:r w:rsidRPr="00BE1CFE">
        <w:rPr>
          <w:rFonts w:eastAsia="Calibri" w:hint="eastAsia"/>
          <w:b/>
          <w:bCs/>
          <w:rtl/>
        </w:rPr>
        <w:t>לאישור</w:t>
      </w:r>
      <w:r w:rsidRPr="00BE1CFE">
        <w:rPr>
          <w:rFonts w:eastAsia="Calibri" w:hint="cs"/>
          <w:b/>
          <w:bCs/>
          <w:rtl/>
        </w:rPr>
        <w:t>,</w:t>
      </w:r>
      <w:r w:rsidRPr="00BE1CFE">
        <w:rPr>
          <w:rFonts w:eastAsia="Calibri"/>
          <w:b/>
          <w:bCs/>
          <w:rtl/>
        </w:rPr>
        <w:t xml:space="preserve"> </w:t>
      </w:r>
      <w:r w:rsidRPr="00BE1CFE">
        <w:rPr>
          <w:rFonts w:eastAsia="Calibri" w:hint="eastAsia"/>
          <w:b/>
          <w:bCs/>
          <w:rtl/>
        </w:rPr>
        <w:t>בהתאם</w:t>
      </w:r>
      <w:r w:rsidRPr="00BE1CFE">
        <w:rPr>
          <w:rFonts w:eastAsia="Calibri"/>
          <w:b/>
          <w:bCs/>
          <w:rtl/>
        </w:rPr>
        <w:t xml:space="preserve"> </w:t>
      </w:r>
      <w:r w:rsidRPr="00BE1CFE">
        <w:rPr>
          <w:rFonts w:eastAsia="Calibri" w:hint="eastAsia"/>
          <w:b/>
          <w:bCs/>
          <w:rtl/>
        </w:rPr>
        <w:t>לחובתם</w:t>
      </w:r>
      <w:r w:rsidRPr="00BE1CFE">
        <w:rPr>
          <w:rFonts w:eastAsia="Calibri" w:hint="cs"/>
          <w:b/>
          <w:bCs/>
          <w:rtl/>
        </w:rPr>
        <w:t>.</w:t>
      </w:r>
    </w:p>
    <w:p w:rsidR="00E46818" w:rsidRPr="00BE1CFE" w:rsidRDefault="00E46818" w:rsidP="00604C3D">
      <w:pPr>
        <w:spacing w:line="269" w:lineRule="auto"/>
        <w:rPr>
          <w:rFonts w:eastAsia="Calibri"/>
          <w:b/>
          <w:bCs/>
          <w:rtl/>
        </w:rPr>
      </w:pPr>
    </w:p>
    <w:p w:rsidR="00E46818" w:rsidRPr="00A66239" w:rsidRDefault="00E46818" w:rsidP="00C10712">
      <w:pPr>
        <w:pStyle w:val="4"/>
        <w:numPr>
          <w:ilvl w:val="1"/>
          <w:numId w:val="50"/>
        </w:numPr>
        <w:spacing w:before="0" w:line="269" w:lineRule="auto"/>
        <w:ind w:left="339"/>
        <w:rPr>
          <w:rFonts w:eastAsia="Times New Roman"/>
          <w:b/>
          <w:rtl/>
        </w:rPr>
      </w:pPr>
      <w:bookmarkStart w:id="615" w:name="_Toc211521954"/>
      <w:bookmarkStart w:id="616" w:name="_Toc219110345"/>
      <w:bookmarkStart w:id="617" w:name="_Toc219113786"/>
      <w:bookmarkStart w:id="618" w:name="_Toc219286561"/>
      <w:r w:rsidRPr="00C10712">
        <w:rPr>
          <w:rFonts w:eastAsia="Times New Roman" w:hint="cs"/>
          <w:rtl/>
        </w:rPr>
        <w:t>פערים</w:t>
      </w:r>
      <w:r w:rsidRPr="00BE1CFE">
        <w:rPr>
          <w:rFonts w:eastAsia="Times New Roman" w:hint="cs"/>
          <w:bCs w:val="0"/>
          <w:rtl/>
        </w:rPr>
        <w:t xml:space="preserve"> </w:t>
      </w:r>
      <w:r w:rsidRPr="00A66239">
        <w:rPr>
          <w:rFonts w:eastAsia="Times New Roman" w:hint="cs"/>
          <w:b/>
          <w:rtl/>
        </w:rPr>
        <w:t>בהכשרה ובהסמכה של קצינים למתן היתרים מינהליים</w:t>
      </w:r>
      <w:bookmarkEnd w:id="615"/>
      <w:bookmarkEnd w:id="616"/>
      <w:bookmarkEnd w:id="617"/>
      <w:bookmarkEnd w:id="618"/>
    </w:p>
    <w:p w:rsidR="00B47E58" w:rsidRDefault="00B47E58" w:rsidP="00604C3D">
      <w:pPr>
        <w:spacing w:line="269" w:lineRule="auto"/>
        <w:rPr>
          <w:rFonts w:eastAsia="Calibri"/>
          <w:szCs w:val="20"/>
          <w:rtl/>
        </w:rPr>
      </w:pPr>
    </w:p>
    <w:p w:rsidR="00E46818" w:rsidRPr="00BE1CFE" w:rsidRDefault="00E46818" w:rsidP="00261075">
      <w:pPr>
        <w:spacing w:line="269" w:lineRule="auto"/>
        <w:ind w:left="339"/>
        <w:rPr>
          <w:rFonts w:eastAsia="Calibri"/>
          <w:rtl/>
        </w:rPr>
      </w:pPr>
      <w:r w:rsidRPr="00BE1CFE">
        <w:rPr>
          <w:rFonts w:eastAsia="Calibri" w:hint="cs"/>
          <w:rtl/>
        </w:rPr>
        <w:t xml:space="preserve">חוק נתוני תקשורת נכנס לתוקף ביוני 2008, וביולי 2008 קבע לראשונה מפכ"ל המשטרה 52 תפקידים שהקצינים המכהנים בהם יוסמכו למתן היתרים מינהליים. </w:t>
      </w:r>
    </w:p>
    <w:p w:rsidR="00B47E58" w:rsidRDefault="00B47E58" w:rsidP="00261075">
      <w:pPr>
        <w:spacing w:line="269" w:lineRule="auto"/>
        <w:ind w:left="339"/>
        <w:rPr>
          <w:rFonts w:eastAsia="Calibri"/>
          <w:szCs w:val="20"/>
          <w:rtl/>
        </w:rPr>
      </w:pPr>
    </w:p>
    <w:p w:rsidR="00E46818" w:rsidRPr="00BE1CFE" w:rsidRDefault="00E46818" w:rsidP="00261075">
      <w:pPr>
        <w:spacing w:line="269" w:lineRule="auto"/>
        <w:ind w:left="339"/>
        <w:rPr>
          <w:rFonts w:eastAsia="Calibri"/>
          <w:rtl/>
        </w:rPr>
      </w:pPr>
      <w:r w:rsidRPr="00BE1CFE">
        <w:rPr>
          <w:rFonts w:eastAsia="Calibri" w:hint="cs"/>
          <w:rtl/>
        </w:rPr>
        <w:t>ההסמכה אינה אישית ואינה ניתנת לאדם מסוים בציון שמו; היא מיועדת לנושאי תפקידים פיקודיים מסוימים</w:t>
      </w:r>
      <w:r w:rsidRPr="00BE1CFE">
        <w:rPr>
          <w:rFonts w:eastAsia="Calibri"/>
          <w:vertAlign w:val="superscript"/>
          <w:rtl/>
        </w:rPr>
        <w:footnoteReference w:id="279"/>
      </w:r>
      <w:r w:rsidRPr="00BE1CFE">
        <w:rPr>
          <w:rFonts w:eastAsia="Calibri" w:hint="cs"/>
          <w:rtl/>
        </w:rPr>
        <w:t xml:space="preserve"> שאליהם יכולות לפנות יחידות חוקרות כאשר נדרש לקבל בדחיפות נתוני תקשורת. זהותם של הקצינים המשרתים בתפקידי הפיקוד מתחלפת, אך ההיתר ניתן למי שיישא בתפקיד הפיקודי במועד שבו נדרשת היחידה לקבל היתר מינהלי. לפיכך ההסמכה לתפקיד אינה מושפעת מתחלופת הנושאים בתפקיד</w:t>
      </w:r>
      <w:r w:rsidRPr="00BE1CFE">
        <w:rPr>
          <w:rFonts w:eastAsia="Calibri"/>
          <w:vertAlign w:val="superscript"/>
          <w:rtl/>
        </w:rPr>
        <w:footnoteReference w:id="280"/>
      </w:r>
      <w:r w:rsidRPr="00BE1CFE">
        <w:rPr>
          <w:rFonts w:eastAsia="Calibri" w:hint="cs"/>
          <w:rtl/>
        </w:rPr>
        <w:t xml:space="preserve">. </w:t>
      </w:r>
    </w:p>
    <w:p w:rsidR="00B47E58" w:rsidRDefault="00B47E58" w:rsidP="00261075">
      <w:pPr>
        <w:spacing w:line="269" w:lineRule="auto"/>
        <w:ind w:left="339"/>
        <w:rPr>
          <w:rFonts w:eastAsia="Calibri"/>
          <w:szCs w:val="20"/>
          <w:rtl/>
        </w:rPr>
      </w:pPr>
    </w:p>
    <w:p w:rsidR="00E46818" w:rsidRPr="00BE1CFE" w:rsidRDefault="00E46818" w:rsidP="00261075">
      <w:pPr>
        <w:spacing w:line="269" w:lineRule="auto"/>
        <w:ind w:left="339"/>
        <w:rPr>
          <w:rFonts w:eastAsia="Calibri"/>
        </w:rPr>
      </w:pPr>
      <w:r w:rsidRPr="00BE1CFE">
        <w:rPr>
          <w:rFonts w:eastAsia="Calibri" w:hint="cs"/>
          <w:rtl/>
        </w:rPr>
        <w:t>במכתב ההסמכה נכתב בפירוש כי ההסמכה מותנית בכך שהקצינים המוסמכים הם בדרגת סנ"ץ ומעלה, למעט מפקדי מוקדים אשר החוק קובע כי הם יכולים להיות בדרגת רפ"ק. במהלך השנים בוצעו עדכונים ושינויים בתפקידים שבהם הקצינים נדרשים למתן היתר מינהלי, ובהתאם לכך בוצעו שינויים במספר הקצינים שהסמיך לצורך זה מפכ"ל המשטרה. נכון לאפריל 2023 מספר הקצינים המוסמכים במשטרה היה 91. מספר ההיתרים המינהליים שאישרו הקצינים המוסמכים בשנת 2021 היה כ-16,000.</w:t>
      </w:r>
      <w:r w:rsidRPr="00BE1CFE">
        <w:rPr>
          <w:rFonts w:eastAsia="Calibri"/>
          <w:rtl/>
        </w:rPr>
        <w:t xml:space="preserve"> </w:t>
      </w:r>
    </w:p>
    <w:p w:rsidR="00B47E58" w:rsidRDefault="00B47E58" w:rsidP="00261075">
      <w:pPr>
        <w:spacing w:line="269" w:lineRule="auto"/>
        <w:ind w:left="339"/>
        <w:rPr>
          <w:rFonts w:eastAsia="Calibri"/>
          <w:szCs w:val="20"/>
          <w:rtl/>
        </w:rPr>
      </w:pPr>
    </w:p>
    <w:p w:rsidR="00B47E58" w:rsidRDefault="00E46818" w:rsidP="00261075">
      <w:pPr>
        <w:spacing w:line="269" w:lineRule="auto"/>
        <w:ind w:left="339"/>
        <w:rPr>
          <w:rtl/>
        </w:rPr>
      </w:pPr>
      <w:r w:rsidRPr="00BE1CFE">
        <w:rPr>
          <w:rFonts w:eastAsia="Calibri" w:hint="cs"/>
          <w:b/>
          <w:bCs/>
          <w:rtl/>
        </w:rPr>
        <w:t xml:space="preserve">נמצא כי </w:t>
      </w:r>
      <w:r w:rsidRPr="00BE1CFE">
        <w:rPr>
          <w:rFonts w:eastAsia="Calibri" w:hint="eastAsia"/>
          <w:b/>
          <w:bCs/>
          <w:rtl/>
        </w:rPr>
        <w:t>הכשרתם</w:t>
      </w:r>
      <w:r w:rsidRPr="00BE1CFE">
        <w:rPr>
          <w:rFonts w:eastAsia="Calibri"/>
          <w:b/>
          <w:bCs/>
          <w:rtl/>
        </w:rPr>
        <w:t xml:space="preserve"> של </w:t>
      </w:r>
      <w:r w:rsidRPr="00BE1CFE">
        <w:rPr>
          <w:rFonts w:eastAsia="Calibri" w:hint="eastAsia"/>
          <w:b/>
          <w:bCs/>
          <w:rtl/>
        </w:rPr>
        <w:t>קצינים</w:t>
      </w:r>
      <w:r w:rsidRPr="00BE1CFE">
        <w:rPr>
          <w:rFonts w:eastAsia="Calibri"/>
          <w:b/>
          <w:bCs/>
          <w:rtl/>
        </w:rPr>
        <w:t xml:space="preserve"> </w:t>
      </w:r>
      <w:r w:rsidRPr="00BE1CFE">
        <w:rPr>
          <w:rFonts w:eastAsia="Calibri" w:hint="eastAsia"/>
          <w:b/>
          <w:bCs/>
          <w:rtl/>
        </w:rPr>
        <w:t>מוסמכים</w:t>
      </w:r>
      <w:r w:rsidRPr="00BE1CFE">
        <w:rPr>
          <w:rFonts w:eastAsia="Calibri"/>
          <w:b/>
          <w:bCs/>
          <w:rtl/>
        </w:rPr>
        <w:t xml:space="preserve"> </w:t>
      </w:r>
      <w:r w:rsidRPr="00BE1CFE">
        <w:rPr>
          <w:rFonts w:eastAsia="Calibri" w:hint="eastAsia"/>
          <w:b/>
          <w:bCs/>
          <w:rtl/>
        </w:rPr>
        <w:t>למתן</w:t>
      </w:r>
      <w:r w:rsidRPr="00BE1CFE">
        <w:rPr>
          <w:rFonts w:eastAsia="Calibri"/>
          <w:b/>
          <w:bCs/>
          <w:rtl/>
        </w:rPr>
        <w:t xml:space="preserve"> </w:t>
      </w:r>
      <w:r w:rsidRPr="00BE1CFE">
        <w:rPr>
          <w:rFonts w:eastAsia="Calibri" w:hint="eastAsia"/>
          <w:b/>
          <w:bCs/>
          <w:rtl/>
        </w:rPr>
        <w:t>היתר</w:t>
      </w:r>
      <w:r w:rsidRPr="00BE1CFE">
        <w:rPr>
          <w:rFonts w:eastAsia="Calibri"/>
          <w:b/>
          <w:bCs/>
          <w:rtl/>
        </w:rPr>
        <w:t xml:space="preserve"> </w:t>
      </w:r>
      <w:r w:rsidRPr="00BE1CFE">
        <w:rPr>
          <w:rFonts w:eastAsia="Calibri" w:hint="eastAsia"/>
          <w:b/>
          <w:bCs/>
          <w:rtl/>
        </w:rPr>
        <w:t>מ</w:t>
      </w:r>
      <w:r w:rsidRPr="00BE1CFE">
        <w:rPr>
          <w:rFonts w:eastAsia="Calibri" w:hint="cs"/>
          <w:b/>
          <w:bCs/>
          <w:rtl/>
        </w:rPr>
        <w:t>י</w:t>
      </w:r>
      <w:r w:rsidRPr="00BE1CFE">
        <w:rPr>
          <w:rFonts w:eastAsia="Calibri" w:hint="eastAsia"/>
          <w:b/>
          <w:bCs/>
          <w:rtl/>
        </w:rPr>
        <w:t>נהלי</w:t>
      </w:r>
      <w:r w:rsidRPr="00BE1CFE">
        <w:rPr>
          <w:rFonts w:eastAsia="Calibri"/>
          <w:b/>
          <w:bCs/>
          <w:rtl/>
        </w:rPr>
        <w:t xml:space="preserve"> </w:t>
      </w:r>
      <w:r w:rsidRPr="00BE1CFE">
        <w:rPr>
          <w:rFonts w:eastAsia="Calibri" w:hint="eastAsia"/>
          <w:b/>
          <w:bCs/>
          <w:rtl/>
        </w:rPr>
        <w:t>מסתכמת</w:t>
      </w:r>
      <w:r w:rsidRPr="00BE1CFE">
        <w:rPr>
          <w:rFonts w:eastAsia="Calibri"/>
          <w:b/>
          <w:bCs/>
          <w:rtl/>
        </w:rPr>
        <w:t xml:space="preserve"> </w:t>
      </w:r>
      <w:r w:rsidRPr="00BE1CFE">
        <w:rPr>
          <w:rFonts w:eastAsia="Calibri" w:hint="eastAsia"/>
          <w:b/>
          <w:bCs/>
          <w:rtl/>
        </w:rPr>
        <w:t>במצגת</w:t>
      </w:r>
      <w:r w:rsidRPr="00BE1CFE">
        <w:rPr>
          <w:rFonts w:eastAsia="Calibri"/>
          <w:b/>
          <w:bCs/>
          <w:vertAlign w:val="superscript"/>
          <w:rtl/>
        </w:rPr>
        <w:footnoteReference w:id="281"/>
      </w:r>
      <w:r w:rsidRPr="00BE1CFE">
        <w:rPr>
          <w:rFonts w:eastAsia="Calibri"/>
          <w:b/>
          <w:bCs/>
          <w:rtl/>
        </w:rPr>
        <w:t xml:space="preserve"> </w:t>
      </w:r>
      <w:r w:rsidRPr="00BE1CFE">
        <w:rPr>
          <w:rFonts w:eastAsia="Calibri" w:hint="cs"/>
          <w:b/>
          <w:bCs/>
          <w:rtl/>
        </w:rPr>
        <w:t>שמעביר להם</w:t>
      </w:r>
      <w:r w:rsidRPr="00BE1CFE">
        <w:rPr>
          <w:rFonts w:eastAsia="Calibri"/>
          <w:b/>
          <w:bCs/>
          <w:rtl/>
        </w:rPr>
        <w:t xml:space="preserve"> רמ"ד מבצעים בחטיבת הסייבר או </w:t>
      </w:r>
      <w:r w:rsidRPr="00BE1CFE">
        <w:rPr>
          <w:rFonts w:eastAsia="Calibri" w:hint="eastAsia"/>
          <w:b/>
          <w:bCs/>
          <w:rtl/>
        </w:rPr>
        <w:t>מפקד</w:t>
      </w:r>
      <w:r w:rsidRPr="00BE1CFE">
        <w:rPr>
          <w:rFonts w:eastAsia="Calibri"/>
          <w:b/>
          <w:bCs/>
          <w:rtl/>
        </w:rPr>
        <w:t xml:space="preserve"> </w:t>
      </w:r>
      <w:r w:rsidRPr="00BE1CFE">
        <w:rPr>
          <w:rFonts w:eastAsia="Calibri" w:hint="eastAsia"/>
          <w:b/>
          <w:bCs/>
          <w:rtl/>
        </w:rPr>
        <w:t>מרכז</w:t>
      </w:r>
      <w:r w:rsidRPr="00BE1CFE">
        <w:rPr>
          <w:rFonts w:eastAsia="Calibri"/>
          <w:b/>
          <w:bCs/>
          <w:rtl/>
        </w:rPr>
        <w:t xml:space="preserve"> </w:t>
      </w:r>
      <w:r w:rsidRPr="00BE1CFE">
        <w:rPr>
          <w:rFonts w:eastAsia="Calibri" w:hint="eastAsia"/>
          <w:b/>
          <w:bCs/>
          <w:rtl/>
        </w:rPr>
        <w:t>מבצעים</w:t>
      </w:r>
      <w:r w:rsidRPr="00BE1CFE">
        <w:rPr>
          <w:rFonts w:eastAsia="Calibri"/>
          <w:b/>
          <w:bCs/>
          <w:rtl/>
        </w:rPr>
        <w:t xml:space="preserve">. </w:t>
      </w:r>
    </w:p>
    <w:p w:rsidR="00261075" w:rsidRDefault="00261075" w:rsidP="00261075">
      <w:pPr>
        <w:spacing w:line="269" w:lineRule="auto"/>
        <w:ind w:left="339"/>
        <w:rPr>
          <w:rtl/>
        </w:rPr>
      </w:pPr>
    </w:p>
    <w:p w:rsidR="00E46818" w:rsidRPr="00BE1CFE" w:rsidRDefault="00E46818" w:rsidP="00261075">
      <w:pPr>
        <w:spacing w:line="269" w:lineRule="auto"/>
        <w:ind w:left="339"/>
        <w:rPr>
          <w:rFonts w:eastAsia="Calibri"/>
          <w:rtl/>
        </w:rPr>
      </w:pPr>
      <w:r w:rsidRPr="00BE1CFE">
        <w:rPr>
          <w:rFonts w:eastAsia="Calibri" w:hint="cs"/>
          <w:rtl/>
        </w:rPr>
        <w:t xml:space="preserve">משרד מבקר המדינה השווה בין ההכשרה </w:t>
      </w:r>
      <w:r w:rsidRPr="00BE1CFE">
        <w:rPr>
          <w:rFonts w:eastAsia="Calibri" w:hint="eastAsia"/>
          <w:rtl/>
        </w:rPr>
        <w:t>שניתנ</w:t>
      </w:r>
      <w:r w:rsidRPr="00BE1CFE">
        <w:rPr>
          <w:rFonts w:eastAsia="Calibri" w:hint="cs"/>
          <w:rtl/>
        </w:rPr>
        <w:t xml:space="preserve">ת במשטרה לקצינים המוסמכים למתן היתרים מינהליים לקבלת נתוני תקשורת ובין ההכשרה </w:t>
      </w:r>
      <w:r w:rsidRPr="00BE1CFE">
        <w:rPr>
          <w:rFonts w:eastAsia="Calibri" w:hint="eastAsia"/>
          <w:rtl/>
        </w:rPr>
        <w:t>שניתנת</w:t>
      </w:r>
      <w:r w:rsidRPr="00BE1CFE">
        <w:rPr>
          <w:rFonts w:eastAsia="Calibri" w:hint="cs"/>
          <w:rtl/>
        </w:rPr>
        <w:t xml:space="preserve"> לבעלי תפקידים אחרים שעוסקים בתחום נתוני תקשורת. להלן יפורטו ממצאי ההשוואה: </w:t>
      </w:r>
    </w:p>
    <w:p w:rsidR="00B47E58" w:rsidRPr="00B47E58" w:rsidRDefault="00B47E58" w:rsidP="00604C3D">
      <w:pPr>
        <w:spacing w:line="269" w:lineRule="auto"/>
        <w:ind w:left="424"/>
        <w:contextualSpacing/>
        <w:rPr>
          <w:rFonts w:eastAsia="Calibri"/>
        </w:rPr>
      </w:pPr>
    </w:p>
    <w:p w:rsidR="00E46818" w:rsidRPr="009F28D5" w:rsidRDefault="00E46818" w:rsidP="00261075">
      <w:pPr>
        <w:pStyle w:val="af2"/>
        <w:numPr>
          <w:ilvl w:val="0"/>
          <w:numId w:val="52"/>
        </w:numPr>
        <w:spacing w:line="269" w:lineRule="auto"/>
        <w:ind w:left="773" w:hanging="423"/>
        <w:rPr>
          <w:rFonts w:eastAsia="Calibri"/>
        </w:rPr>
      </w:pPr>
      <w:r w:rsidRPr="009F28D5">
        <w:rPr>
          <w:rFonts w:eastAsia="Calibri" w:hint="cs"/>
          <w:rtl/>
        </w:rPr>
        <w:t>לנוכח חשיבותם הרבה ורגישותם של חלק מנתוני התקשורת, חטיבת הסייבר קבעה כי נדרש מדרג אישורים נוסף, מקצועי ופיקודי, על ידי קצינים, לשם הגשת בקשה לצו שיפוטי</w:t>
      </w:r>
      <w:r w:rsidR="000D3A88" w:rsidRPr="009F28D5">
        <w:rPr>
          <w:rFonts w:eastAsia="Calibri" w:hint="cs"/>
          <w:rtl/>
        </w:rPr>
        <w:t>, היתר מינהלי,</w:t>
      </w:r>
      <w:r w:rsidRPr="009F28D5">
        <w:rPr>
          <w:rFonts w:eastAsia="Calibri" w:hint="cs"/>
          <w:rtl/>
        </w:rPr>
        <w:t xml:space="preserve"> או מימוש</w:t>
      </w:r>
      <w:r w:rsidR="000D3A88" w:rsidRPr="009F28D5">
        <w:rPr>
          <w:rFonts w:eastAsia="Calibri" w:hint="cs"/>
          <w:rtl/>
        </w:rPr>
        <w:t>ם</w:t>
      </w:r>
      <w:r w:rsidRPr="009F28D5">
        <w:rPr>
          <w:rFonts w:eastAsia="Calibri" w:hint="cs"/>
          <w:rtl/>
        </w:rPr>
        <w:t xml:space="preserve"> בנוגע לנתונים מסוימים.</w:t>
      </w:r>
    </w:p>
    <w:p w:rsidR="00B47E58" w:rsidRDefault="00B47E58" w:rsidP="00604C3D">
      <w:pPr>
        <w:spacing w:line="269" w:lineRule="auto"/>
        <w:ind w:left="424"/>
        <w:rPr>
          <w:rFonts w:eastAsia="Calibri"/>
          <w:szCs w:val="20"/>
          <w:rtl/>
        </w:rPr>
      </w:pPr>
    </w:p>
    <w:p w:rsidR="00E46818" w:rsidRPr="00BE1CFE" w:rsidRDefault="00E46818" w:rsidP="00261075">
      <w:pPr>
        <w:spacing w:line="269" w:lineRule="auto"/>
        <w:ind w:left="773"/>
        <w:rPr>
          <w:rFonts w:eastAsia="Calibri"/>
          <w:rtl/>
        </w:rPr>
      </w:pPr>
      <w:r w:rsidRPr="00BE1CFE">
        <w:rPr>
          <w:rFonts w:eastAsia="Calibri" w:hint="eastAsia"/>
          <w:rtl/>
        </w:rPr>
        <w:t>החטיבה</w:t>
      </w:r>
      <w:r w:rsidRPr="00BE1CFE">
        <w:rPr>
          <w:rFonts w:eastAsia="Calibri"/>
          <w:rtl/>
        </w:rPr>
        <w:t xml:space="preserve"> </w:t>
      </w:r>
      <w:r w:rsidRPr="00BE1CFE">
        <w:rPr>
          <w:rFonts w:eastAsia="Calibri" w:hint="eastAsia"/>
          <w:rtl/>
        </w:rPr>
        <w:t>קבעה</w:t>
      </w:r>
      <w:r w:rsidRPr="00BE1CFE">
        <w:rPr>
          <w:rFonts w:eastAsia="Calibri"/>
          <w:rtl/>
        </w:rPr>
        <w:t xml:space="preserve"> </w:t>
      </w:r>
      <w:r w:rsidRPr="00BE1CFE">
        <w:rPr>
          <w:rFonts w:eastAsia="Calibri" w:hint="eastAsia"/>
          <w:rtl/>
        </w:rPr>
        <w:t>כי</w:t>
      </w:r>
      <w:r w:rsidRPr="00BE1CFE">
        <w:rPr>
          <w:rFonts w:eastAsia="Calibri"/>
          <w:rtl/>
        </w:rPr>
        <w:t xml:space="preserve"> </w:t>
      </w:r>
      <w:r w:rsidRPr="00BE1CFE">
        <w:rPr>
          <w:rFonts w:eastAsia="Calibri" w:hint="eastAsia"/>
          <w:rtl/>
        </w:rPr>
        <w:t>לשם</w:t>
      </w:r>
      <w:r w:rsidRPr="00BE1CFE">
        <w:rPr>
          <w:rFonts w:eastAsia="Calibri"/>
          <w:rtl/>
        </w:rPr>
        <w:t xml:space="preserve"> </w:t>
      </w:r>
      <w:r w:rsidRPr="00BE1CFE">
        <w:rPr>
          <w:rFonts w:eastAsia="Calibri" w:hint="eastAsia"/>
          <w:rtl/>
        </w:rPr>
        <w:t>מתן</w:t>
      </w:r>
      <w:r w:rsidRPr="00BE1CFE">
        <w:rPr>
          <w:rFonts w:eastAsia="Calibri"/>
          <w:rtl/>
        </w:rPr>
        <w:t xml:space="preserve"> </w:t>
      </w:r>
      <w:r w:rsidRPr="00BE1CFE">
        <w:rPr>
          <w:rFonts w:eastAsia="Calibri" w:hint="eastAsia"/>
          <w:rtl/>
        </w:rPr>
        <w:t>האישורים</w:t>
      </w:r>
      <w:r w:rsidRPr="00BE1CFE">
        <w:rPr>
          <w:rFonts w:eastAsia="Calibri"/>
          <w:rtl/>
        </w:rPr>
        <w:t xml:space="preserve"> </w:t>
      </w:r>
      <w:r w:rsidRPr="00BE1CFE">
        <w:rPr>
          <w:rFonts w:eastAsia="Calibri" w:hint="eastAsia"/>
          <w:rtl/>
        </w:rPr>
        <w:t>האמורים</w:t>
      </w:r>
      <w:r w:rsidRPr="00BE1CFE">
        <w:rPr>
          <w:rFonts w:eastAsia="Calibri"/>
          <w:rtl/>
        </w:rPr>
        <w:t xml:space="preserve"> אותם קצינים</w:t>
      </w:r>
      <w:r>
        <w:rPr>
          <w:rFonts w:eastAsia="Calibri" w:hint="cs"/>
          <w:rtl/>
        </w:rPr>
        <w:t xml:space="preserve"> -</w:t>
      </w:r>
      <w:r w:rsidRPr="00BE1CFE">
        <w:rPr>
          <w:rFonts w:eastAsia="Calibri"/>
          <w:rtl/>
        </w:rPr>
        <w:t xml:space="preserve"> </w:t>
      </w:r>
      <w:r w:rsidRPr="00BE1CFE">
        <w:rPr>
          <w:rFonts w:eastAsia="Calibri" w:hint="cs"/>
          <w:rtl/>
        </w:rPr>
        <w:t xml:space="preserve">המאשרים הגשת בקשות לנתונים </w:t>
      </w:r>
      <w:r>
        <w:rPr>
          <w:rFonts w:eastAsia="Calibri" w:hint="cs"/>
          <w:rtl/>
        </w:rPr>
        <w:t>מסוימים</w:t>
      </w:r>
      <w:r w:rsidRPr="00BE1CFE">
        <w:rPr>
          <w:rFonts w:eastAsia="Calibri" w:hint="cs"/>
          <w:rtl/>
        </w:rPr>
        <w:t xml:space="preserve"> </w:t>
      </w:r>
      <w:r>
        <w:rPr>
          <w:rFonts w:eastAsia="Calibri" w:hint="cs"/>
          <w:rtl/>
        </w:rPr>
        <w:t>-</w:t>
      </w:r>
      <w:r w:rsidRPr="00BE1CFE">
        <w:rPr>
          <w:rFonts w:eastAsia="Calibri" w:hint="cs"/>
          <w:rtl/>
        </w:rPr>
        <w:t xml:space="preserve"> </w:t>
      </w:r>
      <w:r w:rsidRPr="00BE1CFE">
        <w:rPr>
          <w:rFonts w:eastAsia="Calibri"/>
          <w:rtl/>
        </w:rPr>
        <w:t xml:space="preserve">נדרשים לעבור </w:t>
      </w:r>
      <w:r w:rsidRPr="00BE1CFE">
        <w:rPr>
          <w:rFonts w:eastAsia="Calibri" w:hint="cs"/>
          <w:rtl/>
        </w:rPr>
        <w:t xml:space="preserve">תהליך של </w:t>
      </w:r>
      <w:r w:rsidRPr="00BE1CFE">
        <w:rPr>
          <w:rFonts w:eastAsia="Calibri" w:hint="eastAsia"/>
          <w:rtl/>
        </w:rPr>
        <w:t>הדרכה</w:t>
      </w:r>
      <w:r w:rsidRPr="00BE1CFE">
        <w:rPr>
          <w:rFonts w:eastAsia="Calibri"/>
          <w:rtl/>
        </w:rPr>
        <w:t xml:space="preserve"> </w:t>
      </w:r>
      <w:r w:rsidRPr="00BE1CFE">
        <w:rPr>
          <w:rFonts w:eastAsia="Calibri" w:hint="eastAsia"/>
          <w:rtl/>
        </w:rPr>
        <w:t>והסמכה</w:t>
      </w:r>
      <w:r w:rsidRPr="00BE1CFE">
        <w:rPr>
          <w:rFonts w:eastAsia="Calibri"/>
          <w:rtl/>
        </w:rPr>
        <w:t xml:space="preserve"> </w:t>
      </w:r>
      <w:r w:rsidRPr="00BE1CFE">
        <w:rPr>
          <w:rFonts w:eastAsia="Calibri" w:hint="eastAsia"/>
          <w:rtl/>
        </w:rPr>
        <w:t>ל</w:t>
      </w:r>
      <w:r w:rsidRPr="00BE1CFE">
        <w:rPr>
          <w:rFonts w:eastAsia="Calibri" w:hint="cs"/>
          <w:rtl/>
        </w:rPr>
        <w:t xml:space="preserve">תפקיד </w:t>
      </w:r>
      <w:r w:rsidRPr="00BE1CFE">
        <w:rPr>
          <w:rFonts w:eastAsia="Calibri" w:hint="eastAsia"/>
          <w:rtl/>
        </w:rPr>
        <w:t>קצין</w:t>
      </w:r>
      <w:r w:rsidRPr="00BE1CFE">
        <w:rPr>
          <w:rFonts w:eastAsia="Calibri"/>
          <w:rtl/>
        </w:rPr>
        <w:t xml:space="preserve"> "מורשה </w:t>
      </w:r>
      <w:r w:rsidRPr="00BE1CFE">
        <w:rPr>
          <w:rFonts w:eastAsia="Calibri" w:hint="eastAsia"/>
          <w:rtl/>
        </w:rPr>
        <w:t>מקצועי</w:t>
      </w:r>
      <w:r w:rsidRPr="00BE1CFE">
        <w:rPr>
          <w:rFonts w:eastAsia="Calibri"/>
          <w:rtl/>
        </w:rPr>
        <w:t>"</w:t>
      </w:r>
      <w:r w:rsidRPr="00BE1CFE">
        <w:rPr>
          <w:rFonts w:eastAsia="Calibri" w:hint="cs"/>
          <w:rtl/>
        </w:rPr>
        <w:t>.</w:t>
      </w:r>
      <w:r w:rsidRPr="00BE1CFE">
        <w:rPr>
          <w:rFonts w:eastAsia="Calibri"/>
          <w:rtl/>
        </w:rPr>
        <w:t xml:space="preserve"> </w:t>
      </w:r>
      <w:r w:rsidRPr="00BE1CFE">
        <w:rPr>
          <w:rFonts w:eastAsia="Calibri" w:hint="cs"/>
          <w:rtl/>
        </w:rPr>
        <w:t xml:space="preserve">תהליך זה </w:t>
      </w:r>
      <w:r w:rsidRPr="00BE1CFE">
        <w:rPr>
          <w:rFonts w:eastAsia="Calibri" w:hint="eastAsia"/>
          <w:rtl/>
        </w:rPr>
        <w:t>כולל</w:t>
      </w:r>
      <w:r w:rsidRPr="00BE1CFE">
        <w:rPr>
          <w:rFonts w:eastAsia="Calibri"/>
          <w:rtl/>
        </w:rPr>
        <w:t xml:space="preserve"> </w:t>
      </w:r>
      <w:r w:rsidRPr="00BE1CFE">
        <w:rPr>
          <w:rFonts w:eastAsia="Calibri" w:hint="eastAsia"/>
          <w:rtl/>
        </w:rPr>
        <w:t>קורס</w:t>
      </w:r>
      <w:r w:rsidRPr="00BE1CFE">
        <w:rPr>
          <w:rFonts w:eastAsia="Calibri"/>
          <w:rtl/>
        </w:rPr>
        <w:t xml:space="preserve"> </w:t>
      </w:r>
      <w:r w:rsidRPr="00BE1CFE">
        <w:rPr>
          <w:rFonts w:eastAsia="Calibri" w:hint="eastAsia"/>
          <w:rtl/>
        </w:rPr>
        <w:t>מקצועי</w:t>
      </w:r>
      <w:r w:rsidRPr="00BE1CFE">
        <w:rPr>
          <w:rFonts w:eastAsia="Calibri"/>
          <w:rtl/>
        </w:rPr>
        <w:t xml:space="preserve"> </w:t>
      </w:r>
      <w:r w:rsidRPr="00BE1CFE">
        <w:rPr>
          <w:rFonts w:eastAsia="Calibri" w:hint="cs"/>
          <w:rtl/>
        </w:rPr>
        <w:t>של</w:t>
      </w:r>
      <w:r w:rsidRPr="00BE1CFE">
        <w:rPr>
          <w:rFonts w:eastAsia="Calibri"/>
          <w:rtl/>
        </w:rPr>
        <w:t xml:space="preserve"> </w:t>
      </w:r>
      <w:r w:rsidRPr="00BE1CFE">
        <w:rPr>
          <w:rFonts w:eastAsia="Calibri" w:hint="eastAsia"/>
          <w:rtl/>
        </w:rPr>
        <w:t>שבוע</w:t>
      </w:r>
      <w:r w:rsidRPr="00BE1CFE">
        <w:rPr>
          <w:rFonts w:eastAsia="Calibri"/>
          <w:rtl/>
        </w:rPr>
        <w:t xml:space="preserve"> </w:t>
      </w:r>
      <w:r w:rsidRPr="00BE1CFE">
        <w:rPr>
          <w:rFonts w:eastAsia="Calibri" w:hint="eastAsia"/>
          <w:rtl/>
        </w:rPr>
        <w:t>ימים</w:t>
      </w:r>
      <w:r w:rsidRPr="00BE1CFE">
        <w:rPr>
          <w:rFonts w:eastAsia="Calibri"/>
          <w:rtl/>
        </w:rPr>
        <w:t xml:space="preserve">, אשר לאחריו נדרשים </w:t>
      </w:r>
      <w:r w:rsidRPr="00BE1CFE">
        <w:rPr>
          <w:rFonts w:eastAsia="Calibri" w:hint="eastAsia"/>
          <w:rtl/>
        </w:rPr>
        <w:t>הקצינים</w:t>
      </w:r>
      <w:r w:rsidRPr="00BE1CFE">
        <w:rPr>
          <w:rFonts w:eastAsia="Calibri"/>
          <w:rtl/>
        </w:rPr>
        <w:t xml:space="preserve"> </w:t>
      </w:r>
      <w:r w:rsidRPr="00BE1CFE">
        <w:rPr>
          <w:rFonts w:eastAsia="Calibri" w:hint="eastAsia"/>
          <w:rtl/>
        </w:rPr>
        <w:t>לעבור</w:t>
      </w:r>
      <w:r w:rsidRPr="00BE1CFE">
        <w:rPr>
          <w:rFonts w:eastAsia="Calibri"/>
          <w:rtl/>
        </w:rPr>
        <w:t xml:space="preserve"> </w:t>
      </w:r>
      <w:r w:rsidRPr="00BE1CFE">
        <w:rPr>
          <w:rFonts w:eastAsia="Calibri" w:hint="eastAsia"/>
          <w:rtl/>
        </w:rPr>
        <w:t>תקופת</w:t>
      </w:r>
      <w:r w:rsidRPr="00BE1CFE">
        <w:rPr>
          <w:rFonts w:eastAsia="Calibri"/>
          <w:rtl/>
        </w:rPr>
        <w:t xml:space="preserve"> </w:t>
      </w:r>
      <w:r w:rsidRPr="00BE1CFE">
        <w:rPr>
          <w:rFonts w:eastAsia="Calibri" w:hint="eastAsia"/>
          <w:rtl/>
        </w:rPr>
        <w:t>התמקצעות</w:t>
      </w:r>
      <w:r w:rsidRPr="00BE1CFE">
        <w:rPr>
          <w:rFonts w:eastAsia="Calibri"/>
          <w:rtl/>
        </w:rPr>
        <w:t xml:space="preserve"> </w:t>
      </w:r>
      <w:r w:rsidRPr="00BE1CFE">
        <w:rPr>
          <w:rFonts w:eastAsia="Calibri" w:hint="eastAsia"/>
          <w:rtl/>
        </w:rPr>
        <w:t>וחניכה</w:t>
      </w:r>
      <w:r w:rsidRPr="00BE1CFE">
        <w:rPr>
          <w:rFonts w:eastAsia="Calibri"/>
          <w:rtl/>
        </w:rPr>
        <w:t xml:space="preserve"> </w:t>
      </w:r>
      <w:r w:rsidRPr="00BE1CFE">
        <w:rPr>
          <w:rFonts w:eastAsia="Calibri" w:hint="cs"/>
          <w:rtl/>
        </w:rPr>
        <w:t>של</w:t>
      </w:r>
      <w:r w:rsidRPr="00BE1CFE">
        <w:rPr>
          <w:rFonts w:eastAsia="Calibri"/>
          <w:rtl/>
        </w:rPr>
        <w:t xml:space="preserve"> </w:t>
      </w:r>
      <w:r w:rsidRPr="00BE1CFE">
        <w:rPr>
          <w:rFonts w:eastAsia="Calibri" w:hint="eastAsia"/>
          <w:rtl/>
        </w:rPr>
        <w:t>שישה</w:t>
      </w:r>
      <w:r w:rsidRPr="00BE1CFE">
        <w:rPr>
          <w:rFonts w:eastAsia="Calibri"/>
          <w:rtl/>
        </w:rPr>
        <w:t xml:space="preserve"> </w:t>
      </w:r>
      <w:r w:rsidRPr="00BE1CFE">
        <w:rPr>
          <w:rFonts w:eastAsia="Calibri" w:hint="eastAsia"/>
          <w:rtl/>
        </w:rPr>
        <w:t>חודשים</w:t>
      </w:r>
      <w:r w:rsidRPr="00BE1CFE">
        <w:rPr>
          <w:rFonts w:eastAsia="Calibri"/>
          <w:rtl/>
        </w:rPr>
        <w:t xml:space="preserve"> </w:t>
      </w:r>
      <w:r w:rsidRPr="00BE1CFE">
        <w:rPr>
          <w:rFonts w:eastAsia="Calibri" w:hint="cs"/>
          <w:rtl/>
        </w:rPr>
        <w:t>ש</w:t>
      </w:r>
      <w:r w:rsidRPr="00BE1CFE">
        <w:rPr>
          <w:rFonts w:eastAsia="Calibri" w:hint="eastAsia"/>
          <w:rtl/>
        </w:rPr>
        <w:t>בה</w:t>
      </w:r>
      <w:r w:rsidRPr="00BE1CFE">
        <w:rPr>
          <w:rFonts w:eastAsia="Calibri"/>
          <w:rtl/>
        </w:rPr>
        <w:t xml:space="preserve"> </w:t>
      </w:r>
      <w:r w:rsidRPr="00BE1CFE">
        <w:rPr>
          <w:rFonts w:eastAsia="Calibri" w:hint="eastAsia"/>
          <w:rtl/>
        </w:rPr>
        <w:t>הם</w:t>
      </w:r>
      <w:r w:rsidRPr="00BE1CFE">
        <w:rPr>
          <w:rFonts w:eastAsia="Calibri"/>
          <w:rtl/>
        </w:rPr>
        <w:t xml:space="preserve"> </w:t>
      </w:r>
      <w:r w:rsidRPr="00BE1CFE">
        <w:rPr>
          <w:rFonts w:eastAsia="Calibri" w:hint="eastAsia"/>
          <w:rtl/>
        </w:rPr>
        <w:t>מתנסים</w:t>
      </w:r>
      <w:r w:rsidRPr="00BE1CFE">
        <w:rPr>
          <w:rFonts w:eastAsia="Calibri"/>
          <w:rtl/>
        </w:rPr>
        <w:t xml:space="preserve"> </w:t>
      </w:r>
      <w:r w:rsidRPr="00BE1CFE">
        <w:rPr>
          <w:rFonts w:eastAsia="Calibri" w:hint="eastAsia"/>
          <w:rtl/>
        </w:rPr>
        <w:t>בעבודה</w:t>
      </w:r>
      <w:r w:rsidRPr="00BE1CFE">
        <w:rPr>
          <w:rFonts w:eastAsia="Calibri"/>
          <w:rtl/>
        </w:rPr>
        <w:t xml:space="preserve"> </w:t>
      </w:r>
      <w:r w:rsidRPr="00BE1CFE">
        <w:rPr>
          <w:rFonts w:eastAsia="Calibri" w:hint="eastAsia"/>
          <w:rtl/>
        </w:rPr>
        <w:t>המעשית</w:t>
      </w:r>
      <w:r w:rsidRPr="00BE1CFE">
        <w:rPr>
          <w:rFonts w:eastAsia="Calibri"/>
          <w:rtl/>
        </w:rPr>
        <w:t xml:space="preserve"> </w:t>
      </w:r>
      <w:r w:rsidRPr="00BE1CFE">
        <w:rPr>
          <w:rFonts w:eastAsia="Calibri" w:hint="eastAsia"/>
          <w:rtl/>
        </w:rPr>
        <w:t>מתוקף</w:t>
      </w:r>
      <w:r w:rsidRPr="00BE1CFE">
        <w:rPr>
          <w:rFonts w:eastAsia="Calibri"/>
          <w:rtl/>
        </w:rPr>
        <w:t xml:space="preserve"> </w:t>
      </w:r>
      <w:r w:rsidRPr="00BE1CFE">
        <w:rPr>
          <w:rFonts w:eastAsia="Calibri" w:hint="eastAsia"/>
          <w:rtl/>
        </w:rPr>
        <w:t>תפקידם</w:t>
      </w:r>
      <w:r w:rsidRPr="00BE1CFE">
        <w:rPr>
          <w:rFonts w:eastAsia="Calibri"/>
          <w:rtl/>
        </w:rPr>
        <w:t xml:space="preserve">, </w:t>
      </w:r>
      <w:r w:rsidRPr="00BE1CFE">
        <w:rPr>
          <w:rFonts w:eastAsia="Calibri" w:hint="eastAsia"/>
          <w:rtl/>
        </w:rPr>
        <w:t>אך</w:t>
      </w:r>
      <w:r w:rsidRPr="00BE1CFE">
        <w:rPr>
          <w:rFonts w:eastAsia="Calibri"/>
          <w:rtl/>
        </w:rPr>
        <w:t xml:space="preserve"> </w:t>
      </w:r>
      <w:r w:rsidRPr="00BE1CFE">
        <w:rPr>
          <w:rFonts w:eastAsia="Calibri" w:hint="eastAsia"/>
          <w:rtl/>
        </w:rPr>
        <w:t>ללא</w:t>
      </w:r>
      <w:r w:rsidRPr="00BE1CFE">
        <w:rPr>
          <w:rFonts w:eastAsia="Calibri"/>
          <w:rtl/>
        </w:rPr>
        <w:t xml:space="preserve"> </w:t>
      </w:r>
      <w:r w:rsidRPr="00BE1CFE">
        <w:rPr>
          <w:rFonts w:eastAsia="Calibri" w:hint="eastAsia"/>
          <w:rtl/>
        </w:rPr>
        <w:t>סמכות</w:t>
      </w:r>
      <w:r w:rsidRPr="00BE1CFE">
        <w:rPr>
          <w:rFonts w:eastAsia="Calibri"/>
          <w:rtl/>
        </w:rPr>
        <w:t xml:space="preserve"> </w:t>
      </w:r>
      <w:r w:rsidRPr="00BE1CFE">
        <w:rPr>
          <w:rFonts w:eastAsia="Calibri" w:hint="eastAsia"/>
          <w:rtl/>
        </w:rPr>
        <w:t>לאשר</w:t>
      </w:r>
      <w:r w:rsidRPr="00BE1CFE">
        <w:rPr>
          <w:rFonts w:eastAsia="Calibri"/>
          <w:rtl/>
        </w:rPr>
        <w:t xml:space="preserve"> </w:t>
      </w:r>
      <w:r w:rsidRPr="00BE1CFE">
        <w:rPr>
          <w:rFonts w:eastAsia="Calibri" w:hint="eastAsia"/>
          <w:rtl/>
        </w:rPr>
        <w:t>בעצמם</w:t>
      </w:r>
      <w:r w:rsidRPr="00BE1CFE">
        <w:rPr>
          <w:rFonts w:eastAsia="Calibri"/>
          <w:rtl/>
        </w:rPr>
        <w:t xml:space="preserve"> </w:t>
      </w:r>
      <w:r w:rsidRPr="00BE1CFE">
        <w:rPr>
          <w:rFonts w:eastAsia="Calibri" w:hint="eastAsia"/>
          <w:rtl/>
        </w:rPr>
        <w:t>את</w:t>
      </w:r>
      <w:r w:rsidRPr="00BE1CFE">
        <w:rPr>
          <w:rFonts w:eastAsia="Calibri"/>
          <w:rtl/>
        </w:rPr>
        <w:t xml:space="preserve"> </w:t>
      </w:r>
      <w:r w:rsidRPr="00BE1CFE">
        <w:rPr>
          <w:rFonts w:eastAsia="Calibri" w:hint="eastAsia"/>
          <w:rtl/>
        </w:rPr>
        <w:t>הגשת</w:t>
      </w:r>
      <w:r w:rsidRPr="00BE1CFE">
        <w:rPr>
          <w:rFonts w:eastAsia="Calibri"/>
          <w:rtl/>
        </w:rPr>
        <w:t xml:space="preserve"> </w:t>
      </w:r>
      <w:r w:rsidRPr="00BE1CFE">
        <w:rPr>
          <w:rFonts w:eastAsia="Calibri" w:hint="eastAsia"/>
          <w:rtl/>
        </w:rPr>
        <w:t>הבקשות</w:t>
      </w:r>
      <w:r w:rsidRPr="00BE1CFE">
        <w:rPr>
          <w:rFonts w:eastAsia="Calibri"/>
          <w:rtl/>
        </w:rPr>
        <w:t xml:space="preserve"> </w:t>
      </w:r>
      <w:r w:rsidRPr="00BE1CFE">
        <w:rPr>
          <w:rFonts w:eastAsia="Calibri" w:hint="eastAsia"/>
          <w:rtl/>
        </w:rPr>
        <w:t>לצווים</w:t>
      </w:r>
      <w:r w:rsidR="000D3A88">
        <w:rPr>
          <w:rFonts w:eastAsia="Calibri" w:hint="cs"/>
          <w:rtl/>
        </w:rPr>
        <w:t xml:space="preserve"> או היתרים מינהליים</w:t>
      </w:r>
      <w:r w:rsidRPr="00BE1CFE">
        <w:rPr>
          <w:rFonts w:eastAsia="Calibri"/>
          <w:rtl/>
        </w:rPr>
        <w:t xml:space="preserve"> לקבלת נתונים </w:t>
      </w:r>
      <w:r>
        <w:rPr>
          <w:rFonts w:eastAsia="Calibri" w:hint="cs"/>
          <w:rtl/>
        </w:rPr>
        <w:t>מסוימים</w:t>
      </w:r>
      <w:r w:rsidRPr="00BE1CFE">
        <w:rPr>
          <w:rFonts w:eastAsia="Calibri"/>
          <w:rtl/>
        </w:rPr>
        <w:t>. בסיום ששת החודשים</w:t>
      </w:r>
      <w:r w:rsidRPr="00BE1CFE">
        <w:rPr>
          <w:rFonts w:eastAsia="Calibri" w:hint="cs"/>
          <w:rtl/>
        </w:rPr>
        <w:t xml:space="preserve"> האמורים</w:t>
      </w:r>
      <w:r w:rsidRPr="00BE1CFE">
        <w:rPr>
          <w:rFonts w:eastAsia="Calibri"/>
          <w:rtl/>
        </w:rPr>
        <w:t xml:space="preserve"> </w:t>
      </w:r>
      <w:r w:rsidRPr="00BE1CFE">
        <w:rPr>
          <w:rFonts w:eastAsia="Calibri" w:hint="cs"/>
          <w:rtl/>
        </w:rPr>
        <w:t>נדרשים</w:t>
      </w:r>
      <w:r w:rsidRPr="00BE1CFE">
        <w:rPr>
          <w:rFonts w:eastAsia="Calibri"/>
          <w:rtl/>
        </w:rPr>
        <w:t xml:space="preserve"> </w:t>
      </w:r>
      <w:r w:rsidRPr="00BE1CFE">
        <w:rPr>
          <w:rFonts w:eastAsia="Calibri" w:hint="eastAsia"/>
          <w:rtl/>
        </w:rPr>
        <w:t>הקצינים</w:t>
      </w:r>
      <w:r w:rsidRPr="00BE1CFE">
        <w:rPr>
          <w:rFonts w:eastAsia="Calibri"/>
          <w:rtl/>
        </w:rPr>
        <w:t xml:space="preserve"> </w:t>
      </w:r>
      <w:r w:rsidRPr="00BE1CFE">
        <w:rPr>
          <w:rFonts w:eastAsia="Calibri" w:hint="cs"/>
          <w:rtl/>
        </w:rPr>
        <w:t xml:space="preserve">לעבור </w:t>
      </w:r>
      <w:r w:rsidRPr="00BE1CFE">
        <w:rPr>
          <w:rFonts w:eastAsia="Calibri" w:hint="eastAsia"/>
          <w:rtl/>
        </w:rPr>
        <w:t>מבחן</w:t>
      </w:r>
      <w:r w:rsidRPr="00BE1CFE">
        <w:rPr>
          <w:rFonts w:eastAsia="Calibri"/>
          <w:rtl/>
        </w:rPr>
        <w:t xml:space="preserve"> הסמכה, </w:t>
      </w:r>
      <w:r w:rsidRPr="00BE1CFE">
        <w:rPr>
          <w:rFonts w:eastAsia="Calibri" w:hint="eastAsia"/>
          <w:rtl/>
        </w:rPr>
        <w:t>ורק</w:t>
      </w:r>
      <w:r w:rsidRPr="00BE1CFE">
        <w:rPr>
          <w:rFonts w:eastAsia="Calibri"/>
          <w:rtl/>
        </w:rPr>
        <w:t xml:space="preserve"> </w:t>
      </w:r>
      <w:r w:rsidRPr="00BE1CFE">
        <w:rPr>
          <w:rFonts w:eastAsia="Calibri" w:hint="eastAsia"/>
          <w:rtl/>
        </w:rPr>
        <w:t>לאחר</w:t>
      </w:r>
      <w:r w:rsidRPr="00BE1CFE">
        <w:rPr>
          <w:rFonts w:eastAsia="Calibri"/>
          <w:rtl/>
        </w:rPr>
        <w:t xml:space="preserve"> </w:t>
      </w:r>
      <w:r w:rsidRPr="00BE1CFE">
        <w:rPr>
          <w:rFonts w:eastAsia="Calibri" w:hint="eastAsia"/>
          <w:rtl/>
        </w:rPr>
        <w:t>מכן</w:t>
      </w:r>
      <w:r w:rsidRPr="00BE1CFE">
        <w:rPr>
          <w:rFonts w:eastAsia="Calibri"/>
          <w:rtl/>
        </w:rPr>
        <w:t xml:space="preserve"> </w:t>
      </w:r>
      <w:r w:rsidRPr="00BE1CFE">
        <w:rPr>
          <w:rFonts w:eastAsia="Calibri" w:hint="eastAsia"/>
          <w:rtl/>
        </w:rPr>
        <w:t>הם</w:t>
      </w:r>
      <w:r w:rsidRPr="00BE1CFE">
        <w:rPr>
          <w:rFonts w:eastAsia="Calibri"/>
          <w:rtl/>
        </w:rPr>
        <w:t xml:space="preserve"> </w:t>
      </w:r>
      <w:r w:rsidRPr="00BE1CFE">
        <w:rPr>
          <w:rFonts w:eastAsia="Calibri" w:hint="eastAsia"/>
          <w:rtl/>
        </w:rPr>
        <w:t>מקבלים</w:t>
      </w:r>
      <w:r w:rsidRPr="00BE1CFE">
        <w:rPr>
          <w:rFonts w:eastAsia="Calibri"/>
          <w:rtl/>
        </w:rPr>
        <w:t xml:space="preserve"> </w:t>
      </w:r>
      <w:r w:rsidRPr="00BE1CFE">
        <w:rPr>
          <w:rFonts w:eastAsia="Calibri" w:hint="eastAsia"/>
          <w:rtl/>
        </w:rPr>
        <w:t>הסמכה</w:t>
      </w:r>
      <w:r w:rsidRPr="00BE1CFE">
        <w:rPr>
          <w:rFonts w:eastAsia="Calibri"/>
          <w:rtl/>
        </w:rPr>
        <w:t xml:space="preserve"> </w:t>
      </w:r>
      <w:r w:rsidRPr="00BE1CFE">
        <w:rPr>
          <w:rFonts w:eastAsia="Calibri" w:hint="eastAsia"/>
          <w:rtl/>
        </w:rPr>
        <w:t>לאשר</w:t>
      </w:r>
      <w:r w:rsidRPr="00BE1CFE">
        <w:rPr>
          <w:rFonts w:eastAsia="Calibri"/>
          <w:rtl/>
        </w:rPr>
        <w:t xml:space="preserve"> </w:t>
      </w:r>
      <w:r w:rsidRPr="00BE1CFE">
        <w:rPr>
          <w:rFonts w:eastAsia="Calibri" w:hint="eastAsia"/>
          <w:rtl/>
        </w:rPr>
        <w:t>את</w:t>
      </w:r>
      <w:r w:rsidRPr="00BE1CFE">
        <w:rPr>
          <w:rFonts w:eastAsia="Calibri"/>
          <w:rtl/>
        </w:rPr>
        <w:t xml:space="preserve"> </w:t>
      </w:r>
      <w:r w:rsidRPr="00BE1CFE">
        <w:rPr>
          <w:rFonts w:eastAsia="Calibri" w:hint="eastAsia"/>
          <w:rtl/>
        </w:rPr>
        <w:t>הצווים</w:t>
      </w:r>
      <w:r w:rsidRPr="00BE1CFE">
        <w:rPr>
          <w:rFonts w:eastAsia="Calibri"/>
          <w:rtl/>
        </w:rPr>
        <w:t xml:space="preserve"> </w:t>
      </w:r>
      <w:r w:rsidRPr="00BE1CFE">
        <w:rPr>
          <w:rFonts w:eastAsia="Calibri" w:hint="eastAsia"/>
          <w:rtl/>
        </w:rPr>
        <w:t>הרלוונטיים</w:t>
      </w:r>
      <w:r w:rsidRPr="00BE1CFE">
        <w:rPr>
          <w:rFonts w:eastAsia="Calibri"/>
          <w:rtl/>
        </w:rPr>
        <w:t xml:space="preserve"> </w:t>
      </w:r>
      <w:r w:rsidRPr="00BE1CFE">
        <w:rPr>
          <w:rFonts w:eastAsia="Calibri" w:hint="eastAsia"/>
          <w:rtl/>
        </w:rPr>
        <w:t>לתפקידם</w:t>
      </w:r>
      <w:r w:rsidRPr="00BE1CFE">
        <w:rPr>
          <w:rFonts w:eastAsia="Calibri"/>
          <w:rtl/>
        </w:rPr>
        <w:t xml:space="preserve"> </w:t>
      </w:r>
      <w:r w:rsidRPr="00BE1CFE">
        <w:rPr>
          <w:rFonts w:eastAsia="Calibri" w:hint="eastAsia"/>
          <w:rtl/>
        </w:rPr>
        <w:t>ו</w:t>
      </w:r>
      <w:r w:rsidRPr="00BE1CFE">
        <w:rPr>
          <w:rFonts w:eastAsia="Calibri" w:hint="cs"/>
          <w:rtl/>
        </w:rPr>
        <w:t>ל</w:t>
      </w:r>
      <w:r w:rsidRPr="00BE1CFE">
        <w:rPr>
          <w:rFonts w:eastAsia="Calibri" w:hint="eastAsia"/>
          <w:rtl/>
        </w:rPr>
        <w:t>דרגתם</w:t>
      </w:r>
      <w:r w:rsidRPr="00BE1CFE">
        <w:rPr>
          <w:rFonts w:eastAsia="Calibri" w:hint="cs"/>
          <w:rtl/>
        </w:rPr>
        <w:t xml:space="preserve">. קצינים המוסמכים לאשר הגשת בקשות לצווים לנתונים </w:t>
      </w:r>
      <w:r>
        <w:rPr>
          <w:rFonts w:eastAsia="Calibri" w:hint="cs"/>
          <w:rtl/>
        </w:rPr>
        <w:t>מסוימים</w:t>
      </w:r>
      <w:r w:rsidRPr="00BE1CFE">
        <w:rPr>
          <w:rFonts w:eastAsia="Calibri" w:hint="cs"/>
          <w:rtl/>
        </w:rPr>
        <w:t xml:space="preserve"> נדרשים לעבור הדרכה על ידי ראש חוליית מחקרי תקשורת שבחטיבת הסייבר, ורק לאחריה הם מוסמכים על ידי ראש החוליה. </w:t>
      </w:r>
    </w:p>
    <w:p w:rsidR="00B47E58" w:rsidRPr="00B47E58" w:rsidRDefault="00B47E58" w:rsidP="00604C3D">
      <w:pPr>
        <w:spacing w:line="269" w:lineRule="auto"/>
        <w:ind w:left="424"/>
        <w:contextualSpacing/>
        <w:rPr>
          <w:rFonts w:eastAsia="Calibri"/>
        </w:rPr>
      </w:pPr>
    </w:p>
    <w:p w:rsidR="00E46818" w:rsidRPr="00BE1CFE" w:rsidRDefault="00E46818" w:rsidP="00261075">
      <w:pPr>
        <w:pStyle w:val="af2"/>
        <w:numPr>
          <w:ilvl w:val="0"/>
          <w:numId w:val="52"/>
        </w:numPr>
        <w:spacing w:line="269" w:lineRule="auto"/>
        <w:ind w:left="773" w:hanging="423"/>
        <w:rPr>
          <w:rFonts w:eastAsia="Calibri"/>
          <w:rtl/>
        </w:rPr>
      </w:pPr>
      <w:r w:rsidRPr="00BE1CFE">
        <w:rPr>
          <w:rFonts w:eastAsia="Calibri" w:hint="cs"/>
          <w:rtl/>
        </w:rPr>
        <w:t xml:space="preserve">גם כאשר מדובר באישור קבלת נתוני תקשורת </w:t>
      </w:r>
      <w:r>
        <w:rPr>
          <w:rFonts w:eastAsia="Calibri" w:hint="cs"/>
          <w:rtl/>
        </w:rPr>
        <w:t>מסוימים</w:t>
      </w:r>
      <w:r w:rsidRPr="00BE1CFE">
        <w:rPr>
          <w:rFonts w:eastAsia="Calibri" w:hint="cs"/>
          <w:rtl/>
        </w:rPr>
        <w:t xml:space="preserve"> במסגרת היתר מינהלי</w:t>
      </w:r>
      <w:r w:rsidRPr="00BE1CFE">
        <w:rPr>
          <w:rFonts w:eastAsia="Calibri"/>
          <w:vertAlign w:val="superscript"/>
          <w:rtl/>
        </w:rPr>
        <w:footnoteReference w:id="282"/>
      </w:r>
      <w:r w:rsidRPr="00BE1CFE">
        <w:rPr>
          <w:rFonts w:eastAsia="Calibri" w:hint="cs"/>
          <w:rtl/>
        </w:rPr>
        <w:t xml:space="preserve">, החטיבה קבעה כי קציני הצס"ם יוכלו לאשר את קבלת הנתונים </w:t>
      </w:r>
      <w:r>
        <w:rPr>
          <w:rFonts w:eastAsia="Calibri" w:hint="cs"/>
          <w:rtl/>
        </w:rPr>
        <w:t>המסוימים</w:t>
      </w:r>
      <w:r w:rsidRPr="00BE1CFE">
        <w:rPr>
          <w:rFonts w:eastAsia="Calibri" w:hint="cs"/>
          <w:rtl/>
        </w:rPr>
        <w:t xml:space="preserve"> אם הם</w:t>
      </w:r>
      <w:r w:rsidRPr="00BE1CFE">
        <w:rPr>
          <w:rFonts w:eastAsia="Calibri"/>
          <w:rtl/>
        </w:rPr>
        <w:t xml:space="preserve"> </w:t>
      </w:r>
      <w:r w:rsidRPr="00BE1CFE">
        <w:rPr>
          <w:rFonts w:eastAsia="Calibri" w:hint="cs"/>
          <w:rtl/>
        </w:rPr>
        <w:t xml:space="preserve">יעברו </w:t>
      </w:r>
      <w:r w:rsidRPr="00BE1CFE">
        <w:rPr>
          <w:rFonts w:eastAsia="Calibri"/>
          <w:rtl/>
        </w:rPr>
        <w:t>הסמכה רשמי</w:t>
      </w:r>
      <w:r w:rsidRPr="00BE1CFE">
        <w:rPr>
          <w:rFonts w:eastAsia="Calibri" w:hint="cs"/>
          <w:rtl/>
        </w:rPr>
        <w:t>ת</w:t>
      </w:r>
      <w:r w:rsidRPr="00BE1CFE">
        <w:rPr>
          <w:rFonts w:eastAsia="Calibri"/>
          <w:rtl/>
        </w:rPr>
        <w:t xml:space="preserve"> בחול</w:t>
      </w:r>
      <w:r w:rsidRPr="00BE1CFE">
        <w:rPr>
          <w:rFonts w:eastAsia="Calibri" w:hint="cs"/>
          <w:rtl/>
        </w:rPr>
        <w:t>י</w:t>
      </w:r>
      <w:r w:rsidRPr="00BE1CFE">
        <w:rPr>
          <w:rFonts w:eastAsia="Calibri"/>
          <w:rtl/>
        </w:rPr>
        <w:t>ית מחת"ק ארצי במדור הכוונה מקצועית</w:t>
      </w:r>
      <w:r w:rsidRPr="00BE1CFE">
        <w:rPr>
          <w:rFonts w:eastAsia="Calibri" w:hint="cs"/>
          <w:rtl/>
        </w:rPr>
        <w:t>. ה</w:t>
      </w:r>
      <w:r w:rsidRPr="00BE1CFE">
        <w:rPr>
          <w:rFonts w:eastAsia="Calibri"/>
          <w:rtl/>
        </w:rPr>
        <w:t xml:space="preserve">הרשאה </w:t>
      </w:r>
      <w:r w:rsidRPr="00BE1CFE">
        <w:rPr>
          <w:rFonts w:eastAsia="Calibri" w:hint="cs"/>
          <w:rtl/>
        </w:rPr>
        <w:t xml:space="preserve">למימוש נתוני תקשורת </w:t>
      </w:r>
      <w:r>
        <w:rPr>
          <w:rFonts w:eastAsia="Calibri" w:hint="cs"/>
          <w:rtl/>
        </w:rPr>
        <w:t>מסוימים</w:t>
      </w:r>
      <w:r w:rsidRPr="00BE1CFE">
        <w:rPr>
          <w:rFonts w:eastAsia="Calibri" w:hint="cs"/>
          <w:rtl/>
        </w:rPr>
        <w:t xml:space="preserve"> </w:t>
      </w:r>
      <w:r w:rsidRPr="00BE1CFE">
        <w:rPr>
          <w:rFonts w:eastAsia="Calibri"/>
          <w:rtl/>
        </w:rPr>
        <w:t xml:space="preserve">תינתן </w:t>
      </w:r>
      <w:r w:rsidRPr="00BE1CFE">
        <w:rPr>
          <w:rFonts w:eastAsia="Calibri" w:hint="cs"/>
          <w:rtl/>
        </w:rPr>
        <w:t>לקציני הצס"ם בתוך חצי שנה מיום כניסתם לתפקיד</w:t>
      </w:r>
      <w:r w:rsidRPr="00BE1CFE">
        <w:rPr>
          <w:rFonts w:eastAsia="Calibri"/>
          <w:rtl/>
        </w:rPr>
        <w:t>.</w:t>
      </w:r>
    </w:p>
    <w:p w:rsidR="00B47E58" w:rsidRDefault="00B47E58" w:rsidP="00604C3D">
      <w:pPr>
        <w:spacing w:line="269" w:lineRule="auto"/>
        <w:rPr>
          <w:rFonts w:eastAsia="Calibri"/>
          <w:szCs w:val="20"/>
          <w:rtl/>
        </w:rPr>
      </w:pPr>
    </w:p>
    <w:p w:rsidR="00E46818" w:rsidRPr="00BE1CFE" w:rsidRDefault="00E46818" w:rsidP="00261075">
      <w:pPr>
        <w:spacing w:line="269" w:lineRule="auto"/>
        <w:ind w:left="350"/>
        <w:rPr>
          <w:rFonts w:eastAsia="Calibri"/>
          <w:b/>
          <w:bCs/>
          <w:rtl/>
        </w:rPr>
      </w:pPr>
      <w:r w:rsidRPr="00BE1CFE">
        <w:rPr>
          <w:rFonts w:eastAsia="Calibri" w:hint="cs"/>
          <w:b/>
          <w:bCs/>
          <w:rtl/>
        </w:rPr>
        <w:t>בביקורת עלה חסר משמעותי באופן הכשרת הקצינים המוסמכים למתן היתרים מינהליים - הם אינם נדרשים להשתתף בקורס ייעודי או לעבור חניכה. החסר המשמעותי בהכשרת הקצינים המוסמכים בולט במיוחד לנוכח העובדה שקצינים אחרים, שנדרשים במסגרת תפקידם לעסוק באישורים הנוגעים לנתוני תקשורת, מחויבים בהכשרה מקצועית הכוללת השתתפות בקורס או בהדרכה ותקופת חניכה לפני הסמכתם הרשמית לעסוק בנושא. הדבר אינו הולם את מורכבות התפקיד של אישור היתרים מינהליים - פעולה המחליפה למעשה את שיקול הדעת השיפוטי שאמור לאזן בין הצורך המבצעי לבין הימנעות מפגיעה בפרטיות של האזרחים.</w:t>
      </w:r>
    </w:p>
    <w:p w:rsidR="00B47E58" w:rsidRDefault="00B47E58" w:rsidP="00261075">
      <w:pPr>
        <w:spacing w:line="269" w:lineRule="auto"/>
        <w:ind w:left="350"/>
        <w:rPr>
          <w:rFonts w:eastAsia="Calibri"/>
          <w:sz w:val="16"/>
          <w:szCs w:val="16"/>
          <w:rtl/>
        </w:rPr>
      </w:pPr>
    </w:p>
    <w:p w:rsidR="00E46818" w:rsidRPr="00BE1CFE" w:rsidRDefault="00E46818" w:rsidP="00261075">
      <w:pPr>
        <w:spacing w:line="269" w:lineRule="auto"/>
        <w:ind w:left="350"/>
        <w:rPr>
          <w:rFonts w:eastAsia="Calibri"/>
          <w:rtl/>
        </w:rPr>
      </w:pPr>
      <w:r w:rsidRPr="00BE1CFE">
        <w:rPr>
          <w:rFonts w:eastAsia="Calibri" w:hint="cs"/>
          <w:rtl/>
        </w:rPr>
        <w:t>המשטרה מסרה בתשובתה כי הקצ</w:t>
      </w:r>
      <w:r w:rsidRPr="00BE1CFE">
        <w:rPr>
          <w:rFonts w:eastAsia="Calibri" w:hint="eastAsia"/>
          <w:rtl/>
        </w:rPr>
        <w:t>ינים</w:t>
      </w:r>
      <w:r w:rsidRPr="00BE1CFE">
        <w:rPr>
          <w:rFonts w:eastAsia="Calibri"/>
          <w:rtl/>
        </w:rPr>
        <w:t xml:space="preserve"> </w:t>
      </w:r>
      <w:r w:rsidRPr="00BE1CFE">
        <w:rPr>
          <w:rFonts w:eastAsia="Calibri" w:hint="eastAsia"/>
          <w:rtl/>
        </w:rPr>
        <w:t>המוסמכים</w:t>
      </w:r>
      <w:r w:rsidRPr="00BE1CFE">
        <w:rPr>
          <w:rFonts w:eastAsia="Calibri"/>
          <w:rtl/>
        </w:rPr>
        <w:t xml:space="preserve"> </w:t>
      </w:r>
      <w:r w:rsidRPr="00BE1CFE">
        <w:rPr>
          <w:rFonts w:eastAsia="Calibri" w:hint="eastAsia"/>
          <w:rtl/>
        </w:rPr>
        <w:t>הם</w:t>
      </w:r>
      <w:r w:rsidRPr="00BE1CFE">
        <w:rPr>
          <w:rFonts w:eastAsia="Calibri"/>
          <w:rtl/>
        </w:rPr>
        <w:t xml:space="preserve"> </w:t>
      </w:r>
      <w:r w:rsidRPr="00BE1CFE">
        <w:rPr>
          <w:rFonts w:eastAsia="Calibri" w:hint="eastAsia"/>
          <w:rtl/>
        </w:rPr>
        <w:t>קציני</w:t>
      </w:r>
      <w:r w:rsidRPr="00BE1CFE">
        <w:rPr>
          <w:rFonts w:eastAsia="Calibri"/>
          <w:rtl/>
        </w:rPr>
        <w:t xml:space="preserve"> </w:t>
      </w:r>
      <w:r w:rsidRPr="00BE1CFE">
        <w:rPr>
          <w:rFonts w:eastAsia="Calibri" w:hint="eastAsia"/>
          <w:rtl/>
        </w:rPr>
        <w:t>אח</w:t>
      </w:r>
      <w:r w:rsidRPr="00BE1CFE">
        <w:rPr>
          <w:rFonts w:eastAsia="Calibri"/>
          <w:rtl/>
        </w:rPr>
        <w:t>"</w:t>
      </w:r>
      <w:r w:rsidRPr="00BE1CFE">
        <w:rPr>
          <w:rFonts w:eastAsia="Calibri" w:hint="cs"/>
          <w:rtl/>
        </w:rPr>
        <w:t>ם</w:t>
      </w:r>
      <w:r w:rsidRPr="00BE1CFE">
        <w:rPr>
          <w:rFonts w:eastAsia="Calibri"/>
          <w:rtl/>
        </w:rPr>
        <w:t xml:space="preserve"> </w:t>
      </w:r>
      <w:r w:rsidRPr="00BE1CFE">
        <w:rPr>
          <w:rFonts w:eastAsia="Calibri" w:hint="eastAsia"/>
          <w:rtl/>
        </w:rPr>
        <w:t>מנוסים</w:t>
      </w:r>
      <w:r w:rsidRPr="00BE1CFE">
        <w:rPr>
          <w:rFonts w:eastAsia="Calibri"/>
          <w:rtl/>
        </w:rPr>
        <w:t xml:space="preserve"> </w:t>
      </w:r>
      <w:r w:rsidRPr="00BE1CFE">
        <w:rPr>
          <w:rFonts w:eastAsia="Calibri" w:hint="eastAsia"/>
          <w:rtl/>
        </w:rPr>
        <w:t>וותיקים</w:t>
      </w:r>
      <w:r w:rsidRPr="00BE1CFE">
        <w:rPr>
          <w:rFonts w:eastAsia="Calibri"/>
          <w:rtl/>
        </w:rPr>
        <w:t xml:space="preserve"> </w:t>
      </w:r>
      <w:r w:rsidRPr="00BE1CFE">
        <w:rPr>
          <w:rFonts w:eastAsia="Calibri" w:hint="cs"/>
          <w:rtl/>
        </w:rPr>
        <w:t>א</w:t>
      </w:r>
      <w:r w:rsidRPr="00BE1CFE">
        <w:rPr>
          <w:rFonts w:eastAsia="Calibri" w:hint="eastAsia"/>
          <w:rtl/>
        </w:rPr>
        <w:t>שר</w:t>
      </w:r>
      <w:r w:rsidRPr="00BE1CFE">
        <w:rPr>
          <w:rFonts w:eastAsia="Calibri"/>
          <w:rtl/>
        </w:rPr>
        <w:t xml:space="preserve"> </w:t>
      </w:r>
      <w:r w:rsidRPr="00BE1CFE">
        <w:rPr>
          <w:rFonts w:eastAsia="Calibri" w:hint="eastAsia"/>
          <w:rtl/>
        </w:rPr>
        <w:t>ביצעו</w:t>
      </w:r>
      <w:r w:rsidRPr="00BE1CFE">
        <w:rPr>
          <w:rFonts w:eastAsia="Calibri"/>
          <w:rtl/>
        </w:rPr>
        <w:t xml:space="preserve"> </w:t>
      </w:r>
      <w:r w:rsidRPr="00BE1CFE">
        <w:rPr>
          <w:rFonts w:eastAsia="Calibri" w:hint="eastAsia"/>
          <w:rtl/>
        </w:rPr>
        <w:t>תפקידי</w:t>
      </w:r>
      <w:r w:rsidRPr="00BE1CFE">
        <w:rPr>
          <w:rFonts w:eastAsia="Calibri"/>
          <w:rtl/>
        </w:rPr>
        <w:t xml:space="preserve"> </w:t>
      </w:r>
      <w:r w:rsidRPr="00BE1CFE">
        <w:rPr>
          <w:rFonts w:eastAsia="Calibri" w:hint="eastAsia"/>
          <w:rtl/>
        </w:rPr>
        <w:t>ליבה</w:t>
      </w:r>
      <w:r w:rsidRPr="00BE1CFE">
        <w:rPr>
          <w:rFonts w:eastAsia="Calibri"/>
          <w:rtl/>
        </w:rPr>
        <w:t xml:space="preserve"> </w:t>
      </w:r>
      <w:r w:rsidRPr="00BE1CFE">
        <w:rPr>
          <w:rFonts w:eastAsia="Calibri" w:hint="eastAsia"/>
          <w:rtl/>
        </w:rPr>
        <w:t>במערך</w:t>
      </w:r>
      <w:r w:rsidRPr="00BE1CFE">
        <w:rPr>
          <w:rFonts w:eastAsia="Calibri"/>
          <w:rtl/>
        </w:rPr>
        <w:t xml:space="preserve"> </w:t>
      </w:r>
      <w:r w:rsidRPr="00BE1CFE">
        <w:rPr>
          <w:rFonts w:eastAsia="Calibri" w:hint="eastAsia"/>
          <w:rtl/>
        </w:rPr>
        <w:t>האח</w:t>
      </w:r>
      <w:r w:rsidRPr="00BE1CFE">
        <w:rPr>
          <w:rFonts w:eastAsia="Calibri"/>
          <w:rtl/>
        </w:rPr>
        <w:t>"</w:t>
      </w:r>
      <w:r w:rsidRPr="00BE1CFE">
        <w:rPr>
          <w:rFonts w:eastAsia="Calibri" w:hint="cs"/>
          <w:rtl/>
        </w:rPr>
        <w:t>ם</w:t>
      </w:r>
      <w:r w:rsidRPr="00BE1CFE">
        <w:rPr>
          <w:rFonts w:eastAsia="Calibri" w:hint="eastAsia"/>
          <w:rtl/>
        </w:rPr>
        <w:t xml:space="preserve"> </w:t>
      </w:r>
      <w:r w:rsidRPr="00BE1CFE">
        <w:rPr>
          <w:rFonts w:eastAsia="Calibri"/>
          <w:rtl/>
        </w:rPr>
        <w:t>קודם הגעתם לדרגת סנ"</w:t>
      </w:r>
      <w:r w:rsidRPr="00BE1CFE">
        <w:rPr>
          <w:rFonts w:eastAsia="Calibri" w:hint="cs"/>
          <w:rtl/>
        </w:rPr>
        <w:t>ץ</w:t>
      </w:r>
      <w:r w:rsidRPr="00BE1CFE">
        <w:rPr>
          <w:rFonts w:eastAsia="Calibri"/>
          <w:rtl/>
        </w:rPr>
        <w:t xml:space="preserve"> </w:t>
      </w:r>
      <w:r w:rsidRPr="00BE1CFE">
        <w:rPr>
          <w:rFonts w:eastAsia="Calibri" w:hint="cs"/>
          <w:rtl/>
        </w:rPr>
        <w:t xml:space="preserve">ואף </w:t>
      </w:r>
      <w:r w:rsidRPr="00BE1CFE">
        <w:rPr>
          <w:rFonts w:eastAsia="Calibri" w:hint="eastAsia"/>
          <w:rtl/>
        </w:rPr>
        <w:t>עברו</w:t>
      </w:r>
      <w:r w:rsidRPr="00BE1CFE">
        <w:rPr>
          <w:rFonts w:eastAsia="Calibri"/>
          <w:rtl/>
        </w:rPr>
        <w:t xml:space="preserve"> </w:t>
      </w:r>
      <w:r w:rsidRPr="00BE1CFE">
        <w:rPr>
          <w:rFonts w:eastAsia="Calibri" w:hint="eastAsia"/>
          <w:rtl/>
        </w:rPr>
        <w:t>קורסים</w:t>
      </w:r>
      <w:r w:rsidRPr="00BE1CFE">
        <w:rPr>
          <w:rFonts w:eastAsia="Calibri"/>
          <w:rtl/>
        </w:rPr>
        <w:t xml:space="preserve"> </w:t>
      </w:r>
      <w:r w:rsidRPr="00BE1CFE">
        <w:rPr>
          <w:rFonts w:eastAsia="Calibri" w:hint="eastAsia"/>
          <w:rtl/>
        </w:rPr>
        <w:t>והכשרות</w:t>
      </w:r>
      <w:r w:rsidRPr="00BE1CFE">
        <w:rPr>
          <w:rFonts w:eastAsia="Calibri"/>
          <w:rtl/>
        </w:rPr>
        <w:t xml:space="preserve"> </w:t>
      </w:r>
      <w:r w:rsidRPr="00BE1CFE">
        <w:rPr>
          <w:rFonts w:eastAsia="Calibri" w:hint="eastAsia"/>
          <w:rtl/>
        </w:rPr>
        <w:t>רבים</w:t>
      </w:r>
      <w:r w:rsidRPr="00BE1CFE">
        <w:rPr>
          <w:rFonts w:eastAsia="Calibri"/>
          <w:rtl/>
        </w:rPr>
        <w:t xml:space="preserve">. </w:t>
      </w:r>
      <w:r w:rsidRPr="00BE1CFE">
        <w:rPr>
          <w:rFonts w:eastAsia="Calibri" w:hint="eastAsia"/>
          <w:rtl/>
        </w:rPr>
        <w:t>כמו</w:t>
      </w:r>
      <w:r w:rsidRPr="00BE1CFE">
        <w:rPr>
          <w:rFonts w:eastAsia="Calibri"/>
          <w:rtl/>
        </w:rPr>
        <w:t xml:space="preserve"> </w:t>
      </w:r>
      <w:r w:rsidRPr="00BE1CFE">
        <w:rPr>
          <w:rFonts w:eastAsia="Calibri" w:hint="eastAsia"/>
          <w:rtl/>
        </w:rPr>
        <w:t>כן</w:t>
      </w:r>
      <w:r w:rsidRPr="00BE1CFE">
        <w:rPr>
          <w:rFonts w:eastAsia="Calibri"/>
          <w:rtl/>
        </w:rPr>
        <w:t xml:space="preserve">, </w:t>
      </w:r>
      <w:r w:rsidRPr="00BE1CFE">
        <w:rPr>
          <w:rFonts w:eastAsia="Calibri" w:hint="eastAsia"/>
          <w:rtl/>
        </w:rPr>
        <w:t>מפקדי</w:t>
      </w:r>
      <w:r w:rsidRPr="00BE1CFE">
        <w:rPr>
          <w:rFonts w:eastAsia="Calibri"/>
          <w:rtl/>
        </w:rPr>
        <w:t xml:space="preserve"> </w:t>
      </w:r>
      <w:r w:rsidRPr="00BE1CFE">
        <w:rPr>
          <w:rFonts w:eastAsia="Calibri" w:hint="eastAsia"/>
          <w:rtl/>
        </w:rPr>
        <w:t>המשל</w:t>
      </w:r>
      <w:r w:rsidRPr="00BE1CFE">
        <w:rPr>
          <w:rFonts w:eastAsia="Calibri"/>
          <w:rtl/>
        </w:rPr>
        <w:t>"</w:t>
      </w:r>
      <w:r w:rsidRPr="00BE1CFE">
        <w:rPr>
          <w:rFonts w:eastAsia="Calibri" w:hint="eastAsia"/>
          <w:rtl/>
        </w:rPr>
        <w:t>ט</w:t>
      </w:r>
      <w:r w:rsidRPr="00BE1CFE">
        <w:rPr>
          <w:rFonts w:eastAsia="Calibri"/>
          <w:rtl/>
        </w:rPr>
        <w:t xml:space="preserve"> </w:t>
      </w:r>
      <w:r w:rsidRPr="00BE1CFE">
        <w:rPr>
          <w:rFonts w:eastAsia="Calibri" w:hint="eastAsia"/>
          <w:rtl/>
        </w:rPr>
        <w:t>הם</w:t>
      </w:r>
      <w:r w:rsidRPr="00BE1CFE">
        <w:rPr>
          <w:rFonts w:eastAsia="Calibri"/>
          <w:rtl/>
        </w:rPr>
        <w:t xml:space="preserve"> </w:t>
      </w:r>
      <w:r w:rsidRPr="00BE1CFE">
        <w:rPr>
          <w:rFonts w:eastAsia="Calibri" w:hint="eastAsia"/>
          <w:rtl/>
        </w:rPr>
        <w:t>קציני</w:t>
      </w:r>
      <w:r w:rsidRPr="00BE1CFE">
        <w:rPr>
          <w:rFonts w:eastAsia="Calibri"/>
          <w:rtl/>
        </w:rPr>
        <w:t xml:space="preserve"> </w:t>
      </w:r>
      <w:r w:rsidRPr="00BE1CFE">
        <w:rPr>
          <w:rFonts w:eastAsia="Calibri" w:hint="eastAsia"/>
          <w:rtl/>
        </w:rPr>
        <w:t>אג</w:t>
      </w:r>
      <w:r w:rsidRPr="00BE1CFE">
        <w:rPr>
          <w:rFonts w:eastAsia="Calibri"/>
          <w:rtl/>
        </w:rPr>
        <w:t>"</w:t>
      </w:r>
      <w:r w:rsidRPr="00BE1CFE">
        <w:rPr>
          <w:rFonts w:eastAsia="Calibri" w:hint="cs"/>
          <w:rtl/>
        </w:rPr>
        <w:t>ם</w:t>
      </w:r>
      <w:r w:rsidRPr="00BE1CFE">
        <w:rPr>
          <w:rFonts w:eastAsia="Calibri"/>
          <w:rtl/>
        </w:rPr>
        <w:t xml:space="preserve"> </w:t>
      </w:r>
      <w:r>
        <w:rPr>
          <w:rFonts w:eastAsia="Calibri" w:hint="cs"/>
          <w:rtl/>
        </w:rPr>
        <w:t>מהתחום</w:t>
      </w:r>
      <w:r w:rsidRPr="00BE1CFE">
        <w:rPr>
          <w:rFonts w:eastAsia="Calibri"/>
          <w:rtl/>
        </w:rPr>
        <w:t xml:space="preserve">, </w:t>
      </w:r>
      <w:r w:rsidRPr="00BE1CFE">
        <w:rPr>
          <w:rFonts w:eastAsia="Calibri" w:hint="eastAsia"/>
          <w:rtl/>
        </w:rPr>
        <w:t>אשר</w:t>
      </w:r>
      <w:r w:rsidRPr="00BE1CFE">
        <w:rPr>
          <w:rFonts w:eastAsia="Calibri"/>
          <w:rtl/>
        </w:rPr>
        <w:t xml:space="preserve"> </w:t>
      </w:r>
      <w:r w:rsidRPr="00BE1CFE">
        <w:rPr>
          <w:rFonts w:eastAsia="Calibri" w:hint="eastAsia"/>
          <w:rtl/>
        </w:rPr>
        <w:t>מובהרים</w:t>
      </w:r>
      <w:r w:rsidRPr="00BE1CFE">
        <w:rPr>
          <w:rFonts w:eastAsia="Calibri"/>
          <w:rtl/>
        </w:rPr>
        <w:t xml:space="preserve"> </w:t>
      </w:r>
      <w:r w:rsidRPr="00BE1CFE">
        <w:rPr>
          <w:rFonts w:eastAsia="Calibri" w:hint="eastAsia"/>
          <w:rtl/>
        </w:rPr>
        <w:t>להם</w:t>
      </w:r>
      <w:r w:rsidRPr="00BE1CFE">
        <w:rPr>
          <w:rFonts w:eastAsia="Calibri"/>
          <w:rtl/>
        </w:rPr>
        <w:t xml:space="preserve"> </w:t>
      </w:r>
      <w:r w:rsidRPr="00BE1CFE">
        <w:rPr>
          <w:rFonts w:eastAsia="Calibri" w:hint="eastAsia"/>
          <w:rtl/>
        </w:rPr>
        <w:t>באופן</w:t>
      </w:r>
      <w:r w:rsidRPr="00BE1CFE">
        <w:rPr>
          <w:rFonts w:eastAsia="Calibri"/>
          <w:rtl/>
        </w:rPr>
        <w:t xml:space="preserve"> </w:t>
      </w:r>
      <w:r w:rsidRPr="00BE1CFE">
        <w:rPr>
          <w:rFonts w:eastAsia="Calibri" w:hint="eastAsia"/>
          <w:rtl/>
        </w:rPr>
        <w:t>ספציפי</w:t>
      </w:r>
      <w:r w:rsidRPr="00BE1CFE">
        <w:rPr>
          <w:rFonts w:eastAsia="Calibri"/>
          <w:rtl/>
        </w:rPr>
        <w:t xml:space="preserve"> </w:t>
      </w:r>
      <w:r w:rsidRPr="00BE1CFE">
        <w:rPr>
          <w:rFonts w:eastAsia="Calibri" w:hint="eastAsia"/>
          <w:rtl/>
        </w:rPr>
        <w:t>גבולות</w:t>
      </w:r>
      <w:r w:rsidRPr="00BE1CFE">
        <w:rPr>
          <w:rFonts w:eastAsia="Calibri"/>
          <w:rtl/>
        </w:rPr>
        <w:t xml:space="preserve"> </w:t>
      </w:r>
      <w:r w:rsidRPr="00BE1CFE">
        <w:rPr>
          <w:rFonts w:eastAsia="Calibri" w:hint="eastAsia"/>
          <w:rtl/>
        </w:rPr>
        <w:t>אחריותם</w:t>
      </w:r>
      <w:r w:rsidRPr="00BE1CFE">
        <w:rPr>
          <w:rFonts w:eastAsia="Calibri"/>
          <w:rtl/>
        </w:rPr>
        <w:t xml:space="preserve"> </w:t>
      </w:r>
      <w:r w:rsidRPr="00BE1CFE">
        <w:rPr>
          <w:rFonts w:eastAsia="Calibri" w:hint="eastAsia"/>
          <w:rtl/>
        </w:rPr>
        <w:t>והתבחינים</w:t>
      </w:r>
      <w:r w:rsidRPr="00BE1CFE">
        <w:rPr>
          <w:rFonts w:eastAsia="Calibri"/>
          <w:rtl/>
        </w:rPr>
        <w:t xml:space="preserve"> </w:t>
      </w:r>
      <w:r w:rsidRPr="00BE1CFE">
        <w:rPr>
          <w:rFonts w:eastAsia="Calibri" w:hint="eastAsia"/>
          <w:rtl/>
        </w:rPr>
        <w:t>לאישור</w:t>
      </w:r>
      <w:r w:rsidRPr="00BE1CFE">
        <w:rPr>
          <w:rFonts w:eastAsia="Calibri"/>
          <w:rtl/>
        </w:rPr>
        <w:t xml:space="preserve"> </w:t>
      </w:r>
      <w:r w:rsidRPr="00BE1CFE">
        <w:rPr>
          <w:rFonts w:eastAsia="Calibri" w:hint="eastAsia"/>
          <w:rtl/>
        </w:rPr>
        <w:t>היתר</w:t>
      </w:r>
      <w:r w:rsidRPr="00BE1CFE">
        <w:rPr>
          <w:rFonts w:eastAsia="Calibri"/>
          <w:rtl/>
        </w:rPr>
        <w:t xml:space="preserve"> </w:t>
      </w:r>
      <w:r w:rsidRPr="00BE1CFE">
        <w:rPr>
          <w:rFonts w:eastAsia="Calibri" w:hint="eastAsia"/>
          <w:rtl/>
        </w:rPr>
        <w:t>מ</w:t>
      </w:r>
      <w:r w:rsidRPr="00BE1CFE">
        <w:rPr>
          <w:rFonts w:eastAsia="Calibri" w:hint="cs"/>
          <w:rtl/>
        </w:rPr>
        <w:t>י</w:t>
      </w:r>
      <w:r w:rsidRPr="00BE1CFE">
        <w:rPr>
          <w:rFonts w:eastAsia="Calibri" w:hint="eastAsia"/>
          <w:rtl/>
        </w:rPr>
        <w:t>נהלי</w:t>
      </w:r>
      <w:r w:rsidRPr="00BE1CFE">
        <w:rPr>
          <w:rFonts w:eastAsia="Calibri" w:hint="cs"/>
          <w:rtl/>
        </w:rPr>
        <w:t>. עוד מסרה המשטרה כי חטיבת הסייבר פיתחה</w:t>
      </w:r>
      <w:r w:rsidRPr="00BE1CFE">
        <w:rPr>
          <w:rFonts w:eastAsia="Calibri"/>
          <w:rtl/>
        </w:rPr>
        <w:t xml:space="preserve"> תהליך הסמכה ייחודי עבור </w:t>
      </w:r>
      <w:r w:rsidRPr="00BE1CFE">
        <w:rPr>
          <w:rFonts w:eastAsia="Calibri" w:hint="cs"/>
          <w:rtl/>
        </w:rPr>
        <w:t>הקצינים המוסמכים</w:t>
      </w:r>
      <w:r w:rsidRPr="00BE1CFE">
        <w:rPr>
          <w:rFonts w:eastAsia="Calibri"/>
          <w:rtl/>
        </w:rPr>
        <w:t xml:space="preserve">, שבו כל קצין מוסמך מוזמן </w:t>
      </w:r>
      <w:r w:rsidRPr="00BE1CFE">
        <w:rPr>
          <w:rFonts w:eastAsia="Calibri" w:hint="cs"/>
          <w:rtl/>
        </w:rPr>
        <w:t xml:space="preserve">למטה החטיבה </w:t>
      </w:r>
      <w:r w:rsidRPr="00BE1CFE">
        <w:rPr>
          <w:rFonts w:eastAsia="Calibri"/>
          <w:rtl/>
        </w:rPr>
        <w:t>באופן אישי ומוקדש לו זמן ייחודי</w:t>
      </w:r>
      <w:r w:rsidRPr="00BE1CFE">
        <w:rPr>
          <w:rFonts w:eastAsia="Calibri" w:hint="cs"/>
          <w:rtl/>
        </w:rPr>
        <w:t xml:space="preserve"> לצורך </w:t>
      </w:r>
      <w:r w:rsidRPr="00BE1CFE">
        <w:rPr>
          <w:rFonts w:eastAsia="Calibri"/>
          <w:rtl/>
        </w:rPr>
        <w:t xml:space="preserve">הכשרה </w:t>
      </w:r>
      <w:r w:rsidRPr="00BE1CFE">
        <w:rPr>
          <w:rFonts w:eastAsia="Calibri" w:hint="cs"/>
          <w:rtl/>
        </w:rPr>
        <w:t>הנמשכת</w:t>
      </w:r>
      <w:r w:rsidRPr="00BE1CFE">
        <w:rPr>
          <w:rFonts w:eastAsia="Calibri"/>
          <w:rtl/>
        </w:rPr>
        <w:t xml:space="preserve"> שעות</w:t>
      </w:r>
      <w:r w:rsidRPr="00BE1CFE">
        <w:rPr>
          <w:rFonts w:eastAsia="Calibri" w:hint="cs"/>
          <w:rtl/>
        </w:rPr>
        <w:t xml:space="preserve"> מספר. </w:t>
      </w:r>
      <w:r w:rsidRPr="00BE1CFE">
        <w:rPr>
          <w:rFonts w:eastAsia="Calibri"/>
          <w:rtl/>
        </w:rPr>
        <w:t>במסגרת</w:t>
      </w:r>
      <w:r w:rsidRPr="00BE1CFE">
        <w:rPr>
          <w:rFonts w:eastAsia="Calibri" w:hint="cs"/>
          <w:rtl/>
        </w:rPr>
        <w:t xml:space="preserve"> ההכשרה </w:t>
      </w:r>
      <w:r w:rsidRPr="00BE1CFE">
        <w:rPr>
          <w:rFonts w:eastAsia="Calibri"/>
          <w:rtl/>
        </w:rPr>
        <w:t xml:space="preserve">מוסבר </w:t>
      </w:r>
      <w:r w:rsidRPr="00BE1CFE">
        <w:rPr>
          <w:rFonts w:eastAsia="Calibri" w:hint="cs"/>
          <w:rtl/>
        </w:rPr>
        <w:t xml:space="preserve">לקצינים המוסמכים על </w:t>
      </w:r>
      <w:r w:rsidRPr="00BE1CFE">
        <w:rPr>
          <w:rFonts w:eastAsia="Calibri"/>
          <w:rtl/>
        </w:rPr>
        <w:t xml:space="preserve">חוק נתוני תקשורת, </w:t>
      </w:r>
      <w:r w:rsidRPr="00BE1CFE">
        <w:rPr>
          <w:rFonts w:eastAsia="Calibri" w:hint="cs"/>
          <w:rtl/>
        </w:rPr>
        <w:t xml:space="preserve">על </w:t>
      </w:r>
      <w:r w:rsidRPr="00BE1CFE">
        <w:rPr>
          <w:rFonts w:eastAsia="Calibri"/>
          <w:rtl/>
        </w:rPr>
        <w:t xml:space="preserve">מאפייני האירועים בהיתר </w:t>
      </w:r>
      <w:r w:rsidRPr="00BE1CFE">
        <w:rPr>
          <w:rFonts w:eastAsia="Calibri" w:hint="cs"/>
          <w:rtl/>
        </w:rPr>
        <w:t>ה</w:t>
      </w:r>
      <w:r w:rsidRPr="00BE1CFE">
        <w:rPr>
          <w:rFonts w:eastAsia="Calibri"/>
          <w:rtl/>
        </w:rPr>
        <w:t>מ</w:t>
      </w:r>
      <w:r w:rsidRPr="00BE1CFE">
        <w:rPr>
          <w:rFonts w:eastAsia="Calibri" w:hint="cs"/>
          <w:rtl/>
        </w:rPr>
        <w:t>י</w:t>
      </w:r>
      <w:r w:rsidRPr="00BE1CFE">
        <w:rPr>
          <w:rFonts w:eastAsia="Calibri"/>
          <w:rtl/>
        </w:rPr>
        <w:t>נהלי</w:t>
      </w:r>
      <w:r w:rsidRPr="00BE1CFE">
        <w:rPr>
          <w:rFonts w:eastAsia="Calibri" w:hint="cs"/>
          <w:rtl/>
        </w:rPr>
        <w:t>,</w:t>
      </w:r>
      <w:r w:rsidRPr="00BE1CFE">
        <w:rPr>
          <w:rFonts w:eastAsia="Calibri"/>
          <w:rtl/>
        </w:rPr>
        <w:t xml:space="preserve"> </w:t>
      </w:r>
      <w:r w:rsidRPr="00BE1CFE">
        <w:rPr>
          <w:rFonts w:eastAsia="Calibri" w:hint="cs"/>
          <w:rtl/>
        </w:rPr>
        <w:t xml:space="preserve">על </w:t>
      </w:r>
      <w:r w:rsidRPr="00BE1CFE">
        <w:rPr>
          <w:rFonts w:eastAsia="Calibri"/>
          <w:rtl/>
        </w:rPr>
        <w:t xml:space="preserve">אופן העבודה מול </w:t>
      </w:r>
      <w:r w:rsidRPr="00BE1CFE">
        <w:rPr>
          <w:rFonts w:eastAsia="Calibri" w:hint="cs"/>
          <w:rtl/>
        </w:rPr>
        <w:t>ה</w:t>
      </w:r>
      <w:r w:rsidRPr="00BE1CFE">
        <w:rPr>
          <w:rFonts w:eastAsia="Calibri"/>
          <w:rtl/>
        </w:rPr>
        <w:t xml:space="preserve">משל"ט, </w:t>
      </w:r>
      <w:r w:rsidRPr="00BE1CFE">
        <w:rPr>
          <w:rFonts w:eastAsia="Calibri" w:hint="cs"/>
          <w:rtl/>
        </w:rPr>
        <w:t xml:space="preserve">על </w:t>
      </w:r>
      <w:r w:rsidRPr="00BE1CFE">
        <w:rPr>
          <w:rFonts w:eastAsia="Calibri"/>
          <w:rtl/>
        </w:rPr>
        <w:t>סמכו</w:t>
      </w:r>
      <w:r w:rsidRPr="00BE1CFE">
        <w:rPr>
          <w:rFonts w:eastAsia="Calibri" w:hint="cs"/>
          <w:rtl/>
        </w:rPr>
        <w:t>יו</w:t>
      </w:r>
      <w:r w:rsidRPr="00BE1CFE">
        <w:rPr>
          <w:rFonts w:eastAsia="Calibri"/>
          <w:rtl/>
        </w:rPr>
        <w:t>ת</w:t>
      </w:r>
      <w:r w:rsidRPr="00BE1CFE">
        <w:rPr>
          <w:rFonts w:eastAsia="Calibri" w:hint="cs"/>
          <w:rtl/>
        </w:rPr>
        <w:t>יה</w:t>
      </w:r>
      <w:r w:rsidRPr="00BE1CFE">
        <w:rPr>
          <w:rFonts w:eastAsia="Calibri"/>
          <w:rtl/>
        </w:rPr>
        <w:t>ם וחובות</w:t>
      </w:r>
      <w:r w:rsidRPr="00BE1CFE">
        <w:rPr>
          <w:rFonts w:eastAsia="Calibri" w:hint="cs"/>
          <w:rtl/>
        </w:rPr>
        <w:t>יהם</w:t>
      </w:r>
      <w:r w:rsidRPr="00BE1CFE">
        <w:rPr>
          <w:rFonts w:eastAsia="Calibri"/>
          <w:rtl/>
        </w:rPr>
        <w:t xml:space="preserve"> </w:t>
      </w:r>
      <w:r w:rsidRPr="00BE1CFE">
        <w:rPr>
          <w:rFonts w:eastAsia="Calibri" w:hint="cs"/>
          <w:rtl/>
        </w:rPr>
        <w:t>בהתאם</w:t>
      </w:r>
      <w:r w:rsidRPr="00BE1CFE">
        <w:rPr>
          <w:rFonts w:eastAsia="Calibri"/>
          <w:rtl/>
        </w:rPr>
        <w:t xml:space="preserve"> </w:t>
      </w:r>
      <w:r w:rsidRPr="00BE1CFE">
        <w:rPr>
          <w:rFonts w:eastAsia="Calibri" w:hint="cs"/>
          <w:rtl/>
        </w:rPr>
        <w:t>ל</w:t>
      </w:r>
      <w:r w:rsidRPr="00BE1CFE">
        <w:rPr>
          <w:rFonts w:eastAsia="Calibri"/>
          <w:rtl/>
        </w:rPr>
        <w:t>חוק</w:t>
      </w:r>
      <w:r w:rsidRPr="00BE1CFE">
        <w:rPr>
          <w:rFonts w:eastAsia="Calibri" w:hint="cs"/>
          <w:rtl/>
        </w:rPr>
        <w:t>,</w:t>
      </w:r>
      <w:r w:rsidRPr="00BE1CFE">
        <w:rPr>
          <w:rFonts w:eastAsia="Calibri"/>
          <w:rtl/>
        </w:rPr>
        <w:t xml:space="preserve"> </w:t>
      </w:r>
      <w:r w:rsidRPr="00BE1CFE">
        <w:rPr>
          <w:rFonts w:eastAsia="Calibri" w:hint="cs"/>
          <w:rtl/>
        </w:rPr>
        <w:t>ל</w:t>
      </w:r>
      <w:r w:rsidRPr="00BE1CFE">
        <w:rPr>
          <w:rFonts w:eastAsia="Calibri"/>
          <w:rtl/>
        </w:rPr>
        <w:t>נהלים ו</w:t>
      </w:r>
      <w:r w:rsidRPr="00BE1CFE">
        <w:rPr>
          <w:rFonts w:eastAsia="Calibri" w:hint="cs"/>
          <w:rtl/>
        </w:rPr>
        <w:t>ל</w:t>
      </w:r>
      <w:r w:rsidRPr="00BE1CFE">
        <w:rPr>
          <w:rFonts w:eastAsia="Calibri"/>
          <w:rtl/>
        </w:rPr>
        <w:t>יכולות החטיבה. המצגת מהווה כלי עזר בלבד להסמכה</w:t>
      </w:r>
      <w:r w:rsidRPr="00BE1CFE">
        <w:rPr>
          <w:rFonts w:eastAsia="Calibri" w:hint="cs"/>
          <w:rtl/>
        </w:rPr>
        <w:t>.</w:t>
      </w:r>
    </w:p>
    <w:p w:rsidR="00B47E58" w:rsidRDefault="00B47E58" w:rsidP="00261075">
      <w:pPr>
        <w:spacing w:line="269" w:lineRule="auto"/>
        <w:ind w:left="350"/>
        <w:rPr>
          <w:rFonts w:eastAsia="Calibri"/>
          <w:szCs w:val="20"/>
          <w:rtl/>
        </w:rPr>
      </w:pPr>
    </w:p>
    <w:p w:rsidR="00E46818" w:rsidRPr="00BE1CFE" w:rsidRDefault="00E46818" w:rsidP="00261075">
      <w:pPr>
        <w:spacing w:line="269" w:lineRule="auto"/>
        <w:ind w:left="350"/>
        <w:rPr>
          <w:rFonts w:eastAsia="Calibri"/>
          <w:b/>
          <w:bCs/>
          <w:rtl/>
        </w:rPr>
      </w:pPr>
      <w:r w:rsidRPr="00BE1CFE">
        <w:rPr>
          <w:rFonts w:eastAsia="Calibri" w:hint="cs"/>
          <w:b/>
          <w:bCs/>
          <w:rtl/>
        </w:rPr>
        <w:t xml:space="preserve">על חטיבת הסייבר לוודא שכל הקצינים המוסמכים עוברים את ההכשרה שנקבעה עם כניסתם לתפקיד. כמו כן מומלץ כי חטיבת הסייבר תשקול להרחיב במידה ניכרת את ההכשרה והחניכה של הקצינים המוסמכים למתן היתרים מינהליים באופן שיהלום את היקף הסמכות ואת מידת האחריות המוקנות להם מכוח החוק. </w:t>
      </w:r>
    </w:p>
    <w:p w:rsidR="00E46818" w:rsidRPr="00BE1CFE" w:rsidRDefault="00E46818" w:rsidP="00604C3D">
      <w:pPr>
        <w:spacing w:line="269" w:lineRule="auto"/>
        <w:rPr>
          <w:rFonts w:eastAsia="Calibri"/>
          <w:rtl/>
        </w:rPr>
      </w:pPr>
    </w:p>
    <w:p w:rsidR="00E46818" w:rsidRPr="00BE1CFE" w:rsidRDefault="00E46818" w:rsidP="00C10712">
      <w:pPr>
        <w:pStyle w:val="4"/>
        <w:numPr>
          <w:ilvl w:val="1"/>
          <w:numId w:val="50"/>
        </w:numPr>
        <w:spacing w:before="0" w:line="269" w:lineRule="auto"/>
        <w:ind w:left="339"/>
        <w:rPr>
          <w:rFonts w:eastAsia="Times New Roman"/>
          <w:bCs w:val="0"/>
          <w:rtl/>
        </w:rPr>
      </w:pPr>
      <w:bookmarkStart w:id="619" w:name="_Toc211521955"/>
      <w:bookmarkStart w:id="620" w:name="_Toc219110346"/>
      <w:bookmarkStart w:id="621" w:name="_Toc219113787"/>
      <w:bookmarkStart w:id="622" w:name="_Toc219286562"/>
      <w:r w:rsidRPr="009F28D5">
        <w:rPr>
          <w:rFonts w:eastAsia="Times New Roman" w:hint="cs"/>
          <w:b/>
          <w:rtl/>
        </w:rPr>
        <w:t>אפקטיביות</w:t>
      </w:r>
      <w:r w:rsidRPr="00BE1CFE">
        <w:rPr>
          <w:rFonts w:eastAsia="Times New Roman" w:hint="cs"/>
          <w:bCs w:val="0"/>
          <w:rtl/>
        </w:rPr>
        <w:t xml:space="preserve"> </w:t>
      </w:r>
      <w:r w:rsidRPr="009F28D5">
        <w:rPr>
          <w:rFonts w:eastAsia="Times New Roman" w:hint="cs"/>
          <w:b/>
          <w:rtl/>
        </w:rPr>
        <w:t xml:space="preserve">השימוש </w:t>
      </w:r>
      <w:r w:rsidRPr="00C10712">
        <w:rPr>
          <w:rFonts w:eastAsia="Times New Roman" w:hint="cs"/>
          <w:rtl/>
        </w:rPr>
        <w:t>בהיתרים</w:t>
      </w:r>
      <w:r w:rsidRPr="009F28D5">
        <w:rPr>
          <w:rFonts w:eastAsia="Times New Roman" w:hint="cs"/>
          <w:b/>
          <w:rtl/>
        </w:rPr>
        <w:t xml:space="preserve"> המינהליים</w:t>
      </w:r>
      <w:bookmarkEnd w:id="619"/>
      <w:bookmarkEnd w:id="620"/>
      <w:bookmarkEnd w:id="621"/>
      <w:bookmarkEnd w:id="622"/>
      <w:r w:rsidRPr="00BE1CFE">
        <w:rPr>
          <w:rFonts w:eastAsia="Times New Roman" w:hint="cs"/>
          <w:bCs w:val="0"/>
          <w:rtl/>
        </w:rPr>
        <w:t xml:space="preserve"> </w:t>
      </w:r>
    </w:p>
    <w:p w:rsidR="00B47E58" w:rsidRDefault="00B47E58" w:rsidP="00604C3D">
      <w:pPr>
        <w:spacing w:line="269" w:lineRule="auto"/>
        <w:rPr>
          <w:rFonts w:eastAsia="Calibri"/>
          <w:szCs w:val="20"/>
          <w:rtl/>
        </w:rPr>
      </w:pPr>
    </w:p>
    <w:p w:rsidR="00E46818" w:rsidRPr="00BE1CFE" w:rsidRDefault="00E46818" w:rsidP="00261075">
      <w:pPr>
        <w:spacing w:line="269" w:lineRule="auto"/>
        <w:ind w:left="339"/>
        <w:rPr>
          <w:rFonts w:eastAsia="Calibri"/>
          <w:rtl/>
        </w:rPr>
      </w:pPr>
      <w:r w:rsidRPr="00BE1CFE">
        <w:rPr>
          <w:rFonts w:eastAsia="Calibri" w:hint="cs"/>
          <w:rtl/>
        </w:rPr>
        <w:t>בהתאם למושכלת יסוד ולעיקרון בסיסי של המינהל הציבורי (עקרון חוקיות המינהל),</w:t>
      </w:r>
      <w:r w:rsidRPr="00BE1CFE">
        <w:rPr>
          <w:rFonts w:eastAsia="Calibri" w:hint="cs"/>
        </w:rPr>
        <w:t xml:space="preserve"> </w:t>
      </w:r>
      <w:r w:rsidRPr="00BE1CFE">
        <w:rPr>
          <w:rFonts w:eastAsia="Calibri" w:hint="cs"/>
          <w:rtl/>
        </w:rPr>
        <w:t>רשות מינהלית רשאית לבצע רק פעולות שהיא הוסמכה לבצע מתוקף החוק. עם השנים התגבשה בפסיקה ובספרות המשפטית העמדה כי מדובר בתנאי סף בלבד, וכי גם אם הרשות המינהלית קיבלה הסמכה חוקית להפעלת סמכות עליה להפעיל סמכות זו באופן מידתי, ראוי והוגן ותוך יצירת איזון נאות בין הפגיעה בזכות ובין הצורך הציבורי</w:t>
      </w:r>
      <w:r w:rsidRPr="00BE1CFE">
        <w:rPr>
          <w:rFonts w:eastAsia="Calibri"/>
          <w:vertAlign w:val="superscript"/>
          <w:rtl/>
        </w:rPr>
        <w:footnoteReference w:id="283"/>
      </w:r>
      <w:r w:rsidRPr="00BE1CFE">
        <w:rPr>
          <w:rFonts w:eastAsia="Calibri" w:hint="cs"/>
          <w:rtl/>
        </w:rPr>
        <w:t>.</w:t>
      </w:r>
    </w:p>
    <w:p w:rsidR="004B50FC" w:rsidRDefault="004B50FC" w:rsidP="00261075">
      <w:pPr>
        <w:spacing w:line="269" w:lineRule="auto"/>
        <w:ind w:left="339"/>
        <w:rPr>
          <w:rFonts w:eastAsia="Calibri"/>
          <w:rtl/>
        </w:rPr>
      </w:pPr>
    </w:p>
    <w:p w:rsidR="00E46818" w:rsidRPr="00BE1CFE" w:rsidRDefault="00E46818" w:rsidP="00261075">
      <w:pPr>
        <w:spacing w:line="269" w:lineRule="auto"/>
        <w:ind w:left="339"/>
        <w:rPr>
          <w:rFonts w:eastAsia="Calibri"/>
          <w:rtl/>
        </w:rPr>
      </w:pPr>
      <w:r w:rsidRPr="00BE1CFE">
        <w:rPr>
          <w:rFonts w:eastAsia="Calibri" w:hint="cs"/>
          <w:rtl/>
        </w:rPr>
        <w:t xml:space="preserve">בחינת הצדקתו של מתן היתר מינהלי לשם קבלת נתוני תקשורת צריכה להתבצע מבעוד מועד, עוד לפני מתן ההיתר, ובמסגרתה צריך הקצין המוסמך לשקול היטב אם אכן מתקיימות הנסיבות המצדיקות מתן היתר מינהלי ולא ניתן להמתין לקבלת צו שיפוטי. בין היתר יש לבדוק אם קיים פער זמנים משמעותי בין מועד התרחשות האירוע ובין מועד קבלת הדיווח על האירוע במשטרה, או בין מועד קבלת הדיווח על האירוע במשטרה ובין מועד הבקשה לקבלת היתר מינהלי, פער שעשוי לעיתים להצביע על היעדר הצדקה למתן היתר מינהלי. כמו כן, במסגרת בחינת ההצדקה לפני מתן ההיתר המינהלי על הקצין המוסמך לשקול את היקף הפגיעה הצפוי בפרטיות בעקבות מתן ההיתר וקבלת נתוני התקשורת. </w:t>
      </w:r>
    </w:p>
    <w:p w:rsidR="00B47E58" w:rsidRDefault="00B47E58" w:rsidP="00261075">
      <w:pPr>
        <w:spacing w:line="269" w:lineRule="auto"/>
        <w:ind w:left="339"/>
        <w:rPr>
          <w:rFonts w:eastAsia="Calibri"/>
          <w:szCs w:val="20"/>
          <w:rtl/>
        </w:rPr>
      </w:pPr>
    </w:p>
    <w:p w:rsidR="00E46818" w:rsidRPr="00BE1CFE" w:rsidRDefault="00E46818" w:rsidP="00261075">
      <w:pPr>
        <w:spacing w:line="269" w:lineRule="auto"/>
        <w:ind w:left="339"/>
        <w:rPr>
          <w:rFonts w:eastAsia="Calibri"/>
          <w:rtl/>
        </w:rPr>
      </w:pPr>
      <w:r w:rsidRPr="00BE1CFE">
        <w:rPr>
          <w:rFonts w:eastAsia="Calibri" w:hint="eastAsia"/>
          <w:rtl/>
        </w:rPr>
        <w:t>יעילותו</w:t>
      </w:r>
      <w:r w:rsidRPr="00BE1CFE">
        <w:rPr>
          <w:rFonts w:eastAsia="Calibri"/>
          <w:rtl/>
        </w:rPr>
        <w:t xml:space="preserve"> </w:t>
      </w:r>
      <w:r w:rsidRPr="00BE1CFE">
        <w:rPr>
          <w:rFonts w:eastAsia="Calibri" w:hint="eastAsia"/>
          <w:rtl/>
        </w:rPr>
        <w:t>של</w:t>
      </w:r>
      <w:r w:rsidRPr="00BE1CFE">
        <w:rPr>
          <w:rFonts w:eastAsia="Calibri"/>
          <w:rtl/>
        </w:rPr>
        <w:t xml:space="preserve"> </w:t>
      </w:r>
      <w:r w:rsidRPr="00BE1CFE">
        <w:rPr>
          <w:rFonts w:eastAsia="Calibri" w:hint="eastAsia"/>
          <w:rtl/>
        </w:rPr>
        <w:t>ההיתר</w:t>
      </w:r>
      <w:r w:rsidRPr="00BE1CFE">
        <w:rPr>
          <w:rFonts w:eastAsia="Calibri"/>
          <w:rtl/>
        </w:rPr>
        <w:t xml:space="preserve"> </w:t>
      </w:r>
      <w:r w:rsidRPr="00BE1CFE">
        <w:rPr>
          <w:rFonts w:eastAsia="Calibri" w:hint="eastAsia"/>
          <w:rtl/>
        </w:rPr>
        <w:t>המ</w:t>
      </w:r>
      <w:r w:rsidRPr="00BE1CFE">
        <w:rPr>
          <w:rFonts w:eastAsia="Calibri" w:hint="cs"/>
          <w:rtl/>
        </w:rPr>
        <w:t>י</w:t>
      </w:r>
      <w:r w:rsidRPr="00BE1CFE">
        <w:rPr>
          <w:rFonts w:eastAsia="Calibri" w:hint="eastAsia"/>
          <w:rtl/>
        </w:rPr>
        <w:t>נהלי</w:t>
      </w:r>
      <w:r w:rsidRPr="00BE1CFE">
        <w:rPr>
          <w:rFonts w:eastAsia="Calibri"/>
          <w:rtl/>
        </w:rPr>
        <w:t xml:space="preserve"> </w:t>
      </w:r>
      <w:r w:rsidRPr="00BE1CFE">
        <w:rPr>
          <w:rFonts w:eastAsia="Calibri" w:hint="eastAsia"/>
          <w:rtl/>
        </w:rPr>
        <w:t>יכולה</w:t>
      </w:r>
      <w:r w:rsidRPr="00BE1CFE">
        <w:rPr>
          <w:rFonts w:eastAsia="Calibri"/>
          <w:rtl/>
        </w:rPr>
        <w:t xml:space="preserve"> </w:t>
      </w:r>
      <w:r w:rsidRPr="00BE1CFE">
        <w:rPr>
          <w:rFonts w:eastAsia="Calibri" w:hint="cs"/>
          <w:rtl/>
        </w:rPr>
        <w:t>להיבחן</w:t>
      </w:r>
      <w:r w:rsidRPr="00BE1CFE">
        <w:rPr>
          <w:rFonts w:eastAsia="Calibri"/>
          <w:rtl/>
        </w:rPr>
        <w:t xml:space="preserve"> </w:t>
      </w:r>
      <w:r w:rsidRPr="00BE1CFE">
        <w:rPr>
          <w:rFonts w:eastAsia="Calibri" w:hint="eastAsia"/>
          <w:rtl/>
        </w:rPr>
        <w:t>רק</w:t>
      </w:r>
      <w:r w:rsidRPr="00BE1CFE">
        <w:rPr>
          <w:rFonts w:eastAsia="Calibri"/>
          <w:rtl/>
        </w:rPr>
        <w:t xml:space="preserve"> </w:t>
      </w:r>
      <w:r w:rsidRPr="00BE1CFE">
        <w:rPr>
          <w:rFonts w:eastAsia="Calibri" w:hint="eastAsia"/>
          <w:rtl/>
        </w:rPr>
        <w:t>בדיעבד</w:t>
      </w:r>
      <w:r w:rsidRPr="00BE1CFE">
        <w:rPr>
          <w:rFonts w:eastAsia="Calibri"/>
          <w:rtl/>
        </w:rPr>
        <w:t xml:space="preserve">, </w:t>
      </w:r>
      <w:r w:rsidRPr="00BE1CFE">
        <w:rPr>
          <w:rFonts w:eastAsia="Calibri" w:hint="cs"/>
          <w:rtl/>
        </w:rPr>
        <w:t xml:space="preserve">לאחר </w:t>
      </w:r>
      <w:r w:rsidRPr="00BE1CFE">
        <w:rPr>
          <w:rFonts w:eastAsia="Calibri"/>
          <w:rtl/>
        </w:rPr>
        <w:t>בחינת תרומתם של נתוני התקשורת לפענוח התיק</w:t>
      </w:r>
      <w:r w:rsidRPr="00BE1CFE">
        <w:rPr>
          <w:rFonts w:eastAsia="Calibri" w:hint="cs"/>
          <w:rtl/>
        </w:rPr>
        <w:t xml:space="preserve"> במקרה המסוים שבו ניתן ההיתר</w:t>
      </w:r>
      <w:r w:rsidRPr="00BE1CFE">
        <w:rPr>
          <w:rFonts w:eastAsia="Calibri"/>
          <w:vertAlign w:val="superscript"/>
          <w:rtl/>
        </w:rPr>
        <w:footnoteReference w:id="284"/>
      </w:r>
      <w:r w:rsidRPr="00BE1CFE">
        <w:rPr>
          <w:rFonts w:eastAsia="Calibri" w:hint="cs"/>
          <w:rtl/>
        </w:rPr>
        <w:t>. עם זאת, בחינת היעילות</w:t>
      </w:r>
      <w:r w:rsidRPr="00BE1CFE">
        <w:rPr>
          <w:rFonts w:eastAsia="Calibri" w:hint="cs"/>
          <w:sz w:val="24"/>
          <w:rtl/>
        </w:rPr>
        <w:t xml:space="preserve"> צריכה להביא בחשבון פרמטרים רבים נוספים, ובכלל זה המידע </w:t>
      </w:r>
      <w:r w:rsidRPr="00BE1CFE">
        <w:rPr>
          <w:rFonts w:eastAsia="Calibri" w:hint="cs"/>
          <w:rtl/>
        </w:rPr>
        <w:t>שהיה לפני הקצין המוסמך בעת קבלת ההחלטה. כמו כן, מידת היעילות כשלעצמה אינה נקבעת באופן בינרי, המאפשר להכריע באופן מוחלט בין שני ערכים אפשריים בלבד, אלא לפי רצף ערכים בטווח שבין יעיל ללא יעיל</w:t>
      </w:r>
      <w:r w:rsidRPr="00BE1CFE">
        <w:rPr>
          <w:rFonts w:eastAsia="Calibri"/>
          <w:vertAlign w:val="superscript"/>
          <w:rtl/>
        </w:rPr>
        <w:footnoteReference w:id="285"/>
      </w:r>
      <w:r w:rsidRPr="00BE1CFE">
        <w:rPr>
          <w:rFonts w:eastAsia="Calibri" w:hint="cs"/>
          <w:rtl/>
        </w:rPr>
        <w:t xml:space="preserve">. </w:t>
      </w:r>
    </w:p>
    <w:p w:rsidR="00B47E58" w:rsidRDefault="00B47E58" w:rsidP="00261075">
      <w:pPr>
        <w:spacing w:line="269" w:lineRule="auto"/>
        <w:ind w:left="339"/>
        <w:rPr>
          <w:rFonts w:eastAsia="Calibri"/>
          <w:szCs w:val="20"/>
          <w:rtl/>
        </w:rPr>
      </w:pPr>
    </w:p>
    <w:p w:rsidR="00E46818" w:rsidRPr="00BE1CFE" w:rsidRDefault="00E46818" w:rsidP="00261075">
      <w:pPr>
        <w:spacing w:line="269" w:lineRule="auto"/>
        <w:ind w:left="339"/>
        <w:rPr>
          <w:rFonts w:eastAsia="Calibri"/>
          <w:rtl/>
        </w:rPr>
      </w:pPr>
      <w:r w:rsidRPr="00BE1CFE">
        <w:rPr>
          <w:rFonts w:eastAsia="Calibri" w:hint="cs"/>
          <w:rtl/>
        </w:rPr>
        <w:t>המשטרה עצמה בוחנת את יעילות קבלת נתוני התקשורת באמצעות ההיתרים המינהליים, ולשם כך היא קבעה מדד של "פענוח סיגינטי"</w:t>
      </w:r>
      <w:r w:rsidRPr="00BE1CFE">
        <w:rPr>
          <w:rFonts w:eastAsia="Calibri"/>
          <w:vertAlign w:val="superscript"/>
          <w:rtl/>
        </w:rPr>
        <w:footnoteReference w:id="286"/>
      </w:r>
      <w:r w:rsidRPr="00BE1CFE">
        <w:rPr>
          <w:rFonts w:eastAsia="Calibri" w:hint="cs"/>
          <w:rtl/>
        </w:rPr>
        <w:t>. בעת סגירת אירוע המשל"ט מציין במערכת לניהול צווים לגבי כל היתר מינהלי כיצד האירוע הסתיים: האירוע הסתיים בפענוח סיגינטי; האירוע הסתיים בפענוח על ידי היחידה החוקרת</w:t>
      </w:r>
      <w:r w:rsidRPr="00BE1CFE">
        <w:rPr>
          <w:rFonts w:eastAsia="Calibri"/>
          <w:vertAlign w:val="superscript"/>
          <w:rtl/>
        </w:rPr>
        <w:footnoteReference w:id="287"/>
      </w:r>
      <w:r w:rsidRPr="00BE1CFE">
        <w:rPr>
          <w:rFonts w:eastAsia="Calibri" w:hint="cs"/>
          <w:rtl/>
        </w:rPr>
        <w:t>; "המשך עבודה בצווים" - האירוע לא פוענח ואם היחידה מעוניינת להמשיך בקבלת נתוני תקשורת עליה לפנות לבית המשפט לשם קבלת צו נתוני תקשורת. להלן נתוני המשל"ט לגבי יעילות ההיתרים המינהליים שניתנו בשנת 2021.</w:t>
      </w:r>
    </w:p>
    <w:p w:rsidR="00E46818" w:rsidRPr="00BE1CFE" w:rsidRDefault="00E46818" w:rsidP="00604C3D">
      <w:pPr>
        <w:spacing w:line="269" w:lineRule="auto"/>
        <w:jc w:val="center"/>
        <w:rPr>
          <w:rFonts w:eastAsia="Calibri"/>
          <w:rtl/>
        </w:rPr>
      </w:pPr>
    </w:p>
    <w:p w:rsidR="00E46818" w:rsidRPr="00BE1CFE" w:rsidRDefault="00E46818" w:rsidP="00604C3D">
      <w:pPr>
        <w:keepNext/>
        <w:keepLines/>
        <w:spacing w:line="269" w:lineRule="auto"/>
        <w:jc w:val="center"/>
        <w:rPr>
          <w:rFonts w:eastAsia="Calibri"/>
          <w:b/>
          <w:bCs/>
          <w:rtl/>
        </w:rPr>
      </w:pPr>
      <w:r w:rsidRPr="00BE1CFE">
        <w:rPr>
          <w:rFonts w:eastAsia="Calibri" w:hint="eastAsia"/>
          <w:rtl/>
        </w:rPr>
        <w:t>תרשים</w:t>
      </w:r>
      <w:r w:rsidR="009F28D5">
        <w:rPr>
          <w:rFonts w:eastAsia="Calibri" w:hint="cs"/>
          <w:rtl/>
        </w:rPr>
        <w:t xml:space="preserve"> 22</w:t>
      </w:r>
      <w:r w:rsidRPr="00BE1CFE">
        <w:rPr>
          <w:rFonts w:eastAsia="Calibri"/>
          <w:rtl/>
        </w:rPr>
        <w:t>:</w:t>
      </w:r>
      <w:r w:rsidRPr="00BE1CFE">
        <w:rPr>
          <w:rFonts w:eastAsia="Calibri" w:hint="cs"/>
          <w:b/>
          <w:bCs/>
          <w:rtl/>
        </w:rPr>
        <w:t xml:space="preserve"> נתונים על יעילות ההיתרים המינהליים ב</w:t>
      </w:r>
      <w:r>
        <w:rPr>
          <w:rFonts w:eastAsia="Calibri" w:hint="cs"/>
          <w:b/>
          <w:bCs/>
          <w:rtl/>
        </w:rPr>
        <w:t>התאם ל</w:t>
      </w:r>
      <w:r w:rsidRPr="00BE1CFE">
        <w:rPr>
          <w:rFonts w:eastAsia="Calibri" w:hint="cs"/>
          <w:b/>
          <w:bCs/>
          <w:rtl/>
        </w:rPr>
        <w:t xml:space="preserve">עילות </w:t>
      </w:r>
      <w:r>
        <w:rPr>
          <w:rFonts w:eastAsia="Calibri" w:hint="cs"/>
          <w:b/>
          <w:bCs/>
          <w:rtl/>
        </w:rPr>
        <w:t>נתינתם</w:t>
      </w:r>
      <w:r w:rsidRPr="00BE1CFE">
        <w:rPr>
          <w:rFonts w:eastAsia="Calibri" w:hint="cs"/>
          <w:b/>
          <w:bCs/>
          <w:rtl/>
        </w:rPr>
        <w:t>, 2021</w:t>
      </w:r>
    </w:p>
    <w:p w:rsidR="00E46818" w:rsidRPr="00BE1CFE" w:rsidRDefault="00E46818" w:rsidP="000920B8">
      <w:pPr>
        <w:spacing w:line="269" w:lineRule="auto"/>
        <w:jc w:val="center"/>
        <w:rPr>
          <w:rFonts w:eastAsia="Calibri"/>
          <w:rtl/>
        </w:rPr>
      </w:pPr>
      <w:r w:rsidRPr="00BE1CFE">
        <w:rPr>
          <w:rFonts w:eastAsia="Calibri"/>
          <w:noProof/>
        </w:rPr>
        <w:drawing>
          <wp:inline distT="0" distB="0" distL="0" distR="0" wp14:anchorId="10312880" wp14:editId="41F86BB3">
            <wp:extent cx="4393278" cy="2558415"/>
            <wp:effectExtent l="0" t="0" r="7620"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344" b="5384"/>
                    <a:stretch/>
                  </pic:blipFill>
                  <pic:spPr bwMode="auto">
                    <a:xfrm>
                      <a:off x="0" y="0"/>
                      <a:ext cx="4406201" cy="2565941"/>
                    </a:xfrm>
                    <a:prstGeom prst="rect">
                      <a:avLst/>
                    </a:prstGeom>
                    <a:noFill/>
                    <a:ln>
                      <a:noFill/>
                    </a:ln>
                    <a:extLst>
                      <a:ext uri="{53640926-AAD7-44D8-BBD7-CCE9431645EC}">
                        <a14:shadowObscured xmlns:a14="http://schemas.microsoft.com/office/drawing/2010/main"/>
                      </a:ext>
                    </a:extLst>
                  </pic:spPr>
                </pic:pic>
              </a:graphicData>
            </a:graphic>
          </wp:inline>
        </w:drawing>
      </w:r>
    </w:p>
    <w:p w:rsidR="00B47E58" w:rsidRDefault="00E46818" w:rsidP="00212501">
      <w:pPr>
        <w:spacing w:line="269" w:lineRule="auto"/>
        <w:ind w:firstLine="140"/>
        <w:rPr>
          <w:rFonts w:eastAsia="Calibri"/>
          <w:szCs w:val="20"/>
          <w:rtl/>
        </w:rPr>
      </w:pPr>
      <w:r w:rsidRPr="004B50FC">
        <w:rPr>
          <w:rFonts w:eastAsia="Calibri" w:hint="cs"/>
          <w:szCs w:val="20"/>
          <w:rtl/>
        </w:rPr>
        <w:t>על פי נתוני המשטרה, בעיבוד משרד מבקר המדינה.</w:t>
      </w:r>
    </w:p>
    <w:p w:rsidR="00261075" w:rsidRDefault="00261075" w:rsidP="004C6E25">
      <w:pPr>
        <w:spacing w:line="269" w:lineRule="auto"/>
        <w:rPr>
          <w:rFonts w:eastAsia="Calibri"/>
          <w:szCs w:val="20"/>
          <w:rtl/>
        </w:rPr>
      </w:pPr>
    </w:p>
    <w:p w:rsidR="00E46818" w:rsidRPr="00BE1CFE" w:rsidRDefault="00E46818" w:rsidP="00261075">
      <w:pPr>
        <w:spacing w:line="269" w:lineRule="auto"/>
        <w:ind w:left="339"/>
        <w:rPr>
          <w:rFonts w:eastAsia="Calibri"/>
          <w:szCs w:val="20"/>
          <w:rtl/>
        </w:rPr>
      </w:pPr>
      <w:r w:rsidRPr="00BE1CFE">
        <w:rPr>
          <w:rFonts w:eastAsia="Calibri" w:hint="cs"/>
          <w:rtl/>
        </w:rPr>
        <w:t xml:space="preserve">מהתרשימים </w:t>
      </w:r>
      <w:r w:rsidRPr="00BE1CFE">
        <w:rPr>
          <w:rFonts w:eastAsia="Calibri" w:hint="eastAsia"/>
          <w:rtl/>
        </w:rPr>
        <w:t>עולה</w:t>
      </w:r>
      <w:r w:rsidRPr="00BE1CFE">
        <w:rPr>
          <w:rFonts w:eastAsia="Calibri"/>
          <w:rtl/>
        </w:rPr>
        <w:t xml:space="preserve"> </w:t>
      </w:r>
      <w:r w:rsidRPr="00BE1CFE">
        <w:rPr>
          <w:rFonts w:eastAsia="Calibri" w:hint="eastAsia"/>
          <w:rtl/>
        </w:rPr>
        <w:t>כי</w:t>
      </w:r>
      <w:r w:rsidRPr="00BE1CFE">
        <w:rPr>
          <w:rFonts w:eastAsia="Calibri"/>
          <w:rtl/>
        </w:rPr>
        <w:t xml:space="preserve"> </w:t>
      </w:r>
      <w:r w:rsidRPr="00BE1CFE">
        <w:rPr>
          <w:rFonts w:eastAsia="Calibri" w:hint="eastAsia"/>
          <w:rtl/>
        </w:rPr>
        <w:t>שיעור</w:t>
      </w:r>
      <w:r w:rsidRPr="00BE1CFE">
        <w:rPr>
          <w:rFonts w:eastAsia="Calibri"/>
          <w:rtl/>
        </w:rPr>
        <w:t xml:space="preserve"> </w:t>
      </w:r>
      <w:r w:rsidRPr="00BE1CFE">
        <w:rPr>
          <w:rFonts w:eastAsia="Calibri" w:hint="eastAsia"/>
          <w:rtl/>
        </w:rPr>
        <w:t>ההיתרים</w:t>
      </w:r>
      <w:r w:rsidRPr="00BE1CFE">
        <w:rPr>
          <w:rFonts w:eastAsia="Calibri"/>
          <w:rtl/>
        </w:rPr>
        <w:t xml:space="preserve"> המינהליים שניתנו בעילה של מניעת פשע והסתיימו בפענוח סיגינטי הוא 23%</w:t>
      </w:r>
      <w:r w:rsidRPr="00BE1CFE">
        <w:rPr>
          <w:rFonts w:eastAsia="Calibri" w:hint="cs"/>
          <w:rtl/>
        </w:rPr>
        <w:t>,</w:t>
      </w:r>
      <w:r w:rsidRPr="00BE1CFE">
        <w:rPr>
          <w:rFonts w:eastAsia="Calibri"/>
          <w:rtl/>
        </w:rPr>
        <w:t xml:space="preserve"> </w:t>
      </w:r>
      <w:r w:rsidRPr="00BE1CFE">
        <w:rPr>
          <w:rFonts w:eastAsia="Calibri" w:hint="cs"/>
          <w:rtl/>
        </w:rPr>
        <w:t>ו</w:t>
      </w:r>
      <w:r w:rsidRPr="00BE1CFE">
        <w:rPr>
          <w:rFonts w:eastAsia="Calibri" w:hint="eastAsia"/>
          <w:rtl/>
        </w:rPr>
        <w:t>שיעור</w:t>
      </w:r>
      <w:r w:rsidRPr="00BE1CFE">
        <w:rPr>
          <w:rFonts w:eastAsia="Calibri"/>
          <w:rtl/>
        </w:rPr>
        <w:t xml:space="preserve"> </w:t>
      </w:r>
      <w:r w:rsidRPr="00BE1CFE">
        <w:rPr>
          <w:rFonts w:eastAsia="Calibri" w:hint="eastAsia"/>
          <w:rtl/>
        </w:rPr>
        <w:t>ההיתרים</w:t>
      </w:r>
      <w:r w:rsidRPr="00BE1CFE">
        <w:rPr>
          <w:rFonts w:eastAsia="Calibri"/>
          <w:rtl/>
        </w:rPr>
        <w:t xml:space="preserve"> המינהליים שניתנו בעילה של הצלת חיים והסתיימו בפענוח סיגינטי הוא 63%</w:t>
      </w:r>
      <w:r w:rsidRPr="00BE1CFE">
        <w:rPr>
          <w:rFonts w:eastAsia="Calibri" w:hint="cs"/>
          <w:rtl/>
        </w:rPr>
        <w:t>.</w:t>
      </w:r>
      <w:r>
        <w:rPr>
          <w:rFonts w:eastAsia="Calibri" w:hint="cs"/>
          <w:b/>
          <w:bCs/>
          <w:rtl/>
        </w:rPr>
        <w:t xml:space="preserve"> </w:t>
      </w:r>
    </w:p>
    <w:p w:rsidR="004B50FC" w:rsidRDefault="004B50FC" w:rsidP="00261075">
      <w:pPr>
        <w:spacing w:line="269" w:lineRule="auto"/>
        <w:ind w:left="720"/>
        <w:rPr>
          <w:rFonts w:eastAsia="Calibri"/>
          <w:rtl/>
        </w:rPr>
      </w:pPr>
    </w:p>
    <w:p w:rsidR="00E46818" w:rsidRPr="00BE1CFE" w:rsidRDefault="00E46818" w:rsidP="00261075">
      <w:pPr>
        <w:spacing w:line="269" w:lineRule="auto"/>
        <w:ind w:left="339"/>
        <w:rPr>
          <w:rFonts w:eastAsia="Calibri"/>
          <w:rtl/>
        </w:rPr>
      </w:pPr>
      <w:r w:rsidRPr="00BE1CFE">
        <w:rPr>
          <w:rFonts w:eastAsia="Calibri" w:hint="cs"/>
          <w:rtl/>
        </w:rPr>
        <w:t xml:space="preserve">בסגירת היתר מינהלי המשל"ט מגדיר כל אירוע שלא פוענח כאירוע שבו היה "המשך עבודה בצווים". בפועל סיווג זה אינו מתבסס על אינדיקציה מהיחידה שהיא אכן המשיכה לתחקר את נתוני התקשורת לאחר קבלת צו בית משפט. </w:t>
      </w:r>
    </w:p>
    <w:p w:rsidR="00B47E58" w:rsidRDefault="00B47E58" w:rsidP="00261075">
      <w:pPr>
        <w:spacing w:line="269" w:lineRule="auto"/>
        <w:ind w:left="339"/>
        <w:rPr>
          <w:rFonts w:eastAsia="Calibri"/>
          <w:sz w:val="16"/>
          <w:szCs w:val="16"/>
          <w:rtl/>
        </w:rPr>
      </w:pPr>
    </w:p>
    <w:p w:rsidR="00E46818" w:rsidRPr="00BE1CFE" w:rsidRDefault="00E46818" w:rsidP="00261075">
      <w:pPr>
        <w:spacing w:line="269" w:lineRule="auto"/>
        <w:ind w:left="339"/>
        <w:rPr>
          <w:rFonts w:eastAsia="Calibri"/>
          <w:rtl/>
        </w:rPr>
      </w:pPr>
      <w:r w:rsidRPr="00BE1CFE">
        <w:rPr>
          <w:rFonts w:eastAsia="Calibri" w:hint="cs"/>
          <w:rtl/>
        </w:rPr>
        <w:t xml:space="preserve">מהמשטרה נמסר כי </w:t>
      </w:r>
      <w:r w:rsidRPr="00BE1CFE">
        <w:rPr>
          <w:rFonts w:eastAsia="Calibri"/>
          <w:rtl/>
        </w:rPr>
        <w:t xml:space="preserve">מחלקי השטח הפרוסים במחוזות מחויבים לעבור על כל </w:t>
      </w:r>
      <w:r>
        <w:rPr>
          <w:rFonts w:eastAsia="Calibri" w:hint="cs"/>
          <w:rtl/>
        </w:rPr>
        <w:t>ההיתרים המינהליים</w:t>
      </w:r>
      <w:r w:rsidRPr="00BE1CFE">
        <w:rPr>
          <w:rFonts w:eastAsia="Calibri"/>
          <w:rtl/>
        </w:rPr>
        <w:t xml:space="preserve"> שנפתחו במהלך היממה </w:t>
      </w:r>
      <w:r w:rsidRPr="00BE1CFE">
        <w:rPr>
          <w:rFonts w:eastAsia="Calibri" w:hint="cs"/>
          <w:rtl/>
        </w:rPr>
        <w:t xml:space="preserve">החולפת </w:t>
      </w:r>
      <w:r w:rsidRPr="00BE1CFE">
        <w:rPr>
          <w:rFonts w:eastAsia="Calibri"/>
          <w:rtl/>
        </w:rPr>
        <w:t xml:space="preserve">ולבצע המשך טיפול לכל האירועים שנסגרו ולא אותר בהם </w:t>
      </w:r>
      <w:r w:rsidRPr="00BE1CFE">
        <w:rPr>
          <w:rFonts w:eastAsia="Calibri" w:hint="cs"/>
          <w:rtl/>
        </w:rPr>
        <w:t>מושא</w:t>
      </w:r>
      <w:r w:rsidRPr="00BE1CFE">
        <w:rPr>
          <w:rFonts w:eastAsia="Calibri"/>
          <w:rtl/>
        </w:rPr>
        <w:t xml:space="preserve"> ההיתר. כך מתקיימת רציפות הטיפול הסיגינטי עד לסיום האירוע.</w:t>
      </w:r>
    </w:p>
    <w:p w:rsidR="00B47E58" w:rsidRDefault="00B47E58" w:rsidP="00261075">
      <w:pPr>
        <w:spacing w:line="269" w:lineRule="auto"/>
        <w:ind w:left="339"/>
        <w:rPr>
          <w:rFonts w:eastAsia="Calibri"/>
          <w:szCs w:val="20"/>
          <w:rtl/>
        </w:rPr>
      </w:pPr>
    </w:p>
    <w:p w:rsidR="00E46818" w:rsidRPr="00BE1CFE" w:rsidRDefault="00E46818" w:rsidP="00261075">
      <w:pPr>
        <w:spacing w:line="269" w:lineRule="auto"/>
        <w:ind w:left="339"/>
        <w:rPr>
          <w:rFonts w:eastAsia="Calibri"/>
          <w:b/>
          <w:bCs/>
          <w:rtl/>
        </w:rPr>
      </w:pPr>
      <w:r w:rsidRPr="00BE1CFE">
        <w:rPr>
          <w:rFonts w:eastAsia="Calibri" w:hint="eastAsia"/>
          <w:b/>
          <w:bCs/>
          <w:rtl/>
        </w:rPr>
        <w:t>חטיבת</w:t>
      </w:r>
      <w:r w:rsidRPr="00BE1CFE">
        <w:rPr>
          <w:rFonts w:eastAsia="Calibri"/>
          <w:b/>
          <w:bCs/>
          <w:rtl/>
        </w:rPr>
        <w:t xml:space="preserve"> </w:t>
      </w:r>
      <w:r w:rsidRPr="00BE1CFE">
        <w:rPr>
          <w:rFonts w:eastAsia="Calibri" w:hint="eastAsia"/>
          <w:b/>
          <w:bCs/>
          <w:rtl/>
        </w:rPr>
        <w:t>הסייבר</w:t>
      </w:r>
      <w:r w:rsidRPr="00BE1CFE">
        <w:rPr>
          <w:rFonts w:eastAsia="Calibri"/>
          <w:b/>
          <w:bCs/>
          <w:rtl/>
        </w:rPr>
        <w:t xml:space="preserve"> </w:t>
      </w:r>
      <w:r w:rsidRPr="00BE1CFE">
        <w:rPr>
          <w:rFonts w:eastAsia="Calibri" w:hint="cs"/>
          <w:b/>
          <w:bCs/>
          <w:rtl/>
        </w:rPr>
        <w:t>אינה</w:t>
      </w:r>
      <w:r w:rsidRPr="00BE1CFE">
        <w:rPr>
          <w:rFonts w:eastAsia="Calibri"/>
          <w:b/>
          <w:bCs/>
          <w:rtl/>
        </w:rPr>
        <w:t xml:space="preserve"> </w:t>
      </w:r>
      <w:r w:rsidRPr="00BE1CFE">
        <w:rPr>
          <w:rFonts w:eastAsia="Calibri" w:hint="cs"/>
          <w:b/>
          <w:bCs/>
          <w:rtl/>
        </w:rPr>
        <w:t xml:space="preserve">מתחקרת את </w:t>
      </w:r>
      <w:r w:rsidRPr="00BE1CFE">
        <w:rPr>
          <w:rFonts w:eastAsia="Calibri" w:hint="eastAsia"/>
          <w:b/>
          <w:bCs/>
          <w:rtl/>
        </w:rPr>
        <w:t>האירועים</w:t>
      </w:r>
      <w:r w:rsidRPr="00BE1CFE">
        <w:rPr>
          <w:rFonts w:eastAsia="Calibri"/>
          <w:b/>
          <w:bCs/>
          <w:rtl/>
        </w:rPr>
        <w:t xml:space="preserve"> </w:t>
      </w:r>
      <w:r w:rsidRPr="00BE1CFE">
        <w:rPr>
          <w:rFonts w:eastAsia="Calibri" w:hint="cs"/>
          <w:b/>
          <w:bCs/>
          <w:rtl/>
        </w:rPr>
        <w:t>שלא פוענחו אשר ניתן בעניינם</w:t>
      </w:r>
      <w:r w:rsidRPr="00BE1CFE">
        <w:rPr>
          <w:rFonts w:eastAsia="Calibri"/>
          <w:b/>
          <w:bCs/>
          <w:rtl/>
        </w:rPr>
        <w:t xml:space="preserve"> </w:t>
      </w:r>
      <w:r w:rsidRPr="00BE1CFE">
        <w:rPr>
          <w:rFonts w:eastAsia="Calibri" w:hint="eastAsia"/>
          <w:b/>
          <w:bCs/>
          <w:rtl/>
        </w:rPr>
        <w:t>היתר</w:t>
      </w:r>
      <w:r w:rsidRPr="00BE1CFE">
        <w:rPr>
          <w:rFonts w:eastAsia="Calibri"/>
          <w:b/>
          <w:bCs/>
          <w:rtl/>
        </w:rPr>
        <w:t xml:space="preserve"> </w:t>
      </w:r>
      <w:r w:rsidRPr="00BE1CFE">
        <w:rPr>
          <w:rFonts w:eastAsia="Calibri" w:hint="eastAsia"/>
          <w:b/>
          <w:bCs/>
          <w:rtl/>
        </w:rPr>
        <w:t>מ</w:t>
      </w:r>
      <w:r w:rsidRPr="00BE1CFE">
        <w:rPr>
          <w:rFonts w:eastAsia="Calibri" w:hint="cs"/>
          <w:b/>
          <w:bCs/>
          <w:rtl/>
        </w:rPr>
        <w:t>י</w:t>
      </w:r>
      <w:r w:rsidRPr="00BE1CFE">
        <w:rPr>
          <w:rFonts w:eastAsia="Calibri" w:hint="eastAsia"/>
          <w:b/>
          <w:bCs/>
          <w:rtl/>
        </w:rPr>
        <w:t>נהלי</w:t>
      </w:r>
      <w:r w:rsidRPr="00BE1CFE">
        <w:rPr>
          <w:rFonts w:eastAsia="Calibri"/>
          <w:b/>
          <w:bCs/>
          <w:rtl/>
        </w:rPr>
        <w:t xml:space="preserve"> </w:t>
      </w:r>
      <w:r w:rsidRPr="00BE1CFE">
        <w:rPr>
          <w:rFonts w:eastAsia="Calibri" w:hint="eastAsia"/>
          <w:b/>
          <w:bCs/>
          <w:rtl/>
        </w:rPr>
        <w:t>שנמצא</w:t>
      </w:r>
      <w:r w:rsidRPr="00BE1CFE">
        <w:rPr>
          <w:rFonts w:eastAsia="Calibri"/>
          <w:b/>
          <w:bCs/>
          <w:rtl/>
        </w:rPr>
        <w:t xml:space="preserve"> </w:t>
      </w:r>
      <w:r w:rsidRPr="00BE1CFE">
        <w:rPr>
          <w:rFonts w:eastAsia="Calibri" w:hint="eastAsia"/>
          <w:b/>
          <w:bCs/>
          <w:rtl/>
        </w:rPr>
        <w:t>בדיעבד</w:t>
      </w:r>
      <w:r w:rsidRPr="00BE1CFE">
        <w:rPr>
          <w:rFonts w:eastAsia="Calibri"/>
          <w:b/>
          <w:bCs/>
          <w:rtl/>
        </w:rPr>
        <w:t xml:space="preserve"> </w:t>
      </w:r>
      <w:r w:rsidRPr="00BE1CFE">
        <w:rPr>
          <w:rFonts w:eastAsia="Calibri" w:hint="eastAsia"/>
          <w:b/>
          <w:bCs/>
          <w:rtl/>
        </w:rPr>
        <w:t>כלא</w:t>
      </w:r>
      <w:r w:rsidRPr="00BE1CFE">
        <w:rPr>
          <w:rFonts w:eastAsia="Calibri"/>
          <w:b/>
          <w:bCs/>
          <w:rtl/>
        </w:rPr>
        <w:t xml:space="preserve"> </w:t>
      </w:r>
      <w:r w:rsidRPr="00BE1CFE">
        <w:rPr>
          <w:rFonts w:eastAsia="Calibri" w:hint="eastAsia"/>
          <w:b/>
          <w:bCs/>
          <w:rtl/>
        </w:rPr>
        <w:t>יעיל</w:t>
      </w:r>
      <w:r w:rsidRPr="00BE1CFE">
        <w:rPr>
          <w:rFonts w:eastAsia="Calibri"/>
          <w:b/>
          <w:bCs/>
          <w:rtl/>
        </w:rPr>
        <w:t xml:space="preserve">. </w:t>
      </w:r>
      <w:r w:rsidRPr="00BE1CFE">
        <w:rPr>
          <w:rFonts w:eastAsia="Calibri" w:hint="cs"/>
          <w:b/>
          <w:bCs/>
          <w:rtl/>
        </w:rPr>
        <w:t>יש בכך כדי לפגוע ב</w:t>
      </w:r>
      <w:r w:rsidRPr="00BE1CFE">
        <w:rPr>
          <w:rFonts w:eastAsia="Calibri" w:hint="eastAsia"/>
          <w:b/>
          <w:bCs/>
          <w:rtl/>
        </w:rPr>
        <w:t>יכולת</w:t>
      </w:r>
      <w:r w:rsidRPr="00BE1CFE">
        <w:rPr>
          <w:rFonts w:eastAsia="Calibri" w:hint="cs"/>
          <w:b/>
          <w:bCs/>
          <w:rtl/>
        </w:rPr>
        <w:t>ם</w:t>
      </w:r>
      <w:r w:rsidRPr="00BE1CFE">
        <w:rPr>
          <w:rFonts w:eastAsia="Calibri"/>
          <w:b/>
          <w:bCs/>
          <w:rtl/>
        </w:rPr>
        <w:t xml:space="preserve"> </w:t>
      </w:r>
      <w:r w:rsidRPr="00BE1CFE">
        <w:rPr>
          <w:rFonts w:eastAsia="Calibri" w:hint="cs"/>
          <w:b/>
          <w:bCs/>
          <w:rtl/>
        </w:rPr>
        <w:t>של היחידות והקצינים המוסמכים להפיק לקחים ולהסיק מסקנות בעניין יעילותם של היתרי</w:t>
      </w:r>
      <w:r>
        <w:rPr>
          <w:rFonts w:eastAsia="Calibri" w:hint="cs"/>
          <w:b/>
          <w:bCs/>
          <w:rtl/>
        </w:rPr>
        <w:t>ם</w:t>
      </w:r>
      <w:r w:rsidRPr="00BE1CFE">
        <w:rPr>
          <w:rFonts w:eastAsia="Calibri" w:hint="cs"/>
          <w:b/>
          <w:bCs/>
          <w:rtl/>
        </w:rPr>
        <w:t xml:space="preserve"> </w:t>
      </w:r>
      <w:r>
        <w:rPr>
          <w:rFonts w:eastAsia="Calibri" w:hint="cs"/>
          <w:b/>
          <w:bCs/>
          <w:rtl/>
        </w:rPr>
        <w:t>מינהליים</w:t>
      </w:r>
      <w:r w:rsidRPr="00BE1CFE">
        <w:rPr>
          <w:rFonts w:eastAsia="Calibri" w:hint="cs"/>
          <w:b/>
          <w:bCs/>
          <w:rtl/>
        </w:rPr>
        <w:t>,</w:t>
      </w:r>
      <w:r w:rsidRPr="00BE1CFE">
        <w:rPr>
          <w:rFonts w:eastAsia="Calibri"/>
          <w:b/>
          <w:bCs/>
          <w:rtl/>
        </w:rPr>
        <w:t xml:space="preserve"> </w:t>
      </w:r>
      <w:r w:rsidRPr="00BE1CFE">
        <w:rPr>
          <w:rFonts w:eastAsia="Calibri" w:hint="cs"/>
          <w:b/>
          <w:bCs/>
          <w:rtl/>
        </w:rPr>
        <w:t xml:space="preserve">ובכך ניטל מהם כלי שעשוי לייעל את השימוש </w:t>
      </w:r>
      <w:r w:rsidRPr="00BE1CFE">
        <w:rPr>
          <w:rFonts w:eastAsia="Calibri" w:hint="eastAsia"/>
          <w:b/>
          <w:bCs/>
          <w:rtl/>
        </w:rPr>
        <w:t>בהיתרי</w:t>
      </w:r>
      <w:r w:rsidRPr="00BE1CFE">
        <w:rPr>
          <w:rFonts w:eastAsia="Calibri" w:hint="cs"/>
          <w:b/>
          <w:bCs/>
          <w:rtl/>
        </w:rPr>
        <w:t>ם אלה</w:t>
      </w:r>
      <w:r w:rsidRPr="00BE1CFE">
        <w:rPr>
          <w:rFonts w:eastAsia="Calibri"/>
          <w:b/>
          <w:bCs/>
          <w:rtl/>
        </w:rPr>
        <w:t>.</w:t>
      </w:r>
    </w:p>
    <w:p w:rsidR="00B47E58" w:rsidRDefault="00B47E58" w:rsidP="00261075">
      <w:pPr>
        <w:spacing w:line="269" w:lineRule="auto"/>
        <w:ind w:left="339"/>
        <w:rPr>
          <w:rFonts w:eastAsia="Calibri"/>
          <w:szCs w:val="20"/>
          <w:rtl/>
        </w:rPr>
      </w:pPr>
    </w:p>
    <w:p w:rsidR="00E46818" w:rsidRPr="00BE1CFE" w:rsidRDefault="00E46818" w:rsidP="00261075">
      <w:pPr>
        <w:spacing w:line="269" w:lineRule="auto"/>
        <w:ind w:left="339"/>
        <w:rPr>
          <w:rFonts w:eastAsia="Calibri"/>
          <w:rtl/>
        </w:rPr>
      </w:pPr>
      <w:r w:rsidRPr="00BE1CFE">
        <w:rPr>
          <w:rFonts w:eastAsia="Calibri" w:hint="cs"/>
          <w:b/>
          <w:bCs/>
          <w:rtl/>
        </w:rPr>
        <w:t xml:space="preserve">מומלץ לחטיבת הסייבר לאסוף מהיחידות מידע על שימוש בצו בית משפט במקרים שבהם ההיתר המינהלי נסגר לאחר שהאירוע לא פוענח בתוך 24 שעות, כדי שתוכל לתחקר את אותם האירועים שבהם ניתן היתר מינהלי שנמצא בדיעבד כלא יעיל. השילוב של בחינת היעילות והתחקור יאפשר למשטרה להנחות את היחידות השונות בנושא ולייעל את הבקרה עליהן ובכך לצמצם את היקף השימוש בהיתרים מינהליים. </w:t>
      </w:r>
    </w:p>
    <w:p w:rsidR="00E46818" w:rsidRPr="00BE1CFE" w:rsidRDefault="00E46818" w:rsidP="00604C3D">
      <w:pPr>
        <w:spacing w:line="269" w:lineRule="auto"/>
        <w:rPr>
          <w:rFonts w:eastAsia="Calibri"/>
          <w:rtl/>
        </w:rPr>
      </w:pPr>
    </w:p>
    <w:p w:rsidR="00E46818" w:rsidRPr="00BE1CFE" w:rsidRDefault="00E46818" w:rsidP="00604C3D">
      <w:pPr>
        <w:spacing w:line="269" w:lineRule="auto"/>
        <w:jc w:val="center"/>
        <w:rPr>
          <w:rFonts w:ascii="Arial" w:eastAsia="Calibri" w:hAnsi="Arial" w:cs="Arial"/>
          <w:sz w:val="40"/>
          <w:szCs w:val="28"/>
          <w:rtl/>
        </w:rPr>
      </w:pPr>
      <w:r w:rsidRPr="00BE1CFE">
        <w:rPr>
          <w:rFonts w:ascii="Segoe UI Symbol" w:eastAsia="Calibri" w:hAnsi="Segoe UI Symbol" w:cs="Segoe UI Symbol" w:hint="cs"/>
          <w:sz w:val="40"/>
          <w:szCs w:val="28"/>
          <w:rtl/>
        </w:rPr>
        <w:t>✰</w:t>
      </w:r>
    </w:p>
    <w:p w:rsidR="00B47E58" w:rsidRDefault="00B47E58" w:rsidP="00604C3D">
      <w:pPr>
        <w:spacing w:line="269" w:lineRule="auto"/>
        <w:rPr>
          <w:rFonts w:eastAsia="Calibri"/>
          <w:szCs w:val="20"/>
          <w:rtl/>
        </w:rPr>
      </w:pPr>
    </w:p>
    <w:p w:rsidR="00E46818" w:rsidRPr="00BE1CFE" w:rsidRDefault="00E46818" w:rsidP="00604C3D">
      <w:pPr>
        <w:spacing w:line="269" w:lineRule="auto"/>
        <w:rPr>
          <w:rFonts w:eastAsia="Calibri"/>
          <w:b/>
          <w:bCs/>
          <w:rtl/>
        </w:rPr>
      </w:pPr>
      <w:r w:rsidRPr="00BE1CFE">
        <w:rPr>
          <w:rFonts w:eastAsia="Calibri" w:hint="cs"/>
          <w:b/>
          <w:bCs/>
          <w:rtl/>
        </w:rPr>
        <w:t>השימוש ב</w:t>
      </w:r>
      <w:r w:rsidRPr="00BE1CFE">
        <w:rPr>
          <w:rFonts w:eastAsia="Calibri"/>
          <w:b/>
          <w:bCs/>
          <w:rtl/>
        </w:rPr>
        <w:t>היתרים</w:t>
      </w:r>
      <w:r w:rsidRPr="00BE1CFE">
        <w:rPr>
          <w:rFonts w:eastAsia="Calibri" w:hint="cs"/>
          <w:b/>
          <w:bCs/>
          <w:rtl/>
        </w:rPr>
        <w:t xml:space="preserve"> מינהליים</w:t>
      </w:r>
      <w:r w:rsidRPr="00BE1CFE">
        <w:rPr>
          <w:rFonts w:eastAsia="Calibri"/>
          <w:b/>
          <w:bCs/>
          <w:rtl/>
        </w:rPr>
        <w:t xml:space="preserve"> מחייב ניהול קפדני והפעלת שיקול דעת בכובד ראש משום שהיתרים אלו </w:t>
      </w:r>
      <w:r w:rsidRPr="00BE1CFE">
        <w:rPr>
          <w:rFonts w:eastAsia="Calibri" w:hint="cs"/>
          <w:b/>
          <w:bCs/>
          <w:rtl/>
        </w:rPr>
        <w:t>ניתנים</w:t>
      </w:r>
      <w:r w:rsidRPr="00BE1CFE">
        <w:rPr>
          <w:rFonts w:eastAsia="Calibri"/>
          <w:b/>
          <w:bCs/>
          <w:rtl/>
        </w:rPr>
        <w:t xml:space="preserve"> על ידי </w:t>
      </w:r>
      <w:r w:rsidRPr="00BE1CFE">
        <w:rPr>
          <w:rFonts w:eastAsia="Calibri" w:hint="cs"/>
          <w:b/>
          <w:bCs/>
          <w:rtl/>
        </w:rPr>
        <w:t xml:space="preserve">קצינים מוסמכים של </w:t>
      </w:r>
      <w:r w:rsidRPr="00BE1CFE">
        <w:rPr>
          <w:rFonts w:eastAsia="Calibri"/>
          <w:b/>
          <w:bCs/>
          <w:rtl/>
        </w:rPr>
        <w:t>המשטרה ומייתרים את הצורך בהוצאת צו שיפוטי ו</w:t>
      </w:r>
      <w:r w:rsidRPr="00BE1CFE">
        <w:rPr>
          <w:rFonts w:eastAsia="Calibri" w:hint="cs"/>
          <w:b/>
          <w:bCs/>
          <w:rtl/>
        </w:rPr>
        <w:t xml:space="preserve">את </w:t>
      </w:r>
      <w:r w:rsidRPr="00BE1CFE">
        <w:rPr>
          <w:rFonts w:eastAsia="Calibri"/>
          <w:b/>
          <w:bCs/>
          <w:rtl/>
        </w:rPr>
        <w:t xml:space="preserve">בחינת נחיצות קבלת נתוני התקשורת על ידי בית המשפט. מסקירת תהליכי העבודה של הקצינים המוסמכים בבואם לתת היתרים מינהליים לקבלת נתוני תקשורת עלו ליקויים בדפוס פעולתם, ואלו העיקריים שבהם: </w:t>
      </w:r>
    </w:p>
    <w:p w:rsidR="00B47E58" w:rsidRPr="00B47E58" w:rsidRDefault="00B47E58" w:rsidP="00604C3D">
      <w:pPr>
        <w:spacing w:line="269" w:lineRule="auto"/>
        <w:ind w:left="720"/>
        <w:contextualSpacing/>
        <w:rPr>
          <w:rFonts w:eastAsia="Calibri"/>
          <w:b/>
          <w:bCs/>
        </w:rPr>
      </w:pPr>
    </w:p>
    <w:p w:rsidR="00E46818" w:rsidRPr="00261075" w:rsidRDefault="00E46818" w:rsidP="00261075">
      <w:pPr>
        <w:pStyle w:val="af2"/>
        <w:numPr>
          <w:ilvl w:val="1"/>
          <w:numId w:val="52"/>
        </w:numPr>
        <w:spacing w:line="269" w:lineRule="auto"/>
        <w:ind w:left="423" w:hanging="425"/>
        <w:rPr>
          <w:rFonts w:eastAsia="Calibri"/>
          <w:b/>
          <w:bCs/>
        </w:rPr>
      </w:pPr>
      <w:r w:rsidRPr="00261075">
        <w:rPr>
          <w:rFonts w:eastAsia="Calibri"/>
          <w:b/>
          <w:bCs/>
          <w:rtl/>
        </w:rPr>
        <w:t xml:space="preserve">מתן </w:t>
      </w:r>
      <w:r w:rsidRPr="00261075">
        <w:rPr>
          <w:rFonts w:eastAsia="Calibri" w:hint="cs"/>
          <w:b/>
          <w:bCs/>
          <w:rtl/>
        </w:rPr>
        <w:t xml:space="preserve">היתרים מינהליים חוזרים </w:t>
      </w:r>
      <w:r w:rsidRPr="00261075">
        <w:rPr>
          <w:rFonts w:eastAsia="Calibri"/>
          <w:b/>
          <w:bCs/>
          <w:rtl/>
        </w:rPr>
        <w:t>לקבלת נתוני תקשורת ב</w:t>
      </w:r>
      <w:r w:rsidRPr="00261075">
        <w:rPr>
          <w:rFonts w:eastAsia="Calibri" w:hint="cs"/>
          <w:b/>
          <w:bCs/>
          <w:rtl/>
        </w:rPr>
        <w:t>נוגע</w:t>
      </w:r>
      <w:r w:rsidRPr="00261075">
        <w:rPr>
          <w:rFonts w:eastAsia="Calibri"/>
          <w:b/>
          <w:bCs/>
          <w:rtl/>
        </w:rPr>
        <w:t xml:space="preserve"> לאותו </w:t>
      </w:r>
      <w:r w:rsidRPr="00261075">
        <w:rPr>
          <w:rFonts w:eastAsia="Calibri" w:hint="cs"/>
          <w:b/>
          <w:bCs/>
          <w:rtl/>
        </w:rPr>
        <w:t>ה</w:t>
      </w:r>
      <w:r w:rsidRPr="00261075">
        <w:rPr>
          <w:rFonts w:eastAsia="Calibri"/>
          <w:b/>
          <w:bCs/>
          <w:rtl/>
        </w:rPr>
        <w:t>יעד בתוך 72 שעות ממועד קרות האירוע, חלף פנייה לבית המשפט להוצאת צו שיפוטי.</w:t>
      </w:r>
    </w:p>
    <w:p w:rsidR="009F28D5" w:rsidRPr="00BE1CFE" w:rsidRDefault="009F28D5" w:rsidP="00604C3D">
      <w:pPr>
        <w:spacing w:line="269" w:lineRule="auto"/>
        <w:ind w:left="360"/>
        <w:contextualSpacing/>
        <w:rPr>
          <w:rFonts w:eastAsia="Calibri"/>
          <w:b/>
          <w:bCs/>
        </w:rPr>
      </w:pPr>
    </w:p>
    <w:p w:rsidR="00E46818" w:rsidRPr="00BE1CFE" w:rsidRDefault="00E46818" w:rsidP="00261075">
      <w:pPr>
        <w:pStyle w:val="af2"/>
        <w:numPr>
          <w:ilvl w:val="1"/>
          <w:numId w:val="52"/>
        </w:numPr>
        <w:spacing w:line="269" w:lineRule="auto"/>
        <w:ind w:left="423" w:hanging="425"/>
        <w:rPr>
          <w:rFonts w:eastAsia="Calibri"/>
          <w:b/>
          <w:bCs/>
          <w:rtl/>
        </w:rPr>
      </w:pPr>
      <w:r w:rsidRPr="00BE1CFE">
        <w:rPr>
          <w:rFonts w:eastAsia="Calibri" w:hint="cs"/>
          <w:b/>
          <w:bCs/>
          <w:rtl/>
        </w:rPr>
        <w:t xml:space="preserve">מתן </w:t>
      </w:r>
      <w:r w:rsidRPr="00BE1CFE">
        <w:rPr>
          <w:rFonts w:eastAsia="Calibri"/>
          <w:b/>
          <w:bCs/>
          <w:rtl/>
        </w:rPr>
        <w:t xml:space="preserve">אישורים לקבלת נתוני תקשורת בעל פה באופן </w:t>
      </w:r>
      <w:r w:rsidRPr="00BE1CFE">
        <w:rPr>
          <w:rFonts w:eastAsia="Calibri" w:hint="cs"/>
          <w:b/>
          <w:bCs/>
          <w:rtl/>
        </w:rPr>
        <w:t>קבוע</w:t>
      </w:r>
      <w:r w:rsidRPr="00BE1CFE">
        <w:rPr>
          <w:rFonts w:eastAsia="Calibri"/>
          <w:b/>
          <w:bCs/>
          <w:rtl/>
        </w:rPr>
        <w:t xml:space="preserve">. </w:t>
      </w:r>
    </w:p>
    <w:p w:rsidR="009F28D5" w:rsidRDefault="009F28D5" w:rsidP="00261075">
      <w:pPr>
        <w:pStyle w:val="af2"/>
        <w:spacing w:line="269" w:lineRule="auto"/>
        <w:ind w:left="423"/>
        <w:rPr>
          <w:rFonts w:eastAsia="Calibri"/>
          <w:b/>
          <w:bCs/>
        </w:rPr>
      </w:pPr>
      <w:bookmarkStart w:id="623" w:name="_Hlk185770290"/>
    </w:p>
    <w:p w:rsidR="00E46818" w:rsidRPr="00BE1CFE" w:rsidRDefault="00E46818" w:rsidP="00261075">
      <w:pPr>
        <w:pStyle w:val="af2"/>
        <w:numPr>
          <w:ilvl w:val="1"/>
          <w:numId w:val="52"/>
        </w:numPr>
        <w:spacing w:line="269" w:lineRule="auto"/>
        <w:ind w:left="423" w:hanging="425"/>
        <w:rPr>
          <w:rFonts w:eastAsia="Calibri"/>
          <w:b/>
          <w:bCs/>
          <w:rtl/>
        </w:rPr>
      </w:pPr>
      <w:r w:rsidRPr="00BE1CFE">
        <w:rPr>
          <w:rFonts w:eastAsia="Calibri" w:hint="cs"/>
          <w:b/>
          <w:bCs/>
          <w:rtl/>
        </w:rPr>
        <w:t xml:space="preserve">אי-מילוי </w:t>
      </w:r>
      <w:r w:rsidRPr="00BE1CFE">
        <w:rPr>
          <w:rFonts w:eastAsia="Calibri"/>
          <w:b/>
          <w:bCs/>
          <w:rtl/>
        </w:rPr>
        <w:t xml:space="preserve">פרטים הכרחיים </w:t>
      </w:r>
      <w:r w:rsidRPr="00BE1CFE">
        <w:rPr>
          <w:rFonts w:eastAsia="Calibri" w:hint="cs"/>
          <w:b/>
          <w:bCs/>
          <w:rtl/>
        </w:rPr>
        <w:t xml:space="preserve">בטופסי הדיווח של קציני משטרה מוסמכים לקבלת היתרים מינהליים, לרבות רישום </w:t>
      </w:r>
      <w:r w:rsidRPr="00BE1CFE">
        <w:rPr>
          <w:rFonts w:eastAsia="Calibri"/>
          <w:b/>
          <w:bCs/>
          <w:rtl/>
        </w:rPr>
        <w:t xml:space="preserve">זמנים בלתי סבירים בהיתר - ציון שעה זהה </w:t>
      </w:r>
      <w:r w:rsidRPr="00BE1CFE">
        <w:rPr>
          <w:rFonts w:eastAsia="Calibri" w:hint="cs"/>
          <w:b/>
          <w:bCs/>
          <w:rtl/>
        </w:rPr>
        <w:t>למועד</w:t>
      </w:r>
      <w:r w:rsidRPr="00BE1CFE">
        <w:rPr>
          <w:rFonts w:eastAsia="Calibri"/>
          <w:b/>
          <w:bCs/>
          <w:rtl/>
        </w:rPr>
        <w:t xml:space="preserve"> קבלת האירוע במשטרה, </w:t>
      </w:r>
      <w:r w:rsidRPr="00BE1CFE">
        <w:rPr>
          <w:rFonts w:eastAsia="Calibri" w:hint="cs"/>
          <w:b/>
          <w:bCs/>
          <w:rtl/>
        </w:rPr>
        <w:t>מועד</w:t>
      </w:r>
      <w:r w:rsidRPr="00BE1CFE">
        <w:rPr>
          <w:rFonts w:eastAsia="Calibri"/>
          <w:b/>
          <w:bCs/>
          <w:rtl/>
        </w:rPr>
        <w:t xml:space="preserve"> מתן ההיתר (בעל פה) </w:t>
      </w:r>
      <w:r w:rsidRPr="00BE1CFE">
        <w:rPr>
          <w:rFonts w:eastAsia="Calibri" w:hint="cs"/>
          <w:b/>
          <w:bCs/>
          <w:rtl/>
        </w:rPr>
        <w:t>ומועד</w:t>
      </w:r>
      <w:r w:rsidRPr="00BE1CFE">
        <w:rPr>
          <w:rFonts w:eastAsia="Calibri"/>
          <w:b/>
          <w:bCs/>
          <w:rtl/>
        </w:rPr>
        <w:t xml:space="preserve"> מילוי הטופס בדיעבד</w:t>
      </w:r>
      <w:bookmarkEnd w:id="623"/>
      <w:r w:rsidRPr="00BE1CFE">
        <w:rPr>
          <w:rFonts w:eastAsia="Calibri"/>
          <w:b/>
          <w:bCs/>
          <w:rtl/>
        </w:rPr>
        <w:t xml:space="preserve">. </w:t>
      </w:r>
    </w:p>
    <w:p w:rsidR="009F28D5" w:rsidRDefault="009F28D5" w:rsidP="00261075">
      <w:pPr>
        <w:pStyle w:val="af2"/>
        <w:spacing w:line="269" w:lineRule="auto"/>
        <w:ind w:left="423"/>
        <w:rPr>
          <w:rFonts w:eastAsia="Calibri"/>
          <w:b/>
          <w:bCs/>
        </w:rPr>
      </w:pPr>
    </w:p>
    <w:p w:rsidR="00E46818" w:rsidRPr="00BE1CFE" w:rsidRDefault="00E46818" w:rsidP="00261075">
      <w:pPr>
        <w:pStyle w:val="af2"/>
        <w:numPr>
          <w:ilvl w:val="1"/>
          <w:numId w:val="52"/>
        </w:numPr>
        <w:spacing w:line="269" w:lineRule="auto"/>
        <w:ind w:left="423" w:hanging="425"/>
        <w:rPr>
          <w:rFonts w:eastAsia="Calibri"/>
          <w:b/>
          <w:bCs/>
          <w:rtl/>
        </w:rPr>
      </w:pPr>
      <w:r w:rsidRPr="00BE1CFE">
        <w:rPr>
          <w:rFonts w:eastAsia="Calibri"/>
          <w:b/>
          <w:bCs/>
          <w:rtl/>
        </w:rPr>
        <w:t xml:space="preserve">קיום בקרות ספורות על </w:t>
      </w:r>
      <w:r w:rsidRPr="00BE1CFE">
        <w:rPr>
          <w:rFonts w:eastAsia="Calibri" w:hint="cs"/>
          <w:b/>
          <w:bCs/>
          <w:rtl/>
        </w:rPr>
        <w:t>הדיווחים</w:t>
      </w:r>
      <w:r w:rsidRPr="00BE1CFE">
        <w:rPr>
          <w:rFonts w:eastAsia="Calibri"/>
          <w:b/>
          <w:bCs/>
          <w:rtl/>
        </w:rPr>
        <w:t xml:space="preserve"> של הקצינים המוסמכים </w:t>
      </w:r>
      <w:r w:rsidRPr="00BE1CFE">
        <w:rPr>
          <w:rFonts w:eastAsia="Calibri" w:hint="cs"/>
          <w:b/>
          <w:bCs/>
          <w:rtl/>
        </w:rPr>
        <w:t xml:space="preserve">לגבי </w:t>
      </w:r>
      <w:r w:rsidRPr="00BE1CFE">
        <w:rPr>
          <w:rFonts w:eastAsia="Calibri"/>
          <w:b/>
          <w:bCs/>
          <w:rtl/>
        </w:rPr>
        <w:t xml:space="preserve">עשרות אלפי ההיתרים המינהליים שניתנו </w:t>
      </w:r>
      <w:r w:rsidRPr="00BE1CFE">
        <w:rPr>
          <w:rFonts w:eastAsia="Calibri" w:hint="cs"/>
          <w:b/>
          <w:bCs/>
          <w:rtl/>
        </w:rPr>
        <w:t xml:space="preserve">על ידם </w:t>
      </w:r>
      <w:r w:rsidRPr="00BE1CFE">
        <w:rPr>
          <w:rFonts w:eastAsia="Calibri"/>
          <w:b/>
          <w:bCs/>
          <w:rtl/>
        </w:rPr>
        <w:t xml:space="preserve">בכל שנה. </w:t>
      </w:r>
    </w:p>
    <w:p w:rsidR="009F28D5" w:rsidRDefault="009F28D5" w:rsidP="00261075">
      <w:pPr>
        <w:pStyle w:val="af2"/>
        <w:spacing w:line="269" w:lineRule="auto"/>
        <w:ind w:left="423"/>
        <w:rPr>
          <w:rFonts w:eastAsia="Calibri"/>
          <w:b/>
          <w:bCs/>
        </w:rPr>
      </w:pPr>
    </w:p>
    <w:p w:rsidR="00E46818" w:rsidRPr="00BE1CFE" w:rsidRDefault="00E46818" w:rsidP="00261075">
      <w:pPr>
        <w:pStyle w:val="af2"/>
        <w:numPr>
          <w:ilvl w:val="1"/>
          <w:numId w:val="52"/>
        </w:numPr>
        <w:spacing w:line="269" w:lineRule="auto"/>
        <w:ind w:left="423" w:hanging="425"/>
        <w:rPr>
          <w:rFonts w:eastAsia="Calibri"/>
          <w:b/>
          <w:bCs/>
        </w:rPr>
      </w:pPr>
      <w:r w:rsidRPr="00BE1CFE">
        <w:rPr>
          <w:rFonts w:eastAsia="Calibri"/>
          <w:b/>
          <w:bCs/>
          <w:rtl/>
        </w:rPr>
        <w:t xml:space="preserve">חסר משמעותי </w:t>
      </w:r>
      <w:r w:rsidRPr="00BE1CFE">
        <w:rPr>
          <w:rFonts w:eastAsia="Calibri" w:hint="cs"/>
          <w:b/>
          <w:bCs/>
          <w:rtl/>
        </w:rPr>
        <w:t xml:space="preserve">באופן </w:t>
      </w:r>
      <w:r w:rsidRPr="00BE1CFE">
        <w:rPr>
          <w:rFonts w:eastAsia="Calibri"/>
          <w:b/>
          <w:bCs/>
          <w:rtl/>
        </w:rPr>
        <w:t>הכשרת הקצינים המוסמכים לקבל החלטות על הוצאת ההיתרים המינהליים בתחום מורכב זה.</w:t>
      </w:r>
      <w:r>
        <w:rPr>
          <w:rFonts w:eastAsia="Calibri"/>
          <w:b/>
          <w:bCs/>
          <w:rtl/>
        </w:rPr>
        <w:t xml:space="preserve"> </w:t>
      </w:r>
    </w:p>
    <w:p w:rsidR="00B47E58" w:rsidRPr="00261075" w:rsidRDefault="00B47E58" w:rsidP="00261075">
      <w:pPr>
        <w:pStyle w:val="af2"/>
        <w:spacing w:line="269" w:lineRule="auto"/>
        <w:ind w:left="423"/>
        <w:rPr>
          <w:rFonts w:eastAsia="Calibri"/>
          <w:b/>
          <w:bCs/>
          <w:rtl/>
        </w:rPr>
      </w:pPr>
    </w:p>
    <w:p w:rsidR="00E46818" w:rsidRPr="00BE1CFE" w:rsidRDefault="00E46818" w:rsidP="00604C3D">
      <w:pPr>
        <w:spacing w:line="269" w:lineRule="auto"/>
        <w:rPr>
          <w:rFonts w:eastAsia="Calibri"/>
          <w:b/>
          <w:bCs/>
          <w:rtl/>
        </w:rPr>
      </w:pPr>
      <w:r w:rsidRPr="00BE1CFE">
        <w:rPr>
          <w:rFonts w:eastAsia="Calibri"/>
          <w:b/>
          <w:bCs/>
          <w:rtl/>
        </w:rPr>
        <w:t xml:space="preserve">דפוסי עבודה </w:t>
      </w:r>
      <w:r w:rsidRPr="00BE1CFE">
        <w:rPr>
          <w:rFonts w:eastAsia="Calibri" w:hint="cs"/>
          <w:b/>
          <w:bCs/>
          <w:rtl/>
        </w:rPr>
        <w:t>אלה</w:t>
      </w:r>
      <w:r w:rsidRPr="00BE1CFE">
        <w:rPr>
          <w:rFonts w:eastAsia="Calibri"/>
          <w:b/>
          <w:bCs/>
          <w:rtl/>
        </w:rPr>
        <w:t xml:space="preserve"> דורשים הקפדה משמעותית על תיעוד תקין של השיקולים שמביאים בחשבון הקצינים המוסמכים</w:t>
      </w:r>
      <w:r w:rsidRPr="00BE1CFE" w:rsidDel="0003440F">
        <w:rPr>
          <w:rFonts w:eastAsia="Calibri"/>
          <w:b/>
          <w:bCs/>
          <w:rtl/>
        </w:rPr>
        <w:t xml:space="preserve"> </w:t>
      </w:r>
      <w:r w:rsidRPr="00BE1CFE">
        <w:rPr>
          <w:rFonts w:eastAsia="Calibri"/>
          <w:b/>
          <w:bCs/>
          <w:rtl/>
        </w:rPr>
        <w:t xml:space="preserve">ובקרה משמעותית על </w:t>
      </w:r>
      <w:r w:rsidRPr="00BE1CFE">
        <w:rPr>
          <w:rFonts w:eastAsia="Calibri" w:hint="cs"/>
          <w:b/>
          <w:bCs/>
          <w:rtl/>
        </w:rPr>
        <w:t>כך</w:t>
      </w:r>
      <w:r w:rsidRPr="00BE1CFE">
        <w:rPr>
          <w:rFonts w:eastAsia="Calibri"/>
          <w:b/>
          <w:bCs/>
          <w:rtl/>
        </w:rPr>
        <w:t xml:space="preserve">. </w:t>
      </w:r>
      <w:r w:rsidRPr="00BE1CFE">
        <w:rPr>
          <w:rFonts w:eastAsia="Calibri" w:hint="cs"/>
          <w:b/>
          <w:bCs/>
          <w:rtl/>
        </w:rPr>
        <w:t>על המשטרה לפעול ל</w:t>
      </w:r>
      <w:r w:rsidRPr="00BE1CFE">
        <w:rPr>
          <w:rFonts w:eastAsia="Calibri"/>
          <w:b/>
          <w:bCs/>
          <w:rtl/>
        </w:rPr>
        <w:t>מ</w:t>
      </w:r>
      <w:r w:rsidRPr="00BE1CFE">
        <w:rPr>
          <w:rFonts w:eastAsia="Calibri" w:hint="cs"/>
          <w:b/>
          <w:bCs/>
          <w:rtl/>
        </w:rPr>
        <w:t>י</w:t>
      </w:r>
      <w:r w:rsidRPr="00BE1CFE">
        <w:rPr>
          <w:rFonts w:eastAsia="Calibri"/>
          <w:b/>
          <w:bCs/>
          <w:rtl/>
        </w:rPr>
        <w:t>כ</w:t>
      </w:r>
      <w:r w:rsidRPr="00BE1CFE">
        <w:rPr>
          <w:rFonts w:eastAsia="Calibri" w:hint="cs"/>
          <w:b/>
          <w:bCs/>
          <w:rtl/>
        </w:rPr>
        <w:t>ו</w:t>
      </w:r>
      <w:r w:rsidRPr="00BE1CFE">
        <w:rPr>
          <w:rFonts w:eastAsia="Calibri"/>
          <w:b/>
          <w:bCs/>
          <w:rtl/>
        </w:rPr>
        <w:t xml:space="preserve">ן </w:t>
      </w:r>
      <w:r w:rsidRPr="00BE1CFE">
        <w:rPr>
          <w:rFonts w:eastAsia="Calibri" w:hint="cs"/>
          <w:b/>
          <w:bCs/>
          <w:rtl/>
        </w:rPr>
        <w:t xml:space="preserve">מלא של </w:t>
      </w:r>
      <w:r w:rsidRPr="00BE1CFE">
        <w:rPr>
          <w:rFonts w:eastAsia="Calibri"/>
          <w:b/>
          <w:bCs/>
          <w:rtl/>
        </w:rPr>
        <w:t>תהליכי הוצאת ההיתרים המ</w:t>
      </w:r>
      <w:r w:rsidRPr="00BE1CFE">
        <w:rPr>
          <w:rFonts w:eastAsia="Calibri" w:hint="cs"/>
          <w:b/>
          <w:bCs/>
          <w:rtl/>
        </w:rPr>
        <w:t>י</w:t>
      </w:r>
      <w:r w:rsidRPr="00BE1CFE">
        <w:rPr>
          <w:rFonts w:eastAsia="Calibri"/>
          <w:b/>
          <w:bCs/>
          <w:rtl/>
        </w:rPr>
        <w:t xml:space="preserve">נהליים </w:t>
      </w:r>
      <w:r w:rsidRPr="00BE1CFE">
        <w:rPr>
          <w:rFonts w:eastAsia="Calibri" w:hint="cs"/>
          <w:b/>
          <w:bCs/>
          <w:rtl/>
        </w:rPr>
        <w:t>כך שגם דיווחי הקצינים המוסמכים יתועדו בזמן אמת בצורה דיגיטלית. הדבר יתרום ל</w:t>
      </w:r>
      <w:r w:rsidRPr="00BE1CFE">
        <w:rPr>
          <w:rFonts w:eastAsia="Calibri"/>
          <w:b/>
          <w:bCs/>
          <w:rtl/>
        </w:rPr>
        <w:t xml:space="preserve">שקיפות </w:t>
      </w:r>
      <w:r w:rsidRPr="00BE1CFE">
        <w:rPr>
          <w:rFonts w:eastAsia="Calibri" w:hint="cs"/>
          <w:b/>
          <w:bCs/>
          <w:rtl/>
        </w:rPr>
        <w:t xml:space="preserve">תהליך קבלת ההחלטות </w:t>
      </w:r>
      <w:r w:rsidRPr="00BE1CFE">
        <w:rPr>
          <w:rFonts w:eastAsia="Calibri"/>
          <w:b/>
          <w:bCs/>
          <w:rtl/>
        </w:rPr>
        <w:t xml:space="preserve">של הקצין המוסמך </w:t>
      </w:r>
      <w:r w:rsidRPr="00BE1CFE">
        <w:rPr>
          <w:rFonts w:eastAsia="Calibri" w:hint="cs"/>
          <w:b/>
          <w:bCs/>
          <w:rtl/>
        </w:rPr>
        <w:t xml:space="preserve">שבאחריותו לאזן </w:t>
      </w:r>
      <w:r w:rsidRPr="00BE1CFE">
        <w:rPr>
          <w:rFonts w:eastAsia="Calibri"/>
          <w:b/>
          <w:bCs/>
          <w:rtl/>
        </w:rPr>
        <w:t xml:space="preserve">בין הצורך במענה מבצעי מיידי לקבלת נתוני תקשורת </w:t>
      </w:r>
      <w:r w:rsidRPr="00BE1CFE">
        <w:rPr>
          <w:rFonts w:eastAsia="Calibri" w:hint="cs"/>
          <w:b/>
          <w:bCs/>
          <w:rtl/>
        </w:rPr>
        <w:t>ו</w:t>
      </w:r>
      <w:r w:rsidRPr="00BE1CFE">
        <w:rPr>
          <w:rFonts w:eastAsia="Calibri"/>
          <w:b/>
          <w:bCs/>
          <w:rtl/>
        </w:rPr>
        <w:t xml:space="preserve">בין </w:t>
      </w:r>
      <w:r w:rsidRPr="00BE1CFE">
        <w:rPr>
          <w:rFonts w:eastAsia="Calibri" w:hint="cs"/>
          <w:b/>
          <w:bCs/>
          <w:rtl/>
        </w:rPr>
        <w:t>השאיפה להימנע מ</w:t>
      </w:r>
      <w:r w:rsidRPr="00BE1CFE">
        <w:rPr>
          <w:rFonts w:eastAsia="Calibri"/>
          <w:b/>
          <w:bCs/>
          <w:rtl/>
        </w:rPr>
        <w:t xml:space="preserve">פגיעה </w:t>
      </w:r>
      <w:r w:rsidRPr="00BE1CFE">
        <w:rPr>
          <w:rFonts w:eastAsia="Calibri" w:hint="cs"/>
          <w:b/>
          <w:bCs/>
          <w:rtl/>
        </w:rPr>
        <w:t>ב</w:t>
      </w:r>
      <w:r w:rsidRPr="00BE1CFE">
        <w:rPr>
          <w:rFonts w:eastAsia="Calibri"/>
          <w:b/>
          <w:bCs/>
          <w:rtl/>
        </w:rPr>
        <w:t>זכות הפרט</w:t>
      </w:r>
      <w:r w:rsidRPr="00BE1CFE">
        <w:rPr>
          <w:rFonts w:eastAsia="Calibri" w:hint="cs"/>
          <w:b/>
          <w:bCs/>
          <w:rtl/>
        </w:rPr>
        <w:t>.</w:t>
      </w:r>
    </w:p>
    <w:p w:rsidR="00E46818" w:rsidRPr="00BE1CFE" w:rsidRDefault="00B23151" w:rsidP="00B23151">
      <w:pPr>
        <w:bidi w:val="0"/>
        <w:spacing w:after="200" w:line="276" w:lineRule="auto"/>
        <w:rPr>
          <w:rtl/>
        </w:rPr>
      </w:pPr>
      <w:r>
        <w:rPr>
          <w:rtl/>
        </w:rPr>
        <w:br w:type="page"/>
      </w:r>
    </w:p>
    <w:p w:rsidR="00E50A30" w:rsidRPr="00BE1CFE" w:rsidRDefault="00E50A30" w:rsidP="000372F7">
      <w:pPr>
        <w:pStyle w:val="2"/>
        <w:numPr>
          <w:ilvl w:val="0"/>
          <w:numId w:val="79"/>
        </w:numPr>
        <w:spacing w:before="0" w:line="269" w:lineRule="auto"/>
        <w:rPr>
          <w:rtl/>
        </w:rPr>
      </w:pPr>
      <w:bookmarkStart w:id="624" w:name="_Toc156386124"/>
      <w:bookmarkStart w:id="625" w:name="_Toc219286563"/>
      <w:bookmarkStart w:id="626" w:name="_Hlk196637969"/>
      <w:bookmarkEnd w:id="624"/>
      <w:r w:rsidRPr="00BE1CFE">
        <w:rPr>
          <w:rFonts w:hint="cs"/>
          <w:rtl/>
        </w:rPr>
        <w:t>הפיקוח והבקרה של המשטרה על שימוש בנתוני תקשורת וביצוע האזנות סתר</w:t>
      </w:r>
      <w:bookmarkEnd w:id="625"/>
    </w:p>
    <w:bookmarkEnd w:id="626"/>
    <w:p w:rsidR="00E50A30" w:rsidRPr="00BE1CFE" w:rsidRDefault="00E50A30" w:rsidP="00604C3D">
      <w:pPr>
        <w:spacing w:line="269" w:lineRule="auto"/>
        <w:rPr>
          <w:rtl/>
        </w:rPr>
      </w:pPr>
    </w:p>
    <w:p w:rsidR="00E50A30" w:rsidRPr="00BE1CFE" w:rsidRDefault="00963052" w:rsidP="008C598D">
      <w:pPr>
        <w:pStyle w:val="3"/>
        <w:numPr>
          <w:ilvl w:val="1"/>
          <w:numId w:val="63"/>
        </w:numPr>
        <w:spacing w:before="0" w:line="269" w:lineRule="auto"/>
        <w:rPr>
          <w:rtl/>
        </w:rPr>
      </w:pPr>
      <w:r w:rsidRPr="00963052">
        <w:rPr>
          <w:rFonts w:hint="cs"/>
          <w:u w:val="none"/>
          <w:rtl/>
        </w:rPr>
        <w:t xml:space="preserve"> </w:t>
      </w:r>
      <w:bookmarkStart w:id="627" w:name="_Toc219286564"/>
      <w:r w:rsidR="00E50A30" w:rsidRPr="00BE1CFE">
        <w:rPr>
          <w:rFonts w:hint="cs"/>
          <w:rtl/>
        </w:rPr>
        <w:t>מבוא</w:t>
      </w:r>
      <w:bookmarkEnd w:id="627"/>
    </w:p>
    <w:p w:rsidR="004B50FC" w:rsidRDefault="004B50FC" w:rsidP="00604C3D">
      <w:pPr>
        <w:spacing w:line="269" w:lineRule="auto"/>
        <w:rPr>
          <w:szCs w:val="20"/>
          <w:rtl/>
        </w:rPr>
      </w:pPr>
      <w:bookmarkStart w:id="628" w:name="_Hlk147925565"/>
    </w:p>
    <w:p w:rsidR="00E50A30" w:rsidRPr="00BE1CFE" w:rsidRDefault="00E50A30" w:rsidP="00604C3D">
      <w:pPr>
        <w:spacing w:line="269" w:lineRule="auto"/>
        <w:rPr>
          <w:rtl/>
        </w:rPr>
      </w:pPr>
      <w:r w:rsidRPr="00BE1CFE">
        <w:rPr>
          <w:rFonts w:hint="cs"/>
          <w:rtl/>
        </w:rPr>
        <w:t>החובה לקיים פיקוח ובקרה על פעולות המשטרה בכל הנוגע לשימוש בנתוני תקשורת</w:t>
      </w:r>
      <w:r w:rsidRPr="00BE1CFE">
        <w:rPr>
          <w:vertAlign w:val="superscript"/>
          <w:rtl/>
        </w:rPr>
        <w:footnoteReference w:id="288"/>
      </w:r>
      <w:r w:rsidRPr="00BE1CFE">
        <w:rPr>
          <w:rFonts w:hint="cs"/>
          <w:rtl/>
        </w:rPr>
        <w:t xml:space="preserve"> ולביצוע האזנות סתר</w:t>
      </w:r>
      <w:r w:rsidRPr="00BE1CFE">
        <w:rPr>
          <w:vertAlign w:val="superscript"/>
          <w:rtl/>
        </w:rPr>
        <w:footnoteReference w:id="289"/>
      </w:r>
      <w:r w:rsidRPr="00BE1CFE">
        <w:rPr>
          <w:rFonts w:hint="cs"/>
          <w:rtl/>
        </w:rPr>
        <w:t xml:space="preserve"> נקבעה בחקיקה ובתקנות שהותקנו מכוחה. נוסף על כך, אח"ם וחטיבת הסייבר קבעו בכמה נהלים והנחיות את החובה לבצע פעולות פיקוח ובקרה בתחומי נתוני תקשורת והאזנות סתר, והחטיבה אף ייחדה הנחיית עבודה חטיבתית לנושא זה. בהתאם לנוהלי החטיבה, את פעולות הפיקוח והבקרה נדרשים לבצע הן גורמים מקצועיים מנחים בחטיבה והן גורמים פיקודיים. כמו כן נעשות בקרות בתחומי נתוני תקשורת והאזנות סתר על ידי גורם ביקורת חיצוני לחטיבה - מדור הביקורת במשטרה</w:t>
      </w:r>
      <w:r w:rsidRPr="00BE1CFE">
        <w:rPr>
          <w:vertAlign w:val="superscript"/>
          <w:rtl/>
        </w:rPr>
        <w:footnoteReference w:id="290"/>
      </w:r>
      <w:r w:rsidRPr="00BE1CFE">
        <w:rPr>
          <w:rFonts w:hint="cs"/>
          <w:rtl/>
        </w:rPr>
        <w:t xml:space="preserve">. </w:t>
      </w:r>
    </w:p>
    <w:bookmarkEnd w:id="628"/>
    <w:p w:rsidR="004B50FC" w:rsidRDefault="004B50FC" w:rsidP="00604C3D">
      <w:pPr>
        <w:spacing w:line="269" w:lineRule="auto"/>
        <w:rPr>
          <w:szCs w:val="20"/>
          <w:rtl/>
        </w:rPr>
      </w:pPr>
    </w:p>
    <w:p w:rsidR="00E50A30" w:rsidRDefault="00E50A30" w:rsidP="00604C3D">
      <w:pPr>
        <w:spacing w:line="269" w:lineRule="auto"/>
        <w:rPr>
          <w:rtl/>
        </w:rPr>
      </w:pPr>
      <w:r w:rsidRPr="00BE1CFE">
        <w:rPr>
          <w:rFonts w:hint="cs"/>
          <w:rtl/>
        </w:rPr>
        <w:t>כך הגדירה חטיבת הסייבר את חשיבות פעולות הפיקוח והבקרה: "</w:t>
      </w:r>
      <w:r w:rsidRPr="00BE1CFE">
        <w:rPr>
          <w:rtl/>
        </w:rPr>
        <w:t>הפיקוח והבקרה הם חלק מן הכלים העומדים לרשות מפקדים וקציני מטה, המשמשים מנחים מקצועיים לשוטרים במערך הפרוס, כדי לוודא שהשוטרים מתפקדים באופן מקצועי, וכי הפקודות, התקנות, ההנחיות וההוראות אכן מקוימות כרוחן וכלשונן</w:t>
      </w:r>
      <w:r w:rsidRPr="00BE1CFE">
        <w:rPr>
          <w:rFonts w:hint="cs"/>
          <w:rtl/>
        </w:rPr>
        <w:t>". נוסף על כך הפיקוח והבקרה הם כלים העומדים לרשות המפקד לבחינת עמידת היחידה ואנשיה ביעדים שהוצבו להם ומאפשרים את בחינת היעילות והאפקטיביות של היחידה</w:t>
      </w:r>
      <w:r w:rsidRPr="00BE1CFE">
        <w:rPr>
          <w:vertAlign w:val="superscript"/>
          <w:rtl/>
        </w:rPr>
        <w:footnoteReference w:id="291"/>
      </w:r>
      <w:r w:rsidRPr="00BE1CFE">
        <w:rPr>
          <w:rFonts w:hint="cs"/>
          <w:rtl/>
        </w:rPr>
        <w:t>.</w:t>
      </w:r>
    </w:p>
    <w:p w:rsidR="0036448D" w:rsidRPr="00BE1CFE" w:rsidRDefault="0036448D" w:rsidP="00604C3D">
      <w:pPr>
        <w:spacing w:line="269" w:lineRule="auto"/>
        <w:rPr>
          <w:rtl/>
        </w:rPr>
      </w:pPr>
    </w:p>
    <w:p w:rsidR="00E50A30" w:rsidRDefault="0036448D" w:rsidP="008C598D">
      <w:pPr>
        <w:pStyle w:val="3"/>
        <w:numPr>
          <w:ilvl w:val="1"/>
          <w:numId w:val="63"/>
        </w:numPr>
        <w:spacing w:before="0" w:line="269" w:lineRule="auto"/>
        <w:rPr>
          <w:rtl/>
        </w:rPr>
      </w:pPr>
      <w:r>
        <w:rPr>
          <w:rFonts w:hint="cs"/>
          <w:rtl/>
        </w:rPr>
        <w:t xml:space="preserve"> </w:t>
      </w:r>
      <w:bookmarkStart w:id="629" w:name="_Toc219286565"/>
      <w:r w:rsidR="00E50A30" w:rsidRPr="00BE1CFE">
        <w:rPr>
          <w:rFonts w:hint="cs"/>
          <w:rtl/>
        </w:rPr>
        <w:t>ביצוע בקרות בתחומי נתוני תקשורת והאזנות סתר</w:t>
      </w:r>
      <w:bookmarkEnd w:id="629"/>
      <w:r w:rsidR="00E50A30" w:rsidRPr="00BE1CFE">
        <w:rPr>
          <w:rFonts w:hint="cs"/>
          <w:rtl/>
        </w:rPr>
        <w:t xml:space="preserve"> </w:t>
      </w:r>
    </w:p>
    <w:p w:rsidR="009F28D5" w:rsidRPr="009F28D5" w:rsidRDefault="009F28D5" w:rsidP="00604C3D">
      <w:pPr>
        <w:spacing w:line="269" w:lineRule="auto"/>
        <w:rPr>
          <w:rtl/>
        </w:rPr>
      </w:pPr>
    </w:p>
    <w:p w:rsidR="00E50A30" w:rsidRPr="00BE1CFE" w:rsidRDefault="00E50A30" w:rsidP="00261075">
      <w:pPr>
        <w:pStyle w:val="4"/>
        <w:numPr>
          <w:ilvl w:val="1"/>
          <w:numId w:val="76"/>
        </w:numPr>
        <w:spacing w:before="0" w:line="269" w:lineRule="auto"/>
        <w:ind w:left="423" w:hanging="398"/>
        <w:rPr>
          <w:rFonts w:eastAsia="Times New Roman"/>
          <w:rtl/>
        </w:rPr>
      </w:pPr>
      <w:bookmarkStart w:id="630" w:name="_Toc211521959"/>
      <w:bookmarkStart w:id="631" w:name="_Toc219110350"/>
      <w:bookmarkStart w:id="632" w:name="_Toc219113791"/>
      <w:bookmarkStart w:id="633" w:name="_Toc219286566"/>
      <w:r w:rsidRPr="00BE1CFE">
        <w:rPr>
          <w:rFonts w:eastAsia="Times New Roman" w:hint="eastAsia"/>
          <w:rtl/>
        </w:rPr>
        <w:t>ביצוע</w:t>
      </w:r>
      <w:r w:rsidRPr="00BE1CFE">
        <w:rPr>
          <w:rFonts w:eastAsia="Times New Roman"/>
          <w:rtl/>
        </w:rPr>
        <w:t xml:space="preserve"> </w:t>
      </w:r>
      <w:r w:rsidRPr="00BE1CFE">
        <w:rPr>
          <w:rFonts w:eastAsia="Times New Roman" w:hint="eastAsia"/>
          <w:rtl/>
        </w:rPr>
        <w:t>בקרות</w:t>
      </w:r>
      <w:r w:rsidRPr="00BE1CFE">
        <w:rPr>
          <w:rFonts w:eastAsia="Times New Roman"/>
          <w:rtl/>
        </w:rPr>
        <w:t xml:space="preserve"> </w:t>
      </w:r>
      <w:r w:rsidRPr="00BE1CFE">
        <w:rPr>
          <w:rFonts w:eastAsia="Times New Roman" w:hint="eastAsia"/>
          <w:rtl/>
        </w:rPr>
        <w:t>על</w:t>
      </w:r>
      <w:r w:rsidRPr="00BE1CFE">
        <w:rPr>
          <w:rFonts w:eastAsia="Times New Roman"/>
          <w:rtl/>
        </w:rPr>
        <w:t xml:space="preserve"> </w:t>
      </w:r>
      <w:r w:rsidRPr="00BE1CFE">
        <w:rPr>
          <w:rFonts w:eastAsia="Times New Roman" w:hint="eastAsia"/>
          <w:rtl/>
        </w:rPr>
        <w:t>ידי</w:t>
      </w:r>
      <w:r w:rsidRPr="00BE1CFE">
        <w:rPr>
          <w:rFonts w:eastAsia="Times New Roman"/>
          <w:rtl/>
        </w:rPr>
        <w:t xml:space="preserve"> </w:t>
      </w:r>
      <w:r w:rsidRPr="00BE1CFE">
        <w:rPr>
          <w:rFonts w:eastAsia="Times New Roman" w:hint="eastAsia"/>
          <w:rtl/>
        </w:rPr>
        <w:t>מטה</w:t>
      </w:r>
      <w:r w:rsidRPr="00BE1CFE">
        <w:rPr>
          <w:rFonts w:eastAsia="Times New Roman"/>
          <w:rtl/>
        </w:rPr>
        <w:t xml:space="preserve"> </w:t>
      </w:r>
      <w:r w:rsidRPr="00BE1CFE">
        <w:rPr>
          <w:rFonts w:eastAsia="Times New Roman" w:hint="eastAsia"/>
          <w:rtl/>
        </w:rPr>
        <w:t>חטיבת</w:t>
      </w:r>
      <w:r w:rsidRPr="00BE1CFE">
        <w:rPr>
          <w:rFonts w:eastAsia="Times New Roman"/>
          <w:rtl/>
        </w:rPr>
        <w:t xml:space="preserve"> </w:t>
      </w:r>
      <w:r w:rsidRPr="00BE1CFE">
        <w:rPr>
          <w:rFonts w:eastAsia="Times New Roman" w:hint="eastAsia"/>
          <w:rtl/>
        </w:rPr>
        <w:t>הסייבר</w:t>
      </w:r>
      <w:bookmarkEnd w:id="630"/>
      <w:bookmarkEnd w:id="631"/>
      <w:bookmarkEnd w:id="632"/>
      <w:bookmarkEnd w:id="633"/>
    </w:p>
    <w:p w:rsidR="004B50FC" w:rsidRDefault="004B50FC" w:rsidP="00604C3D">
      <w:pPr>
        <w:spacing w:line="269" w:lineRule="auto"/>
        <w:ind w:left="-1"/>
        <w:contextualSpacing/>
        <w:rPr>
          <w:szCs w:val="20"/>
          <w:rtl/>
        </w:rPr>
      </w:pPr>
    </w:p>
    <w:p w:rsidR="00E50A30" w:rsidRPr="00BE1CFE" w:rsidRDefault="00E50A30" w:rsidP="00261075">
      <w:pPr>
        <w:spacing w:line="269" w:lineRule="auto"/>
        <w:ind w:left="340"/>
        <w:contextualSpacing/>
      </w:pPr>
      <w:r w:rsidRPr="00BE1CFE">
        <w:rPr>
          <w:rFonts w:hint="cs"/>
          <w:rtl/>
        </w:rPr>
        <w:t xml:space="preserve">הנחיית העבודה של חטיבת הסייבר בנושא פיקוח ובקרה מגדירה את הבקרות שהחטיבה נדרשת לבצע בתחומים השונים שבהם היא פועלת, </w:t>
      </w:r>
      <w:r w:rsidRPr="00BE1CFE">
        <w:rPr>
          <w:rtl/>
        </w:rPr>
        <w:t>הן במטה החטיבה</w:t>
      </w:r>
      <w:r w:rsidRPr="00BE1CFE">
        <w:rPr>
          <w:vertAlign w:val="superscript"/>
          <w:rtl/>
        </w:rPr>
        <w:footnoteReference w:id="292"/>
      </w:r>
      <w:r w:rsidRPr="00BE1CFE">
        <w:rPr>
          <w:rtl/>
        </w:rPr>
        <w:t>, הן ביחידות השטח הכפופות ל</w:t>
      </w:r>
      <w:r w:rsidRPr="00BE1CFE">
        <w:rPr>
          <w:rFonts w:hint="cs"/>
          <w:rtl/>
        </w:rPr>
        <w:t xml:space="preserve">מטה החטיבה </w:t>
      </w:r>
      <w:r w:rsidRPr="00BE1CFE">
        <w:rPr>
          <w:rtl/>
        </w:rPr>
        <w:t>במערך הפרוס והן ביחידות השטח במשטר</w:t>
      </w:r>
      <w:r w:rsidRPr="00BE1CFE">
        <w:rPr>
          <w:rFonts w:hint="cs"/>
          <w:rtl/>
        </w:rPr>
        <w:t>ה</w:t>
      </w:r>
      <w:r w:rsidRPr="00BE1CFE">
        <w:rPr>
          <w:rtl/>
        </w:rPr>
        <w:t xml:space="preserve"> הכפופות לה מקצועית.</w:t>
      </w:r>
      <w:r w:rsidRPr="00BE1CFE">
        <w:rPr>
          <w:rFonts w:hint="cs"/>
          <w:rtl/>
        </w:rPr>
        <w:t xml:space="preserve"> נוסף על כך, ההנחיה מגדירה את הגורמים המקצועיים והפיקודיים שעליהם מוטלת החובה לביצוע הבקרות בהתאם לתדירות שנקבעה</w:t>
      </w:r>
      <w:r w:rsidRPr="00BE1CFE">
        <w:rPr>
          <w:vertAlign w:val="superscript"/>
          <w:rtl/>
        </w:rPr>
        <w:footnoteReference w:id="293"/>
      </w:r>
      <w:r w:rsidRPr="00BE1CFE">
        <w:rPr>
          <w:rFonts w:hint="cs"/>
          <w:rtl/>
        </w:rPr>
        <w:t xml:space="preserve">. </w:t>
      </w:r>
    </w:p>
    <w:p w:rsidR="004B50FC" w:rsidRPr="004B50FC" w:rsidRDefault="004B50FC" w:rsidP="00604C3D">
      <w:pPr>
        <w:spacing w:line="269" w:lineRule="auto"/>
        <w:ind w:left="424"/>
        <w:contextualSpacing/>
      </w:pPr>
    </w:p>
    <w:p w:rsidR="00E50A30" w:rsidRPr="00BE1CFE" w:rsidRDefault="00E50A30" w:rsidP="00261075">
      <w:pPr>
        <w:pStyle w:val="af2"/>
        <w:numPr>
          <w:ilvl w:val="0"/>
          <w:numId w:val="64"/>
        </w:numPr>
        <w:spacing w:line="269" w:lineRule="auto"/>
        <w:ind w:left="707"/>
        <w:rPr>
          <w:rtl/>
        </w:rPr>
      </w:pPr>
      <w:r w:rsidRPr="00BE1CFE">
        <w:rPr>
          <w:rFonts w:hint="cs"/>
          <w:rtl/>
        </w:rPr>
        <w:t>בהתאם להנחיית העבודה, מדור הכוונה מקצועית בחטיבת הסייבר עורך תוכנית בקרות שנתית הכוללת בקרות יזומות ביחידות המערך הפרוס בדיסציפלינות השונות</w:t>
      </w:r>
      <w:r w:rsidRPr="00BE1CFE">
        <w:rPr>
          <w:vertAlign w:val="superscript"/>
          <w:rtl/>
        </w:rPr>
        <w:footnoteReference w:id="294"/>
      </w:r>
      <w:r w:rsidRPr="00BE1CFE">
        <w:rPr>
          <w:rFonts w:hint="cs"/>
          <w:rtl/>
        </w:rPr>
        <w:t>. בהתאם לתוכנית הבקרות השנתית מדור הכוונה מקצועית ביצע 259 בקרות בשנים 2019 - 2021 ביחידות המערך הפרוס וביחידות המבצעיות של חטיבת הסייבר. נוסף על כך, מפקדי יחידות השטח שבהן מבוצעות הפקת נתוני תקשורת והאזנות סתר</w:t>
      </w:r>
      <w:r w:rsidRPr="00BE1CFE" w:rsidDel="00A74C56">
        <w:rPr>
          <w:rFonts w:hint="cs"/>
          <w:rtl/>
        </w:rPr>
        <w:t xml:space="preserve"> </w:t>
      </w:r>
      <w:r w:rsidRPr="00BE1CFE">
        <w:rPr>
          <w:rFonts w:hint="cs"/>
          <w:rtl/>
        </w:rPr>
        <w:t xml:space="preserve">ביצעו בקרות מקצועיות על פעילות היחידות. </w:t>
      </w:r>
      <w:r w:rsidRPr="00BE1CFE">
        <w:rPr>
          <w:rFonts w:hint="eastAsia"/>
          <w:rtl/>
        </w:rPr>
        <w:t>להלן</w:t>
      </w:r>
      <w:r w:rsidRPr="00BE1CFE">
        <w:rPr>
          <w:rtl/>
        </w:rPr>
        <w:t xml:space="preserve"> </w:t>
      </w:r>
      <w:r w:rsidRPr="00BE1CFE">
        <w:rPr>
          <w:rFonts w:hint="eastAsia"/>
          <w:rtl/>
        </w:rPr>
        <w:t>בלוח</w:t>
      </w:r>
      <w:r w:rsidRPr="00BE1CFE">
        <w:rPr>
          <w:rtl/>
        </w:rPr>
        <w:t xml:space="preserve"> </w:t>
      </w:r>
      <w:r w:rsidRPr="00BE1CFE">
        <w:rPr>
          <w:rFonts w:hint="eastAsia"/>
          <w:rtl/>
        </w:rPr>
        <w:t>פילוח</w:t>
      </w:r>
      <w:r w:rsidRPr="00BE1CFE">
        <w:rPr>
          <w:rtl/>
        </w:rPr>
        <w:t xml:space="preserve"> </w:t>
      </w:r>
      <w:r w:rsidRPr="00BE1CFE">
        <w:rPr>
          <w:rFonts w:hint="eastAsia"/>
          <w:rtl/>
        </w:rPr>
        <w:t>הבקרות</w:t>
      </w:r>
      <w:r w:rsidRPr="00BE1CFE">
        <w:rPr>
          <w:rtl/>
        </w:rPr>
        <w:t xml:space="preserve"> </w:t>
      </w:r>
      <w:r w:rsidRPr="00BE1CFE">
        <w:rPr>
          <w:rFonts w:hint="eastAsia"/>
          <w:rtl/>
        </w:rPr>
        <w:t>שביצע</w:t>
      </w:r>
      <w:r w:rsidRPr="00BE1CFE">
        <w:rPr>
          <w:rtl/>
        </w:rPr>
        <w:t xml:space="preserve"> המדור בשנ</w:t>
      </w:r>
      <w:r w:rsidRPr="00BE1CFE">
        <w:rPr>
          <w:rFonts w:hint="cs"/>
          <w:rtl/>
        </w:rPr>
        <w:t>ים 2019 -</w:t>
      </w:r>
      <w:r w:rsidRPr="00BE1CFE">
        <w:rPr>
          <w:rtl/>
        </w:rPr>
        <w:t xml:space="preserve"> 2021</w:t>
      </w:r>
      <w:r w:rsidRPr="00BE1CFE">
        <w:rPr>
          <w:rFonts w:hint="cs"/>
          <w:rtl/>
        </w:rPr>
        <w:t xml:space="preserve">. </w:t>
      </w:r>
    </w:p>
    <w:p w:rsidR="004B50FC" w:rsidRDefault="004B50FC" w:rsidP="00604C3D">
      <w:pPr>
        <w:spacing w:line="269" w:lineRule="auto"/>
        <w:ind w:firstLine="720"/>
        <w:jc w:val="center"/>
        <w:rPr>
          <w:szCs w:val="20"/>
          <w:rtl/>
        </w:rPr>
      </w:pPr>
    </w:p>
    <w:p w:rsidR="00E50A30" w:rsidRPr="00BE1CFE" w:rsidRDefault="00E50A30" w:rsidP="00604C3D">
      <w:pPr>
        <w:spacing w:line="269" w:lineRule="auto"/>
        <w:ind w:firstLine="720"/>
        <w:jc w:val="center"/>
        <w:rPr>
          <w:b/>
          <w:bCs/>
          <w:u w:val="single"/>
          <w:rtl/>
        </w:rPr>
      </w:pPr>
      <w:r w:rsidRPr="00BE1CFE">
        <w:rPr>
          <w:rFonts w:hint="eastAsia"/>
          <w:sz w:val="18"/>
          <w:rtl/>
        </w:rPr>
        <w:t>לוח</w:t>
      </w:r>
      <w:r w:rsidRPr="00BE1CFE">
        <w:rPr>
          <w:rFonts w:hint="cs"/>
          <w:sz w:val="18"/>
          <w:rtl/>
        </w:rPr>
        <w:t xml:space="preserve"> </w:t>
      </w:r>
      <w:r>
        <w:rPr>
          <w:rFonts w:hint="cs"/>
          <w:sz w:val="18"/>
          <w:rtl/>
        </w:rPr>
        <w:t>21</w:t>
      </w:r>
      <w:r w:rsidRPr="00BE1CFE">
        <w:rPr>
          <w:sz w:val="18"/>
          <w:rtl/>
        </w:rPr>
        <w:t>:</w:t>
      </w:r>
      <w:r w:rsidRPr="00BE1CFE">
        <w:rPr>
          <w:b/>
          <w:bCs/>
          <w:sz w:val="18"/>
          <w:rtl/>
        </w:rPr>
        <w:t xml:space="preserve"> </w:t>
      </w:r>
      <w:r w:rsidRPr="00BE1CFE">
        <w:rPr>
          <w:rFonts w:hint="cs"/>
          <w:b/>
          <w:bCs/>
          <w:rtl/>
        </w:rPr>
        <w:t>פילוח תחומי הבקרות שביצע מדור הכוונה מקצועית, 2019 - 2021</w:t>
      </w:r>
    </w:p>
    <w:tbl>
      <w:tblPr>
        <w:tblStyle w:val="14"/>
        <w:bidiVisual/>
        <w:tblW w:w="0" w:type="auto"/>
        <w:tblInd w:w="275" w:type="dxa"/>
        <w:tblLook w:val="04A0" w:firstRow="1" w:lastRow="0" w:firstColumn="1" w:lastColumn="0" w:noHBand="0" w:noVBand="1"/>
      </w:tblPr>
      <w:tblGrid>
        <w:gridCol w:w="2272"/>
        <w:gridCol w:w="1559"/>
        <w:gridCol w:w="2268"/>
        <w:gridCol w:w="1836"/>
      </w:tblGrid>
      <w:tr w:rsidR="00E50A30" w:rsidRPr="00BE1CFE" w:rsidTr="00E50A30">
        <w:tc>
          <w:tcPr>
            <w:tcW w:w="2273" w:type="dxa"/>
          </w:tcPr>
          <w:p w:rsidR="00E50A30" w:rsidRPr="00BE1CFE" w:rsidRDefault="00E50A30" w:rsidP="00604C3D">
            <w:pPr>
              <w:spacing w:line="269" w:lineRule="auto"/>
              <w:jc w:val="center"/>
              <w:rPr>
                <w:b/>
                <w:bCs/>
                <w:sz w:val="22"/>
                <w:szCs w:val="22"/>
                <w:rtl/>
              </w:rPr>
            </w:pPr>
            <w:r w:rsidRPr="00BE1CFE">
              <w:rPr>
                <w:rFonts w:hint="cs"/>
                <w:b/>
                <w:bCs/>
                <w:sz w:val="22"/>
                <w:szCs w:val="22"/>
                <w:rtl/>
              </w:rPr>
              <w:t>הגורם שלגביו בוצעה הבקרה</w:t>
            </w:r>
          </w:p>
        </w:tc>
        <w:tc>
          <w:tcPr>
            <w:tcW w:w="1559" w:type="dxa"/>
          </w:tcPr>
          <w:p w:rsidR="00E50A30" w:rsidRPr="00BE1CFE" w:rsidRDefault="00E50A30" w:rsidP="00604C3D">
            <w:pPr>
              <w:spacing w:line="269" w:lineRule="auto"/>
              <w:jc w:val="center"/>
              <w:rPr>
                <w:b/>
                <w:bCs/>
                <w:sz w:val="22"/>
                <w:szCs w:val="22"/>
                <w:rtl/>
              </w:rPr>
            </w:pPr>
            <w:r w:rsidRPr="00BE1CFE">
              <w:rPr>
                <w:rFonts w:hint="eastAsia"/>
                <w:b/>
                <w:bCs/>
                <w:sz w:val="22"/>
                <w:szCs w:val="22"/>
                <w:rtl/>
              </w:rPr>
              <w:t>נתוני</w:t>
            </w:r>
            <w:r w:rsidRPr="00BE1CFE">
              <w:rPr>
                <w:b/>
                <w:bCs/>
                <w:sz w:val="22"/>
                <w:szCs w:val="22"/>
                <w:rtl/>
              </w:rPr>
              <w:t xml:space="preserve"> </w:t>
            </w:r>
            <w:r w:rsidRPr="00BE1CFE">
              <w:rPr>
                <w:rFonts w:hint="eastAsia"/>
                <w:b/>
                <w:bCs/>
                <w:sz w:val="22"/>
                <w:szCs w:val="22"/>
                <w:rtl/>
              </w:rPr>
              <w:t>תקשורת</w:t>
            </w:r>
          </w:p>
        </w:tc>
        <w:tc>
          <w:tcPr>
            <w:tcW w:w="2268" w:type="dxa"/>
          </w:tcPr>
          <w:p w:rsidR="00E50A30" w:rsidRPr="00BE1CFE" w:rsidRDefault="00E50A30" w:rsidP="00604C3D">
            <w:pPr>
              <w:spacing w:line="269" w:lineRule="auto"/>
              <w:jc w:val="center"/>
              <w:rPr>
                <w:b/>
                <w:bCs/>
                <w:sz w:val="22"/>
                <w:szCs w:val="22"/>
                <w:rtl/>
              </w:rPr>
            </w:pPr>
            <w:r w:rsidRPr="00BE1CFE">
              <w:rPr>
                <w:rFonts w:hint="eastAsia"/>
                <w:b/>
                <w:bCs/>
                <w:sz w:val="22"/>
                <w:szCs w:val="22"/>
                <w:rtl/>
              </w:rPr>
              <w:t>האזנות</w:t>
            </w:r>
            <w:r w:rsidRPr="00BE1CFE">
              <w:rPr>
                <w:b/>
                <w:bCs/>
                <w:sz w:val="22"/>
                <w:szCs w:val="22"/>
                <w:rtl/>
              </w:rPr>
              <w:t xml:space="preserve"> </w:t>
            </w:r>
            <w:r w:rsidRPr="00BE1CFE">
              <w:rPr>
                <w:rFonts w:hint="eastAsia"/>
                <w:b/>
                <w:bCs/>
                <w:sz w:val="22"/>
                <w:szCs w:val="22"/>
                <w:rtl/>
              </w:rPr>
              <w:t>סתר</w:t>
            </w:r>
            <w:r w:rsidRPr="00BE1CFE">
              <w:rPr>
                <w:b/>
                <w:bCs/>
                <w:sz w:val="22"/>
                <w:szCs w:val="22"/>
                <w:rtl/>
              </w:rPr>
              <w:t xml:space="preserve"> </w:t>
            </w:r>
            <w:r w:rsidRPr="00BE1CFE">
              <w:rPr>
                <w:rFonts w:hint="eastAsia"/>
                <w:b/>
                <w:bCs/>
                <w:sz w:val="22"/>
                <w:szCs w:val="22"/>
                <w:rtl/>
              </w:rPr>
              <w:t>ותקשורת</w:t>
            </w:r>
            <w:r w:rsidRPr="00BE1CFE">
              <w:rPr>
                <w:b/>
                <w:bCs/>
                <w:sz w:val="22"/>
                <w:szCs w:val="22"/>
                <w:rtl/>
              </w:rPr>
              <w:t xml:space="preserve"> בין מחשבים </w:t>
            </w:r>
          </w:p>
        </w:tc>
        <w:tc>
          <w:tcPr>
            <w:tcW w:w="1836" w:type="dxa"/>
          </w:tcPr>
          <w:p w:rsidR="00E50A30" w:rsidRPr="00BE1CFE" w:rsidRDefault="00E50A30" w:rsidP="00604C3D">
            <w:pPr>
              <w:spacing w:line="269" w:lineRule="auto"/>
              <w:jc w:val="center"/>
              <w:rPr>
                <w:b/>
                <w:bCs/>
                <w:sz w:val="22"/>
                <w:szCs w:val="22"/>
                <w:rtl/>
              </w:rPr>
            </w:pPr>
            <w:r w:rsidRPr="00BE1CFE">
              <w:rPr>
                <w:rFonts w:hint="eastAsia"/>
                <w:b/>
                <w:bCs/>
                <w:sz w:val="22"/>
                <w:szCs w:val="22"/>
                <w:rtl/>
              </w:rPr>
              <w:t>אחר</w:t>
            </w:r>
            <w:r w:rsidRPr="00BE1CFE">
              <w:rPr>
                <w:b/>
                <w:bCs/>
                <w:sz w:val="22"/>
                <w:szCs w:val="22"/>
                <w:rtl/>
              </w:rPr>
              <w:t xml:space="preserve"> (סייבר, </w:t>
            </w:r>
            <w:r w:rsidRPr="00BE1CFE">
              <w:rPr>
                <w:rFonts w:hint="eastAsia"/>
                <w:b/>
                <w:bCs/>
                <w:sz w:val="22"/>
                <w:szCs w:val="22"/>
                <w:rtl/>
              </w:rPr>
              <w:t>בינה</w:t>
            </w:r>
            <w:r w:rsidRPr="00BE1CFE">
              <w:rPr>
                <w:b/>
                <w:bCs/>
                <w:sz w:val="22"/>
                <w:szCs w:val="22"/>
                <w:rtl/>
              </w:rPr>
              <w:t xml:space="preserve"> </w:t>
            </w:r>
            <w:r w:rsidRPr="00BE1CFE">
              <w:rPr>
                <w:rFonts w:hint="eastAsia"/>
                <w:b/>
                <w:bCs/>
                <w:sz w:val="22"/>
                <w:szCs w:val="22"/>
                <w:rtl/>
              </w:rPr>
              <w:t>רשתית</w:t>
            </w:r>
            <w:r w:rsidRPr="00BE1CFE">
              <w:rPr>
                <w:b/>
                <w:bCs/>
                <w:sz w:val="22"/>
                <w:szCs w:val="22"/>
                <w:rtl/>
              </w:rPr>
              <w:t>)</w:t>
            </w:r>
          </w:p>
        </w:tc>
      </w:tr>
      <w:tr w:rsidR="00E50A30" w:rsidRPr="00BE1CFE" w:rsidTr="00E50A30">
        <w:tc>
          <w:tcPr>
            <w:tcW w:w="2273" w:type="dxa"/>
          </w:tcPr>
          <w:p w:rsidR="00E50A30" w:rsidRPr="00BE1CFE" w:rsidRDefault="00E50A30" w:rsidP="00604C3D">
            <w:pPr>
              <w:spacing w:line="269" w:lineRule="auto"/>
              <w:jc w:val="left"/>
              <w:rPr>
                <w:b/>
                <w:bCs/>
                <w:sz w:val="22"/>
                <w:szCs w:val="22"/>
                <w:rtl/>
              </w:rPr>
            </w:pPr>
            <w:r w:rsidRPr="00BE1CFE">
              <w:rPr>
                <w:rFonts w:hint="cs"/>
                <w:b/>
                <w:bCs/>
                <w:sz w:val="22"/>
                <w:szCs w:val="22"/>
                <w:rtl/>
              </w:rPr>
              <w:t>המערך הפרוס</w:t>
            </w:r>
          </w:p>
        </w:tc>
        <w:tc>
          <w:tcPr>
            <w:tcW w:w="1559" w:type="dxa"/>
            <w:vAlign w:val="center"/>
          </w:tcPr>
          <w:p w:rsidR="00E50A30" w:rsidRPr="00BE1CFE" w:rsidRDefault="00E50A30" w:rsidP="00604C3D">
            <w:pPr>
              <w:spacing w:line="269" w:lineRule="auto"/>
              <w:jc w:val="center"/>
              <w:rPr>
                <w:sz w:val="22"/>
                <w:szCs w:val="22"/>
                <w:rtl/>
              </w:rPr>
            </w:pPr>
            <w:r w:rsidRPr="00BE1CFE">
              <w:rPr>
                <w:rFonts w:hint="cs"/>
                <w:sz w:val="22"/>
                <w:szCs w:val="22"/>
                <w:rtl/>
              </w:rPr>
              <w:t>104</w:t>
            </w:r>
          </w:p>
        </w:tc>
        <w:tc>
          <w:tcPr>
            <w:tcW w:w="2268" w:type="dxa"/>
            <w:vAlign w:val="center"/>
          </w:tcPr>
          <w:p w:rsidR="00E50A30" w:rsidRPr="00BE1CFE" w:rsidRDefault="00E50A30" w:rsidP="00604C3D">
            <w:pPr>
              <w:spacing w:line="269" w:lineRule="auto"/>
              <w:jc w:val="center"/>
              <w:rPr>
                <w:sz w:val="22"/>
                <w:szCs w:val="22"/>
                <w:rtl/>
              </w:rPr>
            </w:pPr>
            <w:r w:rsidRPr="00BE1CFE">
              <w:rPr>
                <w:rFonts w:hint="cs"/>
                <w:sz w:val="22"/>
                <w:szCs w:val="22"/>
                <w:rtl/>
              </w:rPr>
              <w:t>79</w:t>
            </w:r>
          </w:p>
        </w:tc>
        <w:tc>
          <w:tcPr>
            <w:tcW w:w="1836" w:type="dxa"/>
            <w:vAlign w:val="center"/>
          </w:tcPr>
          <w:p w:rsidR="00E50A30" w:rsidRPr="00BE1CFE" w:rsidRDefault="00E50A30" w:rsidP="00604C3D">
            <w:pPr>
              <w:spacing w:line="269" w:lineRule="auto"/>
              <w:jc w:val="center"/>
              <w:rPr>
                <w:sz w:val="22"/>
                <w:szCs w:val="22"/>
                <w:rtl/>
              </w:rPr>
            </w:pPr>
            <w:r w:rsidRPr="00BE1CFE">
              <w:rPr>
                <w:rFonts w:hint="cs"/>
                <w:sz w:val="22"/>
                <w:szCs w:val="22"/>
                <w:rtl/>
              </w:rPr>
              <w:t>73</w:t>
            </w:r>
          </w:p>
        </w:tc>
      </w:tr>
      <w:tr w:rsidR="00E50A30" w:rsidRPr="00BE1CFE" w:rsidTr="00E50A30">
        <w:tc>
          <w:tcPr>
            <w:tcW w:w="2273" w:type="dxa"/>
          </w:tcPr>
          <w:p w:rsidR="00E50A30" w:rsidRPr="00BE1CFE" w:rsidRDefault="00E50A30" w:rsidP="00604C3D">
            <w:pPr>
              <w:spacing w:line="269" w:lineRule="auto"/>
              <w:jc w:val="left"/>
              <w:rPr>
                <w:b/>
                <w:bCs/>
                <w:sz w:val="22"/>
                <w:szCs w:val="22"/>
                <w:rtl/>
              </w:rPr>
            </w:pPr>
            <w:r w:rsidRPr="00BE1CFE">
              <w:rPr>
                <w:rFonts w:hint="cs"/>
                <w:b/>
                <w:bCs/>
                <w:sz w:val="22"/>
                <w:szCs w:val="22"/>
                <w:rtl/>
              </w:rPr>
              <w:t>היחידות המבצעיות בחטיבה</w:t>
            </w:r>
          </w:p>
        </w:tc>
        <w:tc>
          <w:tcPr>
            <w:tcW w:w="1559" w:type="dxa"/>
            <w:vAlign w:val="center"/>
          </w:tcPr>
          <w:p w:rsidR="00E50A30" w:rsidRPr="00BE1CFE" w:rsidRDefault="00E50A30" w:rsidP="00604C3D">
            <w:pPr>
              <w:spacing w:line="269" w:lineRule="auto"/>
              <w:jc w:val="center"/>
              <w:rPr>
                <w:sz w:val="22"/>
                <w:szCs w:val="22"/>
                <w:rtl/>
              </w:rPr>
            </w:pPr>
            <w:r w:rsidRPr="00BE1CFE">
              <w:rPr>
                <w:rFonts w:hint="cs"/>
                <w:sz w:val="22"/>
                <w:szCs w:val="22"/>
                <w:rtl/>
              </w:rPr>
              <w:t>0</w:t>
            </w:r>
          </w:p>
        </w:tc>
        <w:tc>
          <w:tcPr>
            <w:tcW w:w="2268" w:type="dxa"/>
            <w:vAlign w:val="center"/>
          </w:tcPr>
          <w:p w:rsidR="00E50A30" w:rsidRPr="00BE1CFE" w:rsidRDefault="00E50A30" w:rsidP="00604C3D">
            <w:pPr>
              <w:spacing w:line="269" w:lineRule="auto"/>
              <w:jc w:val="center"/>
              <w:rPr>
                <w:sz w:val="22"/>
                <w:szCs w:val="22"/>
                <w:rtl/>
              </w:rPr>
            </w:pPr>
            <w:r w:rsidRPr="00BE1CFE">
              <w:rPr>
                <w:sz w:val="22"/>
                <w:szCs w:val="22"/>
              </w:rPr>
              <w:t>2</w:t>
            </w:r>
          </w:p>
        </w:tc>
        <w:tc>
          <w:tcPr>
            <w:tcW w:w="1836" w:type="dxa"/>
            <w:vAlign w:val="center"/>
          </w:tcPr>
          <w:p w:rsidR="00E50A30" w:rsidRPr="00BE1CFE" w:rsidRDefault="00E50A30" w:rsidP="00604C3D">
            <w:pPr>
              <w:spacing w:line="269" w:lineRule="auto"/>
              <w:jc w:val="center"/>
              <w:rPr>
                <w:sz w:val="22"/>
                <w:szCs w:val="22"/>
                <w:rtl/>
              </w:rPr>
            </w:pPr>
            <w:r w:rsidRPr="00BE1CFE">
              <w:rPr>
                <w:rFonts w:hint="cs"/>
                <w:sz w:val="22"/>
                <w:szCs w:val="22"/>
                <w:rtl/>
              </w:rPr>
              <w:t>1</w:t>
            </w:r>
          </w:p>
        </w:tc>
      </w:tr>
    </w:tbl>
    <w:p w:rsidR="00E50A30" w:rsidRPr="00BE1CFE" w:rsidRDefault="00E50A30" w:rsidP="00604C3D">
      <w:pPr>
        <w:spacing w:line="269" w:lineRule="auto"/>
        <w:rPr>
          <w:sz w:val="18"/>
          <w:szCs w:val="22"/>
          <w:rtl/>
        </w:rPr>
      </w:pPr>
      <w:r w:rsidRPr="00BE1CFE">
        <w:rPr>
          <w:rFonts w:hint="cs"/>
          <w:sz w:val="18"/>
          <w:szCs w:val="22"/>
          <w:rtl/>
        </w:rPr>
        <w:t>על פי נתוני המשטרה, בעיבוד משרד מבקר המדינה.</w:t>
      </w:r>
    </w:p>
    <w:p w:rsidR="00E50A30" w:rsidRPr="00BE1CFE" w:rsidRDefault="00E50A30" w:rsidP="00604C3D">
      <w:pPr>
        <w:spacing w:line="269" w:lineRule="auto"/>
        <w:ind w:left="-567"/>
        <w:rPr>
          <w:szCs w:val="20"/>
          <w:rtl/>
        </w:rPr>
      </w:pPr>
    </w:p>
    <w:p w:rsidR="00E50A30" w:rsidRPr="00BE1CFE" w:rsidRDefault="00E50A30" w:rsidP="00261075">
      <w:pPr>
        <w:spacing w:line="269" w:lineRule="auto"/>
        <w:ind w:left="707"/>
        <w:rPr>
          <w:b/>
          <w:bCs/>
          <w:rtl/>
        </w:rPr>
      </w:pPr>
      <w:r w:rsidRPr="00BE1CFE">
        <w:rPr>
          <w:rFonts w:hint="cs"/>
          <w:b/>
          <w:bCs/>
          <w:rtl/>
        </w:rPr>
        <w:t>מהלוח עולה כי רובן המוחלט של הבקרות (256 בקרות מתוך 259</w:t>
      </w:r>
      <w:r w:rsidRPr="00BE1CFE">
        <w:rPr>
          <w:b/>
          <w:bCs/>
          <w:rtl/>
        </w:rPr>
        <w:t>)</w:t>
      </w:r>
      <w:r w:rsidRPr="00BE1CFE">
        <w:rPr>
          <w:rFonts w:hint="cs"/>
          <w:b/>
          <w:bCs/>
          <w:rtl/>
        </w:rPr>
        <w:t xml:space="preserve"> שביצע מדור הכוונה מקצועית ב</w:t>
      </w:r>
      <w:r w:rsidRPr="00BE1CFE">
        <w:rPr>
          <w:rFonts w:hint="eastAsia"/>
          <w:b/>
          <w:bCs/>
          <w:rtl/>
        </w:rPr>
        <w:t>שנ</w:t>
      </w:r>
      <w:r w:rsidRPr="00BE1CFE">
        <w:rPr>
          <w:rFonts w:hint="cs"/>
          <w:b/>
          <w:bCs/>
          <w:rtl/>
        </w:rPr>
        <w:t>ים 2019 -</w:t>
      </w:r>
      <w:r w:rsidRPr="00BE1CFE">
        <w:rPr>
          <w:b/>
          <w:bCs/>
          <w:rtl/>
        </w:rPr>
        <w:t xml:space="preserve"> 2021</w:t>
      </w:r>
      <w:r w:rsidRPr="00BE1CFE">
        <w:rPr>
          <w:rFonts w:hint="cs"/>
          <w:b/>
          <w:bCs/>
          <w:rtl/>
        </w:rPr>
        <w:t xml:space="preserve"> התבצעו ביחידות המערך הפרוס. </w:t>
      </w:r>
    </w:p>
    <w:p w:rsidR="004B50FC" w:rsidRPr="004B50FC" w:rsidRDefault="004B50FC" w:rsidP="00604C3D">
      <w:pPr>
        <w:spacing w:line="269" w:lineRule="auto"/>
        <w:ind w:left="424"/>
        <w:contextualSpacing/>
      </w:pPr>
    </w:p>
    <w:p w:rsidR="00E50A30" w:rsidRPr="00BE1CFE" w:rsidRDefault="00E50A30" w:rsidP="00261075">
      <w:pPr>
        <w:pStyle w:val="af2"/>
        <w:numPr>
          <w:ilvl w:val="0"/>
          <w:numId w:val="64"/>
        </w:numPr>
        <w:spacing w:line="269" w:lineRule="auto"/>
        <w:ind w:left="707"/>
        <w:rPr>
          <w:rtl/>
        </w:rPr>
      </w:pPr>
      <w:r w:rsidRPr="00BE1CFE">
        <w:rPr>
          <w:rFonts w:hint="cs"/>
          <w:rtl/>
        </w:rPr>
        <w:t>נוסף על היחידות במערך הפרוס, במסגרת מטה חטיבת הסייבר פועלות כמה יחידות מבצעיות בתחומי הפקת נתוני תקשורת, האזנות סתר ותקשורת בין מחשבים. מחלקת מענה מבצעי, שבמסגרתה פועלות היחידות המבצעיות בחטיבה, משמשת גורם מנחה מקצועי</w:t>
      </w:r>
      <w:r>
        <w:rPr>
          <w:rFonts w:hint="cs"/>
          <w:rtl/>
        </w:rPr>
        <w:t xml:space="preserve"> </w:t>
      </w:r>
      <w:r w:rsidRPr="00BE1CFE">
        <w:rPr>
          <w:rFonts w:hint="cs"/>
          <w:rtl/>
        </w:rPr>
        <w:t>ליחידות החטיבה המבצעיות. אולם, הנחיית העבודה של חטיבת הסייבר אינה דורשת ביצוע פיקוח ובקרה בחלק מיחידות החטיבה, וממילא אינה מגדירה גורם האחראי לביצוע פיקוח ובקרה ביחידות אלה.</w:t>
      </w:r>
    </w:p>
    <w:p w:rsidR="004B50FC" w:rsidRDefault="004B50FC" w:rsidP="00604C3D">
      <w:pPr>
        <w:spacing w:line="269" w:lineRule="auto"/>
        <w:ind w:left="424"/>
        <w:rPr>
          <w:szCs w:val="20"/>
          <w:rtl/>
        </w:rPr>
      </w:pPr>
    </w:p>
    <w:p w:rsidR="00E50A30" w:rsidRPr="00BE1CFE" w:rsidRDefault="00E50A30" w:rsidP="00261075">
      <w:pPr>
        <w:spacing w:line="269" w:lineRule="auto"/>
        <w:ind w:left="707"/>
        <w:rPr>
          <w:rtl/>
        </w:rPr>
      </w:pPr>
      <w:r w:rsidRPr="00BE1CFE">
        <w:rPr>
          <w:rFonts w:hint="cs"/>
          <w:rtl/>
        </w:rPr>
        <w:t>בשנת 2021 לא בוצעו כלל בקרות של מחלקת מענה מבצעי על מדורי המחלקה. מדור שליטה מבצעית, הכפוף למחלקת מענה מבצעי, ביצע 29 בקרות במרכז השליטה (משל"ט) ושלוש בקרות במוקד הטכנו-סיגינטי. יצוין כי עד לשנת 2018 נעשתה בקרה חודשית במוקד הטכנו-סיגינטי לבחינת מדגם של עמדות ההאזנה שהועלו לראשונה באותו החודש</w:t>
      </w:r>
      <w:r w:rsidRPr="00BE1CFE">
        <w:rPr>
          <w:vertAlign w:val="superscript"/>
          <w:rtl/>
        </w:rPr>
        <w:footnoteReference w:id="295"/>
      </w:r>
      <w:r w:rsidRPr="00BE1CFE">
        <w:rPr>
          <w:rFonts w:hint="cs"/>
          <w:rtl/>
        </w:rPr>
        <w:t xml:space="preserve">. כמו כן מדור הכוונה מקצועית ביצע בשנים 2019 </w:t>
      </w:r>
      <w:r w:rsidRPr="00BE1CFE">
        <w:rPr>
          <w:rtl/>
        </w:rPr>
        <w:t>-</w:t>
      </w:r>
      <w:r w:rsidRPr="00BE1CFE">
        <w:rPr>
          <w:rFonts w:hint="cs"/>
          <w:rtl/>
        </w:rPr>
        <w:t xml:space="preserve"> 2021 שלוש בקרות מקצועיות על יחידות מבצעיות של החטיבה (ראו בלוח לעיל).</w:t>
      </w:r>
    </w:p>
    <w:p w:rsidR="004B50FC" w:rsidRDefault="004B50FC" w:rsidP="00604C3D">
      <w:pPr>
        <w:spacing w:line="269" w:lineRule="auto"/>
        <w:rPr>
          <w:szCs w:val="20"/>
          <w:rtl/>
        </w:rPr>
      </w:pPr>
    </w:p>
    <w:p w:rsidR="00E50A30" w:rsidRPr="00BE1CFE" w:rsidRDefault="00E50A30" w:rsidP="00E2380D">
      <w:pPr>
        <w:spacing w:line="269" w:lineRule="auto"/>
        <w:ind w:left="423"/>
        <w:rPr>
          <w:b/>
          <w:bCs/>
          <w:rtl/>
        </w:rPr>
      </w:pPr>
      <w:r w:rsidRPr="00BE1CFE">
        <w:rPr>
          <w:rFonts w:hint="eastAsia"/>
          <w:b/>
          <w:bCs/>
          <w:rtl/>
        </w:rPr>
        <w:t>במטה</w:t>
      </w:r>
      <w:r w:rsidRPr="00BE1CFE">
        <w:rPr>
          <w:b/>
          <w:bCs/>
          <w:rtl/>
        </w:rPr>
        <w:t xml:space="preserve"> </w:t>
      </w:r>
      <w:r w:rsidRPr="00BE1CFE">
        <w:rPr>
          <w:rFonts w:hint="eastAsia"/>
          <w:b/>
          <w:bCs/>
          <w:rtl/>
        </w:rPr>
        <w:t>חטיבת</w:t>
      </w:r>
      <w:r w:rsidRPr="00BE1CFE">
        <w:rPr>
          <w:b/>
          <w:bCs/>
          <w:rtl/>
        </w:rPr>
        <w:t xml:space="preserve"> </w:t>
      </w:r>
      <w:r w:rsidRPr="00BE1CFE">
        <w:rPr>
          <w:rFonts w:hint="eastAsia"/>
          <w:b/>
          <w:bCs/>
          <w:rtl/>
        </w:rPr>
        <w:t>הסייבר</w:t>
      </w:r>
      <w:r w:rsidRPr="00BE1CFE">
        <w:rPr>
          <w:b/>
          <w:bCs/>
          <w:rtl/>
        </w:rPr>
        <w:t xml:space="preserve"> </w:t>
      </w:r>
      <w:r w:rsidRPr="00BE1CFE">
        <w:rPr>
          <w:rFonts w:hint="eastAsia"/>
          <w:b/>
          <w:bCs/>
          <w:rtl/>
        </w:rPr>
        <w:t>פועלות</w:t>
      </w:r>
      <w:r w:rsidRPr="00BE1CFE">
        <w:rPr>
          <w:b/>
          <w:bCs/>
          <w:rtl/>
        </w:rPr>
        <w:t xml:space="preserve"> </w:t>
      </w:r>
      <w:r w:rsidRPr="00BE1CFE">
        <w:rPr>
          <w:rFonts w:hint="eastAsia"/>
          <w:b/>
          <w:bCs/>
          <w:rtl/>
        </w:rPr>
        <w:t>יחידות</w:t>
      </w:r>
      <w:r w:rsidRPr="00BE1CFE">
        <w:rPr>
          <w:b/>
          <w:bCs/>
          <w:rtl/>
        </w:rPr>
        <w:t xml:space="preserve"> </w:t>
      </w:r>
      <w:r w:rsidRPr="00BE1CFE">
        <w:rPr>
          <w:rFonts w:hint="eastAsia"/>
          <w:b/>
          <w:bCs/>
          <w:rtl/>
        </w:rPr>
        <w:t>מבצעיות</w:t>
      </w:r>
      <w:r w:rsidRPr="00BE1CFE">
        <w:rPr>
          <w:b/>
          <w:bCs/>
          <w:rtl/>
        </w:rPr>
        <w:t xml:space="preserve"> </w:t>
      </w:r>
      <w:r w:rsidRPr="00BE1CFE">
        <w:rPr>
          <w:rFonts w:hint="eastAsia"/>
          <w:b/>
          <w:bCs/>
          <w:rtl/>
        </w:rPr>
        <w:t>שעוסקות</w:t>
      </w:r>
      <w:r w:rsidRPr="00BE1CFE">
        <w:rPr>
          <w:b/>
          <w:bCs/>
          <w:rtl/>
        </w:rPr>
        <w:t xml:space="preserve"> </w:t>
      </w:r>
      <w:r w:rsidRPr="00BE1CFE">
        <w:rPr>
          <w:rFonts w:hint="eastAsia"/>
          <w:b/>
          <w:bCs/>
          <w:rtl/>
        </w:rPr>
        <w:t>בתחומי</w:t>
      </w:r>
      <w:r w:rsidRPr="00BE1CFE">
        <w:rPr>
          <w:b/>
          <w:bCs/>
          <w:rtl/>
        </w:rPr>
        <w:t xml:space="preserve"> </w:t>
      </w:r>
      <w:r w:rsidRPr="00BE1CFE">
        <w:rPr>
          <w:rFonts w:hint="eastAsia"/>
          <w:b/>
          <w:bCs/>
          <w:rtl/>
        </w:rPr>
        <w:t>נתוני</w:t>
      </w:r>
      <w:r w:rsidRPr="00BE1CFE">
        <w:rPr>
          <w:b/>
          <w:bCs/>
          <w:rtl/>
        </w:rPr>
        <w:t xml:space="preserve"> </w:t>
      </w:r>
      <w:r w:rsidRPr="00BE1CFE">
        <w:rPr>
          <w:rFonts w:hint="eastAsia"/>
          <w:b/>
          <w:bCs/>
          <w:rtl/>
        </w:rPr>
        <w:t>תקשורת</w:t>
      </w:r>
      <w:r w:rsidRPr="00BE1CFE">
        <w:rPr>
          <w:b/>
          <w:bCs/>
          <w:rtl/>
        </w:rPr>
        <w:t xml:space="preserve">, </w:t>
      </w:r>
      <w:r w:rsidRPr="00BE1CFE">
        <w:rPr>
          <w:rFonts w:hint="eastAsia"/>
          <w:b/>
          <w:bCs/>
          <w:rtl/>
        </w:rPr>
        <w:t>האזנות</w:t>
      </w:r>
      <w:r w:rsidRPr="00BE1CFE">
        <w:rPr>
          <w:b/>
          <w:bCs/>
          <w:rtl/>
        </w:rPr>
        <w:t xml:space="preserve"> </w:t>
      </w:r>
      <w:r w:rsidRPr="00BE1CFE">
        <w:rPr>
          <w:rFonts w:hint="eastAsia"/>
          <w:b/>
          <w:bCs/>
          <w:rtl/>
        </w:rPr>
        <w:t>סתר</w:t>
      </w:r>
      <w:r w:rsidRPr="00BE1CFE">
        <w:rPr>
          <w:b/>
          <w:bCs/>
          <w:rtl/>
        </w:rPr>
        <w:t xml:space="preserve"> </w:t>
      </w:r>
      <w:r w:rsidRPr="00BE1CFE">
        <w:rPr>
          <w:rFonts w:hint="eastAsia"/>
          <w:b/>
          <w:bCs/>
          <w:rtl/>
        </w:rPr>
        <w:t>ותקשורת</w:t>
      </w:r>
      <w:r w:rsidRPr="00BE1CFE">
        <w:rPr>
          <w:b/>
          <w:bCs/>
          <w:rtl/>
        </w:rPr>
        <w:t xml:space="preserve"> </w:t>
      </w:r>
      <w:r w:rsidRPr="00BE1CFE">
        <w:rPr>
          <w:rFonts w:hint="eastAsia"/>
          <w:b/>
          <w:bCs/>
          <w:rtl/>
        </w:rPr>
        <w:t>בין</w:t>
      </w:r>
      <w:r w:rsidRPr="00BE1CFE">
        <w:rPr>
          <w:b/>
          <w:bCs/>
          <w:rtl/>
        </w:rPr>
        <w:t xml:space="preserve"> </w:t>
      </w:r>
      <w:r w:rsidRPr="00BE1CFE">
        <w:rPr>
          <w:rFonts w:hint="eastAsia"/>
          <w:b/>
          <w:bCs/>
          <w:rtl/>
        </w:rPr>
        <w:t>מחשבים</w:t>
      </w:r>
      <w:r w:rsidRPr="00BE1CFE">
        <w:rPr>
          <w:b/>
          <w:bCs/>
          <w:rtl/>
        </w:rPr>
        <w:t xml:space="preserve">, זאת לצד הפעילות בתחומים אלה המתקיימת במערך הפרוס (תחנות משטרה, </w:t>
      </w:r>
      <w:r w:rsidRPr="00BE1CFE">
        <w:rPr>
          <w:rFonts w:hint="eastAsia"/>
          <w:b/>
          <w:bCs/>
          <w:rtl/>
        </w:rPr>
        <w:t>ימ</w:t>
      </w:r>
      <w:r w:rsidRPr="00BE1CFE">
        <w:rPr>
          <w:b/>
          <w:bCs/>
          <w:rtl/>
        </w:rPr>
        <w:t>"רים</w:t>
      </w:r>
      <w:r w:rsidRPr="00BE1CFE">
        <w:rPr>
          <w:b/>
          <w:bCs/>
          <w:vertAlign w:val="superscript"/>
          <w:rtl/>
        </w:rPr>
        <w:footnoteReference w:id="296"/>
      </w:r>
      <w:r w:rsidRPr="00BE1CFE">
        <w:rPr>
          <w:b/>
          <w:bCs/>
          <w:rtl/>
        </w:rPr>
        <w:t xml:space="preserve">, </w:t>
      </w:r>
      <w:r w:rsidRPr="00BE1CFE">
        <w:rPr>
          <w:rFonts w:hint="eastAsia"/>
          <w:b/>
          <w:bCs/>
          <w:rtl/>
        </w:rPr>
        <w:t>להב</w:t>
      </w:r>
      <w:r w:rsidRPr="00BE1CFE">
        <w:rPr>
          <w:b/>
          <w:bCs/>
          <w:rtl/>
        </w:rPr>
        <w:t xml:space="preserve"> 433</w:t>
      </w:r>
      <w:r w:rsidRPr="00BE1CFE">
        <w:rPr>
          <w:b/>
          <w:bCs/>
          <w:vertAlign w:val="superscript"/>
          <w:rtl/>
        </w:rPr>
        <w:footnoteReference w:id="297"/>
      </w:r>
      <w:r w:rsidRPr="00BE1CFE">
        <w:rPr>
          <w:b/>
          <w:bCs/>
          <w:rtl/>
        </w:rPr>
        <w:t xml:space="preserve"> ויחידות </w:t>
      </w:r>
      <w:r w:rsidRPr="00BE1CFE">
        <w:rPr>
          <w:rFonts w:hint="cs"/>
          <w:b/>
          <w:bCs/>
          <w:rtl/>
        </w:rPr>
        <w:t>מבצעיות</w:t>
      </w:r>
      <w:r w:rsidRPr="00BE1CFE">
        <w:rPr>
          <w:b/>
          <w:bCs/>
          <w:rtl/>
        </w:rPr>
        <w:t xml:space="preserve"> מרחביות</w:t>
      </w:r>
      <w:r w:rsidRPr="00BE1CFE">
        <w:rPr>
          <w:b/>
          <w:bCs/>
          <w:vertAlign w:val="superscript"/>
          <w:rtl/>
        </w:rPr>
        <w:footnoteReference w:id="298"/>
      </w:r>
      <w:r w:rsidRPr="00BE1CFE">
        <w:rPr>
          <w:b/>
          <w:bCs/>
          <w:rtl/>
        </w:rPr>
        <w:t xml:space="preserve">). </w:t>
      </w:r>
      <w:r w:rsidRPr="00BE1CFE">
        <w:rPr>
          <w:rFonts w:hint="eastAsia"/>
          <w:b/>
          <w:bCs/>
          <w:rtl/>
        </w:rPr>
        <w:t>היחידות</w:t>
      </w:r>
      <w:r w:rsidRPr="00BE1CFE">
        <w:rPr>
          <w:b/>
          <w:bCs/>
          <w:rtl/>
        </w:rPr>
        <w:t xml:space="preserve"> המבצעיות </w:t>
      </w:r>
      <w:r w:rsidRPr="00BE1CFE">
        <w:rPr>
          <w:rFonts w:hint="cs"/>
          <w:b/>
          <w:bCs/>
          <w:rtl/>
        </w:rPr>
        <w:t>עוסקות</w:t>
      </w:r>
      <w:r w:rsidRPr="00BE1CFE">
        <w:rPr>
          <w:b/>
          <w:bCs/>
          <w:rtl/>
        </w:rPr>
        <w:t xml:space="preserve"> </w:t>
      </w:r>
      <w:r w:rsidRPr="00BE1CFE">
        <w:rPr>
          <w:rFonts w:hint="cs"/>
          <w:b/>
          <w:bCs/>
          <w:rtl/>
        </w:rPr>
        <w:t xml:space="preserve">בתחום </w:t>
      </w:r>
      <w:r w:rsidRPr="00BE1CFE">
        <w:rPr>
          <w:b/>
          <w:bCs/>
          <w:rtl/>
        </w:rPr>
        <w:t xml:space="preserve">הרגיש ביותר הנוגע </w:t>
      </w:r>
      <w:r w:rsidRPr="00BE1CFE">
        <w:rPr>
          <w:rFonts w:hint="eastAsia"/>
          <w:b/>
          <w:bCs/>
          <w:rtl/>
        </w:rPr>
        <w:t>ל</w:t>
      </w:r>
      <w:r w:rsidRPr="00BE1CFE">
        <w:rPr>
          <w:rFonts w:hint="cs"/>
          <w:b/>
          <w:bCs/>
          <w:rtl/>
        </w:rPr>
        <w:t xml:space="preserve">ביצוע </w:t>
      </w:r>
      <w:r w:rsidRPr="00BE1CFE">
        <w:rPr>
          <w:rFonts w:hint="eastAsia"/>
          <w:b/>
          <w:bCs/>
          <w:rtl/>
        </w:rPr>
        <w:t>האזנות</w:t>
      </w:r>
      <w:r w:rsidRPr="00BE1CFE">
        <w:rPr>
          <w:b/>
          <w:bCs/>
          <w:rtl/>
        </w:rPr>
        <w:t xml:space="preserve"> סתר ו</w:t>
      </w:r>
      <w:r w:rsidRPr="00BE1CFE">
        <w:rPr>
          <w:rFonts w:hint="cs"/>
          <w:b/>
          <w:bCs/>
          <w:rtl/>
        </w:rPr>
        <w:t>ל</w:t>
      </w:r>
      <w:r w:rsidRPr="00BE1CFE">
        <w:rPr>
          <w:b/>
          <w:bCs/>
          <w:rtl/>
        </w:rPr>
        <w:t xml:space="preserve">שימוש בנתוני תקשורת. </w:t>
      </w:r>
      <w:r w:rsidRPr="00BE1CFE">
        <w:rPr>
          <w:rFonts w:hint="eastAsia"/>
          <w:b/>
          <w:bCs/>
          <w:rtl/>
        </w:rPr>
        <w:t>נמצא</w:t>
      </w:r>
      <w:r w:rsidRPr="00BE1CFE">
        <w:rPr>
          <w:b/>
          <w:bCs/>
          <w:rtl/>
        </w:rPr>
        <w:t xml:space="preserve"> כי </w:t>
      </w:r>
      <w:r w:rsidRPr="00BE1CFE">
        <w:rPr>
          <w:rFonts w:hint="cs"/>
          <w:b/>
          <w:bCs/>
          <w:rtl/>
        </w:rPr>
        <w:t xml:space="preserve">מטה חטיבת הסייבר </w:t>
      </w:r>
      <w:r w:rsidRPr="00BE1CFE">
        <w:rPr>
          <w:b/>
          <w:bCs/>
          <w:rtl/>
        </w:rPr>
        <w:t xml:space="preserve">כמעט שלא </w:t>
      </w:r>
      <w:r w:rsidRPr="00BE1CFE">
        <w:rPr>
          <w:rFonts w:hint="eastAsia"/>
          <w:b/>
          <w:bCs/>
          <w:rtl/>
        </w:rPr>
        <w:t>ביצע</w:t>
      </w:r>
      <w:r w:rsidRPr="00BE1CFE">
        <w:rPr>
          <w:b/>
          <w:bCs/>
          <w:rtl/>
        </w:rPr>
        <w:t xml:space="preserve"> בקרות על פעילות היחידות המבצעיות בחטיבת הסייבר </w:t>
      </w:r>
      <w:r w:rsidRPr="00BE1CFE">
        <w:rPr>
          <w:rFonts w:hint="eastAsia"/>
          <w:b/>
          <w:bCs/>
          <w:rtl/>
        </w:rPr>
        <w:t>בתחומים</w:t>
      </w:r>
      <w:r w:rsidRPr="00BE1CFE">
        <w:rPr>
          <w:b/>
          <w:bCs/>
          <w:rtl/>
        </w:rPr>
        <w:t xml:space="preserve"> האמורים (למעט </w:t>
      </w:r>
      <w:r w:rsidRPr="00BE1CFE">
        <w:rPr>
          <w:rFonts w:hint="cs"/>
          <w:b/>
          <w:bCs/>
          <w:rtl/>
        </w:rPr>
        <w:t>שלוש בקרות</w:t>
      </w:r>
      <w:r w:rsidRPr="00BE1CFE">
        <w:rPr>
          <w:b/>
          <w:bCs/>
          <w:rtl/>
        </w:rPr>
        <w:t xml:space="preserve">). </w:t>
      </w:r>
      <w:r w:rsidRPr="00BE1CFE">
        <w:rPr>
          <w:rFonts w:hint="eastAsia"/>
          <w:b/>
          <w:bCs/>
          <w:rtl/>
        </w:rPr>
        <w:t>בפועל</w:t>
      </w:r>
      <w:r w:rsidRPr="00BE1CFE">
        <w:rPr>
          <w:rFonts w:hint="cs"/>
          <w:b/>
          <w:bCs/>
          <w:rtl/>
        </w:rPr>
        <w:t>,</w:t>
      </w:r>
      <w:r w:rsidRPr="00BE1CFE">
        <w:rPr>
          <w:b/>
          <w:bCs/>
          <w:rtl/>
        </w:rPr>
        <w:t xml:space="preserve"> </w:t>
      </w:r>
      <w:r w:rsidRPr="00BE1CFE">
        <w:rPr>
          <w:rFonts w:hint="eastAsia"/>
          <w:b/>
          <w:bCs/>
          <w:rtl/>
        </w:rPr>
        <w:t>כמעט</w:t>
      </w:r>
      <w:r w:rsidRPr="00BE1CFE">
        <w:rPr>
          <w:b/>
          <w:bCs/>
          <w:rtl/>
        </w:rPr>
        <w:t xml:space="preserve"> </w:t>
      </w:r>
      <w:r w:rsidRPr="00BE1CFE">
        <w:rPr>
          <w:rFonts w:hint="eastAsia"/>
          <w:b/>
          <w:bCs/>
          <w:rtl/>
        </w:rPr>
        <w:t>כל</w:t>
      </w:r>
      <w:r w:rsidRPr="00BE1CFE">
        <w:rPr>
          <w:b/>
          <w:bCs/>
          <w:rtl/>
        </w:rPr>
        <w:t xml:space="preserve"> </w:t>
      </w:r>
      <w:r w:rsidRPr="00BE1CFE">
        <w:rPr>
          <w:rFonts w:hint="eastAsia"/>
          <w:b/>
          <w:bCs/>
          <w:rtl/>
        </w:rPr>
        <w:t>הבקרות</w:t>
      </w:r>
      <w:r w:rsidRPr="00BE1CFE">
        <w:rPr>
          <w:b/>
          <w:bCs/>
          <w:rtl/>
        </w:rPr>
        <w:t xml:space="preserve"> </w:t>
      </w:r>
      <w:r w:rsidRPr="00BE1CFE">
        <w:rPr>
          <w:rFonts w:hint="eastAsia"/>
          <w:b/>
          <w:bCs/>
          <w:rtl/>
        </w:rPr>
        <w:t>ש</w:t>
      </w:r>
      <w:r w:rsidRPr="00BE1CFE">
        <w:rPr>
          <w:rFonts w:hint="cs"/>
          <w:b/>
          <w:bCs/>
          <w:rtl/>
        </w:rPr>
        <w:t>ל המשטרה</w:t>
      </w:r>
      <w:r w:rsidRPr="00BE1CFE">
        <w:rPr>
          <w:b/>
          <w:bCs/>
          <w:rtl/>
        </w:rPr>
        <w:t xml:space="preserve"> </w:t>
      </w:r>
      <w:r w:rsidRPr="00BE1CFE">
        <w:rPr>
          <w:rFonts w:hint="eastAsia"/>
          <w:b/>
          <w:bCs/>
          <w:rtl/>
        </w:rPr>
        <w:t>בתחום</w:t>
      </w:r>
      <w:r w:rsidRPr="00BE1CFE">
        <w:rPr>
          <w:b/>
          <w:bCs/>
          <w:rtl/>
        </w:rPr>
        <w:t xml:space="preserve"> </w:t>
      </w:r>
      <w:r w:rsidRPr="00BE1CFE">
        <w:rPr>
          <w:rFonts w:hint="eastAsia"/>
          <w:b/>
          <w:bCs/>
          <w:rtl/>
        </w:rPr>
        <w:t>זה</w:t>
      </w:r>
      <w:r w:rsidRPr="00BE1CFE">
        <w:rPr>
          <w:b/>
          <w:bCs/>
          <w:rtl/>
        </w:rPr>
        <w:t xml:space="preserve"> </w:t>
      </w:r>
      <w:r w:rsidRPr="00BE1CFE">
        <w:rPr>
          <w:rFonts w:hint="cs"/>
          <w:b/>
          <w:bCs/>
          <w:rtl/>
        </w:rPr>
        <w:t xml:space="preserve">נעשו </w:t>
      </w:r>
      <w:r w:rsidRPr="00BE1CFE">
        <w:rPr>
          <w:rFonts w:hint="eastAsia"/>
          <w:b/>
          <w:bCs/>
          <w:rtl/>
        </w:rPr>
        <w:t>ב</w:t>
      </w:r>
      <w:r w:rsidRPr="00BE1CFE">
        <w:rPr>
          <w:rFonts w:hint="cs"/>
          <w:b/>
          <w:bCs/>
          <w:rtl/>
        </w:rPr>
        <w:t>נוגע</w:t>
      </w:r>
      <w:r w:rsidRPr="00BE1CFE">
        <w:rPr>
          <w:b/>
          <w:bCs/>
          <w:rtl/>
        </w:rPr>
        <w:t xml:space="preserve"> </w:t>
      </w:r>
      <w:r w:rsidRPr="00BE1CFE">
        <w:rPr>
          <w:rFonts w:hint="eastAsia"/>
          <w:b/>
          <w:bCs/>
          <w:rtl/>
        </w:rPr>
        <w:t>לפעילות</w:t>
      </w:r>
      <w:r w:rsidRPr="00BE1CFE">
        <w:rPr>
          <w:b/>
          <w:bCs/>
          <w:rtl/>
        </w:rPr>
        <w:t xml:space="preserve"> </w:t>
      </w:r>
      <w:r w:rsidRPr="00BE1CFE">
        <w:rPr>
          <w:rFonts w:hint="eastAsia"/>
          <w:b/>
          <w:bCs/>
          <w:rtl/>
        </w:rPr>
        <w:t>המתקיימת</w:t>
      </w:r>
      <w:r w:rsidRPr="00BE1CFE">
        <w:rPr>
          <w:b/>
          <w:bCs/>
          <w:rtl/>
        </w:rPr>
        <w:t xml:space="preserve"> </w:t>
      </w:r>
      <w:r w:rsidRPr="00BE1CFE">
        <w:rPr>
          <w:rFonts w:hint="eastAsia"/>
          <w:b/>
          <w:bCs/>
          <w:rtl/>
        </w:rPr>
        <w:t>במערך</w:t>
      </w:r>
      <w:r w:rsidRPr="00BE1CFE">
        <w:rPr>
          <w:b/>
          <w:bCs/>
          <w:rtl/>
        </w:rPr>
        <w:t xml:space="preserve"> </w:t>
      </w:r>
      <w:r w:rsidRPr="00BE1CFE">
        <w:rPr>
          <w:rFonts w:hint="eastAsia"/>
          <w:b/>
          <w:bCs/>
          <w:rtl/>
        </w:rPr>
        <w:t>הפרוס</w:t>
      </w:r>
      <w:r w:rsidRPr="00BE1CFE">
        <w:rPr>
          <w:b/>
          <w:bCs/>
          <w:rtl/>
        </w:rPr>
        <w:t>. כמו כן נמצא כי הנחיית החטיבה בנושא פיקוח ובקרה א</w:t>
      </w:r>
      <w:r w:rsidRPr="00BE1CFE">
        <w:rPr>
          <w:rFonts w:hint="cs"/>
          <w:b/>
          <w:bCs/>
          <w:rtl/>
        </w:rPr>
        <w:t>ינה</w:t>
      </w:r>
      <w:r w:rsidRPr="00BE1CFE">
        <w:rPr>
          <w:b/>
          <w:bCs/>
          <w:rtl/>
        </w:rPr>
        <w:t xml:space="preserve"> כוללת הוראה המחייבת </w:t>
      </w:r>
      <w:r w:rsidRPr="00BE1CFE">
        <w:rPr>
          <w:rFonts w:hint="cs"/>
          <w:b/>
          <w:bCs/>
          <w:rtl/>
        </w:rPr>
        <w:t>ביצוע</w:t>
      </w:r>
      <w:r w:rsidRPr="00BE1CFE">
        <w:rPr>
          <w:b/>
          <w:bCs/>
          <w:rtl/>
        </w:rPr>
        <w:t xml:space="preserve"> פיקוח ובקרה על היחידות המבצעיות בחטיבה</w:t>
      </w:r>
      <w:r w:rsidRPr="00BE1CFE">
        <w:rPr>
          <w:rFonts w:hint="cs"/>
          <w:b/>
          <w:bCs/>
          <w:rtl/>
        </w:rPr>
        <w:t>,</w:t>
      </w:r>
      <w:r w:rsidRPr="00BE1CFE">
        <w:rPr>
          <w:b/>
          <w:bCs/>
          <w:rtl/>
        </w:rPr>
        <w:t xml:space="preserve"> למעט הוראה המתייחסת </w:t>
      </w:r>
      <w:r w:rsidRPr="00BE1CFE">
        <w:rPr>
          <w:rFonts w:hint="cs"/>
          <w:b/>
          <w:bCs/>
          <w:rtl/>
        </w:rPr>
        <w:t>לבקרה</w:t>
      </w:r>
      <w:r w:rsidRPr="00BE1CFE">
        <w:rPr>
          <w:b/>
          <w:bCs/>
          <w:rtl/>
        </w:rPr>
        <w:t xml:space="preserve"> על </w:t>
      </w:r>
      <w:r w:rsidRPr="00BE1CFE">
        <w:rPr>
          <w:rFonts w:hint="eastAsia"/>
          <w:b/>
          <w:bCs/>
          <w:rtl/>
        </w:rPr>
        <w:t>המשל</w:t>
      </w:r>
      <w:r w:rsidRPr="00BE1CFE">
        <w:rPr>
          <w:b/>
          <w:bCs/>
          <w:rtl/>
        </w:rPr>
        <w:t>"ט והמוקד הטכנו-</w:t>
      </w:r>
      <w:r w:rsidRPr="00BE1CFE">
        <w:rPr>
          <w:rFonts w:hint="eastAsia"/>
          <w:b/>
          <w:bCs/>
          <w:rtl/>
        </w:rPr>
        <w:t>סיגינטי</w:t>
      </w:r>
      <w:r w:rsidRPr="00BE1CFE">
        <w:rPr>
          <w:b/>
          <w:bCs/>
          <w:rtl/>
        </w:rPr>
        <w:t>.</w:t>
      </w:r>
      <w:r w:rsidRPr="00BE1CFE">
        <w:rPr>
          <w:rFonts w:hint="cs"/>
          <w:b/>
          <w:bCs/>
          <w:rtl/>
        </w:rPr>
        <w:t xml:space="preserve"> </w:t>
      </w:r>
    </w:p>
    <w:p w:rsidR="004B50FC" w:rsidRDefault="004B50FC" w:rsidP="00E2380D">
      <w:pPr>
        <w:spacing w:line="269" w:lineRule="auto"/>
        <w:ind w:left="423"/>
        <w:rPr>
          <w:sz w:val="16"/>
          <w:szCs w:val="16"/>
          <w:rtl/>
        </w:rPr>
      </w:pPr>
    </w:p>
    <w:p w:rsidR="00E50A30" w:rsidRPr="00BE1CFE" w:rsidRDefault="00E50A30" w:rsidP="00E2380D">
      <w:pPr>
        <w:spacing w:line="269" w:lineRule="auto"/>
        <w:ind w:left="423"/>
        <w:rPr>
          <w:rtl/>
        </w:rPr>
      </w:pPr>
      <w:r w:rsidRPr="00BE1CFE">
        <w:rPr>
          <w:rFonts w:hint="cs"/>
          <w:rtl/>
        </w:rPr>
        <w:t>ה</w:t>
      </w:r>
      <w:r w:rsidRPr="00BE1CFE">
        <w:rPr>
          <w:rFonts w:hint="eastAsia"/>
          <w:rtl/>
        </w:rPr>
        <w:t>משטר</w:t>
      </w:r>
      <w:r w:rsidRPr="00BE1CFE">
        <w:rPr>
          <w:rFonts w:hint="cs"/>
          <w:rtl/>
        </w:rPr>
        <w:t>ה</w:t>
      </w:r>
      <w:r w:rsidRPr="00BE1CFE">
        <w:rPr>
          <w:rtl/>
        </w:rPr>
        <w:t xml:space="preserve"> </w:t>
      </w:r>
      <w:r w:rsidRPr="00BE1CFE">
        <w:rPr>
          <w:rFonts w:hint="cs"/>
          <w:rtl/>
        </w:rPr>
        <w:t xml:space="preserve">מסרה בתשובתה כי </w:t>
      </w:r>
      <w:r w:rsidRPr="00BE1CFE">
        <w:rPr>
          <w:rFonts w:hint="eastAsia"/>
          <w:rtl/>
        </w:rPr>
        <w:t>מדור</w:t>
      </w:r>
      <w:r w:rsidRPr="00BE1CFE">
        <w:rPr>
          <w:rtl/>
        </w:rPr>
        <w:t xml:space="preserve"> הכוונה מקצועית מבצע בקרות למערך הפרוס ולא ליחידות המבצעיות של החטיבה </w:t>
      </w:r>
      <w:r w:rsidRPr="00BE1CFE">
        <w:rPr>
          <w:rFonts w:hint="cs"/>
          <w:rtl/>
        </w:rPr>
        <w:t xml:space="preserve">בשל </w:t>
      </w:r>
      <w:r w:rsidRPr="00BE1CFE">
        <w:rPr>
          <w:rFonts w:hint="eastAsia"/>
          <w:rtl/>
        </w:rPr>
        <w:t>אילוצי</w:t>
      </w:r>
      <w:r w:rsidRPr="00BE1CFE">
        <w:rPr>
          <w:rtl/>
        </w:rPr>
        <w:t xml:space="preserve"> </w:t>
      </w:r>
      <w:r w:rsidRPr="00BE1CFE">
        <w:rPr>
          <w:rFonts w:hint="eastAsia"/>
          <w:rtl/>
        </w:rPr>
        <w:t>כוח</w:t>
      </w:r>
      <w:r w:rsidRPr="00BE1CFE">
        <w:rPr>
          <w:rtl/>
        </w:rPr>
        <w:t xml:space="preserve"> אדם. </w:t>
      </w:r>
      <w:r w:rsidRPr="00BE1CFE">
        <w:rPr>
          <w:rFonts w:hint="cs"/>
          <w:rtl/>
        </w:rPr>
        <w:t xml:space="preserve">נוסף על כך, </w:t>
      </w:r>
      <w:r w:rsidRPr="00BE1CFE">
        <w:rPr>
          <w:rtl/>
        </w:rPr>
        <w:t>הוחלט ע</w:t>
      </w:r>
      <w:r w:rsidRPr="00BE1CFE">
        <w:rPr>
          <w:rFonts w:hint="eastAsia"/>
          <w:rtl/>
        </w:rPr>
        <w:t>ל</w:t>
      </w:r>
      <w:r w:rsidRPr="00BE1CFE">
        <w:rPr>
          <w:rtl/>
        </w:rPr>
        <w:t xml:space="preserve"> </w:t>
      </w:r>
      <w:r w:rsidRPr="00BE1CFE">
        <w:rPr>
          <w:rFonts w:hint="cs"/>
          <w:rtl/>
        </w:rPr>
        <w:t>י</w:t>
      </w:r>
      <w:r w:rsidRPr="00BE1CFE">
        <w:rPr>
          <w:rFonts w:hint="eastAsia"/>
          <w:rtl/>
        </w:rPr>
        <w:t>די</w:t>
      </w:r>
      <w:r w:rsidRPr="00BE1CFE">
        <w:rPr>
          <w:rtl/>
        </w:rPr>
        <w:t xml:space="preserve"> פיקוד החטיבה כי בכל הנוגע ליחידות </w:t>
      </w:r>
      <w:r w:rsidRPr="00BE1CFE">
        <w:rPr>
          <w:rFonts w:hint="cs"/>
          <w:rtl/>
        </w:rPr>
        <w:t xml:space="preserve">המבצעיות </w:t>
      </w:r>
      <w:r w:rsidRPr="00BE1CFE">
        <w:rPr>
          <w:rFonts w:hint="eastAsia"/>
          <w:rtl/>
        </w:rPr>
        <w:t>המיוחדות</w:t>
      </w:r>
      <w:r w:rsidRPr="00BE1CFE">
        <w:rPr>
          <w:rtl/>
        </w:rPr>
        <w:t xml:space="preserve"> </w:t>
      </w:r>
      <w:r w:rsidRPr="00BE1CFE">
        <w:rPr>
          <w:rFonts w:hint="eastAsia"/>
          <w:rtl/>
        </w:rPr>
        <w:t>בחטיבה</w:t>
      </w:r>
      <w:r w:rsidRPr="00BE1CFE">
        <w:rPr>
          <w:rtl/>
        </w:rPr>
        <w:t xml:space="preserve">, </w:t>
      </w:r>
      <w:r w:rsidRPr="00BE1CFE">
        <w:rPr>
          <w:rFonts w:hint="eastAsia"/>
          <w:rtl/>
        </w:rPr>
        <w:t>הבקרות</w:t>
      </w:r>
      <w:r w:rsidRPr="00BE1CFE">
        <w:rPr>
          <w:rtl/>
        </w:rPr>
        <w:t xml:space="preserve"> </w:t>
      </w:r>
      <w:r w:rsidRPr="00BE1CFE">
        <w:rPr>
          <w:rFonts w:hint="eastAsia"/>
          <w:rtl/>
        </w:rPr>
        <w:t>יבוצעו</w:t>
      </w:r>
      <w:r w:rsidRPr="00BE1CFE">
        <w:rPr>
          <w:rtl/>
        </w:rPr>
        <w:t xml:space="preserve"> </w:t>
      </w:r>
      <w:r w:rsidRPr="00BE1CFE">
        <w:rPr>
          <w:rFonts w:hint="eastAsia"/>
          <w:rtl/>
        </w:rPr>
        <w:t>על</w:t>
      </w:r>
      <w:r w:rsidRPr="00BE1CFE">
        <w:rPr>
          <w:rtl/>
        </w:rPr>
        <w:t xml:space="preserve"> </w:t>
      </w:r>
      <w:r w:rsidRPr="00BE1CFE">
        <w:rPr>
          <w:rFonts w:hint="eastAsia"/>
          <w:rtl/>
        </w:rPr>
        <w:t>ידי</w:t>
      </w:r>
      <w:r w:rsidRPr="00BE1CFE">
        <w:rPr>
          <w:rtl/>
        </w:rPr>
        <w:t xml:space="preserve"> </w:t>
      </w:r>
      <w:r w:rsidRPr="00BE1CFE">
        <w:rPr>
          <w:rFonts w:hint="eastAsia"/>
          <w:rtl/>
        </w:rPr>
        <w:t>מפקדי</w:t>
      </w:r>
      <w:r w:rsidRPr="00BE1CFE">
        <w:rPr>
          <w:rtl/>
        </w:rPr>
        <w:t xml:space="preserve"> היחידות. </w:t>
      </w:r>
      <w:r w:rsidRPr="00BE1CFE">
        <w:rPr>
          <w:rFonts w:hint="cs"/>
          <w:rtl/>
        </w:rPr>
        <w:t>עוד מסרה המשטרה כי היא</w:t>
      </w:r>
      <w:r w:rsidRPr="00BE1CFE">
        <w:rPr>
          <w:rtl/>
        </w:rPr>
        <w:t xml:space="preserve"> </w:t>
      </w:r>
      <w:r w:rsidRPr="00BE1CFE">
        <w:rPr>
          <w:rFonts w:hint="eastAsia"/>
          <w:rtl/>
        </w:rPr>
        <w:t>מייחסת</w:t>
      </w:r>
      <w:r w:rsidRPr="00BE1CFE">
        <w:rPr>
          <w:rtl/>
        </w:rPr>
        <w:t xml:space="preserve"> </w:t>
      </w:r>
      <w:r w:rsidRPr="00BE1CFE">
        <w:rPr>
          <w:rFonts w:hint="eastAsia"/>
          <w:rtl/>
        </w:rPr>
        <w:t>חשיבות</w:t>
      </w:r>
      <w:r w:rsidRPr="00BE1CFE">
        <w:rPr>
          <w:rtl/>
        </w:rPr>
        <w:t xml:space="preserve"> </w:t>
      </w:r>
      <w:r w:rsidRPr="00BE1CFE">
        <w:rPr>
          <w:rFonts w:hint="eastAsia"/>
          <w:rtl/>
        </w:rPr>
        <w:t>רבה</w:t>
      </w:r>
      <w:r w:rsidRPr="00BE1CFE">
        <w:rPr>
          <w:rtl/>
        </w:rPr>
        <w:t xml:space="preserve"> </w:t>
      </w:r>
      <w:r w:rsidRPr="00BE1CFE">
        <w:rPr>
          <w:rFonts w:hint="eastAsia"/>
          <w:rtl/>
        </w:rPr>
        <w:t>לתהליכי</w:t>
      </w:r>
      <w:r w:rsidRPr="00BE1CFE">
        <w:rPr>
          <w:rtl/>
        </w:rPr>
        <w:t xml:space="preserve"> </w:t>
      </w:r>
      <w:r w:rsidRPr="00BE1CFE">
        <w:rPr>
          <w:rFonts w:hint="eastAsia"/>
          <w:rtl/>
        </w:rPr>
        <w:t>פיקוח</w:t>
      </w:r>
      <w:r w:rsidRPr="00BE1CFE">
        <w:rPr>
          <w:rtl/>
        </w:rPr>
        <w:t xml:space="preserve"> </w:t>
      </w:r>
      <w:r w:rsidRPr="00BE1CFE">
        <w:rPr>
          <w:rFonts w:hint="eastAsia"/>
          <w:rtl/>
        </w:rPr>
        <w:t>ובקרה</w:t>
      </w:r>
      <w:r w:rsidRPr="00BE1CFE">
        <w:rPr>
          <w:rtl/>
        </w:rPr>
        <w:t xml:space="preserve"> </w:t>
      </w:r>
      <w:r w:rsidRPr="00BE1CFE">
        <w:rPr>
          <w:rFonts w:hint="eastAsia"/>
          <w:rtl/>
        </w:rPr>
        <w:t>בתחום</w:t>
      </w:r>
      <w:r w:rsidRPr="00BE1CFE">
        <w:rPr>
          <w:rtl/>
        </w:rPr>
        <w:t xml:space="preserve"> </w:t>
      </w:r>
      <w:r w:rsidRPr="00BE1CFE">
        <w:rPr>
          <w:rFonts w:hint="eastAsia"/>
          <w:rtl/>
        </w:rPr>
        <w:t>הסיגינט</w:t>
      </w:r>
      <w:r w:rsidRPr="00BE1CFE">
        <w:rPr>
          <w:rtl/>
        </w:rPr>
        <w:t xml:space="preserve"> </w:t>
      </w:r>
      <w:r w:rsidRPr="00BE1CFE">
        <w:rPr>
          <w:rFonts w:hint="eastAsia"/>
          <w:rtl/>
        </w:rPr>
        <w:t>סייבר</w:t>
      </w:r>
      <w:r w:rsidRPr="00BE1CFE">
        <w:rPr>
          <w:rFonts w:hint="cs"/>
          <w:rtl/>
        </w:rPr>
        <w:t>,</w:t>
      </w:r>
      <w:r w:rsidRPr="00BE1CFE">
        <w:rPr>
          <w:rtl/>
        </w:rPr>
        <w:t xml:space="preserve"> </w:t>
      </w:r>
      <w:r w:rsidRPr="00BE1CFE">
        <w:rPr>
          <w:rFonts w:hint="cs"/>
          <w:rtl/>
        </w:rPr>
        <w:t>ו</w:t>
      </w:r>
      <w:r w:rsidRPr="00BE1CFE">
        <w:rPr>
          <w:rFonts w:hint="eastAsia"/>
          <w:rtl/>
        </w:rPr>
        <w:t>ל</w:t>
      </w:r>
      <w:r w:rsidRPr="00BE1CFE">
        <w:rPr>
          <w:rFonts w:hint="cs"/>
          <w:rtl/>
        </w:rPr>
        <w:t>צ</w:t>
      </w:r>
      <w:r w:rsidRPr="00BE1CFE">
        <w:rPr>
          <w:rFonts w:hint="eastAsia"/>
          <w:rtl/>
        </w:rPr>
        <w:t>ו</w:t>
      </w:r>
      <w:r w:rsidRPr="00BE1CFE">
        <w:rPr>
          <w:rFonts w:hint="cs"/>
          <w:rtl/>
        </w:rPr>
        <w:t>רך</w:t>
      </w:r>
      <w:r w:rsidRPr="00BE1CFE">
        <w:rPr>
          <w:rtl/>
        </w:rPr>
        <w:t xml:space="preserve"> </w:t>
      </w:r>
      <w:r w:rsidRPr="00BE1CFE">
        <w:rPr>
          <w:rFonts w:hint="eastAsia"/>
          <w:rtl/>
        </w:rPr>
        <w:t>כך</w:t>
      </w:r>
      <w:r w:rsidRPr="00BE1CFE">
        <w:rPr>
          <w:rtl/>
        </w:rPr>
        <w:t xml:space="preserve"> </w:t>
      </w:r>
      <w:r w:rsidRPr="00BE1CFE">
        <w:rPr>
          <w:rFonts w:hint="eastAsia"/>
          <w:rtl/>
        </w:rPr>
        <w:t>מוסדו</w:t>
      </w:r>
      <w:r w:rsidRPr="00BE1CFE">
        <w:rPr>
          <w:rtl/>
        </w:rPr>
        <w:t xml:space="preserve"> </w:t>
      </w:r>
      <w:r w:rsidRPr="00BE1CFE">
        <w:rPr>
          <w:rFonts w:hint="eastAsia"/>
          <w:rtl/>
        </w:rPr>
        <w:t>לאורך</w:t>
      </w:r>
      <w:r w:rsidRPr="00BE1CFE">
        <w:rPr>
          <w:rtl/>
        </w:rPr>
        <w:t xml:space="preserve"> </w:t>
      </w:r>
      <w:r w:rsidRPr="00BE1CFE">
        <w:rPr>
          <w:rFonts w:hint="eastAsia"/>
          <w:rtl/>
        </w:rPr>
        <w:t>השנים</w:t>
      </w:r>
      <w:r w:rsidRPr="00BE1CFE">
        <w:rPr>
          <w:rtl/>
        </w:rPr>
        <w:t xml:space="preserve"> </w:t>
      </w:r>
      <w:r w:rsidRPr="00BE1CFE">
        <w:rPr>
          <w:rFonts w:hint="eastAsia"/>
          <w:rtl/>
        </w:rPr>
        <w:t>תהליכי</w:t>
      </w:r>
      <w:r w:rsidRPr="00BE1CFE">
        <w:rPr>
          <w:rtl/>
        </w:rPr>
        <w:t xml:space="preserve"> </w:t>
      </w:r>
      <w:r w:rsidRPr="00BE1CFE">
        <w:rPr>
          <w:rFonts w:hint="eastAsia"/>
          <w:rtl/>
        </w:rPr>
        <w:t>פיקוח</w:t>
      </w:r>
      <w:r w:rsidRPr="00BE1CFE">
        <w:rPr>
          <w:rtl/>
        </w:rPr>
        <w:t xml:space="preserve"> </w:t>
      </w:r>
      <w:r w:rsidRPr="00BE1CFE">
        <w:rPr>
          <w:rFonts w:hint="eastAsia"/>
          <w:rtl/>
        </w:rPr>
        <w:t>ובקרה</w:t>
      </w:r>
      <w:r w:rsidRPr="00BE1CFE">
        <w:rPr>
          <w:rtl/>
        </w:rPr>
        <w:t xml:space="preserve"> </w:t>
      </w:r>
      <w:r w:rsidRPr="00BE1CFE">
        <w:rPr>
          <w:rFonts w:hint="eastAsia"/>
          <w:rtl/>
        </w:rPr>
        <w:t>הדוקים</w:t>
      </w:r>
      <w:r w:rsidRPr="00BE1CFE">
        <w:rPr>
          <w:rtl/>
        </w:rPr>
        <w:t xml:space="preserve">. </w:t>
      </w:r>
      <w:r w:rsidRPr="00BE1CFE">
        <w:rPr>
          <w:rFonts w:hint="eastAsia"/>
          <w:rtl/>
        </w:rPr>
        <w:t>מדובר</w:t>
      </w:r>
      <w:r w:rsidRPr="00BE1CFE">
        <w:rPr>
          <w:rtl/>
        </w:rPr>
        <w:t xml:space="preserve"> </w:t>
      </w:r>
      <w:r w:rsidRPr="00BE1CFE">
        <w:rPr>
          <w:rFonts w:hint="eastAsia"/>
          <w:rtl/>
        </w:rPr>
        <w:t>בבקרות</w:t>
      </w:r>
      <w:r w:rsidRPr="00BE1CFE">
        <w:rPr>
          <w:rtl/>
        </w:rPr>
        <w:t xml:space="preserve"> </w:t>
      </w:r>
      <w:r w:rsidRPr="00BE1CFE">
        <w:rPr>
          <w:rFonts w:hint="eastAsia"/>
          <w:rtl/>
        </w:rPr>
        <w:t>הכוללות</w:t>
      </w:r>
      <w:r w:rsidRPr="00BE1CFE">
        <w:rPr>
          <w:rtl/>
        </w:rPr>
        <w:t xml:space="preserve"> </w:t>
      </w:r>
      <w:r w:rsidR="001A0AF7">
        <w:rPr>
          <w:rFonts w:hint="cs"/>
          <w:rtl/>
        </w:rPr>
        <w:t>בחינת</w:t>
      </w:r>
      <w:r w:rsidRPr="00BE1CFE">
        <w:rPr>
          <w:rtl/>
        </w:rPr>
        <w:t xml:space="preserve"> </w:t>
      </w:r>
      <w:r w:rsidRPr="00BE1CFE">
        <w:rPr>
          <w:rFonts w:hint="eastAsia"/>
          <w:rtl/>
        </w:rPr>
        <w:t>תהליכי</w:t>
      </w:r>
      <w:r w:rsidRPr="00BE1CFE">
        <w:rPr>
          <w:rtl/>
        </w:rPr>
        <w:t xml:space="preserve"> </w:t>
      </w:r>
      <w:r w:rsidRPr="00BE1CFE">
        <w:rPr>
          <w:rFonts w:hint="eastAsia"/>
          <w:rtl/>
        </w:rPr>
        <w:t>עבודה</w:t>
      </w:r>
      <w:r w:rsidRPr="00BE1CFE">
        <w:rPr>
          <w:rtl/>
        </w:rPr>
        <w:t xml:space="preserve">, </w:t>
      </w:r>
      <w:r w:rsidRPr="00BE1CFE">
        <w:rPr>
          <w:rFonts w:hint="eastAsia"/>
          <w:rtl/>
        </w:rPr>
        <w:t>מערכות</w:t>
      </w:r>
      <w:r w:rsidRPr="00BE1CFE">
        <w:rPr>
          <w:rtl/>
        </w:rPr>
        <w:t xml:space="preserve"> </w:t>
      </w:r>
      <w:r w:rsidRPr="00BE1CFE">
        <w:rPr>
          <w:rFonts w:hint="eastAsia"/>
          <w:rtl/>
        </w:rPr>
        <w:t>טכנולוגיות</w:t>
      </w:r>
      <w:r w:rsidRPr="00BE1CFE">
        <w:rPr>
          <w:rtl/>
        </w:rPr>
        <w:t xml:space="preserve"> </w:t>
      </w:r>
      <w:r w:rsidRPr="00BE1CFE">
        <w:rPr>
          <w:rFonts w:hint="eastAsia"/>
          <w:rtl/>
        </w:rPr>
        <w:t>ובקרות</w:t>
      </w:r>
      <w:r w:rsidRPr="00BE1CFE">
        <w:rPr>
          <w:rtl/>
        </w:rPr>
        <w:t xml:space="preserve"> </w:t>
      </w:r>
      <w:r w:rsidRPr="00BE1CFE">
        <w:rPr>
          <w:rFonts w:hint="eastAsia"/>
          <w:rtl/>
        </w:rPr>
        <w:t>פיקודיות</w:t>
      </w:r>
      <w:r w:rsidRPr="00BE1CFE">
        <w:rPr>
          <w:rtl/>
        </w:rPr>
        <w:t xml:space="preserve"> </w:t>
      </w:r>
      <w:r w:rsidRPr="00BE1CFE">
        <w:rPr>
          <w:rFonts w:hint="eastAsia"/>
          <w:rtl/>
        </w:rPr>
        <w:t>נקודתיות</w:t>
      </w:r>
      <w:r w:rsidRPr="00BE1CFE">
        <w:rPr>
          <w:rtl/>
        </w:rPr>
        <w:t>.</w:t>
      </w:r>
      <w:r w:rsidRPr="00BE1CFE">
        <w:rPr>
          <w:rFonts w:hint="cs"/>
          <w:rtl/>
        </w:rPr>
        <w:t xml:space="preserve"> המשטרה הוסיפה כי בין בשנים 2017 - 2021 בוצעו 236 בקרות במשל"ט במגוון נושאים שונים. </w:t>
      </w:r>
    </w:p>
    <w:p w:rsidR="004B50FC" w:rsidRDefault="004B50FC" w:rsidP="00E2380D">
      <w:pPr>
        <w:spacing w:line="269" w:lineRule="auto"/>
        <w:ind w:left="423"/>
        <w:rPr>
          <w:szCs w:val="20"/>
          <w:rtl/>
        </w:rPr>
      </w:pPr>
    </w:p>
    <w:p w:rsidR="00E50A30" w:rsidRPr="00BE1CFE" w:rsidRDefault="00E50A30" w:rsidP="00E2380D">
      <w:pPr>
        <w:spacing w:line="269" w:lineRule="auto"/>
        <w:ind w:left="423"/>
        <w:rPr>
          <w:b/>
          <w:bCs/>
          <w:rtl/>
        </w:rPr>
      </w:pPr>
      <w:r w:rsidRPr="00BE1CFE">
        <w:rPr>
          <w:rFonts w:hint="cs"/>
          <w:b/>
          <w:bCs/>
          <w:rtl/>
        </w:rPr>
        <w:t xml:space="preserve">על חטיבת הסייבר לתקן את הנחיותיה כך שיכללו חובת פיקוח ובקרה גם על היחידות המבצעיות הפועלות בחטיבה ולבצע בקרות סדירות גם ביחידות אלה. </w:t>
      </w:r>
    </w:p>
    <w:p w:rsidR="004B50FC" w:rsidRDefault="004B50FC" w:rsidP="00E2380D">
      <w:pPr>
        <w:spacing w:line="269" w:lineRule="auto"/>
        <w:ind w:left="423"/>
        <w:rPr>
          <w:sz w:val="16"/>
          <w:szCs w:val="16"/>
          <w:rtl/>
        </w:rPr>
      </w:pPr>
    </w:p>
    <w:p w:rsidR="00E50A30" w:rsidRDefault="00E50A30" w:rsidP="00E2380D">
      <w:pPr>
        <w:spacing w:line="269" w:lineRule="auto"/>
        <w:ind w:left="423"/>
        <w:rPr>
          <w:rtl/>
        </w:rPr>
      </w:pPr>
      <w:r w:rsidRPr="00BE1CFE">
        <w:rPr>
          <w:rFonts w:hint="cs"/>
          <w:rtl/>
        </w:rPr>
        <w:t xml:space="preserve">מהמשטרה נמסר כי </w:t>
      </w:r>
      <w:r w:rsidRPr="00BE1CFE">
        <w:rPr>
          <w:rtl/>
        </w:rPr>
        <w:t>במהלך שנת 2023 אישר ראש אח"</w:t>
      </w:r>
      <w:r w:rsidRPr="00BE1CFE">
        <w:rPr>
          <w:rFonts w:hint="cs"/>
          <w:rtl/>
        </w:rPr>
        <w:t>ם</w:t>
      </w:r>
      <w:r w:rsidRPr="00BE1CFE">
        <w:rPr>
          <w:rtl/>
        </w:rPr>
        <w:t xml:space="preserve"> </w:t>
      </w:r>
      <w:r w:rsidR="004B50FC">
        <w:rPr>
          <w:rFonts w:hint="cs"/>
          <w:rtl/>
        </w:rPr>
        <w:t>תפיסת הפעלה של ענף מסוים</w:t>
      </w:r>
      <w:r w:rsidRPr="00BE1CFE">
        <w:rPr>
          <w:rtl/>
        </w:rPr>
        <w:t xml:space="preserve">. כחלק מהצורך בתהליכי פיקוח ובקרה מוגברים הוחלט על הסטת </w:t>
      </w:r>
      <w:r w:rsidRPr="00BE1CFE">
        <w:rPr>
          <w:rFonts w:hint="cs"/>
          <w:rtl/>
        </w:rPr>
        <w:t>כמה</w:t>
      </w:r>
      <w:r w:rsidRPr="00BE1CFE">
        <w:rPr>
          <w:rtl/>
        </w:rPr>
        <w:t xml:space="preserve"> </w:t>
      </w:r>
      <w:r w:rsidRPr="00BE1CFE">
        <w:rPr>
          <w:rFonts w:hint="cs"/>
          <w:rtl/>
        </w:rPr>
        <w:t>משרות</w:t>
      </w:r>
      <w:r w:rsidRPr="00BE1CFE">
        <w:rPr>
          <w:rtl/>
        </w:rPr>
        <w:t xml:space="preserve"> למדור הכוונה מקצועית. מהלך זה מאפשר מוטת שליטה רחבה בין היתר בהיבטי פיקוח ובקרה על המערך הפרוס וביחידות המבצעיות של החטיבה. לאחר איוש </w:t>
      </w:r>
      <w:r w:rsidRPr="00BE1CFE">
        <w:rPr>
          <w:rFonts w:hint="cs"/>
          <w:rtl/>
        </w:rPr>
        <w:t>המשרות</w:t>
      </w:r>
      <w:r w:rsidRPr="00BE1CFE">
        <w:rPr>
          <w:rtl/>
        </w:rPr>
        <w:t xml:space="preserve"> יתחיל המטה ביישום המתווה החדש.</w:t>
      </w:r>
      <w:r w:rsidRPr="00BE1CFE">
        <w:rPr>
          <w:rFonts w:hint="cs"/>
          <w:rtl/>
        </w:rPr>
        <w:t xml:space="preserve"> כמו כן, בהתאם להמלצות דוח צוות מררי, חטיבת הסייבר גיבשה תפיסת הפעלה המסדירה את נושא הבקרה המקצועית והפיקודית על מפעילי המערכות הטכנולוגיות ביחידות המבצעיות של החטיבה: לכל אחת מהמערכות הללו יש </w:t>
      </w:r>
      <w:r>
        <w:rPr>
          <w:rFonts w:hint="cs"/>
          <w:rtl/>
        </w:rPr>
        <w:t>הנחיה</w:t>
      </w:r>
      <w:r w:rsidRPr="00BE1CFE">
        <w:rPr>
          <w:rFonts w:hint="cs"/>
          <w:rtl/>
        </w:rPr>
        <w:t xml:space="preserve"> שבמסגרתה מפורטות פעולות הבקרה הנדרשות, הגורם האחראי לביצוען והנושאים המבוקרים. תפיסת הפעלה זו מיושמת משנת 2024.</w:t>
      </w:r>
    </w:p>
    <w:p w:rsidR="009F28D5" w:rsidRPr="00BE1CFE" w:rsidRDefault="009F28D5" w:rsidP="00604C3D">
      <w:pPr>
        <w:spacing w:line="269" w:lineRule="auto"/>
        <w:rPr>
          <w:rtl/>
        </w:rPr>
      </w:pPr>
    </w:p>
    <w:p w:rsidR="00E50A30" w:rsidRPr="009F28D5" w:rsidRDefault="00E50A30" w:rsidP="00D44AC7">
      <w:pPr>
        <w:pStyle w:val="4"/>
        <w:numPr>
          <w:ilvl w:val="1"/>
          <w:numId w:val="76"/>
        </w:numPr>
        <w:spacing w:before="0" w:line="269" w:lineRule="auto"/>
        <w:ind w:left="423" w:hanging="425"/>
        <w:rPr>
          <w:rFonts w:eastAsia="Times New Roman"/>
          <w:rtl/>
        </w:rPr>
      </w:pPr>
      <w:bookmarkStart w:id="634" w:name="_Toc211521960"/>
      <w:bookmarkStart w:id="635" w:name="_Toc219110351"/>
      <w:bookmarkStart w:id="636" w:name="_Toc219113792"/>
      <w:bookmarkStart w:id="637" w:name="_Toc219286567"/>
      <w:r w:rsidRPr="009F28D5">
        <w:rPr>
          <w:rFonts w:eastAsia="Times New Roman" w:hint="cs"/>
          <w:rtl/>
        </w:rPr>
        <w:t>ה</w:t>
      </w:r>
      <w:r w:rsidRPr="009F28D5">
        <w:rPr>
          <w:rFonts w:eastAsia="Times New Roman" w:hint="eastAsia"/>
          <w:rtl/>
        </w:rPr>
        <w:t>מעקב</w:t>
      </w:r>
      <w:r w:rsidRPr="009F28D5">
        <w:rPr>
          <w:rFonts w:eastAsia="Times New Roman"/>
          <w:rtl/>
        </w:rPr>
        <w:t xml:space="preserve"> </w:t>
      </w:r>
      <w:r w:rsidRPr="009F28D5">
        <w:rPr>
          <w:rFonts w:eastAsia="Times New Roman" w:hint="eastAsia"/>
          <w:rtl/>
        </w:rPr>
        <w:t>אחר</w:t>
      </w:r>
      <w:r w:rsidRPr="009F28D5">
        <w:rPr>
          <w:rFonts w:eastAsia="Times New Roman"/>
          <w:rtl/>
        </w:rPr>
        <w:t xml:space="preserve"> </w:t>
      </w:r>
      <w:r w:rsidRPr="009F28D5">
        <w:rPr>
          <w:rFonts w:eastAsia="Times New Roman" w:hint="eastAsia"/>
          <w:rtl/>
        </w:rPr>
        <w:t>תיקון</w:t>
      </w:r>
      <w:r w:rsidRPr="009F28D5">
        <w:rPr>
          <w:rFonts w:eastAsia="Times New Roman"/>
          <w:rtl/>
        </w:rPr>
        <w:t xml:space="preserve"> </w:t>
      </w:r>
      <w:r w:rsidRPr="009F28D5">
        <w:rPr>
          <w:rFonts w:eastAsia="Times New Roman" w:hint="cs"/>
          <w:rtl/>
        </w:rPr>
        <w:t>ה</w:t>
      </w:r>
      <w:r w:rsidRPr="009F28D5">
        <w:rPr>
          <w:rFonts w:eastAsia="Times New Roman" w:hint="eastAsia"/>
          <w:rtl/>
        </w:rPr>
        <w:t>ליקויים</w:t>
      </w:r>
      <w:r w:rsidRPr="009F28D5">
        <w:rPr>
          <w:rFonts w:eastAsia="Times New Roman" w:hint="cs"/>
          <w:rtl/>
        </w:rPr>
        <w:t xml:space="preserve"> שעלו בבקרות</w:t>
      </w:r>
      <w:bookmarkEnd w:id="634"/>
      <w:bookmarkEnd w:id="635"/>
      <w:bookmarkEnd w:id="636"/>
      <w:bookmarkEnd w:id="637"/>
      <w:r w:rsidRPr="009F28D5">
        <w:rPr>
          <w:rFonts w:eastAsia="Times New Roman"/>
          <w:rtl/>
        </w:rPr>
        <w:t xml:space="preserve"> </w:t>
      </w:r>
    </w:p>
    <w:p w:rsidR="004B50FC" w:rsidRDefault="004B50FC" w:rsidP="00604C3D">
      <w:pPr>
        <w:spacing w:line="269" w:lineRule="auto"/>
        <w:contextualSpacing/>
        <w:rPr>
          <w:szCs w:val="20"/>
          <w:rtl/>
        </w:rPr>
      </w:pPr>
    </w:p>
    <w:p w:rsidR="00E50A30" w:rsidRPr="00BE1CFE" w:rsidRDefault="00E50A30" w:rsidP="00E2380D">
      <w:pPr>
        <w:spacing w:line="269" w:lineRule="auto"/>
        <w:ind w:left="423"/>
        <w:contextualSpacing/>
        <w:rPr>
          <w:rtl/>
        </w:rPr>
      </w:pPr>
      <w:r w:rsidRPr="00BE1CFE">
        <w:rPr>
          <w:rFonts w:hint="cs"/>
          <w:rtl/>
        </w:rPr>
        <w:t>בהנחיית העבודה בנושא פיקוח ובקרה הוגדרה "ביקורת מעקב" כסוג נפרד של בקרה מהותית, ונקבע שהגורמים הממונים מקצועית יבצעו בקרות מעקב אחר תיקון ליקויים שהתגלו בבקרות קודמות. כמו כן נקבע שמעקב אחר תיקון הליקויים שהתגלו בבקרות יתבצע לאחר כחודשיים מקבלת מענה היחידה המבוקרת.</w:t>
      </w:r>
    </w:p>
    <w:p w:rsidR="004B50FC" w:rsidRDefault="004B50FC" w:rsidP="00E2380D">
      <w:pPr>
        <w:spacing w:line="269" w:lineRule="auto"/>
        <w:ind w:left="423"/>
        <w:rPr>
          <w:szCs w:val="20"/>
          <w:rtl/>
        </w:rPr>
      </w:pPr>
    </w:p>
    <w:p w:rsidR="00E50A30" w:rsidRPr="00BE1CFE" w:rsidRDefault="00E50A30" w:rsidP="00E2380D">
      <w:pPr>
        <w:spacing w:line="269" w:lineRule="auto"/>
        <w:ind w:left="423"/>
        <w:rPr>
          <w:rtl/>
        </w:rPr>
      </w:pPr>
      <w:r w:rsidRPr="00BE1CFE">
        <w:rPr>
          <w:rFonts w:hint="cs"/>
          <w:rtl/>
        </w:rPr>
        <w:t>בינואר 2018, בישיבה בנושא בקרות באח"ם, עלה כי לא נעשה מעקב אחר תיקון הליקויים שהתגלו בבקרות, ובסיכום הישיבה הדגיש סגן ראש אח"ם את החשיבות הגבוהה של מעקב אחר תיקון ליקויים אלו. גם בסיכום בקרת ראש החטיבה לשנת 2020 נקבע במסגרת הפערים והנושאים לשיפור כי יש לוודא ביצוע של הפקת לקחים וטיפול בליקויים שהתגלו בבקרות המקצועיות והפיקודיות.</w:t>
      </w:r>
    </w:p>
    <w:p w:rsidR="004B50FC" w:rsidRDefault="004B50FC" w:rsidP="00E2380D">
      <w:pPr>
        <w:spacing w:line="269" w:lineRule="auto"/>
        <w:ind w:left="423"/>
        <w:rPr>
          <w:szCs w:val="20"/>
          <w:rtl/>
        </w:rPr>
      </w:pPr>
    </w:p>
    <w:p w:rsidR="00E50A30" w:rsidRPr="00BE1CFE" w:rsidRDefault="00E50A30" w:rsidP="00E2380D">
      <w:pPr>
        <w:spacing w:line="269" w:lineRule="auto"/>
        <w:ind w:left="423"/>
        <w:rPr>
          <w:rtl/>
        </w:rPr>
      </w:pPr>
      <w:r w:rsidRPr="00BE1CFE">
        <w:rPr>
          <w:rFonts w:hint="eastAsia"/>
          <w:rtl/>
        </w:rPr>
        <w:t>יצוין</w:t>
      </w:r>
      <w:r w:rsidRPr="00BE1CFE">
        <w:rPr>
          <w:rtl/>
        </w:rPr>
        <w:t xml:space="preserve"> </w:t>
      </w:r>
      <w:r w:rsidRPr="00BE1CFE">
        <w:rPr>
          <w:rFonts w:hint="eastAsia"/>
          <w:rtl/>
        </w:rPr>
        <w:t>כי</w:t>
      </w:r>
      <w:r w:rsidRPr="00BE1CFE">
        <w:rPr>
          <w:rtl/>
        </w:rPr>
        <w:t xml:space="preserve"> </w:t>
      </w:r>
      <w:r w:rsidRPr="00BE1CFE">
        <w:rPr>
          <w:rFonts w:hint="eastAsia"/>
          <w:rtl/>
        </w:rPr>
        <w:t>מדובר</w:t>
      </w:r>
      <w:r w:rsidRPr="00BE1CFE">
        <w:rPr>
          <w:rtl/>
        </w:rPr>
        <w:t xml:space="preserve"> </w:t>
      </w:r>
      <w:r w:rsidRPr="00BE1CFE">
        <w:rPr>
          <w:rFonts w:hint="eastAsia"/>
          <w:rtl/>
        </w:rPr>
        <w:t>במעקב</w:t>
      </w:r>
      <w:r w:rsidRPr="00BE1CFE">
        <w:rPr>
          <w:rtl/>
        </w:rPr>
        <w:t xml:space="preserve"> </w:t>
      </w:r>
      <w:r w:rsidRPr="00BE1CFE">
        <w:rPr>
          <w:rFonts w:hint="eastAsia"/>
          <w:rtl/>
        </w:rPr>
        <w:t>אחר</w:t>
      </w:r>
      <w:r w:rsidRPr="00BE1CFE">
        <w:rPr>
          <w:rtl/>
        </w:rPr>
        <w:t xml:space="preserve"> </w:t>
      </w:r>
      <w:r w:rsidRPr="00BE1CFE">
        <w:rPr>
          <w:rFonts w:hint="eastAsia"/>
          <w:rtl/>
        </w:rPr>
        <w:t>ליקויים</w:t>
      </w:r>
      <w:r w:rsidRPr="00BE1CFE">
        <w:rPr>
          <w:rtl/>
        </w:rPr>
        <w:t xml:space="preserve"> </w:t>
      </w:r>
      <w:r w:rsidRPr="00BE1CFE">
        <w:rPr>
          <w:rFonts w:hint="eastAsia"/>
          <w:rtl/>
        </w:rPr>
        <w:t>מהותיים</w:t>
      </w:r>
      <w:r w:rsidRPr="00BE1CFE">
        <w:rPr>
          <w:rtl/>
        </w:rPr>
        <w:t xml:space="preserve"> </w:t>
      </w:r>
      <w:r w:rsidRPr="00BE1CFE">
        <w:rPr>
          <w:rFonts w:hint="eastAsia"/>
          <w:rtl/>
        </w:rPr>
        <w:t>הנוגעים</w:t>
      </w:r>
      <w:r w:rsidRPr="00BE1CFE">
        <w:rPr>
          <w:rtl/>
        </w:rPr>
        <w:t xml:space="preserve"> </w:t>
      </w:r>
      <w:r w:rsidRPr="00BE1CFE">
        <w:rPr>
          <w:rFonts w:hint="cs"/>
          <w:rtl/>
        </w:rPr>
        <w:t>לאיסוף מידע ונתונים סיגינטיים בתחומי נתוני תקשורת והאזנות סתר, ובהם בין היתר ליקויים הנוגעים לתהליך הגשת הבקשות לצווי בית משפט ולפירוט הנימוקים והמידע העומדים בבסיס הבקשות, כגון אי-הזנת היתרי האזנות סתר קודמים; הוצאת צווי האזנת סתר שלא לצורך אשר אינם ממומשים; היעדר תיעוד לפעולות תחקור של נתוני תקשורת; ואי-ביעור חומרי האזנות סתר כמחויב בחוק</w:t>
      </w:r>
      <w:r w:rsidRPr="00BE1CFE">
        <w:rPr>
          <w:rtl/>
        </w:rPr>
        <w:t>.</w:t>
      </w:r>
    </w:p>
    <w:p w:rsidR="004B50FC" w:rsidRDefault="004B50FC" w:rsidP="00E2380D">
      <w:pPr>
        <w:spacing w:line="269" w:lineRule="auto"/>
        <w:ind w:left="423"/>
        <w:rPr>
          <w:szCs w:val="20"/>
          <w:rtl/>
        </w:rPr>
      </w:pPr>
    </w:p>
    <w:p w:rsidR="00E2380D" w:rsidRDefault="00E50A30" w:rsidP="00E2380D">
      <w:pPr>
        <w:spacing w:line="269" w:lineRule="auto"/>
        <w:ind w:left="423"/>
        <w:rPr>
          <w:b/>
          <w:bCs/>
          <w:rtl/>
        </w:rPr>
      </w:pPr>
      <w:r w:rsidRPr="00BE1CFE">
        <w:rPr>
          <w:rFonts w:hint="eastAsia"/>
          <w:b/>
          <w:bCs/>
          <w:rtl/>
        </w:rPr>
        <w:t>במאות</w:t>
      </w:r>
      <w:r w:rsidRPr="00BE1CFE">
        <w:rPr>
          <w:b/>
          <w:bCs/>
          <w:rtl/>
        </w:rPr>
        <w:t xml:space="preserve"> </w:t>
      </w:r>
      <w:r w:rsidRPr="00BE1CFE">
        <w:rPr>
          <w:rFonts w:hint="eastAsia"/>
          <w:b/>
          <w:bCs/>
          <w:rtl/>
        </w:rPr>
        <w:t>בקרות</w:t>
      </w:r>
      <w:r w:rsidRPr="00BE1CFE">
        <w:rPr>
          <w:b/>
          <w:bCs/>
          <w:rtl/>
        </w:rPr>
        <w:t xml:space="preserve"> </w:t>
      </w:r>
      <w:r w:rsidRPr="00BE1CFE">
        <w:rPr>
          <w:rFonts w:hint="eastAsia"/>
          <w:b/>
          <w:bCs/>
          <w:rtl/>
        </w:rPr>
        <w:t>שנעשו</w:t>
      </w:r>
      <w:r w:rsidRPr="00BE1CFE">
        <w:rPr>
          <w:b/>
          <w:bCs/>
          <w:rtl/>
        </w:rPr>
        <w:t xml:space="preserve"> </w:t>
      </w:r>
      <w:r w:rsidRPr="00BE1CFE">
        <w:rPr>
          <w:rFonts w:hint="eastAsia"/>
          <w:b/>
          <w:bCs/>
          <w:rtl/>
        </w:rPr>
        <w:t>במהלך</w:t>
      </w:r>
      <w:r w:rsidRPr="00BE1CFE">
        <w:rPr>
          <w:b/>
          <w:bCs/>
          <w:rtl/>
        </w:rPr>
        <w:t xml:space="preserve"> </w:t>
      </w:r>
      <w:r w:rsidRPr="00BE1CFE">
        <w:rPr>
          <w:rFonts w:hint="eastAsia"/>
          <w:b/>
          <w:bCs/>
          <w:rtl/>
        </w:rPr>
        <w:t>השנים</w:t>
      </w:r>
      <w:r w:rsidRPr="00BE1CFE">
        <w:rPr>
          <w:b/>
          <w:bCs/>
          <w:rtl/>
        </w:rPr>
        <w:t xml:space="preserve"> </w:t>
      </w:r>
      <w:r w:rsidRPr="00BE1CFE">
        <w:rPr>
          <w:rFonts w:hint="eastAsia"/>
          <w:b/>
          <w:bCs/>
          <w:rtl/>
        </w:rPr>
        <w:t>על</w:t>
      </w:r>
      <w:r w:rsidRPr="00BE1CFE">
        <w:rPr>
          <w:rFonts w:hint="cs"/>
          <w:b/>
          <w:bCs/>
          <w:rtl/>
        </w:rPr>
        <w:t xml:space="preserve"> פעילות המשטרה </w:t>
      </w:r>
      <w:r w:rsidRPr="00BE1CFE">
        <w:rPr>
          <w:rFonts w:hint="eastAsia"/>
          <w:b/>
          <w:bCs/>
          <w:rtl/>
        </w:rPr>
        <w:t>בתחו</w:t>
      </w:r>
      <w:r w:rsidRPr="00BE1CFE">
        <w:rPr>
          <w:rFonts w:hint="cs"/>
          <w:b/>
          <w:bCs/>
          <w:rtl/>
        </w:rPr>
        <w:t>ם שימוש בנתוני תקשורת וביצוע האזנות סתר</w:t>
      </w:r>
      <w:r w:rsidRPr="00BE1CFE">
        <w:rPr>
          <w:b/>
          <w:bCs/>
          <w:rtl/>
        </w:rPr>
        <w:t xml:space="preserve"> עלו </w:t>
      </w:r>
      <w:r w:rsidRPr="00BE1CFE">
        <w:rPr>
          <w:rFonts w:hint="eastAsia"/>
          <w:b/>
          <w:bCs/>
          <w:rtl/>
        </w:rPr>
        <w:t>ליקויים</w:t>
      </w:r>
      <w:r w:rsidRPr="00BE1CFE">
        <w:rPr>
          <w:b/>
          <w:bCs/>
          <w:rtl/>
        </w:rPr>
        <w:t xml:space="preserve"> </w:t>
      </w:r>
      <w:r w:rsidRPr="00BE1CFE">
        <w:rPr>
          <w:rFonts w:hint="eastAsia"/>
          <w:b/>
          <w:bCs/>
          <w:rtl/>
        </w:rPr>
        <w:t>רבים</w:t>
      </w:r>
      <w:r w:rsidRPr="00BE1CFE">
        <w:rPr>
          <w:rFonts w:hint="cs"/>
          <w:b/>
          <w:bCs/>
          <w:rtl/>
        </w:rPr>
        <w:t>,</w:t>
      </w:r>
      <w:r w:rsidRPr="00BE1CFE">
        <w:rPr>
          <w:b/>
          <w:bCs/>
          <w:rtl/>
        </w:rPr>
        <w:t xml:space="preserve"> </w:t>
      </w:r>
      <w:r w:rsidRPr="00BE1CFE">
        <w:rPr>
          <w:rFonts w:hint="eastAsia"/>
          <w:b/>
          <w:bCs/>
          <w:rtl/>
        </w:rPr>
        <w:t>חלקם</w:t>
      </w:r>
      <w:r w:rsidRPr="00BE1CFE">
        <w:rPr>
          <w:b/>
          <w:bCs/>
          <w:rtl/>
        </w:rPr>
        <w:t xml:space="preserve"> </w:t>
      </w:r>
      <w:r w:rsidRPr="00BE1CFE">
        <w:rPr>
          <w:rFonts w:hint="eastAsia"/>
          <w:b/>
          <w:bCs/>
          <w:rtl/>
        </w:rPr>
        <w:t>מהותיים</w:t>
      </w:r>
      <w:r w:rsidRPr="00BE1CFE">
        <w:rPr>
          <w:rFonts w:hint="cs"/>
          <w:b/>
          <w:bCs/>
          <w:rtl/>
        </w:rPr>
        <w:t xml:space="preserve">, הנוגעים בשלבי העבודה השונים לאיסוף מידע, להפקתו ולתיעודו. שלא בהתאם </w:t>
      </w:r>
      <w:r w:rsidRPr="00BE1CFE">
        <w:rPr>
          <w:rFonts w:hint="eastAsia"/>
          <w:b/>
          <w:bCs/>
          <w:rtl/>
        </w:rPr>
        <w:t>לנהלים</w:t>
      </w:r>
      <w:r w:rsidRPr="00BE1CFE">
        <w:rPr>
          <w:rFonts w:hint="cs"/>
          <w:b/>
          <w:bCs/>
          <w:rtl/>
        </w:rPr>
        <w:t>,</w:t>
      </w:r>
      <w:r w:rsidRPr="00BE1CFE">
        <w:rPr>
          <w:b/>
          <w:bCs/>
          <w:rtl/>
        </w:rPr>
        <w:t xml:space="preserve"> חטיבת</w:t>
      </w:r>
      <w:r w:rsidRPr="00BE1CFE">
        <w:rPr>
          <w:rFonts w:hint="cs"/>
          <w:b/>
          <w:bCs/>
          <w:rtl/>
        </w:rPr>
        <w:t xml:space="preserve"> הסייבר לא קיימה במשך השנים בקרות מעקב כדי לוודא כי הליקויים והממצאים שהתגלו בבקרות אכן תוקנו. נמצא כי במקרה יחיד, בשנת 2021, שבו עשתה חטיבת הסייבר בקרה לבחינת תיקון הליקויים שעלו בבקרה קודמת</w:t>
      </w:r>
      <w:r w:rsidR="000A7B5B">
        <w:rPr>
          <w:rFonts w:hint="cs"/>
          <w:b/>
          <w:bCs/>
          <w:rtl/>
        </w:rPr>
        <w:t xml:space="preserve"> בתחום האזנות סתר</w:t>
      </w:r>
      <w:r w:rsidRPr="00BE1CFE">
        <w:rPr>
          <w:b/>
          <w:bCs/>
          <w:vertAlign w:val="superscript"/>
          <w:rtl/>
        </w:rPr>
        <w:footnoteReference w:id="299"/>
      </w:r>
      <w:r w:rsidRPr="00BE1CFE">
        <w:rPr>
          <w:rFonts w:hint="cs"/>
          <w:b/>
          <w:bCs/>
          <w:rtl/>
        </w:rPr>
        <w:t>, למעט ליקוי אחד, כל הליקויים שהתגלו בבקרה הקודמת לא תוקנו (בשישה מתוך שבעה תחומים לא תוקנו הליקויים).</w:t>
      </w:r>
    </w:p>
    <w:p w:rsidR="004B50FC" w:rsidRPr="00BC7AF0" w:rsidRDefault="00E50A30" w:rsidP="00E2380D">
      <w:pPr>
        <w:spacing w:line="269" w:lineRule="auto"/>
        <w:ind w:left="423"/>
        <w:rPr>
          <w:b/>
          <w:bCs/>
          <w:rtl/>
        </w:rPr>
      </w:pPr>
      <w:r w:rsidRPr="00BE1CFE">
        <w:rPr>
          <w:rFonts w:hint="cs"/>
          <w:b/>
          <w:bCs/>
          <w:rtl/>
        </w:rPr>
        <w:t xml:space="preserve"> </w:t>
      </w:r>
    </w:p>
    <w:p w:rsidR="00E50A30" w:rsidRPr="00BE1CFE" w:rsidRDefault="00E50A30" w:rsidP="00E2380D">
      <w:pPr>
        <w:spacing w:line="269" w:lineRule="auto"/>
        <w:ind w:left="423"/>
        <w:rPr>
          <w:rtl/>
        </w:rPr>
      </w:pPr>
      <w:r w:rsidRPr="00BE1CFE">
        <w:rPr>
          <w:rFonts w:hint="cs"/>
          <w:rtl/>
        </w:rPr>
        <w:t xml:space="preserve">בתשובת המשטרה נמסר כי </w:t>
      </w:r>
      <w:r w:rsidRPr="00BE1CFE">
        <w:rPr>
          <w:rtl/>
        </w:rPr>
        <w:t>ע</w:t>
      </w:r>
      <w:r w:rsidRPr="00BE1CFE">
        <w:rPr>
          <w:rFonts w:hint="cs"/>
          <w:rtl/>
        </w:rPr>
        <w:t xml:space="preserve">ל </w:t>
      </w:r>
      <w:r w:rsidRPr="00BE1CFE">
        <w:rPr>
          <w:rtl/>
        </w:rPr>
        <w:t>פ</w:t>
      </w:r>
      <w:r w:rsidRPr="00BE1CFE">
        <w:rPr>
          <w:rFonts w:hint="cs"/>
          <w:rtl/>
        </w:rPr>
        <w:t>י</w:t>
      </w:r>
      <w:r w:rsidRPr="00BE1CFE">
        <w:rPr>
          <w:rtl/>
        </w:rPr>
        <w:t xml:space="preserve"> </w:t>
      </w:r>
      <w:r w:rsidRPr="00BE1CFE">
        <w:rPr>
          <w:rFonts w:hint="cs"/>
          <w:rtl/>
        </w:rPr>
        <w:t>ה</w:t>
      </w:r>
      <w:r w:rsidRPr="00BE1CFE">
        <w:rPr>
          <w:rtl/>
        </w:rPr>
        <w:t>פקודות ו</w:t>
      </w:r>
      <w:r w:rsidRPr="00BE1CFE">
        <w:rPr>
          <w:rFonts w:hint="cs"/>
          <w:rtl/>
        </w:rPr>
        <w:t>ה</w:t>
      </w:r>
      <w:r w:rsidRPr="00BE1CFE">
        <w:rPr>
          <w:rtl/>
        </w:rPr>
        <w:t>נהלי</w:t>
      </w:r>
      <w:r w:rsidRPr="00BE1CFE">
        <w:rPr>
          <w:rFonts w:hint="cs"/>
          <w:rtl/>
        </w:rPr>
        <w:t>ם</w:t>
      </w:r>
      <w:r w:rsidRPr="00BE1CFE">
        <w:rPr>
          <w:rtl/>
        </w:rPr>
        <w:t xml:space="preserve"> </w:t>
      </w:r>
      <w:r w:rsidRPr="00BE1CFE">
        <w:rPr>
          <w:rFonts w:hint="cs"/>
          <w:rtl/>
        </w:rPr>
        <w:t xml:space="preserve">של </w:t>
      </w:r>
      <w:r w:rsidRPr="00BE1CFE">
        <w:rPr>
          <w:rtl/>
        </w:rPr>
        <w:t xml:space="preserve">המשטרה יש לבצע בקרה אחת לשנה בכל יחידה. לעיתים ביצע מטה </w:t>
      </w:r>
      <w:r w:rsidRPr="00BE1CFE">
        <w:rPr>
          <w:rFonts w:hint="cs"/>
          <w:rtl/>
        </w:rPr>
        <w:t>חטיבת הסייבר ביחידות</w:t>
      </w:r>
      <w:r>
        <w:rPr>
          <w:rFonts w:hint="cs"/>
          <w:rtl/>
        </w:rPr>
        <w:t xml:space="preserve"> </w:t>
      </w:r>
      <w:r w:rsidRPr="00BE1CFE">
        <w:rPr>
          <w:rFonts w:hint="cs"/>
          <w:rtl/>
        </w:rPr>
        <w:t xml:space="preserve">כמה </w:t>
      </w:r>
      <w:r w:rsidRPr="00BE1CFE">
        <w:rPr>
          <w:rtl/>
        </w:rPr>
        <w:t>בקרות בשנה</w:t>
      </w:r>
      <w:r w:rsidRPr="00BE1CFE">
        <w:rPr>
          <w:rFonts w:hint="cs"/>
          <w:rtl/>
        </w:rPr>
        <w:t xml:space="preserve"> בנוגע</w:t>
      </w:r>
      <w:r w:rsidRPr="00BE1CFE">
        <w:rPr>
          <w:rtl/>
        </w:rPr>
        <w:t xml:space="preserve"> לאותן סוגיות. </w:t>
      </w:r>
      <w:r w:rsidRPr="00BE1CFE">
        <w:rPr>
          <w:rFonts w:hint="cs"/>
          <w:rtl/>
        </w:rPr>
        <w:t>לעמדת המשטרה,</w:t>
      </w:r>
      <w:r w:rsidRPr="00BE1CFE">
        <w:rPr>
          <w:rtl/>
        </w:rPr>
        <w:t xml:space="preserve"> עצם </w:t>
      </w:r>
      <w:r w:rsidRPr="00BE1CFE">
        <w:rPr>
          <w:rFonts w:hint="cs"/>
          <w:rtl/>
        </w:rPr>
        <w:t>ה</w:t>
      </w:r>
      <w:r w:rsidRPr="00BE1CFE">
        <w:rPr>
          <w:rtl/>
        </w:rPr>
        <w:t xml:space="preserve">ביצוע </w:t>
      </w:r>
      <w:r w:rsidRPr="00BE1CFE">
        <w:rPr>
          <w:rFonts w:hint="cs"/>
          <w:rtl/>
        </w:rPr>
        <w:t xml:space="preserve">של </w:t>
      </w:r>
      <w:r w:rsidRPr="00BE1CFE">
        <w:rPr>
          <w:rtl/>
        </w:rPr>
        <w:t>בקרות חוזרות ונשנות מהוו</w:t>
      </w:r>
      <w:r w:rsidRPr="00BE1CFE">
        <w:rPr>
          <w:rFonts w:hint="cs"/>
          <w:rtl/>
        </w:rPr>
        <w:t>ה</w:t>
      </w:r>
      <w:r w:rsidRPr="00BE1CFE">
        <w:rPr>
          <w:rtl/>
        </w:rPr>
        <w:t xml:space="preserve"> הלכה למעשה מעקב לתיקון הליקויים שעלו בפעם הקודמת.</w:t>
      </w:r>
      <w:r w:rsidRPr="00BE1CFE">
        <w:rPr>
          <w:rFonts w:hint="cs"/>
          <w:rtl/>
        </w:rPr>
        <w:t xml:space="preserve"> </w:t>
      </w:r>
      <w:r w:rsidRPr="00BE1CFE">
        <w:rPr>
          <w:rtl/>
        </w:rPr>
        <w:t xml:space="preserve">זאת ועוד, במסגרת הבקרות מועברים ליחידות כלל הליקויים שנמצאו </w:t>
      </w:r>
      <w:r w:rsidRPr="00BE1CFE">
        <w:rPr>
          <w:rFonts w:hint="cs"/>
          <w:rtl/>
        </w:rPr>
        <w:t xml:space="preserve">כדי </w:t>
      </w:r>
      <w:r w:rsidRPr="00BE1CFE">
        <w:rPr>
          <w:rtl/>
        </w:rPr>
        <w:t>ש</w:t>
      </w:r>
      <w:r w:rsidRPr="00BE1CFE">
        <w:rPr>
          <w:rFonts w:hint="cs"/>
          <w:rtl/>
        </w:rPr>
        <w:t xml:space="preserve">הן </w:t>
      </w:r>
      <w:r w:rsidRPr="00BE1CFE">
        <w:rPr>
          <w:rtl/>
        </w:rPr>
        <w:t>יטפלו בהם ויתקנו אותם</w:t>
      </w:r>
      <w:r w:rsidRPr="00BE1CFE">
        <w:rPr>
          <w:rFonts w:hint="cs"/>
          <w:rtl/>
        </w:rPr>
        <w:t>,</w:t>
      </w:r>
      <w:r w:rsidRPr="00BE1CFE">
        <w:rPr>
          <w:rtl/>
        </w:rPr>
        <w:t xml:space="preserve"> ואחריות זו </w:t>
      </w:r>
      <w:r w:rsidRPr="00BE1CFE">
        <w:rPr>
          <w:rFonts w:hint="cs"/>
          <w:rtl/>
        </w:rPr>
        <w:t xml:space="preserve">מוטלת </w:t>
      </w:r>
      <w:r w:rsidRPr="00BE1CFE">
        <w:rPr>
          <w:rtl/>
        </w:rPr>
        <w:t>על מפקד</w:t>
      </w:r>
      <w:r w:rsidRPr="00BE1CFE">
        <w:rPr>
          <w:rFonts w:hint="cs"/>
          <w:rtl/>
        </w:rPr>
        <w:t xml:space="preserve"> היחידה </w:t>
      </w:r>
      <w:r w:rsidRPr="00BE1CFE">
        <w:rPr>
          <w:rtl/>
        </w:rPr>
        <w:t>המבוקר</w:t>
      </w:r>
      <w:r w:rsidRPr="00BE1CFE">
        <w:rPr>
          <w:rFonts w:hint="cs"/>
          <w:rtl/>
        </w:rPr>
        <w:t>ת</w:t>
      </w:r>
      <w:r w:rsidRPr="00BE1CFE">
        <w:rPr>
          <w:rtl/>
        </w:rPr>
        <w:t>.</w:t>
      </w:r>
      <w:r w:rsidRPr="00BE1CFE">
        <w:rPr>
          <w:rFonts w:hint="cs"/>
          <w:rtl/>
        </w:rPr>
        <w:t xml:space="preserve"> נוסף על כך, </w:t>
      </w:r>
      <w:r w:rsidRPr="00BE1CFE">
        <w:rPr>
          <w:rtl/>
        </w:rPr>
        <w:t>במסגרת גיבוש ת</w:t>
      </w:r>
      <w:r w:rsidRPr="00BE1CFE">
        <w:rPr>
          <w:rFonts w:hint="cs"/>
          <w:rtl/>
        </w:rPr>
        <w:t>ו</w:t>
      </w:r>
      <w:r w:rsidRPr="00BE1CFE">
        <w:rPr>
          <w:rtl/>
        </w:rPr>
        <w:t xml:space="preserve">כנית הבקרות </w:t>
      </w:r>
      <w:r w:rsidRPr="00BE1CFE">
        <w:rPr>
          <w:rFonts w:hint="cs"/>
          <w:rtl/>
        </w:rPr>
        <w:t>השנתית מובא</w:t>
      </w:r>
      <w:r w:rsidRPr="00BE1CFE">
        <w:rPr>
          <w:rtl/>
        </w:rPr>
        <w:t xml:space="preserve">ים בחשבון </w:t>
      </w:r>
      <w:r w:rsidRPr="00BE1CFE">
        <w:rPr>
          <w:rFonts w:hint="cs"/>
          <w:rtl/>
        </w:rPr>
        <w:t>ה</w:t>
      </w:r>
      <w:r w:rsidRPr="00BE1CFE">
        <w:rPr>
          <w:rtl/>
        </w:rPr>
        <w:t>תובנות</w:t>
      </w:r>
      <w:r w:rsidRPr="00BE1CFE">
        <w:rPr>
          <w:rFonts w:hint="cs"/>
          <w:rtl/>
        </w:rPr>
        <w:t xml:space="preserve"> וה</w:t>
      </w:r>
      <w:r w:rsidRPr="00BE1CFE">
        <w:rPr>
          <w:rtl/>
        </w:rPr>
        <w:t xml:space="preserve">ליקויים </w:t>
      </w:r>
      <w:r w:rsidRPr="00BE1CFE">
        <w:rPr>
          <w:rFonts w:hint="cs"/>
          <w:rtl/>
        </w:rPr>
        <w:t xml:space="preserve">שעלו בבקרות הקודמות </w:t>
      </w:r>
      <w:r w:rsidRPr="00BE1CFE">
        <w:rPr>
          <w:rtl/>
        </w:rPr>
        <w:t>ב</w:t>
      </w:r>
      <w:r w:rsidRPr="00BE1CFE">
        <w:rPr>
          <w:rFonts w:hint="cs"/>
          <w:rtl/>
        </w:rPr>
        <w:t>נוגע</w:t>
      </w:r>
      <w:r w:rsidRPr="00BE1CFE">
        <w:rPr>
          <w:rtl/>
        </w:rPr>
        <w:t xml:space="preserve"> ל</w:t>
      </w:r>
      <w:r w:rsidRPr="00BE1CFE">
        <w:rPr>
          <w:rFonts w:hint="cs"/>
          <w:rtl/>
        </w:rPr>
        <w:t>יחידות המבוקרות</w:t>
      </w:r>
      <w:r w:rsidRPr="00BE1CFE">
        <w:rPr>
          <w:rtl/>
        </w:rPr>
        <w:t xml:space="preserve">. </w:t>
      </w:r>
    </w:p>
    <w:p w:rsidR="004B50FC" w:rsidRDefault="004B50FC" w:rsidP="00E2380D">
      <w:pPr>
        <w:spacing w:line="269" w:lineRule="auto"/>
        <w:ind w:left="423"/>
        <w:rPr>
          <w:szCs w:val="20"/>
          <w:rtl/>
        </w:rPr>
      </w:pPr>
    </w:p>
    <w:p w:rsidR="00E50A30" w:rsidRPr="00BE1CFE" w:rsidRDefault="00E50A30" w:rsidP="00E2380D">
      <w:pPr>
        <w:spacing w:line="269" w:lineRule="auto"/>
        <w:ind w:left="423"/>
        <w:rPr>
          <w:b/>
          <w:bCs/>
          <w:rtl/>
        </w:rPr>
      </w:pPr>
      <w:r w:rsidRPr="00BE1CFE">
        <w:rPr>
          <w:rFonts w:hint="cs"/>
          <w:b/>
          <w:bCs/>
          <w:rtl/>
        </w:rPr>
        <w:t xml:space="preserve">אין חולק על חשיבות כלל הפעולות שמבצעת המשטרה לצורך הטיפול בליקויים שעולים בבקרות הפנימיות. עם זאת, תהליך של פיקוח ובקרה שאין בו מעקב אחר תיקון הליקויים - שהוגדר בהנחיית המשטרה כבדיקה נפרדת, הוא תהליך חסר. על חטיבת הסייבר לבצע בקרות מעקב באופן קבוע ושוטף, כנדרש בנהלים, לבחינת תיקון הליקויים שהתגלו בבקרות הקודמות על ידי יחידות השטח. </w:t>
      </w:r>
    </w:p>
    <w:p w:rsidR="00E50A30" w:rsidRPr="00BE1CFE" w:rsidRDefault="00E50A30" w:rsidP="00604C3D">
      <w:pPr>
        <w:spacing w:line="269" w:lineRule="auto"/>
        <w:rPr>
          <w:b/>
          <w:bCs/>
          <w:rtl/>
        </w:rPr>
      </w:pPr>
    </w:p>
    <w:p w:rsidR="00E50A30" w:rsidRPr="00BE1CFE" w:rsidRDefault="00E50A30" w:rsidP="00D44AC7">
      <w:pPr>
        <w:pStyle w:val="4"/>
        <w:numPr>
          <w:ilvl w:val="1"/>
          <w:numId w:val="76"/>
        </w:numPr>
        <w:spacing w:before="0" w:line="269" w:lineRule="auto"/>
        <w:ind w:left="423" w:hanging="398"/>
        <w:rPr>
          <w:rFonts w:eastAsia="Times New Roman"/>
          <w:rtl/>
        </w:rPr>
      </w:pPr>
      <w:bookmarkStart w:id="639" w:name="_Toc211521961"/>
      <w:bookmarkStart w:id="640" w:name="_Toc219110352"/>
      <w:bookmarkStart w:id="641" w:name="_Toc219113793"/>
      <w:bookmarkStart w:id="642" w:name="_Toc219286568"/>
      <w:r w:rsidRPr="009F28D5">
        <w:rPr>
          <w:rFonts w:eastAsia="Times New Roman" w:hint="cs"/>
          <w:rtl/>
        </w:rPr>
        <w:t xml:space="preserve">בחינת עומק של </w:t>
      </w:r>
      <w:r w:rsidRPr="009F28D5">
        <w:rPr>
          <w:rFonts w:eastAsia="Times New Roman" w:hint="eastAsia"/>
          <w:rtl/>
        </w:rPr>
        <w:t>בקרות</w:t>
      </w:r>
      <w:r w:rsidRPr="009F28D5">
        <w:rPr>
          <w:rFonts w:eastAsia="Times New Roman"/>
          <w:rtl/>
        </w:rPr>
        <w:t xml:space="preserve"> על </w:t>
      </w:r>
      <w:r w:rsidRPr="009F28D5">
        <w:rPr>
          <w:rFonts w:eastAsia="Times New Roman" w:hint="cs"/>
          <w:rtl/>
        </w:rPr>
        <w:t>ה</w:t>
      </w:r>
      <w:r w:rsidRPr="009F28D5">
        <w:rPr>
          <w:rFonts w:eastAsia="Times New Roman" w:hint="eastAsia"/>
          <w:rtl/>
        </w:rPr>
        <w:t>שימוש</w:t>
      </w:r>
      <w:r w:rsidRPr="009F28D5">
        <w:rPr>
          <w:rFonts w:eastAsia="Times New Roman"/>
          <w:rtl/>
        </w:rPr>
        <w:t xml:space="preserve"> </w:t>
      </w:r>
      <w:r w:rsidRPr="009F28D5">
        <w:rPr>
          <w:rFonts w:eastAsia="Times New Roman" w:hint="eastAsia"/>
          <w:rtl/>
        </w:rPr>
        <w:t>בנתוני</w:t>
      </w:r>
      <w:r w:rsidRPr="009F28D5">
        <w:rPr>
          <w:rFonts w:eastAsia="Times New Roman"/>
          <w:rtl/>
        </w:rPr>
        <w:t xml:space="preserve"> </w:t>
      </w:r>
      <w:r w:rsidRPr="009F28D5">
        <w:rPr>
          <w:rFonts w:eastAsia="Times New Roman" w:hint="eastAsia"/>
          <w:rtl/>
        </w:rPr>
        <w:t>תקשורת</w:t>
      </w:r>
      <w:r w:rsidRPr="009F28D5">
        <w:rPr>
          <w:rFonts w:eastAsia="Times New Roman"/>
          <w:rtl/>
        </w:rPr>
        <w:t xml:space="preserve"> </w:t>
      </w:r>
      <w:r w:rsidRPr="009F28D5">
        <w:rPr>
          <w:rFonts w:eastAsia="Times New Roman" w:hint="eastAsia"/>
          <w:rtl/>
        </w:rPr>
        <w:t>ו</w:t>
      </w:r>
      <w:r w:rsidRPr="009F28D5">
        <w:rPr>
          <w:rFonts w:eastAsia="Times New Roman" w:hint="cs"/>
          <w:rtl/>
        </w:rPr>
        <w:t xml:space="preserve">על </w:t>
      </w:r>
      <w:r w:rsidRPr="009F28D5">
        <w:rPr>
          <w:rFonts w:eastAsia="Times New Roman" w:hint="eastAsia"/>
          <w:rtl/>
        </w:rPr>
        <w:t>ביצוע</w:t>
      </w:r>
      <w:r w:rsidRPr="009F28D5">
        <w:rPr>
          <w:rFonts w:eastAsia="Times New Roman"/>
          <w:rtl/>
        </w:rPr>
        <w:t xml:space="preserve"> </w:t>
      </w:r>
      <w:r w:rsidRPr="009F28D5">
        <w:rPr>
          <w:rFonts w:eastAsia="Times New Roman" w:hint="eastAsia"/>
          <w:rtl/>
        </w:rPr>
        <w:t>האזנות</w:t>
      </w:r>
      <w:r w:rsidRPr="009F28D5">
        <w:rPr>
          <w:rFonts w:eastAsia="Times New Roman"/>
          <w:rtl/>
        </w:rPr>
        <w:t xml:space="preserve"> </w:t>
      </w:r>
      <w:r w:rsidRPr="009F28D5">
        <w:rPr>
          <w:rFonts w:eastAsia="Times New Roman" w:hint="eastAsia"/>
          <w:rtl/>
        </w:rPr>
        <w:t>סתר</w:t>
      </w:r>
      <w:r w:rsidRPr="009F28D5">
        <w:rPr>
          <w:rFonts w:eastAsia="Times New Roman"/>
          <w:rtl/>
        </w:rPr>
        <w:t xml:space="preserve"> </w:t>
      </w:r>
      <w:r w:rsidRPr="009F28D5">
        <w:rPr>
          <w:rFonts w:eastAsia="Times New Roman" w:hint="eastAsia"/>
          <w:rtl/>
        </w:rPr>
        <w:t>ותיעודן</w:t>
      </w:r>
      <w:bookmarkEnd w:id="639"/>
      <w:bookmarkEnd w:id="640"/>
      <w:bookmarkEnd w:id="641"/>
      <w:bookmarkEnd w:id="642"/>
      <w:r w:rsidRPr="009F28D5">
        <w:rPr>
          <w:rFonts w:eastAsia="Times New Roman"/>
          <w:rtl/>
        </w:rPr>
        <w:t xml:space="preserve"> </w:t>
      </w:r>
    </w:p>
    <w:p w:rsidR="004B50FC" w:rsidRDefault="004B50FC" w:rsidP="00604C3D">
      <w:pPr>
        <w:spacing w:line="269" w:lineRule="auto"/>
        <w:contextualSpacing/>
        <w:rPr>
          <w:szCs w:val="20"/>
          <w:rtl/>
        </w:rPr>
      </w:pPr>
    </w:p>
    <w:p w:rsidR="00E50A30" w:rsidRPr="00BE1CFE" w:rsidRDefault="00E50A30" w:rsidP="00E2380D">
      <w:pPr>
        <w:spacing w:line="269" w:lineRule="auto"/>
        <w:ind w:left="423"/>
        <w:contextualSpacing/>
        <w:rPr>
          <w:rtl/>
        </w:rPr>
      </w:pPr>
      <w:r w:rsidRPr="00BE1CFE">
        <w:rPr>
          <w:rFonts w:hint="cs"/>
          <w:rtl/>
        </w:rPr>
        <w:t xml:space="preserve">במסגרת הביקורת </w:t>
      </w:r>
      <w:r w:rsidRPr="00BE1CFE">
        <w:rPr>
          <w:rFonts w:hint="eastAsia"/>
          <w:rtl/>
        </w:rPr>
        <w:t>נבחנ</w:t>
      </w:r>
      <w:r w:rsidRPr="00BE1CFE">
        <w:rPr>
          <w:rFonts w:hint="cs"/>
          <w:rtl/>
        </w:rPr>
        <w:t>ו לעומק שתי בקרות:</w:t>
      </w:r>
      <w:r w:rsidRPr="00BE1CFE">
        <w:rPr>
          <w:rFonts w:hint="cs"/>
        </w:rPr>
        <w:t xml:space="preserve"> </w:t>
      </w:r>
      <w:r w:rsidRPr="00BE1CFE">
        <w:rPr>
          <w:rFonts w:hint="cs"/>
          <w:rtl/>
        </w:rPr>
        <w:t xml:space="preserve">בקרה אחת שנעשתה בתחום נתוני תקשורת במערך הפרוס, ובקרה </w:t>
      </w:r>
      <w:r w:rsidRPr="00BE1CFE">
        <w:rPr>
          <w:rFonts w:hint="eastAsia"/>
          <w:rtl/>
        </w:rPr>
        <w:t>נוספת</w:t>
      </w:r>
      <w:r w:rsidRPr="00BE1CFE">
        <w:rPr>
          <w:rFonts w:hint="cs"/>
          <w:rtl/>
        </w:rPr>
        <w:t xml:space="preserve"> שנעשתה בתחום האזנות סתר ביחידה מבצעית של חטיבת הסייבר. להלן הפרטים. </w:t>
      </w:r>
    </w:p>
    <w:p w:rsidR="00E50A30" w:rsidRPr="00BE1CFE" w:rsidRDefault="00E50A30" w:rsidP="00604C3D">
      <w:pPr>
        <w:spacing w:line="269" w:lineRule="auto"/>
        <w:contextualSpacing/>
        <w:rPr>
          <w:rtl/>
        </w:rPr>
      </w:pPr>
    </w:p>
    <w:p w:rsidR="00E50A30" w:rsidRPr="00BE1CFE" w:rsidRDefault="00E50A30" w:rsidP="00E2380D">
      <w:pPr>
        <w:pStyle w:val="5"/>
        <w:numPr>
          <w:ilvl w:val="0"/>
          <w:numId w:val="53"/>
        </w:numPr>
        <w:spacing w:line="269" w:lineRule="auto"/>
        <w:ind w:left="846" w:hanging="423"/>
      </w:pPr>
      <w:r w:rsidRPr="00BE1CFE">
        <w:rPr>
          <w:rFonts w:eastAsia="Times New Roman" w:hint="cs"/>
          <w:rtl/>
        </w:rPr>
        <w:t xml:space="preserve">הבקרה על </w:t>
      </w:r>
      <w:r w:rsidRPr="00BE1CFE">
        <w:rPr>
          <w:rFonts w:eastAsia="Times New Roman" w:hint="eastAsia"/>
          <w:rtl/>
        </w:rPr>
        <w:t>מימוש</w:t>
      </w:r>
      <w:r w:rsidRPr="00BE1CFE">
        <w:rPr>
          <w:rFonts w:eastAsia="Times New Roman"/>
          <w:rtl/>
        </w:rPr>
        <w:t xml:space="preserve"> נתוני תקשורת </w:t>
      </w:r>
      <w:r w:rsidRPr="00BE1CFE">
        <w:rPr>
          <w:rFonts w:eastAsia="Times New Roman" w:hint="eastAsia"/>
          <w:rtl/>
        </w:rPr>
        <w:t>על</w:t>
      </w:r>
      <w:r w:rsidRPr="00BE1CFE">
        <w:rPr>
          <w:rFonts w:eastAsia="Times New Roman"/>
          <w:rtl/>
        </w:rPr>
        <w:t xml:space="preserve"> </w:t>
      </w:r>
      <w:r w:rsidRPr="00BE1CFE">
        <w:rPr>
          <w:rFonts w:eastAsia="Times New Roman" w:hint="eastAsia"/>
          <w:rtl/>
        </w:rPr>
        <w:t>ידי</w:t>
      </w:r>
      <w:r w:rsidRPr="00BE1CFE">
        <w:rPr>
          <w:rFonts w:eastAsia="Times New Roman"/>
          <w:rtl/>
        </w:rPr>
        <w:t xml:space="preserve"> </w:t>
      </w:r>
      <w:r w:rsidRPr="00BE1CFE">
        <w:rPr>
          <w:rFonts w:eastAsia="Times New Roman" w:hint="eastAsia"/>
          <w:rtl/>
        </w:rPr>
        <w:t>יחידות</w:t>
      </w:r>
      <w:r w:rsidRPr="00BE1CFE">
        <w:rPr>
          <w:rFonts w:eastAsia="Times New Roman"/>
          <w:rtl/>
        </w:rPr>
        <w:t xml:space="preserve"> </w:t>
      </w:r>
      <w:r w:rsidRPr="00BE1CFE">
        <w:rPr>
          <w:rFonts w:eastAsia="Times New Roman" w:hint="eastAsia"/>
          <w:rtl/>
        </w:rPr>
        <w:t>השטח</w:t>
      </w:r>
      <w:r w:rsidRPr="00BE1CFE">
        <w:rPr>
          <w:rFonts w:hint="cs"/>
          <w:rtl/>
        </w:rPr>
        <w:t xml:space="preserve"> </w:t>
      </w:r>
    </w:p>
    <w:p w:rsidR="004B50FC" w:rsidRDefault="004B50FC" w:rsidP="00E2380D">
      <w:pPr>
        <w:spacing w:line="269" w:lineRule="auto"/>
        <w:ind w:left="423"/>
        <w:rPr>
          <w:szCs w:val="20"/>
          <w:rtl/>
        </w:rPr>
      </w:pPr>
    </w:p>
    <w:p w:rsidR="00E50A30" w:rsidRPr="00BE1CFE" w:rsidRDefault="00E50A30" w:rsidP="00E2380D">
      <w:pPr>
        <w:spacing w:line="269" w:lineRule="auto"/>
        <w:ind w:left="846"/>
        <w:rPr>
          <w:rtl/>
        </w:rPr>
      </w:pPr>
      <w:r w:rsidRPr="00BE1CFE">
        <w:rPr>
          <w:rFonts w:hint="cs"/>
          <w:rtl/>
        </w:rPr>
        <w:t>חטיבת הסייבר החליטה לבזר את המימוש</w:t>
      </w:r>
      <w:r w:rsidRPr="00BE1CFE">
        <w:rPr>
          <w:vertAlign w:val="superscript"/>
          <w:rtl/>
        </w:rPr>
        <w:footnoteReference w:id="300"/>
      </w:r>
      <w:r w:rsidRPr="00BE1CFE">
        <w:rPr>
          <w:rFonts w:hint="cs"/>
          <w:rtl/>
        </w:rPr>
        <w:t xml:space="preserve"> של חלק מההיתרים המינהליים</w:t>
      </w:r>
      <w:r w:rsidRPr="00BE1CFE">
        <w:rPr>
          <w:vertAlign w:val="superscript"/>
          <w:rtl/>
        </w:rPr>
        <w:footnoteReference w:id="301"/>
      </w:r>
      <w:r w:rsidRPr="00BE1CFE">
        <w:rPr>
          <w:rFonts w:hint="cs"/>
          <w:rtl/>
        </w:rPr>
        <w:t xml:space="preserve"> </w:t>
      </w:r>
      <w:r w:rsidRPr="00BE1CFE">
        <w:rPr>
          <w:rFonts w:hint="eastAsia"/>
          <w:rtl/>
        </w:rPr>
        <w:t>להפקת</w:t>
      </w:r>
      <w:r w:rsidRPr="00BE1CFE">
        <w:rPr>
          <w:rFonts w:hint="cs"/>
          <w:rtl/>
        </w:rPr>
        <w:t xml:space="preserve"> נתוני תקשורת ליחידות השטח. כחלק מתהליך הביזור קבעה החטיבה כי תיעשה בקרה שבועית על ההיתרים המינהליים שמומשו ביחידות השטח לאחר כניסת ההנחיה לתוקפה. כן נקבעו בקרות נוספות שיעשו</w:t>
      </w:r>
      <w:r w:rsidR="004B50FC">
        <w:rPr>
          <w:rFonts w:hint="cs"/>
          <w:rtl/>
        </w:rPr>
        <w:t xml:space="preserve"> בעלי תפקידים בחטיבה</w:t>
      </w:r>
      <w:r w:rsidRPr="00BE1CFE">
        <w:rPr>
          <w:rFonts w:hint="cs"/>
          <w:rtl/>
        </w:rPr>
        <w:t xml:space="preserve"> </w:t>
      </w:r>
      <w:r w:rsidRPr="00BE1CFE">
        <w:rPr>
          <w:rFonts w:hint="eastAsia"/>
          <w:rtl/>
        </w:rPr>
        <w:t>בנושא</w:t>
      </w:r>
      <w:r w:rsidRPr="00BE1CFE">
        <w:rPr>
          <w:rFonts w:hint="cs"/>
          <w:rtl/>
        </w:rPr>
        <w:t xml:space="preserve">. </w:t>
      </w:r>
    </w:p>
    <w:p w:rsidR="004B50FC" w:rsidRDefault="004B50FC" w:rsidP="00E2380D">
      <w:pPr>
        <w:spacing w:line="269" w:lineRule="auto"/>
        <w:ind w:left="846"/>
        <w:rPr>
          <w:szCs w:val="20"/>
          <w:rtl/>
        </w:rPr>
      </w:pPr>
    </w:p>
    <w:p w:rsidR="00E50A30" w:rsidRPr="00BE1CFE" w:rsidRDefault="00E50A30" w:rsidP="00E2380D">
      <w:pPr>
        <w:spacing w:line="269" w:lineRule="auto"/>
        <w:ind w:left="846"/>
        <w:rPr>
          <w:rtl/>
        </w:rPr>
      </w:pPr>
      <w:r w:rsidRPr="00BE1CFE">
        <w:rPr>
          <w:rFonts w:hint="cs"/>
          <w:rtl/>
        </w:rPr>
        <w:t>בחודשים דצמבר 2020 עד אוגוסט 2021 ביצעה חטיבת הסייבר כ-30 בקרות</w:t>
      </w:r>
      <w:r w:rsidRPr="00BE1CFE">
        <w:rPr>
          <w:vertAlign w:val="superscript"/>
          <w:rtl/>
        </w:rPr>
        <w:footnoteReference w:id="302"/>
      </w:r>
      <w:r w:rsidRPr="00BE1CFE">
        <w:rPr>
          <w:rFonts w:hint="cs"/>
          <w:rtl/>
        </w:rPr>
        <w:t>, ובהן נבחנו 359 היתרים מינהליים לקבלת נתוני תקשורת שבהם יחידות השטח קיבלו את הנתונים ותחקרו אותם</w:t>
      </w:r>
      <w:r w:rsidRPr="00BE1CFE">
        <w:rPr>
          <w:rtl/>
        </w:rPr>
        <w:t xml:space="preserve">. </w:t>
      </w:r>
      <w:r w:rsidRPr="00BE1CFE">
        <w:rPr>
          <w:rFonts w:hint="cs"/>
          <w:rtl/>
        </w:rPr>
        <w:t xml:space="preserve">במסגרת הבקרות נבחנו הנושאים האלה: </w:t>
      </w:r>
      <w:r w:rsidRPr="00BE1CFE">
        <w:rPr>
          <w:rtl/>
        </w:rPr>
        <w:t xml:space="preserve">התאמה </w:t>
      </w:r>
      <w:r w:rsidRPr="00BE1CFE">
        <w:rPr>
          <w:rFonts w:hint="cs"/>
          <w:rtl/>
        </w:rPr>
        <w:t xml:space="preserve">של הבקשה להיתר </w:t>
      </w:r>
      <w:r w:rsidRPr="00BE1CFE">
        <w:rPr>
          <w:rFonts w:hint="eastAsia"/>
          <w:rtl/>
        </w:rPr>
        <w:t>ה</w:t>
      </w:r>
      <w:r w:rsidRPr="00BE1CFE">
        <w:rPr>
          <w:rFonts w:hint="cs"/>
          <w:rtl/>
        </w:rPr>
        <w:t xml:space="preserve">מינהלי </w:t>
      </w:r>
      <w:r w:rsidRPr="00BE1CFE">
        <w:rPr>
          <w:rFonts w:hint="eastAsia"/>
          <w:rtl/>
        </w:rPr>
        <w:t>ו</w:t>
      </w:r>
      <w:r w:rsidRPr="00BE1CFE">
        <w:rPr>
          <w:rtl/>
        </w:rPr>
        <w:t>לצורך המבצעי</w:t>
      </w:r>
      <w:r w:rsidRPr="00BE1CFE">
        <w:rPr>
          <w:vertAlign w:val="superscript"/>
          <w:rtl/>
        </w:rPr>
        <w:footnoteReference w:id="303"/>
      </w:r>
      <w:r w:rsidRPr="00BE1CFE">
        <w:rPr>
          <w:rFonts w:hint="cs"/>
          <w:rtl/>
        </w:rPr>
        <w:t xml:space="preserve">; </w:t>
      </w:r>
      <w:r w:rsidRPr="00BE1CFE">
        <w:rPr>
          <w:rtl/>
        </w:rPr>
        <w:t>שימוש מידתי</w:t>
      </w:r>
      <w:r w:rsidRPr="00BE1CFE">
        <w:rPr>
          <w:rFonts w:hint="cs"/>
          <w:rtl/>
        </w:rPr>
        <w:t xml:space="preserve"> בהיקף נתוני התקשורת שהתבקשו</w:t>
      </w:r>
      <w:r w:rsidRPr="00BE1CFE">
        <w:rPr>
          <w:vertAlign w:val="superscript"/>
          <w:rtl/>
        </w:rPr>
        <w:footnoteReference w:id="304"/>
      </w:r>
      <w:r w:rsidRPr="00BE1CFE">
        <w:rPr>
          <w:rFonts w:hint="cs"/>
          <w:rtl/>
        </w:rPr>
        <w:t>; ו</w:t>
      </w:r>
      <w:r w:rsidRPr="00BE1CFE">
        <w:rPr>
          <w:rtl/>
        </w:rPr>
        <w:t>תיעוד</w:t>
      </w:r>
      <w:r w:rsidRPr="00BE1CFE">
        <w:rPr>
          <w:rFonts w:hint="cs"/>
          <w:rtl/>
        </w:rPr>
        <w:t xml:space="preserve"> של </w:t>
      </w:r>
      <w:r w:rsidRPr="00BE1CFE">
        <w:rPr>
          <w:rtl/>
        </w:rPr>
        <w:t xml:space="preserve">כלל הפעולות שבוצעו במסגרת </w:t>
      </w:r>
      <w:r w:rsidRPr="00BE1CFE">
        <w:rPr>
          <w:rFonts w:hint="cs"/>
          <w:rtl/>
        </w:rPr>
        <w:t>הקבל</w:t>
      </w:r>
      <w:r w:rsidRPr="00BE1CFE">
        <w:rPr>
          <w:rFonts w:hint="eastAsia"/>
          <w:rtl/>
        </w:rPr>
        <w:t>ה</w:t>
      </w:r>
      <w:r w:rsidRPr="00BE1CFE">
        <w:rPr>
          <w:rFonts w:hint="cs"/>
          <w:rtl/>
        </w:rPr>
        <w:t xml:space="preserve"> והתחקור של הנתונים </w:t>
      </w:r>
      <w:r w:rsidRPr="00BE1CFE">
        <w:rPr>
          <w:rtl/>
        </w:rPr>
        <w:t>כנדרש ביומן המסמכים</w:t>
      </w:r>
      <w:r w:rsidRPr="00BE1CFE">
        <w:rPr>
          <w:rFonts w:hint="cs"/>
          <w:rtl/>
        </w:rPr>
        <w:t xml:space="preserve">. בשני הנושאים הראשונים שבחנה החטיבה - התאמה לצורך המבצעי ומידתיות השימוש - קבעה החטיבה כי ככלל, ממצאי הבקרות היו תקינים למעט מקרים ספורים. בנוגע לנושא התיעוד קבעה החטיבה כי ב-130 מתוך 359 היתרים (כ-36%) חסר תיעוד מלא ותקין העונה לדרישות הנוהל. </w:t>
      </w:r>
    </w:p>
    <w:p w:rsidR="004B50FC" w:rsidRDefault="004B50FC" w:rsidP="00604C3D">
      <w:pPr>
        <w:spacing w:line="269" w:lineRule="auto"/>
        <w:rPr>
          <w:szCs w:val="20"/>
          <w:rtl/>
        </w:rPr>
      </w:pPr>
    </w:p>
    <w:p w:rsidR="00E50A30" w:rsidRPr="00BE1CFE" w:rsidRDefault="00E50A30" w:rsidP="00E2380D">
      <w:pPr>
        <w:spacing w:line="269" w:lineRule="auto"/>
        <w:ind w:left="846"/>
        <w:rPr>
          <w:rtl/>
        </w:rPr>
      </w:pPr>
      <w:r w:rsidRPr="00BE1CFE">
        <w:rPr>
          <w:rFonts w:hint="cs"/>
          <w:rtl/>
        </w:rPr>
        <w:t xml:space="preserve">למשל, החטיבה מצאה בבקרות היתרים שבהם לא היה ביחידות השטח מסמך תיעוד להיתר שניתן, </w:t>
      </w:r>
      <w:r w:rsidRPr="00BE1CFE">
        <w:rPr>
          <w:rFonts w:hint="eastAsia"/>
          <w:rtl/>
        </w:rPr>
        <w:t>או</w:t>
      </w:r>
      <w:r w:rsidRPr="00BE1CFE">
        <w:rPr>
          <w:rtl/>
        </w:rPr>
        <w:t xml:space="preserve"> </w:t>
      </w:r>
      <w:r w:rsidRPr="00BE1CFE">
        <w:rPr>
          <w:rFonts w:hint="cs"/>
          <w:rtl/>
        </w:rPr>
        <w:t xml:space="preserve">היתרים שלא </w:t>
      </w:r>
      <w:r w:rsidRPr="00BE1CFE">
        <w:rPr>
          <w:rtl/>
        </w:rPr>
        <w:t>ת</w:t>
      </w:r>
      <w:r w:rsidRPr="00BE1CFE">
        <w:rPr>
          <w:rFonts w:hint="cs"/>
          <w:rtl/>
        </w:rPr>
        <w:t>ו</w:t>
      </w:r>
      <w:r w:rsidRPr="00BE1CFE">
        <w:rPr>
          <w:rtl/>
        </w:rPr>
        <w:t>עד</w:t>
      </w:r>
      <w:r w:rsidRPr="00BE1CFE">
        <w:rPr>
          <w:rFonts w:hint="cs"/>
          <w:rtl/>
        </w:rPr>
        <w:t>ה</w:t>
      </w:r>
      <w:r w:rsidRPr="00BE1CFE">
        <w:rPr>
          <w:rtl/>
        </w:rPr>
        <w:t xml:space="preserve"> </w:t>
      </w:r>
      <w:r w:rsidRPr="00BE1CFE">
        <w:rPr>
          <w:rFonts w:hint="cs"/>
          <w:rtl/>
        </w:rPr>
        <w:t xml:space="preserve">בהם </w:t>
      </w:r>
      <w:r w:rsidRPr="00BE1CFE">
        <w:rPr>
          <w:rtl/>
        </w:rPr>
        <w:t xml:space="preserve">שורה ארוכה של </w:t>
      </w:r>
      <w:r w:rsidRPr="00BE1CFE">
        <w:rPr>
          <w:rFonts w:hint="cs"/>
          <w:rtl/>
        </w:rPr>
        <w:t>נתונים</w:t>
      </w:r>
      <w:r>
        <w:rPr>
          <w:rFonts w:hint="cs"/>
          <w:rtl/>
        </w:rPr>
        <w:t>.</w:t>
      </w:r>
      <w:r w:rsidRPr="00BE1CFE">
        <w:rPr>
          <w:rFonts w:hint="cs"/>
          <w:rtl/>
        </w:rPr>
        <w:t xml:space="preserve"> עם זאת יצוין כי התיעוד של פתיחת היתר מינהלי ממשיך להתבצע במשל"ט אשר מנהל בין היתר את התיעוד של נסיבות האירוע, שעת קבלת הדיווח עליו ואישור פתיחתו על ידי קצין מוסמך (ראו לעיל). </w:t>
      </w:r>
    </w:p>
    <w:p w:rsidR="004B50FC" w:rsidRDefault="004B50FC" w:rsidP="00E2380D">
      <w:pPr>
        <w:spacing w:line="269" w:lineRule="auto"/>
        <w:ind w:left="846"/>
        <w:rPr>
          <w:szCs w:val="20"/>
          <w:rtl/>
        </w:rPr>
      </w:pPr>
    </w:p>
    <w:p w:rsidR="00E50A30" w:rsidRPr="00BE1CFE" w:rsidRDefault="00E50A30" w:rsidP="00E2380D">
      <w:pPr>
        <w:spacing w:line="269" w:lineRule="auto"/>
        <w:ind w:left="846"/>
        <w:rPr>
          <w:b/>
          <w:bCs/>
          <w:rtl/>
        </w:rPr>
      </w:pPr>
      <w:r w:rsidRPr="00BE1CFE">
        <w:rPr>
          <w:rFonts w:hint="cs"/>
          <w:b/>
          <w:bCs/>
          <w:rtl/>
        </w:rPr>
        <w:t xml:space="preserve">חטיבת הסייבר קבעה בנוהל כי קיים צורך מוגבר בתיעוד של כלל </w:t>
      </w:r>
      <w:r w:rsidRPr="00BE1CFE">
        <w:rPr>
          <w:b/>
          <w:bCs/>
          <w:rtl/>
        </w:rPr>
        <w:t>היעדים</w:t>
      </w:r>
      <w:r w:rsidRPr="00BE1CFE">
        <w:rPr>
          <w:rFonts w:hint="cs"/>
          <w:b/>
          <w:bCs/>
          <w:rtl/>
        </w:rPr>
        <w:t xml:space="preserve"> שנכללים בהיתר המינהלי והפעולות המבוצעות במסגרתו לקבלת נתוני תקשורת. מבקרה שעשתה החטיבה בשנת 2021 על מימוש ההיתרים המינהליים בידי יחידות השטח עלה כי ב-36% מההיתרים (130 היתרים מתוך 359) חסר מידע מלא ותקין לגבי שורה של תחומים, לרבות מקרים שבהם לא נמצא ביחידות השטח מסמך המתעד את עצם מתן ההיתר המינהלי לקבלת נתוני תקשורת; מקרים שבהם לא נמצא דיווח המתעד את הקשר בין היעדים שלגביהם התבקשו נתוני התקשורת ובין האירוע שלגביו ניתן ההיתר; וכן מקרים שבהם לא נמצא </w:t>
      </w:r>
      <w:bookmarkStart w:id="643" w:name="_Hlk218690599"/>
      <w:r w:rsidRPr="00BE1CFE">
        <w:rPr>
          <w:rFonts w:hint="cs"/>
          <w:b/>
          <w:bCs/>
          <w:rtl/>
        </w:rPr>
        <w:t>דיווח המתעד את כל היעדים שהמשטרה קיבלה את נתוני התקשורת שלהם</w:t>
      </w:r>
      <w:bookmarkEnd w:id="643"/>
      <w:r w:rsidRPr="00BE1CFE">
        <w:rPr>
          <w:rFonts w:hint="cs"/>
          <w:b/>
          <w:bCs/>
          <w:rtl/>
        </w:rPr>
        <w:t xml:space="preserve">. </w:t>
      </w:r>
    </w:p>
    <w:p w:rsidR="004B50FC" w:rsidRDefault="004B50FC" w:rsidP="00E2380D">
      <w:pPr>
        <w:spacing w:line="269" w:lineRule="auto"/>
        <w:ind w:left="846"/>
        <w:rPr>
          <w:sz w:val="16"/>
          <w:szCs w:val="16"/>
          <w:rtl/>
        </w:rPr>
      </w:pPr>
    </w:p>
    <w:p w:rsidR="00E50A30" w:rsidRPr="00BE1CFE" w:rsidRDefault="00E50A30" w:rsidP="00E2380D">
      <w:pPr>
        <w:spacing w:line="269" w:lineRule="auto"/>
        <w:ind w:left="846"/>
        <w:rPr>
          <w:rtl/>
        </w:rPr>
      </w:pPr>
      <w:r w:rsidRPr="00BE1CFE">
        <w:rPr>
          <w:rFonts w:hint="cs"/>
          <w:rtl/>
        </w:rPr>
        <w:t>המשטרה הסבירה בתשובתה כי הבקרות הנזכרות נוגעות לאישור קצין מורשה לקבלת נתוני</w:t>
      </w:r>
      <w:r w:rsidR="000D3A88">
        <w:rPr>
          <w:rFonts w:hint="cs"/>
          <w:rtl/>
        </w:rPr>
        <w:t xml:space="preserve">ם </w:t>
      </w:r>
      <w:r w:rsidR="00F40708">
        <w:rPr>
          <w:rFonts w:hint="cs"/>
          <w:rtl/>
        </w:rPr>
        <w:t>מסוימים</w:t>
      </w:r>
      <w:r w:rsidRPr="00BE1CFE">
        <w:rPr>
          <w:rFonts w:hint="cs"/>
          <w:rtl/>
        </w:rPr>
        <w:t xml:space="preserve"> בהיתר מינהלי והסבר קצר על </w:t>
      </w:r>
      <w:r w:rsidR="000D3A88">
        <w:rPr>
          <w:rFonts w:hint="cs"/>
          <w:rtl/>
        </w:rPr>
        <w:t>נחיצות הנתונים</w:t>
      </w:r>
      <w:r w:rsidRPr="00BE1CFE">
        <w:rPr>
          <w:rFonts w:hint="cs"/>
          <w:rtl/>
        </w:rPr>
        <w:t xml:space="preserve">. אומנם בבקרות שצוינו היה חסר </w:t>
      </w:r>
      <w:r w:rsidR="00F40708" w:rsidRPr="00F40708">
        <w:rPr>
          <w:rtl/>
        </w:rPr>
        <w:t>דיווח המתעד את כל היעדים שהמשטרה קיבלה את נתוני התקשורת שלהם</w:t>
      </w:r>
      <w:r w:rsidRPr="00BE1CFE">
        <w:rPr>
          <w:rFonts w:hint="cs"/>
          <w:rtl/>
        </w:rPr>
        <w:t xml:space="preserve"> אך מדובר בליקוי מינורי יחסית. </w:t>
      </w:r>
    </w:p>
    <w:p w:rsidR="004B50FC" w:rsidRDefault="004B50FC" w:rsidP="00E2380D">
      <w:pPr>
        <w:spacing w:line="269" w:lineRule="auto"/>
        <w:ind w:left="846"/>
        <w:rPr>
          <w:szCs w:val="20"/>
          <w:rtl/>
        </w:rPr>
      </w:pPr>
    </w:p>
    <w:p w:rsidR="00E50A30" w:rsidRPr="00BE1CFE" w:rsidRDefault="00E50A30" w:rsidP="00E2380D">
      <w:pPr>
        <w:spacing w:line="269" w:lineRule="auto"/>
        <w:ind w:left="846"/>
        <w:rPr>
          <w:b/>
          <w:bCs/>
          <w:rtl/>
        </w:rPr>
      </w:pPr>
      <w:r w:rsidRPr="00BE1CFE">
        <w:rPr>
          <w:rFonts w:hint="cs"/>
          <w:b/>
          <w:bCs/>
          <w:rtl/>
        </w:rPr>
        <w:t>בהיעדר דיווח מלא ותקין המתעד את ההיתרים המינהליים ובכלל זה פרטי היעדים, לא מתאפשרת בחינה ממשית של עמידת המשטרה בהוראות החוק והנוהל ש</w:t>
      </w:r>
      <w:r w:rsidR="00D6431B">
        <w:rPr>
          <w:rFonts w:hint="cs"/>
          <w:b/>
          <w:bCs/>
          <w:rtl/>
        </w:rPr>
        <w:t xml:space="preserve">היא </w:t>
      </w:r>
      <w:r w:rsidRPr="00BE1CFE">
        <w:rPr>
          <w:rFonts w:hint="cs"/>
          <w:b/>
          <w:bCs/>
          <w:rtl/>
        </w:rPr>
        <w:t>קבעה המשטרה בנוגע לכך</w:t>
      </w:r>
      <w:r w:rsidR="00D6431B">
        <w:rPr>
          <w:rFonts w:hint="cs"/>
          <w:b/>
          <w:bCs/>
          <w:rtl/>
        </w:rPr>
        <w:t>. כמו כן, במקרה בו ביקשה המשטרה להוסיף עוד נתונים להיתר המינהלי,</w:t>
      </w:r>
      <w:r w:rsidRPr="00BE1CFE">
        <w:rPr>
          <w:rFonts w:hint="cs"/>
          <w:b/>
          <w:bCs/>
          <w:rtl/>
        </w:rPr>
        <w:t xml:space="preserve"> לא תמיד ניתן לקבוע בוודאות את תקינותו של הצורך המבצעי </w:t>
      </w:r>
      <w:r w:rsidR="00D6431B">
        <w:rPr>
          <w:rFonts w:hint="cs"/>
          <w:b/>
          <w:bCs/>
          <w:rtl/>
        </w:rPr>
        <w:t xml:space="preserve">להוספה זו </w:t>
      </w:r>
      <w:r w:rsidRPr="00BE1CFE">
        <w:rPr>
          <w:rFonts w:hint="cs"/>
          <w:b/>
          <w:bCs/>
          <w:rtl/>
        </w:rPr>
        <w:t xml:space="preserve">ואת העמידה בקריטריון המידתיות </w:t>
      </w:r>
      <w:r w:rsidR="00D6431B">
        <w:rPr>
          <w:rFonts w:hint="cs"/>
          <w:b/>
          <w:bCs/>
          <w:rtl/>
        </w:rPr>
        <w:t>להוצאת ה</w:t>
      </w:r>
      <w:r w:rsidRPr="00BE1CFE">
        <w:rPr>
          <w:rFonts w:hint="cs"/>
          <w:b/>
          <w:bCs/>
          <w:rtl/>
        </w:rPr>
        <w:t>היתר מינהלי.</w:t>
      </w:r>
    </w:p>
    <w:p w:rsidR="004B50FC" w:rsidRDefault="004B50FC" w:rsidP="00E2380D">
      <w:pPr>
        <w:spacing w:line="269" w:lineRule="auto"/>
        <w:ind w:left="846"/>
        <w:rPr>
          <w:szCs w:val="20"/>
          <w:rtl/>
        </w:rPr>
      </w:pPr>
    </w:p>
    <w:p w:rsidR="00E50A30" w:rsidRPr="00BE1CFE" w:rsidRDefault="00E50A30" w:rsidP="00E2380D">
      <w:pPr>
        <w:spacing w:line="269" w:lineRule="auto"/>
        <w:ind w:left="846"/>
        <w:rPr>
          <w:b/>
          <w:bCs/>
          <w:rtl/>
        </w:rPr>
      </w:pPr>
      <w:r w:rsidRPr="00BE1CFE">
        <w:rPr>
          <w:rFonts w:hint="cs"/>
          <w:b/>
          <w:bCs/>
          <w:rtl/>
        </w:rPr>
        <w:t>על חטיבת הסייבר להקפיד על תיעוד מלא של כלל המידע הרלוונטי להיתרים המינהליים, אישורם והשימוש בהם. כמו כן עליה להמשיך לבצע בקרות על יחידות השטח כדי לוודא שהן פועלות בהתאם לדרישות החוק ולנוהלי החטיבה. נוסף על כך מוצע לחטיבה לעשות התאמות טכנולוגיות במערכות הרלוונטיות שבהן מתבצע תיעוד של היתרי</w:t>
      </w:r>
      <w:r>
        <w:rPr>
          <w:rFonts w:hint="cs"/>
          <w:b/>
          <w:bCs/>
          <w:rtl/>
        </w:rPr>
        <w:t>ם</w:t>
      </w:r>
      <w:r w:rsidRPr="00BE1CFE">
        <w:rPr>
          <w:rFonts w:hint="cs"/>
          <w:b/>
          <w:bCs/>
          <w:rtl/>
        </w:rPr>
        <w:t xml:space="preserve"> </w:t>
      </w:r>
      <w:r>
        <w:rPr>
          <w:rFonts w:hint="cs"/>
          <w:b/>
          <w:bCs/>
          <w:rtl/>
        </w:rPr>
        <w:t>מינהליים</w:t>
      </w:r>
      <w:r w:rsidRPr="00BE1CFE">
        <w:rPr>
          <w:rFonts w:hint="cs"/>
          <w:b/>
          <w:bCs/>
          <w:rtl/>
        </w:rPr>
        <w:t xml:space="preserve"> ומימוש ההיתרים לקבלת נתוני תקשורת כך שכל השדות שבהם נדרש תיעוד הכרחי יהיו שדות חובה. כך, אם היחידה לא תמלא שדה מסוים, המערכת תחסום את האפשרות של מימוש בקשה לקבלת נתוני תקשורת, וכן יהיה ניתן להוציא באופן מקוון ושוטף דוחות בנוגע להיתרים חריגים.</w:t>
      </w:r>
    </w:p>
    <w:p w:rsidR="004B50FC" w:rsidRDefault="004B50FC" w:rsidP="00E2380D">
      <w:pPr>
        <w:spacing w:line="269" w:lineRule="auto"/>
        <w:ind w:left="846"/>
        <w:rPr>
          <w:sz w:val="16"/>
          <w:szCs w:val="16"/>
          <w:rtl/>
        </w:rPr>
      </w:pPr>
    </w:p>
    <w:p w:rsidR="00E50A30" w:rsidRPr="00BE1CFE" w:rsidRDefault="00E50A30" w:rsidP="00E2380D">
      <w:pPr>
        <w:spacing w:line="269" w:lineRule="auto"/>
        <w:ind w:left="846"/>
        <w:rPr>
          <w:rtl/>
        </w:rPr>
      </w:pPr>
      <w:r w:rsidRPr="00BE1CFE">
        <w:rPr>
          <w:rFonts w:hint="cs"/>
          <w:rtl/>
        </w:rPr>
        <w:t>המשטרה ציינה בתגובתה כי היא</w:t>
      </w:r>
      <w:r w:rsidRPr="00BE1CFE">
        <w:rPr>
          <w:rtl/>
        </w:rPr>
        <w:t xml:space="preserve"> מבצעת שינויים טכנולוגיים באופן שוטף לטיוב תהליך הטיפול באירועי חירום</w:t>
      </w:r>
      <w:r w:rsidRPr="00BE1CFE">
        <w:rPr>
          <w:rFonts w:hint="cs"/>
          <w:rtl/>
        </w:rPr>
        <w:t>,</w:t>
      </w:r>
      <w:r w:rsidRPr="00BE1CFE">
        <w:rPr>
          <w:rtl/>
        </w:rPr>
        <w:t xml:space="preserve"> </w:t>
      </w:r>
      <w:r w:rsidRPr="00BE1CFE">
        <w:rPr>
          <w:rFonts w:hint="cs"/>
          <w:rtl/>
        </w:rPr>
        <w:t xml:space="preserve">ובהם בין היתר </w:t>
      </w:r>
      <w:r w:rsidRPr="00BE1CFE">
        <w:rPr>
          <w:rtl/>
        </w:rPr>
        <w:t xml:space="preserve">הזנת נתוני </w:t>
      </w:r>
      <w:r w:rsidRPr="00BE1CFE">
        <w:rPr>
          <w:rFonts w:hint="cs"/>
          <w:rtl/>
        </w:rPr>
        <w:t xml:space="preserve">ההיתרים המינהליים </w:t>
      </w:r>
      <w:r w:rsidRPr="00BE1CFE">
        <w:rPr>
          <w:rtl/>
        </w:rPr>
        <w:t xml:space="preserve">במערכת </w:t>
      </w:r>
      <w:r w:rsidRPr="00BE1CFE">
        <w:rPr>
          <w:rFonts w:hint="cs"/>
          <w:rtl/>
        </w:rPr>
        <w:t>הממוחשבת לניהול צווים חלף</w:t>
      </w:r>
      <w:r w:rsidRPr="00BE1CFE">
        <w:rPr>
          <w:rtl/>
        </w:rPr>
        <w:t xml:space="preserve"> טבלה חיצונית ידנית </w:t>
      </w:r>
      <w:r w:rsidRPr="00BE1CFE">
        <w:rPr>
          <w:rFonts w:hint="cs"/>
          <w:rtl/>
        </w:rPr>
        <w:t xml:space="preserve">ויצירת ממשק בין מערכת ניהול הצווים ובין </w:t>
      </w:r>
      <w:r w:rsidRPr="00BE1CFE">
        <w:rPr>
          <w:rtl/>
        </w:rPr>
        <w:t>מערכת התחקור</w:t>
      </w:r>
      <w:r w:rsidRPr="00BE1CFE">
        <w:rPr>
          <w:rFonts w:hint="cs"/>
          <w:rtl/>
        </w:rPr>
        <w:t xml:space="preserve"> בנוגע למושא ההיתר</w:t>
      </w:r>
      <w:r w:rsidRPr="00BE1CFE">
        <w:rPr>
          <w:rtl/>
        </w:rPr>
        <w:t xml:space="preserve">. </w:t>
      </w:r>
    </w:p>
    <w:p w:rsidR="00E50A30" w:rsidRPr="00BE1CFE" w:rsidRDefault="00E50A30" w:rsidP="00604C3D">
      <w:pPr>
        <w:spacing w:line="269" w:lineRule="auto"/>
        <w:rPr>
          <w:rtl/>
        </w:rPr>
      </w:pPr>
    </w:p>
    <w:p w:rsidR="00E50A30" w:rsidRPr="00BE1CFE" w:rsidRDefault="00E50A30" w:rsidP="00E2380D">
      <w:pPr>
        <w:pStyle w:val="5"/>
        <w:numPr>
          <w:ilvl w:val="0"/>
          <w:numId w:val="53"/>
        </w:numPr>
        <w:spacing w:line="269" w:lineRule="auto"/>
        <w:ind w:left="846" w:hanging="423"/>
        <w:rPr>
          <w:bCs w:val="0"/>
          <w:rtl/>
        </w:rPr>
      </w:pPr>
      <w:r w:rsidRPr="00E91101">
        <w:rPr>
          <w:rFonts w:eastAsia="Times New Roman" w:hint="cs"/>
          <w:rtl/>
        </w:rPr>
        <w:t>הבקרה</w:t>
      </w:r>
      <w:r w:rsidRPr="00BE1CFE">
        <w:rPr>
          <w:rFonts w:eastAsia="Times New Roman" w:hint="cs"/>
          <w:bCs w:val="0"/>
          <w:rtl/>
        </w:rPr>
        <w:t xml:space="preserve"> </w:t>
      </w:r>
      <w:r w:rsidRPr="00E91101">
        <w:rPr>
          <w:rFonts w:eastAsia="Times New Roman" w:hint="cs"/>
          <w:b/>
          <w:rtl/>
        </w:rPr>
        <w:t xml:space="preserve">בתחום </w:t>
      </w:r>
      <w:r w:rsidRPr="00E91101">
        <w:rPr>
          <w:rFonts w:eastAsia="Times New Roman" w:hint="eastAsia"/>
          <w:b/>
          <w:rtl/>
        </w:rPr>
        <w:t>האזנות</w:t>
      </w:r>
      <w:r w:rsidRPr="00E91101">
        <w:rPr>
          <w:rFonts w:eastAsia="Times New Roman"/>
          <w:b/>
          <w:rtl/>
        </w:rPr>
        <w:t xml:space="preserve"> </w:t>
      </w:r>
      <w:r w:rsidRPr="00E91101">
        <w:rPr>
          <w:rFonts w:eastAsia="Times New Roman" w:hint="eastAsia"/>
          <w:b/>
          <w:rtl/>
        </w:rPr>
        <w:t>סתר</w:t>
      </w:r>
      <w:r w:rsidRPr="00BE1CFE">
        <w:rPr>
          <w:rFonts w:hint="cs"/>
          <w:bCs w:val="0"/>
          <w:rtl/>
        </w:rPr>
        <w:t xml:space="preserve"> </w:t>
      </w:r>
    </w:p>
    <w:p w:rsidR="004B50FC" w:rsidRDefault="004B50FC" w:rsidP="00604C3D">
      <w:pPr>
        <w:spacing w:line="269" w:lineRule="auto"/>
        <w:contextualSpacing/>
        <w:rPr>
          <w:szCs w:val="20"/>
          <w:rtl/>
        </w:rPr>
      </w:pPr>
    </w:p>
    <w:p w:rsidR="00E50A30" w:rsidRPr="00BE1CFE" w:rsidRDefault="00E50A30" w:rsidP="00E2380D">
      <w:pPr>
        <w:spacing w:line="269" w:lineRule="auto"/>
        <w:ind w:left="846"/>
        <w:contextualSpacing/>
        <w:rPr>
          <w:rtl/>
        </w:rPr>
      </w:pPr>
      <w:r w:rsidRPr="00BE1CFE">
        <w:rPr>
          <w:rFonts w:hint="cs"/>
          <w:rtl/>
        </w:rPr>
        <w:t>הצס"ם הארצי בחטיבת הסייבר פועל מול יחידות השטח השונות</w:t>
      </w:r>
      <w:r w:rsidRPr="00BE1CFE">
        <w:rPr>
          <w:vertAlign w:val="superscript"/>
          <w:rtl/>
        </w:rPr>
        <w:footnoteReference w:id="305"/>
      </w:r>
      <w:r w:rsidRPr="00BE1CFE">
        <w:rPr>
          <w:rFonts w:hint="cs"/>
          <w:rtl/>
        </w:rPr>
        <w:t xml:space="preserve"> בתחום האזנות סתר ותקשורת בין מחשבים הן כגורם מטה מקצועי והן כגורם מטה תפעולי-מבצעי, והוא מרכז את הפעלת הכלים הטכנולוגיים הרגישים ביותר מהבחינה המודיעינית ומהבחינה המבצעית-טכנולוגית בתחום זה. בשל רמת הרגישות הגבוהה של הכלים והחיסיון המוטל על הפעלתם, חלק מכלים אלו לא בוזרו ליחידות השטח ולמחלקי הפקת השמע במחוזות. חטיבת הסייבר הגדירה באמצעות כמה נהלים והנחיות עבודה את הדרישה המוגברת לתיעוד ולבקרה של שלבי העבודה השונים בתהליך הפעלת כלים אלו.</w:t>
      </w:r>
    </w:p>
    <w:p w:rsidR="00E50A30" w:rsidRDefault="00E50A30" w:rsidP="00E2380D">
      <w:pPr>
        <w:spacing w:line="269" w:lineRule="auto"/>
        <w:ind w:left="279"/>
        <w:rPr>
          <w:szCs w:val="20"/>
          <w:rtl/>
        </w:rPr>
      </w:pPr>
    </w:p>
    <w:p w:rsidR="00E50A30" w:rsidRPr="00BE1CFE" w:rsidRDefault="00E50A30" w:rsidP="00E2380D">
      <w:pPr>
        <w:spacing w:line="269" w:lineRule="auto"/>
        <w:ind w:left="846"/>
        <w:rPr>
          <w:rtl/>
        </w:rPr>
      </w:pPr>
      <w:r w:rsidRPr="00BE1CFE">
        <w:rPr>
          <w:rFonts w:hint="cs"/>
          <w:rtl/>
        </w:rPr>
        <w:t xml:space="preserve">בדצמבר 2017 ביצע מטה חטיבת הסייבר בקרה בצס"ם הארצי אשר התמקדה בשלבי העבודה שמבצעים מפיקי הצס"ם הארצי. הבקרה התמקדה בחמישה תיקי האזנת סתר שטופלו בצס"ם הארצי ובחנה את התיקים ביחס לכלל הנושאים השונים בשלבי תהליך העבודה. </w:t>
      </w:r>
    </w:p>
    <w:p w:rsidR="004B50FC" w:rsidRDefault="004B50FC" w:rsidP="00E2380D">
      <w:pPr>
        <w:spacing w:line="269" w:lineRule="auto"/>
        <w:ind w:left="846"/>
        <w:rPr>
          <w:szCs w:val="20"/>
          <w:rtl/>
        </w:rPr>
      </w:pPr>
    </w:p>
    <w:p w:rsidR="00E50A30" w:rsidRPr="00BE1CFE" w:rsidRDefault="00E50A30" w:rsidP="00E2380D">
      <w:pPr>
        <w:spacing w:line="269" w:lineRule="auto"/>
        <w:ind w:left="846"/>
        <w:rPr>
          <w:rtl/>
        </w:rPr>
      </w:pPr>
      <w:r w:rsidRPr="00BE1CFE">
        <w:rPr>
          <w:rFonts w:hint="cs"/>
          <w:b/>
          <w:bCs/>
          <w:rtl/>
        </w:rPr>
        <w:t xml:space="preserve">משרד מבקר המדינה מציין לחיוב את הבקרה המעמיקה שביצעה חטיבת הסייבר בשנת 2017, אשר בחנה את </w:t>
      </w:r>
      <w:bookmarkStart w:id="644" w:name="_Hlk143260557"/>
      <w:r w:rsidRPr="00BE1CFE">
        <w:rPr>
          <w:rFonts w:hint="cs"/>
          <w:b/>
          <w:bCs/>
          <w:rtl/>
        </w:rPr>
        <w:t xml:space="preserve">תהליך העבודה בתחום האזנות הסתר על </w:t>
      </w:r>
      <w:r w:rsidRPr="00BE1CFE">
        <w:rPr>
          <w:rFonts w:hint="eastAsia"/>
          <w:b/>
          <w:bCs/>
          <w:rtl/>
        </w:rPr>
        <w:t>מרכיביו</w:t>
      </w:r>
      <w:r w:rsidRPr="00BE1CFE">
        <w:rPr>
          <w:rFonts w:hint="cs"/>
          <w:b/>
          <w:bCs/>
          <w:rtl/>
        </w:rPr>
        <w:t xml:space="preserve"> השונים ואת תהליך הפקת התוצרים, וכן בחנה את עמידת הצס"ם הארצי בדרישות הקבועות בנהלים ובהנחיות שקבעה חטיבת הסייבר</w:t>
      </w:r>
      <w:bookmarkEnd w:id="644"/>
      <w:r w:rsidRPr="00BE1CFE">
        <w:rPr>
          <w:b/>
          <w:bCs/>
          <w:vertAlign w:val="superscript"/>
          <w:rtl/>
        </w:rPr>
        <w:footnoteReference w:id="306"/>
      </w:r>
      <w:r w:rsidRPr="00BE1CFE">
        <w:rPr>
          <w:rFonts w:hint="cs"/>
          <w:b/>
          <w:bCs/>
          <w:rtl/>
        </w:rPr>
        <w:t>.</w:t>
      </w:r>
    </w:p>
    <w:p w:rsidR="004B50FC" w:rsidRDefault="004B50FC" w:rsidP="00E2380D">
      <w:pPr>
        <w:spacing w:line="269" w:lineRule="auto"/>
        <w:ind w:left="846"/>
        <w:rPr>
          <w:szCs w:val="20"/>
          <w:rtl/>
        </w:rPr>
      </w:pPr>
    </w:p>
    <w:p w:rsidR="00E50A30" w:rsidRPr="00BE1CFE" w:rsidRDefault="00E50A30" w:rsidP="00E2380D">
      <w:pPr>
        <w:spacing w:line="269" w:lineRule="auto"/>
        <w:ind w:left="846"/>
        <w:rPr>
          <w:rtl/>
        </w:rPr>
      </w:pPr>
      <w:r w:rsidRPr="00BE1CFE">
        <w:rPr>
          <w:rFonts w:hint="cs"/>
          <w:rtl/>
        </w:rPr>
        <w:t xml:space="preserve">יצוין כי בשנים 2018 </w:t>
      </w:r>
      <w:r w:rsidR="0084129F">
        <w:rPr>
          <w:rFonts w:hint="cs"/>
          <w:rtl/>
        </w:rPr>
        <w:t>-</w:t>
      </w:r>
      <w:r w:rsidRPr="00BE1CFE">
        <w:rPr>
          <w:rFonts w:hint="cs"/>
          <w:rtl/>
        </w:rPr>
        <w:t xml:space="preserve"> 2021 ריכז הצס"ם הארצי נתונים בסיסיים על כל אחת מעמדות האזנות הסתר שהוא הפעיל</w:t>
      </w:r>
      <w:r w:rsidRPr="00BE1CFE">
        <w:rPr>
          <w:rtl/>
        </w:rPr>
        <w:t>,</w:t>
      </w:r>
      <w:r w:rsidRPr="00BE1CFE">
        <w:rPr>
          <w:rFonts w:hint="cs"/>
          <w:rtl/>
        </w:rPr>
        <w:t xml:space="preserve"> כגון היחידה שהזמינה את האזנת הסתר; היעד להאזנה; המספר הפנימי של העמדה; המספר הפנימי של צו בית המשפט; תוקף הצו; והערות. אף שהחטיבה נהגה לכנות פעולות אלו 'בקרות', הרי שבפועל בנוגע למרבית העמדות הצס"ם הארצי הציג בדיווח רק את הפרטים האינפורמטיביים לגבי העמדה. גם כאשר נמצאו ליקויים חמורים ויסודיים, כגון משיכת מידע האסור לאיסוף על פי חוק - הם צוינו בצורה מינורית, ללא </w:t>
      </w:r>
      <w:r w:rsidRPr="00BE1CFE">
        <w:rPr>
          <w:rtl/>
        </w:rPr>
        <w:t xml:space="preserve">התייחסות למשמעות </w:t>
      </w:r>
      <w:r w:rsidRPr="00BE1CFE">
        <w:rPr>
          <w:rFonts w:hint="cs"/>
          <w:rtl/>
        </w:rPr>
        <w:t>הליקוי</w:t>
      </w:r>
      <w:r w:rsidRPr="00BE1CFE">
        <w:rPr>
          <w:rtl/>
        </w:rPr>
        <w:t xml:space="preserve">, כיצד נגרם, מה </w:t>
      </w:r>
      <w:r w:rsidRPr="00BE1CFE">
        <w:rPr>
          <w:rFonts w:hint="cs"/>
          <w:rtl/>
        </w:rPr>
        <w:t>השפעותיו</w:t>
      </w:r>
      <w:r w:rsidRPr="00BE1CFE">
        <w:rPr>
          <w:rtl/>
        </w:rPr>
        <w:t xml:space="preserve"> ומה נדרש כדי לתקן את המצב.</w:t>
      </w:r>
      <w:r w:rsidRPr="00BE1CFE">
        <w:rPr>
          <w:rFonts w:hint="cs"/>
          <w:rtl/>
        </w:rPr>
        <w:t xml:space="preserve"> </w:t>
      </w:r>
    </w:p>
    <w:p w:rsidR="004B50FC" w:rsidRDefault="004B50FC" w:rsidP="00E2380D">
      <w:pPr>
        <w:spacing w:line="269" w:lineRule="auto"/>
        <w:ind w:left="846"/>
        <w:rPr>
          <w:szCs w:val="20"/>
          <w:rtl/>
        </w:rPr>
      </w:pPr>
    </w:p>
    <w:p w:rsidR="00E50A30" w:rsidRPr="00BE1CFE" w:rsidRDefault="00E50A30" w:rsidP="00E2380D">
      <w:pPr>
        <w:spacing w:line="269" w:lineRule="auto"/>
        <w:ind w:left="846"/>
        <w:rPr>
          <w:b/>
          <w:bCs/>
          <w:rtl/>
        </w:rPr>
      </w:pPr>
      <w:r w:rsidRPr="00BE1CFE">
        <w:rPr>
          <w:rFonts w:hint="cs"/>
          <w:b/>
          <w:bCs/>
          <w:rtl/>
        </w:rPr>
        <w:t xml:space="preserve">הצס"ם הארצי מבצע את הפעילות הרגישה ביותר בתחום האזנות סתר. נמצא כי הבקרות שקיימה חטיבת הסייבר בשנים 2018 </w:t>
      </w:r>
      <w:r w:rsidR="0084129F">
        <w:rPr>
          <w:rFonts w:hint="cs"/>
          <w:b/>
          <w:bCs/>
          <w:rtl/>
        </w:rPr>
        <w:t>-</w:t>
      </w:r>
      <w:r w:rsidRPr="00BE1CFE">
        <w:rPr>
          <w:rFonts w:hint="cs"/>
          <w:b/>
          <w:bCs/>
          <w:rtl/>
        </w:rPr>
        <w:t xml:space="preserve"> 2021 לגבי הפעילות של הצס"ם הארצי לא היו מעמיקות ומשמעותיות שכן הן כללו בעיקר איסוף של נתונים אינפורמטיביים לגבי ההפעלה של עמדות האזנות סתר. במקרה יחיד, בדצמבר 2017, נעשתה בקרה ממשית שבחנה את כל שלבי תהליך העבודה ואת עמידת הצס"ם הארצי בנוהלי החטיבה. זאת ועוד, במסגרת בקרות אלו לא הייתה התייחסות משמעותית לפערים יסודיים שעלו בהן, כגון איסוף חומרים האסורים לאיסוף על פי חוק. </w:t>
      </w:r>
    </w:p>
    <w:p w:rsidR="004B50FC" w:rsidRDefault="004B50FC" w:rsidP="00E2380D">
      <w:pPr>
        <w:spacing w:line="269" w:lineRule="auto"/>
        <w:ind w:left="846"/>
        <w:rPr>
          <w:szCs w:val="20"/>
          <w:rtl/>
        </w:rPr>
      </w:pPr>
      <w:bookmarkStart w:id="645" w:name="_Hlk143260577"/>
    </w:p>
    <w:p w:rsidR="00E50A30" w:rsidRPr="00BE1CFE" w:rsidRDefault="00E50A30" w:rsidP="00E2380D">
      <w:pPr>
        <w:spacing w:line="269" w:lineRule="auto"/>
        <w:ind w:left="846"/>
        <w:rPr>
          <w:b/>
          <w:bCs/>
          <w:rtl/>
        </w:rPr>
      </w:pPr>
      <w:r w:rsidRPr="00BE1CFE">
        <w:rPr>
          <w:rFonts w:hint="cs"/>
          <w:b/>
          <w:bCs/>
          <w:rtl/>
        </w:rPr>
        <w:t>מוצע כי חטיבת הסייבר תקבע מתודולוגיה שתבטיח קיום בקרות מעמיקות ומשמעותיות על פעילות הצס"ם הארצי בכל הנוגע לתהליך האזנות הסתר על מרכיביו השונים</w:t>
      </w:r>
      <w:r>
        <w:rPr>
          <w:rFonts w:hint="cs"/>
          <w:b/>
          <w:bCs/>
          <w:rtl/>
        </w:rPr>
        <w:t>,</w:t>
      </w:r>
      <w:r w:rsidRPr="00BE1CFE">
        <w:rPr>
          <w:rFonts w:hint="cs"/>
          <w:b/>
          <w:bCs/>
          <w:rtl/>
        </w:rPr>
        <w:t xml:space="preserve"> לתהליך הפקת התוצרים</w:t>
      </w:r>
      <w:r>
        <w:rPr>
          <w:rFonts w:hint="cs"/>
          <w:b/>
          <w:bCs/>
          <w:rtl/>
        </w:rPr>
        <w:t>, הצדקת הפעלת הכלים ומידת היעילות והאפקטיביות של השימוש בהם</w:t>
      </w:r>
      <w:r w:rsidRPr="00BE1CFE">
        <w:rPr>
          <w:rFonts w:hint="cs"/>
          <w:b/>
          <w:bCs/>
          <w:rtl/>
        </w:rPr>
        <w:t>. לצורך כך ניתן להתבסס על הבקרה המעמיקה</w:t>
      </w:r>
      <w:bookmarkEnd w:id="645"/>
      <w:r w:rsidRPr="00BE1CFE">
        <w:rPr>
          <w:rFonts w:hint="cs"/>
          <w:b/>
          <w:bCs/>
          <w:rtl/>
        </w:rPr>
        <w:t xml:space="preserve"> שנעשתה בסוף שנת 2017. כמו כן על חטיבת הסייבר לקבוע נוהל לטיפול מוקפד בליקויים יסודיים שעלו בבקרות, כגון איסוף מידע ונתונים האסורים לאיסוף לפי החוק.</w:t>
      </w:r>
      <w:r w:rsidRPr="00BE1CFE" w:rsidDel="00D11367">
        <w:rPr>
          <w:rFonts w:hint="cs"/>
          <w:b/>
          <w:bCs/>
          <w:rtl/>
        </w:rPr>
        <w:t xml:space="preserve"> </w:t>
      </w:r>
    </w:p>
    <w:p w:rsidR="004B50FC" w:rsidRDefault="004B50FC" w:rsidP="00E2380D">
      <w:pPr>
        <w:spacing w:line="269" w:lineRule="auto"/>
        <w:ind w:left="846"/>
        <w:rPr>
          <w:sz w:val="16"/>
          <w:szCs w:val="16"/>
          <w:rtl/>
        </w:rPr>
      </w:pPr>
    </w:p>
    <w:p w:rsidR="00B23151" w:rsidRDefault="00E50A30" w:rsidP="00E2380D">
      <w:pPr>
        <w:spacing w:line="269" w:lineRule="auto"/>
        <w:ind w:left="846"/>
        <w:rPr>
          <w:b/>
          <w:bCs/>
          <w:rtl/>
        </w:rPr>
      </w:pPr>
      <w:r w:rsidRPr="00BE1CFE">
        <w:rPr>
          <w:rFonts w:hint="cs"/>
          <w:rtl/>
        </w:rPr>
        <w:t xml:space="preserve">המשטרה מסרה בתשובתה כי </w:t>
      </w:r>
      <w:r w:rsidRPr="00BE1CFE">
        <w:rPr>
          <w:rtl/>
        </w:rPr>
        <w:t>עם תחילת השימוש במערכת</w:t>
      </w:r>
      <w:r w:rsidRPr="00BE1CFE">
        <w:rPr>
          <w:rFonts w:hint="cs"/>
          <w:rtl/>
        </w:rPr>
        <w:t xml:space="preserve"> להאזנה לתקשורת בין מחשבים אכן לא נערכו בקרות טכנולוגיות בנושא הפעלת המערכת.</w:t>
      </w:r>
      <w:r w:rsidRPr="00BE1CFE">
        <w:rPr>
          <w:rtl/>
        </w:rPr>
        <w:t xml:space="preserve"> במהלך שנת 2023 עודכנה הנחיית העבודה </w:t>
      </w:r>
      <w:r w:rsidRPr="00BE1CFE">
        <w:rPr>
          <w:rFonts w:hint="cs"/>
          <w:rtl/>
        </w:rPr>
        <w:t>הרלוונטית לצס"ם הארצי</w:t>
      </w:r>
      <w:r w:rsidRPr="00BE1CFE">
        <w:rPr>
          <w:rtl/>
        </w:rPr>
        <w:t xml:space="preserve">, המסדירה את תהליך העבודה של </w:t>
      </w:r>
      <w:r w:rsidRPr="00BE1CFE">
        <w:rPr>
          <w:rFonts w:hint="cs"/>
          <w:rtl/>
        </w:rPr>
        <w:t xml:space="preserve">הפקת </w:t>
      </w:r>
      <w:r w:rsidRPr="00BE1CFE">
        <w:rPr>
          <w:rtl/>
        </w:rPr>
        <w:t>התוצר לרבות תחום הפיקוח והבקרה</w:t>
      </w:r>
      <w:r w:rsidRPr="00BE1CFE">
        <w:rPr>
          <w:rFonts w:hint="cs"/>
          <w:rtl/>
        </w:rPr>
        <w:t>,</w:t>
      </w:r>
      <w:r w:rsidRPr="00BE1CFE">
        <w:rPr>
          <w:rtl/>
        </w:rPr>
        <w:t xml:space="preserve"> </w:t>
      </w:r>
      <w:r w:rsidRPr="00BE1CFE">
        <w:rPr>
          <w:rFonts w:hint="cs"/>
          <w:rtl/>
        </w:rPr>
        <w:t xml:space="preserve">וכן </w:t>
      </w:r>
      <w:r w:rsidRPr="00BE1CFE">
        <w:rPr>
          <w:rtl/>
        </w:rPr>
        <w:t>ג</w:t>
      </w:r>
      <w:r w:rsidRPr="00BE1CFE">
        <w:rPr>
          <w:rFonts w:hint="eastAsia"/>
          <w:rtl/>
        </w:rPr>
        <w:t>ו</w:t>
      </w:r>
      <w:r w:rsidRPr="00BE1CFE">
        <w:rPr>
          <w:rtl/>
        </w:rPr>
        <w:t>בשה מתודולוגיה חדשה לנושא הפיקוח ו</w:t>
      </w:r>
      <w:r w:rsidRPr="00BE1CFE">
        <w:rPr>
          <w:rFonts w:hint="eastAsia"/>
          <w:rtl/>
        </w:rPr>
        <w:t>ה</w:t>
      </w:r>
      <w:r w:rsidRPr="00BE1CFE">
        <w:rPr>
          <w:rtl/>
        </w:rPr>
        <w:t>בקרה בשלוש רמות שונות: בקרות פיקודיות; בקרות מקצועיות</w:t>
      </w:r>
      <w:r w:rsidRPr="00BE1CFE">
        <w:rPr>
          <w:rFonts w:hint="cs"/>
          <w:rtl/>
        </w:rPr>
        <w:t>;</w:t>
      </w:r>
      <w:r w:rsidRPr="00BE1CFE">
        <w:rPr>
          <w:rtl/>
        </w:rPr>
        <w:t xml:space="preserve"> ובקרות טכנולוגיות. </w:t>
      </w:r>
      <w:r w:rsidRPr="00BE1CFE">
        <w:rPr>
          <w:rFonts w:hint="cs"/>
          <w:rtl/>
        </w:rPr>
        <w:t>נוסף על כך</w:t>
      </w:r>
      <w:r w:rsidRPr="00BE1CFE">
        <w:rPr>
          <w:rtl/>
        </w:rPr>
        <w:t xml:space="preserve"> נכתבו </w:t>
      </w:r>
      <w:r>
        <w:rPr>
          <w:rFonts w:hint="cs"/>
          <w:rtl/>
        </w:rPr>
        <w:t>הנחיות</w:t>
      </w:r>
      <w:r w:rsidRPr="00BE1CFE">
        <w:rPr>
          <w:rtl/>
        </w:rPr>
        <w:t xml:space="preserve"> למפעילי המערכות הטכנולוגיות, אשר מסדירות בין היתר את נושא הבקרה הטכנולוגית והפיקודית על מפעילי המערכות הטכנולוגיות, כך שכיום לכל אחת מהמערכות הקיימות יש </w:t>
      </w:r>
      <w:r>
        <w:rPr>
          <w:rFonts w:hint="cs"/>
          <w:rtl/>
        </w:rPr>
        <w:t xml:space="preserve">הנחיה </w:t>
      </w:r>
      <w:r w:rsidRPr="00BE1CFE">
        <w:rPr>
          <w:rFonts w:hint="cs"/>
          <w:rtl/>
        </w:rPr>
        <w:t>ש</w:t>
      </w:r>
      <w:r w:rsidRPr="00BE1CFE">
        <w:rPr>
          <w:rtl/>
        </w:rPr>
        <w:t>במסגרתה מפורט</w:t>
      </w:r>
      <w:r w:rsidRPr="00BE1CFE">
        <w:rPr>
          <w:rFonts w:hint="cs"/>
          <w:rtl/>
        </w:rPr>
        <w:t>ים</w:t>
      </w:r>
      <w:r w:rsidRPr="00BE1CFE">
        <w:rPr>
          <w:rtl/>
        </w:rPr>
        <w:t xml:space="preserve"> הבקרה, הגורם האחראי לביצועה והנושאים המבוקרים. </w:t>
      </w:r>
    </w:p>
    <w:p w:rsidR="00B23151" w:rsidRPr="00BE1CFE" w:rsidRDefault="00B23151" w:rsidP="00604C3D">
      <w:pPr>
        <w:spacing w:line="269" w:lineRule="auto"/>
        <w:rPr>
          <w:b/>
          <w:bCs/>
          <w:rtl/>
        </w:rPr>
      </w:pPr>
    </w:p>
    <w:p w:rsidR="00E50A30" w:rsidRPr="00DF30EF" w:rsidRDefault="006433A1" w:rsidP="008C598D">
      <w:pPr>
        <w:pStyle w:val="3"/>
        <w:numPr>
          <w:ilvl w:val="1"/>
          <w:numId w:val="63"/>
        </w:numPr>
        <w:spacing w:before="0" w:line="269" w:lineRule="auto"/>
        <w:rPr>
          <w:rtl/>
        </w:rPr>
      </w:pPr>
      <w:r w:rsidRPr="00DF30EF">
        <w:rPr>
          <w:rFonts w:hint="cs"/>
          <w:rtl/>
        </w:rPr>
        <w:t xml:space="preserve"> </w:t>
      </w:r>
      <w:bookmarkStart w:id="646" w:name="_Toc219286569"/>
      <w:r w:rsidR="00E50A30" w:rsidRPr="00DF30EF">
        <w:rPr>
          <w:rFonts w:hint="eastAsia"/>
          <w:rtl/>
        </w:rPr>
        <w:t>בקרת</w:t>
      </w:r>
      <w:r w:rsidR="00E50A30" w:rsidRPr="00DF30EF">
        <w:rPr>
          <w:rtl/>
        </w:rPr>
        <w:t xml:space="preserve"> </w:t>
      </w:r>
      <w:r w:rsidR="00E50A30" w:rsidRPr="00DF30EF">
        <w:rPr>
          <w:rFonts w:hint="eastAsia"/>
          <w:rtl/>
        </w:rPr>
        <w:t>המפקד</w:t>
      </w:r>
      <w:r w:rsidR="00E50A30" w:rsidRPr="00DF30EF">
        <w:rPr>
          <w:rtl/>
        </w:rPr>
        <w:t xml:space="preserve"> - </w:t>
      </w:r>
      <w:r w:rsidR="00E50A30" w:rsidRPr="00DF30EF">
        <w:rPr>
          <w:rFonts w:hint="eastAsia"/>
          <w:rtl/>
        </w:rPr>
        <w:t>ראש</w:t>
      </w:r>
      <w:r w:rsidR="00E50A30" w:rsidRPr="00DF30EF">
        <w:rPr>
          <w:rtl/>
        </w:rPr>
        <w:t xml:space="preserve"> </w:t>
      </w:r>
      <w:r w:rsidR="00E50A30" w:rsidRPr="00DF30EF">
        <w:rPr>
          <w:rFonts w:hint="eastAsia"/>
          <w:rtl/>
        </w:rPr>
        <w:t>חטיבת</w:t>
      </w:r>
      <w:r w:rsidR="00E50A30" w:rsidRPr="00DF30EF">
        <w:rPr>
          <w:rtl/>
        </w:rPr>
        <w:t xml:space="preserve"> </w:t>
      </w:r>
      <w:r w:rsidR="00E50A30" w:rsidRPr="00DF30EF">
        <w:rPr>
          <w:rFonts w:hint="eastAsia"/>
          <w:rtl/>
        </w:rPr>
        <w:t>הסייבר</w:t>
      </w:r>
      <w:bookmarkEnd w:id="646"/>
    </w:p>
    <w:p w:rsidR="004B50FC" w:rsidRDefault="004B50FC" w:rsidP="00604C3D">
      <w:pPr>
        <w:spacing w:line="269" w:lineRule="auto"/>
        <w:rPr>
          <w:szCs w:val="20"/>
          <w:rtl/>
        </w:rPr>
      </w:pPr>
    </w:p>
    <w:p w:rsidR="00E50A30" w:rsidRPr="00BE1CFE" w:rsidRDefault="00E50A30" w:rsidP="00604C3D">
      <w:pPr>
        <w:spacing w:line="269" w:lineRule="auto"/>
        <w:rPr>
          <w:rtl/>
        </w:rPr>
      </w:pPr>
      <w:r w:rsidRPr="00BE1CFE">
        <w:rPr>
          <w:rFonts w:hint="cs"/>
          <w:rtl/>
        </w:rPr>
        <w:t>במסגרת פקודות המטה הארצי נקבעה חובת המפקד לבצע בקרה שנתית בכל אחת מהיחידות הכפופות לו במישרין</w:t>
      </w:r>
      <w:r w:rsidRPr="00BE1CFE">
        <w:rPr>
          <w:vertAlign w:val="superscript"/>
          <w:rtl/>
        </w:rPr>
        <w:footnoteReference w:id="307"/>
      </w:r>
      <w:r w:rsidRPr="00BE1CFE">
        <w:rPr>
          <w:rFonts w:hint="cs"/>
          <w:rtl/>
        </w:rPr>
        <w:t xml:space="preserve">. בבקרת המפקד נבחנים </w:t>
      </w:r>
      <w:r w:rsidRPr="00BE1CFE">
        <w:rPr>
          <w:rtl/>
        </w:rPr>
        <w:t xml:space="preserve">התנהלות </w:t>
      </w:r>
      <w:r>
        <w:rPr>
          <w:rFonts w:hint="cs"/>
          <w:rtl/>
        </w:rPr>
        <w:t>היחידה</w:t>
      </w:r>
      <w:r w:rsidRPr="00BE1CFE">
        <w:rPr>
          <w:rtl/>
        </w:rPr>
        <w:t xml:space="preserve">, מימוש הנהלים </w:t>
      </w:r>
      <w:r w:rsidRPr="00BE1CFE">
        <w:rPr>
          <w:rFonts w:hint="cs"/>
          <w:rtl/>
        </w:rPr>
        <w:t>ו</w:t>
      </w:r>
      <w:r w:rsidRPr="00BE1CFE">
        <w:rPr>
          <w:rtl/>
        </w:rPr>
        <w:t xml:space="preserve">היבטי </w:t>
      </w:r>
      <w:r w:rsidRPr="00BE1CFE">
        <w:rPr>
          <w:rFonts w:hint="cs"/>
          <w:rtl/>
        </w:rPr>
        <w:t>משאבי אנוש.</w:t>
      </w:r>
      <w:r w:rsidRPr="00BE1CFE">
        <w:rPr>
          <w:rtl/>
        </w:rPr>
        <w:t xml:space="preserve"> </w:t>
      </w:r>
      <w:r w:rsidRPr="00BE1CFE">
        <w:rPr>
          <w:rFonts w:hint="cs"/>
          <w:rtl/>
        </w:rPr>
        <w:t xml:space="preserve">חשיבותה של </w:t>
      </w:r>
      <w:r w:rsidRPr="00BE1CFE">
        <w:rPr>
          <w:rtl/>
        </w:rPr>
        <w:t>בקר</w:t>
      </w:r>
      <w:r w:rsidRPr="00BE1CFE">
        <w:rPr>
          <w:rFonts w:hint="cs"/>
          <w:rtl/>
        </w:rPr>
        <w:t>ת המפקד השנתית</w:t>
      </w:r>
      <w:r w:rsidRPr="00BE1CFE">
        <w:rPr>
          <w:rtl/>
        </w:rPr>
        <w:t xml:space="preserve"> </w:t>
      </w:r>
      <w:r w:rsidRPr="00BE1CFE">
        <w:rPr>
          <w:rFonts w:hint="cs"/>
          <w:rtl/>
        </w:rPr>
        <w:t xml:space="preserve">נובעת בין היתר מכך שהיא </w:t>
      </w:r>
      <w:r w:rsidRPr="00BE1CFE">
        <w:rPr>
          <w:rtl/>
        </w:rPr>
        <w:t>ב</w:t>
      </w:r>
      <w:r w:rsidRPr="00BE1CFE">
        <w:rPr>
          <w:rFonts w:hint="cs"/>
          <w:rtl/>
        </w:rPr>
        <w:t>ו</w:t>
      </w:r>
      <w:r w:rsidRPr="00BE1CFE">
        <w:rPr>
          <w:rtl/>
        </w:rPr>
        <w:t>ח</w:t>
      </w:r>
      <w:r w:rsidRPr="00BE1CFE">
        <w:rPr>
          <w:rFonts w:hint="cs"/>
          <w:rtl/>
        </w:rPr>
        <w:t>נת את</w:t>
      </w:r>
      <w:r w:rsidRPr="00BE1CFE">
        <w:rPr>
          <w:rtl/>
        </w:rPr>
        <w:t xml:space="preserve"> תיקון </w:t>
      </w:r>
      <w:r w:rsidRPr="00BE1CFE">
        <w:rPr>
          <w:rFonts w:hint="cs"/>
          <w:rtl/>
        </w:rPr>
        <w:t>ה</w:t>
      </w:r>
      <w:r w:rsidRPr="00BE1CFE">
        <w:rPr>
          <w:rtl/>
        </w:rPr>
        <w:t>ליקויים מ</w:t>
      </w:r>
      <w:r w:rsidRPr="00BE1CFE">
        <w:rPr>
          <w:rFonts w:hint="cs"/>
          <w:rtl/>
        </w:rPr>
        <w:t>ה</w:t>
      </w:r>
      <w:r w:rsidRPr="00BE1CFE">
        <w:rPr>
          <w:rtl/>
        </w:rPr>
        <w:t xml:space="preserve">בקרה </w:t>
      </w:r>
      <w:r w:rsidRPr="00BE1CFE">
        <w:rPr>
          <w:rFonts w:hint="cs"/>
          <w:rtl/>
        </w:rPr>
        <w:t>ה</w:t>
      </w:r>
      <w:r w:rsidRPr="00BE1CFE">
        <w:rPr>
          <w:rtl/>
        </w:rPr>
        <w:t>קודמת.</w:t>
      </w:r>
      <w:r w:rsidRPr="00BE1CFE">
        <w:rPr>
          <w:rFonts w:hint="cs"/>
          <w:rtl/>
        </w:rPr>
        <w:t xml:space="preserve"> פעמים רבות כוללת בקרת המפקד השנתית את </w:t>
      </w:r>
      <w:r w:rsidRPr="00BE1CFE">
        <w:rPr>
          <w:rtl/>
        </w:rPr>
        <w:t>ס</w:t>
      </w:r>
      <w:r w:rsidRPr="00BE1CFE">
        <w:rPr>
          <w:rFonts w:hint="cs"/>
          <w:rtl/>
        </w:rPr>
        <w:t>י</w:t>
      </w:r>
      <w:r w:rsidRPr="00BE1CFE">
        <w:rPr>
          <w:rtl/>
        </w:rPr>
        <w:t>כום שנת העבודה</w:t>
      </w:r>
      <w:r w:rsidRPr="00BE1CFE">
        <w:rPr>
          <w:rFonts w:hint="cs"/>
          <w:rtl/>
        </w:rPr>
        <w:t xml:space="preserve"> האחרונה, ו</w:t>
      </w:r>
      <w:r w:rsidRPr="00BE1CFE">
        <w:rPr>
          <w:rtl/>
        </w:rPr>
        <w:t xml:space="preserve">מוצגים </w:t>
      </w:r>
      <w:r w:rsidR="000A7B5B">
        <w:rPr>
          <w:rFonts w:hint="cs"/>
          <w:rtl/>
        </w:rPr>
        <w:t xml:space="preserve">בה גם </w:t>
      </w:r>
      <w:r w:rsidRPr="00BE1CFE">
        <w:rPr>
          <w:rFonts w:hint="cs"/>
          <w:rtl/>
        </w:rPr>
        <w:t>המטרות</w:t>
      </w:r>
      <w:r w:rsidRPr="00BE1CFE">
        <w:rPr>
          <w:rtl/>
        </w:rPr>
        <w:t xml:space="preserve"> והיעדים המרכזיים לשנת </w:t>
      </w:r>
      <w:r w:rsidRPr="00BE1CFE">
        <w:rPr>
          <w:rFonts w:hint="cs"/>
          <w:rtl/>
        </w:rPr>
        <w:t>ה</w:t>
      </w:r>
      <w:r w:rsidRPr="00BE1CFE">
        <w:rPr>
          <w:rtl/>
        </w:rPr>
        <w:t xml:space="preserve">עבודה </w:t>
      </w:r>
      <w:r w:rsidRPr="00BE1CFE">
        <w:rPr>
          <w:rFonts w:hint="cs"/>
          <w:rtl/>
        </w:rPr>
        <w:t xml:space="preserve">הבאה. </w:t>
      </w:r>
    </w:p>
    <w:p w:rsidR="004B50FC" w:rsidRDefault="004B50FC" w:rsidP="00604C3D">
      <w:pPr>
        <w:spacing w:line="269" w:lineRule="auto"/>
        <w:rPr>
          <w:szCs w:val="20"/>
          <w:rtl/>
        </w:rPr>
      </w:pPr>
    </w:p>
    <w:p w:rsidR="00E50A30" w:rsidRPr="00BE1CFE" w:rsidRDefault="00E50A30" w:rsidP="00604C3D">
      <w:pPr>
        <w:spacing w:line="269" w:lineRule="auto"/>
        <w:rPr>
          <w:b/>
          <w:bCs/>
          <w:rtl/>
        </w:rPr>
      </w:pPr>
      <w:r w:rsidRPr="00BE1CFE">
        <w:rPr>
          <w:rFonts w:hint="cs"/>
          <w:b/>
          <w:bCs/>
          <w:rtl/>
        </w:rPr>
        <w:t xml:space="preserve">בקרות ראש חטיבת הסייבר, האמורות להיעשות אחת לשנה על פעילות החטיבה, רלוונטיות לתחומי האזנות סתר והפקת נתוני תקשורת שהן פעילויות ליבה של חטיבת הסייבר. נמצא כי בשנים 2018 </w:t>
      </w:r>
      <w:r w:rsidR="0084129F">
        <w:rPr>
          <w:rFonts w:hint="cs"/>
          <w:b/>
          <w:bCs/>
          <w:rtl/>
        </w:rPr>
        <w:t>-</w:t>
      </w:r>
      <w:r w:rsidRPr="00BE1CFE">
        <w:rPr>
          <w:rFonts w:hint="cs"/>
          <w:b/>
          <w:bCs/>
          <w:rtl/>
        </w:rPr>
        <w:t xml:space="preserve"> 2022 (כולל) לא נעשתה בחטיבת הסייבר בקרת ראש החטיבה למעט בקרה אחת בשנת 2020</w:t>
      </w:r>
      <w:r w:rsidRPr="00BE1CFE">
        <w:rPr>
          <w:b/>
          <w:bCs/>
          <w:vertAlign w:val="superscript"/>
          <w:rtl/>
        </w:rPr>
        <w:footnoteReference w:id="308"/>
      </w:r>
      <w:r w:rsidRPr="00BE1CFE">
        <w:rPr>
          <w:b/>
          <w:bCs/>
          <w:rtl/>
        </w:rPr>
        <w:t>.</w:t>
      </w:r>
    </w:p>
    <w:p w:rsidR="004B50FC" w:rsidRDefault="004B50FC" w:rsidP="00604C3D">
      <w:pPr>
        <w:spacing w:line="269" w:lineRule="auto"/>
        <w:rPr>
          <w:szCs w:val="20"/>
          <w:rtl/>
        </w:rPr>
      </w:pPr>
    </w:p>
    <w:p w:rsidR="00E50A30" w:rsidRPr="00BE1CFE" w:rsidRDefault="00E50A30" w:rsidP="00604C3D">
      <w:pPr>
        <w:spacing w:line="269" w:lineRule="auto"/>
        <w:rPr>
          <w:b/>
          <w:bCs/>
          <w:rtl/>
        </w:rPr>
      </w:pPr>
      <w:r w:rsidRPr="00BE1CFE">
        <w:rPr>
          <w:rFonts w:hint="cs"/>
          <w:b/>
          <w:bCs/>
          <w:rtl/>
        </w:rPr>
        <w:t>על ראש חטיבת הסייבר להקפיד על ביצוע הבקרה השנתית שהוא מחויב לבצע על פי פקודת המטה הארצי ולוודא את תיקון הליקויים שנמצאו במסגרתה. כמו כן מומלץ שראש החטיבה יבחן במסגרת הבקרה השנתית את עמידת החטיבה ביעדים ובמטרות שהוגדרו לשנה זאת.</w:t>
      </w:r>
    </w:p>
    <w:p w:rsidR="004B50FC" w:rsidRDefault="004B50FC" w:rsidP="00604C3D">
      <w:pPr>
        <w:spacing w:line="269" w:lineRule="auto"/>
        <w:rPr>
          <w:sz w:val="16"/>
          <w:szCs w:val="16"/>
          <w:rtl/>
        </w:rPr>
      </w:pPr>
    </w:p>
    <w:p w:rsidR="00E50A30" w:rsidRPr="00BE1CFE" w:rsidRDefault="00E50A30" w:rsidP="00604C3D">
      <w:pPr>
        <w:spacing w:line="269" w:lineRule="auto"/>
        <w:rPr>
          <w:rtl/>
        </w:rPr>
      </w:pPr>
      <w:r w:rsidRPr="00BE1CFE">
        <w:rPr>
          <w:rFonts w:hint="cs"/>
          <w:rtl/>
        </w:rPr>
        <w:t>מהמשטרה נמסר כי היא מקבלת את עמדת הביקורת בעניין זה.</w:t>
      </w:r>
    </w:p>
    <w:p w:rsidR="00E50A30" w:rsidRPr="00DF30EF" w:rsidRDefault="00E50A30" w:rsidP="00604C3D">
      <w:pPr>
        <w:spacing w:line="269" w:lineRule="auto"/>
        <w:rPr>
          <w:sz w:val="14"/>
          <w:szCs w:val="18"/>
          <w:rtl/>
        </w:rPr>
      </w:pPr>
    </w:p>
    <w:p w:rsidR="00E50A30" w:rsidRPr="00DF30EF" w:rsidRDefault="00E91101" w:rsidP="008C598D">
      <w:pPr>
        <w:pStyle w:val="3"/>
        <w:numPr>
          <w:ilvl w:val="1"/>
          <w:numId w:val="63"/>
        </w:numPr>
        <w:spacing w:before="0" w:line="269" w:lineRule="auto"/>
        <w:rPr>
          <w:rtl/>
        </w:rPr>
      </w:pPr>
      <w:r w:rsidRPr="00DF30EF">
        <w:rPr>
          <w:rFonts w:hint="cs"/>
          <w:rtl/>
        </w:rPr>
        <w:t xml:space="preserve"> </w:t>
      </w:r>
      <w:bookmarkStart w:id="647" w:name="_Toc219286570"/>
      <w:r w:rsidR="00E50A30" w:rsidRPr="00DF30EF">
        <w:rPr>
          <w:rFonts w:hint="cs"/>
          <w:rtl/>
        </w:rPr>
        <w:t>בקרות אבטחת מידע</w:t>
      </w:r>
      <w:bookmarkEnd w:id="647"/>
    </w:p>
    <w:p w:rsidR="00E91101" w:rsidRPr="00DF30EF" w:rsidRDefault="00E91101" w:rsidP="00604C3D">
      <w:pPr>
        <w:spacing w:line="269" w:lineRule="auto"/>
        <w:rPr>
          <w:sz w:val="10"/>
          <w:szCs w:val="14"/>
          <w:rtl/>
        </w:rPr>
      </w:pPr>
    </w:p>
    <w:p w:rsidR="00E50A30" w:rsidRPr="00BE1CFE" w:rsidRDefault="00E50A30" w:rsidP="00455F98">
      <w:pPr>
        <w:pStyle w:val="4"/>
        <w:numPr>
          <w:ilvl w:val="1"/>
          <w:numId w:val="53"/>
        </w:numPr>
        <w:spacing w:before="0" w:line="269" w:lineRule="auto"/>
        <w:ind w:left="367"/>
        <w:rPr>
          <w:rFonts w:eastAsia="Times New Roman"/>
          <w:rtl/>
        </w:rPr>
      </w:pPr>
      <w:bookmarkStart w:id="648" w:name="_Toc211521964"/>
      <w:bookmarkStart w:id="649" w:name="_Toc219110355"/>
      <w:bookmarkStart w:id="650" w:name="_Toc219113796"/>
      <w:bookmarkStart w:id="651" w:name="_Toc219286571"/>
      <w:r w:rsidRPr="00BE1CFE">
        <w:rPr>
          <w:rFonts w:eastAsia="Times New Roman"/>
          <w:rtl/>
        </w:rPr>
        <w:t xml:space="preserve">בקרת </w:t>
      </w:r>
      <w:r w:rsidRPr="00BE1CFE">
        <w:rPr>
          <w:rFonts w:eastAsia="Times New Roman" w:hint="eastAsia"/>
          <w:rtl/>
        </w:rPr>
        <w:t>אבטחת</w:t>
      </w:r>
      <w:r w:rsidRPr="00BE1CFE">
        <w:rPr>
          <w:rFonts w:eastAsia="Times New Roman"/>
          <w:rtl/>
        </w:rPr>
        <w:t xml:space="preserve"> </w:t>
      </w:r>
      <w:r w:rsidRPr="00BE1CFE">
        <w:rPr>
          <w:rFonts w:eastAsia="Times New Roman" w:hint="eastAsia"/>
          <w:rtl/>
        </w:rPr>
        <w:t>המידע</w:t>
      </w:r>
      <w:r w:rsidRPr="00BE1CFE">
        <w:rPr>
          <w:rFonts w:eastAsia="Times New Roman"/>
          <w:rtl/>
        </w:rPr>
        <w:t xml:space="preserve"> </w:t>
      </w:r>
      <w:r w:rsidRPr="00BE1CFE">
        <w:rPr>
          <w:rFonts w:eastAsia="Times New Roman" w:hint="eastAsia"/>
          <w:rtl/>
        </w:rPr>
        <w:t>והשימוש</w:t>
      </w:r>
      <w:r w:rsidRPr="00BE1CFE">
        <w:rPr>
          <w:rFonts w:eastAsia="Times New Roman"/>
          <w:rtl/>
        </w:rPr>
        <w:t xml:space="preserve"> </w:t>
      </w:r>
      <w:r w:rsidRPr="00BE1CFE">
        <w:rPr>
          <w:rFonts w:eastAsia="Times New Roman" w:hint="eastAsia"/>
          <w:rtl/>
        </w:rPr>
        <w:t>במאגר</w:t>
      </w:r>
      <w:r w:rsidRPr="00BE1CFE">
        <w:rPr>
          <w:rFonts w:eastAsia="Times New Roman" w:hint="cs"/>
          <w:rtl/>
        </w:rPr>
        <w:t>י</w:t>
      </w:r>
      <w:r w:rsidRPr="00BE1CFE">
        <w:rPr>
          <w:rFonts w:eastAsia="Times New Roman"/>
          <w:rtl/>
        </w:rPr>
        <w:t xml:space="preserve"> </w:t>
      </w:r>
      <w:r w:rsidRPr="00BE1CFE">
        <w:rPr>
          <w:rFonts w:eastAsia="Times New Roman" w:hint="eastAsia"/>
          <w:rtl/>
        </w:rPr>
        <w:t>נתוני</w:t>
      </w:r>
      <w:r w:rsidRPr="00BE1CFE">
        <w:rPr>
          <w:rFonts w:eastAsia="Times New Roman"/>
          <w:rtl/>
        </w:rPr>
        <w:t xml:space="preserve"> </w:t>
      </w:r>
      <w:r w:rsidRPr="00BE1CFE">
        <w:rPr>
          <w:rFonts w:eastAsia="Times New Roman" w:hint="eastAsia"/>
          <w:rtl/>
        </w:rPr>
        <w:t>תקשורת</w:t>
      </w:r>
      <w:bookmarkEnd w:id="648"/>
      <w:bookmarkEnd w:id="649"/>
      <w:bookmarkEnd w:id="650"/>
      <w:bookmarkEnd w:id="651"/>
      <w:r w:rsidRPr="00BE1CFE">
        <w:rPr>
          <w:rFonts w:eastAsia="Times New Roman"/>
          <w:rtl/>
        </w:rPr>
        <w:t xml:space="preserve"> </w:t>
      </w:r>
    </w:p>
    <w:p w:rsidR="004B50FC" w:rsidRDefault="004B50FC" w:rsidP="00604C3D">
      <w:pPr>
        <w:spacing w:line="269" w:lineRule="auto"/>
        <w:rPr>
          <w:szCs w:val="20"/>
          <w:rtl/>
        </w:rPr>
      </w:pPr>
    </w:p>
    <w:p w:rsidR="00E50A30" w:rsidRPr="00BE1CFE" w:rsidRDefault="00E50A30" w:rsidP="00E2380D">
      <w:pPr>
        <w:spacing w:line="269" w:lineRule="auto"/>
        <w:ind w:left="367"/>
        <w:rPr>
          <w:rtl/>
        </w:rPr>
      </w:pPr>
      <w:r w:rsidRPr="00BE1CFE">
        <w:rPr>
          <w:rFonts w:hint="cs"/>
          <w:rtl/>
        </w:rPr>
        <w:t xml:space="preserve">חוק נתוני תקשורת מתיר למשטרה להחזיק בשני מאגרי מידע: מאגר הבעלויות ומאגר האנטנות. </w:t>
      </w:r>
    </w:p>
    <w:p w:rsidR="004B50FC" w:rsidRDefault="004B50FC" w:rsidP="00E2380D">
      <w:pPr>
        <w:spacing w:line="269" w:lineRule="auto"/>
        <w:ind w:left="367"/>
        <w:rPr>
          <w:szCs w:val="20"/>
          <w:rtl/>
        </w:rPr>
      </w:pPr>
    </w:p>
    <w:p w:rsidR="00E50A30" w:rsidRPr="00BE1CFE" w:rsidRDefault="00E50A30" w:rsidP="00E2380D">
      <w:pPr>
        <w:spacing w:line="269" w:lineRule="auto"/>
        <w:ind w:left="367"/>
        <w:rPr>
          <w:rtl/>
        </w:rPr>
      </w:pPr>
      <w:r w:rsidRPr="00BE1CFE">
        <w:rPr>
          <w:rFonts w:hint="cs"/>
          <w:rtl/>
        </w:rPr>
        <w:t xml:space="preserve">תקנות מאגרי נתוני תקשורת קובעות כי מנהל המאגר יבצע פעולות פיקוח ובקרה מזמן לזמן ולפחות אחת לשלושה חודשים בין השאר בנושאים האלה: אופן החזקת המידע שבמאגר ואבטחת המידע האגור בו; הבטחת השימוש במאגר רק למטרות האמורות בחוק; אבטחת גישה למאגר רק על ידי מורשי הגישה; דרכי עדכון המידע הכלול במאגר ומועדי העדכון; הבטחת תיעוד השימוש במידע שבמאגר ואפשרות אחזור המידע הנוגע לשימוש במידע כאמור בתקנות. </w:t>
      </w:r>
    </w:p>
    <w:p w:rsidR="004B50FC" w:rsidRPr="00BE1CFE" w:rsidRDefault="004B50FC" w:rsidP="00E2380D">
      <w:pPr>
        <w:spacing w:line="269" w:lineRule="auto"/>
        <w:rPr>
          <w:szCs w:val="20"/>
          <w:rtl/>
        </w:rPr>
      </w:pPr>
    </w:p>
    <w:p w:rsidR="00E50A30" w:rsidRPr="00BE1CFE" w:rsidRDefault="00E50A30" w:rsidP="00E2380D">
      <w:pPr>
        <w:spacing w:line="269" w:lineRule="auto"/>
        <w:ind w:left="367"/>
        <w:rPr>
          <w:rtl/>
        </w:rPr>
      </w:pPr>
      <w:r w:rsidRPr="00BE1CFE">
        <w:rPr>
          <w:rFonts w:hint="cs"/>
          <w:rtl/>
        </w:rPr>
        <w:t>נוסף על הבקרות שמנהל המאגר מחויב לבצע כאמור, התקנות קובעות כי מערכות המחשוב שבהן יוחזקו המאגרים יכללו בין היתר כלי בקרה מקוונים</w:t>
      </w:r>
      <w:r w:rsidRPr="00BE1CFE">
        <w:rPr>
          <w:vertAlign w:val="superscript"/>
          <w:rtl/>
        </w:rPr>
        <w:footnoteReference w:id="309"/>
      </w:r>
      <w:r w:rsidRPr="00BE1CFE">
        <w:rPr>
          <w:rFonts w:hint="cs"/>
          <w:rtl/>
        </w:rPr>
        <w:t xml:space="preserve">. במשטרה מתקיים תהליך תיעוד אוטומטי של כלל קובצי המידע המתקבלים במאגרים ושל כל שאילתה שמבצעים המשתמשים. כמו כן, </w:t>
      </w:r>
      <w:r w:rsidRPr="00BE1CFE">
        <w:rPr>
          <w:rFonts w:hint="eastAsia"/>
          <w:rtl/>
        </w:rPr>
        <w:t>קיימת</w:t>
      </w:r>
      <w:r w:rsidRPr="00BE1CFE">
        <w:rPr>
          <w:rtl/>
        </w:rPr>
        <w:t xml:space="preserve"> </w:t>
      </w:r>
      <w:r w:rsidRPr="00BE1CFE">
        <w:rPr>
          <w:rFonts w:hint="eastAsia"/>
          <w:rtl/>
        </w:rPr>
        <w:t>בקרה</w:t>
      </w:r>
      <w:r w:rsidRPr="00BE1CFE">
        <w:rPr>
          <w:rtl/>
        </w:rPr>
        <w:t xml:space="preserve"> </w:t>
      </w:r>
      <w:r w:rsidRPr="00BE1CFE">
        <w:rPr>
          <w:rFonts w:hint="eastAsia"/>
          <w:rtl/>
        </w:rPr>
        <w:t>מונעת</w:t>
      </w:r>
      <w:r w:rsidRPr="00BE1CFE">
        <w:rPr>
          <w:rFonts w:hint="cs"/>
          <w:rtl/>
        </w:rPr>
        <w:t xml:space="preserve"> המבוצעת אוטומטית, כך שהגישה למאגרים אפשרית רק למורשי גישה הרשומים במערכת ניהול ההרשאות של המשטרה. עוד מתקיימת בקרה על אבטחת המידע האגור היות שהמאגרים עצמם מאוחסנים בשרתים הנמצאים במתקן מאובטח, והם כוללים מעטפת הגנה טכנולוגית. </w:t>
      </w:r>
    </w:p>
    <w:p w:rsidR="004B50FC" w:rsidRDefault="004B50FC" w:rsidP="00604C3D">
      <w:pPr>
        <w:spacing w:line="269" w:lineRule="auto"/>
        <w:rPr>
          <w:szCs w:val="20"/>
          <w:rtl/>
        </w:rPr>
      </w:pPr>
    </w:p>
    <w:p w:rsidR="00E50A30" w:rsidRPr="00BE1CFE" w:rsidRDefault="00E50A30" w:rsidP="00E2380D">
      <w:pPr>
        <w:spacing w:line="269" w:lineRule="auto"/>
        <w:ind w:left="367"/>
        <w:rPr>
          <w:rtl/>
        </w:rPr>
      </w:pPr>
      <w:r w:rsidRPr="00BE1CFE">
        <w:rPr>
          <w:rFonts w:hint="cs"/>
          <w:rtl/>
        </w:rPr>
        <w:t>חטיבת הסייבר קבעה בנוהל את החובה לביצוע פעולות פיקוח ובקרה על השימוש במאגרי נתוני התקשורת שמחזיקה המשטרה אחת לרבעון לפחות (זאת ללא תלות בהפעלת הבקרות המקוונות).</w:t>
      </w:r>
    </w:p>
    <w:p w:rsidR="004B50FC" w:rsidRDefault="004B50FC" w:rsidP="00E2380D">
      <w:pPr>
        <w:spacing w:line="269" w:lineRule="auto"/>
        <w:ind w:left="367"/>
        <w:rPr>
          <w:szCs w:val="20"/>
          <w:rtl/>
        </w:rPr>
      </w:pPr>
    </w:p>
    <w:p w:rsidR="00E50A30" w:rsidRPr="00BE1CFE" w:rsidRDefault="00E50A30" w:rsidP="00E2380D">
      <w:pPr>
        <w:spacing w:line="269" w:lineRule="auto"/>
        <w:ind w:left="367"/>
        <w:rPr>
          <w:b/>
          <w:bCs/>
          <w:rtl/>
        </w:rPr>
      </w:pPr>
      <w:r w:rsidRPr="00BE1CFE">
        <w:rPr>
          <w:rFonts w:hint="cs"/>
          <w:b/>
          <w:bCs/>
          <w:rtl/>
        </w:rPr>
        <w:t>נמצא כי בשנים 2017 - 2022 המשטרה לא קיימה</w:t>
      </w:r>
      <w:r w:rsidRPr="00BE1CFE">
        <w:rPr>
          <w:rFonts w:hint="cs"/>
          <w:rtl/>
        </w:rPr>
        <w:t xml:space="preserve"> </w:t>
      </w:r>
      <w:r w:rsidRPr="00BE1CFE">
        <w:rPr>
          <w:rFonts w:hint="cs"/>
          <w:b/>
          <w:bCs/>
          <w:rtl/>
        </w:rPr>
        <w:t xml:space="preserve">חלק מהפעולות הנדרשות לפיקוח ובקרה בנוגע לאבטחת המידע של מאגר הבעלויות ומאגר האנטנות כמתחייב בתקנות מאגרי נתוני תקשורת. המשטרה הסתפקה בתיעוד אוטומטי של הפעולות המבוצעות במאגרי המידע הללו בלי לבצע בקרה בפועל בתחומים </w:t>
      </w:r>
      <w:r>
        <w:rPr>
          <w:rFonts w:hint="cs"/>
          <w:b/>
          <w:bCs/>
          <w:rtl/>
        </w:rPr>
        <w:t>שונים</w:t>
      </w:r>
      <w:r w:rsidRPr="00BE1CFE">
        <w:rPr>
          <w:rFonts w:hint="cs"/>
          <w:b/>
          <w:bCs/>
          <w:rtl/>
        </w:rPr>
        <w:t xml:space="preserve">, כפי שקובעות התקנות. </w:t>
      </w:r>
    </w:p>
    <w:p w:rsidR="004B50FC" w:rsidRDefault="004B50FC" w:rsidP="00E2380D">
      <w:pPr>
        <w:spacing w:line="269" w:lineRule="auto"/>
        <w:ind w:left="367"/>
        <w:rPr>
          <w:sz w:val="16"/>
          <w:szCs w:val="16"/>
          <w:rtl/>
        </w:rPr>
      </w:pPr>
    </w:p>
    <w:p w:rsidR="00E50A30" w:rsidRPr="00BE1CFE" w:rsidRDefault="00E50A30" w:rsidP="00E2380D">
      <w:pPr>
        <w:spacing w:line="269" w:lineRule="auto"/>
        <w:ind w:left="367"/>
        <w:rPr>
          <w:rtl/>
        </w:rPr>
      </w:pPr>
      <w:r w:rsidRPr="00BE1CFE">
        <w:rPr>
          <w:rFonts w:hint="cs"/>
          <w:rtl/>
        </w:rPr>
        <w:t>למשל, בבקרה שערכה חטיבת הסייבר ב</w:t>
      </w:r>
      <w:r w:rsidR="000A7B5B">
        <w:rPr>
          <w:rFonts w:hint="cs"/>
          <w:rtl/>
        </w:rPr>
        <w:t>מאי 2022</w:t>
      </w:r>
      <w:r w:rsidRPr="00BE1CFE">
        <w:rPr>
          <w:rFonts w:hint="cs"/>
          <w:rtl/>
        </w:rPr>
        <w:t xml:space="preserve"> נעשתה בקרה מדגמית ידנית לבחינת אופן השימוש במאגר בעלויות, וצוין בה כי אין הקפדה על הזנת שדה "שיוך הבקשה", וכי "הימנעות ממילוי השדות הדרושים מונע אפשרות בדיקה ועלול להחשיד אותם". יוצא אפוא כי בשל פערים באופן הזנת המידע במאגר, לא ניתן היה לבצע בדיקות עומק ולאתר מקרים שבהם עולה חשש לביצוע שימוש לרעה במאגר.</w:t>
      </w:r>
    </w:p>
    <w:p w:rsidR="00E50A30" w:rsidRPr="00BE1CFE" w:rsidRDefault="00E50A30" w:rsidP="00E2380D">
      <w:pPr>
        <w:spacing w:line="269" w:lineRule="auto"/>
        <w:ind w:left="367"/>
        <w:rPr>
          <w:rtl/>
        </w:rPr>
      </w:pPr>
      <w:r w:rsidRPr="00BE1CFE">
        <w:rPr>
          <w:rFonts w:hint="cs"/>
          <w:rtl/>
        </w:rPr>
        <w:t xml:space="preserve">המשטרה מסרה בתגובתה כי קיימים הליכי בקרה אוטומטיים במאגרי המידע הללו, והיא חולקת על עצם הקביעה שנדרשת בקרה נוספת. </w:t>
      </w:r>
      <w:r w:rsidRPr="00BE1CFE">
        <w:rPr>
          <w:rtl/>
        </w:rPr>
        <w:t xml:space="preserve">מנגנונים אלו שפותחו על ידי </w:t>
      </w:r>
      <w:r w:rsidRPr="00BE1CFE">
        <w:rPr>
          <w:rFonts w:hint="cs"/>
          <w:rtl/>
        </w:rPr>
        <w:t xml:space="preserve">המשטרה </w:t>
      </w:r>
      <w:r w:rsidRPr="00BE1CFE">
        <w:rPr>
          <w:rtl/>
        </w:rPr>
        <w:t>יש בהם כדי להחליף</w:t>
      </w:r>
      <w:r>
        <w:rPr>
          <w:rtl/>
        </w:rPr>
        <w:t xml:space="preserve"> </w:t>
      </w:r>
      <w:r w:rsidRPr="00BE1CFE">
        <w:rPr>
          <w:rFonts w:hint="cs"/>
          <w:rtl/>
        </w:rPr>
        <w:t>את פעולות הפיקוח והבקרה שנקבעו בתקנות</w:t>
      </w:r>
      <w:r w:rsidRPr="00BE1CFE">
        <w:rPr>
          <w:rtl/>
        </w:rPr>
        <w:t xml:space="preserve"> ולהבטיח מעל לכל ספק ואף יותר מכך, כי החובות שהוטלו על מנהל המאגר בתקנ</w:t>
      </w:r>
      <w:r w:rsidRPr="00BE1CFE">
        <w:rPr>
          <w:rFonts w:hint="cs"/>
          <w:rtl/>
        </w:rPr>
        <w:t>ות</w:t>
      </w:r>
      <w:r w:rsidRPr="00BE1CFE">
        <w:rPr>
          <w:rtl/>
        </w:rPr>
        <w:t xml:space="preserve"> מתקיימות באופן אוטומטי ומתמשך</w:t>
      </w:r>
      <w:r w:rsidRPr="00BE1CFE">
        <w:rPr>
          <w:rFonts w:hint="cs"/>
          <w:rtl/>
        </w:rPr>
        <w:t>.</w:t>
      </w:r>
    </w:p>
    <w:p w:rsidR="004B50FC" w:rsidRDefault="004B50FC" w:rsidP="00E2380D">
      <w:pPr>
        <w:spacing w:line="269" w:lineRule="auto"/>
        <w:ind w:left="367"/>
        <w:rPr>
          <w:szCs w:val="20"/>
          <w:rtl/>
        </w:rPr>
      </w:pPr>
    </w:p>
    <w:p w:rsidR="00E50A30" w:rsidRDefault="00E50A30" w:rsidP="00E2380D">
      <w:pPr>
        <w:spacing w:line="269" w:lineRule="auto"/>
        <w:ind w:left="367"/>
        <w:rPr>
          <w:b/>
          <w:bCs/>
          <w:rtl/>
        </w:rPr>
      </w:pPr>
      <w:r w:rsidRPr="00BE1CFE">
        <w:rPr>
          <w:rFonts w:hint="cs"/>
          <w:b/>
          <w:bCs/>
          <w:rtl/>
        </w:rPr>
        <w:t>התקנות מחייבות ביצוע בקרות על</w:t>
      </w:r>
      <w:r w:rsidRPr="00BE1CFE">
        <w:rPr>
          <w:b/>
          <w:bCs/>
          <w:rtl/>
        </w:rPr>
        <w:t xml:space="preserve"> אבטחת הגישה למאגר</w:t>
      </w:r>
      <w:r w:rsidRPr="00BE1CFE">
        <w:rPr>
          <w:rFonts w:hint="cs"/>
          <w:b/>
          <w:bCs/>
          <w:rtl/>
        </w:rPr>
        <w:t>י המידע רק על ידי מורשים וכן על השימוש החוקי במאגרים ועל עדכניותם</w:t>
      </w:r>
      <w:r w:rsidRPr="00BE1CFE">
        <w:rPr>
          <w:b/>
          <w:bCs/>
          <w:rtl/>
        </w:rPr>
        <w:t xml:space="preserve">. </w:t>
      </w:r>
      <w:r w:rsidRPr="00073F97">
        <w:rPr>
          <w:rFonts w:hint="eastAsia"/>
          <w:b/>
          <w:bCs/>
          <w:rtl/>
        </w:rPr>
        <w:t>תיעוד</w:t>
      </w:r>
      <w:r w:rsidRPr="00073F97">
        <w:rPr>
          <w:b/>
          <w:bCs/>
          <w:rtl/>
        </w:rPr>
        <w:t xml:space="preserve"> </w:t>
      </w:r>
      <w:r w:rsidRPr="00073F97">
        <w:rPr>
          <w:rFonts w:hint="eastAsia"/>
          <w:b/>
          <w:bCs/>
          <w:rtl/>
        </w:rPr>
        <w:t>הפעולות</w:t>
      </w:r>
      <w:r w:rsidRPr="00073F97">
        <w:rPr>
          <w:b/>
          <w:bCs/>
          <w:rtl/>
        </w:rPr>
        <w:t xml:space="preserve"> </w:t>
      </w:r>
      <w:r w:rsidRPr="00073F97">
        <w:rPr>
          <w:rFonts w:hint="eastAsia"/>
          <w:b/>
          <w:bCs/>
          <w:rtl/>
        </w:rPr>
        <w:t>באמצעות</w:t>
      </w:r>
      <w:r w:rsidRPr="00073F97">
        <w:rPr>
          <w:b/>
          <w:bCs/>
          <w:rtl/>
        </w:rPr>
        <w:t xml:space="preserve"> כלי בקרה מקוונים </w:t>
      </w:r>
      <w:r w:rsidRPr="00073F97">
        <w:rPr>
          <w:rFonts w:hint="eastAsia"/>
          <w:b/>
          <w:bCs/>
          <w:rtl/>
        </w:rPr>
        <w:t>אינו</w:t>
      </w:r>
      <w:r w:rsidRPr="00073F97">
        <w:rPr>
          <w:b/>
          <w:bCs/>
          <w:rtl/>
        </w:rPr>
        <w:t xml:space="preserve"> נותן מענה שלם ל</w:t>
      </w:r>
      <w:r w:rsidRPr="00073F97">
        <w:rPr>
          <w:rFonts w:hint="eastAsia"/>
          <w:b/>
          <w:bCs/>
          <w:rtl/>
        </w:rPr>
        <w:t>חובות</w:t>
      </w:r>
      <w:r w:rsidRPr="00073F97">
        <w:rPr>
          <w:b/>
          <w:bCs/>
          <w:rtl/>
        </w:rPr>
        <w:t xml:space="preserve"> </w:t>
      </w:r>
      <w:r w:rsidRPr="00073F97">
        <w:rPr>
          <w:rFonts w:hint="eastAsia"/>
          <w:b/>
          <w:bCs/>
          <w:rtl/>
        </w:rPr>
        <w:t>ה</w:t>
      </w:r>
      <w:r w:rsidRPr="00073F97">
        <w:rPr>
          <w:b/>
          <w:bCs/>
          <w:rtl/>
        </w:rPr>
        <w:t>פיקוח ו</w:t>
      </w:r>
      <w:r w:rsidRPr="00073F97">
        <w:rPr>
          <w:rFonts w:hint="eastAsia"/>
          <w:b/>
          <w:bCs/>
          <w:rtl/>
        </w:rPr>
        <w:t>ה</w:t>
      </w:r>
      <w:r w:rsidRPr="00073F97">
        <w:rPr>
          <w:b/>
          <w:bCs/>
          <w:rtl/>
        </w:rPr>
        <w:t xml:space="preserve">בקרה </w:t>
      </w:r>
      <w:r w:rsidRPr="00073F97">
        <w:rPr>
          <w:rFonts w:hint="eastAsia"/>
          <w:b/>
          <w:bCs/>
          <w:rtl/>
        </w:rPr>
        <w:t>המוטלות</w:t>
      </w:r>
      <w:r w:rsidRPr="00073F97">
        <w:rPr>
          <w:b/>
          <w:bCs/>
          <w:rtl/>
        </w:rPr>
        <w:t xml:space="preserve"> על </w:t>
      </w:r>
      <w:r w:rsidRPr="00073F97">
        <w:rPr>
          <w:rFonts w:hint="eastAsia"/>
          <w:b/>
          <w:bCs/>
          <w:rtl/>
        </w:rPr>
        <w:t>המשטרה</w:t>
      </w:r>
      <w:r w:rsidRPr="00073F97">
        <w:rPr>
          <w:b/>
          <w:bCs/>
          <w:rtl/>
        </w:rPr>
        <w:t xml:space="preserve"> בהתאם לקבוע </w:t>
      </w:r>
      <w:r w:rsidRPr="00073F97">
        <w:rPr>
          <w:rFonts w:hint="eastAsia"/>
          <w:b/>
          <w:bCs/>
          <w:rtl/>
        </w:rPr>
        <w:t>בתקנות</w:t>
      </w:r>
      <w:r w:rsidRPr="00073F97">
        <w:rPr>
          <w:b/>
          <w:bCs/>
          <w:rtl/>
        </w:rPr>
        <w:t>.</w:t>
      </w:r>
      <w:r w:rsidRPr="00BE1CFE">
        <w:rPr>
          <w:b/>
          <w:bCs/>
          <w:rtl/>
        </w:rPr>
        <w:t xml:space="preserve"> </w:t>
      </w:r>
      <w:r w:rsidRPr="00BE1CFE">
        <w:rPr>
          <w:rFonts w:hint="eastAsia"/>
          <w:b/>
          <w:bCs/>
          <w:rtl/>
        </w:rPr>
        <w:t>על</w:t>
      </w:r>
      <w:r w:rsidRPr="00BE1CFE">
        <w:rPr>
          <w:b/>
          <w:bCs/>
          <w:rtl/>
        </w:rPr>
        <w:t xml:space="preserve"> חטיבת הסייבר לעמוד בדרישות </w:t>
      </w:r>
      <w:r w:rsidRPr="00BE1CFE">
        <w:rPr>
          <w:rFonts w:hint="eastAsia"/>
          <w:b/>
          <w:bCs/>
          <w:rtl/>
        </w:rPr>
        <w:t>התקנות</w:t>
      </w:r>
      <w:r w:rsidRPr="00BE1CFE">
        <w:rPr>
          <w:b/>
          <w:bCs/>
          <w:rtl/>
        </w:rPr>
        <w:t xml:space="preserve"> </w:t>
      </w:r>
      <w:r w:rsidRPr="00BE1CFE">
        <w:rPr>
          <w:rFonts w:hint="eastAsia"/>
          <w:b/>
          <w:bCs/>
          <w:rtl/>
        </w:rPr>
        <w:t>ול</w:t>
      </w:r>
      <w:r w:rsidRPr="00BE1CFE">
        <w:rPr>
          <w:rFonts w:hint="cs"/>
          <w:b/>
          <w:bCs/>
          <w:rtl/>
        </w:rPr>
        <w:t>בצע</w:t>
      </w:r>
      <w:r w:rsidRPr="00BE1CFE">
        <w:rPr>
          <w:b/>
          <w:bCs/>
          <w:rtl/>
        </w:rPr>
        <w:t xml:space="preserve"> </w:t>
      </w:r>
      <w:r w:rsidRPr="00BE1CFE">
        <w:rPr>
          <w:rFonts w:hint="cs"/>
          <w:b/>
          <w:bCs/>
          <w:rtl/>
        </w:rPr>
        <w:t xml:space="preserve">גם </w:t>
      </w:r>
      <w:r w:rsidRPr="00BE1CFE">
        <w:rPr>
          <w:b/>
          <w:bCs/>
          <w:rtl/>
        </w:rPr>
        <w:t xml:space="preserve">פעולות פיקוח ובקרה </w:t>
      </w:r>
      <w:r w:rsidRPr="00BE1CFE">
        <w:rPr>
          <w:rFonts w:hint="cs"/>
          <w:b/>
          <w:bCs/>
          <w:rtl/>
        </w:rPr>
        <w:t xml:space="preserve">מדגמיות </w:t>
      </w:r>
      <w:r w:rsidRPr="00BE1CFE">
        <w:rPr>
          <w:b/>
          <w:bCs/>
          <w:rtl/>
        </w:rPr>
        <w:t>מזמן לזמן ולפחות אחת לשלושה חודשים.</w:t>
      </w:r>
    </w:p>
    <w:p w:rsidR="000A7B5B" w:rsidRPr="00BE1CFE" w:rsidRDefault="000A7B5B" w:rsidP="00604C3D">
      <w:pPr>
        <w:spacing w:line="269" w:lineRule="auto"/>
        <w:rPr>
          <w:b/>
          <w:bCs/>
          <w:rtl/>
        </w:rPr>
      </w:pPr>
    </w:p>
    <w:p w:rsidR="00E50A30" w:rsidRPr="00BE1CFE" w:rsidRDefault="00E50A30" w:rsidP="009B530D">
      <w:pPr>
        <w:pStyle w:val="4"/>
        <w:numPr>
          <w:ilvl w:val="1"/>
          <w:numId w:val="53"/>
        </w:numPr>
        <w:spacing w:before="0" w:line="269" w:lineRule="auto"/>
        <w:ind w:left="367"/>
        <w:rPr>
          <w:rFonts w:eastAsia="Times New Roman"/>
          <w:rtl/>
        </w:rPr>
      </w:pPr>
      <w:bookmarkStart w:id="652" w:name="_Toc211521965"/>
      <w:bookmarkStart w:id="653" w:name="_Toc219110356"/>
      <w:bookmarkStart w:id="654" w:name="_Toc219113797"/>
      <w:bookmarkStart w:id="655" w:name="_Toc219286572"/>
      <w:r w:rsidRPr="00E91101">
        <w:rPr>
          <w:rFonts w:eastAsia="Times New Roman"/>
          <w:b/>
          <w:rtl/>
        </w:rPr>
        <w:t xml:space="preserve">בקרת </w:t>
      </w:r>
      <w:r w:rsidRPr="00E91101">
        <w:rPr>
          <w:rFonts w:eastAsia="Times New Roman"/>
          <w:rtl/>
        </w:rPr>
        <w:t>הרשאות</w:t>
      </w:r>
      <w:r w:rsidRPr="00BE1CFE">
        <w:rPr>
          <w:rFonts w:eastAsia="Times New Roman"/>
          <w:bCs w:val="0"/>
          <w:rtl/>
        </w:rPr>
        <w:t xml:space="preserve"> </w:t>
      </w:r>
      <w:r w:rsidRPr="00E91101">
        <w:rPr>
          <w:rFonts w:eastAsia="Times New Roman" w:hint="cs"/>
          <w:b/>
          <w:rtl/>
        </w:rPr>
        <w:t>ה</w:t>
      </w:r>
      <w:r w:rsidRPr="00E91101">
        <w:rPr>
          <w:rFonts w:eastAsia="Times New Roman"/>
          <w:b/>
          <w:rtl/>
        </w:rPr>
        <w:t xml:space="preserve">גישה למאגרי </w:t>
      </w:r>
      <w:r w:rsidRPr="00E91101">
        <w:rPr>
          <w:rFonts w:eastAsia="Times New Roman" w:hint="cs"/>
          <w:b/>
          <w:rtl/>
        </w:rPr>
        <w:t>ה</w:t>
      </w:r>
      <w:r w:rsidRPr="00E91101">
        <w:rPr>
          <w:rFonts w:eastAsia="Times New Roman"/>
          <w:b/>
          <w:rtl/>
        </w:rPr>
        <w:t>מידע ולמערכות</w:t>
      </w:r>
      <w:bookmarkEnd w:id="652"/>
      <w:bookmarkEnd w:id="653"/>
      <w:bookmarkEnd w:id="654"/>
      <w:bookmarkEnd w:id="655"/>
      <w:r w:rsidRPr="00BE1CFE">
        <w:rPr>
          <w:rFonts w:eastAsia="Times New Roman"/>
          <w:bCs w:val="0"/>
          <w:rtl/>
        </w:rPr>
        <w:t xml:space="preserve"> </w:t>
      </w:r>
    </w:p>
    <w:p w:rsidR="004B50FC" w:rsidRDefault="004B50FC" w:rsidP="00604C3D">
      <w:pPr>
        <w:spacing w:line="269" w:lineRule="auto"/>
        <w:rPr>
          <w:szCs w:val="20"/>
          <w:rtl/>
        </w:rPr>
      </w:pPr>
    </w:p>
    <w:p w:rsidR="00E50A30" w:rsidRPr="00BE1CFE" w:rsidRDefault="00E50A30" w:rsidP="00E2380D">
      <w:pPr>
        <w:spacing w:line="269" w:lineRule="auto"/>
        <w:ind w:left="367"/>
        <w:rPr>
          <w:sz w:val="24"/>
          <w:rtl/>
        </w:rPr>
      </w:pPr>
      <w:r w:rsidRPr="00BE1CFE">
        <w:rPr>
          <w:sz w:val="24"/>
          <w:rtl/>
        </w:rPr>
        <w:t>נוהל אח"</w:t>
      </w:r>
      <w:r w:rsidRPr="00BE1CFE">
        <w:rPr>
          <w:rFonts w:hint="cs"/>
          <w:sz w:val="24"/>
          <w:rtl/>
        </w:rPr>
        <w:t>ם</w:t>
      </w:r>
      <w:r w:rsidRPr="00BE1CFE">
        <w:rPr>
          <w:sz w:val="24"/>
          <w:rtl/>
        </w:rPr>
        <w:t xml:space="preserve"> בנושא הרשאות גישה</w:t>
      </w:r>
      <w:r w:rsidRPr="00BE1CFE">
        <w:rPr>
          <w:rFonts w:hint="cs"/>
          <w:sz w:val="24"/>
          <w:rtl/>
        </w:rPr>
        <w:t xml:space="preserve"> למערכות מחשוב </w:t>
      </w:r>
      <w:r w:rsidR="00F40708">
        <w:rPr>
          <w:rFonts w:hint="cs"/>
          <w:sz w:val="24"/>
          <w:rtl/>
        </w:rPr>
        <w:t>של האגף</w:t>
      </w:r>
      <w:r w:rsidRPr="00BE1CFE">
        <w:rPr>
          <w:rFonts w:ascii="David" w:hAnsi="David"/>
          <w:sz w:val="24"/>
          <w:vertAlign w:val="superscript"/>
        </w:rPr>
        <w:footnoteReference w:id="310"/>
      </w:r>
      <w:r w:rsidRPr="00BE1CFE">
        <w:rPr>
          <w:rFonts w:hint="cs"/>
          <w:sz w:val="24"/>
          <w:rtl/>
        </w:rPr>
        <w:t xml:space="preserve"> מתווה </w:t>
      </w:r>
      <w:r w:rsidRPr="00BE1CFE">
        <w:rPr>
          <w:sz w:val="24"/>
          <w:rtl/>
        </w:rPr>
        <w:t xml:space="preserve">את העקרונות </w:t>
      </w:r>
      <w:r w:rsidRPr="00BE1CFE">
        <w:rPr>
          <w:rFonts w:hint="cs"/>
          <w:sz w:val="24"/>
          <w:rtl/>
        </w:rPr>
        <w:t>ל</w:t>
      </w:r>
      <w:r w:rsidRPr="00BE1CFE">
        <w:rPr>
          <w:sz w:val="24"/>
          <w:rtl/>
        </w:rPr>
        <w:t xml:space="preserve">גישה למערכות </w:t>
      </w:r>
      <w:r w:rsidRPr="00BE1CFE">
        <w:rPr>
          <w:rFonts w:hint="cs"/>
          <w:sz w:val="24"/>
          <w:rtl/>
        </w:rPr>
        <w:t xml:space="preserve">הנזכרות בנוהל </w:t>
      </w:r>
      <w:r w:rsidRPr="00BE1CFE">
        <w:rPr>
          <w:sz w:val="24"/>
          <w:rtl/>
        </w:rPr>
        <w:t>ו</w:t>
      </w:r>
      <w:r w:rsidRPr="00BE1CFE">
        <w:rPr>
          <w:rFonts w:hint="cs"/>
          <w:sz w:val="24"/>
          <w:rtl/>
        </w:rPr>
        <w:t xml:space="preserve">להגדרת </w:t>
      </w:r>
      <w:r w:rsidRPr="00BE1CFE">
        <w:rPr>
          <w:sz w:val="24"/>
          <w:rtl/>
        </w:rPr>
        <w:t>בעלי התפקידים הרשאים לקבל</w:t>
      </w:r>
      <w:r w:rsidRPr="00BE1CFE">
        <w:rPr>
          <w:rFonts w:hint="cs"/>
          <w:sz w:val="24"/>
          <w:rtl/>
        </w:rPr>
        <w:t xml:space="preserve">ה; </w:t>
      </w:r>
      <w:r w:rsidRPr="00BE1CFE">
        <w:rPr>
          <w:sz w:val="24"/>
          <w:rtl/>
        </w:rPr>
        <w:t>ק</w:t>
      </w:r>
      <w:r w:rsidRPr="00BE1CFE">
        <w:rPr>
          <w:rFonts w:hint="cs"/>
          <w:sz w:val="24"/>
          <w:rtl/>
        </w:rPr>
        <w:t>ו</w:t>
      </w:r>
      <w:r w:rsidRPr="00BE1CFE">
        <w:rPr>
          <w:sz w:val="24"/>
          <w:rtl/>
        </w:rPr>
        <w:t>בע את הליך הטיפול בבקשות למתן הרשאה ורמת הרשאה</w:t>
      </w:r>
      <w:r w:rsidRPr="00BE1CFE">
        <w:rPr>
          <w:rFonts w:hint="cs"/>
          <w:sz w:val="24"/>
          <w:rtl/>
        </w:rPr>
        <w:t>; ומג</w:t>
      </w:r>
      <w:r w:rsidRPr="00BE1CFE">
        <w:rPr>
          <w:sz w:val="24"/>
          <w:rtl/>
        </w:rPr>
        <w:t xml:space="preserve">דיר את הגורמים </w:t>
      </w:r>
      <w:r w:rsidRPr="00BE1CFE">
        <w:rPr>
          <w:rFonts w:hint="cs"/>
          <w:sz w:val="24"/>
          <w:rtl/>
        </w:rPr>
        <w:t>האחראים</w:t>
      </w:r>
      <w:r w:rsidRPr="00BE1CFE">
        <w:rPr>
          <w:sz w:val="24"/>
          <w:rtl/>
        </w:rPr>
        <w:t xml:space="preserve"> לביטול הרשאות של מורשים שעברו לתפקיד אחר</w:t>
      </w:r>
      <w:r w:rsidRPr="00BE1CFE">
        <w:rPr>
          <w:rFonts w:hint="cs"/>
          <w:sz w:val="24"/>
          <w:rtl/>
        </w:rPr>
        <w:t xml:space="preserve">. </w:t>
      </w:r>
      <w:r w:rsidRPr="00BE1CFE">
        <w:rPr>
          <w:rFonts w:hint="eastAsia"/>
          <w:sz w:val="24"/>
          <w:rtl/>
        </w:rPr>
        <w:t>בעלי</w:t>
      </w:r>
      <w:r w:rsidRPr="00BE1CFE">
        <w:rPr>
          <w:sz w:val="24"/>
          <w:rtl/>
        </w:rPr>
        <w:t xml:space="preserve"> </w:t>
      </w:r>
      <w:r w:rsidRPr="00BE1CFE">
        <w:rPr>
          <w:rFonts w:hint="eastAsia"/>
          <w:sz w:val="24"/>
          <w:rtl/>
        </w:rPr>
        <w:t>התפקידים</w:t>
      </w:r>
      <w:r w:rsidRPr="00BE1CFE">
        <w:rPr>
          <w:sz w:val="24"/>
          <w:rtl/>
        </w:rPr>
        <w:t xml:space="preserve"> </w:t>
      </w:r>
      <w:r w:rsidRPr="00BE1CFE">
        <w:rPr>
          <w:rFonts w:hint="eastAsia"/>
          <w:sz w:val="24"/>
          <w:rtl/>
        </w:rPr>
        <w:t>השונים</w:t>
      </w:r>
      <w:r w:rsidRPr="00BE1CFE">
        <w:rPr>
          <w:sz w:val="24"/>
          <w:rtl/>
        </w:rPr>
        <w:t xml:space="preserve"> </w:t>
      </w:r>
      <w:r w:rsidRPr="00BE1CFE">
        <w:rPr>
          <w:rFonts w:hint="eastAsia"/>
          <w:sz w:val="24"/>
          <w:rtl/>
        </w:rPr>
        <w:t>במשטר</w:t>
      </w:r>
      <w:r w:rsidRPr="00BE1CFE">
        <w:rPr>
          <w:rFonts w:hint="cs"/>
          <w:sz w:val="24"/>
          <w:rtl/>
        </w:rPr>
        <w:t>ה</w:t>
      </w:r>
      <w:r w:rsidRPr="00BE1CFE">
        <w:rPr>
          <w:sz w:val="24"/>
          <w:rtl/>
        </w:rPr>
        <w:t xml:space="preserve"> </w:t>
      </w:r>
      <w:r w:rsidRPr="00BE1CFE">
        <w:rPr>
          <w:rFonts w:hint="cs"/>
          <w:sz w:val="24"/>
          <w:rtl/>
        </w:rPr>
        <w:t>משתמשים</w:t>
      </w:r>
      <w:r w:rsidRPr="00BE1CFE">
        <w:rPr>
          <w:sz w:val="24"/>
          <w:rtl/>
        </w:rPr>
        <w:t xml:space="preserve"> </w:t>
      </w:r>
      <w:r w:rsidRPr="00BE1CFE">
        <w:rPr>
          <w:rFonts w:hint="eastAsia"/>
          <w:sz w:val="24"/>
          <w:rtl/>
        </w:rPr>
        <w:t>במערכות</w:t>
      </w:r>
      <w:r w:rsidRPr="00BE1CFE">
        <w:rPr>
          <w:sz w:val="24"/>
          <w:rtl/>
        </w:rPr>
        <w:t xml:space="preserve"> </w:t>
      </w:r>
      <w:r w:rsidRPr="00BE1CFE">
        <w:rPr>
          <w:rFonts w:hint="eastAsia"/>
          <w:sz w:val="24"/>
          <w:rtl/>
        </w:rPr>
        <w:t>אלה</w:t>
      </w:r>
      <w:r w:rsidRPr="00BE1CFE">
        <w:rPr>
          <w:sz w:val="24"/>
          <w:rtl/>
        </w:rPr>
        <w:t xml:space="preserve"> </w:t>
      </w:r>
      <w:r w:rsidRPr="00BE1CFE">
        <w:rPr>
          <w:rFonts w:hint="eastAsia"/>
          <w:sz w:val="24"/>
          <w:rtl/>
        </w:rPr>
        <w:t>ע</w:t>
      </w:r>
      <w:r w:rsidRPr="00BE1CFE">
        <w:rPr>
          <w:rFonts w:hint="cs"/>
          <w:sz w:val="24"/>
          <w:rtl/>
        </w:rPr>
        <w:t xml:space="preserve">ל </w:t>
      </w:r>
      <w:r w:rsidRPr="00BE1CFE">
        <w:rPr>
          <w:rFonts w:hint="eastAsia"/>
          <w:sz w:val="24"/>
          <w:rtl/>
        </w:rPr>
        <w:t>פי</w:t>
      </w:r>
      <w:r w:rsidRPr="00BE1CFE">
        <w:rPr>
          <w:sz w:val="24"/>
          <w:rtl/>
        </w:rPr>
        <w:t xml:space="preserve"> </w:t>
      </w:r>
      <w:r w:rsidRPr="00BE1CFE">
        <w:rPr>
          <w:rFonts w:hint="eastAsia"/>
          <w:sz w:val="24"/>
          <w:rtl/>
        </w:rPr>
        <w:t>הגדרת</w:t>
      </w:r>
      <w:r w:rsidRPr="00BE1CFE">
        <w:rPr>
          <w:sz w:val="24"/>
          <w:rtl/>
        </w:rPr>
        <w:t xml:space="preserve"> </w:t>
      </w:r>
      <w:r w:rsidRPr="00BE1CFE">
        <w:rPr>
          <w:rFonts w:hint="eastAsia"/>
          <w:sz w:val="24"/>
          <w:rtl/>
        </w:rPr>
        <w:t>תפקידם</w:t>
      </w:r>
      <w:r w:rsidRPr="00BE1CFE">
        <w:rPr>
          <w:sz w:val="24"/>
          <w:rtl/>
        </w:rPr>
        <w:t xml:space="preserve"> </w:t>
      </w:r>
      <w:r w:rsidRPr="00BE1CFE">
        <w:rPr>
          <w:rFonts w:hint="cs"/>
          <w:sz w:val="24"/>
          <w:rtl/>
        </w:rPr>
        <w:t>ו</w:t>
      </w:r>
      <w:r w:rsidRPr="00BE1CFE">
        <w:rPr>
          <w:rFonts w:hint="eastAsia"/>
          <w:sz w:val="24"/>
          <w:rtl/>
        </w:rPr>
        <w:t>סיווגם</w:t>
      </w:r>
      <w:r w:rsidRPr="00BE1CFE">
        <w:rPr>
          <w:sz w:val="24"/>
          <w:rtl/>
        </w:rPr>
        <w:t xml:space="preserve"> </w:t>
      </w:r>
      <w:r w:rsidRPr="00BE1CFE">
        <w:rPr>
          <w:rFonts w:hint="eastAsia"/>
          <w:sz w:val="24"/>
          <w:rtl/>
        </w:rPr>
        <w:t>הביטחוני</w:t>
      </w:r>
      <w:r w:rsidRPr="00BE1CFE">
        <w:rPr>
          <w:sz w:val="24"/>
          <w:rtl/>
        </w:rPr>
        <w:t>.</w:t>
      </w:r>
      <w:r w:rsidRPr="00BE1CFE">
        <w:rPr>
          <w:rFonts w:hint="cs"/>
          <w:sz w:val="24"/>
          <w:rtl/>
        </w:rPr>
        <w:t xml:space="preserve"> המשטרה </w:t>
      </w:r>
      <w:r w:rsidRPr="00BE1CFE">
        <w:rPr>
          <w:rFonts w:hint="eastAsia"/>
          <w:sz w:val="24"/>
          <w:rtl/>
        </w:rPr>
        <w:t>מנהלת</w:t>
      </w:r>
      <w:r w:rsidRPr="00BE1CFE">
        <w:rPr>
          <w:sz w:val="24"/>
          <w:rtl/>
        </w:rPr>
        <w:t xml:space="preserve"> </w:t>
      </w:r>
      <w:r w:rsidRPr="00BE1CFE">
        <w:rPr>
          <w:rFonts w:hint="eastAsia"/>
          <w:sz w:val="24"/>
          <w:rtl/>
        </w:rPr>
        <w:t>את</w:t>
      </w:r>
      <w:r w:rsidRPr="00BE1CFE">
        <w:rPr>
          <w:sz w:val="24"/>
          <w:rtl/>
        </w:rPr>
        <w:t xml:space="preserve"> </w:t>
      </w:r>
      <w:r w:rsidRPr="00BE1CFE">
        <w:rPr>
          <w:rFonts w:hint="eastAsia"/>
          <w:sz w:val="24"/>
          <w:rtl/>
        </w:rPr>
        <w:t>הרשאות</w:t>
      </w:r>
      <w:r w:rsidRPr="00BE1CFE">
        <w:rPr>
          <w:sz w:val="24"/>
          <w:rtl/>
        </w:rPr>
        <w:t xml:space="preserve"> </w:t>
      </w:r>
      <w:r w:rsidRPr="00BE1CFE">
        <w:rPr>
          <w:rFonts w:hint="eastAsia"/>
          <w:sz w:val="24"/>
          <w:rtl/>
        </w:rPr>
        <w:t>הגישה</w:t>
      </w:r>
      <w:r w:rsidRPr="00BE1CFE">
        <w:rPr>
          <w:sz w:val="24"/>
          <w:rtl/>
        </w:rPr>
        <w:t xml:space="preserve"> </w:t>
      </w:r>
      <w:r w:rsidRPr="00BE1CFE">
        <w:rPr>
          <w:rFonts w:hint="eastAsia"/>
          <w:sz w:val="24"/>
          <w:rtl/>
        </w:rPr>
        <w:t>למערכות</w:t>
      </w:r>
      <w:r w:rsidRPr="00BE1CFE">
        <w:rPr>
          <w:rFonts w:hint="cs"/>
          <w:sz w:val="24"/>
          <w:rtl/>
        </w:rPr>
        <w:t>יה</w:t>
      </w:r>
      <w:r>
        <w:rPr>
          <w:rFonts w:hint="cs"/>
          <w:sz w:val="24"/>
          <w:rtl/>
        </w:rPr>
        <w:t xml:space="preserve"> </w:t>
      </w:r>
      <w:r w:rsidRPr="00BE1CFE">
        <w:rPr>
          <w:rFonts w:hint="eastAsia"/>
          <w:sz w:val="24"/>
          <w:rtl/>
        </w:rPr>
        <w:t>באמצעות</w:t>
      </w:r>
      <w:r w:rsidRPr="00BE1CFE">
        <w:rPr>
          <w:sz w:val="24"/>
          <w:rtl/>
        </w:rPr>
        <w:t xml:space="preserve"> </w:t>
      </w:r>
      <w:r w:rsidRPr="00BE1CFE">
        <w:rPr>
          <w:rFonts w:hint="eastAsia"/>
          <w:sz w:val="24"/>
          <w:rtl/>
        </w:rPr>
        <w:t>מערכת</w:t>
      </w:r>
      <w:r w:rsidRPr="00BE1CFE">
        <w:rPr>
          <w:sz w:val="24"/>
          <w:rtl/>
        </w:rPr>
        <w:t xml:space="preserve"> </w:t>
      </w:r>
      <w:r w:rsidRPr="00BE1CFE">
        <w:rPr>
          <w:rFonts w:hint="cs"/>
          <w:sz w:val="24"/>
          <w:rtl/>
        </w:rPr>
        <w:t>מרכזית לניהול הרשאות, וכל משתמש מוגדר על פי התחום, התפקיד, העיסוק והפרופיל שלו באופן המקנה לו הרשאות לפעולות בהתאם לרמת היחידה שבה הוא משרת. יצוין כי הרשאת משתמש יכולה להיות מורכבת מכמה פרופילים.</w:t>
      </w:r>
    </w:p>
    <w:p w:rsidR="004B50FC" w:rsidRDefault="004B50FC" w:rsidP="00E2380D">
      <w:pPr>
        <w:spacing w:line="269" w:lineRule="auto"/>
        <w:ind w:left="367"/>
        <w:rPr>
          <w:szCs w:val="20"/>
          <w:rtl/>
        </w:rPr>
      </w:pPr>
    </w:p>
    <w:p w:rsidR="00E50A30" w:rsidRPr="00BE1CFE" w:rsidRDefault="00E50A30" w:rsidP="00E2380D">
      <w:pPr>
        <w:spacing w:line="269" w:lineRule="auto"/>
        <w:ind w:left="367"/>
        <w:rPr>
          <w:sz w:val="24"/>
          <w:rtl/>
        </w:rPr>
      </w:pPr>
      <w:r w:rsidRPr="00BE1CFE">
        <w:rPr>
          <w:rFonts w:hint="cs"/>
          <w:sz w:val="24"/>
          <w:rtl/>
        </w:rPr>
        <w:t>הנוהל מתייחס לשתי מערכות מרכזיות של חטיבת הסייבר: מערכת ניהול צווים</w:t>
      </w:r>
      <w:r w:rsidRPr="00BE1CFE" w:rsidDel="009617A9">
        <w:rPr>
          <w:rFonts w:hint="cs"/>
          <w:sz w:val="24"/>
          <w:rtl/>
        </w:rPr>
        <w:t xml:space="preserve"> </w:t>
      </w:r>
      <w:r w:rsidRPr="00BE1CFE">
        <w:rPr>
          <w:rFonts w:hint="cs"/>
          <w:sz w:val="24"/>
          <w:rtl/>
        </w:rPr>
        <w:t xml:space="preserve">ומערכת תחקור נתוני תקשורת. על פי הנוהל, </w:t>
      </w:r>
      <w:r w:rsidRPr="00BE1CFE">
        <w:rPr>
          <w:sz w:val="24"/>
          <w:rtl/>
        </w:rPr>
        <w:t xml:space="preserve">במקרים של מעבר משתמשים מתפקידם </w:t>
      </w:r>
      <w:r w:rsidRPr="00BE1CFE">
        <w:rPr>
          <w:rFonts w:hint="cs"/>
          <w:sz w:val="24"/>
          <w:rtl/>
        </w:rPr>
        <w:t xml:space="preserve">בחטיבת הסייבר </w:t>
      </w:r>
      <w:r w:rsidRPr="00BE1CFE">
        <w:rPr>
          <w:sz w:val="24"/>
          <w:rtl/>
        </w:rPr>
        <w:t xml:space="preserve">לתפקיד אחר בארגון, באחריות בעל ההרשאה ומפקדו להעביר בקשה להסרת הרשאת הגישה למערכת. </w:t>
      </w:r>
      <w:r w:rsidRPr="00BE1CFE">
        <w:rPr>
          <w:rFonts w:hint="cs"/>
          <w:sz w:val="24"/>
          <w:rtl/>
        </w:rPr>
        <w:t>נוסף על כך, חטיבת הסייבר קבעה מי הם בעלי התפקידים השונים בכלל מערך האח"ם הנדרשים לקבל הרשאות גישה למאגרי המידע ולמערכות של החטיבה.</w:t>
      </w:r>
    </w:p>
    <w:p w:rsidR="004B50FC" w:rsidRDefault="004B50FC" w:rsidP="00E2380D">
      <w:pPr>
        <w:spacing w:line="269" w:lineRule="auto"/>
        <w:ind w:left="367"/>
        <w:rPr>
          <w:szCs w:val="20"/>
          <w:rtl/>
        </w:rPr>
      </w:pPr>
    </w:p>
    <w:p w:rsidR="00E50A30" w:rsidRPr="00BE1CFE" w:rsidRDefault="00E50A30" w:rsidP="00E2380D">
      <w:pPr>
        <w:spacing w:line="269" w:lineRule="auto"/>
        <w:ind w:left="367"/>
        <w:rPr>
          <w:b/>
          <w:bCs/>
          <w:sz w:val="26"/>
          <w:szCs w:val="26"/>
          <w:rtl/>
        </w:rPr>
      </w:pPr>
      <w:r w:rsidRPr="00BE1CFE">
        <w:rPr>
          <w:rFonts w:hint="cs"/>
          <w:sz w:val="24"/>
          <w:rtl/>
        </w:rPr>
        <w:t xml:space="preserve">עוד נקבע בנוהל כי </w:t>
      </w:r>
      <w:r w:rsidRPr="00BE1CFE">
        <w:rPr>
          <w:rFonts w:hint="eastAsia"/>
          <w:sz w:val="24"/>
          <w:rtl/>
        </w:rPr>
        <w:t>מדור</w:t>
      </w:r>
      <w:r w:rsidRPr="00BE1CFE">
        <w:rPr>
          <w:sz w:val="24"/>
          <w:rtl/>
        </w:rPr>
        <w:t xml:space="preserve"> </w:t>
      </w:r>
      <w:r w:rsidRPr="00BE1CFE">
        <w:rPr>
          <w:rFonts w:hint="eastAsia"/>
          <w:sz w:val="24"/>
          <w:rtl/>
        </w:rPr>
        <w:t>מחשוב</w:t>
      </w:r>
      <w:r w:rsidRPr="00BE1CFE">
        <w:rPr>
          <w:sz w:val="24"/>
          <w:rtl/>
        </w:rPr>
        <w:t xml:space="preserve"> </w:t>
      </w:r>
      <w:r w:rsidRPr="00BE1CFE">
        <w:rPr>
          <w:rFonts w:hint="eastAsia"/>
          <w:sz w:val="24"/>
          <w:rtl/>
        </w:rPr>
        <w:t>אח</w:t>
      </w:r>
      <w:r w:rsidRPr="00BE1CFE">
        <w:rPr>
          <w:sz w:val="24"/>
          <w:rtl/>
        </w:rPr>
        <w:t>"</w:t>
      </w:r>
      <w:r w:rsidRPr="00BE1CFE">
        <w:rPr>
          <w:rFonts w:hint="cs"/>
          <w:sz w:val="24"/>
          <w:rtl/>
        </w:rPr>
        <w:t>ם</w:t>
      </w:r>
      <w:r w:rsidRPr="00BE1CFE">
        <w:rPr>
          <w:sz w:val="24"/>
          <w:rtl/>
        </w:rPr>
        <w:t xml:space="preserve"> </w:t>
      </w:r>
      <w:r w:rsidRPr="00BE1CFE">
        <w:rPr>
          <w:rFonts w:hint="eastAsia"/>
          <w:sz w:val="24"/>
          <w:rtl/>
        </w:rPr>
        <w:t>נדרש</w:t>
      </w:r>
      <w:r w:rsidRPr="00BE1CFE">
        <w:rPr>
          <w:sz w:val="24"/>
          <w:rtl/>
        </w:rPr>
        <w:t xml:space="preserve"> </w:t>
      </w:r>
      <w:r w:rsidRPr="00BE1CFE">
        <w:rPr>
          <w:rFonts w:hint="eastAsia"/>
          <w:sz w:val="24"/>
          <w:rtl/>
        </w:rPr>
        <w:t>לנהל</w:t>
      </w:r>
      <w:r w:rsidRPr="00BE1CFE">
        <w:rPr>
          <w:sz w:val="24"/>
          <w:rtl/>
        </w:rPr>
        <w:t xml:space="preserve"> </w:t>
      </w:r>
      <w:r w:rsidRPr="00BE1CFE">
        <w:rPr>
          <w:rFonts w:hint="eastAsia"/>
          <w:sz w:val="24"/>
          <w:rtl/>
        </w:rPr>
        <w:t>את</w:t>
      </w:r>
      <w:r w:rsidRPr="00BE1CFE">
        <w:rPr>
          <w:sz w:val="24"/>
          <w:rtl/>
        </w:rPr>
        <w:t xml:space="preserve"> </w:t>
      </w:r>
      <w:r w:rsidRPr="00BE1CFE">
        <w:rPr>
          <w:rFonts w:hint="eastAsia"/>
          <w:sz w:val="24"/>
          <w:rtl/>
        </w:rPr>
        <w:t>מתן</w:t>
      </w:r>
      <w:r w:rsidRPr="00BE1CFE">
        <w:rPr>
          <w:sz w:val="24"/>
          <w:rtl/>
        </w:rPr>
        <w:t xml:space="preserve"> </w:t>
      </w:r>
      <w:r w:rsidRPr="00BE1CFE">
        <w:rPr>
          <w:rFonts w:hint="eastAsia"/>
          <w:sz w:val="24"/>
          <w:rtl/>
        </w:rPr>
        <w:t>ההרשאות</w:t>
      </w:r>
      <w:r w:rsidRPr="00BE1CFE">
        <w:rPr>
          <w:sz w:val="24"/>
          <w:rtl/>
        </w:rPr>
        <w:t xml:space="preserve"> </w:t>
      </w:r>
      <w:r w:rsidRPr="00BE1CFE">
        <w:rPr>
          <w:rFonts w:hint="eastAsia"/>
          <w:sz w:val="24"/>
          <w:rtl/>
        </w:rPr>
        <w:t>של</w:t>
      </w:r>
      <w:r w:rsidRPr="00BE1CFE">
        <w:rPr>
          <w:sz w:val="24"/>
          <w:rtl/>
        </w:rPr>
        <w:t xml:space="preserve"> </w:t>
      </w:r>
      <w:r w:rsidRPr="00BE1CFE">
        <w:rPr>
          <w:rFonts w:hint="eastAsia"/>
          <w:sz w:val="24"/>
          <w:rtl/>
        </w:rPr>
        <w:t>כל</w:t>
      </w:r>
      <w:r w:rsidRPr="00BE1CFE">
        <w:rPr>
          <w:sz w:val="24"/>
          <w:rtl/>
        </w:rPr>
        <w:t xml:space="preserve"> </w:t>
      </w:r>
      <w:r w:rsidRPr="00BE1CFE">
        <w:rPr>
          <w:rFonts w:hint="eastAsia"/>
          <w:sz w:val="24"/>
          <w:rtl/>
        </w:rPr>
        <w:t>אחת</w:t>
      </w:r>
      <w:r w:rsidRPr="00BE1CFE">
        <w:rPr>
          <w:sz w:val="24"/>
          <w:rtl/>
        </w:rPr>
        <w:t xml:space="preserve"> </w:t>
      </w:r>
      <w:r w:rsidRPr="00BE1CFE">
        <w:rPr>
          <w:rFonts w:hint="eastAsia"/>
          <w:sz w:val="24"/>
          <w:rtl/>
        </w:rPr>
        <w:t>מהמערכות</w:t>
      </w:r>
      <w:r w:rsidRPr="00BE1CFE">
        <w:rPr>
          <w:rFonts w:hint="cs"/>
          <w:sz w:val="24"/>
          <w:rtl/>
        </w:rPr>
        <w:t xml:space="preserve"> הנזכרות</w:t>
      </w:r>
      <w:r w:rsidRPr="00BE1CFE">
        <w:rPr>
          <w:sz w:val="24"/>
          <w:rtl/>
        </w:rPr>
        <w:t xml:space="preserve">, </w:t>
      </w:r>
      <w:r w:rsidRPr="00BE1CFE">
        <w:rPr>
          <w:rFonts w:hint="eastAsia"/>
          <w:sz w:val="24"/>
          <w:rtl/>
        </w:rPr>
        <w:t>זאת</w:t>
      </w:r>
      <w:r w:rsidRPr="00BE1CFE">
        <w:rPr>
          <w:sz w:val="24"/>
          <w:rtl/>
        </w:rPr>
        <w:t xml:space="preserve"> </w:t>
      </w:r>
      <w:r w:rsidRPr="00BE1CFE">
        <w:rPr>
          <w:rFonts w:hint="eastAsia"/>
          <w:sz w:val="24"/>
          <w:rtl/>
        </w:rPr>
        <w:t>בכפוף</w:t>
      </w:r>
      <w:r w:rsidRPr="00BE1CFE">
        <w:rPr>
          <w:sz w:val="24"/>
          <w:rtl/>
        </w:rPr>
        <w:t xml:space="preserve"> </w:t>
      </w:r>
      <w:r w:rsidRPr="00BE1CFE">
        <w:rPr>
          <w:rFonts w:hint="eastAsia"/>
          <w:sz w:val="24"/>
          <w:rtl/>
        </w:rPr>
        <w:t>לס</w:t>
      </w:r>
      <w:r w:rsidRPr="00BE1CFE">
        <w:rPr>
          <w:rFonts w:hint="cs"/>
          <w:sz w:val="24"/>
          <w:rtl/>
        </w:rPr>
        <w:t>י</w:t>
      </w:r>
      <w:r w:rsidRPr="00BE1CFE">
        <w:rPr>
          <w:rFonts w:hint="eastAsia"/>
          <w:sz w:val="24"/>
          <w:rtl/>
        </w:rPr>
        <w:t>ווג</w:t>
      </w:r>
      <w:r w:rsidRPr="00BE1CFE">
        <w:rPr>
          <w:sz w:val="24"/>
          <w:rtl/>
        </w:rPr>
        <w:t xml:space="preserve"> </w:t>
      </w:r>
      <w:r w:rsidRPr="00BE1CFE">
        <w:rPr>
          <w:rFonts w:hint="eastAsia"/>
          <w:sz w:val="24"/>
          <w:rtl/>
        </w:rPr>
        <w:t>הביטחוני</w:t>
      </w:r>
      <w:r w:rsidRPr="00BE1CFE">
        <w:rPr>
          <w:sz w:val="24"/>
          <w:rtl/>
        </w:rPr>
        <w:t xml:space="preserve"> </w:t>
      </w:r>
      <w:r w:rsidRPr="00BE1CFE">
        <w:rPr>
          <w:rFonts w:hint="cs"/>
          <w:sz w:val="24"/>
          <w:rtl/>
        </w:rPr>
        <w:t xml:space="preserve">של המשתמש במערכת </w:t>
      </w:r>
      <w:r w:rsidRPr="00BE1CFE">
        <w:rPr>
          <w:rFonts w:hint="eastAsia"/>
          <w:sz w:val="24"/>
          <w:rtl/>
        </w:rPr>
        <w:t>ו</w:t>
      </w:r>
      <w:r w:rsidRPr="00BE1CFE">
        <w:rPr>
          <w:rFonts w:hint="cs"/>
          <w:sz w:val="24"/>
          <w:rtl/>
        </w:rPr>
        <w:t>ל</w:t>
      </w:r>
      <w:r w:rsidRPr="00BE1CFE">
        <w:rPr>
          <w:rFonts w:hint="eastAsia"/>
          <w:sz w:val="24"/>
          <w:rtl/>
        </w:rPr>
        <w:t>אישור</w:t>
      </w:r>
      <w:r w:rsidRPr="00BE1CFE">
        <w:rPr>
          <w:sz w:val="24"/>
          <w:rtl/>
        </w:rPr>
        <w:t xml:space="preserve"> </w:t>
      </w:r>
      <w:r w:rsidRPr="00BE1CFE">
        <w:rPr>
          <w:rFonts w:hint="eastAsia"/>
          <w:sz w:val="24"/>
          <w:rtl/>
        </w:rPr>
        <w:t>הגורם</w:t>
      </w:r>
      <w:r w:rsidRPr="00BE1CFE">
        <w:rPr>
          <w:sz w:val="24"/>
          <w:rtl/>
        </w:rPr>
        <w:t xml:space="preserve"> </w:t>
      </w:r>
      <w:r w:rsidRPr="00BE1CFE">
        <w:rPr>
          <w:rFonts w:hint="eastAsia"/>
          <w:sz w:val="24"/>
          <w:rtl/>
        </w:rPr>
        <w:t>המקצועי</w:t>
      </w:r>
      <w:r w:rsidRPr="00BE1CFE">
        <w:rPr>
          <w:sz w:val="24"/>
          <w:rtl/>
        </w:rPr>
        <w:t xml:space="preserve"> </w:t>
      </w:r>
      <w:r w:rsidRPr="00BE1CFE">
        <w:rPr>
          <w:rFonts w:hint="eastAsia"/>
          <w:sz w:val="24"/>
          <w:rtl/>
        </w:rPr>
        <w:t>של</w:t>
      </w:r>
      <w:r w:rsidRPr="00BE1CFE">
        <w:rPr>
          <w:sz w:val="24"/>
          <w:rtl/>
        </w:rPr>
        <w:t xml:space="preserve"> </w:t>
      </w:r>
      <w:r w:rsidRPr="00BE1CFE">
        <w:rPr>
          <w:rFonts w:hint="eastAsia"/>
          <w:sz w:val="24"/>
          <w:rtl/>
        </w:rPr>
        <w:t>המשתמש</w:t>
      </w:r>
      <w:r w:rsidRPr="00BE1CFE">
        <w:rPr>
          <w:rFonts w:hint="cs"/>
          <w:sz w:val="24"/>
          <w:rtl/>
        </w:rPr>
        <w:t xml:space="preserve">. במסגרת זאת החטיבות </w:t>
      </w:r>
      <w:r>
        <w:rPr>
          <w:rFonts w:hint="cs"/>
          <w:sz w:val="24"/>
          <w:rtl/>
        </w:rPr>
        <w:t xml:space="preserve">באח"ם </w:t>
      </w:r>
      <w:r w:rsidRPr="00BE1CFE">
        <w:rPr>
          <w:rFonts w:hint="cs"/>
          <w:sz w:val="24"/>
          <w:rtl/>
        </w:rPr>
        <w:t>מעבירות למדור את בקשותיהן למתן הרשאות ולהסרתן במידת הצורך. המדור מבצע בקרה על הבקשות המועברות אליו ובדיקה אם הן עומדות בנהלים ובקריטריונים הרלוונטיים</w:t>
      </w:r>
      <w:r w:rsidRPr="00BE1CFE">
        <w:rPr>
          <w:sz w:val="24"/>
          <w:vertAlign w:val="superscript"/>
          <w:rtl/>
        </w:rPr>
        <w:footnoteReference w:id="311"/>
      </w:r>
      <w:r w:rsidRPr="00BE1CFE">
        <w:rPr>
          <w:rFonts w:hint="cs"/>
          <w:sz w:val="24"/>
          <w:rtl/>
        </w:rPr>
        <w:t>. אם הבקשה תקינה, מדור מחשוב אח"ם מעדכן את ההרשאות במערכת ניהול ההרשאות המשטרתית. המדור גם מבצע בקרה על יחידות המשטרה לבחינת מורשי הגישה למערכות המחשוב של אח"ם. לעומת זאת, בכל הנוגע למתן הרשאות למערכות חטיבת הסייבר לתפקידן חדש או בעת מעבר תפקיד, תהליך מתן ההרשאות שונה וכולל את השלבים האלה: מילוי טופס ייעודי בנוגע לתפקידן והצהרת המפקד כי הזהיר אותו באזהרת ביטחון מידע. לאחר מכן מועברת הבקשה על ידי המפקד הישיר של התפקיד</w:t>
      </w:r>
      <w:r w:rsidR="00212501">
        <w:rPr>
          <w:rFonts w:hint="cs"/>
          <w:sz w:val="24"/>
          <w:rtl/>
        </w:rPr>
        <w:t>ן</w:t>
      </w:r>
      <w:r w:rsidRPr="00BE1CFE">
        <w:rPr>
          <w:rFonts w:hint="cs"/>
          <w:sz w:val="24"/>
          <w:rtl/>
        </w:rPr>
        <w:t xml:space="preserve"> לגורם הרלוונטי במדור הכוונה מקצועית, והוא בוחן את המסמכים והבקשה. אם הבקשה אושרה, היא מועברת לקצין המחשוב באח"ם לשם הגדרת ההרשאות במערכת ההרשאות. יוצא אפוא כי מדור מחשוב אח"ם מקבל ממדור הכוונה מקצועית את הבקשות למתן הרשאות גישה או לעדכונן ומבצע את עדכון ההרשאות בהיבט הטכני, ללא בחינת הבקשות לגופן וללא </w:t>
      </w:r>
      <w:r w:rsidRPr="00BE1CFE">
        <w:rPr>
          <w:rFonts w:hint="eastAsia"/>
          <w:sz w:val="24"/>
          <w:rtl/>
        </w:rPr>
        <w:t>בחינה</w:t>
      </w:r>
      <w:r w:rsidRPr="00BE1CFE">
        <w:rPr>
          <w:sz w:val="24"/>
          <w:rtl/>
        </w:rPr>
        <w:t xml:space="preserve"> </w:t>
      </w:r>
      <w:r w:rsidRPr="00BE1CFE">
        <w:rPr>
          <w:rFonts w:hint="eastAsia"/>
          <w:sz w:val="24"/>
          <w:rtl/>
        </w:rPr>
        <w:t>של</w:t>
      </w:r>
      <w:r w:rsidRPr="00BE1CFE">
        <w:rPr>
          <w:sz w:val="24"/>
          <w:rtl/>
        </w:rPr>
        <w:t xml:space="preserve"> </w:t>
      </w:r>
      <w:r w:rsidRPr="00BE1CFE">
        <w:rPr>
          <w:rFonts w:hint="eastAsia"/>
          <w:sz w:val="24"/>
          <w:rtl/>
        </w:rPr>
        <w:t>עמידת</w:t>
      </w:r>
      <w:r w:rsidRPr="00BE1CFE">
        <w:rPr>
          <w:sz w:val="24"/>
          <w:rtl/>
        </w:rPr>
        <w:t xml:space="preserve"> </w:t>
      </w:r>
      <w:r w:rsidRPr="00BE1CFE">
        <w:rPr>
          <w:rFonts w:hint="eastAsia"/>
          <w:sz w:val="24"/>
          <w:rtl/>
        </w:rPr>
        <w:t>הבקשות</w:t>
      </w:r>
      <w:r w:rsidRPr="00BE1CFE">
        <w:rPr>
          <w:sz w:val="24"/>
          <w:rtl/>
        </w:rPr>
        <w:t xml:space="preserve"> </w:t>
      </w:r>
      <w:r w:rsidRPr="00BE1CFE">
        <w:rPr>
          <w:rFonts w:hint="eastAsia"/>
          <w:sz w:val="24"/>
          <w:rtl/>
        </w:rPr>
        <w:t>המופנות</w:t>
      </w:r>
      <w:r w:rsidRPr="00BE1CFE">
        <w:rPr>
          <w:sz w:val="24"/>
          <w:rtl/>
        </w:rPr>
        <w:t xml:space="preserve"> </w:t>
      </w:r>
      <w:r w:rsidRPr="00BE1CFE">
        <w:rPr>
          <w:rFonts w:hint="eastAsia"/>
          <w:sz w:val="24"/>
          <w:rtl/>
        </w:rPr>
        <w:t>אליו</w:t>
      </w:r>
      <w:r w:rsidRPr="00BE1CFE">
        <w:rPr>
          <w:sz w:val="24"/>
          <w:rtl/>
        </w:rPr>
        <w:t xml:space="preserve"> </w:t>
      </w:r>
      <w:r w:rsidRPr="00BE1CFE">
        <w:rPr>
          <w:rFonts w:hint="eastAsia"/>
          <w:sz w:val="24"/>
          <w:rtl/>
        </w:rPr>
        <w:t>בנהלים</w:t>
      </w:r>
      <w:r w:rsidRPr="00BE1CFE">
        <w:rPr>
          <w:sz w:val="24"/>
          <w:rtl/>
        </w:rPr>
        <w:t xml:space="preserve"> </w:t>
      </w:r>
      <w:r w:rsidRPr="00BE1CFE">
        <w:rPr>
          <w:rFonts w:hint="cs"/>
          <w:sz w:val="24"/>
          <w:rtl/>
        </w:rPr>
        <w:t>שנקבעו</w:t>
      </w:r>
      <w:r w:rsidRPr="00BE1CFE">
        <w:rPr>
          <w:sz w:val="24"/>
          <w:rtl/>
        </w:rPr>
        <w:t xml:space="preserve"> </w:t>
      </w:r>
      <w:r w:rsidRPr="00BE1CFE">
        <w:rPr>
          <w:rFonts w:hint="eastAsia"/>
          <w:sz w:val="24"/>
          <w:rtl/>
        </w:rPr>
        <w:t>בעניין</w:t>
      </w:r>
      <w:r w:rsidRPr="00BE1CFE">
        <w:rPr>
          <w:sz w:val="24"/>
          <w:rtl/>
        </w:rPr>
        <w:t xml:space="preserve"> </w:t>
      </w:r>
      <w:r w:rsidRPr="00BE1CFE">
        <w:rPr>
          <w:rFonts w:hint="eastAsia"/>
          <w:sz w:val="24"/>
          <w:rtl/>
        </w:rPr>
        <w:t>הרשאות</w:t>
      </w:r>
      <w:r w:rsidRPr="00BE1CFE">
        <w:rPr>
          <w:sz w:val="24"/>
          <w:rtl/>
        </w:rPr>
        <w:t xml:space="preserve"> </w:t>
      </w:r>
      <w:r w:rsidRPr="00BE1CFE">
        <w:rPr>
          <w:rFonts w:hint="eastAsia"/>
          <w:sz w:val="24"/>
          <w:rtl/>
        </w:rPr>
        <w:t>הגישה</w:t>
      </w:r>
      <w:r w:rsidRPr="00BE1CFE">
        <w:rPr>
          <w:rFonts w:hint="cs"/>
          <w:sz w:val="24"/>
          <w:rtl/>
        </w:rPr>
        <w:t xml:space="preserve">. </w:t>
      </w:r>
    </w:p>
    <w:p w:rsidR="004B50FC" w:rsidRDefault="004B50FC" w:rsidP="00604C3D">
      <w:pPr>
        <w:spacing w:line="269" w:lineRule="auto"/>
        <w:rPr>
          <w:szCs w:val="20"/>
          <w:rtl/>
        </w:rPr>
      </w:pPr>
    </w:p>
    <w:p w:rsidR="00E50A30" w:rsidRPr="00BE1CFE" w:rsidRDefault="00E50A30" w:rsidP="00E2380D">
      <w:pPr>
        <w:spacing w:line="269" w:lineRule="auto"/>
        <w:ind w:left="367"/>
        <w:rPr>
          <w:sz w:val="24"/>
          <w:rtl/>
        </w:rPr>
      </w:pPr>
      <w:r w:rsidRPr="00BE1CFE">
        <w:rPr>
          <w:rFonts w:hint="cs"/>
          <w:sz w:val="24"/>
          <w:rtl/>
        </w:rPr>
        <w:t>בדיון שהתקיים בנובמבר 2018 נקבע כי מדור הכוונה מקצועית יפיק מפעם לפעם רשימה של כלל המשתמשים במערכת לניהול צווים בחלוקה לרמות הרשאה לשם ביצוע בקרה בנושא.</w:t>
      </w:r>
    </w:p>
    <w:p w:rsidR="004B50FC" w:rsidRDefault="004B50FC" w:rsidP="00E2380D">
      <w:pPr>
        <w:spacing w:line="269" w:lineRule="auto"/>
        <w:ind w:left="367"/>
        <w:rPr>
          <w:szCs w:val="20"/>
          <w:rtl/>
        </w:rPr>
      </w:pPr>
    </w:p>
    <w:p w:rsidR="00E50A30" w:rsidRPr="00BE1CFE" w:rsidRDefault="00E50A30" w:rsidP="00E2380D">
      <w:pPr>
        <w:spacing w:line="269" w:lineRule="auto"/>
        <w:ind w:left="367"/>
        <w:rPr>
          <w:sz w:val="24"/>
          <w:rtl/>
        </w:rPr>
      </w:pPr>
      <w:r w:rsidRPr="00BE1CFE">
        <w:rPr>
          <w:rFonts w:hint="cs"/>
          <w:sz w:val="24"/>
          <w:rtl/>
        </w:rPr>
        <w:t>להלן פירוט הבקרות הנושאיות שביצעה חטיבת הסייבר בנושא הרשאות גישה למערכותיה</w:t>
      </w:r>
      <w:r w:rsidRPr="00BE1CFE">
        <w:rPr>
          <w:sz w:val="24"/>
          <w:vertAlign w:val="superscript"/>
          <w:rtl/>
        </w:rPr>
        <w:footnoteReference w:id="312"/>
      </w:r>
      <w:r w:rsidRPr="00BE1CFE">
        <w:rPr>
          <w:rFonts w:hint="cs"/>
          <w:sz w:val="24"/>
          <w:rtl/>
        </w:rPr>
        <w:t>:</w:t>
      </w:r>
    </w:p>
    <w:p w:rsidR="004B50FC" w:rsidRPr="004B50FC" w:rsidRDefault="004B50FC" w:rsidP="00604C3D">
      <w:pPr>
        <w:tabs>
          <w:tab w:val="left" w:pos="5612"/>
        </w:tabs>
        <w:spacing w:line="269" w:lineRule="auto"/>
        <w:ind w:left="312"/>
        <w:contextualSpacing/>
      </w:pPr>
    </w:p>
    <w:p w:rsidR="00E50A30" w:rsidRPr="00BE1CFE" w:rsidRDefault="00E50A30" w:rsidP="00E2380D">
      <w:pPr>
        <w:pStyle w:val="af2"/>
        <w:numPr>
          <w:ilvl w:val="0"/>
          <w:numId w:val="55"/>
        </w:numPr>
        <w:tabs>
          <w:tab w:val="left" w:pos="5612"/>
        </w:tabs>
        <w:spacing w:line="269" w:lineRule="auto"/>
        <w:ind w:left="707" w:hanging="367"/>
      </w:pPr>
      <w:r w:rsidRPr="00BE1CFE">
        <w:rPr>
          <w:rFonts w:hint="eastAsia"/>
          <w:rtl/>
        </w:rPr>
        <w:t>בשנת</w:t>
      </w:r>
      <w:r w:rsidRPr="00BE1CFE">
        <w:rPr>
          <w:rtl/>
        </w:rPr>
        <w:t xml:space="preserve"> 2015 בוצעה </w:t>
      </w:r>
      <w:r w:rsidRPr="00BE1CFE">
        <w:rPr>
          <w:rFonts w:hint="eastAsia"/>
          <w:rtl/>
        </w:rPr>
        <w:t>בחטיבת</w:t>
      </w:r>
      <w:r w:rsidRPr="00BE1CFE">
        <w:rPr>
          <w:rFonts w:hint="cs"/>
          <w:rtl/>
        </w:rPr>
        <w:t xml:space="preserve"> </w:t>
      </w:r>
      <w:r w:rsidRPr="00BE1CFE">
        <w:rPr>
          <w:rtl/>
        </w:rPr>
        <w:t xml:space="preserve">הסייבר </w:t>
      </w:r>
      <w:r w:rsidRPr="00BE1CFE">
        <w:rPr>
          <w:rFonts w:hint="eastAsia"/>
          <w:rtl/>
        </w:rPr>
        <w:t>בקרה</w:t>
      </w:r>
      <w:r w:rsidRPr="00BE1CFE">
        <w:rPr>
          <w:rtl/>
        </w:rPr>
        <w:t xml:space="preserve"> נושאית לבחינת </w:t>
      </w:r>
      <w:r w:rsidRPr="00BE1CFE">
        <w:rPr>
          <w:rFonts w:hint="eastAsia"/>
          <w:rtl/>
        </w:rPr>
        <w:t>מורשי</w:t>
      </w:r>
      <w:r w:rsidRPr="00BE1CFE">
        <w:rPr>
          <w:rtl/>
        </w:rPr>
        <w:t xml:space="preserve"> הגישה למאגר האנטנות לצורך הסרת </w:t>
      </w:r>
      <w:r w:rsidRPr="00BE1CFE">
        <w:rPr>
          <w:rFonts w:hint="eastAsia"/>
          <w:rtl/>
        </w:rPr>
        <w:t>הרשאות</w:t>
      </w:r>
      <w:r w:rsidRPr="00BE1CFE">
        <w:rPr>
          <w:rtl/>
        </w:rPr>
        <w:t xml:space="preserve"> של </w:t>
      </w:r>
      <w:r w:rsidRPr="00BE1CFE">
        <w:rPr>
          <w:rFonts w:hint="eastAsia"/>
          <w:rtl/>
        </w:rPr>
        <w:t>מורשי</w:t>
      </w:r>
      <w:r w:rsidRPr="00BE1CFE">
        <w:rPr>
          <w:rtl/>
        </w:rPr>
        <w:t xml:space="preserve"> גישה שאינן נדרשות עוד. </w:t>
      </w:r>
    </w:p>
    <w:p w:rsidR="004B50FC" w:rsidRPr="004B50FC" w:rsidRDefault="004B50FC" w:rsidP="00E2380D">
      <w:pPr>
        <w:tabs>
          <w:tab w:val="left" w:pos="5612"/>
        </w:tabs>
        <w:spacing w:line="269" w:lineRule="auto"/>
        <w:ind w:left="707" w:hanging="367"/>
        <w:contextualSpacing/>
      </w:pPr>
    </w:p>
    <w:p w:rsidR="00E50A30" w:rsidRPr="00BE1CFE" w:rsidRDefault="00E50A30" w:rsidP="00E2380D">
      <w:pPr>
        <w:pStyle w:val="af2"/>
        <w:numPr>
          <w:ilvl w:val="0"/>
          <w:numId w:val="55"/>
        </w:numPr>
        <w:tabs>
          <w:tab w:val="left" w:pos="5612"/>
        </w:tabs>
        <w:spacing w:line="269" w:lineRule="auto"/>
        <w:ind w:left="707" w:hanging="367"/>
      </w:pPr>
      <w:r w:rsidRPr="00BE1CFE">
        <w:rPr>
          <w:rtl/>
        </w:rPr>
        <w:t xml:space="preserve">בשנת 2016 </w:t>
      </w:r>
      <w:r w:rsidRPr="00BE1CFE">
        <w:rPr>
          <w:rFonts w:hint="eastAsia"/>
          <w:rtl/>
        </w:rPr>
        <w:t>בוצעה</w:t>
      </w:r>
      <w:r w:rsidRPr="00BE1CFE">
        <w:rPr>
          <w:rtl/>
        </w:rPr>
        <w:t xml:space="preserve"> בחטיבת</w:t>
      </w:r>
      <w:r w:rsidRPr="00BE1CFE">
        <w:rPr>
          <w:rFonts w:hint="cs"/>
          <w:rtl/>
        </w:rPr>
        <w:t xml:space="preserve"> </w:t>
      </w:r>
      <w:r w:rsidRPr="00BE1CFE">
        <w:rPr>
          <w:rtl/>
        </w:rPr>
        <w:t xml:space="preserve">הסייבר בקרה נושאית לבחינת </w:t>
      </w:r>
      <w:r w:rsidRPr="00BE1CFE">
        <w:rPr>
          <w:rFonts w:hint="eastAsia"/>
          <w:rtl/>
        </w:rPr>
        <w:t>מורשי</w:t>
      </w:r>
      <w:r w:rsidRPr="00BE1CFE">
        <w:rPr>
          <w:rtl/>
        </w:rPr>
        <w:t xml:space="preserve"> הגישה למאגר </w:t>
      </w:r>
      <w:r w:rsidRPr="00BE1CFE">
        <w:rPr>
          <w:rFonts w:hint="eastAsia"/>
          <w:rtl/>
        </w:rPr>
        <w:t>הבעלויות</w:t>
      </w:r>
      <w:r w:rsidRPr="00BE1CFE">
        <w:rPr>
          <w:rtl/>
        </w:rPr>
        <w:t xml:space="preserve"> לצורך הסרת הרשאות של </w:t>
      </w:r>
      <w:r w:rsidRPr="00BE1CFE">
        <w:rPr>
          <w:rFonts w:hint="eastAsia"/>
          <w:rtl/>
        </w:rPr>
        <w:t>מורשי</w:t>
      </w:r>
      <w:r w:rsidRPr="00BE1CFE">
        <w:rPr>
          <w:rtl/>
        </w:rPr>
        <w:t xml:space="preserve"> גישה שאינן נדרשות עוד. </w:t>
      </w:r>
      <w:r w:rsidRPr="00BE1CFE">
        <w:rPr>
          <w:rFonts w:hint="eastAsia"/>
          <w:rtl/>
        </w:rPr>
        <w:t>ממצאי</w:t>
      </w:r>
      <w:r w:rsidRPr="00BE1CFE">
        <w:rPr>
          <w:rtl/>
        </w:rPr>
        <w:t xml:space="preserve"> </w:t>
      </w:r>
      <w:r w:rsidRPr="00BE1CFE">
        <w:rPr>
          <w:rFonts w:hint="eastAsia"/>
          <w:rtl/>
        </w:rPr>
        <w:t>הבקרה</w:t>
      </w:r>
      <w:r w:rsidRPr="00BE1CFE">
        <w:rPr>
          <w:rtl/>
        </w:rPr>
        <w:t xml:space="preserve"> </w:t>
      </w:r>
      <w:r w:rsidRPr="00BE1CFE">
        <w:rPr>
          <w:rFonts w:hint="eastAsia"/>
          <w:rtl/>
        </w:rPr>
        <w:t>העלו</w:t>
      </w:r>
      <w:r w:rsidRPr="00BE1CFE">
        <w:rPr>
          <w:rtl/>
        </w:rPr>
        <w:t xml:space="preserve"> </w:t>
      </w:r>
      <w:r w:rsidRPr="00BE1CFE">
        <w:rPr>
          <w:rFonts w:hint="eastAsia"/>
          <w:rtl/>
        </w:rPr>
        <w:t>כי</w:t>
      </w:r>
      <w:r w:rsidRPr="00BE1CFE">
        <w:rPr>
          <w:rtl/>
        </w:rPr>
        <w:t xml:space="preserve"> יש להסיר את הרשאות </w:t>
      </w:r>
      <w:r w:rsidRPr="00BE1CFE">
        <w:rPr>
          <w:rFonts w:hint="eastAsia"/>
          <w:rtl/>
        </w:rPr>
        <w:t>הגישה</w:t>
      </w:r>
      <w:r w:rsidRPr="00BE1CFE">
        <w:rPr>
          <w:rtl/>
        </w:rPr>
        <w:t xml:space="preserve"> </w:t>
      </w:r>
      <w:r w:rsidRPr="00BE1CFE">
        <w:rPr>
          <w:rFonts w:hint="eastAsia"/>
          <w:rtl/>
        </w:rPr>
        <w:t>למאגר</w:t>
      </w:r>
      <w:r w:rsidRPr="00BE1CFE">
        <w:rPr>
          <w:rtl/>
        </w:rPr>
        <w:t xml:space="preserve"> הבעלויות </w:t>
      </w:r>
      <w:r w:rsidRPr="00BE1CFE">
        <w:rPr>
          <w:rFonts w:hint="eastAsia"/>
          <w:rtl/>
        </w:rPr>
        <w:t>לכ</w:t>
      </w:r>
      <w:r w:rsidRPr="00BE1CFE">
        <w:rPr>
          <w:rFonts w:hint="cs"/>
          <w:rtl/>
        </w:rPr>
        <w:t>-</w:t>
      </w:r>
      <w:r>
        <w:rPr>
          <w:rFonts w:hint="cs"/>
          <w:rtl/>
        </w:rPr>
        <w:t>23</w:t>
      </w:r>
      <w:r w:rsidRPr="00BE1CFE">
        <w:rPr>
          <w:rFonts w:hint="cs"/>
          <w:rtl/>
        </w:rPr>
        <w:t>%</w:t>
      </w:r>
      <w:r w:rsidRPr="00BE1CFE">
        <w:rPr>
          <w:rtl/>
        </w:rPr>
        <w:t xml:space="preserve"> </w:t>
      </w:r>
      <w:r w:rsidRPr="00BE1CFE">
        <w:rPr>
          <w:rFonts w:hint="eastAsia"/>
          <w:rtl/>
        </w:rPr>
        <w:t>ממורשי</w:t>
      </w:r>
      <w:r w:rsidRPr="00BE1CFE">
        <w:rPr>
          <w:rtl/>
        </w:rPr>
        <w:t xml:space="preserve"> הגישה</w:t>
      </w:r>
      <w:r w:rsidRPr="00BE1CFE">
        <w:rPr>
          <w:rFonts w:hint="cs"/>
          <w:rtl/>
        </w:rPr>
        <w:t xml:space="preserve"> (</w:t>
      </w:r>
      <w:bookmarkStart w:id="656" w:name="_Hlk156726483"/>
      <w:r w:rsidRPr="00BE1CFE">
        <w:rPr>
          <w:rFonts w:hint="cs"/>
          <w:rtl/>
        </w:rPr>
        <w:t>40 מתוך 176</w:t>
      </w:r>
      <w:bookmarkEnd w:id="656"/>
      <w:r w:rsidRPr="00BE1CFE">
        <w:rPr>
          <w:rFonts w:hint="cs"/>
          <w:rtl/>
        </w:rPr>
        <w:t>)</w:t>
      </w:r>
      <w:r w:rsidRPr="00BE1CFE">
        <w:rPr>
          <w:rtl/>
        </w:rPr>
        <w:t xml:space="preserve">. </w:t>
      </w:r>
    </w:p>
    <w:p w:rsidR="004B50FC" w:rsidRPr="004B50FC" w:rsidRDefault="004B50FC" w:rsidP="00E2380D">
      <w:pPr>
        <w:tabs>
          <w:tab w:val="left" w:pos="5612"/>
        </w:tabs>
        <w:spacing w:line="269" w:lineRule="auto"/>
        <w:ind w:left="707" w:hanging="367"/>
        <w:contextualSpacing/>
      </w:pPr>
    </w:p>
    <w:p w:rsidR="00E50A30" w:rsidRPr="00BE1CFE" w:rsidRDefault="00E50A30" w:rsidP="00E2380D">
      <w:pPr>
        <w:pStyle w:val="af2"/>
        <w:numPr>
          <w:ilvl w:val="0"/>
          <w:numId w:val="55"/>
        </w:numPr>
        <w:tabs>
          <w:tab w:val="left" w:pos="5612"/>
        </w:tabs>
        <w:spacing w:line="269" w:lineRule="auto"/>
        <w:ind w:left="707" w:hanging="367"/>
        <w:rPr>
          <w:rtl/>
        </w:rPr>
      </w:pPr>
      <w:r w:rsidRPr="00BE1CFE">
        <w:rPr>
          <w:rFonts w:hint="eastAsia"/>
          <w:rtl/>
        </w:rPr>
        <w:t>בשנת</w:t>
      </w:r>
      <w:r w:rsidRPr="00BE1CFE">
        <w:rPr>
          <w:rtl/>
        </w:rPr>
        <w:t xml:space="preserve"> 2022 בוצעה בחטיבת</w:t>
      </w:r>
      <w:r w:rsidRPr="00BE1CFE">
        <w:rPr>
          <w:rFonts w:hint="cs"/>
          <w:rtl/>
        </w:rPr>
        <w:t xml:space="preserve"> </w:t>
      </w:r>
      <w:r w:rsidRPr="00BE1CFE">
        <w:rPr>
          <w:rtl/>
        </w:rPr>
        <w:t xml:space="preserve">הסייבר בקרה נושאית לבחינת </w:t>
      </w:r>
      <w:r w:rsidRPr="00BE1CFE">
        <w:rPr>
          <w:rFonts w:hint="eastAsia"/>
          <w:rtl/>
        </w:rPr>
        <w:t>כלל</w:t>
      </w:r>
      <w:r w:rsidRPr="00BE1CFE">
        <w:rPr>
          <w:rtl/>
        </w:rPr>
        <w:t xml:space="preserve"> </w:t>
      </w:r>
      <w:r w:rsidRPr="00BE1CFE">
        <w:rPr>
          <w:rFonts w:hint="eastAsia"/>
          <w:rtl/>
        </w:rPr>
        <w:t>מורשי</w:t>
      </w:r>
      <w:r w:rsidRPr="00BE1CFE">
        <w:rPr>
          <w:rtl/>
        </w:rPr>
        <w:t xml:space="preserve"> הגישה </w:t>
      </w:r>
      <w:r w:rsidRPr="00BE1CFE">
        <w:rPr>
          <w:rFonts w:hint="eastAsia"/>
          <w:rtl/>
        </w:rPr>
        <w:t>בארבע</w:t>
      </w:r>
      <w:r w:rsidRPr="00BE1CFE">
        <w:rPr>
          <w:rtl/>
        </w:rPr>
        <w:t xml:space="preserve"> מערכות מרכזיות </w:t>
      </w:r>
      <w:r w:rsidRPr="00BE1CFE">
        <w:rPr>
          <w:rFonts w:hint="eastAsia"/>
          <w:rtl/>
        </w:rPr>
        <w:t>של</w:t>
      </w:r>
      <w:r w:rsidRPr="00BE1CFE">
        <w:rPr>
          <w:rtl/>
        </w:rPr>
        <w:t xml:space="preserve"> החטיבה </w:t>
      </w:r>
      <w:r w:rsidRPr="00BE1CFE">
        <w:rPr>
          <w:rFonts w:hint="eastAsia"/>
          <w:rtl/>
        </w:rPr>
        <w:t>לצורך</w:t>
      </w:r>
      <w:r w:rsidRPr="00BE1CFE">
        <w:rPr>
          <w:rtl/>
        </w:rPr>
        <w:t xml:space="preserve"> בחינת התאמת ההרשאות לתפקיד של </w:t>
      </w:r>
      <w:r w:rsidRPr="00BE1CFE">
        <w:rPr>
          <w:rFonts w:hint="eastAsia"/>
          <w:rtl/>
        </w:rPr>
        <w:t>מורשי</w:t>
      </w:r>
      <w:r w:rsidRPr="00BE1CFE">
        <w:rPr>
          <w:rtl/>
        </w:rPr>
        <w:t xml:space="preserve"> הגישה </w:t>
      </w:r>
      <w:r w:rsidRPr="00BE1CFE">
        <w:rPr>
          <w:rFonts w:hint="eastAsia"/>
          <w:rtl/>
        </w:rPr>
        <w:t>והסרת</w:t>
      </w:r>
      <w:r w:rsidRPr="00BE1CFE">
        <w:rPr>
          <w:rtl/>
        </w:rPr>
        <w:t xml:space="preserve"> הרשאות </w:t>
      </w:r>
      <w:r w:rsidRPr="00BE1CFE">
        <w:rPr>
          <w:rFonts w:hint="eastAsia"/>
          <w:rtl/>
        </w:rPr>
        <w:t>שאינן</w:t>
      </w:r>
      <w:r w:rsidRPr="00BE1CFE">
        <w:rPr>
          <w:rtl/>
        </w:rPr>
        <w:t xml:space="preserve"> </w:t>
      </w:r>
      <w:r w:rsidRPr="00BE1CFE">
        <w:rPr>
          <w:rFonts w:hint="eastAsia"/>
          <w:rtl/>
        </w:rPr>
        <w:t>נדרשות</w:t>
      </w:r>
      <w:r w:rsidRPr="00BE1CFE">
        <w:rPr>
          <w:rtl/>
        </w:rPr>
        <w:t xml:space="preserve"> </w:t>
      </w:r>
      <w:r w:rsidRPr="00BE1CFE">
        <w:rPr>
          <w:rFonts w:hint="eastAsia"/>
          <w:rtl/>
        </w:rPr>
        <w:t>עוד</w:t>
      </w:r>
      <w:r w:rsidRPr="00BE1CFE">
        <w:rPr>
          <w:rFonts w:hint="cs"/>
          <w:rtl/>
        </w:rPr>
        <w:t>. ממצאי הבקרה</w:t>
      </w:r>
      <w:r w:rsidRPr="00BE1CFE">
        <w:rPr>
          <w:rtl/>
        </w:rPr>
        <w:t xml:space="preserve"> </w:t>
      </w:r>
      <w:r w:rsidRPr="00BE1CFE">
        <w:rPr>
          <w:rFonts w:hint="eastAsia"/>
          <w:rtl/>
        </w:rPr>
        <w:t>העלו</w:t>
      </w:r>
      <w:r w:rsidRPr="00BE1CFE">
        <w:rPr>
          <w:rtl/>
        </w:rPr>
        <w:t xml:space="preserve"> </w:t>
      </w:r>
      <w:r w:rsidRPr="00BE1CFE">
        <w:rPr>
          <w:rFonts w:hint="eastAsia"/>
          <w:rtl/>
        </w:rPr>
        <w:t>כי</w:t>
      </w:r>
      <w:r w:rsidRPr="00BE1CFE">
        <w:rPr>
          <w:rtl/>
        </w:rPr>
        <w:t xml:space="preserve"> </w:t>
      </w:r>
      <w:r w:rsidRPr="00BE1CFE">
        <w:rPr>
          <w:rFonts w:hint="cs"/>
          <w:rtl/>
        </w:rPr>
        <w:t xml:space="preserve">מתוך 4,067 מורשי גישה בארבע המערכות, הרשאות הגישה ל-567 ממורשי הגישה אינן תואמות ומעודכנות ויש לשנותן. נוסף על כך עלה כי יש </w:t>
      </w:r>
      <w:r w:rsidRPr="00BE1CFE">
        <w:rPr>
          <w:rtl/>
        </w:rPr>
        <w:t xml:space="preserve">להסיר את הרשאות </w:t>
      </w:r>
      <w:r w:rsidRPr="00BE1CFE">
        <w:rPr>
          <w:rFonts w:hint="eastAsia"/>
          <w:rtl/>
        </w:rPr>
        <w:t>הגישה</w:t>
      </w:r>
      <w:r w:rsidRPr="00BE1CFE">
        <w:rPr>
          <w:rtl/>
        </w:rPr>
        <w:t xml:space="preserve"> </w:t>
      </w:r>
      <w:r w:rsidRPr="00BE1CFE">
        <w:rPr>
          <w:rFonts w:hint="cs"/>
          <w:rtl/>
        </w:rPr>
        <w:t xml:space="preserve">למערכות </w:t>
      </w:r>
      <w:r w:rsidRPr="00BE1CFE">
        <w:rPr>
          <w:rFonts w:hint="eastAsia"/>
          <w:rtl/>
        </w:rPr>
        <w:t>ל</w:t>
      </w:r>
      <w:r w:rsidRPr="00BE1CFE">
        <w:rPr>
          <w:rFonts w:hint="cs"/>
          <w:rtl/>
        </w:rPr>
        <w:t>-649</w:t>
      </w:r>
      <w:r w:rsidRPr="00BE1CFE">
        <w:rPr>
          <w:rtl/>
        </w:rPr>
        <w:t xml:space="preserve"> </w:t>
      </w:r>
      <w:r w:rsidRPr="00BE1CFE">
        <w:rPr>
          <w:rFonts w:hint="eastAsia"/>
          <w:rtl/>
        </w:rPr>
        <w:t>ממורשי</w:t>
      </w:r>
      <w:r w:rsidRPr="00BE1CFE">
        <w:rPr>
          <w:rtl/>
        </w:rPr>
        <w:t xml:space="preserve"> הגישה</w:t>
      </w:r>
      <w:r w:rsidRPr="00BE1CFE">
        <w:rPr>
          <w:rFonts w:hint="cs"/>
          <w:rtl/>
        </w:rPr>
        <w:t>. בסך הכול נדרשו שינוי או הסרה של הרשאות הגישה לכ-30% ממורשי הגישה (1,216 מתוך 4,067)</w:t>
      </w:r>
      <w:r w:rsidRPr="00BE1CFE">
        <w:rPr>
          <w:vertAlign w:val="superscript"/>
          <w:rtl/>
        </w:rPr>
        <w:footnoteReference w:id="313"/>
      </w:r>
      <w:r w:rsidRPr="00BE1CFE">
        <w:rPr>
          <w:rFonts w:hint="cs"/>
          <w:rtl/>
        </w:rPr>
        <w:t>.</w:t>
      </w:r>
    </w:p>
    <w:p w:rsidR="004B50FC" w:rsidRDefault="004B50FC" w:rsidP="00604C3D">
      <w:pPr>
        <w:spacing w:line="269" w:lineRule="auto"/>
        <w:rPr>
          <w:szCs w:val="20"/>
          <w:rtl/>
        </w:rPr>
      </w:pPr>
    </w:p>
    <w:p w:rsidR="00E50A30" w:rsidRPr="00BE1CFE" w:rsidRDefault="00E50A30" w:rsidP="00E2380D">
      <w:pPr>
        <w:spacing w:line="269" w:lineRule="auto"/>
        <w:ind w:left="340"/>
        <w:rPr>
          <w:b/>
          <w:bCs/>
          <w:rtl/>
        </w:rPr>
      </w:pPr>
      <w:r w:rsidRPr="00BE1CFE">
        <w:rPr>
          <w:rFonts w:hint="cs"/>
          <w:b/>
          <w:bCs/>
          <w:sz w:val="24"/>
          <w:rtl/>
        </w:rPr>
        <w:t>נמצא כי נוהל אח"ם אינו קובע הנחיות המחייבות ביצוע פעולות פיקוח ובקרה על הרשאות הגישה למערכת ניהול צווים</w:t>
      </w:r>
      <w:r w:rsidRPr="00BE1CFE" w:rsidDel="009617A9">
        <w:rPr>
          <w:rFonts w:hint="cs"/>
          <w:b/>
          <w:bCs/>
          <w:sz w:val="24"/>
          <w:rtl/>
        </w:rPr>
        <w:t xml:space="preserve"> </w:t>
      </w:r>
      <w:r w:rsidRPr="00BE1CFE">
        <w:rPr>
          <w:rFonts w:hint="cs"/>
          <w:b/>
          <w:bCs/>
          <w:sz w:val="24"/>
          <w:rtl/>
        </w:rPr>
        <w:t>ועל מערכת תחקור נתוני התקשורת, ואף אינו מגדיר את הגורמים שעליהם מוטלת האחריות לביצוע הפיקוח והבקרה.</w:t>
      </w:r>
      <w:r w:rsidRPr="00BE1CFE">
        <w:rPr>
          <w:rFonts w:hint="eastAsia"/>
          <w:b/>
          <w:bCs/>
          <w:rtl/>
        </w:rPr>
        <w:t xml:space="preserve"> </w:t>
      </w:r>
      <w:r w:rsidRPr="00BE1CFE">
        <w:rPr>
          <w:rFonts w:hint="cs"/>
          <w:b/>
          <w:bCs/>
          <w:rtl/>
        </w:rPr>
        <w:t xml:space="preserve">בהיעדר חובה לביצוע הבקרות, מדור מחשוב אח"ם אינו מבצע בקרות בנושא מורשי הגישה למערכות הסייבר. המדור נוהג לקבל בקשות למתן הרשאות גישה של משתמשים או לעדכונן, והוא מעדכן את ההרשאות בהיבט הטכני, ללא בחינת הבקשות לגופן וללא </w:t>
      </w:r>
      <w:r w:rsidRPr="00BE1CFE">
        <w:rPr>
          <w:rFonts w:hint="eastAsia"/>
          <w:b/>
          <w:bCs/>
          <w:rtl/>
        </w:rPr>
        <w:t>בחינה</w:t>
      </w:r>
      <w:r w:rsidRPr="00BE1CFE">
        <w:rPr>
          <w:b/>
          <w:bCs/>
          <w:rtl/>
        </w:rPr>
        <w:t xml:space="preserve"> </w:t>
      </w:r>
      <w:r w:rsidRPr="00BE1CFE">
        <w:rPr>
          <w:rFonts w:hint="eastAsia"/>
          <w:b/>
          <w:bCs/>
          <w:rtl/>
        </w:rPr>
        <w:t>של</w:t>
      </w:r>
      <w:r w:rsidRPr="00BE1CFE">
        <w:rPr>
          <w:b/>
          <w:bCs/>
          <w:rtl/>
        </w:rPr>
        <w:t xml:space="preserve"> </w:t>
      </w:r>
      <w:r w:rsidRPr="00BE1CFE">
        <w:rPr>
          <w:rFonts w:hint="eastAsia"/>
          <w:b/>
          <w:bCs/>
          <w:rtl/>
        </w:rPr>
        <w:t>עמידת</w:t>
      </w:r>
      <w:r w:rsidRPr="00BE1CFE">
        <w:rPr>
          <w:b/>
          <w:bCs/>
          <w:rtl/>
        </w:rPr>
        <w:t xml:space="preserve"> </w:t>
      </w:r>
      <w:r w:rsidRPr="00BE1CFE">
        <w:rPr>
          <w:rFonts w:hint="eastAsia"/>
          <w:b/>
          <w:bCs/>
          <w:rtl/>
        </w:rPr>
        <w:t>הבקשות</w:t>
      </w:r>
      <w:r w:rsidRPr="00BE1CFE">
        <w:rPr>
          <w:b/>
          <w:bCs/>
          <w:rtl/>
        </w:rPr>
        <w:t xml:space="preserve"> </w:t>
      </w:r>
      <w:r w:rsidRPr="00BE1CFE">
        <w:rPr>
          <w:rFonts w:hint="eastAsia"/>
          <w:b/>
          <w:bCs/>
          <w:rtl/>
        </w:rPr>
        <w:t>בנהלים</w:t>
      </w:r>
      <w:r w:rsidRPr="00BE1CFE">
        <w:rPr>
          <w:b/>
          <w:bCs/>
          <w:rtl/>
        </w:rPr>
        <w:t xml:space="preserve"> </w:t>
      </w:r>
      <w:r w:rsidRPr="00BE1CFE">
        <w:rPr>
          <w:rFonts w:hint="cs"/>
          <w:b/>
          <w:bCs/>
          <w:rtl/>
        </w:rPr>
        <w:t>שנקבעו</w:t>
      </w:r>
      <w:r w:rsidRPr="00BE1CFE">
        <w:rPr>
          <w:b/>
          <w:bCs/>
          <w:rtl/>
        </w:rPr>
        <w:t xml:space="preserve"> </w:t>
      </w:r>
      <w:r w:rsidRPr="00BE1CFE">
        <w:rPr>
          <w:rFonts w:hint="eastAsia"/>
          <w:b/>
          <w:bCs/>
          <w:rtl/>
        </w:rPr>
        <w:t>ב</w:t>
      </w:r>
      <w:r w:rsidRPr="00BE1CFE">
        <w:rPr>
          <w:rFonts w:hint="cs"/>
          <w:b/>
          <w:bCs/>
          <w:rtl/>
        </w:rPr>
        <w:t xml:space="preserve">נושא. </w:t>
      </w:r>
    </w:p>
    <w:p w:rsidR="004B50FC" w:rsidRDefault="004B50FC" w:rsidP="00E2380D">
      <w:pPr>
        <w:spacing w:line="269" w:lineRule="auto"/>
        <w:ind w:left="340"/>
        <w:rPr>
          <w:sz w:val="16"/>
          <w:szCs w:val="16"/>
          <w:rtl/>
        </w:rPr>
      </w:pPr>
    </w:p>
    <w:p w:rsidR="00E50A30" w:rsidRPr="00BE1CFE" w:rsidRDefault="00E50A30" w:rsidP="00E2380D">
      <w:pPr>
        <w:spacing w:line="269" w:lineRule="auto"/>
        <w:ind w:left="340"/>
        <w:rPr>
          <w:sz w:val="24"/>
          <w:rtl/>
        </w:rPr>
      </w:pPr>
      <w:r w:rsidRPr="00BE1CFE">
        <w:rPr>
          <w:rFonts w:hint="cs"/>
          <w:sz w:val="24"/>
          <w:rtl/>
        </w:rPr>
        <w:t xml:space="preserve">המשטרה מסרה בתגובתה כי לנוכח רגישות המידע המצוי במערכות השונות של חטיבת הסייבר נקבע כי </w:t>
      </w:r>
      <w:r w:rsidRPr="00BE1CFE">
        <w:rPr>
          <w:sz w:val="24"/>
          <w:rtl/>
        </w:rPr>
        <w:t>הגורם הבלעדי לקביעת ההרשאות בתחום הסיגינט והסייבר הו</w:t>
      </w:r>
      <w:r w:rsidRPr="00BE1CFE">
        <w:rPr>
          <w:rFonts w:hint="cs"/>
          <w:sz w:val="24"/>
          <w:rtl/>
        </w:rPr>
        <w:t>א</w:t>
      </w:r>
      <w:r w:rsidRPr="00BE1CFE">
        <w:rPr>
          <w:sz w:val="24"/>
          <w:rtl/>
        </w:rPr>
        <w:t xml:space="preserve"> מדור הכוונה מקצועית, האמון על מתן הרשאות </w:t>
      </w:r>
      <w:r w:rsidRPr="00BE1CFE">
        <w:rPr>
          <w:rFonts w:hint="cs"/>
          <w:sz w:val="24"/>
          <w:rtl/>
        </w:rPr>
        <w:t>לתפקידנים</w:t>
      </w:r>
      <w:r w:rsidRPr="00BE1CFE">
        <w:rPr>
          <w:sz w:val="24"/>
          <w:rtl/>
        </w:rPr>
        <w:t xml:space="preserve"> ב</w:t>
      </w:r>
      <w:r w:rsidRPr="00BE1CFE">
        <w:rPr>
          <w:rFonts w:hint="cs"/>
          <w:sz w:val="24"/>
          <w:rtl/>
        </w:rPr>
        <w:t>נוגע</w:t>
      </w:r>
      <w:r w:rsidRPr="00BE1CFE">
        <w:rPr>
          <w:sz w:val="24"/>
          <w:rtl/>
        </w:rPr>
        <w:t xml:space="preserve"> לכל מערכת </w:t>
      </w:r>
      <w:r w:rsidRPr="00BE1CFE">
        <w:rPr>
          <w:rFonts w:hint="cs"/>
          <w:sz w:val="24"/>
          <w:rtl/>
        </w:rPr>
        <w:t>ו</w:t>
      </w:r>
      <w:r w:rsidRPr="00BE1CFE">
        <w:rPr>
          <w:sz w:val="24"/>
          <w:rtl/>
        </w:rPr>
        <w:t>ב</w:t>
      </w:r>
      <w:r w:rsidRPr="00BE1CFE">
        <w:rPr>
          <w:rFonts w:hint="cs"/>
          <w:sz w:val="24"/>
          <w:rtl/>
        </w:rPr>
        <w:t>נוגע</w:t>
      </w:r>
      <w:r w:rsidRPr="00BE1CFE">
        <w:rPr>
          <w:sz w:val="24"/>
          <w:rtl/>
        </w:rPr>
        <w:t xml:space="preserve"> לסוגי המידע ה</w:t>
      </w:r>
      <w:r w:rsidRPr="00BE1CFE">
        <w:rPr>
          <w:rFonts w:hint="cs"/>
          <w:sz w:val="24"/>
          <w:rtl/>
        </w:rPr>
        <w:t>שונים</w:t>
      </w:r>
      <w:r w:rsidRPr="00BE1CFE">
        <w:rPr>
          <w:sz w:val="24"/>
          <w:rtl/>
        </w:rPr>
        <w:t xml:space="preserve"> בתוך המערכת הספציפית.</w:t>
      </w:r>
      <w:r w:rsidRPr="00BE1CFE">
        <w:rPr>
          <w:rFonts w:hint="cs"/>
          <w:sz w:val="24"/>
          <w:rtl/>
        </w:rPr>
        <w:t xml:space="preserve"> לאחרונה הוחלט כי גם תהליך יישום הגדרת ההרשאות במערכת ההרשאות יבוצע על ידי מדור הכוונה מקצועית ולא על ידי מדור מחשוב אח"ם.</w:t>
      </w:r>
    </w:p>
    <w:p w:rsidR="004B50FC" w:rsidRDefault="004B50FC" w:rsidP="00E2380D">
      <w:pPr>
        <w:spacing w:line="269" w:lineRule="auto"/>
        <w:ind w:left="340"/>
        <w:rPr>
          <w:szCs w:val="20"/>
          <w:rtl/>
        </w:rPr>
      </w:pPr>
    </w:p>
    <w:p w:rsidR="00E50A30" w:rsidRPr="00BE1CFE" w:rsidRDefault="00E50A30" w:rsidP="00E2380D">
      <w:pPr>
        <w:spacing w:line="269" w:lineRule="auto"/>
        <w:ind w:left="340"/>
        <w:rPr>
          <w:b/>
          <w:bCs/>
          <w:rtl/>
        </w:rPr>
      </w:pPr>
      <w:r w:rsidRPr="00BE1CFE">
        <w:rPr>
          <w:rFonts w:hint="cs"/>
          <w:b/>
          <w:bCs/>
          <w:rtl/>
        </w:rPr>
        <w:t>עוד נמצא כי חטיבת הסייבר אינה מבצעת בקרות רציפות ייעודיות לבחינת כלל מורשי הגישה למערכות ולמאגרים לצורך הסרת הרשאות שאינן נדרשות עוד. היעדר בקרה מתמדת להסרת מורשי גישה שהרשאתם אינה הכרחית עוד מאפשר פגיעה בפרטיות בהיקף נרחב ביותר. בבקרה שביצעה חטיבת הסייבר בשנת 2016 לצורך הסרת הרשאות של מורשי גישה שאינן נדרשות עוד נמצא כי יש להסיר את הרשאותיהם של כ-2</w:t>
      </w:r>
      <w:r>
        <w:rPr>
          <w:rFonts w:hint="cs"/>
          <w:b/>
          <w:bCs/>
          <w:rtl/>
        </w:rPr>
        <w:t>3</w:t>
      </w:r>
      <w:r w:rsidRPr="00BE1CFE">
        <w:rPr>
          <w:rFonts w:hint="cs"/>
          <w:b/>
          <w:bCs/>
          <w:rtl/>
        </w:rPr>
        <w:t xml:space="preserve">% ממורשי הגישה למאגר הבעלויות. בבקרה שביצעה חטיבת הסייבר בשנת 2022 לבחינת הרשאות הגישה לארבע מערכות מרכזיות של החטיבה נמצא כי </w:t>
      </w:r>
      <w:r w:rsidRPr="00BE1CFE">
        <w:rPr>
          <w:rFonts w:hint="eastAsia"/>
          <w:b/>
          <w:bCs/>
          <w:rtl/>
        </w:rPr>
        <w:t>יש</w:t>
      </w:r>
      <w:r w:rsidRPr="00BE1CFE">
        <w:rPr>
          <w:rFonts w:hint="cs"/>
          <w:b/>
          <w:bCs/>
          <w:rtl/>
        </w:rPr>
        <w:t xml:space="preserve"> להסיר או לשנות את ההרשאות לכ-30% ממורשי הגישה. </w:t>
      </w:r>
    </w:p>
    <w:p w:rsidR="004B50FC" w:rsidRDefault="004B50FC" w:rsidP="00E2380D">
      <w:pPr>
        <w:spacing w:line="269" w:lineRule="auto"/>
        <w:ind w:left="340"/>
        <w:rPr>
          <w:sz w:val="16"/>
          <w:szCs w:val="16"/>
          <w:rtl/>
        </w:rPr>
      </w:pPr>
    </w:p>
    <w:p w:rsidR="004B50FC" w:rsidRPr="00BC7AF0" w:rsidRDefault="00E50A30" w:rsidP="00E2380D">
      <w:pPr>
        <w:spacing w:line="269" w:lineRule="auto"/>
        <w:ind w:left="340"/>
        <w:rPr>
          <w:rtl/>
        </w:rPr>
      </w:pPr>
      <w:r w:rsidRPr="00BE1CFE">
        <w:rPr>
          <w:rFonts w:hint="cs"/>
          <w:rtl/>
        </w:rPr>
        <w:t xml:space="preserve">מהמשטרה נמסר כי היא מבצעת בקרה בנושא הרשאות הגישה למערכות בעת ביצוע בקרות מקצועיות (נושאיות ותהליכיות) ופיקודיות המבוצעות באופן שוטף ותדיר. למשל, במסגרת בקרה מקצועית לצווי </w:t>
      </w:r>
      <w:r w:rsidR="000A7B5B">
        <w:rPr>
          <w:rFonts w:hint="cs"/>
          <w:rtl/>
        </w:rPr>
        <w:t xml:space="preserve">נתוני תקשורת </w:t>
      </w:r>
      <w:r w:rsidRPr="00BE1CFE">
        <w:rPr>
          <w:rFonts w:hint="cs"/>
          <w:rtl/>
        </w:rPr>
        <w:t xml:space="preserve">נבחן גם מיהו התפקידן שטיפל בצו בכל שלב ואם הוא בעל הרשאה מתאימה. אם נמצא כי הרשאות התפקידן למאגרים אינן תואמות את תפקידו, מתבצע תיקון מיידי. </w:t>
      </w:r>
    </w:p>
    <w:p w:rsidR="00E50A30" w:rsidRPr="00BE1CFE" w:rsidRDefault="00E50A30" w:rsidP="00E2380D">
      <w:pPr>
        <w:spacing w:line="269" w:lineRule="auto"/>
        <w:ind w:left="340"/>
        <w:rPr>
          <w:b/>
          <w:bCs/>
          <w:rtl/>
        </w:rPr>
      </w:pPr>
      <w:r w:rsidRPr="00BE1CFE">
        <w:rPr>
          <w:rFonts w:hint="cs"/>
          <w:b/>
          <w:bCs/>
          <w:sz w:val="24"/>
          <w:rtl/>
        </w:rPr>
        <w:t>מאגרי המידע של חטיבת הסייבר כוללים מידע אישי רגיש על כלל אזרחי מדינת ישראל, ואף על פי כן נמצאו פערים בתחום בקרת הרשאות הגישה למערכות מידע מרכזיות של החטיבה - מערכת ניהול צווים</w:t>
      </w:r>
      <w:r w:rsidRPr="00BE1CFE" w:rsidDel="009617A9">
        <w:rPr>
          <w:rFonts w:hint="cs"/>
          <w:b/>
          <w:bCs/>
          <w:sz w:val="24"/>
          <w:rtl/>
        </w:rPr>
        <w:t xml:space="preserve"> </w:t>
      </w:r>
      <w:r w:rsidRPr="00BE1CFE">
        <w:rPr>
          <w:rFonts w:hint="cs"/>
          <w:b/>
          <w:bCs/>
          <w:sz w:val="24"/>
          <w:rtl/>
        </w:rPr>
        <w:t>ומערכת תחקור נתוני התקשורת, בנוגע להסרת הרשאות הגישה שאינן נדרשות עוד.</w:t>
      </w:r>
      <w:r w:rsidRPr="00BE1CFE">
        <w:rPr>
          <w:rFonts w:hint="cs"/>
          <w:b/>
          <w:bCs/>
          <w:rtl/>
        </w:rPr>
        <w:t xml:space="preserve"> בקרה מדגמית הנערכת אגב בקרות מקצועיות או פיקודיות אינה בוחנת באופן שיטתי את ההרשאות של כלל המשתמשים במערכות אלה. זאת ועוד, משלוש הבקרות הנושאיות שערכה חטיבת הסייבר בנושא הרשאות גישה למערכותיה עלה כי יש לבחון נושא זה בצורה שיטתית ותכופה יותר. </w:t>
      </w:r>
    </w:p>
    <w:p w:rsidR="004B50FC" w:rsidRDefault="004B50FC" w:rsidP="00E2380D">
      <w:pPr>
        <w:spacing w:line="269" w:lineRule="auto"/>
        <w:ind w:left="340"/>
        <w:rPr>
          <w:szCs w:val="20"/>
          <w:rtl/>
        </w:rPr>
      </w:pPr>
    </w:p>
    <w:p w:rsidR="00E50A30" w:rsidRPr="00BE1CFE" w:rsidRDefault="00E50A30" w:rsidP="00E2380D">
      <w:pPr>
        <w:spacing w:line="269" w:lineRule="auto"/>
        <w:ind w:left="340"/>
        <w:rPr>
          <w:b/>
          <w:bCs/>
          <w:rtl/>
        </w:rPr>
      </w:pPr>
      <w:r w:rsidRPr="00BE1CFE">
        <w:rPr>
          <w:rFonts w:hint="cs"/>
          <w:b/>
          <w:bCs/>
          <w:rtl/>
        </w:rPr>
        <w:t>על חטיבת הסייבר לבצע בקרות ייעודיות סדירות וקבועות לשם בחינת הליך מתן ההרשאות למאגרי נתוני תקשורת ולשם הסרת הרשאות למאגרים ממורשי גישה שהרשאתם אינה נדרשת עוד.</w:t>
      </w:r>
    </w:p>
    <w:p w:rsidR="00E50A30" w:rsidRPr="00BE1CFE" w:rsidRDefault="00E50A30" w:rsidP="00604C3D">
      <w:pPr>
        <w:spacing w:line="269" w:lineRule="auto"/>
        <w:jc w:val="center"/>
        <w:rPr>
          <w:rFonts w:ascii="Arial" w:hAnsi="Arial" w:cs="Arial"/>
          <w:sz w:val="36"/>
          <w:rtl/>
        </w:rPr>
      </w:pPr>
      <w:r w:rsidRPr="00BE1CFE">
        <w:rPr>
          <w:rFonts w:ascii="Segoe UI Symbol" w:hAnsi="Segoe UI Symbol" w:cs="Segoe UI Symbol" w:hint="cs"/>
          <w:sz w:val="36"/>
          <w:rtl/>
        </w:rPr>
        <w:t>✰</w:t>
      </w:r>
    </w:p>
    <w:p w:rsidR="004B50FC" w:rsidRDefault="004B50FC" w:rsidP="00604C3D">
      <w:pPr>
        <w:spacing w:line="269" w:lineRule="auto"/>
        <w:rPr>
          <w:szCs w:val="20"/>
          <w:rtl/>
        </w:rPr>
      </w:pPr>
    </w:p>
    <w:p w:rsidR="00E50A30" w:rsidRPr="00BE1CFE" w:rsidRDefault="00E50A30" w:rsidP="00604C3D">
      <w:pPr>
        <w:spacing w:line="269" w:lineRule="auto"/>
        <w:rPr>
          <w:b/>
          <w:bCs/>
          <w:rtl/>
        </w:rPr>
      </w:pPr>
      <w:r w:rsidRPr="00BE1CFE">
        <w:rPr>
          <w:b/>
          <w:bCs/>
          <w:rtl/>
        </w:rPr>
        <w:t>ביצוע האזנות סתר ושימוש בנתוני תקשורת ה</w:t>
      </w:r>
      <w:r>
        <w:rPr>
          <w:rFonts w:hint="cs"/>
          <w:b/>
          <w:bCs/>
          <w:rtl/>
        </w:rPr>
        <w:t>ן</w:t>
      </w:r>
      <w:r w:rsidRPr="00BE1CFE">
        <w:rPr>
          <w:b/>
          <w:bCs/>
          <w:rtl/>
        </w:rPr>
        <w:t xml:space="preserve"> סמכויות הכרחיות למשטר</w:t>
      </w:r>
      <w:r w:rsidRPr="00BE1CFE">
        <w:rPr>
          <w:rFonts w:hint="cs"/>
          <w:b/>
          <w:bCs/>
          <w:rtl/>
        </w:rPr>
        <w:t>ה</w:t>
      </w:r>
      <w:r w:rsidRPr="00BE1CFE">
        <w:rPr>
          <w:b/>
          <w:bCs/>
          <w:rtl/>
        </w:rPr>
        <w:t xml:space="preserve"> לצורך מילוי תפקידיה </w:t>
      </w:r>
      <w:r w:rsidRPr="00BE1CFE">
        <w:rPr>
          <w:rFonts w:hint="cs"/>
          <w:b/>
          <w:bCs/>
          <w:rtl/>
        </w:rPr>
        <w:t>בעולם טכנולוגי</w:t>
      </w:r>
      <w:r w:rsidRPr="00BE1CFE">
        <w:rPr>
          <w:b/>
          <w:bCs/>
          <w:rtl/>
        </w:rPr>
        <w:t xml:space="preserve"> ולמאבקה בפשיעה. עם זאת, הפגיעה העלולה להיגרם בזכויות יסוד היא רחבה ועמוקה ונוגעת לאורחות חייהם ו</w:t>
      </w:r>
      <w:r w:rsidRPr="00BE1CFE">
        <w:rPr>
          <w:rFonts w:hint="cs"/>
          <w:b/>
          <w:bCs/>
          <w:rtl/>
        </w:rPr>
        <w:t>ל</w:t>
      </w:r>
      <w:r w:rsidRPr="00BE1CFE">
        <w:rPr>
          <w:b/>
          <w:bCs/>
          <w:rtl/>
        </w:rPr>
        <w:t>פרטיותם של ישראלים רבים. החובה לקיים פיקוח ובקרה על פעולות המשטרה בכל הנוגע לשימוש בנתוני תקשורת ולביצוע האזנות סתר נקבעה בחקיקה ובתקנות שהותקנו מכוחה. חשיבות הבקרות בזיקה לתחום פעילות זה מקבלת משנה תוקף לנוכח העובדה כי מאגרי המידע של חטיבת הסייבר כוללים מידע אישי רגיש על כלל אזרחי מדינת ישראל.</w:t>
      </w:r>
    </w:p>
    <w:p w:rsidR="004B50FC" w:rsidRDefault="004B50FC" w:rsidP="00604C3D">
      <w:pPr>
        <w:spacing w:line="269" w:lineRule="auto"/>
        <w:rPr>
          <w:szCs w:val="20"/>
          <w:rtl/>
        </w:rPr>
      </w:pPr>
    </w:p>
    <w:p w:rsidR="00E50A30" w:rsidRPr="00BE1CFE" w:rsidRDefault="00E50A30" w:rsidP="00604C3D">
      <w:pPr>
        <w:spacing w:line="269" w:lineRule="auto"/>
        <w:rPr>
          <w:b/>
          <w:bCs/>
          <w:rtl/>
        </w:rPr>
      </w:pPr>
      <w:r w:rsidRPr="00BE1CFE">
        <w:rPr>
          <w:b/>
          <w:bCs/>
          <w:rtl/>
        </w:rPr>
        <w:t>פרק זה העלה פערים משמעותיים בנוגע לפעולות הבקרה שמקיימת המשטרה על פעילותה בתחום רגיש זה:</w:t>
      </w:r>
    </w:p>
    <w:p w:rsidR="004B50FC" w:rsidRPr="004B50FC" w:rsidRDefault="004B50FC" w:rsidP="00604C3D">
      <w:pPr>
        <w:spacing w:line="269" w:lineRule="auto"/>
        <w:ind w:left="424"/>
        <w:contextualSpacing/>
        <w:rPr>
          <w:b/>
          <w:bCs/>
        </w:rPr>
      </w:pPr>
    </w:p>
    <w:p w:rsidR="00E50A30" w:rsidRPr="00A26040" w:rsidRDefault="00E50A30" w:rsidP="00D44AC7">
      <w:pPr>
        <w:pStyle w:val="af2"/>
        <w:numPr>
          <w:ilvl w:val="1"/>
          <w:numId w:val="55"/>
        </w:numPr>
        <w:spacing w:line="269" w:lineRule="auto"/>
        <w:ind w:left="423" w:hanging="398"/>
        <w:rPr>
          <w:b/>
          <w:bCs/>
        </w:rPr>
      </w:pPr>
      <w:r w:rsidRPr="00A26040">
        <w:rPr>
          <w:rFonts w:hint="cs"/>
          <w:b/>
          <w:bCs/>
          <w:rtl/>
        </w:rPr>
        <w:t>כמעט</w:t>
      </w:r>
      <w:r w:rsidRPr="00A26040">
        <w:rPr>
          <w:b/>
          <w:bCs/>
          <w:rtl/>
        </w:rPr>
        <w:t xml:space="preserve"> </w:t>
      </w:r>
      <w:r w:rsidRPr="00A26040">
        <w:rPr>
          <w:rFonts w:hint="cs"/>
          <w:b/>
          <w:bCs/>
          <w:rtl/>
        </w:rPr>
        <w:t>ש</w:t>
      </w:r>
      <w:r w:rsidRPr="00A26040">
        <w:rPr>
          <w:b/>
          <w:bCs/>
          <w:rtl/>
        </w:rPr>
        <w:t xml:space="preserve">לא </w:t>
      </w:r>
      <w:r w:rsidRPr="00A26040">
        <w:rPr>
          <w:rFonts w:hint="cs"/>
          <w:b/>
          <w:bCs/>
          <w:rtl/>
        </w:rPr>
        <w:t>בוצעו</w:t>
      </w:r>
      <w:r w:rsidRPr="00A26040">
        <w:rPr>
          <w:b/>
          <w:bCs/>
          <w:rtl/>
        </w:rPr>
        <w:t xml:space="preserve"> בקרות </w:t>
      </w:r>
      <w:r w:rsidRPr="00A26040">
        <w:rPr>
          <w:rFonts w:hint="cs"/>
          <w:b/>
          <w:bCs/>
          <w:rtl/>
        </w:rPr>
        <w:t>על פעילות ה</w:t>
      </w:r>
      <w:r w:rsidRPr="00A26040">
        <w:rPr>
          <w:b/>
          <w:bCs/>
          <w:rtl/>
        </w:rPr>
        <w:t>יחידות המבצעיות בחטיבת הסייבר אף שהן אלה שמקיימות</w:t>
      </w:r>
      <w:r w:rsidRPr="00A26040" w:rsidDel="00F05F32">
        <w:rPr>
          <w:b/>
          <w:bCs/>
          <w:rtl/>
        </w:rPr>
        <w:t xml:space="preserve"> </w:t>
      </w:r>
      <w:r w:rsidRPr="00A26040">
        <w:rPr>
          <w:b/>
          <w:bCs/>
          <w:rtl/>
        </w:rPr>
        <w:t xml:space="preserve">את הפעילות הרגישה והמורכבת ביותר בתחום זה. כמו כן בקרות שהתקיימו </w:t>
      </w:r>
      <w:r w:rsidRPr="00A26040">
        <w:rPr>
          <w:rFonts w:hint="cs"/>
          <w:b/>
          <w:bCs/>
          <w:rtl/>
        </w:rPr>
        <w:t>על פעילותה של</w:t>
      </w:r>
      <w:r w:rsidRPr="00A26040">
        <w:rPr>
          <w:b/>
          <w:bCs/>
          <w:rtl/>
        </w:rPr>
        <w:t xml:space="preserve"> יחידה מבצעית (צס"ם ארצי) שמבצעת פעילות רגישה ביותר בתחום האזנות הסתר לא היו מעמיקות</w:t>
      </w:r>
      <w:r w:rsidRPr="00A26040">
        <w:rPr>
          <w:rFonts w:hint="cs"/>
          <w:b/>
          <w:bCs/>
          <w:rtl/>
        </w:rPr>
        <w:t xml:space="preserve"> ומשמעותיות</w:t>
      </w:r>
      <w:r w:rsidRPr="00A26040">
        <w:rPr>
          <w:b/>
          <w:bCs/>
          <w:rtl/>
        </w:rPr>
        <w:t xml:space="preserve">. </w:t>
      </w:r>
    </w:p>
    <w:p w:rsidR="00A26040" w:rsidRPr="00BE1CFE" w:rsidRDefault="00A26040" w:rsidP="00604C3D">
      <w:pPr>
        <w:spacing w:line="269" w:lineRule="auto"/>
        <w:ind w:left="424"/>
        <w:contextualSpacing/>
        <w:rPr>
          <w:b/>
          <w:bCs/>
          <w:rtl/>
        </w:rPr>
      </w:pPr>
    </w:p>
    <w:p w:rsidR="00E50A30" w:rsidRDefault="00E50A30" w:rsidP="00D44AC7">
      <w:pPr>
        <w:pStyle w:val="af2"/>
        <w:numPr>
          <w:ilvl w:val="1"/>
          <w:numId w:val="55"/>
        </w:numPr>
        <w:spacing w:line="269" w:lineRule="auto"/>
        <w:ind w:left="423" w:hanging="398"/>
        <w:rPr>
          <w:b/>
          <w:bCs/>
        </w:rPr>
      </w:pPr>
      <w:r w:rsidRPr="00BE1CFE">
        <w:rPr>
          <w:b/>
          <w:bCs/>
          <w:rtl/>
        </w:rPr>
        <w:t>חטיבת הסייבר כמעט שלא קיימה במשך השנים בקרות מעקב כדי לוודא כי הליקויים שהתגלו בבקרות אכן תוקנו.</w:t>
      </w:r>
    </w:p>
    <w:p w:rsidR="00A26040" w:rsidRPr="00BE1CFE" w:rsidRDefault="00A26040" w:rsidP="00604C3D">
      <w:pPr>
        <w:spacing w:line="269" w:lineRule="auto"/>
        <w:contextualSpacing/>
        <w:rPr>
          <w:b/>
          <w:bCs/>
          <w:rtl/>
        </w:rPr>
      </w:pPr>
    </w:p>
    <w:p w:rsidR="00E50A30" w:rsidRDefault="00E50A30" w:rsidP="00D44AC7">
      <w:pPr>
        <w:pStyle w:val="af2"/>
        <w:numPr>
          <w:ilvl w:val="1"/>
          <w:numId w:val="55"/>
        </w:numPr>
        <w:spacing w:line="269" w:lineRule="auto"/>
        <w:ind w:left="423" w:hanging="398"/>
        <w:rPr>
          <w:b/>
          <w:bCs/>
        </w:rPr>
      </w:pPr>
      <w:r w:rsidRPr="00BE1CFE">
        <w:rPr>
          <w:b/>
          <w:bCs/>
          <w:rtl/>
        </w:rPr>
        <w:t>בשנים 2018 - 2022 לא התקיימו בקרות שנתיות של ראש חטיבת הסייבר</w:t>
      </w:r>
      <w:r w:rsidRPr="00BE1CFE" w:rsidDel="008720D5">
        <w:rPr>
          <w:b/>
          <w:bCs/>
          <w:rtl/>
        </w:rPr>
        <w:t xml:space="preserve"> </w:t>
      </w:r>
      <w:r w:rsidRPr="00BE1CFE">
        <w:rPr>
          <w:b/>
          <w:bCs/>
          <w:rtl/>
        </w:rPr>
        <w:t xml:space="preserve">(למעט בקרה אחת בשנת 2020). </w:t>
      </w:r>
    </w:p>
    <w:p w:rsidR="00A26040" w:rsidRPr="00BE1CFE" w:rsidRDefault="00A26040" w:rsidP="00604C3D">
      <w:pPr>
        <w:spacing w:line="269" w:lineRule="auto"/>
        <w:contextualSpacing/>
        <w:rPr>
          <w:b/>
          <w:bCs/>
          <w:rtl/>
        </w:rPr>
      </w:pPr>
    </w:p>
    <w:p w:rsidR="00E50A30" w:rsidRDefault="00E50A30" w:rsidP="00D44AC7">
      <w:pPr>
        <w:pStyle w:val="af2"/>
        <w:numPr>
          <w:ilvl w:val="1"/>
          <w:numId w:val="55"/>
        </w:numPr>
        <w:spacing w:line="269" w:lineRule="auto"/>
        <w:ind w:left="423" w:hanging="398"/>
        <w:rPr>
          <w:b/>
          <w:bCs/>
        </w:rPr>
      </w:pPr>
      <w:r w:rsidRPr="00BE1CFE">
        <w:rPr>
          <w:b/>
          <w:bCs/>
          <w:rtl/>
        </w:rPr>
        <w:t xml:space="preserve">בקרות שנעשו בתחום </w:t>
      </w:r>
      <w:r w:rsidRPr="00BE1CFE">
        <w:rPr>
          <w:rFonts w:hint="cs"/>
          <w:b/>
          <w:bCs/>
          <w:rtl/>
        </w:rPr>
        <w:t>ה</w:t>
      </w:r>
      <w:r w:rsidRPr="00BE1CFE">
        <w:rPr>
          <w:b/>
          <w:bCs/>
          <w:rtl/>
        </w:rPr>
        <w:t xml:space="preserve">היתרים </w:t>
      </w:r>
      <w:r w:rsidRPr="00BE1CFE">
        <w:rPr>
          <w:rFonts w:hint="cs"/>
          <w:b/>
          <w:bCs/>
          <w:rtl/>
        </w:rPr>
        <w:t>ה</w:t>
      </w:r>
      <w:r w:rsidRPr="00BE1CFE">
        <w:rPr>
          <w:b/>
          <w:bCs/>
          <w:rtl/>
        </w:rPr>
        <w:t>מינהליים לשימוש בנתוני תקשורת מצביעות על פערים</w:t>
      </w:r>
      <w:r w:rsidRPr="00BE1CFE">
        <w:rPr>
          <w:rFonts w:hint="cs"/>
          <w:b/>
          <w:bCs/>
          <w:rtl/>
        </w:rPr>
        <w:t xml:space="preserve"> </w:t>
      </w:r>
      <w:r w:rsidRPr="00BE1CFE">
        <w:rPr>
          <w:b/>
          <w:bCs/>
          <w:rtl/>
        </w:rPr>
        <w:t xml:space="preserve">בהליך </w:t>
      </w:r>
      <w:r w:rsidRPr="00BE1CFE">
        <w:rPr>
          <w:rFonts w:hint="cs"/>
          <w:b/>
          <w:bCs/>
          <w:rtl/>
        </w:rPr>
        <w:t xml:space="preserve">מימוש </w:t>
      </w:r>
      <w:r w:rsidRPr="00BE1CFE">
        <w:rPr>
          <w:b/>
          <w:bCs/>
          <w:rtl/>
        </w:rPr>
        <w:t>ההיתרים.</w:t>
      </w:r>
      <w:r>
        <w:rPr>
          <w:b/>
          <w:bCs/>
          <w:rtl/>
        </w:rPr>
        <w:t xml:space="preserve"> </w:t>
      </w:r>
    </w:p>
    <w:p w:rsidR="00A26040" w:rsidRPr="00BE1CFE" w:rsidRDefault="00A26040" w:rsidP="00604C3D">
      <w:pPr>
        <w:spacing w:line="269" w:lineRule="auto"/>
        <w:contextualSpacing/>
        <w:rPr>
          <w:b/>
          <w:bCs/>
          <w:rtl/>
        </w:rPr>
      </w:pPr>
    </w:p>
    <w:p w:rsidR="00E50A30" w:rsidRPr="00BE1CFE" w:rsidRDefault="00E50A30" w:rsidP="00D44AC7">
      <w:pPr>
        <w:pStyle w:val="af2"/>
        <w:numPr>
          <w:ilvl w:val="1"/>
          <w:numId w:val="55"/>
        </w:numPr>
        <w:spacing w:line="269" w:lineRule="auto"/>
        <w:ind w:left="423" w:hanging="398"/>
        <w:rPr>
          <w:b/>
          <w:bCs/>
          <w:rtl/>
        </w:rPr>
      </w:pPr>
      <w:r w:rsidRPr="00BE1CFE">
        <w:rPr>
          <w:b/>
          <w:bCs/>
          <w:rtl/>
        </w:rPr>
        <w:t xml:space="preserve">המשטרה לא קיימה </w:t>
      </w:r>
      <w:r w:rsidRPr="00BE1CFE">
        <w:rPr>
          <w:rFonts w:hint="cs"/>
          <w:b/>
          <w:bCs/>
          <w:rtl/>
        </w:rPr>
        <w:t>חלק מהפעולות הנדרשות לפיקוח ובקרה בנוגע לאבטחת המידע של שני מאגרי מידע כמתחייב בתקנות; ו</w:t>
      </w:r>
      <w:r w:rsidR="00FD0BD8">
        <w:rPr>
          <w:rFonts w:hint="cs"/>
          <w:b/>
          <w:bCs/>
          <w:rtl/>
        </w:rPr>
        <w:t xml:space="preserve">היא </w:t>
      </w:r>
      <w:r w:rsidRPr="00BE1CFE">
        <w:rPr>
          <w:rFonts w:hint="cs"/>
          <w:b/>
          <w:bCs/>
          <w:rtl/>
        </w:rPr>
        <w:t xml:space="preserve">לא ביצעה בקרות ייעודיות </w:t>
      </w:r>
      <w:r w:rsidR="00FD0BD8">
        <w:rPr>
          <w:rFonts w:hint="cs"/>
          <w:b/>
          <w:bCs/>
          <w:rtl/>
        </w:rPr>
        <w:t>ו</w:t>
      </w:r>
      <w:r w:rsidRPr="00BE1CFE">
        <w:rPr>
          <w:rFonts w:hint="cs"/>
          <w:b/>
          <w:bCs/>
          <w:rtl/>
        </w:rPr>
        <w:t xml:space="preserve">סדירות </w:t>
      </w:r>
      <w:r w:rsidRPr="00BE1CFE">
        <w:rPr>
          <w:b/>
          <w:bCs/>
          <w:rtl/>
        </w:rPr>
        <w:t>בתחום בקרת הרשאות הגישה ל</w:t>
      </w:r>
      <w:r w:rsidRPr="00BE1CFE">
        <w:rPr>
          <w:rFonts w:hint="cs"/>
          <w:b/>
          <w:bCs/>
          <w:rtl/>
        </w:rPr>
        <w:t xml:space="preserve">שתי </w:t>
      </w:r>
      <w:r w:rsidRPr="00BE1CFE">
        <w:rPr>
          <w:b/>
          <w:bCs/>
          <w:rtl/>
        </w:rPr>
        <w:t>מערכות מידע מרכזיות בחטיבת הסייבר.</w:t>
      </w:r>
      <w:r>
        <w:rPr>
          <w:b/>
          <w:bCs/>
          <w:rtl/>
        </w:rPr>
        <w:t xml:space="preserve"> </w:t>
      </w:r>
    </w:p>
    <w:p w:rsidR="004B50FC" w:rsidRDefault="004B50FC" w:rsidP="00604C3D">
      <w:pPr>
        <w:spacing w:line="269" w:lineRule="auto"/>
        <w:rPr>
          <w:szCs w:val="20"/>
          <w:rtl/>
        </w:rPr>
      </w:pPr>
    </w:p>
    <w:p w:rsidR="00E50A30" w:rsidRPr="00BE1CFE" w:rsidRDefault="00E50A30" w:rsidP="00604C3D">
      <w:pPr>
        <w:spacing w:line="269" w:lineRule="auto"/>
        <w:rPr>
          <w:rtl/>
        </w:rPr>
      </w:pPr>
      <w:r w:rsidRPr="00BE1CFE">
        <w:rPr>
          <w:b/>
          <w:bCs/>
          <w:rtl/>
        </w:rPr>
        <w:t>שורה של פערים אלו מחייב</w:t>
      </w:r>
      <w:r w:rsidRPr="00BE1CFE">
        <w:rPr>
          <w:rFonts w:hint="cs"/>
          <w:b/>
          <w:bCs/>
          <w:rtl/>
        </w:rPr>
        <w:t>ת</w:t>
      </w:r>
      <w:r w:rsidRPr="00BE1CFE">
        <w:rPr>
          <w:b/>
          <w:bCs/>
          <w:rtl/>
        </w:rPr>
        <w:t xml:space="preserve"> נקיט</w:t>
      </w:r>
      <w:r w:rsidRPr="00BE1CFE">
        <w:rPr>
          <w:rFonts w:hint="cs"/>
          <w:b/>
          <w:bCs/>
          <w:rtl/>
        </w:rPr>
        <w:t>ת</w:t>
      </w:r>
      <w:r w:rsidRPr="00BE1CFE">
        <w:rPr>
          <w:b/>
          <w:bCs/>
          <w:rtl/>
        </w:rPr>
        <w:t xml:space="preserve"> פעולות משמעותיות מצד המשטרה אשר יבטיחו קיום בקרות שוטפות בכל שנה על כלל הפעילויות המתקיימות בתחומים אלה תוך ת</w:t>
      </w:r>
      <w:r w:rsidRPr="00BE1CFE">
        <w:rPr>
          <w:rFonts w:hint="cs"/>
          <w:b/>
          <w:bCs/>
          <w:rtl/>
        </w:rPr>
        <w:t>י</w:t>
      </w:r>
      <w:r w:rsidRPr="00BE1CFE">
        <w:rPr>
          <w:b/>
          <w:bCs/>
          <w:rtl/>
        </w:rPr>
        <w:t xml:space="preserve">עדוף ומיקוד </w:t>
      </w:r>
      <w:r w:rsidRPr="00BE1CFE">
        <w:rPr>
          <w:rFonts w:hint="cs"/>
          <w:b/>
          <w:bCs/>
          <w:rtl/>
        </w:rPr>
        <w:t xml:space="preserve">של </w:t>
      </w:r>
      <w:r w:rsidRPr="00BE1CFE">
        <w:rPr>
          <w:b/>
          <w:bCs/>
          <w:rtl/>
        </w:rPr>
        <w:t>הבקרות בקרב היחידות המקיימות את הפעילויות הרגישות ביותר. על חטיבת הסייבר לעגן תהליכי פיקוח ובקרה סדורים גם על היחידות המבצעיות הפועלות בחטיבה וכן על מאגרי המידע והרשאות הגישה למערכות הרגישות של החטיבה.</w:t>
      </w:r>
    </w:p>
    <w:p w:rsidR="00E50A30" w:rsidRPr="00BE1CFE" w:rsidRDefault="00E50A30" w:rsidP="00604C3D">
      <w:pPr>
        <w:bidi w:val="0"/>
        <w:spacing w:line="269" w:lineRule="auto"/>
      </w:pPr>
      <w:r w:rsidRPr="00BE1CFE">
        <w:rPr>
          <w:rtl/>
        </w:rPr>
        <w:br w:type="page"/>
      </w:r>
    </w:p>
    <w:p w:rsidR="006946D3" w:rsidRPr="006946D3" w:rsidRDefault="006946D3" w:rsidP="000372F7">
      <w:pPr>
        <w:pStyle w:val="2"/>
        <w:numPr>
          <w:ilvl w:val="0"/>
          <w:numId w:val="79"/>
        </w:numPr>
        <w:spacing w:before="0" w:line="269" w:lineRule="auto"/>
        <w:rPr>
          <w:rFonts w:eastAsia="Times New Roman"/>
          <w:rtl/>
        </w:rPr>
      </w:pPr>
      <w:bookmarkStart w:id="657" w:name="_Toc219286573"/>
      <w:bookmarkStart w:id="658" w:name="_Hlk196637980"/>
      <w:r w:rsidRPr="006946D3">
        <w:rPr>
          <w:rFonts w:eastAsia="Times New Roman" w:hint="cs"/>
          <w:rtl/>
        </w:rPr>
        <w:t xml:space="preserve">הפיקוח </w:t>
      </w:r>
      <w:r w:rsidRPr="00E02FA1">
        <w:rPr>
          <w:rFonts w:hint="cs"/>
          <w:rtl/>
        </w:rPr>
        <w:t>בתחומי</w:t>
      </w:r>
      <w:r w:rsidRPr="006946D3">
        <w:rPr>
          <w:rFonts w:eastAsia="Times New Roman" w:hint="cs"/>
          <w:rtl/>
        </w:rPr>
        <w:t xml:space="preserve"> האזנות סתר ונתוני תקשורת במסגרת הליך ה</w:t>
      </w:r>
      <w:r w:rsidRPr="006946D3">
        <w:rPr>
          <w:rFonts w:eastAsia="Times New Roman" w:hint="eastAsia"/>
          <w:rtl/>
        </w:rPr>
        <w:t>חיסיון</w:t>
      </w:r>
      <w:r w:rsidRPr="006946D3">
        <w:rPr>
          <w:rFonts w:eastAsia="Times New Roman"/>
          <w:rtl/>
        </w:rPr>
        <w:t xml:space="preserve"> </w:t>
      </w:r>
      <w:r w:rsidRPr="006946D3">
        <w:rPr>
          <w:rFonts w:eastAsia="Times New Roman" w:hint="eastAsia"/>
          <w:rtl/>
        </w:rPr>
        <w:t>של</w:t>
      </w:r>
      <w:r w:rsidRPr="006946D3">
        <w:rPr>
          <w:rFonts w:eastAsia="Times New Roman"/>
          <w:rtl/>
        </w:rPr>
        <w:t xml:space="preserve"> </w:t>
      </w:r>
      <w:r w:rsidRPr="006946D3">
        <w:rPr>
          <w:rFonts w:eastAsia="Times New Roman" w:hint="eastAsia"/>
          <w:rtl/>
        </w:rPr>
        <w:t>חומרי</w:t>
      </w:r>
      <w:r w:rsidRPr="006946D3">
        <w:rPr>
          <w:rFonts w:eastAsia="Times New Roman"/>
          <w:rtl/>
        </w:rPr>
        <w:t xml:space="preserve"> </w:t>
      </w:r>
      <w:r w:rsidRPr="006946D3">
        <w:rPr>
          <w:rFonts w:eastAsia="Times New Roman" w:hint="cs"/>
          <w:rtl/>
        </w:rPr>
        <w:t>ה</w:t>
      </w:r>
      <w:r w:rsidRPr="006946D3">
        <w:rPr>
          <w:rFonts w:eastAsia="Times New Roman" w:hint="eastAsia"/>
          <w:rtl/>
        </w:rPr>
        <w:t>חקירה</w:t>
      </w:r>
      <w:bookmarkEnd w:id="657"/>
      <w:r w:rsidRPr="006946D3">
        <w:rPr>
          <w:rFonts w:eastAsia="Times New Roman"/>
          <w:rtl/>
        </w:rPr>
        <w:t xml:space="preserve"> </w:t>
      </w:r>
      <w:bookmarkEnd w:id="658"/>
    </w:p>
    <w:p w:rsidR="004B50FC" w:rsidRDefault="004B50FC" w:rsidP="00604C3D">
      <w:pPr>
        <w:spacing w:line="269" w:lineRule="auto"/>
        <w:rPr>
          <w:rFonts w:eastAsia="Calibri"/>
          <w:sz w:val="16"/>
          <w:szCs w:val="16"/>
          <w:rtl/>
        </w:rPr>
      </w:pPr>
    </w:p>
    <w:p w:rsidR="006946D3" w:rsidRPr="006946D3" w:rsidRDefault="006946D3" w:rsidP="00604C3D">
      <w:pPr>
        <w:spacing w:line="269" w:lineRule="auto"/>
        <w:rPr>
          <w:rFonts w:ascii="David" w:eastAsia="Calibri" w:hAnsi="David"/>
          <w:sz w:val="24"/>
        </w:rPr>
      </w:pPr>
      <w:r w:rsidRPr="006946D3">
        <w:rPr>
          <w:rFonts w:ascii="David" w:eastAsia="Calibri" w:hAnsi="David" w:hint="cs"/>
          <w:sz w:val="24"/>
          <w:rtl/>
        </w:rPr>
        <w:t>בכל תיק שבו נעשה שימוש בהאזנות סתר ובנתוני תקשורת ונדרש לחסות את שיטת האזנה ותוצריה או את שיטת קבלת הנתונים מוצאות תעודות חיסיון. זכותו של נאשם בפשע או בעוון</w:t>
      </w:r>
      <w:r w:rsidRPr="006946D3">
        <w:rPr>
          <w:rFonts w:ascii="David" w:eastAsia="Calibri" w:hAnsi="David"/>
          <w:sz w:val="24"/>
          <w:vertAlign w:val="superscript"/>
          <w:rtl/>
        </w:rPr>
        <w:footnoteReference w:id="314"/>
      </w:r>
      <w:r w:rsidRPr="006946D3">
        <w:rPr>
          <w:rFonts w:ascii="David" w:eastAsia="Calibri" w:hAnsi="David" w:hint="cs"/>
          <w:sz w:val="24"/>
          <w:rtl/>
        </w:rPr>
        <w:t xml:space="preserve"> לעיין בחומרי החקירה ולקבלם לידיו מעוגנת בסעיף 74 לחסד"פ</w:t>
      </w:r>
      <w:r w:rsidRPr="006946D3">
        <w:rPr>
          <w:rFonts w:ascii="David" w:eastAsia="Calibri" w:hAnsi="David"/>
          <w:sz w:val="24"/>
          <w:vertAlign w:val="superscript"/>
          <w:rtl/>
        </w:rPr>
        <w:footnoteReference w:id="315"/>
      </w:r>
      <w:r w:rsidRPr="006946D3">
        <w:rPr>
          <w:rFonts w:ascii="David" w:eastAsia="Calibri" w:hAnsi="David" w:hint="cs"/>
          <w:sz w:val="24"/>
          <w:rtl/>
        </w:rPr>
        <w:t>. זכות זו מתבססת, בין היתר, על זכותו של הנאשם לחירות ולהליך פלילי הוגן, והיא אף הוכרה כזכות יסוד בעקבות חקיקת חוק יסוד: כבוד האדם וחירותו</w:t>
      </w:r>
      <w:r w:rsidRPr="006946D3">
        <w:rPr>
          <w:rFonts w:ascii="David" w:eastAsia="Calibri" w:hAnsi="David"/>
          <w:sz w:val="24"/>
          <w:vertAlign w:val="superscript"/>
          <w:rtl/>
        </w:rPr>
        <w:footnoteReference w:id="316"/>
      </w:r>
      <w:r w:rsidRPr="006946D3">
        <w:rPr>
          <w:rFonts w:ascii="David" w:eastAsia="Calibri" w:hAnsi="David" w:hint="cs"/>
          <w:sz w:val="24"/>
          <w:rtl/>
        </w:rPr>
        <w:t>. בית המשפט אינו דן ואינו פוסק על סמך חומר חסוי שאינו בידיעתו של הנאשם, ולכן כאשר מוצאת תעודת חיסיון, התביעה אינה רשאית להשתמש בחומר החסוי, ובית המשפט אינו נחשף אליו, ואף אם הוא נחשף לראיה החסויה, הוא אינו רשאי להסתמך עליה</w:t>
      </w:r>
      <w:r w:rsidRPr="006946D3">
        <w:rPr>
          <w:rFonts w:ascii="David" w:eastAsia="Calibri" w:hAnsi="David"/>
          <w:sz w:val="24"/>
          <w:vertAlign w:val="superscript"/>
          <w:rtl/>
        </w:rPr>
        <w:footnoteReference w:id="317"/>
      </w:r>
      <w:r w:rsidRPr="006946D3">
        <w:rPr>
          <w:rFonts w:ascii="David" w:eastAsia="Calibri" w:hAnsi="David" w:hint="cs"/>
          <w:sz w:val="24"/>
          <w:rtl/>
        </w:rPr>
        <w:t>.</w:t>
      </w:r>
    </w:p>
    <w:p w:rsidR="004B50FC" w:rsidRDefault="004B50FC" w:rsidP="00604C3D">
      <w:pPr>
        <w:spacing w:line="269" w:lineRule="auto"/>
        <w:rPr>
          <w:rFonts w:eastAsia="Calibri"/>
          <w:sz w:val="16"/>
          <w:szCs w:val="16"/>
          <w:rtl/>
        </w:rPr>
      </w:pPr>
    </w:p>
    <w:p w:rsidR="0085114A" w:rsidRPr="006946D3" w:rsidRDefault="0085114A" w:rsidP="00604C3D">
      <w:pPr>
        <w:spacing w:line="269" w:lineRule="auto"/>
        <w:rPr>
          <w:rFonts w:ascii="David" w:eastAsia="Calibri" w:hAnsi="David"/>
          <w:sz w:val="24"/>
          <w:rtl/>
        </w:rPr>
      </w:pPr>
      <w:r w:rsidRPr="006946D3">
        <w:rPr>
          <w:rFonts w:ascii="David" w:eastAsia="Calibri" w:hAnsi="David"/>
          <w:sz w:val="24"/>
          <w:rtl/>
        </w:rPr>
        <w:t xml:space="preserve">תעודת חיסיון היא תעודה </w:t>
      </w:r>
      <w:r w:rsidRPr="006946D3">
        <w:rPr>
          <w:rFonts w:ascii="David" w:eastAsia="Calibri" w:hAnsi="David" w:hint="cs"/>
          <w:sz w:val="24"/>
          <w:rtl/>
        </w:rPr>
        <w:t>הנוגעת לחומר חקירה אשר יש לנאשם זכות לעיון בו אך חומר חקירה זה הוכר כחסוי</w:t>
      </w:r>
      <w:r>
        <w:rPr>
          <w:rFonts w:ascii="David" w:eastAsia="Calibri" w:hAnsi="David" w:hint="cs"/>
          <w:sz w:val="24"/>
          <w:rtl/>
        </w:rPr>
        <w:t xml:space="preserve"> על פי עילות הקבועות בדין</w:t>
      </w:r>
      <w:r w:rsidRPr="006946D3">
        <w:rPr>
          <w:rFonts w:ascii="David" w:eastAsia="Calibri" w:hAnsi="David" w:hint="cs"/>
          <w:sz w:val="24"/>
          <w:rtl/>
        </w:rPr>
        <w:t>. חומר חקירה זה שנדרש לחסותו יכול להיות גם מידע הנוגע לשימוש שעושה המשטרה בכלים טכנולוגיים להאזנת סתר ולהפקת נתוני תקשורת והתוצרים שהתקבלו מהם. על התעודה חותם</w:t>
      </w:r>
      <w:r w:rsidRPr="006946D3">
        <w:rPr>
          <w:rFonts w:ascii="David" w:eastAsia="Calibri" w:hAnsi="David"/>
          <w:sz w:val="24"/>
          <w:rtl/>
        </w:rPr>
        <w:t xml:space="preserve"> השר לביטחון </w:t>
      </w:r>
      <w:r w:rsidRPr="006946D3">
        <w:rPr>
          <w:rFonts w:ascii="David" w:eastAsia="Calibri" w:hAnsi="David" w:hint="cs"/>
          <w:sz w:val="24"/>
          <w:rtl/>
        </w:rPr>
        <w:t>לאומי</w:t>
      </w:r>
      <w:r w:rsidRPr="006946D3">
        <w:rPr>
          <w:rFonts w:ascii="David" w:eastAsia="Calibri" w:hAnsi="David"/>
          <w:sz w:val="24"/>
          <w:rtl/>
        </w:rPr>
        <w:t xml:space="preserve"> או הממונה על החסיונות </w:t>
      </w:r>
      <w:r w:rsidRPr="006946D3">
        <w:rPr>
          <w:rFonts w:ascii="David" w:eastAsia="Calibri" w:hAnsi="David" w:hint="cs"/>
          <w:sz w:val="24"/>
          <w:rtl/>
        </w:rPr>
        <w:t xml:space="preserve">אשר </w:t>
      </w:r>
      <w:r w:rsidRPr="006946D3">
        <w:rPr>
          <w:rFonts w:ascii="David" w:eastAsia="Calibri" w:hAnsi="David"/>
          <w:sz w:val="24"/>
          <w:rtl/>
        </w:rPr>
        <w:t xml:space="preserve">השר </w:t>
      </w:r>
      <w:r w:rsidRPr="006946D3">
        <w:rPr>
          <w:rFonts w:ascii="David" w:eastAsia="Calibri" w:hAnsi="David" w:hint="cs"/>
          <w:sz w:val="24"/>
          <w:rtl/>
        </w:rPr>
        <w:t xml:space="preserve">אצל לו </w:t>
      </w:r>
      <w:r w:rsidRPr="006946D3">
        <w:rPr>
          <w:rFonts w:ascii="David" w:eastAsia="Calibri" w:hAnsi="David"/>
          <w:sz w:val="24"/>
          <w:rtl/>
        </w:rPr>
        <w:t>את סמכותו</w:t>
      </w:r>
      <w:r w:rsidRPr="006946D3">
        <w:rPr>
          <w:rFonts w:ascii="David" w:eastAsia="Calibri" w:hAnsi="David" w:hint="cs"/>
          <w:sz w:val="24"/>
          <w:rtl/>
        </w:rPr>
        <w:t xml:space="preserve"> לעניין זה</w:t>
      </w:r>
      <w:r w:rsidRPr="006946D3">
        <w:rPr>
          <w:rFonts w:ascii="David" w:eastAsia="Calibri" w:hAnsi="David"/>
          <w:sz w:val="24"/>
          <w:vertAlign w:val="superscript"/>
          <w:rtl/>
        </w:rPr>
        <w:footnoteReference w:id="318"/>
      </w:r>
      <w:r w:rsidRPr="006946D3">
        <w:rPr>
          <w:rFonts w:ascii="David" w:eastAsia="Calibri" w:hAnsi="David" w:hint="cs"/>
          <w:sz w:val="24"/>
          <w:rtl/>
        </w:rPr>
        <w:t xml:space="preserve">, והוא חווה בה </w:t>
      </w:r>
      <w:r w:rsidRPr="006946D3">
        <w:rPr>
          <w:rFonts w:ascii="David" w:eastAsia="Calibri" w:hAnsi="David"/>
          <w:sz w:val="24"/>
          <w:rtl/>
        </w:rPr>
        <w:t xml:space="preserve">את דעתו </w:t>
      </w:r>
      <w:r w:rsidRPr="006946D3">
        <w:rPr>
          <w:rFonts w:ascii="David" w:eastAsia="Calibri" w:hAnsi="David" w:hint="cs"/>
          <w:sz w:val="24"/>
          <w:rtl/>
        </w:rPr>
        <w:t>אם</w:t>
      </w:r>
      <w:r w:rsidRPr="006946D3">
        <w:rPr>
          <w:rFonts w:ascii="David" w:eastAsia="Calibri" w:hAnsi="David"/>
          <w:sz w:val="24"/>
          <w:rtl/>
        </w:rPr>
        <w:t xml:space="preserve"> גילוי או מסירה של המידע המתואר בתעודה עלול</w:t>
      </w:r>
      <w:r w:rsidRPr="006946D3">
        <w:rPr>
          <w:rFonts w:ascii="David" w:eastAsia="Calibri" w:hAnsi="David" w:hint="cs"/>
          <w:sz w:val="24"/>
          <w:rtl/>
        </w:rPr>
        <w:t>ים</w:t>
      </w:r>
      <w:r w:rsidRPr="006946D3">
        <w:rPr>
          <w:rFonts w:ascii="David" w:eastAsia="Calibri" w:hAnsi="David"/>
          <w:sz w:val="24"/>
          <w:rtl/>
        </w:rPr>
        <w:t xml:space="preserve"> </w:t>
      </w:r>
      <w:r w:rsidRPr="006946D3">
        <w:rPr>
          <w:rFonts w:ascii="David" w:eastAsia="Calibri" w:hAnsi="David" w:hint="cs"/>
          <w:sz w:val="24"/>
          <w:rtl/>
        </w:rPr>
        <w:t xml:space="preserve">לגרום לפגיעה </w:t>
      </w:r>
      <w:r w:rsidRPr="006946D3">
        <w:rPr>
          <w:rFonts w:ascii="David" w:eastAsia="Calibri" w:hAnsi="David"/>
          <w:sz w:val="24"/>
          <w:rtl/>
        </w:rPr>
        <w:t xml:space="preserve">בעניין ציבורי </w:t>
      </w:r>
      <w:r w:rsidRPr="006946D3">
        <w:rPr>
          <w:rFonts w:ascii="David" w:eastAsia="Calibri" w:hAnsi="David" w:hint="cs"/>
          <w:sz w:val="24"/>
          <w:rtl/>
        </w:rPr>
        <w:t xml:space="preserve">חשוב. הקריטריונים לעניין ציבורי חשוב הם בין היתר </w:t>
      </w:r>
      <w:r w:rsidRPr="006946D3">
        <w:rPr>
          <w:rFonts w:ascii="David" w:eastAsia="Calibri" w:hAnsi="David"/>
          <w:sz w:val="24"/>
          <w:rtl/>
        </w:rPr>
        <w:t xml:space="preserve">פגיעה בחיי אדם; </w:t>
      </w:r>
      <w:r w:rsidRPr="006946D3">
        <w:rPr>
          <w:rFonts w:ascii="David" w:eastAsia="Calibri" w:hAnsi="David" w:hint="cs"/>
          <w:sz w:val="24"/>
          <w:rtl/>
        </w:rPr>
        <w:t xml:space="preserve">פגיעה </w:t>
      </w:r>
      <w:r w:rsidRPr="006946D3">
        <w:rPr>
          <w:rFonts w:ascii="David" w:eastAsia="Calibri" w:hAnsi="David"/>
          <w:sz w:val="24"/>
          <w:rtl/>
        </w:rPr>
        <w:t xml:space="preserve">בשיתוף </w:t>
      </w:r>
      <w:r w:rsidRPr="006946D3">
        <w:rPr>
          <w:rFonts w:ascii="David" w:eastAsia="Calibri" w:hAnsi="David" w:hint="cs"/>
          <w:sz w:val="24"/>
          <w:rtl/>
        </w:rPr>
        <w:t>ה</w:t>
      </w:r>
      <w:r w:rsidRPr="006946D3">
        <w:rPr>
          <w:rFonts w:ascii="David" w:eastAsia="Calibri" w:hAnsi="David"/>
          <w:sz w:val="24"/>
          <w:rtl/>
        </w:rPr>
        <w:t xml:space="preserve">פעולה שבין הציבור למשטרה; </w:t>
      </w:r>
      <w:r w:rsidRPr="006946D3">
        <w:rPr>
          <w:rFonts w:ascii="David" w:eastAsia="Calibri" w:hAnsi="David" w:hint="cs"/>
          <w:sz w:val="24"/>
          <w:rtl/>
        </w:rPr>
        <w:t xml:space="preserve">חשיפת </w:t>
      </w:r>
      <w:r w:rsidRPr="006946D3">
        <w:rPr>
          <w:rFonts w:ascii="David" w:eastAsia="Calibri" w:hAnsi="David"/>
          <w:sz w:val="24"/>
          <w:rtl/>
        </w:rPr>
        <w:t>שיטות</w:t>
      </w:r>
      <w:r w:rsidRPr="006946D3">
        <w:rPr>
          <w:rFonts w:ascii="David" w:eastAsia="Calibri" w:hAnsi="David" w:hint="cs"/>
          <w:sz w:val="24"/>
          <w:rtl/>
        </w:rPr>
        <w:t xml:space="preserve"> פעולה</w:t>
      </w:r>
      <w:r w:rsidRPr="006946D3">
        <w:rPr>
          <w:rFonts w:ascii="David" w:eastAsia="Calibri" w:hAnsi="David"/>
          <w:sz w:val="24"/>
          <w:rtl/>
        </w:rPr>
        <w:t xml:space="preserve"> ואמצעים של המשטרה; </w:t>
      </w:r>
      <w:r w:rsidRPr="006946D3">
        <w:rPr>
          <w:rFonts w:ascii="David" w:eastAsia="Calibri" w:hAnsi="David" w:hint="cs"/>
          <w:sz w:val="24"/>
          <w:rtl/>
        </w:rPr>
        <w:t>סיכול</w:t>
      </w:r>
      <w:r w:rsidRPr="006946D3">
        <w:rPr>
          <w:rFonts w:ascii="David" w:eastAsia="Calibri" w:hAnsi="David"/>
          <w:sz w:val="24"/>
          <w:rtl/>
        </w:rPr>
        <w:t xml:space="preserve"> פעולות חקירה עתידיות; </w:t>
      </w:r>
      <w:r w:rsidRPr="006946D3">
        <w:rPr>
          <w:rFonts w:ascii="David" w:eastAsia="Calibri" w:hAnsi="David" w:hint="cs"/>
          <w:sz w:val="24"/>
          <w:rtl/>
        </w:rPr>
        <w:t>ופגיעה</w:t>
      </w:r>
      <w:r w:rsidRPr="006946D3">
        <w:rPr>
          <w:rFonts w:ascii="David" w:eastAsia="Calibri" w:hAnsi="David"/>
          <w:sz w:val="24"/>
          <w:rtl/>
        </w:rPr>
        <w:t xml:space="preserve"> בשיתוף </w:t>
      </w:r>
      <w:r w:rsidRPr="006946D3">
        <w:rPr>
          <w:rFonts w:ascii="David" w:eastAsia="Calibri" w:hAnsi="David" w:hint="cs"/>
          <w:sz w:val="24"/>
          <w:rtl/>
        </w:rPr>
        <w:t>ה</w:t>
      </w:r>
      <w:r w:rsidRPr="006946D3">
        <w:rPr>
          <w:rFonts w:ascii="David" w:eastAsia="Calibri" w:hAnsi="David"/>
          <w:sz w:val="24"/>
          <w:rtl/>
        </w:rPr>
        <w:t>פעולה שבי</w:t>
      </w:r>
      <w:r w:rsidRPr="006946D3">
        <w:rPr>
          <w:rFonts w:ascii="David" w:eastAsia="Calibri" w:hAnsi="David" w:hint="cs"/>
          <w:sz w:val="24"/>
          <w:rtl/>
        </w:rPr>
        <w:t>ן</w:t>
      </w:r>
      <w:r w:rsidRPr="006946D3">
        <w:rPr>
          <w:rFonts w:ascii="David" w:eastAsia="Calibri" w:hAnsi="David"/>
          <w:sz w:val="24"/>
          <w:rtl/>
        </w:rPr>
        <w:t xml:space="preserve"> המשטרה לבין גופים ציבוריים בארץ ובחו"ל</w:t>
      </w:r>
      <w:r w:rsidRPr="006946D3">
        <w:rPr>
          <w:rFonts w:ascii="David" w:eastAsia="Calibri" w:hAnsi="David" w:hint="cs"/>
          <w:sz w:val="24"/>
          <w:rtl/>
        </w:rPr>
        <w:t xml:space="preserve">. הוצאת התעודה מותנית בכך שהמידע שבה אינו כולל ראיה </w:t>
      </w:r>
      <w:r>
        <w:rPr>
          <w:rFonts w:ascii="David" w:eastAsia="Calibri" w:hAnsi="David" w:hint="cs"/>
          <w:sz w:val="24"/>
          <w:rtl/>
        </w:rPr>
        <w:t>שיכולה להועיל</w:t>
      </w:r>
      <w:r w:rsidRPr="006946D3">
        <w:rPr>
          <w:rFonts w:ascii="David" w:eastAsia="Calibri" w:hAnsi="David" w:hint="cs"/>
          <w:sz w:val="24"/>
          <w:rtl/>
        </w:rPr>
        <w:t xml:space="preserve"> להגנת הנאשם. </w:t>
      </w:r>
    </w:p>
    <w:p w:rsidR="004B50FC" w:rsidRDefault="004B50FC" w:rsidP="00604C3D">
      <w:pPr>
        <w:spacing w:line="269" w:lineRule="auto"/>
        <w:rPr>
          <w:rFonts w:eastAsia="Calibri"/>
          <w:sz w:val="16"/>
          <w:szCs w:val="16"/>
          <w:rtl/>
        </w:rPr>
      </w:pPr>
    </w:p>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באוגוסט 2016, בעקבות תיקון מס' 75 בחקיקה, נעשו שינויים בנושא חסיון חומר מודיעיני וראיות חסויות</w:t>
      </w:r>
      <w:r w:rsidRPr="006946D3">
        <w:rPr>
          <w:rFonts w:ascii="David" w:eastAsia="Calibri" w:hAnsi="David"/>
          <w:sz w:val="24"/>
          <w:vertAlign w:val="superscript"/>
          <w:rtl/>
        </w:rPr>
        <w:footnoteReference w:id="319"/>
      </w:r>
      <w:r w:rsidRPr="006946D3">
        <w:rPr>
          <w:rFonts w:ascii="David" w:eastAsia="Calibri" w:hAnsi="David" w:hint="cs"/>
          <w:sz w:val="24"/>
          <w:rtl/>
        </w:rPr>
        <w:t>. התיקון יצר הבחנה בין "חומר מודיעין" לבין סוגי חומרים אחרים שנאספו על ידי הרשות החוקרת, ובכך שאף לצמצם את היקף חומרי המודיעין הנמסרים להגנה במסגרת ההליך הפלילי בלי שהדבר יפגע בהגנת הנאשם</w:t>
      </w:r>
      <w:r w:rsidRPr="006946D3">
        <w:rPr>
          <w:rFonts w:ascii="David" w:eastAsia="Calibri" w:hAnsi="David"/>
          <w:sz w:val="24"/>
          <w:vertAlign w:val="superscript"/>
          <w:rtl/>
        </w:rPr>
        <w:footnoteReference w:id="320"/>
      </w:r>
      <w:r w:rsidRPr="006946D3">
        <w:rPr>
          <w:rFonts w:ascii="David" w:eastAsia="Calibri" w:hAnsi="David" w:hint="cs"/>
          <w:sz w:val="24"/>
          <w:rtl/>
        </w:rPr>
        <w:t xml:space="preserve">. </w:t>
      </w:r>
    </w:p>
    <w:p w:rsidR="004B50FC" w:rsidRDefault="004B50FC" w:rsidP="00604C3D">
      <w:pPr>
        <w:spacing w:line="269" w:lineRule="auto"/>
        <w:rPr>
          <w:rFonts w:eastAsia="Calibri"/>
          <w:sz w:val="16"/>
          <w:szCs w:val="16"/>
          <w:rtl/>
        </w:rPr>
      </w:pPr>
    </w:p>
    <w:p w:rsidR="0085114A" w:rsidRPr="006946D3" w:rsidRDefault="0085114A" w:rsidP="00604C3D">
      <w:pPr>
        <w:spacing w:line="269" w:lineRule="auto"/>
        <w:rPr>
          <w:rFonts w:ascii="David" w:eastAsia="Calibri" w:hAnsi="David"/>
          <w:sz w:val="24"/>
          <w:rtl/>
        </w:rPr>
      </w:pPr>
      <w:r w:rsidRPr="006946D3">
        <w:rPr>
          <w:rFonts w:ascii="David" w:eastAsia="Calibri" w:hAnsi="David" w:hint="cs"/>
          <w:sz w:val="24"/>
          <w:rtl/>
        </w:rPr>
        <w:t>במסגרת ההחלטה אם לחסות ראיה, מתבצעת בחינה הנחלקת לשלושה שלבים: האחד מתבצע במשטרה, השני ברשות התובעת</w:t>
      </w:r>
      <w:r w:rsidRPr="006946D3">
        <w:rPr>
          <w:rFonts w:ascii="David" w:eastAsia="Calibri" w:hAnsi="David"/>
          <w:sz w:val="24"/>
          <w:vertAlign w:val="superscript"/>
          <w:rtl/>
        </w:rPr>
        <w:footnoteReference w:id="321"/>
      </w:r>
      <w:r w:rsidRPr="006946D3">
        <w:rPr>
          <w:rFonts w:ascii="David" w:eastAsia="Calibri" w:hAnsi="David" w:hint="cs"/>
          <w:sz w:val="24"/>
          <w:rtl/>
        </w:rPr>
        <w:t xml:space="preserve"> והשלישי</w:t>
      </w:r>
      <w:r>
        <w:rPr>
          <w:rFonts w:ascii="David" w:eastAsia="Calibri" w:hAnsi="David" w:hint="cs"/>
          <w:sz w:val="24"/>
          <w:rtl/>
        </w:rPr>
        <w:t>, ככל שהנאשם מבקש זאת,</w:t>
      </w:r>
      <w:r w:rsidR="00382AE8">
        <w:rPr>
          <w:rFonts w:ascii="David" w:eastAsia="Calibri" w:hAnsi="David" w:hint="cs"/>
          <w:sz w:val="24"/>
          <w:rtl/>
        </w:rPr>
        <w:t xml:space="preserve"> </w:t>
      </w:r>
      <w:r w:rsidRPr="006946D3">
        <w:rPr>
          <w:rFonts w:ascii="David" w:eastAsia="Calibri" w:hAnsi="David" w:hint="cs"/>
          <w:sz w:val="24"/>
          <w:rtl/>
        </w:rPr>
        <w:t>בבית המשפט במסגרת עתירה לגילוי ראיה</w:t>
      </w:r>
      <w:r w:rsidRPr="006946D3">
        <w:rPr>
          <w:rFonts w:ascii="David" w:eastAsia="Calibri" w:hAnsi="David"/>
          <w:sz w:val="24"/>
          <w:vertAlign w:val="superscript"/>
          <w:rtl/>
        </w:rPr>
        <w:footnoteReference w:id="322"/>
      </w:r>
      <w:r w:rsidRPr="006946D3">
        <w:rPr>
          <w:rFonts w:ascii="David" w:eastAsia="Calibri" w:hAnsi="David" w:hint="cs"/>
          <w:sz w:val="24"/>
          <w:rtl/>
        </w:rPr>
        <w:t>. את הסיווג הראשוני של חומר החקירה מבצעת היחידה החוקרת במשטרה, אשר ממיינת את החומרים לחומרים שאספה הרשות החוקרת ולחומרים שמקורם ב"רשות המודיעין"</w:t>
      </w:r>
      <w:r w:rsidRPr="006946D3">
        <w:rPr>
          <w:rFonts w:ascii="David" w:eastAsia="Calibri" w:hAnsi="David"/>
          <w:sz w:val="24"/>
          <w:vertAlign w:val="superscript"/>
          <w:rtl/>
        </w:rPr>
        <w:footnoteReference w:id="323"/>
      </w:r>
      <w:r w:rsidRPr="006946D3">
        <w:rPr>
          <w:rFonts w:ascii="David" w:eastAsia="Calibri" w:hAnsi="David" w:hint="cs"/>
          <w:sz w:val="24"/>
          <w:rtl/>
        </w:rPr>
        <w:t>. אם החומרים שאספה הרשות החוקרת רלוונטיים להכרעה במשפט, הם ישמשו ראיה במשפט ויועברו לעיון הנאשם, אלא אם כן תוצא בעניינם תעודת חיסיון</w:t>
      </w:r>
      <w:r w:rsidRPr="006946D3">
        <w:rPr>
          <w:rFonts w:ascii="David" w:eastAsia="Calibri" w:hAnsi="David"/>
          <w:sz w:val="24"/>
          <w:vertAlign w:val="superscript"/>
          <w:rtl/>
        </w:rPr>
        <w:footnoteReference w:id="324"/>
      </w:r>
      <w:r w:rsidRPr="006946D3">
        <w:rPr>
          <w:rFonts w:ascii="David" w:eastAsia="Calibri" w:hAnsi="David" w:hint="cs"/>
          <w:sz w:val="24"/>
          <w:rtl/>
        </w:rPr>
        <w:t xml:space="preserve">. </w:t>
      </w:r>
    </w:p>
    <w:p w:rsidR="004B50FC" w:rsidRDefault="004B50FC" w:rsidP="00604C3D">
      <w:pPr>
        <w:spacing w:line="269" w:lineRule="auto"/>
        <w:rPr>
          <w:rFonts w:eastAsia="Calibri"/>
          <w:sz w:val="16"/>
          <w:szCs w:val="16"/>
          <w:rtl/>
        </w:rPr>
      </w:pPr>
    </w:p>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במשטרה פועל בכפיפות לאח"ם מדור חסיונות, שמתפקידיו - הטמעת מדיניות פרקליטות המדינה והאח"ם בתחום החסיונות בקרב הגורמים המקצועיים העוסקים בכך בכל יחידות המשטרה לצורך החלת מדיניות אחידה בכלל היחידות. המדור מטפל גם בהכנת תעודות החיסיון בעניינם של כלל התיקים הפליליים והאזרחיים שבהם קיים חומר משטרתי שיש להוציא לגביו חיסיון לטובת הציבור</w:t>
      </w:r>
      <w:r w:rsidRPr="006946D3">
        <w:rPr>
          <w:rFonts w:ascii="David" w:eastAsia="Calibri" w:hAnsi="David"/>
          <w:sz w:val="24"/>
          <w:vertAlign w:val="superscript"/>
          <w:rtl/>
        </w:rPr>
        <w:footnoteReference w:id="325"/>
      </w:r>
      <w:r w:rsidRPr="006946D3">
        <w:rPr>
          <w:rFonts w:ascii="David" w:eastAsia="Calibri" w:hAnsi="David" w:hint="cs"/>
          <w:sz w:val="24"/>
          <w:rtl/>
        </w:rPr>
        <w:t>.</w:t>
      </w:r>
    </w:p>
    <w:p w:rsidR="004B50FC" w:rsidRDefault="004B50FC" w:rsidP="00604C3D">
      <w:pPr>
        <w:spacing w:line="269" w:lineRule="auto"/>
        <w:rPr>
          <w:rFonts w:eastAsia="Calibri"/>
          <w:sz w:val="16"/>
          <w:szCs w:val="16"/>
          <w:rtl/>
        </w:rPr>
      </w:pPr>
    </w:p>
    <w:p w:rsidR="00210916" w:rsidRDefault="00210916" w:rsidP="00604C3D">
      <w:pPr>
        <w:spacing w:line="269" w:lineRule="auto"/>
        <w:rPr>
          <w:rFonts w:ascii="David" w:eastAsia="Calibri" w:hAnsi="David"/>
          <w:sz w:val="24"/>
          <w:rtl/>
        </w:rPr>
      </w:pPr>
      <w:r w:rsidRPr="006946D3">
        <w:rPr>
          <w:rFonts w:ascii="David" w:eastAsia="Calibri" w:hAnsi="David" w:hint="cs"/>
          <w:sz w:val="24"/>
          <w:rtl/>
        </w:rPr>
        <w:t xml:space="preserve">לאחר שהחומר מועבר לפרקליטות (או לרשות תובעת אחרת, כגון חטיבת התביעות במשטרה) על הפרקליט לבחון את הסיווג של </w:t>
      </w:r>
      <w:r>
        <w:rPr>
          <w:rFonts w:ascii="David" w:eastAsia="Calibri" w:hAnsi="David" w:hint="cs"/>
          <w:sz w:val="24"/>
          <w:rtl/>
        </w:rPr>
        <w:t>חומר</w:t>
      </w:r>
      <w:r w:rsidRPr="006946D3">
        <w:rPr>
          <w:rFonts w:ascii="David" w:eastAsia="Calibri" w:hAnsi="David" w:hint="cs"/>
          <w:sz w:val="24"/>
          <w:rtl/>
        </w:rPr>
        <w:t xml:space="preserve"> החקירה, שנקבע על ידי הרשות החוקרת, ובאחריותו לוודא כי זהו הסיווג הנכון. ככלל, ועוד לפני הגשת כתב אישום, מתקיימת ישיבת חסיונות בראשות פרקליט המחוז או גורם בכיר אחר בתביעה שהוסמך לכך, ובה מוצגת עמדת הפרקליטות בנוגע לסיווג החומרים ולהוצאת התעודה. עמדה זו היא המסכמת את עמדת הפרקליטות בעניין זה, ועל פיה ינהג התובע בתיק</w:t>
      </w:r>
      <w:r w:rsidRPr="006946D3">
        <w:rPr>
          <w:rFonts w:ascii="David" w:eastAsia="Calibri" w:hAnsi="David"/>
          <w:sz w:val="24"/>
          <w:vertAlign w:val="superscript"/>
          <w:rtl/>
        </w:rPr>
        <w:footnoteReference w:id="326"/>
      </w:r>
      <w:r w:rsidRPr="006946D3">
        <w:rPr>
          <w:rFonts w:ascii="David" w:eastAsia="Calibri" w:hAnsi="David" w:hint="cs"/>
          <w:sz w:val="24"/>
          <w:rtl/>
        </w:rPr>
        <w:t>. אם נמצא שיש מקום להוציא תעודת חיסיון, התעודה נחתמת על ידי השר במשרד לביטחון לאומי או על ידי הממונה על החסיונות במשרד. נאשם המבקש להסיר את החיסיון על חומר החקירה רשאי לעשות זאת במסגרת הגשת עתירה לגילוי ראיה לבית המשפט</w:t>
      </w:r>
      <w:r w:rsidRPr="006946D3">
        <w:rPr>
          <w:rFonts w:ascii="David" w:eastAsia="Calibri" w:hAnsi="David"/>
          <w:sz w:val="24"/>
          <w:vertAlign w:val="superscript"/>
          <w:rtl/>
        </w:rPr>
        <w:footnoteReference w:id="327"/>
      </w:r>
      <w:r w:rsidRPr="006946D3">
        <w:rPr>
          <w:rFonts w:ascii="David" w:eastAsia="Calibri" w:hAnsi="David" w:hint="cs"/>
          <w:sz w:val="24"/>
          <w:rtl/>
        </w:rPr>
        <w:t>.</w:t>
      </w:r>
    </w:p>
    <w:p w:rsidR="00703306" w:rsidRPr="006946D3" w:rsidRDefault="00703306" w:rsidP="00604C3D">
      <w:pPr>
        <w:spacing w:line="269" w:lineRule="auto"/>
        <w:rPr>
          <w:rFonts w:ascii="David" w:eastAsia="Calibri" w:hAnsi="David"/>
          <w:sz w:val="24"/>
          <w:rtl/>
        </w:rPr>
      </w:pPr>
    </w:p>
    <w:p w:rsidR="006946D3" w:rsidRPr="006946D3" w:rsidRDefault="004253D0" w:rsidP="00604C3D">
      <w:pPr>
        <w:pStyle w:val="3"/>
        <w:spacing w:before="0" w:line="269" w:lineRule="auto"/>
        <w:rPr>
          <w:rFonts w:eastAsia="Times New Roman"/>
          <w:rtl/>
        </w:rPr>
      </w:pPr>
      <w:bookmarkStart w:id="659" w:name="_Toc138576142"/>
      <w:bookmarkStart w:id="660" w:name="_Toc219286574"/>
      <w:bookmarkStart w:id="661" w:name="_Hlk147755947"/>
      <w:r>
        <w:rPr>
          <w:rFonts w:eastAsia="Times New Roman" w:hint="cs"/>
          <w:rtl/>
        </w:rPr>
        <w:t xml:space="preserve">5.1 </w:t>
      </w:r>
      <w:r w:rsidR="006946D3" w:rsidRPr="006946D3">
        <w:rPr>
          <w:rFonts w:eastAsia="Times New Roman"/>
          <w:rtl/>
        </w:rPr>
        <w:t>מעקב אחר הנתונים בדבר הטלת חסיונות בתיקי הפרקליטות ובתיקי חטיבת התביעות</w:t>
      </w:r>
      <w:bookmarkEnd w:id="659"/>
      <w:bookmarkEnd w:id="660"/>
    </w:p>
    <w:bookmarkEnd w:id="661"/>
    <w:p w:rsidR="004B50FC" w:rsidRDefault="004B50FC" w:rsidP="00604C3D">
      <w:pPr>
        <w:spacing w:line="269" w:lineRule="auto"/>
        <w:rPr>
          <w:rFonts w:eastAsia="Calibri"/>
          <w:sz w:val="16"/>
          <w:szCs w:val="16"/>
          <w:rtl/>
        </w:rPr>
      </w:pPr>
    </w:p>
    <w:p w:rsidR="006946D3" w:rsidRPr="006946D3" w:rsidRDefault="006946D3" w:rsidP="00604C3D">
      <w:pPr>
        <w:spacing w:line="269" w:lineRule="auto"/>
        <w:rPr>
          <w:rFonts w:ascii="David" w:eastAsia="Calibri" w:hAnsi="David"/>
          <w:bCs/>
          <w:spacing w:val="40"/>
          <w:sz w:val="24"/>
          <w:rtl/>
        </w:rPr>
      </w:pPr>
      <w:r w:rsidRPr="006946D3">
        <w:rPr>
          <w:rFonts w:eastAsia="Calibri" w:hint="eastAsia"/>
          <w:rtl/>
        </w:rPr>
        <w:t>הפרקליטות</w:t>
      </w:r>
      <w:r w:rsidRPr="006946D3">
        <w:rPr>
          <w:rFonts w:eastAsia="Calibri"/>
          <w:rtl/>
        </w:rPr>
        <w:t xml:space="preserve"> והתביעה המשטרתית הן הזרועות העיקריות של התביעה הכללית. הפרקליטות פועלת במשרד המשפטים באמצעות הלשכה המרכזית שלה </w:t>
      </w:r>
      <w:r w:rsidRPr="006946D3">
        <w:rPr>
          <w:rFonts w:eastAsia="Calibri" w:hint="eastAsia"/>
          <w:rtl/>
        </w:rPr>
        <w:t>ו</w:t>
      </w:r>
      <w:r w:rsidRPr="006946D3">
        <w:rPr>
          <w:rFonts w:eastAsia="Calibri" w:hint="cs"/>
          <w:rtl/>
        </w:rPr>
        <w:t xml:space="preserve">באמצעות </w:t>
      </w:r>
      <w:r w:rsidRPr="006946D3">
        <w:rPr>
          <w:rFonts w:eastAsia="Calibri" w:hint="eastAsia"/>
          <w:rtl/>
        </w:rPr>
        <w:t>פרקליטויות</w:t>
      </w:r>
      <w:r w:rsidRPr="006946D3">
        <w:rPr>
          <w:rFonts w:eastAsia="Calibri"/>
          <w:rtl/>
        </w:rPr>
        <w:t xml:space="preserve"> המחוז, והתביעה המשטרתית פועלת באמצעות יחידות התביעה, הכפופות לראש יחידת התביעות במשטרה. חלוקת </w:t>
      </w:r>
      <w:r w:rsidRPr="006946D3">
        <w:rPr>
          <w:rFonts w:eastAsia="Calibri" w:hint="eastAsia"/>
          <w:rtl/>
        </w:rPr>
        <w:t>התיקים</w:t>
      </w:r>
      <w:r w:rsidRPr="006946D3">
        <w:rPr>
          <w:rFonts w:eastAsia="Calibri"/>
          <w:rtl/>
        </w:rPr>
        <w:t xml:space="preserve"> בין הפרקליטות לבין המשטרה קבועה </w:t>
      </w:r>
      <w:r w:rsidRPr="006946D3">
        <w:rPr>
          <w:rFonts w:eastAsia="Calibri" w:hint="eastAsia"/>
          <w:rtl/>
        </w:rPr>
        <w:t>בח</w:t>
      </w:r>
      <w:r w:rsidRPr="006946D3">
        <w:rPr>
          <w:rFonts w:eastAsia="Calibri" w:hint="cs"/>
          <w:rtl/>
        </w:rPr>
        <w:t>סד"פ, והיא מתבססת על חומרת העבירה</w:t>
      </w:r>
      <w:r w:rsidRPr="006946D3">
        <w:rPr>
          <w:rFonts w:eastAsia="Calibri"/>
          <w:vertAlign w:val="superscript"/>
          <w:rtl/>
        </w:rPr>
        <w:footnoteReference w:id="328"/>
      </w:r>
      <w:r w:rsidRPr="006946D3">
        <w:rPr>
          <w:rFonts w:eastAsia="Calibri" w:hint="cs"/>
          <w:rtl/>
        </w:rPr>
        <w:t>. בשנים 2020 - 2021 הגישה הפרקליטות בממוצע כ-4,300 כתבי אישום בשנה</w:t>
      </w:r>
      <w:r w:rsidRPr="006946D3">
        <w:rPr>
          <w:rFonts w:eastAsia="Calibri"/>
          <w:vertAlign w:val="superscript"/>
          <w:rtl/>
        </w:rPr>
        <w:footnoteReference w:id="329"/>
      </w:r>
      <w:r w:rsidRPr="006946D3">
        <w:rPr>
          <w:rFonts w:eastAsia="Calibri" w:hint="cs"/>
          <w:rtl/>
        </w:rPr>
        <w:t>. חטיבת התביעות מטפלת בכ-90% מהתיקים הפליליים בשנה, ובשנים 2020 - 2021 היא הגישה בממוצע כ-34,000 כתבי אישום בשנה</w:t>
      </w:r>
      <w:r w:rsidRPr="006946D3">
        <w:rPr>
          <w:rFonts w:eastAsia="Calibri"/>
          <w:vertAlign w:val="superscript"/>
          <w:rtl/>
        </w:rPr>
        <w:footnoteReference w:id="330"/>
      </w:r>
      <w:r w:rsidRPr="006946D3">
        <w:rPr>
          <w:rFonts w:eastAsia="Calibri" w:hint="cs"/>
          <w:rtl/>
        </w:rPr>
        <w:t>. מתחילת שנת 2020 עד אמצע שנת 2022 אישר הממונה על החסיונות במשרד לביטחון לאומי כ-20,000 תעודות חיסיון (כ-8,000 תעודות בשנה) וחתם עליהן.</w:t>
      </w:r>
    </w:p>
    <w:p w:rsidR="006946D3" w:rsidRPr="006946D3" w:rsidRDefault="006946D3" w:rsidP="00604C3D">
      <w:pPr>
        <w:spacing w:line="269" w:lineRule="auto"/>
        <w:ind w:left="-341"/>
        <w:rPr>
          <w:rFonts w:eastAsia="Calibri"/>
          <w:sz w:val="16"/>
          <w:szCs w:val="16"/>
        </w:rPr>
      </w:pPr>
    </w:p>
    <w:p w:rsidR="006946D3" w:rsidRPr="006946D3" w:rsidRDefault="006946D3" w:rsidP="008C598D">
      <w:pPr>
        <w:pStyle w:val="4"/>
        <w:numPr>
          <w:ilvl w:val="0"/>
          <w:numId w:val="57"/>
        </w:numPr>
        <w:spacing w:before="0" w:line="269" w:lineRule="auto"/>
        <w:ind w:left="423"/>
        <w:rPr>
          <w:rFonts w:ascii="David" w:eastAsia="Times New Roman" w:hAnsi="David"/>
          <w:sz w:val="24"/>
        </w:rPr>
      </w:pPr>
      <w:bookmarkStart w:id="662" w:name="_Toc211521968"/>
      <w:bookmarkStart w:id="663" w:name="_Toc219110359"/>
      <w:bookmarkStart w:id="664" w:name="_Toc219113800"/>
      <w:bookmarkStart w:id="665" w:name="_Toc219286575"/>
      <w:r w:rsidRPr="006946D3">
        <w:rPr>
          <w:rFonts w:eastAsia="Times New Roman" w:hint="cs"/>
          <w:rtl/>
        </w:rPr>
        <w:t>ה</w:t>
      </w:r>
      <w:r w:rsidRPr="006946D3">
        <w:rPr>
          <w:rFonts w:eastAsia="Times New Roman"/>
          <w:rtl/>
        </w:rPr>
        <w:t>ריכוז ו</w:t>
      </w:r>
      <w:r w:rsidRPr="006946D3">
        <w:rPr>
          <w:rFonts w:eastAsia="Times New Roman" w:hint="cs"/>
          <w:rtl/>
        </w:rPr>
        <w:t>ה</w:t>
      </w:r>
      <w:r w:rsidRPr="006946D3">
        <w:rPr>
          <w:rFonts w:eastAsia="Times New Roman"/>
          <w:rtl/>
        </w:rPr>
        <w:t>ניתוח של נתונים בדבר תעודות החיסיון שהוציאו גורמי התביעה</w:t>
      </w:r>
      <w:bookmarkEnd w:id="662"/>
      <w:bookmarkEnd w:id="663"/>
      <w:bookmarkEnd w:id="664"/>
      <w:bookmarkEnd w:id="665"/>
      <w:r w:rsidRPr="006946D3">
        <w:rPr>
          <w:rFonts w:ascii="David" w:eastAsia="Times New Roman" w:hAnsi="David" w:hint="cs"/>
          <w:sz w:val="24"/>
          <w:rtl/>
        </w:rPr>
        <w:t xml:space="preserve"> </w:t>
      </w:r>
    </w:p>
    <w:p w:rsidR="004B50FC" w:rsidRDefault="004B50FC" w:rsidP="00604C3D">
      <w:pPr>
        <w:spacing w:line="269" w:lineRule="auto"/>
        <w:ind w:left="-58"/>
        <w:rPr>
          <w:rFonts w:eastAsia="Calibri"/>
          <w:szCs w:val="20"/>
          <w:rtl/>
        </w:rPr>
      </w:pPr>
    </w:p>
    <w:p w:rsidR="006946D3" w:rsidRPr="006946D3" w:rsidRDefault="006946D3" w:rsidP="00E2380D">
      <w:pPr>
        <w:spacing w:line="269" w:lineRule="auto"/>
        <w:ind w:left="423"/>
        <w:rPr>
          <w:rFonts w:ascii="David" w:eastAsia="Calibri" w:hAnsi="David"/>
          <w:sz w:val="24"/>
          <w:rtl/>
        </w:rPr>
      </w:pPr>
      <w:r w:rsidRPr="006946D3">
        <w:rPr>
          <w:rFonts w:ascii="David" w:eastAsia="Calibri" w:hAnsi="David" w:hint="cs"/>
          <w:sz w:val="24"/>
          <w:rtl/>
        </w:rPr>
        <w:t>מסד נתונים המאפשר איתור וניתוח של נתונים הוא כלי ניהולי נחוץ בכל מערכת מקצועית העוסקת במסגרת פעילותה השוטפת בעניינים רגישים. בית המשפט העליון עמד בשנת 2016 על חשיבותו של מסד נתונים איכותי המסייע לבחון</w:t>
      </w:r>
      <w:r w:rsidR="00382AE8">
        <w:rPr>
          <w:rFonts w:ascii="David" w:eastAsia="Calibri" w:hAnsi="David" w:hint="cs"/>
          <w:sz w:val="24"/>
          <w:rtl/>
        </w:rPr>
        <w:t xml:space="preserve"> </w:t>
      </w:r>
      <w:r w:rsidRPr="006946D3">
        <w:rPr>
          <w:rFonts w:ascii="David" w:eastAsia="Calibri" w:hAnsi="David" w:hint="cs"/>
          <w:sz w:val="24"/>
          <w:rtl/>
        </w:rPr>
        <w:t>אם זכות כגון הזכות לשוויון נפגעה וכן תורם לשקיפות באופן כללי ובכך מאפשר דיון ציבורי בסוגיות חשובות</w:t>
      </w:r>
      <w:r w:rsidRPr="006946D3">
        <w:rPr>
          <w:rFonts w:ascii="David" w:eastAsia="Calibri" w:hAnsi="David"/>
          <w:sz w:val="24"/>
          <w:vertAlign w:val="superscript"/>
          <w:rtl/>
        </w:rPr>
        <w:footnoteReference w:id="331"/>
      </w:r>
      <w:r w:rsidRPr="006946D3">
        <w:rPr>
          <w:rFonts w:ascii="David" w:eastAsia="Calibri" w:hAnsi="David" w:hint="cs"/>
          <w:sz w:val="24"/>
          <w:rtl/>
        </w:rPr>
        <w:t>. מדור חסיונות, כאמור, מטפל בכלל הכנת תעודות החיסיון במשטרה. בהיעדר מסד נתונים ממוחשב במדור, צוות הביקורת קיבל ממנו נתונים הכוללים רק את מספר התיקים</w:t>
      </w:r>
      <w:r w:rsidRPr="006946D3">
        <w:rPr>
          <w:rFonts w:ascii="David" w:eastAsia="Calibri" w:hAnsi="David"/>
          <w:sz w:val="24"/>
          <w:vertAlign w:val="superscript"/>
          <w:rtl/>
        </w:rPr>
        <w:footnoteReference w:id="332"/>
      </w:r>
      <w:r w:rsidRPr="006946D3">
        <w:rPr>
          <w:rFonts w:ascii="David" w:eastAsia="Calibri" w:hAnsi="David" w:hint="cs"/>
          <w:sz w:val="24"/>
          <w:rtl/>
        </w:rPr>
        <w:t xml:space="preserve"> שטופלו בו בשנים 2018 </w:t>
      </w:r>
      <w:r w:rsidRPr="006946D3">
        <w:rPr>
          <w:rFonts w:ascii="David" w:eastAsia="Calibri" w:hAnsi="David"/>
          <w:sz w:val="24"/>
          <w:rtl/>
        </w:rPr>
        <w:t>-</w:t>
      </w:r>
      <w:r w:rsidRPr="006946D3">
        <w:rPr>
          <w:rFonts w:ascii="David" w:eastAsia="Calibri" w:hAnsi="David" w:hint="cs"/>
          <w:sz w:val="24"/>
          <w:rtl/>
        </w:rPr>
        <w:t xml:space="preserve"> 2022, בפילוח לפי גורמי התביעה, כמוצג בתרשים שלהלן.</w:t>
      </w:r>
    </w:p>
    <w:p w:rsidR="006946D3" w:rsidRPr="006946D3" w:rsidRDefault="006946D3" w:rsidP="00604C3D">
      <w:pPr>
        <w:spacing w:line="269" w:lineRule="auto"/>
        <w:rPr>
          <w:rFonts w:ascii="David" w:eastAsia="Calibri" w:hAnsi="David"/>
          <w:sz w:val="24"/>
          <w:rtl/>
        </w:rPr>
      </w:pPr>
    </w:p>
    <w:p w:rsidR="006946D3" w:rsidRPr="006946D3" w:rsidRDefault="006946D3" w:rsidP="00604C3D">
      <w:pPr>
        <w:keepNext/>
        <w:keepLines/>
        <w:spacing w:line="269" w:lineRule="auto"/>
        <w:jc w:val="center"/>
        <w:rPr>
          <w:rFonts w:ascii="David" w:eastAsia="Calibri" w:hAnsi="David"/>
          <w:b/>
          <w:bCs/>
          <w:sz w:val="24"/>
          <w:rtl/>
        </w:rPr>
      </w:pPr>
      <w:r w:rsidRPr="006946D3">
        <w:rPr>
          <w:rFonts w:eastAsia="Calibri" w:hint="eastAsia"/>
          <w:rtl/>
        </w:rPr>
        <w:t>תרשים</w:t>
      </w:r>
      <w:r w:rsidR="00423C43">
        <w:rPr>
          <w:rFonts w:eastAsia="Calibri" w:hint="cs"/>
          <w:rtl/>
        </w:rPr>
        <w:t xml:space="preserve"> 23</w:t>
      </w:r>
      <w:r w:rsidRPr="006946D3">
        <w:rPr>
          <w:rFonts w:eastAsia="Calibri"/>
          <w:rtl/>
        </w:rPr>
        <w:t>:</w:t>
      </w:r>
      <w:r w:rsidRPr="006946D3">
        <w:rPr>
          <w:rFonts w:ascii="David" w:eastAsia="Calibri" w:hAnsi="David" w:hint="cs"/>
          <w:b/>
          <w:bCs/>
          <w:sz w:val="24"/>
          <w:rtl/>
        </w:rPr>
        <w:t xml:space="preserve"> פילוח מספר התיקים שטופלו במדור חסיונות לפי גורמי התביעה, 2018 - 2022</w:t>
      </w:r>
    </w:p>
    <w:p w:rsidR="00423C43" w:rsidRDefault="00423C43" w:rsidP="00604C3D">
      <w:pPr>
        <w:spacing w:line="269" w:lineRule="auto"/>
        <w:rPr>
          <w:rFonts w:ascii="David" w:eastAsia="Calibri" w:hAnsi="David"/>
          <w:szCs w:val="20"/>
          <w:rtl/>
        </w:rPr>
      </w:pPr>
      <w:r>
        <w:rPr>
          <w:rFonts w:ascii="David" w:eastAsia="Calibri" w:hAnsi="David"/>
          <w:noProof/>
          <w:szCs w:val="20"/>
        </w:rPr>
        <w:drawing>
          <wp:inline distT="0" distB="0" distL="0" distR="0" wp14:anchorId="6907C72F" wp14:editId="58B6BC54">
            <wp:extent cx="5273675" cy="3072765"/>
            <wp:effectExtent l="0" t="0" r="317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675" cy="3072765"/>
                    </a:xfrm>
                    <a:prstGeom prst="rect">
                      <a:avLst/>
                    </a:prstGeom>
                    <a:noFill/>
                  </pic:spPr>
                </pic:pic>
              </a:graphicData>
            </a:graphic>
          </wp:inline>
        </w:drawing>
      </w:r>
    </w:p>
    <w:p w:rsidR="006946D3" w:rsidRPr="006946D3" w:rsidRDefault="006946D3" w:rsidP="00E2380D">
      <w:pPr>
        <w:spacing w:line="269" w:lineRule="auto"/>
        <w:ind w:left="720"/>
        <w:rPr>
          <w:rFonts w:ascii="David" w:eastAsia="Calibri" w:hAnsi="David"/>
          <w:szCs w:val="20"/>
          <w:rtl/>
        </w:rPr>
      </w:pPr>
      <w:r w:rsidRPr="006946D3">
        <w:rPr>
          <w:rFonts w:ascii="David" w:eastAsia="Calibri" w:hAnsi="David" w:hint="eastAsia"/>
          <w:szCs w:val="20"/>
          <w:rtl/>
        </w:rPr>
        <w:t>על</w:t>
      </w:r>
      <w:r w:rsidRPr="006946D3">
        <w:rPr>
          <w:rFonts w:ascii="David" w:eastAsia="Calibri" w:hAnsi="David"/>
          <w:szCs w:val="20"/>
          <w:rtl/>
        </w:rPr>
        <w:t xml:space="preserve"> </w:t>
      </w:r>
      <w:r w:rsidRPr="006946D3">
        <w:rPr>
          <w:rFonts w:ascii="David" w:eastAsia="Calibri" w:hAnsi="David" w:hint="eastAsia"/>
          <w:szCs w:val="20"/>
          <w:rtl/>
        </w:rPr>
        <w:t>פי</w:t>
      </w:r>
      <w:r w:rsidRPr="006946D3">
        <w:rPr>
          <w:rFonts w:ascii="David" w:eastAsia="Calibri" w:hAnsi="David"/>
          <w:szCs w:val="20"/>
          <w:rtl/>
        </w:rPr>
        <w:t xml:space="preserve"> </w:t>
      </w:r>
      <w:r w:rsidRPr="006946D3">
        <w:rPr>
          <w:rFonts w:ascii="David" w:eastAsia="Calibri" w:hAnsi="David" w:hint="eastAsia"/>
          <w:szCs w:val="20"/>
          <w:rtl/>
        </w:rPr>
        <w:t>נתוני</w:t>
      </w:r>
      <w:r w:rsidRPr="006946D3">
        <w:rPr>
          <w:rFonts w:ascii="David" w:eastAsia="Calibri" w:hAnsi="David"/>
          <w:szCs w:val="20"/>
          <w:rtl/>
        </w:rPr>
        <w:t xml:space="preserve"> </w:t>
      </w:r>
      <w:r w:rsidRPr="006946D3">
        <w:rPr>
          <w:rFonts w:ascii="David" w:eastAsia="Calibri" w:hAnsi="David" w:hint="eastAsia"/>
          <w:szCs w:val="20"/>
          <w:rtl/>
        </w:rPr>
        <w:t>מדור</w:t>
      </w:r>
      <w:r w:rsidRPr="006946D3">
        <w:rPr>
          <w:rFonts w:ascii="David" w:eastAsia="Calibri" w:hAnsi="David"/>
          <w:szCs w:val="20"/>
          <w:rtl/>
        </w:rPr>
        <w:t xml:space="preserve"> </w:t>
      </w:r>
      <w:r w:rsidRPr="006946D3">
        <w:rPr>
          <w:rFonts w:ascii="David" w:eastAsia="Calibri" w:hAnsi="David" w:hint="eastAsia"/>
          <w:szCs w:val="20"/>
          <w:rtl/>
        </w:rPr>
        <w:t>חסיונות</w:t>
      </w:r>
      <w:r w:rsidRPr="006946D3">
        <w:rPr>
          <w:rFonts w:ascii="David" w:eastAsia="Calibri" w:hAnsi="David"/>
          <w:szCs w:val="20"/>
          <w:rtl/>
        </w:rPr>
        <w:t xml:space="preserve"> </w:t>
      </w:r>
      <w:r w:rsidRPr="006946D3">
        <w:rPr>
          <w:rFonts w:ascii="David" w:eastAsia="Calibri" w:hAnsi="David" w:hint="eastAsia"/>
          <w:szCs w:val="20"/>
          <w:rtl/>
        </w:rPr>
        <w:t>במשטרה</w:t>
      </w:r>
      <w:r w:rsidRPr="006946D3">
        <w:rPr>
          <w:rFonts w:ascii="David" w:eastAsia="Calibri" w:hAnsi="David"/>
          <w:szCs w:val="20"/>
          <w:rtl/>
        </w:rPr>
        <w:t xml:space="preserve">, </w:t>
      </w:r>
      <w:r w:rsidRPr="006946D3">
        <w:rPr>
          <w:rFonts w:ascii="David" w:eastAsia="Calibri" w:hAnsi="David" w:hint="eastAsia"/>
          <w:szCs w:val="20"/>
          <w:rtl/>
        </w:rPr>
        <w:t>בעיבוד</w:t>
      </w:r>
      <w:r w:rsidRPr="006946D3">
        <w:rPr>
          <w:rFonts w:ascii="David" w:eastAsia="Calibri" w:hAnsi="David"/>
          <w:szCs w:val="20"/>
          <w:rtl/>
        </w:rPr>
        <w:t xml:space="preserve"> </w:t>
      </w:r>
      <w:r w:rsidRPr="006946D3">
        <w:rPr>
          <w:rFonts w:ascii="David" w:eastAsia="Calibri" w:hAnsi="David" w:hint="eastAsia"/>
          <w:szCs w:val="20"/>
          <w:rtl/>
        </w:rPr>
        <w:t>משרד</w:t>
      </w:r>
      <w:r w:rsidRPr="006946D3">
        <w:rPr>
          <w:rFonts w:ascii="David" w:eastAsia="Calibri" w:hAnsi="David"/>
          <w:szCs w:val="20"/>
          <w:rtl/>
        </w:rPr>
        <w:t xml:space="preserve"> </w:t>
      </w:r>
      <w:r w:rsidRPr="006946D3">
        <w:rPr>
          <w:rFonts w:ascii="David" w:eastAsia="Calibri" w:hAnsi="David" w:hint="eastAsia"/>
          <w:szCs w:val="20"/>
          <w:rtl/>
        </w:rPr>
        <w:t>מבקר</w:t>
      </w:r>
      <w:r w:rsidRPr="006946D3">
        <w:rPr>
          <w:rFonts w:ascii="David" w:eastAsia="Calibri" w:hAnsi="David"/>
          <w:szCs w:val="20"/>
          <w:rtl/>
        </w:rPr>
        <w:t xml:space="preserve"> </w:t>
      </w:r>
      <w:r w:rsidRPr="006946D3">
        <w:rPr>
          <w:rFonts w:ascii="David" w:eastAsia="Calibri" w:hAnsi="David" w:hint="eastAsia"/>
          <w:szCs w:val="20"/>
          <w:rtl/>
        </w:rPr>
        <w:t>המדינה</w:t>
      </w:r>
      <w:r w:rsidRPr="006946D3">
        <w:rPr>
          <w:rFonts w:ascii="David" w:eastAsia="Calibri" w:hAnsi="David"/>
          <w:szCs w:val="20"/>
          <w:rtl/>
        </w:rPr>
        <w:t>.</w:t>
      </w:r>
    </w:p>
    <w:p w:rsidR="006946D3" w:rsidRPr="006946D3" w:rsidRDefault="006946D3" w:rsidP="00E2380D">
      <w:pPr>
        <w:spacing w:line="269" w:lineRule="auto"/>
        <w:ind w:left="720"/>
        <w:rPr>
          <w:rFonts w:ascii="David" w:eastAsia="Calibri" w:hAnsi="David"/>
          <w:szCs w:val="20"/>
          <w:rtl/>
        </w:rPr>
      </w:pPr>
      <w:r w:rsidRPr="006946D3">
        <w:rPr>
          <w:rFonts w:ascii="David" w:eastAsia="Calibri" w:hAnsi="David" w:hint="cs"/>
          <w:szCs w:val="20"/>
          <w:rtl/>
        </w:rPr>
        <w:t>* גורמי תביעה בגופים אחרים כגון רשות המיסים ורשות הטבע והגנים.</w:t>
      </w:r>
    </w:p>
    <w:p w:rsidR="004B50FC" w:rsidRDefault="004B50FC" w:rsidP="00E2380D">
      <w:pPr>
        <w:spacing w:line="269" w:lineRule="auto"/>
        <w:ind w:left="720"/>
        <w:rPr>
          <w:rFonts w:eastAsia="Calibri"/>
          <w:sz w:val="16"/>
          <w:szCs w:val="16"/>
          <w:rtl/>
        </w:rPr>
      </w:pPr>
    </w:p>
    <w:p w:rsidR="006946D3" w:rsidRPr="006946D3" w:rsidRDefault="006946D3" w:rsidP="00E2380D">
      <w:pPr>
        <w:spacing w:line="269" w:lineRule="auto"/>
        <w:ind w:left="423"/>
        <w:rPr>
          <w:rFonts w:ascii="David" w:eastAsia="Calibri" w:hAnsi="David"/>
          <w:b/>
          <w:bCs/>
          <w:sz w:val="24"/>
          <w:rtl/>
        </w:rPr>
      </w:pPr>
      <w:r w:rsidRPr="006946D3">
        <w:rPr>
          <w:rFonts w:ascii="David" w:eastAsia="Calibri" w:hAnsi="David" w:hint="cs"/>
          <w:sz w:val="24"/>
          <w:rtl/>
        </w:rPr>
        <w:t xml:space="preserve">מהתרשים עולה כי מדור חסיונות במשטרה טיפל בכל אחת מהשנים 2018 - 2022 בממוצע </w:t>
      </w:r>
      <w:r w:rsidRPr="006946D3">
        <w:rPr>
          <w:rFonts w:ascii="David" w:eastAsia="Calibri" w:hAnsi="David"/>
          <w:sz w:val="24"/>
          <w:rtl/>
        </w:rPr>
        <w:br/>
      </w:r>
      <w:r w:rsidRPr="006946D3">
        <w:rPr>
          <w:rFonts w:ascii="David" w:eastAsia="Calibri" w:hAnsi="David" w:hint="cs"/>
          <w:sz w:val="24"/>
          <w:rtl/>
        </w:rPr>
        <w:t>בכ-7,850 תיקי חסיונות, כ-6,000 (76%)</w:t>
      </w:r>
      <w:r w:rsidRPr="006946D3">
        <w:rPr>
          <w:rFonts w:ascii="David" w:eastAsia="Calibri" w:hAnsi="David" w:hint="cs"/>
          <w:sz w:val="24"/>
        </w:rPr>
        <w:t xml:space="preserve"> </w:t>
      </w:r>
      <w:r w:rsidRPr="006946D3">
        <w:rPr>
          <w:rFonts w:ascii="David" w:eastAsia="Calibri" w:hAnsi="David" w:hint="cs"/>
          <w:sz w:val="24"/>
          <w:rtl/>
        </w:rPr>
        <w:t>מהם תיקים של חטיבת התביעות, כ-1,800 (23%) תיקים של הפרקליטות וכ-70 (1%) תיקים שמקורם בגורמי תביעה אחרים</w:t>
      </w:r>
      <w:r w:rsidRPr="006946D3">
        <w:rPr>
          <w:rFonts w:ascii="David" w:eastAsia="Calibri" w:hAnsi="David"/>
          <w:sz w:val="24"/>
          <w:vertAlign w:val="superscript"/>
          <w:rtl/>
        </w:rPr>
        <w:footnoteReference w:id="333"/>
      </w:r>
      <w:r w:rsidRPr="006946D3">
        <w:rPr>
          <w:rFonts w:ascii="David" w:eastAsia="Calibri" w:hAnsi="David" w:hint="cs"/>
          <w:sz w:val="24"/>
          <w:rtl/>
        </w:rPr>
        <w:t xml:space="preserve">. </w:t>
      </w:r>
    </w:p>
    <w:p w:rsidR="004B50FC" w:rsidRDefault="004B50FC" w:rsidP="00E2380D">
      <w:pPr>
        <w:spacing w:line="269" w:lineRule="auto"/>
        <w:ind w:left="720"/>
        <w:rPr>
          <w:rFonts w:eastAsia="Calibri"/>
          <w:sz w:val="16"/>
          <w:szCs w:val="16"/>
          <w:rtl/>
        </w:rPr>
      </w:pPr>
      <w:bookmarkStart w:id="666" w:name="_Hlk147755982"/>
    </w:p>
    <w:p w:rsidR="006946D3" w:rsidRDefault="006946D3" w:rsidP="00E2380D">
      <w:pPr>
        <w:spacing w:line="269" w:lineRule="auto"/>
        <w:ind w:left="423"/>
        <w:rPr>
          <w:rFonts w:ascii="David" w:eastAsia="Calibri" w:hAnsi="David"/>
          <w:b/>
          <w:bCs/>
          <w:sz w:val="24"/>
          <w:rtl/>
        </w:rPr>
      </w:pPr>
      <w:r w:rsidRPr="006946D3">
        <w:rPr>
          <w:rFonts w:ascii="David" w:eastAsia="Calibri" w:hAnsi="David" w:hint="cs"/>
          <w:b/>
          <w:bCs/>
          <w:sz w:val="24"/>
          <w:rtl/>
        </w:rPr>
        <w:t xml:space="preserve">נמצא כי המשרד לביטחון לאומי, המשטרה ומשרד המשפטים לא ריכזו וניתחו נתונים בדבר תעודות החיסיון שהוצאו, ובכלל זה נתונים על מספר התעודות שהוצאו, על העבירות שעליהן נסבו התיקים שבהם הוצאו תעודות החיסיון ועל גורם התביעה שהוציא את תעודות החיסיון (התביעה המשטרתית, הפרקליטות או גורם אחר). עוד עלה כי המידע בתחום זה אינו נשמר כמסד נתונים במערכת ממוחשבת באופן המאפשר לנתחו ולעקוב אחר הנתונים והמגמות בעניינו. </w:t>
      </w:r>
    </w:p>
    <w:p w:rsidR="00E2380D" w:rsidRPr="006946D3" w:rsidRDefault="00E2380D" w:rsidP="00E2380D">
      <w:pPr>
        <w:spacing w:line="269" w:lineRule="auto"/>
        <w:ind w:left="423"/>
        <w:rPr>
          <w:rFonts w:ascii="David" w:eastAsia="Calibri" w:hAnsi="David"/>
          <w:b/>
          <w:bCs/>
          <w:sz w:val="24"/>
          <w:rtl/>
        </w:rPr>
      </w:pPr>
    </w:p>
    <w:p w:rsidR="006946D3" w:rsidRPr="006946D3" w:rsidRDefault="006946D3" w:rsidP="00E2380D">
      <w:pPr>
        <w:spacing w:line="269" w:lineRule="auto"/>
        <w:ind w:left="423"/>
        <w:rPr>
          <w:rFonts w:ascii="David" w:eastAsia="Calibri" w:hAnsi="David"/>
          <w:b/>
          <w:bCs/>
          <w:sz w:val="24"/>
          <w:rtl/>
        </w:rPr>
      </w:pPr>
      <w:r w:rsidRPr="006946D3">
        <w:rPr>
          <w:rFonts w:ascii="David" w:eastAsia="Calibri" w:hAnsi="David"/>
          <w:b/>
          <w:bCs/>
          <w:sz w:val="24"/>
          <w:rtl/>
        </w:rPr>
        <w:t xml:space="preserve">איסוף הנתונים, עיבודם וניתוחם </w:t>
      </w:r>
      <w:r w:rsidRPr="006946D3">
        <w:rPr>
          <w:rFonts w:ascii="David" w:eastAsia="Calibri" w:hAnsi="David" w:hint="cs"/>
          <w:b/>
          <w:bCs/>
          <w:sz w:val="24"/>
          <w:rtl/>
        </w:rPr>
        <w:t>יש בהם כדי להבטיח שהוצאת תעודות חיסיון לא תפגע בזכותם של הנאשמים להליך פלילי הוגן. כמו כן ניתוח הנתונים והמגמות בתחום זה י</w:t>
      </w:r>
      <w:r w:rsidRPr="006946D3">
        <w:rPr>
          <w:rFonts w:ascii="David" w:eastAsia="Calibri" w:hAnsi="David"/>
          <w:b/>
          <w:bCs/>
          <w:sz w:val="24"/>
          <w:rtl/>
        </w:rPr>
        <w:t>אפשר קיום דיון ציבורי בנושא.</w:t>
      </w:r>
    </w:p>
    <w:bookmarkEnd w:id="666"/>
    <w:p w:rsidR="004B50FC" w:rsidRDefault="004B50FC" w:rsidP="00E2380D">
      <w:pPr>
        <w:spacing w:line="269" w:lineRule="auto"/>
        <w:ind w:left="423"/>
        <w:rPr>
          <w:rFonts w:eastAsia="Calibri"/>
          <w:sz w:val="16"/>
          <w:szCs w:val="16"/>
          <w:rtl/>
        </w:rPr>
      </w:pPr>
    </w:p>
    <w:p w:rsidR="006946D3" w:rsidRPr="006946D3" w:rsidRDefault="006946D3" w:rsidP="00E2380D">
      <w:pPr>
        <w:spacing w:line="269" w:lineRule="auto"/>
        <w:ind w:left="423"/>
        <w:rPr>
          <w:rFonts w:ascii="David" w:eastAsia="Calibri" w:hAnsi="David"/>
          <w:b/>
          <w:bCs/>
          <w:sz w:val="24"/>
          <w:rtl/>
        </w:rPr>
      </w:pPr>
      <w:r w:rsidRPr="006946D3">
        <w:rPr>
          <w:rFonts w:ascii="David" w:eastAsia="Calibri" w:hAnsi="David" w:hint="cs"/>
          <w:b/>
          <w:bCs/>
          <w:sz w:val="24"/>
          <w:rtl/>
        </w:rPr>
        <w:t xml:space="preserve">מוצע כי המשטרה והמשרד לביטחון לאומי יקימו וינהלו מסד נתונים ממוחשב מלא ואמין שבו ירוכז כל המידע בדבר תעודות החיסיון שהוצאו, סוגי החסיונות, העבירות שעליהן נסבו התיקים שבהם הוצאו תעודות החיסיון ונתונים על גורמי התביעה שהוציאו את התעודות. מסד נתונים זה יוכל לשמש את מקבלי ההחלטות בתחום במדור חסיונות באח"ם, את הממונה על החסיונות במשרד לביטחון לאומי ואת פרקליטי המחוזות. </w:t>
      </w:r>
    </w:p>
    <w:p w:rsidR="006946D3" w:rsidRPr="006946D3" w:rsidRDefault="006946D3" w:rsidP="00E2380D">
      <w:pPr>
        <w:spacing w:line="269" w:lineRule="auto"/>
        <w:ind w:left="423"/>
        <w:rPr>
          <w:rFonts w:ascii="David" w:eastAsia="Calibri" w:hAnsi="David"/>
          <w:sz w:val="24"/>
          <w:rtl/>
        </w:rPr>
      </w:pPr>
    </w:p>
    <w:p w:rsidR="006946D3" w:rsidRDefault="006946D3" w:rsidP="00E2380D">
      <w:pPr>
        <w:spacing w:line="269" w:lineRule="auto"/>
        <w:ind w:left="423"/>
        <w:rPr>
          <w:rFonts w:ascii="David" w:eastAsia="Calibri" w:hAnsi="David"/>
          <w:sz w:val="24"/>
          <w:rtl/>
        </w:rPr>
      </w:pPr>
      <w:r w:rsidRPr="006946D3">
        <w:rPr>
          <w:rFonts w:ascii="David" w:eastAsia="Calibri" w:hAnsi="David" w:hint="cs"/>
          <w:sz w:val="24"/>
          <w:rtl/>
        </w:rPr>
        <w:t>המשטרה כתבה בתשובתה כי המידע בתחום זה נשמר כמסד נתונים פנימי וממוחשב אשר אינו מתממשק עם מערכות אחרות של המשטרה, וכי בימים אלה היא מפתחת (במדור טכנולוגיות) מערכת טכנולוגית חדשה (שגרסה ראשונה שלה צפויה לעלות בשנת 2025) שתסנכרן בין המערכות השונות במשטרה ותפיק את רשימת כל החומר ואת תעודת החיסיון הממוחשבת.</w:t>
      </w:r>
    </w:p>
    <w:p w:rsidR="00F90435" w:rsidRDefault="00F90435" w:rsidP="00E2380D">
      <w:pPr>
        <w:spacing w:line="269" w:lineRule="auto"/>
        <w:ind w:left="423"/>
        <w:rPr>
          <w:rFonts w:ascii="David" w:eastAsia="Calibri" w:hAnsi="David"/>
          <w:sz w:val="24"/>
          <w:rtl/>
        </w:rPr>
      </w:pPr>
      <w:r>
        <w:rPr>
          <w:rFonts w:ascii="David" w:eastAsia="Calibri" w:hAnsi="David" w:hint="cs"/>
          <w:sz w:val="24"/>
          <w:rtl/>
        </w:rPr>
        <w:t xml:space="preserve">השר לביטחון </w:t>
      </w:r>
      <w:r w:rsidR="007A1868">
        <w:rPr>
          <w:rFonts w:ascii="David" w:eastAsia="Calibri" w:hAnsi="David" w:hint="cs"/>
          <w:sz w:val="24"/>
          <w:rtl/>
        </w:rPr>
        <w:t xml:space="preserve">לאומי </w:t>
      </w:r>
      <w:r>
        <w:rPr>
          <w:rFonts w:ascii="David" w:eastAsia="Calibri" w:hAnsi="David" w:hint="cs"/>
          <w:sz w:val="24"/>
          <w:rtl/>
        </w:rPr>
        <w:t>כתב בתשובתו ממאי 2025 כי המשטרה מפתחת מערכת טכנולוגית חדשה שתפיק את כל החומר ואת תעוד</w:t>
      </w:r>
      <w:r w:rsidR="00F13FB7">
        <w:rPr>
          <w:rFonts w:ascii="David" w:eastAsia="Calibri" w:hAnsi="David" w:hint="cs"/>
          <w:sz w:val="24"/>
          <w:rtl/>
        </w:rPr>
        <w:t>ת החיסיון באופן ממוחשב. יחד עם זאת יש להדגיש כי תעודות חיסיון מוצאות בכל מקרה ומקרה לגופו, בהתאם לעובדות הספציפיות של המקרה וחומרי החקירה הקונקרטיים.</w:t>
      </w:r>
    </w:p>
    <w:p w:rsidR="006946D3" w:rsidRPr="006946D3" w:rsidRDefault="006946D3" w:rsidP="00604C3D">
      <w:pPr>
        <w:spacing w:line="269" w:lineRule="auto"/>
        <w:rPr>
          <w:rFonts w:ascii="David" w:eastAsia="Calibri" w:hAnsi="David"/>
          <w:b/>
          <w:bCs/>
          <w:sz w:val="24"/>
          <w:rtl/>
        </w:rPr>
      </w:pPr>
    </w:p>
    <w:p w:rsidR="006946D3" w:rsidRPr="006946D3" w:rsidRDefault="006946D3" w:rsidP="008C598D">
      <w:pPr>
        <w:pStyle w:val="4"/>
        <w:numPr>
          <w:ilvl w:val="0"/>
          <w:numId w:val="57"/>
        </w:numPr>
        <w:spacing w:before="0" w:line="269" w:lineRule="auto"/>
        <w:ind w:left="423"/>
        <w:rPr>
          <w:rFonts w:eastAsia="Times New Roman"/>
          <w:bCs w:val="0"/>
          <w:rtl/>
        </w:rPr>
      </w:pPr>
      <w:bookmarkStart w:id="667" w:name="_Toc211521969"/>
      <w:bookmarkStart w:id="668" w:name="_Toc219110360"/>
      <w:bookmarkStart w:id="669" w:name="_Toc219113801"/>
      <w:bookmarkStart w:id="670" w:name="_Toc219286576"/>
      <w:r w:rsidRPr="00901ED7">
        <w:rPr>
          <w:rFonts w:eastAsia="Times New Roman" w:hint="eastAsia"/>
          <w:rtl/>
        </w:rPr>
        <w:t>נתונים</w:t>
      </w:r>
      <w:r w:rsidRPr="00901ED7">
        <w:rPr>
          <w:rFonts w:eastAsia="Times New Roman"/>
          <w:rtl/>
        </w:rPr>
        <w:t xml:space="preserve"> </w:t>
      </w:r>
      <w:r w:rsidRPr="00901ED7">
        <w:rPr>
          <w:rFonts w:eastAsia="Times New Roman" w:hint="eastAsia"/>
          <w:rtl/>
        </w:rPr>
        <w:t>בדבר</w:t>
      </w:r>
      <w:r w:rsidRPr="00901ED7">
        <w:rPr>
          <w:rFonts w:eastAsia="Times New Roman"/>
          <w:rtl/>
        </w:rPr>
        <w:t xml:space="preserve"> </w:t>
      </w:r>
      <w:r w:rsidRPr="00901ED7">
        <w:rPr>
          <w:rFonts w:eastAsia="Times New Roman" w:hint="eastAsia"/>
          <w:rtl/>
        </w:rPr>
        <w:t>השימוש</w:t>
      </w:r>
      <w:r w:rsidRPr="00901ED7">
        <w:rPr>
          <w:rFonts w:eastAsia="Times New Roman"/>
          <w:rtl/>
        </w:rPr>
        <w:t xml:space="preserve"> </w:t>
      </w:r>
      <w:r w:rsidRPr="00901ED7">
        <w:rPr>
          <w:rFonts w:eastAsia="Times New Roman" w:hint="eastAsia"/>
          <w:rtl/>
        </w:rPr>
        <w:t>שעשו</w:t>
      </w:r>
      <w:r w:rsidRPr="00901ED7">
        <w:rPr>
          <w:rFonts w:eastAsia="Times New Roman"/>
          <w:rtl/>
        </w:rPr>
        <w:t xml:space="preserve"> </w:t>
      </w:r>
      <w:r w:rsidRPr="00901ED7">
        <w:rPr>
          <w:rFonts w:eastAsia="Times New Roman" w:hint="eastAsia"/>
          <w:rtl/>
        </w:rPr>
        <w:t>הפרקליטות</w:t>
      </w:r>
      <w:r w:rsidRPr="00901ED7">
        <w:rPr>
          <w:rFonts w:eastAsia="Times New Roman"/>
          <w:rtl/>
        </w:rPr>
        <w:t xml:space="preserve"> </w:t>
      </w:r>
      <w:r w:rsidRPr="00901ED7">
        <w:rPr>
          <w:rFonts w:eastAsia="Times New Roman" w:hint="eastAsia"/>
          <w:rtl/>
        </w:rPr>
        <w:t>והמשטרה</w:t>
      </w:r>
      <w:r w:rsidRPr="00901ED7">
        <w:rPr>
          <w:rFonts w:eastAsia="Times New Roman"/>
          <w:rtl/>
        </w:rPr>
        <w:t xml:space="preserve"> </w:t>
      </w:r>
      <w:r w:rsidRPr="00901ED7">
        <w:rPr>
          <w:rFonts w:eastAsia="Times New Roman" w:hint="eastAsia"/>
          <w:rtl/>
        </w:rPr>
        <w:t>בתעודות</w:t>
      </w:r>
      <w:r w:rsidRPr="00901ED7">
        <w:rPr>
          <w:rFonts w:eastAsia="Times New Roman"/>
          <w:rtl/>
        </w:rPr>
        <w:t xml:space="preserve"> </w:t>
      </w:r>
      <w:r w:rsidRPr="00901ED7">
        <w:rPr>
          <w:rFonts w:eastAsia="Times New Roman" w:hint="eastAsia"/>
          <w:rtl/>
        </w:rPr>
        <w:t>ח</w:t>
      </w:r>
      <w:r w:rsidRPr="00901ED7">
        <w:rPr>
          <w:rFonts w:eastAsia="Times New Roman" w:hint="cs"/>
          <w:rtl/>
        </w:rPr>
        <w:t>י</w:t>
      </w:r>
      <w:r w:rsidRPr="00901ED7">
        <w:rPr>
          <w:rFonts w:eastAsia="Times New Roman" w:hint="eastAsia"/>
          <w:rtl/>
        </w:rPr>
        <w:t>סיון</w:t>
      </w:r>
      <w:r w:rsidRPr="00901ED7">
        <w:rPr>
          <w:rFonts w:eastAsia="Times New Roman"/>
          <w:rtl/>
        </w:rPr>
        <w:t xml:space="preserve"> </w:t>
      </w:r>
      <w:r w:rsidRPr="00901ED7">
        <w:rPr>
          <w:rFonts w:eastAsia="Times New Roman" w:hint="eastAsia"/>
          <w:rtl/>
        </w:rPr>
        <w:t>במסגרת</w:t>
      </w:r>
      <w:r w:rsidRPr="00901ED7">
        <w:rPr>
          <w:rFonts w:eastAsia="Times New Roman"/>
          <w:rtl/>
        </w:rPr>
        <w:t xml:space="preserve"> </w:t>
      </w:r>
      <w:r w:rsidRPr="00901ED7">
        <w:rPr>
          <w:rFonts w:eastAsia="Times New Roman" w:hint="eastAsia"/>
          <w:rtl/>
        </w:rPr>
        <w:t>כתבי</w:t>
      </w:r>
      <w:r w:rsidRPr="00901ED7">
        <w:rPr>
          <w:rFonts w:eastAsia="Times New Roman"/>
          <w:rtl/>
        </w:rPr>
        <w:t xml:space="preserve"> </w:t>
      </w:r>
      <w:r w:rsidRPr="00901ED7">
        <w:rPr>
          <w:rFonts w:eastAsia="Times New Roman" w:hint="eastAsia"/>
          <w:rtl/>
        </w:rPr>
        <w:t>אישום</w:t>
      </w:r>
      <w:r w:rsidRPr="00901ED7">
        <w:rPr>
          <w:rFonts w:eastAsia="Times New Roman"/>
          <w:rtl/>
        </w:rPr>
        <w:t xml:space="preserve"> </w:t>
      </w:r>
      <w:r w:rsidRPr="00901ED7">
        <w:rPr>
          <w:rFonts w:eastAsia="Times New Roman" w:hint="eastAsia"/>
          <w:rtl/>
        </w:rPr>
        <w:t>ש</w:t>
      </w:r>
      <w:r w:rsidRPr="00901ED7">
        <w:rPr>
          <w:rFonts w:eastAsia="Times New Roman" w:hint="cs"/>
          <w:rtl/>
        </w:rPr>
        <w:t xml:space="preserve">הן </w:t>
      </w:r>
      <w:r w:rsidRPr="00901ED7">
        <w:rPr>
          <w:rFonts w:eastAsia="Times New Roman" w:hint="eastAsia"/>
          <w:rtl/>
        </w:rPr>
        <w:t>הגישו</w:t>
      </w:r>
      <w:r w:rsidRPr="00901ED7">
        <w:rPr>
          <w:rFonts w:eastAsia="Times New Roman"/>
          <w:rtl/>
        </w:rPr>
        <w:t xml:space="preserve"> </w:t>
      </w:r>
      <w:r w:rsidRPr="00901ED7">
        <w:rPr>
          <w:rFonts w:eastAsia="Times New Roman" w:hint="eastAsia"/>
          <w:rtl/>
        </w:rPr>
        <w:t>לבתי</w:t>
      </w:r>
      <w:r w:rsidRPr="00901ED7">
        <w:rPr>
          <w:rFonts w:eastAsia="Times New Roman"/>
          <w:rtl/>
        </w:rPr>
        <w:t xml:space="preserve"> </w:t>
      </w:r>
      <w:r w:rsidRPr="00901ED7">
        <w:rPr>
          <w:rFonts w:eastAsia="Times New Roman" w:hint="cs"/>
          <w:rtl/>
        </w:rPr>
        <w:t>ה</w:t>
      </w:r>
      <w:r w:rsidRPr="00901ED7">
        <w:rPr>
          <w:rFonts w:eastAsia="Times New Roman" w:hint="eastAsia"/>
          <w:rtl/>
        </w:rPr>
        <w:t>משפט</w:t>
      </w:r>
      <w:bookmarkEnd w:id="667"/>
      <w:bookmarkEnd w:id="668"/>
      <w:bookmarkEnd w:id="669"/>
      <w:bookmarkEnd w:id="670"/>
    </w:p>
    <w:p w:rsidR="004B50FC" w:rsidRDefault="004B50FC" w:rsidP="00604C3D">
      <w:pPr>
        <w:spacing w:line="269" w:lineRule="auto"/>
        <w:rPr>
          <w:rFonts w:eastAsia="Calibri"/>
          <w:szCs w:val="20"/>
          <w:rtl/>
        </w:rPr>
      </w:pPr>
    </w:p>
    <w:p w:rsidR="006946D3" w:rsidRPr="006946D3" w:rsidRDefault="006946D3" w:rsidP="00E2380D">
      <w:pPr>
        <w:spacing w:line="269" w:lineRule="auto"/>
        <w:ind w:left="423"/>
        <w:rPr>
          <w:rFonts w:ascii="David" w:eastAsia="Calibri" w:hAnsi="David"/>
          <w:sz w:val="24"/>
          <w:rtl/>
        </w:rPr>
      </w:pPr>
      <w:r w:rsidRPr="006946D3">
        <w:rPr>
          <w:rFonts w:ascii="David" w:eastAsia="Calibri" w:hAnsi="David" w:hint="eastAsia"/>
          <w:sz w:val="24"/>
          <w:rtl/>
        </w:rPr>
        <w:t>בכל</w:t>
      </w:r>
      <w:r w:rsidRPr="006946D3">
        <w:rPr>
          <w:rFonts w:ascii="David" w:eastAsia="Calibri" w:hAnsi="David"/>
          <w:sz w:val="24"/>
          <w:rtl/>
        </w:rPr>
        <w:t xml:space="preserve"> </w:t>
      </w:r>
      <w:r w:rsidRPr="006946D3">
        <w:rPr>
          <w:rFonts w:ascii="David" w:eastAsia="Calibri" w:hAnsi="David" w:hint="eastAsia"/>
          <w:sz w:val="24"/>
          <w:rtl/>
        </w:rPr>
        <w:t>תיק</w:t>
      </w:r>
      <w:r w:rsidRPr="006946D3">
        <w:rPr>
          <w:rFonts w:ascii="David" w:eastAsia="Calibri" w:hAnsi="David"/>
          <w:sz w:val="24"/>
          <w:rtl/>
        </w:rPr>
        <w:t xml:space="preserve"> </w:t>
      </w:r>
      <w:r w:rsidRPr="006946D3">
        <w:rPr>
          <w:rFonts w:ascii="David" w:eastAsia="Calibri" w:hAnsi="David" w:hint="eastAsia"/>
          <w:sz w:val="24"/>
          <w:rtl/>
        </w:rPr>
        <w:t>שבו</w:t>
      </w:r>
      <w:r w:rsidRPr="006946D3">
        <w:rPr>
          <w:rFonts w:ascii="David" w:eastAsia="Calibri" w:hAnsi="David"/>
          <w:sz w:val="24"/>
          <w:rtl/>
        </w:rPr>
        <w:t xml:space="preserve"> </w:t>
      </w:r>
      <w:r w:rsidRPr="006946D3">
        <w:rPr>
          <w:rFonts w:ascii="David" w:eastAsia="Calibri" w:hAnsi="David" w:hint="eastAsia"/>
          <w:sz w:val="24"/>
          <w:rtl/>
        </w:rPr>
        <w:t>נעשה</w:t>
      </w:r>
      <w:r w:rsidRPr="006946D3">
        <w:rPr>
          <w:rFonts w:ascii="David" w:eastAsia="Calibri" w:hAnsi="David"/>
          <w:sz w:val="24"/>
          <w:rtl/>
        </w:rPr>
        <w:t xml:space="preserve"> </w:t>
      </w:r>
      <w:r w:rsidRPr="006946D3">
        <w:rPr>
          <w:rFonts w:ascii="David" w:eastAsia="Calibri" w:hAnsi="David" w:hint="eastAsia"/>
          <w:sz w:val="24"/>
          <w:rtl/>
        </w:rPr>
        <w:t>שימוש</w:t>
      </w:r>
      <w:r w:rsidRPr="006946D3">
        <w:rPr>
          <w:rFonts w:ascii="David" w:eastAsia="Calibri" w:hAnsi="David"/>
          <w:sz w:val="24"/>
          <w:rtl/>
        </w:rPr>
        <w:t xml:space="preserve"> </w:t>
      </w:r>
      <w:r w:rsidRPr="006946D3">
        <w:rPr>
          <w:rFonts w:ascii="David" w:eastAsia="Calibri" w:hAnsi="David" w:hint="eastAsia"/>
          <w:sz w:val="24"/>
          <w:rtl/>
        </w:rPr>
        <w:t>בהאזנת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ונדרש</w:t>
      </w:r>
      <w:r w:rsidRPr="006946D3">
        <w:rPr>
          <w:rFonts w:ascii="David" w:eastAsia="Calibri" w:hAnsi="David"/>
          <w:sz w:val="24"/>
          <w:rtl/>
        </w:rPr>
        <w:t xml:space="preserve"> </w:t>
      </w:r>
      <w:r w:rsidRPr="006946D3">
        <w:rPr>
          <w:rFonts w:ascii="David" w:eastAsia="Calibri" w:hAnsi="David" w:hint="eastAsia"/>
          <w:sz w:val="24"/>
          <w:rtl/>
        </w:rPr>
        <w:t>לחסות</w:t>
      </w:r>
      <w:r w:rsidRPr="006946D3">
        <w:rPr>
          <w:rFonts w:ascii="David" w:eastAsia="Calibri" w:hAnsi="David"/>
          <w:sz w:val="24"/>
          <w:rtl/>
        </w:rPr>
        <w:t xml:space="preserve"> </w:t>
      </w:r>
      <w:r w:rsidRPr="006946D3">
        <w:rPr>
          <w:rFonts w:ascii="David" w:eastAsia="Calibri" w:hAnsi="David" w:hint="eastAsia"/>
          <w:sz w:val="24"/>
          <w:rtl/>
        </w:rPr>
        <w:t>את</w:t>
      </w:r>
      <w:r w:rsidRPr="006946D3">
        <w:rPr>
          <w:rFonts w:ascii="David" w:eastAsia="Calibri" w:hAnsi="David"/>
          <w:sz w:val="24"/>
          <w:rtl/>
        </w:rPr>
        <w:t xml:space="preserve"> </w:t>
      </w:r>
      <w:r w:rsidRPr="006946D3">
        <w:rPr>
          <w:rFonts w:ascii="David" w:eastAsia="Calibri" w:hAnsi="David" w:hint="eastAsia"/>
          <w:sz w:val="24"/>
          <w:rtl/>
        </w:rPr>
        <w:t>שיטת</w:t>
      </w:r>
      <w:r w:rsidRPr="006946D3">
        <w:rPr>
          <w:rFonts w:ascii="David" w:eastAsia="Calibri" w:hAnsi="David"/>
          <w:sz w:val="24"/>
          <w:rtl/>
        </w:rPr>
        <w:t xml:space="preserve"> </w:t>
      </w:r>
      <w:r w:rsidRPr="006946D3">
        <w:rPr>
          <w:rFonts w:ascii="David" w:eastAsia="Calibri" w:hAnsi="David" w:hint="eastAsia"/>
          <w:sz w:val="24"/>
          <w:rtl/>
        </w:rPr>
        <w:t>ההאזנה</w:t>
      </w:r>
      <w:r w:rsidRPr="006946D3">
        <w:rPr>
          <w:rFonts w:ascii="David" w:eastAsia="Calibri" w:hAnsi="David"/>
          <w:sz w:val="24"/>
          <w:rtl/>
        </w:rPr>
        <w:t xml:space="preserve"> </w:t>
      </w:r>
      <w:r w:rsidRPr="006946D3">
        <w:rPr>
          <w:rFonts w:ascii="David" w:eastAsia="Calibri" w:hAnsi="David" w:hint="eastAsia"/>
          <w:sz w:val="24"/>
          <w:rtl/>
        </w:rPr>
        <w:t>ואת</w:t>
      </w:r>
      <w:r w:rsidRPr="006946D3">
        <w:rPr>
          <w:rFonts w:ascii="David" w:eastAsia="Calibri" w:hAnsi="David"/>
          <w:sz w:val="24"/>
          <w:rtl/>
        </w:rPr>
        <w:t xml:space="preserve"> </w:t>
      </w:r>
      <w:r w:rsidRPr="006946D3">
        <w:rPr>
          <w:rFonts w:ascii="David" w:eastAsia="Calibri" w:hAnsi="David" w:hint="eastAsia"/>
          <w:sz w:val="24"/>
          <w:rtl/>
        </w:rPr>
        <w:t>האמצעים</w:t>
      </w:r>
      <w:r w:rsidRPr="006946D3">
        <w:rPr>
          <w:rFonts w:ascii="David" w:eastAsia="Calibri" w:hAnsi="David"/>
          <w:sz w:val="24"/>
          <w:rtl/>
        </w:rPr>
        <w:t xml:space="preserve"> </w:t>
      </w:r>
      <w:r w:rsidRPr="006946D3">
        <w:rPr>
          <w:rFonts w:ascii="David" w:eastAsia="Calibri" w:hAnsi="David" w:hint="eastAsia"/>
          <w:sz w:val="24"/>
          <w:rtl/>
        </w:rPr>
        <w:t>לביצועה</w:t>
      </w:r>
      <w:r w:rsidRPr="006946D3">
        <w:rPr>
          <w:rFonts w:ascii="David" w:eastAsia="Calibri" w:hAnsi="David" w:hint="cs"/>
          <w:sz w:val="24"/>
          <w:rtl/>
        </w:rPr>
        <w:t xml:space="preserve"> מוצ</w:t>
      </w:r>
      <w:r w:rsidR="00445B8E">
        <w:rPr>
          <w:rFonts w:ascii="David" w:eastAsia="Calibri" w:hAnsi="David" w:hint="cs"/>
          <w:sz w:val="24"/>
          <w:rtl/>
        </w:rPr>
        <w:t>א</w:t>
      </w:r>
      <w:r w:rsidRPr="006946D3">
        <w:rPr>
          <w:rFonts w:ascii="David" w:eastAsia="Calibri" w:hAnsi="David" w:hint="cs"/>
          <w:sz w:val="24"/>
          <w:rtl/>
        </w:rPr>
        <w:t>ת תעודת חיסיון</w:t>
      </w:r>
      <w:r w:rsidRPr="006946D3">
        <w:rPr>
          <w:rFonts w:ascii="David" w:eastAsia="Calibri" w:hAnsi="David"/>
          <w:sz w:val="24"/>
          <w:rtl/>
        </w:rPr>
        <w:t xml:space="preserve">. </w:t>
      </w:r>
      <w:r w:rsidRPr="006946D3">
        <w:rPr>
          <w:rFonts w:ascii="David" w:eastAsia="Calibri" w:hAnsi="David" w:hint="eastAsia"/>
          <w:sz w:val="24"/>
          <w:rtl/>
        </w:rPr>
        <w:t>לעיתים</w:t>
      </w:r>
      <w:r w:rsidRPr="006946D3">
        <w:rPr>
          <w:rFonts w:ascii="David" w:eastAsia="Calibri" w:hAnsi="David"/>
          <w:sz w:val="24"/>
          <w:rtl/>
        </w:rPr>
        <w:t xml:space="preserve"> </w:t>
      </w:r>
      <w:r w:rsidRPr="006946D3">
        <w:rPr>
          <w:rFonts w:ascii="David" w:eastAsia="Calibri" w:hAnsi="David" w:hint="eastAsia"/>
          <w:sz w:val="24"/>
          <w:rtl/>
        </w:rPr>
        <w:t>נדרש</w:t>
      </w:r>
      <w:r w:rsidRPr="006946D3">
        <w:rPr>
          <w:rFonts w:ascii="David" w:eastAsia="Calibri" w:hAnsi="David"/>
          <w:sz w:val="24"/>
          <w:rtl/>
        </w:rPr>
        <w:t xml:space="preserve"> </w:t>
      </w:r>
      <w:r w:rsidRPr="006946D3">
        <w:rPr>
          <w:rFonts w:ascii="David" w:eastAsia="Calibri" w:hAnsi="David" w:hint="eastAsia"/>
          <w:sz w:val="24"/>
          <w:rtl/>
        </w:rPr>
        <w:t>חיסוי</w:t>
      </w:r>
      <w:r w:rsidRPr="006946D3">
        <w:rPr>
          <w:rFonts w:ascii="David" w:eastAsia="Calibri" w:hAnsi="David"/>
          <w:sz w:val="24"/>
          <w:rtl/>
        </w:rPr>
        <w:t xml:space="preserve"> </w:t>
      </w:r>
      <w:r w:rsidRPr="006946D3">
        <w:rPr>
          <w:rFonts w:ascii="David" w:eastAsia="Calibri" w:hAnsi="David" w:hint="eastAsia"/>
          <w:sz w:val="24"/>
          <w:rtl/>
        </w:rPr>
        <w:t>גם</w:t>
      </w:r>
      <w:r w:rsidRPr="006946D3">
        <w:rPr>
          <w:rFonts w:ascii="David" w:eastAsia="Calibri" w:hAnsi="David"/>
          <w:sz w:val="24"/>
          <w:rtl/>
        </w:rPr>
        <w:t xml:space="preserve"> </w:t>
      </w:r>
      <w:r w:rsidRPr="006946D3">
        <w:rPr>
          <w:rFonts w:ascii="David" w:eastAsia="Calibri" w:hAnsi="David" w:hint="eastAsia"/>
          <w:sz w:val="24"/>
          <w:rtl/>
        </w:rPr>
        <w:t>על</w:t>
      </w:r>
      <w:r w:rsidRPr="006946D3">
        <w:rPr>
          <w:rFonts w:ascii="David" w:eastAsia="Calibri" w:hAnsi="David"/>
          <w:sz w:val="24"/>
          <w:rtl/>
        </w:rPr>
        <w:t xml:space="preserve"> </w:t>
      </w:r>
      <w:r w:rsidRPr="006946D3">
        <w:rPr>
          <w:rFonts w:ascii="David" w:eastAsia="Calibri" w:hAnsi="David" w:hint="eastAsia"/>
          <w:sz w:val="24"/>
          <w:rtl/>
        </w:rPr>
        <w:t>צווי</w:t>
      </w:r>
      <w:r w:rsidRPr="006946D3">
        <w:rPr>
          <w:rFonts w:ascii="David" w:eastAsia="Calibri" w:hAnsi="David"/>
          <w:sz w:val="24"/>
          <w:rtl/>
        </w:rPr>
        <w:t xml:space="preserve"> </w:t>
      </w:r>
      <w:r w:rsidRPr="006946D3">
        <w:rPr>
          <w:rFonts w:ascii="David" w:eastAsia="Calibri" w:hAnsi="David" w:hint="eastAsia"/>
          <w:sz w:val="24"/>
          <w:rtl/>
        </w:rPr>
        <w:t>האזנת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ובכלל</w:t>
      </w:r>
      <w:r w:rsidRPr="006946D3">
        <w:rPr>
          <w:rFonts w:ascii="David" w:eastAsia="Calibri" w:hAnsi="David"/>
          <w:sz w:val="24"/>
          <w:rtl/>
        </w:rPr>
        <w:t xml:space="preserve"> </w:t>
      </w:r>
      <w:r w:rsidRPr="006946D3">
        <w:rPr>
          <w:rFonts w:ascii="David" w:eastAsia="Calibri" w:hAnsi="David" w:hint="eastAsia"/>
          <w:sz w:val="24"/>
          <w:rtl/>
        </w:rPr>
        <w:t>זה</w:t>
      </w:r>
      <w:r w:rsidRPr="006946D3">
        <w:rPr>
          <w:rFonts w:ascii="David" w:eastAsia="Calibri" w:hAnsi="David"/>
          <w:sz w:val="24"/>
          <w:rtl/>
        </w:rPr>
        <w:t xml:space="preserve"> </w:t>
      </w:r>
      <w:r w:rsidRPr="006946D3">
        <w:rPr>
          <w:rFonts w:ascii="David" w:eastAsia="Calibri" w:hAnsi="David" w:hint="eastAsia"/>
          <w:sz w:val="24"/>
          <w:rtl/>
        </w:rPr>
        <w:t>על</w:t>
      </w:r>
      <w:r w:rsidRPr="006946D3">
        <w:rPr>
          <w:rFonts w:ascii="David" w:eastAsia="Calibri" w:hAnsi="David"/>
          <w:sz w:val="24"/>
          <w:rtl/>
        </w:rPr>
        <w:t xml:space="preserve"> </w:t>
      </w:r>
      <w:r w:rsidRPr="006946D3">
        <w:rPr>
          <w:rFonts w:ascii="David" w:eastAsia="Calibri" w:hAnsi="David" w:hint="eastAsia"/>
          <w:sz w:val="24"/>
          <w:rtl/>
        </w:rPr>
        <w:t>נימוקי</w:t>
      </w:r>
      <w:r w:rsidRPr="006946D3">
        <w:rPr>
          <w:rFonts w:ascii="David" w:eastAsia="Calibri" w:hAnsi="David"/>
          <w:sz w:val="24"/>
          <w:rtl/>
        </w:rPr>
        <w:t xml:space="preserve"> </w:t>
      </w:r>
      <w:r w:rsidRPr="006946D3">
        <w:rPr>
          <w:rFonts w:ascii="David" w:eastAsia="Calibri" w:hAnsi="David" w:hint="eastAsia"/>
          <w:sz w:val="24"/>
          <w:rtl/>
        </w:rPr>
        <w:t>הבקשה</w:t>
      </w:r>
      <w:r w:rsidRPr="006946D3">
        <w:rPr>
          <w:rFonts w:ascii="David" w:eastAsia="Calibri" w:hAnsi="David"/>
          <w:sz w:val="24"/>
          <w:rtl/>
        </w:rPr>
        <w:t xml:space="preserve"> </w:t>
      </w:r>
      <w:r w:rsidRPr="006946D3">
        <w:rPr>
          <w:rFonts w:ascii="David" w:eastAsia="Calibri" w:hAnsi="David" w:hint="eastAsia"/>
          <w:sz w:val="24"/>
          <w:rtl/>
        </w:rPr>
        <w:t>שהוגשה</w:t>
      </w:r>
      <w:r w:rsidRPr="006946D3">
        <w:rPr>
          <w:rFonts w:ascii="David" w:eastAsia="Calibri" w:hAnsi="David"/>
          <w:sz w:val="24"/>
          <w:rtl/>
        </w:rPr>
        <w:t xml:space="preserve"> </w:t>
      </w:r>
      <w:r w:rsidRPr="006946D3">
        <w:rPr>
          <w:rFonts w:ascii="David" w:eastAsia="Calibri" w:hAnsi="David" w:hint="eastAsia"/>
          <w:sz w:val="24"/>
          <w:rtl/>
        </w:rPr>
        <w:t>לבית</w:t>
      </w:r>
      <w:r w:rsidRPr="006946D3">
        <w:rPr>
          <w:rFonts w:ascii="David" w:eastAsia="Calibri" w:hAnsi="David"/>
          <w:sz w:val="24"/>
          <w:rtl/>
        </w:rPr>
        <w:t xml:space="preserve"> </w:t>
      </w:r>
      <w:r w:rsidRPr="006946D3">
        <w:rPr>
          <w:rFonts w:ascii="David" w:eastAsia="Calibri" w:hAnsi="David" w:hint="eastAsia"/>
          <w:sz w:val="24"/>
          <w:rtl/>
        </w:rPr>
        <w:t>המשפט</w:t>
      </w:r>
      <w:r w:rsidRPr="006946D3">
        <w:rPr>
          <w:rFonts w:ascii="David" w:eastAsia="Calibri" w:hAnsi="David"/>
          <w:sz w:val="24"/>
          <w:rtl/>
        </w:rPr>
        <w:t xml:space="preserve"> </w:t>
      </w:r>
      <w:r w:rsidRPr="006946D3">
        <w:rPr>
          <w:rFonts w:ascii="David" w:eastAsia="Calibri" w:hAnsi="David" w:hint="eastAsia"/>
          <w:sz w:val="24"/>
          <w:rtl/>
        </w:rPr>
        <w:t>להוצאת</w:t>
      </w:r>
      <w:r w:rsidRPr="006946D3">
        <w:rPr>
          <w:rFonts w:ascii="David" w:eastAsia="Calibri" w:hAnsi="David"/>
          <w:sz w:val="24"/>
          <w:rtl/>
        </w:rPr>
        <w:t xml:space="preserve"> </w:t>
      </w:r>
      <w:r w:rsidRPr="006946D3">
        <w:rPr>
          <w:rFonts w:ascii="David" w:eastAsia="Calibri" w:hAnsi="David" w:hint="eastAsia"/>
          <w:sz w:val="24"/>
          <w:rtl/>
        </w:rPr>
        <w:t>צו</w:t>
      </w:r>
      <w:r w:rsidRPr="006946D3">
        <w:rPr>
          <w:rFonts w:ascii="David" w:eastAsia="Calibri" w:hAnsi="David"/>
          <w:sz w:val="24"/>
          <w:rtl/>
        </w:rPr>
        <w:t xml:space="preserve"> </w:t>
      </w:r>
      <w:r w:rsidRPr="006946D3">
        <w:rPr>
          <w:rFonts w:ascii="David" w:eastAsia="Calibri" w:hAnsi="David" w:hint="eastAsia"/>
          <w:sz w:val="24"/>
          <w:rtl/>
        </w:rPr>
        <w:t>ועל</w:t>
      </w:r>
      <w:r w:rsidRPr="006946D3">
        <w:rPr>
          <w:rFonts w:ascii="David" w:eastAsia="Calibri" w:hAnsi="David"/>
          <w:sz w:val="24"/>
          <w:rtl/>
        </w:rPr>
        <w:t xml:space="preserve"> </w:t>
      </w:r>
      <w:r w:rsidRPr="006946D3">
        <w:rPr>
          <w:rFonts w:ascii="David" w:eastAsia="Calibri" w:hAnsi="David" w:hint="eastAsia"/>
          <w:sz w:val="24"/>
          <w:rtl/>
        </w:rPr>
        <w:t>הנימוקים</w:t>
      </w:r>
      <w:r w:rsidRPr="006946D3">
        <w:rPr>
          <w:rFonts w:ascii="David" w:eastAsia="Calibri" w:hAnsi="David"/>
          <w:sz w:val="24"/>
          <w:rtl/>
        </w:rPr>
        <w:t xml:space="preserve"> </w:t>
      </w:r>
      <w:r w:rsidRPr="006946D3">
        <w:rPr>
          <w:rFonts w:ascii="David" w:eastAsia="Calibri" w:hAnsi="David" w:hint="eastAsia"/>
          <w:sz w:val="24"/>
          <w:rtl/>
        </w:rPr>
        <w:t>שעליהם</w:t>
      </w:r>
      <w:r w:rsidRPr="006946D3">
        <w:rPr>
          <w:rFonts w:ascii="David" w:eastAsia="Calibri" w:hAnsi="David"/>
          <w:sz w:val="24"/>
          <w:rtl/>
        </w:rPr>
        <w:t xml:space="preserve"> </w:t>
      </w:r>
      <w:r w:rsidRPr="006946D3">
        <w:rPr>
          <w:rFonts w:ascii="David" w:eastAsia="Calibri" w:hAnsi="David" w:hint="eastAsia"/>
          <w:sz w:val="24"/>
          <w:rtl/>
        </w:rPr>
        <w:t>הסתמכה</w:t>
      </w:r>
      <w:r w:rsidRPr="006946D3">
        <w:rPr>
          <w:rFonts w:ascii="David" w:eastAsia="Calibri" w:hAnsi="David"/>
          <w:sz w:val="24"/>
          <w:rtl/>
        </w:rPr>
        <w:t xml:space="preserve"> </w:t>
      </w:r>
      <w:r w:rsidRPr="006946D3">
        <w:rPr>
          <w:rFonts w:ascii="David" w:eastAsia="Calibri" w:hAnsi="David" w:hint="eastAsia"/>
          <w:sz w:val="24"/>
          <w:rtl/>
        </w:rPr>
        <w:t>ההחלטה</w:t>
      </w:r>
      <w:r w:rsidRPr="006946D3">
        <w:rPr>
          <w:rFonts w:ascii="David" w:eastAsia="Calibri" w:hAnsi="David"/>
          <w:sz w:val="24"/>
          <w:rtl/>
        </w:rPr>
        <w:t xml:space="preserve">. </w:t>
      </w:r>
      <w:r w:rsidRPr="006946D3">
        <w:rPr>
          <w:rFonts w:ascii="David" w:eastAsia="Calibri" w:hAnsi="David" w:hint="eastAsia"/>
          <w:sz w:val="24"/>
          <w:rtl/>
        </w:rPr>
        <w:t>להלן</w:t>
      </w:r>
      <w:r w:rsidRPr="006946D3">
        <w:rPr>
          <w:rFonts w:ascii="David" w:eastAsia="Calibri" w:hAnsi="David"/>
          <w:sz w:val="24"/>
          <w:rtl/>
        </w:rPr>
        <w:t xml:space="preserve"> </w:t>
      </w:r>
      <w:r w:rsidRPr="006946D3">
        <w:rPr>
          <w:rFonts w:ascii="David" w:eastAsia="Calibri" w:hAnsi="David" w:hint="eastAsia"/>
          <w:sz w:val="24"/>
          <w:rtl/>
        </w:rPr>
        <w:t>דוגמאות</w:t>
      </w:r>
      <w:r w:rsidRPr="006946D3">
        <w:rPr>
          <w:rFonts w:ascii="David" w:eastAsia="Calibri" w:hAnsi="David"/>
          <w:sz w:val="24"/>
          <w:rtl/>
        </w:rPr>
        <w:t xml:space="preserve"> </w:t>
      </w:r>
      <w:r w:rsidRPr="006946D3">
        <w:rPr>
          <w:rFonts w:ascii="David" w:eastAsia="Calibri" w:hAnsi="David" w:hint="eastAsia"/>
          <w:sz w:val="24"/>
          <w:rtl/>
        </w:rPr>
        <w:t>לניסוחים</w:t>
      </w:r>
      <w:r w:rsidRPr="006946D3">
        <w:rPr>
          <w:rFonts w:ascii="David" w:eastAsia="Calibri" w:hAnsi="David"/>
          <w:sz w:val="24"/>
          <w:rtl/>
        </w:rPr>
        <w:t xml:space="preserve"> </w:t>
      </w:r>
      <w:r w:rsidRPr="006946D3">
        <w:rPr>
          <w:rFonts w:ascii="David" w:eastAsia="Calibri" w:hAnsi="David" w:hint="eastAsia"/>
          <w:sz w:val="24"/>
          <w:rtl/>
        </w:rPr>
        <w:t>אופייניים</w:t>
      </w:r>
      <w:r w:rsidRPr="006946D3">
        <w:rPr>
          <w:rFonts w:ascii="David" w:eastAsia="Calibri" w:hAnsi="David"/>
          <w:sz w:val="24"/>
          <w:rtl/>
        </w:rPr>
        <w:t xml:space="preserve"> </w:t>
      </w:r>
      <w:r w:rsidRPr="006946D3">
        <w:rPr>
          <w:rFonts w:ascii="David" w:eastAsia="Calibri" w:hAnsi="David" w:hint="eastAsia"/>
          <w:sz w:val="24"/>
          <w:rtl/>
        </w:rPr>
        <w:t>בתעודות</w:t>
      </w:r>
      <w:r w:rsidRPr="006946D3">
        <w:rPr>
          <w:rFonts w:ascii="David" w:eastAsia="Calibri" w:hAnsi="David"/>
          <w:sz w:val="24"/>
          <w:rtl/>
        </w:rPr>
        <w:t xml:space="preserve"> </w:t>
      </w:r>
      <w:r w:rsidRPr="006946D3">
        <w:rPr>
          <w:rFonts w:ascii="David" w:eastAsia="Calibri" w:hAnsi="David" w:hint="eastAsia"/>
          <w:sz w:val="24"/>
          <w:rtl/>
        </w:rPr>
        <w:t>החיסיון</w:t>
      </w:r>
      <w:r w:rsidRPr="006946D3">
        <w:rPr>
          <w:rFonts w:ascii="David" w:eastAsia="Calibri" w:hAnsi="David"/>
          <w:sz w:val="24"/>
          <w:rtl/>
        </w:rPr>
        <w:t xml:space="preserve"> </w:t>
      </w:r>
      <w:r w:rsidRPr="006946D3">
        <w:rPr>
          <w:rFonts w:ascii="David" w:eastAsia="Calibri" w:hAnsi="David" w:hint="eastAsia"/>
          <w:sz w:val="24"/>
          <w:rtl/>
        </w:rPr>
        <w:t>בכל</w:t>
      </w:r>
      <w:r w:rsidRPr="006946D3">
        <w:rPr>
          <w:rFonts w:ascii="David" w:eastAsia="Calibri" w:hAnsi="David"/>
          <w:sz w:val="24"/>
          <w:rtl/>
        </w:rPr>
        <w:t xml:space="preserve"> </w:t>
      </w:r>
      <w:r w:rsidRPr="006946D3">
        <w:rPr>
          <w:rFonts w:ascii="David" w:eastAsia="Calibri" w:hAnsi="David" w:hint="eastAsia"/>
          <w:sz w:val="24"/>
          <w:rtl/>
        </w:rPr>
        <w:t>הנוגע</w:t>
      </w:r>
      <w:r w:rsidRPr="006946D3">
        <w:rPr>
          <w:rFonts w:ascii="David" w:eastAsia="Calibri" w:hAnsi="David"/>
          <w:sz w:val="24"/>
          <w:rtl/>
        </w:rPr>
        <w:t xml:space="preserve"> </w:t>
      </w:r>
      <w:r w:rsidRPr="006946D3">
        <w:rPr>
          <w:rFonts w:ascii="David" w:eastAsia="Calibri" w:hAnsi="David" w:hint="eastAsia"/>
          <w:sz w:val="24"/>
          <w:rtl/>
        </w:rPr>
        <w:t>להקלטת</w:t>
      </w:r>
      <w:r w:rsidRPr="006946D3">
        <w:rPr>
          <w:rFonts w:ascii="David" w:eastAsia="Calibri" w:hAnsi="David"/>
          <w:sz w:val="24"/>
          <w:rtl/>
        </w:rPr>
        <w:t xml:space="preserve"> </w:t>
      </w:r>
      <w:r w:rsidRPr="006946D3">
        <w:rPr>
          <w:rFonts w:ascii="David" w:eastAsia="Calibri" w:hAnsi="David" w:hint="eastAsia"/>
          <w:sz w:val="24"/>
          <w:rtl/>
        </w:rPr>
        <w:t>שיחות</w:t>
      </w:r>
      <w:r w:rsidRPr="006946D3">
        <w:rPr>
          <w:rFonts w:ascii="David" w:eastAsia="Calibri" w:hAnsi="David"/>
          <w:sz w:val="24"/>
          <w:rtl/>
        </w:rPr>
        <w:t xml:space="preserve"> </w:t>
      </w:r>
      <w:r w:rsidRPr="006946D3">
        <w:rPr>
          <w:rFonts w:ascii="David" w:eastAsia="Calibri" w:hAnsi="David" w:hint="eastAsia"/>
          <w:sz w:val="24"/>
          <w:rtl/>
        </w:rPr>
        <w:t>טלפוניות</w:t>
      </w:r>
      <w:r w:rsidRPr="006946D3">
        <w:rPr>
          <w:rFonts w:ascii="David" w:eastAsia="Calibri" w:hAnsi="David"/>
          <w:sz w:val="24"/>
          <w:rtl/>
        </w:rPr>
        <w:t xml:space="preserve">, </w:t>
      </w:r>
      <w:r w:rsidRPr="006946D3">
        <w:rPr>
          <w:rFonts w:ascii="David" w:eastAsia="Calibri" w:hAnsi="David" w:hint="eastAsia"/>
          <w:sz w:val="24"/>
          <w:rtl/>
        </w:rPr>
        <w:t>לבקשות</w:t>
      </w:r>
      <w:r w:rsidRPr="006946D3">
        <w:rPr>
          <w:rFonts w:ascii="David" w:eastAsia="Calibri" w:hAnsi="David"/>
          <w:sz w:val="24"/>
          <w:rtl/>
        </w:rPr>
        <w:t xml:space="preserve"> </w:t>
      </w:r>
      <w:r w:rsidRPr="006946D3">
        <w:rPr>
          <w:rFonts w:ascii="David" w:eastAsia="Calibri" w:hAnsi="David" w:hint="eastAsia"/>
          <w:sz w:val="24"/>
          <w:rtl/>
        </w:rPr>
        <w:t>להאזנות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ולבקשות</w:t>
      </w:r>
      <w:r w:rsidRPr="006946D3">
        <w:rPr>
          <w:rFonts w:ascii="David" w:eastAsia="Calibri" w:hAnsi="David"/>
          <w:sz w:val="24"/>
          <w:rtl/>
        </w:rPr>
        <w:t xml:space="preserve"> </w:t>
      </w:r>
      <w:r w:rsidRPr="006946D3">
        <w:rPr>
          <w:rFonts w:ascii="David" w:eastAsia="Calibri" w:hAnsi="David" w:hint="eastAsia"/>
          <w:sz w:val="24"/>
          <w:rtl/>
        </w:rPr>
        <w:t>לקבלת</w:t>
      </w:r>
      <w:r w:rsidRPr="006946D3">
        <w:rPr>
          <w:rFonts w:ascii="David" w:eastAsia="Calibri" w:hAnsi="David"/>
          <w:sz w:val="24"/>
          <w:rtl/>
        </w:rPr>
        <w:t xml:space="preserve"> </w:t>
      </w:r>
      <w:r w:rsidRPr="006946D3">
        <w:rPr>
          <w:rFonts w:ascii="David" w:eastAsia="Calibri" w:hAnsi="David" w:hint="eastAsia"/>
          <w:sz w:val="24"/>
          <w:rtl/>
        </w:rPr>
        <w:t>נתוני</w:t>
      </w:r>
      <w:r w:rsidRPr="006946D3">
        <w:rPr>
          <w:rFonts w:ascii="David" w:eastAsia="Calibri" w:hAnsi="David"/>
          <w:sz w:val="24"/>
          <w:rtl/>
        </w:rPr>
        <w:t xml:space="preserve"> </w:t>
      </w:r>
      <w:r w:rsidRPr="006946D3">
        <w:rPr>
          <w:rFonts w:ascii="David" w:eastAsia="Calibri" w:hAnsi="David" w:hint="eastAsia"/>
          <w:sz w:val="24"/>
          <w:rtl/>
        </w:rPr>
        <w:t>תקשורת</w:t>
      </w:r>
      <w:r w:rsidRPr="006946D3">
        <w:rPr>
          <w:rFonts w:ascii="David" w:eastAsia="Calibri" w:hAnsi="David"/>
          <w:sz w:val="24"/>
          <w:rtl/>
        </w:rPr>
        <w:t>:</w:t>
      </w:r>
    </w:p>
    <w:p w:rsidR="004B50FC" w:rsidRPr="004B50FC" w:rsidRDefault="004B50FC" w:rsidP="00E2380D">
      <w:pPr>
        <w:tabs>
          <w:tab w:val="left" w:pos="8221"/>
        </w:tabs>
        <w:spacing w:line="269" w:lineRule="auto"/>
        <w:ind w:left="1143"/>
        <w:contextualSpacing/>
        <w:rPr>
          <w:rFonts w:ascii="David" w:eastAsia="Calibri" w:hAnsi="David"/>
          <w:sz w:val="24"/>
        </w:rPr>
      </w:pPr>
    </w:p>
    <w:p w:rsidR="006946D3" w:rsidRDefault="006946D3" w:rsidP="00E2380D">
      <w:pPr>
        <w:numPr>
          <w:ilvl w:val="0"/>
          <w:numId w:val="14"/>
        </w:numPr>
        <w:tabs>
          <w:tab w:val="left" w:pos="8221"/>
        </w:tabs>
        <w:spacing w:line="269" w:lineRule="auto"/>
        <w:ind w:left="783"/>
        <w:contextualSpacing/>
        <w:rPr>
          <w:rFonts w:ascii="David" w:eastAsia="Calibri" w:hAnsi="David"/>
          <w:sz w:val="24"/>
        </w:rPr>
      </w:pPr>
      <w:r w:rsidRPr="006946D3">
        <w:rPr>
          <w:rFonts w:ascii="David" w:eastAsia="Calibri" w:hAnsi="David"/>
          <w:sz w:val="24"/>
          <w:rtl/>
        </w:rPr>
        <w:t xml:space="preserve">"כל </w:t>
      </w:r>
      <w:r w:rsidRPr="006946D3">
        <w:rPr>
          <w:rFonts w:ascii="David" w:eastAsia="Calibri" w:hAnsi="David" w:hint="eastAsia"/>
          <w:sz w:val="24"/>
          <w:rtl/>
        </w:rPr>
        <w:t>פרט</w:t>
      </w:r>
      <w:r w:rsidRPr="006946D3">
        <w:rPr>
          <w:rFonts w:ascii="David" w:eastAsia="Calibri" w:hAnsi="David"/>
          <w:sz w:val="24"/>
          <w:rtl/>
        </w:rPr>
        <w:t xml:space="preserve"> </w:t>
      </w:r>
      <w:r w:rsidRPr="006946D3">
        <w:rPr>
          <w:rFonts w:ascii="David" w:eastAsia="Calibri" w:hAnsi="David" w:hint="eastAsia"/>
          <w:sz w:val="24"/>
          <w:rtl/>
        </w:rPr>
        <w:t>או</w:t>
      </w:r>
      <w:r w:rsidRPr="006946D3">
        <w:rPr>
          <w:rFonts w:ascii="David" w:eastAsia="Calibri" w:hAnsi="David"/>
          <w:sz w:val="24"/>
          <w:rtl/>
        </w:rPr>
        <w:t xml:space="preserve"> </w:t>
      </w:r>
      <w:r w:rsidRPr="006946D3">
        <w:rPr>
          <w:rFonts w:ascii="David" w:eastAsia="Calibri" w:hAnsi="David" w:hint="eastAsia"/>
          <w:sz w:val="24"/>
          <w:rtl/>
        </w:rPr>
        <w:t>מידע</w:t>
      </w:r>
      <w:r w:rsidRPr="006946D3">
        <w:rPr>
          <w:rFonts w:ascii="David" w:eastAsia="Calibri" w:hAnsi="David"/>
          <w:sz w:val="24"/>
          <w:rtl/>
        </w:rPr>
        <w:t xml:space="preserve"> </w:t>
      </w:r>
      <w:r w:rsidRPr="006946D3">
        <w:rPr>
          <w:rFonts w:ascii="David" w:eastAsia="Calibri" w:hAnsi="David" w:hint="eastAsia"/>
          <w:sz w:val="24"/>
          <w:rtl/>
        </w:rPr>
        <w:t>שעניינם</w:t>
      </w:r>
      <w:r w:rsidRPr="006946D3">
        <w:rPr>
          <w:rFonts w:ascii="David" w:eastAsia="Calibri" w:hAnsi="David"/>
          <w:sz w:val="24"/>
          <w:rtl/>
        </w:rPr>
        <w:t xml:space="preserve">: </w:t>
      </w:r>
      <w:r w:rsidRPr="006946D3">
        <w:rPr>
          <w:rFonts w:ascii="David" w:eastAsia="Calibri" w:hAnsi="David" w:hint="eastAsia"/>
          <w:sz w:val="24"/>
          <w:rtl/>
        </w:rPr>
        <w:t>השיטה</w:t>
      </w:r>
      <w:r w:rsidRPr="006946D3">
        <w:rPr>
          <w:rFonts w:ascii="David" w:eastAsia="Calibri" w:hAnsi="David"/>
          <w:sz w:val="24"/>
          <w:rtl/>
        </w:rPr>
        <w:t xml:space="preserve">, </w:t>
      </w:r>
      <w:r w:rsidRPr="006946D3">
        <w:rPr>
          <w:rFonts w:ascii="David" w:eastAsia="Calibri" w:hAnsi="David" w:hint="eastAsia"/>
          <w:sz w:val="24"/>
          <w:rtl/>
        </w:rPr>
        <w:t>האמצעים</w:t>
      </w:r>
      <w:r w:rsidRPr="006946D3">
        <w:rPr>
          <w:rFonts w:ascii="David" w:eastAsia="Calibri" w:hAnsi="David"/>
          <w:sz w:val="24"/>
          <w:rtl/>
        </w:rPr>
        <w:t xml:space="preserve"> </w:t>
      </w:r>
      <w:r w:rsidRPr="006946D3">
        <w:rPr>
          <w:rFonts w:ascii="David" w:eastAsia="Calibri" w:hAnsi="David" w:hint="eastAsia"/>
          <w:sz w:val="24"/>
          <w:rtl/>
        </w:rPr>
        <w:t>ואופן</w:t>
      </w:r>
      <w:r w:rsidRPr="006946D3">
        <w:rPr>
          <w:rFonts w:ascii="David" w:eastAsia="Calibri" w:hAnsi="David"/>
          <w:sz w:val="24"/>
          <w:rtl/>
        </w:rPr>
        <w:t xml:space="preserve"> </w:t>
      </w:r>
      <w:r w:rsidRPr="006946D3">
        <w:rPr>
          <w:rFonts w:ascii="David" w:eastAsia="Calibri" w:hAnsi="David" w:hint="eastAsia"/>
          <w:sz w:val="24"/>
          <w:rtl/>
        </w:rPr>
        <w:t>הביצוע</w:t>
      </w:r>
      <w:r w:rsidRPr="006946D3">
        <w:rPr>
          <w:rFonts w:ascii="David" w:eastAsia="Calibri" w:hAnsi="David"/>
          <w:sz w:val="24"/>
          <w:rtl/>
        </w:rPr>
        <w:t xml:space="preserve"> </w:t>
      </w:r>
      <w:r w:rsidRPr="006946D3">
        <w:rPr>
          <w:rFonts w:ascii="David" w:eastAsia="Calibri" w:hAnsi="David" w:hint="eastAsia"/>
          <w:sz w:val="24"/>
          <w:rtl/>
        </w:rPr>
        <w:t>הטכני</w:t>
      </w:r>
      <w:r w:rsidRPr="006946D3">
        <w:rPr>
          <w:rFonts w:ascii="David" w:eastAsia="Calibri" w:hAnsi="David"/>
          <w:sz w:val="24"/>
          <w:rtl/>
        </w:rPr>
        <w:t xml:space="preserve"> </w:t>
      </w:r>
      <w:r w:rsidRPr="006946D3">
        <w:rPr>
          <w:rFonts w:ascii="David" w:eastAsia="Calibri" w:hAnsi="David" w:hint="eastAsia"/>
          <w:sz w:val="24"/>
          <w:rtl/>
        </w:rPr>
        <w:t>ששימשו</w:t>
      </w:r>
      <w:r w:rsidRPr="006946D3">
        <w:rPr>
          <w:rFonts w:ascii="David" w:eastAsia="Calibri" w:hAnsi="David"/>
          <w:sz w:val="24"/>
          <w:rtl/>
        </w:rPr>
        <w:t xml:space="preserve"> </w:t>
      </w:r>
      <w:r w:rsidRPr="006946D3">
        <w:rPr>
          <w:rFonts w:ascii="David" w:eastAsia="Calibri" w:hAnsi="David" w:hint="eastAsia"/>
          <w:sz w:val="24"/>
          <w:rtl/>
        </w:rPr>
        <w:t>בביצוע</w:t>
      </w:r>
      <w:r w:rsidRPr="006946D3">
        <w:rPr>
          <w:rFonts w:ascii="David" w:eastAsia="Calibri" w:hAnsi="David"/>
          <w:sz w:val="24"/>
          <w:rtl/>
        </w:rPr>
        <w:t xml:space="preserve"> </w:t>
      </w:r>
      <w:r w:rsidRPr="006946D3">
        <w:rPr>
          <w:rFonts w:ascii="David" w:eastAsia="Calibri" w:hAnsi="David" w:hint="eastAsia"/>
          <w:sz w:val="24"/>
          <w:rtl/>
        </w:rPr>
        <w:t>ההקלטות</w:t>
      </w:r>
      <w:r w:rsidRPr="006946D3">
        <w:rPr>
          <w:rFonts w:ascii="David" w:eastAsia="Calibri" w:hAnsi="David"/>
          <w:sz w:val="24"/>
          <w:rtl/>
        </w:rPr>
        <w:t xml:space="preserve"> </w:t>
      </w:r>
      <w:r w:rsidRPr="006946D3">
        <w:rPr>
          <w:rFonts w:ascii="David" w:eastAsia="Calibri" w:hAnsi="David" w:hint="eastAsia"/>
          <w:sz w:val="24"/>
          <w:rtl/>
        </w:rPr>
        <w:t>וההאזנות</w:t>
      </w:r>
      <w:r w:rsidRPr="006946D3">
        <w:rPr>
          <w:rFonts w:ascii="David" w:eastAsia="Calibri" w:hAnsi="David"/>
          <w:sz w:val="24"/>
          <w:rtl/>
        </w:rPr>
        <w:t xml:space="preserve"> </w:t>
      </w:r>
      <w:r w:rsidRPr="006946D3">
        <w:rPr>
          <w:rFonts w:ascii="David" w:eastAsia="Calibri" w:hAnsi="David" w:hint="eastAsia"/>
          <w:sz w:val="24"/>
          <w:rtl/>
        </w:rPr>
        <w:t>לשיחות</w:t>
      </w:r>
      <w:r w:rsidRPr="006946D3">
        <w:rPr>
          <w:rFonts w:ascii="David" w:eastAsia="Calibri" w:hAnsi="David"/>
          <w:sz w:val="24"/>
          <w:rtl/>
        </w:rPr>
        <w:t xml:space="preserve"> </w:t>
      </w:r>
      <w:r w:rsidRPr="006946D3">
        <w:rPr>
          <w:rFonts w:ascii="David" w:eastAsia="Calibri" w:hAnsi="David" w:hint="eastAsia"/>
          <w:sz w:val="24"/>
          <w:rtl/>
        </w:rPr>
        <w:t>טלפוניות</w:t>
      </w:r>
      <w:r w:rsidRPr="006946D3">
        <w:rPr>
          <w:rFonts w:ascii="David" w:eastAsia="Calibri" w:hAnsi="David"/>
          <w:sz w:val="24"/>
          <w:rtl/>
        </w:rPr>
        <w:t xml:space="preserve"> </w:t>
      </w:r>
      <w:r w:rsidRPr="006946D3">
        <w:rPr>
          <w:rFonts w:ascii="David" w:eastAsia="Calibri" w:hAnsi="David" w:hint="eastAsia"/>
          <w:sz w:val="24"/>
          <w:rtl/>
        </w:rPr>
        <w:t>במהלך</w:t>
      </w:r>
      <w:r w:rsidRPr="006946D3">
        <w:rPr>
          <w:rFonts w:ascii="David" w:eastAsia="Calibri" w:hAnsi="David"/>
          <w:sz w:val="24"/>
          <w:rtl/>
        </w:rPr>
        <w:t xml:space="preserve"> </w:t>
      </w:r>
      <w:r w:rsidRPr="006946D3">
        <w:rPr>
          <w:rFonts w:ascii="David" w:eastAsia="Calibri" w:hAnsi="David" w:hint="eastAsia"/>
          <w:sz w:val="24"/>
          <w:rtl/>
        </w:rPr>
        <w:t>החקירה</w:t>
      </w:r>
      <w:r w:rsidRPr="006946D3">
        <w:rPr>
          <w:rFonts w:ascii="David" w:eastAsia="Calibri" w:hAnsi="David"/>
          <w:sz w:val="24"/>
          <w:rtl/>
        </w:rPr>
        <w:t xml:space="preserve"> </w:t>
      </w:r>
      <w:r w:rsidRPr="006946D3">
        <w:rPr>
          <w:rFonts w:ascii="David" w:eastAsia="Calibri" w:hAnsi="David" w:hint="eastAsia"/>
          <w:sz w:val="24"/>
          <w:rtl/>
        </w:rPr>
        <w:t>בתיק</w:t>
      </w:r>
      <w:r w:rsidRPr="006946D3">
        <w:rPr>
          <w:rFonts w:ascii="David" w:eastAsia="Calibri" w:hAnsi="David"/>
          <w:sz w:val="24"/>
          <w:rtl/>
        </w:rPr>
        <w:t xml:space="preserve"> </w:t>
      </w:r>
      <w:r w:rsidRPr="006946D3">
        <w:rPr>
          <w:rFonts w:ascii="David" w:eastAsia="Calibri" w:hAnsi="David" w:hint="eastAsia"/>
          <w:sz w:val="24"/>
          <w:rtl/>
        </w:rPr>
        <w:t>זה</w:t>
      </w:r>
      <w:r w:rsidRPr="006946D3">
        <w:rPr>
          <w:rFonts w:ascii="David" w:eastAsia="Calibri" w:hAnsi="David"/>
          <w:sz w:val="24"/>
          <w:rtl/>
        </w:rPr>
        <w:t xml:space="preserve">, </w:t>
      </w:r>
      <w:r w:rsidRPr="006946D3">
        <w:rPr>
          <w:rFonts w:ascii="David" w:eastAsia="Calibri" w:hAnsi="David" w:hint="eastAsia"/>
          <w:sz w:val="24"/>
          <w:rtl/>
        </w:rPr>
        <w:t>למעט</w:t>
      </w:r>
      <w:r w:rsidRPr="006946D3">
        <w:rPr>
          <w:rFonts w:ascii="David" w:eastAsia="Calibri" w:hAnsi="David"/>
          <w:sz w:val="24"/>
          <w:rtl/>
        </w:rPr>
        <w:t xml:space="preserve"> </w:t>
      </w:r>
      <w:r w:rsidRPr="006946D3">
        <w:rPr>
          <w:rFonts w:ascii="David" w:eastAsia="Calibri" w:hAnsi="David" w:hint="eastAsia"/>
          <w:sz w:val="24"/>
          <w:rtl/>
        </w:rPr>
        <w:t>המידע</w:t>
      </w:r>
      <w:r w:rsidRPr="006946D3">
        <w:rPr>
          <w:rFonts w:ascii="David" w:eastAsia="Calibri" w:hAnsi="David"/>
          <w:sz w:val="24"/>
          <w:rtl/>
        </w:rPr>
        <w:t xml:space="preserve"> </w:t>
      </w:r>
      <w:r w:rsidRPr="006946D3">
        <w:rPr>
          <w:rFonts w:ascii="David" w:eastAsia="Calibri" w:hAnsi="David" w:hint="eastAsia"/>
          <w:sz w:val="24"/>
          <w:rtl/>
        </w:rPr>
        <w:t>המתייחס</w:t>
      </w:r>
      <w:r w:rsidRPr="006946D3">
        <w:rPr>
          <w:rFonts w:ascii="David" w:eastAsia="Calibri" w:hAnsi="David"/>
          <w:sz w:val="24"/>
          <w:rtl/>
        </w:rPr>
        <w:t xml:space="preserve"> </w:t>
      </w:r>
      <w:r w:rsidRPr="006946D3">
        <w:rPr>
          <w:rFonts w:ascii="David" w:eastAsia="Calibri" w:hAnsi="David" w:hint="eastAsia"/>
          <w:sz w:val="24"/>
          <w:rtl/>
        </w:rPr>
        <w:t>לתקינות</w:t>
      </w:r>
      <w:r w:rsidRPr="006946D3">
        <w:rPr>
          <w:rFonts w:ascii="David" w:eastAsia="Calibri" w:hAnsi="David"/>
          <w:sz w:val="24"/>
          <w:rtl/>
        </w:rPr>
        <w:t xml:space="preserve"> </w:t>
      </w:r>
      <w:r w:rsidRPr="006946D3">
        <w:rPr>
          <w:rFonts w:ascii="David" w:eastAsia="Calibri" w:hAnsi="David" w:hint="eastAsia"/>
          <w:sz w:val="24"/>
          <w:rtl/>
        </w:rPr>
        <w:t>מכשירי</w:t>
      </w:r>
      <w:r w:rsidRPr="006946D3">
        <w:rPr>
          <w:rFonts w:ascii="David" w:eastAsia="Calibri" w:hAnsi="David"/>
          <w:sz w:val="24"/>
          <w:rtl/>
        </w:rPr>
        <w:t xml:space="preserve"> </w:t>
      </w:r>
      <w:r w:rsidRPr="006946D3">
        <w:rPr>
          <w:rFonts w:ascii="David" w:eastAsia="Calibri" w:hAnsi="David" w:hint="eastAsia"/>
          <w:sz w:val="24"/>
          <w:rtl/>
        </w:rPr>
        <w:t>ההקלטה</w:t>
      </w:r>
      <w:r w:rsidRPr="006946D3">
        <w:rPr>
          <w:rFonts w:ascii="David" w:eastAsia="Calibri" w:hAnsi="David"/>
          <w:sz w:val="24"/>
          <w:rtl/>
        </w:rPr>
        <w:t xml:space="preserve">, </w:t>
      </w:r>
      <w:r w:rsidRPr="006946D3">
        <w:rPr>
          <w:rFonts w:ascii="David" w:eastAsia="Calibri" w:hAnsi="David" w:hint="eastAsia"/>
          <w:sz w:val="24"/>
          <w:rtl/>
        </w:rPr>
        <w:t>לתקינות</w:t>
      </w:r>
      <w:r w:rsidRPr="006946D3">
        <w:rPr>
          <w:rFonts w:ascii="David" w:eastAsia="Calibri" w:hAnsi="David"/>
          <w:sz w:val="24"/>
          <w:rtl/>
        </w:rPr>
        <w:t xml:space="preserve"> </w:t>
      </w:r>
      <w:r w:rsidRPr="006946D3">
        <w:rPr>
          <w:rFonts w:ascii="David" w:eastAsia="Calibri" w:hAnsi="David" w:hint="eastAsia"/>
          <w:sz w:val="24"/>
          <w:rtl/>
        </w:rPr>
        <w:t>מדיית</w:t>
      </w:r>
      <w:r w:rsidRPr="006946D3">
        <w:rPr>
          <w:rFonts w:ascii="David" w:eastAsia="Calibri" w:hAnsi="David"/>
          <w:sz w:val="24"/>
          <w:rtl/>
        </w:rPr>
        <w:t xml:space="preserve"> </w:t>
      </w:r>
      <w:r w:rsidRPr="006946D3">
        <w:rPr>
          <w:rFonts w:ascii="David" w:eastAsia="Calibri" w:hAnsi="David" w:hint="eastAsia"/>
          <w:sz w:val="24"/>
          <w:rtl/>
        </w:rPr>
        <w:t>ההקלטה</w:t>
      </w:r>
      <w:r w:rsidRPr="006946D3">
        <w:rPr>
          <w:rFonts w:ascii="David" w:eastAsia="Calibri" w:hAnsi="David"/>
          <w:sz w:val="24"/>
          <w:rtl/>
        </w:rPr>
        <w:t xml:space="preserve"> </w:t>
      </w:r>
      <w:r w:rsidRPr="006946D3">
        <w:rPr>
          <w:rFonts w:ascii="David" w:eastAsia="Calibri" w:hAnsi="David" w:hint="eastAsia"/>
          <w:sz w:val="24"/>
          <w:rtl/>
        </w:rPr>
        <w:t>ולפעולות</w:t>
      </w:r>
      <w:r w:rsidRPr="006946D3">
        <w:rPr>
          <w:rFonts w:ascii="David" w:eastAsia="Calibri" w:hAnsi="David"/>
          <w:sz w:val="24"/>
          <w:rtl/>
        </w:rPr>
        <w:t xml:space="preserve"> </w:t>
      </w:r>
      <w:r w:rsidRPr="006946D3">
        <w:rPr>
          <w:rFonts w:ascii="David" w:eastAsia="Calibri" w:hAnsi="David" w:hint="eastAsia"/>
          <w:sz w:val="24"/>
          <w:rtl/>
        </w:rPr>
        <w:t>שנעשו</w:t>
      </w:r>
      <w:r w:rsidRPr="006946D3">
        <w:rPr>
          <w:rFonts w:ascii="David" w:eastAsia="Calibri" w:hAnsi="David"/>
          <w:sz w:val="24"/>
          <w:rtl/>
        </w:rPr>
        <w:t xml:space="preserve"> </w:t>
      </w:r>
      <w:r w:rsidRPr="006946D3">
        <w:rPr>
          <w:rFonts w:ascii="David" w:eastAsia="Calibri" w:hAnsi="David" w:hint="eastAsia"/>
          <w:sz w:val="24"/>
          <w:rtl/>
        </w:rPr>
        <w:t>בקשר</w:t>
      </w:r>
      <w:r w:rsidRPr="006946D3">
        <w:rPr>
          <w:rFonts w:ascii="David" w:eastAsia="Calibri" w:hAnsi="David"/>
          <w:sz w:val="24"/>
          <w:rtl/>
        </w:rPr>
        <w:t xml:space="preserve"> </w:t>
      </w:r>
      <w:r w:rsidRPr="006946D3">
        <w:rPr>
          <w:rFonts w:ascii="David" w:eastAsia="Calibri" w:hAnsi="David" w:hint="eastAsia"/>
          <w:sz w:val="24"/>
          <w:rtl/>
        </w:rPr>
        <w:t>אליהם</w:t>
      </w:r>
      <w:r w:rsidRPr="006946D3">
        <w:rPr>
          <w:rFonts w:ascii="David" w:eastAsia="Calibri" w:hAnsi="David"/>
          <w:sz w:val="24"/>
          <w:rtl/>
        </w:rPr>
        <w:t>."</w:t>
      </w:r>
    </w:p>
    <w:p w:rsidR="004B50FC" w:rsidRPr="006946D3" w:rsidRDefault="004B50FC" w:rsidP="00E2380D">
      <w:pPr>
        <w:tabs>
          <w:tab w:val="left" w:pos="8221"/>
        </w:tabs>
        <w:spacing w:line="269" w:lineRule="auto"/>
        <w:ind w:left="1143"/>
        <w:contextualSpacing/>
        <w:rPr>
          <w:rFonts w:ascii="David" w:eastAsia="Calibri" w:hAnsi="David"/>
          <w:sz w:val="24"/>
          <w:rtl/>
        </w:rPr>
      </w:pPr>
    </w:p>
    <w:p w:rsidR="006946D3" w:rsidRPr="006946D3" w:rsidRDefault="006946D3" w:rsidP="00E2380D">
      <w:pPr>
        <w:numPr>
          <w:ilvl w:val="0"/>
          <w:numId w:val="14"/>
        </w:numPr>
        <w:spacing w:line="269" w:lineRule="auto"/>
        <w:ind w:left="783"/>
        <w:contextualSpacing/>
        <w:rPr>
          <w:rFonts w:ascii="David" w:eastAsia="Calibri" w:hAnsi="David"/>
          <w:sz w:val="24"/>
          <w:rtl/>
        </w:rPr>
      </w:pPr>
      <w:r w:rsidRPr="006946D3">
        <w:rPr>
          <w:rFonts w:ascii="David" w:eastAsia="Calibri" w:hAnsi="David"/>
          <w:sz w:val="24"/>
          <w:rtl/>
        </w:rPr>
        <w:t xml:space="preserve">"כל </w:t>
      </w:r>
      <w:r w:rsidRPr="006946D3">
        <w:rPr>
          <w:rFonts w:ascii="David" w:eastAsia="Calibri" w:hAnsi="David" w:hint="eastAsia"/>
          <w:sz w:val="24"/>
          <w:rtl/>
        </w:rPr>
        <w:t>פרט</w:t>
      </w:r>
      <w:r w:rsidRPr="006946D3">
        <w:rPr>
          <w:rFonts w:ascii="David" w:eastAsia="Calibri" w:hAnsi="David"/>
          <w:sz w:val="24"/>
          <w:rtl/>
        </w:rPr>
        <w:t xml:space="preserve"> </w:t>
      </w:r>
      <w:r w:rsidRPr="006946D3">
        <w:rPr>
          <w:rFonts w:ascii="David" w:eastAsia="Calibri" w:hAnsi="David" w:hint="eastAsia"/>
          <w:sz w:val="24"/>
          <w:rtl/>
        </w:rPr>
        <w:t>או</w:t>
      </w:r>
      <w:r w:rsidRPr="006946D3">
        <w:rPr>
          <w:rFonts w:ascii="David" w:eastAsia="Calibri" w:hAnsi="David"/>
          <w:sz w:val="24"/>
          <w:rtl/>
        </w:rPr>
        <w:t xml:space="preserve"> </w:t>
      </w:r>
      <w:r w:rsidRPr="006946D3">
        <w:rPr>
          <w:rFonts w:ascii="David" w:eastAsia="Calibri" w:hAnsi="David" w:hint="eastAsia"/>
          <w:sz w:val="24"/>
          <w:rtl/>
        </w:rPr>
        <w:t>מידע</w:t>
      </w:r>
      <w:r w:rsidRPr="006946D3">
        <w:rPr>
          <w:rFonts w:ascii="David" w:eastAsia="Calibri" w:hAnsi="David"/>
          <w:sz w:val="24"/>
          <w:rtl/>
        </w:rPr>
        <w:t xml:space="preserve"> </w:t>
      </w:r>
      <w:r w:rsidRPr="006946D3">
        <w:rPr>
          <w:rFonts w:ascii="David" w:eastAsia="Calibri" w:hAnsi="David" w:hint="eastAsia"/>
          <w:sz w:val="24"/>
          <w:rtl/>
        </w:rPr>
        <w:t>שיש</w:t>
      </w:r>
      <w:r w:rsidRPr="006946D3">
        <w:rPr>
          <w:rFonts w:ascii="David" w:eastAsia="Calibri" w:hAnsi="David"/>
          <w:sz w:val="24"/>
          <w:rtl/>
        </w:rPr>
        <w:t xml:space="preserve"> </w:t>
      </w:r>
      <w:r w:rsidRPr="006946D3">
        <w:rPr>
          <w:rFonts w:ascii="David" w:eastAsia="Calibri" w:hAnsi="David" w:hint="eastAsia"/>
          <w:sz w:val="24"/>
          <w:rtl/>
        </w:rPr>
        <w:t>בו</w:t>
      </w:r>
      <w:r w:rsidRPr="006946D3">
        <w:rPr>
          <w:rFonts w:ascii="David" w:eastAsia="Calibri" w:hAnsi="David"/>
          <w:sz w:val="24"/>
          <w:rtl/>
        </w:rPr>
        <w:t xml:space="preserve"> </w:t>
      </w:r>
      <w:r w:rsidRPr="006946D3">
        <w:rPr>
          <w:rFonts w:ascii="David" w:eastAsia="Calibri" w:hAnsi="David" w:hint="eastAsia"/>
          <w:sz w:val="24"/>
          <w:rtl/>
        </w:rPr>
        <w:t>לגלות</w:t>
      </w:r>
      <w:r w:rsidRPr="006946D3">
        <w:rPr>
          <w:rFonts w:ascii="David" w:eastAsia="Calibri" w:hAnsi="David"/>
          <w:sz w:val="24"/>
          <w:rtl/>
        </w:rPr>
        <w:t xml:space="preserve"> </w:t>
      </w:r>
      <w:r w:rsidRPr="006946D3">
        <w:rPr>
          <w:rFonts w:ascii="David" w:eastAsia="Calibri" w:hAnsi="David" w:hint="eastAsia"/>
          <w:sz w:val="24"/>
          <w:rtl/>
        </w:rPr>
        <w:t>חלק</w:t>
      </w:r>
      <w:r w:rsidRPr="006946D3">
        <w:rPr>
          <w:rFonts w:ascii="David" w:eastAsia="Calibri" w:hAnsi="David"/>
          <w:sz w:val="24"/>
          <w:rtl/>
        </w:rPr>
        <w:t xml:space="preserve"> </w:t>
      </w:r>
      <w:r w:rsidRPr="006946D3">
        <w:rPr>
          <w:rFonts w:ascii="David" w:eastAsia="Calibri" w:hAnsi="David" w:hint="eastAsia"/>
          <w:sz w:val="24"/>
          <w:rtl/>
        </w:rPr>
        <w:t>מתוכנן</w:t>
      </w:r>
      <w:r w:rsidRPr="006946D3">
        <w:rPr>
          <w:rFonts w:ascii="David" w:eastAsia="Calibri" w:hAnsi="David"/>
          <w:sz w:val="24"/>
          <w:rtl/>
        </w:rPr>
        <w:t xml:space="preserve"> </w:t>
      </w:r>
      <w:r w:rsidRPr="006946D3">
        <w:rPr>
          <w:rFonts w:ascii="David" w:eastAsia="Calibri" w:hAnsi="David" w:hint="eastAsia"/>
          <w:sz w:val="24"/>
          <w:rtl/>
        </w:rPr>
        <w:t>של</w:t>
      </w:r>
      <w:r w:rsidRPr="006946D3">
        <w:rPr>
          <w:rFonts w:ascii="David" w:eastAsia="Calibri" w:hAnsi="David"/>
          <w:sz w:val="24"/>
          <w:rtl/>
        </w:rPr>
        <w:t xml:space="preserve"> </w:t>
      </w:r>
      <w:r w:rsidRPr="006946D3">
        <w:rPr>
          <w:rFonts w:ascii="David" w:eastAsia="Calibri" w:hAnsi="David" w:hint="eastAsia"/>
          <w:sz w:val="24"/>
          <w:rtl/>
        </w:rPr>
        <w:t>בקשות</w:t>
      </w:r>
      <w:r w:rsidRPr="006946D3">
        <w:rPr>
          <w:rFonts w:ascii="David" w:eastAsia="Calibri" w:hAnsi="David"/>
          <w:sz w:val="24"/>
          <w:rtl/>
        </w:rPr>
        <w:t xml:space="preserve"> </w:t>
      </w:r>
      <w:r w:rsidRPr="006946D3">
        <w:rPr>
          <w:rFonts w:ascii="David" w:eastAsia="Calibri" w:hAnsi="David" w:hint="eastAsia"/>
          <w:sz w:val="24"/>
          <w:rtl/>
        </w:rPr>
        <w:t>להאזנות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כמפורט</w:t>
      </w:r>
      <w:r w:rsidRPr="006946D3">
        <w:rPr>
          <w:rFonts w:ascii="David" w:eastAsia="Calibri" w:hAnsi="David"/>
          <w:sz w:val="24"/>
          <w:rtl/>
        </w:rPr>
        <w:t xml:space="preserve"> </w:t>
      </w:r>
      <w:r w:rsidRPr="006946D3">
        <w:rPr>
          <w:rFonts w:ascii="David" w:eastAsia="Calibri" w:hAnsi="David" w:hint="eastAsia"/>
          <w:sz w:val="24"/>
          <w:rtl/>
        </w:rPr>
        <w:t>להלן</w:t>
      </w:r>
      <w:r w:rsidRPr="006946D3">
        <w:rPr>
          <w:rFonts w:ascii="David" w:eastAsia="Calibri" w:hAnsi="David"/>
          <w:sz w:val="24"/>
          <w:rtl/>
        </w:rPr>
        <w:t xml:space="preserve"> (וכאן </w:t>
      </w:r>
      <w:r w:rsidRPr="006946D3">
        <w:rPr>
          <w:rFonts w:ascii="David" w:eastAsia="Calibri" w:hAnsi="David" w:hint="eastAsia"/>
          <w:sz w:val="24"/>
          <w:rtl/>
        </w:rPr>
        <w:t>בא</w:t>
      </w:r>
      <w:r w:rsidRPr="006946D3">
        <w:rPr>
          <w:rFonts w:ascii="David" w:eastAsia="Calibri" w:hAnsi="David"/>
          <w:sz w:val="24"/>
          <w:rtl/>
        </w:rPr>
        <w:t xml:space="preserve"> </w:t>
      </w:r>
      <w:r w:rsidRPr="006946D3">
        <w:rPr>
          <w:rFonts w:ascii="David" w:eastAsia="Calibri" w:hAnsi="David" w:hint="eastAsia"/>
          <w:sz w:val="24"/>
          <w:rtl/>
        </w:rPr>
        <w:t>פירוט</w:t>
      </w:r>
      <w:r w:rsidRPr="006946D3">
        <w:rPr>
          <w:rFonts w:ascii="David" w:eastAsia="Calibri" w:hAnsi="David"/>
          <w:sz w:val="24"/>
          <w:rtl/>
        </w:rPr>
        <w:t xml:space="preserve"> </w:t>
      </w:r>
      <w:r w:rsidRPr="006946D3">
        <w:rPr>
          <w:rFonts w:ascii="David" w:eastAsia="Calibri" w:hAnsi="David" w:hint="eastAsia"/>
          <w:sz w:val="24"/>
          <w:rtl/>
        </w:rPr>
        <w:t>הבקשות</w:t>
      </w:r>
      <w:r w:rsidRPr="006946D3">
        <w:rPr>
          <w:rFonts w:ascii="David" w:eastAsia="Calibri" w:hAnsi="David"/>
          <w:sz w:val="24"/>
          <w:rtl/>
        </w:rPr>
        <w:t xml:space="preserve"> </w:t>
      </w:r>
      <w:r w:rsidRPr="006946D3">
        <w:rPr>
          <w:rFonts w:ascii="David" w:eastAsia="Calibri" w:hAnsi="David" w:hint="eastAsia"/>
          <w:sz w:val="24"/>
          <w:rtl/>
        </w:rPr>
        <w:t>שהוגשו</w:t>
      </w:r>
      <w:r w:rsidRPr="006946D3">
        <w:rPr>
          <w:rFonts w:ascii="David" w:eastAsia="Calibri" w:hAnsi="David"/>
          <w:sz w:val="24"/>
          <w:rtl/>
        </w:rPr>
        <w:t xml:space="preserve"> </w:t>
      </w:r>
      <w:r w:rsidRPr="006946D3">
        <w:rPr>
          <w:rFonts w:ascii="David" w:eastAsia="Calibri" w:hAnsi="David" w:hint="eastAsia"/>
          <w:sz w:val="24"/>
          <w:rtl/>
        </w:rPr>
        <w:t>לבית</w:t>
      </w:r>
      <w:r w:rsidRPr="006946D3">
        <w:rPr>
          <w:rFonts w:ascii="David" w:eastAsia="Calibri" w:hAnsi="David"/>
          <w:sz w:val="24"/>
          <w:rtl/>
        </w:rPr>
        <w:t xml:space="preserve"> </w:t>
      </w:r>
      <w:r w:rsidRPr="006946D3">
        <w:rPr>
          <w:rFonts w:ascii="David" w:eastAsia="Calibri" w:hAnsi="David" w:hint="eastAsia"/>
          <w:sz w:val="24"/>
          <w:rtl/>
        </w:rPr>
        <w:t>המשפט</w:t>
      </w:r>
      <w:r w:rsidRPr="006946D3">
        <w:rPr>
          <w:rFonts w:ascii="David" w:eastAsia="Calibri" w:hAnsi="David"/>
          <w:sz w:val="24"/>
          <w:rtl/>
        </w:rPr>
        <w:t>)</w:t>
      </w:r>
      <w:r w:rsidRPr="006946D3">
        <w:rPr>
          <w:rFonts w:ascii="David" w:eastAsia="Calibri" w:hAnsi="David" w:hint="cs"/>
          <w:sz w:val="24"/>
          <w:rtl/>
        </w:rPr>
        <w:t>.</w:t>
      </w:r>
      <w:r w:rsidRPr="006946D3">
        <w:rPr>
          <w:rFonts w:ascii="David" w:eastAsia="Calibri" w:hAnsi="David"/>
          <w:sz w:val="24"/>
          <w:rtl/>
        </w:rPr>
        <w:t>"</w:t>
      </w:r>
    </w:p>
    <w:p w:rsidR="004B50FC" w:rsidRPr="004B50FC" w:rsidRDefault="004B50FC" w:rsidP="00E2380D">
      <w:pPr>
        <w:spacing w:line="269" w:lineRule="auto"/>
        <w:ind w:left="1143"/>
        <w:contextualSpacing/>
        <w:rPr>
          <w:rFonts w:ascii="David" w:eastAsia="Calibri" w:hAnsi="David"/>
          <w:sz w:val="24"/>
        </w:rPr>
      </w:pPr>
    </w:p>
    <w:p w:rsidR="006946D3" w:rsidRPr="006946D3" w:rsidRDefault="006946D3" w:rsidP="00E2380D">
      <w:pPr>
        <w:numPr>
          <w:ilvl w:val="0"/>
          <w:numId w:val="14"/>
        </w:numPr>
        <w:spacing w:line="269" w:lineRule="auto"/>
        <w:ind w:left="783"/>
        <w:contextualSpacing/>
        <w:rPr>
          <w:rFonts w:ascii="David" w:eastAsia="Calibri" w:hAnsi="David"/>
          <w:sz w:val="24"/>
          <w:rtl/>
        </w:rPr>
      </w:pPr>
      <w:r w:rsidRPr="006946D3">
        <w:rPr>
          <w:rFonts w:ascii="David" w:eastAsia="Calibri" w:hAnsi="David"/>
          <w:sz w:val="24"/>
          <w:rtl/>
        </w:rPr>
        <w:t xml:space="preserve">"כל </w:t>
      </w:r>
      <w:r w:rsidRPr="006946D3">
        <w:rPr>
          <w:rFonts w:ascii="David" w:eastAsia="Calibri" w:hAnsi="David" w:hint="eastAsia"/>
          <w:sz w:val="24"/>
          <w:rtl/>
        </w:rPr>
        <w:t>פרט</w:t>
      </w:r>
      <w:r w:rsidRPr="006946D3">
        <w:rPr>
          <w:rFonts w:ascii="David" w:eastAsia="Calibri" w:hAnsi="David"/>
          <w:sz w:val="24"/>
          <w:rtl/>
        </w:rPr>
        <w:t xml:space="preserve"> </w:t>
      </w:r>
      <w:r w:rsidRPr="006946D3">
        <w:rPr>
          <w:rFonts w:ascii="David" w:eastAsia="Calibri" w:hAnsi="David" w:hint="eastAsia"/>
          <w:sz w:val="24"/>
          <w:rtl/>
        </w:rPr>
        <w:t>או</w:t>
      </w:r>
      <w:r w:rsidRPr="006946D3">
        <w:rPr>
          <w:rFonts w:ascii="David" w:eastAsia="Calibri" w:hAnsi="David"/>
          <w:sz w:val="24"/>
          <w:rtl/>
        </w:rPr>
        <w:t xml:space="preserve"> </w:t>
      </w:r>
      <w:r w:rsidRPr="006946D3">
        <w:rPr>
          <w:rFonts w:ascii="David" w:eastAsia="Calibri" w:hAnsi="David" w:hint="eastAsia"/>
          <w:sz w:val="24"/>
          <w:rtl/>
        </w:rPr>
        <w:t>מידע</w:t>
      </w:r>
      <w:r w:rsidRPr="006946D3">
        <w:rPr>
          <w:rFonts w:ascii="David" w:eastAsia="Calibri" w:hAnsi="David"/>
          <w:sz w:val="24"/>
          <w:rtl/>
        </w:rPr>
        <w:t xml:space="preserve"> </w:t>
      </w:r>
      <w:r w:rsidRPr="006946D3">
        <w:rPr>
          <w:rFonts w:ascii="David" w:eastAsia="Calibri" w:hAnsi="David" w:hint="eastAsia"/>
          <w:sz w:val="24"/>
          <w:rtl/>
        </w:rPr>
        <w:t>שיש</w:t>
      </w:r>
      <w:r w:rsidRPr="006946D3">
        <w:rPr>
          <w:rFonts w:ascii="David" w:eastAsia="Calibri" w:hAnsi="David"/>
          <w:sz w:val="24"/>
          <w:rtl/>
        </w:rPr>
        <w:t xml:space="preserve"> </w:t>
      </w:r>
      <w:r w:rsidRPr="006946D3">
        <w:rPr>
          <w:rFonts w:ascii="David" w:eastAsia="Calibri" w:hAnsi="David" w:hint="eastAsia"/>
          <w:sz w:val="24"/>
          <w:rtl/>
        </w:rPr>
        <w:t>בו</w:t>
      </w:r>
      <w:r w:rsidRPr="006946D3">
        <w:rPr>
          <w:rFonts w:ascii="David" w:eastAsia="Calibri" w:hAnsi="David"/>
          <w:sz w:val="24"/>
          <w:rtl/>
        </w:rPr>
        <w:t xml:space="preserve"> </w:t>
      </w:r>
      <w:r w:rsidRPr="006946D3">
        <w:rPr>
          <w:rFonts w:ascii="David" w:eastAsia="Calibri" w:hAnsi="David" w:hint="eastAsia"/>
          <w:sz w:val="24"/>
          <w:rtl/>
        </w:rPr>
        <w:t>לגלות</w:t>
      </w:r>
      <w:r w:rsidRPr="006946D3">
        <w:rPr>
          <w:rFonts w:ascii="David" w:eastAsia="Calibri" w:hAnsi="David"/>
          <w:sz w:val="24"/>
          <w:rtl/>
        </w:rPr>
        <w:t xml:space="preserve"> </w:t>
      </w:r>
      <w:r w:rsidRPr="006946D3">
        <w:rPr>
          <w:rFonts w:ascii="David" w:eastAsia="Calibri" w:hAnsi="David" w:hint="eastAsia"/>
          <w:sz w:val="24"/>
          <w:rtl/>
        </w:rPr>
        <w:t>מהותם</w:t>
      </w:r>
      <w:r w:rsidRPr="006946D3">
        <w:rPr>
          <w:rFonts w:ascii="David" w:eastAsia="Calibri" w:hAnsi="David"/>
          <w:sz w:val="24"/>
          <w:rtl/>
        </w:rPr>
        <w:t xml:space="preserve"> </w:t>
      </w:r>
      <w:r w:rsidRPr="006946D3">
        <w:rPr>
          <w:rFonts w:ascii="David" w:eastAsia="Calibri" w:hAnsi="David" w:hint="eastAsia"/>
          <w:sz w:val="24"/>
          <w:rtl/>
        </w:rPr>
        <w:t>של</w:t>
      </w:r>
      <w:r w:rsidRPr="006946D3">
        <w:rPr>
          <w:rFonts w:ascii="David" w:eastAsia="Calibri" w:hAnsi="David"/>
          <w:sz w:val="24"/>
          <w:rtl/>
        </w:rPr>
        <w:t xml:space="preserve"> </w:t>
      </w:r>
      <w:r w:rsidRPr="006946D3">
        <w:rPr>
          <w:rFonts w:ascii="David" w:eastAsia="Calibri" w:hAnsi="David" w:hint="eastAsia"/>
          <w:sz w:val="24"/>
          <w:rtl/>
        </w:rPr>
        <w:t>נתוני</w:t>
      </w:r>
      <w:r w:rsidRPr="006946D3">
        <w:rPr>
          <w:rFonts w:ascii="David" w:eastAsia="Calibri" w:hAnsi="David"/>
          <w:sz w:val="24"/>
          <w:rtl/>
        </w:rPr>
        <w:t xml:space="preserve"> </w:t>
      </w:r>
      <w:r w:rsidRPr="006946D3">
        <w:rPr>
          <w:rFonts w:ascii="David" w:eastAsia="Calibri" w:hAnsi="David" w:hint="eastAsia"/>
          <w:sz w:val="24"/>
          <w:rtl/>
        </w:rPr>
        <w:t>התקשורת</w:t>
      </w:r>
      <w:r w:rsidRPr="006946D3">
        <w:rPr>
          <w:rFonts w:ascii="David" w:eastAsia="Calibri" w:hAnsi="David"/>
          <w:sz w:val="24"/>
          <w:rtl/>
        </w:rPr>
        <w:t xml:space="preserve"> </w:t>
      </w:r>
      <w:r w:rsidRPr="006946D3">
        <w:rPr>
          <w:rFonts w:ascii="David" w:eastAsia="Calibri" w:hAnsi="David" w:hint="eastAsia"/>
          <w:sz w:val="24"/>
          <w:rtl/>
        </w:rPr>
        <w:t>המסומנים</w:t>
      </w:r>
      <w:r w:rsidRPr="006946D3">
        <w:rPr>
          <w:rFonts w:ascii="David" w:eastAsia="Calibri" w:hAnsi="David"/>
          <w:sz w:val="24"/>
          <w:rtl/>
        </w:rPr>
        <w:t xml:space="preserve"> </w:t>
      </w:r>
      <w:r w:rsidRPr="006946D3">
        <w:rPr>
          <w:rFonts w:ascii="David" w:eastAsia="Calibri" w:hAnsi="David" w:hint="eastAsia"/>
          <w:sz w:val="24"/>
          <w:rtl/>
        </w:rPr>
        <w:t>א</w:t>
      </w:r>
      <w:r w:rsidRPr="006946D3">
        <w:rPr>
          <w:rFonts w:ascii="David" w:eastAsia="Calibri" w:hAnsi="David"/>
          <w:sz w:val="24"/>
          <w:rtl/>
        </w:rPr>
        <w:t xml:space="preserve">' </w:t>
      </w:r>
      <w:r w:rsidRPr="006946D3">
        <w:rPr>
          <w:rFonts w:ascii="David" w:eastAsia="Calibri" w:hAnsi="David" w:hint="eastAsia"/>
          <w:sz w:val="24"/>
          <w:rtl/>
        </w:rPr>
        <w:t>ו</w:t>
      </w:r>
      <w:r w:rsidRPr="006946D3">
        <w:rPr>
          <w:rFonts w:ascii="David" w:eastAsia="Calibri" w:hAnsi="David"/>
          <w:sz w:val="24"/>
          <w:rtl/>
        </w:rPr>
        <w:t xml:space="preserve"> -ב', </w:t>
      </w:r>
      <w:r w:rsidRPr="006946D3">
        <w:rPr>
          <w:rFonts w:ascii="David" w:eastAsia="Calibri" w:hAnsi="David" w:hint="eastAsia"/>
          <w:sz w:val="24"/>
          <w:rtl/>
        </w:rPr>
        <w:t>המופיעים</w:t>
      </w:r>
      <w:r w:rsidRPr="006946D3">
        <w:rPr>
          <w:rFonts w:ascii="David" w:eastAsia="Calibri" w:hAnsi="David"/>
          <w:sz w:val="24"/>
          <w:rtl/>
        </w:rPr>
        <w:t xml:space="preserve"> </w:t>
      </w:r>
      <w:r w:rsidRPr="006946D3">
        <w:rPr>
          <w:rFonts w:ascii="David" w:eastAsia="Calibri" w:hAnsi="David" w:hint="eastAsia"/>
          <w:sz w:val="24"/>
          <w:rtl/>
        </w:rPr>
        <w:t>בבקשות</w:t>
      </w:r>
      <w:r w:rsidRPr="006946D3">
        <w:rPr>
          <w:rFonts w:ascii="David" w:eastAsia="Calibri" w:hAnsi="David"/>
          <w:sz w:val="24"/>
          <w:rtl/>
        </w:rPr>
        <w:t xml:space="preserve"> </w:t>
      </w:r>
      <w:r w:rsidRPr="006946D3">
        <w:rPr>
          <w:rFonts w:ascii="David" w:eastAsia="Calibri" w:hAnsi="David" w:hint="eastAsia"/>
          <w:sz w:val="24"/>
          <w:rtl/>
        </w:rPr>
        <w:t>ובהחלטות</w:t>
      </w:r>
      <w:r w:rsidRPr="006946D3">
        <w:rPr>
          <w:rFonts w:ascii="David" w:eastAsia="Calibri" w:hAnsi="David"/>
          <w:sz w:val="24"/>
          <w:rtl/>
        </w:rPr>
        <w:t xml:space="preserve"> </w:t>
      </w:r>
      <w:r w:rsidRPr="006946D3">
        <w:rPr>
          <w:rFonts w:ascii="David" w:eastAsia="Calibri" w:hAnsi="David" w:hint="eastAsia"/>
          <w:sz w:val="24"/>
          <w:rtl/>
        </w:rPr>
        <w:t>למתן</w:t>
      </w:r>
      <w:r w:rsidRPr="006946D3">
        <w:rPr>
          <w:rFonts w:ascii="David" w:eastAsia="Calibri" w:hAnsi="David"/>
          <w:sz w:val="24"/>
          <w:rtl/>
        </w:rPr>
        <w:t xml:space="preserve"> </w:t>
      </w:r>
      <w:r w:rsidRPr="006946D3">
        <w:rPr>
          <w:rFonts w:ascii="David" w:eastAsia="Calibri" w:hAnsi="David" w:hint="eastAsia"/>
          <w:sz w:val="24"/>
          <w:rtl/>
        </w:rPr>
        <w:t>צו</w:t>
      </w:r>
      <w:r w:rsidRPr="006946D3">
        <w:rPr>
          <w:rFonts w:ascii="David" w:eastAsia="Calibri" w:hAnsi="David"/>
          <w:sz w:val="24"/>
          <w:rtl/>
        </w:rPr>
        <w:t xml:space="preserve"> </w:t>
      </w:r>
      <w:r w:rsidRPr="006946D3">
        <w:rPr>
          <w:rFonts w:ascii="David" w:eastAsia="Calibri" w:hAnsi="David" w:hint="eastAsia"/>
          <w:sz w:val="24"/>
          <w:rtl/>
        </w:rPr>
        <w:t>לקבלת</w:t>
      </w:r>
      <w:r w:rsidRPr="006946D3">
        <w:rPr>
          <w:rFonts w:ascii="David" w:eastAsia="Calibri" w:hAnsi="David"/>
          <w:sz w:val="24"/>
          <w:rtl/>
        </w:rPr>
        <w:t xml:space="preserve"> </w:t>
      </w:r>
      <w:r w:rsidRPr="006946D3">
        <w:rPr>
          <w:rFonts w:ascii="David" w:eastAsia="Calibri" w:hAnsi="David" w:hint="eastAsia"/>
          <w:sz w:val="24"/>
          <w:rtl/>
        </w:rPr>
        <w:t>נתוני</w:t>
      </w:r>
      <w:r w:rsidRPr="006946D3">
        <w:rPr>
          <w:rFonts w:ascii="David" w:eastAsia="Calibri" w:hAnsi="David"/>
          <w:sz w:val="24"/>
          <w:rtl/>
        </w:rPr>
        <w:t xml:space="preserve"> </w:t>
      </w:r>
      <w:r w:rsidRPr="006946D3">
        <w:rPr>
          <w:rFonts w:ascii="David" w:eastAsia="Calibri" w:hAnsi="David" w:hint="eastAsia"/>
          <w:sz w:val="24"/>
          <w:rtl/>
        </w:rPr>
        <w:t>תקשורת</w:t>
      </w:r>
      <w:r w:rsidRPr="006946D3">
        <w:rPr>
          <w:rFonts w:ascii="David" w:eastAsia="Calibri" w:hAnsi="David"/>
          <w:sz w:val="24"/>
          <w:rtl/>
        </w:rPr>
        <w:t xml:space="preserve"> </w:t>
      </w:r>
      <w:r w:rsidRPr="006946D3">
        <w:rPr>
          <w:rFonts w:ascii="David" w:eastAsia="Calibri" w:hAnsi="David" w:hint="eastAsia"/>
          <w:sz w:val="24"/>
          <w:rtl/>
        </w:rPr>
        <w:t>שמספריהם</w:t>
      </w:r>
      <w:r w:rsidRPr="006946D3">
        <w:rPr>
          <w:rFonts w:ascii="David" w:eastAsia="Calibri" w:hAnsi="David"/>
          <w:sz w:val="24"/>
          <w:rtl/>
        </w:rPr>
        <w:t xml:space="preserve"> </w:t>
      </w:r>
      <w:r w:rsidRPr="006946D3">
        <w:rPr>
          <w:rFonts w:ascii="David" w:eastAsia="Calibri" w:hAnsi="David" w:hint="eastAsia"/>
          <w:sz w:val="24"/>
          <w:rtl/>
        </w:rPr>
        <w:t>מפורטים</w:t>
      </w:r>
      <w:r w:rsidRPr="006946D3">
        <w:rPr>
          <w:rFonts w:ascii="David" w:eastAsia="Calibri" w:hAnsi="David"/>
          <w:sz w:val="24"/>
          <w:rtl/>
        </w:rPr>
        <w:t xml:space="preserve"> </w:t>
      </w:r>
      <w:r w:rsidRPr="006946D3">
        <w:rPr>
          <w:rFonts w:ascii="David" w:eastAsia="Calibri" w:hAnsi="David" w:hint="eastAsia"/>
          <w:sz w:val="24"/>
          <w:rtl/>
        </w:rPr>
        <w:t>להלן</w:t>
      </w:r>
      <w:r w:rsidRPr="006946D3">
        <w:rPr>
          <w:rFonts w:ascii="David" w:eastAsia="Calibri" w:hAnsi="David"/>
          <w:sz w:val="24"/>
          <w:rtl/>
        </w:rPr>
        <w:t xml:space="preserve">, </w:t>
      </w:r>
      <w:r w:rsidRPr="006946D3">
        <w:rPr>
          <w:rFonts w:ascii="David" w:eastAsia="Calibri" w:hAnsi="David" w:hint="eastAsia"/>
          <w:sz w:val="24"/>
          <w:rtl/>
        </w:rPr>
        <w:t>לרבות</w:t>
      </w:r>
      <w:r w:rsidRPr="006946D3">
        <w:rPr>
          <w:rFonts w:ascii="David" w:eastAsia="Calibri" w:hAnsi="David"/>
          <w:sz w:val="24"/>
          <w:rtl/>
        </w:rPr>
        <w:t xml:space="preserve"> </w:t>
      </w:r>
      <w:r w:rsidRPr="006946D3">
        <w:rPr>
          <w:rFonts w:ascii="David" w:eastAsia="Calibri" w:hAnsi="David" w:hint="eastAsia"/>
          <w:sz w:val="24"/>
          <w:rtl/>
        </w:rPr>
        <w:t>פרטי</w:t>
      </w:r>
      <w:r w:rsidRPr="006946D3">
        <w:rPr>
          <w:rFonts w:ascii="David" w:eastAsia="Calibri" w:hAnsi="David"/>
          <w:sz w:val="24"/>
          <w:rtl/>
        </w:rPr>
        <w:t xml:space="preserve"> </w:t>
      </w:r>
      <w:r w:rsidRPr="006946D3">
        <w:rPr>
          <w:rFonts w:ascii="David" w:eastAsia="Calibri" w:hAnsi="David" w:hint="eastAsia"/>
          <w:sz w:val="24"/>
          <w:rtl/>
        </w:rPr>
        <w:t>הנתונים</w:t>
      </w:r>
      <w:r w:rsidRPr="006946D3">
        <w:rPr>
          <w:rFonts w:ascii="David" w:eastAsia="Calibri" w:hAnsi="David"/>
          <w:sz w:val="24"/>
          <w:rtl/>
        </w:rPr>
        <w:t xml:space="preserve"> </w:t>
      </w:r>
      <w:r w:rsidRPr="006946D3">
        <w:rPr>
          <w:rFonts w:ascii="David" w:eastAsia="Calibri" w:hAnsi="David" w:hint="eastAsia"/>
          <w:sz w:val="24"/>
          <w:rtl/>
        </w:rPr>
        <w:t>ותוצריהם</w:t>
      </w:r>
      <w:r w:rsidRPr="006946D3">
        <w:rPr>
          <w:rFonts w:ascii="David" w:eastAsia="Calibri" w:hAnsi="David"/>
          <w:sz w:val="24"/>
          <w:rtl/>
        </w:rPr>
        <w:t xml:space="preserve"> (וכאן </w:t>
      </w:r>
      <w:r w:rsidRPr="006946D3">
        <w:rPr>
          <w:rFonts w:ascii="David" w:eastAsia="Calibri" w:hAnsi="David" w:hint="eastAsia"/>
          <w:sz w:val="24"/>
          <w:rtl/>
        </w:rPr>
        <w:t>בא</w:t>
      </w:r>
      <w:r w:rsidRPr="006946D3">
        <w:rPr>
          <w:rFonts w:ascii="David" w:eastAsia="Calibri" w:hAnsi="David"/>
          <w:sz w:val="24"/>
          <w:rtl/>
        </w:rPr>
        <w:t xml:space="preserve"> </w:t>
      </w:r>
      <w:r w:rsidRPr="006946D3">
        <w:rPr>
          <w:rFonts w:ascii="David" w:eastAsia="Calibri" w:hAnsi="David" w:hint="eastAsia"/>
          <w:sz w:val="24"/>
          <w:rtl/>
        </w:rPr>
        <w:t>פירוט</w:t>
      </w:r>
      <w:r w:rsidRPr="006946D3">
        <w:rPr>
          <w:rFonts w:ascii="David" w:eastAsia="Calibri" w:hAnsi="David"/>
          <w:sz w:val="24"/>
          <w:rtl/>
        </w:rPr>
        <w:t xml:space="preserve"> </w:t>
      </w:r>
      <w:r w:rsidRPr="006946D3">
        <w:rPr>
          <w:rFonts w:ascii="David" w:eastAsia="Calibri" w:hAnsi="David" w:hint="eastAsia"/>
          <w:sz w:val="24"/>
          <w:rtl/>
        </w:rPr>
        <w:t>הבקשות</w:t>
      </w:r>
      <w:r w:rsidRPr="006946D3">
        <w:rPr>
          <w:rFonts w:ascii="David" w:eastAsia="Calibri" w:hAnsi="David"/>
          <w:sz w:val="24"/>
          <w:rtl/>
        </w:rPr>
        <w:t xml:space="preserve"> </w:t>
      </w:r>
      <w:r w:rsidRPr="006946D3">
        <w:rPr>
          <w:rFonts w:ascii="David" w:eastAsia="Calibri" w:hAnsi="David" w:hint="eastAsia"/>
          <w:sz w:val="24"/>
          <w:rtl/>
        </w:rPr>
        <w:t>וההחלטות</w:t>
      </w:r>
      <w:r w:rsidRPr="006946D3">
        <w:rPr>
          <w:rFonts w:ascii="David" w:eastAsia="Calibri" w:hAnsi="David"/>
          <w:sz w:val="24"/>
          <w:rtl/>
        </w:rPr>
        <w:t>)</w:t>
      </w:r>
      <w:r w:rsidRPr="006946D3">
        <w:rPr>
          <w:rFonts w:ascii="David" w:eastAsia="Calibri" w:hAnsi="David" w:hint="cs"/>
          <w:sz w:val="24"/>
          <w:rtl/>
        </w:rPr>
        <w:t>.</w:t>
      </w:r>
      <w:r w:rsidRPr="006946D3">
        <w:rPr>
          <w:rFonts w:ascii="David" w:eastAsia="Calibri" w:hAnsi="David"/>
          <w:sz w:val="24"/>
          <w:rtl/>
        </w:rPr>
        <w:t>"</w:t>
      </w:r>
    </w:p>
    <w:p w:rsidR="004B50FC" w:rsidRDefault="004B50FC" w:rsidP="00E2380D">
      <w:pPr>
        <w:spacing w:line="269" w:lineRule="auto"/>
        <w:ind w:left="423"/>
        <w:rPr>
          <w:rFonts w:eastAsia="Calibri"/>
          <w:sz w:val="16"/>
          <w:szCs w:val="16"/>
          <w:rtl/>
        </w:rPr>
      </w:pPr>
    </w:p>
    <w:p w:rsidR="006946D3" w:rsidRPr="006946D3" w:rsidRDefault="006946D3" w:rsidP="00E2380D">
      <w:pPr>
        <w:spacing w:line="269" w:lineRule="auto"/>
        <w:ind w:left="423"/>
        <w:rPr>
          <w:rFonts w:ascii="David" w:eastAsia="Calibri" w:hAnsi="David"/>
          <w:sz w:val="24"/>
          <w:rtl/>
        </w:rPr>
      </w:pPr>
      <w:r w:rsidRPr="006946D3">
        <w:rPr>
          <w:rFonts w:ascii="David" w:eastAsia="Calibri" w:hAnsi="David" w:hint="cs"/>
          <w:sz w:val="24"/>
          <w:rtl/>
        </w:rPr>
        <w:t>צוות הביקורת קיבל ממדור חסיונות במשטרה העתק של כל תעודות החיסיון שאושרו ונחתמו על ידי הממונה על החסיונות במשרד לביטחון לאומי מינואר 2020 ועד יוני 2022, שמספרן הכולל כ-20,000 (כ-8,000 תעודות בשנה).</w:t>
      </w:r>
      <w:r w:rsidRPr="006946D3">
        <w:rPr>
          <w:rFonts w:ascii="David" w:eastAsia="Calibri" w:hAnsi="David" w:hint="cs"/>
          <w:color w:val="0070C0"/>
          <w:sz w:val="24"/>
          <w:rtl/>
        </w:rPr>
        <w:t xml:space="preserve"> </w:t>
      </w:r>
    </w:p>
    <w:p w:rsidR="004B50FC" w:rsidRDefault="004B50FC" w:rsidP="00E2380D">
      <w:pPr>
        <w:spacing w:line="269" w:lineRule="auto"/>
        <w:ind w:left="423"/>
        <w:rPr>
          <w:rFonts w:eastAsia="Calibri"/>
          <w:sz w:val="16"/>
          <w:szCs w:val="16"/>
          <w:rtl/>
        </w:rPr>
      </w:pPr>
    </w:p>
    <w:p w:rsidR="006946D3" w:rsidRPr="006946D3" w:rsidRDefault="006946D3" w:rsidP="00E2380D">
      <w:pPr>
        <w:spacing w:line="269" w:lineRule="auto"/>
        <w:ind w:left="423"/>
        <w:rPr>
          <w:rFonts w:ascii="David" w:eastAsia="Calibri" w:hAnsi="David"/>
          <w:sz w:val="24"/>
          <w:rtl/>
        </w:rPr>
      </w:pPr>
      <w:r w:rsidRPr="006946D3">
        <w:rPr>
          <w:rFonts w:ascii="David" w:eastAsia="Calibri" w:hAnsi="David" w:hint="cs"/>
          <w:sz w:val="24"/>
          <w:rtl/>
        </w:rPr>
        <w:t xml:space="preserve">בהיעדר מסד נתונים רלוונטי של המשטרה, משרד מבקר המדינה פילח את הנתונים של 2,008 מתעודות החיסיון שהעבירה לו המשטרה (כ-10%), שנבחרו באופן אקראי, והם מוצגים להלן בתרשים ובלוח: </w:t>
      </w:r>
    </w:p>
    <w:p w:rsidR="004B50FC" w:rsidRDefault="004B50FC" w:rsidP="00604C3D">
      <w:pPr>
        <w:spacing w:line="269" w:lineRule="auto"/>
        <w:jc w:val="center"/>
        <w:rPr>
          <w:rFonts w:eastAsia="Calibri"/>
          <w:sz w:val="16"/>
          <w:szCs w:val="16"/>
          <w:rtl/>
        </w:rPr>
      </w:pPr>
    </w:p>
    <w:p w:rsidR="006946D3" w:rsidRPr="006946D3" w:rsidRDefault="006946D3" w:rsidP="00604C3D">
      <w:pPr>
        <w:spacing w:line="269" w:lineRule="auto"/>
        <w:jc w:val="center"/>
        <w:rPr>
          <w:rFonts w:ascii="David" w:eastAsia="Calibri" w:hAnsi="David"/>
          <w:sz w:val="24"/>
          <w:rtl/>
        </w:rPr>
      </w:pPr>
      <w:r w:rsidRPr="006946D3">
        <w:rPr>
          <w:rFonts w:eastAsia="Calibri" w:hint="cs"/>
          <w:rtl/>
        </w:rPr>
        <w:t>תרשים</w:t>
      </w:r>
      <w:r w:rsidR="007A7358">
        <w:rPr>
          <w:rFonts w:eastAsia="Calibri" w:hint="cs"/>
          <w:rtl/>
        </w:rPr>
        <w:t xml:space="preserve"> 24</w:t>
      </w:r>
      <w:r w:rsidRPr="006946D3">
        <w:rPr>
          <w:rFonts w:ascii="David" w:eastAsia="Calibri" w:hAnsi="David"/>
          <w:sz w:val="24"/>
          <w:rtl/>
        </w:rPr>
        <w:t>:</w:t>
      </w:r>
      <w:r w:rsidRPr="006946D3">
        <w:rPr>
          <w:rFonts w:ascii="David" w:eastAsia="Calibri" w:hAnsi="David" w:hint="cs"/>
          <w:b/>
          <w:bCs/>
          <w:sz w:val="24"/>
          <w:rtl/>
        </w:rPr>
        <w:t xml:space="preserve"> שיעור תעודות החיסיון בפרקליטות, בחטיבת התביעות במשטרה ובגופים אחרים</w:t>
      </w:r>
      <w:r w:rsidRPr="006946D3">
        <w:rPr>
          <w:rFonts w:ascii="David" w:eastAsia="Calibri" w:hAnsi="David"/>
          <w:b/>
          <w:bCs/>
          <w:sz w:val="24"/>
          <w:vertAlign w:val="superscript"/>
          <w:rtl/>
        </w:rPr>
        <w:footnoteReference w:id="334"/>
      </w:r>
      <w:r w:rsidRPr="006946D3">
        <w:rPr>
          <w:rFonts w:ascii="David" w:eastAsia="Calibri" w:hAnsi="David" w:hint="cs"/>
          <w:b/>
          <w:bCs/>
          <w:sz w:val="24"/>
          <w:rtl/>
        </w:rPr>
        <w:t xml:space="preserve"> (באחוזים)</w:t>
      </w:r>
    </w:p>
    <w:p w:rsidR="006946D3" w:rsidRPr="006946D3" w:rsidRDefault="007A7358" w:rsidP="00604C3D">
      <w:pPr>
        <w:spacing w:line="269" w:lineRule="auto"/>
        <w:jc w:val="center"/>
        <w:rPr>
          <w:rFonts w:ascii="David" w:eastAsia="Calibri" w:hAnsi="David"/>
          <w:color w:val="0070C0"/>
          <w:sz w:val="24"/>
          <w:rtl/>
        </w:rPr>
      </w:pPr>
      <w:r>
        <w:rPr>
          <w:rFonts w:ascii="David" w:eastAsia="Calibri" w:hAnsi="David"/>
          <w:noProof/>
          <w:color w:val="0070C0"/>
          <w:sz w:val="24"/>
        </w:rPr>
        <w:drawing>
          <wp:inline distT="0" distB="0" distL="0" distR="0" wp14:anchorId="658ED851" wp14:editId="0181B884">
            <wp:extent cx="4572635" cy="27432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6946D3" w:rsidRPr="006946D3" w:rsidRDefault="00536296" w:rsidP="005A0F21">
      <w:pPr>
        <w:spacing w:line="269" w:lineRule="auto"/>
        <w:ind w:firstLine="423"/>
        <w:rPr>
          <w:rFonts w:ascii="David" w:eastAsia="Calibri" w:hAnsi="David"/>
          <w:szCs w:val="20"/>
          <w:rtl/>
        </w:rPr>
      </w:pPr>
      <w:r>
        <w:rPr>
          <w:rFonts w:ascii="David" w:eastAsia="Calibri" w:hAnsi="David" w:hint="cs"/>
          <w:szCs w:val="20"/>
          <w:rtl/>
        </w:rPr>
        <w:t xml:space="preserve">על פי </w:t>
      </w:r>
      <w:r w:rsidR="006946D3" w:rsidRPr="006946D3">
        <w:rPr>
          <w:rFonts w:ascii="David" w:eastAsia="Calibri" w:hAnsi="David" w:hint="eastAsia"/>
          <w:szCs w:val="20"/>
          <w:rtl/>
        </w:rPr>
        <w:t>תעודות</w:t>
      </w:r>
      <w:r w:rsidR="006946D3" w:rsidRPr="006946D3">
        <w:rPr>
          <w:rFonts w:ascii="David" w:eastAsia="Calibri" w:hAnsi="David"/>
          <w:szCs w:val="20"/>
          <w:rtl/>
        </w:rPr>
        <w:t xml:space="preserve"> </w:t>
      </w:r>
      <w:r w:rsidR="006946D3" w:rsidRPr="006946D3">
        <w:rPr>
          <w:rFonts w:ascii="David" w:eastAsia="Calibri" w:hAnsi="David" w:hint="cs"/>
          <w:szCs w:val="20"/>
          <w:rtl/>
        </w:rPr>
        <w:t>ה</w:t>
      </w:r>
      <w:r w:rsidR="006946D3" w:rsidRPr="006946D3">
        <w:rPr>
          <w:rFonts w:ascii="David" w:eastAsia="Calibri" w:hAnsi="David" w:hint="eastAsia"/>
          <w:szCs w:val="20"/>
          <w:rtl/>
        </w:rPr>
        <w:t>חיסיון</w:t>
      </w:r>
      <w:r w:rsidR="006946D3" w:rsidRPr="006946D3">
        <w:rPr>
          <w:rFonts w:ascii="David" w:eastAsia="Calibri" w:hAnsi="David"/>
          <w:szCs w:val="20"/>
          <w:rtl/>
        </w:rPr>
        <w:t xml:space="preserve"> </w:t>
      </w:r>
      <w:r w:rsidR="006946D3" w:rsidRPr="006946D3">
        <w:rPr>
          <w:rFonts w:ascii="David" w:eastAsia="Calibri" w:hAnsi="David" w:hint="eastAsia"/>
          <w:szCs w:val="20"/>
          <w:rtl/>
        </w:rPr>
        <w:t>שהתקבלו</w:t>
      </w:r>
      <w:r w:rsidR="006946D3" w:rsidRPr="006946D3">
        <w:rPr>
          <w:rFonts w:ascii="David" w:eastAsia="Calibri" w:hAnsi="David"/>
          <w:szCs w:val="20"/>
          <w:rtl/>
        </w:rPr>
        <w:t xml:space="preserve"> </w:t>
      </w:r>
      <w:r w:rsidR="006946D3" w:rsidRPr="006946D3">
        <w:rPr>
          <w:rFonts w:ascii="David" w:eastAsia="Calibri" w:hAnsi="David" w:hint="eastAsia"/>
          <w:szCs w:val="20"/>
          <w:rtl/>
        </w:rPr>
        <w:t>ממדור</w:t>
      </w:r>
      <w:r w:rsidR="006946D3" w:rsidRPr="006946D3">
        <w:rPr>
          <w:rFonts w:ascii="David" w:eastAsia="Calibri" w:hAnsi="David"/>
          <w:szCs w:val="20"/>
          <w:rtl/>
        </w:rPr>
        <w:t xml:space="preserve"> </w:t>
      </w:r>
      <w:r w:rsidR="006946D3" w:rsidRPr="006946D3">
        <w:rPr>
          <w:rFonts w:ascii="David" w:eastAsia="Calibri" w:hAnsi="David" w:hint="eastAsia"/>
          <w:szCs w:val="20"/>
          <w:rtl/>
        </w:rPr>
        <w:t>חסיונות</w:t>
      </w:r>
      <w:r w:rsidR="006946D3" w:rsidRPr="006946D3">
        <w:rPr>
          <w:rFonts w:ascii="David" w:eastAsia="Calibri" w:hAnsi="David"/>
          <w:szCs w:val="20"/>
          <w:rtl/>
        </w:rPr>
        <w:t xml:space="preserve"> </w:t>
      </w:r>
      <w:r w:rsidR="006946D3" w:rsidRPr="006946D3">
        <w:rPr>
          <w:rFonts w:ascii="David" w:eastAsia="Calibri" w:hAnsi="David" w:hint="eastAsia"/>
          <w:szCs w:val="20"/>
          <w:rtl/>
        </w:rPr>
        <w:t>במשטרה</w:t>
      </w:r>
      <w:r w:rsidR="006946D3" w:rsidRPr="006946D3">
        <w:rPr>
          <w:rFonts w:ascii="David" w:eastAsia="Calibri" w:hAnsi="David"/>
          <w:szCs w:val="20"/>
          <w:rtl/>
        </w:rPr>
        <w:t xml:space="preserve">, </w:t>
      </w:r>
      <w:r w:rsidR="006946D3" w:rsidRPr="006946D3">
        <w:rPr>
          <w:rFonts w:ascii="David" w:eastAsia="Calibri" w:hAnsi="David" w:hint="eastAsia"/>
          <w:szCs w:val="20"/>
          <w:rtl/>
        </w:rPr>
        <w:t>בעיבוד</w:t>
      </w:r>
      <w:r w:rsidR="006946D3" w:rsidRPr="006946D3">
        <w:rPr>
          <w:rFonts w:ascii="David" w:eastAsia="Calibri" w:hAnsi="David"/>
          <w:szCs w:val="20"/>
          <w:rtl/>
        </w:rPr>
        <w:t xml:space="preserve"> </w:t>
      </w:r>
      <w:r w:rsidR="006946D3" w:rsidRPr="006946D3">
        <w:rPr>
          <w:rFonts w:ascii="David" w:eastAsia="Calibri" w:hAnsi="David" w:hint="eastAsia"/>
          <w:szCs w:val="20"/>
          <w:rtl/>
        </w:rPr>
        <w:t>משרד</w:t>
      </w:r>
      <w:r w:rsidR="006946D3" w:rsidRPr="006946D3">
        <w:rPr>
          <w:rFonts w:ascii="David" w:eastAsia="Calibri" w:hAnsi="David"/>
          <w:szCs w:val="20"/>
          <w:rtl/>
        </w:rPr>
        <w:t xml:space="preserve"> </w:t>
      </w:r>
      <w:r w:rsidR="006946D3" w:rsidRPr="006946D3">
        <w:rPr>
          <w:rFonts w:ascii="David" w:eastAsia="Calibri" w:hAnsi="David" w:hint="eastAsia"/>
          <w:szCs w:val="20"/>
          <w:rtl/>
        </w:rPr>
        <w:t>מבקר</w:t>
      </w:r>
      <w:r w:rsidR="006946D3" w:rsidRPr="006946D3">
        <w:rPr>
          <w:rFonts w:ascii="David" w:eastAsia="Calibri" w:hAnsi="David"/>
          <w:szCs w:val="20"/>
          <w:rtl/>
        </w:rPr>
        <w:t xml:space="preserve"> </w:t>
      </w:r>
      <w:r w:rsidR="006946D3" w:rsidRPr="006946D3">
        <w:rPr>
          <w:rFonts w:ascii="David" w:eastAsia="Calibri" w:hAnsi="David" w:hint="eastAsia"/>
          <w:szCs w:val="20"/>
          <w:rtl/>
        </w:rPr>
        <w:t>המדינה</w:t>
      </w:r>
      <w:r w:rsidR="006946D3" w:rsidRPr="006946D3">
        <w:rPr>
          <w:rFonts w:ascii="David" w:eastAsia="Calibri" w:hAnsi="David" w:hint="cs"/>
          <w:szCs w:val="20"/>
          <w:rtl/>
        </w:rPr>
        <w:t>.</w:t>
      </w:r>
    </w:p>
    <w:p w:rsidR="004B50FC" w:rsidRDefault="004B50FC" w:rsidP="00604C3D">
      <w:pPr>
        <w:spacing w:line="269" w:lineRule="auto"/>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 xml:space="preserve">מהתרשים עולה כי הדוגמאות שנבדקו (כ-10% מכלל תעודות החיסיון) מעידות כי הוטל חיסיון על </w:t>
      </w:r>
      <w:r w:rsidR="00B73DAA">
        <w:rPr>
          <w:rFonts w:ascii="David" w:eastAsia="Calibri" w:hAnsi="David" w:hint="cs"/>
          <w:sz w:val="24"/>
          <w:rtl/>
        </w:rPr>
        <w:t>המידע ב-</w:t>
      </w:r>
      <w:r w:rsidRPr="006946D3">
        <w:rPr>
          <w:rFonts w:ascii="David" w:eastAsia="Calibri" w:hAnsi="David" w:hint="cs"/>
          <w:sz w:val="24"/>
          <w:rtl/>
        </w:rPr>
        <w:t>415 מהתעודות שנוהלו בפרקליטות (כ-21%), על</w:t>
      </w:r>
      <w:r w:rsidR="00B73DAA">
        <w:rPr>
          <w:rFonts w:ascii="David" w:eastAsia="Calibri" w:hAnsi="David" w:hint="cs"/>
          <w:sz w:val="24"/>
          <w:rtl/>
        </w:rPr>
        <w:t xml:space="preserve"> המידע ב-</w:t>
      </w:r>
      <w:r w:rsidRPr="006946D3">
        <w:rPr>
          <w:rFonts w:ascii="David" w:eastAsia="Calibri" w:hAnsi="David" w:hint="cs"/>
          <w:sz w:val="24"/>
          <w:rtl/>
        </w:rPr>
        <w:t>1,479 מהתעודות שנוהלו בתביעה המשטרתית (כ-73%) ועל</w:t>
      </w:r>
      <w:r w:rsidR="00B73DAA">
        <w:rPr>
          <w:rFonts w:ascii="David" w:eastAsia="Calibri" w:hAnsi="David" w:hint="cs"/>
          <w:sz w:val="24"/>
          <w:rtl/>
        </w:rPr>
        <w:t xml:space="preserve"> המידע ב-</w:t>
      </w:r>
      <w:r w:rsidRPr="006946D3">
        <w:rPr>
          <w:rFonts w:ascii="David" w:eastAsia="Calibri" w:hAnsi="David" w:hint="cs"/>
          <w:sz w:val="24"/>
          <w:rtl/>
        </w:rPr>
        <w:t xml:space="preserve">114 מהתעודות שנוהלו בגופי תביעה אחרים (כ-6%). </w:t>
      </w:r>
    </w:p>
    <w:p w:rsidR="004B50FC" w:rsidRDefault="004B50FC" w:rsidP="00604C3D">
      <w:pPr>
        <w:spacing w:line="269" w:lineRule="auto"/>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 xml:space="preserve">כאמור, מספרם הממוצע של כתבי האישום שמגישה הפרקליטות הוא כ-4,300 בשנה, וחטיבת התביעות מגישה בממוצע כ-34,000 כתבי אישום בשנה. מהתרשים שלעיל עולה כי כ-21% מכלל תעודות החיסיון שנדגמו נוהלו בפרקליטות, וכ-73% נוהלו בחטיבת התביעות. בחישוב אריתמטי ניתן לשער כי </w:t>
      </w:r>
      <w:r w:rsidR="0027288F">
        <w:rPr>
          <w:rFonts w:ascii="David" w:eastAsia="Calibri" w:hAnsi="David" w:hint="cs"/>
          <w:sz w:val="24"/>
          <w:rtl/>
        </w:rPr>
        <w:t xml:space="preserve">מינואר 2020 ועד יוני 2022 הוצאו מדי שנה </w:t>
      </w:r>
      <w:r w:rsidRPr="006946D3">
        <w:rPr>
          <w:rFonts w:ascii="David" w:eastAsia="Calibri" w:hAnsi="David" w:hint="cs"/>
          <w:sz w:val="24"/>
          <w:rtl/>
        </w:rPr>
        <w:t>תעודות חיסיון בנוגע</w:t>
      </w:r>
      <w:r w:rsidRPr="006946D3">
        <w:rPr>
          <w:rFonts w:ascii="David" w:eastAsia="Calibri" w:hAnsi="David" w:hint="cs"/>
          <w:sz w:val="24"/>
        </w:rPr>
        <w:t xml:space="preserve"> </w:t>
      </w:r>
      <w:r w:rsidRPr="006946D3">
        <w:rPr>
          <w:rFonts w:ascii="David" w:eastAsia="Calibri" w:hAnsi="David" w:hint="cs"/>
          <w:sz w:val="24"/>
          <w:rtl/>
        </w:rPr>
        <w:t>לכ-1,680 מכתבי האישום שהגישה הפרקליטות (39%)</w:t>
      </w:r>
      <w:r w:rsidR="00382AE8">
        <w:rPr>
          <w:rFonts w:ascii="David" w:eastAsia="Calibri" w:hAnsi="David" w:hint="cs"/>
          <w:sz w:val="24"/>
          <w:rtl/>
        </w:rPr>
        <w:t xml:space="preserve"> </w:t>
      </w:r>
      <w:r w:rsidRPr="006946D3">
        <w:rPr>
          <w:rFonts w:ascii="David" w:eastAsia="Calibri" w:hAnsi="David" w:hint="cs"/>
          <w:sz w:val="24"/>
          <w:rtl/>
        </w:rPr>
        <w:t>ולכ-5,840 מכתבי האישום שהגישה חטיבת התביעות (17%)</w:t>
      </w:r>
      <w:r w:rsidRPr="006946D3">
        <w:rPr>
          <w:rFonts w:ascii="David" w:eastAsia="Calibri" w:hAnsi="David"/>
          <w:sz w:val="24"/>
          <w:vertAlign w:val="superscript"/>
          <w:rtl/>
        </w:rPr>
        <w:footnoteReference w:id="335"/>
      </w:r>
      <w:r w:rsidRPr="006946D3">
        <w:rPr>
          <w:rFonts w:ascii="David" w:eastAsia="Calibri" w:hAnsi="David" w:hint="cs"/>
          <w:sz w:val="24"/>
          <w:rtl/>
        </w:rPr>
        <w:t>.</w:t>
      </w:r>
    </w:p>
    <w:p w:rsidR="004B50FC" w:rsidRDefault="004B50FC" w:rsidP="00604C3D">
      <w:pPr>
        <w:spacing w:line="269" w:lineRule="auto"/>
        <w:jc w:val="center"/>
        <w:rPr>
          <w:rFonts w:eastAsia="Calibri"/>
          <w:sz w:val="16"/>
          <w:szCs w:val="16"/>
          <w:rtl/>
        </w:rPr>
      </w:pPr>
    </w:p>
    <w:p w:rsidR="006946D3" w:rsidRPr="006946D3" w:rsidRDefault="006946D3" w:rsidP="00604C3D">
      <w:pPr>
        <w:spacing w:line="269" w:lineRule="auto"/>
        <w:jc w:val="center"/>
        <w:rPr>
          <w:rFonts w:ascii="David" w:eastAsia="Calibri" w:hAnsi="David"/>
          <w:sz w:val="24"/>
          <w:rtl/>
        </w:rPr>
      </w:pPr>
      <w:r w:rsidRPr="006946D3">
        <w:rPr>
          <w:rFonts w:ascii="David" w:eastAsia="Calibri" w:hAnsi="David" w:hint="cs"/>
          <w:sz w:val="24"/>
          <w:rtl/>
        </w:rPr>
        <w:t xml:space="preserve">לוח </w:t>
      </w:r>
      <w:r w:rsidR="008A67C6">
        <w:rPr>
          <w:rFonts w:ascii="David" w:eastAsia="Calibri" w:hAnsi="David" w:hint="cs"/>
          <w:sz w:val="24"/>
          <w:rtl/>
        </w:rPr>
        <w:t>22</w:t>
      </w:r>
      <w:r w:rsidRPr="006946D3">
        <w:rPr>
          <w:rFonts w:ascii="David" w:eastAsia="Calibri" w:hAnsi="David" w:hint="cs"/>
          <w:sz w:val="24"/>
          <w:rtl/>
        </w:rPr>
        <w:t xml:space="preserve">: </w:t>
      </w:r>
      <w:r w:rsidRPr="006946D3">
        <w:rPr>
          <w:rFonts w:ascii="David" w:eastAsia="Calibri" w:hAnsi="David" w:hint="cs"/>
          <w:b/>
          <w:bCs/>
          <w:sz w:val="24"/>
          <w:rtl/>
        </w:rPr>
        <w:t xml:space="preserve">פילוח </w:t>
      </w:r>
      <w:r w:rsidR="00073F97">
        <w:rPr>
          <w:rFonts w:ascii="David" w:eastAsia="Calibri" w:hAnsi="David" w:hint="cs"/>
          <w:b/>
          <w:bCs/>
          <w:sz w:val="24"/>
          <w:rtl/>
        </w:rPr>
        <w:t>תעודות</w:t>
      </w:r>
      <w:r w:rsidRPr="006946D3">
        <w:rPr>
          <w:rFonts w:ascii="David" w:eastAsia="Calibri" w:hAnsi="David" w:hint="cs"/>
          <w:b/>
          <w:bCs/>
          <w:sz w:val="24"/>
          <w:rtl/>
        </w:rPr>
        <w:t xml:space="preserve"> החיסיון</w:t>
      </w:r>
      <w:r w:rsidRPr="006946D3">
        <w:rPr>
          <w:rFonts w:ascii="David" w:eastAsia="Calibri" w:hAnsi="David" w:hint="cs"/>
          <w:sz w:val="24"/>
          <w:rtl/>
        </w:rPr>
        <w:t>*</w:t>
      </w:r>
      <w:r w:rsidRPr="006946D3">
        <w:rPr>
          <w:rFonts w:ascii="David" w:eastAsia="Calibri" w:hAnsi="David" w:hint="cs"/>
          <w:b/>
          <w:bCs/>
          <w:sz w:val="24"/>
          <w:rtl/>
        </w:rPr>
        <w:t xml:space="preserve"> </w:t>
      </w:r>
      <w:r w:rsidR="00073F97">
        <w:rPr>
          <w:rFonts w:ascii="David" w:eastAsia="Calibri" w:hAnsi="David" w:hint="cs"/>
          <w:b/>
          <w:bCs/>
          <w:sz w:val="24"/>
          <w:rtl/>
        </w:rPr>
        <w:t>שנדגמו</w:t>
      </w:r>
      <w:r w:rsidRPr="006946D3">
        <w:rPr>
          <w:rFonts w:ascii="David" w:eastAsia="Calibri" w:hAnsi="David" w:hint="cs"/>
          <w:b/>
          <w:bCs/>
          <w:sz w:val="24"/>
          <w:rtl/>
        </w:rPr>
        <w:t xml:space="preserve"> בחלוקה להאזנות סתר**, נתוני תקשורת וזהות אדם</w:t>
      </w:r>
      <w:r w:rsidRPr="006946D3">
        <w:rPr>
          <w:rFonts w:ascii="David" w:eastAsia="Calibri" w:hAnsi="David" w:hint="cs"/>
          <w:sz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701"/>
        <w:gridCol w:w="1417"/>
        <w:gridCol w:w="1613"/>
        <w:gridCol w:w="1638"/>
      </w:tblGrid>
      <w:tr w:rsidR="006946D3" w:rsidRPr="006946D3" w:rsidTr="004B50FC">
        <w:tc>
          <w:tcPr>
            <w:tcW w:w="1841" w:type="dxa"/>
          </w:tcPr>
          <w:p w:rsidR="006946D3" w:rsidRPr="006946D3" w:rsidRDefault="006946D3" w:rsidP="00604C3D">
            <w:pPr>
              <w:spacing w:line="269" w:lineRule="auto"/>
              <w:jc w:val="center"/>
              <w:rPr>
                <w:rFonts w:ascii="David" w:eastAsia="Calibri" w:hAnsi="David"/>
                <w:b/>
                <w:bCs/>
                <w:sz w:val="24"/>
                <w:rtl/>
              </w:rPr>
            </w:pPr>
            <w:r w:rsidRPr="006946D3">
              <w:rPr>
                <w:rFonts w:ascii="David" w:eastAsia="Calibri" w:hAnsi="David" w:hint="cs"/>
                <w:b/>
                <w:bCs/>
                <w:sz w:val="24"/>
                <w:rtl/>
              </w:rPr>
              <w:t>רשות התביעה</w:t>
            </w:r>
          </w:p>
        </w:tc>
        <w:tc>
          <w:tcPr>
            <w:tcW w:w="1701" w:type="dxa"/>
          </w:tcPr>
          <w:p w:rsidR="006946D3" w:rsidRPr="006946D3" w:rsidRDefault="006946D3" w:rsidP="00604C3D">
            <w:pPr>
              <w:spacing w:line="269" w:lineRule="auto"/>
              <w:jc w:val="center"/>
              <w:rPr>
                <w:rFonts w:ascii="David" w:eastAsia="Calibri" w:hAnsi="David"/>
                <w:b/>
                <w:bCs/>
                <w:sz w:val="24"/>
                <w:rtl/>
              </w:rPr>
            </w:pPr>
            <w:r w:rsidRPr="006946D3">
              <w:rPr>
                <w:rFonts w:ascii="David" w:eastAsia="Calibri" w:hAnsi="David" w:hint="cs"/>
                <w:b/>
                <w:bCs/>
                <w:sz w:val="24"/>
                <w:rtl/>
              </w:rPr>
              <w:t>סך כל התעודות שנדגמו</w:t>
            </w:r>
          </w:p>
        </w:tc>
        <w:tc>
          <w:tcPr>
            <w:tcW w:w="1417" w:type="dxa"/>
          </w:tcPr>
          <w:p w:rsidR="006946D3" w:rsidRPr="006946D3" w:rsidRDefault="006946D3" w:rsidP="00604C3D">
            <w:pPr>
              <w:spacing w:line="269" w:lineRule="auto"/>
              <w:jc w:val="center"/>
              <w:rPr>
                <w:rFonts w:ascii="David" w:eastAsia="Calibri" w:hAnsi="David"/>
                <w:b/>
                <w:bCs/>
                <w:sz w:val="24"/>
                <w:rtl/>
              </w:rPr>
            </w:pPr>
            <w:r w:rsidRPr="006946D3">
              <w:rPr>
                <w:rFonts w:ascii="David" w:eastAsia="Calibri" w:hAnsi="David" w:hint="cs"/>
                <w:b/>
                <w:bCs/>
                <w:sz w:val="24"/>
                <w:rtl/>
              </w:rPr>
              <w:t>האזנות סתר</w:t>
            </w:r>
          </w:p>
        </w:tc>
        <w:tc>
          <w:tcPr>
            <w:tcW w:w="1613" w:type="dxa"/>
          </w:tcPr>
          <w:p w:rsidR="006946D3" w:rsidRPr="006946D3" w:rsidRDefault="006946D3" w:rsidP="00604C3D">
            <w:pPr>
              <w:spacing w:line="269" w:lineRule="auto"/>
              <w:jc w:val="center"/>
              <w:rPr>
                <w:rFonts w:ascii="David" w:eastAsia="Calibri" w:hAnsi="David"/>
                <w:b/>
                <w:bCs/>
                <w:sz w:val="24"/>
                <w:rtl/>
              </w:rPr>
            </w:pPr>
            <w:r w:rsidRPr="006946D3">
              <w:rPr>
                <w:rFonts w:ascii="David" w:eastAsia="Calibri" w:hAnsi="David" w:hint="cs"/>
                <w:b/>
                <w:bCs/>
                <w:sz w:val="24"/>
                <w:rtl/>
              </w:rPr>
              <w:t>נתוני תקשורת</w:t>
            </w:r>
          </w:p>
        </w:tc>
        <w:tc>
          <w:tcPr>
            <w:tcW w:w="1638" w:type="dxa"/>
          </w:tcPr>
          <w:p w:rsidR="006946D3" w:rsidRPr="006946D3" w:rsidRDefault="006946D3" w:rsidP="00604C3D">
            <w:pPr>
              <w:spacing w:line="269" w:lineRule="auto"/>
              <w:jc w:val="center"/>
              <w:rPr>
                <w:rFonts w:ascii="David" w:eastAsia="Calibri" w:hAnsi="David"/>
                <w:b/>
                <w:bCs/>
                <w:sz w:val="24"/>
                <w:rtl/>
              </w:rPr>
            </w:pPr>
            <w:r w:rsidRPr="006946D3">
              <w:rPr>
                <w:rFonts w:ascii="David" w:eastAsia="Calibri" w:hAnsi="David" w:hint="cs"/>
                <w:b/>
                <w:bCs/>
                <w:sz w:val="24"/>
                <w:rtl/>
              </w:rPr>
              <w:t>זהות אדם</w:t>
            </w:r>
          </w:p>
        </w:tc>
      </w:tr>
      <w:tr w:rsidR="006946D3" w:rsidRPr="006946D3" w:rsidTr="004B50FC">
        <w:tc>
          <w:tcPr>
            <w:tcW w:w="1841" w:type="dxa"/>
          </w:tcPr>
          <w:p w:rsidR="006946D3" w:rsidRPr="006946D3" w:rsidRDefault="006946D3" w:rsidP="00604C3D">
            <w:pPr>
              <w:spacing w:line="269" w:lineRule="auto"/>
              <w:rPr>
                <w:rFonts w:ascii="David" w:eastAsia="Calibri" w:hAnsi="David"/>
                <w:b/>
                <w:bCs/>
                <w:sz w:val="24"/>
                <w:rtl/>
              </w:rPr>
            </w:pPr>
            <w:r w:rsidRPr="006946D3">
              <w:rPr>
                <w:rFonts w:ascii="David" w:eastAsia="Calibri" w:hAnsi="David" w:hint="cs"/>
                <w:b/>
                <w:bCs/>
                <w:sz w:val="24"/>
                <w:rtl/>
              </w:rPr>
              <w:t>הפרקליטות</w:t>
            </w:r>
          </w:p>
        </w:tc>
        <w:tc>
          <w:tcPr>
            <w:tcW w:w="1701" w:type="dxa"/>
          </w:tcPr>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415</w:t>
            </w:r>
          </w:p>
        </w:tc>
        <w:tc>
          <w:tcPr>
            <w:tcW w:w="1417" w:type="dxa"/>
          </w:tcPr>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52 (12%)</w:t>
            </w:r>
          </w:p>
        </w:tc>
        <w:tc>
          <w:tcPr>
            <w:tcW w:w="1613" w:type="dxa"/>
          </w:tcPr>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195 (47%)</w:t>
            </w:r>
          </w:p>
        </w:tc>
        <w:tc>
          <w:tcPr>
            <w:tcW w:w="1638" w:type="dxa"/>
          </w:tcPr>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208 (50%)</w:t>
            </w:r>
          </w:p>
        </w:tc>
      </w:tr>
      <w:tr w:rsidR="006946D3" w:rsidRPr="006946D3" w:rsidTr="004B50FC">
        <w:tc>
          <w:tcPr>
            <w:tcW w:w="1841" w:type="dxa"/>
          </w:tcPr>
          <w:p w:rsidR="006946D3" w:rsidRPr="006946D3" w:rsidRDefault="006946D3" w:rsidP="00604C3D">
            <w:pPr>
              <w:spacing w:line="269" w:lineRule="auto"/>
              <w:jc w:val="left"/>
              <w:rPr>
                <w:rFonts w:ascii="David" w:eastAsia="Calibri" w:hAnsi="David"/>
                <w:b/>
                <w:bCs/>
                <w:sz w:val="24"/>
                <w:rtl/>
              </w:rPr>
            </w:pPr>
            <w:r w:rsidRPr="006946D3">
              <w:rPr>
                <w:rFonts w:ascii="David" w:eastAsia="Calibri" w:hAnsi="David" w:hint="cs"/>
                <w:b/>
                <w:bCs/>
                <w:sz w:val="24"/>
                <w:rtl/>
              </w:rPr>
              <w:t>חטיבת התביעות במשטרה</w:t>
            </w:r>
          </w:p>
        </w:tc>
        <w:tc>
          <w:tcPr>
            <w:tcW w:w="1701" w:type="dxa"/>
          </w:tcPr>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1,479</w:t>
            </w:r>
          </w:p>
        </w:tc>
        <w:tc>
          <w:tcPr>
            <w:tcW w:w="1417" w:type="dxa"/>
          </w:tcPr>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34 (2.3%)</w:t>
            </w:r>
          </w:p>
        </w:tc>
        <w:tc>
          <w:tcPr>
            <w:tcW w:w="1613" w:type="dxa"/>
          </w:tcPr>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206 (14%)</w:t>
            </w:r>
          </w:p>
        </w:tc>
        <w:tc>
          <w:tcPr>
            <w:tcW w:w="1638" w:type="dxa"/>
          </w:tcPr>
          <w:p w:rsidR="006946D3" w:rsidRPr="006946D3" w:rsidRDefault="006946D3" w:rsidP="00604C3D">
            <w:pPr>
              <w:spacing w:line="269" w:lineRule="auto"/>
              <w:rPr>
                <w:rFonts w:ascii="David" w:eastAsia="Calibri" w:hAnsi="David"/>
                <w:sz w:val="24"/>
                <w:rtl/>
              </w:rPr>
            </w:pPr>
            <w:r w:rsidRPr="006946D3">
              <w:rPr>
                <w:rFonts w:ascii="David" w:eastAsia="Calibri" w:hAnsi="David" w:hint="cs"/>
                <w:sz w:val="24"/>
                <w:rtl/>
              </w:rPr>
              <w:t>1,104 (75%)</w:t>
            </w:r>
          </w:p>
        </w:tc>
      </w:tr>
    </w:tbl>
    <w:p w:rsidR="006946D3" w:rsidRPr="006946D3" w:rsidRDefault="006946D3" w:rsidP="00604C3D">
      <w:pPr>
        <w:spacing w:line="269" w:lineRule="auto"/>
        <w:rPr>
          <w:rFonts w:ascii="David" w:eastAsia="Calibri" w:hAnsi="David"/>
          <w:szCs w:val="20"/>
          <w:rtl/>
        </w:rPr>
      </w:pPr>
      <w:r w:rsidRPr="006946D3">
        <w:rPr>
          <w:rFonts w:ascii="David" w:eastAsia="Calibri" w:hAnsi="David" w:hint="eastAsia"/>
          <w:szCs w:val="20"/>
          <w:rtl/>
        </w:rPr>
        <w:t>על</w:t>
      </w:r>
      <w:r w:rsidRPr="006946D3">
        <w:rPr>
          <w:rFonts w:ascii="David" w:eastAsia="Calibri" w:hAnsi="David"/>
          <w:szCs w:val="20"/>
          <w:rtl/>
        </w:rPr>
        <w:t xml:space="preserve"> </w:t>
      </w:r>
      <w:r w:rsidRPr="006946D3">
        <w:rPr>
          <w:rFonts w:ascii="David" w:eastAsia="Calibri" w:hAnsi="David" w:hint="eastAsia"/>
          <w:szCs w:val="20"/>
          <w:rtl/>
        </w:rPr>
        <w:t>פי</w:t>
      </w:r>
      <w:r w:rsidRPr="006946D3">
        <w:rPr>
          <w:rFonts w:ascii="David" w:eastAsia="Calibri" w:hAnsi="David"/>
          <w:szCs w:val="20"/>
          <w:rtl/>
        </w:rPr>
        <w:t xml:space="preserve"> </w:t>
      </w:r>
      <w:r w:rsidRPr="006946D3">
        <w:rPr>
          <w:rFonts w:ascii="David" w:eastAsia="Calibri" w:hAnsi="David" w:hint="eastAsia"/>
          <w:szCs w:val="20"/>
          <w:rtl/>
        </w:rPr>
        <w:t>תעודות</w:t>
      </w:r>
      <w:r w:rsidRPr="006946D3">
        <w:rPr>
          <w:rFonts w:ascii="David" w:eastAsia="Calibri" w:hAnsi="David"/>
          <w:szCs w:val="20"/>
          <w:rtl/>
        </w:rPr>
        <w:t xml:space="preserve"> </w:t>
      </w:r>
      <w:r w:rsidRPr="006946D3">
        <w:rPr>
          <w:rFonts w:ascii="David" w:eastAsia="Calibri" w:hAnsi="David" w:hint="cs"/>
          <w:szCs w:val="20"/>
          <w:rtl/>
        </w:rPr>
        <w:t>ה</w:t>
      </w:r>
      <w:r w:rsidRPr="006946D3">
        <w:rPr>
          <w:rFonts w:ascii="David" w:eastAsia="Calibri" w:hAnsi="David" w:hint="eastAsia"/>
          <w:szCs w:val="20"/>
          <w:rtl/>
        </w:rPr>
        <w:t>חיסיון</w:t>
      </w:r>
      <w:r w:rsidRPr="006946D3">
        <w:rPr>
          <w:rFonts w:ascii="David" w:eastAsia="Calibri" w:hAnsi="David"/>
          <w:szCs w:val="20"/>
          <w:rtl/>
        </w:rPr>
        <w:t xml:space="preserve"> </w:t>
      </w:r>
      <w:r w:rsidRPr="006946D3">
        <w:rPr>
          <w:rFonts w:ascii="David" w:eastAsia="Calibri" w:hAnsi="David" w:hint="eastAsia"/>
          <w:szCs w:val="20"/>
          <w:rtl/>
        </w:rPr>
        <w:t>שהתקבלו</w:t>
      </w:r>
      <w:r w:rsidRPr="006946D3">
        <w:rPr>
          <w:rFonts w:ascii="David" w:eastAsia="Calibri" w:hAnsi="David"/>
          <w:szCs w:val="20"/>
          <w:rtl/>
        </w:rPr>
        <w:t xml:space="preserve"> </w:t>
      </w:r>
      <w:r w:rsidRPr="006946D3">
        <w:rPr>
          <w:rFonts w:ascii="David" w:eastAsia="Calibri" w:hAnsi="David" w:hint="eastAsia"/>
          <w:szCs w:val="20"/>
          <w:rtl/>
        </w:rPr>
        <w:t>ממדור</w:t>
      </w:r>
      <w:r w:rsidRPr="006946D3">
        <w:rPr>
          <w:rFonts w:ascii="David" w:eastAsia="Calibri" w:hAnsi="David"/>
          <w:szCs w:val="20"/>
          <w:rtl/>
        </w:rPr>
        <w:t xml:space="preserve"> </w:t>
      </w:r>
      <w:r w:rsidRPr="006946D3">
        <w:rPr>
          <w:rFonts w:ascii="David" w:eastAsia="Calibri" w:hAnsi="David" w:hint="eastAsia"/>
          <w:szCs w:val="20"/>
          <w:rtl/>
        </w:rPr>
        <w:t>חסיונות</w:t>
      </w:r>
      <w:r w:rsidRPr="006946D3">
        <w:rPr>
          <w:rFonts w:ascii="David" w:eastAsia="Calibri" w:hAnsi="David"/>
          <w:szCs w:val="20"/>
          <w:rtl/>
        </w:rPr>
        <w:t xml:space="preserve"> </w:t>
      </w:r>
      <w:r w:rsidRPr="006946D3">
        <w:rPr>
          <w:rFonts w:ascii="David" w:eastAsia="Calibri" w:hAnsi="David" w:hint="eastAsia"/>
          <w:szCs w:val="20"/>
          <w:rtl/>
        </w:rPr>
        <w:t>במשטרה</w:t>
      </w:r>
      <w:r w:rsidRPr="006946D3">
        <w:rPr>
          <w:rFonts w:ascii="David" w:eastAsia="Calibri" w:hAnsi="David"/>
          <w:szCs w:val="20"/>
          <w:rtl/>
        </w:rPr>
        <w:t xml:space="preserve">, </w:t>
      </w:r>
      <w:r w:rsidRPr="006946D3">
        <w:rPr>
          <w:rFonts w:ascii="David" w:eastAsia="Calibri" w:hAnsi="David" w:hint="eastAsia"/>
          <w:szCs w:val="20"/>
          <w:rtl/>
        </w:rPr>
        <w:t>בעיבוד</w:t>
      </w:r>
      <w:r w:rsidRPr="006946D3">
        <w:rPr>
          <w:rFonts w:ascii="David" w:eastAsia="Calibri" w:hAnsi="David"/>
          <w:szCs w:val="20"/>
          <w:rtl/>
        </w:rPr>
        <w:t xml:space="preserve"> </w:t>
      </w:r>
      <w:r w:rsidRPr="006946D3">
        <w:rPr>
          <w:rFonts w:ascii="David" w:eastAsia="Calibri" w:hAnsi="David" w:hint="eastAsia"/>
          <w:szCs w:val="20"/>
          <w:rtl/>
        </w:rPr>
        <w:t>משרד</w:t>
      </w:r>
      <w:r w:rsidRPr="006946D3">
        <w:rPr>
          <w:rFonts w:ascii="David" w:eastAsia="Calibri" w:hAnsi="David"/>
          <w:szCs w:val="20"/>
          <w:rtl/>
        </w:rPr>
        <w:t xml:space="preserve"> </w:t>
      </w:r>
      <w:r w:rsidRPr="006946D3">
        <w:rPr>
          <w:rFonts w:ascii="David" w:eastAsia="Calibri" w:hAnsi="David" w:hint="eastAsia"/>
          <w:szCs w:val="20"/>
          <w:rtl/>
        </w:rPr>
        <w:t>מבקר</w:t>
      </w:r>
      <w:r w:rsidRPr="006946D3">
        <w:rPr>
          <w:rFonts w:ascii="David" w:eastAsia="Calibri" w:hAnsi="David"/>
          <w:szCs w:val="20"/>
          <w:rtl/>
        </w:rPr>
        <w:t xml:space="preserve"> </w:t>
      </w:r>
      <w:r w:rsidRPr="006946D3">
        <w:rPr>
          <w:rFonts w:ascii="David" w:eastAsia="Calibri" w:hAnsi="David" w:hint="eastAsia"/>
          <w:szCs w:val="20"/>
          <w:rtl/>
        </w:rPr>
        <w:t>המדינה</w:t>
      </w:r>
      <w:r w:rsidRPr="006946D3">
        <w:rPr>
          <w:rFonts w:ascii="David" w:eastAsia="Calibri" w:hAnsi="David"/>
          <w:szCs w:val="20"/>
          <w:rtl/>
        </w:rPr>
        <w:t>.</w:t>
      </w:r>
    </w:p>
    <w:p w:rsidR="006946D3" w:rsidRPr="006946D3" w:rsidRDefault="006946D3" w:rsidP="00604C3D">
      <w:pPr>
        <w:spacing w:line="269" w:lineRule="auto"/>
        <w:rPr>
          <w:rFonts w:ascii="David" w:eastAsia="Calibri" w:hAnsi="David"/>
          <w:szCs w:val="20"/>
          <w:rtl/>
        </w:rPr>
      </w:pPr>
      <w:r w:rsidRPr="006946D3">
        <w:rPr>
          <w:rFonts w:ascii="David" w:eastAsia="Calibri" w:hAnsi="David"/>
          <w:szCs w:val="20"/>
          <w:rtl/>
        </w:rPr>
        <w:t>* לעיתים בתעודה אחת חסויות כמה עילות חיסיון, למשל גם האזנת סתר וגם זהות אדם.</w:t>
      </w:r>
    </w:p>
    <w:p w:rsidR="006946D3" w:rsidRPr="006946D3" w:rsidRDefault="006946D3" w:rsidP="00604C3D">
      <w:pPr>
        <w:spacing w:line="269" w:lineRule="auto"/>
        <w:rPr>
          <w:rFonts w:ascii="David" w:eastAsia="Calibri" w:hAnsi="David"/>
          <w:szCs w:val="20"/>
          <w:rtl/>
        </w:rPr>
      </w:pPr>
      <w:r w:rsidRPr="006946D3">
        <w:rPr>
          <w:rFonts w:ascii="David" w:eastAsia="Calibri" w:hAnsi="David"/>
          <w:szCs w:val="20"/>
          <w:rtl/>
        </w:rPr>
        <w:t>**</w:t>
      </w:r>
      <w:r w:rsidRPr="006946D3">
        <w:rPr>
          <w:rFonts w:ascii="David" w:eastAsia="Calibri" w:hAnsi="David" w:hint="cs"/>
          <w:szCs w:val="20"/>
          <w:rtl/>
        </w:rPr>
        <w:t xml:space="preserve"> </w:t>
      </w:r>
      <w:r w:rsidRPr="006946D3">
        <w:rPr>
          <w:rFonts w:ascii="David" w:eastAsia="Calibri" w:hAnsi="David"/>
          <w:szCs w:val="20"/>
          <w:rtl/>
        </w:rPr>
        <w:t>במסגרת חיסיון על האזנת סתר ניתן להטיל חיסיון על האמצעים שבהם בוצעה האזנת הסתר, על תוכן הבקשות להאזנת סתר או על המידע שהתקבל בהאזנת סתר, על כל הגורמים יחדיו או על חלקם.</w:t>
      </w:r>
    </w:p>
    <w:p w:rsidR="006946D3" w:rsidRPr="006946D3" w:rsidRDefault="006946D3" w:rsidP="00604C3D">
      <w:pPr>
        <w:spacing w:line="269" w:lineRule="auto"/>
        <w:rPr>
          <w:rFonts w:ascii="David" w:eastAsia="Calibri" w:hAnsi="David"/>
          <w:szCs w:val="20"/>
          <w:rtl/>
        </w:rPr>
      </w:pPr>
      <w:r w:rsidRPr="006946D3">
        <w:rPr>
          <w:rFonts w:ascii="David" w:eastAsia="Calibri" w:hAnsi="David"/>
          <w:szCs w:val="20"/>
          <w:rtl/>
        </w:rPr>
        <w:t>***</w:t>
      </w:r>
      <w:r w:rsidRPr="006946D3">
        <w:rPr>
          <w:rFonts w:ascii="David" w:eastAsia="Calibri" w:hAnsi="David" w:hint="cs"/>
          <w:szCs w:val="20"/>
          <w:rtl/>
        </w:rPr>
        <w:t xml:space="preserve"> </w:t>
      </w:r>
      <w:r w:rsidRPr="006946D3">
        <w:rPr>
          <w:rFonts w:ascii="David" w:eastAsia="Calibri" w:hAnsi="David"/>
          <w:szCs w:val="20"/>
          <w:rtl/>
        </w:rPr>
        <w:t>חסיון זהות אדם הוא ח</w:t>
      </w:r>
      <w:r w:rsidRPr="006946D3">
        <w:rPr>
          <w:rFonts w:ascii="David" w:eastAsia="Calibri" w:hAnsi="David" w:hint="cs"/>
          <w:szCs w:val="20"/>
          <w:rtl/>
        </w:rPr>
        <w:t>י</w:t>
      </w:r>
      <w:r w:rsidRPr="006946D3">
        <w:rPr>
          <w:rFonts w:ascii="David" w:eastAsia="Calibri" w:hAnsi="David"/>
          <w:szCs w:val="20"/>
          <w:rtl/>
        </w:rPr>
        <w:t>סיון על זהות אנשים אשר, בין היתר, מסרו למשטרה מידע על שוטרים אשר ביצעו פעולות חסויות במהלך החקירה כגון פעולות עיקוב או דיווחו למשטרה על זהותם של שוטרים אלה.</w:t>
      </w:r>
    </w:p>
    <w:p w:rsidR="000853DC" w:rsidRDefault="000853DC" w:rsidP="00604C3D">
      <w:pPr>
        <w:spacing w:line="269" w:lineRule="auto"/>
        <w:rPr>
          <w:rFonts w:ascii="David" w:eastAsia="Calibri" w:hAnsi="David"/>
          <w:sz w:val="24"/>
          <w:rtl/>
        </w:rPr>
      </w:pPr>
    </w:p>
    <w:p w:rsidR="006946D3" w:rsidRPr="006946D3" w:rsidRDefault="006946D3" w:rsidP="005A0F21">
      <w:pPr>
        <w:spacing w:line="269" w:lineRule="auto"/>
        <w:ind w:left="423"/>
        <w:rPr>
          <w:rFonts w:ascii="David" w:eastAsia="Calibri" w:hAnsi="David"/>
          <w:bCs/>
          <w:spacing w:val="40"/>
          <w:sz w:val="24"/>
        </w:rPr>
      </w:pPr>
      <w:r w:rsidRPr="006946D3">
        <w:rPr>
          <w:rFonts w:ascii="David" w:eastAsia="Calibri" w:hAnsi="David" w:hint="cs"/>
          <w:sz w:val="24"/>
          <w:rtl/>
        </w:rPr>
        <w:t>מהנתונים שבלוח עולה כי בתעודות שנדגמו</w:t>
      </w:r>
      <w:r w:rsidR="0001601D">
        <w:rPr>
          <w:rFonts w:ascii="David" w:eastAsia="Calibri" w:hAnsi="David" w:hint="cs"/>
          <w:sz w:val="24"/>
          <w:rtl/>
        </w:rPr>
        <w:t>,</w:t>
      </w:r>
      <w:r w:rsidRPr="006946D3">
        <w:rPr>
          <w:rFonts w:ascii="David" w:eastAsia="Calibri" w:hAnsi="David" w:hint="cs"/>
          <w:sz w:val="24"/>
          <w:rtl/>
        </w:rPr>
        <w:t xml:space="preserve"> שיעור החסיונות על האזנות סתר ונתוני תקשורת בתיקים המנוהלים בפרקליטות גדול פי כ-3.5 משיעורם בחטיבת התביעות; לעומת זאת, שיעור תעודות החיסיון על זהות אדם בתיקים המנוהלים בחטיבת התביעות במשטרה גדול פי כ-1.5 משיעורם בפרקליטות. </w:t>
      </w:r>
    </w:p>
    <w:p w:rsidR="004B50FC" w:rsidRDefault="004B50FC" w:rsidP="00604C3D">
      <w:pPr>
        <w:spacing w:line="269" w:lineRule="auto"/>
        <w:rPr>
          <w:rFonts w:eastAsia="Calibri"/>
          <w:sz w:val="16"/>
          <w:szCs w:val="16"/>
          <w:rtl/>
        </w:rPr>
      </w:pPr>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בהיעדר מסד נתונים של גורמי התביעה בנוגע לתעודות החיסיון שהוצאו בשנים האחרונות ריכז משרד מבקר המדינה נתונים על כלל תעודות החיסיון שהוצאו בשנים 2018 - 2022 וניתח את הנתונים על בסיס מדגם אקראי של 10% מהתעודות. על סמך המדגם וניתוח הנתונים ניתן להניח שב-39% מכתבי האישום שמגישה הפרקליטות מוצאות תעודות חיסיון, וכי ב-47% מהתעודות המידע החסוי נוגע לנתוני תקשורת ובכ-12% מהתעודות נחסה מידע על האזנות סתר. עוד עלה מהניתוח כי ב-17% מכתבי האישום שמגישה חטיבת התביעות של המשטרה מוצאות תעודות חיסיון.</w:t>
      </w:r>
    </w:p>
    <w:p w:rsidR="004B50FC" w:rsidRDefault="004B50FC" w:rsidP="005A0F21">
      <w:pPr>
        <w:spacing w:line="269" w:lineRule="auto"/>
        <w:ind w:left="423"/>
        <w:rPr>
          <w:rFonts w:eastAsia="Calibri"/>
          <w:sz w:val="16"/>
          <w:szCs w:val="16"/>
          <w:rtl/>
        </w:rPr>
      </w:pPr>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 xml:space="preserve">בשל ההשלכות שיש לתעודות חיסיון על ההליך הפלילי וכדי להבטיח שהוצאת תעודת חיסיון לא תכרסם בזכותו של הנאשם להליך פלילי הוגן, מוצע כי המשטרה באמצעות מדור חסיונות, וכן הפרקליטות והמשרד לביטחון לאומי באמצעות הממונה על החסיונות, יאספו את מלוא הנתונים בנושא זה לצורך ניתוחם בהיבטים שונים. כמו כן מומלץ כי נתונים אלו בדבר שיעור כתבי האישום שבהם מוצאות תעודות חיסיון ובדבר סוגי החסיונות יפורסמו לציבור. </w:t>
      </w:r>
    </w:p>
    <w:p w:rsidR="006946D3" w:rsidRPr="006946D3" w:rsidRDefault="006946D3" w:rsidP="005A0F21">
      <w:pPr>
        <w:spacing w:line="269" w:lineRule="auto"/>
        <w:ind w:left="423"/>
        <w:rPr>
          <w:rFonts w:ascii="David" w:eastAsia="Calibri" w:hAnsi="David"/>
          <w:sz w:val="24"/>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המשטרה כתבה בתשובתה כי תעודת החיסיון היא מסמך משפטי שמוצא במסגרת הליך משפטי פרטני שמעוגן בחוק. את התעודה מוציאים הגורמים הרלוונטיים תוך איזון בין האינטרס הציבורי ובין זכותו של הנאשם להליך פלילי הוגן, והוא כולל מנגנוני פיקוח ובקרה מדויקים. עוד כתבה המשטרה כי עם הקמת מסד הנתונים הרחב במסגרת המערכת הטכנולוגית החדשה שתכלול גם נתונים בדבר סוגי חיסיון</w:t>
      </w:r>
      <w:r w:rsidR="00382AE8">
        <w:rPr>
          <w:rFonts w:ascii="David" w:eastAsia="Calibri" w:hAnsi="David" w:hint="cs"/>
          <w:sz w:val="24"/>
          <w:rtl/>
        </w:rPr>
        <w:t xml:space="preserve"> </w:t>
      </w:r>
      <w:r w:rsidRPr="006946D3">
        <w:rPr>
          <w:rFonts w:ascii="David" w:eastAsia="Calibri" w:hAnsi="David" w:hint="cs"/>
          <w:sz w:val="24"/>
          <w:rtl/>
        </w:rPr>
        <w:t>(הצפי להעלאת הגרסה הראשונה-2025), היא תבחן את פרסום הנתונים והיקפם.</w:t>
      </w:r>
    </w:p>
    <w:p w:rsidR="006946D3" w:rsidRPr="006946D3" w:rsidRDefault="006946D3" w:rsidP="005A0F21">
      <w:pPr>
        <w:spacing w:line="269" w:lineRule="auto"/>
        <w:ind w:left="423"/>
        <w:rPr>
          <w:rFonts w:ascii="David" w:eastAsia="Calibri" w:hAnsi="David"/>
          <w:sz w:val="24"/>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משרד המשפטים כתב בתגובתו כי הממונה על החסיונות במשרד לביטחון לאומי הוא הגורם הריכוזי שיכול לייצר תמונת רוחב כלל-ארצית בנוגע לנושאי החסיונות. עוד כתב משרד המשפטים בתשובתו כי לפי נוהלי המשטרה כל אימת שמתבקשת תעודת חיסיון לפי פקודת הראיות, מצורף לבקשה כתב האישום שהוגש או שעומד להיות מוגש, כך שבידי המשרד לביטחון לאומי יכולה להיות תמונה רחבה על סוגי העבירות והתיקים, סוג החיסיון והיקפו.</w:t>
      </w:r>
    </w:p>
    <w:p w:rsidR="004B50FC" w:rsidRDefault="004B50FC" w:rsidP="005A0F21">
      <w:pPr>
        <w:spacing w:line="269" w:lineRule="auto"/>
        <w:ind w:left="423"/>
        <w:rPr>
          <w:rFonts w:eastAsia="Calibri"/>
          <w:sz w:val="16"/>
          <w:szCs w:val="16"/>
          <w:rtl/>
        </w:rPr>
      </w:pPr>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המשטרה והפרקליטות מפרסמים נתונים סטטיסטיים. פילוח הנתונים בתעודות החיסיון בהתאם לסוג החסיונות ופרסומם במסגרת הדוחות השנתיים של המשרד לביטחון לאומי יספקו תמונת מצב מלאה בסוגיית החיסיון המוטל על האזנות סתר ועל נתוני תקשורת במסגרת ההליך הפלילי ויאפשרו קיום דיון ציבורי בנושא.</w:t>
      </w:r>
    </w:p>
    <w:p w:rsidR="006946D3" w:rsidRPr="006946D3" w:rsidRDefault="006946D3" w:rsidP="00604C3D">
      <w:pPr>
        <w:spacing w:line="269" w:lineRule="auto"/>
        <w:ind w:left="-341"/>
        <w:rPr>
          <w:rFonts w:eastAsia="Calibri"/>
          <w:sz w:val="16"/>
          <w:szCs w:val="16"/>
          <w:rtl/>
        </w:rPr>
      </w:pPr>
    </w:p>
    <w:p w:rsidR="006946D3" w:rsidRPr="003A2A8D" w:rsidRDefault="006946D3" w:rsidP="008C598D">
      <w:pPr>
        <w:pStyle w:val="4"/>
        <w:numPr>
          <w:ilvl w:val="0"/>
          <w:numId w:val="57"/>
        </w:numPr>
        <w:spacing w:before="0" w:line="269" w:lineRule="auto"/>
        <w:ind w:left="423"/>
        <w:rPr>
          <w:rFonts w:eastAsia="Times New Roman"/>
        </w:rPr>
      </w:pPr>
      <w:bookmarkStart w:id="671" w:name="_Hlk147756327"/>
      <w:bookmarkStart w:id="672" w:name="_Toc211521970"/>
      <w:bookmarkStart w:id="673" w:name="_Toc219110361"/>
      <w:bookmarkStart w:id="674" w:name="_Toc219113802"/>
      <w:bookmarkStart w:id="675" w:name="_Toc219286577"/>
      <w:r w:rsidRPr="003A2A8D">
        <w:rPr>
          <w:rFonts w:eastAsia="Times New Roman" w:hint="eastAsia"/>
          <w:rtl/>
        </w:rPr>
        <w:t>חיסיון</w:t>
      </w:r>
      <w:r w:rsidRPr="003A2A8D">
        <w:rPr>
          <w:rFonts w:eastAsia="Times New Roman"/>
          <w:rtl/>
        </w:rPr>
        <w:t xml:space="preserve"> </w:t>
      </w:r>
      <w:r w:rsidRPr="003A2A8D">
        <w:rPr>
          <w:rFonts w:eastAsia="Times New Roman" w:hint="cs"/>
          <w:rtl/>
        </w:rPr>
        <w:t xml:space="preserve">על </w:t>
      </w:r>
      <w:r w:rsidRPr="003A2A8D">
        <w:rPr>
          <w:rFonts w:eastAsia="Times New Roman"/>
          <w:rtl/>
        </w:rPr>
        <w:t xml:space="preserve">האזנות סתר לתקשורת נתונים שבהם </w:t>
      </w:r>
      <w:r w:rsidR="00C62512" w:rsidRPr="003A2A8D">
        <w:rPr>
          <w:rFonts w:eastAsia="Times New Roman"/>
          <w:rtl/>
        </w:rPr>
        <w:t>שבה</w:t>
      </w:r>
      <w:r w:rsidR="00C62512" w:rsidRPr="003A2A8D">
        <w:rPr>
          <w:rFonts w:eastAsia="Times New Roman" w:hint="cs"/>
          <w:rtl/>
        </w:rPr>
        <w:t>ן</w:t>
      </w:r>
      <w:r w:rsidR="00C62512" w:rsidRPr="003A2A8D">
        <w:rPr>
          <w:rFonts w:eastAsia="Times New Roman"/>
          <w:rtl/>
        </w:rPr>
        <w:t xml:space="preserve"> </w:t>
      </w:r>
      <w:r w:rsidRPr="003A2A8D">
        <w:rPr>
          <w:rFonts w:eastAsia="Times New Roman"/>
          <w:rtl/>
        </w:rPr>
        <w:t xml:space="preserve">נעשה שימוש </w:t>
      </w:r>
      <w:r w:rsidRPr="003A2A8D">
        <w:rPr>
          <w:rFonts w:eastAsia="Times New Roman" w:hint="eastAsia"/>
          <w:rtl/>
        </w:rPr>
        <w:t>ב</w:t>
      </w:r>
      <w:r w:rsidR="00E0452D" w:rsidRPr="003A2A8D">
        <w:rPr>
          <w:rFonts w:eastAsia="Times New Roman" w:hint="cs"/>
          <w:rtl/>
        </w:rPr>
        <w:t>כלים טכנולוגיים</w:t>
      </w:r>
      <w:bookmarkEnd w:id="671"/>
      <w:bookmarkEnd w:id="672"/>
      <w:bookmarkEnd w:id="673"/>
      <w:bookmarkEnd w:id="674"/>
      <w:bookmarkEnd w:id="675"/>
      <w:r w:rsidRPr="003A2A8D">
        <w:rPr>
          <w:rFonts w:eastAsia="Times New Roman"/>
          <w:rtl/>
        </w:rPr>
        <w:t xml:space="preserve"> </w:t>
      </w:r>
    </w:p>
    <w:p w:rsidR="004B50FC" w:rsidRDefault="004B50FC" w:rsidP="00604C3D">
      <w:pPr>
        <w:spacing w:line="269" w:lineRule="auto"/>
        <w:rPr>
          <w:rFonts w:eastAsia="Calibri"/>
          <w:szCs w:val="20"/>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eastAsia"/>
          <w:sz w:val="24"/>
          <w:rtl/>
        </w:rPr>
        <w:t>בהליך</w:t>
      </w:r>
      <w:r w:rsidRPr="006946D3">
        <w:rPr>
          <w:rFonts w:ascii="David" w:eastAsia="Calibri" w:hAnsi="David"/>
          <w:sz w:val="24"/>
          <w:rtl/>
        </w:rPr>
        <w:t xml:space="preserve"> הוצאת תעודת חיסיון, בשלב שלפני הוצאת התעודה, מתקיימת ישיבת חסיונות בראשות פרקליט המחוז או גורם בכיר אחר בתביעה שהוסמך לכך, ובה מוצגת עמדת הפרקליטות בנוגע לסיווג החומרים ולהוצאת התעודה. בשלב זה חשוב ביותר שפרקליט המחוז יכיר את הכלים </w:t>
      </w:r>
      <w:r w:rsidRPr="006946D3">
        <w:rPr>
          <w:rFonts w:ascii="David" w:eastAsia="Calibri" w:hAnsi="David" w:hint="cs"/>
          <w:sz w:val="24"/>
          <w:rtl/>
        </w:rPr>
        <w:t>הטכנולוגיים</w:t>
      </w:r>
      <w:r w:rsidRPr="006946D3">
        <w:rPr>
          <w:rFonts w:ascii="David" w:eastAsia="Calibri" w:hAnsi="David"/>
          <w:sz w:val="24"/>
          <w:rtl/>
        </w:rPr>
        <w:t xml:space="preserve"> </w:t>
      </w:r>
      <w:r w:rsidRPr="006946D3">
        <w:rPr>
          <w:rFonts w:ascii="David" w:eastAsia="Calibri" w:hAnsi="David" w:hint="eastAsia"/>
          <w:sz w:val="24"/>
          <w:rtl/>
        </w:rPr>
        <w:t>שבהם</w:t>
      </w:r>
      <w:r w:rsidRPr="006946D3">
        <w:rPr>
          <w:rFonts w:ascii="David" w:eastAsia="Calibri" w:hAnsi="David"/>
          <w:sz w:val="24"/>
          <w:rtl/>
        </w:rPr>
        <w:t xml:space="preserve"> השתמשה המשטרה, ובכלל זה את יכולותיהם ותוצריהם</w:t>
      </w:r>
      <w:r w:rsidRPr="006946D3">
        <w:rPr>
          <w:rFonts w:ascii="David" w:eastAsia="Calibri" w:hAnsi="David" w:hint="cs"/>
          <w:sz w:val="24"/>
          <w:rtl/>
        </w:rPr>
        <w:t xml:space="preserve"> של הכלים</w:t>
      </w:r>
      <w:r w:rsidRPr="006946D3">
        <w:rPr>
          <w:rFonts w:ascii="David" w:eastAsia="Calibri" w:hAnsi="David"/>
          <w:sz w:val="24"/>
          <w:rtl/>
        </w:rPr>
        <w:t>, כיוון שאם הם שימשו להפקת מידע אשר יכול לשמש להגנת נאשם</w:t>
      </w:r>
      <w:r w:rsidRPr="006946D3">
        <w:rPr>
          <w:rFonts w:ascii="David" w:eastAsia="Calibri" w:hAnsi="David" w:hint="cs"/>
          <w:sz w:val="24"/>
          <w:rtl/>
        </w:rPr>
        <w:t>,</w:t>
      </w:r>
      <w:r w:rsidRPr="006946D3">
        <w:rPr>
          <w:rFonts w:ascii="David" w:eastAsia="Calibri" w:hAnsi="David"/>
          <w:sz w:val="24"/>
          <w:rtl/>
        </w:rPr>
        <w:t xml:space="preserve"> לא ניתן לחסות את המידע ויש להביאו לידיעתם של הנאשם ובאי כוחו. </w:t>
      </w:r>
    </w:p>
    <w:p w:rsidR="004B50FC" w:rsidRDefault="004B50FC" w:rsidP="005A0F21">
      <w:pPr>
        <w:spacing w:line="269" w:lineRule="auto"/>
        <w:ind w:left="365"/>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צוות מררי כתב כי בתהליך הבחינה של תעודות החיסיון מובא דבר השימוש בכלי ובתוצריו לפני פרקליט המחוז וכן לפני מנהל המחלקה בפרקליטות המדינה או גורם בכיר אחר בתביעה שהוסמך לכך. לפי עמדת צוות מררי, יש לדווח לא רק לפרקליט המחוז אלא גם לפרקליט הרלוונטי המטפל בתיק על האפיון הכללי של הכלי הטכנולוגי שבו נעשה שימוש.</w:t>
      </w:r>
    </w:p>
    <w:p w:rsidR="004B50FC" w:rsidRDefault="004B50FC" w:rsidP="00604C3D">
      <w:pPr>
        <w:spacing w:line="269" w:lineRule="auto"/>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מהמסמכים שבחן צוות הביקורת עלה כי במסגרת ישיבה שהתקיימה ב-22.7.20</w:t>
      </w:r>
      <w:r w:rsidRPr="006946D3">
        <w:rPr>
          <w:rFonts w:ascii="David" w:eastAsia="Calibri" w:hAnsi="David"/>
          <w:sz w:val="24"/>
          <w:vertAlign w:val="superscript"/>
          <w:rtl/>
        </w:rPr>
        <w:t xml:space="preserve"> </w:t>
      </w:r>
      <w:r w:rsidRPr="006946D3">
        <w:rPr>
          <w:rFonts w:ascii="David" w:eastAsia="Calibri" w:hAnsi="David" w:hint="cs"/>
          <w:sz w:val="24"/>
          <w:rtl/>
        </w:rPr>
        <w:t>נחשפו גורמי הפרקליטות המעורבים בהוצאת תעודות חיסיון לכלים טכנולוגיים הטעונים טיפול מיוחד בהיבטי חיסיון, ובכלל זה</w:t>
      </w:r>
      <w:r w:rsidR="00382AE8">
        <w:rPr>
          <w:rFonts w:ascii="David" w:eastAsia="Calibri" w:hAnsi="David" w:hint="cs"/>
          <w:sz w:val="24"/>
          <w:rtl/>
        </w:rPr>
        <w:t xml:space="preserve"> </w:t>
      </w:r>
      <w:bookmarkStart w:id="676" w:name="_Hlk196732358"/>
      <w:r w:rsidR="00C2737E" w:rsidRPr="00C2737E">
        <w:rPr>
          <w:rFonts w:ascii="David" w:eastAsia="Calibri" w:hAnsi="David" w:hint="cs"/>
          <w:sz w:val="24"/>
          <w:rtl/>
        </w:rPr>
        <w:t>שני כלים</w:t>
      </w:r>
      <w:bookmarkEnd w:id="676"/>
      <w:r w:rsidRPr="006946D3">
        <w:rPr>
          <w:rFonts w:ascii="David" w:eastAsia="Calibri" w:hAnsi="David" w:hint="cs"/>
          <w:sz w:val="24"/>
          <w:rtl/>
        </w:rPr>
        <w:t xml:space="preserve">. בישיבה השתתפו </w:t>
      </w:r>
      <w:r w:rsidR="003C6C56">
        <w:rPr>
          <w:rFonts w:ascii="David" w:eastAsia="Calibri" w:hAnsi="David" w:hint="cs"/>
          <w:sz w:val="24"/>
          <w:rtl/>
        </w:rPr>
        <w:t xml:space="preserve">נציגי הפרקליטות והמשטרה </w:t>
      </w:r>
      <w:r w:rsidRPr="006946D3">
        <w:rPr>
          <w:rFonts w:ascii="David" w:eastAsia="Calibri" w:hAnsi="David" w:hint="cs"/>
          <w:sz w:val="24"/>
          <w:rtl/>
        </w:rPr>
        <w:t xml:space="preserve">שהציגו את הכלים. רשימת הכלים הטכנולוגיים שהוצגה הועברה למשנה לפרקליט המדינה (עניינים פליליים), לפרקליטי המחוזות, למנהלי המחלקות בפרקליטות ולפרקליטים שמונו בידי פרקליטי המחוזות לטיפול בחסיונות מיוחדים. בסיכום הדיון נכתב כי אם יתווסף כלי לרשימה, חטיבת הסייבר תעדכן בכך את </w:t>
      </w:r>
      <w:r w:rsidR="00EF3420">
        <w:rPr>
          <w:rFonts w:ascii="David" w:eastAsia="Calibri" w:hAnsi="David" w:hint="cs"/>
          <w:sz w:val="24"/>
          <w:rtl/>
        </w:rPr>
        <w:t>ה</w:t>
      </w:r>
      <w:r w:rsidRPr="006946D3">
        <w:rPr>
          <w:rFonts w:ascii="David" w:eastAsia="Calibri" w:hAnsi="David" w:hint="cs"/>
          <w:sz w:val="24"/>
          <w:rtl/>
        </w:rPr>
        <w:t>פרקליטות.</w:t>
      </w:r>
    </w:p>
    <w:p w:rsidR="004B50FC" w:rsidRDefault="004B50FC" w:rsidP="00604C3D">
      <w:pPr>
        <w:spacing w:line="269" w:lineRule="auto"/>
        <w:ind w:left="-58"/>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 xml:space="preserve">מחלקת הסייבר </w:t>
      </w:r>
      <w:r w:rsidRPr="006946D3">
        <w:rPr>
          <w:rFonts w:ascii="David" w:eastAsia="Calibri" w:hAnsi="David" w:hint="eastAsia"/>
          <w:sz w:val="24"/>
          <w:rtl/>
        </w:rPr>
        <w:t>בפרקליטות</w:t>
      </w:r>
      <w:r w:rsidRPr="006946D3">
        <w:rPr>
          <w:rFonts w:ascii="David" w:eastAsia="Calibri" w:hAnsi="David"/>
          <w:sz w:val="24"/>
          <w:rtl/>
        </w:rPr>
        <w:t xml:space="preserve"> ב</w:t>
      </w:r>
      <w:r w:rsidRPr="006946D3">
        <w:rPr>
          <w:rFonts w:ascii="David" w:eastAsia="Calibri" w:hAnsi="David" w:hint="cs"/>
          <w:sz w:val="24"/>
          <w:rtl/>
        </w:rPr>
        <w:t xml:space="preserve">דקה </w:t>
      </w:r>
      <w:r w:rsidRPr="006946D3">
        <w:rPr>
          <w:rFonts w:ascii="David" w:eastAsia="Calibri" w:hAnsi="David"/>
          <w:sz w:val="24"/>
          <w:rtl/>
        </w:rPr>
        <w:t>תיקים שהתקבלו מהמשטרה בכל מחוזות הפרקליטות</w:t>
      </w:r>
      <w:r w:rsidRPr="006946D3">
        <w:rPr>
          <w:rFonts w:ascii="David" w:eastAsia="Calibri" w:hAnsi="David" w:hint="cs"/>
          <w:sz w:val="24"/>
          <w:rtl/>
        </w:rPr>
        <w:t>, ובדיקתה העלתה</w:t>
      </w:r>
      <w:r w:rsidRPr="006946D3">
        <w:rPr>
          <w:rFonts w:ascii="David" w:eastAsia="Calibri" w:hAnsi="David"/>
          <w:sz w:val="24"/>
          <w:rtl/>
        </w:rPr>
        <w:t xml:space="preserve"> כי נכון </w:t>
      </w:r>
      <w:r w:rsidRPr="006946D3">
        <w:rPr>
          <w:rFonts w:ascii="David" w:eastAsia="Calibri" w:hAnsi="David" w:hint="cs"/>
          <w:sz w:val="24"/>
          <w:rtl/>
        </w:rPr>
        <w:t>ל</w:t>
      </w:r>
      <w:r w:rsidRPr="006946D3">
        <w:rPr>
          <w:rFonts w:ascii="David" w:eastAsia="Calibri" w:hAnsi="David"/>
          <w:sz w:val="24"/>
          <w:rtl/>
        </w:rPr>
        <w:t>מרץ 2022</w:t>
      </w:r>
      <w:r w:rsidRPr="006946D3">
        <w:rPr>
          <w:rFonts w:ascii="David" w:eastAsia="Calibri" w:hAnsi="David" w:hint="cs"/>
          <w:sz w:val="24"/>
          <w:rtl/>
        </w:rPr>
        <w:t xml:space="preserve"> הוגשו כתבי אישום</w:t>
      </w:r>
      <w:r w:rsidRPr="006946D3">
        <w:rPr>
          <w:rFonts w:ascii="David" w:eastAsia="Calibri" w:hAnsi="David"/>
          <w:sz w:val="24"/>
          <w:rtl/>
        </w:rPr>
        <w:t xml:space="preserve"> </w:t>
      </w:r>
      <w:r w:rsidRPr="006946D3">
        <w:rPr>
          <w:rFonts w:ascii="David" w:eastAsia="Calibri" w:hAnsi="David" w:hint="cs"/>
          <w:sz w:val="24"/>
          <w:rtl/>
        </w:rPr>
        <w:t>הנוגעים ל</w:t>
      </w:r>
      <w:r w:rsidR="006F1933">
        <w:rPr>
          <w:rFonts w:ascii="David" w:eastAsia="Calibri" w:hAnsi="David" w:hint="cs"/>
          <w:sz w:val="24"/>
          <w:rtl/>
        </w:rPr>
        <w:t>שימוש בכלי טכנולוגי להאזנה לתקשורת בין מחשבים במאות יחידות של תיקים</w:t>
      </w:r>
      <w:r w:rsidRPr="006946D3">
        <w:rPr>
          <w:rFonts w:ascii="David" w:eastAsia="Calibri" w:hAnsi="David" w:hint="cs"/>
          <w:sz w:val="24"/>
          <w:rtl/>
        </w:rPr>
        <w:t>.</w:t>
      </w:r>
      <w:r w:rsidRPr="006946D3">
        <w:rPr>
          <w:rFonts w:ascii="David" w:eastAsia="Calibri" w:hAnsi="David"/>
          <w:sz w:val="24"/>
          <w:rtl/>
        </w:rPr>
        <w:t xml:space="preserve"> </w:t>
      </w:r>
      <w:r w:rsidRPr="006946D3">
        <w:rPr>
          <w:rFonts w:ascii="David" w:eastAsia="Calibri" w:hAnsi="David" w:hint="cs"/>
          <w:sz w:val="24"/>
          <w:rtl/>
        </w:rPr>
        <w:t xml:space="preserve">משמע שהיה על פרקליטי המחוז שדנו באותם תיקים במסגרת ישיבת החסיונות להכיר את השימוש </w:t>
      </w:r>
      <w:r w:rsidR="00045ECB">
        <w:rPr>
          <w:rFonts w:ascii="David" w:eastAsia="Calibri" w:hAnsi="David" w:hint="cs"/>
          <w:sz w:val="24"/>
          <w:rtl/>
        </w:rPr>
        <w:t>שעשתה</w:t>
      </w:r>
      <w:r w:rsidR="00045ECB" w:rsidRPr="006946D3">
        <w:rPr>
          <w:rFonts w:ascii="David" w:eastAsia="Calibri" w:hAnsi="David" w:hint="cs"/>
          <w:sz w:val="24"/>
          <w:rtl/>
        </w:rPr>
        <w:t xml:space="preserve"> </w:t>
      </w:r>
      <w:r w:rsidRPr="006946D3">
        <w:rPr>
          <w:rFonts w:ascii="David" w:eastAsia="Calibri" w:hAnsi="David" w:hint="cs"/>
          <w:sz w:val="24"/>
          <w:rtl/>
        </w:rPr>
        <w:t>המשטרה ב</w:t>
      </w:r>
      <w:r w:rsidR="00EF1D87">
        <w:rPr>
          <w:rFonts w:ascii="David" w:eastAsia="Calibri" w:hAnsi="David" w:hint="cs"/>
          <w:sz w:val="24"/>
          <w:rtl/>
        </w:rPr>
        <w:t xml:space="preserve">כלי טכנולוגי </w:t>
      </w:r>
      <w:r w:rsidR="00C2737E">
        <w:rPr>
          <w:rFonts w:ascii="David" w:eastAsia="Calibri" w:hAnsi="David" w:hint="cs"/>
          <w:sz w:val="24"/>
          <w:rtl/>
        </w:rPr>
        <w:t>מסוי</w:t>
      </w:r>
      <w:r w:rsidR="00EF1D87">
        <w:rPr>
          <w:rFonts w:ascii="David" w:eastAsia="Calibri" w:hAnsi="David" w:hint="cs"/>
          <w:sz w:val="24"/>
          <w:rtl/>
        </w:rPr>
        <w:t>ם</w:t>
      </w:r>
      <w:r w:rsidRPr="006946D3">
        <w:rPr>
          <w:rFonts w:ascii="David" w:eastAsia="Calibri" w:hAnsi="David" w:hint="cs"/>
          <w:sz w:val="24"/>
          <w:rtl/>
        </w:rPr>
        <w:t>.</w:t>
      </w:r>
    </w:p>
    <w:p w:rsidR="004B50FC" w:rsidRDefault="004B50FC" w:rsidP="005A0F21">
      <w:pPr>
        <w:spacing w:line="269" w:lineRule="auto"/>
        <w:ind w:left="423"/>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צוות הביקורת ביקש לעמוד על מידת ההיכרות של פרקליטי המחוזות והפרקליטים המטפלים בתיקים שמתקבלים מהמשטרה עם היכולות הטכנולוגיות של המשטרה, וזאת כדי להבין אם וכיצד מידע זה מובא בחשבון במסגרת השיקולים הנוגעים להחלטות על הטלת חיסיון, ובכלל זה שיקולי הגנת נאשם. לצורך כך נפגש צוות הביקורת עם שני פרקליטי מחוזות, מנהל מחלקת הסייבר בפרקליטות, שני מנהלי מחלקות (פלילי) ופרקליטים פליליים מכל מחוזות הפרקליטות, אשר אמונים בפועל על קליטת תיקי החקירה מהמשטרה ועל טיפול בבקשות החיסיון.</w:t>
      </w:r>
    </w:p>
    <w:p w:rsidR="004B50FC" w:rsidRDefault="004B50FC" w:rsidP="005A0F21">
      <w:pPr>
        <w:spacing w:line="269" w:lineRule="auto"/>
        <w:ind w:left="423"/>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 xml:space="preserve">גורמי הפרקליטות שעימם נפגש צוות הביקורת מסרו לו כי תהליך הבדיקה בנוגע לתוצרי האזנות סתר מתחיל בעת שהפרקליט מקבל את תיק החקירה מהמשטרה כדי שיבחן אם להגיש כתב אישום. בשלב הראשון הפרקליט מוודא שהדרג המשטרתי המוסמך לכך אישר את בקשות המשטרה לצו בית משפט להאזנת סתר; אם המשטרה הציגה לבית המשפט את מלוא הנימוקים להקמת עמדת האזנת סתר; אם הצווים ניתנו על ידי הגורם השיפוטי המתאים; ואם תוצרי האזנת הסתר התקבלו בהתאם לתנאים שקבע בית המשפט בצו. עוד מסרו הפרקליטים לצוות הביקורת כי בבקשת המשטרה למתן צו האזנת סתר לא מפורט באיזה אמצעי ספציפי </w:t>
      </w:r>
      <w:r w:rsidR="00A43849">
        <w:rPr>
          <w:rFonts w:ascii="David" w:eastAsia="Calibri" w:hAnsi="David" w:hint="cs"/>
          <w:sz w:val="24"/>
          <w:rtl/>
        </w:rPr>
        <w:t>השתמשה</w:t>
      </w:r>
      <w:r w:rsidR="00A43849" w:rsidRPr="006946D3">
        <w:rPr>
          <w:rFonts w:ascii="David" w:eastAsia="Calibri" w:hAnsi="David" w:hint="cs"/>
          <w:sz w:val="24"/>
          <w:rtl/>
        </w:rPr>
        <w:t xml:space="preserve"> </w:t>
      </w:r>
      <w:r w:rsidRPr="006946D3">
        <w:rPr>
          <w:rFonts w:ascii="David" w:eastAsia="Calibri" w:hAnsi="David" w:hint="cs"/>
          <w:sz w:val="24"/>
          <w:rtl/>
        </w:rPr>
        <w:t xml:space="preserve">המשטרה, ולמעשה הפרקליט המטפל בתיק אינו מכיר את הטכנולוגיה שבה השתמשה המשטרה. זאת ועוד, גם בפגישות עם פרקליטי המחוזות עלה כי הם לא הכירו את מלוא היכולות של הכלים הטכנולוגיים שבהם השתמשה המשטרה במסגרת קבלת תוצרי האזנות סתר ונתוני תקשורת. </w:t>
      </w:r>
    </w:p>
    <w:p w:rsidR="004B50FC" w:rsidRDefault="004B50FC" w:rsidP="00604C3D">
      <w:pPr>
        <w:spacing w:line="269" w:lineRule="auto"/>
        <w:rPr>
          <w:rFonts w:eastAsia="Calibri"/>
          <w:sz w:val="16"/>
          <w:szCs w:val="16"/>
          <w:rtl/>
        </w:rPr>
      </w:pPr>
      <w:bookmarkStart w:id="677" w:name="_Hlk147756369"/>
    </w:p>
    <w:p w:rsidR="006946D3" w:rsidRPr="006946D3" w:rsidRDefault="006946D3" w:rsidP="005A0F21">
      <w:pPr>
        <w:spacing w:line="269" w:lineRule="auto"/>
        <w:ind w:left="423"/>
        <w:rPr>
          <w:rFonts w:ascii="Tahoma" w:eastAsia="Calibri" w:hAnsi="Tahoma" w:cs="Tahoma"/>
          <w:sz w:val="19"/>
          <w:szCs w:val="19"/>
          <w:rtl/>
        </w:rPr>
      </w:pPr>
      <w:r w:rsidRPr="006946D3">
        <w:rPr>
          <w:rFonts w:ascii="David" w:eastAsia="Calibri" w:hAnsi="David" w:hint="cs"/>
          <w:b/>
          <w:bCs/>
          <w:sz w:val="24"/>
          <w:rtl/>
        </w:rPr>
        <w:t>בביקורת עלה כי עד לפרסום "פרשת פגסוס" בינואר 2022</w:t>
      </w:r>
      <w:r w:rsidR="0027288F">
        <w:rPr>
          <w:rFonts w:ascii="David" w:eastAsia="Calibri" w:hAnsi="David" w:hint="cs"/>
          <w:b/>
          <w:bCs/>
          <w:sz w:val="24"/>
          <w:rtl/>
        </w:rPr>
        <w:t xml:space="preserve"> </w:t>
      </w:r>
      <w:r w:rsidRPr="006946D3">
        <w:rPr>
          <w:rFonts w:ascii="David" w:eastAsia="Calibri" w:hAnsi="David" w:hint="cs"/>
          <w:b/>
          <w:bCs/>
          <w:sz w:val="24"/>
          <w:rtl/>
        </w:rPr>
        <w:t>פרקליטי המחוזות, המקיימים את ישיבות החסיונות ונדרשים לקבל החלטות בדבר הוצאת תעודת חיסיון על חומרי חקירה, לא הכירו את מלוא היכולות של הכלים הטכנולוגיים שבה</w:t>
      </w:r>
      <w:r w:rsidR="00EF1D87">
        <w:rPr>
          <w:rFonts w:ascii="David" w:eastAsia="Calibri" w:hAnsi="David" w:hint="cs"/>
          <w:b/>
          <w:bCs/>
          <w:sz w:val="24"/>
          <w:rtl/>
        </w:rPr>
        <w:t>ם</w:t>
      </w:r>
      <w:r w:rsidRPr="006946D3">
        <w:rPr>
          <w:rFonts w:ascii="David" w:eastAsia="Calibri" w:hAnsi="David" w:hint="cs"/>
          <w:b/>
          <w:bCs/>
          <w:sz w:val="24"/>
          <w:rtl/>
        </w:rPr>
        <w:t xml:space="preserve"> השתמש</w:t>
      </w:r>
      <w:r w:rsidR="0027288F">
        <w:rPr>
          <w:rFonts w:ascii="David" w:eastAsia="Calibri" w:hAnsi="David" w:hint="cs"/>
          <w:b/>
          <w:bCs/>
          <w:sz w:val="24"/>
          <w:rtl/>
        </w:rPr>
        <w:t>ה המשטרה</w:t>
      </w:r>
      <w:r w:rsidRPr="006946D3">
        <w:rPr>
          <w:rFonts w:ascii="David" w:eastAsia="Calibri" w:hAnsi="David" w:hint="cs"/>
          <w:b/>
          <w:bCs/>
          <w:sz w:val="24"/>
          <w:rtl/>
        </w:rPr>
        <w:t xml:space="preserve">. בפועל, המשטרה לא נהגה לעדכן את פרקליטי המחוז במסגרת ישיבת החסיונות בנוגע לשימוש שהיא </w:t>
      </w:r>
      <w:r w:rsidR="00D446DB">
        <w:rPr>
          <w:rFonts w:ascii="David" w:eastAsia="Calibri" w:hAnsi="David" w:hint="cs"/>
          <w:b/>
          <w:bCs/>
          <w:sz w:val="24"/>
          <w:rtl/>
        </w:rPr>
        <w:t>ע</w:t>
      </w:r>
      <w:r w:rsidR="00594626">
        <w:rPr>
          <w:rFonts w:ascii="David" w:eastAsia="Calibri" w:hAnsi="David" w:hint="cs"/>
          <w:b/>
          <w:bCs/>
          <w:sz w:val="24"/>
          <w:rtl/>
        </w:rPr>
        <w:t>שתה</w:t>
      </w:r>
      <w:r w:rsidR="00D446DB" w:rsidRPr="006946D3">
        <w:rPr>
          <w:rFonts w:ascii="David" w:eastAsia="Calibri" w:hAnsi="David" w:hint="cs"/>
          <w:b/>
          <w:bCs/>
          <w:sz w:val="24"/>
          <w:rtl/>
        </w:rPr>
        <w:t xml:space="preserve"> </w:t>
      </w:r>
      <w:r w:rsidRPr="006946D3">
        <w:rPr>
          <w:rFonts w:ascii="David" w:eastAsia="Calibri" w:hAnsi="David" w:hint="cs"/>
          <w:b/>
          <w:bCs/>
          <w:sz w:val="24"/>
          <w:rtl/>
        </w:rPr>
        <w:t xml:space="preserve">בכלים </w:t>
      </w:r>
      <w:r w:rsidRPr="007263D8">
        <w:rPr>
          <w:rFonts w:ascii="David" w:eastAsia="Calibri" w:hAnsi="David" w:hint="cs"/>
          <w:b/>
          <w:bCs/>
          <w:sz w:val="24"/>
          <w:rtl/>
        </w:rPr>
        <w:t>הטכנולוגיים לצורך</w:t>
      </w:r>
      <w:r w:rsidRPr="006946D3">
        <w:rPr>
          <w:rFonts w:ascii="David" w:eastAsia="Calibri" w:hAnsi="David" w:hint="cs"/>
          <w:b/>
          <w:bCs/>
          <w:sz w:val="24"/>
          <w:rtl/>
        </w:rPr>
        <w:t xml:space="preserve"> ביצוע האזנת סתר לתקשורת בין מחשבים</w:t>
      </w:r>
      <w:bookmarkEnd w:id="677"/>
      <w:r w:rsidRPr="006946D3">
        <w:rPr>
          <w:rFonts w:ascii="David" w:eastAsia="Calibri" w:hAnsi="David" w:hint="cs"/>
          <w:b/>
          <w:bCs/>
          <w:sz w:val="24"/>
          <w:rtl/>
        </w:rPr>
        <w:t xml:space="preserve"> ולצורך הפקת תוצרים המשמשים חלק מחומרי החקירה. הדבר פגע ביכולת של פרקליטי המחוז לבחון את חומרי החקירה, את דרך קבלתם וחוקיותה ואת נחיצות הטלת החיסיון עליהם תוך שקילת שיקולים של הגנת הנאשם.</w:t>
      </w:r>
      <w:r w:rsidR="00382AE8">
        <w:rPr>
          <w:rFonts w:ascii="Tahoma" w:eastAsia="Calibri" w:hAnsi="Tahoma" w:cs="Tahoma" w:hint="cs"/>
          <w:sz w:val="19"/>
          <w:szCs w:val="19"/>
          <w:rtl/>
        </w:rPr>
        <w:t xml:space="preserve"> </w:t>
      </w:r>
    </w:p>
    <w:p w:rsidR="004B50FC" w:rsidRDefault="004B50FC" w:rsidP="00604C3D">
      <w:pPr>
        <w:spacing w:line="269" w:lineRule="auto"/>
        <w:rPr>
          <w:rFonts w:eastAsia="Calibri"/>
          <w:sz w:val="16"/>
          <w:szCs w:val="16"/>
          <w:rtl/>
        </w:rPr>
      </w:pPr>
    </w:p>
    <w:p w:rsidR="006946D3" w:rsidRPr="006946D3" w:rsidRDefault="00210916" w:rsidP="005A0F21">
      <w:pPr>
        <w:spacing w:line="269" w:lineRule="auto"/>
        <w:ind w:left="423"/>
        <w:rPr>
          <w:rFonts w:ascii="David" w:eastAsia="Calibri" w:hAnsi="David"/>
          <w:b/>
          <w:bCs/>
          <w:sz w:val="24"/>
          <w:rtl/>
        </w:rPr>
      </w:pPr>
      <w:r>
        <w:rPr>
          <w:rFonts w:ascii="David" w:eastAsia="Calibri" w:hAnsi="David" w:hint="cs"/>
          <w:b/>
          <w:bCs/>
          <w:sz w:val="24"/>
          <w:rtl/>
        </w:rPr>
        <w:t>על</w:t>
      </w:r>
      <w:r w:rsidRPr="006946D3">
        <w:rPr>
          <w:rFonts w:ascii="David" w:eastAsia="Calibri" w:hAnsi="David" w:hint="cs"/>
          <w:b/>
          <w:bCs/>
          <w:sz w:val="24"/>
          <w:rtl/>
        </w:rPr>
        <w:t xml:space="preserve"> פרקליטי המחוז </w:t>
      </w:r>
      <w:r>
        <w:rPr>
          <w:rFonts w:ascii="David" w:eastAsia="Calibri" w:hAnsi="David" w:hint="cs"/>
          <w:b/>
          <w:bCs/>
          <w:sz w:val="24"/>
          <w:rtl/>
        </w:rPr>
        <w:t>להכיר</w:t>
      </w:r>
      <w:r w:rsidRPr="006946D3">
        <w:rPr>
          <w:rFonts w:ascii="David" w:eastAsia="Calibri" w:hAnsi="David" w:hint="cs"/>
          <w:b/>
          <w:bCs/>
          <w:sz w:val="24"/>
          <w:rtl/>
        </w:rPr>
        <w:t xml:space="preserve"> את מלוא יכולותיהם של הכלים הטכנולוגיים ובפרט את מגבלותיהם, </w:t>
      </w:r>
      <w:r>
        <w:rPr>
          <w:rFonts w:ascii="David" w:eastAsia="Calibri" w:hAnsi="David" w:hint="cs"/>
          <w:b/>
          <w:bCs/>
          <w:sz w:val="24"/>
          <w:rtl/>
        </w:rPr>
        <w:t>על מנת</w:t>
      </w:r>
      <w:r w:rsidRPr="006946D3">
        <w:rPr>
          <w:rFonts w:ascii="David" w:eastAsia="Calibri" w:hAnsi="David" w:hint="cs"/>
          <w:b/>
          <w:bCs/>
          <w:sz w:val="24"/>
          <w:rtl/>
        </w:rPr>
        <w:t xml:space="preserve"> </w:t>
      </w:r>
      <w:r>
        <w:rPr>
          <w:rFonts w:ascii="David" w:eastAsia="Calibri" w:hAnsi="David" w:hint="cs"/>
          <w:b/>
          <w:bCs/>
          <w:sz w:val="24"/>
          <w:rtl/>
        </w:rPr>
        <w:t>ש</w:t>
      </w:r>
      <w:r w:rsidRPr="006946D3">
        <w:rPr>
          <w:rFonts w:ascii="David" w:eastAsia="Calibri" w:hAnsi="David" w:hint="cs"/>
          <w:b/>
          <w:bCs/>
          <w:sz w:val="24"/>
          <w:rtl/>
        </w:rPr>
        <w:t xml:space="preserve">יוכלו למלא כראוי את תפקידם כנדרש במסגרת ישיבת החסיונות, ובכלל זה להביא לידיעת הנאשם מידע אשר יכול לשמש להגנתו. </w:t>
      </w:r>
    </w:p>
    <w:p w:rsidR="004B50FC" w:rsidRDefault="004B50FC" w:rsidP="005A0F21">
      <w:pPr>
        <w:spacing w:line="269" w:lineRule="auto"/>
        <w:ind w:left="423"/>
        <w:rPr>
          <w:rFonts w:eastAsia="Calibri"/>
          <w:sz w:val="16"/>
          <w:szCs w:val="16"/>
          <w:rtl/>
        </w:rPr>
      </w:pPr>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על המשטרה לעדכן את פרקליטי המחוז במסגרת ישיבת החסיונות על הכלי הטכנולוגי שבו בוצעה האזנת סתר, על היכולות שלו</w:t>
      </w:r>
      <w:r w:rsidR="00382AE8">
        <w:rPr>
          <w:rFonts w:ascii="David" w:eastAsia="Calibri" w:hAnsi="David" w:hint="cs"/>
          <w:b/>
          <w:bCs/>
          <w:sz w:val="24"/>
          <w:rtl/>
        </w:rPr>
        <w:t xml:space="preserve"> </w:t>
      </w:r>
      <w:r w:rsidRPr="006946D3">
        <w:rPr>
          <w:rFonts w:ascii="David" w:eastAsia="Calibri" w:hAnsi="David" w:hint="cs"/>
          <w:b/>
          <w:bCs/>
          <w:sz w:val="24"/>
          <w:rtl/>
        </w:rPr>
        <w:t>ועל התוצרים שהיא השתמשה בהם בתיק הנדון, וזאת כדי שבמסגרת קבלת החלטתה של הרשות התובעת אם יש להוציא תעודת חיסיון, ואם כן - באילו תנאים, יעמוד לרשותה מלוא המידע הרלוונטי.</w:t>
      </w:r>
    </w:p>
    <w:p w:rsidR="006946D3" w:rsidRPr="006946D3" w:rsidRDefault="006946D3" w:rsidP="00604C3D">
      <w:pPr>
        <w:spacing w:line="269" w:lineRule="auto"/>
        <w:rPr>
          <w:rFonts w:ascii="David" w:eastAsia="Calibri" w:hAnsi="David"/>
          <w:b/>
          <w:bCs/>
          <w:sz w:val="24"/>
          <w:rtl/>
        </w:rPr>
      </w:pPr>
    </w:p>
    <w:p w:rsidR="006946D3" w:rsidRPr="006946D3" w:rsidRDefault="006946D3" w:rsidP="005A0F21">
      <w:pPr>
        <w:spacing w:line="269" w:lineRule="auto"/>
        <w:ind w:left="423"/>
        <w:rPr>
          <w:rFonts w:ascii="David" w:eastAsia="Calibri" w:hAnsi="David"/>
          <w:sz w:val="24"/>
        </w:rPr>
      </w:pPr>
      <w:r w:rsidRPr="006946D3">
        <w:rPr>
          <w:rFonts w:ascii="David" w:eastAsia="Calibri" w:hAnsi="David" w:hint="cs"/>
          <w:sz w:val="24"/>
          <w:rtl/>
        </w:rPr>
        <w:t xml:space="preserve">משרד המשפטים כתב בתשובתו מיוני 2024 כי נדרשת היכרות של הפרקליטות עם הכלים הטכנולוגיים המשמשים לביצוע האזנות סתר אשר תכלול תמונה כללית בדבר אופן </w:t>
      </w:r>
      <w:r w:rsidR="000C6AE7">
        <w:rPr>
          <w:rFonts w:ascii="David" w:eastAsia="Calibri" w:hAnsi="David" w:hint="cs"/>
          <w:sz w:val="24"/>
          <w:rtl/>
        </w:rPr>
        <w:t>התקנת</w:t>
      </w:r>
      <w:r w:rsidR="000C6AE7" w:rsidRPr="006946D3">
        <w:rPr>
          <w:rFonts w:ascii="David" w:eastAsia="Calibri" w:hAnsi="David" w:hint="cs"/>
          <w:sz w:val="24"/>
          <w:rtl/>
        </w:rPr>
        <w:t xml:space="preserve"> </w:t>
      </w:r>
      <w:r w:rsidRPr="006946D3">
        <w:rPr>
          <w:rFonts w:ascii="David" w:eastAsia="Calibri" w:hAnsi="David" w:hint="cs"/>
          <w:sz w:val="24"/>
          <w:rtl/>
        </w:rPr>
        <w:t>הכלי במכשיר הקצה וסוגי המידע שהכלי יכול לאסוף. לעמדת הפרקליטות, על המשטרה לחשוף בפני הגורם הבכיר בפרקליטות את כל תוצרי ההפקה של הכלי הטכנולוגי, את הידיעות המודיעיניות הרלוונטיות שנכתבו על סמך אותם תוצרי ההפקה וכל מידע העשוי לשמש להגנת הנאשם חריגות או תקלות שאירעו בעת הפעלת הכלי.</w:t>
      </w:r>
      <w:r w:rsidR="00382AE8">
        <w:rPr>
          <w:rFonts w:ascii="David" w:eastAsia="Calibri" w:hAnsi="David" w:hint="cs"/>
          <w:sz w:val="24"/>
          <w:rtl/>
        </w:rPr>
        <w:t xml:space="preserve"> </w:t>
      </w:r>
      <w:r w:rsidRPr="006946D3">
        <w:rPr>
          <w:rFonts w:ascii="David" w:eastAsia="Calibri" w:hAnsi="David" w:hint="cs"/>
          <w:sz w:val="24"/>
          <w:rtl/>
        </w:rPr>
        <w:t xml:space="preserve">עוד כתב משרד המשפטים כי בשל רגישותם של כלים אלו, ובשל העובדה שהפעלתם אמורה לחסות תחת תעודת חיסיון מלאה, הסכימה הפרקליטות לבקשת המשטרה שהשימוש בכלים ותוצרי האזנתם ייחשפו בפני פרקליטי המחוזות או מנהלי המחלקות או בפני גורמים בכירים הממונים על נושא החסיונות בלבד, אולם היא תשקול לבחון פעם נוספת את הגורמים בפרקליטות שייחשפו לאמצעים אלו. </w:t>
      </w:r>
    </w:p>
    <w:p w:rsidR="006946D3" w:rsidRPr="006946D3" w:rsidRDefault="006946D3" w:rsidP="00604C3D">
      <w:pPr>
        <w:spacing w:line="269" w:lineRule="auto"/>
        <w:rPr>
          <w:rFonts w:ascii="David" w:eastAsia="Calibri" w:hAnsi="David"/>
          <w:b/>
          <w:bCs/>
          <w:sz w:val="24"/>
          <w:rtl/>
        </w:rPr>
      </w:pPr>
    </w:p>
    <w:p w:rsidR="006946D3" w:rsidRPr="006946D3" w:rsidRDefault="006946D3" w:rsidP="00604C3D">
      <w:pPr>
        <w:pStyle w:val="3"/>
        <w:spacing w:before="0" w:line="269" w:lineRule="auto"/>
        <w:rPr>
          <w:rFonts w:eastAsia="Times New Roman"/>
          <w:rtl/>
        </w:rPr>
      </w:pPr>
      <w:bookmarkStart w:id="678" w:name="_Toc138576143"/>
      <w:bookmarkStart w:id="679" w:name="_Toc193283018"/>
      <w:bookmarkStart w:id="680" w:name="_Toc219286578"/>
      <w:bookmarkStart w:id="681" w:name="_Hlk147756431"/>
      <w:bookmarkStart w:id="682" w:name="_Hlk193264418"/>
      <w:r w:rsidRPr="006946D3">
        <w:rPr>
          <w:rFonts w:eastAsia="Times New Roman" w:hint="cs"/>
          <w:rtl/>
        </w:rPr>
        <w:t>5.2 הפיקוח והבקרה של התביעה על סיווג המידע הנוגע להאזנות סתר על ידי המשטרה</w:t>
      </w:r>
      <w:bookmarkEnd w:id="678"/>
      <w:r w:rsidRPr="006946D3">
        <w:rPr>
          <w:rFonts w:eastAsia="Times New Roman" w:hint="cs"/>
          <w:rtl/>
        </w:rPr>
        <w:t xml:space="preserve"> לצורך קבלת החלטה על גילויו או חיסויו</w:t>
      </w:r>
      <w:bookmarkEnd w:id="679"/>
      <w:bookmarkEnd w:id="680"/>
    </w:p>
    <w:bookmarkEnd w:id="681"/>
    <w:p w:rsidR="004B50FC" w:rsidRDefault="004B50FC" w:rsidP="00604C3D">
      <w:pPr>
        <w:spacing w:line="269" w:lineRule="auto"/>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זכותו של נאשם לקבל תוצרים של האזנות סתר שהופקו במסגרת החקירה בעניינו היא אחד הביטויים של הזכות לעיין בחומרי החקירה הרלוונטיים לאישום. זכות זו של הנאשם מקדמת את חשיפת האמת ואת האינטרס הציבורי באכיפה ראויה של ההליך הפלילי, והיא מאפשרת לו להבין מה עומד בבסיס</w:t>
      </w:r>
      <w:r w:rsidR="00382AE8">
        <w:rPr>
          <w:rFonts w:ascii="David" w:eastAsia="Calibri" w:hAnsi="David" w:hint="cs"/>
          <w:sz w:val="24"/>
          <w:rtl/>
        </w:rPr>
        <w:t xml:space="preserve"> </w:t>
      </w:r>
      <w:r w:rsidRPr="006946D3">
        <w:rPr>
          <w:rFonts w:ascii="David" w:eastAsia="Calibri" w:hAnsi="David" w:hint="cs"/>
          <w:sz w:val="24"/>
          <w:rtl/>
        </w:rPr>
        <w:t xml:space="preserve">האישומים נגדו ולהגן על עצמו באופן אפקטיבי. </w:t>
      </w:r>
    </w:p>
    <w:p w:rsidR="004B50FC" w:rsidRDefault="004B50FC" w:rsidP="00604C3D">
      <w:pPr>
        <w:spacing w:line="269" w:lineRule="auto"/>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בית המשפט קבע את העקרונות הבסיסיים המנחים בנושא המיון והסיווג של האזנות סתר, ובכלל זה את העיקרון שלפיו שיחות מסווגות כ"רלוונטיות" לאישום, ולפיהם יש לסווג את השיחות שנקלטו בידי גורמי החקירה לשלוש קטגוריות</w:t>
      </w:r>
      <w:r w:rsidRPr="006946D3">
        <w:rPr>
          <w:rFonts w:ascii="David" w:eastAsia="Calibri" w:hAnsi="David"/>
          <w:sz w:val="24"/>
          <w:vertAlign w:val="superscript"/>
          <w:rtl/>
        </w:rPr>
        <w:footnoteReference w:id="336"/>
      </w:r>
      <w:r w:rsidRPr="006946D3">
        <w:rPr>
          <w:rFonts w:ascii="David" w:eastAsia="Calibri" w:hAnsi="David" w:hint="cs"/>
          <w:sz w:val="24"/>
          <w:rtl/>
        </w:rPr>
        <w:t>:</w:t>
      </w:r>
    </w:p>
    <w:p w:rsidR="004B50FC" w:rsidRPr="004B50FC" w:rsidRDefault="004B50FC" w:rsidP="00604C3D">
      <w:pPr>
        <w:spacing w:line="269" w:lineRule="auto"/>
        <w:ind w:left="283"/>
        <w:rPr>
          <w:rFonts w:ascii="David" w:eastAsia="Calibri" w:hAnsi="David"/>
          <w:sz w:val="24"/>
        </w:rPr>
      </w:pPr>
    </w:p>
    <w:p w:rsidR="006946D3" w:rsidRPr="00D44AC7" w:rsidRDefault="006946D3" w:rsidP="005A0F21">
      <w:pPr>
        <w:pStyle w:val="af2"/>
        <w:numPr>
          <w:ilvl w:val="2"/>
          <w:numId w:val="12"/>
        </w:numPr>
        <w:spacing w:line="269" w:lineRule="auto"/>
        <w:ind w:left="820"/>
        <w:rPr>
          <w:rFonts w:ascii="David" w:eastAsia="Calibri" w:hAnsi="David"/>
          <w:sz w:val="24"/>
        </w:rPr>
      </w:pPr>
      <w:r w:rsidRPr="00D44AC7">
        <w:rPr>
          <w:rFonts w:eastAsia="Times New Roman" w:hint="eastAsia"/>
          <w:bCs/>
          <w:spacing w:val="40"/>
          <w:rtl/>
        </w:rPr>
        <w:t>שיחות</w:t>
      </w:r>
      <w:r w:rsidRPr="00D44AC7">
        <w:rPr>
          <w:rFonts w:eastAsia="Times New Roman"/>
          <w:bCs/>
          <w:spacing w:val="40"/>
          <w:rtl/>
        </w:rPr>
        <w:t xml:space="preserve"> "רלוונטיות":</w:t>
      </w:r>
      <w:r w:rsidRPr="00D44AC7">
        <w:rPr>
          <w:rFonts w:ascii="David" w:eastAsia="Calibri" w:hAnsi="David" w:hint="cs"/>
          <w:sz w:val="24"/>
          <w:rtl/>
        </w:rPr>
        <w:t xml:space="preserve"> תוצרי האזנת סתר (הקלטות שמע וחומרי תמלול) שהם רלוונטיים לאישום ונכללים בגדר "חומר חקירה" שלנאשם הזכות לקבל אותו ולעיין בו.</w:t>
      </w:r>
    </w:p>
    <w:p w:rsidR="004B50FC" w:rsidRPr="004B50FC" w:rsidRDefault="004B50FC" w:rsidP="005A0F21">
      <w:pPr>
        <w:spacing w:line="269" w:lineRule="auto"/>
        <w:ind w:left="680"/>
        <w:rPr>
          <w:rFonts w:ascii="David" w:eastAsia="Calibri" w:hAnsi="David"/>
          <w:sz w:val="24"/>
        </w:rPr>
      </w:pPr>
    </w:p>
    <w:p w:rsidR="006946D3" w:rsidRPr="006946D3" w:rsidRDefault="006946D3" w:rsidP="005A0F21">
      <w:pPr>
        <w:pStyle w:val="af2"/>
        <w:numPr>
          <w:ilvl w:val="2"/>
          <w:numId w:val="12"/>
        </w:numPr>
        <w:spacing w:line="269" w:lineRule="auto"/>
        <w:ind w:left="820"/>
        <w:rPr>
          <w:rFonts w:ascii="David" w:eastAsia="Calibri" w:hAnsi="David"/>
          <w:sz w:val="24"/>
        </w:rPr>
      </w:pPr>
      <w:r w:rsidRPr="006946D3">
        <w:rPr>
          <w:rFonts w:eastAsia="Times New Roman" w:hint="eastAsia"/>
          <w:bCs/>
          <w:spacing w:val="40"/>
          <w:rtl/>
        </w:rPr>
        <w:t>שיחות</w:t>
      </w:r>
      <w:r w:rsidRPr="006946D3">
        <w:rPr>
          <w:rFonts w:eastAsia="Times New Roman"/>
          <w:bCs/>
          <w:spacing w:val="40"/>
          <w:rtl/>
        </w:rPr>
        <w:t xml:space="preserve"> "נוגעות":</w:t>
      </w:r>
      <w:r w:rsidRPr="006946D3">
        <w:rPr>
          <w:rFonts w:ascii="David" w:eastAsia="Calibri" w:hAnsi="David" w:hint="cs"/>
          <w:sz w:val="24"/>
          <w:rtl/>
        </w:rPr>
        <w:t xml:space="preserve"> תוצרי האזנת סתר אשר נוגעים נגיעה כלשהי לנושא החקירה, אך הם אינם רלוונטיים במישרין או בעקיפין לאישום, ואין בהם חשיבות ממשית להגנת הנאשם. </w:t>
      </w:r>
      <w:r w:rsidRPr="00D44AC7">
        <w:rPr>
          <w:rFonts w:ascii="David" w:eastAsia="Calibri" w:hAnsi="David" w:hint="cs"/>
          <w:sz w:val="24"/>
          <w:rtl/>
        </w:rPr>
        <w:t>לנאשם</w:t>
      </w:r>
      <w:r w:rsidRPr="006946D3">
        <w:rPr>
          <w:rFonts w:ascii="David" w:eastAsia="Calibri" w:hAnsi="David" w:hint="cs"/>
          <w:sz w:val="24"/>
          <w:rtl/>
        </w:rPr>
        <w:t xml:space="preserve"> יש זכות לקבל רשימה שתכלול פרטים מתומצתים על כל שיחה, הכוללים את תוכן השיחה, את מועדה, את המשתתפים בה ואת הנושא העיקרי שלה.</w:t>
      </w:r>
    </w:p>
    <w:p w:rsidR="006946D3" w:rsidRPr="006946D3" w:rsidRDefault="006946D3" w:rsidP="005A0F21">
      <w:pPr>
        <w:spacing w:line="269" w:lineRule="auto"/>
        <w:ind w:left="56"/>
        <w:rPr>
          <w:rFonts w:eastAsia="Calibri"/>
          <w:sz w:val="16"/>
          <w:szCs w:val="16"/>
        </w:rPr>
      </w:pPr>
    </w:p>
    <w:p w:rsidR="006946D3" w:rsidRPr="006946D3" w:rsidRDefault="006946D3" w:rsidP="005A0F21">
      <w:pPr>
        <w:pStyle w:val="af2"/>
        <w:numPr>
          <w:ilvl w:val="2"/>
          <w:numId w:val="12"/>
        </w:numPr>
        <w:spacing w:line="269" w:lineRule="auto"/>
        <w:ind w:left="820"/>
        <w:rPr>
          <w:rFonts w:ascii="David" w:eastAsia="Calibri" w:hAnsi="David"/>
          <w:sz w:val="24"/>
        </w:rPr>
      </w:pPr>
      <w:r w:rsidRPr="006946D3">
        <w:rPr>
          <w:rFonts w:eastAsia="Times New Roman" w:hint="eastAsia"/>
          <w:bCs/>
          <w:spacing w:val="40"/>
          <w:rtl/>
        </w:rPr>
        <w:t>שיחות</w:t>
      </w:r>
      <w:r w:rsidRPr="006946D3">
        <w:rPr>
          <w:rFonts w:eastAsia="Times New Roman"/>
          <w:bCs/>
          <w:spacing w:val="40"/>
          <w:rtl/>
        </w:rPr>
        <w:t xml:space="preserve"> "לא </w:t>
      </w:r>
      <w:r w:rsidRPr="006946D3">
        <w:rPr>
          <w:rFonts w:eastAsia="Times New Roman" w:hint="eastAsia"/>
          <w:bCs/>
          <w:spacing w:val="40"/>
          <w:rtl/>
        </w:rPr>
        <w:t>רלוונטיות</w:t>
      </w:r>
      <w:r w:rsidRPr="006946D3">
        <w:rPr>
          <w:rFonts w:eastAsia="Times New Roman"/>
          <w:bCs/>
          <w:spacing w:val="40"/>
          <w:rtl/>
        </w:rPr>
        <w:t>":</w:t>
      </w:r>
      <w:r w:rsidRPr="006946D3">
        <w:rPr>
          <w:rFonts w:ascii="David" w:eastAsia="Calibri" w:hAnsi="David" w:hint="cs"/>
          <w:sz w:val="24"/>
          <w:rtl/>
        </w:rPr>
        <w:t xml:space="preserve"> תוצרי האזנת סתר אשר אין להם כל זיקה או קשר לאישום. הן אינן מסווגות כ"חומר חקירה", ולנאשם אין זכות לעיין בהן.</w:t>
      </w:r>
    </w:p>
    <w:p w:rsidR="006946D3" w:rsidRPr="006946D3" w:rsidRDefault="006946D3" w:rsidP="00604C3D">
      <w:pPr>
        <w:spacing w:line="269" w:lineRule="auto"/>
        <w:ind w:left="-341"/>
        <w:rPr>
          <w:rFonts w:eastAsia="Calibri"/>
          <w:sz w:val="16"/>
          <w:szCs w:val="16"/>
          <w:rtl/>
        </w:rPr>
      </w:pPr>
    </w:p>
    <w:p w:rsidR="006946D3" w:rsidRPr="006946D3" w:rsidRDefault="006946D3" w:rsidP="00353B82">
      <w:pPr>
        <w:pStyle w:val="4"/>
        <w:numPr>
          <w:ilvl w:val="1"/>
          <w:numId w:val="57"/>
        </w:numPr>
        <w:spacing w:before="0" w:line="269" w:lineRule="auto"/>
        <w:ind w:left="423" w:hanging="398"/>
        <w:rPr>
          <w:rFonts w:eastAsia="Times New Roman"/>
        </w:rPr>
      </w:pPr>
      <w:bookmarkStart w:id="683" w:name="_Toc211521972"/>
      <w:bookmarkStart w:id="684" w:name="_Toc219110363"/>
      <w:bookmarkStart w:id="685" w:name="_Toc219113804"/>
      <w:bookmarkStart w:id="686" w:name="_Toc219286579"/>
      <w:r w:rsidRPr="006946D3">
        <w:rPr>
          <w:rFonts w:eastAsia="Times New Roman" w:hint="eastAsia"/>
          <w:rtl/>
        </w:rPr>
        <w:t>הסדרת</w:t>
      </w:r>
      <w:r w:rsidRPr="006946D3">
        <w:rPr>
          <w:rFonts w:eastAsia="Times New Roman"/>
          <w:rtl/>
        </w:rPr>
        <w:t xml:space="preserve"> </w:t>
      </w:r>
      <w:r w:rsidRPr="006946D3">
        <w:rPr>
          <w:rFonts w:eastAsia="Times New Roman" w:hint="eastAsia"/>
          <w:rtl/>
        </w:rPr>
        <w:t>הפיקוח</w:t>
      </w:r>
      <w:r w:rsidRPr="006946D3">
        <w:rPr>
          <w:rFonts w:eastAsia="Times New Roman"/>
          <w:rtl/>
        </w:rPr>
        <w:t xml:space="preserve"> </w:t>
      </w:r>
      <w:r w:rsidRPr="006946D3">
        <w:rPr>
          <w:rFonts w:eastAsia="Times New Roman" w:hint="eastAsia"/>
          <w:rtl/>
        </w:rPr>
        <w:t>והבקרה</w:t>
      </w:r>
      <w:r w:rsidRPr="006946D3">
        <w:rPr>
          <w:rFonts w:eastAsia="Times New Roman"/>
          <w:rtl/>
        </w:rPr>
        <w:t xml:space="preserve"> </w:t>
      </w:r>
      <w:r w:rsidRPr="006946D3">
        <w:rPr>
          <w:rFonts w:eastAsia="Times New Roman" w:hint="eastAsia"/>
          <w:rtl/>
        </w:rPr>
        <w:t>של</w:t>
      </w:r>
      <w:r w:rsidRPr="006946D3">
        <w:rPr>
          <w:rFonts w:eastAsia="Times New Roman"/>
          <w:rtl/>
        </w:rPr>
        <w:t xml:space="preserve"> </w:t>
      </w:r>
      <w:r w:rsidRPr="006946D3">
        <w:rPr>
          <w:rFonts w:eastAsia="Times New Roman" w:hint="eastAsia"/>
          <w:rtl/>
        </w:rPr>
        <w:t>הפרקליטות</w:t>
      </w:r>
      <w:r w:rsidRPr="006946D3">
        <w:rPr>
          <w:rFonts w:eastAsia="Times New Roman"/>
          <w:rtl/>
        </w:rPr>
        <w:t xml:space="preserve"> </w:t>
      </w:r>
      <w:r w:rsidRPr="006946D3">
        <w:rPr>
          <w:rFonts w:eastAsia="Times New Roman" w:hint="eastAsia"/>
          <w:rtl/>
        </w:rPr>
        <w:t>על</w:t>
      </w:r>
      <w:r w:rsidRPr="006946D3">
        <w:rPr>
          <w:rFonts w:eastAsia="Times New Roman"/>
          <w:rtl/>
        </w:rPr>
        <w:t xml:space="preserve"> </w:t>
      </w:r>
      <w:r w:rsidRPr="006946D3">
        <w:rPr>
          <w:rFonts w:eastAsia="Times New Roman" w:hint="eastAsia"/>
          <w:rtl/>
        </w:rPr>
        <w:t>פעולת</w:t>
      </w:r>
      <w:r w:rsidRPr="006946D3">
        <w:rPr>
          <w:rFonts w:eastAsia="Times New Roman"/>
          <w:rtl/>
        </w:rPr>
        <w:t xml:space="preserve"> </w:t>
      </w:r>
      <w:r w:rsidRPr="006946D3">
        <w:rPr>
          <w:rFonts w:eastAsia="Times New Roman" w:hint="eastAsia"/>
          <w:rtl/>
        </w:rPr>
        <w:t>המשטרה</w:t>
      </w:r>
      <w:r w:rsidRPr="006946D3">
        <w:rPr>
          <w:rFonts w:eastAsia="Times New Roman"/>
          <w:rtl/>
        </w:rPr>
        <w:t xml:space="preserve"> </w:t>
      </w:r>
      <w:r w:rsidRPr="006946D3">
        <w:rPr>
          <w:rFonts w:eastAsia="Times New Roman" w:hint="eastAsia"/>
          <w:rtl/>
        </w:rPr>
        <w:t>בסיווג</w:t>
      </w:r>
      <w:r w:rsidRPr="006946D3">
        <w:rPr>
          <w:rFonts w:eastAsia="Times New Roman"/>
          <w:rtl/>
        </w:rPr>
        <w:t xml:space="preserve"> </w:t>
      </w:r>
      <w:r w:rsidRPr="006946D3">
        <w:rPr>
          <w:rFonts w:eastAsia="Times New Roman" w:hint="eastAsia"/>
          <w:rtl/>
        </w:rPr>
        <w:t>תוצרי</w:t>
      </w:r>
      <w:r w:rsidRPr="006946D3">
        <w:rPr>
          <w:rFonts w:eastAsia="Times New Roman"/>
          <w:rtl/>
        </w:rPr>
        <w:t xml:space="preserve"> </w:t>
      </w:r>
      <w:r w:rsidRPr="006946D3">
        <w:rPr>
          <w:rFonts w:eastAsia="Times New Roman" w:hint="eastAsia"/>
          <w:rtl/>
        </w:rPr>
        <w:t>האזנות</w:t>
      </w:r>
      <w:r w:rsidRPr="006946D3">
        <w:rPr>
          <w:rFonts w:eastAsia="Times New Roman"/>
          <w:rtl/>
        </w:rPr>
        <w:t xml:space="preserve"> </w:t>
      </w:r>
      <w:r w:rsidRPr="006946D3">
        <w:rPr>
          <w:rFonts w:eastAsia="Times New Roman" w:hint="eastAsia"/>
          <w:rtl/>
        </w:rPr>
        <w:t>הסתר</w:t>
      </w:r>
      <w:bookmarkEnd w:id="683"/>
      <w:bookmarkEnd w:id="684"/>
      <w:bookmarkEnd w:id="685"/>
      <w:bookmarkEnd w:id="686"/>
      <w:r w:rsidRPr="006946D3">
        <w:rPr>
          <w:rFonts w:eastAsia="Times New Roman"/>
          <w:rtl/>
        </w:rPr>
        <w:t xml:space="preserve"> </w:t>
      </w:r>
    </w:p>
    <w:p w:rsidR="004B50FC" w:rsidRDefault="004B50FC" w:rsidP="00604C3D">
      <w:pPr>
        <w:spacing w:line="269" w:lineRule="auto"/>
        <w:rPr>
          <w:rFonts w:eastAsia="Calibri"/>
          <w:szCs w:val="20"/>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בשנת 2017 קבע בית המשפט כי האחריות לפעולת המיון והסיווג של החומר שנקלט בהאזנת סתר מוטלת על המשטרה כרשות חוקרת, וכי תפקידה של הפרקליטות הוא לפקח על עבודת המיון והסיווג של המשטרה: הפרקליטות אחראית לכך שאופן מיונו וסיווגו של חומר האזנה יעלה בקנה אחד עם זכות העיון של הנאשם. עוד קבע בית המשפט כי על המשטרה והפרקליטות להוציא הנחיות שיסדירו את אופן חלוקת העבודה ביניהן לעניין המיון והסיווג של תוצרי האזנות סתר ואת חובת הפיקוח המוטלת על הפרקליטות</w:t>
      </w:r>
      <w:r w:rsidRPr="006946D3">
        <w:rPr>
          <w:rFonts w:ascii="David" w:eastAsia="Calibri" w:hAnsi="David"/>
          <w:sz w:val="24"/>
          <w:vertAlign w:val="superscript"/>
          <w:rtl/>
        </w:rPr>
        <w:footnoteReference w:id="337"/>
      </w:r>
      <w:r w:rsidRPr="006946D3">
        <w:rPr>
          <w:rFonts w:ascii="David" w:eastAsia="Calibri" w:hAnsi="David" w:hint="cs"/>
          <w:sz w:val="24"/>
          <w:rtl/>
        </w:rPr>
        <w:t>. בהקשר זה יש לציין כי בית המשפט העליון קבע לא אחת כי מושכלות יסוד של שלטון החוק מחייבות את כלל רשויות השלטון לציית להחלטות ולצווים שיפוטיים</w:t>
      </w:r>
      <w:r w:rsidRPr="006946D3">
        <w:rPr>
          <w:rFonts w:ascii="David" w:eastAsia="Calibri" w:hAnsi="David"/>
          <w:sz w:val="24"/>
          <w:vertAlign w:val="superscript"/>
          <w:rtl/>
        </w:rPr>
        <w:footnoteReference w:id="338"/>
      </w:r>
      <w:r w:rsidRPr="006946D3">
        <w:rPr>
          <w:rFonts w:ascii="David" w:eastAsia="Calibri" w:hAnsi="David" w:hint="cs"/>
          <w:sz w:val="24"/>
          <w:rtl/>
        </w:rPr>
        <w:t xml:space="preserve">. </w:t>
      </w:r>
    </w:p>
    <w:p w:rsidR="004B50FC" w:rsidRDefault="004B50FC" w:rsidP="00604C3D">
      <w:pPr>
        <w:spacing w:line="269" w:lineRule="auto"/>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בשנת 2018 נכתבה טיוטת הנחיית פרקליט המדינה בנוגע לאופן הפיקוח והבקרה של התביעה על עבודת המשטרה בנושא האזנות סתר. לאחר שהסתיים סבב הטמעת ההערות של הפרקליטות והמשטרה, ביולי 2021 פנ</w:t>
      </w:r>
      <w:r w:rsidR="00EF3420">
        <w:rPr>
          <w:rFonts w:ascii="David" w:eastAsia="Calibri" w:hAnsi="David" w:hint="cs"/>
          <w:sz w:val="24"/>
          <w:rtl/>
        </w:rPr>
        <w:t>ת</w:t>
      </w:r>
      <w:r w:rsidRPr="006946D3">
        <w:rPr>
          <w:rFonts w:ascii="David" w:eastAsia="Calibri" w:hAnsi="David" w:hint="cs"/>
          <w:sz w:val="24"/>
          <w:rtl/>
        </w:rPr>
        <w:t xml:space="preserve">ה </w:t>
      </w:r>
      <w:r w:rsidR="00EF3420">
        <w:rPr>
          <w:rFonts w:ascii="David" w:eastAsia="Calibri" w:hAnsi="David" w:hint="cs"/>
          <w:sz w:val="24"/>
          <w:rtl/>
        </w:rPr>
        <w:t>פרקליטות המדינה</w:t>
      </w:r>
      <w:r w:rsidRPr="006946D3">
        <w:rPr>
          <w:rFonts w:ascii="David" w:eastAsia="Calibri" w:hAnsi="David" w:hint="cs"/>
          <w:sz w:val="24"/>
          <w:rtl/>
        </w:rPr>
        <w:t xml:space="preserve"> </w:t>
      </w:r>
      <w:r w:rsidR="00EF3420">
        <w:rPr>
          <w:rFonts w:ascii="David" w:eastAsia="Calibri" w:hAnsi="David" w:hint="cs"/>
          <w:sz w:val="24"/>
          <w:rtl/>
        </w:rPr>
        <w:t>ל</w:t>
      </w:r>
      <w:r w:rsidRPr="006946D3">
        <w:rPr>
          <w:rFonts w:ascii="David" w:eastAsia="Calibri" w:hAnsi="David" w:hint="cs"/>
          <w:sz w:val="24"/>
          <w:rtl/>
        </w:rPr>
        <w:t>משטרה וביקש</w:t>
      </w:r>
      <w:r w:rsidR="00EF3420">
        <w:rPr>
          <w:rFonts w:ascii="David" w:eastAsia="Calibri" w:hAnsi="David" w:hint="cs"/>
          <w:sz w:val="24"/>
          <w:rtl/>
        </w:rPr>
        <w:t>ה</w:t>
      </w:r>
      <w:r w:rsidRPr="006946D3">
        <w:rPr>
          <w:rFonts w:ascii="David" w:eastAsia="Calibri" w:hAnsi="David" w:hint="cs"/>
          <w:sz w:val="24"/>
          <w:rtl/>
        </w:rPr>
        <w:t xml:space="preserve"> מהמשטרה לקבוע, במסגרת חלוקת העבודה שתוסדר בהנחיה, לוחות זמנים מוגדרים להעברה של תמלול השיחות מהמשטרה אל הרשות התובעת. בינואר 2022 נשלחה בדוא"ל תזכורת בנושא </w:t>
      </w:r>
      <w:r w:rsidR="00EF3420">
        <w:rPr>
          <w:rFonts w:ascii="David" w:eastAsia="Calibri" w:hAnsi="David" w:hint="cs"/>
          <w:sz w:val="24"/>
          <w:rtl/>
        </w:rPr>
        <w:t>מהפרקליטות</w:t>
      </w:r>
      <w:r w:rsidRPr="006946D3">
        <w:rPr>
          <w:rFonts w:ascii="David" w:eastAsia="Calibri" w:hAnsi="David" w:hint="cs"/>
          <w:sz w:val="24"/>
          <w:rtl/>
        </w:rPr>
        <w:t xml:space="preserve">, אולם תזכורת זו לא נענתה. </w:t>
      </w:r>
    </w:p>
    <w:p w:rsidR="004B50FC" w:rsidRDefault="004B50FC" w:rsidP="005A0F21">
      <w:pPr>
        <w:spacing w:line="269" w:lineRule="auto"/>
        <w:ind w:left="423"/>
        <w:rPr>
          <w:rFonts w:eastAsia="Calibri"/>
          <w:sz w:val="16"/>
          <w:szCs w:val="16"/>
          <w:rtl/>
        </w:rPr>
      </w:pPr>
      <w:bookmarkStart w:id="687" w:name="_Hlk147756548"/>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לפעולת הסיווג של תוצרי האזנות הסתר השלכות ניכרות על זכויות הנאשמים במסגרת הליכים פליליים, ובייחוד על זכותם לעיין בחומרי החקירה הרלוונטיים להגנתם</w:t>
      </w:r>
      <w:bookmarkEnd w:id="687"/>
      <w:r w:rsidRPr="006946D3">
        <w:rPr>
          <w:rFonts w:ascii="David" w:eastAsia="Calibri" w:hAnsi="David" w:hint="cs"/>
          <w:b/>
          <w:bCs/>
          <w:sz w:val="24"/>
          <w:rtl/>
        </w:rPr>
        <w:t>. משום כך קבע בית המשפט בשנת 2017 שעל הפרקליטות להסדיר בהנחיה כתובה את הליך הפיקוח והבקרה של הפרקליטות על ההליכים שנוקטת המשטרה במסגרת המיון והסיווג של החומר שנקלט בהאזנות הסתר ואת תפקידיה של הפרקליטות לפיקוח על פעולות המשטרה בנושא זה.</w:t>
      </w:r>
    </w:p>
    <w:p w:rsidR="004B50FC" w:rsidRDefault="004B50FC" w:rsidP="005A0F21">
      <w:pPr>
        <w:spacing w:line="269" w:lineRule="auto"/>
        <w:ind w:left="423"/>
        <w:rPr>
          <w:rFonts w:eastAsia="Calibri"/>
          <w:sz w:val="16"/>
          <w:szCs w:val="16"/>
          <w:rtl/>
        </w:rPr>
      </w:pPr>
      <w:bookmarkStart w:id="688" w:name="_Hlk147756568"/>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נמצא כי במועד סיום הביקורת, כשש שנים מאז דרש בית המשפט להסדיר את הליכי הטיפול והפיקוח בנושא זה, הפרקליטות לא סיכמה ואישרה הנחיה בנושא הפיקוח שלה בנושא. בהיעדרה של הסדרה נוהלית מפורטת בנושא פיקוח הפרקליטות על המשטרה לא ניתן לבחון אם הפרקליטות מבצעת הליכי פיקוח ממשיים על טיפול המשטרה בנושא ואם המשטרה מבצעת כראוי את תהליך סיווג השיחות.</w:t>
      </w:r>
    </w:p>
    <w:bookmarkEnd w:id="688"/>
    <w:p w:rsidR="004B50FC" w:rsidRDefault="004B50FC" w:rsidP="005A0F21">
      <w:pPr>
        <w:spacing w:line="269" w:lineRule="auto"/>
        <w:ind w:left="365"/>
        <w:contextualSpacing/>
        <w:rPr>
          <w:rFonts w:eastAsia="Calibri"/>
          <w:sz w:val="16"/>
          <w:szCs w:val="16"/>
          <w:rtl/>
        </w:rPr>
      </w:pPr>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על הפרקליטות והמשטרה להשלים את כתיבת הנחיית פרקליט המדינה בנוגע לאופן הפיקוח של התביעה על עבודת המשטרה בנושא האזנות סתר בהתאם לקביעת בית המשפט משנת 2017.</w:t>
      </w:r>
    </w:p>
    <w:p w:rsidR="006946D3" w:rsidRPr="006946D3" w:rsidRDefault="006946D3" w:rsidP="005A0F21">
      <w:pPr>
        <w:spacing w:line="269" w:lineRule="auto"/>
        <w:ind w:left="365"/>
        <w:contextualSpacing/>
        <w:rPr>
          <w:rFonts w:ascii="David" w:eastAsia="Calibri" w:hAnsi="David"/>
          <w:sz w:val="24"/>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 xml:space="preserve">משרד המשפטים כתב בתשובתו כי הנחיה בנושא פיקוח התביעה על הפקת האזנות סתר נדרשת, </w:t>
      </w:r>
      <w:r w:rsidRPr="006946D3">
        <w:rPr>
          <w:rFonts w:ascii="David" w:eastAsia="Calibri" w:hAnsi="David" w:hint="eastAsia"/>
          <w:sz w:val="24"/>
          <w:rtl/>
        </w:rPr>
        <w:t>ו</w:t>
      </w:r>
      <w:r w:rsidRPr="006946D3">
        <w:rPr>
          <w:rFonts w:ascii="David" w:eastAsia="Calibri" w:hAnsi="David" w:hint="cs"/>
          <w:sz w:val="24"/>
          <w:rtl/>
        </w:rPr>
        <w:t xml:space="preserve">היא מצויה בשלב מתקדם של עריכה. </w:t>
      </w:r>
      <w:r w:rsidRPr="006946D3">
        <w:rPr>
          <w:rFonts w:ascii="David" w:eastAsia="Calibri" w:hAnsi="David" w:hint="eastAsia"/>
          <w:sz w:val="24"/>
          <w:rtl/>
        </w:rPr>
        <w:t>עוד</w:t>
      </w:r>
      <w:r w:rsidRPr="006946D3">
        <w:rPr>
          <w:rFonts w:ascii="David" w:eastAsia="Calibri" w:hAnsi="David"/>
          <w:sz w:val="24"/>
          <w:rtl/>
        </w:rPr>
        <w:t xml:space="preserve"> כתב משרד המשפטים בתשובתו כי </w:t>
      </w:r>
      <w:r w:rsidRPr="006946D3">
        <w:rPr>
          <w:rFonts w:ascii="David" w:eastAsia="Calibri" w:hAnsi="David" w:hint="eastAsia"/>
          <w:sz w:val="24"/>
          <w:rtl/>
        </w:rPr>
        <w:t>פרקליט</w:t>
      </w:r>
      <w:r w:rsidRPr="006946D3">
        <w:rPr>
          <w:rFonts w:ascii="David" w:eastAsia="Calibri" w:hAnsi="David"/>
          <w:sz w:val="24"/>
          <w:rtl/>
        </w:rPr>
        <w:t xml:space="preserve"> המדינה יבחן אם ניתן לפרסם את ההנחיה בשני חלקים, הראשון </w:t>
      </w:r>
      <w:r w:rsidRPr="006946D3">
        <w:rPr>
          <w:rFonts w:ascii="David" w:eastAsia="Calibri" w:hAnsi="David" w:hint="cs"/>
          <w:sz w:val="24"/>
          <w:rtl/>
        </w:rPr>
        <w:t>ב</w:t>
      </w:r>
      <w:r w:rsidRPr="006946D3">
        <w:rPr>
          <w:rFonts w:ascii="David" w:eastAsia="Calibri" w:hAnsi="David" w:hint="eastAsia"/>
          <w:sz w:val="24"/>
          <w:rtl/>
        </w:rPr>
        <w:t>נו</w:t>
      </w:r>
      <w:r w:rsidRPr="006946D3">
        <w:rPr>
          <w:rFonts w:ascii="David" w:eastAsia="Calibri" w:hAnsi="David" w:hint="cs"/>
          <w:sz w:val="24"/>
          <w:rtl/>
        </w:rPr>
        <w:t>ג</w:t>
      </w:r>
      <w:r w:rsidRPr="006946D3">
        <w:rPr>
          <w:rFonts w:ascii="David" w:eastAsia="Calibri" w:hAnsi="David" w:hint="eastAsia"/>
          <w:sz w:val="24"/>
          <w:rtl/>
        </w:rPr>
        <w:t>ע</w:t>
      </w:r>
      <w:r w:rsidRPr="006946D3">
        <w:rPr>
          <w:rFonts w:ascii="David" w:eastAsia="Calibri" w:hAnsi="David"/>
          <w:sz w:val="24"/>
          <w:rtl/>
        </w:rPr>
        <w:t xml:space="preserve"> </w:t>
      </w:r>
      <w:r w:rsidRPr="006946D3">
        <w:rPr>
          <w:rFonts w:ascii="David" w:eastAsia="Calibri" w:hAnsi="David" w:hint="eastAsia"/>
          <w:sz w:val="24"/>
          <w:rtl/>
        </w:rPr>
        <w:t>להאזנת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לתקשורת</w:t>
      </w:r>
      <w:r w:rsidRPr="006946D3">
        <w:rPr>
          <w:rFonts w:ascii="David" w:eastAsia="Calibri" w:hAnsi="David"/>
          <w:sz w:val="24"/>
          <w:rtl/>
        </w:rPr>
        <w:t xml:space="preserve"> </w:t>
      </w:r>
      <w:r w:rsidRPr="006946D3">
        <w:rPr>
          <w:rFonts w:ascii="David" w:eastAsia="Calibri" w:hAnsi="David" w:hint="eastAsia"/>
          <w:sz w:val="24"/>
          <w:rtl/>
        </w:rPr>
        <w:t>קווית</w:t>
      </w:r>
      <w:r w:rsidRPr="006946D3">
        <w:rPr>
          <w:rFonts w:ascii="David" w:eastAsia="Calibri" w:hAnsi="David"/>
          <w:sz w:val="24"/>
          <w:rtl/>
        </w:rPr>
        <w:t xml:space="preserve"> סלולרית, והשני </w:t>
      </w:r>
      <w:r w:rsidRPr="006946D3">
        <w:rPr>
          <w:rFonts w:ascii="David" w:eastAsia="Calibri" w:hAnsi="David" w:hint="cs"/>
          <w:sz w:val="24"/>
          <w:rtl/>
        </w:rPr>
        <w:t>ב</w:t>
      </w:r>
      <w:r w:rsidRPr="006946D3">
        <w:rPr>
          <w:rFonts w:ascii="David" w:eastAsia="Calibri" w:hAnsi="David" w:hint="eastAsia"/>
          <w:sz w:val="24"/>
          <w:rtl/>
        </w:rPr>
        <w:t>נוגע</w:t>
      </w:r>
      <w:r w:rsidRPr="006946D3">
        <w:rPr>
          <w:rFonts w:ascii="David" w:eastAsia="Calibri" w:hAnsi="David"/>
          <w:sz w:val="24"/>
          <w:rtl/>
        </w:rPr>
        <w:t xml:space="preserve"> </w:t>
      </w:r>
      <w:r w:rsidRPr="006946D3">
        <w:rPr>
          <w:rFonts w:ascii="David" w:eastAsia="Calibri" w:hAnsi="David" w:hint="eastAsia"/>
          <w:sz w:val="24"/>
          <w:rtl/>
        </w:rPr>
        <w:t>להאזנת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לתקשורת</w:t>
      </w:r>
      <w:r w:rsidRPr="006946D3">
        <w:rPr>
          <w:rFonts w:ascii="David" w:eastAsia="Calibri" w:hAnsi="David"/>
          <w:sz w:val="24"/>
          <w:rtl/>
        </w:rPr>
        <w:t xml:space="preserve"> </w:t>
      </w:r>
      <w:r w:rsidRPr="006946D3">
        <w:rPr>
          <w:rFonts w:ascii="David" w:eastAsia="Calibri" w:hAnsi="David" w:hint="eastAsia"/>
          <w:sz w:val="24"/>
          <w:rtl/>
        </w:rPr>
        <w:t>בין</w:t>
      </w:r>
      <w:r w:rsidRPr="006946D3">
        <w:rPr>
          <w:rFonts w:ascii="David" w:eastAsia="Calibri" w:hAnsi="David"/>
          <w:sz w:val="24"/>
          <w:rtl/>
        </w:rPr>
        <w:t xml:space="preserve"> </w:t>
      </w:r>
      <w:r w:rsidRPr="006946D3">
        <w:rPr>
          <w:rFonts w:ascii="David" w:eastAsia="Calibri" w:hAnsi="David" w:hint="eastAsia"/>
          <w:sz w:val="24"/>
          <w:rtl/>
        </w:rPr>
        <w:t>מחשבים</w:t>
      </w:r>
      <w:r w:rsidRPr="006946D3">
        <w:rPr>
          <w:rFonts w:ascii="David" w:eastAsia="Calibri" w:hAnsi="David"/>
          <w:sz w:val="24"/>
          <w:rtl/>
        </w:rPr>
        <w:t>.</w:t>
      </w:r>
    </w:p>
    <w:p w:rsidR="006946D3" w:rsidRPr="006946D3" w:rsidRDefault="006946D3" w:rsidP="00604C3D">
      <w:pPr>
        <w:spacing w:line="269" w:lineRule="auto"/>
        <w:ind w:left="-58"/>
        <w:contextualSpacing/>
        <w:rPr>
          <w:rFonts w:eastAsia="Calibri"/>
          <w:sz w:val="16"/>
          <w:szCs w:val="16"/>
        </w:rPr>
      </w:pPr>
    </w:p>
    <w:p w:rsidR="006946D3" w:rsidRPr="003A2A8D" w:rsidRDefault="006946D3" w:rsidP="00353B82">
      <w:pPr>
        <w:pStyle w:val="4"/>
        <w:numPr>
          <w:ilvl w:val="1"/>
          <w:numId w:val="57"/>
        </w:numPr>
        <w:spacing w:before="0" w:line="269" w:lineRule="auto"/>
        <w:ind w:left="423" w:hanging="398"/>
        <w:rPr>
          <w:rFonts w:eastAsia="Times New Roman"/>
        </w:rPr>
      </w:pPr>
      <w:bookmarkStart w:id="689" w:name="_Toc211521973"/>
      <w:bookmarkStart w:id="690" w:name="_Toc219110364"/>
      <w:bookmarkStart w:id="691" w:name="_Toc219113805"/>
      <w:bookmarkStart w:id="692" w:name="_Toc219286580"/>
      <w:r w:rsidRPr="003A2A8D">
        <w:rPr>
          <w:rFonts w:eastAsia="Times New Roman" w:hint="eastAsia"/>
          <w:rtl/>
        </w:rPr>
        <w:t>ישיבות</w:t>
      </w:r>
      <w:r w:rsidRPr="003A2A8D">
        <w:rPr>
          <w:rFonts w:eastAsia="Times New Roman"/>
          <w:rtl/>
        </w:rPr>
        <w:t xml:space="preserve"> </w:t>
      </w:r>
      <w:r w:rsidRPr="003A2A8D">
        <w:rPr>
          <w:rFonts w:eastAsia="Times New Roman" w:hint="eastAsia"/>
          <w:rtl/>
        </w:rPr>
        <w:t>חסיונות</w:t>
      </w:r>
      <w:r w:rsidRPr="003A2A8D">
        <w:rPr>
          <w:rFonts w:eastAsia="Times New Roman"/>
          <w:rtl/>
        </w:rPr>
        <w:t xml:space="preserve"> </w:t>
      </w:r>
      <w:r w:rsidRPr="003A2A8D">
        <w:rPr>
          <w:rFonts w:eastAsia="Times New Roman" w:hint="eastAsia"/>
          <w:rtl/>
        </w:rPr>
        <w:t>ללא</w:t>
      </w:r>
      <w:r w:rsidRPr="003A2A8D">
        <w:rPr>
          <w:rFonts w:eastAsia="Times New Roman"/>
          <w:rtl/>
        </w:rPr>
        <w:t xml:space="preserve"> </w:t>
      </w:r>
      <w:r w:rsidRPr="003A2A8D">
        <w:rPr>
          <w:rFonts w:eastAsia="Times New Roman" w:hint="eastAsia"/>
          <w:rtl/>
        </w:rPr>
        <w:t>יומני</w:t>
      </w:r>
      <w:r w:rsidRPr="003A2A8D">
        <w:rPr>
          <w:rFonts w:eastAsia="Times New Roman"/>
          <w:rtl/>
        </w:rPr>
        <w:t xml:space="preserve"> </w:t>
      </w:r>
      <w:r w:rsidRPr="003A2A8D">
        <w:rPr>
          <w:rFonts w:eastAsia="Times New Roman" w:hint="eastAsia"/>
          <w:rtl/>
        </w:rPr>
        <w:t>הפקה</w:t>
      </w:r>
      <w:r w:rsidRPr="003A2A8D">
        <w:rPr>
          <w:rFonts w:eastAsia="Times New Roman"/>
          <w:rtl/>
        </w:rPr>
        <w:t xml:space="preserve"> </w:t>
      </w:r>
      <w:r w:rsidRPr="003A2A8D">
        <w:rPr>
          <w:rFonts w:eastAsia="Times New Roman" w:hint="eastAsia"/>
          <w:rtl/>
        </w:rPr>
        <w:t>של</w:t>
      </w:r>
      <w:r w:rsidRPr="003A2A8D">
        <w:rPr>
          <w:rFonts w:eastAsia="Times New Roman"/>
          <w:rtl/>
        </w:rPr>
        <w:t xml:space="preserve"> </w:t>
      </w:r>
      <w:r w:rsidRPr="003A2A8D">
        <w:rPr>
          <w:rFonts w:eastAsia="Times New Roman" w:hint="eastAsia"/>
          <w:rtl/>
        </w:rPr>
        <w:t>האזנות</w:t>
      </w:r>
      <w:r w:rsidRPr="003A2A8D">
        <w:rPr>
          <w:rFonts w:eastAsia="Times New Roman"/>
          <w:rtl/>
        </w:rPr>
        <w:t xml:space="preserve"> </w:t>
      </w:r>
      <w:r w:rsidRPr="003A2A8D">
        <w:rPr>
          <w:rFonts w:eastAsia="Times New Roman" w:hint="eastAsia"/>
          <w:rtl/>
        </w:rPr>
        <w:t>סתר</w:t>
      </w:r>
      <w:r w:rsidRPr="003A2A8D">
        <w:rPr>
          <w:rFonts w:eastAsia="Times New Roman"/>
          <w:rtl/>
        </w:rPr>
        <w:t xml:space="preserve"> </w:t>
      </w:r>
      <w:r w:rsidRPr="003A2A8D">
        <w:rPr>
          <w:rFonts w:eastAsia="Times New Roman" w:hint="eastAsia"/>
          <w:rtl/>
        </w:rPr>
        <w:t>לתקשורת</w:t>
      </w:r>
      <w:r w:rsidRPr="003A2A8D">
        <w:rPr>
          <w:rFonts w:eastAsia="Times New Roman"/>
          <w:rtl/>
        </w:rPr>
        <w:t xml:space="preserve"> </w:t>
      </w:r>
      <w:r w:rsidRPr="003A2A8D">
        <w:rPr>
          <w:rFonts w:eastAsia="Times New Roman" w:hint="eastAsia"/>
          <w:rtl/>
        </w:rPr>
        <w:t>בין</w:t>
      </w:r>
      <w:r w:rsidRPr="003A2A8D">
        <w:rPr>
          <w:rFonts w:eastAsia="Times New Roman"/>
          <w:rtl/>
        </w:rPr>
        <w:t xml:space="preserve"> </w:t>
      </w:r>
      <w:r w:rsidRPr="003A2A8D">
        <w:rPr>
          <w:rFonts w:eastAsia="Times New Roman" w:hint="eastAsia"/>
          <w:rtl/>
        </w:rPr>
        <w:t>מחשבים</w:t>
      </w:r>
      <w:bookmarkEnd w:id="689"/>
      <w:bookmarkEnd w:id="690"/>
      <w:bookmarkEnd w:id="691"/>
      <w:bookmarkEnd w:id="692"/>
      <w:r w:rsidRPr="003A2A8D">
        <w:rPr>
          <w:rFonts w:eastAsia="Times New Roman"/>
          <w:rtl/>
        </w:rPr>
        <w:t xml:space="preserve"> </w:t>
      </w:r>
    </w:p>
    <w:p w:rsidR="004B50FC" w:rsidRDefault="004B50FC" w:rsidP="00604C3D">
      <w:pPr>
        <w:spacing w:line="269" w:lineRule="auto"/>
        <w:ind w:left="-58"/>
        <w:rPr>
          <w:rFonts w:eastAsia="Calibri"/>
          <w:sz w:val="16"/>
          <w:szCs w:val="16"/>
          <w:rtl/>
        </w:rPr>
      </w:pPr>
    </w:p>
    <w:p w:rsidR="006946D3" w:rsidRPr="006946D3" w:rsidRDefault="006946D3" w:rsidP="005A0F21">
      <w:pPr>
        <w:spacing w:line="269" w:lineRule="auto"/>
        <w:ind w:left="423"/>
        <w:rPr>
          <w:rFonts w:ascii="David" w:eastAsia="Calibri" w:hAnsi="David"/>
          <w:sz w:val="24"/>
        </w:rPr>
      </w:pPr>
      <w:r w:rsidRPr="006946D3">
        <w:rPr>
          <w:rFonts w:ascii="David" w:eastAsia="Calibri" w:hAnsi="David" w:hint="cs"/>
          <w:sz w:val="24"/>
          <w:rtl/>
        </w:rPr>
        <w:t xml:space="preserve">במהלך האזנת סתר של גורמי המשטרה לשיחות הם מפרטים ביומני הפקה </w:t>
      </w:r>
      <w:r w:rsidRPr="006946D3">
        <w:rPr>
          <w:rFonts w:ascii="David" w:eastAsia="Calibri" w:hAnsi="David"/>
          <w:sz w:val="24"/>
          <w:rtl/>
        </w:rPr>
        <w:t xml:space="preserve">את תוצרי </w:t>
      </w:r>
      <w:r w:rsidRPr="006946D3">
        <w:rPr>
          <w:rFonts w:ascii="David" w:eastAsia="Calibri" w:hAnsi="David" w:hint="cs"/>
          <w:sz w:val="24"/>
          <w:rtl/>
        </w:rPr>
        <w:t>ה</w:t>
      </w:r>
      <w:r w:rsidRPr="006946D3">
        <w:rPr>
          <w:rFonts w:ascii="David" w:eastAsia="Calibri" w:hAnsi="David"/>
          <w:sz w:val="24"/>
          <w:rtl/>
        </w:rPr>
        <w:t>האזנה</w:t>
      </w:r>
      <w:r w:rsidRPr="006946D3">
        <w:rPr>
          <w:rFonts w:ascii="David" w:eastAsia="Calibri" w:hAnsi="David" w:hint="cs"/>
          <w:sz w:val="24"/>
          <w:rtl/>
        </w:rPr>
        <w:t xml:space="preserve"> והעיבוד שלהם. בשנת 2010 הנחה </w:t>
      </w:r>
      <w:r w:rsidR="005B7BB5">
        <w:rPr>
          <w:rFonts w:ascii="David" w:eastAsia="Calibri" w:hAnsi="David" w:hint="cs"/>
          <w:sz w:val="24"/>
          <w:rtl/>
        </w:rPr>
        <w:t>נציג הייעוץ המשפטי לממשלה</w:t>
      </w:r>
      <w:r w:rsidRPr="006946D3">
        <w:rPr>
          <w:rFonts w:ascii="David" w:eastAsia="Calibri" w:hAnsi="David" w:hint="cs"/>
          <w:sz w:val="24"/>
          <w:rtl/>
        </w:rPr>
        <w:t xml:space="preserve"> דאז בחוות דעתו</w:t>
      </w:r>
      <w:r w:rsidR="001C1FFE">
        <w:rPr>
          <w:rFonts w:ascii="David" w:eastAsia="Calibri" w:hAnsi="David" w:hint="cs"/>
          <w:sz w:val="24"/>
          <w:rtl/>
        </w:rPr>
        <w:t>,</w:t>
      </w:r>
      <w:r w:rsidRPr="006946D3">
        <w:rPr>
          <w:rFonts w:ascii="David" w:eastAsia="Calibri" w:hAnsi="David" w:hint="cs"/>
          <w:sz w:val="24"/>
          <w:rtl/>
        </w:rPr>
        <w:t xml:space="preserve"> שנכתבה בעקבות פרסומו של דוח מבקר המדינה בנושא האזנות סתר</w:t>
      </w:r>
      <w:r w:rsidR="001C1FFE">
        <w:rPr>
          <w:rFonts w:ascii="David" w:eastAsia="Calibri" w:hAnsi="David" w:hint="cs"/>
          <w:sz w:val="24"/>
          <w:rtl/>
        </w:rPr>
        <w:t>,</w:t>
      </w:r>
      <w:r w:rsidRPr="006946D3">
        <w:rPr>
          <w:rFonts w:ascii="David" w:eastAsia="Calibri" w:hAnsi="David" w:hint="cs"/>
          <w:sz w:val="24"/>
          <w:rtl/>
        </w:rPr>
        <w:t xml:space="preserve"> כי על פרקליט המדינה לוודא לאלתר שכל פרקליטויות המחוז מקבלות את יומני ההפקה של האזנות הסתר ולא מסתפקות</w:t>
      </w:r>
      <w:r w:rsidR="00382AE8">
        <w:rPr>
          <w:rFonts w:ascii="David" w:eastAsia="Calibri" w:hAnsi="David" w:hint="cs"/>
          <w:sz w:val="24"/>
          <w:rtl/>
        </w:rPr>
        <w:t xml:space="preserve"> </w:t>
      </w:r>
      <w:r w:rsidRPr="006946D3">
        <w:rPr>
          <w:rFonts w:ascii="David" w:eastAsia="Calibri" w:hAnsi="David" w:hint="cs"/>
          <w:sz w:val="24"/>
          <w:rtl/>
        </w:rPr>
        <w:t xml:space="preserve">בפרפרזות על תוצרי האזנות הסתר. כמו כן </w:t>
      </w:r>
      <w:r w:rsidR="005B7BB5">
        <w:rPr>
          <w:rFonts w:ascii="David" w:eastAsia="Calibri" w:hAnsi="David" w:hint="cs"/>
          <w:sz w:val="24"/>
          <w:rtl/>
        </w:rPr>
        <w:t>נציג הייעוץ המשפטי לממשלה</w:t>
      </w:r>
      <w:r w:rsidRPr="006946D3">
        <w:rPr>
          <w:rFonts w:ascii="David" w:eastAsia="Calibri" w:hAnsi="David" w:hint="cs"/>
          <w:sz w:val="24"/>
          <w:rtl/>
        </w:rPr>
        <w:t xml:space="preserve"> כתב באותה חוות דעת כי ראוי שהפרקליטות תגבש הנחיה ברורה בנוגע להעברת יומני ההפקה מהמשטרה לפרקליטות ותביא את ההנחיה שתגובש גם לפני היועמ"ש לממשלה. </w:t>
      </w:r>
    </w:p>
    <w:p w:rsidR="006946D3" w:rsidRPr="006946D3" w:rsidRDefault="006946D3" w:rsidP="005A0F21">
      <w:pPr>
        <w:spacing w:line="269" w:lineRule="auto"/>
        <w:ind w:left="82"/>
        <w:rPr>
          <w:rFonts w:eastAsia="Calibri"/>
          <w:sz w:val="16"/>
          <w:szCs w:val="16"/>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eastAsia"/>
          <w:sz w:val="24"/>
          <w:rtl/>
        </w:rPr>
        <w:t>משרד</w:t>
      </w:r>
      <w:r w:rsidRPr="006946D3">
        <w:rPr>
          <w:rFonts w:ascii="David" w:eastAsia="Calibri" w:hAnsi="David"/>
          <w:sz w:val="24"/>
          <w:rtl/>
        </w:rPr>
        <w:t xml:space="preserve"> </w:t>
      </w:r>
      <w:r w:rsidRPr="006946D3">
        <w:rPr>
          <w:rFonts w:ascii="David" w:eastAsia="Calibri" w:hAnsi="David" w:hint="eastAsia"/>
          <w:sz w:val="24"/>
          <w:rtl/>
        </w:rPr>
        <w:t>המשפטים</w:t>
      </w:r>
      <w:r w:rsidRPr="006946D3">
        <w:rPr>
          <w:rFonts w:ascii="David" w:eastAsia="Calibri" w:hAnsi="David"/>
          <w:sz w:val="24"/>
          <w:rtl/>
        </w:rPr>
        <w:t xml:space="preserve"> </w:t>
      </w:r>
      <w:r w:rsidRPr="006946D3">
        <w:rPr>
          <w:rFonts w:ascii="David" w:eastAsia="Calibri" w:hAnsi="David" w:hint="eastAsia"/>
          <w:sz w:val="24"/>
          <w:rtl/>
        </w:rPr>
        <w:t>כתב</w:t>
      </w:r>
      <w:r w:rsidRPr="006946D3">
        <w:rPr>
          <w:rFonts w:ascii="David" w:eastAsia="Calibri" w:hAnsi="David"/>
          <w:sz w:val="24"/>
          <w:rtl/>
        </w:rPr>
        <w:t xml:space="preserve"> </w:t>
      </w:r>
      <w:r w:rsidRPr="006946D3">
        <w:rPr>
          <w:rFonts w:ascii="David" w:eastAsia="Calibri" w:hAnsi="David" w:hint="eastAsia"/>
          <w:sz w:val="24"/>
          <w:rtl/>
        </w:rPr>
        <w:t>בתשובתו</w:t>
      </w:r>
      <w:r w:rsidRPr="006946D3">
        <w:rPr>
          <w:rFonts w:ascii="David" w:eastAsia="Calibri" w:hAnsi="David"/>
          <w:sz w:val="24"/>
          <w:rtl/>
        </w:rPr>
        <w:t xml:space="preserve"> </w:t>
      </w:r>
      <w:r w:rsidRPr="006946D3">
        <w:rPr>
          <w:rFonts w:ascii="David" w:eastAsia="Calibri" w:hAnsi="David" w:hint="eastAsia"/>
          <w:sz w:val="24"/>
          <w:rtl/>
        </w:rPr>
        <w:t>כי</w:t>
      </w:r>
      <w:r w:rsidRPr="006946D3">
        <w:rPr>
          <w:rFonts w:ascii="David" w:eastAsia="Calibri" w:hAnsi="David"/>
          <w:sz w:val="24"/>
          <w:rtl/>
        </w:rPr>
        <w:t xml:space="preserve"> </w:t>
      </w:r>
      <w:r w:rsidRPr="006946D3">
        <w:rPr>
          <w:rFonts w:ascii="David" w:eastAsia="Calibri" w:hAnsi="David" w:hint="eastAsia"/>
          <w:sz w:val="24"/>
          <w:rtl/>
        </w:rPr>
        <w:t>הנחיית</w:t>
      </w:r>
      <w:r w:rsidRPr="006946D3">
        <w:rPr>
          <w:rFonts w:ascii="David" w:eastAsia="Calibri" w:hAnsi="David"/>
          <w:sz w:val="24"/>
          <w:rtl/>
        </w:rPr>
        <w:t xml:space="preserve"> </w:t>
      </w:r>
      <w:r w:rsidR="005B7BB5">
        <w:rPr>
          <w:rFonts w:ascii="David" w:eastAsia="Calibri" w:hAnsi="David" w:hint="cs"/>
          <w:sz w:val="24"/>
          <w:rtl/>
        </w:rPr>
        <w:t>נציג הייעוץ המשפטי לממשלה</w:t>
      </w:r>
      <w:r w:rsidRPr="006946D3">
        <w:rPr>
          <w:rFonts w:ascii="David" w:eastAsia="Calibri" w:hAnsi="David"/>
          <w:sz w:val="24"/>
          <w:rtl/>
        </w:rPr>
        <w:t xml:space="preserve"> </w:t>
      </w:r>
      <w:r w:rsidRPr="006946D3">
        <w:rPr>
          <w:rFonts w:ascii="David" w:eastAsia="Calibri" w:hAnsi="David" w:hint="eastAsia"/>
          <w:sz w:val="24"/>
          <w:rtl/>
        </w:rPr>
        <w:t>משנת</w:t>
      </w:r>
      <w:r w:rsidRPr="006946D3">
        <w:rPr>
          <w:rFonts w:ascii="David" w:eastAsia="Calibri" w:hAnsi="David"/>
          <w:sz w:val="24"/>
          <w:rtl/>
        </w:rPr>
        <w:t xml:space="preserve"> 2010 </w:t>
      </w:r>
      <w:r w:rsidRPr="006946D3">
        <w:rPr>
          <w:rFonts w:ascii="David" w:eastAsia="Calibri" w:hAnsi="David" w:hint="eastAsia"/>
          <w:sz w:val="24"/>
          <w:rtl/>
        </w:rPr>
        <w:t>מתייחסת</w:t>
      </w:r>
      <w:r w:rsidRPr="006946D3">
        <w:rPr>
          <w:rFonts w:ascii="David" w:eastAsia="Calibri" w:hAnsi="David"/>
          <w:sz w:val="24"/>
          <w:rtl/>
        </w:rPr>
        <w:t xml:space="preserve"> </w:t>
      </w:r>
      <w:r w:rsidRPr="006946D3">
        <w:rPr>
          <w:rFonts w:ascii="David" w:eastAsia="Calibri" w:hAnsi="David" w:hint="eastAsia"/>
          <w:sz w:val="24"/>
          <w:rtl/>
        </w:rPr>
        <w:t>להאזנות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לאמצעי</w:t>
      </w:r>
      <w:r w:rsidRPr="006946D3">
        <w:rPr>
          <w:rFonts w:ascii="David" w:eastAsia="Calibri" w:hAnsi="David"/>
          <w:sz w:val="24"/>
          <w:rtl/>
        </w:rPr>
        <w:t xml:space="preserve"> </w:t>
      </w:r>
      <w:r w:rsidRPr="006946D3">
        <w:rPr>
          <w:rFonts w:ascii="David" w:eastAsia="Calibri" w:hAnsi="David" w:hint="eastAsia"/>
          <w:sz w:val="24"/>
          <w:rtl/>
        </w:rPr>
        <w:t>תקשורת</w:t>
      </w:r>
      <w:r w:rsidRPr="006946D3">
        <w:rPr>
          <w:rFonts w:ascii="David" w:eastAsia="Calibri" w:hAnsi="David"/>
          <w:sz w:val="24"/>
          <w:rtl/>
        </w:rPr>
        <w:t xml:space="preserve"> </w:t>
      </w:r>
      <w:r w:rsidRPr="006946D3">
        <w:rPr>
          <w:rFonts w:ascii="David" w:eastAsia="Calibri" w:hAnsi="David" w:hint="eastAsia"/>
          <w:sz w:val="24"/>
          <w:rtl/>
        </w:rPr>
        <w:t>קווי</w:t>
      </w:r>
      <w:r w:rsidRPr="006946D3">
        <w:rPr>
          <w:rFonts w:ascii="David" w:eastAsia="Calibri" w:hAnsi="David" w:hint="cs"/>
          <w:sz w:val="24"/>
          <w:rtl/>
        </w:rPr>
        <w:t>י</w:t>
      </w:r>
      <w:r w:rsidRPr="006946D3">
        <w:rPr>
          <w:rFonts w:ascii="David" w:eastAsia="Calibri" w:hAnsi="David" w:hint="eastAsia"/>
          <w:sz w:val="24"/>
          <w:rtl/>
        </w:rPr>
        <w:t>ם</w:t>
      </w:r>
      <w:r w:rsidRPr="006946D3">
        <w:rPr>
          <w:rFonts w:ascii="David" w:eastAsia="Calibri" w:hAnsi="David"/>
          <w:sz w:val="24"/>
          <w:rtl/>
        </w:rPr>
        <w:t xml:space="preserve"> </w:t>
      </w:r>
      <w:r w:rsidRPr="006946D3">
        <w:rPr>
          <w:rFonts w:ascii="David" w:eastAsia="Calibri" w:hAnsi="David" w:hint="eastAsia"/>
          <w:sz w:val="24"/>
          <w:rtl/>
        </w:rPr>
        <w:t>או</w:t>
      </w:r>
      <w:r w:rsidRPr="006946D3">
        <w:rPr>
          <w:rFonts w:ascii="David" w:eastAsia="Calibri" w:hAnsi="David"/>
          <w:sz w:val="24"/>
          <w:rtl/>
        </w:rPr>
        <w:t xml:space="preserve"> </w:t>
      </w:r>
      <w:r w:rsidRPr="006946D3">
        <w:rPr>
          <w:rFonts w:ascii="David" w:eastAsia="Calibri" w:hAnsi="David" w:hint="eastAsia"/>
          <w:sz w:val="24"/>
          <w:rtl/>
        </w:rPr>
        <w:t>סלולריים</w:t>
      </w:r>
      <w:r w:rsidRPr="006946D3">
        <w:rPr>
          <w:rFonts w:ascii="David" w:eastAsia="Calibri" w:hAnsi="David" w:hint="cs"/>
          <w:sz w:val="24"/>
          <w:rtl/>
        </w:rPr>
        <w:t>,</w:t>
      </w:r>
      <w:r w:rsidRPr="006946D3">
        <w:rPr>
          <w:rFonts w:ascii="David" w:eastAsia="Calibri" w:hAnsi="David"/>
          <w:sz w:val="24"/>
          <w:rtl/>
        </w:rPr>
        <w:t xml:space="preserve"> </w:t>
      </w:r>
      <w:r w:rsidRPr="006946D3">
        <w:rPr>
          <w:rFonts w:ascii="David" w:eastAsia="Calibri" w:hAnsi="David" w:hint="eastAsia"/>
          <w:sz w:val="24"/>
          <w:rtl/>
        </w:rPr>
        <w:t>וא</w:t>
      </w:r>
      <w:r w:rsidRPr="006946D3">
        <w:rPr>
          <w:rFonts w:ascii="David" w:eastAsia="Calibri" w:hAnsi="David" w:hint="cs"/>
          <w:sz w:val="24"/>
          <w:rtl/>
        </w:rPr>
        <w:t>ינה</w:t>
      </w:r>
      <w:r w:rsidRPr="006946D3">
        <w:rPr>
          <w:rFonts w:ascii="David" w:eastAsia="Calibri" w:hAnsi="David"/>
          <w:sz w:val="24"/>
          <w:rtl/>
        </w:rPr>
        <w:t xml:space="preserve"> </w:t>
      </w:r>
      <w:r w:rsidRPr="006946D3">
        <w:rPr>
          <w:rFonts w:ascii="David" w:eastAsia="Calibri" w:hAnsi="David" w:hint="cs"/>
          <w:sz w:val="24"/>
          <w:rtl/>
        </w:rPr>
        <w:t>מ</w:t>
      </w:r>
      <w:r w:rsidRPr="006946D3">
        <w:rPr>
          <w:rFonts w:ascii="David" w:eastAsia="Calibri" w:hAnsi="David" w:hint="eastAsia"/>
          <w:sz w:val="24"/>
          <w:rtl/>
        </w:rPr>
        <w:t>תייחס</w:t>
      </w:r>
      <w:r w:rsidRPr="006946D3">
        <w:rPr>
          <w:rFonts w:ascii="David" w:eastAsia="Calibri" w:hAnsi="David" w:hint="cs"/>
          <w:sz w:val="24"/>
          <w:rtl/>
        </w:rPr>
        <w:t>ת</w:t>
      </w:r>
      <w:r w:rsidRPr="006946D3">
        <w:rPr>
          <w:rFonts w:ascii="David" w:eastAsia="Calibri" w:hAnsi="David"/>
          <w:sz w:val="24"/>
          <w:rtl/>
        </w:rPr>
        <w:t xml:space="preserve"> </w:t>
      </w:r>
      <w:r w:rsidRPr="006946D3">
        <w:rPr>
          <w:rFonts w:ascii="David" w:eastAsia="Calibri" w:hAnsi="David" w:hint="eastAsia"/>
          <w:sz w:val="24"/>
          <w:rtl/>
        </w:rPr>
        <w:t>להאזנת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לתקשורת</w:t>
      </w:r>
      <w:r w:rsidRPr="006946D3">
        <w:rPr>
          <w:rFonts w:ascii="David" w:eastAsia="Calibri" w:hAnsi="David"/>
          <w:sz w:val="24"/>
          <w:rtl/>
        </w:rPr>
        <w:t xml:space="preserve"> </w:t>
      </w:r>
      <w:r w:rsidRPr="006946D3">
        <w:rPr>
          <w:rFonts w:ascii="David" w:eastAsia="Calibri" w:hAnsi="David" w:hint="eastAsia"/>
          <w:sz w:val="24"/>
          <w:rtl/>
        </w:rPr>
        <w:t>בין</w:t>
      </w:r>
      <w:r w:rsidRPr="006946D3">
        <w:rPr>
          <w:rFonts w:ascii="David" w:eastAsia="Calibri" w:hAnsi="David"/>
          <w:sz w:val="24"/>
          <w:rtl/>
        </w:rPr>
        <w:t xml:space="preserve"> </w:t>
      </w:r>
      <w:r w:rsidRPr="006946D3">
        <w:rPr>
          <w:rFonts w:ascii="David" w:eastAsia="Calibri" w:hAnsi="David" w:hint="eastAsia"/>
          <w:sz w:val="24"/>
          <w:rtl/>
        </w:rPr>
        <w:t>מחשבים</w:t>
      </w:r>
      <w:r w:rsidRPr="006946D3">
        <w:rPr>
          <w:rFonts w:ascii="David" w:eastAsia="Calibri" w:hAnsi="David"/>
          <w:sz w:val="24"/>
          <w:rtl/>
        </w:rPr>
        <w:t xml:space="preserve">. </w:t>
      </w:r>
      <w:r w:rsidRPr="006946D3">
        <w:rPr>
          <w:rFonts w:ascii="David" w:eastAsia="Calibri" w:hAnsi="David" w:hint="eastAsia"/>
          <w:sz w:val="24"/>
          <w:rtl/>
        </w:rPr>
        <w:t>עוד</w:t>
      </w:r>
      <w:r w:rsidRPr="006946D3">
        <w:rPr>
          <w:rFonts w:ascii="David" w:eastAsia="Calibri" w:hAnsi="David"/>
          <w:sz w:val="24"/>
          <w:rtl/>
        </w:rPr>
        <w:t xml:space="preserve"> נכתב </w:t>
      </w:r>
      <w:r w:rsidRPr="006946D3">
        <w:rPr>
          <w:rFonts w:ascii="David" w:eastAsia="Calibri" w:hAnsi="David" w:hint="eastAsia"/>
          <w:sz w:val="24"/>
          <w:rtl/>
        </w:rPr>
        <w:t>בתשובת</w:t>
      </w:r>
      <w:r w:rsidRPr="006946D3">
        <w:rPr>
          <w:rFonts w:ascii="David" w:eastAsia="Calibri" w:hAnsi="David"/>
          <w:sz w:val="24"/>
          <w:rtl/>
        </w:rPr>
        <w:t xml:space="preserve"> </w:t>
      </w:r>
      <w:r w:rsidRPr="006946D3">
        <w:rPr>
          <w:rFonts w:ascii="David" w:eastAsia="Calibri" w:hAnsi="David" w:hint="eastAsia"/>
          <w:sz w:val="24"/>
          <w:rtl/>
        </w:rPr>
        <w:t>משרד</w:t>
      </w:r>
      <w:r w:rsidRPr="006946D3">
        <w:rPr>
          <w:rFonts w:ascii="David" w:eastAsia="Calibri" w:hAnsi="David"/>
          <w:sz w:val="24"/>
          <w:rtl/>
        </w:rPr>
        <w:t xml:space="preserve"> </w:t>
      </w:r>
      <w:r w:rsidRPr="006946D3">
        <w:rPr>
          <w:rFonts w:ascii="David" w:eastAsia="Calibri" w:hAnsi="David" w:hint="eastAsia"/>
          <w:sz w:val="24"/>
          <w:rtl/>
        </w:rPr>
        <w:t>המשפטים</w:t>
      </w:r>
      <w:r w:rsidRPr="006946D3">
        <w:rPr>
          <w:rFonts w:ascii="David" w:eastAsia="Calibri" w:hAnsi="David"/>
          <w:sz w:val="24"/>
          <w:rtl/>
        </w:rPr>
        <w:t xml:space="preserve"> </w:t>
      </w:r>
      <w:r w:rsidRPr="006946D3">
        <w:rPr>
          <w:rFonts w:ascii="David" w:eastAsia="Calibri" w:hAnsi="David" w:hint="eastAsia"/>
          <w:sz w:val="24"/>
          <w:rtl/>
        </w:rPr>
        <w:t>כי</w:t>
      </w:r>
      <w:r w:rsidRPr="006946D3">
        <w:rPr>
          <w:rFonts w:ascii="David" w:eastAsia="Calibri" w:hAnsi="David"/>
          <w:sz w:val="24"/>
          <w:rtl/>
        </w:rPr>
        <w:t xml:space="preserve"> עמדת </w:t>
      </w:r>
      <w:r w:rsidRPr="006946D3">
        <w:rPr>
          <w:rFonts w:ascii="David" w:eastAsia="Calibri" w:hAnsi="David" w:hint="eastAsia"/>
          <w:sz w:val="24"/>
          <w:rtl/>
        </w:rPr>
        <w:t>הפרקליטות</w:t>
      </w:r>
      <w:r w:rsidRPr="006946D3">
        <w:rPr>
          <w:rFonts w:ascii="David" w:eastAsia="Calibri" w:hAnsi="David"/>
          <w:sz w:val="24"/>
          <w:rtl/>
        </w:rPr>
        <w:t xml:space="preserve"> </w:t>
      </w:r>
      <w:r w:rsidRPr="006946D3">
        <w:rPr>
          <w:rFonts w:ascii="David" w:eastAsia="Calibri" w:hAnsi="David" w:hint="eastAsia"/>
          <w:sz w:val="24"/>
          <w:rtl/>
        </w:rPr>
        <w:t>כפי</w:t>
      </w:r>
      <w:r w:rsidRPr="006946D3">
        <w:rPr>
          <w:rFonts w:ascii="David" w:eastAsia="Calibri" w:hAnsi="David"/>
          <w:sz w:val="24"/>
          <w:rtl/>
        </w:rPr>
        <w:t xml:space="preserve"> שהובעה בפני צוות מררי היא </w:t>
      </w:r>
      <w:r w:rsidRPr="006946D3">
        <w:rPr>
          <w:rFonts w:ascii="David" w:eastAsia="Calibri" w:hAnsi="David" w:hint="eastAsia"/>
          <w:sz w:val="24"/>
          <w:rtl/>
        </w:rPr>
        <w:t>שיש</w:t>
      </w:r>
      <w:r w:rsidRPr="006946D3">
        <w:rPr>
          <w:rFonts w:ascii="David" w:eastAsia="Calibri" w:hAnsi="David"/>
          <w:sz w:val="24"/>
          <w:rtl/>
        </w:rPr>
        <w:t xml:space="preserve"> </w:t>
      </w:r>
      <w:r w:rsidRPr="006946D3">
        <w:rPr>
          <w:rFonts w:ascii="David" w:eastAsia="Calibri" w:hAnsi="David" w:hint="eastAsia"/>
          <w:sz w:val="24"/>
          <w:rtl/>
        </w:rPr>
        <w:t>להציג</w:t>
      </w:r>
      <w:r w:rsidRPr="006946D3">
        <w:rPr>
          <w:rFonts w:ascii="David" w:eastAsia="Calibri" w:hAnsi="David"/>
          <w:sz w:val="24"/>
          <w:rtl/>
        </w:rPr>
        <w:t xml:space="preserve"> </w:t>
      </w:r>
      <w:r w:rsidRPr="006946D3">
        <w:rPr>
          <w:rFonts w:ascii="David" w:eastAsia="Calibri" w:hAnsi="David" w:hint="eastAsia"/>
          <w:sz w:val="24"/>
          <w:rtl/>
        </w:rPr>
        <w:t>את</w:t>
      </w:r>
      <w:r w:rsidRPr="006946D3">
        <w:rPr>
          <w:rFonts w:ascii="David" w:eastAsia="Calibri" w:hAnsi="David"/>
          <w:sz w:val="24"/>
          <w:rtl/>
        </w:rPr>
        <w:t xml:space="preserve"> </w:t>
      </w:r>
      <w:r w:rsidRPr="006946D3">
        <w:rPr>
          <w:rFonts w:ascii="David" w:eastAsia="Calibri" w:hAnsi="David" w:hint="eastAsia"/>
          <w:sz w:val="24"/>
          <w:rtl/>
        </w:rPr>
        <w:t>יומני</w:t>
      </w:r>
      <w:r w:rsidRPr="006946D3">
        <w:rPr>
          <w:rFonts w:ascii="David" w:eastAsia="Calibri" w:hAnsi="David"/>
          <w:sz w:val="24"/>
          <w:rtl/>
        </w:rPr>
        <w:t xml:space="preserve"> </w:t>
      </w:r>
      <w:r w:rsidRPr="006946D3">
        <w:rPr>
          <w:rFonts w:ascii="David" w:eastAsia="Calibri" w:hAnsi="David" w:hint="eastAsia"/>
          <w:sz w:val="24"/>
          <w:rtl/>
        </w:rPr>
        <w:t>ההפקה</w:t>
      </w:r>
      <w:r w:rsidRPr="006946D3">
        <w:rPr>
          <w:rFonts w:ascii="David" w:eastAsia="Calibri" w:hAnsi="David"/>
          <w:sz w:val="24"/>
          <w:rtl/>
        </w:rPr>
        <w:t xml:space="preserve"> </w:t>
      </w:r>
      <w:r w:rsidRPr="006946D3">
        <w:rPr>
          <w:rFonts w:ascii="David" w:eastAsia="Calibri" w:hAnsi="David" w:hint="eastAsia"/>
          <w:sz w:val="24"/>
          <w:rtl/>
        </w:rPr>
        <w:t>במלואם</w:t>
      </w:r>
      <w:r w:rsidRPr="006946D3">
        <w:rPr>
          <w:rFonts w:ascii="David" w:eastAsia="Calibri" w:hAnsi="David"/>
          <w:sz w:val="24"/>
          <w:rtl/>
        </w:rPr>
        <w:t xml:space="preserve"> </w:t>
      </w:r>
      <w:r w:rsidRPr="006946D3">
        <w:rPr>
          <w:rFonts w:ascii="David" w:eastAsia="Calibri" w:hAnsi="David" w:hint="eastAsia"/>
          <w:sz w:val="24"/>
          <w:rtl/>
        </w:rPr>
        <w:t>אולם</w:t>
      </w:r>
      <w:r w:rsidRPr="006946D3">
        <w:rPr>
          <w:rFonts w:ascii="David" w:eastAsia="Calibri" w:hAnsi="David"/>
          <w:sz w:val="24"/>
          <w:rtl/>
        </w:rPr>
        <w:t xml:space="preserve"> </w:t>
      </w:r>
      <w:r w:rsidRPr="006946D3">
        <w:rPr>
          <w:rFonts w:ascii="David" w:eastAsia="Calibri" w:hAnsi="David" w:hint="eastAsia"/>
          <w:sz w:val="24"/>
          <w:rtl/>
        </w:rPr>
        <w:t>בשל</w:t>
      </w:r>
      <w:r w:rsidRPr="006946D3">
        <w:rPr>
          <w:rFonts w:ascii="David" w:eastAsia="Calibri" w:hAnsi="David"/>
          <w:sz w:val="24"/>
          <w:rtl/>
        </w:rPr>
        <w:t xml:space="preserve"> </w:t>
      </w:r>
      <w:r w:rsidRPr="006946D3">
        <w:rPr>
          <w:rFonts w:ascii="David" w:eastAsia="Calibri" w:hAnsi="David" w:hint="eastAsia"/>
          <w:sz w:val="24"/>
          <w:rtl/>
        </w:rPr>
        <w:t>רגישות</w:t>
      </w:r>
      <w:r w:rsidRPr="006946D3">
        <w:rPr>
          <w:rFonts w:ascii="David" w:eastAsia="Calibri" w:hAnsi="David"/>
          <w:sz w:val="24"/>
          <w:rtl/>
        </w:rPr>
        <w:t xml:space="preserve"> </w:t>
      </w:r>
      <w:r w:rsidRPr="006946D3">
        <w:rPr>
          <w:rFonts w:ascii="David" w:eastAsia="Calibri" w:hAnsi="David" w:hint="eastAsia"/>
          <w:sz w:val="24"/>
          <w:rtl/>
        </w:rPr>
        <w:t>השימוש</w:t>
      </w:r>
      <w:r w:rsidRPr="006946D3">
        <w:rPr>
          <w:rFonts w:ascii="David" w:eastAsia="Calibri" w:hAnsi="David"/>
          <w:sz w:val="24"/>
          <w:rtl/>
        </w:rPr>
        <w:t xml:space="preserve"> </w:t>
      </w:r>
      <w:r w:rsidRPr="006946D3">
        <w:rPr>
          <w:rFonts w:ascii="David" w:eastAsia="Calibri" w:hAnsi="David" w:hint="cs"/>
          <w:sz w:val="24"/>
          <w:rtl/>
        </w:rPr>
        <w:t>ב</w:t>
      </w:r>
      <w:r w:rsidRPr="006946D3">
        <w:rPr>
          <w:rFonts w:ascii="David" w:eastAsia="Calibri" w:hAnsi="David" w:hint="eastAsia"/>
          <w:sz w:val="24"/>
          <w:rtl/>
        </w:rPr>
        <w:t>אמצעי</w:t>
      </w:r>
      <w:r w:rsidRPr="006946D3">
        <w:rPr>
          <w:rFonts w:ascii="David" w:eastAsia="Calibri" w:hAnsi="David"/>
          <w:sz w:val="24"/>
          <w:rtl/>
        </w:rPr>
        <w:t xml:space="preserve"> </w:t>
      </w:r>
      <w:r w:rsidRPr="006946D3">
        <w:rPr>
          <w:rFonts w:ascii="David" w:eastAsia="Calibri" w:hAnsi="David" w:hint="eastAsia"/>
          <w:sz w:val="24"/>
          <w:rtl/>
        </w:rPr>
        <w:t>האזנה</w:t>
      </w:r>
      <w:r w:rsidRPr="006946D3">
        <w:rPr>
          <w:rFonts w:ascii="David" w:eastAsia="Calibri" w:hAnsi="David"/>
          <w:sz w:val="24"/>
          <w:rtl/>
        </w:rPr>
        <w:t xml:space="preserve"> </w:t>
      </w:r>
      <w:r w:rsidRPr="006946D3">
        <w:rPr>
          <w:rFonts w:ascii="David" w:eastAsia="Calibri" w:hAnsi="David" w:hint="eastAsia"/>
          <w:sz w:val="24"/>
          <w:rtl/>
        </w:rPr>
        <w:t>לתקשורת</w:t>
      </w:r>
      <w:r w:rsidRPr="006946D3">
        <w:rPr>
          <w:rFonts w:ascii="David" w:eastAsia="Calibri" w:hAnsi="David"/>
          <w:sz w:val="24"/>
          <w:rtl/>
        </w:rPr>
        <w:t xml:space="preserve"> </w:t>
      </w:r>
      <w:r w:rsidRPr="006946D3">
        <w:rPr>
          <w:rFonts w:ascii="David" w:eastAsia="Calibri" w:hAnsi="David" w:hint="eastAsia"/>
          <w:sz w:val="24"/>
          <w:rtl/>
        </w:rPr>
        <w:t>בין</w:t>
      </w:r>
      <w:r w:rsidRPr="006946D3">
        <w:rPr>
          <w:rFonts w:ascii="David" w:eastAsia="Calibri" w:hAnsi="David"/>
          <w:sz w:val="24"/>
          <w:rtl/>
        </w:rPr>
        <w:t xml:space="preserve"> </w:t>
      </w:r>
      <w:r w:rsidRPr="006946D3">
        <w:rPr>
          <w:rFonts w:ascii="David" w:eastAsia="Calibri" w:hAnsi="David" w:hint="eastAsia"/>
          <w:sz w:val="24"/>
          <w:rtl/>
        </w:rPr>
        <w:t>מחשבים</w:t>
      </w:r>
      <w:r w:rsidRPr="006946D3">
        <w:rPr>
          <w:rFonts w:ascii="David" w:eastAsia="Calibri" w:hAnsi="David"/>
          <w:sz w:val="24"/>
          <w:rtl/>
        </w:rPr>
        <w:t xml:space="preserve">, </w:t>
      </w:r>
      <w:r w:rsidRPr="006946D3">
        <w:rPr>
          <w:rFonts w:ascii="David" w:eastAsia="Calibri" w:hAnsi="David" w:hint="eastAsia"/>
          <w:sz w:val="24"/>
          <w:rtl/>
        </w:rPr>
        <w:t>יומני</w:t>
      </w:r>
      <w:r w:rsidRPr="006946D3">
        <w:rPr>
          <w:rFonts w:ascii="David" w:eastAsia="Calibri" w:hAnsi="David"/>
          <w:sz w:val="24"/>
          <w:rtl/>
        </w:rPr>
        <w:t xml:space="preserve"> </w:t>
      </w:r>
      <w:r w:rsidRPr="006946D3">
        <w:rPr>
          <w:rFonts w:ascii="David" w:eastAsia="Calibri" w:hAnsi="David" w:hint="eastAsia"/>
          <w:sz w:val="24"/>
          <w:rtl/>
        </w:rPr>
        <w:t>ההפקה</w:t>
      </w:r>
      <w:r w:rsidRPr="006946D3">
        <w:rPr>
          <w:rFonts w:ascii="David" w:eastAsia="Calibri" w:hAnsi="David"/>
          <w:sz w:val="24"/>
          <w:rtl/>
        </w:rPr>
        <w:t xml:space="preserve"> </w:t>
      </w:r>
      <w:r w:rsidRPr="006946D3">
        <w:rPr>
          <w:rFonts w:ascii="David" w:eastAsia="Calibri" w:hAnsi="David" w:hint="eastAsia"/>
          <w:sz w:val="24"/>
          <w:rtl/>
        </w:rPr>
        <w:t>יוצגו</w:t>
      </w:r>
      <w:r w:rsidRPr="006946D3">
        <w:rPr>
          <w:rFonts w:ascii="David" w:eastAsia="Calibri" w:hAnsi="David"/>
          <w:sz w:val="24"/>
          <w:rtl/>
        </w:rPr>
        <w:t xml:space="preserve"> </w:t>
      </w:r>
      <w:r w:rsidRPr="006946D3">
        <w:rPr>
          <w:rFonts w:ascii="David" w:eastAsia="Calibri" w:hAnsi="David" w:hint="eastAsia"/>
          <w:sz w:val="24"/>
          <w:rtl/>
        </w:rPr>
        <w:t>לגורמים</w:t>
      </w:r>
      <w:r w:rsidRPr="006946D3">
        <w:rPr>
          <w:rFonts w:ascii="David" w:eastAsia="Calibri" w:hAnsi="David"/>
          <w:sz w:val="24"/>
          <w:rtl/>
        </w:rPr>
        <w:t xml:space="preserve"> </w:t>
      </w:r>
      <w:r w:rsidRPr="006946D3">
        <w:rPr>
          <w:rFonts w:ascii="David" w:eastAsia="Calibri" w:hAnsi="David" w:hint="eastAsia"/>
          <w:sz w:val="24"/>
          <w:rtl/>
        </w:rPr>
        <w:t>בכירים</w:t>
      </w:r>
      <w:r w:rsidRPr="006946D3">
        <w:rPr>
          <w:rFonts w:ascii="David" w:eastAsia="Calibri" w:hAnsi="David"/>
          <w:sz w:val="24"/>
          <w:rtl/>
        </w:rPr>
        <w:t xml:space="preserve"> </w:t>
      </w:r>
      <w:r w:rsidRPr="006946D3">
        <w:rPr>
          <w:rFonts w:ascii="David" w:eastAsia="Calibri" w:hAnsi="David" w:hint="eastAsia"/>
          <w:sz w:val="24"/>
          <w:rtl/>
        </w:rPr>
        <w:t>ובכלל</w:t>
      </w:r>
      <w:r w:rsidRPr="006946D3">
        <w:rPr>
          <w:rFonts w:ascii="David" w:eastAsia="Calibri" w:hAnsi="David"/>
          <w:sz w:val="24"/>
          <w:rtl/>
        </w:rPr>
        <w:t xml:space="preserve"> </w:t>
      </w:r>
      <w:r w:rsidRPr="006946D3">
        <w:rPr>
          <w:rFonts w:ascii="David" w:eastAsia="Calibri" w:hAnsi="David" w:hint="eastAsia"/>
          <w:sz w:val="24"/>
          <w:rtl/>
        </w:rPr>
        <w:t>זה</w:t>
      </w:r>
      <w:r w:rsidRPr="006946D3">
        <w:rPr>
          <w:rFonts w:ascii="David" w:eastAsia="Calibri" w:hAnsi="David"/>
          <w:sz w:val="24"/>
          <w:rtl/>
        </w:rPr>
        <w:t xml:space="preserve"> </w:t>
      </w:r>
      <w:r w:rsidRPr="006946D3">
        <w:rPr>
          <w:rFonts w:ascii="David" w:eastAsia="Calibri" w:hAnsi="David" w:hint="eastAsia"/>
          <w:sz w:val="24"/>
          <w:rtl/>
        </w:rPr>
        <w:t>פרקליט</w:t>
      </w:r>
      <w:r w:rsidRPr="006946D3">
        <w:rPr>
          <w:rFonts w:ascii="David" w:eastAsia="Calibri" w:hAnsi="David"/>
          <w:sz w:val="24"/>
          <w:rtl/>
        </w:rPr>
        <w:t xml:space="preserve"> </w:t>
      </w:r>
      <w:r w:rsidRPr="006946D3">
        <w:rPr>
          <w:rFonts w:ascii="David" w:eastAsia="Calibri" w:hAnsi="David" w:hint="eastAsia"/>
          <w:sz w:val="24"/>
          <w:rtl/>
        </w:rPr>
        <w:t>המחוז</w:t>
      </w:r>
      <w:r w:rsidRPr="006946D3">
        <w:rPr>
          <w:rFonts w:ascii="David" w:eastAsia="Calibri" w:hAnsi="David"/>
          <w:sz w:val="24"/>
          <w:rtl/>
        </w:rPr>
        <w:t xml:space="preserve"> </w:t>
      </w:r>
      <w:r w:rsidRPr="006946D3">
        <w:rPr>
          <w:rFonts w:ascii="David" w:eastAsia="Calibri" w:hAnsi="David" w:hint="cs"/>
          <w:sz w:val="24"/>
          <w:rtl/>
        </w:rPr>
        <w:t>ו</w:t>
      </w:r>
      <w:r w:rsidRPr="006946D3">
        <w:rPr>
          <w:rFonts w:ascii="David" w:eastAsia="Calibri" w:hAnsi="David" w:hint="eastAsia"/>
          <w:sz w:val="24"/>
          <w:rtl/>
        </w:rPr>
        <w:t>מנהל</w:t>
      </w:r>
      <w:r w:rsidRPr="006946D3">
        <w:rPr>
          <w:rFonts w:ascii="David" w:eastAsia="Calibri" w:hAnsi="David"/>
          <w:sz w:val="24"/>
          <w:rtl/>
        </w:rPr>
        <w:t xml:space="preserve"> </w:t>
      </w:r>
      <w:r w:rsidRPr="006946D3">
        <w:rPr>
          <w:rFonts w:ascii="David" w:eastAsia="Calibri" w:hAnsi="David" w:hint="eastAsia"/>
          <w:sz w:val="24"/>
          <w:rtl/>
        </w:rPr>
        <w:t>המחלקה</w:t>
      </w:r>
      <w:r w:rsidRPr="006946D3">
        <w:rPr>
          <w:rFonts w:ascii="David" w:eastAsia="Calibri" w:hAnsi="David"/>
          <w:sz w:val="24"/>
          <w:rtl/>
        </w:rPr>
        <w:t xml:space="preserve"> </w:t>
      </w:r>
      <w:r w:rsidRPr="006946D3">
        <w:rPr>
          <w:rFonts w:ascii="David" w:eastAsia="Calibri" w:hAnsi="David" w:hint="eastAsia"/>
          <w:sz w:val="24"/>
          <w:rtl/>
        </w:rPr>
        <w:t>או</w:t>
      </w:r>
      <w:r w:rsidRPr="006946D3">
        <w:rPr>
          <w:rFonts w:ascii="David" w:eastAsia="Calibri" w:hAnsi="David"/>
          <w:sz w:val="24"/>
          <w:rtl/>
        </w:rPr>
        <w:t xml:space="preserve"> </w:t>
      </w:r>
      <w:r w:rsidRPr="006946D3">
        <w:rPr>
          <w:rFonts w:ascii="David" w:eastAsia="Calibri" w:hAnsi="David" w:hint="eastAsia"/>
          <w:sz w:val="24"/>
          <w:rtl/>
        </w:rPr>
        <w:t>לגורם</w:t>
      </w:r>
      <w:r w:rsidRPr="006946D3">
        <w:rPr>
          <w:rFonts w:ascii="David" w:eastAsia="Calibri" w:hAnsi="David"/>
          <w:sz w:val="24"/>
          <w:rtl/>
        </w:rPr>
        <w:t xml:space="preserve"> </w:t>
      </w:r>
      <w:r w:rsidRPr="006946D3">
        <w:rPr>
          <w:rFonts w:ascii="David" w:eastAsia="Calibri" w:hAnsi="David" w:hint="eastAsia"/>
          <w:sz w:val="24"/>
          <w:rtl/>
        </w:rPr>
        <w:t>בכיר</w:t>
      </w:r>
      <w:r w:rsidRPr="006946D3">
        <w:rPr>
          <w:rFonts w:ascii="David" w:eastAsia="Calibri" w:hAnsi="David"/>
          <w:sz w:val="24"/>
          <w:rtl/>
        </w:rPr>
        <w:t xml:space="preserve"> </w:t>
      </w:r>
      <w:r w:rsidRPr="006946D3">
        <w:rPr>
          <w:rFonts w:ascii="David" w:eastAsia="Calibri" w:hAnsi="David" w:hint="eastAsia"/>
          <w:sz w:val="24"/>
          <w:rtl/>
        </w:rPr>
        <w:t>הממונה</w:t>
      </w:r>
      <w:r w:rsidRPr="006946D3">
        <w:rPr>
          <w:rFonts w:ascii="David" w:eastAsia="Calibri" w:hAnsi="David"/>
          <w:sz w:val="24"/>
          <w:rtl/>
        </w:rPr>
        <w:t xml:space="preserve"> </w:t>
      </w:r>
      <w:r w:rsidRPr="006946D3">
        <w:rPr>
          <w:rFonts w:ascii="David" w:eastAsia="Calibri" w:hAnsi="David" w:hint="eastAsia"/>
          <w:sz w:val="24"/>
          <w:rtl/>
        </w:rPr>
        <w:t>על</w:t>
      </w:r>
      <w:r w:rsidRPr="006946D3">
        <w:rPr>
          <w:rFonts w:ascii="David" w:eastAsia="Calibri" w:hAnsi="David"/>
          <w:sz w:val="24"/>
          <w:rtl/>
        </w:rPr>
        <w:t xml:space="preserve"> </w:t>
      </w:r>
      <w:r w:rsidRPr="006946D3">
        <w:rPr>
          <w:rFonts w:ascii="David" w:eastAsia="Calibri" w:hAnsi="David" w:hint="eastAsia"/>
          <w:sz w:val="24"/>
          <w:rtl/>
        </w:rPr>
        <w:t>חסיונות</w:t>
      </w:r>
      <w:r w:rsidRPr="006946D3">
        <w:rPr>
          <w:rFonts w:ascii="David" w:eastAsia="Calibri" w:hAnsi="David"/>
          <w:sz w:val="24"/>
          <w:rtl/>
        </w:rPr>
        <w:t xml:space="preserve"> </w:t>
      </w:r>
      <w:r w:rsidRPr="006946D3">
        <w:rPr>
          <w:rFonts w:ascii="David" w:eastAsia="Calibri" w:hAnsi="David" w:hint="eastAsia"/>
          <w:sz w:val="24"/>
          <w:rtl/>
        </w:rPr>
        <w:t>בפרקליטות</w:t>
      </w:r>
      <w:r w:rsidRPr="006946D3">
        <w:rPr>
          <w:rFonts w:ascii="David" w:eastAsia="Calibri" w:hAnsi="David"/>
          <w:sz w:val="24"/>
          <w:rtl/>
        </w:rPr>
        <w:t xml:space="preserve"> </w:t>
      </w:r>
      <w:r w:rsidRPr="006946D3">
        <w:rPr>
          <w:rFonts w:ascii="David" w:eastAsia="Calibri" w:hAnsi="David" w:hint="eastAsia"/>
          <w:sz w:val="24"/>
          <w:rtl/>
        </w:rPr>
        <w:t>המחוז</w:t>
      </w:r>
      <w:r w:rsidRPr="006946D3">
        <w:rPr>
          <w:rFonts w:ascii="David" w:eastAsia="Calibri" w:hAnsi="David"/>
          <w:sz w:val="24"/>
          <w:rtl/>
        </w:rPr>
        <w:t xml:space="preserve"> </w:t>
      </w:r>
      <w:r w:rsidRPr="006946D3">
        <w:rPr>
          <w:rFonts w:ascii="David" w:eastAsia="Calibri" w:hAnsi="David" w:hint="eastAsia"/>
          <w:sz w:val="24"/>
          <w:rtl/>
        </w:rPr>
        <w:t>או</w:t>
      </w:r>
      <w:r w:rsidRPr="006946D3">
        <w:rPr>
          <w:rFonts w:ascii="David" w:eastAsia="Calibri" w:hAnsi="David"/>
          <w:sz w:val="24"/>
          <w:rtl/>
        </w:rPr>
        <w:t xml:space="preserve"> </w:t>
      </w:r>
      <w:r w:rsidRPr="006946D3">
        <w:rPr>
          <w:rFonts w:ascii="David" w:eastAsia="Calibri" w:hAnsi="David" w:hint="cs"/>
          <w:sz w:val="24"/>
          <w:rtl/>
        </w:rPr>
        <w:t>ב</w:t>
      </w:r>
      <w:r w:rsidRPr="006946D3">
        <w:rPr>
          <w:rFonts w:ascii="David" w:eastAsia="Calibri" w:hAnsi="David" w:hint="eastAsia"/>
          <w:sz w:val="24"/>
          <w:rtl/>
        </w:rPr>
        <w:t>מחלקה</w:t>
      </w:r>
      <w:r w:rsidRPr="006946D3">
        <w:rPr>
          <w:rFonts w:ascii="David" w:eastAsia="Calibri" w:hAnsi="David"/>
          <w:sz w:val="24"/>
          <w:rtl/>
        </w:rPr>
        <w:t xml:space="preserve"> </w:t>
      </w:r>
      <w:r w:rsidRPr="006946D3">
        <w:rPr>
          <w:rFonts w:ascii="David" w:eastAsia="Calibri" w:hAnsi="David" w:hint="eastAsia"/>
          <w:sz w:val="24"/>
          <w:rtl/>
        </w:rPr>
        <w:t>בלבד</w:t>
      </w:r>
      <w:r w:rsidRPr="006946D3">
        <w:rPr>
          <w:rFonts w:ascii="David" w:eastAsia="Calibri" w:hAnsi="David"/>
          <w:sz w:val="24"/>
          <w:rtl/>
        </w:rPr>
        <w:t>.</w:t>
      </w:r>
    </w:p>
    <w:p w:rsidR="006946D3" w:rsidRPr="006946D3" w:rsidRDefault="006946D3" w:rsidP="00353B82">
      <w:pPr>
        <w:spacing w:line="269" w:lineRule="auto"/>
        <w:rPr>
          <w:rFonts w:ascii="David" w:eastAsia="Calibri" w:hAnsi="David"/>
          <w:sz w:val="24"/>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eastAsia"/>
          <w:sz w:val="24"/>
          <w:rtl/>
        </w:rPr>
        <w:t>בהקשר</w:t>
      </w:r>
      <w:r w:rsidRPr="006946D3">
        <w:rPr>
          <w:rFonts w:ascii="David" w:eastAsia="Calibri" w:hAnsi="David"/>
          <w:sz w:val="24"/>
          <w:rtl/>
        </w:rPr>
        <w:t xml:space="preserve"> זה </w:t>
      </w:r>
      <w:r w:rsidRPr="006946D3">
        <w:rPr>
          <w:rFonts w:ascii="David" w:eastAsia="Calibri" w:hAnsi="David" w:hint="eastAsia"/>
          <w:sz w:val="24"/>
          <w:rtl/>
        </w:rPr>
        <w:t>יצוין</w:t>
      </w:r>
      <w:r w:rsidRPr="006946D3">
        <w:rPr>
          <w:rFonts w:ascii="David" w:eastAsia="Calibri" w:hAnsi="David"/>
          <w:sz w:val="24"/>
          <w:rtl/>
        </w:rPr>
        <w:t xml:space="preserve"> </w:t>
      </w:r>
      <w:r w:rsidRPr="006946D3">
        <w:rPr>
          <w:rFonts w:ascii="David" w:eastAsia="Calibri" w:hAnsi="David" w:hint="eastAsia"/>
          <w:sz w:val="24"/>
          <w:rtl/>
        </w:rPr>
        <w:t>כי</w:t>
      </w:r>
      <w:r w:rsidRPr="006946D3">
        <w:rPr>
          <w:rFonts w:ascii="David" w:eastAsia="Calibri" w:hAnsi="David"/>
          <w:sz w:val="24"/>
          <w:rtl/>
        </w:rPr>
        <w:t xml:space="preserve"> </w:t>
      </w:r>
      <w:r w:rsidRPr="006946D3">
        <w:rPr>
          <w:rFonts w:ascii="David" w:eastAsia="Calibri" w:hAnsi="David" w:hint="eastAsia"/>
          <w:sz w:val="24"/>
          <w:rtl/>
        </w:rPr>
        <w:t>צוות</w:t>
      </w:r>
      <w:r w:rsidRPr="006946D3">
        <w:rPr>
          <w:rFonts w:ascii="David" w:eastAsia="Calibri" w:hAnsi="David"/>
          <w:sz w:val="24"/>
          <w:rtl/>
        </w:rPr>
        <w:t xml:space="preserve"> </w:t>
      </w:r>
      <w:r w:rsidRPr="006946D3">
        <w:rPr>
          <w:rFonts w:ascii="David" w:eastAsia="Calibri" w:hAnsi="David" w:hint="eastAsia"/>
          <w:sz w:val="24"/>
          <w:rtl/>
        </w:rPr>
        <w:t>מררי</w:t>
      </w:r>
      <w:r w:rsidRPr="006946D3">
        <w:rPr>
          <w:rFonts w:ascii="David" w:eastAsia="Calibri" w:hAnsi="David"/>
          <w:sz w:val="24"/>
          <w:rtl/>
        </w:rPr>
        <w:t xml:space="preserve"> </w:t>
      </w:r>
      <w:r w:rsidRPr="006946D3">
        <w:rPr>
          <w:rFonts w:ascii="David" w:eastAsia="Calibri" w:hAnsi="David" w:hint="eastAsia"/>
          <w:sz w:val="24"/>
          <w:rtl/>
        </w:rPr>
        <w:t>המליץ</w:t>
      </w:r>
      <w:r w:rsidRPr="006946D3">
        <w:rPr>
          <w:rFonts w:ascii="David" w:eastAsia="Calibri" w:hAnsi="David"/>
          <w:sz w:val="24"/>
          <w:rtl/>
        </w:rPr>
        <w:t xml:space="preserve"> </w:t>
      </w:r>
      <w:r w:rsidRPr="006946D3">
        <w:rPr>
          <w:rFonts w:ascii="David" w:eastAsia="Calibri" w:hAnsi="David" w:hint="eastAsia"/>
          <w:sz w:val="24"/>
          <w:rtl/>
        </w:rPr>
        <w:t>כי</w:t>
      </w:r>
      <w:r w:rsidRPr="006946D3">
        <w:rPr>
          <w:rFonts w:ascii="David" w:eastAsia="Calibri" w:hAnsi="David"/>
          <w:sz w:val="24"/>
          <w:rtl/>
        </w:rPr>
        <w:t xml:space="preserve"> </w:t>
      </w:r>
      <w:r w:rsidRPr="006946D3">
        <w:rPr>
          <w:rFonts w:ascii="David" w:eastAsia="Calibri" w:hAnsi="David" w:hint="eastAsia"/>
          <w:sz w:val="24"/>
          <w:rtl/>
        </w:rPr>
        <w:t>במסגרת</w:t>
      </w:r>
      <w:r w:rsidRPr="006946D3">
        <w:rPr>
          <w:rFonts w:ascii="David" w:eastAsia="Calibri" w:hAnsi="David"/>
          <w:sz w:val="24"/>
          <w:rtl/>
        </w:rPr>
        <w:t xml:space="preserve"> </w:t>
      </w:r>
      <w:r w:rsidRPr="006946D3">
        <w:rPr>
          <w:rFonts w:ascii="David" w:eastAsia="Calibri" w:hAnsi="David" w:hint="eastAsia"/>
          <w:sz w:val="24"/>
          <w:rtl/>
        </w:rPr>
        <w:t>ישיבת</w:t>
      </w:r>
      <w:r w:rsidRPr="006946D3">
        <w:rPr>
          <w:rFonts w:ascii="David" w:eastAsia="Calibri" w:hAnsi="David"/>
          <w:sz w:val="24"/>
          <w:rtl/>
        </w:rPr>
        <w:t xml:space="preserve"> </w:t>
      </w:r>
      <w:r w:rsidRPr="006946D3">
        <w:rPr>
          <w:rFonts w:ascii="David" w:eastAsia="Calibri" w:hAnsi="David" w:hint="eastAsia"/>
          <w:sz w:val="24"/>
          <w:rtl/>
        </w:rPr>
        <w:t>חסיונות</w:t>
      </w:r>
      <w:r w:rsidRPr="006946D3">
        <w:rPr>
          <w:rFonts w:ascii="David" w:eastAsia="Calibri" w:hAnsi="David"/>
          <w:sz w:val="24"/>
          <w:rtl/>
        </w:rPr>
        <w:t xml:space="preserve">, </w:t>
      </w:r>
      <w:r w:rsidRPr="006946D3">
        <w:rPr>
          <w:rFonts w:ascii="David" w:eastAsia="Calibri" w:hAnsi="David" w:hint="eastAsia"/>
          <w:sz w:val="24"/>
          <w:rtl/>
        </w:rPr>
        <w:t>שבה</w:t>
      </w:r>
      <w:r w:rsidRPr="006946D3">
        <w:rPr>
          <w:rFonts w:ascii="David" w:eastAsia="Calibri" w:hAnsi="David"/>
          <w:sz w:val="24"/>
          <w:rtl/>
        </w:rPr>
        <w:t xml:space="preserve"> </w:t>
      </w:r>
      <w:r w:rsidRPr="006946D3">
        <w:rPr>
          <w:rFonts w:ascii="David" w:eastAsia="Calibri" w:hAnsi="David" w:hint="eastAsia"/>
          <w:sz w:val="24"/>
          <w:rtl/>
        </w:rPr>
        <w:t>נבחנת</w:t>
      </w:r>
      <w:r w:rsidRPr="006946D3">
        <w:rPr>
          <w:rFonts w:ascii="David" w:eastAsia="Calibri" w:hAnsi="David"/>
          <w:sz w:val="24"/>
          <w:rtl/>
        </w:rPr>
        <w:t xml:space="preserve"> </w:t>
      </w:r>
      <w:r w:rsidRPr="006946D3">
        <w:rPr>
          <w:rFonts w:ascii="David" w:eastAsia="Calibri" w:hAnsi="David" w:hint="eastAsia"/>
          <w:sz w:val="24"/>
          <w:rtl/>
        </w:rPr>
        <w:t>סוגיית</w:t>
      </w:r>
      <w:r w:rsidRPr="006946D3">
        <w:rPr>
          <w:rFonts w:ascii="David" w:eastAsia="Calibri" w:hAnsi="David"/>
          <w:sz w:val="24"/>
          <w:rtl/>
        </w:rPr>
        <w:t xml:space="preserve"> </w:t>
      </w:r>
      <w:r w:rsidRPr="006946D3">
        <w:rPr>
          <w:rFonts w:ascii="David" w:eastAsia="Calibri" w:hAnsi="David" w:hint="eastAsia"/>
          <w:sz w:val="24"/>
          <w:rtl/>
        </w:rPr>
        <w:t>הוצאתה</w:t>
      </w:r>
      <w:r w:rsidRPr="006946D3">
        <w:rPr>
          <w:rFonts w:ascii="David" w:eastAsia="Calibri" w:hAnsi="David"/>
          <w:sz w:val="24"/>
          <w:rtl/>
        </w:rPr>
        <w:t xml:space="preserve"> </w:t>
      </w:r>
      <w:r w:rsidRPr="006946D3">
        <w:rPr>
          <w:rFonts w:ascii="David" w:eastAsia="Calibri" w:hAnsi="David" w:hint="eastAsia"/>
          <w:sz w:val="24"/>
          <w:rtl/>
        </w:rPr>
        <w:t>של</w:t>
      </w:r>
      <w:r w:rsidRPr="006946D3">
        <w:rPr>
          <w:rFonts w:ascii="David" w:eastAsia="Calibri" w:hAnsi="David"/>
          <w:sz w:val="24"/>
          <w:rtl/>
        </w:rPr>
        <w:t xml:space="preserve"> </w:t>
      </w:r>
      <w:r w:rsidRPr="006946D3">
        <w:rPr>
          <w:rFonts w:ascii="David" w:eastAsia="Calibri" w:hAnsi="David" w:hint="eastAsia"/>
          <w:sz w:val="24"/>
          <w:rtl/>
        </w:rPr>
        <w:t>תעודת</w:t>
      </w:r>
      <w:r w:rsidRPr="006946D3">
        <w:rPr>
          <w:rFonts w:ascii="David" w:eastAsia="Calibri" w:hAnsi="David"/>
          <w:sz w:val="24"/>
          <w:rtl/>
        </w:rPr>
        <w:t xml:space="preserve"> </w:t>
      </w:r>
      <w:r w:rsidRPr="006946D3">
        <w:rPr>
          <w:rFonts w:ascii="David" w:eastAsia="Calibri" w:hAnsi="David" w:hint="eastAsia"/>
          <w:sz w:val="24"/>
          <w:rtl/>
        </w:rPr>
        <w:t>החיסיון</w:t>
      </w:r>
      <w:r w:rsidRPr="006946D3">
        <w:rPr>
          <w:rFonts w:ascii="David" w:eastAsia="Calibri" w:hAnsi="David"/>
          <w:sz w:val="24"/>
          <w:rtl/>
        </w:rPr>
        <w:t xml:space="preserve">, </w:t>
      </w:r>
      <w:r w:rsidRPr="006946D3">
        <w:rPr>
          <w:rFonts w:ascii="David" w:eastAsia="Calibri" w:hAnsi="David" w:hint="eastAsia"/>
          <w:sz w:val="24"/>
          <w:rtl/>
        </w:rPr>
        <w:t>המשטרה</w:t>
      </w:r>
      <w:r w:rsidRPr="006946D3">
        <w:rPr>
          <w:rFonts w:ascii="David" w:eastAsia="Calibri" w:hAnsi="David"/>
          <w:sz w:val="24"/>
          <w:rtl/>
        </w:rPr>
        <w:t xml:space="preserve"> </w:t>
      </w:r>
      <w:r w:rsidRPr="006946D3">
        <w:rPr>
          <w:rFonts w:ascii="David" w:eastAsia="Calibri" w:hAnsi="David" w:hint="eastAsia"/>
          <w:sz w:val="24"/>
          <w:rtl/>
        </w:rPr>
        <w:t>לא</w:t>
      </w:r>
      <w:r w:rsidRPr="006946D3">
        <w:rPr>
          <w:rFonts w:ascii="David" w:eastAsia="Calibri" w:hAnsi="David"/>
          <w:sz w:val="24"/>
          <w:rtl/>
        </w:rPr>
        <w:t xml:space="preserve"> </w:t>
      </w:r>
      <w:r w:rsidRPr="006946D3">
        <w:rPr>
          <w:rFonts w:ascii="David" w:eastAsia="Calibri" w:hAnsi="David" w:hint="eastAsia"/>
          <w:sz w:val="24"/>
          <w:rtl/>
        </w:rPr>
        <w:t>תסתפק</w:t>
      </w:r>
      <w:r w:rsidRPr="006946D3">
        <w:rPr>
          <w:rFonts w:ascii="David" w:eastAsia="Calibri" w:hAnsi="David"/>
          <w:sz w:val="24"/>
          <w:rtl/>
        </w:rPr>
        <w:t xml:space="preserve"> </w:t>
      </w:r>
      <w:r w:rsidRPr="006946D3">
        <w:rPr>
          <w:rFonts w:ascii="David" w:eastAsia="Calibri" w:hAnsi="David" w:hint="eastAsia"/>
          <w:sz w:val="24"/>
          <w:rtl/>
        </w:rPr>
        <w:t>בהצגת</w:t>
      </w:r>
      <w:r w:rsidRPr="006946D3">
        <w:rPr>
          <w:rFonts w:ascii="David" w:eastAsia="Calibri" w:hAnsi="David"/>
          <w:sz w:val="24"/>
          <w:rtl/>
        </w:rPr>
        <w:t xml:space="preserve"> </w:t>
      </w:r>
      <w:r w:rsidRPr="006946D3">
        <w:rPr>
          <w:rFonts w:ascii="David" w:eastAsia="Calibri" w:hAnsi="David" w:hint="eastAsia"/>
          <w:sz w:val="24"/>
          <w:rtl/>
        </w:rPr>
        <w:t>הפרפרזות</w:t>
      </w:r>
      <w:r w:rsidRPr="006946D3">
        <w:rPr>
          <w:rFonts w:ascii="David" w:eastAsia="Calibri" w:hAnsi="David"/>
          <w:sz w:val="24"/>
          <w:rtl/>
        </w:rPr>
        <w:t xml:space="preserve"> </w:t>
      </w:r>
      <w:r w:rsidRPr="006946D3">
        <w:rPr>
          <w:rFonts w:ascii="David" w:eastAsia="Calibri" w:hAnsi="David" w:hint="eastAsia"/>
          <w:sz w:val="24"/>
          <w:rtl/>
        </w:rPr>
        <w:t>של</w:t>
      </w:r>
      <w:r w:rsidRPr="006946D3">
        <w:rPr>
          <w:rFonts w:ascii="David" w:eastAsia="Calibri" w:hAnsi="David"/>
          <w:sz w:val="24"/>
          <w:rtl/>
        </w:rPr>
        <w:t xml:space="preserve"> </w:t>
      </w:r>
      <w:r w:rsidRPr="006946D3">
        <w:rPr>
          <w:rFonts w:ascii="David" w:eastAsia="Calibri" w:hAnsi="David" w:hint="eastAsia"/>
          <w:sz w:val="24"/>
          <w:rtl/>
        </w:rPr>
        <w:t>תוצרי</w:t>
      </w:r>
      <w:r w:rsidRPr="006946D3">
        <w:rPr>
          <w:rFonts w:ascii="David" w:eastAsia="Calibri" w:hAnsi="David"/>
          <w:sz w:val="24"/>
          <w:rtl/>
        </w:rPr>
        <w:t xml:space="preserve"> </w:t>
      </w:r>
      <w:r w:rsidRPr="006946D3">
        <w:rPr>
          <w:rFonts w:ascii="David" w:eastAsia="Calibri" w:hAnsi="David" w:hint="eastAsia"/>
          <w:sz w:val="24"/>
          <w:rtl/>
        </w:rPr>
        <w:t>האזנת</w:t>
      </w:r>
      <w:r w:rsidRPr="006946D3">
        <w:rPr>
          <w:rFonts w:ascii="David" w:eastAsia="Calibri" w:hAnsi="David"/>
          <w:sz w:val="24"/>
          <w:rtl/>
        </w:rPr>
        <w:t xml:space="preserve"> </w:t>
      </w:r>
      <w:r w:rsidRPr="006946D3">
        <w:rPr>
          <w:rFonts w:ascii="David" w:eastAsia="Calibri" w:hAnsi="David" w:hint="eastAsia"/>
          <w:sz w:val="24"/>
          <w:rtl/>
        </w:rPr>
        <w:t>הסתר</w:t>
      </w:r>
      <w:r w:rsidRPr="006946D3">
        <w:rPr>
          <w:rFonts w:ascii="David" w:eastAsia="Calibri" w:hAnsi="David"/>
          <w:sz w:val="24"/>
          <w:rtl/>
        </w:rPr>
        <w:t xml:space="preserve"> </w:t>
      </w:r>
      <w:r w:rsidRPr="006946D3">
        <w:rPr>
          <w:rFonts w:ascii="David" w:eastAsia="Calibri" w:hAnsi="David" w:hint="eastAsia"/>
          <w:sz w:val="24"/>
          <w:rtl/>
        </w:rPr>
        <w:t>שביצעו</w:t>
      </w:r>
      <w:r w:rsidRPr="006946D3">
        <w:rPr>
          <w:rFonts w:ascii="David" w:eastAsia="Calibri" w:hAnsi="David"/>
          <w:sz w:val="24"/>
          <w:rtl/>
        </w:rPr>
        <w:t xml:space="preserve"> </w:t>
      </w:r>
      <w:r w:rsidRPr="006946D3">
        <w:rPr>
          <w:rFonts w:ascii="David" w:eastAsia="Calibri" w:hAnsi="David" w:hint="eastAsia"/>
          <w:sz w:val="24"/>
          <w:rtl/>
        </w:rPr>
        <w:t>המפיקים</w:t>
      </w:r>
      <w:r w:rsidRPr="006946D3">
        <w:rPr>
          <w:rFonts w:ascii="David" w:eastAsia="Calibri" w:hAnsi="David"/>
          <w:sz w:val="24"/>
          <w:rtl/>
        </w:rPr>
        <w:t xml:space="preserve">, </w:t>
      </w:r>
      <w:r w:rsidRPr="006946D3">
        <w:rPr>
          <w:rFonts w:ascii="David" w:eastAsia="Calibri" w:hAnsi="David" w:hint="eastAsia"/>
          <w:sz w:val="24"/>
          <w:rtl/>
        </w:rPr>
        <w:t>אלא</w:t>
      </w:r>
      <w:r w:rsidRPr="006946D3">
        <w:rPr>
          <w:rFonts w:ascii="David" w:eastAsia="Calibri" w:hAnsi="David"/>
          <w:sz w:val="24"/>
          <w:rtl/>
        </w:rPr>
        <w:t xml:space="preserve"> </w:t>
      </w:r>
      <w:r w:rsidRPr="006946D3">
        <w:rPr>
          <w:rFonts w:ascii="David" w:eastAsia="Calibri" w:hAnsi="David" w:hint="eastAsia"/>
          <w:sz w:val="24"/>
          <w:rtl/>
        </w:rPr>
        <w:t>תציג</w:t>
      </w:r>
      <w:r w:rsidRPr="006946D3">
        <w:rPr>
          <w:rFonts w:ascii="David" w:eastAsia="Calibri" w:hAnsi="David"/>
          <w:sz w:val="24"/>
          <w:rtl/>
        </w:rPr>
        <w:t xml:space="preserve"> </w:t>
      </w:r>
      <w:r w:rsidRPr="006946D3">
        <w:rPr>
          <w:rFonts w:ascii="David" w:eastAsia="Calibri" w:hAnsi="David" w:hint="eastAsia"/>
          <w:sz w:val="24"/>
          <w:rtl/>
        </w:rPr>
        <w:t>את</w:t>
      </w:r>
      <w:r w:rsidRPr="006946D3">
        <w:rPr>
          <w:rFonts w:ascii="David" w:eastAsia="Calibri" w:hAnsi="David"/>
          <w:sz w:val="24"/>
          <w:rtl/>
        </w:rPr>
        <w:t xml:space="preserve"> </w:t>
      </w:r>
      <w:r w:rsidRPr="006946D3">
        <w:rPr>
          <w:rFonts w:ascii="David" w:eastAsia="Calibri" w:hAnsi="David" w:hint="eastAsia"/>
          <w:sz w:val="24"/>
          <w:rtl/>
        </w:rPr>
        <w:t>יומני</w:t>
      </w:r>
      <w:r w:rsidRPr="006946D3">
        <w:rPr>
          <w:rFonts w:ascii="David" w:eastAsia="Calibri" w:hAnsi="David"/>
          <w:sz w:val="24"/>
          <w:rtl/>
        </w:rPr>
        <w:t xml:space="preserve"> </w:t>
      </w:r>
      <w:r w:rsidRPr="006946D3">
        <w:rPr>
          <w:rFonts w:ascii="David" w:eastAsia="Calibri" w:hAnsi="David" w:hint="eastAsia"/>
          <w:sz w:val="24"/>
          <w:rtl/>
        </w:rPr>
        <w:t>ההפקה</w:t>
      </w:r>
      <w:r w:rsidRPr="006946D3">
        <w:rPr>
          <w:rFonts w:ascii="David" w:eastAsia="Calibri" w:hAnsi="David"/>
          <w:sz w:val="24"/>
          <w:rtl/>
        </w:rPr>
        <w:t xml:space="preserve"> </w:t>
      </w:r>
      <w:r w:rsidRPr="006946D3">
        <w:rPr>
          <w:rFonts w:ascii="David" w:eastAsia="Calibri" w:hAnsi="David" w:hint="eastAsia"/>
          <w:sz w:val="24"/>
          <w:rtl/>
        </w:rPr>
        <w:t>במלואם</w:t>
      </w:r>
      <w:r w:rsidRPr="006946D3">
        <w:rPr>
          <w:rFonts w:ascii="David" w:eastAsia="Calibri" w:hAnsi="David"/>
          <w:sz w:val="24"/>
          <w:rtl/>
        </w:rPr>
        <w:t xml:space="preserve">, </w:t>
      </w:r>
      <w:r w:rsidRPr="006946D3">
        <w:rPr>
          <w:rFonts w:ascii="David" w:eastAsia="Calibri" w:hAnsi="David" w:hint="eastAsia"/>
          <w:sz w:val="24"/>
          <w:rtl/>
        </w:rPr>
        <w:t>לנוכח</w:t>
      </w:r>
      <w:r w:rsidRPr="006946D3">
        <w:rPr>
          <w:rFonts w:ascii="David" w:eastAsia="Calibri" w:hAnsi="David"/>
          <w:sz w:val="24"/>
          <w:rtl/>
        </w:rPr>
        <w:t xml:space="preserve"> </w:t>
      </w:r>
      <w:r w:rsidRPr="006946D3">
        <w:rPr>
          <w:rFonts w:ascii="David" w:eastAsia="Calibri" w:hAnsi="David" w:hint="eastAsia"/>
          <w:sz w:val="24"/>
          <w:rtl/>
        </w:rPr>
        <w:t>הפירוט</w:t>
      </w:r>
      <w:r w:rsidRPr="006946D3">
        <w:rPr>
          <w:rFonts w:ascii="David" w:eastAsia="Calibri" w:hAnsi="David"/>
          <w:sz w:val="24"/>
          <w:rtl/>
        </w:rPr>
        <w:t xml:space="preserve"> </w:t>
      </w:r>
      <w:r w:rsidRPr="006946D3">
        <w:rPr>
          <w:rFonts w:ascii="David" w:eastAsia="Calibri" w:hAnsi="David" w:hint="eastAsia"/>
          <w:sz w:val="24"/>
          <w:rtl/>
        </w:rPr>
        <w:t>הנרחב</w:t>
      </w:r>
      <w:r w:rsidRPr="006946D3">
        <w:rPr>
          <w:rFonts w:ascii="David" w:eastAsia="Calibri" w:hAnsi="David"/>
          <w:sz w:val="24"/>
          <w:rtl/>
        </w:rPr>
        <w:t xml:space="preserve"> </w:t>
      </w:r>
      <w:r w:rsidRPr="006946D3">
        <w:rPr>
          <w:rFonts w:ascii="David" w:eastAsia="Calibri" w:hAnsi="David" w:hint="eastAsia"/>
          <w:sz w:val="24"/>
          <w:rtl/>
        </w:rPr>
        <w:t>שיש</w:t>
      </w:r>
      <w:r w:rsidRPr="006946D3">
        <w:rPr>
          <w:rFonts w:ascii="David" w:eastAsia="Calibri" w:hAnsi="David"/>
          <w:sz w:val="24"/>
          <w:rtl/>
        </w:rPr>
        <w:t xml:space="preserve"> </w:t>
      </w:r>
      <w:r w:rsidRPr="006946D3">
        <w:rPr>
          <w:rFonts w:ascii="David" w:eastAsia="Calibri" w:hAnsi="David" w:hint="eastAsia"/>
          <w:sz w:val="24"/>
          <w:rtl/>
        </w:rPr>
        <w:t>בהם</w:t>
      </w:r>
      <w:r w:rsidRPr="006946D3">
        <w:rPr>
          <w:rFonts w:ascii="David" w:eastAsia="Calibri" w:hAnsi="David"/>
          <w:sz w:val="24"/>
          <w:rtl/>
        </w:rPr>
        <w:t xml:space="preserve"> </w:t>
      </w:r>
      <w:r w:rsidRPr="006946D3">
        <w:rPr>
          <w:rFonts w:ascii="David" w:eastAsia="Calibri" w:hAnsi="David" w:hint="eastAsia"/>
          <w:sz w:val="24"/>
          <w:rtl/>
        </w:rPr>
        <w:t>בנוגע</w:t>
      </w:r>
      <w:r w:rsidRPr="006946D3">
        <w:rPr>
          <w:rFonts w:ascii="David" w:eastAsia="Calibri" w:hAnsi="David"/>
          <w:sz w:val="24"/>
          <w:rtl/>
        </w:rPr>
        <w:t xml:space="preserve"> </w:t>
      </w:r>
      <w:r w:rsidRPr="006946D3">
        <w:rPr>
          <w:rFonts w:ascii="David" w:eastAsia="Calibri" w:hAnsi="David" w:hint="eastAsia"/>
          <w:sz w:val="24"/>
          <w:rtl/>
        </w:rPr>
        <w:t>לכלים</w:t>
      </w:r>
      <w:r w:rsidRPr="006946D3">
        <w:rPr>
          <w:rFonts w:ascii="David" w:eastAsia="Calibri" w:hAnsi="David"/>
          <w:sz w:val="24"/>
          <w:rtl/>
        </w:rPr>
        <w:t xml:space="preserve"> </w:t>
      </w:r>
      <w:r w:rsidRPr="006946D3">
        <w:rPr>
          <w:rFonts w:ascii="David" w:eastAsia="Calibri" w:hAnsi="David" w:hint="eastAsia"/>
          <w:sz w:val="24"/>
          <w:rtl/>
        </w:rPr>
        <w:t>ששימשו</w:t>
      </w:r>
      <w:r w:rsidRPr="006946D3">
        <w:rPr>
          <w:rFonts w:ascii="David" w:eastAsia="Calibri" w:hAnsi="David"/>
          <w:sz w:val="24"/>
          <w:rtl/>
        </w:rPr>
        <w:t xml:space="preserve"> </w:t>
      </w:r>
      <w:r w:rsidRPr="006946D3">
        <w:rPr>
          <w:rFonts w:ascii="David" w:eastAsia="Calibri" w:hAnsi="David" w:hint="eastAsia"/>
          <w:sz w:val="24"/>
          <w:rtl/>
        </w:rPr>
        <w:t>להאזנה</w:t>
      </w:r>
      <w:r w:rsidRPr="006946D3">
        <w:rPr>
          <w:rFonts w:ascii="David" w:eastAsia="Calibri" w:hAnsi="David"/>
          <w:sz w:val="24"/>
          <w:rtl/>
        </w:rPr>
        <w:t xml:space="preserve"> </w:t>
      </w:r>
      <w:r w:rsidRPr="006946D3">
        <w:rPr>
          <w:rFonts w:ascii="David" w:eastAsia="Calibri" w:hAnsi="David" w:hint="eastAsia"/>
          <w:sz w:val="24"/>
          <w:rtl/>
        </w:rPr>
        <w:t>ולתוצרי</w:t>
      </w:r>
      <w:r w:rsidRPr="006946D3">
        <w:rPr>
          <w:rFonts w:ascii="David" w:eastAsia="Calibri" w:hAnsi="David"/>
          <w:sz w:val="24"/>
          <w:rtl/>
        </w:rPr>
        <w:t xml:space="preserve"> </w:t>
      </w:r>
      <w:r w:rsidRPr="006946D3">
        <w:rPr>
          <w:rFonts w:ascii="David" w:eastAsia="Calibri" w:hAnsi="David" w:hint="eastAsia"/>
          <w:sz w:val="24"/>
          <w:rtl/>
        </w:rPr>
        <w:t>ההאזנה</w:t>
      </w:r>
      <w:r w:rsidRPr="006946D3">
        <w:rPr>
          <w:rFonts w:ascii="David" w:eastAsia="Calibri" w:hAnsi="David"/>
          <w:sz w:val="24"/>
          <w:rtl/>
        </w:rPr>
        <w:t>.</w:t>
      </w:r>
    </w:p>
    <w:p w:rsidR="006946D3" w:rsidRPr="006946D3" w:rsidRDefault="006946D3" w:rsidP="005A0F21">
      <w:pPr>
        <w:spacing w:line="269" w:lineRule="auto"/>
        <w:ind w:left="423"/>
        <w:rPr>
          <w:rFonts w:ascii="David" w:eastAsia="Calibri" w:hAnsi="David"/>
          <w:sz w:val="24"/>
          <w:rtl/>
        </w:rPr>
      </w:pPr>
    </w:p>
    <w:p w:rsidR="006946D3" w:rsidRPr="00353B82" w:rsidRDefault="006946D3" w:rsidP="005A0F21">
      <w:pPr>
        <w:spacing w:line="269" w:lineRule="auto"/>
        <w:ind w:left="423"/>
        <w:rPr>
          <w:rFonts w:ascii="David" w:eastAsia="Calibri" w:hAnsi="David"/>
          <w:sz w:val="24"/>
          <w:rtl/>
        </w:rPr>
      </w:pPr>
      <w:r w:rsidRPr="006946D3">
        <w:rPr>
          <w:rFonts w:ascii="David" w:eastAsia="Calibri" w:hAnsi="David"/>
          <w:sz w:val="24"/>
          <w:rtl/>
        </w:rPr>
        <w:t xml:space="preserve">משרד מבקר המדינה </w:t>
      </w:r>
      <w:r w:rsidRPr="006946D3">
        <w:rPr>
          <w:rFonts w:ascii="David" w:eastAsia="Calibri" w:hAnsi="David" w:hint="eastAsia"/>
          <w:sz w:val="24"/>
          <w:rtl/>
        </w:rPr>
        <w:t>מציין</w:t>
      </w:r>
      <w:r w:rsidRPr="006946D3">
        <w:rPr>
          <w:rFonts w:ascii="David" w:eastAsia="Calibri" w:hAnsi="David"/>
          <w:sz w:val="24"/>
          <w:rtl/>
        </w:rPr>
        <w:t xml:space="preserve"> כי בשנת 2010 הטכנולוגיה להאזנת סתר לתקשורת בין מחשבים</w:t>
      </w:r>
      <w:r w:rsidR="00382AE8">
        <w:rPr>
          <w:rFonts w:ascii="David" w:eastAsia="Calibri" w:hAnsi="David"/>
          <w:sz w:val="24"/>
          <w:rtl/>
        </w:rPr>
        <w:t xml:space="preserve"> </w:t>
      </w:r>
      <w:r w:rsidRPr="006946D3">
        <w:rPr>
          <w:rFonts w:ascii="David" w:eastAsia="Calibri" w:hAnsi="David" w:hint="eastAsia"/>
          <w:sz w:val="24"/>
          <w:rtl/>
        </w:rPr>
        <w:t>הייתה</w:t>
      </w:r>
      <w:r w:rsidRPr="006946D3">
        <w:rPr>
          <w:rFonts w:ascii="David" w:eastAsia="Calibri" w:hAnsi="David"/>
          <w:sz w:val="24"/>
          <w:rtl/>
        </w:rPr>
        <w:t xml:space="preserve"> </w:t>
      </w:r>
      <w:r w:rsidRPr="006946D3">
        <w:rPr>
          <w:rFonts w:ascii="David" w:eastAsia="Calibri" w:hAnsi="David" w:hint="eastAsia"/>
          <w:sz w:val="24"/>
          <w:rtl/>
        </w:rPr>
        <w:t>בחיתוליה</w:t>
      </w:r>
      <w:r w:rsidRPr="006946D3">
        <w:rPr>
          <w:rFonts w:ascii="David" w:eastAsia="Calibri" w:hAnsi="David"/>
          <w:sz w:val="24"/>
          <w:rtl/>
        </w:rPr>
        <w:t xml:space="preserve">, </w:t>
      </w:r>
      <w:r w:rsidRPr="006946D3">
        <w:rPr>
          <w:rFonts w:ascii="David" w:eastAsia="Calibri" w:hAnsi="David" w:hint="eastAsia"/>
          <w:sz w:val="24"/>
          <w:rtl/>
        </w:rPr>
        <w:t>אולם</w:t>
      </w:r>
      <w:r w:rsidRPr="006946D3">
        <w:rPr>
          <w:rFonts w:ascii="David" w:eastAsia="Calibri" w:hAnsi="David"/>
          <w:sz w:val="24"/>
          <w:rtl/>
        </w:rPr>
        <w:t xml:space="preserve"> </w:t>
      </w:r>
      <w:r w:rsidRPr="006946D3">
        <w:rPr>
          <w:rFonts w:ascii="David" w:eastAsia="Calibri" w:hAnsi="David" w:hint="eastAsia"/>
          <w:sz w:val="24"/>
          <w:rtl/>
        </w:rPr>
        <w:t>הגיון</w:t>
      </w:r>
      <w:r w:rsidRPr="006946D3">
        <w:rPr>
          <w:rFonts w:ascii="David" w:eastAsia="Calibri" w:hAnsi="David"/>
          <w:sz w:val="24"/>
          <w:rtl/>
        </w:rPr>
        <w:t xml:space="preserve"> </w:t>
      </w:r>
      <w:r w:rsidRPr="006946D3">
        <w:rPr>
          <w:rFonts w:ascii="David" w:eastAsia="Calibri" w:hAnsi="David" w:hint="eastAsia"/>
          <w:sz w:val="24"/>
          <w:rtl/>
        </w:rPr>
        <w:t>הדברים</w:t>
      </w:r>
      <w:r w:rsidRPr="006946D3">
        <w:rPr>
          <w:rFonts w:ascii="David" w:eastAsia="Calibri" w:hAnsi="David"/>
          <w:sz w:val="24"/>
          <w:rtl/>
        </w:rPr>
        <w:t xml:space="preserve"> העומד מאחורי הנחיית </w:t>
      </w:r>
      <w:r w:rsidR="005B7BB5">
        <w:rPr>
          <w:rFonts w:ascii="David" w:eastAsia="Calibri" w:hAnsi="David" w:hint="cs"/>
          <w:sz w:val="24"/>
          <w:rtl/>
        </w:rPr>
        <w:t>נציג הייעוץ המשפטי לממשלה</w:t>
      </w:r>
      <w:r w:rsidRPr="006946D3">
        <w:rPr>
          <w:rFonts w:ascii="David" w:eastAsia="Calibri" w:hAnsi="David"/>
          <w:sz w:val="24"/>
          <w:rtl/>
        </w:rPr>
        <w:t xml:space="preserve"> </w:t>
      </w:r>
      <w:r w:rsidRPr="006946D3">
        <w:rPr>
          <w:rFonts w:ascii="David" w:eastAsia="Calibri" w:hAnsi="David" w:hint="eastAsia"/>
          <w:sz w:val="24"/>
          <w:rtl/>
        </w:rPr>
        <w:t>בקשר</w:t>
      </w:r>
      <w:r w:rsidRPr="006946D3">
        <w:rPr>
          <w:rFonts w:ascii="David" w:eastAsia="Calibri" w:hAnsi="David"/>
          <w:sz w:val="24"/>
          <w:rtl/>
        </w:rPr>
        <w:t xml:space="preserve"> ל</w:t>
      </w:r>
      <w:r w:rsidRPr="006946D3">
        <w:rPr>
          <w:rFonts w:ascii="David" w:eastAsia="Calibri" w:hAnsi="David" w:hint="eastAsia"/>
          <w:sz w:val="24"/>
          <w:rtl/>
        </w:rPr>
        <w:t>הצגת</w:t>
      </w:r>
      <w:r w:rsidRPr="006946D3">
        <w:rPr>
          <w:rFonts w:ascii="David" w:eastAsia="Calibri" w:hAnsi="David"/>
          <w:sz w:val="24"/>
          <w:rtl/>
        </w:rPr>
        <w:t xml:space="preserve"> יומני </w:t>
      </w:r>
      <w:r w:rsidRPr="006946D3">
        <w:rPr>
          <w:rFonts w:ascii="David" w:eastAsia="Calibri" w:hAnsi="David" w:hint="cs"/>
          <w:sz w:val="24"/>
          <w:rtl/>
        </w:rPr>
        <w:t>ה</w:t>
      </w:r>
      <w:r w:rsidRPr="006946D3">
        <w:rPr>
          <w:rFonts w:ascii="David" w:eastAsia="Calibri" w:hAnsi="David"/>
          <w:sz w:val="24"/>
          <w:rtl/>
        </w:rPr>
        <w:t>הפקה של האזנת סתר לאמצעי תקשורת קווי</w:t>
      </w:r>
      <w:r w:rsidRPr="006946D3">
        <w:rPr>
          <w:rFonts w:ascii="David" w:eastAsia="Calibri" w:hAnsi="David" w:hint="cs"/>
          <w:sz w:val="24"/>
          <w:rtl/>
        </w:rPr>
        <w:t>י</w:t>
      </w:r>
      <w:r w:rsidRPr="006946D3">
        <w:rPr>
          <w:rFonts w:ascii="David" w:eastAsia="Calibri" w:hAnsi="David"/>
          <w:sz w:val="24"/>
          <w:rtl/>
        </w:rPr>
        <w:t xml:space="preserve">ם או סלולריים לפרקליטויות המחוז, </w:t>
      </w:r>
      <w:r w:rsidRPr="006946D3">
        <w:rPr>
          <w:rFonts w:ascii="David" w:eastAsia="Calibri" w:hAnsi="David" w:hint="eastAsia"/>
          <w:sz w:val="24"/>
          <w:rtl/>
        </w:rPr>
        <w:t>חל</w:t>
      </w:r>
      <w:r w:rsidRPr="006946D3">
        <w:rPr>
          <w:rFonts w:ascii="David" w:eastAsia="Calibri" w:hAnsi="David"/>
          <w:sz w:val="24"/>
          <w:rtl/>
        </w:rPr>
        <w:t xml:space="preserve"> </w:t>
      </w:r>
      <w:r w:rsidRPr="006946D3">
        <w:rPr>
          <w:rFonts w:ascii="David" w:eastAsia="Calibri" w:hAnsi="David" w:hint="eastAsia"/>
          <w:sz w:val="24"/>
          <w:rtl/>
        </w:rPr>
        <w:t>גם</w:t>
      </w:r>
      <w:r w:rsidRPr="006946D3">
        <w:rPr>
          <w:rFonts w:ascii="David" w:eastAsia="Calibri" w:hAnsi="David"/>
          <w:sz w:val="24"/>
          <w:rtl/>
        </w:rPr>
        <w:t xml:space="preserve"> </w:t>
      </w:r>
      <w:r w:rsidRPr="006946D3">
        <w:rPr>
          <w:rFonts w:ascii="David" w:eastAsia="Calibri" w:hAnsi="David" w:hint="eastAsia"/>
          <w:sz w:val="24"/>
          <w:rtl/>
        </w:rPr>
        <w:t>על</w:t>
      </w:r>
      <w:r w:rsidRPr="006946D3">
        <w:rPr>
          <w:rFonts w:ascii="David" w:eastAsia="Calibri" w:hAnsi="David"/>
          <w:sz w:val="24"/>
          <w:rtl/>
        </w:rPr>
        <w:t xml:space="preserve"> </w:t>
      </w:r>
      <w:r w:rsidRPr="006946D3">
        <w:rPr>
          <w:rFonts w:ascii="David" w:eastAsia="Calibri" w:hAnsi="David" w:hint="eastAsia"/>
          <w:sz w:val="24"/>
          <w:rtl/>
        </w:rPr>
        <w:t>האזנת</w:t>
      </w:r>
      <w:r w:rsidRPr="006946D3">
        <w:rPr>
          <w:rFonts w:ascii="David" w:eastAsia="Calibri" w:hAnsi="David"/>
          <w:sz w:val="24"/>
          <w:rtl/>
        </w:rPr>
        <w:t xml:space="preserve"> </w:t>
      </w:r>
      <w:r w:rsidRPr="006946D3">
        <w:rPr>
          <w:rFonts w:ascii="David" w:eastAsia="Calibri" w:hAnsi="David" w:hint="eastAsia"/>
          <w:sz w:val="24"/>
          <w:rtl/>
        </w:rPr>
        <w:t>סתר</w:t>
      </w:r>
      <w:r w:rsidRPr="006946D3">
        <w:rPr>
          <w:rFonts w:ascii="David" w:eastAsia="Calibri" w:hAnsi="David"/>
          <w:sz w:val="24"/>
          <w:rtl/>
        </w:rPr>
        <w:t xml:space="preserve"> </w:t>
      </w:r>
      <w:r w:rsidRPr="006946D3">
        <w:rPr>
          <w:rFonts w:ascii="David" w:eastAsia="Calibri" w:hAnsi="David" w:hint="eastAsia"/>
          <w:sz w:val="24"/>
          <w:rtl/>
        </w:rPr>
        <w:t>לתקשורת</w:t>
      </w:r>
      <w:r w:rsidRPr="006946D3">
        <w:rPr>
          <w:rFonts w:ascii="David" w:eastAsia="Calibri" w:hAnsi="David"/>
          <w:sz w:val="24"/>
          <w:rtl/>
        </w:rPr>
        <w:t xml:space="preserve"> </w:t>
      </w:r>
      <w:r w:rsidRPr="006946D3">
        <w:rPr>
          <w:rFonts w:ascii="David" w:eastAsia="Calibri" w:hAnsi="David" w:hint="eastAsia"/>
          <w:sz w:val="24"/>
          <w:rtl/>
        </w:rPr>
        <w:t>בין</w:t>
      </w:r>
      <w:r w:rsidRPr="006946D3">
        <w:rPr>
          <w:rFonts w:ascii="David" w:eastAsia="Calibri" w:hAnsi="David"/>
          <w:sz w:val="24"/>
          <w:rtl/>
        </w:rPr>
        <w:t xml:space="preserve"> </w:t>
      </w:r>
      <w:r w:rsidRPr="006946D3">
        <w:rPr>
          <w:rFonts w:ascii="David" w:eastAsia="Calibri" w:hAnsi="David" w:hint="eastAsia"/>
          <w:sz w:val="24"/>
          <w:rtl/>
        </w:rPr>
        <w:t>מחשבים</w:t>
      </w:r>
      <w:r w:rsidRPr="006946D3">
        <w:rPr>
          <w:rFonts w:ascii="David" w:eastAsia="Calibri" w:hAnsi="David"/>
          <w:sz w:val="24"/>
          <w:rtl/>
        </w:rPr>
        <w:t>.</w:t>
      </w:r>
    </w:p>
    <w:p w:rsidR="006946D3" w:rsidRPr="006946D3" w:rsidRDefault="006946D3" w:rsidP="005A0F21">
      <w:pPr>
        <w:spacing w:line="269" w:lineRule="auto"/>
        <w:ind w:left="365"/>
        <w:contextualSpacing/>
        <w:rPr>
          <w:rFonts w:ascii="David" w:eastAsia="Calibri" w:hAnsi="David"/>
          <w:sz w:val="24"/>
          <w:highlight w:val="yellow"/>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cs"/>
          <w:sz w:val="24"/>
          <w:rtl/>
        </w:rPr>
        <w:t xml:space="preserve">בתשובתה כתבה המשטרה כי מבדיקה מדגמית שהיא ערכה נמצא שהיא הקפידה על מילוי טבלאות ההפקה של עמדות האזנה באמצעות </w:t>
      </w:r>
      <w:r w:rsidR="00EF1D87">
        <w:rPr>
          <w:rFonts w:ascii="David" w:eastAsia="Calibri" w:hAnsi="David" w:hint="cs"/>
          <w:sz w:val="24"/>
          <w:rtl/>
        </w:rPr>
        <w:t>כלי טכנולוגי</w:t>
      </w:r>
      <w:r w:rsidRPr="006946D3">
        <w:rPr>
          <w:rFonts w:ascii="David" w:eastAsia="Calibri" w:hAnsi="David" w:hint="cs"/>
          <w:sz w:val="24"/>
          <w:rtl/>
        </w:rPr>
        <w:t>, ובהתאם לכללי החיסיון ול</w:t>
      </w:r>
      <w:r w:rsidR="00210916">
        <w:rPr>
          <w:rFonts w:ascii="David" w:eastAsia="Calibri" w:hAnsi="David" w:hint="cs"/>
          <w:sz w:val="24"/>
          <w:rtl/>
        </w:rPr>
        <w:t>ה</w:t>
      </w:r>
      <w:r w:rsidRPr="006946D3">
        <w:rPr>
          <w:rFonts w:ascii="David" w:eastAsia="Calibri" w:hAnsi="David" w:hint="cs"/>
          <w:sz w:val="24"/>
          <w:rtl/>
        </w:rPr>
        <w:t xml:space="preserve">דרכה שבוצעה על ידי ראש חוליית ביטחון מידע סיגינט סייבר, הגיעו נציגי המשטרה לישיבת החסיונות עם טבלאות ההפקה והציגו אותן בפני נציגי הפרקליטות. </w:t>
      </w:r>
    </w:p>
    <w:p w:rsidR="006946D3" w:rsidRPr="006946D3" w:rsidRDefault="006946D3" w:rsidP="005A0F21">
      <w:pPr>
        <w:spacing w:line="269" w:lineRule="auto"/>
        <w:ind w:left="365"/>
        <w:contextualSpacing/>
        <w:rPr>
          <w:rFonts w:ascii="David" w:eastAsia="Calibri" w:hAnsi="David"/>
          <w:sz w:val="24"/>
          <w:rtl/>
        </w:rPr>
      </w:pPr>
    </w:p>
    <w:p w:rsidR="006946D3" w:rsidRPr="006946D3" w:rsidRDefault="006946D3" w:rsidP="005A0F21">
      <w:pPr>
        <w:spacing w:line="269" w:lineRule="auto"/>
        <w:ind w:left="423"/>
        <w:rPr>
          <w:rFonts w:ascii="David" w:eastAsia="Calibri" w:hAnsi="David"/>
          <w:sz w:val="24"/>
          <w:rtl/>
        </w:rPr>
      </w:pPr>
      <w:r w:rsidRPr="006946D3">
        <w:rPr>
          <w:rFonts w:ascii="David" w:eastAsia="Calibri" w:hAnsi="David" w:hint="eastAsia"/>
          <w:b/>
          <w:bCs/>
          <w:sz w:val="24"/>
          <w:rtl/>
        </w:rPr>
        <w:t>בפועל</w:t>
      </w:r>
      <w:r w:rsidRPr="006946D3">
        <w:rPr>
          <w:rFonts w:ascii="David" w:eastAsia="Calibri" w:hAnsi="David"/>
          <w:b/>
          <w:bCs/>
          <w:sz w:val="24"/>
          <w:rtl/>
        </w:rPr>
        <w:t xml:space="preserve">, </w:t>
      </w:r>
      <w:r w:rsidRPr="006946D3">
        <w:rPr>
          <w:rFonts w:ascii="David" w:eastAsia="Calibri" w:hAnsi="David" w:hint="eastAsia"/>
          <w:b/>
          <w:bCs/>
          <w:sz w:val="24"/>
          <w:rtl/>
        </w:rPr>
        <w:t>כשמדובר</w:t>
      </w:r>
      <w:r w:rsidRPr="006946D3">
        <w:rPr>
          <w:rFonts w:ascii="David" w:eastAsia="Calibri" w:hAnsi="David"/>
          <w:b/>
          <w:bCs/>
          <w:sz w:val="24"/>
          <w:rtl/>
        </w:rPr>
        <w:t xml:space="preserve"> </w:t>
      </w:r>
      <w:r w:rsidRPr="006946D3">
        <w:rPr>
          <w:rFonts w:ascii="David" w:eastAsia="Calibri" w:hAnsi="David" w:hint="eastAsia"/>
          <w:b/>
          <w:bCs/>
          <w:sz w:val="24"/>
          <w:rtl/>
        </w:rPr>
        <w:t>בהאזנות</w:t>
      </w:r>
      <w:r w:rsidRPr="006946D3">
        <w:rPr>
          <w:rFonts w:ascii="David" w:eastAsia="Calibri" w:hAnsi="David"/>
          <w:b/>
          <w:bCs/>
          <w:sz w:val="24"/>
          <w:rtl/>
        </w:rPr>
        <w:t xml:space="preserve"> סתר לשיחות שמע, הפרקליט מקבל לידיו יחד עם תיק החקירה גם את </w:t>
      </w:r>
      <w:r w:rsidRPr="006946D3">
        <w:rPr>
          <w:rFonts w:ascii="David" w:eastAsia="Calibri" w:hAnsi="David" w:hint="eastAsia"/>
          <w:b/>
          <w:bCs/>
          <w:sz w:val="24"/>
          <w:rtl/>
        </w:rPr>
        <w:t>יומני</w:t>
      </w:r>
      <w:r w:rsidRPr="006946D3">
        <w:rPr>
          <w:rFonts w:ascii="David" w:eastAsia="Calibri" w:hAnsi="David"/>
          <w:b/>
          <w:bCs/>
          <w:sz w:val="24"/>
          <w:rtl/>
        </w:rPr>
        <w:t xml:space="preserve"> </w:t>
      </w:r>
      <w:r w:rsidRPr="006946D3">
        <w:rPr>
          <w:rFonts w:ascii="David" w:eastAsia="Calibri" w:hAnsi="David" w:hint="eastAsia"/>
          <w:b/>
          <w:bCs/>
          <w:sz w:val="24"/>
          <w:rtl/>
        </w:rPr>
        <w:t>ההפקה</w:t>
      </w:r>
      <w:r w:rsidRPr="006946D3">
        <w:rPr>
          <w:rFonts w:ascii="David" w:eastAsia="Calibri" w:hAnsi="David"/>
          <w:b/>
          <w:bCs/>
          <w:sz w:val="24"/>
          <w:rtl/>
        </w:rPr>
        <w:t xml:space="preserve"> אשר מונחים גם בפני פרקליט המחוז במסגרת ישיבת החסיונות. </w:t>
      </w:r>
      <w:r w:rsidRPr="006946D3">
        <w:rPr>
          <w:rFonts w:ascii="David" w:eastAsia="Calibri" w:hAnsi="David" w:hint="eastAsia"/>
          <w:b/>
          <w:bCs/>
          <w:sz w:val="24"/>
          <w:rtl/>
        </w:rPr>
        <w:t>עם</w:t>
      </w:r>
      <w:r w:rsidRPr="006946D3">
        <w:rPr>
          <w:rFonts w:ascii="David" w:eastAsia="Calibri" w:hAnsi="David"/>
          <w:b/>
          <w:bCs/>
          <w:sz w:val="24"/>
          <w:rtl/>
        </w:rPr>
        <w:t xml:space="preserve"> </w:t>
      </w:r>
      <w:r w:rsidRPr="006946D3">
        <w:rPr>
          <w:rFonts w:ascii="David" w:eastAsia="Calibri" w:hAnsi="David" w:hint="eastAsia"/>
          <w:b/>
          <w:bCs/>
          <w:sz w:val="24"/>
          <w:rtl/>
        </w:rPr>
        <w:t>זאת</w:t>
      </w:r>
      <w:r w:rsidRPr="006946D3">
        <w:rPr>
          <w:rFonts w:ascii="David" w:eastAsia="Calibri" w:hAnsi="David"/>
          <w:b/>
          <w:bCs/>
          <w:sz w:val="24"/>
          <w:rtl/>
        </w:rPr>
        <w:t xml:space="preserve">, </w:t>
      </w:r>
      <w:r w:rsidRPr="006946D3">
        <w:rPr>
          <w:rFonts w:ascii="David" w:eastAsia="Calibri" w:hAnsi="David" w:hint="eastAsia"/>
          <w:b/>
          <w:bCs/>
          <w:sz w:val="24"/>
          <w:rtl/>
        </w:rPr>
        <w:t>בכל</w:t>
      </w:r>
      <w:r w:rsidRPr="006946D3">
        <w:rPr>
          <w:rFonts w:ascii="David" w:eastAsia="Calibri" w:hAnsi="David"/>
          <w:b/>
          <w:bCs/>
          <w:sz w:val="24"/>
          <w:rtl/>
        </w:rPr>
        <w:t xml:space="preserve"> </w:t>
      </w:r>
      <w:r w:rsidRPr="006946D3">
        <w:rPr>
          <w:rFonts w:ascii="David" w:eastAsia="Calibri" w:hAnsi="David" w:hint="eastAsia"/>
          <w:b/>
          <w:bCs/>
          <w:sz w:val="24"/>
          <w:rtl/>
        </w:rPr>
        <w:t>הנוגע</w:t>
      </w:r>
      <w:r w:rsidRPr="006946D3">
        <w:rPr>
          <w:rFonts w:ascii="David" w:eastAsia="Calibri" w:hAnsi="David"/>
          <w:b/>
          <w:bCs/>
          <w:sz w:val="24"/>
          <w:rtl/>
        </w:rPr>
        <w:t xml:space="preserve"> </w:t>
      </w:r>
      <w:r w:rsidRPr="00353B82">
        <w:rPr>
          <w:rFonts w:ascii="David" w:eastAsia="Calibri" w:hAnsi="David" w:hint="eastAsia"/>
          <w:b/>
          <w:bCs/>
          <w:sz w:val="24"/>
          <w:rtl/>
        </w:rPr>
        <w:t>להאזנות</w:t>
      </w:r>
      <w:r w:rsidRPr="006946D3">
        <w:rPr>
          <w:rFonts w:ascii="David" w:eastAsia="Calibri" w:hAnsi="David"/>
          <w:b/>
          <w:bCs/>
          <w:sz w:val="24"/>
          <w:rtl/>
        </w:rPr>
        <w:t xml:space="preserve"> </w:t>
      </w:r>
      <w:r w:rsidRPr="006946D3">
        <w:rPr>
          <w:rFonts w:ascii="David" w:eastAsia="Calibri" w:hAnsi="David" w:hint="eastAsia"/>
          <w:b/>
          <w:bCs/>
          <w:sz w:val="24"/>
          <w:rtl/>
        </w:rPr>
        <w:t>סתר</w:t>
      </w:r>
      <w:r w:rsidRPr="006946D3">
        <w:rPr>
          <w:rFonts w:ascii="David" w:eastAsia="Calibri" w:hAnsi="David"/>
          <w:b/>
          <w:bCs/>
          <w:sz w:val="24"/>
          <w:rtl/>
        </w:rPr>
        <w:t xml:space="preserve"> </w:t>
      </w:r>
      <w:r w:rsidRPr="006946D3">
        <w:rPr>
          <w:rFonts w:ascii="David" w:eastAsia="Calibri" w:hAnsi="David" w:hint="eastAsia"/>
          <w:b/>
          <w:bCs/>
          <w:sz w:val="24"/>
          <w:rtl/>
        </w:rPr>
        <w:t>לתקשורת</w:t>
      </w:r>
      <w:r w:rsidRPr="006946D3">
        <w:rPr>
          <w:rFonts w:ascii="David" w:eastAsia="Calibri" w:hAnsi="David"/>
          <w:b/>
          <w:bCs/>
          <w:sz w:val="24"/>
          <w:rtl/>
        </w:rPr>
        <w:t xml:space="preserve"> </w:t>
      </w:r>
      <w:r w:rsidRPr="006946D3">
        <w:rPr>
          <w:rFonts w:ascii="David" w:eastAsia="Calibri" w:hAnsi="David" w:hint="eastAsia"/>
          <w:b/>
          <w:bCs/>
          <w:sz w:val="24"/>
          <w:rtl/>
        </w:rPr>
        <w:t>בין</w:t>
      </w:r>
      <w:r w:rsidRPr="006946D3">
        <w:rPr>
          <w:rFonts w:ascii="David" w:eastAsia="Calibri" w:hAnsi="David"/>
          <w:b/>
          <w:bCs/>
          <w:sz w:val="24"/>
          <w:rtl/>
        </w:rPr>
        <w:t xml:space="preserve"> </w:t>
      </w:r>
      <w:r w:rsidRPr="006946D3">
        <w:rPr>
          <w:rFonts w:ascii="David" w:eastAsia="Calibri" w:hAnsi="David" w:hint="eastAsia"/>
          <w:b/>
          <w:bCs/>
          <w:sz w:val="24"/>
          <w:rtl/>
        </w:rPr>
        <w:t>מחשבים</w:t>
      </w:r>
      <w:r w:rsidRPr="006946D3">
        <w:rPr>
          <w:rFonts w:ascii="David" w:eastAsia="Calibri" w:hAnsi="David"/>
          <w:b/>
          <w:bCs/>
          <w:sz w:val="24"/>
          <w:rtl/>
        </w:rPr>
        <w:t xml:space="preserve">, </w:t>
      </w:r>
      <w:r w:rsidRPr="006946D3">
        <w:rPr>
          <w:rFonts w:ascii="David" w:eastAsia="Calibri" w:hAnsi="David" w:hint="eastAsia"/>
          <w:b/>
          <w:bCs/>
          <w:sz w:val="24"/>
          <w:rtl/>
        </w:rPr>
        <w:t>הפרקליט</w:t>
      </w:r>
      <w:r w:rsidRPr="006946D3">
        <w:rPr>
          <w:rFonts w:ascii="David" w:eastAsia="Calibri" w:hAnsi="David"/>
          <w:b/>
          <w:bCs/>
          <w:sz w:val="24"/>
          <w:rtl/>
        </w:rPr>
        <w:t xml:space="preserve"> </w:t>
      </w:r>
      <w:r w:rsidRPr="006946D3">
        <w:rPr>
          <w:rFonts w:ascii="David" w:eastAsia="Calibri" w:hAnsi="David" w:hint="eastAsia"/>
          <w:b/>
          <w:bCs/>
          <w:sz w:val="24"/>
          <w:rtl/>
        </w:rPr>
        <w:t>המטפל</w:t>
      </w:r>
      <w:r w:rsidRPr="006946D3">
        <w:rPr>
          <w:rFonts w:ascii="David" w:eastAsia="Calibri" w:hAnsi="David"/>
          <w:b/>
          <w:bCs/>
          <w:sz w:val="24"/>
          <w:rtl/>
        </w:rPr>
        <w:t xml:space="preserve"> </w:t>
      </w:r>
      <w:r w:rsidRPr="006946D3">
        <w:rPr>
          <w:rFonts w:ascii="David" w:eastAsia="Calibri" w:hAnsi="David" w:hint="eastAsia"/>
          <w:b/>
          <w:bCs/>
          <w:sz w:val="24"/>
          <w:rtl/>
        </w:rPr>
        <w:t>בתיק</w:t>
      </w:r>
      <w:r w:rsidRPr="006946D3">
        <w:rPr>
          <w:rFonts w:ascii="David" w:eastAsia="Calibri" w:hAnsi="David"/>
          <w:b/>
          <w:bCs/>
          <w:sz w:val="24"/>
          <w:rtl/>
        </w:rPr>
        <w:t xml:space="preserve"> </w:t>
      </w:r>
      <w:r w:rsidRPr="006946D3">
        <w:rPr>
          <w:rFonts w:ascii="David" w:eastAsia="Calibri" w:hAnsi="David" w:hint="eastAsia"/>
          <w:b/>
          <w:bCs/>
          <w:sz w:val="24"/>
          <w:rtl/>
        </w:rPr>
        <w:t>ממודר</w:t>
      </w:r>
      <w:r w:rsidRPr="006946D3">
        <w:rPr>
          <w:rFonts w:ascii="David" w:eastAsia="Calibri" w:hAnsi="David"/>
          <w:b/>
          <w:bCs/>
          <w:sz w:val="24"/>
          <w:rtl/>
        </w:rPr>
        <w:t xml:space="preserve"> </w:t>
      </w:r>
      <w:r w:rsidRPr="006946D3">
        <w:rPr>
          <w:rFonts w:ascii="David" w:eastAsia="Calibri" w:hAnsi="David" w:hint="eastAsia"/>
          <w:b/>
          <w:bCs/>
          <w:sz w:val="24"/>
          <w:rtl/>
        </w:rPr>
        <w:t>מעצם</w:t>
      </w:r>
      <w:r w:rsidRPr="006946D3">
        <w:rPr>
          <w:rFonts w:ascii="David" w:eastAsia="Calibri" w:hAnsi="David"/>
          <w:b/>
          <w:bCs/>
          <w:sz w:val="24"/>
          <w:rtl/>
        </w:rPr>
        <w:t xml:space="preserve"> </w:t>
      </w:r>
      <w:r w:rsidRPr="006946D3">
        <w:rPr>
          <w:rFonts w:ascii="David" w:eastAsia="Calibri" w:hAnsi="David" w:hint="eastAsia"/>
          <w:b/>
          <w:bCs/>
          <w:sz w:val="24"/>
          <w:rtl/>
        </w:rPr>
        <w:t>קיומה</w:t>
      </w:r>
      <w:r w:rsidRPr="006946D3">
        <w:rPr>
          <w:rFonts w:ascii="David" w:eastAsia="Calibri" w:hAnsi="David"/>
          <w:b/>
          <w:bCs/>
          <w:sz w:val="24"/>
          <w:rtl/>
        </w:rPr>
        <w:t xml:space="preserve"> </w:t>
      </w:r>
      <w:r w:rsidRPr="006946D3">
        <w:rPr>
          <w:rFonts w:ascii="David" w:eastAsia="Calibri" w:hAnsi="David" w:hint="eastAsia"/>
          <w:b/>
          <w:bCs/>
          <w:sz w:val="24"/>
          <w:rtl/>
        </w:rPr>
        <w:t>של</w:t>
      </w:r>
      <w:r w:rsidRPr="006946D3">
        <w:rPr>
          <w:rFonts w:ascii="David" w:eastAsia="Calibri" w:hAnsi="David"/>
          <w:b/>
          <w:bCs/>
          <w:sz w:val="24"/>
          <w:rtl/>
        </w:rPr>
        <w:t xml:space="preserve"> </w:t>
      </w:r>
      <w:r w:rsidRPr="006946D3">
        <w:rPr>
          <w:rFonts w:ascii="David" w:eastAsia="Calibri" w:hAnsi="David" w:hint="eastAsia"/>
          <w:b/>
          <w:bCs/>
          <w:sz w:val="24"/>
          <w:rtl/>
        </w:rPr>
        <w:t>האזנה</w:t>
      </w:r>
      <w:r w:rsidRPr="006946D3">
        <w:rPr>
          <w:rFonts w:ascii="David" w:eastAsia="Calibri" w:hAnsi="David" w:hint="cs"/>
          <w:b/>
          <w:bCs/>
          <w:sz w:val="24"/>
          <w:rtl/>
        </w:rPr>
        <w:t>,</w:t>
      </w:r>
      <w:r w:rsidRPr="006946D3">
        <w:rPr>
          <w:rFonts w:ascii="David" w:eastAsia="Calibri" w:hAnsi="David"/>
          <w:b/>
          <w:bCs/>
          <w:sz w:val="24"/>
          <w:rtl/>
        </w:rPr>
        <w:t xml:space="preserve"> </w:t>
      </w:r>
      <w:r w:rsidRPr="006946D3">
        <w:rPr>
          <w:rFonts w:ascii="David" w:eastAsia="Calibri" w:hAnsi="David" w:hint="eastAsia"/>
          <w:b/>
          <w:bCs/>
          <w:sz w:val="24"/>
          <w:rtl/>
        </w:rPr>
        <w:t>ובפני</w:t>
      </w:r>
      <w:r w:rsidRPr="006946D3">
        <w:rPr>
          <w:rFonts w:ascii="David" w:eastAsia="Calibri" w:hAnsi="David"/>
          <w:b/>
          <w:bCs/>
          <w:sz w:val="24"/>
          <w:rtl/>
        </w:rPr>
        <w:t xml:space="preserve"> </w:t>
      </w:r>
      <w:r w:rsidRPr="006946D3">
        <w:rPr>
          <w:rFonts w:ascii="David" w:eastAsia="Calibri" w:hAnsi="David" w:hint="eastAsia"/>
          <w:b/>
          <w:bCs/>
          <w:sz w:val="24"/>
          <w:rtl/>
        </w:rPr>
        <w:t>פרקליט</w:t>
      </w:r>
      <w:r w:rsidRPr="006946D3">
        <w:rPr>
          <w:rFonts w:ascii="David" w:eastAsia="Calibri" w:hAnsi="David"/>
          <w:b/>
          <w:bCs/>
          <w:sz w:val="24"/>
          <w:rtl/>
        </w:rPr>
        <w:t xml:space="preserve"> </w:t>
      </w:r>
      <w:r w:rsidRPr="006946D3">
        <w:rPr>
          <w:rFonts w:ascii="David" w:eastAsia="Calibri" w:hAnsi="David" w:hint="eastAsia"/>
          <w:b/>
          <w:bCs/>
          <w:sz w:val="24"/>
          <w:rtl/>
        </w:rPr>
        <w:t>המחוז</w:t>
      </w:r>
      <w:r w:rsidRPr="006946D3">
        <w:rPr>
          <w:rFonts w:ascii="David" w:eastAsia="Calibri" w:hAnsi="David"/>
          <w:b/>
          <w:bCs/>
          <w:sz w:val="24"/>
          <w:rtl/>
        </w:rPr>
        <w:t xml:space="preserve"> </w:t>
      </w:r>
      <w:r w:rsidRPr="006946D3">
        <w:rPr>
          <w:rFonts w:ascii="David" w:eastAsia="Calibri" w:hAnsi="David" w:hint="eastAsia"/>
          <w:b/>
          <w:bCs/>
          <w:sz w:val="24"/>
          <w:rtl/>
        </w:rPr>
        <w:t>מובא</w:t>
      </w:r>
      <w:r w:rsidRPr="006946D3">
        <w:rPr>
          <w:rFonts w:ascii="David" w:eastAsia="Calibri" w:hAnsi="David"/>
          <w:b/>
          <w:bCs/>
          <w:sz w:val="24"/>
          <w:rtl/>
        </w:rPr>
        <w:t xml:space="preserve"> </w:t>
      </w:r>
      <w:r w:rsidRPr="006946D3">
        <w:rPr>
          <w:rFonts w:ascii="David" w:eastAsia="Calibri" w:hAnsi="David" w:hint="eastAsia"/>
          <w:b/>
          <w:bCs/>
          <w:sz w:val="24"/>
          <w:rtl/>
        </w:rPr>
        <w:t>רק</w:t>
      </w:r>
      <w:r w:rsidRPr="006946D3">
        <w:rPr>
          <w:rFonts w:ascii="David" w:eastAsia="Calibri" w:hAnsi="David"/>
          <w:b/>
          <w:bCs/>
          <w:sz w:val="24"/>
          <w:rtl/>
        </w:rPr>
        <w:t xml:space="preserve"> </w:t>
      </w:r>
      <w:r w:rsidRPr="006946D3">
        <w:rPr>
          <w:rFonts w:ascii="David" w:eastAsia="Calibri" w:hAnsi="David" w:hint="eastAsia"/>
          <w:b/>
          <w:bCs/>
          <w:sz w:val="24"/>
          <w:rtl/>
        </w:rPr>
        <w:t>מסמך</w:t>
      </w:r>
      <w:r w:rsidRPr="006946D3">
        <w:rPr>
          <w:rFonts w:ascii="David" w:eastAsia="Calibri" w:hAnsi="David"/>
          <w:b/>
          <w:bCs/>
          <w:sz w:val="24"/>
          <w:rtl/>
        </w:rPr>
        <w:t xml:space="preserve"> </w:t>
      </w:r>
      <w:r w:rsidRPr="006946D3">
        <w:rPr>
          <w:rFonts w:ascii="David" w:eastAsia="Calibri" w:hAnsi="David" w:hint="eastAsia"/>
          <w:b/>
          <w:bCs/>
          <w:sz w:val="24"/>
          <w:rtl/>
        </w:rPr>
        <w:t>קצר</w:t>
      </w:r>
      <w:r w:rsidRPr="006946D3">
        <w:rPr>
          <w:rFonts w:ascii="David" w:eastAsia="Calibri" w:hAnsi="David"/>
          <w:b/>
          <w:bCs/>
          <w:sz w:val="24"/>
          <w:rtl/>
        </w:rPr>
        <w:t xml:space="preserve"> </w:t>
      </w:r>
      <w:r w:rsidRPr="006946D3">
        <w:rPr>
          <w:rFonts w:ascii="David" w:eastAsia="Calibri" w:hAnsi="David" w:hint="eastAsia"/>
          <w:b/>
          <w:bCs/>
          <w:sz w:val="24"/>
          <w:rtl/>
        </w:rPr>
        <w:t>המסכם</w:t>
      </w:r>
      <w:r w:rsidRPr="006946D3">
        <w:rPr>
          <w:rFonts w:ascii="David" w:eastAsia="Calibri" w:hAnsi="David"/>
          <w:b/>
          <w:bCs/>
          <w:sz w:val="24"/>
          <w:rtl/>
        </w:rPr>
        <w:t xml:space="preserve"> </w:t>
      </w:r>
      <w:r w:rsidRPr="006946D3">
        <w:rPr>
          <w:rFonts w:ascii="David" w:eastAsia="Calibri" w:hAnsi="David" w:hint="eastAsia"/>
          <w:b/>
          <w:bCs/>
          <w:sz w:val="24"/>
          <w:rtl/>
        </w:rPr>
        <w:t>את</w:t>
      </w:r>
      <w:r w:rsidRPr="006946D3">
        <w:rPr>
          <w:rFonts w:ascii="David" w:eastAsia="Calibri" w:hAnsi="David"/>
          <w:b/>
          <w:bCs/>
          <w:sz w:val="24"/>
          <w:rtl/>
        </w:rPr>
        <w:t xml:space="preserve"> </w:t>
      </w:r>
      <w:r w:rsidRPr="006946D3">
        <w:rPr>
          <w:rFonts w:ascii="David" w:eastAsia="Calibri" w:hAnsi="David" w:hint="eastAsia"/>
          <w:b/>
          <w:bCs/>
          <w:sz w:val="24"/>
          <w:rtl/>
        </w:rPr>
        <w:t>דבר</w:t>
      </w:r>
      <w:r w:rsidRPr="006946D3">
        <w:rPr>
          <w:rFonts w:ascii="David" w:eastAsia="Calibri" w:hAnsi="David"/>
          <w:b/>
          <w:bCs/>
          <w:sz w:val="24"/>
          <w:rtl/>
        </w:rPr>
        <w:t xml:space="preserve"> </w:t>
      </w:r>
      <w:r w:rsidRPr="006946D3">
        <w:rPr>
          <w:rFonts w:ascii="David" w:eastAsia="Calibri" w:hAnsi="David" w:hint="eastAsia"/>
          <w:b/>
          <w:bCs/>
          <w:sz w:val="24"/>
          <w:rtl/>
        </w:rPr>
        <w:t>האזנה</w:t>
      </w:r>
      <w:r w:rsidRPr="006946D3">
        <w:rPr>
          <w:rFonts w:ascii="David" w:eastAsia="Calibri" w:hAnsi="David" w:hint="cs"/>
          <w:b/>
          <w:bCs/>
          <w:sz w:val="24"/>
          <w:rtl/>
        </w:rPr>
        <w:t>.</w:t>
      </w:r>
      <w:r w:rsidRPr="006946D3">
        <w:rPr>
          <w:rFonts w:ascii="David" w:eastAsia="Calibri" w:hAnsi="David"/>
          <w:b/>
          <w:bCs/>
          <w:sz w:val="24"/>
          <w:rtl/>
        </w:rPr>
        <w:t xml:space="preserve"> </w:t>
      </w:r>
      <w:r w:rsidRPr="006946D3">
        <w:rPr>
          <w:rFonts w:ascii="David" w:eastAsia="Calibri" w:hAnsi="David" w:hint="eastAsia"/>
          <w:b/>
          <w:bCs/>
          <w:sz w:val="24"/>
          <w:rtl/>
        </w:rPr>
        <w:t>מסמך</w:t>
      </w:r>
      <w:r w:rsidRPr="006946D3">
        <w:rPr>
          <w:rFonts w:ascii="David" w:eastAsia="Calibri" w:hAnsi="David"/>
          <w:b/>
          <w:bCs/>
          <w:sz w:val="24"/>
          <w:rtl/>
        </w:rPr>
        <w:t xml:space="preserve"> </w:t>
      </w:r>
      <w:r w:rsidRPr="006946D3">
        <w:rPr>
          <w:rFonts w:ascii="David" w:eastAsia="Calibri" w:hAnsi="David" w:hint="eastAsia"/>
          <w:b/>
          <w:bCs/>
          <w:sz w:val="24"/>
          <w:rtl/>
        </w:rPr>
        <w:t>זה</w:t>
      </w:r>
      <w:r w:rsidRPr="006946D3">
        <w:rPr>
          <w:rFonts w:ascii="David" w:eastAsia="Calibri" w:hAnsi="David"/>
          <w:b/>
          <w:bCs/>
          <w:sz w:val="24"/>
          <w:rtl/>
        </w:rPr>
        <w:t xml:space="preserve"> </w:t>
      </w:r>
      <w:r w:rsidRPr="006946D3">
        <w:rPr>
          <w:rFonts w:ascii="David" w:eastAsia="Calibri" w:hAnsi="David" w:hint="eastAsia"/>
          <w:b/>
          <w:bCs/>
          <w:sz w:val="24"/>
          <w:rtl/>
        </w:rPr>
        <w:t>מבחינת</w:t>
      </w:r>
      <w:r w:rsidRPr="006946D3">
        <w:rPr>
          <w:rFonts w:ascii="David" w:eastAsia="Calibri" w:hAnsi="David"/>
          <w:b/>
          <w:bCs/>
          <w:sz w:val="24"/>
          <w:rtl/>
        </w:rPr>
        <w:t xml:space="preserve"> </w:t>
      </w:r>
      <w:r w:rsidRPr="006946D3">
        <w:rPr>
          <w:rFonts w:ascii="David" w:eastAsia="Calibri" w:hAnsi="David" w:hint="eastAsia"/>
          <w:b/>
          <w:bCs/>
          <w:sz w:val="24"/>
          <w:rtl/>
        </w:rPr>
        <w:t>הפירוט</w:t>
      </w:r>
      <w:r w:rsidRPr="006946D3">
        <w:rPr>
          <w:rFonts w:ascii="David" w:eastAsia="Calibri" w:hAnsi="David"/>
          <w:b/>
          <w:bCs/>
          <w:sz w:val="24"/>
          <w:rtl/>
        </w:rPr>
        <w:t xml:space="preserve"> </w:t>
      </w:r>
      <w:r w:rsidRPr="006946D3">
        <w:rPr>
          <w:rFonts w:ascii="David" w:eastAsia="Calibri" w:hAnsi="David" w:hint="eastAsia"/>
          <w:b/>
          <w:bCs/>
          <w:sz w:val="24"/>
          <w:rtl/>
        </w:rPr>
        <w:t>שבו</w:t>
      </w:r>
      <w:r w:rsidRPr="006946D3">
        <w:rPr>
          <w:rFonts w:ascii="David" w:eastAsia="Calibri" w:hAnsi="David"/>
          <w:b/>
          <w:bCs/>
          <w:sz w:val="24"/>
          <w:rtl/>
        </w:rPr>
        <w:t xml:space="preserve"> </w:t>
      </w:r>
      <w:r w:rsidRPr="006946D3">
        <w:rPr>
          <w:rFonts w:ascii="David" w:eastAsia="Calibri" w:hAnsi="David" w:hint="eastAsia"/>
          <w:b/>
          <w:bCs/>
          <w:sz w:val="24"/>
          <w:rtl/>
        </w:rPr>
        <w:t>אינו</w:t>
      </w:r>
      <w:r w:rsidRPr="006946D3">
        <w:rPr>
          <w:rFonts w:ascii="David" w:eastAsia="Calibri" w:hAnsi="David"/>
          <w:b/>
          <w:bCs/>
          <w:sz w:val="24"/>
          <w:rtl/>
        </w:rPr>
        <w:t xml:space="preserve"> </w:t>
      </w:r>
      <w:r w:rsidRPr="006946D3">
        <w:rPr>
          <w:rFonts w:ascii="David" w:eastAsia="Calibri" w:hAnsi="David" w:hint="eastAsia"/>
          <w:b/>
          <w:bCs/>
          <w:sz w:val="24"/>
          <w:rtl/>
        </w:rPr>
        <w:t>מקביל</w:t>
      </w:r>
      <w:r w:rsidRPr="006946D3">
        <w:rPr>
          <w:rFonts w:ascii="David" w:eastAsia="Calibri" w:hAnsi="David"/>
          <w:b/>
          <w:bCs/>
          <w:sz w:val="24"/>
          <w:rtl/>
        </w:rPr>
        <w:t xml:space="preserve"> </w:t>
      </w:r>
      <w:r w:rsidRPr="006946D3">
        <w:rPr>
          <w:rFonts w:ascii="David" w:eastAsia="Calibri" w:hAnsi="David" w:hint="eastAsia"/>
          <w:b/>
          <w:bCs/>
          <w:sz w:val="24"/>
          <w:rtl/>
        </w:rPr>
        <w:t>ליומני</w:t>
      </w:r>
      <w:r w:rsidRPr="006946D3">
        <w:rPr>
          <w:rFonts w:ascii="David" w:eastAsia="Calibri" w:hAnsi="David"/>
          <w:b/>
          <w:bCs/>
          <w:sz w:val="24"/>
          <w:rtl/>
        </w:rPr>
        <w:t xml:space="preserve"> </w:t>
      </w:r>
      <w:r w:rsidRPr="006946D3">
        <w:rPr>
          <w:rFonts w:ascii="David" w:eastAsia="Calibri" w:hAnsi="David" w:hint="eastAsia"/>
          <w:b/>
          <w:bCs/>
          <w:sz w:val="24"/>
          <w:rtl/>
        </w:rPr>
        <w:t>ההפקה</w:t>
      </w:r>
      <w:r w:rsidRPr="006946D3">
        <w:rPr>
          <w:rFonts w:ascii="David" w:eastAsia="Calibri" w:hAnsi="David" w:hint="cs"/>
          <w:sz w:val="24"/>
          <w:rtl/>
        </w:rPr>
        <w:t xml:space="preserve">. </w:t>
      </w:r>
    </w:p>
    <w:p w:rsidR="004B50FC" w:rsidRDefault="004B50FC" w:rsidP="005A0F21">
      <w:pPr>
        <w:spacing w:line="269" w:lineRule="auto"/>
        <w:ind w:left="423"/>
        <w:rPr>
          <w:rFonts w:eastAsia="Calibri"/>
          <w:sz w:val="16"/>
          <w:szCs w:val="16"/>
          <w:rtl/>
        </w:rPr>
      </w:pPr>
    </w:p>
    <w:p w:rsidR="004B50FC"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 xml:space="preserve">יוצא אפוא כי הפרקליטות לא בחנה את הרחבת הנחיית </w:t>
      </w:r>
      <w:r w:rsidR="005B7BB5">
        <w:rPr>
          <w:rFonts w:ascii="David" w:eastAsia="Calibri" w:hAnsi="David" w:hint="cs"/>
          <w:b/>
          <w:bCs/>
          <w:sz w:val="24"/>
          <w:rtl/>
        </w:rPr>
        <w:t>הייעוץ המשפטי לממשלה</w:t>
      </w:r>
      <w:r w:rsidRPr="006946D3">
        <w:rPr>
          <w:rFonts w:ascii="David" w:eastAsia="Calibri" w:hAnsi="David" w:hint="cs"/>
          <w:b/>
          <w:bCs/>
          <w:sz w:val="24"/>
          <w:rtl/>
        </w:rPr>
        <w:t xml:space="preserve"> משנת 2010, המחייבת כי כל הפרקליטים בפרקליטויות המחוז יהיו חשופים ליומני ההפקה הפרטניים של האזנות סתר לאמצעי תקשורת קוויים או סלולריים, כך שתותאם גם להאזנות סתר לתקשורת בין מחשבים. במצב דברים זה הפרקליטים אינם יכולים לממש את תפקידם - ביצוע פיקוח יעיל ואפקטיבי על פעולת המשטרה בתחום האזנת סתר לתקשורת בין מחשבים, וניטל מידי גורמי התביעה מידע מפורט ורלוונטי לישיבות החסיונות. כמו כן נמצא כי העברת יומני ההפקה למחוזות הפרקליטות אף לא עוגנה בנוהל כפי שהנחה </w:t>
      </w:r>
      <w:r w:rsidR="001F5776">
        <w:rPr>
          <w:rFonts w:ascii="David" w:eastAsia="Calibri" w:hAnsi="David" w:hint="cs"/>
          <w:b/>
          <w:bCs/>
          <w:sz w:val="24"/>
          <w:rtl/>
        </w:rPr>
        <w:t>הייעוץ המשפטי</w:t>
      </w:r>
      <w:r w:rsidRPr="006946D3">
        <w:rPr>
          <w:rFonts w:ascii="David" w:eastAsia="Calibri" w:hAnsi="David" w:hint="cs"/>
          <w:b/>
          <w:bCs/>
          <w:sz w:val="24"/>
          <w:rtl/>
        </w:rPr>
        <w:t xml:space="preserve"> לממשלה.</w:t>
      </w:r>
    </w:p>
    <w:p w:rsidR="006946D3" w:rsidRPr="006946D3" w:rsidRDefault="006946D3" w:rsidP="005A0F21">
      <w:pPr>
        <w:spacing w:line="269" w:lineRule="auto"/>
        <w:ind w:left="720"/>
        <w:jc w:val="center"/>
        <w:rPr>
          <w:rFonts w:ascii="Arial" w:eastAsia="Calibri" w:hAnsi="Arial" w:cs="Arial"/>
          <w:b/>
          <w:bCs/>
          <w:sz w:val="36"/>
          <w:rtl/>
        </w:rPr>
      </w:pPr>
      <w:r w:rsidRPr="006946D3">
        <w:rPr>
          <w:rFonts w:ascii="Segoe UI Symbol" w:eastAsia="Calibri" w:hAnsi="Segoe UI Symbol" w:cs="Segoe UI Symbol" w:hint="cs"/>
          <w:b/>
          <w:bCs/>
          <w:sz w:val="36"/>
          <w:rtl/>
        </w:rPr>
        <w:t>✰</w:t>
      </w:r>
    </w:p>
    <w:p w:rsidR="004B50FC" w:rsidRDefault="004B50FC" w:rsidP="005A0F21">
      <w:pPr>
        <w:spacing w:line="269" w:lineRule="auto"/>
        <w:ind w:left="296"/>
        <w:rPr>
          <w:rFonts w:eastAsia="Calibri"/>
          <w:szCs w:val="20"/>
          <w:rtl/>
        </w:rPr>
      </w:pPr>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 xml:space="preserve">מממצאיו של פרק זה עולה כי עד לפרסום "פרשת פגסוס" </w:t>
      </w:r>
      <w:r w:rsidRPr="006946D3">
        <w:rPr>
          <w:rFonts w:ascii="David" w:eastAsia="Calibri" w:hAnsi="David"/>
          <w:b/>
          <w:bCs/>
          <w:sz w:val="24"/>
          <w:rtl/>
        </w:rPr>
        <w:t xml:space="preserve">בינואר 2022 </w:t>
      </w:r>
      <w:r w:rsidRPr="006946D3">
        <w:rPr>
          <w:rFonts w:ascii="David" w:eastAsia="Calibri" w:hAnsi="David" w:hint="cs"/>
          <w:b/>
          <w:bCs/>
          <w:sz w:val="24"/>
          <w:rtl/>
        </w:rPr>
        <w:t xml:space="preserve">לא זו בלבד שהפרקליטים המטפלים בתיקים שבהם התבקשו חסיונות לא הכירו את מלוא היכולות של </w:t>
      </w:r>
      <w:r w:rsidR="00BC7AF0">
        <w:rPr>
          <w:rFonts w:ascii="David" w:eastAsia="Calibri" w:hAnsi="David" w:hint="cs"/>
          <w:b/>
          <w:bCs/>
          <w:sz w:val="24"/>
          <w:rtl/>
        </w:rPr>
        <w:t xml:space="preserve"> </w:t>
      </w:r>
      <w:r w:rsidRPr="006946D3">
        <w:rPr>
          <w:rFonts w:ascii="David" w:eastAsia="Calibri" w:hAnsi="David" w:hint="cs"/>
          <w:b/>
          <w:bCs/>
          <w:sz w:val="24"/>
          <w:rtl/>
        </w:rPr>
        <w:t xml:space="preserve">הכלים הטכנולוגיים המיוחדים ובכלל זה של </w:t>
      </w:r>
      <w:r w:rsidR="003452FC">
        <w:rPr>
          <w:rFonts w:ascii="David" w:eastAsia="Calibri" w:hAnsi="David" w:hint="cs"/>
          <w:b/>
          <w:bCs/>
          <w:sz w:val="24"/>
          <w:rtl/>
        </w:rPr>
        <w:t>הכלים</w:t>
      </w:r>
      <w:r w:rsidRPr="006946D3">
        <w:rPr>
          <w:rFonts w:ascii="David" w:eastAsia="Calibri" w:hAnsi="David" w:hint="cs"/>
          <w:b/>
          <w:bCs/>
          <w:sz w:val="24"/>
          <w:rtl/>
        </w:rPr>
        <w:t xml:space="preserve"> שהשתמשו בה</w:t>
      </w:r>
      <w:r w:rsidR="003452FC">
        <w:rPr>
          <w:rFonts w:ascii="David" w:eastAsia="Calibri" w:hAnsi="David" w:hint="cs"/>
          <w:b/>
          <w:bCs/>
          <w:sz w:val="24"/>
          <w:rtl/>
        </w:rPr>
        <w:t>ם</w:t>
      </w:r>
      <w:r w:rsidRPr="006946D3">
        <w:rPr>
          <w:rFonts w:ascii="David" w:eastAsia="Calibri" w:hAnsi="David" w:hint="cs"/>
          <w:b/>
          <w:bCs/>
          <w:sz w:val="24"/>
          <w:rtl/>
        </w:rPr>
        <w:t>, אלא שגם פרקליטי המחוזות לא הכירו אות</w:t>
      </w:r>
      <w:r w:rsidR="003452FC">
        <w:rPr>
          <w:rFonts w:ascii="David" w:eastAsia="Calibri" w:hAnsi="David" w:hint="cs"/>
          <w:b/>
          <w:bCs/>
          <w:sz w:val="24"/>
          <w:rtl/>
        </w:rPr>
        <w:t>ם</w:t>
      </w:r>
      <w:r w:rsidRPr="006946D3">
        <w:rPr>
          <w:rFonts w:ascii="David" w:eastAsia="Calibri" w:hAnsi="David" w:hint="cs"/>
          <w:b/>
          <w:bCs/>
          <w:sz w:val="24"/>
          <w:rtl/>
        </w:rPr>
        <w:t xml:space="preserve">. </w:t>
      </w:r>
    </w:p>
    <w:p w:rsidR="004B50FC" w:rsidRPr="005A0F21" w:rsidRDefault="004B50FC" w:rsidP="005A0F21">
      <w:pPr>
        <w:spacing w:line="269" w:lineRule="auto"/>
        <w:ind w:left="423"/>
        <w:rPr>
          <w:rFonts w:ascii="David" w:eastAsia="Calibri" w:hAnsi="David"/>
          <w:b/>
          <w:bCs/>
          <w:sz w:val="24"/>
          <w:rtl/>
        </w:rPr>
      </w:pPr>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 xml:space="preserve">על המשטרה לעדכן את פרקליטי המחוז במסגרת ישיבת החסיונות בכלים הטכנולוגיים שהיא </w:t>
      </w:r>
      <w:r w:rsidRPr="00B85472">
        <w:rPr>
          <w:rFonts w:ascii="David" w:eastAsia="Calibri" w:hAnsi="David" w:hint="cs"/>
          <w:b/>
          <w:bCs/>
          <w:sz w:val="24"/>
          <w:rtl/>
        </w:rPr>
        <w:t xml:space="preserve">משתמשת בהם </w:t>
      </w:r>
      <w:r w:rsidR="00F22704" w:rsidRPr="00BB075D">
        <w:rPr>
          <w:rFonts w:ascii="David" w:eastAsia="Calibri" w:hAnsi="David" w:hint="cs"/>
          <w:b/>
          <w:bCs/>
          <w:sz w:val="24"/>
          <w:rtl/>
        </w:rPr>
        <w:t xml:space="preserve">להתקנת כלים טכנולוגיים על </w:t>
      </w:r>
      <w:r w:rsidRPr="00BB075D">
        <w:rPr>
          <w:rFonts w:ascii="David" w:eastAsia="Calibri" w:hAnsi="David" w:hint="cs"/>
          <w:b/>
          <w:bCs/>
          <w:sz w:val="24"/>
          <w:rtl/>
        </w:rPr>
        <w:t>מכשירי קצה</w:t>
      </w:r>
      <w:r w:rsidRPr="006946D3">
        <w:rPr>
          <w:rFonts w:ascii="David" w:eastAsia="Calibri" w:hAnsi="David" w:hint="cs"/>
          <w:b/>
          <w:bCs/>
          <w:sz w:val="24"/>
          <w:rtl/>
        </w:rPr>
        <w:t xml:space="preserve"> לצורך ביצוע האזנות סתר לתקשורת בין מחשבים. אם פרקליטי המחוז יכירו את יכולותיהם של כלים אלו ובפרט את מגבלותיהם, הם יוכלו למלא כראוי את תפקידם כנדרש במסגרת ישיבת החסיונות, ובכלל זה להביא לידיעת הנאשם מידע אשר יכול לשמש להגנתו.</w:t>
      </w:r>
    </w:p>
    <w:p w:rsidR="004B50FC" w:rsidRPr="005A0F21" w:rsidRDefault="004B50FC" w:rsidP="005A0F21">
      <w:pPr>
        <w:spacing w:line="269" w:lineRule="auto"/>
        <w:ind w:left="423"/>
        <w:rPr>
          <w:rFonts w:ascii="David" w:eastAsia="Calibri" w:hAnsi="David"/>
          <w:b/>
          <w:bCs/>
          <w:sz w:val="24"/>
          <w:rtl/>
        </w:rPr>
      </w:pPr>
    </w:p>
    <w:p w:rsidR="006946D3" w:rsidRPr="006946D3" w:rsidRDefault="006946D3" w:rsidP="005A0F21">
      <w:pPr>
        <w:spacing w:line="269" w:lineRule="auto"/>
        <w:ind w:left="423"/>
        <w:rPr>
          <w:rFonts w:ascii="David" w:eastAsia="Calibri" w:hAnsi="David"/>
          <w:b/>
          <w:bCs/>
          <w:sz w:val="24"/>
          <w:rtl/>
        </w:rPr>
      </w:pPr>
      <w:r w:rsidRPr="006946D3">
        <w:rPr>
          <w:rFonts w:ascii="David" w:eastAsia="Calibri" w:hAnsi="David" w:hint="cs"/>
          <w:b/>
          <w:bCs/>
          <w:sz w:val="24"/>
          <w:rtl/>
        </w:rPr>
        <w:t>על הפרקליטות והמשטרה להשלים את כתיבת הנחיית פרקליט המדינה בנוגע לאופן הפיקוח של התביעה על עבודת המשטרה בנושא האזנות סתר ולתקפה באופן שיכלול את חובת הצגת יומני ההפקה גם בנוגע</w:t>
      </w:r>
      <w:r w:rsidR="00382AE8">
        <w:rPr>
          <w:rFonts w:ascii="David" w:eastAsia="Calibri" w:hAnsi="David" w:hint="cs"/>
          <w:b/>
          <w:bCs/>
          <w:sz w:val="24"/>
          <w:rtl/>
        </w:rPr>
        <w:t xml:space="preserve"> </w:t>
      </w:r>
      <w:r w:rsidRPr="006946D3">
        <w:rPr>
          <w:rFonts w:ascii="David" w:eastAsia="Calibri" w:hAnsi="David" w:hint="cs"/>
          <w:b/>
          <w:bCs/>
          <w:sz w:val="24"/>
          <w:rtl/>
        </w:rPr>
        <w:t>להאזנות הסתר לתקשורת בין מחשבים במסגרת ישיבת חסיונות. על המשטרה לוודא כי כל שימוש בכלים טכנולוגיים להאזנת סתר מתועד באמצעות יומני הפקה מלאים. פיקוח כאמור מצד הרשות התובעת יבטיח כי השימוש שנעשה בכלי טכנולוגי אינו חורג מסמכות המשטרה, וכי מלאכת המיון והסיווג של חומרי האזנות הסתר נעשית בהתאם לכללים שנקבעו בפסיקה, תוך שמירה על זכותו של הנאשם לעיין בתוצרי האזנות הסתר הרלוונטיים לאישום המיוחס לו ולהגן על עצמו.</w:t>
      </w:r>
    </w:p>
    <w:p w:rsidR="009160F3" w:rsidRDefault="009160F3" w:rsidP="000372F7">
      <w:pPr>
        <w:pStyle w:val="2"/>
        <w:numPr>
          <w:ilvl w:val="0"/>
          <w:numId w:val="79"/>
        </w:numPr>
        <w:spacing w:before="0" w:line="269" w:lineRule="auto"/>
        <w:rPr>
          <w:rFonts w:eastAsia="Times New Roman"/>
          <w:rtl/>
        </w:rPr>
      </w:pPr>
      <w:bookmarkStart w:id="693" w:name="_Toc219286581"/>
      <w:bookmarkStart w:id="694" w:name="_Hlk196638024"/>
      <w:bookmarkEnd w:id="682"/>
      <w:r w:rsidRPr="00ED09F7">
        <w:rPr>
          <w:rFonts w:eastAsia="Times New Roman"/>
          <w:rtl/>
        </w:rPr>
        <w:t>הסדרה חקיקתית של השימוש בכלי האזנות סתר ונתוני תקשורת</w:t>
      </w:r>
      <w:bookmarkEnd w:id="693"/>
      <w:r w:rsidRPr="00ED09F7">
        <w:rPr>
          <w:rFonts w:eastAsia="Times New Roman"/>
          <w:rtl/>
        </w:rPr>
        <w:t xml:space="preserve"> </w:t>
      </w:r>
      <w:bookmarkEnd w:id="694"/>
    </w:p>
    <w:p w:rsidR="004B50FC" w:rsidRDefault="004B50FC" w:rsidP="00604C3D">
      <w:pPr>
        <w:spacing w:line="269" w:lineRule="auto"/>
        <w:rPr>
          <w:sz w:val="16"/>
          <w:szCs w:val="16"/>
          <w:rtl/>
        </w:rPr>
      </w:pPr>
    </w:p>
    <w:p w:rsidR="009160F3" w:rsidRDefault="009160F3" w:rsidP="00604C3D">
      <w:pPr>
        <w:spacing w:line="269" w:lineRule="auto"/>
        <w:rPr>
          <w:rFonts w:ascii="David" w:hAnsi="David"/>
          <w:sz w:val="24"/>
          <w:rtl/>
        </w:rPr>
      </w:pPr>
      <w:r>
        <w:rPr>
          <w:rFonts w:ascii="David" w:hAnsi="David" w:hint="cs"/>
          <w:sz w:val="24"/>
          <w:rtl/>
        </w:rPr>
        <w:t xml:space="preserve">לצורך מאבקה של המשטרה בפשיעה ולצורך שיפור פעולתה בתחום האכיפה, היא משתמשת לעיתים בכלים טכנולוגיים חדשניים, בעלי יכולות מיוחדות ומתקדמות. אולם בפעולות המבוצעות באמצעות </w:t>
      </w:r>
      <w:r w:rsidRPr="00FE3940">
        <w:rPr>
          <w:rFonts w:ascii="David" w:hAnsi="David" w:hint="eastAsia"/>
          <w:sz w:val="24"/>
          <w:rtl/>
        </w:rPr>
        <w:t>כלים</w:t>
      </w:r>
      <w:r>
        <w:rPr>
          <w:rFonts w:ascii="David" w:hAnsi="David" w:hint="cs"/>
          <w:sz w:val="24"/>
          <w:rtl/>
        </w:rPr>
        <w:t xml:space="preserve"> אלו גלום פוטנציאל לפגיעה עמוקה ונרחבת בפרטיות של חשודים ונאשמים ובמקרים מסוימים גם בזכויותיהם. </w:t>
      </w:r>
    </w:p>
    <w:p w:rsidR="004B50FC" w:rsidRDefault="004B50FC" w:rsidP="00604C3D">
      <w:pPr>
        <w:spacing w:line="269" w:lineRule="auto"/>
        <w:rPr>
          <w:sz w:val="16"/>
          <w:szCs w:val="16"/>
          <w:rtl/>
        </w:rPr>
      </w:pPr>
    </w:p>
    <w:p w:rsidR="009160F3" w:rsidRDefault="009160F3" w:rsidP="00604C3D">
      <w:pPr>
        <w:spacing w:line="269" w:lineRule="auto"/>
        <w:rPr>
          <w:rFonts w:ascii="David" w:hAnsi="David"/>
          <w:sz w:val="24"/>
          <w:rtl/>
        </w:rPr>
      </w:pPr>
      <w:r>
        <w:rPr>
          <w:rFonts w:ascii="David" w:hAnsi="David" w:hint="cs"/>
          <w:sz w:val="24"/>
          <w:rtl/>
        </w:rPr>
        <w:t xml:space="preserve">הסדרת השימוש בכלים טכנולוגיים באמצעות חקיקה מצריכה עבודת מטה של המשטרה, בשיתוף </w:t>
      </w:r>
      <w:r w:rsidR="00844501">
        <w:rPr>
          <w:rFonts w:ascii="David" w:hAnsi="David" w:hint="cs"/>
          <w:sz w:val="24"/>
          <w:rtl/>
        </w:rPr>
        <w:t>הייעוץ המשפטי לממשלה</w:t>
      </w:r>
      <w:r w:rsidR="00406559">
        <w:rPr>
          <w:rFonts w:ascii="David" w:hAnsi="David" w:hint="cs"/>
          <w:sz w:val="24"/>
          <w:rtl/>
        </w:rPr>
        <w:t xml:space="preserve"> במשרד המשפטים</w:t>
      </w:r>
      <w:r>
        <w:rPr>
          <w:rFonts w:ascii="David" w:hAnsi="David" w:hint="cs"/>
          <w:sz w:val="24"/>
          <w:rtl/>
        </w:rPr>
        <w:t>. על עבודת מטה זו לכלול איסוף נתונים וגיבוש תשתית עובדתית בנוגע להצעת החוק ולהשלכותיה, ובכלל זה יש לבחון אם הסדרה זו עלולה להביא לפגיעה בזכויות אדם מוגנות. לאחר קבלת אישור מהמשנה ליועמ"ש לממשלה (פלילי)</w:t>
      </w:r>
      <w:r w:rsidDel="00D36333">
        <w:rPr>
          <w:rFonts w:ascii="David" w:hAnsi="David" w:hint="cs"/>
          <w:sz w:val="24"/>
          <w:rtl/>
        </w:rPr>
        <w:t xml:space="preserve"> </w:t>
      </w:r>
      <w:r>
        <w:rPr>
          <w:rFonts w:ascii="David" w:hAnsi="David" w:hint="cs"/>
          <w:sz w:val="24"/>
          <w:rtl/>
        </w:rPr>
        <w:t>כי אין מניעה משפטית להגשת טיוטת החוק, יש להגיש את הטיוטה לוועדת השרים לענייני חקיקה לצורך פרסום ההצעה ברשומות בחוברת הצעות החוק של הממשלה ולהניחה על שולחן הכנסת להמשך הליך החקיקה ברשות המחוקקת</w:t>
      </w:r>
      <w:r>
        <w:rPr>
          <w:rStyle w:val="af"/>
          <w:rFonts w:ascii="David" w:hAnsi="David"/>
          <w:sz w:val="24"/>
          <w:rtl/>
        </w:rPr>
        <w:footnoteReference w:id="339"/>
      </w:r>
      <w:r>
        <w:rPr>
          <w:rFonts w:ascii="David" w:hAnsi="David" w:hint="cs"/>
          <w:sz w:val="24"/>
          <w:rtl/>
        </w:rPr>
        <w:t>.</w:t>
      </w:r>
    </w:p>
    <w:p w:rsidR="009160F3" w:rsidRDefault="009160F3" w:rsidP="00604C3D">
      <w:pPr>
        <w:spacing w:line="269" w:lineRule="auto"/>
        <w:rPr>
          <w:rFonts w:ascii="David" w:hAnsi="David"/>
          <w:sz w:val="24"/>
          <w:rtl/>
        </w:rPr>
      </w:pPr>
    </w:p>
    <w:p w:rsidR="009160F3" w:rsidRDefault="009160F3" w:rsidP="00604C3D">
      <w:pPr>
        <w:spacing w:line="269" w:lineRule="auto"/>
        <w:rPr>
          <w:rFonts w:ascii="David" w:hAnsi="David"/>
          <w:sz w:val="24"/>
          <w:rtl/>
        </w:rPr>
      </w:pPr>
      <w:r>
        <w:rPr>
          <w:rFonts w:ascii="David" w:hAnsi="David" w:hint="cs"/>
          <w:sz w:val="24"/>
          <w:rtl/>
        </w:rPr>
        <w:t>השלב המקדמי של הפצת תזכיר חוק להערות הציבור מתבצע לאחר שאישר זאת</w:t>
      </w:r>
      <w:r w:rsidR="00382AE8">
        <w:rPr>
          <w:rFonts w:ascii="David" w:hAnsi="David" w:hint="cs"/>
          <w:sz w:val="24"/>
          <w:rtl/>
        </w:rPr>
        <w:t xml:space="preserve"> </w:t>
      </w:r>
      <w:r>
        <w:rPr>
          <w:rFonts w:ascii="David" w:hAnsi="David" w:hint="cs"/>
          <w:sz w:val="24"/>
          <w:rtl/>
        </w:rPr>
        <w:t>השר הממונה על החוק או על תזכיר החוק, לפי העניין. עוד יצוין כי הנחת הצעת חוק על שולחן ועדת השרים לענייני חקיקה בנושא השימוש שעושה המשטרה בכלי האזנות סתר ונתוני תקשורת תלויה, בין היתר, בסדרי העדיפויות של השר הממונה על חוק האזנת סתר ו</w:t>
      </w:r>
      <w:r w:rsidR="00734F54">
        <w:rPr>
          <w:rFonts w:ascii="David" w:hAnsi="David" w:hint="cs"/>
          <w:sz w:val="24"/>
          <w:rtl/>
        </w:rPr>
        <w:t xml:space="preserve">היא </w:t>
      </w:r>
      <w:r>
        <w:rPr>
          <w:rFonts w:ascii="David" w:hAnsi="David" w:hint="cs"/>
          <w:sz w:val="24"/>
          <w:rtl/>
        </w:rPr>
        <w:t>נעשית לאחר תיעדוף הנושאים העומדים להחלטתו ולאישורו.</w:t>
      </w:r>
    </w:p>
    <w:p w:rsidR="00A430DA" w:rsidRDefault="00A430DA" w:rsidP="00604C3D">
      <w:pPr>
        <w:spacing w:line="269" w:lineRule="auto"/>
        <w:rPr>
          <w:rFonts w:ascii="David" w:hAnsi="David"/>
          <w:sz w:val="24"/>
          <w:rtl/>
        </w:rPr>
      </w:pPr>
    </w:p>
    <w:p w:rsidR="009160F3" w:rsidRPr="00AB7A51" w:rsidRDefault="009160F3" w:rsidP="00604C3D">
      <w:pPr>
        <w:spacing w:line="269" w:lineRule="auto"/>
        <w:rPr>
          <w:rFonts w:ascii="David" w:hAnsi="David"/>
          <w:sz w:val="24"/>
          <w:rtl/>
        </w:rPr>
      </w:pPr>
      <w:r w:rsidRPr="00AB7A51">
        <w:rPr>
          <w:rFonts w:ascii="David" w:hAnsi="David" w:hint="eastAsia"/>
          <w:sz w:val="24"/>
          <w:rtl/>
        </w:rPr>
        <w:t>המשטרה</w:t>
      </w:r>
      <w:r w:rsidRPr="00AB7A51">
        <w:rPr>
          <w:rFonts w:ascii="David" w:hAnsi="David"/>
          <w:sz w:val="24"/>
          <w:rtl/>
        </w:rPr>
        <w:t xml:space="preserve"> </w:t>
      </w:r>
      <w:r w:rsidRPr="00AB7A51">
        <w:rPr>
          <w:rFonts w:ascii="David" w:hAnsi="David" w:hint="eastAsia"/>
          <w:sz w:val="24"/>
          <w:rtl/>
        </w:rPr>
        <w:t>כתבה</w:t>
      </w:r>
      <w:r w:rsidRPr="00AB7A51">
        <w:rPr>
          <w:rFonts w:ascii="David" w:hAnsi="David"/>
          <w:sz w:val="24"/>
          <w:rtl/>
        </w:rPr>
        <w:t xml:space="preserve"> </w:t>
      </w:r>
      <w:r w:rsidRPr="00AB7A51">
        <w:rPr>
          <w:rFonts w:ascii="David" w:hAnsi="David" w:hint="eastAsia"/>
          <w:sz w:val="24"/>
          <w:rtl/>
        </w:rPr>
        <w:t>בתשובתה</w:t>
      </w:r>
      <w:r w:rsidRPr="00AB7A51">
        <w:rPr>
          <w:rFonts w:ascii="David" w:hAnsi="David"/>
          <w:sz w:val="24"/>
          <w:rtl/>
        </w:rPr>
        <w:t xml:space="preserve"> </w:t>
      </w:r>
      <w:r w:rsidRPr="00AB7A51">
        <w:rPr>
          <w:rFonts w:ascii="David" w:hAnsi="David" w:hint="eastAsia"/>
          <w:sz w:val="24"/>
          <w:rtl/>
        </w:rPr>
        <w:t>כי</w:t>
      </w:r>
      <w:r w:rsidRPr="00AB7A51">
        <w:rPr>
          <w:rFonts w:ascii="David" w:hAnsi="David"/>
          <w:sz w:val="24"/>
          <w:rtl/>
        </w:rPr>
        <w:t xml:space="preserve"> "הטכנולוגיה </w:t>
      </w:r>
      <w:r w:rsidRPr="00AB7A51">
        <w:rPr>
          <w:rFonts w:ascii="David" w:hAnsi="David" w:hint="eastAsia"/>
          <w:sz w:val="24"/>
          <w:rtl/>
        </w:rPr>
        <w:t>המתקדמת</w:t>
      </w:r>
      <w:r w:rsidRPr="00AB7A51">
        <w:rPr>
          <w:rFonts w:ascii="David" w:hAnsi="David"/>
          <w:sz w:val="24"/>
          <w:rtl/>
        </w:rPr>
        <w:t xml:space="preserve"> </w:t>
      </w:r>
      <w:r w:rsidRPr="00AB7A51">
        <w:rPr>
          <w:rFonts w:ascii="David" w:hAnsi="David" w:hint="eastAsia"/>
          <w:sz w:val="24"/>
          <w:rtl/>
        </w:rPr>
        <w:t>מזמנת</w:t>
      </w:r>
      <w:r w:rsidRPr="00AB7A51">
        <w:rPr>
          <w:rFonts w:ascii="David" w:hAnsi="David"/>
          <w:sz w:val="24"/>
          <w:rtl/>
        </w:rPr>
        <w:t xml:space="preserve"> </w:t>
      </w:r>
      <w:r w:rsidRPr="00AB7A51">
        <w:rPr>
          <w:rFonts w:ascii="David" w:hAnsi="David" w:hint="eastAsia"/>
          <w:sz w:val="24"/>
          <w:rtl/>
        </w:rPr>
        <w:t>אתגרים</w:t>
      </w:r>
      <w:r w:rsidRPr="00AB7A51">
        <w:rPr>
          <w:rFonts w:ascii="David" w:hAnsi="David"/>
          <w:sz w:val="24"/>
          <w:rtl/>
        </w:rPr>
        <w:t xml:space="preserve"> </w:t>
      </w:r>
      <w:r w:rsidRPr="00AB7A51">
        <w:rPr>
          <w:rFonts w:ascii="David" w:hAnsi="David" w:hint="eastAsia"/>
          <w:sz w:val="24"/>
          <w:rtl/>
        </w:rPr>
        <w:t>משפטיים</w:t>
      </w:r>
      <w:r w:rsidRPr="00AB7A51">
        <w:rPr>
          <w:rFonts w:ascii="David" w:hAnsi="David"/>
          <w:sz w:val="24"/>
          <w:rtl/>
        </w:rPr>
        <w:t xml:space="preserve">. </w:t>
      </w:r>
      <w:r w:rsidRPr="00AB7A51">
        <w:rPr>
          <w:rFonts w:ascii="David" w:hAnsi="David" w:hint="eastAsia"/>
          <w:sz w:val="24"/>
          <w:rtl/>
        </w:rPr>
        <w:t>בעוד</w:t>
      </w:r>
      <w:r w:rsidRPr="00AB7A51">
        <w:rPr>
          <w:rFonts w:ascii="David" w:hAnsi="David"/>
          <w:sz w:val="24"/>
          <w:rtl/>
        </w:rPr>
        <w:t xml:space="preserve"> </w:t>
      </w:r>
      <w:r w:rsidRPr="00AB7A51">
        <w:rPr>
          <w:rFonts w:ascii="David" w:hAnsi="David" w:hint="eastAsia"/>
          <w:sz w:val="24"/>
          <w:rtl/>
        </w:rPr>
        <w:t>עולם</w:t>
      </w:r>
      <w:r w:rsidRPr="00AB7A51">
        <w:rPr>
          <w:rFonts w:ascii="David" w:hAnsi="David"/>
          <w:sz w:val="24"/>
          <w:rtl/>
        </w:rPr>
        <w:t xml:space="preserve"> </w:t>
      </w:r>
      <w:r w:rsidRPr="00AB7A51">
        <w:rPr>
          <w:rFonts w:ascii="David" w:hAnsi="David" w:hint="eastAsia"/>
          <w:sz w:val="24"/>
          <w:rtl/>
        </w:rPr>
        <w:t>המשפט</w:t>
      </w:r>
      <w:r w:rsidRPr="00AB7A51">
        <w:rPr>
          <w:rFonts w:ascii="David" w:hAnsi="David"/>
          <w:sz w:val="24"/>
          <w:rtl/>
        </w:rPr>
        <w:t xml:space="preserve"> </w:t>
      </w:r>
      <w:r w:rsidRPr="00AB7A51">
        <w:rPr>
          <w:rFonts w:ascii="David" w:hAnsi="David" w:hint="eastAsia"/>
          <w:sz w:val="24"/>
          <w:rtl/>
        </w:rPr>
        <w:t>לומד</w:t>
      </w:r>
      <w:r w:rsidRPr="00AB7A51">
        <w:rPr>
          <w:rFonts w:ascii="David" w:hAnsi="David"/>
          <w:sz w:val="24"/>
          <w:rtl/>
        </w:rPr>
        <w:t xml:space="preserve"> </w:t>
      </w:r>
      <w:r w:rsidRPr="00AB7A51">
        <w:rPr>
          <w:rFonts w:ascii="David" w:hAnsi="David" w:hint="eastAsia"/>
          <w:sz w:val="24"/>
          <w:rtl/>
        </w:rPr>
        <w:t>את</w:t>
      </w:r>
      <w:r w:rsidRPr="00AB7A51">
        <w:rPr>
          <w:rFonts w:ascii="David" w:hAnsi="David"/>
          <w:sz w:val="24"/>
          <w:rtl/>
        </w:rPr>
        <w:t xml:space="preserve"> </w:t>
      </w:r>
      <w:r w:rsidRPr="00AB7A51">
        <w:rPr>
          <w:rFonts w:ascii="David" w:hAnsi="David" w:hint="eastAsia"/>
          <w:sz w:val="24"/>
          <w:rtl/>
        </w:rPr>
        <w:t>הטכנולוגיה</w:t>
      </w:r>
      <w:r w:rsidRPr="00AB7A51">
        <w:rPr>
          <w:rFonts w:ascii="David" w:hAnsi="David"/>
          <w:sz w:val="24"/>
          <w:rtl/>
        </w:rPr>
        <w:t xml:space="preserve">, </w:t>
      </w:r>
      <w:r w:rsidRPr="00AB7A51">
        <w:rPr>
          <w:rFonts w:ascii="David" w:hAnsi="David" w:hint="eastAsia"/>
          <w:sz w:val="24"/>
          <w:rtl/>
        </w:rPr>
        <w:t>זו</w:t>
      </w:r>
      <w:r w:rsidRPr="00AB7A51">
        <w:rPr>
          <w:rFonts w:ascii="David" w:hAnsi="David"/>
          <w:sz w:val="24"/>
          <w:rtl/>
        </w:rPr>
        <w:t xml:space="preserve"> </w:t>
      </w:r>
      <w:r w:rsidRPr="00AB7A51">
        <w:rPr>
          <w:rFonts w:ascii="David" w:hAnsi="David" w:hint="eastAsia"/>
          <w:sz w:val="24"/>
          <w:rtl/>
        </w:rPr>
        <w:t>הופכת</w:t>
      </w:r>
      <w:r w:rsidRPr="00AB7A51">
        <w:rPr>
          <w:rFonts w:ascii="David" w:hAnsi="David"/>
          <w:sz w:val="24"/>
          <w:rtl/>
        </w:rPr>
        <w:t xml:space="preserve"> </w:t>
      </w:r>
      <w:r w:rsidRPr="00AB7A51">
        <w:rPr>
          <w:rFonts w:ascii="David" w:hAnsi="David" w:hint="eastAsia"/>
          <w:sz w:val="24"/>
          <w:rtl/>
        </w:rPr>
        <w:t>למיושנת</w:t>
      </w:r>
      <w:r w:rsidRPr="00AB7A51">
        <w:rPr>
          <w:rFonts w:ascii="David" w:hAnsi="David"/>
          <w:sz w:val="24"/>
          <w:rtl/>
        </w:rPr>
        <w:t xml:space="preserve">, </w:t>
      </w:r>
      <w:r w:rsidRPr="00AB7A51">
        <w:rPr>
          <w:rFonts w:ascii="David" w:hAnsi="David" w:hint="eastAsia"/>
          <w:sz w:val="24"/>
          <w:rtl/>
        </w:rPr>
        <w:t>וטכנולוגיה</w:t>
      </w:r>
      <w:r w:rsidRPr="00AB7A51">
        <w:rPr>
          <w:rFonts w:ascii="David" w:hAnsi="David"/>
          <w:sz w:val="24"/>
          <w:rtl/>
        </w:rPr>
        <w:t xml:space="preserve"> </w:t>
      </w:r>
      <w:r w:rsidRPr="00AB7A51">
        <w:rPr>
          <w:rFonts w:ascii="David" w:hAnsi="David" w:hint="eastAsia"/>
          <w:sz w:val="24"/>
          <w:rtl/>
        </w:rPr>
        <w:t>חדישה</w:t>
      </w:r>
      <w:r w:rsidRPr="00AB7A51">
        <w:rPr>
          <w:rFonts w:ascii="David" w:hAnsi="David"/>
          <w:sz w:val="24"/>
          <w:rtl/>
        </w:rPr>
        <w:t xml:space="preserve"> </w:t>
      </w:r>
      <w:r w:rsidRPr="00AB7A51">
        <w:rPr>
          <w:rFonts w:ascii="David" w:hAnsi="David" w:hint="eastAsia"/>
          <w:sz w:val="24"/>
          <w:rtl/>
        </w:rPr>
        <w:t>יותר</w:t>
      </w:r>
      <w:r w:rsidRPr="00AB7A51">
        <w:rPr>
          <w:rFonts w:ascii="David" w:hAnsi="David"/>
          <w:sz w:val="24"/>
          <w:rtl/>
        </w:rPr>
        <w:t xml:space="preserve">, </w:t>
      </w:r>
      <w:r w:rsidRPr="00AB7A51">
        <w:rPr>
          <w:rFonts w:ascii="David" w:hAnsi="David" w:hint="eastAsia"/>
          <w:sz w:val="24"/>
          <w:rtl/>
        </w:rPr>
        <w:t>עם</w:t>
      </w:r>
      <w:r w:rsidRPr="00AB7A51">
        <w:rPr>
          <w:rFonts w:ascii="David" w:hAnsi="David"/>
          <w:sz w:val="24"/>
          <w:rtl/>
        </w:rPr>
        <w:t xml:space="preserve"> </w:t>
      </w:r>
      <w:r w:rsidRPr="00AB7A51">
        <w:rPr>
          <w:rFonts w:ascii="David" w:hAnsi="David" w:hint="eastAsia"/>
          <w:sz w:val="24"/>
          <w:rtl/>
        </w:rPr>
        <w:t>אתגרים</w:t>
      </w:r>
      <w:r w:rsidRPr="00AB7A51">
        <w:rPr>
          <w:rFonts w:ascii="David" w:hAnsi="David"/>
          <w:sz w:val="24"/>
          <w:rtl/>
        </w:rPr>
        <w:t xml:space="preserve"> </w:t>
      </w:r>
      <w:r w:rsidRPr="00AB7A51">
        <w:rPr>
          <w:rFonts w:ascii="David" w:hAnsi="David" w:hint="eastAsia"/>
          <w:sz w:val="24"/>
          <w:rtl/>
        </w:rPr>
        <w:t>משפטיים</w:t>
      </w:r>
      <w:r w:rsidRPr="00AB7A51">
        <w:rPr>
          <w:rFonts w:ascii="David" w:hAnsi="David"/>
          <w:sz w:val="24"/>
          <w:rtl/>
        </w:rPr>
        <w:t xml:space="preserve"> </w:t>
      </w:r>
      <w:r w:rsidRPr="00AB7A51">
        <w:rPr>
          <w:rFonts w:ascii="David" w:hAnsi="David" w:hint="eastAsia"/>
          <w:sz w:val="24"/>
          <w:rtl/>
        </w:rPr>
        <w:t>מורכבים</w:t>
      </w:r>
      <w:r w:rsidRPr="00AB7A51">
        <w:rPr>
          <w:rFonts w:ascii="David" w:hAnsi="David"/>
          <w:sz w:val="24"/>
          <w:rtl/>
        </w:rPr>
        <w:t xml:space="preserve"> </w:t>
      </w:r>
      <w:r w:rsidRPr="00AB7A51">
        <w:rPr>
          <w:rFonts w:ascii="David" w:hAnsi="David" w:hint="eastAsia"/>
          <w:sz w:val="24"/>
          <w:rtl/>
        </w:rPr>
        <w:t>יותר</w:t>
      </w:r>
      <w:r w:rsidRPr="00AB7A51">
        <w:rPr>
          <w:rFonts w:ascii="David" w:hAnsi="David"/>
          <w:sz w:val="24"/>
          <w:rtl/>
        </w:rPr>
        <w:t xml:space="preserve"> </w:t>
      </w:r>
      <w:r w:rsidRPr="00AB7A51">
        <w:rPr>
          <w:rFonts w:ascii="David" w:hAnsi="David" w:hint="eastAsia"/>
          <w:sz w:val="24"/>
          <w:rtl/>
        </w:rPr>
        <w:t>ניצבת</w:t>
      </w:r>
      <w:r w:rsidRPr="00AB7A51">
        <w:rPr>
          <w:rFonts w:ascii="David" w:hAnsi="David"/>
          <w:sz w:val="24"/>
          <w:rtl/>
        </w:rPr>
        <w:t xml:space="preserve"> </w:t>
      </w:r>
      <w:r w:rsidRPr="00AB7A51">
        <w:rPr>
          <w:rFonts w:ascii="David" w:hAnsi="David" w:hint="eastAsia"/>
          <w:sz w:val="24"/>
          <w:rtl/>
        </w:rPr>
        <w:t>בפתח</w:t>
      </w:r>
      <w:r w:rsidRPr="00AB7A51">
        <w:rPr>
          <w:rFonts w:ascii="David" w:hAnsi="David"/>
          <w:sz w:val="24"/>
          <w:rtl/>
        </w:rPr>
        <w:t xml:space="preserve">. </w:t>
      </w:r>
      <w:r w:rsidRPr="00AB7A51">
        <w:rPr>
          <w:rFonts w:ascii="David" w:hAnsi="David" w:hint="eastAsia"/>
          <w:sz w:val="24"/>
          <w:rtl/>
        </w:rPr>
        <w:t>הסמכויות</w:t>
      </w:r>
      <w:r w:rsidRPr="00AB7A51">
        <w:rPr>
          <w:rFonts w:ascii="David" w:hAnsi="David"/>
          <w:sz w:val="24"/>
          <w:rtl/>
        </w:rPr>
        <w:t xml:space="preserve"> </w:t>
      </w:r>
      <w:r w:rsidRPr="00AB7A51">
        <w:rPr>
          <w:rFonts w:ascii="David" w:hAnsi="David" w:hint="eastAsia"/>
          <w:sz w:val="24"/>
          <w:rtl/>
        </w:rPr>
        <w:t>הניתנות</w:t>
      </w:r>
      <w:r w:rsidRPr="00AB7A51">
        <w:rPr>
          <w:rFonts w:ascii="David" w:hAnsi="David"/>
          <w:sz w:val="24"/>
          <w:rtl/>
        </w:rPr>
        <w:t xml:space="preserve"> </w:t>
      </w:r>
      <w:r w:rsidRPr="00AB7A51">
        <w:rPr>
          <w:rFonts w:ascii="David" w:hAnsi="David" w:hint="eastAsia"/>
          <w:sz w:val="24"/>
          <w:rtl/>
        </w:rPr>
        <w:t>למשטרת</w:t>
      </w:r>
      <w:r w:rsidRPr="00AB7A51">
        <w:rPr>
          <w:rFonts w:ascii="David" w:hAnsi="David"/>
          <w:sz w:val="24"/>
          <w:rtl/>
        </w:rPr>
        <w:t xml:space="preserve"> </w:t>
      </w:r>
      <w:r w:rsidRPr="00AB7A51">
        <w:rPr>
          <w:rFonts w:ascii="David" w:hAnsi="David" w:hint="eastAsia"/>
          <w:sz w:val="24"/>
          <w:rtl/>
        </w:rPr>
        <w:t>ישראל</w:t>
      </w:r>
      <w:r w:rsidRPr="00AB7A51">
        <w:rPr>
          <w:rFonts w:ascii="David" w:hAnsi="David"/>
          <w:sz w:val="24"/>
          <w:rtl/>
        </w:rPr>
        <w:t xml:space="preserve"> </w:t>
      </w:r>
      <w:r w:rsidRPr="00AB7A51">
        <w:rPr>
          <w:rFonts w:ascii="David" w:hAnsi="David" w:hint="eastAsia"/>
          <w:sz w:val="24"/>
          <w:rtl/>
        </w:rPr>
        <w:t>הם</w:t>
      </w:r>
      <w:r w:rsidRPr="00AB7A51">
        <w:rPr>
          <w:rFonts w:ascii="David" w:hAnsi="David"/>
          <w:sz w:val="24"/>
          <w:rtl/>
        </w:rPr>
        <w:t xml:space="preserve"> </w:t>
      </w:r>
      <w:r w:rsidRPr="00AB7A51">
        <w:rPr>
          <w:rFonts w:ascii="David" w:hAnsi="David" w:hint="eastAsia"/>
          <w:sz w:val="24"/>
          <w:rtl/>
        </w:rPr>
        <w:t>כלי</w:t>
      </w:r>
      <w:r w:rsidRPr="00AB7A51">
        <w:rPr>
          <w:rFonts w:ascii="David" w:hAnsi="David"/>
          <w:sz w:val="24"/>
          <w:rtl/>
        </w:rPr>
        <w:t xml:space="preserve"> </w:t>
      </w:r>
      <w:r w:rsidRPr="00AB7A51">
        <w:rPr>
          <w:rFonts w:ascii="David" w:hAnsi="David" w:hint="eastAsia"/>
          <w:sz w:val="24"/>
          <w:rtl/>
        </w:rPr>
        <w:t>העבודה</w:t>
      </w:r>
      <w:r w:rsidRPr="00AB7A51">
        <w:rPr>
          <w:rFonts w:ascii="David" w:hAnsi="David"/>
          <w:sz w:val="24"/>
          <w:rtl/>
        </w:rPr>
        <w:t xml:space="preserve"> </w:t>
      </w:r>
      <w:r w:rsidRPr="00AB7A51">
        <w:rPr>
          <w:rFonts w:ascii="David" w:hAnsi="David" w:hint="eastAsia"/>
          <w:sz w:val="24"/>
          <w:rtl/>
        </w:rPr>
        <w:t>החשוב</w:t>
      </w:r>
      <w:r w:rsidRPr="00AB7A51">
        <w:rPr>
          <w:rFonts w:ascii="David" w:hAnsi="David"/>
          <w:sz w:val="24"/>
          <w:rtl/>
        </w:rPr>
        <w:t xml:space="preserve"> </w:t>
      </w:r>
      <w:r w:rsidRPr="00AB7A51">
        <w:rPr>
          <w:rFonts w:ascii="David" w:hAnsi="David" w:hint="eastAsia"/>
          <w:sz w:val="24"/>
          <w:rtl/>
        </w:rPr>
        <w:t>ביותר</w:t>
      </w:r>
      <w:r w:rsidRPr="00AB7A51">
        <w:rPr>
          <w:rFonts w:ascii="David" w:hAnsi="David"/>
          <w:sz w:val="24"/>
          <w:rtl/>
        </w:rPr>
        <w:t xml:space="preserve"> </w:t>
      </w:r>
      <w:r w:rsidRPr="00AB7A51">
        <w:rPr>
          <w:rFonts w:ascii="David" w:hAnsi="David" w:hint="eastAsia"/>
          <w:sz w:val="24"/>
          <w:rtl/>
        </w:rPr>
        <w:t>למשטרה</w:t>
      </w:r>
      <w:r w:rsidRPr="00AB7A51">
        <w:rPr>
          <w:rFonts w:ascii="David" w:hAnsi="David"/>
          <w:sz w:val="24"/>
          <w:rtl/>
        </w:rPr>
        <w:t xml:space="preserve">, </w:t>
      </w:r>
      <w:r w:rsidRPr="00AB7A51">
        <w:rPr>
          <w:rFonts w:ascii="David" w:hAnsi="David" w:hint="eastAsia"/>
          <w:sz w:val="24"/>
          <w:rtl/>
        </w:rPr>
        <w:t>ובלעדיו</w:t>
      </w:r>
      <w:r w:rsidRPr="00AB7A51">
        <w:rPr>
          <w:rFonts w:ascii="David" w:hAnsi="David"/>
          <w:sz w:val="24"/>
          <w:rtl/>
        </w:rPr>
        <w:t xml:space="preserve"> </w:t>
      </w:r>
      <w:r w:rsidRPr="00AB7A51">
        <w:rPr>
          <w:rFonts w:ascii="David" w:hAnsi="David" w:hint="eastAsia"/>
          <w:sz w:val="24"/>
          <w:rtl/>
        </w:rPr>
        <w:t>לא</w:t>
      </w:r>
      <w:r w:rsidRPr="00AB7A51">
        <w:rPr>
          <w:rFonts w:ascii="David" w:hAnsi="David"/>
          <w:sz w:val="24"/>
          <w:rtl/>
        </w:rPr>
        <w:t xml:space="preserve"> </w:t>
      </w:r>
      <w:r w:rsidRPr="00AB7A51">
        <w:rPr>
          <w:rFonts w:ascii="David" w:hAnsi="David" w:hint="eastAsia"/>
          <w:sz w:val="24"/>
          <w:rtl/>
        </w:rPr>
        <w:t>תוכל</w:t>
      </w:r>
      <w:r w:rsidRPr="00AB7A51">
        <w:rPr>
          <w:rFonts w:ascii="David" w:hAnsi="David"/>
          <w:sz w:val="24"/>
          <w:rtl/>
        </w:rPr>
        <w:t xml:space="preserve"> </w:t>
      </w:r>
      <w:r w:rsidRPr="00AB7A51">
        <w:rPr>
          <w:rFonts w:ascii="David" w:hAnsi="David" w:hint="eastAsia"/>
          <w:sz w:val="24"/>
          <w:rtl/>
        </w:rPr>
        <w:t>למלא</w:t>
      </w:r>
      <w:r w:rsidRPr="00AB7A51">
        <w:rPr>
          <w:rFonts w:ascii="David" w:hAnsi="David"/>
          <w:sz w:val="24"/>
          <w:rtl/>
        </w:rPr>
        <w:t xml:space="preserve"> </w:t>
      </w:r>
      <w:r w:rsidRPr="00AB7A51">
        <w:rPr>
          <w:rFonts w:ascii="David" w:hAnsi="David" w:hint="eastAsia"/>
          <w:sz w:val="24"/>
          <w:rtl/>
        </w:rPr>
        <w:t>את</w:t>
      </w:r>
      <w:r w:rsidRPr="00AB7A51">
        <w:rPr>
          <w:rFonts w:ascii="David" w:hAnsi="David"/>
          <w:sz w:val="24"/>
          <w:rtl/>
        </w:rPr>
        <w:t xml:space="preserve"> </w:t>
      </w:r>
      <w:r w:rsidRPr="00AB7A51">
        <w:rPr>
          <w:rFonts w:ascii="David" w:hAnsi="David" w:hint="eastAsia"/>
          <w:sz w:val="24"/>
          <w:rtl/>
        </w:rPr>
        <w:t>תפקידה</w:t>
      </w:r>
      <w:r w:rsidRPr="00AB7A51">
        <w:rPr>
          <w:rFonts w:ascii="David" w:hAnsi="David"/>
          <w:sz w:val="24"/>
          <w:rtl/>
        </w:rPr>
        <w:t xml:space="preserve">". </w:t>
      </w:r>
      <w:r w:rsidRPr="00AB7A51">
        <w:rPr>
          <w:rFonts w:ascii="David" w:hAnsi="David" w:hint="eastAsia"/>
          <w:sz w:val="24"/>
          <w:rtl/>
        </w:rPr>
        <w:t>עוד</w:t>
      </w:r>
      <w:r w:rsidRPr="00AB7A51">
        <w:rPr>
          <w:rFonts w:ascii="David" w:hAnsi="David"/>
          <w:sz w:val="24"/>
          <w:rtl/>
        </w:rPr>
        <w:t xml:space="preserve"> ציינה </w:t>
      </w:r>
      <w:r w:rsidRPr="00AB7A51">
        <w:rPr>
          <w:rFonts w:ascii="David" w:hAnsi="David" w:hint="eastAsia"/>
          <w:sz w:val="24"/>
          <w:rtl/>
        </w:rPr>
        <w:t>המשטרה</w:t>
      </w:r>
      <w:r w:rsidRPr="00AB7A51">
        <w:rPr>
          <w:rFonts w:ascii="David" w:hAnsi="David"/>
          <w:sz w:val="24"/>
          <w:rtl/>
        </w:rPr>
        <w:t xml:space="preserve"> </w:t>
      </w:r>
      <w:r w:rsidRPr="00AB7A51">
        <w:rPr>
          <w:rFonts w:ascii="David" w:hAnsi="David" w:hint="eastAsia"/>
          <w:sz w:val="24"/>
          <w:rtl/>
        </w:rPr>
        <w:t>כי</w:t>
      </w:r>
      <w:r w:rsidRPr="00AB7A51">
        <w:rPr>
          <w:rFonts w:ascii="David" w:hAnsi="David"/>
          <w:sz w:val="24"/>
          <w:rtl/>
        </w:rPr>
        <w:t xml:space="preserve"> </w:t>
      </w:r>
      <w:r>
        <w:rPr>
          <w:rFonts w:ascii="David" w:hAnsi="David" w:hint="cs"/>
          <w:sz w:val="24"/>
          <w:rtl/>
        </w:rPr>
        <w:t xml:space="preserve">היא </w:t>
      </w:r>
      <w:r w:rsidRPr="00AB7A51">
        <w:rPr>
          <w:rFonts w:ascii="David" w:hAnsi="David"/>
          <w:sz w:val="24"/>
          <w:rtl/>
        </w:rPr>
        <w:t>"</w:t>
      </w:r>
      <w:r w:rsidRPr="00AB7A51">
        <w:rPr>
          <w:rFonts w:ascii="David" w:hAnsi="David" w:hint="eastAsia"/>
          <w:sz w:val="24"/>
          <w:rtl/>
        </w:rPr>
        <w:t>ביקשה</w:t>
      </w:r>
      <w:r w:rsidRPr="00AB7A51">
        <w:rPr>
          <w:rFonts w:ascii="David" w:hAnsi="David"/>
          <w:sz w:val="24"/>
          <w:rtl/>
        </w:rPr>
        <w:t xml:space="preserve"> פעמים רבות מספור לקדם חקיקה בתחומים הנדונים בביקורת הנוכחית, אך הדבר אינו בידה אלא בידי הגורמים השונים האמונים על כך </w:t>
      </w:r>
      <w:r>
        <w:rPr>
          <w:rFonts w:ascii="David" w:hAnsi="David" w:hint="cs"/>
          <w:sz w:val="24"/>
          <w:rtl/>
        </w:rPr>
        <w:t>-</w:t>
      </w:r>
      <w:r w:rsidRPr="00AB7A51">
        <w:rPr>
          <w:rFonts w:ascii="David" w:hAnsi="David"/>
          <w:sz w:val="24"/>
          <w:rtl/>
        </w:rPr>
        <w:t xml:space="preserve"> המשרד לביטחון לאומי, משרד המשפטים, הממשלה והכנסת".</w:t>
      </w:r>
    </w:p>
    <w:p w:rsidR="009160F3" w:rsidRDefault="009160F3" w:rsidP="00604C3D">
      <w:pPr>
        <w:spacing w:line="269" w:lineRule="auto"/>
        <w:rPr>
          <w:rFonts w:ascii="David" w:hAnsi="David"/>
          <w:sz w:val="24"/>
          <w:rtl/>
        </w:rPr>
      </w:pPr>
    </w:p>
    <w:p w:rsidR="009160F3" w:rsidRDefault="009160F3" w:rsidP="00604C3D">
      <w:pPr>
        <w:spacing w:line="269" w:lineRule="auto"/>
        <w:rPr>
          <w:rFonts w:ascii="David" w:hAnsi="David"/>
          <w:sz w:val="24"/>
          <w:rtl/>
        </w:rPr>
      </w:pPr>
      <w:r w:rsidRPr="00FE1FF6">
        <w:rPr>
          <w:rFonts w:ascii="David" w:hAnsi="David" w:hint="eastAsia"/>
          <w:sz w:val="24"/>
          <w:rtl/>
        </w:rPr>
        <w:t>משרד</w:t>
      </w:r>
      <w:r w:rsidRPr="00FE1FF6">
        <w:rPr>
          <w:rFonts w:ascii="David" w:hAnsi="David"/>
          <w:sz w:val="24"/>
          <w:rtl/>
        </w:rPr>
        <w:t xml:space="preserve"> המשפטים כתב בתשובתו כי </w:t>
      </w:r>
      <w:r w:rsidRPr="00FE1FF6">
        <w:rPr>
          <w:rFonts w:ascii="David" w:hAnsi="David" w:hint="eastAsia"/>
          <w:sz w:val="24"/>
          <w:rtl/>
        </w:rPr>
        <w:t>העיכובים</w:t>
      </w:r>
      <w:r w:rsidRPr="00FE1FF6">
        <w:rPr>
          <w:rFonts w:ascii="David" w:hAnsi="David"/>
          <w:sz w:val="24"/>
          <w:rtl/>
        </w:rPr>
        <w:t xml:space="preserve"> </w:t>
      </w:r>
      <w:r w:rsidRPr="00FE1FF6">
        <w:rPr>
          <w:rFonts w:ascii="David" w:hAnsi="David" w:hint="eastAsia"/>
          <w:sz w:val="24"/>
          <w:rtl/>
        </w:rPr>
        <w:t>בקידום</w:t>
      </w:r>
      <w:r w:rsidRPr="00FE1FF6">
        <w:rPr>
          <w:rFonts w:ascii="David" w:hAnsi="David"/>
          <w:sz w:val="24"/>
          <w:rtl/>
        </w:rPr>
        <w:t xml:space="preserve"> </w:t>
      </w:r>
      <w:r w:rsidRPr="00FE1FF6">
        <w:rPr>
          <w:rFonts w:ascii="David" w:hAnsi="David" w:hint="eastAsia"/>
          <w:sz w:val="24"/>
          <w:rtl/>
        </w:rPr>
        <w:t>הליכי</w:t>
      </w:r>
      <w:r w:rsidRPr="00FE1FF6">
        <w:rPr>
          <w:rFonts w:ascii="David" w:hAnsi="David"/>
          <w:sz w:val="24"/>
          <w:rtl/>
        </w:rPr>
        <w:t xml:space="preserve"> </w:t>
      </w:r>
      <w:r w:rsidRPr="00FE1FF6">
        <w:rPr>
          <w:rFonts w:ascii="David" w:hAnsi="David" w:hint="eastAsia"/>
          <w:sz w:val="24"/>
          <w:rtl/>
        </w:rPr>
        <w:t>החקיקה</w:t>
      </w:r>
      <w:r w:rsidRPr="00FE1FF6">
        <w:rPr>
          <w:rFonts w:ascii="David" w:hAnsi="David"/>
          <w:sz w:val="24"/>
          <w:rtl/>
        </w:rPr>
        <w:t xml:space="preserve"> </w:t>
      </w:r>
      <w:r w:rsidRPr="00FE1FF6">
        <w:rPr>
          <w:rFonts w:ascii="David" w:hAnsi="David" w:hint="eastAsia"/>
          <w:sz w:val="24"/>
          <w:rtl/>
        </w:rPr>
        <w:t>במהלך</w:t>
      </w:r>
      <w:r w:rsidRPr="00FE1FF6">
        <w:rPr>
          <w:rFonts w:ascii="David" w:hAnsi="David"/>
          <w:sz w:val="24"/>
          <w:rtl/>
        </w:rPr>
        <w:t xml:space="preserve"> </w:t>
      </w:r>
      <w:r w:rsidRPr="00FE1FF6">
        <w:rPr>
          <w:rFonts w:ascii="David" w:hAnsi="David" w:hint="eastAsia"/>
          <w:sz w:val="24"/>
          <w:rtl/>
        </w:rPr>
        <w:t>התקופה</w:t>
      </w:r>
      <w:r w:rsidRPr="00FE1FF6">
        <w:rPr>
          <w:rFonts w:ascii="David" w:hAnsi="David"/>
          <w:sz w:val="24"/>
          <w:rtl/>
        </w:rPr>
        <w:t xml:space="preserve"> שנבחנה על ידי הביקורת </w:t>
      </w:r>
      <w:r w:rsidRPr="00FE1FF6">
        <w:rPr>
          <w:rFonts w:ascii="David" w:hAnsi="David" w:hint="eastAsia"/>
          <w:sz w:val="24"/>
          <w:rtl/>
        </w:rPr>
        <w:t>נבעו</w:t>
      </w:r>
      <w:r w:rsidRPr="00FE1FF6">
        <w:rPr>
          <w:rFonts w:ascii="David" w:hAnsi="David"/>
          <w:sz w:val="24"/>
          <w:rtl/>
        </w:rPr>
        <w:t xml:space="preserve"> </w:t>
      </w:r>
      <w:r w:rsidRPr="00FE1FF6">
        <w:rPr>
          <w:rFonts w:ascii="David" w:hAnsi="David" w:hint="eastAsia"/>
          <w:sz w:val="24"/>
          <w:rtl/>
        </w:rPr>
        <w:t>בעיקרן</w:t>
      </w:r>
      <w:r w:rsidRPr="00FE1FF6">
        <w:rPr>
          <w:rFonts w:ascii="David" w:hAnsi="David"/>
          <w:sz w:val="24"/>
          <w:rtl/>
        </w:rPr>
        <w:t xml:space="preserve"> </w:t>
      </w:r>
      <w:r w:rsidRPr="00FE1FF6">
        <w:rPr>
          <w:rFonts w:ascii="David" w:hAnsi="David" w:hint="eastAsia"/>
          <w:sz w:val="24"/>
          <w:rtl/>
        </w:rPr>
        <w:t>מהסיבות</w:t>
      </w:r>
      <w:r w:rsidRPr="00FE1FF6">
        <w:rPr>
          <w:rFonts w:ascii="David" w:hAnsi="David"/>
          <w:sz w:val="24"/>
          <w:rtl/>
        </w:rPr>
        <w:t xml:space="preserve"> </w:t>
      </w:r>
      <w:r>
        <w:rPr>
          <w:rFonts w:ascii="David" w:hAnsi="David" w:hint="cs"/>
          <w:sz w:val="24"/>
          <w:rtl/>
        </w:rPr>
        <w:t>האלה</w:t>
      </w:r>
      <w:r w:rsidRPr="00FE1FF6">
        <w:rPr>
          <w:rFonts w:ascii="David" w:hAnsi="David"/>
          <w:sz w:val="24"/>
          <w:rtl/>
        </w:rPr>
        <w:t xml:space="preserve">: </w:t>
      </w:r>
      <w:r>
        <w:rPr>
          <w:rFonts w:ascii="David" w:hAnsi="David" w:hint="cs"/>
          <w:sz w:val="24"/>
          <w:rtl/>
        </w:rPr>
        <w:t xml:space="preserve">קידום החקיקה תלוי </w:t>
      </w:r>
      <w:r w:rsidRPr="00321E22">
        <w:rPr>
          <w:rFonts w:ascii="David" w:hAnsi="David" w:hint="eastAsia"/>
          <w:sz w:val="24"/>
          <w:rtl/>
        </w:rPr>
        <w:t>בת</w:t>
      </w:r>
      <w:r>
        <w:rPr>
          <w:rFonts w:ascii="David" w:hAnsi="David" w:hint="cs"/>
          <w:sz w:val="24"/>
          <w:rtl/>
        </w:rPr>
        <w:t>י</w:t>
      </w:r>
      <w:r w:rsidRPr="00321E22">
        <w:rPr>
          <w:rFonts w:ascii="David" w:hAnsi="David" w:hint="eastAsia"/>
          <w:sz w:val="24"/>
          <w:rtl/>
        </w:rPr>
        <w:t>עדוף</w:t>
      </w:r>
      <w:r w:rsidRPr="00321E22">
        <w:rPr>
          <w:rFonts w:ascii="David" w:hAnsi="David"/>
          <w:sz w:val="24"/>
          <w:rtl/>
        </w:rPr>
        <w:t xml:space="preserve"> </w:t>
      </w:r>
      <w:r>
        <w:rPr>
          <w:rFonts w:ascii="David" w:hAnsi="David" w:hint="cs"/>
          <w:sz w:val="24"/>
          <w:rtl/>
        </w:rPr>
        <w:t xml:space="preserve">שנותן </w:t>
      </w:r>
      <w:r w:rsidRPr="00321E22">
        <w:rPr>
          <w:rFonts w:ascii="David" w:hAnsi="David" w:hint="eastAsia"/>
          <w:sz w:val="24"/>
          <w:rtl/>
        </w:rPr>
        <w:t>הדרג</w:t>
      </w:r>
      <w:r w:rsidRPr="00321E22">
        <w:rPr>
          <w:rFonts w:ascii="David" w:hAnsi="David"/>
          <w:sz w:val="24"/>
          <w:rtl/>
        </w:rPr>
        <w:t xml:space="preserve"> </w:t>
      </w:r>
      <w:r w:rsidRPr="00321E22">
        <w:rPr>
          <w:rFonts w:ascii="David" w:hAnsi="David" w:hint="eastAsia"/>
          <w:sz w:val="24"/>
          <w:rtl/>
        </w:rPr>
        <w:t>המדיני</w:t>
      </w:r>
      <w:r w:rsidRPr="00321E22">
        <w:rPr>
          <w:rFonts w:ascii="David" w:hAnsi="David"/>
          <w:sz w:val="24"/>
          <w:rtl/>
        </w:rPr>
        <w:t xml:space="preserve"> </w:t>
      </w:r>
      <w:r w:rsidRPr="00321E22">
        <w:rPr>
          <w:rFonts w:ascii="David" w:hAnsi="David" w:hint="eastAsia"/>
          <w:sz w:val="24"/>
          <w:rtl/>
        </w:rPr>
        <w:t>הרלוונטי</w:t>
      </w:r>
      <w:r w:rsidRPr="00321E22">
        <w:rPr>
          <w:rFonts w:ascii="David" w:hAnsi="David"/>
          <w:sz w:val="24"/>
          <w:rtl/>
        </w:rPr>
        <w:t xml:space="preserve"> </w:t>
      </w:r>
      <w:r w:rsidRPr="00321E22">
        <w:rPr>
          <w:rFonts w:ascii="David" w:hAnsi="David" w:hint="eastAsia"/>
          <w:sz w:val="24"/>
          <w:rtl/>
        </w:rPr>
        <w:t>בכנסת</w:t>
      </w:r>
      <w:r w:rsidRPr="00321E22">
        <w:rPr>
          <w:rFonts w:ascii="David" w:hAnsi="David"/>
          <w:sz w:val="24"/>
          <w:rtl/>
        </w:rPr>
        <w:t xml:space="preserve"> </w:t>
      </w:r>
      <w:r w:rsidRPr="00321E22">
        <w:rPr>
          <w:rFonts w:ascii="David" w:hAnsi="David" w:hint="eastAsia"/>
          <w:sz w:val="24"/>
          <w:rtl/>
        </w:rPr>
        <w:t>ובממשלה</w:t>
      </w:r>
      <w:r>
        <w:rPr>
          <w:rFonts w:ascii="David" w:hAnsi="David" w:hint="cs"/>
          <w:sz w:val="24"/>
          <w:rtl/>
        </w:rPr>
        <w:t xml:space="preserve"> לנושא, ובחלק מהמקרים</w:t>
      </w:r>
      <w:r w:rsidRPr="00FE1FF6">
        <w:rPr>
          <w:rFonts w:ascii="David" w:hAnsi="David" w:hint="eastAsia"/>
          <w:sz w:val="24"/>
          <w:rtl/>
        </w:rPr>
        <w:t xml:space="preserve"> הדרג</w:t>
      </w:r>
      <w:r w:rsidRPr="00FE1FF6">
        <w:rPr>
          <w:rFonts w:ascii="David" w:hAnsi="David"/>
          <w:sz w:val="24"/>
          <w:rtl/>
        </w:rPr>
        <w:t xml:space="preserve"> </w:t>
      </w:r>
      <w:r w:rsidRPr="00FE1FF6">
        <w:rPr>
          <w:rFonts w:ascii="David" w:hAnsi="David" w:hint="eastAsia"/>
          <w:sz w:val="24"/>
          <w:rtl/>
        </w:rPr>
        <w:t>המיניסטריאלי</w:t>
      </w:r>
      <w:r w:rsidRPr="00FE1FF6">
        <w:rPr>
          <w:rFonts w:ascii="David" w:hAnsi="David"/>
          <w:sz w:val="24"/>
          <w:rtl/>
        </w:rPr>
        <w:t xml:space="preserve"> </w:t>
      </w:r>
      <w:r w:rsidRPr="00FE1FF6">
        <w:rPr>
          <w:rFonts w:ascii="David" w:hAnsi="David" w:hint="eastAsia"/>
          <w:sz w:val="24"/>
          <w:rtl/>
        </w:rPr>
        <w:t>לא</w:t>
      </w:r>
      <w:r w:rsidRPr="00FE1FF6">
        <w:rPr>
          <w:rFonts w:ascii="David" w:hAnsi="David"/>
          <w:sz w:val="24"/>
          <w:rtl/>
        </w:rPr>
        <w:t xml:space="preserve"> </w:t>
      </w:r>
      <w:r w:rsidRPr="00FE1FF6">
        <w:rPr>
          <w:rFonts w:ascii="David" w:hAnsi="David" w:hint="eastAsia"/>
          <w:sz w:val="24"/>
          <w:rtl/>
        </w:rPr>
        <w:t>היה</w:t>
      </w:r>
      <w:r w:rsidRPr="00FE1FF6">
        <w:rPr>
          <w:rFonts w:ascii="David" w:hAnsi="David"/>
          <w:sz w:val="24"/>
          <w:rtl/>
        </w:rPr>
        <w:t xml:space="preserve"> </w:t>
      </w:r>
      <w:r w:rsidRPr="00FE1FF6">
        <w:rPr>
          <w:rFonts w:ascii="David" w:hAnsi="David" w:hint="eastAsia"/>
          <w:sz w:val="24"/>
          <w:rtl/>
        </w:rPr>
        <w:t>מעוניין</w:t>
      </w:r>
      <w:r w:rsidRPr="00FE1FF6">
        <w:rPr>
          <w:rFonts w:ascii="David" w:hAnsi="David"/>
          <w:sz w:val="24"/>
          <w:rtl/>
        </w:rPr>
        <w:t xml:space="preserve"> </w:t>
      </w:r>
      <w:r>
        <w:rPr>
          <w:rFonts w:ascii="David" w:hAnsi="David" w:hint="cs"/>
          <w:sz w:val="24"/>
          <w:rtl/>
        </w:rPr>
        <w:t>ל</w:t>
      </w:r>
      <w:r w:rsidRPr="00FE1FF6">
        <w:rPr>
          <w:rFonts w:ascii="David" w:hAnsi="David" w:hint="eastAsia"/>
          <w:sz w:val="24"/>
          <w:rtl/>
        </w:rPr>
        <w:t>קדם</w:t>
      </w:r>
      <w:r w:rsidRPr="00FE1FF6">
        <w:rPr>
          <w:rFonts w:ascii="David" w:hAnsi="David"/>
          <w:sz w:val="24"/>
          <w:rtl/>
        </w:rPr>
        <w:t xml:space="preserve"> </w:t>
      </w:r>
      <w:r>
        <w:rPr>
          <w:rFonts w:ascii="David" w:hAnsi="David" w:hint="cs"/>
          <w:sz w:val="24"/>
          <w:rtl/>
        </w:rPr>
        <w:t xml:space="preserve">את </w:t>
      </w:r>
      <w:r w:rsidRPr="00FE1FF6">
        <w:rPr>
          <w:rFonts w:ascii="David" w:hAnsi="David" w:hint="eastAsia"/>
          <w:sz w:val="24"/>
          <w:rtl/>
        </w:rPr>
        <w:t>החקיקה</w:t>
      </w:r>
      <w:r w:rsidRPr="00FE1FF6">
        <w:rPr>
          <w:rFonts w:ascii="David" w:hAnsi="David"/>
          <w:sz w:val="24"/>
          <w:rtl/>
        </w:rPr>
        <w:t xml:space="preserve"> </w:t>
      </w:r>
      <w:r w:rsidRPr="00FE1FF6">
        <w:rPr>
          <w:rFonts w:ascii="David" w:hAnsi="David" w:hint="eastAsia"/>
          <w:sz w:val="24"/>
          <w:rtl/>
        </w:rPr>
        <w:t>בנושא</w:t>
      </w:r>
      <w:r>
        <w:rPr>
          <w:rFonts w:ascii="David" w:hAnsi="David" w:hint="cs"/>
          <w:sz w:val="24"/>
          <w:rtl/>
        </w:rPr>
        <w:t xml:space="preserve"> זה;</w:t>
      </w:r>
      <w:r w:rsidRPr="00FE1FF6">
        <w:rPr>
          <w:rFonts w:ascii="David" w:hAnsi="David"/>
          <w:sz w:val="24"/>
          <w:rtl/>
        </w:rPr>
        <w:t xml:space="preserve"> </w:t>
      </w:r>
      <w:r w:rsidRPr="00FE1FF6">
        <w:rPr>
          <w:rFonts w:ascii="David" w:hAnsi="David" w:hint="eastAsia"/>
          <w:sz w:val="24"/>
          <w:rtl/>
        </w:rPr>
        <w:t>ה</w:t>
      </w:r>
      <w:r>
        <w:rPr>
          <w:rFonts w:ascii="David" w:hAnsi="David" w:hint="cs"/>
          <w:sz w:val="24"/>
          <w:rtl/>
        </w:rPr>
        <w:t>י</w:t>
      </w:r>
      <w:r w:rsidRPr="00FE1FF6">
        <w:rPr>
          <w:rFonts w:ascii="David" w:hAnsi="David" w:hint="eastAsia"/>
          <w:sz w:val="24"/>
          <w:rtl/>
        </w:rPr>
        <w:t>עדר</w:t>
      </w:r>
      <w:r w:rsidRPr="00FE1FF6">
        <w:rPr>
          <w:rFonts w:ascii="David" w:hAnsi="David"/>
          <w:sz w:val="24"/>
          <w:rtl/>
        </w:rPr>
        <w:t xml:space="preserve"> </w:t>
      </w:r>
      <w:r w:rsidRPr="00FE1FF6">
        <w:rPr>
          <w:rFonts w:ascii="David" w:hAnsi="David" w:hint="eastAsia"/>
          <w:sz w:val="24"/>
          <w:rtl/>
        </w:rPr>
        <w:t>משאבים</w:t>
      </w:r>
      <w:r w:rsidRPr="00FE1FF6">
        <w:rPr>
          <w:rFonts w:ascii="David" w:hAnsi="David"/>
          <w:sz w:val="24"/>
          <w:rtl/>
        </w:rPr>
        <w:t xml:space="preserve"> </w:t>
      </w:r>
      <w:r w:rsidRPr="00FE1FF6">
        <w:rPr>
          <w:rFonts w:ascii="David" w:hAnsi="David" w:hint="eastAsia"/>
          <w:sz w:val="24"/>
          <w:rtl/>
        </w:rPr>
        <w:t>והסטת</w:t>
      </w:r>
      <w:r w:rsidRPr="00FE1FF6">
        <w:rPr>
          <w:rFonts w:ascii="David" w:hAnsi="David"/>
          <w:sz w:val="24"/>
          <w:rtl/>
        </w:rPr>
        <w:t xml:space="preserve"> </w:t>
      </w:r>
      <w:r w:rsidRPr="00FE1FF6">
        <w:rPr>
          <w:rFonts w:ascii="David" w:hAnsi="David" w:hint="eastAsia"/>
          <w:sz w:val="24"/>
          <w:rtl/>
        </w:rPr>
        <w:t>כוח</w:t>
      </w:r>
      <w:r w:rsidRPr="00FE1FF6">
        <w:rPr>
          <w:rFonts w:ascii="David" w:hAnsi="David"/>
          <w:sz w:val="24"/>
          <w:rtl/>
        </w:rPr>
        <w:t xml:space="preserve"> </w:t>
      </w:r>
      <w:r w:rsidRPr="00FE1FF6">
        <w:rPr>
          <w:rFonts w:ascii="David" w:hAnsi="David" w:hint="eastAsia"/>
          <w:sz w:val="24"/>
          <w:rtl/>
        </w:rPr>
        <w:t>האדם</w:t>
      </w:r>
      <w:r w:rsidRPr="00FE1FF6">
        <w:rPr>
          <w:rFonts w:ascii="David" w:hAnsi="David"/>
          <w:sz w:val="24"/>
          <w:rtl/>
        </w:rPr>
        <w:t xml:space="preserve"> ב</w:t>
      </w:r>
      <w:r w:rsidR="00AF35D1">
        <w:rPr>
          <w:rFonts w:ascii="David" w:hAnsi="David" w:hint="cs"/>
          <w:sz w:val="24"/>
          <w:rtl/>
        </w:rPr>
        <w:t xml:space="preserve">ייעוץ המשפטי לממשלה </w:t>
      </w:r>
      <w:r w:rsidR="005D59FF">
        <w:rPr>
          <w:rFonts w:ascii="David" w:hAnsi="David" w:hint="cs"/>
          <w:sz w:val="24"/>
          <w:rtl/>
        </w:rPr>
        <w:t>במשרד המשפטים</w:t>
      </w:r>
      <w:r w:rsidRPr="00FE1FF6">
        <w:rPr>
          <w:rFonts w:ascii="David" w:hAnsi="David"/>
          <w:sz w:val="24"/>
          <w:rtl/>
        </w:rPr>
        <w:t xml:space="preserve"> לצרכים דחופים</w:t>
      </w:r>
      <w:r>
        <w:rPr>
          <w:rFonts w:ascii="David" w:hAnsi="David" w:hint="cs"/>
          <w:sz w:val="24"/>
          <w:rtl/>
        </w:rPr>
        <w:t xml:space="preserve"> ו</w:t>
      </w:r>
      <w:r w:rsidRPr="00FE1FF6">
        <w:rPr>
          <w:rFonts w:ascii="David" w:hAnsi="David"/>
          <w:sz w:val="24"/>
          <w:rtl/>
        </w:rPr>
        <w:t>ביטחוניי</w:t>
      </w:r>
      <w:r>
        <w:rPr>
          <w:rFonts w:ascii="David" w:hAnsi="David" w:hint="cs"/>
          <w:sz w:val="24"/>
          <w:rtl/>
        </w:rPr>
        <w:t>ם</w:t>
      </w:r>
      <w:r w:rsidRPr="00FE1FF6">
        <w:rPr>
          <w:rFonts w:ascii="David" w:hAnsi="David"/>
          <w:sz w:val="24"/>
          <w:rtl/>
        </w:rPr>
        <w:t xml:space="preserve">; </w:t>
      </w:r>
      <w:r>
        <w:rPr>
          <w:rFonts w:ascii="David" w:hAnsi="David" w:hint="cs"/>
          <w:sz w:val="24"/>
          <w:rtl/>
        </w:rPr>
        <w:t>ב</w:t>
      </w:r>
      <w:r w:rsidRPr="00FE1FF6">
        <w:rPr>
          <w:rFonts w:ascii="David" w:hAnsi="David"/>
          <w:sz w:val="24"/>
          <w:rtl/>
        </w:rPr>
        <w:t xml:space="preserve">תקופה </w:t>
      </w:r>
      <w:r>
        <w:rPr>
          <w:rFonts w:ascii="David" w:hAnsi="David" w:hint="cs"/>
          <w:sz w:val="24"/>
          <w:rtl/>
        </w:rPr>
        <w:t xml:space="preserve">זו </w:t>
      </w:r>
      <w:r w:rsidRPr="00FE1FF6">
        <w:rPr>
          <w:rFonts w:ascii="David" w:hAnsi="David"/>
          <w:sz w:val="24"/>
          <w:rtl/>
        </w:rPr>
        <w:t xml:space="preserve">התקיימו חמש מערכות בחירות לכנסת ישראל בתוך פחות מארבע שנים; בחלק גדול מהתקופה כיהנה </w:t>
      </w:r>
      <w:r>
        <w:rPr>
          <w:rFonts w:ascii="David" w:hAnsi="David" w:hint="cs"/>
          <w:sz w:val="24"/>
          <w:rtl/>
        </w:rPr>
        <w:t xml:space="preserve">בישראל </w:t>
      </w:r>
      <w:r w:rsidRPr="00FE1FF6">
        <w:rPr>
          <w:rFonts w:ascii="David" w:hAnsi="David"/>
          <w:sz w:val="24"/>
          <w:rtl/>
        </w:rPr>
        <w:t>ממשלת מעבר</w:t>
      </w:r>
      <w:r>
        <w:rPr>
          <w:rFonts w:ascii="David" w:hAnsi="David" w:hint="cs"/>
          <w:sz w:val="24"/>
          <w:rtl/>
        </w:rPr>
        <w:t>,</w:t>
      </w:r>
      <w:r w:rsidRPr="00FE1FF6">
        <w:rPr>
          <w:rFonts w:ascii="David" w:hAnsi="David"/>
          <w:sz w:val="24"/>
          <w:rtl/>
        </w:rPr>
        <w:t xml:space="preserve"> </w:t>
      </w:r>
      <w:r>
        <w:rPr>
          <w:rFonts w:ascii="David" w:hAnsi="David" w:hint="cs"/>
          <w:sz w:val="24"/>
          <w:rtl/>
        </w:rPr>
        <w:t>והיה עליה</w:t>
      </w:r>
      <w:r w:rsidRPr="00FE1FF6">
        <w:rPr>
          <w:rFonts w:ascii="David" w:hAnsi="David"/>
          <w:sz w:val="24"/>
          <w:rtl/>
        </w:rPr>
        <w:t xml:space="preserve"> לנהוג באיפוק ובריסון בכל הנוגע לפעילות ש</w:t>
      </w:r>
      <w:r>
        <w:rPr>
          <w:rFonts w:ascii="David" w:hAnsi="David" w:hint="cs"/>
          <w:sz w:val="24"/>
          <w:rtl/>
        </w:rPr>
        <w:t xml:space="preserve">היא </w:t>
      </w:r>
      <w:r w:rsidRPr="00FE1FF6">
        <w:rPr>
          <w:rFonts w:ascii="David" w:hAnsi="David"/>
          <w:sz w:val="24"/>
          <w:rtl/>
        </w:rPr>
        <w:t>מבצעת מכוח עקרון הרציפות ולא מכוח אמון הכנסת בה</w:t>
      </w:r>
      <w:r>
        <w:rPr>
          <w:rFonts w:ascii="David" w:hAnsi="David" w:hint="cs"/>
          <w:sz w:val="24"/>
          <w:rtl/>
        </w:rPr>
        <w:t>, ועניין זה מנע</w:t>
      </w:r>
      <w:r w:rsidR="00382AE8">
        <w:rPr>
          <w:rFonts w:ascii="David" w:hAnsi="David" w:hint="cs"/>
          <w:sz w:val="24"/>
          <w:rtl/>
        </w:rPr>
        <w:t xml:space="preserve"> </w:t>
      </w:r>
      <w:r>
        <w:rPr>
          <w:rFonts w:ascii="David" w:hAnsi="David" w:hint="cs"/>
          <w:sz w:val="24"/>
          <w:rtl/>
        </w:rPr>
        <w:t>קידום חקיקה בנושאים אלו</w:t>
      </w:r>
      <w:r w:rsidRPr="00FE1FF6">
        <w:rPr>
          <w:rFonts w:ascii="David" w:hAnsi="David"/>
          <w:sz w:val="24"/>
          <w:rtl/>
        </w:rPr>
        <w:t xml:space="preserve">; </w:t>
      </w:r>
      <w:r>
        <w:rPr>
          <w:rFonts w:ascii="David" w:hAnsi="David" w:hint="cs"/>
          <w:sz w:val="24"/>
          <w:rtl/>
        </w:rPr>
        <w:t xml:space="preserve">קידום חקיקה תלוי </w:t>
      </w:r>
      <w:r w:rsidRPr="00FE1FF6">
        <w:rPr>
          <w:rFonts w:ascii="David" w:hAnsi="David" w:hint="eastAsia"/>
          <w:sz w:val="24"/>
          <w:rtl/>
        </w:rPr>
        <w:t>בהסכמים</w:t>
      </w:r>
      <w:r w:rsidRPr="00FE1FF6">
        <w:rPr>
          <w:rFonts w:ascii="David" w:hAnsi="David"/>
          <w:sz w:val="24"/>
          <w:rtl/>
        </w:rPr>
        <w:t xml:space="preserve"> </w:t>
      </w:r>
      <w:r w:rsidRPr="00FE1FF6">
        <w:rPr>
          <w:rFonts w:ascii="David" w:hAnsi="David" w:hint="eastAsia"/>
          <w:sz w:val="24"/>
          <w:rtl/>
        </w:rPr>
        <w:t>שונים</w:t>
      </w:r>
      <w:r w:rsidRPr="00FE1FF6">
        <w:rPr>
          <w:rFonts w:ascii="David" w:hAnsi="David"/>
          <w:sz w:val="24"/>
          <w:rtl/>
        </w:rPr>
        <w:t xml:space="preserve"> </w:t>
      </w:r>
      <w:r w:rsidRPr="00FE1FF6">
        <w:rPr>
          <w:rFonts w:ascii="David" w:hAnsi="David" w:hint="eastAsia"/>
          <w:sz w:val="24"/>
          <w:rtl/>
        </w:rPr>
        <w:t>בין</w:t>
      </w:r>
      <w:r w:rsidRPr="00FE1FF6">
        <w:rPr>
          <w:rFonts w:ascii="David" w:hAnsi="David"/>
          <w:sz w:val="24"/>
          <w:rtl/>
        </w:rPr>
        <w:t xml:space="preserve"> </w:t>
      </w:r>
      <w:r w:rsidRPr="00FE1FF6">
        <w:rPr>
          <w:rFonts w:ascii="David" w:hAnsi="David" w:hint="eastAsia"/>
          <w:sz w:val="24"/>
          <w:rtl/>
        </w:rPr>
        <w:t>הקואליציה</w:t>
      </w:r>
      <w:r w:rsidRPr="00FE1FF6">
        <w:rPr>
          <w:rFonts w:ascii="David" w:hAnsi="David"/>
          <w:sz w:val="24"/>
          <w:rtl/>
        </w:rPr>
        <w:t xml:space="preserve"> </w:t>
      </w:r>
      <w:r w:rsidRPr="00FE1FF6">
        <w:rPr>
          <w:rFonts w:ascii="David" w:hAnsi="David" w:hint="eastAsia"/>
          <w:sz w:val="24"/>
          <w:rtl/>
        </w:rPr>
        <w:t>לאופוזיציה</w:t>
      </w:r>
      <w:r>
        <w:rPr>
          <w:rFonts w:ascii="David" w:hAnsi="David" w:hint="cs"/>
          <w:sz w:val="24"/>
          <w:rtl/>
        </w:rPr>
        <w:t>,</w:t>
      </w:r>
      <w:r w:rsidRPr="00FE1FF6">
        <w:rPr>
          <w:rFonts w:ascii="David" w:hAnsi="David"/>
          <w:sz w:val="24"/>
          <w:rtl/>
        </w:rPr>
        <w:t xml:space="preserve"> </w:t>
      </w:r>
      <w:r>
        <w:rPr>
          <w:rFonts w:ascii="David" w:hAnsi="David" w:hint="cs"/>
          <w:sz w:val="24"/>
          <w:rtl/>
        </w:rPr>
        <w:t>ומכאן ש</w:t>
      </w:r>
      <w:r w:rsidRPr="00FE1FF6">
        <w:rPr>
          <w:rFonts w:ascii="David" w:hAnsi="David" w:hint="eastAsia"/>
          <w:sz w:val="24"/>
          <w:rtl/>
        </w:rPr>
        <w:t>היכולת</w:t>
      </w:r>
      <w:r w:rsidRPr="00FE1FF6">
        <w:rPr>
          <w:rFonts w:ascii="David" w:hAnsi="David"/>
          <w:sz w:val="24"/>
          <w:rtl/>
        </w:rPr>
        <w:t xml:space="preserve"> </w:t>
      </w:r>
      <w:r w:rsidRPr="00FE1FF6">
        <w:rPr>
          <w:rFonts w:ascii="David" w:hAnsi="David" w:hint="eastAsia"/>
          <w:sz w:val="24"/>
          <w:rtl/>
        </w:rPr>
        <w:t>לקדם</w:t>
      </w:r>
      <w:r w:rsidRPr="00FE1FF6">
        <w:rPr>
          <w:rFonts w:ascii="David" w:hAnsi="David"/>
          <w:sz w:val="24"/>
          <w:rtl/>
        </w:rPr>
        <w:t xml:space="preserve"> </w:t>
      </w:r>
      <w:r w:rsidRPr="00FE1FF6">
        <w:rPr>
          <w:rFonts w:ascii="David" w:hAnsi="David" w:hint="eastAsia"/>
          <w:sz w:val="24"/>
          <w:rtl/>
        </w:rPr>
        <w:t>חקיקה</w:t>
      </w:r>
      <w:r w:rsidRPr="00FE1FF6">
        <w:rPr>
          <w:rFonts w:ascii="David" w:hAnsi="David"/>
          <w:sz w:val="24"/>
          <w:rtl/>
        </w:rPr>
        <w:t xml:space="preserve"> </w:t>
      </w:r>
      <w:r w:rsidRPr="00FE1FF6">
        <w:rPr>
          <w:rFonts w:ascii="David" w:hAnsi="David" w:hint="eastAsia"/>
          <w:sz w:val="24"/>
          <w:rtl/>
        </w:rPr>
        <w:t>ממשלתית</w:t>
      </w:r>
      <w:r w:rsidRPr="00FE1FF6">
        <w:rPr>
          <w:rFonts w:ascii="David" w:hAnsi="David"/>
          <w:sz w:val="24"/>
          <w:rtl/>
        </w:rPr>
        <w:t xml:space="preserve"> </w:t>
      </w:r>
      <w:r w:rsidRPr="00FE1FF6">
        <w:rPr>
          <w:rFonts w:ascii="David" w:hAnsi="David" w:hint="eastAsia"/>
          <w:sz w:val="24"/>
          <w:rtl/>
        </w:rPr>
        <w:t>שאין</w:t>
      </w:r>
      <w:r w:rsidRPr="00FE1FF6">
        <w:rPr>
          <w:rFonts w:ascii="David" w:hAnsi="David"/>
          <w:sz w:val="24"/>
          <w:rtl/>
        </w:rPr>
        <w:t xml:space="preserve"> </w:t>
      </w:r>
      <w:r w:rsidRPr="00FE1FF6">
        <w:rPr>
          <w:rFonts w:ascii="David" w:hAnsi="David" w:hint="eastAsia"/>
          <w:sz w:val="24"/>
          <w:rtl/>
        </w:rPr>
        <w:t>לגביה</w:t>
      </w:r>
      <w:r w:rsidRPr="00FE1FF6">
        <w:rPr>
          <w:rFonts w:ascii="David" w:hAnsi="David"/>
          <w:sz w:val="24"/>
          <w:rtl/>
        </w:rPr>
        <w:t xml:space="preserve"> </w:t>
      </w:r>
      <w:r w:rsidRPr="00FE1FF6">
        <w:rPr>
          <w:rFonts w:ascii="David" w:hAnsi="David" w:hint="eastAsia"/>
          <w:sz w:val="24"/>
          <w:rtl/>
        </w:rPr>
        <w:t>הסכמות</w:t>
      </w:r>
      <w:r w:rsidRPr="00FE1FF6">
        <w:rPr>
          <w:rFonts w:ascii="David" w:hAnsi="David"/>
          <w:sz w:val="24"/>
          <w:rtl/>
        </w:rPr>
        <w:t xml:space="preserve"> </w:t>
      </w:r>
      <w:r w:rsidRPr="00FE1FF6">
        <w:rPr>
          <w:rFonts w:ascii="David" w:hAnsi="David" w:hint="eastAsia"/>
          <w:sz w:val="24"/>
          <w:rtl/>
        </w:rPr>
        <w:t>רחבות</w:t>
      </w:r>
      <w:r w:rsidRPr="00FE1FF6">
        <w:rPr>
          <w:rFonts w:ascii="David" w:hAnsi="David"/>
          <w:sz w:val="24"/>
          <w:rtl/>
        </w:rPr>
        <w:t xml:space="preserve"> </w:t>
      </w:r>
      <w:r w:rsidRPr="00FE1FF6">
        <w:rPr>
          <w:rFonts w:ascii="David" w:hAnsi="David" w:hint="eastAsia"/>
          <w:sz w:val="24"/>
          <w:rtl/>
        </w:rPr>
        <w:t>נמוכה</w:t>
      </w:r>
      <w:r w:rsidRPr="00FE1FF6">
        <w:rPr>
          <w:rFonts w:ascii="David" w:hAnsi="David"/>
          <w:sz w:val="24"/>
          <w:rtl/>
        </w:rPr>
        <w:t xml:space="preserve"> </w:t>
      </w:r>
      <w:r w:rsidRPr="00FE1FF6">
        <w:rPr>
          <w:rFonts w:ascii="David" w:hAnsi="David" w:hint="eastAsia"/>
          <w:sz w:val="24"/>
          <w:rtl/>
        </w:rPr>
        <w:t>מאוד</w:t>
      </w:r>
      <w:r>
        <w:rPr>
          <w:rFonts w:ascii="David" w:hAnsi="David" w:hint="cs"/>
          <w:sz w:val="24"/>
          <w:rtl/>
        </w:rPr>
        <w:t>.</w:t>
      </w:r>
      <w:r w:rsidRPr="00FE1FF6">
        <w:rPr>
          <w:rFonts w:ascii="David" w:hAnsi="David"/>
          <w:sz w:val="24"/>
          <w:rtl/>
        </w:rPr>
        <w:t xml:space="preserve"> </w:t>
      </w:r>
    </w:p>
    <w:p w:rsidR="009160F3" w:rsidRDefault="009160F3" w:rsidP="00604C3D">
      <w:pPr>
        <w:spacing w:line="269" w:lineRule="auto"/>
        <w:rPr>
          <w:rFonts w:ascii="David" w:hAnsi="David"/>
          <w:sz w:val="24"/>
          <w:rtl/>
        </w:rPr>
      </w:pPr>
    </w:p>
    <w:p w:rsidR="009160F3" w:rsidRDefault="009160F3" w:rsidP="00604C3D">
      <w:pPr>
        <w:spacing w:line="269" w:lineRule="auto"/>
        <w:rPr>
          <w:rFonts w:ascii="David" w:hAnsi="David"/>
          <w:sz w:val="24"/>
          <w:rtl/>
        </w:rPr>
      </w:pPr>
      <w:r>
        <w:rPr>
          <w:rFonts w:ascii="David" w:hAnsi="David" w:hint="cs"/>
          <w:sz w:val="24"/>
          <w:rtl/>
        </w:rPr>
        <w:t xml:space="preserve">עוד כתב </w:t>
      </w:r>
      <w:r w:rsidRPr="00FE1FF6">
        <w:rPr>
          <w:rFonts w:ascii="David" w:hAnsi="David" w:hint="eastAsia"/>
          <w:sz w:val="24"/>
          <w:rtl/>
        </w:rPr>
        <w:t>משרד</w:t>
      </w:r>
      <w:r w:rsidRPr="00FE1FF6">
        <w:rPr>
          <w:rFonts w:ascii="David" w:hAnsi="David"/>
          <w:sz w:val="24"/>
          <w:rtl/>
        </w:rPr>
        <w:t xml:space="preserve"> המשפטים בתשובתו כי גם </w:t>
      </w:r>
      <w:r w:rsidRPr="00FE1FF6">
        <w:rPr>
          <w:rFonts w:ascii="David" w:hAnsi="David" w:hint="eastAsia"/>
          <w:sz w:val="24"/>
          <w:rtl/>
        </w:rPr>
        <w:t>כאשר</w:t>
      </w:r>
      <w:r w:rsidRPr="00FE1FF6">
        <w:rPr>
          <w:rFonts w:ascii="David" w:hAnsi="David"/>
          <w:sz w:val="24"/>
          <w:rtl/>
        </w:rPr>
        <w:t xml:space="preserve"> תקודם </w:t>
      </w:r>
      <w:r w:rsidRPr="00FE1FF6">
        <w:rPr>
          <w:rFonts w:ascii="David" w:hAnsi="David" w:hint="eastAsia"/>
          <w:sz w:val="24"/>
          <w:rtl/>
        </w:rPr>
        <w:t>חקיקה</w:t>
      </w:r>
      <w:r w:rsidRPr="00FE1FF6">
        <w:rPr>
          <w:rFonts w:ascii="David" w:hAnsi="David"/>
          <w:sz w:val="24"/>
          <w:rtl/>
        </w:rPr>
        <w:t xml:space="preserve">, </w:t>
      </w:r>
      <w:r w:rsidRPr="00FE1FF6">
        <w:rPr>
          <w:rFonts w:ascii="David" w:hAnsi="David" w:hint="eastAsia"/>
          <w:sz w:val="24"/>
          <w:rtl/>
        </w:rPr>
        <w:t>היא</w:t>
      </w:r>
      <w:r w:rsidRPr="00FE1FF6">
        <w:rPr>
          <w:rFonts w:ascii="David" w:hAnsi="David"/>
          <w:sz w:val="24"/>
          <w:rtl/>
        </w:rPr>
        <w:t xml:space="preserve"> </w:t>
      </w:r>
      <w:r w:rsidRPr="00FE1FF6">
        <w:rPr>
          <w:rFonts w:ascii="David" w:hAnsi="David" w:hint="eastAsia"/>
          <w:sz w:val="24"/>
          <w:rtl/>
        </w:rPr>
        <w:t>לא</w:t>
      </w:r>
      <w:r w:rsidRPr="00FE1FF6">
        <w:rPr>
          <w:rFonts w:ascii="David" w:hAnsi="David"/>
          <w:sz w:val="24"/>
          <w:rtl/>
        </w:rPr>
        <w:t xml:space="preserve"> </w:t>
      </w:r>
      <w:r w:rsidRPr="00FE1FF6">
        <w:rPr>
          <w:rFonts w:ascii="David" w:hAnsi="David" w:hint="eastAsia"/>
          <w:sz w:val="24"/>
          <w:rtl/>
        </w:rPr>
        <w:t>בהכרח</w:t>
      </w:r>
      <w:r w:rsidRPr="00FE1FF6">
        <w:rPr>
          <w:rFonts w:ascii="David" w:hAnsi="David"/>
          <w:sz w:val="24"/>
          <w:rtl/>
        </w:rPr>
        <w:t xml:space="preserve"> </w:t>
      </w:r>
      <w:r w:rsidRPr="00FE1FF6">
        <w:rPr>
          <w:rFonts w:ascii="David" w:hAnsi="David" w:hint="eastAsia"/>
          <w:sz w:val="24"/>
          <w:rtl/>
        </w:rPr>
        <w:t>תאפשר</w:t>
      </w:r>
      <w:r w:rsidRPr="00FE1FF6">
        <w:rPr>
          <w:rFonts w:ascii="David" w:hAnsi="David"/>
          <w:sz w:val="24"/>
          <w:rtl/>
        </w:rPr>
        <w:t xml:space="preserve"> </w:t>
      </w:r>
      <w:r w:rsidRPr="00FE1FF6">
        <w:rPr>
          <w:rFonts w:ascii="David" w:hAnsi="David" w:hint="eastAsia"/>
          <w:sz w:val="24"/>
          <w:rtl/>
        </w:rPr>
        <w:t>מיצוי</w:t>
      </w:r>
      <w:r w:rsidRPr="00FE1FF6">
        <w:rPr>
          <w:rFonts w:ascii="David" w:hAnsi="David"/>
          <w:sz w:val="24"/>
          <w:rtl/>
        </w:rPr>
        <w:t xml:space="preserve"> </w:t>
      </w:r>
      <w:r w:rsidRPr="00FE1FF6">
        <w:rPr>
          <w:rFonts w:ascii="David" w:hAnsi="David" w:hint="eastAsia"/>
          <w:sz w:val="24"/>
          <w:rtl/>
        </w:rPr>
        <w:t>של</w:t>
      </w:r>
      <w:r w:rsidRPr="00FE1FF6">
        <w:rPr>
          <w:rFonts w:ascii="David" w:hAnsi="David"/>
          <w:sz w:val="24"/>
          <w:rtl/>
        </w:rPr>
        <w:t xml:space="preserve"> </w:t>
      </w:r>
      <w:r w:rsidRPr="00FE1FF6">
        <w:rPr>
          <w:rFonts w:ascii="David" w:hAnsi="David" w:hint="eastAsia"/>
          <w:sz w:val="24"/>
          <w:rtl/>
        </w:rPr>
        <w:t>כלל</w:t>
      </w:r>
      <w:r w:rsidRPr="00FE1FF6">
        <w:rPr>
          <w:rFonts w:ascii="David" w:hAnsi="David"/>
          <w:sz w:val="24"/>
          <w:rtl/>
        </w:rPr>
        <w:t xml:space="preserve"> </w:t>
      </w:r>
      <w:r w:rsidRPr="00FE1FF6">
        <w:rPr>
          <w:rFonts w:ascii="David" w:hAnsi="David" w:hint="eastAsia"/>
          <w:sz w:val="24"/>
          <w:rtl/>
        </w:rPr>
        <w:t>היכולות</w:t>
      </w:r>
      <w:r w:rsidRPr="00FE1FF6">
        <w:rPr>
          <w:rFonts w:ascii="David" w:hAnsi="David"/>
          <w:sz w:val="24"/>
          <w:rtl/>
        </w:rPr>
        <w:t xml:space="preserve"> </w:t>
      </w:r>
      <w:r w:rsidRPr="00FE1FF6">
        <w:rPr>
          <w:rFonts w:ascii="David" w:hAnsi="David" w:hint="eastAsia"/>
          <w:sz w:val="24"/>
          <w:rtl/>
        </w:rPr>
        <w:t>של</w:t>
      </w:r>
      <w:r w:rsidRPr="00FE1FF6">
        <w:rPr>
          <w:rFonts w:ascii="David" w:hAnsi="David"/>
          <w:sz w:val="24"/>
          <w:rtl/>
        </w:rPr>
        <w:t xml:space="preserve"> </w:t>
      </w:r>
      <w:r w:rsidRPr="00FE1FF6">
        <w:rPr>
          <w:rFonts w:ascii="David" w:hAnsi="David" w:hint="eastAsia"/>
          <w:sz w:val="24"/>
          <w:rtl/>
        </w:rPr>
        <w:t>הכלים</w:t>
      </w:r>
      <w:r w:rsidRPr="00FE1FF6">
        <w:rPr>
          <w:rFonts w:ascii="David" w:hAnsi="David"/>
          <w:sz w:val="24"/>
          <w:rtl/>
        </w:rPr>
        <w:t xml:space="preserve"> </w:t>
      </w:r>
      <w:r w:rsidRPr="00FE1FF6">
        <w:rPr>
          <w:rFonts w:ascii="David" w:hAnsi="David" w:hint="eastAsia"/>
          <w:sz w:val="24"/>
          <w:rtl/>
        </w:rPr>
        <w:t>הטכנולוגיים</w:t>
      </w:r>
      <w:r w:rsidRPr="00FE1FF6">
        <w:rPr>
          <w:rFonts w:ascii="David" w:hAnsi="David"/>
          <w:sz w:val="24"/>
          <w:rtl/>
        </w:rPr>
        <w:t xml:space="preserve"> </w:t>
      </w:r>
      <w:r w:rsidRPr="00FE1FF6">
        <w:rPr>
          <w:rFonts w:ascii="David" w:hAnsi="David" w:hint="eastAsia"/>
          <w:sz w:val="24"/>
          <w:rtl/>
        </w:rPr>
        <w:t>העומדים</w:t>
      </w:r>
      <w:r w:rsidRPr="00FE1FF6">
        <w:rPr>
          <w:rFonts w:ascii="David" w:hAnsi="David"/>
          <w:sz w:val="24"/>
          <w:rtl/>
        </w:rPr>
        <w:t xml:space="preserve"> </w:t>
      </w:r>
      <w:r w:rsidRPr="00FE1FF6">
        <w:rPr>
          <w:rFonts w:ascii="David" w:hAnsi="David" w:hint="eastAsia"/>
          <w:sz w:val="24"/>
          <w:rtl/>
        </w:rPr>
        <w:t>לרשות</w:t>
      </w:r>
      <w:r w:rsidRPr="00FE1FF6">
        <w:rPr>
          <w:rFonts w:ascii="David" w:hAnsi="David"/>
          <w:sz w:val="24"/>
          <w:rtl/>
        </w:rPr>
        <w:t xml:space="preserve"> </w:t>
      </w:r>
      <w:r w:rsidRPr="00FE1FF6">
        <w:rPr>
          <w:rFonts w:ascii="David" w:hAnsi="David" w:hint="eastAsia"/>
          <w:sz w:val="24"/>
          <w:rtl/>
        </w:rPr>
        <w:t>המשטרה</w:t>
      </w:r>
      <w:r w:rsidRPr="00FE1FF6">
        <w:rPr>
          <w:rFonts w:ascii="David" w:hAnsi="David"/>
          <w:sz w:val="24"/>
          <w:rtl/>
        </w:rPr>
        <w:t>.</w:t>
      </w:r>
      <w:r>
        <w:rPr>
          <w:rFonts w:ascii="David" w:hAnsi="David" w:hint="cs"/>
          <w:sz w:val="24"/>
          <w:rtl/>
        </w:rPr>
        <w:t xml:space="preserve"> כל חקיקה שתקודם תחייב שמירה על איזונים בין צורכי המשטרה לבין הפגיעה בזכויות חוקתיות. כמו כן לא נקבע בנוגע לכל כלי אם נדרש להסדיר אותו בחקיקה ראשית, והגבלת השימוש בכלים הטכנולוגיים אינה נובעת בהכרח מהיעדרה של חקיקה אלא מהצורך להשתמש בכלים אלו באופן סביר ומידתי ולהימנע מפגיעה בזכויות האדם.</w:t>
      </w:r>
      <w:r>
        <w:rPr>
          <w:rFonts w:ascii="David" w:hAnsi="David"/>
          <w:sz w:val="24"/>
          <w:rtl/>
        </w:rPr>
        <w:t xml:space="preserve"> </w:t>
      </w:r>
    </w:p>
    <w:p w:rsidR="00A430DA" w:rsidRPr="00A430DA" w:rsidRDefault="00A430DA" w:rsidP="00604C3D">
      <w:pPr>
        <w:spacing w:line="269" w:lineRule="auto"/>
        <w:rPr>
          <w:rFonts w:ascii="David" w:hAnsi="David"/>
          <w:sz w:val="24"/>
          <w:rtl/>
        </w:rPr>
      </w:pPr>
    </w:p>
    <w:p w:rsidR="00D95113" w:rsidRPr="00C41729" w:rsidRDefault="00A430DA" w:rsidP="00604C3D">
      <w:pPr>
        <w:spacing w:line="269" w:lineRule="auto"/>
        <w:rPr>
          <w:rFonts w:ascii="David" w:hAnsi="David"/>
          <w:sz w:val="24"/>
          <w:rtl/>
        </w:rPr>
      </w:pPr>
      <w:r w:rsidRPr="00C41729">
        <w:rPr>
          <w:rFonts w:ascii="David" w:hAnsi="David" w:hint="cs"/>
          <w:sz w:val="24"/>
          <w:rtl/>
        </w:rPr>
        <w:t xml:space="preserve">התאמת החקיקה לחידושי הטכנולוגיה </w:t>
      </w:r>
      <w:r w:rsidR="009327B4" w:rsidRPr="00C41729">
        <w:rPr>
          <w:rFonts w:ascii="David" w:hAnsi="David" w:hint="cs"/>
          <w:sz w:val="24"/>
          <w:rtl/>
        </w:rPr>
        <w:t>היא הכרחית לרשות המבצעת</w:t>
      </w:r>
      <w:r w:rsidRPr="00C41729">
        <w:rPr>
          <w:rFonts w:ascii="David" w:hAnsi="David" w:hint="cs"/>
          <w:sz w:val="24"/>
          <w:rtl/>
        </w:rPr>
        <w:t xml:space="preserve"> בעידן המודרני והיא חולשת על סמכויות רבות הנתונות בידי המשטרה. בית המשפט העליון עמד על הצורך הדוחק בהסדרת סמכויות המשטרה</w:t>
      </w:r>
      <w:r w:rsidR="00D95113" w:rsidRPr="00C41729">
        <w:rPr>
          <w:rFonts w:ascii="David" w:hAnsi="David" w:hint="cs"/>
          <w:sz w:val="24"/>
          <w:rtl/>
        </w:rPr>
        <w:t>:</w:t>
      </w:r>
      <w:r w:rsidRPr="00C41729">
        <w:rPr>
          <w:rFonts w:ascii="David" w:hAnsi="David" w:hint="cs"/>
          <w:sz w:val="24"/>
          <w:rtl/>
        </w:rPr>
        <w:t xml:space="preserve"> בשנת </w:t>
      </w:r>
      <w:r w:rsidR="001A4989" w:rsidRPr="00C41729">
        <w:rPr>
          <w:rFonts w:ascii="David" w:hAnsi="David" w:hint="cs"/>
          <w:sz w:val="24"/>
          <w:rtl/>
        </w:rPr>
        <w:t>2011</w:t>
      </w:r>
      <w:r w:rsidRPr="00C41729">
        <w:rPr>
          <w:rFonts w:ascii="David" w:hAnsi="David" w:hint="cs"/>
          <w:sz w:val="24"/>
          <w:rtl/>
        </w:rPr>
        <w:t xml:space="preserve"> הצביע על הצורך ב"התאמתו של הדין לחידושי הטכנולוגיה ולפוטנציאל הפגיעה שהטכנולוגיה גוררת בעקבותיה" באשר לחיפוש במחשבים</w:t>
      </w:r>
      <w:r w:rsidRPr="00C41729">
        <w:rPr>
          <w:rFonts w:ascii="David" w:hAnsi="David"/>
          <w:sz w:val="24"/>
          <w:vertAlign w:val="superscript"/>
          <w:rtl/>
        </w:rPr>
        <w:footnoteReference w:id="340"/>
      </w:r>
      <w:r w:rsidR="00D95113" w:rsidRPr="00C41729">
        <w:rPr>
          <w:rFonts w:ascii="David" w:hAnsi="David" w:hint="cs"/>
          <w:sz w:val="24"/>
          <w:rtl/>
        </w:rPr>
        <w:t>;</w:t>
      </w:r>
      <w:r w:rsidRPr="00C41729">
        <w:rPr>
          <w:rFonts w:ascii="David" w:hAnsi="David" w:hint="cs"/>
          <w:sz w:val="24"/>
          <w:rtl/>
        </w:rPr>
        <w:t xml:space="preserve"> </w:t>
      </w:r>
      <w:r w:rsidR="00355206">
        <w:rPr>
          <w:rFonts w:ascii="David" w:hAnsi="David" w:hint="cs"/>
          <w:sz w:val="24"/>
          <w:rtl/>
        </w:rPr>
        <w:t>ו</w:t>
      </w:r>
      <w:r w:rsidR="001A4989" w:rsidRPr="00C41729">
        <w:rPr>
          <w:rFonts w:ascii="David" w:hAnsi="David" w:hint="cs"/>
          <w:sz w:val="24"/>
          <w:rtl/>
        </w:rPr>
        <w:t>באוגוסט 2025</w:t>
      </w:r>
      <w:r w:rsidRPr="00C41729">
        <w:rPr>
          <w:rFonts w:ascii="David" w:hAnsi="David" w:hint="cs"/>
          <w:sz w:val="24"/>
          <w:rtl/>
        </w:rPr>
        <w:t xml:space="preserve"> בצורך ב"התאמת הדין למציאות הטכנולוגית המשתנה ולצרכי השעה" באשר לחיפוש בפלאפונים</w:t>
      </w:r>
      <w:r w:rsidRPr="00C41729">
        <w:rPr>
          <w:rFonts w:ascii="David" w:hAnsi="David"/>
          <w:sz w:val="24"/>
          <w:vertAlign w:val="superscript"/>
          <w:rtl/>
        </w:rPr>
        <w:footnoteReference w:id="341"/>
      </w:r>
      <w:r w:rsidRPr="00C41729">
        <w:rPr>
          <w:rFonts w:ascii="David" w:hAnsi="David" w:hint="cs"/>
          <w:sz w:val="24"/>
          <w:rtl/>
        </w:rPr>
        <w:t xml:space="preserve">. </w:t>
      </w:r>
    </w:p>
    <w:p w:rsidR="00D95113" w:rsidRPr="00C41729" w:rsidRDefault="00D95113" w:rsidP="00604C3D">
      <w:pPr>
        <w:spacing w:line="269" w:lineRule="auto"/>
        <w:rPr>
          <w:rFonts w:ascii="David" w:hAnsi="David"/>
          <w:sz w:val="24"/>
          <w:rtl/>
        </w:rPr>
      </w:pPr>
    </w:p>
    <w:p w:rsidR="00A430DA" w:rsidRPr="00A430DA" w:rsidRDefault="00A430DA" w:rsidP="00604C3D">
      <w:pPr>
        <w:spacing w:line="269" w:lineRule="auto"/>
        <w:rPr>
          <w:rFonts w:ascii="David" w:hAnsi="David"/>
          <w:sz w:val="24"/>
          <w:rtl/>
        </w:rPr>
      </w:pPr>
      <w:r w:rsidRPr="00C41729">
        <w:rPr>
          <w:rFonts w:ascii="David" w:hAnsi="David" w:hint="cs"/>
          <w:sz w:val="24"/>
          <w:rtl/>
        </w:rPr>
        <w:t xml:space="preserve">בית המשפט העליון הדגיש כי </w:t>
      </w:r>
      <w:r w:rsidR="009327B4" w:rsidRPr="00C41729">
        <w:rPr>
          <w:rFonts w:ascii="David" w:hAnsi="David" w:hint="cs"/>
          <w:sz w:val="24"/>
          <w:rtl/>
        </w:rPr>
        <w:t xml:space="preserve">יש מקרים בהם לא ניתן להסתפק בהסדרה משפטית ופירט כי </w:t>
      </w:r>
      <w:r w:rsidRPr="00C41729">
        <w:rPr>
          <w:rFonts w:ascii="David" w:hAnsi="David" w:hint="cs"/>
          <w:sz w:val="24"/>
          <w:rtl/>
        </w:rPr>
        <w:t>"לעתים 'קיצורי דרך' מובילים לבסוף לאובדן דרך.</w:t>
      </w:r>
      <w:r w:rsidR="003D6F75">
        <w:rPr>
          <w:rFonts w:ascii="David" w:hAnsi="David" w:hint="cs"/>
          <w:sz w:val="24"/>
          <w:rtl/>
        </w:rPr>
        <w:t>.</w:t>
      </w:r>
      <w:r w:rsidRPr="00C41729">
        <w:rPr>
          <w:rFonts w:ascii="David" w:hAnsi="David" w:hint="cs"/>
          <w:sz w:val="24"/>
          <w:rtl/>
        </w:rPr>
        <w:t>. הרשות המבצעת תמשיך לפנות בדרך הקצרה.</w:t>
      </w:r>
      <w:r w:rsidR="003D6F75">
        <w:rPr>
          <w:rFonts w:ascii="David" w:hAnsi="David" w:hint="cs"/>
          <w:sz w:val="24"/>
          <w:rtl/>
        </w:rPr>
        <w:t>.</w:t>
      </w:r>
      <w:r w:rsidRPr="00C41729">
        <w:rPr>
          <w:rFonts w:ascii="David" w:hAnsi="David" w:hint="cs"/>
          <w:sz w:val="24"/>
          <w:rtl/>
        </w:rPr>
        <w:t xml:space="preserve">. תוך שהנושא לא יוסדר בראייה רחבה על-ידי המחוקק, כנדרש לסוגיה כה מורכבת ורגישה. בראייה רחבה, ארוכת-טווח, נזקה של דרך זו </w:t>
      </w:r>
      <w:r w:rsidR="003D6F75">
        <w:rPr>
          <w:rFonts w:ascii="David" w:hAnsi="David" w:hint="cs"/>
          <w:sz w:val="24"/>
          <w:rtl/>
        </w:rPr>
        <w:t>-</w:t>
      </w:r>
      <w:r w:rsidRPr="00C41729">
        <w:rPr>
          <w:rFonts w:ascii="David" w:hAnsi="David" w:hint="cs"/>
          <w:sz w:val="24"/>
          <w:rtl/>
        </w:rPr>
        <w:t xml:space="preserve"> עולה על תועלתה;</w:t>
      </w:r>
      <w:r w:rsidRPr="00C41729">
        <w:rPr>
          <w:rFonts w:ascii="David" w:hAnsi="David" w:hint="cs"/>
          <w:sz w:val="24"/>
        </w:rPr>
        <w:t xml:space="preserve"> </w:t>
      </w:r>
      <w:r w:rsidRPr="00C41729">
        <w:rPr>
          <w:rFonts w:ascii="David" w:hAnsi="David" w:hint="cs"/>
          <w:sz w:val="24"/>
          <w:rtl/>
        </w:rPr>
        <w:t>אין לדעת לאן היא עלולה עוד להוביל". דברים אלו יפים, גם לעניין תיקוני החקיקה הנדרשים לשם שימוש בכלים טכנולוגיים לצורכי אכיפה.</w:t>
      </w:r>
    </w:p>
    <w:p w:rsidR="004B50FC" w:rsidRDefault="004B50FC" w:rsidP="00604C3D">
      <w:pPr>
        <w:spacing w:line="269" w:lineRule="auto"/>
        <w:rPr>
          <w:sz w:val="16"/>
          <w:szCs w:val="16"/>
          <w:rtl/>
        </w:rPr>
      </w:pPr>
    </w:p>
    <w:p w:rsidR="009160F3" w:rsidRDefault="009160F3" w:rsidP="00604C3D">
      <w:pPr>
        <w:spacing w:line="269" w:lineRule="auto"/>
        <w:rPr>
          <w:rFonts w:ascii="David" w:hAnsi="David"/>
          <w:sz w:val="24"/>
          <w:rtl/>
        </w:rPr>
      </w:pPr>
      <w:r>
        <w:rPr>
          <w:rFonts w:ascii="David" w:hAnsi="David" w:hint="cs"/>
          <w:sz w:val="24"/>
          <w:rtl/>
        </w:rPr>
        <w:t xml:space="preserve">בפרק זה </w:t>
      </w:r>
      <w:r w:rsidRPr="008B0F7C">
        <w:rPr>
          <w:rFonts w:ascii="David" w:hAnsi="David" w:hint="cs"/>
          <w:sz w:val="24"/>
          <w:rtl/>
        </w:rPr>
        <w:t>מובאות</w:t>
      </w:r>
      <w:r>
        <w:rPr>
          <w:rFonts w:ascii="David" w:hAnsi="David" w:hint="cs"/>
          <w:sz w:val="24"/>
          <w:rtl/>
        </w:rPr>
        <w:t xml:space="preserve"> חמש דוגמאות שבהן גורמי הייעוץ המשפטי לממשלה קבעו ששימוש בכלים מסוימים להאזנות סתר, לאיסוף נתונים במרשתת או לאיסוף נתוני תקשורת טעון </w:t>
      </w:r>
      <w:r w:rsidRPr="008B0F7C">
        <w:rPr>
          <w:rFonts w:ascii="David" w:hAnsi="David" w:hint="eastAsia"/>
          <w:sz w:val="24"/>
          <w:rtl/>
        </w:rPr>
        <w:t>הסדרה</w:t>
      </w:r>
      <w:r w:rsidRPr="008B0F7C">
        <w:rPr>
          <w:rFonts w:ascii="David" w:hAnsi="David"/>
          <w:sz w:val="24"/>
          <w:rtl/>
        </w:rPr>
        <w:t xml:space="preserve"> </w:t>
      </w:r>
      <w:r w:rsidRPr="008B0F7C">
        <w:rPr>
          <w:rFonts w:ascii="David" w:hAnsi="David" w:hint="eastAsia"/>
          <w:sz w:val="24"/>
          <w:rtl/>
        </w:rPr>
        <w:t>בחקיקה</w:t>
      </w:r>
      <w:r w:rsidRPr="008B0F7C">
        <w:rPr>
          <w:rFonts w:ascii="David" w:hAnsi="David"/>
          <w:sz w:val="24"/>
          <w:rtl/>
        </w:rPr>
        <w:t xml:space="preserve"> </w:t>
      </w:r>
      <w:r w:rsidRPr="008B0F7C">
        <w:rPr>
          <w:rFonts w:ascii="David" w:hAnsi="David" w:hint="eastAsia"/>
          <w:sz w:val="24"/>
          <w:rtl/>
        </w:rPr>
        <w:t>ראשית</w:t>
      </w:r>
      <w:r>
        <w:rPr>
          <w:rFonts w:ascii="David" w:hAnsi="David" w:hint="cs"/>
          <w:sz w:val="24"/>
          <w:rtl/>
        </w:rPr>
        <w:t xml:space="preserve">. </w:t>
      </w:r>
    </w:p>
    <w:p w:rsidR="004B50FC" w:rsidRDefault="004B50FC" w:rsidP="00604C3D">
      <w:pPr>
        <w:spacing w:line="269" w:lineRule="auto"/>
        <w:rPr>
          <w:sz w:val="16"/>
          <w:szCs w:val="16"/>
          <w:rtl/>
        </w:rPr>
      </w:pPr>
    </w:p>
    <w:p w:rsidR="009160F3" w:rsidRDefault="009160F3" w:rsidP="00604C3D">
      <w:pPr>
        <w:spacing w:line="269" w:lineRule="auto"/>
        <w:rPr>
          <w:rFonts w:ascii="David" w:hAnsi="David"/>
          <w:sz w:val="24"/>
          <w:rtl/>
        </w:rPr>
      </w:pPr>
      <w:r w:rsidRPr="00D94494">
        <w:rPr>
          <w:rFonts w:ascii="David" w:hAnsi="David" w:hint="eastAsia"/>
          <w:sz w:val="24"/>
          <w:rtl/>
        </w:rPr>
        <w:t>להלן</w:t>
      </w:r>
      <w:r w:rsidRPr="00D94494">
        <w:rPr>
          <w:rFonts w:ascii="David" w:hAnsi="David"/>
          <w:sz w:val="24"/>
          <w:rtl/>
        </w:rPr>
        <w:t xml:space="preserve"> דוגמאות </w:t>
      </w:r>
      <w:r>
        <w:rPr>
          <w:rFonts w:ascii="David" w:hAnsi="David" w:hint="cs"/>
          <w:sz w:val="24"/>
          <w:rtl/>
        </w:rPr>
        <w:t xml:space="preserve">לתיקוני חקיקה שעדיין לא קודמו, שנדרשים לדעת </w:t>
      </w:r>
      <w:r w:rsidR="00844501">
        <w:rPr>
          <w:rFonts w:ascii="David" w:hAnsi="David" w:hint="cs"/>
          <w:sz w:val="24"/>
          <w:rtl/>
        </w:rPr>
        <w:t>הייעוץ המשפטי לממשלה</w:t>
      </w:r>
      <w:r>
        <w:rPr>
          <w:rFonts w:ascii="David" w:hAnsi="David" w:hint="cs"/>
          <w:sz w:val="24"/>
          <w:rtl/>
        </w:rPr>
        <w:t xml:space="preserve"> לצורך הסדרת השימוש של המשטרה בכלים טכנולוגיים.</w:t>
      </w:r>
    </w:p>
    <w:p w:rsidR="009160F3" w:rsidRPr="001D330B" w:rsidRDefault="009160F3" w:rsidP="00604C3D">
      <w:pPr>
        <w:spacing w:line="269" w:lineRule="auto"/>
        <w:ind w:left="-341"/>
        <w:rPr>
          <w:sz w:val="16"/>
          <w:szCs w:val="16"/>
          <w:rtl/>
        </w:rPr>
      </w:pPr>
    </w:p>
    <w:p w:rsidR="009160F3" w:rsidRPr="00DE6B37" w:rsidRDefault="009160F3" w:rsidP="004B146D">
      <w:pPr>
        <w:pStyle w:val="3"/>
        <w:numPr>
          <w:ilvl w:val="1"/>
          <w:numId w:val="79"/>
        </w:numPr>
        <w:ind w:left="423" w:hanging="392"/>
        <w:rPr>
          <w:rFonts w:ascii="David" w:hAnsi="David"/>
          <w:sz w:val="28"/>
        </w:rPr>
      </w:pPr>
      <w:bookmarkStart w:id="695" w:name="_Toc138576132"/>
      <w:bookmarkStart w:id="696" w:name="_Toc211521975"/>
      <w:bookmarkStart w:id="697" w:name="_Toc219110366"/>
      <w:bookmarkStart w:id="698" w:name="_Toc219113807"/>
      <w:bookmarkStart w:id="699" w:name="_Toc219286582"/>
      <w:r w:rsidRPr="004B146D">
        <w:rPr>
          <w:rFonts w:eastAsia="Times New Roman"/>
          <w:rtl/>
        </w:rPr>
        <w:t>סמכויות</w:t>
      </w:r>
      <w:r w:rsidRPr="00DE6B37">
        <w:rPr>
          <w:rFonts w:eastAsia="Times New Roman"/>
          <w:sz w:val="22"/>
          <w:rtl/>
        </w:rPr>
        <w:t xml:space="preserve"> חדירה למחשב והאזנות סתר</w:t>
      </w:r>
      <w:bookmarkEnd w:id="695"/>
      <w:bookmarkEnd w:id="696"/>
      <w:bookmarkEnd w:id="697"/>
      <w:bookmarkEnd w:id="698"/>
      <w:bookmarkEnd w:id="699"/>
      <w:r w:rsidRPr="00DE6B37">
        <w:rPr>
          <w:rFonts w:ascii="David" w:hAnsi="David" w:hint="cs"/>
          <w:sz w:val="28"/>
          <w:rtl/>
        </w:rPr>
        <w:t xml:space="preserve"> </w:t>
      </w:r>
    </w:p>
    <w:p w:rsidR="004B50FC" w:rsidRDefault="004B50FC" w:rsidP="00604C3D">
      <w:pPr>
        <w:pStyle w:val="af2"/>
        <w:spacing w:line="269" w:lineRule="auto"/>
        <w:ind w:left="-58"/>
        <w:contextualSpacing w:val="0"/>
        <w:rPr>
          <w:rFonts w:ascii="David" w:hAnsi="David"/>
          <w:sz w:val="24"/>
          <w:rtl/>
        </w:rPr>
      </w:pPr>
    </w:p>
    <w:p w:rsidR="009160F3" w:rsidRDefault="009160F3" w:rsidP="005A0F21">
      <w:pPr>
        <w:spacing w:line="269" w:lineRule="auto"/>
        <w:ind w:left="423"/>
        <w:rPr>
          <w:rFonts w:ascii="David" w:hAnsi="David"/>
          <w:sz w:val="24"/>
        </w:rPr>
      </w:pPr>
      <w:r>
        <w:rPr>
          <w:rFonts w:ascii="David" w:hAnsi="David" w:hint="cs"/>
          <w:sz w:val="24"/>
          <w:rtl/>
        </w:rPr>
        <w:t>נכון למועד הביקורת הסמכויות לחדירה למחשב (ובכלל זה לטלפון סלולרי) ולביצוע</w:t>
      </w:r>
      <w:r>
        <w:rPr>
          <w:rFonts w:ascii="David" w:hAnsi="David" w:hint="cs"/>
          <w:sz w:val="24"/>
        </w:rPr>
        <w:t xml:space="preserve"> </w:t>
      </w:r>
      <w:r>
        <w:rPr>
          <w:rFonts w:ascii="David" w:hAnsi="David" w:hint="cs"/>
          <w:sz w:val="24"/>
          <w:rtl/>
        </w:rPr>
        <w:t>האזנות סתר מאפשרות נגישות אך ורק למידע שעובר בתווך שבין מחשבים מרגע מתן הצו ואילך (האזנת סתר) או למידע שאגור במחשב (חיפוש), ובלבד שהעתקת החומר השמור בו נעשית בידיעת בעל המחשב. תזכיר חוק</w:t>
      </w:r>
      <w:r>
        <w:rPr>
          <w:rStyle w:val="af"/>
          <w:rFonts w:ascii="David" w:hAnsi="David"/>
          <w:sz w:val="24"/>
          <w:rtl/>
        </w:rPr>
        <w:footnoteReference w:id="342"/>
      </w:r>
      <w:r>
        <w:rPr>
          <w:rFonts w:ascii="David" w:hAnsi="David" w:hint="cs"/>
          <w:sz w:val="24"/>
          <w:rtl/>
        </w:rPr>
        <w:t xml:space="preserve"> סדר הדין הפלילי (סמכויות אכיפה - המצאה, חיפוש ותפיסה), שמטרתו להסדיר את סמכויות האכיפה במרחב הפיזי והמקוון, ובין היתר נועד לאפשר חיפוש חומר במחשב והעתקתו באופן סמוי, הופץ לראשונה להערות הציבור בשנת 2011. הצעת חוק החיפוש</w:t>
      </w:r>
      <w:r w:rsidR="008E5BC5">
        <w:rPr>
          <w:rFonts w:ascii="David" w:hAnsi="David" w:hint="cs"/>
          <w:sz w:val="24"/>
          <w:rtl/>
        </w:rPr>
        <w:t xml:space="preserve"> הסמוי</w:t>
      </w:r>
      <w:r>
        <w:rPr>
          <w:rFonts w:ascii="David" w:hAnsi="David" w:hint="cs"/>
          <w:sz w:val="24"/>
          <w:rtl/>
        </w:rPr>
        <w:t>, עלתה בשנת 2014 לקריאה ראשונה בכנסת</w:t>
      </w:r>
      <w:r>
        <w:rPr>
          <w:rStyle w:val="af"/>
          <w:rFonts w:ascii="David" w:hAnsi="David"/>
          <w:sz w:val="24"/>
          <w:rtl/>
        </w:rPr>
        <w:footnoteReference w:id="343"/>
      </w:r>
      <w:r>
        <w:rPr>
          <w:rFonts w:ascii="David" w:hAnsi="David" w:hint="cs"/>
          <w:sz w:val="24"/>
          <w:rtl/>
        </w:rPr>
        <w:t>, התקבלה והוחזרה להכנה לקריאה שנייה ושלישית בוועדת החוקה, חוק ומשפט</w:t>
      </w:r>
      <w:r>
        <w:rPr>
          <w:rStyle w:val="af"/>
          <w:rFonts w:ascii="David" w:hAnsi="David"/>
          <w:sz w:val="24"/>
          <w:rtl/>
        </w:rPr>
        <w:footnoteReference w:id="344"/>
      </w:r>
      <w:r>
        <w:rPr>
          <w:rFonts w:ascii="David" w:hAnsi="David" w:hint="cs"/>
          <w:sz w:val="24"/>
          <w:rtl/>
        </w:rPr>
        <w:t>. בשנת 2018 קיימה הוועדה חמישה דיונים בנושא הצעת חוק החיפוש</w:t>
      </w:r>
      <w:r w:rsidR="008E5BC5">
        <w:rPr>
          <w:rFonts w:ascii="David" w:hAnsi="David" w:hint="cs"/>
          <w:sz w:val="24"/>
          <w:rtl/>
        </w:rPr>
        <w:t xml:space="preserve"> הסמוי</w:t>
      </w:r>
      <w:r>
        <w:rPr>
          <w:rFonts w:ascii="David" w:hAnsi="David" w:hint="cs"/>
          <w:sz w:val="24"/>
          <w:rtl/>
        </w:rPr>
        <w:t>, אולם בסופו של דבר הצעת החוק במלואה לא קודמה</w:t>
      </w:r>
      <w:r>
        <w:rPr>
          <w:rStyle w:val="af"/>
          <w:rFonts w:ascii="David" w:hAnsi="David"/>
          <w:sz w:val="24"/>
          <w:rtl/>
        </w:rPr>
        <w:footnoteReference w:id="345"/>
      </w:r>
      <w:r>
        <w:rPr>
          <w:rFonts w:ascii="David" w:hAnsi="David" w:hint="cs"/>
          <w:sz w:val="24"/>
          <w:rtl/>
        </w:rPr>
        <w:t>.</w:t>
      </w:r>
    </w:p>
    <w:p w:rsidR="004B50FC" w:rsidRPr="006E46A7" w:rsidRDefault="004B50FC" w:rsidP="005A0F21">
      <w:pPr>
        <w:spacing w:line="269" w:lineRule="auto"/>
        <w:ind w:left="423"/>
        <w:rPr>
          <w:rtl/>
        </w:rPr>
      </w:pPr>
    </w:p>
    <w:p w:rsidR="00913800" w:rsidRDefault="009160F3" w:rsidP="005A0F21">
      <w:pPr>
        <w:spacing w:line="269" w:lineRule="auto"/>
        <w:ind w:left="423"/>
        <w:rPr>
          <w:rFonts w:ascii="David" w:hAnsi="David"/>
          <w:sz w:val="24"/>
          <w:rtl/>
        </w:rPr>
      </w:pPr>
      <w:r>
        <w:rPr>
          <w:rFonts w:ascii="David" w:hAnsi="David" w:hint="cs"/>
          <w:sz w:val="24"/>
          <w:rtl/>
        </w:rPr>
        <w:t xml:space="preserve">ב-8.7.21 התקיימה ישיבה </w:t>
      </w:r>
      <w:r w:rsidR="00181AAD">
        <w:rPr>
          <w:rFonts w:ascii="David" w:hAnsi="David" w:hint="cs"/>
          <w:sz w:val="24"/>
          <w:rtl/>
        </w:rPr>
        <w:t>אצל הייעוץ המשפטי לממשלה</w:t>
      </w:r>
      <w:r w:rsidRPr="00105B76">
        <w:rPr>
          <w:rFonts w:ascii="David" w:hAnsi="David"/>
          <w:sz w:val="24"/>
          <w:rtl/>
        </w:rPr>
        <w:t xml:space="preserve"> </w:t>
      </w:r>
      <w:r>
        <w:rPr>
          <w:rFonts w:ascii="David" w:hAnsi="David" w:hint="cs"/>
          <w:sz w:val="24"/>
          <w:rtl/>
        </w:rPr>
        <w:t xml:space="preserve">ובהשתתפות </w:t>
      </w:r>
      <w:r w:rsidR="00420D22">
        <w:rPr>
          <w:rFonts w:ascii="David" w:hAnsi="David" w:hint="cs"/>
          <w:sz w:val="24"/>
          <w:rtl/>
        </w:rPr>
        <w:t xml:space="preserve">נציג </w:t>
      </w:r>
      <w:r>
        <w:rPr>
          <w:rFonts w:ascii="David" w:hAnsi="David" w:hint="cs"/>
          <w:sz w:val="24"/>
          <w:rtl/>
        </w:rPr>
        <w:t xml:space="preserve">יועמ"ש המשטרה </w:t>
      </w:r>
      <w:r w:rsidR="00181AAD">
        <w:rPr>
          <w:rFonts w:ascii="David" w:hAnsi="David" w:hint="cs"/>
          <w:sz w:val="24"/>
          <w:rtl/>
        </w:rPr>
        <w:t>ונציג</w:t>
      </w:r>
      <w:r>
        <w:rPr>
          <w:rFonts w:ascii="David" w:hAnsi="David" w:hint="cs"/>
          <w:sz w:val="24"/>
          <w:rtl/>
        </w:rPr>
        <w:t xml:space="preserve"> </w:t>
      </w:r>
      <w:r w:rsidR="00181AAD">
        <w:rPr>
          <w:rFonts w:ascii="David" w:hAnsi="David" w:hint="cs"/>
          <w:sz w:val="24"/>
          <w:rtl/>
        </w:rPr>
        <w:t>ה</w:t>
      </w:r>
      <w:r>
        <w:rPr>
          <w:rFonts w:ascii="David" w:hAnsi="David" w:hint="cs"/>
          <w:sz w:val="24"/>
          <w:rtl/>
        </w:rPr>
        <w:t>פרקליטות, ובה הוסכם פה אחד כי יש חשיבות ראשונה במעלה לקדם את חקיקת חוק החיפוש</w:t>
      </w:r>
      <w:r w:rsidR="008E5BC5">
        <w:rPr>
          <w:rFonts w:ascii="David" w:hAnsi="David" w:hint="cs"/>
          <w:sz w:val="24"/>
          <w:rtl/>
        </w:rPr>
        <w:t xml:space="preserve"> הסמוי</w:t>
      </w:r>
      <w:r>
        <w:rPr>
          <w:rFonts w:ascii="David" w:hAnsi="David" w:hint="cs"/>
          <w:sz w:val="24"/>
          <w:rtl/>
        </w:rPr>
        <w:t xml:space="preserve"> בהקדם האפשרי, ובמידת האפשר במושב החורף הקרוב. עוד סוכם בישיבה כי </w:t>
      </w:r>
      <w:r w:rsidR="00844501">
        <w:rPr>
          <w:rFonts w:ascii="David" w:hAnsi="David" w:hint="cs"/>
          <w:sz w:val="24"/>
          <w:rtl/>
        </w:rPr>
        <w:t>הייעוץ המשפטי לממשלה</w:t>
      </w:r>
      <w:r>
        <w:rPr>
          <w:rFonts w:ascii="David" w:hAnsi="David" w:hint="cs"/>
          <w:sz w:val="24"/>
          <w:rtl/>
        </w:rPr>
        <w:t xml:space="preserve"> תקבע מסגרת זמנים לריכוז המאמצים בנושא, וכי יתואמו ימים לעבודה מרוכזת להכנת נוסח הצעת החוק. </w:t>
      </w:r>
    </w:p>
    <w:p w:rsidR="00913800" w:rsidRPr="006E46A7" w:rsidRDefault="00913800" w:rsidP="005A0F21">
      <w:pPr>
        <w:spacing w:line="269" w:lineRule="auto"/>
        <w:ind w:left="423"/>
        <w:rPr>
          <w:rtl/>
        </w:rPr>
      </w:pPr>
    </w:p>
    <w:p w:rsidR="005E40A0" w:rsidRDefault="005E40A0" w:rsidP="005A0F21">
      <w:pPr>
        <w:spacing w:line="269" w:lineRule="auto"/>
        <w:ind w:left="423"/>
        <w:rPr>
          <w:rFonts w:ascii="David" w:hAnsi="David"/>
          <w:sz w:val="24"/>
          <w:rtl/>
        </w:rPr>
      </w:pPr>
      <w:r>
        <w:rPr>
          <w:rFonts w:ascii="David" w:hAnsi="David" w:hint="cs"/>
          <w:sz w:val="24"/>
          <w:rtl/>
        </w:rPr>
        <w:t xml:space="preserve">באוגוסט 2023 </w:t>
      </w:r>
      <w:r w:rsidR="004728DE">
        <w:rPr>
          <w:rFonts w:ascii="David" w:hAnsi="David" w:hint="cs"/>
          <w:sz w:val="24"/>
          <w:rtl/>
        </w:rPr>
        <w:t xml:space="preserve">התקיים </w:t>
      </w:r>
      <w:r>
        <w:rPr>
          <w:rFonts w:ascii="David" w:hAnsi="David" w:hint="cs"/>
          <w:sz w:val="24"/>
          <w:rtl/>
        </w:rPr>
        <w:t xml:space="preserve">דיון </w:t>
      </w:r>
      <w:r w:rsidR="004728DE">
        <w:rPr>
          <w:rFonts w:ascii="David" w:hAnsi="David" w:hint="cs"/>
          <w:sz w:val="24"/>
          <w:rtl/>
        </w:rPr>
        <w:t>ב</w:t>
      </w:r>
      <w:r>
        <w:rPr>
          <w:rFonts w:ascii="David" w:hAnsi="David" w:hint="cs"/>
          <w:sz w:val="24"/>
          <w:rtl/>
        </w:rPr>
        <w:t>"ועדת המשנה לקידום המאבק בפשיעה בחברה הערבית" בראשות ראש הממשלה ובהשתתפות שר המשפטים והשר לביטחון לאומי</w:t>
      </w:r>
      <w:r w:rsidR="00272A16">
        <w:rPr>
          <w:rFonts w:ascii="David" w:hAnsi="David" w:hint="cs"/>
          <w:sz w:val="24"/>
          <w:rtl/>
        </w:rPr>
        <w:t>,</w:t>
      </w:r>
      <w:r>
        <w:rPr>
          <w:rFonts w:ascii="David" w:hAnsi="David" w:hint="cs"/>
          <w:sz w:val="24"/>
          <w:rtl/>
        </w:rPr>
        <w:t xml:space="preserve"> שרים נוספים ונציגי הגופים הרלוונטיים ובכלל זה המשטרה וגורמי הייעוץ המשפטי לממשלה</w:t>
      </w:r>
      <w:r w:rsidR="009035B9">
        <w:rPr>
          <w:rFonts w:ascii="David" w:hAnsi="David" w:hint="cs"/>
          <w:sz w:val="24"/>
          <w:rtl/>
        </w:rPr>
        <w:t>.</w:t>
      </w:r>
      <w:r>
        <w:rPr>
          <w:rFonts w:ascii="David" w:hAnsi="David" w:hint="cs"/>
          <w:sz w:val="24"/>
          <w:rtl/>
        </w:rPr>
        <w:t xml:space="preserve"> </w:t>
      </w:r>
      <w:r w:rsidR="004728DE">
        <w:rPr>
          <w:rFonts w:ascii="David" w:hAnsi="David" w:hint="cs"/>
          <w:sz w:val="24"/>
          <w:rtl/>
        </w:rPr>
        <w:t xml:space="preserve">בדיון זה </w:t>
      </w:r>
      <w:r>
        <w:rPr>
          <w:rFonts w:ascii="David" w:hAnsi="David" w:hint="cs"/>
          <w:sz w:val="24"/>
          <w:rtl/>
        </w:rPr>
        <w:t>הנחה ראש הממשלה לקדם חוק שיעניק למשטרה סמכות לחיפוש סמוי במחשב.</w:t>
      </w:r>
    </w:p>
    <w:p w:rsidR="005E40A0" w:rsidRPr="006E46A7" w:rsidRDefault="005E40A0" w:rsidP="00604C3D">
      <w:pPr>
        <w:spacing w:line="269" w:lineRule="auto"/>
        <w:rPr>
          <w:rtl/>
        </w:rPr>
      </w:pPr>
    </w:p>
    <w:p w:rsidR="005E40A0" w:rsidRDefault="005E40A0" w:rsidP="005A0F21">
      <w:pPr>
        <w:spacing w:line="269" w:lineRule="auto"/>
        <w:ind w:left="423"/>
        <w:rPr>
          <w:rFonts w:ascii="David" w:hAnsi="David"/>
          <w:sz w:val="24"/>
          <w:rtl/>
        </w:rPr>
      </w:pPr>
      <w:r>
        <w:rPr>
          <w:rFonts w:ascii="David" w:hAnsi="David" w:hint="cs"/>
          <w:sz w:val="24"/>
          <w:rtl/>
        </w:rPr>
        <w:t xml:space="preserve">בספטמבר 2023 בדיון של ועדת המשנה דיווח </w:t>
      </w:r>
      <w:r w:rsidR="005B7BB5">
        <w:rPr>
          <w:rFonts w:ascii="David" w:hAnsi="David" w:hint="cs"/>
          <w:sz w:val="24"/>
          <w:rtl/>
        </w:rPr>
        <w:t xml:space="preserve">נציג הייעוץ המשפטי לממשלה </w:t>
      </w:r>
      <w:r>
        <w:rPr>
          <w:rFonts w:ascii="David" w:hAnsi="David" w:hint="cs"/>
          <w:sz w:val="24"/>
          <w:rtl/>
        </w:rPr>
        <w:t xml:space="preserve">כי הצעת החוק שעניינה הענקת סמכויות למשטרה לבצע חיפוש סמוי במחשב נמצאת בשלבים אחרונים של ניסוח אולם קיימת מחלוקת בנוגע לרשימת העבירות שעליהן יחול החוק שיובאו להכרעת הדרג המדיני. </w:t>
      </w:r>
    </w:p>
    <w:p w:rsidR="005E40A0" w:rsidRPr="006E46A7" w:rsidRDefault="005E40A0" w:rsidP="005A0F21">
      <w:pPr>
        <w:spacing w:line="269" w:lineRule="auto"/>
        <w:ind w:left="423"/>
        <w:rPr>
          <w:rtl/>
        </w:rPr>
      </w:pPr>
    </w:p>
    <w:p w:rsidR="00BA3036" w:rsidRDefault="005E40A0" w:rsidP="005A0F21">
      <w:pPr>
        <w:spacing w:line="269" w:lineRule="auto"/>
        <w:ind w:left="423"/>
        <w:rPr>
          <w:rFonts w:ascii="David" w:hAnsi="David"/>
          <w:sz w:val="24"/>
          <w:rtl/>
        </w:rPr>
      </w:pPr>
      <w:r>
        <w:rPr>
          <w:rFonts w:ascii="David" w:hAnsi="David" w:hint="cs"/>
          <w:sz w:val="24"/>
          <w:rtl/>
        </w:rPr>
        <w:t xml:space="preserve">במאי 2024 בדיון של ועדת המשנה חזר ואמר </w:t>
      </w:r>
      <w:r w:rsidR="005B7BB5">
        <w:rPr>
          <w:rFonts w:ascii="David" w:hAnsi="David" w:hint="cs"/>
          <w:sz w:val="24"/>
          <w:rtl/>
        </w:rPr>
        <w:t>נציג הייעוץ המשפטי לממשלה</w:t>
      </w:r>
      <w:r>
        <w:rPr>
          <w:rFonts w:ascii="David" w:hAnsi="David" w:hint="cs"/>
          <w:sz w:val="24"/>
          <w:rtl/>
        </w:rPr>
        <w:t xml:space="preserve"> כי קיימת מחלוקת </w:t>
      </w:r>
      <w:r w:rsidR="009035B9">
        <w:rPr>
          <w:rFonts w:ascii="David" w:hAnsi="David" w:hint="cs"/>
          <w:sz w:val="24"/>
          <w:rtl/>
        </w:rPr>
        <w:t xml:space="preserve">בין </w:t>
      </w:r>
      <w:r>
        <w:rPr>
          <w:rFonts w:ascii="David" w:hAnsi="David" w:hint="cs"/>
          <w:sz w:val="24"/>
          <w:rtl/>
        </w:rPr>
        <w:t xml:space="preserve">הגורמים המדיניים </w:t>
      </w:r>
      <w:r w:rsidR="009035B9">
        <w:rPr>
          <w:rFonts w:ascii="David" w:hAnsi="David" w:hint="cs"/>
          <w:sz w:val="24"/>
          <w:rtl/>
        </w:rPr>
        <w:t xml:space="preserve">לבין </w:t>
      </w:r>
      <w:r>
        <w:rPr>
          <w:rFonts w:ascii="David" w:hAnsi="David" w:hint="cs"/>
          <w:sz w:val="24"/>
          <w:rtl/>
        </w:rPr>
        <w:t xml:space="preserve">היועצת המשפטית לממשלה, בנוגע לרשימת העבירות שלגביהן תחול סמכות חיפוש סמוי במחשב. עמדתה של היועצת המשפטית לממשלה היא כי יש לקבוע רף עבירות אחיד של </w:t>
      </w:r>
      <w:r w:rsidR="008B579C">
        <w:rPr>
          <w:rFonts w:ascii="David" w:hAnsi="David" w:hint="cs"/>
          <w:sz w:val="24"/>
          <w:rtl/>
        </w:rPr>
        <w:t xml:space="preserve">עשר </w:t>
      </w:r>
      <w:r w:rsidR="00D51047">
        <w:rPr>
          <w:rFonts w:ascii="David" w:hAnsi="David" w:hint="cs"/>
          <w:sz w:val="24"/>
          <w:rtl/>
        </w:rPr>
        <w:t xml:space="preserve">או שבע </w:t>
      </w:r>
      <w:r>
        <w:rPr>
          <w:rFonts w:ascii="David" w:hAnsi="David" w:hint="cs"/>
          <w:sz w:val="24"/>
          <w:rtl/>
        </w:rPr>
        <w:t xml:space="preserve">שנות מאסר ומעלה כדי לקדם את תזכיר החוק. </w:t>
      </w:r>
    </w:p>
    <w:p w:rsidR="00BA3036" w:rsidRPr="006E46A7" w:rsidRDefault="00BA3036" w:rsidP="005A0F21">
      <w:pPr>
        <w:spacing w:line="269" w:lineRule="auto"/>
        <w:ind w:left="423"/>
        <w:rPr>
          <w:rtl/>
        </w:rPr>
      </w:pPr>
    </w:p>
    <w:p w:rsidR="005E40A0" w:rsidRDefault="005E40A0" w:rsidP="005A0F21">
      <w:pPr>
        <w:spacing w:line="269" w:lineRule="auto"/>
        <w:ind w:left="423"/>
        <w:rPr>
          <w:rFonts w:ascii="David" w:hAnsi="David"/>
          <w:sz w:val="24"/>
          <w:rtl/>
        </w:rPr>
      </w:pPr>
      <w:r>
        <w:rPr>
          <w:rFonts w:ascii="David" w:hAnsi="David" w:hint="cs"/>
          <w:sz w:val="24"/>
          <w:rtl/>
        </w:rPr>
        <w:t xml:space="preserve">בסיום הישיבה </w:t>
      </w:r>
      <w:r w:rsidR="009035B9">
        <w:rPr>
          <w:rFonts w:ascii="David" w:hAnsi="David" w:hint="cs"/>
          <w:sz w:val="24"/>
          <w:rtl/>
        </w:rPr>
        <w:t>החליטו</w:t>
      </w:r>
      <w:r>
        <w:rPr>
          <w:rFonts w:ascii="David" w:hAnsi="David" w:hint="cs"/>
          <w:sz w:val="24"/>
          <w:rtl/>
        </w:rPr>
        <w:t xml:space="preserve"> השרים כי הצעת חוק חיפוש סמוי תחול על עבירות המתה וכן על עבירות הנוגעות לסחיטת דמי חסות, סחיטה באיומים, סחר בסמים, סחר בבני אדם, סחר באמל"ח</w:t>
      </w:r>
      <w:r w:rsidR="008E5BC5">
        <w:rPr>
          <w:rFonts w:ascii="David" w:hAnsi="David" w:hint="cs"/>
          <w:sz w:val="24"/>
          <w:rtl/>
        </w:rPr>
        <w:t>,</w:t>
      </w:r>
      <w:r>
        <w:rPr>
          <w:rFonts w:ascii="David" w:hAnsi="David" w:hint="cs"/>
          <w:sz w:val="24"/>
          <w:rtl/>
        </w:rPr>
        <w:t xml:space="preserve"> אונס ועבירות לפי חוק המאבק בארגוני פשיעה, תשס"ג-2003. בדצמבר 2024 כתב עוזר בכיר ליועצת המשפטית לממשלה לראש מטה השר לביטחון לאומי כי ההחלטה שלא לקדם את הצעת החוק שגובשה עד כה היא של השרים זאת "על רקע התנגדות השרים לכך שהכלים הטכנולוגיים ישמשו גם לחקירת עבירות שחיתות שלטוניות, ואף לגבי חקירת עבירות השחיתות החמורה ביותר </w:t>
      </w:r>
      <w:r w:rsidR="003D6F75">
        <w:rPr>
          <w:rFonts w:ascii="David" w:hAnsi="David" w:hint="cs"/>
          <w:sz w:val="24"/>
          <w:rtl/>
        </w:rPr>
        <w:t>-</w:t>
      </w:r>
      <w:r>
        <w:rPr>
          <w:rFonts w:ascii="David" w:hAnsi="David" w:hint="cs"/>
          <w:sz w:val="24"/>
          <w:rtl/>
        </w:rPr>
        <w:t xml:space="preserve"> לקיחת שוחד. עמדת השרים עומדת בניגוד לעמדתם של כלל גורמי המקצוע במערכת אכיפת החוק".</w:t>
      </w:r>
    </w:p>
    <w:p w:rsidR="009160F3" w:rsidRPr="006E46A7" w:rsidRDefault="009160F3" w:rsidP="005A0F21">
      <w:pPr>
        <w:spacing w:line="269" w:lineRule="auto"/>
        <w:ind w:left="423"/>
        <w:rPr>
          <w:rtl/>
        </w:rPr>
      </w:pPr>
    </w:p>
    <w:p w:rsidR="00BA3036" w:rsidRDefault="00BA3036" w:rsidP="005A0F21">
      <w:pPr>
        <w:spacing w:line="269" w:lineRule="auto"/>
        <w:ind w:left="423"/>
        <w:rPr>
          <w:rFonts w:ascii="David" w:hAnsi="David"/>
          <w:sz w:val="24"/>
          <w:rtl/>
        </w:rPr>
      </w:pPr>
      <w:r w:rsidRPr="00BA3036">
        <w:rPr>
          <w:rFonts w:ascii="David" w:hAnsi="David" w:hint="cs"/>
          <w:sz w:val="24"/>
          <w:rtl/>
        </w:rPr>
        <w:t>בפועל הצעת החוק לא קודמה בשל המחלוקת בין היועצת המשפטית לממשלה לבין השר לביטחון לאומי ושר המשפטים.</w:t>
      </w:r>
    </w:p>
    <w:p w:rsidR="00BA3036" w:rsidRPr="006E46A7" w:rsidRDefault="00BA3036" w:rsidP="005A0F21">
      <w:pPr>
        <w:spacing w:line="269" w:lineRule="auto"/>
        <w:ind w:left="423"/>
        <w:rPr>
          <w:rtl/>
        </w:rPr>
      </w:pPr>
    </w:p>
    <w:p w:rsidR="009160F3" w:rsidRDefault="009160F3" w:rsidP="005A0F21">
      <w:pPr>
        <w:spacing w:line="269" w:lineRule="auto"/>
        <w:ind w:left="423"/>
        <w:rPr>
          <w:rFonts w:ascii="David" w:hAnsi="David"/>
          <w:sz w:val="24"/>
          <w:rtl/>
        </w:rPr>
      </w:pPr>
      <w:r>
        <w:rPr>
          <w:rFonts w:ascii="David" w:hAnsi="David" w:hint="cs"/>
          <w:sz w:val="24"/>
          <w:rtl/>
        </w:rPr>
        <w:t xml:space="preserve">המשטרה כתבה בתשובתה כי </w:t>
      </w:r>
      <w:r w:rsidRPr="00620CB9">
        <w:rPr>
          <w:rFonts w:ascii="David" w:hAnsi="David" w:hint="cs"/>
          <w:sz w:val="24"/>
          <w:rtl/>
        </w:rPr>
        <w:t>ה</w:t>
      </w:r>
      <w:r>
        <w:rPr>
          <w:rFonts w:ascii="David" w:hAnsi="David" w:hint="cs"/>
          <w:sz w:val="24"/>
          <w:rtl/>
        </w:rPr>
        <w:t xml:space="preserve">יא </w:t>
      </w:r>
      <w:r w:rsidRPr="00620CB9">
        <w:rPr>
          <w:rFonts w:ascii="David" w:hAnsi="David" w:hint="cs"/>
          <w:sz w:val="24"/>
          <w:rtl/>
        </w:rPr>
        <w:t xml:space="preserve">פעלה </w:t>
      </w:r>
      <w:r>
        <w:rPr>
          <w:rFonts w:ascii="David" w:hAnsi="David" w:hint="cs"/>
          <w:sz w:val="24"/>
          <w:rtl/>
        </w:rPr>
        <w:t xml:space="preserve">לאורך שנים </w:t>
      </w:r>
      <w:r w:rsidRPr="00620CB9">
        <w:rPr>
          <w:rFonts w:ascii="David" w:hAnsi="David" w:hint="cs"/>
          <w:sz w:val="24"/>
          <w:rtl/>
        </w:rPr>
        <w:t xml:space="preserve">ועודנה פועלת לקידום </w:t>
      </w:r>
      <w:r>
        <w:rPr>
          <w:rFonts w:ascii="David" w:hAnsi="David" w:hint="cs"/>
          <w:sz w:val="24"/>
          <w:rtl/>
        </w:rPr>
        <w:t>חקיקת חוק המאפשר חיפוש</w:t>
      </w:r>
      <w:r w:rsidRPr="00620CB9">
        <w:rPr>
          <w:rFonts w:ascii="David" w:hAnsi="David" w:hint="cs"/>
          <w:sz w:val="24"/>
          <w:rtl/>
        </w:rPr>
        <w:t xml:space="preserve"> חומר במחשב והעתקתו באופן סמוי</w:t>
      </w:r>
      <w:r>
        <w:rPr>
          <w:rFonts w:ascii="David" w:hAnsi="David" w:hint="cs"/>
          <w:sz w:val="24"/>
          <w:rtl/>
        </w:rPr>
        <w:t xml:space="preserve">. למשל, </w:t>
      </w:r>
      <w:r w:rsidRPr="00570604">
        <w:rPr>
          <w:rFonts w:ascii="David" w:hAnsi="David" w:hint="cs"/>
          <w:sz w:val="24"/>
          <w:rtl/>
        </w:rPr>
        <w:t>ביום 18.10.17 פנה הייעוץ המשפטי למשטרה אל השר לב</w:t>
      </w:r>
      <w:r>
        <w:rPr>
          <w:rFonts w:ascii="David" w:hAnsi="David" w:hint="cs"/>
          <w:sz w:val="24"/>
          <w:rtl/>
        </w:rPr>
        <w:t>יטחון לאומי</w:t>
      </w:r>
      <w:r w:rsidRPr="00570604">
        <w:rPr>
          <w:rFonts w:ascii="David" w:hAnsi="David" w:hint="cs"/>
          <w:sz w:val="24"/>
          <w:rtl/>
        </w:rPr>
        <w:t xml:space="preserve"> בבקשה לקדם חקיקת סעיפים נבחרים מהצעת חוק סדר הדין הפלילי (סמכויות אכיפה - המצאה, תפיסה וחיפוש)</w:t>
      </w:r>
      <w:r>
        <w:rPr>
          <w:rFonts w:ascii="David" w:hAnsi="David" w:hint="cs"/>
          <w:sz w:val="24"/>
          <w:rtl/>
        </w:rPr>
        <w:t xml:space="preserve">; </w:t>
      </w:r>
      <w:r w:rsidRPr="004F035B">
        <w:rPr>
          <w:rFonts w:ascii="David" w:hAnsi="David" w:hint="cs"/>
          <w:sz w:val="24"/>
          <w:rtl/>
        </w:rPr>
        <w:t>באוקטובר 2019</w:t>
      </w:r>
      <w:r>
        <w:rPr>
          <w:rFonts w:ascii="David" w:hAnsi="David" w:hint="cs"/>
          <w:sz w:val="24"/>
          <w:rtl/>
        </w:rPr>
        <w:t>,</w:t>
      </w:r>
      <w:r w:rsidRPr="004F035B">
        <w:rPr>
          <w:rFonts w:ascii="David" w:hAnsi="David" w:hint="cs"/>
          <w:sz w:val="24"/>
          <w:rtl/>
        </w:rPr>
        <w:t xml:space="preserve"> במסגרת הדיונים שקיים השר בנושא המאבק באלימות במגזר הערבי</w:t>
      </w:r>
      <w:r>
        <w:rPr>
          <w:rFonts w:ascii="David" w:hAnsi="David" w:hint="cs"/>
          <w:sz w:val="24"/>
          <w:rtl/>
        </w:rPr>
        <w:t>,</w:t>
      </w:r>
      <w:r w:rsidRPr="004F035B">
        <w:rPr>
          <w:rFonts w:ascii="David" w:hAnsi="David" w:hint="cs"/>
          <w:sz w:val="24"/>
          <w:rtl/>
        </w:rPr>
        <w:t xml:space="preserve"> שבה המשטרה ופנתה ליועמ"ש המשרד </w:t>
      </w:r>
      <w:r>
        <w:rPr>
          <w:rFonts w:ascii="David" w:hAnsi="David" w:hint="cs"/>
          <w:sz w:val="24"/>
          <w:rtl/>
        </w:rPr>
        <w:t>לביטחון לאומי</w:t>
      </w:r>
      <w:r w:rsidRPr="004F035B">
        <w:rPr>
          <w:rFonts w:ascii="David" w:hAnsi="David" w:hint="cs"/>
          <w:sz w:val="24"/>
          <w:rtl/>
        </w:rPr>
        <w:t xml:space="preserve"> בבקשה </w:t>
      </w:r>
      <w:r w:rsidRPr="004F035B">
        <w:rPr>
          <w:rFonts w:ascii="David" w:hAnsi="David" w:hint="eastAsia"/>
          <w:sz w:val="24"/>
          <w:rtl/>
        </w:rPr>
        <w:t>לפעול</w:t>
      </w:r>
      <w:r w:rsidRPr="004F035B">
        <w:rPr>
          <w:rFonts w:ascii="David" w:hAnsi="David"/>
          <w:sz w:val="24"/>
          <w:rtl/>
        </w:rPr>
        <w:t xml:space="preserve"> </w:t>
      </w:r>
      <w:r w:rsidRPr="004F035B">
        <w:rPr>
          <w:rFonts w:ascii="David" w:hAnsi="David" w:hint="eastAsia"/>
          <w:sz w:val="24"/>
          <w:rtl/>
        </w:rPr>
        <w:t>לפיצול</w:t>
      </w:r>
      <w:r w:rsidRPr="004F035B">
        <w:rPr>
          <w:rFonts w:ascii="David" w:hAnsi="David"/>
          <w:sz w:val="24"/>
          <w:rtl/>
        </w:rPr>
        <w:t xml:space="preserve"> </w:t>
      </w:r>
      <w:r w:rsidRPr="004F035B">
        <w:rPr>
          <w:rFonts w:ascii="David" w:hAnsi="David" w:hint="eastAsia"/>
          <w:sz w:val="24"/>
          <w:rtl/>
        </w:rPr>
        <w:t>סמכויות</w:t>
      </w:r>
      <w:r w:rsidRPr="004F035B">
        <w:rPr>
          <w:rFonts w:ascii="David" w:hAnsi="David"/>
          <w:sz w:val="24"/>
          <w:rtl/>
        </w:rPr>
        <w:t xml:space="preserve"> </w:t>
      </w:r>
      <w:r w:rsidRPr="004F035B">
        <w:rPr>
          <w:rFonts w:ascii="David" w:hAnsi="David" w:hint="eastAsia"/>
          <w:sz w:val="24"/>
          <w:rtl/>
        </w:rPr>
        <w:t>נבחרות</w:t>
      </w:r>
      <w:r w:rsidRPr="004F035B">
        <w:rPr>
          <w:rFonts w:ascii="David" w:hAnsi="David"/>
          <w:sz w:val="24"/>
          <w:rtl/>
        </w:rPr>
        <w:t xml:space="preserve"> </w:t>
      </w:r>
      <w:r w:rsidRPr="004F035B">
        <w:rPr>
          <w:rFonts w:ascii="David" w:hAnsi="David" w:hint="eastAsia"/>
          <w:sz w:val="24"/>
          <w:rtl/>
        </w:rPr>
        <w:t>מהצעת</w:t>
      </w:r>
      <w:r w:rsidRPr="004F035B">
        <w:rPr>
          <w:rFonts w:ascii="David" w:hAnsi="David"/>
          <w:sz w:val="24"/>
          <w:rtl/>
        </w:rPr>
        <w:t xml:space="preserve"> </w:t>
      </w:r>
      <w:r w:rsidRPr="004F035B">
        <w:rPr>
          <w:rFonts w:ascii="David" w:hAnsi="David" w:hint="eastAsia"/>
          <w:sz w:val="24"/>
          <w:rtl/>
        </w:rPr>
        <w:t>החוק</w:t>
      </w:r>
      <w:r w:rsidRPr="004F035B">
        <w:rPr>
          <w:rFonts w:ascii="David" w:hAnsi="David" w:hint="cs"/>
          <w:sz w:val="24"/>
          <w:rtl/>
        </w:rPr>
        <w:t xml:space="preserve">, ובהן </w:t>
      </w:r>
      <w:r w:rsidRPr="004F035B">
        <w:rPr>
          <w:rFonts w:ascii="David" w:hAnsi="David" w:hint="eastAsia"/>
          <w:sz w:val="24"/>
          <w:rtl/>
        </w:rPr>
        <w:t>סמכות</w:t>
      </w:r>
      <w:r w:rsidRPr="004F035B">
        <w:rPr>
          <w:rFonts w:ascii="David" w:hAnsi="David"/>
          <w:sz w:val="24"/>
          <w:rtl/>
        </w:rPr>
        <w:t xml:space="preserve"> </w:t>
      </w:r>
      <w:r w:rsidRPr="004F035B">
        <w:rPr>
          <w:rFonts w:ascii="David" w:hAnsi="David" w:hint="eastAsia"/>
          <w:sz w:val="24"/>
          <w:rtl/>
        </w:rPr>
        <w:t>החדירה</w:t>
      </w:r>
      <w:r w:rsidRPr="004F035B">
        <w:rPr>
          <w:rFonts w:ascii="David" w:hAnsi="David"/>
          <w:sz w:val="24"/>
          <w:rtl/>
        </w:rPr>
        <w:t xml:space="preserve"> </w:t>
      </w:r>
      <w:r w:rsidRPr="004F035B">
        <w:rPr>
          <w:rFonts w:ascii="David" w:hAnsi="David" w:hint="eastAsia"/>
          <w:sz w:val="24"/>
          <w:rtl/>
        </w:rPr>
        <w:t>לחומר</w:t>
      </w:r>
      <w:r w:rsidRPr="004F035B">
        <w:rPr>
          <w:rFonts w:ascii="David" w:hAnsi="David"/>
          <w:sz w:val="24"/>
          <w:rtl/>
        </w:rPr>
        <w:t xml:space="preserve"> </w:t>
      </w:r>
      <w:r w:rsidRPr="004F035B">
        <w:rPr>
          <w:rFonts w:ascii="David" w:hAnsi="David" w:hint="eastAsia"/>
          <w:sz w:val="24"/>
          <w:rtl/>
        </w:rPr>
        <w:t>מחשב</w:t>
      </w:r>
      <w:r w:rsidRPr="004F035B">
        <w:rPr>
          <w:rFonts w:ascii="David" w:hAnsi="David"/>
          <w:sz w:val="24"/>
          <w:rtl/>
        </w:rPr>
        <w:t xml:space="preserve"> </w:t>
      </w:r>
      <w:r w:rsidRPr="004F035B">
        <w:rPr>
          <w:rFonts w:ascii="David" w:hAnsi="David" w:hint="eastAsia"/>
          <w:sz w:val="24"/>
          <w:rtl/>
        </w:rPr>
        <w:t>ללא</w:t>
      </w:r>
      <w:r w:rsidRPr="004F035B">
        <w:rPr>
          <w:rFonts w:ascii="David" w:hAnsi="David"/>
          <w:sz w:val="24"/>
          <w:rtl/>
        </w:rPr>
        <w:t xml:space="preserve"> </w:t>
      </w:r>
      <w:r w:rsidRPr="004F035B">
        <w:rPr>
          <w:rFonts w:ascii="David" w:hAnsi="David" w:hint="eastAsia"/>
          <w:sz w:val="24"/>
          <w:rtl/>
        </w:rPr>
        <w:t>ידיעת</w:t>
      </w:r>
      <w:r w:rsidRPr="004F035B">
        <w:rPr>
          <w:rFonts w:ascii="David" w:hAnsi="David"/>
          <w:sz w:val="24"/>
          <w:rtl/>
        </w:rPr>
        <w:t xml:space="preserve"> </w:t>
      </w:r>
      <w:r w:rsidRPr="004F035B">
        <w:rPr>
          <w:rFonts w:ascii="David" w:hAnsi="David" w:hint="eastAsia"/>
          <w:sz w:val="24"/>
          <w:rtl/>
        </w:rPr>
        <w:t>הבעלים</w:t>
      </w:r>
      <w:r>
        <w:rPr>
          <w:rFonts w:ascii="David" w:hAnsi="David" w:hint="cs"/>
          <w:sz w:val="24"/>
          <w:rtl/>
        </w:rPr>
        <w:t>,</w:t>
      </w:r>
      <w:r w:rsidRPr="004F035B">
        <w:rPr>
          <w:rFonts w:ascii="David" w:hAnsi="David"/>
          <w:sz w:val="24"/>
          <w:rtl/>
        </w:rPr>
        <w:t xml:space="preserve"> </w:t>
      </w:r>
      <w:r w:rsidRPr="004F035B">
        <w:rPr>
          <w:rFonts w:ascii="David" w:hAnsi="David" w:hint="eastAsia"/>
          <w:sz w:val="24"/>
          <w:rtl/>
        </w:rPr>
        <w:t>ול</w:t>
      </w:r>
      <w:r w:rsidRPr="004F035B">
        <w:rPr>
          <w:rFonts w:ascii="David" w:hAnsi="David" w:hint="cs"/>
          <w:sz w:val="24"/>
          <w:rtl/>
        </w:rPr>
        <w:t>ק</w:t>
      </w:r>
      <w:r w:rsidRPr="004F035B">
        <w:rPr>
          <w:rFonts w:ascii="David" w:hAnsi="David" w:hint="eastAsia"/>
          <w:sz w:val="24"/>
          <w:rtl/>
        </w:rPr>
        <w:t>דמ</w:t>
      </w:r>
      <w:r w:rsidRPr="004F035B">
        <w:rPr>
          <w:rFonts w:ascii="David" w:hAnsi="David" w:hint="cs"/>
          <w:sz w:val="24"/>
          <w:rtl/>
        </w:rPr>
        <w:t>ן</w:t>
      </w:r>
      <w:r w:rsidRPr="004F035B">
        <w:rPr>
          <w:rFonts w:ascii="David" w:hAnsi="David"/>
          <w:sz w:val="24"/>
          <w:rtl/>
        </w:rPr>
        <w:t xml:space="preserve"> </w:t>
      </w:r>
      <w:r w:rsidRPr="004F035B">
        <w:rPr>
          <w:rFonts w:ascii="David" w:hAnsi="David" w:hint="eastAsia"/>
          <w:sz w:val="24"/>
          <w:rtl/>
        </w:rPr>
        <w:t>במתווה</w:t>
      </w:r>
      <w:r w:rsidRPr="004F035B">
        <w:rPr>
          <w:rFonts w:ascii="David" w:hAnsi="David"/>
          <w:sz w:val="24"/>
          <w:rtl/>
        </w:rPr>
        <w:t xml:space="preserve"> </w:t>
      </w:r>
      <w:r w:rsidRPr="004F035B">
        <w:rPr>
          <w:rFonts w:ascii="David" w:hAnsi="David" w:hint="eastAsia"/>
          <w:sz w:val="24"/>
          <w:rtl/>
        </w:rPr>
        <w:t>נפרד</w:t>
      </w:r>
      <w:r w:rsidRPr="004F035B">
        <w:rPr>
          <w:rFonts w:ascii="David" w:hAnsi="David"/>
          <w:sz w:val="24"/>
          <w:rtl/>
        </w:rPr>
        <w:t xml:space="preserve">, </w:t>
      </w:r>
      <w:r w:rsidRPr="004F035B">
        <w:rPr>
          <w:rFonts w:ascii="David" w:hAnsi="David" w:hint="eastAsia"/>
          <w:sz w:val="24"/>
          <w:rtl/>
        </w:rPr>
        <w:t>מזורז</w:t>
      </w:r>
      <w:r>
        <w:rPr>
          <w:rFonts w:ascii="David" w:hAnsi="David" w:hint="cs"/>
          <w:sz w:val="24"/>
          <w:rtl/>
        </w:rPr>
        <w:t>; בדצמבר 2022 כתב יועמ"ש המשטרה לשר לביטחון לאומי כי משרד המשפטים מנהל עבודת מטה בין-משרדית לסגירת הנקודות שנותרו פתוחות בהצעת החוק; בנובמבר 2023 פנה מפכ"ל המשטרה לשר לביטחון לאומי בבקשה לקדם, בין היתר, חקיקה דחופה להרחבת סמכויות המשטרה עקב מצב החירום ובכלל זה חוק החיפוש הסמוי</w:t>
      </w:r>
      <w:r w:rsidR="006C352B">
        <w:rPr>
          <w:rFonts w:ascii="David" w:hAnsi="David" w:hint="cs"/>
          <w:sz w:val="24"/>
          <w:rtl/>
        </w:rPr>
        <w:t>.</w:t>
      </w:r>
    </w:p>
    <w:p w:rsidR="009160F3" w:rsidRPr="006E46A7" w:rsidRDefault="009160F3" w:rsidP="005A0F21">
      <w:pPr>
        <w:spacing w:line="269" w:lineRule="auto"/>
        <w:ind w:left="423"/>
        <w:rPr>
          <w:rtl/>
        </w:rPr>
      </w:pPr>
    </w:p>
    <w:p w:rsidR="009160F3" w:rsidRDefault="009160F3" w:rsidP="005A0F21">
      <w:pPr>
        <w:spacing w:line="269" w:lineRule="auto"/>
        <w:ind w:left="423"/>
        <w:rPr>
          <w:rFonts w:ascii="David" w:hAnsi="David"/>
          <w:sz w:val="24"/>
          <w:rtl/>
        </w:rPr>
      </w:pPr>
      <w:r>
        <w:rPr>
          <w:rFonts w:ascii="David" w:hAnsi="David" w:hint="cs"/>
          <w:sz w:val="24"/>
          <w:rtl/>
        </w:rPr>
        <w:t xml:space="preserve">משרד המשפטים כתב בתשובתו כי לאחרונה גובשה על ידי הייעוץ המשפטי לממשלה טיוטת תזכיר חוק בעניין מתן סמכות החיפוש הסמוי במחשב למשטרה, וזאת נוכח החלטת ועדת המשנה למאבק בפשיעה בחברה הערבית בראשות ראש הממשלה לקדם תיקון זה (לצד תיקונים נוספים) במהירות האפשרית. במהלך חודש נובמבר 2023 גובשה טיוטת תזכיר, ובינואר 2024 נשלחה עמדה עדכנית למשטרה ולמשרד לביטחון לאומי. מאז מועד זה, ונוכח מחלוקת בין עמדת הייעוץ המשפטי לממשלה לעמדת הדרג המדיני בנוגע לעבירות שלגביהן תינתן הסמכות, ולנוכח התנגדות הדרג המדיני להחלת החוק על עבירות של שחיתות שלטונית, טרם ניתן אישור הדרג המדיני להפצת תזכיר החוק, ולא ניתן לקדם את סמכות החיפוש הסמוי במחשב. </w:t>
      </w:r>
    </w:p>
    <w:p w:rsidR="00432C08" w:rsidRDefault="00432C08" w:rsidP="00604C3D">
      <w:pPr>
        <w:spacing w:line="269" w:lineRule="auto"/>
        <w:rPr>
          <w:rFonts w:ascii="David" w:hAnsi="David"/>
          <w:sz w:val="24"/>
          <w:rtl/>
        </w:rPr>
      </w:pPr>
    </w:p>
    <w:p w:rsidR="002E433D" w:rsidRDefault="00432C08" w:rsidP="005A0F21">
      <w:pPr>
        <w:spacing w:line="269" w:lineRule="auto"/>
        <w:ind w:left="423"/>
        <w:rPr>
          <w:rFonts w:ascii="David" w:hAnsi="David"/>
          <w:sz w:val="24"/>
          <w:rtl/>
        </w:rPr>
      </w:pPr>
      <w:r>
        <w:rPr>
          <w:rFonts w:ascii="David" w:hAnsi="David" w:hint="cs"/>
          <w:sz w:val="24"/>
          <w:rtl/>
        </w:rPr>
        <w:t>שר המשפטים מסר בתשובתו</w:t>
      </w:r>
      <w:r w:rsidR="00770B0E">
        <w:rPr>
          <w:rFonts w:ascii="David" w:hAnsi="David" w:hint="cs"/>
          <w:sz w:val="24"/>
          <w:rtl/>
        </w:rPr>
        <w:t xml:space="preserve"> מאפריל 2025</w:t>
      </w:r>
      <w:r>
        <w:rPr>
          <w:rFonts w:ascii="David" w:hAnsi="David" w:hint="cs"/>
          <w:sz w:val="24"/>
          <w:rtl/>
        </w:rPr>
        <w:t xml:space="preserve"> כי הסמכויות האמורות להינתן למשטרה </w:t>
      </w:r>
      <w:r w:rsidR="008453C5">
        <w:rPr>
          <w:rFonts w:ascii="David" w:hAnsi="David" w:hint="cs"/>
          <w:sz w:val="24"/>
          <w:rtl/>
        </w:rPr>
        <w:t xml:space="preserve">במסגרת חקיקה זו הן </w:t>
      </w:r>
      <w:r>
        <w:rPr>
          <w:rFonts w:ascii="David" w:hAnsi="David" w:hint="cs"/>
          <w:sz w:val="24"/>
          <w:rtl/>
        </w:rPr>
        <w:t>מרחיקות לכת</w:t>
      </w:r>
      <w:r w:rsidR="008453C5">
        <w:rPr>
          <w:rFonts w:ascii="David" w:hAnsi="David" w:hint="cs"/>
          <w:sz w:val="24"/>
          <w:rtl/>
        </w:rPr>
        <w:t>,</w:t>
      </w:r>
      <w:r>
        <w:rPr>
          <w:rFonts w:ascii="David" w:hAnsi="David" w:hint="cs"/>
          <w:sz w:val="24"/>
          <w:rtl/>
        </w:rPr>
        <w:t xml:space="preserve"> ו</w:t>
      </w:r>
      <w:r w:rsidR="008453C5">
        <w:rPr>
          <w:rFonts w:ascii="David" w:hAnsi="David" w:hint="cs"/>
          <w:sz w:val="24"/>
          <w:rtl/>
        </w:rPr>
        <w:t xml:space="preserve">כי </w:t>
      </w:r>
      <w:r>
        <w:rPr>
          <w:rFonts w:ascii="David" w:hAnsi="David" w:hint="cs"/>
          <w:sz w:val="24"/>
          <w:rtl/>
        </w:rPr>
        <w:t>קיים חשש כבד שאיש</w:t>
      </w:r>
      <w:r w:rsidR="008453C5">
        <w:rPr>
          <w:rFonts w:ascii="David" w:hAnsi="David" w:hint="cs"/>
          <w:sz w:val="24"/>
          <w:rtl/>
        </w:rPr>
        <w:t>ו</w:t>
      </w:r>
      <w:r>
        <w:rPr>
          <w:rFonts w:ascii="David" w:hAnsi="David" w:hint="cs"/>
          <w:sz w:val="24"/>
          <w:rtl/>
        </w:rPr>
        <w:t xml:space="preserve">ר שימוש בכלים לצרכים שאינם נוגעים למאבק בארגוני פשיעה יביא לשימוש בהם שלא כדין או </w:t>
      </w:r>
      <w:r w:rsidR="008453C5">
        <w:rPr>
          <w:rFonts w:ascii="David" w:hAnsi="David" w:hint="cs"/>
          <w:sz w:val="24"/>
          <w:rtl/>
        </w:rPr>
        <w:t>ש</w:t>
      </w:r>
      <w:r>
        <w:rPr>
          <w:rFonts w:ascii="David" w:hAnsi="David" w:hint="cs"/>
          <w:sz w:val="24"/>
          <w:rtl/>
        </w:rPr>
        <w:t xml:space="preserve">לא למטרת מיגור הפשיעה והמאבק בארגוני פשיעה. </w:t>
      </w:r>
      <w:r w:rsidR="002E433D">
        <w:rPr>
          <w:rFonts w:ascii="David" w:hAnsi="David" w:hint="cs"/>
          <w:sz w:val="24"/>
          <w:rtl/>
        </w:rPr>
        <w:t xml:space="preserve">ולכן, עמדת הדרג המדיני היא שאישור הכלים הדרושים למשטרה יכול להיעשות רק לצרכי מאבק בפשיעה המאורגנת ולצרכים אלו בלבד ורק לאחר שיובטחו מנגנוני בקרה ופיקוח הולמים על השימוש בהם. </w:t>
      </w:r>
    </w:p>
    <w:p w:rsidR="002E433D" w:rsidRDefault="002E433D" w:rsidP="005A0F21">
      <w:pPr>
        <w:spacing w:line="269" w:lineRule="auto"/>
        <w:ind w:left="423"/>
        <w:rPr>
          <w:rFonts w:ascii="David" w:hAnsi="David"/>
          <w:sz w:val="24"/>
          <w:rtl/>
        </w:rPr>
      </w:pPr>
    </w:p>
    <w:p w:rsidR="002E433D" w:rsidRDefault="008453C5" w:rsidP="005A0F21">
      <w:pPr>
        <w:spacing w:line="269" w:lineRule="auto"/>
        <w:ind w:left="423"/>
        <w:rPr>
          <w:rFonts w:ascii="David" w:hAnsi="David"/>
          <w:sz w:val="24"/>
          <w:rtl/>
        </w:rPr>
      </w:pPr>
      <w:r>
        <w:rPr>
          <w:rFonts w:ascii="David" w:hAnsi="David" w:hint="cs"/>
          <w:sz w:val="24"/>
          <w:rtl/>
        </w:rPr>
        <w:t>עוד מסר השר</w:t>
      </w:r>
      <w:r w:rsidR="00432C08">
        <w:rPr>
          <w:rFonts w:ascii="David" w:hAnsi="David" w:hint="cs"/>
          <w:sz w:val="24"/>
          <w:rtl/>
        </w:rPr>
        <w:t xml:space="preserve"> </w:t>
      </w:r>
      <w:r>
        <w:rPr>
          <w:rFonts w:ascii="David" w:hAnsi="David" w:hint="cs"/>
          <w:sz w:val="24"/>
          <w:rtl/>
        </w:rPr>
        <w:t>כי</w:t>
      </w:r>
      <w:r w:rsidR="002E433D">
        <w:rPr>
          <w:rFonts w:ascii="David" w:hAnsi="David" w:hint="cs"/>
          <w:sz w:val="24"/>
          <w:rtl/>
        </w:rPr>
        <w:t xml:space="preserve"> בנוגע להיקף העבירות עליהן תוחל הסמכות, עמדת היועצת המשפטית לממשלה מנוגדת לעמדת הדרג המדיני</w:t>
      </w:r>
      <w:r w:rsidR="00086AAC">
        <w:rPr>
          <w:rFonts w:ascii="David" w:hAnsi="David" w:hint="cs"/>
          <w:sz w:val="24"/>
          <w:rtl/>
        </w:rPr>
        <w:t>.</w:t>
      </w:r>
      <w:r w:rsidR="002E433D">
        <w:rPr>
          <w:rFonts w:ascii="David" w:hAnsi="David" w:hint="cs"/>
          <w:sz w:val="24"/>
          <w:rtl/>
        </w:rPr>
        <w:t xml:space="preserve"> </w:t>
      </w:r>
      <w:r w:rsidR="00086AAC">
        <w:rPr>
          <w:rFonts w:ascii="David" w:hAnsi="David" w:hint="cs"/>
          <w:sz w:val="24"/>
          <w:rtl/>
        </w:rPr>
        <w:t xml:space="preserve">לראייתו עמדת היועצת המשפטית לממשלה היא כי </w:t>
      </w:r>
      <w:r w:rsidR="002E433D">
        <w:rPr>
          <w:rFonts w:ascii="David" w:hAnsi="David" w:hint="cs"/>
          <w:sz w:val="24"/>
          <w:rtl/>
        </w:rPr>
        <w:t xml:space="preserve">אין לקדם את הצעת החוק ללא הרחבתה לתחומי השחיתות השלטונית. ואילו בנוגע למנגנוני פיקוח ובקרה, שר המשפטים מסר כי </w:t>
      </w:r>
      <w:r w:rsidR="00432C08">
        <w:rPr>
          <w:rFonts w:ascii="David" w:hAnsi="David" w:hint="cs"/>
          <w:sz w:val="24"/>
          <w:rtl/>
        </w:rPr>
        <w:t>ועדת הבדיקה הממשלתית</w:t>
      </w:r>
      <w:r w:rsidR="00733CB1">
        <w:rPr>
          <w:rStyle w:val="af"/>
          <w:rFonts w:ascii="David" w:hAnsi="David"/>
          <w:sz w:val="24"/>
          <w:rtl/>
        </w:rPr>
        <w:footnoteReference w:id="346"/>
      </w:r>
      <w:r w:rsidR="00432C08">
        <w:rPr>
          <w:rFonts w:ascii="David" w:hAnsi="David" w:hint="cs"/>
          <w:sz w:val="24"/>
          <w:rtl/>
        </w:rPr>
        <w:t xml:space="preserve"> בנושא</w:t>
      </w:r>
      <w:r>
        <w:rPr>
          <w:rFonts w:ascii="David" w:hAnsi="David" w:hint="cs"/>
          <w:sz w:val="24"/>
          <w:rtl/>
        </w:rPr>
        <w:t xml:space="preserve"> נדרשת לבחון </w:t>
      </w:r>
      <w:r w:rsidR="000B4B16">
        <w:rPr>
          <w:rFonts w:ascii="David" w:hAnsi="David" w:hint="cs"/>
          <w:sz w:val="24"/>
          <w:rtl/>
        </w:rPr>
        <w:t xml:space="preserve">נושא זה ולתת המלצות כדי להבטיח פיקוח נאות וענישה מתאימה במקרה של שימוש בכלים לרעה. ואולם, </w:t>
      </w:r>
      <w:r>
        <w:rPr>
          <w:rFonts w:ascii="David" w:hAnsi="David" w:hint="cs"/>
          <w:sz w:val="24"/>
          <w:rtl/>
        </w:rPr>
        <w:t>לנוכח</w:t>
      </w:r>
      <w:r w:rsidR="000B4B16">
        <w:rPr>
          <w:rFonts w:ascii="David" w:hAnsi="David" w:hint="cs"/>
          <w:sz w:val="24"/>
          <w:rtl/>
        </w:rPr>
        <w:t xml:space="preserve"> העתירה שהוגשה נגד עבודת ועדת הבדיקה הממשלתית ו</w:t>
      </w:r>
      <w:r>
        <w:rPr>
          <w:rFonts w:ascii="David" w:hAnsi="David" w:hint="cs"/>
          <w:sz w:val="24"/>
          <w:rtl/>
        </w:rPr>
        <w:t>עמדת הייעוץ המשפטי לממשלה שתומכת בעתירה ומתנגדת לעבו</w:t>
      </w:r>
      <w:r w:rsidR="000B4B16">
        <w:rPr>
          <w:rFonts w:ascii="David" w:hAnsi="David" w:hint="cs"/>
          <w:sz w:val="24"/>
          <w:rtl/>
        </w:rPr>
        <w:t>דתה, הוועדה משותקת זמן רב.</w:t>
      </w:r>
      <w:r w:rsidR="00432C08">
        <w:rPr>
          <w:rFonts w:ascii="David" w:hAnsi="David" w:hint="cs"/>
          <w:sz w:val="24"/>
          <w:rtl/>
        </w:rPr>
        <w:t xml:space="preserve"> </w:t>
      </w:r>
    </w:p>
    <w:p w:rsidR="002E433D" w:rsidRDefault="002E433D" w:rsidP="005A0F21">
      <w:pPr>
        <w:spacing w:line="269" w:lineRule="auto"/>
        <w:ind w:left="423"/>
        <w:rPr>
          <w:rFonts w:ascii="David" w:hAnsi="David"/>
          <w:sz w:val="24"/>
          <w:rtl/>
        </w:rPr>
      </w:pPr>
    </w:p>
    <w:p w:rsidR="00432C08" w:rsidRDefault="000B4B16" w:rsidP="005A0F21">
      <w:pPr>
        <w:spacing w:line="269" w:lineRule="auto"/>
        <w:ind w:left="423"/>
        <w:rPr>
          <w:rFonts w:ascii="David" w:hAnsi="David"/>
          <w:sz w:val="24"/>
          <w:rtl/>
        </w:rPr>
      </w:pPr>
      <w:r>
        <w:rPr>
          <w:rFonts w:ascii="David" w:hAnsi="David" w:hint="cs"/>
          <w:sz w:val="24"/>
          <w:rtl/>
        </w:rPr>
        <w:t xml:space="preserve">לנוכח כלל האמור, </w:t>
      </w:r>
      <w:r w:rsidR="002E433D">
        <w:rPr>
          <w:rFonts w:ascii="David" w:hAnsi="David" w:hint="cs"/>
          <w:sz w:val="24"/>
          <w:rtl/>
        </w:rPr>
        <w:t xml:space="preserve">שר המשפטים מסר כי </w:t>
      </w:r>
      <w:r>
        <w:rPr>
          <w:rFonts w:ascii="David" w:hAnsi="David" w:hint="cs"/>
          <w:sz w:val="24"/>
          <w:rtl/>
        </w:rPr>
        <w:t>במצב הקיים אין בפני הדרג המדיני תשתית מספקת שיכולה להניח את הדעת כי יתקיימו מנגנוני הפיקוח והבקרה הנדרשים וכי השימוש בכלים יאושר לצרכי המאבק בפשיעה המאורגנת ולצרכים אלו בלבד.</w:t>
      </w:r>
      <w:r w:rsidR="008453C5">
        <w:rPr>
          <w:rFonts w:ascii="David" w:hAnsi="David" w:hint="cs"/>
          <w:sz w:val="24"/>
          <w:rtl/>
        </w:rPr>
        <w:t xml:space="preserve"> </w:t>
      </w:r>
    </w:p>
    <w:p w:rsidR="005A2D0D" w:rsidRDefault="005A2D0D" w:rsidP="005A0F21">
      <w:pPr>
        <w:spacing w:line="269" w:lineRule="auto"/>
        <w:ind w:left="423"/>
        <w:rPr>
          <w:rFonts w:ascii="David" w:hAnsi="David"/>
          <w:sz w:val="24"/>
          <w:rtl/>
        </w:rPr>
      </w:pPr>
    </w:p>
    <w:p w:rsidR="005E40A0" w:rsidRDefault="005E40A0" w:rsidP="005A0F21">
      <w:pPr>
        <w:spacing w:line="269" w:lineRule="auto"/>
        <w:ind w:left="423"/>
        <w:rPr>
          <w:rFonts w:ascii="David" w:hAnsi="David"/>
          <w:sz w:val="24"/>
          <w:rtl/>
        </w:rPr>
      </w:pPr>
      <w:r>
        <w:rPr>
          <w:rFonts w:ascii="David" w:hAnsi="David" w:hint="cs"/>
          <w:sz w:val="24"/>
          <w:rtl/>
        </w:rPr>
        <w:t>השר לביטחון לאומי כתב בתשובתו כי הדרג המדיני</w:t>
      </w:r>
      <w:r w:rsidR="004F2716">
        <w:rPr>
          <w:rFonts w:ascii="David" w:hAnsi="David" w:hint="cs"/>
          <w:sz w:val="24"/>
          <w:rtl/>
        </w:rPr>
        <w:t xml:space="preserve"> -</w:t>
      </w:r>
      <w:r>
        <w:rPr>
          <w:rFonts w:ascii="David" w:hAnsi="David" w:hint="cs"/>
          <w:sz w:val="24"/>
          <w:rtl/>
        </w:rPr>
        <w:t xml:space="preserve"> ראש הממשלה ושרי המשפטים והביטחון הלאומי</w:t>
      </w:r>
      <w:r w:rsidR="004F2716">
        <w:rPr>
          <w:rFonts w:ascii="David" w:hAnsi="David" w:hint="cs"/>
          <w:sz w:val="24"/>
          <w:rtl/>
        </w:rPr>
        <w:t xml:space="preserve"> -</w:t>
      </w:r>
      <w:r>
        <w:rPr>
          <w:rFonts w:ascii="David" w:hAnsi="David" w:hint="cs"/>
          <w:sz w:val="24"/>
          <w:rtl/>
        </w:rPr>
        <w:t xml:space="preserve"> עשו מאמצים על מנת לאפשר למשטרת ישראל את הפעלת הכלים הטכנולוגיים לצורך המאבק בפשיעה החמורה ובארגוני הפשיעה. מאמץ זה נעשה, בין היתר, ביחס לקידום חקיקת החוק שתקנה למשטרה סמכות לחיפוש סמוי בחומר מחשב אולם תזכיר החוק במסלול הממשלתי לא קודם והשיח בין המשרדים לקידום החקיקה הופסק</w:t>
      </w:r>
      <w:r w:rsidR="00D51047">
        <w:rPr>
          <w:rFonts w:ascii="David" w:hAnsi="David" w:hint="cs"/>
          <w:sz w:val="24"/>
          <w:rtl/>
        </w:rPr>
        <w:t>.</w:t>
      </w:r>
      <w:r w:rsidR="00382AE8">
        <w:rPr>
          <w:rFonts w:ascii="David" w:hAnsi="David" w:hint="cs"/>
          <w:sz w:val="24"/>
          <w:rtl/>
        </w:rPr>
        <w:t xml:space="preserve"> </w:t>
      </w:r>
    </w:p>
    <w:p w:rsidR="004B50FC" w:rsidRDefault="004B50FC" w:rsidP="005A0F21">
      <w:pPr>
        <w:spacing w:line="269" w:lineRule="auto"/>
        <w:ind w:left="423"/>
        <w:rPr>
          <w:sz w:val="16"/>
          <w:szCs w:val="16"/>
          <w:rtl/>
        </w:rPr>
      </w:pPr>
    </w:p>
    <w:p w:rsidR="009160F3" w:rsidRDefault="009160F3" w:rsidP="005A0F21">
      <w:pPr>
        <w:spacing w:line="269" w:lineRule="auto"/>
        <w:ind w:left="423"/>
        <w:rPr>
          <w:rFonts w:ascii="David" w:hAnsi="David"/>
          <w:sz w:val="24"/>
          <w:highlight w:val="yellow"/>
          <w:rtl/>
        </w:rPr>
      </w:pPr>
      <w:r w:rsidRPr="00CC54BE">
        <w:rPr>
          <w:rFonts w:ascii="David" w:hAnsi="David" w:hint="cs"/>
          <w:b/>
          <w:bCs/>
          <w:sz w:val="24"/>
          <w:rtl/>
        </w:rPr>
        <w:t xml:space="preserve">במועד סיום הביקורת </w:t>
      </w:r>
      <w:r w:rsidR="00560E9B">
        <w:rPr>
          <w:rFonts w:ascii="David" w:hAnsi="David" w:hint="cs"/>
          <w:b/>
          <w:bCs/>
          <w:sz w:val="24"/>
          <w:rtl/>
        </w:rPr>
        <w:t>וחרף הצורך המובהק בהסדרה חקיקתית, חקיקת</w:t>
      </w:r>
      <w:r w:rsidRPr="00CC54BE">
        <w:rPr>
          <w:rFonts w:ascii="David" w:hAnsi="David" w:hint="cs"/>
          <w:b/>
          <w:bCs/>
          <w:sz w:val="24"/>
          <w:rtl/>
        </w:rPr>
        <w:t xml:space="preserve"> החוק בעניין סמכויות המשטרה לחדירה למחשב והאזנות סתר</w:t>
      </w:r>
      <w:r>
        <w:rPr>
          <w:rFonts w:ascii="David" w:hAnsi="David" w:hint="cs"/>
          <w:b/>
          <w:bCs/>
          <w:sz w:val="24"/>
          <w:rtl/>
        </w:rPr>
        <w:t>, שהחל</w:t>
      </w:r>
      <w:r w:rsidR="00560E9B">
        <w:rPr>
          <w:rFonts w:ascii="David" w:hAnsi="David" w:hint="cs"/>
          <w:b/>
          <w:bCs/>
          <w:sz w:val="24"/>
          <w:rtl/>
        </w:rPr>
        <w:t>ה</w:t>
      </w:r>
      <w:r>
        <w:rPr>
          <w:rFonts w:ascii="David" w:hAnsi="David" w:hint="cs"/>
          <w:b/>
          <w:bCs/>
          <w:sz w:val="24"/>
          <w:rtl/>
        </w:rPr>
        <w:t xml:space="preserve"> כבר בשנת 2011,</w:t>
      </w:r>
      <w:r w:rsidRPr="00CC54BE">
        <w:rPr>
          <w:rFonts w:ascii="David" w:hAnsi="David" w:hint="cs"/>
          <w:b/>
          <w:bCs/>
          <w:sz w:val="24"/>
          <w:rtl/>
        </w:rPr>
        <w:t xml:space="preserve"> לא הושל</w:t>
      </w:r>
      <w:r w:rsidR="00560E9B">
        <w:rPr>
          <w:rFonts w:ascii="David" w:hAnsi="David" w:hint="cs"/>
          <w:b/>
          <w:bCs/>
          <w:sz w:val="24"/>
          <w:rtl/>
        </w:rPr>
        <w:t>מה</w:t>
      </w:r>
      <w:r>
        <w:rPr>
          <w:rFonts w:ascii="David" w:hAnsi="David" w:hint="cs"/>
          <w:b/>
          <w:bCs/>
          <w:sz w:val="24"/>
          <w:rtl/>
        </w:rPr>
        <w:t>.</w:t>
      </w:r>
      <w:r w:rsidRPr="00CC54BE">
        <w:rPr>
          <w:rFonts w:ascii="David" w:hAnsi="David" w:hint="cs"/>
          <w:b/>
          <w:bCs/>
          <w:sz w:val="24"/>
          <w:rtl/>
        </w:rPr>
        <w:t xml:space="preserve"> </w:t>
      </w:r>
      <w:r>
        <w:rPr>
          <w:rFonts w:ascii="David" w:hAnsi="David" w:hint="cs"/>
          <w:b/>
          <w:bCs/>
          <w:sz w:val="24"/>
          <w:rtl/>
        </w:rPr>
        <w:t xml:space="preserve">בשנים 2023 - 2024 </w:t>
      </w:r>
      <w:r w:rsidR="006F40EA">
        <w:rPr>
          <w:rFonts w:ascii="David" w:hAnsi="David" w:hint="cs"/>
          <w:b/>
          <w:bCs/>
          <w:sz w:val="24"/>
          <w:rtl/>
        </w:rPr>
        <w:t>החקיקה לא קודמה בין היתר</w:t>
      </w:r>
      <w:r w:rsidR="00212E7D" w:rsidRPr="00212E7D">
        <w:rPr>
          <w:rFonts w:ascii="David" w:hAnsi="David" w:hint="cs"/>
          <w:b/>
          <w:bCs/>
          <w:sz w:val="24"/>
          <w:rtl/>
        </w:rPr>
        <w:t xml:space="preserve"> עקב מחלוקת שהתגלעה בין הייעוץ המשפטי לממשלה לבין הדרג המדיני בנוגע לעבירות שלגביהן תינתן למשטרה סמכות לבצע חיפוש סמוי בחומרי מחשב</w:t>
      </w:r>
      <w:r w:rsidRPr="00CC54BE">
        <w:rPr>
          <w:rFonts w:ascii="David" w:hAnsi="David" w:hint="cs"/>
          <w:b/>
          <w:bCs/>
          <w:sz w:val="24"/>
          <w:rtl/>
        </w:rPr>
        <w:t xml:space="preserve">. כיום, בהיעדר הסדרה </w:t>
      </w:r>
      <w:r w:rsidR="00931DD4">
        <w:rPr>
          <w:rFonts w:ascii="David" w:hAnsi="David" w:hint="cs"/>
          <w:b/>
          <w:bCs/>
          <w:sz w:val="24"/>
          <w:rtl/>
        </w:rPr>
        <w:t>חקיקתית</w:t>
      </w:r>
      <w:r w:rsidR="00931DD4" w:rsidRPr="00CC54BE">
        <w:rPr>
          <w:rFonts w:ascii="David" w:hAnsi="David" w:hint="cs"/>
          <w:b/>
          <w:bCs/>
          <w:sz w:val="24"/>
          <w:rtl/>
        </w:rPr>
        <w:t xml:space="preserve"> </w:t>
      </w:r>
      <w:r w:rsidRPr="00CC54BE">
        <w:rPr>
          <w:rFonts w:ascii="David" w:hAnsi="David" w:hint="cs"/>
          <w:b/>
          <w:bCs/>
          <w:sz w:val="24"/>
          <w:rtl/>
        </w:rPr>
        <w:t xml:space="preserve">של סמכות החיפוש </w:t>
      </w:r>
      <w:r>
        <w:rPr>
          <w:rFonts w:ascii="David" w:hAnsi="David" w:hint="cs"/>
          <w:b/>
          <w:bCs/>
          <w:sz w:val="24"/>
          <w:rtl/>
        </w:rPr>
        <w:t>ה</w:t>
      </w:r>
      <w:r w:rsidRPr="00CC54BE">
        <w:rPr>
          <w:rFonts w:ascii="David" w:hAnsi="David" w:hint="cs"/>
          <w:b/>
          <w:bCs/>
          <w:sz w:val="24"/>
          <w:rtl/>
        </w:rPr>
        <w:t xml:space="preserve">סמוי, המשטרה </w:t>
      </w:r>
      <w:r>
        <w:rPr>
          <w:rFonts w:ascii="David" w:hAnsi="David" w:hint="cs"/>
          <w:b/>
          <w:bCs/>
          <w:sz w:val="24"/>
          <w:rtl/>
        </w:rPr>
        <w:t>מוסמכת לבצע חיפוש גלוי בלבד</w:t>
      </w:r>
      <w:r w:rsidRPr="00CC54BE">
        <w:rPr>
          <w:rFonts w:ascii="David" w:hAnsi="David" w:hint="cs"/>
          <w:b/>
          <w:bCs/>
          <w:sz w:val="24"/>
          <w:rtl/>
        </w:rPr>
        <w:t xml:space="preserve"> </w:t>
      </w:r>
      <w:r>
        <w:rPr>
          <w:rFonts w:ascii="David" w:hAnsi="David" w:hint="cs"/>
          <w:b/>
          <w:bCs/>
          <w:sz w:val="24"/>
          <w:rtl/>
        </w:rPr>
        <w:t xml:space="preserve">הכולל </w:t>
      </w:r>
      <w:r w:rsidRPr="00CC54BE">
        <w:rPr>
          <w:rFonts w:ascii="David" w:hAnsi="David" w:hint="cs"/>
          <w:b/>
          <w:bCs/>
          <w:sz w:val="24"/>
          <w:rtl/>
        </w:rPr>
        <w:t>העתקה של חומר מהמחשב רק בשלב החקירה הגלויה ובידיעת בעל המחשב.</w:t>
      </w:r>
      <w:r w:rsidRPr="009C7C24">
        <w:rPr>
          <w:rFonts w:ascii="David" w:hAnsi="David" w:hint="eastAsia"/>
          <w:sz w:val="24"/>
          <w:highlight w:val="yellow"/>
          <w:rtl/>
        </w:rPr>
        <w:t xml:space="preserve"> </w:t>
      </w:r>
    </w:p>
    <w:p w:rsidR="009160F3" w:rsidRDefault="009160F3" w:rsidP="005A0F21">
      <w:pPr>
        <w:spacing w:line="269" w:lineRule="auto"/>
        <w:ind w:left="423"/>
        <w:rPr>
          <w:rFonts w:ascii="David" w:hAnsi="David"/>
          <w:sz w:val="24"/>
          <w:highlight w:val="yellow"/>
          <w:rtl/>
        </w:rPr>
      </w:pPr>
    </w:p>
    <w:p w:rsidR="009160F3" w:rsidRDefault="009160F3" w:rsidP="005A0F21">
      <w:pPr>
        <w:spacing w:line="269" w:lineRule="auto"/>
        <w:ind w:left="423"/>
        <w:rPr>
          <w:rFonts w:ascii="David" w:hAnsi="David"/>
          <w:sz w:val="24"/>
          <w:rtl/>
        </w:rPr>
      </w:pPr>
      <w:r>
        <w:rPr>
          <w:rFonts w:ascii="David" w:hAnsi="David" w:hint="cs"/>
          <w:sz w:val="24"/>
          <w:rtl/>
        </w:rPr>
        <w:t>יצוין</w:t>
      </w:r>
      <w:r w:rsidRPr="008C669F">
        <w:rPr>
          <w:rFonts w:ascii="David" w:hAnsi="David"/>
          <w:sz w:val="24"/>
          <w:rtl/>
        </w:rPr>
        <w:t xml:space="preserve"> כי ביום 13.11.24 </w:t>
      </w:r>
      <w:r w:rsidRPr="008C669F">
        <w:rPr>
          <w:rFonts w:ascii="David" w:hAnsi="David" w:hint="eastAsia"/>
          <w:sz w:val="24"/>
          <w:rtl/>
        </w:rPr>
        <w:t>עברה</w:t>
      </w:r>
      <w:r w:rsidRPr="008C669F">
        <w:rPr>
          <w:rFonts w:ascii="David" w:hAnsi="David"/>
          <w:sz w:val="24"/>
          <w:rtl/>
        </w:rPr>
        <w:t xml:space="preserve"> </w:t>
      </w:r>
      <w:r w:rsidRPr="008C669F">
        <w:rPr>
          <w:rFonts w:ascii="David" w:hAnsi="David" w:hint="eastAsia"/>
          <w:sz w:val="24"/>
          <w:rtl/>
        </w:rPr>
        <w:t>בקריאה</w:t>
      </w:r>
      <w:r w:rsidRPr="008C669F">
        <w:rPr>
          <w:rFonts w:ascii="David" w:hAnsi="David"/>
          <w:sz w:val="24"/>
          <w:rtl/>
        </w:rPr>
        <w:t xml:space="preserve"> </w:t>
      </w:r>
      <w:r w:rsidRPr="008C669F">
        <w:rPr>
          <w:rFonts w:ascii="David" w:hAnsi="David" w:hint="eastAsia"/>
          <w:sz w:val="24"/>
          <w:rtl/>
        </w:rPr>
        <w:t>טרומית</w:t>
      </w:r>
      <w:r w:rsidRPr="008C669F">
        <w:rPr>
          <w:rFonts w:ascii="David" w:hAnsi="David"/>
          <w:sz w:val="24"/>
          <w:rtl/>
        </w:rPr>
        <w:t xml:space="preserve"> </w:t>
      </w:r>
      <w:r w:rsidRPr="008C669F">
        <w:rPr>
          <w:rFonts w:ascii="David" w:hAnsi="David" w:hint="eastAsia"/>
          <w:sz w:val="24"/>
          <w:rtl/>
        </w:rPr>
        <w:t>בכנסת</w:t>
      </w:r>
      <w:r w:rsidRPr="008C669F">
        <w:rPr>
          <w:rFonts w:ascii="David" w:hAnsi="David"/>
          <w:sz w:val="24"/>
          <w:rtl/>
        </w:rPr>
        <w:t xml:space="preserve"> </w:t>
      </w:r>
      <w:r w:rsidRPr="008C669F">
        <w:rPr>
          <w:rFonts w:ascii="David" w:hAnsi="David" w:hint="eastAsia"/>
          <w:sz w:val="24"/>
          <w:rtl/>
        </w:rPr>
        <w:t>הצעת</w:t>
      </w:r>
      <w:r w:rsidRPr="008C669F">
        <w:rPr>
          <w:rFonts w:ascii="David" w:hAnsi="David"/>
          <w:sz w:val="24"/>
          <w:rtl/>
        </w:rPr>
        <w:t xml:space="preserve"> </w:t>
      </w:r>
      <w:r w:rsidRPr="008C669F">
        <w:rPr>
          <w:rFonts w:ascii="David" w:hAnsi="David" w:hint="eastAsia"/>
          <w:sz w:val="24"/>
          <w:rtl/>
        </w:rPr>
        <w:t>חוק</w:t>
      </w:r>
      <w:r w:rsidRPr="008C669F">
        <w:rPr>
          <w:rFonts w:ascii="David" w:hAnsi="David"/>
          <w:sz w:val="24"/>
          <w:rtl/>
        </w:rPr>
        <w:t xml:space="preserve"> </w:t>
      </w:r>
      <w:r w:rsidRPr="008C669F">
        <w:rPr>
          <w:rFonts w:ascii="David" w:hAnsi="David" w:hint="eastAsia"/>
          <w:sz w:val="24"/>
          <w:rtl/>
        </w:rPr>
        <w:t>פרטית</w:t>
      </w:r>
      <w:r w:rsidRPr="008C669F">
        <w:rPr>
          <w:rStyle w:val="af"/>
          <w:rFonts w:ascii="David" w:hAnsi="David"/>
          <w:sz w:val="24"/>
          <w:rtl/>
        </w:rPr>
        <w:footnoteReference w:id="347"/>
      </w:r>
      <w:r w:rsidRPr="008C669F">
        <w:rPr>
          <w:rFonts w:ascii="David" w:hAnsi="David"/>
          <w:sz w:val="24"/>
          <w:rtl/>
        </w:rPr>
        <w:t xml:space="preserve"> </w:t>
      </w:r>
      <w:r>
        <w:rPr>
          <w:rFonts w:ascii="David" w:hAnsi="David" w:hint="cs"/>
          <w:sz w:val="24"/>
          <w:rtl/>
        </w:rPr>
        <w:t>ו</w:t>
      </w:r>
      <w:r w:rsidRPr="008C669F">
        <w:rPr>
          <w:rFonts w:ascii="David" w:hAnsi="David" w:hint="eastAsia"/>
          <w:sz w:val="24"/>
          <w:rtl/>
        </w:rPr>
        <w:t>לפיה</w:t>
      </w:r>
      <w:r w:rsidRPr="008C669F">
        <w:rPr>
          <w:rFonts w:ascii="David" w:hAnsi="David"/>
          <w:sz w:val="24"/>
          <w:rtl/>
        </w:rPr>
        <w:t xml:space="preserve"> בכפוף למתן צו שיפוטי תהיה למשטרה סמכות לבצע חיפוש סמוי בחומרי מחשב </w:t>
      </w:r>
      <w:r w:rsidRPr="008C669F">
        <w:rPr>
          <w:rFonts w:ascii="David" w:hAnsi="David" w:hint="eastAsia"/>
          <w:sz w:val="24"/>
          <w:rtl/>
        </w:rPr>
        <w:t>לגילוי</w:t>
      </w:r>
      <w:r w:rsidRPr="008C669F">
        <w:rPr>
          <w:rFonts w:ascii="David" w:hAnsi="David"/>
          <w:sz w:val="24"/>
          <w:rtl/>
        </w:rPr>
        <w:t xml:space="preserve">, </w:t>
      </w:r>
      <w:r w:rsidRPr="008C669F">
        <w:rPr>
          <w:rFonts w:ascii="David" w:hAnsi="David" w:hint="eastAsia"/>
          <w:sz w:val="24"/>
          <w:rtl/>
        </w:rPr>
        <w:t>לחקירה</w:t>
      </w:r>
      <w:r w:rsidRPr="008C669F">
        <w:rPr>
          <w:rFonts w:ascii="David" w:hAnsi="David"/>
          <w:sz w:val="24"/>
          <w:rtl/>
        </w:rPr>
        <w:t xml:space="preserve"> </w:t>
      </w:r>
      <w:r w:rsidRPr="008C669F">
        <w:rPr>
          <w:rFonts w:ascii="David" w:hAnsi="David" w:hint="eastAsia"/>
          <w:sz w:val="24"/>
          <w:rtl/>
        </w:rPr>
        <w:t>או</w:t>
      </w:r>
      <w:r w:rsidRPr="008C669F">
        <w:rPr>
          <w:rFonts w:ascii="David" w:hAnsi="David"/>
          <w:sz w:val="24"/>
          <w:rtl/>
        </w:rPr>
        <w:t xml:space="preserve"> </w:t>
      </w:r>
      <w:r w:rsidRPr="008C669F">
        <w:rPr>
          <w:rFonts w:ascii="David" w:hAnsi="David" w:hint="eastAsia"/>
          <w:sz w:val="24"/>
          <w:rtl/>
        </w:rPr>
        <w:t>למניעה</w:t>
      </w:r>
      <w:r w:rsidRPr="008C669F">
        <w:rPr>
          <w:rFonts w:ascii="David" w:hAnsi="David"/>
          <w:sz w:val="24"/>
          <w:rtl/>
        </w:rPr>
        <w:t xml:space="preserve"> </w:t>
      </w:r>
      <w:r w:rsidRPr="008C669F">
        <w:rPr>
          <w:rFonts w:ascii="David" w:hAnsi="David" w:hint="eastAsia"/>
          <w:sz w:val="24"/>
          <w:rtl/>
        </w:rPr>
        <w:t>של</w:t>
      </w:r>
      <w:r w:rsidRPr="008C669F">
        <w:rPr>
          <w:rFonts w:ascii="David" w:hAnsi="David"/>
          <w:sz w:val="24"/>
          <w:rtl/>
        </w:rPr>
        <w:t xml:space="preserve"> </w:t>
      </w:r>
      <w:r w:rsidRPr="008C669F">
        <w:rPr>
          <w:rFonts w:ascii="David" w:hAnsi="David" w:hint="eastAsia"/>
          <w:sz w:val="24"/>
          <w:rtl/>
        </w:rPr>
        <w:t>עביר</w:t>
      </w:r>
      <w:r>
        <w:rPr>
          <w:rFonts w:ascii="David" w:hAnsi="David" w:hint="cs"/>
          <w:sz w:val="24"/>
          <w:rtl/>
        </w:rPr>
        <w:t>ו</w:t>
      </w:r>
      <w:r w:rsidRPr="008C669F">
        <w:rPr>
          <w:rFonts w:ascii="David" w:hAnsi="David" w:hint="eastAsia"/>
          <w:sz w:val="24"/>
          <w:rtl/>
        </w:rPr>
        <w:t>ת</w:t>
      </w:r>
      <w:r w:rsidRPr="008C669F">
        <w:rPr>
          <w:rFonts w:ascii="David" w:hAnsi="David"/>
          <w:sz w:val="24"/>
          <w:rtl/>
        </w:rPr>
        <w:t xml:space="preserve"> מסוימות</w:t>
      </w:r>
      <w:r>
        <w:rPr>
          <w:rFonts w:ascii="David" w:hAnsi="David" w:hint="cs"/>
          <w:sz w:val="24"/>
          <w:rtl/>
        </w:rPr>
        <w:t xml:space="preserve"> מסוג </w:t>
      </w:r>
      <w:r w:rsidRPr="008C669F">
        <w:rPr>
          <w:rFonts w:ascii="David" w:hAnsi="David" w:hint="eastAsia"/>
          <w:sz w:val="24"/>
          <w:rtl/>
        </w:rPr>
        <w:t>פשע</w:t>
      </w:r>
      <w:r w:rsidRPr="008C669F">
        <w:rPr>
          <w:rFonts w:ascii="David" w:hAnsi="David"/>
          <w:sz w:val="24"/>
          <w:rtl/>
        </w:rPr>
        <w:t xml:space="preserve"> </w:t>
      </w:r>
      <w:r w:rsidRPr="008C669F">
        <w:rPr>
          <w:rFonts w:ascii="David" w:hAnsi="David" w:hint="eastAsia"/>
          <w:sz w:val="24"/>
          <w:rtl/>
        </w:rPr>
        <w:t>חמור</w:t>
      </w:r>
      <w:r w:rsidRPr="008C669F">
        <w:rPr>
          <w:rStyle w:val="af"/>
          <w:rFonts w:ascii="David" w:hAnsi="David"/>
          <w:sz w:val="24"/>
          <w:rtl/>
        </w:rPr>
        <w:footnoteReference w:id="348"/>
      </w:r>
      <w:r w:rsidRPr="008C669F">
        <w:rPr>
          <w:rFonts w:ascii="David" w:hAnsi="David"/>
          <w:sz w:val="24"/>
          <w:rtl/>
        </w:rPr>
        <w:t>.</w:t>
      </w:r>
    </w:p>
    <w:p w:rsidR="009160F3" w:rsidRPr="006E46A7" w:rsidRDefault="009160F3" w:rsidP="00604C3D">
      <w:pPr>
        <w:spacing w:line="269" w:lineRule="auto"/>
        <w:rPr>
          <w:rtl/>
        </w:rPr>
      </w:pPr>
    </w:p>
    <w:p w:rsidR="009160F3" w:rsidRPr="00DE6B37" w:rsidRDefault="009160F3" w:rsidP="004B146D">
      <w:pPr>
        <w:pStyle w:val="3"/>
        <w:numPr>
          <w:ilvl w:val="1"/>
          <w:numId w:val="79"/>
        </w:numPr>
        <w:ind w:left="423" w:hanging="392"/>
        <w:rPr>
          <w:rFonts w:eastAsia="Times New Roman"/>
          <w:sz w:val="22"/>
          <w:rtl/>
        </w:rPr>
      </w:pPr>
      <w:bookmarkStart w:id="700" w:name="_Toc138576134"/>
      <w:bookmarkStart w:id="701" w:name="_Toc211521976"/>
      <w:bookmarkStart w:id="702" w:name="_Toc219110367"/>
      <w:bookmarkStart w:id="703" w:name="_Toc219113808"/>
      <w:bookmarkStart w:id="704" w:name="_Toc219286583"/>
      <w:r w:rsidRPr="004B146D">
        <w:rPr>
          <w:rFonts w:eastAsia="Times New Roman" w:hint="eastAsia"/>
          <w:rtl/>
        </w:rPr>
        <w:t>צילום</w:t>
      </w:r>
      <w:r w:rsidRPr="00DE6B37">
        <w:rPr>
          <w:rFonts w:eastAsia="Times New Roman"/>
          <w:sz w:val="22"/>
          <w:rtl/>
        </w:rPr>
        <w:t xml:space="preserve"> </w:t>
      </w:r>
      <w:r w:rsidRPr="00DE6B37">
        <w:rPr>
          <w:rFonts w:eastAsia="Times New Roman" w:hint="eastAsia"/>
          <w:sz w:val="22"/>
          <w:rtl/>
        </w:rPr>
        <w:t>סתר</w:t>
      </w:r>
      <w:bookmarkEnd w:id="700"/>
      <w:r w:rsidRPr="00DE6B37">
        <w:rPr>
          <w:rFonts w:eastAsia="Times New Roman"/>
          <w:sz w:val="22"/>
          <w:rtl/>
        </w:rPr>
        <w:t xml:space="preserve"> חזותי</w:t>
      </w:r>
      <w:r w:rsidRPr="00DE6B37">
        <w:rPr>
          <w:sz w:val="22"/>
          <w:vertAlign w:val="superscript"/>
          <w:rtl/>
        </w:rPr>
        <w:footnoteReference w:id="349"/>
      </w:r>
      <w:bookmarkEnd w:id="701"/>
      <w:bookmarkEnd w:id="702"/>
      <w:bookmarkEnd w:id="703"/>
      <w:bookmarkEnd w:id="704"/>
      <w:r w:rsidRPr="00DE6B37">
        <w:rPr>
          <w:rFonts w:eastAsia="Times New Roman" w:hint="cs"/>
          <w:sz w:val="22"/>
          <w:rtl/>
        </w:rPr>
        <w:t xml:space="preserve"> </w:t>
      </w:r>
    </w:p>
    <w:p w:rsidR="009160F3" w:rsidRDefault="009160F3" w:rsidP="00604C3D">
      <w:pPr>
        <w:spacing w:line="269" w:lineRule="auto"/>
        <w:ind w:hanging="284"/>
        <w:rPr>
          <w:sz w:val="16"/>
          <w:szCs w:val="16"/>
          <w:rtl/>
        </w:rPr>
      </w:pPr>
    </w:p>
    <w:p w:rsidR="009160F3" w:rsidRPr="003372E2" w:rsidRDefault="009160F3" w:rsidP="005A0F21">
      <w:pPr>
        <w:spacing w:line="269" w:lineRule="auto"/>
        <w:ind w:left="423"/>
        <w:rPr>
          <w:rFonts w:ascii="David" w:hAnsi="David"/>
          <w:b/>
          <w:bCs/>
          <w:sz w:val="24"/>
        </w:rPr>
      </w:pPr>
      <w:r w:rsidRPr="003372E2">
        <w:rPr>
          <w:rFonts w:ascii="David" w:hAnsi="David" w:hint="cs"/>
          <w:sz w:val="24"/>
          <w:rtl/>
        </w:rPr>
        <w:t xml:space="preserve">ככלל, צילום סתר חזותי אינו מוסדר בחקיקה. </w:t>
      </w:r>
      <w:r>
        <w:rPr>
          <w:rFonts w:hint="cs"/>
          <w:rtl/>
        </w:rPr>
        <w:t>הדיון המשפטי בנושא סמכות המשטרה לבצע</w:t>
      </w:r>
      <w:r w:rsidR="00382AE8">
        <w:rPr>
          <w:rFonts w:hint="cs"/>
          <w:rtl/>
        </w:rPr>
        <w:t xml:space="preserve"> </w:t>
      </w:r>
      <w:r>
        <w:rPr>
          <w:rFonts w:hint="cs"/>
          <w:rtl/>
        </w:rPr>
        <w:t xml:space="preserve">צילום סתר חזותי החל כבר בשנת 2004 בישיבה שנערכה </w:t>
      </w:r>
      <w:r w:rsidR="001F5776">
        <w:rPr>
          <w:rFonts w:hint="cs"/>
          <w:rtl/>
        </w:rPr>
        <w:t>בפרקליטות המדינה</w:t>
      </w:r>
      <w:r>
        <w:rPr>
          <w:rFonts w:hint="cs"/>
          <w:rtl/>
        </w:rPr>
        <w:t>, ובה עלתה שאלת סמכות בית המשפט לתת היתר לתיעוד חזותי לפי סעיף 10א לחוק האזנת סתר. בישיבה התברר כי המשטרה מבקשת לעיתים מבית המשפט להתיר לה התקנה סמויה של מצלמה המבצעת תיעוד חזותי</w:t>
      </w:r>
      <w:r>
        <w:rPr>
          <w:rStyle w:val="af"/>
          <w:rtl/>
        </w:rPr>
        <w:footnoteReference w:id="350"/>
      </w:r>
      <w:r>
        <w:rPr>
          <w:rFonts w:hint="cs"/>
          <w:rtl/>
        </w:rPr>
        <w:t xml:space="preserve">. בדוח צוות משיח משנת 2005 הומלץ להוסיף סעיף לחוק האזנת סתר אשר יעגן את סמכות בית המשפט להתיר בצו גם התקנת ציוד לתיעוד חזותי. תיקון זה (תיקון מס' 6 לחוק האזנת סתר) הובא בפני ועדת חוקה חוק ומשפט בינואר 2012. </w:t>
      </w:r>
      <w:r w:rsidRPr="003372E2">
        <w:rPr>
          <w:rFonts w:ascii="David" w:hAnsi="David" w:hint="cs"/>
          <w:sz w:val="24"/>
          <w:rtl/>
        </w:rPr>
        <w:t>חברי הו</w:t>
      </w:r>
      <w:r>
        <w:rPr>
          <w:rFonts w:ascii="David" w:hAnsi="David" w:hint="cs"/>
          <w:sz w:val="24"/>
          <w:rtl/>
        </w:rPr>
        <w:t>ו</w:t>
      </w:r>
      <w:r w:rsidRPr="003372E2">
        <w:rPr>
          <w:rFonts w:ascii="David" w:hAnsi="David" w:hint="cs"/>
          <w:sz w:val="24"/>
          <w:rtl/>
        </w:rPr>
        <w:t>עדה</w:t>
      </w:r>
      <w:r>
        <w:rPr>
          <w:rFonts w:ascii="David" w:hAnsi="David" w:hint="cs"/>
          <w:sz w:val="24"/>
          <w:rtl/>
        </w:rPr>
        <w:t>,</w:t>
      </w:r>
      <w:r w:rsidRPr="003372E2">
        <w:rPr>
          <w:rFonts w:ascii="David" w:hAnsi="David" w:hint="cs"/>
          <w:sz w:val="24"/>
          <w:rtl/>
        </w:rPr>
        <w:t xml:space="preserve"> ובראשם יו"ר הו</w:t>
      </w:r>
      <w:r>
        <w:rPr>
          <w:rFonts w:ascii="David" w:hAnsi="David" w:hint="cs"/>
          <w:sz w:val="24"/>
          <w:rtl/>
        </w:rPr>
        <w:t>ו</w:t>
      </w:r>
      <w:r w:rsidRPr="003372E2">
        <w:rPr>
          <w:rFonts w:ascii="David" w:hAnsi="David" w:hint="cs"/>
          <w:sz w:val="24"/>
          <w:rtl/>
        </w:rPr>
        <w:t>עדה דאז</w:t>
      </w:r>
      <w:r>
        <w:rPr>
          <w:rFonts w:ascii="David" w:hAnsi="David" w:hint="cs"/>
          <w:sz w:val="24"/>
          <w:rtl/>
        </w:rPr>
        <w:t>,</w:t>
      </w:r>
      <w:r w:rsidRPr="003372E2">
        <w:rPr>
          <w:rFonts w:ascii="David" w:hAnsi="David" w:hint="cs"/>
          <w:sz w:val="24"/>
          <w:rtl/>
        </w:rPr>
        <w:t xml:space="preserve"> </w:t>
      </w:r>
      <w:r>
        <w:rPr>
          <w:rFonts w:ascii="David" w:hAnsi="David" w:hint="cs"/>
          <w:sz w:val="24"/>
          <w:rtl/>
        </w:rPr>
        <w:t>ציינו</w:t>
      </w:r>
      <w:r w:rsidRPr="003372E2">
        <w:rPr>
          <w:rFonts w:ascii="David" w:hAnsi="David" w:hint="cs"/>
          <w:sz w:val="24"/>
          <w:rtl/>
        </w:rPr>
        <w:t xml:space="preserve"> כי </w:t>
      </w:r>
      <w:r>
        <w:rPr>
          <w:rFonts w:ascii="David" w:hAnsi="David" w:hint="cs"/>
          <w:sz w:val="24"/>
          <w:rtl/>
        </w:rPr>
        <w:t>הם סבורים ש</w:t>
      </w:r>
      <w:r w:rsidRPr="003372E2">
        <w:rPr>
          <w:rFonts w:ascii="David" w:hAnsi="David" w:hint="cs"/>
          <w:sz w:val="24"/>
          <w:rtl/>
        </w:rPr>
        <w:t xml:space="preserve">נושא התיעוד החזותי טומן בחובו פגיעה קשה בפרטיות </w:t>
      </w:r>
      <w:r>
        <w:rPr>
          <w:rFonts w:ascii="David" w:hAnsi="David" w:hint="cs"/>
          <w:sz w:val="24"/>
          <w:rtl/>
        </w:rPr>
        <w:t>ויש להסדירו באופן ברור</w:t>
      </w:r>
      <w:r w:rsidRPr="003372E2">
        <w:rPr>
          <w:rFonts w:ascii="David" w:hAnsi="David" w:hint="cs"/>
          <w:sz w:val="24"/>
          <w:rtl/>
        </w:rPr>
        <w:t xml:space="preserve"> ומפורש</w:t>
      </w:r>
      <w:r>
        <w:rPr>
          <w:rFonts w:ascii="David" w:hAnsi="David" w:hint="cs"/>
          <w:sz w:val="24"/>
          <w:rtl/>
        </w:rPr>
        <w:t>,</w:t>
      </w:r>
      <w:r w:rsidRPr="003372E2">
        <w:rPr>
          <w:rFonts w:ascii="David" w:hAnsi="David" w:hint="cs"/>
          <w:sz w:val="24"/>
          <w:rtl/>
        </w:rPr>
        <w:t xml:space="preserve"> וכי ראוי </w:t>
      </w:r>
      <w:r>
        <w:rPr>
          <w:rFonts w:ascii="David" w:hAnsi="David" w:hint="cs"/>
          <w:sz w:val="24"/>
          <w:rtl/>
        </w:rPr>
        <w:t xml:space="preserve">שהכללים שייקבעו </w:t>
      </w:r>
      <w:r w:rsidRPr="003372E2">
        <w:rPr>
          <w:rFonts w:ascii="David" w:hAnsi="David" w:hint="cs"/>
          <w:sz w:val="24"/>
          <w:rtl/>
        </w:rPr>
        <w:t>ל</w:t>
      </w:r>
      <w:r>
        <w:rPr>
          <w:rFonts w:ascii="David" w:hAnsi="David" w:hint="cs"/>
          <w:sz w:val="24"/>
          <w:rtl/>
        </w:rPr>
        <w:t xml:space="preserve">עניין </w:t>
      </w:r>
      <w:r w:rsidRPr="003372E2">
        <w:rPr>
          <w:rFonts w:ascii="David" w:hAnsi="David" w:hint="cs"/>
          <w:sz w:val="24"/>
          <w:rtl/>
        </w:rPr>
        <w:t>הפעלת סמכות</w:t>
      </w:r>
      <w:r>
        <w:rPr>
          <w:rFonts w:ascii="David" w:hAnsi="David" w:hint="cs"/>
          <w:sz w:val="24"/>
          <w:rtl/>
        </w:rPr>
        <w:t xml:space="preserve"> למתן היתר לתיעוד חזותי יהיו מחמירים </w:t>
      </w:r>
      <w:r w:rsidRPr="003372E2">
        <w:rPr>
          <w:rFonts w:ascii="David" w:hAnsi="David" w:hint="cs"/>
          <w:sz w:val="24"/>
          <w:rtl/>
        </w:rPr>
        <w:t xml:space="preserve">מאלו </w:t>
      </w:r>
      <w:r>
        <w:rPr>
          <w:rFonts w:ascii="David" w:hAnsi="David" w:hint="cs"/>
          <w:sz w:val="24"/>
          <w:rtl/>
        </w:rPr>
        <w:t>שנקבעו</w:t>
      </w:r>
      <w:r w:rsidRPr="003372E2">
        <w:rPr>
          <w:rFonts w:ascii="David" w:hAnsi="David" w:hint="cs"/>
          <w:sz w:val="24"/>
          <w:rtl/>
        </w:rPr>
        <w:t xml:space="preserve"> לצורך מתן היתר </w:t>
      </w:r>
      <w:r>
        <w:rPr>
          <w:rFonts w:ascii="David" w:hAnsi="David" w:hint="cs"/>
          <w:sz w:val="24"/>
          <w:rtl/>
        </w:rPr>
        <w:t>ל</w:t>
      </w:r>
      <w:r w:rsidRPr="003372E2">
        <w:rPr>
          <w:rFonts w:ascii="David" w:hAnsi="David" w:hint="cs"/>
          <w:sz w:val="24"/>
          <w:rtl/>
        </w:rPr>
        <w:t xml:space="preserve">האזנת סתר. </w:t>
      </w:r>
    </w:p>
    <w:p w:rsidR="004B50FC" w:rsidRPr="006E46A7" w:rsidRDefault="004B50FC" w:rsidP="005A0F21">
      <w:pPr>
        <w:spacing w:line="269" w:lineRule="auto"/>
        <w:ind w:left="423"/>
        <w:rPr>
          <w:rtl/>
        </w:rPr>
      </w:pPr>
    </w:p>
    <w:p w:rsidR="009160F3" w:rsidRDefault="009160F3" w:rsidP="005A0F21">
      <w:pPr>
        <w:spacing w:line="269" w:lineRule="auto"/>
        <w:ind w:left="422"/>
        <w:rPr>
          <w:rFonts w:ascii="David" w:hAnsi="David"/>
          <w:sz w:val="24"/>
          <w:rtl/>
        </w:rPr>
      </w:pPr>
      <w:r w:rsidRPr="009F2D4A">
        <w:rPr>
          <w:rFonts w:hint="cs"/>
          <w:rtl/>
        </w:rPr>
        <w:t>בשנת</w:t>
      </w:r>
      <w:r>
        <w:rPr>
          <w:rFonts w:ascii="David" w:hAnsi="David" w:hint="cs"/>
          <w:sz w:val="24"/>
          <w:rtl/>
        </w:rPr>
        <w:t xml:space="preserve"> 2013 אישר </w:t>
      </w:r>
      <w:r w:rsidR="001F5776">
        <w:rPr>
          <w:rFonts w:ascii="David" w:hAnsi="David" w:hint="cs"/>
          <w:sz w:val="24"/>
          <w:rtl/>
        </w:rPr>
        <w:t>נציג פרקליטות המדינה</w:t>
      </w:r>
      <w:r>
        <w:rPr>
          <w:rFonts w:ascii="David" w:hAnsi="David" w:hint="cs"/>
          <w:sz w:val="24"/>
          <w:rtl/>
        </w:rPr>
        <w:t xml:space="preserve"> לבצע</w:t>
      </w:r>
      <w:r>
        <w:rPr>
          <w:rFonts w:ascii="David" w:hAnsi="David"/>
          <w:sz w:val="24"/>
        </w:rPr>
        <w:t xml:space="preserve"> </w:t>
      </w:r>
      <w:r>
        <w:rPr>
          <w:rFonts w:ascii="David" w:hAnsi="David" w:hint="cs"/>
          <w:sz w:val="24"/>
          <w:rtl/>
        </w:rPr>
        <w:t>צילום סתר ולהתבסס ראייתית על תוצרי הצילום רק</w:t>
      </w:r>
      <w:r>
        <w:rPr>
          <w:rFonts w:ascii="David" w:hAnsi="David" w:hint="cs"/>
          <w:sz w:val="24"/>
        </w:rPr>
        <w:t xml:space="preserve"> </w:t>
      </w:r>
      <w:r>
        <w:rPr>
          <w:rFonts w:ascii="David" w:hAnsi="David" w:hint="cs"/>
          <w:sz w:val="24"/>
          <w:rtl/>
        </w:rPr>
        <w:t xml:space="preserve">לשם מימוש אחת משלוש תכליות: (א) אבטחת </w:t>
      </w:r>
      <w:r w:rsidR="00A8205E">
        <w:rPr>
          <w:rFonts w:ascii="David" w:hAnsi="David" w:hint="cs"/>
          <w:sz w:val="24"/>
          <w:rtl/>
        </w:rPr>
        <w:t>ה</w:t>
      </w:r>
      <w:r w:rsidR="00380499">
        <w:rPr>
          <w:rFonts w:ascii="David" w:hAnsi="David" w:hint="cs"/>
          <w:sz w:val="24"/>
          <w:rtl/>
        </w:rPr>
        <w:t>האזנה</w:t>
      </w:r>
      <w:r>
        <w:rPr>
          <w:rFonts w:ascii="David" w:hAnsi="David" w:hint="cs"/>
          <w:sz w:val="24"/>
          <w:rtl/>
        </w:rPr>
        <w:t>; (ב) זיהוי הדוברים והנוכחים במקום ההאזנה; (ג) שימוש בתוצרי הצילום כראיה עצמאית, ובלבד שהצילום נלווה להאזנת סתר. האישור האמור משמעו שהפרקליטות יכולה להתבסס על תוצר של צילום סתר כראיה עצמאית רק כשנלווית לצילום הסתר פעולה של האזנת סתר (צילום בלוויית האזנת שמע).</w:t>
      </w:r>
    </w:p>
    <w:p w:rsidR="009160F3" w:rsidRPr="001D330B" w:rsidRDefault="009160F3" w:rsidP="005A0F21">
      <w:pPr>
        <w:spacing w:line="269" w:lineRule="auto"/>
        <w:ind w:left="82"/>
        <w:rPr>
          <w:sz w:val="16"/>
          <w:szCs w:val="16"/>
          <w:rtl/>
        </w:rPr>
      </w:pPr>
    </w:p>
    <w:p w:rsidR="009160F3" w:rsidRPr="003D579D" w:rsidRDefault="009160F3" w:rsidP="005A0F21">
      <w:pPr>
        <w:spacing w:line="269" w:lineRule="auto"/>
        <w:ind w:left="422"/>
        <w:rPr>
          <w:rFonts w:ascii="David" w:hAnsi="David"/>
          <w:sz w:val="24"/>
        </w:rPr>
      </w:pPr>
      <w:r>
        <w:rPr>
          <w:rFonts w:ascii="David" w:hAnsi="David" w:hint="cs"/>
          <w:sz w:val="24"/>
          <w:rtl/>
        </w:rPr>
        <w:t xml:space="preserve">נכון למועד סיום הביקורת, לפי הפרשנות של פרקליטות המדינה, המשטרה יכולה לבצע צילום סתר </w:t>
      </w:r>
      <w:r w:rsidRPr="009F2D4A">
        <w:rPr>
          <w:rFonts w:hint="cs"/>
          <w:rtl/>
        </w:rPr>
        <w:t>חזותי</w:t>
      </w:r>
      <w:r>
        <w:rPr>
          <w:rFonts w:ascii="David" w:hAnsi="David" w:hint="cs"/>
          <w:sz w:val="24"/>
          <w:rtl/>
        </w:rPr>
        <w:t xml:space="preserve"> רק אם הוא נלווה להאזנת שמע</w:t>
      </w:r>
      <w:r w:rsidRPr="009248CC">
        <w:rPr>
          <w:rFonts w:ascii="David" w:hAnsi="David" w:hint="cs"/>
          <w:sz w:val="24"/>
          <w:rtl/>
        </w:rPr>
        <w:t>.</w:t>
      </w:r>
      <w:r>
        <w:rPr>
          <w:rFonts w:ascii="David" w:hAnsi="David" w:hint="cs"/>
          <w:sz w:val="24"/>
          <w:rtl/>
        </w:rPr>
        <w:t xml:space="preserve"> </w:t>
      </w:r>
      <w:r w:rsidR="00BF0E0D">
        <w:rPr>
          <w:rFonts w:ascii="David" w:hAnsi="David" w:hint="cs"/>
          <w:sz w:val="24"/>
          <w:rtl/>
        </w:rPr>
        <w:t>ב-</w:t>
      </w:r>
      <w:r>
        <w:rPr>
          <w:rFonts w:ascii="David" w:hAnsi="David" w:hint="cs"/>
          <w:sz w:val="24"/>
          <w:rtl/>
        </w:rPr>
        <w:t xml:space="preserve">8.8.22, לאחר חשיפת </w:t>
      </w:r>
      <w:r w:rsidR="00BF0E0D">
        <w:rPr>
          <w:rFonts w:ascii="David" w:hAnsi="David" w:hint="cs"/>
          <w:sz w:val="24"/>
          <w:rtl/>
        </w:rPr>
        <w:t>"</w:t>
      </w:r>
      <w:r>
        <w:rPr>
          <w:rFonts w:ascii="David" w:hAnsi="David" w:hint="cs"/>
          <w:sz w:val="24"/>
          <w:rtl/>
        </w:rPr>
        <w:t xml:space="preserve">פרשת פגסוס", התקיימה ישיבה אצל הייעוץ המשפטי לממשלה עם הייעוץ המשפטי למשטרה, ובה הוצגה עמדת המשטרה כי יש להסדיר את סמכות צילום הסתר באופן עצמאי ולא רק כסמכות הנלווית להאזנת סתר. בדיון שהתקיים </w:t>
      </w:r>
      <w:r w:rsidR="00BF0E0D">
        <w:rPr>
          <w:rFonts w:ascii="David" w:hAnsi="David" w:hint="cs"/>
          <w:sz w:val="24"/>
          <w:rtl/>
        </w:rPr>
        <w:t>ב-</w:t>
      </w:r>
      <w:r>
        <w:rPr>
          <w:rFonts w:ascii="David" w:hAnsi="David" w:hint="cs"/>
          <w:sz w:val="24"/>
          <w:rtl/>
        </w:rPr>
        <w:t xml:space="preserve">18.9.22 הציג הייעוץ המשפטי למשטרה לייעוץ המשפטי לממשלה חוות דעת משפטית התומכת בעמדה זו. בנובמבר, דצמבר 2022 ובינואר 2023 התקיימו דיונים נוספים </w:t>
      </w:r>
      <w:r w:rsidR="005B7BB5">
        <w:rPr>
          <w:rFonts w:ascii="David" w:hAnsi="David" w:hint="cs"/>
          <w:sz w:val="24"/>
          <w:rtl/>
        </w:rPr>
        <w:t>ב</w:t>
      </w:r>
      <w:r w:rsidR="00844501">
        <w:rPr>
          <w:rFonts w:ascii="David" w:hAnsi="David" w:hint="cs"/>
          <w:sz w:val="24"/>
          <w:rtl/>
        </w:rPr>
        <w:t>ייעוץ המשפטי לממשלה</w:t>
      </w:r>
      <w:r>
        <w:rPr>
          <w:rFonts w:ascii="David" w:hAnsi="David" w:hint="cs"/>
          <w:sz w:val="24"/>
          <w:rtl/>
        </w:rPr>
        <w:t>,</w:t>
      </w:r>
      <w:r w:rsidR="005B7BB5">
        <w:rPr>
          <w:rFonts w:ascii="David" w:hAnsi="David" w:hint="cs"/>
          <w:sz w:val="24"/>
          <w:rtl/>
        </w:rPr>
        <w:t xml:space="preserve"> בהשתתפות גורמי</w:t>
      </w:r>
      <w:r>
        <w:rPr>
          <w:rFonts w:ascii="David" w:hAnsi="David" w:hint="cs"/>
          <w:sz w:val="24"/>
          <w:rtl/>
        </w:rPr>
        <w:t xml:space="preserve"> המשטרה והפרקליטות בנושא תיעוד חזותי הנלווה להאזנת סתר, ובסיכומם של הדיונים נכתב כי המשטרה מבקשת לקדם את נושא ההסדרה בחוק של השימוש בצילום לצורך איסוף ראיות. </w:t>
      </w:r>
      <w:r w:rsidR="001F5776">
        <w:rPr>
          <w:rFonts w:ascii="David" w:hAnsi="David" w:hint="cs"/>
          <w:sz w:val="24"/>
          <w:rtl/>
        </w:rPr>
        <w:t>נציג הייעוץ המשפטי לממשלה</w:t>
      </w:r>
      <w:r w:rsidRPr="003D579D">
        <w:rPr>
          <w:rFonts w:ascii="David" w:hAnsi="David" w:hint="cs"/>
          <w:sz w:val="24"/>
          <w:rtl/>
        </w:rPr>
        <w:t xml:space="preserve"> חזר וקבע כי בהתאם לדין ה</w:t>
      </w:r>
      <w:r>
        <w:rPr>
          <w:rFonts w:ascii="David" w:hAnsi="David" w:hint="cs"/>
          <w:sz w:val="24"/>
          <w:rtl/>
        </w:rPr>
        <w:t>קיי</w:t>
      </w:r>
      <w:r w:rsidRPr="003D579D">
        <w:rPr>
          <w:rFonts w:ascii="David" w:hAnsi="David" w:hint="cs"/>
          <w:sz w:val="24"/>
          <w:rtl/>
        </w:rPr>
        <w:t>ם</w:t>
      </w:r>
      <w:r>
        <w:rPr>
          <w:rFonts w:ascii="David" w:hAnsi="David" w:hint="cs"/>
          <w:sz w:val="24"/>
          <w:rtl/>
        </w:rPr>
        <w:t>,</w:t>
      </w:r>
      <w:r w:rsidRPr="003D579D">
        <w:rPr>
          <w:rFonts w:ascii="David" w:hAnsi="David" w:hint="cs"/>
          <w:sz w:val="24"/>
          <w:rtl/>
        </w:rPr>
        <w:t xml:space="preserve"> המשטרה אינה מוסמכת לבצע צילום סתר חזותי </w:t>
      </w:r>
      <w:r>
        <w:rPr>
          <w:rFonts w:ascii="David" w:hAnsi="David" w:hint="cs"/>
          <w:sz w:val="24"/>
          <w:rtl/>
        </w:rPr>
        <w:t>לצורך הפקת ראיות העומדות בפני עצמן.</w:t>
      </w:r>
      <w:r w:rsidRPr="003D579D">
        <w:rPr>
          <w:rFonts w:ascii="David" w:hAnsi="David" w:hint="cs"/>
          <w:sz w:val="24"/>
          <w:rtl/>
        </w:rPr>
        <w:t xml:space="preserve"> </w:t>
      </w:r>
      <w:r>
        <w:rPr>
          <w:rFonts w:ascii="David" w:hAnsi="David" w:hint="cs"/>
          <w:sz w:val="24"/>
          <w:rtl/>
        </w:rPr>
        <w:t>עוד נכתב בסיכום הדיון כי "נערכת עבודת מטה לבחינת הצורך בסמכות עצמאית כאמור ולגיבוש טיוטת תזכיר בנושא, וכי כל עוד לא הוסדרה הסמכות בחקיקה, אין לבצע תיעוד כאמור לשם תכלית עצמאית"</w:t>
      </w:r>
      <w:r w:rsidRPr="003D579D">
        <w:rPr>
          <w:rFonts w:ascii="David" w:hAnsi="David" w:hint="cs"/>
          <w:sz w:val="24"/>
          <w:rtl/>
        </w:rPr>
        <w:t xml:space="preserve">. </w:t>
      </w:r>
    </w:p>
    <w:p w:rsidR="004B50FC" w:rsidRPr="006E46A7" w:rsidRDefault="004B50FC" w:rsidP="005A0F21">
      <w:pPr>
        <w:spacing w:line="269" w:lineRule="auto"/>
        <w:ind w:left="423"/>
        <w:rPr>
          <w:rtl/>
        </w:rPr>
      </w:pPr>
    </w:p>
    <w:p w:rsidR="009160F3" w:rsidRDefault="009160F3" w:rsidP="005A0F21">
      <w:pPr>
        <w:spacing w:line="269" w:lineRule="auto"/>
        <w:ind w:left="422"/>
        <w:rPr>
          <w:rFonts w:ascii="David" w:hAnsi="David"/>
          <w:sz w:val="24"/>
          <w:rtl/>
        </w:rPr>
      </w:pPr>
      <w:r>
        <w:rPr>
          <w:rFonts w:ascii="David" w:hAnsi="David" w:hint="cs"/>
          <w:sz w:val="24"/>
          <w:rtl/>
        </w:rPr>
        <w:t xml:space="preserve">הליך הכנת החוק מתעכב, בין היתר, גם עקב </w:t>
      </w:r>
      <w:r w:rsidRPr="003D579D">
        <w:rPr>
          <w:rFonts w:ascii="David" w:hAnsi="David" w:hint="cs"/>
          <w:sz w:val="24"/>
          <w:rtl/>
        </w:rPr>
        <w:t>דיון</w:t>
      </w:r>
      <w:r>
        <w:rPr>
          <w:rFonts w:ascii="David" w:hAnsi="David" w:hint="cs"/>
          <w:sz w:val="24"/>
          <w:rtl/>
        </w:rPr>
        <w:t xml:space="preserve"> שמתקיים בין </w:t>
      </w:r>
      <w:r w:rsidR="00844501">
        <w:rPr>
          <w:rFonts w:ascii="David" w:hAnsi="David" w:hint="cs"/>
          <w:sz w:val="24"/>
          <w:rtl/>
        </w:rPr>
        <w:t>הייעוץ המשפטי לממשלה</w:t>
      </w:r>
      <w:r w:rsidRPr="003D579D">
        <w:rPr>
          <w:rFonts w:ascii="David" w:hAnsi="David" w:hint="cs"/>
          <w:sz w:val="24"/>
          <w:rtl/>
        </w:rPr>
        <w:t xml:space="preserve"> </w:t>
      </w:r>
      <w:r>
        <w:rPr>
          <w:rFonts w:ascii="David" w:hAnsi="David" w:hint="cs"/>
          <w:sz w:val="24"/>
          <w:rtl/>
        </w:rPr>
        <w:t>ל</w:t>
      </w:r>
      <w:r w:rsidRPr="003D579D">
        <w:rPr>
          <w:rFonts w:ascii="David" w:hAnsi="David" w:hint="cs"/>
          <w:sz w:val="24"/>
          <w:rtl/>
        </w:rPr>
        <w:t>משטרה ב</w:t>
      </w:r>
      <w:r>
        <w:rPr>
          <w:rFonts w:ascii="David" w:hAnsi="David" w:hint="cs"/>
          <w:sz w:val="24"/>
          <w:rtl/>
        </w:rPr>
        <w:t xml:space="preserve">נוגע </w:t>
      </w:r>
      <w:r w:rsidRPr="009F2D4A">
        <w:rPr>
          <w:rFonts w:hint="cs"/>
          <w:rtl/>
        </w:rPr>
        <w:t>לשאלה</w:t>
      </w:r>
      <w:r w:rsidRPr="003D579D">
        <w:rPr>
          <w:rFonts w:ascii="David" w:hAnsi="David" w:hint="cs"/>
          <w:sz w:val="24"/>
          <w:rtl/>
        </w:rPr>
        <w:t xml:space="preserve"> אם נדרשת חקיקה </w:t>
      </w:r>
      <w:r>
        <w:rPr>
          <w:rFonts w:ascii="David" w:hAnsi="David" w:hint="cs"/>
          <w:sz w:val="24"/>
          <w:rtl/>
        </w:rPr>
        <w:t xml:space="preserve">של </w:t>
      </w:r>
      <w:r w:rsidRPr="003D579D">
        <w:rPr>
          <w:rFonts w:ascii="David" w:hAnsi="David" w:hint="cs"/>
          <w:sz w:val="24"/>
          <w:rtl/>
        </w:rPr>
        <w:t xml:space="preserve">חוק נפרד </w:t>
      </w:r>
      <w:r>
        <w:rPr>
          <w:rFonts w:ascii="David" w:hAnsi="David" w:hint="cs"/>
          <w:sz w:val="24"/>
          <w:rtl/>
        </w:rPr>
        <w:t xml:space="preserve">בנושא </w:t>
      </w:r>
      <w:r w:rsidRPr="003D579D">
        <w:rPr>
          <w:rFonts w:ascii="David" w:hAnsi="David" w:hint="cs"/>
          <w:sz w:val="24"/>
          <w:rtl/>
        </w:rPr>
        <w:t xml:space="preserve">תיעוד סתר חזותי </w:t>
      </w:r>
      <w:r>
        <w:rPr>
          <w:rFonts w:ascii="David" w:hAnsi="David" w:hint="cs"/>
          <w:sz w:val="24"/>
          <w:rtl/>
        </w:rPr>
        <w:t>שאינו נלווה ל</w:t>
      </w:r>
      <w:r w:rsidRPr="003D579D">
        <w:rPr>
          <w:rFonts w:ascii="David" w:hAnsi="David" w:hint="cs"/>
          <w:sz w:val="24"/>
          <w:rtl/>
        </w:rPr>
        <w:t>האזנת סתר (תיעוד חזותי שאינו כולל דיבור) או שניתן להסדיר זאת באופן מפורש בחוק האזנת סתר</w:t>
      </w:r>
      <w:r>
        <w:rPr>
          <w:rFonts w:ascii="David" w:hAnsi="David" w:hint="cs"/>
          <w:sz w:val="24"/>
          <w:rtl/>
        </w:rPr>
        <w:t xml:space="preserve"> </w:t>
      </w:r>
      <w:r>
        <w:rPr>
          <w:rStyle w:val="af"/>
          <w:rFonts w:ascii="David" w:hAnsi="David"/>
          <w:sz w:val="24"/>
          <w:rtl/>
        </w:rPr>
        <w:footnoteReference w:id="351"/>
      </w:r>
      <w:r w:rsidRPr="003D579D">
        <w:rPr>
          <w:rFonts w:ascii="David" w:hAnsi="David" w:hint="cs"/>
          <w:sz w:val="24"/>
          <w:rtl/>
        </w:rPr>
        <w:t xml:space="preserve">. </w:t>
      </w:r>
    </w:p>
    <w:p w:rsidR="009160F3" w:rsidRPr="006E46A7" w:rsidRDefault="009160F3" w:rsidP="005A0F21">
      <w:pPr>
        <w:spacing w:line="269" w:lineRule="auto"/>
        <w:ind w:left="423"/>
        <w:rPr>
          <w:rtl/>
        </w:rPr>
      </w:pPr>
    </w:p>
    <w:p w:rsidR="009160F3" w:rsidRDefault="009160F3" w:rsidP="005A0F21">
      <w:pPr>
        <w:spacing w:line="269" w:lineRule="auto"/>
        <w:ind w:left="422"/>
        <w:rPr>
          <w:rFonts w:ascii="David" w:hAnsi="David"/>
          <w:sz w:val="24"/>
          <w:rtl/>
        </w:rPr>
      </w:pPr>
      <w:r w:rsidRPr="009F2D4A">
        <w:rPr>
          <w:rFonts w:hint="cs"/>
          <w:rtl/>
        </w:rPr>
        <w:t>המשטרה</w:t>
      </w:r>
      <w:r>
        <w:rPr>
          <w:rFonts w:ascii="David" w:hAnsi="David" w:hint="cs"/>
          <w:sz w:val="24"/>
          <w:rtl/>
        </w:rPr>
        <w:t xml:space="preserve"> כתבה בתשובתה כי בדצמבר 2022 היא פנתה למשרד לביטחון לאומי וביקשה לקדם בעדיפות ראשונה, בין היתר, את תיקון החסד"פ - סמכויות חיפוש וכניסה (כולל צילום סתר).</w:t>
      </w:r>
    </w:p>
    <w:p w:rsidR="009160F3" w:rsidRPr="006E46A7" w:rsidRDefault="009160F3" w:rsidP="005A0F21">
      <w:pPr>
        <w:spacing w:line="269" w:lineRule="auto"/>
        <w:ind w:left="423"/>
        <w:rPr>
          <w:rtl/>
        </w:rPr>
      </w:pPr>
    </w:p>
    <w:p w:rsidR="009160F3" w:rsidRDefault="009160F3" w:rsidP="005A0F21">
      <w:pPr>
        <w:spacing w:line="269" w:lineRule="auto"/>
        <w:ind w:left="422"/>
        <w:rPr>
          <w:rFonts w:ascii="David" w:hAnsi="David"/>
          <w:sz w:val="24"/>
          <w:rtl/>
        </w:rPr>
      </w:pPr>
      <w:r w:rsidRPr="009F2D4A">
        <w:rPr>
          <w:rFonts w:hint="cs"/>
          <w:rtl/>
        </w:rPr>
        <w:t>משרד</w:t>
      </w:r>
      <w:r>
        <w:rPr>
          <w:rFonts w:ascii="David" w:hAnsi="David" w:hint="cs"/>
          <w:sz w:val="24"/>
          <w:rtl/>
        </w:rPr>
        <w:t xml:space="preserve"> המשפטים כתב בתשובתו כי טרם התקבלה החלטה בייעוץ המשפטי לממשלה אם לקדם את הסדרת הסמכות לצילום סתר חזותי כסמכות עצמאית. עוד כתב משרד המשפטים כי בעבר הליך החקיקה לתיקון מס' 6 לחוק האזנת סתר נעצר עקב התנגדות ועדת חוקה חוק ומשפט לחוקק את הסמכות באופן בו הציעה הממשלה (בשנת 2012) ובשלב שני, בשנת 2016, עקב כך שראש הממשלה ביקש ללמוד את הנושא ולכן לא אישר את הפצת תזכיר החוק. </w:t>
      </w:r>
    </w:p>
    <w:p w:rsidR="009160F3" w:rsidRPr="006E46A7" w:rsidRDefault="009160F3" w:rsidP="005A0F21">
      <w:pPr>
        <w:spacing w:line="269" w:lineRule="auto"/>
        <w:ind w:left="423"/>
        <w:rPr>
          <w:rtl/>
        </w:rPr>
      </w:pPr>
    </w:p>
    <w:p w:rsidR="009160F3" w:rsidRDefault="009160F3" w:rsidP="005A0F21">
      <w:pPr>
        <w:spacing w:line="269" w:lineRule="auto"/>
        <w:ind w:left="422"/>
        <w:rPr>
          <w:rFonts w:ascii="David" w:hAnsi="David"/>
          <w:sz w:val="24"/>
          <w:rtl/>
        </w:rPr>
      </w:pPr>
      <w:r w:rsidRPr="008B321F">
        <w:rPr>
          <w:rFonts w:ascii="David" w:hAnsi="David" w:hint="eastAsia"/>
          <w:sz w:val="24"/>
          <w:rtl/>
        </w:rPr>
        <w:t>ב</w:t>
      </w:r>
      <w:r>
        <w:rPr>
          <w:rFonts w:ascii="David" w:hAnsi="David" w:hint="cs"/>
          <w:sz w:val="24"/>
          <w:rtl/>
        </w:rPr>
        <w:t>התייחס</w:t>
      </w:r>
      <w:r w:rsidRPr="008B321F">
        <w:rPr>
          <w:rFonts w:ascii="David" w:hAnsi="David"/>
          <w:sz w:val="24"/>
          <w:rtl/>
        </w:rPr>
        <w:t xml:space="preserve"> לטענת משרד המשפטים כי אי</w:t>
      </w:r>
      <w:r>
        <w:rPr>
          <w:rFonts w:ascii="David" w:hAnsi="David" w:hint="cs"/>
          <w:sz w:val="24"/>
          <w:rtl/>
        </w:rPr>
        <w:t>-</w:t>
      </w:r>
      <w:r w:rsidRPr="008B321F">
        <w:rPr>
          <w:rFonts w:ascii="David" w:hAnsi="David" w:hint="eastAsia"/>
          <w:sz w:val="24"/>
          <w:rtl/>
        </w:rPr>
        <w:t>קידום</w:t>
      </w:r>
      <w:r w:rsidRPr="008B321F">
        <w:rPr>
          <w:rFonts w:ascii="David" w:hAnsi="David"/>
          <w:sz w:val="24"/>
          <w:rtl/>
        </w:rPr>
        <w:t xml:space="preserve"> </w:t>
      </w:r>
      <w:r w:rsidRPr="008B321F">
        <w:rPr>
          <w:rFonts w:ascii="David" w:hAnsi="David" w:hint="eastAsia"/>
          <w:sz w:val="24"/>
          <w:rtl/>
        </w:rPr>
        <w:t>החקיקה</w:t>
      </w:r>
      <w:r w:rsidRPr="008B321F">
        <w:rPr>
          <w:rFonts w:ascii="David" w:hAnsi="David"/>
          <w:sz w:val="24"/>
          <w:rtl/>
        </w:rPr>
        <w:t xml:space="preserve"> </w:t>
      </w:r>
      <w:r w:rsidRPr="008B321F">
        <w:rPr>
          <w:rFonts w:ascii="David" w:hAnsi="David" w:hint="eastAsia"/>
          <w:sz w:val="24"/>
          <w:rtl/>
        </w:rPr>
        <w:t>בנושא</w:t>
      </w:r>
      <w:r w:rsidRPr="008B321F">
        <w:rPr>
          <w:rFonts w:ascii="David" w:hAnsi="David"/>
          <w:sz w:val="24"/>
          <w:rtl/>
        </w:rPr>
        <w:t xml:space="preserve"> </w:t>
      </w:r>
      <w:r w:rsidRPr="008B321F">
        <w:rPr>
          <w:rFonts w:ascii="David" w:hAnsi="David" w:hint="eastAsia"/>
          <w:sz w:val="24"/>
          <w:rtl/>
        </w:rPr>
        <w:t>נבע</w:t>
      </w:r>
      <w:r w:rsidRPr="008B321F">
        <w:rPr>
          <w:rFonts w:ascii="David" w:hAnsi="David"/>
          <w:sz w:val="24"/>
          <w:rtl/>
        </w:rPr>
        <w:t xml:space="preserve"> </w:t>
      </w:r>
      <w:r w:rsidRPr="008B321F">
        <w:rPr>
          <w:rFonts w:ascii="David" w:hAnsi="David" w:hint="eastAsia"/>
          <w:sz w:val="24"/>
          <w:rtl/>
        </w:rPr>
        <w:t>מכך</w:t>
      </w:r>
      <w:r w:rsidRPr="008B321F">
        <w:rPr>
          <w:rFonts w:ascii="David" w:hAnsi="David"/>
          <w:sz w:val="24"/>
          <w:rtl/>
        </w:rPr>
        <w:t xml:space="preserve"> </w:t>
      </w:r>
      <w:r w:rsidRPr="008B321F">
        <w:rPr>
          <w:rFonts w:ascii="David" w:hAnsi="David" w:hint="eastAsia"/>
          <w:sz w:val="24"/>
          <w:rtl/>
        </w:rPr>
        <w:t>שראש</w:t>
      </w:r>
      <w:r w:rsidRPr="008B321F">
        <w:rPr>
          <w:rFonts w:ascii="David" w:hAnsi="David"/>
          <w:sz w:val="24"/>
          <w:rtl/>
        </w:rPr>
        <w:t xml:space="preserve"> </w:t>
      </w:r>
      <w:r w:rsidRPr="008B321F">
        <w:rPr>
          <w:rFonts w:ascii="David" w:hAnsi="David" w:hint="eastAsia"/>
          <w:sz w:val="24"/>
          <w:rtl/>
        </w:rPr>
        <w:t>הממשלה</w:t>
      </w:r>
      <w:r w:rsidRPr="008B321F">
        <w:rPr>
          <w:rFonts w:ascii="David" w:hAnsi="David"/>
          <w:sz w:val="24"/>
          <w:rtl/>
        </w:rPr>
        <w:t xml:space="preserve"> </w:t>
      </w:r>
      <w:r w:rsidRPr="008B321F">
        <w:rPr>
          <w:rFonts w:ascii="David" w:hAnsi="David" w:hint="eastAsia"/>
          <w:sz w:val="24"/>
          <w:rtl/>
        </w:rPr>
        <w:t>לא</w:t>
      </w:r>
      <w:r w:rsidRPr="008B321F">
        <w:rPr>
          <w:rFonts w:ascii="David" w:hAnsi="David"/>
          <w:sz w:val="24"/>
          <w:rtl/>
        </w:rPr>
        <w:t xml:space="preserve"> </w:t>
      </w:r>
      <w:r w:rsidRPr="008B321F">
        <w:rPr>
          <w:rFonts w:ascii="David" w:hAnsi="David" w:hint="eastAsia"/>
          <w:sz w:val="24"/>
          <w:rtl/>
        </w:rPr>
        <w:t>אישר</w:t>
      </w:r>
      <w:r w:rsidRPr="008B321F">
        <w:rPr>
          <w:rFonts w:ascii="David" w:hAnsi="David"/>
          <w:sz w:val="24"/>
          <w:rtl/>
        </w:rPr>
        <w:t xml:space="preserve"> </w:t>
      </w:r>
      <w:r w:rsidRPr="008B321F">
        <w:rPr>
          <w:rFonts w:ascii="David" w:hAnsi="David" w:hint="eastAsia"/>
          <w:sz w:val="24"/>
          <w:rtl/>
        </w:rPr>
        <w:t>את</w:t>
      </w:r>
      <w:r w:rsidRPr="008B321F">
        <w:rPr>
          <w:rFonts w:ascii="David" w:hAnsi="David"/>
          <w:sz w:val="24"/>
          <w:rtl/>
        </w:rPr>
        <w:t xml:space="preserve"> </w:t>
      </w:r>
      <w:r w:rsidRPr="008B321F">
        <w:rPr>
          <w:rFonts w:ascii="David" w:hAnsi="David" w:hint="eastAsia"/>
          <w:sz w:val="24"/>
          <w:rtl/>
        </w:rPr>
        <w:t>הפצת</w:t>
      </w:r>
      <w:r w:rsidRPr="008B321F">
        <w:rPr>
          <w:rFonts w:ascii="David" w:hAnsi="David"/>
          <w:sz w:val="24"/>
          <w:rtl/>
        </w:rPr>
        <w:t xml:space="preserve"> </w:t>
      </w:r>
      <w:r w:rsidRPr="008B321F">
        <w:rPr>
          <w:rFonts w:ascii="David" w:hAnsi="David" w:hint="eastAsia"/>
          <w:sz w:val="24"/>
          <w:rtl/>
        </w:rPr>
        <w:t>תזכיר</w:t>
      </w:r>
      <w:r w:rsidRPr="008B321F">
        <w:rPr>
          <w:rFonts w:ascii="David" w:hAnsi="David"/>
          <w:sz w:val="24"/>
          <w:rtl/>
        </w:rPr>
        <w:t xml:space="preserve"> </w:t>
      </w:r>
      <w:r w:rsidRPr="008B321F">
        <w:rPr>
          <w:rFonts w:ascii="David" w:hAnsi="David" w:hint="eastAsia"/>
          <w:sz w:val="24"/>
          <w:rtl/>
        </w:rPr>
        <w:t>החוק</w:t>
      </w:r>
      <w:r w:rsidRPr="008B321F">
        <w:rPr>
          <w:rFonts w:ascii="David" w:hAnsi="David"/>
          <w:sz w:val="24"/>
          <w:rtl/>
        </w:rPr>
        <w:t xml:space="preserve"> בשנת 2016, </w:t>
      </w:r>
      <w:r w:rsidRPr="008B321F">
        <w:rPr>
          <w:rFonts w:ascii="David" w:hAnsi="David" w:hint="eastAsia"/>
          <w:sz w:val="24"/>
          <w:rtl/>
        </w:rPr>
        <w:t>משרד</w:t>
      </w:r>
      <w:r w:rsidRPr="008B321F">
        <w:rPr>
          <w:rFonts w:ascii="David" w:hAnsi="David"/>
          <w:sz w:val="24"/>
          <w:rtl/>
        </w:rPr>
        <w:t xml:space="preserve"> </w:t>
      </w:r>
      <w:r w:rsidRPr="008B321F">
        <w:rPr>
          <w:rFonts w:ascii="David" w:hAnsi="David" w:hint="eastAsia"/>
          <w:sz w:val="24"/>
          <w:rtl/>
        </w:rPr>
        <w:t>מבקר</w:t>
      </w:r>
      <w:r w:rsidRPr="008B321F">
        <w:rPr>
          <w:rFonts w:ascii="David" w:hAnsi="David"/>
          <w:sz w:val="24"/>
          <w:rtl/>
        </w:rPr>
        <w:t xml:space="preserve"> </w:t>
      </w:r>
      <w:r w:rsidRPr="008B321F">
        <w:rPr>
          <w:rFonts w:ascii="David" w:hAnsi="David" w:hint="eastAsia"/>
          <w:sz w:val="24"/>
          <w:rtl/>
        </w:rPr>
        <w:t>המדינה</w:t>
      </w:r>
      <w:r w:rsidRPr="008B321F">
        <w:rPr>
          <w:rFonts w:ascii="David" w:hAnsi="David"/>
          <w:sz w:val="24"/>
          <w:rtl/>
        </w:rPr>
        <w:t xml:space="preserve"> </w:t>
      </w:r>
      <w:r w:rsidRPr="008B321F">
        <w:rPr>
          <w:rFonts w:ascii="David" w:hAnsi="David" w:hint="eastAsia"/>
          <w:sz w:val="24"/>
          <w:rtl/>
        </w:rPr>
        <w:t>מעיר</w:t>
      </w:r>
      <w:r w:rsidRPr="008B321F">
        <w:rPr>
          <w:rFonts w:ascii="David" w:hAnsi="David"/>
          <w:sz w:val="24"/>
          <w:rtl/>
        </w:rPr>
        <w:t xml:space="preserve"> </w:t>
      </w:r>
      <w:r w:rsidRPr="008B321F">
        <w:rPr>
          <w:rFonts w:ascii="David" w:hAnsi="David" w:hint="eastAsia"/>
          <w:sz w:val="24"/>
          <w:rtl/>
        </w:rPr>
        <w:t>כי</w:t>
      </w:r>
      <w:r w:rsidRPr="008B321F">
        <w:rPr>
          <w:rFonts w:ascii="David" w:hAnsi="David"/>
          <w:sz w:val="24"/>
          <w:rtl/>
        </w:rPr>
        <w:t xml:space="preserve"> </w:t>
      </w:r>
      <w:r w:rsidRPr="008B321F">
        <w:rPr>
          <w:rFonts w:ascii="David" w:hAnsi="David" w:hint="eastAsia"/>
          <w:sz w:val="24"/>
          <w:rtl/>
        </w:rPr>
        <w:t>חלפו</w:t>
      </w:r>
      <w:r w:rsidRPr="008B321F">
        <w:rPr>
          <w:rFonts w:ascii="David" w:hAnsi="David"/>
          <w:sz w:val="24"/>
          <w:rtl/>
        </w:rPr>
        <w:t xml:space="preserve"> </w:t>
      </w:r>
      <w:r>
        <w:rPr>
          <w:rFonts w:ascii="David" w:hAnsi="David" w:hint="cs"/>
          <w:sz w:val="24"/>
          <w:rtl/>
        </w:rPr>
        <w:t>שמונה</w:t>
      </w:r>
      <w:r w:rsidRPr="008B321F">
        <w:rPr>
          <w:rFonts w:ascii="David" w:hAnsi="David"/>
          <w:sz w:val="24"/>
          <w:rtl/>
        </w:rPr>
        <w:t xml:space="preserve"> </w:t>
      </w:r>
      <w:r w:rsidRPr="008B321F">
        <w:rPr>
          <w:rFonts w:ascii="David" w:hAnsi="David" w:hint="eastAsia"/>
          <w:sz w:val="24"/>
          <w:rtl/>
        </w:rPr>
        <w:t>שנים</w:t>
      </w:r>
      <w:r>
        <w:rPr>
          <w:rFonts w:ascii="David" w:hAnsi="David" w:hint="cs"/>
          <w:sz w:val="24"/>
          <w:rtl/>
        </w:rPr>
        <w:t xml:space="preserve"> מאז, מה גם שהדיונים בכנסת החלו כבר בשנת 2012</w:t>
      </w:r>
      <w:r w:rsidRPr="008B321F">
        <w:rPr>
          <w:rFonts w:ascii="David" w:hAnsi="David"/>
          <w:sz w:val="24"/>
          <w:rtl/>
        </w:rPr>
        <w:t xml:space="preserve">; </w:t>
      </w:r>
      <w:r>
        <w:rPr>
          <w:rFonts w:ascii="David" w:hAnsi="David" w:hint="cs"/>
          <w:sz w:val="24"/>
          <w:rtl/>
        </w:rPr>
        <w:t xml:space="preserve">מאז </w:t>
      </w:r>
      <w:r w:rsidRPr="008B321F">
        <w:rPr>
          <w:rFonts w:ascii="David" w:hAnsi="David" w:hint="eastAsia"/>
          <w:sz w:val="24"/>
          <w:rtl/>
        </w:rPr>
        <w:t>התקיימו</w:t>
      </w:r>
      <w:r w:rsidRPr="008B321F">
        <w:rPr>
          <w:rFonts w:ascii="David" w:hAnsi="David"/>
          <w:sz w:val="24"/>
          <w:rtl/>
        </w:rPr>
        <w:t xml:space="preserve"> </w:t>
      </w:r>
      <w:r w:rsidRPr="008B321F">
        <w:rPr>
          <w:rFonts w:ascii="David" w:hAnsi="David" w:hint="eastAsia"/>
          <w:sz w:val="24"/>
          <w:rtl/>
        </w:rPr>
        <w:t>דיונים</w:t>
      </w:r>
      <w:r w:rsidRPr="008B321F">
        <w:rPr>
          <w:rFonts w:ascii="David" w:hAnsi="David"/>
          <w:sz w:val="24"/>
          <w:rtl/>
        </w:rPr>
        <w:t xml:space="preserve"> </w:t>
      </w:r>
      <w:r>
        <w:rPr>
          <w:rFonts w:ascii="David" w:hAnsi="David" w:hint="cs"/>
          <w:sz w:val="24"/>
          <w:rtl/>
        </w:rPr>
        <w:t xml:space="preserve">בנושא </w:t>
      </w:r>
      <w:r w:rsidRPr="008B321F">
        <w:rPr>
          <w:rFonts w:ascii="David" w:hAnsi="David" w:hint="eastAsia"/>
          <w:sz w:val="24"/>
          <w:rtl/>
        </w:rPr>
        <w:t>בראשות</w:t>
      </w:r>
      <w:r w:rsidRPr="008B321F">
        <w:rPr>
          <w:rFonts w:ascii="David" w:hAnsi="David"/>
          <w:sz w:val="24"/>
          <w:rtl/>
        </w:rPr>
        <w:t xml:space="preserve"> </w:t>
      </w:r>
      <w:r w:rsidRPr="008B321F">
        <w:rPr>
          <w:rFonts w:ascii="David" w:hAnsi="David" w:hint="eastAsia"/>
          <w:sz w:val="24"/>
          <w:rtl/>
        </w:rPr>
        <w:t>גורמי</w:t>
      </w:r>
      <w:r w:rsidRPr="008B321F">
        <w:rPr>
          <w:rFonts w:ascii="David" w:hAnsi="David"/>
          <w:sz w:val="24"/>
          <w:rtl/>
        </w:rPr>
        <w:t xml:space="preserve"> </w:t>
      </w:r>
      <w:r w:rsidRPr="009F2D4A">
        <w:rPr>
          <w:rFonts w:hint="eastAsia"/>
          <w:rtl/>
        </w:rPr>
        <w:t>הייעוץ</w:t>
      </w:r>
      <w:r w:rsidRPr="008B321F">
        <w:rPr>
          <w:rFonts w:ascii="David" w:hAnsi="David"/>
          <w:sz w:val="24"/>
          <w:rtl/>
        </w:rPr>
        <w:t xml:space="preserve"> </w:t>
      </w:r>
      <w:r w:rsidRPr="008B321F">
        <w:rPr>
          <w:rFonts w:ascii="David" w:hAnsi="David" w:hint="eastAsia"/>
          <w:sz w:val="24"/>
          <w:rtl/>
        </w:rPr>
        <w:t>המשפטי</w:t>
      </w:r>
      <w:r w:rsidRPr="008B321F">
        <w:rPr>
          <w:rFonts w:ascii="David" w:hAnsi="David"/>
          <w:sz w:val="24"/>
          <w:rtl/>
        </w:rPr>
        <w:t xml:space="preserve"> </w:t>
      </w:r>
      <w:r w:rsidRPr="008B321F">
        <w:rPr>
          <w:rFonts w:ascii="David" w:hAnsi="David" w:hint="eastAsia"/>
          <w:sz w:val="24"/>
          <w:rtl/>
        </w:rPr>
        <w:t>לממשלה</w:t>
      </w:r>
      <w:r>
        <w:rPr>
          <w:rFonts w:ascii="David" w:hAnsi="David" w:hint="cs"/>
          <w:sz w:val="24"/>
          <w:rtl/>
        </w:rPr>
        <w:t xml:space="preserve">, אך </w:t>
      </w:r>
      <w:r w:rsidRPr="008B321F">
        <w:rPr>
          <w:rFonts w:ascii="David" w:hAnsi="David"/>
          <w:sz w:val="24"/>
          <w:rtl/>
        </w:rPr>
        <w:t xml:space="preserve">עבודת המטה </w:t>
      </w:r>
      <w:r w:rsidRPr="008B321F">
        <w:rPr>
          <w:rFonts w:ascii="David" w:hAnsi="David" w:hint="eastAsia"/>
          <w:sz w:val="24"/>
          <w:rtl/>
        </w:rPr>
        <w:t>טרם</w:t>
      </w:r>
      <w:r w:rsidRPr="008B321F">
        <w:rPr>
          <w:rFonts w:ascii="David" w:hAnsi="David"/>
          <w:sz w:val="24"/>
          <w:rtl/>
        </w:rPr>
        <w:t xml:space="preserve"> </w:t>
      </w:r>
      <w:r w:rsidRPr="008B321F">
        <w:rPr>
          <w:rFonts w:ascii="David" w:hAnsi="David" w:hint="eastAsia"/>
          <w:sz w:val="24"/>
          <w:rtl/>
        </w:rPr>
        <w:t>הסתיימה</w:t>
      </w:r>
      <w:r w:rsidRPr="008B321F">
        <w:rPr>
          <w:rFonts w:ascii="David" w:hAnsi="David"/>
          <w:sz w:val="24"/>
          <w:rtl/>
        </w:rPr>
        <w:t xml:space="preserve"> </w:t>
      </w:r>
      <w:r w:rsidRPr="008B321F">
        <w:rPr>
          <w:rFonts w:ascii="David" w:hAnsi="David" w:hint="eastAsia"/>
          <w:sz w:val="24"/>
          <w:rtl/>
        </w:rPr>
        <w:t>ולא</w:t>
      </w:r>
      <w:r w:rsidRPr="008B321F">
        <w:rPr>
          <w:rFonts w:ascii="David" w:hAnsi="David"/>
          <w:sz w:val="24"/>
          <w:rtl/>
        </w:rPr>
        <w:t xml:space="preserve"> </w:t>
      </w:r>
      <w:r w:rsidRPr="008B321F">
        <w:rPr>
          <w:rFonts w:ascii="David" w:hAnsi="David" w:hint="eastAsia"/>
          <w:sz w:val="24"/>
          <w:rtl/>
        </w:rPr>
        <w:t>גובשה</w:t>
      </w:r>
      <w:r w:rsidRPr="008B321F">
        <w:rPr>
          <w:rFonts w:ascii="David" w:hAnsi="David"/>
          <w:sz w:val="24"/>
          <w:rtl/>
        </w:rPr>
        <w:t xml:space="preserve"> </w:t>
      </w:r>
      <w:r>
        <w:rPr>
          <w:rFonts w:ascii="David" w:hAnsi="David" w:hint="cs"/>
          <w:sz w:val="24"/>
          <w:rtl/>
        </w:rPr>
        <w:t xml:space="preserve">במשרד המשפטים </w:t>
      </w:r>
      <w:r w:rsidRPr="008B321F">
        <w:rPr>
          <w:rFonts w:ascii="David" w:hAnsi="David"/>
          <w:sz w:val="24"/>
          <w:rtl/>
        </w:rPr>
        <w:t>טיוט</w:t>
      </w:r>
      <w:r w:rsidRPr="008B321F">
        <w:rPr>
          <w:rFonts w:ascii="David" w:hAnsi="David" w:hint="eastAsia"/>
          <w:sz w:val="24"/>
          <w:rtl/>
        </w:rPr>
        <w:t>ת</w:t>
      </w:r>
      <w:r w:rsidRPr="008B321F">
        <w:rPr>
          <w:rFonts w:ascii="David" w:hAnsi="David"/>
          <w:sz w:val="24"/>
          <w:rtl/>
        </w:rPr>
        <w:t xml:space="preserve"> תזכיר </w:t>
      </w:r>
      <w:r w:rsidRPr="008B321F">
        <w:rPr>
          <w:rFonts w:ascii="David" w:hAnsi="David" w:hint="eastAsia"/>
          <w:sz w:val="24"/>
          <w:rtl/>
        </w:rPr>
        <w:t>עדכנית</w:t>
      </w:r>
      <w:r w:rsidRPr="008B321F">
        <w:rPr>
          <w:rFonts w:ascii="David" w:hAnsi="David"/>
          <w:sz w:val="24"/>
          <w:rtl/>
        </w:rPr>
        <w:t xml:space="preserve"> </w:t>
      </w:r>
      <w:r>
        <w:rPr>
          <w:rFonts w:ascii="David" w:hAnsi="David" w:hint="cs"/>
          <w:sz w:val="24"/>
          <w:rtl/>
        </w:rPr>
        <w:t>לצורך העברתה</w:t>
      </w:r>
      <w:r w:rsidRPr="008B321F">
        <w:rPr>
          <w:rFonts w:ascii="David" w:hAnsi="David"/>
          <w:sz w:val="24"/>
          <w:rtl/>
        </w:rPr>
        <w:t xml:space="preserve"> </w:t>
      </w:r>
      <w:r w:rsidRPr="008B321F">
        <w:rPr>
          <w:rFonts w:ascii="David" w:hAnsi="David" w:hint="eastAsia"/>
          <w:sz w:val="24"/>
          <w:rtl/>
        </w:rPr>
        <w:t>לעיונו</w:t>
      </w:r>
      <w:r w:rsidRPr="008B321F">
        <w:rPr>
          <w:rFonts w:ascii="David" w:hAnsi="David"/>
          <w:sz w:val="24"/>
          <w:rtl/>
        </w:rPr>
        <w:t xml:space="preserve"> </w:t>
      </w:r>
      <w:r w:rsidRPr="008B321F">
        <w:rPr>
          <w:rFonts w:ascii="David" w:hAnsi="David" w:hint="eastAsia"/>
          <w:sz w:val="24"/>
          <w:rtl/>
        </w:rPr>
        <w:t>של</w:t>
      </w:r>
      <w:r w:rsidRPr="008B321F">
        <w:rPr>
          <w:rFonts w:ascii="David" w:hAnsi="David"/>
          <w:sz w:val="24"/>
          <w:rtl/>
        </w:rPr>
        <w:t xml:space="preserve"> </w:t>
      </w:r>
      <w:r>
        <w:rPr>
          <w:rFonts w:ascii="David" w:hAnsi="David" w:hint="cs"/>
          <w:sz w:val="24"/>
          <w:rtl/>
        </w:rPr>
        <w:t>השר הממונה, חרף בקשת המשטרה לקדם את הנושא בעדיפות ראשונה.</w:t>
      </w:r>
      <w:r w:rsidR="00382AE8">
        <w:rPr>
          <w:rFonts w:ascii="David" w:hAnsi="David"/>
          <w:sz w:val="24"/>
          <w:rtl/>
        </w:rPr>
        <w:t xml:space="preserve"> </w:t>
      </w:r>
    </w:p>
    <w:p w:rsidR="007B315C" w:rsidRPr="006E46A7" w:rsidRDefault="007B315C" w:rsidP="00604C3D">
      <w:pPr>
        <w:spacing w:line="269" w:lineRule="auto"/>
        <w:rPr>
          <w:rtl/>
        </w:rPr>
      </w:pPr>
    </w:p>
    <w:p w:rsidR="005E40A0" w:rsidRPr="008B321F" w:rsidRDefault="005E40A0" w:rsidP="005A0F21">
      <w:pPr>
        <w:spacing w:line="269" w:lineRule="auto"/>
        <w:ind w:left="423"/>
        <w:rPr>
          <w:rFonts w:ascii="David" w:hAnsi="David"/>
          <w:sz w:val="24"/>
          <w:rtl/>
        </w:rPr>
      </w:pPr>
      <w:r>
        <w:rPr>
          <w:rFonts w:ascii="David" w:hAnsi="David" w:hint="cs"/>
          <w:sz w:val="24"/>
          <w:rtl/>
        </w:rPr>
        <w:t>השר לביטחון לאומי כתב בתשובתו כי הייעוץ המשפטי לממשלה לא שיתף את המשרד לביטחון לאומי בשיח שהתקיים בנושא מול המשטרה בנוגע לקידום סמכות המשטרה לבצע צילום סתר, ולא התקבלה אצלם פנייה להשתתף בעבודת מטה שמתקיימת בנושא. עוד נכתב בתשובה כי הסמכות לצילום סתר פוגענית הרבה יותר מאשר חיפוש סמוי במחשב. עמדת השר לביטחון לאומי היא שמבחינת סדרי העדיפות יש לבחון את הנושא רק לאחר שתוסדר הפעלת הכלים הטכנולוגיים להאזנות סתר שבידי המשטרה ולאחר שתוסדר סמכות המשטרה לחיפוש סמוי במחשב באופן מדוד ותחת פיקוח ובקרה הדוקים.</w:t>
      </w:r>
    </w:p>
    <w:p w:rsidR="004B50FC" w:rsidRPr="006E46A7" w:rsidRDefault="004B50FC" w:rsidP="005A0F21">
      <w:pPr>
        <w:spacing w:line="269" w:lineRule="auto"/>
        <w:ind w:left="423"/>
        <w:rPr>
          <w:rtl/>
        </w:rPr>
      </w:pPr>
    </w:p>
    <w:p w:rsidR="009160F3" w:rsidRPr="006E46A7" w:rsidRDefault="009160F3" w:rsidP="005A0F21">
      <w:pPr>
        <w:spacing w:line="269" w:lineRule="auto"/>
        <w:ind w:left="423"/>
        <w:rPr>
          <w:b/>
          <w:bCs/>
          <w:rtl/>
        </w:rPr>
      </w:pPr>
      <w:r w:rsidRPr="006E46A7">
        <w:rPr>
          <w:rFonts w:hint="eastAsia"/>
          <w:b/>
          <w:bCs/>
          <w:rtl/>
        </w:rPr>
        <w:t>במועד</w:t>
      </w:r>
      <w:r w:rsidRPr="006E46A7">
        <w:rPr>
          <w:b/>
          <w:bCs/>
          <w:rtl/>
        </w:rPr>
        <w:t xml:space="preserve"> סיום הביקורת, ו</w:t>
      </w:r>
      <w:r w:rsidRPr="006E46A7">
        <w:rPr>
          <w:rFonts w:hint="cs"/>
          <w:b/>
          <w:bCs/>
          <w:rtl/>
        </w:rPr>
        <w:t>אף</w:t>
      </w:r>
      <w:r w:rsidRPr="006E46A7">
        <w:rPr>
          <w:b/>
          <w:bCs/>
          <w:rtl/>
        </w:rPr>
        <w:t xml:space="preserve"> שנושא הסדרת </w:t>
      </w:r>
      <w:r w:rsidRPr="006E46A7">
        <w:rPr>
          <w:rFonts w:hint="eastAsia"/>
          <w:b/>
          <w:bCs/>
          <w:rtl/>
        </w:rPr>
        <w:t>צילום</w:t>
      </w:r>
      <w:r w:rsidRPr="006E46A7">
        <w:rPr>
          <w:b/>
          <w:bCs/>
          <w:rtl/>
        </w:rPr>
        <w:t xml:space="preserve"> </w:t>
      </w:r>
      <w:r w:rsidRPr="006E46A7">
        <w:rPr>
          <w:rFonts w:hint="eastAsia"/>
          <w:b/>
          <w:bCs/>
          <w:rtl/>
        </w:rPr>
        <w:t>סתר</w:t>
      </w:r>
      <w:r w:rsidRPr="006E46A7">
        <w:rPr>
          <w:b/>
          <w:bCs/>
          <w:rtl/>
        </w:rPr>
        <w:t xml:space="preserve"> חזותי נדון </w:t>
      </w:r>
      <w:r w:rsidRPr="006E46A7">
        <w:rPr>
          <w:rFonts w:hint="eastAsia"/>
          <w:b/>
          <w:bCs/>
          <w:rtl/>
        </w:rPr>
        <w:t>בוועדת</w:t>
      </w:r>
      <w:r w:rsidRPr="006E46A7">
        <w:rPr>
          <w:b/>
          <w:bCs/>
          <w:rtl/>
        </w:rPr>
        <w:t xml:space="preserve"> </w:t>
      </w:r>
      <w:r w:rsidRPr="006E46A7">
        <w:rPr>
          <w:rFonts w:hint="cs"/>
          <w:b/>
          <w:bCs/>
          <w:rtl/>
        </w:rPr>
        <w:t>ה</w:t>
      </w:r>
      <w:r w:rsidRPr="006E46A7">
        <w:rPr>
          <w:b/>
          <w:bCs/>
          <w:rtl/>
        </w:rPr>
        <w:t>חוקה</w:t>
      </w:r>
      <w:r w:rsidRPr="006E46A7">
        <w:rPr>
          <w:rFonts w:hint="cs"/>
          <w:b/>
          <w:bCs/>
          <w:rtl/>
        </w:rPr>
        <w:t>,</w:t>
      </w:r>
      <w:r w:rsidRPr="006E46A7">
        <w:rPr>
          <w:b/>
          <w:bCs/>
          <w:rtl/>
        </w:rPr>
        <w:t xml:space="preserve"> חוק ומשפט </w:t>
      </w:r>
      <w:r w:rsidRPr="006E46A7">
        <w:rPr>
          <w:rFonts w:hint="eastAsia"/>
          <w:b/>
          <w:bCs/>
          <w:rtl/>
        </w:rPr>
        <w:t>כבר</w:t>
      </w:r>
      <w:r w:rsidRPr="006E46A7">
        <w:rPr>
          <w:b/>
          <w:bCs/>
          <w:rtl/>
        </w:rPr>
        <w:t xml:space="preserve"> </w:t>
      </w:r>
      <w:r w:rsidRPr="006E46A7">
        <w:rPr>
          <w:rFonts w:hint="eastAsia"/>
          <w:b/>
          <w:bCs/>
          <w:rtl/>
        </w:rPr>
        <w:t>משנת</w:t>
      </w:r>
      <w:r w:rsidRPr="006E46A7">
        <w:rPr>
          <w:b/>
          <w:bCs/>
          <w:rtl/>
        </w:rPr>
        <w:t xml:space="preserve"> 2012</w:t>
      </w:r>
      <w:r w:rsidRPr="006E46A7">
        <w:rPr>
          <w:rFonts w:hint="cs"/>
          <w:b/>
          <w:bCs/>
          <w:rtl/>
        </w:rPr>
        <w:t>,</w:t>
      </w:r>
      <w:r w:rsidRPr="006E46A7">
        <w:rPr>
          <w:b/>
          <w:bCs/>
          <w:rtl/>
        </w:rPr>
        <w:t xml:space="preserve"> </w:t>
      </w:r>
      <w:r w:rsidRPr="006E46A7">
        <w:rPr>
          <w:rFonts w:hint="eastAsia"/>
          <w:b/>
          <w:bCs/>
          <w:rtl/>
        </w:rPr>
        <w:t>שקבעה</w:t>
      </w:r>
      <w:r w:rsidRPr="006E46A7">
        <w:rPr>
          <w:b/>
          <w:bCs/>
          <w:rtl/>
        </w:rPr>
        <w:t xml:space="preserve"> </w:t>
      </w:r>
      <w:r w:rsidRPr="006E46A7">
        <w:rPr>
          <w:rFonts w:hint="eastAsia"/>
          <w:b/>
          <w:bCs/>
          <w:rtl/>
        </w:rPr>
        <w:t>שיש</w:t>
      </w:r>
      <w:r w:rsidRPr="006E46A7">
        <w:rPr>
          <w:b/>
          <w:bCs/>
          <w:rtl/>
        </w:rPr>
        <w:t xml:space="preserve"> </w:t>
      </w:r>
      <w:r w:rsidRPr="006E46A7">
        <w:rPr>
          <w:rFonts w:hint="eastAsia"/>
          <w:b/>
          <w:bCs/>
          <w:rtl/>
        </w:rPr>
        <w:t>להסדיר</w:t>
      </w:r>
      <w:r w:rsidRPr="006E46A7">
        <w:rPr>
          <w:b/>
          <w:bCs/>
          <w:rtl/>
        </w:rPr>
        <w:t xml:space="preserve"> </w:t>
      </w:r>
      <w:r w:rsidRPr="006E46A7">
        <w:rPr>
          <w:rFonts w:hint="eastAsia"/>
          <w:b/>
          <w:bCs/>
          <w:rtl/>
        </w:rPr>
        <w:t>את</w:t>
      </w:r>
      <w:r w:rsidRPr="006E46A7">
        <w:rPr>
          <w:b/>
          <w:bCs/>
          <w:rtl/>
        </w:rPr>
        <w:t xml:space="preserve"> </w:t>
      </w:r>
      <w:r w:rsidRPr="006E46A7">
        <w:rPr>
          <w:rFonts w:hint="eastAsia"/>
          <w:b/>
          <w:bCs/>
          <w:rtl/>
        </w:rPr>
        <w:t>הנושא</w:t>
      </w:r>
      <w:r w:rsidRPr="006E46A7">
        <w:rPr>
          <w:b/>
          <w:bCs/>
          <w:rtl/>
        </w:rPr>
        <w:t xml:space="preserve"> </w:t>
      </w:r>
      <w:r w:rsidRPr="006E46A7">
        <w:rPr>
          <w:rFonts w:hint="eastAsia"/>
          <w:b/>
          <w:bCs/>
          <w:rtl/>
        </w:rPr>
        <w:t>באופן</w:t>
      </w:r>
      <w:r w:rsidRPr="006E46A7">
        <w:rPr>
          <w:b/>
          <w:bCs/>
          <w:rtl/>
        </w:rPr>
        <w:t xml:space="preserve"> </w:t>
      </w:r>
      <w:r w:rsidRPr="006E46A7">
        <w:rPr>
          <w:rFonts w:hint="eastAsia"/>
          <w:b/>
          <w:bCs/>
          <w:rtl/>
        </w:rPr>
        <w:t>ברור</w:t>
      </w:r>
      <w:r w:rsidRPr="006E46A7">
        <w:rPr>
          <w:b/>
          <w:bCs/>
          <w:rtl/>
        </w:rPr>
        <w:t xml:space="preserve"> </w:t>
      </w:r>
      <w:r w:rsidRPr="006E46A7">
        <w:rPr>
          <w:rFonts w:hint="eastAsia"/>
          <w:b/>
          <w:bCs/>
          <w:rtl/>
        </w:rPr>
        <w:t>ומפורש</w:t>
      </w:r>
      <w:r w:rsidRPr="006E46A7">
        <w:rPr>
          <w:rFonts w:hint="cs"/>
          <w:b/>
          <w:bCs/>
          <w:rtl/>
        </w:rPr>
        <w:t>,</w:t>
      </w:r>
      <w:r w:rsidRPr="006E46A7">
        <w:rPr>
          <w:b/>
          <w:bCs/>
          <w:rtl/>
        </w:rPr>
        <w:t xml:space="preserve"> </w:t>
      </w:r>
      <w:r w:rsidRPr="006E46A7">
        <w:rPr>
          <w:rFonts w:hint="eastAsia"/>
          <w:b/>
          <w:bCs/>
          <w:rtl/>
        </w:rPr>
        <w:t>ו</w:t>
      </w:r>
      <w:r w:rsidRPr="006E46A7">
        <w:rPr>
          <w:rFonts w:hint="cs"/>
          <w:b/>
          <w:bCs/>
          <w:rtl/>
        </w:rPr>
        <w:t xml:space="preserve">על אף </w:t>
      </w:r>
      <w:r w:rsidRPr="006E46A7">
        <w:rPr>
          <w:rFonts w:hint="eastAsia"/>
          <w:b/>
          <w:bCs/>
          <w:rtl/>
        </w:rPr>
        <w:t>קיומ</w:t>
      </w:r>
      <w:r w:rsidRPr="006E46A7">
        <w:rPr>
          <w:rFonts w:hint="cs"/>
          <w:b/>
          <w:bCs/>
          <w:rtl/>
        </w:rPr>
        <w:t>ן</w:t>
      </w:r>
      <w:r w:rsidRPr="006E46A7">
        <w:rPr>
          <w:b/>
          <w:bCs/>
          <w:rtl/>
        </w:rPr>
        <w:t xml:space="preserve"> </w:t>
      </w:r>
      <w:r w:rsidRPr="006E46A7">
        <w:rPr>
          <w:rFonts w:hint="eastAsia"/>
          <w:b/>
          <w:bCs/>
          <w:rtl/>
        </w:rPr>
        <w:t>של</w:t>
      </w:r>
      <w:r w:rsidRPr="006E46A7">
        <w:rPr>
          <w:b/>
          <w:bCs/>
          <w:rtl/>
        </w:rPr>
        <w:t xml:space="preserve"> </w:t>
      </w:r>
      <w:r w:rsidRPr="006E46A7">
        <w:rPr>
          <w:rFonts w:hint="eastAsia"/>
          <w:b/>
          <w:bCs/>
          <w:rtl/>
        </w:rPr>
        <w:t>ישיבות</w:t>
      </w:r>
      <w:r w:rsidRPr="006E46A7">
        <w:rPr>
          <w:b/>
          <w:bCs/>
          <w:rtl/>
        </w:rPr>
        <w:t xml:space="preserve"> </w:t>
      </w:r>
      <w:r w:rsidRPr="006E46A7">
        <w:rPr>
          <w:rFonts w:hint="eastAsia"/>
          <w:b/>
          <w:bCs/>
          <w:rtl/>
        </w:rPr>
        <w:t>בנושא</w:t>
      </w:r>
      <w:r w:rsidRPr="006E46A7">
        <w:rPr>
          <w:b/>
          <w:bCs/>
          <w:rtl/>
        </w:rPr>
        <w:t xml:space="preserve"> </w:t>
      </w:r>
      <w:r w:rsidRPr="006E46A7">
        <w:rPr>
          <w:rFonts w:hint="eastAsia"/>
          <w:b/>
          <w:bCs/>
          <w:rtl/>
        </w:rPr>
        <w:t>לאורך</w:t>
      </w:r>
      <w:r w:rsidRPr="006E46A7">
        <w:rPr>
          <w:b/>
          <w:bCs/>
          <w:rtl/>
        </w:rPr>
        <w:t xml:space="preserve"> </w:t>
      </w:r>
      <w:r w:rsidRPr="006E46A7">
        <w:rPr>
          <w:rFonts w:hint="eastAsia"/>
          <w:b/>
          <w:bCs/>
          <w:rtl/>
        </w:rPr>
        <w:t>השנים</w:t>
      </w:r>
      <w:r w:rsidRPr="006E46A7">
        <w:rPr>
          <w:rFonts w:hint="cs"/>
          <w:b/>
          <w:bCs/>
          <w:rtl/>
        </w:rPr>
        <w:t xml:space="preserve"> במשרד המשפטים</w:t>
      </w:r>
      <w:r w:rsidRPr="006E46A7">
        <w:rPr>
          <w:b/>
          <w:bCs/>
          <w:rtl/>
        </w:rPr>
        <w:t xml:space="preserve">, הסדרת הסמכות לצילום סתר חזותי כסמכות עצמאית </w:t>
      </w:r>
      <w:r w:rsidRPr="006E46A7">
        <w:rPr>
          <w:rFonts w:hint="eastAsia"/>
          <w:b/>
          <w:bCs/>
          <w:rtl/>
        </w:rPr>
        <w:t>לא</w:t>
      </w:r>
      <w:r w:rsidRPr="006E46A7">
        <w:rPr>
          <w:b/>
          <w:bCs/>
          <w:rtl/>
        </w:rPr>
        <w:t xml:space="preserve"> </w:t>
      </w:r>
      <w:r w:rsidRPr="006E46A7">
        <w:rPr>
          <w:rFonts w:hint="eastAsia"/>
          <w:b/>
          <w:bCs/>
          <w:rtl/>
        </w:rPr>
        <w:t>קודמה</w:t>
      </w:r>
      <w:r w:rsidRPr="006E46A7">
        <w:rPr>
          <w:b/>
          <w:bCs/>
          <w:rtl/>
        </w:rPr>
        <w:t>.</w:t>
      </w:r>
      <w:r w:rsidRPr="006E46A7">
        <w:rPr>
          <w:rFonts w:hint="cs"/>
          <w:b/>
          <w:bCs/>
          <w:rtl/>
        </w:rPr>
        <w:t xml:space="preserve"> </w:t>
      </w:r>
    </w:p>
    <w:p w:rsidR="009160F3" w:rsidRPr="006E46A7" w:rsidRDefault="009160F3" w:rsidP="005A0F21">
      <w:pPr>
        <w:spacing w:line="269" w:lineRule="auto"/>
        <w:ind w:left="423"/>
        <w:rPr>
          <w:rtl/>
        </w:rPr>
      </w:pPr>
    </w:p>
    <w:p w:rsidR="009160F3" w:rsidRDefault="009160F3" w:rsidP="005A0F21">
      <w:pPr>
        <w:spacing w:line="269" w:lineRule="auto"/>
        <w:ind w:left="423"/>
        <w:rPr>
          <w:rFonts w:ascii="David" w:hAnsi="David"/>
          <w:sz w:val="24"/>
          <w:rtl/>
        </w:rPr>
      </w:pPr>
      <w:r w:rsidRPr="008B321F">
        <w:rPr>
          <w:rFonts w:ascii="David" w:hAnsi="David" w:hint="eastAsia"/>
          <w:sz w:val="24"/>
          <w:rtl/>
        </w:rPr>
        <w:t>משרד</w:t>
      </w:r>
      <w:r w:rsidRPr="008B321F">
        <w:rPr>
          <w:rFonts w:ascii="David" w:hAnsi="David"/>
          <w:sz w:val="24"/>
          <w:rtl/>
        </w:rPr>
        <w:t xml:space="preserve"> </w:t>
      </w:r>
      <w:r w:rsidRPr="008B321F">
        <w:rPr>
          <w:rFonts w:ascii="David" w:hAnsi="David" w:hint="eastAsia"/>
          <w:sz w:val="24"/>
          <w:rtl/>
        </w:rPr>
        <w:t>המשפטים</w:t>
      </w:r>
      <w:r w:rsidRPr="008B321F">
        <w:rPr>
          <w:rFonts w:ascii="David" w:hAnsi="David"/>
          <w:sz w:val="24"/>
          <w:rtl/>
        </w:rPr>
        <w:t xml:space="preserve"> </w:t>
      </w:r>
      <w:r w:rsidRPr="008B321F">
        <w:rPr>
          <w:rFonts w:ascii="David" w:hAnsi="David" w:hint="eastAsia"/>
          <w:sz w:val="24"/>
          <w:rtl/>
        </w:rPr>
        <w:t>כתב</w:t>
      </w:r>
      <w:r w:rsidRPr="008B321F">
        <w:rPr>
          <w:rFonts w:ascii="David" w:hAnsi="David"/>
          <w:sz w:val="24"/>
          <w:rtl/>
        </w:rPr>
        <w:t xml:space="preserve"> </w:t>
      </w:r>
      <w:r w:rsidRPr="008B321F">
        <w:rPr>
          <w:rFonts w:ascii="David" w:hAnsi="David" w:hint="eastAsia"/>
          <w:sz w:val="24"/>
          <w:rtl/>
        </w:rPr>
        <w:t>בתשובתו</w:t>
      </w:r>
      <w:r w:rsidRPr="008B321F">
        <w:rPr>
          <w:rFonts w:ascii="David" w:hAnsi="David"/>
          <w:sz w:val="24"/>
          <w:rtl/>
        </w:rPr>
        <w:t xml:space="preserve"> </w:t>
      </w:r>
      <w:r w:rsidRPr="008B321F">
        <w:rPr>
          <w:rFonts w:ascii="David" w:hAnsi="David" w:hint="eastAsia"/>
          <w:sz w:val="24"/>
          <w:rtl/>
        </w:rPr>
        <w:t>כי</w:t>
      </w:r>
      <w:r w:rsidRPr="008B321F">
        <w:rPr>
          <w:rFonts w:ascii="David" w:hAnsi="David"/>
          <w:sz w:val="24"/>
          <w:rtl/>
        </w:rPr>
        <w:t xml:space="preserve"> </w:t>
      </w:r>
      <w:r w:rsidRPr="008B321F">
        <w:rPr>
          <w:rFonts w:ascii="David" w:hAnsi="David" w:hint="eastAsia"/>
          <w:sz w:val="24"/>
          <w:rtl/>
        </w:rPr>
        <w:t>העיכוב</w:t>
      </w:r>
      <w:r>
        <w:rPr>
          <w:rFonts w:ascii="David" w:hAnsi="David" w:hint="cs"/>
          <w:sz w:val="24"/>
          <w:rtl/>
        </w:rPr>
        <w:t xml:space="preserve"> שחל בקידום הטיפול בנושא מאז הפרסומים בינואר 2022</w:t>
      </w:r>
      <w:r w:rsidRPr="008B321F">
        <w:rPr>
          <w:rFonts w:ascii="David" w:hAnsi="David"/>
          <w:sz w:val="24"/>
          <w:rtl/>
        </w:rPr>
        <w:t xml:space="preserve"> </w:t>
      </w:r>
      <w:r>
        <w:rPr>
          <w:rFonts w:ascii="David" w:hAnsi="David" w:hint="cs"/>
          <w:sz w:val="24"/>
          <w:rtl/>
        </w:rPr>
        <w:t xml:space="preserve">נובע </w:t>
      </w:r>
      <w:r w:rsidRPr="008B321F">
        <w:rPr>
          <w:rFonts w:ascii="David" w:hAnsi="David" w:hint="eastAsia"/>
          <w:sz w:val="24"/>
          <w:rtl/>
        </w:rPr>
        <w:t>מהסטת</w:t>
      </w:r>
      <w:r w:rsidRPr="008B321F">
        <w:rPr>
          <w:rFonts w:ascii="David" w:hAnsi="David"/>
          <w:sz w:val="24"/>
          <w:rtl/>
        </w:rPr>
        <w:t xml:space="preserve"> </w:t>
      </w:r>
      <w:r w:rsidRPr="008B321F">
        <w:rPr>
          <w:rFonts w:ascii="David" w:hAnsi="David" w:hint="eastAsia"/>
          <w:sz w:val="24"/>
          <w:rtl/>
        </w:rPr>
        <w:t>כ</w:t>
      </w:r>
      <w:r>
        <w:rPr>
          <w:rFonts w:ascii="David" w:hAnsi="David" w:hint="cs"/>
          <w:sz w:val="24"/>
          <w:rtl/>
        </w:rPr>
        <w:t>ו</w:t>
      </w:r>
      <w:r w:rsidRPr="008B321F">
        <w:rPr>
          <w:rFonts w:ascii="David" w:hAnsi="David" w:hint="eastAsia"/>
          <w:sz w:val="24"/>
          <w:rtl/>
        </w:rPr>
        <w:t>ח</w:t>
      </w:r>
      <w:r w:rsidRPr="008B321F">
        <w:rPr>
          <w:rFonts w:ascii="David" w:hAnsi="David"/>
          <w:sz w:val="24"/>
          <w:rtl/>
        </w:rPr>
        <w:t xml:space="preserve"> </w:t>
      </w:r>
      <w:r w:rsidRPr="008B321F">
        <w:rPr>
          <w:rFonts w:ascii="David" w:hAnsi="David" w:hint="eastAsia"/>
          <w:sz w:val="24"/>
          <w:rtl/>
        </w:rPr>
        <w:t>אדם</w:t>
      </w:r>
      <w:r w:rsidRPr="008B321F">
        <w:rPr>
          <w:rFonts w:ascii="David" w:hAnsi="David"/>
          <w:sz w:val="24"/>
          <w:rtl/>
        </w:rPr>
        <w:t xml:space="preserve"> </w:t>
      </w:r>
      <w:r w:rsidRPr="008B321F">
        <w:rPr>
          <w:rFonts w:ascii="David" w:hAnsi="David" w:hint="eastAsia"/>
          <w:sz w:val="24"/>
          <w:rtl/>
        </w:rPr>
        <w:t>המומחה</w:t>
      </w:r>
      <w:r w:rsidRPr="008B321F">
        <w:rPr>
          <w:rFonts w:ascii="David" w:hAnsi="David"/>
          <w:sz w:val="24"/>
          <w:rtl/>
        </w:rPr>
        <w:t xml:space="preserve"> </w:t>
      </w:r>
      <w:r w:rsidRPr="008B321F">
        <w:rPr>
          <w:rFonts w:ascii="David" w:hAnsi="David" w:hint="eastAsia"/>
          <w:sz w:val="24"/>
          <w:rtl/>
        </w:rPr>
        <w:t>לנושאים</w:t>
      </w:r>
      <w:r w:rsidRPr="008B321F">
        <w:rPr>
          <w:rFonts w:ascii="David" w:hAnsi="David"/>
          <w:sz w:val="24"/>
          <w:rtl/>
        </w:rPr>
        <w:t xml:space="preserve"> </w:t>
      </w:r>
      <w:r w:rsidRPr="008B321F">
        <w:rPr>
          <w:rFonts w:ascii="David" w:hAnsi="David" w:hint="eastAsia"/>
          <w:sz w:val="24"/>
          <w:rtl/>
        </w:rPr>
        <w:t>אלו</w:t>
      </w:r>
      <w:r w:rsidRPr="008B321F">
        <w:rPr>
          <w:rFonts w:ascii="David" w:hAnsi="David"/>
          <w:sz w:val="24"/>
          <w:rtl/>
        </w:rPr>
        <w:t xml:space="preserve"> </w:t>
      </w:r>
      <w:r w:rsidRPr="008B321F">
        <w:rPr>
          <w:rFonts w:ascii="David" w:hAnsi="David" w:hint="eastAsia"/>
          <w:sz w:val="24"/>
          <w:rtl/>
        </w:rPr>
        <w:t>לעיסוק</w:t>
      </w:r>
      <w:r w:rsidRPr="008B321F">
        <w:rPr>
          <w:rFonts w:ascii="David" w:hAnsi="David"/>
          <w:sz w:val="24"/>
          <w:rtl/>
        </w:rPr>
        <w:t xml:space="preserve"> </w:t>
      </w:r>
      <w:r w:rsidRPr="008B321F">
        <w:rPr>
          <w:rFonts w:ascii="David" w:hAnsi="David" w:hint="eastAsia"/>
          <w:sz w:val="24"/>
          <w:rtl/>
        </w:rPr>
        <w:t>בצ</w:t>
      </w:r>
      <w:r>
        <w:rPr>
          <w:rFonts w:ascii="David" w:hAnsi="David" w:hint="cs"/>
          <w:sz w:val="24"/>
          <w:rtl/>
        </w:rPr>
        <w:t>ו</w:t>
      </w:r>
      <w:r w:rsidRPr="008B321F">
        <w:rPr>
          <w:rFonts w:ascii="David" w:hAnsi="David" w:hint="eastAsia"/>
          <w:sz w:val="24"/>
          <w:rtl/>
        </w:rPr>
        <w:t>רכי</w:t>
      </w:r>
      <w:r w:rsidRPr="008B321F">
        <w:rPr>
          <w:rFonts w:ascii="David" w:hAnsi="David"/>
          <w:sz w:val="24"/>
          <w:rtl/>
        </w:rPr>
        <w:t xml:space="preserve"> </w:t>
      </w:r>
      <w:r w:rsidRPr="008B321F">
        <w:rPr>
          <w:rFonts w:ascii="David" w:hAnsi="David" w:hint="eastAsia"/>
          <w:sz w:val="24"/>
          <w:rtl/>
        </w:rPr>
        <w:t>מלחמת</w:t>
      </w:r>
      <w:r w:rsidRPr="008B321F">
        <w:rPr>
          <w:rFonts w:ascii="David" w:hAnsi="David"/>
          <w:sz w:val="24"/>
          <w:rtl/>
        </w:rPr>
        <w:t xml:space="preserve"> </w:t>
      </w:r>
      <w:r w:rsidRPr="008B321F">
        <w:rPr>
          <w:rFonts w:ascii="David" w:hAnsi="David" w:hint="eastAsia"/>
          <w:sz w:val="24"/>
          <w:rtl/>
        </w:rPr>
        <w:t>חרבות</w:t>
      </w:r>
      <w:r w:rsidRPr="008B321F">
        <w:rPr>
          <w:rFonts w:ascii="David" w:hAnsi="David"/>
          <w:sz w:val="24"/>
          <w:rtl/>
        </w:rPr>
        <w:t xml:space="preserve"> </w:t>
      </w:r>
      <w:r w:rsidRPr="008B321F">
        <w:rPr>
          <w:rFonts w:ascii="David" w:hAnsi="David" w:hint="eastAsia"/>
          <w:sz w:val="24"/>
          <w:rtl/>
        </w:rPr>
        <w:t>ברזל</w:t>
      </w:r>
      <w:r>
        <w:rPr>
          <w:rFonts w:ascii="David" w:hAnsi="David" w:hint="cs"/>
          <w:sz w:val="24"/>
          <w:rtl/>
        </w:rPr>
        <w:t>,</w:t>
      </w:r>
      <w:r w:rsidRPr="008B321F">
        <w:rPr>
          <w:rFonts w:ascii="David" w:hAnsi="David"/>
          <w:sz w:val="24"/>
          <w:rtl/>
        </w:rPr>
        <w:t xml:space="preserve"> </w:t>
      </w:r>
      <w:r w:rsidRPr="008B321F">
        <w:rPr>
          <w:rFonts w:ascii="David" w:hAnsi="David" w:hint="eastAsia"/>
          <w:sz w:val="24"/>
          <w:rtl/>
        </w:rPr>
        <w:t>וכי</w:t>
      </w:r>
      <w:r w:rsidRPr="008B321F">
        <w:rPr>
          <w:rFonts w:ascii="David" w:hAnsi="David"/>
          <w:sz w:val="24"/>
          <w:rtl/>
        </w:rPr>
        <w:t xml:space="preserve"> </w:t>
      </w:r>
      <w:r w:rsidRPr="008B321F">
        <w:rPr>
          <w:rFonts w:ascii="David" w:hAnsi="David" w:hint="eastAsia"/>
          <w:sz w:val="24"/>
          <w:rtl/>
        </w:rPr>
        <w:t>בכוונת</w:t>
      </w:r>
      <w:r w:rsidRPr="008B321F">
        <w:rPr>
          <w:rFonts w:ascii="David" w:hAnsi="David"/>
          <w:sz w:val="24"/>
          <w:rtl/>
        </w:rPr>
        <w:t xml:space="preserve"> </w:t>
      </w:r>
      <w:r w:rsidRPr="008B321F">
        <w:rPr>
          <w:rFonts w:ascii="David" w:hAnsi="David" w:hint="eastAsia"/>
          <w:sz w:val="24"/>
          <w:rtl/>
        </w:rPr>
        <w:t>גורמי</w:t>
      </w:r>
      <w:r w:rsidRPr="008B321F">
        <w:rPr>
          <w:rFonts w:ascii="David" w:hAnsi="David"/>
          <w:sz w:val="24"/>
          <w:rtl/>
        </w:rPr>
        <w:t xml:space="preserve"> </w:t>
      </w:r>
      <w:r w:rsidRPr="008B321F">
        <w:rPr>
          <w:rFonts w:ascii="David" w:hAnsi="David" w:hint="eastAsia"/>
          <w:sz w:val="24"/>
          <w:rtl/>
        </w:rPr>
        <w:t>הייעוץ</w:t>
      </w:r>
      <w:r w:rsidRPr="008B321F">
        <w:rPr>
          <w:rFonts w:ascii="David" w:hAnsi="David"/>
          <w:sz w:val="24"/>
          <w:rtl/>
        </w:rPr>
        <w:t xml:space="preserve"> </w:t>
      </w:r>
      <w:r w:rsidRPr="008B321F">
        <w:rPr>
          <w:rFonts w:ascii="David" w:hAnsi="David" w:hint="eastAsia"/>
          <w:sz w:val="24"/>
          <w:rtl/>
        </w:rPr>
        <w:t>המשפטי</w:t>
      </w:r>
      <w:r w:rsidRPr="008B321F">
        <w:rPr>
          <w:rFonts w:ascii="David" w:hAnsi="David"/>
          <w:sz w:val="24"/>
          <w:rtl/>
        </w:rPr>
        <w:t xml:space="preserve"> </w:t>
      </w:r>
      <w:r w:rsidRPr="008B321F">
        <w:rPr>
          <w:rFonts w:ascii="David" w:hAnsi="David" w:hint="eastAsia"/>
          <w:sz w:val="24"/>
          <w:rtl/>
        </w:rPr>
        <w:t>לממשלה</w:t>
      </w:r>
      <w:r w:rsidRPr="008B321F">
        <w:rPr>
          <w:rFonts w:ascii="David" w:hAnsi="David"/>
          <w:sz w:val="24"/>
          <w:rtl/>
        </w:rPr>
        <w:t xml:space="preserve"> </w:t>
      </w:r>
      <w:r w:rsidRPr="008B321F">
        <w:rPr>
          <w:rFonts w:ascii="David" w:hAnsi="David" w:hint="eastAsia"/>
          <w:sz w:val="24"/>
          <w:rtl/>
        </w:rPr>
        <w:t>להידרש</w:t>
      </w:r>
      <w:r w:rsidRPr="008B321F">
        <w:rPr>
          <w:rFonts w:ascii="David" w:hAnsi="David"/>
          <w:sz w:val="24"/>
          <w:rtl/>
        </w:rPr>
        <w:t xml:space="preserve"> </w:t>
      </w:r>
      <w:r w:rsidRPr="008B321F">
        <w:rPr>
          <w:rFonts w:ascii="David" w:hAnsi="David" w:hint="eastAsia"/>
          <w:sz w:val="24"/>
          <w:rtl/>
        </w:rPr>
        <w:t>לנושאים</w:t>
      </w:r>
      <w:r w:rsidRPr="008B321F">
        <w:rPr>
          <w:rFonts w:ascii="David" w:hAnsi="David"/>
          <w:sz w:val="24"/>
          <w:rtl/>
        </w:rPr>
        <w:t xml:space="preserve"> </w:t>
      </w:r>
      <w:r w:rsidRPr="008B321F">
        <w:rPr>
          <w:rFonts w:ascii="David" w:hAnsi="David" w:hint="eastAsia"/>
          <w:sz w:val="24"/>
          <w:rtl/>
        </w:rPr>
        <w:t>אלו</w:t>
      </w:r>
      <w:r w:rsidRPr="008B321F">
        <w:rPr>
          <w:rFonts w:ascii="David" w:hAnsi="David"/>
          <w:sz w:val="24"/>
          <w:rtl/>
        </w:rPr>
        <w:t xml:space="preserve"> </w:t>
      </w:r>
      <w:r w:rsidRPr="008B321F">
        <w:rPr>
          <w:rFonts w:ascii="David" w:hAnsi="David" w:hint="eastAsia"/>
          <w:sz w:val="24"/>
          <w:rtl/>
        </w:rPr>
        <w:t>בתקופה</w:t>
      </w:r>
      <w:r w:rsidRPr="008B321F">
        <w:rPr>
          <w:rFonts w:ascii="David" w:hAnsi="David"/>
          <w:sz w:val="24"/>
          <w:rtl/>
        </w:rPr>
        <w:t xml:space="preserve"> </w:t>
      </w:r>
      <w:r w:rsidRPr="008B321F">
        <w:rPr>
          <w:rFonts w:ascii="David" w:hAnsi="David" w:hint="eastAsia"/>
          <w:sz w:val="24"/>
          <w:rtl/>
        </w:rPr>
        <w:t>הקרובה</w:t>
      </w:r>
      <w:r w:rsidRPr="00B174FF">
        <w:rPr>
          <w:rFonts w:ascii="David" w:hAnsi="David"/>
          <w:sz w:val="24"/>
          <w:rtl/>
        </w:rPr>
        <w:t>.</w:t>
      </w:r>
    </w:p>
    <w:p w:rsidR="009F2D4A" w:rsidRPr="006E46A7" w:rsidRDefault="009F2D4A" w:rsidP="00604C3D">
      <w:pPr>
        <w:spacing w:line="269" w:lineRule="auto"/>
        <w:rPr>
          <w:rtl/>
        </w:rPr>
      </w:pPr>
    </w:p>
    <w:p w:rsidR="009160F3" w:rsidRPr="00DE6B37" w:rsidRDefault="009160F3" w:rsidP="004B146D">
      <w:pPr>
        <w:pStyle w:val="3"/>
        <w:numPr>
          <w:ilvl w:val="1"/>
          <w:numId w:val="79"/>
        </w:numPr>
        <w:ind w:left="423" w:hanging="392"/>
        <w:rPr>
          <w:rFonts w:eastAsia="Times New Roman"/>
          <w:sz w:val="22"/>
          <w:rtl/>
        </w:rPr>
      </w:pPr>
      <w:bookmarkStart w:id="705" w:name="_Toc156161011"/>
      <w:bookmarkStart w:id="706" w:name="_Toc156386136"/>
      <w:bookmarkStart w:id="707" w:name="_Toc138576135"/>
      <w:bookmarkStart w:id="708" w:name="_Toc211521977"/>
      <w:bookmarkStart w:id="709" w:name="_Toc219110368"/>
      <w:bookmarkStart w:id="710" w:name="_Toc219113809"/>
      <w:bookmarkStart w:id="711" w:name="_Toc219286584"/>
      <w:bookmarkEnd w:id="705"/>
      <w:bookmarkEnd w:id="706"/>
      <w:r w:rsidRPr="00DE6B37">
        <w:rPr>
          <w:rFonts w:eastAsia="Times New Roman" w:hint="eastAsia"/>
          <w:sz w:val="22"/>
          <w:rtl/>
        </w:rPr>
        <w:t>כלים</w:t>
      </w:r>
      <w:r w:rsidRPr="00DE6B37">
        <w:rPr>
          <w:rFonts w:eastAsia="Times New Roman"/>
          <w:sz w:val="22"/>
          <w:rtl/>
        </w:rPr>
        <w:t xml:space="preserve"> </w:t>
      </w:r>
      <w:r w:rsidRPr="00DE6B37">
        <w:rPr>
          <w:rFonts w:eastAsia="Times New Roman" w:hint="cs"/>
          <w:sz w:val="22"/>
          <w:rtl/>
        </w:rPr>
        <w:t xml:space="preserve">לניטור מידע </w:t>
      </w:r>
      <w:bookmarkEnd w:id="707"/>
      <w:r w:rsidRPr="00DE6B37">
        <w:rPr>
          <w:rFonts w:eastAsia="Times New Roman" w:hint="cs"/>
          <w:sz w:val="22"/>
          <w:rtl/>
        </w:rPr>
        <w:t>במרשתת</w:t>
      </w:r>
      <w:bookmarkEnd w:id="708"/>
      <w:bookmarkEnd w:id="709"/>
      <w:bookmarkEnd w:id="710"/>
      <w:bookmarkEnd w:id="711"/>
    </w:p>
    <w:p w:rsidR="004B50FC" w:rsidRDefault="004B50FC" w:rsidP="00604C3D">
      <w:pPr>
        <w:spacing w:line="269" w:lineRule="auto"/>
        <w:rPr>
          <w:rtl/>
        </w:rPr>
      </w:pPr>
    </w:p>
    <w:p w:rsidR="009160F3" w:rsidRDefault="009160F3" w:rsidP="005A0F21">
      <w:pPr>
        <w:spacing w:line="269" w:lineRule="auto"/>
        <w:ind w:left="423"/>
        <w:rPr>
          <w:rtl/>
        </w:rPr>
      </w:pPr>
      <w:r>
        <w:rPr>
          <w:rFonts w:hint="cs"/>
          <w:rtl/>
        </w:rPr>
        <w:t xml:space="preserve">בסיכום דיון שהתקיים ב-13.5.21 </w:t>
      </w:r>
      <w:r w:rsidR="001F5776">
        <w:rPr>
          <w:rFonts w:hint="cs"/>
          <w:rtl/>
        </w:rPr>
        <w:t>בייעוץ המשפטי לממשלה</w:t>
      </w:r>
      <w:r w:rsidR="00BF0E0D">
        <w:rPr>
          <w:rFonts w:hint="cs"/>
          <w:rtl/>
        </w:rPr>
        <w:t xml:space="preserve"> </w:t>
      </w:r>
      <w:r>
        <w:rPr>
          <w:rFonts w:hint="cs"/>
          <w:rtl/>
        </w:rPr>
        <w:t>בנושא הפעלת כלים לניטור מידע במרשתת</w:t>
      </w:r>
      <w:r w:rsidDel="00505E0C">
        <w:rPr>
          <w:rFonts w:hint="cs"/>
          <w:rtl/>
        </w:rPr>
        <w:t xml:space="preserve"> </w:t>
      </w:r>
      <w:r>
        <w:rPr>
          <w:rFonts w:hint="cs"/>
          <w:rtl/>
        </w:rPr>
        <w:t>הכוללים אפשרות לאתר תוכן ומידע הנוגעים לאדם מסוים, נכתב כי יש לקבוע בחוק את סמכות המשטרה לבצע פעולות אלו לאיסוף מודיעין לצורך מניעת עבירות</w:t>
      </w:r>
      <w:r w:rsidRPr="003504AB">
        <w:rPr>
          <w:rtl/>
        </w:rPr>
        <w:t>.</w:t>
      </w:r>
      <w:r>
        <w:rPr>
          <w:rFonts w:hint="cs"/>
          <w:rtl/>
        </w:rPr>
        <w:t xml:space="preserve"> עוד קבע </w:t>
      </w:r>
      <w:r w:rsidR="001F5776">
        <w:rPr>
          <w:rFonts w:hint="cs"/>
          <w:rtl/>
        </w:rPr>
        <w:t>נציג הייעוץ המשפטי לממשלה</w:t>
      </w:r>
      <w:r>
        <w:rPr>
          <w:rFonts w:hint="cs"/>
          <w:rtl/>
        </w:rPr>
        <w:t xml:space="preserve"> בסיכום הדיון כי בשלב הראשון על</w:t>
      </w:r>
      <w:r w:rsidR="001F5776">
        <w:rPr>
          <w:rFonts w:hint="cs"/>
          <w:rtl/>
        </w:rPr>
        <w:t>יהם</w:t>
      </w:r>
      <w:r>
        <w:rPr>
          <w:rFonts w:hint="cs"/>
          <w:rtl/>
        </w:rPr>
        <w:t xml:space="preserve"> לבחון את אופן ההסדרה הנדרש של סמכותה האמורה של המשטרה ואת מסגרת הזמנים להסדרתה, כדי שעבודת המטה בנושא בשיתוף המשטרה והמשרד לביטחון לאומי תחל בחודשים הקרובים ותזכיר חוק בנושא יוכן להפצה בתוך שנה. באותה עת התברר כי נושא הניטור של מידע זה, לרבות נושא האמצעים שמבקשת המשטרה להפעיל לצורך איסוף מידע במרשתת, הובא לידיעת </w:t>
      </w:r>
      <w:r w:rsidR="00844501">
        <w:rPr>
          <w:rFonts w:hint="cs"/>
          <w:rtl/>
        </w:rPr>
        <w:t>הייעוץ המשפטי לממשלה</w:t>
      </w:r>
      <w:r>
        <w:rPr>
          <w:rFonts w:hint="cs"/>
          <w:rtl/>
        </w:rPr>
        <w:t xml:space="preserve"> ללא חוות דעת משפטית ערב היציאה למכרז לרכישת כלי לניטור מידע מסוים, ועל כן הוחלט </w:t>
      </w:r>
      <w:r w:rsidR="008B03FA">
        <w:rPr>
          <w:rFonts w:hint="cs"/>
          <w:rtl/>
        </w:rPr>
        <w:t>בייעוץ המשפטי לממשלה</w:t>
      </w:r>
      <w:r>
        <w:rPr>
          <w:rFonts w:hint="cs"/>
          <w:rtl/>
        </w:rPr>
        <w:t xml:space="preserve"> שלא לקבל החלטה בעניין בשלב זה. </w:t>
      </w:r>
      <w:r w:rsidR="00844501">
        <w:rPr>
          <w:rFonts w:hint="cs"/>
          <w:rtl/>
        </w:rPr>
        <w:t>הייעוץ המשפטי לממשלה</w:t>
      </w:r>
      <w:r>
        <w:rPr>
          <w:rFonts w:hint="cs"/>
          <w:rtl/>
        </w:rPr>
        <w:t xml:space="preserve"> סיכ</w:t>
      </w:r>
      <w:r w:rsidR="00AF35D1">
        <w:rPr>
          <w:rFonts w:hint="cs"/>
          <w:rtl/>
        </w:rPr>
        <w:t>ם</w:t>
      </w:r>
      <w:r>
        <w:rPr>
          <w:rFonts w:hint="cs"/>
          <w:rtl/>
        </w:rPr>
        <w:t xml:space="preserve"> עם המשטרה כי היא תשוב ותעלה לפניה את העניין קודם התחלת השימוש במערכת. </w:t>
      </w:r>
    </w:p>
    <w:p w:rsidR="009160F3" w:rsidRDefault="009160F3" w:rsidP="005A0F21">
      <w:pPr>
        <w:spacing w:line="269" w:lineRule="auto"/>
        <w:ind w:left="423"/>
        <w:rPr>
          <w:rtl/>
        </w:rPr>
      </w:pPr>
    </w:p>
    <w:p w:rsidR="009160F3" w:rsidRDefault="009160F3" w:rsidP="005A0F21">
      <w:pPr>
        <w:spacing w:line="269" w:lineRule="auto"/>
        <w:ind w:left="423"/>
        <w:rPr>
          <w:rFonts w:eastAsia="Calibri"/>
          <w:rtl/>
        </w:rPr>
      </w:pPr>
      <w:r w:rsidRPr="00646E13">
        <w:rPr>
          <w:rFonts w:eastAsia="Calibri" w:hint="cs"/>
          <w:rtl/>
        </w:rPr>
        <w:t>משרד המשפטים כתב בתשובתו כי עמדת הייעוץ המשפטי לממשלה היא כי איסוף מודיעין משטרתי לא הוסדר בחקיקה ועיגון הסמכות בפקודת המשטרה היא פעולה מורכבת וממילא זו טרם הובאה לפתחו. כמו כן, למשטרה סמכות לאסוף מודיעין גם בהיעדר הסדרה מפורשת בחקיקה. בהתייחס לכלי מסוים לניטור מידע במרשתת שנדון גם בשנים 2023 - 2024, הסדרת הסמכות לבצע פעולה זו היא מורכבת בהיעדר ההסמכה הכללית לאיסוף מודיעין בפקודת המשטרה. יחד עם זאת, נכתב בתשובת משרד המשפטים כי סמכויות המשטרה לניטור מידע במרשתת נסמכת על פסיקה רבת שנים, והסדרה</w:t>
      </w:r>
      <w:r w:rsidR="001959B3">
        <w:rPr>
          <w:rFonts w:eastAsia="Calibri" w:hint="cs"/>
          <w:rtl/>
        </w:rPr>
        <w:t xml:space="preserve"> חקיקתית</w:t>
      </w:r>
      <w:r w:rsidRPr="00646E13">
        <w:rPr>
          <w:rFonts w:eastAsia="Calibri" w:hint="cs"/>
          <w:rtl/>
        </w:rPr>
        <w:t xml:space="preserve"> חלקית עלולה ליצור הסדרים שליליים.</w:t>
      </w:r>
    </w:p>
    <w:p w:rsidR="00F93F89" w:rsidRDefault="00F93F89" w:rsidP="005A0F21">
      <w:pPr>
        <w:spacing w:line="269" w:lineRule="auto"/>
        <w:ind w:left="423"/>
        <w:rPr>
          <w:rFonts w:eastAsia="Calibri"/>
          <w:rtl/>
        </w:rPr>
      </w:pPr>
    </w:p>
    <w:p w:rsidR="005E40A0" w:rsidRPr="00646E13" w:rsidRDefault="005E40A0" w:rsidP="005A0F21">
      <w:pPr>
        <w:spacing w:line="269" w:lineRule="auto"/>
        <w:ind w:left="423"/>
        <w:rPr>
          <w:rFonts w:eastAsia="Calibri"/>
        </w:rPr>
      </w:pPr>
      <w:r>
        <w:rPr>
          <w:rFonts w:eastAsia="Calibri" w:hint="cs"/>
          <w:rtl/>
        </w:rPr>
        <w:t>השר לביטחון לאומי כתב בתשובתו כי "המשרד לביטחון לאומי לא שותף לשיח שהתקיים בנושא בין הייעוץ המשפטי לממשלה לבין המשטרה, ולא התקבלה במשרד כל פנייה להשתתף בעבודת המטה שמתקיימת בנושא".</w:t>
      </w:r>
    </w:p>
    <w:p w:rsidR="004B50FC" w:rsidRPr="006E46A7" w:rsidRDefault="004B50FC" w:rsidP="005A0F21">
      <w:pPr>
        <w:spacing w:line="269" w:lineRule="auto"/>
        <w:ind w:left="423"/>
        <w:rPr>
          <w:rtl/>
        </w:rPr>
      </w:pPr>
    </w:p>
    <w:p w:rsidR="00703306" w:rsidRDefault="009160F3" w:rsidP="005A0F21">
      <w:pPr>
        <w:spacing w:line="269" w:lineRule="auto"/>
        <w:ind w:left="423"/>
        <w:rPr>
          <w:rFonts w:eastAsia="Times New Roman"/>
          <w:rtl/>
        </w:rPr>
      </w:pPr>
      <w:r w:rsidRPr="006E46A7">
        <w:rPr>
          <w:rStyle w:val="aff3"/>
          <w:rFonts w:hint="eastAsia"/>
          <w:rtl/>
        </w:rPr>
        <w:t>במועד</w:t>
      </w:r>
      <w:r w:rsidRPr="006E46A7">
        <w:rPr>
          <w:rStyle w:val="aff3"/>
          <w:rtl/>
        </w:rPr>
        <w:t xml:space="preserve"> סיום הביקורת החקיקה בנושא הפעלת כלים המשמשים לאיסוף מודיעין</w:t>
      </w:r>
      <w:r w:rsidRPr="006E46A7">
        <w:rPr>
          <w:rStyle w:val="aff3"/>
          <w:rFonts w:hint="cs"/>
          <w:rtl/>
        </w:rPr>
        <w:t xml:space="preserve"> מסוים במרשתת </w:t>
      </w:r>
      <w:r w:rsidRPr="006E46A7">
        <w:rPr>
          <w:rStyle w:val="aff3"/>
          <w:rtl/>
        </w:rPr>
        <w:t>לא קודמה</w:t>
      </w:r>
      <w:r w:rsidRPr="006E46A7">
        <w:rPr>
          <w:rStyle w:val="aff3"/>
          <w:rFonts w:hint="cs"/>
          <w:rtl/>
        </w:rPr>
        <w:t xml:space="preserve">, וזאת למרות החלטת </w:t>
      </w:r>
      <w:r w:rsidR="001F5776" w:rsidRPr="006E46A7">
        <w:rPr>
          <w:rStyle w:val="aff3"/>
          <w:rFonts w:hint="cs"/>
          <w:rtl/>
        </w:rPr>
        <w:t>נציגי הייעוץ המשפטי לממשלה</w:t>
      </w:r>
      <w:r w:rsidRPr="006E46A7">
        <w:rPr>
          <w:rStyle w:val="aff3"/>
          <w:rFonts w:hint="cs"/>
          <w:rtl/>
        </w:rPr>
        <w:t xml:space="preserve"> משנת 2021 כי על </w:t>
      </w:r>
      <w:r w:rsidR="00AF35D1" w:rsidRPr="006E46A7">
        <w:rPr>
          <w:rStyle w:val="aff3"/>
          <w:rFonts w:hint="cs"/>
          <w:rtl/>
        </w:rPr>
        <w:t>הייעוץ המשפטי לממשלה</w:t>
      </w:r>
      <w:r w:rsidRPr="006E46A7">
        <w:rPr>
          <w:rStyle w:val="aff3"/>
          <w:rFonts w:hint="cs"/>
          <w:rtl/>
        </w:rPr>
        <w:t xml:space="preserve"> לבחון את אופן ההסדרה הנדרש בתחום ואת מסגרת הזמנים להסדרה, להוביל עבודת מטה בשיתוף המשטרה והמשרד לביטחון לאומי ולהכין</w:t>
      </w:r>
      <w:r w:rsidR="00382AE8" w:rsidRPr="006E46A7">
        <w:rPr>
          <w:rStyle w:val="aff3"/>
          <w:rFonts w:hint="cs"/>
          <w:rtl/>
        </w:rPr>
        <w:t xml:space="preserve"> </w:t>
      </w:r>
      <w:r w:rsidRPr="006E46A7">
        <w:rPr>
          <w:rStyle w:val="aff3"/>
          <w:rFonts w:hint="cs"/>
          <w:rtl/>
        </w:rPr>
        <w:t>תזכיר חוק בנושא</w:t>
      </w:r>
      <w:bookmarkStart w:id="712" w:name="_Toc138576136"/>
      <w:r w:rsidR="006C352B" w:rsidRPr="006E46A7">
        <w:rPr>
          <w:rFonts w:eastAsia="Times New Roman" w:hint="cs"/>
          <w:rtl/>
        </w:rPr>
        <w:t>.</w:t>
      </w:r>
    </w:p>
    <w:p w:rsidR="00E0014D" w:rsidRDefault="00E0014D" w:rsidP="005A0F21">
      <w:pPr>
        <w:spacing w:line="269" w:lineRule="auto"/>
        <w:ind w:left="423"/>
        <w:rPr>
          <w:rFonts w:eastAsia="Times New Roman"/>
          <w:rtl/>
        </w:rPr>
      </w:pPr>
    </w:p>
    <w:p w:rsidR="009160F3" w:rsidRPr="00DE6B37" w:rsidRDefault="009160F3" w:rsidP="004B146D">
      <w:pPr>
        <w:pStyle w:val="3"/>
        <w:numPr>
          <w:ilvl w:val="1"/>
          <w:numId w:val="79"/>
        </w:numPr>
        <w:ind w:left="423" w:hanging="392"/>
        <w:rPr>
          <w:rFonts w:eastAsia="Times New Roman"/>
          <w:rtl/>
        </w:rPr>
      </w:pPr>
      <w:bookmarkStart w:id="713" w:name="_Toc211521978"/>
      <w:bookmarkStart w:id="714" w:name="_Toc219110369"/>
      <w:bookmarkStart w:id="715" w:name="_Toc219113810"/>
      <w:bookmarkStart w:id="716" w:name="_Toc219286585"/>
      <w:r w:rsidRPr="00DE6B37">
        <w:rPr>
          <w:rFonts w:eastAsia="Times New Roman" w:hint="eastAsia"/>
          <w:rtl/>
        </w:rPr>
        <w:t>תיקון</w:t>
      </w:r>
      <w:r w:rsidRPr="00DE6B37">
        <w:rPr>
          <w:rFonts w:eastAsia="Times New Roman"/>
          <w:rtl/>
        </w:rPr>
        <w:t xml:space="preserve"> </w:t>
      </w:r>
      <w:r w:rsidRPr="00DE6B37">
        <w:rPr>
          <w:rFonts w:eastAsia="Times New Roman" w:hint="eastAsia"/>
          <w:rtl/>
        </w:rPr>
        <w:t>חקיקה</w:t>
      </w:r>
      <w:r w:rsidRPr="00DE6B37">
        <w:rPr>
          <w:rFonts w:eastAsia="Times New Roman"/>
          <w:rtl/>
        </w:rPr>
        <w:t xml:space="preserve"> </w:t>
      </w:r>
      <w:r w:rsidRPr="00DE6B37">
        <w:rPr>
          <w:rFonts w:eastAsia="Times New Roman" w:hint="eastAsia"/>
          <w:rtl/>
        </w:rPr>
        <w:t>מקיף</w:t>
      </w:r>
      <w:r w:rsidRPr="00DE6B37">
        <w:rPr>
          <w:rFonts w:eastAsia="Times New Roman"/>
          <w:rtl/>
        </w:rPr>
        <w:t xml:space="preserve"> </w:t>
      </w:r>
      <w:r w:rsidRPr="00DE6B37">
        <w:rPr>
          <w:rFonts w:eastAsia="Times New Roman" w:hint="eastAsia"/>
          <w:rtl/>
        </w:rPr>
        <w:t>לחוק</w:t>
      </w:r>
      <w:r w:rsidRPr="00DE6B37">
        <w:rPr>
          <w:rFonts w:eastAsia="Times New Roman"/>
          <w:rtl/>
        </w:rPr>
        <w:t xml:space="preserve"> </w:t>
      </w:r>
      <w:r w:rsidRPr="00DE6B37">
        <w:rPr>
          <w:rFonts w:eastAsia="Times New Roman" w:hint="eastAsia"/>
          <w:rtl/>
        </w:rPr>
        <w:t>האזנת</w:t>
      </w:r>
      <w:r w:rsidRPr="00DE6B37">
        <w:rPr>
          <w:rFonts w:eastAsia="Times New Roman"/>
          <w:rtl/>
        </w:rPr>
        <w:t xml:space="preserve"> </w:t>
      </w:r>
      <w:r w:rsidRPr="00DE6B37">
        <w:rPr>
          <w:rFonts w:eastAsia="Times New Roman" w:hint="eastAsia"/>
          <w:rtl/>
        </w:rPr>
        <w:t>סתר</w:t>
      </w:r>
      <w:bookmarkEnd w:id="713"/>
      <w:bookmarkEnd w:id="714"/>
      <w:bookmarkEnd w:id="715"/>
      <w:bookmarkEnd w:id="716"/>
      <w:r w:rsidRPr="00DE6B37">
        <w:rPr>
          <w:rFonts w:eastAsia="Times New Roman"/>
          <w:rtl/>
        </w:rPr>
        <w:t xml:space="preserve"> </w:t>
      </w:r>
      <w:bookmarkEnd w:id="712"/>
    </w:p>
    <w:p w:rsidR="004B50FC" w:rsidRPr="006E46A7" w:rsidRDefault="004B50FC" w:rsidP="00604C3D">
      <w:pPr>
        <w:spacing w:line="269" w:lineRule="auto"/>
        <w:rPr>
          <w:rtl/>
        </w:rPr>
      </w:pPr>
    </w:p>
    <w:p w:rsidR="009160F3" w:rsidRDefault="009160F3" w:rsidP="005A0F21">
      <w:pPr>
        <w:spacing w:line="269" w:lineRule="auto"/>
        <w:ind w:left="423"/>
        <w:rPr>
          <w:rFonts w:ascii="David" w:hAnsi="David"/>
          <w:sz w:val="24"/>
          <w:rtl/>
        </w:rPr>
      </w:pPr>
      <w:r w:rsidRPr="00C70FB2">
        <w:rPr>
          <w:rFonts w:ascii="David" w:hAnsi="David" w:hint="cs"/>
          <w:sz w:val="24"/>
          <w:rtl/>
        </w:rPr>
        <w:t>צוות</w:t>
      </w:r>
      <w:r>
        <w:rPr>
          <w:rFonts w:ascii="David" w:hAnsi="David" w:hint="cs"/>
          <w:rtl/>
        </w:rPr>
        <w:t xml:space="preserve"> </w:t>
      </w:r>
      <w:r w:rsidRPr="000C028E">
        <w:rPr>
          <w:rFonts w:ascii="David" w:hAnsi="David" w:hint="cs"/>
          <w:sz w:val="24"/>
          <w:rtl/>
        </w:rPr>
        <w:t xml:space="preserve">מררי המליץ כי </w:t>
      </w:r>
      <w:r>
        <w:rPr>
          <w:rFonts w:ascii="David" w:hAnsi="David" w:hint="cs"/>
          <w:sz w:val="24"/>
          <w:rtl/>
        </w:rPr>
        <w:t xml:space="preserve">מיד לאחר שהוא יפרסם את </w:t>
      </w:r>
      <w:r w:rsidRPr="000C028E">
        <w:rPr>
          <w:rFonts w:ascii="David" w:hAnsi="David" w:hint="cs"/>
          <w:sz w:val="24"/>
          <w:rtl/>
        </w:rPr>
        <w:t>הדוח (</w:t>
      </w:r>
      <w:r>
        <w:rPr>
          <w:rFonts w:ascii="David" w:hAnsi="David" w:hint="cs"/>
          <w:sz w:val="24"/>
          <w:rtl/>
        </w:rPr>
        <w:t>ב</w:t>
      </w:r>
      <w:r w:rsidRPr="000C028E">
        <w:rPr>
          <w:rFonts w:ascii="David" w:hAnsi="David" w:hint="cs"/>
          <w:sz w:val="24"/>
          <w:rtl/>
        </w:rPr>
        <w:t xml:space="preserve">אוגוסט 2022) </w:t>
      </w:r>
      <w:r w:rsidR="00AF35D1">
        <w:rPr>
          <w:rFonts w:ascii="David" w:hAnsi="David" w:hint="cs"/>
          <w:sz w:val="24"/>
          <w:rtl/>
        </w:rPr>
        <w:t>י</w:t>
      </w:r>
      <w:r>
        <w:rPr>
          <w:rFonts w:ascii="David" w:hAnsi="David" w:hint="cs"/>
          <w:sz w:val="24"/>
          <w:rtl/>
        </w:rPr>
        <w:t xml:space="preserve">קדם </w:t>
      </w:r>
      <w:r w:rsidR="00844501">
        <w:rPr>
          <w:rFonts w:ascii="David" w:hAnsi="David" w:hint="cs"/>
          <w:sz w:val="24"/>
          <w:rtl/>
        </w:rPr>
        <w:t>הייעוץ המשפטי לממשלה</w:t>
      </w:r>
      <w:r>
        <w:rPr>
          <w:rFonts w:ascii="David" w:hAnsi="David" w:hint="cs"/>
          <w:sz w:val="24"/>
          <w:rtl/>
        </w:rPr>
        <w:t xml:space="preserve"> </w:t>
      </w:r>
      <w:r w:rsidRPr="006E46A7">
        <w:rPr>
          <w:rFonts w:eastAsia="Calibri" w:hint="cs"/>
          <w:rtl/>
        </w:rPr>
        <w:t>תיקון</w:t>
      </w:r>
      <w:r w:rsidRPr="000C028E">
        <w:rPr>
          <w:rFonts w:ascii="David" w:hAnsi="David" w:hint="cs"/>
          <w:sz w:val="24"/>
          <w:rtl/>
        </w:rPr>
        <w:t xml:space="preserve"> חקיקה מקיף לחוק האזנת סתר</w:t>
      </w:r>
      <w:r>
        <w:rPr>
          <w:rFonts w:ascii="David" w:hAnsi="David" w:hint="cs"/>
          <w:sz w:val="24"/>
          <w:rtl/>
        </w:rPr>
        <w:t>,</w:t>
      </w:r>
      <w:r w:rsidRPr="000C028E">
        <w:rPr>
          <w:rFonts w:ascii="David" w:hAnsi="David" w:hint="cs"/>
          <w:sz w:val="24"/>
          <w:rtl/>
        </w:rPr>
        <w:t xml:space="preserve"> שיכלול גם דיון בהמלצות לתיקוני חקיקה </w:t>
      </w:r>
      <w:r>
        <w:rPr>
          <w:rFonts w:ascii="David" w:hAnsi="David" w:hint="cs"/>
          <w:sz w:val="24"/>
          <w:rtl/>
        </w:rPr>
        <w:t xml:space="preserve">שעלו </w:t>
      </w:r>
      <w:r w:rsidRPr="000C028E">
        <w:rPr>
          <w:rFonts w:ascii="David" w:hAnsi="David" w:hint="cs"/>
          <w:sz w:val="24"/>
          <w:rtl/>
        </w:rPr>
        <w:t xml:space="preserve">בדוחות קודמים שעסקו בנושא האזנות סתר ולא קודמו ובהצעות לתיקונים נוספים לחוק שהצורך בהם עלה בשנים האחרונות. </w:t>
      </w:r>
      <w:r>
        <w:rPr>
          <w:rFonts w:ascii="David" w:hAnsi="David" w:hint="cs"/>
          <w:sz w:val="24"/>
          <w:rtl/>
        </w:rPr>
        <w:t xml:space="preserve">באוקטובר 2022 פנה </w:t>
      </w:r>
      <w:r w:rsidR="00844501">
        <w:rPr>
          <w:rFonts w:ascii="David" w:hAnsi="David" w:hint="cs"/>
          <w:sz w:val="24"/>
          <w:rtl/>
        </w:rPr>
        <w:t>הייעוץ המשפטי לממשלה</w:t>
      </w:r>
      <w:r>
        <w:rPr>
          <w:rFonts w:ascii="David" w:hAnsi="David" w:hint="cs"/>
          <w:sz w:val="24"/>
          <w:rtl/>
        </w:rPr>
        <w:t xml:space="preserve"> לכמה גורמים משפטיים ובכלל זה ליועמ"ש המשטרה, וביקש את תגובתם על ההמלצות לתיקוני החקיקה הנדרשים לחוק האזנת סתר, לרבות את עמדתם בנוגע לשאלת ההסמכה המפורשת בחוק לשימוש ב</w:t>
      </w:r>
      <w:r w:rsidR="003452FC" w:rsidRPr="0012106F">
        <w:rPr>
          <w:rFonts w:ascii="David" w:eastAsia="Calibri" w:hAnsi="David" w:hint="eastAsia"/>
          <w:sz w:val="24"/>
          <w:rtl/>
        </w:rPr>
        <w:t>כלי</w:t>
      </w:r>
      <w:r w:rsidR="003452FC">
        <w:rPr>
          <w:rFonts w:ascii="David" w:eastAsia="Calibri" w:hAnsi="David" w:hint="cs"/>
          <w:sz w:val="24"/>
          <w:rtl/>
        </w:rPr>
        <w:t>ם</w:t>
      </w:r>
      <w:r w:rsidR="003452FC" w:rsidRPr="0012106F">
        <w:rPr>
          <w:rFonts w:ascii="David" w:eastAsia="Calibri" w:hAnsi="David"/>
          <w:sz w:val="24"/>
          <w:rtl/>
        </w:rPr>
        <w:t xml:space="preserve"> טכנולוגי</w:t>
      </w:r>
      <w:r w:rsidR="003452FC">
        <w:rPr>
          <w:rFonts w:ascii="David" w:eastAsia="Calibri" w:hAnsi="David" w:hint="cs"/>
          <w:sz w:val="24"/>
          <w:rtl/>
        </w:rPr>
        <w:t>ים</w:t>
      </w:r>
      <w:r>
        <w:rPr>
          <w:rFonts w:ascii="David" w:hAnsi="David" w:hint="cs"/>
          <w:sz w:val="24"/>
          <w:rtl/>
        </w:rPr>
        <w:t xml:space="preserve">. למכתב צורפה טבלה ובה פורטו כל ההצעות הקודמות מטעם </w:t>
      </w:r>
      <w:r w:rsidR="00844501">
        <w:rPr>
          <w:rFonts w:ascii="David" w:hAnsi="David" w:hint="cs"/>
          <w:sz w:val="24"/>
          <w:rtl/>
        </w:rPr>
        <w:t>הייעוץ המשפטי לממשלה</w:t>
      </w:r>
      <w:r>
        <w:rPr>
          <w:rFonts w:ascii="David" w:hAnsi="David" w:hint="cs"/>
          <w:sz w:val="24"/>
          <w:rtl/>
        </w:rPr>
        <w:t xml:space="preserve"> לתיקון החוק, ובכלל זה הצעות לעניין האזנה לשיחות "חסויות", העברת חומרי האזנה לרשויות אחרות, מחיקת חומרי האזנה והסמכת שופטים נוספים להתרת ביצוע האזנת סתר. </w:t>
      </w:r>
      <w:r w:rsidRPr="000C028E">
        <w:rPr>
          <w:rFonts w:ascii="David" w:hAnsi="David" w:hint="cs"/>
          <w:sz w:val="24"/>
          <w:rtl/>
        </w:rPr>
        <w:t xml:space="preserve">בנובמבר 2022 </w:t>
      </w:r>
      <w:r>
        <w:rPr>
          <w:rFonts w:ascii="David" w:hAnsi="David" w:hint="cs"/>
          <w:sz w:val="24"/>
          <w:rtl/>
        </w:rPr>
        <w:t xml:space="preserve">התקיים </w:t>
      </w:r>
      <w:r w:rsidRPr="000C028E">
        <w:rPr>
          <w:rFonts w:ascii="David" w:hAnsi="David" w:hint="cs"/>
          <w:sz w:val="24"/>
          <w:rtl/>
        </w:rPr>
        <w:t xml:space="preserve">דיון </w:t>
      </w:r>
      <w:r w:rsidR="00181AAD">
        <w:rPr>
          <w:rFonts w:ascii="David" w:hAnsi="David" w:hint="cs"/>
          <w:sz w:val="24"/>
          <w:rtl/>
        </w:rPr>
        <w:t>בהשתתפות נציגי הייעוץ המשפטי לממשלה,</w:t>
      </w:r>
      <w:r w:rsidRPr="000C028E">
        <w:rPr>
          <w:rFonts w:ascii="David" w:hAnsi="David" w:hint="cs"/>
          <w:sz w:val="24"/>
          <w:rtl/>
        </w:rPr>
        <w:t xml:space="preserve"> הייעוץ המשפטי </w:t>
      </w:r>
      <w:r w:rsidR="00AF35D1">
        <w:rPr>
          <w:rFonts w:ascii="David" w:hAnsi="David" w:hint="cs"/>
          <w:sz w:val="24"/>
          <w:rtl/>
        </w:rPr>
        <w:t xml:space="preserve">למשטרה </w:t>
      </w:r>
      <w:r w:rsidRPr="000C028E">
        <w:rPr>
          <w:rFonts w:ascii="David" w:hAnsi="David" w:hint="cs"/>
          <w:sz w:val="24"/>
          <w:rtl/>
        </w:rPr>
        <w:t xml:space="preserve">וחטיבת הסייבר של המשטרה בנושא </w:t>
      </w:r>
      <w:r>
        <w:rPr>
          <w:rFonts w:ascii="David" w:hAnsi="David" w:hint="cs"/>
          <w:sz w:val="24"/>
          <w:rtl/>
        </w:rPr>
        <w:t>ה</w:t>
      </w:r>
      <w:r w:rsidRPr="000C028E">
        <w:rPr>
          <w:rFonts w:ascii="David" w:hAnsi="David" w:hint="cs"/>
          <w:sz w:val="24"/>
          <w:rtl/>
        </w:rPr>
        <w:t xml:space="preserve">תיקונים </w:t>
      </w:r>
      <w:r>
        <w:rPr>
          <w:rFonts w:ascii="David" w:hAnsi="David" w:hint="cs"/>
          <w:sz w:val="24"/>
          <w:rtl/>
        </w:rPr>
        <w:t>ה</w:t>
      </w:r>
      <w:r w:rsidRPr="000C028E">
        <w:rPr>
          <w:rFonts w:ascii="David" w:hAnsi="David" w:hint="cs"/>
          <w:sz w:val="24"/>
          <w:rtl/>
        </w:rPr>
        <w:t>נדרשים לחוק האזנת סתר. בסיכום הדיון נכתב כי יתקיים דיון נוסף</w:t>
      </w:r>
      <w:r>
        <w:rPr>
          <w:rFonts w:ascii="David" w:hAnsi="David" w:hint="cs"/>
          <w:sz w:val="24"/>
          <w:rtl/>
        </w:rPr>
        <w:t xml:space="preserve"> בנושא</w:t>
      </w:r>
      <w:r w:rsidRPr="000C028E">
        <w:rPr>
          <w:rFonts w:ascii="David" w:hAnsi="David" w:hint="cs"/>
          <w:sz w:val="24"/>
          <w:rtl/>
        </w:rPr>
        <w:t xml:space="preserve"> לאחר שהמשטרה תעביר </w:t>
      </w:r>
      <w:r w:rsidR="00844501">
        <w:rPr>
          <w:rFonts w:ascii="David" w:hAnsi="David" w:hint="cs"/>
          <w:sz w:val="24"/>
          <w:rtl/>
        </w:rPr>
        <w:t>לייעוץ המשפטי לממשלה</w:t>
      </w:r>
      <w:r>
        <w:rPr>
          <w:rFonts w:ascii="David" w:hAnsi="David" w:hint="cs"/>
          <w:sz w:val="24"/>
          <w:rtl/>
        </w:rPr>
        <w:t xml:space="preserve"> </w:t>
      </w:r>
      <w:r w:rsidRPr="000C028E">
        <w:rPr>
          <w:rFonts w:ascii="David" w:hAnsi="David" w:hint="cs"/>
          <w:sz w:val="24"/>
          <w:rtl/>
        </w:rPr>
        <w:t xml:space="preserve">מסמך ובו פירוט הצעותיה לתיקוני החקיקה ולהצדקת הקניית סמכויות למשטרה לביצוע פעולות שונות בתחום האזנת סתר שאינן מוקנות לה היום. </w:t>
      </w:r>
    </w:p>
    <w:p w:rsidR="009160F3" w:rsidRDefault="009160F3" w:rsidP="005A0F21">
      <w:pPr>
        <w:pStyle w:val="af2"/>
        <w:spacing w:line="269" w:lineRule="auto"/>
        <w:ind w:left="423"/>
        <w:contextualSpacing w:val="0"/>
        <w:rPr>
          <w:rFonts w:ascii="David" w:hAnsi="David"/>
          <w:sz w:val="24"/>
          <w:rtl/>
        </w:rPr>
      </w:pPr>
    </w:p>
    <w:p w:rsidR="009160F3" w:rsidRDefault="009160F3" w:rsidP="005A0F21">
      <w:pPr>
        <w:spacing w:line="269" w:lineRule="auto"/>
        <w:ind w:left="423"/>
        <w:rPr>
          <w:rFonts w:ascii="David" w:hAnsi="David"/>
          <w:sz w:val="24"/>
          <w:rtl/>
        </w:rPr>
      </w:pPr>
      <w:r w:rsidRPr="001538F1">
        <w:rPr>
          <w:rFonts w:ascii="David" w:hAnsi="David" w:hint="eastAsia"/>
          <w:sz w:val="24"/>
          <w:rtl/>
        </w:rPr>
        <w:t>בדצמבר</w:t>
      </w:r>
      <w:r w:rsidRPr="001538F1">
        <w:rPr>
          <w:rFonts w:ascii="David" w:hAnsi="David"/>
          <w:sz w:val="24"/>
          <w:rtl/>
        </w:rPr>
        <w:t xml:space="preserve"> 2022 </w:t>
      </w:r>
      <w:r w:rsidRPr="001538F1">
        <w:rPr>
          <w:rFonts w:ascii="David" w:hAnsi="David" w:hint="eastAsia"/>
          <w:sz w:val="24"/>
          <w:rtl/>
        </w:rPr>
        <w:t>העבירה</w:t>
      </w:r>
      <w:r w:rsidRPr="001538F1">
        <w:rPr>
          <w:rFonts w:ascii="David" w:hAnsi="David"/>
          <w:sz w:val="24"/>
          <w:rtl/>
        </w:rPr>
        <w:t xml:space="preserve"> </w:t>
      </w:r>
      <w:r w:rsidRPr="001538F1">
        <w:rPr>
          <w:rFonts w:ascii="David" w:hAnsi="David" w:hint="eastAsia"/>
          <w:sz w:val="24"/>
          <w:rtl/>
        </w:rPr>
        <w:t>המשטרה</w:t>
      </w:r>
      <w:r w:rsidRPr="001538F1">
        <w:rPr>
          <w:rFonts w:ascii="David" w:hAnsi="David"/>
          <w:sz w:val="24"/>
          <w:rtl/>
        </w:rPr>
        <w:t xml:space="preserve"> </w:t>
      </w:r>
      <w:r w:rsidR="00844501">
        <w:rPr>
          <w:rFonts w:ascii="David" w:hAnsi="David" w:hint="eastAsia"/>
          <w:sz w:val="24"/>
          <w:rtl/>
        </w:rPr>
        <w:t>לייעוץ המשפטי לממשלה</w:t>
      </w:r>
      <w:r w:rsidRPr="001538F1">
        <w:rPr>
          <w:rFonts w:ascii="David" w:hAnsi="David"/>
          <w:sz w:val="24"/>
          <w:rtl/>
        </w:rPr>
        <w:t xml:space="preserve"> </w:t>
      </w:r>
      <w:r w:rsidRPr="001538F1">
        <w:rPr>
          <w:rFonts w:ascii="David" w:hAnsi="David" w:hint="eastAsia"/>
          <w:sz w:val="24"/>
          <w:rtl/>
        </w:rPr>
        <w:t>מסמך</w:t>
      </w:r>
      <w:r w:rsidRPr="001538F1">
        <w:rPr>
          <w:rFonts w:ascii="David" w:hAnsi="David"/>
          <w:sz w:val="24"/>
          <w:rtl/>
        </w:rPr>
        <w:t xml:space="preserve"> </w:t>
      </w:r>
      <w:r w:rsidRPr="001538F1">
        <w:rPr>
          <w:rFonts w:ascii="David" w:hAnsi="David" w:hint="eastAsia"/>
          <w:sz w:val="24"/>
          <w:rtl/>
        </w:rPr>
        <w:t>ובו</w:t>
      </w:r>
      <w:r w:rsidRPr="001538F1">
        <w:rPr>
          <w:rFonts w:ascii="David" w:hAnsi="David"/>
          <w:sz w:val="24"/>
          <w:rtl/>
        </w:rPr>
        <w:t xml:space="preserve"> </w:t>
      </w:r>
      <w:r w:rsidRPr="001538F1">
        <w:rPr>
          <w:rFonts w:ascii="David" w:hAnsi="David" w:hint="eastAsia"/>
          <w:sz w:val="24"/>
          <w:rtl/>
        </w:rPr>
        <w:t>פירוט</w:t>
      </w:r>
      <w:r w:rsidRPr="001538F1">
        <w:rPr>
          <w:rFonts w:ascii="David" w:hAnsi="David"/>
          <w:sz w:val="24"/>
          <w:rtl/>
        </w:rPr>
        <w:t xml:space="preserve"> </w:t>
      </w:r>
      <w:r w:rsidRPr="001538F1">
        <w:rPr>
          <w:rFonts w:ascii="David" w:hAnsi="David" w:hint="eastAsia"/>
          <w:sz w:val="24"/>
          <w:rtl/>
        </w:rPr>
        <w:t>עמדתה</w:t>
      </w:r>
      <w:r w:rsidRPr="001538F1">
        <w:rPr>
          <w:rFonts w:ascii="David" w:hAnsi="David"/>
          <w:sz w:val="24"/>
          <w:rtl/>
        </w:rPr>
        <w:t xml:space="preserve"> </w:t>
      </w:r>
      <w:r w:rsidRPr="001538F1">
        <w:rPr>
          <w:rFonts w:ascii="David" w:hAnsi="David" w:hint="eastAsia"/>
          <w:sz w:val="24"/>
          <w:rtl/>
        </w:rPr>
        <w:t>והצעותיה</w:t>
      </w:r>
      <w:r w:rsidRPr="001538F1">
        <w:rPr>
          <w:rFonts w:ascii="David" w:hAnsi="David"/>
          <w:sz w:val="24"/>
          <w:rtl/>
        </w:rPr>
        <w:t xml:space="preserve"> </w:t>
      </w:r>
      <w:r w:rsidRPr="006E46A7">
        <w:rPr>
          <w:rFonts w:eastAsia="Calibri" w:hint="eastAsia"/>
          <w:rtl/>
        </w:rPr>
        <w:t>בנושא</w:t>
      </w:r>
      <w:r w:rsidRPr="001538F1">
        <w:rPr>
          <w:rFonts w:ascii="David" w:hAnsi="David"/>
          <w:sz w:val="24"/>
          <w:rtl/>
        </w:rPr>
        <w:t xml:space="preserve"> </w:t>
      </w:r>
      <w:r w:rsidRPr="001538F1">
        <w:rPr>
          <w:rFonts w:ascii="David" w:hAnsi="David" w:hint="eastAsia"/>
          <w:sz w:val="24"/>
          <w:rtl/>
        </w:rPr>
        <w:t>התיקונים</w:t>
      </w:r>
      <w:r w:rsidRPr="001538F1">
        <w:rPr>
          <w:rFonts w:ascii="David" w:hAnsi="David"/>
          <w:sz w:val="24"/>
          <w:rtl/>
        </w:rPr>
        <w:t xml:space="preserve"> </w:t>
      </w:r>
      <w:r w:rsidRPr="001538F1">
        <w:rPr>
          <w:rFonts w:ascii="David" w:hAnsi="David" w:hint="eastAsia"/>
          <w:sz w:val="24"/>
          <w:rtl/>
        </w:rPr>
        <w:t>הנדרשים</w:t>
      </w:r>
      <w:r w:rsidRPr="001538F1">
        <w:rPr>
          <w:rFonts w:ascii="David" w:hAnsi="David"/>
          <w:sz w:val="24"/>
          <w:rtl/>
        </w:rPr>
        <w:t xml:space="preserve"> </w:t>
      </w:r>
      <w:r w:rsidRPr="001538F1">
        <w:rPr>
          <w:rFonts w:ascii="David" w:hAnsi="David" w:hint="eastAsia"/>
          <w:sz w:val="24"/>
          <w:rtl/>
        </w:rPr>
        <w:t>לחוק</w:t>
      </w:r>
      <w:r w:rsidRPr="001538F1">
        <w:rPr>
          <w:rFonts w:ascii="David" w:hAnsi="David"/>
          <w:sz w:val="24"/>
          <w:rtl/>
        </w:rPr>
        <w:t xml:space="preserve"> </w:t>
      </w:r>
      <w:r w:rsidRPr="001538F1">
        <w:rPr>
          <w:rFonts w:ascii="David" w:hAnsi="David" w:hint="eastAsia"/>
          <w:sz w:val="24"/>
          <w:rtl/>
        </w:rPr>
        <w:t>האזנת</w:t>
      </w:r>
      <w:r w:rsidRPr="001538F1">
        <w:rPr>
          <w:rFonts w:ascii="David" w:hAnsi="David"/>
          <w:sz w:val="24"/>
          <w:rtl/>
        </w:rPr>
        <w:t xml:space="preserve"> </w:t>
      </w:r>
      <w:r w:rsidRPr="001538F1">
        <w:rPr>
          <w:rFonts w:ascii="David" w:hAnsi="David" w:hint="eastAsia"/>
          <w:sz w:val="24"/>
          <w:rtl/>
        </w:rPr>
        <w:t>סתר</w:t>
      </w:r>
      <w:r w:rsidRPr="001538F1">
        <w:rPr>
          <w:rFonts w:ascii="David" w:hAnsi="David"/>
          <w:sz w:val="24"/>
          <w:rtl/>
        </w:rPr>
        <w:t xml:space="preserve">. </w:t>
      </w:r>
      <w:r w:rsidRPr="001538F1">
        <w:rPr>
          <w:rFonts w:ascii="David" w:hAnsi="David" w:hint="eastAsia"/>
          <w:sz w:val="24"/>
          <w:rtl/>
        </w:rPr>
        <w:t>דיונים</w:t>
      </w:r>
      <w:r w:rsidRPr="001538F1">
        <w:rPr>
          <w:rFonts w:ascii="David" w:hAnsi="David"/>
          <w:sz w:val="24"/>
          <w:rtl/>
        </w:rPr>
        <w:t xml:space="preserve"> </w:t>
      </w:r>
      <w:r w:rsidRPr="001538F1">
        <w:rPr>
          <w:rFonts w:ascii="David" w:hAnsi="David" w:hint="eastAsia"/>
          <w:sz w:val="24"/>
          <w:rtl/>
        </w:rPr>
        <w:t>נוספים</w:t>
      </w:r>
      <w:r w:rsidRPr="001538F1">
        <w:rPr>
          <w:rFonts w:ascii="David" w:hAnsi="David"/>
          <w:sz w:val="24"/>
          <w:rtl/>
        </w:rPr>
        <w:t xml:space="preserve"> </w:t>
      </w:r>
      <w:r>
        <w:rPr>
          <w:rFonts w:ascii="David" w:hAnsi="David" w:hint="cs"/>
          <w:sz w:val="24"/>
          <w:rtl/>
        </w:rPr>
        <w:t xml:space="preserve">בעניין זה </w:t>
      </w:r>
      <w:r w:rsidRPr="001538F1">
        <w:rPr>
          <w:rFonts w:ascii="David" w:hAnsi="David" w:hint="eastAsia"/>
          <w:sz w:val="24"/>
          <w:rtl/>
        </w:rPr>
        <w:t>התקיימו</w:t>
      </w:r>
      <w:r w:rsidRPr="001538F1">
        <w:rPr>
          <w:rFonts w:ascii="David" w:hAnsi="David"/>
          <w:sz w:val="24"/>
          <w:rtl/>
        </w:rPr>
        <w:t xml:space="preserve"> </w:t>
      </w:r>
      <w:r w:rsidRPr="001538F1">
        <w:rPr>
          <w:rFonts w:ascii="David" w:hAnsi="David" w:hint="eastAsia"/>
          <w:sz w:val="24"/>
          <w:rtl/>
        </w:rPr>
        <w:t>ב</w:t>
      </w:r>
      <w:r w:rsidRPr="001538F1">
        <w:rPr>
          <w:rFonts w:ascii="David" w:hAnsi="David"/>
          <w:sz w:val="24"/>
          <w:rtl/>
        </w:rPr>
        <w:t xml:space="preserve">-18.12.22, </w:t>
      </w:r>
      <w:r w:rsidRPr="001538F1">
        <w:rPr>
          <w:rFonts w:ascii="David" w:hAnsi="David" w:hint="eastAsia"/>
          <w:sz w:val="24"/>
          <w:rtl/>
        </w:rPr>
        <w:t>ב</w:t>
      </w:r>
      <w:r w:rsidRPr="001538F1">
        <w:rPr>
          <w:rFonts w:ascii="David" w:hAnsi="David"/>
          <w:sz w:val="24"/>
          <w:rtl/>
        </w:rPr>
        <w:t xml:space="preserve">-3.1.23 וב-15.1.23 </w:t>
      </w:r>
      <w:r w:rsidR="00181AAD">
        <w:rPr>
          <w:rFonts w:ascii="David" w:hAnsi="David" w:hint="cs"/>
          <w:sz w:val="24"/>
          <w:rtl/>
        </w:rPr>
        <w:t>בייעוץ המשפטי לממשלה</w:t>
      </w:r>
      <w:r w:rsidRPr="001538F1">
        <w:rPr>
          <w:rFonts w:ascii="David" w:hAnsi="David"/>
          <w:sz w:val="24"/>
          <w:rtl/>
        </w:rPr>
        <w:t xml:space="preserve"> </w:t>
      </w:r>
      <w:r>
        <w:rPr>
          <w:rFonts w:ascii="David" w:hAnsi="David" w:hint="cs"/>
          <w:sz w:val="24"/>
          <w:rtl/>
        </w:rPr>
        <w:t>ובהשתתפות</w:t>
      </w:r>
      <w:r w:rsidRPr="001538F1">
        <w:rPr>
          <w:rFonts w:ascii="David" w:hAnsi="David"/>
          <w:sz w:val="24"/>
          <w:rtl/>
        </w:rPr>
        <w:t xml:space="preserve"> </w:t>
      </w:r>
      <w:r w:rsidRPr="001538F1">
        <w:rPr>
          <w:rFonts w:ascii="David" w:hAnsi="David" w:hint="eastAsia"/>
          <w:sz w:val="24"/>
          <w:rtl/>
        </w:rPr>
        <w:t>נציגי</w:t>
      </w:r>
      <w:r w:rsidRPr="001538F1">
        <w:rPr>
          <w:rFonts w:ascii="David" w:hAnsi="David"/>
          <w:sz w:val="24"/>
          <w:rtl/>
        </w:rPr>
        <w:t xml:space="preserve"> </w:t>
      </w:r>
      <w:r w:rsidRPr="001538F1">
        <w:rPr>
          <w:rFonts w:ascii="David" w:hAnsi="David" w:hint="eastAsia"/>
          <w:sz w:val="24"/>
          <w:rtl/>
        </w:rPr>
        <w:t>המשטרה</w:t>
      </w:r>
      <w:r w:rsidRPr="001538F1">
        <w:rPr>
          <w:rFonts w:ascii="David" w:hAnsi="David"/>
          <w:sz w:val="24"/>
          <w:rtl/>
        </w:rPr>
        <w:t>.</w:t>
      </w:r>
      <w:r w:rsidRPr="001538F1">
        <w:rPr>
          <w:rFonts w:ascii="David" w:hAnsi="David" w:hint="cs"/>
          <w:sz w:val="24"/>
          <w:rtl/>
        </w:rPr>
        <w:t xml:space="preserve"> בסיכום הדיון האחרון </w:t>
      </w:r>
      <w:r>
        <w:rPr>
          <w:rFonts w:ascii="David" w:hAnsi="David" w:hint="cs"/>
          <w:sz w:val="24"/>
          <w:rtl/>
        </w:rPr>
        <w:t xml:space="preserve">שהתקיים </w:t>
      </w:r>
      <w:r w:rsidRPr="001538F1">
        <w:rPr>
          <w:rFonts w:ascii="David" w:hAnsi="David" w:hint="cs"/>
          <w:sz w:val="24"/>
          <w:rtl/>
        </w:rPr>
        <w:t>בחודש ינואר 2023</w:t>
      </w:r>
      <w:r w:rsidRPr="001538F1">
        <w:rPr>
          <w:rFonts w:ascii="David" w:hAnsi="David"/>
          <w:sz w:val="24"/>
          <w:rtl/>
        </w:rPr>
        <w:t xml:space="preserve"> </w:t>
      </w:r>
      <w:r w:rsidRPr="001538F1">
        <w:rPr>
          <w:rFonts w:ascii="David" w:hAnsi="David" w:hint="eastAsia"/>
          <w:sz w:val="24"/>
          <w:rtl/>
        </w:rPr>
        <w:t>נקבע</w:t>
      </w:r>
      <w:r w:rsidRPr="001538F1">
        <w:rPr>
          <w:rFonts w:ascii="David" w:hAnsi="David"/>
          <w:sz w:val="24"/>
          <w:rtl/>
        </w:rPr>
        <w:t xml:space="preserve"> כי </w:t>
      </w:r>
      <w:r w:rsidR="00844501">
        <w:rPr>
          <w:rFonts w:ascii="David" w:hAnsi="David"/>
          <w:sz w:val="24"/>
          <w:rtl/>
        </w:rPr>
        <w:t>הייעוץ המשפטי לממשלה</w:t>
      </w:r>
      <w:r w:rsidRPr="001538F1">
        <w:rPr>
          <w:rFonts w:ascii="David" w:hAnsi="David"/>
          <w:sz w:val="24"/>
          <w:rtl/>
        </w:rPr>
        <w:t xml:space="preserve"> יחל ב</w:t>
      </w:r>
      <w:r>
        <w:rPr>
          <w:rFonts w:ascii="David" w:hAnsi="David" w:hint="cs"/>
          <w:sz w:val="24"/>
          <w:rtl/>
        </w:rPr>
        <w:t>ניסוח ה</w:t>
      </w:r>
      <w:r w:rsidRPr="001538F1">
        <w:rPr>
          <w:rFonts w:ascii="David" w:hAnsi="David" w:hint="eastAsia"/>
          <w:sz w:val="24"/>
          <w:rtl/>
        </w:rPr>
        <w:t>תיקון</w:t>
      </w:r>
      <w:r w:rsidRPr="001538F1">
        <w:rPr>
          <w:rFonts w:ascii="David" w:hAnsi="David"/>
          <w:sz w:val="24"/>
          <w:rtl/>
        </w:rPr>
        <w:t xml:space="preserve"> </w:t>
      </w:r>
      <w:r>
        <w:rPr>
          <w:rFonts w:ascii="David" w:hAnsi="David" w:hint="cs"/>
          <w:sz w:val="24"/>
          <w:rtl/>
        </w:rPr>
        <w:t>ל</w:t>
      </w:r>
      <w:r w:rsidRPr="001538F1">
        <w:rPr>
          <w:rFonts w:ascii="David" w:hAnsi="David" w:hint="eastAsia"/>
          <w:sz w:val="24"/>
          <w:rtl/>
        </w:rPr>
        <w:t>חוק</w:t>
      </w:r>
      <w:r w:rsidRPr="001538F1">
        <w:rPr>
          <w:rFonts w:ascii="David" w:hAnsi="David"/>
          <w:sz w:val="24"/>
          <w:rtl/>
        </w:rPr>
        <w:t xml:space="preserve"> </w:t>
      </w:r>
      <w:r w:rsidRPr="001538F1">
        <w:rPr>
          <w:rFonts w:ascii="David" w:hAnsi="David" w:hint="eastAsia"/>
          <w:sz w:val="24"/>
          <w:rtl/>
        </w:rPr>
        <w:t>האזנת</w:t>
      </w:r>
      <w:r w:rsidRPr="001538F1">
        <w:rPr>
          <w:rFonts w:ascii="David" w:hAnsi="David"/>
          <w:sz w:val="24"/>
          <w:rtl/>
        </w:rPr>
        <w:t xml:space="preserve"> </w:t>
      </w:r>
      <w:r w:rsidRPr="001538F1">
        <w:rPr>
          <w:rFonts w:ascii="David" w:hAnsi="David" w:hint="eastAsia"/>
          <w:sz w:val="24"/>
          <w:rtl/>
        </w:rPr>
        <w:t>סתר</w:t>
      </w:r>
      <w:r>
        <w:rPr>
          <w:rFonts w:ascii="David" w:hAnsi="David" w:hint="cs"/>
          <w:sz w:val="24"/>
          <w:rtl/>
        </w:rPr>
        <w:t>;</w:t>
      </w:r>
      <w:r w:rsidRPr="001538F1">
        <w:rPr>
          <w:rFonts w:ascii="David" w:hAnsi="David"/>
          <w:sz w:val="24"/>
          <w:rtl/>
        </w:rPr>
        <w:t xml:space="preserve"> </w:t>
      </w:r>
      <w:r w:rsidRPr="001538F1">
        <w:rPr>
          <w:rFonts w:ascii="David" w:hAnsi="David" w:hint="eastAsia"/>
          <w:sz w:val="24"/>
          <w:rtl/>
        </w:rPr>
        <w:t>טיוטה</w:t>
      </w:r>
      <w:r w:rsidRPr="001538F1">
        <w:rPr>
          <w:rFonts w:ascii="David" w:hAnsi="David"/>
          <w:sz w:val="24"/>
          <w:rtl/>
        </w:rPr>
        <w:t xml:space="preserve"> </w:t>
      </w:r>
      <w:r w:rsidRPr="001538F1">
        <w:rPr>
          <w:rFonts w:ascii="David" w:hAnsi="David" w:hint="eastAsia"/>
          <w:sz w:val="24"/>
          <w:rtl/>
        </w:rPr>
        <w:t>תועבר</w:t>
      </w:r>
      <w:r w:rsidRPr="001538F1">
        <w:rPr>
          <w:rFonts w:ascii="David" w:hAnsi="David"/>
          <w:sz w:val="24"/>
          <w:rtl/>
        </w:rPr>
        <w:t xml:space="preserve"> </w:t>
      </w:r>
      <w:r w:rsidRPr="001538F1">
        <w:rPr>
          <w:rFonts w:ascii="David" w:hAnsi="David" w:hint="eastAsia"/>
          <w:sz w:val="24"/>
          <w:rtl/>
        </w:rPr>
        <w:t>לידי</w:t>
      </w:r>
      <w:r w:rsidRPr="001538F1">
        <w:rPr>
          <w:rFonts w:ascii="David" w:hAnsi="David"/>
          <w:sz w:val="24"/>
          <w:rtl/>
        </w:rPr>
        <w:t xml:space="preserve"> </w:t>
      </w:r>
      <w:r w:rsidRPr="001538F1">
        <w:rPr>
          <w:rFonts w:ascii="David" w:hAnsi="David" w:hint="eastAsia"/>
          <w:sz w:val="24"/>
          <w:rtl/>
        </w:rPr>
        <w:t>המשטרה</w:t>
      </w:r>
      <w:r>
        <w:rPr>
          <w:rFonts w:ascii="David" w:hAnsi="David" w:hint="cs"/>
          <w:sz w:val="24"/>
          <w:rtl/>
        </w:rPr>
        <w:t>;</w:t>
      </w:r>
      <w:r w:rsidRPr="001538F1">
        <w:rPr>
          <w:rFonts w:ascii="David" w:hAnsi="David"/>
          <w:sz w:val="24"/>
          <w:rtl/>
        </w:rPr>
        <w:t xml:space="preserve"> </w:t>
      </w:r>
      <w:r w:rsidRPr="001538F1">
        <w:rPr>
          <w:rFonts w:ascii="David" w:hAnsi="David" w:hint="eastAsia"/>
          <w:sz w:val="24"/>
          <w:rtl/>
        </w:rPr>
        <w:t>ולאחר</w:t>
      </w:r>
      <w:r w:rsidRPr="001538F1">
        <w:rPr>
          <w:rFonts w:ascii="David" w:hAnsi="David"/>
          <w:sz w:val="24"/>
          <w:rtl/>
        </w:rPr>
        <w:t xml:space="preserve"> </w:t>
      </w:r>
      <w:r w:rsidRPr="001538F1">
        <w:rPr>
          <w:rFonts w:ascii="David" w:hAnsi="David" w:hint="eastAsia"/>
          <w:sz w:val="24"/>
          <w:rtl/>
        </w:rPr>
        <w:t>מכן</w:t>
      </w:r>
      <w:r w:rsidRPr="001538F1">
        <w:rPr>
          <w:rFonts w:ascii="David" w:hAnsi="David"/>
          <w:sz w:val="24"/>
          <w:rtl/>
        </w:rPr>
        <w:t xml:space="preserve"> </w:t>
      </w:r>
      <w:r w:rsidRPr="001538F1">
        <w:rPr>
          <w:rFonts w:ascii="David" w:hAnsi="David" w:hint="eastAsia"/>
          <w:sz w:val="24"/>
          <w:rtl/>
        </w:rPr>
        <w:t>הדיונים</w:t>
      </w:r>
      <w:r w:rsidRPr="001538F1">
        <w:rPr>
          <w:rFonts w:ascii="David" w:hAnsi="David"/>
          <w:sz w:val="24"/>
          <w:rtl/>
        </w:rPr>
        <w:t xml:space="preserve"> </w:t>
      </w:r>
      <w:r w:rsidRPr="001538F1">
        <w:rPr>
          <w:rFonts w:ascii="David" w:hAnsi="David" w:hint="eastAsia"/>
          <w:sz w:val="24"/>
          <w:rtl/>
        </w:rPr>
        <w:t>יימשכו</w:t>
      </w:r>
      <w:r w:rsidRPr="001538F1">
        <w:rPr>
          <w:rFonts w:ascii="David" w:hAnsi="David"/>
          <w:sz w:val="24"/>
          <w:rtl/>
        </w:rPr>
        <w:t xml:space="preserve"> </w:t>
      </w:r>
      <w:r w:rsidRPr="001538F1">
        <w:rPr>
          <w:rFonts w:ascii="David" w:hAnsi="David" w:hint="eastAsia"/>
          <w:sz w:val="24"/>
          <w:rtl/>
        </w:rPr>
        <w:t>לפי</w:t>
      </w:r>
      <w:r w:rsidRPr="001538F1">
        <w:rPr>
          <w:rFonts w:ascii="David" w:hAnsi="David"/>
          <w:sz w:val="24"/>
          <w:rtl/>
        </w:rPr>
        <w:t xml:space="preserve"> </w:t>
      </w:r>
      <w:r w:rsidRPr="001538F1">
        <w:rPr>
          <w:rFonts w:ascii="David" w:hAnsi="David" w:hint="eastAsia"/>
          <w:sz w:val="24"/>
          <w:rtl/>
        </w:rPr>
        <w:t>הצורך</w:t>
      </w:r>
      <w:r w:rsidRPr="001538F1">
        <w:rPr>
          <w:rFonts w:ascii="David" w:hAnsi="David"/>
          <w:sz w:val="24"/>
          <w:rtl/>
        </w:rPr>
        <w:t>.</w:t>
      </w:r>
    </w:p>
    <w:p w:rsidR="009160F3" w:rsidRPr="00FF422E" w:rsidRDefault="009160F3" w:rsidP="005A0F21">
      <w:pPr>
        <w:spacing w:line="269" w:lineRule="auto"/>
        <w:ind w:left="423"/>
        <w:rPr>
          <w:rFonts w:ascii="David" w:hAnsi="David"/>
          <w:sz w:val="24"/>
          <w:rtl/>
        </w:rPr>
      </w:pPr>
    </w:p>
    <w:p w:rsidR="005E40A0" w:rsidRDefault="005E40A0" w:rsidP="005A0F21">
      <w:pPr>
        <w:spacing w:line="269" w:lineRule="auto"/>
        <w:ind w:left="423"/>
        <w:rPr>
          <w:rFonts w:ascii="David" w:hAnsi="David"/>
          <w:sz w:val="24"/>
          <w:rtl/>
        </w:rPr>
      </w:pPr>
      <w:r>
        <w:rPr>
          <w:rFonts w:ascii="David" w:hAnsi="David" w:hint="cs"/>
          <w:sz w:val="24"/>
          <w:rtl/>
        </w:rPr>
        <w:t xml:space="preserve">משרד המשפטים כתב בתשובתו כי קידום החקיקה תלוי בעמדות משרדי הממשלה והרשויות השונות. אשר </w:t>
      </w:r>
      <w:r w:rsidRPr="006E46A7">
        <w:rPr>
          <w:rFonts w:eastAsia="Calibri" w:hint="cs"/>
          <w:rtl/>
        </w:rPr>
        <w:t>לתיקון</w:t>
      </w:r>
      <w:r>
        <w:rPr>
          <w:rFonts w:ascii="David" w:hAnsi="David" w:hint="cs"/>
          <w:sz w:val="24"/>
          <w:rtl/>
        </w:rPr>
        <w:t xml:space="preserve"> חקיקה נקודתי בנוגע לחיפוש סמוי, נושא זה לא מקודם בשל מחלוקת עם המשרד לביטחון לאומי. גורמי הייעוץ המשפטי לממשלה הציעו תיקון עקיף לחוק האזנת סתר שבמסגרתו תעוגן בחקיקה הסמכות להשתמש </w:t>
      </w:r>
      <w:r w:rsidRPr="003452FC">
        <w:rPr>
          <w:rFonts w:ascii="David" w:hAnsi="David" w:hint="cs"/>
          <w:sz w:val="24"/>
          <w:rtl/>
        </w:rPr>
        <w:t>ב</w:t>
      </w:r>
      <w:r w:rsidR="003452FC" w:rsidRPr="0012106F">
        <w:rPr>
          <w:rFonts w:ascii="David" w:eastAsia="Calibri" w:hAnsi="David" w:hint="eastAsia"/>
          <w:sz w:val="24"/>
          <w:rtl/>
        </w:rPr>
        <w:t>כלים</w:t>
      </w:r>
      <w:r w:rsidR="003452FC" w:rsidRPr="0012106F">
        <w:rPr>
          <w:rFonts w:ascii="David" w:eastAsia="Calibri" w:hAnsi="David"/>
          <w:sz w:val="24"/>
          <w:rtl/>
        </w:rPr>
        <w:t xml:space="preserve"> טכנולוגי</w:t>
      </w:r>
      <w:r w:rsidR="003452FC" w:rsidRPr="0012106F">
        <w:rPr>
          <w:rFonts w:ascii="David" w:eastAsia="Calibri" w:hAnsi="David" w:hint="eastAsia"/>
          <w:sz w:val="24"/>
          <w:rtl/>
        </w:rPr>
        <w:t>ים</w:t>
      </w:r>
      <w:r>
        <w:rPr>
          <w:rFonts w:ascii="David" w:hAnsi="David" w:hint="cs"/>
          <w:sz w:val="24"/>
          <w:rtl/>
        </w:rPr>
        <w:t>. תיקון זה אומנם לא נותן מענה לכל תיקוני החקיקה שנדונו לאורך השנים, אך יש בו כדי להציע פתרון חקיקתי לסוגי</w:t>
      </w:r>
      <w:r w:rsidR="003452FC">
        <w:rPr>
          <w:rFonts w:ascii="David" w:hAnsi="David" w:hint="cs"/>
          <w:sz w:val="24"/>
          <w:rtl/>
        </w:rPr>
        <w:t xml:space="preserve">ה זו </w:t>
      </w:r>
      <w:r>
        <w:rPr>
          <w:rFonts w:ascii="David" w:hAnsi="David" w:hint="cs"/>
          <w:sz w:val="24"/>
          <w:rtl/>
        </w:rPr>
        <w:t>שנדונה בחוות הדעת של היועמ</w:t>
      </w:r>
      <w:r w:rsidR="006F7CDE">
        <w:rPr>
          <w:rFonts w:ascii="David" w:hAnsi="David" w:hint="cs"/>
          <w:sz w:val="24"/>
          <w:rtl/>
        </w:rPr>
        <w:t>"</w:t>
      </w:r>
      <w:r>
        <w:rPr>
          <w:rFonts w:ascii="David" w:hAnsi="David" w:hint="cs"/>
          <w:sz w:val="24"/>
          <w:rtl/>
        </w:rPr>
        <w:t>שית לממשלה שצורפה כנספח לדוח צוות מררי.</w:t>
      </w:r>
    </w:p>
    <w:p w:rsidR="005E40A0" w:rsidRDefault="005E40A0" w:rsidP="005A0F21">
      <w:pPr>
        <w:pStyle w:val="af2"/>
        <w:spacing w:line="269" w:lineRule="auto"/>
        <w:ind w:left="423"/>
        <w:contextualSpacing w:val="0"/>
        <w:rPr>
          <w:rFonts w:ascii="David" w:hAnsi="David"/>
          <w:sz w:val="24"/>
          <w:rtl/>
        </w:rPr>
      </w:pPr>
    </w:p>
    <w:p w:rsidR="005E40A0" w:rsidRDefault="005E40A0" w:rsidP="005A0F21">
      <w:pPr>
        <w:spacing w:line="269" w:lineRule="auto"/>
        <w:ind w:left="423"/>
        <w:rPr>
          <w:rFonts w:ascii="David" w:hAnsi="David"/>
          <w:sz w:val="24"/>
          <w:rtl/>
        </w:rPr>
      </w:pPr>
      <w:r>
        <w:rPr>
          <w:rFonts w:ascii="David" w:hAnsi="David" w:hint="cs"/>
          <w:sz w:val="24"/>
          <w:rtl/>
        </w:rPr>
        <w:t xml:space="preserve">ב-10.11.24 החליטה ועדת השרים לענייני חקיקה בראשות שר המשפטים ובנוכחות השר לביטחון לאומי </w:t>
      </w:r>
      <w:r w:rsidRPr="006E46A7">
        <w:rPr>
          <w:rFonts w:eastAsia="Calibri" w:hint="cs"/>
          <w:rtl/>
        </w:rPr>
        <w:t>לתמוך</w:t>
      </w:r>
      <w:r>
        <w:rPr>
          <w:rFonts w:ascii="David" w:hAnsi="David" w:hint="cs"/>
          <w:sz w:val="24"/>
          <w:rtl/>
        </w:rPr>
        <w:t xml:space="preserve"> בקריאה טרומית בחלק העוסק בתיקון חוק האזנת סתר בלבד מתוך הצעת חוק המשטרה (חדירה לחומר מחשב), התשפ"ד-2024 בכפוף למספר תנאים ובכלל זה: יש לקבוע הליך תיקוף טכנולוגי לכל </w:t>
      </w:r>
      <w:r w:rsidR="00E8657F">
        <w:rPr>
          <w:rFonts w:ascii="David" w:hAnsi="David" w:hint="cs"/>
          <w:sz w:val="24"/>
          <w:rtl/>
        </w:rPr>
        <w:t>כלי</w:t>
      </w:r>
      <w:r>
        <w:rPr>
          <w:rFonts w:ascii="David" w:hAnsi="David" w:hint="cs"/>
          <w:sz w:val="24"/>
          <w:rtl/>
        </w:rPr>
        <w:t xml:space="preserve"> בנפרד כך שיוגדרו גבולות השימוש ב</w:t>
      </w:r>
      <w:r w:rsidR="008B5325">
        <w:rPr>
          <w:rFonts w:ascii="David" w:hAnsi="David" w:hint="cs"/>
          <w:sz w:val="24"/>
          <w:rtl/>
        </w:rPr>
        <w:t>כלי</w:t>
      </w:r>
      <w:r w:rsidR="00E8657F">
        <w:rPr>
          <w:rFonts w:ascii="David" w:hAnsi="David" w:hint="cs"/>
          <w:sz w:val="24"/>
          <w:rtl/>
        </w:rPr>
        <w:t>ם</w:t>
      </w:r>
      <w:r w:rsidR="008B5325">
        <w:rPr>
          <w:rFonts w:ascii="David" w:hAnsi="David" w:hint="cs"/>
          <w:sz w:val="24"/>
          <w:rtl/>
        </w:rPr>
        <w:t xml:space="preserve"> להאזנה לתקשורת בין מחשבים</w:t>
      </w:r>
      <w:r>
        <w:rPr>
          <w:rFonts w:ascii="David" w:hAnsi="David" w:hint="cs"/>
          <w:sz w:val="24"/>
          <w:rtl/>
        </w:rPr>
        <w:t xml:space="preserve"> וייאסר שימוש ב</w:t>
      </w:r>
      <w:r w:rsidR="008B5325">
        <w:rPr>
          <w:rFonts w:ascii="David" w:hAnsi="David" w:hint="cs"/>
          <w:sz w:val="24"/>
          <w:rtl/>
        </w:rPr>
        <w:t xml:space="preserve">כלי </w:t>
      </w:r>
      <w:r>
        <w:rPr>
          <w:rFonts w:ascii="David" w:hAnsi="David" w:hint="cs"/>
          <w:sz w:val="24"/>
          <w:rtl/>
        </w:rPr>
        <w:t>שמאפייני</w:t>
      </w:r>
      <w:r w:rsidR="00E8657F">
        <w:rPr>
          <w:rFonts w:ascii="David" w:hAnsi="David" w:hint="cs"/>
          <w:sz w:val="24"/>
          <w:rtl/>
        </w:rPr>
        <w:t>ו</w:t>
      </w:r>
      <w:r>
        <w:rPr>
          <w:rFonts w:ascii="David" w:hAnsi="David" w:hint="cs"/>
          <w:sz w:val="24"/>
          <w:rtl/>
        </w:rPr>
        <w:t xml:space="preserve"> חורגים מהמותר; יוגדר הליך תיקוף משפטי לכל </w:t>
      </w:r>
      <w:r w:rsidR="008B5325">
        <w:rPr>
          <w:rFonts w:ascii="David" w:hAnsi="David" w:hint="cs"/>
          <w:sz w:val="24"/>
          <w:rtl/>
        </w:rPr>
        <w:t>כלי</w:t>
      </w:r>
      <w:r>
        <w:rPr>
          <w:rFonts w:ascii="David" w:hAnsi="David" w:hint="cs"/>
          <w:sz w:val="24"/>
          <w:rtl/>
        </w:rPr>
        <w:t xml:space="preserve"> בנפרד; ייקבע הליך בקרה אפקטיבי על השימוש ב</w:t>
      </w:r>
      <w:r w:rsidR="008B5325">
        <w:rPr>
          <w:rFonts w:ascii="David" w:hAnsi="David" w:hint="cs"/>
          <w:sz w:val="24"/>
          <w:rtl/>
        </w:rPr>
        <w:t>כלי</w:t>
      </w:r>
      <w:r w:rsidR="008A5FCD">
        <w:rPr>
          <w:rFonts w:ascii="David" w:hAnsi="David" w:hint="cs"/>
          <w:sz w:val="24"/>
          <w:rtl/>
        </w:rPr>
        <w:t>ם</w:t>
      </w:r>
      <w:r w:rsidR="008B5325">
        <w:rPr>
          <w:rFonts w:ascii="David" w:hAnsi="David" w:hint="cs"/>
          <w:sz w:val="24"/>
          <w:rtl/>
        </w:rPr>
        <w:t xml:space="preserve"> </w:t>
      </w:r>
      <w:r>
        <w:rPr>
          <w:rFonts w:ascii="David" w:hAnsi="David" w:hint="cs"/>
          <w:sz w:val="24"/>
          <w:rtl/>
        </w:rPr>
        <w:t>בזמן אמת; ייקבע הליך בקרה אפקטיבי בדיעבד של גורם חיצוני למשטרה ועצמאי; יוגבלו סוגי העבירות שבהן נעשה שימוש ב</w:t>
      </w:r>
      <w:r w:rsidR="008B5325">
        <w:rPr>
          <w:rFonts w:ascii="David" w:hAnsi="David" w:hint="cs"/>
          <w:sz w:val="24"/>
          <w:rtl/>
        </w:rPr>
        <w:t>כלי</w:t>
      </w:r>
      <w:r w:rsidR="008A5FCD">
        <w:rPr>
          <w:rFonts w:ascii="David" w:hAnsi="David" w:hint="cs"/>
          <w:sz w:val="24"/>
          <w:rtl/>
        </w:rPr>
        <w:t>ם</w:t>
      </w:r>
      <w:r>
        <w:rPr>
          <w:rFonts w:ascii="David" w:hAnsi="David" w:hint="cs"/>
          <w:sz w:val="24"/>
          <w:rtl/>
        </w:rPr>
        <w:t>. עוד נקבע כי הנוסח שיגובש בוועדת הכנסת יובא לדיון בוועדת השרים לענייני חקיקה לפני הקריאה הראשונה ועליו להיות מקובל על שר המשפטים ועל השר לביטחון לאומי.</w:t>
      </w:r>
    </w:p>
    <w:p w:rsidR="005E40A0" w:rsidRDefault="005E40A0" w:rsidP="005A0F21">
      <w:pPr>
        <w:pStyle w:val="af2"/>
        <w:spacing w:line="269" w:lineRule="auto"/>
        <w:ind w:left="423"/>
        <w:rPr>
          <w:rFonts w:ascii="David" w:hAnsi="David"/>
          <w:sz w:val="24"/>
          <w:rtl/>
        </w:rPr>
      </w:pPr>
    </w:p>
    <w:p w:rsidR="005E40A0" w:rsidRPr="00365873" w:rsidRDefault="005E40A0" w:rsidP="005A0F21">
      <w:pPr>
        <w:spacing w:line="269" w:lineRule="auto"/>
        <w:ind w:left="423"/>
        <w:rPr>
          <w:rFonts w:ascii="David" w:hAnsi="David"/>
          <w:sz w:val="24"/>
          <w:rtl/>
        </w:rPr>
      </w:pPr>
      <w:r w:rsidRPr="00F407AB">
        <w:rPr>
          <w:rFonts w:ascii="David" w:hAnsi="David" w:hint="eastAsia"/>
          <w:sz w:val="24"/>
          <w:rtl/>
        </w:rPr>
        <w:t>ב</w:t>
      </w:r>
      <w:r w:rsidRPr="00F407AB">
        <w:rPr>
          <w:rFonts w:ascii="David" w:hAnsi="David"/>
          <w:sz w:val="24"/>
          <w:rtl/>
        </w:rPr>
        <w:t xml:space="preserve">-13.11.24 עברה </w:t>
      </w:r>
      <w:r w:rsidRPr="00F407AB">
        <w:rPr>
          <w:rFonts w:ascii="David" w:hAnsi="David" w:hint="eastAsia"/>
          <w:sz w:val="24"/>
          <w:rtl/>
        </w:rPr>
        <w:t>בקריאה</w:t>
      </w:r>
      <w:r w:rsidRPr="00F407AB">
        <w:rPr>
          <w:rFonts w:ascii="David" w:hAnsi="David"/>
          <w:sz w:val="24"/>
          <w:rtl/>
        </w:rPr>
        <w:t xml:space="preserve"> טרומית </w:t>
      </w:r>
      <w:r w:rsidRPr="00F407AB">
        <w:rPr>
          <w:rFonts w:ascii="David" w:hAnsi="David" w:hint="eastAsia"/>
          <w:sz w:val="24"/>
          <w:rtl/>
        </w:rPr>
        <w:t>בכנסת</w:t>
      </w:r>
      <w:r w:rsidRPr="00F407AB">
        <w:rPr>
          <w:rFonts w:ascii="David" w:hAnsi="David"/>
          <w:sz w:val="24"/>
          <w:rtl/>
        </w:rPr>
        <w:t xml:space="preserve"> </w:t>
      </w:r>
      <w:r w:rsidRPr="00F407AB">
        <w:rPr>
          <w:rFonts w:ascii="David" w:hAnsi="David" w:hint="eastAsia"/>
          <w:sz w:val="24"/>
          <w:rtl/>
        </w:rPr>
        <w:t>הצעת</w:t>
      </w:r>
      <w:r w:rsidRPr="00F407AB">
        <w:rPr>
          <w:rFonts w:ascii="David" w:hAnsi="David"/>
          <w:sz w:val="24"/>
          <w:rtl/>
        </w:rPr>
        <w:t xml:space="preserve"> </w:t>
      </w:r>
      <w:r w:rsidR="000243BF">
        <w:rPr>
          <w:rFonts w:ascii="David" w:hAnsi="David" w:hint="cs"/>
          <w:sz w:val="24"/>
          <w:rtl/>
        </w:rPr>
        <w:t>ה</w:t>
      </w:r>
      <w:r w:rsidRPr="00F407AB">
        <w:rPr>
          <w:rFonts w:ascii="David" w:hAnsi="David" w:hint="eastAsia"/>
          <w:sz w:val="24"/>
          <w:rtl/>
        </w:rPr>
        <w:t>חוק</w:t>
      </w:r>
      <w:r w:rsidRPr="00F407AB">
        <w:rPr>
          <w:rStyle w:val="af"/>
          <w:rFonts w:ascii="David" w:hAnsi="David"/>
          <w:sz w:val="24"/>
          <w:rtl/>
        </w:rPr>
        <w:footnoteReference w:id="352"/>
      </w:r>
      <w:r w:rsidRPr="00F407AB">
        <w:rPr>
          <w:rFonts w:ascii="David" w:hAnsi="David"/>
          <w:sz w:val="24"/>
          <w:rtl/>
        </w:rPr>
        <w:t xml:space="preserve"> </w:t>
      </w:r>
      <w:r w:rsidRPr="00F407AB">
        <w:rPr>
          <w:rFonts w:ascii="David" w:hAnsi="David" w:hint="eastAsia"/>
          <w:sz w:val="24"/>
          <w:rtl/>
        </w:rPr>
        <w:t>הכוללת</w:t>
      </w:r>
      <w:r w:rsidRPr="00F407AB">
        <w:rPr>
          <w:rFonts w:ascii="David" w:hAnsi="David"/>
          <w:sz w:val="24"/>
          <w:rtl/>
        </w:rPr>
        <w:t xml:space="preserve"> תיקון לחוק האזנת סתר </w:t>
      </w:r>
      <w:r w:rsidRPr="00F407AB">
        <w:rPr>
          <w:rFonts w:ascii="David" w:hAnsi="David" w:hint="eastAsia"/>
          <w:sz w:val="24"/>
          <w:rtl/>
        </w:rPr>
        <w:t>שתאפשר</w:t>
      </w:r>
      <w:r w:rsidRPr="00F407AB">
        <w:rPr>
          <w:rFonts w:ascii="David" w:hAnsi="David"/>
          <w:sz w:val="24"/>
          <w:rtl/>
        </w:rPr>
        <w:t>, בכ</w:t>
      </w:r>
      <w:r w:rsidRPr="00F407AB">
        <w:rPr>
          <w:rFonts w:ascii="David" w:hAnsi="David" w:hint="eastAsia"/>
          <w:sz w:val="24"/>
          <w:rtl/>
        </w:rPr>
        <w:t>פוף</w:t>
      </w:r>
      <w:r w:rsidRPr="00F407AB">
        <w:rPr>
          <w:rFonts w:ascii="David" w:hAnsi="David"/>
          <w:sz w:val="24"/>
          <w:rtl/>
        </w:rPr>
        <w:t xml:space="preserve"> </w:t>
      </w:r>
      <w:r w:rsidRPr="00F407AB">
        <w:rPr>
          <w:rFonts w:ascii="David" w:hAnsi="David" w:hint="eastAsia"/>
          <w:sz w:val="24"/>
          <w:rtl/>
        </w:rPr>
        <w:t>לקבלת</w:t>
      </w:r>
      <w:r w:rsidRPr="00F407AB">
        <w:rPr>
          <w:rFonts w:ascii="David" w:hAnsi="David"/>
          <w:sz w:val="24"/>
          <w:rtl/>
        </w:rPr>
        <w:t xml:space="preserve"> </w:t>
      </w:r>
      <w:r w:rsidRPr="00F407AB">
        <w:rPr>
          <w:rFonts w:ascii="David" w:hAnsi="David" w:hint="eastAsia"/>
          <w:sz w:val="24"/>
          <w:rtl/>
        </w:rPr>
        <w:t>צו</w:t>
      </w:r>
      <w:r w:rsidRPr="00F407AB">
        <w:rPr>
          <w:rFonts w:ascii="David" w:hAnsi="David"/>
          <w:sz w:val="24"/>
          <w:rtl/>
        </w:rPr>
        <w:t xml:space="preserve"> </w:t>
      </w:r>
      <w:r w:rsidRPr="00F407AB">
        <w:rPr>
          <w:rFonts w:ascii="David" w:hAnsi="David" w:hint="eastAsia"/>
          <w:sz w:val="24"/>
          <w:rtl/>
        </w:rPr>
        <w:t>שיפוטי</w:t>
      </w:r>
      <w:r w:rsidRPr="00F407AB">
        <w:rPr>
          <w:rFonts w:ascii="David" w:hAnsi="David"/>
          <w:sz w:val="24"/>
          <w:rtl/>
        </w:rPr>
        <w:t xml:space="preserve">, התקנת </w:t>
      </w:r>
      <w:r w:rsidR="003452FC">
        <w:rPr>
          <w:rFonts w:ascii="David" w:hAnsi="David" w:hint="cs"/>
          <w:sz w:val="24"/>
          <w:rtl/>
        </w:rPr>
        <w:t>כלי טכנולוגי</w:t>
      </w:r>
      <w:r w:rsidR="003452FC" w:rsidRPr="00F407AB">
        <w:rPr>
          <w:rFonts w:ascii="David" w:hAnsi="David"/>
          <w:sz w:val="24"/>
          <w:rtl/>
        </w:rPr>
        <w:t xml:space="preserve"> </w:t>
      </w:r>
      <w:r w:rsidRPr="00F407AB">
        <w:rPr>
          <w:rFonts w:ascii="David" w:hAnsi="David" w:hint="eastAsia"/>
          <w:sz w:val="24"/>
          <w:rtl/>
        </w:rPr>
        <w:t>במחשב</w:t>
      </w:r>
      <w:r w:rsidRPr="00F407AB">
        <w:rPr>
          <w:rFonts w:ascii="David" w:hAnsi="David"/>
          <w:sz w:val="24"/>
          <w:rtl/>
        </w:rPr>
        <w:t xml:space="preserve"> </w:t>
      </w:r>
      <w:r w:rsidRPr="00F407AB">
        <w:rPr>
          <w:rFonts w:ascii="David" w:hAnsi="David" w:hint="eastAsia"/>
          <w:sz w:val="24"/>
          <w:rtl/>
        </w:rPr>
        <w:t>או</w:t>
      </w:r>
      <w:r w:rsidRPr="00F407AB">
        <w:rPr>
          <w:rFonts w:ascii="David" w:hAnsi="David"/>
          <w:sz w:val="24"/>
          <w:rtl/>
        </w:rPr>
        <w:t xml:space="preserve"> </w:t>
      </w:r>
      <w:r w:rsidRPr="00F407AB">
        <w:rPr>
          <w:rFonts w:ascii="David" w:hAnsi="David" w:hint="eastAsia"/>
          <w:sz w:val="24"/>
          <w:rtl/>
        </w:rPr>
        <w:t>בטלפון</w:t>
      </w:r>
      <w:r w:rsidRPr="00F407AB">
        <w:rPr>
          <w:rFonts w:ascii="David" w:hAnsi="David"/>
          <w:sz w:val="24"/>
          <w:rtl/>
        </w:rPr>
        <w:t xml:space="preserve"> </w:t>
      </w:r>
      <w:r w:rsidRPr="00F407AB">
        <w:rPr>
          <w:rFonts w:ascii="David" w:hAnsi="David" w:hint="eastAsia"/>
          <w:sz w:val="24"/>
          <w:rtl/>
        </w:rPr>
        <w:t>סלולרי</w:t>
      </w:r>
      <w:r w:rsidRPr="00F407AB">
        <w:rPr>
          <w:rFonts w:ascii="David" w:hAnsi="David"/>
          <w:sz w:val="24"/>
          <w:rtl/>
        </w:rPr>
        <w:t xml:space="preserve"> ו</w:t>
      </w:r>
      <w:r w:rsidRPr="00F407AB">
        <w:rPr>
          <w:rFonts w:ascii="David" w:hAnsi="David" w:hint="eastAsia"/>
          <w:sz w:val="24"/>
          <w:rtl/>
        </w:rPr>
        <w:t>מתן</w:t>
      </w:r>
      <w:r w:rsidRPr="00F407AB">
        <w:rPr>
          <w:rFonts w:ascii="David" w:hAnsi="David"/>
          <w:sz w:val="24"/>
          <w:rtl/>
        </w:rPr>
        <w:t xml:space="preserve"> סמכות למשטרה לבצע חיפוש סמוי </w:t>
      </w:r>
      <w:r w:rsidRPr="00F407AB">
        <w:rPr>
          <w:rFonts w:ascii="David" w:hAnsi="David" w:hint="eastAsia"/>
          <w:sz w:val="24"/>
          <w:rtl/>
        </w:rPr>
        <w:t>במחשב</w:t>
      </w:r>
      <w:r w:rsidRPr="00F407AB">
        <w:rPr>
          <w:rFonts w:ascii="David" w:hAnsi="David"/>
          <w:sz w:val="24"/>
          <w:rtl/>
        </w:rPr>
        <w:t xml:space="preserve"> שלא בפני עדים וללא נוכחותו או ידיעתו של מחזיק החומר במחשב </w:t>
      </w:r>
      <w:r w:rsidRPr="00F407AB">
        <w:rPr>
          <w:rFonts w:ascii="David" w:hAnsi="David" w:hint="eastAsia"/>
          <w:sz w:val="24"/>
          <w:rtl/>
        </w:rPr>
        <w:t>בעבירות</w:t>
      </w:r>
      <w:r w:rsidRPr="00F407AB">
        <w:rPr>
          <w:rFonts w:ascii="David" w:hAnsi="David"/>
          <w:sz w:val="24"/>
          <w:rtl/>
        </w:rPr>
        <w:t xml:space="preserve"> </w:t>
      </w:r>
      <w:r>
        <w:rPr>
          <w:rFonts w:ascii="David" w:hAnsi="David" w:hint="cs"/>
          <w:sz w:val="24"/>
          <w:rtl/>
        </w:rPr>
        <w:t xml:space="preserve">מסוימות מסוג </w:t>
      </w:r>
      <w:r w:rsidRPr="00F407AB">
        <w:rPr>
          <w:rFonts w:ascii="David" w:hAnsi="David" w:hint="eastAsia"/>
          <w:sz w:val="24"/>
          <w:rtl/>
        </w:rPr>
        <w:t>פשע</w:t>
      </w:r>
      <w:r w:rsidRPr="00F407AB">
        <w:rPr>
          <w:rFonts w:ascii="David" w:hAnsi="David"/>
          <w:sz w:val="24"/>
          <w:rtl/>
        </w:rPr>
        <w:t xml:space="preserve"> </w:t>
      </w:r>
      <w:r w:rsidRPr="00F407AB">
        <w:rPr>
          <w:rFonts w:ascii="David" w:hAnsi="David" w:hint="eastAsia"/>
          <w:sz w:val="24"/>
          <w:rtl/>
        </w:rPr>
        <w:t>חמור</w:t>
      </w:r>
      <w:r w:rsidRPr="00F407AB">
        <w:rPr>
          <w:rStyle w:val="af"/>
          <w:rFonts w:ascii="David" w:hAnsi="David"/>
          <w:sz w:val="24"/>
          <w:rtl/>
        </w:rPr>
        <w:footnoteReference w:id="353"/>
      </w:r>
      <w:r w:rsidR="00365873">
        <w:rPr>
          <w:rFonts w:ascii="David" w:hAnsi="David" w:hint="cs"/>
          <w:sz w:val="24"/>
          <w:rtl/>
        </w:rPr>
        <w:t>.</w:t>
      </w:r>
      <w:r w:rsidRPr="00F407AB">
        <w:rPr>
          <w:rFonts w:ascii="David" w:hAnsi="David" w:hint="cs"/>
          <w:sz w:val="24"/>
          <w:rtl/>
        </w:rPr>
        <w:t xml:space="preserve"> </w:t>
      </w:r>
    </w:p>
    <w:p w:rsidR="005E40A0" w:rsidRPr="002B5D50" w:rsidRDefault="005E40A0" w:rsidP="005A0F21">
      <w:pPr>
        <w:spacing w:line="269" w:lineRule="auto"/>
        <w:ind w:left="423"/>
        <w:rPr>
          <w:rFonts w:ascii="David" w:hAnsi="David"/>
          <w:sz w:val="24"/>
          <w:rtl/>
        </w:rPr>
      </w:pPr>
    </w:p>
    <w:p w:rsidR="005E40A0" w:rsidRPr="000A17C1" w:rsidRDefault="005E40A0" w:rsidP="005A0F21">
      <w:pPr>
        <w:spacing w:line="269" w:lineRule="auto"/>
        <w:ind w:left="423"/>
        <w:rPr>
          <w:rFonts w:ascii="David" w:hAnsi="David"/>
          <w:sz w:val="24"/>
          <w:rtl/>
        </w:rPr>
      </w:pPr>
      <w:r>
        <w:rPr>
          <w:rFonts w:ascii="David" w:hAnsi="David" w:hint="cs"/>
          <w:sz w:val="24"/>
          <w:rtl/>
        </w:rPr>
        <w:t>בהמשך להחלטת ועדת השרים שלח ב-21.11.</w:t>
      </w:r>
      <w:r w:rsidR="005D59FF">
        <w:rPr>
          <w:rFonts w:ascii="David" w:hAnsi="David" w:hint="cs"/>
          <w:sz w:val="24"/>
          <w:rtl/>
        </w:rPr>
        <w:t>24</w:t>
      </w:r>
      <w:r>
        <w:rPr>
          <w:rFonts w:ascii="David" w:hAnsi="David" w:hint="cs"/>
          <w:sz w:val="24"/>
          <w:rtl/>
        </w:rPr>
        <w:t xml:space="preserve"> הייעוץ המשפטי של המשטרה לייעוץ </w:t>
      </w:r>
      <w:r w:rsidR="002E4113">
        <w:rPr>
          <w:rFonts w:ascii="David" w:hAnsi="David" w:hint="cs"/>
          <w:sz w:val="24"/>
          <w:rtl/>
        </w:rPr>
        <w:t>המשפטי לממשלה במשרד המשפטים</w:t>
      </w:r>
      <w:r>
        <w:rPr>
          <w:rFonts w:ascii="David" w:hAnsi="David" w:hint="cs"/>
          <w:sz w:val="24"/>
          <w:rtl/>
        </w:rPr>
        <w:t xml:space="preserve"> נוסח של החוק הכולל את עמדת המשטרה ביחס לתיקונים הנדרשים בחוק. </w:t>
      </w:r>
    </w:p>
    <w:p w:rsidR="005E40A0" w:rsidRPr="00EF44C8" w:rsidRDefault="005E40A0" w:rsidP="005A0F21">
      <w:pPr>
        <w:spacing w:line="269" w:lineRule="auto"/>
        <w:ind w:left="423"/>
        <w:rPr>
          <w:rFonts w:ascii="David" w:hAnsi="David"/>
          <w:sz w:val="24"/>
          <w:rtl/>
        </w:rPr>
      </w:pPr>
    </w:p>
    <w:p w:rsidR="009160F3" w:rsidRDefault="009160F3" w:rsidP="005A0F21">
      <w:pPr>
        <w:spacing w:line="269" w:lineRule="auto"/>
        <w:ind w:left="423"/>
        <w:rPr>
          <w:rFonts w:ascii="David" w:hAnsi="David"/>
          <w:sz w:val="24"/>
          <w:rtl/>
        </w:rPr>
      </w:pPr>
      <w:r>
        <w:rPr>
          <w:rFonts w:ascii="David" w:hAnsi="David" w:hint="cs"/>
          <w:sz w:val="24"/>
          <w:rtl/>
        </w:rPr>
        <w:t xml:space="preserve">המשטרה כתבה בתשובתה כי היא הגיבה לכל בקשה והביעה את עמדותיה בנוגע לתיקונים הנדרשים לחוק האזנת סתר אך היא אינה קובעת את תיעדוף קידום החקיקה. </w:t>
      </w:r>
    </w:p>
    <w:p w:rsidR="00B008A1" w:rsidRPr="006E46A7" w:rsidRDefault="00B008A1" w:rsidP="005A0F21">
      <w:pPr>
        <w:spacing w:line="269" w:lineRule="auto"/>
        <w:ind w:left="423"/>
        <w:rPr>
          <w:rtl/>
        </w:rPr>
      </w:pPr>
    </w:p>
    <w:p w:rsidR="00414E9E" w:rsidRPr="00162DB8" w:rsidRDefault="00414E9E" w:rsidP="005A0F21">
      <w:pPr>
        <w:spacing w:line="269" w:lineRule="auto"/>
        <w:ind w:left="423"/>
        <w:rPr>
          <w:rFonts w:ascii="David" w:hAnsi="David"/>
          <w:sz w:val="24"/>
          <w:rtl/>
        </w:rPr>
      </w:pPr>
      <w:r>
        <w:rPr>
          <w:rFonts w:ascii="David" w:hAnsi="David" w:hint="cs"/>
          <w:sz w:val="24"/>
          <w:rtl/>
        </w:rPr>
        <w:t>השר לביטחון לאומי כתב בתשובתו כי המשרד לביטחון לאומי לא היה שותף לשיח זה שהתקיים ישירות בין הייעוץ המשפטי לממשלה לבין המשטרה בנושא תיקון חקיקה מקיף לחוק האזנת סתר. לגבי קידום תיקון חקיקה עקיף לחוק האזנת סתר בעניין חדירה לחומר מחשב, לא התקבל מענה מ</w:t>
      </w:r>
      <w:r w:rsidR="005D59FF">
        <w:rPr>
          <w:rFonts w:ascii="David" w:hAnsi="David" w:hint="cs"/>
          <w:sz w:val="24"/>
          <w:rtl/>
        </w:rPr>
        <w:t>ה</w:t>
      </w:r>
      <w:r>
        <w:rPr>
          <w:rFonts w:ascii="David" w:hAnsi="David" w:hint="cs"/>
          <w:sz w:val="24"/>
          <w:rtl/>
        </w:rPr>
        <w:t>ייעוץ</w:t>
      </w:r>
      <w:r w:rsidR="00382AE8">
        <w:rPr>
          <w:rFonts w:ascii="David" w:hAnsi="David" w:hint="cs"/>
          <w:sz w:val="24"/>
          <w:rtl/>
        </w:rPr>
        <w:t xml:space="preserve"> </w:t>
      </w:r>
      <w:r w:rsidR="005D59FF">
        <w:rPr>
          <w:rFonts w:ascii="David" w:hAnsi="David" w:hint="cs"/>
          <w:sz w:val="24"/>
          <w:rtl/>
        </w:rPr>
        <w:t>המשפטי לממשלה במשרד המשפטים</w:t>
      </w:r>
      <w:r>
        <w:rPr>
          <w:rFonts w:ascii="David" w:hAnsi="David" w:hint="cs"/>
          <w:sz w:val="24"/>
          <w:rtl/>
        </w:rPr>
        <w:t xml:space="preserve"> לנוסח המוצע שהעבירה המשטרה כך שגם קידום הצעה זו לתיקון חוק האזנת סתר לא קודמה עד היום. </w:t>
      </w:r>
    </w:p>
    <w:p w:rsidR="004B50FC" w:rsidRPr="006E46A7" w:rsidRDefault="004B50FC" w:rsidP="005A0F21">
      <w:pPr>
        <w:spacing w:line="269" w:lineRule="auto"/>
        <w:ind w:left="423"/>
        <w:rPr>
          <w:rtl/>
        </w:rPr>
      </w:pPr>
    </w:p>
    <w:p w:rsidR="009160F3" w:rsidRPr="006E46A7" w:rsidRDefault="009160F3" w:rsidP="005A0F21">
      <w:pPr>
        <w:spacing w:line="269" w:lineRule="auto"/>
        <w:ind w:left="423"/>
        <w:rPr>
          <w:b/>
          <w:bCs/>
          <w:rtl/>
        </w:rPr>
      </w:pPr>
      <w:r w:rsidRPr="006E46A7">
        <w:rPr>
          <w:rFonts w:hint="cs"/>
          <w:b/>
          <w:bCs/>
          <w:rtl/>
        </w:rPr>
        <w:t xml:space="preserve">על אף המלצת צוות מררי כי מיד לאחר פרסום הדוח (אוגוסט 2022) </w:t>
      </w:r>
      <w:r w:rsidR="00AF35D1" w:rsidRPr="006E46A7">
        <w:rPr>
          <w:rFonts w:hint="cs"/>
          <w:b/>
          <w:bCs/>
          <w:rtl/>
        </w:rPr>
        <w:t>י</w:t>
      </w:r>
      <w:r w:rsidRPr="006E46A7">
        <w:rPr>
          <w:rFonts w:hint="cs"/>
          <w:b/>
          <w:bCs/>
          <w:rtl/>
        </w:rPr>
        <w:t xml:space="preserve">קדם </w:t>
      </w:r>
      <w:r w:rsidR="00AF35D1" w:rsidRPr="006E46A7">
        <w:rPr>
          <w:rFonts w:hint="cs"/>
          <w:b/>
          <w:bCs/>
          <w:rtl/>
        </w:rPr>
        <w:t>הייעוץ המשפטי לממשלה במשרד המשפטים</w:t>
      </w:r>
      <w:r w:rsidRPr="006E46A7">
        <w:rPr>
          <w:rFonts w:hint="cs"/>
          <w:b/>
          <w:bCs/>
          <w:rtl/>
        </w:rPr>
        <w:t xml:space="preserve"> </w:t>
      </w:r>
      <w:r w:rsidRPr="006E46A7">
        <w:rPr>
          <w:rFonts w:hint="eastAsia"/>
          <w:b/>
          <w:bCs/>
          <w:rtl/>
        </w:rPr>
        <w:t>תיקון</w:t>
      </w:r>
      <w:r w:rsidRPr="006E46A7">
        <w:rPr>
          <w:b/>
          <w:bCs/>
          <w:rtl/>
        </w:rPr>
        <w:t xml:space="preserve"> </w:t>
      </w:r>
      <w:r w:rsidRPr="006E46A7">
        <w:rPr>
          <w:rFonts w:hint="eastAsia"/>
          <w:b/>
          <w:bCs/>
          <w:rtl/>
        </w:rPr>
        <w:t>חקיקה</w:t>
      </w:r>
      <w:r w:rsidRPr="006E46A7">
        <w:rPr>
          <w:b/>
          <w:bCs/>
          <w:rtl/>
        </w:rPr>
        <w:t xml:space="preserve"> </w:t>
      </w:r>
      <w:r w:rsidRPr="006E46A7">
        <w:rPr>
          <w:rFonts w:hint="eastAsia"/>
          <w:b/>
          <w:bCs/>
          <w:rtl/>
        </w:rPr>
        <w:t>מקיף</w:t>
      </w:r>
      <w:r w:rsidRPr="006E46A7">
        <w:rPr>
          <w:b/>
          <w:bCs/>
          <w:rtl/>
        </w:rPr>
        <w:t xml:space="preserve"> </w:t>
      </w:r>
      <w:r w:rsidRPr="006E46A7">
        <w:rPr>
          <w:rFonts w:hint="eastAsia"/>
          <w:b/>
          <w:bCs/>
          <w:rtl/>
        </w:rPr>
        <w:t>לחוק</w:t>
      </w:r>
      <w:r w:rsidRPr="006E46A7">
        <w:rPr>
          <w:b/>
          <w:bCs/>
          <w:rtl/>
        </w:rPr>
        <w:t xml:space="preserve"> </w:t>
      </w:r>
      <w:r w:rsidRPr="006E46A7">
        <w:rPr>
          <w:rFonts w:hint="eastAsia"/>
          <w:b/>
          <w:bCs/>
          <w:rtl/>
        </w:rPr>
        <w:t>האזנת</w:t>
      </w:r>
      <w:r w:rsidRPr="006E46A7">
        <w:rPr>
          <w:b/>
          <w:bCs/>
          <w:rtl/>
        </w:rPr>
        <w:t xml:space="preserve"> </w:t>
      </w:r>
      <w:r w:rsidRPr="006E46A7">
        <w:rPr>
          <w:rFonts w:hint="eastAsia"/>
          <w:b/>
          <w:bCs/>
          <w:rtl/>
        </w:rPr>
        <w:t>סתר</w:t>
      </w:r>
      <w:r w:rsidRPr="006E46A7">
        <w:rPr>
          <w:b/>
          <w:bCs/>
          <w:rtl/>
        </w:rPr>
        <w:t xml:space="preserve">, </w:t>
      </w:r>
      <w:r w:rsidRPr="006E46A7">
        <w:rPr>
          <w:rFonts w:hint="eastAsia"/>
          <w:b/>
          <w:bCs/>
          <w:rtl/>
        </w:rPr>
        <w:t>עד</w:t>
      </w:r>
      <w:r w:rsidRPr="006E46A7">
        <w:rPr>
          <w:b/>
          <w:bCs/>
          <w:rtl/>
        </w:rPr>
        <w:t xml:space="preserve"> </w:t>
      </w:r>
      <w:r w:rsidRPr="006E46A7">
        <w:rPr>
          <w:rFonts w:hint="eastAsia"/>
          <w:b/>
          <w:bCs/>
          <w:rtl/>
        </w:rPr>
        <w:t>מועד</w:t>
      </w:r>
      <w:r w:rsidRPr="006E46A7">
        <w:rPr>
          <w:b/>
          <w:bCs/>
          <w:rtl/>
        </w:rPr>
        <w:t xml:space="preserve"> </w:t>
      </w:r>
      <w:r w:rsidRPr="006E46A7">
        <w:rPr>
          <w:rFonts w:hint="eastAsia"/>
          <w:b/>
          <w:bCs/>
          <w:rtl/>
        </w:rPr>
        <w:t>סיום</w:t>
      </w:r>
      <w:r w:rsidRPr="006E46A7">
        <w:rPr>
          <w:b/>
          <w:bCs/>
          <w:rtl/>
        </w:rPr>
        <w:t xml:space="preserve"> </w:t>
      </w:r>
      <w:r w:rsidRPr="006E46A7">
        <w:rPr>
          <w:rFonts w:hint="eastAsia"/>
          <w:b/>
          <w:bCs/>
          <w:rtl/>
        </w:rPr>
        <w:t>הביקורת</w:t>
      </w:r>
      <w:r w:rsidRPr="006E46A7">
        <w:rPr>
          <w:b/>
          <w:bCs/>
          <w:rtl/>
        </w:rPr>
        <w:t xml:space="preserve">, </w:t>
      </w:r>
      <w:r w:rsidRPr="006E46A7">
        <w:rPr>
          <w:rFonts w:hint="eastAsia"/>
          <w:b/>
          <w:bCs/>
          <w:rtl/>
        </w:rPr>
        <w:t>לא</w:t>
      </w:r>
      <w:r w:rsidRPr="006E46A7">
        <w:rPr>
          <w:b/>
          <w:bCs/>
          <w:rtl/>
        </w:rPr>
        <w:t xml:space="preserve"> תוקן חוק האזנת </w:t>
      </w:r>
      <w:r w:rsidRPr="006E46A7">
        <w:rPr>
          <w:rFonts w:hint="eastAsia"/>
          <w:b/>
          <w:bCs/>
          <w:rtl/>
        </w:rPr>
        <w:t>סתר</w:t>
      </w:r>
      <w:r w:rsidRPr="006E46A7">
        <w:rPr>
          <w:rFonts w:hint="cs"/>
          <w:b/>
          <w:bCs/>
          <w:rtl/>
        </w:rPr>
        <w:t xml:space="preserve">. </w:t>
      </w:r>
      <w:r w:rsidR="00212E7D" w:rsidRPr="006E46A7">
        <w:rPr>
          <w:rFonts w:hint="cs"/>
          <w:b/>
          <w:bCs/>
          <w:rtl/>
        </w:rPr>
        <w:t>החקיקה לא קודמה בין היתר עקב מחלוקת שהתגלעה בין הייעוץ המשפטי לממשלה לבין הדרג המדיני בנוגע לעבירות שבגינן תותר התקנת כלי טכנולוגי.</w:t>
      </w:r>
      <w:r w:rsidR="00382AE8" w:rsidRPr="006E46A7">
        <w:rPr>
          <w:rFonts w:hint="cs"/>
          <w:b/>
          <w:bCs/>
          <w:rtl/>
        </w:rPr>
        <w:t xml:space="preserve"> </w:t>
      </w:r>
      <w:r w:rsidR="00C01FA3" w:rsidRPr="006E46A7">
        <w:rPr>
          <w:rFonts w:hint="cs"/>
          <w:b/>
          <w:bCs/>
          <w:rtl/>
        </w:rPr>
        <w:t xml:space="preserve">בפועל, </w:t>
      </w:r>
      <w:r w:rsidRPr="006E46A7">
        <w:rPr>
          <w:rFonts w:hint="eastAsia"/>
          <w:b/>
          <w:bCs/>
          <w:rtl/>
        </w:rPr>
        <w:t>תזכיר</w:t>
      </w:r>
      <w:r w:rsidRPr="006E46A7">
        <w:rPr>
          <w:b/>
          <w:bCs/>
          <w:rtl/>
        </w:rPr>
        <w:t xml:space="preserve"> החוק הממשלתי </w:t>
      </w:r>
      <w:r w:rsidRPr="006E46A7">
        <w:rPr>
          <w:rFonts w:hint="cs"/>
          <w:b/>
          <w:bCs/>
          <w:rtl/>
        </w:rPr>
        <w:t xml:space="preserve">המקיף </w:t>
      </w:r>
      <w:r w:rsidRPr="006E46A7">
        <w:rPr>
          <w:rFonts w:hint="eastAsia"/>
          <w:b/>
          <w:bCs/>
          <w:rtl/>
        </w:rPr>
        <w:t>לא</w:t>
      </w:r>
      <w:r w:rsidRPr="006E46A7">
        <w:rPr>
          <w:b/>
          <w:bCs/>
          <w:rtl/>
        </w:rPr>
        <w:t xml:space="preserve"> </w:t>
      </w:r>
      <w:r w:rsidRPr="006E46A7">
        <w:rPr>
          <w:rFonts w:hint="eastAsia"/>
          <w:b/>
          <w:bCs/>
          <w:rtl/>
        </w:rPr>
        <w:t>קודם</w:t>
      </w:r>
      <w:r w:rsidRPr="006E46A7">
        <w:rPr>
          <w:rFonts w:hint="cs"/>
          <w:b/>
          <w:bCs/>
          <w:rtl/>
        </w:rPr>
        <w:t xml:space="preserve">, ובמקומו עברה בקריאה טרומית הצעת חוק פרטית לתיקון חוק האזנת סתר שתאפשר, בכפוף למתן צו שיפוטי, התקנת </w:t>
      </w:r>
      <w:r w:rsidR="003452FC" w:rsidRPr="006E46A7">
        <w:rPr>
          <w:rFonts w:hint="cs"/>
          <w:b/>
          <w:bCs/>
          <w:rtl/>
        </w:rPr>
        <w:t xml:space="preserve">כלי טכנולוגי </w:t>
      </w:r>
      <w:r w:rsidRPr="006E46A7">
        <w:rPr>
          <w:rFonts w:hint="cs"/>
          <w:b/>
          <w:bCs/>
          <w:rtl/>
        </w:rPr>
        <w:t>בעבירות מסוימות מסוג פשע חמור.</w:t>
      </w:r>
    </w:p>
    <w:p w:rsidR="009F2D4A" w:rsidRPr="006E46A7" w:rsidRDefault="009F2D4A" w:rsidP="00604C3D">
      <w:pPr>
        <w:spacing w:line="269" w:lineRule="auto"/>
      </w:pPr>
    </w:p>
    <w:p w:rsidR="009160F3" w:rsidRPr="00DE6B37" w:rsidRDefault="009160F3" w:rsidP="004B146D">
      <w:pPr>
        <w:pStyle w:val="3"/>
        <w:numPr>
          <w:ilvl w:val="1"/>
          <w:numId w:val="79"/>
        </w:numPr>
        <w:ind w:left="423" w:hanging="392"/>
        <w:rPr>
          <w:rFonts w:eastAsia="Times New Roman"/>
          <w:sz w:val="22"/>
        </w:rPr>
      </w:pPr>
      <w:bookmarkStart w:id="717" w:name="_Toc211521979"/>
      <w:bookmarkStart w:id="718" w:name="_Toc138576137"/>
      <w:bookmarkStart w:id="719" w:name="_Toc219110370"/>
      <w:bookmarkStart w:id="720" w:name="_Toc219113811"/>
      <w:bookmarkStart w:id="721" w:name="_Toc219286586"/>
      <w:r w:rsidRPr="00DE6B37">
        <w:rPr>
          <w:rFonts w:eastAsia="Times New Roman" w:hint="eastAsia"/>
          <w:sz w:val="22"/>
          <w:rtl/>
        </w:rPr>
        <w:t>תיקון</w:t>
      </w:r>
      <w:r w:rsidRPr="00DE6B37">
        <w:rPr>
          <w:rFonts w:eastAsia="Times New Roman"/>
          <w:sz w:val="22"/>
          <w:rtl/>
        </w:rPr>
        <w:t xml:space="preserve"> חקיקה </w:t>
      </w:r>
      <w:r w:rsidRPr="00DE6B37">
        <w:rPr>
          <w:rFonts w:eastAsia="Times New Roman" w:hint="eastAsia"/>
          <w:sz w:val="22"/>
          <w:rtl/>
        </w:rPr>
        <w:t>ל</w:t>
      </w:r>
      <w:r w:rsidRPr="00DE6B37">
        <w:rPr>
          <w:rFonts w:eastAsia="Times New Roman" w:hint="cs"/>
          <w:sz w:val="22"/>
          <w:rtl/>
        </w:rPr>
        <w:t>הסדרת פעולות מסוימות</w:t>
      </w:r>
      <w:bookmarkEnd w:id="717"/>
      <w:bookmarkEnd w:id="718"/>
      <w:bookmarkEnd w:id="719"/>
      <w:bookmarkEnd w:id="720"/>
      <w:bookmarkEnd w:id="721"/>
      <w:r w:rsidR="00382AE8" w:rsidRPr="00DE6B37">
        <w:rPr>
          <w:rFonts w:eastAsia="Times New Roman" w:hint="cs"/>
          <w:sz w:val="22"/>
          <w:rtl/>
        </w:rPr>
        <w:t xml:space="preserve"> </w:t>
      </w:r>
    </w:p>
    <w:p w:rsidR="004B50FC" w:rsidRPr="006E46A7" w:rsidRDefault="004B50FC" w:rsidP="00604C3D">
      <w:pPr>
        <w:spacing w:line="269" w:lineRule="auto"/>
        <w:rPr>
          <w:rtl/>
        </w:rPr>
      </w:pPr>
    </w:p>
    <w:p w:rsidR="009160F3" w:rsidRDefault="009160F3" w:rsidP="00E0014D">
      <w:pPr>
        <w:spacing w:line="269" w:lineRule="auto"/>
        <w:ind w:left="423"/>
        <w:rPr>
          <w:rFonts w:ascii="David" w:hAnsi="David"/>
          <w:sz w:val="24"/>
          <w:rtl/>
        </w:rPr>
      </w:pPr>
      <w:r w:rsidRPr="006C683C">
        <w:rPr>
          <w:rFonts w:ascii="David" w:hAnsi="David" w:hint="cs"/>
          <w:sz w:val="24"/>
          <w:rtl/>
        </w:rPr>
        <w:t xml:space="preserve">באפריל 2023 אישרה היועמ"שית לממשלה את השימוש </w:t>
      </w:r>
      <w:r>
        <w:rPr>
          <w:rFonts w:ascii="David" w:hAnsi="David" w:hint="cs"/>
          <w:sz w:val="24"/>
          <w:rtl/>
        </w:rPr>
        <w:t xml:space="preserve">בכלי טכנולוגי המאפשר ביצוע פעולה </w:t>
      </w:r>
      <w:r w:rsidRPr="006C683C">
        <w:rPr>
          <w:rFonts w:ascii="David" w:hAnsi="David" w:hint="cs"/>
          <w:sz w:val="24"/>
          <w:rtl/>
        </w:rPr>
        <w:t xml:space="preserve">למניעת </w:t>
      </w:r>
      <w:r w:rsidR="00A344F2">
        <w:rPr>
          <w:rFonts w:ascii="David" w:hAnsi="David" w:hint="cs"/>
          <w:sz w:val="24"/>
          <w:rtl/>
        </w:rPr>
        <w:t>עבירות מסוימות</w:t>
      </w:r>
      <w:r>
        <w:rPr>
          <w:rFonts w:ascii="David" w:hAnsi="David" w:hint="cs"/>
          <w:sz w:val="24"/>
          <w:rtl/>
        </w:rPr>
        <w:t>,</w:t>
      </w:r>
      <w:r w:rsidRPr="006C683C">
        <w:rPr>
          <w:rFonts w:ascii="David" w:hAnsi="David" w:hint="cs"/>
          <w:sz w:val="24"/>
          <w:rtl/>
        </w:rPr>
        <w:t xml:space="preserve"> וזאת בכפוף להוצאת צו </w:t>
      </w:r>
      <w:r w:rsidR="00EF3A0F">
        <w:rPr>
          <w:rFonts w:ascii="David" w:hAnsi="David" w:hint="cs"/>
          <w:sz w:val="24"/>
          <w:rtl/>
        </w:rPr>
        <w:t>שיפוטי</w:t>
      </w:r>
      <w:r w:rsidRPr="006C683C">
        <w:rPr>
          <w:rFonts w:ascii="David" w:hAnsi="David" w:hint="cs"/>
          <w:sz w:val="24"/>
          <w:rtl/>
        </w:rPr>
        <w:t xml:space="preserve"> מתאים </w:t>
      </w:r>
      <w:r>
        <w:rPr>
          <w:rFonts w:ascii="David" w:hAnsi="David" w:hint="cs"/>
          <w:sz w:val="24"/>
          <w:rtl/>
        </w:rPr>
        <w:t>ו</w:t>
      </w:r>
      <w:r w:rsidRPr="006C683C">
        <w:rPr>
          <w:rFonts w:ascii="David" w:hAnsi="David" w:hint="cs"/>
          <w:sz w:val="24"/>
          <w:rtl/>
        </w:rPr>
        <w:t xml:space="preserve">תוך </w:t>
      </w:r>
      <w:r>
        <w:rPr>
          <w:rFonts w:ascii="David" w:hAnsi="David" w:hint="cs"/>
          <w:sz w:val="24"/>
          <w:rtl/>
        </w:rPr>
        <w:t>הבאת דבר השימוש בכלי לידיעת</w:t>
      </w:r>
      <w:r w:rsidRPr="006C683C">
        <w:rPr>
          <w:rFonts w:ascii="David" w:hAnsi="David" w:hint="cs"/>
          <w:sz w:val="24"/>
          <w:rtl/>
        </w:rPr>
        <w:t xml:space="preserve"> בית המשפט. עם זאת קבעה היועמ"שית לממשלה כי </w:t>
      </w:r>
      <w:r>
        <w:rPr>
          <w:rFonts w:ascii="David" w:hAnsi="David" w:hint="cs"/>
          <w:sz w:val="24"/>
          <w:rtl/>
        </w:rPr>
        <w:t xml:space="preserve">יש לפעול בהקדם לתיקון חקיקה הנוגע לביצוע פעולה זו. </w:t>
      </w:r>
    </w:p>
    <w:p w:rsidR="009160F3" w:rsidRPr="006E46A7" w:rsidRDefault="009160F3" w:rsidP="00E0014D">
      <w:pPr>
        <w:spacing w:line="269" w:lineRule="auto"/>
        <w:ind w:left="423"/>
        <w:rPr>
          <w:rtl/>
        </w:rPr>
      </w:pPr>
    </w:p>
    <w:p w:rsidR="009160F3" w:rsidRDefault="009160F3" w:rsidP="00E0014D">
      <w:pPr>
        <w:spacing w:line="269" w:lineRule="auto"/>
        <w:ind w:left="423"/>
        <w:rPr>
          <w:rFonts w:ascii="David" w:hAnsi="David"/>
          <w:sz w:val="24"/>
          <w:rtl/>
        </w:rPr>
      </w:pPr>
      <w:r>
        <w:rPr>
          <w:rFonts w:ascii="David" w:hAnsi="David" w:hint="cs"/>
          <w:sz w:val="24"/>
          <w:rtl/>
        </w:rPr>
        <w:t>המשטרה כתבה בתשובתה כי בדצמבר 2022 היא פנתה בנוגע לקידום תיקון חקיקה זה אל יועמ"ש המשרד לביטחון לאומי ולמשנה ליועמ"ש הממשלה (פלילי).</w:t>
      </w:r>
    </w:p>
    <w:p w:rsidR="009160F3" w:rsidRPr="006E46A7" w:rsidRDefault="009160F3" w:rsidP="00E0014D">
      <w:pPr>
        <w:spacing w:line="269" w:lineRule="auto"/>
        <w:ind w:left="423"/>
        <w:rPr>
          <w:rtl/>
        </w:rPr>
      </w:pPr>
    </w:p>
    <w:p w:rsidR="009160F3" w:rsidRDefault="009160F3" w:rsidP="00E0014D">
      <w:pPr>
        <w:spacing w:line="269" w:lineRule="auto"/>
        <w:ind w:left="423"/>
        <w:rPr>
          <w:rFonts w:ascii="David" w:hAnsi="David"/>
          <w:sz w:val="24"/>
          <w:rtl/>
        </w:rPr>
      </w:pPr>
      <w:r>
        <w:rPr>
          <w:rFonts w:ascii="David" w:hAnsi="David" w:hint="cs"/>
          <w:sz w:val="24"/>
          <w:rtl/>
        </w:rPr>
        <w:t>משרד המשפטים כתב בתשובתו כי נדרש תיקון חקיקה על מנת להסדיר את סמכות המשטרה לבצע את הפעולה המסוימת. יחד עם זאת, האישור להשתמש בכלי ספציפי המשמש לביצוע אותה פעולה מסוימת ניתן לאחר בחינה מעמיקה של בקשות המשטרה ומתוך הבנה כי ביצוע הפעולה אינו חורג הלכה למעשה מהסמכויות המעוגנות בחוק</w:t>
      </w:r>
      <w:r w:rsidR="00A03DDE">
        <w:rPr>
          <w:rFonts w:ascii="David" w:hAnsi="David" w:hint="cs"/>
          <w:sz w:val="24"/>
          <w:rtl/>
        </w:rPr>
        <w:t xml:space="preserve"> </w:t>
      </w:r>
      <w:r w:rsidR="00B67DF3">
        <w:rPr>
          <w:rFonts w:ascii="David" w:hAnsi="David" w:hint="cs"/>
          <w:sz w:val="24"/>
          <w:rtl/>
        </w:rPr>
        <w:t>הקיים</w:t>
      </w:r>
      <w:r>
        <w:rPr>
          <w:rFonts w:ascii="David" w:hAnsi="David" w:hint="cs"/>
          <w:sz w:val="24"/>
          <w:rtl/>
        </w:rPr>
        <w:t>, וכי ה</w:t>
      </w:r>
      <w:r w:rsidRPr="000D581A">
        <w:rPr>
          <w:rFonts w:ascii="David" w:hAnsi="David" w:hint="cs"/>
          <w:sz w:val="24"/>
          <w:rtl/>
        </w:rPr>
        <w:t xml:space="preserve">כלי </w:t>
      </w:r>
      <w:r>
        <w:rPr>
          <w:rFonts w:ascii="David" w:hAnsi="David" w:hint="cs"/>
          <w:sz w:val="24"/>
          <w:rtl/>
        </w:rPr>
        <w:t>ש</w:t>
      </w:r>
      <w:r w:rsidRPr="000D581A">
        <w:rPr>
          <w:rFonts w:ascii="David" w:hAnsi="David" w:hint="cs"/>
          <w:sz w:val="24"/>
          <w:rtl/>
        </w:rPr>
        <w:t>בו משתמשת המשטרה אינו מחייב תיקון חקיקה</w:t>
      </w:r>
      <w:r>
        <w:rPr>
          <w:rFonts w:ascii="David" w:hAnsi="David" w:hint="cs"/>
          <w:sz w:val="24"/>
          <w:rtl/>
        </w:rPr>
        <w:t xml:space="preserve"> וניתן להסתפק בהסדרה המשפטית שבוצעה.</w:t>
      </w:r>
    </w:p>
    <w:p w:rsidR="00F90435" w:rsidRPr="006E46A7" w:rsidRDefault="00F90435" w:rsidP="00E0014D">
      <w:pPr>
        <w:spacing w:line="269" w:lineRule="auto"/>
        <w:ind w:left="423"/>
        <w:rPr>
          <w:rtl/>
        </w:rPr>
      </w:pPr>
    </w:p>
    <w:p w:rsidR="00F90435" w:rsidRPr="006E46A7" w:rsidRDefault="00414E9E" w:rsidP="00E0014D">
      <w:pPr>
        <w:spacing w:line="269" w:lineRule="auto"/>
        <w:ind w:left="423"/>
        <w:rPr>
          <w:rFonts w:ascii="David" w:hAnsi="David"/>
          <w:sz w:val="24"/>
          <w:rtl/>
        </w:rPr>
      </w:pPr>
      <w:r w:rsidRPr="006E46A7">
        <w:rPr>
          <w:rFonts w:hint="cs"/>
          <w:rtl/>
        </w:rPr>
        <w:t xml:space="preserve">השר לביטחון לאומי כתב בתשובתו כי המשרד לביטחון לאומי לא שותף לשיח שהתקיים בנושא </w:t>
      </w:r>
      <w:r w:rsidRPr="006E46A7">
        <w:rPr>
          <w:rFonts w:ascii="David" w:hAnsi="David" w:hint="cs"/>
          <w:sz w:val="24"/>
          <w:rtl/>
        </w:rPr>
        <w:t>בין</w:t>
      </w:r>
      <w:r w:rsidRPr="006E46A7">
        <w:rPr>
          <w:rFonts w:hint="cs"/>
          <w:rtl/>
        </w:rPr>
        <w:t xml:space="preserve"> הייעוץ המשפטי לממשלה</w:t>
      </w:r>
      <w:r w:rsidR="005D59FF" w:rsidRPr="006E46A7">
        <w:rPr>
          <w:rFonts w:hint="cs"/>
          <w:rtl/>
        </w:rPr>
        <w:t xml:space="preserve"> במשרד המשפטים</w:t>
      </w:r>
      <w:r w:rsidRPr="006E46A7">
        <w:rPr>
          <w:rFonts w:hint="cs"/>
          <w:rtl/>
        </w:rPr>
        <w:t xml:space="preserve"> ובין המשטרה ולא התקבלה פנייה במשרד להשתתף בשיח ממשלתי בראשות </w:t>
      </w:r>
      <w:r w:rsidR="005D59FF" w:rsidRPr="006E46A7">
        <w:rPr>
          <w:rFonts w:hint="cs"/>
          <w:rtl/>
        </w:rPr>
        <w:t>הייעוץ המשפטי לממשלה במשרד המשפטים</w:t>
      </w:r>
      <w:r w:rsidRPr="006E46A7">
        <w:rPr>
          <w:rFonts w:hint="cs"/>
          <w:rtl/>
        </w:rPr>
        <w:t xml:space="preserve"> לקידום תיקון חקיקה בנושא.</w:t>
      </w:r>
    </w:p>
    <w:p w:rsidR="004B50FC" w:rsidRPr="006E46A7" w:rsidRDefault="004B50FC" w:rsidP="00E0014D">
      <w:pPr>
        <w:spacing w:line="269" w:lineRule="auto"/>
        <w:ind w:left="423"/>
        <w:rPr>
          <w:rtl/>
        </w:rPr>
      </w:pPr>
    </w:p>
    <w:p w:rsidR="009160F3" w:rsidRDefault="009160F3" w:rsidP="00E0014D">
      <w:pPr>
        <w:spacing w:line="269" w:lineRule="auto"/>
        <w:ind w:left="423"/>
        <w:rPr>
          <w:rFonts w:ascii="David" w:hAnsi="David"/>
          <w:b/>
          <w:bCs/>
          <w:sz w:val="24"/>
          <w:rtl/>
        </w:rPr>
      </w:pPr>
      <w:r w:rsidRPr="00C96495">
        <w:rPr>
          <w:rFonts w:ascii="David" w:hAnsi="David" w:hint="cs"/>
          <w:b/>
          <w:bCs/>
          <w:sz w:val="24"/>
          <w:rtl/>
        </w:rPr>
        <w:t>אף שהמשטרה משתמשת בכלי</w:t>
      </w:r>
      <w:r>
        <w:rPr>
          <w:rFonts w:ascii="David" w:hAnsi="David" w:hint="cs"/>
          <w:b/>
          <w:bCs/>
          <w:sz w:val="24"/>
          <w:rtl/>
        </w:rPr>
        <w:t>ם</w:t>
      </w:r>
      <w:r w:rsidRPr="00C96495">
        <w:rPr>
          <w:rFonts w:ascii="David" w:hAnsi="David" w:hint="cs"/>
          <w:b/>
          <w:bCs/>
          <w:sz w:val="24"/>
          <w:rtl/>
        </w:rPr>
        <w:t xml:space="preserve"> טכנולוגי</w:t>
      </w:r>
      <w:r>
        <w:rPr>
          <w:rFonts w:ascii="David" w:hAnsi="David" w:hint="cs"/>
          <w:b/>
          <w:bCs/>
          <w:sz w:val="24"/>
          <w:rtl/>
        </w:rPr>
        <w:t>ים להסדרת פעולות מסוימות</w:t>
      </w:r>
      <w:r w:rsidRPr="00C96495">
        <w:rPr>
          <w:rFonts w:ascii="David" w:hAnsi="David" w:hint="cs"/>
          <w:b/>
          <w:bCs/>
          <w:sz w:val="24"/>
          <w:rtl/>
        </w:rPr>
        <w:t>,</w:t>
      </w:r>
      <w:r>
        <w:rPr>
          <w:rFonts w:ascii="David" w:hAnsi="David" w:hint="cs"/>
          <w:b/>
          <w:bCs/>
          <w:sz w:val="24"/>
          <w:rtl/>
        </w:rPr>
        <w:t xml:space="preserve"> ואף שהיועמ"שית לממשלה אישרה באפריל 2023 את השימוש בכלי ובד בבד קבעה שיש לפעול בהקדם לתיקון חקיקה הנוגע לביצוע פעולה זו, </w:t>
      </w:r>
      <w:r w:rsidRPr="00C96495">
        <w:rPr>
          <w:rFonts w:ascii="David" w:hAnsi="David" w:hint="cs"/>
          <w:b/>
          <w:bCs/>
          <w:sz w:val="24"/>
          <w:rtl/>
        </w:rPr>
        <w:t xml:space="preserve">במועד סיום הביקורת תיקון החקיקה </w:t>
      </w:r>
      <w:r w:rsidR="003D1CDB">
        <w:rPr>
          <w:rFonts w:ascii="David" w:hAnsi="David" w:hint="cs"/>
          <w:b/>
          <w:bCs/>
          <w:sz w:val="24"/>
          <w:rtl/>
        </w:rPr>
        <w:t>לא קודם</w:t>
      </w:r>
      <w:r w:rsidRPr="00C96495">
        <w:rPr>
          <w:rFonts w:ascii="David" w:hAnsi="David" w:hint="cs"/>
          <w:b/>
          <w:bCs/>
          <w:sz w:val="24"/>
          <w:rtl/>
        </w:rPr>
        <w:t xml:space="preserve">. </w:t>
      </w:r>
    </w:p>
    <w:p w:rsidR="009160F3" w:rsidRPr="001538F1" w:rsidRDefault="009160F3" w:rsidP="00604C3D">
      <w:pPr>
        <w:spacing w:line="269" w:lineRule="auto"/>
        <w:rPr>
          <w:rFonts w:ascii="David" w:hAnsi="David"/>
          <w:b/>
          <w:bCs/>
          <w:sz w:val="24"/>
        </w:rPr>
      </w:pPr>
    </w:p>
    <w:p w:rsidR="009160F3" w:rsidRDefault="009160F3" w:rsidP="00604C3D">
      <w:pPr>
        <w:spacing w:line="269" w:lineRule="auto"/>
        <w:jc w:val="center"/>
        <w:rPr>
          <w:rFonts w:ascii="Arial" w:hAnsi="Arial" w:cs="Arial"/>
          <w:sz w:val="36"/>
          <w:rtl/>
        </w:rPr>
      </w:pPr>
      <w:r>
        <w:rPr>
          <w:rFonts w:ascii="Segoe UI Symbol" w:hAnsi="Segoe UI Symbol" w:cs="Segoe UI Symbol" w:hint="cs"/>
          <w:sz w:val="36"/>
          <w:rtl/>
        </w:rPr>
        <w:t>✰</w:t>
      </w:r>
    </w:p>
    <w:p w:rsidR="00353B82" w:rsidRPr="00E73343" w:rsidRDefault="00353B82" w:rsidP="00604C3D">
      <w:pPr>
        <w:spacing w:line="269" w:lineRule="auto"/>
        <w:jc w:val="center"/>
        <w:rPr>
          <w:rFonts w:ascii="Arial" w:hAnsi="Arial" w:cs="Arial"/>
          <w:sz w:val="36"/>
          <w:rtl/>
        </w:rPr>
      </w:pPr>
    </w:p>
    <w:p w:rsidR="004B50FC" w:rsidRDefault="004B50FC" w:rsidP="00604C3D">
      <w:pPr>
        <w:spacing w:line="269" w:lineRule="auto"/>
        <w:rPr>
          <w:sz w:val="16"/>
          <w:szCs w:val="16"/>
          <w:rtl/>
        </w:rPr>
      </w:pPr>
      <w:bookmarkStart w:id="722" w:name="_Hlk147756807"/>
    </w:p>
    <w:p w:rsidR="009160F3" w:rsidRDefault="009160F3" w:rsidP="00604C3D">
      <w:pPr>
        <w:spacing w:line="269" w:lineRule="auto"/>
        <w:rPr>
          <w:rFonts w:ascii="David" w:hAnsi="David"/>
          <w:b/>
          <w:bCs/>
          <w:sz w:val="24"/>
          <w:rtl/>
        </w:rPr>
      </w:pPr>
      <w:r w:rsidRPr="002A21AD">
        <w:rPr>
          <w:rFonts w:ascii="David" w:hAnsi="David" w:hint="cs"/>
          <w:b/>
          <w:bCs/>
          <w:sz w:val="24"/>
          <w:rtl/>
        </w:rPr>
        <w:t>המשטרה</w:t>
      </w:r>
      <w:r w:rsidRPr="004C43C8">
        <w:rPr>
          <w:rFonts w:ascii="David" w:hAnsi="David" w:hint="cs"/>
          <w:b/>
          <w:bCs/>
          <w:sz w:val="24"/>
          <w:rtl/>
        </w:rPr>
        <w:t xml:space="preserve"> </w:t>
      </w:r>
      <w:r w:rsidRPr="00E62406">
        <w:rPr>
          <w:rFonts w:ascii="David" w:hAnsi="David" w:hint="eastAsia"/>
          <w:b/>
          <w:bCs/>
          <w:sz w:val="24"/>
          <w:rtl/>
        </w:rPr>
        <w:t>משתמשת</w:t>
      </w:r>
      <w:r w:rsidRPr="00582D91">
        <w:rPr>
          <w:rFonts w:ascii="David" w:hAnsi="David" w:hint="cs"/>
          <w:b/>
          <w:bCs/>
          <w:sz w:val="24"/>
          <w:rtl/>
        </w:rPr>
        <w:t xml:space="preserve"> בכלים </w:t>
      </w:r>
      <w:r>
        <w:rPr>
          <w:rFonts w:ascii="David" w:hAnsi="David" w:hint="cs"/>
          <w:b/>
          <w:bCs/>
          <w:sz w:val="24"/>
          <w:rtl/>
        </w:rPr>
        <w:t xml:space="preserve">טכנולוגיים </w:t>
      </w:r>
      <w:r w:rsidRPr="00582D91">
        <w:rPr>
          <w:rFonts w:ascii="David" w:hAnsi="David" w:hint="cs"/>
          <w:b/>
          <w:bCs/>
          <w:sz w:val="24"/>
          <w:rtl/>
        </w:rPr>
        <w:t xml:space="preserve">בעלי יכולות מיוחדות ומתקדמות לצורך שיפור פעולתה בתחום האכיפה. </w:t>
      </w:r>
      <w:r>
        <w:rPr>
          <w:rFonts w:ascii="David" w:hAnsi="David" w:hint="cs"/>
          <w:b/>
          <w:bCs/>
          <w:sz w:val="24"/>
          <w:rtl/>
        </w:rPr>
        <w:t>ב</w:t>
      </w:r>
      <w:r w:rsidRPr="00582D91">
        <w:rPr>
          <w:rFonts w:ascii="David" w:hAnsi="David" w:hint="cs"/>
          <w:b/>
          <w:bCs/>
          <w:sz w:val="24"/>
          <w:rtl/>
        </w:rPr>
        <w:t xml:space="preserve">שימוש בכלים אלו </w:t>
      </w:r>
      <w:r>
        <w:rPr>
          <w:rFonts w:ascii="David" w:hAnsi="David" w:hint="cs"/>
          <w:b/>
          <w:bCs/>
          <w:sz w:val="24"/>
          <w:rtl/>
        </w:rPr>
        <w:t>גלום</w:t>
      </w:r>
      <w:r w:rsidRPr="00582D91">
        <w:rPr>
          <w:rFonts w:ascii="David" w:hAnsi="David" w:hint="cs"/>
          <w:b/>
          <w:bCs/>
          <w:sz w:val="24"/>
          <w:rtl/>
        </w:rPr>
        <w:t xml:space="preserve"> פוטנציאל לפגיעה בזכויות</w:t>
      </w:r>
      <w:r>
        <w:rPr>
          <w:rFonts w:ascii="David" w:hAnsi="David" w:hint="cs"/>
          <w:b/>
          <w:bCs/>
          <w:sz w:val="24"/>
          <w:rtl/>
        </w:rPr>
        <w:t>יהם</w:t>
      </w:r>
      <w:r w:rsidRPr="00582D91">
        <w:rPr>
          <w:rFonts w:ascii="David" w:hAnsi="David" w:hint="cs"/>
          <w:b/>
          <w:bCs/>
          <w:sz w:val="24"/>
          <w:rtl/>
        </w:rPr>
        <w:t xml:space="preserve"> </w:t>
      </w:r>
      <w:r>
        <w:rPr>
          <w:rFonts w:ascii="David" w:hAnsi="David" w:hint="cs"/>
          <w:b/>
          <w:bCs/>
          <w:sz w:val="24"/>
          <w:rtl/>
        </w:rPr>
        <w:t>של חשודים, נאשמים ובלתי מעורבים ובכלל זה פגיעה בפרטיות</w:t>
      </w:r>
      <w:r w:rsidRPr="00582D91">
        <w:rPr>
          <w:rFonts w:ascii="David" w:hAnsi="David" w:hint="cs"/>
          <w:b/>
          <w:bCs/>
          <w:sz w:val="24"/>
          <w:rtl/>
        </w:rPr>
        <w:t xml:space="preserve">. </w:t>
      </w:r>
      <w:r>
        <w:rPr>
          <w:rFonts w:ascii="David" w:hAnsi="David" w:hint="cs"/>
          <w:b/>
          <w:bCs/>
          <w:sz w:val="24"/>
          <w:rtl/>
        </w:rPr>
        <w:t xml:space="preserve">מהביקורת עלה כי </w:t>
      </w:r>
      <w:r w:rsidRPr="00582D91">
        <w:rPr>
          <w:rFonts w:ascii="David" w:hAnsi="David" w:hint="cs"/>
          <w:b/>
          <w:bCs/>
          <w:sz w:val="24"/>
          <w:rtl/>
        </w:rPr>
        <w:t xml:space="preserve">העמדה המשפטית של </w:t>
      </w:r>
      <w:r>
        <w:rPr>
          <w:rFonts w:ascii="David" w:hAnsi="David" w:hint="cs"/>
          <w:b/>
          <w:bCs/>
          <w:sz w:val="24"/>
          <w:rtl/>
        </w:rPr>
        <w:t>גורמי</w:t>
      </w:r>
      <w:r>
        <w:rPr>
          <w:rFonts w:ascii="David" w:hAnsi="David" w:hint="cs"/>
          <w:b/>
          <w:bCs/>
          <w:sz w:val="24"/>
        </w:rPr>
        <w:t xml:space="preserve"> </w:t>
      </w:r>
      <w:r>
        <w:rPr>
          <w:rFonts w:ascii="David" w:hAnsi="David" w:hint="cs"/>
          <w:b/>
          <w:bCs/>
          <w:sz w:val="24"/>
          <w:rtl/>
        </w:rPr>
        <w:t>הייעוץ המשפטי לממשלה במקרים שהוצגו בדוח זה</w:t>
      </w:r>
      <w:r w:rsidRPr="00582D91">
        <w:rPr>
          <w:rFonts w:ascii="David" w:hAnsi="David" w:hint="cs"/>
          <w:b/>
          <w:bCs/>
          <w:sz w:val="24"/>
          <w:rtl/>
        </w:rPr>
        <w:t xml:space="preserve"> </w:t>
      </w:r>
      <w:r>
        <w:rPr>
          <w:rFonts w:ascii="David" w:hAnsi="David" w:hint="cs"/>
          <w:b/>
          <w:bCs/>
          <w:sz w:val="24"/>
          <w:rtl/>
        </w:rPr>
        <w:t xml:space="preserve">היא </w:t>
      </w:r>
      <w:r w:rsidRPr="00582D91">
        <w:rPr>
          <w:rFonts w:ascii="David" w:hAnsi="David" w:hint="cs"/>
          <w:b/>
          <w:bCs/>
          <w:sz w:val="24"/>
          <w:rtl/>
        </w:rPr>
        <w:t xml:space="preserve">כי </w:t>
      </w:r>
      <w:r w:rsidR="00521F0C">
        <w:rPr>
          <w:rFonts w:ascii="David" w:hAnsi="David" w:hint="cs"/>
          <w:b/>
          <w:bCs/>
          <w:sz w:val="24"/>
          <w:rtl/>
        </w:rPr>
        <w:t xml:space="preserve">יש מקרים בהם </w:t>
      </w:r>
      <w:r>
        <w:rPr>
          <w:rFonts w:ascii="David" w:hAnsi="David" w:hint="cs"/>
          <w:b/>
          <w:bCs/>
          <w:sz w:val="24"/>
          <w:rtl/>
        </w:rPr>
        <w:t>ראוי להסדיר את</w:t>
      </w:r>
      <w:r w:rsidRPr="00582D91">
        <w:rPr>
          <w:rFonts w:ascii="David" w:hAnsi="David" w:hint="cs"/>
          <w:b/>
          <w:bCs/>
          <w:sz w:val="24"/>
          <w:rtl/>
        </w:rPr>
        <w:t xml:space="preserve"> השימוש </w:t>
      </w:r>
      <w:r>
        <w:rPr>
          <w:rFonts w:ascii="David" w:hAnsi="David" w:hint="cs"/>
          <w:b/>
          <w:bCs/>
          <w:sz w:val="24"/>
          <w:rtl/>
        </w:rPr>
        <w:t xml:space="preserve">בכמה </w:t>
      </w:r>
      <w:r w:rsidRPr="006F0E8D">
        <w:rPr>
          <w:rFonts w:ascii="David" w:hAnsi="David" w:hint="eastAsia"/>
          <w:b/>
          <w:bCs/>
          <w:sz w:val="24"/>
          <w:rtl/>
        </w:rPr>
        <w:t>כלים</w:t>
      </w:r>
      <w:r w:rsidR="00382AE8">
        <w:rPr>
          <w:rFonts w:ascii="David" w:hAnsi="David"/>
          <w:b/>
          <w:bCs/>
          <w:sz w:val="24"/>
          <w:rtl/>
        </w:rPr>
        <w:t xml:space="preserve"> </w:t>
      </w:r>
      <w:r w:rsidR="00AD4F4F">
        <w:rPr>
          <w:rFonts w:ascii="David" w:hAnsi="David" w:hint="cs"/>
          <w:b/>
          <w:bCs/>
          <w:sz w:val="24"/>
          <w:rtl/>
        </w:rPr>
        <w:t>בתחומים השונים המפורטים בפרק זה</w:t>
      </w:r>
      <w:r>
        <w:rPr>
          <w:rFonts w:ascii="David" w:hAnsi="David" w:hint="cs"/>
          <w:b/>
          <w:bCs/>
          <w:sz w:val="24"/>
          <w:rtl/>
        </w:rPr>
        <w:t xml:space="preserve"> </w:t>
      </w:r>
      <w:r w:rsidRPr="00582D91">
        <w:rPr>
          <w:rFonts w:ascii="David" w:hAnsi="David" w:hint="cs"/>
          <w:b/>
          <w:bCs/>
          <w:sz w:val="24"/>
          <w:rtl/>
        </w:rPr>
        <w:t>ב</w:t>
      </w:r>
      <w:r>
        <w:rPr>
          <w:rFonts w:ascii="David" w:hAnsi="David" w:hint="cs"/>
          <w:b/>
          <w:bCs/>
          <w:sz w:val="24"/>
          <w:rtl/>
        </w:rPr>
        <w:t xml:space="preserve">אמצעות </w:t>
      </w:r>
      <w:r w:rsidRPr="00582D91">
        <w:rPr>
          <w:rFonts w:ascii="David" w:hAnsi="David" w:hint="cs"/>
          <w:b/>
          <w:bCs/>
          <w:sz w:val="24"/>
          <w:rtl/>
        </w:rPr>
        <w:t>חקיקה ראשית</w:t>
      </w:r>
      <w:r>
        <w:rPr>
          <w:rFonts w:ascii="David" w:hAnsi="David" w:hint="cs"/>
          <w:b/>
          <w:bCs/>
          <w:sz w:val="24"/>
          <w:rtl/>
        </w:rPr>
        <w:t>. חרף זאת נמצא כי הטיפול בהסדרה החקיקתית לא קודם שנים רבות בשל היעדר דיון מעמיק בקרב גורמי הייעוץ המשפטי למשטרה וגורמי הייעוץ המשפטי לממשלה בנוגע ליכולות הטכנולוגיות של כלים אלו</w:t>
      </w:r>
      <w:r w:rsidR="00382AE8">
        <w:rPr>
          <w:rFonts w:ascii="David" w:hAnsi="David" w:hint="cs"/>
          <w:b/>
          <w:bCs/>
          <w:sz w:val="24"/>
          <w:rtl/>
        </w:rPr>
        <w:t xml:space="preserve"> </w:t>
      </w:r>
      <w:r>
        <w:rPr>
          <w:rFonts w:ascii="David" w:hAnsi="David" w:hint="cs"/>
          <w:b/>
          <w:bCs/>
          <w:sz w:val="24"/>
          <w:rtl/>
        </w:rPr>
        <w:t xml:space="preserve">אל מול הפגיעה בזכויות וכן בשל היעדר דיון בשאלה אם התשתית החקיקתית הקיימת מאפשרת שימוש באותם כלים. הניתוח בדיעבד שבוצע </w:t>
      </w:r>
      <w:r w:rsidR="0095757C">
        <w:rPr>
          <w:rFonts w:ascii="David" w:hAnsi="David" w:hint="cs"/>
          <w:b/>
          <w:bCs/>
          <w:sz w:val="24"/>
          <w:rtl/>
        </w:rPr>
        <w:t>ב</w:t>
      </w:r>
      <w:r>
        <w:rPr>
          <w:rFonts w:ascii="David" w:hAnsi="David" w:hint="cs"/>
          <w:b/>
          <w:bCs/>
          <w:sz w:val="24"/>
          <w:rtl/>
        </w:rPr>
        <w:t>דוח צוות מררי יצר סד שלא מאפשר דיון מעמיק בסוגיות המתחייבות מהשימוש בכלים טכנולוגיים.</w:t>
      </w:r>
    </w:p>
    <w:p w:rsidR="004B50FC" w:rsidRDefault="004B50FC" w:rsidP="00604C3D">
      <w:pPr>
        <w:spacing w:line="269" w:lineRule="auto"/>
        <w:rPr>
          <w:sz w:val="16"/>
          <w:szCs w:val="16"/>
          <w:rtl/>
        </w:rPr>
      </w:pPr>
    </w:p>
    <w:p w:rsidR="009160F3" w:rsidRPr="0017658C" w:rsidRDefault="009160F3" w:rsidP="00604C3D">
      <w:pPr>
        <w:spacing w:line="269" w:lineRule="auto"/>
        <w:rPr>
          <w:rFonts w:ascii="David" w:hAnsi="David"/>
          <w:b/>
          <w:bCs/>
          <w:sz w:val="24"/>
          <w:rtl/>
        </w:rPr>
      </w:pPr>
      <w:r>
        <w:rPr>
          <w:rFonts w:ascii="David" w:hAnsi="David" w:hint="cs"/>
          <w:b/>
          <w:bCs/>
          <w:sz w:val="24"/>
          <w:rtl/>
        </w:rPr>
        <w:t xml:space="preserve">סמכות המשטרה </w:t>
      </w:r>
      <w:r w:rsidR="008A5FCD">
        <w:rPr>
          <w:rFonts w:ascii="David" w:hAnsi="David" w:hint="cs"/>
          <w:b/>
          <w:bCs/>
          <w:sz w:val="24"/>
          <w:rtl/>
        </w:rPr>
        <w:t>לבצע</w:t>
      </w:r>
      <w:r>
        <w:rPr>
          <w:rFonts w:ascii="David" w:hAnsi="David" w:hint="cs"/>
          <w:b/>
          <w:bCs/>
          <w:sz w:val="24"/>
          <w:rtl/>
        </w:rPr>
        <w:t xml:space="preserve"> חיפוש</w:t>
      </w:r>
      <w:r w:rsidR="008A5FCD">
        <w:rPr>
          <w:rFonts w:ascii="David" w:hAnsi="David" w:hint="cs"/>
          <w:b/>
          <w:bCs/>
          <w:sz w:val="24"/>
          <w:rtl/>
        </w:rPr>
        <w:t xml:space="preserve"> סמוי</w:t>
      </w:r>
      <w:r>
        <w:rPr>
          <w:rFonts w:ascii="David" w:hAnsi="David" w:hint="cs"/>
          <w:b/>
          <w:bCs/>
          <w:sz w:val="24"/>
          <w:rtl/>
        </w:rPr>
        <w:t xml:space="preserve"> לצורך האזנת סתר לא קודמה משנת 2018, המועד שבו ועדת </w:t>
      </w:r>
      <w:r w:rsidR="008066D2">
        <w:rPr>
          <w:rFonts w:ascii="David" w:hAnsi="David" w:hint="cs"/>
          <w:b/>
          <w:bCs/>
          <w:sz w:val="24"/>
          <w:rtl/>
        </w:rPr>
        <w:t xml:space="preserve">החוקה, חוק ומשפט </w:t>
      </w:r>
      <w:r>
        <w:rPr>
          <w:rFonts w:ascii="David" w:hAnsi="David" w:hint="cs"/>
          <w:b/>
          <w:bCs/>
          <w:sz w:val="24"/>
          <w:rtl/>
        </w:rPr>
        <w:t xml:space="preserve">סיימה את דיוניה בנושא; חקיקה בנושא צילום סתר חזותי לא קודמה משנת 2012; חקיקה בנושא איסוף מודיעין וניטור מידע במרשתת לא קודמה ממאי 2021; תיקון החקיקה המקיף שנדרש לחוק האזנת סתר לא קודם מינואר 2023; ותיקון החקיקה הנדרש לצורך שימוש בכלי טכנולוגי לא קודם מאפריל 2023. </w:t>
      </w:r>
      <w:bookmarkEnd w:id="722"/>
    </w:p>
    <w:p w:rsidR="004B50FC" w:rsidRDefault="004B50FC" w:rsidP="00604C3D">
      <w:pPr>
        <w:spacing w:line="269" w:lineRule="auto"/>
        <w:rPr>
          <w:sz w:val="16"/>
          <w:szCs w:val="16"/>
          <w:rtl/>
        </w:rPr>
      </w:pPr>
    </w:p>
    <w:p w:rsidR="009160F3" w:rsidRPr="0017658C" w:rsidRDefault="009160F3" w:rsidP="00604C3D">
      <w:pPr>
        <w:spacing w:line="269" w:lineRule="auto"/>
        <w:rPr>
          <w:rFonts w:ascii="David" w:hAnsi="David"/>
          <w:b/>
          <w:bCs/>
          <w:sz w:val="24"/>
          <w:rtl/>
        </w:rPr>
      </w:pPr>
      <w:r>
        <w:rPr>
          <w:rFonts w:ascii="David" w:hAnsi="David" w:hint="cs"/>
          <w:b/>
          <w:bCs/>
          <w:sz w:val="24"/>
          <w:rtl/>
        </w:rPr>
        <w:t xml:space="preserve">אי-ההסדרה </w:t>
      </w:r>
      <w:r w:rsidRPr="00A2268F">
        <w:rPr>
          <w:rFonts w:ascii="David" w:hAnsi="David" w:hint="eastAsia"/>
          <w:b/>
          <w:bCs/>
          <w:sz w:val="24"/>
          <w:rtl/>
        </w:rPr>
        <w:t>החקיקתית</w:t>
      </w:r>
      <w:r>
        <w:rPr>
          <w:rFonts w:ascii="David" w:hAnsi="David" w:hint="cs"/>
          <w:b/>
          <w:bCs/>
          <w:sz w:val="24"/>
          <w:rtl/>
        </w:rPr>
        <w:t xml:space="preserve"> הובילה לשתי תוצאות: האחת, שימוש בכלים הפוגעים באופן ניכר ביותר בפרטיות בלי שהוסדרה בחקיקה ראשית הסמכות להשתמש בהם</w:t>
      </w:r>
      <w:r w:rsidRPr="00203891">
        <w:rPr>
          <w:rFonts w:ascii="David" w:hAnsi="David" w:hint="cs"/>
          <w:b/>
          <w:bCs/>
          <w:sz w:val="24"/>
          <w:rtl/>
        </w:rPr>
        <w:t xml:space="preserve"> </w:t>
      </w:r>
      <w:r>
        <w:rPr>
          <w:rFonts w:ascii="David" w:hAnsi="David" w:hint="cs"/>
          <w:b/>
          <w:bCs/>
          <w:sz w:val="24"/>
          <w:rtl/>
        </w:rPr>
        <w:t xml:space="preserve">כמתבקש. השנייה, צמצום היכולת של המשטרה למצות את פעולות האכיפה באמצעות כלים אלו לצורך מאבק </w:t>
      </w:r>
      <w:r w:rsidRPr="00A2268F">
        <w:rPr>
          <w:rFonts w:ascii="David" w:hAnsi="David" w:hint="cs"/>
          <w:b/>
          <w:bCs/>
          <w:sz w:val="24"/>
          <w:rtl/>
        </w:rPr>
        <w:t xml:space="preserve">בפשיעה </w:t>
      </w:r>
      <w:r w:rsidRPr="00A2268F">
        <w:rPr>
          <w:rFonts w:ascii="David" w:hAnsi="David" w:hint="eastAsia"/>
          <w:b/>
          <w:bCs/>
          <w:sz w:val="24"/>
          <w:rtl/>
        </w:rPr>
        <w:t>הגם</w:t>
      </w:r>
      <w:r w:rsidRPr="00A2268F">
        <w:rPr>
          <w:rFonts w:ascii="David" w:hAnsi="David"/>
          <w:b/>
          <w:bCs/>
          <w:sz w:val="24"/>
          <w:rtl/>
        </w:rPr>
        <w:t xml:space="preserve"> </w:t>
      </w:r>
      <w:r w:rsidRPr="00A2268F">
        <w:rPr>
          <w:rFonts w:ascii="David" w:hAnsi="David" w:hint="eastAsia"/>
          <w:b/>
          <w:bCs/>
          <w:sz w:val="24"/>
          <w:rtl/>
        </w:rPr>
        <w:t>שלא</w:t>
      </w:r>
      <w:r w:rsidRPr="00A2268F">
        <w:rPr>
          <w:rFonts w:ascii="David" w:hAnsi="David"/>
          <w:b/>
          <w:bCs/>
          <w:sz w:val="24"/>
          <w:rtl/>
        </w:rPr>
        <w:t xml:space="preserve"> </w:t>
      </w:r>
      <w:r w:rsidRPr="00A2268F">
        <w:rPr>
          <w:rFonts w:ascii="David" w:hAnsi="David" w:hint="eastAsia"/>
          <w:b/>
          <w:bCs/>
          <w:sz w:val="24"/>
          <w:rtl/>
        </w:rPr>
        <w:t>מן</w:t>
      </w:r>
      <w:r w:rsidRPr="00A2268F">
        <w:rPr>
          <w:rFonts w:ascii="David" w:hAnsi="David"/>
          <w:b/>
          <w:bCs/>
          <w:sz w:val="24"/>
          <w:rtl/>
        </w:rPr>
        <w:t xml:space="preserve"> </w:t>
      </w:r>
      <w:r w:rsidRPr="00A2268F">
        <w:rPr>
          <w:rFonts w:ascii="David" w:hAnsi="David" w:hint="eastAsia"/>
          <w:b/>
          <w:bCs/>
          <w:sz w:val="24"/>
          <w:rtl/>
        </w:rPr>
        <w:t>הנמנע</w:t>
      </w:r>
      <w:r w:rsidRPr="00A2268F">
        <w:rPr>
          <w:rFonts w:ascii="David" w:hAnsi="David"/>
          <w:b/>
          <w:bCs/>
          <w:sz w:val="24"/>
          <w:rtl/>
        </w:rPr>
        <w:t xml:space="preserve"> </w:t>
      </w:r>
      <w:r w:rsidRPr="00A2268F">
        <w:rPr>
          <w:rFonts w:ascii="David" w:hAnsi="David" w:hint="eastAsia"/>
          <w:b/>
          <w:bCs/>
          <w:sz w:val="24"/>
          <w:rtl/>
        </w:rPr>
        <w:t>שהסדרה</w:t>
      </w:r>
      <w:r w:rsidRPr="00A2268F">
        <w:rPr>
          <w:rFonts w:ascii="David" w:hAnsi="David"/>
          <w:b/>
          <w:bCs/>
          <w:sz w:val="24"/>
          <w:rtl/>
        </w:rPr>
        <w:t xml:space="preserve"> </w:t>
      </w:r>
      <w:r w:rsidRPr="00A2268F">
        <w:rPr>
          <w:rFonts w:ascii="David" w:hAnsi="David" w:hint="eastAsia"/>
          <w:b/>
          <w:bCs/>
          <w:sz w:val="24"/>
          <w:rtl/>
        </w:rPr>
        <w:t>חקיקתית</w:t>
      </w:r>
      <w:r w:rsidRPr="00A2268F">
        <w:rPr>
          <w:rFonts w:ascii="David" w:hAnsi="David"/>
          <w:b/>
          <w:bCs/>
          <w:sz w:val="24"/>
          <w:rtl/>
        </w:rPr>
        <w:t xml:space="preserve"> </w:t>
      </w:r>
      <w:r w:rsidRPr="00A2268F">
        <w:rPr>
          <w:rFonts w:ascii="David" w:hAnsi="David" w:hint="eastAsia"/>
          <w:b/>
          <w:bCs/>
          <w:sz w:val="24"/>
          <w:rtl/>
        </w:rPr>
        <w:t>לא</w:t>
      </w:r>
      <w:r w:rsidRPr="00A2268F">
        <w:rPr>
          <w:rFonts w:ascii="David" w:hAnsi="David"/>
          <w:b/>
          <w:bCs/>
          <w:sz w:val="24"/>
          <w:rtl/>
        </w:rPr>
        <w:t xml:space="preserve"> </w:t>
      </w:r>
      <w:r w:rsidRPr="00A2268F">
        <w:rPr>
          <w:rFonts w:ascii="David" w:hAnsi="David" w:hint="eastAsia"/>
          <w:b/>
          <w:bCs/>
          <w:sz w:val="24"/>
          <w:rtl/>
        </w:rPr>
        <w:t>תאפשר</w:t>
      </w:r>
      <w:r w:rsidRPr="00A2268F">
        <w:rPr>
          <w:rFonts w:ascii="David" w:hAnsi="David"/>
          <w:b/>
          <w:bCs/>
          <w:sz w:val="24"/>
          <w:rtl/>
        </w:rPr>
        <w:t xml:space="preserve"> </w:t>
      </w:r>
      <w:r>
        <w:rPr>
          <w:rFonts w:ascii="David" w:hAnsi="David" w:hint="cs"/>
          <w:b/>
          <w:bCs/>
          <w:sz w:val="24"/>
          <w:rtl/>
        </w:rPr>
        <w:t xml:space="preserve">את </w:t>
      </w:r>
      <w:r w:rsidRPr="00A2268F">
        <w:rPr>
          <w:rFonts w:ascii="David" w:hAnsi="David" w:hint="eastAsia"/>
          <w:b/>
          <w:bCs/>
          <w:sz w:val="24"/>
          <w:rtl/>
        </w:rPr>
        <w:t>מיצוי</w:t>
      </w:r>
      <w:r w:rsidRPr="00A2268F">
        <w:rPr>
          <w:rFonts w:ascii="David" w:hAnsi="David"/>
          <w:b/>
          <w:bCs/>
          <w:sz w:val="24"/>
          <w:rtl/>
        </w:rPr>
        <w:t xml:space="preserve"> </w:t>
      </w:r>
      <w:r w:rsidRPr="00A2268F">
        <w:rPr>
          <w:rFonts w:ascii="David" w:hAnsi="David" w:hint="eastAsia"/>
          <w:b/>
          <w:bCs/>
          <w:sz w:val="24"/>
          <w:rtl/>
        </w:rPr>
        <w:t>מלוא</w:t>
      </w:r>
      <w:r w:rsidRPr="00A2268F">
        <w:rPr>
          <w:rFonts w:ascii="David" w:hAnsi="David"/>
          <w:b/>
          <w:bCs/>
          <w:sz w:val="24"/>
          <w:rtl/>
        </w:rPr>
        <w:t xml:space="preserve"> </w:t>
      </w:r>
      <w:r w:rsidRPr="00A2268F">
        <w:rPr>
          <w:rFonts w:ascii="David" w:hAnsi="David" w:hint="eastAsia"/>
          <w:b/>
          <w:bCs/>
          <w:sz w:val="24"/>
          <w:rtl/>
        </w:rPr>
        <w:t>יכולותיו</w:t>
      </w:r>
      <w:r w:rsidRPr="00A2268F">
        <w:rPr>
          <w:rFonts w:ascii="David" w:hAnsi="David"/>
          <w:b/>
          <w:bCs/>
          <w:sz w:val="24"/>
          <w:rtl/>
        </w:rPr>
        <w:t xml:space="preserve"> </w:t>
      </w:r>
      <w:r w:rsidRPr="00A2268F">
        <w:rPr>
          <w:rFonts w:ascii="David" w:hAnsi="David" w:hint="eastAsia"/>
          <w:b/>
          <w:bCs/>
          <w:sz w:val="24"/>
          <w:rtl/>
        </w:rPr>
        <w:t>של</w:t>
      </w:r>
      <w:r w:rsidRPr="00A2268F">
        <w:rPr>
          <w:rFonts w:ascii="David" w:hAnsi="David"/>
          <w:b/>
          <w:bCs/>
          <w:sz w:val="24"/>
          <w:rtl/>
        </w:rPr>
        <w:t xml:space="preserve"> </w:t>
      </w:r>
      <w:r w:rsidRPr="00A2268F">
        <w:rPr>
          <w:rFonts w:ascii="David" w:hAnsi="David" w:hint="eastAsia"/>
          <w:b/>
          <w:bCs/>
          <w:sz w:val="24"/>
          <w:rtl/>
        </w:rPr>
        <w:t>הכלי</w:t>
      </w:r>
      <w:r w:rsidRPr="00A2268F">
        <w:rPr>
          <w:rFonts w:ascii="David" w:hAnsi="David" w:hint="cs"/>
          <w:b/>
          <w:bCs/>
          <w:sz w:val="24"/>
          <w:rtl/>
        </w:rPr>
        <w:t>.</w:t>
      </w:r>
    </w:p>
    <w:p w:rsidR="004B50FC" w:rsidRDefault="004B50FC" w:rsidP="00604C3D">
      <w:pPr>
        <w:spacing w:line="269" w:lineRule="auto"/>
        <w:rPr>
          <w:sz w:val="16"/>
          <w:szCs w:val="16"/>
          <w:rtl/>
        </w:rPr>
      </w:pPr>
    </w:p>
    <w:p w:rsidR="009160F3" w:rsidRPr="00AF6174" w:rsidRDefault="009160F3" w:rsidP="00604C3D">
      <w:pPr>
        <w:spacing w:line="269" w:lineRule="auto"/>
        <w:rPr>
          <w:rFonts w:ascii="David" w:hAnsi="David"/>
          <w:b/>
          <w:bCs/>
          <w:sz w:val="24"/>
          <w:rtl/>
        </w:rPr>
      </w:pPr>
      <w:r>
        <w:rPr>
          <w:rFonts w:ascii="David" w:hAnsi="David" w:hint="cs"/>
          <w:b/>
          <w:bCs/>
          <w:sz w:val="24"/>
          <w:rtl/>
        </w:rPr>
        <w:t xml:space="preserve">לצד זאת, </w:t>
      </w:r>
      <w:bookmarkStart w:id="723" w:name="_Hlk147756916"/>
      <w:r>
        <w:rPr>
          <w:rFonts w:ascii="David" w:hAnsi="David" w:hint="cs"/>
          <w:b/>
          <w:bCs/>
          <w:sz w:val="24"/>
          <w:rtl/>
        </w:rPr>
        <w:t xml:space="preserve">במקרים שבהם הדבר נדרש, ונקבע לגביהם כי בסמכות המשטרה להשתמש בכלי הטכנולוגי בהתאם לפרשנות המשפטית הלשונית והתכליתית של הדין הקיים, קיבלה המשטרה אישור משפטי כי בסמכותה להמשיך להשתמש בכלים האמורים תוך צמצום יכולותיהם ותוך התאמת הפעלתם לפרשנות הדין הקיים. בפועל השימוש </w:t>
      </w:r>
      <w:r w:rsidRPr="00E62406">
        <w:rPr>
          <w:rFonts w:ascii="David" w:hAnsi="David" w:hint="eastAsia"/>
          <w:b/>
          <w:bCs/>
          <w:sz w:val="24"/>
          <w:rtl/>
        </w:rPr>
        <w:t>בכלים</w:t>
      </w:r>
      <w:r>
        <w:rPr>
          <w:rFonts w:ascii="David" w:hAnsi="David" w:hint="cs"/>
          <w:b/>
          <w:bCs/>
          <w:sz w:val="24"/>
          <w:rtl/>
        </w:rPr>
        <w:t xml:space="preserve"> אלו נמשך שנים בלא</w:t>
      </w:r>
      <w:r w:rsidR="00382AE8">
        <w:rPr>
          <w:rFonts w:ascii="David" w:hAnsi="David" w:hint="cs"/>
          <w:b/>
          <w:bCs/>
          <w:sz w:val="24"/>
          <w:rtl/>
        </w:rPr>
        <w:t xml:space="preserve"> </w:t>
      </w:r>
      <w:r>
        <w:rPr>
          <w:rFonts w:ascii="David" w:hAnsi="David" w:hint="cs"/>
          <w:b/>
          <w:bCs/>
          <w:sz w:val="24"/>
          <w:rtl/>
        </w:rPr>
        <w:t>שהושלם הליך החקיקה, שנמצא נחוץ על ידי גורמי הייעוץ המשפטי לממשלה לצורך העמדת הסדר חקיקתי מתאים שהולם את מהותן של הפעולות המבוצעות באמצעות הכלים הטכנולוגיים. נוסף על כך נוצר פער בחלק מהכלים בין הדרישות המבצעיות לשימוש במלוא יכולותיהם לבין השימוש החלקי בפועל, בהתאם למצב החוקי הקיים, והדבר פוגע ביכולת המשטרה להילחם בפשיעה.</w:t>
      </w:r>
    </w:p>
    <w:bookmarkEnd w:id="723"/>
    <w:p w:rsidR="004B50FC" w:rsidRDefault="004B50FC" w:rsidP="00604C3D">
      <w:pPr>
        <w:spacing w:line="269" w:lineRule="auto"/>
        <w:rPr>
          <w:sz w:val="16"/>
          <w:szCs w:val="16"/>
          <w:rtl/>
        </w:rPr>
      </w:pPr>
    </w:p>
    <w:p w:rsidR="009160F3" w:rsidRDefault="009160F3" w:rsidP="00604C3D">
      <w:pPr>
        <w:spacing w:line="269" w:lineRule="auto"/>
        <w:rPr>
          <w:rFonts w:ascii="David" w:hAnsi="David"/>
          <w:b/>
          <w:bCs/>
          <w:sz w:val="24"/>
          <w:rtl/>
        </w:rPr>
      </w:pPr>
      <w:r>
        <w:rPr>
          <w:rFonts w:ascii="David" w:hAnsi="David" w:hint="cs"/>
          <w:b/>
          <w:bCs/>
          <w:sz w:val="24"/>
          <w:rtl/>
        </w:rPr>
        <w:t xml:space="preserve">המציאות שבה המשטרה </w:t>
      </w:r>
      <w:r w:rsidR="00A43849">
        <w:rPr>
          <w:rFonts w:ascii="David" w:hAnsi="David" w:hint="cs"/>
          <w:b/>
          <w:bCs/>
          <w:sz w:val="24"/>
          <w:rtl/>
        </w:rPr>
        <w:t xml:space="preserve">השתמשה </w:t>
      </w:r>
      <w:r>
        <w:rPr>
          <w:rFonts w:ascii="David" w:hAnsi="David" w:hint="cs"/>
          <w:b/>
          <w:bCs/>
          <w:sz w:val="24"/>
          <w:rtl/>
        </w:rPr>
        <w:t xml:space="preserve">במשך שנים בחלק מהכלים שהם בעלי יכולות מיוחדות בלא שבוצעה הסדרה </w:t>
      </w:r>
      <w:r w:rsidR="006E53FF">
        <w:rPr>
          <w:rFonts w:ascii="David" w:hAnsi="David" w:hint="cs"/>
          <w:b/>
          <w:bCs/>
          <w:sz w:val="24"/>
          <w:rtl/>
        </w:rPr>
        <w:t xml:space="preserve">חקיקתית </w:t>
      </w:r>
      <w:r>
        <w:rPr>
          <w:rFonts w:ascii="David" w:hAnsi="David" w:hint="cs"/>
          <w:b/>
          <w:bCs/>
          <w:sz w:val="24"/>
          <w:rtl/>
        </w:rPr>
        <w:t>שנמצאה נחוצה על ידי גורמי הייעוץ המשפטי לממשלה לעניין כלים ומתווים מסוימים, מחד גיסא, והגבלת השימוש של המשטרה בכלים לצרכים מבצעיים, מאידך גיסא, מעוררת קושי משמעותי</w:t>
      </w:r>
      <w:r w:rsidRPr="00254A52">
        <w:rPr>
          <w:rFonts w:ascii="David" w:hAnsi="David" w:hint="cs"/>
          <w:b/>
          <w:bCs/>
          <w:sz w:val="24"/>
          <w:rtl/>
        </w:rPr>
        <w:t xml:space="preserve"> </w:t>
      </w:r>
      <w:r>
        <w:rPr>
          <w:rFonts w:ascii="David" w:hAnsi="David" w:hint="cs"/>
          <w:b/>
          <w:bCs/>
          <w:sz w:val="24"/>
          <w:rtl/>
        </w:rPr>
        <w:t xml:space="preserve">להביא את המצב על תיקונו, והדבר מכביד את הנטל הרובץ על כלל הגורמים. </w:t>
      </w:r>
    </w:p>
    <w:p w:rsidR="004B50FC" w:rsidRPr="001D330B" w:rsidRDefault="004B50FC" w:rsidP="00604C3D">
      <w:pPr>
        <w:spacing w:line="269" w:lineRule="auto"/>
        <w:ind w:left="-341"/>
        <w:rPr>
          <w:sz w:val="16"/>
          <w:szCs w:val="16"/>
          <w:rtl/>
        </w:rPr>
      </w:pPr>
    </w:p>
    <w:p w:rsidR="009160F3" w:rsidRDefault="009160F3" w:rsidP="00604C3D">
      <w:pPr>
        <w:spacing w:line="269" w:lineRule="auto"/>
        <w:rPr>
          <w:rFonts w:ascii="David" w:hAnsi="David"/>
          <w:b/>
          <w:bCs/>
          <w:sz w:val="24"/>
          <w:rtl/>
        </w:rPr>
      </w:pPr>
      <w:r>
        <w:rPr>
          <w:rFonts w:ascii="David" w:hAnsi="David" w:hint="cs"/>
          <w:b/>
          <w:bCs/>
          <w:sz w:val="24"/>
          <w:rtl/>
        </w:rPr>
        <w:t xml:space="preserve">במקרים שבהם </w:t>
      </w:r>
      <w:r w:rsidR="00AF35D1">
        <w:rPr>
          <w:rFonts w:ascii="David" w:hAnsi="David" w:hint="cs"/>
          <w:b/>
          <w:bCs/>
          <w:sz w:val="24"/>
          <w:rtl/>
        </w:rPr>
        <w:t>הייעוץ המשפטי לממשלה במשרד המשפטים</w:t>
      </w:r>
      <w:r>
        <w:rPr>
          <w:rFonts w:ascii="David" w:hAnsi="David" w:hint="cs"/>
          <w:b/>
          <w:bCs/>
          <w:sz w:val="24"/>
          <w:rtl/>
        </w:rPr>
        <w:t xml:space="preserve"> קבע כי ראוי היה שההסדרה של השימוש בכלים טכנולוגיים חדשניים מסוימים המאפשרים סוגי פגיעה מיוחדים בזכויות הפרט, בדגש על הזכות לפרטיות, תיעשה באמצעות חקיקה, על המשטרה וגורמי</w:t>
      </w:r>
      <w:r>
        <w:rPr>
          <w:rFonts w:ascii="David" w:hAnsi="David" w:hint="cs"/>
          <w:b/>
          <w:bCs/>
          <w:sz w:val="24"/>
        </w:rPr>
        <w:t xml:space="preserve"> </w:t>
      </w:r>
      <w:r>
        <w:rPr>
          <w:rFonts w:ascii="David" w:hAnsi="David" w:hint="cs"/>
          <w:b/>
          <w:bCs/>
          <w:sz w:val="24"/>
          <w:rtl/>
        </w:rPr>
        <w:t>הייעוץ המשפטי לממשלה והמשרד לביטחון לאומי להשלים באופן מהיר ותכליתי את מכלול הפעולות הדרושות לצורך ההסדרה החקי</w:t>
      </w:r>
      <w:r w:rsidR="00BE3285">
        <w:rPr>
          <w:rFonts w:ascii="David" w:hAnsi="David" w:hint="cs"/>
          <w:b/>
          <w:bCs/>
          <w:sz w:val="24"/>
          <w:rtl/>
        </w:rPr>
        <w:t>ק</w:t>
      </w:r>
      <w:r>
        <w:rPr>
          <w:rFonts w:ascii="David" w:hAnsi="David" w:hint="cs"/>
          <w:b/>
          <w:bCs/>
          <w:sz w:val="24"/>
          <w:rtl/>
        </w:rPr>
        <w:t>ת</w:t>
      </w:r>
      <w:r w:rsidR="00BE3285">
        <w:rPr>
          <w:rFonts w:ascii="David" w:hAnsi="David" w:hint="cs"/>
          <w:b/>
          <w:bCs/>
          <w:sz w:val="24"/>
          <w:rtl/>
        </w:rPr>
        <w:t>ית</w:t>
      </w:r>
      <w:r>
        <w:rPr>
          <w:rFonts w:ascii="David" w:hAnsi="David" w:hint="cs"/>
          <w:b/>
          <w:bCs/>
          <w:sz w:val="24"/>
          <w:rtl/>
        </w:rPr>
        <w:t xml:space="preserve"> של השימוש בכלים אלו בתחום האכיפה, עד לשלב הצגת טיוטות הצעות החוק לשר הרלוונטי. בעניין זה מוצע כי ייקבעו תזכורות ומעקבים </w:t>
      </w:r>
      <w:r w:rsidR="00BF2BD6">
        <w:rPr>
          <w:rFonts w:ascii="David" w:hAnsi="David" w:hint="cs"/>
          <w:b/>
          <w:bCs/>
          <w:sz w:val="24"/>
          <w:rtl/>
        </w:rPr>
        <w:t>אצל גורמי הייעוץ המשפטי לממשלה</w:t>
      </w:r>
      <w:r>
        <w:rPr>
          <w:rFonts w:ascii="David" w:hAnsi="David" w:hint="cs"/>
          <w:b/>
          <w:bCs/>
          <w:sz w:val="24"/>
          <w:rtl/>
        </w:rPr>
        <w:t xml:space="preserve"> בשיתוף המשרד לביטחון לאומי או השר הממונה (בתיקוני חקיקה הנדרשים לחוק האזנת סתר), לשם השלמת הטיפול בנושא. </w:t>
      </w:r>
    </w:p>
    <w:p w:rsidR="009160F3" w:rsidRDefault="009160F3" w:rsidP="00604C3D">
      <w:pPr>
        <w:spacing w:line="269" w:lineRule="auto"/>
        <w:rPr>
          <w:rFonts w:ascii="David" w:hAnsi="David"/>
          <w:b/>
          <w:bCs/>
          <w:sz w:val="24"/>
          <w:highlight w:val="yellow"/>
          <w:rtl/>
        </w:rPr>
      </w:pPr>
    </w:p>
    <w:p w:rsidR="006139FC" w:rsidRDefault="006139FC" w:rsidP="00604C3D">
      <w:pPr>
        <w:bidi w:val="0"/>
        <w:spacing w:line="269" w:lineRule="auto"/>
        <w:rPr>
          <w:rFonts w:eastAsia="Times New Roman"/>
        </w:rPr>
      </w:pPr>
      <w:r>
        <w:rPr>
          <w:rFonts w:eastAsia="Times New Roman"/>
          <w:rtl/>
        </w:rPr>
        <w:br w:type="page"/>
      </w:r>
    </w:p>
    <w:p w:rsidR="00355309" w:rsidRDefault="00355309" w:rsidP="00604C3D">
      <w:pPr>
        <w:pStyle w:val="2"/>
        <w:spacing w:before="0" w:line="269" w:lineRule="auto"/>
        <w:rPr>
          <w:rFonts w:eastAsia="Times New Roman"/>
          <w:rtl/>
        </w:rPr>
      </w:pPr>
      <w:bookmarkStart w:id="724" w:name="_Toc219286587"/>
      <w:r>
        <w:rPr>
          <w:rFonts w:eastAsia="Times New Roman" w:hint="cs"/>
          <w:rtl/>
        </w:rPr>
        <w:t>סיכום</w:t>
      </w:r>
      <w:r w:rsidR="00892943">
        <w:rPr>
          <w:rFonts w:eastAsia="Times New Roman" w:hint="cs"/>
          <w:rtl/>
        </w:rPr>
        <w:t xml:space="preserve"> כללי</w:t>
      </w:r>
      <w:bookmarkEnd w:id="724"/>
    </w:p>
    <w:p w:rsidR="00180D6E" w:rsidRDefault="00180D6E" w:rsidP="00604C3D">
      <w:pPr>
        <w:spacing w:line="269" w:lineRule="auto"/>
        <w:rPr>
          <w:b/>
          <w:bCs/>
          <w:rtl/>
        </w:rPr>
      </w:pPr>
    </w:p>
    <w:p w:rsidR="00180D6E" w:rsidRPr="00180D6E" w:rsidRDefault="00180D6E" w:rsidP="00604C3D">
      <w:pPr>
        <w:spacing w:line="269" w:lineRule="auto"/>
        <w:rPr>
          <w:b/>
          <w:bCs/>
          <w:rtl/>
        </w:rPr>
      </w:pPr>
      <w:r w:rsidRPr="00180D6E">
        <w:rPr>
          <w:rFonts w:hint="eastAsia"/>
          <w:b/>
          <w:bCs/>
          <w:rtl/>
        </w:rPr>
        <w:t>דוח</w:t>
      </w:r>
      <w:r w:rsidRPr="00180D6E">
        <w:rPr>
          <w:b/>
          <w:bCs/>
          <w:rtl/>
        </w:rPr>
        <w:t xml:space="preserve"> </w:t>
      </w:r>
      <w:r w:rsidRPr="00180D6E">
        <w:rPr>
          <w:rFonts w:hint="eastAsia"/>
          <w:b/>
          <w:bCs/>
          <w:rtl/>
        </w:rPr>
        <w:t>ביקורת</w:t>
      </w:r>
      <w:r w:rsidRPr="00180D6E">
        <w:rPr>
          <w:b/>
          <w:bCs/>
          <w:rtl/>
        </w:rPr>
        <w:t xml:space="preserve"> </w:t>
      </w:r>
      <w:r w:rsidRPr="00180D6E">
        <w:rPr>
          <w:rFonts w:hint="eastAsia"/>
          <w:b/>
          <w:bCs/>
          <w:rtl/>
        </w:rPr>
        <w:t>זה</w:t>
      </w:r>
      <w:r w:rsidRPr="00180D6E">
        <w:rPr>
          <w:b/>
          <w:bCs/>
          <w:rtl/>
        </w:rPr>
        <w:t xml:space="preserve"> </w:t>
      </w:r>
      <w:r w:rsidRPr="00180D6E">
        <w:rPr>
          <w:rFonts w:hint="eastAsia"/>
          <w:b/>
          <w:bCs/>
          <w:rtl/>
        </w:rPr>
        <w:t>עוסק</w:t>
      </w:r>
      <w:r w:rsidRPr="00180D6E">
        <w:rPr>
          <w:b/>
          <w:bCs/>
          <w:rtl/>
        </w:rPr>
        <w:t xml:space="preserve"> </w:t>
      </w:r>
      <w:r w:rsidRPr="00180D6E">
        <w:rPr>
          <w:rFonts w:hint="eastAsia"/>
          <w:b/>
          <w:bCs/>
          <w:rtl/>
        </w:rPr>
        <w:t>בהש</w:t>
      </w:r>
      <w:r w:rsidRPr="00180D6E">
        <w:rPr>
          <w:rFonts w:hint="cs"/>
          <w:b/>
          <w:bCs/>
          <w:rtl/>
        </w:rPr>
        <w:t>פע</w:t>
      </w:r>
      <w:r w:rsidRPr="00180D6E">
        <w:rPr>
          <w:rFonts w:hint="eastAsia"/>
          <w:b/>
          <w:bCs/>
          <w:rtl/>
        </w:rPr>
        <w:t>ות</w:t>
      </w:r>
      <w:r w:rsidRPr="00180D6E">
        <w:rPr>
          <w:b/>
          <w:bCs/>
          <w:rtl/>
        </w:rPr>
        <w:t xml:space="preserve"> </w:t>
      </w:r>
      <w:r w:rsidRPr="00180D6E">
        <w:rPr>
          <w:rFonts w:hint="cs"/>
          <w:b/>
          <w:bCs/>
          <w:rtl/>
        </w:rPr>
        <w:t>ה</w:t>
      </w:r>
      <w:r w:rsidRPr="00180D6E">
        <w:rPr>
          <w:rFonts w:hint="eastAsia"/>
          <w:b/>
          <w:bCs/>
          <w:rtl/>
        </w:rPr>
        <w:t>שימוש</w:t>
      </w:r>
      <w:r w:rsidRPr="00180D6E">
        <w:rPr>
          <w:b/>
          <w:bCs/>
          <w:rtl/>
        </w:rPr>
        <w:t xml:space="preserve"> </w:t>
      </w:r>
      <w:r w:rsidRPr="00180D6E">
        <w:rPr>
          <w:rFonts w:hint="cs"/>
          <w:b/>
          <w:bCs/>
          <w:rtl/>
        </w:rPr>
        <w:t>ה</w:t>
      </w:r>
      <w:r w:rsidRPr="00180D6E">
        <w:rPr>
          <w:rFonts w:hint="eastAsia"/>
          <w:b/>
          <w:bCs/>
          <w:rtl/>
        </w:rPr>
        <w:t>הולך</w:t>
      </w:r>
      <w:r w:rsidRPr="00180D6E">
        <w:rPr>
          <w:b/>
          <w:bCs/>
          <w:rtl/>
        </w:rPr>
        <w:t xml:space="preserve"> </w:t>
      </w:r>
      <w:r w:rsidRPr="00180D6E">
        <w:rPr>
          <w:rFonts w:hint="eastAsia"/>
          <w:b/>
          <w:bCs/>
          <w:rtl/>
        </w:rPr>
        <w:t>וגובר</w:t>
      </w:r>
      <w:r w:rsidRPr="00180D6E">
        <w:rPr>
          <w:b/>
          <w:bCs/>
          <w:rtl/>
        </w:rPr>
        <w:t xml:space="preserve"> </w:t>
      </w:r>
      <w:r w:rsidRPr="00180D6E">
        <w:rPr>
          <w:rFonts w:hint="eastAsia"/>
          <w:b/>
          <w:bCs/>
          <w:rtl/>
        </w:rPr>
        <w:t>בכלים</w:t>
      </w:r>
      <w:r w:rsidRPr="00180D6E">
        <w:rPr>
          <w:b/>
          <w:bCs/>
          <w:rtl/>
        </w:rPr>
        <w:t xml:space="preserve"> </w:t>
      </w:r>
      <w:r w:rsidRPr="00180D6E">
        <w:rPr>
          <w:rFonts w:hint="eastAsia"/>
          <w:b/>
          <w:bCs/>
          <w:rtl/>
        </w:rPr>
        <w:t>טכנולוגיים</w:t>
      </w:r>
      <w:r w:rsidRPr="00180D6E">
        <w:rPr>
          <w:b/>
          <w:bCs/>
          <w:rtl/>
        </w:rPr>
        <w:t xml:space="preserve"> </w:t>
      </w:r>
      <w:r w:rsidRPr="00180D6E">
        <w:rPr>
          <w:rFonts w:hint="eastAsia"/>
          <w:b/>
          <w:bCs/>
          <w:rtl/>
        </w:rPr>
        <w:t>על</w:t>
      </w:r>
      <w:r w:rsidRPr="00180D6E">
        <w:rPr>
          <w:b/>
          <w:bCs/>
          <w:rtl/>
        </w:rPr>
        <w:t xml:space="preserve"> </w:t>
      </w:r>
      <w:r w:rsidRPr="00180D6E">
        <w:rPr>
          <w:rFonts w:hint="eastAsia"/>
          <w:b/>
          <w:bCs/>
          <w:rtl/>
        </w:rPr>
        <w:t>ידי</w:t>
      </w:r>
      <w:r w:rsidRPr="00180D6E">
        <w:rPr>
          <w:b/>
          <w:bCs/>
          <w:rtl/>
        </w:rPr>
        <w:t xml:space="preserve"> </w:t>
      </w:r>
      <w:r w:rsidRPr="00180D6E">
        <w:rPr>
          <w:rFonts w:hint="eastAsia"/>
          <w:b/>
          <w:bCs/>
          <w:rtl/>
        </w:rPr>
        <w:t>משטרת</w:t>
      </w:r>
      <w:r w:rsidRPr="00180D6E">
        <w:rPr>
          <w:b/>
          <w:bCs/>
          <w:rtl/>
        </w:rPr>
        <w:t xml:space="preserve"> </w:t>
      </w:r>
      <w:r w:rsidRPr="00180D6E">
        <w:rPr>
          <w:rFonts w:hint="eastAsia"/>
          <w:b/>
          <w:bCs/>
          <w:rtl/>
        </w:rPr>
        <w:t>ישראל</w:t>
      </w:r>
      <w:r w:rsidRPr="00180D6E">
        <w:rPr>
          <w:b/>
          <w:bCs/>
          <w:rtl/>
        </w:rPr>
        <w:t xml:space="preserve"> </w:t>
      </w:r>
      <w:r w:rsidRPr="00180D6E">
        <w:rPr>
          <w:rFonts w:hint="eastAsia"/>
          <w:b/>
          <w:bCs/>
          <w:rtl/>
        </w:rPr>
        <w:t>במיקוד</w:t>
      </w:r>
      <w:r w:rsidRPr="00180D6E">
        <w:rPr>
          <w:b/>
          <w:bCs/>
          <w:rtl/>
        </w:rPr>
        <w:t xml:space="preserve"> </w:t>
      </w:r>
      <w:r w:rsidRPr="00180D6E">
        <w:rPr>
          <w:rFonts w:hint="eastAsia"/>
          <w:b/>
          <w:bCs/>
          <w:rtl/>
        </w:rPr>
        <w:t>על</w:t>
      </w:r>
      <w:r w:rsidRPr="00180D6E">
        <w:rPr>
          <w:b/>
          <w:bCs/>
          <w:rtl/>
        </w:rPr>
        <w:t xml:space="preserve"> </w:t>
      </w:r>
      <w:r w:rsidRPr="00180D6E">
        <w:rPr>
          <w:rFonts w:hint="eastAsia"/>
          <w:b/>
          <w:bCs/>
          <w:rtl/>
        </w:rPr>
        <w:t>האזנות</w:t>
      </w:r>
      <w:r w:rsidRPr="00180D6E">
        <w:rPr>
          <w:b/>
          <w:bCs/>
          <w:rtl/>
        </w:rPr>
        <w:t xml:space="preserve"> </w:t>
      </w:r>
      <w:r w:rsidRPr="00180D6E">
        <w:rPr>
          <w:rFonts w:hint="eastAsia"/>
          <w:b/>
          <w:bCs/>
          <w:rtl/>
        </w:rPr>
        <w:t>סתר</w:t>
      </w:r>
      <w:r w:rsidRPr="00180D6E">
        <w:rPr>
          <w:b/>
          <w:bCs/>
          <w:rtl/>
        </w:rPr>
        <w:t xml:space="preserve"> </w:t>
      </w:r>
      <w:r w:rsidRPr="00180D6E">
        <w:rPr>
          <w:rFonts w:hint="eastAsia"/>
          <w:b/>
          <w:bCs/>
          <w:rtl/>
        </w:rPr>
        <w:t>ונתוני</w:t>
      </w:r>
      <w:r w:rsidRPr="00180D6E">
        <w:rPr>
          <w:b/>
          <w:bCs/>
          <w:rtl/>
        </w:rPr>
        <w:t xml:space="preserve"> </w:t>
      </w:r>
      <w:r w:rsidRPr="00180D6E">
        <w:rPr>
          <w:rFonts w:hint="eastAsia"/>
          <w:b/>
          <w:bCs/>
          <w:rtl/>
        </w:rPr>
        <w:t>תקשורת</w:t>
      </w:r>
      <w:r w:rsidRPr="00180D6E">
        <w:rPr>
          <w:b/>
          <w:bCs/>
          <w:rtl/>
        </w:rPr>
        <w:t xml:space="preserve">, </w:t>
      </w:r>
      <w:r w:rsidRPr="00180D6E">
        <w:rPr>
          <w:rFonts w:hint="eastAsia"/>
          <w:b/>
          <w:bCs/>
          <w:rtl/>
        </w:rPr>
        <w:t>בין</w:t>
      </w:r>
      <w:r w:rsidRPr="00180D6E">
        <w:rPr>
          <w:b/>
          <w:bCs/>
          <w:rtl/>
        </w:rPr>
        <w:t xml:space="preserve"> </w:t>
      </w:r>
      <w:r w:rsidRPr="00180D6E">
        <w:rPr>
          <w:rFonts w:hint="eastAsia"/>
          <w:b/>
          <w:bCs/>
          <w:rtl/>
        </w:rPr>
        <w:t>היתר</w:t>
      </w:r>
      <w:r w:rsidRPr="00180D6E">
        <w:rPr>
          <w:b/>
          <w:bCs/>
          <w:rtl/>
        </w:rPr>
        <w:t xml:space="preserve"> </w:t>
      </w:r>
      <w:r w:rsidRPr="00180D6E">
        <w:rPr>
          <w:rFonts w:hint="eastAsia"/>
          <w:b/>
          <w:bCs/>
          <w:rtl/>
        </w:rPr>
        <w:t>בהתאם</w:t>
      </w:r>
      <w:r w:rsidRPr="00180D6E">
        <w:rPr>
          <w:b/>
          <w:bCs/>
          <w:rtl/>
        </w:rPr>
        <w:t xml:space="preserve"> </w:t>
      </w:r>
      <w:r w:rsidRPr="00180D6E">
        <w:rPr>
          <w:rFonts w:hint="eastAsia"/>
          <w:b/>
          <w:bCs/>
          <w:rtl/>
        </w:rPr>
        <w:t>לתפיסה</w:t>
      </w:r>
      <w:r w:rsidRPr="00180D6E">
        <w:rPr>
          <w:b/>
          <w:bCs/>
          <w:rtl/>
        </w:rPr>
        <w:t xml:space="preserve"> </w:t>
      </w:r>
      <w:r w:rsidRPr="00180D6E">
        <w:rPr>
          <w:rFonts w:hint="eastAsia"/>
          <w:b/>
          <w:bCs/>
          <w:rtl/>
        </w:rPr>
        <w:t>שהתגבשה</w:t>
      </w:r>
      <w:r w:rsidRPr="00180D6E">
        <w:rPr>
          <w:b/>
          <w:bCs/>
          <w:rtl/>
        </w:rPr>
        <w:t xml:space="preserve"> </w:t>
      </w:r>
      <w:r w:rsidRPr="00180D6E">
        <w:rPr>
          <w:rFonts w:hint="eastAsia"/>
          <w:b/>
          <w:bCs/>
          <w:rtl/>
        </w:rPr>
        <w:t>במשטר</w:t>
      </w:r>
      <w:r w:rsidRPr="00180D6E">
        <w:rPr>
          <w:rFonts w:hint="cs"/>
          <w:b/>
          <w:bCs/>
          <w:rtl/>
        </w:rPr>
        <w:t>ה</w:t>
      </w:r>
      <w:r w:rsidRPr="00180D6E">
        <w:rPr>
          <w:b/>
          <w:bCs/>
          <w:rtl/>
        </w:rPr>
        <w:t xml:space="preserve"> </w:t>
      </w:r>
      <w:r w:rsidRPr="00180D6E">
        <w:rPr>
          <w:rFonts w:hint="eastAsia"/>
          <w:b/>
          <w:bCs/>
          <w:rtl/>
        </w:rPr>
        <w:t>בעשור</w:t>
      </w:r>
      <w:r w:rsidRPr="00180D6E">
        <w:rPr>
          <w:b/>
          <w:bCs/>
          <w:rtl/>
        </w:rPr>
        <w:t xml:space="preserve"> </w:t>
      </w:r>
      <w:r w:rsidRPr="00180D6E">
        <w:rPr>
          <w:rFonts w:hint="eastAsia"/>
          <w:b/>
          <w:bCs/>
          <w:rtl/>
        </w:rPr>
        <w:t>האחרון</w:t>
      </w:r>
      <w:r w:rsidRPr="00180D6E">
        <w:rPr>
          <w:b/>
          <w:bCs/>
          <w:rtl/>
        </w:rPr>
        <w:t>. הדוח עוסק בשורה ארוכה של כלים טכנולוגיים בעלי יכולות מורכבות; במאות אלפי בקשות, צווים שיפוטיים והיתרים מ</w:t>
      </w:r>
      <w:r w:rsidRPr="00180D6E">
        <w:rPr>
          <w:rFonts w:hint="cs"/>
          <w:b/>
          <w:bCs/>
          <w:rtl/>
        </w:rPr>
        <w:t>י</w:t>
      </w:r>
      <w:r w:rsidRPr="00180D6E">
        <w:rPr>
          <w:b/>
          <w:bCs/>
          <w:rtl/>
        </w:rPr>
        <w:t xml:space="preserve">נהליים המקנים למשטרה את הסמכות לפעול בתחומים אלו; באלפי </w:t>
      </w:r>
      <w:r w:rsidRPr="00180D6E">
        <w:rPr>
          <w:rFonts w:hint="cs"/>
          <w:b/>
          <w:bCs/>
          <w:rtl/>
        </w:rPr>
        <w:t>התקנות של כלים טכנולוגיים על מכשירי קצה</w:t>
      </w:r>
      <w:r w:rsidRPr="00180D6E">
        <w:rPr>
          <w:b/>
          <w:bCs/>
          <w:rtl/>
        </w:rPr>
        <w:t xml:space="preserve"> לצורכי האזנת סתר; באיסוף והפקה של מיליוני תוצרי האזנות סתר; במאות אלפי פעולות לקבלת נתוני תקשורת ולשימוש בהם; ובעשרות דיונים שהתקיימו לאורך השנים במשטרה ובמשרד המשפטים בנושאים אלו. כפועל יוצא מכל אלו, הדוח נוגע למאות תיקי חקירה ופרשיות מודיעיניות שטופלו על ידי המשטרה בשנים האחרונות. </w:t>
      </w:r>
    </w:p>
    <w:p w:rsidR="00180D6E" w:rsidRPr="00180D6E" w:rsidRDefault="00180D6E" w:rsidP="00604C3D">
      <w:pPr>
        <w:spacing w:line="269" w:lineRule="auto"/>
        <w:rPr>
          <w:rtl/>
        </w:rPr>
      </w:pPr>
    </w:p>
    <w:p w:rsidR="00180D6E" w:rsidRPr="00180D6E" w:rsidRDefault="00180D6E" w:rsidP="00604C3D">
      <w:pPr>
        <w:spacing w:line="269" w:lineRule="auto"/>
        <w:rPr>
          <w:b/>
          <w:bCs/>
          <w:rtl/>
        </w:rPr>
      </w:pPr>
      <w:r w:rsidRPr="00180D6E">
        <w:rPr>
          <w:rFonts w:hint="eastAsia"/>
          <w:b/>
          <w:bCs/>
          <w:rtl/>
        </w:rPr>
        <w:t>בחברה</w:t>
      </w:r>
      <w:r w:rsidRPr="00180D6E">
        <w:rPr>
          <w:b/>
          <w:bCs/>
          <w:rtl/>
        </w:rPr>
        <w:t xml:space="preserve"> דמוקרטית המשטרה היא הגורם המרכזי לאכיפת החוק ו</w:t>
      </w:r>
      <w:r w:rsidRPr="00180D6E">
        <w:rPr>
          <w:rFonts w:hint="cs"/>
          <w:b/>
          <w:bCs/>
          <w:rtl/>
        </w:rPr>
        <w:t>ל</w:t>
      </w:r>
      <w:r w:rsidRPr="00180D6E">
        <w:rPr>
          <w:b/>
          <w:bCs/>
          <w:rtl/>
        </w:rPr>
        <w:t xml:space="preserve">שמירה על ביטחון אזרחי מדינת ישראל, והיא נמצאת כל העת במאבק מול גורמי פשיעה וטרור שמסכנים את שלום הציבור וביטחון המדינה ומנצלים לרעה את התקדמות הטכנולוגיה. המשטרה נדרשת להיאבק בפשיעה </w:t>
      </w:r>
      <w:r w:rsidRPr="00180D6E">
        <w:rPr>
          <w:rFonts w:hint="cs"/>
          <w:b/>
          <w:bCs/>
          <w:rtl/>
        </w:rPr>
        <w:t>בדרכים שונות</w:t>
      </w:r>
      <w:r w:rsidRPr="00180D6E">
        <w:rPr>
          <w:b/>
          <w:bCs/>
          <w:rtl/>
        </w:rPr>
        <w:t xml:space="preserve"> - איסוף מודיעין, ניהול הליכי חקירה, גיבוש ראיות ועבודה משותפת עם הפרקליטות בגיבוש כתבי אישום. גורמי הייעוץ המשפטי לממשלה במשרד המשפטים ובכלל זה היועצת המשפטית לממשלה הם הגורם המקצועי הנדרש לסייע למשטרה לבסס את התשתית החוקית לפעילותה ולוודא שהיא </w:t>
      </w:r>
      <w:r w:rsidRPr="00180D6E">
        <w:rPr>
          <w:rFonts w:hint="cs"/>
          <w:b/>
          <w:bCs/>
          <w:rtl/>
        </w:rPr>
        <w:t xml:space="preserve">עומדת בדרישות </w:t>
      </w:r>
      <w:r w:rsidRPr="00180D6E">
        <w:rPr>
          <w:rFonts w:hint="eastAsia"/>
          <w:b/>
          <w:bCs/>
          <w:rtl/>
        </w:rPr>
        <w:t>החוק</w:t>
      </w:r>
      <w:r w:rsidRPr="00180D6E">
        <w:rPr>
          <w:b/>
          <w:bCs/>
          <w:rtl/>
        </w:rPr>
        <w:t xml:space="preserve"> </w:t>
      </w:r>
      <w:r w:rsidRPr="00180D6E">
        <w:rPr>
          <w:rFonts w:hint="eastAsia"/>
          <w:b/>
          <w:bCs/>
          <w:rtl/>
        </w:rPr>
        <w:t>והמגבלות</w:t>
      </w:r>
      <w:r w:rsidRPr="00180D6E">
        <w:rPr>
          <w:b/>
          <w:bCs/>
          <w:rtl/>
        </w:rPr>
        <w:t xml:space="preserve"> </w:t>
      </w:r>
      <w:r w:rsidRPr="00180D6E">
        <w:rPr>
          <w:rFonts w:hint="eastAsia"/>
          <w:b/>
          <w:bCs/>
          <w:rtl/>
        </w:rPr>
        <w:t>החלות</w:t>
      </w:r>
      <w:r w:rsidRPr="00180D6E">
        <w:rPr>
          <w:b/>
          <w:bCs/>
          <w:rtl/>
        </w:rPr>
        <w:t xml:space="preserve"> </w:t>
      </w:r>
      <w:r w:rsidRPr="00180D6E">
        <w:rPr>
          <w:rFonts w:hint="eastAsia"/>
          <w:b/>
          <w:bCs/>
          <w:rtl/>
        </w:rPr>
        <w:t>עליה</w:t>
      </w:r>
      <w:r w:rsidRPr="00180D6E">
        <w:rPr>
          <w:b/>
          <w:bCs/>
          <w:rtl/>
        </w:rPr>
        <w:t xml:space="preserve">. </w:t>
      </w:r>
      <w:r w:rsidRPr="00180D6E">
        <w:rPr>
          <w:rFonts w:hint="eastAsia"/>
          <w:b/>
          <w:bCs/>
          <w:rtl/>
        </w:rPr>
        <w:t>פרקליטות</w:t>
      </w:r>
      <w:r w:rsidRPr="00180D6E">
        <w:rPr>
          <w:b/>
          <w:bCs/>
          <w:rtl/>
        </w:rPr>
        <w:t xml:space="preserve"> </w:t>
      </w:r>
      <w:r w:rsidRPr="00180D6E">
        <w:rPr>
          <w:rFonts w:hint="eastAsia"/>
          <w:b/>
          <w:bCs/>
          <w:rtl/>
        </w:rPr>
        <w:t>המדינה</w:t>
      </w:r>
      <w:r w:rsidRPr="00180D6E">
        <w:rPr>
          <w:b/>
          <w:bCs/>
          <w:rtl/>
        </w:rPr>
        <w:t xml:space="preserve"> </w:t>
      </w:r>
      <w:r w:rsidRPr="00180D6E">
        <w:rPr>
          <w:rFonts w:hint="eastAsia"/>
          <w:b/>
          <w:bCs/>
          <w:rtl/>
        </w:rPr>
        <w:t>וחטיבת</w:t>
      </w:r>
      <w:r w:rsidRPr="00180D6E">
        <w:rPr>
          <w:b/>
          <w:bCs/>
          <w:rtl/>
        </w:rPr>
        <w:t xml:space="preserve"> </w:t>
      </w:r>
      <w:r w:rsidRPr="00180D6E">
        <w:rPr>
          <w:rFonts w:hint="eastAsia"/>
          <w:b/>
          <w:bCs/>
          <w:rtl/>
        </w:rPr>
        <w:t>התביעות</w:t>
      </w:r>
      <w:r w:rsidRPr="00180D6E">
        <w:rPr>
          <w:b/>
          <w:bCs/>
          <w:rtl/>
        </w:rPr>
        <w:t xml:space="preserve"> </w:t>
      </w:r>
      <w:r w:rsidRPr="00180D6E">
        <w:rPr>
          <w:rFonts w:hint="eastAsia"/>
          <w:b/>
          <w:bCs/>
          <w:rtl/>
        </w:rPr>
        <w:t>במשטרה</w:t>
      </w:r>
      <w:r w:rsidRPr="00180D6E">
        <w:rPr>
          <w:b/>
          <w:bCs/>
          <w:rtl/>
        </w:rPr>
        <w:t xml:space="preserve"> </w:t>
      </w:r>
      <w:r w:rsidRPr="00180D6E">
        <w:rPr>
          <w:rFonts w:hint="eastAsia"/>
          <w:b/>
          <w:bCs/>
          <w:rtl/>
        </w:rPr>
        <w:t>ה</w:t>
      </w:r>
      <w:r w:rsidRPr="00180D6E">
        <w:rPr>
          <w:rFonts w:hint="cs"/>
          <w:b/>
          <w:bCs/>
          <w:rtl/>
        </w:rPr>
        <w:t>ן</w:t>
      </w:r>
      <w:r w:rsidRPr="00180D6E">
        <w:rPr>
          <w:b/>
          <w:bCs/>
          <w:rtl/>
        </w:rPr>
        <w:t xml:space="preserve"> </w:t>
      </w:r>
      <w:r w:rsidRPr="00180D6E">
        <w:rPr>
          <w:rFonts w:hint="cs"/>
          <w:b/>
          <w:bCs/>
          <w:rtl/>
        </w:rPr>
        <w:t>הנדבך המשפטי</w:t>
      </w:r>
      <w:r w:rsidRPr="00180D6E">
        <w:rPr>
          <w:b/>
          <w:bCs/>
          <w:rtl/>
        </w:rPr>
        <w:t xml:space="preserve"> </w:t>
      </w:r>
      <w:r w:rsidRPr="00180D6E">
        <w:rPr>
          <w:rFonts w:hint="eastAsia"/>
          <w:b/>
          <w:bCs/>
          <w:rtl/>
        </w:rPr>
        <w:t>של</w:t>
      </w:r>
      <w:r w:rsidRPr="00180D6E">
        <w:rPr>
          <w:b/>
          <w:bCs/>
          <w:rtl/>
        </w:rPr>
        <w:t xml:space="preserve"> </w:t>
      </w:r>
      <w:r w:rsidRPr="00180D6E">
        <w:rPr>
          <w:rFonts w:hint="eastAsia"/>
          <w:b/>
          <w:bCs/>
          <w:rtl/>
        </w:rPr>
        <w:t>המאבק</w:t>
      </w:r>
      <w:r w:rsidRPr="00180D6E">
        <w:rPr>
          <w:b/>
          <w:bCs/>
          <w:rtl/>
        </w:rPr>
        <w:t xml:space="preserve"> </w:t>
      </w:r>
      <w:r w:rsidRPr="00180D6E">
        <w:rPr>
          <w:rFonts w:hint="eastAsia"/>
          <w:b/>
          <w:bCs/>
          <w:rtl/>
        </w:rPr>
        <w:t>בפשיעה</w:t>
      </w:r>
      <w:r w:rsidRPr="00180D6E">
        <w:rPr>
          <w:b/>
          <w:bCs/>
          <w:rtl/>
        </w:rPr>
        <w:t xml:space="preserve"> </w:t>
      </w:r>
      <w:r w:rsidRPr="00180D6E">
        <w:rPr>
          <w:rFonts w:hint="eastAsia"/>
          <w:b/>
          <w:bCs/>
          <w:rtl/>
        </w:rPr>
        <w:t>באמצעות</w:t>
      </w:r>
      <w:r w:rsidRPr="00180D6E">
        <w:rPr>
          <w:b/>
          <w:bCs/>
          <w:rtl/>
        </w:rPr>
        <w:t xml:space="preserve"> </w:t>
      </w:r>
      <w:r w:rsidRPr="00180D6E">
        <w:rPr>
          <w:rFonts w:hint="eastAsia"/>
          <w:b/>
          <w:bCs/>
          <w:rtl/>
        </w:rPr>
        <w:t>ניהול</w:t>
      </w:r>
      <w:r w:rsidRPr="00180D6E">
        <w:rPr>
          <w:b/>
          <w:bCs/>
          <w:rtl/>
        </w:rPr>
        <w:t xml:space="preserve"> </w:t>
      </w:r>
      <w:r w:rsidRPr="00180D6E">
        <w:rPr>
          <w:rFonts w:hint="eastAsia"/>
          <w:b/>
          <w:bCs/>
          <w:rtl/>
        </w:rPr>
        <w:t>הליכים</w:t>
      </w:r>
      <w:r w:rsidRPr="00180D6E">
        <w:rPr>
          <w:b/>
          <w:bCs/>
          <w:rtl/>
        </w:rPr>
        <w:t xml:space="preserve"> </w:t>
      </w:r>
      <w:r w:rsidRPr="00180D6E">
        <w:rPr>
          <w:rFonts w:hint="eastAsia"/>
          <w:b/>
          <w:bCs/>
          <w:rtl/>
        </w:rPr>
        <w:t>פליליים</w:t>
      </w:r>
      <w:r w:rsidRPr="00180D6E">
        <w:rPr>
          <w:b/>
          <w:bCs/>
          <w:rtl/>
        </w:rPr>
        <w:t xml:space="preserve"> </w:t>
      </w:r>
      <w:r w:rsidRPr="00180D6E">
        <w:rPr>
          <w:rFonts w:hint="eastAsia"/>
          <w:b/>
          <w:bCs/>
          <w:rtl/>
        </w:rPr>
        <w:t>מורכבים</w:t>
      </w:r>
      <w:r w:rsidRPr="00180D6E">
        <w:rPr>
          <w:b/>
          <w:bCs/>
          <w:rtl/>
        </w:rPr>
        <w:t xml:space="preserve">, </w:t>
      </w:r>
      <w:r w:rsidRPr="00180D6E">
        <w:rPr>
          <w:rFonts w:hint="eastAsia"/>
          <w:b/>
          <w:bCs/>
          <w:rtl/>
        </w:rPr>
        <w:t>ובייחוד</w:t>
      </w:r>
      <w:r w:rsidRPr="00180D6E">
        <w:rPr>
          <w:b/>
          <w:bCs/>
          <w:rtl/>
        </w:rPr>
        <w:t xml:space="preserve"> </w:t>
      </w:r>
      <w:r w:rsidRPr="00180D6E">
        <w:rPr>
          <w:rFonts w:hint="eastAsia"/>
          <w:b/>
          <w:bCs/>
          <w:rtl/>
        </w:rPr>
        <w:t>נגד</w:t>
      </w:r>
      <w:r w:rsidRPr="00180D6E">
        <w:rPr>
          <w:b/>
          <w:bCs/>
          <w:rtl/>
        </w:rPr>
        <w:t xml:space="preserve"> </w:t>
      </w:r>
      <w:r w:rsidRPr="00180D6E">
        <w:rPr>
          <w:rFonts w:hint="eastAsia"/>
          <w:b/>
          <w:bCs/>
          <w:rtl/>
        </w:rPr>
        <w:t>ארגוני</w:t>
      </w:r>
      <w:r w:rsidRPr="00180D6E">
        <w:rPr>
          <w:b/>
          <w:bCs/>
          <w:rtl/>
        </w:rPr>
        <w:t xml:space="preserve"> </w:t>
      </w:r>
      <w:r w:rsidRPr="00180D6E">
        <w:rPr>
          <w:rFonts w:hint="cs"/>
          <w:b/>
          <w:bCs/>
          <w:rtl/>
        </w:rPr>
        <w:t>ה</w:t>
      </w:r>
      <w:r w:rsidRPr="00180D6E">
        <w:rPr>
          <w:rFonts w:hint="eastAsia"/>
          <w:b/>
          <w:bCs/>
          <w:rtl/>
        </w:rPr>
        <w:t>פשיעה</w:t>
      </w:r>
      <w:r w:rsidRPr="00180D6E">
        <w:rPr>
          <w:b/>
          <w:bCs/>
          <w:rtl/>
        </w:rPr>
        <w:t>.</w:t>
      </w:r>
    </w:p>
    <w:p w:rsidR="00180D6E" w:rsidRPr="00180D6E" w:rsidRDefault="00180D6E" w:rsidP="00604C3D">
      <w:pPr>
        <w:spacing w:line="269" w:lineRule="auto"/>
        <w:rPr>
          <w:rtl/>
        </w:rPr>
      </w:pPr>
    </w:p>
    <w:p w:rsidR="00180D6E" w:rsidRPr="00180D6E" w:rsidRDefault="00180D6E" w:rsidP="00604C3D">
      <w:pPr>
        <w:spacing w:line="269" w:lineRule="auto"/>
        <w:rPr>
          <w:b/>
          <w:bCs/>
          <w:rtl/>
        </w:rPr>
      </w:pPr>
      <w:r w:rsidRPr="00180D6E">
        <w:rPr>
          <w:b/>
          <w:bCs/>
          <w:rtl/>
        </w:rPr>
        <w:t xml:space="preserve">ההתייחסות לדוח ביקורת זה ראוי כי תתקיים בהלימה למטרתו </w:t>
      </w:r>
      <w:r w:rsidRPr="00180D6E">
        <w:rPr>
          <w:rFonts w:hint="cs"/>
          <w:b/>
          <w:bCs/>
          <w:rtl/>
        </w:rPr>
        <w:t>ל</w:t>
      </w:r>
      <w:r w:rsidRPr="00180D6E">
        <w:rPr>
          <w:rFonts w:hint="eastAsia"/>
          <w:b/>
          <w:bCs/>
          <w:rtl/>
        </w:rPr>
        <w:t>סייע</w:t>
      </w:r>
      <w:r w:rsidRPr="00180D6E">
        <w:rPr>
          <w:b/>
          <w:bCs/>
          <w:rtl/>
        </w:rPr>
        <w:t xml:space="preserve"> </w:t>
      </w:r>
      <w:r w:rsidRPr="00180D6E">
        <w:rPr>
          <w:rFonts w:hint="eastAsia"/>
          <w:b/>
          <w:bCs/>
          <w:rtl/>
        </w:rPr>
        <w:t>לגופי</w:t>
      </w:r>
      <w:r w:rsidRPr="00180D6E">
        <w:rPr>
          <w:b/>
          <w:bCs/>
          <w:rtl/>
        </w:rPr>
        <w:t xml:space="preserve"> </w:t>
      </w:r>
      <w:r w:rsidRPr="00180D6E">
        <w:rPr>
          <w:rFonts w:hint="eastAsia"/>
          <w:b/>
          <w:bCs/>
          <w:rtl/>
        </w:rPr>
        <w:t>אכיפת</w:t>
      </w:r>
      <w:r w:rsidRPr="00180D6E">
        <w:rPr>
          <w:b/>
          <w:bCs/>
          <w:rtl/>
        </w:rPr>
        <w:t xml:space="preserve"> </w:t>
      </w:r>
      <w:r w:rsidRPr="00180D6E">
        <w:rPr>
          <w:rFonts w:hint="eastAsia"/>
          <w:b/>
          <w:bCs/>
          <w:rtl/>
        </w:rPr>
        <w:t>החוק</w:t>
      </w:r>
      <w:r w:rsidRPr="00180D6E">
        <w:rPr>
          <w:b/>
          <w:bCs/>
          <w:rtl/>
        </w:rPr>
        <w:t xml:space="preserve"> </w:t>
      </w:r>
      <w:r w:rsidRPr="00180D6E">
        <w:rPr>
          <w:rFonts w:hint="eastAsia"/>
          <w:b/>
          <w:bCs/>
          <w:rtl/>
        </w:rPr>
        <w:t>לקיים</w:t>
      </w:r>
      <w:r w:rsidRPr="00180D6E">
        <w:rPr>
          <w:b/>
          <w:bCs/>
          <w:rtl/>
        </w:rPr>
        <w:t xml:space="preserve"> </w:t>
      </w:r>
      <w:r w:rsidRPr="00180D6E">
        <w:rPr>
          <w:rFonts w:hint="eastAsia"/>
          <w:b/>
          <w:bCs/>
          <w:rtl/>
        </w:rPr>
        <w:t>בחינה</w:t>
      </w:r>
      <w:r w:rsidRPr="00180D6E">
        <w:rPr>
          <w:b/>
          <w:bCs/>
          <w:rtl/>
        </w:rPr>
        <w:t xml:space="preserve"> </w:t>
      </w:r>
      <w:r w:rsidRPr="00180D6E">
        <w:rPr>
          <w:rFonts w:hint="eastAsia"/>
          <w:b/>
          <w:bCs/>
          <w:rtl/>
        </w:rPr>
        <w:t>מערכתית</w:t>
      </w:r>
      <w:r w:rsidRPr="00180D6E">
        <w:rPr>
          <w:b/>
          <w:bCs/>
          <w:rtl/>
        </w:rPr>
        <w:t xml:space="preserve"> </w:t>
      </w:r>
      <w:r w:rsidRPr="00180D6E">
        <w:rPr>
          <w:rFonts w:hint="eastAsia"/>
          <w:b/>
          <w:bCs/>
          <w:rtl/>
        </w:rPr>
        <w:t>ומעמיקה</w:t>
      </w:r>
      <w:r w:rsidRPr="00180D6E">
        <w:rPr>
          <w:b/>
          <w:bCs/>
          <w:rtl/>
        </w:rPr>
        <w:t xml:space="preserve"> </w:t>
      </w:r>
      <w:r w:rsidRPr="00180D6E">
        <w:rPr>
          <w:rFonts w:hint="eastAsia"/>
          <w:b/>
          <w:bCs/>
          <w:rtl/>
        </w:rPr>
        <w:t>של</w:t>
      </w:r>
      <w:r w:rsidRPr="00180D6E">
        <w:rPr>
          <w:b/>
          <w:bCs/>
          <w:rtl/>
        </w:rPr>
        <w:t xml:space="preserve"> </w:t>
      </w:r>
      <w:r w:rsidRPr="00180D6E">
        <w:rPr>
          <w:rFonts w:hint="eastAsia"/>
          <w:b/>
          <w:bCs/>
          <w:rtl/>
        </w:rPr>
        <w:t>עבודתם</w:t>
      </w:r>
      <w:r w:rsidRPr="00180D6E">
        <w:rPr>
          <w:b/>
          <w:bCs/>
          <w:rtl/>
        </w:rPr>
        <w:t xml:space="preserve"> </w:t>
      </w:r>
      <w:r w:rsidRPr="00180D6E">
        <w:rPr>
          <w:rFonts w:hint="eastAsia"/>
          <w:b/>
          <w:bCs/>
          <w:rtl/>
        </w:rPr>
        <w:t>כדי</w:t>
      </w:r>
      <w:r w:rsidRPr="00180D6E">
        <w:rPr>
          <w:b/>
          <w:bCs/>
          <w:rtl/>
        </w:rPr>
        <w:t xml:space="preserve"> </w:t>
      </w:r>
      <w:r w:rsidRPr="00180D6E">
        <w:rPr>
          <w:rFonts w:hint="eastAsia"/>
          <w:b/>
          <w:bCs/>
          <w:rtl/>
        </w:rPr>
        <w:t>לחזק</w:t>
      </w:r>
      <w:r w:rsidRPr="00180D6E">
        <w:rPr>
          <w:b/>
          <w:bCs/>
          <w:rtl/>
        </w:rPr>
        <w:t xml:space="preserve"> </w:t>
      </w:r>
      <w:r w:rsidRPr="00180D6E">
        <w:rPr>
          <w:rFonts w:hint="eastAsia"/>
          <w:b/>
          <w:bCs/>
          <w:rtl/>
        </w:rPr>
        <w:t>את</w:t>
      </w:r>
      <w:r w:rsidRPr="00180D6E">
        <w:rPr>
          <w:b/>
          <w:bCs/>
          <w:rtl/>
        </w:rPr>
        <w:t xml:space="preserve"> </w:t>
      </w:r>
      <w:r w:rsidRPr="00180D6E">
        <w:rPr>
          <w:rFonts w:hint="eastAsia"/>
          <w:b/>
          <w:bCs/>
          <w:rtl/>
        </w:rPr>
        <w:t>היסודות</w:t>
      </w:r>
      <w:r w:rsidRPr="00180D6E">
        <w:rPr>
          <w:b/>
          <w:bCs/>
          <w:rtl/>
        </w:rPr>
        <w:t xml:space="preserve"> </w:t>
      </w:r>
      <w:r w:rsidRPr="00180D6E">
        <w:rPr>
          <w:rFonts w:hint="eastAsia"/>
          <w:b/>
          <w:bCs/>
          <w:rtl/>
        </w:rPr>
        <w:t>הדמוקרטיים</w:t>
      </w:r>
      <w:r w:rsidRPr="00180D6E">
        <w:rPr>
          <w:b/>
          <w:bCs/>
          <w:rtl/>
        </w:rPr>
        <w:t xml:space="preserve"> </w:t>
      </w:r>
      <w:r w:rsidRPr="00180D6E">
        <w:rPr>
          <w:rFonts w:hint="eastAsia"/>
          <w:b/>
          <w:bCs/>
          <w:rtl/>
        </w:rPr>
        <w:t>שעליהם</w:t>
      </w:r>
      <w:r w:rsidRPr="00180D6E">
        <w:rPr>
          <w:b/>
          <w:bCs/>
          <w:rtl/>
        </w:rPr>
        <w:t xml:space="preserve"> </w:t>
      </w:r>
      <w:r w:rsidRPr="00180D6E">
        <w:rPr>
          <w:rFonts w:hint="eastAsia"/>
          <w:b/>
          <w:bCs/>
          <w:rtl/>
        </w:rPr>
        <w:t>מתבססות</w:t>
      </w:r>
      <w:r w:rsidRPr="00180D6E">
        <w:rPr>
          <w:b/>
          <w:bCs/>
          <w:rtl/>
        </w:rPr>
        <w:t xml:space="preserve"> </w:t>
      </w:r>
      <w:r w:rsidRPr="00180D6E">
        <w:rPr>
          <w:rFonts w:hint="eastAsia"/>
          <w:b/>
          <w:bCs/>
          <w:rtl/>
        </w:rPr>
        <w:t>סמכויות</w:t>
      </w:r>
      <w:r w:rsidRPr="00180D6E">
        <w:rPr>
          <w:b/>
          <w:bCs/>
          <w:rtl/>
        </w:rPr>
        <w:t xml:space="preserve"> </w:t>
      </w:r>
      <w:r w:rsidRPr="00180D6E">
        <w:rPr>
          <w:rFonts w:hint="eastAsia"/>
          <w:b/>
          <w:bCs/>
          <w:rtl/>
        </w:rPr>
        <w:t>המשטרה</w:t>
      </w:r>
      <w:r w:rsidRPr="00180D6E">
        <w:rPr>
          <w:rFonts w:hint="cs"/>
          <w:b/>
          <w:bCs/>
          <w:rtl/>
        </w:rPr>
        <w:t>;</w:t>
      </w:r>
      <w:r w:rsidRPr="00180D6E">
        <w:rPr>
          <w:b/>
          <w:bCs/>
          <w:rtl/>
        </w:rPr>
        <w:t xml:space="preserve"> </w:t>
      </w:r>
      <w:r w:rsidRPr="00180D6E">
        <w:rPr>
          <w:rFonts w:hint="eastAsia"/>
          <w:b/>
          <w:bCs/>
          <w:rtl/>
        </w:rPr>
        <w:t>להגביר</w:t>
      </w:r>
      <w:r w:rsidRPr="00180D6E">
        <w:rPr>
          <w:b/>
          <w:bCs/>
          <w:rtl/>
        </w:rPr>
        <w:t xml:space="preserve"> </w:t>
      </w:r>
      <w:r w:rsidRPr="00180D6E">
        <w:rPr>
          <w:rFonts w:hint="eastAsia"/>
          <w:b/>
          <w:bCs/>
          <w:rtl/>
        </w:rPr>
        <w:t>את</w:t>
      </w:r>
      <w:r w:rsidRPr="00180D6E">
        <w:rPr>
          <w:b/>
          <w:bCs/>
          <w:rtl/>
        </w:rPr>
        <w:t xml:space="preserve"> </w:t>
      </w:r>
      <w:r w:rsidRPr="00180D6E">
        <w:rPr>
          <w:rFonts w:hint="eastAsia"/>
          <w:b/>
          <w:bCs/>
          <w:rtl/>
        </w:rPr>
        <w:t>אמון</w:t>
      </w:r>
      <w:r w:rsidRPr="00180D6E">
        <w:rPr>
          <w:b/>
          <w:bCs/>
          <w:rtl/>
        </w:rPr>
        <w:t xml:space="preserve"> </w:t>
      </w:r>
      <w:r w:rsidRPr="00180D6E">
        <w:rPr>
          <w:rFonts w:hint="eastAsia"/>
          <w:b/>
          <w:bCs/>
          <w:rtl/>
        </w:rPr>
        <w:t>הציבור</w:t>
      </w:r>
      <w:r w:rsidRPr="00180D6E">
        <w:rPr>
          <w:b/>
          <w:bCs/>
          <w:rtl/>
        </w:rPr>
        <w:t xml:space="preserve"> </w:t>
      </w:r>
      <w:r w:rsidRPr="00180D6E">
        <w:rPr>
          <w:rFonts w:hint="eastAsia"/>
          <w:b/>
          <w:bCs/>
          <w:rtl/>
        </w:rPr>
        <w:t>במוסדות</w:t>
      </w:r>
      <w:r w:rsidRPr="00180D6E">
        <w:rPr>
          <w:b/>
          <w:bCs/>
          <w:rtl/>
        </w:rPr>
        <w:t xml:space="preserve"> </w:t>
      </w:r>
      <w:r w:rsidRPr="00180D6E">
        <w:rPr>
          <w:rFonts w:hint="eastAsia"/>
          <w:b/>
          <w:bCs/>
          <w:rtl/>
        </w:rPr>
        <w:t>אלו</w:t>
      </w:r>
      <w:r w:rsidRPr="00180D6E">
        <w:rPr>
          <w:rFonts w:hint="cs"/>
          <w:b/>
          <w:bCs/>
          <w:rtl/>
        </w:rPr>
        <w:t>;</w:t>
      </w:r>
      <w:r w:rsidRPr="00180D6E">
        <w:rPr>
          <w:b/>
          <w:bCs/>
          <w:rtl/>
        </w:rPr>
        <w:t xml:space="preserve"> להוביל לשיפור מערכתי ומקצועי בנושא</w:t>
      </w:r>
      <w:r w:rsidRPr="00180D6E">
        <w:rPr>
          <w:rFonts w:hint="cs"/>
          <w:b/>
          <w:bCs/>
          <w:rtl/>
        </w:rPr>
        <w:t xml:space="preserve">; </w:t>
      </w:r>
      <w:r w:rsidRPr="00180D6E">
        <w:rPr>
          <w:rFonts w:hint="eastAsia"/>
          <w:b/>
          <w:bCs/>
          <w:rtl/>
        </w:rPr>
        <w:t>ולהבטיח</w:t>
      </w:r>
      <w:r w:rsidRPr="00180D6E">
        <w:rPr>
          <w:b/>
          <w:bCs/>
          <w:rtl/>
        </w:rPr>
        <w:t xml:space="preserve"> </w:t>
      </w:r>
      <w:r w:rsidRPr="00180D6E">
        <w:rPr>
          <w:rFonts w:hint="eastAsia"/>
          <w:b/>
          <w:bCs/>
          <w:rtl/>
        </w:rPr>
        <w:t>את</w:t>
      </w:r>
      <w:r w:rsidRPr="00180D6E">
        <w:rPr>
          <w:b/>
          <w:bCs/>
          <w:rtl/>
        </w:rPr>
        <w:t xml:space="preserve"> </w:t>
      </w:r>
      <w:r w:rsidRPr="00180D6E">
        <w:rPr>
          <w:rFonts w:hint="eastAsia"/>
          <w:b/>
          <w:bCs/>
          <w:rtl/>
        </w:rPr>
        <w:t>תקינות</w:t>
      </w:r>
      <w:r w:rsidRPr="00180D6E">
        <w:rPr>
          <w:b/>
          <w:bCs/>
          <w:rtl/>
        </w:rPr>
        <w:t xml:space="preserve"> </w:t>
      </w:r>
      <w:r w:rsidRPr="00180D6E">
        <w:rPr>
          <w:rFonts w:hint="eastAsia"/>
          <w:b/>
          <w:bCs/>
          <w:rtl/>
        </w:rPr>
        <w:t>עבודת</w:t>
      </w:r>
      <w:r w:rsidRPr="00180D6E">
        <w:rPr>
          <w:b/>
          <w:bCs/>
          <w:rtl/>
        </w:rPr>
        <w:t xml:space="preserve"> </w:t>
      </w:r>
      <w:r w:rsidRPr="00180D6E">
        <w:rPr>
          <w:rFonts w:hint="eastAsia"/>
          <w:b/>
          <w:bCs/>
          <w:rtl/>
        </w:rPr>
        <w:t>גורמי</w:t>
      </w:r>
      <w:r w:rsidRPr="00180D6E">
        <w:rPr>
          <w:b/>
          <w:bCs/>
          <w:rtl/>
        </w:rPr>
        <w:t xml:space="preserve"> </w:t>
      </w:r>
      <w:r w:rsidRPr="00180D6E">
        <w:rPr>
          <w:rFonts w:hint="eastAsia"/>
          <w:b/>
          <w:bCs/>
          <w:rtl/>
        </w:rPr>
        <w:t>אכיפת</w:t>
      </w:r>
      <w:r w:rsidRPr="00180D6E">
        <w:rPr>
          <w:b/>
          <w:bCs/>
          <w:rtl/>
        </w:rPr>
        <w:t xml:space="preserve"> </w:t>
      </w:r>
      <w:r w:rsidRPr="00180D6E">
        <w:rPr>
          <w:rFonts w:hint="eastAsia"/>
          <w:b/>
          <w:bCs/>
          <w:rtl/>
        </w:rPr>
        <w:t>החוק</w:t>
      </w:r>
      <w:r w:rsidRPr="00180D6E">
        <w:rPr>
          <w:b/>
          <w:bCs/>
          <w:rtl/>
        </w:rPr>
        <w:t xml:space="preserve"> </w:t>
      </w:r>
      <w:r w:rsidRPr="00180D6E">
        <w:rPr>
          <w:rFonts w:hint="eastAsia"/>
          <w:b/>
          <w:bCs/>
          <w:rtl/>
        </w:rPr>
        <w:t>בבואם</w:t>
      </w:r>
      <w:r w:rsidRPr="00180D6E">
        <w:rPr>
          <w:b/>
          <w:bCs/>
          <w:rtl/>
        </w:rPr>
        <w:t xml:space="preserve"> </w:t>
      </w:r>
      <w:r w:rsidRPr="00180D6E">
        <w:rPr>
          <w:rFonts w:hint="eastAsia"/>
          <w:b/>
          <w:bCs/>
          <w:rtl/>
        </w:rPr>
        <w:t>להשתמש</w:t>
      </w:r>
      <w:r w:rsidRPr="00180D6E">
        <w:rPr>
          <w:b/>
          <w:bCs/>
          <w:rtl/>
        </w:rPr>
        <w:t xml:space="preserve"> </w:t>
      </w:r>
      <w:r w:rsidRPr="00180D6E">
        <w:rPr>
          <w:rFonts w:hint="eastAsia"/>
          <w:b/>
          <w:bCs/>
          <w:rtl/>
        </w:rPr>
        <w:t>בכלים</w:t>
      </w:r>
      <w:r w:rsidRPr="00180D6E">
        <w:rPr>
          <w:b/>
          <w:bCs/>
          <w:rtl/>
        </w:rPr>
        <w:t xml:space="preserve"> </w:t>
      </w:r>
      <w:r w:rsidRPr="00180D6E">
        <w:rPr>
          <w:rFonts w:hint="eastAsia"/>
          <w:b/>
          <w:bCs/>
          <w:rtl/>
        </w:rPr>
        <w:t>טכנולוגיים</w:t>
      </w:r>
      <w:r w:rsidRPr="00180D6E">
        <w:rPr>
          <w:b/>
          <w:bCs/>
          <w:rtl/>
        </w:rPr>
        <w:t xml:space="preserve"> </w:t>
      </w:r>
      <w:r w:rsidRPr="00180D6E">
        <w:rPr>
          <w:rFonts w:hint="eastAsia"/>
          <w:b/>
          <w:bCs/>
          <w:rtl/>
        </w:rPr>
        <w:t>בתחום</w:t>
      </w:r>
      <w:r w:rsidRPr="00180D6E">
        <w:rPr>
          <w:b/>
          <w:bCs/>
          <w:rtl/>
        </w:rPr>
        <w:t xml:space="preserve"> </w:t>
      </w:r>
      <w:r w:rsidRPr="00180D6E">
        <w:rPr>
          <w:rFonts w:hint="eastAsia"/>
          <w:b/>
          <w:bCs/>
          <w:rtl/>
        </w:rPr>
        <w:t>האזנות</w:t>
      </w:r>
      <w:r w:rsidRPr="00180D6E">
        <w:rPr>
          <w:b/>
          <w:bCs/>
          <w:rtl/>
        </w:rPr>
        <w:t xml:space="preserve"> </w:t>
      </w:r>
      <w:r w:rsidRPr="00180D6E">
        <w:rPr>
          <w:rFonts w:hint="eastAsia"/>
          <w:b/>
          <w:bCs/>
          <w:rtl/>
        </w:rPr>
        <w:t>סתר</w:t>
      </w:r>
      <w:r w:rsidRPr="00180D6E">
        <w:rPr>
          <w:b/>
          <w:bCs/>
          <w:rtl/>
        </w:rPr>
        <w:t xml:space="preserve"> </w:t>
      </w:r>
      <w:r w:rsidRPr="00180D6E">
        <w:rPr>
          <w:rFonts w:hint="eastAsia"/>
          <w:b/>
          <w:bCs/>
          <w:rtl/>
        </w:rPr>
        <w:t>ונתוני</w:t>
      </w:r>
      <w:r w:rsidRPr="00180D6E">
        <w:rPr>
          <w:b/>
          <w:bCs/>
          <w:rtl/>
        </w:rPr>
        <w:t xml:space="preserve"> </w:t>
      </w:r>
      <w:r w:rsidRPr="00180D6E">
        <w:rPr>
          <w:rFonts w:hint="eastAsia"/>
          <w:b/>
          <w:bCs/>
          <w:rtl/>
        </w:rPr>
        <w:t>תקשורת</w:t>
      </w:r>
      <w:r w:rsidRPr="00180D6E">
        <w:rPr>
          <w:b/>
          <w:bCs/>
          <w:rtl/>
        </w:rPr>
        <w:t>.</w:t>
      </w:r>
    </w:p>
    <w:p w:rsidR="00180D6E" w:rsidRPr="00180D6E" w:rsidRDefault="00180D6E" w:rsidP="00604C3D">
      <w:pPr>
        <w:spacing w:line="269" w:lineRule="auto"/>
        <w:rPr>
          <w:rtl/>
        </w:rPr>
      </w:pPr>
    </w:p>
    <w:p w:rsidR="00180D6E" w:rsidRPr="00180D6E" w:rsidRDefault="00180D6E" w:rsidP="00604C3D">
      <w:pPr>
        <w:spacing w:line="269" w:lineRule="auto"/>
        <w:rPr>
          <w:b/>
          <w:bCs/>
          <w:rtl/>
        </w:rPr>
      </w:pPr>
      <w:r w:rsidRPr="00180D6E">
        <w:rPr>
          <w:rFonts w:hint="eastAsia"/>
          <w:b/>
          <w:bCs/>
          <w:rtl/>
        </w:rPr>
        <w:t>במ</w:t>
      </w:r>
      <w:r w:rsidRPr="00180D6E">
        <w:rPr>
          <w:rFonts w:hint="cs"/>
          <w:b/>
          <w:bCs/>
          <w:rtl/>
        </w:rPr>
        <w:t>סגרת</w:t>
      </w:r>
      <w:r w:rsidRPr="00180D6E">
        <w:rPr>
          <w:b/>
          <w:bCs/>
          <w:rtl/>
        </w:rPr>
        <w:t xml:space="preserve"> הביקורת נבחנו תהליכי העבודה, מנגנוני הבקרה וההתנהלות המערכתית של המשטרה, גורמי הייעוץ המשפטי ופרקליטות המדינה. הדוח סוקר תהליכים שהתנהלו</w:t>
      </w:r>
      <w:r w:rsidRPr="00180D6E">
        <w:rPr>
          <w:rFonts w:hint="cs"/>
          <w:b/>
          <w:bCs/>
          <w:rtl/>
        </w:rPr>
        <w:t xml:space="preserve"> בגופים אלו</w:t>
      </w:r>
      <w:r w:rsidRPr="00180D6E">
        <w:rPr>
          <w:b/>
          <w:bCs/>
          <w:rtl/>
        </w:rPr>
        <w:t xml:space="preserve"> משנת 2009, </w:t>
      </w:r>
      <w:r w:rsidRPr="00180D6E">
        <w:rPr>
          <w:rFonts w:hint="cs"/>
          <w:b/>
          <w:bCs/>
          <w:rtl/>
        </w:rPr>
        <w:t>תקופה ש</w:t>
      </w:r>
      <w:r w:rsidRPr="00180D6E">
        <w:rPr>
          <w:b/>
          <w:bCs/>
          <w:rtl/>
        </w:rPr>
        <w:t>במהלכ</w:t>
      </w:r>
      <w:r w:rsidRPr="00180D6E">
        <w:rPr>
          <w:rFonts w:hint="cs"/>
          <w:b/>
          <w:bCs/>
          <w:rtl/>
        </w:rPr>
        <w:t>ה</w:t>
      </w:r>
      <w:r w:rsidRPr="00180D6E">
        <w:rPr>
          <w:b/>
          <w:bCs/>
          <w:rtl/>
        </w:rPr>
        <w:t xml:space="preserve"> התחלפו </w:t>
      </w:r>
      <w:r w:rsidRPr="00180D6E">
        <w:rPr>
          <w:rFonts w:hint="cs"/>
          <w:b/>
          <w:bCs/>
          <w:rtl/>
        </w:rPr>
        <w:t xml:space="preserve">בהם </w:t>
      </w:r>
      <w:r w:rsidRPr="00180D6E">
        <w:rPr>
          <w:b/>
          <w:bCs/>
          <w:rtl/>
        </w:rPr>
        <w:t xml:space="preserve">בעלי תפקידים בכירים וזוטרים. הדוח, שכאמור מטרתו </w:t>
      </w:r>
      <w:r w:rsidRPr="00180D6E">
        <w:rPr>
          <w:rFonts w:hint="cs"/>
          <w:b/>
          <w:bCs/>
          <w:rtl/>
        </w:rPr>
        <w:t>לבחון את הנושא באופן מערכתי ומעמיק,</w:t>
      </w:r>
      <w:r w:rsidRPr="00180D6E">
        <w:rPr>
          <w:b/>
          <w:bCs/>
          <w:rtl/>
        </w:rPr>
        <w:t xml:space="preserve"> אינו מתמקד בבעלי תפקידים ספציפיים אלא בליקויים במבנה הארגוני, בתהליכי עבודה, במנגנוני שיתופי הפעולה ובתפקוד המתמשך של הגופים. לפיכך, המלצותיו מבטאות תפיסה זו. </w:t>
      </w:r>
    </w:p>
    <w:p w:rsidR="00180D6E" w:rsidRPr="00180D6E" w:rsidRDefault="00180D6E" w:rsidP="00604C3D">
      <w:pPr>
        <w:spacing w:line="269" w:lineRule="auto"/>
        <w:rPr>
          <w:rtl/>
        </w:rPr>
      </w:pPr>
    </w:p>
    <w:p w:rsidR="00180D6E" w:rsidRPr="00180D6E" w:rsidRDefault="00180D6E" w:rsidP="00604C3D">
      <w:pPr>
        <w:spacing w:line="269" w:lineRule="auto"/>
        <w:rPr>
          <w:b/>
          <w:bCs/>
          <w:rtl/>
        </w:rPr>
      </w:pPr>
      <w:r w:rsidRPr="00180D6E">
        <w:rPr>
          <w:rFonts w:hint="eastAsia"/>
          <w:b/>
          <w:bCs/>
          <w:rtl/>
        </w:rPr>
        <w:t>יודגש</w:t>
      </w:r>
      <w:r w:rsidRPr="00180D6E">
        <w:rPr>
          <w:b/>
          <w:bCs/>
          <w:rtl/>
        </w:rPr>
        <w:t xml:space="preserve"> </w:t>
      </w:r>
      <w:r w:rsidRPr="00180D6E">
        <w:rPr>
          <w:rFonts w:hint="eastAsia"/>
          <w:b/>
          <w:bCs/>
          <w:rtl/>
        </w:rPr>
        <w:t>כי</w:t>
      </w:r>
      <w:r w:rsidRPr="00180D6E">
        <w:rPr>
          <w:b/>
          <w:bCs/>
          <w:rtl/>
        </w:rPr>
        <w:t xml:space="preserve"> </w:t>
      </w:r>
      <w:r w:rsidRPr="00180D6E">
        <w:rPr>
          <w:rFonts w:hint="eastAsia"/>
          <w:b/>
          <w:bCs/>
          <w:rtl/>
        </w:rPr>
        <w:t>אין</w:t>
      </w:r>
      <w:r w:rsidRPr="00180D6E">
        <w:rPr>
          <w:b/>
          <w:bCs/>
          <w:rtl/>
        </w:rPr>
        <w:t xml:space="preserve"> </w:t>
      </w:r>
      <w:r w:rsidRPr="00180D6E">
        <w:rPr>
          <w:rFonts w:hint="eastAsia"/>
          <w:b/>
          <w:bCs/>
          <w:rtl/>
        </w:rPr>
        <w:t>בממצאים</w:t>
      </w:r>
      <w:r w:rsidRPr="00180D6E">
        <w:rPr>
          <w:b/>
          <w:bCs/>
          <w:rtl/>
        </w:rPr>
        <w:t xml:space="preserve"> </w:t>
      </w:r>
      <w:r w:rsidRPr="00180D6E">
        <w:rPr>
          <w:rFonts w:hint="eastAsia"/>
          <w:b/>
          <w:bCs/>
          <w:rtl/>
        </w:rPr>
        <w:t>ובפערים</w:t>
      </w:r>
      <w:r w:rsidRPr="00180D6E">
        <w:rPr>
          <w:b/>
          <w:bCs/>
          <w:rtl/>
        </w:rPr>
        <w:t xml:space="preserve"> </w:t>
      </w:r>
      <w:r w:rsidRPr="00180D6E">
        <w:rPr>
          <w:rFonts w:hint="eastAsia"/>
          <w:b/>
          <w:bCs/>
          <w:rtl/>
        </w:rPr>
        <w:t>שעלו</w:t>
      </w:r>
      <w:r w:rsidRPr="00180D6E">
        <w:rPr>
          <w:b/>
          <w:bCs/>
          <w:rtl/>
        </w:rPr>
        <w:t xml:space="preserve"> </w:t>
      </w:r>
      <w:r w:rsidRPr="00180D6E">
        <w:rPr>
          <w:rFonts w:hint="eastAsia"/>
          <w:b/>
          <w:bCs/>
          <w:rtl/>
        </w:rPr>
        <w:t>בדוח</w:t>
      </w:r>
      <w:r w:rsidRPr="00180D6E">
        <w:rPr>
          <w:b/>
          <w:bCs/>
          <w:rtl/>
        </w:rPr>
        <w:t xml:space="preserve"> </w:t>
      </w:r>
      <w:r w:rsidRPr="00180D6E">
        <w:rPr>
          <w:rFonts w:hint="eastAsia"/>
          <w:b/>
          <w:bCs/>
          <w:rtl/>
        </w:rPr>
        <w:t>הביקורת</w:t>
      </w:r>
      <w:r w:rsidRPr="00180D6E">
        <w:rPr>
          <w:b/>
          <w:bCs/>
          <w:rtl/>
        </w:rPr>
        <w:t xml:space="preserve"> </w:t>
      </w:r>
      <w:r w:rsidRPr="00180D6E">
        <w:rPr>
          <w:rFonts w:hint="eastAsia"/>
          <w:b/>
          <w:bCs/>
          <w:rtl/>
        </w:rPr>
        <w:t>כדי</w:t>
      </w:r>
      <w:r w:rsidRPr="00180D6E">
        <w:rPr>
          <w:b/>
          <w:bCs/>
          <w:rtl/>
        </w:rPr>
        <w:t xml:space="preserve"> </w:t>
      </w:r>
      <w:r w:rsidRPr="00180D6E">
        <w:rPr>
          <w:rFonts w:hint="eastAsia"/>
          <w:b/>
          <w:bCs/>
          <w:rtl/>
        </w:rPr>
        <w:t>להפחית</w:t>
      </w:r>
      <w:r w:rsidRPr="00180D6E">
        <w:rPr>
          <w:b/>
          <w:bCs/>
          <w:rtl/>
        </w:rPr>
        <w:t xml:space="preserve"> </w:t>
      </w:r>
      <w:r w:rsidRPr="00180D6E">
        <w:rPr>
          <w:rFonts w:hint="eastAsia"/>
          <w:b/>
          <w:bCs/>
          <w:rtl/>
        </w:rPr>
        <w:t>מההערכה</w:t>
      </w:r>
      <w:r w:rsidRPr="00180D6E">
        <w:rPr>
          <w:b/>
          <w:bCs/>
          <w:rtl/>
        </w:rPr>
        <w:t xml:space="preserve"> </w:t>
      </w:r>
      <w:r w:rsidRPr="00180D6E">
        <w:rPr>
          <w:rFonts w:hint="eastAsia"/>
          <w:b/>
          <w:bCs/>
          <w:rtl/>
        </w:rPr>
        <w:t>הרבה</w:t>
      </w:r>
      <w:r w:rsidRPr="00180D6E">
        <w:rPr>
          <w:b/>
          <w:bCs/>
          <w:rtl/>
        </w:rPr>
        <w:t xml:space="preserve"> </w:t>
      </w:r>
      <w:r w:rsidRPr="00180D6E">
        <w:rPr>
          <w:rFonts w:hint="eastAsia"/>
          <w:b/>
          <w:bCs/>
          <w:rtl/>
        </w:rPr>
        <w:t>לשוטרי</w:t>
      </w:r>
      <w:r w:rsidRPr="00180D6E">
        <w:rPr>
          <w:b/>
          <w:bCs/>
          <w:rtl/>
        </w:rPr>
        <w:t xml:space="preserve"> </w:t>
      </w:r>
      <w:r w:rsidRPr="00180D6E">
        <w:rPr>
          <w:rFonts w:hint="eastAsia"/>
          <w:b/>
          <w:bCs/>
          <w:rtl/>
        </w:rPr>
        <w:t>משטרת</w:t>
      </w:r>
      <w:r w:rsidRPr="00180D6E">
        <w:rPr>
          <w:b/>
          <w:bCs/>
          <w:rtl/>
        </w:rPr>
        <w:t xml:space="preserve"> </w:t>
      </w:r>
      <w:r w:rsidRPr="00180D6E">
        <w:rPr>
          <w:rFonts w:hint="eastAsia"/>
          <w:b/>
          <w:bCs/>
          <w:rtl/>
        </w:rPr>
        <w:t>ישראל</w:t>
      </w:r>
      <w:r w:rsidRPr="00180D6E">
        <w:rPr>
          <w:b/>
          <w:bCs/>
          <w:rtl/>
        </w:rPr>
        <w:t xml:space="preserve"> </w:t>
      </w:r>
      <w:r w:rsidRPr="00180D6E">
        <w:rPr>
          <w:rFonts w:hint="eastAsia"/>
          <w:b/>
          <w:bCs/>
          <w:rtl/>
        </w:rPr>
        <w:t>ומפקדיה</w:t>
      </w:r>
      <w:r w:rsidRPr="00180D6E">
        <w:rPr>
          <w:b/>
          <w:bCs/>
          <w:rtl/>
        </w:rPr>
        <w:t xml:space="preserve">, </w:t>
      </w:r>
      <w:r w:rsidRPr="00180D6E">
        <w:rPr>
          <w:rFonts w:hint="eastAsia"/>
          <w:b/>
          <w:bCs/>
          <w:rtl/>
        </w:rPr>
        <w:t>הפועלים</w:t>
      </w:r>
      <w:r w:rsidRPr="00180D6E">
        <w:rPr>
          <w:b/>
          <w:bCs/>
          <w:rtl/>
        </w:rPr>
        <w:t xml:space="preserve"> </w:t>
      </w:r>
      <w:r w:rsidRPr="00180D6E">
        <w:rPr>
          <w:rFonts w:hint="eastAsia"/>
          <w:b/>
          <w:bCs/>
          <w:rtl/>
        </w:rPr>
        <w:t>במסירות</w:t>
      </w:r>
      <w:r w:rsidRPr="00180D6E">
        <w:rPr>
          <w:b/>
          <w:bCs/>
          <w:rtl/>
        </w:rPr>
        <w:t xml:space="preserve"> </w:t>
      </w:r>
      <w:r w:rsidRPr="00180D6E">
        <w:rPr>
          <w:rFonts w:hint="eastAsia"/>
          <w:b/>
          <w:bCs/>
          <w:rtl/>
        </w:rPr>
        <w:t>אישית</w:t>
      </w:r>
      <w:r w:rsidRPr="00180D6E">
        <w:rPr>
          <w:b/>
          <w:bCs/>
          <w:rtl/>
        </w:rPr>
        <w:t xml:space="preserve"> </w:t>
      </w:r>
      <w:r w:rsidRPr="00180D6E">
        <w:rPr>
          <w:rFonts w:hint="eastAsia"/>
          <w:b/>
          <w:bCs/>
          <w:rtl/>
        </w:rPr>
        <w:t>ומקצועית</w:t>
      </w:r>
      <w:r w:rsidRPr="00180D6E">
        <w:rPr>
          <w:b/>
          <w:bCs/>
          <w:rtl/>
        </w:rPr>
        <w:t xml:space="preserve">, </w:t>
      </w:r>
      <w:r w:rsidRPr="00180D6E">
        <w:rPr>
          <w:rFonts w:hint="eastAsia"/>
          <w:b/>
          <w:bCs/>
          <w:rtl/>
        </w:rPr>
        <w:t>בכל</w:t>
      </w:r>
      <w:r w:rsidRPr="00180D6E">
        <w:rPr>
          <w:b/>
          <w:bCs/>
          <w:rtl/>
        </w:rPr>
        <w:t xml:space="preserve"> </w:t>
      </w:r>
      <w:r w:rsidRPr="00180D6E">
        <w:rPr>
          <w:rFonts w:hint="eastAsia"/>
          <w:b/>
          <w:bCs/>
          <w:rtl/>
        </w:rPr>
        <w:t>שעות</w:t>
      </w:r>
      <w:r w:rsidRPr="00180D6E">
        <w:rPr>
          <w:b/>
          <w:bCs/>
          <w:rtl/>
        </w:rPr>
        <w:t xml:space="preserve"> </w:t>
      </w:r>
      <w:r w:rsidRPr="00180D6E">
        <w:rPr>
          <w:rFonts w:hint="eastAsia"/>
          <w:b/>
          <w:bCs/>
          <w:rtl/>
        </w:rPr>
        <w:t>היממה</w:t>
      </w:r>
      <w:r w:rsidRPr="00180D6E">
        <w:rPr>
          <w:b/>
          <w:bCs/>
          <w:rtl/>
        </w:rPr>
        <w:t xml:space="preserve"> </w:t>
      </w:r>
      <w:r w:rsidRPr="00180D6E">
        <w:rPr>
          <w:rFonts w:hint="eastAsia"/>
          <w:b/>
          <w:bCs/>
          <w:rtl/>
        </w:rPr>
        <w:t>ובכל</w:t>
      </w:r>
      <w:r w:rsidRPr="00180D6E">
        <w:rPr>
          <w:b/>
          <w:bCs/>
          <w:rtl/>
        </w:rPr>
        <w:t xml:space="preserve"> </w:t>
      </w:r>
      <w:r w:rsidRPr="00180D6E">
        <w:rPr>
          <w:rFonts w:hint="eastAsia"/>
          <w:b/>
          <w:bCs/>
          <w:rtl/>
        </w:rPr>
        <w:t>ימות</w:t>
      </w:r>
      <w:r w:rsidRPr="00180D6E">
        <w:rPr>
          <w:b/>
          <w:bCs/>
          <w:rtl/>
        </w:rPr>
        <w:t xml:space="preserve"> </w:t>
      </w:r>
      <w:r w:rsidRPr="00180D6E">
        <w:rPr>
          <w:rFonts w:hint="eastAsia"/>
          <w:b/>
          <w:bCs/>
          <w:rtl/>
        </w:rPr>
        <w:t>השנה</w:t>
      </w:r>
      <w:r w:rsidRPr="00180D6E">
        <w:rPr>
          <w:b/>
          <w:bCs/>
          <w:rtl/>
        </w:rPr>
        <w:t xml:space="preserve">, </w:t>
      </w:r>
      <w:r w:rsidRPr="00180D6E">
        <w:rPr>
          <w:rFonts w:hint="eastAsia"/>
          <w:b/>
          <w:bCs/>
          <w:rtl/>
        </w:rPr>
        <w:t>לשם</w:t>
      </w:r>
      <w:r w:rsidRPr="00180D6E">
        <w:rPr>
          <w:b/>
          <w:bCs/>
          <w:rtl/>
        </w:rPr>
        <w:t xml:space="preserve"> </w:t>
      </w:r>
      <w:r w:rsidRPr="00180D6E">
        <w:rPr>
          <w:rFonts w:hint="cs"/>
          <w:b/>
          <w:bCs/>
          <w:rtl/>
        </w:rPr>
        <w:t>ה</w:t>
      </w:r>
      <w:r w:rsidRPr="00180D6E">
        <w:rPr>
          <w:rFonts w:hint="eastAsia"/>
          <w:b/>
          <w:bCs/>
          <w:rtl/>
        </w:rPr>
        <w:t>הגנה</w:t>
      </w:r>
      <w:r w:rsidRPr="00180D6E">
        <w:rPr>
          <w:b/>
          <w:bCs/>
          <w:rtl/>
        </w:rPr>
        <w:t xml:space="preserve"> </w:t>
      </w:r>
      <w:r w:rsidRPr="00180D6E">
        <w:rPr>
          <w:rFonts w:hint="eastAsia"/>
          <w:b/>
          <w:bCs/>
          <w:rtl/>
        </w:rPr>
        <w:t>ו</w:t>
      </w:r>
      <w:r w:rsidRPr="00180D6E">
        <w:rPr>
          <w:rFonts w:hint="cs"/>
          <w:b/>
          <w:bCs/>
          <w:rtl/>
        </w:rPr>
        <w:t>ה</w:t>
      </w:r>
      <w:r w:rsidRPr="00180D6E">
        <w:rPr>
          <w:rFonts w:hint="eastAsia"/>
          <w:b/>
          <w:bCs/>
          <w:rtl/>
        </w:rPr>
        <w:t>שמירה</w:t>
      </w:r>
      <w:r w:rsidRPr="00180D6E">
        <w:rPr>
          <w:b/>
          <w:bCs/>
          <w:rtl/>
        </w:rPr>
        <w:t xml:space="preserve"> </w:t>
      </w:r>
      <w:r w:rsidRPr="00180D6E">
        <w:rPr>
          <w:rFonts w:hint="eastAsia"/>
          <w:b/>
          <w:bCs/>
          <w:rtl/>
        </w:rPr>
        <w:t>על</w:t>
      </w:r>
      <w:r w:rsidRPr="00180D6E">
        <w:rPr>
          <w:b/>
          <w:bCs/>
          <w:rtl/>
        </w:rPr>
        <w:t xml:space="preserve"> </w:t>
      </w:r>
      <w:r w:rsidRPr="00180D6E">
        <w:rPr>
          <w:rFonts w:hint="eastAsia"/>
          <w:b/>
          <w:bCs/>
          <w:rtl/>
        </w:rPr>
        <w:t>ביטחון</w:t>
      </w:r>
      <w:r w:rsidRPr="00180D6E">
        <w:rPr>
          <w:b/>
          <w:bCs/>
          <w:rtl/>
        </w:rPr>
        <w:t xml:space="preserve"> </w:t>
      </w:r>
      <w:r w:rsidRPr="00180D6E">
        <w:rPr>
          <w:rFonts w:hint="eastAsia"/>
          <w:b/>
          <w:bCs/>
          <w:rtl/>
        </w:rPr>
        <w:t>אזרחי</w:t>
      </w:r>
      <w:r w:rsidRPr="00180D6E">
        <w:rPr>
          <w:b/>
          <w:bCs/>
          <w:rtl/>
        </w:rPr>
        <w:t xml:space="preserve"> </w:t>
      </w:r>
      <w:r w:rsidRPr="00180D6E">
        <w:rPr>
          <w:rFonts w:hint="eastAsia"/>
          <w:b/>
          <w:bCs/>
          <w:rtl/>
        </w:rPr>
        <w:t>ישראל</w:t>
      </w:r>
      <w:r w:rsidRPr="00180D6E">
        <w:rPr>
          <w:b/>
          <w:bCs/>
          <w:rtl/>
        </w:rPr>
        <w:t xml:space="preserve"> </w:t>
      </w:r>
      <w:r w:rsidRPr="00180D6E">
        <w:rPr>
          <w:rFonts w:hint="eastAsia"/>
          <w:b/>
          <w:bCs/>
          <w:rtl/>
        </w:rPr>
        <w:t>ומדינת</w:t>
      </w:r>
      <w:r w:rsidRPr="00180D6E">
        <w:rPr>
          <w:b/>
          <w:bCs/>
          <w:rtl/>
        </w:rPr>
        <w:t xml:space="preserve"> </w:t>
      </w:r>
      <w:r w:rsidRPr="00180D6E">
        <w:rPr>
          <w:rFonts w:hint="eastAsia"/>
          <w:b/>
          <w:bCs/>
          <w:rtl/>
        </w:rPr>
        <w:t>ישראל</w:t>
      </w:r>
      <w:r w:rsidRPr="00180D6E">
        <w:rPr>
          <w:b/>
          <w:bCs/>
          <w:rtl/>
        </w:rPr>
        <w:t xml:space="preserve"> </w:t>
      </w:r>
      <w:r w:rsidRPr="00180D6E">
        <w:rPr>
          <w:rFonts w:hint="eastAsia"/>
          <w:b/>
          <w:bCs/>
          <w:rtl/>
        </w:rPr>
        <w:t>ולשם</w:t>
      </w:r>
      <w:r w:rsidRPr="00180D6E">
        <w:rPr>
          <w:b/>
          <w:bCs/>
          <w:rtl/>
        </w:rPr>
        <w:t xml:space="preserve"> </w:t>
      </w:r>
      <w:r w:rsidRPr="00180D6E">
        <w:rPr>
          <w:rFonts w:hint="eastAsia"/>
          <w:b/>
          <w:bCs/>
          <w:rtl/>
        </w:rPr>
        <w:t>אכיפת</w:t>
      </w:r>
      <w:r w:rsidRPr="00180D6E">
        <w:rPr>
          <w:b/>
          <w:bCs/>
          <w:rtl/>
        </w:rPr>
        <w:t xml:space="preserve"> </w:t>
      </w:r>
      <w:r w:rsidRPr="00180D6E">
        <w:rPr>
          <w:rFonts w:hint="eastAsia"/>
          <w:b/>
          <w:bCs/>
          <w:rtl/>
        </w:rPr>
        <w:t>החוק</w:t>
      </w:r>
      <w:r w:rsidRPr="00180D6E">
        <w:rPr>
          <w:b/>
          <w:bCs/>
          <w:rtl/>
        </w:rPr>
        <w:t>, ו</w:t>
      </w:r>
      <w:r w:rsidRPr="00180D6E">
        <w:rPr>
          <w:rFonts w:hint="eastAsia"/>
          <w:b/>
          <w:bCs/>
          <w:rtl/>
        </w:rPr>
        <w:t>כן</w:t>
      </w:r>
      <w:r w:rsidRPr="00180D6E">
        <w:rPr>
          <w:b/>
          <w:bCs/>
          <w:rtl/>
        </w:rPr>
        <w:t xml:space="preserve"> </w:t>
      </w:r>
      <w:r w:rsidRPr="00180D6E">
        <w:rPr>
          <w:rFonts w:hint="eastAsia"/>
          <w:b/>
          <w:bCs/>
          <w:rtl/>
        </w:rPr>
        <w:t>לגורמי</w:t>
      </w:r>
      <w:r w:rsidRPr="00180D6E">
        <w:rPr>
          <w:b/>
          <w:bCs/>
          <w:rtl/>
        </w:rPr>
        <w:t xml:space="preserve"> </w:t>
      </w:r>
      <w:r w:rsidRPr="00180D6E">
        <w:rPr>
          <w:rFonts w:hint="eastAsia"/>
          <w:b/>
          <w:bCs/>
          <w:rtl/>
        </w:rPr>
        <w:t>הייעוץ</w:t>
      </w:r>
      <w:r w:rsidRPr="00180D6E">
        <w:rPr>
          <w:b/>
          <w:bCs/>
          <w:rtl/>
        </w:rPr>
        <w:t xml:space="preserve"> </w:t>
      </w:r>
      <w:r w:rsidRPr="00180D6E">
        <w:rPr>
          <w:rFonts w:hint="eastAsia"/>
          <w:b/>
          <w:bCs/>
          <w:rtl/>
        </w:rPr>
        <w:t>המשפטי</w:t>
      </w:r>
      <w:r w:rsidRPr="00180D6E">
        <w:rPr>
          <w:b/>
          <w:bCs/>
          <w:rtl/>
        </w:rPr>
        <w:t xml:space="preserve"> </w:t>
      </w:r>
      <w:r w:rsidRPr="00180D6E">
        <w:rPr>
          <w:rFonts w:hint="eastAsia"/>
          <w:b/>
          <w:bCs/>
          <w:rtl/>
        </w:rPr>
        <w:t>לממשלה</w:t>
      </w:r>
      <w:r w:rsidRPr="00180D6E">
        <w:rPr>
          <w:b/>
          <w:bCs/>
          <w:rtl/>
        </w:rPr>
        <w:t xml:space="preserve"> </w:t>
      </w:r>
      <w:r w:rsidRPr="00180D6E">
        <w:rPr>
          <w:rFonts w:hint="eastAsia"/>
          <w:b/>
          <w:bCs/>
          <w:rtl/>
        </w:rPr>
        <w:t>ופרקליטות</w:t>
      </w:r>
      <w:r w:rsidRPr="00180D6E">
        <w:rPr>
          <w:b/>
          <w:bCs/>
          <w:rtl/>
        </w:rPr>
        <w:t xml:space="preserve"> </w:t>
      </w:r>
      <w:r w:rsidRPr="00180D6E">
        <w:rPr>
          <w:rFonts w:hint="eastAsia"/>
          <w:b/>
          <w:bCs/>
          <w:rtl/>
        </w:rPr>
        <w:t>המדינה</w:t>
      </w:r>
      <w:r w:rsidRPr="00180D6E">
        <w:rPr>
          <w:b/>
          <w:bCs/>
          <w:rtl/>
        </w:rPr>
        <w:t xml:space="preserve"> הפועלים גם הם במסירות ומקצועיות לשם שמירת החוק ואכיפתו. </w:t>
      </w:r>
    </w:p>
    <w:p w:rsidR="00180D6E" w:rsidRPr="00180D6E" w:rsidRDefault="00180D6E" w:rsidP="00604C3D">
      <w:pPr>
        <w:spacing w:line="269" w:lineRule="auto"/>
        <w:rPr>
          <w:rtl/>
        </w:rPr>
      </w:pPr>
    </w:p>
    <w:p w:rsidR="00180D6E" w:rsidRPr="00180D6E" w:rsidRDefault="00180D6E" w:rsidP="00604C3D">
      <w:pPr>
        <w:spacing w:line="269" w:lineRule="auto"/>
        <w:rPr>
          <w:b/>
          <w:bCs/>
          <w:rtl/>
        </w:rPr>
      </w:pPr>
      <w:r w:rsidRPr="00180D6E">
        <w:rPr>
          <w:rFonts w:hint="cs"/>
          <w:b/>
          <w:bCs/>
          <w:rtl/>
        </w:rPr>
        <w:t xml:space="preserve">מבקר המדינה החליט </w:t>
      </w:r>
      <w:r w:rsidRPr="00180D6E">
        <w:rPr>
          <w:b/>
          <w:bCs/>
          <w:rtl/>
        </w:rPr>
        <w:t xml:space="preserve">בדצמבר 2020 לכלול </w:t>
      </w:r>
      <w:r w:rsidRPr="00180D6E">
        <w:rPr>
          <w:rFonts w:hint="cs"/>
          <w:b/>
          <w:bCs/>
          <w:rtl/>
        </w:rPr>
        <w:t>את דוח ביקורת זה, בנושא השימוש של המשטרה בכלים טכנולוגיים לצורכי אכיפה,</w:t>
      </w:r>
      <w:r w:rsidRPr="00180D6E">
        <w:rPr>
          <w:b/>
          <w:bCs/>
          <w:rtl/>
        </w:rPr>
        <w:t xml:space="preserve"> בת</w:t>
      </w:r>
      <w:r w:rsidRPr="00180D6E">
        <w:rPr>
          <w:rFonts w:hint="cs"/>
          <w:b/>
          <w:bCs/>
          <w:rtl/>
        </w:rPr>
        <w:t>ו</w:t>
      </w:r>
      <w:r w:rsidRPr="00180D6E">
        <w:rPr>
          <w:b/>
          <w:bCs/>
          <w:rtl/>
        </w:rPr>
        <w:t xml:space="preserve">כנית העבודה המשרדית לשנת </w:t>
      </w:r>
      <w:r w:rsidRPr="00180D6E">
        <w:rPr>
          <w:rFonts w:hint="cs"/>
          <w:b/>
          <w:bCs/>
          <w:rtl/>
        </w:rPr>
        <w:t xml:space="preserve">2022. כשנה לאחר מכן, ובעקבות פרסומים בתקשורת ולפיהם </w:t>
      </w:r>
      <w:r w:rsidRPr="00180D6E">
        <w:rPr>
          <w:b/>
          <w:bCs/>
          <w:rtl/>
        </w:rPr>
        <w:t xml:space="preserve">המשטרה מבצעת </w:t>
      </w:r>
      <w:r w:rsidRPr="00180D6E">
        <w:rPr>
          <w:rFonts w:hint="cs"/>
          <w:b/>
          <w:bCs/>
          <w:rtl/>
        </w:rPr>
        <w:t>שימוש</w:t>
      </w:r>
      <w:r w:rsidRPr="00180D6E">
        <w:rPr>
          <w:b/>
          <w:bCs/>
          <w:rtl/>
        </w:rPr>
        <w:t xml:space="preserve"> </w:t>
      </w:r>
      <w:r w:rsidRPr="00180D6E">
        <w:rPr>
          <w:rFonts w:hint="cs"/>
          <w:b/>
          <w:bCs/>
          <w:rtl/>
        </w:rPr>
        <w:t xml:space="preserve">בכלי טכנולוגי שבאמצעותו </w:t>
      </w:r>
      <w:r w:rsidRPr="00180D6E">
        <w:rPr>
          <w:b/>
          <w:bCs/>
          <w:rtl/>
        </w:rPr>
        <w:t xml:space="preserve">מתקבל מידע </w:t>
      </w:r>
      <w:r w:rsidRPr="00180D6E">
        <w:rPr>
          <w:rFonts w:hint="cs"/>
          <w:b/>
          <w:bCs/>
          <w:rtl/>
        </w:rPr>
        <w:t>ה</w:t>
      </w:r>
      <w:r w:rsidRPr="00180D6E">
        <w:rPr>
          <w:b/>
          <w:bCs/>
          <w:rtl/>
        </w:rPr>
        <w:t xml:space="preserve">חורג מהמותר </w:t>
      </w:r>
      <w:r w:rsidRPr="00180D6E">
        <w:rPr>
          <w:rFonts w:hint="cs"/>
          <w:b/>
          <w:bCs/>
          <w:rtl/>
        </w:rPr>
        <w:t>על פי חוק האזנות סתר, החליט היועץ המשפטי לממשלה (דאז)</w:t>
      </w:r>
      <w:r w:rsidRPr="00180D6E">
        <w:rPr>
          <w:rFonts w:hint="cs"/>
          <w:b/>
          <w:bCs/>
        </w:rPr>
        <w:t xml:space="preserve"> </w:t>
      </w:r>
      <w:r w:rsidRPr="00180D6E">
        <w:rPr>
          <w:rFonts w:hint="cs"/>
          <w:b/>
          <w:bCs/>
          <w:rtl/>
        </w:rPr>
        <w:t xml:space="preserve">בינואר 2022 </w:t>
      </w:r>
      <w:r w:rsidRPr="00180D6E">
        <w:rPr>
          <w:b/>
          <w:bCs/>
          <w:rtl/>
        </w:rPr>
        <w:t xml:space="preserve">על הקמת צוות בדיקה </w:t>
      </w:r>
      <w:r w:rsidRPr="00180D6E">
        <w:rPr>
          <w:rFonts w:hint="cs"/>
          <w:b/>
          <w:bCs/>
          <w:rtl/>
        </w:rPr>
        <w:t>-</w:t>
      </w:r>
      <w:r w:rsidRPr="00180D6E">
        <w:rPr>
          <w:b/>
          <w:bCs/>
          <w:rtl/>
        </w:rPr>
        <w:t xml:space="preserve"> צוות מררי. כמו כן, באוגוסט 2023 החליטה הממשלה על הקמת ועדת חקירה ממשלתית בר</w:t>
      </w:r>
      <w:r w:rsidRPr="00180D6E">
        <w:rPr>
          <w:rFonts w:hint="cs"/>
          <w:b/>
          <w:bCs/>
          <w:rtl/>
        </w:rPr>
        <w:t>א</w:t>
      </w:r>
      <w:r w:rsidRPr="00180D6E">
        <w:rPr>
          <w:b/>
          <w:bCs/>
          <w:rtl/>
        </w:rPr>
        <w:t xml:space="preserve">שות השופט בדימוס משה דרורי לבדוק את הנושא. </w:t>
      </w:r>
    </w:p>
    <w:p w:rsidR="00180D6E" w:rsidRPr="00180D6E" w:rsidRDefault="00180D6E" w:rsidP="00604C3D">
      <w:pPr>
        <w:spacing w:line="269" w:lineRule="auto"/>
        <w:rPr>
          <w:b/>
          <w:bCs/>
          <w:rtl/>
        </w:rPr>
      </w:pPr>
    </w:p>
    <w:p w:rsidR="00180D6E" w:rsidRPr="00180D6E" w:rsidRDefault="00180D6E" w:rsidP="00604C3D">
      <w:pPr>
        <w:spacing w:line="269" w:lineRule="auto"/>
        <w:rPr>
          <w:b/>
          <w:bCs/>
          <w:rtl/>
        </w:rPr>
      </w:pPr>
      <w:r w:rsidRPr="00180D6E">
        <w:rPr>
          <w:rFonts w:hint="cs"/>
          <w:b/>
          <w:bCs/>
          <w:rtl/>
        </w:rPr>
        <w:t>דוח ביקורת זה מניח נדבכים נוספים שנוגעים לנושא הנבדק אשר לא נבחנו עד הביקורת הנוכחית:</w:t>
      </w:r>
      <w:r w:rsidR="00382AE8">
        <w:rPr>
          <w:rFonts w:hint="cs"/>
          <w:b/>
          <w:bCs/>
          <w:rtl/>
        </w:rPr>
        <w:t xml:space="preserve"> </w:t>
      </w:r>
    </w:p>
    <w:p w:rsidR="00180D6E" w:rsidRPr="00180D6E" w:rsidRDefault="00180D6E" w:rsidP="00604C3D">
      <w:pPr>
        <w:spacing w:line="269" w:lineRule="auto"/>
        <w:rPr>
          <w:b/>
          <w:bCs/>
          <w:rtl/>
        </w:rPr>
      </w:pPr>
    </w:p>
    <w:p w:rsidR="00180D6E" w:rsidRDefault="00180D6E" w:rsidP="008C598D">
      <w:pPr>
        <w:pStyle w:val="af2"/>
        <w:numPr>
          <w:ilvl w:val="0"/>
          <w:numId w:val="59"/>
        </w:numPr>
        <w:spacing w:line="269" w:lineRule="auto"/>
        <w:rPr>
          <w:b/>
          <w:bCs/>
        </w:rPr>
      </w:pPr>
      <w:r w:rsidRPr="009F2D4A">
        <w:rPr>
          <w:rFonts w:hint="cs"/>
          <w:b/>
          <w:bCs/>
          <w:rtl/>
        </w:rPr>
        <w:t xml:space="preserve">נבחנו </w:t>
      </w:r>
      <w:r w:rsidRPr="009F2D4A">
        <w:rPr>
          <w:b/>
          <w:bCs/>
          <w:rtl/>
        </w:rPr>
        <w:t>כלים</w:t>
      </w:r>
      <w:r w:rsidRPr="009F2D4A">
        <w:rPr>
          <w:rFonts w:hint="cs"/>
          <w:b/>
          <w:bCs/>
          <w:rtl/>
        </w:rPr>
        <w:t xml:space="preserve"> טכנולוגיים שלא נבחנו בעבר.</w:t>
      </w:r>
      <w:r w:rsidRPr="009F2D4A">
        <w:rPr>
          <w:b/>
          <w:bCs/>
          <w:rtl/>
        </w:rPr>
        <w:t xml:space="preserve"> </w:t>
      </w:r>
    </w:p>
    <w:p w:rsidR="00703306" w:rsidRPr="009F2D4A" w:rsidRDefault="00703306" w:rsidP="00703306">
      <w:pPr>
        <w:pStyle w:val="af2"/>
        <w:spacing w:line="269" w:lineRule="auto"/>
        <w:ind w:left="340"/>
        <w:rPr>
          <w:b/>
          <w:bCs/>
        </w:rPr>
      </w:pPr>
    </w:p>
    <w:p w:rsidR="00180D6E" w:rsidRDefault="00180D6E" w:rsidP="008C598D">
      <w:pPr>
        <w:pStyle w:val="af2"/>
        <w:numPr>
          <w:ilvl w:val="0"/>
          <w:numId w:val="59"/>
        </w:numPr>
        <w:spacing w:line="269" w:lineRule="auto"/>
        <w:rPr>
          <w:b/>
          <w:bCs/>
        </w:rPr>
      </w:pPr>
      <w:r w:rsidRPr="00180D6E">
        <w:rPr>
          <w:rFonts w:hint="cs"/>
          <w:b/>
          <w:bCs/>
          <w:rtl/>
        </w:rPr>
        <w:t xml:space="preserve">נבדקו הליכי הגשת הבקשות להאזנת סתר או לנתוני תקשורת. </w:t>
      </w:r>
    </w:p>
    <w:p w:rsidR="00703306" w:rsidRPr="00703306" w:rsidRDefault="00703306" w:rsidP="00703306">
      <w:pPr>
        <w:spacing w:line="269" w:lineRule="auto"/>
        <w:rPr>
          <w:b/>
          <w:bCs/>
        </w:rPr>
      </w:pPr>
    </w:p>
    <w:p w:rsidR="00180D6E" w:rsidRDefault="00180D6E" w:rsidP="008C598D">
      <w:pPr>
        <w:pStyle w:val="af2"/>
        <w:numPr>
          <w:ilvl w:val="0"/>
          <w:numId w:val="59"/>
        </w:numPr>
        <w:spacing w:line="269" w:lineRule="auto"/>
        <w:rPr>
          <w:b/>
          <w:bCs/>
        </w:rPr>
      </w:pPr>
      <w:r w:rsidRPr="00180D6E">
        <w:rPr>
          <w:rFonts w:hint="cs"/>
          <w:b/>
          <w:bCs/>
          <w:rtl/>
        </w:rPr>
        <w:t xml:space="preserve">אותרו מקרים נוספים של ביצוע פעולות אסורות בתחומי ההתקנה, השימוש בתוצרים אסורים והפקתם. </w:t>
      </w:r>
    </w:p>
    <w:p w:rsidR="00703306" w:rsidRPr="00703306" w:rsidRDefault="00703306" w:rsidP="00703306">
      <w:pPr>
        <w:spacing w:line="269" w:lineRule="auto"/>
        <w:rPr>
          <w:b/>
          <w:bCs/>
        </w:rPr>
      </w:pPr>
    </w:p>
    <w:p w:rsidR="00180D6E" w:rsidRDefault="00180D6E" w:rsidP="008C598D">
      <w:pPr>
        <w:pStyle w:val="af2"/>
        <w:numPr>
          <w:ilvl w:val="0"/>
          <w:numId w:val="59"/>
        </w:numPr>
        <w:spacing w:line="269" w:lineRule="auto"/>
        <w:rPr>
          <w:b/>
          <w:bCs/>
        </w:rPr>
      </w:pPr>
      <w:r w:rsidRPr="00180D6E">
        <w:rPr>
          <w:rFonts w:hint="cs"/>
          <w:b/>
          <w:bCs/>
          <w:rtl/>
        </w:rPr>
        <w:t>נבדקו הליכי ה</w:t>
      </w:r>
      <w:r w:rsidRPr="00180D6E">
        <w:rPr>
          <w:b/>
          <w:bCs/>
          <w:rtl/>
        </w:rPr>
        <w:t>פיקוח ו</w:t>
      </w:r>
      <w:r w:rsidRPr="00180D6E">
        <w:rPr>
          <w:rFonts w:hint="cs"/>
          <w:b/>
          <w:bCs/>
          <w:rtl/>
        </w:rPr>
        <w:t>ה</w:t>
      </w:r>
      <w:r w:rsidRPr="00180D6E">
        <w:rPr>
          <w:b/>
          <w:bCs/>
          <w:rtl/>
        </w:rPr>
        <w:t xml:space="preserve">בקרה </w:t>
      </w:r>
      <w:r w:rsidRPr="00180D6E">
        <w:rPr>
          <w:rFonts w:hint="cs"/>
          <w:b/>
          <w:bCs/>
          <w:rtl/>
        </w:rPr>
        <w:t>בתחומי האזנות הסתר ונתוני התקשורת</w:t>
      </w:r>
      <w:r w:rsidRPr="00180D6E">
        <w:rPr>
          <w:b/>
          <w:bCs/>
          <w:rtl/>
        </w:rPr>
        <w:t>.</w:t>
      </w:r>
    </w:p>
    <w:p w:rsidR="00703306" w:rsidRPr="00703306" w:rsidRDefault="00703306" w:rsidP="00703306">
      <w:pPr>
        <w:spacing w:line="269" w:lineRule="auto"/>
        <w:rPr>
          <w:b/>
          <w:bCs/>
          <w:rtl/>
        </w:rPr>
      </w:pPr>
    </w:p>
    <w:p w:rsidR="00180D6E" w:rsidRDefault="00180D6E" w:rsidP="008C598D">
      <w:pPr>
        <w:pStyle w:val="af2"/>
        <w:numPr>
          <w:ilvl w:val="0"/>
          <w:numId w:val="59"/>
        </w:numPr>
        <w:spacing w:line="269" w:lineRule="auto"/>
        <w:rPr>
          <w:b/>
          <w:bCs/>
        </w:rPr>
      </w:pPr>
      <w:r w:rsidRPr="00180D6E">
        <w:rPr>
          <w:rFonts w:hint="cs"/>
          <w:b/>
          <w:bCs/>
          <w:rtl/>
        </w:rPr>
        <w:t>נבדקו תהליכי הכנת חוות דעת משפטיות במשטרה ובייעוץ המשפטי לממשלה במשרד המשפטים.</w:t>
      </w:r>
    </w:p>
    <w:p w:rsidR="00703306" w:rsidRPr="00703306" w:rsidRDefault="00703306" w:rsidP="00703306">
      <w:pPr>
        <w:spacing w:line="269" w:lineRule="auto"/>
        <w:rPr>
          <w:b/>
          <w:bCs/>
        </w:rPr>
      </w:pPr>
    </w:p>
    <w:p w:rsidR="00180D6E" w:rsidRDefault="00180D6E" w:rsidP="008C598D">
      <w:pPr>
        <w:pStyle w:val="af2"/>
        <w:numPr>
          <w:ilvl w:val="0"/>
          <w:numId w:val="59"/>
        </w:numPr>
        <w:spacing w:line="269" w:lineRule="auto"/>
        <w:rPr>
          <w:b/>
          <w:bCs/>
        </w:rPr>
      </w:pPr>
      <w:r w:rsidRPr="00180D6E">
        <w:rPr>
          <w:rFonts w:hint="cs"/>
          <w:b/>
          <w:bCs/>
          <w:rtl/>
        </w:rPr>
        <w:t>נבחנו הליכי הסדרה משפטית וחקיקתית של סמכויות המשטרה בתחומי ההתקנה ואיסוף התוצרים.</w:t>
      </w:r>
    </w:p>
    <w:p w:rsidR="00703306" w:rsidRPr="00703306" w:rsidRDefault="00703306" w:rsidP="00703306">
      <w:pPr>
        <w:spacing w:line="269" w:lineRule="auto"/>
        <w:rPr>
          <w:b/>
          <w:bCs/>
        </w:rPr>
      </w:pPr>
    </w:p>
    <w:p w:rsidR="00180D6E" w:rsidRPr="00180D6E" w:rsidRDefault="00180D6E" w:rsidP="008C598D">
      <w:pPr>
        <w:pStyle w:val="af2"/>
        <w:numPr>
          <w:ilvl w:val="0"/>
          <w:numId w:val="59"/>
        </w:numPr>
        <w:spacing w:line="269" w:lineRule="auto"/>
        <w:rPr>
          <w:b/>
          <w:bCs/>
        </w:rPr>
      </w:pPr>
      <w:r w:rsidRPr="00180D6E">
        <w:rPr>
          <w:rFonts w:hint="cs"/>
          <w:b/>
          <w:bCs/>
          <w:rtl/>
        </w:rPr>
        <w:t xml:space="preserve">נבחנו פעולות התקנת כלים טכנולוגיים על מכשירי קצה של יעדי האזנה ופעולות איסוף תוצרי האזנה באמצעות כלים טכנולוגיים. </w:t>
      </w:r>
    </w:p>
    <w:p w:rsidR="00180D6E" w:rsidRPr="00180D6E" w:rsidRDefault="00180D6E" w:rsidP="00604C3D">
      <w:pPr>
        <w:spacing w:line="269" w:lineRule="auto"/>
        <w:rPr>
          <w:rtl/>
        </w:rPr>
      </w:pPr>
    </w:p>
    <w:p w:rsidR="00180D6E" w:rsidRPr="00180D6E" w:rsidRDefault="00180D6E" w:rsidP="00604C3D">
      <w:pPr>
        <w:spacing w:line="269" w:lineRule="auto"/>
        <w:rPr>
          <w:b/>
          <w:bCs/>
          <w:rtl/>
        </w:rPr>
      </w:pPr>
      <w:r w:rsidRPr="00180D6E">
        <w:rPr>
          <w:b/>
          <w:bCs/>
          <w:rtl/>
        </w:rPr>
        <w:t>דוח ביקורת זה העלה עשרות רבות של ממצאי ביקורת יסודיים</w:t>
      </w:r>
      <w:r w:rsidRPr="00180D6E">
        <w:rPr>
          <w:rFonts w:hint="cs"/>
          <w:b/>
          <w:bCs/>
          <w:rtl/>
        </w:rPr>
        <w:t xml:space="preserve"> ומשמעותיים</w:t>
      </w:r>
      <w:r w:rsidRPr="00180D6E">
        <w:rPr>
          <w:b/>
          <w:bCs/>
          <w:rtl/>
        </w:rPr>
        <w:t xml:space="preserve"> בעבודת המשטרה ו</w:t>
      </w:r>
      <w:r w:rsidRPr="00180D6E">
        <w:rPr>
          <w:rFonts w:hint="cs"/>
          <w:b/>
          <w:bCs/>
          <w:rtl/>
        </w:rPr>
        <w:t>הייעוץ המשפטי לממשלה ב</w:t>
      </w:r>
      <w:r w:rsidRPr="00180D6E">
        <w:rPr>
          <w:b/>
          <w:bCs/>
          <w:rtl/>
        </w:rPr>
        <w:t xml:space="preserve">משרד המשפטים. ממצאים אלו וההמלצות </w:t>
      </w:r>
      <w:r w:rsidRPr="00180D6E">
        <w:rPr>
          <w:rFonts w:hint="cs"/>
          <w:b/>
          <w:bCs/>
          <w:rtl/>
        </w:rPr>
        <w:t>הנגזרות מהם</w:t>
      </w:r>
      <w:r w:rsidRPr="00180D6E">
        <w:rPr>
          <w:b/>
          <w:bCs/>
          <w:rtl/>
        </w:rPr>
        <w:t xml:space="preserve"> הובאו באופן מפורט בגוף הדוח ובתקציר. ואולם, ניתן להצביע על </w:t>
      </w:r>
      <w:r w:rsidRPr="00180D6E">
        <w:rPr>
          <w:rFonts w:hint="cs"/>
          <w:b/>
          <w:bCs/>
          <w:rtl/>
        </w:rPr>
        <w:t>כמה</w:t>
      </w:r>
      <w:r w:rsidRPr="00180D6E">
        <w:rPr>
          <w:b/>
          <w:bCs/>
          <w:rtl/>
        </w:rPr>
        <w:t xml:space="preserve"> כשלים ופערים מערכתיים המשליכים ישירות על מושכלות היסוד של האופן </w:t>
      </w:r>
      <w:r w:rsidRPr="00180D6E">
        <w:rPr>
          <w:rFonts w:hint="cs"/>
          <w:b/>
          <w:bCs/>
          <w:rtl/>
        </w:rPr>
        <w:t>ש</w:t>
      </w:r>
      <w:r w:rsidRPr="00180D6E">
        <w:rPr>
          <w:b/>
          <w:bCs/>
          <w:rtl/>
        </w:rPr>
        <w:t>בו גורמי אכיפת החוק מפעילים את כוחם ו</w:t>
      </w:r>
      <w:r w:rsidRPr="00180D6E">
        <w:rPr>
          <w:rFonts w:hint="cs"/>
          <w:b/>
          <w:bCs/>
          <w:rtl/>
        </w:rPr>
        <w:t xml:space="preserve">את </w:t>
      </w:r>
      <w:r w:rsidRPr="00180D6E">
        <w:rPr>
          <w:b/>
          <w:bCs/>
          <w:rtl/>
        </w:rPr>
        <w:t>סמכויותיהם, ועל האיזון הראוי בין חובת המשטרה להיאבק בפשיעה לבין מחויבותה</w:t>
      </w:r>
      <w:r w:rsidR="00382AE8">
        <w:rPr>
          <w:b/>
          <w:bCs/>
          <w:rtl/>
        </w:rPr>
        <w:t xml:space="preserve"> </w:t>
      </w:r>
      <w:r w:rsidRPr="00180D6E">
        <w:rPr>
          <w:rFonts w:hint="cs"/>
          <w:b/>
          <w:bCs/>
          <w:rtl/>
        </w:rPr>
        <w:t>לצמצם ככל הניתן פגיעה בזכות לפרטיות</w:t>
      </w:r>
      <w:r w:rsidRPr="00180D6E">
        <w:rPr>
          <w:b/>
          <w:bCs/>
          <w:rtl/>
        </w:rPr>
        <w:t xml:space="preserve">. להלן עיקרי הפערים המערכתיים: </w:t>
      </w:r>
    </w:p>
    <w:p w:rsidR="00180D6E" w:rsidRPr="00180D6E" w:rsidRDefault="00180D6E" w:rsidP="00604C3D">
      <w:pPr>
        <w:spacing w:line="269" w:lineRule="auto"/>
        <w:rPr>
          <w:b/>
          <w:bCs/>
          <w:rtl/>
        </w:rPr>
      </w:pPr>
    </w:p>
    <w:p w:rsidR="00180D6E" w:rsidRPr="009F2D4A" w:rsidRDefault="00180D6E" w:rsidP="008C598D">
      <w:pPr>
        <w:pStyle w:val="af2"/>
        <w:numPr>
          <w:ilvl w:val="0"/>
          <w:numId w:val="60"/>
        </w:numPr>
        <w:spacing w:line="269" w:lineRule="auto"/>
        <w:rPr>
          <w:b/>
          <w:bCs/>
        </w:rPr>
      </w:pPr>
      <w:bookmarkStart w:id="725" w:name="_Hlk188442637"/>
      <w:r w:rsidRPr="009F2D4A">
        <w:rPr>
          <w:rFonts w:hint="eastAsia"/>
          <w:bCs/>
          <w:rtl/>
        </w:rPr>
        <w:t>היעדר</w:t>
      </w:r>
      <w:r w:rsidRPr="009F2D4A">
        <w:rPr>
          <w:bCs/>
          <w:rtl/>
        </w:rPr>
        <w:t xml:space="preserve"> </w:t>
      </w:r>
      <w:r w:rsidRPr="009F2D4A">
        <w:rPr>
          <w:rFonts w:hint="eastAsia"/>
          <w:bCs/>
          <w:rtl/>
        </w:rPr>
        <w:t>הסדרה</w:t>
      </w:r>
      <w:r w:rsidRPr="009F2D4A">
        <w:rPr>
          <w:bCs/>
          <w:rtl/>
        </w:rPr>
        <w:t xml:space="preserve"> </w:t>
      </w:r>
      <w:r w:rsidRPr="009F2D4A">
        <w:rPr>
          <w:rFonts w:hint="eastAsia"/>
          <w:bCs/>
          <w:rtl/>
        </w:rPr>
        <w:t>חקיקתית</w:t>
      </w:r>
      <w:r w:rsidRPr="009F2D4A">
        <w:rPr>
          <w:bCs/>
          <w:rtl/>
        </w:rPr>
        <w:t xml:space="preserve"> </w:t>
      </w:r>
      <w:r w:rsidRPr="009F2D4A">
        <w:rPr>
          <w:rFonts w:hint="eastAsia"/>
          <w:bCs/>
          <w:rtl/>
        </w:rPr>
        <w:t>ומשפטית</w:t>
      </w:r>
      <w:r w:rsidRPr="009F2D4A">
        <w:rPr>
          <w:bCs/>
          <w:rtl/>
        </w:rPr>
        <w:t>:</w:t>
      </w:r>
      <w:r w:rsidRPr="009F2D4A">
        <w:rPr>
          <w:rFonts w:hint="cs"/>
          <w:b/>
          <w:bCs/>
          <w:rtl/>
        </w:rPr>
        <w:t xml:space="preserve"> </w:t>
      </w:r>
      <w:r w:rsidRPr="009F2D4A">
        <w:rPr>
          <w:b/>
          <w:bCs/>
          <w:rtl/>
        </w:rPr>
        <w:t>שימוש בכלים טכנולוגיים וביצוע פעולות בתחום האזנות הסתר ו</w:t>
      </w:r>
      <w:r w:rsidRPr="009F2D4A">
        <w:rPr>
          <w:rFonts w:hint="cs"/>
          <w:b/>
          <w:bCs/>
          <w:rtl/>
        </w:rPr>
        <w:t>השימוש ב</w:t>
      </w:r>
      <w:r w:rsidRPr="009F2D4A">
        <w:rPr>
          <w:b/>
          <w:bCs/>
          <w:rtl/>
        </w:rPr>
        <w:t>נתוני תקשורת ללא</w:t>
      </w:r>
      <w:r w:rsidRPr="009F2D4A">
        <w:rPr>
          <w:rFonts w:hint="cs"/>
          <w:b/>
          <w:bCs/>
          <w:rtl/>
        </w:rPr>
        <w:t xml:space="preserve"> עיגון הולם של הבסיס החוקי והמשפטי הדרוש לשם כך.</w:t>
      </w:r>
      <w:r w:rsidRPr="009F2D4A">
        <w:rPr>
          <w:b/>
          <w:bCs/>
          <w:rtl/>
        </w:rPr>
        <w:t xml:space="preserve"> </w:t>
      </w:r>
    </w:p>
    <w:p w:rsidR="00180D6E" w:rsidRPr="00180D6E" w:rsidRDefault="00180D6E" w:rsidP="00604C3D">
      <w:pPr>
        <w:spacing w:line="269" w:lineRule="auto"/>
        <w:ind w:left="312"/>
        <w:rPr>
          <w:b/>
          <w:bCs/>
          <w:rtl/>
        </w:rPr>
      </w:pPr>
    </w:p>
    <w:bookmarkEnd w:id="725"/>
    <w:p w:rsidR="00180D6E" w:rsidRPr="00180D6E" w:rsidRDefault="00180D6E" w:rsidP="008C598D">
      <w:pPr>
        <w:pStyle w:val="af2"/>
        <w:numPr>
          <w:ilvl w:val="0"/>
          <w:numId w:val="60"/>
        </w:numPr>
        <w:spacing w:line="269" w:lineRule="auto"/>
        <w:rPr>
          <w:b/>
          <w:bCs/>
        </w:rPr>
      </w:pPr>
      <w:r w:rsidRPr="00180D6E">
        <w:rPr>
          <w:rFonts w:hint="eastAsia"/>
          <w:bCs/>
          <w:rtl/>
        </w:rPr>
        <w:t>ליקויים</w:t>
      </w:r>
      <w:r w:rsidRPr="00180D6E">
        <w:rPr>
          <w:bCs/>
          <w:rtl/>
        </w:rPr>
        <w:t xml:space="preserve"> </w:t>
      </w:r>
      <w:r w:rsidRPr="00180D6E">
        <w:rPr>
          <w:rFonts w:hint="eastAsia"/>
          <w:bCs/>
          <w:rtl/>
        </w:rPr>
        <w:t>בתהליכי</w:t>
      </w:r>
      <w:r w:rsidRPr="00180D6E">
        <w:rPr>
          <w:bCs/>
          <w:rtl/>
        </w:rPr>
        <w:t xml:space="preserve"> </w:t>
      </w:r>
      <w:r w:rsidRPr="00180D6E">
        <w:rPr>
          <w:rFonts w:hint="eastAsia"/>
          <w:bCs/>
          <w:rtl/>
        </w:rPr>
        <w:t>קידום</w:t>
      </w:r>
      <w:r w:rsidRPr="00180D6E">
        <w:rPr>
          <w:bCs/>
          <w:rtl/>
        </w:rPr>
        <w:t xml:space="preserve"> </w:t>
      </w:r>
      <w:r w:rsidRPr="00180D6E">
        <w:rPr>
          <w:rFonts w:hint="eastAsia"/>
          <w:bCs/>
          <w:rtl/>
        </w:rPr>
        <w:t>החקיקה</w:t>
      </w:r>
      <w:r w:rsidRPr="00180D6E">
        <w:rPr>
          <w:bCs/>
          <w:rtl/>
        </w:rPr>
        <w:t>:</w:t>
      </w:r>
      <w:r w:rsidRPr="00180D6E">
        <w:rPr>
          <w:rFonts w:hint="cs"/>
          <w:b/>
          <w:bCs/>
          <w:rtl/>
        </w:rPr>
        <w:t xml:space="preserve"> </w:t>
      </w:r>
      <w:r w:rsidRPr="00180D6E">
        <w:rPr>
          <w:b/>
          <w:bCs/>
          <w:rtl/>
        </w:rPr>
        <w:t xml:space="preserve">חלק מממצאי הדוח מלמדים על עיכובים ממושכים במתן חוות דעת משפטיות ובקידום חקיקה עד להבאתה </w:t>
      </w:r>
      <w:r w:rsidRPr="00180D6E">
        <w:rPr>
          <w:rFonts w:hint="cs"/>
          <w:b/>
          <w:bCs/>
          <w:rtl/>
        </w:rPr>
        <w:t>ל</w:t>
      </w:r>
      <w:r w:rsidRPr="00180D6E">
        <w:rPr>
          <w:b/>
          <w:bCs/>
          <w:rtl/>
        </w:rPr>
        <w:t>פני הרשות המחוקקת. שורש התופעה מצוי בהיעדר הסדרה של תהליכי עבודה: היעדר</w:t>
      </w:r>
      <w:r w:rsidRPr="00180D6E">
        <w:rPr>
          <w:rFonts w:hint="cs"/>
          <w:b/>
          <w:bCs/>
          <w:rtl/>
        </w:rPr>
        <w:t xml:space="preserve"> פעולות</w:t>
      </w:r>
      <w:r w:rsidRPr="00180D6E">
        <w:rPr>
          <w:b/>
          <w:bCs/>
          <w:rtl/>
        </w:rPr>
        <w:t xml:space="preserve"> ניהול </w:t>
      </w:r>
      <w:r w:rsidRPr="00180D6E">
        <w:rPr>
          <w:rFonts w:hint="cs"/>
          <w:b/>
          <w:bCs/>
          <w:rtl/>
        </w:rPr>
        <w:t>יזומות ופעילות</w:t>
      </w:r>
      <w:r w:rsidRPr="00180D6E">
        <w:rPr>
          <w:b/>
          <w:bCs/>
          <w:rtl/>
        </w:rPr>
        <w:t xml:space="preserve"> אצל גורמי הייעוץ המשפטי לממשלה והייעוץ המשפטי למשטרה</w:t>
      </w:r>
      <w:r w:rsidRPr="00180D6E">
        <w:rPr>
          <w:rFonts w:hint="cs"/>
          <w:b/>
          <w:bCs/>
          <w:rtl/>
        </w:rPr>
        <w:t xml:space="preserve"> במקרים המתאימים</w:t>
      </w:r>
      <w:r w:rsidRPr="00180D6E">
        <w:rPr>
          <w:b/>
          <w:bCs/>
          <w:rtl/>
        </w:rPr>
        <w:t>;</w:t>
      </w:r>
      <w:r w:rsidRPr="00180D6E">
        <w:rPr>
          <w:rFonts w:hint="cs"/>
          <w:b/>
          <w:bCs/>
          <w:rtl/>
        </w:rPr>
        <w:t xml:space="preserve"> היעדר קביעת לוחות זמנים להגשת חוות דעת והגשת נוסח לחקיקה וכן</w:t>
      </w:r>
      <w:r w:rsidRPr="00180D6E">
        <w:rPr>
          <w:b/>
          <w:bCs/>
          <w:rtl/>
        </w:rPr>
        <w:t xml:space="preserve"> אי-קיום מעקב אחר </w:t>
      </w:r>
      <w:r w:rsidRPr="00180D6E">
        <w:rPr>
          <w:rFonts w:hint="cs"/>
          <w:b/>
          <w:bCs/>
          <w:rtl/>
        </w:rPr>
        <w:t>פיגורים ב</w:t>
      </w:r>
      <w:r w:rsidRPr="00180D6E">
        <w:rPr>
          <w:b/>
          <w:bCs/>
          <w:rtl/>
        </w:rPr>
        <w:t>לוחות הזמנים לביצוע</w:t>
      </w:r>
      <w:r w:rsidRPr="00180D6E">
        <w:rPr>
          <w:rFonts w:hint="cs"/>
          <w:b/>
          <w:bCs/>
          <w:rtl/>
        </w:rPr>
        <w:t xml:space="preserve"> במקרים הספורים שבהם אלו נקבעו</w:t>
      </w:r>
      <w:bookmarkStart w:id="726" w:name="_Hlk194475234"/>
      <w:r w:rsidRPr="00180D6E">
        <w:rPr>
          <w:b/>
          <w:bCs/>
          <w:rtl/>
        </w:rPr>
        <w:t xml:space="preserve">. </w:t>
      </w:r>
      <w:bookmarkEnd w:id="726"/>
      <w:r w:rsidRPr="00180D6E">
        <w:rPr>
          <w:b/>
          <w:bCs/>
          <w:rtl/>
        </w:rPr>
        <w:t>חשיבות הסדרת תהליכי העבודה של גורמי הייעוץ המשפטי מתגברת ל</w:t>
      </w:r>
      <w:r w:rsidRPr="00180D6E">
        <w:rPr>
          <w:rFonts w:hint="cs"/>
          <w:b/>
          <w:bCs/>
          <w:rtl/>
        </w:rPr>
        <w:t>נוכח</w:t>
      </w:r>
      <w:r w:rsidRPr="00180D6E">
        <w:rPr>
          <w:b/>
          <w:bCs/>
          <w:rtl/>
        </w:rPr>
        <w:t xml:space="preserve"> הפגיעה </w:t>
      </w:r>
      <w:r w:rsidRPr="00180D6E">
        <w:rPr>
          <w:rFonts w:hint="cs"/>
          <w:b/>
          <w:bCs/>
          <w:rtl/>
        </w:rPr>
        <w:t xml:space="preserve">בזכות לפרטיות </w:t>
      </w:r>
      <w:r w:rsidRPr="00180D6E">
        <w:rPr>
          <w:b/>
          <w:bCs/>
          <w:rtl/>
        </w:rPr>
        <w:t xml:space="preserve">הנגרמת במהלך הטיפול בהאזנות סתר, </w:t>
      </w:r>
      <w:r w:rsidRPr="00180D6E">
        <w:rPr>
          <w:rFonts w:hint="cs"/>
          <w:b/>
          <w:bCs/>
          <w:rtl/>
        </w:rPr>
        <w:t>השימוש ב</w:t>
      </w:r>
      <w:r w:rsidRPr="00180D6E">
        <w:rPr>
          <w:b/>
          <w:bCs/>
          <w:rtl/>
        </w:rPr>
        <w:t>נתוני תקשורת ו</w:t>
      </w:r>
      <w:r w:rsidRPr="00180D6E">
        <w:rPr>
          <w:rFonts w:hint="cs"/>
          <w:b/>
          <w:bCs/>
          <w:rtl/>
        </w:rPr>
        <w:t>ה</w:t>
      </w:r>
      <w:r w:rsidRPr="00180D6E">
        <w:rPr>
          <w:b/>
          <w:bCs/>
          <w:rtl/>
        </w:rPr>
        <w:t xml:space="preserve">שימוש בכלים טכנולוגיים. </w:t>
      </w:r>
    </w:p>
    <w:p w:rsidR="00180D6E" w:rsidRPr="00180D6E" w:rsidRDefault="00180D6E" w:rsidP="00604C3D">
      <w:pPr>
        <w:spacing w:line="269" w:lineRule="auto"/>
        <w:ind w:left="312"/>
        <w:rPr>
          <w:b/>
          <w:bCs/>
          <w:rtl/>
        </w:rPr>
      </w:pPr>
    </w:p>
    <w:p w:rsidR="00180D6E" w:rsidRPr="00180D6E" w:rsidRDefault="00180D6E" w:rsidP="008C598D">
      <w:pPr>
        <w:pStyle w:val="af2"/>
        <w:numPr>
          <w:ilvl w:val="0"/>
          <w:numId w:val="60"/>
        </w:numPr>
        <w:spacing w:line="269" w:lineRule="auto"/>
        <w:rPr>
          <w:b/>
          <w:bCs/>
        </w:rPr>
      </w:pPr>
      <w:r w:rsidRPr="00180D6E">
        <w:rPr>
          <w:rFonts w:hint="eastAsia"/>
          <w:bCs/>
          <w:rtl/>
        </w:rPr>
        <w:t>פרקטיקות</w:t>
      </w:r>
      <w:r w:rsidRPr="00180D6E">
        <w:rPr>
          <w:bCs/>
          <w:rtl/>
        </w:rPr>
        <w:t xml:space="preserve"> עבודה שמעוררות קשיים במשטרה:</w:t>
      </w:r>
      <w:r w:rsidRPr="00180D6E">
        <w:rPr>
          <w:rFonts w:hint="cs"/>
          <w:b/>
          <w:bCs/>
          <w:rtl/>
        </w:rPr>
        <w:t xml:space="preserve"> </w:t>
      </w:r>
      <w:r w:rsidRPr="00180D6E">
        <w:rPr>
          <w:b/>
          <w:bCs/>
          <w:rtl/>
        </w:rPr>
        <w:t xml:space="preserve">אימוץ של דרכי פעולה עוקפות לתהליך התקין בשלבי מימוש הסמכויות של המשטרה בתחומים אלו - משלב הגשת הבקשה ועד לשימוש בנתוני התקשורת </w:t>
      </w:r>
      <w:r w:rsidRPr="00180D6E">
        <w:rPr>
          <w:rFonts w:hint="cs"/>
          <w:b/>
          <w:bCs/>
          <w:rtl/>
        </w:rPr>
        <w:t>או ב</w:t>
      </w:r>
      <w:r w:rsidRPr="00180D6E">
        <w:rPr>
          <w:b/>
          <w:bCs/>
          <w:rtl/>
        </w:rPr>
        <w:t xml:space="preserve">תוצרי האזנת הסתר. אלו מפחיתות מן הצורך בקבלת אישורים </w:t>
      </w:r>
      <w:r w:rsidRPr="00180D6E">
        <w:rPr>
          <w:rFonts w:hint="cs"/>
          <w:b/>
          <w:bCs/>
          <w:rtl/>
        </w:rPr>
        <w:t>פנימיים-פיקודיים ב</w:t>
      </w:r>
      <w:r w:rsidRPr="00180D6E">
        <w:rPr>
          <w:b/>
          <w:bCs/>
          <w:rtl/>
        </w:rPr>
        <w:t xml:space="preserve">משטרה, מהפרקליטות, מגורמי הייעוץ המשפטי לממשלה ומבתי המשפט, </w:t>
      </w:r>
      <w:r w:rsidRPr="00180D6E">
        <w:rPr>
          <w:rFonts w:hint="cs"/>
          <w:b/>
          <w:bCs/>
          <w:rtl/>
        </w:rPr>
        <w:t>ומפחיתות</w:t>
      </w:r>
      <w:r w:rsidRPr="00180D6E">
        <w:rPr>
          <w:b/>
          <w:bCs/>
          <w:rtl/>
        </w:rPr>
        <w:t xml:space="preserve"> </w:t>
      </w:r>
      <w:r w:rsidRPr="00180D6E">
        <w:rPr>
          <w:rFonts w:hint="cs"/>
          <w:b/>
          <w:bCs/>
          <w:rtl/>
        </w:rPr>
        <w:t xml:space="preserve">את </w:t>
      </w:r>
      <w:r w:rsidRPr="00180D6E">
        <w:rPr>
          <w:b/>
          <w:bCs/>
          <w:rtl/>
        </w:rPr>
        <w:t>הליכי הבקרה הפנימית והחיצונית על פעולות</w:t>
      </w:r>
      <w:r w:rsidRPr="00180D6E">
        <w:rPr>
          <w:rFonts w:hint="cs"/>
          <w:b/>
          <w:bCs/>
          <w:rtl/>
        </w:rPr>
        <w:t xml:space="preserve"> המשטרה</w:t>
      </w:r>
      <w:r w:rsidRPr="00180D6E">
        <w:rPr>
          <w:b/>
          <w:bCs/>
          <w:rtl/>
        </w:rPr>
        <w:t xml:space="preserve">. </w:t>
      </w:r>
    </w:p>
    <w:p w:rsidR="00180D6E" w:rsidRPr="00180D6E" w:rsidRDefault="00180D6E" w:rsidP="00604C3D">
      <w:pPr>
        <w:spacing w:line="269" w:lineRule="auto"/>
        <w:ind w:left="312"/>
        <w:rPr>
          <w:b/>
          <w:bCs/>
          <w:rtl/>
        </w:rPr>
      </w:pPr>
    </w:p>
    <w:p w:rsidR="00180D6E" w:rsidRPr="00180D6E" w:rsidRDefault="00180D6E" w:rsidP="008C598D">
      <w:pPr>
        <w:pStyle w:val="af2"/>
        <w:numPr>
          <w:ilvl w:val="0"/>
          <w:numId w:val="60"/>
        </w:numPr>
        <w:spacing w:line="269" w:lineRule="auto"/>
        <w:rPr>
          <w:b/>
          <w:bCs/>
        </w:rPr>
      </w:pPr>
      <w:r w:rsidRPr="009F2D4A">
        <w:rPr>
          <w:rFonts w:hint="eastAsia"/>
          <w:b/>
          <w:bCs/>
          <w:rtl/>
        </w:rPr>
        <w:t>קשיים</w:t>
      </w:r>
      <w:r w:rsidRPr="00180D6E">
        <w:rPr>
          <w:bCs/>
          <w:rtl/>
        </w:rPr>
        <w:t xml:space="preserve"> </w:t>
      </w:r>
      <w:r w:rsidRPr="00180D6E">
        <w:rPr>
          <w:rFonts w:hint="eastAsia"/>
          <w:bCs/>
          <w:rtl/>
        </w:rPr>
        <w:t>בממשקי</w:t>
      </w:r>
      <w:r w:rsidRPr="00180D6E">
        <w:rPr>
          <w:bCs/>
          <w:rtl/>
        </w:rPr>
        <w:t xml:space="preserve"> </w:t>
      </w:r>
      <w:r w:rsidRPr="00180D6E">
        <w:rPr>
          <w:rFonts w:hint="eastAsia"/>
          <w:bCs/>
          <w:rtl/>
        </w:rPr>
        <w:t>העבודה</w:t>
      </w:r>
      <w:r w:rsidRPr="00180D6E">
        <w:rPr>
          <w:bCs/>
          <w:rtl/>
        </w:rPr>
        <w:t xml:space="preserve"> </w:t>
      </w:r>
      <w:r w:rsidRPr="00180D6E">
        <w:rPr>
          <w:rFonts w:hint="eastAsia"/>
          <w:bCs/>
          <w:rtl/>
        </w:rPr>
        <w:t>בין</w:t>
      </w:r>
      <w:r w:rsidRPr="00180D6E">
        <w:rPr>
          <w:bCs/>
          <w:rtl/>
        </w:rPr>
        <w:t xml:space="preserve"> </w:t>
      </w:r>
      <w:r w:rsidRPr="00180D6E">
        <w:rPr>
          <w:rFonts w:hint="eastAsia"/>
          <w:bCs/>
          <w:rtl/>
        </w:rPr>
        <w:t>משטרת</w:t>
      </w:r>
      <w:r w:rsidRPr="00180D6E">
        <w:rPr>
          <w:bCs/>
          <w:rtl/>
        </w:rPr>
        <w:t xml:space="preserve"> </w:t>
      </w:r>
      <w:r w:rsidRPr="00180D6E">
        <w:rPr>
          <w:rFonts w:hint="eastAsia"/>
          <w:bCs/>
          <w:rtl/>
        </w:rPr>
        <w:t>ישראל</w:t>
      </w:r>
      <w:r w:rsidRPr="00180D6E">
        <w:rPr>
          <w:bCs/>
          <w:rtl/>
        </w:rPr>
        <w:t xml:space="preserve"> </w:t>
      </w:r>
      <w:r w:rsidRPr="00180D6E">
        <w:rPr>
          <w:rFonts w:hint="eastAsia"/>
          <w:bCs/>
          <w:rtl/>
        </w:rPr>
        <w:t>למשרד</w:t>
      </w:r>
      <w:r w:rsidRPr="00180D6E">
        <w:rPr>
          <w:bCs/>
          <w:rtl/>
        </w:rPr>
        <w:t xml:space="preserve"> </w:t>
      </w:r>
      <w:r w:rsidRPr="00180D6E">
        <w:rPr>
          <w:rFonts w:hint="eastAsia"/>
          <w:bCs/>
          <w:rtl/>
        </w:rPr>
        <w:t>המשפטים</w:t>
      </w:r>
      <w:r w:rsidRPr="00180D6E">
        <w:rPr>
          <w:bCs/>
          <w:rtl/>
        </w:rPr>
        <w:t>:</w:t>
      </w:r>
      <w:r w:rsidRPr="00180D6E">
        <w:rPr>
          <w:rFonts w:hint="cs"/>
          <w:b/>
          <w:bCs/>
          <w:rtl/>
        </w:rPr>
        <w:t xml:space="preserve"> </w:t>
      </w:r>
      <w:r w:rsidRPr="00180D6E">
        <w:rPr>
          <w:b/>
          <w:bCs/>
          <w:rtl/>
        </w:rPr>
        <w:t>חלק מממצאי הדוח נוגעים לשימוש המשטרה בסמכויותיה</w:t>
      </w:r>
      <w:r w:rsidRPr="00180D6E">
        <w:rPr>
          <w:rFonts w:hint="cs"/>
          <w:b/>
          <w:bCs/>
          <w:rtl/>
        </w:rPr>
        <w:t>,</w:t>
      </w:r>
      <w:r w:rsidRPr="00180D6E">
        <w:rPr>
          <w:b/>
          <w:bCs/>
          <w:rtl/>
        </w:rPr>
        <w:t xml:space="preserve"> חלקם נוגעים לליווי המשפטי שניתן על ידי גורמי </w:t>
      </w:r>
      <w:r w:rsidRPr="00180D6E">
        <w:rPr>
          <w:rFonts w:hint="cs"/>
          <w:b/>
          <w:bCs/>
          <w:rtl/>
        </w:rPr>
        <w:t xml:space="preserve">הייעוץ המשפטי לממשלה </w:t>
      </w:r>
      <w:r w:rsidRPr="00180D6E">
        <w:rPr>
          <w:b/>
          <w:bCs/>
          <w:rtl/>
        </w:rPr>
        <w:t>במשרד המשפטים ו</w:t>
      </w:r>
      <w:r w:rsidRPr="00180D6E">
        <w:rPr>
          <w:rFonts w:hint="cs"/>
          <w:b/>
          <w:bCs/>
          <w:rtl/>
        </w:rPr>
        <w:t xml:space="preserve">חלקם נוגעים </w:t>
      </w:r>
      <w:r w:rsidRPr="00180D6E">
        <w:rPr>
          <w:b/>
          <w:bCs/>
          <w:rtl/>
        </w:rPr>
        <w:t xml:space="preserve">לעבודת הפרקליטות. ממצאים אלו כרוכים אלה באלה, שכן ביסודם עומדת חולשה בקשרי הגומלין שקיימו הגופים הללו. חולשה זו באה לידי </w:t>
      </w:r>
      <w:r w:rsidRPr="00180D6E">
        <w:rPr>
          <w:rFonts w:hint="cs"/>
          <w:b/>
          <w:bCs/>
          <w:rtl/>
        </w:rPr>
        <w:t xml:space="preserve">ביטוי </w:t>
      </w:r>
      <w:r w:rsidRPr="00180D6E">
        <w:rPr>
          <w:b/>
          <w:bCs/>
          <w:rtl/>
        </w:rPr>
        <w:t>באי</w:t>
      </w:r>
      <w:r w:rsidRPr="00180D6E">
        <w:rPr>
          <w:rFonts w:hint="cs"/>
          <w:b/>
          <w:bCs/>
          <w:rtl/>
        </w:rPr>
        <w:t>-</w:t>
      </w:r>
      <w:r w:rsidRPr="00180D6E">
        <w:rPr>
          <w:b/>
          <w:bCs/>
          <w:rtl/>
        </w:rPr>
        <w:t>העברת מידע מספק מהמשטרה למשרד המשפטים</w:t>
      </w:r>
      <w:r w:rsidR="00280EE7" w:rsidRPr="00280EE7">
        <w:rPr>
          <w:rFonts w:hint="cs"/>
          <w:b/>
          <w:bCs/>
          <w:sz w:val="22"/>
          <w:szCs w:val="26"/>
          <w:rtl/>
        </w:rPr>
        <w:t xml:space="preserve"> </w:t>
      </w:r>
      <w:r w:rsidRPr="00180D6E">
        <w:rPr>
          <w:b/>
          <w:bCs/>
          <w:rtl/>
        </w:rPr>
        <w:t>מחד</w:t>
      </w:r>
      <w:r w:rsidRPr="00180D6E">
        <w:rPr>
          <w:rFonts w:hint="cs"/>
          <w:b/>
          <w:bCs/>
          <w:rtl/>
        </w:rPr>
        <w:t xml:space="preserve"> גיסא</w:t>
      </w:r>
      <w:r w:rsidRPr="00180D6E">
        <w:rPr>
          <w:b/>
          <w:bCs/>
          <w:rtl/>
        </w:rPr>
        <w:t>, ו</w:t>
      </w:r>
      <w:r w:rsidRPr="00180D6E">
        <w:rPr>
          <w:rFonts w:hint="cs"/>
          <w:b/>
          <w:bCs/>
          <w:rtl/>
        </w:rPr>
        <w:t>ב</w:t>
      </w:r>
      <w:r w:rsidRPr="00180D6E">
        <w:rPr>
          <w:b/>
          <w:bCs/>
          <w:rtl/>
        </w:rPr>
        <w:t xml:space="preserve">היעדר פעולה יזומה של משרד המשפטים </w:t>
      </w:r>
      <w:r w:rsidR="00280EE7">
        <w:rPr>
          <w:rFonts w:hint="cs"/>
          <w:b/>
          <w:bCs/>
          <w:rtl/>
        </w:rPr>
        <w:t>לקבל את המידע על מלוא היכולות של הכלים הטכנולוגיים</w:t>
      </w:r>
      <w:r w:rsidRPr="00180D6E">
        <w:rPr>
          <w:b/>
          <w:bCs/>
          <w:rtl/>
        </w:rPr>
        <w:t xml:space="preserve">, </w:t>
      </w:r>
      <w:bookmarkStart w:id="727" w:name="_Hlk194475307"/>
      <w:r w:rsidRPr="00180D6E">
        <w:rPr>
          <w:b/>
          <w:bCs/>
          <w:rtl/>
        </w:rPr>
        <w:t>מאידך</w:t>
      </w:r>
      <w:bookmarkEnd w:id="727"/>
      <w:r w:rsidRPr="00180D6E">
        <w:rPr>
          <w:rFonts w:hint="cs"/>
          <w:b/>
          <w:bCs/>
          <w:rtl/>
        </w:rPr>
        <w:t xml:space="preserve"> גיסא</w:t>
      </w:r>
      <w:r w:rsidRPr="00180D6E">
        <w:rPr>
          <w:b/>
          <w:bCs/>
          <w:rtl/>
        </w:rPr>
        <w:t xml:space="preserve">. </w:t>
      </w:r>
    </w:p>
    <w:p w:rsidR="00180D6E" w:rsidRPr="00180D6E" w:rsidRDefault="00180D6E" w:rsidP="00604C3D">
      <w:pPr>
        <w:spacing w:line="269" w:lineRule="auto"/>
        <w:ind w:left="312"/>
        <w:rPr>
          <w:b/>
          <w:bCs/>
          <w:rtl/>
        </w:rPr>
      </w:pPr>
    </w:p>
    <w:p w:rsidR="00180D6E" w:rsidRPr="00180D6E" w:rsidRDefault="00180D6E" w:rsidP="008C598D">
      <w:pPr>
        <w:pStyle w:val="af2"/>
        <w:numPr>
          <w:ilvl w:val="0"/>
          <w:numId w:val="60"/>
        </w:numPr>
        <w:spacing w:line="269" w:lineRule="auto"/>
        <w:rPr>
          <w:b/>
          <w:bCs/>
          <w:rtl/>
        </w:rPr>
      </w:pPr>
      <w:r w:rsidRPr="00180D6E">
        <w:rPr>
          <w:rFonts w:hint="eastAsia"/>
          <w:bCs/>
          <w:rtl/>
        </w:rPr>
        <w:t>חולשה</w:t>
      </w:r>
      <w:r w:rsidRPr="00180D6E">
        <w:rPr>
          <w:bCs/>
          <w:rtl/>
        </w:rPr>
        <w:t xml:space="preserve"> </w:t>
      </w:r>
      <w:r w:rsidRPr="00180D6E">
        <w:rPr>
          <w:rFonts w:hint="eastAsia"/>
          <w:bCs/>
          <w:rtl/>
        </w:rPr>
        <w:t>מקצועית</w:t>
      </w:r>
      <w:r w:rsidRPr="00180D6E">
        <w:rPr>
          <w:bCs/>
          <w:rtl/>
        </w:rPr>
        <w:t xml:space="preserve"> </w:t>
      </w:r>
      <w:r w:rsidRPr="00180D6E">
        <w:rPr>
          <w:rFonts w:hint="eastAsia"/>
          <w:bCs/>
          <w:rtl/>
        </w:rPr>
        <w:t>בתחומי</w:t>
      </w:r>
      <w:r w:rsidRPr="00180D6E">
        <w:rPr>
          <w:bCs/>
          <w:rtl/>
        </w:rPr>
        <w:t xml:space="preserve"> </w:t>
      </w:r>
      <w:r w:rsidRPr="00180D6E">
        <w:rPr>
          <w:rFonts w:hint="eastAsia"/>
          <w:bCs/>
          <w:rtl/>
        </w:rPr>
        <w:t>הטכנולוגיה</w:t>
      </w:r>
      <w:r w:rsidRPr="00180D6E">
        <w:rPr>
          <w:bCs/>
          <w:rtl/>
        </w:rPr>
        <w:t xml:space="preserve"> </w:t>
      </w:r>
      <w:r w:rsidRPr="00180D6E">
        <w:rPr>
          <w:rFonts w:hint="eastAsia"/>
          <w:bCs/>
          <w:rtl/>
        </w:rPr>
        <w:t>והמשפט</w:t>
      </w:r>
      <w:r w:rsidRPr="00180D6E">
        <w:rPr>
          <w:bCs/>
          <w:rtl/>
        </w:rPr>
        <w:t>:</w:t>
      </w:r>
      <w:r w:rsidRPr="00180D6E">
        <w:rPr>
          <w:rFonts w:hint="cs"/>
          <w:b/>
          <w:bCs/>
          <w:rtl/>
        </w:rPr>
        <w:t xml:space="preserve"> </w:t>
      </w:r>
      <w:r w:rsidRPr="00180D6E">
        <w:rPr>
          <w:b/>
          <w:bCs/>
          <w:rtl/>
        </w:rPr>
        <w:t xml:space="preserve">ביסוד חלק ניכר מממצאי הדוח עומדת חולשה מקצועית הנובעת מהיעדר כוח אדם בעל המומחיות המיוחדת הנדרשת לגורמי הייעוץ המשפטי לממשלה, הפרקליטות, הייעוץ המשפטי למשטרה ולחטיבת הסייבר, לטיפול בתחומים שבלב הדוח. המומחיות המיוחדת נשענת על תשתית מקצועית דואלית: משפטית וטכנולוגית, המחייבת הכשרה פורמלית ומעשית המתבצעת באופן רציף וממושך. </w:t>
      </w:r>
    </w:p>
    <w:p w:rsidR="00180D6E" w:rsidRPr="00180D6E" w:rsidRDefault="00180D6E" w:rsidP="00604C3D">
      <w:pPr>
        <w:spacing w:line="269" w:lineRule="auto"/>
        <w:rPr>
          <w:b/>
          <w:bCs/>
          <w:rtl/>
        </w:rPr>
      </w:pPr>
    </w:p>
    <w:p w:rsidR="00180D6E" w:rsidRPr="00180D6E" w:rsidRDefault="00180D6E" w:rsidP="00604C3D">
      <w:pPr>
        <w:spacing w:line="269" w:lineRule="auto"/>
        <w:rPr>
          <w:b/>
          <w:bCs/>
          <w:rtl/>
        </w:rPr>
      </w:pPr>
      <w:r w:rsidRPr="00180D6E">
        <w:rPr>
          <w:rFonts w:hint="eastAsia"/>
          <w:b/>
          <w:bCs/>
          <w:rtl/>
        </w:rPr>
        <w:t>במועד</w:t>
      </w:r>
      <w:r w:rsidRPr="00180D6E">
        <w:rPr>
          <w:b/>
          <w:bCs/>
          <w:rtl/>
        </w:rPr>
        <w:t xml:space="preserve"> </w:t>
      </w:r>
      <w:r w:rsidRPr="00180D6E">
        <w:rPr>
          <w:rFonts w:hint="cs"/>
          <w:b/>
          <w:bCs/>
          <w:rtl/>
        </w:rPr>
        <w:t>ש</w:t>
      </w:r>
      <w:r w:rsidRPr="00180D6E">
        <w:rPr>
          <w:b/>
          <w:bCs/>
          <w:rtl/>
        </w:rPr>
        <w:t xml:space="preserve">בו מתפרסם הדוח מדינת ישראל </w:t>
      </w:r>
      <w:r w:rsidR="00086726" w:rsidRPr="00086726">
        <w:rPr>
          <w:rFonts w:hint="cs"/>
          <w:b/>
          <w:bCs/>
          <w:rtl/>
        </w:rPr>
        <w:t>מתמודדת עם אתגרי פשיעה מורכבים, עם איומים ביטחוניים</w:t>
      </w:r>
      <w:r w:rsidRPr="00180D6E">
        <w:rPr>
          <w:b/>
          <w:bCs/>
          <w:rtl/>
        </w:rPr>
        <w:t>, וב</w:t>
      </w:r>
      <w:r w:rsidRPr="00180D6E">
        <w:rPr>
          <w:rFonts w:hint="cs"/>
          <w:b/>
          <w:bCs/>
          <w:rtl/>
        </w:rPr>
        <w:t>ו-זמנית</w:t>
      </w:r>
      <w:r w:rsidRPr="00180D6E">
        <w:rPr>
          <w:b/>
          <w:bCs/>
          <w:rtl/>
        </w:rPr>
        <w:t xml:space="preserve"> סוגיות אזרחיות שונות נמצאות במחלוקת קשה בתוך החברה הישראלית, לרבות בנושאי מערכת האכיפה ומערכת המשפט. תפקידו של דוח ביקורת זה הוא להאיר את המורכבות שבשימוש בכלים הטכנולוגיים ולהעיר על פערים שנמצאו ודורשים טיפול בפעילות המשטרה ומשרד המשפטים. בזיקה לכך נודעת חשיבות לתובנה </w:t>
      </w:r>
      <w:r w:rsidRPr="00180D6E">
        <w:rPr>
          <w:rFonts w:hint="cs"/>
          <w:b/>
          <w:bCs/>
          <w:rtl/>
        </w:rPr>
        <w:t>ו</w:t>
      </w:r>
      <w:r w:rsidRPr="00180D6E">
        <w:rPr>
          <w:b/>
          <w:bCs/>
          <w:rtl/>
        </w:rPr>
        <w:t>לפיה תכליתו של מסמך זה הוא תיקון, שיפור וטיוב המערכים התפקודיים העוסקים בתחום</w:t>
      </w:r>
      <w:r w:rsidRPr="00180D6E">
        <w:rPr>
          <w:rFonts w:hint="cs"/>
          <w:b/>
          <w:bCs/>
          <w:rtl/>
        </w:rPr>
        <w:t>,</w:t>
      </w:r>
      <w:r w:rsidRPr="00180D6E">
        <w:rPr>
          <w:b/>
          <w:bCs/>
          <w:rtl/>
        </w:rPr>
        <w:t xml:space="preserve"> ו</w:t>
      </w:r>
      <w:r w:rsidRPr="00180D6E">
        <w:rPr>
          <w:rFonts w:hint="cs"/>
          <w:b/>
          <w:bCs/>
          <w:rtl/>
        </w:rPr>
        <w:t>בכך</w:t>
      </w:r>
      <w:r w:rsidRPr="00180D6E">
        <w:rPr>
          <w:b/>
          <w:bCs/>
          <w:rtl/>
        </w:rPr>
        <w:t xml:space="preserve"> להביא לחיזוק בתפקודם ובמעמדם של גופי אכיפת החוק ושומרי הסף שנושאים לאורך שנים בתפקיד מרכזי וחשוב בחברה הישראלי</w:t>
      </w:r>
      <w:r w:rsidRPr="00180D6E">
        <w:rPr>
          <w:rFonts w:hint="cs"/>
          <w:b/>
          <w:bCs/>
          <w:rtl/>
        </w:rPr>
        <w:t xml:space="preserve">ת. </w:t>
      </w:r>
      <w:r w:rsidRPr="00180D6E">
        <w:rPr>
          <w:b/>
          <w:bCs/>
          <w:rtl/>
        </w:rPr>
        <w:t>יישום תובנה זו הלכה למעשה יבטיח את חיזוק יכולתה של המשטרה למלא את תפקידה בתחום המאבק בפשיעה תוך שמירה על ריסון כוחה ו</w:t>
      </w:r>
      <w:r w:rsidRPr="00180D6E">
        <w:rPr>
          <w:rFonts w:hint="cs"/>
          <w:b/>
          <w:bCs/>
          <w:rtl/>
        </w:rPr>
        <w:t xml:space="preserve">על </w:t>
      </w:r>
      <w:r w:rsidRPr="00180D6E">
        <w:rPr>
          <w:b/>
          <w:bCs/>
          <w:rtl/>
        </w:rPr>
        <w:t>זכויות הפרט וכן יגביר את יכולותיה</w:t>
      </w:r>
      <w:r w:rsidRPr="00180D6E">
        <w:rPr>
          <w:rFonts w:hint="cs"/>
          <w:b/>
          <w:bCs/>
          <w:rtl/>
        </w:rPr>
        <w:t>ם</w:t>
      </w:r>
      <w:r w:rsidRPr="00180D6E">
        <w:rPr>
          <w:b/>
          <w:bCs/>
          <w:rtl/>
        </w:rPr>
        <w:t xml:space="preserve"> של </w:t>
      </w:r>
      <w:r w:rsidRPr="00180D6E">
        <w:rPr>
          <w:rFonts w:hint="cs"/>
          <w:b/>
          <w:bCs/>
          <w:rtl/>
        </w:rPr>
        <w:t>ה</w:t>
      </w:r>
      <w:r w:rsidRPr="00180D6E">
        <w:rPr>
          <w:b/>
          <w:bCs/>
          <w:rtl/>
        </w:rPr>
        <w:t>פרקליטות ו</w:t>
      </w:r>
      <w:r w:rsidRPr="00180D6E">
        <w:rPr>
          <w:rFonts w:hint="cs"/>
          <w:b/>
          <w:bCs/>
          <w:rtl/>
        </w:rPr>
        <w:t xml:space="preserve">גורמי </w:t>
      </w:r>
      <w:r w:rsidRPr="00180D6E">
        <w:rPr>
          <w:b/>
          <w:bCs/>
          <w:rtl/>
        </w:rPr>
        <w:t>הייעוץ המשפטי לממשלה לפקח על עבודת המשטרה בתחום זה.</w:t>
      </w:r>
      <w:r w:rsidR="00382AE8">
        <w:rPr>
          <w:b/>
          <w:bCs/>
          <w:rtl/>
        </w:rPr>
        <w:t xml:space="preserve"> </w:t>
      </w:r>
    </w:p>
    <w:p w:rsidR="00180D6E" w:rsidRPr="00180D6E" w:rsidRDefault="00180D6E" w:rsidP="00604C3D">
      <w:pPr>
        <w:spacing w:line="269" w:lineRule="auto"/>
        <w:rPr>
          <w:b/>
          <w:bCs/>
          <w:rtl/>
        </w:rPr>
      </w:pPr>
    </w:p>
    <w:p w:rsidR="00180D6E" w:rsidRPr="00180D6E" w:rsidRDefault="00180D6E" w:rsidP="00604C3D">
      <w:pPr>
        <w:spacing w:line="269" w:lineRule="auto"/>
        <w:rPr>
          <w:b/>
          <w:bCs/>
          <w:rtl/>
        </w:rPr>
      </w:pPr>
      <w:r w:rsidRPr="00180D6E">
        <w:rPr>
          <w:b/>
          <w:bCs/>
          <w:rtl/>
        </w:rPr>
        <w:t xml:space="preserve">על </w:t>
      </w:r>
      <w:r w:rsidRPr="00180D6E">
        <w:rPr>
          <w:rFonts w:hint="cs"/>
          <w:b/>
          <w:bCs/>
          <w:rtl/>
        </w:rPr>
        <w:t>שר המשפטים, השר לביטחון לאומי, היועצת המשפטית</w:t>
      </w:r>
      <w:r w:rsidRPr="00180D6E">
        <w:rPr>
          <w:b/>
          <w:bCs/>
          <w:rtl/>
        </w:rPr>
        <w:t xml:space="preserve"> לממשלה, פרקליט המדינה, מפכ"ל המשטרה וראש אגף חקירות ומודיעין להבטיח את תיקון הליקויים העולים בדוח זה</w:t>
      </w:r>
      <w:r w:rsidRPr="00180D6E">
        <w:rPr>
          <w:rFonts w:hint="cs"/>
          <w:b/>
          <w:bCs/>
          <w:rtl/>
        </w:rPr>
        <w:t>. תיקון הליקויים ישרת הן את המשטרה, הן את משרד המשפטים ומעל הכול - את אזרחי מדינת ישראל</w:t>
      </w:r>
      <w:r w:rsidRPr="00180D6E">
        <w:rPr>
          <w:b/>
          <w:bCs/>
          <w:rtl/>
        </w:rPr>
        <w:t>.</w:t>
      </w:r>
    </w:p>
    <w:bookmarkEnd w:id="5"/>
    <w:p w:rsidR="00180D6E" w:rsidRPr="00180D6E" w:rsidRDefault="00180D6E" w:rsidP="00604C3D">
      <w:pPr>
        <w:spacing w:line="269" w:lineRule="auto"/>
        <w:rPr>
          <w:rtl/>
        </w:rPr>
      </w:pPr>
    </w:p>
    <w:sectPr w:rsidR="00180D6E" w:rsidRPr="00180D6E" w:rsidSect="007B0569">
      <w:headerReference w:type="even" r:id="rId36"/>
      <w:headerReference w:type="default" r:id="rId37"/>
      <w:headerReference w:type="first" r:id="rId38"/>
      <w:type w:val="continuous"/>
      <w:pgSz w:w="11906" w:h="16838"/>
      <w:pgMar w:top="1962"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BAE" w:rsidRDefault="00054BAE" w:rsidP="00C23CC9">
      <w:pPr>
        <w:spacing w:line="240" w:lineRule="auto"/>
      </w:pPr>
      <w:r>
        <w:separator/>
      </w:r>
    </w:p>
  </w:endnote>
  <w:endnote w:type="continuationSeparator" w:id="0">
    <w:p w:rsidR="00054BAE" w:rsidRDefault="00054BAE"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t_font.4.6">
    <w:altName w:val="MS Gothic"/>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Ruehl">
    <w:altName w:val="Arial"/>
    <w:charset w:val="B1"/>
    <w:family w:val="swiss"/>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BAE" w:rsidRDefault="00054BAE" w:rsidP="00C23CC9">
      <w:pPr>
        <w:spacing w:line="240" w:lineRule="auto"/>
      </w:pPr>
      <w:r>
        <w:separator/>
      </w:r>
    </w:p>
  </w:footnote>
  <w:footnote w:type="continuationSeparator" w:id="0">
    <w:p w:rsidR="00054BAE" w:rsidRDefault="00054BAE" w:rsidP="00C23CC9">
      <w:pPr>
        <w:spacing w:line="240" w:lineRule="auto"/>
      </w:pPr>
      <w:r>
        <w:continuationSeparator/>
      </w:r>
    </w:p>
  </w:footnote>
  <w:footnote w:id="1">
    <w:p w:rsidR="00172C0A" w:rsidRDefault="00172C0A" w:rsidP="00AE4E90">
      <w:pPr>
        <w:pStyle w:val="ad"/>
        <w:ind w:left="282" w:hanging="567"/>
      </w:pPr>
      <w:r>
        <w:rPr>
          <w:rStyle w:val="af"/>
        </w:rPr>
        <w:footnoteRef/>
      </w:r>
      <w:r>
        <w:rPr>
          <w:rtl/>
        </w:rPr>
        <w:t xml:space="preserve"> </w:t>
      </w:r>
      <w:r>
        <w:rPr>
          <w:rtl/>
        </w:rPr>
        <w:tab/>
      </w:r>
      <w:r>
        <w:rPr>
          <w:rFonts w:hint="cs"/>
          <w:rtl/>
        </w:rPr>
        <w:t xml:space="preserve">בהתאם להסבר המשטרה בנושא זה. </w:t>
      </w:r>
    </w:p>
  </w:footnote>
  <w:footnote w:id="2">
    <w:p w:rsidR="00172C0A" w:rsidRDefault="00172C0A" w:rsidP="00AE4E90">
      <w:pPr>
        <w:pStyle w:val="ad"/>
        <w:ind w:left="282" w:hanging="567"/>
        <w:rPr>
          <w:rtl/>
        </w:rPr>
      </w:pPr>
      <w:r>
        <w:rPr>
          <w:rStyle w:val="af"/>
        </w:rPr>
        <w:footnoteRef/>
      </w:r>
      <w:r>
        <w:rPr>
          <w:rtl/>
        </w:rPr>
        <w:t xml:space="preserve"> </w:t>
      </w:r>
      <w:r>
        <w:rPr>
          <w:rtl/>
        </w:rPr>
        <w:tab/>
      </w:r>
      <w:r>
        <w:rPr>
          <w:rFonts w:hint="cs"/>
          <w:rtl/>
        </w:rPr>
        <w:t xml:space="preserve">בין היתר, סעיף 56 לפקודת הראיות. </w:t>
      </w:r>
    </w:p>
  </w:footnote>
  <w:footnote w:id="3">
    <w:p w:rsidR="00172C0A" w:rsidRDefault="00172C0A" w:rsidP="00AE4E90">
      <w:pPr>
        <w:pStyle w:val="ad"/>
        <w:ind w:left="282" w:hanging="567"/>
      </w:pPr>
      <w:r>
        <w:rPr>
          <w:rStyle w:val="af"/>
        </w:rPr>
        <w:footnoteRef/>
      </w:r>
      <w:r>
        <w:rPr>
          <w:rtl/>
        </w:rPr>
        <w:t xml:space="preserve"> </w:t>
      </w:r>
      <w:r>
        <w:rPr>
          <w:rtl/>
        </w:rPr>
        <w:tab/>
      </w:r>
      <w:r>
        <w:rPr>
          <w:rFonts w:hint="cs"/>
          <w:rtl/>
        </w:rPr>
        <w:t xml:space="preserve">בין היתר, פרק 7 להנחיות פרקליט המדינה בנושא עדויות וראיות: הנחית פרקליט 7.9 </w:t>
      </w:r>
      <w:r w:rsidRPr="001C5C02">
        <w:rPr>
          <w:rFonts w:hint="eastAsia"/>
          <w:b/>
          <w:bCs/>
          <w:rtl/>
        </w:rPr>
        <w:t>שימוש</w:t>
      </w:r>
      <w:r w:rsidRPr="001C5C02">
        <w:rPr>
          <w:b/>
          <w:bCs/>
          <w:rtl/>
        </w:rPr>
        <w:t xml:space="preserve"> </w:t>
      </w:r>
      <w:r w:rsidRPr="001C5C02">
        <w:rPr>
          <w:rFonts w:hint="eastAsia"/>
          <w:b/>
          <w:bCs/>
          <w:rtl/>
        </w:rPr>
        <w:t>בראיות</w:t>
      </w:r>
      <w:r w:rsidRPr="001C5C02">
        <w:rPr>
          <w:b/>
          <w:bCs/>
          <w:rtl/>
        </w:rPr>
        <w:t xml:space="preserve"> </w:t>
      </w:r>
      <w:r w:rsidRPr="001C5C02">
        <w:rPr>
          <w:rFonts w:hint="eastAsia"/>
          <w:b/>
          <w:bCs/>
          <w:rtl/>
        </w:rPr>
        <w:t>לא</w:t>
      </w:r>
      <w:r w:rsidRPr="001C5C02">
        <w:rPr>
          <w:b/>
          <w:bCs/>
          <w:rtl/>
        </w:rPr>
        <w:t xml:space="preserve"> </w:t>
      </w:r>
      <w:r w:rsidRPr="001C5C02">
        <w:rPr>
          <w:rFonts w:hint="eastAsia"/>
          <w:b/>
          <w:bCs/>
          <w:rtl/>
        </w:rPr>
        <w:t>קבילות</w:t>
      </w:r>
      <w:r w:rsidRPr="001C5C02">
        <w:rPr>
          <w:b/>
          <w:bCs/>
          <w:rtl/>
        </w:rPr>
        <w:t xml:space="preserve"> </w:t>
      </w:r>
      <w:r w:rsidRPr="001C5C02">
        <w:rPr>
          <w:rFonts w:hint="eastAsia"/>
          <w:b/>
          <w:bCs/>
          <w:rtl/>
        </w:rPr>
        <w:t>במשפט</w:t>
      </w:r>
      <w:r w:rsidRPr="001C5C02">
        <w:rPr>
          <w:b/>
          <w:bCs/>
          <w:rtl/>
        </w:rPr>
        <w:t xml:space="preserve"> </w:t>
      </w:r>
      <w:r w:rsidRPr="001C5C02">
        <w:rPr>
          <w:rFonts w:hint="eastAsia"/>
          <w:b/>
          <w:bCs/>
          <w:rtl/>
        </w:rPr>
        <w:t>הפלילי</w:t>
      </w:r>
      <w:r>
        <w:rPr>
          <w:rFonts w:hint="cs"/>
          <w:rtl/>
        </w:rPr>
        <w:t xml:space="preserve">, עודכן ביום 7.4.19; הנחית פרקליט 7.4 </w:t>
      </w:r>
      <w:r w:rsidRPr="001C5C02">
        <w:rPr>
          <w:rFonts w:hint="eastAsia"/>
          <w:b/>
          <w:bCs/>
          <w:rtl/>
        </w:rPr>
        <w:t>הקשבה</w:t>
      </w:r>
      <w:r w:rsidRPr="001C5C02">
        <w:rPr>
          <w:b/>
          <w:bCs/>
          <w:rtl/>
        </w:rPr>
        <w:t xml:space="preserve"> </w:t>
      </w:r>
      <w:r w:rsidRPr="001C5C02">
        <w:rPr>
          <w:rFonts w:hint="eastAsia"/>
          <w:b/>
          <w:bCs/>
          <w:rtl/>
        </w:rPr>
        <w:t>או</w:t>
      </w:r>
      <w:r w:rsidRPr="001C5C02">
        <w:rPr>
          <w:b/>
          <w:bCs/>
          <w:rtl/>
        </w:rPr>
        <w:t xml:space="preserve"> </w:t>
      </w:r>
      <w:r w:rsidRPr="001C5C02">
        <w:rPr>
          <w:rFonts w:hint="eastAsia"/>
          <w:b/>
          <w:bCs/>
          <w:rtl/>
        </w:rPr>
        <w:t>עיון</w:t>
      </w:r>
      <w:r w:rsidRPr="001C5C02">
        <w:rPr>
          <w:b/>
          <w:bCs/>
          <w:rtl/>
        </w:rPr>
        <w:t xml:space="preserve"> </w:t>
      </w:r>
      <w:r w:rsidRPr="001C5C02">
        <w:rPr>
          <w:rFonts w:hint="eastAsia"/>
          <w:b/>
          <w:bCs/>
          <w:rtl/>
        </w:rPr>
        <w:t>בהאזנת</w:t>
      </w:r>
      <w:r w:rsidRPr="001C5C02">
        <w:rPr>
          <w:b/>
          <w:bCs/>
          <w:rtl/>
        </w:rPr>
        <w:t xml:space="preserve"> </w:t>
      </w:r>
      <w:r w:rsidRPr="001C5C02">
        <w:rPr>
          <w:rFonts w:hint="eastAsia"/>
          <w:b/>
          <w:bCs/>
          <w:rtl/>
        </w:rPr>
        <w:t>סתר</w:t>
      </w:r>
      <w:r w:rsidRPr="001C5C02">
        <w:rPr>
          <w:b/>
          <w:bCs/>
          <w:rtl/>
        </w:rPr>
        <w:t xml:space="preserve"> </w:t>
      </w:r>
      <w:r w:rsidRPr="001C5C02">
        <w:rPr>
          <w:rFonts w:hint="eastAsia"/>
          <w:b/>
          <w:bCs/>
          <w:rtl/>
        </w:rPr>
        <w:t>שלא</w:t>
      </w:r>
      <w:r w:rsidRPr="001C5C02">
        <w:rPr>
          <w:b/>
          <w:bCs/>
          <w:rtl/>
        </w:rPr>
        <w:t xml:space="preserve"> </w:t>
      </w:r>
      <w:r w:rsidRPr="001C5C02">
        <w:rPr>
          <w:rFonts w:hint="eastAsia"/>
          <w:b/>
          <w:bCs/>
          <w:rtl/>
        </w:rPr>
        <w:t>כדין</w:t>
      </w:r>
      <w:r w:rsidRPr="001C5C02">
        <w:rPr>
          <w:b/>
          <w:bCs/>
          <w:rtl/>
        </w:rPr>
        <w:t xml:space="preserve"> </w:t>
      </w:r>
      <w:r w:rsidRPr="001C5C02">
        <w:rPr>
          <w:rFonts w:hint="eastAsia"/>
          <w:b/>
          <w:bCs/>
          <w:rtl/>
        </w:rPr>
        <w:t>ושימוש</w:t>
      </w:r>
      <w:r w:rsidRPr="001C5C02">
        <w:rPr>
          <w:b/>
          <w:bCs/>
          <w:rtl/>
        </w:rPr>
        <w:t xml:space="preserve"> </w:t>
      </w:r>
      <w:r w:rsidRPr="001C5C02">
        <w:rPr>
          <w:rFonts w:hint="eastAsia"/>
          <w:b/>
          <w:bCs/>
          <w:rtl/>
        </w:rPr>
        <w:t>בה</w:t>
      </w:r>
      <w:r w:rsidRPr="001C5C02">
        <w:rPr>
          <w:b/>
          <w:bCs/>
          <w:rtl/>
        </w:rPr>
        <w:t xml:space="preserve"> </w:t>
      </w:r>
      <w:r w:rsidRPr="001C5C02">
        <w:rPr>
          <w:rFonts w:hint="eastAsia"/>
          <w:b/>
          <w:bCs/>
          <w:rtl/>
        </w:rPr>
        <w:t>כראייה</w:t>
      </w:r>
      <w:r w:rsidRPr="001C5C02">
        <w:rPr>
          <w:b/>
          <w:bCs/>
          <w:rtl/>
        </w:rPr>
        <w:t xml:space="preserve"> </w:t>
      </w:r>
      <w:r w:rsidRPr="001C5C02">
        <w:rPr>
          <w:rFonts w:hint="eastAsia"/>
          <w:b/>
          <w:bCs/>
          <w:rtl/>
        </w:rPr>
        <w:t>במשפט</w:t>
      </w:r>
      <w:r>
        <w:rPr>
          <w:rFonts w:hint="cs"/>
          <w:rtl/>
        </w:rPr>
        <w:t xml:space="preserve">, עודכן ביום 18.7.24. </w:t>
      </w:r>
    </w:p>
  </w:footnote>
  <w:footnote w:id="4">
    <w:p w:rsidR="00172C0A" w:rsidRDefault="00172C0A" w:rsidP="00AE4E90">
      <w:pPr>
        <w:pStyle w:val="ad"/>
        <w:ind w:left="282" w:hanging="567"/>
        <w:rPr>
          <w:rtl/>
        </w:rPr>
      </w:pPr>
      <w:r>
        <w:rPr>
          <w:rStyle w:val="af"/>
        </w:rPr>
        <w:footnoteRef/>
      </w:r>
      <w:r>
        <w:rPr>
          <w:rtl/>
        </w:rPr>
        <w:t xml:space="preserve"> </w:t>
      </w:r>
      <w:r>
        <w:rPr>
          <w:rtl/>
        </w:rPr>
        <w:tab/>
      </w:r>
      <w:r>
        <w:rPr>
          <w:rFonts w:hint="cs"/>
          <w:rtl/>
        </w:rPr>
        <w:t xml:space="preserve">ראו לעניין זה, יעקב קדמי, על הראיות - חלק ראשון - הדין בראי הפסיקה, עמ' 349 - 351. </w:t>
      </w:r>
    </w:p>
  </w:footnote>
  <w:footnote w:id="5">
    <w:p w:rsidR="00172C0A" w:rsidRDefault="00172C0A" w:rsidP="005A1843">
      <w:pPr>
        <w:pStyle w:val="ad"/>
        <w:ind w:left="282" w:hanging="567"/>
        <w:rPr>
          <w:rtl/>
        </w:rPr>
      </w:pPr>
      <w:r>
        <w:rPr>
          <w:rStyle w:val="af"/>
        </w:rPr>
        <w:footnoteRef/>
      </w:r>
      <w:r>
        <w:rPr>
          <w:rtl/>
        </w:rPr>
        <w:t xml:space="preserve"> </w:t>
      </w:r>
      <w:r>
        <w:rPr>
          <w:rtl/>
        </w:rPr>
        <w:tab/>
      </w:r>
      <w:r>
        <w:rPr>
          <w:rFonts w:hint="cs"/>
          <w:rtl/>
        </w:rPr>
        <w:t>ראו לעניין זה, טיוטת תפיסת ההפעלה של משטרת ישראל.</w:t>
      </w:r>
    </w:p>
  </w:footnote>
  <w:footnote w:id="6">
    <w:p w:rsidR="00172C0A" w:rsidRDefault="00172C0A" w:rsidP="005A1843">
      <w:pPr>
        <w:pStyle w:val="ad"/>
        <w:ind w:left="282" w:hanging="567"/>
        <w:rPr>
          <w:rtl/>
        </w:rPr>
      </w:pPr>
      <w:r>
        <w:rPr>
          <w:rStyle w:val="af"/>
        </w:rPr>
        <w:footnoteRef/>
      </w:r>
      <w:r>
        <w:rPr>
          <w:rtl/>
        </w:rPr>
        <w:t xml:space="preserve"> </w:t>
      </w:r>
      <w:r>
        <w:rPr>
          <w:rtl/>
        </w:rPr>
        <w:tab/>
      </w:r>
      <w:r>
        <w:rPr>
          <w:rFonts w:hint="cs"/>
          <w:rtl/>
        </w:rPr>
        <w:t>ראו לעניין זה הגדרת "פלט" ב</w:t>
      </w:r>
      <w:r w:rsidRPr="004A7068">
        <w:rPr>
          <w:rFonts w:hint="eastAsia"/>
          <w:b/>
          <w:bCs/>
          <w:rtl/>
        </w:rPr>
        <w:t>חוק</w:t>
      </w:r>
      <w:r w:rsidRPr="004A7068">
        <w:rPr>
          <w:b/>
          <w:bCs/>
          <w:rtl/>
        </w:rPr>
        <w:t xml:space="preserve"> </w:t>
      </w:r>
      <w:r w:rsidRPr="004A7068">
        <w:rPr>
          <w:rFonts w:hint="eastAsia"/>
          <w:b/>
          <w:bCs/>
          <w:rtl/>
        </w:rPr>
        <w:t>המחשבים</w:t>
      </w:r>
      <w:r>
        <w:rPr>
          <w:rFonts w:hint="cs"/>
          <w:rtl/>
        </w:rPr>
        <w:t>, התשנ"ה-1995: "נתונים, סימנים, מושגים או הוראות המופקים, בכל דרך שהיא, על ידי מחשב".</w:t>
      </w:r>
    </w:p>
  </w:footnote>
  <w:footnote w:id="7">
    <w:p w:rsidR="00172C0A" w:rsidRDefault="00172C0A" w:rsidP="000F5FAC">
      <w:pPr>
        <w:pStyle w:val="ad"/>
        <w:ind w:left="282" w:hanging="567"/>
      </w:pPr>
      <w:r>
        <w:rPr>
          <w:rStyle w:val="af"/>
        </w:rPr>
        <w:footnoteRef/>
      </w:r>
      <w:r>
        <w:rPr>
          <w:rtl/>
        </w:rPr>
        <w:t xml:space="preserve"> </w:t>
      </w:r>
      <w:r>
        <w:rPr>
          <w:rtl/>
        </w:rPr>
        <w:tab/>
      </w:r>
      <w:r>
        <w:rPr>
          <w:rFonts w:hint="cs"/>
          <w:rtl/>
        </w:rPr>
        <w:t>סעיף 3 ל</w:t>
      </w:r>
      <w:r w:rsidRPr="00747503">
        <w:rPr>
          <w:rtl/>
        </w:rPr>
        <w:t>פקודת המשטרה [נוסח חדש], התשל"א-1971</w:t>
      </w:r>
      <w:r>
        <w:rPr>
          <w:rFonts w:hint="cs"/>
          <w:rtl/>
        </w:rPr>
        <w:t>.</w:t>
      </w:r>
    </w:p>
  </w:footnote>
  <w:footnote w:id="8">
    <w:p w:rsidR="00172C0A" w:rsidRDefault="00172C0A" w:rsidP="000F5FAC">
      <w:pPr>
        <w:pStyle w:val="ad"/>
        <w:ind w:left="282" w:hanging="567"/>
      </w:pPr>
      <w:r>
        <w:rPr>
          <w:rStyle w:val="af"/>
        </w:rPr>
        <w:footnoteRef/>
      </w:r>
      <w:r>
        <w:rPr>
          <w:rtl/>
        </w:rPr>
        <w:t xml:space="preserve"> </w:t>
      </w:r>
      <w:r>
        <w:rPr>
          <w:rtl/>
        </w:rPr>
        <w:tab/>
      </w:r>
      <w:r>
        <w:rPr>
          <w:rFonts w:hint="cs"/>
          <w:rtl/>
        </w:rPr>
        <w:t xml:space="preserve">בג"ץ 2605/05 </w:t>
      </w:r>
      <w:r w:rsidRPr="00EC7411">
        <w:rPr>
          <w:rFonts w:hint="cs"/>
          <w:b/>
          <w:bCs/>
          <w:rtl/>
        </w:rPr>
        <w:t>המרכז האקדמי למשפט ולעסקים נ' שר האוצר</w:t>
      </w:r>
      <w:r>
        <w:rPr>
          <w:rFonts w:hint="cs"/>
          <w:rtl/>
        </w:rPr>
        <w:t xml:space="preserve"> (פורסם במאגר משפטי, 19.11.09).</w:t>
      </w:r>
    </w:p>
  </w:footnote>
  <w:footnote w:id="9">
    <w:p w:rsidR="00172C0A" w:rsidRDefault="00172C0A" w:rsidP="000F5FAC">
      <w:pPr>
        <w:pStyle w:val="ad"/>
        <w:ind w:left="282" w:hanging="567"/>
        <w:rPr>
          <w:rtl/>
        </w:rPr>
      </w:pPr>
      <w:r>
        <w:rPr>
          <w:rStyle w:val="af"/>
        </w:rPr>
        <w:footnoteRef/>
      </w:r>
      <w:r>
        <w:rPr>
          <w:rtl/>
        </w:rPr>
        <w:t xml:space="preserve"> </w:t>
      </w:r>
      <w:r>
        <w:rPr>
          <w:rtl/>
        </w:rPr>
        <w:tab/>
      </w:r>
      <w:r>
        <w:rPr>
          <w:rFonts w:hint="cs"/>
          <w:rtl/>
        </w:rPr>
        <w:t xml:space="preserve">ראו גם: יצחק זמיר, </w:t>
      </w:r>
      <w:r>
        <w:rPr>
          <w:rFonts w:hint="cs"/>
          <w:b/>
          <w:bCs/>
          <w:rtl/>
        </w:rPr>
        <w:t>הסמכות המנהלית</w:t>
      </w:r>
      <w:r>
        <w:rPr>
          <w:rFonts w:hint="cs"/>
          <w:rtl/>
        </w:rPr>
        <w:t xml:space="preserve">, עמ' 73 - 82, 169 - 171, 230 - 232; יצחק זמיר, </w:t>
      </w:r>
      <w:r>
        <w:rPr>
          <w:rFonts w:hint="cs"/>
          <w:b/>
          <w:bCs/>
          <w:rtl/>
        </w:rPr>
        <w:t>שיקול הצדק בהחלטות מנהליות</w:t>
      </w:r>
      <w:r>
        <w:rPr>
          <w:rFonts w:hint="cs"/>
          <w:rtl/>
        </w:rPr>
        <w:t xml:space="preserve">, משפט וממשל ז' (תשס"ה), עמ' 623 - 667 ; בג"ץ 3094/93 </w:t>
      </w:r>
      <w:r>
        <w:rPr>
          <w:rFonts w:hint="cs"/>
          <w:b/>
          <w:bCs/>
          <w:rtl/>
        </w:rPr>
        <w:t xml:space="preserve">התנועה למען איכות השלטון בישראל נ' ממשלת </w:t>
      </w:r>
      <w:r w:rsidRPr="008C165E">
        <w:rPr>
          <w:rFonts w:hint="eastAsia"/>
          <w:b/>
          <w:bCs/>
          <w:rtl/>
        </w:rPr>
        <w:t>ישראל</w:t>
      </w:r>
      <w:r>
        <w:rPr>
          <w:rFonts w:hint="cs"/>
          <w:rtl/>
        </w:rPr>
        <w:t xml:space="preserve">, פ"ד מז(5) 404 (1993); </w:t>
      </w:r>
      <w:r w:rsidRPr="001A242E">
        <w:rPr>
          <w:rFonts w:hint="cs"/>
          <w:rtl/>
        </w:rPr>
        <w:t>עע</w:t>
      </w:r>
      <w:r>
        <w:rPr>
          <w:rFonts w:hint="cs"/>
          <w:rtl/>
        </w:rPr>
        <w:t xml:space="preserve">"מ 2398/08 </w:t>
      </w:r>
      <w:r>
        <w:rPr>
          <w:rFonts w:hint="cs"/>
          <w:b/>
          <w:bCs/>
          <w:rtl/>
        </w:rPr>
        <w:t>מדינת ישראל - משרד המשפטים נ' אליצור סגל</w:t>
      </w:r>
      <w:r>
        <w:rPr>
          <w:rFonts w:hint="cs"/>
          <w:rtl/>
        </w:rPr>
        <w:t xml:space="preserve">, פ"ד סד (3) 66, (2011); דפנה ברק-ארז, </w:t>
      </w:r>
      <w:r>
        <w:rPr>
          <w:rFonts w:hint="cs"/>
          <w:b/>
          <w:bCs/>
          <w:rtl/>
        </w:rPr>
        <w:t>משפט מינהלי</w:t>
      </w:r>
      <w:r>
        <w:rPr>
          <w:rFonts w:hint="cs"/>
          <w:rtl/>
        </w:rPr>
        <w:t>, (2010), "שער רביעי - שיקול הדעת המינהלי, מידתיות", עמ' 722 - 792.</w:t>
      </w:r>
    </w:p>
  </w:footnote>
  <w:footnote w:id="10">
    <w:p w:rsidR="00172C0A" w:rsidRDefault="00172C0A" w:rsidP="000F5FAC">
      <w:pPr>
        <w:pStyle w:val="ad"/>
        <w:ind w:left="282" w:hanging="567"/>
        <w:rPr>
          <w:rtl/>
        </w:rPr>
      </w:pPr>
      <w:r>
        <w:rPr>
          <w:rStyle w:val="af"/>
        </w:rPr>
        <w:footnoteRef/>
      </w:r>
      <w:r>
        <w:rPr>
          <w:rtl/>
        </w:rPr>
        <w:t xml:space="preserve"> </w:t>
      </w:r>
      <w:r>
        <w:rPr>
          <w:rtl/>
        </w:rPr>
        <w:tab/>
      </w:r>
      <w:r>
        <w:rPr>
          <w:rFonts w:hint="cs"/>
          <w:rtl/>
        </w:rPr>
        <w:t xml:space="preserve">משטרת ישראל, אגף התכנון והארגון, </w:t>
      </w:r>
      <w:r w:rsidRPr="00D5217F">
        <w:rPr>
          <w:rFonts w:hint="eastAsia"/>
          <w:b/>
          <w:bCs/>
          <w:rtl/>
        </w:rPr>
        <w:t>מגדלור</w:t>
      </w:r>
      <w:r w:rsidRPr="00D5217F">
        <w:rPr>
          <w:b/>
          <w:bCs/>
          <w:rtl/>
        </w:rPr>
        <w:t xml:space="preserve"> </w:t>
      </w:r>
      <w:r>
        <w:rPr>
          <w:rFonts w:hint="cs"/>
          <w:b/>
          <w:bCs/>
          <w:rtl/>
        </w:rPr>
        <w:t>-</w:t>
      </w:r>
      <w:r w:rsidRPr="00D5217F">
        <w:rPr>
          <w:b/>
          <w:bCs/>
          <w:rtl/>
        </w:rPr>
        <w:t xml:space="preserve"> תכנית העבודה השנתית לבניין הכוח, </w:t>
      </w:r>
      <w:r w:rsidRPr="00D5217F">
        <w:rPr>
          <w:rFonts w:hint="eastAsia"/>
          <w:b/>
          <w:bCs/>
          <w:rtl/>
        </w:rPr>
        <w:t>משטרת</w:t>
      </w:r>
      <w:r w:rsidRPr="00D5217F">
        <w:rPr>
          <w:b/>
          <w:bCs/>
          <w:rtl/>
        </w:rPr>
        <w:t xml:space="preserve"> </w:t>
      </w:r>
      <w:r w:rsidRPr="00D5217F">
        <w:rPr>
          <w:rFonts w:hint="eastAsia"/>
          <w:b/>
          <w:bCs/>
          <w:rtl/>
        </w:rPr>
        <w:t>ישראל</w:t>
      </w:r>
      <w:r w:rsidRPr="00D5217F">
        <w:rPr>
          <w:b/>
          <w:bCs/>
          <w:rtl/>
        </w:rPr>
        <w:t xml:space="preserve">, </w:t>
      </w:r>
      <w:r w:rsidRPr="00D5217F">
        <w:rPr>
          <w:rFonts w:hint="eastAsia"/>
          <w:b/>
          <w:bCs/>
          <w:rtl/>
        </w:rPr>
        <w:t>שנת</w:t>
      </w:r>
      <w:r w:rsidRPr="00D5217F">
        <w:rPr>
          <w:b/>
          <w:bCs/>
          <w:rtl/>
        </w:rPr>
        <w:t xml:space="preserve"> 2018</w:t>
      </w:r>
      <w:r w:rsidRPr="00D5217F">
        <w:rPr>
          <w:rtl/>
        </w:rPr>
        <w:t xml:space="preserve">, </w:t>
      </w:r>
      <w:r w:rsidRPr="00D5217F">
        <w:rPr>
          <w:rFonts w:hint="eastAsia"/>
          <w:rtl/>
        </w:rPr>
        <w:t>ינואר</w:t>
      </w:r>
      <w:r w:rsidRPr="00D5217F">
        <w:rPr>
          <w:rtl/>
        </w:rPr>
        <w:t xml:space="preserve"> 2018</w:t>
      </w:r>
      <w:r>
        <w:rPr>
          <w:rFonts w:hint="cs"/>
          <w:rtl/>
        </w:rPr>
        <w:t xml:space="preserve">, עמ' 31 - 32. </w:t>
      </w:r>
    </w:p>
  </w:footnote>
  <w:footnote w:id="11">
    <w:p w:rsidR="00172C0A" w:rsidRDefault="00172C0A" w:rsidP="000F5FAC">
      <w:pPr>
        <w:pStyle w:val="ad"/>
        <w:ind w:left="282" w:hanging="567"/>
      </w:pPr>
      <w:r>
        <w:rPr>
          <w:rStyle w:val="af"/>
        </w:rPr>
        <w:footnoteRef/>
      </w:r>
      <w:r>
        <w:rPr>
          <w:rtl/>
        </w:rPr>
        <w:t xml:space="preserve"> </w:t>
      </w:r>
      <w:r>
        <w:rPr>
          <w:rtl/>
        </w:rPr>
        <w:tab/>
      </w:r>
      <w:r>
        <w:rPr>
          <w:rFonts w:hint="cs"/>
          <w:rtl/>
        </w:rPr>
        <w:t xml:space="preserve">מבקר המדינה, </w:t>
      </w:r>
      <w:r w:rsidRPr="004A044C">
        <w:rPr>
          <w:rFonts w:hint="cs"/>
          <w:b/>
          <w:bCs/>
          <w:rtl/>
        </w:rPr>
        <w:t>דוח שנתי 41</w:t>
      </w:r>
      <w:r>
        <w:rPr>
          <w:rFonts w:hint="cs"/>
          <w:rtl/>
        </w:rPr>
        <w:t xml:space="preserve"> (1991), עמ' 340 - 358; </w:t>
      </w:r>
      <w:r w:rsidRPr="001F6217">
        <w:rPr>
          <w:rFonts w:hint="eastAsia"/>
          <w:rtl/>
        </w:rPr>
        <w:t>דוח</w:t>
      </w:r>
      <w:r w:rsidRPr="001F6217">
        <w:rPr>
          <w:rtl/>
        </w:rPr>
        <w:t xml:space="preserve"> </w:t>
      </w:r>
      <w:r w:rsidRPr="001F6217">
        <w:rPr>
          <w:rFonts w:hint="eastAsia"/>
          <w:rtl/>
        </w:rPr>
        <w:t>מבקר</w:t>
      </w:r>
      <w:r w:rsidRPr="001F6217">
        <w:rPr>
          <w:rtl/>
        </w:rPr>
        <w:t xml:space="preserve"> </w:t>
      </w:r>
      <w:r w:rsidRPr="001F6217">
        <w:rPr>
          <w:rFonts w:hint="eastAsia"/>
          <w:rtl/>
        </w:rPr>
        <w:t>המדינה</w:t>
      </w:r>
      <w:r w:rsidRPr="001F6217">
        <w:rPr>
          <w:rtl/>
        </w:rPr>
        <w:t xml:space="preserve"> </w:t>
      </w:r>
      <w:r w:rsidRPr="001F6217">
        <w:rPr>
          <w:rFonts w:hint="eastAsia"/>
          <w:rtl/>
        </w:rPr>
        <w:t>משנת</w:t>
      </w:r>
      <w:r w:rsidRPr="001F6217">
        <w:rPr>
          <w:rtl/>
        </w:rPr>
        <w:t xml:space="preserve"> 2004</w:t>
      </w:r>
      <w:r>
        <w:rPr>
          <w:rFonts w:hint="cs"/>
          <w:rtl/>
        </w:rPr>
        <w:t xml:space="preserve">, עמ' 279 - 304; </w:t>
      </w:r>
      <w:r w:rsidRPr="00735C63">
        <w:rPr>
          <w:rFonts w:hint="eastAsia"/>
          <w:rtl/>
        </w:rPr>
        <w:t>חוות</w:t>
      </w:r>
      <w:r w:rsidRPr="00735C63">
        <w:rPr>
          <w:rtl/>
        </w:rPr>
        <w:t xml:space="preserve"> </w:t>
      </w:r>
      <w:r w:rsidRPr="00735C63">
        <w:rPr>
          <w:rFonts w:hint="eastAsia"/>
          <w:rtl/>
        </w:rPr>
        <w:t>דעת</w:t>
      </w:r>
      <w:r w:rsidRPr="00735C63">
        <w:rPr>
          <w:rtl/>
        </w:rPr>
        <w:t xml:space="preserve"> </w:t>
      </w:r>
      <w:r w:rsidRPr="00735C63">
        <w:rPr>
          <w:rFonts w:hint="eastAsia"/>
          <w:rtl/>
        </w:rPr>
        <w:t>מבקר</w:t>
      </w:r>
      <w:r w:rsidRPr="00735C63">
        <w:rPr>
          <w:rtl/>
        </w:rPr>
        <w:t xml:space="preserve"> </w:t>
      </w:r>
      <w:r w:rsidRPr="00735C63">
        <w:rPr>
          <w:rFonts w:hint="eastAsia"/>
          <w:rtl/>
        </w:rPr>
        <w:t>המדינה</w:t>
      </w:r>
      <w:r w:rsidRPr="00735C63">
        <w:rPr>
          <w:rtl/>
        </w:rPr>
        <w:t xml:space="preserve"> </w:t>
      </w:r>
      <w:r w:rsidRPr="00735C63">
        <w:rPr>
          <w:rFonts w:hint="eastAsia"/>
          <w:rtl/>
        </w:rPr>
        <w:t>משנת</w:t>
      </w:r>
      <w:r w:rsidRPr="00735C63">
        <w:rPr>
          <w:rtl/>
        </w:rPr>
        <w:t xml:space="preserve"> 2010</w:t>
      </w:r>
      <w:r>
        <w:rPr>
          <w:rFonts w:hint="cs"/>
          <w:rtl/>
        </w:rPr>
        <w:t>.</w:t>
      </w:r>
    </w:p>
  </w:footnote>
  <w:footnote w:id="12">
    <w:p w:rsidR="00172C0A" w:rsidRDefault="00172C0A" w:rsidP="000F5FAC">
      <w:pPr>
        <w:pStyle w:val="ad"/>
        <w:ind w:left="282" w:hanging="567"/>
        <w:rPr>
          <w:rtl/>
        </w:rPr>
      </w:pPr>
      <w:r>
        <w:rPr>
          <w:rStyle w:val="af"/>
        </w:rPr>
        <w:footnoteRef/>
      </w:r>
      <w:r>
        <w:rPr>
          <w:rtl/>
        </w:rPr>
        <w:t xml:space="preserve"> </w:t>
      </w:r>
      <w:r>
        <w:rPr>
          <w:rtl/>
        </w:rPr>
        <w:tab/>
      </w:r>
      <w:r w:rsidRPr="00735C63">
        <w:rPr>
          <w:rFonts w:hint="eastAsia"/>
          <w:rtl/>
        </w:rPr>
        <w:t>דוח</w:t>
      </w:r>
      <w:r w:rsidRPr="00735C63">
        <w:rPr>
          <w:rtl/>
        </w:rPr>
        <w:t xml:space="preserve"> </w:t>
      </w:r>
      <w:r w:rsidRPr="00735C63">
        <w:rPr>
          <w:rFonts w:hint="eastAsia"/>
          <w:rtl/>
        </w:rPr>
        <w:t>לבנת</w:t>
      </w:r>
      <w:r w:rsidRPr="00735C63">
        <w:rPr>
          <w:rtl/>
        </w:rPr>
        <w:t xml:space="preserve"> </w:t>
      </w:r>
      <w:r w:rsidRPr="00735C63">
        <w:rPr>
          <w:rFonts w:hint="eastAsia"/>
          <w:rtl/>
        </w:rPr>
        <w:t>משיח</w:t>
      </w:r>
      <w:r>
        <w:rPr>
          <w:rFonts w:hint="cs"/>
          <w:rtl/>
        </w:rPr>
        <w:t xml:space="preserve">; </w:t>
      </w:r>
      <w:r w:rsidRPr="00735C63">
        <w:rPr>
          <w:rFonts w:hint="eastAsia"/>
          <w:rtl/>
        </w:rPr>
        <w:t>דוח</w:t>
      </w:r>
      <w:r w:rsidRPr="00735C63">
        <w:rPr>
          <w:rtl/>
        </w:rPr>
        <w:t xml:space="preserve"> </w:t>
      </w:r>
      <w:r w:rsidRPr="00735C63">
        <w:rPr>
          <w:rFonts w:hint="eastAsia"/>
          <w:rtl/>
        </w:rPr>
        <w:t>ברנר</w:t>
      </w:r>
      <w:r>
        <w:rPr>
          <w:rFonts w:hint="cs"/>
          <w:rtl/>
        </w:rPr>
        <w:t>;</w:t>
      </w:r>
      <w:r>
        <w:rPr>
          <w:rFonts w:hint="cs"/>
        </w:rPr>
        <w:t xml:space="preserve"> </w:t>
      </w:r>
      <w:r w:rsidRPr="00735C63">
        <w:rPr>
          <w:rFonts w:hint="eastAsia"/>
          <w:rtl/>
        </w:rPr>
        <w:t>חוות</w:t>
      </w:r>
      <w:r w:rsidRPr="00735C63">
        <w:rPr>
          <w:rtl/>
        </w:rPr>
        <w:t xml:space="preserve"> </w:t>
      </w:r>
      <w:r w:rsidRPr="00735C63">
        <w:rPr>
          <w:rFonts w:hint="eastAsia"/>
          <w:rtl/>
        </w:rPr>
        <w:t>דעת</w:t>
      </w:r>
      <w:r w:rsidRPr="00735C63">
        <w:rPr>
          <w:rtl/>
        </w:rPr>
        <w:t xml:space="preserve"> </w:t>
      </w:r>
      <w:r w:rsidRPr="00735C63">
        <w:rPr>
          <w:rFonts w:hint="eastAsia"/>
          <w:rtl/>
        </w:rPr>
        <w:t>פרשיית</w:t>
      </w:r>
      <w:r w:rsidRPr="00735C63">
        <w:rPr>
          <w:rtl/>
        </w:rPr>
        <w:t xml:space="preserve"> </w:t>
      </w:r>
      <w:r w:rsidRPr="00735C63">
        <w:rPr>
          <w:rFonts w:hint="eastAsia"/>
          <w:rtl/>
        </w:rPr>
        <w:t>חיים</w:t>
      </w:r>
      <w:r w:rsidRPr="00735C63">
        <w:rPr>
          <w:rtl/>
        </w:rPr>
        <w:t xml:space="preserve"> </w:t>
      </w:r>
      <w:r w:rsidRPr="00735C63">
        <w:rPr>
          <w:rFonts w:hint="eastAsia"/>
          <w:rtl/>
        </w:rPr>
        <w:t>רמון</w:t>
      </w:r>
      <w:r w:rsidRPr="003B64E8">
        <w:rPr>
          <w:rFonts w:hint="cs"/>
          <w:rtl/>
        </w:rPr>
        <w:t>.</w:t>
      </w:r>
    </w:p>
  </w:footnote>
  <w:footnote w:id="13">
    <w:p w:rsidR="00172C0A" w:rsidRDefault="00172C0A" w:rsidP="000F5FAC">
      <w:pPr>
        <w:pStyle w:val="ad"/>
        <w:ind w:left="282" w:hanging="567"/>
      </w:pPr>
      <w:r>
        <w:rPr>
          <w:rStyle w:val="af"/>
        </w:rPr>
        <w:footnoteRef/>
      </w:r>
      <w:r>
        <w:rPr>
          <w:rtl/>
        </w:rPr>
        <w:t xml:space="preserve"> </w:t>
      </w:r>
      <w:r>
        <w:rPr>
          <w:b/>
          <w:bCs/>
          <w:rtl/>
        </w:rPr>
        <w:tab/>
      </w:r>
      <w:r w:rsidRPr="006823B8">
        <w:rPr>
          <w:rFonts w:hint="cs"/>
          <w:b/>
          <w:bCs/>
          <w:rtl/>
        </w:rPr>
        <w:t>עבירת פשע</w:t>
      </w:r>
      <w:r>
        <w:rPr>
          <w:rFonts w:hint="cs"/>
          <w:rtl/>
        </w:rPr>
        <w:t xml:space="preserve"> - עבירה שנקבע כי העונש המרבי שיוטל על מבצעיה חמור ממאסר של שלוש שנים. ראו סעיף 24 לחוק העונשין. </w:t>
      </w:r>
    </w:p>
  </w:footnote>
  <w:footnote w:id="14">
    <w:p w:rsidR="00172C0A" w:rsidRDefault="00172C0A" w:rsidP="000F5FAC">
      <w:pPr>
        <w:pStyle w:val="ad"/>
        <w:ind w:left="282" w:hanging="567"/>
      </w:pPr>
      <w:r>
        <w:rPr>
          <w:rStyle w:val="af"/>
        </w:rPr>
        <w:footnoteRef/>
      </w:r>
      <w:r>
        <w:rPr>
          <w:rtl/>
        </w:rPr>
        <w:t xml:space="preserve"> </w:t>
      </w:r>
      <w:r>
        <w:rPr>
          <w:b/>
          <w:bCs/>
          <w:rtl/>
        </w:rPr>
        <w:tab/>
      </w:r>
      <w:r>
        <w:rPr>
          <w:rFonts w:hint="cs"/>
          <w:rtl/>
        </w:rPr>
        <w:t>סעיף 6(א)</w:t>
      </w:r>
      <w:r>
        <w:rPr>
          <w:rFonts w:hint="cs"/>
        </w:rPr>
        <w:t xml:space="preserve"> </w:t>
      </w:r>
      <w:r>
        <w:rPr>
          <w:rFonts w:hint="cs"/>
          <w:rtl/>
        </w:rPr>
        <w:t>לחוק האזנת סתר.</w:t>
      </w:r>
    </w:p>
  </w:footnote>
  <w:footnote w:id="15">
    <w:p w:rsidR="00172C0A" w:rsidRDefault="00172C0A" w:rsidP="000F5FAC">
      <w:pPr>
        <w:pStyle w:val="ad"/>
        <w:ind w:left="282" w:hanging="567"/>
        <w:rPr>
          <w:rtl/>
        </w:rPr>
      </w:pPr>
      <w:r>
        <w:rPr>
          <w:rStyle w:val="af"/>
        </w:rPr>
        <w:footnoteRef/>
      </w:r>
      <w:r>
        <w:rPr>
          <w:rtl/>
        </w:rPr>
        <w:t xml:space="preserve"> </w:t>
      </w:r>
      <w:r>
        <w:rPr>
          <w:b/>
          <w:bCs/>
          <w:rtl/>
        </w:rPr>
        <w:tab/>
      </w:r>
      <w:r w:rsidRPr="00072692">
        <w:rPr>
          <w:rFonts w:hint="eastAsia"/>
          <w:b/>
          <w:bCs/>
          <w:rtl/>
        </w:rPr>
        <w:t>יעד</w:t>
      </w:r>
      <w:r w:rsidRPr="00072692">
        <w:rPr>
          <w:b/>
          <w:bCs/>
          <w:rtl/>
        </w:rPr>
        <w:t xml:space="preserve"> </w:t>
      </w:r>
      <w:r w:rsidRPr="00072692">
        <w:rPr>
          <w:rFonts w:hint="eastAsia"/>
          <w:b/>
          <w:bCs/>
          <w:rtl/>
        </w:rPr>
        <w:t>האזנה</w:t>
      </w:r>
      <w:r>
        <w:rPr>
          <w:rFonts w:hint="cs"/>
          <w:rtl/>
        </w:rPr>
        <w:t xml:space="preserve"> - </w:t>
      </w:r>
      <w:r w:rsidRPr="00515633">
        <w:rPr>
          <w:rtl/>
        </w:rPr>
        <w:t>האדם שכלפיו מופעלת ההאזנה</w:t>
      </w:r>
      <w:r>
        <w:rPr>
          <w:rFonts w:hint="cs"/>
          <w:rtl/>
        </w:rPr>
        <w:t>.</w:t>
      </w:r>
    </w:p>
  </w:footnote>
  <w:footnote w:id="16">
    <w:p w:rsidR="00172C0A" w:rsidRDefault="00172C0A" w:rsidP="000F5FAC">
      <w:pPr>
        <w:pStyle w:val="ad"/>
        <w:ind w:left="282" w:hanging="567"/>
        <w:rPr>
          <w:rtl/>
        </w:rPr>
      </w:pPr>
      <w:r>
        <w:rPr>
          <w:rStyle w:val="af"/>
        </w:rPr>
        <w:footnoteRef/>
      </w:r>
      <w:r>
        <w:rPr>
          <w:rtl/>
        </w:rPr>
        <w:t xml:space="preserve"> </w:t>
      </w:r>
      <w:r>
        <w:rPr>
          <w:rtl/>
        </w:rPr>
        <w:tab/>
      </w:r>
      <w:r>
        <w:rPr>
          <w:rFonts w:hint="cs"/>
          <w:rtl/>
        </w:rPr>
        <w:t>סעיף 6(ד) לחוק האזנת סתר.</w:t>
      </w:r>
    </w:p>
  </w:footnote>
  <w:footnote w:id="17">
    <w:p w:rsidR="00172C0A" w:rsidRDefault="00172C0A" w:rsidP="000F5FAC">
      <w:pPr>
        <w:pStyle w:val="ad"/>
        <w:ind w:left="282" w:hanging="567"/>
      </w:pPr>
      <w:r>
        <w:rPr>
          <w:rStyle w:val="af"/>
        </w:rPr>
        <w:footnoteRef/>
      </w:r>
      <w:r>
        <w:rPr>
          <w:rtl/>
        </w:rPr>
        <w:t xml:space="preserve"> </w:t>
      </w:r>
      <w:r>
        <w:rPr>
          <w:rtl/>
        </w:rPr>
        <w:tab/>
      </w:r>
      <w:r>
        <w:rPr>
          <w:rFonts w:hint="cs"/>
          <w:rtl/>
        </w:rPr>
        <w:t>יתרת הצווים לא אושרו, ראו פירוט בעניין זה בפרק בנושא "</w:t>
      </w:r>
      <w:r w:rsidRPr="00E44F3D">
        <w:rPr>
          <w:rtl/>
        </w:rPr>
        <w:t>הליכי הגשת בקשות להאזנות סתר</w:t>
      </w:r>
      <w:r>
        <w:rPr>
          <w:rFonts w:hint="cs"/>
          <w:rtl/>
        </w:rPr>
        <w:t>".</w:t>
      </w:r>
    </w:p>
  </w:footnote>
  <w:footnote w:id="18">
    <w:p w:rsidR="00172C0A" w:rsidRDefault="00172C0A" w:rsidP="000F5FAC">
      <w:pPr>
        <w:pStyle w:val="ad"/>
        <w:ind w:left="282" w:hanging="567"/>
      </w:pPr>
      <w:r>
        <w:rPr>
          <w:rStyle w:val="af"/>
        </w:rPr>
        <w:footnoteRef/>
      </w:r>
      <w:r>
        <w:rPr>
          <w:rtl/>
        </w:rPr>
        <w:t xml:space="preserve"> </w:t>
      </w:r>
      <w:r>
        <w:rPr>
          <w:rtl/>
        </w:rPr>
        <w:tab/>
      </w:r>
      <w:r w:rsidRPr="0029792E">
        <w:rPr>
          <w:rFonts w:hint="cs"/>
          <w:b/>
          <w:bCs/>
          <w:rtl/>
        </w:rPr>
        <w:t>מטא-דאטה</w:t>
      </w:r>
      <w:r>
        <w:rPr>
          <w:rFonts w:hint="cs"/>
          <w:rtl/>
        </w:rPr>
        <w:t xml:space="preserve"> - מידע על המידע. בענייננו מדובר </w:t>
      </w:r>
      <w:r w:rsidRPr="001F6217">
        <w:rPr>
          <w:rFonts w:hint="cs"/>
          <w:rtl/>
        </w:rPr>
        <w:t>בנתונים ובמידע</w:t>
      </w:r>
      <w:r w:rsidRPr="00EB43C6">
        <w:rPr>
          <w:rFonts w:hint="cs"/>
          <w:rtl/>
        </w:rPr>
        <w:t xml:space="preserve"> </w:t>
      </w:r>
      <w:r w:rsidRPr="00EB43C6">
        <w:rPr>
          <w:rtl/>
        </w:rPr>
        <w:t>הנוגעים</w:t>
      </w:r>
      <w:r w:rsidRPr="00EB43C6">
        <w:rPr>
          <w:rFonts w:hint="cs"/>
          <w:rtl/>
        </w:rPr>
        <w:t xml:space="preserve"> לשימוש באמצעי התקשורת והשימוש בו לצורך ביצוע שיחה</w:t>
      </w:r>
      <w:r w:rsidRPr="001F6217">
        <w:rPr>
          <w:rtl/>
        </w:rPr>
        <w:t>, בין היתר, נתונים על אמצעי התקשורת, השימוש בהם והבעלות עליהם</w:t>
      </w:r>
      <w:r>
        <w:rPr>
          <w:rFonts w:hint="cs"/>
          <w:rtl/>
        </w:rPr>
        <w:t>.</w:t>
      </w:r>
    </w:p>
  </w:footnote>
  <w:footnote w:id="19">
    <w:p w:rsidR="00172C0A" w:rsidRDefault="00172C0A" w:rsidP="000F5FAC">
      <w:pPr>
        <w:pStyle w:val="ad"/>
        <w:ind w:left="282" w:hanging="567"/>
      </w:pPr>
      <w:r>
        <w:rPr>
          <w:rStyle w:val="af"/>
        </w:rPr>
        <w:footnoteRef/>
      </w:r>
      <w:r>
        <w:rPr>
          <w:rtl/>
        </w:rPr>
        <w:t xml:space="preserve"> </w:t>
      </w:r>
      <w:r>
        <w:rPr>
          <w:rtl/>
        </w:rPr>
        <w:tab/>
      </w:r>
      <w:r w:rsidRPr="00515633">
        <w:rPr>
          <w:rFonts w:hint="cs"/>
          <w:b/>
          <w:bCs/>
          <w:rtl/>
        </w:rPr>
        <w:t>דוח צוות מררי</w:t>
      </w:r>
      <w:r>
        <w:rPr>
          <w:rFonts w:hint="cs"/>
          <w:rtl/>
        </w:rPr>
        <w:t xml:space="preserve">, עמ' 6. </w:t>
      </w:r>
    </w:p>
  </w:footnote>
  <w:footnote w:id="20">
    <w:p w:rsidR="00172C0A" w:rsidRDefault="00172C0A" w:rsidP="0058333C">
      <w:pPr>
        <w:pStyle w:val="ad"/>
        <w:ind w:left="282" w:hanging="567"/>
        <w:rPr>
          <w:rtl/>
        </w:rPr>
      </w:pPr>
      <w:r>
        <w:rPr>
          <w:rStyle w:val="af"/>
        </w:rPr>
        <w:footnoteRef/>
      </w:r>
      <w:r>
        <w:rPr>
          <w:rtl/>
        </w:rPr>
        <w:t xml:space="preserve"> </w:t>
      </w:r>
      <w:r>
        <w:rPr>
          <w:rtl/>
        </w:rPr>
        <w:tab/>
      </w:r>
      <w:r>
        <w:rPr>
          <w:rFonts w:hint="cs"/>
          <w:rtl/>
        </w:rPr>
        <w:t>על הנסיבות שבהן הקים היועמ"ש לממשלה דאז את הצוות לבדיקת האזנות סתר לתקשורת בין מחשבים (צוות מררי) ראו פירוט בהמשך בפרק "פרשת פגסוס".</w:t>
      </w:r>
    </w:p>
  </w:footnote>
  <w:footnote w:id="21">
    <w:p w:rsidR="00172C0A" w:rsidRDefault="00172C0A" w:rsidP="0058333C">
      <w:pPr>
        <w:pStyle w:val="ad"/>
        <w:ind w:left="282" w:hanging="567"/>
      </w:pPr>
      <w:r>
        <w:rPr>
          <w:rStyle w:val="af"/>
        </w:rPr>
        <w:footnoteRef/>
      </w:r>
      <w:r>
        <w:rPr>
          <w:rtl/>
        </w:rPr>
        <w:t xml:space="preserve"> </w:t>
      </w:r>
      <w:r>
        <w:rPr>
          <w:rtl/>
        </w:rPr>
        <w:tab/>
      </w:r>
      <w:r w:rsidRPr="00AF1BFA">
        <w:rPr>
          <w:rFonts w:hint="cs"/>
          <w:b/>
          <w:bCs/>
          <w:rtl/>
        </w:rPr>
        <w:t>דוח צוות מררי</w:t>
      </w:r>
      <w:r>
        <w:rPr>
          <w:rFonts w:hint="cs"/>
          <w:rtl/>
        </w:rPr>
        <w:t>, סעיף 10.2.</w:t>
      </w:r>
    </w:p>
  </w:footnote>
  <w:footnote w:id="22">
    <w:p w:rsidR="00172C0A" w:rsidRDefault="00172C0A" w:rsidP="0058333C">
      <w:pPr>
        <w:pStyle w:val="ad"/>
        <w:ind w:left="282" w:hanging="567"/>
      </w:pPr>
      <w:r>
        <w:rPr>
          <w:rStyle w:val="af"/>
        </w:rPr>
        <w:footnoteRef/>
      </w:r>
      <w:r>
        <w:rPr>
          <w:rtl/>
        </w:rPr>
        <w:t xml:space="preserve"> </w:t>
      </w:r>
      <w:r>
        <w:rPr>
          <w:rtl/>
        </w:rPr>
        <w:tab/>
      </w:r>
      <w:r w:rsidRPr="00432D63">
        <w:rPr>
          <w:rFonts w:hint="cs"/>
          <w:rtl/>
        </w:rPr>
        <w:t xml:space="preserve">הפרקליטות הפלילית מטפלת </w:t>
      </w:r>
      <w:r>
        <w:rPr>
          <w:rFonts w:hint="cs"/>
          <w:rtl/>
        </w:rPr>
        <w:t>ב</w:t>
      </w:r>
      <w:r w:rsidRPr="00432D63">
        <w:rPr>
          <w:rFonts w:hint="cs"/>
          <w:rtl/>
        </w:rPr>
        <w:t>כ-10% מהתיקים הפליליים בישראל הנוגעים לעבירות החמורות שבספר החוקים, ובכללן עבירות המתה, עבירות הונאה, עבירות מין ועבירות אלימות חמורות.</w:t>
      </w:r>
      <w:r>
        <w:rPr>
          <w:rFonts w:hint="cs"/>
          <w:rtl/>
        </w:rPr>
        <w:t xml:space="preserve"> </w:t>
      </w:r>
    </w:p>
  </w:footnote>
  <w:footnote w:id="23">
    <w:p w:rsidR="00172C0A" w:rsidRDefault="00172C0A" w:rsidP="0058333C">
      <w:pPr>
        <w:pStyle w:val="ad"/>
        <w:ind w:left="282" w:hanging="567"/>
        <w:rPr>
          <w:b/>
          <w:bCs/>
          <w:rtl/>
        </w:rPr>
      </w:pPr>
      <w:r>
        <w:rPr>
          <w:rStyle w:val="af"/>
        </w:rPr>
        <w:footnoteRef/>
      </w:r>
      <w:r>
        <w:rPr>
          <w:rtl/>
        </w:rPr>
        <w:t xml:space="preserve"> </w:t>
      </w:r>
      <w:r>
        <w:rPr>
          <w:rtl/>
        </w:rPr>
        <w:tab/>
      </w:r>
      <w:r w:rsidRPr="00680349">
        <w:rPr>
          <w:rFonts w:hint="cs"/>
          <w:b/>
          <w:bCs/>
          <w:rtl/>
        </w:rPr>
        <w:t>דרג מדיני</w:t>
      </w:r>
      <w:r>
        <w:rPr>
          <w:rFonts w:hint="cs"/>
          <w:rtl/>
        </w:rPr>
        <w:t xml:space="preserve"> - חברי כנסת, שרים או סגני שרים. סעיף 2א</w:t>
      </w:r>
      <w:r>
        <w:rPr>
          <w:rFonts w:hint="cs"/>
          <w:b/>
          <w:bCs/>
          <w:rtl/>
        </w:rPr>
        <w:t xml:space="preserve"> </w:t>
      </w:r>
      <w:r w:rsidRPr="00072692">
        <w:rPr>
          <w:rFonts w:hint="eastAsia"/>
          <w:b/>
          <w:bCs/>
          <w:rtl/>
        </w:rPr>
        <w:t>לחוק</w:t>
      </w:r>
      <w:r w:rsidRPr="00072692">
        <w:rPr>
          <w:b/>
          <w:bCs/>
          <w:rtl/>
        </w:rPr>
        <w:t xml:space="preserve"> </w:t>
      </w:r>
      <w:r w:rsidRPr="00072692">
        <w:rPr>
          <w:rFonts w:hint="eastAsia"/>
          <w:b/>
          <w:bCs/>
          <w:rtl/>
        </w:rPr>
        <w:t>חסינות</w:t>
      </w:r>
      <w:r w:rsidRPr="00072692">
        <w:rPr>
          <w:b/>
          <w:bCs/>
          <w:rtl/>
        </w:rPr>
        <w:t xml:space="preserve"> </w:t>
      </w:r>
      <w:r w:rsidRPr="00072692">
        <w:rPr>
          <w:rFonts w:hint="eastAsia"/>
          <w:b/>
          <w:bCs/>
          <w:rtl/>
        </w:rPr>
        <w:t>חברי</w:t>
      </w:r>
      <w:r w:rsidRPr="00072692">
        <w:rPr>
          <w:b/>
          <w:bCs/>
          <w:rtl/>
        </w:rPr>
        <w:t xml:space="preserve"> </w:t>
      </w:r>
      <w:r w:rsidRPr="00072692">
        <w:rPr>
          <w:rFonts w:hint="eastAsia"/>
          <w:b/>
          <w:bCs/>
          <w:rtl/>
        </w:rPr>
        <w:t>כנסת</w:t>
      </w:r>
      <w:r w:rsidRPr="00072692">
        <w:rPr>
          <w:b/>
          <w:bCs/>
          <w:rtl/>
        </w:rPr>
        <w:t xml:space="preserve">, </w:t>
      </w:r>
      <w:r w:rsidRPr="00072692">
        <w:rPr>
          <w:rFonts w:hint="eastAsia"/>
          <w:b/>
          <w:bCs/>
          <w:rtl/>
        </w:rPr>
        <w:t>זכויותיהם</w:t>
      </w:r>
      <w:r w:rsidRPr="00072692">
        <w:rPr>
          <w:b/>
          <w:bCs/>
          <w:rtl/>
        </w:rPr>
        <w:t xml:space="preserve"> </w:t>
      </w:r>
      <w:r w:rsidRPr="00072692">
        <w:rPr>
          <w:rFonts w:hint="eastAsia"/>
          <w:b/>
          <w:bCs/>
          <w:rtl/>
        </w:rPr>
        <w:t>וחובותיהם</w:t>
      </w:r>
      <w:r w:rsidRPr="001D0F9E">
        <w:rPr>
          <w:rFonts w:hint="cs"/>
          <w:rtl/>
        </w:rPr>
        <w:t>, התשי"א-1951</w:t>
      </w:r>
      <w:r>
        <w:rPr>
          <w:rFonts w:hint="cs"/>
          <w:rtl/>
        </w:rPr>
        <w:t>.</w:t>
      </w:r>
    </w:p>
    <w:p w:rsidR="00172C0A" w:rsidRDefault="00172C0A" w:rsidP="0058333C">
      <w:pPr>
        <w:pStyle w:val="ad"/>
        <w:ind w:left="282" w:hanging="567"/>
        <w:rPr>
          <w:rtl/>
        </w:rPr>
      </w:pPr>
      <w:r>
        <w:rPr>
          <w:b/>
          <w:bCs/>
          <w:rtl/>
        </w:rPr>
        <w:tab/>
      </w:r>
      <w:r w:rsidRPr="00C02E96">
        <w:rPr>
          <w:rFonts w:hint="cs"/>
          <w:b/>
          <w:bCs/>
          <w:rtl/>
        </w:rPr>
        <w:t>איש ציבור</w:t>
      </w:r>
      <w:r w:rsidRPr="00C02E96">
        <w:rPr>
          <w:rFonts w:hint="cs"/>
          <w:rtl/>
        </w:rPr>
        <w:t xml:space="preserve"> </w:t>
      </w:r>
      <w:r w:rsidRPr="00C02E96">
        <w:rPr>
          <w:rFonts w:hint="cs"/>
          <w:b/>
          <w:bCs/>
          <w:rtl/>
        </w:rPr>
        <w:t>דרג א'</w:t>
      </w:r>
      <w:r>
        <w:rPr>
          <w:rFonts w:hint="cs"/>
          <w:rtl/>
        </w:rPr>
        <w:t xml:space="preserve"> </w:t>
      </w:r>
      <w:r w:rsidRPr="00C02E96">
        <w:rPr>
          <w:rFonts w:hint="cs"/>
          <w:rtl/>
        </w:rPr>
        <w:t xml:space="preserve">- </w:t>
      </w:r>
      <w:r w:rsidRPr="00C02E96">
        <w:rPr>
          <w:rtl/>
        </w:rPr>
        <w:t>אדם הנמצא במעמד ציבורי חשוב בגין משרתו או תפקידו הציבורי.</w:t>
      </w:r>
      <w:r w:rsidRPr="00C02E96">
        <w:rPr>
          <w:rFonts w:hint="cs"/>
          <w:rtl/>
        </w:rPr>
        <w:t xml:space="preserve"> עם דרג זה נמנים </w:t>
      </w:r>
      <w:r w:rsidRPr="00C02E96">
        <w:rPr>
          <w:rtl/>
        </w:rPr>
        <w:t>שופטים, דיינים ברמה הארצית,</w:t>
      </w:r>
      <w:r w:rsidRPr="00C02E96">
        <w:rPr>
          <w:rFonts w:hint="cs"/>
          <w:rtl/>
        </w:rPr>
        <w:t xml:space="preserve"> קאדים,</w:t>
      </w:r>
      <w:r w:rsidRPr="00C02E96">
        <w:rPr>
          <w:rtl/>
        </w:rPr>
        <w:t xml:space="preserve"> אנשי דת בכירים (רב ראשי, קאדי -</w:t>
      </w:r>
      <w:r>
        <w:rPr>
          <w:rFonts w:hint="cs"/>
          <w:rtl/>
        </w:rPr>
        <w:t xml:space="preserve"> </w:t>
      </w:r>
      <w:r w:rsidRPr="00C02E96">
        <w:rPr>
          <w:rtl/>
        </w:rPr>
        <w:t>בכירות ברמה הארצית), ראשי כוחות הביטחון וסגניהם (שב"כ, מוסד, צה"ל, שב"ס), מבקר המדינה.</w:t>
      </w:r>
      <w:r w:rsidRPr="00C02E96">
        <w:rPr>
          <w:rFonts w:hint="cs"/>
          <w:rtl/>
        </w:rPr>
        <w:t xml:space="preserve"> לעניין עיגון החובה לקבל </w:t>
      </w:r>
      <w:r>
        <w:rPr>
          <w:rFonts w:hint="cs"/>
          <w:rtl/>
        </w:rPr>
        <w:t xml:space="preserve">את </w:t>
      </w:r>
      <w:r w:rsidRPr="00C02E96">
        <w:rPr>
          <w:rFonts w:hint="cs"/>
          <w:rtl/>
        </w:rPr>
        <w:t xml:space="preserve">אישור </w:t>
      </w:r>
      <w:r>
        <w:rPr>
          <w:rFonts w:hint="cs"/>
          <w:rtl/>
        </w:rPr>
        <w:t>ה</w:t>
      </w:r>
      <w:r w:rsidRPr="00C02E96">
        <w:rPr>
          <w:rFonts w:hint="cs"/>
          <w:rtl/>
        </w:rPr>
        <w:t>יוע</w:t>
      </w:r>
      <w:r>
        <w:rPr>
          <w:rFonts w:hint="cs"/>
          <w:rtl/>
        </w:rPr>
        <w:t xml:space="preserve">מ"ש לממשלה </w:t>
      </w:r>
      <w:r w:rsidRPr="00C02E96">
        <w:rPr>
          <w:rFonts w:hint="cs"/>
          <w:rtl/>
        </w:rPr>
        <w:t xml:space="preserve">בכתב לצורך האזנה לשופטים, ראו גם סעיף 12 </w:t>
      </w:r>
      <w:r w:rsidRPr="00680349">
        <w:rPr>
          <w:rFonts w:hint="cs"/>
          <w:b/>
          <w:bCs/>
          <w:rtl/>
        </w:rPr>
        <w:t>לחוק יסוד: השפיטה</w:t>
      </w:r>
      <w:r w:rsidRPr="00C02E96">
        <w:rPr>
          <w:rFonts w:hint="cs"/>
          <w:rtl/>
        </w:rPr>
        <w:t>.</w:t>
      </w:r>
    </w:p>
  </w:footnote>
  <w:footnote w:id="24">
    <w:p w:rsidR="00172C0A" w:rsidRDefault="00172C0A" w:rsidP="0058333C">
      <w:pPr>
        <w:pStyle w:val="ad"/>
        <w:ind w:left="282" w:hanging="567"/>
        <w:rPr>
          <w:rtl/>
        </w:rPr>
      </w:pPr>
      <w:r>
        <w:rPr>
          <w:rStyle w:val="af"/>
        </w:rPr>
        <w:footnoteRef/>
      </w:r>
      <w:r>
        <w:rPr>
          <w:rtl/>
        </w:rPr>
        <w:t xml:space="preserve"> </w:t>
      </w:r>
      <w:r>
        <w:rPr>
          <w:rtl/>
        </w:rPr>
        <w:tab/>
        <w:t xml:space="preserve">לפי סעיף 9 </w:t>
      </w:r>
      <w:r w:rsidRPr="00072692">
        <w:rPr>
          <w:b/>
          <w:bCs/>
          <w:rtl/>
        </w:rPr>
        <w:t>ל</w:t>
      </w:r>
      <w:r>
        <w:rPr>
          <w:b/>
          <w:bCs/>
          <w:rtl/>
        </w:rPr>
        <w:t>חוק האזנת סתר</w:t>
      </w:r>
      <w:r>
        <w:rPr>
          <w:rtl/>
        </w:rPr>
        <w:t xml:space="preserve"> וסעיפים 48 </w:t>
      </w:r>
      <w:r>
        <w:rPr>
          <w:rFonts w:hint="cs"/>
          <w:rtl/>
        </w:rPr>
        <w:t>-</w:t>
      </w:r>
      <w:r>
        <w:rPr>
          <w:rtl/>
        </w:rPr>
        <w:t xml:space="preserve"> 51 </w:t>
      </w:r>
      <w:r w:rsidRPr="00072692">
        <w:rPr>
          <w:b/>
          <w:bCs/>
          <w:rtl/>
        </w:rPr>
        <w:t>לפקודת הראיות [נוסח חדש]</w:t>
      </w:r>
      <w:r>
        <w:rPr>
          <w:rtl/>
        </w:rPr>
        <w:t xml:space="preserve">, </w:t>
      </w:r>
      <w:r>
        <w:rPr>
          <w:rFonts w:hint="cs"/>
          <w:rtl/>
        </w:rPr>
        <w:t>ה</w:t>
      </w:r>
      <w:r>
        <w:rPr>
          <w:rtl/>
        </w:rPr>
        <w:t xml:space="preserve">תשל"א-1971. </w:t>
      </w:r>
    </w:p>
  </w:footnote>
  <w:footnote w:id="25">
    <w:p w:rsidR="00172C0A" w:rsidRDefault="00172C0A" w:rsidP="0058333C">
      <w:pPr>
        <w:pStyle w:val="ad"/>
        <w:ind w:left="282" w:hanging="567"/>
        <w:rPr>
          <w:rtl/>
        </w:rPr>
      </w:pPr>
      <w:r>
        <w:rPr>
          <w:rStyle w:val="af"/>
        </w:rPr>
        <w:footnoteRef/>
      </w:r>
      <w:r>
        <w:rPr>
          <w:rtl/>
        </w:rPr>
        <w:t xml:space="preserve"> </w:t>
      </w:r>
      <w:r>
        <w:rPr>
          <w:rtl/>
        </w:rPr>
        <w:tab/>
      </w:r>
      <w:r>
        <w:rPr>
          <w:rFonts w:hint="cs"/>
          <w:rtl/>
        </w:rPr>
        <w:t xml:space="preserve">הודעה על איסוף מידע לצורכי ביקורת נשלחה למשרד המשפטים ב-12.1.22 והודעה על ביקורת נשלחה למשטרת ישראל ב-20.1.22. </w:t>
      </w:r>
    </w:p>
  </w:footnote>
  <w:footnote w:id="26">
    <w:p w:rsidR="00172C0A" w:rsidRDefault="00172C0A" w:rsidP="0058333C">
      <w:pPr>
        <w:pStyle w:val="ad"/>
        <w:ind w:left="282" w:hanging="567"/>
        <w:rPr>
          <w:rtl/>
        </w:rPr>
      </w:pPr>
      <w:r>
        <w:rPr>
          <w:rStyle w:val="af"/>
        </w:rPr>
        <w:footnoteRef/>
      </w:r>
      <w:r>
        <w:rPr>
          <w:rtl/>
        </w:rPr>
        <w:t xml:space="preserve"> </w:t>
      </w:r>
      <w:r>
        <w:rPr>
          <w:rtl/>
        </w:rPr>
        <w:tab/>
      </w:r>
      <w:r>
        <w:rPr>
          <w:rFonts w:hint="cs"/>
          <w:rtl/>
        </w:rPr>
        <w:t xml:space="preserve">כתב </w:t>
      </w:r>
      <w:r w:rsidRPr="00735C63">
        <w:rPr>
          <w:rFonts w:hint="cs"/>
          <w:rtl/>
        </w:rPr>
        <w:t>מינוי</w:t>
      </w:r>
      <w:r w:rsidRPr="00735C63">
        <w:rPr>
          <w:rtl/>
        </w:rPr>
        <w:t xml:space="preserve"> מאת</w:t>
      </w:r>
      <w:r w:rsidRPr="00735C63">
        <w:rPr>
          <w:rFonts w:hint="cs"/>
          <w:rtl/>
        </w:rPr>
        <w:t xml:space="preserve"> היועמ"ש לממשלה</w:t>
      </w:r>
      <w:r>
        <w:rPr>
          <w:rFonts w:hint="cs"/>
          <w:rtl/>
        </w:rPr>
        <w:t xml:space="preserve"> למשנה ליועמ"ש לממשלה (משפט פלילי) ולשני חברי צוות, "כתב מינוי - צוות לבדיקת האזנות סתר בדרך של תקשורת בין מחשבים", 31.1.22.</w:t>
      </w:r>
    </w:p>
  </w:footnote>
  <w:footnote w:id="27">
    <w:p w:rsidR="00172C0A" w:rsidRDefault="00172C0A" w:rsidP="0058333C">
      <w:pPr>
        <w:pStyle w:val="ad"/>
        <w:ind w:left="282" w:hanging="567"/>
      </w:pPr>
      <w:r>
        <w:rPr>
          <w:rStyle w:val="af"/>
        </w:rPr>
        <w:footnoteRef/>
      </w:r>
      <w:r>
        <w:rPr>
          <w:rtl/>
        </w:rPr>
        <w:t xml:space="preserve"> </w:t>
      </w:r>
      <w:r>
        <w:rPr>
          <w:rtl/>
        </w:rPr>
        <w:tab/>
      </w:r>
      <w:r>
        <w:rPr>
          <w:rFonts w:hint="cs"/>
          <w:rtl/>
        </w:rPr>
        <w:t>להלן המלצות צוות מררי: (א) על המשטרה להביא לאישור הייעוץ המשפטי לממשלה טכנולוגיות מסוג חדש שהן בעלות פוטנציאל לחריגה מהסמכות הקבועה בדין. זאת קודם רכישתן או פיתוחן ובוודאי קודם הפעלתן; (ב)</w:t>
      </w:r>
      <w:r w:rsidRPr="009803B9">
        <w:rPr>
          <w:rFonts w:hint="cs"/>
          <w:rtl/>
        </w:rPr>
        <w:t xml:space="preserve"> </w:t>
      </w:r>
      <w:r w:rsidRPr="009803B9">
        <w:rPr>
          <w:rFonts w:hint="eastAsia"/>
          <w:rtl/>
        </w:rPr>
        <w:t>הבנ</w:t>
      </w:r>
      <w:r w:rsidRPr="005C202C">
        <w:rPr>
          <w:rFonts w:hint="eastAsia"/>
          <w:rtl/>
        </w:rPr>
        <w:t>יה</w:t>
      </w:r>
      <w:r w:rsidRPr="005C202C">
        <w:rPr>
          <w:rtl/>
        </w:rPr>
        <w:t xml:space="preserve"> </w:t>
      </w:r>
      <w:r w:rsidRPr="005C202C">
        <w:rPr>
          <w:rFonts w:hint="eastAsia"/>
          <w:rtl/>
        </w:rPr>
        <w:t>של</w:t>
      </w:r>
      <w:r w:rsidRPr="005C202C">
        <w:rPr>
          <w:rtl/>
        </w:rPr>
        <w:t xml:space="preserve"> </w:t>
      </w:r>
      <w:r w:rsidRPr="005C202C">
        <w:rPr>
          <w:rFonts w:hint="eastAsia"/>
          <w:rtl/>
        </w:rPr>
        <w:t>מנגנוני</w:t>
      </w:r>
      <w:r w:rsidRPr="005C202C">
        <w:rPr>
          <w:rtl/>
        </w:rPr>
        <w:t xml:space="preserve"> </w:t>
      </w:r>
      <w:r w:rsidRPr="005C202C">
        <w:rPr>
          <w:rFonts w:hint="eastAsia"/>
          <w:rtl/>
        </w:rPr>
        <w:t>פיקוח</w:t>
      </w:r>
      <w:r w:rsidRPr="005C202C">
        <w:rPr>
          <w:rtl/>
        </w:rPr>
        <w:t xml:space="preserve"> </w:t>
      </w:r>
      <w:r w:rsidRPr="005C202C">
        <w:rPr>
          <w:rFonts w:hint="eastAsia"/>
          <w:rtl/>
        </w:rPr>
        <w:t>ובקרה</w:t>
      </w:r>
      <w:r w:rsidRPr="005C202C">
        <w:rPr>
          <w:rtl/>
        </w:rPr>
        <w:t xml:space="preserve"> מקצועיים - טכנולוגיים ותהליכיים; (ג) בחינה מחדש של מבנה הייעוץ המשפטי של </w:t>
      </w:r>
      <w:r w:rsidRPr="005C202C">
        <w:rPr>
          <w:rFonts w:hint="eastAsia"/>
          <w:rtl/>
        </w:rPr>
        <w:t>המשטרה</w:t>
      </w:r>
      <w:r w:rsidRPr="005C202C">
        <w:rPr>
          <w:rtl/>
        </w:rPr>
        <w:t>; (ד) ה</w:t>
      </w:r>
      <w:r w:rsidRPr="005C202C">
        <w:rPr>
          <w:rFonts w:hint="eastAsia"/>
          <w:rtl/>
        </w:rPr>
        <w:t>עמקת</w:t>
      </w:r>
      <w:r w:rsidRPr="005C202C">
        <w:rPr>
          <w:rtl/>
        </w:rPr>
        <w:t xml:space="preserve"> הידע המשפטי הטכנולוגי של גורמי הפיקוח והבקרה במשרד המשפטים; (ה) </w:t>
      </w:r>
      <w:r w:rsidRPr="005C202C">
        <w:rPr>
          <w:rFonts w:hint="eastAsia"/>
          <w:rtl/>
        </w:rPr>
        <w:t>קידום</w:t>
      </w:r>
      <w:r w:rsidRPr="005C202C">
        <w:rPr>
          <w:rtl/>
        </w:rPr>
        <w:t xml:space="preserve"> תיקוני חקיקה; (ו) התאמה מלאה של הכלים לסמכו</w:t>
      </w:r>
      <w:r w:rsidRPr="005C202C">
        <w:rPr>
          <w:rFonts w:hint="eastAsia"/>
          <w:rtl/>
        </w:rPr>
        <w:t>יות</w:t>
      </w:r>
      <w:r w:rsidRPr="005C202C">
        <w:rPr>
          <w:rtl/>
        </w:rPr>
        <w:t xml:space="preserve"> המשטרה לפי חוק (חסימה טכנולוגית של היכולות העודפות); (ז) </w:t>
      </w:r>
      <w:r w:rsidRPr="005C202C">
        <w:rPr>
          <w:rFonts w:hint="eastAsia"/>
          <w:rtl/>
        </w:rPr>
        <w:t>להבטיח</w:t>
      </w:r>
      <w:r w:rsidRPr="005C202C">
        <w:rPr>
          <w:rtl/>
        </w:rPr>
        <w:t xml:space="preserve"> שהשימוש בכלים </w:t>
      </w:r>
      <w:r w:rsidRPr="005C202C">
        <w:rPr>
          <w:rFonts w:hint="eastAsia"/>
          <w:rtl/>
        </w:rPr>
        <w:t>ייעשה</w:t>
      </w:r>
      <w:r w:rsidRPr="005C202C">
        <w:rPr>
          <w:rtl/>
        </w:rPr>
        <w:t xml:space="preserve"> בכפוף לקיומם של נהלים ברורים </w:t>
      </w:r>
      <w:r w:rsidRPr="005C202C">
        <w:rPr>
          <w:rFonts w:hint="eastAsia"/>
          <w:rtl/>
        </w:rPr>
        <w:t>אשר</w:t>
      </w:r>
      <w:r w:rsidRPr="005C202C">
        <w:rPr>
          <w:rtl/>
        </w:rPr>
        <w:t xml:space="preserve"> יאושרו על ידי הייעוץ המשפטי למשטרה והייעוץ המשפטי לממשלה; (ח) </w:t>
      </w:r>
      <w:r w:rsidRPr="005C202C">
        <w:rPr>
          <w:rFonts w:hint="eastAsia"/>
          <w:rtl/>
        </w:rPr>
        <w:t>ולהבטיח</w:t>
      </w:r>
      <w:r w:rsidRPr="005C202C">
        <w:rPr>
          <w:rtl/>
        </w:rPr>
        <w:t xml:space="preserve"> פעולות פיקוח אפקטיביות - אנושיות וטכנולוגיות תוך הקפדה על ביצוע פיקוח שוטף.</w:t>
      </w:r>
    </w:p>
  </w:footnote>
  <w:footnote w:id="28">
    <w:p w:rsidR="00172C0A" w:rsidRDefault="00172C0A" w:rsidP="0058333C">
      <w:pPr>
        <w:pStyle w:val="ad"/>
        <w:ind w:left="282" w:hanging="567"/>
        <w:rPr>
          <w:rtl/>
        </w:rPr>
      </w:pPr>
      <w:r>
        <w:rPr>
          <w:rStyle w:val="af"/>
        </w:rPr>
        <w:footnoteRef/>
      </w:r>
      <w:r>
        <w:rPr>
          <w:rtl/>
        </w:rPr>
        <w:t xml:space="preserve"> </w:t>
      </w:r>
      <w:r>
        <w:rPr>
          <w:rtl/>
        </w:rPr>
        <w:tab/>
      </w:r>
      <w:r>
        <w:rPr>
          <w:rFonts w:hint="cs"/>
          <w:rtl/>
        </w:rPr>
        <w:t>החלטת הממשלה 897.</w:t>
      </w:r>
    </w:p>
  </w:footnote>
  <w:footnote w:id="29">
    <w:p w:rsidR="00172C0A" w:rsidRDefault="00172C0A" w:rsidP="001D42AD">
      <w:pPr>
        <w:pStyle w:val="ad"/>
        <w:ind w:left="282" w:hanging="567"/>
      </w:pPr>
      <w:r>
        <w:rPr>
          <w:rStyle w:val="af"/>
        </w:rPr>
        <w:footnoteRef/>
      </w:r>
      <w:r>
        <w:rPr>
          <w:rtl/>
        </w:rPr>
        <w:t xml:space="preserve"> </w:t>
      </w:r>
      <w:r>
        <w:rPr>
          <w:rtl/>
        </w:rPr>
        <w:tab/>
      </w:r>
      <w:r>
        <w:rPr>
          <w:rFonts w:hint="cs"/>
          <w:rtl/>
        </w:rPr>
        <w:t xml:space="preserve">הנחיית פרקליט המדינה 7.17 "אופן הפיקוח והבקרה של התביעה על עבודת המיון והסיווג של רשויות החקירה בנושא האזנות סתר", מיום 3.11.24. </w:t>
      </w:r>
    </w:p>
  </w:footnote>
  <w:footnote w:id="30">
    <w:p w:rsidR="00172C0A" w:rsidRPr="000E4134" w:rsidRDefault="00172C0A" w:rsidP="001D42AD">
      <w:pPr>
        <w:pStyle w:val="ad"/>
        <w:ind w:left="282" w:hanging="567"/>
        <w:rPr>
          <w:rFonts w:ascii="David" w:hAnsi="David"/>
        </w:rPr>
      </w:pPr>
      <w:r w:rsidRPr="000E4134">
        <w:rPr>
          <w:rStyle w:val="af"/>
          <w:rFonts w:ascii="David" w:hAnsi="David"/>
        </w:rPr>
        <w:footnoteRef/>
      </w:r>
      <w:r w:rsidRPr="000E4134">
        <w:rPr>
          <w:rFonts w:ascii="David" w:hAnsi="David"/>
          <w:rtl/>
        </w:rPr>
        <w:t xml:space="preserve"> </w:t>
      </w:r>
      <w:r w:rsidRPr="000E4134">
        <w:rPr>
          <w:rFonts w:ascii="David" w:hAnsi="David"/>
          <w:rtl/>
        </w:rPr>
        <w:tab/>
        <w:t xml:space="preserve">בג"ץ 2605/05 </w:t>
      </w:r>
      <w:r w:rsidRPr="000E4134">
        <w:rPr>
          <w:rFonts w:ascii="David" w:hAnsi="David"/>
          <w:b/>
          <w:bCs/>
          <w:rtl/>
        </w:rPr>
        <w:t>המרכז האקדמי למשפט ולעסקים נ' שר האוצר</w:t>
      </w:r>
      <w:r>
        <w:rPr>
          <w:rFonts w:ascii="David" w:hAnsi="David" w:hint="cs"/>
          <w:rtl/>
        </w:rPr>
        <w:t xml:space="preserve"> פ"ד סג(2) 542 (2009).</w:t>
      </w:r>
    </w:p>
  </w:footnote>
  <w:footnote w:id="31">
    <w:p w:rsidR="00172C0A" w:rsidRPr="000E4134" w:rsidRDefault="00172C0A" w:rsidP="001D42AD">
      <w:pPr>
        <w:pStyle w:val="ad"/>
        <w:ind w:left="282" w:hanging="567"/>
        <w:rPr>
          <w:rFonts w:ascii="David" w:hAnsi="David"/>
        </w:rPr>
      </w:pPr>
      <w:r w:rsidRPr="000E4134">
        <w:rPr>
          <w:rStyle w:val="af"/>
          <w:rFonts w:ascii="David" w:hAnsi="David"/>
        </w:rPr>
        <w:footnoteRef/>
      </w:r>
      <w:r w:rsidRPr="000E4134">
        <w:rPr>
          <w:rFonts w:ascii="David" w:hAnsi="David"/>
          <w:rtl/>
        </w:rPr>
        <w:t xml:space="preserve"> </w:t>
      </w:r>
      <w:r w:rsidRPr="000E4134">
        <w:rPr>
          <w:rFonts w:ascii="David" w:hAnsi="David"/>
          <w:rtl/>
        </w:rPr>
        <w:tab/>
        <w:t>"האזנת סתר היא התערבות חריפה בזכותו של אדם להיות עם עצמו. היא מהווה חדירה קשה לפרטיותו של האדם. היא שוללת מהאדם את מנוחת נפשו, את ביטחונו בחופש רצונו. היא הופכת את מבצרו לכלאו</w:t>
      </w:r>
      <w:r>
        <w:rPr>
          <w:rFonts w:ascii="David" w:hAnsi="David" w:hint="cs"/>
          <w:rtl/>
        </w:rPr>
        <w:t>... עם זאת, הזכות לפרטיות אינה מוחלטת. ניתן לפגוע בה לשם מניעת עבירות, אשר סופן הגנה על הפרטיות של אחרים, ועל כבודם וחירותם</w:t>
      </w:r>
      <w:r w:rsidRPr="000E4134">
        <w:rPr>
          <w:rFonts w:ascii="David" w:hAnsi="David"/>
          <w:rtl/>
        </w:rPr>
        <w:t xml:space="preserve">". </w:t>
      </w:r>
      <w:r>
        <w:rPr>
          <w:rFonts w:ascii="David" w:hAnsi="David" w:hint="cs"/>
          <w:rtl/>
        </w:rPr>
        <w:t xml:space="preserve">ע"פ </w:t>
      </w:r>
      <w:r w:rsidRPr="000E4134">
        <w:rPr>
          <w:rFonts w:ascii="David" w:hAnsi="David"/>
          <w:rtl/>
        </w:rPr>
        <w:t xml:space="preserve">1302/92 </w:t>
      </w:r>
      <w:r w:rsidRPr="000E4134">
        <w:rPr>
          <w:rFonts w:ascii="David" w:hAnsi="David"/>
          <w:b/>
          <w:bCs/>
          <w:rtl/>
        </w:rPr>
        <w:t>מדינת ישראל נ' נחמיאס</w:t>
      </w:r>
      <w:r w:rsidRPr="000E4134">
        <w:rPr>
          <w:rFonts w:ascii="David" w:hAnsi="David"/>
          <w:rtl/>
        </w:rPr>
        <w:t xml:space="preserve"> </w:t>
      </w:r>
      <w:r>
        <w:rPr>
          <w:rFonts w:ascii="David" w:hAnsi="David" w:hint="cs"/>
          <w:rtl/>
        </w:rPr>
        <w:t>פ"ד מט(3) 309 (1995).</w:t>
      </w:r>
      <w:r w:rsidRPr="000E4134">
        <w:rPr>
          <w:rFonts w:ascii="David" w:hAnsi="David"/>
          <w:rtl/>
        </w:rPr>
        <w:t xml:space="preserve"> </w:t>
      </w:r>
    </w:p>
  </w:footnote>
  <w:footnote w:id="32">
    <w:p w:rsidR="00172C0A" w:rsidRPr="000E4134" w:rsidRDefault="00172C0A" w:rsidP="001D42AD">
      <w:pPr>
        <w:pStyle w:val="ad"/>
        <w:ind w:left="282" w:hanging="567"/>
        <w:rPr>
          <w:rFonts w:ascii="David" w:hAnsi="David"/>
          <w:rtl/>
        </w:rPr>
      </w:pPr>
      <w:r w:rsidRPr="000E4134">
        <w:rPr>
          <w:rStyle w:val="af"/>
          <w:rFonts w:ascii="David" w:hAnsi="David"/>
        </w:rPr>
        <w:footnoteRef/>
      </w:r>
      <w:r w:rsidRPr="000E4134">
        <w:rPr>
          <w:rFonts w:ascii="David" w:hAnsi="David"/>
          <w:rtl/>
        </w:rPr>
        <w:t xml:space="preserve"> </w:t>
      </w:r>
      <w:r w:rsidRPr="000E4134">
        <w:rPr>
          <w:rFonts w:ascii="David" w:hAnsi="David"/>
          <w:rtl/>
        </w:rPr>
        <w:tab/>
        <w:t xml:space="preserve">בג"ץ 6732/20 </w:t>
      </w:r>
      <w:r w:rsidRPr="000E4134">
        <w:rPr>
          <w:rFonts w:ascii="David" w:hAnsi="David"/>
          <w:b/>
          <w:bCs/>
          <w:rtl/>
        </w:rPr>
        <w:t>האגודה לזכויות האזרח נ' הכנסת</w:t>
      </w:r>
      <w:r w:rsidRPr="000E4134">
        <w:rPr>
          <w:rFonts w:ascii="David" w:hAnsi="David"/>
          <w:rtl/>
        </w:rPr>
        <w:t xml:space="preserve"> (פורסם במאגר </w:t>
      </w:r>
      <w:r>
        <w:rPr>
          <w:rFonts w:ascii="David" w:hAnsi="David" w:hint="cs"/>
          <w:rtl/>
        </w:rPr>
        <w:t>ממוחשב,</w:t>
      </w:r>
      <w:r w:rsidRPr="000E4134">
        <w:rPr>
          <w:rFonts w:ascii="David" w:hAnsi="David"/>
          <w:rtl/>
        </w:rPr>
        <w:t xml:space="preserve"> 1.3.21), פסקה 12 לפסק דינה של השופטת דפנה ברק-ארז. </w:t>
      </w:r>
    </w:p>
  </w:footnote>
  <w:footnote w:id="33">
    <w:p w:rsidR="00172C0A" w:rsidRPr="000E4134" w:rsidRDefault="00172C0A" w:rsidP="001D42AD">
      <w:pPr>
        <w:pStyle w:val="ad"/>
        <w:ind w:left="282" w:hanging="567"/>
        <w:rPr>
          <w:rFonts w:ascii="David" w:hAnsi="David"/>
        </w:rPr>
      </w:pPr>
      <w:r w:rsidRPr="000E4134">
        <w:rPr>
          <w:rStyle w:val="af"/>
          <w:rFonts w:ascii="David" w:hAnsi="David"/>
        </w:rPr>
        <w:footnoteRef/>
      </w:r>
      <w:r w:rsidRPr="000E4134">
        <w:rPr>
          <w:rFonts w:ascii="David" w:hAnsi="David"/>
          <w:rtl/>
        </w:rPr>
        <w:t xml:space="preserve"> </w:t>
      </w:r>
      <w:r w:rsidRPr="000E4134">
        <w:rPr>
          <w:rFonts w:ascii="David" w:hAnsi="David"/>
          <w:rtl/>
        </w:rPr>
        <w:tab/>
        <w:t xml:space="preserve">יצחק זמיר, </w:t>
      </w:r>
      <w:r w:rsidRPr="008E3C30">
        <w:rPr>
          <w:rFonts w:ascii="David" w:hAnsi="David"/>
          <w:b/>
          <w:bCs/>
          <w:rtl/>
        </w:rPr>
        <w:t>הסמכות המינהלית</w:t>
      </w:r>
      <w:r w:rsidRPr="000E4134">
        <w:rPr>
          <w:rFonts w:ascii="David" w:hAnsi="David"/>
          <w:rtl/>
        </w:rPr>
        <w:t xml:space="preserve">, הוצאת נבו, מהדורה שנייה, כרך א' </w:t>
      </w:r>
      <w:r>
        <w:rPr>
          <w:rFonts w:ascii="David" w:hAnsi="David" w:hint="cs"/>
          <w:rtl/>
        </w:rPr>
        <w:t>(</w:t>
      </w:r>
      <w:r w:rsidRPr="000E4134">
        <w:rPr>
          <w:rFonts w:ascii="David" w:hAnsi="David"/>
          <w:rtl/>
        </w:rPr>
        <w:t>2010</w:t>
      </w:r>
      <w:r>
        <w:rPr>
          <w:rFonts w:ascii="David" w:hAnsi="David" w:hint="cs"/>
          <w:rtl/>
        </w:rPr>
        <w:t>)</w:t>
      </w:r>
      <w:r w:rsidRPr="000E4134">
        <w:rPr>
          <w:rFonts w:ascii="David" w:hAnsi="David"/>
          <w:rtl/>
        </w:rPr>
        <w:t>, עמ' 73.</w:t>
      </w:r>
    </w:p>
  </w:footnote>
  <w:footnote w:id="34">
    <w:p w:rsidR="00172C0A" w:rsidRPr="000E4134" w:rsidRDefault="00172C0A" w:rsidP="001D42AD">
      <w:pPr>
        <w:pStyle w:val="ad"/>
        <w:ind w:left="282" w:hanging="567"/>
        <w:rPr>
          <w:rFonts w:ascii="David" w:hAnsi="David"/>
          <w:rtl/>
        </w:rPr>
      </w:pPr>
      <w:r w:rsidRPr="000E4134">
        <w:rPr>
          <w:rStyle w:val="af"/>
          <w:rFonts w:ascii="David" w:hAnsi="David"/>
        </w:rPr>
        <w:footnoteRef/>
      </w:r>
      <w:r w:rsidRPr="000E4134">
        <w:rPr>
          <w:rFonts w:ascii="David" w:hAnsi="David"/>
          <w:rtl/>
        </w:rPr>
        <w:t xml:space="preserve"> </w:t>
      </w:r>
      <w:r w:rsidRPr="000E4134">
        <w:rPr>
          <w:rFonts w:ascii="David" w:hAnsi="David"/>
          <w:rtl/>
        </w:rPr>
        <w:tab/>
        <w:t>שם, זמיר</w:t>
      </w:r>
      <w:r>
        <w:rPr>
          <w:rFonts w:ascii="David" w:hAnsi="David" w:hint="cs"/>
          <w:rtl/>
        </w:rPr>
        <w:t>,</w:t>
      </w:r>
      <w:r w:rsidRPr="000E4134">
        <w:rPr>
          <w:rFonts w:ascii="David" w:hAnsi="David"/>
          <w:rtl/>
        </w:rPr>
        <w:t xml:space="preserve"> </w:t>
      </w:r>
      <w:r w:rsidRPr="008E3C30">
        <w:rPr>
          <w:rFonts w:ascii="David" w:hAnsi="David"/>
          <w:b/>
          <w:bCs/>
          <w:rtl/>
        </w:rPr>
        <w:t>הסמכות המינהלית</w:t>
      </w:r>
      <w:r>
        <w:rPr>
          <w:rFonts w:ascii="David" w:hAnsi="David"/>
          <w:rtl/>
        </w:rPr>
        <w:t>,</w:t>
      </w:r>
      <w:r>
        <w:rPr>
          <w:rFonts w:ascii="David" w:hAnsi="David" w:hint="cs"/>
          <w:rtl/>
        </w:rPr>
        <w:t xml:space="preserve"> </w:t>
      </w:r>
      <w:r w:rsidRPr="000E4134">
        <w:rPr>
          <w:rFonts w:ascii="David" w:hAnsi="David"/>
          <w:rtl/>
        </w:rPr>
        <w:t>עמ' 75.</w:t>
      </w:r>
    </w:p>
  </w:footnote>
  <w:footnote w:id="35">
    <w:p w:rsidR="00172C0A" w:rsidRPr="000E4134" w:rsidRDefault="00172C0A" w:rsidP="001D42AD">
      <w:pPr>
        <w:pStyle w:val="ad"/>
        <w:ind w:left="282" w:hanging="567"/>
        <w:rPr>
          <w:rFonts w:ascii="David" w:hAnsi="David"/>
        </w:rPr>
      </w:pPr>
      <w:r w:rsidRPr="000E4134">
        <w:rPr>
          <w:rStyle w:val="af"/>
          <w:rFonts w:ascii="David" w:hAnsi="David"/>
        </w:rPr>
        <w:footnoteRef/>
      </w:r>
      <w:r w:rsidRPr="000E4134">
        <w:rPr>
          <w:rFonts w:ascii="David" w:hAnsi="David"/>
          <w:rtl/>
        </w:rPr>
        <w:t xml:space="preserve"> </w:t>
      </w:r>
      <w:r w:rsidRPr="000E4134">
        <w:rPr>
          <w:rFonts w:ascii="David" w:hAnsi="David"/>
          <w:rtl/>
        </w:rPr>
        <w:tab/>
      </w:r>
      <w:r w:rsidRPr="00DF493F">
        <w:rPr>
          <w:rFonts w:ascii="David" w:hAnsi="David"/>
          <w:rtl/>
        </w:rPr>
        <w:t>"דין וחשבון של ועדת החקירה לעניין שיטות החקירה של שירות הביטחון הכללי בנושא פעילות חבלנית עוינת" (ועדת לנדוי) (1987). שם הועלתה הטענה כי השירות עושה עבודת קודש בהגנה על חיי אדם מפני מעשי טרור. הוועדה קבעה כי "צמרת השירות נכשלה בכך שלא הבינה ששום עשייה ביטחונית, חשובה ככל שתהיה, איננה יכולה להעמיד את עושיה מעל לחוק" (הציטוט של דברי הו</w:t>
      </w:r>
      <w:r w:rsidRPr="00DF493F">
        <w:rPr>
          <w:rFonts w:ascii="David" w:hAnsi="David" w:hint="cs"/>
          <w:rtl/>
        </w:rPr>
        <w:t>ו</w:t>
      </w:r>
      <w:r w:rsidRPr="00DF493F">
        <w:rPr>
          <w:rFonts w:ascii="David" w:hAnsi="David"/>
          <w:rtl/>
        </w:rPr>
        <w:t>עדה מספרו של יצחק זמיר, עמ' 76</w:t>
      </w:r>
      <w:r w:rsidRPr="00DF493F">
        <w:rPr>
          <w:rFonts w:ascii="David" w:hAnsi="David" w:hint="cs"/>
          <w:rtl/>
        </w:rPr>
        <w:t>,</w:t>
      </w:r>
      <w:r w:rsidRPr="00DF493F">
        <w:rPr>
          <w:rFonts w:ascii="David" w:hAnsi="David"/>
          <w:rtl/>
        </w:rPr>
        <w:t xml:space="preserve"> ה</w:t>
      </w:r>
      <w:r w:rsidRPr="00DF493F">
        <w:rPr>
          <w:rFonts w:ascii="David" w:hAnsi="David" w:hint="cs"/>
          <w:rtl/>
        </w:rPr>
        <w:t xml:space="preserve">ערת </w:t>
      </w:r>
      <w:r w:rsidRPr="00DF493F">
        <w:rPr>
          <w:rFonts w:ascii="David" w:hAnsi="David"/>
          <w:rtl/>
        </w:rPr>
        <w:t>ש</w:t>
      </w:r>
      <w:r w:rsidRPr="00DF493F">
        <w:rPr>
          <w:rFonts w:ascii="David" w:hAnsi="David" w:hint="cs"/>
          <w:rtl/>
        </w:rPr>
        <w:t>וליים</w:t>
      </w:r>
      <w:r w:rsidRPr="00DF493F">
        <w:rPr>
          <w:rFonts w:ascii="David" w:hAnsi="David"/>
          <w:rtl/>
        </w:rPr>
        <w:t xml:space="preserve"> 11)</w:t>
      </w:r>
      <w:r w:rsidRPr="00DF493F">
        <w:rPr>
          <w:rFonts w:ascii="David" w:hAnsi="David" w:hint="cs"/>
          <w:rtl/>
        </w:rPr>
        <w:t>.</w:t>
      </w:r>
    </w:p>
  </w:footnote>
  <w:footnote w:id="36">
    <w:p w:rsidR="00172C0A" w:rsidRDefault="00172C0A" w:rsidP="001D42AD">
      <w:pPr>
        <w:pStyle w:val="ad"/>
        <w:ind w:left="282" w:hanging="567"/>
        <w:rPr>
          <w:rtl/>
        </w:rPr>
      </w:pPr>
      <w:r>
        <w:rPr>
          <w:rStyle w:val="af"/>
        </w:rPr>
        <w:footnoteRef/>
      </w:r>
      <w:r>
        <w:rPr>
          <w:rtl/>
        </w:rPr>
        <w:t xml:space="preserve"> </w:t>
      </w:r>
      <w:r>
        <w:rPr>
          <w:rtl/>
        </w:rPr>
        <w:tab/>
      </w:r>
      <w:r>
        <w:rPr>
          <w:rFonts w:hint="cs"/>
          <w:rtl/>
        </w:rPr>
        <w:t xml:space="preserve">בג"ץ 5785/03 </w:t>
      </w:r>
      <w:r w:rsidRPr="0031396A">
        <w:rPr>
          <w:rFonts w:hint="cs"/>
          <w:b/>
          <w:bCs/>
          <w:rtl/>
        </w:rPr>
        <w:t>גדבאן נ' מדינת ישראל</w:t>
      </w:r>
      <w:r>
        <w:rPr>
          <w:rFonts w:hint="cs"/>
          <w:rtl/>
        </w:rPr>
        <w:t xml:space="preserve"> (פורסם במאגר משפטי 29.10.03).</w:t>
      </w:r>
      <w:r>
        <w:rPr>
          <w:rtl/>
        </w:rPr>
        <w:tab/>
      </w:r>
    </w:p>
  </w:footnote>
  <w:footnote w:id="37">
    <w:p w:rsidR="00172C0A" w:rsidRPr="000E4134" w:rsidRDefault="00172C0A" w:rsidP="001D42AD">
      <w:pPr>
        <w:pStyle w:val="ad"/>
        <w:ind w:left="282" w:hanging="567"/>
        <w:rPr>
          <w:rFonts w:ascii="David" w:hAnsi="David"/>
        </w:rPr>
      </w:pPr>
      <w:r w:rsidRPr="000E4134">
        <w:rPr>
          <w:rStyle w:val="af"/>
          <w:rFonts w:ascii="David" w:hAnsi="David"/>
        </w:rPr>
        <w:footnoteRef/>
      </w:r>
      <w:r w:rsidRPr="000E4134">
        <w:rPr>
          <w:rFonts w:ascii="David" w:hAnsi="David"/>
          <w:rtl/>
        </w:rPr>
        <w:t xml:space="preserve"> </w:t>
      </w:r>
      <w:r w:rsidRPr="000E4134">
        <w:rPr>
          <w:rFonts w:ascii="David" w:hAnsi="David"/>
          <w:rtl/>
        </w:rPr>
        <w:tab/>
        <w:t>לשם כך</w:t>
      </w:r>
      <w:r>
        <w:rPr>
          <w:rFonts w:ascii="David" w:hAnsi="David"/>
          <w:rtl/>
        </w:rPr>
        <w:t xml:space="preserve"> </w:t>
      </w:r>
      <w:r w:rsidRPr="000E4134">
        <w:rPr>
          <w:rFonts w:ascii="David" w:hAnsi="David"/>
          <w:rtl/>
        </w:rPr>
        <w:t>נדרש המאשר המשפטי להכיר ולהבין את אופני הפעולה השונים של האמצעי ואת דרכי השימוש</w:t>
      </w:r>
      <w:r>
        <w:rPr>
          <w:rFonts w:ascii="David" w:hAnsi="David"/>
          <w:rtl/>
        </w:rPr>
        <w:t xml:space="preserve"> </w:t>
      </w:r>
      <w:r w:rsidRPr="000E4134">
        <w:rPr>
          <w:rFonts w:ascii="David" w:hAnsi="David"/>
          <w:rtl/>
        </w:rPr>
        <w:t>שהותוו בו במגוון שלבים ובכלל זה כיצד האמצעי מותקן, כיצד הוא פועל, מה התוצרים המופקים באמצעותו ואיזה שימוש נעשה באותם תוצרים.</w:t>
      </w:r>
      <w:r>
        <w:rPr>
          <w:rFonts w:ascii="David" w:hAnsi="David"/>
          <w:rtl/>
        </w:rPr>
        <w:t xml:space="preserve"> </w:t>
      </w:r>
    </w:p>
  </w:footnote>
  <w:footnote w:id="38">
    <w:p w:rsidR="00172C0A" w:rsidRPr="000E4134" w:rsidRDefault="00172C0A" w:rsidP="001D42AD">
      <w:pPr>
        <w:pStyle w:val="ad"/>
        <w:ind w:left="282" w:hanging="567"/>
        <w:rPr>
          <w:rFonts w:ascii="David" w:hAnsi="David"/>
        </w:rPr>
      </w:pPr>
      <w:r w:rsidRPr="000E4134">
        <w:rPr>
          <w:rStyle w:val="af"/>
          <w:rFonts w:ascii="David" w:hAnsi="David"/>
        </w:rPr>
        <w:footnoteRef/>
      </w:r>
      <w:r w:rsidRPr="000E4134">
        <w:rPr>
          <w:rFonts w:ascii="David" w:hAnsi="David"/>
          <w:rtl/>
        </w:rPr>
        <w:t xml:space="preserve"> </w:t>
      </w:r>
      <w:r w:rsidRPr="000E4134">
        <w:rPr>
          <w:rFonts w:ascii="David" w:hAnsi="David"/>
          <w:rtl/>
        </w:rPr>
        <w:tab/>
        <w:t xml:space="preserve">הנחיית </w:t>
      </w:r>
      <w:r w:rsidRPr="001D42AD">
        <w:rPr>
          <w:rFonts w:hint="cs"/>
          <w:rtl/>
        </w:rPr>
        <w:t>ה</w:t>
      </w:r>
      <w:r w:rsidRPr="001D42AD">
        <w:rPr>
          <w:rtl/>
        </w:rPr>
        <w:t>יועמ</w:t>
      </w:r>
      <w:r w:rsidRPr="000E4134">
        <w:rPr>
          <w:rFonts w:ascii="David" w:hAnsi="David"/>
          <w:rtl/>
        </w:rPr>
        <w:t>"ש לממשלה 9.1000 בנושא "היועצים המשפטיים למשרדי הממשלה", עדכון אחרון מאי 2015.</w:t>
      </w:r>
    </w:p>
  </w:footnote>
  <w:footnote w:id="39">
    <w:p w:rsidR="00172C0A" w:rsidRPr="000E4134" w:rsidRDefault="00172C0A" w:rsidP="001D42AD">
      <w:pPr>
        <w:pStyle w:val="ad"/>
        <w:ind w:left="282" w:hanging="567"/>
        <w:rPr>
          <w:rFonts w:ascii="David" w:hAnsi="David"/>
          <w:rtl/>
        </w:rPr>
      </w:pPr>
      <w:r w:rsidRPr="000E4134">
        <w:rPr>
          <w:rStyle w:val="af"/>
          <w:rFonts w:ascii="David" w:hAnsi="David"/>
        </w:rPr>
        <w:footnoteRef/>
      </w:r>
      <w:r w:rsidRPr="000E4134">
        <w:rPr>
          <w:rFonts w:ascii="David" w:hAnsi="David"/>
          <w:rtl/>
        </w:rPr>
        <w:t xml:space="preserve"> </w:t>
      </w:r>
      <w:r w:rsidRPr="000E4134">
        <w:rPr>
          <w:rFonts w:ascii="David" w:hAnsi="David"/>
          <w:rtl/>
        </w:rPr>
        <w:tab/>
        <w:t xml:space="preserve">כן </w:t>
      </w:r>
      <w:r w:rsidRPr="001D42AD">
        <w:rPr>
          <w:rtl/>
        </w:rPr>
        <w:t>מגדירה</w:t>
      </w:r>
      <w:r w:rsidRPr="000E4134">
        <w:rPr>
          <w:rFonts w:ascii="David" w:hAnsi="David"/>
          <w:rtl/>
        </w:rPr>
        <w:t xml:space="preserve"> ההנחיה שיש לפנות להנחיה בעת </w:t>
      </w:r>
      <w:r>
        <w:rPr>
          <w:rFonts w:ascii="David" w:hAnsi="David" w:hint="cs"/>
          <w:rtl/>
        </w:rPr>
        <w:t>ה</w:t>
      </w:r>
      <w:r w:rsidRPr="000E4134">
        <w:rPr>
          <w:rFonts w:ascii="David" w:hAnsi="David"/>
          <w:rtl/>
        </w:rPr>
        <w:t>צורך בהכרעה במחלוקת בין גורמים שונים ולשם התייעצות</w:t>
      </w:r>
      <w:r>
        <w:rPr>
          <w:rFonts w:ascii="David" w:hAnsi="David" w:hint="cs"/>
          <w:rtl/>
        </w:rPr>
        <w:t>.</w:t>
      </w:r>
    </w:p>
  </w:footnote>
  <w:footnote w:id="40">
    <w:p w:rsidR="00172C0A" w:rsidRDefault="00172C0A" w:rsidP="001D42AD">
      <w:pPr>
        <w:pStyle w:val="ad"/>
        <w:ind w:left="282" w:hanging="567"/>
      </w:pPr>
      <w:r>
        <w:rPr>
          <w:rStyle w:val="af"/>
        </w:rPr>
        <w:footnoteRef/>
      </w:r>
      <w:r>
        <w:rPr>
          <w:rtl/>
        </w:rPr>
        <w:t xml:space="preserve"> </w:t>
      </w:r>
      <w:r>
        <w:rPr>
          <w:rtl/>
        </w:rPr>
        <w:tab/>
      </w:r>
      <w:r>
        <w:rPr>
          <w:rFonts w:hint="cs"/>
          <w:rtl/>
        </w:rPr>
        <w:t>העמדה המשפטית של היועמ"שית לממשלה בעניין סמכות המשטרה להתקין כלי טכנולוגי לצורך האזנת סתר בהיעדרה של הסדרה נורמטיבית הייתה שבמקרה זה נדרשת התייחסות זהירה במיוחד בבחינה המשפטית בדבר מידת התאמת אמצעי ההאזנה (</w:t>
      </w:r>
      <w:r w:rsidRPr="007A652A">
        <w:rPr>
          <w:rFonts w:hint="cs"/>
          <w:b/>
          <w:bCs/>
          <w:rtl/>
        </w:rPr>
        <w:t>דוח צוות מררי</w:t>
      </w:r>
      <w:r>
        <w:rPr>
          <w:rFonts w:hint="cs"/>
          <w:rtl/>
        </w:rPr>
        <w:t>, נספח ב' - עמדה משפטית, סעיפים 15 ואילך).</w:t>
      </w:r>
    </w:p>
  </w:footnote>
  <w:footnote w:id="41">
    <w:p w:rsidR="00172C0A" w:rsidRDefault="00172C0A" w:rsidP="001D42AD">
      <w:pPr>
        <w:pStyle w:val="ad"/>
        <w:ind w:left="282" w:hanging="567"/>
      </w:pPr>
      <w:r>
        <w:rPr>
          <w:rStyle w:val="af"/>
        </w:rPr>
        <w:footnoteRef/>
      </w:r>
      <w:r>
        <w:rPr>
          <w:rtl/>
        </w:rPr>
        <w:t xml:space="preserve"> </w:t>
      </w:r>
      <w:r>
        <w:rPr>
          <w:rtl/>
        </w:rPr>
        <w:tab/>
      </w:r>
      <w:r w:rsidRPr="00515633">
        <w:rPr>
          <w:rFonts w:hint="cs"/>
          <w:b/>
          <w:bCs/>
          <w:rtl/>
        </w:rPr>
        <w:t>דוח צוות מררי</w:t>
      </w:r>
      <w:r>
        <w:rPr>
          <w:rFonts w:hint="cs"/>
          <w:rtl/>
        </w:rPr>
        <w:t>, עמ' 7.</w:t>
      </w:r>
    </w:p>
  </w:footnote>
  <w:footnote w:id="42">
    <w:p w:rsidR="00172C0A" w:rsidRPr="006542FB" w:rsidRDefault="00172C0A" w:rsidP="001D42AD">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r>
      <w:r w:rsidRPr="001D42AD">
        <w:rPr>
          <w:rtl/>
        </w:rPr>
        <w:t>תשובת</w:t>
      </w:r>
      <w:r w:rsidRPr="006542FB">
        <w:rPr>
          <w:rFonts w:ascii="David" w:hAnsi="David"/>
          <w:rtl/>
        </w:rPr>
        <w:t xml:space="preserve"> המדינה בבג"ץ 641/21 </w:t>
      </w:r>
      <w:r w:rsidRPr="006542FB">
        <w:rPr>
          <w:rFonts w:ascii="David" w:hAnsi="David"/>
          <w:b/>
          <w:bCs/>
          <w:rtl/>
        </w:rPr>
        <w:t>האגודה לזכויות האזרח בישראל נ' משטרת ישראל</w:t>
      </w:r>
      <w:r>
        <w:rPr>
          <w:rFonts w:ascii="David" w:hAnsi="David"/>
          <w:rtl/>
        </w:rPr>
        <w:t xml:space="preserve"> </w:t>
      </w:r>
      <w:r w:rsidRPr="006542FB">
        <w:rPr>
          <w:rFonts w:ascii="David" w:hAnsi="David"/>
          <w:rtl/>
        </w:rPr>
        <w:t xml:space="preserve">("עין הנץ" - תגובה </w:t>
      </w:r>
      <w:r>
        <w:rPr>
          <w:rFonts w:ascii="David" w:hAnsi="David"/>
          <w:rtl/>
        </w:rPr>
        <w:br/>
      </w:r>
      <w:r w:rsidRPr="006542FB">
        <w:rPr>
          <w:rFonts w:ascii="David" w:hAnsi="David"/>
          <w:rtl/>
        </w:rPr>
        <w:t>מ-20.5.21</w:t>
      </w:r>
      <w:r>
        <w:rPr>
          <w:rFonts w:ascii="David" w:hAnsi="David" w:hint="cs"/>
          <w:rtl/>
        </w:rPr>
        <w:t>).</w:t>
      </w:r>
      <w:r w:rsidRPr="006542FB">
        <w:rPr>
          <w:rFonts w:ascii="David" w:hAnsi="David"/>
          <w:rtl/>
        </w:rPr>
        <w:t xml:space="preserve"> עמדת המדינה כפי שהובאה בתשובה על העתירה בנוגע להסדרת סמכות המשטרה להשתמש במערכת "עין הנץ" על פי חוק היא כי </w:t>
      </w:r>
      <w:r>
        <w:rPr>
          <w:rFonts w:ascii="David" w:hAnsi="David" w:hint="cs"/>
          <w:rtl/>
        </w:rPr>
        <w:t>"</w:t>
      </w:r>
      <w:r w:rsidRPr="006542FB">
        <w:rPr>
          <w:rFonts w:ascii="David" w:hAnsi="David"/>
          <w:rtl/>
        </w:rPr>
        <w:t>אף על פי שהמערכת מופעלת בסמכות, למצער היבטים מסוימים של השימוש בה ראוי להם להיות מוסדרים בחקיקה ראשית"</w:t>
      </w:r>
      <w:r>
        <w:rPr>
          <w:rFonts w:ascii="David" w:hAnsi="David" w:hint="cs"/>
          <w:rtl/>
        </w:rPr>
        <w:t>;</w:t>
      </w:r>
      <w:r w:rsidRPr="006542FB">
        <w:rPr>
          <w:rFonts w:ascii="David" w:hAnsi="David"/>
          <w:rtl/>
        </w:rPr>
        <w:t xml:space="preserve"> ובהמשך: "הסמכות קיימת כבר בדין הקיים. אולם המדינה מבקשת לקדם חקיקה במטרה לקבוע ברמה נורמטיבית גבוהה יותר את הכללים המסדירים את גבולות השימוש במערכת, המבטיחים כי הפגיעה בפרטיות תהיה מצומצמת ככל שניתן, מוגבלת, סבירה ומידתית".</w:t>
      </w:r>
    </w:p>
  </w:footnote>
  <w:footnote w:id="43">
    <w:p w:rsidR="00172C0A" w:rsidRDefault="00172C0A" w:rsidP="001D42AD">
      <w:pPr>
        <w:pStyle w:val="ad"/>
        <w:ind w:left="282" w:hanging="567"/>
        <w:rPr>
          <w:rtl/>
        </w:rPr>
      </w:pPr>
      <w:r>
        <w:rPr>
          <w:rStyle w:val="af"/>
        </w:rPr>
        <w:footnoteRef/>
      </w:r>
      <w:r>
        <w:rPr>
          <w:rtl/>
        </w:rPr>
        <w:t xml:space="preserve"> </w:t>
      </w:r>
      <w:r>
        <w:rPr>
          <w:rtl/>
        </w:rPr>
        <w:tab/>
      </w:r>
      <w:r>
        <w:rPr>
          <w:rFonts w:hint="cs"/>
          <w:rtl/>
        </w:rPr>
        <w:t>מסמך תכולות עבודה הוא המסמך בו פורטו הפעולות והעבודה שעל החברה המפתחת לבצע במסגרת ההתקשרות עם המשטרה לרכישת הכלי.</w:t>
      </w:r>
    </w:p>
  </w:footnote>
  <w:footnote w:id="44">
    <w:p w:rsidR="00172C0A" w:rsidRPr="000E4134" w:rsidRDefault="00172C0A" w:rsidP="001D42AD">
      <w:pPr>
        <w:pStyle w:val="ad"/>
        <w:ind w:left="282" w:hanging="567"/>
        <w:rPr>
          <w:rFonts w:ascii="David" w:hAnsi="David"/>
        </w:rPr>
      </w:pPr>
      <w:r w:rsidRPr="000E4134">
        <w:rPr>
          <w:rStyle w:val="af"/>
          <w:rFonts w:ascii="David" w:hAnsi="David"/>
        </w:rPr>
        <w:footnoteRef/>
      </w:r>
      <w:r w:rsidRPr="000E4134">
        <w:rPr>
          <w:rFonts w:ascii="David" w:hAnsi="David"/>
          <w:rtl/>
        </w:rPr>
        <w:t xml:space="preserve"> </w:t>
      </w:r>
      <w:r w:rsidRPr="000E4134">
        <w:rPr>
          <w:rFonts w:ascii="David" w:hAnsi="David"/>
          <w:rtl/>
        </w:rPr>
        <w:tab/>
        <w:t>על פי חוק, על המפכ"ל להגיש ליועמ"ש לממשלה</w:t>
      </w:r>
      <w:r>
        <w:rPr>
          <w:rFonts w:ascii="David" w:hAnsi="David" w:hint="cs"/>
          <w:rtl/>
        </w:rPr>
        <w:t xml:space="preserve"> אחת לחודש</w:t>
      </w:r>
      <w:r w:rsidRPr="000E4134">
        <w:rPr>
          <w:rFonts w:ascii="David" w:hAnsi="David"/>
          <w:rtl/>
        </w:rPr>
        <w:t xml:space="preserve"> דיווח על צווים להאזנות סתר שניתנו למטרות מניעת פשיעה וגילוי עבריינים מכוח סעיף 6 לחוק האזנת סתר וכן דיווח על היתרים שניתנו </w:t>
      </w:r>
      <w:r>
        <w:rPr>
          <w:rFonts w:ascii="David" w:hAnsi="David" w:hint="cs"/>
          <w:rtl/>
        </w:rPr>
        <w:t xml:space="preserve">להאזנה לשיחות חסויות ובהתאם לחוק חסינות חברי כנסת. </w:t>
      </w:r>
      <w:r w:rsidRPr="000E4134">
        <w:rPr>
          <w:rFonts w:ascii="David" w:hAnsi="David"/>
          <w:rtl/>
        </w:rPr>
        <w:t xml:space="preserve">על פי סעיף 4(ה)(1) לחוק נתוני תקשורת, </w:t>
      </w:r>
      <w:r>
        <w:rPr>
          <w:rFonts w:ascii="David" w:hAnsi="David" w:hint="cs"/>
          <w:rtl/>
        </w:rPr>
        <w:t xml:space="preserve">ראש אח"ם יגיש </w:t>
      </w:r>
      <w:r w:rsidRPr="0050144B">
        <w:rPr>
          <w:rFonts w:ascii="David" w:hAnsi="David" w:hint="eastAsia"/>
          <w:rtl/>
        </w:rPr>
        <w:t>דוח</w:t>
      </w:r>
      <w:r w:rsidRPr="0050144B">
        <w:rPr>
          <w:rFonts w:ascii="David" w:hAnsi="David"/>
          <w:rtl/>
        </w:rPr>
        <w:t xml:space="preserve"> </w:t>
      </w:r>
      <w:r w:rsidRPr="0050144B">
        <w:rPr>
          <w:rFonts w:ascii="David" w:hAnsi="David" w:hint="eastAsia"/>
          <w:rtl/>
        </w:rPr>
        <w:t>כזה</w:t>
      </w:r>
      <w:r>
        <w:rPr>
          <w:rFonts w:ascii="David" w:hAnsi="David" w:hint="cs"/>
          <w:rtl/>
        </w:rPr>
        <w:t xml:space="preserve"> </w:t>
      </w:r>
      <w:r w:rsidRPr="000E4134">
        <w:rPr>
          <w:rFonts w:ascii="David" w:hAnsi="David"/>
          <w:rtl/>
        </w:rPr>
        <w:t>אחת לשלושה חודשים. ככלל, אחת לחודש מתקיימת פגישה בין נציגי המשטרה לצוותו של היועמ"ש לממשלה שבה מוצג דיווח על הבקשות שהוגשו</w:t>
      </w:r>
      <w:r>
        <w:rPr>
          <w:rFonts w:ascii="David" w:hAnsi="David" w:hint="cs"/>
          <w:rtl/>
        </w:rPr>
        <w:t>.</w:t>
      </w:r>
      <w:r w:rsidRPr="000E4134">
        <w:rPr>
          <w:rFonts w:ascii="David" w:hAnsi="David"/>
          <w:rtl/>
        </w:rPr>
        <w:t xml:space="preserve"> </w:t>
      </w:r>
      <w:r>
        <w:rPr>
          <w:rFonts w:ascii="David" w:hAnsi="David" w:hint="cs"/>
          <w:rtl/>
        </w:rPr>
        <w:t>בפגישה מנהלים הנציגים ו</w:t>
      </w:r>
      <w:r w:rsidRPr="000E4134">
        <w:rPr>
          <w:rFonts w:ascii="David" w:hAnsi="David"/>
          <w:rtl/>
        </w:rPr>
        <w:t>הצוות דיון כללי בסוגיות רוחב וכן דיון פרטני בתיקים ספציפיים.</w:t>
      </w:r>
      <w:r>
        <w:rPr>
          <w:rFonts w:ascii="David" w:hAnsi="David" w:hint="cs"/>
          <w:rtl/>
        </w:rPr>
        <w:t xml:space="preserve"> </w:t>
      </w:r>
    </w:p>
  </w:footnote>
  <w:footnote w:id="45">
    <w:p w:rsidR="00172C0A" w:rsidRPr="000E4134" w:rsidRDefault="00172C0A" w:rsidP="001D42AD">
      <w:pPr>
        <w:pStyle w:val="ad"/>
        <w:ind w:left="282" w:hanging="567"/>
        <w:rPr>
          <w:rFonts w:ascii="David" w:hAnsi="David"/>
        </w:rPr>
      </w:pPr>
      <w:r w:rsidRPr="000E4134">
        <w:rPr>
          <w:rStyle w:val="af"/>
          <w:rFonts w:ascii="David" w:hAnsi="David"/>
        </w:rPr>
        <w:footnoteRef/>
      </w:r>
      <w:r w:rsidRPr="000E4134">
        <w:rPr>
          <w:rFonts w:ascii="David" w:hAnsi="David"/>
          <w:rtl/>
        </w:rPr>
        <w:t xml:space="preserve"> </w:t>
      </w:r>
      <w:r w:rsidRPr="000E4134">
        <w:rPr>
          <w:rFonts w:ascii="David" w:hAnsi="David"/>
          <w:rtl/>
        </w:rPr>
        <w:tab/>
      </w:r>
      <w:r w:rsidRPr="00745545">
        <w:rPr>
          <w:rFonts w:ascii="David" w:hAnsi="David"/>
          <w:rtl/>
        </w:rPr>
        <w:t xml:space="preserve">הפגישות מתקיימות </w:t>
      </w:r>
      <w:r w:rsidRPr="00745545">
        <w:rPr>
          <w:rFonts w:ascii="David" w:hAnsi="David" w:hint="cs"/>
          <w:rtl/>
        </w:rPr>
        <w:t xml:space="preserve">בנוגע </w:t>
      </w:r>
      <w:r w:rsidRPr="00745545">
        <w:rPr>
          <w:rFonts w:ascii="David" w:hAnsi="David"/>
          <w:rtl/>
        </w:rPr>
        <w:t>לדיווח</w:t>
      </w:r>
      <w:r w:rsidRPr="00745545">
        <w:rPr>
          <w:rFonts w:ascii="David" w:hAnsi="David" w:hint="cs"/>
          <w:rtl/>
        </w:rPr>
        <w:t>ים הנעשים כמפורט בהערת השוליים לעיל</w:t>
      </w:r>
      <w:r>
        <w:rPr>
          <w:rFonts w:ascii="David" w:hAnsi="David" w:hint="cs"/>
          <w:rtl/>
        </w:rPr>
        <w:t>.</w:t>
      </w:r>
    </w:p>
  </w:footnote>
  <w:footnote w:id="46">
    <w:p w:rsidR="00172C0A" w:rsidRDefault="00172C0A" w:rsidP="001D42AD">
      <w:pPr>
        <w:pStyle w:val="ad"/>
        <w:ind w:left="282" w:hanging="567"/>
        <w:rPr>
          <w:rtl/>
        </w:rPr>
      </w:pPr>
      <w:r>
        <w:rPr>
          <w:rStyle w:val="af"/>
        </w:rPr>
        <w:footnoteRef/>
      </w:r>
      <w:r>
        <w:rPr>
          <w:rtl/>
        </w:rPr>
        <w:t xml:space="preserve"> </w:t>
      </w:r>
      <w:r>
        <w:rPr>
          <w:rtl/>
        </w:rPr>
        <w:tab/>
      </w:r>
      <w:r>
        <w:rPr>
          <w:rFonts w:hint="cs"/>
          <w:rtl/>
        </w:rPr>
        <w:t>עוד לעניין מתווה התקנה זה ראו להלן בפרק "התקנת כלים טכנולוגיים לצורכי האזנת סתר".</w:t>
      </w:r>
    </w:p>
  </w:footnote>
  <w:footnote w:id="47">
    <w:p w:rsidR="00172C0A" w:rsidRDefault="00172C0A" w:rsidP="00A73F04">
      <w:pPr>
        <w:pStyle w:val="ad"/>
        <w:ind w:left="282" w:hanging="567"/>
        <w:rPr>
          <w:rtl/>
        </w:rPr>
      </w:pPr>
      <w:r>
        <w:rPr>
          <w:rStyle w:val="af"/>
        </w:rPr>
        <w:footnoteRef/>
      </w:r>
      <w:r>
        <w:rPr>
          <w:rtl/>
        </w:rPr>
        <w:t xml:space="preserve"> </w:t>
      </w:r>
      <w:r>
        <w:rPr>
          <w:rtl/>
        </w:rPr>
        <w:tab/>
      </w:r>
      <w:r>
        <w:rPr>
          <w:rFonts w:hint="cs"/>
          <w:rtl/>
        </w:rPr>
        <w:t>ראו הרחבה להלן בפרק "התקנת כלים טכנולוגיים לצורכי האזנת סתר".</w:t>
      </w:r>
    </w:p>
  </w:footnote>
  <w:footnote w:id="48">
    <w:p w:rsidR="00172C0A" w:rsidRPr="000E4134" w:rsidRDefault="00172C0A" w:rsidP="00A73F04">
      <w:pPr>
        <w:pStyle w:val="ad"/>
        <w:ind w:left="282" w:hanging="567"/>
        <w:rPr>
          <w:rFonts w:ascii="David" w:hAnsi="David"/>
          <w:rtl/>
        </w:rPr>
      </w:pPr>
      <w:r w:rsidRPr="000E4134">
        <w:rPr>
          <w:rStyle w:val="af"/>
          <w:rFonts w:ascii="David" w:hAnsi="David"/>
        </w:rPr>
        <w:footnoteRef/>
      </w:r>
      <w:r w:rsidRPr="000E4134">
        <w:rPr>
          <w:rFonts w:ascii="David" w:hAnsi="David"/>
          <w:rtl/>
        </w:rPr>
        <w:t xml:space="preserve"> </w:t>
      </w:r>
      <w:r w:rsidRPr="000E4134">
        <w:rPr>
          <w:rFonts w:ascii="David" w:hAnsi="David"/>
          <w:rtl/>
        </w:rPr>
        <w:tab/>
        <w:t xml:space="preserve">הייעוץ </w:t>
      </w:r>
      <w:r w:rsidRPr="00A73F04">
        <w:rPr>
          <w:rtl/>
        </w:rPr>
        <w:t>המשפטי</w:t>
      </w:r>
      <w:r w:rsidRPr="000E4134">
        <w:rPr>
          <w:rFonts w:ascii="David" w:hAnsi="David"/>
          <w:rtl/>
        </w:rPr>
        <w:t xml:space="preserve"> למשטרה הסתמך על סעיפים 3 ו</w:t>
      </w:r>
      <w:r>
        <w:rPr>
          <w:rFonts w:ascii="David" w:hAnsi="David" w:hint="cs"/>
          <w:rtl/>
        </w:rPr>
        <w:t>-</w:t>
      </w:r>
      <w:r w:rsidRPr="000E4134">
        <w:rPr>
          <w:rFonts w:ascii="David" w:hAnsi="David"/>
          <w:rtl/>
        </w:rPr>
        <w:t>5 לפקודת המשטרה</w:t>
      </w:r>
      <w:r>
        <w:rPr>
          <w:rFonts w:ascii="David" w:hAnsi="David" w:hint="cs"/>
          <w:rtl/>
        </w:rPr>
        <w:t xml:space="preserve"> [נוסח חדש], התשל"א-1971,</w:t>
      </w:r>
      <w:r w:rsidRPr="000E4134">
        <w:rPr>
          <w:rFonts w:ascii="David" w:hAnsi="David"/>
          <w:rtl/>
        </w:rPr>
        <w:t xml:space="preserve"> כמקור סמכות להפעלת ה</w:t>
      </w:r>
      <w:r>
        <w:rPr>
          <w:rFonts w:ascii="David" w:hAnsi="David" w:hint="cs"/>
          <w:rtl/>
        </w:rPr>
        <w:t>מערכת</w:t>
      </w:r>
      <w:r w:rsidRPr="000E4134">
        <w:rPr>
          <w:rFonts w:ascii="David" w:hAnsi="David"/>
          <w:rtl/>
        </w:rPr>
        <w:t xml:space="preserve">. סעיף 3 לפקודת המשטרה קובע בין היתר כי </w:t>
      </w:r>
      <w:r>
        <w:rPr>
          <w:rFonts w:ascii="David" w:hAnsi="David" w:hint="cs"/>
          <w:rtl/>
        </w:rPr>
        <w:t>ה</w:t>
      </w:r>
      <w:r w:rsidRPr="000E4134">
        <w:rPr>
          <w:rFonts w:ascii="David" w:hAnsi="David"/>
          <w:rtl/>
        </w:rPr>
        <w:t>משטר</w:t>
      </w:r>
      <w:r>
        <w:rPr>
          <w:rFonts w:ascii="David" w:hAnsi="David" w:hint="cs"/>
          <w:rtl/>
        </w:rPr>
        <w:t>ה</w:t>
      </w:r>
      <w:r w:rsidRPr="000E4134">
        <w:rPr>
          <w:rFonts w:ascii="David" w:hAnsi="David"/>
          <w:rtl/>
        </w:rPr>
        <w:t xml:space="preserve"> </w:t>
      </w:r>
      <w:r>
        <w:rPr>
          <w:rFonts w:ascii="David" w:hAnsi="David" w:hint="cs"/>
          <w:rtl/>
        </w:rPr>
        <w:t>תעסוק</w:t>
      </w:r>
      <w:r w:rsidRPr="000E4134">
        <w:rPr>
          <w:rFonts w:ascii="David" w:hAnsi="David"/>
          <w:rtl/>
        </w:rPr>
        <w:t xml:space="preserve"> במניעת עבירות ובגילוין, </w:t>
      </w:r>
      <w:r>
        <w:rPr>
          <w:rFonts w:ascii="David" w:hAnsi="David" w:hint="cs"/>
          <w:rtl/>
        </w:rPr>
        <w:t>ב</w:t>
      </w:r>
      <w:r w:rsidRPr="000E4134">
        <w:rPr>
          <w:rFonts w:ascii="David" w:hAnsi="David"/>
          <w:rtl/>
        </w:rPr>
        <w:t>תפ</w:t>
      </w:r>
      <w:r>
        <w:rPr>
          <w:rFonts w:ascii="David" w:hAnsi="David" w:hint="cs"/>
          <w:rtl/>
        </w:rPr>
        <w:t>י</w:t>
      </w:r>
      <w:r w:rsidRPr="000E4134">
        <w:rPr>
          <w:rFonts w:ascii="David" w:hAnsi="David"/>
          <w:rtl/>
        </w:rPr>
        <w:t>ס</w:t>
      </w:r>
      <w:r>
        <w:rPr>
          <w:rFonts w:ascii="David" w:hAnsi="David" w:hint="cs"/>
          <w:rtl/>
        </w:rPr>
        <w:t>ת</w:t>
      </w:r>
      <w:r w:rsidRPr="000E4134">
        <w:rPr>
          <w:rFonts w:ascii="David" w:hAnsi="David"/>
          <w:rtl/>
        </w:rPr>
        <w:t xml:space="preserve"> עבריינים ו</w:t>
      </w:r>
      <w:r>
        <w:rPr>
          <w:rFonts w:ascii="David" w:hAnsi="David" w:hint="cs"/>
          <w:rtl/>
        </w:rPr>
        <w:t xml:space="preserve">בתביעתם </w:t>
      </w:r>
      <w:r w:rsidRPr="000E4134">
        <w:rPr>
          <w:rFonts w:ascii="David" w:hAnsi="David"/>
          <w:rtl/>
        </w:rPr>
        <w:t xml:space="preserve">לדין. סעיף 5 לפקודת המשטרה קובע את תפקידיו של השוטר. </w:t>
      </w:r>
    </w:p>
  </w:footnote>
  <w:footnote w:id="49">
    <w:p w:rsidR="00172C0A" w:rsidRDefault="00172C0A" w:rsidP="00A73F04">
      <w:pPr>
        <w:pStyle w:val="ad"/>
        <w:ind w:left="282" w:hanging="567"/>
        <w:rPr>
          <w:rtl/>
        </w:rPr>
      </w:pPr>
      <w:r>
        <w:rPr>
          <w:rStyle w:val="af"/>
        </w:rPr>
        <w:footnoteRef/>
      </w:r>
      <w:r>
        <w:rPr>
          <w:rtl/>
        </w:rPr>
        <w:t xml:space="preserve"> </w:t>
      </w:r>
      <w:r>
        <w:rPr>
          <w:b/>
          <w:bCs/>
          <w:rtl/>
        </w:rPr>
        <w:tab/>
      </w:r>
      <w:r w:rsidRPr="00072692">
        <w:rPr>
          <w:rFonts w:hint="eastAsia"/>
          <w:b/>
          <w:bCs/>
          <w:rtl/>
        </w:rPr>
        <w:t>תיקוף</w:t>
      </w:r>
      <w:r w:rsidRPr="00072692">
        <w:rPr>
          <w:b/>
          <w:bCs/>
          <w:rtl/>
        </w:rPr>
        <w:t xml:space="preserve"> </w:t>
      </w:r>
      <w:r w:rsidRPr="00072692">
        <w:rPr>
          <w:rFonts w:hint="eastAsia"/>
          <w:b/>
          <w:bCs/>
          <w:rtl/>
        </w:rPr>
        <w:t>ראייתי</w:t>
      </w:r>
      <w:r>
        <w:rPr>
          <w:rFonts w:hint="cs"/>
          <w:rtl/>
        </w:rPr>
        <w:t xml:space="preserve"> - חוות דעת משפטית של יועמ"ש המתירה את</w:t>
      </w:r>
      <w:r w:rsidRPr="004623DF">
        <w:rPr>
          <w:rtl/>
        </w:rPr>
        <w:t xml:space="preserve"> </w:t>
      </w:r>
      <w:r>
        <w:rPr>
          <w:rFonts w:hint="cs"/>
          <w:rtl/>
        </w:rPr>
        <w:t>השימוש בתוצר שמקורו בכלי טכנולוגי כראיה בהליך הפלילי.</w:t>
      </w:r>
    </w:p>
  </w:footnote>
  <w:footnote w:id="50">
    <w:p w:rsidR="00172C0A" w:rsidRPr="006542FB" w:rsidRDefault="00172C0A" w:rsidP="00A73F04">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ככלל, </w:t>
      </w:r>
      <w:r w:rsidRPr="00A73F04">
        <w:rPr>
          <w:rFonts w:hint="cs"/>
          <w:rtl/>
        </w:rPr>
        <w:t>ב</w:t>
      </w:r>
      <w:r w:rsidRPr="00A73F04">
        <w:rPr>
          <w:rtl/>
        </w:rPr>
        <w:t>מסמך</w:t>
      </w:r>
      <w:r w:rsidRPr="006542FB">
        <w:rPr>
          <w:rFonts w:ascii="David" w:hAnsi="David"/>
          <w:rtl/>
        </w:rPr>
        <w:t xml:space="preserve"> התכולות מפורטים הנתונים האלה: (א) עקרונות ההפעלה של הכלי, כלומר </w:t>
      </w:r>
      <w:r w:rsidRPr="0030074F">
        <w:rPr>
          <w:rFonts w:ascii="David" w:hAnsi="David" w:hint="eastAsia"/>
          <w:rtl/>
        </w:rPr>
        <w:t>כיצד</w:t>
      </w:r>
      <w:r w:rsidRPr="0030074F">
        <w:rPr>
          <w:rFonts w:ascii="David" w:hAnsi="David"/>
          <w:rtl/>
        </w:rPr>
        <w:t xml:space="preserve"> </w:t>
      </w:r>
      <w:r w:rsidRPr="006542FB">
        <w:rPr>
          <w:rFonts w:ascii="David" w:hAnsi="David"/>
          <w:rtl/>
        </w:rPr>
        <w:t>מתקבלים תוצרי האזנה ו</w:t>
      </w:r>
      <w:r>
        <w:rPr>
          <w:rFonts w:ascii="David" w:hAnsi="David" w:hint="cs"/>
          <w:rtl/>
        </w:rPr>
        <w:t>תקשורת בין מחשבים.</w:t>
      </w:r>
      <w:r w:rsidRPr="006542FB">
        <w:rPr>
          <w:rFonts w:ascii="David" w:hAnsi="David"/>
          <w:rtl/>
        </w:rPr>
        <w:t xml:space="preserve"> (ב) סיווג של התוצרים והסבר על מהותם (סוג תוכן התוצר, מקור התוצר כגון אפליקציה וזמן יצירת התוצר)</w:t>
      </w:r>
      <w:r>
        <w:rPr>
          <w:rFonts w:ascii="David" w:hAnsi="David" w:hint="cs"/>
          <w:rtl/>
        </w:rPr>
        <w:t>.</w:t>
      </w:r>
      <w:r w:rsidRPr="006542FB">
        <w:rPr>
          <w:rFonts w:ascii="David" w:hAnsi="David"/>
          <w:rtl/>
        </w:rPr>
        <w:t xml:space="preserve"> (ג) התייחסות למידת הדיוק של התוצר ולאפשרות להסיק מסקנות ממנו.</w:t>
      </w:r>
    </w:p>
  </w:footnote>
  <w:footnote w:id="51">
    <w:p w:rsidR="00172C0A" w:rsidRPr="006542FB" w:rsidRDefault="00172C0A" w:rsidP="00A73F04">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לצורך תיקוף ראייתי של תוצר מערכת טכנולוגית בתחום האזנות סתר ונתוני תקשורת נדרשת הפרקליטות להכין חוות דעת משפטית הכוללת ניתוח של תהליך האזנת סתר </w:t>
      </w:r>
      <w:r w:rsidRPr="00213977">
        <w:rPr>
          <w:rFonts w:ascii="David" w:hAnsi="David"/>
          <w:rtl/>
        </w:rPr>
        <w:t>לשמע ולנתוני תקשורת</w:t>
      </w:r>
      <w:r w:rsidRPr="006542FB">
        <w:rPr>
          <w:rFonts w:ascii="David" w:hAnsi="David"/>
          <w:rtl/>
        </w:rPr>
        <w:t>; אופן פעולתם של ה</w:t>
      </w:r>
      <w:r>
        <w:rPr>
          <w:rFonts w:ascii="David" w:hAnsi="David" w:hint="cs"/>
          <w:rtl/>
        </w:rPr>
        <w:t>כלים וה</w:t>
      </w:r>
      <w:r w:rsidRPr="006542FB">
        <w:rPr>
          <w:rFonts w:ascii="David" w:hAnsi="David"/>
          <w:rtl/>
        </w:rPr>
        <w:t xml:space="preserve">אמצעים הטכנולוגיים שבשימוש המשטרה; מידת תקינותם ומידת קבילותם. לצורך כך נסמכת הפרקליטות על חוות דעת של מומחים טכנולוגיים בענייני סיגינט מטעם המשטרה, ועל מפגשי עבודה עם גורמי המשטרה המקצועיים המפעילים את המערכות ועם גורמים משפטיים מחטיבת הסייבר והייעוץ המשפטי </w:t>
      </w:r>
      <w:r>
        <w:rPr>
          <w:rFonts w:ascii="David" w:hAnsi="David" w:hint="cs"/>
          <w:rtl/>
        </w:rPr>
        <w:t>ל</w:t>
      </w:r>
      <w:r w:rsidRPr="006542FB">
        <w:rPr>
          <w:rFonts w:ascii="David" w:hAnsi="David"/>
          <w:rtl/>
        </w:rPr>
        <w:t>משטרה. חוות הדעת המשפטית של הפרקליטות מועברת לידיעתו או לאישורו של המשנה לפרקליט המדינה.</w:t>
      </w:r>
    </w:p>
  </w:footnote>
  <w:footnote w:id="52">
    <w:p w:rsidR="00172C0A" w:rsidRPr="003104D3" w:rsidRDefault="00172C0A" w:rsidP="00A73F04">
      <w:pPr>
        <w:pStyle w:val="ad"/>
        <w:ind w:left="282" w:hanging="567"/>
        <w:rPr>
          <w:rFonts w:ascii="David" w:hAnsi="David"/>
        </w:rPr>
      </w:pPr>
      <w:r>
        <w:rPr>
          <w:rStyle w:val="af"/>
        </w:rPr>
        <w:footnoteRef/>
      </w:r>
      <w:r>
        <w:rPr>
          <w:rtl/>
        </w:rPr>
        <w:t xml:space="preserve"> </w:t>
      </w:r>
      <w:r>
        <w:rPr>
          <w:rtl/>
        </w:rPr>
        <w:tab/>
      </w:r>
      <w:r w:rsidRPr="003104D3">
        <w:rPr>
          <w:rFonts w:ascii="David" w:hAnsi="David" w:hint="cs"/>
          <w:rtl/>
        </w:rPr>
        <w:t xml:space="preserve">סעיף 11, סעיף 12 (א)(1)(א) וסעיף 67 לחוק סדר הדין הפלילי [נוסח משולב], </w:t>
      </w:r>
      <w:r>
        <w:rPr>
          <w:rFonts w:ascii="David" w:hAnsi="David" w:hint="cs"/>
          <w:rtl/>
        </w:rPr>
        <w:t>ה</w:t>
      </w:r>
      <w:r w:rsidRPr="003104D3">
        <w:rPr>
          <w:rFonts w:ascii="David" w:hAnsi="David" w:hint="cs"/>
          <w:rtl/>
        </w:rPr>
        <w:t>תשמ"ב-1982.</w:t>
      </w:r>
    </w:p>
  </w:footnote>
  <w:footnote w:id="53">
    <w:p w:rsidR="00172C0A" w:rsidRDefault="00172C0A" w:rsidP="00A73F04">
      <w:pPr>
        <w:pStyle w:val="ad"/>
        <w:ind w:left="282" w:hanging="567"/>
      </w:pPr>
      <w:r>
        <w:rPr>
          <w:rStyle w:val="af"/>
        </w:rPr>
        <w:footnoteRef/>
      </w:r>
      <w:r>
        <w:rPr>
          <w:rtl/>
        </w:rPr>
        <w:t xml:space="preserve"> </w:t>
      </w:r>
      <w:r>
        <w:rPr>
          <w:rtl/>
        </w:rPr>
        <w:tab/>
      </w:r>
      <w:r w:rsidRPr="009B32E2">
        <w:rPr>
          <w:rFonts w:ascii="David" w:hAnsi="David" w:hint="cs"/>
          <w:rtl/>
        </w:rPr>
        <w:t xml:space="preserve">סעיף 62(א) לחוק סדר הדין הפלילי [נוסח משולב], </w:t>
      </w:r>
      <w:r>
        <w:rPr>
          <w:rFonts w:ascii="David" w:hAnsi="David" w:hint="cs"/>
          <w:rtl/>
        </w:rPr>
        <w:t>ה</w:t>
      </w:r>
      <w:r w:rsidRPr="009B32E2">
        <w:rPr>
          <w:rFonts w:ascii="David" w:hAnsi="David" w:hint="cs"/>
          <w:rtl/>
        </w:rPr>
        <w:t>תשמ"ב</w:t>
      </w:r>
      <w:r>
        <w:rPr>
          <w:rFonts w:ascii="David" w:hAnsi="David" w:hint="cs"/>
          <w:rtl/>
        </w:rPr>
        <w:t>-</w:t>
      </w:r>
      <w:r w:rsidRPr="009B32E2">
        <w:rPr>
          <w:rFonts w:ascii="David" w:hAnsi="David" w:hint="cs"/>
          <w:rtl/>
        </w:rPr>
        <w:t>1982.</w:t>
      </w:r>
    </w:p>
  </w:footnote>
  <w:footnote w:id="54">
    <w:p w:rsidR="00172C0A" w:rsidRDefault="00172C0A" w:rsidP="00A73F04">
      <w:pPr>
        <w:pStyle w:val="ad"/>
        <w:ind w:left="282" w:hanging="567"/>
      </w:pPr>
      <w:r>
        <w:rPr>
          <w:rStyle w:val="af"/>
        </w:rPr>
        <w:footnoteRef/>
      </w:r>
      <w:r>
        <w:rPr>
          <w:rtl/>
        </w:rPr>
        <w:t xml:space="preserve"> </w:t>
      </w:r>
      <w:r>
        <w:rPr>
          <w:rtl/>
        </w:rPr>
        <w:tab/>
      </w:r>
      <w:r w:rsidRPr="00480D66">
        <w:rPr>
          <w:rFonts w:ascii="David" w:hAnsi="David" w:hint="cs"/>
          <w:rtl/>
        </w:rPr>
        <w:t xml:space="preserve">בהתאם לחוק סדר הדין הפלילי [נוסח משולב], </w:t>
      </w:r>
      <w:r>
        <w:rPr>
          <w:rFonts w:ascii="David" w:hAnsi="David" w:hint="cs"/>
          <w:rtl/>
        </w:rPr>
        <w:t>ה</w:t>
      </w:r>
      <w:r w:rsidRPr="00480D66">
        <w:rPr>
          <w:rFonts w:ascii="David" w:hAnsi="David" w:hint="cs"/>
          <w:rtl/>
        </w:rPr>
        <w:t>תשמ"ב</w:t>
      </w:r>
      <w:r>
        <w:rPr>
          <w:rFonts w:ascii="David" w:hAnsi="David" w:hint="cs"/>
          <w:rtl/>
        </w:rPr>
        <w:t>-</w:t>
      </w:r>
      <w:r w:rsidRPr="00480D66">
        <w:rPr>
          <w:rFonts w:ascii="David" w:hAnsi="David" w:hint="cs"/>
          <w:rtl/>
        </w:rPr>
        <w:t xml:space="preserve">1982, החלטת הפרקליט אם להעמיד את החשוד לדין תלויה בקיומן של ראיות מספיקות לאישום בתיק; בעניין הציבורי שבהגשת כתב אישום; ובסיכוי, בהתאם לראיות המצויות בתיק, שאם יוגש כתב האישום, ההליך יסתיים בהרשעה. </w:t>
      </w:r>
      <w:r>
        <w:rPr>
          <w:rFonts w:ascii="David" w:hAnsi="David" w:hint="cs"/>
          <w:rtl/>
        </w:rPr>
        <w:t xml:space="preserve">יש לציין כי </w:t>
      </w:r>
      <w:r w:rsidRPr="004C49DE">
        <w:rPr>
          <w:rFonts w:ascii="David" w:hAnsi="David"/>
          <w:rtl/>
        </w:rPr>
        <w:t>לעיתים ההחלטה על סגירת תיק טעונה אישור של גורם בכיר יותר כמו פרקליט המחוז או פרקליט בכיר.</w:t>
      </w:r>
      <w:r>
        <w:rPr>
          <w:rFonts w:ascii="David" w:hAnsi="David" w:hint="cs"/>
          <w:rtl/>
        </w:rPr>
        <w:t xml:space="preserve"> </w:t>
      </w:r>
      <w:r w:rsidRPr="00480D66">
        <w:rPr>
          <w:rFonts w:ascii="David" w:hAnsi="David" w:hint="cs"/>
          <w:rtl/>
        </w:rPr>
        <w:t xml:space="preserve">ככלל, בעל הסמכות להגיש כתב אישום הוא גם בעל הסמכות להורות על סגירת התיק </w:t>
      </w:r>
      <w:r w:rsidRPr="00C55BE9">
        <w:rPr>
          <w:rFonts w:ascii="David" w:hAnsi="David" w:hint="eastAsia"/>
          <w:rtl/>
        </w:rPr>
        <w:t>בלי</w:t>
      </w:r>
      <w:r>
        <w:rPr>
          <w:rFonts w:ascii="David" w:hAnsi="David" w:hint="cs"/>
          <w:rtl/>
        </w:rPr>
        <w:t xml:space="preserve"> </w:t>
      </w:r>
      <w:r w:rsidRPr="00480D66">
        <w:rPr>
          <w:rFonts w:ascii="David" w:hAnsi="David" w:hint="cs"/>
          <w:rtl/>
        </w:rPr>
        <w:t>להגיש כתב האישום.</w:t>
      </w:r>
    </w:p>
  </w:footnote>
  <w:footnote w:id="55">
    <w:p w:rsidR="00172C0A" w:rsidRPr="006542FB" w:rsidRDefault="00172C0A" w:rsidP="00A73F04">
      <w:pPr>
        <w:pStyle w:val="ad"/>
        <w:ind w:left="282" w:hanging="567"/>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להרחבה ראו מאמרם של ד"ר אסף וינר ועו"ד הדס תמם בן-אברהם, איגוד האינטרנט הישראלי, סקירה מקצועית מיוחדת בנושא: "טכנולוגיות חדירה וחיפוש במכשירים חכמים ונכסים דיגיטליים על ידי רשויות האכיפה בישראל", ינואר 2023.</w:t>
      </w:r>
    </w:p>
  </w:footnote>
  <w:footnote w:id="56">
    <w:p w:rsidR="00172C0A" w:rsidRPr="006542FB" w:rsidRDefault="00172C0A" w:rsidP="00A73F04">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"קבילות משפטית" של מערכת להאזנת סתר הוא מונח שגוי ש</w:t>
      </w:r>
      <w:r>
        <w:rPr>
          <w:rFonts w:ascii="David" w:hAnsi="David" w:hint="cs"/>
          <w:rtl/>
        </w:rPr>
        <w:t>משתמשים</w:t>
      </w:r>
      <w:r w:rsidRPr="006542FB">
        <w:rPr>
          <w:rFonts w:ascii="David" w:hAnsi="David"/>
          <w:rtl/>
        </w:rPr>
        <w:t xml:space="preserve"> בו במסמכי המשטרה והפרקליטות, שמשמעות</w:t>
      </w:r>
      <w:r>
        <w:rPr>
          <w:rFonts w:ascii="David" w:hAnsi="David" w:hint="cs"/>
          <w:rtl/>
        </w:rPr>
        <w:t>ו</w:t>
      </w:r>
      <w:r w:rsidRPr="006542FB">
        <w:rPr>
          <w:rFonts w:ascii="David" w:hAnsi="David"/>
          <w:rtl/>
        </w:rPr>
        <w:t xml:space="preserve"> "תיקוף ראייתי" או "קבילות ראייתית". עם זאת, מעיון בתוכן המסמכים עולה כי נוסף על "התיקוף הראייתי" שנתן הגורם בפרקליטות, קרי השימוש בתוצרי הכלי כראייה במשפט, אישרה הפרקליטות למשטרה כי בסמכותה להשתמש בכלי. </w:t>
      </w:r>
    </w:p>
  </w:footnote>
  <w:footnote w:id="57">
    <w:p w:rsidR="00172C0A" w:rsidRDefault="00172C0A" w:rsidP="00A73F04">
      <w:pPr>
        <w:pStyle w:val="ad"/>
        <w:ind w:left="282" w:hanging="567"/>
        <w:rPr>
          <w:rtl/>
        </w:rPr>
      </w:pPr>
      <w:r>
        <w:rPr>
          <w:rStyle w:val="af"/>
        </w:rPr>
        <w:footnoteRef/>
      </w:r>
      <w:r>
        <w:rPr>
          <w:rtl/>
        </w:rPr>
        <w:t xml:space="preserve"> </w:t>
      </w:r>
      <w:r>
        <w:rPr>
          <w:rtl/>
        </w:rPr>
        <w:tab/>
      </w:r>
      <w:r w:rsidRPr="00452186">
        <w:rPr>
          <w:rFonts w:hint="cs"/>
          <w:rtl/>
        </w:rPr>
        <w:t>סעיף 1 לחוק האזנת סתר.</w:t>
      </w:r>
      <w:r>
        <w:rPr>
          <w:rFonts w:hint="cs"/>
          <w:rtl/>
        </w:rPr>
        <w:t xml:space="preserve"> </w:t>
      </w:r>
    </w:p>
  </w:footnote>
  <w:footnote w:id="58">
    <w:p w:rsidR="00172C0A" w:rsidRDefault="00172C0A" w:rsidP="00A73F04">
      <w:pPr>
        <w:pStyle w:val="ad"/>
        <w:ind w:left="282" w:hanging="567"/>
        <w:rPr>
          <w:rtl/>
        </w:rPr>
      </w:pPr>
      <w:r>
        <w:rPr>
          <w:rStyle w:val="af"/>
        </w:rPr>
        <w:footnoteRef/>
      </w:r>
      <w:r>
        <w:rPr>
          <w:rtl/>
        </w:rPr>
        <w:t xml:space="preserve"> </w:t>
      </w:r>
      <w:r>
        <w:rPr>
          <w:rtl/>
        </w:rPr>
        <w:tab/>
      </w:r>
      <w:r>
        <w:rPr>
          <w:rFonts w:hint="cs"/>
          <w:rtl/>
        </w:rPr>
        <w:t>סעיף 6(ד) לחוק האזנת סתר.</w:t>
      </w:r>
    </w:p>
  </w:footnote>
  <w:footnote w:id="59">
    <w:p w:rsidR="00172C0A" w:rsidRDefault="00172C0A" w:rsidP="00A73F04">
      <w:pPr>
        <w:pStyle w:val="ad"/>
        <w:ind w:left="282" w:hanging="567"/>
        <w:rPr>
          <w:rtl/>
        </w:rPr>
      </w:pPr>
      <w:r>
        <w:rPr>
          <w:rStyle w:val="af"/>
        </w:rPr>
        <w:footnoteRef/>
      </w:r>
      <w:r>
        <w:rPr>
          <w:rtl/>
        </w:rPr>
        <w:t xml:space="preserve"> </w:t>
      </w:r>
      <w:r>
        <w:rPr>
          <w:b/>
          <w:bCs/>
          <w:rtl/>
        </w:rPr>
        <w:tab/>
      </w:r>
      <w:r w:rsidRPr="00A21AE3">
        <w:rPr>
          <w:rFonts w:hint="eastAsia"/>
          <w:b/>
          <w:bCs/>
          <w:rtl/>
        </w:rPr>
        <w:t>שימוש</w:t>
      </w:r>
      <w:r w:rsidRPr="00A21AE3">
        <w:rPr>
          <w:b/>
          <w:bCs/>
          <w:rtl/>
        </w:rPr>
        <w:t xml:space="preserve"> </w:t>
      </w:r>
      <w:r w:rsidRPr="00A21AE3">
        <w:rPr>
          <w:rFonts w:hint="eastAsia"/>
          <w:b/>
          <w:bCs/>
          <w:rtl/>
        </w:rPr>
        <w:t>ראייתי</w:t>
      </w:r>
      <w:r>
        <w:rPr>
          <w:rFonts w:hint="cs"/>
          <w:rtl/>
        </w:rPr>
        <w:t xml:space="preserve"> - </w:t>
      </w:r>
      <w:r>
        <w:rPr>
          <w:rtl/>
        </w:rPr>
        <w:t>הגשת חומר כראייה בהליך פלילי בהתאם לפקודת הראיות והנחיות פרקליט המדינה, כדי לבסס עליו פסק דין. הגשת החומר נדרשת במישור הדיוני והמהותי לשם הוכחת עצם קיומו של החומר, העמדתו במבחן מהימנות בפני בית המשפט, וכהבאתו כראיה לאמיתות תוכנו. לעניין שימוש ראייתי בתוצר האזנת סתר</w:t>
      </w:r>
      <w:r>
        <w:rPr>
          <w:rFonts w:hint="cs"/>
          <w:rtl/>
        </w:rPr>
        <w:t>,</w:t>
      </w:r>
      <w:r>
        <w:rPr>
          <w:rtl/>
        </w:rPr>
        <w:t xml:space="preserve"> יובהר כי שימוש ראייתי עשוי להתקיים לאחר שנעשה שימוש בתוצרי ההאזנה על ידי גורם משטרתי ורק לאחר שהוחלט על הגשת כתב אישום בתיק חקירה. </w:t>
      </w:r>
    </w:p>
  </w:footnote>
  <w:footnote w:id="60">
    <w:p w:rsidR="00172C0A" w:rsidRDefault="00172C0A" w:rsidP="00A73F04">
      <w:pPr>
        <w:pStyle w:val="ad"/>
        <w:ind w:left="282" w:hanging="567"/>
        <w:rPr>
          <w:rtl/>
        </w:rPr>
      </w:pPr>
      <w:r>
        <w:rPr>
          <w:rStyle w:val="af"/>
        </w:rPr>
        <w:footnoteRef/>
      </w:r>
      <w:r>
        <w:rPr>
          <w:rtl/>
        </w:rPr>
        <w:t xml:space="preserve"> </w:t>
      </w:r>
      <w:r>
        <w:rPr>
          <w:rtl/>
        </w:rPr>
        <w:tab/>
      </w:r>
      <w:r>
        <w:rPr>
          <w:rFonts w:hint="cs"/>
          <w:rtl/>
        </w:rPr>
        <w:t>אתר הכנסת, ועדת החוקה חוק ומשפט</w:t>
      </w:r>
      <w:r w:rsidRPr="008F543F">
        <w:rPr>
          <w:rtl/>
        </w:rPr>
        <w:t>,</w:t>
      </w:r>
      <w:r w:rsidRPr="005571ED">
        <w:rPr>
          <w:b/>
          <w:bCs/>
          <w:rtl/>
        </w:rPr>
        <w:t xml:space="preserve"> דיווח לפי חוק האזנת סתר, </w:t>
      </w:r>
      <w:r>
        <w:rPr>
          <w:rFonts w:hint="cs"/>
          <w:b/>
          <w:bCs/>
          <w:rtl/>
        </w:rPr>
        <w:t>ה</w:t>
      </w:r>
      <w:r w:rsidRPr="005571ED">
        <w:rPr>
          <w:b/>
          <w:bCs/>
          <w:rtl/>
        </w:rPr>
        <w:t>תשל"ט</w:t>
      </w:r>
      <w:r>
        <w:rPr>
          <w:rFonts w:hint="cs"/>
          <w:b/>
          <w:bCs/>
          <w:rtl/>
        </w:rPr>
        <w:t>-</w:t>
      </w:r>
      <w:r w:rsidRPr="005571ED">
        <w:rPr>
          <w:b/>
          <w:bCs/>
          <w:rtl/>
        </w:rPr>
        <w:t>1979</w:t>
      </w:r>
      <w:r>
        <w:rPr>
          <w:rFonts w:hint="cs"/>
          <w:rtl/>
        </w:rPr>
        <w:t xml:space="preserve"> (פורסם במרשתת).</w:t>
      </w:r>
    </w:p>
  </w:footnote>
  <w:footnote w:id="61">
    <w:p w:rsidR="00172C0A" w:rsidRDefault="00172C0A" w:rsidP="00A73F04">
      <w:pPr>
        <w:pStyle w:val="ad"/>
        <w:ind w:left="282" w:hanging="567"/>
        <w:rPr>
          <w:rtl/>
        </w:rPr>
      </w:pPr>
      <w:r>
        <w:rPr>
          <w:rStyle w:val="af"/>
        </w:rPr>
        <w:footnoteRef/>
      </w:r>
      <w:r>
        <w:rPr>
          <w:rtl/>
        </w:rPr>
        <w:t xml:space="preserve"> </w:t>
      </w:r>
      <w:r>
        <w:rPr>
          <w:rtl/>
        </w:rPr>
        <w:tab/>
      </w:r>
      <w:r>
        <w:rPr>
          <w:rFonts w:hint="cs"/>
          <w:rtl/>
        </w:rPr>
        <w:t>לפי נתוני הלשכה המרכזית לסטטיסטיקה בין השנים 2003 - 2005 היקף האוכלוסייה בישראל היה כ-6.7 - 6.9 מיליון אנשים, ובין השנים 2019 - 2021 היקף האוכלוסייה בישראל היה כ-9.1 - 9.4 מיליון אנשים. לפיכך, גידול האוכלוסייה בין התקופות היה כ-2.8 מיליון אנשים ובשיעור של כ-42%. לפי אומדני ונתוני איגוד הטלקומוניקציה הבינלאומי בישראל היו כ-6.6 - 7.7 מיליון מנויים לטלפונים סלולריים בין השנים 2003 - 2005 ובין השנים 2019 - 2021 היו כ-11.7 - 12.5 מנויים לטלפונים סלולריים. לפיכך, גידול מספר המנויים בין התקופות עמד על כ-6.4 מיליון מנויים ובשיעור של כ-105%. מגמת הפשיעה לפי נתוני משטרת ישראל מזה מספר שנים היא של ירידה במספר תיקי החקירה. לפי השנתונים הסטטיסטיים של המשטרה בשנים 2003 - 2005 היו בין 519-495 אלף תיקי חקירה והסתמנה ירידה של כ-2%, בין השנים 2019 - 2021 היו בין 286 - 305 אלף תיקי חקירה והסתמנה עלייה של כ-1%, בין התקופות הסתמנה ירידה של כ-40% אך ייתכן וזו נובעת מפערים שונים באיסוף המידע.</w:t>
      </w:r>
    </w:p>
  </w:footnote>
  <w:footnote w:id="62">
    <w:p w:rsidR="00172C0A" w:rsidRDefault="00172C0A" w:rsidP="00A73F04">
      <w:pPr>
        <w:pStyle w:val="ad"/>
        <w:ind w:left="282" w:hanging="567"/>
        <w:rPr>
          <w:rtl/>
        </w:rPr>
      </w:pPr>
      <w:r>
        <w:rPr>
          <w:rStyle w:val="af"/>
        </w:rPr>
        <w:footnoteRef/>
      </w:r>
      <w:r>
        <w:rPr>
          <w:rtl/>
        </w:rPr>
        <w:t xml:space="preserve"> </w:t>
      </w:r>
      <w:r>
        <w:rPr>
          <w:rtl/>
        </w:rPr>
        <w:tab/>
      </w:r>
      <w:r>
        <w:rPr>
          <w:rFonts w:hint="cs"/>
          <w:rtl/>
        </w:rPr>
        <w:t xml:space="preserve">מדריך האו"ם למערכות מידע ולניהול יעיל של טכנולוגיות מידע במגזר הציבורי - </w:t>
      </w:r>
      <w:r>
        <w:rPr>
          <w:rFonts w:hint="cs"/>
        </w:rPr>
        <w:t>G</w:t>
      </w:r>
      <w:r>
        <w:t>overnment information systems - A guide to effective use of information technology in the public sector for developing countries</w:t>
      </w:r>
      <w:r>
        <w:rPr>
          <w:rFonts w:hint="cs"/>
          <w:rtl/>
        </w:rPr>
        <w:t xml:space="preserve">, </w:t>
      </w:r>
      <w:r>
        <w:rPr>
          <w:rFonts w:hint="cs"/>
        </w:rPr>
        <w:t>ST</w:t>
      </w:r>
      <w:r>
        <w:t>/</w:t>
      </w:r>
      <w:r>
        <w:rPr>
          <w:rFonts w:hint="cs"/>
        </w:rPr>
        <w:t>TCD</w:t>
      </w:r>
      <w:r>
        <w:t>/SER.E/28</w:t>
      </w:r>
      <w:r>
        <w:rPr>
          <w:rFonts w:hint="cs"/>
          <w:rtl/>
        </w:rPr>
        <w:t xml:space="preserve">, עמ' 4, 22-23. </w:t>
      </w:r>
    </w:p>
  </w:footnote>
  <w:footnote w:id="63">
    <w:p w:rsidR="00172C0A" w:rsidRDefault="00172C0A" w:rsidP="00A73F04">
      <w:pPr>
        <w:pStyle w:val="ad"/>
        <w:ind w:left="282" w:hanging="567"/>
      </w:pPr>
      <w:r>
        <w:rPr>
          <w:rStyle w:val="af"/>
        </w:rPr>
        <w:footnoteRef/>
      </w:r>
      <w:r>
        <w:rPr>
          <w:rtl/>
        </w:rPr>
        <w:t xml:space="preserve"> </w:t>
      </w:r>
      <w:r>
        <w:rPr>
          <w:rtl/>
        </w:rPr>
        <w:tab/>
      </w:r>
      <w:r>
        <w:rPr>
          <w:rFonts w:hint="cs"/>
          <w:rtl/>
        </w:rPr>
        <w:t xml:space="preserve">החלטת הממשלה 4028, "חיזוק יכולות המשילות, התכנון והביצוע של הממשלה - המשך הדיון" (25.12.11); החלטת הממשלה 1933, "שיפור העברת המידע הממשלתי והנגשת מאגרי מידע ממשלתיים לציבור", (30.8.16); החלטת הממשלה 4753, "הגברת השימוש במידע ממשלתי לצורך שיפור המדיניות הממשלתית והעברת האפקטיביות של פעולות הממשלה" (24.11.19); </w:t>
      </w:r>
    </w:p>
  </w:footnote>
  <w:footnote w:id="64">
    <w:p w:rsidR="00172C0A" w:rsidRDefault="00172C0A" w:rsidP="00A73F04">
      <w:pPr>
        <w:pStyle w:val="ad"/>
        <w:ind w:left="282" w:hanging="567"/>
      </w:pPr>
      <w:r>
        <w:rPr>
          <w:rStyle w:val="af"/>
        </w:rPr>
        <w:footnoteRef/>
      </w:r>
      <w:r>
        <w:rPr>
          <w:rtl/>
        </w:rPr>
        <w:t xml:space="preserve"> </w:t>
      </w:r>
      <w:r>
        <w:rPr>
          <w:rtl/>
        </w:rPr>
        <w:tab/>
      </w:r>
      <w:r>
        <w:rPr>
          <w:rFonts w:hint="cs"/>
          <w:rtl/>
        </w:rPr>
        <w:t xml:space="preserve">משטרת ישראל, </w:t>
      </w:r>
      <w:r w:rsidRPr="00072692">
        <w:rPr>
          <w:rFonts w:hint="eastAsia"/>
          <w:b/>
          <w:bCs/>
          <w:rtl/>
        </w:rPr>
        <w:t>תורת</w:t>
      </w:r>
      <w:r w:rsidRPr="00072692">
        <w:rPr>
          <w:b/>
          <w:bCs/>
          <w:rtl/>
        </w:rPr>
        <w:t xml:space="preserve"> </w:t>
      </w:r>
      <w:r w:rsidRPr="00072692">
        <w:rPr>
          <w:rFonts w:hint="eastAsia"/>
          <w:b/>
          <w:bCs/>
          <w:rtl/>
        </w:rPr>
        <w:t>המודיעין</w:t>
      </w:r>
      <w:r w:rsidRPr="00072692">
        <w:rPr>
          <w:b/>
          <w:bCs/>
          <w:rtl/>
        </w:rPr>
        <w:t xml:space="preserve"> </w:t>
      </w:r>
      <w:r w:rsidRPr="00072692">
        <w:rPr>
          <w:rFonts w:hint="eastAsia"/>
          <w:b/>
          <w:bCs/>
          <w:rtl/>
        </w:rPr>
        <w:t>של</w:t>
      </w:r>
      <w:r w:rsidRPr="00072692">
        <w:rPr>
          <w:b/>
          <w:bCs/>
          <w:rtl/>
        </w:rPr>
        <w:t xml:space="preserve"> </w:t>
      </w:r>
      <w:r w:rsidRPr="00072692">
        <w:rPr>
          <w:rFonts w:hint="eastAsia"/>
          <w:b/>
          <w:bCs/>
          <w:rtl/>
        </w:rPr>
        <w:t>משטרת</w:t>
      </w:r>
      <w:r w:rsidRPr="00072692">
        <w:rPr>
          <w:b/>
          <w:bCs/>
          <w:rtl/>
        </w:rPr>
        <w:t xml:space="preserve"> </w:t>
      </w:r>
      <w:r w:rsidRPr="00072692">
        <w:rPr>
          <w:rFonts w:hint="eastAsia"/>
          <w:b/>
          <w:bCs/>
          <w:rtl/>
        </w:rPr>
        <w:t>ישראל</w:t>
      </w:r>
      <w:r w:rsidRPr="009E78C9">
        <w:rPr>
          <w:rFonts w:hint="cs"/>
          <w:rtl/>
        </w:rPr>
        <w:t>, התשס"ג</w:t>
      </w:r>
      <w:r>
        <w:rPr>
          <w:rFonts w:hint="cs"/>
          <w:rtl/>
        </w:rPr>
        <w:t>-</w:t>
      </w:r>
      <w:r w:rsidRPr="009E78C9">
        <w:rPr>
          <w:rFonts w:hint="cs"/>
          <w:rtl/>
        </w:rPr>
        <w:t>ינואר 200</w:t>
      </w:r>
      <w:r>
        <w:rPr>
          <w:rFonts w:hint="cs"/>
          <w:rtl/>
        </w:rPr>
        <w:t xml:space="preserve">3. </w:t>
      </w:r>
    </w:p>
  </w:footnote>
  <w:footnote w:id="65">
    <w:p w:rsidR="00172C0A" w:rsidRDefault="00172C0A" w:rsidP="00A73F04">
      <w:pPr>
        <w:pStyle w:val="ad"/>
        <w:ind w:left="282" w:hanging="567"/>
      </w:pPr>
      <w:r>
        <w:rPr>
          <w:rStyle w:val="af"/>
        </w:rPr>
        <w:footnoteRef/>
      </w:r>
      <w:r>
        <w:rPr>
          <w:rtl/>
        </w:rPr>
        <w:t xml:space="preserve"> </w:t>
      </w:r>
      <w:r>
        <w:rPr>
          <w:rtl/>
        </w:rPr>
        <w:tab/>
      </w:r>
      <w:r>
        <w:rPr>
          <w:rFonts w:hint="cs"/>
          <w:rtl/>
        </w:rPr>
        <w:t>סעיף 6(ז)</w:t>
      </w:r>
      <w:r>
        <w:rPr>
          <w:rFonts w:hint="cs"/>
        </w:rPr>
        <w:t xml:space="preserve"> </w:t>
      </w:r>
      <w:r>
        <w:rPr>
          <w:rFonts w:hint="cs"/>
          <w:rtl/>
        </w:rPr>
        <w:t>לחוק האזנת סתר.</w:t>
      </w:r>
    </w:p>
  </w:footnote>
  <w:footnote w:id="66">
    <w:p w:rsidR="00172C0A" w:rsidRDefault="00172C0A" w:rsidP="00A73F04">
      <w:pPr>
        <w:pStyle w:val="ad"/>
        <w:ind w:left="282" w:hanging="567"/>
      </w:pPr>
      <w:r>
        <w:rPr>
          <w:rStyle w:val="af"/>
        </w:rPr>
        <w:footnoteRef/>
      </w:r>
      <w:r>
        <w:rPr>
          <w:rtl/>
        </w:rPr>
        <w:t xml:space="preserve"> </w:t>
      </w:r>
      <w:r>
        <w:rPr>
          <w:rtl/>
        </w:rPr>
        <w:tab/>
      </w:r>
      <w:r w:rsidRPr="004E1A98">
        <w:rPr>
          <w:rtl/>
        </w:rPr>
        <w:t xml:space="preserve">עבודת צוות מררי התמקדה בבחינת הטענות שהועלו כלפי המשטרה ב"פרשת פגסוס", </w:t>
      </w:r>
      <w:r>
        <w:rPr>
          <w:rFonts w:hint="cs"/>
          <w:rtl/>
        </w:rPr>
        <w:t>ו</w:t>
      </w:r>
      <w:r w:rsidRPr="004E1A98">
        <w:rPr>
          <w:rtl/>
        </w:rPr>
        <w:t>לפיהן היא ביצעה האזנות סתר באמצעות כלים טכנולוגיים ללא צו. דוח הביניים של צוות מררי מצא כי לא נעשה שימוש בכלים טכנולוגיים לצורך האזנת סתר לגורמים ששמותיהם פורטו ב"פרשת פגסוס". גם הדוח המסכם את פעילותו של צוות מררי, שהוכן באוגוסט 2022, עסק בפעולת המשטרה להאזנות סתר מכוח צו או היתר, ומצא כי למעט ארבעה מקרים, המשטרה לא הפעילה כלים טכנולוגיים המיועדים להאזנת סתר ללא היתר מ</w:t>
      </w:r>
      <w:r>
        <w:rPr>
          <w:rFonts w:hint="cs"/>
          <w:rtl/>
        </w:rPr>
        <w:t>י</w:t>
      </w:r>
      <w:r w:rsidRPr="004E1A98">
        <w:rPr>
          <w:rtl/>
        </w:rPr>
        <w:t xml:space="preserve">נהלי או צו שיפוטי מתאים. </w:t>
      </w:r>
      <w:r>
        <w:rPr>
          <w:rFonts w:hint="cs"/>
          <w:rtl/>
        </w:rPr>
        <w:t xml:space="preserve">הצוות לא עסק </w:t>
      </w:r>
      <w:r w:rsidRPr="004E1A98">
        <w:rPr>
          <w:rtl/>
        </w:rPr>
        <w:t>באופן מילוי</w:t>
      </w:r>
      <w:r>
        <w:rPr>
          <w:rFonts w:hint="cs"/>
          <w:rtl/>
        </w:rPr>
        <w:t xml:space="preserve"> הבקשות</w:t>
      </w:r>
      <w:r w:rsidRPr="004E1A98">
        <w:rPr>
          <w:rtl/>
        </w:rPr>
        <w:t xml:space="preserve"> על ידי המשטרה למעט </w:t>
      </w:r>
      <w:r>
        <w:rPr>
          <w:rtl/>
        </w:rPr>
        <w:t>בנוגע</w:t>
      </w:r>
      <w:r w:rsidRPr="004E1A98">
        <w:rPr>
          <w:rtl/>
        </w:rPr>
        <w:t xml:space="preserve"> למילוי דרכי ההאזנה המבוקשות על ידי המשטרה ואזכור השימוש בכלים טכנולוגיים אגב האזנת הסתר</w:t>
      </w:r>
      <w:r>
        <w:rPr>
          <w:rFonts w:hint="cs"/>
          <w:rtl/>
        </w:rPr>
        <w:t>.</w:t>
      </w:r>
    </w:p>
  </w:footnote>
  <w:footnote w:id="67">
    <w:p w:rsidR="00172C0A" w:rsidRDefault="00172C0A" w:rsidP="00A73F04">
      <w:pPr>
        <w:pStyle w:val="ad"/>
        <w:ind w:left="282" w:hanging="567"/>
      </w:pPr>
      <w:r>
        <w:rPr>
          <w:rStyle w:val="af"/>
        </w:rPr>
        <w:footnoteRef/>
      </w:r>
      <w:r>
        <w:rPr>
          <w:rtl/>
        </w:rPr>
        <w:t xml:space="preserve"> </w:t>
      </w:r>
      <w:r>
        <w:rPr>
          <w:rtl/>
        </w:rPr>
        <w:tab/>
      </w:r>
      <w:r>
        <w:rPr>
          <w:rFonts w:hint="cs"/>
          <w:rtl/>
        </w:rPr>
        <w:t xml:space="preserve">רע"פ 1089/21 </w:t>
      </w:r>
      <w:r w:rsidRPr="005571ED">
        <w:rPr>
          <w:rFonts w:hint="eastAsia"/>
          <w:b/>
          <w:bCs/>
          <w:rtl/>
        </w:rPr>
        <w:t>מ</w:t>
      </w:r>
      <w:r w:rsidRPr="005571ED">
        <w:rPr>
          <w:b/>
          <w:bCs/>
          <w:rtl/>
        </w:rPr>
        <w:t xml:space="preserve">"י </w:t>
      </w:r>
      <w:r w:rsidRPr="005571ED">
        <w:rPr>
          <w:rFonts w:hint="eastAsia"/>
          <w:b/>
          <w:bCs/>
          <w:rtl/>
        </w:rPr>
        <w:t>נ</w:t>
      </w:r>
      <w:r w:rsidRPr="005571ED">
        <w:rPr>
          <w:b/>
          <w:bCs/>
          <w:rtl/>
        </w:rPr>
        <w:t xml:space="preserve">' </w:t>
      </w:r>
      <w:r w:rsidRPr="005571ED">
        <w:rPr>
          <w:rFonts w:hint="eastAsia"/>
          <w:b/>
          <w:bCs/>
          <w:rtl/>
        </w:rPr>
        <w:t>אליצור</w:t>
      </w:r>
      <w:r w:rsidRPr="005571ED">
        <w:rPr>
          <w:b/>
          <w:bCs/>
          <w:rtl/>
        </w:rPr>
        <w:t xml:space="preserve"> </w:t>
      </w:r>
      <w:r w:rsidRPr="005571ED">
        <w:rPr>
          <w:rFonts w:hint="eastAsia"/>
          <w:b/>
          <w:bCs/>
          <w:rtl/>
        </w:rPr>
        <w:t>אטיאס</w:t>
      </w:r>
      <w:r>
        <w:rPr>
          <w:rFonts w:hint="cs"/>
          <w:rtl/>
        </w:rPr>
        <w:t xml:space="preserve"> (פורסם במאגרים ממוחשבים, 29.9.21).</w:t>
      </w:r>
    </w:p>
  </w:footnote>
  <w:footnote w:id="68">
    <w:p w:rsidR="00172C0A" w:rsidRDefault="00172C0A" w:rsidP="00A73F04">
      <w:pPr>
        <w:pStyle w:val="ad"/>
        <w:ind w:left="282" w:hanging="567"/>
        <w:rPr>
          <w:rtl/>
        </w:rPr>
      </w:pPr>
      <w:r>
        <w:rPr>
          <w:rStyle w:val="af"/>
        </w:rPr>
        <w:footnoteRef/>
      </w:r>
      <w:r>
        <w:rPr>
          <w:rtl/>
        </w:rPr>
        <w:t xml:space="preserve"> </w:t>
      </w:r>
      <w:r>
        <w:rPr>
          <w:rtl/>
        </w:rPr>
        <w:tab/>
      </w:r>
      <w:r w:rsidRPr="00DE4397">
        <w:rPr>
          <w:rtl/>
        </w:rPr>
        <w:t xml:space="preserve">לפי חוק האזנת סתר, האזנה לשיחה </w:t>
      </w:r>
      <w:r w:rsidRPr="00DE4397">
        <w:rPr>
          <w:rFonts w:hint="cs"/>
          <w:rtl/>
        </w:rPr>
        <w:t>המתקיימת</w:t>
      </w:r>
      <w:r w:rsidRPr="00DE4397">
        <w:rPr>
          <w:rtl/>
        </w:rPr>
        <w:t xml:space="preserve"> ברשות הרבים</w:t>
      </w:r>
      <w:r w:rsidRPr="00DE4397">
        <w:rPr>
          <w:rFonts w:hint="cs"/>
          <w:rtl/>
        </w:rPr>
        <w:t xml:space="preserve"> אינה דורשת היתר וניתן לבצעה</w:t>
      </w:r>
      <w:r w:rsidRPr="00DE4397">
        <w:rPr>
          <w:rtl/>
        </w:rPr>
        <w:t xml:space="preserve"> בתנאים שפורטו בחוק</w:t>
      </w:r>
      <w:r w:rsidRPr="00DE4397">
        <w:rPr>
          <w:rFonts w:hint="cs"/>
          <w:rtl/>
        </w:rPr>
        <w:t>;</w:t>
      </w:r>
      <w:r w:rsidRPr="00DE4397">
        <w:rPr>
          <w:rtl/>
        </w:rPr>
        <w:t xml:space="preserve"> רשות הרבים מוגדרת כמקום שאדם סביר יכול היה לצפות ששיחותיו יישמעו </w:t>
      </w:r>
      <w:r w:rsidRPr="00DE4397">
        <w:rPr>
          <w:rFonts w:hint="cs"/>
          <w:rtl/>
        </w:rPr>
        <w:t xml:space="preserve">בה </w:t>
      </w:r>
      <w:r w:rsidRPr="00DE4397">
        <w:rPr>
          <w:rtl/>
        </w:rPr>
        <w:t>ללא הסכמתו</w:t>
      </w:r>
      <w:r w:rsidRPr="00DE4397">
        <w:rPr>
          <w:rFonts w:hint="cs"/>
          <w:rtl/>
        </w:rPr>
        <w:t>.</w:t>
      </w:r>
    </w:p>
  </w:footnote>
  <w:footnote w:id="69">
    <w:p w:rsidR="00172C0A" w:rsidRDefault="00172C0A" w:rsidP="00A73F04">
      <w:pPr>
        <w:pStyle w:val="ad"/>
        <w:ind w:left="282" w:hanging="567"/>
        <w:rPr>
          <w:rtl/>
        </w:rPr>
      </w:pPr>
      <w:r>
        <w:rPr>
          <w:rStyle w:val="af"/>
        </w:rPr>
        <w:footnoteRef/>
      </w:r>
      <w:r>
        <w:rPr>
          <w:rtl/>
        </w:rPr>
        <w:t xml:space="preserve"> </w:t>
      </w:r>
      <w:r>
        <w:rPr>
          <w:b/>
          <w:bCs/>
          <w:rtl/>
        </w:rPr>
        <w:tab/>
      </w:r>
      <w:r w:rsidRPr="00EC4BED">
        <w:rPr>
          <w:rFonts w:hint="cs"/>
          <w:b/>
          <w:bCs/>
          <w:rtl/>
        </w:rPr>
        <w:t>יחידה מזמינה</w:t>
      </w:r>
      <w:r>
        <w:rPr>
          <w:rFonts w:hint="cs"/>
          <w:rtl/>
        </w:rPr>
        <w:t xml:space="preserve"> - יחידת חקירות או דסק מודיעין המבקשת לבצע האזנת סתר לשם טיפול בחקירה או פרשייה מודיעינית. </w:t>
      </w:r>
    </w:p>
  </w:footnote>
  <w:footnote w:id="70">
    <w:p w:rsidR="00172C0A" w:rsidRDefault="00172C0A" w:rsidP="00A73F04">
      <w:pPr>
        <w:pStyle w:val="ad"/>
        <w:ind w:left="282" w:hanging="567"/>
        <w:rPr>
          <w:rtl/>
        </w:rPr>
      </w:pPr>
      <w:r>
        <w:rPr>
          <w:rStyle w:val="af"/>
        </w:rPr>
        <w:footnoteRef/>
      </w:r>
      <w:r>
        <w:rPr>
          <w:rtl/>
        </w:rPr>
        <w:t xml:space="preserve"> </w:t>
      </w:r>
      <w:r>
        <w:rPr>
          <w:rtl/>
        </w:rPr>
        <w:tab/>
      </w:r>
      <w:r w:rsidRPr="007402E6">
        <w:rPr>
          <w:rFonts w:hint="cs"/>
          <w:b/>
          <w:bCs/>
          <w:rtl/>
        </w:rPr>
        <w:t>אנשים שזהותם אינה ידועה</w:t>
      </w:r>
      <w:r>
        <w:rPr>
          <w:rFonts w:hint="cs"/>
          <w:rtl/>
        </w:rPr>
        <w:t xml:space="preserve"> - מדובר באנשים ש</w:t>
      </w:r>
      <w:r>
        <w:rPr>
          <w:rtl/>
        </w:rPr>
        <w:t xml:space="preserve">בעת שהמשטרה הגישה את הבקשה הם היו אלמונים, אך היה למשטרה מידע על מכשירי הקצה המשמשים אותם לביצוע פעילות פלילית, והדבר איפשר לה לבסס את נחיצות ההאזנה להם. </w:t>
      </w:r>
    </w:p>
  </w:footnote>
  <w:footnote w:id="71">
    <w:p w:rsidR="00172C0A" w:rsidRDefault="00172C0A" w:rsidP="00A73F04">
      <w:pPr>
        <w:pStyle w:val="ad"/>
        <w:ind w:left="282" w:hanging="567"/>
        <w:rPr>
          <w:rtl/>
        </w:rPr>
      </w:pPr>
      <w:r>
        <w:rPr>
          <w:rStyle w:val="af"/>
        </w:rPr>
        <w:footnoteRef/>
      </w:r>
      <w:r>
        <w:rPr>
          <w:rtl/>
        </w:rPr>
        <w:t xml:space="preserve"> </w:t>
      </w:r>
      <w:r>
        <w:rPr>
          <w:rtl/>
        </w:rPr>
        <w:tab/>
        <w:t xml:space="preserve">יודגש כי בחינת משך ההאזנה בפועל מתבססת אך ורק על </w:t>
      </w:r>
      <w:r>
        <w:rPr>
          <w:rFonts w:hint="cs"/>
          <w:rtl/>
        </w:rPr>
        <w:t>מסמכי ב'</w:t>
      </w:r>
      <w:r>
        <w:rPr>
          <w:rtl/>
        </w:rPr>
        <w:t xml:space="preserve"> שנרשמו ואותרו במערכת לניהול צווים</w:t>
      </w:r>
      <w:r>
        <w:rPr>
          <w:rFonts w:hint="cs"/>
          <w:rtl/>
        </w:rPr>
        <w:t xml:space="preserve"> (ראו להלן, בפרק בנושא "</w:t>
      </w:r>
      <w:r w:rsidRPr="00956E0A">
        <w:rPr>
          <w:rFonts w:hint="eastAsia"/>
          <w:rtl/>
        </w:rPr>
        <w:t>תיעוד</w:t>
      </w:r>
      <w:r w:rsidRPr="00956E0A">
        <w:rPr>
          <w:rtl/>
        </w:rPr>
        <w:t xml:space="preserve"> </w:t>
      </w:r>
      <w:r w:rsidRPr="00956E0A">
        <w:rPr>
          <w:rFonts w:hint="eastAsia"/>
          <w:rtl/>
        </w:rPr>
        <w:t>חלקי</w:t>
      </w:r>
      <w:r w:rsidRPr="00956E0A">
        <w:rPr>
          <w:rtl/>
        </w:rPr>
        <w:t xml:space="preserve"> </w:t>
      </w:r>
      <w:r w:rsidRPr="00956E0A">
        <w:rPr>
          <w:rFonts w:hint="eastAsia"/>
          <w:rtl/>
        </w:rPr>
        <w:t>של</w:t>
      </w:r>
      <w:r w:rsidRPr="00956E0A">
        <w:rPr>
          <w:rtl/>
        </w:rPr>
        <w:t xml:space="preserve"> </w:t>
      </w:r>
      <w:r w:rsidRPr="00956E0A">
        <w:rPr>
          <w:rFonts w:hint="eastAsia"/>
          <w:rtl/>
        </w:rPr>
        <w:t>ההיערכות</w:t>
      </w:r>
      <w:r w:rsidRPr="00956E0A">
        <w:rPr>
          <w:rtl/>
        </w:rPr>
        <w:t xml:space="preserve"> </w:t>
      </w:r>
      <w:r w:rsidRPr="00956E0A">
        <w:rPr>
          <w:rFonts w:hint="cs"/>
          <w:rtl/>
        </w:rPr>
        <w:t>להתקנה</w:t>
      </w:r>
      <w:r w:rsidRPr="00956E0A">
        <w:rPr>
          <w:rtl/>
        </w:rPr>
        <w:t xml:space="preserve"> ושל ביצועה</w:t>
      </w:r>
      <w:r>
        <w:rPr>
          <w:rFonts w:hint="cs"/>
          <w:rtl/>
        </w:rPr>
        <w:t>").</w:t>
      </w:r>
    </w:p>
  </w:footnote>
  <w:footnote w:id="72">
    <w:p w:rsidR="00172C0A" w:rsidRDefault="00172C0A" w:rsidP="00A73F04">
      <w:pPr>
        <w:pStyle w:val="ad"/>
        <w:ind w:left="282" w:hanging="567"/>
      </w:pPr>
      <w:r>
        <w:rPr>
          <w:rStyle w:val="af"/>
        </w:rPr>
        <w:footnoteRef/>
      </w:r>
      <w:r>
        <w:rPr>
          <w:rtl/>
        </w:rPr>
        <w:t xml:space="preserve"> </w:t>
      </w:r>
      <w:r>
        <w:rPr>
          <w:rtl/>
        </w:rPr>
        <w:tab/>
      </w:r>
      <w:r>
        <w:rPr>
          <w:rFonts w:hint="cs"/>
          <w:rtl/>
        </w:rPr>
        <w:t xml:space="preserve">סעיף 6 לחוק האזנת סתר. </w:t>
      </w:r>
    </w:p>
  </w:footnote>
  <w:footnote w:id="73">
    <w:p w:rsidR="00172C0A" w:rsidRPr="00FD3A04" w:rsidRDefault="00172C0A" w:rsidP="00A73F04">
      <w:pPr>
        <w:pStyle w:val="ad"/>
        <w:ind w:left="282" w:hanging="567"/>
        <w:rPr>
          <w:b/>
          <w:bCs/>
          <w:rtl/>
        </w:rPr>
      </w:pPr>
      <w:r w:rsidRPr="006861E1">
        <w:rPr>
          <w:rStyle w:val="af"/>
        </w:rPr>
        <w:footnoteRef/>
      </w:r>
      <w:r w:rsidRPr="006861E1">
        <w:rPr>
          <w:rtl/>
        </w:rPr>
        <w:t xml:space="preserve"> </w:t>
      </w:r>
      <w:r w:rsidRPr="006861E1">
        <w:rPr>
          <w:rtl/>
        </w:rPr>
        <w:tab/>
      </w:r>
      <w:r w:rsidRPr="00FD3A04">
        <w:rPr>
          <w:rtl/>
        </w:rPr>
        <w:t xml:space="preserve">לפי </w:t>
      </w:r>
      <w:r>
        <w:rPr>
          <w:rtl/>
        </w:rPr>
        <w:t>חוק האזנת סתר</w:t>
      </w:r>
      <w:r w:rsidRPr="00FD3A04">
        <w:rPr>
          <w:rtl/>
        </w:rPr>
        <w:t xml:space="preserve">, </w:t>
      </w:r>
      <w:r>
        <w:rPr>
          <w:rFonts w:hint="cs"/>
          <w:rtl/>
        </w:rPr>
        <w:t>יש</w:t>
      </w:r>
      <w:r w:rsidRPr="00FD3A04">
        <w:rPr>
          <w:rtl/>
        </w:rPr>
        <w:t xml:space="preserve"> חמישה</w:t>
      </w:r>
      <w:r>
        <w:rPr>
          <w:rFonts w:hint="cs"/>
          <w:rtl/>
        </w:rPr>
        <w:t xml:space="preserve"> סוגים</w:t>
      </w:r>
      <w:r w:rsidRPr="00FD3A04">
        <w:rPr>
          <w:rtl/>
        </w:rPr>
        <w:t xml:space="preserve"> </w:t>
      </w:r>
      <w:r>
        <w:rPr>
          <w:rFonts w:hint="cs"/>
          <w:rtl/>
        </w:rPr>
        <w:t>של</w:t>
      </w:r>
      <w:r w:rsidRPr="00FD3A04">
        <w:rPr>
          <w:rtl/>
        </w:rPr>
        <w:t xml:space="preserve"> האזנ</w:t>
      </w:r>
      <w:r>
        <w:rPr>
          <w:rFonts w:hint="cs"/>
          <w:rtl/>
        </w:rPr>
        <w:t>ו</w:t>
      </w:r>
      <w:r w:rsidRPr="00FD3A04">
        <w:rPr>
          <w:rtl/>
        </w:rPr>
        <w:t xml:space="preserve">ת סתר </w:t>
      </w:r>
      <w:r>
        <w:rPr>
          <w:rFonts w:hint="cs"/>
          <w:rtl/>
        </w:rPr>
        <w:t>שאינן טעונות</w:t>
      </w:r>
      <w:r w:rsidRPr="00FD3A04">
        <w:rPr>
          <w:rtl/>
        </w:rPr>
        <w:t xml:space="preserve"> היתר מבית המשפט</w:t>
      </w:r>
      <w:r>
        <w:rPr>
          <w:rFonts w:hint="cs"/>
          <w:rtl/>
        </w:rPr>
        <w:t>,</w:t>
      </w:r>
      <w:r w:rsidRPr="00FD3A04">
        <w:rPr>
          <w:rtl/>
        </w:rPr>
        <w:t xml:space="preserve"> </w:t>
      </w:r>
      <w:r>
        <w:rPr>
          <w:rFonts w:hint="cs"/>
          <w:rtl/>
        </w:rPr>
        <w:t>ובהם:</w:t>
      </w:r>
      <w:r w:rsidRPr="00FD3A04">
        <w:rPr>
          <w:rtl/>
        </w:rPr>
        <w:t xml:space="preserve"> האזנה לשיחה </w:t>
      </w:r>
      <w:r>
        <w:rPr>
          <w:rFonts w:hint="cs"/>
          <w:rtl/>
        </w:rPr>
        <w:t>המתקיימת</w:t>
      </w:r>
      <w:r w:rsidRPr="00FD3A04">
        <w:rPr>
          <w:rtl/>
        </w:rPr>
        <w:t xml:space="preserve"> ברשות הרבים, בתנאים שפורטו בחוק</w:t>
      </w:r>
      <w:r>
        <w:rPr>
          <w:rFonts w:hint="cs"/>
          <w:rtl/>
        </w:rPr>
        <w:t>;</w:t>
      </w:r>
      <w:r w:rsidRPr="00FD3A04">
        <w:rPr>
          <w:rtl/>
        </w:rPr>
        <w:t xml:space="preserve"> רשות הרבים מוגדרת כמקום שאדם סביר יכול היה לצפות ששיחותיו יישמעו </w:t>
      </w:r>
      <w:r>
        <w:rPr>
          <w:rFonts w:hint="cs"/>
          <w:rtl/>
        </w:rPr>
        <w:t xml:space="preserve">בה </w:t>
      </w:r>
      <w:r w:rsidRPr="00FD3A04">
        <w:rPr>
          <w:rtl/>
        </w:rPr>
        <w:t>ללא הסכמתו</w:t>
      </w:r>
      <w:r w:rsidRPr="00FD3A04">
        <w:rPr>
          <w:rFonts w:hint="cs"/>
          <w:rtl/>
        </w:rPr>
        <w:t xml:space="preserve">. </w:t>
      </w:r>
      <w:r w:rsidRPr="006861E1">
        <w:rPr>
          <w:rtl/>
        </w:rPr>
        <w:t xml:space="preserve">לפי חוות דעת של משרד המשפטים, שיחה במקום ציבורי פירושה שהמשוחחים נמצאים </w:t>
      </w:r>
      <w:r>
        <w:rPr>
          <w:rFonts w:hint="cs"/>
          <w:rtl/>
        </w:rPr>
        <w:t xml:space="preserve">יחד </w:t>
      </w:r>
      <w:r w:rsidRPr="006861E1">
        <w:rPr>
          <w:rtl/>
        </w:rPr>
        <w:t>באותו מקום ציבורי</w:t>
      </w:r>
      <w:r>
        <w:rPr>
          <w:rFonts w:hint="cs"/>
          <w:rtl/>
        </w:rPr>
        <w:t xml:space="preserve"> או מקום שבו אדם מנהל שיחה מתוך ידיעה שגם אחרים מצויים במקום ולפיכך יישמעו דבריו ללא הסכמתו. ראו לעניין זה, בין היתר, </w:t>
      </w:r>
      <w:r w:rsidRPr="00E71757">
        <w:rPr>
          <w:rFonts w:hint="cs"/>
          <w:b/>
          <w:bCs/>
          <w:rtl/>
        </w:rPr>
        <w:t>דוח לבנת משיח</w:t>
      </w:r>
      <w:r>
        <w:rPr>
          <w:rFonts w:hint="cs"/>
          <w:rtl/>
        </w:rPr>
        <w:t xml:space="preserve">, עמ' 16. </w:t>
      </w:r>
      <w:r w:rsidRPr="00FD3A04">
        <w:rPr>
          <w:rFonts w:hint="cs"/>
          <w:rtl/>
        </w:rPr>
        <w:t>ראו</w:t>
      </w:r>
      <w:r>
        <w:rPr>
          <w:rFonts w:hint="cs"/>
          <w:b/>
          <w:bCs/>
          <w:rtl/>
        </w:rPr>
        <w:t xml:space="preserve"> </w:t>
      </w:r>
      <w:r w:rsidRPr="007203D3">
        <w:rPr>
          <w:rFonts w:hint="eastAsia"/>
          <w:rtl/>
        </w:rPr>
        <w:t>סעיף</w:t>
      </w:r>
      <w:r w:rsidRPr="007203D3">
        <w:rPr>
          <w:rtl/>
        </w:rPr>
        <w:t xml:space="preserve"> 8 </w:t>
      </w:r>
      <w:r w:rsidRPr="007203D3">
        <w:rPr>
          <w:rFonts w:hint="eastAsia"/>
          <w:rtl/>
        </w:rPr>
        <w:t>לחוק</w:t>
      </w:r>
      <w:r w:rsidRPr="007203D3">
        <w:rPr>
          <w:rtl/>
        </w:rPr>
        <w:t xml:space="preserve"> </w:t>
      </w:r>
      <w:r w:rsidRPr="007203D3">
        <w:rPr>
          <w:rFonts w:hint="eastAsia"/>
          <w:rtl/>
        </w:rPr>
        <w:t>האזנת</w:t>
      </w:r>
      <w:r w:rsidRPr="007203D3">
        <w:rPr>
          <w:rtl/>
        </w:rPr>
        <w:t xml:space="preserve"> </w:t>
      </w:r>
      <w:r w:rsidRPr="007203D3">
        <w:rPr>
          <w:rFonts w:hint="eastAsia"/>
          <w:rtl/>
        </w:rPr>
        <w:t>סתר</w:t>
      </w:r>
      <w:r w:rsidRPr="00E71757">
        <w:rPr>
          <w:rFonts w:hint="cs"/>
          <w:b/>
          <w:bCs/>
          <w:rtl/>
        </w:rPr>
        <w:t xml:space="preserve"> </w:t>
      </w:r>
      <w:r>
        <w:rPr>
          <w:rFonts w:hint="cs"/>
          <w:rtl/>
        </w:rPr>
        <w:t xml:space="preserve">המפרט סוגים נוספים של האזנות שאינן טעונות היתר למשל, </w:t>
      </w:r>
      <w:r w:rsidRPr="00524411">
        <w:rPr>
          <w:rtl/>
        </w:rPr>
        <w:t xml:space="preserve">האזנה לשיחה </w:t>
      </w:r>
      <w:r>
        <w:rPr>
          <w:rFonts w:hint="cs"/>
          <w:rtl/>
        </w:rPr>
        <w:t>שמתקיימת</w:t>
      </w:r>
      <w:r w:rsidRPr="00524411">
        <w:rPr>
          <w:rtl/>
        </w:rPr>
        <w:t xml:space="preserve"> באמצעי תקשורת של צה"ל או </w:t>
      </w:r>
      <w:r>
        <w:rPr>
          <w:rFonts w:hint="cs"/>
          <w:rtl/>
        </w:rPr>
        <w:t xml:space="preserve">של </w:t>
      </w:r>
      <w:r w:rsidRPr="00524411">
        <w:rPr>
          <w:rtl/>
        </w:rPr>
        <w:t>המשטרה</w:t>
      </w:r>
      <w:r w:rsidRPr="00524411">
        <w:rPr>
          <w:rFonts w:hint="cs"/>
          <w:rtl/>
        </w:rPr>
        <w:t>.</w:t>
      </w:r>
      <w:r>
        <w:rPr>
          <w:rFonts w:hint="cs"/>
          <w:rtl/>
        </w:rPr>
        <w:t xml:space="preserve"> </w:t>
      </w:r>
    </w:p>
  </w:footnote>
  <w:footnote w:id="74">
    <w:p w:rsidR="00172C0A" w:rsidRDefault="00172C0A" w:rsidP="00A73F04">
      <w:pPr>
        <w:pStyle w:val="ad"/>
        <w:ind w:left="282" w:hanging="567"/>
      </w:pPr>
      <w:r>
        <w:rPr>
          <w:rStyle w:val="af"/>
        </w:rPr>
        <w:footnoteRef/>
      </w:r>
      <w:r>
        <w:rPr>
          <w:rtl/>
        </w:rPr>
        <w:t xml:space="preserve"> </w:t>
      </w:r>
      <w:r>
        <w:rPr>
          <w:b/>
          <w:bCs/>
          <w:rtl/>
        </w:rPr>
        <w:tab/>
      </w:r>
      <w:r w:rsidRPr="00FD3A04">
        <w:rPr>
          <w:rFonts w:hint="cs"/>
          <w:b/>
          <w:bCs/>
          <w:rtl/>
        </w:rPr>
        <w:t>היתר מינהלי</w:t>
      </w:r>
      <w:r>
        <w:rPr>
          <w:rFonts w:hint="cs"/>
          <w:rtl/>
        </w:rPr>
        <w:t xml:space="preserve"> - </w:t>
      </w:r>
      <w:r w:rsidRPr="00DF15C9">
        <w:rPr>
          <w:rtl/>
        </w:rPr>
        <w:t>אישור שמוציאה רשות מנהלית בדבר סמכותה לבצע פעולה</w:t>
      </w:r>
      <w:r>
        <w:rPr>
          <w:rFonts w:hint="cs"/>
          <w:rtl/>
        </w:rPr>
        <w:t xml:space="preserve"> של האזנת סתר. זאת להבדיל מצו שיפוטי, שהוא הוראה מחייבת לביצוע פעולה שמוציאה הרשות השופטת לבקשת הרשות המינהלית. </w:t>
      </w:r>
    </w:p>
  </w:footnote>
  <w:footnote w:id="75">
    <w:p w:rsidR="00172C0A" w:rsidRDefault="00172C0A" w:rsidP="00A73F04">
      <w:pPr>
        <w:pStyle w:val="ad"/>
        <w:ind w:left="282" w:hanging="567"/>
        <w:rPr>
          <w:rtl/>
        </w:rPr>
      </w:pPr>
      <w:r>
        <w:rPr>
          <w:rStyle w:val="af"/>
        </w:rPr>
        <w:footnoteRef/>
      </w:r>
      <w:r>
        <w:rPr>
          <w:rtl/>
        </w:rPr>
        <w:t xml:space="preserve"> </w:t>
      </w:r>
      <w:r>
        <w:rPr>
          <w:rtl/>
        </w:rPr>
        <w:tab/>
      </w:r>
      <w:r w:rsidRPr="00770D0B">
        <w:rPr>
          <w:rtl/>
        </w:rPr>
        <w:t>יודגש כי הניתוחים המפורטים בדוח זה בתחום האזנות סתר מבוססים על המערכת לניהול צווים. התייחסות להיתרים המינהליים שהופקו ידנית במהלך התקופה תיעשה בנפרד ובמפורש.</w:t>
      </w:r>
    </w:p>
  </w:footnote>
  <w:footnote w:id="76">
    <w:p w:rsidR="00172C0A" w:rsidRDefault="00172C0A" w:rsidP="00A73F04">
      <w:pPr>
        <w:pStyle w:val="ad"/>
        <w:ind w:left="282" w:hanging="567"/>
        <w:rPr>
          <w:rtl/>
        </w:rPr>
      </w:pPr>
      <w:r w:rsidRPr="00A512AA">
        <w:rPr>
          <w:rStyle w:val="af"/>
        </w:rPr>
        <w:footnoteRef/>
      </w:r>
      <w:r w:rsidRPr="00A512AA">
        <w:rPr>
          <w:rtl/>
        </w:rPr>
        <w:t xml:space="preserve"> </w:t>
      </w:r>
      <w:r w:rsidRPr="00A512AA">
        <w:rPr>
          <w:rtl/>
        </w:rPr>
        <w:tab/>
      </w:r>
      <w:r w:rsidRPr="00A512AA">
        <w:rPr>
          <w:rFonts w:hint="cs"/>
          <w:rtl/>
        </w:rPr>
        <w:t>מתוך</w:t>
      </w:r>
      <w:r w:rsidRPr="00A512AA">
        <w:rPr>
          <w:rtl/>
        </w:rPr>
        <w:t xml:space="preserve"> </w:t>
      </w:r>
      <w:r w:rsidRPr="00A512AA">
        <w:rPr>
          <w:rFonts w:hint="eastAsia"/>
          <w:rtl/>
        </w:rPr>
        <w:t>יומן</w:t>
      </w:r>
      <w:r w:rsidRPr="00A512AA">
        <w:rPr>
          <w:rtl/>
        </w:rPr>
        <w:t xml:space="preserve"> </w:t>
      </w:r>
      <w:r w:rsidRPr="00A512AA">
        <w:rPr>
          <w:rFonts w:hint="eastAsia"/>
          <w:rtl/>
        </w:rPr>
        <w:t>המבצעים</w:t>
      </w:r>
      <w:r w:rsidRPr="00A512AA">
        <w:rPr>
          <w:rFonts w:hint="cs"/>
          <w:rtl/>
        </w:rPr>
        <w:t xml:space="preserve"> נדגמו 108 יעדים באופן אקראי ובנוגע ל-31 מהם נמצא כי בוצעה כלפיהם בדיקת היתכנות. דגימה זו אינה דגימה מייצגת.</w:t>
      </w:r>
    </w:p>
  </w:footnote>
  <w:footnote w:id="77">
    <w:p w:rsidR="00172C0A" w:rsidRDefault="00172C0A" w:rsidP="00A73F04">
      <w:pPr>
        <w:pStyle w:val="ad"/>
        <w:ind w:left="282" w:hanging="567"/>
      </w:pPr>
      <w:r>
        <w:rPr>
          <w:rStyle w:val="af"/>
        </w:rPr>
        <w:footnoteRef/>
      </w:r>
      <w:r>
        <w:rPr>
          <w:rtl/>
        </w:rPr>
        <w:t xml:space="preserve"> </w:t>
      </w:r>
      <w:r>
        <w:rPr>
          <w:b/>
          <w:bCs/>
          <w:rtl/>
        </w:rPr>
        <w:tab/>
      </w:r>
      <w:r>
        <w:rPr>
          <w:rFonts w:hint="cs"/>
          <w:rtl/>
        </w:rPr>
        <w:t>סעיף 6(א)</w:t>
      </w:r>
      <w:r>
        <w:rPr>
          <w:rFonts w:hint="cs"/>
        </w:rPr>
        <w:t xml:space="preserve"> </w:t>
      </w:r>
      <w:r>
        <w:rPr>
          <w:rFonts w:hint="cs"/>
          <w:rtl/>
        </w:rPr>
        <w:t>לחוק האזנת סתר.</w:t>
      </w:r>
    </w:p>
  </w:footnote>
  <w:footnote w:id="78">
    <w:p w:rsidR="00172C0A" w:rsidRDefault="00172C0A" w:rsidP="00A73F04">
      <w:pPr>
        <w:pStyle w:val="ad"/>
        <w:ind w:left="282" w:hanging="567"/>
      </w:pPr>
      <w:r>
        <w:rPr>
          <w:rStyle w:val="af"/>
        </w:rPr>
        <w:footnoteRef/>
      </w:r>
      <w:r>
        <w:rPr>
          <w:rtl/>
        </w:rPr>
        <w:t xml:space="preserve"> </w:t>
      </w:r>
      <w:r>
        <w:rPr>
          <w:b/>
          <w:bCs/>
          <w:rtl/>
        </w:rPr>
        <w:tab/>
      </w:r>
      <w:r w:rsidRPr="006823B8">
        <w:rPr>
          <w:rFonts w:hint="cs"/>
          <w:b/>
          <w:bCs/>
          <w:rtl/>
        </w:rPr>
        <w:t>עבירת פשע</w:t>
      </w:r>
      <w:r>
        <w:rPr>
          <w:rFonts w:hint="cs"/>
          <w:rtl/>
        </w:rPr>
        <w:t xml:space="preserve"> - עבירה שנקבע לה עונש (מרבי) חמור ממאסר לתקופה של שלוש שנים. ראו סעיף 24 לחוק העונשין. </w:t>
      </w:r>
    </w:p>
  </w:footnote>
  <w:footnote w:id="79">
    <w:p w:rsidR="00172C0A" w:rsidRDefault="00172C0A" w:rsidP="00A73F04">
      <w:pPr>
        <w:pStyle w:val="ad"/>
        <w:ind w:left="282" w:hanging="567"/>
        <w:rPr>
          <w:rtl/>
        </w:rPr>
      </w:pPr>
      <w:r>
        <w:rPr>
          <w:rStyle w:val="af"/>
        </w:rPr>
        <w:footnoteRef/>
      </w:r>
      <w:r>
        <w:rPr>
          <w:rtl/>
        </w:rPr>
        <w:t xml:space="preserve"> </w:t>
      </w:r>
      <w:r>
        <w:rPr>
          <w:rtl/>
        </w:rPr>
        <w:tab/>
      </w:r>
      <w:r>
        <w:rPr>
          <w:rFonts w:hint="cs"/>
          <w:rtl/>
        </w:rPr>
        <w:t xml:space="preserve">בג"ץ 987/94 </w:t>
      </w:r>
      <w:r w:rsidRPr="00C33ACD">
        <w:rPr>
          <w:rFonts w:hint="cs"/>
          <w:b/>
          <w:bCs/>
          <w:rtl/>
        </w:rPr>
        <w:t>יורונט קווי זהב (1992)</w:t>
      </w:r>
      <w:r w:rsidRPr="00C33ACD">
        <w:rPr>
          <w:rFonts w:hint="cs"/>
          <w:b/>
        </w:rPr>
        <w:t xml:space="preserve"> </w:t>
      </w:r>
      <w:r w:rsidRPr="00C33ACD">
        <w:rPr>
          <w:rFonts w:hint="cs"/>
          <w:b/>
          <w:bCs/>
          <w:rtl/>
        </w:rPr>
        <w:t>בע"מ נ' שרת התקשורת</w:t>
      </w:r>
      <w:r>
        <w:rPr>
          <w:rFonts w:hint="cs"/>
          <w:rtl/>
        </w:rPr>
        <w:t xml:space="preserve"> (פורסם במאגר ממוחשב). </w:t>
      </w:r>
    </w:p>
  </w:footnote>
  <w:footnote w:id="80">
    <w:p w:rsidR="00172C0A" w:rsidRDefault="00172C0A" w:rsidP="00A73F04">
      <w:pPr>
        <w:pStyle w:val="ad"/>
        <w:ind w:left="282" w:hanging="567"/>
      </w:pPr>
      <w:r>
        <w:rPr>
          <w:rStyle w:val="af"/>
        </w:rPr>
        <w:footnoteRef/>
      </w:r>
      <w:r>
        <w:rPr>
          <w:rtl/>
        </w:rPr>
        <w:t xml:space="preserve"> </w:t>
      </w:r>
      <w:r>
        <w:rPr>
          <w:rtl/>
        </w:rPr>
        <w:tab/>
      </w:r>
      <w:r>
        <w:rPr>
          <w:rFonts w:hint="cs"/>
          <w:rtl/>
        </w:rPr>
        <w:t xml:space="preserve">טופס 1 </w:t>
      </w:r>
      <w:r w:rsidRPr="005571ED">
        <w:rPr>
          <w:rFonts w:hint="eastAsia"/>
          <w:b/>
          <w:bCs/>
          <w:rtl/>
        </w:rPr>
        <w:t>לתקנות</w:t>
      </w:r>
      <w:r w:rsidRPr="005571ED">
        <w:rPr>
          <w:b/>
          <w:bCs/>
          <w:rtl/>
        </w:rPr>
        <w:t xml:space="preserve"> </w:t>
      </w:r>
      <w:r w:rsidRPr="005571ED">
        <w:rPr>
          <w:rFonts w:hint="eastAsia"/>
          <w:b/>
          <w:bCs/>
          <w:rtl/>
        </w:rPr>
        <w:t>האזנת</w:t>
      </w:r>
      <w:r w:rsidRPr="005571ED">
        <w:rPr>
          <w:b/>
          <w:bCs/>
          <w:rtl/>
        </w:rPr>
        <w:t xml:space="preserve"> </w:t>
      </w:r>
      <w:r w:rsidRPr="005571ED">
        <w:rPr>
          <w:rFonts w:hint="eastAsia"/>
          <w:b/>
          <w:bCs/>
          <w:rtl/>
        </w:rPr>
        <w:t>סתר</w:t>
      </w:r>
      <w:r w:rsidRPr="005571ED">
        <w:rPr>
          <w:b/>
          <w:bCs/>
          <w:rtl/>
        </w:rPr>
        <w:t xml:space="preserve"> (בקשה </w:t>
      </w:r>
      <w:r w:rsidRPr="005571ED">
        <w:rPr>
          <w:rFonts w:hint="eastAsia"/>
          <w:b/>
          <w:bCs/>
          <w:rtl/>
        </w:rPr>
        <w:t>להיתר</w:t>
      </w:r>
      <w:r w:rsidRPr="005571ED">
        <w:rPr>
          <w:b/>
          <w:bCs/>
          <w:rtl/>
        </w:rPr>
        <w:t xml:space="preserve"> </w:t>
      </w:r>
      <w:r w:rsidRPr="005571ED">
        <w:rPr>
          <w:rFonts w:hint="eastAsia"/>
          <w:b/>
          <w:bCs/>
          <w:rtl/>
        </w:rPr>
        <w:t>האזנה</w:t>
      </w:r>
      <w:r w:rsidRPr="005571ED">
        <w:rPr>
          <w:b/>
          <w:bCs/>
          <w:rtl/>
        </w:rPr>
        <w:t>)</w:t>
      </w:r>
      <w:r>
        <w:rPr>
          <w:rFonts w:hint="cs"/>
          <w:rtl/>
        </w:rPr>
        <w:t xml:space="preserve">, התשס"ז-2007, לפי תקנה 2(א) לתקנות, המפנה להוצאת בקשה להיתר האזנת סתר מכוח סעיף 6 </w:t>
      </w:r>
      <w:r w:rsidRPr="005571ED">
        <w:rPr>
          <w:rFonts w:hint="eastAsia"/>
          <w:b/>
          <w:bCs/>
          <w:rtl/>
        </w:rPr>
        <w:t>לחוק</w:t>
      </w:r>
      <w:r w:rsidRPr="005571ED">
        <w:rPr>
          <w:b/>
          <w:bCs/>
          <w:rtl/>
        </w:rPr>
        <w:t xml:space="preserve"> </w:t>
      </w:r>
      <w:r w:rsidRPr="005571ED">
        <w:rPr>
          <w:rFonts w:hint="eastAsia"/>
          <w:b/>
          <w:bCs/>
          <w:rtl/>
        </w:rPr>
        <w:t>האזנת</w:t>
      </w:r>
      <w:r w:rsidRPr="005571ED">
        <w:rPr>
          <w:b/>
          <w:bCs/>
          <w:rtl/>
        </w:rPr>
        <w:t xml:space="preserve"> </w:t>
      </w:r>
      <w:r w:rsidRPr="005571ED">
        <w:rPr>
          <w:rFonts w:hint="eastAsia"/>
          <w:b/>
          <w:bCs/>
          <w:rtl/>
        </w:rPr>
        <w:t>סתר</w:t>
      </w:r>
      <w:r>
        <w:rPr>
          <w:rFonts w:hint="cs"/>
          <w:rtl/>
        </w:rPr>
        <w:t xml:space="preserve">. </w:t>
      </w:r>
    </w:p>
  </w:footnote>
  <w:footnote w:id="81">
    <w:p w:rsidR="00172C0A" w:rsidRDefault="00172C0A" w:rsidP="00A73F04">
      <w:pPr>
        <w:pStyle w:val="ad"/>
        <w:ind w:left="282" w:hanging="567"/>
      </w:pPr>
      <w:r>
        <w:rPr>
          <w:rStyle w:val="af"/>
        </w:rPr>
        <w:footnoteRef/>
      </w:r>
      <w:r>
        <w:rPr>
          <w:rtl/>
        </w:rPr>
        <w:t xml:space="preserve"> </w:t>
      </w:r>
      <w:r>
        <w:rPr>
          <w:b/>
          <w:bCs/>
          <w:rtl/>
        </w:rPr>
        <w:tab/>
      </w:r>
      <w:r w:rsidRPr="005571ED">
        <w:rPr>
          <w:rFonts w:hint="eastAsia"/>
          <w:b/>
          <w:bCs/>
          <w:rtl/>
        </w:rPr>
        <w:t>נימוקי</w:t>
      </w:r>
      <w:r w:rsidRPr="005571ED">
        <w:rPr>
          <w:b/>
          <w:bCs/>
          <w:rtl/>
        </w:rPr>
        <w:t xml:space="preserve"> </w:t>
      </w:r>
      <w:r w:rsidRPr="005571ED">
        <w:rPr>
          <w:rFonts w:hint="eastAsia"/>
          <w:b/>
          <w:bCs/>
          <w:rtl/>
        </w:rPr>
        <w:t>הבקשה</w:t>
      </w:r>
      <w:r>
        <w:rPr>
          <w:rFonts w:hint="cs"/>
          <w:rtl/>
        </w:rPr>
        <w:t xml:space="preserve"> - </w:t>
      </w:r>
      <w:r w:rsidRPr="00D84D7B">
        <w:rPr>
          <w:rtl/>
        </w:rPr>
        <w:t xml:space="preserve">מסמך המצורף לטופס בקשה להאזנת סתר, והוא חלק בלתי נפרד ממנה, ובו מפורטת התשתית העובדתית </w:t>
      </w:r>
      <w:r>
        <w:rPr>
          <w:rFonts w:hint="cs"/>
          <w:rtl/>
        </w:rPr>
        <w:t>ש</w:t>
      </w:r>
      <w:r w:rsidRPr="00D84D7B">
        <w:rPr>
          <w:rtl/>
        </w:rPr>
        <w:t xml:space="preserve">עליה מבוססת הבקשה וטעמי הבקשה וכן הנימוקים והשיקולים </w:t>
      </w:r>
      <w:r>
        <w:rPr>
          <w:rFonts w:hint="cs"/>
          <w:rtl/>
        </w:rPr>
        <w:t>ש</w:t>
      </w:r>
      <w:r w:rsidRPr="00D84D7B">
        <w:rPr>
          <w:rtl/>
        </w:rPr>
        <w:t>נדרש לשקול לבחינ</w:t>
      </w:r>
      <w:r>
        <w:rPr>
          <w:rFonts w:hint="cs"/>
          <w:rtl/>
        </w:rPr>
        <w:t>ת</w:t>
      </w:r>
      <w:r w:rsidRPr="00D84D7B">
        <w:rPr>
          <w:rtl/>
        </w:rPr>
        <w:t xml:space="preserve"> הצורך בביצוע ההאזנה מול הפגיעה הצפויה ביעד ההאזנה וסביבתו. מסמך זה מצורף לבקשה המוגשת במעמד צד אחד, ולאחר הגשת כתב אישום נבחנת הטלת חיסיון </w:t>
      </w:r>
      <w:r>
        <w:rPr>
          <w:rFonts w:hint="cs"/>
          <w:rtl/>
        </w:rPr>
        <w:t>על</w:t>
      </w:r>
      <w:r w:rsidRPr="00D84D7B">
        <w:rPr>
          <w:rtl/>
        </w:rPr>
        <w:t xml:space="preserve"> כולו או</w:t>
      </w:r>
      <w:r>
        <w:rPr>
          <w:rFonts w:hint="cs"/>
          <w:rtl/>
        </w:rPr>
        <w:t xml:space="preserve"> על</w:t>
      </w:r>
      <w:r w:rsidRPr="00D84D7B">
        <w:rPr>
          <w:rtl/>
        </w:rPr>
        <w:t xml:space="preserve"> חלקו.</w:t>
      </w:r>
      <w:r>
        <w:rPr>
          <w:rtl/>
        </w:rPr>
        <w:t xml:space="preserve"> </w:t>
      </w:r>
    </w:p>
  </w:footnote>
  <w:footnote w:id="82">
    <w:p w:rsidR="00172C0A" w:rsidRDefault="00172C0A" w:rsidP="00A73F04">
      <w:pPr>
        <w:pStyle w:val="ad"/>
        <w:ind w:left="282" w:hanging="567"/>
        <w:rPr>
          <w:rtl/>
        </w:rPr>
      </w:pPr>
      <w:r>
        <w:rPr>
          <w:rStyle w:val="af"/>
        </w:rPr>
        <w:footnoteRef/>
      </w:r>
      <w:r>
        <w:rPr>
          <w:rtl/>
        </w:rPr>
        <w:t xml:space="preserve"> </w:t>
      </w:r>
      <w:r>
        <w:rPr>
          <w:rtl/>
        </w:rPr>
        <w:tab/>
      </w:r>
      <w:r>
        <w:rPr>
          <w:rFonts w:hint="cs"/>
          <w:rtl/>
        </w:rPr>
        <w:t xml:space="preserve">ראו לעניין זה </w:t>
      </w:r>
      <w:r w:rsidRPr="00E77549">
        <w:rPr>
          <w:rFonts w:hint="cs"/>
          <w:b/>
          <w:bCs/>
          <w:rtl/>
        </w:rPr>
        <w:t>דוח מבקר המדינה משנת</w:t>
      </w:r>
      <w:r w:rsidRPr="00150D81">
        <w:rPr>
          <w:rFonts w:hint="cs"/>
          <w:b/>
          <w:bCs/>
          <w:rtl/>
        </w:rPr>
        <w:t xml:space="preserve"> </w:t>
      </w:r>
      <w:r w:rsidRPr="00C6333A">
        <w:rPr>
          <w:b/>
          <w:bCs/>
          <w:rtl/>
        </w:rPr>
        <w:t>2004,</w:t>
      </w:r>
      <w:r>
        <w:rPr>
          <w:rFonts w:hint="cs"/>
          <w:rtl/>
        </w:rPr>
        <w:t xml:space="preserve"> עמ' 297. </w:t>
      </w:r>
    </w:p>
  </w:footnote>
  <w:footnote w:id="83">
    <w:p w:rsidR="00172C0A" w:rsidRDefault="00172C0A" w:rsidP="00A73F04">
      <w:pPr>
        <w:pStyle w:val="ad"/>
        <w:ind w:left="282" w:hanging="567"/>
      </w:pPr>
      <w:r>
        <w:rPr>
          <w:rStyle w:val="af"/>
        </w:rPr>
        <w:footnoteRef/>
      </w:r>
      <w:r>
        <w:rPr>
          <w:rFonts w:hint="cs"/>
          <w:rtl/>
        </w:rPr>
        <w:t xml:space="preserve"> </w:t>
      </w:r>
      <w:r>
        <w:rPr>
          <w:rtl/>
        </w:rPr>
        <w:tab/>
      </w:r>
      <w:r>
        <w:rPr>
          <w:rFonts w:hint="cs"/>
          <w:rtl/>
        </w:rPr>
        <w:t>אחת מ</w:t>
      </w:r>
      <w:r w:rsidRPr="003A62AD">
        <w:rPr>
          <w:rtl/>
        </w:rPr>
        <w:t xml:space="preserve">מוסכמות היסוד בתורת המודיעין של </w:t>
      </w:r>
      <w:r>
        <w:rPr>
          <w:rFonts w:hint="cs"/>
          <w:rtl/>
        </w:rPr>
        <w:t>המשטרה</w:t>
      </w:r>
      <w:r w:rsidRPr="003A62AD">
        <w:rPr>
          <w:rtl/>
        </w:rPr>
        <w:t xml:space="preserve"> </w:t>
      </w:r>
      <w:r>
        <w:rPr>
          <w:rFonts w:hint="cs"/>
          <w:rtl/>
        </w:rPr>
        <w:t>היא</w:t>
      </w:r>
      <w:r w:rsidRPr="003A62AD">
        <w:rPr>
          <w:rtl/>
        </w:rPr>
        <w:t xml:space="preserve"> כי בחירה נכונה של כלי לאיסוף מודיעין תורמת </w:t>
      </w:r>
      <w:r>
        <w:rPr>
          <w:rFonts w:hint="cs"/>
          <w:rtl/>
        </w:rPr>
        <w:t>תרומה</w:t>
      </w:r>
      <w:r w:rsidRPr="003A62AD">
        <w:rPr>
          <w:rtl/>
        </w:rPr>
        <w:t xml:space="preserve"> </w:t>
      </w:r>
      <w:r>
        <w:rPr>
          <w:rFonts w:hint="cs"/>
          <w:rtl/>
        </w:rPr>
        <w:t>מכרעת</w:t>
      </w:r>
      <w:r w:rsidRPr="003A62AD">
        <w:rPr>
          <w:rtl/>
        </w:rPr>
        <w:t xml:space="preserve"> ליעילות הכיסוי המודיעיני. הבחירה </w:t>
      </w:r>
      <w:r>
        <w:rPr>
          <w:rFonts w:hint="cs"/>
          <w:rtl/>
        </w:rPr>
        <w:t>מתבססת</w:t>
      </w:r>
      <w:r w:rsidRPr="003A62AD">
        <w:rPr>
          <w:rtl/>
        </w:rPr>
        <w:t xml:space="preserve"> על </w:t>
      </w:r>
      <w:r>
        <w:rPr>
          <w:rFonts w:hint="cs"/>
          <w:rtl/>
        </w:rPr>
        <w:t>כמה</w:t>
      </w:r>
      <w:r w:rsidRPr="003A62AD">
        <w:rPr>
          <w:rtl/>
        </w:rPr>
        <w:t xml:space="preserve"> שיקולים, </w:t>
      </w:r>
      <w:r>
        <w:rPr>
          <w:rFonts w:hint="cs"/>
          <w:rtl/>
        </w:rPr>
        <w:t>ובהם</w:t>
      </w:r>
      <w:r w:rsidRPr="003A62AD">
        <w:rPr>
          <w:rtl/>
        </w:rPr>
        <w:t xml:space="preserve"> המשאבים </w:t>
      </w:r>
      <w:r>
        <w:rPr>
          <w:rFonts w:hint="cs"/>
          <w:rtl/>
        </w:rPr>
        <w:t>העומדים לרשות ה</w:t>
      </w:r>
      <w:r w:rsidRPr="003A62AD">
        <w:rPr>
          <w:rtl/>
        </w:rPr>
        <w:t>משטרה. לפי</w:t>
      </w:r>
      <w:r>
        <w:rPr>
          <w:rFonts w:hint="cs"/>
          <w:rtl/>
        </w:rPr>
        <w:t xml:space="preserve">כך, </w:t>
      </w:r>
      <w:r w:rsidRPr="003A62AD">
        <w:rPr>
          <w:rtl/>
        </w:rPr>
        <w:t xml:space="preserve">המשטרה חייבת לבחון את הדרכים לניצול יעיל וחסכוני של </w:t>
      </w:r>
      <w:r>
        <w:rPr>
          <w:rFonts w:hint="cs"/>
          <w:rtl/>
        </w:rPr>
        <w:t>ה</w:t>
      </w:r>
      <w:r w:rsidRPr="003A62AD">
        <w:rPr>
          <w:rtl/>
        </w:rPr>
        <w:t xml:space="preserve">משאבים </w:t>
      </w:r>
      <w:r>
        <w:rPr>
          <w:rFonts w:hint="cs"/>
          <w:rtl/>
        </w:rPr>
        <w:t>ה</w:t>
      </w:r>
      <w:r w:rsidRPr="003A62AD">
        <w:rPr>
          <w:rtl/>
        </w:rPr>
        <w:t>קיימים ו</w:t>
      </w:r>
      <w:r>
        <w:rPr>
          <w:rFonts w:hint="cs"/>
          <w:rtl/>
        </w:rPr>
        <w:t xml:space="preserve">את </w:t>
      </w:r>
      <w:r w:rsidRPr="003A62AD">
        <w:rPr>
          <w:rtl/>
        </w:rPr>
        <w:t xml:space="preserve">הצורך להימנע משימוש באמצעים יקרים שלא לצורך או </w:t>
      </w:r>
      <w:r>
        <w:rPr>
          <w:rFonts w:hint="cs"/>
          <w:rtl/>
        </w:rPr>
        <w:t>להימנע משימוש ב</w:t>
      </w:r>
      <w:r w:rsidRPr="003A62AD">
        <w:rPr>
          <w:rtl/>
        </w:rPr>
        <w:t xml:space="preserve">אמצעים כפולים לאותה המטרה. </w:t>
      </w:r>
      <w:r w:rsidRPr="000A0A9B">
        <w:rPr>
          <w:rtl/>
        </w:rPr>
        <w:t xml:space="preserve">בשנת 2005 עמד צוות לבנת משיח על החשיבות שבמדידת אפקטיביות השימוש בהאזנת הסתר. </w:t>
      </w:r>
      <w:r>
        <w:rPr>
          <w:rFonts w:hint="cs"/>
          <w:rtl/>
        </w:rPr>
        <w:t>היעילות</w:t>
      </w:r>
      <w:r w:rsidRPr="000A0A9B">
        <w:rPr>
          <w:rtl/>
        </w:rPr>
        <w:t xml:space="preserve"> </w:t>
      </w:r>
      <w:r>
        <w:rPr>
          <w:rFonts w:hint="cs"/>
          <w:rtl/>
        </w:rPr>
        <w:t>נבחנה</w:t>
      </w:r>
      <w:r w:rsidRPr="000A0A9B">
        <w:rPr>
          <w:rtl/>
        </w:rPr>
        <w:t xml:space="preserve"> בדיעבד ומטרת</w:t>
      </w:r>
      <w:r>
        <w:rPr>
          <w:rFonts w:hint="cs"/>
          <w:rtl/>
        </w:rPr>
        <w:t xml:space="preserve"> בחינת</w:t>
      </w:r>
      <w:r w:rsidRPr="000A0A9B">
        <w:rPr>
          <w:rtl/>
        </w:rPr>
        <w:t xml:space="preserve">ה, </w:t>
      </w:r>
      <w:r>
        <w:rPr>
          <w:rFonts w:hint="cs"/>
          <w:rtl/>
        </w:rPr>
        <w:t>לדברי</w:t>
      </w:r>
      <w:r w:rsidRPr="000A0A9B">
        <w:rPr>
          <w:rtl/>
        </w:rPr>
        <w:t xml:space="preserve"> הצוות, </w:t>
      </w:r>
      <w:r>
        <w:rPr>
          <w:rFonts w:hint="cs"/>
          <w:rtl/>
        </w:rPr>
        <w:t xml:space="preserve">היא </w:t>
      </w:r>
      <w:r w:rsidRPr="000A0A9B">
        <w:rPr>
          <w:rtl/>
        </w:rPr>
        <w:t>להבטיח שימוש מושכל במשאבי המשטרה</w:t>
      </w:r>
      <w:r>
        <w:rPr>
          <w:rFonts w:hint="cs"/>
          <w:rtl/>
        </w:rPr>
        <w:t xml:space="preserve">. ראו לעניין זה </w:t>
      </w:r>
      <w:r w:rsidRPr="00837796">
        <w:rPr>
          <w:rFonts w:hint="cs"/>
          <w:b/>
          <w:bCs/>
          <w:rtl/>
        </w:rPr>
        <w:t>דוח לבנת משיח</w:t>
      </w:r>
      <w:r>
        <w:rPr>
          <w:rFonts w:hint="cs"/>
          <w:rtl/>
        </w:rPr>
        <w:t>, עמ' 23.</w:t>
      </w:r>
    </w:p>
  </w:footnote>
  <w:footnote w:id="84">
    <w:p w:rsidR="00172C0A" w:rsidRDefault="00172C0A" w:rsidP="00A73F04">
      <w:pPr>
        <w:pStyle w:val="ad"/>
        <w:ind w:left="282" w:hanging="567"/>
        <w:rPr>
          <w:rtl/>
        </w:rPr>
      </w:pPr>
      <w:r>
        <w:rPr>
          <w:rStyle w:val="af"/>
        </w:rPr>
        <w:footnoteRef/>
      </w:r>
      <w:r>
        <w:rPr>
          <w:rtl/>
        </w:rPr>
        <w:t xml:space="preserve"> </w:t>
      </w:r>
      <w:r>
        <w:rPr>
          <w:rtl/>
        </w:rPr>
        <w:tab/>
      </w:r>
      <w:r w:rsidRPr="00482F67">
        <w:rPr>
          <w:rtl/>
        </w:rPr>
        <w:t>12,</w:t>
      </w:r>
      <w:r>
        <w:rPr>
          <w:rFonts w:hint="cs"/>
          <w:rtl/>
        </w:rPr>
        <w:t>642</w:t>
      </w:r>
      <w:r w:rsidRPr="00482F67">
        <w:rPr>
          <w:rtl/>
        </w:rPr>
        <w:t xml:space="preserve"> </w:t>
      </w:r>
      <w:r>
        <w:rPr>
          <w:rFonts w:hint="cs"/>
          <w:rtl/>
        </w:rPr>
        <w:t xml:space="preserve">(89%) </w:t>
      </w:r>
      <w:r w:rsidRPr="00482F67">
        <w:rPr>
          <w:rtl/>
        </w:rPr>
        <w:t>מתוך 14,284 בקשות</w:t>
      </w:r>
      <w:r>
        <w:rPr>
          <w:rFonts w:hint="cs"/>
          <w:rtl/>
        </w:rPr>
        <w:t>.</w:t>
      </w:r>
    </w:p>
  </w:footnote>
  <w:footnote w:id="85">
    <w:p w:rsidR="00172C0A" w:rsidRDefault="00172C0A" w:rsidP="00A73F04">
      <w:pPr>
        <w:pStyle w:val="ad"/>
        <w:ind w:left="282" w:hanging="567"/>
        <w:rPr>
          <w:rtl/>
        </w:rPr>
      </w:pPr>
      <w:r>
        <w:rPr>
          <w:rStyle w:val="af"/>
        </w:rPr>
        <w:footnoteRef/>
      </w:r>
      <w:r>
        <w:rPr>
          <w:rtl/>
        </w:rPr>
        <w:t xml:space="preserve"> </w:t>
      </w:r>
      <w:r>
        <w:rPr>
          <w:rtl/>
        </w:rPr>
        <w:tab/>
      </w:r>
      <w:r>
        <w:rPr>
          <w:rFonts w:hint="cs"/>
          <w:rtl/>
        </w:rPr>
        <w:t>3 בקשות חילוט, 675 בקשות לגילוי עבירות ו-964 בקשות לגילוי עבריינים. בסך הכול: 1,642 (11%) מתוך 14,284 בקשות.</w:t>
      </w:r>
    </w:p>
  </w:footnote>
  <w:footnote w:id="86">
    <w:p w:rsidR="00172C0A" w:rsidRDefault="00172C0A" w:rsidP="00A73F04">
      <w:pPr>
        <w:pStyle w:val="ad"/>
        <w:ind w:left="282" w:hanging="567"/>
      </w:pPr>
      <w:r>
        <w:rPr>
          <w:rStyle w:val="af"/>
        </w:rPr>
        <w:footnoteRef/>
      </w:r>
      <w:r>
        <w:rPr>
          <w:rtl/>
        </w:rPr>
        <w:t xml:space="preserve"> </w:t>
      </w:r>
      <w:r>
        <w:rPr>
          <w:b/>
          <w:bCs/>
          <w:rtl/>
        </w:rPr>
        <w:tab/>
      </w:r>
      <w:r>
        <w:rPr>
          <w:rFonts w:hint="cs"/>
          <w:b/>
          <w:bCs/>
          <w:rtl/>
        </w:rPr>
        <w:t xml:space="preserve">העבירה העיקרית </w:t>
      </w:r>
      <w:r w:rsidRPr="00BB4E96">
        <w:rPr>
          <w:rFonts w:hint="cs"/>
          <w:rtl/>
        </w:rPr>
        <w:t>-</w:t>
      </w:r>
      <w:r>
        <w:rPr>
          <w:rFonts w:hint="cs"/>
          <w:b/>
          <w:bCs/>
          <w:rtl/>
        </w:rPr>
        <w:t xml:space="preserve"> </w:t>
      </w:r>
      <w:r>
        <w:rPr>
          <w:rFonts w:hint="cs"/>
          <w:rtl/>
        </w:rPr>
        <w:t xml:space="preserve">העבירה שלשמה בוצעו הפעולות הפליליות של העבריין, לרבות העבירה החמורה ביותר, אם מדובר בסדרה של עבירות </w:t>
      </w:r>
      <w:r w:rsidRPr="00B576F5">
        <w:rPr>
          <w:rFonts w:hint="cs"/>
          <w:rtl/>
        </w:rPr>
        <w:t xml:space="preserve">אשר בוצעו באותה מסכת. </w:t>
      </w:r>
      <w:r>
        <w:rPr>
          <w:rFonts w:hint="cs"/>
          <w:b/>
          <w:bCs/>
          <w:rtl/>
        </w:rPr>
        <w:t>ה</w:t>
      </w:r>
      <w:r w:rsidRPr="00B576F5">
        <w:rPr>
          <w:rFonts w:hint="cs"/>
          <w:b/>
          <w:bCs/>
          <w:rtl/>
        </w:rPr>
        <w:t xml:space="preserve">עבירה </w:t>
      </w:r>
      <w:r>
        <w:rPr>
          <w:rFonts w:hint="cs"/>
          <w:b/>
          <w:bCs/>
          <w:rtl/>
        </w:rPr>
        <w:t>ה</w:t>
      </w:r>
      <w:r w:rsidRPr="00B576F5">
        <w:rPr>
          <w:rFonts w:hint="cs"/>
          <w:b/>
          <w:bCs/>
          <w:rtl/>
        </w:rPr>
        <w:t>נלווית</w:t>
      </w:r>
      <w:r w:rsidRPr="00B576F5">
        <w:rPr>
          <w:rFonts w:hint="cs"/>
          <w:rtl/>
        </w:rPr>
        <w:t xml:space="preserve"> </w:t>
      </w:r>
      <w:r>
        <w:rPr>
          <w:rFonts w:hint="cs"/>
          <w:rtl/>
        </w:rPr>
        <w:t>-</w:t>
      </w:r>
      <w:r w:rsidRPr="00B576F5">
        <w:rPr>
          <w:rFonts w:hint="cs"/>
          <w:rtl/>
        </w:rPr>
        <w:t xml:space="preserve"> עבירה המשמשת אמצעי עזר לביצוע העבירה העיקרית, למשל: </w:t>
      </w:r>
      <w:r w:rsidRPr="00B576F5">
        <w:rPr>
          <w:b/>
          <w:bCs/>
          <w:rtl/>
        </w:rPr>
        <w:t>עבירות שיבוש</w:t>
      </w:r>
      <w:r w:rsidRPr="00B576F5">
        <w:rPr>
          <w:rtl/>
        </w:rPr>
        <w:t xml:space="preserve"> </w:t>
      </w:r>
      <w:r>
        <w:rPr>
          <w:rFonts w:hint="cs"/>
          <w:rtl/>
        </w:rPr>
        <w:t>-</w:t>
      </w:r>
      <w:r w:rsidRPr="00B576F5">
        <w:rPr>
          <w:rtl/>
        </w:rPr>
        <w:t xml:space="preserve"> </w:t>
      </w:r>
      <w:r w:rsidRPr="00B576F5">
        <w:rPr>
          <w:rFonts w:hint="cs"/>
          <w:rtl/>
        </w:rPr>
        <w:t>כמפורט</w:t>
      </w:r>
      <w:r w:rsidRPr="00B576F5">
        <w:rPr>
          <w:rtl/>
        </w:rPr>
        <w:t xml:space="preserve"> </w:t>
      </w:r>
      <w:r w:rsidRPr="00B576F5">
        <w:rPr>
          <w:rFonts w:hint="cs"/>
          <w:rtl/>
        </w:rPr>
        <w:t>בסעיפים</w:t>
      </w:r>
      <w:r w:rsidRPr="00B576F5">
        <w:rPr>
          <w:rtl/>
        </w:rPr>
        <w:t xml:space="preserve"> </w:t>
      </w:r>
      <w:r>
        <w:rPr>
          <w:rFonts w:hint="cs"/>
          <w:rtl/>
        </w:rPr>
        <w:t>שלהלן</w:t>
      </w:r>
      <w:r w:rsidRPr="00B576F5">
        <w:rPr>
          <w:rtl/>
        </w:rPr>
        <w:t xml:space="preserve"> </w:t>
      </w:r>
      <w:r w:rsidRPr="00B576F5">
        <w:rPr>
          <w:rFonts w:hint="cs"/>
          <w:rtl/>
        </w:rPr>
        <w:t>ב</w:t>
      </w:r>
      <w:r w:rsidRPr="00B576F5">
        <w:rPr>
          <w:rtl/>
        </w:rPr>
        <w:t>חוק העונשין, למשל סעי</w:t>
      </w:r>
      <w:r w:rsidRPr="00B576F5">
        <w:rPr>
          <w:rFonts w:hint="cs"/>
          <w:rtl/>
        </w:rPr>
        <w:t>ף</w:t>
      </w:r>
      <w:r w:rsidRPr="00B576F5">
        <w:rPr>
          <w:rtl/>
        </w:rPr>
        <w:t xml:space="preserve"> 244 (שיבוש מהלכי משפט - עוון),</w:t>
      </w:r>
      <w:r w:rsidRPr="00B576F5">
        <w:rPr>
          <w:rFonts w:hint="cs"/>
          <w:rtl/>
        </w:rPr>
        <w:t xml:space="preserve"> סעיף</w:t>
      </w:r>
      <w:r w:rsidRPr="00B576F5">
        <w:rPr>
          <w:rtl/>
        </w:rPr>
        <w:t xml:space="preserve"> 245 (הדחה בחקירה - פשע), </w:t>
      </w:r>
      <w:r w:rsidRPr="00B576F5">
        <w:rPr>
          <w:rFonts w:hint="cs"/>
          <w:rtl/>
        </w:rPr>
        <w:t>סעיף</w:t>
      </w:r>
      <w:r w:rsidRPr="00B576F5">
        <w:rPr>
          <w:rtl/>
        </w:rPr>
        <w:t xml:space="preserve"> 258 (סיוע לבריחה - פשע),</w:t>
      </w:r>
      <w:r w:rsidRPr="00B576F5">
        <w:rPr>
          <w:rFonts w:hint="cs"/>
          <w:rtl/>
        </w:rPr>
        <w:t xml:space="preserve"> סעיפים</w:t>
      </w:r>
      <w:r w:rsidRPr="00B576F5">
        <w:rPr>
          <w:rtl/>
        </w:rPr>
        <w:t xml:space="preserve"> 260 -261 (סיוע לאחר מעשה </w:t>
      </w:r>
      <w:r>
        <w:rPr>
          <w:rFonts w:hint="cs"/>
          <w:rtl/>
        </w:rPr>
        <w:t xml:space="preserve">למי </w:t>
      </w:r>
      <w:r w:rsidRPr="00B576F5">
        <w:rPr>
          <w:rtl/>
        </w:rPr>
        <w:t>שאינו בן זוג או קרוב משפחה מדרגה ראשונה - עוון),</w:t>
      </w:r>
      <w:r>
        <w:rPr>
          <w:rtl/>
        </w:rPr>
        <w:t xml:space="preserve"> </w:t>
      </w:r>
      <w:r>
        <w:rPr>
          <w:rFonts w:hint="cs"/>
          <w:rtl/>
        </w:rPr>
        <w:t>ו</w:t>
      </w:r>
      <w:r w:rsidRPr="00B576F5">
        <w:rPr>
          <w:rFonts w:hint="cs"/>
          <w:rtl/>
        </w:rPr>
        <w:t xml:space="preserve">סעיף </w:t>
      </w:r>
      <w:r w:rsidRPr="00B576F5">
        <w:rPr>
          <w:rtl/>
        </w:rPr>
        <w:t>262 (אי</w:t>
      </w:r>
      <w:r>
        <w:rPr>
          <w:rFonts w:hint="cs"/>
          <w:rtl/>
        </w:rPr>
        <w:t>-</w:t>
      </w:r>
      <w:r w:rsidRPr="00B576F5">
        <w:rPr>
          <w:rtl/>
        </w:rPr>
        <w:t xml:space="preserve">מניעת פשע - עוון). יודגש </w:t>
      </w:r>
      <w:r>
        <w:rPr>
          <w:rFonts w:hint="cs"/>
          <w:rtl/>
        </w:rPr>
        <w:t xml:space="preserve">כי </w:t>
      </w:r>
      <w:r w:rsidRPr="00B576F5">
        <w:rPr>
          <w:rtl/>
        </w:rPr>
        <w:t xml:space="preserve">לא ניתן לייחס עבירת סיוע לאחר מעשה לכל אדם; </w:t>
      </w:r>
      <w:r w:rsidRPr="00B576F5">
        <w:rPr>
          <w:b/>
          <w:bCs/>
          <w:rtl/>
        </w:rPr>
        <w:t>עבירות הכנה וקשר</w:t>
      </w:r>
      <w:r w:rsidRPr="00B576F5">
        <w:rPr>
          <w:rtl/>
        </w:rPr>
        <w:t xml:space="preserve"> </w:t>
      </w:r>
      <w:r>
        <w:rPr>
          <w:rFonts w:hint="cs"/>
          <w:rtl/>
        </w:rPr>
        <w:t>-</w:t>
      </w:r>
      <w:r w:rsidRPr="00B576F5">
        <w:rPr>
          <w:rtl/>
        </w:rPr>
        <w:t xml:space="preserve"> </w:t>
      </w:r>
      <w:r w:rsidRPr="00B576F5">
        <w:rPr>
          <w:rFonts w:hint="cs"/>
          <w:rtl/>
        </w:rPr>
        <w:t>כמפורט</w:t>
      </w:r>
      <w:r w:rsidRPr="00B576F5">
        <w:rPr>
          <w:rtl/>
        </w:rPr>
        <w:t xml:space="preserve"> </w:t>
      </w:r>
      <w:r w:rsidRPr="00B576F5">
        <w:rPr>
          <w:rFonts w:hint="cs"/>
          <w:rtl/>
        </w:rPr>
        <w:t>בסעיפים</w:t>
      </w:r>
      <w:r w:rsidRPr="00B576F5">
        <w:rPr>
          <w:rtl/>
        </w:rPr>
        <w:t xml:space="preserve"> </w:t>
      </w:r>
      <w:r>
        <w:rPr>
          <w:rFonts w:hint="cs"/>
          <w:rtl/>
        </w:rPr>
        <w:t>שלהלן</w:t>
      </w:r>
      <w:r w:rsidRPr="00B576F5">
        <w:rPr>
          <w:rtl/>
        </w:rPr>
        <w:t xml:space="preserve"> </w:t>
      </w:r>
      <w:r w:rsidRPr="00B576F5">
        <w:rPr>
          <w:rFonts w:hint="cs"/>
          <w:rtl/>
        </w:rPr>
        <w:t>ב</w:t>
      </w:r>
      <w:r w:rsidRPr="00B576F5">
        <w:rPr>
          <w:rtl/>
        </w:rPr>
        <w:t>חוק העונשין, למשל סעי</w:t>
      </w:r>
      <w:r w:rsidRPr="00B576F5">
        <w:rPr>
          <w:rFonts w:hint="cs"/>
          <w:rtl/>
        </w:rPr>
        <w:t>ף</w:t>
      </w:r>
      <w:r w:rsidRPr="00B576F5">
        <w:rPr>
          <w:rtl/>
        </w:rPr>
        <w:t xml:space="preserve"> 497 (ה</w:t>
      </w:r>
      <w:r w:rsidRPr="00B576F5">
        <w:rPr>
          <w:rFonts w:hint="cs"/>
          <w:rtl/>
        </w:rPr>
        <w:t>כנת</w:t>
      </w:r>
      <w:r w:rsidRPr="00B576F5">
        <w:rPr>
          <w:rtl/>
        </w:rPr>
        <w:t xml:space="preserve"> </w:t>
      </w:r>
      <w:r w:rsidRPr="00B576F5">
        <w:rPr>
          <w:rFonts w:hint="cs"/>
          <w:rtl/>
        </w:rPr>
        <w:t>עבירה</w:t>
      </w:r>
      <w:r w:rsidRPr="00B576F5">
        <w:rPr>
          <w:rtl/>
        </w:rPr>
        <w:t xml:space="preserve"> </w:t>
      </w:r>
      <w:r w:rsidRPr="00B576F5">
        <w:rPr>
          <w:rFonts w:hint="cs"/>
          <w:rtl/>
        </w:rPr>
        <w:t>ב</w:t>
      </w:r>
      <w:r w:rsidRPr="00B576F5">
        <w:rPr>
          <w:rtl/>
        </w:rPr>
        <w:t>חומרים מסוכנים - עוון),</w:t>
      </w:r>
      <w:r w:rsidRPr="00B576F5">
        <w:rPr>
          <w:rFonts w:hint="cs"/>
          <w:rtl/>
        </w:rPr>
        <w:t xml:space="preserve"> סעיף</w:t>
      </w:r>
      <w:r w:rsidRPr="00B576F5">
        <w:rPr>
          <w:rtl/>
        </w:rPr>
        <w:t xml:space="preserve"> 498 (מתן אמצעים לביצוע פשע - עוון),</w:t>
      </w:r>
      <w:r w:rsidRPr="00B576F5">
        <w:rPr>
          <w:rFonts w:hint="cs"/>
          <w:rtl/>
        </w:rPr>
        <w:t xml:space="preserve"> סעיף</w:t>
      </w:r>
      <w:r w:rsidRPr="00B576F5">
        <w:rPr>
          <w:rtl/>
        </w:rPr>
        <w:t xml:space="preserve"> 499 (קשירת קשר לביצוע פשע מחוץ לישראל </w:t>
      </w:r>
      <w:r>
        <w:rPr>
          <w:rFonts w:hint="cs"/>
          <w:rtl/>
        </w:rPr>
        <w:t>-</w:t>
      </w:r>
      <w:r w:rsidRPr="00B576F5">
        <w:rPr>
          <w:rtl/>
        </w:rPr>
        <w:t xml:space="preserve"> פשע), </w:t>
      </w:r>
      <w:r w:rsidRPr="00B576F5">
        <w:rPr>
          <w:rFonts w:hint="cs"/>
          <w:rtl/>
        </w:rPr>
        <w:t>סעיף</w:t>
      </w:r>
      <w:r w:rsidRPr="00B576F5">
        <w:rPr>
          <w:rtl/>
        </w:rPr>
        <w:t xml:space="preserve"> 500 (קשירת קשר למעשים אחרים </w:t>
      </w:r>
      <w:r>
        <w:rPr>
          <w:rFonts w:hint="cs"/>
          <w:rtl/>
        </w:rPr>
        <w:t>-</w:t>
      </w:r>
      <w:r w:rsidRPr="00B576F5">
        <w:rPr>
          <w:rtl/>
        </w:rPr>
        <w:t xml:space="preserve"> עוון).</w:t>
      </w:r>
    </w:p>
  </w:footnote>
  <w:footnote w:id="87">
    <w:p w:rsidR="00172C0A" w:rsidRDefault="00172C0A" w:rsidP="00A73F04">
      <w:pPr>
        <w:pStyle w:val="ad"/>
        <w:ind w:left="282" w:hanging="567"/>
      </w:pPr>
      <w:r>
        <w:rPr>
          <w:rStyle w:val="af"/>
        </w:rPr>
        <w:footnoteRef/>
      </w:r>
      <w:r>
        <w:rPr>
          <w:rtl/>
        </w:rPr>
        <w:t xml:space="preserve"> </w:t>
      </w:r>
      <w:r>
        <w:rPr>
          <w:rtl/>
        </w:rPr>
        <w:tab/>
      </w:r>
      <w:r>
        <w:rPr>
          <w:rFonts w:hint="cs"/>
          <w:rtl/>
        </w:rPr>
        <w:t xml:space="preserve">תקנה 2(א) לתקנות האזנת סתר (בקשה להיתר האזנה), התשס"ז-2007; וטופס 1 בתוספת לתקנות. כמו כן, </w:t>
      </w:r>
      <w:r w:rsidRPr="00110FE4">
        <w:rPr>
          <w:rtl/>
        </w:rPr>
        <w:t xml:space="preserve">צוות לבנת משיח המליץ </w:t>
      </w:r>
      <w:r>
        <w:rPr>
          <w:rFonts w:hint="cs"/>
          <w:rtl/>
        </w:rPr>
        <w:t>ל</w:t>
      </w:r>
      <w:r w:rsidRPr="00110FE4">
        <w:rPr>
          <w:rtl/>
        </w:rPr>
        <w:t>משטרה לעגן את השיקולים הנדרשים לקבלת החלטה בדבר הגשת בקשה להאזנת סתר ולתעדה בנימוקי הבקשה</w:t>
      </w:r>
      <w:r>
        <w:rPr>
          <w:rFonts w:hint="cs"/>
          <w:rtl/>
        </w:rPr>
        <w:t xml:space="preserve">. ראו: </w:t>
      </w:r>
      <w:r w:rsidRPr="00D45FD5">
        <w:rPr>
          <w:rFonts w:hint="cs"/>
          <w:b/>
          <w:bCs/>
          <w:rtl/>
        </w:rPr>
        <w:t>דוח לבנת משיח</w:t>
      </w:r>
      <w:r>
        <w:rPr>
          <w:rFonts w:hint="cs"/>
          <w:rtl/>
        </w:rPr>
        <w:t>, עמ' 7 - 8.</w:t>
      </w:r>
      <w:r w:rsidRPr="00110FE4">
        <w:rPr>
          <w:rtl/>
        </w:rPr>
        <w:t xml:space="preserve"> יש מקרים חריגים </w:t>
      </w:r>
      <w:r>
        <w:rPr>
          <w:rFonts w:hint="cs"/>
          <w:rtl/>
        </w:rPr>
        <w:t>ש</w:t>
      </w:r>
      <w:r w:rsidRPr="00110FE4">
        <w:rPr>
          <w:rtl/>
        </w:rPr>
        <w:t xml:space="preserve">בהם החשוד מעורב בארגון פשיעה שפעילותה מגוונת </w:t>
      </w:r>
      <w:r>
        <w:rPr>
          <w:rFonts w:hint="cs"/>
          <w:rtl/>
        </w:rPr>
        <w:t>וקשה</w:t>
      </w:r>
      <w:r w:rsidRPr="00110FE4">
        <w:rPr>
          <w:rtl/>
        </w:rPr>
        <w:t xml:space="preserve"> לצפות במועד הגשת הבקשה את היקף העבירות המלא</w:t>
      </w:r>
      <w:r>
        <w:rPr>
          <w:rFonts w:hint="cs"/>
          <w:rtl/>
        </w:rPr>
        <w:t xml:space="preserve"> שלו</w:t>
      </w:r>
      <w:r w:rsidRPr="00110FE4">
        <w:rPr>
          <w:rtl/>
        </w:rPr>
        <w:t>. במקרים אלו ניתן לרשום עבירות כלליות. עם זאת, המשטרה נדרשת לנמק בבקשה את הטעמים לרישום שכזה</w:t>
      </w:r>
      <w:r>
        <w:rPr>
          <w:rFonts w:hint="cs"/>
          <w:rtl/>
        </w:rPr>
        <w:t xml:space="preserve">. </w:t>
      </w:r>
    </w:p>
  </w:footnote>
  <w:footnote w:id="88">
    <w:p w:rsidR="00172C0A" w:rsidRDefault="00172C0A" w:rsidP="00A73F04">
      <w:pPr>
        <w:pStyle w:val="ad"/>
        <w:ind w:left="282" w:hanging="567"/>
        <w:rPr>
          <w:rtl/>
        </w:rPr>
      </w:pPr>
      <w:r>
        <w:rPr>
          <w:rStyle w:val="af"/>
        </w:rPr>
        <w:footnoteRef/>
      </w:r>
      <w:r>
        <w:rPr>
          <w:rtl/>
        </w:rPr>
        <w:t xml:space="preserve"> </w:t>
      </w:r>
      <w:r>
        <w:rPr>
          <w:rtl/>
        </w:rPr>
        <w:tab/>
      </w:r>
      <w:r>
        <w:rPr>
          <w:rFonts w:hint="cs"/>
          <w:rtl/>
        </w:rPr>
        <w:t>סעיף 13(ג1) לחוק האזנת סתר.</w:t>
      </w:r>
    </w:p>
  </w:footnote>
  <w:footnote w:id="89">
    <w:p w:rsidR="00172C0A" w:rsidRDefault="00172C0A" w:rsidP="00A73F04">
      <w:pPr>
        <w:pStyle w:val="ad"/>
        <w:ind w:left="282" w:hanging="567"/>
      </w:pPr>
      <w:r>
        <w:rPr>
          <w:rStyle w:val="af"/>
        </w:rPr>
        <w:footnoteRef/>
      </w:r>
      <w:r>
        <w:rPr>
          <w:rtl/>
        </w:rPr>
        <w:t xml:space="preserve"> </w:t>
      </w:r>
      <w:r>
        <w:rPr>
          <w:rtl/>
        </w:rPr>
        <w:tab/>
      </w:r>
      <w:r>
        <w:rPr>
          <w:rFonts w:hint="cs"/>
          <w:rtl/>
        </w:rPr>
        <w:t xml:space="preserve">תקנה 2(א) לתקנות האזנת סתר (בקשה להיתר האזנה), התשס"ז-2007, וטופס 1 בתוספת לתקנות, וכן </w:t>
      </w:r>
      <w:r w:rsidRPr="00C33ACD">
        <w:rPr>
          <w:rFonts w:hint="cs"/>
          <w:b/>
          <w:bCs/>
          <w:rtl/>
        </w:rPr>
        <w:t>דוח לבנת משיח</w:t>
      </w:r>
      <w:r>
        <w:rPr>
          <w:rFonts w:hint="cs"/>
          <w:b/>
          <w:bCs/>
          <w:rtl/>
        </w:rPr>
        <w:t>,</w:t>
      </w:r>
      <w:r>
        <w:rPr>
          <w:rFonts w:hint="cs"/>
          <w:rtl/>
        </w:rPr>
        <w:t xml:space="preserve"> עמ' 7 - 8; </w:t>
      </w:r>
      <w:r w:rsidRPr="00EA641F">
        <w:rPr>
          <w:rtl/>
        </w:rPr>
        <w:t>חוות דעת מבקר המדינה משנת 2010</w:t>
      </w:r>
      <w:r>
        <w:rPr>
          <w:rFonts w:hint="cs"/>
          <w:rtl/>
        </w:rPr>
        <w:t xml:space="preserve">, עמ' 15; </w:t>
      </w:r>
      <w:r w:rsidRPr="00150D81">
        <w:rPr>
          <w:rFonts w:hint="cs"/>
          <w:b/>
          <w:bCs/>
          <w:rtl/>
        </w:rPr>
        <w:t xml:space="preserve">דוח </w:t>
      </w:r>
      <w:r w:rsidRPr="00FC42D5">
        <w:rPr>
          <w:rFonts w:hint="cs"/>
          <w:b/>
          <w:bCs/>
          <w:rtl/>
        </w:rPr>
        <w:t>מבקר המדינה</w:t>
      </w:r>
      <w:r w:rsidRPr="00150D81">
        <w:rPr>
          <w:rFonts w:hint="cs"/>
          <w:b/>
          <w:bCs/>
          <w:rtl/>
        </w:rPr>
        <w:t xml:space="preserve"> משנת </w:t>
      </w:r>
      <w:r w:rsidRPr="00795AD0">
        <w:rPr>
          <w:rFonts w:hint="cs"/>
          <w:b/>
          <w:bCs/>
          <w:rtl/>
        </w:rPr>
        <w:t>2004</w:t>
      </w:r>
      <w:r>
        <w:rPr>
          <w:rFonts w:hint="cs"/>
          <w:rtl/>
        </w:rPr>
        <w:t xml:space="preserve">, עמ' 281. </w:t>
      </w:r>
    </w:p>
  </w:footnote>
  <w:footnote w:id="90">
    <w:p w:rsidR="00172C0A" w:rsidRDefault="00172C0A" w:rsidP="00A73F04">
      <w:pPr>
        <w:pStyle w:val="ad"/>
        <w:ind w:left="282" w:hanging="567"/>
        <w:rPr>
          <w:rtl/>
        </w:rPr>
      </w:pPr>
      <w:r>
        <w:rPr>
          <w:rStyle w:val="af"/>
        </w:rPr>
        <w:footnoteRef/>
      </w:r>
      <w:r>
        <w:rPr>
          <w:rtl/>
        </w:rPr>
        <w:t xml:space="preserve"> </w:t>
      </w:r>
      <w:r>
        <w:rPr>
          <w:rtl/>
        </w:rPr>
        <w:tab/>
      </w:r>
      <w:r w:rsidRPr="003C6909">
        <w:rPr>
          <w:rFonts w:hint="cs"/>
          <w:b/>
          <w:bCs/>
          <w:rtl/>
        </w:rPr>
        <w:t>קבוצת עבירה סטטיסטית</w:t>
      </w:r>
      <w:r w:rsidRPr="003C6909">
        <w:rPr>
          <w:rFonts w:hint="cs"/>
          <w:rtl/>
        </w:rPr>
        <w:t xml:space="preserve"> </w:t>
      </w:r>
      <w:r w:rsidRPr="003C6909">
        <w:rPr>
          <w:rtl/>
        </w:rPr>
        <w:t xml:space="preserve">- קבוצה שבה מקובצות </w:t>
      </w:r>
      <w:r w:rsidRPr="003C6909">
        <w:rPr>
          <w:rFonts w:hint="cs"/>
          <w:rtl/>
        </w:rPr>
        <w:t xml:space="preserve">כמה עבירות בעלות מאפיינים משותפים </w:t>
      </w:r>
      <w:r>
        <w:rPr>
          <w:rFonts w:hint="cs"/>
          <w:rtl/>
        </w:rPr>
        <w:t>כדי</w:t>
      </w:r>
      <w:r w:rsidRPr="003C6909">
        <w:rPr>
          <w:rFonts w:hint="cs"/>
          <w:rtl/>
        </w:rPr>
        <w:t xml:space="preserve"> להקל את ביצוע הניתוח הסטטיסטי של תופעות פשיעה. זאת לנוכח היעדר הגדרה לאומית או בין</w:t>
      </w:r>
      <w:r w:rsidRPr="003C6909">
        <w:rPr>
          <w:rtl/>
        </w:rPr>
        <w:t>-</w:t>
      </w:r>
      <w:r w:rsidRPr="003C6909">
        <w:rPr>
          <w:rFonts w:hint="cs"/>
          <w:rtl/>
        </w:rPr>
        <w:t>לאומית אחידה לתופעות הפשיעה השונות. קבוצת העבירה הסטטיסטית בדוח זה נקבעה</w:t>
      </w:r>
      <w:r>
        <w:rPr>
          <w:rFonts w:hint="cs"/>
          <w:rtl/>
        </w:rPr>
        <w:t xml:space="preserve"> בהתאם לסיווג שביצעה המשטרה במאגרי הנתונים הנמצאים בחזקתה ולפיהם היא מכינה את השנתונים הסטטיסטיים שלה. ראו לעניין זה </w:t>
      </w:r>
      <w:r w:rsidRPr="00C33ACD">
        <w:rPr>
          <w:rFonts w:hint="cs"/>
          <w:rtl/>
        </w:rPr>
        <w:t>משטרת ישראל</w:t>
      </w:r>
      <w:r>
        <w:rPr>
          <w:rFonts w:hint="cs"/>
          <w:rtl/>
        </w:rPr>
        <w:t>,</w:t>
      </w:r>
      <w:r w:rsidRPr="00C33ACD">
        <w:rPr>
          <w:rFonts w:hint="cs"/>
          <w:rtl/>
        </w:rPr>
        <w:t xml:space="preserve"> </w:t>
      </w:r>
      <w:r w:rsidRPr="00CB7B7C">
        <w:rPr>
          <w:rFonts w:hint="cs"/>
          <w:b/>
          <w:bCs/>
          <w:rtl/>
        </w:rPr>
        <w:t>השנתון הסטטיסטי לשנת 2021</w:t>
      </w:r>
      <w:r>
        <w:rPr>
          <w:rFonts w:hint="cs"/>
          <w:rtl/>
        </w:rPr>
        <w:t xml:space="preserve"> (2022). </w:t>
      </w:r>
    </w:p>
  </w:footnote>
  <w:footnote w:id="91">
    <w:p w:rsidR="00172C0A" w:rsidRDefault="00172C0A" w:rsidP="00A73F04">
      <w:pPr>
        <w:pStyle w:val="ad"/>
        <w:ind w:left="282" w:hanging="567"/>
        <w:rPr>
          <w:rtl/>
        </w:rPr>
      </w:pPr>
      <w:r>
        <w:rPr>
          <w:rStyle w:val="af"/>
        </w:rPr>
        <w:footnoteRef/>
      </w:r>
      <w:r>
        <w:rPr>
          <w:rtl/>
        </w:rPr>
        <w:t xml:space="preserve"> </w:t>
      </w:r>
      <w:r>
        <w:rPr>
          <w:b/>
          <w:bCs/>
          <w:rtl/>
        </w:rPr>
        <w:tab/>
      </w:r>
      <w:r w:rsidRPr="00074F56">
        <w:rPr>
          <w:b/>
          <w:bCs/>
          <w:rtl/>
        </w:rPr>
        <w:t>עבירות ביטחו</w:t>
      </w:r>
      <w:r>
        <w:rPr>
          <w:rtl/>
        </w:rPr>
        <w:t>ן</w:t>
      </w:r>
      <w:r>
        <w:rPr>
          <w:rFonts w:hint="cs"/>
          <w:rtl/>
        </w:rPr>
        <w:t xml:space="preserve"> </w:t>
      </w:r>
      <w:r>
        <w:rPr>
          <w:rtl/>
        </w:rPr>
        <w:t>- כוללות בין היתר עבירות אמל"ח</w:t>
      </w:r>
      <w:r>
        <w:rPr>
          <w:rFonts w:hint="cs"/>
          <w:rtl/>
        </w:rPr>
        <w:t>,</w:t>
      </w:r>
      <w:r>
        <w:rPr>
          <w:rtl/>
        </w:rPr>
        <w:t xml:space="preserve"> עבירות מרד, הסתה </w:t>
      </w:r>
      <w:r>
        <w:rPr>
          <w:rFonts w:hint="cs"/>
          <w:rtl/>
        </w:rPr>
        <w:t>ו</w:t>
      </w:r>
      <w:r>
        <w:rPr>
          <w:rtl/>
        </w:rPr>
        <w:t xml:space="preserve">הסתננות. דירוג חומרת העבירה </w:t>
      </w:r>
      <w:r>
        <w:rPr>
          <w:rFonts w:hint="cs"/>
          <w:rtl/>
        </w:rPr>
        <w:t>-</w:t>
      </w:r>
      <w:r>
        <w:rPr>
          <w:rtl/>
        </w:rPr>
        <w:t xml:space="preserve"> 1</w:t>
      </w:r>
      <w:r>
        <w:rPr>
          <w:rFonts w:hint="cs"/>
          <w:rtl/>
        </w:rPr>
        <w:t xml:space="preserve">; </w:t>
      </w:r>
      <w:r w:rsidRPr="00074F56">
        <w:rPr>
          <w:b/>
          <w:bCs/>
          <w:rtl/>
        </w:rPr>
        <w:t>עבירות סדר ציבורי</w:t>
      </w:r>
      <w:r>
        <w:rPr>
          <w:rtl/>
        </w:rPr>
        <w:t>- כוללות בין היתר תקיפה והכשל</w:t>
      </w:r>
      <w:r>
        <w:rPr>
          <w:rFonts w:hint="cs"/>
          <w:rtl/>
        </w:rPr>
        <w:t>ה של</w:t>
      </w:r>
      <w:r>
        <w:rPr>
          <w:rtl/>
        </w:rPr>
        <w:t xml:space="preserve"> שוטר, קטטות, איומים </w:t>
      </w:r>
      <w:r>
        <w:rPr>
          <w:rFonts w:hint="cs"/>
          <w:rtl/>
        </w:rPr>
        <w:t>ו</w:t>
      </w:r>
      <w:r>
        <w:rPr>
          <w:rtl/>
        </w:rPr>
        <w:t xml:space="preserve">שוחד. דירוג חומרת העבירה </w:t>
      </w:r>
      <w:r>
        <w:rPr>
          <w:rFonts w:hint="cs"/>
          <w:rtl/>
        </w:rPr>
        <w:t>-</w:t>
      </w:r>
      <w:r>
        <w:rPr>
          <w:rtl/>
        </w:rPr>
        <w:t xml:space="preserve"> 2</w:t>
      </w:r>
      <w:r>
        <w:rPr>
          <w:rFonts w:hint="cs"/>
          <w:rtl/>
        </w:rPr>
        <w:t xml:space="preserve">; </w:t>
      </w:r>
      <w:r>
        <w:rPr>
          <w:rFonts w:hint="cs"/>
          <w:b/>
          <w:bCs/>
          <w:rtl/>
        </w:rPr>
        <w:t>ע</w:t>
      </w:r>
      <w:r w:rsidRPr="00074F56">
        <w:rPr>
          <w:b/>
          <w:bCs/>
          <w:rtl/>
        </w:rPr>
        <w:t>בירות רכוש</w:t>
      </w:r>
      <w:r>
        <w:rPr>
          <w:rFonts w:hint="cs"/>
          <w:b/>
          <w:bCs/>
          <w:rtl/>
        </w:rPr>
        <w:t xml:space="preserve"> </w:t>
      </w:r>
      <w:r>
        <w:rPr>
          <w:rtl/>
        </w:rPr>
        <w:t>- כוללות בין היתר שוד</w:t>
      </w:r>
      <w:r>
        <w:rPr>
          <w:rFonts w:hint="cs"/>
          <w:rtl/>
        </w:rPr>
        <w:t>,</w:t>
      </w:r>
      <w:r>
        <w:rPr>
          <w:rtl/>
        </w:rPr>
        <w:t xml:space="preserve"> התפרצות, גניבה והצתה. דירוג חומרת העבירה</w:t>
      </w:r>
      <w:r>
        <w:rPr>
          <w:rFonts w:hint="cs"/>
          <w:rtl/>
        </w:rPr>
        <w:t xml:space="preserve"> </w:t>
      </w:r>
      <w:r>
        <w:rPr>
          <w:rtl/>
        </w:rPr>
        <w:t>- 7</w:t>
      </w:r>
      <w:r>
        <w:rPr>
          <w:rFonts w:hint="cs"/>
          <w:rtl/>
        </w:rPr>
        <w:t xml:space="preserve">; </w:t>
      </w:r>
      <w:r>
        <w:rPr>
          <w:rFonts w:hint="cs"/>
          <w:b/>
          <w:bCs/>
          <w:rtl/>
        </w:rPr>
        <w:t>ע</w:t>
      </w:r>
      <w:r w:rsidRPr="00074F56">
        <w:rPr>
          <w:b/>
          <w:bCs/>
          <w:rtl/>
        </w:rPr>
        <w:t>בירות מוסר</w:t>
      </w:r>
      <w:r>
        <w:rPr>
          <w:rFonts w:hint="cs"/>
          <w:b/>
          <w:bCs/>
          <w:rtl/>
        </w:rPr>
        <w:t xml:space="preserve"> </w:t>
      </w:r>
      <w:r>
        <w:rPr>
          <w:rtl/>
        </w:rPr>
        <w:t>- כוללות בין היתר עבירות סרסרות ושידול למעשי זנות, שימוש וסחר בסמים. דירוג חומרת העבירה</w:t>
      </w:r>
      <w:r>
        <w:rPr>
          <w:rFonts w:hint="cs"/>
          <w:rtl/>
        </w:rPr>
        <w:t xml:space="preserve"> </w:t>
      </w:r>
      <w:r>
        <w:rPr>
          <w:rtl/>
        </w:rPr>
        <w:t>- 6</w:t>
      </w:r>
      <w:r>
        <w:rPr>
          <w:rFonts w:hint="cs"/>
          <w:rtl/>
        </w:rPr>
        <w:t xml:space="preserve">; </w:t>
      </w:r>
      <w:r w:rsidRPr="00074F56">
        <w:rPr>
          <w:b/>
          <w:bCs/>
          <w:rtl/>
        </w:rPr>
        <w:t>עבירות כנגד חיי אדם</w:t>
      </w:r>
      <w:r>
        <w:rPr>
          <w:rtl/>
        </w:rPr>
        <w:t>- כוללות בין היתר עבירות רצח, ניסיון לרצח, הריגה וגרימת מוות ברשלנות. דירוג חומרת העבירה</w:t>
      </w:r>
      <w:r>
        <w:rPr>
          <w:rFonts w:hint="cs"/>
          <w:rtl/>
        </w:rPr>
        <w:t xml:space="preserve"> </w:t>
      </w:r>
      <w:r>
        <w:rPr>
          <w:rtl/>
        </w:rPr>
        <w:t>- 3</w:t>
      </w:r>
      <w:r>
        <w:rPr>
          <w:rFonts w:hint="cs"/>
          <w:rtl/>
        </w:rPr>
        <w:t xml:space="preserve">; </w:t>
      </w:r>
      <w:r w:rsidRPr="00074F56">
        <w:rPr>
          <w:b/>
          <w:bCs/>
          <w:rtl/>
        </w:rPr>
        <w:t>עבירות נגד גוף האדם</w:t>
      </w:r>
      <w:r>
        <w:rPr>
          <w:rtl/>
        </w:rPr>
        <w:t xml:space="preserve"> - כוללות בין היתר עבירות חבלה גופנית חמורה ותקיפה. דירוג חומרת העבירה -</w:t>
      </w:r>
      <w:r>
        <w:rPr>
          <w:rFonts w:hint="cs"/>
          <w:rtl/>
        </w:rPr>
        <w:t xml:space="preserve"> </w:t>
      </w:r>
      <w:r>
        <w:rPr>
          <w:rtl/>
        </w:rPr>
        <w:t>4</w:t>
      </w:r>
      <w:r>
        <w:rPr>
          <w:rFonts w:hint="cs"/>
          <w:rtl/>
        </w:rPr>
        <w:t>;</w:t>
      </w:r>
      <w:r>
        <w:rPr>
          <w:rFonts w:hint="cs"/>
          <w:b/>
          <w:bCs/>
          <w:rtl/>
        </w:rPr>
        <w:t xml:space="preserve"> </w:t>
      </w:r>
      <w:r w:rsidRPr="00074F56">
        <w:rPr>
          <w:b/>
          <w:bCs/>
          <w:rtl/>
        </w:rPr>
        <w:t>עבירות מרמה</w:t>
      </w:r>
      <w:r>
        <w:rPr>
          <w:rFonts w:hint="cs"/>
          <w:b/>
          <w:bCs/>
          <w:rtl/>
        </w:rPr>
        <w:t xml:space="preserve"> </w:t>
      </w:r>
      <w:r>
        <w:rPr>
          <w:rtl/>
        </w:rPr>
        <w:t xml:space="preserve">- כוללות בין היתר עבירות זיוף, מרמה </w:t>
      </w:r>
      <w:r>
        <w:rPr>
          <w:rFonts w:hint="cs"/>
          <w:rtl/>
        </w:rPr>
        <w:t>ו</w:t>
      </w:r>
      <w:r>
        <w:rPr>
          <w:rtl/>
        </w:rPr>
        <w:t>עושק. דירוג חומרת העבירה -8</w:t>
      </w:r>
      <w:r>
        <w:rPr>
          <w:rFonts w:hint="cs"/>
          <w:rtl/>
        </w:rPr>
        <w:t xml:space="preserve">; </w:t>
      </w:r>
      <w:r w:rsidRPr="00074F56">
        <w:rPr>
          <w:b/>
          <w:bCs/>
          <w:rtl/>
        </w:rPr>
        <w:t>עבירות כלכליות</w:t>
      </w:r>
      <w:r>
        <w:rPr>
          <w:rFonts w:hint="cs"/>
          <w:b/>
          <w:bCs/>
          <w:rtl/>
        </w:rPr>
        <w:t xml:space="preserve"> </w:t>
      </w:r>
      <w:r>
        <w:rPr>
          <w:rtl/>
        </w:rPr>
        <w:t xml:space="preserve">- כוללות בין היתר עבירות הקשורות בפיקוח כלכלי </w:t>
      </w:r>
      <w:r>
        <w:rPr>
          <w:rFonts w:hint="cs"/>
          <w:rtl/>
        </w:rPr>
        <w:t>וב</w:t>
      </w:r>
      <w:r>
        <w:rPr>
          <w:rtl/>
        </w:rPr>
        <w:t xml:space="preserve">קניין רוחני ועבירות פיסקליות. דירוג חומרת העבירה </w:t>
      </w:r>
      <w:r>
        <w:rPr>
          <w:rFonts w:hint="cs"/>
          <w:rtl/>
        </w:rPr>
        <w:t>-</w:t>
      </w:r>
      <w:r>
        <w:rPr>
          <w:rtl/>
        </w:rPr>
        <w:t xml:space="preserve"> 9</w:t>
      </w:r>
      <w:r>
        <w:rPr>
          <w:rFonts w:hint="cs"/>
          <w:rtl/>
        </w:rPr>
        <w:t xml:space="preserve">; </w:t>
      </w:r>
      <w:r w:rsidRPr="00074F56">
        <w:rPr>
          <w:b/>
          <w:bCs/>
          <w:rtl/>
        </w:rPr>
        <w:t>עבירות מין</w:t>
      </w:r>
      <w:r>
        <w:rPr>
          <w:rFonts w:hint="cs"/>
          <w:rtl/>
        </w:rPr>
        <w:t xml:space="preserve"> </w:t>
      </w:r>
      <w:r>
        <w:rPr>
          <w:rtl/>
        </w:rPr>
        <w:t xml:space="preserve">- כוללות בין היתר עבירות אינוס, מעשה מגונה והטרדה מינית. דירוג חומרת העבירה </w:t>
      </w:r>
      <w:r>
        <w:rPr>
          <w:rFonts w:hint="cs"/>
          <w:rtl/>
        </w:rPr>
        <w:t>-</w:t>
      </w:r>
      <w:r>
        <w:rPr>
          <w:rtl/>
        </w:rPr>
        <w:t xml:space="preserve"> 5</w:t>
      </w:r>
      <w:r>
        <w:rPr>
          <w:rFonts w:hint="cs"/>
          <w:rtl/>
        </w:rPr>
        <w:t xml:space="preserve">. חומרת העבירות נקבע בהתאם למפתח חומרת העבירות של הלשכה המרכזית לסטטיסטיקה. </w:t>
      </w:r>
    </w:p>
  </w:footnote>
  <w:footnote w:id="92">
    <w:p w:rsidR="00172C0A" w:rsidRDefault="00172C0A" w:rsidP="00A73F04">
      <w:pPr>
        <w:pStyle w:val="ad"/>
        <w:ind w:left="282" w:hanging="567"/>
      </w:pPr>
      <w:r>
        <w:rPr>
          <w:rStyle w:val="af"/>
        </w:rPr>
        <w:footnoteRef/>
      </w:r>
      <w:r>
        <w:rPr>
          <w:rtl/>
        </w:rPr>
        <w:t xml:space="preserve"> </w:t>
      </w:r>
      <w:r>
        <w:rPr>
          <w:rtl/>
        </w:rPr>
        <w:tab/>
      </w:r>
      <w:r w:rsidRPr="00F160D7">
        <w:rPr>
          <w:rFonts w:hint="cs"/>
          <w:b/>
          <w:bCs/>
          <w:rtl/>
        </w:rPr>
        <w:t>מעורב</w:t>
      </w:r>
      <w:r>
        <w:rPr>
          <w:rFonts w:hint="cs"/>
          <w:rtl/>
        </w:rPr>
        <w:t xml:space="preserve"> - </w:t>
      </w:r>
      <w:r>
        <w:rPr>
          <w:rtl/>
        </w:rPr>
        <w:t>אדם הקשור לעבירה או שעשויים להיות לו מידע, מסמכים או חפצים הנוגעים לעבירה והוא אינו חשוד בביצועה</w:t>
      </w:r>
      <w:r>
        <w:t>.</w:t>
      </w:r>
      <w:r>
        <w:rPr>
          <w:rFonts w:hint="cs"/>
          <w:rtl/>
        </w:rPr>
        <w:t xml:space="preserve"> בענייננו - הוא אינו קורבן או חשוד בביצוע עבירה כמבצע עיקרי או כשותף עקיף. </w:t>
      </w:r>
    </w:p>
  </w:footnote>
  <w:footnote w:id="93">
    <w:p w:rsidR="00172C0A" w:rsidRDefault="00172C0A" w:rsidP="00A73F04">
      <w:pPr>
        <w:pStyle w:val="ad"/>
        <w:ind w:left="282" w:hanging="567"/>
        <w:rPr>
          <w:rtl/>
        </w:rPr>
      </w:pPr>
      <w:r>
        <w:rPr>
          <w:rStyle w:val="af"/>
        </w:rPr>
        <w:footnoteRef/>
      </w:r>
      <w:r>
        <w:rPr>
          <w:rtl/>
        </w:rPr>
        <w:t xml:space="preserve"> </w:t>
      </w:r>
      <w:r>
        <w:rPr>
          <w:rtl/>
        </w:rPr>
        <w:tab/>
      </w:r>
      <w:r>
        <w:rPr>
          <w:rFonts w:hint="cs"/>
          <w:rtl/>
        </w:rPr>
        <w:t xml:space="preserve">מטבע הדברים, מסמך רשמי יש לנסח בקפידה, בדייקנות ובשפה ראויה. למשל, ראו תפיסת פרקליט המדינה בנושא ניסוח כתב אישום, </w:t>
      </w:r>
      <w:r w:rsidRPr="004078E5">
        <w:rPr>
          <w:rFonts w:hint="cs"/>
          <w:b/>
          <w:bCs/>
          <w:rtl/>
        </w:rPr>
        <w:t>הנחיית פרקליט המדינה מס</w:t>
      </w:r>
      <w:r>
        <w:rPr>
          <w:rFonts w:hint="cs"/>
          <w:b/>
          <w:bCs/>
          <w:rtl/>
        </w:rPr>
        <w:t>'</w:t>
      </w:r>
      <w:r w:rsidRPr="004078E5">
        <w:rPr>
          <w:rFonts w:hint="cs"/>
          <w:b/>
          <w:bCs/>
          <w:rtl/>
        </w:rPr>
        <w:t xml:space="preserve"> 3.1</w:t>
      </w:r>
      <w:r>
        <w:rPr>
          <w:rFonts w:hint="cs"/>
          <w:b/>
          <w:bCs/>
          <w:rtl/>
        </w:rPr>
        <w:t xml:space="preserve"> - </w:t>
      </w:r>
      <w:r w:rsidRPr="004078E5">
        <w:rPr>
          <w:rFonts w:hint="cs"/>
          <w:b/>
          <w:bCs/>
          <w:rtl/>
        </w:rPr>
        <w:t xml:space="preserve">הכנה וניסוח </w:t>
      </w:r>
      <w:r>
        <w:rPr>
          <w:rFonts w:hint="cs"/>
          <w:b/>
          <w:bCs/>
          <w:rtl/>
        </w:rPr>
        <w:t xml:space="preserve">של </w:t>
      </w:r>
      <w:r w:rsidRPr="004078E5">
        <w:rPr>
          <w:rFonts w:hint="cs"/>
          <w:b/>
          <w:bCs/>
          <w:rtl/>
        </w:rPr>
        <w:t>כתב אישום</w:t>
      </w:r>
      <w:r>
        <w:rPr>
          <w:rFonts w:hint="cs"/>
          <w:rtl/>
        </w:rPr>
        <w:t xml:space="preserve"> (מ-25.4.91, עודכן ב-30.9.21). הדרישה לדיוק בעובדות הנמסרות לבית המשפט היא ממוסכמות היסוד בנוגע לכללי האמון החלים בין בית המשפט לבין ציבור עורכי הדין. ראו לעניין זה על"ע 4095/99 </w:t>
      </w:r>
      <w:r w:rsidRPr="00802AF1">
        <w:rPr>
          <w:rFonts w:hint="cs"/>
          <w:b/>
          <w:bCs/>
          <w:rtl/>
        </w:rPr>
        <w:t>זאב</w:t>
      </w:r>
      <w:r w:rsidRPr="00802AF1">
        <w:rPr>
          <w:b/>
          <w:bCs/>
          <w:rtl/>
        </w:rPr>
        <w:t xml:space="preserve"> </w:t>
      </w:r>
      <w:r w:rsidRPr="00802AF1">
        <w:rPr>
          <w:rFonts w:hint="cs"/>
          <w:b/>
          <w:bCs/>
          <w:rtl/>
        </w:rPr>
        <w:t>קובלר</w:t>
      </w:r>
      <w:r w:rsidRPr="00802AF1">
        <w:rPr>
          <w:b/>
          <w:bCs/>
          <w:rtl/>
        </w:rPr>
        <w:t xml:space="preserve"> עורך דין</w:t>
      </w:r>
      <w:r>
        <w:rPr>
          <w:b/>
          <w:bCs/>
          <w:rtl/>
        </w:rPr>
        <w:t xml:space="preserve"> </w:t>
      </w:r>
      <w:r w:rsidRPr="00802AF1">
        <w:rPr>
          <w:b/>
          <w:bCs/>
          <w:rtl/>
        </w:rPr>
        <w:t>נ' הו</w:t>
      </w:r>
      <w:r>
        <w:rPr>
          <w:rFonts w:hint="cs"/>
          <w:b/>
          <w:bCs/>
          <w:rtl/>
        </w:rPr>
        <w:t>ו</w:t>
      </w:r>
      <w:r w:rsidRPr="00802AF1">
        <w:rPr>
          <w:b/>
          <w:bCs/>
          <w:rtl/>
        </w:rPr>
        <w:t>עד המחוזי של לשכת עורכי הדין</w:t>
      </w:r>
      <w:r>
        <w:rPr>
          <w:rFonts w:hint="cs"/>
          <w:rtl/>
        </w:rPr>
        <w:t xml:space="preserve">, פ"ד נה(4) 11 (מ-23.5.01), פסקה 7 מפי כב' השופט (בדימוס) אליהו מצא: "הצהרה עובדתית הנמסרת לבית המשפט מפי עורך דין - אף בדברים על-פה באולם המשפטים, לא כל שכן בתצהיר כתוב וחתום - מתקבלת, בדרך כלל, כאמת בדוקה ומוסמכת. ביסוד האמון שבית המשפט רוחש להצהרות פרקליטים ניצבת ההנחה, שעורך דין העושה את מלאכתו נאמנה אינו מצהיר על עובדה אלא לאחר שבדק ונוכח באמיתותה. הצהרה עובדתית בלתי נכונה מפי עורך דין... פוגעת ביסודותיו של אמון זה, שקיומו חיוני לפעילות בתי המשפט ולשמירה על נורמות ההתנהגות המקובלות". </w:t>
      </w:r>
    </w:p>
  </w:footnote>
  <w:footnote w:id="94">
    <w:p w:rsidR="00172C0A" w:rsidRDefault="00172C0A" w:rsidP="00A73F04">
      <w:pPr>
        <w:pStyle w:val="ad"/>
        <w:ind w:left="282" w:hanging="567"/>
        <w:rPr>
          <w:rtl/>
        </w:rPr>
      </w:pPr>
      <w:r>
        <w:rPr>
          <w:rStyle w:val="af"/>
        </w:rPr>
        <w:footnoteRef/>
      </w:r>
      <w:r>
        <w:rPr>
          <w:rtl/>
        </w:rPr>
        <w:t xml:space="preserve"> </w:t>
      </w:r>
      <w:r>
        <w:rPr>
          <w:rtl/>
        </w:rPr>
        <w:tab/>
      </w:r>
      <w:r>
        <w:rPr>
          <w:rFonts w:hint="cs"/>
          <w:rtl/>
        </w:rPr>
        <w:t xml:space="preserve">סעיף 6 לחוק האזנת סתר. </w:t>
      </w:r>
    </w:p>
  </w:footnote>
  <w:footnote w:id="95">
    <w:p w:rsidR="00172C0A" w:rsidRDefault="00172C0A" w:rsidP="00A73F04">
      <w:pPr>
        <w:pStyle w:val="ad"/>
        <w:ind w:left="282" w:hanging="567"/>
      </w:pPr>
      <w:r>
        <w:rPr>
          <w:rStyle w:val="af"/>
        </w:rPr>
        <w:footnoteRef/>
      </w:r>
      <w:r>
        <w:rPr>
          <w:rtl/>
        </w:rPr>
        <w:t xml:space="preserve"> </w:t>
      </w:r>
      <w:r>
        <w:rPr>
          <w:rtl/>
        </w:rPr>
        <w:tab/>
      </w:r>
      <w:r>
        <w:rPr>
          <w:rFonts w:hint="cs"/>
          <w:rtl/>
        </w:rPr>
        <w:t xml:space="preserve">משטרת ישראל, </w:t>
      </w:r>
      <w:r w:rsidRPr="00072692">
        <w:rPr>
          <w:rFonts w:hint="eastAsia"/>
          <w:b/>
          <w:bCs/>
          <w:rtl/>
        </w:rPr>
        <w:t>תורת</w:t>
      </w:r>
      <w:r w:rsidRPr="00072692">
        <w:rPr>
          <w:b/>
          <w:bCs/>
          <w:rtl/>
        </w:rPr>
        <w:t xml:space="preserve"> </w:t>
      </w:r>
      <w:r w:rsidRPr="00072692">
        <w:rPr>
          <w:rFonts w:hint="eastAsia"/>
          <w:b/>
          <w:bCs/>
          <w:rtl/>
        </w:rPr>
        <w:t>המודיעין</w:t>
      </w:r>
      <w:r w:rsidRPr="00072692">
        <w:rPr>
          <w:b/>
          <w:bCs/>
          <w:rtl/>
        </w:rPr>
        <w:t xml:space="preserve"> </w:t>
      </w:r>
      <w:r w:rsidRPr="00072692">
        <w:rPr>
          <w:rFonts w:hint="eastAsia"/>
          <w:b/>
          <w:bCs/>
          <w:rtl/>
        </w:rPr>
        <w:t>של</w:t>
      </w:r>
      <w:r w:rsidRPr="00072692">
        <w:rPr>
          <w:b/>
          <w:bCs/>
          <w:rtl/>
        </w:rPr>
        <w:t xml:space="preserve"> </w:t>
      </w:r>
      <w:r w:rsidRPr="00072692">
        <w:rPr>
          <w:rFonts w:hint="eastAsia"/>
          <w:b/>
          <w:bCs/>
          <w:rtl/>
        </w:rPr>
        <w:t>משטרת</w:t>
      </w:r>
      <w:r w:rsidRPr="00072692">
        <w:rPr>
          <w:b/>
          <w:bCs/>
          <w:rtl/>
        </w:rPr>
        <w:t xml:space="preserve"> </w:t>
      </w:r>
      <w:r w:rsidRPr="00072692">
        <w:rPr>
          <w:rFonts w:hint="eastAsia"/>
          <w:b/>
          <w:bCs/>
          <w:rtl/>
        </w:rPr>
        <w:t>ישראל</w:t>
      </w:r>
      <w:r w:rsidRPr="009E78C9">
        <w:rPr>
          <w:rFonts w:hint="cs"/>
          <w:rtl/>
        </w:rPr>
        <w:t xml:space="preserve">, התשס"ג </w:t>
      </w:r>
      <w:r>
        <w:rPr>
          <w:rFonts w:hint="cs"/>
          <w:rtl/>
        </w:rPr>
        <w:t>-</w:t>
      </w:r>
      <w:r w:rsidRPr="009E78C9">
        <w:rPr>
          <w:rFonts w:hint="cs"/>
          <w:rtl/>
        </w:rPr>
        <w:t xml:space="preserve"> ינואר 200</w:t>
      </w:r>
      <w:r>
        <w:rPr>
          <w:rFonts w:hint="cs"/>
          <w:rtl/>
        </w:rPr>
        <w:t>3</w:t>
      </w:r>
    </w:p>
  </w:footnote>
  <w:footnote w:id="96">
    <w:p w:rsidR="00172C0A" w:rsidRDefault="00172C0A" w:rsidP="00A73F04">
      <w:pPr>
        <w:pStyle w:val="ad"/>
        <w:ind w:left="282" w:hanging="567"/>
        <w:rPr>
          <w:rtl/>
        </w:rPr>
      </w:pPr>
      <w:r>
        <w:rPr>
          <w:rStyle w:val="af"/>
        </w:rPr>
        <w:footnoteRef/>
      </w:r>
      <w:r>
        <w:rPr>
          <w:rtl/>
        </w:rPr>
        <w:t xml:space="preserve"> </w:t>
      </w:r>
      <w:r>
        <w:rPr>
          <w:rtl/>
        </w:rPr>
        <w:tab/>
      </w:r>
      <w:r w:rsidRPr="00150D81">
        <w:rPr>
          <w:rFonts w:hint="cs"/>
          <w:b/>
          <w:bCs/>
          <w:rtl/>
        </w:rPr>
        <w:t>חוות דעת מבקר המדינה משנת 2010</w:t>
      </w:r>
      <w:r>
        <w:rPr>
          <w:rFonts w:hint="cs"/>
          <w:rtl/>
        </w:rPr>
        <w:t xml:space="preserve">, עמ' 10. </w:t>
      </w:r>
    </w:p>
  </w:footnote>
  <w:footnote w:id="97">
    <w:p w:rsidR="00172C0A" w:rsidRPr="001A3DAC" w:rsidRDefault="00172C0A" w:rsidP="00A73F04">
      <w:pPr>
        <w:pStyle w:val="ad"/>
        <w:ind w:left="282" w:hanging="567"/>
      </w:pPr>
      <w:r>
        <w:rPr>
          <w:rStyle w:val="af"/>
        </w:rPr>
        <w:footnoteRef/>
      </w:r>
      <w:r>
        <w:rPr>
          <w:rtl/>
        </w:rPr>
        <w:t xml:space="preserve"> </w:t>
      </w:r>
      <w:r>
        <w:rPr>
          <w:rtl/>
        </w:rPr>
        <w:tab/>
      </w:r>
      <w:r w:rsidRPr="00BA378F">
        <w:rPr>
          <w:rtl/>
        </w:rPr>
        <w:t xml:space="preserve">יש אנשים שמתבקשת האזנה נגדם בכל שנה. אדם שזהותו ידועה ייספר בכל שנה </w:t>
      </w:r>
      <w:r>
        <w:rPr>
          <w:rFonts w:hint="cs"/>
          <w:rtl/>
        </w:rPr>
        <w:t>ש</w:t>
      </w:r>
      <w:r w:rsidRPr="00BA378F">
        <w:rPr>
          <w:rtl/>
        </w:rPr>
        <w:t xml:space="preserve">בה הואזן, אך ייספר פעם אחת בלבד בסכום יעדי ההאזנה התלת-שנתי. </w:t>
      </w:r>
      <w:r>
        <w:rPr>
          <w:rFonts w:hint="cs"/>
          <w:rtl/>
        </w:rPr>
        <w:t>לפיכך</w:t>
      </w:r>
      <w:r w:rsidRPr="00BA378F">
        <w:rPr>
          <w:rtl/>
        </w:rPr>
        <w:t xml:space="preserve"> חיבור נתוני יעדי ההאזנה בכל שנה גדול מסכום יעדי ההאזנה התלת</w:t>
      </w:r>
      <w:r>
        <w:rPr>
          <w:rFonts w:hint="cs"/>
          <w:rtl/>
        </w:rPr>
        <w:t>-</w:t>
      </w:r>
      <w:r w:rsidRPr="00BA378F">
        <w:rPr>
          <w:rtl/>
        </w:rPr>
        <w:t>שנתי.</w:t>
      </w:r>
      <w:r>
        <w:rPr>
          <w:rFonts w:hint="cs"/>
          <w:rtl/>
        </w:rPr>
        <w:t xml:space="preserve"> אשר ליעדי האזנה אלמונים, לא ניתן לדעת אם יעדי ההאזנה חוזרים ונשנים בכל שנה, ולכן חיבור נתוני יעדי ההאזנה בכל שנה שווה לסכום יעדי ההאזנה התלת-שנתי. </w:t>
      </w:r>
    </w:p>
  </w:footnote>
  <w:footnote w:id="98">
    <w:p w:rsidR="00172C0A" w:rsidRDefault="00172C0A" w:rsidP="00A73F04">
      <w:pPr>
        <w:pStyle w:val="ad"/>
        <w:ind w:left="282" w:hanging="567"/>
      </w:pPr>
      <w:r>
        <w:rPr>
          <w:rStyle w:val="af"/>
        </w:rPr>
        <w:footnoteRef/>
      </w:r>
      <w:r>
        <w:rPr>
          <w:rtl/>
        </w:rPr>
        <w:t xml:space="preserve"> </w:t>
      </w:r>
      <w:r>
        <w:rPr>
          <w:b/>
          <w:bCs/>
          <w:rtl/>
        </w:rPr>
        <w:tab/>
      </w:r>
      <w:r w:rsidRPr="00647E39">
        <w:rPr>
          <w:rFonts w:hint="cs"/>
          <w:b/>
          <w:bCs/>
          <w:rtl/>
        </w:rPr>
        <w:t>חשוד</w:t>
      </w:r>
      <w:r>
        <w:rPr>
          <w:rFonts w:hint="cs"/>
          <w:b/>
          <w:bCs/>
          <w:rtl/>
        </w:rPr>
        <w:t xml:space="preserve"> </w:t>
      </w:r>
      <w:r>
        <w:rPr>
          <w:rFonts w:hint="cs"/>
          <w:rtl/>
        </w:rPr>
        <w:t xml:space="preserve">- מי שהתעורר חשד כלפיו כי ביצע עבירה, ראו לעניין זה סעיף 1 לחוק סדר הדין הפלילי (חקירת חשודים), התשס"ב-2002. </w:t>
      </w:r>
    </w:p>
  </w:footnote>
  <w:footnote w:id="99">
    <w:p w:rsidR="00172C0A" w:rsidRPr="00ED621A" w:rsidRDefault="00172C0A" w:rsidP="00A73F04">
      <w:pPr>
        <w:pStyle w:val="ad"/>
        <w:ind w:left="282" w:hanging="567"/>
      </w:pPr>
      <w:r>
        <w:rPr>
          <w:rStyle w:val="af"/>
        </w:rPr>
        <w:footnoteRef/>
      </w:r>
      <w:r>
        <w:rPr>
          <w:rtl/>
        </w:rPr>
        <w:t xml:space="preserve"> </w:t>
      </w:r>
      <w:r>
        <w:rPr>
          <w:b/>
          <w:bCs/>
          <w:rtl/>
        </w:rPr>
        <w:tab/>
      </w:r>
      <w:r w:rsidRPr="00ED621A">
        <w:rPr>
          <w:rFonts w:hint="cs"/>
          <w:b/>
          <w:bCs/>
          <w:rtl/>
        </w:rPr>
        <w:t>מואזן</w:t>
      </w:r>
      <w:r>
        <w:rPr>
          <w:rFonts w:hint="cs"/>
          <w:rtl/>
        </w:rPr>
        <w:t xml:space="preserve"> - </w:t>
      </w:r>
      <w:r w:rsidRPr="00ED621A">
        <w:rPr>
          <w:rFonts w:hint="cs"/>
          <w:rtl/>
        </w:rPr>
        <w:t>מי שאינ</w:t>
      </w:r>
      <w:r>
        <w:rPr>
          <w:rFonts w:hint="cs"/>
          <w:rtl/>
        </w:rPr>
        <w:t>ו</w:t>
      </w:r>
      <w:r w:rsidRPr="00ED621A">
        <w:rPr>
          <w:rFonts w:hint="cs"/>
          <w:rtl/>
        </w:rPr>
        <w:t xml:space="preserve"> חשוד באירוע הפלילי, אלא מעורב שרחוק מליבת האירוע (</w:t>
      </w:r>
      <w:r>
        <w:rPr>
          <w:rFonts w:hint="cs"/>
          <w:rtl/>
        </w:rPr>
        <w:t>קורבן</w:t>
      </w:r>
      <w:r w:rsidRPr="00ED621A">
        <w:rPr>
          <w:rFonts w:hint="cs"/>
          <w:rtl/>
        </w:rPr>
        <w:t xml:space="preserve"> עבירה, </w:t>
      </w:r>
      <w:r>
        <w:rPr>
          <w:rFonts w:hint="cs"/>
          <w:rtl/>
        </w:rPr>
        <w:t>סייען</w:t>
      </w:r>
      <w:r w:rsidRPr="00ED621A">
        <w:rPr>
          <w:rFonts w:hint="cs"/>
          <w:rtl/>
        </w:rPr>
        <w:t>, קרוב משפחה של עבריין נמלט וכיו"ב).</w:t>
      </w:r>
      <w:r>
        <w:rPr>
          <w:rFonts w:hint="cs"/>
          <w:rtl/>
        </w:rPr>
        <w:t xml:space="preserve"> </w:t>
      </w:r>
    </w:p>
  </w:footnote>
  <w:footnote w:id="100">
    <w:p w:rsidR="00172C0A" w:rsidRDefault="00172C0A" w:rsidP="00A73F04">
      <w:pPr>
        <w:pStyle w:val="ad"/>
        <w:ind w:left="282" w:hanging="567"/>
      </w:pPr>
      <w:r>
        <w:rPr>
          <w:rStyle w:val="af"/>
        </w:rPr>
        <w:footnoteRef/>
      </w:r>
      <w:r>
        <w:rPr>
          <w:rtl/>
        </w:rPr>
        <w:t xml:space="preserve"> </w:t>
      </w:r>
      <w:r>
        <w:rPr>
          <w:rtl/>
        </w:rPr>
        <w:tab/>
      </w:r>
      <w:r w:rsidRPr="0036249D">
        <w:rPr>
          <w:rFonts w:hint="cs"/>
          <w:b/>
          <w:bCs/>
          <w:rtl/>
        </w:rPr>
        <w:t>יעד האזנה</w:t>
      </w:r>
      <w:r>
        <w:rPr>
          <w:rFonts w:hint="cs"/>
          <w:rtl/>
        </w:rPr>
        <w:t xml:space="preserve"> - האדם שכלפיו מופעלת ההאזנה. </w:t>
      </w:r>
      <w:r w:rsidRPr="00C91C09">
        <w:rPr>
          <w:rFonts w:hint="cs"/>
          <w:b/>
          <w:bCs/>
          <w:rtl/>
        </w:rPr>
        <w:t>מעמד יעד האזנה</w:t>
      </w:r>
      <w:r>
        <w:rPr>
          <w:rFonts w:hint="cs"/>
          <w:rtl/>
        </w:rPr>
        <w:t xml:space="preserve"> - נקבע לפי זיקתו של האדם לעבירות העיקריות באירוע הפלילי, ולעיתים אף להתגבשותן של עבירות נוספות עצמאיות מתחום שיבוש מהלכי המשפט. יעד האזנה עשוי להיות חשוד, עבריין או מבצע העבירה, קורבן עבירה, מסייע לביצוע דבר עבירה, וכן בעל הגנה מיוחדת על פי דין, כגון קטין, אדם עם מוגבלות וכיו"ב. </w:t>
      </w:r>
    </w:p>
  </w:footnote>
  <w:footnote w:id="101">
    <w:p w:rsidR="00172C0A" w:rsidRDefault="00172C0A" w:rsidP="00A73F04">
      <w:pPr>
        <w:pStyle w:val="ad"/>
        <w:ind w:left="282" w:hanging="567"/>
      </w:pPr>
      <w:r>
        <w:rPr>
          <w:rStyle w:val="af"/>
        </w:rPr>
        <w:footnoteRef/>
      </w:r>
      <w:r>
        <w:rPr>
          <w:rtl/>
        </w:rPr>
        <w:t xml:space="preserve"> </w:t>
      </w:r>
      <w:r>
        <w:rPr>
          <w:b/>
          <w:bCs/>
          <w:rtl/>
        </w:rPr>
        <w:tab/>
      </w:r>
      <w:r w:rsidRPr="00C27B89">
        <w:rPr>
          <w:rFonts w:hint="cs"/>
          <w:b/>
          <w:bCs/>
          <w:rtl/>
        </w:rPr>
        <w:t xml:space="preserve">אמצעי </w:t>
      </w:r>
      <w:r>
        <w:rPr>
          <w:rFonts w:hint="cs"/>
          <w:b/>
          <w:bCs/>
          <w:rtl/>
        </w:rPr>
        <w:t xml:space="preserve">מואזן </w:t>
      </w:r>
      <w:r>
        <w:rPr>
          <w:rFonts w:hint="cs"/>
          <w:rtl/>
        </w:rPr>
        <w:t>- המכשיר או המקום הפיזי שכלפיו מופעלת ההאזנה.</w:t>
      </w:r>
    </w:p>
  </w:footnote>
  <w:footnote w:id="102">
    <w:p w:rsidR="00172C0A" w:rsidRDefault="00172C0A" w:rsidP="00A73F04">
      <w:pPr>
        <w:pStyle w:val="ad"/>
        <w:ind w:left="282" w:hanging="567"/>
        <w:rPr>
          <w:rtl/>
        </w:rPr>
      </w:pPr>
      <w:r>
        <w:rPr>
          <w:rStyle w:val="af"/>
        </w:rPr>
        <w:footnoteRef/>
      </w:r>
      <w:r>
        <w:rPr>
          <w:rtl/>
        </w:rPr>
        <w:t xml:space="preserve"> </w:t>
      </w:r>
      <w:r>
        <w:rPr>
          <w:rtl/>
        </w:rPr>
        <w:tab/>
      </w:r>
      <w:r w:rsidRPr="00C33ACD">
        <w:rPr>
          <w:rFonts w:hint="cs"/>
          <w:rtl/>
        </w:rPr>
        <w:t xml:space="preserve">דוח </w:t>
      </w:r>
      <w:r w:rsidRPr="00DF4426">
        <w:rPr>
          <w:rFonts w:hint="cs"/>
          <w:b/>
          <w:bCs/>
          <w:rtl/>
        </w:rPr>
        <w:t>מבקר</w:t>
      </w:r>
      <w:r w:rsidRPr="00150D81">
        <w:rPr>
          <w:rFonts w:hint="cs"/>
          <w:b/>
          <w:bCs/>
          <w:rtl/>
        </w:rPr>
        <w:t xml:space="preserve"> המדינה משנת </w:t>
      </w:r>
      <w:r w:rsidRPr="006971D9">
        <w:rPr>
          <w:rFonts w:hint="cs"/>
          <w:b/>
          <w:bCs/>
          <w:rtl/>
        </w:rPr>
        <w:t>2004</w:t>
      </w:r>
      <w:r>
        <w:rPr>
          <w:rFonts w:hint="cs"/>
          <w:rtl/>
        </w:rPr>
        <w:t>, עמ' 297 - 299.</w:t>
      </w:r>
    </w:p>
  </w:footnote>
  <w:footnote w:id="103">
    <w:p w:rsidR="00172C0A" w:rsidRDefault="00172C0A" w:rsidP="00A73F04">
      <w:pPr>
        <w:pStyle w:val="ad"/>
        <w:ind w:left="282" w:hanging="567"/>
        <w:rPr>
          <w:rtl/>
        </w:rPr>
      </w:pPr>
      <w:r>
        <w:rPr>
          <w:rStyle w:val="af"/>
        </w:rPr>
        <w:footnoteRef/>
      </w:r>
      <w:r>
        <w:rPr>
          <w:rtl/>
        </w:rPr>
        <w:t xml:space="preserve"> </w:t>
      </w:r>
      <w:r>
        <w:rPr>
          <w:rtl/>
        </w:rPr>
        <w:tab/>
      </w:r>
      <w:r>
        <w:rPr>
          <w:rFonts w:hint="cs"/>
          <w:rtl/>
        </w:rPr>
        <w:t xml:space="preserve">באותה העת דוח הביקורת הפנה לנוסח הטופס שבתוספת לתקנות בתי המשפט (סדרי דין לעניין האזנת סתר), התשמ"ה-1985, אך חלק זה של נוסח הטופס כלל לא השתנה גם לאחר פרסום התקנות לבקשת האזנת סתר, ולכן דברים אלו יפים גם עתה. </w:t>
      </w:r>
    </w:p>
  </w:footnote>
  <w:footnote w:id="104">
    <w:p w:rsidR="00172C0A" w:rsidRDefault="00172C0A" w:rsidP="00A73F04">
      <w:pPr>
        <w:pStyle w:val="ad"/>
        <w:ind w:left="282" w:hanging="567"/>
      </w:pPr>
      <w:r>
        <w:rPr>
          <w:rStyle w:val="af"/>
        </w:rPr>
        <w:footnoteRef/>
      </w:r>
      <w:r>
        <w:rPr>
          <w:rtl/>
        </w:rPr>
        <w:t xml:space="preserve"> </w:t>
      </w:r>
      <w:r>
        <w:rPr>
          <w:b/>
          <w:bCs/>
          <w:rtl/>
        </w:rPr>
        <w:tab/>
      </w:r>
      <w:r w:rsidRPr="00D45FD5">
        <w:rPr>
          <w:rFonts w:hint="cs"/>
          <w:b/>
          <w:bCs/>
          <w:rtl/>
        </w:rPr>
        <w:t>דוח לבנת משיח</w:t>
      </w:r>
      <w:r>
        <w:rPr>
          <w:rFonts w:hint="cs"/>
          <w:rtl/>
        </w:rPr>
        <w:t xml:space="preserve"> עמ' 7 - 8.</w:t>
      </w:r>
    </w:p>
  </w:footnote>
  <w:footnote w:id="105">
    <w:p w:rsidR="00172C0A" w:rsidRDefault="00172C0A" w:rsidP="0091756C">
      <w:pPr>
        <w:pStyle w:val="ad"/>
        <w:ind w:left="282" w:hanging="567"/>
        <w:rPr>
          <w:rtl/>
        </w:rPr>
      </w:pPr>
      <w:r>
        <w:rPr>
          <w:rStyle w:val="af"/>
        </w:rPr>
        <w:footnoteRef/>
      </w:r>
      <w:r>
        <w:rPr>
          <w:rtl/>
        </w:rPr>
        <w:t xml:space="preserve"> </w:t>
      </w:r>
      <w:r>
        <w:rPr>
          <w:rtl/>
        </w:rPr>
        <w:tab/>
      </w:r>
      <w:r>
        <w:rPr>
          <w:rFonts w:hint="cs"/>
          <w:b/>
          <w:bCs/>
          <w:rtl/>
        </w:rPr>
        <w:t xml:space="preserve">שותף ישיר </w:t>
      </w:r>
      <w:r>
        <w:rPr>
          <w:rFonts w:hint="cs"/>
          <w:rtl/>
        </w:rPr>
        <w:t xml:space="preserve">- מבצע העבירה העיקרית לרבות מי שמבצע עבירה בצוותא או באמצעות אחר. </w:t>
      </w:r>
      <w:r w:rsidRPr="006A1D98">
        <w:rPr>
          <w:rFonts w:hint="cs"/>
          <w:b/>
          <w:bCs/>
          <w:rtl/>
        </w:rPr>
        <w:t>שותף עקיף</w:t>
      </w:r>
      <w:r>
        <w:rPr>
          <w:rFonts w:hint="cs"/>
          <w:rtl/>
        </w:rPr>
        <w:t xml:space="preserve"> - משדל או מסייע, כלומר כל מי שאינו המבצע העיקרי של העבירה המקורית. צדדים לביצוע עבירה מפורטים בסעיפים 29 - 34 לחוק העונשין, ראו לעניין זה פסיקת בית המשפט העליון בע"פ 2796/95 </w:t>
      </w:r>
      <w:r w:rsidRPr="00655EB4">
        <w:rPr>
          <w:rFonts w:hint="eastAsia"/>
          <w:b/>
          <w:bCs/>
          <w:rtl/>
        </w:rPr>
        <w:t>פלונים</w:t>
      </w:r>
      <w:r w:rsidRPr="00655EB4">
        <w:rPr>
          <w:b/>
          <w:bCs/>
          <w:rtl/>
        </w:rPr>
        <w:t xml:space="preserve"> </w:t>
      </w:r>
      <w:r w:rsidRPr="00655EB4">
        <w:rPr>
          <w:rFonts w:hint="eastAsia"/>
          <w:b/>
          <w:bCs/>
          <w:rtl/>
        </w:rPr>
        <w:t>נ</w:t>
      </w:r>
      <w:r w:rsidRPr="00655EB4">
        <w:rPr>
          <w:b/>
          <w:bCs/>
          <w:rtl/>
        </w:rPr>
        <w:t xml:space="preserve">' </w:t>
      </w:r>
      <w:r w:rsidRPr="00655EB4">
        <w:rPr>
          <w:rFonts w:hint="eastAsia"/>
          <w:b/>
          <w:bCs/>
          <w:rtl/>
        </w:rPr>
        <w:t>מדינת</w:t>
      </w:r>
      <w:r w:rsidRPr="00655EB4">
        <w:rPr>
          <w:b/>
          <w:bCs/>
          <w:rtl/>
        </w:rPr>
        <w:t xml:space="preserve"> </w:t>
      </w:r>
      <w:r w:rsidRPr="00655EB4">
        <w:rPr>
          <w:rFonts w:hint="eastAsia"/>
          <w:b/>
          <w:bCs/>
          <w:rtl/>
        </w:rPr>
        <w:t>ישראל</w:t>
      </w:r>
      <w:r w:rsidRPr="00655EB4">
        <w:rPr>
          <w:b/>
          <w:bCs/>
          <w:rtl/>
        </w:rPr>
        <w:t xml:space="preserve"> </w:t>
      </w:r>
      <w:r>
        <w:rPr>
          <w:rFonts w:hint="cs"/>
          <w:rtl/>
        </w:rPr>
        <w:t>(9.7.97, פורסם במאגר ממוחשב): "ההבחנה העיקרית הינה בין שותפים ישירים לבין שותפים עקיפים. השותפים הישירים נוטלים חלק בביצוע העיקרי של העבירה. אלה הם המבצעים בצוותא או המבצעים באמצעות אחר (סעיף 29 לחוק העונשין). השותפים העקיפים נוטלים חלק עקיף בביצוע העבירה. אלה הם המשדלים (סעיף 30 לחוק העונשין)</w:t>
      </w:r>
      <w:r>
        <w:rPr>
          <w:rFonts w:hint="cs"/>
        </w:rPr>
        <w:t xml:space="preserve"> </w:t>
      </w:r>
      <w:r>
        <w:rPr>
          <w:rFonts w:hint="cs"/>
          <w:rtl/>
        </w:rPr>
        <w:t xml:space="preserve">והמסייעים (סעיף 31 לחוק העונשין) (ראו ש"ז פלר, </w:t>
      </w:r>
      <w:r w:rsidRPr="00B7395C">
        <w:rPr>
          <w:rFonts w:hint="eastAsia"/>
          <w:b/>
          <w:bCs/>
          <w:rtl/>
        </w:rPr>
        <w:t>יסודות</w:t>
      </w:r>
      <w:r w:rsidRPr="00B7395C">
        <w:rPr>
          <w:b/>
          <w:bCs/>
          <w:rtl/>
        </w:rPr>
        <w:t xml:space="preserve"> </w:t>
      </w:r>
      <w:r w:rsidRPr="00B7395C">
        <w:rPr>
          <w:rFonts w:hint="eastAsia"/>
          <w:b/>
          <w:bCs/>
          <w:rtl/>
        </w:rPr>
        <w:t>בדיני</w:t>
      </w:r>
      <w:r w:rsidRPr="00B7395C">
        <w:rPr>
          <w:b/>
          <w:bCs/>
          <w:rtl/>
        </w:rPr>
        <w:t xml:space="preserve"> </w:t>
      </w:r>
      <w:r w:rsidRPr="00B7395C">
        <w:rPr>
          <w:rFonts w:hint="eastAsia"/>
          <w:b/>
          <w:bCs/>
          <w:rtl/>
        </w:rPr>
        <w:t>עונשין</w:t>
      </w:r>
      <w:r>
        <w:rPr>
          <w:rFonts w:hint="cs"/>
          <w:rtl/>
        </w:rPr>
        <w:t xml:space="preserve"> (כרך ב), בעמ' 179, 186)." </w:t>
      </w:r>
    </w:p>
  </w:footnote>
  <w:footnote w:id="106">
    <w:p w:rsidR="00172C0A" w:rsidRDefault="00172C0A" w:rsidP="0091756C">
      <w:pPr>
        <w:pStyle w:val="ad"/>
        <w:ind w:left="282" w:hanging="567"/>
      </w:pPr>
      <w:r>
        <w:rPr>
          <w:rStyle w:val="af"/>
        </w:rPr>
        <w:footnoteRef/>
      </w:r>
      <w:r>
        <w:rPr>
          <w:rtl/>
        </w:rPr>
        <w:t xml:space="preserve"> </w:t>
      </w:r>
      <w:r>
        <w:rPr>
          <w:rtl/>
        </w:rPr>
        <w:tab/>
      </w:r>
      <w:r w:rsidRPr="00B8072B">
        <w:rPr>
          <w:rFonts w:hint="cs"/>
          <w:rtl/>
        </w:rPr>
        <w:t xml:space="preserve">דהיינו, אם מטרת האזנת הסתר היא גיבוש יסודות העבירה של שותף עקיף (שאינו המבצע העיקרי) יש לבחון באופן מעמיק אם מחצית משך העונש על העבירה העיקרית הוא משך עונש שעומד בהגדרת עבירה מסוג פשע </w:t>
      </w:r>
      <w:r>
        <w:rPr>
          <w:rFonts w:hint="cs"/>
          <w:rtl/>
        </w:rPr>
        <w:t>-</w:t>
      </w:r>
      <w:r w:rsidRPr="00B8072B">
        <w:rPr>
          <w:rFonts w:hint="cs"/>
          <w:rtl/>
        </w:rPr>
        <w:t xml:space="preserve"> קרי, העונש</w:t>
      </w:r>
      <w:r>
        <w:rPr>
          <w:rFonts w:hint="cs"/>
          <w:rtl/>
        </w:rPr>
        <w:t xml:space="preserve"> </w:t>
      </w:r>
      <w:r w:rsidRPr="00B8072B">
        <w:rPr>
          <w:rFonts w:hint="cs"/>
          <w:rtl/>
        </w:rPr>
        <w:t>חמור ממאסר לתקופה של שלוש שנים. ראו סעיף 24 לחוק העונשין.</w:t>
      </w:r>
      <w:r>
        <w:rPr>
          <w:rFonts w:hint="cs"/>
          <w:rtl/>
        </w:rPr>
        <w:t xml:space="preserve"> </w:t>
      </w:r>
    </w:p>
  </w:footnote>
  <w:footnote w:id="107">
    <w:p w:rsidR="00172C0A" w:rsidRPr="00DF4426" w:rsidRDefault="00172C0A" w:rsidP="0091756C">
      <w:pPr>
        <w:pStyle w:val="ad"/>
        <w:ind w:left="282" w:hanging="567"/>
      </w:pPr>
      <w:r>
        <w:rPr>
          <w:rStyle w:val="af"/>
        </w:rPr>
        <w:footnoteRef/>
      </w:r>
      <w:r>
        <w:rPr>
          <w:rtl/>
        </w:rPr>
        <w:t xml:space="preserve"> </w:t>
      </w:r>
      <w:r>
        <w:rPr>
          <w:rtl/>
        </w:rPr>
        <w:tab/>
      </w:r>
      <w:r>
        <w:rPr>
          <w:rFonts w:hint="cs"/>
          <w:rtl/>
        </w:rPr>
        <w:t xml:space="preserve">ע"פ 521/88 </w:t>
      </w:r>
      <w:r w:rsidRPr="00DF4426">
        <w:rPr>
          <w:rFonts w:hint="cs"/>
          <w:b/>
          <w:bCs/>
          <w:rtl/>
        </w:rPr>
        <w:t>ספאדי נ' מדינת ישראל</w:t>
      </w:r>
      <w:r w:rsidRPr="00DF4426">
        <w:rPr>
          <w:rFonts w:hint="cs"/>
          <w:rtl/>
        </w:rPr>
        <w:t>, פ</w:t>
      </w:r>
      <w:r w:rsidRPr="00DF4426">
        <w:rPr>
          <w:rtl/>
        </w:rPr>
        <w:t xml:space="preserve">"ד </w:t>
      </w:r>
      <w:r w:rsidRPr="00DF4426">
        <w:rPr>
          <w:rFonts w:hint="cs"/>
          <w:rtl/>
        </w:rPr>
        <w:t>מב</w:t>
      </w:r>
      <w:r w:rsidRPr="00DF4426">
        <w:rPr>
          <w:rtl/>
        </w:rPr>
        <w:t>(4) 752 (1989)</w:t>
      </w:r>
      <w:r w:rsidRPr="00DF4426">
        <w:rPr>
          <w:rFonts w:hint="cs"/>
          <w:rtl/>
        </w:rPr>
        <w:t xml:space="preserve">; ע"פ </w:t>
      </w:r>
      <w:r w:rsidRPr="00DF4426">
        <w:rPr>
          <w:rtl/>
        </w:rPr>
        <w:t>7365</w:t>
      </w:r>
      <w:r w:rsidRPr="00DF4426">
        <w:rPr>
          <w:rFonts w:hint="cs"/>
          <w:rtl/>
        </w:rPr>
        <w:t xml:space="preserve">/00 </w:t>
      </w:r>
      <w:r w:rsidRPr="00DF4426">
        <w:rPr>
          <w:rFonts w:hint="cs"/>
          <w:b/>
          <w:bCs/>
          <w:rtl/>
        </w:rPr>
        <w:t>סימה פרחאת נ' מ"י</w:t>
      </w:r>
      <w:r>
        <w:rPr>
          <w:rFonts w:hint="cs"/>
          <w:rtl/>
        </w:rPr>
        <w:t>,</w:t>
      </w:r>
      <w:r w:rsidRPr="00DF4426">
        <w:rPr>
          <w:rFonts w:hint="cs"/>
          <w:rtl/>
        </w:rPr>
        <w:t xml:space="preserve"> פ"ד נז(6) 151, (2003); ע"פ (מחוזי ירושלים) 6571-02 </w:t>
      </w:r>
      <w:r w:rsidRPr="00DF4426">
        <w:rPr>
          <w:rFonts w:hint="cs"/>
          <w:b/>
          <w:bCs/>
          <w:rtl/>
        </w:rPr>
        <w:t>שאול גוטמן נ' מ"י</w:t>
      </w:r>
      <w:r w:rsidRPr="00DF4426">
        <w:rPr>
          <w:rFonts w:hint="cs"/>
          <w:rtl/>
        </w:rPr>
        <w:t>, פ"מ תשס"ב (2) 865 (2003).</w:t>
      </w:r>
      <w:r>
        <w:rPr>
          <w:rFonts w:hint="cs"/>
          <w:rtl/>
        </w:rPr>
        <w:t xml:space="preserve"> </w:t>
      </w:r>
    </w:p>
  </w:footnote>
  <w:footnote w:id="108">
    <w:p w:rsidR="00172C0A" w:rsidRDefault="00172C0A" w:rsidP="0091756C">
      <w:pPr>
        <w:pStyle w:val="ad"/>
        <w:ind w:left="282" w:hanging="567"/>
        <w:rPr>
          <w:rtl/>
        </w:rPr>
      </w:pPr>
      <w:r w:rsidRPr="00DF4426">
        <w:rPr>
          <w:rStyle w:val="af"/>
        </w:rPr>
        <w:footnoteRef/>
      </w:r>
      <w:r w:rsidRPr="00DF4426">
        <w:rPr>
          <w:rtl/>
        </w:rPr>
        <w:t xml:space="preserve"> </w:t>
      </w:r>
      <w:r w:rsidRPr="00DF4426">
        <w:rPr>
          <w:b/>
          <w:bCs/>
          <w:rtl/>
        </w:rPr>
        <w:tab/>
      </w:r>
      <w:r w:rsidRPr="00BF3877">
        <w:rPr>
          <w:rFonts w:hint="cs"/>
          <w:rtl/>
        </w:rPr>
        <w:t>לגבי</w:t>
      </w:r>
      <w:r>
        <w:rPr>
          <w:rFonts w:hint="cs"/>
          <w:b/>
          <w:bCs/>
          <w:rtl/>
        </w:rPr>
        <w:t xml:space="preserve"> </w:t>
      </w:r>
      <w:r w:rsidRPr="00DF4426">
        <w:rPr>
          <w:rFonts w:hint="cs"/>
          <w:rtl/>
        </w:rPr>
        <w:t>סוגיית רישום עבירות</w:t>
      </w:r>
      <w:r>
        <w:rPr>
          <w:rFonts w:hint="cs"/>
          <w:rtl/>
        </w:rPr>
        <w:t xml:space="preserve"> השיבוש</w:t>
      </w:r>
      <w:r w:rsidRPr="00DF4426">
        <w:rPr>
          <w:rFonts w:hint="cs"/>
          <w:rtl/>
        </w:rPr>
        <w:t xml:space="preserve"> </w:t>
      </w:r>
      <w:r>
        <w:rPr>
          <w:rFonts w:hint="cs"/>
          <w:rtl/>
        </w:rPr>
        <w:t xml:space="preserve">ראו </w:t>
      </w:r>
      <w:r w:rsidRPr="00DF4426">
        <w:rPr>
          <w:rFonts w:hint="cs"/>
          <w:b/>
          <w:bCs/>
          <w:rtl/>
        </w:rPr>
        <w:t>ב</w:t>
      </w:r>
      <w:r w:rsidRPr="00EC025C">
        <w:rPr>
          <w:rFonts w:hint="cs"/>
          <w:b/>
          <w:bCs/>
          <w:rtl/>
        </w:rPr>
        <w:t>דוח</w:t>
      </w:r>
      <w:r w:rsidRPr="00EC025C">
        <w:rPr>
          <w:b/>
          <w:bCs/>
          <w:rtl/>
        </w:rPr>
        <w:t xml:space="preserve"> </w:t>
      </w:r>
      <w:r w:rsidRPr="00EC025C">
        <w:rPr>
          <w:rFonts w:hint="cs"/>
          <w:b/>
          <w:bCs/>
          <w:rtl/>
        </w:rPr>
        <w:t>ברנר</w:t>
      </w:r>
      <w:r>
        <w:rPr>
          <w:rFonts w:hint="cs"/>
          <w:b/>
          <w:bCs/>
          <w:rtl/>
        </w:rPr>
        <w:t xml:space="preserve"> לכל אורכו,</w:t>
      </w:r>
      <w:r w:rsidRPr="00C33ACD">
        <w:rPr>
          <w:rFonts w:hint="cs"/>
          <w:rtl/>
        </w:rPr>
        <w:t xml:space="preserve"> </w:t>
      </w:r>
      <w:bookmarkStart w:id="268" w:name="_Hlk153365911"/>
      <w:r w:rsidRPr="00C33ACD">
        <w:rPr>
          <w:rFonts w:hint="cs"/>
          <w:rtl/>
        </w:rPr>
        <w:t xml:space="preserve">דוח </w:t>
      </w:r>
      <w:r w:rsidRPr="00DF4426">
        <w:rPr>
          <w:rFonts w:hint="cs"/>
          <w:b/>
          <w:bCs/>
          <w:rtl/>
        </w:rPr>
        <w:t>מבקר</w:t>
      </w:r>
      <w:r w:rsidRPr="00150D81">
        <w:rPr>
          <w:rFonts w:hint="cs"/>
          <w:b/>
          <w:bCs/>
          <w:rtl/>
        </w:rPr>
        <w:t xml:space="preserve"> המדינה משנת </w:t>
      </w:r>
      <w:r w:rsidRPr="005571ED">
        <w:rPr>
          <w:b/>
          <w:bCs/>
          <w:rtl/>
        </w:rPr>
        <w:t>2004</w:t>
      </w:r>
      <w:r>
        <w:rPr>
          <w:rFonts w:hint="cs"/>
          <w:rtl/>
        </w:rPr>
        <w:t xml:space="preserve">, עמ' 297 - 299 </w:t>
      </w:r>
      <w:bookmarkEnd w:id="268"/>
      <w:r>
        <w:rPr>
          <w:rFonts w:hint="cs"/>
          <w:rtl/>
        </w:rPr>
        <w:t xml:space="preserve">וכן </w:t>
      </w:r>
      <w:r w:rsidRPr="00150D81">
        <w:rPr>
          <w:rFonts w:hint="cs"/>
          <w:b/>
          <w:bCs/>
          <w:rtl/>
        </w:rPr>
        <w:t>חוות דעת מבקר המדינה משנת 2010</w:t>
      </w:r>
      <w:r>
        <w:rPr>
          <w:rFonts w:hint="cs"/>
          <w:rtl/>
        </w:rPr>
        <w:t>, עמ' 40 - 42.</w:t>
      </w:r>
    </w:p>
  </w:footnote>
  <w:footnote w:id="109">
    <w:p w:rsidR="00172C0A" w:rsidRDefault="00172C0A" w:rsidP="0091756C">
      <w:pPr>
        <w:pStyle w:val="ad"/>
        <w:ind w:left="282" w:hanging="567"/>
      </w:pPr>
      <w:r>
        <w:rPr>
          <w:rStyle w:val="af"/>
        </w:rPr>
        <w:footnoteRef/>
      </w:r>
      <w:r>
        <w:rPr>
          <w:rtl/>
        </w:rPr>
        <w:t xml:space="preserve"> </w:t>
      </w:r>
      <w:r>
        <w:rPr>
          <w:rtl/>
        </w:rPr>
        <w:tab/>
      </w:r>
      <w:r w:rsidRPr="00B8072B">
        <w:rPr>
          <w:rFonts w:hint="cs"/>
          <w:rtl/>
        </w:rPr>
        <w:t>משרד מבקר המדינה איתר כ-150 פרשיות שבהן עשויים להיות שותפים עקיפים. בבדיקה</w:t>
      </w:r>
      <w:r w:rsidRPr="00B8072B">
        <w:rPr>
          <w:rtl/>
        </w:rPr>
        <w:t xml:space="preserve"> ראשונית נמצא כי </w:t>
      </w:r>
      <w:r w:rsidRPr="00B8072B">
        <w:rPr>
          <w:rFonts w:hint="cs"/>
          <w:rtl/>
        </w:rPr>
        <w:t xml:space="preserve">חלק מהפרשיות אינן מתאימות לבדיקה </w:t>
      </w:r>
      <w:r>
        <w:rPr>
          <w:rFonts w:hint="cs"/>
          <w:rtl/>
        </w:rPr>
        <w:t>-</w:t>
      </w:r>
      <w:r w:rsidRPr="00B8072B">
        <w:rPr>
          <w:rFonts w:hint="cs"/>
          <w:rtl/>
        </w:rPr>
        <w:t xml:space="preserve"> בשל חוסר רלוונטיות או לנוכח מורכבות נסיבות המקרים בהם החשודים הם גם קורבנות עבירה. </w:t>
      </w:r>
      <w:r w:rsidRPr="00B8072B">
        <w:rPr>
          <w:rtl/>
        </w:rPr>
        <w:t xml:space="preserve">יוצא אפוא כי </w:t>
      </w:r>
      <w:r w:rsidRPr="00B8072B">
        <w:rPr>
          <w:rFonts w:hint="cs"/>
          <w:rtl/>
        </w:rPr>
        <w:t>אותרו</w:t>
      </w:r>
      <w:r w:rsidRPr="00B8072B">
        <w:rPr>
          <w:rtl/>
        </w:rPr>
        <w:t xml:space="preserve"> 10 פרשיות </w:t>
      </w:r>
      <w:r w:rsidRPr="00B8072B">
        <w:rPr>
          <w:rFonts w:hint="cs"/>
          <w:rtl/>
        </w:rPr>
        <w:t>הנוגעות</w:t>
      </w:r>
      <w:r w:rsidRPr="00B8072B">
        <w:rPr>
          <w:rtl/>
        </w:rPr>
        <w:t xml:space="preserve"> ל-27 בקשות </w:t>
      </w:r>
      <w:r w:rsidRPr="00B8072B">
        <w:rPr>
          <w:rFonts w:hint="cs"/>
          <w:rtl/>
        </w:rPr>
        <w:t>להאזנות</w:t>
      </w:r>
      <w:r w:rsidRPr="00B8072B">
        <w:rPr>
          <w:rtl/>
        </w:rPr>
        <w:t xml:space="preserve"> </w:t>
      </w:r>
      <w:r w:rsidRPr="00B8072B">
        <w:rPr>
          <w:rFonts w:hint="cs"/>
          <w:rtl/>
        </w:rPr>
        <w:t>סתר</w:t>
      </w:r>
      <w:r w:rsidRPr="00B8072B">
        <w:rPr>
          <w:rtl/>
        </w:rPr>
        <w:t xml:space="preserve"> מתוך מאגר הבקשות שאותרו לפי מילת חיפוש, ו-137 בקשות </w:t>
      </w:r>
      <w:r w:rsidRPr="00B8072B">
        <w:rPr>
          <w:rFonts w:hint="cs"/>
          <w:rtl/>
        </w:rPr>
        <w:t>ב</w:t>
      </w:r>
      <w:r w:rsidRPr="00B8072B">
        <w:rPr>
          <w:rtl/>
        </w:rPr>
        <w:t>סך הכ</w:t>
      </w:r>
      <w:r w:rsidRPr="00B8072B">
        <w:rPr>
          <w:rFonts w:hint="cs"/>
          <w:rtl/>
        </w:rPr>
        <w:t>ו</w:t>
      </w:r>
      <w:r w:rsidRPr="00B8072B">
        <w:rPr>
          <w:rtl/>
        </w:rPr>
        <w:t>ל, מתוכן 107 בקשות נוגעות לשותפים עקיפים ו-99 בקשות ב</w:t>
      </w:r>
      <w:r w:rsidRPr="00B8072B">
        <w:rPr>
          <w:rFonts w:hint="cs"/>
          <w:rtl/>
        </w:rPr>
        <w:t>נ</w:t>
      </w:r>
      <w:r w:rsidRPr="00B8072B">
        <w:rPr>
          <w:rtl/>
        </w:rPr>
        <w:t xml:space="preserve">ות בדיקה (שאינן כוללות מעורבים לא ידועים או דרכי האזנה שאינן נוגעות לאדם ספציפי). </w:t>
      </w:r>
    </w:p>
  </w:footnote>
  <w:footnote w:id="110">
    <w:p w:rsidR="00172C0A" w:rsidRDefault="00172C0A" w:rsidP="0091756C">
      <w:pPr>
        <w:pStyle w:val="ad"/>
        <w:ind w:left="282" w:hanging="567"/>
      </w:pPr>
      <w:r>
        <w:rPr>
          <w:rStyle w:val="af"/>
        </w:rPr>
        <w:footnoteRef/>
      </w:r>
      <w:r>
        <w:rPr>
          <w:rtl/>
        </w:rPr>
        <w:t xml:space="preserve"> </w:t>
      </w:r>
      <w:r>
        <w:rPr>
          <w:rtl/>
        </w:rPr>
        <w:tab/>
      </w:r>
      <w:r w:rsidRPr="00301995">
        <w:rPr>
          <w:rFonts w:hint="cs"/>
          <w:rtl/>
        </w:rPr>
        <w:t xml:space="preserve">אם עילת ההאזנה היא איתור העבריין, ניתן היה לייחס </w:t>
      </w:r>
      <w:r>
        <w:rPr>
          <w:rFonts w:hint="cs"/>
          <w:rtl/>
        </w:rPr>
        <w:t>את ה</w:t>
      </w:r>
      <w:r w:rsidRPr="00301995">
        <w:rPr>
          <w:rFonts w:hint="cs"/>
          <w:rtl/>
        </w:rPr>
        <w:t>בקשה</w:t>
      </w:r>
      <w:r>
        <w:rPr>
          <w:rFonts w:hint="cs"/>
          <w:rtl/>
        </w:rPr>
        <w:t xml:space="preserve"> להאזנת סתר</w:t>
      </w:r>
      <w:r w:rsidRPr="00301995">
        <w:rPr>
          <w:rFonts w:hint="cs"/>
          <w:rtl/>
        </w:rPr>
        <w:t xml:space="preserve"> </w:t>
      </w:r>
      <w:r>
        <w:rPr>
          <w:rFonts w:hint="cs"/>
          <w:rtl/>
        </w:rPr>
        <w:t>לחקירת</w:t>
      </w:r>
      <w:r w:rsidRPr="00301995">
        <w:rPr>
          <w:rFonts w:hint="cs"/>
          <w:rtl/>
        </w:rPr>
        <w:t xml:space="preserve"> העבירות העיקריות שנוגעות במישרין לעבריין </w:t>
      </w:r>
      <w:r>
        <w:rPr>
          <w:rFonts w:hint="cs"/>
          <w:rtl/>
        </w:rPr>
        <w:t>ש</w:t>
      </w:r>
      <w:r w:rsidRPr="00301995">
        <w:rPr>
          <w:rFonts w:hint="cs"/>
          <w:rtl/>
        </w:rPr>
        <w:t xml:space="preserve">אותו מבקשים לאתר. אם עילת ההאזנה היא כפולה - איתור העבריין וגילוי עבירות - הבקשה ככלל אינה ממוקדת ומעלה קושי לייחס </w:t>
      </w:r>
      <w:r>
        <w:rPr>
          <w:rFonts w:hint="cs"/>
          <w:rtl/>
        </w:rPr>
        <w:t xml:space="preserve">למבצע העיקרי </w:t>
      </w:r>
      <w:r w:rsidRPr="00301995">
        <w:rPr>
          <w:rFonts w:hint="cs"/>
          <w:rtl/>
        </w:rPr>
        <w:t xml:space="preserve">את העבירות </w:t>
      </w:r>
      <w:r>
        <w:rPr>
          <w:rFonts w:hint="cs"/>
          <w:rtl/>
        </w:rPr>
        <w:t>ש</w:t>
      </w:r>
      <w:r w:rsidRPr="00301995">
        <w:rPr>
          <w:rFonts w:hint="cs"/>
          <w:rtl/>
        </w:rPr>
        <w:t>ביצע</w:t>
      </w:r>
      <w:r>
        <w:rPr>
          <w:rFonts w:hint="cs"/>
          <w:rtl/>
        </w:rPr>
        <w:t>.</w:t>
      </w:r>
    </w:p>
  </w:footnote>
  <w:footnote w:id="111">
    <w:p w:rsidR="00172C0A" w:rsidRDefault="00172C0A" w:rsidP="0091756C">
      <w:pPr>
        <w:pStyle w:val="ad"/>
        <w:ind w:left="282" w:hanging="567"/>
        <w:rPr>
          <w:rtl/>
        </w:rPr>
      </w:pPr>
      <w:r>
        <w:rPr>
          <w:rStyle w:val="af"/>
        </w:rPr>
        <w:footnoteRef/>
      </w:r>
      <w:r>
        <w:rPr>
          <w:rtl/>
        </w:rPr>
        <w:t xml:space="preserve"> </w:t>
      </w:r>
      <w:r>
        <w:rPr>
          <w:rtl/>
        </w:rPr>
        <w:tab/>
      </w:r>
      <w:r w:rsidRPr="00D557CC">
        <w:rPr>
          <w:rtl/>
        </w:rPr>
        <w:t xml:space="preserve">מבקר המדינה דגם מבסיס נתוני הבקשות שהוכנו בשנים 2019 -2021 על ידי המשטרה 215 בקשות </w:t>
      </w:r>
      <w:r>
        <w:rPr>
          <w:rFonts w:hint="cs"/>
          <w:rtl/>
        </w:rPr>
        <w:t>ש</w:t>
      </w:r>
      <w:r w:rsidRPr="00D557CC">
        <w:rPr>
          <w:rtl/>
        </w:rPr>
        <w:t xml:space="preserve">בהן מוזכרים בנימוקי הבקשה קורבנות עבירה. מתוכן אותרו 27 בקשות </w:t>
      </w:r>
      <w:r>
        <w:rPr>
          <w:rFonts w:hint="cs"/>
          <w:rtl/>
        </w:rPr>
        <w:t>ש</w:t>
      </w:r>
      <w:r w:rsidRPr="00D557CC">
        <w:rPr>
          <w:rtl/>
        </w:rPr>
        <w:t xml:space="preserve">בהם </w:t>
      </w:r>
      <w:r>
        <w:rPr>
          <w:rFonts w:hint="cs"/>
          <w:rtl/>
        </w:rPr>
        <w:t>ה</w:t>
      </w:r>
      <w:r w:rsidRPr="00D557CC">
        <w:rPr>
          <w:rtl/>
        </w:rPr>
        <w:t xml:space="preserve">תבקשה האזנה לקורבנות עבירה, וכן אותרו חמש בקשות נוספות במהלך הבדיקות השונות </w:t>
      </w:r>
      <w:r>
        <w:rPr>
          <w:rFonts w:hint="cs"/>
          <w:rtl/>
        </w:rPr>
        <w:t>שביצע</w:t>
      </w:r>
      <w:r w:rsidRPr="00D557CC">
        <w:rPr>
          <w:rtl/>
        </w:rPr>
        <w:t xml:space="preserve"> מבקר המדינה.</w:t>
      </w:r>
    </w:p>
  </w:footnote>
  <w:footnote w:id="112">
    <w:p w:rsidR="00172C0A" w:rsidRDefault="00172C0A" w:rsidP="0091756C">
      <w:pPr>
        <w:pStyle w:val="ad"/>
        <w:ind w:left="282" w:hanging="567"/>
        <w:rPr>
          <w:rtl/>
        </w:rPr>
      </w:pPr>
      <w:r>
        <w:rPr>
          <w:rStyle w:val="af"/>
        </w:rPr>
        <w:footnoteRef/>
      </w:r>
      <w:r>
        <w:rPr>
          <w:rtl/>
        </w:rPr>
        <w:t xml:space="preserve"> </w:t>
      </w:r>
      <w:r>
        <w:rPr>
          <w:rtl/>
        </w:rPr>
        <w:tab/>
      </w:r>
      <w:r>
        <w:rPr>
          <w:rFonts w:hint="cs"/>
          <w:rtl/>
        </w:rPr>
        <w:t xml:space="preserve">ראו לעניין זה חוק סדר הדין הפלילי (סמכויות אכיפה-מעצרים), התשנ"ו-1996; חוק לתיקון דיני הראיות (הגנת ילדים), </w:t>
      </w:r>
      <w:r w:rsidRPr="008B7033">
        <w:rPr>
          <w:rFonts w:hint="cs"/>
          <w:rtl/>
        </w:rPr>
        <w:t>ה</w:t>
      </w:r>
      <w:r>
        <w:rPr>
          <w:rFonts w:hint="cs"/>
          <w:rtl/>
        </w:rPr>
        <w:t xml:space="preserve">תשט"ו-1955; חוק הנוער (שפיטה, ענישה ודרכי טיפול), </w:t>
      </w:r>
      <w:r w:rsidRPr="008B7033">
        <w:rPr>
          <w:rFonts w:hint="cs"/>
          <w:rtl/>
        </w:rPr>
        <w:t>ה</w:t>
      </w:r>
      <w:r>
        <w:rPr>
          <w:rFonts w:hint="cs"/>
          <w:rtl/>
        </w:rPr>
        <w:t xml:space="preserve">תשל"א-1971; חוק הנוער (טיפול והשגחה), </w:t>
      </w:r>
      <w:r w:rsidRPr="008B7033">
        <w:rPr>
          <w:rFonts w:hint="cs"/>
          <w:rtl/>
        </w:rPr>
        <w:t>ה</w:t>
      </w:r>
      <w:r>
        <w:rPr>
          <w:rFonts w:hint="cs"/>
          <w:rtl/>
        </w:rPr>
        <w:t xml:space="preserve">תש"ך-1960; חוק העונשין, </w:t>
      </w:r>
      <w:r w:rsidRPr="008B7033">
        <w:rPr>
          <w:rFonts w:hint="cs"/>
          <w:rtl/>
        </w:rPr>
        <w:t>ה</w:t>
      </w:r>
      <w:r>
        <w:rPr>
          <w:rFonts w:hint="cs"/>
          <w:rtl/>
        </w:rPr>
        <w:t xml:space="preserve">תשל"ז-1977. </w:t>
      </w:r>
    </w:p>
  </w:footnote>
  <w:footnote w:id="113">
    <w:p w:rsidR="00172C0A" w:rsidRDefault="00172C0A" w:rsidP="0091756C">
      <w:pPr>
        <w:pStyle w:val="ad"/>
        <w:ind w:left="282" w:hanging="567"/>
      </w:pPr>
      <w:r>
        <w:rPr>
          <w:rStyle w:val="af"/>
        </w:rPr>
        <w:footnoteRef/>
      </w:r>
      <w:r>
        <w:rPr>
          <w:rtl/>
        </w:rPr>
        <w:t xml:space="preserve"> </w:t>
      </w:r>
      <w:r>
        <w:rPr>
          <w:rtl/>
        </w:rPr>
        <w:tab/>
      </w:r>
      <w:r>
        <w:rPr>
          <w:rFonts w:hint="cs"/>
          <w:rtl/>
        </w:rPr>
        <w:t xml:space="preserve">ראו לעניין זה </w:t>
      </w:r>
      <w:r w:rsidRPr="00800CA0">
        <w:rPr>
          <w:rFonts w:hint="cs"/>
          <w:b/>
          <w:bCs/>
          <w:rtl/>
        </w:rPr>
        <w:t>דוח לבנת משיח</w:t>
      </w:r>
      <w:r>
        <w:rPr>
          <w:rFonts w:hint="cs"/>
          <w:rtl/>
        </w:rPr>
        <w:t xml:space="preserve"> </w:t>
      </w:r>
      <w:r>
        <w:rPr>
          <w:rtl/>
        </w:rPr>
        <w:t xml:space="preserve">בעניין משך ההאזנה ושיחות אקראי בין </w:t>
      </w:r>
      <w:r>
        <w:rPr>
          <w:rFonts w:hint="cs"/>
          <w:rtl/>
        </w:rPr>
        <w:t>יעד האזנה</w:t>
      </w:r>
      <w:r>
        <w:rPr>
          <w:rtl/>
        </w:rPr>
        <w:t xml:space="preserve"> לעיתונאי</w:t>
      </w:r>
      <w:r>
        <w:rPr>
          <w:rFonts w:hint="cs"/>
          <w:rtl/>
        </w:rPr>
        <w:t>, עמ' 7 - 8.</w:t>
      </w:r>
    </w:p>
  </w:footnote>
  <w:footnote w:id="114">
    <w:p w:rsidR="00172C0A" w:rsidRDefault="00172C0A" w:rsidP="0091756C">
      <w:pPr>
        <w:pStyle w:val="ad"/>
        <w:ind w:left="282" w:hanging="567"/>
      </w:pPr>
      <w:r>
        <w:rPr>
          <w:rStyle w:val="af"/>
        </w:rPr>
        <w:footnoteRef/>
      </w:r>
      <w:r>
        <w:rPr>
          <w:rtl/>
        </w:rPr>
        <w:t xml:space="preserve"> </w:t>
      </w:r>
      <w:r>
        <w:rPr>
          <w:rtl/>
        </w:rPr>
        <w:tab/>
        <w:t>פרקליט המדינה</w:t>
      </w:r>
      <w:r>
        <w:rPr>
          <w:rFonts w:hint="cs"/>
          <w:rtl/>
        </w:rPr>
        <w:t>,</w:t>
      </w:r>
      <w:r>
        <w:rPr>
          <w:rtl/>
        </w:rPr>
        <w:t xml:space="preserve"> </w:t>
      </w:r>
      <w:r>
        <w:rPr>
          <w:rFonts w:hint="cs"/>
          <w:rtl/>
        </w:rPr>
        <w:t>הנחיה</w:t>
      </w:r>
      <w:r>
        <w:rPr>
          <w:rtl/>
        </w:rPr>
        <w:t xml:space="preserve"> 14.12 </w:t>
      </w:r>
      <w:r>
        <w:rPr>
          <w:b/>
          <w:bCs/>
          <w:rtl/>
        </w:rPr>
        <w:t>אישור פתיחה בחקירה והעמדה לדין בעבירות או עניינים בעלי רגישות מיוחדת</w:t>
      </w:r>
      <w:r>
        <w:rPr>
          <w:rtl/>
        </w:rPr>
        <w:t xml:space="preserve"> </w:t>
      </w:r>
      <w:r>
        <w:rPr>
          <w:rFonts w:hint="cs"/>
          <w:rtl/>
        </w:rPr>
        <w:t>(</w:t>
      </w:r>
      <w:r>
        <w:rPr>
          <w:rtl/>
        </w:rPr>
        <w:t xml:space="preserve">23.2.99, עודכן </w:t>
      </w:r>
      <w:r>
        <w:rPr>
          <w:rFonts w:hint="cs"/>
          <w:rtl/>
        </w:rPr>
        <w:t>ב-</w:t>
      </w:r>
      <w:r>
        <w:rPr>
          <w:rtl/>
        </w:rPr>
        <w:t>15.12.19</w:t>
      </w:r>
      <w:r>
        <w:rPr>
          <w:rFonts w:hint="cs"/>
          <w:rtl/>
        </w:rPr>
        <w:t>)</w:t>
      </w:r>
      <w:r>
        <w:rPr>
          <w:rtl/>
        </w:rPr>
        <w:t xml:space="preserve">. נדרש אישור </w:t>
      </w:r>
      <w:r>
        <w:rPr>
          <w:rFonts w:hint="cs"/>
          <w:rtl/>
        </w:rPr>
        <w:t xml:space="preserve">של </w:t>
      </w:r>
      <w:r>
        <w:rPr>
          <w:rtl/>
        </w:rPr>
        <w:t xml:space="preserve">פרקליט המדינה או של אחד ממשניו או של מי </w:t>
      </w:r>
      <w:r>
        <w:rPr>
          <w:rFonts w:hint="cs"/>
          <w:rtl/>
        </w:rPr>
        <w:t>שהם הסמיכו</w:t>
      </w:r>
      <w:r>
        <w:rPr>
          <w:rtl/>
        </w:rPr>
        <w:t xml:space="preserve"> לטפל בין היתר, בעבירות בתחומי ההסתה, הטרור, לשון הרע, סוביודיצה, ועבירות הנוגעות לעבודתו של עיתונאי.</w:t>
      </w:r>
    </w:p>
  </w:footnote>
  <w:footnote w:id="115">
    <w:p w:rsidR="00172C0A" w:rsidRDefault="00172C0A" w:rsidP="0091756C">
      <w:pPr>
        <w:pStyle w:val="ad"/>
        <w:ind w:left="282" w:hanging="567"/>
        <w:rPr>
          <w:rtl/>
        </w:rPr>
      </w:pPr>
      <w:r>
        <w:rPr>
          <w:rStyle w:val="af"/>
        </w:rPr>
        <w:footnoteRef/>
      </w:r>
      <w:r>
        <w:rPr>
          <w:rtl/>
        </w:rPr>
        <w:t xml:space="preserve"> </w:t>
      </w:r>
      <w:r>
        <w:rPr>
          <w:rtl/>
        </w:rPr>
        <w:tab/>
      </w:r>
      <w:r>
        <w:rPr>
          <w:rFonts w:hint="cs"/>
          <w:rtl/>
        </w:rPr>
        <w:t xml:space="preserve">לפי איתור צווים עם עבירות רגישות בבסיסי הנתונים של המערכת לניהול צווים, בהתאם לסעיפי העבירה המפורטים בהנחיית פרקליט המדינה </w:t>
      </w:r>
      <w:r>
        <w:rPr>
          <w:rtl/>
        </w:rPr>
        <w:t xml:space="preserve">14.12 </w:t>
      </w:r>
      <w:r>
        <w:rPr>
          <w:b/>
          <w:bCs/>
          <w:rtl/>
        </w:rPr>
        <w:t>אישור פתיחה בחקירה והעמדה לדין בעבירות או עניינים בעלי רגישות מיוחדת</w:t>
      </w:r>
      <w:r>
        <w:rPr>
          <w:rtl/>
        </w:rPr>
        <w:t xml:space="preserve"> </w:t>
      </w:r>
      <w:r>
        <w:rPr>
          <w:rFonts w:hint="cs"/>
          <w:rtl/>
        </w:rPr>
        <w:t>(</w:t>
      </w:r>
      <w:r>
        <w:rPr>
          <w:rtl/>
        </w:rPr>
        <w:t xml:space="preserve">23.2.99, עודכן </w:t>
      </w:r>
      <w:r>
        <w:rPr>
          <w:rFonts w:hint="cs"/>
          <w:rtl/>
        </w:rPr>
        <w:t>ב-</w:t>
      </w:r>
      <w:r>
        <w:rPr>
          <w:rtl/>
        </w:rPr>
        <w:t>15.12.19</w:t>
      </w:r>
      <w:r>
        <w:rPr>
          <w:rFonts w:hint="cs"/>
          <w:rtl/>
        </w:rPr>
        <w:t>)</w:t>
      </w:r>
      <w:r>
        <w:rPr>
          <w:rtl/>
        </w:rPr>
        <w:t xml:space="preserve">. </w:t>
      </w:r>
    </w:p>
  </w:footnote>
  <w:footnote w:id="116">
    <w:p w:rsidR="00172C0A" w:rsidRDefault="00172C0A" w:rsidP="0091756C">
      <w:pPr>
        <w:pStyle w:val="ad"/>
        <w:ind w:left="282" w:hanging="567"/>
      </w:pPr>
      <w:r>
        <w:rPr>
          <w:rStyle w:val="af"/>
        </w:rPr>
        <w:footnoteRef/>
      </w:r>
      <w:r>
        <w:rPr>
          <w:rtl/>
        </w:rPr>
        <w:t xml:space="preserve"> </w:t>
      </w:r>
      <w:r>
        <w:rPr>
          <w:rtl/>
        </w:rPr>
        <w:tab/>
      </w:r>
      <w:r w:rsidRPr="004A49B2">
        <w:rPr>
          <w:rtl/>
        </w:rPr>
        <w:t xml:space="preserve">משרד מבקר המדינה פנה לפרקליטות המדינה בעניין זה בחודש מרץ 2023, </w:t>
      </w:r>
      <w:r>
        <w:rPr>
          <w:rFonts w:hint="cs"/>
          <w:rtl/>
        </w:rPr>
        <w:t>אך רק ביוני 2024 העביר משרד המשפטים התייחסות הכוללת את ממצאי הבדיקה בנושא זה</w:t>
      </w:r>
      <w:r w:rsidRPr="004A49B2">
        <w:rPr>
          <w:rtl/>
        </w:rPr>
        <w:t>.</w:t>
      </w:r>
    </w:p>
  </w:footnote>
  <w:footnote w:id="117">
    <w:p w:rsidR="00172C0A" w:rsidRDefault="00172C0A" w:rsidP="0091756C">
      <w:pPr>
        <w:pStyle w:val="ad"/>
        <w:ind w:left="282" w:hanging="567"/>
      </w:pPr>
      <w:r>
        <w:rPr>
          <w:rStyle w:val="af"/>
        </w:rPr>
        <w:footnoteRef/>
      </w:r>
      <w:r>
        <w:rPr>
          <w:rtl/>
        </w:rPr>
        <w:t xml:space="preserve"> </w:t>
      </w:r>
      <w:r>
        <w:rPr>
          <w:rtl/>
        </w:rPr>
        <w:tab/>
      </w:r>
      <w:r>
        <w:rPr>
          <w:rFonts w:hint="cs"/>
          <w:rtl/>
        </w:rPr>
        <w:t xml:space="preserve">יצוין כי </w:t>
      </w:r>
      <w:r w:rsidRPr="00087827">
        <w:rPr>
          <w:rtl/>
        </w:rPr>
        <w:t xml:space="preserve">לפי </w:t>
      </w:r>
      <w:r>
        <w:rPr>
          <w:rtl/>
        </w:rPr>
        <w:t>חוק האזנת סתר</w:t>
      </w:r>
      <w:r w:rsidRPr="00087827">
        <w:rPr>
          <w:rtl/>
        </w:rPr>
        <w:t xml:space="preserve">, ככלל הגשת בקשה להאזנת סתר אינה </w:t>
      </w:r>
      <w:r>
        <w:rPr>
          <w:rFonts w:hint="cs"/>
          <w:rtl/>
        </w:rPr>
        <w:t>מחייבת</w:t>
      </w:r>
      <w:r w:rsidRPr="00087827">
        <w:rPr>
          <w:rtl/>
        </w:rPr>
        <w:t xml:space="preserve"> אישור של דרג משטרתי בכיר או </w:t>
      </w:r>
      <w:r>
        <w:rPr>
          <w:rFonts w:hint="cs"/>
          <w:rtl/>
        </w:rPr>
        <w:t>של</w:t>
      </w:r>
      <w:r w:rsidRPr="00087827">
        <w:rPr>
          <w:rtl/>
        </w:rPr>
        <w:t xml:space="preserve"> דרג </w:t>
      </w:r>
      <w:r>
        <w:rPr>
          <w:rFonts w:hint="cs"/>
          <w:rtl/>
        </w:rPr>
        <w:t>ש</w:t>
      </w:r>
      <w:r w:rsidRPr="00087827">
        <w:rPr>
          <w:rtl/>
        </w:rPr>
        <w:t>מחוץ למשטרת ישראל</w:t>
      </w:r>
      <w:r>
        <w:rPr>
          <w:rFonts w:hint="cs"/>
          <w:rtl/>
        </w:rPr>
        <w:t>.</w:t>
      </w:r>
    </w:p>
  </w:footnote>
  <w:footnote w:id="118">
    <w:p w:rsidR="00172C0A" w:rsidRDefault="00172C0A" w:rsidP="0091756C">
      <w:pPr>
        <w:pStyle w:val="ad"/>
        <w:ind w:left="282" w:hanging="567"/>
        <w:rPr>
          <w:b/>
          <w:bCs/>
          <w:rtl/>
        </w:rPr>
      </w:pPr>
      <w:r>
        <w:rPr>
          <w:rStyle w:val="af"/>
        </w:rPr>
        <w:footnoteRef/>
      </w:r>
      <w:r>
        <w:rPr>
          <w:rtl/>
        </w:rPr>
        <w:t xml:space="preserve"> </w:t>
      </w:r>
      <w:r>
        <w:rPr>
          <w:rFonts w:hint="cs"/>
          <w:b/>
          <w:bCs/>
          <w:rtl/>
        </w:rPr>
        <w:tab/>
        <w:t>דרג מדיני</w:t>
      </w:r>
      <w:r>
        <w:rPr>
          <w:rFonts w:hint="cs"/>
          <w:rtl/>
        </w:rPr>
        <w:t xml:space="preserve"> - </w:t>
      </w:r>
      <w:r>
        <w:rPr>
          <w:rFonts w:ascii="David" w:hAnsi="David"/>
          <w:rtl/>
        </w:rPr>
        <w:t xml:space="preserve">נשיא, </w:t>
      </w:r>
      <w:r w:rsidRPr="0091756C">
        <w:rPr>
          <w:rtl/>
        </w:rPr>
        <w:t>ראש</w:t>
      </w:r>
      <w:r>
        <w:rPr>
          <w:rFonts w:ascii="David" w:hAnsi="David"/>
          <w:rtl/>
        </w:rPr>
        <w:t xml:space="preserve"> הממשלה, שרים וחברי כנסת</w:t>
      </w:r>
      <w:r>
        <w:rPr>
          <w:rFonts w:hint="cs"/>
          <w:rtl/>
        </w:rPr>
        <w:t xml:space="preserve"> לפי</w:t>
      </w:r>
      <w:r>
        <w:rPr>
          <w:rtl/>
        </w:rPr>
        <w:t xml:space="preserve"> סעי</w:t>
      </w:r>
      <w:r>
        <w:rPr>
          <w:rFonts w:hint="cs"/>
          <w:rtl/>
        </w:rPr>
        <w:t>ף</w:t>
      </w:r>
      <w:r>
        <w:rPr>
          <w:rtl/>
        </w:rPr>
        <w:t xml:space="preserve"> </w:t>
      </w:r>
      <w:r>
        <w:t>13</w:t>
      </w:r>
      <w:r>
        <w:rPr>
          <w:rtl/>
        </w:rPr>
        <w:t xml:space="preserve"> לחוק יסוד: נשיא המדינה, </w:t>
      </w:r>
      <w:r w:rsidRPr="00392F8E">
        <w:rPr>
          <w:rFonts w:hint="cs"/>
          <w:rtl/>
        </w:rPr>
        <w:t>סעיף</w:t>
      </w:r>
      <w:r w:rsidRPr="00392F8E">
        <w:rPr>
          <w:rtl/>
        </w:rPr>
        <w:t xml:space="preserve"> 5(ב)</w:t>
      </w:r>
      <w:r w:rsidRPr="00392F8E">
        <w:rPr>
          <w:rFonts w:hint="cs"/>
        </w:rPr>
        <w:t xml:space="preserve"> </w:t>
      </w:r>
      <w:r w:rsidRPr="00392F8E">
        <w:rPr>
          <w:rtl/>
        </w:rPr>
        <w:t>לחוק יסוד: הממשלה, ו</w:t>
      </w:r>
      <w:r w:rsidRPr="00392F8E">
        <w:rPr>
          <w:rFonts w:hint="cs"/>
          <w:rtl/>
        </w:rPr>
        <w:t xml:space="preserve">סעיפים </w:t>
      </w:r>
      <w:r w:rsidRPr="00392F8E">
        <w:rPr>
          <w:rtl/>
        </w:rPr>
        <w:t xml:space="preserve">2א </w:t>
      </w:r>
      <w:r w:rsidRPr="00392F8E">
        <w:rPr>
          <w:rFonts w:hint="cs"/>
          <w:rtl/>
        </w:rPr>
        <w:t xml:space="preserve">ו-15 </w:t>
      </w:r>
      <w:r w:rsidRPr="00882D7B">
        <w:rPr>
          <w:rtl/>
        </w:rPr>
        <w:t xml:space="preserve">לחוק חסינות חברי הכנסת, זכויותיהם וחובותיהם, </w:t>
      </w:r>
      <w:r w:rsidRPr="00EC24AF">
        <w:rPr>
          <w:rFonts w:hint="cs"/>
          <w:rtl/>
        </w:rPr>
        <w:t>ה</w:t>
      </w:r>
      <w:r w:rsidRPr="00EC24AF">
        <w:rPr>
          <w:rtl/>
        </w:rPr>
        <w:t>תשי"א-1951.</w:t>
      </w:r>
    </w:p>
  </w:footnote>
  <w:footnote w:id="119">
    <w:p w:rsidR="00172C0A" w:rsidRDefault="00172C0A" w:rsidP="0091756C">
      <w:pPr>
        <w:pStyle w:val="ad"/>
        <w:ind w:left="282" w:hanging="567"/>
        <w:rPr>
          <w:rtl/>
        </w:rPr>
      </w:pPr>
      <w:r>
        <w:rPr>
          <w:rStyle w:val="af"/>
        </w:rPr>
        <w:footnoteRef/>
      </w:r>
      <w:r>
        <w:rPr>
          <w:rtl/>
        </w:rPr>
        <w:t xml:space="preserve"> </w:t>
      </w:r>
      <w:r>
        <w:rPr>
          <w:rtl/>
        </w:rPr>
        <w:tab/>
        <w:t xml:space="preserve">לפי סעיף 9 לחוק האזנת סתר וסעיפים 48 </w:t>
      </w:r>
      <w:r>
        <w:rPr>
          <w:rFonts w:hint="cs"/>
          <w:rtl/>
        </w:rPr>
        <w:t>-</w:t>
      </w:r>
      <w:r>
        <w:rPr>
          <w:rtl/>
        </w:rPr>
        <w:t xml:space="preserve"> 51 לפקודת הראיות [נוסח חדש], </w:t>
      </w:r>
      <w:r>
        <w:rPr>
          <w:rFonts w:hint="cs"/>
          <w:rtl/>
        </w:rPr>
        <w:t>ה</w:t>
      </w:r>
      <w:r>
        <w:rPr>
          <w:rtl/>
        </w:rPr>
        <w:t xml:space="preserve">תשל"א-1971. </w:t>
      </w:r>
    </w:p>
  </w:footnote>
  <w:footnote w:id="120">
    <w:p w:rsidR="00172C0A" w:rsidRDefault="00172C0A" w:rsidP="0091756C">
      <w:pPr>
        <w:pStyle w:val="ad"/>
        <w:ind w:left="282" w:hanging="567"/>
        <w:rPr>
          <w:rtl/>
        </w:rPr>
      </w:pPr>
      <w:r>
        <w:rPr>
          <w:rStyle w:val="af"/>
        </w:rPr>
        <w:footnoteRef/>
      </w:r>
      <w:r>
        <w:rPr>
          <w:rtl/>
        </w:rPr>
        <w:t xml:space="preserve"> </w:t>
      </w:r>
      <w:r>
        <w:rPr>
          <w:rtl/>
        </w:rPr>
        <w:tab/>
      </w:r>
      <w:r>
        <w:rPr>
          <w:rFonts w:hint="cs"/>
          <w:rtl/>
        </w:rPr>
        <w:t>ראו דברי הסבר להצעת חוק חסינות חברי הכנסת,</w:t>
      </w:r>
      <w:r w:rsidRPr="00882D7B">
        <w:rPr>
          <w:rtl/>
        </w:rPr>
        <w:t xml:space="preserve"> זכויותיהם וחובותיהם, </w:t>
      </w:r>
      <w:r w:rsidRPr="00EC24AF">
        <w:rPr>
          <w:rFonts w:hint="cs"/>
          <w:rtl/>
        </w:rPr>
        <w:t>ה</w:t>
      </w:r>
      <w:r w:rsidRPr="00EC24AF">
        <w:rPr>
          <w:rtl/>
        </w:rPr>
        <w:t>תשי"א-1951</w:t>
      </w:r>
      <w:r>
        <w:rPr>
          <w:rFonts w:hint="cs"/>
          <w:rtl/>
        </w:rPr>
        <w:t xml:space="preserve"> (תיקון 32) התשס"ה-2005, מ-24.03.05, ה"ח הכנסת התשס"ה, 65, 84. </w:t>
      </w:r>
    </w:p>
  </w:footnote>
  <w:footnote w:id="121">
    <w:p w:rsidR="00172C0A" w:rsidRDefault="00172C0A" w:rsidP="0091756C">
      <w:pPr>
        <w:pStyle w:val="ad"/>
        <w:ind w:left="282" w:hanging="567"/>
        <w:rPr>
          <w:rtl/>
        </w:rPr>
      </w:pPr>
      <w:r>
        <w:rPr>
          <w:rStyle w:val="af"/>
        </w:rPr>
        <w:footnoteRef/>
      </w:r>
      <w:r>
        <w:rPr>
          <w:rtl/>
        </w:rPr>
        <w:t xml:space="preserve"> </w:t>
      </w:r>
      <w:r>
        <w:rPr>
          <w:rtl/>
        </w:rPr>
        <w:tab/>
      </w:r>
      <w:r w:rsidRPr="0066258E">
        <w:rPr>
          <w:rtl/>
        </w:rPr>
        <w:t xml:space="preserve">ראו לעניין זה ע"פ 5135/11 </w:t>
      </w:r>
      <w:r w:rsidRPr="0066258E">
        <w:rPr>
          <w:b/>
          <w:bCs/>
          <w:rtl/>
        </w:rPr>
        <w:t>מ"י נ' לאורה ברקו</w:t>
      </w:r>
      <w:r w:rsidRPr="0066258E">
        <w:rPr>
          <w:rtl/>
        </w:rPr>
        <w:t xml:space="preserve"> (פורסם במאגר ממוחשב</w:t>
      </w:r>
      <w:r>
        <w:rPr>
          <w:rFonts w:hint="cs"/>
          <w:rtl/>
        </w:rPr>
        <w:t>,</w:t>
      </w:r>
      <w:r w:rsidRPr="0066258E">
        <w:rPr>
          <w:rtl/>
        </w:rPr>
        <w:t xml:space="preserve"> 31.5.12</w:t>
      </w:r>
      <w:r>
        <w:rPr>
          <w:rFonts w:hint="cs"/>
          <w:rtl/>
        </w:rPr>
        <w:t>)</w:t>
      </w:r>
      <w:r w:rsidRPr="0066258E">
        <w:rPr>
          <w:rtl/>
        </w:rPr>
        <w:t>.</w:t>
      </w:r>
    </w:p>
  </w:footnote>
  <w:footnote w:id="122">
    <w:p w:rsidR="00172C0A" w:rsidRDefault="00172C0A" w:rsidP="000F15E3">
      <w:pPr>
        <w:pStyle w:val="ad"/>
        <w:ind w:left="282" w:hanging="567"/>
      </w:pPr>
      <w:r>
        <w:rPr>
          <w:rStyle w:val="af"/>
        </w:rPr>
        <w:footnoteRef/>
      </w:r>
      <w:r>
        <w:rPr>
          <w:rtl/>
        </w:rPr>
        <w:t xml:space="preserve"> </w:t>
      </w:r>
      <w:r>
        <w:rPr>
          <w:rtl/>
        </w:rPr>
        <w:tab/>
      </w:r>
      <w:r>
        <w:rPr>
          <w:rFonts w:hint="cs"/>
          <w:rtl/>
        </w:rPr>
        <w:t>סעיף 6(א)</w:t>
      </w:r>
      <w:r>
        <w:rPr>
          <w:rFonts w:hint="cs"/>
        </w:rPr>
        <w:t xml:space="preserve"> </w:t>
      </w:r>
      <w:r>
        <w:rPr>
          <w:rFonts w:hint="cs"/>
          <w:rtl/>
        </w:rPr>
        <w:t xml:space="preserve">לחוק האזנת סתר, סעיף 2א(ב) לחוק חסינות חברי הכנסת, זכויותיהם וחובותיהם, התשי"א-1951. </w:t>
      </w:r>
    </w:p>
  </w:footnote>
  <w:footnote w:id="123">
    <w:p w:rsidR="00172C0A" w:rsidRDefault="00172C0A" w:rsidP="000F15E3">
      <w:pPr>
        <w:pStyle w:val="ad"/>
        <w:ind w:left="282" w:hanging="567"/>
        <w:rPr>
          <w:rtl/>
        </w:rPr>
      </w:pPr>
      <w:r>
        <w:rPr>
          <w:rStyle w:val="af"/>
        </w:rPr>
        <w:footnoteRef/>
      </w:r>
      <w:r>
        <w:rPr>
          <w:rtl/>
        </w:rPr>
        <w:t xml:space="preserve"> </w:t>
      </w:r>
      <w:r>
        <w:rPr>
          <w:rtl/>
        </w:rPr>
        <w:tab/>
      </w:r>
      <w:r w:rsidRPr="00E24790">
        <w:rPr>
          <w:rFonts w:hint="cs"/>
          <w:b/>
          <w:bCs/>
          <w:rtl/>
        </w:rPr>
        <w:t>איש ציבור</w:t>
      </w:r>
      <w:r>
        <w:rPr>
          <w:rFonts w:hint="cs"/>
          <w:rtl/>
        </w:rPr>
        <w:t xml:space="preserve"> </w:t>
      </w:r>
      <w:r w:rsidRPr="00607541">
        <w:rPr>
          <w:rFonts w:hint="cs"/>
          <w:b/>
          <w:bCs/>
          <w:rtl/>
        </w:rPr>
        <w:t>דרג א'</w:t>
      </w:r>
      <w:r>
        <w:rPr>
          <w:rFonts w:hint="cs"/>
          <w:rtl/>
        </w:rPr>
        <w:t xml:space="preserve">- </w:t>
      </w:r>
      <w:r w:rsidRPr="0062640E">
        <w:rPr>
          <w:rtl/>
        </w:rPr>
        <w:t>אדם הנמצא במעמד ציבורי חשוב בגין משרתו או תפקידו הציבורי.</w:t>
      </w:r>
      <w:r>
        <w:rPr>
          <w:rFonts w:hint="cs"/>
          <w:rtl/>
        </w:rPr>
        <w:t xml:space="preserve"> </w:t>
      </w:r>
    </w:p>
    <w:p w:rsidR="00172C0A" w:rsidRPr="0062640E" w:rsidRDefault="00172C0A" w:rsidP="000F15E3">
      <w:pPr>
        <w:pStyle w:val="ad"/>
        <w:ind w:left="282" w:hanging="567"/>
        <w:rPr>
          <w:rtl/>
        </w:rPr>
      </w:pPr>
      <w:r>
        <w:rPr>
          <w:rtl/>
        </w:rPr>
        <w:tab/>
      </w:r>
      <w:r>
        <w:rPr>
          <w:rFonts w:hint="cs"/>
          <w:rtl/>
        </w:rPr>
        <w:t xml:space="preserve">עם דרג זה נמנים </w:t>
      </w:r>
      <w:r w:rsidRPr="00607541">
        <w:rPr>
          <w:rtl/>
        </w:rPr>
        <w:t>שופטים, דיינים ברמה הארצית,</w:t>
      </w:r>
      <w:r>
        <w:rPr>
          <w:rFonts w:hint="cs"/>
          <w:rtl/>
        </w:rPr>
        <w:t xml:space="preserve"> קאדים,</w:t>
      </w:r>
      <w:r w:rsidRPr="00607541">
        <w:rPr>
          <w:rtl/>
        </w:rPr>
        <w:t xml:space="preserve"> אנשי דת בכירים (רב ראשי, קאדי </w:t>
      </w:r>
      <w:r>
        <w:rPr>
          <w:rtl/>
        </w:rPr>
        <w:t>-</w:t>
      </w:r>
      <w:r w:rsidRPr="00607541">
        <w:rPr>
          <w:rtl/>
        </w:rPr>
        <w:t>בכירות ברמה הארצית), ראשי כוחות הביטחון וסגניהם (שב"כ, מוסד, צה"ל, שב"ס), מבקר המדינה.</w:t>
      </w:r>
      <w:r>
        <w:rPr>
          <w:rFonts w:hint="cs"/>
          <w:rtl/>
        </w:rPr>
        <w:t xml:space="preserve"> לעניין עיגון החובה לקבל את אישור היועמ"ש לממשלה בכתב לצורך האזנה לשופטים, ראו גם סעיף 12 לחוק יסוד: השפיטה.</w:t>
      </w:r>
    </w:p>
  </w:footnote>
  <w:footnote w:id="124">
    <w:p w:rsidR="00172C0A" w:rsidRDefault="00172C0A" w:rsidP="000F15E3">
      <w:pPr>
        <w:pStyle w:val="ad"/>
        <w:ind w:left="282" w:hanging="567"/>
        <w:rPr>
          <w:rtl/>
        </w:rPr>
      </w:pPr>
      <w:r>
        <w:rPr>
          <w:rStyle w:val="af"/>
        </w:rPr>
        <w:footnoteRef/>
      </w:r>
      <w:r>
        <w:rPr>
          <w:rtl/>
        </w:rPr>
        <w:t xml:space="preserve"> </w:t>
      </w:r>
      <w:r>
        <w:rPr>
          <w:b/>
          <w:bCs/>
          <w:rtl/>
        </w:rPr>
        <w:tab/>
      </w:r>
      <w:r w:rsidRPr="00607541">
        <w:rPr>
          <w:rFonts w:hint="cs"/>
          <w:b/>
          <w:bCs/>
          <w:rtl/>
        </w:rPr>
        <w:t>איש ציבור דרג ב'</w:t>
      </w:r>
      <w:r>
        <w:rPr>
          <w:rFonts w:hint="cs"/>
          <w:b/>
          <w:bCs/>
          <w:rtl/>
        </w:rPr>
        <w:t xml:space="preserve"> </w:t>
      </w:r>
      <w:r>
        <w:rPr>
          <w:rFonts w:hint="cs"/>
          <w:rtl/>
        </w:rPr>
        <w:t xml:space="preserve">- </w:t>
      </w:r>
      <w:r w:rsidRPr="0062640E">
        <w:rPr>
          <w:rtl/>
        </w:rPr>
        <w:t>אדם הנמצא במעמד ציבורי חשוב בגין משרתו או תפקידו הציבורי.</w:t>
      </w:r>
      <w:r>
        <w:rPr>
          <w:rFonts w:hint="cs"/>
          <w:rtl/>
        </w:rPr>
        <w:t xml:space="preserve"> </w:t>
      </w:r>
    </w:p>
    <w:p w:rsidR="00172C0A" w:rsidRDefault="00172C0A" w:rsidP="000F15E3">
      <w:pPr>
        <w:pStyle w:val="ad"/>
        <w:ind w:left="282" w:hanging="567"/>
        <w:rPr>
          <w:rtl/>
        </w:rPr>
      </w:pPr>
      <w:r>
        <w:rPr>
          <w:rtl/>
        </w:rPr>
        <w:tab/>
      </w:r>
      <w:r>
        <w:rPr>
          <w:rFonts w:hint="cs"/>
          <w:rtl/>
        </w:rPr>
        <w:t xml:space="preserve">עם דרג זה נמנים </w:t>
      </w:r>
      <w:r w:rsidRPr="00607541">
        <w:rPr>
          <w:rtl/>
        </w:rPr>
        <w:t>ראש רשות מקומית</w:t>
      </w:r>
      <w:r>
        <w:rPr>
          <w:rFonts w:hint="cs"/>
          <w:rtl/>
        </w:rPr>
        <w:t xml:space="preserve"> או </w:t>
      </w:r>
      <w:r w:rsidRPr="00607541">
        <w:rPr>
          <w:rtl/>
        </w:rPr>
        <w:t>אזורית, סגן ראש רשות מקומית ואזורית, יו"ר הסתדרות העובדים, מנכ"לים במשר</w:t>
      </w:r>
      <w:r>
        <w:rPr>
          <w:rFonts w:hint="cs"/>
          <w:rtl/>
        </w:rPr>
        <w:t>די ממשלה</w:t>
      </w:r>
      <w:r w:rsidRPr="00607541">
        <w:rPr>
          <w:rtl/>
        </w:rPr>
        <w:t>, מנכ"לים ברשות המקומית, דיינים ברמה המקומית, אנשי דת (רב עיר, קאדי, כהן דת</w:t>
      </w:r>
      <w:r>
        <w:rPr>
          <w:rtl/>
        </w:rPr>
        <w:t>-</w:t>
      </w:r>
      <w:r w:rsidRPr="00607541">
        <w:rPr>
          <w:rtl/>
        </w:rPr>
        <w:t xml:space="preserve"> </w:t>
      </w:r>
      <w:r w:rsidRPr="000F15E3">
        <w:rPr>
          <w:rFonts w:hint="cs"/>
          <w:b/>
          <w:bCs/>
          <w:rtl/>
        </w:rPr>
        <w:t>בכירים</w:t>
      </w:r>
      <w:r w:rsidRPr="00607541">
        <w:rPr>
          <w:rtl/>
        </w:rPr>
        <w:t xml:space="preserve"> ברמה המקומית </w:t>
      </w:r>
      <w:r>
        <w:rPr>
          <w:rFonts w:hint="cs"/>
          <w:rtl/>
        </w:rPr>
        <w:t>ש</w:t>
      </w:r>
      <w:r w:rsidRPr="00607541">
        <w:rPr>
          <w:rtl/>
        </w:rPr>
        <w:t>מקבלי</w:t>
      </w:r>
      <w:r>
        <w:rPr>
          <w:rFonts w:hint="cs"/>
          <w:rtl/>
        </w:rPr>
        <w:t>ם</w:t>
      </w:r>
      <w:r w:rsidRPr="00607541">
        <w:rPr>
          <w:rtl/>
        </w:rPr>
        <w:t xml:space="preserve"> שכר</w:t>
      </w:r>
      <w:r>
        <w:rPr>
          <w:rFonts w:hint="cs"/>
          <w:rtl/>
        </w:rPr>
        <w:t xml:space="preserve"> </w:t>
      </w:r>
      <w:r w:rsidRPr="00607541">
        <w:rPr>
          <w:rtl/>
        </w:rPr>
        <w:t>ממוסדות המדינה), ממלאי משרות בכירות במגזר הציבורי (מנכ"ל וסמנכ"ל), ממלאי משרות בכירות במגזר הפרטי (מנכ"ל וסמנכ"ל), מנהלי בנקים ומוסדות פיננסים חשובים, מנהלי תאגידים סטטוטוריים (</w:t>
      </w:r>
      <w:r>
        <w:rPr>
          <w:rFonts w:hint="cs"/>
          <w:rtl/>
        </w:rPr>
        <w:t xml:space="preserve">לדוגמה </w:t>
      </w:r>
      <w:r w:rsidRPr="00607541">
        <w:rPr>
          <w:rtl/>
        </w:rPr>
        <w:t>רשות שדות התעופה), מנהלי חברות ורשויות ממשלתיות.</w:t>
      </w:r>
    </w:p>
  </w:footnote>
  <w:footnote w:id="125">
    <w:p w:rsidR="00172C0A" w:rsidRDefault="00172C0A" w:rsidP="000F15E3">
      <w:pPr>
        <w:pStyle w:val="ad"/>
        <w:ind w:left="282" w:hanging="567"/>
        <w:rPr>
          <w:rtl/>
        </w:rPr>
      </w:pPr>
      <w:r>
        <w:rPr>
          <w:rStyle w:val="af"/>
        </w:rPr>
        <w:footnoteRef/>
      </w:r>
      <w:r>
        <w:rPr>
          <w:rtl/>
        </w:rPr>
        <w:t xml:space="preserve"> </w:t>
      </w:r>
      <w:r>
        <w:rPr>
          <w:b/>
          <w:bCs/>
          <w:rtl/>
        </w:rPr>
        <w:tab/>
      </w:r>
      <w:r w:rsidRPr="00F238DC">
        <w:rPr>
          <w:rFonts w:hint="cs"/>
          <w:b/>
          <w:bCs/>
          <w:rtl/>
        </w:rPr>
        <w:t>איש ציבור דרג ג'</w:t>
      </w:r>
      <w:r>
        <w:rPr>
          <w:rFonts w:hint="cs"/>
          <w:b/>
          <w:bCs/>
          <w:rtl/>
        </w:rPr>
        <w:t xml:space="preserve"> </w:t>
      </w:r>
      <w:r w:rsidRPr="007A023D">
        <w:rPr>
          <w:rFonts w:hint="cs"/>
          <w:rtl/>
        </w:rPr>
        <w:t>-</w:t>
      </w:r>
      <w:r>
        <w:rPr>
          <w:rFonts w:hint="cs"/>
          <w:b/>
          <w:bCs/>
          <w:rtl/>
        </w:rPr>
        <w:t xml:space="preserve"> </w:t>
      </w:r>
      <w:r w:rsidRPr="0062640E">
        <w:rPr>
          <w:rtl/>
        </w:rPr>
        <w:t>אדם הנמצא במעמד ציבורי חשוב בגין משרתו או תפקידו הציבורי.</w:t>
      </w:r>
      <w:r>
        <w:rPr>
          <w:rFonts w:hint="cs"/>
          <w:rtl/>
        </w:rPr>
        <w:t xml:space="preserve"> </w:t>
      </w:r>
    </w:p>
    <w:p w:rsidR="00172C0A" w:rsidRDefault="00172C0A" w:rsidP="000F15E3">
      <w:pPr>
        <w:pStyle w:val="ad"/>
        <w:ind w:left="282" w:hanging="567"/>
        <w:rPr>
          <w:rtl/>
        </w:rPr>
      </w:pPr>
      <w:r>
        <w:rPr>
          <w:rtl/>
        </w:rPr>
        <w:tab/>
      </w:r>
      <w:r>
        <w:rPr>
          <w:rFonts w:hint="cs"/>
          <w:rtl/>
        </w:rPr>
        <w:t xml:space="preserve">עם דרג זה נמנים </w:t>
      </w:r>
      <w:r w:rsidRPr="00F238DC">
        <w:rPr>
          <w:rtl/>
        </w:rPr>
        <w:t>חברי מועצה מקומית</w:t>
      </w:r>
      <w:r>
        <w:rPr>
          <w:rFonts w:hint="cs"/>
          <w:rtl/>
        </w:rPr>
        <w:t xml:space="preserve"> או חברי </w:t>
      </w:r>
      <w:r w:rsidRPr="00F238DC">
        <w:rPr>
          <w:rtl/>
        </w:rPr>
        <w:t>עירייה, קציני צבא</w:t>
      </w:r>
      <w:r>
        <w:rPr>
          <w:rFonts w:hint="cs"/>
          <w:rtl/>
        </w:rPr>
        <w:t xml:space="preserve"> או </w:t>
      </w:r>
      <w:r w:rsidRPr="00F238DC">
        <w:rPr>
          <w:rtl/>
        </w:rPr>
        <w:t xml:space="preserve">שב"ס בכירים </w:t>
      </w:r>
      <w:r>
        <w:rPr>
          <w:rFonts w:hint="cs"/>
          <w:rtl/>
        </w:rPr>
        <w:t>ב</w:t>
      </w:r>
      <w:r w:rsidRPr="00F238DC">
        <w:rPr>
          <w:rtl/>
        </w:rPr>
        <w:t>דרגת סא"ל ומעלה, סמנכ"ל במשרדי ממשלה, סמנכ"ל ברשות מקומית, ממלאי משרות בכירות במגזר הציבורי</w:t>
      </w:r>
      <w:r>
        <w:rPr>
          <w:rFonts w:hint="cs"/>
          <w:rtl/>
        </w:rPr>
        <w:t xml:space="preserve"> </w:t>
      </w:r>
      <w:r>
        <w:rPr>
          <w:rtl/>
        </w:rPr>
        <w:t>-</w:t>
      </w:r>
      <w:r>
        <w:rPr>
          <w:rFonts w:hint="cs"/>
          <w:rtl/>
        </w:rPr>
        <w:t xml:space="preserve"> </w:t>
      </w:r>
      <w:r w:rsidRPr="00F238DC">
        <w:rPr>
          <w:rtl/>
        </w:rPr>
        <w:t>מנהלי מחלקות</w:t>
      </w:r>
      <w:r>
        <w:rPr>
          <w:rFonts w:hint="cs"/>
          <w:rtl/>
        </w:rPr>
        <w:t xml:space="preserve"> או </w:t>
      </w:r>
      <w:r w:rsidRPr="00F238DC">
        <w:rPr>
          <w:rtl/>
        </w:rPr>
        <w:t>מנהלי אגפים, נציגים של מדינות חוץ הנמצאים בתפקיד בישראל, נציגים של ארגונים בין</w:t>
      </w:r>
      <w:r>
        <w:rPr>
          <w:rFonts w:hint="cs"/>
          <w:rtl/>
        </w:rPr>
        <w:t>-</w:t>
      </w:r>
      <w:r w:rsidRPr="00F238DC">
        <w:rPr>
          <w:rtl/>
        </w:rPr>
        <w:t>לאומיים מוכרים הנמצאים בתפקיד בישראל וכן נציגויות של מדינות חוץ ושל ארגונים כאמור.</w:t>
      </w:r>
    </w:p>
  </w:footnote>
  <w:footnote w:id="126">
    <w:p w:rsidR="00172C0A" w:rsidRDefault="00172C0A" w:rsidP="000F15E3">
      <w:pPr>
        <w:pStyle w:val="ad"/>
        <w:ind w:left="282" w:hanging="567"/>
        <w:rPr>
          <w:rtl/>
        </w:rPr>
      </w:pPr>
      <w:r>
        <w:rPr>
          <w:rStyle w:val="af"/>
        </w:rPr>
        <w:footnoteRef/>
      </w:r>
      <w:r>
        <w:rPr>
          <w:rtl/>
        </w:rPr>
        <w:t xml:space="preserve"> </w:t>
      </w:r>
      <w:r>
        <w:rPr>
          <w:rtl/>
        </w:rPr>
        <w:tab/>
      </w:r>
      <w:r w:rsidRPr="00C129ED">
        <w:rPr>
          <w:rFonts w:hint="cs"/>
          <w:rtl/>
        </w:rPr>
        <w:t xml:space="preserve">עיתונאי אינו בעל חיסיון מקצועי המעוגן בחוק, אלא בהתאם לפסיקת בית המשפט העליון ב"ש 298/86 </w:t>
      </w:r>
      <w:r w:rsidRPr="00C129ED">
        <w:rPr>
          <w:rFonts w:hint="cs"/>
          <w:b/>
          <w:bCs/>
          <w:rtl/>
        </w:rPr>
        <w:t>בן ציון ציטרין נ' בית הדין המשמעתי של לשכת עורכי הדין במחוז ת"א</w:t>
      </w:r>
      <w:r w:rsidRPr="00C129ED">
        <w:rPr>
          <w:rFonts w:hint="cs"/>
          <w:rtl/>
        </w:rPr>
        <w:t>, (פורסם במאגר ממוחשב, 7.4.87)</w:t>
      </w:r>
      <w:r>
        <w:rPr>
          <w:rFonts w:hint="cs"/>
          <w:rtl/>
        </w:rPr>
        <w:t>.</w:t>
      </w:r>
    </w:p>
  </w:footnote>
  <w:footnote w:id="127">
    <w:p w:rsidR="00172C0A" w:rsidRDefault="00172C0A" w:rsidP="00D14729">
      <w:pPr>
        <w:pStyle w:val="ad"/>
        <w:ind w:left="282" w:hanging="567"/>
        <w:rPr>
          <w:rtl/>
        </w:rPr>
      </w:pPr>
      <w:r>
        <w:rPr>
          <w:rStyle w:val="af"/>
        </w:rPr>
        <w:footnoteRef/>
      </w:r>
      <w:r>
        <w:rPr>
          <w:rtl/>
        </w:rPr>
        <w:t xml:space="preserve"> </w:t>
      </w:r>
      <w:r>
        <w:rPr>
          <w:rtl/>
        </w:rPr>
        <w:tab/>
      </w:r>
      <w:r>
        <w:rPr>
          <w:rFonts w:hint="cs"/>
          <w:rtl/>
        </w:rPr>
        <w:t xml:space="preserve">ואולם, לא מן הנמנע כי סוגיית העיון וההפקה וסוגיית הוצאת ההיתר נדונו במשולב וללא הבחנה סדורה בדיוני גורמי הממשל השונים. </w:t>
      </w:r>
    </w:p>
  </w:footnote>
  <w:footnote w:id="128">
    <w:p w:rsidR="00172C0A" w:rsidRDefault="00172C0A" w:rsidP="00D14729">
      <w:pPr>
        <w:pStyle w:val="ad"/>
        <w:ind w:left="282" w:hanging="567"/>
        <w:rPr>
          <w:rtl/>
        </w:rPr>
      </w:pPr>
      <w:r>
        <w:rPr>
          <w:rStyle w:val="af"/>
        </w:rPr>
        <w:footnoteRef/>
      </w:r>
      <w:r>
        <w:rPr>
          <w:rtl/>
        </w:rPr>
        <w:t xml:space="preserve"> </w:t>
      </w:r>
      <w:r>
        <w:rPr>
          <w:rtl/>
        </w:rPr>
        <w:tab/>
      </w:r>
      <w:r w:rsidRPr="00771F92">
        <w:rPr>
          <w:rFonts w:hint="cs"/>
          <w:b/>
          <w:bCs/>
          <w:rtl/>
        </w:rPr>
        <w:t>דרג מדיני</w:t>
      </w:r>
      <w:r>
        <w:rPr>
          <w:rFonts w:hint="cs"/>
          <w:rtl/>
        </w:rPr>
        <w:t xml:space="preserve"> - לפי סעיף 2א לחוק חסינות חברי הכנסת, זכויותיהם וחובותיהם, התשי"א-1951</w:t>
      </w:r>
      <w:r w:rsidRPr="00293D30">
        <w:rPr>
          <w:rFonts w:hint="cs"/>
          <w:rtl/>
        </w:rPr>
        <w:t xml:space="preserve">; </w:t>
      </w:r>
      <w:r w:rsidRPr="00771F92">
        <w:rPr>
          <w:rFonts w:hint="cs"/>
          <w:b/>
          <w:bCs/>
          <w:rtl/>
        </w:rPr>
        <w:t>בעל חיסיון מקצועי</w:t>
      </w:r>
      <w:r>
        <w:rPr>
          <w:rFonts w:hint="cs"/>
          <w:b/>
          <w:bCs/>
          <w:rtl/>
        </w:rPr>
        <w:t xml:space="preserve"> </w:t>
      </w:r>
      <w:r w:rsidRPr="00293D30">
        <w:rPr>
          <w:rFonts w:hint="cs"/>
          <w:rtl/>
        </w:rPr>
        <w:t>-</w:t>
      </w:r>
      <w:r>
        <w:rPr>
          <w:rFonts w:hint="cs"/>
          <w:b/>
          <w:bCs/>
          <w:rtl/>
        </w:rPr>
        <w:t xml:space="preserve"> </w:t>
      </w:r>
      <w:r>
        <w:rPr>
          <w:rFonts w:hint="cs"/>
          <w:rtl/>
        </w:rPr>
        <w:t xml:space="preserve">לפי סעיף 9א לחוק האזנת סתר. שני הסעיפים מתייחסים לעבירות החמורות לפי סעיפים 300 - 301ג לחוק העונשין, עבירה שיש בה סכנה לפגיעה בביטחון המדינה או עבירה של עסקת סמים כהגדרתה בפקודת הסמים המסוכנים [נוסח חדש], התשל"ג-1973. </w:t>
      </w:r>
    </w:p>
  </w:footnote>
  <w:footnote w:id="129">
    <w:p w:rsidR="00172C0A" w:rsidRDefault="00172C0A" w:rsidP="00D14729">
      <w:pPr>
        <w:pStyle w:val="ad"/>
        <w:ind w:left="282" w:hanging="567"/>
        <w:rPr>
          <w:rtl/>
        </w:rPr>
      </w:pPr>
      <w:r>
        <w:rPr>
          <w:rStyle w:val="af"/>
        </w:rPr>
        <w:footnoteRef/>
      </w:r>
      <w:r>
        <w:rPr>
          <w:rtl/>
        </w:rPr>
        <w:t xml:space="preserve"> </w:t>
      </w:r>
      <w:r>
        <w:rPr>
          <w:b/>
          <w:bCs/>
          <w:rtl/>
        </w:rPr>
        <w:tab/>
      </w:r>
      <w:r w:rsidRPr="00CC6FED">
        <w:rPr>
          <w:rFonts w:hint="cs"/>
          <w:b/>
          <w:bCs/>
          <w:rtl/>
        </w:rPr>
        <w:t>דוח לבנת משיח</w:t>
      </w:r>
      <w:r w:rsidRPr="00CC6FED">
        <w:rPr>
          <w:rFonts w:hint="cs"/>
          <w:rtl/>
        </w:rPr>
        <w:t xml:space="preserve"> פרק בנושא</w:t>
      </w:r>
      <w:r w:rsidRPr="00CC6FED">
        <w:rPr>
          <w:rtl/>
        </w:rPr>
        <w:t xml:space="preserve"> האזנה לשיחות של בעלי מקצוע, ששיחותיהם עשויות להיות חסויות</w:t>
      </w:r>
      <w:r w:rsidRPr="00CC6FED">
        <w:rPr>
          <w:rFonts w:hint="cs"/>
          <w:rtl/>
        </w:rPr>
        <w:t>, עמ' 16 -</w:t>
      </w:r>
      <w:r>
        <w:rPr>
          <w:rFonts w:hint="cs"/>
          <w:rtl/>
        </w:rPr>
        <w:t xml:space="preserve"> </w:t>
      </w:r>
      <w:r w:rsidRPr="00CC6FED">
        <w:rPr>
          <w:rFonts w:hint="cs"/>
          <w:rtl/>
        </w:rPr>
        <w:t>22</w:t>
      </w:r>
      <w:r>
        <w:rPr>
          <w:rFonts w:hint="cs"/>
          <w:rtl/>
        </w:rPr>
        <w:t xml:space="preserve">. </w:t>
      </w:r>
      <w:r w:rsidRPr="00CC6FED">
        <w:rPr>
          <w:rFonts w:hint="cs"/>
          <w:rtl/>
        </w:rPr>
        <w:t>במהלך</w:t>
      </w:r>
      <w:r w:rsidRPr="00CC6FED">
        <w:rPr>
          <w:rtl/>
        </w:rPr>
        <w:t xml:space="preserve"> </w:t>
      </w:r>
      <w:r w:rsidRPr="00CC6FED">
        <w:rPr>
          <w:rFonts w:hint="cs"/>
          <w:rtl/>
        </w:rPr>
        <w:t xml:space="preserve">עבודת צוות לבנת משיח תוקן </w:t>
      </w:r>
      <w:r w:rsidRPr="00CC6FED">
        <w:rPr>
          <w:rtl/>
        </w:rPr>
        <w:t xml:space="preserve">חוק חסינות חברי כנסת, </w:t>
      </w:r>
      <w:r w:rsidRPr="00CC6FED">
        <w:rPr>
          <w:rFonts w:hint="cs"/>
          <w:rtl/>
        </w:rPr>
        <w:t>על</w:t>
      </w:r>
      <w:r w:rsidRPr="00CC6FED">
        <w:rPr>
          <w:rtl/>
        </w:rPr>
        <w:t xml:space="preserve"> </w:t>
      </w:r>
      <w:r w:rsidRPr="00CC6FED">
        <w:rPr>
          <w:rFonts w:hint="cs"/>
          <w:rtl/>
        </w:rPr>
        <w:t>בסיס</w:t>
      </w:r>
      <w:r w:rsidRPr="00CC6FED">
        <w:rPr>
          <w:rtl/>
        </w:rPr>
        <w:t xml:space="preserve"> </w:t>
      </w:r>
      <w:r w:rsidRPr="00CC6FED">
        <w:rPr>
          <w:rFonts w:hint="cs"/>
          <w:rtl/>
        </w:rPr>
        <w:t>הדגם</w:t>
      </w:r>
      <w:r w:rsidRPr="00CC6FED">
        <w:rPr>
          <w:rtl/>
        </w:rPr>
        <w:t xml:space="preserve"> </w:t>
      </w:r>
      <w:r w:rsidRPr="00CC6FED">
        <w:rPr>
          <w:rFonts w:hint="cs"/>
          <w:rtl/>
        </w:rPr>
        <w:t>שגיבש</w:t>
      </w:r>
      <w:r w:rsidRPr="00CC6FED">
        <w:rPr>
          <w:rtl/>
        </w:rPr>
        <w:t xml:space="preserve"> </w:t>
      </w:r>
      <w:r w:rsidRPr="00CC6FED">
        <w:rPr>
          <w:rFonts w:hint="cs"/>
          <w:rtl/>
        </w:rPr>
        <w:t>הצוות</w:t>
      </w:r>
      <w:r w:rsidRPr="00CC6FED">
        <w:rPr>
          <w:rtl/>
        </w:rPr>
        <w:t xml:space="preserve"> </w:t>
      </w:r>
      <w:r w:rsidRPr="00CC6FED">
        <w:rPr>
          <w:rFonts w:hint="cs"/>
          <w:rtl/>
        </w:rPr>
        <w:t>לעניין</w:t>
      </w:r>
      <w:r w:rsidRPr="00CC6FED">
        <w:rPr>
          <w:rtl/>
        </w:rPr>
        <w:t xml:space="preserve"> </w:t>
      </w:r>
      <w:r w:rsidRPr="00CC6FED">
        <w:rPr>
          <w:rFonts w:hint="cs"/>
          <w:rtl/>
        </w:rPr>
        <w:t>האזנה</w:t>
      </w:r>
      <w:r w:rsidRPr="00CC6FED">
        <w:rPr>
          <w:rtl/>
        </w:rPr>
        <w:t xml:space="preserve"> </w:t>
      </w:r>
      <w:r w:rsidRPr="00CC6FED">
        <w:rPr>
          <w:rFonts w:hint="cs"/>
          <w:rtl/>
        </w:rPr>
        <w:t>לשיחות</w:t>
      </w:r>
      <w:r w:rsidRPr="00CC6FED">
        <w:rPr>
          <w:rtl/>
        </w:rPr>
        <w:t xml:space="preserve"> </w:t>
      </w:r>
      <w:r w:rsidRPr="00CC6FED">
        <w:rPr>
          <w:rFonts w:hint="cs"/>
          <w:rtl/>
        </w:rPr>
        <w:t>בעלי</w:t>
      </w:r>
      <w:r w:rsidRPr="00CC6FED">
        <w:rPr>
          <w:rtl/>
        </w:rPr>
        <w:t xml:space="preserve"> </w:t>
      </w:r>
      <w:r w:rsidRPr="00CC6FED">
        <w:rPr>
          <w:rFonts w:hint="cs"/>
          <w:rtl/>
        </w:rPr>
        <w:t>מקצוע</w:t>
      </w:r>
      <w:r w:rsidRPr="00CC6FED">
        <w:rPr>
          <w:rtl/>
        </w:rPr>
        <w:t xml:space="preserve"> </w:t>
      </w:r>
      <w:r w:rsidRPr="00CC6FED">
        <w:rPr>
          <w:rFonts w:hint="cs"/>
          <w:rtl/>
        </w:rPr>
        <w:t>העשויות</w:t>
      </w:r>
      <w:r w:rsidRPr="00CC6FED">
        <w:rPr>
          <w:rtl/>
        </w:rPr>
        <w:t xml:space="preserve"> </w:t>
      </w:r>
      <w:r w:rsidRPr="00CC6FED">
        <w:rPr>
          <w:rFonts w:hint="cs"/>
          <w:rtl/>
        </w:rPr>
        <w:t>להיות</w:t>
      </w:r>
      <w:r w:rsidRPr="00CC6FED">
        <w:rPr>
          <w:rtl/>
        </w:rPr>
        <w:t xml:space="preserve"> </w:t>
      </w:r>
      <w:r w:rsidRPr="00CC6FED">
        <w:rPr>
          <w:rFonts w:hint="cs"/>
          <w:rtl/>
        </w:rPr>
        <w:t>חסויות</w:t>
      </w:r>
      <w:r>
        <w:rPr>
          <w:rFonts w:hint="cs"/>
          <w:rtl/>
        </w:rPr>
        <w:t>.</w:t>
      </w:r>
    </w:p>
  </w:footnote>
  <w:footnote w:id="130">
    <w:p w:rsidR="00172C0A" w:rsidRDefault="00172C0A" w:rsidP="00D14729">
      <w:pPr>
        <w:pStyle w:val="ad"/>
        <w:ind w:left="282" w:hanging="567"/>
        <w:rPr>
          <w:rtl/>
        </w:rPr>
      </w:pPr>
      <w:r>
        <w:rPr>
          <w:rStyle w:val="af"/>
        </w:rPr>
        <w:footnoteRef/>
      </w:r>
      <w:r>
        <w:rPr>
          <w:rtl/>
        </w:rPr>
        <w:t xml:space="preserve"> </w:t>
      </w:r>
      <w:r>
        <w:rPr>
          <w:b/>
          <w:bCs/>
          <w:rtl/>
        </w:rPr>
        <w:tab/>
      </w:r>
      <w:r w:rsidRPr="00A25D24">
        <w:rPr>
          <w:rFonts w:hint="cs"/>
          <w:b/>
          <w:bCs/>
          <w:rtl/>
        </w:rPr>
        <w:t>דוח לבנת משיח</w:t>
      </w:r>
      <w:r>
        <w:rPr>
          <w:rFonts w:hint="cs"/>
          <w:rtl/>
        </w:rPr>
        <w:t>, פרק בנושא</w:t>
      </w:r>
      <w:r w:rsidRPr="00E008AF">
        <w:rPr>
          <w:rtl/>
        </w:rPr>
        <w:t xml:space="preserve"> האזנה לשיחות של בעלי מקצוע ששיחותיהם עשויות להיות חסויות</w:t>
      </w:r>
      <w:r>
        <w:rPr>
          <w:rFonts w:hint="cs"/>
          <w:rtl/>
        </w:rPr>
        <w:t>, עמ' 16 - 22.</w:t>
      </w:r>
    </w:p>
  </w:footnote>
  <w:footnote w:id="131">
    <w:p w:rsidR="00172C0A" w:rsidRDefault="00172C0A" w:rsidP="00D14729">
      <w:pPr>
        <w:pStyle w:val="ad"/>
        <w:ind w:left="282" w:hanging="567"/>
        <w:rPr>
          <w:rtl/>
        </w:rPr>
      </w:pPr>
      <w:r>
        <w:rPr>
          <w:rStyle w:val="af"/>
        </w:rPr>
        <w:footnoteRef/>
      </w:r>
      <w:r>
        <w:rPr>
          <w:rtl/>
        </w:rPr>
        <w:t xml:space="preserve"> </w:t>
      </w:r>
      <w:r>
        <w:rPr>
          <w:rtl/>
        </w:rPr>
        <w:tab/>
      </w:r>
      <w:r>
        <w:rPr>
          <w:rFonts w:hint="cs"/>
          <w:rtl/>
        </w:rPr>
        <w:t xml:space="preserve">תואר בעבודת הצוות כי האזנה אגב אורחא מתרחשת </w:t>
      </w:r>
      <w:r w:rsidRPr="00C64FAC">
        <w:rPr>
          <w:rtl/>
        </w:rPr>
        <w:t>בעוד המשטרה מחזיקה בהיתר האזנה כדין לפי סעיף 6 ל</w:t>
      </w:r>
      <w:r>
        <w:rPr>
          <w:rtl/>
        </w:rPr>
        <w:t>חוק האזנת סתר</w:t>
      </w:r>
      <w:r w:rsidRPr="00C64FAC">
        <w:rPr>
          <w:rtl/>
        </w:rPr>
        <w:t xml:space="preserve"> ומתברר במהלך ההאזנה שהשיחה שנקלטה היא שיחה של בעל מקצוע. דהיינו, הובהר כי האזנה אגב אורחא לבעל חיסיון מקצועי היא מזדמנת ובלתי צפויה.</w:t>
      </w:r>
    </w:p>
  </w:footnote>
  <w:footnote w:id="132">
    <w:p w:rsidR="00172C0A" w:rsidRDefault="00172C0A" w:rsidP="00D14729">
      <w:pPr>
        <w:pStyle w:val="ad"/>
        <w:ind w:left="282" w:hanging="567"/>
        <w:rPr>
          <w:rtl/>
        </w:rPr>
      </w:pPr>
      <w:r>
        <w:rPr>
          <w:rStyle w:val="af"/>
        </w:rPr>
        <w:footnoteRef/>
      </w:r>
      <w:r>
        <w:rPr>
          <w:rtl/>
        </w:rPr>
        <w:t xml:space="preserve"> </w:t>
      </w:r>
      <w:r>
        <w:rPr>
          <w:b/>
          <w:bCs/>
          <w:rtl/>
        </w:rPr>
        <w:tab/>
      </w:r>
      <w:r w:rsidRPr="00610164">
        <w:rPr>
          <w:rFonts w:hint="eastAsia"/>
          <w:rtl/>
        </w:rPr>
        <w:t>בהקשר</w:t>
      </w:r>
      <w:r w:rsidRPr="00610164">
        <w:rPr>
          <w:rtl/>
        </w:rPr>
        <w:t xml:space="preserve"> זה יצוין כי </w:t>
      </w:r>
      <w:r>
        <w:rPr>
          <w:rFonts w:hint="cs"/>
          <w:rtl/>
        </w:rPr>
        <w:t>בנוגע</w:t>
      </w:r>
      <w:r w:rsidRPr="00610164">
        <w:rPr>
          <w:rtl/>
        </w:rPr>
        <w:t xml:space="preserve"> להאזנה לעיתונאים הומלץ לבחון את הצורך בעיגון חקיקתי</w:t>
      </w:r>
      <w:r>
        <w:rPr>
          <w:rFonts w:hint="cs"/>
          <w:rtl/>
        </w:rPr>
        <w:t>.</w:t>
      </w:r>
      <w:r w:rsidRPr="00FD0E99">
        <w:rPr>
          <w:rFonts w:hint="cs"/>
          <w:b/>
          <w:bCs/>
          <w:rtl/>
        </w:rPr>
        <w:t xml:space="preserve"> </w:t>
      </w:r>
      <w:r w:rsidRPr="00A25D24">
        <w:rPr>
          <w:rFonts w:hint="cs"/>
          <w:b/>
          <w:bCs/>
          <w:rtl/>
        </w:rPr>
        <w:t>דוח לבנת משיח</w:t>
      </w:r>
      <w:r>
        <w:rPr>
          <w:rFonts w:hint="cs"/>
          <w:rtl/>
        </w:rPr>
        <w:t xml:space="preserve"> פרק בנושא</w:t>
      </w:r>
      <w:r w:rsidRPr="00E008AF">
        <w:rPr>
          <w:rtl/>
        </w:rPr>
        <w:t xml:space="preserve"> האזנה לשיחות של בעלי מקצוע ששיחותיהם עשויות להיות חסויות</w:t>
      </w:r>
      <w:r>
        <w:rPr>
          <w:rFonts w:hint="cs"/>
          <w:rtl/>
        </w:rPr>
        <w:t>, עמ' 16 - 22.</w:t>
      </w:r>
    </w:p>
  </w:footnote>
  <w:footnote w:id="133">
    <w:p w:rsidR="00172C0A" w:rsidRDefault="00172C0A" w:rsidP="00D14729">
      <w:pPr>
        <w:pStyle w:val="ad"/>
        <w:ind w:left="282" w:hanging="567"/>
        <w:rPr>
          <w:rtl/>
        </w:rPr>
      </w:pPr>
      <w:r>
        <w:rPr>
          <w:rStyle w:val="af"/>
        </w:rPr>
        <w:footnoteRef/>
      </w:r>
      <w:r>
        <w:rPr>
          <w:rtl/>
        </w:rPr>
        <w:t xml:space="preserve"> </w:t>
      </w:r>
      <w:r>
        <w:rPr>
          <w:rtl/>
        </w:rPr>
        <w:tab/>
      </w:r>
      <w:r>
        <w:rPr>
          <w:rFonts w:hint="cs"/>
          <w:rtl/>
        </w:rPr>
        <w:t>ה</w:t>
      </w:r>
      <w:r w:rsidRPr="00FD0E99">
        <w:rPr>
          <w:rtl/>
        </w:rPr>
        <w:t xml:space="preserve">צעת חוק </w:t>
      </w:r>
      <w:r>
        <w:rPr>
          <w:rFonts w:hint="cs"/>
          <w:rtl/>
        </w:rPr>
        <w:t xml:space="preserve">האזנת סתר (תיקון מס' 6), התש"ע-2009. </w:t>
      </w:r>
    </w:p>
  </w:footnote>
  <w:footnote w:id="134">
    <w:p w:rsidR="00172C0A" w:rsidRDefault="00172C0A" w:rsidP="00D14729">
      <w:pPr>
        <w:pStyle w:val="ad"/>
        <w:ind w:left="282" w:hanging="567"/>
        <w:rPr>
          <w:rtl/>
        </w:rPr>
      </w:pPr>
      <w:r>
        <w:rPr>
          <w:rStyle w:val="af"/>
        </w:rPr>
        <w:footnoteRef/>
      </w:r>
      <w:r>
        <w:rPr>
          <w:rtl/>
        </w:rPr>
        <w:t xml:space="preserve"> </w:t>
      </w:r>
      <w:r>
        <w:rPr>
          <w:rtl/>
        </w:rPr>
        <w:tab/>
      </w:r>
      <w:r w:rsidRPr="00C64FAC">
        <w:rPr>
          <w:rtl/>
        </w:rPr>
        <w:t>החל משנת 2009 נושא האזנת סתר לבעל חיסיון מקצועי או דרג מדיני נדו</w:t>
      </w:r>
      <w:r>
        <w:rPr>
          <w:rFonts w:hint="cs"/>
          <w:rtl/>
        </w:rPr>
        <w:t>ן</w:t>
      </w:r>
      <w:r w:rsidRPr="00C64FAC">
        <w:rPr>
          <w:rtl/>
        </w:rPr>
        <w:t xml:space="preserve"> בבתי המשפט, </w:t>
      </w:r>
      <w:r>
        <w:rPr>
          <w:rFonts w:hint="cs"/>
          <w:rtl/>
        </w:rPr>
        <w:t>ב</w:t>
      </w:r>
      <w:r w:rsidRPr="00C64FAC">
        <w:rPr>
          <w:rtl/>
        </w:rPr>
        <w:t>משרד המשפטים ו</w:t>
      </w:r>
      <w:r>
        <w:rPr>
          <w:rFonts w:hint="cs"/>
          <w:rtl/>
        </w:rPr>
        <w:t>במשטרה</w:t>
      </w:r>
      <w:r w:rsidRPr="00C64FAC">
        <w:rPr>
          <w:rtl/>
        </w:rPr>
        <w:t>. ואולם, דיונים אלו לא התמקדו בסוגיית מודל ההיתרים שהוצג על ידי צוות לבנת משיח</w:t>
      </w:r>
      <w:r>
        <w:rPr>
          <w:rFonts w:hint="cs"/>
          <w:rtl/>
        </w:rPr>
        <w:t xml:space="preserve">. בשנת 2009 בסיכום דיוני ועדת החקירה, זו אף התייחסה לסוגיית האזנה מראש והאזנה אגב אורחא. אשר להאזנה מראש, ועדת החקירה הציעה אפשרות לבחון לחייב את המשטרה כי בבקשה להאזנת סתר תצוין זהותם של יעדי האזנה פוטנציאליים אשר יש הסתברות גבוהה כי האזנה ליעד ההאזנה תכלול גם האזנה לשיחותיהם של בעלי חיסיון. באשר להאזנה אגב אורחא, הצעת ועדת החקירה התייחסה לכך שנדרשת הסדרת המצב של קליטה מקרית של שיחת בעל מקצוע ששיחותיו עשויות להיות חסויות וזאת אגב האזנה ליעד אחר. שמיעת תוצרי ההאזנה תופסק מייד עם היוודע שמדובר בבעל מקצוע. ראו לעניין זה, </w:t>
      </w:r>
      <w:r w:rsidRPr="00C33ACD">
        <w:rPr>
          <w:rFonts w:hint="cs"/>
          <w:rtl/>
        </w:rPr>
        <w:t>ועדת</w:t>
      </w:r>
      <w:r w:rsidRPr="00C33ACD">
        <w:rPr>
          <w:rtl/>
        </w:rPr>
        <w:t xml:space="preserve"> </w:t>
      </w:r>
      <w:r w:rsidRPr="00C33ACD">
        <w:rPr>
          <w:rFonts w:hint="cs"/>
          <w:rtl/>
        </w:rPr>
        <w:t>החקירה</w:t>
      </w:r>
      <w:r w:rsidRPr="00294C12">
        <w:rPr>
          <w:b/>
          <w:bCs/>
          <w:rtl/>
        </w:rPr>
        <w:t>,</w:t>
      </w:r>
      <w:r w:rsidRPr="00C33ACD">
        <w:rPr>
          <w:rFonts w:hint="cs"/>
          <w:b/>
          <w:bCs/>
          <w:rtl/>
        </w:rPr>
        <w:t xml:space="preserve"> </w:t>
      </w:r>
      <w:r>
        <w:rPr>
          <w:rFonts w:hint="cs"/>
          <w:rtl/>
        </w:rPr>
        <w:t xml:space="preserve">עמ' 7-8, 21 - 24. כמו כן, ראו פסיקה בעניין בה מפי כב' השופטת חיות, </w:t>
      </w:r>
      <w:r w:rsidRPr="003D09BE">
        <w:rPr>
          <w:rFonts w:hint="cs"/>
          <w:b/>
          <w:bCs/>
          <w:rtl/>
        </w:rPr>
        <w:t xml:space="preserve">בש"פ 7064/08 </w:t>
      </w:r>
      <w:r w:rsidRPr="003D09BE">
        <w:rPr>
          <w:b/>
          <w:bCs/>
          <w:rtl/>
        </w:rPr>
        <w:t>מדינת ישראל נ' ליאורה ברקו</w:t>
      </w:r>
      <w:r>
        <w:rPr>
          <w:rFonts w:hint="cs"/>
          <w:rtl/>
        </w:rPr>
        <w:t xml:space="preserve">, </w:t>
      </w:r>
      <w:r w:rsidRPr="002B3D9E">
        <w:rPr>
          <w:rFonts w:hint="cs"/>
          <w:rtl/>
        </w:rPr>
        <w:t>פ</w:t>
      </w:r>
      <w:r w:rsidRPr="002B3D9E">
        <w:rPr>
          <w:rtl/>
        </w:rPr>
        <w:t xml:space="preserve">"ד </w:t>
      </w:r>
      <w:r w:rsidRPr="002B3D9E">
        <w:rPr>
          <w:rFonts w:hint="cs"/>
          <w:rtl/>
        </w:rPr>
        <w:t>סג</w:t>
      </w:r>
      <w:r w:rsidRPr="002B3D9E">
        <w:rPr>
          <w:rtl/>
        </w:rPr>
        <w:t>(2) 453</w:t>
      </w:r>
      <w:r>
        <w:rPr>
          <w:rtl/>
        </w:rPr>
        <w:t xml:space="preserve"> </w:t>
      </w:r>
      <w:r>
        <w:rPr>
          <w:rFonts w:hint="cs"/>
          <w:rtl/>
        </w:rPr>
        <w:t>(פורסם במאגר ממוחשב, 13.8.09) ומפי כב' השופט זילברטל ב</w:t>
      </w:r>
      <w:r w:rsidRPr="000A38E3">
        <w:rPr>
          <w:rFonts w:hint="cs"/>
          <w:b/>
          <w:bCs/>
          <w:rtl/>
        </w:rPr>
        <w:t>ע"פ 5135/11 מ"י נ' לאורה ברקו</w:t>
      </w:r>
      <w:r>
        <w:rPr>
          <w:rFonts w:hint="cs"/>
          <w:rtl/>
        </w:rPr>
        <w:t xml:space="preserve"> (</w:t>
      </w:r>
      <w:r w:rsidRPr="002B3D9E">
        <w:rPr>
          <w:rFonts w:hint="cs"/>
          <w:rtl/>
        </w:rPr>
        <w:t>פורסם</w:t>
      </w:r>
      <w:r w:rsidRPr="002B3D9E">
        <w:rPr>
          <w:rtl/>
        </w:rPr>
        <w:t xml:space="preserve"> </w:t>
      </w:r>
      <w:r w:rsidRPr="002B3D9E">
        <w:rPr>
          <w:rFonts w:hint="cs"/>
          <w:rtl/>
        </w:rPr>
        <w:t>במאגר</w:t>
      </w:r>
      <w:r w:rsidRPr="002B3D9E">
        <w:rPr>
          <w:rtl/>
        </w:rPr>
        <w:t xml:space="preserve"> ממוחשב</w:t>
      </w:r>
      <w:r>
        <w:rPr>
          <w:rFonts w:hint="cs"/>
          <w:rtl/>
        </w:rPr>
        <w:t>, 31.5.12</w:t>
      </w:r>
      <w:r w:rsidRPr="002B3D9E">
        <w:rPr>
          <w:rtl/>
        </w:rPr>
        <w:t>)</w:t>
      </w:r>
      <w:r>
        <w:rPr>
          <w:rFonts w:hint="cs"/>
          <w:rtl/>
        </w:rPr>
        <w:t>. עוד אותרו מסמכים ודיונים בעניין זה מהשנים 2012 ו-2015.</w:t>
      </w:r>
    </w:p>
  </w:footnote>
  <w:footnote w:id="135">
    <w:p w:rsidR="00172C0A" w:rsidRDefault="00172C0A" w:rsidP="00D14729">
      <w:pPr>
        <w:pStyle w:val="ad"/>
        <w:ind w:left="282" w:hanging="567"/>
        <w:rPr>
          <w:rtl/>
        </w:rPr>
      </w:pPr>
      <w:r>
        <w:rPr>
          <w:rStyle w:val="af"/>
        </w:rPr>
        <w:footnoteRef/>
      </w:r>
      <w:r>
        <w:rPr>
          <w:rFonts w:hint="cs"/>
          <w:rtl/>
        </w:rPr>
        <w:t xml:space="preserve"> </w:t>
      </w:r>
      <w:r>
        <w:rPr>
          <w:rtl/>
        </w:rPr>
        <w:tab/>
      </w:r>
      <w:r>
        <w:rPr>
          <w:rFonts w:hint="cs"/>
          <w:rtl/>
        </w:rPr>
        <w:t xml:space="preserve">מופיע כשירות באתר שירותי הממשלה </w:t>
      </w:r>
      <w:hyperlink r:id="rId1" w:history="1">
        <w:r w:rsidRPr="006C12D6">
          <w:rPr>
            <w:rStyle w:val="Hyperlink"/>
          </w:rPr>
          <w:t>www.gov.il</w:t>
        </w:r>
      </w:hyperlink>
      <w:r>
        <w:rPr>
          <w:rFonts w:hint="cs"/>
          <w:rtl/>
        </w:rPr>
        <w:t xml:space="preserve">, באתרים של משרד הרווחה, משרד הבריאות ולשכת עורכי הדין וכמאגר מידע באתר מאגרי המידע הממשלתיים </w:t>
      </w:r>
      <w:hyperlink r:id="rId2" w:history="1">
        <w:r w:rsidRPr="006C12D6">
          <w:rPr>
            <w:rStyle w:val="Hyperlink"/>
          </w:rPr>
          <w:t>www.data.gov.il</w:t>
        </w:r>
      </w:hyperlink>
      <w:r>
        <w:rPr>
          <w:rFonts w:hint="cs"/>
          <w:rtl/>
        </w:rPr>
        <w:t>.</w:t>
      </w:r>
    </w:p>
  </w:footnote>
  <w:footnote w:id="136">
    <w:p w:rsidR="00172C0A" w:rsidRDefault="00172C0A" w:rsidP="00D14729">
      <w:pPr>
        <w:pStyle w:val="ad"/>
        <w:ind w:left="282" w:hanging="567"/>
        <w:rPr>
          <w:rtl/>
        </w:rPr>
      </w:pPr>
      <w:r>
        <w:rPr>
          <w:rStyle w:val="af"/>
        </w:rPr>
        <w:footnoteRef/>
      </w:r>
      <w:r>
        <w:rPr>
          <w:rtl/>
        </w:rPr>
        <w:t xml:space="preserve"> </w:t>
      </w:r>
      <w:r>
        <w:rPr>
          <w:rtl/>
        </w:rPr>
        <w:tab/>
      </w:r>
      <w:r w:rsidRPr="00A25D24">
        <w:rPr>
          <w:rFonts w:hint="cs"/>
          <w:b/>
          <w:bCs/>
          <w:rtl/>
        </w:rPr>
        <w:t>דוח לבנת משיח</w:t>
      </w:r>
      <w:r>
        <w:rPr>
          <w:rFonts w:hint="cs"/>
          <w:rtl/>
        </w:rPr>
        <w:t>, עמ' 8.</w:t>
      </w:r>
    </w:p>
  </w:footnote>
  <w:footnote w:id="137">
    <w:p w:rsidR="00172C0A" w:rsidRDefault="00172C0A" w:rsidP="00D14729">
      <w:pPr>
        <w:pStyle w:val="ad"/>
        <w:ind w:left="282" w:hanging="567"/>
      </w:pPr>
      <w:r>
        <w:rPr>
          <w:rStyle w:val="af"/>
        </w:rPr>
        <w:footnoteRef/>
      </w:r>
      <w:r>
        <w:rPr>
          <w:rtl/>
        </w:rPr>
        <w:t xml:space="preserve"> </w:t>
      </w:r>
      <w:r>
        <w:rPr>
          <w:rtl/>
        </w:rPr>
        <w:tab/>
      </w:r>
      <w:r w:rsidRPr="0087595C">
        <w:rPr>
          <w:rtl/>
        </w:rPr>
        <w:t xml:space="preserve">כנסת ישראל, </w:t>
      </w:r>
      <w:r w:rsidRPr="000E0368">
        <w:rPr>
          <w:b/>
          <w:bCs/>
          <w:rtl/>
        </w:rPr>
        <w:t>ועדת החקירה הפרלמנטרית בעניין האזנות סתר</w:t>
      </w:r>
      <w:r w:rsidRPr="0087595C">
        <w:rPr>
          <w:rtl/>
        </w:rPr>
        <w:t xml:space="preserve"> </w:t>
      </w:r>
      <w:r>
        <w:rPr>
          <w:rFonts w:hint="cs"/>
          <w:rtl/>
        </w:rPr>
        <w:t>(</w:t>
      </w:r>
      <w:r w:rsidRPr="0087595C">
        <w:rPr>
          <w:rtl/>
        </w:rPr>
        <w:t>ינואר 2009</w:t>
      </w:r>
      <w:r>
        <w:rPr>
          <w:rFonts w:hint="cs"/>
          <w:rtl/>
        </w:rPr>
        <w:t>).</w:t>
      </w:r>
    </w:p>
  </w:footnote>
  <w:footnote w:id="138">
    <w:p w:rsidR="00172C0A" w:rsidRDefault="00172C0A" w:rsidP="00D14729">
      <w:pPr>
        <w:pStyle w:val="ad"/>
        <w:ind w:left="282" w:hanging="567"/>
      </w:pPr>
      <w:r>
        <w:rPr>
          <w:rStyle w:val="af"/>
        </w:rPr>
        <w:footnoteRef/>
      </w:r>
      <w:r>
        <w:rPr>
          <w:rtl/>
        </w:rPr>
        <w:t xml:space="preserve"> </w:t>
      </w:r>
      <w:r>
        <w:rPr>
          <w:rtl/>
        </w:rPr>
        <w:tab/>
      </w:r>
      <w:r>
        <w:rPr>
          <w:rFonts w:hint="cs"/>
          <w:rtl/>
        </w:rPr>
        <w:t xml:space="preserve">כך למשל יוכל בית המשפט להתרשם האם הוטלו מגבלות בהחלטות שיפוטיות קודמות באותו עניין ולבחון האם המשטרה עמדה בהן. </w:t>
      </w:r>
    </w:p>
  </w:footnote>
  <w:footnote w:id="139">
    <w:p w:rsidR="00172C0A" w:rsidRDefault="00172C0A" w:rsidP="00D14729">
      <w:pPr>
        <w:pStyle w:val="ad"/>
        <w:ind w:left="282" w:hanging="567"/>
      </w:pPr>
      <w:r>
        <w:rPr>
          <w:rStyle w:val="af"/>
        </w:rPr>
        <w:footnoteRef/>
      </w:r>
      <w:r>
        <w:rPr>
          <w:rtl/>
        </w:rPr>
        <w:t xml:space="preserve"> </w:t>
      </w:r>
      <w:r>
        <w:rPr>
          <w:rtl/>
        </w:rPr>
        <w:tab/>
      </w:r>
      <w:r>
        <w:rPr>
          <w:rFonts w:hint="cs"/>
          <w:rtl/>
        </w:rPr>
        <w:t xml:space="preserve">במסגרת בדיקה זו איתר משרד מבקר המדינה יעדי האזנה, שלפי מניין תקופות תחולת הצווים שלהם, התבצעה לגביהם האזנה ממושכת. </w:t>
      </w:r>
    </w:p>
  </w:footnote>
  <w:footnote w:id="140">
    <w:p w:rsidR="00172C0A" w:rsidRDefault="00172C0A" w:rsidP="00D14729">
      <w:pPr>
        <w:pStyle w:val="ad"/>
        <w:ind w:left="282" w:hanging="567"/>
        <w:rPr>
          <w:rtl/>
        </w:rPr>
      </w:pPr>
      <w:r>
        <w:rPr>
          <w:rStyle w:val="af"/>
        </w:rPr>
        <w:footnoteRef/>
      </w:r>
      <w:r>
        <w:rPr>
          <w:rtl/>
        </w:rPr>
        <w:t xml:space="preserve"> </w:t>
      </w:r>
      <w:r>
        <w:rPr>
          <w:rtl/>
        </w:rPr>
        <w:tab/>
      </w:r>
      <w:r w:rsidRPr="006163F6">
        <w:rPr>
          <w:rtl/>
        </w:rPr>
        <w:t xml:space="preserve">משרד מבקר המדינה פנה לפרקליטות המדינה בעניין זה במרץ 2023, </w:t>
      </w:r>
      <w:r>
        <w:rPr>
          <w:rFonts w:hint="cs"/>
          <w:rtl/>
        </w:rPr>
        <w:t xml:space="preserve">אך </w:t>
      </w:r>
      <w:r w:rsidRPr="006163F6">
        <w:rPr>
          <w:rtl/>
        </w:rPr>
        <w:t>רק ביוני 2024 העביר משרד המשפטים התייחסות הכוללת את ממצאי הבדיקה ללא העברת התיעוד הנדרש.</w:t>
      </w:r>
    </w:p>
  </w:footnote>
  <w:footnote w:id="141">
    <w:p w:rsidR="00172C0A" w:rsidRDefault="00172C0A" w:rsidP="00D14729">
      <w:pPr>
        <w:pStyle w:val="ad"/>
        <w:ind w:left="282" w:hanging="567"/>
        <w:rPr>
          <w:rtl/>
        </w:rPr>
      </w:pPr>
      <w:r>
        <w:rPr>
          <w:rStyle w:val="af"/>
        </w:rPr>
        <w:footnoteRef/>
      </w:r>
      <w:r>
        <w:rPr>
          <w:rtl/>
        </w:rPr>
        <w:t xml:space="preserve"> </w:t>
      </w:r>
      <w:r>
        <w:rPr>
          <w:rtl/>
        </w:rPr>
        <w:tab/>
      </w:r>
      <w:r w:rsidRPr="006163F6">
        <w:rPr>
          <w:rtl/>
        </w:rPr>
        <w:t xml:space="preserve">משמע, </w:t>
      </w:r>
      <w:r>
        <w:rPr>
          <w:rtl/>
        </w:rPr>
        <w:t>בנוגע</w:t>
      </w:r>
      <w:r w:rsidRPr="006163F6">
        <w:rPr>
          <w:rtl/>
        </w:rPr>
        <w:t xml:space="preserve"> ליעד ההאזנה השלישי שלגביו אותרו אישורי פרקליט כנדרש, אלו הוחזקו על ידי המשטרה בלבד; ואילו </w:t>
      </w:r>
      <w:r>
        <w:rPr>
          <w:rtl/>
        </w:rPr>
        <w:t>בנוגע</w:t>
      </w:r>
      <w:r w:rsidRPr="006163F6">
        <w:rPr>
          <w:rtl/>
        </w:rPr>
        <w:t xml:space="preserve"> לארבעת יעדי ההאזנה הנותרים אישורי הפרקליט בעניינם לא אותרו כלל אצל מי מהגורמים</w:t>
      </w:r>
      <w:r>
        <w:rPr>
          <w:rFonts w:hint="cs"/>
          <w:rtl/>
        </w:rPr>
        <w:t>.</w:t>
      </w:r>
    </w:p>
  </w:footnote>
  <w:footnote w:id="142">
    <w:p w:rsidR="00172C0A" w:rsidRDefault="00172C0A" w:rsidP="00D14729">
      <w:pPr>
        <w:pStyle w:val="ad"/>
        <w:ind w:left="282" w:hanging="567"/>
        <w:rPr>
          <w:rtl/>
        </w:rPr>
      </w:pPr>
      <w:r>
        <w:rPr>
          <w:rStyle w:val="af"/>
        </w:rPr>
        <w:footnoteRef/>
      </w:r>
      <w:r>
        <w:rPr>
          <w:rtl/>
        </w:rPr>
        <w:t xml:space="preserve"> </w:t>
      </w:r>
      <w:r>
        <w:rPr>
          <w:rtl/>
        </w:rPr>
        <w:tab/>
      </w:r>
      <w:r>
        <w:rPr>
          <w:rFonts w:hint="cs"/>
          <w:rtl/>
        </w:rPr>
        <w:t xml:space="preserve">ראו התייחסות ליעד האזנה רגיש לעיל. </w:t>
      </w:r>
    </w:p>
  </w:footnote>
  <w:footnote w:id="143">
    <w:p w:rsidR="00172C0A" w:rsidRDefault="00172C0A" w:rsidP="00D14729">
      <w:pPr>
        <w:pStyle w:val="ad"/>
        <w:ind w:left="282" w:hanging="567"/>
      </w:pPr>
      <w:r>
        <w:rPr>
          <w:rStyle w:val="af"/>
        </w:rPr>
        <w:footnoteRef/>
      </w:r>
      <w:r>
        <w:rPr>
          <w:rtl/>
        </w:rPr>
        <w:t xml:space="preserve"> </w:t>
      </w:r>
      <w:r>
        <w:rPr>
          <w:rtl/>
        </w:rPr>
        <w:tab/>
      </w:r>
      <w:r w:rsidRPr="00297134">
        <w:rPr>
          <w:rFonts w:hint="cs"/>
          <w:rtl/>
        </w:rPr>
        <w:t>הצעת חוק דיני העונשין (האזנת סתר),</w:t>
      </w:r>
      <w:r w:rsidRPr="00F11975">
        <w:rPr>
          <w:rFonts w:hint="cs"/>
          <w:rtl/>
        </w:rPr>
        <w:t xml:space="preserve"> </w:t>
      </w:r>
      <w:r w:rsidRPr="00FA5731">
        <w:rPr>
          <w:rFonts w:hint="cs"/>
          <w:rtl/>
        </w:rPr>
        <w:t xml:space="preserve">התשל"ח-1978, </w:t>
      </w:r>
      <w:r w:rsidRPr="00297134">
        <w:rPr>
          <w:rFonts w:hint="cs"/>
          <w:rtl/>
        </w:rPr>
        <w:t>תשל"ח 1361, עמ' 301, מיום 31.7.78.</w:t>
      </w:r>
      <w:r>
        <w:rPr>
          <w:rFonts w:hint="cs"/>
          <w:rtl/>
        </w:rPr>
        <w:t xml:space="preserve"> </w:t>
      </w:r>
    </w:p>
  </w:footnote>
  <w:footnote w:id="144">
    <w:p w:rsidR="00172C0A" w:rsidRDefault="00172C0A" w:rsidP="00D14729">
      <w:pPr>
        <w:pStyle w:val="ad"/>
        <w:ind w:left="282" w:hanging="567"/>
        <w:rPr>
          <w:rtl/>
        </w:rPr>
      </w:pPr>
      <w:r>
        <w:rPr>
          <w:rStyle w:val="af"/>
        </w:rPr>
        <w:footnoteRef/>
      </w:r>
      <w:r>
        <w:rPr>
          <w:rtl/>
        </w:rPr>
        <w:t xml:space="preserve"> </w:t>
      </w:r>
      <w:r>
        <w:rPr>
          <w:b/>
          <w:bCs/>
          <w:rtl/>
        </w:rPr>
        <w:tab/>
      </w:r>
      <w:r w:rsidRPr="0097754A">
        <w:rPr>
          <w:rFonts w:hint="eastAsia"/>
          <w:b/>
          <w:bCs/>
          <w:rtl/>
        </w:rPr>
        <w:t>צו</w:t>
      </w:r>
      <w:r w:rsidRPr="0097754A">
        <w:rPr>
          <w:b/>
          <w:bCs/>
          <w:rtl/>
        </w:rPr>
        <w:t xml:space="preserve"> </w:t>
      </w:r>
      <w:r w:rsidRPr="0097754A">
        <w:rPr>
          <w:rFonts w:hint="eastAsia"/>
          <w:b/>
          <w:bCs/>
          <w:rtl/>
        </w:rPr>
        <w:t>חריג</w:t>
      </w:r>
      <w:r w:rsidRPr="0097754A">
        <w:rPr>
          <w:b/>
          <w:bCs/>
          <w:rtl/>
        </w:rPr>
        <w:t xml:space="preserve"> </w:t>
      </w:r>
      <w:r w:rsidRPr="0097754A">
        <w:rPr>
          <w:rFonts w:hint="eastAsia"/>
          <w:b/>
          <w:bCs/>
          <w:rtl/>
        </w:rPr>
        <w:t>ב</w:t>
      </w:r>
      <w:r w:rsidRPr="0097754A">
        <w:rPr>
          <w:b/>
          <w:bCs/>
          <w:rtl/>
        </w:rPr>
        <w:t>'</w:t>
      </w:r>
      <w:r>
        <w:rPr>
          <w:rFonts w:hint="cs"/>
          <w:rtl/>
        </w:rPr>
        <w:t xml:space="preserve"> - </w:t>
      </w:r>
      <w:r w:rsidRPr="00661CA7">
        <w:rPr>
          <w:rtl/>
        </w:rPr>
        <w:t xml:space="preserve">צו האזנת סתר </w:t>
      </w:r>
      <w:r>
        <w:rPr>
          <w:rFonts w:hint="cs"/>
          <w:rtl/>
        </w:rPr>
        <w:t>נרחב ש</w:t>
      </w:r>
      <w:r w:rsidRPr="00661CA7">
        <w:rPr>
          <w:rtl/>
        </w:rPr>
        <w:t>כולל הקלות נוספות, לרבות האפשרות להוספת יעדים נוספים להאזנה אם יעלה כי הם מעורבים באותה פרשייה הנחקרת וכי הם אינם ידועים בשלב זה.</w:t>
      </w:r>
    </w:p>
  </w:footnote>
  <w:footnote w:id="145">
    <w:p w:rsidR="00172C0A" w:rsidRDefault="00172C0A" w:rsidP="00D14729">
      <w:pPr>
        <w:pStyle w:val="ad"/>
        <w:ind w:left="282" w:hanging="567"/>
      </w:pPr>
      <w:r>
        <w:rPr>
          <w:rStyle w:val="af"/>
        </w:rPr>
        <w:footnoteRef/>
      </w:r>
      <w:r>
        <w:rPr>
          <w:rtl/>
        </w:rPr>
        <w:t xml:space="preserve"> </w:t>
      </w:r>
      <w:r>
        <w:rPr>
          <w:rtl/>
        </w:rPr>
        <w:tab/>
      </w:r>
      <w:r>
        <w:rPr>
          <w:rFonts w:hint="cs"/>
          <w:rtl/>
        </w:rPr>
        <w:t xml:space="preserve">תקנה 4 לתקנות האזנת סתר (בקשה להיתר האזנה), התשס"ז-2007. </w:t>
      </w:r>
    </w:p>
  </w:footnote>
  <w:footnote w:id="146">
    <w:p w:rsidR="00172C0A" w:rsidRDefault="00172C0A" w:rsidP="00D14729">
      <w:pPr>
        <w:pStyle w:val="ad"/>
        <w:ind w:left="282" w:hanging="567"/>
        <w:rPr>
          <w:rtl/>
        </w:rPr>
      </w:pPr>
      <w:r>
        <w:rPr>
          <w:rStyle w:val="af"/>
        </w:rPr>
        <w:footnoteRef/>
      </w:r>
      <w:r>
        <w:t xml:space="preserve"> </w:t>
      </w:r>
      <w:r>
        <w:rPr>
          <w:rtl/>
        </w:rPr>
        <w:tab/>
      </w:r>
      <w:r>
        <w:rPr>
          <w:rFonts w:hint="cs"/>
          <w:rtl/>
        </w:rPr>
        <w:t>סעיף 6(ד) לחוק האזנת סתר</w:t>
      </w:r>
      <w:r>
        <w:rPr>
          <w:rtl/>
        </w:rPr>
        <w:t xml:space="preserve"> </w:t>
      </w:r>
      <w:r>
        <w:rPr>
          <w:rFonts w:hint="cs"/>
          <w:rtl/>
        </w:rPr>
        <w:t>וסעיף 3(ח)(3) לחוק נתוני תקשורת</w:t>
      </w:r>
    </w:p>
  </w:footnote>
  <w:footnote w:id="147">
    <w:p w:rsidR="00172C0A" w:rsidRDefault="00172C0A" w:rsidP="00D14729">
      <w:pPr>
        <w:pStyle w:val="ad"/>
        <w:ind w:left="282" w:hanging="567"/>
        <w:rPr>
          <w:rtl/>
        </w:rPr>
      </w:pPr>
      <w:r>
        <w:rPr>
          <w:rStyle w:val="af"/>
        </w:rPr>
        <w:footnoteRef/>
      </w:r>
      <w:r>
        <w:rPr>
          <w:rtl/>
        </w:rPr>
        <w:t xml:space="preserve"> </w:t>
      </w:r>
      <w:r>
        <w:rPr>
          <w:rtl/>
        </w:rPr>
        <w:tab/>
      </w:r>
      <w:r>
        <w:rPr>
          <w:rFonts w:hint="cs"/>
          <w:rtl/>
        </w:rPr>
        <w:t xml:space="preserve">מבקר המדינה, </w:t>
      </w:r>
      <w:r w:rsidRPr="00CF43EA">
        <w:rPr>
          <w:rFonts w:hint="cs"/>
          <w:b/>
          <w:bCs/>
          <w:rtl/>
        </w:rPr>
        <w:t>דוח שנתי 54ב</w:t>
      </w:r>
      <w:r>
        <w:rPr>
          <w:rFonts w:hint="cs"/>
          <w:rtl/>
        </w:rPr>
        <w:t xml:space="preserve"> (2003), "האזנות סתר", ( עמ' 299.</w:t>
      </w:r>
    </w:p>
  </w:footnote>
  <w:footnote w:id="148">
    <w:p w:rsidR="00172C0A" w:rsidRDefault="00172C0A" w:rsidP="00D14729">
      <w:pPr>
        <w:pStyle w:val="ad"/>
        <w:ind w:left="282" w:hanging="567"/>
        <w:rPr>
          <w:rtl/>
        </w:rPr>
      </w:pPr>
      <w:r>
        <w:rPr>
          <w:rStyle w:val="af"/>
        </w:rPr>
        <w:footnoteRef/>
      </w:r>
      <w:r>
        <w:rPr>
          <w:rtl/>
        </w:rPr>
        <w:t xml:space="preserve"> </w:t>
      </w:r>
      <w:r>
        <w:rPr>
          <w:rtl/>
        </w:rPr>
        <w:tab/>
      </w:r>
      <w:r>
        <w:rPr>
          <w:rFonts w:hint="cs"/>
          <w:rtl/>
        </w:rPr>
        <w:t xml:space="preserve">לפי סעיף 6 לחוק האזנת סתר. </w:t>
      </w:r>
    </w:p>
  </w:footnote>
  <w:footnote w:id="149">
    <w:p w:rsidR="00172C0A" w:rsidRDefault="00172C0A" w:rsidP="00D14729">
      <w:pPr>
        <w:pStyle w:val="ad"/>
        <w:ind w:left="282" w:hanging="567"/>
        <w:rPr>
          <w:rtl/>
        </w:rPr>
      </w:pPr>
      <w:r>
        <w:rPr>
          <w:rStyle w:val="af"/>
        </w:rPr>
        <w:footnoteRef/>
      </w:r>
      <w:r>
        <w:rPr>
          <w:rtl/>
        </w:rPr>
        <w:t xml:space="preserve"> </w:t>
      </w:r>
      <w:r>
        <w:rPr>
          <w:rtl/>
        </w:rPr>
        <w:tab/>
      </w:r>
      <w:r>
        <w:rPr>
          <w:rFonts w:hint="cs"/>
          <w:rtl/>
        </w:rPr>
        <w:t xml:space="preserve">לפי סעיף 7 לחוק האזנת סתר. </w:t>
      </w:r>
    </w:p>
  </w:footnote>
  <w:footnote w:id="150">
    <w:p w:rsidR="00172C0A" w:rsidRDefault="00172C0A" w:rsidP="00D14729">
      <w:pPr>
        <w:pStyle w:val="ad"/>
        <w:ind w:left="282" w:hanging="566"/>
      </w:pPr>
      <w:r>
        <w:rPr>
          <w:rStyle w:val="af"/>
        </w:rPr>
        <w:footnoteRef/>
      </w:r>
      <w:r>
        <w:rPr>
          <w:rtl/>
        </w:rPr>
        <w:t xml:space="preserve"> </w:t>
      </w:r>
      <w:r>
        <w:rPr>
          <w:rtl/>
        </w:rPr>
        <w:tab/>
      </w:r>
      <w:r>
        <w:rPr>
          <w:rFonts w:hint="cs"/>
          <w:rtl/>
        </w:rPr>
        <w:t xml:space="preserve">250 בקשות לצו חריג ב' כללו עבירות פגיעה בביטחון המדינה או עבירות פגיעה בסדר הציבורי. </w:t>
      </w:r>
    </w:p>
  </w:footnote>
  <w:footnote w:id="151">
    <w:p w:rsidR="00172C0A" w:rsidRDefault="00172C0A" w:rsidP="00D14729">
      <w:pPr>
        <w:pStyle w:val="ad"/>
        <w:ind w:left="282" w:hanging="566"/>
        <w:rPr>
          <w:rtl/>
        </w:rPr>
      </w:pPr>
      <w:r>
        <w:rPr>
          <w:rStyle w:val="af"/>
        </w:rPr>
        <w:footnoteRef/>
      </w:r>
      <w:r>
        <w:rPr>
          <w:rtl/>
        </w:rPr>
        <w:t xml:space="preserve"> </w:t>
      </w:r>
      <w:r>
        <w:rPr>
          <w:rtl/>
        </w:rPr>
        <w:tab/>
      </w:r>
      <w:r>
        <w:rPr>
          <w:rFonts w:hint="cs"/>
          <w:rtl/>
        </w:rPr>
        <w:t xml:space="preserve">8 מתוך 52 הבקשות כוללות עבירות כלכליות, עבירות רכוש או עבירות מרמה בלבד; ב-43 בקשות העבירה החמורה ביותר היא עבירת קשירת קשר לביצוע פשע שהיא עבירה הנקבעת לפי העבירות האחרות בבקשה, ובמקרים הללו העבירות האחרות בבקשה היו עבירות כלכליות, עבירות רכוש או עבירות מרמה בלבד; בקשה אחת כללה עבירה הנוגעת לאיסור הגרלות והימורים, שהיא עבירה מקבוצת הפגיעה בסדר הציבורי. </w:t>
      </w:r>
    </w:p>
  </w:footnote>
  <w:footnote w:id="152">
    <w:p w:rsidR="00172C0A" w:rsidRDefault="00172C0A" w:rsidP="00D14729">
      <w:pPr>
        <w:pStyle w:val="ad"/>
        <w:ind w:left="282" w:hanging="566"/>
      </w:pPr>
      <w:r>
        <w:rPr>
          <w:rStyle w:val="af"/>
        </w:rPr>
        <w:footnoteRef/>
      </w:r>
      <w:r>
        <w:rPr>
          <w:rtl/>
        </w:rPr>
        <w:t xml:space="preserve"> </w:t>
      </w:r>
      <w:r>
        <w:rPr>
          <w:rtl/>
        </w:rPr>
        <w:tab/>
      </w:r>
      <w:r>
        <w:rPr>
          <w:rFonts w:hint="cs"/>
          <w:rtl/>
        </w:rPr>
        <w:t xml:space="preserve">יוער כי בשנים 2019 - 2020 לא הוצאו היתרים מינהליים הנחתמים על ידי קצין משטרה בכיר כלל. </w:t>
      </w:r>
    </w:p>
  </w:footnote>
  <w:footnote w:id="153">
    <w:p w:rsidR="00172C0A" w:rsidRDefault="00172C0A" w:rsidP="00D14729">
      <w:pPr>
        <w:pStyle w:val="ad"/>
        <w:ind w:left="282" w:hanging="566"/>
        <w:rPr>
          <w:rtl/>
        </w:rPr>
      </w:pPr>
      <w:r>
        <w:rPr>
          <w:rStyle w:val="af"/>
        </w:rPr>
        <w:footnoteRef/>
      </w:r>
      <w:r>
        <w:rPr>
          <w:rtl/>
        </w:rPr>
        <w:t xml:space="preserve"> </w:t>
      </w:r>
      <w:r>
        <w:rPr>
          <w:rtl/>
        </w:rPr>
        <w:tab/>
      </w:r>
      <w:r>
        <w:rPr>
          <w:rFonts w:hint="cs"/>
          <w:rtl/>
        </w:rPr>
        <w:t xml:space="preserve">לפי סעיף 7 לחוק האזנת סתר. </w:t>
      </w:r>
    </w:p>
  </w:footnote>
  <w:footnote w:id="154">
    <w:p w:rsidR="00172C0A" w:rsidRDefault="00172C0A" w:rsidP="00D14729">
      <w:pPr>
        <w:pStyle w:val="ad"/>
        <w:ind w:left="282" w:hanging="566"/>
        <w:rPr>
          <w:rtl/>
        </w:rPr>
      </w:pPr>
      <w:r>
        <w:rPr>
          <w:rStyle w:val="af"/>
        </w:rPr>
        <w:footnoteRef/>
      </w:r>
      <w:r>
        <w:rPr>
          <w:rtl/>
        </w:rPr>
        <w:t xml:space="preserve"> </w:t>
      </w:r>
      <w:r>
        <w:rPr>
          <w:rtl/>
        </w:rPr>
        <w:tab/>
      </w:r>
      <w:r>
        <w:rPr>
          <w:rFonts w:hint="cs"/>
          <w:rtl/>
        </w:rPr>
        <w:t xml:space="preserve">דוח צוות מררי; בג"ץ 6732/20 </w:t>
      </w:r>
      <w:r w:rsidRPr="003673CA">
        <w:rPr>
          <w:rFonts w:hint="cs"/>
          <w:b/>
          <w:bCs/>
          <w:rtl/>
        </w:rPr>
        <w:t>האגודה לזכויות האזרח בישראל נ' הכנסת</w:t>
      </w:r>
      <w:r>
        <w:rPr>
          <w:rFonts w:hint="cs"/>
          <w:rtl/>
        </w:rPr>
        <w:t xml:space="preserve"> (1.3.21) (פורסם במאגר ממוחשב). </w:t>
      </w:r>
    </w:p>
  </w:footnote>
  <w:footnote w:id="155">
    <w:p w:rsidR="00172C0A" w:rsidRDefault="00172C0A" w:rsidP="00D14729">
      <w:pPr>
        <w:pStyle w:val="ad"/>
        <w:ind w:left="282" w:hanging="566"/>
        <w:rPr>
          <w:rtl/>
        </w:rPr>
      </w:pPr>
      <w:r>
        <w:rPr>
          <w:rStyle w:val="af"/>
        </w:rPr>
        <w:footnoteRef/>
      </w:r>
      <w:r>
        <w:rPr>
          <w:rtl/>
        </w:rPr>
        <w:t xml:space="preserve"> </w:t>
      </w:r>
      <w:r>
        <w:rPr>
          <w:rtl/>
        </w:rPr>
        <w:tab/>
      </w:r>
      <w:r>
        <w:rPr>
          <w:rFonts w:hint="cs"/>
          <w:rtl/>
        </w:rPr>
        <w:t>צוות סיגינטי משולב.</w:t>
      </w:r>
    </w:p>
  </w:footnote>
  <w:footnote w:id="156">
    <w:p w:rsidR="00172C0A" w:rsidRDefault="00172C0A" w:rsidP="00D14729">
      <w:pPr>
        <w:pStyle w:val="ad"/>
        <w:ind w:left="282" w:hanging="566"/>
      </w:pPr>
      <w:r>
        <w:rPr>
          <w:rStyle w:val="af"/>
        </w:rPr>
        <w:footnoteRef/>
      </w:r>
      <w:r>
        <w:rPr>
          <w:rtl/>
        </w:rPr>
        <w:t xml:space="preserve"> </w:t>
      </w:r>
      <w:r>
        <w:rPr>
          <w:rtl/>
        </w:rPr>
        <w:tab/>
      </w:r>
      <w:r w:rsidRPr="00C12F2E">
        <w:rPr>
          <w:rtl/>
        </w:rPr>
        <w:t>כלומר, לא רק תכלית הכלי, אלא אימתי הוא נדרש ומה אמות המידה להעדיף אותו על פני כלים אחרים - בהתאם לחובתה כרשות מנהלית לבחור בכלי שפגיעתו היא הפחותה ביותר</w:t>
      </w:r>
    </w:p>
  </w:footnote>
  <w:footnote w:id="157">
    <w:p w:rsidR="00172C0A" w:rsidRDefault="00172C0A" w:rsidP="00D14729">
      <w:pPr>
        <w:pStyle w:val="ad"/>
        <w:ind w:left="282" w:hanging="566"/>
        <w:rPr>
          <w:rtl/>
        </w:rPr>
      </w:pPr>
      <w:r>
        <w:rPr>
          <w:rStyle w:val="af"/>
        </w:rPr>
        <w:footnoteRef/>
      </w:r>
      <w:r>
        <w:rPr>
          <w:rtl/>
        </w:rPr>
        <w:t xml:space="preserve"> </w:t>
      </w:r>
      <w:r>
        <w:rPr>
          <w:rtl/>
        </w:rPr>
        <w:tab/>
      </w:r>
      <w:r w:rsidRPr="00C12F2E">
        <w:rPr>
          <w:rtl/>
        </w:rPr>
        <w:t xml:space="preserve">למשל, תחולת הסמכות, המגבלות הכלליות החלות עליה, </w:t>
      </w:r>
      <w:r>
        <w:rPr>
          <w:rFonts w:hint="cs"/>
          <w:rtl/>
        </w:rPr>
        <w:t xml:space="preserve">וכיצד ייערך האיזון הנדרש בין הפגיעה הנגרמת עקב השימוש במתווה ההתקנה לבין התועלת העולה ממנו. בהקשר זה בפרט נדרש להגדיר את מהות הפגיעה הנגרמת עקב השימוש במתווי ההתקנה השונים. </w:t>
      </w:r>
    </w:p>
  </w:footnote>
  <w:footnote w:id="158">
    <w:p w:rsidR="00172C0A" w:rsidRDefault="00172C0A" w:rsidP="00D14729">
      <w:pPr>
        <w:pStyle w:val="ad"/>
        <w:ind w:left="282" w:hanging="566"/>
      </w:pPr>
      <w:r>
        <w:rPr>
          <w:rStyle w:val="af"/>
        </w:rPr>
        <w:footnoteRef/>
      </w:r>
      <w:r>
        <w:rPr>
          <w:rtl/>
        </w:rPr>
        <w:t xml:space="preserve"> </w:t>
      </w:r>
      <w:r>
        <w:rPr>
          <w:b/>
          <w:bCs/>
          <w:rtl/>
        </w:rPr>
        <w:tab/>
      </w:r>
      <w:r>
        <w:rPr>
          <w:rFonts w:hint="cs"/>
          <w:b/>
          <w:bCs/>
          <w:rtl/>
        </w:rPr>
        <w:t>התקנה</w:t>
      </w:r>
      <w:r>
        <w:rPr>
          <w:rFonts w:hint="cs"/>
          <w:rtl/>
        </w:rPr>
        <w:t xml:space="preserve"> - פעולה של </w:t>
      </w:r>
      <w:r w:rsidRPr="00E45A0D">
        <w:rPr>
          <w:rtl/>
        </w:rPr>
        <w:t xml:space="preserve">השתלטות מרחוק על מכשיר קצה או </w:t>
      </w:r>
      <w:r>
        <w:rPr>
          <w:rFonts w:hint="cs"/>
          <w:rtl/>
        </w:rPr>
        <w:t xml:space="preserve">של </w:t>
      </w:r>
      <w:r w:rsidRPr="00E45A0D">
        <w:rPr>
          <w:rtl/>
        </w:rPr>
        <w:t xml:space="preserve">קיום תקשורת </w:t>
      </w:r>
      <w:r>
        <w:rPr>
          <w:rFonts w:hint="cs"/>
          <w:rtl/>
        </w:rPr>
        <w:t>עימו שמביאה</w:t>
      </w:r>
      <w:r w:rsidRPr="00E45A0D">
        <w:rPr>
          <w:rtl/>
        </w:rPr>
        <w:t xml:space="preserve"> לקבלת תוצרי האזנה</w:t>
      </w:r>
      <w:r>
        <w:rPr>
          <w:rFonts w:hint="cs"/>
          <w:rtl/>
        </w:rPr>
        <w:t>.</w:t>
      </w:r>
    </w:p>
  </w:footnote>
  <w:footnote w:id="159">
    <w:p w:rsidR="00172C0A" w:rsidRPr="0097754A" w:rsidRDefault="00172C0A" w:rsidP="00D14729">
      <w:pPr>
        <w:pStyle w:val="ad"/>
        <w:ind w:left="282" w:hanging="566"/>
        <w:rPr>
          <w:highlight w:val="red"/>
        </w:rPr>
      </w:pPr>
      <w:r w:rsidRPr="00B85472">
        <w:rPr>
          <w:rStyle w:val="af"/>
        </w:rPr>
        <w:footnoteRef/>
      </w:r>
      <w:r w:rsidRPr="00B85472">
        <w:rPr>
          <w:rtl/>
        </w:rPr>
        <w:t xml:space="preserve"> </w:t>
      </w:r>
      <w:r w:rsidRPr="00B85472">
        <w:rPr>
          <w:b/>
          <w:bCs/>
          <w:rtl/>
        </w:rPr>
        <w:tab/>
      </w:r>
      <w:bookmarkStart w:id="394" w:name="_Hlk218760502"/>
      <w:r w:rsidRPr="00B85472">
        <w:rPr>
          <w:rFonts w:hint="eastAsia"/>
          <w:b/>
          <w:bCs/>
          <w:rtl/>
        </w:rPr>
        <w:t>מטרה</w:t>
      </w:r>
      <w:r w:rsidRPr="00B85472">
        <w:rPr>
          <w:rtl/>
        </w:rPr>
        <w:t xml:space="preserve"> - רישום של יעד </w:t>
      </w:r>
      <w:r w:rsidRPr="0097754A">
        <w:rPr>
          <w:rFonts w:hint="cs"/>
          <w:rtl/>
        </w:rPr>
        <w:t xml:space="preserve">האזנה </w:t>
      </w:r>
      <w:r>
        <w:rPr>
          <w:rFonts w:hint="cs"/>
          <w:rtl/>
        </w:rPr>
        <w:t>שהמשטרה תתקין</w:t>
      </w:r>
      <w:r w:rsidRPr="0097754A">
        <w:rPr>
          <w:rFonts w:hint="cs"/>
          <w:rtl/>
        </w:rPr>
        <w:t xml:space="preserve"> על מכשיר קצה שברשותו </w:t>
      </w:r>
      <w:r w:rsidRPr="00B85472">
        <w:rPr>
          <w:rtl/>
        </w:rPr>
        <w:t>כלי טכנולוגי</w:t>
      </w:r>
      <w:r w:rsidRPr="0097754A">
        <w:rPr>
          <w:rFonts w:hint="cs"/>
          <w:rtl/>
        </w:rPr>
        <w:t>, וזיהויו</w:t>
      </w:r>
      <w:r w:rsidRPr="00B85472">
        <w:rPr>
          <w:rtl/>
        </w:rPr>
        <w:t xml:space="preserve"> מתבסס על </w:t>
      </w:r>
      <w:r>
        <w:rPr>
          <w:rFonts w:hint="cs"/>
          <w:rtl/>
        </w:rPr>
        <w:t>נתון זיהוי</w:t>
      </w:r>
      <w:r w:rsidRPr="00B85472">
        <w:rPr>
          <w:rtl/>
        </w:rPr>
        <w:t xml:space="preserve"> חד-ערכי. </w:t>
      </w:r>
    </w:p>
    <w:bookmarkEnd w:id="394"/>
  </w:footnote>
  <w:footnote w:id="160">
    <w:p w:rsidR="00172C0A" w:rsidRDefault="00172C0A" w:rsidP="00D14729">
      <w:pPr>
        <w:pStyle w:val="ad"/>
        <w:ind w:left="282" w:hanging="566"/>
      </w:pPr>
      <w:r w:rsidRPr="0002142D">
        <w:rPr>
          <w:rStyle w:val="af"/>
        </w:rPr>
        <w:footnoteRef/>
      </w:r>
      <w:r w:rsidRPr="0002142D">
        <w:rPr>
          <w:rtl/>
        </w:rPr>
        <w:t xml:space="preserve"> </w:t>
      </w:r>
      <w:r w:rsidRPr="0002142D">
        <w:rPr>
          <w:rtl/>
        </w:rPr>
        <w:tab/>
      </w:r>
      <w:r w:rsidRPr="0002142D">
        <w:rPr>
          <w:rFonts w:hint="eastAsia"/>
          <w:rtl/>
        </w:rPr>
        <w:t>איתור</w:t>
      </w:r>
      <w:r w:rsidRPr="0002142D">
        <w:rPr>
          <w:rtl/>
        </w:rPr>
        <w:t xml:space="preserve"> </w:t>
      </w:r>
      <w:r w:rsidRPr="0002142D">
        <w:rPr>
          <w:rFonts w:hint="eastAsia"/>
          <w:rtl/>
        </w:rPr>
        <w:t>של</w:t>
      </w:r>
      <w:r w:rsidRPr="0002142D">
        <w:rPr>
          <w:rtl/>
        </w:rPr>
        <w:t xml:space="preserve"> </w:t>
      </w:r>
      <w:r w:rsidRPr="0002142D">
        <w:rPr>
          <w:rFonts w:hint="eastAsia"/>
          <w:rtl/>
        </w:rPr>
        <w:t>נתון</w:t>
      </w:r>
      <w:r w:rsidRPr="0002142D">
        <w:rPr>
          <w:rtl/>
        </w:rPr>
        <w:t xml:space="preserve"> </w:t>
      </w:r>
      <w:r w:rsidRPr="0002142D">
        <w:rPr>
          <w:rFonts w:hint="eastAsia"/>
          <w:rtl/>
        </w:rPr>
        <w:t>זיהוי</w:t>
      </w:r>
      <w:r w:rsidRPr="0002142D">
        <w:rPr>
          <w:rtl/>
        </w:rPr>
        <w:t xml:space="preserve"> </w:t>
      </w:r>
      <w:r w:rsidRPr="0002142D">
        <w:rPr>
          <w:rFonts w:hint="eastAsia"/>
          <w:rtl/>
        </w:rPr>
        <w:t>חד</w:t>
      </w:r>
      <w:r w:rsidRPr="0002142D">
        <w:rPr>
          <w:rtl/>
        </w:rPr>
        <w:t xml:space="preserve">-חד </w:t>
      </w:r>
      <w:r w:rsidRPr="0002142D">
        <w:rPr>
          <w:rFonts w:hint="eastAsia"/>
          <w:rtl/>
        </w:rPr>
        <w:t>ערכי</w:t>
      </w:r>
      <w:r w:rsidRPr="0002142D">
        <w:rPr>
          <w:rtl/>
        </w:rPr>
        <w:t xml:space="preserve"> </w:t>
      </w:r>
      <w:r w:rsidRPr="0002142D">
        <w:rPr>
          <w:rFonts w:hint="eastAsia"/>
          <w:rtl/>
        </w:rPr>
        <w:t>של</w:t>
      </w:r>
      <w:r w:rsidRPr="0002142D">
        <w:rPr>
          <w:rtl/>
        </w:rPr>
        <w:t xml:space="preserve"> </w:t>
      </w:r>
      <w:r w:rsidRPr="0002142D">
        <w:rPr>
          <w:rFonts w:hint="eastAsia"/>
          <w:rtl/>
        </w:rPr>
        <w:t>יעד</w:t>
      </w:r>
      <w:r w:rsidRPr="0002142D">
        <w:rPr>
          <w:rtl/>
        </w:rPr>
        <w:t xml:space="preserve"> </w:t>
      </w:r>
      <w:r w:rsidRPr="0002142D">
        <w:rPr>
          <w:rFonts w:hint="eastAsia"/>
          <w:rtl/>
        </w:rPr>
        <w:t>להתקנה</w:t>
      </w:r>
      <w:r w:rsidRPr="0002142D">
        <w:rPr>
          <w:rtl/>
        </w:rPr>
        <w:t xml:space="preserve"> </w:t>
      </w:r>
      <w:r w:rsidRPr="0002142D">
        <w:rPr>
          <w:rFonts w:hint="eastAsia"/>
          <w:rtl/>
        </w:rPr>
        <w:t>באמצעות</w:t>
      </w:r>
      <w:r w:rsidRPr="0002142D">
        <w:rPr>
          <w:rtl/>
        </w:rPr>
        <w:t xml:space="preserve"> </w:t>
      </w:r>
      <w:r w:rsidRPr="0002142D">
        <w:rPr>
          <w:rFonts w:hint="eastAsia"/>
          <w:rtl/>
        </w:rPr>
        <w:t>כלי</w:t>
      </w:r>
      <w:r w:rsidRPr="0002142D">
        <w:rPr>
          <w:rtl/>
        </w:rPr>
        <w:t xml:space="preserve"> </w:t>
      </w:r>
      <w:r w:rsidRPr="0002142D">
        <w:rPr>
          <w:rFonts w:hint="eastAsia"/>
          <w:rtl/>
        </w:rPr>
        <w:t>טכנולוגי</w:t>
      </w:r>
      <w:r w:rsidRPr="0002142D">
        <w:rPr>
          <w:rtl/>
        </w:rPr>
        <w:t xml:space="preserve"> </w:t>
      </w:r>
      <w:r w:rsidRPr="0002142D">
        <w:rPr>
          <w:rFonts w:hint="eastAsia"/>
          <w:rtl/>
        </w:rPr>
        <w:t>או</w:t>
      </w:r>
      <w:r w:rsidRPr="0002142D">
        <w:rPr>
          <w:rtl/>
        </w:rPr>
        <w:t xml:space="preserve"> </w:t>
      </w:r>
      <w:r w:rsidRPr="0002142D">
        <w:rPr>
          <w:rFonts w:hint="eastAsia"/>
          <w:rtl/>
        </w:rPr>
        <w:t>ניסיון</w:t>
      </w:r>
      <w:r w:rsidRPr="0002142D">
        <w:rPr>
          <w:rtl/>
        </w:rPr>
        <w:t xml:space="preserve"> </w:t>
      </w:r>
      <w:r w:rsidRPr="0002142D">
        <w:rPr>
          <w:rFonts w:hint="eastAsia"/>
          <w:rtl/>
        </w:rPr>
        <w:t>להתקנה</w:t>
      </w:r>
      <w:r w:rsidRPr="0002142D">
        <w:rPr>
          <w:rtl/>
        </w:rPr>
        <w:t>.</w:t>
      </w:r>
      <w:r>
        <w:rPr>
          <w:rFonts w:hint="cs"/>
          <w:rtl/>
        </w:rPr>
        <w:t xml:space="preserve"> </w:t>
      </w:r>
    </w:p>
  </w:footnote>
  <w:footnote w:id="161">
    <w:p w:rsidR="00172C0A" w:rsidRDefault="00172C0A" w:rsidP="00D14729">
      <w:pPr>
        <w:pStyle w:val="ad"/>
        <w:ind w:left="282" w:hanging="566"/>
        <w:rPr>
          <w:rtl/>
        </w:rPr>
      </w:pPr>
      <w:r>
        <w:rPr>
          <w:rStyle w:val="af"/>
        </w:rPr>
        <w:footnoteRef/>
      </w:r>
      <w:r>
        <w:rPr>
          <w:rtl/>
        </w:rPr>
        <w:t xml:space="preserve"> </w:t>
      </w:r>
      <w:r>
        <w:rPr>
          <w:rtl/>
        </w:rPr>
        <w:tab/>
      </w:r>
      <w:r w:rsidRPr="00190398">
        <w:rPr>
          <w:rFonts w:hint="eastAsia"/>
          <w:b/>
          <w:bCs/>
          <w:rtl/>
        </w:rPr>
        <w:t>שרשרת</w:t>
      </w:r>
      <w:r w:rsidRPr="00190398">
        <w:rPr>
          <w:b/>
          <w:bCs/>
          <w:rtl/>
        </w:rPr>
        <w:t xml:space="preserve"> </w:t>
      </w:r>
      <w:r w:rsidRPr="00190398">
        <w:rPr>
          <w:rFonts w:hint="eastAsia"/>
          <w:b/>
          <w:bCs/>
          <w:rtl/>
        </w:rPr>
        <w:t>הראיות</w:t>
      </w:r>
      <w:r>
        <w:rPr>
          <w:rFonts w:hint="cs"/>
          <w:rtl/>
        </w:rPr>
        <w:t xml:space="preserve"> - או שרשרת המוצגים היא תיעוד של כל הפעולות שבוצעו כלפי ראיה שנאספה בסדר כרונולוגי המעיד על מקור הראיה, החזקה והעברת הראיה, ניתוח של הראיה או על פעולה אחרת שבוצעה כלפיה. תפיסה עקרונית זו מתבססת על כך שגורמי החקירה נדרשים לוודא כי לא נעשה כל שיבוש המגביל באופן ממשי את יכולתו של נאשם לערער על מהימנות הראיה וקבילותה. ראו לעניין זה ע"פ 2869/09 </w:t>
      </w:r>
      <w:r w:rsidRPr="00190398">
        <w:rPr>
          <w:rFonts w:hint="eastAsia"/>
          <w:b/>
          <w:bCs/>
          <w:rtl/>
        </w:rPr>
        <w:t>זינאתי</w:t>
      </w:r>
      <w:r w:rsidRPr="00190398">
        <w:rPr>
          <w:b/>
          <w:bCs/>
          <w:rtl/>
        </w:rPr>
        <w:t xml:space="preserve"> </w:t>
      </w:r>
      <w:r w:rsidRPr="00190398">
        <w:rPr>
          <w:rFonts w:hint="eastAsia"/>
          <w:b/>
          <w:bCs/>
          <w:rtl/>
        </w:rPr>
        <w:t>נ</w:t>
      </w:r>
      <w:r w:rsidRPr="00190398">
        <w:rPr>
          <w:b/>
          <w:bCs/>
          <w:rtl/>
        </w:rPr>
        <w:t xml:space="preserve">' </w:t>
      </w:r>
      <w:r w:rsidRPr="00190398">
        <w:rPr>
          <w:rFonts w:hint="eastAsia"/>
          <w:b/>
          <w:bCs/>
          <w:rtl/>
        </w:rPr>
        <w:t>מ</w:t>
      </w:r>
      <w:r w:rsidRPr="00190398">
        <w:rPr>
          <w:b/>
          <w:bCs/>
          <w:rtl/>
        </w:rPr>
        <w:t>"י</w:t>
      </w:r>
      <w:r>
        <w:rPr>
          <w:rFonts w:hint="cs"/>
          <w:rtl/>
        </w:rPr>
        <w:t xml:space="preserve"> (פורסם במאגר ממוחשב, 9.11.11). </w:t>
      </w:r>
    </w:p>
  </w:footnote>
  <w:footnote w:id="162">
    <w:p w:rsidR="00172C0A" w:rsidRDefault="00172C0A" w:rsidP="00D14729">
      <w:pPr>
        <w:pStyle w:val="ad"/>
        <w:ind w:left="282" w:hanging="566"/>
        <w:rPr>
          <w:rtl/>
        </w:rPr>
      </w:pPr>
      <w:r>
        <w:rPr>
          <w:rStyle w:val="af"/>
        </w:rPr>
        <w:footnoteRef/>
      </w:r>
      <w:r>
        <w:rPr>
          <w:rtl/>
        </w:rPr>
        <w:t xml:space="preserve"> </w:t>
      </w:r>
      <w:r>
        <w:rPr>
          <w:b/>
          <w:bCs/>
          <w:rtl/>
        </w:rPr>
        <w:tab/>
      </w:r>
      <w:r w:rsidRPr="00EF7519">
        <w:rPr>
          <w:rFonts w:hint="cs"/>
          <w:b/>
          <w:bCs/>
          <w:rtl/>
        </w:rPr>
        <w:t>צי"ח</w:t>
      </w:r>
      <w:r>
        <w:rPr>
          <w:rFonts w:hint="cs"/>
          <w:rtl/>
        </w:rPr>
        <w:t xml:space="preserve"> - ראשי תיבות של ציון ידיעות חיוניות - קביעת נושאי התעניינות ומשימות איסוף מודיעין בהתאם לסדר עדיפויות שנקבע בזמן נתון. </w:t>
      </w:r>
    </w:p>
  </w:footnote>
  <w:footnote w:id="163">
    <w:p w:rsidR="00172C0A" w:rsidRDefault="00172C0A" w:rsidP="00D14729">
      <w:pPr>
        <w:pStyle w:val="ad"/>
        <w:ind w:left="282" w:hanging="566"/>
        <w:rPr>
          <w:rtl/>
        </w:rPr>
      </w:pPr>
      <w:r>
        <w:rPr>
          <w:rStyle w:val="af"/>
        </w:rPr>
        <w:footnoteRef/>
      </w:r>
      <w:r>
        <w:rPr>
          <w:rtl/>
        </w:rPr>
        <w:t xml:space="preserve"> </w:t>
      </w:r>
      <w:r>
        <w:rPr>
          <w:rtl/>
        </w:rPr>
        <w:tab/>
      </w:r>
      <w:r>
        <w:rPr>
          <w:rFonts w:hint="cs"/>
          <w:rtl/>
        </w:rPr>
        <w:t>מתוך 108 יעדים שנדגמו.</w:t>
      </w:r>
    </w:p>
  </w:footnote>
  <w:footnote w:id="164">
    <w:p w:rsidR="00172C0A" w:rsidRDefault="00172C0A" w:rsidP="00D14729">
      <w:pPr>
        <w:pStyle w:val="ad"/>
        <w:ind w:left="282" w:hanging="566"/>
      </w:pPr>
      <w:r>
        <w:rPr>
          <w:rStyle w:val="af"/>
        </w:rPr>
        <w:footnoteRef/>
      </w:r>
      <w:r>
        <w:rPr>
          <w:rtl/>
        </w:rPr>
        <w:t xml:space="preserve"> </w:t>
      </w:r>
      <w:r>
        <w:rPr>
          <w:rtl/>
        </w:rPr>
        <w:tab/>
      </w:r>
      <w:r>
        <w:rPr>
          <w:rFonts w:hint="cs"/>
          <w:rtl/>
        </w:rPr>
        <w:t xml:space="preserve">יעקב קדמי, </w:t>
      </w:r>
      <w:r w:rsidRPr="00551EC6">
        <w:rPr>
          <w:rFonts w:hint="cs"/>
          <w:b/>
          <w:bCs/>
          <w:rtl/>
        </w:rPr>
        <w:t>על הראיות</w:t>
      </w:r>
      <w:r>
        <w:rPr>
          <w:rFonts w:hint="cs"/>
          <w:b/>
          <w:bCs/>
          <w:rtl/>
        </w:rPr>
        <w:t>-</w:t>
      </w:r>
      <w:r w:rsidRPr="00551EC6">
        <w:rPr>
          <w:rFonts w:hint="cs"/>
          <w:b/>
          <w:bCs/>
          <w:rtl/>
        </w:rPr>
        <w:t>חלק שני</w:t>
      </w:r>
      <w:r>
        <w:rPr>
          <w:rFonts w:hint="cs"/>
          <w:b/>
          <w:bCs/>
          <w:rtl/>
        </w:rPr>
        <w:t>-</w:t>
      </w:r>
      <w:r w:rsidRPr="00551EC6">
        <w:rPr>
          <w:rFonts w:hint="cs"/>
          <w:b/>
          <w:bCs/>
          <w:rtl/>
        </w:rPr>
        <w:t>הדין בראי הפסיקה</w:t>
      </w:r>
      <w:r>
        <w:rPr>
          <w:rFonts w:hint="cs"/>
          <w:rtl/>
        </w:rPr>
        <w:t>, (2009), עמ' 786.</w:t>
      </w:r>
    </w:p>
  </w:footnote>
  <w:footnote w:id="165">
    <w:p w:rsidR="00172C0A" w:rsidRDefault="00172C0A" w:rsidP="00D14729">
      <w:pPr>
        <w:pStyle w:val="ad"/>
        <w:ind w:left="282" w:hanging="566"/>
      </w:pPr>
      <w:r>
        <w:rPr>
          <w:rStyle w:val="af"/>
        </w:rPr>
        <w:footnoteRef/>
      </w:r>
      <w:r>
        <w:rPr>
          <w:rtl/>
        </w:rPr>
        <w:t xml:space="preserve"> </w:t>
      </w:r>
      <w:r>
        <w:rPr>
          <w:rtl/>
        </w:rPr>
        <w:tab/>
      </w:r>
      <w:r>
        <w:rPr>
          <w:rFonts w:hint="cs"/>
          <w:rtl/>
        </w:rPr>
        <w:t xml:space="preserve">רע"פ 9298/11 </w:t>
      </w:r>
      <w:r w:rsidRPr="005C6366">
        <w:rPr>
          <w:rFonts w:hint="cs"/>
          <w:b/>
          <w:bCs/>
          <w:rtl/>
        </w:rPr>
        <w:t>אילון כהן נ' מדינת ישראל</w:t>
      </w:r>
      <w:r>
        <w:rPr>
          <w:rFonts w:hint="cs"/>
          <w:rtl/>
        </w:rPr>
        <w:t xml:space="preserve">, (פורסם במאגר ממוחשב, 20.12.11). </w:t>
      </w:r>
    </w:p>
  </w:footnote>
  <w:footnote w:id="166">
    <w:p w:rsidR="00172C0A" w:rsidRDefault="00172C0A" w:rsidP="00D14729">
      <w:pPr>
        <w:pStyle w:val="ad"/>
        <w:ind w:left="282" w:hanging="566"/>
      </w:pPr>
      <w:r>
        <w:rPr>
          <w:rStyle w:val="af"/>
        </w:rPr>
        <w:footnoteRef/>
      </w:r>
      <w:r>
        <w:rPr>
          <w:rtl/>
        </w:rPr>
        <w:t xml:space="preserve"> </w:t>
      </w:r>
      <w:r>
        <w:rPr>
          <w:rtl/>
        </w:rPr>
        <w:tab/>
      </w:r>
      <w:r w:rsidRPr="00563B99">
        <w:rPr>
          <w:rFonts w:hint="cs"/>
          <w:b/>
          <w:bCs/>
          <w:rtl/>
        </w:rPr>
        <w:t>בדיקת היתכנות</w:t>
      </w:r>
      <w:r>
        <w:rPr>
          <w:rFonts w:hint="cs"/>
          <w:rtl/>
        </w:rPr>
        <w:t xml:space="preserve"> - </w:t>
      </w:r>
      <w:r w:rsidRPr="00563B99">
        <w:rPr>
          <w:rtl/>
        </w:rPr>
        <w:t>סדרת פעולות שמטרתן להעריך את הסתברות הצלחת האזנת הסתר באמצעות כלי טכנולוגי ובחירת מתווה ביצועה.</w:t>
      </w:r>
    </w:p>
  </w:footnote>
  <w:footnote w:id="167">
    <w:p w:rsidR="00172C0A" w:rsidRDefault="00172C0A" w:rsidP="00D14729">
      <w:pPr>
        <w:pStyle w:val="ad"/>
        <w:ind w:left="282" w:hanging="566"/>
        <w:rPr>
          <w:rtl/>
        </w:rPr>
      </w:pPr>
      <w:r>
        <w:rPr>
          <w:rStyle w:val="af"/>
        </w:rPr>
        <w:footnoteRef/>
      </w:r>
      <w:r>
        <w:rPr>
          <w:rtl/>
        </w:rPr>
        <w:t xml:space="preserve"> </w:t>
      </w:r>
      <w:r>
        <w:rPr>
          <w:rtl/>
        </w:rPr>
        <w:tab/>
      </w:r>
      <w:r>
        <w:rPr>
          <w:rFonts w:hint="cs"/>
          <w:rtl/>
        </w:rPr>
        <w:t xml:space="preserve">אשר לאיתור מקרים ספציפיים על ידי מבקר המדינה, ראו להלן בפרק בנושא "התקנות שחורגות מהוראות הדין". </w:t>
      </w:r>
    </w:p>
  </w:footnote>
  <w:footnote w:id="168">
    <w:p w:rsidR="00172C0A" w:rsidRDefault="00172C0A" w:rsidP="00D14729">
      <w:pPr>
        <w:pStyle w:val="ad"/>
        <w:ind w:left="282" w:hanging="566"/>
        <w:rPr>
          <w:rtl/>
        </w:rPr>
      </w:pPr>
      <w:r>
        <w:rPr>
          <w:rStyle w:val="af"/>
        </w:rPr>
        <w:footnoteRef/>
      </w:r>
      <w:r>
        <w:rPr>
          <w:rtl/>
        </w:rPr>
        <w:t xml:space="preserve"> </w:t>
      </w:r>
      <w:r>
        <w:rPr>
          <w:rtl/>
        </w:rPr>
        <w:tab/>
      </w:r>
      <w:r>
        <w:rPr>
          <w:rFonts w:hint="cs"/>
          <w:rtl/>
        </w:rPr>
        <w:t>לא ידוע בשל פערים בתיעוד במשטרה בנושא זה.</w:t>
      </w:r>
    </w:p>
  </w:footnote>
  <w:footnote w:id="169">
    <w:p w:rsidR="00172C0A" w:rsidRDefault="00172C0A" w:rsidP="008B7857">
      <w:pPr>
        <w:pStyle w:val="ad"/>
        <w:ind w:left="282" w:hanging="566"/>
        <w:rPr>
          <w:rtl/>
        </w:rPr>
      </w:pPr>
      <w:r>
        <w:rPr>
          <w:rStyle w:val="af"/>
        </w:rPr>
        <w:footnoteRef/>
      </w:r>
      <w:r>
        <w:rPr>
          <w:rtl/>
        </w:rPr>
        <w:t xml:space="preserve"> </w:t>
      </w:r>
      <w:r>
        <w:rPr>
          <w:rtl/>
        </w:rPr>
        <w:tab/>
      </w:r>
      <w:r w:rsidRPr="00CC096F">
        <w:rPr>
          <w:rFonts w:hint="cs"/>
          <w:b/>
          <w:bCs/>
          <w:rtl/>
        </w:rPr>
        <w:t>חיפוש סמוי</w:t>
      </w:r>
      <w:r>
        <w:rPr>
          <w:rFonts w:hint="cs"/>
          <w:rtl/>
        </w:rPr>
        <w:t xml:space="preserve"> - </w:t>
      </w:r>
      <w:r w:rsidRPr="00CC096F">
        <w:rPr>
          <w:rtl/>
        </w:rPr>
        <w:t>איסוף של מידע אגור במכשיר קצה</w:t>
      </w:r>
      <w:r>
        <w:rPr>
          <w:rFonts w:hint="cs"/>
          <w:rtl/>
        </w:rPr>
        <w:t xml:space="preserve"> </w:t>
      </w:r>
      <w:r w:rsidRPr="00BE35CC">
        <w:rPr>
          <w:rFonts w:hint="cs"/>
          <w:rtl/>
        </w:rPr>
        <w:t>המתבצע ללא ידיעת בעל המכשיר</w:t>
      </w:r>
      <w:r w:rsidRPr="00CC096F">
        <w:rPr>
          <w:rtl/>
        </w:rPr>
        <w:t>, ובשונה מהאזנת סתר הוא צופה פני עבר.</w:t>
      </w:r>
    </w:p>
  </w:footnote>
  <w:footnote w:id="170">
    <w:p w:rsidR="00172C0A" w:rsidRDefault="00172C0A" w:rsidP="008B7857">
      <w:pPr>
        <w:pStyle w:val="ad"/>
        <w:ind w:left="282" w:hanging="566"/>
        <w:rPr>
          <w:rtl/>
        </w:rPr>
      </w:pPr>
      <w:r>
        <w:rPr>
          <w:rStyle w:val="af"/>
        </w:rPr>
        <w:footnoteRef/>
      </w:r>
      <w:r>
        <w:rPr>
          <w:rtl/>
        </w:rPr>
        <w:t xml:space="preserve"> </w:t>
      </w:r>
      <w:r>
        <w:rPr>
          <w:rtl/>
        </w:rPr>
        <w:tab/>
      </w:r>
      <w:r>
        <w:rPr>
          <w:rFonts w:hint="cs"/>
          <w:rtl/>
        </w:rPr>
        <w:t xml:space="preserve">אשר לאיתור מקרים ספציפיים על ידי מבקר המדינה, ראו להלן בפרק בנושא "התקנות של כלים טכנולוגיים". </w:t>
      </w:r>
    </w:p>
  </w:footnote>
  <w:footnote w:id="171">
    <w:p w:rsidR="00172C0A" w:rsidRDefault="00172C0A" w:rsidP="008B7857">
      <w:pPr>
        <w:pStyle w:val="ad"/>
        <w:ind w:left="282" w:hanging="566"/>
      </w:pPr>
      <w:r>
        <w:rPr>
          <w:rStyle w:val="af"/>
        </w:rPr>
        <w:footnoteRef/>
      </w:r>
      <w:r>
        <w:rPr>
          <w:rtl/>
        </w:rPr>
        <w:t xml:space="preserve"> </w:t>
      </w:r>
      <w:r>
        <w:rPr>
          <w:rtl/>
        </w:rPr>
        <w:tab/>
      </w:r>
      <w:r>
        <w:rPr>
          <w:rFonts w:hint="cs"/>
          <w:rtl/>
        </w:rPr>
        <w:t xml:space="preserve">שלפיו "מי שמוסמך להתיר האזנת סתר לפי חוק זה, רשאי להתיר גם כניסה למקום לצורך התקנת אמצעים הנדרשים להאזנה, פירוקם או סילוקם". </w:t>
      </w:r>
    </w:p>
  </w:footnote>
  <w:footnote w:id="172">
    <w:p w:rsidR="00172C0A" w:rsidRDefault="00172C0A" w:rsidP="008B7857">
      <w:pPr>
        <w:pStyle w:val="ad"/>
        <w:ind w:left="282" w:hanging="566"/>
        <w:rPr>
          <w:rtl/>
        </w:rPr>
      </w:pPr>
      <w:r>
        <w:rPr>
          <w:rStyle w:val="af"/>
        </w:rPr>
        <w:footnoteRef/>
      </w:r>
      <w:r>
        <w:rPr>
          <w:rtl/>
        </w:rPr>
        <w:t xml:space="preserve"> </w:t>
      </w:r>
      <w:r>
        <w:rPr>
          <w:rtl/>
        </w:rPr>
        <w:tab/>
      </w:r>
      <w:r>
        <w:rPr>
          <w:rFonts w:hint="cs"/>
          <w:rtl/>
        </w:rPr>
        <w:t xml:space="preserve">ראו לעניין זה יואב דותן, </w:t>
      </w:r>
      <w:r w:rsidRPr="00455BF2">
        <w:rPr>
          <w:rFonts w:hint="cs"/>
          <w:b/>
          <w:bCs/>
          <w:rtl/>
        </w:rPr>
        <w:t>הנחיות מינהליות</w:t>
      </w:r>
      <w:r>
        <w:rPr>
          <w:rFonts w:hint="cs"/>
          <w:rtl/>
        </w:rPr>
        <w:t xml:space="preserve"> (התשנ"ו), עמ' 27 - 39; יואב דותן, </w:t>
      </w:r>
      <w:r w:rsidRPr="00674C73">
        <w:rPr>
          <w:rFonts w:hint="eastAsia"/>
          <w:b/>
          <w:bCs/>
          <w:rtl/>
        </w:rPr>
        <w:t>ביקורת</w:t>
      </w:r>
      <w:r w:rsidRPr="00674C73">
        <w:rPr>
          <w:b/>
          <w:bCs/>
          <w:rtl/>
        </w:rPr>
        <w:t xml:space="preserve"> שיפוטית על שיקול דעת מנהלי </w:t>
      </w:r>
      <w:r>
        <w:rPr>
          <w:rFonts w:hint="cs"/>
          <w:rtl/>
        </w:rPr>
        <w:t xml:space="preserve">- כרך א' (2022), עמ' 565 - 571. </w:t>
      </w:r>
    </w:p>
  </w:footnote>
  <w:footnote w:id="173">
    <w:p w:rsidR="00172C0A" w:rsidRDefault="00172C0A" w:rsidP="008B7857">
      <w:pPr>
        <w:pStyle w:val="ad"/>
        <w:ind w:left="282" w:hanging="566"/>
        <w:rPr>
          <w:rtl/>
        </w:rPr>
      </w:pPr>
      <w:r>
        <w:rPr>
          <w:rStyle w:val="af"/>
        </w:rPr>
        <w:footnoteRef/>
      </w:r>
      <w:r>
        <w:rPr>
          <w:rtl/>
        </w:rPr>
        <w:t xml:space="preserve"> </w:t>
      </w:r>
      <w:r>
        <w:rPr>
          <w:rtl/>
        </w:rPr>
        <w:tab/>
      </w:r>
      <w:r w:rsidRPr="008B1AE9">
        <w:rPr>
          <w:rFonts w:hint="cs"/>
          <w:rtl/>
        </w:rPr>
        <w:t>פקודות אלו עדיפות על פני כל פקודה אחרת הניתנת במשטרה</w:t>
      </w:r>
      <w:r>
        <w:rPr>
          <w:rFonts w:hint="cs"/>
          <w:rtl/>
        </w:rPr>
        <w:t xml:space="preserve">. ראו לעניין זה פקודת מטא"ר 01.01.01 </w:t>
      </w:r>
      <w:r w:rsidRPr="006C4E18">
        <w:rPr>
          <w:rFonts w:hint="cs"/>
          <w:b/>
          <w:bCs/>
          <w:rtl/>
        </w:rPr>
        <w:t>פקודות המשטרה ואופן פרסומן</w:t>
      </w:r>
      <w:r>
        <w:rPr>
          <w:rFonts w:hint="cs"/>
          <w:rtl/>
        </w:rPr>
        <w:t>, עודכן ב-19.8.21.</w:t>
      </w:r>
    </w:p>
  </w:footnote>
  <w:footnote w:id="174">
    <w:p w:rsidR="00172C0A" w:rsidRDefault="00172C0A" w:rsidP="008B7857">
      <w:pPr>
        <w:pStyle w:val="ad"/>
        <w:ind w:left="282" w:hanging="566"/>
        <w:rPr>
          <w:rtl/>
        </w:rPr>
      </w:pPr>
      <w:r>
        <w:rPr>
          <w:rStyle w:val="af"/>
        </w:rPr>
        <w:footnoteRef/>
      </w:r>
      <w:r>
        <w:rPr>
          <w:rtl/>
        </w:rPr>
        <w:t xml:space="preserve"> </w:t>
      </w:r>
      <w:r>
        <w:rPr>
          <w:rtl/>
        </w:rPr>
        <w:tab/>
      </w:r>
      <w:bookmarkStart w:id="455" w:name="_Hlk171324616"/>
      <w:r>
        <w:rPr>
          <w:rFonts w:hint="cs"/>
          <w:rtl/>
        </w:rPr>
        <w:t xml:space="preserve">פקודת מטא"ר 01.02.01 </w:t>
      </w:r>
      <w:r w:rsidRPr="00455BF2">
        <w:rPr>
          <w:rFonts w:hint="cs"/>
          <w:b/>
          <w:bCs/>
          <w:rtl/>
        </w:rPr>
        <w:t>עבודת המטה לגיבוש ולפרסום נהלים</w:t>
      </w:r>
      <w:r>
        <w:rPr>
          <w:rFonts w:hint="cs"/>
          <w:rtl/>
        </w:rPr>
        <w:t xml:space="preserve"> (פורסם ב-02.05.16 ועודכן ב-12.06.22). בשנת 2016 נוהל הוגדר כאוסף כללים המסדיר באופן מפורט את דרך הפעולה של המשטרה בתחום מסוים דרך קבע ובנוגע לכלל הארגון ובכלל זה את דרך הפעולה הנוגעת לביצוע תפקידי המשטרה</w:t>
      </w:r>
      <w:bookmarkEnd w:id="455"/>
      <w:r>
        <w:rPr>
          <w:rFonts w:hint="cs"/>
          <w:rtl/>
        </w:rPr>
        <w:t>.</w:t>
      </w:r>
      <w:r w:rsidDel="0055279A">
        <w:rPr>
          <w:rFonts w:hint="cs"/>
          <w:rtl/>
        </w:rPr>
        <w:t xml:space="preserve"> </w:t>
      </w:r>
    </w:p>
  </w:footnote>
  <w:footnote w:id="175">
    <w:p w:rsidR="00172C0A" w:rsidRDefault="00172C0A" w:rsidP="008B7857">
      <w:pPr>
        <w:pStyle w:val="ad"/>
        <w:ind w:left="282" w:hanging="566"/>
        <w:rPr>
          <w:rtl/>
        </w:rPr>
      </w:pPr>
      <w:r>
        <w:rPr>
          <w:rStyle w:val="af"/>
        </w:rPr>
        <w:footnoteRef/>
      </w:r>
      <w:r>
        <w:rPr>
          <w:rtl/>
        </w:rPr>
        <w:t xml:space="preserve"> </w:t>
      </w:r>
      <w:r>
        <w:rPr>
          <w:rtl/>
        </w:rPr>
        <w:tab/>
      </w:r>
      <w:r>
        <w:rPr>
          <w:rFonts w:hint="cs"/>
          <w:rtl/>
        </w:rPr>
        <w:t>במסגרת הבדיקה נבחן אזכור של כלים טכנולוגיים; אזכור מתווי ההתקנה; ופירוט דרך ביצוע ההתקנה, כלומר הפעולות המותרות והאסורות לביצוע במסגרת ההתקנה.</w:t>
      </w:r>
    </w:p>
  </w:footnote>
  <w:footnote w:id="176">
    <w:p w:rsidR="00172C0A" w:rsidRDefault="00172C0A" w:rsidP="008B7857">
      <w:pPr>
        <w:pStyle w:val="ad"/>
        <w:ind w:left="282" w:hanging="566"/>
      </w:pPr>
      <w:r>
        <w:rPr>
          <w:rStyle w:val="af"/>
        </w:rPr>
        <w:footnoteRef/>
      </w:r>
      <w:r>
        <w:rPr>
          <w:rtl/>
        </w:rPr>
        <w:t xml:space="preserve"> </w:t>
      </w:r>
      <w:r>
        <w:rPr>
          <w:rtl/>
        </w:rPr>
        <w:tab/>
      </w:r>
      <w:r>
        <w:rPr>
          <w:rFonts w:hint="cs"/>
          <w:rtl/>
        </w:rPr>
        <w:t>ראו לעניין זה פרק בנושא "ההסדרה המשפטית של פעולת ההתקנה".</w:t>
      </w:r>
    </w:p>
  </w:footnote>
  <w:footnote w:id="177">
    <w:p w:rsidR="00172C0A" w:rsidRDefault="00172C0A" w:rsidP="008B7857">
      <w:pPr>
        <w:pStyle w:val="ad"/>
        <w:ind w:left="282" w:hanging="566"/>
      </w:pPr>
      <w:r>
        <w:rPr>
          <w:rStyle w:val="af"/>
        </w:rPr>
        <w:footnoteRef/>
      </w:r>
      <w:r>
        <w:rPr>
          <w:rtl/>
        </w:rPr>
        <w:t xml:space="preserve"> </w:t>
      </w:r>
      <w:r>
        <w:rPr>
          <w:rtl/>
        </w:rPr>
        <w:tab/>
      </w:r>
      <w:r w:rsidRPr="005571ED">
        <w:rPr>
          <w:rFonts w:hint="eastAsia"/>
          <w:rtl/>
        </w:rPr>
        <w:t>ולא</w:t>
      </w:r>
      <w:r w:rsidRPr="005571ED">
        <w:rPr>
          <w:rtl/>
        </w:rPr>
        <w:t xml:space="preserve"> </w:t>
      </w:r>
      <w:r w:rsidRPr="005571ED">
        <w:rPr>
          <w:rFonts w:hint="eastAsia"/>
          <w:rtl/>
        </w:rPr>
        <w:t>באמצעות</w:t>
      </w:r>
      <w:r w:rsidRPr="005571ED">
        <w:rPr>
          <w:rtl/>
        </w:rPr>
        <w:t xml:space="preserve"> </w:t>
      </w:r>
      <w:r w:rsidRPr="005571ED">
        <w:rPr>
          <w:rFonts w:hint="eastAsia"/>
          <w:rtl/>
        </w:rPr>
        <w:t>פעולות</w:t>
      </w:r>
      <w:r w:rsidRPr="005571ED">
        <w:rPr>
          <w:rtl/>
        </w:rPr>
        <w:t xml:space="preserve"> </w:t>
      </w:r>
      <w:r w:rsidRPr="005571ED">
        <w:rPr>
          <w:rFonts w:hint="eastAsia"/>
          <w:rtl/>
        </w:rPr>
        <w:t>אוטומטיות</w:t>
      </w:r>
      <w:r w:rsidRPr="005571ED">
        <w:rPr>
          <w:rtl/>
        </w:rPr>
        <w:t xml:space="preserve"> </w:t>
      </w:r>
      <w:r w:rsidRPr="005571ED">
        <w:rPr>
          <w:rFonts w:hint="eastAsia"/>
          <w:rtl/>
        </w:rPr>
        <w:t>של</w:t>
      </w:r>
      <w:r w:rsidRPr="005571ED">
        <w:rPr>
          <w:rtl/>
        </w:rPr>
        <w:t xml:space="preserve"> </w:t>
      </w:r>
      <w:r w:rsidRPr="005571ED">
        <w:rPr>
          <w:rFonts w:hint="eastAsia"/>
          <w:rtl/>
        </w:rPr>
        <w:t>כלים</w:t>
      </w:r>
      <w:r w:rsidRPr="005571ED">
        <w:rPr>
          <w:rtl/>
        </w:rPr>
        <w:t xml:space="preserve"> </w:t>
      </w:r>
      <w:r w:rsidRPr="005571ED">
        <w:rPr>
          <w:rFonts w:hint="eastAsia"/>
          <w:rtl/>
        </w:rPr>
        <w:t>טכנולוגיים</w:t>
      </w:r>
      <w:r w:rsidRPr="005571ED">
        <w:rPr>
          <w:rtl/>
        </w:rPr>
        <w:t>.</w:t>
      </w:r>
    </w:p>
  </w:footnote>
  <w:footnote w:id="178">
    <w:p w:rsidR="00172C0A" w:rsidRDefault="00172C0A" w:rsidP="009C776C">
      <w:pPr>
        <w:pStyle w:val="ad"/>
        <w:ind w:left="282" w:hanging="566"/>
      </w:pPr>
      <w:r>
        <w:rPr>
          <w:rStyle w:val="af"/>
        </w:rPr>
        <w:footnoteRef/>
      </w:r>
      <w:r>
        <w:rPr>
          <w:rtl/>
        </w:rPr>
        <w:t xml:space="preserve"> </w:t>
      </w:r>
      <w:r>
        <w:rPr>
          <w:rtl/>
        </w:rPr>
        <w:tab/>
      </w:r>
      <w:r>
        <w:rPr>
          <w:rFonts w:hint="cs"/>
          <w:rtl/>
        </w:rPr>
        <w:t xml:space="preserve">ראו לעניין מעמד ההנחיות הפנימיות עע"מ 9187/07 </w:t>
      </w:r>
      <w:r w:rsidRPr="00E669E3">
        <w:rPr>
          <w:rFonts w:hint="eastAsia"/>
          <w:b/>
          <w:bCs/>
          <w:rtl/>
        </w:rPr>
        <w:t>אורי</w:t>
      </w:r>
      <w:r w:rsidRPr="00E669E3">
        <w:rPr>
          <w:b/>
          <w:bCs/>
          <w:rtl/>
        </w:rPr>
        <w:t xml:space="preserve"> </w:t>
      </w:r>
      <w:r w:rsidRPr="00E669E3">
        <w:rPr>
          <w:rFonts w:hint="eastAsia"/>
          <w:b/>
          <w:bCs/>
          <w:rtl/>
        </w:rPr>
        <w:t>לוזון</w:t>
      </w:r>
      <w:r w:rsidRPr="00E669E3">
        <w:rPr>
          <w:b/>
          <w:bCs/>
          <w:rtl/>
        </w:rPr>
        <w:t xml:space="preserve"> </w:t>
      </w:r>
      <w:r w:rsidRPr="00E669E3">
        <w:rPr>
          <w:rFonts w:hint="eastAsia"/>
          <w:b/>
          <w:bCs/>
          <w:rtl/>
        </w:rPr>
        <w:t>נ</w:t>
      </w:r>
      <w:r w:rsidRPr="00E669E3">
        <w:rPr>
          <w:b/>
          <w:bCs/>
          <w:rtl/>
        </w:rPr>
        <w:t xml:space="preserve">' </w:t>
      </w:r>
      <w:r w:rsidRPr="00E669E3">
        <w:rPr>
          <w:rFonts w:hint="eastAsia"/>
          <w:b/>
          <w:bCs/>
          <w:rtl/>
        </w:rPr>
        <w:t>משרד</w:t>
      </w:r>
      <w:r w:rsidRPr="00E669E3">
        <w:rPr>
          <w:b/>
          <w:bCs/>
          <w:rtl/>
        </w:rPr>
        <w:t xml:space="preserve"> </w:t>
      </w:r>
      <w:r w:rsidRPr="00E669E3">
        <w:rPr>
          <w:rFonts w:hint="eastAsia"/>
          <w:b/>
          <w:bCs/>
          <w:rtl/>
        </w:rPr>
        <w:t>הפנים</w:t>
      </w:r>
      <w:r>
        <w:rPr>
          <w:rFonts w:hint="cs"/>
          <w:rtl/>
        </w:rPr>
        <w:t xml:space="preserve"> (פורסם במאגר ממוחשב, 24.7.08).</w:t>
      </w:r>
    </w:p>
  </w:footnote>
  <w:footnote w:id="179">
    <w:p w:rsidR="00172C0A" w:rsidRPr="00674C73" w:rsidRDefault="00172C0A" w:rsidP="009C776C">
      <w:pPr>
        <w:pStyle w:val="ad"/>
        <w:ind w:left="282" w:hanging="566"/>
        <w:rPr>
          <w:rtl/>
        </w:rPr>
      </w:pPr>
      <w:r w:rsidRPr="00674C73">
        <w:rPr>
          <w:rStyle w:val="af"/>
        </w:rPr>
        <w:footnoteRef/>
      </w:r>
      <w:r w:rsidRPr="00674C73">
        <w:rPr>
          <w:rtl/>
        </w:rPr>
        <w:t xml:space="preserve"> </w:t>
      </w:r>
      <w:r>
        <w:rPr>
          <w:rtl/>
        </w:rPr>
        <w:tab/>
      </w:r>
      <w:r w:rsidRPr="00674C73">
        <w:rPr>
          <w:rFonts w:hint="cs"/>
          <w:rtl/>
        </w:rPr>
        <w:t>מדריך המשתמש של החטיבה בכלי המבצעי.</w:t>
      </w:r>
    </w:p>
  </w:footnote>
  <w:footnote w:id="180">
    <w:p w:rsidR="00172C0A" w:rsidRDefault="00172C0A" w:rsidP="009C776C">
      <w:pPr>
        <w:pStyle w:val="ad"/>
        <w:ind w:left="282" w:hanging="566"/>
        <w:rPr>
          <w:rtl/>
        </w:rPr>
      </w:pPr>
      <w:r>
        <w:rPr>
          <w:rStyle w:val="af"/>
        </w:rPr>
        <w:footnoteRef/>
      </w:r>
      <w:r>
        <w:rPr>
          <w:rtl/>
        </w:rPr>
        <w:t xml:space="preserve"> </w:t>
      </w:r>
      <w:r>
        <w:rPr>
          <w:rtl/>
        </w:rPr>
        <w:tab/>
      </w:r>
      <w:r>
        <w:rPr>
          <w:rFonts w:hint="cs"/>
          <w:rtl/>
        </w:rPr>
        <w:t xml:space="preserve">השימוש בכלי הטכנולוגי לא אושר במלואו לנוכח שימוש במתווה התקנה 7 אשר עורר קושי משפטי מזה מספר שנים עוד בטרם השימוש בכלי האמור. האישור המשפטי שניתן בדיעבד היה חלקי לנוכח העובדה כי מתווה התקנה 7 עדיין מעורר קושי משפטי. ולכן, הפעולה המנהלית שביצעה המשטרה של שימוש בכלי התבצעה ללא קבלת אישור משפטי בטרם ביצועה, היא לא הוכשרה בדיעבד במלואה, ולא ניתן לקבוע כי השימוש בכלי בוצע כדין. מצב זה שונה מכלי טכנולוגי אחר שפעולות ההתקנה המבוצעות באמצעותו הוכשרו בדיעבד בחוות דעת משפטית במלואן. </w:t>
      </w:r>
    </w:p>
  </w:footnote>
  <w:footnote w:id="181">
    <w:p w:rsidR="00172C0A" w:rsidRDefault="00172C0A" w:rsidP="009C776C">
      <w:pPr>
        <w:pStyle w:val="ad"/>
        <w:ind w:left="282" w:hanging="566"/>
        <w:rPr>
          <w:rtl/>
        </w:rPr>
      </w:pPr>
      <w:r>
        <w:rPr>
          <w:rStyle w:val="af"/>
        </w:rPr>
        <w:footnoteRef/>
      </w:r>
      <w:r>
        <w:rPr>
          <w:rtl/>
        </w:rPr>
        <w:t xml:space="preserve"> </w:t>
      </w:r>
      <w:r>
        <w:rPr>
          <w:rtl/>
        </w:rPr>
        <w:tab/>
      </w:r>
      <w:r>
        <w:rPr>
          <w:rFonts w:hint="cs"/>
          <w:rtl/>
        </w:rPr>
        <w:t>ראו לעניין זה פרק בנושא "</w:t>
      </w:r>
      <w:r w:rsidRPr="00227BB1">
        <w:rPr>
          <w:rtl/>
        </w:rPr>
        <w:t>בדיקות היתכנות להפעלת האזנת סתר לתקשורת בין מחשבים</w:t>
      </w:r>
      <w:r>
        <w:rPr>
          <w:rFonts w:hint="cs"/>
          <w:rtl/>
        </w:rPr>
        <w:t xml:space="preserve">" לעיל. </w:t>
      </w:r>
    </w:p>
  </w:footnote>
  <w:footnote w:id="182">
    <w:p w:rsidR="00172C0A" w:rsidRDefault="00172C0A" w:rsidP="009C776C">
      <w:pPr>
        <w:pStyle w:val="ad"/>
        <w:ind w:left="282" w:hanging="566"/>
        <w:rPr>
          <w:rtl/>
        </w:rPr>
      </w:pPr>
      <w:r>
        <w:rPr>
          <w:rStyle w:val="af"/>
        </w:rPr>
        <w:footnoteRef/>
      </w:r>
      <w:r>
        <w:rPr>
          <w:rFonts w:hint="cs"/>
          <w:rtl/>
        </w:rPr>
        <w:t xml:space="preserve"> </w:t>
      </w:r>
      <w:r>
        <w:rPr>
          <w:b/>
          <w:bCs/>
          <w:rtl/>
        </w:rPr>
        <w:tab/>
      </w:r>
      <w:bookmarkStart w:id="504" w:name="_Hlk155720207"/>
      <w:r w:rsidRPr="00B375C6">
        <w:rPr>
          <w:rFonts w:hint="cs"/>
          <w:b/>
          <w:bCs/>
          <w:rtl/>
        </w:rPr>
        <w:t>כימוס</w:t>
      </w:r>
      <w:r>
        <w:rPr>
          <w:rFonts w:hint="cs"/>
          <w:rtl/>
        </w:rPr>
        <w:t xml:space="preserve"> - </w:t>
      </w:r>
      <w:r>
        <w:rPr>
          <w:rFonts w:hint="cs"/>
        </w:rPr>
        <w:t>E</w:t>
      </w:r>
      <w:r>
        <w:t>ncapsulation</w:t>
      </w:r>
      <w:r>
        <w:rPr>
          <w:rFonts w:hint="cs"/>
          <w:rtl/>
        </w:rPr>
        <w:t>, "אריזה" של פעולות לתוך מודול (תוכנה עצמאית) שמכיל את הנתונים והפעולות הנדרשות לביצוע. כך המפעיל אינו יכול לשנות את הפעולות האוטומטיות שמבוצעות על ידי המודול, והשליטה על הרחבת המודול או שינוי של הפעולות שהוא מבצע נעשית על ידי גורמי פיתוח מורשים בלבד.</w:t>
      </w:r>
      <w:bookmarkEnd w:id="504"/>
      <w:r>
        <w:rPr>
          <w:rFonts w:hint="cs"/>
          <w:rtl/>
        </w:rPr>
        <w:t xml:space="preserve"> </w:t>
      </w:r>
    </w:p>
  </w:footnote>
  <w:footnote w:id="183">
    <w:p w:rsidR="00172C0A" w:rsidRDefault="00172C0A" w:rsidP="009C776C">
      <w:pPr>
        <w:pStyle w:val="ad"/>
        <w:ind w:left="282" w:hanging="566"/>
        <w:rPr>
          <w:rtl/>
        </w:rPr>
      </w:pPr>
      <w:r>
        <w:rPr>
          <w:rStyle w:val="af"/>
        </w:rPr>
        <w:footnoteRef/>
      </w:r>
      <w:r>
        <w:rPr>
          <w:rtl/>
        </w:rPr>
        <w:t xml:space="preserve"> </w:t>
      </w:r>
      <w:r>
        <w:rPr>
          <w:rtl/>
        </w:rPr>
        <w:tab/>
      </w:r>
      <w:r>
        <w:rPr>
          <w:rFonts w:hint="cs"/>
          <w:rtl/>
        </w:rPr>
        <w:t xml:space="preserve">ראו לעניין זה "פלט": נתונים, סימנים, מושגים או הוראות המופקים, בכל דרך שהיא, על ידי מחשב. כמפורט </w:t>
      </w:r>
      <w:r w:rsidRPr="00F45E50">
        <w:rPr>
          <w:rFonts w:hint="cs"/>
          <w:rtl/>
        </w:rPr>
        <w:t>ב</w:t>
      </w:r>
      <w:r w:rsidRPr="004959E8">
        <w:rPr>
          <w:rFonts w:hint="eastAsia"/>
          <w:b/>
          <w:bCs/>
          <w:rtl/>
        </w:rPr>
        <w:t>חוק</w:t>
      </w:r>
      <w:r w:rsidRPr="004959E8">
        <w:rPr>
          <w:b/>
          <w:bCs/>
          <w:rtl/>
        </w:rPr>
        <w:t xml:space="preserve"> </w:t>
      </w:r>
      <w:r w:rsidRPr="004959E8">
        <w:rPr>
          <w:rFonts w:hint="eastAsia"/>
          <w:b/>
          <w:bCs/>
          <w:rtl/>
        </w:rPr>
        <w:t>המחשבים</w:t>
      </w:r>
      <w:r>
        <w:rPr>
          <w:rFonts w:hint="cs"/>
          <w:rtl/>
        </w:rPr>
        <w:t xml:space="preserve">, התשנ"ה-1995. </w:t>
      </w:r>
      <w:r w:rsidRPr="00B24AB1">
        <w:rPr>
          <w:rtl/>
        </w:rPr>
        <w:t>חדירה לחומר מחשב היא כהגדרתה בחוק המחשבים, התשנ"ה-1995, חדירה באמצעות התקשרות או התחברות עם מחשב</w:t>
      </w:r>
      <w:r>
        <w:rPr>
          <w:rtl/>
        </w:rPr>
        <w:t>,</w:t>
      </w:r>
      <w:r w:rsidRPr="00B24AB1">
        <w:rPr>
          <w:rtl/>
        </w:rPr>
        <w:t xml:space="preserve"> או </w:t>
      </w:r>
      <w:r>
        <w:rPr>
          <w:rFonts w:hint="cs"/>
          <w:rtl/>
        </w:rPr>
        <w:t xml:space="preserve">על ידי </w:t>
      </w:r>
      <w:r w:rsidRPr="00B24AB1">
        <w:rPr>
          <w:rtl/>
        </w:rPr>
        <w:t>הפעלתו.</w:t>
      </w:r>
    </w:p>
  </w:footnote>
  <w:footnote w:id="184">
    <w:p w:rsidR="00172C0A" w:rsidRDefault="00172C0A" w:rsidP="009C776C">
      <w:pPr>
        <w:pStyle w:val="ad"/>
        <w:ind w:left="282" w:hanging="566"/>
      </w:pPr>
      <w:r>
        <w:rPr>
          <w:rStyle w:val="af"/>
        </w:rPr>
        <w:footnoteRef/>
      </w:r>
      <w:r>
        <w:rPr>
          <w:rtl/>
        </w:rPr>
        <w:t xml:space="preserve"> </w:t>
      </w:r>
      <w:r>
        <w:rPr>
          <w:rtl/>
        </w:rPr>
        <w:tab/>
      </w:r>
      <w:r>
        <w:rPr>
          <w:rFonts w:hint="cs"/>
          <w:rtl/>
        </w:rPr>
        <w:t xml:space="preserve">ראו לעניין זה, חיים ויסמונסקי, </w:t>
      </w:r>
      <w:r w:rsidRPr="00870117">
        <w:rPr>
          <w:rFonts w:hint="cs"/>
          <w:b/>
          <w:bCs/>
          <w:rtl/>
        </w:rPr>
        <w:t>חקירה פלילית במרחב הסייבר</w:t>
      </w:r>
      <w:r>
        <w:rPr>
          <w:rFonts w:hint="cs"/>
          <w:rtl/>
        </w:rPr>
        <w:t xml:space="preserve"> (2015), עמ' 171- 222. </w:t>
      </w:r>
    </w:p>
  </w:footnote>
  <w:footnote w:id="185">
    <w:p w:rsidR="00172C0A" w:rsidRDefault="00172C0A" w:rsidP="009C776C">
      <w:pPr>
        <w:pStyle w:val="ad"/>
        <w:ind w:left="282" w:hanging="566"/>
        <w:rPr>
          <w:rtl/>
        </w:rPr>
      </w:pPr>
      <w:r>
        <w:rPr>
          <w:rStyle w:val="af"/>
        </w:rPr>
        <w:footnoteRef/>
      </w:r>
      <w:r>
        <w:rPr>
          <w:rtl/>
        </w:rPr>
        <w:t xml:space="preserve"> </w:t>
      </w:r>
      <w:r>
        <w:rPr>
          <w:b/>
          <w:bCs/>
          <w:rtl/>
        </w:rPr>
        <w:tab/>
      </w:r>
      <w:r w:rsidRPr="00CC096F">
        <w:rPr>
          <w:rFonts w:hint="cs"/>
          <w:b/>
          <w:bCs/>
          <w:rtl/>
        </w:rPr>
        <w:t>חיפוש סמוי</w:t>
      </w:r>
      <w:r>
        <w:rPr>
          <w:rFonts w:hint="cs"/>
          <w:rtl/>
        </w:rPr>
        <w:t xml:space="preserve"> - </w:t>
      </w:r>
      <w:r w:rsidRPr="00D94A21">
        <w:rPr>
          <w:rtl/>
        </w:rPr>
        <w:t>איסוף של מידע אגור</w:t>
      </w:r>
      <w:r>
        <w:rPr>
          <w:rFonts w:hint="cs"/>
          <w:rtl/>
        </w:rPr>
        <w:t xml:space="preserve"> במכשיר קצה </w:t>
      </w:r>
      <w:r w:rsidRPr="00BE35CC">
        <w:rPr>
          <w:rFonts w:hint="cs"/>
          <w:rtl/>
        </w:rPr>
        <w:t>המתבצע ללא ידיעת בעל המכשיר</w:t>
      </w:r>
      <w:r>
        <w:rPr>
          <w:rFonts w:hint="cs"/>
          <w:rtl/>
        </w:rPr>
        <w:t>, ובשונה מהאזנת סתר הוא צופה פני עבר.</w:t>
      </w:r>
    </w:p>
  </w:footnote>
  <w:footnote w:id="186">
    <w:p w:rsidR="00172C0A" w:rsidRDefault="00172C0A" w:rsidP="009C776C">
      <w:pPr>
        <w:pStyle w:val="ad"/>
        <w:ind w:left="282" w:hanging="566"/>
      </w:pPr>
      <w:r>
        <w:rPr>
          <w:rStyle w:val="af"/>
        </w:rPr>
        <w:footnoteRef/>
      </w:r>
      <w:r>
        <w:rPr>
          <w:rtl/>
        </w:rPr>
        <w:t xml:space="preserve"> </w:t>
      </w:r>
      <w:r>
        <w:rPr>
          <w:rtl/>
        </w:rPr>
        <w:tab/>
      </w:r>
      <w:r>
        <w:rPr>
          <w:rFonts w:hint="cs"/>
          <w:rtl/>
        </w:rPr>
        <w:t xml:space="preserve">דוח צוות מררי, עמ' 89. </w:t>
      </w:r>
    </w:p>
  </w:footnote>
  <w:footnote w:id="187">
    <w:p w:rsidR="00172C0A" w:rsidRDefault="00172C0A" w:rsidP="009C776C">
      <w:pPr>
        <w:pStyle w:val="ad"/>
        <w:ind w:left="282" w:hanging="566"/>
      </w:pPr>
      <w:r>
        <w:rPr>
          <w:rStyle w:val="af"/>
        </w:rPr>
        <w:footnoteRef/>
      </w:r>
      <w:r>
        <w:rPr>
          <w:rtl/>
        </w:rPr>
        <w:t xml:space="preserve"> </w:t>
      </w:r>
      <w:r>
        <w:rPr>
          <w:rtl/>
        </w:rPr>
        <w:tab/>
      </w:r>
      <w:r>
        <w:rPr>
          <w:rFonts w:hint="cs"/>
          <w:rtl/>
        </w:rPr>
        <w:t xml:space="preserve">בהתאם </w:t>
      </w:r>
      <w:r w:rsidRPr="0021269D">
        <w:rPr>
          <w:rFonts w:hint="eastAsia"/>
          <w:b/>
          <w:bCs/>
          <w:rtl/>
        </w:rPr>
        <w:t>לפקודת</w:t>
      </w:r>
      <w:r w:rsidRPr="0021269D">
        <w:rPr>
          <w:b/>
          <w:bCs/>
          <w:rtl/>
        </w:rPr>
        <w:t xml:space="preserve"> </w:t>
      </w:r>
      <w:r w:rsidRPr="0021269D">
        <w:rPr>
          <w:rFonts w:hint="eastAsia"/>
          <w:b/>
          <w:bCs/>
          <w:rtl/>
        </w:rPr>
        <w:t>סדר</w:t>
      </w:r>
      <w:r w:rsidRPr="0021269D">
        <w:rPr>
          <w:b/>
          <w:bCs/>
          <w:rtl/>
        </w:rPr>
        <w:t xml:space="preserve"> </w:t>
      </w:r>
      <w:r w:rsidRPr="0021269D">
        <w:rPr>
          <w:rFonts w:hint="eastAsia"/>
          <w:b/>
          <w:bCs/>
          <w:rtl/>
        </w:rPr>
        <w:t>הדין</w:t>
      </w:r>
      <w:r w:rsidRPr="0021269D">
        <w:rPr>
          <w:b/>
          <w:bCs/>
          <w:rtl/>
        </w:rPr>
        <w:t xml:space="preserve"> </w:t>
      </w:r>
      <w:r w:rsidRPr="0021269D">
        <w:rPr>
          <w:rFonts w:hint="eastAsia"/>
          <w:b/>
          <w:bCs/>
          <w:rtl/>
        </w:rPr>
        <w:t>הפלילי</w:t>
      </w:r>
      <w:r w:rsidRPr="0021269D">
        <w:rPr>
          <w:b/>
          <w:bCs/>
          <w:rtl/>
        </w:rPr>
        <w:t xml:space="preserve"> (מעצר </w:t>
      </w:r>
      <w:r w:rsidRPr="0021269D">
        <w:rPr>
          <w:rFonts w:hint="eastAsia"/>
          <w:b/>
          <w:bCs/>
          <w:rtl/>
        </w:rPr>
        <w:t>וחיפוש</w:t>
      </w:r>
      <w:r w:rsidRPr="0021269D">
        <w:rPr>
          <w:b/>
          <w:bCs/>
          <w:rtl/>
        </w:rPr>
        <w:t xml:space="preserve">) [נוסח </w:t>
      </w:r>
      <w:r w:rsidRPr="0021269D">
        <w:rPr>
          <w:rFonts w:hint="eastAsia"/>
          <w:b/>
          <w:bCs/>
          <w:rtl/>
        </w:rPr>
        <w:t>חדש</w:t>
      </w:r>
      <w:r w:rsidRPr="0021269D">
        <w:rPr>
          <w:b/>
          <w:bCs/>
          <w:rtl/>
        </w:rPr>
        <w:t>]</w:t>
      </w:r>
      <w:r>
        <w:rPr>
          <w:rFonts w:hint="cs"/>
          <w:rtl/>
        </w:rPr>
        <w:t xml:space="preserve">, התשכ"ט-1969 הקובעת כי חדירה לחומר מחשב וכן הפקת פלט חדירה יראו אותן כחיפוש וכי קבלת מידע מתקשורת בין מחשבים אגב חיפוש, לא תיחשב האזנת סתר. </w:t>
      </w:r>
    </w:p>
  </w:footnote>
  <w:footnote w:id="188">
    <w:p w:rsidR="00172C0A" w:rsidRPr="003D7386" w:rsidRDefault="00172C0A" w:rsidP="009C776C">
      <w:pPr>
        <w:pStyle w:val="ad"/>
        <w:ind w:left="282" w:hanging="566"/>
      </w:pPr>
      <w:r w:rsidRPr="003D7386">
        <w:rPr>
          <w:rStyle w:val="af"/>
        </w:rPr>
        <w:footnoteRef/>
      </w:r>
      <w:r w:rsidRPr="003D7386">
        <w:rPr>
          <w:rtl/>
        </w:rPr>
        <w:t xml:space="preserve"> </w:t>
      </w:r>
      <w:r>
        <w:rPr>
          <w:rtl/>
        </w:rPr>
        <w:tab/>
      </w:r>
      <w:r w:rsidRPr="00440B71">
        <w:rPr>
          <w:rFonts w:hint="eastAsia"/>
          <w:rtl/>
        </w:rPr>
        <w:t>זוהי</w:t>
      </w:r>
      <w:r w:rsidRPr="00440B71">
        <w:rPr>
          <w:rtl/>
        </w:rPr>
        <w:t xml:space="preserve"> ההבחנה הבסיסית הנשענת על מבחן </w:t>
      </w:r>
      <w:r>
        <w:rPr>
          <w:rFonts w:hint="cs"/>
          <w:rtl/>
        </w:rPr>
        <w:t>דרך איסוף המידע</w:t>
      </w:r>
      <w:r w:rsidRPr="00440B71">
        <w:rPr>
          <w:rtl/>
        </w:rPr>
        <w:t>.</w:t>
      </w:r>
    </w:p>
  </w:footnote>
  <w:footnote w:id="189">
    <w:p w:rsidR="00172C0A" w:rsidRDefault="00172C0A" w:rsidP="009C776C">
      <w:pPr>
        <w:pStyle w:val="ad"/>
        <w:ind w:left="282" w:hanging="566"/>
        <w:rPr>
          <w:rtl/>
        </w:rPr>
      </w:pPr>
      <w:r>
        <w:rPr>
          <w:rStyle w:val="af"/>
        </w:rPr>
        <w:footnoteRef/>
      </w:r>
      <w:r>
        <w:rPr>
          <w:rtl/>
        </w:rPr>
        <w:t xml:space="preserve"> </w:t>
      </w:r>
      <w:r>
        <w:rPr>
          <w:b/>
          <w:bCs/>
          <w:rtl/>
        </w:rPr>
        <w:tab/>
      </w:r>
      <w:r w:rsidRPr="00EE3156">
        <w:rPr>
          <w:rFonts w:hint="cs"/>
          <w:b/>
          <w:bCs/>
          <w:rtl/>
        </w:rPr>
        <w:t>סנכרון</w:t>
      </w:r>
      <w:r>
        <w:rPr>
          <w:rFonts w:hint="cs"/>
          <w:rtl/>
        </w:rPr>
        <w:t xml:space="preserve"> - יצירת העתק של מידע דיגיטלי, כגון בסיסי נתונים או קבצים, שהופקו במכשיר אחד, והעברת הפלט למכשיר קצה אחר. מדובר בעדכון תדיר של המידע הדיגיטלי שנועד לשמור על עקביות המידע, כך שכל המידע הרלוונטי ייוותר מהימן ותקין. יצוין כי המונח "סנכרון" לא הוגדר במלואו על ידי צוות מררי, אך הצוות ציין כי מדובר בהעברת מידע שנוצר במחשב אחד למחשב אחר.</w:t>
      </w:r>
    </w:p>
  </w:footnote>
  <w:footnote w:id="190">
    <w:p w:rsidR="00172C0A" w:rsidRDefault="00172C0A" w:rsidP="009C776C">
      <w:pPr>
        <w:pStyle w:val="ad"/>
        <w:ind w:left="282" w:hanging="566"/>
        <w:rPr>
          <w:rtl/>
        </w:rPr>
      </w:pPr>
      <w:r>
        <w:rPr>
          <w:rStyle w:val="af"/>
        </w:rPr>
        <w:footnoteRef/>
      </w:r>
      <w:r>
        <w:rPr>
          <w:rtl/>
        </w:rPr>
        <w:t xml:space="preserve"> </w:t>
      </w:r>
      <w:r>
        <w:rPr>
          <w:rtl/>
        </w:rPr>
        <w:tab/>
      </w:r>
      <w:r w:rsidRPr="00EE3156">
        <w:rPr>
          <w:rFonts w:hint="cs"/>
          <w:b/>
          <w:bCs/>
          <w:rtl/>
        </w:rPr>
        <w:t>גיבוי</w:t>
      </w:r>
      <w:r>
        <w:rPr>
          <w:rFonts w:hint="cs"/>
          <w:rtl/>
        </w:rPr>
        <w:t xml:space="preserve"> - יצירת העתק של מידע דיגיטלי במכשיר קצה אחר כעתודה במקום מכשיר הקצה המקורי מחשש לאובדן המכשיר המקורי, לתקלה או לקלקול בו. ראו לעניין זה ת"י 1080 חלק 4, </w:t>
      </w:r>
      <w:r w:rsidRPr="00AA4BE6">
        <w:rPr>
          <w:rFonts w:hint="eastAsia"/>
          <w:b/>
          <w:bCs/>
          <w:rtl/>
        </w:rPr>
        <w:t>טכנולוגיית</w:t>
      </w:r>
      <w:r w:rsidRPr="00AA4BE6">
        <w:rPr>
          <w:b/>
          <w:bCs/>
          <w:rtl/>
        </w:rPr>
        <w:t xml:space="preserve"> המידע - </w:t>
      </w:r>
      <w:r w:rsidRPr="00AA4BE6">
        <w:rPr>
          <w:rFonts w:hint="eastAsia"/>
          <w:b/>
          <w:bCs/>
          <w:rtl/>
        </w:rPr>
        <w:t>הגדרות</w:t>
      </w:r>
      <w:r w:rsidRPr="00AA4BE6">
        <w:rPr>
          <w:b/>
          <w:bCs/>
          <w:rtl/>
        </w:rPr>
        <w:t xml:space="preserve"> </w:t>
      </w:r>
      <w:r w:rsidRPr="00AA4BE6">
        <w:rPr>
          <w:rFonts w:hint="eastAsia"/>
          <w:b/>
          <w:bCs/>
          <w:rtl/>
        </w:rPr>
        <w:t>ומונחים</w:t>
      </w:r>
      <w:r w:rsidRPr="00AA4BE6">
        <w:rPr>
          <w:b/>
          <w:bCs/>
          <w:rtl/>
        </w:rPr>
        <w:t xml:space="preserve">: </w:t>
      </w:r>
      <w:r w:rsidRPr="00AA4BE6">
        <w:rPr>
          <w:rFonts w:hint="eastAsia"/>
          <w:b/>
          <w:bCs/>
          <w:rtl/>
        </w:rPr>
        <w:t>ארגון</w:t>
      </w:r>
      <w:r w:rsidRPr="00AA4BE6">
        <w:rPr>
          <w:b/>
          <w:bCs/>
          <w:rtl/>
        </w:rPr>
        <w:t xml:space="preserve"> </w:t>
      </w:r>
      <w:r w:rsidRPr="00AA4BE6">
        <w:rPr>
          <w:rFonts w:hint="eastAsia"/>
          <w:b/>
          <w:bCs/>
          <w:rtl/>
        </w:rPr>
        <w:t>נתונים</w:t>
      </w:r>
      <w:r>
        <w:rPr>
          <w:rFonts w:hint="cs"/>
          <w:rtl/>
        </w:rPr>
        <w:t xml:space="preserve"> (פברואר 2012). משרד המשפטים הגדיר זאת כפעולה שבה מועבר כל המידע ממכשיר אחד לאחר. </w:t>
      </w:r>
    </w:p>
  </w:footnote>
  <w:footnote w:id="191">
    <w:p w:rsidR="00172C0A" w:rsidRDefault="00172C0A" w:rsidP="009C776C">
      <w:pPr>
        <w:pStyle w:val="ad"/>
        <w:ind w:left="282" w:hanging="566"/>
        <w:rPr>
          <w:rtl/>
        </w:rPr>
      </w:pPr>
      <w:r>
        <w:rPr>
          <w:rStyle w:val="af"/>
        </w:rPr>
        <w:footnoteRef/>
      </w:r>
      <w:r>
        <w:rPr>
          <w:rtl/>
        </w:rPr>
        <w:t xml:space="preserve"> </w:t>
      </w:r>
      <w:r>
        <w:rPr>
          <w:b/>
          <w:bCs/>
          <w:rtl/>
        </w:rPr>
        <w:tab/>
      </w:r>
      <w:bookmarkStart w:id="515" w:name="_Hlk218760495"/>
      <w:r>
        <w:rPr>
          <w:rFonts w:hint="cs"/>
          <w:rtl/>
        </w:rPr>
        <w:t xml:space="preserve"> </w:t>
      </w:r>
      <w:bookmarkEnd w:id="515"/>
      <w:r w:rsidRPr="0021269D">
        <w:rPr>
          <w:b/>
          <w:bCs/>
          <w:rtl/>
        </w:rPr>
        <w:t xml:space="preserve">מטרה </w:t>
      </w:r>
      <w:r w:rsidRPr="00625661">
        <w:rPr>
          <w:rtl/>
        </w:rPr>
        <w:t>- רישום של יעד האזנה שהמשטרה תתקין על מכשיר קצה שברשותו כלי טכנולוגי, וזיהויו מתבסס על נתון זיהוי חד-ערכי</w:t>
      </w:r>
      <w:r>
        <w:rPr>
          <w:rFonts w:hint="cs"/>
          <w:rtl/>
        </w:rPr>
        <w:t>.</w:t>
      </w:r>
    </w:p>
  </w:footnote>
  <w:footnote w:id="192">
    <w:p w:rsidR="00172C0A" w:rsidRDefault="00172C0A" w:rsidP="009C776C">
      <w:pPr>
        <w:pStyle w:val="ad"/>
        <w:ind w:left="282" w:hanging="566"/>
        <w:rPr>
          <w:rtl/>
        </w:rPr>
      </w:pPr>
      <w:r>
        <w:rPr>
          <w:rStyle w:val="af"/>
        </w:rPr>
        <w:footnoteRef/>
      </w:r>
      <w:r>
        <w:rPr>
          <w:rtl/>
        </w:rPr>
        <w:t xml:space="preserve"> </w:t>
      </w:r>
      <w:r>
        <w:rPr>
          <w:rtl/>
        </w:rPr>
        <w:tab/>
      </w:r>
      <w:r>
        <w:rPr>
          <w:rFonts w:hint="cs"/>
          <w:rtl/>
        </w:rPr>
        <w:t>לפי</w:t>
      </w:r>
      <w:r w:rsidRPr="00C7009A">
        <w:rPr>
          <w:rtl/>
        </w:rPr>
        <w:t xml:space="preserve"> מאגרי נתונים </w:t>
      </w:r>
      <w:r>
        <w:rPr>
          <w:rFonts w:hint="cs"/>
          <w:rtl/>
        </w:rPr>
        <w:t>שקיבל צוות מררי</w:t>
      </w:r>
      <w:r w:rsidRPr="00C7009A">
        <w:rPr>
          <w:rtl/>
        </w:rPr>
        <w:t xml:space="preserve"> גובשה העמדה המשפטית בדוח </w:t>
      </w:r>
      <w:r>
        <w:rPr>
          <w:rFonts w:hint="cs"/>
          <w:rtl/>
        </w:rPr>
        <w:t>הצוות</w:t>
      </w:r>
      <w:r w:rsidRPr="00C7009A">
        <w:rPr>
          <w:rtl/>
        </w:rPr>
        <w:t xml:space="preserve"> שהתייחסה לסוגי המידע שניתן לאסוף באמצעות הכלים הטכנולוגיים</w:t>
      </w:r>
      <w:r>
        <w:rPr>
          <w:rFonts w:hint="cs"/>
          <w:rtl/>
        </w:rPr>
        <w:t>. כמו כן, ה</w:t>
      </w:r>
      <w:r w:rsidRPr="00C7009A">
        <w:rPr>
          <w:rtl/>
        </w:rPr>
        <w:t xml:space="preserve">בהיר </w:t>
      </w:r>
      <w:r>
        <w:rPr>
          <w:rFonts w:hint="cs"/>
          <w:rtl/>
        </w:rPr>
        <w:t>הייעוץ המשפטי לממשלה</w:t>
      </w:r>
      <w:r w:rsidRPr="00C7009A">
        <w:rPr>
          <w:rtl/>
        </w:rPr>
        <w:t xml:space="preserve"> במשרד המשפטים</w:t>
      </w:r>
      <w:r>
        <w:rPr>
          <w:rFonts w:hint="cs"/>
          <w:rtl/>
        </w:rPr>
        <w:t xml:space="preserve"> בתשובתו לטיוטת הדוח</w:t>
      </w:r>
      <w:r w:rsidRPr="00C7009A">
        <w:rPr>
          <w:rtl/>
        </w:rPr>
        <w:t xml:space="preserve"> את התייחסותו לחלק מסוגי המידע שנאספים באמצעות הכלים הטכנולוגיים והשלים התייחסות לשבעה סוגי מידע שחוקיותם לא נבחנה או </w:t>
      </w:r>
      <w:r>
        <w:rPr>
          <w:rFonts w:hint="cs"/>
          <w:rtl/>
        </w:rPr>
        <w:t xml:space="preserve">שהיא </w:t>
      </w:r>
      <w:r w:rsidRPr="00C7009A">
        <w:rPr>
          <w:rtl/>
        </w:rPr>
        <w:t>נבחנה באופן חלקי בלבד בעמדה המשפטית שבדוח צוות מררי</w:t>
      </w:r>
      <w:r>
        <w:rPr>
          <w:rFonts w:hint="cs"/>
          <w:rtl/>
        </w:rPr>
        <w:t xml:space="preserve">. כלל ההבהרות מוצגות. </w:t>
      </w:r>
    </w:p>
  </w:footnote>
  <w:footnote w:id="193">
    <w:p w:rsidR="00172C0A" w:rsidRDefault="00172C0A" w:rsidP="009C776C">
      <w:pPr>
        <w:pStyle w:val="ad"/>
        <w:ind w:left="282" w:hanging="566"/>
        <w:rPr>
          <w:rtl/>
        </w:rPr>
      </w:pPr>
      <w:r>
        <w:rPr>
          <w:rStyle w:val="af"/>
        </w:rPr>
        <w:footnoteRef/>
      </w:r>
      <w:r>
        <w:rPr>
          <w:rtl/>
        </w:rPr>
        <w:t xml:space="preserve"> </w:t>
      </w:r>
      <w:r>
        <w:rPr>
          <w:rtl/>
        </w:rPr>
        <w:tab/>
      </w:r>
      <w:r w:rsidRPr="009D0842">
        <w:rPr>
          <w:rFonts w:hint="cs"/>
          <w:b/>
          <w:bCs/>
          <w:rtl/>
        </w:rPr>
        <w:t>דוח צוות מררי המסווג</w:t>
      </w:r>
      <w:r>
        <w:rPr>
          <w:rFonts w:hint="cs"/>
          <w:rtl/>
        </w:rPr>
        <w:t>, נספח ב' - "עמדה משפטית" (נובמבר 2022) ומסמכי משרד המשפטים בנושא לאחר פרסום דוח צוות מררי.</w:t>
      </w:r>
    </w:p>
  </w:footnote>
  <w:footnote w:id="194">
    <w:p w:rsidR="00172C0A" w:rsidRDefault="00172C0A" w:rsidP="009C776C">
      <w:pPr>
        <w:pStyle w:val="ad"/>
        <w:ind w:left="282" w:hanging="566"/>
        <w:rPr>
          <w:rtl/>
        </w:rPr>
      </w:pPr>
      <w:r>
        <w:rPr>
          <w:rStyle w:val="af"/>
        </w:rPr>
        <w:footnoteRef/>
      </w:r>
      <w:r>
        <w:rPr>
          <w:rtl/>
        </w:rPr>
        <w:t xml:space="preserve"> </w:t>
      </w:r>
      <w:r>
        <w:rPr>
          <w:rtl/>
        </w:rPr>
        <w:tab/>
      </w:r>
      <w:r w:rsidRPr="007B3568">
        <w:rPr>
          <w:rFonts w:hint="cs"/>
          <w:b/>
          <w:bCs/>
          <w:rtl/>
        </w:rPr>
        <w:t>ה"ס</w:t>
      </w:r>
      <w:r>
        <w:rPr>
          <w:rFonts w:hint="cs"/>
          <w:rtl/>
        </w:rPr>
        <w:t xml:space="preserve"> - חוק </w:t>
      </w:r>
      <w:r w:rsidRPr="009C776C">
        <w:rPr>
          <w:rFonts w:hint="cs"/>
          <w:b/>
          <w:bCs/>
          <w:rtl/>
        </w:rPr>
        <w:t>האזנת</w:t>
      </w:r>
      <w:r>
        <w:rPr>
          <w:rFonts w:hint="cs"/>
          <w:rtl/>
        </w:rPr>
        <w:t xml:space="preserve"> סתר; נתק"ש - חוק נתוני תקשורת.</w:t>
      </w:r>
    </w:p>
  </w:footnote>
  <w:footnote w:id="195">
    <w:p w:rsidR="00172C0A" w:rsidRDefault="00172C0A" w:rsidP="009C776C">
      <w:pPr>
        <w:pStyle w:val="ad"/>
        <w:ind w:left="282" w:hanging="566"/>
      </w:pPr>
      <w:r>
        <w:rPr>
          <w:rStyle w:val="af"/>
        </w:rPr>
        <w:footnoteRef/>
      </w:r>
      <w:r>
        <w:rPr>
          <w:rtl/>
        </w:rPr>
        <w:t xml:space="preserve"> </w:t>
      </w:r>
      <w:r>
        <w:rPr>
          <w:rtl/>
        </w:rPr>
        <w:tab/>
      </w:r>
      <w:r>
        <w:rPr>
          <w:rFonts w:hint="cs"/>
          <w:rtl/>
        </w:rPr>
        <w:t xml:space="preserve">התייחסות הייעוץ המשפטי לממשלה במשרד המשפטים לדוח, יוני 2024 וכן מסמכים נוספים הנוגעים לאישור המשפטי של כלים טכנולוגיים ספציפיים. </w:t>
      </w:r>
    </w:p>
  </w:footnote>
  <w:footnote w:id="196">
    <w:p w:rsidR="00172C0A" w:rsidRDefault="00172C0A" w:rsidP="009C776C">
      <w:pPr>
        <w:pStyle w:val="ad"/>
        <w:ind w:left="282" w:hanging="566"/>
      </w:pPr>
      <w:r>
        <w:rPr>
          <w:rStyle w:val="af"/>
        </w:rPr>
        <w:footnoteRef/>
      </w:r>
      <w:r>
        <w:rPr>
          <w:rtl/>
        </w:rPr>
        <w:t xml:space="preserve"> </w:t>
      </w:r>
      <w:r>
        <w:rPr>
          <w:rtl/>
        </w:rPr>
        <w:tab/>
      </w:r>
      <w:r>
        <w:rPr>
          <w:rFonts w:hint="cs"/>
          <w:rtl/>
        </w:rPr>
        <w:t xml:space="preserve">התייחסות הייעוץ המשפטי לממשלה במשרד המשפטים לדוח, יוני 2024. </w:t>
      </w:r>
    </w:p>
  </w:footnote>
  <w:footnote w:id="197">
    <w:p w:rsidR="00172C0A" w:rsidRDefault="00172C0A" w:rsidP="009C776C">
      <w:pPr>
        <w:pStyle w:val="ad"/>
        <w:ind w:left="282" w:hanging="566"/>
      </w:pPr>
      <w:r>
        <w:rPr>
          <w:rStyle w:val="af"/>
        </w:rPr>
        <w:footnoteRef/>
      </w:r>
      <w:r>
        <w:rPr>
          <w:rtl/>
        </w:rPr>
        <w:t xml:space="preserve"> </w:t>
      </w:r>
      <w:r>
        <w:rPr>
          <w:rtl/>
        </w:rPr>
        <w:tab/>
      </w:r>
      <w:r>
        <w:rPr>
          <w:rFonts w:hint="cs"/>
          <w:rtl/>
        </w:rPr>
        <w:t xml:space="preserve">שם. </w:t>
      </w:r>
    </w:p>
  </w:footnote>
  <w:footnote w:id="198">
    <w:p w:rsidR="00172C0A" w:rsidRDefault="00172C0A" w:rsidP="009C776C">
      <w:pPr>
        <w:pStyle w:val="ad"/>
        <w:ind w:left="282" w:hanging="566"/>
      </w:pPr>
      <w:r>
        <w:rPr>
          <w:rStyle w:val="af"/>
        </w:rPr>
        <w:footnoteRef/>
      </w:r>
      <w:r>
        <w:rPr>
          <w:rtl/>
        </w:rPr>
        <w:t xml:space="preserve"> </w:t>
      </w:r>
      <w:r>
        <w:rPr>
          <w:rtl/>
        </w:rPr>
        <w:tab/>
      </w:r>
      <w:r>
        <w:rPr>
          <w:rFonts w:hint="cs"/>
          <w:rtl/>
        </w:rPr>
        <w:t xml:space="preserve">שם. </w:t>
      </w:r>
    </w:p>
  </w:footnote>
  <w:footnote w:id="199">
    <w:p w:rsidR="00172C0A" w:rsidRDefault="00172C0A" w:rsidP="009C776C">
      <w:pPr>
        <w:pStyle w:val="ad"/>
        <w:ind w:left="282" w:hanging="566"/>
      </w:pPr>
      <w:r>
        <w:rPr>
          <w:rStyle w:val="af"/>
        </w:rPr>
        <w:footnoteRef/>
      </w:r>
      <w:r>
        <w:rPr>
          <w:rtl/>
        </w:rPr>
        <w:t xml:space="preserve"> </w:t>
      </w:r>
      <w:r>
        <w:rPr>
          <w:rtl/>
        </w:rPr>
        <w:tab/>
      </w:r>
      <w:r>
        <w:rPr>
          <w:rFonts w:hint="cs"/>
          <w:rtl/>
        </w:rPr>
        <w:t xml:space="preserve">שם. </w:t>
      </w:r>
    </w:p>
  </w:footnote>
  <w:footnote w:id="200">
    <w:p w:rsidR="00172C0A" w:rsidRDefault="00172C0A" w:rsidP="009C776C">
      <w:pPr>
        <w:pStyle w:val="ad"/>
        <w:ind w:left="282" w:hanging="566"/>
        <w:rPr>
          <w:rtl/>
        </w:rPr>
      </w:pPr>
      <w:r>
        <w:rPr>
          <w:rStyle w:val="af"/>
        </w:rPr>
        <w:footnoteRef/>
      </w:r>
      <w:r>
        <w:rPr>
          <w:rtl/>
        </w:rPr>
        <w:t xml:space="preserve"> </w:t>
      </w:r>
      <w:r>
        <w:rPr>
          <w:rtl/>
        </w:rPr>
        <w:tab/>
      </w:r>
      <w:r w:rsidRPr="009D0842">
        <w:rPr>
          <w:rFonts w:hint="cs"/>
          <w:b/>
          <w:bCs/>
          <w:rtl/>
        </w:rPr>
        <w:t>דוח צוות מררי המסווג</w:t>
      </w:r>
      <w:r>
        <w:rPr>
          <w:rFonts w:hint="cs"/>
          <w:rtl/>
        </w:rPr>
        <w:t xml:space="preserve">, נספח ב' - "עמדה משפטית" (נובמבר 2022) ומסמכי משרד המשפטים בנושא לאחר פרסום דוח צוות מררי. </w:t>
      </w:r>
    </w:p>
  </w:footnote>
  <w:footnote w:id="201">
    <w:p w:rsidR="00172C0A" w:rsidRDefault="00172C0A" w:rsidP="009C776C">
      <w:pPr>
        <w:pStyle w:val="ad"/>
        <w:ind w:left="282" w:hanging="566"/>
        <w:rPr>
          <w:rtl/>
        </w:rPr>
      </w:pPr>
      <w:r>
        <w:rPr>
          <w:rStyle w:val="af"/>
        </w:rPr>
        <w:footnoteRef/>
      </w:r>
      <w:r>
        <w:rPr>
          <w:rtl/>
        </w:rPr>
        <w:t xml:space="preserve"> </w:t>
      </w:r>
      <w:r>
        <w:rPr>
          <w:rtl/>
        </w:rPr>
        <w:tab/>
      </w:r>
      <w:r>
        <w:rPr>
          <w:rFonts w:hint="cs"/>
          <w:rtl/>
        </w:rPr>
        <w:t xml:space="preserve">בשונה מפריט יומן ספציפי שניתן להעבירו בתקשורת בין מחשבים, והעברתו מותרת לאיסוף על פי דין. </w:t>
      </w:r>
    </w:p>
  </w:footnote>
  <w:footnote w:id="202">
    <w:p w:rsidR="00172C0A" w:rsidRDefault="00172C0A" w:rsidP="00533917">
      <w:pPr>
        <w:pStyle w:val="ad"/>
        <w:ind w:left="282" w:hanging="566"/>
      </w:pPr>
      <w:r>
        <w:rPr>
          <w:rStyle w:val="af"/>
        </w:rPr>
        <w:footnoteRef/>
      </w:r>
      <w:r>
        <w:rPr>
          <w:rtl/>
        </w:rPr>
        <w:t xml:space="preserve"> </w:t>
      </w:r>
      <w:r>
        <w:rPr>
          <w:rtl/>
        </w:rPr>
        <w:tab/>
      </w:r>
      <w:r>
        <w:rPr>
          <w:rFonts w:hint="cs"/>
          <w:rtl/>
        </w:rPr>
        <w:t xml:space="preserve">התייחסות הייעוץ המשפטי לממשלה במשרד המשפטים לדוח, יוני 2024. </w:t>
      </w:r>
    </w:p>
  </w:footnote>
  <w:footnote w:id="203">
    <w:p w:rsidR="00172C0A" w:rsidRDefault="00172C0A" w:rsidP="00533917">
      <w:pPr>
        <w:pStyle w:val="ad"/>
        <w:ind w:left="282" w:hanging="566"/>
      </w:pPr>
      <w:r>
        <w:rPr>
          <w:rStyle w:val="af"/>
        </w:rPr>
        <w:footnoteRef/>
      </w:r>
      <w:r>
        <w:rPr>
          <w:rtl/>
        </w:rPr>
        <w:t xml:space="preserve"> </w:t>
      </w:r>
      <w:r>
        <w:rPr>
          <w:rtl/>
        </w:rPr>
        <w:tab/>
      </w:r>
      <w:r>
        <w:rPr>
          <w:rFonts w:hint="cs"/>
          <w:rtl/>
        </w:rPr>
        <w:t xml:space="preserve">התייחסות </w:t>
      </w:r>
      <w:r w:rsidRPr="005D59FF">
        <w:rPr>
          <w:rFonts w:hint="cs"/>
          <w:rtl/>
        </w:rPr>
        <w:t xml:space="preserve">הייעוץ המשפטי לממשלה במשרד המשפטים </w:t>
      </w:r>
      <w:r>
        <w:rPr>
          <w:rFonts w:hint="cs"/>
          <w:rtl/>
        </w:rPr>
        <w:t xml:space="preserve">לדוח, יוני 2024. </w:t>
      </w:r>
    </w:p>
  </w:footnote>
  <w:footnote w:id="204">
    <w:p w:rsidR="00172C0A" w:rsidRDefault="00172C0A" w:rsidP="00533917">
      <w:pPr>
        <w:pStyle w:val="ad"/>
        <w:ind w:left="282" w:hanging="566"/>
      </w:pPr>
      <w:r>
        <w:rPr>
          <w:rStyle w:val="af"/>
        </w:rPr>
        <w:footnoteRef/>
      </w:r>
      <w:r>
        <w:rPr>
          <w:rtl/>
        </w:rPr>
        <w:t xml:space="preserve"> </w:t>
      </w:r>
      <w:r>
        <w:rPr>
          <w:rtl/>
        </w:rPr>
        <w:tab/>
      </w:r>
      <w:r>
        <w:rPr>
          <w:rFonts w:hint="cs"/>
          <w:rtl/>
        </w:rPr>
        <w:t xml:space="preserve">התייחסות </w:t>
      </w:r>
      <w:r w:rsidRPr="005D59FF">
        <w:rPr>
          <w:rFonts w:hint="cs"/>
          <w:rtl/>
        </w:rPr>
        <w:t xml:space="preserve">הייעוץ המשפטי לממשלה במשרד המשפטים </w:t>
      </w:r>
      <w:r>
        <w:rPr>
          <w:rFonts w:hint="cs"/>
          <w:rtl/>
        </w:rPr>
        <w:t xml:space="preserve">לדוח, יוני 2024. </w:t>
      </w:r>
    </w:p>
  </w:footnote>
  <w:footnote w:id="205">
    <w:p w:rsidR="00172C0A" w:rsidRDefault="00172C0A" w:rsidP="00533917">
      <w:pPr>
        <w:pStyle w:val="ad"/>
        <w:ind w:left="282" w:hanging="566"/>
      </w:pPr>
      <w:r>
        <w:rPr>
          <w:rStyle w:val="af"/>
        </w:rPr>
        <w:footnoteRef/>
      </w:r>
      <w:r>
        <w:rPr>
          <w:rtl/>
        </w:rPr>
        <w:t xml:space="preserve"> </w:t>
      </w:r>
      <w:r>
        <w:rPr>
          <w:rtl/>
        </w:rPr>
        <w:tab/>
      </w:r>
      <w:r>
        <w:rPr>
          <w:rFonts w:hint="cs"/>
          <w:rtl/>
        </w:rPr>
        <w:t xml:space="preserve">ראו לעניין זה הסדרה דומה בחוק נתוני תקשורת. </w:t>
      </w:r>
    </w:p>
  </w:footnote>
  <w:footnote w:id="206">
    <w:p w:rsidR="00172C0A" w:rsidRDefault="00172C0A" w:rsidP="00533917">
      <w:pPr>
        <w:pStyle w:val="ad"/>
        <w:ind w:left="282" w:hanging="566"/>
      </w:pPr>
      <w:r>
        <w:rPr>
          <w:rStyle w:val="af"/>
        </w:rPr>
        <w:footnoteRef/>
      </w:r>
      <w:r>
        <w:rPr>
          <w:rtl/>
        </w:rPr>
        <w:t xml:space="preserve"> </w:t>
      </w:r>
      <w:r>
        <w:rPr>
          <w:rtl/>
        </w:rPr>
        <w:tab/>
      </w:r>
      <w:r>
        <w:rPr>
          <w:rFonts w:hint="cs"/>
          <w:rtl/>
        </w:rPr>
        <w:t>ראו לעניין זה</w:t>
      </w:r>
      <w:r>
        <w:rPr>
          <w:rFonts w:hint="cs"/>
          <w:b/>
          <w:bCs/>
          <w:rtl/>
        </w:rPr>
        <w:t xml:space="preserve"> </w:t>
      </w:r>
      <w:r w:rsidRPr="002F7705">
        <w:rPr>
          <w:rFonts w:hint="eastAsia"/>
          <w:b/>
          <w:bCs/>
          <w:rtl/>
        </w:rPr>
        <w:t>תורת</w:t>
      </w:r>
      <w:r w:rsidRPr="002F7705">
        <w:rPr>
          <w:b/>
          <w:bCs/>
          <w:rtl/>
        </w:rPr>
        <w:t xml:space="preserve"> </w:t>
      </w:r>
      <w:r w:rsidRPr="002F7705">
        <w:rPr>
          <w:rFonts w:hint="eastAsia"/>
          <w:b/>
          <w:bCs/>
          <w:rtl/>
        </w:rPr>
        <w:t>המודיעין</w:t>
      </w:r>
      <w:r>
        <w:rPr>
          <w:rFonts w:hint="cs"/>
          <w:rtl/>
        </w:rPr>
        <w:t xml:space="preserve"> </w:t>
      </w:r>
      <w:r w:rsidRPr="00346AF9">
        <w:rPr>
          <w:rFonts w:hint="eastAsia"/>
          <w:b/>
          <w:bCs/>
          <w:rtl/>
        </w:rPr>
        <w:t>של</w:t>
      </w:r>
      <w:r w:rsidRPr="00346AF9">
        <w:rPr>
          <w:b/>
          <w:bCs/>
          <w:rtl/>
        </w:rPr>
        <w:t xml:space="preserve"> </w:t>
      </w:r>
      <w:r w:rsidRPr="00346AF9">
        <w:rPr>
          <w:rFonts w:hint="eastAsia"/>
          <w:b/>
          <w:bCs/>
          <w:rtl/>
        </w:rPr>
        <w:t>משטרת</w:t>
      </w:r>
      <w:r w:rsidRPr="00346AF9">
        <w:rPr>
          <w:b/>
          <w:bCs/>
          <w:rtl/>
        </w:rPr>
        <w:t xml:space="preserve"> </w:t>
      </w:r>
      <w:r w:rsidRPr="00346AF9">
        <w:rPr>
          <w:rFonts w:hint="eastAsia"/>
          <w:b/>
          <w:bCs/>
          <w:rtl/>
        </w:rPr>
        <w:t>ישראל</w:t>
      </w:r>
      <w:r>
        <w:rPr>
          <w:rFonts w:hint="cs"/>
          <w:rtl/>
        </w:rPr>
        <w:t>, עמ' 167.</w:t>
      </w:r>
    </w:p>
  </w:footnote>
  <w:footnote w:id="207">
    <w:p w:rsidR="00172C0A" w:rsidRDefault="00172C0A" w:rsidP="00533917">
      <w:pPr>
        <w:pStyle w:val="ad"/>
        <w:ind w:left="282" w:hanging="566"/>
        <w:rPr>
          <w:rtl/>
        </w:rPr>
      </w:pPr>
      <w:r>
        <w:rPr>
          <w:rStyle w:val="af"/>
        </w:rPr>
        <w:footnoteRef/>
      </w:r>
      <w:r>
        <w:rPr>
          <w:rtl/>
        </w:rPr>
        <w:t xml:space="preserve"> </w:t>
      </w:r>
      <w:r>
        <w:rPr>
          <w:rtl/>
        </w:rPr>
        <w:tab/>
      </w:r>
      <w:r>
        <w:rPr>
          <w:rFonts w:hint="cs"/>
          <w:rtl/>
        </w:rPr>
        <w:t xml:space="preserve">ראו לעניין זה </w:t>
      </w:r>
      <w:r w:rsidRPr="002F7705">
        <w:rPr>
          <w:rFonts w:hint="eastAsia"/>
          <w:b/>
          <w:bCs/>
          <w:rtl/>
        </w:rPr>
        <w:t>תורת</w:t>
      </w:r>
      <w:r w:rsidRPr="002F7705">
        <w:rPr>
          <w:b/>
          <w:bCs/>
          <w:rtl/>
        </w:rPr>
        <w:t xml:space="preserve"> </w:t>
      </w:r>
      <w:r w:rsidRPr="002F7705">
        <w:rPr>
          <w:rFonts w:hint="eastAsia"/>
          <w:b/>
          <w:bCs/>
          <w:rtl/>
        </w:rPr>
        <w:t>המודיעין</w:t>
      </w:r>
      <w:r>
        <w:rPr>
          <w:rFonts w:hint="cs"/>
          <w:rtl/>
        </w:rPr>
        <w:t xml:space="preserve"> </w:t>
      </w:r>
      <w:r w:rsidRPr="00212532">
        <w:rPr>
          <w:rFonts w:hint="cs"/>
          <w:b/>
          <w:bCs/>
          <w:rtl/>
        </w:rPr>
        <w:t>של משטרת ישראל</w:t>
      </w:r>
      <w:r>
        <w:rPr>
          <w:rFonts w:hint="cs"/>
          <w:rtl/>
        </w:rPr>
        <w:t xml:space="preserve">, עמ' 352. </w:t>
      </w:r>
    </w:p>
  </w:footnote>
  <w:footnote w:id="208">
    <w:p w:rsidR="00172C0A" w:rsidRDefault="00172C0A" w:rsidP="00533917">
      <w:pPr>
        <w:pStyle w:val="ad"/>
        <w:ind w:left="282" w:hanging="566"/>
        <w:rPr>
          <w:rtl/>
        </w:rPr>
      </w:pPr>
      <w:r>
        <w:rPr>
          <w:rStyle w:val="af"/>
        </w:rPr>
        <w:footnoteRef/>
      </w:r>
      <w:bookmarkStart w:id="546" w:name="_Hlk187743034"/>
      <w:r>
        <w:rPr>
          <w:rtl/>
        </w:rPr>
        <w:t xml:space="preserve"> </w:t>
      </w:r>
      <w:r>
        <w:rPr>
          <w:b/>
          <w:bCs/>
          <w:rtl/>
        </w:rPr>
        <w:tab/>
      </w:r>
      <w:r w:rsidRPr="00234CB9">
        <w:rPr>
          <w:rFonts w:hint="eastAsia"/>
          <w:b/>
          <w:bCs/>
          <w:rtl/>
        </w:rPr>
        <w:t>שימוש</w:t>
      </w:r>
      <w:r w:rsidRPr="00234CB9">
        <w:rPr>
          <w:b/>
          <w:bCs/>
          <w:rtl/>
        </w:rPr>
        <w:t xml:space="preserve"> </w:t>
      </w:r>
      <w:r w:rsidRPr="00234CB9">
        <w:rPr>
          <w:rFonts w:hint="eastAsia"/>
          <w:b/>
          <w:bCs/>
          <w:rtl/>
        </w:rPr>
        <w:t>בתוצרי</w:t>
      </w:r>
      <w:r w:rsidRPr="00234CB9">
        <w:rPr>
          <w:b/>
          <w:bCs/>
          <w:rtl/>
        </w:rPr>
        <w:t xml:space="preserve"> </w:t>
      </w:r>
      <w:r w:rsidRPr="00234CB9">
        <w:rPr>
          <w:rFonts w:hint="eastAsia"/>
          <w:b/>
          <w:bCs/>
          <w:rtl/>
        </w:rPr>
        <w:t>האזנה</w:t>
      </w:r>
      <w:r>
        <w:rPr>
          <w:rFonts w:hint="cs"/>
          <w:rtl/>
        </w:rPr>
        <w:t xml:space="preserve"> - </w:t>
      </w:r>
      <w:r w:rsidRPr="00FB0FFC">
        <w:rPr>
          <w:rtl/>
        </w:rPr>
        <w:t xml:space="preserve">פעולות </w:t>
      </w:r>
      <w:r>
        <w:rPr>
          <w:rFonts w:hint="cs"/>
          <w:rtl/>
        </w:rPr>
        <w:t xml:space="preserve">שמבצע </w:t>
      </w:r>
      <w:r w:rsidRPr="00FB0FFC">
        <w:rPr>
          <w:rtl/>
        </w:rPr>
        <w:t xml:space="preserve">גורם משטרתי שאינו מפיק מוסמך, כגון, מפעיל כלים טכנולוגיים או נציגי היחידה המזמינה. במסגרתן </w:t>
      </w:r>
      <w:r>
        <w:rPr>
          <w:rFonts w:hint="cs"/>
          <w:rtl/>
        </w:rPr>
        <w:t>נוטלים</w:t>
      </w:r>
      <w:r>
        <w:rPr>
          <w:rtl/>
        </w:rPr>
        <w:t xml:space="preserve"> </w:t>
      </w:r>
      <w:r w:rsidRPr="00FB0FFC">
        <w:rPr>
          <w:rtl/>
        </w:rPr>
        <w:t xml:space="preserve">תוצר האזנה גולמי, או מידע מודיעיני שמקורו בתוצר האזנה (ידיעה מודיעינית, מוצר מודיעיני, פרפרזה או דוח תובנות שמתבססים על תוצר האזנה), </w:t>
      </w:r>
      <w:r>
        <w:rPr>
          <w:rFonts w:hint="cs"/>
          <w:rtl/>
        </w:rPr>
        <w:t>כדי לבצע</w:t>
      </w:r>
      <w:r w:rsidRPr="00FB0FFC">
        <w:rPr>
          <w:rtl/>
        </w:rPr>
        <w:t xml:space="preserve"> אחת או יותר מהפעולות הבאות עיון, צפייה, אזכור במסמך אחר, עיבוד, העברה לגורם נוסף שאינו האדם האחראי על הפקת תוצרי ההאזנה שהתקבלו, העתקת המידע לצורך ביצוע פעולות אחרות כגון ביצוע מתווה </w:t>
      </w:r>
      <w:r>
        <w:rPr>
          <w:rtl/>
        </w:rPr>
        <w:t>התקנה</w:t>
      </w:r>
      <w:r w:rsidRPr="00FB0FFC">
        <w:rPr>
          <w:rtl/>
        </w:rPr>
        <w:t>, הגשת בקשות לביצוע פעולות חקירה נוספות גלויות או סמויות, או כל פעולה אחרת שעשויה להביא ליצירת מידע מודיעיני חדש או להוליד ראייה פלילית.</w:t>
      </w:r>
      <w:r>
        <w:rPr>
          <w:rtl/>
        </w:rPr>
        <w:t xml:space="preserve"> </w:t>
      </w:r>
      <w:bookmarkEnd w:id="546"/>
    </w:p>
  </w:footnote>
  <w:footnote w:id="209">
    <w:p w:rsidR="00172C0A" w:rsidRDefault="00172C0A" w:rsidP="00533917">
      <w:pPr>
        <w:pStyle w:val="ad"/>
        <w:ind w:left="282" w:hanging="566"/>
      </w:pPr>
      <w:r>
        <w:rPr>
          <w:rStyle w:val="af"/>
        </w:rPr>
        <w:footnoteRef/>
      </w:r>
      <w:r>
        <w:rPr>
          <w:rtl/>
        </w:rPr>
        <w:t xml:space="preserve"> </w:t>
      </w:r>
      <w:r>
        <w:rPr>
          <w:rtl/>
        </w:rPr>
        <w:tab/>
      </w:r>
      <w:r>
        <w:rPr>
          <w:rFonts w:hint="cs"/>
          <w:rtl/>
        </w:rPr>
        <w:t xml:space="preserve">ראו לעניין זה </w:t>
      </w:r>
      <w:r w:rsidRPr="00416619">
        <w:rPr>
          <w:rFonts w:hint="cs"/>
          <w:b/>
          <w:bCs/>
          <w:rtl/>
        </w:rPr>
        <w:t>בש"פ 2043/05 מ"י נ' גד זאבי</w:t>
      </w:r>
      <w:r>
        <w:rPr>
          <w:rFonts w:hint="cs"/>
          <w:rtl/>
        </w:rPr>
        <w:t xml:space="preserve"> (פורסם במאגר ממוחשב, 15.09.05), עמ' 12 פסקה 10. </w:t>
      </w:r>
    </w:p>
  </w:footnote>
  <w:footnote w:id="210">
    <w:p w:rsidR="00172C0A" w:rsidRPr="00356D8D" w:rsidRDefault="00172C0A" w:rsidP="00533917">
      <w:pPr>
        <w:pStyle w:val="ad"/>
        <w:ind w:left="282" w:hanging="566"/>
      </w:pPr>
      <w:r>
        <w:rPr>
          <w:rStyle w:val="af"/>
        </w:rPr>
        <w:footnoteRef/>
      </w:r>
      <w:r>
        <w:rPr>
          <w:rtl/>
        </w:rPr>
        <w:t xml:space="preserve"> </w:t>
      </w:r>
      <w:r>
        <w:rPr>
          <w:b/>
          <w:bCs/>
          <w:rtl/>
        </w:rPr>
        <w:tab/>
      </w:r>
      <w:r w:rsidRPr="00E6799F">
        <w:rPr>
          <w:rFonts w:hint="eastAsia"/>
          <w:b/>
          <w:bCs/>
          <w:rtl/>
        </w:rPr>
        <w:t>שרשרת</w:t>
      </w:r>
      <w:r w:rsidRPr="00E6799F">
        <w:rPr>
          <w:b/>
          <w:bCs/>
          <w:rtl/>
        </w:rPr>
        <w:t xml:space="preserve"> </w:t>
      </w:r>
      <w:r w:rsidRPr="00E6799F">
        <w:rPr>
          <w:rFonts w:hint="eastAsia"/>
          <w:b/>
          <w:bCs/>
          <w:rtl/>
        </w:rPr>
        <w:t>הראיות</w:t>
      </w:r>
      <w:r>
        <w:rPr>
          <w:rFonts w:hint="cs"/>
          <w:rtl/>
        </w:rPr>
        <w:t xml:space="preserve"> - או שרשרת המוצגים היא תיעוד של כל הפעולות שבוצעו כלפי ראיה שנאספה בסדר כרונולוגי המעיד על מקור הראיה, החזקה והעברתה של הראיה, ניתוח של הראיה או על פעולה אחרת שבוצעה כלפיה. תפיסה עקרונית זו מתבססת על כך שגורמי החקירה נדרשים לוודא כי לא נעשה כל שיבוש המגביל באופן ממשי את יכולתו של נאשם לערער על מהימנות הראיה וקבילותה. ראו לעניין זה ע"פ 2869/09 </w:t>
      </w:r>
      <w:r w:rsidRPr="00E6799F">
        <w:rPr>
          <w:rFonts w:hint="eastAsia"/>
          <w:b/>
          <w:bCs/>
          <w:rtl/>
        </w:rPr>
        <w:t>זינאתי</w:t>
      </w:r>
      <w:r w:rsidRPr="00E6799F">
        <w:rPr>
          <w:b/>
          <w:bCs/>
          <w:rtl/>
        </w:rPr>
        <w:t xml:space="preserve"> </w:t>
      </w:r>
      <w:r w:rsidRPr="00E6799F">
        <w:rPr>
          <w:rFonts w:hint="eastAsia"/>
          <w:b/>
          <w:bCs/>
          <w:rtl/>
        </w:rPr>
        <w:t>נ</w:t>
      </w:r>
      <w:r w:rsidRPr="00E6799F">
        <w:rPr>
          <w:b/>
          <w:bCs/>
          <w:rtl/>
        </w:rPr>
        <w:t xml:space="preserve">' </w:t>
      </w:r>
      <w:r w:rsidRPr="00E6799F">
        <w:rPr>
          <w:rFonts w:hint="eastAsia"/>
          <w:b/>
          <w:bCs/>
          <w:rtl/>
        </w:rPr>
        <w:t>מ</w:t>
      </w:r>
      <w:r w:rsidRPr="00E6799F">
        <w:rPr>
          <w:b/>
          <w:bCs/>
          <w:rtl/>
        </w:rPr>
        <w:t>"י</w:t>
      </w:r>
      <w:r>
        <w:rPr>
          <w:rFonts w:hint="cs"/>
          <w:rtl/>
        </w:rPr>
        <w:t xml:space="preserve"> (פורסם במאגר ממוחשב, 9.11.11). </w:t>
      </w:r>
    </w:p>
  </w:footnote>
  <w:footnote w:id="211">
    <w:p w:rsidR="00172C0A" w:rsidRDefault="00172C0A" w:rsidP="00533917">
      <w:pPr>
        <w:pStyle w:val="ad"/>
        <w:ind w:left="282" w:hanging="566"/>
      </w:pPr>
      <w:r>
        <w:rPr>
          <w:rStyle w:val="af"/>
        </w:rPr>
        <w:footnoteRef/>
      </w:r>
      <w:r>
        <w:rPr>
          <w:rtl/>
        </w:rPr>
        <w:t xml:space="preserve"> </w:t>
      </w:r>
      <w:r>
        <w:rPr>
          <w:rtl/>
        </w:rPr>
        <w:tab/>
      </w:r>
      <w:r w:rsidRPr="00A274FE">
        <w:rPr>
          <w:rFonts w:hint="eastAsia"/>
          <w:rtl/>
        </w:rPr>
        <w:t>תקנה</w:t>
      </w:r>
      <w:r w:rsidRPr="00A274FE">
        <w:rPr>
          <w:rtl/>
        </w:rPr>
        <w:t xml:space="preserve"> 6 </w:t>
      </w:r>
      <w:r w:rsidRPr="00A274FE">
        <w:rPr>
          <w:rFonts w:hint="eastAsia"/>
          <w:rtl/>
        </w:rPr>
        <w:t>לתקנות</w:t>
      </w:r>
      <w:r w:rsidRPr="00A274FE">
        <w:rPr>
          <w:rtl/>
        </w:rPr>
        <w:t xml:space="preserve"> </w:t>
      </w:r>
      <w:r w:rsidRPr="00A274FE">
        <w:rPr>
          <w:rFonts w:hint="eastAsia"/>
          <w:rtl/>
        </w:rPr>
        <w:t>האזנת</w:t>
      </w:r>
      <w:r w:rsidRPr="00A274FE">
        <w:rPr>
          <w:rtl/>
        </w:rPr>
        <w:t xml:space="preserve"> </w:t>
      </w:r>
      <w:r w:rsidRPr="00A274FE">
        <w:rPr>
          <w:rFonts w:hint="eastAsia"/>
          <w:rtl/>
        </w:rPr>
        <w:t>סתר</w:t>
      </w:r>
      <w:r>
        <w:rPr>
          <w:rFonts w:hint="cs"/>
          <w:rtl/>
        </w:rPr>
        <w:t xml:space="preserve">, התשמ"ו-1986. </w:t>
      </w:r>
    </w:p>
  </w:footnote>
  <w:footnote w:id="212">
    <w:p w:rsidR="00172C0A" w:rsidRDefault="00172C0A" w:rsidP="00533917">
      <w:pPr>
        <w:pStyle w:val="ad"/>
        <w:ind w:left="282" w:hanging="566"/>
        <w:rPr>
          <w:rtl/>
        </w:rPr>
      </w:pPr>
      <w:r>
        <w:rPr>
          <w:rStyle w:val="af"/>
        </w:rPr>
        <w:footnoteRef/>
      </w:r>
      <w:r>
        <w:rPr>
          <w:rtl/>
        </w:rPr>
        <w:t xml:space="preserve"> </w:t>
      </w:r>
      <w:r>
        <w:rPr>
          <w:rtl/>
        </w:rPr>
        <w:tab/>
      </w:r>
      <w:r w:rsidRPr="002B1173">
        <w:rPr>
          <w:rFonts w:hint="eastAsia"/>
          <w:b/>
          <w:bCs/>
          <w:rtl/>
        </w:rPr>
        <w:t>דוח</w:t>
      </w:r>
      <w:r w:rsidRPr="00C33ACD">
        <w:rPr>
          <w:rFonts w:hint="cs"/>
          <w:rtl/>
        </w:rPr>
        <w:t xml:space="preserve"> </w:t>
      </w:r>
      <w:r w:rsidRPr="00A274FE">
        <w:rPr>
          <w:rFonts w:hint="eastAsia"/>
          <w:b/>
          <w:bCs/>
          <w:rtl/>
        </w:rPr>
        <w:t>מבקר</w:t>
      </w:r>
      <w:r w:rsidRPr="00A274FE">
        <w:rPr>
          <w:b/>
          <w:bCs/>
          <w:rtl/>
        </w:rPr>
        <w:t xml:space="preserve"> </w:t>
      </w:r>
      <w:r w:rsidRPr="00A274FE">
        <w:rPr>
          <w:rFonts w:hint="eastAsia"/>
          <w:b/>
          <w:bCs/>
          <w:rtl/>
        </w:rPr>
        <w:t>המדינה</w:t>
      </w:r>
      <w:r w:rsidRPr="00150D81">
        <w:rPr>
          <w:rFonts w:hint="cs"/>
          <w:b/>
          <w:bCs/>
          <w:rtl/>
        </w:rPr>
        <w:t xml:space="preserve"> משנת </w:t>
      </w:r>
      <w:r w:rsidRPr="007E18D3">
        <w:rPr>
          <w:b/>
          <w:bCs/>
          <w:rtl/>
        </w:rPr>
        <w:t>2004</w:t>
      </w:r>
      <w:r>
        <w:rPr>
          <w:rFonts w:hint="cs"/>
          <w:rtl/>
        </w:rPr>
        <w:t>, עמ' 297 - 299.</w:t>
      </w:r>
    </w:p>
  </w:footnote>
  <w:footnote w:id="213">
    <w:p w:rsidR="00172C0A" w:rsidRDefault="00172C0A" w:rsidP="00533917">
      <w:pPr>
        <w:pStyle w:val="ad"/>
        <w:ind w:left="282" w:hanging="566"/>
        <w:rPr>
          <w:rtl/>
        </w:rPr>
      </w:pPr>
      <w:r>
        <w:rPr>
          <w:rStyle w:val="af"/>
        </w:rPr>
        <w:footnoteRef/>
      </w:r>
      <w:r>
        <w:rPr>
          <w:rtl/>
        </w:rPr>
        <w:t xml:space="preserve"> </w:t>
      </w:r>
      <w:r>
        <w:rPr>
          <w:rtl/>
        </w:rPr>
        <w:tab/>
      </w:r>
      <w:r>
        <w:rPr>
          <w:rFonts w:hint="cs"/>
          <w:rtl/>
        </w:rPr>
        <w:t xml:space="preserve">סעיף 7א </w:t>
      </w:r>
      <w:r w:rsidRPr="00A2519C">
        <w:rPr>
          <w:rFonts w:hint="cs"/>
          <w:b/>
          <w:bCs/>
          <w:rtl/>
        </w:rPr>
        <w:t>לחוק האזנת סתר</w:t>
      </w:r>
      <w:r>
        <w:rPr>
          <w:rFonts w:hint="cs"/>
          <w:rtl/>
        </w:rPr>
        <w:t xml:space="preserve">. </w:t>
      </w:r>
    </w:p>
  </w:footnote>
  <w:footnote w:id="214">
    <w:p w:rsidR="00172C0A" w:rsidRDefault="00172C0A" w:rsidP="005B245C">
      <w:pPr>
        <w:pStyle w:val="ad"/>
        <w:ind w:left="282" w:hanging="566"/>
      </w:pPr>
      <w:r>
        <w:rPr>
          <w:rStyle w:val="af"/>
        </w:rPr>
        <w:footnoteRef/>
      </w:r>
      <w:r>
        <w:rPr>
          <w:rtl/>
        </w:rPr>
        <w:t xml:space="preserve"> </w:t>
      </w:r>
      <w:r>
        <w:rPr>
          <w:rtl/>
        </w:rPr>
        <w:tab/>
      </w:r>
      <w:r>
        <w:rPr>
          <w:rFonts w:hint="cs"/>
          <w:rtl/>
        </w:rPr>
        <w:t xml:space="preserve">תקנות 1 ו-3 </w:t>
      </w:r>
      <w:r w:rsidRPr="00A2519C">
        <w:rPr>
          <w:rFonts w:hint="cs"/>
          <w:b/>
          <w:bCs/>
          <w:rtl/>
        </w:rPr>
        <w:t>לתקנות האזנת סתר</w:t>
      </w:r>
      <w:r>
        <w:rPr>
          <w:rFonts w:hint="cs"/>
          <w:rtl/>
        </w:rPr>
        <w:t xml:space="preserve">. </w:t>
      </w:r>
    </w:p>
  </w:footnote>
  <w:footnote w:id="215">
    <w:p w:rsidR="00172C0A" w:rsidRDefault="00172C0A" w:rsidP="005B245C">
      <w:pPr>
        <w:pStyle w:val="ad"/>
        <w:ind w:left="282" w:hanging="566"/>
        <w:rPr>
          <w:rtl/>
        </w:rPr>
      </w:pPr>
      <w:r>
        <w:rPr>
          <w:rStyle w:val="af"/>
        </w:rPr>
        <w:footnoteRef/>
      </w:r>
      <w:r>
        <w:rPr>
          <w:rtl/>
        </w:rPr>
        <w:t xml:space="preserve"> </w:t>
      </w:r>
      <w:r>
        <w:rPr>
          <w:rtl/>
        </w:rPr>
        <w:tab/>
      </w:r>
      <w:r>
        <w:rPr>
          <w:rFonts w:hint="cs"/>
          <w:rtl/>
        </w:rPr>
        <w:t xml:space="preserve">סעיף 13(ג1) </w:t>
      </w:r>
      <w:r w:rsidRPr="00A2519C">
        <w:rPr>
          <w:rFonts w:hint="cs"/>
          <w:b/>
          <w:bCs/>
          <w:rtl/>
        </w:rPr>
        <w:t>לחוק האזנת סתר</w:t>
      </w:r>
      <w:r>
        <w:rPr>
          <w:rFonts w:hint="cs"/>
          <w:rtl/>
        </w:rPr>
        <w:t xml:space="preserve"> ותקנה 8 </w:t>
      </w:r>
      <w:r w:rsidRPr="00A2519C">
        <w:rPr>
          <w:rFonts w:hint="cs"/>
          <w:b/>
          <w:bCs/>
          <w:rtl/>
        </w:rPr>
        <w:t>לתקנות האזנת סתר</w:t>
      </w:r>
      <w:r>
        <w:rPr>
          <w:rFonts w:hint="cs"/>
          <w:rtl/>
        </w:rPr>
        <w:t xml:space="preserve">. </w:t>
      </w:r>
    </w:p>
  </w:footnote>
  <w:footnote w:id="216">
    <w:p w:rsidR="00172C0A" w:rsidRDefault="00172C0A" w:rsidP="005B245C">
      <w:pPr>
        <w:pStyle w:val="ad"/>
        <w:ind w:left="282" w:hanging="566"/>
        <w:rPr>
          <w:rtl/>
        </w:rPr>
      </w:pPr>
      <w:r>
        <w:rPr>
          <w:rStyle w:val="af"/>
        </w:rPr>
        <w:footnoteRef/>
      </w:r>
      <w:r>
        <w:rPr>
          <w:rtl/>
        </w:rPr>
        <w:t xml:space="preserve"> </w:t>
      </w:r>
      <w:r>
        <w:rPr>
          <w:b/>
          <w:bCs/>
          <w:rtl/>
        </w:rPr>
        <w:tab/>
      </w:r>
      <w:r>
        <w:rPr>
          <w:rFonts w:hint="cs"/>
          <w:rtl/>
        </w:rPr>
        <w:t xml:space="preserve">משרד המשפטים, יועמ"ש לממשלה, </w:t>
      </w:r>
      <w:r w:rsidRPr="00223461">
        <w:rPr>
          <w:rFonts w:hint="cs"/>
          <w:b/>
          <w:bCs/>
          <w:rtl/>
        </w:rPr>
        <w:t>סיכום והחלטה</w:t>
      </w:r>
      <w:r>
        <w:rPr>
          <w:rFonts w:hint="cs"/>
          <w:b/>
          <w:bCs/>
          <w:rtl/>
        </w:rPr>
        <w:t>-</w:t>
      </w:r>
      <w:r w:rsidRPr="00223461">
        <w:rPr>
          <w:rFonts w:hint="cs"/>
          <w:b/>
          <w:bCs/>
          <w:rtl/>
        </w:rPr>
        <w:t>תיק מח"ש 2403/02 פרשת האזנות הסתר ביאחב"ל</w:t>
      </w:r>
      <w:r>
        <w:rPr>
          <w:rFonts w:hint="cs"/>
          <w:b/>
          <w:bCs/>
          <w:rtl/>
        </w:rPr>
        <w:t>-</w:t>
      </w:r>
      <w:r w:rsidRPr="00223461">
        <w:rPr>
          <w:rFonts w:hint="cs"/>
          <w:b/>
          <w:bCs/>
          <w:rtl/>
        </w:rPr>
        <w:t>ניצב משה מזרחי</w:t>
      </w:r>
      <w:r>
        <w:rPr>
          <w:rFonts w:hint="cs"/>
          <w:rtl/>
        </w:rPr>
        <w:t xml:space="preserve">, מיום 23.10.03; </w:t>
      </w:r>
      <w:r w:rsidRPr="00924AEC">
        <w:rPr>
          <w:rFonts w:hint="cs"/>
          <w:b/>
          <w:bCs/>
          <w:rtl/>
        </w:rPr>
        <w:t>דוח מבקר המדינה משנת 2004</w:t>
      </w:r>
      <w:r>
        <w:rPr>
          <w:rFonts w:hint="cs"/>
          <w:rtl/>
        </w:rPr>
        <w:t xml:space="preserve">, עמ' 292. </w:t>
      </w:r>
    </w:p>
  </w:footnote>
  <w:footnote w:id="217">
    <w:p w:rsidR="00172C0A" w:rsidRDefault="00172C0A" w:rsidP="005B245C">
      <w:pPr>
        <w:pStyle w:val="ad"/>
        <w:ind w:left="282" w:hanging="566"/>
        <w:rPr>
          <w:rtl/>
        </w:rPr>
      </w:pPr>
      <w:r>
        <w:rPr>
          <w:rStyle w:val="af"/>
        </w:rPr>
        <w:footnoteRef/>
      </w:r>
      <w:r>
        <w:rPr>
          <w:rtl/>
        </w:rPr>
        <w:t xml:space="preserve"> </w:t>
      </w:r>
      <w:r>
        <w:rPr>
          <w:b/>
          <w:bCs/>
          <w:rtl/>
        </w:rPr>
        <w:tab/>
      </w:r>
      <w:r w:rsidRPr="00924AEC">
        <w:rPr>
          <w:rFonts w:hint="cs"/>
          <w:b/>
          <w:bCs/>
          <w:rtl/>
        </w:rPr>
        <w:t xml:space="preserve">דוח </w:t>
      </w:r>
      <w:r w:rsidRPr="00A274FE">
        <w:rPr>
          <w:rFonts w:hint="eastAsia"/>
          <w:b/>
          <w:bCs/>
          <w:rtl/>
        </w:rPr>
        <w:t>מבקר</w:t>
      </w:r>
      <w:r w:rsidRPr="00A274FE">
        <w:rPr>
          <w:b/>
          <w:bCs/>
          <w:rtl/>
        </w:rPr>
        <w:t xml:space="preserve"> </w:t>
      </w:r>
      <w:r w:rsidRPr="00A274FE">
        <w:rPr>
          <w:rFonts w:hint="eastAsia"/>
          <w:b/>
          <w:bCs/>
          <w:rtl/>
        </w:rPr>
        <w:t>המדינה</w:t>
      </w:r>
      <w:r w:rsidRPr="00924AEC">
        <w:rPr>
          <w:rFonts w:hint="cs"/>
          <w:b/>
          <w:bCs/>
          <w:rtl/>
        </w:rPr>
        <w:t xml:space="preserve"> משנת </w:t>
      </w:r>
      <w:r w:rsidRPr="00A274FE">
        <w:rPr>
          <w:b/>
          <w:bCs/>
          <w:rtl/>
        </w:rPr>
        <w:t>2004</w:t>
      </w:r>
      <w:r w:rsidRPr="0093166D">
        <w:rPr>
          <w:rFonts w:hint="cs"/>
          <w:rtl/>
        </w:rPr>
        <w:t>,</w:t>
      </w:r>
      <w:r>
        <w:rPr>
          <w:rFonts w:hint="cs"/>
          <w:rtl/>
        </w:rPr>
        <w:t xml:space="preserve"> עמ' 292.</w:t>
      </w:r>
    </w:p>
  </w:footnote>
  <w:footnote w:id="218">
    <w:p w:rsidR="00172C0A" w:rsidRDefault="00172C0A" w:rsidP="005B245C">
      <w:pPr>
        <w:pStyle w:val="ad"/>
        <w:ind w:left="282" w:hanging="566"/>
        <w:rPr>
          <w:rtl/>
        </w:rPr>
      </w:pPr>
      <w:r>
        <w:rPr>
          <w:rStyle w:val="af"/>
        </w:rPr>
        <w:footnoteRef/>
      </w:r>
      <w:r>
        <w:rPr>
          <w:rtl/>
        </w:rPr>
        <w:t xml:space="preserve"> </w:t>
      </w:r>
      <w:r>
        <w:rPr>
          <w:rtl/>
        </w:rPr>
        <w:tab/>
      </w:r>
      <w:r w:rsidRPr="00837796">
        <w:rPr>
          <w:rFonts w:hint="cs"/>
          <w:b/>
          <w:bCs/>
          <w:rtl/>
        </w:rPr>
        <w:t>דוח לבנת משיח</w:t>
      </w:r>
      <w:r>
        <w:rPr>
          <w:rFonts w:hint="cs"/>
          <w:rtl/>
        </w:rPr>
        <w:t>, עמ' 13 - 14.</w:t>
      </w:r>
    </w:p>
  </w:footnote>
  <w:footnote w:id="219">
    <w:p w:rsidR="00172C0A" w:rsidRDefault="00172C0A" w:rsidP="005B245C">
      <w:pPr>
        <w:pStyle w:val="ad"/>
        <w:ind w:left="282" w:hanging="566"/>
        <w:rPr>
          <w:rtl/>
        </w:rPr>
      </w:pPr>
      <w:r>
        <w:rPr>
          <w:rStyle w:val="af"/>
        </w:rPr>
        <w:footnoteRef/>
      </w:r>
      <w:r>
        <w:rPr>
          <w:rtl/>
        </w:rPr>
        <w:t xml:space="preserve"> </w:t>
      </w:r>
      <w:r>
        <w:rPr>
          <w:rtl/>
        </w:rPr>
        <w:tab/>
      </w:r>
      <w:r w:rsidRPr="00924AEC">
        <w:rPr>
          <w:rFonts w:hint="cs"/>
          <w:b/>
          <w:bCs/>
          <w:rtl/>
        </w:rPr>
        <w:t>הצעת חוק האזנת סתר (תיקון מס' 6), התש"ע - 2009</w:t>
      </w:r>
      <w:r>
        <w:rPr>
          <w:rFonts w:hint="cs"/>
          <w:rtl/>
        </w:rPr>
        <w:t xml:space="preserve">, ה"ח הממשלה, עמ' 10; </w:t>
      </w:r>
      <w:r w:rsidRPr="00924AEC">
        <w:rPr>
          <w:rFonts w:hint="cs"/>
          <w:b/>
          <w:bCs/>
          <w:rtl/>
        </w:rPr>
        <w:t>הצעת חוק האזנת סתר (תיקון מס' 5), התש</w:t>
      </w:r>
      <w:r>
        <w:rPr>
          <w:rFonts w:hint="cs"/>
          <w:b/>
          <w:bCs/>
          <w:rtl/>
        </w:rPr>
        <w:t>ס</w:t>
      </w:r>
      <w:r w:rsidRPr="00924AEC">
        <w:rPr>
          <w:rFonts w:hint="cs"/>
          <w:b/>
          <w:bCs/>
          <w:rtl/>
        </w:rPr>
        <w:t>"</w:t>
      </w:r>
      <w:r>
        <w:rPr>
          <w:rFonts w:hint="cs"/>
          <w:b/>
          <w:bCs/>
          <w:rtl/>
        </w:rPr>
        <w:t>ח</w:t>
      </w:r>
      <w:r w:rsidRPr="00924AEC">
        <w:rPr>
          <w:rFonts w:hint="cs"/>
          <w:b/>
          <w:bCs/>
          <w:rtl/>
        </w:rPr>
        <w:t>-200</w:t>
      </w:r>
      <w:r>
        <w:rPr>
          <w:rFonts w:hint="cs"/>
          <w:b/>
          <w:bCs/>
          <w:rtl/>
        </w:rPr>
        <w:t>8</w:t>
      </w:r>
      <w:r>
        <w:rPr>
          <w:rFonts w:hint="cs"/>
          <w:rtl/>
        </w:rPr>
        <w:t xml:space="preserve">, ה"ח הממשלה, עמ' 652. </w:t>
      </w:r>
    </w:p>
  </w:footnote>
  <w:footnote w:id="220">
    <w:p w:rsidR="00172C0A" w:rsidRDefault="00172C0A" w:rsidP="005B245C">
      <w:pPr>
        <w:pStyle w:val="ad"/>
        <w:ind w:left="282" w:hanging="566"/>
      </w:pPr>
      <w:r>
        <w:rPr>
          <w:rStyle w:val="af"/>
        </w:rPr>
        <w:footnoteRef/>
      </w:r>
      <w:r>
        <w:rPr>
          <w:rtl/>
        </w:rPr>
        <w:t xml:space="preserve"> </w:t>
      </w:r>
      <w:r>
        <w:rPr>
          <w:rtl/>
        </w:rPr>
        <w:tab/>
      </w:r>
      <w:r>
        <w:rPr>
          <w:rFonts w:hint="cs"/>
          <w:rtl/>
        </w:rPr>
        <w:t xml:space="preserve">תקנה 3 </w:t>
      </w:r>
      <w:r w:rsidRPr="000F4EB6">
        <w:rPr>
          <w:rFonts w:hint="cs"/>
          <w:b/>
          <w:bCs/>
          <w:rtl/>
        </w:rPr>
        <w:t>לתקנות האזנת סתר</w:t>
      </w:r>
      <w:r>
        <w:rPr>
          <w:rFonts w:hint="cs"/>
          <w:rtl/>
        </w:rPr>
        <w:t xml:space="preserve">, תשמ"ו - 1986 שעוגנה בהנחיות חטיבת הסיגינט. </w:t>
      </w:r>
    </w:p>
  </w:footnote>
  <w:footnote w:id="221">
    <w:p w:rsidR="00172C0A" w:rsidRDefault="00172C0A" w:rsidP="005B245C">
      <w:pPr>
        <w:pStyle w:val="ad"/>
        <w:ind w:left="282" w:hanging="566"/>
        <w:rPr>
          <w:rtl/>
        </w:rPr>
      </w:pPr>
      <w:r>
        <w:rPr>
          <w:rStyle w:val="af"/>
        </w:rPr>
        <w:footnoteRef/>
      </w:r>
      <w:r>
        <w:rPr>
          <w:rtl/>
        </w:rPr>
        <w:t xml:space="preserve"> </w:t>
      </w:r>
      <w:r>
        <w:rPr>
          <w:b/>
          <w:bCs/>
          <w:rtl/>
        </w:rPr>
        <w:tab/>
      </w:r>
      <w:r w:rsidRPr="009545C7">
        <w:rPr>
          <w:rFonts w:hint="cs"/>
          <w:b/>
          <w:bCs/>
          <w:rtl/>
        </w:rPr>
        <w:t>ייצוא</w:t>
      </w:r>
      <w:r>
        <w:rPr>
          <w:rFonts w:hint="cs"/>
          <w:rtl/>
        </w:rPr>
        <w:t xml:space="preserve"> - בחירה של תוצרים שניתן לעיין בהם בכלי הטכנולוגי, ושמירתם מחוץ לכלי על גבי מחשב ברשת הממוחשבת של המשטרה. שמירה של תוצרים מחוץ לכלי מאפשרת העתקה, העברה או עיון בתוצרים הללו ללא צורך בשימוש בכלי הטכנולוגי וללא כפיפות למגבלת ההרשאות הקיימת בכלי. </w:t>
      </w:r>
    </w:p>
  </w:footnote>
  <w:footnote w:id="222">
    <w:p w:rsidR="00172C0A" w:rsidRDefault="00172C0A" w:rsidP="005B245C">
      <w:pPr>
        <w:pStyle w:val="ad"/>
        <w:ind w:left="282" w:hanging="566"/>
      </w:pPr>
      <w:r>
        <w:rPr>
          <w:rStyle w:val="af"/>
        </w:rPr>
        <w:footnoteRef/>
      </w:r>
      <w:r>
        <w:rPr>
          <w:rtl/>
        </w:rPr>
        <w:t xml:space="preserve"> </w:t>
      </w:r>
      <w:r>
        <w:rPr>
          <w:b/>
          <w:bCs/>
          <w:rtl/>
        </w:rPr>
        <w:tab/>
      </w:r>
      <w:r w:rsidRPr="00933F84">
        <w:rPr>
          <w:rFonts w:hint="cs"/>
          <w:b/>
          <w:bCs/>
          <w:rtl/>
        </w:rPr>
        <w:t>צי"ח</w:t>
      </w:r>
      <w:r>
        <w:rPr>
          <w:rFonts w:hint="cs"/>
          <w:rtl/>
        </w:rPr>
        <w:t xml:space="preserve"> - ציון ידיעות חיוניות, מסמך המאגד את תמונת המודיעין העדכנית ומכווין את גורמי איסוף המודיעין לגבי הנתונים הנדרשים לאיסוף לצורך השלמת תמונת המודיעין. לאחר קביעת הצי"ח, נדרש להכין תוכנית פיצוח, שהיא תוכנית עבודה המציגה סדרי עדיפויות לביצוע פעולות, שימוש באמצעים ושיטות לפיצוח היעד, ועליה מתבססת תוכנית איסוף, שמגדירה את המשימות וקובעת באילו שיטות ואמצעים יתבצע איסוף הנתונים החסרים. </w:t>
      </w:r>
    </w:p>
  </w:footnote>
  <w:footnote w:id="223">
    <w:p w:rsidR="00172C0A" w:rsidRDefault="00172C0A" w:rsidP="005B245C">
      <w:pPr>
        <w:pStyle w:val="ad"/>
        <w:ind w:left="282" w:hanging="566"/>
      </w:pPr>
      <w:r>
        <w:rPr>
          <w:rStyle w:val="af"/>
        </w:rPr>
        <w:footnoteRef/>
      </w:r>
      <w:r>
        <w:rPr>
          <w:rtl/>
        </w:rPr>
        <w:t xml:space="preserve"> </w:t>
      </w:r>
      <w:r>
        <w:rPr>
          <w:rtl/>
        </w:rPr>
        <w:tab/>
      </w:r>
      <w:r>
        <w:rPr>
          <w:rFonts w:hint="cs"/>
          <w:rtl/>
        </w:rPr>
        <w:t xml:space="preserve">ראו לעניין חשיבות שרשרת הראיות להוכחת תקינות החקירה ולמתן אפשרות לנאשם להתגונן מפני האישומים כנגדו, בע"פ 987/02 </w:t>
      </w:r>
      <w:r w:rsidRPr="00F77F11">
        <w:rPr>
          <w:rFonts w:hint="cs"/>
          <w:b/>
          <w:bCs/>
          <w:rtl/>
        </w:rPr>
        <w:t>מ"י נ' זביידה</w:t>
      </w:r>
      <w:r>
        <w:rPr>
          <w:rFonts w:hint="cs"/>
          <w:rtl/>
        </w:rPr>
        <w:t>, עמ' 909 (פורסם במאגר ממוחשב,</w:t>
      </w:r>
      <w:r w:rsidRPr="00B731D2">
        <w:rPr>
          <w:rFonts w:hint="cs"/>
          <w:rtl/>
        </w:rPr>
        <w:t xml:space="preserve"> </w:t>
      </w:r>
      <w:r>
        <w:rPr>
          <w:rFonts w:hint="cs"/>
          <w:rtl/>
        </w:rPr>
        <w:t>10.5.04)</w:t>
      </w:r>
    </w:p>
  </w:footnote>
  <w:footnote w:id="224">
    <w:p w:rsidR="00172C0A" w:rsidRDefault="00172C0A" w:rsidP="005B245C">
      <w:pPr>
        <w:pStyle w:val="ad"/>
        <w:ind w:left="282" w:hanging="566"/>
      </w:pPr>
      <w:r>
        <w:rPr>
          <w:rStyle w:val="af"/>
        </w:rPr>
        <w:footnoteRef/>
      </w:r>
      <w:r>
        <w:rPr>
          <w:rtl/>
        </w:rPr>
        <w:t xml:space="preserve"> </w:t>
      </w:r>
      <w:r>
        <w:rPr>
          <w:rtl/>
        </w:rPr>
        <w:tab/>
      </w:r>
      <w:r w:rsidRPr="0035298C">
        <w:rPr>
          <w:rFonts w:hint="cs"/>
          <w:b/>
          <w:bCs/>
          <w:rtl/>
        </w:rPr>
        <w:t>תקנה 6 לתקנות האזנת סתר</w:t>
      </w:r>
      <w:r>
        <w:rPr>
          <w:rFonts w:hint="cs"/>
          <w:rtl/>
        </w:rPr>
        <w:t xml:space="preserve">, התשמ"ו-1986. </w:t>
      </w:r>
    </w:p>
  </w:footnote>
  <w:footnote w:id="225">
    <w:p w:rsidR="00172C0A" w:rsidRDefault="00172C0A" w:rsidP="005B245C">
      <w:pPr>
        <w:pStyle w:val="ad"/>
        <w:ind w:left="282" w:hanging="566"/>
        <w:rPr>
          <w:rtl/>
        </w:rPr>
      </w:pPr>
      <w:r>
        <w:rPr>
          <w:rStyle w:val="af"/>
        </w:rPr>
        <w:footnoteRef/>
      </w:r>
      <w:r>
        <w:rPr>
          <w:rtl/>
        </w:rPr>
        <w:t xml:space="preserve"> </w:t>
      </w:r>
      <w:r>
        <w:rPr>
          <w:b/>
          <w:bCs/>
          <w:rtl/>
        </w:rPr>
        <w:tab/>
      </w:r>
      <w:r w:rsidRPr="00413E6E">
        <w:rPr>
          <w:rFonts w:hint="eastAsia"/>
          <w:b/>
          <w:bCs/>
          <w:rtl/>
        </w:rPr>
        <w:t>דוח</w:t>
      </w:r>
      <w:r w:rsidRPr="00413E6E">
        <w:rPr>
          <w:b/>
          <w:bCs/>
          <w:rtl/>
        </w:rPr>
        <w:t xml:space="preserve"> </w:t>
      </w:r>
      <w:r w:rsidRPr="00413E6E">
        <w:rPr>
          <w:rFonts w:hint="eastAsia"/>
          <w:b/>
          <w:bCs/>
          <w:rtl/>
        </w:rPr>
        <w:t>מבקר</w:t>
      </w:r>
      <w:r w:rsidRPr="00413E6E">
        <w:rPr>
          <w:b/>
          <w:bCs/>
          <w:rtl/>
        </w:rPr>
        <w:t xml:space="preserve"> </w:t>
      </w:r>
      <w:r w:rsidRPr="00413E6E">
        <w:rPr>
          <w:rFonts w:hint="eastAsia"/>
          <w:b/>
          <w:bCs/>
          <w:rtl/>
        </w:rPr>
        <w:t>המדינה</w:t>
      </w:r>
      <w:r w:rsidRPr="00924AEC">
        <w:rPr>
          <w:rFonts w:hint="cs"/>
          <w:b/>
          <w:bCs/>
          <w:rtl/>
        </w:rPr>
        <w:t xml:space="preserve"> משנת </w:t>
      </w:r>
      <w:r w:rsidRPr="00A274FE">
        <w:rPr>
          <w:b/>
          <w:bCs/>
          <w:rtl/>
        </w:rPr>
        <w:t>2004</w:t>
      </w:r>
      <w:r>
        <w:rPr>
          <w:rFonts w:hint="cs"/>
          <w:rtl/>
        </w:rPr>
        <w:t>, עמ' 320.</w:t>
      </w:r>
    </w:p>
  </w:footnote>
  <w:footnote w:id="226">
    <w:p w:rsidR="00172C0A" w:rsidRDefault="00172C0A" w:rsidP="005B245C">
      <w:pPr>
        <w:pStyle w:val="ad"/>
        <w:ind w:left="282" w:hanging="566"/>
        <w:rPr>
          <w:rtl/>
        </w:rPr>
      </w:pPr>
      <w:r>
        <w:rPr>
          <w:rStyle w:val="af"/>
        </w:rPr>
        <w:footnoteRef/>
      </w:r>
      <w:r>
        <w:rPr>
          <w:rtl/>
        </w:rPr>
        <w:t xml:space="preserve"> </w:t>
      </w:r>
      <w:r>
        <w:rPr>
          <w:rtl/>
        </w:rPr>
        <w:tab/>
      </w:r>
      <w:r w:rsidRPr="00837796">
        <w:rPr>
          <w:rFonts w:hint="cs"/>
          <w:b/>
          <w:bCs/>
          <w:rtl/>
        </w:rPr>
        <w:t>דוח לבנת משיח</w:t>
      </w:r>
      <w:r>
        <w:rPr>
          <w:rFonts w:hint="cs"/>
          <w:rtl/>
        </w:rPr>
        <w:t>, עמ' 13.</w:t>
      </w:r>
    </w:p>
  </w:footnote>
  <w:footnote w:id="227">
    <w:p w:rsidR="00172C0A" w:rsidRDefault="00172C0A" w:rsidP="005B245C">
      <w:pPr>
        <w:pStyle w:val="ad"/>
        <w:ind w:left="282" w:hanging="566"/>
      </w:pPr>
      <w:r>
        <w:rPr>
          <w:rStyle w:val="af"/>
        </w:rPr>
        <w:footnoteRef/>
      </w:r>
      <w:r>
        <w:rPr>
          <w:rtl/>
        </w:rPr>
        <w:t xml:space="preserve"> </w:t>
      </w:r>
      <w:r>
        <w:rPr>
          <w:rtl/>
        </w:rPr>
        <w:tab/>
      </w:r>
      <w:r w:rsidRPr="00837796">
        <w:rPr>
          <w:rFonts w:hint="cs"/>
          <w:b/>
          <w:bCs/>
          <w:rtl/>
        </w:rPr>
        <w:t>דוח לבנת משיח</w:t>
      </w:r>
      <w:r>
        <w:rPr>
          <w:rFonts w:hint="cs"/>
          <w:rtl/>
        </w:rPr>
        <w:t>, עמ' 13.</w:t>
      </w:r>
    </w:p>
  </w:footnote>
  <w:footnote w:id="228">
    <w:p w:rsidR="00172C0A" w:rsidRDefault="00172C0A" w:rsidP="005B245C">
      <w:pPr>
        <w:pStyle w:val="ad"/>
        <w:ind w:left="282" w:hanging="566"/>
        <w:rPr>
          <w:rtl/>
        </w:rPr>
      </w:pPr>
      <w:r>
        <w:rPr>
          <w:rStyle w:val="af"/>
        </w:rPr>
        <w:footnoteRef/>
      </w:r>
      <w:r>
        <w:rPr>
          <w:rtl/>
        </w:rPr>
        <w:t xml:space="preserve"> </w:t>
      </w:r>
      <w:r>
        <w:rPr>
          <w:rtl/>
        </w:rPr>
        <w:tab/>
      </w:r>
      <w:r>
        <w:rPr>
          <w:rFonts w:hint="cs"/>
          <w:rtl/>
        </w:rPr>
        <w:t xml:space="preserve">רישום מטרת </w:t>
      </w:r>
      <w:r w:rsidRPr="005B245C">
        <w:rPr>
          <w:rFonts w:hint="cs"/>
          <w:rtl/>
        </w:rPr>
        <w:t>האזנה</w:t>
      </w:r>
      <w:r>
        <w:rPr>
          <w:rFonts w:hint="cs"/>
          <w:rtl/>
        </w:rPr>
        <w:t>, רישום מועד ביצוע ההאזנה, רישום שם האדם לו האזינו, רישום מקום החזקת חומר ההקלטה לסוגיו, רישום השמות של מי שהאזינו לשיחה או עיינו בחומר ההקלטה, לפי סעיף 6(א) לתקנות האזנת סתר.</w:t>
      </w:r>
    </w:p>
  </w:footnote>
  <w:footnote w:id="229">
    <w:p w:rsidR="00172C0A" w:rsidRDefault="00172C0A" w:rsidP="005B245C">
      <w:pPr>
        <w:pStyle w:val="ad"/>
        <w:ind w:left="282" w:hanging="566"/>
        <w:rPr>
          <w:rtl/>
        </w:rPr>
      </w:pPr>
      <w:r>
        <w:rPr>
          <w:rStyle w:val="af"/>
        </w:rPr>
        <w:footnoteRef/>
      </w:r>
      <w:r>
        <w:rPr>
          <w:rtl/>
        </w:rPr>
        <w:t xml:space="preserve"> </w:t>
      </w:r>
      <w:r>
        <w:rPr>
          <w:b/>
          <w:bCs/>
          <w:rtl/>
        </w:rPr>
        <w:tab/>
      </w:r>
      <w:r w:rsidRPr="00234CB9">
        <w:rPr>
          <w:rFonts w:hint="eastAsia"/>
          <w:b/>
          <w:bCs/>
          <w:rtl/>
        </w:rPr>
        <w:t>הפקת</w:t>
      </w:r>
      <w:r w:rsidRPr="00234CB9">
        <w:rPr>
          <w:b/>
          <w:bCs/>
          <w:rtl/>
        </w:rPr>
        <w:t xml:space="preserve"> </w:t>
      </w:r>
      <w:r w:rsidRPr="00234CB9">
        <w:rPr>
          <w:rFonts w:hint="eastAsia"/>
          <w:b/>
          <w:bCs/>
          <w:rtl/>
        </w:rPr>
        <w:t>תוצרי</w:t>
      </w:r>
      <w:r w:rsidRPr="00234CB9">
        <w:rPr>
          <w:b/>
          <w:bCs/>
          <w:rtl/>
        </w:rPr>
        <w:t xml:space="preserve"> </w:t>
      </w:r>
      <w:r w:rsidRPr="00234CB9">
        <w:rPr>
          <w:rFonts w:hint="eastAsia"/>
          <w:b/>
          <w:bCs/>
          <w:rtl/>
        </w:rPr>
        <w:t>האזנה</w:t>
      </w:r>
      <w:r>
        <w:rPr>
          <w:rFonts w:hint="cs"/>
          <w:rtl/>
        </w:rPr>
        <w:t xml:space="preserve"> - </w:t>
      </w:r>
      <w:r w:rsidRPr="007F2BF8">
        <w:rPr>
          <w:rtl/>
        </w:rPr>
        <w:t xml:space="preserve">פעולות </w:t>
      </w:r>
      <w:r>
        <w:rPr>
          <w:rFonts w:hint="cs"/>
          <w:rtl/>
        </w:rPr>
        <w:t>שמבצע</w:t>
      </w:r>
      <w:r w:rsidRPr="007F2BF8">
        <w:rPr>
          <w:rtl/>
        </w:rPr>
        <w:t xml:space="preserve"> מפיק מוסמך שמטרתן עיבוד מידע מודיעיני גולמי </w:t>
      </w:r>
      <w:r>
        <w:rPr>
          <w:rtl/>
        </w:rPr>
        <w:t>כדי</w:t>
      </w:r>
      <w:r w:rsidRPr="007F2BF8">
        <w:rPr>
          <w:rtl/>
        </w:rPr>
        <w:t xml:space="preserve"> שניתן יהיה לעשות בו שימוש: עיון בתוצרי ההאזנה (צפייה או האזנה); מיון וסיווג של התוצר לשם קביעת מידת הרלוונטיות שלו לחקירה; הכנת תקציר של התוצר ותמלולו - הפיכת תוצר ההאזנה שהוא חומר גולמי לידיעה מודיעינית שניתן לעבד אותה; עיבוד הידיעה המודיעינית לכדי מוצר מודיעין באמצעות ניתוח, הערכה והעשרה של הידיעה; הכנת פרפרזה של מוצר המודיעין שהיא תמצית של המידע הרלוונטי שעולה ממנו לשימוש של צרכן מסוים ותוך השמטה של מידע שחשיפתו לצרכן תסכן מקורות או מבצעים; ואיגום כמה מוצרי מודיעין לכדי תמונת מודיעין שמגובשת בדוח תובנות</w:t>
      </w:r>
      <w:r>
        <w:rPr>
          <w:rFonts w:hint="cs"/>
          <w:rtl/>
        </w:rPr>
        <w:t>.</w:t>
      </w:r>
    </w:p>
  </w:footnote>
  <w:footnote w:id="230">
    <w:p w:rsidR="00172C0A" w:rsidRDefault="00172C0A" w:rsidP="005B245C">
      <w:pPr>
        <w:pStyle w:val="ad"/>
        <w:ind w:left="282" w:hanging="566"/>
        <w:rPr>
          <w:rtl/>
        </w:rPr>
      </w:pPr>
      <w:r>
        <w:rPr>
          <w:rStyle w:val="af"/>
        </w:rPr>
        <w:footnoteRef/>
      </w:r>
      <w:r>
        <w:rPr>
          <w:rtl/>
        </w:rPr>
        <w:t xml:space="preserve"> </w:t>
      </w:r>
      <w:r>
        <w:rPr>
          <w:rtl/>
        </w:rPr>
        <w:tab/>
      </w:r>
      <w:r w:rsidRPr="005707E9">
        <w:rPr>
          <w:rFonts w:hint="eastAsia"/>
          <w:b/>
          <w:bCs/>
          <w:rtl/>
        </w:rPr>
        <w:t>שימוש</w:t>
      </w:r>
      <w:r w:rsidRPr="005707E9">
        <w:rPr>
          <w:b/>
          <w:bCs/>
          <w:rtl/>
        </w:rPr>
        <w:t xml:space="preserve"> </w:t>
      </w:r>
      <w:r w:rsidRPr="005707E9">
        <w:rPr>
          <w:rFonts w:hint="eastAsia"/>
          <w:b/>
          <w:bCs/>
          <w:rtl/>
        </w:rPr>
        <w:t>בתוצרי</w:t>
      </w:r>
      <w:r w:rsidRPr="005707E9">
        <w:rPr>
          <w:b/>
          <w:bCs/>
          <w:rtl/>
        </w:rPr>
        <w:t xml:space="preserve"> </w:t>
      </w:r>
      <w:r w:rsidRPr="005707E9">
        <w:rPr>
          <w:rFonts w:hint="eastAsia"/>
          <w:b/>
          <w:bCs/>
          <w:rtl/>
        </w:rPr>
        <w:t>האזנה</w:t>
      </w:r>
      <w:r>
        <w:rPr>
          <w:rFonts w:hint="cs"/>
          <w:rtl/>
        </w:rPr>
        <w:t xml:space="preserve"> - </w:t>
      </w:r>
      <w:r w:rsidRPr="001759F0">
        <w:rPr>
          <w:rFonts w:hint="cs"/>
          <w:rtl/>
        </w:rPr>
        <w:t xml:space="preserve">פעולות </w:t>
      </w:r>
      <w:r>
        <w:rPr>
          <w:rFonts w:hint="cs"/>
          <w:rtl/>
        </w:rPr>
        <w:t>שמבצע</w:t>
      </w:r>
      <w:r w:rsidRPr="001759F0">
        <w:rPr>
          <w:rFonts w:hint="cs"/>
          <w:rtl/>
        </w:rPr>
        <w:t xml:space="preserve"> גורם משטרתי שאינו המפיק המוסמך, כגון, מפעיל כלים טכנולוגיים או נציגי היחידה המזמינה. במסגרתן נוטלים תוצר האזנה גולמי, או מידע מודיעיני שמקורו בתוצר האזנה (ידיעה מודיעינית, מוצר מודיעיני, פרפרזה או דוח תובנות שמתבססים על תוצר האזנה), כלפיו מבצעים אחת או יותר מהפעולות הבאות עיון, צפייה, אזכור במסמך אחר, עיבוד, העברה לגורם נוסף שאינו האדם האחראי על הפקת תוצרי ההאזנה שהתקבלו, העתקת המידע לצורך ביצוע פעולות אחרות כגון ביצוע מתווה </w:t>
      </w:r>
      <w:r>
        <w:rPr>
          <w:rFonts w:hint="cs"/>
          <w:rtl/>
        </w:rPr>
        <w:t>התקנה</w:t>
      </w:r>
      <w:r w:rsidRPr="001759F0">
        <w:rPr>
          <w:rFonts w:hint="cs"/>
          <w:rtl/>
        </w:rPr>
        <w:t>, הגשת בקשות לביצוע פעולות חקירה נוספות גלויות או סמויות, או כל פעולה אחרת שעשויה להביא ליצירת מידע מודיעיני חדש או להוליד ראייה פלילית.</w:t>
      </w:r>
      <w:r>
        <w:rPr>
          <w:rFonts w:hint="cs"/>
          <w:rtl/>
        </w:rPr>
        <w:t xml:space="preserve"> </w:t>
      </w:r>
    </w:p>
  </w:footnote>
  <w:footnote w:id="231">
    <w:p w:rsidR="00172C0A" w:rsidRDefault="00172C0A" w:rsidP="005B245C">
      <w:pPr>
        <w:pStyle w:val="ad"/>
        <w:ind w:left="282" w:hanging="566"/>
      </w:pPr>
      <w:r>
        <w:rPr>
          <w:rStyle w:val="af"/>
        </w:rPr>
        <w:footnoteRef/>
      </w:r>
      <w:r>
        <w:rPr>
          <w:rtl/>
        </w:rPr>
        <w:t xml:space="preserve"> </w:t>
      </w:r>
      <w:r>
        <w:rPr>
          <w:b/>
          <w:bCs/>
          <w:rtl/>
        </w:rPr>
        <w:tab/>
      </w:r>
      <w:r w:rsidRPr="003239D3">
        <w:rPr>
          <w:b/>
          <w:bCs/>
          <w:rtl/>
        </w:rPr>
        <w:t>שימוש ראייתי</w:t>
      </w:r>
      <w:r w:rsidRPr="002D7DB8">
        <w:rPr>
          <w:rtl/>
        </w:rPr>
        <w:t xml:space="preserve"> - הגשת חומר כראייה בהליך פלילי בהתאם לפקודת הראיות</w:t>
      </w:r>
      <w:r>
        <w:rPr>
          <w:rtl/>
        </w:rPr>
        <w:t xml:space="preserve"> </w:t>
      </w:r>
      <w:r w:rsidRPr="002D7DB8">
        <w:rPr>
          <w:rtl/>
        </w:rPr>
        <w:t>והנחיות פרקליט המדינה</w:t>
      </w:r>
      <w:r>
        <w:rPr>
          <w:rtl/>
        </w:rPr>
        <w:t>,</w:t>
      </w:r>
      <w:r w:rsidRPr="002D7DB8">
        <w:rPr>
          <w:rtl/>
        </w:rPr>
        <w:t xml:space="preserve"> כדי לבסס עליו פסק דין. הגשת החומר נדרשת במישור הדיוני והמהותי לשם הוכחת עצם קיומו של החומר, העמדתו במבחן מהימנות בפני בית המשפט, וכהבאתו כראיה לאמיתות תוכנו. לעניין שימוש ראייתי בתוצר האזנת סתר יובהר, כי </w:t>
      </w:r>
      <w:r>
        <w:rPr>
          <w:rFonts w:hint="cs"/>
          <w:rtl/>
        </w:rPr>
        <w:t xml:space="preserve">הוא </w:t>
      </w:r>
      <w:r w:rsidRPr="002D7DB8">
        <w:rPr>
          <w:rtl/>
        </w:rPr>
        <w:t>עשוי להתקיים לאחר שנעשה שימוש בתוצרי ההאזנה על ידי גורם משטרתי ורק לאחר שהוחלט על הגשת כתב אישום בתיק חקירה. לפיכך, פעולה זו אינה יכולה להתבצע ביחס לפרשיות מודיעיניות.</w:t>
      </w:r>
    </w:p>
  </w:footnote>
  <w:footnote w:id="232">
    <w:p w:rsidR="00172C0A" w:rsidRDefault="00172C0A" w:rsidP="005B245C">
      <w:pPr>
        <w:pStyle w:val="ad"/>
        <w:ind w:left="282" w:hanging="566"/>
        <w:rPr>
          <w:rtl/>
        </w:rPr>
      </w:pPr>
      <w:r>
        <w:rPr>
          <w:rStyle w:val="af"/>
        </w:rPr>
        <w:footnoteRef/>
      </w:r>
      <w:r>
        <w:rPr>
          <w:rtl/>
        </w:rPr>
        <w:t xml:space="preserve"> </w:t>
      </w:r>
      <w:r>
        <w:rPr>
          <w:rtl/>
        </w:rPr>
        <w:tab/>
      </w:r>
      <w:r>
        <w:rPr>
          <w:rFonts w:hint="cs"/>
          <w:rtl/>
        </w:rPr>
        <w:t xml:space="preserve">לפי סעיף 56א </w:t>
      </w:r>
      <w:r w:rsidRPr="0021269D">
        <w:rPr>
          <w:rFonts w:hint="eastAsia"/>
          <w:b/>
          <w:bCs/>
          <w:rtl/>
        </w:rPr>
        <w:t>לפקודת</w:t>
      </w:r>
      <w:r w:rsidRPr="0021269D">
        <w:rPr>
          <w:b/>
          <w:bCs/>
          <w:rtl/>
        </w:rPr>
        <w:t xml:space="preserve"> </w:t>
      </w:r>
      <w:r w:rsidRPr="0021269D">
        <w:rPr>
          <w:rFonts w:hint="eastAsia"/>
          <w:b/>
          <w:bCs/>
          <w:rtl/>
        </w:rPr>
        <w:t>הראיות</w:t>
      </w:r>
      <w:r w:rsidRPr="0021269D">
        <w:rPr>
          <w:b/>
          <w:bCs/>
          <w:rtl/>
        </w:rPr>
        <w:t xml:space="preserve"> [נוסח </w:t>
      </w:r>
      <w:r w:rsidRPr="0021269D">
        <w:rPr>
          <w:rFonts w:hint="eastAsia"/>
          <w:b/>
          <w:bCs/>
          <w:rtl/>
        </w:rPr>
        <w:t>חדש</w:t>
      </w:r>
      <w:r w:rsidRPr="0021269D">
        <w:rPr>
          <w:b/>
          <w:bCs/>
          <w:rtl/>
        </w:rPr>
        <w:t>]</w:t>
      </w:r>
      <w:r>
        <w:rPr>
          <w:rFonts w:hint="cs"/>
          <w:rtl/>
        </w:rPr>
        <w:t xml:space="preserve">, התשל"א-1971. </w:t>
      </w:r>
    </w:p>
  </w:footnote>
  <w:footnote w:id="233">
    <w:p w:rsidR="00172C0A" w:rsidRDefault="00172C0A" w:rsidP="005B245C">
      <w:pPr>
        <w:pStyle w:val="ad"/>
        <w:ind w:left="282" w:hanging="566"/>
      </w:pPr>
      <w:r>
        <w:rPr>
          <w:rStyle w:val="af"/>
        </w:rPr>
        <w:footnoteRef/>
      </w:r>
      <w:r>
        <w:rPr>
          <w:rtl/>
        </w:rPr>
        <w:t xml:space="preserve"> </w:t>
      </w:r>
      <w:r>
        <w:rPr>
          <w:rtl/>
        </w:rPr>
        <w:tab/>
      </w:r>
      <w:r>
        <w:rPr>
          <w:rFonts w:hint="cs"/>
          <w:rtl/>
        </w:rPr>
        <w:t xml:space="preserve">לפי סעיף 149(10) </w:t>
      </w:r>
      <w:r w:rsidRPr="0021269D">
        <w:rPr>
          <w:rFonts w:hint="eastAsia"/>
          <w:b/>
          <w:bCs/>
          <w:rtl/>
        </w:rPr>
        <w:t>לחוק</w:t>
      </w:r>
      <w:r w:rsidRPr="0021269D">
        <w:rPr>
          <w:b/>
          <w:bCs/>
          <w:rtl/>
        </w:rPr>
        <w:t xml:space="preserve"> </w:t>
      </w:r>
      <w:r w:rsidRPr="0021269D">
        <w:rPr>
          <w:rFonts w:hint="eastAsia"/>
          <w:b/>
          <w:bCs/>
          <w:rtl/>
        </w:rPr>
        <w:t>סדר</w:t>
      </w:r>
      <w:r w:rsidRPr="0021269D">
        <w:rPr>
          <w:b/>
          <w:bCs/>
          <w:rtl/>
        </w:rPr>
        <w:t xml:space="preserve"> </w:t>
      </w:r>
      <w:r w:rsidRPr="0021269D">
        <w:rPr>
          <w:rFonts w:hint="eastAsia"/>
          <w:b/>
          <w:bCs/>
          <w:rtl/>
        </w:rPr>
        <w:t>הדין</w:t>
      </w:r>
      <w:r w:rsidRPr="0021269D">
        <w:rPr>
          <w:b/>
          <w:bCs/>
          <w:rtl/>
        </w:rPr>
        <w:t xml:space="preserve"> </w:t>
      </w:r>
      <w:r w:rsidRPr="0021269D">
        <w:rPr>
          <w:rFonts w:hint="eastAsia"/>
          <w:b/>
          <w:bCs/>
          <w:rtl/>
        </w:rPr>
        <w:t>הפלילי</w:t>
      </w:r>
      <w:r w:rsidRPr="0021269D">
        <w:rPr>
          <w:b/>
          <w:bCs/>
          <w:rtl/>
        </w:rPr>
        <w:t xml:space="preserve"> [נוסח </w:t>
      </w:r>
      <w:r w:rsidRPr="0021269D">
        <w:rPr>
          <w:rFonts w:hint="eastAsia"/>
          <w:b/>
          <w:bCs/>
          <w:rtl/>
        </w:rPr>
        <w:t>משולב</w:t>
      </w:r>
      <w:r w:rsidRPr="0021269D">
        <w:rPr>
          <w:b/>
          <w:bCs/>
          <w:rtl/>
        </w:rPr>
        <w:t>]</w:t>
      </w:r>
      <w:r>
        <w:rPr>
          <w:rFonts w:hint="cs"/>
          <w:rtl/>
        </w:rPr>
        <w:t xml:space="preserve">, התשמ"ב-1982. </w:t>
      </w:r>
    </w:p>
  </w:footnote>
  <w:footnote w:id="234">
    <w:p w:rsidR="00172C0A" w:rsidRDefault="00172C0A" w:rsidP="00DB4270">
      <w:pPr>
        <w:pStyle w:val="ad"/>
        <w:ind w:left="282" w:hanging="566"/>
        <w:rPr>
          <w:rtl/>
        </w:rPr>
      </w:pPr>
      <w:r>
        <w:rPr>
          <w:rStyle w:val="af"/>
        </w:rPr>
        <w:footnoteRef/>
      </w:r>
      <w:r>
        <w:rPr>
          <w:rtl/>
        </w:rPr>
        <w:t xml:space="preserve"> </w:t>
      </w:r>
      <w:r>
        <w:rPr>
          <w:rtl/>
        </w:rPr>
        <w:tab/>
      </w:r>
      <w:r>
        <w:rPr>
          <w:rFonts w:hint="cs"/>
          <w:rtl/>
        </w:rPr>
        <w:t xml:space="preserve">ע"פ 5121/98 </w:t>
      </w:r>
      <w:r w:rsidRPr="006B7F0A">
        <w:rPr>
          <w:rFonts w:hint="cs"/>
          <w:b/>
          <w:bCs/>
          <w:rtl/>
        </w:rPr>
        <w:t>טוראי רפאל יששכרוב נ' התובע הצבאי</w:t>
      </w:r>
      <w:r>
        <w:rPr>
          <w:rFonts w:hint="cs"/>
          <w:rtl/>
        </w:rPr>
        <w:t xml:space="preserve"> (4.5.06) (פורסם במאגר ממוחשב). </w:t>
      </w:r>
    </w:p>
  </w:footnote>
  <w:footnote w:id="235">
    <w:p w:rsidR="00172C0A" w:rsidRDefault="00172C0A" w:rsidP="00DB4270">
      <w:pPr>
        <w:pStyle w:val="ad"/>
        <w:ind w:left="282" w:hanging="566"/>
        <w:rPr>
          <w:rtl/>
        </w:rPr>
      </w:pPr>
      <w:r>
        <w:rPr>
          <w:rStyle w:val="af"/>
        </w:rPr>
        <w:footnoteRef/>
      </w:r>
      <w:r>
        <w:rPr>
          <w:rtl/>
        </w:rPr>
        <w:t xml:space="preserve"> </w:t>
      </w:r>
      <w:r>
        <w:rPr>
          <w:rtl/>
        </w:rPr>
        <w:tab/>
      </w:r>
      <w:r>
        <w:rPr>
          <w:rFonts w:hint="cs"/>
          <w:rtl/>
        </w:rPr>
        <w:t xml:space="preserve">ע"פ 4855/02 </w:t>
      </w:r>
      <w:r w:rsidRPr="006B7F0A">
        <w:rPr>
          <w:rFonts w:hint="cs"/>
          <w:b/>
          <w:bCs/>
          <w:rtl/>
        </w:rPr>
        <w:t>מ"י נ' ד"ר איתמר בורוביץ</w:t>
      </w:r>
      <w:r>
        <w:rPr>
          <w:rFonts w:hint="cs"/>
          <w:rtl/>
        </w:rPr>
        <w:t xml:space="preserve">, פ"ד נט(6) 776, (2005). </w:t>
      </w:r>
    </w:p>
  </w:footnote>
  <w:footnote w:id="236">
    <w:p w:rsidR="00172C0A" w:rsidRDefault="00172C0A" w:rsidP="00DB4270">
      <w:pPr>
        <w:pStyle w:val="ad"/>
        <w:ind w:left="282" w:hanging="566"/>
        <w:rPr>
          <w:rtl/>
        </w:rPr>
      </w:pPr>
      <w:r>
        <w:rPr>
          <w:rStyle w:val="af"/>
        </w:rPr>
        <w:footnoteRef/>
      </w:r>
      <w:r>
        <w:rPr>
          <w:rtl/>
        </w:rPr>
        <w:t xml:space="preserve"> </w:t>
      </w:r>
      <w:r>
        <w:rPr>
          <w:rtl/>
        </w:rPr>
        <w:tab/>
      </w:r>
      <w:r>
        <w:rPr>
          <w:rFonts w:hint="cs"/>
          <w:rtl/>
        </w:rPr>
        <w:t>ראו לעניין זה בפרק התקנת כלים לצורכי האזנת סתר ואיסוף תוצרי האזנה.</w:t>
      </w:r>
    </w:p>
  </w:footnote>
  <w:footnote w:id="237">
    <w:p w:rsidR="00172C0A" w:rsidRDefault="00172C0A" w:rsidP="00DB4270">
      <w:pPr>
        <w:pStyle w:val="ad"/>
        <w:ind w:left="282" w:hanging="566"/>
        <w:rPr>
          <w:rtl/>
        </w:rPr>
      </w:pPr>
      <w:r>
        <w:rPr>
          <w:rStyle w:val="af"/>
        </w:rPr>
        <w:footnoteRef/>
      </w:r>
      <w:r>
        <w:rPr>
          <w:rtl/>
        </w:rPr>
        <w:t xml:space="preserve"> </w:t>
      </w:r>
      <w:r>
        <w:rPr>
          <w:rtl/>
        </w:rPr>
        <w:tab/>
      </w:r>
      <w:r>
        <w:rPr>
          <w:rFonts w:hint="cs"/>
          <w:rtl/>
        </w:rPr>
        <w:t xml:space="preserve">חמישה מתוך תשעת המקרים הם אותם מקרים בהם התבצע גם ייצוא של התוצרים מחוץ לכלי הטכנולוגי. רק בנוגע לשניים מהמקרים לא נמצא תיעוד נוסף המעיד על הפקה ושימוש בתוצרים. </w:t>
      </w:r>
    </w:p>
  </w:footnote>
  <w:footnote w:id="238">
    <w:p w:rsidR="00172C0A" w:rsidRDefault="00172C0A" w:rsidP="00DB4270">
      <w:pPr>
        <w:pStyle w:val="ad"/>
        <w:ind w:left="282" w:hanging="566"/>
      </w:pPr>
      <w:r>
        <w:rPr>
          <w:rStyle w:val="af"/>
        </w:rPr>
        <w:footnoteRef/>
      </w:r>
      <w:r>
        <w:rPr>
          <w:rtl/>
        </w:rPr>
        <w:t xml:space="preserve"> </w:t>
      </w:r>
      <w:r>
        <w:rPr>
          <w:rtl/>
        </w:rPr>
        <w:tab/>
      </w:r>
      <w:r>
        <w:rPr>
          <w:rFonts w:hint="cs"/>
          <w:rtl/>
        </w:rPr>
        <w:t xml:space="preserve">שימוש שמתבצע על ידי גורמים שאינם מפיק מוסמך, כגון מפעילי כלים והיחידות המזמינות במשטרה. </w:t>
      </w:r>
    </w:p>
  </w:footnote>
  <w:footnote w:id="239">
    <w:p w:rsidR="00172C0A" w:rsidRDefault="00172C0A" w:rsidP="00DB4270">
      <w:pPr>
        <w:pStyle w:val="ad"/>
        <w:ind w:left="282" w:hanging="566"/>
      </w:pPr>
      <w:r>
        <w:rPr>
          <w:rStyle w:val="af"/>
        </w:rPr>
        <w:footnoteRef/>
      </w:r>
      <w:r>
        <w:rPr>
          <w:rtl/>
        </w:rPr>
        <w:t xml:space="preserve"> </w:t>
      </w:r>
      <w:r>
        <w:rPr>
          <w:rtl/>
        </w:rPr>
        <w:tab/>
      </w:r>
      <w:r>
        <w:rPr>
          <w:rFonts w:hint="cs"/>
          <w:rtl/>
        </w:rPr>
        <w:t xml:space="preserve">שלושת המקרים הם אותם מקרים בהם התבצע שימוש בתוצרים שהפקתם אסורה על ידי המפעילים. </w:t>
      </w:r>
    </w:p>
  </w:footnote>
  <w:footnote w:id="240">
    <w:p w:rsidR="00172C0A" w:rsidRPr="006542FB" w:rsidRDefault="00172C0A" w:rsidP="00DB4270">
      <w:pPr>
        <w:pStyle w:val="ad"/>
        <w:ind w:left="282" w:hanging="566"/>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תקנה 7(ב) לתקנות האזנת סתר קובעת כי אם חומר ההקלטה שיש למחוק שמור על גבי דיסק אופטי המכיל חומרים </w:t>
      </w:r>
      <w:r w:rsidRPr="00DB4270">
        <w:rPr>
          <w:rtl/>
        </w:rPr>
        <w:t>נוספים</w:t>
      </w:r>
      <w:r w:rsidRPr="006542FB">
        <w:rPr>
          <w:rFonts w:ascii="David" w:hAnsi="David"/>
          <w:rtl/>
        </w:rPr>
        <w:t>, יש למנוע את הגישה לחומר ההקלטה באמצעות תוכנה</w:t>
      </w:r>
      <w:r>
        <w:rPr>
          <w:rFonts w:ascii="David" w:hAnsi="David" w:hint="cs"/>
          <w:rtl/>
        </w:rPr>
        <w:t>, כל עוד לא ניתן למחוק את כל החומר שעל הדיסק בדרך אחרת.</w:t>
      </w:r>
    </w:p>
  </w:footnote>
  <w:footnote w:id="241">
    <w:p w:rsidR="00172C0A" w:rsidRPr="006542FB" w:rsidRDefault="00172C0A" w:rsidP="00DB4270">
      <w:pPr>
        <w:pStyle w:val="ad"/>
        <w:ind w:left="282" w:hanging="566"/>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פסק דין הופך </w:t>
      </w:r>
      <w:r w:rsidRPr="00DB4270">
        <w:rPr>
          <w:rtl/>
        </w:rPr>
        <w:t>לחלוט</w:t>
      </w:r>
      <w:r w:rsidRPr="006542FB">
        <w:rPr>
          <w:rFonts w:ascii="David" w:hAnsi="David"/>
          <w:rtl/>
        </w:rPr>
        <w:t xml:space="preserve"> בתום 45 ימים ממתן פסק הדין וכל עוד לא הוגש ערעור </w:t>
      </w:r>
      <w:r w:rsidRPr="009572A4">
        <w:rPr>
          <w:rFonts w:ascii="David" w:hAnsi="David" w:hint="eastAsia"/>
          <w:rtl/>
        </w:rPr>
        <w:t>או</w:t>
      </w:r>
      <w:r w:rsidRPr="009572A4">
        <w:rPr>
          <w:rFonts w:ascii="David" w:hAnsi="David"/>
          <w:rtl/>
        </w:rPr>
        <w:t xml:space="preserve"> </w:t>
      </w:r>
      <w:r>
        <w:rPr>
          <w:rFonts w:ascii="David" w:hAnsi="David" w:hint="cs"/>
          <w:rtl/>
        </w:rPr>
        <w:t>לאחר</w:t>
      </w:r>
      <w:r w:rsidRPr="009572A4">
        <w:rPr>
          <w:rFonts w:ascii="David" w:hAnsi="David"/>
          <w:rtl/>
        </w:rPr>
        <w:t xml:space="preserve"> </w:t>
      </w:r>
      <w:r w:rsidRPr="009572A4">
        <w:rPr>
          <w:rFonts w:ascii="David" w:hAnsi="David" w:hint="eastAsia"/>
          <w:rtl/>
        </w:rPr>
        <w:t>קבלת</w:t>
      </w:r>
      <w:r w:rsidRPr="009572A4">
        <w:rPr>
          <w:rFonts w:ascii="David" w:hAnsi="David"/>
          <w:rtl/>
        </w:rPr>
        <w:t xml:space="preserve"> </w:t>
      </w:r>
      <w:r w:rsidRPr="009572A4">
        <w:rPr>
          <w:rFonts w:ascii="David" w:hAnsi="David" w:hint="eastAsia"/>
          <w:rtl/>
        </w:rPr>
        <w:t>פסק</w:t>
      </w:r>
      <w:r w:rsidRPr="009572A4">
        <w:rPr>
          <w:rFonts w:ascii="David" w:hAnsi="David"/>
          <w:rtl/>
        </w:rPr>
        <w:t xml:space="preserve"> </w:t>
      </w:r>
      <w:r w:rsidRPr="009572A4">
        <w:rPr>
          <w:rFonts w:ascii="David" w:hAnsi="David" w:hint="eastAsia"/>
          <w:rtl/>
        </w:rPr>
        <w:t>דין</w:t>
      </w:r>
      <w:r w:rsidRPr="009572A4">
        <w:rPr>
          <w:rFonts w:ascii="David" w:hAnsi="David"/>
          <w:rtl/>
        </w:rPr>
        <w:t xml:space="preserve"> </w:t>
      </w:r>
      <w:r w:rsidRPr="009572A4">
        <w:rPr>
          <w:rFonts w:ascii="David" w:hAnsi="David" w:hint="eastAsia"/>
          <w:rtl/>
        </w:rPr>
        <w:t>בערעור</w:t>
      </w:r>
      <w:r w:rsidRPr="009572A4">
        <w:rPr>
          <w:rFonts w:ascii="David" w:hAnsi="David"/>
          <w:rtl/>
        </w:rPr>
        <w:t xml:space="preserve">. </w:t>
      </w:r>
    </w:p>
  </w:footnote>
  <w:footnote w:id="242">
    <w:p w:rsidR="00172C0A" w:rsidRPr="006542FB" w:rsidRDefault="00172C0A" w:rsidP="00DB4270">
      <w:pPr>
        <w:pStyle w:val="ad"/>
        <w:ind w:left="282" w:hanging="566"/>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בעבירה שעונשה עשר שנות מאסר או יותר.</w:t>
      </w:r>
    </w:p>
  </w:footnote>
  <w:footnote w:id="243">
    <w:p w:rsidR="00172C0A" w:rsidRPr="00500B55" w:rsidRDefault="00172C0A" w:rsidP="00DB4270">
      <w:pPr>
        <w:pStyle w:val="ad"/>
        <w:ind w:left="282" w:hanging="566"/>
        <w:rPr>
          <w:rFonts w:ascii="David" w:hAnsi="David"/>
        </w:rPr>
      </w:pPr>
      <w:r>
        <w:rPr>
          <w:rStyle w:val="af"/>
        </w:rPr>
        <w:footnoteRef/>
      </w:r>
      <w:r>
        <w:rPr>
          <w:rtl/>
        </w:rPr>
        <w:t xml:space="preserve"> </w:t>
      </w:r>
      <w:r>
        <w:rPr>
          <w:rtl/>
        </w:rPr>
        <w:tab/>
      </w:r>
      <w:r w:rsidRPr="00500B55">
        <w:rPr>
          <w:rFonts w:ascii="David" w:hAnsi="David"/>
          <w:rtl/>
        </w:rPr>
        <w:t xml:space="preserve">במרץ 2023 פנה </w:t>
      </w:r>
      <w:r>
        <w:rPr>
          <w:rFonts w:ascii="David" w:hAnsi="David" w:hint="cs"/>
          <w:rtl/>
        </w:rPr>
        <w:t>נציג</w:t>
      </w:r>
      <w:r w:rsidRPr="00500B55">
        <w:rPr>
          <w:rFonts w:ascii="David" w:hAnsi="David"/>
          <w:rtl/>
        </w:rPr>
        <w:t xml:space="preserve"> יועמ"ש המשטרה ללשכה המשפטית בחטיבת הסייבר והתריע כי זה </w:t>
      </w:r>
      <w:r>
        <w:rPr>
          <w:rFonts w:ascii="David" w:hAnsi="David" w:hint="cs"/>
          <w:rtl/>
        </w:rPr>
        <w:t>כמה</w:t>
      </w:r>
      <w:r w:rsidRPr="00500B55">
        <w:rPr>
          <w:rFonts w:ascii="David" w:hAnsi="David"/>
          <w:rtl/>
        </w:rPr>
        <w:t xml:space="preserve"> חודשים מתבקשים הקצינים האחראים לדאוג לביעור חומרי האזנת סתר ולקבוע תאריך יעד לביצוע תוך קביעת לוחות זמנים לביצוע. כמו כן החטיבה התבקשה ללוות את נושא הביעור בביצוע בקרה בנושא</w:t>
      </w:r>
      <w:r w:rsidRPr="00500B55">
        <w:rPr>
          <w:rFonts w:ascii="David" w:hAnsi="David" w:hint="cs"/>
          <w:rtl/>
        </w:rPr>
        <w:t>.</w:t>
      </w:r>
    </w:p>
  </w:footnote>
  <w:footnote w:id="244">
    <w:p w:rsidR="00172C0A" w:rsidRDefault="00172C0A" w:rsidP="00DB4270">
      <w:pPr>
        <w:pStyle w:val="ad"/>
        <w:ind w:left="282" w:hanging="566"/>
        <w:rPr>
          <w:rtl/>
        </w:rPr>
      </w:pPr>
      <w:r>
        <w:rPr>
          <w:rStyle w:val="af"/>
        </w:rPr>
        <w:footnoteRef/>
      </w:r>
      <w:r>
        <w:rPr>
          <w:rtl/>
        </w:rPr>
        <w:t xml:space="preserve"> </w:t>
      </w:r>
      <w:r>
        <w:rPr>
          <w:rtl/>
        </w:rPr>
        <w:tab/>
      </w:r>
      <w:bookmarkStart w:id="585" w:name="_Hlk147755809"/>
      <w:r w:rsidRPr="00500B55">
        <w:rPr>
          <w:rFonts w:ascii="David" w:hAnsi="David" w:hint="cs"/>
          <w:rtl/>
        </w:rPr>
        <w:t>בייט הוא יחיד</w:t>
      </w:r>
      <w:r>
        <w:rPr>
          <w:rFonts w:ascii="David" w:hAnsi="David" w:hint="cs"/>
          <w:rtl/>
        </w:rPr>
        <w:t>ת</w:t>
      </w:r>
      <w:r w:rsidRPr="00500B55">
        <w:rPr>
          <w:rFonts w:ascii="David" w:hAnsi="David" w:hint="cs"/>
          <w:rtl/>
        </w:rPr>
        <w:t xml:space="preserve"> מידה של זיכרון מחשב</w:t>
      </w:r>
      <w:r>
        <w:rPr>
          <w:rFonts w:ascii="David" w:hAnsi="David" w:hint="cs"/>
          <w:rtl/>
        </w:rPr>
        <w:t>;</w:t>
      </w:r>
      <w:r w:rsidRPr="00500B55">
        <w:rPr>
          <w:rFonts w:ascii="David" w:hAnsi="David" w:hint="cs"/>
          <w:rtl/>
        </w:rPr>
        <w:t xml:space="preserve"> טרה</w:t>
      </w:r>
      <w:r>
        <w:rPr>
          <w:rFonts w:ascii="David" w:hAnsi="David" w:hint="cs"/>
          <w:rtl/>
        </w:rPr>
        <w:t>-</w:t>
      </w:r>
      <w:r w:rsidRPr="00500B55">
        <w:rPr>
          <w:rFonts w:ascii="David" w:hAnsi="David" w:hint="cs"/>
          <w:rtl/>
        </w:rPr>
        <w:t>ביי</w:t>
      </w:r>
      <w:r>
        <w:rPr>
          <w:rFonts w:ascii="David" w:hAnsi="David" w:hint="cs"/>
          <w:rtl/>
        </w:rPr>
        <w:t>ט</w:t>
      </w:r>
      <w:r w:rsidRPr="00500B55">
        <w:rPr>
          <w:rFonts w:ascii="David" w:hAnsi="David" w:hint="cs"/>
          <w:rtl/>
        </w:rPr>
        <w:t xml:space="preserve"> שווה בערך ל</w:t>
      </w:r>
      <w:r>
        <w:rPr>
          <w:rFonts w:ascii="David" w:hAnsi="David" w:hint="cs"/>
          <w:rtl/>
        </w:rPr>
        <w:t>-10</w:t>
      </w:r>
      <w:r w:rsidRPr="00500B55">
        <w:rPr>
          <w:rFonts w:ascii="David" w:hAnsi="David" w:hint="cs"/>
          <w:rtl/>
        </w:rPr>
        <w:t xml:space="preserve"> בחזקת 12 (</w:t>
      </w:r>
      <w:r>
        <w:rPr>
          <w:rFonts w:ascii="David" w:hAnsi="David" w:hint="cs"/>
          <w:rtl/>
        </w:rPr>
        <w:t>10</w:t>
      </w:r>
      <w:r w:rsidRPr="00500B55">
        <w:rPr>
          <w:rFonts w:ascii="David" w:hAnsi="David" w:hint="cs"/>
          <w:rtl/>
        </w:rPr>
        <w:t xml:space="preserve"> ואחריו 12 אפסים) יחידות בייט.</w:t>
      </w:r>
      <w:r>
        <w:rPr>
          <w:rFonts w:hint="cs"/>
          <w:rtl/>
        </w:rPr>
        <w:t xml:space="preserve"> </w:t>
      </w:r>
      <w:bookmarkEnd w:id="585"/>
    </w:p>
  </w:footnote>
  <w:footnote w:id="245">
    <w:p w:rsidR="00172C0A" w:rsidRDefault="00172C0A" w:rsidP="00DB4270">
      <w:pPr>
        <w:pStyle w:val="ad"/>
        <w:ind w:left="282" w:hanging="566"/>
      </w:pPr>
      <w:r>
        <w:rPr>
          <w:rStyle w:val="af"/>
        </w:rPr>
        <w:footnoteRef/>
      </w:r>
      <w:r>
        <w:rPr>
          <w:rtl/>
        </w:rPr>
        <w:t xml:space="preserve"> </w:t>
      </w:r>
      <w:r>
        <w:rPr>
          <w:rtl/>
        </w:rPr>
        <w:tab/>
      </w:r>
      <w:r>
        <w:rPr>
          <w:rFonts w:hint="cs"/>
          <w:rtl/>
        </w:rPr>
        <w:t xml:space="preserve">סעיף 1 לחוק נתוני תקשורת מגדיר "קצין מוסמך": "קצין משטרה ממערך החקירות או המודיעין של משטרת ישראל בדרגת סגן ניצב ומעלה או קצין משטרה המשמש מפקד מוקד ארצי או מחוזי של המשטרה שהמפכ"ל הסמיך בכתב לעניין זה מכוח תפקידו". </w:t>
      </w:r>
    </w:p>
  </w:footnote>
  <w:footnote w:id="246">
    <w:p w:rsidR="00172C0A" w:rsidRDefault="00172C0A" w:rsidP="00DB4270">
      <w:pPr>
        <w:pStyle w:val="ad"/>
        <w:ind w:left="282" w:hanging="566"/>
      </w:pPr>
      <w:r>
        <w:rPr>
          <w:rStyle w:val="af"/>
        </w:rPr>
        <w:footnoteRef/>
      </w:r>
      <w:r>
        <w:rPr>
          <w:rtl/>
        </w:rPr>
        <w:t xml:space="preserve"> </w:t>
      </w:r>
      <w:r>
        <w:rPr>
          <w:rtl/>
        </w:rPr>
        <w:tab/>
      </w:r>
      <w:r>
        <w:rPr>
          <w:rFonts w:hint="cs"/>
          <w:rtl/>
        </w:rPr>
        <w:t>חוק נתוני תקשורת, סעיף 4.</w:t>
      </w:r>
    </w:p>
  </w:footnote>
  <w:footnote w:id="247">
    <w:p w:rsidR="00172C0A" w:rsidRDefault="00172C0A" w:rsidP="00DB4270">
      <w:pPr>
        <w:pStyle w:val="ad"/>
        <w:ind w:left="282" w:hanging="566"/>
      </w:pPr>
      <w:r>
        <w:rPr>
          <w:rStyle w:val="af"/>
        </w:rPr>
        <w:footnoteRef/>
      </w:r>
      <w:r>
        <w:rPr>
          <w:rtl/>
        </w:rPr>
        <w:t xml:space="preserve"> </w:t>
      </w:r>
      <w:r>
        <w:rPr>
          <w:rtl/>
        </w:rPr>
        <w:tab/>
      </w:r>
      <w:r>
        <w:rPr>
          <w:rFonts w:hint="cs"/>
          <w:rtl/>
        </w:rPr>
        <w:t>דברי הסבר להצעת חוק לתיקון פקודת סדר הדין הפלילי (מעצר וחיפוש) (מס' 13) (קבלת נתוני תקשורת וקובצי נתונים ממאגר מידע של בעל רישיון בזק), התשס"ו-2006, ה"ח הממשלה, התשס"ו, עמ' 550.</w:t>
      </w:r>
    </w:p>
  </w:footnote>
  <w:footnote w:id="248">
    <w:p w:rsidR="00172C0A" w:rsidRDefault="00172C0A" w:rsidP="00DB4270">
      <w:pPr>
        <w:pStyle w:val="ad"/>
        <w:ind w:left="282" w:hanging="566"/>
      </w:pPr>
      <w:r>
        <w:rPr>
          <w:rStyle w:val="af"/>
        </w:rPr>
        <w:footnoteRef/>
      </w:r>
      <w:r>
        <w:rPr>
          <w:rtl/>
        </w:rPr>
        <w:t xml:space="preserve"> </w:t>
      </w:r>
      <w:r>
        <w:rPr>
          <w:rtl/>
        </w:rPr>
        <w:tab/>
      </w:r>
      <w:r>
        <w:rPr>
          <w:rFonts w:hint="cs"/>
          <w:rtl/>
        </w:rPr>
        <w:t xml:space="preserve">ראו גם: </w:t>
      </w:r>
      <w:r w:rsidRPr="009E3F52">
        <w:rPr>
          <w:rtl/>
        </w:rPr>
        <w:t>בג"</w:t>
      </w:r>
      <w:r>
        <w:rPr>
          <w:rFonts w:hint="cs"/>
          <w:rtl/>
        </w:rPr>
        <w:t>ץ</w:t>
      </w:r>
      <w:r w:rsidRPr="009E3F52">
        <w:rPr>
          <w:rtl/>
        </w:rPr>
        <w:t xml:space="preserve"> 3809/08 </w:t>
      </w:r>
      <w:r w:rsidRPr="009E3F52">
        <w:rPr>
          <w:b/>
          <w:bCs/>
          <w:rtl/>
        </w:rPr>
        <w:t>האגודה לזכויות האזרח בישראל נ' משטרת ישראל</w:t>
      </w:r>
      <w:r>
        <w:rPr>
          <w:rFonts w:hint="cs"/>
          <w:rtl/>
        </w:rPr>
        <w:t xml:space="preserve"> (</w:t>
      </w:r>
      <w:r w:rsidRPr="00AF71CC">
        <w:rPr>
          <w:rFonts w:hint="cs"/>
          <w:rtl/>
        </w:rPr>
        <w:t>פורסם ב</w:t>
      </w:r>
      <w:r>
        <w:rPr>
          <w:rFonts w:hint="cs"/>
          <w:rtl/>
        </w:rPr>
        <w:t xml:space="preserve">מאגר ממוחשב, </w:t>
      </w:r>
      <w:r w:rsidRPr="00AF71CC">
        <w:rPr>
          <w:rFonts w:hint="cs"/>
          <w:rtl/>
        </w:rPr>
        <w:t>28.5.12</w:t>
      </w:r>
      <w:r>
        <w:rPr>
          <w:rFonts w:hint="cs"/>
          <w:rtl/>
        </w:rPr>
        <w:t>).</w:t>
      </w:r>
    </w:p>
  </w:footnote>
  <w:footnote w:id="249">
    <w:p w:rsidR="00172C0A" w:rsidRDefault="00172C0A" w:rsidP="00DB4270">
      <w:pPr>
        <w:pStyle w:val="ad"/>
        <w:ind w:left="282" w:hanging="566"/>
      </w:pPr>
      <w:r>
        <w:rPr>
          <w:rStyle w:val="af"/>
        </w:rPr>
        <w:footnoteRef/>
      </w:r>
      <w:r>
        <w:rPr>
          <w:rtl/>
        </w:rPr>
        <w:t xml:space="preserve"> </w:t>
      </w:r>
      <w:r>
        <w:rPr>
          <w:rtl/>
        </w:rPr>
        <w:tab/>
      </w:r>
      <w:r>
        <w:rPr>
          <w:rFonts w:hint="cs"/>
          <w:rtl/>
        </w:rPr>
        <w:t xml:space="preserve">שם, </w:t>
      </w:r>
      <w:r w:rsidRPr="009E3F52">
        <w:rPr>
          <w:rtl/>
        </w:rPr>
        <w:t>בג"</w:t>
      </w:r>
      <w:r>
        <w:rPr>
          <w:rFonts w:hint="cs"/>
          <w:rtl/>
        </w:rPr>
        <w:t>ץ</w:t>
      </w:r>
      <w:r w:rsidRPr="009E3F52">
        <w:rPr>
          <w:rtl/>
        </w:rPr>
        <w:t xml:space="preserve"> 3809/08</w:t>
      </w:r>
      <w:r>
        <w:rPr>
          <w:rFonts w:hint="cs"/>
          <w:rtl/>
        </w:rPr>
        <w:t>.</w:t>
      </w:r>
      <w:r w:rsidRPr="009E3F52">
        <w:rPr>
          <w:rtl/>
        </w:rPr>
        <w:t xml:space="preserve"> </w:t>
      </w:r>
      <w:r>
        <w:rPr>
          <w:rFonts w:hint="cs"/>
          <w:rtl/>
        </w:rPr>
        <w:t xml:space="preserve">בית המשפט קבע כי הנתונים יתקבלו רק כאשר הדבר נדרש לצורך ממוקד וקונקרטי. היתר לקבלת נתוני תקשורת ללא צו </w:t>
      </w:r>
      <w:r w:rsidRPr="00DB57DB">
        <w:rPr>
          <w:rFonts w:hint="eastAsia"/>
          <w:rtl/>
        </w:rPr>
        <w:t>ייעשה</w:t>
      </w:r>
      <w:r w:rsidRPr="00DB57DB">
        <w:rPr>
          <w:rtl/>
        </w:rPr>
        <w:t xml:space="preserve"> </w:t>
      </w:r>
      <w:r>
        <w:rPr>
          <w:rFonts w:hint="cs"/>
          <w:rtl/>
        </w:rPr>
        <w:t>במשורה, במקרים קיצוניים שבהם מחמת הדחיפות לא ניתן לקבל צו מסיבות הקשורות להצלת חיים או בנסיבות קשות אחרות ותוך התחשבות במגוון שיקולים.</w:t>
      </w:r>
      <w:r>
        <w:rPr>
          <w:rtl/>
        </w:rPr>
        <w:tab/>
      </w:r>
    </w:p>
  </w:footnote>
  <w:footnote w:id="250">
    <w:p w:rsidR="00172C0A" w:rsidRPr="0023044E" w:rsidRDefault="00172C0A" w:rsidP="00DB4270">
      <w:pPr>
        <w:pStyle w:val="ad"/>
        <w:ind w:left="282" w:hanging="566"/>
        <w:rPr>
          <w:rStyle w:val="af"/>
          <w:rtl/>
        </w:rPr>
      </w:pPr>
      <w:r>
        <w:rPr>
          <w:rStyle w:val="af"/>
        </w:rPr>
        <w:footnoteRef/>
      </w:r>
      <w:r>
        <w:rPr>
          <w:rStyle w:val="af"/>
          <w:rtl/>
        </w:rPr>
        <w:t xml:space="preserve"> </w:t>
      </w:r>
      <w:r>
        <w:rPr>
          <w:rtl/>
        </w:rPr>
        <w:tab/>
      </w:r>
      <w:r w:rsidRPr="00C90367">
        <w:rPr>
          <w:rFonts w:hint="cs"/>
          <w:rtl/>
        </w:rPr>
        <w:t>הרחבה ופירוט בענ</w:t>
      </w:r>
      <w:r>
        <w:rPr>
          <w:rFonts w:hint="cs"/>
          <w:rtl/>
        </w:rPr>
        <w:t>י</w:t>
      </w:r>
      <w:r w:rsidRPr="00C90367">
        <w:rPr>
          <w:rFonts w:hint="cs"/>
          <w:rtl/>
        </w:rPr>
        <w:t xml:space="preserve">ין מסלול החירום </w:t>
      </w:r>
      <w:r>
        <w:rPr>
          <w:rFonts w:hint="cs"/>
          <w:rtl/>
        </w:rPr>
        <w:t>-</w:t>
      </w:r>
      <w:r w:rsidRPr="00C90367">
        <w:rPr>
          <w:rFonts w:hint="cs"/>
          <w:rtl/>
        </w:rPr>
        <w:t xml:space="preserve"> ראו </w:t>
      </w:r>
      <w:r w:rsidRPr="00C90367">
        <w:rPr>
          <w:rFonts w:hint="eastAsia"/>
          <w:rtl/>
        </w:rPr>
        <w:t>להלן</w:t>
      </w:r>
      <w:r w:rsidRPr="00DA3C51">
        <w:rPr>
          <w:rtl/>
        </w:rPr>
        <w:t xml:space="preserve"> </w:t>
      </w:r>
      <w:r w:rsidRPr="00DA3C51">
        <w:rPr>
          <w:rFonts w:hint="eastAsia"/>
          <w:rtl/>
        </w:rPr>
        <w:t>בפרק</w:t>
      </w:r>
      <w:r w:rsidRPr="003910B3">
        <w:rPr>
          <w:rtl/>
        </w:rPr>
        <w:t xml:space="preserve"> 3.3</w:t>
      </w:r>
      <w:r>
        <w:rPr>
          <w:rFonts w:hint="cs"/>
          <w:rtl/>
        </w:rPr>
        <w:t>.</w:t>
      </w:r>
    </w:p>
  </w:footnote>
  <w:footnote w:id="251">
    <w:p w:rsidR="00172C0A" w:rsidRDefault="00172C0A" w:rsidP="00DB4270">
      <w:pPr>
        <w:pStyle w:val="ad"/>
        <w:ind w:left="282" w:hanging="566"/>
      </w:pPr>
      <w:r>
        <w:rPr>
          <w:rStyle w:val="af"/>
        </w:rPr>
        <w:footnoteRef/>
      </w:r>
      <w:r>
        <w:rPr>
          <w:rtl/>
        </w:rPr>
        <w:t xml:space="preserve"> </w:t>
      </w:r>
      <w:r>
        <w:rPr>
          <w:rtl/>
        </w:rPr>
        <w:tab/>
      </w:r>
      <w:r>
        <w:rPr>
          <w:rFonts w:hint="cs"/>
          <w:rtl/>
        </w:rPr>
        <w:t>חוק נתוני תקשורת, סעיף 3(ז).</w:t>
      </w:r>
    </w:p>
  </w:footnote>
  <w:footnote w:id="252">
    <w:p w:rsidR="00172C0A" w:rsidRDefault="00172C0A" w:rsidP="00DB4270">
      <w:pPr>
        <w:pStyle w:val="ad"/>
        <w:ind w:left="282" w:hanging="566"/>
      </w:pPr>
      <w:r>
        <w:rPr>
          <w:rStyle w:val="af"/>
        </w:rPr>
        <w:footnoteRef/>
      </w:r>
      <w:r>
        <w:rPr>
          <w:rtl/>
        </w:rPr>
        <w:t xml:space="preserve"> </w:t>
      </w:r>
      <w:r>
        <w:rPr>
          <w:rtl/>
        </w:rPr>
        <w:tab/>
      </w:r>
      <w:r>
        <w:rPr>
          <w:rFonts w:hint="cs"/>
          <w:rtl/>
        </w:rPr>
        <w:t>חוק נתוני תקשורת, סעיף 3(א).</w:t>
      </w:r>
    </w:p>
  </w:footnote>
  <w:footnote w:id="253">
    <w:p w:rsidR="00172C0A" w:rsidRDefault="00172C0A" w:rsidP="00DB4270">
      <w:pPr>
        <w:pStyle w:val="ad"/>
        <w:ind w:left="282" w:hanging="566"/>
        <w:rPr>
          <w:rtl/>
        </w:rPr>
      </w:pPr>
      <w:r>
        <w:rPr>
          <w:rStyle w:val="af"/>
        </w:rPr>
        <w:footnoteRef/>
      </w:r>
      <w:r>
        <w:rPr>
          <w:rtl/>
        </w:rPr>
        <w:t xml:space="preserve"> </w:t>
      </w:r>
      <w:r>
        <w:rPr>
          <w:rtl/>
        </w:rPr>
        <w:tab/>
      </w:r>
      <w:r w:rsidRPr="0021269D">
        <w:rPr>
          <w:rFonts w:hint="eastAsia"/>
          <w:b/>
          <w:bCs/>
          <w:rtl/>
        </w:rPr>
        <w:t>נתוני</w:t>
      </w:r>
      <w:r w:rsidRPr="0021269D">
        <w:rPr>
          <w:b/>
          <w:bCs/>
          <w:rtl/>
        </w:rPr>
        <w:t xml:space="preserve"> </w:t>
      </w:r>
      <w:r w:rsidRPr="0021269D">
        <w:rPr>
          <w:rFonts w:hint="eastAsia"/>
          <w:b/>
          <w:bCs/>
          <w:rtl/>
        </w:rPr>
        <w:t>מנוי</w:t>
      </w:r>
      <w:r>
        <w:rPr>
          <w:rFonts w:hint="cs"/>
          <w:rtl/>
        </w:rPr>
        <w:t xml:space="preserve"> -</w:t>
      </w:r>
      <w:r w:rsidRPr="001F2137">
        <w:rPr>
          <w:rFonts w:hint="cs"/>
          <w:rtl/>
        </w:rPr>
        <w:t xml:space="preserve"> פרטים מזהים של המנוי, כגון</w:t>
      </w:r>
      <w:r>
        <w:rPr>
          <w:rFonts w:hint="cs"/>
          <w:rtl/>
        </w:rPr>
        <w:t>:</w:t>
      </w:r>
      <w:r w:rsidRPr="001F2137">
        <w:rPr>
          <w:rFonts w:hint="cs"/>
          <w:rtl/>
        </w:rPr>
        <w:t xml:space="preserve"> שם, כתובת ומספר הזיהוי של המנוי; פרטי אמצעי התשלום של המנוי; נתונים מזהים של המכשיר </w:t>
      </w:r>
      <w:r>
        <w:rPr>
          <w:rFonts w:hint="cs"/>
          <w:rtl/>
        </w:rPr>
        <w:t>הנמצא בידי</w:t>
      </w:r>
      <w:r w:rsidRPr="001F2137">
        <w:rPr>
          <w:rFonts w:hint="cs"/>
          <w:rtl/>
        </w:rPr>
        <w:t xml:space="preserve"> המנוי, כגון מספר הטלפון של המנוי,; סוג </w:t>
      </w:r>
      <w:r>
        <w:rPr>
          <w:rFonts w:hint="cs"/>
          <w:rtl/>
        </w:rPr>
        <w:t>ה</w:t>
      </w:r>
      <w:r w:rsidRPr="001F2137">
        <w:rPr>
          <w:rFonts w:hint="cs"/>
          <w:rtl/>
        </w:rPr>
        <w:t xml:space="preserve">שירות הניתן למנוי; הכתובת שבה הותקן </w:t>
      </w:r>
      <w:r>
        <w:rPr>
          <w:rFonts w:hint="cs"/>
          <w:rtl/>
        </w:rPr>
        <w:t xml:space="preserve">אצל המנוי </w:t>
      </w:r>
      <w:r w:rsidRPr="001F2137">
        <w:rPr>
          <w:rFonts w:hint="cs"/>
          <w:rtl/>
        </w:rPr>
        <w:t>שירות.</w:t>
      </w:r>
    </w:p>
  </w:footnote>
  <w:footnote w:id="254">
    <w:p w:rsidR="00172C0A" w:rsidRDefault="00172C0A" w:rsidP="00DB4270">
      <w:pPr>
        <w:pStyle w:val="ad"/>
        <w:ind w:left="282" w:hanging="566"/>
        <w:rPr>
          <w:rtl/>
        </w:rPr>
      </w:pPr>
      <w:r>
        <w:rPr>
          <w:rStyle w:val="af"/>
        </w:rPr>
        <w:footnoteRef/>
      </w:r>
      <w:r>
        <w:rPr>
          <w:rtl/>
        </w:rPr>
        <w:t xml:space="preserve"> </w:t>
      </w:r>
      <w:r>
        <w:rPr>
          <w:rtl/>
        </w:rPr>
        <w:tab/>
      </w:r>
      <w:r w:rsidRPr="0021269D">
        <w:rPr>
          <w:rFonts w:hint="eastAsia"/>
          <w:b/>
          <w:bCs/>
          <w:rtl/>
        </w:rPr>
        <w:t>נתוני</w:t>
      </w:r>
      <w:r w:rsidRPr="0021269D">
        <w:rPr>
          <w:b/>
          <w:bCs/>
          <w:rtl/>
        </w:rPr>
        <w:t xml:space="preserve"> </w:t>
      </w:r>
      <w:r w:rsidRPr="0021269D">
        <w:rPr>
          <w:rFonts w:hint="eastAsia"/>
          <w:b/>
          <w:bCs/>
          <w:rtl/>
        </w:rPr>
        <w:t>תעבורה</w:t>
      </w:r>
      <w:r>
        <w:rPr>
          <w:rFonts w:hint="cs"/>
          <w:rtl/>
        </w:rPr>
        <w:t xml:space="preserve"> -</w:t>
      </w:r>
      <w:r w:rsidRPr="001F2137">
        <w:rPr>
          <w:rFonts w:hint="cs"/>
          <w:rtl/>
        </w:rPr>
        <w:t xml:space="preserve"> סוג המידע המועבר בין מכשיר המנוי </w:t>
      </w:r>
      <w:r w:rsidRPr="00D21DEF">
        <w:rPr>
          <w:rFonts w:hint="eastAsia"/>
          <w:rtl/>
        </w:rPr>
        <w:t>ובין</w:t>
      </w:r>
      <w:r w:rsidRPr="001F2137">
        <w:rPr>
          <w:rFonts w:hint="cs"/>
          <w:rtl/>
        </w:rPr>
        <w:t xml:space="preserve"> חברת התקשורת</w:t>
      </w:r>
      <w:r>
        <w:rPr>
          <w:rFonts w:hint="cs"/>
          <w:rtl/>
        </w:rPr>
        <w:t xml:space="preserve">; </w:t>
      </w:r>
      <w:r w:rsidRPr="001F2137">
        <w:rPr>
          <w:rFonts w:hint="cs"/>
          <w:rtl/>
        </w:rPr>
        <w:t>נתונים מזהים על המכשיר המשמש להעברת</w:t>
      </w:r>
      <w:r>
        <w:rPr>
          <w:rFonts w:hint="cs"/>
          <w:rtl/>
        </w:rPr>
        <w:t>ו</w:t>
      </w:r>
      <w:r w:rsidRPr="001F2137">
        <w:rPr>
          <w:rFonts w:hint="cs"/>
          <w:rtl/>
        </w:rPr>
        <w:t xml:space="preserve"> או </w:t>
      </w:r>
      <w:r>
        <w:rPr>
          <w:rFonts w:hint="cs"/>
          <w:rtl/>
        </w:rPr>
        <w:t>ל</w:t>
      </w:r>
      <w:r w:rsidRPr="001F2137">
        <w:rPr>
          <w:rFonts w:hint="cs"/>
          <w:rtl/>
        </w:rPr>
        <w:t>קבלת</w:t>
      </w:r>
      <w:r>
        <w:rPr>
          <w:rFonts w:hint="cs"/>
          <w:rtl/>
        </w:rPr>
        <w:t>ו של</w:t>
      </w:r>
      <w:r w:rsidRPr="001F2137">
        <w:rPr>
          <w:rFonts w:hint="cs"/>
          <w:rtl/>
        </w:rPr>
        <w:t xml:space="preserve"> המידע או שדרכו מועבר המידע</w:t>
      </w:r>
      <w:r>
        <w:rPr>
          <w:rFonts w:hint="cs"/>
          <w:rtl/>
        </w:rPr>
        <w:t>;</w:t>
      </w:r>
      <w:r w:rsidRPr="001F2137">
        <w:rPr>
          <w:rFonts w:hint="cs"/>
          <w:rtl/>
        </w:rPr>
        <w:t xml:space="preserve"> נתונים מזהים של המנוי שהוא המקור או היעד של המידע המועבר</w:t>
      </w:r>
      <w:r>
        <w:rPr>
          <w:rFonts w:hint="cs"/>
          <w:rtl/>
        </w:rPr>
        <w:t xml:space="preserve">; </w:t>
      </w:r>
      <w:r w:rsidRPr="001F2137">
        <w:rPr>
          <w:rFonts w:hint="cs"/>
          <w:rtl/>
        </w:rPr>
        <w:t>מועד השידור או הקבלה של המידע המועבר</w:t>
      </w:r>
      <w:r>
        <w:rPr>
          <w:rFonts w:hint="cs"/>
          <w:rtl/>
        </w:rPr>
        <w:t xml:space="preserve">; </w:t>
      </w:r>
      <w:r w:rsidRPr="001F2137">
        <w:rPr>
          <w:rFonts w:hint="cs"/>
          <w:rtl/>
        </w:rPr>
        <w:t>משכו, נפחו והיקפו של המידע המועבר</w:t>
      </w:r>
      <w:r>
        <w:rPr>
          <w:rFonts w:hint="cs"/>
          <w:rtl/>
        </w:rPr>
        <w:t>.</w:t>
      </w:r>
    </w:p>
  </w:footnote>
  <w:footnote w:id="255">
    <w:p w:rsidR="00172C0A" w:rsidRDefault="00172C0A" w:rsidP="00DB4270">
      <w:pPr>
        <w:pStyle w:val="ad"/>
        <w:ind w:left="282" w:hanging="566"/>
      </w:pPr>
      <w:r>
        <w:rPr>
          <w:rStyle w:val="af"/>
        </w:rPr>
        <w:footnoteRef/>
      </w:r>
      <w:r>
        <w:rPr>
          <w:rtl/>
        </w:rPr>
        <w:t xml:space="preserve"> </w:t>
      </w:r>
      <w:r>
        <w:rPr>
          <w:b/>
          <w:bCs/>
          <w:rtl/>
        </w:rPr>
        <w:tab/>
      </w:r>
      <w:r w:rsidRPr="0021269D">
        <w:rPr>
          <w:rFonts w:hint="eastAsia"/>
          <w:b/>
          <w:bCs/>
          <w:rtl/>
        </w:rPr>
        <w:t>נתוני</w:t>
      </w:r>
      <w:r w:rsidRPr="0021269D">
        <w:rPr>
          <w:b/>
          <w:bCs/>
          <w:rtl/>
        </w:rPr>
        <w:t xml:space="preserve"> </w:t>
      </w:r>
      <w:r w:rsidRPr="0021269D">
        <w:rPr>
          <w:rFonts w:hint="eastAsia"/>
          <w:b/>
          <w:bCs/>
          <w:rtl/>
        </w:rPr>
        <w:t>מיקום</w:t>
      </w:r>
      <w:r>
        <w:rPr>
          <w:rFonts w:hint="cs"/>
          <w:rtl/>
        </w:rPr>
        <w:t xml:space="preserve"> -</w:t>
      </w:r>
      <w:r w:rsidRPr="00355A26">
        <w:rPr>
          <w:rFonts w:hint="cs"/>
          <w:rtl/>
        </w:rPr>
        <w:t xml:space="preserve"> כוללים את נתוני האיכון של מכשיר הקצה</w:t>
      </w:r>
      <w:r>
        <w:rPr>
          <w:rFonts w:hint="cs"/>
          <w:rtl/>
        </w:rPr>
        <w:t>.</w:t>
      </w:r>
    </w:p>
  </w:footnote>
  <w:footnote w:id="256">
    <w:p w:rsidR="00172C0A" w:rsidRDefault="00172C0A" w:rsidP="00DB4270">
      <w:pPr>
        <w:pStyle w:val="ad"/>
        <w:ind w:left="282" w:hanging="566"/>
      </w:pPr>
      <w:r>
        <w:rPr>
          <w:rStyle w:val="af"/>
        </w:rPr>
        <w:footnoteRef/>
      </w:r>
      <w:r>
        <w:rPr>
          <w:rtl/>
        </w:rPr>
        <w:t xml:space="preserve"> </w:t>
      </w:r>
      <w:r>
        <w:rPr>
          <w:b/>
          <w:bCs/>
          <w:rtl/>
        </w:rPr>
        <w:tab/>
      </w:r>
      <w:r w:rsidRPr="0029792E">
        <w:rPr>
          <w:rFonts w:hint="cs"/>
          <w:b/>
          <w:bCs/>
          <w:rtl/>
        </w:rPr>
        <w:t>מטא-דאטה</w:t>
      </w:r>
      <w:r>
        <w:rPr>
          <w:rFonts w:hint="cs"/>
          <w:rtl/>
        </w:rPr>
        <w:t xml:space="preserve"> - מידע על המידע. בענייננו מדובר בנתונים ובמידע </w:t>
      </w:r>
      <w:r w:rsidRPr="009A01E2">
        <w:rPr>
          <w:rtl/>
        </w:rPr>
        <w:t>הנוגעים</w:t>
      </w:r>
      <w:r>
        <w:rPr>
          <w:rFonts w:hint="cs"/>
          <w:rtl/>
        </w:rPr>
        <w:t xml:space="preserve"> לשימוש באמצעי התקשורת והשימוש בו לצורך ביצוע שיחה. בין היתר, נתונים על אמצעי התקשורת, השימוש בהם והבעלות עליהם.</w:t>
      </w:r>
    </w:p>
  </w:footnote>
  <w:footnote w:id="257">
    <w:p w:rsidR="00172C0A" w:rsidRDefault="00172C0A" w:rsidP="00DB4270">
      <w:pPr>
        <w:pStyle w:val="ad"/>
        <w:ind w:left="282" w:hanging="566"/>
      </w:pPr>
      <w:r>
        <w:rPr>
          <w:rStyle w:val="af"/>
        </w:rPr>
        <w:footnoteRef/>
      </w:r>
      <w:r>
        <w:rPr>
          <w:rtl/>
        </w:rPr>
        <w:t xml:space="preserve"> </w:t>
      </w:r>
      <w:r>
        <w:rPr>
          <w:rtl/>
        </w:rPr>
        <w:tab/>
      </w:r>
      <w:r>
        <w:rPr>
          <w:rFonts w:hint="cs"/>
          <w:rtl/>
        </w:rPr>
        <w:t>חוק נתוני תקשורת, סעיפים 6 - 7.</w:t>
      </w:r>
    </w:p>
  </w:footnote>
  <w:footnote w:id="258">
    <w:p w:rsidR="00172C0A" w:rsidRPr="00D57B65" w:rsidRDefault="00172C0A" w:rsidP="00DB4270">
      <w:pPr>
        <w:pStyle w:val="ad"/>
        <w:ind w:left="282" w:hanging="566"/>
        <w:rPr>
          <w:rtl/>
        </w:rPr>
      </w:pPr>
      <w:r>
        <w:rPr>
          <w:rStyle w:val="af"/>
        </w:rPr>
        <w:footnoteRef/>
      </w:r>
      <w:r>
        <w:rPr>
          <w:rStyle w:val="af"/>
          <w:rtl/>
        </w:rPr>
        <w:t xml:space="preserve"> </w:t>
      </w:r>
      <w:r>
        <w:rPr>
          <w:rtl/>
        </w:rPr>
        <w:tab/>
      </w:r>
      <w:r w:rsidRPr="00D57B65">
        <w:rPr>
          <w:rFonts w:hint="cs"/>
          <w:rtl/>
        </w:rPr>
        <w:t xml:space="preserve">תפקידן מחקרי תקשורת הוא </w:t>
      </w:r>
      <w:r w:rsidRPr="00D57B65">
        <w:rPr>
          <w:rtl/>
        </w:rPr>
        <w:t>שוטר העוסק במיצוי המידע ותחקור נתוני התקשורת ופועל בחוליית המחת"ק בחטיבת הסייבר או במערך הפרוס במחוזות.</w:t>
      </w:r>
    </w:p>
  </w:footnote>
  <w:footnote w:id="259">
    <w:p w:rsidR="00172C0A" w:rsidRDefault="00172C0A" w:rsidP="00DB4270">
      <w:pPr>
        <w:pStyle w:val="ad"/>
        <w:ind w:left="282" w:hanging="566"/>
        <w:rPr>
          <w:rtl/>
        </w:rPr>
      </w:pPr>
      <w:r>
        <w:rPr>
          <w:rStyle w:val="af"/>
        </w:rPr>
        <w:footnoteRef/>
      </w:r>
      <w:r>
        <w:rPr>
          <w:rtl/>
        </w:rPr>
        <w:t xml:space="preserve"> </w:t>
      </w:r>
      <w:r>
        <w:rPr>
          <w:rtl/>
        </w:rPr>
        <w:tab/>
      </w:r>
      <w:r>
        <w:rPr>
          <w:rFonts w:hint="cs"/>
          <w:rtl/>
        </w:rPr>
        <w:t>חוק נתוני תקשורת, סעיף 14.</w:t>
      </w:r>
      <w:r w:rsidRPr="00EF23B3">
        <w:rPr>
          <w:rFonts w:hint="cs"/>
          <w:sz w:val="18"/>
          <w:rtl/>
        </w:rPr>
        <w:t xml:space="preserve"> </w:t>
      </w:r>
      <w:r w:rsidRPr="00EF23B3">
        <w:rPr>
          <w:rFonts w:hint="cs"/>
          <w:rtl/>
        </w:rPr>
        <w:t xml:space="preserve">החוק דרש כי הדיווח </w:t>
      </w:r>
      <w:r>
        <w:rPr>
          <w:rFonts w:hint="cs"/>
          <w:rtl/>
        </w:rPr>
        <w:t>יכ</w:t>
      </w:r>
      <w:r w:rsidRPr="00EF23B3">
        <w:rPr>
          <w:rFonts w:hint="cs"/>
          <w:rtl/>
        </w:rPr>
        <w:t xml:space="preserve">לול את הנתונים </w:t>
      </w:r>
      <w:r>
        <w:rPr>
          <w:rFonts w:hint="cs"/>
          <w:rtl/>
        </w:rPr>
        <w:t>האלה</w:t>
      </w:r>
      <w:r w:rsidRPr="00EF23B3">
        <w:rPr>
          <w:rFonts w:hint="cs"/>
          <w:rtl/>
        </w:rPr>
        <w:t xml:space="preserve">: מספר הבקשות שהגישה המשטרה לבתי המשפט, מספר הצווים שנתנו בתי המשפט, </w:t>
      </w:r>
      <w:r>
        <w:rPr>
          <w:rFonts w:hint="cs"/>
          <w:rtl/>
        </w:rPr>
        <w:t xml:space="preserve">המטרות והעבירות שבבסיס הבקשות, נתונים על סוגי נתוני התקשורת שהותר לקבלם וכן נתונים על פרקי הזמן שלגביהם ניתנו הצווים. </w:t>
      </w:r>
    </w:p>
  </w:footnote>
  <w:footnote w:id="260">
    <w:p w:rsidR="00172C0A" w:rsidRDefault="00172C0A" w:rsidP="00DB4270">
      <w:pPr>
        <w:pStyle w:val="ad"/>
        <w:ind w:left="282" w:hanging="566"/>
      </w:pPr>
      <w:r>
        <w:rPr>
          <w:rStyle w:val="af"/>
        </w:rPr>
        <w:footnoteRef/>
      </w:r>
      <w:r>
        <w:rPr>
          <w:rtl/>
        </w:rPr>
        <w:t xml:space="preserve"> </w:t>
      </w:r>
      <w:r>
        <w:rPr>
          <w:rtl/>
        </w:rPr>
        <w:tab/>
      </w:r>
      <w:r w:rsidRPr="00962173">
        <w:rPr>
          <w:rtl/>
        </w:rPr>
        <w:t>בדיווח</w:t>
      </w:r>
      <w:r>
        <w:rPr>
          <w:rFonts w:hint="cs"/>
          <w:rtl/>
        </w:rPr>
        <w:t xml:space="preserve"> הראשון שהגיש </w:t>
      </w:r>
      <w:r w:rsidRPr="00962173">
        <w:rPr>
          <w:rtl/>
        </w:rPr>
        <w:t xml:space="preserve">השר לביטחון </w:t>
      </w:r>
      <w:r>
        <w:rPr>
          <w:rFonts w:hint="cs"/>
          <w:rtl/>
        </w:rPr>
        <w:t>ה</w:t>
      </w:r>
      <w:r w:rsidRPr="00962173">
        <w:rPr>
          <w:rtl/>
        </w:rPr>
        <w:t>פנים</w:t>
      </w:r>
      <w:r>
        <w:rPr>
          <w:rFonts w:hint="cs"/>
          <w:rtl/>
        </w:rPr>
        <w:t xml:space="preserve"> בשנה הראשונה שלאחר כניסת החוק לתוקפו (בחודשים יוני 2008 - יוני 2009) דווח כי הוגשו ואושרו 9,603 בקשות לצווי נתוני תקשורת. </w:t>
      </w:r>
      <w:r w:rsidRPr="00962173">
        <w:rPr>
          <w:rtl/>
        </w:rPr>
        <w:t>בדיווח</w:t>
      </w:r>
      <w:r>
        <w:rPr>
          <w:rFonts w:hint="cs"/>
          <w:rtl/>
        </w:rPr>
        <w:t xml:space="preserve"> הרביעי והאחרון שהגיש </w:t>
      </w:r>
      <w:r w:rsidRPr="00962173">
        <w:rPr>
          <w:rtl/>
        </w:rPr>
        <w:t xml:space="preserve">השר לביטחון </w:t>
      </w:r>
      <w:r>
        <w:rPr>
          <w:rFonts w:hint="cs"/>
          <w:rtl/>
        </w:rPr>
        <w:t>ה</w:t>
      </w:r>
      <w:r w:rsidRPr="00962173">
        <w:rPr>
          <w:rtl/>
        </w:rPr>
        <w:t>פנים</w:t>
      </w:r>
      <w:r>
        <w:rPr>
          <w:rFonts w:hint="cs"/>
          <w:rtl/>
        </w:rPr>
        <w:t xml:space="preserve"> בשנה הרביעית שלאחר כניסת החוק לתוקפו (בחודשים יוני 2011 - יוני 2012) דווח כי הוגשו ואושרו 17,597 בקשות לצווי נתוני תקשורת.</w:t>
      </w:r>
    </w:p>
  </w:footnote>
  <w:footnote w:id="261">
    <w:p w:rsidR="00172C0A" w:rsidRDefault="00172C0A" w:rsidP="00DB4270">
      <w:pPr>
        <w:pStyle w:val="ad"/>
        <w:ind w:left="282" w:hanging="566"/>
      </w:pPr>
      <w:r>
        <w:rPr>
          <w:rStyle w:val="af"/>
        </w:rPr>
        <w:footnoteRef/>
      </w:r>
      <w:r>
        <w:rPr>
          <w:rtl/>
        </w:rPr>
        <w:t xml:space="preserve"> </w:t>
      </w:r>
      <w:r>
        <w:rPr>
          <w:rtl/>
        </w:rPr>
        <w:tab/>
      </w:r>
      <w:r w:rsidRPr="00072692">
        <w:rPr>
          <w:rFonts w:hint="eastAsia"/>
          <w:b/>
          <w:bCs/>
          <w:rtl/>
        </w:rPr>
        <w:t>יעד</w:t>
      </w:r>
      <w:r w:rsidRPr="00072692">
        <w:rPr>
          <w:b/>
          <w:bCs/>
          <w:rtl/>
        </w:rPr>
        <w:t xml:space="preserve"> </w:t>
      </w:r>
      <w:r w:rsidRPr="00072692">
        <w:rPr>
          <w:rFonts w:hint="eastAsia"/>
          <w:b/>
          <w:bCs/>
          <w:rtl/>
        </w:rPr>
        <w:t>הבקשה</w:t>
      </w:r>
      <w:r>
        <w:rPr>
          <w:rFonts w:hint="cs"/>
          <w:rtl/>
        </w:rPr>
        <w:t xml:space="preserve"> - </w:t>
      </w:r>
      <w:r w:rsidRPr="006A50A3">
        <w:rPr>
          <w:rFonts w:hint="cs"/>
          <w:rtl/>
        </w:rPr>
        <w:t>אדם, מכשיר או מקום גיאוגרפי שב</w:t>
      </w:r>
      <w:r>
        <w:rPr>
          <w:rFonts w:hint="cs"/>
          <w:rtl/>
        </w:rPr>
        <w:t>נוגע</w:t>
      </w:r>
      <w:r w:rsidRPr="006A50A3">
        <w:rPr>
          <w:rFonts w:hint="cs"/>
          <w:rtl/>
        </w:rPr>
        <w:t xml:space="preserve"> אליו מופקים נתוני תקשורת</w:t>
      </w:r>
      <w:r>
        <w:rPr>
          <w:rFonts w:hint="cs"/>
          <w:rtl/>
        </w:rPr>
        <w:t>,</w:t>
      </w:r>
      <w:r w:rsidRPr="006A50A3">
        <w:rPr>
          <w:rFonts w:hint="cs"/>
          <w:rtl/>
        </w:rPr>
        <w:t xml:space="preserve"> </w:t>
      </w:r>
      <w:r>
        <w:rPr>
          <w:rFonts w:hint="cs"/>
          <w:rtl/>
        </w:rPr>
        <w:t>לפי כל אחד מ</w:t>
      </w:r>
      <w:r w:rsidRPr="003E4D55">
        <w:rPr>
          <w:rFonts w:hint="cs"/>
          <w:rtl/>
        </w:rPr>
        <w:t>הפרמטרים</w:t>
      </w:r>
      <w:r>
        <w:rPr>
          <w:rFonts w:hint="cs"/>
          <w:rtl/>
        </w:rPr>
        <w:t xml:space="preserve"> שלגביהם ניתן לקבל מחברות התקשורת נתוני מנוי, נתוני תעבורה ונתוני מיקום. </w:t>
      </w:r>
    </w:p>
  </w:footnote>
  <w:footnote w:id="262">
    <w:p w:rsidR="00172C0A" w:rsidRDefault="00172C0A" w:rsidP="00DB4270">
      <w:pPr>
        <w:pStyle w:val="ad"/>
        <w:ind w:left="282" w:hanging="566"/>
        <w:rPr>
          <w:rtl/>
        </w:rPr>
      </w:pPr>
      <w:r>
        <w:rPr>
          <w:rStyle w:val="af"/>
        </w:rPr>
        <w:footnoteRef/>
      </w:r>
      <w:r>
        <w:rPr>
          <w:rtl/>
        </w:rPr>
        <w:t xml:space="preserve"> </w:t>
      </w:r>
      <w:r>
        <w:rPr>
          <w:rtl/>
        </w:rPr>
        <w:tab/>
      </w:r>
      <w:r>
        <w:rPr>
          <w:rFonts w:hint="cs"/>
          <w:rtl/>
        </w:rPr>
        <w:t>חוק נתוני תקשורת, סעיף 3 (ז).</w:t>
      </w:r>
    </w:p>
  </w:footnote>
  <w:footnote w:id="263">
    <w:p w:rsidR="00172C0A" w:rsidRDefault="00172C0A" w:rsidP="00DB4270">
      <w:pPr>
        <w:pStyle w:val="ad"/>
        <w:ind w:left="282" w:hanging="566"/>
        <w:rPr>
          <w:rtl/>
        </w:rPr>
      </w:pPr>
      <w:r>
        <w:rPr>
          <w:rStyle w:val="af"/>
        </w:rPr>
        <w:footnoteRef/>
      </w:r>
      <w:r>
        <w:rPr>
          <w:rtl/>
        </w:rPr>
        <w:t xml:space="preserve"> </w:t>
      </w:r>
      <w:r>
        <w:rPr>
          <w:rtl/>
        </w:rPr>
        <w:tab/>
      </w:r>
      <w:r>
        <w:rPr>
          <w:rFonts w:hint="cs"/>
          <w:rtl/>
        </w:rPr>
        <w:t>חוק נתוני תקשורת, סעיף 4.</w:t>
      </w:r>
    </w:p>
  </w:footnote>
  <w:footnote w:id="264">
    <w:p w:rsidR="00172C0A" w:rsidRDefault="00172C0A" w:rsidP="00DB4270">
      <w:pPr>
        <w:pStyle w:val="ad"/>
        <w:ind w:left="282" w:hanging="566"/>
      </w:pPr>
      <w:r>
        <w:rPr>
          <w:rStyle w:val="af"/>
        </w:rPr>
        <w:footnoteRef/>
      </w:r>
      <w:r>
        <w:rPr>
          <w:rtl/>
        </w:rPr>
        <w:t xml:space="preserve"> </w:t>
      </w:r>
      <w:r>
        <w:rPr>
          <w:b/>
          <w:bCs/>
          <w:rtl/>
        </w:rPr>
        <w:tab/>
      </w:r>
      <w:r w:rsidRPr="00072692">
        <w:rPr>
          <w:rFonts w:hint="eastAsia"/>
          <w:b/>
          <w:bCs/>
          <w:rtl/>
        </w:rPr>
        <w:t>היתר</w:t>
      </w:r>
      <w:r w:rsidRPr="00072692">
        <w:rPr>
          <w:b/>
          <w:bCs/>
          <w:rtl/>
        </w:rPr>
        <w:t xml:space="preserve"> </w:t>
      </w:r>
      <w:r w:rsidRPr="00072692">
        <w:rPr>
          <w:rFonts w:hint="eastAsia"/>
          <w:b/>
          <w:bCs/>
          <w:rtl/>
        </w:rPr>
        <w:t>מינהלי</w:t>
      </w:r>
      <w:r>
        <w:rPr>
          <w:rFonts w:hint="cs"/>
          <w:rtl/>
        </w:rPr>
        <w:t xml:space="preserve"> - </w:t>
      </w:r>
      <w:r w:rsidRPr="001303BB">
        <w:rPr>
          <w:rtl/>
        </w:rPr>
        <w:t>אישור שמוציאה רשות מינהלית בדבר סמכותה לפי חוק לבצע פעולה.</w:t>
      </w:r>
    </w:p>
  </w:footnote>
  <w:footnote w:id="265">
    <w:p w:rsidR="00172C0A" w:rsidRDefault="00172C0A" w:rsidP="00DB4270">
      <w:pPr>
        <w:pStyle w:val="ad"/>
        <w:ind w:left="282" w:hanging="566"/>
      </w:pPr>
      <w:r>
        <w:rPr>
          <w:rStyle w:val="af"/>
        </w:rPr>
        <w:footnoteRef/>
      </w:r>
      <w:r>
        <w:rPr>
          <w:rtl/>
        </w:rPr>
        <w:t xml:space="preserve"> </w:t>
      </w:r>
      <w:r>
        <w:rPr>
          <w:rtl/>
        </w:rPr>
        <w:tab/>
      </w:r>
      <w:r>
        <w:rPr>
          <w:rFonts w:hint="cs"/>
          <w:rtl/>
        </w:rPr>
        <w:t>חוק נתוני תקשורת, סעיף 4(ב).</w:t>
      </w:r>
    </w:p>
  </w:footnote>
  <w:footnote w:id="266">
    <w:p w:rsidR="00172C0A" w:rsidRDefault="00172C0A" w:rsidP="00DB4270">
      <w:pPr>
        <w:pStyle w:val="ad"/>
        <w:ind w:left="282" w:hanging="566"/>
        <w:rPr>
          <w:rtl/>
        </w:rPr>
      </w:pPr>
      <w:r>
        <w:rPr>
          <w:rStyle w:val="af"/>
        </w:rPr>
        <w:footnoteRef/>
      </w:r>
      <w:r>
        <w:rPr>
          <w:rtl/>
        </w:rPr>
        <w:t xml:space="preserve"> </w:t>
      </w:r>
      <w:r>
        <w:rPr>
          <w:rtl/>
        </w:rPr>
        <w:tab/>
      </w:r>
      <w:r>
        <w:rPr>
          <w:rFonts w:hint="cs"/>
          <w:rtl/>
        </w:rPr>
        <w:t>חוק נתוני תקשורת, סעיף 4(ה)(1).</w:t>
      </w:r>
    </w:p>
  </w:footnote>
  <w:footnote w:id="267">
    <w:p w:rsidR="00172C0A" w:rsidRDefault="00172C0A" w:rsidP="000F15E3">
      <w:pPr>
        <w:pStyle w:val="ad"/>
        <w:ind w:left="282" w:hanging="567"/>
        <w:rPr>
          <w:rtl/>
        </w:rPr>
      </w:pPr>
      <w:r>
        <w:rPr>
          <w:rStyle w:val="af"/>
        </w:rPr>
        <w:footnoteRef/>
      </w:r>
      <w:r>
        <w:rPr>
          <w:rtl/>
        </w:rPr>
        <w:t xml:space="preserve"> </w:t>
      </w:r>
      <w:r>
        <w:rPr>
          <w:rtl/>
        </w:rPr>
        <w:tab/>
      </w:r>
      <w:r w:rsidRPr="00A4204B">
        <w:rPr>
          <w:rFonts w:hint="cs"/>
          <w:rtl/>
        </w:rPr>
        <w:t>ביחס ל</w:t>
      </w:r>
      <w:r w:rsidRPr="00A4204B">
        <w:rPr>
          <w:rFonts w:hint="eastAsia"/>
          <w:rtl/>
        </w:rPr>
        <w:t>מספר</w:t>
      </w:r>
      <w:r w:rsidRPr="00A4204B">
        <w:rPr>
          <w:rtl/>
        </w:rPr>
        <w:t xml:space="preserve"> </w:t>
      </w:r>
      <w:r w:rsidRPr="00A4204B">
        <w:rPr>
          <w:rFonts w:hint="eastAsia"/>
          <w:rtl/>
        </w:rPr>
        <w:t>ההיתרים</w:t>
      </w:r>
      <w:r w:rsidRPr="00A4204B">
        <w:rPr>
          <w:rtl/>
        </w:rPr>
        <w:t xml:space="preserve"> </w:t>
      </w:r>
      <w:r w:rsidRPr="00A4204B">
        <w:rPr>
          <w:rFonts w:hint="eastAsia"/>
          <w:rtl/>
        </w:rPr>
        <w:t>המינהליים</w:t>
      </w:r>
      <w:r w:rsidRPr="00A4204B">
        <w:rPr>
          <w:rtl/>
        </w:rPr>
        <w:t xml:space="preserve"> </w:t>
      </w:r>
      <w:r w:rsidRPr="00A4204B">
        <w:rPr>
          <w:rFonts w:hint="eastAsia"/>
          <w:rtl/>
        </w:rPr>
        <w:t>בשנת</w:t>
      </w:r>
      <w:r w:rsidRPr="00A4204B">
        <w:rPr>
          <w:rtl/>
        </w:rPr>
        <w:t xml:space="preserve"> 2019</w:t>
      </w:r>
      <w:r w:rsidRPr="00A4204B">
        <w:rPr>
          <w:rFonts w:hint="cs"/>
          <w:rtl/>
        </w:rPr>
        <w:t xml:space="preserve"> - משטרת ישראל מסרה כי בשנה זו </w:t>
      </w:r>
      <w:r>
        <w:rPr>
          <w:rFonts w:hint="cs"/>
          <w:rtl/>
        </w:rPr>
        <w:t>היא</w:t>
      </w:r>
      <w:r w:rsidRPr="00A4204B">
        <w:rPr>
          <w:rFonts w:hint="cs"/>
          <w:rtl/>
        </w:rPr>
        <w:t xml:space="preserve"> החלה להשתמש במערכת ניהול צווים חדשה גם עבור ההיתרים המינהליים. במקביל ההיתרים תועדו גם במערכת הישנה. כתוצאה מכך נוצר מצב של תיעוד כפול בחלק מהאירועים וכן תועדו בדיקות טכנולוגיות במערכת החדשה, דבר אשר גרם לשונות בנתון על אודות מספר ההיתרים המינהליים במסמכי המשטרה השונים. הנתון המופיע בדוח זה ביחס למספר ההיתרים המינהליים בשנת 2019 הוא נתון שנמסר על ידי המשטרה לאחר הפחתת כפילויות ובדיקות תקינות טכנולוגיות.</w:t>
      </w:r>
    </w:p>
  </w:footnote>
  <w:footnote w:id="268">
    <w:p w:rsidR="00172C0A" w:rsidRDefault="00172C0A" w:rsidP="000F15E3">
      <w:pPr>
        <w:pStyle w:val="ad"/>
        <w:ind w:left="282" w:hanging="567"/>
        <w:rPr>
          <w:rtl/>
        </w:rPr>
      </w:pPr>
      <w:r>
        <w:rPr>
          <w:rStyle w:val="af"/>
        </w:rPr>
        <w:footnoteRef/>
      </w:r>
      <w:r>
        <w:rPr>
          <w:rFonts w:hint="cs"/>
          <w:rtl/>
        </w:rPr>
        <w:t xml:space="preserve"> </w:t>
      </w:r>
      <w:r>
        <w:rPr>
          <w:rtl/>
        </w:rPr>
        <w:tab/>
      </w:r>
      <w:r>
        <w:rPr>
          <w:rFonts w:hint="cs"/>
          <w:rtl/>
        </w:rPr>
        <w:t>בשנת 2021 אושרו 16,076 היתרים מינהליים ו-</w:t>
      </w:r>
      <w:r w:rsidRPr="006712AF">
        <w:rPr>
          <w:rtl/>
        </w:rPr>
        <w:t>41,207</w:t>
      </w:r>
      <w:r>
        <w:rPr>
          <w:rFonts w:hint="cs"/>
          <w:rtl/>
        </w:rPr>
        <w:t xml:space="preserve"> צווי בית משפט, ובסך הכול - 57,283. לשם השוואה - ביוני 2012, כשהוגש הדיווח הרביעי מעת כניסת החוק לתוקפו, שיעור ההיתרים המינהליים היה 16% (3,481 היתרים מינהליים ו-17,597 צווי בית משפט). </w:t>
      </w:r>
    </w:p>
  </w:footnote>
  <w:footnote w:id="269">
    <w:p w:rsidR="00172C0A" w:rsidRPr="00E219C2" w:rsidRDefault="00172C0A" w:rsidP="000F15E3">
      <w:pPr>
        <w:pStyle w:val="ad"/>
        <w:ind w:left="282" w:hanging="567"/>
        <w:rPr>
          <w:rFonts w:ascii="David" w:hAnsi="David"/>
          <w:rtl/>
        </w:rPr>
      </w:pPr>
      <w:r w:rsidRPr="00CC026E">
        <w:rPr>
          <w:rStyle w:val="af"/>
          <w:rFonts w:ascii="David" w:hAnsi="David"/>
        </w:rPr>
        <w:footnoteRef/>
      </w:r>
      <w:r w:rsidRPr="00CC026E">
        <w:rPr>
          <w:rFonts w:ascii="David" w:hAnsi="David"/>
          <w:rtl/>
        </w:rPr>
        <w:t xml:space="preserve"> </w:t>
      </w:r>
      <w:r>
        <w:rPr>
          <w:rFonts w:ascii="David" w:hAnsi="David"/>
          <w:rtl/>
        </w:rPr>
        <w:tab/>
      </w:r>
      <w:r w:rsidRPr="00E219C2">
        <w:rPr>
          <w:rFonts w:ascii="David" w:hAnsi="David" w:hint="eastAsia"/>
          <w:rtl/>
        </w:rPr>
        <w:t>דיווח</w:t>
      </w:r>
      <w:r w:rsidRPr="00E219C2">
        <w:rPr>
          <w:rFonts w:ascii="David" w:hAnsi="David"/>
          <w:rtl/>
        </w:rPr>
        <w:t xml:space="preserve"> </w:t>
      </w:r>
      <w:r w:rsidRPr="00E219C2">
        <w:rPr>
          <w:rFonts w:ascii="David" w:hAnsi="David" w:hint="eastAsia"/>
          <w:rtl/>
        </w:rPr>
        <w:t>על</w:t>
      </w:r>
      <w:r w:rsidRPr="00E219C2">
        <w:rPr>
          <w:rFonts w:ascii="David" w:hAnsi="David" w:hint="cs"/>
        </w:rPr>
        <w:t xml:space="preserve"> </w:t>
      </w:r>
      <w:r w:rsidRPr="000F15E3">
        <w:rPr>
          <w:rtl/>
        </w:rPr>
        <w:t>אירוע</w:t>
      </w:r>
      <w:r w:rsidRPr="00E219C2">
        <w:rPr>
          <w:rFonts w:ascii="David" w:hAnsi="David"/>
          <w:rtl/>
        </w:rPr>
        <w:t xml:space="preserve"> חירום הדורש מתן היתר מ</w:t>
      </w:r>
      <w:r w:rsidRPr="00E219C2">
        <w:rPr>
          <w:rFonts w:ascii="David" w:hAnsi="David" w:hint="eastAsia"/>
          <w:rtl/>
        </w:rPr>
        <w:t>י</w:t>
      </w:r>
      <w:r w:rsidRPr="00E219C2">
        <w:rPr>
          <w:rFonts w:ascii="David" w:hAnsi="David"/>
          <w:rtl/>
        </w:rPr>
        <w:t xml:space="preserve">נהלי יכול להתקבל במשטרה </w:t>
      </w:r>
      <w:r w:rsidRPr="00E219C2">
        <w:rPr>
          <w:rFonts w:ascii="David" w:hAnsi="David" w:hint="eastAsia"/>
          <w:rtl/>
        </w:rPr>
        <w:t>במגוון</w:t>
      </w:r>
      <w:r w:rsidRPr="00E219C2">
        <w:rPr>
          <w:rFonts w:ascii="David" w:hAnsi="David"/>
          <w:rtl/>
        </w:rPr>
        <w:t xml:space="preserve"> </w:t>
      </w:r>
      <w:r w:rsidRPr="00E219C2">
        <w:rPr>
          <w:rFonts w:ascii="David" w:hAnsi="David" w:hint="eastAsia"/>
          <w:rtl/>
        </w:rPr>
        <w:t>דרכים</w:t>
      </w:r>
      <w:r w:rsidRPr="00E219C2">
        <w:rPr>
          <w:rFonts w:ascii="David" w:hAnsi="David"/>
          <w:rtl/>
        </w:rPr>
        <w:t xml:space="preserve">. </w:t>
      </w:r>
    </w:p>
  </w:footnote>
  <w:footnote w:id="270">
    <w:p w:rsidR="00172C0A" w:rsidRPr="00CC026E" w:rsidRDefault="00172C0A" w:rsidP="000F15E3">
      <w:pPr>
        <w:pStyle w:val="ad"/>
        <w:ind w:left="282" w:hanging="567"/>
        <w:rPr>
          <w:rFonts w:ascii="David" w:hAnsi="David"/>
        </w:rPr>
      </w:pPr>
      <w:r w:rsidRPr="00E219C2">
        <w:rPr>
          <w:rStyle w:val="af"/>
          <w:rFonts w:ascii="David" w:hAnsi="David"/>
        </w:rPr>
        <w:footnoteRef/>
      </w:r>
      <w:r w:rsidRPr="00E219C2">
        <w:rPr>
          <w:rFonts w:ascii="David" w:hAnsi="David"/>
          <w:rtl/>
        </w:rPr>
        <w:t xml:space="preserve"> </w:t>
      </w:r>
      <w:r>
        <w:rPr>
          <w:rFonts w:ascii="David" w:hAnsi="David"/>
          <w:rtl/>
        </w:rPr>
        <w:tab/>
      </w:r>
      <w:r w:rsidRPr="00E219C2">
        <w:rPr>
          <w:rFonts w:ascii="David" w:hAnsi="David"/>
          <w:rtl/>
        </w:rPr>
        <w:t xml:space="preserve">חוק </w:t>
      </w:r>
      <w:r w:rsidRPr="000F15E3">
        <w:rPr>
          <w:rtl/>
        </w:rPr>
        <w:t>נתוני</w:t>
      </w:r>
      <w:r w:rsidRPr="00E219C2">
        <w:rPr>
          <w:rFonts w:ascii="David" w:hAnsi="David"/>
          <w:rtl/>
        </w:rPr>
        <w:t xml:space="preserve"> תקשורת, סעיף 4.</w:t>
      </w:r>
    </w:p>
  </w:footnote>
  <w:footnote w:id="271">
    <w:p w:rsidR="00172C0A" w:rsidRDefault="00172C0A" w:rsidP="000F15E3">
      <w:pPr>
        <w:pStyle w:val="ad"/>
        <w:ind w:left="282" w:hanging="567"/>
        <w:rPr>
          <w:rtl/>
        </w:rPr>
      </w:pPr>
      <w:r w:rsidRPr="00E219C2">
        <w:rPr>
          <w:rStyle w:val="af"/>
        </w:rPr>
        <w:footnoteRef/>
      </w:r>
      <w:r w:rsidRPr="00E219C2">
        <w:rPr>
          <w:rtl/>
        </w:rPr>
        <w:t xml:space="preserve"> </w:t>
      </w:r>
      <w:r>
        <w:rPr>
          <w:rtl/>
        </w:rPr>
        <w:tab/>
      </w:r>
      <w:r w:rsidRPr="00E219C2">
        <w:rPr>
          <w:rFonts w:hint="cs"/>
          <w:rtl/>
        </w:rPr>
        <w:t xml:space="preserve">לדוגמה </w:t>
      </w:r>
      <w:r>
        <w:rPr>
          <w:rFonts w:hint="cs"/>
          <w:rtl/>
        </w:rPr>
        <w:t>-</w:t>
      </w:r>
      <w:r w:rsidRPr="00E219C2">
        <w:rPr>
          <w:rFonts w:hint="cs"/>
          <w:rtl/>
        </w:rPr>
        <w:t xml:space="preserve"> במקרה של אירוע שדווח למשטרה ביום ראשון בשעה 10:00 וניתן היתר מינהלי בעניינו בשעה 14:00, בהתאם לנוהל המשטרה ניתן לתת היתר שיהיה מוגבל עד ל</w:t>
      </w:r>
      <w:r>
        <w:rPr>
          <w:rFonts w:hint="cs"/>
          <w:rtl/>
        </w:rPr>
        <w:t>יום שני ב</w:t>
      </w:r>
      <w:r w:rsidRPr="00E219C2">
        <w:rPr>
          <w:rFonts w:hint="cs"/>
          <w:rtl/>
        </w:rPr>
        <w:t>שעה 10:00</w:t>
      </w:r>
      <w:r>
        <w:rPr>
          <w:rFonts w:hint="cs"/>
          <w:rtl/>
        </w:rPr>
        <w:t>.</w:t>
      </w:r>
    </w:p>
  </w:footnote>
  <w:footnote w:id="272">
    <w:p w:rsidR="00172C0A" w:rsidRDefault="00172C0A" w:rsidP="000F15E3">
      <w:pPr>
        <w:pStyle w:val="ad"/>
        <w:ind w:left="282" w:hanging="567"/>
        <w:rPr>
          <w:rtl/>
        </w:rPr>
      </w:pPr>
      <w:r>
        <w:rPr>
          <w:rStyle w:val="af"/>
        </w:rPr>
        <w:footnoteRef/>
      </w:r>
      <w:r>
        <w:rPr>
          <w:rtl/>
        </w:rPr>
        <w:t xml:space="preserve"> </w:t>
      </w:r>
      <w:r>
        <w:rPr>
          <w:rtl/>
        </w:rPr>
        <w:tab/>
      </w:r>
      <w:r>
        <w:rPr>
          <w:rFonts w:hint="cs"/>
          <w:rtl/>
        </w:rPr>
        <w:t>חוק נתוני תקשורת, סעיף 4(ב).</w:t>
      </w:r>
    </w:p>
  </w:footnote>
  <w:footnote w:id="273">
    <w:p w:rsidR="00172C0A" w:rsidRDefault="00172C0A" w:rsidP="000F15E3">
      <w:pPr>
        <w:pStyle w:val="ad"/>
        <w:ind w:left="282" w:hanging="567"/>
        <w:rPr>
          <w:rtl/>
        </w:rPr>
      </w:pPr>
      <w:r>
        <w:rPr>
          <w:rStyle w:val="af"/>
        </w:rPr>
        <w:footnoteRef/>
      </w:r>
      <w:r>
        <w:rPr>
          <w:rtl/>
        </w:rPr>
        <w:t xml:space="preserve"> </w:t>
      </w:r>
      <w:r>
        <w:rPr>
          <w:rtl/>
        </w:rPr>
        <w:tab/>
      </w:r>
      <w:r>
        <w:rPr>
          <w:rFonts w:hint="cs"/>
          <w:rtl/>
        </w:rPr>
        <w:t xml:space="preserve">ע"פ 869/81 </w:t>
      </w:r>
      <w:r w:rsidRPr="008B39BF">
        <w:rPr>
          <w:rFonts w:hint="eastAsia"/>
          <w:b/>
          <w:bCs/>
          <w:rtl/>
        </w:rPr>
        <w:t>מוחמד</w:t>
      </w:r>
      <w:r w:rsidRPr="008B39BF">
        <w:rPr>
          <w:b/>
          <w:bCs/>
          <w:rtl/>
        </w:rPr>
        <w:t xml:space="preserve"> </w:t>
      </w:r>
      <w:r w:rsidRPr="008B39BF">
        <w:rPr>
          <w:rFonts w:hint="eastAsia"/>
          <w:b/>
          <w:bCs/>
          <w:rtl/>
        </w:rPr>
        <w:t>שניר</w:t>
      </w:r>
      <w:r w:rsidRPr="008B39BF">
        <w:rPr>
          <w:b/>
          <w:bCs/>
          <w:rtl/>
        </w:rPr>
        <w:t xml:space="preserve"> </w:t>
      </w:r>
      <w:r w:rsidRPr="008B39BF">
        <w:rPr>
          <w:rFonts w:hint="eastAsia"/>
          <w:b/>
          <w:bCs/>
          <w:rtl/>
        </w:rPr>
        <w:t>נ</w:t>
      </w:r>
      <w:r w:rsidRPr="008B39BF">
        <w:rPr>
          <w:b/>
          <w:bCs/>
          <w:rtl/>
        </w:rPr>
        <w:t xml:space="preserve">' </w:t>
      </w:r>
      <w:r w:rsidRPr="008B39BF">
        <w:rPr>
          <w:rFonts w:hint="eastAsia"/>
          <w:b/>
          <w:bCs/>
          <w:rtl/>
        </w:rPr>
        <w:t>מדינת</w:t>
      </w:r>
      <w:r w:rsidRPr="008B39BF">
        <w:rPr>
          <w:b/>
          <w:bCs/>
          <w:rtl/>
        </w:rPr>
        <w:t xml:space="preserve"> </w:t>
      </w:r>
      <w:r w:rsidRPr="008B39BF">
        <w:rPr>
          <w:rFonts w:hint="eastAsia"/>
          <w:b/>
          <w:bCs/>
          <w:rtl/>
        </w:rPr>
        <w:t>ישראל</w:t>
      </w:r>
      <w:r>
        <w:rPr>
          <w:rFonts w:hint="cs"/>
          <w:rtl/>
        </w:rPr>
        <w:t>, פ"ד לח(4), 169 (1984).</w:t>
      </w:r>
    </w:p>
  </w:footnote>
  <w:footnote w:id="274">
    <w:p w:rsidR="00172C0A" w:rsidRDefault="00172C0A" w:rsidP="000F15E3">
      <w:pPr>
        <w:pStyle w:val="ad"/>
        <w:ind w:left="282" w:hanging="567"/>
        <w:rPr>
          <w:rtl/>
        </w:rPr>
      </w:pPr>
      <w:r>
        <w:rPr>
          <w:rStyle w:val="af"/>
        </w:rPr>
        <w:footnoteRef/>
      </w:r>
      <w:r>
        <w:rPr>
          <w:rtl/>
        </w:rPr>
        <w:t xml:space="preserve"> </w:t>
      </w:r>
      <w:r>
        <w:rPr>
          <w:rtl/>
        </w:rPr>
        <w:tab/>
      </w:r>
      <w:r>
        <w:rPr>
          <w:rFonts w:hint="cs"/>
          <w:rtl/>
        </w:rPr>
        <w:t>טופס ייעודי המצורף לנוהל</w:t>
      </w:r>
      <w:r w:rsidRPr="00335C04">
        <w:rPr>
          <w:rtl/>
        </w:rPr>
        <w:t xml:space="preserve"> </w:t>
      </w:r>
      <w:r>
        <w:rPr>
          <w:rFonts w:hint="cs"/>
          <w:rtl/>
        </w:rPr>
        <w:t>"</w:t>
      </w:r>
      <w:r w:rsidRPr="00335C04">
        <w:rPr>
          <w:rFonts w:hint="eastAsia"/>
          <w:rtl/>
        </w:rPr>
        <w:t>היתר</w:t>
      </w:r>
      <w:r w:rsidRPr="00335C04">
        <w:rPr>
          <w:rtl/>
        </w:rPr>
        <w:t xml:space="preserve"> </w:t>
      </w:r>
      <w:r w:rsidRPr="00335C04">
        <w:rPr>
          <w:rFonts w:hint="eastAsia"/>
          <w:rtl/>
        </w:rPr>
        <w:t>לקבלת</w:t>
      </w:r>
      <w:r w:rsidRPr="00335C04">
        <w:rPr>
          <w:rtl/>
        </w:rPr>
        <w:t xml:space="preserve"> </w:t>
      </w:r>
      <w:r w:rsidRPr="00335C04">
        <w:rPr>
          <w:rFonts w:hint="eastAsia"/>
          <w:rtl/>
        </w:rPr>
        <w:t>נתוני</w:t>
      </w:r>
      <w:r w:rsidRPr="00335C04">
        <w:rPr>
          <w:rtl/>
        </w:rPr>
        <w:t xml:space="preserve"> </w:t>
      </w:r>
      <w:r w:rsidRPr="00335C04">
        <w:rPr>
          <w:rFonts w:hint="eastAsia"/>
          <w:rtl/>
        </w:rPr>
        <w:t>תקשורת</w:t>
      </w:r>
      <w:r w:rsidRPr="00335C04">
        <w:rPr>
          <w:rtl/>
        </w:rPr>
        <w:t xml:space="preserve"> </w:t>
      </w:r>
      <w:r w:rsidRPr="00335C04">
        <w:rPr>
          <w:rFonts w:hint="eastAsia"/>
          <w:rtl/>
        </w:rPr>
        <w:t>במקרים</w:t>
      </w:r>
      <w:r w:rsidRPr="00335C04">
        <w:rPr>
          <w:rtl/>
        </w:rPr>
        <w:t xml:space="preserve"> </w:t>
      </w:r>
      <w:r w:rsidRPr="00335C04">
        <w:rPr>
          <w:rFonts w:hint="eastAsia"/>
          <w:rtl/>
        </w:rPr>
        <w:t>דחופים</w:t>
      </w:r>
      <w:r w:rsidRPr="00335C04">
        <w:rPr>
          <w:rtl/>
        </w:rPr>
        <w:t xml:space="preserve"> </w:t>
      </w:r>
      <w:r w:rsidRPr="00335C04">
        <w:rPr>
          <w:rFonts w:hint="eastAsia"/>
          <w:rtl/>
        </w:rPr>
        <w:t>בלא</w:t>
      </w:r>
      <w:r w:rsidRPr="00335C04">
        <w:rPr>
          <w:rtl/>
        </w:rPr>
        <w:t xml:space="preserve"> </w:t>
      </w:r>
      <w:r w:rsidRPr="00335C04">
        <w:rPr>
          <w:rFonts w:hint="eastAsia"/>
          <w:rtl/>
        </w:rPr>
        <w:t>צו</w:t>
      </w:r>
      <w:r w:rsidRPr="00335C04">
        <w:rPr>
          <w:rtl/>
        </w:rPr>
        <w:t xml:space="preserve"> </w:t>
      </w:r>
      <w:r w:rsidRPr="00335C04">
        <w:rPr>
          <w:rFonts w:hint="eastAsia"/>
          <w:rtl/>
        </w:rPr>
        <w:t>של</w:t>
      </w:r>
      <w:r w:rsidRPr="00335C04">
        <w:rPr>
          <w:rtl/>
        </w:rPr>
        <w:t xml:space="preserve"> </w:t>
      </w:r>
      <w:r w:rsidRPr="00335C04">
        <w:rPr>
          <w:rFonts w:hint="eastAsia"/>
          <w:rtl/>
        </w:rPr>
        <w:t>בית</w:t>
      </w:r>
      <w:r w:rsidRPr="00335C04">
        <w:rPr>
          <w:rtl/>
        </w:rPr>
        <w:t xml:space="preserve"> </w:t>
      </w:r>
      <w:r w:rsidRPr="00335C04">
        <w:rPr>
          <w:rFonts w:hint="eastAsia"/>
          <w:rtl/>
        </w:rPr>
        <w:t>משפט</w:t>
      </w:r>
      <w:r w:rsidRPr="00335C04">
        <w:rPr>
          <w:rtl/>
        </w:rPr>
        <w:t>,</w:t>
      </w:r>
      <w:r>
        <w:rPr>
          <w:rtl/>
        </w:rPr>
        <w:t xml:space="preserve"> </w:t>
      </w:r>
      <w:r w:rsidRPr="00335C04">
        <w:rPr>
          <w:rFonts w:hint="eastAsia"/>
          <w:rtl/>
        </w:rPr>
        <w:t>ודיווח</w:t>
      </w:r>
      <w:r w:rsidRPr="00335C04">
        <w:rPr>
          <w:rtl/>
        </w:rPr>
        <w:t xml:space="preserve"> </w:t>
      </w:r>
      <w:r w:rsidRPr="00335C04">
        <w:rPr>
          <w:rFonts w:hint="eastAsia"/>
          <w:rtl/>
        </w:rPr>
        <w:t>על</w:t>
      </w:r>
      <w:r w:rsidRPr="00335C04">
        <w:rPr>
          <w:rtl/>
        </w:rPr>
        <w:t xml:space="preserve"> </w:t>
      </w:r>
      <w:r w:rsidRPr="00335C04">
        <w:rPr>
          <w:rFonts w:hint="eastAsia"/>
          <w:rtl/>
        </w:rPr>
        <w:t>מתן</w:t>
      </w:r>
      <w:r w:rsidRPr="00335C04">
        <w:rPr>
          <w:rtl/>
        </w:rPr>
        <w:t xml:space="preserve"> </w:t>
      </w:r>
      <w:r w:rsidRPr="00335C04">
        <w:rPr>
          <w:rFonts w:hint="eastAsia"/>
          <w:rtl/>
        </w:rPr>
        <w:t>ההיתר</w:t>
      </w:r>
      <w:r w:rsidRPr="00335C04">
        <w:rPr>
          <w:rtl/>
        </w:rPr>
        <w:t xml:space="preserve"> </w:t>
      </w:r>
      <w:r w:rsidRPr="00335C04">
        <w:rPr>
          <w:rFonts w:hint="eastAsia"/>
          <w:rtl/>
        </w:rPr>
        <w:t>לק</w:t>
      </w:r>
      <w:r w:rsidRPr="00335C04">
        <w:rPr>
          <w:rtl/>
        </w:rPr>
        <w:t xml:space="preserve">' </w:t>
      </w:r>
      <w:r w:rsidRPr="00335C04">
        <w:rPr>
          <w:rFonts w:hint="eastAsia"/>
          <w:rtl/>
        </w:rPr>
        <w:t>משטרה</w:t>
      </w:r>
      <w:r>
        <w:rPr>
          <w:rFonts w:hint="cs"/>
          <w:rtl/>
        </w:rPr>
        <w:t xml:space="preserve"> </w:t>
      </w:r>
      <w:r w:rsidRPr="00335C04">
        <w:rPr>
          <w:rFonts w:hint="eastAsia"/>
          <w:rtl/>
        </w:rPr>
        <w:t>שהוסמך</w:t>
      </w:r>
      <w:r w:rsidRPr="00335C04">
        <w:rPr>
          <w:rtl/>
        </w:rPr>
        <w:t xml:space="preserve"> </w:t>
      </w:r>
      <w:r w:rsidRPr="00335C04">
        <w:rPr>
          <w:rFonts w:hint="eastAsia"/>
          <w:rtl/>
        </w:rPr>
        <w:t>לכך</w:t>
      </w:r>
      <w:r w:rsidRPr="00335C04">
        <w:rPr>
          <w:rtl/>
        </w:rPr>
        <w:t xml:space="preserve"> </w:t>
      </w:r>
      <w:r w:rsidRPr="00335C04">
        <w:rPr>
          <w:rFonts w:hint="eastAsia"/>
          <w:rtl/>
        </w:rPr>
        <w:t>על</w:t>
      </w:r>
      <w:r w:rsidRPr="00335C04">
        <w:rPr>
          <w:rtl/>
        </w:rPr>
        <w:t xml:space="preserve"> </w:t>
      </w:r>
      <w:r w:rsidRPr="00335C04">
        <w:rPr>
          <w:rFonts w:hint="eastAsia"/>
          <w:rtl/>
        </w:rPr>
        <w:t>ידי</w:t>
      </w:r>
      <w:r w:rsidRPr="00335C04">
        <w:rPr>
          <w:rtl/>
        </w:rPr>
        <w:t xml:space="preserve"> </w:t>
      </w:r>
      <w:r w:rsidRPr="00335C04">
        <w:rPr>
          <w:rFonts w:hint="eastAsia"/>
          <w:rtl/>
        </w:rPr>
        <w:t>ר</w:t>
      </w:r>
      <w:r w:rsidRPr="00335C04">
        <w:rPr>
          <w:rtl/>
        </w:rPr>
        <w:t xml:space="preserve">' </w:t>
      </w:r>
      <w:r w:rsidRPr="00335C04">
        <w:rPr>
          <w:rFonts w:hint="eastAsia"/>
          <w:rtl/>
        </w:rPr>
        <w:t>אח</w:t>
      </w:r>
      <w:r w:rsidRPr="00335C04">
        <w:rPr>
          <w:rtl/>
        </w:rPr>
        <w:t xml:space="preserve">"ם (נצ"מ </w:t>
      </w:r>
      <w:r w:rsidRPr="00335C04">
        <w:rPr>
          <w:rFonts w:hint="eastAsia"/>
          <w:rtl/>
        </w:rPr>
        <w:t>ומעלה</w:t>
      </w:r>
      <w:r w:rsidRPr="00335C04">
        <w:rPr>
          <w:rtl/>
        </w:rPr>
        <w:t>)</w:t>
      </w:r>
      <w:r>
        <w:rPr>
          <w:rFonts w:hint="cs"/>
          <w:rtl/>
        </w:rPr>
        <w:t>".</w:t>
      </w:r>
      <w:r>
        <w:rPr>
          <w:rFonts w:hint="cs"/>
          <w:u w:val="single"/>
          <w:rtl/>
        </w:rPr>
        <w:t xml:space="preserve"> </w:t>
      </w:r>
    </w:p>
  </w:footnote>
  <w:footnote w:id="275">
    <w:p w:rsidR="00172C0A" w:rsidRDefault="00172C0A" w:rsidP="000F15E3">
      <w:pPr>
        <w:pStyle w:val="ad"/>
        <w:ind w:left="282" w:hanging="567"/>
        <w:rPr>
          <w:rtl/>
        </w:rPr>
      </w:pPr>
      <w:r>
        <w:rPr>
          <w:rStyle w:val="af"/>
        </w:rPr>
        <w:footnoteRef/>
      </w:r>
      <w:r>
        <w:rPr>
          <w:rtl/>
        </w:rPr>
        <w:t xml:space="preserve"> </w:t>
      </w:r>
      <w:r>
        <w:rPr>
          <w:rtl/>
        </w:rPr>
        <w:tab/>
      </w:r>
      <w:r>
        <w:rPr>
          <w:rFonts w:hint="cs"/>
          <w:rtl/>
        </w:rPr>
        <w:t>נבדקו טפסים של קצינים מוסמכים במחוז ירושלים ממרחב דוד, מרחב ציון ומרחב קדם.</w:t>
      </w:r>
    </w:p>
  </w:footnote>
  <w:footnote w:id="276">
    <w:p w:rsidR="00172C0A" w:rsidRDefault="00172C0A" w:rsidP="000F15E3">
      <w:pPr>
        <w:pStyle w:val="ad"/>
        <w:ind w:left="282" w:hanging="567"/>
        <w:rPr>
          <w:rtl/>
        </w:rPr>
      </w:pPr>
      <w:r>
        <w:rPr>
          <w:rStyle w:val="af"/>
        </w:rPr>
        <w:footnoteRef/>
      </w:r>
      <w:r>
        <w:rPr>
          <w:rtl/>
        </w:rPr>
        <w:t xml:space="preserve"> </w:t>
      </w:r>
      <w:r>
        <w:rPr>
          <w:rtl/>
        </w:rPr>
        <w:tab/>
      </w:r>
      <w:r>
        <w:rPr>
          <w:rFonts w:hint="cs"/>
          <w:rtl/>
        </w:rPr>
        <w:t xml:space="preserve">בינואר 2021 בוצעו בקרות במטה מחוז המרכז ובמחוז הצפון - במחוז המרכז נבדקו 27 טפסים ייעודיים שנתנו חמישה קצינים מוסמכים, ובמחוז הצפון נבדקו 49 טפסים ייעודיים שנתנו עשרה קצינים מוסמכים; בפברואר 2021 בוצעה בקרה במחוז החוף - </w:t>
      </w:r>
      <w:r w:rsidRPr="00B43F02">
        <w:rPr>
          <w:rFonts w:hint="cs"/>
          <w:rtl/>
        </w:rPr>
        <w:t xml:space="preserve">נבדקו 21 </w:t>
      </w:r>
      <w:r>
        <w:rPr>
          <w:rFonts w:hint="cs"/>
          <w:rtl/>
        </w:rPr>
        <w:t xml:space="preserve">טפסים ייעודיים </w:t>
      </w:r>
      <w:r w:rsidRPr="00B43F02">
        <w:rPr>
          <w:rFonts w:hint="cs"/>
          <w:rtl/>
        </w:rPr>
        <w:t>שנתנו שבעה קצינים מוסמכים</w:t>
      </w:r>
      <w:r>
        <w:rPr>
          <w:rFonts w:hint="cs"/>
          <w:rtl/>
        </w:rPr>
        <w:t xml:space="preserve">; במרץ 2021 בוצעו בקרות במרחב אילת ובמטה לה"ב 433 - </w:t>
      </w:r>
      <w:r w:rsidRPr="00B43F02">
        <w:rPr>
          <w:rFonts w:hint="cs"/>
          <w:rtl/>
        </w:rPr>
        <w:t xml:space="preserve">במרחב אילת נבדקו 14 </w:t>
      </w:r>
      <w:r>
        <w:rPr>
          <w:rFonts w:hint="cs"/>
          <w:rtl/>
        </w:rPr>
        <w:t xml:space="preserve">טפסים ייעודיים </w:t>
      </w:r>
      <w:r w:rsidRPr="00B43F02">
        <w:rPr>
          <w:rFonts w:hint="cs"/>
          <w:rtl/>
        </w:rPr>
        <w:t xml:space="preserve">שנתנה קצינה מוסמכת אחת; ובמטה לה"ב 433 נבדקו 15 </w:t>
      </w:r>
      <w:r>
        <w:rPr>
          <w:rFonts w:hint="cs"/>
          <w:rtl/>
        </w:rPr>
        <w:t xml:space="preserve">טפסים ייעודיים </w:t>
      </w:r>
      <w:r w:rsidRPr="00B43F02">
        <w:rPr>
          <w:rFonts w:hint="cs"/>
          <w:rtl/>
        </w:rPr>
        <w:t>שנתנו שלושה קצינים מוסמכים.</w:t>
      </w:r>
    </w:p>
  </w:footnote>
  <w:footnote w:id="277">
    <w:p w:rsidR="00172C0A" w:rsidRDefault="00172C0A" w:rsidP="00493EA2">
      <w:pPr>
        <w:pStyle w:val="ad"/>
        <w:ind w:left="282" w:hanging="567"/>
        <w:rPr>
          <w:rtl/>
        </w:rPr>
      </w:pPr>
      <w:r>
        <w:rPr>
          <w:rStyle w:val="af"/>
        </w:rPr>
        <w:footnoteRef/>
      </w:r>
      <w:r>
        <w:rPr>
          <w:rtl/>
        </w:rPr>
        <w:t xml:space="preserve"> </w:t>
      </w:r>
      <w:r>
        <w:rPr>
          <w:rtl/>
        </w:rPr>
        <w:tab/>
      </w:r>
      <w:r>
        <w:rPr>
          <w:rFonts w:hint="cs"/>
          <w:rtl/>
        </w:rPr>
        <w:t xml:space="preserve">בדצמבר 2019 נערכה בקרת קצינים מוסמכים במחוז החוף; בדצמבר 2020 נערכה בקרת טפסים ייעודיים במחוז ש"י. </w:t>
      </w:r>
    </w:p>
  </w:footnote>
  <w:footnote w:id="278">
    <w:p w:rsidR="00172C0A" w:rsidRDefault="00172C0A" w:rsidP="00493EA2">
      <w:pPr>
        <w:pStyle w:val="ad"/>
        <w:ind w:left="282" w:hanging="567"/>
      </w:pPr>
      <w:r>
        <w:rPr>
          <w:rStyle w:val="af"/>
        </w:rPr>
        <w:footnoteRef/>
      </w:r>
      <w:r>
        <w:rPr>
          <w:rtl/>
        </w:rPr>
        <w:t xml:space="preserve"> </w:t>
      </w:r>
      <w:r>
        <w:rPr>
          <w:rtl/>
        </w:rPr>
        <w:tab/>
      </w:r>
      <w:r w:rsidRPr="008C165E">
        <w:rPr>
          <w:rFonts w:hint="eastAsia"/>
          <w:rtl/>
        </w:rPr>
        <w:t>בעקבות</w:t>
      </w:r>
      <w:r w:rsidRPr="008C165E">
        <w:rPr>
          <w:rtl/>
        </w:rPr>
        <w:t xml:space="preserve"> </w:t>
      </w:r>
      <w:r w:rsidRPr="008C165E">
        <w:rPr>
          <w:rFonts w:hint="eastAsia"/>
          <w:rtl/>
        </w:rPr>
        <w:t>פניית</w:t>
      </w:r>
      <w:r w:rsidRPr="008C165E">
        <w:rPr>
          <w:rtl/>
        </w:rPr>
        <w:t xml:space="preserve"> צוות הביקורת </w:t>
      </w:r>
      <w:r w:rsidRPr="008C165E">
        <w:rPr>
          <w:rFonts w:hint="eastAsia"/>
          <w:rtl/>
        </w:rPr>
        <w:t>לקבל</w:t>
      </w:r>
      <w:r w:rsidRPr="008C165E">
        <w:rPr>
          <w:rtl/>
        </w:rPr>
        <w:t xml:space="preserve"> </w:t>
      </w:r>
      <w:r w:rsidRPr="008C165E">
        <w:rPr>
          <w:rFonts w:hint="eastAsia"/>
          <w:rtl/>
        </w:rPr>
        <w:t>בקרות</w:t>
      </w:r>
      <w:r w:rsidRPr="008C165E">
        <w:rPr>
          <w:rtl/>
        </w:rPr>
        <w:t xml:space="preserve"> </w:t>
      </w:r>
      <w:r w:rsidRPr="008C165E">
        <w:rPr>
          <w:rFonts w:hint="eastAsia"/>
          <w:rtl/>
        </w:rPr>
        <w:t>על</w:t>
      </w:r>
      <w:r w:rsidRPr="008C165E">
        <w:rPr>
          <w:rtl/>
        </w:rPr>
        <w:t xml:space="preserve"> </w:t>
      </w:r>
      <w:r>
        <w:rPr>
          <w:rFonts w:hint="cs"/>
          <w:rtl/>
        </w:rPr>
        <w:t>הטפסים הייעודיים שהוציאו</w:t>
      </w:r>
      <w:r w:rsidRPr="008C165E">
        <w:rPr>
          <w:rtl/>
        </w:rPr>
        <w:t xml:space="preserve"> בשנת 2021 קציני </w:t>
      </w:r>
      <w:r w:rsidRPr="008C165E">
        <w:rPr>
          <w:rFonts w:hint="eastAsia"/>
          <w:rtl/>
        </w:rPr>
        <w:t>האח</w:t>
      </w:r>
      <w:r w:rsidRPr="008C165E">
        <w:rPr>
          <w:rtl/>
        </w:rPr>
        <w:t>"</w:t>
      </w:r>
      <w:r>
        <w:rPr>
          <w:rFonts w:hint="cs"/>
          <w:rtl/>
        </w:rPr>
        <w:t>ם</w:t>
      </w:r>
      <w:r w:rsidRPr="008C165E">
        <w:rPr>
          <w:rtl/>
        </w:rPr>
        <w:t xml:space="preserve"> המחוזיים, </w:t>
      </w:r>
      <w:r>
        <w:rPr>
          <w:rFonts w:hint="cs"/>
          <w:rtl/>
        </w:rPr>
        <w:t>ביולי 2023 ביצע</w:t>
      </w:r>
      <w:r w:rsidRPr="008C165E">
        <w:rPr>
          <w:rtl/>
        </w:rPr>
        <w:t xml:space="preserve"> קצין </w:t>
      </w:r>
      <w:r w:rsidRPr="008C165E">
        <w:rPr>
          <w:rFonts w:hint="eastAsia"/>
          <w:rtl/>
        </w:rPr>
        <w:t>האח</w:t>
      </w:r>
      <w:r w:rsidRPr="008C165E">
        <w:rPr>
          <w:rtl/>
        </w:rPr>
        <w:t>"</w:t>
      </w:r>
      <w:r>
        <w:rPr>
          <w:rFonts w:hint="cs"/>
          <w:rtl/>
        </w:rPr>
        <w:t>ם</w:t>
      </w:r>
      <w:r w:rsidRPr="008C165E">
        <w:rPr>
          <w:rtl/>
        </w:rPr>
        <w:t xml:space="preserve"> של </w:t>
      </w:r>
      <w:r w:rsidRPr="008C165E">
        <w:rPr>
          <w:rFonts w:hint="eastAsia"/>
          <w:rtl/>
        </w:rPr>
        <w:t>מחוז</w:t>
      </w:r>
      <w:r w:rsidRPr="008C165E">
        <w:rPr>
          <w:rtl/>
        </w:rPr>
        <w:t xml:space="preserve"> </w:t>
      </w:r>
      <w:r>
        <w:rPr>
          <w:rFonts w:hint="cs"/>
          <w:rtl/>
        </w:rPr>
        <w:t>ה</w:t>
      </w:r>
      <w:r w:rsidRPr="008C165E">
        <w:rPr>
          <w:rFonts w:hint="eastAsia"/>
          <w:rtl/>
        </w:rPr>
        <w:t>דרום</w:t>
      </w:r>
      <w:r w:rsidRPr="008C165E">
        <w:rPr>
          <w:rtl/>
        </w:rPr>
        <w:t xml:space="preserve"> </w:t>
      </w:r>
      <w:r w:rsidRPr="008C165E">
        <w:rPr>
          <w:rFonts w:hint="eastAsia"/>
          <w:rtl/>
        </w:rPr>
        <w:t>בקרה</w:t>
      </w:r>
      <w:r w:rsidRPr="008C165E">
        <w:rPr>
          <w:rtl/>
        </w:rPr>
        <w:t xml:space="preserve"> על </w:t>
      </w:r>
      <w:r>
        <w:rPr>
          <w:rFonts w:hint="cs"/>
          <w:rtl/>
        </w:rPr>
        <w:t xml:space="preserve">טפסים ייעודיים </w:t>
      </w:r>
      <w:r w:rsidRPr="008C165E">
        <w:rPr>
          <w:rFonts w:hint="eastAsia"/>
          <w:rtl/>
        </w:rPr>
        <w:t>משנת</w:t>
      </w:r>
      <w:r w:rsidRPr="008C165E">
        <w:rPr>
          <w:rtl/>
        </w:rPr>
        <w:t xml:space="preserve"> 2021. </w:t>
      </w:r>
      <w:r w:rsidRPr="008C165E">
        <w:rPr>
          <w:rFonts w:hint="eastAsia"/>
          <w:rtl/>
        </w:rPr>
        <w:t>במסגרת</w:t>
      </w:r>
      <w:r w:rsidRPr="008C165E">
        <w:rPr>
          <w:rtl/>
        </w:rPr>
        <w:t xml:space="preserve"> </w:t>
      </w:r>
      <w:r w:rsidRPr="008C165E">
        <w:rPr>
          <w:rFonts w:hint="eastAsia"/>
          <w:rtl/>
        </w:rPr>
        <w:t>הבקרה</w:t>
      </w:r>
      <w:r w:rsidRPr="008C165E">
        <w:rPr>
          <w:rtl/>
        </w:rPr>
        <w:t xml:space="preserve"> </w:t>
      </w:r>
      <w:r w:rsidRPr="008C165E">
        <w:rPr>
          <w:rFonts w:hint="eastAsia"/>
          <w:rtl/>
        </w:rPr>
        <w:t>נבחן</w:t>
      </w:r>
      <w:r w:rsidRPr="008C165E">
        <w:rPr>
          <w:rtl/>
        </w:rPr>
        <w:t xml:space="preserve"> מדגם של </w:t>
      </w:r>
      <w:r>
        <w:rPr>
          <w:rFonts w:hint="cs"/>
          <w:rtl/>
        </w:rPr>
        <w:t xml:space="preserve">טפסים ייעודיים </w:t>
      </w:r>
      <w:r w:rsidRPr="008C165E">
        <w:rPr>
          <w:rtl/>
        </w:rPr>
        <w:t xml:space="preserve">של </w:t>
      </w:r>
      <w:r w:rsidRPr="008C165E">
        <w:rPr>
          <w:rFonts w:hint="eastAsia"/>
          <w:rtl/>
        </w:rPr>
        <w:t>עשרת</w:t>
      </w:r>
      <w:r w:rsidRPr="008C165E">
        <w:rPr>
          <w:rtl/>
        </w:rPr>
        <w:t xml:space="preserve"> </w:t>
      </w:r>
      <w:r w:rsidRPr="008C165E">
        <w:rPr>
          <w:rFonts w:hint="eastAsia"/>
          <w:rtl/>
        </w:rPr>
        <w:t>הקצינים</w:t>
      </w:r>
      <w:r w:rsidRPr="008C165E">
        <w:rPr>
          <w:rtl/>
        </w:rPr>
        <w:t xml:space="preserve"> </w:t>
      </w:r>
      <w:r w:rsidRPr="008C165E">
        <w:rPr>
          <w:rFonts w:hint="eastAsia"/>
          <w:rtl/>
        </w:rPr>
        <w:t>המוסמכים</w:t>
      </w:r>
      <w:r w:rsidRPr="008C165E">
        <w:rPr>
          <w:rtl/>
        </w:rPr>
        <w:t xml:space="preserve"> </w:t>
      </w:r>
      <w:r w:rsidRPr="008C165E">
        <w:rPr>
          <w:rFonts w:hint="eastAsia"/>
          <w:rtl/>
        </w:rPr>
        <w:t>במחוז</w:t>
      </w:r>
      <w:r w:rsidRPr="008C165E">
        <w:rPr>
          <w:rtl/>
        </w:rPr>
        <w:t xml:space="preserve"> </w:t>
      </w:r>
      <w:r>
        <w:rPr>
          <w:rFonts w:hint="cs"/>
          <w:rtl/>
        </w:rPr>
        <w:t>ה</w:t>
      </w:r>
      <w:r w:rsidRPr="008C165E">
        <w:rPr>
          <w:rFonts w:hint="eastAsia"/>
          <w:rtl/>
        </w:rPr>
        <w:t>דרום</w:t>
      </w:r>
      <w:r w:rsidRPr="008C165E">
        <w:rPr>
          <w:rtl/>
        </w:rPr>
        <w:t xml:space="preserve"> </w:t>
      </w:r>
      <w:r w:rsidRPr="008C165E">
        <w:rPr>
          <w:rFonts w:hint="eastAsia"/>
          <w:rtl/>
        </w:rPr>
        <w:t>נכון</w:t>
      </w:r>
      <w:r w:rsidRPr="008C165E">
        <w:rPr>
          <w:rtl/>
        </w:rPr>
        <w:t xml:space="preserve"> </w:t>
      </w:r>
      <w:r w:rsidRPr="008C165E">
        <w:rPr>
          <w:rFonts w:hint="eastAsia"/>
          <w:rtl/>
        </w:rPr>
        <w:t>לשנת</w:t>
      </w:r>
      <w:r w:rsidRPr="008C165E">
        <w:rPr>
          <w:rtl/>
        </w:rPr>
        <w:t xml:space="preserve"> 2021. </w:t>
      </w:r>
      <w:r>
        <w:rPr>
          <w:rFonts w:hint="cs"/>
          <w:rtl/>
        </w:rPr>
        <w:t>ב</w:t>
      </w:r>
      <w:r w:rsidRPr="008C165E">
        <w:rPr>
          <w:rFonts w:hint="eastAsia"/>
          <w:rtl/>
        </w:rPr>
        <w:t>סך</w:t>
      </w:r>
      <w:r w:rsidRPr="008C165E">
        <w:rPr>
          <w:rtl/>
        </w:rPr>
        <w:t xml:space="preserve"> </w:t>
      </w:r>
      <w:r w:rsidRPr="008C165E">
        <w:rPr>
          <w:rFonts w:hint="eastAsia"/>
          <w:rtl/>
        </w:rPr>
        <w:t>הכ</w:t>
      </w:r>
      <w:r>
        <w:rPr>
          <w:rFonts w:hint="cs"/>
          <w:rtl/>
        </w:rPr>
        <w:t>ו</w:t>
      </w:r>
      <w:r w:rsidRPr="008C165E">
        <w:rPr>
          <w:rFonts w:hint="eastAsia"/>
          <w:rtl/>
        </w:rPr>
        <w:t>ל</w:t>
      </w:r>
      <w:r w:rsidRPr="008C165E">
        <w:rPr>
          <w:rtl/>
        </w:rPr>
        <w:t xml:space="preserve"> </w:t>
      </w:r>
      <w:r w:rsidRPr="008C165E">
        <w:rPr>
          <w:rFonts w:hint="eastAsia"/>
          <w:rtl/>
        </w:rPr>
        <w:t>נבחנו</w:t>
      </w:r>
      <w:r w:rsidRPr="008C165E">
        <w:rPr>
          <w:rtl/>
        </w:rPr>
        <w:t xml:space="preserve"> 98 </w:t>
      </w:r>
      <w:r>
        <w:rPr>
          <w:rFonts w:hint="cs"/>
          <w:rtl/>
        </w:rPr>
        <w:t>טפסים ייעודיים</w:t>
      </w:r>
      <w:r w:rsidRPr="008C165E">
        <w:rPr>
          <w:rtl/>
        </w:rPr>
        <w:t xml:space="preserve">. </w:t>
      </w:r>
      <w:r>
        <w:rPr>
          <w:rFonts w:hint="cs"/>
          <w:rtl/>
        </w:rPr>
        <w:t>ממצאי</w:t>
      </w:r>
      <w:r w:rsidRPr="008C165E">
        <w:rPr>
          <w:rtl/>
        </w:rPr>
        <w:t xml:space="preserve"> הבקרה העלו כי </w:t>
      </w:r>
      <w:r w:rsidRPr="008C165E">
        <w:rPr>
          <w:rFonts w:hint="eastAsia"/>
          <w:rtl/>
        </w:rPr>
        <w:t>כל</w:t>
      </w:r>
      <w:r w:rsidRPr="008C165E">
        <w:rPr>
          <w:rtl/>
        </w:rPr>
        <w:t xml:space="preserve"> הטפסים שנבדקו לא נחתמו כלל על ידי הקצינים המוסמכים אשר נתנו את ההיתרים. </w:t>
      </w:r>
      <w:r>
        <w:rPr>
          <w:rFonts w:hint="cs"/>
          <w:rtl/>
        </w:rPr>
        <w:t>כמו כן</w:t>
      </w:r>
      <w:r w:rsidRPr="008C165E">
        <w:rPr>
          <w:rtl/>
        </w:rPr>
        <w:t xml:space="preserve">, </w:t>
      </w:r>
      <w:r>
        <w:rPr>
          <w:rFonts w:hint="cs"/>
          <w:rtl/>
        </w:rPr>
        <w:t xml:space="preserve">נמצאה אי-התאמה </w:t>
      </w:r>
      <w:r w:rsidRPr="008C165E">
        <w:rPr>
          <w:rtl/>
        </w:rPr>
        <w:t xml:space="preserve">בין מספר ההיתרים שניתנו לבין </w:t>
      </w:r>
      <w:r>
        <w:rPr>
          <w:rFonts w:hint="cs"/>
          <w:rtl/>
        </w:rPr>
        <w:t>מספרם ב</w:t>
      </w:r>
      <w:r w:rsidRPr="008C165E">
        <w:rPr>
          <w:rtl/>
        </w:rPr>
        <w:t xml:space="preserve">דיווחים </w:t>
      </w:r>
      <w:r>
        <w:rPr>
          <w:rFonts w:hint="cs"/>
          <w:rtl/>
        </w:rPr>
        <w:t>ש</w:t>
      </w:r>
      <w:r w:rsidRPr="008C165E">
        <w:rPr>
          <w:rtl/>
        </w:rPr>
        <w:t>ב</w:t>
      </w:r>
      <w:r>
        <w:rPr>
          <w:rFonts w:hint="cs"/>
          <w:rtl/>
        </w:rPr>
        <w:t>טפסים הייעודיים</w:t>
      </w:r>
      <w:r w:rsidRPr="008C165E">
        <w:rPr>
          <w:rtl/>
        </w:rPr>
        <w:t xml:space="preserve">, וכן </w:t>
      </w:r>
      <w:r>
        <w:rPr>
          <w:rFonts w:hint="cs"/>
          <w:rtl/>
        </w:rPr>
        <w:t xml:space="preserve">נמצאו </w:t>
      </w:r>
      <w:r w:rsidRPr="00493EA2">
        <w:rPr>
          <w:rFonts w:ascii="David" w:hAnsi="David"/>
          <w:rtl/>
        </w:rPr>
        <w:t>ליקויים</w:t>
      </w:r>
      <w:r w:rsidRPr="008C165E">
        <w:rPr>
          <w:rtl/>
        </w:rPr>
        <w:t xml:space="preserve"> נוספים המפורטים </w:t>
      </w:r>
      <w:r w:rsidRPr="008C165E">
        <w:rPr>
          <w:rFonts w:hint="eastAsia"/>
          <w:rtl/>
        </w:rPr>
        <w:t>ב</w:t>
      </w:r>
      <w:r>
        <w:rPr>
          <w:rFonts w:hint="cs"/>
          <w:rtl/>
        </w:rPr>
        <w:t>בקרות המשטרה שנערכו בשנת 2021.</w:t>
      </w:r>
      <w:r w:rsidRPr="008C165E">
        <w:rPr>
          <w:rtl/>
        </w:rPr>
        <w:t xml:space="preserve"> בסיכום הבקרה ציין קצין </w:t>
      </w:r>
      <w:r w:rsidRPr="008C165E">
        <w:rPr>
          <w:rFonts w:hint="eastAsia"/>
          <w:rtl/>
        </w:rPr>
        <w:t>האח</w:t>
      </w:r>
      <w:r w:rsidRPr="008C165E">
        <w:rPr>
          <w:rtl/>
        </w:rPr>
        <w:t>"</w:t>
      </w:r>
      <w:r>
        <w:rPr>
          <w:rFonts w:hint="cs"/>
          <w:rtl/>
        </w:rPr>
        <w:t>ם</w:t>
      </w:r>
      <w:r w:rsidRPr="008C165E">
        <w:rPr>
          <w:rtl/>
        </w:rPr>
        <w:t xml:space="preserve"> של מחוז דרום </w:t>
      </w:r>
      <w:r>
        <w:rPr>
          <w:rFonts w:hint="cs"/>
          <w:rtl/>
        </w:rPr>
        <w:t>כי נמצא שמספר הדיווחים של הקצינים המוסמכים לקצין אח"ם מחוזי בנושא ההיתרים שנתנו קטן בהרבה ממספרם לפי הדיווחים שבטפסים הייעודיים,</w:t>
      </w:r>
      <w:r w:rsidRPr="008C165E">
        <w:rPr>
          <w:rtl/>
        </w:rPr>
        <w:t xml:space="preserve"> וכי </w:t>
      </w:r>
      <w:r>
        <w:rPr>
          <w:rFonts w:hint="cs"/>
          <w:rtl/>
        </w:rPr>
        <w:t xml:space="preserve">בשנת 2023 </w:t>
      </w:r>
      <w:r w:rsidRPr="008C165E">
        <w:rPr>
          <w:rtl/>
        </w:rPr>
        <w:t xml:space="preserve">מונה </w:t>
      </w:r>
      <w:r w:rsidRPr="008C165E">
        <w:rPr>
          <w:rFonts w:hint="eastAsia"/>
          <w:rtl/>
        </w:rPr>
        <w:t>רפרנט</w:t>
      </w:r>
      <w:r w:rsidRPr="008C165E">
        <w:rPr>
          <w:rtl/>
        </w:rPr>
        <w:t xml:space="preserve"> מחוזי לניהול בקרות מחוזיות</w:t>
      </w:r>
      <w:r>
        <w:rPr>
          <w:rFonts w:hint="cs"/>
          <w:rtl/>
        </w:rPr>
        <w:t>.</w:t>
      </w:r>
    </w:p>
  </w:footnote>
  <w:footnote w:id="279">
    <w:p w:rsidR="00172C0A" w:rsidRPr="00917A4D" w:rsidRDefault="00172C0A" w:rsidP="00493EA2">
      <w:pPr>
        <w:pStyle w:val="ad"/>
        <w:ind w:left="282" w:hanging="567"/>
        <w:rPr>
          <w:rFonts w:ascii="David" w:hAnsi="David"/>
        </w:rPr>
      </w:pPr>
      <w:r w:rsidRPr="00917A4D">
        <w:rPr>
          <w:rStyle w:val="af"/>
          <w:rFonts w:ascii="David" w:hAnsi="David"/>
        </w:rPr>
        <w:footnoteRef/>
      </w:r>
      <w:r w:rsidRPr="00917A4D">
        <w:rPr>
          <w:rFonts w:ascii="David" w:hAnsi="David"/>
          <w:rtl/>
        </w:rPr>
        <w:t xml:space="preserve"> </w:t>
      </w:r>
      <w:r>
        <w:rPr>
          <w:rFonts w:ascii="David" w:hAnsi="David"/>
          <w:rtl/>
        </w:rPr>
        <w:tab/>
      </w:r>
      <w:r w:rsidRPr="00917A4D">
        <w:rPr>
          <w:rFonts w:ascii="David" w:hAnsi="David"/>
          <w:rtl/>
        </w:rPr>
        <w:t xml:space="preserve">למשל, במכתב ההסמכה הראשון של המפכ"ל ניתנה הסמכה למי שיישא בין היתר בתפקידים </w:t>
      </w:r>
      <w:r>
        <w:rPr>
          <w:rFonts w:ascii="David" w:hAnsi="David" w:hint="cs"/>
          <w:rtl/>
        </w:rPr>
        <w:t>אלה</w:t>
      </w:r>
      <w:r w:rsidRPr="00917A4D">
        <w:rPr>
          <w:rFonts w:ascii="David" w:hAnsi="David"/>
          <w:rtl/>
        </w:rPr>
        <w:t>: ראשי ימ"רים מרחביים, מפקדי משל"ט ארצי ומחוזיים, קציני אח"</w:t>
      </w:r>
      <w:r>
        <w:rPr>
          <w:rFonts w:ascii="David" w:hAnsi="David" w:hint="cs"/>
          <w:rtl/>
        </w:rPr>
        <w:t>ם</w:t>
      </w:r>
      <w:r w:rsidRPr="00917A4D">
        <w:rPr>
          <w:rFonts w:ascii="David" w:hAnsi="David"/>
          <w:rtl/>
        </w:rPr>
        <w:t xml:space="preserve"> מרחביים ועוד, </w:t>
      </w:r>
      <w:r>
        <w:rPr>
          <w:rFonts w:ascii="David" w:hAnsi="David" w:hint="cs"/>
          <w:rtl/>
        </w:rPr>
        <w:t>וב</w:t>
      </w:r>
      <w:r w:rsidRPr="00917A4D">
        <w:rPr>
          <w:rFonts w:ascii="David" w:hAnsi="David"/>
          <w:rtl/>
        </w:rPr>
        <w:t xml:space="preserve">מכתב ההסמכה </w:t>
      </w:r>
      <w:r>
        <w:rPr>
          <w:rFonts w:ascii="David" w:hAnsi="David" w:hint="cs"/>
          <w:rtl/>
        </w:rPr>
        <w:t>מפורטים</w:t>
      </w:r>
      <w:r w:rsidRPr="00917A4D">
        <w:rPr>
          <w:rFonts w:ascii="David" w:hAnsi="David"/>
          <w:rtl/>
        </w:rPr>
        <w:t xml:space="preserve"> התפקידים אך לא </w:t>
      </w:r>
      <w:r>
        <w:rPr>
          <w:rFonts w:ascii="David" w:hAnsi="David" w:hint="cs"/>
          <w:rtl/>
        </w:rPr>
        <w:t>מצוינים</w:t>
      </w:r>
      <w:r w:rsidRPr="00917A4D">
        <w:rPr>
          <w:rFonts w:ascii="David" w:hAnsi="David"/>
          <w:rtl/>
        </w:rPr>
        <w:t xml:space="preserve"> בעלי התפקידים בשמותיהם.</w:t>
      </w:r>
    </w:p>
  </w:footnote>
  <w:footnote w:id="280">
    <w:p w:rsidR="00172C0A" w:rsidRPr="00917A4D" w:rsidRDefault="00172C0A" w:rsidP="00493EA2">
      <w:pPr>
        <w:pStyle w:val="ad"/>
        <w:ind w:left="282" w:hanging="567"/>
        <w:rPr>
          <w:rFonts w:ascii="David" w:hAnsi="David"/>
          <w:rtl/>
        </w:rPr>
      </w:pPr>
      <w:r w:rsidRPr="00917A4D">
        <w:rPr>
          <w:rStyle w:val="af"/>
          <w:rFonts w:ascii="David" w:hAnsi="David"/>
        </w:rPr>
        <w:footnoteRef/>
      </w:r>
      <w:r w:rsidRPr="00917A4D">
        <w:rPr>
          <w:rFonts w:ascii="David" w:hAnsi="David"/>
          <w:rtl/>
        </w:rPr>
        <w:t xml:space="preserve"> </w:t>
      </w:r>
      <w:r>
        <w:rPr>
          <w:rFonts w:ascii="David" w:hAnsi="David"/>
          <w:rtl/>
        </w:rPr>
        <w:tab/>
      </w:r>
      <w:r w:rsidRPr="00917A4D">
        <w:rPr>
          <w:rFonts w:ascii="David" w:hAnsi="David"/>
          <w:rtl/>
        </w:rPr>
        <w:t>כי</w:t>
      </w:r>
      <w:r>
        <w:rPr>
          <w:rFonts w:ascii="David" w:hAnsi="David" w:hint="cs"/>
          <w:rtl/>
        </w:rPr>
        <w:t>ו</w:t>
      </w:r>
      <w:r w:rsidRPr="00917A4D">
        <w:rPr>
          <w:rFonts w:ascii="David" w:hAnsi="David"/>
          <w:rtl/>
        </w:rPr>
        <w:t xml:space="preserve">ון שחילופי המפקדים הנושאים בתפקידי הקצינים המוסמכים על ידי המפכ"ל אינה גוררת הסמכה חדשה, </w:t>
      </w:r>
      <w:r>
        <w:rPr>
          <w:rFonts w:ascii="David" w:hAnsi="David" w:hint="cs"/>
          <w:rtl/>
        </w:rPr>
        <w:t>וכיוון שה</w:t>
      </w:r>
      <w:r w:rsidRPr="00917A4D">
        <w:rPr>
          <w:rFonts w:ascii="David" w:hAnsi="David"/>
          <w:rtl/>
        </w:rPr>
        <w:t xml:space="preserve">משטרה </w:t>
      </w:r>
      <w:r>
        <w:rPr>
          <w:rFonts w:ascii="David" w:hAnsi="David" w:hint="cs"/>
          <w:rtl/>
        </w:rPr>
        <w:t xml:space="preserve">מסתמכת </w:t>
      </w:r>
      <w:r w:rsidRPr="00917A4D">
        <w:rPr>
          <w:rFonts w:ascii="David" w:hAnsi="David"/>
          <w:rtl/>
        </w:rPr>
        <w:t xml:space="preserve">על ההסמכה הכללית לבעל התפקיד, </w:t>
      </w:r>
      <w:r>
        <w:rPr>
          <w:rFonts w:ascii="David" w:hAnsi="David" w:hint="cs"/>
          <w:rtl/>
        </w:rPr>
        <w:t xml:space="preserve">עם חילופי המפקדים </w:t>
      </w:r>
      <w:r w:rsidRPr="00917A4D">
        <w:rPr>
          <w:rFonts w:ascii="David" w:hAnsi="David"/>
          <w:rtl/>
        </w:rPr>
        <w:t xml:space="preserve">נדרש עדכון </w:t>
      </w:r>
      <w:r>
        <w:rPr>
          <w:rFonts w:ascii="David" w:hAnsi="David" w:hint="cs"/>
          <w:rtl/>
        </w:rPr>
        <w:t>של שמות</w:t>
      </w:r>
      <w:r w:rsidRPr="00917A4D">
        <w:rPr>
          <w:rFonts w:ascii="David" w:hAnsi="David"/>
          <w:rtl/>
        </w:rPr>
        <w:t xml:space="preserve"> הקצינים </w:t>
      </w:r>
      <w:r w:rsidRPr="00493EA2">
        <w:rPr>
          <w:rtl/>
        </w:rPr>
        <w:t>במערכת</w:t>
      </w:r>
      <w:r w:rsidRPr="00917A4D">
        <w:rPr>
          <w:rFonts w:ascii="David" w:hAnsi="David"/>
          <w:rtl/>
        </w:rPr>
        <w:t xml:space="preserve"> ניהול </w:t>
      </w:r>
      <w:r>
        <w:rPr>
          <w:rFonts w:ascii="David" w:hAnsi="David" w:hint="cs"/>
          <w:rtl/>
        </w:rPr>
        <w:t>ה</w:t>
      </w:r>
      <w:r w:rsidRPr="00917A4D">
        <w:rPr>
          <w:rFonts w:ascii="David" w:hAnsi="David"/>
          <w:rtl/>
        </w:rPr>
        <w:t>צווים, על מנת שבכל רגע נתון הרשימה תהיה מעודכנת ותשקף את המפקדים הנושאים בפועל בתפקידי הקצינים המוסמכים. כמו כן נדרש עדכון הרשאות במערכת ההרשאות המחשובית של המשטרה.</w:t>
      </w:r>
    </w:p>
  </w:footnote>
  <w:footnote w:id="281">
    <w:p w:rsidR="00172C0A" w:rsidRPr="00550E92" w:rsidRDefault="00172C0A" w:rsidP="00493EA2">
      <w:pPr>
        <w:pStyle w:val="ad"/>
        <w:ind w:left="282" w:hanging="567"/>
        <w:rPr>
          <w:rFonts w:ascii="David" w:hAnsi="David"/>
          <w:rtl/>
        </w:rPr>
      </w:pPr>
      <w:r w:rsidRPr="00917A4D">
        <w:rPr>
          <w:rStyle w:val="af"/>
          <w:rFonts w:ascii="David" w:hAnsi="David"/>
        </w:rPr>
        <w:footnoteRef/>
      </w:r>
      <w:r>
        <w:rPr>
          <w:rFonts w:ascii="David" w:hAnsi="David"/>
          <w:rtl/>
        </w:rPr>
        <w:t xml:space="preserve"> </w:t>
      </w:r>
      <w:r>
        <w:rPr>
          <w:rFonts w:ascii="David" w:hAnsi="David"/>
          <w:rtl/>
        </w:rPr>
        <w:tab/>
      </w:r>
      <w:r w:rsidRPr="00917A4D">
        <w:rPr>
          <w:rFonts w:ascii="David" w:hAnsi="David"/>
          <w:rtl/>
        </w:rPr>
        <w:t xml:space="preserve">מדובר במצגת </w:t>
      </w:r>
      <w:r>
        <w:rPr>
          <w:rFonts w:ascii="David" w:hAnsi="David" w:hint="cs"/>
          <w:rtl/>
        </w:rPr>
        <w:t>של</w:t>
      </w:r>
      <w:r w:rsidRPr="00917A4D">
        <w:rPr>
          <w:rFonts w:ascii="David" w:hAnsi="David"/>
          <w:rtl/>
        </w:rPr>
        <w:t xml:space="preserve"> 14 שקפים,</w:t>
      </w:r>
      <w:r>
        <w:rPr>
          <w:rFonts w:ascii="David" w:hAnsi="David"/>
          <w:rtl/>
        </w:rPr>
        <w:t xml:space="preserve"> </w:t>
      </w:r>
      <w:r>
        <w:rPr>
          <w:rFonts w:ascii="David" w:hAnsi="David" w:hint="cs"/>
          <w:rtl/>
        </w:rPr>
        <w:t xml:space="preserve">אשר רק בארבעה מהם מובא </w:t>
      </w:r>
      <w:r w:rsidRPr="00917A4D">
        <w:rPr>
          <w:rFonts w:ascii="David" w:hAnsi="David"/>
          <w:rtl/>
        </w:rPr>
        <w:t>תוכן מקצועי לגבי מתן היתר מ</w:t>
      </w:r>
      <w:r>
        <w:rPr>
          <w:rFonts w:ascii="David" w:hAnsi="David" w:hint="cs"/>
          <w:rtl/>
        </w:rPr>
        <w:t>י</w:t>
      </w:r>
      <w:r w:rsidRPr="00917A4D">
        <w:rPr>
          <w:rFonts w:ascii="David" w:hAnsi="David"/>
          <w:rtl/>
        </w:rPr>
        <w:t xml:space="preserve">נהלי </w:t>
      </w:r>
      <w:r>
        <w:rPr>
          <w:rFonts w:ascii="David" w:hAnsi="David" w:hint="cs"/>
          <w:rtl/>
        </w:rPr>
        <w:t>על ידי</w:t>
      </w:r>
      <w:r w:rsidRPr="00917A4D">
        <w:rPr>
          <w:rFonts w:ascii="David" w:hAnsi="David"/>
          <w:rtl/>
        </w:rPr>
        <w:t xml:space="preserve"> קצין מוסמך.</w:t>
      </w:r>
      <w:r>
        <w:rPr>
          <w:rFonts w:ascii="David" w:hAnsi="David" w:hint="cs"/>
          <w:rtl/>
        </w:rPr>
        <w:t xml:space="preserve"> </w:t>
      </w:r>
      <w:r w:rsidRPr="00917A4D">
        <w:rPr>
          <w:rFonts w:ascii="David" w:hAnsi="David"/>
          <w:rtl/>
        </w:rPr>
        <w:t>אין במצגת אזכור או הפניה לנוהל חטיבת הסייבר הרלוונטי המגדיר את הפרוצדורה למתן היתר מ</w:t>
      </w:r>
      <w:r>
        <w:rPr>
          <w:rFonts w:ascii="David" w:hAnsi="David" w:hint="cs"/>
          <w:rtl/>
        </w:rPr>
        <w:t>י</w:t>
      </w:r>
      <w:r w:rsidRPr="00917A4D">
        <w:rPr>
          <w:rFonts w:ascii="David" w:hAnsi="David"/>
          <w:rtl/>
        </w:rPr>
        <w:t>נהלי ואת השיקולים למתן היתר מ</w:t>
      </w:r>
      <w:r>
        <w:rPr>
          <w:rFonts w:ascii="David" w:hAnsi="David" w:hint="cs"/>
          <w:rtl/>
        </w:rPr>
        <w:t>י</w:t>
      </w:r>
      <w:r w:rsidRPr="00917A4D">
        <w:rPr>
          <w:rFonts w:ascii="David" w:hAnsi="David"/>
          <w:rtl/>
        </w:rPr>
        <w:t xml:space="preserve">נהלי. </w:t>
      </w:r>
      <w:r>
        <w:rPr>
          <w:rFonts w:ascii="David" w:hAnsi="David" w:hint="cs"/>
          <w:rtl/>
        </w:rPr>
        <w:t xml:space="preserve">כמו כן, </w:t>
      </w:r>
      <w:r w:rsidRPr="00917A4D">
        <w:rPr>
          <w:rFonts w:ascii="David" w:hAnsi="David"/>
          <w:rtl/>
        </w:rPr>
        <w:t xml:space="preserve">במצגת </w:t>
      </w:r>
      <w:r>
        <w:rPr>
          <w:rFonts w:ascii="David" w:hAnsi="David" w:hint="cs"/>
          <w:rtl/>
        </w:rPr>
        <w:t>לא מוצגים</w:t>
      </w:r>
      <w:r w:rsidRPr="00917A4D">
        <w:rPr>
          <w:rFonts w:ascii="David" w:hAnsi="David"/>
          <w:rtl/>
        </w:rPr>
        <w:t xml:space="preserve"> </w:t>
      </w:r>
      <w:r>
        <w:rPr>
          <w:rFonts w:eastAsia="Calibri" w:hint="cs"/>
          <w:rtl/>
        </w:rPr>
        <w:t>הטופס הייעודי</w:t>
      </w:r>
      <w:r w:rsidRPr="00917A4D" w:rsidDel="002D5091">
        <w:rPr>
          <w:rFonts w:ascii="David" w:hAnsi="David"/>
          <w:rtl/>
        </w:rPr>
        <w:t xml:space="preserve"> </w:t>
      </w:r>
      <w:r w:rsidRPr="00917A4D">
        <w:rPr>
          <w:rFonts w:ascii="David" w:hAnsi="David"/>
          <w:rtl/>
        </w:rPr>
        <w:t xml:space="preserve">ואופן מילויו, זאת </w:t>
      </w:r>
      <w:r>
        <w:rPr>
          <w:rFonts w:ascii="David" w:hAnsi="David" w:hint="cs"/>
          <w:rtl/>
        </w:rPr>
        <w:t>אף</w:t>
      </w:r>
      <w:r w:rsidRPr="00917A4D">
        <w:rPr>
          <w:rFonts w:ascii="David" w:hAnsi="David"/>
          <w:rtl/>
        </w:rPr>
        <w:t xml:space="preserve"> שדיווח הקצין המוסמך נדרש בחוק.</w:t>
      </w:r>
    </w:p>
  </w:footnote>
  <w:footnote w:id="282">
    <w:p w:rsidR="00172C0A" w:rsidRDefault="00172C0A" w:rsidP="00493EA2">
      <w:pPr>
        <w:pStyle w:val="ad"/>
        <w:ind w:left="282" w:hanging="567"/>
        <w:rPr>
          <w:rtl/>
        </w:rPr>
      </w:pPr>
      <w:r>
        <w:rPr>
          <w:rStyle w:val="af"/>
        </w:rPr>
        <w:footnoteRef/>
      </w:r>
      <w:r>
        <w:rPr>
          <w:rtl/>
        </w:rPr>
        <w:t xml:space="preserve"> </w:t>
      </w:r>
      <w:r>
        <w:rPr>
          <w:rFonts w:ascii="David" w:hAnsi="David"/>
          <w:rtl/>
        </w:rPr>
        <w:tab/>
      </w:r>
      <w:r w:rsidRPr="00493EA2">
        <w:rPr>
          <w:rFonts w:ascii="David" w:hAnsi="David" w:hint="cs"/>
          <w:rtl/>
        </w:rPr>
        <w:t>כלומר</w:t>
      </w:r>
      <w:r>
        <w:rPr>
          <w:rFonts w:hint="cs"/>
          <w:rtl/>
        </w:rPr>
        <w:t xml:space="preserve">, איסוף נתוני </w:t>
      </w:r>
      <w:r w:rsidRPr="00B94235">
        <w:rPr>
          <w:rFonts w:hint="cs"/>
          <w:rtl/>
        </w:rPr>
        <w:t>התקשורת</w:t>
      </w:r>
      <w:r>
        <w:rPr>
          <w:rFonts w:hint="cs"/>
          <w:rtl/>
        </w:rPr>
        <w:t xml:space="preserve"> מחברות התקשורת ותחקור של הנתונים.</w:t>
      </w:r>
    </w:p>
  </w:footnote>
  <w:footnote w:id="283">
    <w:p w:rsidR="00172C0A" w:rsidRPr="000D2624" w:rsidRDefault="00172C0A" w:rsidP="00493EA2">
      <w:pPr>
        <w:pStyle w:val="ad"/>
        <w:ind w:left="282" w:hanging="567"/>
        <w:rPr>
          <w:rtl/>
        </w:rPr>
      </w:pPr>
      <w:r>
        <w:rPr>
          <w:rStyle w:val="af"/>
        </w:rPr>
        <w:footnoteRef/>
      </w:r>
      <w:r>
        <w:rPr>
          <w:rtl/>
        </w:rPr>
        <w:t xml:space="preserve"> </w:t>
      </w:r>
      <w:r>
        <w:rPr>
          <w:rtl/>
        </w:rPr>
        <w:tab/>
      </w:r>
      <w:r>
        <w:rPr>
          <w:rFonts w:hint="cs"/>
          <w:rtl/>
        </w:rPr>
        <w:t xml:space="preserve">ראו גם: יצחק זמיר, </w:t>
      </w:r>
      <w:r>
        <w:rPr>
          <w:rFonts w:hint="cs"/>
          <w:b/>
          <w:bCs/>
          <w:rtl/>
        </w:rPr>
        <w:t>הסמכות המנהלית</w:t>
      </w:r>
      <w:r>
        <w:rPr>
          <w:rFonts w:hint="cs"/>
          <w:rtl/>
        </w:rPr>
        <w:t xml:space="preserve">, עמ' 73 - 82, 169 - 171, 230 - 232; יצחק זמיר, </w:t>
      </w:r>
      <w:r>
        <w:rPr>
          <w:rFonts w:hint="cs"/>
          <w:b/>
          <w:bCs/>
          <w:rtl/>
        </w:rPr>
        <w:t>שיקול הצדק בהחלטות מנהליות</w:t>
      </w:r>
      <w:r>
        <w:rPr>
          <w:rFonts w:hint="cs"/>
          <w:rtl/>
        </w:rPr>
        <w:t xml:space="preserve">, משפט וממשל ז' (תשס"ה), עמ' 623 - 667 ; בג"ץ 3094/93 </w:t>
      </w:r>
      <w:r>
        <w:rPr>
          <w:rFonts w:hint="cs"/>
          <w:b/>
          <w:bCs/>
          <w:rtl/>
        </w:rPr>
        <w:t xml:space="preserve">התנועה למען איכות השלטון בישראל נ' ממשלת </w:t>
      </w:r>
      <w:r w:rsidRPr="008C165E">
        <w:rPr>
          <w:rFonts w:hint="eastAsia"/>
          <w:b/>
          <w:bCs/>
          <w:rtl/>
        </w:rPr>
        <w:t>ישראל</w:t>
      </w:r>
      <w:r>
        <w:rPr>
          <w:rFonts w:hint="cs"/>
          <w:rtl/>
        </w:rPr>
        <w:t xml:space="preserve">, פ"ד מז(5) 404 (1993); </w:t>
      </w:r>
      <w:r w:rsidRPr="001A242E">
        <w:rPr>
          <w:rFonts w:hint="cs"/>
          <w:rtl/>
        </w:rPr>
        <w:t>עע</w:t>
      </w:r>
      <w:r>
        <w:rPr>
          <w:rFonts w:hint="cs"/>
          <w:rtl/>
        </w:rPr>
        <w:t xml:space="preserve">"מ 2398/08 </w:t>
      </w:r>
      <w:r>
        <w:rPr>
          <w:rFonts w:hint="cs"/>
          <w:b/>
          <w:bCs/>
          <w:rtl/>
        </w:rPr>
        <w:t>מדינת ישראל - משרד המשפטים נ' אליצור סגל</w:t>
      </w:r>
      <w:r>
        <w:rPr>
          <w:rFonts w:hint="cs"/>
          <w:rtl/>
        </w:rPr>
        <w:t xml:space="preserve">, פ"ד סד (3) 666, (2011); דפנה ברק-ארז, </w:t>
      </w:r>
      <w:r>
        <w:rPr>
          <w:rFonts w:hint="cs"/>
          <w:b/>
          <w:bCs/>
          <w:rtl/>
        </w:rPr>
        <w:t>משפט מינהלי</w:t>
      </w:r>
      <w:r>
        <w:rPr>
          <w:rFonts w:hint="cs"/>
          <w:rtl/>
        </w:rPr>
        <w:t>, (2010), "שער רביעי - שיקול הדעת המינהלי, מידתיות", עמ' 722 - 792.</w:t>
      </w:r>
    </w:p>
  </w:footnote>
  <w:footnote w:id="284">
    <w:p w:rsidR="00172C0A" w:rsidRDefault="00172C0A" w:rsidP="00493EA2">
      <w:pPr>
        <w:pStyle w:val="ad"/>
        <w:ind w:left="282" w:hanging="567"/>
      </w:pPr>
      <w:r>
        <w:rPr>
          <w:rStyle w:val="af"/>
        </w:rPr>
        <w:footnoteRef/>
      </w:r>
      <w:r>
        <w:rPr>
          <w:rtl/>
        </w:rPr>
        <w:t xml:space="preserve"> </w:t>
      </w:r>
      <w:r>
        <w:rPr>
          <w:rtl/>
        </w:rPr>
        <w:tab/>
      </w:r>
      <w:r>
        <w:rPr>
          <w:rFonts w:hint="cs"/>
          <w:rtl/>
        </w:rPr>
        <w:t xml:space="preserve">באופן דומה עשה צוות הבדיקה בנושא האזנות סתר הבחנה בעניין בחינת ההצדקה של האזנות סתר לבין בחינת היעילות שלהן. על אף ההבדלים בין האזנות סתר לבין נתוני תקשורת, בעניין זה יש דמיון. ראו: </w:t>
      </w:r>
      <w:r w:rsidRPr="00801942">
        <w:rPr>
          <w:rFonts w:hint="eastAsia"/>
          <w:b/>
          <w:bCs/>
          <w:rtl/>
        </w:rPr>
        <w:t>דוח</w:t>
      </w:r>
      <w:r w:rsidRPr="00801942">
        <w:rPr>
          <w:b/>
          <w:bCs/>
          <w:rtl/>
        </w:rPr>
        <w:t xml:space="preserve"> לבנת משיח</w:t>
      </w:r>
      <w:r>
        <w:rPr>
          <w:rFonts w:hint="cs"/>
          <w:b/>
          <w:bCs/>
          <w:rtl/>
        </w:rPr>
        <w:t xml:space="preserve"> </w:t>
      </w:r>
      <w:r w:rsidRPr="00C60050">
        <w:rPr>
          <w:rtl/>
        </w:rPr>
        <w:t>(</w:t>
      </w:r>
      <w:r w:rsidRPr="00C60050">
        <w:rPr>
          <w:rFonts w:hint="eastAsia"/>
          <w:rtl/>
        </w:rPr>
        <w:t>אפריל</w:t>
      </w:r>
      <w:r w:rsidRPr="00C60050">
        <w:rPr>
          <w:rtl/>
        </w:rPr>
        <w:t xml:space="preserve"> 2005)</w:t>
      </w:r>
      <w:r w:rsidRPr="00C55C86">
        <w:rPr>
          <w:rFonts w:hint="cs"/>
          <w:rtl/>
        </w:rPr>
        <w:t>.</w:t>
      </w:r>
    </w:p>
  </w:footnote>
  <w:footnote w:id="285">
    <w:p w:rsidR="00172C0A" w:rsidRDefault="00172C0A" w:rsidP="00493EA2">
      <w:pPr>
        <w:pStyle w:val="ad"/>
        <w:ind w:left="282" w:hanging="567"/>
      </w:pPr>
      <w:r>
        <w:rPr>
          <w:rStyle w:val="af"/>
        </w:rPr>
        <w:footnoteRef/>
      </w:r>
      <w:r>
        <w:rPr>
          <w:rtl/>
        </w:rPr>
        <w:t xml:space="preserve"> </w:t>
      </w:r>
      <w:r>
        <w:rPr>
          <w:rtl/>
        </w:rPr>
        <w:tab/>
      </w:r>
      <w:r>
        <w:rPr>
          <w:rFonts w:hint="cs"/>
          <w:rtl/>
        </w:rPr>
        <w:t>יש כמה</w:t>
      </w:r>
      <w:r w:rsidRPr="00FB1A8C">
        <w:rPr>
          <w:rtl/>
        </w:rPr>
        <w:t xml:space="preserve"> טעמים לכך: לעיתים נתוני התקשורת מספקים ראשית ראיה או מספקים מידע מודיעיני המאפשרים המשך ביצוע חקירה; לעיתים נתוני התקשורת מאפשרים הפעלת אמצעי חקירה אחרים - כגון האזנות סתר או חיפוש - ואמצעים אלו הם שהובילו בסופו של דבר לפענוח הפרשייה; לעיתים נתוני התקשורת </w:t>
      </w:r>
      <w:r>
        <w:rPr>
          <w:rFonts w:hint="cs"/>
          <w:rtl/>
        </w:rPr>
        <w:t>אינם</w:t>
      </w:r>
      <w:r w:rsidRPr="00FB1A8C">
        <w:rPr>
          <w:rtl/>
        </w:rPr>
        <w:t xml:space="preserve"> מביאים לפענוח הפרשייה אך מאפשרים לאמת או לשלול אליבי של חשוד; ולעיתים גם אם הנימוק למתן ההיתר המ</w:t>
      </w:r>
      <w:r>
        <w:rPr>
          <w:rFonts w:hint="cs"/>
          <w:rtl/>
        </w:rPr>
        <w:t>י</w:t>
      </w:r>
      <w:r w:rsidRPr="00FB1A8C">
        <w:rPr>
          <w:rtl/>
        </w:rPr>
        <w:t xml:space="preserve">נהלי כיוון </w:t>
      </w:r>
      <w:r w:rsidRPr="003141BC">
        <w:rPr>
          <w:rtl/>
        </w:rPr>
        <w:t>למטרה</w:t>
      </w:r>
      <w:r w:rsidRPr="002F019A">
        <w:rPr>
          <w:rtl/>
        </w:rPr>
        <w:t xml:space="preserve"> </w:t>
      </w:r>
      <w:r w:rsidRPr="002F019A">
        <w:rPr>
          <w:rFonts w:hint="cs"/>
          <w:rtl/>
        </w:rPr>
        <w:t>מסוימת</w:t>
      </w:r>
      <w:r w:rsidRPr="00FB1A8C">
        <w:rPr>
          <w:rtl/>
        </w:rPr>
        <w:t xml:space="preserve"> בהתאם לחוק ייתכן שנתוני התקשורת ישיגו ראיות </w:t>
      </w:r>
      <w:r>
        <w:rPr>
          <w:rFonts w:hint="cs"/>
          <w:rtl/>
        </w:rPr>
        <w:t>ביחס</w:t>
      </w:r>
      <w:r w:rsidRPr="002F019A">
        <w:rPr>
          <w:rtl/>
        </w:rPr>
        <w:t xml:space="preserve"> </w:t>
      </w:r>
      <w:r>
        <w:rPr>
          <w:rFonts w:hint="cs"/>
          <w:rtl/>
        </w:rPr>
        <w:t>למטרה אחרת</w:t>
      </w:r>
      <w:r w:rsidRPr="00FB1A8C">
        <w:rPr>
          <w:rtl/>
        </w:rPr>
        <w:t>.</w:t>
      </w:r>
    </w:p>
  </w:footnote>
  <w:footnote w:id="286">
    <w:p w:rsidR="00172C0A" w:rsidRDefault="00172C0A" w:rsidP="00493EA2">
      <w:pPr>
        <w:pStyle w:val="ad"/>
        <w:ind w:left="282" w:hanging="567"/>
        <w:rPr>
          <w:rtl/>
        </w:rPr>
      </w:pPr>
      <w:r>
        <w:rPr>
          <w:rStyle w:val="af"/>
        </w:rPr>
        <w:footnoteRef/>
      </w:r>
      <w:r>
        <w:rPr>
          <w:rtl/>
        </w:rPr>
        <w:t xml:space="preserve"> </w:t>
      </w:r>
      <w:r>
        <w:rPr>
          <w:rtl/>
        </w:rPr>
        <w:tab/>
      </w:r>
      <w:r>
        <w:rPr>
          <w:rFonts w:hint="cs"/>
          <w:rtl/>
        </w:rPr>
        <w:t>חטיבת הסייבר מגדירה פענוח סיגינטי כתהליך שבו נתוני התקשורת שהתקבלו הובילו לפענוח האירוע ולסיומו, למשל כתהליך שבו נתוני התקשורת הובילו את השוטרים למציאת נעדר</w:t>
      </w:r>
      <w:r>
        <w:rPr>
          <w:rFonts w:hint="cs"/>
        </w:rPr>
        <w:t xml:space="preserve"> </w:t>
      </w:r>
      <w:r>
        <w:rPr>
          <w:rFonts w:hint="cs"/>
          <w:rtl/>
        </w:rPr>
        <w:t xml:space="preserve">ולהצלת חייו, או כתהליך שבו נתוני התקשורת הובילו את השוטרים </w:t>
      </w:r>
      <w:r w:rsidRPr="00826313">
        <w:rPr>
          <w:rFonts w:hint="cs"/>
          <w:rtl/>
        </w:rPr>
        <w:t>ל</w:t>
      </w:r>
      <w:r>
        <w:rPr>
          <w:rFonts w:hint="cs"/>
          <w:rtl/>
        </w:rPr>
        <w:t>חשוד ובכך אפשרו למנוע עבירה מסוג פשע או לגלות את מבצעה.</w:t>
      </w:r>
    </w:p>
  </w:footnote>
  <w:footnote w:id="287">
    <w:p w:rsidR="00172C0A" w:rsidRPr="00A601E5" w:rsidRDefault="00172C0A" w:rsidP="00493EA2">
      <w:pPr>
        <w:pStyle w:val="ad"/>
        <w:ind w:left="282" w:hanging="567"/>
        <w:rPr>
          <w:rStyle w:val="af"/>
          <w:szCs w:val="24"/>
          <w:rtl/>
        </w:rPr>
      </w:pPr>
      <w:r>
        <w:rPr>
          <w:rStyle w:val="af"/>
        </w:rPr>
        <w:footnoteRef/>
      </w:r>
      <w:r>
        <w:rPr>
          <w:rFonts w:hint="cs"/>
          <w:rtl/>
        </w:rPr>
        <w:t xml:space="preserve"> </w:t>
      </w:r>
      <w:r>
        <w:rPr>
          <w:rtl/>
        </w:rPr>
        <w:tab/>
      </w:r>
      <w:r>
        <w:rPr>
          <w:rFonts w:hint="cs"/>
          <w:rtl/>
        </w:rPr>
        <w:t xml:space="preserve">חטיבת הסייבר מגדירה </w:t>
      </w:r>
      <w:r w:rsidRPr="00826313">
        <w:rPr>
          <w:rFonts w:hint="cs"/>
          <w:rtl/>
        </w:rPr>
        <w:t xml:space="preserve">פענוח על ידי היחידה כאירוע שבו היחידה שביקשה את קבלת נתוני התקשורת </w:t>
      </w:r>
      <w:r>
        <w:rPr>
          <w:rFonts w:hint="cs"/>
          <w:rtl/>
        </w:rPr>
        <w:t>הצליחה לפענח את</w:t>
      </w:r>
      <w:r w:rsidRPr="00826313">
        <w:rPr>
          <w:rFonts w:hint="cs"/>
          <w:rtl/>
        </w:rPr>
        <w:t xml:space="preserve"> המקרה </w:t>
      </w:r>
      <w:r>
        <w:rPr>
          <w:rFonts w:hint="cs"/>
          <w:rtl/>
        </w:rPr>
        <w:t>ב</w:t>
      </w:r>
      <w:r w:rsidRPr="00826313">
        <w:rPr>
          <w:rFonts w:hint="cs"/>
          <w:rtl/>
        </w:rPr>
        <w:t>תקופת</w:t>
      </w:r>
      <w:r>
        <w:rPr>
          <w:rFonts w:hint="cs"/>
          <w:rtl/>
        </w:rPr>
        <w:t xml:space="preserve"> תחולתו של</w:t>
      </w:r>
      <w:r w:rsidRPr="00826313">
        <w:rPr>
          <w:rFonts w:hint="cs"/>
          <w:rtl/>
        </w:rPr>
        <w:t xml:space="preserve"> ה</w:t>
      </w:r>
      <w:r>
        <w:rPr>
          <w:rFonts w:hint="cs"/>
          <w:rtl/>
        </w:rPr>
        <w:t>ה</w:t>
      </w:r>
      <w:r w:rsidRPr="00826313">
        <w:rPr>
          <w:rFonts w:hint="cs"/>
          <w:rtl/>
        </w:rPr>
        <w:t>יתר ה</w:t>
      </w:r>
      <w:r>
        <w:rPr>
          <w:rFonts w:hint="cs"/>
          <w:rtl/>
        </w:rPr>
        <w:t>מינהלי</w:t>
      </w:r>
      <w:r w:rsidRPr="00826313">
        <w:rPr>
          <w:rFonts w:hint="cs"/>
          <w:rtl/>
        </w:rPr>
        <w:t xml:space="preserve">, אך הפענוח </w:t>
      </w:r>
      <w:r>
        <w:rPr>
          <w:rFonts w:hint="cs"/>
          <w:rtl/>
        </w:rPr>
        <w:t>בוצע</w:t>
      </w:r>
      <w:r w:rsidRPr="00826313">
        <w:rPr>
          <w:rFonts w:hint="cs"/>
          <w:rtl/>
        </w:rPr>
        <w:t xml:space="preserve"> ללא תלות בנתוני התקשורת</w:t>
      </w:r>
      <w:r>
        <w:rPr>
          <w:rFonts w:hint="cs"/>
          <w:rtl/>
        </w:rPr>
        <w:t>.</w:t>
      </w:r>
    </w:p>
  </w:footnote>
  <w:footnote w:id="288">
    <w:p w:rsidR="00172C0A" w:rsidRDefault="00172C0A" w:rsidP="00493EA2">
      <w:pPr>
        <w:pStyle w:val="ad"/>
        <w:ind w:left="282" w:hanging="567"/>
        <w:rPr>
          <w:rtl/>
        </w:rPr>
      </w:pPr>
      <w:r>
        <w:rPr>
          <w:rStyle w:val="af"/>
        </w:rPr>
        <w:footnoteRef/>
      </w:r>
      <w:r>
        <w:rPr>
          <w:rFonts w:hint="cs"/>
          <w:rtl/>
        </w:rPr>
        <w:t xml:space="preserve"> </w:t>
      </w:r>
      <w:r>
        <w:rPr>
          <w:rtl/>
        </w:rPr>
        <w:tab/>
      </w:r>
      <w:r>
        <w:rPr>
          <w:rFonts w:hint="cs"/>
          <w:rtl/>
        </w:rPr>
        <w:t>סעיף 4(ה) לחוק נתוני תקשורת קובע כי ראש אח"ם יגיש דוח ליועמ"ש לממשלה בכל רבעון על השימוש שעשתה המשטרה בהיתרים מינהליים לקבלת נתוני תקשורת. החוק אינו מפרט אילו פרטים נדרשים להיכלל בדוח הרבעוני; תקנה 4 לתקנות מאגרי נתוני תקשורת קובעת כי מנהל המאגר יבצע פעולות פיקוח ובקרה מזמן לזמן ולפחות אחת לשלושה חודשים. תקנה 5 קובעת הנחיות לעניין כלי בקרה מקוונים למערכות המחשב שבהן יוחזקו המאגרים.</w:t>
      </w:r>
    </w:p>
  </w:footnote>
  <w:footnote w:id="289">
    <w:p w:rsidR="00172C0A" w:rsidRDefault="00172C0A" w:rsidP="00493EA2">
      <w:pPr>
        <w:pStyle w:val="ad"/>
        <w:ind w:left="282" w:hanging="567"/>
        <w:rPr>
          <w:rtl/>
        </w:rPr>
      </w:pPr>
      <w:r>
        <w:rPr>
          <w:rStyle w:val="af"/>
        </w:rPr>
        <w:footnoteRef/>
      </w:r>
      <w:r>
        <w:rPr>
          <w:rtl/>
        </w:rPr>
        <w:t xml:space="preserve"> </w:t>
      </w:r>
      <w:r>
        <w:rPr>
          <w:rtl/>
        </w:rPr>
        <w:tab/>
      </w:r>
      <w:r>
        <w:rPr>
          <w:rFonts w:hint="cs"/>
          <w:rtl/>
        </w:rPr>
        <w:t xml:space="preserve">סעיף 6(ו) לחוק האזנת סתר קובע כי </w:t>
      </w:r>
      <w:r w:rsidRPr="004D030A">
        <w:rPr>
          <w:rFonts w:hint="cs"/>
          <w:rtl/>
        </w:rPr>
        <w:t>המפכ"ל יגיש דוח חודשי ליועמ"ש לממשלה על האזנות סתר שעשתה המשטרה לפי היתר מבית המשפט</w:t>
      </w:r>
      <w:r>
        <w:rPr>
          <w:rFonts w:hint="cs"/>
          <w:rtl/>
        </w:rPr>
        <w:t xml:space="preserve">; </w:t>
      </w:r>
      <w:r w:rsidRPr="004D030A">
        <w:rPr>
          <w:rFonts w:hint="cs"/>
          <w:rtl/>
        </w:rPr>
        <w:t>סעיף 6(ז) ל</w:t>
      </w:r>
      <w:r>
        <w:rPr>
          <w:rFonts w:hint="cs"/>
          <w:rtl/>
        </w:rPr>
        <w:t>חוק האזנת סתר קובע כי השר הממונה על המשטרה יגיש דוח שנתי לכנסת בנוגע להאזנות הסתר שביצעה המשטרה.</w:t>
      </w:r>
    </w:p>
  </w:footnote>
  <w:footnote w:id="290">
    <w:p w:rsidR="00172C0A" w:rsidRDefault="00172C0A" w:rsidP="00493EA2">
      <w:pPr>
        <w:pStyle w:val="ad"/>
        <w:ind w:left="282" w:hanging="567"/>
        <w:rPr>
          <w:rtl/>
        </w:rPr>
      </w:pPr>
      <w:r>
        <w:rPr>
          <w:rStyle w:val="af"/>
        </w:rPr>
        <w:footnoteRef/>
      </w:r>
      <w:r>
        <w:rPr>
          <w:rtl/>
        </w:rPr>
        <w:t xml:space="preserve"> </w:t>
      </w:r>
      <w:r>
        <w:rPr>
          <w:rtl/>
        </w:rPr>
        <w:tab/>
      </w:r>
      <w:r>
        <w:rPr>
          <w:rFonts w:hint="cs"/>
          <w:rtl/>
        </w:rPr>
        <w:t xml:space="preserve">מדור הביקורת במשטרה מבצע בקרות תהליכיות וכן בקרות פתע ביחידות המשטרה השונות. בבקרות אלו מצטרפים נציגי האגפים המקצועיים במשטרה לאנשי מדור הביקורת לשם עריכת ביקורת מקצועית רוחבית ביחידה המבוקרת. בשנים 2017 - 2021 ביצע מדור הביקורת ארבע ביקורות תהליכיות (במחוזות ש"י ודרום וביחידת לה"ב 433) וארבע ביקורות פתע (בתחנות כפר קאסם, בני ברק, נתניה וחדרה). בביקורות אלו נעשתה בקרה גם </w:t>
      </w:r>
      <w:r w:rsidRPr="0026700A">
        <w:rPr>
          <w:rFonts w:hint="cs"/>
          <w:rtl/>
        </w:rPr>
        <w:t xml:space="preserve">על </w:t>
      </w:r>
      <w:r w:rsidRPr="0026700A">
        <w:rPr>
          <w:rFonts w:hint="eastAsia"/>
          <w:rtl/>
        </w:rPr>
        <w:t>תחומי</w:t>
      </w:r>
      <w:r w:rsidRPr="0026700A">
        <w:rPr>
          <w:rtl/>
        </w:rPr>
        <w:t xml:space="preserve"> </w:t>
      </w:r>
      <w:r w:rsidRPr="0026700A">
        <w:rPr>
          <w:rFonts w:hint="eastAsia"/>
          <w:rtl/>
        </w:rPr>
        <w:t>נתוני</w:t>
      </w:r>
      <w:r w:rsidRPr="0026700A">
        <w:rPr>
          <w:rtl/>
        </w:rPr>
        <w:t xml:space="preserve"> </w:t>
      </w:r>
      <w:r w:rsidRPr="0026700A">
        <w:rPr>
          <w:rFonts w:hint="eastAsia"/>
          <w:rtl/>
        </w:rPr>
        <w:t>תקשורת</w:t>
      </w:r>
      <w:r w:rsidRPr="0026700A">
        <w:rPr>
          <w:rtl/>
        </w:rPr>
        <w:t xml:space="preserve"> </w:t>
      </w:r>
      <w:r w:rsidRPr="0026700A">
        <w:rPr>
          <w:rFonts w:hint="eastAsia"/>
          <w:rtl/>
        </w:rPr>
        <w:t>והאזנות</w:t>
      </w:r>
      <w:r w:rsidRPr="0026700A">
        <w:rPr>
          <w:rtl/>
        </w:rPr>
        <w:t xml:space="preserve"> </w:t>
      </w:r>
      <w:r w:rsidRPr="0026700A">
        <w:rPr>
          <w:rFonts w:hint="eastAsia"/>
          <w:rtl/>
        </w:rPr>
        <w:t>סתר</w:t>
      </w:r>
      <w:r>
        <w:rPr>
          <w:rFonts w:hint="cs"/>
          <w:rtl/>
        </w:rPr>
        <w:t>. עם זאת, אין מדובר בבקרה נושאית המבוצעת על ידי גורם מקצועי או פיקודי, ולפיכך ההיקף והעומק של הבקרות שנעשו בתחומים אלו היו מצומצמים ביותר.</w:t>
      </w:r>
    </w:p>
  </w:footnote>
  <w:footnote w:id="291">
    <w:p w:rsidR="00172C0A" w:rsidRPr="001E74FD" w:rsidRDefault="00172C0A" w:rsidP="00493EA2">
      <w:pPr>
        <w:pStyle w:val="ad"/>
        <w:ind w:left="282" w:hanging="567"/>
        <w:rPr>
          <w:rStyle w:val="af"/>
          <w:rFonts w:ascii="David" w:hAnsi="David"/>
          <w:szCs w:val="24"/>
          <w:rtl/>
        </w:rPr>
      </w:pPr>
      <w:r w:rsidRPr="001E74FD">
        <w:rPr>
          <w:sz w:val="14"/>
          <w:szCs w:val="14"/>
        </w:rPr>
        <w:footnoteRef/>
      </w:r>
      <w:r w:rsidRPr="001E74FD">
        <w:rPr>
          <w:rtl/>
        </w:rPr>
        <w:t xml:space="preserve"> </w:t>
      </w:r>
      <w:r w:rsidRPr="001E74FD">
        <w:rPr>
          <w:rtl/>
        </w:rPr>
        <w:tab/>
      </w:r>
      <w:r w:rsidRPr="001E74FD">
        <w:rPr>
          <w:rFonts w:hint="cs"/>
          <w:rtl/>
        </w:rPr>
        <w:t>הגדרת יעילות ואפקטיביות וההבחנה ביניהן הובאו על ידי רח"ט סייבר בדיון מיום 8.12.19</w:t>
      </w:r>
      <w:r>
        <w:rPr>
          <w:rFonts w:hint="cs"/>
          <w:rtl/>
        </w:rPr>
        <w:t>:</w:t>
      </w:r>
      <w:r w:rsidRPr="001E74FD">
        <w:rPr>
          <w:rFonts w:hint="cs"/>
          <w:rtl/>
        </w:rPr>
        <w:t xml:space="preserve"> </w:t>
      </w:r>
      <w:r w:rsidRPr="001E74FD">
        <w:rPr>
          <w:rFonts w:hint="cs"/>
          <w:b/>
          <w:bCs/>
          <w:rtl/>
        </w:rPr>
        <w:t>יעילות</w:t>
      </w:r>
      <w:r w:rsidRPr="001E74FD">
        <w:rPr>
          <w:rFonts w:hint="cs"/>
          <w:rtl/>
        </w:rPr>
        <w:t xml:space="preserve"> מתמקדת בתהליך העבודה</w:t>
      </w:r>
      <w:r>
        <w:rPr>
          <w:rFonts w:hint="cs"/>
          <w:rtl/>
        </w:rPr>
        <w:t>;</w:t>
      </w:r>
      <w:r w:rsidRPr="001E74FD">
        <w:rPr>
          <w:rFonts w:hint="cs"/>
          <w:rtl/>
        </w:rPr>
        <w:t xml:space="preserve"> השגת התוצאות הטובות ביותר תוך ניצול מרבי של האמצעים</w:t>
      </w:r>
      <w:r>
        <w:rPr>
          <w:rFonts w:hint="cs"/>
          <w:rtl/>
        </w:rPr>
        <w:t>;</w:t>
      </w:r>
      <w:r w:rsidRPr="001E74FD">
        <w:rPr>
          <w:rFonts w:hint="cs"/>
          <w:rtl/>
        </w:rPr>
        <w:t xml:space="preserve"> תכונה הכוללת מהירות ואיכות. </w:t>
      </w:r>
      <w:r w:rsidRPr="001E74FD">
        <w:rPr>
          <w:rFonts w:hint="cs"/>
          <w:b/>
          <w:bCs/>
          <w:rtl/>
        </w:rPr>
        <w:t>אפקטיביות</w:t>
      </w:r>
      <w:r w:rsidRPr="001E74FD">
        <w:rPr>
          <w:rFonts w:hint="cs"/>
          <w:rtl/>
        </w:rPr>
        <w:t xml:space="preserve"> מתמקדת בתוצר שהתקבל בסיום תהליך העבודה ובוחנת אם התוצאה שהתקבלה משיגה את המטרה הרצויה.</w:t>
      </w:r>
    </w:p>
  </w:footnote>
  <w:footnote w:id="292">
    <w:p w:rsidR="00172C0A" w:rsidRDefault="00172C0A" w:rsidP="00493EA2">
      <w:pPr>
        <w:pStyle w:val="ad"/>
        <w:ind w:left="282" w:hanging="567"/>
      </w:pPr>
      <w:r>
        <w:rPr>
          <w:rStyle w:val="af"/>
        </w:rPr>
        <w:footnoteRef/>
      </w:r>
      <w:r>
        <w:rPr>
          <w:rtl/>
        </w:rPr>
        <w:t xml:space="preserve"> </w:t>
      </w:r>
      <w:r>
        <w:rPr>
          <w:rtl/>
        </w:rPr>
        <w:tab/>
      </w:r>
      <w:r w:rsidRPr="00D14DC7">
        <w:rPr>
          <w:rFonts w:hint="eastAsia"/>
          <w:b/>
          <w:bCs/>
          <w:rtl/>
        </w:rPr>
        <w:t>מטה</w:t>
      </w:r>
      <w:r w:rsidRPr="00D14DC7">
        <w:rPr>
          <w:b/>
          <w:bCs/>
          <w:rtl/>
        </w:rPr>
        <w:t xml:space="preserve"> </w:t>
      </w:r>
      <w:r w:rsidRPr="00D14DC7">
        <w:rPr>
          <w:rFonts w:hint="eastAsia"/>
          <w:b/>
          <w:bCs/>
          <w:rtl/>
        </w:rPr>
        <w:t>החטיבה</w:t>
      </w:r>
      <w:r>
        <w:rPr>
          <w:rFonts w:hint="cs"/>
          <w:rtl/>
        </w:rPr>
        <w:t xml:space="preserve"> - מטה חטיבת הסייבר כולל גורמים מנחים </w:t>
      </w:r>
      <w:r w:rsidRPr="00DE3472">
        <w:rPr>
          <w:rFonts w:hint="cs"/>
          <w:rtl/>
        </w:rPr>
        <w:t xml:space="preserve">מקצועית </w:t>
      </w:r>
      <w:r w:rsidRPr="00DE3472">
        <w:rPr>
          <w:rFonts w:hint="eastAsia"/>
          <w:rtl/>
        </w:rPr>
        <w:t>בתחום</w:t>
      </w:r>
      <w:r w:rsidRPr="00DE3472">
        <w:rPr>
          <w:rtl/>
        </w:rPr>
        <w:t xml:space="preserve"> האזנות הסתר ונתוני התקשורת</w:t>
      </w:r>
      <w:r w:rsidRPr="00DE3472">
        <w:rPr>
          <w:rFonts w:hint="cs"/>
          <w:rtl/>
        </w:rPr>
        <w:t xml:space="preserve"> וכן</w:t>
      </w:r>
      <w:r w:rsidRPr="00DE3472">
        <w:rPr>
          <w:rtl/>
        </w:rPr>
        <w:t xml:space="preserve"> </w:t>
      </w:r>
      <w:r w:rsidRPr="00DE3472">
        <w:rPr>
          <w:rFonts w:hint="eastAsia"/>
          <w:rtl/>
        </w:rPr>
        <w:t>יחידות</w:t>
      </w:r>
      <w:r w:rsidRPr="00DE3472">
        <w:rPr>
          <w:rtl/>
        </w:rPr>
        <w:t xml:space="preserve"> </w:t>
      </w:r>
      <w:r w:rsidRPr="00DE3472">
        <w:rPr>
          <w:rFonts w:hint="eastAsia"/>
          <w:rtl/>
        </w:rPr>
        <w:t>מבצעיות</w:t>
      </w:r>
      <w:r w:rsidRPr="00DE3472">
        <w:rPr>
          <w:rtl/>
        </w:rPr>
        <w:t xml:space="preserve"> </w:t>
      </w:r>
      <w:r>
        <w:rPr>
          <w:rFonts w:hint="cs"/>
          <w:rtl/>
        </w:rPr>
        <w:t>ש</w:t>
      </w:r>
      <w:r w:rsidRPr="00DE3472">
        <w:rPr>
          <w:rFonts w:hint="eastAsia"/>
          <w:rtl/>
        </w:rPr>
        <w:t>פעילות</w:t>
      </w:r>
      <w:r w:rsidRPr="00DE3472">
        <w:rPr>
          <w:rtl/>
        </w:rPr>
        <w:t xml:space="preserve"> </w:t>
      </w:r>
      <w:r>
        <w:rPr>
          <w:rFonts w:hint="cs"/>
          <w:rtl/>
        </w:rPr>
        <w:t>בתחומים אלה.</w:t>
      </w:r>
    </w:p>
  </w:footnote>
  <w:footnote w:id="293">
    <w:p w:rsidR="00172C0A" w:rsidRDefault="00172C0A" w:rsidP="00493EA2">
      <w:pPr>
        <w:pStyle w:val="ad"/>
        <w:ind w:left="282" w:hanging="567"/>
      </w:pPr>
      <w:r>
        <w:rPr>
          <w:rStyle w:val="af"/>
        </w:rPr>
        <w:footnoteRef/>
      </w:r>
      <w:r>
        <w:rPr>
          <w:rtl/>
        </w:rPr>
        <w:t xml:space="preserve"> </w:t>
      </w:r>
      <w:r>
        <w:rPr>
          <w:rtl/>
        </w:rPr>
        <w:tab/>
      </w:r>
      <w:r>
        <w:rPr>
          <w:rFonts w:hint="cs"/>
          <w:rtl/>
        </w:rPr>
        <w:t xml:space="preserve">בהתאם להנחיית העבודה - </w:t>
      </w:r>
      <w:r w:rsidRPr="006401E7">
        <w:rPr>
          <w:rFonts w:hint="cs"/>
          <w:rtl/>
        </w:rPr>
        <w:t>מדור הכוונה מקצועית יערוך בקרות מקצועיות בכלל מחלקי הסיגינט סייבר; מדור הפקה יערוך ביקורות בתחום עבודת המחת"ק; מדור שליטה מבצעית יערוך בקרות על משל"ט החטיבה ועל יחידת המוקד הטכנו-סיגינטי בחטיבה; וכן ייערכו ב</w:t>
      </w:r>
      <w:r w:rsidRPr="006401E7">
        <w:rPr>
          <w:rFonts w:hint="eastAsia"/>
          <w:rtl/>
        </w:rPr>
        <w:t>קרות</w:t>
      </w:r>
      <w:r w:rsidRPr="006401E7">
        <w:rPr>
          <w:rtl/>
        </w:rPr>
        <w:t xml:space="preserve"> בנושא </w:t>
      </w:r>
      <w:r w:rsidRPr="006401E7">
        <w:rPr>
          <w:rFonts w:hint="eastAsia"/>
          <w:rtl/>
        </w:rPr>
        <w:t>אבטחת</w:t>
      </w:r>
      <w:r w:rsidRPr="006401E7">
        <w:rPr>
          <w:rtl/>
        </w:rPr>
        <w:t xml:space="preserve"> </w:t>
      </w:r>
      <w:r w:rsidRPr="006401E7">
        <w:rPr>
          <w:rFonts w:hint="eastAsia"/>
          <w:rtl/>
        </w:rPr>
        <w:t>מידע</w:t>
      </w:r>
      <w:r w:rsidRPr="006401E7">
        <w:rPr>
          <w:rFonts w:hint="cs"/>
          <w:rtl/>
        </w:rPr>
        <w:t xml:space="preserve"> במטה החטיבה ובמערך הפרוס. נוסף</w:t>
      </w:r>
      <w:r>
        <w:rPr>
          <w:rFonts w:hint="cs"/>
          <w:rtl/>
        </w:rPr>
        <w:t xml:space="preserve"> על כך</w:t>
      </w:r>
      <w:r w:rsidRPr="006401E7">
        <w:rPr>
          <w:rFonts w:hint="cs"/>
          <w:rtl/>
        </w:rPr>
        <w:t>, ההנחיה קובעת כי גורמים מקצועיים ופיקודיים של יחידות השטח והמערך הפרוס בתחומי הסיגינט-סייבר יערכו גם הם בקרות ביחידות שלהם</w:t>
      </w:r>
      <w:r>
        <w:rPr>
          <w:rFonts w:hint="cs"/>
          <w:rtl/>
        </w:rPr>
        <w:t>.</w:t>
      </w:r>
    </w:p>
  </w:footnote>
  <w:footnote w:id="294">
    <w:p w:rsidR="00172C0A" w:rsidRDefault="00172C0A" w:rsidP="00493EA2">
      <w:pPr>
        <w:pStyle w:val="ad"/>
        <w:ind w:left="282" w:hanging="567"/>
        <w:rPr>
          <w:rtl/>
        </w:rPr>
      </w:pPr>
      <w:r>
        <w:rPr>
          <w:rStyle w:val="af"/>
        </w:rPr>
        <w:footnoteRef/>
      </w:r>
      <w:r>
        <w:rPr>
          <w:rtl/>
        </w:rPr>
        <w:tab/>
      </w:r>
      <w:r>
        <w:rPr>
          <w:rFonts w:hint="cs"/>
          <w:rtl/>
        </w:rPr>
        <w:t>נתוני תקשורת ומחקרי תקשורת, האזנות סתר, יחידות השטח הפרוסות, תקשורת בין מחשבים.</w:t>
      </w:r>
    </w:p>
  </w:footnote>
  <w:footnote w:id="295">
    <w:p w:rsidR="00172C0A" w:rsidRDefault="00172C0A" w:rsidP="00493EA2">
      <w:pPr>
        <w:pStyle w:val="ad"/>
        <w:ind w:left="282" w:hanging="567"/>
        <w:rPr>
          <w:rtl/>
        </w:rPr>
      </w:pPr>
      <w:r>
        <w:rPr>
          <w:rStyle w:val="af"/>
        </w:rPr>
        <w:footnoteRef/>
      </w:r>
      <w:r>
        <w:rPr>
          <w:rtl/>
        </w:rPr>
        <w:t xml:space="preserve"> </w:t>
      </w:r>
      <w:r>
        <w:rPr>
          <w:rtl/>
        </w:rPr>
        <w:tab/>
      </w:r>
      <w:r>
        <w:rPr>
          <w:rFonts w:hint="cs"/>
          <w:rtl/>
        </w:rPr>
        <w:t>נבחנה התאמה בין צו בית המשפט שניתן לבין הפרטים בטופס ייעודי, וקיום אישורים נדרשים בצו בית המשפט.</w:t>
      </w:r>
    </w:p>
  </w:footnote>
  <w:footnote w:id="296">
    <w:p w:rsidR="00172C0A" w:rsidRDefault="00172C0A" w:rsidP="00493EA2">
      <w:pPr>
        <w:pStyle w:val="ad"/>
        <w:ind w:left="282" w:hanging="567"/>
        <w:rPr>
          <w:rtl/>
        </w:rPr>
      </w:pPr>
      <w:r>
        <w:rPr>
          <w:rStyle w:val="af"/>
        </w:rPr>
        <w:footnoteRef/>
      </w:r>
      <w:r>
        <w:rPr>
          <w:rtl/>
        </w:rPr>
        <w:t xml:space="preserve"> </w:t>
      </w:r>
      <w:r>
        <w:rPr>
          <w:rtl/>
        </w:rPr>
        <w:tab/>
      </w:r>
      <w:r w:rsidRPr="00217C80">
        <w:rPr>
          <w:rFonts w:hint="eastAsia"/>
          <w:b/>
          <w:bCs/>
          <w:rtl/>
        </w:rPr>
        <w:t>ימ</w:t>
      </w:r>
      <w:r w:rsidRPr="00217C80">
        <w:rPr>
          <w:b/>
          <w:bCs/>
          <w:rtl/>
        </w:rPr>
        <w:t>"ר</w:t>
      </w:r>
      <w:r>
        <w:rPr>
          <w:rFonts w:hint="cs"/>
          <w:rtl/>
        </w:rPr>
        <w:t xml:space="preserve"> - היחידה המרכזית בכל מחוז משטרתי לטיפול בפשיעה חמורה. </w:t>
      </w:r>
    </w:p>
  </w:footnote>
  <w:footnote w:id="297">
    <w:p w:rsidR="00172C0A" w:rsidRDefault="00172C0A" w:rsidP="00493EA2">
      <w:pPr>
        <w:pStyle w:val="ad"/>
        <w:ind w:left="282" w:hanging="567"/>
      </w:pPr>
      <w:r>
        <w:rPr>
          <w:rStyle w:val="af"/>
        </w:rPr>
        <w:footnoteRef/>
      </w:r>
      <w:r>
        <w:rPr>
          <w:rtl/>
        </w:rPr>
        <w:t xml:space="preserve"> </w:t>
      </w:r>
      <w:r>
        <w:rPr>
          <w:rtl/>
        </w:rPr>
        <w:tab/>
      </w:r>
      <w:r w:rsidRPr="00217C80">
        <w:rPr>
          <w:rFonts w:hint="eastAsia"/>
          <w:b/>
          <w:bCs/>
          <w:rtl/>
        </w:rPr>
        <w:t>להב</w:t>
      </w:r>
      <w:r w:rsidRPr="00217C80">
        <w:rPr>
          <w:b/>
          <w:bCs/>
          <w:rtl/>
        </w:rPr>
        <w:t xml:space="preserve"> 433 </w:t>
      </w:r>
      <w:r>
        <w:rPr>
          <w:rFonts w:hint="cs"/>
          <w:rtl/>
        </w:rPr>
        <w:t>- היחידה הארצית לטיפול בפשיעה חמורה.</w:t>
      </w:r>
    </w:p>
  </w:footnote>
  <w:footnote w:id="298">
    <w:p w:rsidR="00172C0A" w:rsidRDefault="00172C0A" w:rsidP="00493EA2">
      <w:pPr>
        <w:pStyle w:val="ad"/>
        <w:ind w:left="282" w:hanging="567"/>
      </w:pPr>
      <w:r>
        <w:rPr>
          <w:rStyle w:val="af"/>
        </w:rPr>
        <w:footnoteRef/>
      </w:r>
      <w:r>
        <w:rPr>
          <w:rtl/>
        </w:rPr>
        <w:t xml:space="preserve"> </w:t>
      </w:r>
      <w:r>
        <w:rPr>
          <w:rtl/>
        </w:rPr>
        <w:tab/>
      </w:r>
      <w:r>
        <w:rPr>
          <w:rFonts w:hint="cs"/>
          <w:rtl/>
        </w:rPr>
        <w:t>יחידות מבצעיות בתחומי השימוש בנתוני תקשורת וביצוע האזנות סתר הפרוסות במחוזות ובמרחבים ונותנות מענה מקצועי בתחומים אלו לפעילות החקירות והמודיעין של יחידות המשטרה במרחב ובמחוז.</w:t>
      </w:r>
    </w:p>
  </w:footnote>
  <w:footnote w:id="299">
    <w:p w:rsidR="00172C0A" w:rsidRDefault="00172C0A" w:rsidP="00493EA2">
      <w:pPr>
        <w:pStyle w:val="ad"/>
        <w:ind w:left="282" w:hanging="567"/>
        <w:rPr>
          <w:rtl/>
        </w:rPr>
      </w:pPr>
      <w:r>
        <w:rPr>
          <w:rStyle w:val="af"/>
        </w:rPr>
        <w:footnoteRef/>
      </w:r>
      <w:r>
        <w:rPr>
          <w:rtl/>
        </w:rPr>
        <w:t xml:space="preserve"> </w:t>
      </w:r>
      <w:r>
        <w:rPr>
          <w:rtl/>
        </w:rPr>
        <w:tab/>
      </w:r>
      <w:r>
        <w:rPr>
          <w:rFonts w:hint="cs"/>
          <w:rtl/>
        </w:rPr>
        <w:t xml:space="preserve">הבקרה שנעשתה בשנת 2020 בחנה את תחום האזנות הסתר באחת מיחידות השטח, והיא העלתה ליקויים חוזרים בכל הצווים שנבדקו. ואלה הנושאים שנבדקו: </w:t>
      </w:r>
      <w:bookmarkStart w:id="638" w:name="_Hlk156726355"/>
      <w:r>
        <w:rPr>
          <w:rFonts w:hint="cs"/>
          <w:rtl/>
        </w:rPr>
        <w:t xml:space="preserve">אופן כתיבת הנימוקים בבקשות לצו בית משפט; פירוט ששת השיקולים הנדרשים להיבחן; רישום </w:t>
      </w:r>
      <w:r w:rsidRPr="00582B6B">
        <w:rPr>
          <w:rFonts w:hint="eastAsia"/>
          <w:rtl/>
        </w:rPr>
        <w:t>מספר</w:t>
      </w:r>
      <w:r w:rsidRPr="00582B6B">
        <w:rPr>
          <w:rFonts w:hint="cs"/>
          <w:rtl/>
        </w:rPr>
        <w:t xml:space="preserve"> תיק</w:t>
      </w:r>
      <w:r>
        <w:rPr>
          <w:rFonts w:hint="cs"/>
          <w:rtl/>
        </w:rPr>
        <w:t xml:space="preserve"> בית משפט וחותמת שופט על צו האזנת הסתר; סריקת הנספחים והאסמכתאות שהוצגו לשופט; דוח הכולל את הגורמים שלהם הועברו מידעים מתוך תיק האזנת הסתר; אופן הסיווג והמיון של השיחות שהוקלטו; ואופן זיהוי הדוברים. בכל הצווים שנבדקו נמצאו ליקויים בכל אחד מהנושאים שנבחנו בבקרה. הליקוי היחיד שתוקן הוא אופן זיהוי הדוברים.</w:t>
      </w:r>
      <w:bookmarkEnd w:id="638"/>
    </w:p>
  </w:footnote>
  <w:footnote w:id="300">
    <w:p w:rsidR="00172C0A" w:rsidRDefault="00172C0A" w:rsidP="00A55602">
      <w:pPr>
        <w:pStyle w:val="ad"/>
        <w:ind w:left="282" w:hanging="567"/>
      </w:pPr>
      <w:r>
        <w:rPr>
          <w:rStyle w:val="af"/>
        </w:rPr>
        <w:footnoteRef/>
      </w:r>
      <w:r>
        <w:rPr>
          <w:rtl/>
        </w:rPr>
        <w:t xml:space="preserve"> </w:t>
      </w:r>
      <w:r>
        <w:rPr>
          <w:rtl/>
        </w:rPr>
        <w:tab/>
      </w:r>
      <w:r>
        <w:rPr>
          <w:rFonts w:hint="cs"/>
          <w:rtl/>
        </w:rPr>
        <w:t xml:space="preserve">מימוש היתר מינהלי משמעו הטיפול בקבלת נתוני התקשורת ותחקור הנתונים המתקבלים לשם קבלת תובנה מודיעינית, חקירתית או מבצעית. המימוש מבוזר </w:t>
      </w:r>
      <w:r w:rsidRPr="00683A94">
        <w:rPr>
          <w:rFonts w:hint="cs"/>
          <w:rtl/>
        </w:rPr>
        <w:t>כאשר מדובר בעילות של מניעת פשע או גילוי מבצע פשע. מימוש היתרים במקרים של הצלת חיים נעשה באופן בלעדי במשל"ט.</w:t>
      </w:r>
    </w:p>
  </w:footnote>
  <w:footnote w:id="301">
    <w:p w:rsidR="00172C0A" w:rsidRDefault="00172C0A" w:rsidP="00A55602">
      <w:pPr>
        <w:pStyle w:val="ad"/>
        <w:ind w:left="282" w:hanging="567"/>
      </w:pPr>
      <w:r>
        <w:rPr>
          <w:rStyle w:val="af"/>
        </w:rPr>
        <w:footnoteRef/>
      </w:r>
      <w:r>
        <w:rPr>
          <w:rtl/>
        </w:rPr>
        <w:t xml:space="preserve"> </w:t>
      </w:r>
      <w:r>
        <w:rPr>
          <w:rtl/>
        </w:rPr>
        <w:tab/>
      </w:r>
      <w:r>
        <w:rPr>
          <w:rFonts w:hint="cs"/>
          <w:rtl/>
        </w:rPr>
        <w:t>כפי שהורחב בפרק בנושא שימוש המשטרה בנתוני תקשורת, היתר מינהלי הוא היתר לקבלת נתוני תקשורת הניתן על ידי קצין מוסמך כאשר אין שהות מספיקה לצורך פנייה לבית המשפט לקבלת צו שיפוטי לקבלת נתוני תקשורת. ההיתר יכול להינתן לצורך אחת העילות האלה: הצלת חיי אדם, מניעת ביצוע או גילוי מבצע עבירה מסוג פשע.</w:t>
      </w:r>
    </w:p>
  </w:footnote>
  <w:footnote w:id="302">
    <w:p w:rsidR="00172C0A" w:rsidRDefault="00172C0A" w:rsidP="00A55602">
      <w:pPr>
        <w:pStyle w:val="ad"/>
        <w:ind w:left="282" w:hanging="567"/>
        <w:rPr>
          <w:rtl/>
        </w:rPr>
      </w:pPr>
      <w:r>
        <w:rPr>
          <w:rStyle w:val="af"/>
        </w:rPr>
        <w:footnoteRef/>
      </w:r>
      <w:r>
        <w:rPr>
          <w:rtl/>
        </w:rPr>
        <w:t xml:space="preserve"> </w:t>
      </w:r>
      <w:r>
        <w:rPr>
          <w:rtl/>
        </w:rPr>
        <w:tab/>
      </w:r>
      <w:r w:rsidRPr="00FE1E5F">
        <w:rPr>
          <w:rFonts w:hint="cs"/>
          <w:rtl/>
        </w:rPr>
        <w:t xml:space="preserve">מרבית הבקרות בחנו פרק זמן של שבוע </w:t>
      </w:r>
      <w:r>
        <w:rPr>
          <w:rFonts w:hint="cs"/>
          <w:rtl/>
        </w:rPr>
        <w:t>ש</w:t>
      </w:r>
      <w:r w:rsidRPr="00FE1E5F">
        <w:rPr>
          <w:rFonts w:hint="cs"/>
          <w:rtl/>
        </w:rPr>
        <w:t>בו ההיתרים המ</w:t>
      </w:r>
      <w:r>
        <w:rPr>
          <w:rFonts w:hint="cs"/>
          <w:rtl/>
        </w:rPr>
        <w:t>י</w:t>
      </w:r>
      <w:r w:rsidRPr="00FE1E5F">
        <w:rPr>
          <w:rFonts w:hint="cs"/>
          <w:rtl/>
        </w:rPr>
        <w:t>נהליים מומשו על ידי יחידות השטח, אך כמה מהבקרות</w:t>
      </w:r>
      <w:r>
        <w:rPr>
          <w:rFonts w:hint="cs"/>
          <w:rtl/>
        </w:rPr>
        <w:t xml:space="preserve"> </w:t>
      </w:r>
      <w:r w:rsidRPr="00FE1E5F">
        <w:rPr>
          <w:rFonts w:hint="cs"/>
          <w:rtl/>
        </w:rPr>
        <w:t xml:space="preserve">בחנו פרק זמן ארוך יותר </w:t>
      </w:r>
      <w:r>
        <w:rPr>
          <w:rFonts w:hint="cs"/>
          <w:rtl/>
        </w:rPr>
        <w:t xml:space="preserve">- </w:t>
      </w:r>
      <w:r w:rsidRPr="00FE1E5F">
        <w:rPr>
          <w:rFonts w:hint="cs"/>
          <w:rtl/>
        </w:rPr>
        <w:t>עד חודש ימים</w:t>
      </w:r>
      <w:r>
        <w:rPr>
          <w:rFonts w:hint="cs"/>
          <w:rtl/>
        </w:rPr>
        <w:t>.</w:t>
      </w:r>
    </w:p>
  </w:footnote>
  <w:footnote w:id="303">
    <w:p w:rsidR="00172C0A" w:rsidRDefault="00172C0A" w:rsidP="00A55602">
      <w:pPr>
        <w:pStyle w:val="ad"/>
        <w:ind w:left="282" w:hanging="567"/>
      </w:pPr>
      <w:r>
        <w:rPr>
          <w:rStyle w:val="af"/>
        </w:rPr>
        <w:footnoteRef/>
      </w:r>
      <w:r>
        <w:rPr>
          <w:rFonts w:hint="cs"/>
          <w:rtl/>
        </w:rPr>
        <w:t xml:space="preserve"> </w:t>
      </w:r>
      <w:r>
        <w:rPr>
          <w:rtl/>
        </w:rPr>
        <w:tab/>
      </w:r>
      <w:r>
        <w:rPr>
          <w:rFonts w:hint="cs"/>
          <w:rtl/>
        </w:rPr>
        <w:t xml:space="preserve">בבחינת ההתאמה לצורך המבצעי נבחנים </w:t>
      </w:r>
      <w:r w:rsidRPr="001D4DB8">
        <w:rPr>
          <w:rtl/>
        </w:rPr>
        <w:t xml:space="preserve">נימוקי </w:t>
      </w:r>
      <w:r>
        <w:rPr>
          <w:rFonts w:hint="cs"/>
          <w:rtl/>
        </w:rPr>
        <w:t>ה</w:t>
      </w:r>
      <w:r w:rsidRPr="001D4DB8">
        <w:rPr>
          <w:rtl/>
        </w:rPr>
        <w:t xml:space="preserve">בקשה להיתר </w:t>
      </w:r>
      <w:r>
        <w:rPr>
          <w:rFonts w:hint="cs"/>
          <w:rtl/>
        </w:rPr>
        <w:t xml:space="preserve">מינהלי </w:t>
      </w:r>
      <w:r w:rsidRPr="001D4DB8">
        <w:rPr>
          <w:rtl/>
        </w:rPr>
        <w:t xml:space="preserve">ובהתאם פעולות התחקור (ככל שהיו), </w:t>
      </w:r>
      <w:r>
        <w:rPr>
          <w:rFonts w:hint="cs"/>
          <w:rtl/>
        </w:rPr>
        <w:t xml:space="preserve">וכן נבחנת התאמת </w:t>
      </w:r>
      <w:r w:rsidRPr="001D4DB8">
        <w:rPr>
          <w:rtl/>
        </w:rPr>
        <w:t>סוגי המידע ופרקי הזמן שהתבקשו לצורך המבצעי ולהנחיית העבודה</w:t>
      </w:r>
      <w:r>
        <w:rPr>
          <w:rFonts w:hint="cs"/>
          <w:rtl/>
        </w:rPr>
        <w:t>.</w:t>
      </w:r>
    </w:p>
  </w:footnote>
  <w:footnote w:id="304">
    <w:p w:rsidR="00172C0A" w:rsidRDefault="00172C0A" w:rsidP="00A55602">
      <w:pPr>
        <w:pStyle w:val="ad"/>
        <w:ind w:left="282" w:hanging="567"/>
        <w:rPr>
          <w:rtl/>
        </w:rPr>
      </w:pPr>
      <w:r>
        <w:rPr>
          <w:rStyle w:val="af"/>
        </w:rPr>
        <w:footnoteRef/>
      </w:r>
      <w:r>
        <w:rPr>
          <w:rFonts w:hint="cs"/>
          <w:rtl/>
        </w:rPr>
        <w:t xml:space="preserve"> </w:t>
      </w:r>
      <w:r>
        <w:rPr>
          <w:rtl/>
        </w:rPr>
        <w:tab/>
      </w:r>
      <w:r>
        <w:rPr>
          <w:rFonts w:hint="cs"/>
          <w:rtl/>
        </w:rPr>
        <w:t xml:space="preserve">בבחינת מידתיות השימוש נבחנת גם קבלת אישורים בהתאם להנחיית העבודה. </w:t>
      </w:r>
    </w:p>
  </w:footnote>
  <w:footnote w:id="305">
    <w:p w:rsidR="00172C0A" w:rsidRDefault="00172C0A" w:rsidP="00A55602">
      <w:pPr>
        <w:pStyle w:val="ad"/>
        <w:ind w:left="282" w:hanging="567"/>
      </w:pPr>
      <w:r>
        <w:rPr>
          <w:rStyle w:val="af"/>
        </w:rPr>
        <w:footnoteRef/>
      </w:r>
      <w:r>
        <w:rPr>
          <w:rtl/>
        </w:rPr>
        <w:t xml:space="preserve"> </w:t>
      </w:r>
      <w:r>
        <w:rPr>
          <w:rtl/>
        </w:rPr>
        <w:tab/>
      </w:r>
      <w:r>
        <w:rPr>
          <w:rFonts w:hint="cs"/>
          <w:rtl/>
        </w:rPr>
        <w:t>צס"מים וימ"רים.</w:t>
      </w:r>
    </w:p>
  </w:footnote>
  <w:footnote w:id="306">
    <w:p w:rsidR="00172C0A" w:rsidRDefault="00172C0A" w:rsidP="00A55602">
      <w:pPr>
        <w:pStyle w:val="ad"/>
        <w:ind w:left="282" w:hanging="567"/>
      </w:pPr>
      <w:r>
        <w:rPr>
          <w:rStyle w:val="af"/>
        </w:rPr>
        <w:footnoteRef/>
      </w:r>
      <w:r>
        <w:rPr>
          <w:rtl/>
        </w:rPr>
        <w:t xml:space="preserve"> </w:t>
      </w:r>
      <w:r>
        <w:rPr>
          <w:rtl/>
        </w:rPr>
        <w:tab/>
      </w:r>
      <w:r>
        <w:rPr>
          <w:rFonts w:hint="cs"/>
          <w:rtl/>
        </w:rPr>
        <w:t xml:space="preserve">הבקרה שבוצעה בדצמבר 2017 בחנה את שלבי העבודה המבוצעים בצס"ם הארצי לצורך האזנות סתר לתקשורת בין מחשבים. </w:t>
      </w:r>
      <w:r w:rsidRPr="0021269D">
        <w:rPr>
          <w:rFonts w:hint="eastAsia"/>
          <w:rtl/>
        </w:rPr>
        <w:t>נבחנו</w:t>
      </w:r>
      <w:r w:rsidRPr="0021269D">
        <w:rPr>
          <w:rtl/>
        </w:rPr>
        <w:t xml:space="preserve"> שלבי העבודה </w:t>
      </w:r>
      <w:r>
        <w:rPr>
          <w:rFonts w:hint="cs"/>
          <w:rtl/>
        </w:rPr>
        <w:t>וכן 12 נושאים נוספים. בכל אחד מהשלבים המוזכרים נבחנו בין היתר (בהתאם לשלב) רכיביו השונים של השלב, האישורים הנדרשים בו, התיעוד הנדרש בו, הדיווחים ועוד.</w:t>
      </w:r>
    </w:p>
  </w:footnote>
  <w:footnote w:id="307">
    <w:p w:rsidR="00172C0A" w:rsidRDefault="00172C0A" w:rsidP="00A55602">
      <w:pPr>
        <w:pStyle w:val="ad"/>
        <w:ind w:left="282" w:hanging="567"/>
        <w:rPr>
          <w:rtl/>
        </w:rPr>
      </w:pPr>
      <w:r>
        <w:rPr>
          <w:rStyle w:val="af"/>
        </w:rPr>
        <w:footnoteRef/>
      </w:r>
      <w:r>
        <w:rPr>
          <w:rtl/>
        </w:rPr>
        <w:t xml:space="preserve"> </w:t>
      </w:r>
      <w:r>
        <w:rPr>
          <w:rtl/>
        </w:rPr>
        <w:tab/>
      </w:r>
      <w:r>
        <w:rPr>
          <w:rFonts w:hint="cs"/>
          <w:rtl/>
        </w:rPr>
        <w:t>פקודות משטרת ישראל של המפקח הכללי, פקודת מטה ארצי מס' 11.03.07 בנושא "בקרת מפקדים", בתוקף מ-14.1.08.</w:t>
      </w:r>
    </w:p>
  </w:footnote>
  <w:footnote w:id="308">
    <w:p w:rsidR="00172C0A" w:rsidRDefault="00172C0A" w:rsidP="00A55602">
      <w:pPr>
        <w:pStyle w:val="ad"/>
        <w:ind w:left="282" w:hanging="567"/>
      </w:pPr>
      <w:r>
        <w:rPr>
          <w:rStyle w:val="af"/>
        </w:rPr>
        <w:footnoteRef/>
      </w:r>
      <w:r>
        <w:rPr>
          <w:rtl/>
        </w:rPr>
        <w:t xml:space="preserve"> </w:t>
      </w:r>
      <w:r>
        <w:rPr>
          <w:rtl/>
        </w:rPr>
        <w:tab/>
      </w:r>
      <w:r>
        <w:rPr>
          <w:rFonts w:hint="cs"/>
          <w:rtl/>
        </w:rPr>
        <w:t>בשנים 2014 - 2017 נעשו בקרות רח"ט סייבר מפורטות על כלל החטיבה,</w:t>
      </w:r>
      <w:r w:rsidRPr="0086746B">
        <w:rPr>
          <w:rFonts w:hint="cs"/>
          <w:rtl/>
        </w:rPr>
        <w:t xml:space="preserve"> </w:t>
      </w:r>
      <w:r>
        <w:rPr>
          <w:rFonts w:hint="cs"/>
          <w:rtl/>
        </w:rPr>
        <w:t>ו</w:t>
      </w:r>
      <w:r w:rsidRPr="0086746B">
        <w:rPr>
          <w:rFonts w:hint="cs"/>
          <w:rtl/>
        </w:rPr>
        <w:t>בשנים 201</w:t>
      </w:r>
      <w:r>
        <w:rPr>
          <w:rFonts w:hint="cs"/>
          <w:rtl/>
        </w:rPr>
        <w:t xml:space="preserve">8 </w:t>
      </w:r>
      <w:r w:rsidRPr="0086746B">
        <w:rPr>
          <w:rFonts w:hint="cs"/>
          <w:rtl/>
        </w:rPr>
        <w:t>-</w:t>
      </w:r>
      <w:r>
        <w:rPr>
          <w:rFonts w:hint="cs"/>
          <w:rtl/>
        </w:rPr>
        <w:t xml:space="preserve"> </w:t>
      </w:r>
      <w:r w:rsidRPr="0086746B">
        <w:rPr>
          <w:rFonts w:hint="cs"/>
          <w:rtl/>
        </w:rPr>
        <w:t>201</w:t>
      </w:r>
      <w:r>
        <w:rPr>
          <w:rFonts w:hint="cs"/>
          <w:rtl/>
        </w:rPr>
        <w:t>9</w:t>
      </w:r>
      <w:r w:rsidRPr="0086746B">
        <w:rPr>
          <w:rFonts w:hint="cs"/>
          <w:rtl/>
        </w:rPr>
        <w:t xml:space="preserve"> נערכו מסמכי ריכוז ממצאים וליקויים שעלו בבקרות </w:t>
      </w:r>
      <w:r>
        <w:rPr>
          <w:rFonts w:hint="cs"/>
          <w:rtl/>
        </w:rPr>
        <w:t xml:space="preserve">פנימיות של מטה </w:t>
      </w:r>
      <w:r w:rsidRPr="0086746B">
        <w:rPr>
          <w:rFonts w:hint="cs"/>
          <w:rtl/>
        </w:rPr>
        <w:t>חטיבת סייבר</w:t>
      </w:r>
      <w:r>
        <w:rPr>
          <w:rFonts w:hint="cs"/>
          <w:rtl/>
        </w:rPr>
        <w:t xml:space="preserve"> בתחומי האזנות סתר, נתוני תקשורת ועוד</w:t>
      </w:r>
      <w:r w:rsidRPr="0086746B">
        <w:rPr>
          <w:rFonts w:hint="cs"/>
          <w:rtl/>
        </w:rPr>
        <w:t>.</w:t>
      </w:r>
      <w:r>
        <w:rPr>
          <w:rFonts w:hint="cs"/>
          <w:rtl/>
        </w:rPr>
        <w:t xml:space="preserve"> במסגרת בקרת רח"ט הסייבר בשנת 2017 נבדקו בין היתר הנושאים האלה: עיקרי הממצאים מהבקרה השנתית הקודמת; כוח האדם בחטיבה (התקן מול המצבה); נושאי תחבורה (רכבים); היבטי בטיחות; אבטחת המידע בחטיבה; טיפול החטיבה בחסיונות; תחום הייעוץ המשפטי לחטיבה; ממצאים עיקריים בפילוח לפי מחלקות ומדורים, תוך התייחסות למהלכים המשמעותיים שבוצעו ביחידות אלה. סיכום הבקרה של הרח"ט כלל הצבת ערכי פעילות לחטיבה וכן סיכום והנחיות מקצועיות לביצוע בתחומים האמורים לעיל ולכל המחלקות והמדורים בחטיבה, והצבת יעדים ליחידות השונות. כמו כן נקבעו יעדים כלליים לחטיבה, עקרונות וכיווני פעולה.</w:t>
      </w:r>
    </w:p>
  </w:footnote>
  <w:footnote w:id="309">
    <w:p w:rsidR="00172C0A" w:rsidRDefault="00172C0A" w:rsidP="00A55602">
      <w:pPr>
        <w:pStyle w:val="ad"/>
        <w:ind w:left="282" w:hanging="567"/>
      </w:pPr>
      <w:r>
        <w:rPr>
          <w:rStyle w:val="af"/>
        </w:rPr>
        <w:footnoteRef/>
      </w:r>
      <w:r>
        <w:rPr>
          <w:rtl/>
        </w:rPr>
        <w:t xml:space="preserve"> </w:t>
      </w:r>
      <w:r>
        <w:rPr>
          <w:rtl/>
        </w:rPr>
        <w:tab/>
      </w:r>
      <w:r>
        <w:rPr>
          <w:rFonts w:hint="cs"/>
          <w:rtl/>
        </w:rPr>
        <w:t>תקנה 5 לתקנות מאגרי נתוני תקשורת.</w:t>
      </w:r>
    </w:p>
  </w:footnote>
  <w:footnote w:id="310">
    <w:p w:rsidR="00172C0A" w:rsidRDefault="00172C0A" w:rsidP="00A55602">
      <w:pPr>
        <w:pStyle w:val="ad"/>
        <w:ind w:left="282" w:hanging="567"/>
      </w:pPr>
      <w:r>
        <w:rPr>
          <w:rStyle w:val="af"/>
        </w:rPr>
        <w:footnoteRef/>
      </w:r>
      <w:r>
        <w:rPr>
          <w:rFonts w:hint="cs"/>
          <w:rtl/>
        </w:rPr>
        <w:t xml:space="preserve"> </w:t>
      </w:r>
      <w:r>
        <w:rPr>
          <w:rtl/>
        </w:rPr>
        <w:tab/>
      </w:r>
      <w:r>
        <w:rPr>
          <w:rFonts w:hint="cs"/>
          <w:rtl/>
        </w:rPr>
        <w:t>הנוהל עוסק בחמש מערכות מחשוביות באח"ם: מערכת אחת בחטיבת המודיעין, שתי מערכות בחטיבת החקירות ושתי מערכות בחטיבת הסייבר. יצוין כי הנוהל אינו מתייחס ליתר מערכות חטיבת הסייבר.</w:t>
      </w:r>
    </w:p>
  </w:footnote>
  <w:footnote w:id="311">
    <w:p w:rsidR="00172C0A" w:rsidRDefault="00172C0A" w:rsidP="00A55602">
      <w:pPr>
        <w:pStyle w:val="ad"/>
        <w:ind w:left="282" w:hanging="567"/>
      </w:pPr>
      <w:r>
        <w:rPr>
          <w:rStyle w:val="af"/>
        </w:rPr>
        <w:footnoteRef/>
      </w:r>
      <w:r>
        <w:rPr>
          <w:rtl/>
        </w:rPr>
        <w:t xml:space="preserve"> </w:t>
      </w:r>
      <w:r>
        <w:rPr>
          <w:rFonts w:ascii="David" w:hAnsi="David"/>
          <w:rtl/>
        </w:rPr>
        <w:tab/>
      </w:r>
      <w:r>
        <w:rPr>
          <w:rFonts w:hint="cs"/>
          <w:rtl/>
        </w:rPr>
        <w:t xml:space="preserve">בכל בקשה למתן הרשאות נדרשת היחידה לציין שלושה קריטריונים: פרופיל, תפקיד ועיסוק, ושילוב שלושת הקריטריונים מאפשר בחינת התאמה בין הגדרות הנוהל לגבי מורשי הגישה למערכות לבין הבקשה שהגישה היחידה. </w:t>
      </w:r>
    </w:p>
  </w:footnote>
  <w:footnote w:id="312">
    <w:p w:rsidR="00172C0A" w:rsidRDefault="00172C0A" w:rsidP="00A55602">
      <w:pPr>
        <w:pStyle w:val="ad"/>
        <w:ind w:left="282" w:hanging="567"/>
      </w:pPr>
      <w:r>
        <w:rPr>
          <w:rStyle w:val="af"/>
        </w:rPr>
        <w:footnoteRef/>
      </w:r>
      <w:r>
        <w:rPr>
          <w:rtl/>
        </w:rPr>
        <w:t xml:space="preserve"> </w:t>
      </w:r>
      <w:r>
        <w:rPr>
          <w:rtl/>
        </w:rPr>
        <w:tab/>
      </w:r>
      <w:r>
        <w:rPr>
          <w:rFonts w:hint="cs"/>
          <w:rtl/>
        </w:rPr>
        <w:t xml:space="preserve">יצוין כי באופן שוטף, בעת כניסת תפקידן לתפקיד או בעת מעבר תפקיד וכן </w:t>
      </w:r>
      <w:r w:rsidRPr="00652225">
        <w:rPr>
          <w:rtl/>
        </w:rPr>
        <w:t xml:space="preserve">במסגרת בקרות מקצועיות לצווים, בקרות מקצועיות למחלקים ובקרות פיקודיות לתפקידנים </w:t>
      </w:r>
      <w:r>
        <w:rPr>
          <w:rFonts w:hint="cs"/>
          <w:rtl/>
        </w:rPr>
        <w:t>-</w:t>
      </w:r>
      <w:r w:rsidRPr="00652225">
        <w:rPr>
          <w:rtl/>
        </w:rPr>
        <w:t xml:space="preserve"> נבחנת </w:t>
      </w:r>
      <w:r>
        <w:rPr>
          <w:rFonts w:hint="cs"/>
          <w:rtl/>
        </w:rPr>
        <w:t xml:space="preserve">גם </w:t>
      </w:r>
      <w:r w:rsidRPr="00652225">
        <w:rPr>
          <w:rtl/>
        </w:rPr>
        <w:t>התאמת ההרשאות לתפקידן</w:t>
      </w:r>
      <w:r>
        <w:rPr>
          <w:rFonts w:hint="cs"/>
          <w:rtl/>
        </w:rPr>
        <w:t>.</w:t>
      </w:r>
    </w:p>
  </w:footnote>
  <w:footnote w:id="313">
    <w:p w:rsidR="00172C0A" w:rsidRDefault="00172C0A" w:rsidP="00A55602">
      <w:pPr>
        <w:pStyle w:val="ad"/>
        <w:ind w:left="282" w:hanging="567"/>
        <w:rPr>
          <w:rtl/>
        </w:rPr>
      </w:pPr>
      <w:r>
        <w:rPr>
          <w:rStyle w:val="af"/>
        </w:rPr>
        <w:footnoteRef/>
      </w:r>
      <w:r>
        <w:rPr>
          <w:rtl/>
        </w:rPr>
        <w:t xml:space="preserve"> </w:t>
      </w:r>
      <w:r>
        <w:rPr>
          <w:rtl/>
        </w:rPr>
        <w:tab/>
      </w:r>
      <w:r w:rsidRPr="005C3903">
        <w:rPr>
          <w:rFonts w:hint="cs"/>
          <w:rtl/>
        </w:rPr>
        <w:t xml:space="preserve">נמצאו מקרים </w:t>
      </w:r>
      <w:r>
        <w:rPr>
          <w:rFonts w:hint="cs"/>
          <w:rtl/>
        </w:rPr>
        <w:t>ש</w:t>
      </w:r>
      <w:r w:rsidRPr="005C3903">
        <w:rPr>
          <w:rFonts w:hint="cs"/>
          <w:rtl/>
        </w:rPr>
        <w:t>בהם הפרופיל הספציפי לא התאים לעיסוק של השוטר. לדוגמ</w:t>
      </w:r>
      <w:r>
        <w:rPr>
          <w:rFonts w:hint="cs"/>
          <w:rtl/>
        </w:rPr>
        <w:t>ה,</w:t>
      </w:r>
      <w:r w:rsidRPr="005C3903">
        <w:rPr>
          <w:rFonts w:hint="cs"/>
          <w:rtl/>
        </w:rPr>
        <w:t xml:space="preserve"> חלק מהשוטרים קיבלו הרשאה חסרה לפעולות שהם מורשים להן ע</w:t>
      </w:r>
      <w:r>
        <w:rPr>
          <w:rFonts w:hint="cs"/>
          <w:rtl/>
        </w:rPr>
        <w:t xml:space="preserve">ל פי </w:t>
      </w:r>
      <w:r w:rsidRPr="005C3903">
        <w:rPr>
          <w:rFonts w:hint="cs"/>
          <w:rtl/>
        </w:rPr>
        <w:t xml:space="preserve">העיסוק </w:t>
      </w:r>
      <w:r>
        <w:rPr>
          <w:rFonts w:hint="cs"/>
          <w:rtl/>
        </w:rPr>
        <w:t>שלהם</w:t>
      </w:r>
      <w:r w:rsidRPr="005C3903">
        <w:rPr>
          <w:rFonts w:hint="cs"/>
          <w:rtl/>
        </w:rPr>
        <w:t xml:space="preserve">. נוסף </w:t>
      </w:r>
      <w:r>
        <w:rPr>
          <w:rFonts w:hint="cs"/>
          <w:rtl/>
        </w:rPr>
        <w:t xml:space="preserve">על כך </w:t>
      </w:r>
      <w:r w:rsidRPr="005C3903">
        <w:rPr>
          <w:rFonts w:hint="cs"/>
          <w:rtl/>
        </w:rPr>
        <w:t xml:space="preserve">נמצאו משתמשים אשר </w:t>
      </w:r>
      <w:r>
        <w:rPr>
          <w:rFonts w:hint="cs"/>
          <w:rtl/>
        </w:rPr>
        <w:t>נדרש להסיר את ה</w:t>
      </w:r>
      <w:r w:rsidRPr="005C3903">
        <w:rPr>
          <w:rFonts w:hint="cs"/>
          <w:rtl/>
        </w:rPr>
        <w:t xml:space="preserve">הרשאות </w:t>
      </w:r>
      <w:r>
        <w:rPr>
          <w:rFonts w:hint="cs"/>
          <w:rtl/>
        </w:rPr>
        <w:t xml:space="preserve">שלהם </w:t>
      </w:r>
      <w:r w:rsidRPr="005C3903">
        <w:rPr>
          <w:rFonts w:hint="cs"/>
          <w:rtl/>
        </w:rPr>
        <w:t>בשל שינוי תפקיד או פרישה מהארגון</w:t>
      </w:r>
      <w:r>
        <w:rPr>
          <w:rFonts w:hint="cs"/>
          <w:rtl/>
        </w:rPr>
        <w:t>.</w:t>
      </w:r>
    </w:p>
  </w:footnote>
  <w:footnote w:id="314">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לפי חוק </w:t>
      </w:r>
      <w:r w:rsidRPr="00A55602">
        <w:rPr>
          <w:rtl/>
        </w:rPr>
        <w:t>העונשין</w:t>
      </w:r>
      <w:r w:rsidRPr="006542FB">
        <w:rPr>
          <w:rFonts w:ascii="David" w:hAnsi="David"/>
          <w:rtl/>
        </w:rPr>
        <w:t>, התשל"ז-1977, העבירות מסווגות לפי חומרתן: פשע - עבירה שנקבע לה עונש חמור ממאסר למשך שלוש שנים; עוון - עבירה שנקבע לה עונש מאסר לתקופה של שלושה חודשים עד שלוש שנים; חטא - עבירה שנקבע לה עונש מאסר שאינו עולה על שלושה חודשים.</w:t>
      </w:r>
    </w:p>
  </w:footnote>
  <w:footnote w:id="315">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r>
      <w:r w:rsidRPr="00E4107A">
        <w:rPr>
          <w:rFonts w:ascii="David" w:hAnsi="David"/>
          <w:b/>
          <w:bCs/>
          <w:rtl/>
        </w:rPr>
        <w:t>חומר חקירה</w:t>
      </w:r>
      <w:r>
        <w:rPr>
          <w:rFonts w:ascii="David" w:hAnsi="David" w:hint="cs"/>
          <w:rtl/>
        </w:rPr>
        <w:t xml:space="preserve"> -</w:t>
      </w:r>
      <w:r w:rsidRPr="006542FB">
        <w:rPr>
          <w:rFonts w:ascii="David" w:hAnsi="David"/>
          <w:rtl/>
        </w:rPr>
        <w:t xml:space="preserve"> כל חומר שיש לו </w:t>
      </w:r>
      <w:r w:rsidRPr="00A55602">
        <w:rPr>
          <w:rtl/>
        </w:rPr>
        <w:t>זיקה</w:t>
      </w:r>
      <w:r w:rsidRPr="006542FB">
        <w:rPr>
          <w:rFonts w:ascii="David" w:hAnsi="David"/>
          <w:rtl/>
        </w:rPr>
        <w:t xml:space="preserve"> ישירה או עקיפה לאישום המיוחס לנאשם ולנאשם זכות לעיין בו.</w:t>
      </w:r>
    </w:p>
  </w:footnote>
  <w:footnote w:id="316">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בש"פ 1000/05 </w:t>
      </w:r>
      <w:r w:rsidRPr="006542FB">
        <w:rPr>
          <w:rFonts w:ascii="David" w:hAnsi="David"/>
          <w:b/>
          <w:bCs/>
          <w:rtl/>
        </w:rPr>
        <w:t>חסיד נ' מדינת ישראל</w:t>
      </w:r>
      <w:r w:rsidRPr="006542FB">
        <w:rPr>
          <w:rFonts w:ascii="David" w:hAnsi="David"/>
          <w:rtl/>
        </w:rPr>
        <w:t>, פ"ד נט(6) 385, 391 (2005)</w:t>
      </w:r>
      <w:r>
        <w:rPr>
          <w:rFonts w:ascii="David" w:hAnsi="David" w:hint="cs"/>
          <w:rtl/>
        </w:rPr>
        <w:t>.</w:t>
      </w:r>
      <w:r w:rsidRPr="006542FB">
        <w:rPr>
          <w:rFonts w:ascii="David" w:hAnsi="David"/>
          <w:rtl/>
        </w:rPr>
        <w:t xml:space="preserve"> פרט לזכותו של הנאשם להליך פלילי הוגן, </w:t>
      </w:r>
      <w:r w:rsidRPr="00A55602">
        <w:rPr>
          <w:rtl/>
        </w:rPr>
        <w:t>הפסיקה</w:t>
      </w:r>
      <w:r w:rsidRPr="006542FB">
        <w:rPr>
          <w:rFonts w:ascii="David" w:hAnsi="David"/>
          <w:rtl/>
        </w:rPr>
        <w:t xml:space="preserve"> עמדה על עוד שלושה טעמים שבבסיס הליכי הגילוי והעיון במסגרת סעיף 74 לחסד"פ, והם: זכותו של הנאשם להסדיר את הגנתו ולהיערך כראוי למשפט, הערך של חקר האמת וצמצום פערי הכוחות בין התביעה להגנה (יצחק עמית, </w:t>
      </w:r>
      <w:r w:rsidRPr="00BD58C8">
        <w:rPr>
          <w:rFonts w:ascii="David" w:hAnsi="David" w:hint="eastAsia"/>
          <w:b/>
          <w:bCs/>
          <w:rtl/>
        </w:rPr>
        <w:t>חסיונות</w:t>
      </w:r>
      <w:r w:rsidRPr="00BD58C8">
        <w:rPr>
          <w:rFonts w:ascii="David" w:hAnsi="David"/>
          <w:b/>
          <w:bCs/>
          <w:rtl/>
        </w:rPr>
        <w:t xml:space="preserve"> </w:t>
      </w:r>
      <w:r w:rsidRPr="00BD58C8">
        <w:rPr>
          <w:rFonts w:ascii="David" w:hAnsi="David" w:hint="eastAsia"/>
          <w:b/>
          <w:bCs/>
          <w:rtl/>
        </w:rPr>
        <w:t>ואינטרסים</w:t>
      </w:r>
      <w:r w:rsidRPr="00BD58C8">
        <w:rPr>
          <w:rFonts w:ascii="David" w:hAnsi="David"/>
          <w:b/>
          <w:bCs/>
          <w:rtl/>
        </w:rPr>
        <w:t xml:space="preserve"> </w:t>
      </w:r>
      <w:r w:rsidRPr="00BD58C8">
        <w:rPr>
          <w:rFonts w:ascii="David" w:hAnsi="David" w:hint="eastAsia"/>
          <w:b/>
          <w:bCs/>
          <w:rtl/>
        </w:rPr>
        <w:t>מוגנים</w:t>
      </w:r>
      <w:r w:rsidRPr="00BD58C8">
        <w:rPr>
          <w:rFonts w:ascii="David" w:hAnsi="David"/>
          <w:b/>
          <w:bCs/>
          <w:rtl/>
        </w:rPr>
        <w:t xml:space="preserve"> - </w:t>
      </w:r>
      <w:r w:rsidRPr="00BD58C8">
        <w:rPr>
          <w:rFonts w:ascii="David" w:hAnsi="David" w:hint="eastAsia"/>
          <w:b/>
          <w:bCs/>
          <w:rtl/>
        </w:rPr>
        <w:t>הליכי</w:t>
      </w:r>
      <w:r w:rsidRPr="00BD58C8">
        <w:rPr>
          <w:rFonts w:ascii="David" w:hAnsi="David"/>
          <w:b/>
          <w:bCs/>
          <w:rtl/>
        </w:rPr>
        <w:t xml:space="preserve"> </w:t>
      </w:r>
      <w:r w:rsidRPr="00BD58C8">
        <w:rPr>
          <w:rFonts w:ascii="David" w:hAnsi="David" w:hint="eastAsia"/>
          <w:b/>
          <w:bCs/>
          <w:rtl/>
        </w:rPr>
        <w:t>גילוי</w:t>
      </w:r>
      <w:r w:rsidRPr="00BD58C8">
        <w:rPr>
          <w:rFonts w:ascii="David" w:hAnsi="David"/>
          <w:b/>
          <w:bCs/>
          <w:rtl/>
        </w:rPr>
        <w:t xml:space="preserve"> </w:t>
      </w:r>
      <w:r w:rsidRPr="00BD58C8">
        <w:rPr>
          <w:rFonts w:ascii="David" w:hAnsi="David" w:hint="eastAsia"/>
          <w:b/>
          <w:bCs/>
          <w:rtl/>
        </w:rPr>
        <w:t>ועיון</w:t>
      </w:r>
      <w:r w:rsidRPr="00BD58C8">
        <w:rPr>
          <w:rFonts w:ascii="David" w:hAnsi="David"/>
          <w:b/>
          <w:bCs/>
          <w:rtl/>
        </w:rPr>
        <w:t xml:space="preserve"> </w:t>
      </w:r>
      <w:r w:rsidRPr="00BD58C8">
        <w:rPr>
          <w:rFonts w:ascii="David" w:hAnsi="David" w:hint="eastAsia"/>
          <w:b/>
          <w:bCs/>
          <w:rtl/>
        </w:rPr>
        <w:t>במשפט</w:t>
      </w:r>
      <w:r w:rsidRPr="00BD58C8">
        <w:rPr>
          <w:rFonts w:ascii="David" w:hAnsi="David"/>
          <w:b/>
          <w:bCs/>
          <w:rtl/>
        </w:rPr>
        <w:t xml:space="preserve"> </w:t>
      </w:r>
      <w:r w:rsidRPr="00BD58C8">
        <w:rPr>
          <w:rFonts w:ascii="David" w:hAnsi="David" w:hint="eastAsia"/>
          <w:b/>
          <w:bCs/>
          <w:rtl/>
        </w:rPr>
        <w:t>האזרחי</w:t>
      </w:r>
      <w:r w:rsidRPr="00BD58C8">
        <w:rPr>
          <w:rFonts w:ascii="David" w:hAnsi="David"/>
          <w:b/>
          <w:bCs/>
          <w:rtl/>
        </w:rPr>
        <w:t xml:space="preserve"> </w:t>
      </w:r>
      <w:r w:rsidRPr="00BD58C8">
        <w:rPr>
          <w:rFonts w:ascii="David" w:hAnsi="David" w:hint="eastAsia"/>
          <w:b/>
          <w:bCs/>
          <w:rtl/>
        </w:rPr>
        <w:t>והפלילי</w:t>
      </w:r>
      <w:r>
        <w:rPr>
          <w:rFonts w:ascii="David" w:hAnsi="David"/>
          <w:rtl/>
        </w:rPr>
        <w:t xml:space="preserve"> </w:t>
      </w:r>
      <w:r w:rsidRPr="006542FB">
        <w:rPr>
          <w:rFonts w:ascii="David" w:hAnsi="David"/>
          <w:rtl/>
        </w:rPr>
        <w:t>[2021], עמ' 183).</w:t>
      </w:r>
    </w:p>
  </w:footnote>
  <w:footnote w:id="317">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r>
      <w:r w:rsidRPr="00A55602">
        <w:rPr>
          <w:rtl/>
        </w:rPr>
        <w:t>סעיפים</w:t>
      </w:r>
      <w:r w:rsidRPr="006542FB">
        <w:rPr>
          <w:rFonts w:ascii="David" w:hAnsi="David"/>
          <w:rtl/>
        </w:rPr>
        <w:t xml:space="preserve"> 44 - 45 לפקודת הראיות [נוסח חדש], התשל"א-1971. חיסיון לטובת המדינה (סעיף 44 לפקודת הראיות) או לטובת הציבור (סעיף 45 לפקודת הראיות</w:t>
      </w:r>
      <w:r w:rsidRPr="00121424">
        <w:rPr>
          <w:rFonts w:ascii="David" w:hAnsi="David"/>
          <w:rtl/>
        </w:rPr>
        <w:t>)</w:t>
      </w:r>
      <w:r>
        <w:rPr>
          <w:rFonts w:ascii="David" w:hAnsi="David" w:hint="cs"/>
          <w:rtl/>
        </w:rPr>
        <w:t>.</w:t>
      </w:r>
      <w:r w:rsidRPr="006542FB">
        <w:rPr>
          <w:rFonts w:ascii="David" w:hAnsi="David"/>
          <w:rtl/>
        </w:rPr>
        <w:t xml:space="preserve"> הוראת אי-הקבילות מכוונת כלפי בית המשפט באופן שגם אם בטעות נמסרה ראיה בניגוד להוראת החיסיון, על בית המשפט להימנע מקבלתה (יצחק עמית, </w:t>
      </w:r>
      <w:r w:rsidRPr="005925B4">
        <w:rPr>
          <w:rFonts w:ascii="David" w:hAnsi="David" w:hint="eastAsia"/>
          <w:b/>
          <w:bCs/>
          <w:rtl/>
        </w:rPr>
        <w:t>חסיונות</w:t>
      </w:r>
      <w:r w:rsidRPr="005925B4">
        <w:rPr>
          <w:rFonts w:ascii="David" w:hAnsi="David"/>
          <w:b/>
          <w:bCs/>
          <w:rtl/>
        </w:rPr>
        <w:t xml:space="preserve"> </w:t>
      </w:r>
      <w:r w:rsidRPr="005925B4">
        <w:rPr>
          <w:rFonts w:ascii="David" w:hAnsi="David" w:hint="eastAsia"/>
          <w:b/>
          <w:bCs/>
          <w:rtl/>
        </w:rPr>
        <w:t>ואינטרסים</w:t>
      </w:r>
      <w:r w:rsidRPr="005925B4">
        <w:rPr>
          <w:rFonts w:ascii="David" w:hAnsi="David"/>
          <w:b/>
          <w:bCs/>
          <w:rtl/>
        </w:rPr>
        <w:t xml:space="preserve"> </w:t>
      </w:r>
      <w:r w:rsidRPr="005925B4">
        <w:rPr>
          <w:rFonts w:ascii="David" w:hAnsi="David" w:hint="eastAsia"/>
          <w:b/>
          <w:bCs/>
          <w:rtl/>
        </w:rPr>
        <w:t>מוגנים</w:t>
      </w:r>
      <w:r w:rsidRPr="005925B4">
        <w:rPr>
          <w:rFonts w:ascii="David" w:hAnsi="David"/>
          <w:b/>
          <w:bCs/>
          <w:rtl/>
        </w:rPr>
        <w:t xml:space="preserve"> - </w:t>
      </w:r>
      <w:r w:rsidRPr="005925B4">
        <w:rPr>
          <w:rFonts w:ascii="David" w:hAnsi="David" w:hint="eastAsia"/>
          <w:b/>
          <w:bCs/>
          <w:rtl/>
        </w:rPr>
        <w:t>הליכי</w:t>
      </w:r>
      <w:r w:rsidRPr="005925B4">
        <w:rPr>
          <w:rFonts w:ascii="David" w:hAnsi="David"/>
          <w:b/>
          <w:bCs/>
          <w:rtl/>
        </w:rPr>
        <w:t xml:space="preserve"> </w:t>
      </w:r>
      <w:r w:rsidRPr="005925B4">
        <w:rPr>
          <w:rFonts w:ascii="David" w:hAnsi="David" w:hint="eastAsia"/>
          <w:b/>
          <w:bCs/>
          <w:rtl/>
        </w:rPr>
        <w:t>גילוי</w:t>
      </w:r>
      <w:r w:rsidRPr="005925B4">
        <w:rPr>
          <w:rFonts w:ascii="David" w:hAnsi="David"/>
          <w:b/>
          <w:bCs/>
          <w:rtl/>
        </w:rPr>
        <w:t xml:space="preserve"> </w:t>
      </w:r>
      <w:r w:rsidRPr="005925B4">
        <w:rPr>
          <w:rFonts w:ascii="David" w:hAnsi="David" w:hint="eastAsia"/>
          <w:b/>
          <w:bCs/>
          <w:rtl/>
        </w:rPr>
        <w:t>ועיון</w:t>
      </w:r>
      <w:r w:rsidRPr="005925B4">
        <w:rPr>
          <w:rFonts w:ascii="David" w:hAnsi="David"/>
          <w:b/>
          <w:bCs/>
          <w:rtl/>
        </w:rPr>
        <w:t xml:space="preserve"> </w:t>
      </w:r>
      <w:r w:rsidRPr="005925B4">
        <w:rPr>
          <w:rFonts w:ascii="David" w:hAnsi="David" w:hint="eastAsia"/>
          <w:b/>
          <w:bCs/>
          <w:rtl/>
        </w:rPr>
        <w:t>במשפט</w:t>
      </w:r>
      <w:r w:rsidRPr="005925B4">
        <w:rPr>
          <w:rFonts w:ascii="David" w:hAnsi="David"/>
          <w:b/>
          <w:bCs/>
          <w:rtl/>
        </w:rPr>
        <w:t xml:space="preserve"> </w:t>
      </w:r>
      <w:r w:rsidRPr="005925B4">
        <w:rPr>
          <w:rFonts w:ascii="David" w:hAnsi="David" w:hint="eastAsia"/>
          <w:b/>
          <w:bCs/>
          <w:rtl/>
        </w:rPr>
        <w:t>האזרחי</w:t>
      </w:r>
      <w:r w:rsidRPr="005925B4">
        <w:rPr>
          <w:rFonts w:ascii="David" w:hAnsi="David"/>
          <w:b/>
          <w:bCs/>
          <w:rtl/>
        </w:rPr>
        <w:t xml:space="preserve"> </w:t>
      </w:r>
      <w:r w:rsidRPr="005925B4">
        <w:rPr>
          <w:rFonts w:ascii="David" w:hAnsi="David" w:hint="eastAsia"/>
          <w:b/>
          <w:bCs/>
          <w:rtl/>
        </w:rPr>
        <w:t>והפלילי</w:t>
      </w:r>
      <w:r>
        <w:rPr>
          <w:rFonts w:ascii="David" w:hAnsi="David"/>
          <w:rtl/>
        </w:rPr>
        <w:t xml:space="preserve"> </w:t>
      </w:r>
      <w:r w:rsidRPr="006542FB">
        <w:rPr>
          <w:rFonts w:ascii="David" w:hAnsi="David"/>
          <w:rtl/>
        </w:rPr>
        <w:t>[2021], עמ' 744).</w:t>
      </w:r>
    </w:p>
  </w:footnote>
  <w:footnote w:id="318">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r>
      <w:r w:rsidRPr="00A55602">
        <w:rPr>
          <w:rtl/>
        </w:rPr>
        <w:t>בהתאם</w:t>
      </w:r>
      <w:r w:rsidRPr="006542FB">
        <w:rPr>
          <w:rFonts w:ascii="David" w:hAnsi="David"/>
          <w:rtl/>
        </w:rPr>
        <w:t xml:space="preserve"> לסעיף 45(א) לפקודת הראיות.</w:t>
      </w:r>
    </w:p>
  </w:footnote>
  <w:footnote w:id="319">
    <w:p w:rsidR="00172C0A" w:rsidRDefault="00172C0A" w:rsidP="00A55602">
      <w:pPr>
        <w:pStyle w:val="ad"/>
        <w:ind w:left="282" w:hanging="567"/>
        <w:rPr>
          <w:rtl/>
        </w:rPr>
      </w:pPr>
      <w:r>
        <w:rPr>
          <w:rStyle w:val="af"/>
        </w:rPr>
        <w:footnoteRef/>
      </w:r>
      <w:r>
        <w:rPr>
          <w:rtl/>
        </w:rPr>
        <w:t xml:space="preserve"> </w:t>
      </w:r>
      <w:r>
        <w:rPr>
          <w:rtl/>
        </w:rPr>
        <w:tab/>
      </w:r>
      <w:r w:rsidRPr="00DF60ED">
        <w:rPr>
          <w:rFonts w:ascii="David" w:hAnsi="David" w:hint="cs"/>
          <w:rtl/>
        </w:rPr>
        <w:t>חוק סדר הדין הפלילי (תיקון מס' 75), התשע"ו</w:t>
      </w:r>
      <w:r>
        <w:rPr>
          <w:rFonts w:ascii="David" w:hAnsi="David" w:hint="cs"/>
          <w:rtl/>
        </w:rPr>
        <w:t>-</w:t>
      </w:r>
      <w:r w:rsidRPr="00DF60ED">
        <w:rPr>
          <w:rFonts w:ascii="David" w:hAnsi="David" w:hint="cs"/>
          <w:rtl/>
        </w:rPr>
        <w:t>2016</w:t>
      </w:r>
      <w:r>
        <w:rPr>
          <w:rFonts w:ascii="David" w:hAnsi="David" w:hint="cs"/>
          <w:rtl/>
        </w:rPr>
        <w:t>,</w:t>
      </w:r>
      <w:r w:rsidRPr="00DF60ED">
        <w:rPr>
          <w:rFonts w:ascii="David" w:hAnsi="David" w:hint="cs"/>
          <w:rtl/>
        </w:rPr>
        <w:t xml:space="preserve"> שתיקן גם את פקודת הראיות, תיקון מס' 17, התשע"ו-2016.</w:t>
      </w:r>
    </w:p>
  </w:footnote>
  <w:footnote w:id="320">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הנחיית פרקליט המדינה 7.12 בעניין "הגבלת זכות העיון בחומר מודיעיני הנוגע לחקירה" מ-31.7.17.</w:t>
      </w:r>
    </w:p>
  </w:footnote>
  <w:footnote w:id="321">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ככלל בפרקליטות או בחטיבת התביעות במשטרה.</w:t>
      </w:r>
    </w:p>
  </w:footnote>
  <w:footnote w:id="322">
    <w:p w:rsidR="00172C0A" w:rsidRDefault="00172C0A" w:rsidP="00A55602">
      <w:pPr>
        <w:pStyle w:val="ad"/>
        <w:ind w:left="282" w:hanging="567"/>
      </w:pPr>
      <w:r>
        <w:rPr>
          <w:rStyle w:val="af"/>
        </w:rPr>
        <w:footnoteRef/>
      </w:r>
      <w:r>
        <w:rPr>
          <w:rtl/>
        </w:rPr>
        <w:t xml:space="preserve"> </w:t>
      </w:r>
      <w:r>
        <w:rPr>
          <w:rtl/>
        </w:rPr>
        <w:tab/>
      </w:r>
      <w:r>
        <w:rPr>
          <w:rFonts w:hint="cs"/>
          <w:rtl/>
        </w:rPr>
        <w:t>בית המשפט אינו הגורם שמחליט אם לחסות ראיה וכיצד יש לסווג את החומר, אלא אם להסיר חיסיון מראיה חסויה וזאת אם מוגשת עתירה לגילוי ראיה.</w:t>
      </w:r>
    </w:p>
  </w:footnote>
  <w:footnote w:id="323">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"רשות </w:t>
      </w:r>
      <w:r w:rsidRPr="00A55602">
        <w:rPr>
          <w:rtl/>
        </w:rPr>
        <w:t>מודיעין</w:t>
      </w:r>
      <w:r w:rsidRPr="006542FB">
        <w:rPr>
          <w:rFonts w:ascii="David" w:hAnsi="David"/>
          <w:rtl/>
        </w:rPr>
        <w:t xml:space="preserve">" בהתאם להגדרה בחסד"פ היא: גוף או יחידה במערך המודיעין של המשטרה, המחלקה לחקירות שוטרים, צבא הגנה לישראל, משטרה צבאית חוקרת, שירות בתי הסוהר, שירות הביטחון הכללי, המוסד למודיעין ולתפקידים מיוחדים, רשות המיסים </w:t>
      </w:r>
      <w:r>
        <w:rPr>
          <w:rFonts w:ascii="David" w:hAnsi="David" w:hint="cs"/>
          <w:rtl/>
        </w:rPr>
        <w:t>ו</w:t>
      </w:r>
      <w:r w:rsidRPr="006542FB">
        <w:rPr>
          <w:rFonts w:ascii="David" w:hAnsi="David"/>
          <w:rtl/>
        </w:rPr>
        <w:t xml:space="preserve">רשות </w:t>
      </w:r>
      <w:r>
        <w:rPr>
          <w:rFonts w:ascii="David" w:hAnsi="David" w:hint="cs"/>
          <w:rtl/>
        </w:rPr>
        <w:t>התחרות</w:t>
      </w:r>
      <w:r w:rsidRPr="006542FB">
        <w:rPr>
          <w:rFonts w:ascii="David" w:hAnsi="David"/>
          <w:rtl/>
        </w:rPr>
        <w:t xml:space="preserve">. נוסף על גופים אלו הכיר פרקליט המדינה במערך האיסוף היומנטי (כלל המידע הנאסף ממקורות אנושיים) </w:t>
      </w:r>
      <w:r>
        <w:rPr>
          <w:rFonts w:ascii="David" w:hAnsi="David" w:hint="cs"/>
          <w:rtl/>
        </w:rPr>
        <w:t>ו</w:t>
      </w:r>
      <w:r w:rsidRPr="006542FB">
        <w:rPr>
          <w:rFonts w:ascii="David" w:hAnsi="David"/>
          <w:rtl/>
        </w:rPr>
        <w:t>הטכנולוגי (כולל את המידע הנאסף על ידי חטיבת הסיגינט ומערכי הסיגינט סייבר) ו</w:t>
      </w:r>
      <w:r>
        <w:rPr>
          <w:rFonts w:ascii="David" w:hAnsi="David" w:hint="cs"/>
          <w:rtl/>
        </w:rPr>
        <w:t>ב</w:t>
      </w:r>
      <w:r w:rsidRPr="006542FB">
        <w:rPr>
          <w:rFonts w:ascii="David" w:hAnsi="David"/>
          <w:rtl/>
        </w:rPr>
        <w:t>מערך האיסוף של היחידות המיוחדות במשטרה כ"רשות מודיעין" (הנחי</w:t>
      </w:r>
      <w:r>
        <w:rPr>
          <w:rFonts w:ascii="David" w:hAnsi="David" w:hint="cs"/>
          <w:rtl/>
        </w:rPr>
        <w:t>ית</w:t>
      </w:r>
      <w:r w:rsidRPr="006542FB">
        <w:rPr>
          <w:rFonts w:ascii="David" w:hAnsi="David"/>
          <w:rtl/>
        </w:rPr>
        <w:t xml:space="preserve"> פרקליט המדינה מס' 7.12 בנושא: "הגבלת זכות העיון בחומר מודיעיני הנוגע לחקירה"). </w:t>
      </w:r>
    </w:p>
  </w:footnote>
  <w:footnote w:id="324">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חומר שנאסף על ידי רשות המודיעין נחלק לשלוש קבוצות עיקריות: (א) חומר מודיעיני שהוא ב"ליבת האירוע" בהתאם לאחד מארבעת התבחינים המפורטים בסעיף 74(א)(2) לחסד"פ (ב) חומר מודיעיני שהנאשם זכאי לעיין בו ואין מניעה להעבירו לעיון הנאשם כיוון שאין בו מידע העלול לפגוע בעניין ציבורי חשוב</w:t>
      </w:r>
      <w:r>
        <w:rPr>
          <w:rFonts w:ascii="David" w:hAnsi="David" w:hint="cs"/>
          <w:rtl/>
        </w:rPr>
        <w:t>;</w:t>
      </w:r>
      <w:r w:rsidRPr="006542FB">
        <w:rPr>
          <w:rFonts w:ascii="David" w:hAnsi="David"/>
          <w:rtl/>
        </w:rPr>
        <w:t xml:space="preserve"> (ג) חומר מודיעיני שיש לנאשם זכות לעיון</w:t>
      </w:r>
      <w:r>
        <w:rPr>
          <w:rFonts w:ascii="David" w:hAnsi="David" w:hint="cs"/>
          <w:rtl/>
        </w:rPr>
        <w:t xml:space="preserve"> </w:t>
      </w:r>
      <w:r w:rsidRPr="00A55602">
        <w:rPr>
          <w:rtl/>
        </w:rPr>
        <w:t>בו</w:t>
      </w:r>
      <w:r w:rsidRPr="006542FB">
        <w:rPr>
          <w:rFonts w:ascii="David" w:hAnsi="David"/>
          <w:rtl/>
        </w:rPr>
        <w:t>, אך לדעת הרשות החוקרת יש להוציא לגביו תעודת חיסיון.</w:t>
      </w:r>
    </w:p>
  </w:footnote>
  <w:footnote w:id="325">
    <w:p w:rsidR="00172C0A" w:rsidRPr="006542FB" w:rsidRDefault="00172C0A" w:rsidP="00A55602">
      <w:pPr>
        <w:pStyle w:val="ad"/>
        <w:ind w:left="282" w:hanging="567"/>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במדור שתי חוליות: חוליה מחוזית וחוליה ארצית. בחוליה המחוזית משרתים ממוני חסיונות מחוזיים שהם נציגי מדור </w:t>
      </w:r>
      <w:r w:rsidRPr="00A55602">
        <w:rPr>
          <w:rtl/>
        </w:rPr>
        <w:t>חסיונות</w:t>
      </w:r>
      <w:r w:rsidRPr="006542FB">
        <w:rPr>
          <w:rFonts w:ascii="David" w:hAnsi="David"/>
          <w:rtl/>
        </w:rPr>
        <w:t xml:space="preserve"> במחוזות, ובין תפקידיהם: השתתפות פעילה בישיבת החסיונות, הכנת פרוטוקול הישיבה וכן הכנת תעודות החיסיון בכלל תיקי המחוזות. תפקידיהם של קציני מדור חסיונות בחוליה הארצית הוא הכנת תעודות החיסיון בתיקי החקירה של היחידות הארציות כגון להב 433</w:t>
      </w:r>
      <w:r>
        <w:rPr>
          <w:rFonts w:ascii="David" w:hAnsi="David" w:hint="cs"/>
          <w:rtl/>
        </w:rPr>
        <w:t xml:space="preserve"> </w:t>
      </w:r>
      <w:r w:rsidRPr="006542FB">
        <w:rPr>
          <w:rFonts w:ascii="David" w:hAnsi="David"/>
          <w:rtl/>
        </w:rPr>
        <w:t>ומג"ב, פיקוח על אופן הכנת תיק החיסיון וטיפול בחומרים לחיסיון על ידי קציני החסיונות ביחידות האופרטיביות.</w:t>
      </w:r>
    </w:p>
  </w:footnote>
  <w:footnote w:id="326">
    <w:p w:rsidR="00172C0A" w:rsidRPr="006542FB" w:rsidRDefault="00172C0A" w:rsidP="00A55602">
      <w:pPr>
        <w:pStyle w:val="ad"/>
        <w:ind w:left="282" w:hanging="567"/>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יצחק עמית, </w:t>
      </w:r>
      <w:r w:rsidRPr="005925B4">
        <w:rPr>
          <w:rFonts w:ascii="David" w:hAnsi="David" w:hint="eastAsia"/>
          <w:b/>
          <w:bCs/>
          <w:rtl/>
        </w:rPr>
        <w:t>חסיונות</w:t>
      </w:r>
      <w:r w:rsidRPr="005925B4">
        <w:rPr>
          <w:rFonts w:ascii="David" w:hAnsi="David"/>
          <w:b/>
          <w:bCs/>
          <w:rtl/>
        </w:rPr>
        <w:t xml:space="preserve"> </w:t>
      </w:r>
      <w:r w:rsidRPr="005925B4">
        <w:rPr>
          <w:rFonts w:ascii="David" w:hAnsi="David" w:hint="eastAsia"/>
          <w:b/>
          <w:bCs/>
          <w:rtl/>
        </w:rPr>
        <w:t>ואינטרסים</w:t>
      </w:r>
      <w:r w:rsidRPr="005925B4">
        <w:rPr>
          <w:rFonts w:ascii="David" w:hAnsi="David"/>
          <w:b/>
          <w:bCs/>
          <w:rtl/>
        </w:rPr>
        <w:t xml:space="preserve"> </w:t>
      </w:r>
      <w:r w:rsidRPr="005925B4">
        <w:rPr>
          <w:rFonts w:ascii="David" w:hAnsi="David" w:hint="eastAsia"/>
          <w:b/>
          <w:bCs/>
          <w:rtl/>
        </w:rPr>
        <w:t>מוגנים</w:t>
      </w:r>
      <w:r w:rsidRPr="005925B4">
        <w:rPr>
          <w:rFonts w:ascii="David" w:hAnsi="David"/>
          <w:b/>
          <w:bCs/>
          <w:rtl/>
        </w:rPr>
        <w:t xml:space="preserve"> - </w:t>
      </w:r>
      <w:r w:rsidRPr="005925B4">
        <w:rPr>
          <w:rFonts w:ascii="David" w:hAnsi="David" w:hint="eastAsia"/>
          <w:b/>
          <w:bCs/>
          <w:rtl/>
        </w:rPr>
        <w:t>הליכי</w:t>
      </w:r>
      <w:r w:rsidRPr="005925B4">
        <w:rPr>
          <w:rFonts w:ascii="David" w:hAnsi="David"/>
          <w:b/>
          <w:bCs/>
          <w:rtl/>
        </w:rPr>
        <w:t xml:space="preserve"> </w:t>
      </w:r>
      <w:r w:rsidRPr="005925B4">
        <w:rPr>
          <w:rFonts w:ascii="David" w:hAnsi="David" w:hint="eastAsia"/>
          <w:b/>
          <w:bCs/>
          <w:rtl/>
        </w:rPr>
        <w:t>גילוי</w:t>
      </w:r>
      <w:r w:rsidRPr="005925B4">
        <w:rPr>
          <w:rFonts w:ascii="David" w:hAnsi="David"/>
          <w:b/>
          <w:bCs/>
          <w:rtl/>
        </w:rPr>
        <w:t xml:space="preserve"> </w:t>
      </w:r>
      <w:r w:rsidRPr="005925B4">
        <w:rPr>
          <w:rFonts w:ascii="David" w:hAnsi="David" w:hint="eastAsia"/>
          <w:b/>
          <w:bCs/>
          <w:rtl/>
        </w:rPr>
        <w:t>ועיון</w:t>
      </w:r>
      <w:r w:rsidRPr="005925B4">
        <w:rPr>
          <w:rFonts w:ascii="David" w:hAnsi="David"/>
          <w:b/>
          <w:bCs/>
          <w:rtl/>
        </w:rPr>
        <w:t xml:space="preserve"> </w:t>
      </w:r>
      <w:r w:rsidRPr="005925B4">
        <w:rPr>
          <w:rFonts w:ascii="David" w:hAnsi="David" w:hint="eastAsia"/>
          <w:b/>
          <w:bCs/>
          <w:rtl/>
        </w:rPr>
        <w:t>במשפט</w:t>
      </w:r>
      <w:r w:rsidRPr="005925B4">
        <w:rPr>
          <w:rFonts w:ascii="David" w:hAnsi="David"/>
          <w:b/>
          <w:bCs/>
          <w:rtl/>
        </w:rPr>
        <w:t xml:space="preserve"> </w:t>
      </w:r>
      <w:r w:rsidRPr="005925B4">
        <w:rPr>
          <w:rFonts w:ascii="David" w:hAnsi="David" w:hint="eastAsia"/>
          <w:b/>
          <w:bCs/>
          <w:rtl/>
        </w:rPr>
        <w:t>האזרחי</w:t>
      </w:r>
      <w:r w:rsidRPr="005925B4">
        <w:rPr>
          <w:rFonts w:ascii="David" w:hAnsi="David"/>
          <w:b/>
          <w:bCs/>
          <w:rtl/>
        </w:rPr>
        <w:t xml:space="preserve"> </w:t>
      </w:r>
      <w:r w:rsidRPr="005925B4">
        <w:rPr>
          <w:rFonts w:ascii="David" w:hAnsi="David" w:hint="eastAsia"/>
          <w:b/>
          <w:bCs/>
          <w:rtl/>
        </w:rPr>
        <w:t>והפלילי</w:t>
      </w:r>
      <w:r>
        <w:rPr>
          <w:rFonts w:ascii="David" w:hAnsi="David"/>
          <w:rtl/>
        </w:rPr>
        <w:t xml:space="preserve"> </w:t>
      </w:r>
      <w:r w:rsidRPr="006542FB">
        <w:rPr>
          <w:rFonts w:ascii="David" w:hAnsi="David"/>
          <w:rtl/>
        </w:rPr>
        <w:t xml:space="preserve">(2021), עמ' 752. כך גם נקבע בפקודת המטה הארצי בעניין "תעודות חיסיון - הכללים וההנחיות להגשת הבקשה" מ-1.4.12, בהתעורר מחלוקת בין </w:t>
      </w:r>
      <w:r w:rsidRPr="00A55602">
        <w:rPr>
          <w:rtl/>
        </w:rPr>
        <w:t>התובע</w:t>
      </w:r>
      <w:r w:rsidRPr="006542FB">
        <w:rPr>
          <w:rFonts w:ascii="David" w:hAnsi="David"/>
          <w:rtl/>
        </w:rPr>
        <w:t xml:space="preserve"> לקצין החקירות הממונה בשאלה אם חומר מסוים נחשב חומר חקירה או חומר חיוני להוכחת אשמת הנאשם או להגנתו של הנאשם, עמדת התובע היא המחייבת.</w:t>
      </w:r>
    </w:p>
  </w:footnote>
  <w:footnote w:id="327">
    <w:p w:rsidR="00172C0A" w:rsidRPr="006542FB" w:rsidRDefault="00172C0A" w:rsidP="00A5560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הדיון בעתירה לגילוי </w:t>
      </w:r>
      <w:r w:rsidRPr="00A55602">
        <w:rPr>
          <w:rtl/>
        </w:rPr>
        <w:t>ראיה</w:t>
      </w:r>
      <w:r w:rsidRPr="006542FB">
        <w:rPr>
          <w:rFonts w:ascii="David" w:hAnsi="David"/>
          <w:rtl/>
        </w:rPr>
        <w:t xml:space="preserve"> שמגיש הנאשם מתקיים במעמד צד אחד ובו מציגה התביעה את החומרים החסויים לראשונה לפני בית המשפט הדן בתיק. בית המשפט בוחן את האיזון בין הפגיעה ב"עניין ציבורי חשוב" לבין הגנת הנאשם. אם בית המשפט משתכנע כי יש בחומר החסוי כדי לפגוע פגיעה מהותית בהגנת הנאשם, ייטה בית המשפט לחשוף את חומרי החקירה המבוקשים. במקרה זה, שבו הוחלט לחשוף את החומרים, אין לתביעה אפשרות לערור על החלטת השופט לגלות את הראיה, והיא צריכה להחליט אם לחשוף את החומר החסוי לפני ההגנה או לחזור בה מכתב האישום, דבר שמשמעו זיכוי הנאשם.</w:t>
      </w:r>
    </w:p>
  </w:footnote>
  <w:footnote w:id="328">
    <w:p w:rsidR="00172C0A" w:rsidRPr="006542FB" w:rsidRDefault="00172C0A" w:rsidP="00CC1A1A">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הפרקליטות </w:t>
      </w:r>
      <w:r w:rsidRPr="00CC1A1A">
        <w:rPr>
          <w:rtl/>
        </w:rPr>
        <w:t>הפלילית</w:t>
      </w:r>
      <w:r w:rsidRPr="006542FB">
        <w:rPr>
          <w:rFonts w:ascii="David" w:hAnsi="David"/>
          <w:rtl/>
        </w:rPr>
        <w:t xml:space="preserve"> מטפלת </w:t>
      </w:r>
      <w:r>
        <w:rPr>
          <w:rFonts w:ascii="David" w:hAnsi="David" w:hint="cs"/>
          <w:rtl/>
        </w:rPr>
        <w:t>ב</w:t>
      </w:r>
      <w:r w:rsidRPr="006542FB">
        <w:rPr>
          <w:rFonts w:ascii="David" w:hAnsi="David"/>
          <w:rtl/>
        </w:rPr>
        <w:t xml:space="preserve">כ-10% מהתיקים הפליליים בישראל הנוגעים לעבירות החמורות שבספר החוקים, ובכללן עבירות המתה, עבירות הונאה, עבירות מין ועבירות אלימות חמורות. </w:t>
      </w:r>
    </w:p>
  </w:footnote>
  <w:footnote w:id="329">
    <w:p w:rsidR="00172C0A" w:rsidRPr="006542FB" w:rsidRDefault="00172C0A" w:rsidP="00CC1A1A">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פרקליטות המדינה, </w:t>
      </w:r>
      <w:r w:rsidRPr="006542FB">
        <w:rPr>
          <w:rFonts w:ascii="David" w:hAnsi="David"/>
          <w:b/>
          <w:bCs/>
          <w:rtl/>
        </w:rPr>
        <w:t xml:space="preserve">סיכום שנתי לשנת 2021 </w:t>
      </w:r>
      <w:r w:rsidRPr="00E32D4D">
        <w:rPr>
          <w:rFonts w:ascii="David" w:hAnsi="David"/>
          <w:rtl/>
        </w:rPr>
        <w:t xml:space="preserve">(פורסם </w:t>
      </w:r>
      <w:r w:rsidRPr="00E32D4D">
        <w:rPr>
          <w:rFonts w:ascii="David" w:hAnsi="David" w:hint="eastAsia"/>
          <w:rtl/>
        </w:rPr>
        <w:t>בשנת</w:t>
      </w:r>
      <w:r>
        <w:rPr>
          <w:rFonts w:ascii="David" w:hAnsi="David" w:hint="cs"/>
          <w:rtl/>
        </w:rPr>
        <w:t xml:space="preserve"> 2022</w:t>
      </w:r>
      <w:r w:rsidRPr="001E0863">
        <w:rPr>
          <w:rFonts w:ascii="David" w:hAnsi="David"/>
          <w:rtl/>
        </w:rPr>
        <w:t>)</w:t>
      </w:r>
      <w:r w:rsidRPr="006542FB">
        <w:rPr>
          <w:rFonts w:ascii="David" w:hAnsi="David"/>
          <w:rtl/>
        </w:rPr>
        <w:t>.</w:t>
      </w:r>
    </w:p>
  </w:footnote>
  <w:footnote w:id="330">
    <w:p w:rsidR="00172C0A" w:rsidRPr="006542FB" w:rsidRDefault="00172C0A" w:rsidP="00CC1A1A">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משטרת ישראל, </w:t>
      </w:r>
      <w:r w:rsidRPr="006542FB">
        <w:rPr>
          <w:rFonts w:ascii="David" w:hAnsi="David"/>
          <w:b/>
          <w:bCs/>
          <w:rtl/>
        </w:rPr>
        <w:t>השנתון הסטטיסטי לשנת 2021</w:t>
      </w:r>
      <w:r w:rsidRPr="006542FB">
        <w:rPr>
          <w:rFonts w:ascii="David" w:hAnsi="David"/>
          <w:rtl/>
        </w:rPr>
        <w:t xml:space="preserve"> (2022). חטיבת התביעות מטפלת בעיקר בעבירות פגיעה בסדר הציבורי ובאיכות חיי</w:t>
      </w:r>
      <w:r>
        <w:rPr>
          <w:rFonts w:ascii="David" w:hAnsi="David" w:hint="cs"/>
          <w:rtl/>
        </w:rPr>
        <w:t>ו</w:t>
      </w:r>
      <w:r w:rsidRPr="006542FB">
        <w:rPr>
          <w:rFonts w:ascii="David" w:hAnsi="David"/>
          <w:rtl/>
        </w:rPr>
        <w:t xml:space="preserve"> של הפרט, ובכלל זה גניבה, גניבת רכב, פריצה לבתי מגורים ולבתי עסק, עבירות סמים, קטטות והפרעות ברחובות ובמוסדות, איומים, מטרדי רעש, חסימת גבול והסגת גבול.</w:t>
      </w:r>
    </w:p>
  </w:footnote>
  <w:footnote w:id="331">
    <w:p w:rsidR="00172C0A" w:rsidRPr="006542FB" w:rsidRDefault="00172C0A" w:rsidP="00CC1A1A">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רע"ב 8858/15 </w:t>
      </w:r>
      <w:r w:rsidRPr="006542FB">
        <w:rPr>
          <w:rFonts w:ascii="David" w:hAnsi="David"/>
          <w:b/>
          <w:bCs/>
          <w:rtl/>
        </w:rPr>
        <w:t>סיבוני נ' שירות בתי הסוהר</w:t>
      </w:r>
      <w:r w:rsidRPr="006542FB">
        <w:rPr>
          <w:rFonts w:ascii="David" w:hAnsi="David"/>
          <w:rtl/>
        </w:rPr>
        <w:t xml:space="preserve"> (פורסם במאגר ממוחשב,</w:t>
      </w:r>
      <w:r>
        <w:rPr>
          <w:rFonts w:ascii="David" w:hAnsi="David" w:hint="cs"/>
          <w:rtl/>
        </w:rPr>
        <w:t xml:space="preserve"> </w:t>
      </w:r>
      <w:r w:rsidRPr="006542FB">
        <w:rPr>
          <w:rFonts w:ascii="David" w:hAnsi="David"/>
          <w:rtl/>
        </w:rPr>
        <w:t>3.8.16)</w:t>
      </w:r>
      <w:r>
        <w:rPr>
          <w:rFonts w:ascii="David" w:hAnsi="David" w:hint="cs"/>
          <w:rtl/>
        </w:rPr>
        <w:t xml:space="preserve"> (באמרת אגב)</w:t>
      </w:r>
      <w:r w:rsidRPr="006542FB">
        <w:rPr>
          <w:rFonts w:ascii="David" w:hAnsi="David"/>
          <w:rtl/>
        </w:rPr>
        <w:t>.</w:t>
      </w:r>
    </w:p>
  </w:footnote>
  <w:footnote w:id="332">
    <w:p w:rsidR="00172C0A" w:rsidRPr="006542FB" w:rsidRDefault="00172C0A" w:rsidP="00CC1A1A">
      <w:pPr>
        <w:pStyle w:val="ad"/>
        <w:ind w:left="282" w:hanging="567"/>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ייתכנו מצבים שבהם נקלטו תיקים במדור אולם לאחר בחינתם הוחלט שאין מקום להוצאת תעודת חיסיון בעניינם, ולחלופין גורמי התביעה הגיעו להסדרי טיעון בסמוך למועד קליטת התיק במדור, ובכך מתייתרת הוצאת תעודת החיסיון.</w:t>
      </w:r>
    </w:p>
  </w:footnote>
  <w:footnote w:id="333">
    <w:p w:rsidR="00172C0A" w:rsidRPr="006542FB" w:rsidRDefault="00172C0A" w:rsidP="00CC1A1A">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כגון רשות המיסים ורשות הטבע והגנים.</w:t>
      </w:r>
    </w:p>
  </w:footnote>
  <w:footnote w:id="334">
    <w:p w:rsidR="00172C0A" w:rsidRPr="006542FB" w:rsidRDefault="00172C0A" w:rsidP="00CC1A1A">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כגון רשות המיסים ורשות הטבע והגנים.</w:t>
      </w:r>
    </w:p>
  </w:footnote>
  <w:footnote w:id="335">
    <w:p w:rsidR="00172C0A" w:rsidRPr="006542FB" w:rsidRDefault="00172C0A" w:rsidP="00CC1A1A">
      <w:pPr>
        <w:pStyle w:val="ad"/>
        <w:ind w:left="282" w:hanging="567"/>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דרך החישוב בפרקליטות: 21% מתוך 8,000 = 1,680. 1680/4,300= 39%. </w:t>
      </w:r>
      <w:r>
        <w:rPr>
          <w:rFonts w:ascii="David" w:hAnsi="David" w:hint="cs"/>
          <w:rtl/>
        </w:rPr>
        <w:t xml:space="preserve">דרך החישוב </w:t>
      </w:r>
      <w:r w:rsidRPr="006542FB">
        <w:rPr>
          <w:rFonts w:ascii="David" w:hAnsi="David"/>
          <w:rtl/>
        </w:rPr>
        <w:t>בחטיבת התביעות: 73% מתוך 8,000= 5,840. 5840/34,000= 17%.</w:t>
      </w:r>
    </w:p>
  </w:footnote>
  <w:footnote w:id="336">
    <w:p w:rsidR="00172C0A" w:rsidRPr="006542FB" w:rsidRDefault="00172C0A" w:rsidP="00CC1A1A">
      <w:pPr>
        <w:pStyle w:val="ad"/>
        <w:ind w:left="282" w:hanging="567"/>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בש"פ 2043/05 </w:t>
      </w:r>
      <w:r w:rsidRPr="006542FB">
        <w:rPr>
          <w:rFonts w:ascii="David" w:hAnsi="David"/>
          <w:b/>
          <w:bCs/>
          <w:rtl/>
        </w:rPr>
        <w:t>מדינת ישראל נ' זאבי</w:t>
      </w:r>
      <w:r w:rsidRPr="006542FB">
        <w:rPr>
          <w:rFonts w:ascii="David" w:hAnsi="David"/>
          <w:rtl/>
        </w:rPr>
        <w:t xml:space="preserve"> (פורסם במאגר ממוחשב,</w:t>
      </w:r>
      <w:r>
        <w:rPr>
          <w:rFonts w:ascii="David" w:hAnsi="David" w:hint="cs"/>
          <w:rtl/>
        </w:rPr>
        <w:t xml:space="preserve"> </w:t>
      </w:r>
      <w:r w:rsidRPr="006542FB">
        <w:rPr>
          <w:rFonts w:ascii="David" w:hAnsi="David"/>
          <w:rtl/>
        </w:rPr>
        <w:t xml:space="preserve">15.9.05); בש"פ 7064/08 </w:t>
      </w:r>
      <w:r w:rsidRPr="006542FB">
        <w:rPr>
          <w:rFonts w:ascii="David" w:hAnsi="David"/>
          <w:b/>
          <w:bCs/>
          <w:rtl/>
        </w:rPr>
        <w:t>מדינת ישראל נ' ברקו</w:t>
      </w:r>
      <w:r>
        <w:rPr>
          <w:rFonts w:ascii="David" w:hAnsi="David" w:hint="cs"/>
          <w:b/>
          <w:bCs/>
          <w:rtl/>
        </w:rPr>
        <w:t xml:space="preserve"> </w:t>
      </w:r>
      <w:r>
        <w:rPr>
          <w:rFonts w:ascii="David" w:hAnsi="David" w:hint="cs"/>
          <w:rtl/>
        </w:rPr>
        <w:t>פ"ד סג(2) 453 (2009)</w:t>
      </w:r>
      <w:r w:rsidRPr="006542FB">
        <w:rPr>
          <w:rFonts w:ascii="David" w:hAnsi="David"/>
          <w:rtl/>
        </w:rPr>
        <w:t>. נוסף על שלוש הקטגוריות לסיווג השיחות, שאותן קבע בית המשפט, בהתאם לנוהלי המשטרה יש עוד שני סיווגים של שיחות שנקלטו בהאזנות סתר, וככלל שיחות אלו אינן רלוונטיות: שיחות אינטימיות, אשר נוגעות ליחסים אינטימיים בין הדוברים, ושיחות חסויות אשר נשמרות בחיסיון שממנו נהנים בעלי מקצוע כגון עורכי דין ועיתונאים</w:t>
      </w:r>
      <w:r>
        <w:rPr>
          <w:rFonts w:ascii="David" w:hAnsi="David" w:hint="cs"/>
          <w:rtl/>
        </w:rPr>
        <w:t xml:space="preserve"> אך בית המשפט רשאי להתיר בצו האזנת סתר לשיחה שהעדות עליה חסויה בנסיבות הקבועות בחוק</w:t>
      </w:r>
      <w:r w:rsidRPr="006542FB">
        <w:rPr>
          <w:rFonts w:ascii="David" w:hAnsi="David"/>
          <w:rtl/>
        </w:rPr>
        <w:t>.</w:t>
      </w:r>
    </w:p>
  </w:footnote>
  <w:footnote w:id="337">
    <w:p w:rsidR="00172C0A" w:rsidRPr="006542FB" w:rsidRDefault="00172C0A" w:rsidP="00CC1A1A">
      <w:pPr>
        <w:pStyle w:val="ad"/>
        <w:ind w:left="282" w:hanging="567"/>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בש"פ 3488/17 </w:t>
      </w:r>
      <w:r w:rsidRPr="006542FB">
        <w:rPr>
          <w:rFonts w:ascii="David" w:hAnsi="David"/>
          <w:b/>
          <w:bCs/>
          <w:rtl/>
        </w:rPr>
        <w:t>ג'רושי נ' מדינת ישראל</w:t>
      </w:r>
      <w:r w:rsidRPr="006542FB">
        <w:rPr>
          <w:rFonts w:ascii="David" w:hAnsi="David"/>
          <w:rtl/>
        </w:rPr>
        <w:t xml:space="preserve"> (פורסם במאגר ממוחשב,</w:t>
      </w:r>
      <w:r>
        <w:rPr>
          <w:rFonts w:ascii="David" w:hAnsi="David" w:hint="cs"/>
          <w:rtl/>
        </w:rPr>
        <w:t xml:space="preserve"> </w:t>
      </w:r>
      <w:r w:rsidRPr="006542FB">
        <w:rPr>
          <w:rFonts w:ascii="David" w:hAnsi="David"/>
          <w:rtl/>
        </w:rPr>
        <w:t>22.6.17).</w:t>
      </w:r>
    </w:p>
  </w:footnote>
  <w:footnote w:id="338">
    <w:p w:rsidR="00172C0A" w:rsidRPr="006542FB" w:rsidRDefault="00172C0A" w:rsidP="00CC1A1A">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בש"פ 5469/23 </w:t>
      </w:r>
      <w:r w:rsidRPr="006542FB">
        <w:rPr>
          <w:rFonts w:ascii="David" w:hAnsi="David"/>
          <w:b/>
          <w:bCs/>
          <w:rtl/>
        </w:rPr>
        <w:t>עפאנה נ' מדינת ישראל</w:t>
      </w:r>
      <w:r w:rsidRPr="006542FB">
        <w:rPr>
          <w:rFonts w:ascii="David" w:hAnsi="David"/>
          <w:rtl/>
        </w:rPr>
        <w:t xml:space="preserve"> (פורסם במאגר </w:t>
      </w:r>
      <w:r>
        <w:rPr>
          <w:rFonts w:ascii="David" w:hAnsi="David" w:hint="cs"/>
          <w:rtl/>
        </w:rPr>
        <w:t xml:space="preserve">ממוחשב, </w:t>
      </w:r>
      <w:r w:rsidRPr="006542FB">
        <w:rPr>
          <w:rFonts w:ascii="David" w:hAnsi="David"/>
          <w:rtl/>
        </w:rPr>
        <w:t>26.7.23).</w:t>
      </w:r>
    </w:p>
  </w:footnote>
  <w:footnote w:id="339">
    <w:p w:rsidR="00172C0A" w:rsidRPr="006542FB" w:rsidRDefault="00172C0A" w:rsidP="00CC1A1A">
      <w:pPr>
        <w:pStyle w:val="ad"/>
        <w:ind w:left="282" w:hanging="567"/>
        <w:rPr>
          <w:rFonts w:ascii="David" w:hAnsi="David"/>
          <w:rtl/>
        </w:rPr>
      </w:pPr>
      <w:r w:rsidRPr="006542FB">
        <w:rPr>
          <w:rStyle w:val="af"/>
          <w:rFonts w:ascii="David" w:hAnsi="David"/>
        </w:rPr>
        <w:footnoteRef/>
      </w:r>
      <w:r w:rsidRPr="006542FB">
        <w:rPr>
          <w:rFonts w:ascii="David" w:hAnsi="David"/>
          <w:rtl/>
        </w:rPr>
        <w:t xml:space="preserve"> </w:t>
      </w:r>
      <w:r w:rsidRPr="006542FB">
        <w:rPr>
          <w:rFonts w:ascii="David" w:hAnsi="David"/>
          <w:rtl/>
        </w:rPr>
        <w:tab/>
        <w:t>הנחיית היוע</w:t>
      </w:r>
      <w:r>
        <w:rPr>
          <w:rFonts w:ascii="David" w:hAnsi="David" w:hint="cs"/>
          <w:rtl/>
        </w:rPr>
        <w:t>מ"ש</w:t>
      </w:r>
      <w:r w:rsidRPr="006542FB">
        <w:rPr>
          <w:rFonts w:ascii="David" w:hAnsi="David"/>
          <w:rtl/>
        </w:rPr>
        <w:t xml:space="preserve"> לממשלה מס' 2.3005</w:t>
      </w:r>
      <w:r>
        <w:rPr>
          <w:rFonts w:ascii="David" w:hAnsi="David" w:hint="cs"/>
          <w:rtl/>
        </w:rPr>
        <w:t>,</w:t>
      </w:r>
      <w:r w:rsidRPr="006542FB">
        <w:rPr>
          <w:rFonts w:ascii="David" w:hAnsi="David"/>
          <w:rtl/>
        </w:rPr>
        <w:t xml:space="preserve"> "טיפול בהצעות חוק ממשלתיות" </w:t>
      </w:r>
      <w:r>
        <w:rPr>
          <w:rFonts w:ascii="David" w:hAnsi="David" w:hint="cs"/>
          <w:rtl/>
        </w:rPr>
        <w:t>(</w:t>
      </w:r>
      <w:r w:rsidRPr="006542FB">
        <w:rPr>
          <w:rFonts w:ascii="David" w:hAnsi="David"/>
          <w:rtl/>
        </w:rPr>
        <w:t>5.3.18</w:t>
      </w:r>
      <w:r>
        <w:rPr>
          <w:rFonts w:ascii="David" w:hAnsi="David" w:hint="cs"/>
          <w:rtl/>
        </w:rPr>
        <w:t>)</w:t>
      </w:r>
      <w:r w:rsidRPr="006542FB">
        <w:rPr>
          <w:rFonts w:ascii="David" w:hAnsi="David"/>
          <w:rtl/>
        </w:rPr>
        <w:t>.</w:t>
      </w:r>
    </w:p>
  </w:footnote>
  <w:footnote w:id="340">
    <w:p w:rsidR="00172C0A" w:rsidRDefault="00172C0A" w:rsidP="00CC1A1A">
      <w:pPr>
        <w:pStyle w:val="ad"/>
        <w:ind w:left="282" w:hanging="567"/>
      </w:pPr>
      <w:r>
        <w:rPr>
          <w:rStyle w:val="af"/>
        </w:rPr>
        <w:footnoteRef/>
      </w:r>
      <w:r>
        <w:rPr>
          <w:rtl/>
        </w:rPr>
        <w:t xml:space="preserve"> </w:t>
      </w:r>
      <w:r>
        <w:rPr>
          <w:rtl/>
        </w:rPr>
        <w:tab/>
      </w:r>
      <w:r w:rsidRPr="00CC1A1A">
        <w:rPr>
          <w:rFonts w:ascii="David" w:hAnsi="David" w:hint="cs"/>
          <w:rtl/>
        </w:rPr>
        <w:t>רע</w:t>
      </w:r>
      <w:r>
        <w:rPr>
          <w:rFonts w:hint="cs"/>
          <w:rtl/>
        </w:rPr>
        <w:t xml:space="preserve">"פ 8873/07 </w:t>
      </w:r>
      <w:r w:rsidRPr="0021269D">
        <w:rPr>
          <w:rFonts w:hint="eastAsia"/>
          <w:b/>
          <w:bCs/>
          <w:rtl/>
        </w:rPr>
        <w:t>היינץ</w:t>
      </w:r>
      <w:r w:rsidRPr="0021269D">
        <w:rPr>
          <w:b/>
          <w:bCs/>
          <w:rtl/>
        </w:rPr>
        <w:t xml:space="preserve"> </w:t>
      </w:r>
      <w:r w:rsidRPr="0021269D">
        <w:rPr>
          <w:rFonts w:hint="eastAsia"/>
          <w:b/>
          <w:bCs/>
          <w:rtl/>
        </w:rPr>
        <w:t>ישראל</w:t>
      </w:r>
      <w:r w:rsidRPr="0021269D">
        <w:rPr>
          <w:b/>
          <w:bCs/>
          <w:rtl/>
        </w:rPr>
        <w:t xml:space="preserve"> </w:t>
      </w:r>
      <w:r w:rsidRPr="0021269D">
        <w:rPr>
          <w:rFonts w:hint="eastAsia"/>
          <w:b/>
          <w:bCs/>
          <w:rtl/>
        </w:rPr>
        <w:t>נ</w:t>
      </w:r>
      <w:r w:rsidRPr="0021269D">
        <w:rPr>
          <w:b/>
          <w:bCs/>
          <w:rtl/>
        </w:rPr>
        <w:t xml:space="preserve">' </w:t>
      </w:r>
      <w:r w:rsidRPr="0021269D">
        <w:rPr>
          <w:rFonts w:hint="eastAsia"/>
          <w:b/>
          <w:bCs/>
          <w:rtl/>
        </w:rPr>
        <w:t>מדינת</w:t>
      </w:r>
      <w:r w:rsidRPr="0021269D">
        <w:rPr>
          <w:b/>
          <w:bCs/>
          <w:rtl/>
        </w:rPr>
        <w:t xml:space="preserve"> </w:t>
      </w:r>
      <w:r w:rsidRPr="0021269D">
        <w:rPr>
          <w:rFonts w:hint="eastAsia"/>
          <w:b/>
          <w:bCs/>
          <w:rtl/>
        </w:rPr>
        <w:t>ישראל</w:t>
      </w:r>
      <w:r>
        <w:rPr>
          <w:rFonts w:hint="cs"/>
          <w:rtl/>
        </w:rPr>
        <w:t xml:space="preserve"> (פורסם במאגר משפטי, 2.1.11). </w:t>
      </w:r>
    </w:p>
  </w:footnote>
  <w:footnote w:id="341">
    <w:p w:rsidR="00172C0A" w:rsidRDefault="00172C0A" w:rsidP="00CC1A1A">
      <w:pPr>
        <w:pStyle w:val="ad"/>
        <w:ind w:left="282" w:hanging="567"/>
      </w:pPr>
      <w:r>
        <w:rPr>
          <w:rStyle w:val="af"/>
        </w:rPr>
        <w:footnoteRef/>
      </w:r>
      <w:r>
        <w:rPr>
          <w:rtl/>
        </w:rPr>
        <w:t xml:space="preserve"> </w:t>
      </w:r>
      <w:r>
        <w:rPr>
          <w:rtl/>
        </w:rPr>
        <w:tab/>
      </w:r>
      <w:r>
        <w:rPr>
          <w:rFonts w:hint="cs"/>
          <w:rtl/>
        </w:rPr>
        <w:t xml:space="preserve">בג"ץ 8298/22 </w:t>
      </w:r>
      <w:r w:rsidRPr="0021269D">
        <w:rPr>
          <w:rFonts w:hint="eastAsia"/>
          <w:b/>
          <w:bCs/>
          <w:rtl/>
        </w:rPr>
        <w:t>הסנגוריה</w:t>
      </w:r>
      <w:r w:rsidRPr="0021269D">
        <w:rPr>
          <w:b/>
          <w:bCs/>
          <w:rtl/>
        </w:rPr>
        <w:t xml:space="preserve"> </w:t>
      </w:r>
      <w:r w:rsidRPr="0021269D">
        <w:rPr>
          <w:rFonts w:hint="eastAsia"/>
          <w:b/>
          <w:bCs/>
          <w:rtl/>
        </w:rPr>
        <w:t>הציבורית</w:t>
      </w:r>
      <w:r w:rsidRPr="0021269D">
        <w:rPr>
          <w:b/>
          <w:bCs/>
          <w:rtl/>
        </w:rPr>
        <w:t xml:space="preserve"> </w:t>
      </w:r>
      <w:r w:rsidRPr="0021269D">
        <w:rPr>
          <w:rFonts w:hint="eastAsia"/>
          <w:b/>
          <w:bCs/>
          <w:rtl/>
        </w:rPr>
        <w:t>נ</w:t>
      </w:r>
      <w:r w:rsidRPr="0021269D">
        <w:rPr>
          <w:b/>
          <w:bCs/>
          <w:rtl/>
        </w:rPr>
        <w:t xml:space="preserve">' </w:t>
      </w:r>
      <w:r w:rsidRPr="0021269D">
        <w:rPr>
          <w:rFonts w:hint="eastAsia"/>
          <w:b/>
          <w:bCs/>
          <w:rtl/>
        </w:rPr>
        <w:t>היועצת</w:t>
      </w:r>
      <w:r w:rsidRPr="0021269D">
        <w:rPr>
          <w:b/>
          <w:bCs/>
          <w:rtl/>
        </w:rPr>
        <w:t xml:space="preserve"> </w:t>
      </w:r>
      <w:r w:rsidRPr="0021269D">
        <w:rPr>
          <w:rFonts w:hint="eastAsia"/>
          <w:b/>
          <w:bCs/>
          <w:rtl/>
        </w:rPr>
        <w:t>המשפטית</w:t>
      </w:r>
      <w:r w:rsidRPr="0021269D">
        <w:rPr>
          <w:b/>
          <w:bCs/>
          <w:rtl/>
        </w:rPr>
        <w:t xml:space="preserve"> </w:t>
      </w:r>
      <w:r w:rsidRPr="0021269D">
        <w:rPr>
          <w:rFonts w:hint="eastAsia"/>
          <w:b/>
          <w:bCs/>
          <w:rtl/>
        </w:rPr>
        <w:t>לממשלה</w:t>
      </w:r>
      <w:r w:rsidRPr="0021269D">
        <w:rPr>
          <w:b/>
          <w:bCs/>
          <w:rtl/>
        </w:rPr>
        <w:t xml:space="preserve"> </w:t>
      </w:r>
      <w:r w:rsidRPr="0021269D">
        <w:rPr>
          <w:rFonts w:hint="eastAsia"/>
          <w:b/>
          <w:bCs/>
          <w:rtl/>
        </w:rPr>
        <w:t>ואח</w:t>
      </w:r>
      <w:r w:rsidRPr="0021269D">
        <w:rPr>
          <w:b/>
          <w:bCs/>
          <w:rtl/>
        </w:rPr>
        <w:t>'</w:t>
      </w:r>
      <w:r>
        <w:rPr>
          <w:rFonts w:hint="cs"/>
          <w:rtl/>
        </w:rPr>
        <w:t xml:space="preserve"> (פורסם במאגר משפטי, 31.8.25)</w:t>
      </w:r>
    </w:p>
  </w:footnote>
  <w:footnote w:id="342">
    <w:p w:rsidR="00172C0A" w:rsidRPr="006542FB" w:rsidRDefault="00172C0A" w:rsidP="00CC1A1A">
      <w:pPr>
        <w:pStyle w:val="ad"/>
        <w:ind w:left="282" w:hanging="567"/>
        <w:rPr>
          <w:rFonts w:ascii="David" w:hAnsi="David"/>
          <w:b/>
          <w:bCs/>
          <w:rtl/>
        </w:rPr>
      </w:pPr>
      <w:r w:rsidRPr="0021269D">
        <w:rPr>
          <w:rStyle w:val="af"/>
          <w:rFonts w:ascii="David" w:hAnsi="David"/>
        </w:rPr>
        <w:footnoteRef/>
      </w:r>
      <w:r w:rsidRPr="006542FB">
        <w:rPr>
          <w:rFonts w:ascii="David" w:hAnsi="David"/>
          <w:b/>
          <w:bCs/>
          <w:rtl/>
        </w:rPr>
        <w:t xml:space="preserve"> </w:t>
      </w:r>
      <w:r w:rsidRPr="006542FB">
        <w:rPr>
          <w:rFonts w:ascii="David" w:hAnsi="David"/>
          <w:b/>
          <w:bCs/>
          <w:rtl/>
        </w:rPr>
        <w:tab/>
      </w:r>
      <w:r w:rsidRPr="00CC1A1A">
        <w:rPr>
          <w:rtl/>
        </w:rPr>
        <w:t>תזכיר</w:t>
      </w:r>
      <w:r w:rsidRPr="006542FB">
        <w:rPr>
          <w:rFonts w:ascii="David" w:hAnsi="David"/>
          <w:rtl/>
        </w:rPr>
        <w:t xml:space="preserve"> חוק הוא טיוטה ראשונית של הצעת החוק בתוספת דברי הסבר מפורטים על מטרותיה של החקיקה. משרדי הממשלה הם שמכינים ומפיצים את התזכיר, לרוב בהיוועצות עם </w:t>
      </w:r>
      <w:r>
        <w:rPr>
          <w:rFonts w:ascii="David" w:hAnsi="David" w:hint="cs"/>
          <w:rtl/>
        </w:rPr>
        <w:t>גורמי הייעוץ המשפטי לממשלה</w:t>
      </w:r>
      <w:r w:rsidRPr="006542FB">
        <w:rPr>
          <w:rFonts w:ascii="David" w:hAnsi="David"/>
          <w:rtl/>
        </w:rPr>
        <w:t>, והוא נועד לדיון ראשוני בהצעת החוק ולקבלת תגובות הציבור בעניינו.</w:t>
      </w:r>
      <w:r w:rsidRPr="006542FB">
        <w:rPr>
          <w:rFonts w:ascii="David" w:hAnsi="David"/>
          <w:b/>
          <w:bCs/>
          <w:rtl/>
        </w:rPr>
        <w:t xml:space="preserve"> </w:t>
      </w:r>
    </w:p>
  </w:footnote>
  <w:footnote w:id="343">
    <w:p w:rsidR="00172C0A" w:rsidRDefault="00172C0A" w:rsidP="00CC1A1A">
      <w:pPr>
        <w:pStyle w:val="ad"/>
        <w:ind w:left="282" w:hanging="567"/>
        <w:rPr>
          <w:rtl/>
        </w:rPr>
      </w:pPr>
      <w:r>
        <w:rPr>
          <w:rStyle w:val="af"/>
        </w:rPr>
        <w:footnoteRef/>
      </w:r>
      <w:r>
        <w:rPr>
          <w:rtl/>
        </w:rPr>
        <w:t xml:space="preserve"> </w:t>
      </w:r>
      <w:r>
        <w:rPr>
          <w:rtl/>
        </w:rPr>
        <w:tab/>
      </w:r>
      <w:r>
        <w:rPr>
          <w:rFonts w:hint="cs"/>
          <w:rtl/>
        </w:rPr>
        <w:t>תזכיר חוק סדר הדין הפלילי (סמכויות אכיפה, המצאה, חיפוש ותפיסה), התשע"ד-2014. מדובר בתזכיר חוק רחב היקף אשר נועד להחליף את פקודת סדר הדין הפלילי ולהוסיף על הסמכויות הקיימות של המשטרה סמכויות נוספות לצד עיגון זכויות החשוד או האדם שכלפיו מופעלת הסמכות הפלילית.</w:t>
      </w:r>
    </w:p>
  </w:footnote>
  <w:footnote w:id="344">
    <w:p w:rsidR="00172C0A" w:rsidRPr="006542FB" w:rsidRDefault="00172C0A" w:rsidP="00CC1A1A">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הישיבה ה-141 </w:t>
      </w:r>
      <w:r w:rsidRPr="00CC1A1A">
        <w:rPr>
          <w:rtl/>
        </w:rPr>
        <w:t>של</w:t>
      </w:r>
      <w:r w:rsidRPr="006542FB">
        <w:rPr>
          <w:rFonts w:ascii="David" w:hAnsi="David"/>
          <w:rtl/>
        </w:rPr>
        <w:t xml:space="preserve"> הכנסת התשע עשרה </w:t>
      </w:r>
      <w:r>
        <w:rPr>
          <w:rFonts w:ascii="David" w:hAnsi="David" w:hint="cs"/>
          <w:rtl/>
        </w:rPr>
        <w:t>(</w:t>
      </w:r>
      <w:r w:rsidRPr="006542FB">
        <w:rPr>
          <w:rFonts w:ascii="David" w:hAnsi="David"/>
          <w:rtl/>
        </w:rPr>
        <w:t>2.6.14</w:t>
      </w:r>
      <w:r>
        <w:rPr>
          <w:rFonts w:ascii="David" w:hAnsi="David" w:hint="cs"/>
          <w:rtl/>
        </w:rPr>
        <w:t>)</w:t>
      </w:r>
      <w:r>
        <w:rPr>
          <w:rFonts w:ascii="David" w:hAnsi="David"/>
        </w:rPr>
        <w:t>.</w:t>
      </w:r>
    </w:p>
  </w:footnote>
  <w:footnote w:id="345">
    <w:p w:rsidR="00172C0A" w:rsidRPr="006542FB" w:rsidRDefault="00172C0A" w:rsidP="00CC1A1A">
      <w:pPr>
        <w:pStyle w:val="ad"/>
        <w:ind w:left="282" w:hanging="567"/>
        <w:rPr>
          <w:rFonts w:ascii="David" w:hAnsi="David"/>
          <w:b/>
          <w:bCs/>
          <w:rtl/>
        </w:rPr>
      </w:pPr>
      <w:r w:rsidRPr="006542FB">
        <w:rPr>
          <w:rStyle w:val="af"/>
          <w:rFonts w:ascii="David" w:hAnsi="David"/>
        </w:rPr>
        <w:footnoteRef/>
      </w:r>
      <w:r w:rsidRPr="006542FB">
        <w:rPr>
          <w:rFonts w:ascii="David" w:hAnsi="David"/>
          <w:rtl/>
        </w:rPr>
        <w:t xml:space="preserve"> </w:t>
      </w:r>
      <w:r w:rsidRPr="006542FB">
        <w:rPr>
          <w:rFonts w:ascii="David" w:hAnsi="David"/>
          <w:rtl/>
        </w:rPr>
        <w:tab/>
        <w:t xml:space="preserve">פרוטוקול 662 של ישיבת ועדת החוקה, חוק ומשפט </w:t>
      </w:r>
      <w:r>
        <w:rPr>
          <w:rFonts w:ascii="David" w:hAnsi="David" w:hint="cs"/>
          <w:rtl/>
        </w:rPr>
        <w:t>(</w:t>
      </w:r>
      <w:r w:rsidRPr="006542FB">
        <w:rPr>
          <w:rFonts w:ascii="David" w:hAnsi="David"/>
          <w:rtl/>
        </w:rPr>
        <w:t>9.7.18</w:t>
      </w:r>
      <w:r>
        <w:rPr>
          <w:rFonts w:ascii="David" w:hAnsi="David" w:hint="cs"/>
          <w:rtl/>
        </w:rPr>
        <w:t>)</w:t>
      </w:r>
      <w:r w:rsidRPr="006542FB">
        <w:rPr>
          <w:rFonts w:ascii="David" w:hAnsi="David"/>
          <w:rtl/>
        </w:rPr>
        <w:t>. על סדר היום: הצעת חוק סדר הדין הפלילי (סמכויות אכיפה - המצאה, חיפוש ותפיסה), התשע"ד-2014.</w:t>
      </w:r>
    </w:p>
  </w:footnote>
  <w:footnote w:id="346">
    <w:p w:rsidR="00172C0A" w:rsidRPr="00CC1A1A" w:rsidRDefault="00172C0A" w:rsidP="00CC1A1A">
      <w:pPr>
        <w:pStyle w:val="ad"/>
        <w:ind w:left="282" w:hanging="567"/>
        <w:rPr>
          <w:rFonts w:ascii="David" w:hAnsi="David"/>
        </w:rPr>
      </w:pPr>
      <w:r>
        <w:rPr>
          <w:rStyle w:val="af"/>
        </w:rPr>
        <w:footnoteRef/>
      </w:r>
      <w:r>
        <w:rPr>
          <w:rtl/>
        </w:rPr>
        <w:t xml:space="preserve"> </w:t>
      </w:r>
      <w:r>
        <w:rPr>
          <w:rFonts w:ascii="David" w:hAnsi="David"/>
          <w:rtl/>
        </w:rPr>
        <w:tab/>
      </w:r>
      <w:r w:rsidRPr="00CC1A1A">
        <w:rPr>
          <w:rFonts w:ascii="David" w:hAnsi="David"/>
          <w:rtl/>
        </w:rPr>
        <w:t>ועדת הבדיקה הממשלתית בעניין רכש, מעקב ואיסוף מידע בכלים קיברנטיים אחר אזרחים ונושאי משרה המבוצעים על ידי גורמי אכיפה</w:t>
      </w:r>
      <w:r w:rsidRPr="00CC1A1A">
        <w:rPr>
          <w:rFonts w:ascii="David" w:hAnsi="David" w:hint="cs"/>
          <w:rtl/>
        </w:rPr>
        <w:t xml:space="preserve">, שהוקמה ביום 27.8.23 מכוח החלטת הממשלה 897. </w:t>
      </w:r>
    </w:p>
  </w:footnote>
  <w:footnote w:id="347">
    <w:p w:rsidR="00172C0A" w:rsidRPr="00CC1A1A" w:rsidRDefault="00172C0A" w:rsidP="00CC1A1A">
      <w:pPr>
        <w:pStyle w:val="ad"/>
        <w:ind w:left="282" w:hanging="567"/>
        <w:rPr>
          <w:rFonts w:ascii="David" w:hAnsi="David"/>
        </w:rPr>
      </w:pPr>
      <w:r w:rsidRPr="00CC1A1A">
        <w:rPr>
          <w:rStyle w:val="af"/>
        </w:rPr>
        <w:footnoteRef/>
      </w:r>
      <w:r w:rsidRPr="00CC1A1A">
        <w:rPr>
          <w:rStyle w:val="af"/>
          <w:rtl/>
        </w:rPr>
        <w:t xml:space="preserve"> </w:t>
      </w:r>
      <w:r w:rsidRPr="00CC1A1A">
        <w:rPr>
          <w:rFonts w:ascii="David" w:hAnsi="David"/>
          <w:rtl/>
        </w:rPr>
        <w:tab/>
      </w:r>
      <w:r w:rsidRPr="00CC1A1A">
        <w:rPr>
          <w:rFonts w:ascii="David" w:hAnsi="David" w:hint="cs"/>
          <w:rtl/>
        </w:rPr>
        <w:t>הצעת חוק המשטרה (חדירה לחומר מחשב), התשפ"ד-2024.</w:t>
      </w:r>
    </w:p>
  </w:footnote>
  <w:footnote w:id="348">
    <w:p w:rsidR="00172C0A" w:rsidRDefault="00172C0A" w:rsidP="00CC1A1A">
      <w:pPr>
        <w:pStyle w:val="ad"/>
        <w:ind w:left="282" w:hanging="567"/>
        <w:rPr>
          <w:rtl/>
        </w:rPr>
      </w:pPr>
      <w:r w:rsidRPr="00CC1A1A">
        <w:rPr>
          <w:rStyle w:val="af"/>
        </w:rPr>
        <w:footnoteRef/>
      </w:r>
      <w:r w:rsidRPr="00CC1A1A">
        <w:rPr>
          <w:rStyle w:val="af"/>
          <w:rtl/>
        </w:rPr>
        <w:t xml:space="preserve"> </w:t>
      </w:r>
      <w:r w:rsidRPr="00CC1A1A">
        <w:rPr>
          <w:rFonts w:ascii="David" w:hAnsi="David"/>
          <w:rtl/>
        </w:rPr>
        <w:tab/>
      </w:r>
      <w:r w:rsidRPr="00CC1A1A">
        <w:rPr>
          <w:rFonts w:ascii="David" w:hAnsi="David" w:hint="cs"/>
          <w:rtl/>
        </w:rPr>
        <w:t>בהתאם להצעה החוק יוחל על העבירות שלהלן שדינן יותר מ-10 שנות מאסר: בהתאם לחוק העונשין, התשל"ז- 1977 - עבירות בנשק לפי סעיפים 144(א), 144(ב); התפרעות שסופה נזק לפי סעיף 157; עבירת סחר, ייצור ויבוא סכין לפי סעיף 186; איסור מכירת אגרופן או סכין לקטין לפי סעיף 185א; פרסום והצגת תועבה לפי סעיפים 214(ב1), 214(ב2); חטיפה לפי סעיף 369; סחיטה בכוח לפי סעיף 427; סחיטה באיומים לפי סעיף 428; גביית דמי חסות לפי סעיף 428א,</w:t>
      </w:r>
      <w:r>
        <w:rPr>
          <w:rFonts w:hint="cs"/>
          <w:rtl/>
        </w:rPr>
        <w:t xml:space="preserve"> לפי חוק איסור הלבנת הון, התש"ס-2000: איסור הלבנת הון לפי סעיף 3(א) ואיסור עשיית פעולה ברכוש אסור לפי סעיף 4, לפי חוק מאבק בארגוני פשיעה, התשס"ג-2003: פעיל בארגון פשיעה לפי סעיפים 2(א) ו-2(ב).</w:t>
      </w:r>
    </w:p>
  </w:footnote>
  <w:footnote w:id="349">
    <w:p w:rsidR="00172C0A" w:rsidRDefault="00172C0A" w:rsidP="00CC1A1A">
      <w:pPr>
        <w:pStyle w:val="ad"/>
        <w:ind w:left="282" w:hanging="567"/>
        <w:rPr>
          <w:rtl/>
        </w:rPr>
      </w:pPr>
      <w:r>
        <w:rPr>
          <w:rStyle w:val="af"/>
        </w:rPr>
        <w:footnoteRef/>
      </w:r>
      <w:r>
        <w:rPr>
          <w:rtl/>
        </w:rPr>
        <w:t xml:space="preserve"> </w:t>
      </w:r>
      <w:r>
        <w:rPr>
          <w:rFonts w:ascii="David" w:hAnsi="David"/>
          <w:b/>
          <w:bCs/>
          <w:rtl/>
        </w:rPr>
        <w:tab/>
      </w:r>
      <w:r w:rsidRPr="00AE7C26">
        <w:rPr>
          <w:rFonts w:ascii="David" w:hAnsi="David"/>
          <w:b/>
          <w:bCs/>
          <w:rtl/>
        </w:rPr>
        <w:t>תיעוד סתר חזותי</w:t>
      </w:r>
      <w:r w:rsidRPr="006542FB">
        <w:rPr>
          <w:rFonts w:ascii="David" w:hAnsi="David"/>
          <w:rtl/>
        </w:rPr>
        <w:t xml:space="preserve"> </w:t>
      </w:r>
      <w:r>
        <w:rPr>
          <w:rFonts w:ascii="David" w:hAnsi="David" w:hint="cs"/>
          <w:rtl/>
        </w:rPr>
        <w:t>-</w:t>
      </w:r>
      <w:r w:rsidRPr="006542FB">
        <w:rPr>
          <w:rFonts w:ascii="David" w:hAnsi="David"/>
          <w:rtl/>
        </w:rPr>
        <w:t xml:space="preserve"> צילום של תמונות או צילומי ויד</w:t>
      </w:r>
      <w:r>
        <w:rPr>
          <w:rFonts w:ascii="David" w:hAnsi="David" w:hint="cs"/>
          <w:rtl/>
        </w:rPr>
        <w:t>י</w:t>
      </w:r>
      <w:r w:rsidRPr="006542FB">
        <w:rPr>
          <w:rFonts w:ascii="David" w:hAnsi="David"/>
          <w:rtl/>
        </w:rPr>
        <w:t>או ב</w:t>
      </w:r>
      <w:r>
        <w:rPr>
          <w:rFonts w:ascii="David" w:hAnsi="David" w:hint="cs"/>
          <w:rtl/>
        </w:rPr>
        <w:t>רשות היחיד ובפרט כאשר הדבר מחייב חדירה לרשות הפרט לשם צילום</w:t>
      </w:r>
      <w:r w:rsidRPr="006542FB">
        <w:rPr>
          <w:rFonts w:ascii="David" w:hAnsi="David"/>
          <w:rtl/>
        </w:rPr>
        <w:t xml:space="preserve"> ללא ידיעת המצולם.</w:t>
      </w:r>
    </w:p>
  </w:footnote>
  <w:footnote w:id="350">
    <w:p w:rsidR="00172C0A" w:rsidRDefault="00172C0A" w:rsidP="00493EA2">
      <w:pPr>
        <w:pStyle w:val="ad"/>
        <w:ind w:left="282" w:hanging="567"/>
      </w:pPr>
      <w:r>
        <w:rPr>
          <w:rStyle w:val="af"/>
        </w:rPr>
        <w:footnoteRef/>
      </w:r>
      <w:r>
        <w:rPr>
          <w:rtl/>
        </w:rPr>
        <w:t xml:space="preserve"> </w:t>
      </w:r>
      <w:r>
        <w:rPr>
          <w:rtl/>
        </w:rPr>
        <w:tab/>
      </w:r>
      <w:r w:rsidRPr="009E3263">
        <w:rPr>
          <w:rFonts w:hint="cs"/>
          <w:rtl/>
        </w:rPr>
        <w:t>בדיון נמסר</w:t>
      </w:r>
      <w:r>
        <w:rPr>
          <w:rFonts w:hint="cs"/>
          <w:rtl/>
        </w:rPr>
        <w:t xml:space="preserve"> </w:t>
      </w:r>
      <w:r w:rsidRPr="009E3263">
        <w:rPr>
          <w:rFonts w:hint="cs"/>
          <w:rtl/>
        </w:rPr>
        <w:t xml:space="preserve">כי </w:t>
      </w:r>
      <w:r w:rsidRPr="009E3263">
        <w:rPr>
          <w:rFonts w:hint="eastAsia"/>
          <w:rtl/>
        </w:rPr>
        <w:t>רוב</w:t>
      </w:r>
      <w:r w:rsidRPr="009E3263">
        <w:rPr>
          <w:rtl/>
        </w:rPr>
        <w:t xml:space="preserve"> בתי </w:t>
      </w:r>
      <w:r w:rsidRPr="00493EA2">
        <w:rPr>
          <w:rFonts w:ascii="David" w:hAnsi="David"/>
          <w:rtl/>
        </w:rPr>
        <w:t>המשפט</w:t>
      </w:r>
      <w:r w:rsidRPr="009E3263">
        <w:rPr>
          <w:rtl/>
        </w:rPr>
        <w:t xml:space="preserve"> המחוזיים בארץ אישרו את בקשות המשטרה להתקנת ציוד לתיעוד חזותי בהתאם לסעיף זה למעט נשיא בית המשפט המחוזי בירושלים שסבר שאין בידו סמכות להתיר זאת בהתאם לדין הקיים.</w:t>
      </w:r>
    </w:p>
  </w:footnote>
  <w:footnote w:id="351">
    <w:p w:rsidR="00172C0A" w:rsidRPr="006542FB" w:rsidRDefault="00172C0A" w:rsidP="00493EA2">
      <w:pPr>
        <w:pStyle w:val="ad"/>
        <w:ind w:left="282" w:hanging="567"/>
        <w:rPr>
          <w:rFonts w:ascii="David" w:hAnsi="David"/>
        </w:rPr>
      </w:pPr>
      <w:r w:rsidRPr="006542FB">
        <w:rPr>
          <w:rStyle w:val="af"/>
          <w:rFonts w:ascii="David" w:hAnsi="David"/>
        </w:rPr>
        <w:footnoteRef/>
      </w:r>
      <w:r w:rsidRPr="006542FB">
        <w:rPr>
          <w:rFonts w:ascii="David" w:hAnsi="David"/>
          <w:rtl/>
        </w:rPr>
        <w:t xml:space="preserve"> </w:t>
      </w:r>
      <w:r w:rsidRPr="006542FB">
        <w:rPr>
          <w:rFonts w:ascii="David" w:hAnsi="David"/>
          <w:rtl/>
        </w:rPr>
        <w:tab/>
        <w:t>כמו כן, במסגרת הדיון בסוגיית מדרג האישורים הנדרש בהתאם למידת הפגיעה בפרטיות נבחן אם צילום הסתר נעשה ברשות היחיד או ברשות הרבים. כמו כן, עלה כי במועד סיום הביקורת שאלת סמכות המשטרה לבצע צילום סתר שאינו כולל שמע תלויה ועומדת בתיקים המתנהלים בבתי המשפט.</w:t>
      </w:r>
      <w:r>
        <w:rPr>
          <w:rFonts w:ascii="David" w:hAnsi="David"/>
          <w:rtl/>
        </w:rPr>
        <w:t xml:space="preserve"> </w:t>
      </w:r>
    </w:p>
  </w:footnote>
  <w:footnote w:id="352">
    <w:p w:rsidR="00172C0A" w:rsidRDefault="00172C0A" w:rsidP="00493EA2">
      <w:pPr>
        <w:pStyle w:val="ad"/>
        <w:ind w:left="282" w:hanging="567"/>
      </w:pPr>
      <w:r>
        <w:rPr>
          <w:rStyle w:val="af"/>
        </w:rPr>
        <w:footnoteRef/>
      </w:r>
      <w:r>
        <w:rPr>
          <w:rtl/>
        </w:rPr>
        <w:t xml:space="preserve"> </w:t>
      </w:r>
      <w:r>
        <w:rPr>
          <w:rtl/>
        </w:rPr>
        <w:tab/>
      </w:r>
      <w:r>
        <w:rPr>
          <w:rFonts w:hint="cs"/>
          <w:rtl/>
        </w:rPr>
        <w:t xml:space="preserve">הצעת חוק </w:t>
      </w:r>
      <w:r w:rsidRPr="00493EA2">
        <w:rPr>
          <w:rFonts w:ascii="David" w:hAnsi="David" w:hint="cs"/>
          <w:rtl/>
        </w:rPr>
        <w:t>המשטרה</w:t>
      </w:r>
      <w:r>
        <w:rPr>
          <w:rFonts w:hint="cs"/>
          <w:rtl/>
        </w:rPr>
        <w:t xml:space="preserve"> (חדירה לחומר מחשב), התשפ"ד-2024, עברה בקריאה טרומית ב-13.11.24.</w:t>
      </w:r>
    </w:p>
  </w:footnote>
  <w:footnote w:id="353">
    <w:p w:rsidR="00172C0A" w:rsidRDefault="00172C0A" w:rsidP="00493EA2">
      <w:pPr>
        <w:pStyle w:val="ad"/>
        <w:ind w:left="282" w:hanging="567"/>
      </w:pPr>
      <w:r>
        <w:rPr>
          <w:rStyle w:val="af"/>
        </w:rPr>
        <w:footnoteRef/>
      </w:r>
      <w:r>
        <w:rPr>
          <w:rtl/>
        </w:rPr>
        <w:t xml:space="preserve"> </w:t>
      </w:r>
      <w:r>
        <w:rPr>
          <w:rtl/>
        </w:rPr>
        <w:tab/>
      </w:r>
      <w:r>
        <w:rPr>
          <w:rFonts w:hint="cs"/>
          <w:rtl/>
        </w:rPr>
        <w:t>בהתאם להצעה, החוק יוחל על העבירות שלהלן שדינן יותר מ-10 שנות מאסר: בהתאם לחוק העונשין, התשל"ז-1977 - עבירות בנשק לפי סעיפים 144(א), 144(ב); התפרעות שסופה נזק לפי סעיף 157; עבירת סחר, ייצור ויבוא סכין לפי סעיף 186; איסור מכירת אגרופן או סכין לקטין לפי סעיף 185א; פרסום והצגת תועבה לפי סעיפים 214(ב1), 214(ב2); חטיפה לפי סעיף 369; סחיטה בכוח לפי סעיף 427; סחיטה באיומים לפי סעיף 428; גביית דמי חסות לפי סעיף 428א, לפי חוק איסור הלבנת הון, התש"ס-2000 - איסור הלבנת הון לפי סעיף 3(א) ואיסור עשיית פעולה ברכוש אסור לפי סעיף 4, לפי חוק מאבק בארגוני פשיעה, התשס"ג-2003 - פעיל בארגון פשיעה לפי סעיפים 2(א) ו-2(ב).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C0A" w:rsidRDefault="00054BAE">
    <w:pPr>
      <w:pStyle w:val="a7"/>
    </w:pPr>
    <w:r>
      <w:rPr>
        <w:noProof/>
      </w:rPr>
      <w:pict w14:anchorId="45DF1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77407" o:spid="_x0000_s2050" type="#_x0000_t136" style="position:absolute;left:0;text-align:left;margin-left:0;margin-top:0;width:386.3pt;height:193.15pt;rotation:315;z-index:-251654656;mso-position-horizontal:center;mso-position-horizontal-relative:margin;mso-position-vertical:center;mso-position-vertical-relative:margin" o:allowincell="f" fillcolor="silver" stroked="f">
          <v:fill opacity=".5"/>
          <v:textpath style="font-family:&quot;Times New Roman&quot;;font-size:1pt" string="רגיש"/>
          <w10:wrap anchorx="margin" anchory="margin"/>
        </v:shape>
      </w:pict>
    </w:r>
  </w:p>
  <w:p w:rsidR="00172C0A" w:rsidRDefault="00172C0A"/>
  <w:p w:rsidR="00172C0A" w:rsidRDefault="00172C0A"/>
  <w:p w:rsidR="00172C0A" w:rsidRDefault="00172C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C0A" w:rsidRPr="003F112F" w:rsidRDefault="00172C0A" w:rsidP="003F112F">
    <w:pPr>
      <w:tabs>
        <w:tab w:val="center" w:pos="4153"/>
        <w:tab w:val="right" w:pos="8504"/>
      </w:tabs>
      <w:spacing w:line="240" w:lineRule="auto"/>
      <w:ind w:right="-709"/>
      <w:jc w:val="right"/>
      <w:rPr>
        <w:rFonts w:ascii="Calibri" w:eastAsia="Calibri" w:hAnsi="Calibri" w:cs="Calibri"/>
        <w:color w:val="002060"/>
        <w:szCs w:val="20"/>
      </w:rPr>
    </w:pPr>
    <w:r w:rsidRPr="003F112F">
      <w:rPr>
        <w:rFonts w:ascii="Calibri" w:eastAsia="Calibri" w:hAnsi="Calibri" w:cs="Times New Roman"/>
        <w:noProof/>
        <w:color w:val="002060"/>
        <w:szCs w:val="20"/>
        <w:rtl/>
      </w:rPr>
      <mc:AlternateContent>
        <mc:Choice Requires="wps">
          <w:drawing>
            <wp:anchor distT="45720" distB="45720" distL="114300" distR="114300" simplePos="0" relativeHeight="251656704" behindDoc="0" locked="0" layoutInCell="1" allowOverlap="1" wp14:anchorId="3CCB21D7" wp14:editId="026C35FB">
              <wp:simplePos x="0" y="0"/>
              <wp:positionH relativeFrom="margin">
                <wp:posOffset>2598420</wp:posOffset>
              </wp:positionH>
              <wp:positionV relativeFrom="paragraph">
                <wp:posOffset>216535</wp:posOffset>
              </wp:positionV>
              <wp:extent cx="342265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2650" cy="285750"/>
                      </a:xfrm>
                      <a:prstGeom prst="rect">
                        <a:avLst/>
                      </a:prstGeom>
                      <a:noFill/>
                      <a:ln w="9525">
                        <a:noFill/>
                        <a:miter lim="800000"/>
                        <a:headEnd/>
                        <a:tailEnd/>
                      </a:ln>
                    </wps:spPr>
                    <wps:txbx>
                      <w:txbxContent>
                        <w:p w:rsidR="00172C0A" w:rsidRPr="001E204F" w:rsidRDefault="00172C0A" w:rsidP="003F112F">
                          <w:pPr>
                            <w:rPr>
                              <w:rFonts w:ascii="Calibri" w:hAnsi="Calibri" w:cs="Calibri"/>
                              <w:color w:val="002060"/>
                              <w:szCs w:val="20"/>
                              <w:rtl/>
                            </w:rPr>
                          </w:pPr>
                          <w:r w:rsidRPr="003F112F">
                            <w:rPr>
                              <w:rFonts w:ascii="Calibri" w:hAnsi="Calibri" w:cs="Calibri"/>
                              <w:color w:val="002060"/>
                              <w:szCs w:val="20"/>
                              <w:rtl/>
                            </w:rPr>
                            <w:t>שימוש בכלים טכנולוגיים לצורכי אכיפה - האזנות סתר ונתוני תקשורת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B21D7" id="_x0000_t202" coordsize="21600,21600" o:spt="202" path="m,l,21600r21600,l21600,xe">
              <v:stroke joinstyle="miter"/>
              <v:path gradientshapeok="t" o:connecttype="rect"/>
            </v:shapetype>
            <v:shape id="תיבת טקסט 2" o:spid="_x0000_s1026" type="#_x0000_t202" style="position:absolute;margin-left:204.6pt;margin-top:17.05pt;width:269.5pt;height:22.5pt;flip:x;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" filled="f" stroked="f">
              <v:textbox>
                <w:txbxContent>
                  <w:p w:rsidR="00172C0A" w:rsidRPr="001E204F" w:rsidRDefault="00172C0A" w:rsidP="003F112F">
                    <w:pPr>
                      <w:rPr>
                        <w:rFonts w:ascii="Calibri" w:hAnsi="Calibri" w:cs="Calibri"/>
                        <w:color w:val="002060"/>
                        <w:szCs w:val="20"/>
                        <w:rtl/>
                      </w:rPr>
                    </w:pPr>
                    <w:r w:rsidRPr="003F112F">
                      <w:rPr>
                        <w:rFonts w:ascii="Calibri" w:hAnsi="Calibri" w:cs="Calibri"/>
                        <w:color w:val="002060"/>
                        <w:szCs w:val="20"/>
                        <w:rtl/>
                      </w:rPr>
                      <w:t>שימוש בכלים טכנולוגיים לצורכי אכיפה - האזנות סתר ונתוני תקשורת</w:t>
                    </w:r>
                  </w:p>
                </w:txbxContent>
              </v:textbox>
              <w10:wrap type="square" anchorx="margin"/>
            </v:shape>
          </w:pict>
        </mc:Fallback>
      </mc:AlternateContent>
    </w:r>
    <w:r w:rsidRPr="003F112F">
      <w:rPr>
        <w:rFonts w:ascii="Calibri" w:eastAsia="Calibri" w:hAnsi="Calibri" w:cs="Calibri"/>
        <w:noProof/>
        <w:color w:val="002060"/>
        <w:szCs w:val="20"/>
        <w:rtl/>
        <w:lang w:val="he-IL"/>
      </w:rPr>
      <mc:AlternateContent>
        <mc:Choice Requires="wps">
          <w:drawing>
            <wp:anchor distT="0" distB="0" distL="114300" distR="114300" simplePos="0" relativeHeight="251653632" behindDoc="0" locked="0" layoutInCell="1" allowOverlap="1" wp14:anchorId="46F1AFBB" wp14:editId="75C41F36">
              <wp:simplePos x="0" y="0"/>
              <wp:positionH relativeFrom="column">
                <wp:posOffset>-485140</wp:posOffset>
              </wp:positionH>
              <wp:positionV relativeFrom="paragraph">
                <wp:posOffset>221720</wp:posOffset>
              </wp:positionV>
              <wp:extent cx="6434455" cy="0"/>
              <wp:effectExtent l="0" t="0" r="0" b="0"/>
              <wp:wrapNone/>
              <wp:docPr id="15" name="מחבר ישר 15"/>
              <wp:cNvGraphicFramePr/>
              <a:graphic xmlns:a="http://schemas.openxmlformats.org/drawingml/2006/main">
                <a:graphicData uri="http://schemas.microsoft.com/office/word/2010/wordprocessingShape">
                  <wps:wsp>
                    <wps:cNvCnPr/>
                    <wps:spPr>
                      <a:xfrm flipV="1">
                        <a:off x="0" y="0"/>
                        <a:ext cx="643445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3FCC64" id="מחבר ישר 15" o:spid="_x0000_s1026" style="position:absolute;left:0;text-align:lef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" strokecolor="#4a7ebb"/>
          </w:pict>
        </mc:Fallback>
      </mc:AlternateContent>
    </w:r>
    <w:r w:rsidRPr="003F112F">
      <w:rPr>
        <w:rFonts w:ascii="Calibri" w:eastAsia="Calibri" w:hAnsi="Calibri" w:cs="Times New Roman"/>
        <w:noProof/>
        <w:color w:val="002060"/>
        <w:szCs w:val="20"/>
        <w:rtl/>
      </w:rPr>
      <mc:AlternateContent>
        <mc:Choice Requires="wps">
          <w:drawing>
            <wp:anchor distT="45720" distB="45720" distL="114300" distR="114300" simplePos="0" relativeHeight="251655680" behindDoc="1" locked="0" layoutInCell="1" allowOverlap="1" wp14:anchorId="79B450D4" wp14:editId="158DD260">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172C0A" w:rsidRPr="0062451B" w:rsidRDefault="00172C0A" w:rsidP="003F112F">
                          <w:pPr>
                            <w:jc w:val="right"/>
                            <w:rPr>
                              <w:rFonts w:ascii="Calibri" w:hAnsi="Calibri" w:cs="Calibri"/>
                              <w:color w:val="002060"/>
                              <w:szCs w:val="20"/>
                              <w:rtl/>
                            </w:rPr>
                          </w:pPr>
                          <w:r>
                            <w:rPr>
                              <w:rFonts w:ascii="Calibri" w:hAnsi="Calibri" w:cs="Calibri" w:hint="cs"/>
                              <w:color w:val="002060"/>
                              <w:szCs w:val="20"/>
                              <w:rtl/>
                            </w:rPr>
                            <w:t>שבט</w:t>
                          </w:r>
                          <w:r w:rsidRPr="003F112F">
                            <w:rPr>
                              <w:rFonts w:ascii="Calibri" w:hAnsi="Calibri" w:cs="Calibri" w:hint="cs"/>
                              <w:color w:val="002060"/>
                              <w:szCs w:val="20"/>
                              <w:rtl/>
                            </w:rPr>
                            <w:t xml:space="preserve"> התשפ"ו </w:t>
                          </w:r>
                          <w:r w:rsidRPr="003F112F">
                            <w:rPr>
                              <w:rFonts w:ascii="Calibri" w:hAnsi="Calibri" w:cs="Calibri"/>
                              <w:color w:val="002060"/>
                              <w:spacing w:val="20"/>
                              <w:sz w:val="22"/>
                              <w:szCs w:val="22"/>
                            </w:rPr>
                            <w:t xml:space="preserve"> </w:t>
                          </w:r>
                          <w:r w:rsidRPr="003F112F">
                            <w:rPr>
                              <w:rFonts w:ascii="Calibri" w:hAnsi="Calibri" w:cs="Calibri"/>
                              <w:color w:val="002060"/>
                              <w:spacing w:val="20"/>
                              <w:sz w:val="22"/>
                              <w:szCs w:val="22"/>
                            </w:rPr>
                            <w:sym w:font="Wingdings" w:char="F0A7"/>
                          </w:r>
                          <w:r>
                            <w:rPr>
                              <w:rFonts w:ascii="Calibri" w:hAnsi="Calibri" w:cs="Calibri" w:hint="cs"/>
                              <w:color w:val="002060"/>
                              <w:szCs w:val="20"/>
                              <w:rtl/>
                            </w:rPr>
                            <w:t>ינואר</w:t>
                          </w:r>
                          <w:r w:rsidRPr="003F112F">
                            <w:rPr>
                              <w:rFonts w:ascii="Calibri" w:hAnsi="Calibri" w:cs="Calibri" w:hint="cs"/>
                              <w:color w:val="002060"/>
                              <w:szCs w:val="20"/>
                              <w:rtl/>
                            </w:rPr>
                            <w:t xml:space="preserve"> </w:t>
                          </w:r>
                          <w:r>
                            <w:rPr>
                              <w:rFonts w:ascii="Calibri" w:hAnsi="Calibri" w:cs="Calibri" w:hint="cs"/>
                              <w:color w:val="002060"/>
                              <w:szCs w:val="20"/>
                              <w:rtl/>
                            </w:rPr>
                            <w:t>2026</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450D4" id="_x0000_s1027" type="#_x0000_t202" style="position:absolute;margin-left:40.6pt;margin-top:18.55pt;width:249.15pt;height:22.5pt;flip:x;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rsidR="00172C0A" w:rsidRPr="0062451B" w:rsidRDefault="00172C0A" w:rsidP="003F112F">
                    <w:pPr>
                      <w:jc w:val="right"/>
                      <w:rPr>
                        <w:rFonts w:ascii="Calibri" w:hAnsi="Calibri" w:cs="Calibri"/>
                        <w:color w:val="002060"/>
                        <w:szCs w:val="20"/>
                        <w:rtl/>
                      </w:rPr>
                    </w:pPr>
                    <w:r>
                      <w:rPr>
                        <w:rFonts w:ascii="Calibri" w:hAnsi="Calibri" w:cs="Calibri" w:hint="cs"/>
                        <w:color w:val="002060"/>
                        <w:szCs w:val="20"/>
                        <w:rtl/>
                      </w:rPr>
                      <w:t>שבט</w:t>
                    </w:r>
                    <w:r w:rsidRPr="003F112F">
                      <w:rPr>
                        <w:rFonts w:ascii="Calibri" w:hAnsi="Calibri" w:cs="Calibri" w:hint="cs"/>
                        <w:color w:val="002060"/>
                        <w:szCs w:val="20"/>
                        <w:rtl/>
                      </w:rPr>
                      <w:t xml:space="preserve"> התשפ"ו </w:t>
                    </w:r>
                    <w:r w:rsidRPr="003F112F">
                      <w:rPr>
                        <w:rFonts w:ascii="Calibri" w:hAnsi="Calibri" w:cs="Calibri"/>
                        <w:color w:val="002060"/>
                        <w:spacing w:val="20"/>
                        <w:sz w:val="22"/>
                        <w:szCs w:val="22"/>
                      </w:rPr>
                      <w:t xml:space="preserve"> </w:t>
                    </w:r>
                    <w:r w:rsidRPr="003F112F">
                      <w:rPr>
                        <w:rFonts w:ascii="Calibri" w:hAnsi="Calibri" w:cs="Calibri"/>
                        <w:color w:val="002060"/>
                        <w:spacing w:val="20"/>
                        <w:sz w:val="22"/>
                        <w:szCs w:val="22"/>
                      </w:rPr>
                      <w:sym w:font="Wingdings" w:char="F0A7"/>
                    </w:r>
                    <w:r>
                      <w:rPr>
                        <w:rFonts w:ascii="Calibri" w:hAnsi="Calibri" w:cs="Calibri" w:hint="cs"/>
                        <w:color w:val="002060"/>
                        <w:szCs w:val="20"/>
                        <w:rtl/>
                      </w:rPr>
                      <w:t>ינואר</w:t>
                    </w:r>
                    <w:r w:rsidRPr="003F112F">
                      <w:rPr>
                        <w:rFonts w:ascii="Calibri" w:hAnsi="Calibri" w:cs="Calibri" w:hint="cs"/>
                        <w:color w:val="002060"/>
                        <w:szCs w:val="20"/>
                        <w:rtl/>
                      </w:rPr>
                      <w:t xml:space="preserve"> </w:t>
                    </w:r>
                    <w:r>
                      <w:rPr>
                        <w:rFonts w:ascii="Calibri" w:hAnsi="Calibri" w:cs="Calibri" w:hint="cs"/>
                        <w:color w:val="002060"/>
                        <w:szCs w:val="20"/>
                        <w:rtl/>
                      </w:rPr>
                      <w:t>2026</w:t>
                    </w:r>
                    <w:r w:rsidRPr="0062451B">
                      <w:rPr>
                        <w:rFonts w:ascii="Calibri" w:hAnsi="Calibri" w:cs="Calibri" w:hint="cs"/>
                        <w:color w:val="002060"/>
                        <w:szCs w:val="20"/>
                        <w:rtl/>
                      </w:rPr>
                      <w:t xml:space="preserve"> </w:t>
                    </w:r>
                  </w:p>
                </w:txbxContent>
              </v:textbox>
              <w10:wrap type="tight" anchorx="page"/>
            </v:shape>
          </w:pict>
        </mc:Fallback>
      </mc:AlternateContent>
    </w:r>
    <w:r w:rsidRPr="003F112F">
      <w:rPr>
        <w:rFonts w:ascii="Calibri" w:eastAsia="Calibri" w:hAnsi="Calibri" w:cs="Times New Roman"/>
        <w:noProof/>
        <w:color w:val="002060"/>
        <w:szCs w:val="20"/>
        <w:rtl/>
      </w:rPr>
      <mc:AlternateContent>
        <mc:Choice Requires="wps">
          <w:drawing>
            <wp:anchor distT="45720" distB="45720" distL="114300" distR="114300" simplePos="0" relativeHeight="251654656" behindDoc="0" locked="0" layoutInCell="1" allowOverlap="1" wp14:anchorId="7CCC5C00" wp14:editId="46F275DE">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172C0A" w:rsidRPr="0062451B" w:rsidRDefault="00172C0A" w:rsidP="003F112F">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C5C00" id="_x0000_s1028" type="#_x0000_t202" style="position:absolute;margin-left:224.75pt;margin-top:-7.95pt;width:249.15pt;height:22.5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rsidR="00172C0A" w:rsidRPr="0062451B" w:rsidRDefault="00172C0A" w:rsidP="003F112F">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3F112F">
      <w:rPr>
        <w:rFonts w:ascii="Calibri" w:eastAsia="Calibri" w:hAnsi="Calibri" w:cs="Calibri"/>
        <w:color w:val="002060"/>
        <w:szCs w:val="20"/>
        <w:rtl/>
      </w:rPr>
      <w:t xml:space="preserve"> </w:t>
    </w:r>
    <w:r w:rsidRPr="003F112F">
      <w:rPr>
        <w:rFonts w:ascii="Calibri" w:eastAsia="Calibri" w:hAnsi="Calibri" w:cs="Calibri" w:hint="cs"/>
        <w:color w:val="002060"/>
        <w:szCs w:val="20"/>
        <w:rtl/>
      </w:rPr>
      <w:t xml:space="preserve">  </w:t>
    </w:r>
    <w:r w:rsidRPr="003F112F">
      <w:rPr>
        <w:rFonts w:ascii="Calibri" w:eastAsia="Calibri" w:hAnsi="Calibri" w:cs="Calibri"/>
        <w:color w:val="002060"/>
        <w:szCs w:val="20"/>
        <w:rtl/>
      </w:rPr>
      <w:fldChar w:fldCharType="begin"/>
    </w:r>
    <w:r w:rsidRPr="003F112F">
      <w:rPr>
        <w:rFonts w:ascii="Calibri" w:eastAsia="Calibri" w:hAnsi="Calibri" w:cs="Calibri"/>
        <w:color w:val="002060"/>
        <w:szCs w:val="20"/>
        <w:rtl/>
      </w:rPr>
      <w:instrText xml:space="preserve"> </w:instrText>
    </w:r>
    <w:r w:rsidRPr="003F112F">
      <w:rPr>
        <w:rFonts w:ascii="Calibri" w:eastAsia="Calibri" w:hAnsi="Calibri" w:cs="Calibri"/>
        <w:color w:val="002060"/>
        <w:szCs w:val="20"/>
      </w:rPr>
      <w:instrText>PAGE</w:instrText>
    </w:r>
    <w:r w:rsidRPr="003F112F">
      <w:rPr>
        <w:rFonts w:ascii="Calibri" w:eastAsia="Calibri" w:hAnsi="Calibri" w:cs="Calibri"/>
        <w:color w:val="002060"/>
        <w:szCs w:val="20"/>
        <w:rtl/>
      </w:rPr>
      <w:instrText xml:space="preserve">  \* </w:instrText>
    </w:r>
    <w:r w:rsidRPr="003F112F">
      <w:rPr>
        <w:rFonts w:ascii="Calibri" w:eastAsia="Calibri" w:hAnsi="Calibri" w:cs="Calibri"/>
        <w:color w:val="002060"/>
        <w:szCs w:val="20"/>
      </w:rPr>
      <w:instrText>MERGEFORMAT</w:instrText>
    </w:r>
    <w:r w:rsidRPr="003F112F">
      <w:rPr>
        <w:rFonts w:ascii="Calibri" w:eastAsia="Calibri" w:hAnsi="Calibri" w:cs="Calibri"/>
        <w:color w:val="002060"/>
        <w:szCs w:val="20"/>
        <w:rtl/>
      </w:rPr>
      <w:instrText xml:space="preserve"> </w:instrText>
    </w:r>
    <w:r w:rsidRPr="003F112F">
      <w:rPr>
        <w:rFonts w:ascii="Calibri" w:eastAsia="Calibri" w:hAnsi="Calibri" w:cs="Calibri"/>
        <w:color w:val="002060"/>
        <w:szCs w:val="20"/>
        <w:rtl/>
      </w:rPr>
      <w:fldChar w:fldCharType="separate"/>
    </w:r>
    <w:r w:rsidRPr="003F112F">
      <w:rPr>
        <w:rFonts w:ascii="Calibri" w:eastAsia="Calibri" w:hAnsi="Calibri" w:cs="Calibri"/>
        <w:color w:val="002060"/>
        <w:szCs w:val="20"/>
        <w:rtl/>
      </w:rPr>
      <w:t>3</w:t>
    </w:r>
    <w:r w:rsidRPr="003F112F">
      <w:rPr>
        <w:rFonts w:ascii="Calibri" w:eastAsia="Calibri" w:hAnsi="Calibri" w:cs="Calibri"/>
        <w:color w:val="002060"/>
        <w:szCs w:val="20"/>
        <w:rtl/>
      </w:rPr>
      <w:fldChar w:fldCharType="end"/>
    </w:r>
    <w:r w:rsidRPr="003F112F">
      <w:rPr>
        <w:rFonts w:ascii="Calibri" w:eastAsia="Calibri" w:hAnsi="Calibri" w:cs="Calibri"/>
        <w:color w:val="002060"/>
        <w:szCs w:val="20"/>
        <w:rtl/>
      </w:rPr>
      <w:t xml:space="preserve"> </w:t>
    </w:r>
  </w:p>
  <w:p w:rsidR="00172C0A" w:rsidRPr="003F112F" w:rsidRDefault="00172C0A" w:rsidP="003F112F">
    <w:pPr>
      <w:pStyle w:val="a7"/>
      <w:rPr>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C0A" w:rsidRPr="003F112F" w:rsidRDefault="00172C0A" w:rsidP="003F112F">
    <w:pPr>
      <w:tabs>
        <w:tab w:val="center" w:pos="4153"/>
        <w:tab w:val="right" w:pos="8504"/>
      </w:tabs>
      <w:spacing w:line="240" w:lineRule="auto"/>
      <w:ind w:right="-709"/>
      <w:jc w:val="right"/>
      <w:rPr>
        <w:rFonts w:ascii="Calibri" w:eastAsia="Calibri" w:hAnsi="Calibri" w:cs="Calibri"/>
        <w:color w:val="002060"/>
        <w:szCs w:val="20"/>
      </w:rPr>
    </w:pPr>
    <w:r>
      <w:rPr>
        <w:rFonts w:hint="cs"/>
        <w:rtl/>
      </w:rPr>
      <w:t xml:space="preserve"> </w:t>
    </w:r>
    <w:r w:rsidRPr="003F112F">
      <w:rPr>
        <w:rFonts w:ascii="Calibri" w:eastAsia="Calibri" w:hAnsi="Calibri" w:cs="Times New Roman"/>
        <w:noProof/>
        <w:color w:val="002060"/>
        <w:szCs w:val="20"/>
        <w:rtl/>
      </w:rPr>
      <mc:AlternateContent>
        <mc:Choice Requires="wps">
          <w:drawing>
            <wp:anchor distT="45720" distB="45720" distL="114300" distR="114300" simplePos="0" relativeHeight="251660800" behindDoc="0" locked="0" layoutInCell="1" allowOverlap="1" wp14:anchorId="1AFC465A" wp14:editId="5B23A823">
              <wp:simplePos x="0" y="0"/>
              <wp:positionH relativeFrom="margin">
                <wp:posOffset>2598420</wp:posOffset>
              </wp:positionH>
              <wp:positionV relativeFrom="paragraph">
                <wp:posOffset>216535</wp:posOffset>
              </wp:positionV>
              <wp:extent cx="3422650" cy="285750"/>
              <wp:effectExtent l="0" t="0" r="0" b="0"/>
              <wp:wrapSquare wrapText="bothSides"/>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2650" cy="285750"/>
                      </a:xfrm>
                      <a:prstGeom prst="rect">
                        <a:avLst/>
                      </a:prstGeom>
                      <a:noFill/>
                      <a:ln w="9525">
                        <a:noFill/>
                        <a:miter lim="800000"/>
                        <a:headEnd/>
                        <a:tailEnd/>
                      </a:ln>
                    </wps:spPr>
                    <wps:txbx>
                      <w:txbxContent>
                        <w:p w:rsidR="00172C0A" w:rsidRPr="001E204F" w:rsidRDefault="00172C0A" w:rsidP="003F112F">
                          <w:pPr>
                            <w:rPr>
                              <w:rFonts w:ascii="Calibri" w:hAnsi="Calibri" w:cs="Calibri"/>
                              <w:color w:val="002060"/>
                              <w:szCs w:val="20"/>
                              <w:rtl/>
                            </w:rPr>
                          </w:pPr>
                          <w:r w:rsidRPr="003F112F">
                            <w:rPr>
                              <w:rFonts w:ascii="Calibri" w:hAnsi="Calibri" w:cs="Calibri"/>
                              <w:color w:val="002060"/>
                              <w:szCs w:val="20"/>
                              <w:rtl/>
                            </w:rPr>
                            <w:t>שימוש בכלים טכנולוגיים לצורכי אכיפה - האזנות סתר ונתוני תקשורת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C465A" id="_x0000_t202" coordsize="21600,21600" o:spt="202" path="m,l,21600r21600,l21600,xe">
              <v:stroke joinstyle="miter"/>
              <v:path gradientshapeok="t" o:connecttype="rect"/>
            </v:shapetype>
            <v:shape id="_x0000_s1029" type="#_x0000_t202" style="position:absolute;margin-left:204.6pt;margin-top:17.05pt;width:269.5pt;height:22.5pt;flip:x;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" filled="f" stroked="f">
              <v:textbox>
                <w:txbxContent>
                  <w:p w:rsidR="00172C0A" w:rsidRPr="001E204F" w:rsidRDefault="00172C0A" w:rsidP="003F112F">
                    <w:pPr>
                      <w:rPr>
                        <w:rFonts w:ascii="Calibri" w:hAnsi="Calibri" w:cs="Calibri"/>
                        <w:color w:val="002060"/>
                        <w:szCs w:val="20"/>
                        <w:rtl/>
                      </w:rPr>
                    </w:pPr>
                    <w:r w:rsidRPr="003F112F">
                      <w:rPr>
                        <w:rFonts w:ascii="Calibri" w:hAnsi="Calibri" w:cs="Calibri"/>
                        <w:color w:val="002060"/>
                        <w:szCs w:val="20"/>
                        <w:rtl/>
                      </w:rPr>
                      <w:t>שימוש בכלים טכנולוגיים לצורכי אכיפה - האזנות סתר ונתוני תקשורת</w:t>
                    </w:r>
                  </w:p>
                </w:txbxContent>
              </v:textbox>
              <w10:wrap type="square" anchorx="margin"/>
            </v:shape>
          </w:pict>
        </mc:Fallback>
      </mc:AlternateContent>
    </w:r>
    <w:r w:rsidRPr="003F112F">
      <w:rPr>
        <w:rFonts w:ascii="Calibri" w:eastAsia="Calibri" w:hAnsi="Calibri" w:cs="Calibri"/>
        <w:noProof/>
        <w:color w:val="002060"/>
        <w:szCs w:val="20"/>
        <w:rtl/>
        <w:lang w:val="he-IL"/>
      </w:rPr>
      <mc:AlternateContent>
        <mc:Choice Requires="wps">
          <w:drawing>
            <wp:anchor distT="0" distB="0" distL="114300" distR="114300" simplePos="0" relativeHeight="251657728" behindDoc="0" locked="0" layoutInCell="1" allowOverlap="1" wp14:anchorId="01F61E76" wp14:editId="59FB3CE1">
              <wp:simplePos x="0" y="0"/>
              <wp:positionH relativeFrom="column">
                <wp:posOffset>-485140</wp:posOffset>
              </wp:positionH>
              <wp:positionV relativeFrom="paragraph">
                <wp:posOffset>221720</wp:posOffset>
              </wp:positionV>
              <wp:extent cx="6434455" cy="0"/>
              <wp:effectExtent l="0" t="0" r="0" b="0"/>
              <wp:wrapNone/>
              <wp:docPr id="23" name="מחבר ישר 23"/>
              <wp:cNvGraphicFramePr/>
              <a:graphic xmlns:a="http://schemas.openxmlformats.org/drawingml/2006/main">
                <a:graphicData uri="http://schemas.microsoft.com/office/word/2010/wordprocessingShape">
                  <wps:wsp>
                    <wps:cNvCnPr/>
                    <wps:spPr>
                      <a:xfrm flipV="1">
                        <a:off x="0" y="0"/>
                        <a:ext cx="643445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2B1861" id="מחבר ישר 23" o:spid="_x0000_s1026" style="position:absolute;left:0;text-align:lef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" strokecolor="#4a7ebb"/>
          </w:pict>
        </mc:Fallback>
      </mc:AlternateContent>
    </w:r>
    <w:r w:rsidRPr="003F112F">
      <w:rPr>
        <w:rFonts w:ascii="Calibri" w:eastAsia="Calibri" w:hAnsi="Calibri" w:cs="Times New Roman"/>
        <w:noProof/>
        <w:color w:val="002060"/>
        <w:szCs w:val="20"/>
        <w:rtl/>
      </w:rPr>
      <mc:AlternateContent>
        <mc:Choice Requires="wps">
          <w:drawing>
            <wp:anchor distT="45720" distB="45720" distL="114300" distR="114300" simplePos="0" relativeHeight="251659776" behindDoc="1" locked="0" layoutInCell="1" allowOverlap="1" wp14:anchorId="165B5D6F" wp14:editId="4A1C1FB3">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172C0A" w:rsidRPr="0062451B" w:rsidRDefault="00172C0A" w:rsidP="003F112F">
                          <w:pPr>
                            <w:jc w:val="right"/>
                            <w:rPr>
                              <w:rFonts w:ascii="Calibri" w:hAnsi="Calibri" w:cs="Calibri"/>
                              <w:color w:val="002060"/>
                              <w:szCs w:val="20"/>
                              <w:rtl/>
                            </w:rPr>
                          </w:pPr>
                          <w:r>
                            <w:rPr>
                              <w:rFonts w:ascii="Calibri" w:hAnsi="Calibri" w:cs="Calibri" w:hint="cs"/>
                              <w:color w:val="002060"/>
                              <w:szCs w:val="20"/>
                              <w:rtl/>
                            </w:rPr>
                            <w:t>טבת</w:t>
                          </w:r>
                          <w:r w:rsidRPr="003F112F">
                            <w:rPr>
                              <w:rFonts w:ascii="Calibri" w:hAnsi="Calibri" w:cs="Calibri" w:hint="cs"/>
                              <w:color w:val="002060"/>
                              <w:szCs w:val="20"/>
                              <w:rtl/>
                            </w:rPr>
                            <w:t xml:space="preserve"> התשפ"ו </w:t>
                          </w:r>
                          <w:r w:rsidRPr="003F112F">
                            <w:rPr>
                              <w:rFonts w:ascii="Calibri" w:hAnsi="Calibri" w:cs="Calibri"/>
                              <w:color w:val="002060"/>
                              <w:spacing w:val="20"/>
                              <w:sz w:val="22"/>
                              <w:szCs w:val="22"/>
                            </w:rPr>
                            <w:t xml:space="preserve"> </w:t>
                          </w:r>
                          <w:r w:rsidRPr="003F112F">
                            <w:rPr>
                              <w:rFonts w:ascii="Calibri" w:hAnsi="Calibri" w:cs="Calibri"/>
                              <w:color w:val="002060"/>
                              <w:spacing w:val="20"/>
                              <w:sz w:val="22"/>
                              <w:szCs w:val="22"/>
                            </w:rPr>
                            <w:sym w:font="Wingdings" w:char="F0A7"/>
                          </w:r>
                          <w:r>
                            <w:rPr>
                              <w:rFonts w:ascii="Calibri" w:hAnsi="Calibri" w:cs="Calibri" w:hint="cs"/>
                              <w:color w:val="002060"/>
                              <w:szCs w:val="20"/>
                              <w:rtl/>
                            </w:rPr>
                            <w:t>ינואר</w:t>
                          </w:r>
                          <w:r w:rsidRPr="003F112F">
                            <w:rPr>
                              <w:rFonts w:ascii="Calibri" w:hAnsi="Calibri" w:cs="Calibri" w:hint="cs"/>
                              <w:color w:val="002060"/>
                              <w:szCs w:val="20"/>
                              <w:rtl/>
                            </w:rPr>
                            <w:t xml:space="preserve"> </w:t>
                          </w:r>
                          <w:r>
                            <w:rPr>
                              <w:rFonts w:ascii="Calibri" w:hAnsi="Calibri" w:cs="Calibri" w:hint="cs"/>
                              <w:color w:val="002060"/>
                              <w:szCs w:val="20"/>
                              <w:rtl/>
                            </w:rPr>
                            <w:t>2026</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B5D6F" id="_x0000_s1030" type="#_x0000_t202" style="position:absolute;margin-left:40.6pt;margin-top:18.55pt;width:249.15pt;height:22.5pt;flip:x;z-index:-25165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L20BDwpAgAADQQAAA4AAAAAAAAAAAAAAAAALgIAAGRycy9l&#10;Mm9Eb2MueG1sUEsBAi0AFAAGAAgAAAAhABNCZB/fAAAACAEAAA8AAAAAAAAAAAAAAAAAgwQAAGRy&#10;cy9kb3ducmV2LnhtbFBLBQYAAAAABAAEAPMAAACPBQAAAAA=&#10;" filled="f" stroked="f">
              <v:textbox>
                <w:txbxContent>
                  <w:p w:rsidR="00172C0A" w:rsidRPr="0062451B" w:rsidRDefault="00172C0A" w:rsidP="003F112F">
                    <w:pPr>
                      <w:jc w:val="right"/>
                      <w:rPr>
                        <w:rFonts w:ascii="Calibri" w:hAnsi="Calibri" w:cs="Calibri"/>
                        <w:color w:val="002060"/>
                        <w:szCs w:val="20"/>
                        <w:rtl/>
                      </w:rPr>
                    </w:pPr>
                    <w:r>
                      <w:rPr>
                        <w:rFonts w:ascii="Calibri" w:hAnsi="Calibri" w:cs="Calibri" w:hint="cs"/>
                        <w:color w:val="002060"/>
                        <w:szCs w:val="20"/>
                        <w:rtl/>
                      </w:rPr>
                      <w:t>טבת</w:t>
                    </w:r>
                    <w:r w:rsidRPr="003F112F">
                      <w:rPr>
                        <w:rFonts w:ascii="Calibri" w:hAnsi="Calibri" w:cs="Calibri" w:hint="cs"/>
                        <w:color w:val="002060"/>
                        <w:szCs w:val="20"/>
                        <w:rtl/>
                      </w:rPr>
                      <w:t xml:space="preserve"> התשפ"ו </w:t>
                    </w:r>
                    <w:r w:rsidRPr="003F112F">
                      <w:rPr>
                        <w:rFonts w:ascii="Calibri" w:hAnsi="Calibri" w:cs="Calibri"/>
                        <w:color w:val="002060"/>
                        <w:spacing w:val="20"/>
                        <w:sz w:val="22"/>
                        <w:szCs w:val="22"/>
                      </w:rPr>
                      <w:t xml:space="preserve"> </w:t>
                    </w:r>
                    <w:r w:rsidRPr="003F112F">
                      <w:rPr>
                        <w:rFonts w:ascii="Calibri" w:hAnsi="Calibri" w:cs="Calibri"/>
                        <w:color w:val="002060"/>
                        <w:spacing w:val="20"/>
                        <w:sz w:val="22"/>
                        <w:szCs w:val="22"/>
                      </w:rPr>
                      <w:sym w:font="Wingdings" w:char="F0A7"/>
                    </w:r>
                    <w:r>
                      <w:rPr>
                        <w:rFonts w:ascii="Calibri" w:hAnsi="Calibri" w:cs="Calibri" w:hint="cs"/>
                        <w:color w:val="002060"/>
                        <w:szCs w:val="20"/>
                        <w:rtl/>
                      </w:rPr>
                      <w:t>ינואר</w:t>
                    </w:r>
                    <w:r w:rsidRPr="003F112F">
                      <w:rPr>
                        <w:rFonts w:ascii="Calibri" w:hAnsi="Calibri" w:cs="Calibri" w:hint="cs"/>
                        <w:color w:val="002060"/>
                        <w:szCs w:val="20"/>
                        <w:rtl/>
                      </w:rPr>
                      <w:t xml:space="preserve"> </w:t>
                    </w:r>
                    <w:r>
                      <w:rPr>
                        <w:rFonts w:ascii="Calibri" w:hAnsi="Calibri" w:cs="Calibri" w:hint="cs"/>
                        <w:color w:val="002060"/>
                        <w:szCs w:val="20"/>
                        <w:rtl/>
                      </w:rPr>
                      <w:t>2026</w:t>
                    </w:r>
                    <w:r w:rsidRPr="0062451B">
                      <w:rPr>
                        <w:rFonts w:ascii="Calibri" w:hAnsi="Calibri" w:cs="Calibri" w:hint="cs"/>
                        <w:color w:val="002060"/>
                        <w:szCs w:val="20"/>
                        <w:rtl/>
                      </w:rPr>
                      <w:t xml:space="preserve"> </w:t>
                    </w:r>
                  </w:p>
                </w:txbxContent>
              </v:textbox>
              <w10:wrap type="tight" anchorx="page"/>
            </v:shape>
          </w:pict>
        </mc:Fallback>
      </mc:AlternateContent>
    </w:r>
    <w:r w:rsidRPr="003F112F">
      <w:rPr>
        <w:rFonts w:ascii="Calibri" w:eastAsia="Calibri" w:hAnsi="Calibri" w:cs="Times New Roman"/>
        <w:noProof/>
        <w:color w:val="002060"/>
        <w:szCs w:val="20"/>
        <w:rtl/>
      </w:rPr>
      <mc:AlternateContent>
        <mc:Choice Requires="wps">
          <w:drawing>
            <wp:anchor distT="45720" distB="45720" distL="114300" distR="114300" simplePos="0" relativeHeight="251658752" behindDoc="0" locked="0" layoutInCell="1" allowOverlap="1" wp14:anchorId="33F8EE98" wp14:editId="6FE60B84">
              <wp:simplePos x="0" y="0"/>
              <wp:positionH relativeFrom="column">
                <wp:posOffset>2854325</wp:posOffset>
              </wp:positionH>
              <wp:positionV relativeFrom="paragraph">
                <wp:posOffset>-100965</wp:posOffset>
              </wp:positionV>
              <wp:extent cx="3164205" cy="285750"/>
              <wp:effectExtent l="0" t="0" r="0" b="0"/>
              <wp:wrapSquare wrapText="bothSides"/>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172C0A" w:rsidRPr="0062451B" w:rsidRDefault="00172C0A" w:rsidP="003F112F">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8EE98" id="_x0000_s1031" type="#_x0000_t202" style="position:absolute;margin-left:224.75pt;margin-top:-7.95pt;width:249.15pt;height:22.5pt;flip:x;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M/KwIAAA0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BbvNM/KwIAAA0EAAAOAAAAAAAAAAAAAAAAAC4CAABk&#10;cnMvZTJvRG9jLnhtbFBLAQItABQABgAIAAAAIQA0u7eG4QAAAAoBAAAPAAAAAAAAAAAAAAAAAIUE&#10;AABkcnMvZG93bnJldi54bWxQSwUGAAAAAAQABADzAAAAkwUAAAAA&#10;" filled="f" stroked="f">
              <v:textbox>
                <w:txbxContent>
                  <w:p w:rsidR="00172C0A" w:rsidRPr="0062451B" w:rsidRDefault="00172C0A" w:rsidP="003F112F">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3F112F">
      <w:rPr>
        <w:rFonts w:ascii="Calibri" w:eastAsia="Calibri" w:hAnsi="Calibri" w:cs="Calibri"/>
        <w:color w:val="002060"/>
        <w:szCs w:val="20"/>
        <w:rtl/>
      </w:rPr>
      <w:t xml:space="preserve"> </w:t>
    </w:r>
    <w:r w:rsidRPr="003F112F">
      <w:rPr>
        <w:rFonts w:ascii="Calibri" w:eastAsia="Calibri" w:hAnsi="Calibri" w:cs="Calibri" w:hint="cs"/>
        <w:color w:val="002060"/>
        <w:szCs w:val="20"/>
        <w:rtl/>
      </w:rPr>
      <w:t xml:space="preserve">  </w:t>
    </w:r>
    <w:r w:rsidRPr="003F112F">
      <w:rPr>
        <w:rFonts w:ascii="Calibri" w:eastAsia="Calibri" w:hAnsi="Calibri" w:cs="Calibri"/>
        <w:color w:val="002060"/>
        <w:szCs w:val="20"/>
        <w:rtl/>
      </w:rPr>
      <w:fldChar w:fldCharType="begin"/>
    </w:r>
    <w:r w:rsidRPr="003F112F">
      <w:rPr>
        <w:rFonts w:ascii="Calibri" w:eastAsia="Calibri" w:hAnsi="Calibri" w:cs="Calibri"/>
        <w:color w:val="002060"/>
        <w:szCs w:val="20"/>
        <w:rtl/>
      </w:rPr>
      <w:instrText xml:space="preserve"> </w:instrText>
    </w:r>
    <w:r w:rsidRPr="003F112F">
      <w:rPr>
        <w:rFonts w:ascii="Calibri" w:eastAsia="Calibri" w:hAnsi="Calibri" w:cs="Calibri"/>
        <w:color w:val="002060"/>
        <w:szCs w:val="20"/>
      </w:rPr>
      <w:instrText>PAGE</w:instrText>
    </w:r>
    <w:r w:rsidRPr="003F112F">
      <w:rPr>
        <w:rFonts w:ascii="Calibri" w:eastAsia="Calibri" w:hAnsi="Calibri" w:cs="Calibri"/>
        <w:color w:val="002060"/>
        <w:szCs w:val="20"/>
        <w:rtl/>
      </w:rPr>
      <w:instrText xml:space="preserve">  \* </w:instrText>
    </w:r>
    <w:r w:rsidRPr="003F112F">
      <w:rPr>
        <w:rFonts w:ascii="Calibri" w:eastAsia="Calibri" w:hAnsi="Calibri" w:cs="Calibri"/>
        <w:color w:val="002060"/>
        <w:szCs w:val="20"/>
      </w:rPr>
      <w:instrText>MERGEFORMAT</w:instrText>
    </w:r>
    <w:r w:rsidRPr="003F112F">
      <w:rPr>
        <w:rFonts w:ascii="Calibri" w:eastAsia="Calibri" w:hAnsi="Calibri" w:cs="Calibri"/>
        <w:color w:val="002060"/>
        <w:szCs w:val="20"/>
        <w:rtl/>
      </w:rPr>
      <w:instrText xml:space="preserve"> </w:instrText>
    </w:r>
    <w:r w:rsidRPr="003F112F">
      <w:rPr>
        <w:rFonts w:ascii="Calibri" w:eastAsia="Calibri" w:hAnsi="Calibri" w:cs="Calibri"/>
        <w:color w:val="002060"/>
        <w:szCs w:val="20"/>
        <w:rtl/>
      </w:rPr>
      <w:fldChar w:fldCharType="separate"/>
    </w:r>
    <w:r>
      <w:rPr>
        <w:rFonts w:ascii="Calibri" w:eastAsia="Calibri" w:hAnsi="Calibri" w:cs="Calibri"/>
        <w:color w:val="002060"/>
        <w:szCs w:val="20"/>
        <w:rtl/>
      </w:rPr>
      <w:t>2</w:t>
    </w:r>
    <w:r w:rsidRPr="003F112F">
      <w:rPr>
        <w:rFonts w:ascii="Calibri" w:eastAsia="Calibri" w:hAnsi="Calibri" w:cs="Calibri"/>
        <w:color w:val="002060"/>
        <w:szCs w:val="20"/>
        <w:rtl/>
      </w:rPr>
      <w:fldChar w:fldCharType="end"/>
    </w:r>
    <w:r w:rsidRPr="003F112F">
      <w:rPr>
        <w:rFonts w:ascii="Calibri" w:eastAsia="Calibri" w:hAnsi="Calibri" w:cs="Calibri"/>
        <w:color w:val="002060"/>
        <w:szCs w:val="20"/>
        <w:rtl/>
      </w:rPr>
      <w:t xml:space="preserve"> </w:t>
    </w:r>
  </w:p>
  <w:p w:rsidR="00172C0A" w:rsidRPr="003F112F" w:rsidRDefault="00172C0A" w:rsidP="003F112F">
    <w:pPr>
      <w:pStyle w:val="a7"/>
      <w:rPr>
        <w:szCs w:val="20"/>
        <w:rtl/>
      </w:rPr>
    </w:pPr>
  </w:p>
  <w:p w:rsidR="00172C0A" w:rsidRDefault="00172C0A">
    <w:pPr>
      <w:pStyle w:val="a7"/>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6B08"/>
    <w:multiLevelType w:val="hybridMultilevel"/>
    <w:tmpl w:val="351264AC"/>
    <w:lvl w:ilvl="0" w:tplc="04090013">
      <w:start w:val="1"/>
      <w:numFmt w:val="hebrew1"/>
      <w:lvlText w:val="%1."/>
      <w:lvlJc w:val="center"/>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3">
      <w:start w:val="1"/>
      <w:numFmt w:val="hebrew1"/>
      <w:lvlText w:val="%6."/>
      <w:lvlJc w:val="center"/>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48178B"/>
    <w:multiLevelType w:val="multilevel"/>
    <w:tmpl w:val="DF6499D8"/>
    <w:lvl w:ilvl="0">
      <w:start w:val="1"/>
      <w:numFmt w:val="decimal"/>
      <w:lvlRestart w:val="0"/>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3AB6AD9"/>
    <w:multiLevelType w:val="hybridMultilevel"/>
    <w:tmpl w:val="96BE70CC"/>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6E2434"/>
    <w:multiLevelType w:val="multilevel"/>
    <w:tmpl w:val="964A32C0"/>
    <w:lvl w:ilvl="0">
      <w:start w:val="1"/>
      <w:numFmt w:val="decimal"/>
      <w:lvlRestart w:val="0"/>
      <w:lvlText w:val="%1."/>
      <w:lvlJc w:val="left"/>
      <w:pPr>
        <w:ind w:left="482" w:hanging="340"/>
      </w:pPr>
      <w:rPr>
        <w:rFonts w:hint="default"/>
        <w:lang w:val="en-US"/>
      </w:rPr>
    </w:lvl>
    <w:lvl w:ilvl="1">
      <w:start w:val="1"/>
      <w:numFmt w:val="hebrew1"/>
      <w:lvlText w:val="%2."/>
      <w:lvlJc w:val="left"/>
      <w:pPr>
        <w:ind w:left="680" w:hanging="340"/>
      </w:pPr>
    </w:lvl>
    <w:lvl w:ilvl="2">
      <w:start w:val="1"/>
      <w:numFmt w:val="decimal"/>
      <w:lvlText w:val="(%3)"/>
      <w:lvlJc w:val="left"/>
      <w:pPr>
        <w:ind w:left="1077" w:hanging="397"/>
      </w:pPr>
      <w:rPr>
        <w:spacing w:val="0"/>
      </w:rPr>
    </w:lvl>
    <w:lvl w:ilvl="3">
      <w:start w:val="1"/>
      <w:numFmt w:val="hebrew1"/>
      <w:lvlText w:val="(%4)"/>
      <w:lvlJc w:val="left"/>
      <w:pPr>
        <w:ind w:left="1474" w:hanging="397"/>
      </w:pPr>
      <w:rPr>
        <w:spacing w:val="0"/>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8106BFA"/>
    <w:multiLevelType w:val="hybridMultilevel"/>
    <w:tmpl w:val="7C844DB4"/>
    <w:lvl w:ilvl="0" w:tplc="78223C00">
      <w:start w:val="1"/>
      <w:numFmt w:val="decimal"/>
      <w:lvlText w:val="(%1)"/>
      <w:lvlJc w:val="left"/>
      <w:pPr>
        <w:ind w:left="360" w:hanging="360"/>
      </w:pPr>
      <w:rPr>
        <w:rFonts w:hint="default"/>
        <w:b/>
        <w:spacing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9D630B"/>
    <w:multiLevelType w:val="multilevel"/>
    <w:tmpl w:val="DD22E24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0AFD4084"/>
    <w:multiLevelType w:val="hybridMultilevel"/>
    <w:tmpl w:val="B6AC63FE"/>
    <w:lvl w:ilvl="0" w:tplc="98DA74D4">
      <w:start w:val="1"/>
      <w:numFmt w:val="hebrew1"/>
      <w:lvlText w:val="(%1)"/>
      <w:lvlJc w:val="left"/>
      <w:pPr>
        <w:ind w:left="14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60A9A"/>
    <w:multiLevelType w:val="hybridMultilevel"/>
    <w:tmpl w:val="B2FAD2EC"/>
    <w:lvl w:ilvl="0" w:tplc="90D263D2">
      <w:start w:val="1"/>
      <w:numFmt w:val="hebrew1"/>
      <w:lvlText w:val="(%1)"/>
      <w:lvlJc w:val="left"/>
      <w:pPr>
        <w:ind w:left="700" w:hanging="360"/>
      </w:pPr>
      <w:rPr>
        <w:rFonts w:ascii="David" w:hAnsi="David" w:hint="default"/>
        <w:b/>
        <w:sz w:val="24"/>
      </w:rPr>
    </w:lvl>
    <w:lvl w:ilvl="1" w:tplc="66043F3A">
      <w:start w:val="1"/>
      <w:numFmt w:val="hebrew1"/>
      <w:lvlText w:val="(%2)"/>
      <w:lvlJc w:val="left"/>
      <w:pPr>
        <w:ind w:left="1420" w:hanging="360"/>
      </w:pPr>
      <w:rPr>
        <w:rFonts w:hint="default"/>
        <w:sz w:val="24"/>
        <w:szCs w:val="24"/>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8" w15:restartNumberingAfterBreak="0">
    <w:nsid w:val="0BDA59B2"/>
    <w:multiLevelType w:val="hybridMultilevel"/>
    <w:tmpl w:val="B2C60D68"/>
    <w:lvl w:ilvl="0" w:tplc="B54A6778">
      <w:start w:val="1"/>
      <w:numFmt w:val="decimal"/>
      <w:lvlText w:val="(%1)"/>
      <w:lvlJc w:val="left"/>
      <w:pPr>
        <w:ind w:left="360" w:hanging="360"/>
      </w:pPr>
      <w:rPr>
        <w:rFonts w:hint="default"/>
        <w:b/>
        <w:bCs/>
        <w:spacing w:val="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D1F7F20"/>
    <w:multiLevelType w:val="multilevel"/>
    <w:tmpl w:val="588AF8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821080"/>
    <w:multiLevelType w:val="hybridMultilevel"/>
    <w:tmpl w:val="B2EEDF9C"/>
    <w:lvl w:ilvl="0" w:tplc="F370C530">
      <w:start w:val="1"/>
      <w:numFmt w:val="decimal"/>
      <w:lvlText w:val="(%1)"/>
      <w:lvlJc w:val="left"/>
      <w:pPr>
        <w:ind w:left="912" w:hanging="360"/>
      </w:pPr>
      <w:rPr>
        <w:rFonts w:hint="default"/>
        <w:b/>
        <w:spacing w:val="0"/>
        <w:sz w:val="24"/>
      </w:rPr>
    </w:lvl>
    <w:lvl w:ilvl="1" w:tplc="04090019">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1" w15:restartNumberingAfterBreak="0">
    <w:nsid w:val="11800272"/>
    <w:multiLevelType w:val="multilevel"/>
    <w:tmpl w:val="9EA24F9A"/>
    <w:lvl w:ilvl="0">
      <w:start w:val="1"/>
      <w:numFmt w:val="decimal"/>
      <w:lvlText w:val="(%1)"/>
      <w:lvlJc w:val="left"/>
      <w:pPr>
        <w:ind w:left="340" w:hanging="340"/>
      </w:pPr>
      <w:rPr>
        <w:rFonts w:hint="default"/>
        <w:b w:val="0"/>
        <w:bCs/>
        <w:spacing w:val="0"/>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11E669CE"/>
    <w:multiLevelType w:val="hybridMultilevel"/>
    <w:tmpl w:val="E9562892"/>
    <w:lvl w:ilvl="0" w:tplc="0409000F">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15:restartNumberingAfterBreak="0">
    <w:nsid w:val="149C64A0"/>
    <w:multiLevelType w:val="multilevel"/>
    <w:tmpl w:val="1A441A78"/>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15ED6862"/>
    <w:multiLevelType w:val="hybridMultilevel"/>
    <w:tmpl w:val="96CA41B6"/>
    <w:lvl w:ilvl="0" w:tplc="0409000F">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6B41D41"/>
    <w:multiLevelType w:val="multilevel"/>
    <w:tmpl w:val="E6CE2A3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16BE27EB"/>
    <w:multiLevelType w:val="multilevel"/>
    <w:tmpl w:val="7494C992"/>
    <w:lvl w:ilvl="0">
      <w:start w:val="1"/>
      <w:numFmt w:val="hebrew1"/>
      <w:lvlText w:val="(%1)"/>
      <w:lvlJc w:val="left"/>
      <w:pPr>
        <w:ind w:left="340" w:hanging="340"/>
      </w:pPr>
      <w:rPr>
        <w:rFonts w:hint="default"/>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17AE2CC3"/>
    <w:multiLevelType w:val="multilevel"/>
    <w:tmpl w:val="4806872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hebrew1"/>
      <w:lvlText w:val="(%3)"/>
      <w:lvlJc w:val="left"/>
      <w:pPr>
        <w:ind w:left="1077" w:hanging="397"/>
      </w:pPr>
      <w:rPr>
        <w:rFonts w:ascii="David" w:hAnsi="David" w:hint="default"/>
        <w:sz w:val="24"/>
        <w:lang w:val="en-US"/>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236C21CB"/>
    <w:multiLevelType w:val="multilevel"/>
    <w:tmpl w:val="C62E80EA"/>
    <w:lvl w:ilvl="0">
      <w:start w:val="1"/>
      <w:numFmt w:val="hebrew1"/>
      <w:lvlText w:val="%1."/>
      <w:lvlJc w:val="center"/>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291D779E"/>
    <w:multiLevelType w:val="hybridMultilevel"/>
    <w:tmpl w:val="338CE8DE"/>
    <w:styleLink w:val="111"/>
    <w:lvl w:ilvl="0" w:tplc="20F6FAE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B1036FB"/>
    <w:multiLevelType w:val="hybridMultilevel"/>
    <w:tmpl w:val="BC188EF4"/>
    <w:lvl w:ilvl="0" w:tplc="A2D07E1C">
      <w:start w:val="1"/>
      <w:numFmt w:val="decimal"/>
      <w:lvlText w:val="(%1)"/>
      <w:lvlJc w:val="left"/>
      <w:pPr>
        <w:ind w:left="360" w:hanging="360"/>
      </w:pPr>
      <w:rPr>
        <w:rFonts w:hint="default"/>
        <w:b/>
        <w:spacing w:val="0"/>
        <w:sz w:val="24"/>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C504603"/>
    <w:multiLevelType w:val="hybridMultilevel"/>
    <w:tmpl w:val="D1625558"/>
    <w:lvl w:ilvl="0" w:tplc="1E5E7402">
      <w:start w:val="5"/>
      <w:numFmt w:val="hebrew1"/>
      <w:lvlText w:val="%1."/>
      <w:lvlJc w:val="left"/>
      <w:pPr>
        <w:ind w:left="360" w:hanging="360"/>
      </w:pPr>
      <w:rPr>
        <w:rFonts w:hint="default"/>
      </w:rPr>
    </w:lvl>
    <w:lvl w:ilvl="1" w:tplc="04090019">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2" w15:restartNumberingAfterBreak="0">
    <w:nsid w:val="2E3726D0"/>
    <w:multiLevelType w:val="hybridMultilevel"/>
    <w:tmpl w:val="47BA41AE"/>
    <w:lvl w:ilvl="0" w:tplc="7B0602C2">
      <w:start w:val="1"/>
      <w:numFmt w:val="hebrew1"/>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3" w15:restartNumberingAfterBreak="0">
    <w:nsid w:val="2EEC538B"/>
    <w:multiLevelType w:val="multilevel"/>
    <w:tmpl w:val="630C61C6"/>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2F546A0F"/>
    <w:multiLevelType w:val="hybridMultilevel"/>
    <w:tmpl w:val="4B5EA398"/>
    <w:lvl w:ilvl="0" w:tplc="74FC8D66">
      <w:start w:val="1"/>
      <w:numFmt w:val="decimal"/>
      <w:lvlText w:val="(%1)"/>
      <w:lvlJc w:val="left"/>
      <w:pPr>
        <w:ind w:left="360" w:hanging="360"/>
      </w:pPr>
      <w:rPr>
        <w:rFonts w:hint="default"/>
        <w:b/>
        <w:bCs/>
        <w:spacing w:val="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FA04853"/>
    <w:multiLevelType w:val="hybridMultilevel"/>
    <w:tmpl w:val="A482AC50"/>
    <w:lvl w:ilvl="0" w:tplc="0409000F">
      <w:start w:val="1"/>
      <w:numFmt w:val="decimal"/>
      <w:lvlText w:val="%1."/>
      <w:lvlJc w:val="left"/>
      <w:pPr>
        <w:ind w:left="502"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666E9E"/>
    <w:multiLevelType w:val="multilevel"/>
    <w:tmpl w:val="15E68F96"/>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32552C03"/>
    <w:multiLevelType w:val="hybridMultilevel"/>
    <w:tmpl w:val="007857BE"/>
    <w:lvl w:ilvl="0" w:tplc="7B249038">
      <w:start w:val="1"/>
      <w:numFmt w:val="hebrew1"/>
      <w:lvlText w:val="%1."/>
      <w:lvlJc w:val="center"/>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7E42BE"/>
    <w:multiLevelType w:val="hybridMultilevel"/>
    <w:tmpl w:val="4DF4EA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4335524"/>
    <w:multiLevelType w:val="multilevel"/>
    <w:tmpl w:val="DD22E24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343E6CDA"/>
    <w:multiLevelType w:val="hybridMultilevel"/>
    <w:tmpl w:val="C9A2F85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9A2355"/>
    <w:multiLevelType w:val="hybridMultilevel"/>
    <w:tmpl w:val="DFA2EA66"/>
    <w:lvl w:ilvl="0" w:tplc="86F013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9670E3"/>
    <w:multiLevelType w:val="multilevel"/>
    <w:tmpl w:val="3C6ED234"/>
    <w:lvl w:ilvl="0">
      <w:start w:val="1"/>
      <w:numFmt w:val="decimal"/>
      <w:lvlText w:val="(%1)"/>
      <w:lvlJc w:val="left"/>
      <w:pPr>
        <w:ind w:left="340" w:hanging="340"/>
      </w:pPr>
      <w:rPr>
        <w:rFonts w:hint="default"/>
        <w:b/>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3BB95E42"/>
    <w:multiLevelType w:val="multilevel"/>
    <w:tmpl w:val="CECAB5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BEC1B91"/>
    <w:multiLevelType w:val="hybridMultilevel"/>
    <w:tmpl w:val="6836431E"/>
    <w:lvl w:ilvl="0" w:tplc="42066DA4">
      <w:start w:val="1"/>
      <w:numFmt w:val="decimal"/>
      <w:lvlText w:val="(%1)"/>
      <w:lvlJc w:val="left"/>
      <w:pPr>
        <w:ind w:left="700" w:hanging="360"/>
      </w:pPr>
      <w:rPr>
        <w:rFonts w:ascii="Times New Roman" w:eastAsiaTheme="minorHAnsi" w:hAnsi="Times New Roman" w:cs="David"/>
        <w:b/>
        <w:sz w:val="24"/>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5" w15:restartNumberingAfterBreak="0">
    <w:nsid w:val="3F032001"/>
    <w:multiLevelType w:val="hybridMultilevel"/>
    <w:tmpl w:val="8A0095E6"/>
    <w:lvl w:ilvl="0" w:tplc="F9A27C3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25B58B6"/>
    <w:multiLevelType w:val="multilevel"/>
    <w:tmpl w:val="C428DD42"/>
    <w:lvl w:ilvl="0">
      <w:start w:val="1"/>
      <w:numFmt w:val="decimal"/>
      <w:lvlRestart w:val="0"/>
      <w:lvlText w:val="%1."/>
      <w:lvlJc w:val="left"/>
      <w:pPr>
        <w:ind w:left="482" w:hanging="340"/>
      </w:pPr>
      <w:rPr>
        <w:rFonts w:hint="default"/>
        <w:lang w:val="en-US"/>
      </w:rPr>
    </w:lvl>
    <w:lvl w:ilvl="1">
      <w:start w:val="1"/>
      <w:numFmt w:val="hebrew1"/>
      <w:lvlText w:val="%2."/>
      <w:lvlJc w:val="left"/>
      <w:pPr>
        <w:ind w:left="680" w:hanging="340"/>
      </w:pPr>
    </w:lvl>
    <w:lvl w:ilvl="2">
      <w:start w:val="1"/>
      <w:numFmt w:val="decimal"/>
      <w:lvlText w:val="(%3)"/>
      <w:lvlJc w:val="left"/>
      <w:pPr>
        <w:ind w:left="1077" w:hanging="397"/>
      </w:pPr>
      <w:rPr>
        <w:spacing w:val="0"/>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15:restartNumberingAfterBreak="0">
    <w:nsid w:val="439B6046"/>
    <w:multiLevelType w:val="multilevel"/>
    <w:tmpl w:val="964A32C0"/>
    <w:lvl w:ilvl="0">
      <w:start w:val="1"/>
      <w:numFmt w:val="decimal"/>
      <w:lvlRestart w:val="0"/>
      <w:lvlText w:val="%1."/>
      <w:lvlJc w:val="left"/>
      <w:pPr>
        <w:ind w:left="482" w:hanging="340"/>
      </w:pPr>
      <w:rPr>
        <w:rFonts w:hint="default"/>
        <w:lang w:val="en-US"/>
      </w:rPr>
    </w:lvl>
    <w:lvl w:ilvl="1">
      <w:start w:val="1"/>
      <w:numFmt w:val="hebrew1"/>
      <w:lvlText w:val="%2."/>
      <w:lvlJc w:val="left"/>
      <w:pPr>
        <w:ind w:left="680" w:hanging="340"/>
      </w:pPr>
    </w:lvl>
    <w:lvl w:ilvl="2">
      <w:start w:val="1"/>
      <w:numFmt w:val="decimal"/>
      <w:lvlText w:val="(%3)"/>
      <w:lvlJc w:val="left"/>
      <w:pPr>
        <w:ind w:left="1077" w:hanging="397"/>
      </w:pPr>
      <w:rPr>
        <w:spacing w:val="0"/>
      </w:rPr>
    </w:lvl>
    <w:lvl w:ilvl="3">
      <w:start w:val="1"/>
      <w:numFmt w:val="hebrew1"/>
      <w:lvlText w:val="(%4)"/>
      <w:lvlJc w:val="left"/>
      <w:pPr>
        <w:ind w:left="1474" w:hanging="397"/>
      </w:pPr>
      <w:rPr>
        <w:spacing w:val="0"/>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15:restartNumberingAfterBreak="0">
    <w:nsid w:val="44CD3407"/>
    <w:multiLevelType w:val="multilevel"/>
    <w:tmpl w:val="22D0D5A6"/>
    <w:lvl w:ilvl="0">
      <w:start w:val="1"/>
      <w:numFmt w:val="decimal"/>
      <w:pStyle w:val="a"/>
      <w:lvlText w:val="%1."/>
      <w:lvlJc w:val="center"/>
      <w:pPr>
        <w:tabs>
          <w:tab w:val="num" w:pos="567"/>
        </w:tabs>
        <w:ind w:left="567" w:right="567" w:hanging="567"/>
      </w:pPr>
    </w:lvl>
    <w:lvl w:ilvl="1">
      <w:start w:val="1"/>
      <w:numFmt w:val="decimal"/>
      <w:lvlText w:val="%1.%2."/>
      <w:lvlJc w:val="center"/>
      <w:pPr>
        <w:tabs>
          <w:tab w:val="num" w:pos="1134"/>
        </w:tabs>
        <w:ind w:left="1134" w:right="1134" w:hanging="454"/>
      </w:pPr>
    </w:lvl>
    <w:lvl w:ilvl="2">
      <w:start w:val="1"/>
      <w:numFmt w:val="decimal"/>
      <w:lvlText w:val="%1.%2.%3."/>
      <w:lvlJc w:val="center"/>
      <w:pPr>
        <w:tabs>
          <w:tab w:val="num" w:pos="1984"/>
        </w:tabs>
        <w:ind w:left="1984" w:right="1984" w:hanging="567"/>
      </w:pPr>
    </w:lvl>
    <w:lvl w:ilvl="3">
      <w:start w:val="1"/>
      <w:numFmt w:val="decimal"/>
      <w:lvlText w:val="%1.%2.%3.%4."/>
      <w:lvlJc w:val="center"/>
      <w:pPr>
        <w:tabs>
          <w:tab w:val="num" w:pos="2835"/>
        </w:tabs>
        <w:ind w:left="2835" w:right="2835" w:hanging="567"/>
      </w:pPr>
    </w:lvl>
    <w:lvl w:ilvl="4">
      <w:start w:val="1"/>
      <w:numFmt w:val="decimal"/>
      <w:lvlText w:val="%1.%2.%3.%4.%5."/>
      <w:lvlJc w:val="center"/>
      <w:pPr>
        <w:tabs>
          <w:tab w:val="num" w:pos="3969"/>
        </w:tabs>
        <w:ind w:left="3969" w:right="3969" w:hanging="681"/>
      </w:pPr>
    </w:lvl>
    <w:lvl w:ilvl="5">
      <w:start w:val="1"/>
      <w:numFmt w:val="decimal"/>
      <w:lvlText w:val="%1.%2.%3.%4.%5.%6."/>
      <w:lvlJc w:val="center"/>
      <w:pPr>
        <w:tabs>
          <w:tab w:val="num" w:pos="5142"/>
        </w:tabs>
        <w:ind w:left="4535" w:right="4535" w:hanging="113"/>
      </w:pPr>
    </w:lvl>
    <w:lvl w:ilvl="6">
      <w:start w:val="1"/>
      <w:numFmt w:val="decimal"/>
      <w:lvlText w:val="%1.%2.%3.%4.%5.%6.%7."/>
      <w:lvlJc w:val="center"/>
      <w:pPr>
        <w:tabs>
          <w:tab w:val="num" w:pos="6389"/>
        </w:tabs>
        <w:ind w:left="5896" w:right="5896" w:hanging="227"/>
      </w:pPr>
    </w:lvl>
    <w:lvl w:ilvl="7">
      <w:start w:val="1"/>
      <w:numFmt w:val="decimal"/>
      <w:lvlText w:val="%1.%2.%3.%4.%5.%6.%7.%8."/>
      <w:lvlJc w:val="center"/>
      <w:pPr>
        <w:tabs>
          <w:tab w:val="num" w:pos="7654"/>
        </w:tabs>
        <w:ind w:left="7654" w:right="7654" w:hanging="681"/>
      </w:pPr>
    </w:lvl>
    <w:lvl w:ilvl="8">
      <w:start w:val="1"/>
      <w:numFmt w:val="decimal"/>
      <w:lvlText w:val="%1.%2.%3.%4.%5.%6.%7.%8.%9."/>
      <w:lvlJc w:val="center"/>
      <w:pPr>
        <w:tabs>
          <w:tab w:val="num" w:pos="13476"/>
        </w:tabs>
        <w:ind w:left="8504" w:right="8504" w:firstLine="4252"/>
      </w:pPr>
    </w:lvl>
  </w:abstractNum>
  <w:abstractNum w:abstractNumId="39" w15:restartNumberingAfterBreak="0">
    <w:nsid w:val="4646235F"/>
    <w:multiLevelType w:val="hybridMultilevel"/>
    <w:tmpl w:val="6890D2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AD1054"/>
    <w:multiLevelType w:val="multilevel"/>
    <w:tmpl w:val="96BAE424"/>
    <w:lvl w:ilvl="0">
      <w:start w:val="1"/>
      <w:numFmt w:val="decimal"/>
      <w:lvlText w:val="(%1)"/>
      <w:lvlJc w:val="left"/>
      <w:pPr>
        <w:ind w:left="340" w:hanging="340"/>
      </w:pPr>
      <w:rPr>
        <w:rFonts w:hint="default"/>
        <w:b/>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15:restartNumberingAfterBreak="0">
    <w:nsid w:val="47A25325"/>
    <w:multiLevelType w:val="hybridMultilevel"/>
    <w:tmpl w:val="CF5A26E4"/>
    <w:lvl w:ilvl="0" w:tplc="534604E6">
      <w:start w:val="1"/>
      <w:numFmt w:val="bullet"/>
      <w:pStyle w:val="a0"/>
      <w:lvlText w:val=""/>
      <w:lvlJc w:val="left"/>
      <w:pPr>
        <w:tabs>
          <w:tab w:val="num" w:pos="360"/>
        </w:tabs>
        <w:ind w:left="360" w:hanging="360"/>
      </w:pPr>
      <w:rPr>
        <w:rFonts w:ascii="Wingdings" w:hAnsi="Wingdings" w:hint="default"/>
        <w:color w:val="auto"/>
        <w:sz w:val="20"/>
      </w:rPr>
    </w:lvl>
    <w:lvl w:ilvl="1" w:tplc="9336EB16">
      <w:start w:val="1"/>
      <w:numFmt w:val="bullet"/>
      <w:lvlText w:val=""/>
      <w:lvlJc w:val="left"/>
      <w:pPr>
        <w:tabs>
          <w:tab w:val="num" w:pos="643"/>
        </w:tabs>
        <w:ind w:left="643" w:hanging="360"/>
      </w:pPr>
      <w:rPr>
        <w:rFonts w:ascii="Wingdings" w:hAnsi="Wingdings" w:hint="default"/>
        <w:color w:val="auto"/>
        <w:sz w:val="10"/>
      </w:rPr>
    </w:lvl>
    <w:lvl w:ilvl="2" w:tplc="14A8CFFA">
      <w:start w:val="1"/>
      <w:numFmt w:val="bullet"/>
      <w:lvlText w:val=""/>
      <w:lvlJc w:val="left"/>
      <w:pPr>
        <w:tabs>
          <w:tab w:val="num" w:pos="2108"/>
        </w:tabs>
        <w:ind w:left="2108" w:hanging="360"/>
      </w:pPr>
      <w:rPr>
        <w:rFonts w:ascii="Wingdings" w:hAnsi="Wingdings" w:hint="default"/>
        <w:color w:val="auto"/>
        <w:sz w:val="10"/>
      </w:rPr>
    </w:lvl>
    <w:lvl w:ilvl="3" w:tplc="ED628E16">
      <w:start w:val="1"/>
      <w:numFmt w:val="bullet"/>
      <w:lvlText w:val="–"/>
      <w:lvlJc w:val="left"/>
      <w:pPr>
        <w:tabs>
          <w:tab w:val="num" w:pos="2828"/>
        </w:tabs>
        <w:ind w:left="2828" w:hanging="360"/>
      </w:pPr>
      <w:rPr>
        <w:rFonts w:ascii="pt_font.4.6" w:hAnsi="pt_font.4.6" w:hint="default"/>
        <w:color w:val="auto"/>
        <w:sz w:val="20"/>
      </w:rPr>
    </w:lvl>
    <w:lvl w:ilvl="4" w:tplc="04090003" w:tentative="1">
      <w:start w:val="1"/>
      <w:numFmt w:val="bullet"/>
      <w:lvlText w:val="o"/>
      <w:lvlJc w:val="left"/>
      <w:pPr>
        <w:tabs>
          <w:tab w:val="num" w:pos="3548"/>
        </w:tabs>
        <w:ind w:left="3548" w:hanging="360"/>
      </w:pPr>
      <w:rPr>
        <w:rFonts w:ascii="Courier New" w:hAnsi="Courier New" w:hint="default"/>
      </w:rPr>
    </w:lvl>
    <w:lvl w:ilvl="5" w:tplc="04090005" w:tentative="1">
      <w:start w:val="1"/>
      <w:numFmt w:val="bullet"/>
      <w:lvlText w:val=""/>
      <w:lvlJc w:val="left"/>
      <w:pPr>
        <w:tabs>
          <w:tab w:val="num" w:pos="4268"/>
        </w:tabs>
        <w:ind w:left="4268" w:hanging="360"/>
      </w:pPr>
      <w:rPr>
        <w:rFonts w:ascii="Wingdings" w:hAnsi="Wingdings" w:hint="default"/>
      </w:rPr>
    </w:lvl>
    <w:lvl w:ilvl="6" w:tplc="04090001" w:tentative="1">
      <w:start w:val="1"/>
      <w:numFmt w:val="bullet"/>
      <w:lvlText w:val=""/>
      <w:lvlJc w:val="left"/>
      <w:pPr>
        <w:tabs>
          <w:tab w:val="num" w:pos="4988"/>
        </w:tabs>
        <w:ind w:left="4988" w:hanging="360"/>
      </w:pPr>
      <w:rPr>
        <w:rFonts w:ascii="Symbol" w:hAnsi="Symbol" w:hint="default"/>
      </w:rPr>
    </w:lvl>
    <w:lvl w:ilvl="7" w:tplc="04090003" w:tentative="1">
      <w:start w:val="1"/>
      <w:numFmt w:val="bullet"/>
      <w:lvlText w:val="o"/>
      <w:lvlJc w:val="left"/>
      <w:pPr>
        <w:tabs>
          <w:tab w:val="num" w:pos="5708"/>
        </w:tabs>
        <w:ind w:left="5708" w:hanging="360"/>
      </w:pPr>
      <w:rPr>
        <w:rFonts w:ascii="Courier New" w:hAnsi="Courier New" w:hint="default"/>
      </w:rPr>
    </w:lvl>
    <w:lvl w:ilvl="8" w:tplc="04090005" w:tentative="1">
      <w:start w:val="1"/>
      <w:numFmt w:val="bullet"/>
      <w:lvlText w:val=""/>
      <w:lvlJc w:val="left"/>
      <w:pPr>
        <w:tabs>
          <w:tab w:val="num" w:pos="6428"/>
        </w:tabs>
        <w:ind w:left="6428" w:hanging="360"/>
      </w:pPr>
      <w:rPr>
        <w:rFonts w:ascii="Wingdings" w:hAnsi="Wingdings" w:hint="default"/>
      </w:rPr>
    </w:lvl>
  </w:abstractNum>
  <w:abstractNum w:abstractNumId="42" w15:restartNumberingAfterBreak="0">
    <w:nsid w:val="47DF71C3"/>
    <w:multiLevelType w:val="hybridMultilevel"/>
    <w:tmpl w:val="8C4226A8"/>
    <w:lvl w:ilvl="0" w:tplc="58C26F30">
      <w:start w:val="1"/>
      <w:numFmt w:val="decimal"/>
      <w:lvlText w:val="(%1)"/>
      <w:lvlJc w:val="left"/>
      <w:pPr>
        <w:ind w:left="360" w:hanging="360"/>
      </w:pPr>
      <w:rPr>
        <w:rFonts w:hint="default"/>
        <w:b/>
        <w:spacing w:val="0"/>
        <w:sz w:val="24"/>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8BF7F5C"/>
    <w:multiLevelType w:val="hybridMultilevel"/>
    <w:tmpl w:val="94DE6F70"/>
    <w:lvl w:ilvl="0" w:tplc="BFD0042E">
      <w:start w:val="1"/>
      <w:numFmt w:val="hebrew1"/>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4" w15:restartNumberingAfterBreak="0">
    <w:nsid w:val="48FE75AE"/>
    <w:multiLevelType w:val="multilevel"/>
    <w:tmpl w:val="DD22E24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15:restartNumberingAfterBreak="0">
    <w:nsid w:val="4AD93769"/>
    <w:multiLevelType w:val="multilevel"/>
    <w:tmpl w:val="D7266740"/>
    <w:lvl w:ilvl="0">
      <w:start w:val="1"/>
      <w:numFmt w:val="hebrew1"/>
      <w:lvlText w:val="%1."/>
      <w:lvlJc w:val="center"/>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6" w15:restartNumberingAfterBreak="0">
    <w:nsid w:val="4B8734FD"/>
    <w:multiLevelType w:val="hybridMultilevel"/>
    <w:tmpl w:val="55807410"/>
    <w:lvl w:ilvl="0" w:tplc="04090001">
      <w:start w:val="1"/>
      <w:numFmt w:val="bullet"/>
      <w:lvlText w:val=""/>
      <w:lvlJc w:val="left"/>
      <w:pPr>
        <w:ind w:left="360" w:hanging="360"/>
      </w:pPr>
      <w:rPr>
        <w:rFonts w:ascii="Symbol" w:hAnsi="Symbo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CA22301"/>
    <w:multiLevelType w:val="hybridMultilevel"/>
    <w:tmpl w:val="F40AE0EC"/>
    <w:lvl w:ilvl="0" w:tplc="8196B7E4">
      <w:start w:val="1"/>
      <w:numFmt w:val="decimal"/>
      <w:lvlText w:val="(%1)"/>
      <w:lvlJc w:val="left"/>
      <w:pPr>
        <w:ind w:left="360" w:hanging="360"/>
      </w:pPr>
      <w:rPr>
        <w:rFonts w:hint="default"/>
        <w:b/>
        <w:bCs/>
        <w:spacing w:val="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CCC78B1"/>
    <w:multiLevelType w:val="multilevel"/>
    <w:tmpl w:val="A364BA5A"/>
    <w:lvl w:ilvl="0">
      <w:start w:val="1"/>
      <w:numFmt w:val="decimal"/>
      <w:lvlRestart w:val="0"/>
      <w:lvlText w:val="%1."/>
      <w:lvlJc w:val="left"/>
      <w:pPr>
        <w:ind w:left="340" w:hanging="340"/>
      </w:pPr>
    </w:lvl>
    <w:lvl w:ilvl="1">
      <w:start w:val="1"/>
      <w:numFmt w:val="decimal"/>
      <w:lvlText w:val="%2)"/>
      <w:lvlJc w:val="left"/>
      <w:pPr>
        <w:ind w:left="680" w:hanging="340"/>
      </w:pPr>
    </w:lvl>
    <w:lvl w:ilvl="2">
      <w:start w:val="1"/>
      <w:numFmt w:val="decimal"/>
      <w:lvlText w:val="(%3)"/>
      <w:lvlJc w:val="left"/>
      <w:pPr>
        <w:ind w:left="1077" w:hanging="397"/>
      </w:pPr>
      <w:rPr>
        <w:b/>
        <w:bCs/>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9" w15:restartNumberingAfterBreak="0">
    <w:nsid w:val="4E752AA5"/>
    <w:multiLevelType w:val="hybridMultilevel"/>
    <w:tmpl w:val="09FA0E96"/>
    <w:lvl w:ilvl="0" w:tplc="6FEC1940">
      <w:start w:val="1"/>
      <w:numFmt w:val="hebrew1"/>
      <w:lvlText w:val="%1."/>
      <w:lvlJc w:val="left"/>
      <w:pPr>
        <w:ind w:left="700" w:hanging="360"/>
      </w:pPr>
      <w:rPr>
        <w:rFonts w:eastAsiaTheme="majorEastAsia"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0" w15:restartNumberingAfterBreak="0">
    <w:nsid w:val="50145A8C"/>
    <w:multiLevelType w:val="hybridMultilevel"/>
    <w:tmpl w:val="CDB423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1EA378A"/>
    <w:multiLevelType w:val="multilevel"/>
    <w:tmpl w:val="0D98E310"/>
    <w:lvl w:ilvl="0">
      <w:start w:val="1"/>
      <w:numFmt w:val="decimal"/>
      <w:lvlRestart w:val="0"/>
      <w:lvlText w:val="%1."/>
      <w:lvlJc w:val="left"/>
      <w:pPr>
        <w:ind w:left="340" w:hanging="340"/>
      </w:pPr>
    </w:lvl>
    <w:lvl w:ilvl="1">
      <w:start w:val="1"/>
      <w:numFmt w:val="hebrew1"/>
      <w:lvlText w:val="(%2)"/>
      <w:lvlJc w:val="left"/>
      <w:pPr>
        <w:ind w:left="680" w:hanging="340"/>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2" w15:restartNumberingAfterBreak="0">
    <w:nsid w:val="56204B2C"/>
    <w:multiLevelType w:val="hybridMultilevel"/>
    <w:tmpl w:val="4B5EA398"/>
    <w:lvl w:ilvl="0" w:tplc="74FC8D66">
      <w:start w:val="1"/>
      <w:numFmt w:val="decimal"/>
      <w:lvlText w:val="(%1)"/>
      <w:lvlJc w:val="left"/>
      <w:pPr>
        <w:ind w:left="360" w:hanging="360"/>
      </w:pPr>
      <w:rPr>
        <w:rFonts w:hint="default"/>
        <w:b/>
        <w:bCs/>
        <w:spacing w:val="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80E5037"/>
    <w:multiLevelType w:val="hybridMultilevel"/>
    <w:tmpl w:val="0B7AAF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D067F67"/>
    <w:multiLevelType w:val="hybridMultilevel"/>
    <w:tmpl w:val="BD6EA4FA"/>
    <w:lvl w:ilvl="0" w:tplc="9F342B92">
      <w:start w:val="1"/>
      <w:numFmt w:val="hebrew1"/>
      <w:lvlText w:val="%1."/>
      <w:lvlJc w:val="left"/>
      <w:pPr>
        <w:ind w:left="360" w:hanging="360"/>
      </w:pPr>
      <w:rPr>
        <w:rFonts w:ascii="David" w:eastAsia="Calibri" w:hAnsi="David" w:cs="David"/>
      </w:rPr>
    </w:lvl>
    <w:lvl w:ilvl="1" w:tplc="04090019">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5" w15:restartNumberingAfterBreak="0">
    <w:nsid w:val="5E116B54"/>
    <w:multiLevelType w:val="hybridMultilevel"/>
    <w:tmpl w:val="8C5E660E"/>
    <w:lvl w:ilvl="0" w:tplc="66043F3A">
      <w:start w:val="1"/>
      <w:numFmt w:val="hebrew1"/>
      <w:lvlText w:val="(%1)"/>
      <w:lvlJc w:val="left"/>
      <w:pPr>
        <w:ind w:left="737" w:hanging="360"/>
      </w:pPr>
      <w:rPr>
        <w:rFonts w:hint="default"/>
        <w:sz w:val="24"/>
        <w:szCs w:val="24"/>
      </w:rPr>
    </w:lvl>
    <w:lvl w:ilvl="1" w:tplc="04090019" w:tentative="1">
      <w:start w:val="1"/>
      <w:numFmt w:val="lowerLetter"/>
      <w:lvlText w:val="%2."/>
      <w:lvlJc w:val="left"/>
      <w:pPr>
        <w:ind w:left="399" w:hanging="360"/>
      </w:pPr>
    </w:lvl>
    <w:lvl w:ilvl="2" w:tplc="0409001B" w:tentative="1">
      <w:start w:val="1"/>
      <w:numFmt w:val="lowerRoman"/>
      <w:lvlText w:val="%3."/>
      <w:lvlJc w:val="right"/>
      <w:pPr>
        <w:ind w:left="1119" w:hanging="180"/>
      </w:pPr>
    </w:lvl>
    <w:lvl w:ilvl="3" w:tplc="0409000F" w:tentative="1">
      <w:start w:val="1"/>
      <w:numFmt w:val="decimal"/>
      <w:lvlText w:val="%4."/>
      <w:lvlJc w:val="left"/>
      <w:pPr>
        <w:ind w:left="1839" w:hanging="360"/>
      </w:pPr>
    </w:lvl>
    <w:lvl w:ilvl="4" w:tplc="04090019" w:tentative="1">
      <w:start w:val="1"/>
      <w:numFmt w:val="lowerLetter"/>
      <w:lvlText w:val="%5."/>
      <w:lvlJc w:val="left"/>
      <w:pPr>
        <w:ind w:left="2559" w:hanging="360"/>
      </w:pPr>
    </w:lvl>
    <w:lvl w:ilvl="5" w:tplc="0409001B" w:tentative="1">
      <w:start w:val="1"/>
      <w:numFmt w:val="lowerRoman"/>
      <w:lvlText w:val="%6."/>
      <w:lvlJc w:val="right"/>
      <w:pPr>
        <w:ind w:left="3279" w:hanging="180"/>
      </w:pPr>
    </w:lvl>
    <w:lvl w:ilvl="6" w:tplc="0409000F" w:tentative="1">
      <w:start w:val="1"/>
      <w:numFmt w:val="decimal"/>
      <w:lvlText w:val="%7."/>
      <w:lvlJc w:val="left"/>
      <w:pPr>
        <w:ind w:left="3999" w:hanging="360"/>
      </w:pPr>
    </w:lvl>
    <w:lvl w:ilvl="7" w:tplc="04090019" w:tentative="1">
      <w:start w:val="1"/>
      <w:numFmt w:val="lowerLetter"/>
      <w:lvlText w:val="%8."/>
      <w:lvlJc w:val="left"/>
      <w:pPr>
        <w:ind w:left="4719" w:hanging="360"/>
      </w:pPr>
    </w:lvl>
    <w:lvl w:ilvl="8" w:tplc="0409001B" w:tentative="1">
      <w:start w:val="1"/>
      <w:numFmt w:val="lowerRoman"/>
      <w:lvlText w:val="%9."/>
      <w:lvlJc w:val="right"/>
      <w:pPr>
        <w:ind w:left="5439" w:hanging="180"/>
      </w:pPr>
    </w:lvl>
  </w:abstractNum>
  <w:abstractNum w:abstractNumId="56" w15:restartNumberingAfterBreak="0">
    <w:nsid w:val="5E2E4D74"/>
    <w:multiLevelType w:val="multilevel"/>
    <w:tmpl w:val="964A32C0"/>
    <w:lvl w:ilvl="0">
      <w:start w:val="1"/>
      <w:numFmt w:val="decimal"/>
      <w:lvlRestart w:val="0"/>
      <w:lvlText w:val="%1."/>
      <w:lvlJc w:val="left"/>
      <w:pPr>
        <w:ind w:left="482" w:hanging="340"/>
      </w:pPr>
      <w:rPr>
        <w:rFonts w:hint="default"/>
        <w:lang w:val="en-US"/>
      </w:rPr>
    </w:lvl>
    <w:lvl w:ilvl="1">
      <w:start w:val="1"/>
      <w:numFmt w:val="hebrew1"/>
      <w:lvlText w:val="%2."/>
      <w:lvlJc w:val="left"/>
      <w:pPr>
        <w:ind w:left="680" w:hanging="340"/>
      </w:pPr>
    </w:lvl>
    <w:lvl w:ilvl="2">
      <w:start w:val="1"/>
      <w:numFmt w:val="decimal"/>
      <w:lvlText w:val="(%3)"/>
      <w:lvlJc w:val="left"/>
      <w:pPr>
        <w:ind w:left="1077" w:hanging="397"/>
      </w:pPr>
      <w:rPr>
        <w:spacing w:val="0"/>
      </w:rPr>
    </w:lvl>
    <w:lvl w:ilvl="3">
      <w:start w:val="1"/>
      <w:numFmt w:val="hebrew1"/>
      <w:lvlText w:val="(%4)"/>
      <w:lvlJc w:val="left"/>
      <w:pPr>
        <w:ind w:left="1474" w:hanging="397"/>
      </w:pPr>
      <w:rPr>
        <w:spacing w:val="0"/>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7" w15:restartNumberingAfterBreak="0">
    <w:nsid w:val="5F6B653B"/>
    <w:multiLevelType w:val="multilevel"/>
    <w:tmpl w:val="8E3C4050"/>
    <w:lvl w:ilvl="0">
      <w:start w:val="3"/>
      <w:numFmt w:val="decimal"/>
      <w:lvlRestart w:val="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8" w15:restartNumberingAfterBreak="0">
    <w:nsid w:val="60AB4D99"/>
    <w:multiLevelType w:val="hybridMultilevel"/>
    <w:tmpl w:val="4FE0C6F6"/>
    <w:lvl w:ilvl="0" w:tplc="04090001">
      <w:start w:val="1"/>
      <w:numFmt w:val="bullet"/>
      <w:lvlText w:val=""/>
      <w:lvlJc w:val="left"/>
      <w:pPr>
        <w:ind w:left="390" w:hanging="390"/>
      </w:pPr>
      <w:rPr>
        <w:rFonts w:ascii="Symbol" w:hAnsi="Symbo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3475D1B"/>
    <w:multiLevelType w:val="hybridMultilevel"/>
    <w:tmpl w:val="0434C0C4"/>
    <w:lvl w:ilvl="0" w:tplc="B6F09714">
      <w:start w:val="1"/>
      <w:numFmt w:val="decimal"/>
      <w:lvlText w:val="(%1)"/>
      <w:lvlJc w:val="left"/>
      <w:pPr>
        <w:ind w:left="360" w:hanging="360"/>
      </w:pPr>
      <w:rPr>
        <w:rFonts w:hint="default"/>
        <w:b/>
        <w:spacing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693650D"/>
    <w:multiLevelType w:val="multilevel"/>
    <w:tmpl w:val="61985A2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1" w15:restartNumberingAfterBreak="0">
    <w:nsid w:val="68B52F18"/>
    <w:multiLevelType w:val="hybridMultilevel"/>
    <w:tmpl w:val="E7E6258A"/>
    <w:lvl w:ilvl="0" w:tplc="750A854C">
      <w:start w:val="1"/>
      <w:numFmt w:val="decimal"/>
      <w:lvlText w:val="(%1)"/>
      <w:lvlJc w:val="left"/>
      <w:pPr>
        <w:ind w:left="784" w:hanging="360"/>
      </w:pPr>
      <w:rPr>
        <w:rFonts w:hint="default"/>
        <w:b w:val="0"/>
        <w:bCs/>
        <w:sz w:val="24"/>
      </w:rPr>
    </w:lvl>
    <w:lvl w:ilvl="1" w:tplc="66043F3A">
      <w:start w:val="1"/>
      <w:numFmt w:val="hebrew1"/>
      <w:lvlText w:val="(%2)"/>
      <w:lvlJc w:val="left"/>
      <w:pPr>
        <w:ind w:left="1153" w:hanging="360"/>
      </w:pPr>
      <w:rPr>
        <w:rFonts w:hint="default"/>
        <w:sz w:val="24"/>
        <w:szCs w:val="24"/>
      </w:rPr>
    </w:lvl>
    <w:lvl w:ilvl="2" w:tplc="0409001B">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2" w15:restartNumberingAfterBreak="0">
    <w:nsid w:val="6A383457"/>
    <w:multiLevelType w:val="multilevel"/>
    <w:tmpl w:val="DD22E24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3" w15:restartNumberingAfterBreak="0">
    <w:nsid w:val="6B061B6E"/>
    <w:multiLevelType w:val="hybridMultilevel"/>
    <w:tmpl w:val="204A00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C4F58F6"/>
    <w:multiLevelType w:val="multilevel"/>
    <w:tmpl w:val="DC9258FE"/>
    <w:lvl w:ilvl="0">
      <w:start w:val="1"/>
      <w:numFmt w:val="decimal"/>
      <w:lvlRestart w:val="0"/>
      <w:lvlText w:val="%1."/>
      <w:lvlJc w:val="left"/>
      <w:pPr>
        <w:ind w:left="340" w:hanging="340"/>
      </w:pPr>
    </w:lvl>
    <w:lvl w:ilvl="1">
      <w:start w:val="1"/>
      <w:numFmt w:val="bullet"/>
      <w:lvlText w:val=""/>
      <w:lvlJc w:val="left"/>
      <w:pPr>
        <w:ind w:left="680" w:hanging="340"/>
      </w:pPr>
      <w:rPr>
        <w:rFonts w:ascii="Symbol" w:hAnsi="Symbol" w:hint="default"/>
        <w:b w:val="0"/>
        <w:bCs/>
        <w:sz w:val="24"/>
      </w:rPr>
    </w:lvl>
    <w:lvl w:ilvl="2">
      <w:start w:val="1"/>
      <w:numFmt w:val="decimal"/>
      <w:lvlText w:val="(%3)"/>
      <w:lvlJc w:val="left"/>
      <w:pPr>
        <w:ind w:left="1077" w:hanging="397"/>
      </w:pPr>
      <w:rPr>
        <w:spacing w:val="0"/>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5" w15:restartNumberingAfterBreak="0">
    <w:nsid w:val="6C537831"/>
    <w:multiLevelType w:val="hybridMultilevel"/>
    <w:tmpl w:val="77F697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C9B3BE0"/>
    <w:multiLevelType w:val="multilevel"/>
    <w:tmpl w:val="E0A8263A"/>
    <w:lvl w:ilvl="0">
      <w:start w:val="1"/>
      <w:numFmt w:val="decimal"/>
      <w:lvlRestart w:val="0"/>
      <w:lvlText w:val="%1."/>
      <w:lvlJc w:val="left"/>
      <w:pPr>
        <w:ind w:left="340" w:hanging="340"/>
      </w:pPr>
    </w:lvl>
    <w:lvl w:ilvl="1">
      <w:start w:val="1"/>
      <w:numFmt w:val="decimal"/>
      <w:lvlText w:val="(%2)"/>
      <w:lvlJc w:val="left"/>
      <w:pPr>
        <w:ind w:left="680" w:hanging="340"/>
      </w:pPr>
      <w:rPr>
        <w:rFonts w:hint="default"/>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7" w15:restartNumberingAfterBreak="0">
    <w:nsid w:val="70180962"/>
    <w:multiLevelType w:val="multilevel"/>
    <w:tmpl w:val="F1864552"/>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b w:val="0"/>
        <w:bCs/>
        <w:sz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8" w15:restartNumberingAfterBreak="0">
    <w:nsid w:val="71DE13AC"/>
    <w:multiLevelType w:val="multilevel"/>
    <w:tmpl w:val="8F04F25A"/>
    <w:styleLink w:val="1"/>
    <w:lvl w:ilvl="0">
      <w:start w:val="1"/>
      <w:numFmt w:val="hebrew1"/>
      <w:lvlText w:val="%1."/>
      <w:lvlJc w:val="center"/>
      <w:pPr>
        <w:tabs>
          <w:tab w:val="num" w:pos="566"/>
        </w:tabs>
        <w:ind w:left="566" w:hanging="360"/>
      </w:pPr>
      <w:rPr>
        <w:rFonts w:cs="Times New Roman"/>
      </w:rPr>
    </w:lvl>
    <w:lvl w:ilvl="1">
      <w:start w:val="1"/>
      <w:numFmt w:val="decimal"/>
      <w:lvlText w:val="%2)"/>
      <w:lvlJc w:val="left"/>
      <w:pPr>
        <w:tabs>
          <w:tab w:val="num" w:pos="1286"/>
        </w:tabs>
        <w:ind w:left="1286" w:hanging="360"/>
      </w:pPr>
      <w:rPr>
        <w:rFonts w:cs="Times New Roman"/>
      </w:rPr>
    </w:lvl>
    <w:lvl w:ilvl="2">
      <w:start w:val="1"/>
      <w:numFmt w:val="hebrew1"/>
      <w:lvlText w:val="%3."/>
      <w:lvlJc w:val="center"/>
      <w:pPr>
        <w:tabs>
          <w:tab w:val="num" w:pos="2186"/>
        </w:tabs>
        <w:ind w:left="2186" w:hanging="360"/>
      </w:pPr>
      <w:rPr>
        <w:rFonts w:cs="Times New Roman"/>
      </w:rPr>
    </w:lvl>
    <w:lvl w:ilvl="3">
      <w:start w:val="9"/>
      <w:numFmt w:val="decimal"/>
      <w:lvlText w:val="%4."/>
      <w:lvlJc w:val="left"/>
      <w:pPr>
        <w:tabs>
          <w:tab w:val="num" w:pos="2726"/>
        </w:tabs>
        <w:ind w:left="2726" w:hanging="360"/>
      </w:pPr>
      <w:rPr>
        <w:rFonts w:cs="Times New Roman" w:hint="default"/>
        <w:b/>
        <w:sz w:val="28"/>
        <w:u w:val="single"/>
      </w:rPr>
    </w:lvl>
    <w:lvl w:ilvl="4">
      <w:start w:val="1"/>
      <w:numFmt w:val="lowerLetter"/>
      <w:lvlText w:val="%5."/>
      <w:lvlJc w:val="left"/>
      <w:pPr>
        <w:tabs>
          <w:tab w:val="num" w:pos="3446"/>
        </w:tabs>
        <w:ind w:left="3446" w:hanging="360"/>
      </w:pPr>
      <w:rPr>
        <w:rFonts w:cs="Times New Roman"/>
      </w:rPr>
    </w:lvl>
    <w:lvl w:ilvl="5">
      <w:start w:val="1"/>
      <w:numFmt w:val="lowerRoman"/>
      <w:lvlText w:val="%6."/>
      <w:lvlJc w:val="right"/>
      <w:pPr>
        <w:tabs>
          <w:tab w:val="num" w:pos="4166"/>
        </w:tabs>
        <w:ind w:left="4166" w:hanging="180"/>
      </w:pPr>
      <w:rPr>
        <w:rFonts w:cs="Times New Roman"/>
      </w:rPr>
    </w:lvl>
    <w:lvl w:ilvl="6">
      <w:start w:val="1"/>
      <w:numFmt w:val="decimal"/>
      <w:lvlText w:val="%7."/>
      <w:lvlJc w:val="left"/>
      <w:pPr>
        <w:tabs>
          <w:tab w:val="num" w:pos="4886"/>
        </w:tabs>
        <w:ind w:left="4886" w:hanging="360"/>
      </w:pPr>
      <w:rPr>
        <w:rFonts w:cs="Times New Roman"/>
      </w:rPr>
    </w:lvl>
    <w:lvl w:ilvl="7">
      <w:start w:val="1"/>
      <w:numFmt w:val="lowerLetter"/>
      <w:lvlText w:val="%8."/>
      <w:lvlJc w:val="left"/>
      <w:pPr>
        <w:tabs>
          <w:tab w:val="num" w:pos="5606"/>
        </w:tabs>
        <w:ind w:left="5606" w:hanging="360"/>
      </w:pPr>
      <w:rPr>
        <w:rFonts w:cs="Times New Roman"/>
      </w:rPr>
    </w:lvl>
    <w:lvl w:ilvl="8">
      <w:start w:val="1"/>
      <w:numFmt w:val="lowerRoman"/>
      <w:lvlText w:val="%9."/>
      <w:lvlJc w:val="right"/>
      <w:pPr>
        <w:tabs>
          <w:tab w:val="num" w:pos="6326"/>
        </w:tabs>
        <w:ind w:left="6326" w:hanging="180"/>
      </w:pPr>
      <w:rPr>
        <w:rFonts w:cs="Times New Roman"/>
      </w:rPr>
    </w:lvl>
  </w:abstractNum>
  <w:abstractNum w:abstractNumId="69" w15:restartNumberingAfterBreak="0">
    <w:nsid w:val="729761AD"/>
    <w:multiLevelType w:val="multilevel"/>
    <w:tmpl w:val="0BEE05B4"/>
    <w:lvl w:ilvl="0">
      <w:start w:val="1"/>
      <w:numFmt w:val="decimal"/>
      <w:lvlText w:val="(%1)"/>
      <w:lvlJc w:val="left"/>
      <w:pPr>
        <w:ind w:left="340" w:hanging="340"/>
      </w:pPr>
      <w:rPr>
        <w:rFonts w:hint="default"/>
        <w:b/>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0" w15:restartNumberingAfterBreak="0">
    <w:nsid w:val="7376412F"/>
    <w:multiLevelType w:val="multilevel"/>
    <w:tmpl w:val="E9CAA176"/>
    <w:lvl w:ilvl="0">
      <w:start w:val="1"/>
      <w:numFmt w:val="hebrew1"/>
      <w:lvlText w:val="%1."/>
      <w:lvlJc w:val="center"/>
      <w:pPr>
        <w:ind w:left="340" w:hanging="340"/>
      </w:pPr>
      <w:rPr>
        <w:rFonts w:hint="default"/>
        <w:b/>
        <w:bCs/>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1" w15:restartNumberingAfterBreak="0">
    <w:nsid w:val="73CB7738"/>
    <w:multiLevelType w:val="hybridMultilevel"/>
    <w:tmpl w:val="89F0465C"/>
    <w:lvl w:ilvl="0" w:tplc="692AE12A">
      <w:start w:val="1"/>
      <w:numFmt w:val="decimal"/>
      <w:lvlText w:val="(%1)"/>
      <w:lvlJc w:val="left"/>
      <w:pPr>
        <w:ind w:left="746" w:hanging="360"/>
      </w:pPr>
      <w:rPr>
        <w:rFonts w:hint="default"/>
        <w:b/>
        <w:sz w:val="24"/>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2" w15:restartNumberingAfterBreak="0">
    <w:nsid w:val="76C12155"/>
    <w:multiLevelType w:val="multilevel"/>
    <w:tmpl w:val="78AAABE4"/>
    <w:lvl w:ilvl="0">
      <w:start w:val="5"/>
      <w:numFmt w:val="decimal"/>
      <w:lvlRestart w:val="0"/>
      <w:lvlText w:val="%1."/>
      <w:lvlJc w:val="left"/>
      <w:pPr>
        <w:ind w:left="340" w:hanging="340"/>
      </w:pPr>
      <w:rPr>
        <w:rFonts w:hint="default"/>
      </w:rPr>
    </w:lvl>
    <w:lvl w:ilvl="1">
      <w:start w:val="1"/>
      <w:numFmt w:val="hebrew1"/>
      <w:lvlText w:val="%2."/>
      <w:lvlJc w:val="left"/>
      <w:pPr>
        <w:ind w:left="680" w:hanging="340"/>
      </w:pPr>
      <w:rPr>
        <w:rFonts w:hint="default"/>
        <w:b w:val="0"/>
        <w:bCs w:val="0"/>
      </w:rPr>
    </w:lvl>
    <w:lvl w:ilvl="2">
      <w:start w:val="1"/>
      <w:numFmt w:val="decimal"/>
      <w:lvlText w:val="(%3)"/>
      <w:lvlJc w:val="left"/>
      <w:pPr>
        <w:ind w:left="1077" w:hanging="397"/>
      </w:pPr>
      <w:rPr>
        <w:rFonts w:hint="default"/>
        <w:b/>
        <w:bCs/>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3" w15:restartNumberingAfterBreak="0">
    <w:nsid w:val="785C3F92"/>
    <w:multiLevelType w:val="multilevel"/>
    <w:tmpl w:val="DF6499D8"/>
    <w:lvl w:ilvl="0">
      <w:start w:val="1"/>
      <w:numFmt w:val="decimal"/>
      <w:lvlRestart w:val="0"/>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4" w15:restartNumberingAfterBreak="0">
    <w:nsid w:val="7BD90416"/>
    <w:multiLevelType w:val="multilevel"/>
    <w:tmpl w:val="DD22E24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5" w15:restartNumberingAfterBreak="0">
    <w:nsid w:val="7E3627AF"/>
    <w:multiLevelType w:val="multilevel"/>
    <w:tmpl w:val="DF6499D8"/>
    <w:lvl w:ilvl="0">
      <w:start w:val="1"/>
      <w:numFmt w:val="decimal"/>
      <w:lvlRestart w:val="0"/>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6" w15:restartNumberingAfterBreak="0">
    <w:nsid w:val="7E387360"/>
    <w:multiLevelType w:val="hybridMultilevel"/>
    <w:tmpl w:val="642C8B00"/>
    <w:lvl w:ilvl="0" w:tplc="5382FC3E">
      <w:start w:val="1"/>
      <w:numFmt w:val="hebrew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E514289"/>
    <w:multiLevelType w:val="multilevel"/>
    <w:tmpl w:val="E9CAA176"/>
    <w:lvl w:ilvl="0">
      <w:start w:val="1"/>
      <w:numFmt w:val="hebrew1"/>
      <w:lvlText w:val="%1."/>
      <w:lvlJc w:val="center"/>
      <w:pPr>
        <w:ind w:left="340" w:hanging="340"/>
      </w:pPr>
      <w:rPr>
        <w:rFonts w:hint="default"/>
        <w:b/>
        <w:bCs/>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8" w15:restartNumberingAfterBreak="0">
    <w:nsid w:val="7EE739D8"/>
    <w:multiLevelType w:val="hybridMultilevel"/>
    <w:tmpl w:val="6A64F310"/>
    <w:lvl w:ilvl="0" w:tplc="04090001">
      <w:start w:val="1"/>
      <w:numFmt w:val="bullet"/>
      <w:lvlText w:val=""/>
      <w:lvlJc w:val="left"/>
      <w:pPr>
        <w:ind w:left="1209" w:hanging="360"/>
      </w:pPr>
      <w:rPr>
        <w:rFonts w:ascii="Symbol" w:hAnsi="Symbol" w:hint="default"/>
        <w:sz w:val="24"/>
      </w:r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num w:numId="1">
    <w:abstractNumId w:val="38"/>
  </w:num>
  <w:num w:numId="2">
    <w:abstractNumId w:val="53"/>
  </w:num>
  <w:num w:numId="3">
    <w:abstractNumId w:val="39"/>
  </w:num>
  <w:num w:numId="4">
    <w:abstractNumId w:val="28"/>
  </w:num>
  <w:num w:numId="5">
    <w:abstractNumId w:val="63"/>
  </w:num>
  <w:num w:numId="6">
    <w:abstractNumId w:val="50"/>
  </w:num>
  <w:num w:numId="7">
    <w:abstractNumId w:val="30"/>
  </w:num>
  <w:num w:numId="8">
    <w:abstractNumId w:val="58"/>
  </w:num>
  <w:num w:numId="9">
    <w:abstractNumId w:val="34"/>
  </w:num>
  <w:num w:numId="10">
    <w:abstractNumId w:val="78"/>
  </w:num>
  <w:num w:numId="11">
    <w:abstractNumId w:val="46"/>
  </w:num>
  <w:num w:numId="12">
    <w:abstractNumId w:val="72"/>
  </w:num>
  <w:num w:numId="13">
    <w:abstractNumId w:val="25"/>
  </w:num>
  <w:num w:numId="14">
    <w:abstractNumId w:val="35"/>
  </w:num>
  <w:num w:numId="15">
    <w:abstractNumId w:val="64"/>
  </w:num>
  <w:num w:numId="16">
    <w:abstractNumId w:val="17"/>
  </w:num>
  <w:num w:numId="17">
    <w:abstractNumId w:val="27"/>
  </w:num>
  <w:num w:numId="18">
    <w:abstractNumId w:val="48"/>
  </w:num>
  <w:num w:numId="19">
    <w:abstractNumId w:val="8"/>
  </w:num>
  <w:num w:numId="20">
    <w:abstractNumId w:val="42"/>
  </w:num>
  <w:num w:numId="21">
    <w:abstractNumId w:val="61"/>
  </w:num>
  <w:num w:numId="22">
    <w:abstractNumId w:val="0"/>
  </w:num>
  <w:num w:numId="23">
    <w:abstractNumId w:val="66"/>
  </w:num>
  <w:num w:numId="24">
    <w:abstractNumId w:val="10"/>
  </w:num>
  <w:num w:numId="25">
    <w:abstractNumId w:val="16"/>
  </w:num>
  <w:num w:numId="26">
    <w:abstractNumId w:val="4"/>
  </w:num>
  <w:num w:numId="27">
    <w:abstractNumId w:val="21"/>
  </w:num>
  <w:num w:numId="28">
    <w:abstractNumId w:val="20"/>
  </w:num>
  <w:num w:numId="29">
    <w:abstractNumId w:val="6"/>
  </w:num>
  <w:num w:numId="30">
    <w:abstractNumId w:val="19"/>
  </w:num>
  <w:num w:numId="31">
    <w:abstractNumId w:val="76"/>
  </w:num>
  <w:num w:numId="32">
    <w:abstractNumId w:val="14"/>
  </w:num>
  <w:num w:numId="33">
    <w:abstractNumId w:val="68"/>
  </w:num>
  <w:num w:numId="34">
    <w:abstractNumId w:val="41"/>
  </w:num>
  <w:num w:numId="35">
    <w:abstractNumId w:val="51"/>
  </w:num>
  <w:num w:numId="36">
    <w:abstractNumId w:val="59"/>
  </w:num>
  <w:num w:numId="37">
    <w:abstractNumId w:val="7"/>
  </w:num>
  <w:num w:numId="38">
    <w:abstractNumId w:val="65"/>
  </w:num>
  <w:num w:numId="39">
    <w:abstractNumId w:val="12"/>
  </w:num>
  <w:num w:numId="40">
    <w:abstractNumId w:val="55"/>
  </w:num>
  <w:num w:numId="41">
    <w:abstractNumId w:val="15"/>
  </w:num>
  <w:num w:numId="42">
    <w:abstractNumId w:val="71"/>
  </w:num>
  <w:num w:numId="43">
    <w:abstractNumId w:val="36"/>
  </w:num>
  <w:num w:numId="44">
    <w:abstractNumId w:val="1"/>
  </w:num>
  <w:num w:numId="45">
    <w:abstractNumId w:val="47"/>
  </w:num>
  <w:num w:numId="46">
    <w:abstractNumId w:val="24"/>
  </w:num>
  <w:num w:numId="47">
    <w:abstractNumId w:val="44"/>
  </w:num>
  <w:num w:numId="48">
    <w:abstractNumId w:val="23"/>
  </w:num>
  <w:num w:numId="49">
    <w:abstractNumId w:val="62"/>
  </w:num>
  <w:num w:numId="50">
    <w:abstractNumId w:val="77"/>
  </w:num>
  <w:num w:numId="51">
    <w:abstractNumId w:val="45"/>
  </w:num>
  <w:num w:numId="52">
    <w:abstractNumId w:val="32"/>
  </w:num>
  <w:num w:numId="53">
    <w:abstractNumId w:val="11"/>
  </w:num>
  <w:num w:numId="54">
    <w:abstractNumId w:val="13"/>
  </w:num>
  <w:num w:numId="55">
    <w:abstractNumId w:val="69"/>
  </w:num>
  <w:num w:numId="56">
    <w:abstractNumId w:val="2"/>
  </w:num>
  <w:num w:numId="57">
    <w:abstractNumId w:val="18"/>
  </w:num>
  <w:num w:numId="58">
    <w:abstractNumId w:val="26"/>
  </w:num>
  <w:num w:numId="59">
    <w:abstractNumId w:val="5"/>
  </w:num>
  <w:num w:numId="60">
    <w:abstractNumId w:val="74"/>
  </w:num>
  <w:num w:numId="61">
    <w:abstractNumId w:val="29"/>
  </w:num>
  <w:num w:numId="62">
    <w:abstractNumId w:val="67"/>
  </w:num>
  <w:num w:numId="63">
    <w:abstractNumId w:val="9"/>
  </w:num>
  <w:num w:numId="64">
    <w:abstractNumId w:val="40"/>
  </w:num>
  <w:num w:numId="65">
    <w:abstractNumId w:val="60"/>
  </w:num>
  <w:num w:numId="66">
    <w:abstractNumId w:val="73"/>
  </w:num>
  <w:num w:numId="67">
    <w:abstractNumId w:val="75"/>
  </w:num>
  <w:num w:numId="68">
    <w:abstractNumId w:val="54"/>
  </w:num>
  <w:num w:numId="69">
    <w:abstractNumId w:val="33"/>
  </w:num>
  <w:num w:numId="70">
    <w:abstractNumId w:val="49"/>
  </w:num>
  <w:num w:numId="71">
    <w:abstractNumId w:val="43"/>
  </w:num>
  <w:num w:numId="72">
    <w:abstractNumId w:val="22"/>
  </w:num>
  <w:num w:numId="73">
    <w:abstractNumId w:val="3"/>
  </w:num>
  <w:num w:numId="74">
    <w:abstractNumId w:val="37"/>
  </w:num>
  <w:num w:numId="75">
    <w:abstractNumId w:val="56"/>
  </w:num>
  <w:num w:numId="76">
    <w:abstractNumId w:val="70"/>
  </w:num>
  <w:num w:numId="77">
    <w:abstractNumId w:val="31"/>
  </w:num>
  <w:num w:numId="78">
    <w:abstractNumId w:val="52"/>
  </w:num>
  <w:num w:numId="79">
    <w:abstractNumId w:val="5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GrammaticalErrors/>
  <w:stylePaneSortMethod w:val="0000"/>
  <w:defaultTabStop w:val="720"/>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tnwarning" w:val="1"/>
    <w:docVar w:name="sivug" w:val="1"/>
    <w:docVar w:name="space" w:val="1.3"/>
  </w:docVars>
  <w:rsids>
    <w:rsidRoot w:val="00724E92"/>
    <w:rsid w:val="000001CE"/>
    <w:rsid w:val="000003CF"/>
    <w:rsid w:val="000007C4"/>
    <w:rsid w:val="00000A33"/>
    <w:rsid w:val="00000BD7"/>
    <w:rsid w:val="00000C90"/>
    <w:rsid w:val="000016C8"/>
    <w:rsid w:val="000016FF"/>
    <w:rsid w:val="000018AE"/>
    <w:rsid w:val="00001E22"/>
    <w:rsid w:val="00001F34"/>
    <w:rsid w:val="00002597"/>
    <w:rsid w:val="00002C82"/>
    <w:rsid w:val="00003115"/>
    <w:rsid w:val="000031FF"/>
    <w:rsid w:val="00003B77"/>
    <w:rsid w:val="0000476C"/>
    <w:rsid w:val="00005E5B"/>
    <w:rsid w:val="000061E9"/>
    <w:rsid w:val="0000779C"/>
    <w:rsid w:val="00007864"/>
    <w:rsid w:val="00007D35"/>
    <w:rsid w:val="00007DA6"/>
    <w:rsid w:val="000105FA"/>
    <w:rsid w:val="00010FF7"/>
    <w:rsid w:val="00011363"/>
    <w:rsid w:val="000119F8"/>
    <w:rsid w:val="000120A5"/>
    <w:rsid w:val="0001219C"/>
    <w:rsid w:val="00012590"/>
    <w:rsid w:val="0001267F"/>
    <w:rsid w:val="000126BC"/>
    <w:rsid w:val="0001318C"/>
    <w:rsid w:val="000143E1"/>
    <w:rsid w:val="00014EC8"/>
    <w:rsid w:val="000155B0"/>
    <w:rsid w:val="0001601D"/>
    <w:rsid w:val="000161C1"/>
    <w:rsid w:val="00016214"/>
    <w:rsid w:val="0001665A"/>
    <w:rsid w:val="00016D5D"/>
    <w:rsid w:val="00016E2D"/>
    <w:rsid w:val="0001723A"/>
    <w:rsid w:val="00017E64"/>
    <w:rsid w:val="00020001"/>
    <w:rsid w:val="0002003E"/>
    <w:rsid w:val="000201A9"/>
    <w:rsid w:val="0002033A"/>
    <w:rsid w:val="00020438"/>
    <w:rsid w:val="00020550"/>
    <w:rsid w:val="00020606"/>
    <w:rsid w:val="00020A14"/>
    <w:rsid w:val="00020BE5"/>
    <w:rsid w:val="00020F98"/>
    <w:rsid w:val="0002142D"/>
    <w:rsid w:val="000214B5"/>
    <w:rsid w:val="00021CD7"/>
    <w:rsid w:val="00021E3A"/>
    <w:rsid w:val="00022177"/>
    <w:rsid w:val="000222D7"/>
    <w:rsid w:val="0002276A"/>
    <w:rsid w:val="00022991"/>
    <w:rsid w:val="00022E14"/>
    <w:rsid w:val="00023006"/>
    <w:rsid w:val="00023778"/>
    <w:rsid w:val="000238C5"/>
    <w:rsid w:val="00024002"/>
    <w:rsid w:val="00024302"/>
    <w:rsid w:val="00024332"/>
    <w:rsid w:val="000243BF"/>
    <w:rsid w:val="000243DD"/>
    <w:rsid w:val="0002472E"/>
    <w:rsid w:val="00025008"/>
    <w:rsid w:val="00025292"/>
    <w:rsid w:val="000253BC"/>
    <w:rsid w:val="000258A4"/>
    <w:rsid w:val="0002626F"/>
    <w:rsid w:val="00026B17"/>
    <w:rsid w:val="00026E24"/>
    <w:rsid w:val="00026E3A"/>
    <w:rsid w:val="000275A3"/>
    <w:rsid w:val="00027732"/>
    <w:rsid w:val="00027F72"/>
    <w:rsid w:val="00027FC0"/>
    <w:rsid w:val="000300B0"/>
    <w:rsid w:val="0003029A"/>
    <w:rsid w:val="0003037F"/>
    <w:rsid w:val="000307AE"/>
    <w:rsid w:val="00030855"/>
    <w:rsid w:val="00030934"/>
    <w:rsid w:val="0003110B"/>
    <w:rsid w:val="0003173B"/>
    <w:rsid w:val="000318F0"/>
    <w:rsid w:val="000319E4"/>
    <w:rsid w:val="00032533"/>
    <w:rsid w:val="000325BE"/>
    <w:rsid w:val="00032BDC"/>
    <w:rsid w:val="00033A0C"/>
    <w:rsid w:val="00033A4A"/>
    <w:rsid w:val="00033C08"/>
    <w:rsid w:val="000343E7"/>
    <w:rsid w:val="00034A37"/>
    <w:rsid w:val="00034CF6"/>
    <w:rsid w:val="00034DDB"/>
    <w:rsid w:val="00034E8A"/>
    <w:rsid w:val="00034FD6"/>
    <w:rsid w:val="00035214"/>
    <w:rsid w:val="00035288"/>
    <w:rsid w:val="00035B0F"/>
    <w:rsid w:val="00035F55"/>
    <w:rsid w:val="0003674D"/>
    <w:rsid w:val="000368B5"/>
    <w:rsid w:val="000369AD"/>
    <w:rsid w:val="000370F8"/>
    <w:rsid w:val="00037201"/>
    <w:rsid w:val="000372F7"/>
    <w:rsid w:val="0003772B"/>
    <w:rsid w:val="0003777B"/>
    <w:rsid w:val="00037EA2"/>
    <w:rsid w:val="00037F5B"/>
    <w:rsid w:val="000405D3"/>
    <w:rsid w:val="00040910"/>
    <w:rsid w:val="00040BC8"/>
    <w:rsid w:val="00041686"/>
    <w:rsid w:val="000417FA"/>
    <w:rsid w:val="00042075"/>
    <w:rsid w:val="000426C3"/>
    <w:rsid w:val="00042837"/>
    <w:rsid w:val="0004299C"/>
    <w:rsid w:val="000433DF"/>
    <w:rsid w:val="00043EDE"/>
    <w:rsid w:val="00043F9B"/>
    <w:rsid w:val="00044580"/>
    <w:rsid w:val="000445CA"/>
    <w:rsid w:val="00044A86"/>
    <w:rsid w:val="00044AFA"/>
    <w:rsid w:val="00044C6D"/>
    <w:rsid w:val="00044C89"/>
    <w:rsid w:val="00045761"/>
    <w:rsid w:val="00045AAE"/>
    <w:rsid w:val="00045ECB"/>
    <w:rsid w:val="0004620D"/>
    <w:rsid w:val="000465E0"/>
    <w:rsid w:val="00046E9A"/>
    <w:rsid w:val="00046EA1"/>
    <w:rsid w:val="000471D5"/>
    <w:rsid w:val="00047FB0"/>
    <w:rsid w:val="00050153"/>
    <w:rsid w:val="000501A4"/>
    <w:rsid w:val="000501F3"/>
    <w:rsid w:val="00050254"/>
    <w:rsid w:val="000508BB"/>
    <w:rsid w:val="00050F04"/>
    <w:rsid w:val="000516ED"/>
    <w:rsid w:val="00051719"/>
    <w:rsid w:val="00051A97"/>
    <w:rsid w:val="000520E2"/>
    <w:rsid w:val="00052183"/>
    <w:rsid w:val="0005238A"/>
    <w:rsid w:val="00053581"/>
    <w:rsid w:val="000535A9"/>
    <w:rsid w:val="000539E2"/>
    <w:rsid w:val="00053D57"/>
    <w:rsid w:val="000548C1"/>
    <w:rsid w:val="00054BAE"/>
    <w:rsid w:val="00054BD6"/>
    <w:rsid w:val="00054C69"/>
    <w:rsid w:val="00054C97"/>
    <w:rsid w:val="00054D7A"/>
    <w:rsid w:val="00054FCA"/>
    <w:rsid w:val="00055D2E"/>
    <w:rsid w:val="00055D44"/>
    <w:rsid w:val="000565BF"/>
    <w:rsid w:val="00056A98"/>
    <w:rsid w:val="0005723E"/>
    <w:rsid w:val="00057CA5"/>
    <w:rsid w:val="00057FEE"/>
    <w:rsid w:val="0006030E"/>
    <w:rsid w:val="000604E3"/>
    <w:rsid w:val="0006066E"/>
    <w:rsid w:val="00060C20"/>
    <w:rsid w:val="00061B37"/>
    <w:rsid w:val="00061DFC"/>
    <w:rsid w:val="0006242B"/>
    <w:rsid w:val="00062737"/>
    <w:rsid w:val="00062981"/>
    <w:rsid w:val="00062A25"/>
    <w:rsid w:val="00062C97"/>
    <w:rsid w:val="00062D85"/>
    <w:rsid w:val="00063318"/>
    <w:rsid w:val="000634DA"/>
    <w:rsid w:val="00063989"/>
    <w:rsid w:val="00063DA3"/>
    <w:rsid w:val="000647D8"/>
    <w:rsid w:val="000648DB"/>
    <w:rsid w:val="000650EA"/>
    <w:rsid w:val="000651C1"/>
    <w:rsid w:val="00065363"/>
    <w:rsid w:val="000656F4"/>
    <w:rsid w:val="000658B7"/>
    <w:rsid w:val="000659FF"/>
    <w:rsid w:val="00066E43"/>
    <w:rsid w:val="00067190"/>
    <w:rsid w:val="000672B6"/>
    <w:rsid w:val="000672B9"/>
    <w:rsid w:val="0006743C"/>
    <w:rsid w:val="000675CE"/>
    <w:rsid w:val="00070189"/>
    <w:rsid w:val="0007028D"/>
    <w:rsid w:val="000702CD"/>
    <w:rsid w:val="000707D4"/>
    <w:rsid w:val="00070CC3"/>
    <w:rsid w:val="00070FE3"/>
    <w:rsid w:val="000711C0"/>
    <w:rsid w:val="000716D5"/>
    <w:rsid w:val="00071794"/>
    <w:rsid w:val="000719A2"/>
    <w:rsid w:val="00071B2F"/>
    <w:rsid w:val="0007233F"/>
    <w:rsid w:val="0007259C"/>
    <w:rsid w:val="00072692"/>
    <w:rsid w:val="00072C93"/>
    <w:rsid w:val="0007325B"/>
    <w:rsid w:val="000733BF"/>
    <w:rsid w:val="00073EB8"/>
    <w:rsid w:val="00073F97"/>
    <w:rsid w:val="0007405F"/>
    <w:rsid w:val="000740DF"/>
    <w:rsid w:val="00074272"/>
    <w:rsid w:val="000744F7"/>
    <w:rsid w:val="00075752"/>
    <w:rsid w:val="0007583A"/>
    <w:rsid w:val="000762A0"/>
    <w:rsid w:val="000764AF"/>
    <w:rsid w:val="00076F4A"/>
    <w:rsid w:val="0007752C"/>
    <w:rsid w:val="00077B81"/>
    <w:rsid w:val="00077BF9"/>
    <w:rsid w:val="00077DF8"/>
    <w:rsid w:val="00080358"/>
    <w:rsid w:val="000806F2"/>
    <w:rsid w:val="00080770"/>
    <w:rsid w:val="000807CD"/>
    <w:rsid w:val="00080AC7"/>
    <w:rsid w:val="00080C93"/>
    <w:rsid w:val="00080DC1"/>
    <w:rsid w:val="00080E7D"/>
    <w:rsid w:val="00080F3B"/>
    <w:rsid w:val="0008103E"/>
    <w:rsid w:val="00081206"/>
    <w:rsid w:val="000819A2"/>
    <w:rsid w:val="00081BA6"/>
    <w:rsid w:val="00081C9D"/>
    <w:rsid w:val="00081EA3"/>
    <w:rsid w:val="0008209D"/>
    <w:rsid w:val="00082331"/>
    <w:rsid w:val="00082374"/>
    <w:rsid w:val="000825C7"/>
    <w:rsid w:val="00082A8F"/>
    <w:rsid w:val="00082C68"/>
    <w:rsid w:val="00082C78"/>
    <w:rsid w:val="00082D54"/>
    <w:rsid w:val="00082FB2"/>
    <w:rsid w:val="00083164"/>
    <w:rsid w:val="0008388B"/>
    <w:rsid w:val="00083B72"/>
    <w:rsid w:val="00083D38"/>
    <w:rsid w:val="00083F67"/>
    <w:rsid w:val="00083FC8"/>
    <w:rsid w:val="000840FD"/>
    <w:rsid w:val="0008420D"/>
    <w:rsid w:val="0008434C"/>
    <w:rsid w:val="00084B5D"/>
    <w:rsid w:val="00084D36"/>
    <w:rsid w:val="0008517C"/>
    <w:rsid w:val="000853DC"/>
    <w:rsid w:val="000853F4"/>
    <w:rsid w:val="00085AC2"/>
    <w:rsid w:val="00085B47"/>
    <w:rsid w:val="00085CAA"/>
    <w:rsid w:val="0008610C"/>
    <w:rsid w:val="000861F9"/>
    <w:rsid w:val="00086245"/>
    <w:rsid w:val="00086726"/>
    <w:rsid w:val="00086AAC"/>
    <w:rsid w:val="000873F4"/>
    <w:rsid w:val="00087582"/>
    <w:rsid w:val="000876D7"/>
    <w:rsid w:val="000904B0"/>
    <w:rsid w:val="000904E9"/>
    <w:rsid w:val="000911D1"/>
    <w:rsid w:val="00091296"/>
    <w:rsid w:val="00091520"/>
    <w:rsid w:val="000916FC"/>
    <w:rsid w:val="00091E72"/>
    <w:rsid w:val="000920B4"/>
    <w:rsid w:val="000920B8"/>
    <w:rsid w:val="00092516"/>
    <w:rsid w:val="0009276A"/>
    <w:rsid w:val="00092C53"/>
    <w:rsid w:val="00092CA1"/>
    <w:rsid w:val="00092F63"/>
    <w:rsid w:val="00093383"/>
    <w:rsid w:val="000933B2"/>
    <w:rsid w:val="00093415"/>
    <w:rsid w:val="000935F0"/>
    <w:rsid w:val="0009376F"/>
    <w:rsid w:val="00094094"/>
    <w:rsid w:val="0009426E"/>
    <w:rsid w:val="000942C9"/>
    <w:rsid w:val="000949D3"/>
    <w:rsid w:val="00094B67"/>
    <w:rsid w:val="00094EF6"/>
    <w:rsid w:val="00095C0E"/>
    <w:rsid w:val="000961BD"/>
    <w:rsid w:val="00096233"/>
    <w:rsid w:val="000966ED"/>
    <w:rsid w:val="00097348"/>
    <w:rsid w:val="0009736D"/>
    <w:rsid w:val="00097832"/>
    <w:rsid w:val="00097A4C"/>
    <w:rsid w:val="00097E4B"/>
    <w:rsid w:val="000A02D8"/>
    <w:rsid w:val="000A0390"/>
    <w:rsid w:val="000A04A3"/>
    <w:rsid w:val="000A0795"/>
    <w:rsid w:val="000A07AD"/>
    <w:rsid w:val="000A0D02"/>
    <w:rsid w:val="000A0D03"/>
    <w:rsid w:val="000A0E3E"/>
    <w:rsid w:val="000A12B7"/>
    <w:rsid w:val="000A1454"/>
    <w:rsid w:val="000A17C1"/>
    <w:rsid w:val="000A195B"/>
    <w:rsid w:val="000A1C28"/>
    <w:rsid w:val="000A2C3E"/>
    <w:rsid w:val="000A368A"/>
    <w:rsid w:val="000A3D27"/>
    <w:rsid w:val="000A40CF"/>
    <w:rsid w:val="000A4221"/>
    <w:rsid w:val="000A47CC"/>
    <w:rsid w:val="000A4856"/>
    <w:rsid w:val="000A4DEF"/>
    <w:rsid w:val="000A4E13"/>
    <w:rsid w:val="000A5037"/>
    <w:rsid w:val="000A5929"/>
    <w:rsid w:val="000A59B6"/>
    <w:rsid w:val="000A5DC8"/>
    <w:rsid w:val="000A5DD2"/>
    <w:rsid w:val="000A61F1"/>
    <w:rsid w:val="000A6247"/>
    <w:rsid w:val="000A637D"/>
    <w:rsid w:val="000A69E5"/>
    <w:rsid w:val="000A748F"/>
    <w:rsid w:val="000A78A3"/>
    <w:rsid w:val="000A78F8"/>
    <w:rsid w:val="000A7B5B"/>
    <w:rsid w:val="000B0027"/>
    <w:rsid w:val="000B08A5"/>
    <w:rsid w:val="000B0D3F"/>
    <w:rsid w:val="000B0DA3"/>
    <w:rsid w:val="000B0E21"/>
    <w:rsid w:val="000B1102"/>
    <w:rsid w:val="000B1991"/>
    <w:rsid w:val="000B1AA4"/>
    <w:rsid w:val="000B1DD9"/>
    <w:rsid w:val="000B206C"/>
    <w:rsid w:val="000B2113"/>
    <w:rsid w:val="000B27FA"/>
    <w:rsid w:val="000B2B8E"/>
    <w:rsid w:val="000B2B9A"/>
    <w:rsid w:val="000B2C43"/>
    <w:rsid w:val="000B2F95"/>
    <w:rsid w:val="000B305C"/>
    <w:rsid w:val="000B3070"/>
    <w:rsid w:val="000B30FE"/>
    <w:rsid w:val="000B3A33"/>
    <w:rsid w:val="000B3AEE"/>
    <w:rsid w:val="000B4A1E"/>
    <w:rsid w:val="000B4B05"/>
    <w:rsid w:val="000B4B16"/>
    <w:rsid w:val="000B4F37"/>
    <w:rsid w:val="000B5189"/>
    <w:rsid w:val="000B553C"/>
    <w:rsid w:val="000B59CE"/>
    <w:rsid w:val="000B5F5F"/>
    <w:rsid w:val="000B672F"/>
    <w:rsid w:val="000B6784"/>
    <w:rsid w:val="000B6835"/>
    <w:rsid w:val="000B6B1B"/>
    <w:rsid w:val="000B7BAE"/>
    <w:rsid w:val="000C0166"/>
    <w:rsid w:val="000C0774"/>
    <w:rsid w:val="000C0C5A"/>
    <w:rsid w:val="000C158E"/>
    <w:rsid w:val="000C1822"/>
    <w:rsid w:val="000C1D5A"/>
    <w:rsid w:val="000C1F20"/>
    <w:rsid w:val="000C2374"/>
    <w:rsid w:val="000C25D4"/>
    <w:rsid w:val="000C2B2F"/>
    <w:rsid w:val="000C2D2A"/>
    <w:rsid w:val="000C2DC1"/>
    <w:rsid w:val="000C2EDC"/>
    <w:rsid w:val="000C3AEB"/>
    <w:rsid w:val="000C3D7F"/>
    <w:rsid w:val="000C3EE0"/>
    <w:rsid w:val="000C487E"/>
    <w:rsid w:val="000C49C0"/>
    <w:rsid w:val="000C4ABA"/>
    <w:rsid w:val="000C4B9E"/>
    <w:rsid w:val="000C4C88"/>
    <w:rsid w:val="000C4F55"/>
    <w:rsid w:val="000C553B"/>
    <w:rsid w:val="000C57EF"/>
    <w:rsid w:val="000C5839"/>
    <w:rsid w:val="000C5F4D"/>
    <w:rsid w:val="000C62C9"/>
    <w:rsid w:val="000C68E7"/>
    <w:rsid w:val="000C6AE7"/>
    <w:rsid w:val="000C6B5C"/>
    <w:rsid w:val="000C70A8"/>
    <w:rsid w:val="000C7459"/>
    <w:rsid w:val="000C7AD9"/>
    <w:rsid w:val="000D014C"/>
    <w:rsid w:val="000D08BB"/>
    <w:rsid w:val="000D0AE1"/>
    <w:rsid w:val="000D0F16"/>
    <w:rsid w:val="000D1365"/>
    <w:rsid w:val="000D1381"/>
    <w:rsid w:val="000D17DA"/>
    <w:rsid w:val="000D1C59"/>
    <w:rsid w:val="000D1CD0"/>
    <w:rsid w:val="000D2656"/>
    <w:rsid w:val="000D2A9B"/>
    <w:rsid w:val="000D2EA8"/>
    <w:rsid w:val="000D31C5"/>
    <w:rsid w:val="000D34A5"/>
    <w:rsid w:val="000D35B9"/>
    <w:rsid w:val="000D35C5"/>
    <w:rsid w:val="000D3A17"/>
    <w:rsid w:val="000D3A88"/>
    <w:rsid w:val="000D3F84"/>
    <w:rsid w:val="000D462F"/>
    <w:rsid w:val="000D49D0"/>
    <w:rsid w:val="000D4F4A"/>
    <w:rsid w:val="000D5025"/>
    <w:rsid w:val="000D51CB"/>
    <w:rsid w:val="000D54AC"/>
    <w:rsid w:val="000D5F5C"/>
    <w:rsid w:val="000D63F4"/>
    <w:rsid w:val="000D65CA"/>
    <w:rsid w:val="000D6730"/>
    <w:rsid w:val="000D6CA5"/>
    <w:rsid w:val="000D6D79"/>
    <w:rsid w:val="000D718F"/>
    <w:rsid w:val="000D73F8"/>
    <w:rsid w:val="000D7844"/>
    <w:rsid w:val="000D7940"/>
    <w:rsid w:val="000D7DEF"/>
    <w:rsid w:val="000E00A0"/>
    <w:rsid w:val="000E013E"/>
    <w:rsid w:val="000E076D"/>
    <w:rsid w:val="000E07FD"/>
    <w:rsid w:val="000E0E4A"/>
    <w:rsid w:val="000E118E"/>
    <w:rsid w:val="000E11B3"/>
    <w:rsid w:val="000E1517"/>
    <w:rsid w:val="000E1C8C"/>
    <w:rsid w:val="000E2111"/>
    <w:rsid w:val="000E2140"/>
    <w:rsid w:val="000E2A9A"/>
    <w:rsid w:val="000E31F2"/>
    <w:rsid w:val="000E3595"/>
    <w:rsid w:val="000E38CF"/>
    <w:rsid w:val="000E3E16"/>
    <w:rsid w:val="000E3EC3"/>
    <w:rsid w:val="000E43A6"/>
    <w:rsid w:val="000E448F"/>
    <w:rsid w:val="000E4A8B"/>
    <w:rsid w:val="000E504C"/>
    <w:rsid w:val="000E52A0"/>
    <w:rsid w:val="000E54FF"/>
    <w:rsid w:val="000E5D32"/>
    <w:rsid w:val="000E5E34"/>
    <w:rsid w:val="000E5E47"/>
    <w:rsid w:val="000E5EFA"/>
    <w:rsid w:val="000E6288"/>
    <w:rsid w:val="000E64BC"/>
    <w:rsid w:val="000E6ADB"/>
    <w:rsid w:val="000E6D5F"/>
    <w:rsid w:val="000E6E84"/>
    <w:rsid w:val="000E71C4"/>
    <w:rsid w:val="000E7A10"/>
    <w:rsid w:val="000E7ABE"/>
    <w:rsid w:val="000E7B13"/>
    <w:rsid w:val="000E7B69"/>
    <w:rsid w:val="000F038C"/>
    <w:rsid w:val="000F0462"/>
    <w:rsid w:val="000F05C9"/>
    <w:rsid w:val="000F10B1"/>
    <w:rsid w:val="000F139E"/>
    <w:rsid w:val="000F1459"/>
    <w:rsid w:val="000F15E3"/>
    <w:rsid w:val="000F1D34"/>
    <w:rsid w:val="000F1EFC"/>
    <w:rsid w:val="000F21C1"/>
    <w:rsid w:val="000F2680"/>
    <w:rsid w:val="000F2796"/>
    <w:rsid w:val="000F2D60"/>
    <w:rsid w:val="000F2E82"/>
    <w:rsid w:val="000F358B"/>
    <w:rsid w:val="000F360E"/>
    <w:rsid w:val="000F3E9D"/>
    <w:rsid w:val="000F4377"/>
    <w:rsid w:val="000F47DA"/>
    <w:rsid w:val="000F4AF0"/>
    <w:rsid w:val="000F4C5A"/>
    <w:rsid w:val="000F4EB6"/>
    <w:rsid w:val="000F5023"/>
    <w:rsid w:val="000F571A"/>
    <w:rsid w:val="000F58FE"/>
    <w:rsid w:val="000F5FAC"/>
    <w:rsid w:val="000F60CA"/>
    <w:rsid w:val="000F668A"/>
    <w:rsid w:val="000F6F9C"/>
    <w:rsid w:val="000F72C1"/>
    <w:rsid w:val="000F7331"/>
    <w:rsid w:val="000F7786"/>
    <w:rsid w:val="000F7DD9"/>
    <w:rsid w:val="00100210"/>
    <w:rsid w:val="001002BD"/>
    <w:rsid w:val="001005B4"/>
    <w:rsid w:val="00100A8E"/>
    <w:rsid w:val="00100F15"/>
    <w:rsid w:val="001012A2"/>
    <w:rsid w:val="001014B4"/>
    <w:rsid w:val="00101796"/>
    <w:rsid w:val="00101ABA"/>
    <w:rsid w:val="00101B50"/>
    <w:rsid w:val="00101D0F"/>
    <w:rsid w:val="0010202A"/>
    <w:rsid w:val="001026FC"/>
    <w:rsid w:val="00102859"/>
    <w:rsid w:val="00103657"/>
    <w:rsid w:val="00103742"/>
    <w:rsid w:val="00103DC3"/>
    <w:rsid w:val="00103FDF"/>
    <w:rsid w:val="0010403B"/>
    <w:rsid w:val="0010406A"/>
    <w:rsid w:val="00104C78"/>
    <w:rsid w:val="00105092"/>
    <w:rsid w:val="00105111"/>
    <w:rsid w:val="00105E49"/>
    <w:rsid w:val="00106347"/>
    <w:rsid w:val="001064A6"/>
    <w:rsid w:val="0010679D"/>
    <w:rsid w:val="00106AA6"/>
    <w:rsid w:val="00106BD0"/>
    <w:rsid w:val="00106F78"/>
    <w:rsid w:val="0010743F"/>
    <w:rsid w:val="00107B74"/>
    <w:rsid w:val="00110A80"/>
    <w:rsid w:val="00110AD9"/>
    <w:rsid w:val="00110F74"/>
    <w:rsid w:val="00111073"/>
    <w:rsid w:val="001119A1"/>
    <w:rsid w:val="00112DB6"/>
    <w:rsid w:val="0011301D"/>
    <w:rsid w:val="00113064"/>
    <w:rsid w:val="001133A5"/>
    <w:rsid w:val="00113616"/>
    <w:rsid w:val="00114325"/>
    <w:rsid w:val="00114340"/>
    <w:rsid w:val="001143D1"/>
    <w:rsid w:val="0011457C"/>
    <w:rsid w:val="00114966"/>
    <w:rsid w:val="00114AAA"/>
    <w:rsid w:val="001152B6"/>
    <w:rsid w:val="001154D4"/>
    <w:rsid w:val="00115506"/>
    <w:rsid w:val="001165D4"/>
    <w:rsid w:val="0011688C"/>
    <w:rsid w:val="00116FC1"/>
    <w:rsid w:val="00117580"/>
    <w:rsid w:val="00117657"/>
    <w:rsid w:val="00117A5F"/>
    <w:rsid w:val="00117D1D"/>
    <w:rsid w:val="00120110"/>
    <w:rsid w:val="00120244"/>
    <w:rsid w:val="001204F1"/>
    <w:rsid w:val="00120764"/>
    <w:rsid w:val="0012106F"/>
    <w:rsid w:val="001214D6"/>
    <w:rsid w:val="00121837"/>
    <w:rsid w:val="00121A27"/>
    <w:rsid w:val="00121BCE"/>
    <w:rsid w:val="001220DA"/>
    <w:rsid w:val="00122235"/>
    <w:rsid w:val="001223A6"/>
    <w:rsid w:val="001223BB"/>
    <w:rsid w:val="00122A5C"/>
    <w:rsid w:val="00122A6A"/>
    <w:rsid w:val="00122E00"/>
    <w:rsid w:val="00123D76"/>
    <w:rsid w:val="00123F2F"/>
    <w:rsid w:val="00124943"/>
    <w:rsid w:val="001249FE"/>
    <w:rsid w:val="00124C63"/>
    <w:rsid w:val="00124D25"/>
    <w:rsid w:val="001250A7"/>
    <w:rsid w:val="0012625D"/>
    <w:rsid w:val="0012629F"/>
    <w:rsid w:val="001266FC"/>
    <w:rsid w:val="00126770"/>
    <w:rsid w:val="0012691C"/>
    <w:rsid w:val="00127532"/>
    <w:rsid w:val="001278A5"/>
    <w:rsid w:val="00127A41"/>
    <w:rsid w:val="00127B52"/>
    <w:rsid w:val="001302F8"/>
    <w:rsid w:val="001303BB"/>
    <w:rsid w:val="00130948"/>
    <w:rsid w:val="0013147B"/>
    <w:rsid w:val="0013165C"/>
    <w:rsid w:val="001317D7"/>
    <w:rsid w:val="001318E4"/>
    <w:rsid w:val="00131D48"/>
    <w:rsid w:val="001322AB"/>
    <w:rsid w:val="00132B03"/>
    <w:rsid w:val="001332E0"/>
    <w:rsid w:val="001335CB"/>
    <w:rsid w:val="0013391B"/>
    <w:rsid w:val="00133C67"/>
    <w:rsid w:val="001342C5"/>
    <w:rsid w:val="00134655"/>
    <w:rsid w:val="00134F24"/>
    <w:rsid w:val="0013524A"/>
    <w:rsid w:val="001353CB"/>
    <w:rsid w:val="0013585C"/>
    <w:rsid w:val="0013643F"/>
    <w:rsid w:val="00136493"/>
    <w:rsid w:val="001367AC"/>
    <w:rsid w:val="001368CC"/>
    <w:rsid w:val="00136A1E"/>
    <w:rsid w:val="00136EFB"/>
    <w:rsid w:val="0013734E"/>
    <w:rsid w:val="00137939"/>
    <w:rsid w:val="0014094F"/>
    <w:rsid w:val="00140D3B"/>
    <w:rsid w:val="00140E5B"/>
    <w:rsid w:val="00140F19"/>
    <w:rsid w:val="001410D1"/>
    <w:rsid w:val="001411CF"/>
    <w:rsid w:val="00141227"/>
    <w:rsid w:val="001414DF"/>
    <w:rsid w:val="00142108"/>
    <w:rsid w:val="001423B9"/>
    <w:rsid w:val="00142632"/>
    <w:rsid w:val="0014274E"/>
    <w:rsid w:val="00142847"/>
    <w:rsid w:val="0014291F"/>
    <w:rsid w:val="001429B8"/>
    <w:rsid w:val="001429C0"/>
    <w:rsid w:val="00142F43"/>
    <w:rsid w:val="001432D4"/>
    <w:rsid w:val="001433D0"/>
    <w:rsid w:val="001447AB"/>
    <w:rsid w:val="00144832"/>
    <w:rsid w:val="00144B58"/>
    <w:rsid w:val="00144B69"/>
    <w:rsid w:val="0014506B"/>
    <w:rsid w:val="00145078"/>
    <w:rsid w:val="001457EC"/>
    <w:rsid w:val="00145C0D"/>
    <w:rsid w:val="00146851"/>
    <w:rsid w:val="00146D65"/>
    <w:rsid w:val="00147FEE"/>
    <w:rsid w:val="001509AE"/>
    <w:rsid w:val="00150A20"/>
    <w:rsid w:val="00150CAF"/>
    <w:rsid w:val="001512AD"/>
    <w:rsid w:val="001512B2"/>
    <w:rsid w:val="00151451"/>
    <w:rsid w:val="001514C6"/>
    <w:rsid w:val="00151524"/>
    <w:rsid w:val="0015181A"/>
    <w:rsid w:val="00151844"/>
    <w:rsid w:val="00151A4F"/>
    <w:rsid w:val="00151CF9"/>
    <w:rsid w:val="0015214D"/>
    <w:rsid w:val="00152511"/>
    <w:rsid w:val="00152C2C"/>
    <w:rsid w:val="00152E41"/>
    <w:rsid w:val="00153072"/>
    <w:rsid w:val="00153152"/>
    <w:rsid w:val="00153160"/>
    <w:rsid w:val="001532E3"/>
    <w:rsid w:val="00154E21"/>
    <w:rsid w:val="00154FD0"/>
    <w:rsid w:val="001552D8"/>
    <w:rsid w:val="00155DFA"/>
    <w:rsid w:val="001560CB"/>
    <w:rsid w:val="001561C2"/>
    <w:rsid w:val="00157179"/>
    <w:rsid w:val="001576FE"/>
    <w:rsid w:val="0015791C"/>
    <w:rsid w:val="00157923"/>
    <w:rsid w:val="00157E81"/>
    <w:rsid w:val="00160B56"/>
    <w:rsid w:val="00160ECB"/>
    <w:rsid w:val="0016120F"/>
    <w:rsid w:val="001612A9"/>
    <w:rsid w:val="00161302"/>
    <w:rsid w:val="0016145B"/>
    <w:rsid w:val="0016164B"/>
    <w:rsid w:val="00161C60"/>
    <w:rsid w:val="00161C9A"/>
    <w:rsid w:val="00161CB5"/>
    <w:rsid w:val="00161D6B"/>
    <w:rsid w:val="00162052"/>
    <w:rsid w:val="001626FB"/>
    <w:rsid w:val="00162B4F"/>
    <w:rsid w:val="0016396A"/>
    <w:rsid w:val="0016548D"/>
    <w:rsid w:val="00166477"/>
    <w:rsid w:val="001665C6"/>
    <w:rsid w:val="0016686B"/>
    <w:rsid w:val="001669F8"/>
    <w:rsid w:val="00166D20"/>
    <w:rsid w:val="0016720E"/>
    <w:rsid w:val="001672F1"/>
    <w:rsid w:val="00167321"/>
    <w:rsid w:val="00167552"/>
    <w:rsid w:val="001675EF"/>
    <w:rsid w:val="00167633"/>
    <w:rsid w:val="00167A71"/>
    <w:rsid w:val="00167B24"/>
    <w:rsid w:val="001703C7"/>
    <w:rsid w:val="00170550"/>
    <w:rsid w:val="001706DA"/>
    <w:rsid w:val="00170A9D"/>
    <w:rsid w:val="00171382"/>
    <w:rsid w:val="001715E3"/>
    <w:rsid w:val="00171B8C"/>
    <w:rsid w:val="001724AE"/>
    <w:rsid w:val="00172705"/>
    <w:rsid w:val="00172958"/>
    <w:rsid w:val="00172C0A"/>
    <w:rsid w:val="001730B0"/>
    <w:rsid w:val="001731A8"/>
    <w:rsid w:val="00173734"/>
    <w:rsid w:val="00173793"/>
    <w:rsid w:val="001738B4"/>
    <w:rsid w:val="0017443B"/>
    <w:rsid w:val="001746D7"/>
    <w:rsid w:val="001746F7"/>
    <w:rsid w:val="00174AB4"/>
    <w:rsid w:val="00174FBC"/>
    <w:rsid w:val="0017539B"/>
    <w:rsid w:val="00175413"/>
    <w:rsid w:val="001759F0"/>
    <w:rsid w:val="00175F10"/>
    <w:rsid w:val="001760C1"/>
    <w:rsid w:val="001761DC"/>
    <w:rsid w:val="001766A0"/>
    <w:rsid w:val="00176E3B"/>
    <w:rsid w:val="0017771D"/>
    <w:rsid w:val="00177850"/>
    <w:rsid w:val="00177CDC"/>
    <w:rsid w:val="00177FB6"/>
    <w:rsid w:val="0018036D"/>
    <w:rsid w:val="001806AB"/>
    <w:rsid w:val="00180D6E"/>
    <w:rsid w:val="00180E63"/>
    <w:rsid w:val="00181087"/>
    <w:rsid w:val="0018172E"/>
    <w:rsid w:val="001818FB"/>
    <w:rsid w:val="00181A62"/>
    <w:rsid w:val="00181AAD"/>
    <w:rsid w:val="00181EE5"/>
    <w:rsid w:val="0018210D"/>
    <w:rsid w:val="00182587"/>
    <w:rsid w:val="00182C90"/>
    <w:rsid w:val="00183420"/>
    <w:rsid w:val="00183586"/>
    <w:rsid w:val="001835A3"/>
    <w:rsid w:val="00183F38"/>
    <w:rsid w:val="00183F75"/>
    <w:rsid w:val="00184673"/>
    <w:rsid w:val="001849A0"/>
    <w:rsid w:val="00184A2A"/>
    <w:rsid w:val="00184DF7"/>
    <w:rsid w:val="00185153"/>
    <w:rsid w:val="00185264"/>
    <w:rsid w:val="00185848"/>
    <w:rsid w:val="00185F6E"/>
    <w:rsid w:val="0018657A"/>
    <w:rsid w:val="00186699"/>
    <w:rsid w:val="00186929"/>
    <w:rsid w:val="00187227"/>
    <w:rsid w:val="0018724E"/>
    <w:rsid w:val="0018744A"/>
    <w:rsid w:val="00187A6F"/>
    <w:rsid w:val="00187C03"/>
    <w:rsid w:val="00187E89"/>
    <w:rsid w:val="0019009E"/>
    <w:rsid w:val="00190B9F"/>
    <w:rsid w:val="00191B39"/>
    <w:rsid w:val="00191C08"/>
    <w:rsid w:val="00191C5F"/>
    <w:rsid w:val="00191E3F"/>
    <w:rsid w:val="00191F94"/>
    <w:rsid w:val="0019226B"/>
    <w:rsid w:val="00192BF3"/>
    <w:rsid w:val="00192BF7"/>
    <w:rsid w:val="00192E2B"/>
    <w:rsid w:val="00192F80"/>
    <w:rsid w:val="00193198"/>
    <w:rsid w:val="001935BF"/>
    <w:rsid w:val="001937C9"/>
    <w:rsid w:val="00194444"/>
    <w:rsid w:val="0019456D"/>
    <w:rsid w:val="001945A2"/>
    <w:rsid w:val="00194843"/>
    <w:rsid w:val="00194FB1"/>
    <w:rsid w:val="00195987"/>
    <w:rsid w:val="001959B3"/>
    <w:rsid w:val="00195A66"/>
    <w:rsid w:val="001960B4"/>
    <w:rsid w:val="00196DB2"/>
    <w:rsid w:val="00196F59"/>
    <w:rsid w:val="0019756B"/>
    <w:rsid w:val="001A023E"/>
    <w:rsid w:val="001A0AF7"/>
    <w:rsid w:val="001A0B41"/>
    <w:rsid w:val="001A11B5"/>
    <w:rsid w:val="001A134F"/>
    <w:rsid w:val="001A148B"/>
    <w:rsid w:val="001A2531"/>
    <w:rsid w:val="001A25B1"/>
    <w:rsid w:val="001A290A"/>
    <w:rsid w:val="001A3797"/>
    <w:rsid w:val="001A3A70"/>
    <w:rsid w:val="001A3B43"/>
    <w:rsid w:val="001A3B47"/>
    <w:rsid w:val="001A3BE0"/>
    <w:rsid w:val="001A433A"/>
    <w:rsid w:val="001A4989"/>
    <w:rsid w:val="001A515A"/>
    <w:rsid w:val="001A5166"/>
    <w:rsid w:val="001A54B8"/>
    <w:rsid w:val="001A5596"/>
    <w:rsid w:val="001A5B1C"/>
    <w:rsid w:val="001A5BD9"/>
    <w:rsid w:val="001A5FDC"/>
    <w:rsid w:val="001A6098"/>
    <w:rsid w:val="001A6274"/>
    <w:rsid w:val="001A6280"/>
    <w:rsid w:val="001A690C"/>
    <w:rsid w:val="001A6F4C"/>
    <w:rsid w:val="001A709B"/>
    <w:rsid w:val="001A7700"/>
    <w:rsid w:val="001B009A"/>
    <w:rsid w:val="001B043A"/>
    <w:rsid w:val="001B1569"/>
    <w:rsid w:val="001B19AB"/>
    <w:rsid w:val="001B1E60"/>
    <w:rsid w:val="001B2625"/>
    <w:rsid w:val="001B2821"/>
    <w:rsid w:val="001B2BC3"/>
    <w:rsid w:val="001B3491"/>
    <w:rsid w:val="001B3532"/>
    <w:rsid w:val="001B3955"/>
    <w:rsid w:val="001B3FD9"/>
    <w:rsid w:val="001B3FFA"/>
    <w:rsid w:val="001B47AF"/>
    <w:rsid w:val="001B47C7"/>
    <w:rsid w:val="001B4802"/>
    <w:rsid w:val="001B48D5"/>
    <w:rsid w:val="001B52B6"/>
    <w:rsid w:val="001B5794"/>
    <w:rsid w:val="001B5CE2"/>
    <w:rsid w:val="001B627F"/>
    <w:rsid w:val="001B6770"/>
    <w:rsid w:val="001B68CD"/>
    <w:rsid w:val="001B784B"/>
    <w:rsid w:val="001B7A2B"/>
    <w:rsid w:val="001B7ED5"/>
    <w:rsid w:val="001C0386"/>
    <w:rsid w:val="001C057E"/>
    <w:rsid w:val="001C07ED"/>
    <w:rsid w:val="001C09B3"/>
    <w:rsid w:val="001C0A0A"/>
    <w:rsid w:val="001C0C9E"/>
    <w:rsid w:val="001C0CD0"/>
    <w:rsid w:val="001C159E"/>
    <w:rsid w:val="001C1985"/>
    <w:rsid w:val="001C1FFE"/>
    <w:rsid w:val="001C2056"/>
    <w:rsid w:val="001C266D"/>
    <w:rsid w:val="001C2AC2"/>
    <w:rsid w:val="001C2F13"/>
    <w:rsid w:val="001C3239"/>
    <w:rsid w:val="001C39BE"/>
    <w:rsid w:val="001C3B7F"/>
    <w:rsid w:val="001C492F"/>
    <w:rsid w:val="001C4E0C"/>
    <w:rsid w:val="001C560A"/>
    <w:rsid w:val="001C5C02"/>
    <w:rsid w:val="001C5ED1"/>
    <w:rsid w:val="001C67CD"/>
    <w:rsid w:val="001C682B"/>
    <w:rsid w:val="001C6B0E"/>
    <w:rsid w:val="001C6BA2"/>
    <w:rsid w:val="001C6E51"/>
    <w:rsid w:val="001C6ECF"/>
    <w:rsid w:val="001C6F9E"/>
    <w:rsid w:val="001C71FD"/>
    <w:rsid w:val="001C7C5D"/>
    <w:rsid w:val="001C7E3C"/>
    <w:rsid w:val="001D013C"/>
    <w:rsid w:val="001D0551"/>
    <w:rsid w:val="001D10D6"/>
    <w:rsid w:val="001D137E"/>
    <w:rsid w:val="001D1507"/>
    <w:rsid w:val="001D1B66"/>
    <w:rsid w:val="001D1B84"/>
    <w:rsid w:val="001D1D69"/>
    <w:rsid w:val="001D2582"/>
    <w:rsid w:val="001D2765"/>
    <w:rsid w:val="001D2DE0"/>
    <w:rsid w:val="001D3056"/>
    <w:rsid w:val="001D3CDC"/>
    <w:rsid w:val="001D3EEC"/>
    <w:rsid w:val="001D4002"/>
    <w:rsid w:val="001D42AD"/>
    <w:rsid w:val="001D4718"/>
    <w:rsid w:val="001D49D3"/>
    <w:rsid w:val="001D4D5C"/>
    <w:rsid w:val="001D5594"/>
    <w:rsid w:val="001D5A51"/>
    <w:rsid w:val="001D5CE5"/>
    <w:rsid w:val="001D5F25"/>
    <w:rsid w:val="001D6045"/>
    <w:rsid w:val="001D60AC"/>
    <w:rsid w:val="001D61F5"/>
    <w:rsid w:val="001D6AB1"/>
    <w:rsid w:val="001D712C"/>
    <w:rsid w:val="001D72A7"/>
    <w:rsid w:val="001D72ED"/>
    <w:rsid w:val="001D76B7"/>
    <w:rsid w:val="001E01FA"/>
    <w:rsid w:val="001E0772"/>
    <w:rsid w:val="001E0A6E"/>
    <w:rsid w:val="001E1F9B"/>
    <w:rsid w:val="001E2004"/>
    <w:rsid w:val="001E2450"/>
    <w:rsid w:val="001E2684"/>
    <w:rsid w:val="001E2D5D"/>
    <w:rsid w:val="001E3145"/>
    <w:rsid w:val="001E32C1"/>
    <w:rsid w:val="001E3869"/>
    <w:rsid w:val="001E40B2"/>
    <w:rsid w:val="001E45F8"/>
    <w:rsid w:val="001E46B9"/>
    <w:rsid w:val="001E4ACF"/>
    <w:rsid w:val="001E4B7A"/>
    <w:rsid w:val="001E5133"/>
    <w:rsid w:val="001E513B"/>
    <w:rsid w:val="001E528A"/>
    <w:rsid w:val="001E575C"/>
    <w:rsid w:val="001E5A41"/>
    <w:rsid w:val="001E6075"/>
    <w:rsid w:val="001E6100"/>
    <w:rsid w:val="001E635D"/>
    <w:rsid w:val="001E63D2"/>
    <w:rsid w:val="001E67FD"/>
    <w:rsid w:val="001E69DC"/>
    <w:rsid w:val="001E6CC5"/>
    <w:rsid w:val="001E6DBC"/>
    <w:rsid w:val="001E6EF2"/>
    <w:rsid w:val="001E6FF7"/>
    <w:rsid w:val="001F0A4D"/>
    <w:rsid w:val="001F0B16"/>
    <w:rsid w:val="001F0B96"/>
    <w:rsid w:val="001F141E"/>
    <w:rsid w:val="001F1DED"/>
    <w:rsid w:val="001F2F4D"/>
    <w:rsid w:val="001F2F67"/>
    <w:rsid w:val="001F35E5"/>
    <w:rsid w:val="001F3E5C"/>
    <w:rsid w:val="001F3FEA"/>
    <w:rsid w:val="001F445F"/>
    <w:rsid w:val="001F4473"/>
    <w:rsid w:val="001F56EA"/>
    <w:rsid w:val="001F5776"/>
    <w:rsid w:val="001F5897"/>
    <w:rsid w:val="001F5C8D"/>
    <w:rsid w:val="001F5CEF"/>
    <w:rsid w:val="001F6217"/>
    <w:rsid w:val="001F6981"/>
    <w:rsid w:val="001F6C66"/>
    <w:rsid w:val="001F6D58"/>
    <w:rsid w:val="001F7657"/>
    <w:rsid w:val="001F77AD"/>
    <w:rsid w:val="001F7BD5"/>
    <w:rsid w:val="00200360"/>
    <w:rsid w:val="00200518"/>
    <w:rsid w:val="00200638"/>
    <w:rsid w:val="002006FC"/>
    <w:rsid w:val="002008D9"/>
    <w:rsid w:val="00200DC2"/>
    <w:rsid w:val="00200F5D"/>
    <w:rsid w:val="00200F8C"/>
    <w:rsid w:val="0020119E"/>
    <w:rsid w:val="00201472"/>
    <w:rsid w:val="00201F4C"/>
    <w:rsid w:val="00202399"/>
    <w:rsid w:val="00202673"/>
    <w:rsid w:val="0020267D"/>
    <w:rsid w:val="0020330E"/>
    <w:rsid w:val="00203523"/>
    <w:rsid w:val="0020440B"/>
    <w:rsid w:val="002044FD"/>
    <w:rsid w:val="00206365"/>
    <w:rsid w:val="002064F7"/>
    <w:rsid w:val="00206524"/>
    <w:rsid w:val="00206804"/>
    <w:rsid w:val="00206F95"/>
    <w:rsid w:val="002070A3"/>
    <w:rsid w:val="00207238"/>
    <w:rsid w:val="0020737A"/>
    <w:rsid w:val="00207674"/>
    <w:rsid w:val="0021022F"/>
    <w:rsid w:val="00210256"/>
    <w:rsid w:val="00210333"/>
    <w:rsid w:val="00210762"/>
    <w:rsid w:val="002108D8"/>
    <w:rsid w:val="00210916"/>
    <w:rsid w:val="00210D46"/>
    <w:rsid w:val="002116CB"/>
    <w:rsid w:val="00211852"/>
    <w:rsid w:val="00211ADF"/>
    <w:rsid w:val="00212338"/>
    <w:rsid w:val="0021237D"/>
    <w:rsid w:val="002123EE"/>
    <w:rsid w:val="00212501"/>
    <w:rsid w:val="00212583"/>
    <w:rsid w:val="0021269D"/>
    <w:rsid w:val="00212B00"/>
    <w:rsid w:val="00212C42"/>
    <w:rsid w:val="00212E7D"/>
    <w:rsid w:val="00212E9F"/>
    <w:rsid w:val="0021310C"/>
    <w:rsid w:val="0021339A"/>
    <w:rsid w:val="002134EE"/>
    <w:rsid w:val="0021376C"/>
    <w:rsid w:val="002139E7"/>
    <w:rsid w:val="00213D9F"/>
    <w:rsid w:val="0021405A"/>
    <w:rsid w:val="0021408F"/>
    <w:rsid w:val="002148D6"/>
    <w:rsid w:val="00214CDB"/>
    <w:rsid w:val="00214FAD"/>
    <w:rsid w:val="00215116"/>
    <w:rsid w:val="002151BA"/>
    <w:rsid w:val="002158EC"/>
    <w:rsid w:val="00215A67"/>
    <w:rsid w:val="00215CC7"/>
    <w:rsid w:val="00215CE1"/>
    <w:rsid w:val="0021600D"/>
    <w:rsid w:val="002161E8"/>
    <w:rsid w:val="0021642B"/>
    <w:rsid w:val="0021661D"/>
    <w:rsid w:val="00216C41"/>
    <w:rsid w:val="0021732B"/>
    <w:rsid w:val="00217343"/>
    <w:rsid w:val="00217C80"/>
    <w:rsid w:val="00220076"/>
    <w:rsid w:val="00220242"/>
    <w:rsid w:val="0022046D"/>
    <w:rsid w:val="002207AD"/>
    <w:rsid w:val="00220CF5"/>
    <w:rsid w:val="0022105F"/>
    <w:rsid w:val="00221D19"/>
    <w:rsid w:val="00221DD6"/>
    <w:rsid w:val="00221FA2"/>
    <w:rsid w:val="00222372"/>
    <w:rsid w:val="002223F3"/>
    <w:rsid w:val="00222682"/>
    <w:rsid w:val="00222DC1"/>
    <w:rsid w:val="0022347A"/>
    <w:rsid w:val="0022384D"/>
    <w:rsid w:val="00223C51"/>
    <w:rsid w:val="00223E1E"/>
    <w:rsid w:val="002243DE"/>
    <w:rsid w:val="0022465E"/>
    <w:rsid w:val="00224B2B"/>
    <w:rsid w:val="00224E1F"/>
    <w:rsid w:val="0022527A"/>
    <w:rsid w:val="00225492"/>
    <w:rsid w:val="00225DF6"/>
    <w:rsid w:val="0022613B"/>
    <w:rsid w:val="00226205"/>
    <w:rsid w:val="002265DD"/>
    <w:rsid w:val="002267AC"/>
    <w:rsid w:val="00226ACA"/>
    <w:rsid w:val="00226B59"/>
    <w:rsid w:val="00226D26"/>
    <w:rsid w:val="00227344"/>
    <w:rsid w:val="00227AF9"/>
    <w:rsid w:val="00227BB1"/>
    <w:rsid w:val="00230136"/>
    <w:rsid w:val="002302BF"/>
    <w:rsid w:val="0023044E"/>
    <w:rsid w:val="0023079D"/>
    <w:rsid w:val="00230B08"/>
    <w:rsid w:val="0023140B"/>
    <w:rsid w:val="0023199F"/>
    <w:rsid w:val="00231F70"/>
    <w:rsid w:val="002326AB"/>
    <w:rsid w:val="00232799"/>
    <w:rsid w:val="002327E4"/>
    <w:rsid w:val="002334F7"/>
    <w:rsid w:val="00233843"/>
    <w:rsid w:val="00233A09"/>
    <w:rsid w:val="00233A4B"/>
    <w:rsid w:val="00234982"/>
    <w:rsid w:val="00234B3A"/>
    <w:rsid w:val="00234CB9"/>
    <w:rsid w:val="00234D7B"/>
    <w:rsid w:val="002357E6"/>
    <w:rsid w:val="002359B2"/>
    <w:rsid w:val="002369EF"/>
    <w:rsid w:val="00236C52"/>
    <w:rsid w:val="00236CB7"/>
    <w:rsid w:val="00236D7B"/>
    <w:rsid w:val="00237232"/>
    <w:rsid w:val="00237319"/>
    <w:rsid w:val="002373B3"/>
    <w:rsid w:val="002373D7"/>
    <w:rsid w:val="00237AB4"/>
    <w:rsid w:val="00237B23"/>
    <w:rsid w:val="00237BE9"/>
    <w:rsid w:val="00237EEC"/>
    <w:rsid w:val="00240414"/>
    <w:rsid w:val="00240887"/>
    <w:rsid w:val="00240D52"/>
    <w:rsid w:val="002410AF"/>
    <w:rsid w:val="002412BD"/>
    <w:rsid w:val="002417CC"/>
    <w:rsid w:val="0024197E"/>
    <w:rsid w:val="00242294"/>
    <w:rsid w:val="00242532"/>
    <w:rsid w:val="00242620"/>
    <w:rsid w:val="0024272A"/>
    <w:rsid w:val="00242753"/>
    <w:rsid w:val="00242830"/>
    <w:rsid w:val="002429E1"/>
    <w:rsid w:val="00242B2F"/>
    <w:rsid w:val="002432EB"/>
    <w:rsid w:val="00243A45"/>
    <w:rsid w:val="00244157"/>
    <w:rsid w:val="0024454C"/>
    <w:rsid w:val="00245ACF"/>
    <w:rsid w:val="0024640F"/>
    <w:rsid w:val="00246446"/>
    <w:rsid w:val="0024648E"/>
    <w:rsid w:val="002464A5"/>
    <w:rsid w:val="00246A43"/>
    <w:rsid w:val="00246C0A"/>
    <w:rsid w:val="002471AB"/>
    <w:rsid w:val="00247684"/>
    <w:rsid w:val="00247DC8"/>
    <w:rsid w:val="00247EFC"/>
    <w:rsid w:val="002501D0"/>
    <w:rsid w:val="00250285"/>
    <w:rsid w:val="00250464"/>
    <w:rsid w:val="00250A5E"/>
    <w:rsid w:val="00250C73"/>
    <w:rsid w:val="00251A62"/>
    <w:rsid w:val="00252346"/>
    <w:rsid w:val="0025258E"/>
    <w:rsid w:val="00252672"/>
    <w:rsid w:val="002529C0"/>
    <w:rsid w:val="00252F9F"/>
    <w:rsid w:val="00253210"/>
    <w:rsid w:val="002532D1"/>
    <w:rsid w:val="002533CE"/>
    <w:rsid w:val="00253A5D"/>
    <w:rsid w:val="002546D5"/>
    <w:rsid w:val="00254824"/>
    <w:rsid w:val="00254AB6"/>
    <w:rsid w:val="0025557C"/>
    <w:rsid w:val="002555B2"/>
    <w:rsid w:val="002558DA"/>
    <w:rsid w:val="00255B25"/>
    <w:rsid w:val="00255B5E"/>
    <w:rsid w:val="00256091"/>
    <w:rsid w:val="00256560"/>
    <w:rsid w:val="00257384"/>
    <w:rsid w:val="00257B02"/>
    <w:rsid w:val="00257F72"/>
    <w:rsid w:val="00260202"/>
    <w:rsid w:val="002602A0"/>
    <w:rsid w:val="002605D5"/>
    <w:rsid w:val="00260983"/>
    <w:rsid w:val="0026106F"/>
    <w:rsid w:val="00261075"/>
    <w:rsid w:val="002610EA"/>
    <w:rsid w:val="002613DD"/>
    <w:rsid w:val="00261C6A"/>
    <w:rsid w:val="002620F5"/>
    <w:rsid w:val="00262264"/>
    <w:rsid w:val="00262337"/>
    <w:rsid w:val="00262787"/>
    <w:rsid w:val="002627C0"/>
    <w:rsid w:val="00262924"/>
    <w:rsid w:val="00262F0E"/>
    <w:rsid w:val="00263521"/>
    <w:rsid w:val="00263839"/>
    <w:rsid w:val="00263C96"/>
    <w:rsid w:val="00263D2F"/>
    <w:rsid w:val="00263F6C"/>
    <w:rsid w:val="00264042"/>
    <w:rsid w:val="002642B3"/>
    <w:rsid w:val="002645E0"/>
    <w:rsid w:val="0026487E"/>
    <w:rsid w:val="002648A0"/>
    <w:rsid w:val="002649D2"/>
    <w:rsid w:val="00264D96"/>
    <w:rsid w:val="0026556A"/>
    <w:rsid w:val="002655C5"/>
    <w:rsid w:val="0026581C"/>
    <w:rsid w:val="0026589E"/>
    <w:rsid w:val="002658B7"/>
    <w:rsid w:val="00265A4B"/>
    <w:rsid w:val="00265D14"/>
    <w:rsid w:val="00265E9A"/>
    <w:rsid w:val="00265FEE"/>
    <w:rsid w:val="00266118"/>
    <w:rsid w:val="00266136"/>
    <w:rsid w:val="0026691A"/>
    <w:rsid w:val="00266BE1"/>
    <w:rsid w:val="00267327"/>
    <w:rsid w:val="00267439"/>
    <w:rsid w:val="002700AE"/>
    <w:rsid w:val="00270129"/>
    <w:rsid w:val="002702F0"/>
    <w:rsid w:val="00270376"/>
    <w:rsid w:val="002703FD"/>
    <w:rsid w:val="00270714"/>
    <w:rsid w:val="00270B60"/>
    <w:rsid w:val="00270BED"/>
    <w:rsid w:val="00270D16"/>
    <w:rsid w:val="002710CE"/>
    <w:rsid w:val="00271522"/>
    <w:rsid w:val="00271CF5"/>
    <w:rsid w:val="00271D14"/>
    <w:rsid w:val="00271F2C"/>
    <w:rsid w:val="00271FAB"/>
    <w:rsid w:val="00272127"/>
    <w:rsid w:val="00272626"/>
    <w:rsid w:val="002727B0"/>
    <w:rsid w:val="0027288F"/>
    <w:rsid w:val="00272A16"/>
    <w:rsid w:val="00272B2C"/>
    <w:rsid w:val="00272B8D"/>
    <w:rsid w:val="00272E52"/>
    <w:rsid w:val="002736D9"/>
    <w:rsid w:val="00273B75"/>
    <w:rsid w:val="00274382"/>
    <w:rsid w:val="00274776"/>
    <w:rsid w:val="00274941"/>
    <w:rsid w:val="0027499D"/>
    <w:rsid w:val="0027505C"/>
    <w:rsid w:val="002750D5"/>
    <w:rsid w:val="002753F3"/>
    <w:rsid w:val="0027582B"/>
    <w:rsid w:val="002764A3"/>
    <w:rsid w:val="0027654C"/>
    <w:rsid w:val="0027666A"/>
    <w:rsid w:val="00276971"/>
    <w:rsid w:val="00276B18"/>
    <w:rsid w:val="002774D9"/>
    <w:rsid w:val="00277574"/>
    <w:rsid w:val="00277F2E"/>
    <w:rsid w:val="00277FE9"/>
    <w:rsid w:val="002803E1"/>
    <w:rsid w:val="002805A1"/>
    <w:rsid w:val="002808D7"/>
    <w:rsid w:val="00280EE7"/>
    <w:rsid w:val="00281188"/>
    <w:rsid w:val="00281267"/>
    <w:rsid w:val="00281587"/>
    <w:rsid w:val="002821A8"/>
    <w:rsid w:val="00282278"/>
    <w:rsid w:val="00282AF8"/>
    <w:rsid w:val="00282E8C"/>
    <w:rsid w:val="00283D3B"/>
    <w:rsid w:val="002840D1"/>
    <w:rsid w:val="0028419F"/>
    <w:rsid w:val="002842E3"/>
    <w:rsid w:val="002843C9"/>
    <w:rsid w:val="002844BB"/>
    <w:rsid w:val="00284D18"/>
    <w:rsid w:val="0028533B"/>
    <w:rsid w:val="002858B7"/>
    <w:rsid w:val="00285E43"/>
    <w:rsid w:val="00286474"/>
    <w:rsid w:val="00286600"/>
    <w:rsid w:val="0028699E"/>
    <w:rsid w:val="00286C00"/>
    <w:rsid w:val="00286CAE"/>
    <w:rsid w:val="00286D8F"/>
    <w:rsid w:val="00287027"/>
    <w:rsid w:val="0028774D"/>
    <w:rsid w:val="002878CF"/>
    <w:rsid w:val="00287CDF"/>
    <w:rsid w:val="00287F4C"/>
    <w:rsid w:val="002905B7"/>
    <w:rsid w:val="002907B8"/>
    <w:rsid w:val="002910DB"/>
    <w:rsid w:val="002911D2"/>
    <w:rsid w:val="0029128F"/>
    <w:rsid w:val="002915C6"/>
    <w:rsid w:val="0029219A"/>
    <w:rsid w:val="002921D0"/>
    <w:rsid w:val="002929F0"/>
    <w:rsid w:val="00292DF9"/>
    <w:rsid w:val="00292E52"/>
    <w:rsid w:val="00293013"/>
    <w:rsid w:val="002931E4"/>
    <w:rsid w:val="00293212"/>
    <w:rsid w:val="00293DFD"/>
    <w:rsid w:val="00293FB3"/>
    <w:rsid w:val="002947F2"/>
    <w:rsid w:val="002949EC"/>
    <w:rsid w:val="00294D82"/>
    <w:rsid w:val="00294E2F"/>
    <w:rsid w:val="00294F33"/>
    <w:rsid w:val="00295A3B"/>
    <w:rsid w:val="0029698D"/>
    <w:rsid w:val="002970D7"/>
    <w:rsid w:val="0029792E"/>
    <w:rsid w:val="002A0036"/>
    <w:rsid w:val="002A00D4"/>
    <w:rsid w:val="002A054E"/>
    <w:rsid w:val="002A06FC"/>
    <w:rsid w:val="002A110E"/>
    <w:rsid w:val="002A13F1"/>
    <w:rsid w:val="002A172C"/>
    <w:rsid w:val="002A1873"/>
    <w:rsid w:val="002A1934"/>
    <w:rsid w:val="002A1E22"/>
    <w:rsid w:val="002A2205"/>
    <w:rsid w:val="002A2AF7"/>
    <w:rsid w:val="002A2D94"/>
    <w:rsid w:val="002A3835"/>
    <w:rsid w:val="002A3D64"/>
    <w:rsid w:val="002A3D84"/>
    <w:rsid w:val="002A4186"/>
    <w:rsid w:val="002A4200"/>
    <w:rsid w:val="002A45FF"/>
    <w:rsid w:val="002A53FF"/>
    <w:rsid w:val="002A5589"/>
    <w:rsid w:val="002A6312"/>
    <w:rsid w:val="002A783E"/>
    <w:rsid w:val="002A7D21"/>
    <w:rsid w:val="002B01B6"/>
    <w:rsid w:val="002B01DE"/>
    <w:rsid w:val="002B0BBC"/>
    <w:rsid w:val="002B0E02"/>
    <w:rsid w:val="002B1173"/>
    <w:rsid w:val="002B122E"/>
    <w:rsid w:val="002B2F2E"/>
    <w:rsid w:val="002B32F9"/>
    <w:rsid w:val="002B3DD0"/>
    <w:rsid w:val="002B5AC6"/>
    <w:rsid w:val="002B5B22"/>
    <w:rsid w:val="002B5CF9"/>
    <w:rsid w:val="002B5D50"/>
    <w:rsid w:val="002B6604"/>
    <w:rsid w:val="002B6641"/>
    <w:rsid w:val="002B67B3"/>
    <w:rsid w:val="002B6E8A"/>
    <w:rsid w:val="002B72FB"/>
    <w:rsid w:val="002B74AD"/>
    <w:rsid w:val="002B7F2D"/>
    <w:rsid w:val="002C070B"/>
    <w:rsid w:val="002C0815"/>
    <w:rsid w:val="002C0868"/>
    <w:rsid w:val="002C0A58"/>
    <w:rsid w:val="002C0D93"/>
    <w:rsid w:val="002C10E6"/>
    <w:rsid w:val="002C15B1"/>
    <w:rsid w:val="002C166C"/>
    <w:rsid w:val="002C1934"/>
    <w:rsid w:val="002C1A4F"/>
    <w:rsid w:val="002C1C3E"/>
    <w:rsid w:val="002C1EBA"/>
    <w:rsid w:val="002C1F17"/>
    <w:rsid w:val="002C216C"/>
    <w:rsid w:val="002C216F"/>
    <w:rsid w:val="002C2628"/>
    <w:rsid w:val="002C2A52"/>
    <w:rsid w:val="002C2AAB"/>
    <w:rsid w:val="002C2F4F"/>
    <w:rsid w:val="002C3FA5"/>
    <w:rsid w:val="002C3FC2"/>
    <w:rsid w:val="002C40D0"/>
    <w:rsid w:val="002C4139"/>
    <w:rsid w:val="002C4AB1"/>
    <w:rsid w:val="002C4CC6"/>
    <w:rsid w:val="002C5071"/>
    <w:rsid w:val="002C54DE"/>
    <w:rsid w:val="002C558A"/>
    <w:rsid w:val="002C57E5"/>
    <w:rsid w:val="002C5BB8"/>
    <w:rsid w:val="002C5D85"/>
    <w:rsid w:val="002C5F18"/>
    <w:rsid w:val="002C6219"/>
    <w:rsid w:val="002C6FEC"/>
    <w:rsid w:val="002C707D"/>
    <w:rsid w:val="002C71ED"/>
    <w:rsid w:val="002C75F4"/>
    <w:rsid w:val="002C7A5B"/>
    <w:rsid w:val="002D09C9"/>
    <w:rsid w:val="002D0CEC"/>
    <w:rsid w:val="002D16FD"/>
    <w:rsid w:val="002D1F2C"/>
    <w:rsid w:val="002D22C8"/>
    <w:rsid w:val="002D2964"/>
    <w:rsid w:val="002D2C2C"/>
    <w:rsid w:val="002D2F33"/>
    <w:rsid w:val="002D2F87"/>
    <w:rsid w:val="002D37BF"/>
    <w:rsid w:val="002D3C31"/>
    <w:rsid w:val="002D42F1"/>
    <w:rsid w:val="002D44B9"/>
    <w:rsid w:val="002D4564"/>
    <w:rsid w:val="002D5091"/>
    <w:rsid w:val="002D59A4"/>
    <w:rsid w:val="002D5B96"/>
    <w:rsid w:val="002D6137"/>
    <w:rsid w:val="002D777A"/>
    <w:rsid w:val="002D7828"/>
    <w:rsid w:val="002D7AD6"/>
    <w:rsid w:val="002D7B7A"/>
    <w:rsid w:val="002D7BB0"/>
    <w:rsid w:val="002D7DB8"/>
    <w:rsid w:val="002D7F3F"/>
    <w:rsid w:val="002E0337"/>
    <w:rsid w:val="002E0756"/>
    <w:rsid w:val="002E0E98"/>
    <w:rsid w:val="002E1226"/>
    <w:rsid w:val="002E13E4"/>
    <w:rsid w:val="002E1655"/>
    <w:rsid w:val="002E187B"/>
    <w:rsid w:val="002E1896"/>
    <w:rsid w:val="002E19DE"/>
    <w:rsid w:val="002E1E5A"/>
    <w:rsid w:val="002E2972"/>
    <w:rsid w:val="002E3807"/>
    <w:rsid w:val="002E408B"/>
    <w:rsid w:val="002E4113"/>
    <w:rsid w:val="002E433D"/>
    <w:rsid w:val="002E457A"/>
    <w:rsid w:val="002E46B0"/>
    <w:rsid w:val="002E49C1"/>
    <w:rsid w:val="002E4A15"/>
    <w:rsid w:val="002E4B6C"/>
    <w:rsid w:val="002E4B9C"/>
    <w:rsid w:val="002E4CF2"/>
    <w:rsid w:val="002E5982"/>
    <w:rsid w:val="002E6193"/>
    <w:rsid w:val="002E61F3"/>
    <w:rsid w:val="002E65F7"/>
    <w:rsid w:val="002E68CD"/>
    <w:rsid w:val="002E69D7"/>
    <w:rsid w:val="002E6BC9"/>
    <w:rsid w:val="002E6BD1"/>
    <w:rsid w:val="002E70A0"/>
    <w:rsid w:val="002E71B6"/>
    <w:rsid w:val="002E727E"/>
    <w:rsid w:val="002E7375"/>
    <w:rsid w:val="002E76FA"/>
    <w:rsid w:val="002E78F9"/>
    <w:rsid w:val="002E7A20"/>
    <w:rsid w:val="002E7B13"/>
    <w:rsid w:val="002F0D96"/>
    <w:rsid w:val="002F0F7B"/>
    <w:rsid w:val="002F1545"/>
    <w:rsid w:val="002F15F9"/>
    <w:rsid w:val="002F1B04"/>
    <w:rsid w:val="002F2361"/>
    <w:rsid w:val="002F2A23"/>
    <w:rsid w:val="002F32D6"/>
    <w:rsid w:val="002F34CB"/>
    <w:rsid w:val="002F3DEE"/>
    <w:rsid w:val="002F480B"/>
    <w:rsid w:val="002F4DA2"/>
    <w:rsid w:val="002F4F7E"/>
    <w:rsid w:val="002F509E"/>
    <w:rsid w:val="002F5532"/>
    <w:rsid w:val="002F5ABA"/>
    <w:rsid w:val="002F5C18"/>
    <w:rsid w:val="002F5E0A"/>
    <w:rsid w:val="002F6519"/>
    <w:rsid w:val="002F6B72"/>
    <w:rsid w:val="002F6D69"/>
    <w:rsid w:val="002F7207"/>
    <w:rsid w:val="002F7247"/>
    <w:rsid w:val="002F771C"/>
    <w:rsid w:val="00300043"/>
    <w:rsid w:val="0030023C"/>
    <w:rsid w:val="00300AB3"/>
    <w:rsid w:val="00300B56"/>
    <w:rsid w:val="00301153"/>
    <w:rsid w:val="0030258A"/>
    <w:rsid w:val="00302716"/>
    <w:rsid w:val="003028FC"/>
    <w:rsid w:val="003029E9"/>
    <w:rsid w:val="00302F70"/>
    <w:rsid w:val="00303151"/>
    <w:rsid w:val="00303673"/>
    <w:rsid w:val="00303686"/>
    <w:rsid w:val="00303CF7"/>
    <w:rsid w:val="003040FF"/>
    <w:rsid w:val="003043A8"/>
    <w:rsid w:val="003043E9"/>
    <w:rsid w:val="0030440F"/>
    <w:rsid w:val="003044BC"/>
    <w:rsid w:val="00304D4D"/>
    <w:rsid w:val="003052DE"/>
    <w:rsid w:val="00305529"/>
    <w:rsid w:val="00305894"/>
    <w:rsid w:val="00305B9D"/>
    <w:rsid w:val="00305C18"/>
    <w:rsid w:val="00305DED"/>
    <w:rsid w:val="00305DF6"/>
    <w:rsid w:val="00305E5A"/>
    <w:rsid w:val="00306639"/>
    <w:rsid w:val="0030672B"/>
    <w:rsid w:val="00306C4E"/>
    <w:rsid w:val="00307C7A"/>
    <w:rsid w:val="00310745"/>
    <w:rsid w:val="00310AF2"/>
    <w:rsid w:val="00310C56"/>
    <w:rsid w:val="003115FA"/>
    <w:rsid w:val="00311892"/>
    <w:rsid w:val="0031189E"/>
    <w:rsid w:val="003118A2"/>
    <w:rsid w:val="0031235E"/>
    <w:rsid w:val="00312679"/>
    <w:rsid w:val="00312925"/>
    <w:rsid w:val="00312A4D"/>
    <w:rsid w:val="00313576"/>
    <w:rsid w:val="0031386D"/>
    <w:rsid w:val="00313B86"/>
    <w:rsid w:val="00313EEC"/>
    <w:rsid w:val="0031403E"/>
    <w:rsid w:val="0031414B"/>
    <w:rsid w:val="0031468F"/>
    <w:rsid w:val="00315004"/>
    <w:rsid w:val="00315951"/>
    <w:rsid w:val="00315AFB"/>
    <w:rsid w:val="00315FD1"/>
    <w:rsid w:val="0031669A"/>
    <w:rsid w:val="00316C38"/>
    <w:rsid w:val="00316F24"/>
    <w:rsid w:val="00317309"/>
    <w:rsid w:val="00317AE9"/>
    <w:rsid w:val="00317C29"/>
    <w:rsid w:val="00317E2C"/>
    <w:rsid w:val="003200F4"/>
    <w:rsid w:val="003201A7"/>
    <w:rsid w:val="003209BA"/>
    <w:rsid w:val="00320F22"/>
    <w:rsid w:val="003212D0"/>
    <w:rsid w:val="0032132F"/>
    <w:rsid w:val="003218D5"/>
    <w:rsid w:val="003222C6"/>
    <w:rsid w:val="00322559"/>
    <w:rsid w:val="003227C1"/>
    <w:rsid w:val="003229C2"/>
    <w:rsid w:val="00322A00"/>
    <w:rsid w:val="00322A81"/>
    <w:rsid w:val="00322E48"/>
    <w:rsid w:val="003230AD"/>
    <w:rsid w:val="003239D3"/>
    <w:rsid w:val="00324115"/>
    <w:rsid w:val="003246D0"/>
    <w:rsid w:val="003246FC"/>
    <w:rsid w:val="003247FD"/>
    <w:rsid w:val="00324FF6"/>
    <w:rsid w:val="0032521C"/>
    <w:rsid w:val="0032599C"/>
    <w:rsid w:val="0032619C"/>
    <w:rsid w:val="003263B4"/>
    <w:rsid w:val="003267DF"/>
    <w:rsid w:val="00326DFD"/>
    <w:rsid w:val="003271B6"/>
    <w:rsid w:val="00327AC5"/>
    <w:rsid w:val="00327B2C"/>
    <w:rsid w:val="00327BE8"/>
    <w:rsid w:val="00327C78"/>
    <w:rsid w:val="00327ECE"/>
    <w:rsid w:val="0033206A"/>
    <w:rsid w:val="00332991"/>
    <w:rsid w:val="003329FD"/>
    <w:rsid w:val="00332CB1"/>
    <w:rsid w:val="00333925"/>
    <w:rsid w:val="00333BD9"/>
    <w:rsid w:val="00333EA5"/>
    <w:rsid w:val="003342A9"/>
    <w:rsid w:val="00334E88"/>
    <w:rsid w:val="00335680"/>
    <w:rsid w:val="003358E5"/>
    <w:rsid w:val="00336342"/>
    <w:rsid w:val="003363DC"/>
    <w:rsid w:val="00336A1F"/>
    <w:rsid w:val="00336A94"/>
    <w:rsid w:val="00336EAB"/>
    <w:rsid w:val="00337365"/>
    <w:rsid w:val="003373B6"/>
    <w:rsid w:val="003373F4"/>
    <w:rsid w:val="0033757B"/>
    <w:rsid w:val="003377E1"/>
    <w:rsid w:val="00337EF2"/>
    <w:rsid w:val="00340683"/>
    <w:rsid w:val="00340ACC"/>
    <w:rsid w:val="00340AD8"/>
    <w:rsid w:val="00340D64"/>
    <w:rsid w:val="00341A10"/>
    <w:rsid w:val="00341BB0"/>
    <w:rsid w:val="0034256B"/>
    <w:rsid w:val="003425A8"/>
    <w:rsid w:val="00342C07"/>
    <w:rsid w:val="00343434"/>
    <w:rsid w:val="0034361D"/>
    <w:rsid w:val="00343FCF"/>
    <w:rsid w:val="00344721"/>
    <w:rsid w:val="00344B54"/>
    <w:rsid w:val="00344BC3"/>
    <w:rsid w:val="00344D33"/>
    <w:rsid w:val="0034519E"/>
    <w:rsid w:val="003452FC"/>
    <w:rsid w:val="00345354"/>
    <w:rsid w:val="0034577A"/>
    <w:rsid w:val="00345D04"/>
    <w:rsid w:val="003460B9"/>
    <w:rsid w:val="00346317"/>
    <w:rsid w:val="00346569"/>
    <w:rsid w:val="00346B96"/>
    <w:rsid w:val="00346CD3"/>
    <w:rsid w:val="0034709B"/>
    <w:rsid w:val="00347140"/>
    <w:rsid w:val="00347733"/>
    <w:rsid w:val="00350840"/>
    <w:rsid w:val="00350982"/>
    <w:rsid w:val="00350BF4"/>
    <w:rsid w:val="00350E81"/>
    <w:rsid w:val="003511F1"/>
    <w:rsid w:val="00351244"/>
    <w:rsid w:val="00351676"/>
    <w:rsid w:val="00351750"/>
    <w:rsid w:val="00351B34"/>
    <w:rsid w:val="00351C3F"/>
    <w:rsid w:val="00351F05"/>
    <w:rsid w:val="0035208C"/>
    <w:rsid w:val="00352267"/>
    <w:rsid w:val="003523EC"/>
    <w:rsid w:val="00352549"/>
    <w:rsid w:val="0035283D"/>
    <w:rsid w:val="0035295F"/>
    <w:rsid w:val="003533FC"/>
    <w:rsid w:val="00353451"/>
    <w:rsid w:val="00353B5C"/>
    <w:rsid w:val="00353B82"/>
    <w:rsid w:val="00353E74"/>
    <w:rsid w:val="0035449C"/>
    <w:rsid w:val="0035489D"/>
    <w:rsid w:val="00354948"/>
    <w:rsid w:val="003549C3"/>
    <w:rsid w:val="00354D0F"/>
    <w:rsid w:val="00354DC3"/>
    <w:rsid w:val="00355206"/>
    <w:rsid w:val="00355309"/>
    <w:rsid w:val="003556B8"/>
    <w:rsid w:val="00355C89"/>
    <w:rsid w:val="00356002"/>
    <w:rsid w:val="0035648B"/>
    <w:rsid w:val="0035670C"/>
    <w:rsid w:val="0035673C"/>
    <w:rsid w:val="00356835"/>
    <w:rsid w:val="003568C8"/>
    <w:rsid w:val="0035695B"/>
    <w:rsid w:val="00356C47"/>
    <w:rsid w:val="003570F8"/>
    <w:rsid w:val="00357510"/>
    <w:rsid w:val="0035773E"/>
    <w:rsid w:val="0035785C"/>
    <w:rsid w:val="00357871"/>
    <w:rsid w:val="00357C19"/>
    <w:rsid w:val="00357CE0"/>
    <w:rsid w:val="00357EF2"/>
    <w:rsid w:val="003600AA"/>
    <w:rsid w:val="0036083C"/>
    <w:rsid w:val="00360C21"/>
    <w:rsid w:val="00360E8C"/>
    <w:rsid w:val="003611BC"/>
    <w:rsid w:val="00361568"/>
    <w:rsid w:val="0036206C"/>
    <w:rsid w:val="0036213D"/>
    <w:rsid w:val="00362265"/>
    <w:rsid w:val="003627AD"/>
    <w:rsid w:val="00362E55"/>
    <w:rsid w:val="0036359E"/>
    <w:rsid w:val="003637E5"/>
    <w:rsid w:val="00363A57"/>
    <w:rsid w:val="00363D95"/>
    <w:rsid w:val="00363EA9"/>
    <w:rsid w:val="003643F9"/>
    <w:rsid w:val="0036448D"/>
    <w:rsid w:val="0036455F"/>
    <w:rsid w:val="0036475D"/>
    <w:rsid w:val="00364976"/>
    <w:rsid w:val="00364DD8"/>
    <w:rsid w:val="003656DE"/>
    <w:rsid w:val="00365873"/>
    <w:rsid w:val="00365BBB"/>
    <w:rsid w:val="00365EDE"/>
    <w:rsid w:val="003662B8"/>
    <w:rsid w:val="003668B7"/>
    <w:rsid w:val="003672F2"/>
    <w:rsid w:val="00367A7B"/>
    <w:rsid w:val="00367B49"/>
    <w:rsid w:val="00367CAF"/>
    <w:rsid w:val="003700D3"/>
    <w:rsid w:val="00370940"/>
    <w:rsid w:val="00370DF1"/>
    <w:rsid w:val="003712F4"/>
    <w:rsid w:val="003717F1"/>
    <w:rsid w:val="003720BA"/>
    <w:rsid w:val="003722BF"/>
    <w:rsid w:val="00372A45"/>
    <w:rsid w:val="00372B85"/>
    <w:rsid w:val="00372EF5"/>
    <w:rsid w:val="003732CA"/>
    <w:rsid w:val="00373673"/>
    <w:rsid w:val="0037370B"/>
    <w:rsid w:val="00373826"/>
    <w:rsid w:val="003744F9"/>
    <w:rsid w:val="003757A7"/>
    <w:rsid w:val="00375B38"/>
    <w:rsid w:val="00376133"/>
    <w:rsid w:val="00376592"/>
    <w:rsid w:val="00376C95"/>
    <w:rsid w:val="00376ECD"/>
    <w:rsid w:val="0037752E"/>
    <w:rsid w:val="00377565"/>
    <w:rsid w:val="00380052"/>
    <w:rsid w:val="00380249"/>
    <w:rsid w:val="00380499"/>
    <w:rsid w:val="00380D7C"/>
    <w:rsid w:val="00380F20"/>
    <w:rsid w:val="00381738"/>
    <w:rsid w:val="00381F4A"/>
    <w:rsid w:val="003826E6"/>
    <w:rsid w:val="00382792"/>
    <w:rsid w:val="00382932"/>
    <w:rsid w:val="00382AE8"/>
    <w:rsid w:val="00382B2C"/>
    <w:rsid w:val="00382F9B"/>
    <w:rsid w:val="00383428"/>
    <w:rsid w:val="0038348B"/>
    <w:rsid w:val="00383865"/>
    <w:rsid w:val="003843AA"/>
    <w:rsid w:val="00384EDC"/>
    <w:rsid w:val="0038501E"/>
    <w:rsid w:val="00385612"/>
    <w:rsid w:val="00385AD7"/>
    <w:rsid w:val="0038614C"/>
    <w:rsid w:val="0038635E"/>
    <w:rsid w:val="003865E0"/>
    <w:rsid w:val="00386AA8"/>
    <w:rsid w:val="00386B40"/>
    <w:rsid w:val="00386F34"/>
    <w:rsid w:val="003870E5"/>
    <w:rsid w:val="00387748"/>
    <w:rsid w:val="00387A4F"/>
    <w:rsid w:val="00387CFD"/>
    <w:rsid w:val="00387E09"/>
    <w:rsid w:val="00387E93"/>
    <w:rsid w:val="00387FFA"/>
    <w:rsid w:val="00390052"/>
    <w:rsid w:val="003904C2"/>
    <w:rsid w:val="003908A3"/>
    <w:rsid w:val="003910B3"/>
    <w:rsid w:val="0039118C"/>
    <w:rsid w:val="00391B98"/>
    <w:rsid w:val="00391E73"/>
    <w:rsid w:val="00392138"/>
    <w:rsid w:val="00392778"/>
    <w:rsid w:val="00393261"/>
    <w:rsid w:val="00393314"/>
    <w:rsid w:val="003933C3"/>
    <w:rsid w:val="0039377D"/>
    <w:rsid w:val="00393872"/>
    <w:rsid w:val="00393DF0"/>
    <w:rsid w:val="00394282"/>
    <w:rsid w:val="003943E6"/>
    <w:rsid w:val="003944AB"/>
    <w:rsid w:val="00394798"/>
    <w:rsid w:val="0039509E"/>
    <w:rsid w:val="00395D1E"/>
    <w:rsid w:val="00395FDD"/>
    <w:rsid w:val="00396077"/>
    <w:rsid w:val="00396D88"/>
    <w:rsid w:val="00396F26"/>
    <w:rsid w:val="003A0554"/>
    <w:rsid w:val="003A0783"/>
    <w:rsid w:val="003A0880"/>
    <w:rsid w:val="003A0C99"/>
    <w:rsid w:val="003A0EF5"/>
    <w:rsid w:val="003A0F2F"/>
    <w:rsid w:val="003A11F8"/>
    <w:rsid w:val="003A126F"/>
    <w:rsid w:val="003A210F"/>
    <w:rsid w:val="003A256A"/>
    <w:rsid w:val="003A27C8"/>
    <w:rsid w:val="003A29FA"/>
    <w:rsid w:val="003A2A8D"/>
    <w:rsid w:val="003A2FBD"/>
    <w:rsid w:val="003A31BE"/>
    <w:rsid w:val="003A3781"/>
    <w:rsid w:val="003A37B2"/>
    <w:rsid w:val="003A39EA"/>
    <w:rsid w:val="003A3E1B"/>
    <w:rsid w:val="003A42AF"/>
    <w:rsid w:val="003A4B92"/>
    <w:rsid w:val="003A59F8"/>
    <w:rsid w:val="003A5B96"/>
    <w:rsid w:val="003A5C2D"/>
    <w:rsid w:val="003A6120"/>
    <w:rsid w:val="003A632E"/>
    <w:rsid w:val="003A6439"/>
    <w:rsid w:val="003A646B"/>
    <w:rsid w:val="003A6AA6"/>
    <w:rsid w:val="003A6E15"/>
    <w:rsid w:val="003A6F8F"/>
    <w:rsid w:val="003A71E9"/>
    <w:rsid w:val="003A71EC"/>
    <w:rsid w:val="003A795E"/>
    <w:rsid w:val="003A7A20"/>
    <w:rsid w:val="003A7B52"/>
    <w:rsid w:val="003A7D06"/>
    <w:rsid w:val="003B141F"/>
    <w:rsid w:val="003B212B"/>
    <w:rsid w:val="003B3A46"/>
    <w:rsid w:val="003B478B"/>
    <w:rsid w:val="003B49F5"/>
    <w:rsid w:val="003B4E52"/>
    <w:rsid w:val="003B4FB2"/>
    <w:rsid w:val="003B5621"/>
    <w:rsid w:val="003B59E8"/>
    <w:rsid w:val="003B5B97"/>
    <w:rsid w:val="003B5C2F"/>
    <w:rsid w:val="003B5D05"/>
    <w:rsid w:val="003B5FBB"/>
    <w:rsid w:val="003B6292"/>
    <w:rsid w:val="003B6ADB"/>
    <w:rsid w:val="003B6DFE"/>
    <w:rsid w:val="003B6F4F"/>
    <w:rsid w:val="003B7C84"/>
    <w:rsid w:val="003B7D56"/>
    <w:rsid w:val="003C0292"/>
    <w:rsid w:val="003C0344"/>
    <w:rsid w:val="003C04C6"/>
    <w:rsid w:val="003C05B3"/>
    <w:rsid w:val="003C0893"/>
    <w:rsid w:val="003C0B1E"/>
    <w:rsid w:val="003C0DF1"/>
    <w:rsid w:val="003C1ABF"/>
    <w:rsid w:val="003C1AC4"/>
    <w:rsid w:val="003C1AF9"/>
    <w:rsid w:val="003C1C13"/>
    <w:rsid w:val="003C1C22"/>
    <w:rsid w:val="003C1D05"/>
    <w:rsid w:val="003C1FBC"/>
    <w:rsid w:val="003C2100"/>
    <w:rsid w:val="003C280F"/>
    <w:rsid w:val="003C2AC9"/>
    <w:rsid w:val="003C3130"/>
    <w:rsid w:val="003C32E3"/>
    <w:rsid w:val="003C337C"/>
    <w:rsid w:val="003C3559"/>
    <w:rsid w:val="003C361C"/>
    <w:rsid w:val="003C3E45"/>
    <w:rsid w:val="003C3F6F"/>
    <w:rsid w:val="003C46BA"/>
    <w:rsid w:val="003C471F"/>
    <w:rsid w:val="003C4BCA"/>
    <w:rsid w:val="003C4F42"/>
    <w:rsid w:val="003C53CF"/>
    <w:rsid w:val="003C53FD"/>
    <w:rsid w:val="003C5B48"/>
    <w:rsid w:val="003C5FB9"/>
    <w:rsid w:val="003C68C5"/>
    <w:rsid w:val="003C6A2B"/>
    <w:rsid w:val="003C6C56"/>
    <w:rsid w:val="003C6DFC"/>
    <w:rsid w:val="003C7006"/>
    <w:rsid w:val="003C7459"/>
    <w:rsid w:val="003C7648"/>
    <w:rsid w:val="003C7E2E"/>
    <w:rsid w:val="003C7ED9"/>
    <w:rsid w:val="003C7EF0"/>
    <w:rsid w:val="003C7F1E"/>
    <w:rsid w:val="003C7F94"/>
    <w:rsid w:val="003D003A"/>
    <w:rsid w:val="003D0280"/>
    <w:rsid w:val="003D03CA"/>
    <w:rsid w:val="003D040C"/>
    <w:rsid w:val="003D0676"/>
    <w:rsid w:val="003D078F"/>
    <w:rsid w:val="003D15BF"/>
    <w:rsid w:val="003D191F"/>
    <w:rsid w:val="003D1CDB"/>
    <w:rsid w:val="003D1FB5"/>
    <w:rsid w:val="003D2070"/>
    <w:rsid w:val="003D24C6"/>
    <w:rsid w:val="003D2578"/>
    <w:rsid w:val="003D2D4B"/>
    <w:rsid w:val="003D30E2"/>
    <w:rsid w:val="003D3380"/>
    <w:rsid w:val="003D33D1"/>
    <w:rsid w:val="003D3676"/>
    <w:rsid w:val="003D3FB4"/>
    <w:rsid w:val="003D3FED"/>
    <w:rsid w:val="003D44E6"/>
    <w:rsid w:val="003D47C1"/>
    <w:rsid w:val="003D4A7F"/>
    <w:rsid w:val="003D532F"/>
    <w:rsid w:val="003D53FF"/>
    <w:rsid w:val="003D54F2"/>
    <w:rsid w:val="003D5694"/>
    <w:rsid w:val="003D57A9"/>
    <w:rsid w:val="003D5994"/>
    <w:rsid w:val="003D5CA4"/>
    <w:rsid w:val="003D6080"/>
    <w:rsid w:val="003D61CF"/>
    <w:rsid w:val="003D6347"/>
    <w:rsid w:val="003D6F75"/>
    <w:rsid w:val="003D72AA"/>
    <w:rsid w:val="003D7341"/>
    <w:rsid w:val="003D7714"/>
    <w:rsid w:val="003D779B"/>
    <w:rsid w:val="003D7859"/>
    <w:rsid w:val="003D7A81"/>
    <w:rsid w:val="003D7D54"/>
    <w:rsid w:val="003E123E"/>
    <w:rsid w:val="003E16FC"/>
    <w:rsid w:val="003E1990"/>
    <w:rsid w:val="003E1B3D"/>
    <w:rsid w:val="003E1C56"/>
    <w:rsid w:val="003E24C5"/>
    <w:rsid w:val="003E2678"/>
    <w:rsid w:val="003E2AA2"/>
    <w:rsid w:val="003E2BBD"/>
    <w:rsid w:val="003E2CBD"/>
    <w:rsid w:val="003E312A"/>
    <w:rsid w:val="003E3558"/>
    <w:rsid w:val="003E3B77"/>
    <w:rsid w:val="003E451D"/>
    <w:rsid w:val="003E4627"/>
    <w:rsid w:val="003E4799"/>
    <w:rsid w:val="003E49F0"/>
    <w:rsid w:val="003E4A8F"/>
    <w:rsid w:val="003E61F9"/>
    <w:rsid w:val="003E65AB"/>
    <w:rsid w:val="003E6A77"/>
    <w:rsid w:val="003E6B29"/>
    <w:rsid w:val="003E6BB9"/>
    <w:rsid w:val="003E6DC5"/>
    <w:rsid w:val="003F0072"/>
    <w:rsid w:val="003F0364"/>
    <w:rsid w:val="003F04CE"/>
    <w:rsid w:val="003F05CA"/>
    <w:rsid w:val="003F0815"/>
    <w:rsid w:val="003F0E8A"/>
    <w:rsid w:val="003F112F"/>
    <w:rsid w:val="003F1A54"/>
    <w:rsid w:val="003F1E9E"/>
    <w:rsid w:val="003F229F"/>
    <w:rsid w:val="003F29FE"/>
    <w:rsid w:val="003F2E27"/>
    <w:rsid w:val="003F3353"/>
    <w:rsid w:val="003F3454"/>
    <w:rsid w:val="003F34DD"/>
    <w:rsid w:val="003F360C"/>
    <w:rsid w:val="003F3D04"/>
    <w:rsid w:val="003F4D7F"/>
    <w:rsid w:val="003F51D6"/>
    <w:rsid w:val="003F530B"/>
    <w:rsid w:val="003F5640"/>
    <w:rsid w:val="003F59F7"/>
    <w:rsid w:val="003F5D99"/>
    <w:rsid w:val="003F66B6"/>
    <w:rsid w:val="003F72FF"/>
    <w:rsid w:val="003F7FC1"/>
    <w:rsid w:val="004000D2"/>
    <w:rsid w:val="00400135"/>
    <w:rsid w:val="00400443"/>
    <w:rsid w:val="00400720"/>
    <w:rsid w:val="004014EA"/>
    <w:rsid w:val="00401971"/>
    <w:rsid w:val="00401D34"/>
    <w:rsid w:val="00401F75"/>
    <w:rsid w:val="00401FCB"/>
    <w:rsid w:val="00402493"/>
    <w:rsid w:val="004026DB"/>
    <w:rsid w:val="004028D1"/>
    <w:rsid w:val="00402EEF"/>
    <w:rsid w:val="00403307"/>
    <w:rsid w:val="004033CA"/>
    <w:rsid w:val="00403CDE"/>
    <w:rsid w:val="004040C7"/>
    <w:rsid w:val="00404667"/>
    <w:rsid w:val="0040485C"/>
    <w:rsid w:val="0040551A"/>
    <w:rsid w:val="0040575E"/>
    <w:rsid w:val="00405781"/>
    <w:rsid w:val="00405981"/>
    <w:rsid w:val="0040605E"/>
    <w:rsid w:val="0040631D"/>
    <w:rsid w:val="00406559"/>
    <w:rsid w:val="004067B8"/>
    <w:rsid w:val="0040694D"/>
    <w:rsid w:val="00406A00"/>
    <w:rsid w:val="004072F8"/>
    <w:rsid w:val="004075C1"/>
    <w:rsid w:val="004075C3"/>
    <w:rsid w:val="00407808"/>
    <w:rsid w:val="00407C73"/>
    <w:rsid w:val="004103AD"/>
    <w:rsid w:val="00410628"/>
    <w:rsid w:val="00410A7B"/>
    <w:rsid w:val="00410B5A"/>
    <w:rsid w:val="00410E9A"/>
    <w:rsid w:val="004118D1"/>
    <w:rsid w:val="0041195A"/>
    <w:rsid w:val="00411976"/>
    <w:rsid w:val="00411FE4"/>
    <w:rsid w:val="004121A9"/>
    <w:rsid w:val="00412505"/>
    <w:rsid w:val="00412C0B"/>
    <w:rsid w:val="0041303A"/>
    <w:rsid w:val="004136A0"/>
    <w:rsid w:val="00413994"/>
    <w:rsid w:val="00413BB0"/>
    <w:rsid w:val="00414150"/>
    <w:rsid w:val="004146F2"/>
    <w:rsid w:val="00414E9E"/>
    <w:rsid w:val="00415103"/>
    <w:rsid w:val="004155AC"/>
    <w:rsid w:val="00415663"/>
    <w:rsid w:val="004156E2"/>
    <w:rsid w:val="00415AE3"/>
    <w:rsid w:val="00415EBF"/>
    <w:rsid w:val="00416056"/>
    <w:rsid w:val="004160A9"/>
    <w:rsid w:val="00416217"/>
    <w:rsid w:val="004164C6"/>
    <w:rsid w:val="00416FEB"/>
    <w:rsid w:val="004174F6"/>
    <w:rsid w:val="00417605"/>
    <w:rsid w:val="004176A8"/>
    <w:rsid w:val="00417747"/>
    <w:rsid w:val="00417C20"/>
    <w:rsid w:val="0042048F"/>
    <w:rsid w:val="0042084A"/>
    <w:rsid w:val="004209A3"/>
    <w:rsid w:val="00420B48"/>
    <w:rsid w:val="00420D22"/>
    <w:rsid w:val="004213CD"/>
    <w:rsid w:val="0042167F"/>
    <w:rsid w:val="004216E1"/>
    <w:rsid w:val="00421705"/>
    <w:rsid w:val="00421B1C"/>
    <w:rsid w:val="00421F41"/>
    <w:rsid w:val="00422A57"/>
    <w:rsid w:val="00422AFF"/>
    <w:rsid w:val="00423008"/>
    <w:rsid w:val="004231F2"/>
    <w:rsid w:val="00423264"/>
    <w:rsid w:val="004236FD"/>
    <w:rsid w:val="00423709"/>
    <w:rsid w:val="00423889"/>
    <w:rsid w:val="00423C12"/>
    <w:rsid w:val="00423C43"/>
    <w:rsid w:val="004240D9"/>
    <w:rsid w:val="004243AB"/>
    <w:rsid w:val="00424525"/>
    <w:rsid w:val="00424532"/>
    <w:rsid w:val="004248AE"/>
    <w:rsid w:val="00425289"/>
    <w:rsid w:val="004253D0"/>
    <w:rsid w:val="004254C6"/>
    <w:rsid w:val="00425AA6"/>
    <w:rsid w:val="00425FBF"/>
    <w:rsid w:val="00426020"/>
    <w:rsid w:val="0042634F"/>
    <w:rsid w:val="0042635E"/>
    <w:rsid w:val="004268B1"/>
    <w:rsid w:val="00426CC9"/>
    <w:rsid w:val="00427CF0"/>
    <w:rsid w:val="00430138"/>
    <w:rsid w:val="0043015A"/>
    <w:rsid w:val="0043089F"/>
    <w:rsid w:val="004326CB"/>
    <w:rsid w:val="00432C08"/>
    <w:rsid w:val="00432F1D"/>
    <w:rsid w:val="00432F4A"/>
    <w:rsid w:val="00432FA9"/>
    <w:rsid w:val="00433595"/>
    <w:rsid w:val="00433B24"/>
    <w:rsid w:val="00433D08"/>
    <w:rsid w:val="004341C5"/>
    <w:rsid w:val="0043429A"/>
    <w:rsid w:val="00434931"/>
    <w:rsid w:val="00434C19"/>
    <w:rsid w:val="00434F5F"/>
    <w:rsid w:val="004355A0"/>
    <w:rsid w:val="004359E5"/>
    <w:rsid w:val="00435C1F"/>
    <w:rsid w:val="00435F83"/>
    <w:rsid w:val="004360B9"/>
    <w:rsid w:val="00436509"/>
    <w:rsid w:val="0043685B"/>
    <w:rsid w:val="00436B49"/>
    <w:rsid w:val="004372FF"/>
    <w:rsid w:val="004379AA"/>
    <w:rsid w:val="00437CEB"/>
    <w:rsid w:val="004406B5"/>
    <w:rsid w:val="00440A08"/>
    <w:rsid w:val="00440D9E"/>
    <w:rsid w:val="004413AB"/>
    <w:rsid w:val="0044141F"/>
    <w:rsid w:val="00441FB7"/>
    <w:rsid w:val="004430E3"/>
    <w:rsid w:val="004431FC"/>
    <w:rsid w:val="004433BF"/>
    <w:rsid w:val="00443A06"/>
    <w:rsid w:val="00444242"/>
    <w:rsid w:val="00444863"/>
    <w:rsid w:val="004459E0"/>
    <w:rsid w:val="00445B3C"/>
    <w:rsid w:val="00445B8E"/>
    <w:rsid w:val="00445C7A"/>
    <w:rsid w:val="00445CF3"/>
    <w:rsid w:val="00445DB6"/>
    <w:rsid w:val="0044664A"/>
    <w:rsid w:val="00450028"/>
    <w:rsid w:val="00450169"/>
    <w:rsid w:val="00450440"/>
    <w:rsid w:val="004506CC"/>
    <w:rsid w:val="00450901"/>
    <w:rsid w:val="00450F89"/>
    <w:rsid w:val="00451065"/>
    <w:rsid w:val="00451354"/>
    <w:rsid w:val="00452186"/>
    <w:rsid w:val="0045242B"/>
    <w:rsid w:val="00452C0B"/>
    <w:rsid w:val="00452DF5"/>
    <w:rsid w:val="00452E3C"/>
    <w:rsid w:val="00453143"/>
    <w:rsid w:val="00453BE2"/>
    <w:rsid w:val="0045412C"/>
    <w:rsid w:val="004544D9"/>
    <w:rsid w:val="0045484C"/>
    <w:rsid w:val="00454923"/>
    <w:rsid w:val="00454FE8"/>
    <w:rsid w:val="004556EF"/>
    <w:rsid w:val="00455AF1"/>
    <w:rsid w:val="00455F98"/>
    <w:rsid w:val="00456366"/>
    <w:rsid w:val="0045640F"/>
    <w:rsid w:val="00456658"/>
    <w:rsid w:val="004572F2"/>
    <w:rsid w:val="00457363"/>
    <w:rsid w:val="00457475"/>
    <w:rsid w:val="004579B3"/>
    <w:rsid w:val="00457B3D"/>
    <w:rsid w:val="0046010E"/>
    <w:rsid w:val="004602EE"/>
    <w:rsid w:val="004607B0"/>
    <w:rsid w:val="00460994"/>
    <w:rsid w:val="00460BFE"/>
    <w:rsid w:val="00461691"/>
    <w:rsid w:val="004617FD"/>
    <w:rsid w:val="00461B08"/>
    <w:rsid w:val="00461E3F"/>
    <w:rsid w:val="00462160"/>
    <w:rsid w:val="004623DF"/>
    <w:rsid w:val="00462458"/>
    <w:rsid w:val="00462B1B"/>
    <w:rsid w:val="00462E3F"/>
    <w:rsid w:val="004631B7"/>
    <w:rsid w:val="00464126"/>
    <w:rsid w:val="00464378"/>
    <w:rsid w:val="00464BAF"/>
    <w:rsid w:val="0046538B"/>
    <w:rsid w:val="00465CD0"/>
    <w:rsid w:val="00466647"/>
    <w:rsid w:val="004669FA"/>
    <w:rsid w:val="004676D6"/>
    <w:rsid w:val="00467FFC"/>
    <w:rsid w:val="004703EB"/>
    <w:rsid w:val="00470573"/>
    <w:rsid w:val="00470F67"/>
    <w:rsid w:val="00471236"/>
    <w:rsid w:val="00471540"/>
    <w:rsid w:val="004717CC"/>
    <w:rsid w:val="00471FFD"/>
    <w:rsid w:val="004728DE"/>
    <w:rsid w:val="0047326C"/>
    <w:rsid w:val="0047400E"/>
    <w:rsid w:val="00474072"/>
    <w:rsid w:val="00474FBD"/>
    <w:rsid w:val="00475206"/>
    <w:rsid w:val="00475240"/>
    <w:rsid w:val="004753D7"/>
    <w:rsid w:val="004753FB"/>
    <w:rsid w:val="00475737"/>
    <w:rsid w:val="00475B61"/>
    <w:rsid w:val="0047636B"/>
    <w:rsid w:val="004774CD"/>
    <w:rsid w:val="004775A8"/>
    <w:rsid w:val="004779AA"/>
    <w:rsid w:val="00477B4D"/>
    <w:rsid w:val="00477BE0"/>
    <w:rsid w:val="00477E9F"/>
    <w:rsid w:val="00480399"/>
    <w:rsid w:val="0048087B"/>
    <w:rsid w:val="00480959"/>
    <w:rsid w:val="00480AA0"/>
    <w:rsid w:val="00480BAB"/>
    <w:rsid w:val="00480E13"/>
    <w:rsid w:val="00480EFB"/>
    <w:rsid w:val="0048162F"/>
    <w:rsid w:val="004817A2"/>
    <w:rsid w:val="0048185D"/>
    <w:rsid w:val="00481A67"/>
    <w:rsid w:val="00481AA1"/>
    <w:rsid w:val="00481B22"/>
    <w:rsid w:val="004821C6"/>
    <w:rsid w:val="00482240"/>
    <w:rsid w:val="00482B26"/>
    <w:rsid w:val="00482B89"/>
    <w:rsid w:val="00484446"/>
    <w:rsid w:val="00484514"/>
    <w:rsid w:val="00485283"/>
    <w:rsid w:val="00485685"/>
    <w:rsid w:val="004860C1"/>
    <w:rsid w:val="00486C45"/>
    <w:rsid w:val="00486F15"/>
    <w:rsid w:val="0048710A"/>
    <w:rsid w:val="0048766D"/>
    <w:rsid w:val="00487924"/>
    <w:rsid w:val="0049003B"/>
    <w:rsid w:val="0049033E"/>
    <w:rsid w:val="004904A5"/>
    <w:rsid w:val="004911D2"/>
    <w:rsid w:val="004918F8"/>
    <w:rsid w:val="00492998"/>
    <w:rsid w:val="00492AF0"/>
    <w:rsid w:val="00492F51"/>
    <w:rsid w:val="004930AD"/>
    <w:rsid w:val="004930FF"/>
    <w:rsid w:val="0049393F"/>
    <w:rsid w:val="00493AC9"/>
    <w:rsid w:val="00493EA2"/>
    <w:rsid w:val="00493EE3"/>
    <w:rsid w:val="00493FB2"/>
    <w:rsid w:val="00494824"/>
    <w:rsid w:val="00495A96"/>
    <w:rsid w:val="00495B0E"/>
    <w:rsid w:val="00495B98"/>
    <w:rsid w:val="00495C7A"/>
    <w:rsid w:val="0049609C"/>
    <w:rsid w:val="00496206"/>
    <w:rsid w:val="00496A50"/>
    <w:rsid w:val="00497132"/>
    <w:rsid w:val="0049738F"/>
    <w:rsid w:val="00497BCA"/>
    <w:rsid w:val="00497E62"/>
    <w:rsid w:val="00497EE7"/>
    <w:rsid w:val="004A019C"/>
    <w:rsid w:val="004A020B"/>
    <w:rsid w:val="004A0385"/>
    <w:rsid w:val="004A0435"/>
    <w:rsid w:val="004A08AF"/>
    <w:rsid w:val="004A174C"/>
    <w:rsid w:val="004A1D78"/>
    <w:rsid w:val="004A1F57"/>
    <w:rsid w:val="004A25CF"/>
    <w:rsid w:val="004A2755"/>
    <w:rsid w:val="004A2834"/>
    <w:rsid w:val="004A2FD1"/>
    <w:rsid w:val="004A32C6"/>
    <w:rsid w:val="004A3FDD"/>
    <w:rsid w:val="004A40FE"/>
    <w:rsid w:val="004A429F"/>
    <w:rsid w:val="004A4452"/>
    <w:rsid w:val="004A448D"/>
    <w:rsid w:val="004A4976"/>
    <w:rsid w:val="004A4A72"/>
    <w:rsid w:val="004A5207"/>
    <w:rsid w:val="004A5481"/>
    <w:rsid w:val="004A565E"/>
    <w:rsid w:val="004A56A0"/>
    <w:rsid w:val="004A57A3"/>
    <w:rsid w:val="004A5FB3"/>
    <w:rsid w:val="004A636E"/>
    <w:rsid w:val="004A6483"/>
    <w:rsid w:val="004A66B3"/>
    <w:rsid w:val="004A6CA7"/>
    <w:rsid w:val="004A6DB7"/>
    <w:rsid w:val="004A6FEB"/>
    <w:rsid w:val="004A7068"/>
    <w:rsid w:val="004A70D4"/>
    <w:rsid w:val="004A73E2"/>
    <w:rsid w:val="004A7644"/>
    <w:rsid w:val="004A76F8"/>
    <w:rsid w:val="004B071B"/>
    <w:rsid w:val="004B074A"/>
    <w:rsid w:val="004B08F5"/>
    <w:rsid w:val="004B0BA8"/>
    <w:rsid w:val="004B146D"/>
    <w:rsid w:val="004B14FB"/>
    <w:rsid w:val="004B1648"/>
    <w:rsid w:val="004B249C"/>
    <w:rsid w:val="004B2737"/>
    <w:rsid w:val="004B2807"/>
    <w:rsid w:val="004B2E3B"/>
    <w:rsid w:val="004B2F0A"/>
    <w:rsid w:val="004B3110"/>
    <w:rsid w:val="004B3213"/>
    <w:rsid w:val="004B346B"/>
    <w:rsid w:val="004B34BA"/>
    <w:rsid w:val="004B3677"/>
    <w:rsid w:val="004B37D6"/>
    <w:rsid w:val="004B39CB"/>
    <w:rsid w:val="004B3D45"/>
    <w:rsid w:val="004B4B41"/>
    <w:rsid w:val="004B4D6E"/>
    <w:rsid w:val="004B4F9C"/>
    <w:rsid w:val="004B50FC"/>
    <w:rsid w:val="004B5238"/>
    <w:rsid w:val="004B52B5"/>
    <w:rsid w:val="004B56BE"/>
    <w:rsid w:val="004B5EC5"/>
    <w:rsid w:val="004B6236"/>
    <w:rsid w:val="004B62D9"/>
    <w:rsid w:val="004B631C"/>
    <w:rsid w:val="004B655F"/>
    <w:rsid w:val="004B68CC"/>
    <w:rsid w:val="004B6F67"/>
    <w:rsid w:val="004B6F7E"/>
    <w:rsid w:val="004B73A7"/>
    <w:rsid w:val="004B752F"/>
    <w:rsid w:val="004B7655"/>
    <w:rsid w:val="004B7806"/>
    <w:rsid w:val="004B785C"/>
    <w:rsid w:val="004B7869"/>
    <w:rsid w:val="004B7B88"/>
    <w:rsid w:val="004C02D4"/>
    <w:rsid w:val="004C07A1"/>
    <w:rsid w:val="004C0D74"/>
    <w:rsid w:val="004C103E"/>
    <w:rsid w:val="004C11A4"/>
    <w:rsid w:val="004C121C"/>
    <w:rsid w:val="004C167A"/>
    <w:rsid w:val="004C1FFC"/>
    <w:rsid w:val="004C210B"/>
    <w:rsid w:val="004C21B7"/>
    <w:rsid w:val="004C2384"/>
    <w:rsid w:val="004C28AB"/>
    <w:rsid w:val="004C29C4"/>
    <w:rsid w:val="004C3B90"/>
    <w:rsid w:val="004C3F6A"/>
    <w:rsid w:val="004C4101"/>
    <w:rsid w:val="004C413A"/>
    <w:rsid w:val="004C4223"/>
    <w:rsid w:val="004C4506"/>
    <w:rsid w:val="004C500D"/>
    <w:rsid w:val="004C58EE"/>
    <w:rsid w:val="004C5ACA"/>
    <w:rsid w:val="004C5F88"/>
    <w:rsid w:val="004C603B"/>
    <w:rsid w:val="004C6128"/>
    <w:rsid w:val="004C62D4"/>
    <w:rsid w:val="004C62FF"/>
    <w:rsid w:val="004C686D"/>
    <w:rsid w:val="004C69DE"/>
    <w:rsid w:val="004C6A5F"/>
    <w:rsid w:val="004C6DB0"/>
    <w:rsid w:val="004C6E25"/>
    <w:rsid w:val="004C739D"/>
    <w:rsid w:val="004C7472"/>
    <w:rsid w:val="004C7D9F"/>
    <w:rsid w:val="004C7DC4"/>
    <w:rsid w:val="004D00A7"/>
    <w:rsid w:val="004D0451"/>
    <w:rsid w:val="004D0B61"/>
    <w:rsid w:val="004D0F99"/>
    <w:rsid w:val="004D1C0E"/>
    <w:rsid w:val="004D21C5"/>
    <w:rsid w:val="004D22B7"/>
    <w:rsid w:val="004D25A2"/>
    <w:rsid w:val="004D25D2"/>
    <w:rsid w:val="004D27BE"/>
    <w:rsid w:val="004D2D83"/>
    <w:rsid w:val="004D2DF6"/>
    <w:rsid w:val="004D2EF4"/>
    <w:rsid w:val="004D3098"/>
    <w:rsid w:val="004D37E0"/>
    <w:rsid w:val="004D38BF"/>
    <w:rsid w:val="004D3B47"/>
    <w:rsid w:val="004D3D6C"/>
    <w:rsid w:val="004D463A"/>
    <w:rsid w:val="004D4D25"/>
    <w:rsid w:val="004D53B4"/>
    <w:rsid w:val="004D55F7"/>
    <w:rsid w:val="004D5635"/>
    <w:rsid w:val="004D56E2"/>
    <w:rsid w:val="004D59AE"/>
    <w:rsid w:val="004D5D71"/>
    <w:rsid w:val="004D5E0B"/>
    <w:rsid w:val="004D604B"/>
    <w:rsid w:val="004D662A"/>
    <w:rsid w:val="004D6F01"/>
    <w:rsid w:val="004D7117"/>
    <w:rsid w:val="004D7499"/>
    <w:rsid w:val="004D7819"/>
    <w:rsid w:val="004E0029"/>
    <w:rsid w:val="004E0DE6"/>
    <w:rsid w:val="004E1A98"/>
    <w:rsid w:val="004E1CAD"/>
    <w:rsid w:val="004E1DD6"/>
    <w:rsid w:val="004E2636"/>
    <w:rsid w:val="004E35A6"/>
    <w:rsid w:val="004E37DD"/>
    <w:rsid w:val="004E3906"/>
    <w:rsid w:val="004E3BA4"/>
    <w:rsid w:val="004E4D89"/>
    <w:rsid w:val="004E51EE"/>
    <w:rsid w:val="004E54A0"/>
    <w:rsid w:val="004E54FD"/>
    <w:rsid w:val="004E5821"/>
    <w:rsid w:val="004E5AA0"/>
    <w:rsid w:val="004E6745"/>
    <w:rsid w:val="004E67A1"/>
    <w:rsid w:val="004E67E7"/>
    <w:rsid w:val="004E6B2F"/>
    <w:rsid w:val="004E73E7"/>
    <w:rsid w:val="004E7620"/>
    <w:rsid w:val="004E76DC"/>
    <w:rsid w:val="004E7703"/>
    <w:rsid w:val="004E78AA"/>
    <w:rsid w:val="004E7E97"/>
    <w:rsid w:val="004E7EF6"/>
    <w:rsid w:val="004F06B8"/>
    <w:rsid w:val="004F0C55"/>
    <w:rsid w:val="004F0FF9"/>
    <w:rsid w:val="004F162B"/>
    <w:rsid w:val="004F1986"/>
    <w:rsid w:val="004F19A7"/>
    <w:rsid w:val="004F2716"/>
    <w:rsid w:val="004F2FB7"/>
    <w:rsid w:val="004F36D2"/>
    <w:rsid w:val="004F3D42"/>
    <w:rsid w:val="004F438A"/>
    <w:rsid w:val="004F46DA"/>
    <w:rsid w:val="004F4B37"/>
    <w:rsid w:val="004F4B94"/>
    <w:rsid w:val="004F5289"/>
    <w:rsid w:val="004F5390"/>
    <w:rsid w:val="004F5793"/>
    <w:rsid w:val="004F5826"/>
    <w:rsid w:val="004F60D6"/>
    <w:rsid w:val="004F6CA9"/>
    <w:rsid w:val="004F6E61"/>
    <w:rsid w:val="004F7277"/>
    <w:rsid w:val="004F7E5E"/>
    <w:rsid w:val="0050021E"/>
    <w:rsid w:val="005002E5"/>
    <w:rsid w:val="005006C5"/>
    <w:rsid w:val="00500A97"/>
    <w:rsid w:val="00500E61"/>
    <w:rsid w:val="0050185D"/>
    <w:rsid w:val="00501B3F"/>
    <w:rsid w:val="00501CCA"/>
    <w:rsid w:val="00501D5B"/>
    <w:rsid w:val="00501D6D"/>
    <w:rsid w:val="00502050"/>
    <w:rsid w:val="00502593"/>
    <w:rsid w:val="00502693"/>
    <w:rsid w:val="00502E4B"/>
    <w:rsid w:val="00503C79"/>
    <w:rsid w:val="0050428B"/>
    <w:rsid w:val="00504972"/>
    <w:rsid w:val="00504CA5"/>
    <w:rsid w:val="00504EF0"/>
    <w:rsid w:val="0050549C"/>
    <w:rsid w:val="00505586"/>
    <w:rsid w:val="005057FF"/>
    <w:rsid w:val="00505812"/>
    <w:rsid w:val="005060D9"/>
    <w:rsid w:val="0050645B"/>
    <w:rsid w:val="00506B8D"/>
    <w:rsid w:val="00506DC6"/>
    <w:rsid w:val="005070AA"/>
    <w:rsid w:val="005075D2"/>
    <w:rsid w:val="00510219"/>
    <w:rsid w:val="00510332"/>
    <w:rsid w:val="0051046A"/>
    <w:rsid w:val="00510556"/>
    <w:rsid w:val="0051070E"/>
    <w:rsid w:val="00510A11"/>
    <w:rsid w:val="00510FC4"/>
    <w:rsid w:val="00511358"/>
    <w:rsid w:val="00511629"/>
    <w:rsid w:val="00511737"/>
    <w:rsid w:val="00511A85"/>
    <w:rsid w:val="00511AD4"/>
    <w:rsid w:val="00511D8C"/>
    <w:rsid w:val="00511F5D"/>
    <w:rsid w:val="005124AB"/>
    <w:rsid w:val="00512601"/>
    <w:rsid w:val="005127F0"/>
    <w:rsid w:val="00512DB0"/>
    <w:rsid w:val="00513502"/>
    <w:rsid w:val="005139E8"/>
    <w:rsid w:val="00513C7F"/>
    <w:rsid w:val="00513E42"/>
    <w:rsid w:val="00513E8B"/>
    <w:rsid w:val="0051414D"/>
    <w:rsid w:val="00514236"/>
    <w:rsid w:val="005148FC"/>
    <w:rsid w:val="00514A78"/>
    <w:rsid w:val="00514C74"/>
    <w:rsid w:val="00514DAF"/>
    <w:rsid w:val="00514F93"/>
    <w:rsid w:val="005150B1"/>
    <w:rsid w:val="005154F3"/>
    <w:rsid w:val="00515633"/>
    <w:rsid w:val="00515B3A"/>
    <w:rsid w:val="00516084"/>
    <w:rsid w:val="005163E3"/>
    <w:rsid w:val="00517296"/>
    <w:rsid w:val="0051777F"/>
    <w:rsid w:val="005179A7"/>
    <w:rsid w:val="00517AD5"/>
    <w:rsid w:val="00520144"/>
    <w:rsid w:val="00520370"/>
    <w:rsid w:val="0052090F"/>
    <w:rsid w:val="00520E80"/>
    <w:rsid w:val="00521112"/>
    <w:rsid w:val="00521503"/>
    <w:rsid w:val="00521A2F"/>
    <w:rsid w:val="00521C74"/>
    <w:rsid w:val="00521F0C"/>
    <w:rsid w:val="00522162"/>
    <w:rsid w:val="0052217C"/>
    <w:rsid w:val="005225E5"/>
    <w:rsid w:val="00522B79"/>
    <w:rsid w:val="00522F73"/>
    <w:rsid w:val="0052319E"/>
    <w:rsid w:val="00523398"/>
    <w:rsid w:val="00523603"/>
    <w:rsid w:val="00523704"/>
    <w:rsid w:val="0052379E"/>
    <w:rsid w:val="0052391A"/>
    <w:rsid w:val="005245AA"/>
    <w:rsid w:val="00524701"/>
    <w:rsid w:val="00524795"/>
    <w:rsid w:val="00524CC2"/>
    <w:rsid w:val="00524E15"/>
    <w:rsid w:val="00525291"/>
    <w:rsid w:val="00525986"/>
    <w:rsid w:val="00525992"/>
    <w:rsid w:val="00525E23"/>
    <w:rsid w:val="00526364"/>
    <w:rsid w:val="005266F1"/>
    <w:rsid w:val="00526E69"/>
    <w:rsid w:val="00527264"/>
    <w:rsid w:val="005273DC"/>
    <w:rsid w:val="005274FF"/>
    <w:rsid w:val="00527698"/>
    <w:rsid w:val="005309EC"/>
    <w:rsid w:val="00530BF2"/>
    <w:rsid w:val="0053101B"/>
    <w:rsid w:val="005310B7"/>
    <w:rsid w:val="005317CA"/>
    <w:rsid w:val="005319D0"/>
    <w:rsid w:val="00531C04"/>
    <w:rsid w:val="00531D23"/>
    <w:rsid w:val="0053255F"/>
    <w:rsid w:val="00532749"/>
    <w:rsid w:val="00532791"/>
    <w:rsid w:val="00532807"/>
    <w:rsid w:val="0053294E"/>
    <w:rsid w:val="00532D05"/>
    <w:rsid w:val="00533349"/>
    <w:rsid w:val="005335F4"/>
    <w:rsid w:val="00533917"/>
    <w:rsid w:val="00533AAE"/>
    <w:rsid w:val="00533C98"/>
    <w:rsid w:val="005344DD"/>
    <w:rsid w:val="00534BC8"/>
    <w:rsid w:val="00535539"/>
    <w:rsid w:val="00535FF2"/>
    <w:rsid w:val="00536137"/>
    <w:rsid w:val="005361BA"/>
    <w:rsid w:val="00536296"/>
    <w:rsid w:val="005362EF"/>
    <w:rsid w:val="0053663A"/>
    <w:rsid w:val="00536B73"/>
    <w:rsid w:val="00536BA5"/>
    <w:rsid w:val="00536BE4"/>
    <w:rsid w:val="00536D1C"/>
    <w:rsid w:val="00537242"/>
    <w:rsid w:val="0053779D"/>
    <w:rsid w:val="00537855"/>
    <w:rsid w:val="0053794C"/>
    <w:rsid w:val="00537B97"/>
    <w:rsid w:val="0054042E"/>
    <w:rsid w:val="00540E37"/>
    <w:rsid w:val="00541145"/>
    <w:rsid w:val="005412DA"/>
    <w:rsid w:val="005418F3"/>
    <w:rsid w:val="00541C58"/>
    <w:rsid w:val="00541CF5"/>
    <w:rsid w:val="005420D3"/>
    <w:rsid w:val="00542717"/>
    <w:rsid w:val="00542774"/>
    <w:rsid w:val="00542DB1"/>
    <w:rsid w:val="00542F56"/>
    <w:rsid w:val="005430FD"/>
    <w:rsid w:val="00543476"/>
    <w:rsid w:val="00543898"/>
    <w:rsid w:val="00543B4F"/>
    <w:rsid w:val="00543BF7"/>
    <w:rsid w:val="00543E97"/>
    <w:rsid w:val="00543F73"/>
    <w:rsid w:val="00543FEA"/>
    <w:rsid w:val="00544231"/>
    <w:rsid w:val="00546BD7"/>
    <w:rsid w:val="0054751B"/>
    <w:rsid w:val="00547675"/>
    <w:rsid w:val="005501C2"/>
    <w:rsid w:val="0055088F"/>
    <w:rsid w:val="0055092C"/>
    <w:rsid w:val="0055101E"/>
    <w:rsid w:val="00551B42"/>
    <w:rsid w:val="00551DB8"/>
    <w:rsid w:val="0055209B"/>
    <w:rsid w:val="005522CE"/>
    <w:rsid w:val="005522F6"/>
    <w:rsid w:val="0055262E"/>
    <w:rsid w:val="0055279A"/>
    <w:rsid w:val="005527FC"/>
    <w:rsid w:val="00552878"/>
    <w:rsid w:val="0055360B"/>
    <w:rsid w:val="00553F6A"/>
    <w:rsid w:val="005544BB"/>
    <w:rsid w:val="00554A5B"/>
    <w:rsid w:val="00555067"/>
    <w:rsid w:val="00555087"/>
    <w:rsid w:val="00555154"/>
    <w:rsid w:val="00555E0A"/>
    <w:rsid w:val="0055607C"/>
    <w:rsid w:val="00556B18"/>
    <w:rsid w:val="00556FC1"/>
    <w:rsid w:val="005571ED"/>
    <w:rsid w:val="00557294"/>
    <w:rsid w:val="00557537"/>
    <w:rsid w:val="005575A1"/>
    <w:rsid w:val="005606DB"/>
    <w:rsid w:val="00560AB3"/>
    <w:rsid w:val="00560AE5"/>
    <w:rsid w:val="00560B6F"/>
    <w:rsid w:val="00560E9B"/>
    <w:rsid w:val="0056106E"/>
    <w:rsid w:val="00561152"/>
    <w:rsid w:val="005612E3"/>
    <w:rsid w:val="005617F9"/>
    <w:rsid w:val="005621AF"/>
    <w:rsid w:val="00562456"/>
    <w:rsid w:val="00562AA0"/>
    <w:rsid w:val="00562DC2"/>
    <w:rsid w:val="005632E5"/>
    <w:rsid w:val="005632EC"/>
    <w:rsid w:val="005637F9"/>
    <w:rsid w:val="0056439C"/>
    <w:rsid w:val="0056467E"/>
    <w:rsid w:val="0056494A"/>
    <w:rsid w:val="00564A0D"/>
    <w:rsid w:val="00564A39"/>
    <w:rsid w:val="0056514E"/>
    <w:rsid w:val="005651A4"/>
    <w:rsid w:val="00565C69"/>
    <w:rsid w:val="00565F8A"/>
    <w:rsid w:val="0056701E"/>
    <w:rsid w:val="005674CF"/>
    <w:rsid w:val="005676C3"/>
    <w:rsid w:val="0056776A"/>
    <w:rsid w:val="0056783B"/>
    <w:rsid w:val="00567877"/>
    <w:rsid w:val="00570155"/>
    <w:rsid w:val="00570596"/>
    <w:rsid w:val="00570D67"/>
    <w:rsid w:val="005711A6"/>
    <w:rsid w:val="00571CB9"/>
    <w:rsid w:val="00572102"/>
    <w:rsid w:val="0057226B"/>
    <w:rsid w:val="00572312"/>
    <w:rsid w:val="0057249F"/>
    <w:rsid w:val="005728E4"/>
    <w:rsid w:val="00572CD3"/>
    <w:rsid w:val="00572F37"/>
    <w:rsid w:val="00572F72"/>
    <w:rsid w:val="00572FB6"/>
    <w:rsid w:val="00573952"/>
    <w:rsid w:val="00573977"/>
    <w:rsid w:val="00573A62"/>
    <w:rsid w:val="00573ED8"/>
    <w:rsid w:val="00573F40"/>
    <w:rsid w:val="00574360"/>
    <w:rsid w:val="00574579"/>
    <w:rsid w:val="0057481E"/>
    <w:rsid w:val="00574899"/>
    <w:rsid w:val="00575155"/>
    <w:rsid w:val="005752A5"/>
    <w:rsid w:val="0057588B"/>
    <w:rsid w:val="00575C8B"/>
    <w:rsid w:val="00576039"/>
    <w:rsid w:val="00576163"/>
    <w:rsid w:val="005762C1"/>
    <w:rsid w:val="00576E5A"/>
    <w:rsid w:val="0057757F"/>
    <w:rsid w:val="005776EA"/>
    <w:rsid w:val="005778BC"/>
    <w:rsid w:val="005779DD"/>
    <w:rsid w:val="005779F2"/>
    <w:rsid w:val="00577F15"/>
    <w:rsid w:val="00577FA0"/>
    <w:rsid w:val="0058044D"/>
    <w:rsid w:val="005804AD"/>
    <w:rsid w:val="00580C5C"/>
    <w:rsid w:val="00580DD2"/>
    <w:rsid w:val="0058169E"/>
    <w:rsid w:val="00581921"/>
    <w:rsid w:val="005819E9"/>
    <w:rsid w:val="00581AA5"/>
    <w:rsid w:val="00581E6D"/>
    <w:rsid w:val="0058215A"/>
    <w:rsid w:val="00582356"/>
    <w:rsid w:val="0058280C"/>
    <w:rsid w:val="0058333C"/>
    <w:rsid w:val="005837DC"/>
    <w:rsid w:val="005839A2"/>
    <w:rsid w:val="00583D19"/>
    <w:rsid w:val="00584150"/>
    <w:rsid w:val="0058451D"/>
    <w:rsid w:val="005850B4"/>
    <w:rsid w:val="005855A3"/>
    <w:rsid w:val="00585908"/>
    <w:rsid w:val="00585F35"/>
    <w:rsid w:val="00586DBE"/>
    <w:rsid w:val="005871BF"/>
    <w:rsid w:val="005871D5"/>
    <w:rsid w:val="00587640"/>
    <w:rsid w:val="0058773F"/>
    <w:rsid w:val="00587C3D"/>
    <w:rsid w:val="00587CBC"/>
    <w:rsid w:val="00590837"/>
    <w:rsid w:val="00590C34"/>
    <w:rsid w:val="00590D1F"/>
    <w:rsid w:val="00590FD7"/>
    <w:rsid w:val="00591A31"/>
    <w:rsid w:val="0059263A"/>
    <w:rsid w:val="00592B43"/>
    <w:rsid w:val="00593324"/>
    <w:rsid w:val="00593603"/>
    <w:rsid w:val="00593C5C"/>
    <w:rsid w:val="00593CA9"/>
    <w:rsid w:val="00593F09"/>
    <w:rsid w:val="005944DD"/>
    <w:rsid w:val="005944E2"/>
    <w:rsid w:val="00594626"/>
    <w:rsid w:val="0059507E"/>
    <w:rsid w:val="0059530A"/>
    <w:rsid w:val="00595DBF"/>
    <w:rsid w:val="00595EAF"/>
    <w:rsid w:val="00596115"/>
    <w:rsid w:val="005962B8"/>
    <w:rsid w:val="0059646E"/>
    <w:rsid w:val="0059655C"/>
    <w:rsid w:val="00596914"/>
    <w:rsid w:val="00596FD5"/>
    <w:rsid w:val="00597279"/>
    <w:rsid w:val="00597627"/>
    <w:rsid w:val="005A021D"/>
    <w:rsid w:val="005A04A8"/>
    <w:rsid w:val="005A07C0"/>
    <w:rsid w:val="005A080B"/>
    <w:rsid w:val="005A08CF"/>
    <w:rsid w:val="005A096F"/>
    <w:rsid w:val="005A0F06"/>
    <w:rsid w:val="005A0F21"/>
    <w:rsid w:val="005A1843"/>
    <w:rsid w:val="005A19A3"/>
    <w:rsid w:val="005A19FE"/>
    <w:rsid w:val="005A2AE5"/>
    <w:rsid w:val="005A2D0D"/>
    <w:rsid w:val="005A33F9"/>
    <w:rsid w:val="005A4043"/>
    <w:rsid w:val="005A472E"/>
    <w:rsid w:val="005A480B"/>
    <w:rsid w:val="005A49B7"/>
    <w:rsid w:val="005A4A8D"/>
    <w:rsid w:val="005A5189"/>
    <w:rsid w:val="005A5629"/>
    <w:rsid w:val="005A59E7"/>
    <w:rsid w:val="005A5AE0"/>
    <w:rsid w:val="005A613E"/>
    <w:rsid w:val="005A6FB8"/>
    <w:rsid w:val="005A7233"/>
    <w:rsid w:val="005A7497"/>
    <w:rsid w:val="005A7744"/>
    <w:rsid w:val="005A7788"/>
    <w:rsid w:val="005A7854"/>
    <w:rsid w:val="005A7B0D"/>
    <w:rsid w:val="005A7E7A"/>
    <w:rsid w:val="005B030C"/>
    <w:rsid w:val="005B08F4"/>
    <w:rsid w:val="005B0B48"/>
    <w:rsid w:val="005B0B5F"/>
    <w:rsid w:val="005B1FF4"/>
    <w:rsid w:val="005B2094"/>
    <w:rsid w:val="005B2281"/>
    <w:rsid w:val="005B23F3"/>
    <w:rsid w:val="005B245C"/>
    <w:rsid w:val="005B26E5"/>
    <w:rsid w:val="005B2D7B"/>
    <w:rsid w:val="005B3412"/>
    <w:rsid w:val="005B3A3F"/>
    <w:rsid w:val="005B404E"/>
    <w:rsid w:val="005B477F"/>
    <w:rsid w:val="005B49D4"/>
    <w:rsid w:val="005B53A6"/>
    <w:rsid w:val="005B555C"/>
    <w:rsid w:val="005B5B89"/>
    <w:rsid w:val="005B5EC7"/>
    <w:rsid w:val="005B5F41"/>
    <w:rsid w:val="005B5FB5"/>
    <w:rsid w:val="005B6688"/>
    <w:rsid w:val="005B6CC3"/>
    <w:rsid w:val="005B71CD"/>
    <w:rsid w:val="005B7A7B"/>
    <w:rsid w:val="005B7A88"/>
    <w:rsid w:val="005B7B04"/>
    <w:rsid w:val="005B7BB5"/>
    <w:rsid w:val="005B7C00"/>
    <w:rsid w:val="005C0128"/>
    <w:rsid w:val="005C07D0"/>
    <w:rsid w:val="005C087D"/>
    <w:rsid w:val="005C0ABF"/>
    <w:rsid w:val="005C0B93"/>
    <w:rsid w:val="005C12DA"/>
    <w:rsid w:val="005C1458"/>
    <w:rsid w:val="005C17AD"/>
    <w:rsid w:val="005C202C"/>
    <w:rsid w:val="005C228E"/>
    <w:rsid w:val="005C2296"/>
    <w:rsid w:val="005C2633"/>
    <w:rsid w:val="005C2AC6"/>
    <w:rsid w:val="005C2B68"/>
    <w:rsid w:val="005C2BB9"/>
    <w:rsid w:val="005C3470"/>
    <w:rsid w:val="005C4637"/>
    <w:rsid w:val="005C4830"/>
    <w:rsid w:val="005C6198"/>
    <w:rsid w:val="005C702A"/>
    <w:rsid w:val="005C7A71"/>
    <w:rsid w:val="005C7F29"/>
    <w:rsid w:val="005D0153"/>
    <w:rsid w:val="005D0474"/>
    <w:rsid w:val="005D077C"/>
    <w:rsid w:val="005D08DC"/>
    <w:rsid w:val="005D0924"/>
    <w:rsid w:val="005D0A73"/>
    <w:rsid w:val="005D1237"/>
    <w:rsid w:val="005D1ACF"/>
    <w:rsid w:val="005D1BC4"/>
    <w:rsid w:val="005D2064"/>
    <w:rsid w:val="005D20C0"/>
    <w:rsid w:val="005D24AC"/>
    <w:rsid w:val="005D3193"/>
    <w:rsid w:val="005D3983"/>
    <w:rsid w:val="005D3AD0"/>
    <w:rsid w:val="005D50CC"/>
    <w:rsid w:val="005D515C"/>
    <w:rsid w:val="005D59FF"/>
    <w:rsid w:val="005D5D60"/>
    <w:rsid w:val="005D63D1"/>
    <w:rsid w:val="005D6BEB"/>
    <w:rsid w:val="005D7163"/>
    <w:rsid w:val="005D730D"/>
    <w:rsid w:val="005D73D5"/>
    <w:rsid w:val="005D788D"/>
    <w:rsid w:val="005D7BFF"/>
    <w:rsid w:val="005D7FE6"/>
    <w:rsid w:val="005E0323"/>
    <w:rsid w:val="005E049B"/>
    <w:rsid w:val="005E05B0"/>
    <w:rsid w:val="005E09B7"/>
    <w:rsid w:val="005E113F"/>
    <w:rsid w:val="005E1593"/>
    <w:rsid w:val="005E1BED"/>
    <w:rsid w:val="005E1F6D"/>
    <w:rsid w:val="005E1FA2"/>
    <w:rsid w:val="005E21DF"/>
    <w:rsid w:val="005E2246"/>
    <w:rsid w:val="005E23D8"/>
    <w:rsid w:val="005E2798"/>
    <w:rsid w:val="005E2887"/>
    <w:rsid w:val="005E2F1F"/>
    <w:rsid w:val="005E326C"/>
    <w:rsid w:val="005E3C9F"/>
    <w:rsid w:val="005E3D68"/>
    <w:rsid w:val="005E40A0"/>
    <w:rsid w:val="005E4191"/>
    <w:rsid w:val="005E462B"/>
    <w:rsid w:val="005E476B"/>
    <w:rsid w:val="005E5116"/>
    <w:rsid w:val="005E5432"/>
    <w:rsid w:val="005E5C46"/>
    <w:rsid w:val="005E5D24"/>
    <w:rsid w:val="005E6099"/>
    <w:rsid w:val="005E61A9"/>
    <w:rsid w:val="005E61B5"/>
    <w:rsid w:val="005E61E7"/>
    <w:rsid w:val="005E62F5"/>
    <w:rsid w:val="005E64C0"/>
    <w:rsid w:val="005E6A42"/>
    <w:rsid w:val="005E6CF3"/>
    <w:rsid w:val="005E6E62"/>
    <w:rsid w:val="005E6EEA"/>
    <w:rsid w:val="005E7240"/>
    <w:rsid w:val="005E732B"/>
    <w:rsid w:val="005E743E"/>
    <w:rsid w:val="005E7E4B"/>
    <w:rsid w:val="005F0644"/>
    <w:rsid w:val="005F0913"/>
    <w:rsid w:val="005F09B6"/>
    <w:rsid w:val="005F1883"/>
    <w:rsid w:val="005F1D30"/>
    <w:rsid w:val="005F22F6"/>
    <w:rsid w:val="005F28EB"/>
    <w:rsid w:val="005F2AB0"/>
    <w:rsid w:val="005F337F"/>
    <w:rsid w:val="005F3404"/>
    <w:rsid w:val="005F3557"/>
    <w:rsid w:val="005F3882"/>
    <w:rsid w:val="005F39B8"/>
    <w:rsid w:val="005F3A1D"/>
    <w:rsid w:val="005F3ACA"/>
    <w:rsid w:val="005F3D05"/>
    <w:rsid w:val="005F3D58"/>
    <w:rsid w:val="005F4D3D"/>
    <w:rsid w:val="005F5106"/>
    <w:rsid w:val="005F575E"/>
    <w:rsid w:val="005F5AFB"/>
    <w:rsid w:val="005F60D4"/>
    <w:rsid w:val="005F6201"/>
    <w:rsid w:val="005F66FC"/>
    <w:rsid w:val="005F6886"/>
    <w:rsid w:val="005F6EF0"/>
    <w:rsid w:val="0060099C"/>
    <w:rsid w:val="00600EC9"/>
    <w:rsid w:val="00600ED8"/>
    <w:rsid w:val="00600F2D"/>
    <w:rsid w:val="00601001"/>
    <w:rsid w:val="0060135B"/>
    <w:rsid w:val="006013E4"/>
    <w:rsid w:val="00601DFE"/>
    <w:rsid w:val="00601FFA"/>
    <w:rsid w:val="0060202C"/>
    <w:rsid w:val="006021B8"/>
    <w:rsid w:val="006022CC"/>
    <w:rsid w:val="0060237A"/>
    <w:rsid w:val="00602927"/>
    <w:rsid w:val="00602FCC"/>
    <w:rsid w:val="00602FE2"/>
    <w:rsid w:val="006031E1"/>
    <w:rsid w:val="00603B82"/>
    <w:rsid w:val="00603FC0"/>
    <w:rsid w:val="00604C3D"/>
    <w:rsid w:val="00604DFE"/>
    <w:rsid w:val="00604FBD"/>
    <w:rsid w:val="00605830"/>
    <w:rsid w:val="00605AE0"/>
    <w:rsid w:val="00606134"/>
    <w:rsid w:val="00606219"/>
    <w:rsid w:val="00606685"/>
    <w:rsid w:val="00606A58"/>
    <w:rsid w:val="00607246"/>
    <w:rsid w:val="00607586"/>
    <w:rsid w:val="00607A8B"/>
    <w:rsid w:val="00607CEA"/>
    <w:rsid w:val="00607CEE"/>
    <w:rsid w:val="00610164"/>
    <w:rsid w:val="0061016C"/>
    <w:rsid w:val="006103BD"/>
    <w:rsid w:val="00610AF7"/>
    <w:rsid w:val="00611006"/>
    <w:rsid w:val="00612452"/>
    <w:rsid w:val="006128CC"/>
    <w:rsid w:val="00612C77"/>
    <w:rsid w:val="00612DB9"/>
    <w:rsid w:val="00613005"/>
    <w:rsid w:val="006131A1"/>
    <w:rsid w:val="0061322F"/>
    <w:rsid w:val="00613839"/>
    <w:rsid w:val="006139FC"/>
    <w:rsid w:val="00613D1F"/>
    <w:rsid w:val="00614252"/>
    <w:rsid w:val="00614676"/>
    <w:rsid w:val="00615599"/>
    <w:rsid w:val="0061571B"/>
    <w:rsid w:val="006157E7"/>
    <w:rsid w:val="0061589C"/>
    <w:rsid w:val="00615931"/>
    <w:rsid w:val="00615E06"/>
    <w:rsid w:val="0061612E"/>
    <w:rsid w:val="006163F6"/>
    <w:rsid w:val="006168D0"/>
    <w:rsid w:val="00617651"/>
    <w:rsid w:val="006176A2"/>
    <w:rsid w:val="00617FA3"/>
    <w:rsid w:val="0062034B"/>
    <w:rsid w:val="00620493"/>
    <w:rsid w:val="00620616"/>
    <w:rsid w:val="006212E0"/>
    <w:rsid w:val="006213FF"/>
    <w:rsid w:val="0062144F"/>
    <w:rsid w:val="006214E2"/>
    <w:rsid w:val="00621719"/>
    <w:rsid w:val="00621A7A"/>
    <w:rsid w:val="00621B4E"/>
    <w:rsid w:val="00621B83"/>
    <w:rsid w:val="00622329"/>
    <w:rsid w:val="00622344"/>
    <w:rsid w:val="0062266C"/>
    <w:rsid w:val="00622B44"/>
    <w:rsid w:val="006232D8"/>
    <w:rsid w:val="0062407F"/>
    <w:rsid w:val="0062497B"/>
    <w:rsid w:val="00625039"/>
    <w:rsid w:val="00625052"/>
    <w:rsid w:val="006253A6"/>
    <w:rsid w:val="00625593"/>
    <w:rsid w:val="00625661"/>
    <w:rsid w:val="0062590A"/>
    <w:rsid w:val="00627017"/>
    <w:rsid w:val="00627411"/>
    <w:rsid w:val="00627DB1"/>
    <w:rsid w:val="00627F2B"/>
    <w:rsid w:val="00627F96"/>
    <w:rsid w:val="00630349"/>
    <w:rsid w:val="00630EDA"/>
    <w:rsid w:val="00630F2C"/>
    <w:rsid w:val="006316D5"/>
    <w:rsid w:val="006318B1"/>
    <w:rsid w:val="00631B5B"/>
    <w:rsid w:val="006324FD"/>
    <w:rsid w:val="00632599"/>
    <w:rsid w:val="0063281D"/>
    <w:rsid w:val="006329F6"/>
    <w:rsid w:val="00632D75"/>
    <w:rsid w:val="006332FF"/>
    <w:rsid w:val="006338EC"/>
    <w:rsid w:val="00633E43"/>
    <w:rsid w:val="00633F85"/>
    <w:rsid w:val="00634497"/>
    <w:rsid w:val="0063468C"/>
    <w:rsid w:val="00634DAD"/>
    <w:rsid w:val="00634E38"/>
    <w:rsid w:val="00635253"/>
    <w:rsid w:val="00635397"/>
    <w:rsid w:val="00635405"/>
    <w:rsid w:val="00635C95"/>
    <w:rsid w:val="00636292"/>
    <w:rsid w:val="0063652F"/>
    <w:rsid w:val="006367B2"/>
    <w:rsid w:val="00637221"/>
    <w:rsid w:val="00637403"/>
    <w:rsid w:val="00637B45"/>
    <w:rsid w:val="00637E52"/>
    <w:rsid w:val="00637F8F"/>
    <w:rsid w:val="006406AF"/>
    <w:rsid w:val="0064096E"/>
    <w:rsid w:val="00640FF8"/>
    <w:rsid w:val="0064117F"/>
    <w:rsid w:val="006418A2"/>
    <w:rsid w:val="00642051"/>
    <w:rsid w:val="0064213B"/>
    <w:rsid w:val="00642156"/>
    <w:rsid w:val="00642199"/>
    <w:rsid w:val="0064251D"/>
    <w:rsid w:val="006425D2"/>
    <w:rsid w:val="0064295F"/>
    <w:rsid w:val="00642ABE"/>
    <w:rsid w:val="006433A1"/>
    <w:rsid w:val="00643575"/>
    <w:rsid w:val="00643580"/>
    <w:rsid w:val="00643888"/>
    <w:rsid w:val="006438A8"/>
    <w:rsid w:val="00643C97"/>
    <w:rsid w:val="0064474C"/>
    <w:rsid w:val="00644992"/>
    <w:rsid w:val="00645200"/>
    <w:rsid w:val="006457EB"/>
    <w:rsid w:val="006459EB"/>
    <w:rsid w:val="006465B1"/>
    <w:rsid w:val="00646792"/>
    <w:rsid w:val="0064714E"/>
    <w:rsid w:val="006479A1"/>
    <w:rsid w:val="00647D09"/>
    <w:rsid w:val="00647E1E"/>
    <w:rsid w:val="00650763"/>
    <w:rsid w:val="00650A1E"/>
    <w:rsid w:val="00651849"/>
    <w:rsid w:val="00652489"/>
    <w:rsid w:val="0065290D"/>
    <w:rsid w:val="00652A67"/>
    <w:rsid w:val="006531CB"/>
    <w:rsid w:val="00653556"/>
    <w:rsid w:val="00653609"/>
    <w:rsid w:val="006541E8"/>
    <w:rsid w:val="006543E3"/>
    <w:rsid w:val="0065440C"/>
    <w:rsid w:val="00654A6C"/>
    <w:rsid w:val="00654B1F"/>
    <w:rsid w:val="00654B8B"/>
    <w:rsid w:val="00654C74"/>
    <w:rsid w:val="006558CB"/>
    <w:rsid w:val="00655923"/>
    <w:rsid w:val="00655EB4"/>
    <w:rsid w:val="0065606E"/>
    <w:rsid w:val="006561CD"/>
    <w:rsid w:val="00656251"/>
    <w:rsid w:val="00656564"/>
    <w:rsid w:val="006566EB"/>
    <w:rsid w:val="0065692F"/>
    <w:rsid w:val="006569F1"/>
    <w:rsid w:val="00656F30"/>
    <w:rsid w:val="00656F3C"/>
    <w:rsid w:val="00657276"/>
    <w:rsid w:val="006578F7"/>
    <w:rsid w:val="00657E91"/>
    <w:rsid w:val="006608DE"/>
    <w:rsid w:val="00661FA0"/>
    <w:rsid w:val="00661FAB"/>
    <w:rsid w:val="00661FEE"/>
    <w:rsid w:val="0066222A"/>
    <w:rsid w:val="00662278"/>
    <w:rsid w:val="00662346"/>
    <w:rsid w:val="006623D1"/>
    <w:rsid w:val="00662FD8"/>
    <w:rsid w:val="006636E4"/>
    <w:rsid w:val="006637A5"/>
    <w:rsid w:val="00664151"/>
    <w:rsid w:val="006644A0"/>
    <w:rsid w:val="00664E35"/>
    <w:rsid w:val="00664ECE"/>
    <w:rsid w:val="0066580F"/>
    <w:rsid w:val="00665996"/>
    <w:rsid w:val="00665DFE"/>
    <w:rsid w:val="00665E87"/>
    <w:rsid w:val="00666241"/>
    <w:rsid w:val="00666692"/>
    <w:rsid w:val="00666F8B"/>
    <w:rsid w:val="006670CF"/>
    <w:rsid w:val="00667347"/>
    <w:rsid w:val="00667AC6"/>
    <w:rsid w:val="00667DFA"/>
    <w:rsid w:val="00670263"/>
    <w:rsid w:val="006705B9"/>
    <w:rsid w:val="006709FE"/>
    <w:rsid w:val="00670A80"/>
    <w:rsid w:val="006710F2"/>
    <w:rsid w:val="00671247"/>
    <w:rsid w:val="006712E7"/>
    <w:rsid w:val="00671C07"/>
    <w:rsid w:val="00671EE2"/>
    <w:rsid w:val="006722F5"/>
    <w:rsid w:val="00672649"/>
    <w:rsid w:val="00672AC7"/>
    <w:rsid w:val="00672BDD"/>
    <w:rsid w:val="00672C1F"/>
    <w:rsid w:val="00673486"/>
    <w:rsid w:val="00674069"/>
    <w:rsid w:val="00674336"/>
    <w:rsid w:val="0067433E"/>
    <w:rsid w:val="00674447"/>
    <w:rsid w:val="006744F0"/>
    <w:rsid w:val="00674A98"/>
    <w:rsid w:val="00674BB1"/>
    <w:rsid w:val="00675293"/>
    <w:rsid w:val="0067534F"/>
    <w:rsid w:val="00675858"/>
    <w:rsid w:val="00675EFC"/>
    <w:rsid w:val="006761DF"/>
    <w:rsid w:val="00676E65"/>
    <w:rsid w:val="0067732B"/>
    <w:rsid w:val="006776F0"/>
    <w:rsid w:val="00677AFA"/>
    <w:rsid w:val="00680349"/>
    <w:rsid w:val="00680934"/>
    <w:rsid w:val="00680B49"/>
    <w:rsid w:val="00680F47"/>
    <w:rsid w:val="006818A5"/>
    <w:rsid w:val="006819C7"/>
    <w:rsid w:val="00681D9A"/>
    <w:rsid w:val="00681E08"/>
    <w:rsid w:val="00681E0D"/>
    <w:rsid w:val="00681F78"/>
    <w:rsid w:val="0068219B"/>
    <w:rsid w:val="00682615"/>
    <w:rsid w:val="0068277F"/>
    <w:rsid w:val="00682A0C"/>
    <w:rsid w:val="0068356A"/>
    <w:rsid w:val="006837A4"/>
    <w:rsid w:val="006838E2"/>
    <w:rsid w:val="00683AAA"/>
    <w:rsid w:val="00683B94"/>
    <w:rsid w:val="00683C70"/>
    <w:rsid w:val="00683FB0"/>
    <w:rsid w:val="00684036"/>
    <w:rsid w:val="006843BA"/>
    <w:rsid w:val="00684745"/>
    <w:rsid w:val="00684CCD"/>
    <w:rsid w:val="00684CFC"/>
    <w:rsid w:val="00684D0F"/>
    <w:rsid w:val="00684D6C"/>
    <w:rsid w:val="00684E72"/>
    <w:rsid w:val="00685166"/>
    <w:rsid w:val="0068524E"/>
    <w:rsid w:val="00685891"/>
    <w:rsid w:val="00685D92"/>
    <w:rsid w:val="00685EBB"/>
    <w:rsid w:val="00686537"/>
    <w:rsid w:val="0068667D"/>
    <w:rsid w:val="00686BAB"/>
    <w:rsid w:val="00686D1F"/>
    <w:rsid w:val="00686DCC"/>
    <w:rsid w:val="00686E0B"/>
    <w:rsid w:val="006870CA"/>
    <w:rsid w:val="00687115"/>
    <w:rsid w:val="006871DA"/>
    <w:rsid w:val="00687263"/>
    <w:rsid w:val="00687880"/>
    <w:rsid w:val="00687DD6"/>
    <w:rsid w:val="0069034D"/>
    <w:rsid w:val="00690602"/>
    <w:rsid w:val="00690671"/>
    <w:rsid w:val="006907BF"/>
    <w:rsid w:val="00691C64"/>
    <w:rsid w:val="00691F1A"/>
    <w:rsid w:val="0069203F"/>
    <w:rsid w:val="0069212F"/>
    <w:rsid w:val="006925C7"/>
    <w:rsid w:val="006929C9"/>
    <w:rsid w:val="006933C1"/>
    <w:rsid w:val="0069395D"/>
    <w:rsid w:val="00693CA3"/>
    <w:rsid w:val="00693F8C"/>
    <w:rsid w:val="00693FBA"/>
    <w:rsid w:val="00694060"/>
    <w:rsid w:val="00694283"/>
    <w:rsid w:val="0069430D"/>
    <w:rsid w:val="006946CE"/>
    <w:rsid w:val="006946D3"/>
    <w:rsid w:val="0069473A"/>
    <w:rsid w:val="006948A4"/>
    <w:rsid w:val="006949B3"/>
    <w:rsid w:val="00694A7C"/>
    <w:rsid w:val="00695382"/>
    <w:rsid w:val="00695A73"/>
    <w:rsid w:val="00695C60"/>
    <w:rsid w:val="00695FB6"/>
    <w:rsid w:val="00696723"/>
    <w:rsid w:val="00696A0A"/>
    <w:rsid w:val="00696BD6"/>
    <w:rsid w:val="00696D79"/>
    <w:rsid w:val="0069712B"/>
    <w:rsid w:val="0069760B"/>
    <w:rsid w:val="006977A8"/>
    <w:rsid w:val="00697A3C"/>
    <w:rsid w:val="00697BB1"/>
    <w:rsid w:val="00697DD3"/>
    <w:rsid w:val="006A068E"/>
    <w:rsid w:val="006A06DC"/>
    <w:rsid w:val="006A0A46"/>
    <w:rsid w:val="006A134A"/>
    <w:rsid w:val="006A1419"/>
    <w:rsid w:val="006A147F"/>
    <w:rsid w:val="006A16B1"/>
    <w:rsid w:val="006A1BB9"/>
    <w:rsid w:val="006A1F24"/>
    <w:rsid w:val="006A27A7"/>
    <w:rsid w:val="006A3005"/>
    <w:rsid w:val="006A320B"/>
    <w:rsid w:val="006A3264"/>
    <w:rsid w:val="006A3C58"/>
    <w:rsid w:val="006A3D85"/>
    <w:rsid w:val="006A3FD5"/>
    <w:rsid w:val="006A461E"/>
    <w:rsid w:val="006A46A1"/>
    <w:rsid w:val="006A4DFB"/>
    <w:rsid w:val="006A4FB7"/>
    <w:rsid w:val="006A5050"/>
    <w:rsid w:val="006A53EA"/>
    <w:rsid w:val="006A57C4"/>
    <w:rsid w:val="006A5E1A"/>
    <w:rsid w:val="006A5FCE"/>
    <w:rsid w:val="006A6CCE"/>
    <w:rsid w:val="006A6E6A"/>
    <w:rsid w:val="006A7308"/>
    <w:rsid w:val="006A73AF"/>
    <w:rsid w:val="006A74E0"/>
    <w:rsid w:val="006A750A"/>
    <w:rsid w:val="006A7D7B"/>
    <w:rsid w:val="006B015C"/>
    <w:rsid w:val="006B04F1"/>
    <w:rsid w:val="006B0577"/>
    <w:rsid w:val="006B0B25"/>
    <w:rsid w:val="006B0F26"/>
    <w:rsid w:val="006B0FF6"/>
    <w:rsid w:val="006B14A5"/>
    <w:rsid w:val="006B15DF"/>
    <w:rsid w:val="006B1BA2"/>
    <w:rsid w:val="006B1BBC"/>
    <w:rsid w:val="006B1FED"/>
    <w:rsid w:val="006B23D4"/>
    <w:rsid w:val="006B2692"/>
    <w:rsid w:val="006B28B8"/>
    <w:rsid w:val="006B2B32"/>
    <w:rsid w:val="006B2F70"/>
    <w:rsid w:val="006B3486"/>
    <w:rsid w:val="006B362B"/>
    <w:rsid w:val="006B3A2C"/>
    <w:rsid w:val="006B426F"/>
    <w:rsid w:val="006B4341"/>
    <w:rsid w:val="006B4444"/>
    <w:rsid w:val="006B4B26"/>
    <w:rsid w:val="006B5A10"/>
    <w:rsid w:val="006B5D73"/>
    <w:rsid w:val="006B64A7"/>
    <w:rsid w:val="006B660E"/>
    <w:rsid w:val="006B6B08"/>
    <w:rsid w:val="006B6B7C"/>
    <w:rsid w:val="006B6E2C"/>
    <w:rsid w:val="006B7848"/>
    <w:rsid w:val="006B78D2"/>
    <w:rsid w:val="006C0388"/>
    <w:rsid w:val="006C06AA"/>
    <w:rsid w:val="006C123C"/>
    <w:rsid w:val="006C1483"/>
    <w:rsid w:val="006C1761"/>
    <w:rsid w:val="006C236E"/>
    <w:rsid w:val="006C322A"/>
    <w:rsid w:val="006C352B"/>
    <w:rsid w:val="006C39BE"/>
    <w:rsid w:val="006C3D0C"/>
    <w:rsid w:val="006C3D52"/>
    <w:rsid w:val="006C4ADD"/>
    <w:rsid w:val="006C4D28"/>
    <w:rsid w:val="006C506C"/>
    <w:rsid w:val="006C5176"/>
    <w:rsid w:val="006C53D5"/>
    <w:rsid w:val="006C6860"/>
    <w:rsid w:val="006C688E"/>
    <w:rsid w:val="006C6F6D"/>
    <w:rsid w:val="006C707F"/>
    <w:rsid w:val="006C72DE"/>
    <w:rsid w:val="006C78DC"/>
    <w:rsid w:val="006C7DB5"/>
    <w:rsid w:val="006D0145"/>
    <w:rsid w:val="006D03E1"/>
    <w:rsid w:val="006D04F6"/>
    <w:rsid w:val="006D0F86"/>
    <w:rsid w:val="006D1269"/>
    <w:rsid w:val="006D23BD"/>
    <w:rsid w:val="006D3155"/>
    <w:rsid w:val="006D4161"/>
    <w:rsid w:val="006D4455"/>
    <w:rsid w:val="006D44C1"/>
    <w:rsid w:val="006D4930"/>
    <w:rsid w:val="006D5067"/>
    <w:rsid w:val="006D55AF"/>
    <w:rsid w:val="006D55EE"/>
    <w:rsid w:val="006D5926"/>
    <w:rsid w:val="006D59B0"/>
    <w:rsid w:val="006D5B56"/>
    <w:rsid w:val="006D6047"/>
    <w:rsid w:val="006D6BDC"/>
    <w:rsid w:val="006D701F"/>
    <w:rsid w:val="006D70F1"/>
    <w:rsid w:val="006D73B5"/>
    <w:rsid w:val="006D786C"/>
    <w:rsid w:val="006D7877"/>
    <w:rsid w:val="006D7B71"/>
    <w:rsid w:val="006E01F3"/>
    <w:rsid w:val="006E023C"/>
    <w:rsid w:val="006E07A7"/>
    <w:rsid w:val="006E0AD7"/>
    <w:rsid w:val="006E0C37"/>
    <w:rsid w:val="006E0D0F"/>
    <w:rsid w:val="006E1331"/>
    <w:rsid w:val="006E18E1"/>
    <w:rsid w:val="006E1B19"/>
    <w:rsid w:val="006E1CE7"/>
    <w:rsid w:val="006E1D7A"/>
    <w:rsid w:val="006E23F3"/>
    <w:rsid w:val="006E277C"/>
    <w:rsid w:val="006E27F3"/>
    <w:rsid w:val="006E2D62"/>
    <w:rsid w:val="006E3496"/>
    <w:rsid w:val="006E34B7"/>
    <w:rsid w:val="006E3668"/>
    <w:rsid w:val="006E375E"/>
    <w:rsid w:val="006E3A2C"/>
    <w:rsid w:val="006E426C"/>
    <w:rsid w:val="006E4299"/>
    <w:rsid w:val="006E467D"/>
    <w:rsid w:val="006E46A7"/>
    <w:rsid w:val="006E4C3E"/>
    <w:rsid w:val="006E518B"/>
    <w:rsid w:val="006E5387"/>
    <w:rsid w:val="006E53FF"/>
    <w:rsid w:val="006E5897"/>
    <w:rsid w:val="006E5BDE"/>
    <w:rsid w:val="006E6DB7"/>
    <w:rsid w:val="006E7248"/>
    <w:rsid w:val="006E7383"/>
    <w:rsid w:val="006E7696"/>
    <w:rsid w:val="006E796E"/>
    <w:rsid w:val="006E7A69"/>
    <w:rsid w:val="006E7AD5"/>
    <w:rsid w:val="006E7BCA"/>
    <w:rsid w:val="006E7DB6"/>
    <w:rsid w:val="006F0DDD"/>
    <w:rsid w:val="006F0EEF"/>
    <w:rsid w:val="006F12C9"/>
    <w:rsid w:val="006F1692"/>
    <w:rsid w:val="006F1745"/>
    <w:rsid w:val="006F1933"/>
    <w:rsid w:val="006F1B9F"/>
    <w:rsid w:val="006F22BA"/>
    <w:rsid w:val="006F285F"/>
    <w:rsid w:val="006F293A"/>
    <w:rsid w:val="006F2948"/>
    <w:rsid w:val="006F2A5C"/>
    <w:rsid w:val="006F2F62"/>
    <w:rsid w:val="006F3119"/>
    <w:rsid w:val="006F38D2"/>
    <w:rsid w:val="006F3A9A"/>
    <w:rsid w:val="006F3ADA"/>
    <w:rsid w:val="006F3BC0"/>
    <w:rsid w:val="006F3BF1"/>
    <w:rsid w:val="006F3D9D"/>
    <w:rsid w:val="006F40EA"/>
    <w:rsid w:val="006F46DA"/>
    <w:rsid w:val="006F4CD6"/>
    <w:rsid w:val="006F4E34"/>
    <w:rsid w:val="006F507A"/>
    <w:rsid w:val="006F549F"/>
    <w:rsid w:val="006F5640"/>
    <w:rsid w:val="006F57A5"/>
    <w:rsid w:val="006F5993"/>
    <w:rsid w:val="006F5BDD"/>
    <w:rsid w:val="006F5C4E"/>
    <w:rsid w:val="006F6102"/>
    <w:rsid w:val="006F7592"/>
    <w:rsid w:val="006F76A8"/>
    <w:rsid w:val="006F7CDE"/>
    <w:rsid w:val="007001DC"/>
    <w:rsid w:val="00700588"/>
    <w:rsid w:val="00700A7D"/>
    <w:rsid w:val="00700D29"/>
    <w:rsid w:val="007011F2"/>
    <w:rsid w:val="00701357"/>
    <w:rsid w:val="00701455"/>
    <w:rsid w:val="00701584"/>
    <w:rsid w:val="007029B3"/>
    <w:rsid w:val="007029F4"/>
    <w:rsid w:val="00702E69"/>
    <w:rsid w:val="00702F30"/>
    <w:rsid w:val="00703306"/>
    <w:rsid w:val="007038FA"/>
    <w:rsid w:val="00703D58"/>
    <w:rsid w:val="007043F3"/>
    <w:rsid w:val="007047FB"/>
    <w:rsid w:val="007049CA"/>
    <w:rsid w:val="00704C4E"/>
    <w:rsid w:val="00704C98"/>
    <w:rsid w:val="00707056"/>
    <w:rsid w:val="0070740C"/>
    <w:rsid w:val="0070757A"/>
    <w:rsid w:val="007076B3"/>
    <w:rsid w:val="00707791"/>
    <w:rsid w:val="00707A28"/>
    <w:rsid w:val="00707DA7"/>
    <w:rsid w:val="00707DC9"/>
    <w:rsid w:val="00707E13"/>
    <w:rsid w:val="00710388"/>
    <w:rsid w:val="007103FC"/>
    <w:rsid w:val="007107F4"/>
    <w:rsid w:val="007109D3"/>
    <w:rsid w:val="00710A71"/>
    <w:rsid w:val="00711355"/>
    <w:rsid w:val="00711506"/>
    <w:rsid w:val="00711C0D"/>
    <w:rsid w:val="00711D41"/>
    <w:rsid w:val="00711E90"/>
    <w:rsid w:val="00712248"/>
    <w:rsid w:val="007123DA"/>
    <w:rsid w:val="007124D7"/>
    <w:rsid w:val="00712B18"/>
    <w:rsid w:val="00712EBA"/>
    <w:rsid w:val="00713278"/>
    <w:rsid w:val="00713998"/>
    <w:rsid w:val="00713DCF"/>
    <w:rsid w:val="0071452F"/>
    <w:rsid w:val="00714927"/>
    <w:rsid w:val="007149E6"/>
    <w:rsid w:val="00714BB4"/>
    <w:rsid w:val="007154B5"/>
    <w:rsid w:val="007157FD"/>
    <w:rsid w:val="00715BEB"/>
    <w:rsid w:val="00715C3E"/>
    <w:rsid w:val="00716085"/>
    <w:rsid w:val="007167DF"/>
    <w:rsid w:val="00716ABB"/>
    <w:rsid w:val="00716B55"/>
    <w:rsid w:val="00716D1A"/>
    <w:rsid w:val="00716E1E"/>
    <w:rsid w:val="007170BA"/>
    <w:rsid w:val="0071795F"/>
    <w:rsid w:val="00717A29"/>
    <w:rsid w:val="00717BD6"/>
    <w:rsid w:val="00717EF6"/>
    <w:rsid w:val="00717FE0"/>
    <w:rsid w:val="007203D3"/>
    <w:rsid w:val="00720BE4"/>
    <w:rsid w:val="0072195E"/>
    <w:rsid w:val="00723FF0"/>
    <w:rsid w:val="0072413F"/>
    <w:rsid w:val="00724B45"/>
    <w:rsid w:val="00724BB1"/>
    <w:rsid w:val="00724E92"/>
    <w:rsid w:val="0072508C"/>
    <w:rsid w:val="0072530A"/>
    <w:rsid w:val="007253CD"/>
    <w:rsid w:val="007258D5"/>
    <w:rsid w:val="00725F24"/>
    <w:rsid w:val="007260B4"/>
    <w:rsid w:val="007263D8"/>
    <w:rsid w:val="0072663A"/>
    <w:rsid w:val="0072758D"/>
    <w:rsid w:val="00727686"/>
    <w:rsid w:val="00727AC5"/>
    <w:rsid w:val="00727D13"/>
    <w:rsid w:val="0073003E"/>
    <w:rsid w:val="0073040B"/>
    <w:rsid w:val="007306B7"/>
    <w:rsid w:val="00730B6E"/>
    <w:rsid w:val="00731351"/>
    <w:rsid w:val="007313C6"/>
    <w:rsid w:val="00731B8F"/>
    <w:rsid w:val="007325C9"/>
    <w:rsid w:val="00732611"/>
    <w:rsid w:val="0073303F"/>
    <w:rsid w:val="00733260"/>
    <w:rsid w:val="007332CB"/>
    <w:rsid w:val="007336AC"/>
    <w:rsid w:val="0073395B"/>
    <w:rsid w:val="00733CB1"/>
    <w:rsid w:val="0073401F"/>
    <w:rsid w:val="0073487A"/>
    <w:rsid w:val="00734A98"/>
    <w:rsid w:val="00734F54"/>
    <w:rsid w:val="00734F6D"/>
    <w:rsid w:val="00735C63"/>
    <w:rsid w:val="00735FE0"/>
    <w:rsid w:val="00736952"/>
    <w:rsid w:val="00736EED"/>
    <w:rsid w:val="007375D4"/>
    <w:rsid w:val="00737641"/>
    <w:rsid w:val="00737D66"/>
    <w:rsid w:val="00740142"/>
    <w:rsid w:val="007402E6"/>
    <w:rsid w:val="00740AF8"/>
    <w:rsid w:val="00740B62"/>
    <w:rsid w:val="00740C6D"/>
    <w:rsid w:val="00740F20"/>
    <w:rsid w:val="00740FCB"/>
    <w:rsid w:val="0074169F"/>
    <w:rsid w:val="00741C50"/>
    <w:rsid w:val="007421C4"/>
    <w:rsid w:val="007422FE"/>
    <w:rsid w:val="0074258C"/>
    <w:rsid w:val="00742B9B"/>
    <w:rsid w:val="00743205"/>
    <w:rsid w:val="00743B47"/>
    <w:rsid w:val="00743EEB"/>
    <w:rsid w:val="007442A2"/>
    <w:rsid w:val="007443EE"/>
    <w:rsid w:val="007452FB"/>
    <w:rsid w:val="0074599D"/>
    <w:rsid w:val="00746734"/>
    <w:rsid w:val="00746A11"/>
    <w:rsid w:val="00746A40"/>
    <w:rsid w:val="007474F0"/>
    <w:rsid w:val="00747503"/>
    <w:rsid w:val="00747C1F"/>
    <w:rsid w:val="00747FBC"/>
    <w:rsid w:val="007501FC"/>
    <w:rsid w:val="00750719"/>
    <w:rsid w:val="00750757"/>
    <w:rsid w:val="00750777"/>
    <w:rsid w:val="00750EE0"/>
    <w:rsid w:val="0075195C"/>
    <w:rsid w:val="00751E8E"/>
    <w:rsid w:val="00751F30"/>
    <w:rsid w:val="0075209E"/>
    <w:rsid w:val="007523E2"/>
    <w:rsid w:val="00752434"/>
    <w:rsid w:val="00752640"/>
    <w:rsid w:val="00752ECD"/>
    <w:rsid w:val="007538E5"/>
    <w:rsid w:val="00753E1C"/>
    <w:rsid w:val="0075436E"/>
    <w:rsid w:val="0075487C"/>
    <w:rsid w:val="00754ABC"/>
    <w:rsid w:val="00754C7F"/>
    <w:rsid w:val="00754FC7"/>
    <w:rsid w:val="00755BFE"/>
    <w:rsid w:val="007562DF"/>
    <w:rsid w:val="007566CE"/>
    <w:rsid w:val="0075694A"/>
    <w:rsid w:val="00756988"/>
    <w:rsid w:val="007569B6"/>
    <w:rsid w:val="00756A84"/>
    <w:rsid w:val="00756D7B"/>
    <w:rsid w:val="00757325"/>
    <w:rsid w:val="00757429"/>
    <w:rsid w:val="007574B0"/>
    <w:rsid w:val="00757642"/>
    <w:rsid w:val="00757AE5"/>
    <w:rsid w:val="00757C12"/>
    <w:rsid w:val="00760C18"/>
    <w:rsid w:val="00760C8A"/>
    <w:rsid w:val="00760FE8"/>
    <w:rsid w:val="00761035"/>
    <w:rsid w:val="007614CA"/>
    <w:rsid w:val="0076199E"/>
    <w:rsid w:val="007625DC"/>
    <w:rsid w:val="007627AE"/>
    <w:rsid w:val="007628A0"/>
    <w:rsid w:val="007628F6"/>
    <w:rsid w:val="00762E27"/>
    <w:rsid w:val="00762F97"/>
    <w:rsid w:val="00762FA9"/>
    <w:rsid w:val="00763734"/>
    <w:rsid w:val="007637E3"/>
    <w:rsid w:val="00763EEB"/>
    <w:rsid w:val="0076439F"/>
    <w:rsid w:val="00764BBB"/>
    <w:rsid w:val="00764D09"/>
    <w:rsid w:val="00765347"/>
    <w:rsid w:val="007656F4"/>
    <w:rsid w:val="00765868"/>
    <w:rsid w:val="00765D2A"/>
    <w:rsid w:val="00766237"/>
    <w:rsid w:val="00766C3B"/>
    <w:rsid w:val="00766E44"/>
    <w:rsid w:val="0076701F"/>
    <w:rsid w:val="007675E8"/>
    <w:rsid w:val="007676F3"/>
    <w:rsid w:val="00767BC4"/>
    <w:rsid w:val="0077002C"/>
    <w:rsid w:val="007704F4"/>
    <w:rsid w:val="007706A2"/>
    <w:rsid w:val="00770AA5"/>
    <w:rsid w:val="00770B0E"/>
    <w:rsid w:val="00770E43"/>
    <w:rsid w:val="00771228"/>
    <w:rsid w:val="007718D6"/>
    <w:rsid w:val="00771B9F"/>
    <w:rsid w:val="00772197"/>
    <w:rsid w:val="00772237"/>
    <w:rsid w:val="007723BF"/>
    <w:rsid w:val="00772CAA"/>
    <w:rsid w:val="00772F92"/>
    <w:rsid w:val="007737D9"/>
    <w:rsid w:val="00773BF2"/>
    <w:rsid w:val="00773DB6"/>
    <w:rsid w:val="00773F61"/>
    <w:rsid w:val="00774A9F"/>
    <w:rsid w:val="00775146"/>
    <w:rsid w:val="00775435"/>
    <w:rsid w:val="00775658"/>
    <w:rsid w:val="0077565E"/>
    <w:rsid w:val="00775EB9"/>
    <w:rsid w:val="007769BF"/>
    <w:rsid w:val="00777580"/>
    <w:rsid w:val="007775FB"/>
    <w:rsid w:val="00777628"/>
    <w:rsid w:val="0077787A"/>
    <w:rsid w:val="00777F12"/>
    <w:rsid w:val="007804CA"/>
    <w:rsid w:val="00780771"/>
    <w:rsid w:val="007808EF"/>
    <w:rsid w:val="0078098F"/>
    <w:rsid w:val="00781218"/>
    <w:rsid w:val="00781D87"/>
    <w:rsid w:val="00781F54"/>
    <w:rsid w:val="00782499"/>
    <w:rsid w:val="00782887"/>
    <w:rsid w:val="00782D46"/>
    <w:rsid w:val="00783382"/>
    <w:rsid w:val="0078377C"/>
    <w:rsid w:val="0078388C"/>
    <w:rsid w:val="00783952"/>
    <w:rsid w:val="00783B9A"/>
    <w:rsid w:val="00783BFA"/>
    <w:rsid w:val="00784895"/>
    <w:rsid w:val="00784A49"/>
    <w:rsid w:val="00785548"/>
    <w:rsid w:val="00785839"/>
    <w:rsid w:val="00785A01"/>
    <w:rsid w:val="00785C81"/>
    <w:rsid w:val="00785EBE"/>
    <w:rsid w:val="00786030"/>
    <w:rsid w:val="007861A6"/>
    <w:rsid w:val="00786361"/>
    <w:rsid w:val="0078648E"/>
    <w:rsid w:val="00786C03"/>
    <w:rsid w:val="00786ECB"/>
    <w:rsid w:val="00787085"/>
    <w:rsid w:val="0078741A"/>
    <w:rsid w:val="00787949"/>
    <w:rsid w:val="00787A98"/>
    <w:rsid w:val="00787C4F"/>
    <w:rsid w:val="0079082B"/>
    <w:rsid w:val="00790A6D"/>
    <w:rsid w:val="00790B37"/>
    <w:rsid w:val="00790D9F"/>
    <w:rsid w:val="00790EDB"/>
    <w:rsid w:val="00791278"/>
    <w:rsid w:val="0079199E"/>
    <w:rsid w:val="007919D2"/>
    <w:rsid w:val="00791A13"/>
    <w:rsid w:val="00791A9F"/>
    <w:rsid w:val="00791CBE"/>
    <w:rsid w:val="00791F24"/>
    <w:rsid w:val="00792321"/>
    <w:rsid w:val="0079271D"/>
    <w:rsid w:val="00793083"/>
    <w:rsid w:val="0079402E"/>
    <w:rsid w:val="007942A3"/>
    <w:rsid w:val="007944B4"/>
    <w:rsid w:val="007949F2"/>
    <w:rsid w:val="00794C0D"/>
    <w:rsid w:val="00794E30"/>
    <w:rsid w:val="00795174"/>
    <w:rsid w:val="007951A7"/>
    <w:rsid w:val="007955E0"/>
    <w:rsid w:val="0079576C"/>
    <w:rsid w:val="0079596F"/>
    <w:rsid w:val="00795998"/>
    <w:rsid w:val="00795AD0"/>
    <w:rsid w:val="00795B4A"/>
    <w:rsid w:val="00795F80"/>
    <w:rsid w:val="007960FF"/>
    <w:rsid w:val="00796A91"/>
    <w:rsid w:val="00796C87"/>
    <w:rsid w:val="00797A9A"/>
    <w:rsid w:val="00797FF8"/>
    <w:rsid w:val="007A023D"/>
    <w:rsid w:val="007A0271"/>
    <w:rsid w:val="007A04B2"/>
    <w:rsid w:val="007A1868"/>
    <w:rsid w:val="007A1F97"/>
    <w:rsid w:val="007A2280"/>
    <w:rsid w:val="007A2DF7"/>
    <w:rsid w:val="007A37CA"/>
    <w:rsid w:val="007A3C1F"/>
    <w:rsid w:val="007A3C96"/>
    <w:rsid w:val="007A43B7"/>
    <w:rsid w:val="007A43BB"/>
    <w:rsid w:val="007A4EBD"/>
    <w:rsid w:val="007A530F"/>
    <w:rsid w:val="007A5762"/>
    <w:rsid w:val="007A5926"/>
    <w:rsid w:val="007A5A0D"/>
    <w:rsid w:val="007A5A7A"/>
    <w:rsid w:val="007A5E91"/>
    <w:rsid w:val="007A6936"/>
    <w:rsid w:val="007A6F37"/>
    <w:rsid w:val="007A7358"/>
    <w:rsid w:val="007A742D"/>
    <w:rsid w:val="007A7BFC"/>
    <w:rsid w:val="007A7EDB"/>
    <w:rsid w:val="007B0154"/>
    <w:rsid w:val="007B0569"/>
    <w:rsid w:val="007B0653"/>
    <w:rsid w:val="007B0C0E"/>
    <w:rsid w:val="007B112B"/>
    <w:rsid w:val="007B1AD4"/>
    <w:rsid w:val="007B1C2E"/>
    <w:rsid w:val="007B1D64"/>
    <w:rsid w:val="007B223A"/>
    <w:rsid w:val="007B2302"/>
    <w:rsid w:val="007B2882"/>
    <w:rsid w:val="007B2D52"/>
    <w:rsid w:val="007B2EDB"/>
    <w:rsid w:val="007B312D"/>
    <w:rsid w:val="007B315C"/>
    <w:rsid w:val="007B332B"/>
    <w:rsid w:val="007B35BF"/>
    <w:rsid w:val="007B3608"/>
    <w:rsid w:val="007B3C35"/>
    <w:rsid w:val="007B43D6"/>
    <w:rsid w:val="007B468B"/>
    <w:rsid w:val="007B4714"/>
    <w:rsid w:val="007B5665"/>
    <w:rsid w:val="007B5B26"/>
    <w:rsid w:val="007B65F8"/>
    <w:rsid w:val="007B7742"/>
    <w:rsid w:val="007B781A"/>
    <w:rsid w:val="007B793C"/>
    <w:rsid w:val="007B795E"/>
    <w:rsid w:val="007B7C14"/>
    <w:rsid w:val="007C094D"/>
    <w:rsid w:val="007C0BF7"/>
    <w:rsid w:val="007C0E15"/>
    <w:rsid w:val="007C1217"/>
    <w:rsid w:val="007C15AB"/>
    <w:rsid w:val="007C1938"/>
    <w:rsid w:val="007C1FF6"/>
    <w:rsid w:val="007C26A4"/>
    <w:rsid w:val="007C2C7B"/>
    <w:rsid w:val="007C38F5"/>
    <w:rsid w:val="007C4559"/>
    <w:rsid w:val="007C4688"/>
    <w:rsid w:val="007C527C"/>
    <w:rsid w:val="007C55B6"/>
    <w:rsid w:val="007C55E6"/>
    <w:rsid w:val="007C58BB"/>
    <w:rsid w:val="007C63E0"/>
    <w:rsid w:val="007C661A"/>
    <w:rsid w:val="007C6CDB"/>
    <w:rsid w:val="007C7654"/>
    <w:rsid w:val="007C7900"/>
    <w:rsid w:val="007D0201"/>
    <w:rsid w:val="007D07AE"/>
    <w:rsid w:val="007D0DC8"/>
    <w:rsid w:val="007D0FB3"/>
    <w:rsid w:val="007D1077"/>
    <w:rsid w:val="007D11FC"/>
    <w:rsid w:val="007D170F"/>
    <w:rsid w:val="007D1917"/>
    <w:rsid w:val="007D1E5E"/>
    <w:rsid w:val="007D1ED6"/>
    <w:rsid w:val="007D2187"/>
    <w:rsid w:val="007D2425"/>
    <w:rsid w:val="007D2BD4"/>
    <w:rsid w:val="007D2DCB"/>
    <w:rsid w:val="007D36D5"/>
    <w:rsid w:val="007D39CB"/>
    <w:rsid w:val="007D3C5B"/>
    <w:rsid w:val="007D3D95"/>
    <w:rsid w:val="007D3E8D"/>
    <w:rsid w:val="007D401E"/>
    <w:rsid w:val="007D4DEB"/>
    <w:rsid w:val="007D52EC"/>
    <w:rsid w:val="007D556B"/>
    <w:rsid w:val="007D5731"/>
    <w:rsid w:val="007D5838"/>
    <w:rsid w:val="007D61B8"/>
    <w:rsid w:val="007D63A0"/>
    <w:rsid w:val="007D672F"/>
    <w:rsid w:val="007D6F01"/>
    <w:rsid w:val="007D700C"/>
    <w:rsid w:val="007D7259"/>
    <w:rsid w:val="007D7495"/>
    <w:rsid w:val="007D74F5"/>
    <w:rsid w:val="007D7A59"/>
    <w:rsid w:val="007D7B84"/>
    <w:rsid w:val="007E0B0A"/>
    <w:rsid w:val="007E125E"/>
    <w:rsid w:val="007E12FA"/>
    <w:rsid w:val="007E1382"/>
    <w:rsid w:val="007E1456"/>
    <w:rsid w:val="007E18D3"/>
    <w:rsid w:val="007E1CC6"/>
    <w:rsid w:val="007E1FE1"/>
    <w:rsid w:val="007E21DE"/>
    <w:rsid w:val="007E2222"/>
    <w:rsid w:val="007E2AD2"/>
    <w:rsid w:val="007E2C1C"/>
    <w:rsid w:val="007E3086"/>
    <w:rsid w:val="007E4415"/>
    <w:rsid w:val="007E45F1"/>
    <w:rsid w:val="007E4986"/>
    <w:rsid w:val="007E49C9"/>
    <w:rsid w:val="007E4A2E"/>
    <w:rsid w:val="007E4B42"/>
    <w:rsid w:val="007E542F"/>
    <w:rsid w:val="007E57C5"/>
    <w:rsid w:val="007E582B"/>
    <w:rsid w:val="007E5FF9"/>
    <w:rsid w:val="007E63EF"/>
    <w:rsid w:val="007E6C2A"/>
    <w:rsid w:val="007E7098"/>
    <w:rsid w:val="007E75AF"/>
    <w:rsid w:val="007E76F4"/>
    <w:rsid w:val="007E7C7C"/>
    <w:rsid w:val="007F008B"/>
    <w:rsid w:val="007F00AB"/>
    <w:rsid w:val="007F0239"/>
    <w:rsid w:val="007F02FD"/>
    <w:rsid w:val="007F0CEA"/>
    <w:rsid w:val="007F11DE"/>
    <w:rsid w:val="007F14FA"/>
    <w:rsid w:val="007F1BC5"/>
    <w:rsid w:val="007F23B5"/>
    <w:rsid w:val="007F27DC"/>
    <w:rsid w:val="007F2978"/>
    <w:rsid w:val="007F2BF8"/>
    <w:rsid w:val="007F343D"/>
    <w:rsid w:val="007F3575"/>
    <w:rsid w:val="007F3612"/>
    <w:rsid w:val="007F40F4"/>
    <w:rsid w:val="007F441B"/>
    <w:rsid w:val="007F49CE"/>
    <w:rsid w:val="007F5074"/>
    <w:rsid w:val="007F562B"/>
    <w:rsid w:val="007F6110"/>
    <w:rsid w:val="007F6A01"/>
    <w:rsid w:val="007F6A8B"/>
    <w:rsid w:val="007F70EB"/>
    <w:rsid w:val="007F7E20"/>
    <w:rsid w:val="007F7FF2"/>
    <w:rsid w:val="00800485"/>
    <w:rsid w:val="00800651"/>
    <w:rsid w:val="00800BA5"/>
    <w:rsid w:val="00800BBA"/>
    <w:rsid w:val="00801452"/>
    <w:rsid w:val="00801942"/>
    <w:rsid w:val="008022A5"/>
    <w:rsid w:val="0080246C"/>
    <w:rsid w:val="00802681"/>
    <w:rsid w:val="008028A6"/>
    <w:rsid w:val="00803038"/>
    <w:rsid w:val="00803176"/>
    <w:rsid w:val="008036D9"/>
    <w:rsid w:val="00803C38"/>
    <w:rsid w:val="00803DE4"/>
    <w:rsid w:val="008041F2"/>
    <w:rsid w:val="0080422D"/>
    <w:rsid w:val="00804844"/>
    <w:rsid w:val="008049D5"/>
    <w:rsid w:val="00805B42"/>
    <w:rsid w:val="008063EA"/>
    <w:rsid w:val="008066D2"/>
    <w:rsid w:val="008067AB"/>
    <w:rsid w:val="00806D1E"/>
    <w:rsid w:val="00806D6A"/>
    <w:rsid w:val="0080701F"/>
    <w:rsid w:val="008070FE"/>
    <w:rsid w:val="008102AD"/>
    <w:rsid w:val="00810AD2"/>
    <w:rsid w:val="00810BB2"/>
    <w:rsid w:val="00810BCE"/>
    <w:rsid w:val="00810BFD"/>
    <w:rsid w:val="00810C11"/>
    <w:rsid w:val="00810EA8"/>
    <w:rsid w:val="00810FC4"/>
    <w:rsid w:val="008115C5"/>
    <w:rsid w:val="008115E1"/>
    <w:rsid w:val="008121A2"/>
    <w:rsid w:val="00812DC0"/>
    <w:rsid w:val="008131F7"/>
    <w:rsid w:val="00813591"/>
    <w:rsid w:val="0081396D"/>
    <w:rsid w:val="00813FF7"/>
    <w:rsid w:val="0081426A"/>
    <w:rsid w:val="008143EA"/>
    <w:rsid w:val="00814695"/>
    <w:rsid w:val="008149C7"/>
    <w:rsid w:val="00814D60"/>
    <w:rsid w:val="00815CFD"/>
    <w:rsid w:val="008160C5"/>
    <w:rsid w:val="008163DD"/>
    <w:rsid w:val="008166FA"/>
    <w:rsid w:val="008167D3"/>
    <w:rsid w:val="00816CC8"/>
    <w:rsid w:val="00816F46"/>
    <w:rsid w:val="00816FA8"/>
    <w:rsid w:val="008170DE"/>
    <w:rsid w:val="00817C87"/>
    <w:rsid w:val="00817E45"/>
    <w:rsid w:val="00820078"/>
    <w:rsid w:val="0082018D"/>
    <w:rsid w:val="00820F97"/>
    <w:rsid w:val="0082116C"/>
    <w:rsid w:val="008214BC"/>
    <w:rsid w:val="0082177A"/>
    <w:rsid w:val="008227EE"/>
    <w:rsid w:val="0082289F"/>
    <w:rsid w:val="00822FD9"/>
    <w:rsid w:val="0082314D"/>
    <w:rsid w:val="00823934"/>
    <w:rsid w:val="00823E85"/>
    <w:rsid w:val="008241C4"/>
    <w:rsid w:val="00824240"/>
    <w:rsid w:val="00824346"/>
    <w:rsid w:val="008243A5"/>
    <w:rsid w:val="00824E58"/>
    <w:rsid w:val="00824EB3"/>
    <w:rsid w:val="008265F2"/>
    <w:rsid w:val="008267B4"/>
    <w:rsid w:val="0082712D"/>
    <w:rsid w:val="0082741B"/>
    <w:rsid w:val="00827574"/>
    <w:rsid w:val="00827AF6"/>
    <w:rsid w:val="00827C01"/>
    <w:rsid w:val="00827D69"/>
    <w:rsid w:val="00827DC7"/>
    <w:rsid w:val="00830286"/>
    <w:rsid w:val="00830442"/>
    <w:rsid w:val="00830AE3"/>
    <w:rsid w:val="00830CE3"/>
    <w:rsid w:val="00830E9C"/>
    <w:rsid w:val="00831066"/>
    <w:rsid w:val="00831808"/>
    <w:rsid w:val="00831817"/>
    <w:rsid w:val="00831BF2"/>
    <w:rsid w:val="00832260"/>
    <w:rsid w:val="00832440"/>
    <w:rsid w:val="0083274D"/>
    <w:rsid w:val="0083314E"/>
    <w:rsid w:val="008336E9"/>
    <w:rsid w:val="0083450F"/>
    <w:rsid w:val="0083467F"/>
    <w:rsid w:val="00834AE5"/>
    <w:rsid w:val="00835DF7"/>
    <w:rsid w:val="00836132"/>
    <w:rsid w:val="00836CC7"/>
    <w:rsid w:val="00837208"/>
    <w:rsid w:val="00837D04"/>
    <w:rsid w:val="0084063C"/>
    <w:rsid w:val="00840E0D"/>
    <w:rsid w:val="00841158"/>
    <w:rsid w:val="00841216"/>
    <w:rsid w:val="0084129F"/>
    <w:rsid w:val="00841859"/>
    <w:rsid w:val="00841C8D"/>
    <w:rsid w:val="00841E44"/>
    <w:rsid w:val="00842656"/>
    <w:rsid w:val="00842B59"/>
    <w:rsid w:val="00843376"/>
    <w:rsid w:val="00843B73"/>
    <w:rsid w:val="008440A5"/>
    <w:rsid w:val="008440C8"/>
    <w:rsid w:val="00844124"/>
    <w:rsid w:val="00844376"/>
    <w:rsid w:val="00844501"/>
    <w:rsid w:val="00844758"/>
    <w:rsid w:val="00844A14"/>
    <w:rsid w:val="00844D2D"/>
    <w:rsid w:val="00844DAF"/>
    <w:rsid w:val="00845053"/>
    <w:rsid w:val="008453C5"/>
    <w:rsid w:val="008453E4"/>
    <w:rsid w:val="0084587B"/>
    <w:rsid w:val="00845915"/>
    <w:rsid w:val="0084691E"/>
    <w:rsid w:val="00846D69"/>
    <w:rsid w:val="00846F8C"/>
    <w:rsid w:val="008474B2"/>
    <w:rsid w:val="00847A32"/>
    <w:rsid w:val="00847B5D"/>
    <w:rsid w:val="00847D03"/>
    <w:rsid w:val="00850505"/>
    <w:rsid w:val="0085083F"/>
    <w:rsid w:val="0085093C"/>
    <w:rsid w:val="00850C5A"/>
    <w:rsid w:val="0085114A"/>
    <w:rsid w:val="008511A1"/>
    <w:rsid w:val="0085169C"/>
    <w:rsid w:val="0085183E"/>
    <w:rsid w:val="00851B5A"/>
    <w:rsid w:val="00851D6C"/>
    <w:rsid w:val="00851F03"/>
    <w:rsid w:val="00851F09"/>
    <w:rsid w:val="00851FA2"/>
    <w:rsid w:val="008520F7"/>
    <w:rsid w:val="00852576"/>
    <w:rsid w:val="00852DF1"/>
    <w:rsid w:val="00852E6B"/>
    <w:rsid w:val="00853463"/>
    <w:rsid w:val="008538F8"/>
    <w:rsid w:val="008539CB"/>
    <w:rsid w:val="00853A2E"/>
    <w:rsid w:val="00854016"/>
    <w:rsid w:val="0085409D"/>
    <w:rsid w:val="0085415E"/>
    <w:rsid w:val="008541B9"/>
    <w:rsid w:val="00854938"/>
    <w:rsid w:val="00854B61"/>
    <w:rsid w:val="0085532B"/>
    <w:rsid w:val="00855374"/>
    <w:rsid w:val="008555D4"/>
    <w:rsid w:val="008557BC"/>
    <w:rsid w:val="00855CFF"/>
    <w:rsid w:val="00856D5E"/>
    <w:rsid w:val="00857383"/>
    <w:rsid w:val="00857385"/>
    <w:rsid w:val="0085740C"/>
    <w:rsid w:val="00857436"/>
    <w:rsid w:val="0085778D"/>
    <w:rsid w:val="00857B4B"/>
    <w:rsid w:val="0086044B"/>
    <w:rsid w:val="00860475"/>
    <w:rsid w:val="0086059E"/>
    <w:rsid w:val="00860904"/>
    <w:rsid w:val="00860C61"/>
    <w:rsid w:val="008611A5"/>
    <w:rsid w:val="0086164A"/>
    <w:rsid w:val="00861A3F"/>
    <w:rsid w:val="00861DCB"/>
    <w:rsid w:val="008620A5"/>
    <w:rsid w:val="00862512"/>
    <w:rsid w:val="008628CF"/>
    <w:rsid w:val="0086296B"/>
    <w:rsid w:val="00862ADD"/>
    <w:rsid w:val="00862BF3"/>
    <w:rsid w:val="00862E8B"/>
    <w:rsid w:val="0086326C"/>
    <w:rsid w:val="00863460"/>
    <w:rsid w:val="008639C0"/>
    <w:rsid w:val="00863FAA"/>
    <w:rsid w:val="0086459B"/>
    <w:rsid w:val="00864C73"/>
    <w:rsid w:val="0086530E"/>
    <w:rsid w:val="0086560B"/>
    <w:rsid w:val="00865AA6"/>
    <w:rsid w:val="00865B03"/>
    <w:rsid w:val="00865F07"/>
    <w:rsid w:val="00866892"/>
    <w:rsid w:val="00866A55"/>
    <w:rsid w:val="00866C45"/>
    <w:rsid w:val="00866C60"/>
    <w:rsid w:val="00866FA2"/>
    <w:rsid w:val="00867BBA"/>
    <w:rsid w:val="00867E5B"/>
    <w:rsid w:val="00867FC1"/>
    <w:rsid w:val="00867FC5"/>
    <w:rsid w:val="00870222"/>
    <w:rsid w:val="008703BD"/>
    <w:rsid w:val="008718C1"/>
    <w:rsid w:val="00871903"/>
    <w:rsid w:val="00871973"/>
    <w:rsid w:val="00871D33"/>
    <w:rsid w:val="0087200D"/>
    <w:rsid w:val="00873347"/>
    <w:rsid w:val="0087365A"/>
    <w:rsid w:val="00873B53"/>
    <w:rsid w:val="00873D6B"/>
    <w:rsid w:val="00874431"/>
    <w:rsid w:val="00874748"/>
    <w:rsid w:val="008749FB"/>
    <w:rsid w:val="00874E1D"/>
    <w:rsid w:val="00875041"/>
    <w:rsid w:val="008757D9"/>
    <w:rsid w:val="00875939"/>
    <w:rsid w:val="00876540"/>
    <w:rsid w:val="008766D4"/>
    <w:rsid w:val="00876706"/>
    <w:rsid w:val="00876DE0"/>
    <w:rsid w:val="00877B0F"/>
    <w:rsid w:val="008802EC"/>
    <w:rsid w:val="008802F6"/>
    <w:rsid w:val="00880595"/>
    <w:rsid w:val="008805E0"/>
    <w:rsid w:val="00880AE9"/>
    <w:rsid w:val="00880F9F"/>
    <w:rsid w:val="0088149F"/>
    <w:rsid w:val="00881AFB"/>
    <w:rsid w:val="00882206"/>
    <w:rsid w:val="00882F0A"/>
    <w:rsid w:val="00882F48"/>
    <w:rsid w:val="008830BB"/>
    <w:rsid w:val="00883980"/>
    <w:rsid w:val="008841A7"/>
    <w:rsid w:val="0088434F"/>
    <w:rsid w:val="0088497D"/>
    <w:rsid w:val="00885295"/>
    <w:rsid w:val="00885687"/>
    <w:rsid w:val="008858E9"/>
    <w:rsid w:val="00885B2B"/>
    <w:rsid w:val="00885CF9"/>
    <w:rsid w:val="00885FC7"/>
    <w:rsid w:val="008860AF"/>
    <w:rsid w:val="008862B9"/>
    <w:rsid w:val="008863D1"/>
    <w:rsid w:val="0088653A"/>
    <w:rsid w:val="0088666E"/>
    <w:rsid w:val="008868B6"/>
    <w:rsid w:val="0088694B"/>
    <w:rsid w:val="00886D9C"/>
    <w:rsid w:val="00887110"/>
    <w:rsid w:val="00887388"/>
    <w:rsid w:val="008873CA"/>
    <w:rsid w:val="008874F4"/>
    <w:rsid w:val="008875B4"/>
    <w:rsid w:val="00887F3D"/>
    <w:rsid w:val="00890348"/>
    <w:rsid w:val="00890502"/>
    <w:rsid w:val="00890549"/>
    <w:rsid w:val="008912A4"/>
    <w:rsid w:val="00891C69"/>
    <w:rsid w:val="00891C74"/>
    <w:rsid w:val="00891ECE"/>
    <w:rsid w:val="008920FC"/>
    <w:rsid w:val="00892793"/>
    <w:rsid w:val="00892943"/>
    <w:rsid w:val="00892A50"/>
    <w:rsid w:val="00892D4C"/>
    <w:rsid w:val="00893522"/>
    <w:rsid w:val="00893EA0"/>
    <w:rsid w:val="008944A0"/>
    <w:rsid w:val="008944A3"/>
    <w:rsid w:val="0089452F"/>
    <w:rsid w:val="008945A4"/>
    <w:rsid w:val="008946DE"/>
    <w:rsid w:val="0089472D"/>
    <w:rsid w:val="00894891"/>
    <w:rsid w:val="008948FF"/>
    <w:rsid w:val="00894D9C"/>
    <w:rsid w:val="0089500B"/>
    <w:rsid w:val="00895509"/>
    <w:rsid w:val="008958D1"/>
    <w:rsid w:val="00895AEB"/>
    <w:rsid w:val="008967D2"/>
    <w:rsid w:val="00896F09"/>
    <w:rsid w:val="0089704C"/>
    <w:rsid w:val="008976CD"/>
    <w:rsid w:val="0089776A"/>
    <w:rsid w:val="008979D5"/>
    <w:rsid w:val="00897F43"/>
    <w:rsid w:val="00897F94"/>
    <w:rsid w:val="008A0014"/>
    <w:rsid w:val="008A031A"/>
    <w:rsid w:val="008A0584"/>
    <w:rsid w:val="008A06AA"/>
    <w:rsid w:val="008A06D6"/>
    <w:rsid w:val="008A0D89"/>
    <w:rsid w:val="008A117B"/>
    <w:rsid w:val="008A121D"/>
    <w:rsid w:val="008A1EA0"/>
    <w:rsid w:val="008A289B"/>
    <w:rsid w:val="008A29DE"/>
    <w:rsid w:val="008A2E9C"/>
    <w:rsid w:val="008A30E2"/>
    <w:rsid w:val="008A321C"/>
    <w:rsid w:val="008A3271"/>
    <w:rsid w:val="008A3459"/>
    <w:rsid w:val="008A38BB"/>
    <w:rsid w:val="008A39ED"/>
    <w:rsid w:val="008A3B6E"/>
    <w:rsid w:val="008A4584"/>
    <w:rsid w:val="008A47DB"/>
    <w:rsid w:val="008A4DDE"/>
    <w:rsid w:val="008A4E24"/>
    <w:rsid w:val="008A5D6E"/>
    <w:rsid w:val="008A5FCD"/>
    <w:rsid w:val="008A6174"/>
    <w:rsid w:val="008A6256"/>
    <w:rsid w:val="008A67C6"/>
    <w:rsid w:val="008A6991"/>
    <w:rsid w:val="008A6AFB"/>
    <w:rsid w:val="008A6C8B"/>
    <w:rsid w:val="008A731B"/>
    <w:rsid w:val="008A73FD"/>
    <w:rsid w:val="008A76FF"/>
    <w:rsid w:val="008A7712"/>
    <w:rsid w:val="008B020F"/>
    <w:rsid w:val="008B031F"/>
    <w:rsid w:val="008B03FA"/>
    <w:rsid w:val="008B049C"/>
    <w:rsid w:val="008B1339"/>
    <w:rsid w:val="008B15AF"/>
    <w:rsid w:val="008B16BA"/>
    <w:rsid w:val="008B1E74"/>
    <w:rsid w:val="008B20F4"/>
    <w:rsid w:val="008B27D5"/>
    <w:rsid w:val="008B2F9D"/>
    <w:rsid w:val="008B37E3"/>
    <w:rsid w:val="008B3880"/>
    <w:rsid w:val="008B3B86"/>
    <w:rsid w:val="008B43ED"/>
    <w:rsid w:val="008B4BC4"/>
    <w:rsid w:val="008B50D9"/>
    <w:rsid w:val="008B5266"/>
    <w:rsid w:val="008B5325"/>
    <w:rsid w:val="008B5327"/>
    <w:rsid w:val="008B545B"/>
    <w:rsid w:val="008B579C"/>
    <w:rsid w:val="008B5EEC"/>
    <w:rsid w:val="008B6462"/>
    <w:rsid w:val="008B6A44"/>
    <w:rsid w:val="008B6C4D"/>
    <w:rsid w:val="008B7857"/>
    <w:rsid w:val="008B7CD4"/>
    <w:rsid w:val="008C00CA"/>
    <w:rsid w:val="008C033C"/>
    <w:rsid w:val="008C037E"/>
    <w:rsid w:val="008C060B"/>
    <w:rsid w:val="008C0B5C"/>
    <w:rsid w:val="008C1240"/>
    <w:rsid w:val="008C1538"/>
    <w:rsid w:val="008C15CE"/>
    <w:rsid w:val="008C2C7E"/>
    <w:rsid w:val="008C3091"/>
    <w:rsid w:val="008C36A6"/>
    <w:rsid w:val="008C4138"/>
    <w:rsid w:val="008C4994"/>
    <w:rsid w:val="008C4F82"/>
    <w:rsid w:val="008C52E0"/>
    <w:rsid w:val="008C55BB"/>
    <w:rsid w:val="008C5662"/>
    <w:rsid w:val="008C598D"/>
    <w:rsid w:val="008C6435"/>
    <w:rsid w:val="008C646C"/>
    <w:rsid w:val="008C68FE"/>
    <w:rsid w:val="008C69CC"/>
    <w:rsid w:val="008C6DD9"/>
    <w:rsid w:val="008C6E40"/>
    <w:rsid w:val="008C752B"/>
    <w:rsid w:val="008C7661"/>
    <w:rsid w:val="008C7727"/>
    <w:rsid w:val="008C781C"/>
    <w:rsid w:val="008C7E71"/>
    <w:rsid w:val="008C7F75"/>
    <w:rsid w:val="008D06ED"/>
    <w:rsid w:val="008D0A6C"/>
    <w:rsid w:val="008D11B9"/>
    <w:rsid w:val="008D126D"/>
    <w:rsid w:val="008D1A45"/>
    <w:rsid w:val="008D1A82"/>
    <w:rsid w:val="008D1E0A"/>
    <w:rsid w:val="008D2479"/>
    <w:rsid w:val="008D2850"/>
    <w:rsid w:val="008D2865"/>
    <w:rsid w:val="008D2BA6"/>
    <w:rsid w:val="008D2D33"/>
    <w:rsid w:val="008D3019"/>
    <w:rsid w:val="008D33F5"/>
    <w:rsid w:val="008D34C6"/>
    <w:rsid w:val="008D38C3"/>
    <w:rsid w:val="008D3BD9"/>
    <w:rsid w:val="008D4010"/>
    <w:rsid w:val="008D4750"/>
    <w:rsid w:val="008D48E0"/>
    <w:rsid w:val="008D499C"/>
    <w:rsid w:val="008D4DEB"/>
    <w:rsid w:val="008D59F5"/>
    <w:rsid w:val="008D65B2"/>
    <w:rsid w:val="008D65F5"/>
    <w:rsid w:val="008D6657"/>
    <w:rsid w:val="008D6CDF"/>
    <w:rsid w:val="008D72CC"/>
    <w:rsid w:val="008D73E4"/>
    <w:rsid w:val="008D764A"/>
    <w:rsid w:val="008D7A4F"/>
    <w:rsid w:val="008E0010"/>
    <w:rsid w:val="008E02A3"/>
    <w:rsid w:val="008E0D15"/>
    <w:rsid w:val="008E118E"/>
    <w:rsid w:val="008E1B3E"/>
    <w:rsid w:val="008E226D"/>
    <w:rsid w:val="008E2374"/>
    <w:rsid w:val="008E24A5"/>
    <w:rsid w:val="008E2EAF"/>
    <w:rsid w:val="008E388B"/>
    <w:rsid w:val="008E3C30"/>
    <w:rsid w:val="008E451D"/>
    <w:rsid w:val="008E4584"/>
    <w:rsid w:val="008E4592"/>
    <w:rsid w:val="008E508B"/>
    <w:rsid w:val="008E50AF"/>
    <w:rsid w:val="008E5120"/>
    <w:rsid w:val="008E578D"/>
    <w:rsid w:val="008E5AB0"/>
    <w:rsid w:val="008E5BC5"/>
    <w:rsid w:val="008E5F04"/>
    <w:rsid w:val="008E5F36"/>
    <w:rsid w:val="008E6055"/>
    <w:rsid w:val="008E622D"/>
    <w:rsid w:val="008E6982"/>
    <w:rsid w:val="008E6D49"/>
    <w:rsid w:val="008E7008"/>
    <w:rsid w:val="008E745D"/>
    <w:rsid w:val="008E754A"/>
    <w:rsid w:val="008E79E2"/>
    <w:rsid w:val="008F01B0"/>
    <w:rsid w:val="008F030F"/>
    <w:rsid w:val="008F05F4"/>
    <w:rsid w:val="008F1484"/>
    <w:rsid w:val="008F1710"/>
    <w:rsid w:val="008F174B"/>
    <w:rsid w:val="008F187C"/>
    <w:rsid w:val="008F1AA6"/>
    <w:rsid w:val="008F1F62"/>
    <w:rsid w:val="008F20F1"/>
    <w:rsid w:val="008F27AF"/>
    <w:rsid w:val="008F3162"/>
    <w:rsid w:val="008F3249"/>
    <w:rsid w:val="008F3B61"/>
    <w:rsid w:val="008F3E93"/>
    <w:rsid w:val="008F4016"/>
    <w:rsid w:val="008F4E7C"/>
    <w:rsid w:val="008F543F"/>
    <w:rsid w:val="008F5529"/>
    <w:rsid w:val="008F5688"/>
    <w:rsid w:val="008F5DEA"/>
    <w:rsid w:val="008F63C0"/>
    <w:rsid w:val="008F64A6"/>
    <w:rsid w:val="008F66E5"/>
    <w:rsid w:val="008F7176"/>
    <w:rsid w:val="008F7DB7"/>
    <w:rsid w:val="00900309"/>
    <w:rsid w:val="009015B2"/>
    <w:rsid w:val="00901ED7"/>
    <w:rsid w:val="00901EFC"/>
    <w:rsid w:val="00901F2A"/>
    <w:rsid w:val="0090222E"/>
    <w:rsid w:val="0090269F"/>
    <w:rsid w:val="009032EE"/>
    <w:rsid w:val="009035B9"/>
    <w:rsid w:val="00903A07"/>
    <w:rsid w:val="009041FA"/>
    <w:rsid w:val="0090451E"/>
    <w:rsid w:val="0090459F"/>
    <w:rsid w:val="00904712"/>
    <w:rsid w:val="009047D6"/>
    <w:rsid w:val="00904DB1"/>
    <w:rsid w:val="00904DE7"/>
    <w:rsid w:val="009051DB"/>
    <w:rsid w:val="00905690"/>
    <w:rsid w:val="0090580D"/>
    <w:rsid w:val="009058AC"/>
    <w:rsid w:val="0090660D"/>
    <w:rsid w:val="009066DC"/>
    <w:rsid w:val="00906809"/>
    <w:rsid w:val="0090682F"/>
    <w:rsid w:val="00906E90"/>
    <w:rsid w:val="00906EEE"/>
    <w:rsid w:val="00907296"/>
    <w:rsid w:val="00910399"/>
    <w:rsid w:val="0091051D"/>
    <w:rsid w:val="0091079E"/>
    <w:rsid w:val="009107AC"/>
    <w:rsid w:val="00910E19"/>
    <w:rsid w:val="00911251"/>
    <w:rsid w:val="009117F2"/>
    <w:rsid w:val="009124ED"/>
    <w:rsid w:val="009125E1"/>
    <w:rsid w:val="00912771"/>
    <w:rsid w:val="009127A3"/>
    <w:rsid w:val="00912C32"/>
    <w:rsid w:val="00912DB3"/>
    <w:rsid w:val="00912E39"/>
    <w:rsid w:val="00912F9B"/>
    <w:rsid w:val="00913800"/>
    <w:rsid w:val="00913B8E"/>
    <w:rsid w:val="00913E09"/>
    <w:rsid w:val="0091476C"/>
    <w:rsid w:val="00914849"/>
    <w:rsid w:val="00914B18"/>
    <w:rsid w:val="0091578F"/>
    <w:rsid w:val="009160F3"/>
    <w:rsid w:val="0091642B"/>
    <w:rsid w:val="0091672F"/>
    <w:rsid w:val="0091675E"/>
    <w:rsid w:val="00916B5B"/>
    <w:rsid w:val="00916F45"/>
    <w:rsid w:val="00917213"/>
    <w:rsid w:val="009174C3"/>
    <w:rsid w:val="0091756C"/>
    <w:rsid w:val="00917684"/>
    <w:rsid w:val="0091774D"/>
    <w:rsid w:val="009179AC"/>
    <w:rsid w:val="009179DF"/>
    <w:rsid w:val="00917C5D"/>
    <w:rsid w:val="00920771"/>
    <w:rsid w:val="00920891"/>
    <w:rsid w:val="009208B7"/>
    <w:rsid w:val="00920BD0"/>
    <w:rsid w:val="00920D93"/>
    <w:rsid w:val="00921996"/>
    <w:rsid w:val="0092231D"/>
    <w:rsid w:val="009224CA"/>
    <w:rsid w:val="00922C4D"/>
    <w:rsid w:val="0092333E"/>
    <w:rsid w:val="00923771"/>
    <w:rsid w:val="00923A7E"/>
    <w:rsid w:val="00923FF4"/>
    <w:rsid w:val="009241B4"/>
    <w:rsid w:val="00924C43"/>
    <w:rsid w:val="00924D62"/>
    <w:rsid w:val="00924EC1"/>
    <w:rsid w:val="00925036"/>
    <w:rsid w:val="00925079"/>
    <w:rsid w:val="0092592A"/>
    <w:rsid w:val="00925942"/>
    <w:rsid w:val="009272BC"/>
    <w:rsid w:val="0092767E"/>
    <w:rsid w:val="00927780"/>
    <w:rsid w:val="00927813"/>
    <w:rsid w:val="00927AEA"/>
    <w:rsid w:val="00927BA0"/>
    <w:rsid w:val="00927BF1"/>
    <w:rsid w:val="00927C08"/>
    <w:rsid w:val="00927D0F"/>
    <w:rsid w:val="0093000A"/>
    <w:rsid w:val="009308FE"/>
    <w:rsid w:val="00930A36"/>
    <w:rsid w:val="00930E0F"/>
    <w:rsid w:val="0093190A"/>
    <w:rsid w:val="00931979"/>
    <w:rsid w:val="00931DD4"/>
    <w:rsid w:val="00931EA5"/>
    <w:rsid w:val="009324DE"/>
    <w:rsid w:val="00932602"/>
    <w:rsid w:val="009327B4"/>
    <w:rsid w:val="009332CC"/>
    <w:rsid w:val="00933314"/>
    <w:rsid w:val="009333C2"/>
    <w:rsid w:val="0093340C"/>
    <w:rsid w:val="009337CC"/>
    <w:rsid w:val="009338BA"/>
    <w:rsid w:val="00933924"/>
    <w:rsid w:val="00933F61"/>
    <w:rsid w:val="00934329"/>
    <w:rsid w:val="00935B9E"/>
    <w:rsid w:val="009363B9"/>
    <w:rsid w:val="00936613"/>
    <w:rsid w:val="0093661C"/>
    <w:rsid w:val="009366E3"/>
    <w:rsid w:val="00936B17"/>
    <w:rsid w:val="00936CD3"/>
    <w:rsid w:val="00936ED9"/>
    <w:rsid w:val="00936F84"/>
    <w:rsid w:val="00937140"/>
    <w:rsid w:val="009371C2"/>
    <w:rsid w:val="0093754A"/>
    <w:rsid w:val="00937AFA"/>
    <w:rsid w:val="00937DEF"/>
    <w:rsid w:val="009401BB"/>
    <w:rsid w:val="0094034A"/>
    <w:rsid w:val="0094051A"/>
    <w:rsid w:val="00940851"/>
    <w:rsid w:val="009408F3"/>
    <w:rsid w:val="00940C53"/>
    <w:rsid w:val="00940C67"/>
    <w:rsid w:val="00940E09"/>
    <w:rsid w:val="00941785"/>
    <w:rsid w:val="00941872"/>
    <w:rsid w:val="009420A1"/>
    <w:rsid w:val="0094258C"/>
    <w:rsid w:val="00942697"/>
    <w:rsid w:val="00942932"/>
    <w:rsid w:val="009431AA"/>
    <w:rsid w:val="009438C9"/>
    <w:rsid w:val="00944148"/>
    <w:rsid w:val="009442C0"/>
    <w:rsid w:val="009445B6"/>
    <w:rsid w:val="0094476A"/>
    <w:rsid w:val="0094482A"/>
    <w:rsid w:val="00945C22"/>
    <w:rsid w:val="00946663"/>
    <w:rsid w:val="009467FC"/>
    <w:rsid w:val="00946AB5"/>
    <w:rsid w:val="00946BD2"/>
    <w:rsid w:val="00946F6D"/>
    <w:rsid w:val="00947150"/>
    <w:rsid w:val="009473D1"/>
    <w:rsid w:val="00947494"/>
    <w:rsid w:val="00947C9C"/>
    <w:rsid w:val="0095037B"/>
    <w:rsid w:val="009509B9"/>
    <w:rsid w:val="00950D82"/>
    <w:rsid w:val="00950E8C"/>
    <w:rsid w:val="00950EE5"/>
    <w:rsid w:val="009545C7"/>
    <w:rsid w:val="00954632"/>
    <w:rsid w:val="0095469F"/>
    <w:rsid w:val="009548BA"/>
    <w:rsid w:val="00954AB4"/>
    <w:rsid w:val="00954B0B"/>
    <w:rsid w:val="00954D8B"/>
    <w:rsid w:val="00954ECE"/>
    <w:rsid w:val="00955018"/>
    <w:rsid w:val="009554A6"/>
    <w:rsid w:val="009557C6"/>
    <w:rsid w:val="00955BF3"/>
    <w:rsid w:val="00955FB2"/>
    <w:rsid w:val="009568D9"/>
    <w:rsid w:val="00956B1C"/>
    <w:rsid w:val="00956E0A"/>
    <w:rsid w:val="0095757C"/>
    <w:rsid w:val="009576C3"/>
    <w:rsid w:val="00960231"/>
    <w:rsid w:val="009602DE"/>
    <w:rsid w:val="00960405"/>
    <w:rsid w:val="009606E1"/>
    <w:rsid w:val="00960854"/>
    <w:rsid w:val="00960964"/>
    <w:rsid w:val="00960B22"/>
    <w:rsid w:val="009617AF"/>
    <w:rsid w:val="0096250C"/>
    <w:rsid w:val="009628E9"/>
    <w:rsid w:val="00962ED2"/>
    <w:rsid w:val="00962FC7"/>
    <w:rsid w:val="00963052"/>
    <w:rsid w:val="009630AA"/>
    <w:rsid w:val="0096347D"/>
    <w:rsid w:val="00963B65"/>
    <w:rsid w:val="00963E67"/>
    <w:rsid w:val="0096458D"/>
    <w:rsid w:val="009646B2"/>
    <w:rsid w:val="00964870"/>
    <w:rsid w:val="00964B1B"/>
    <w:rsid w:val="00964BC4"/>
    <w:rsid w:val="00964E8D"/>
    <w:rsid w:val="009650A8"/>
    <w:rsid w:val="00965236"/>
    <w:rsid w:val="00965C72"/>
    <w:rsid w:val="00965D70"/>
    <w:rsid w:val="0096640E"/>
    <w:rsid w:val="00966552"/>
    <w:rsid w:val="00966CC0"/>
    <w:rsid w:val="00966D51"/>
    <w:rsid w:val="0096776A"/>
    <w:rsid w:val="00967CD5"/>
    <w:rsid w:val="00967DD0"/>
    <w:rsid w:val="00970712"/>
    <w:rsid w:val="009709BD"/>
    <w:rsid w:val="00970B0E"/>
    <w:rsid w:val="009710DB"/>
    <w:rsid w:val="00971750"/>
    <w:rsid w:val="009718E1"/>
    <w:rsid w:val="00971BE6"/>
    <w:rsid w:val="00971ED7"/>
    <w:rsid w:val="009724CA"/>
    <w:rsid w:val="009727E0"/>
    <w:rsid w:val="00972B6C"/>
    <w:rsid w:val="00972C02"/>
    <w:rsid w:val="00972C7B"/>
    <w:rsid w:val="0097323F"/>
    <w:rsid w:val="009739F4"/>
    <w:rsid w:val="00973D59"/>
    <w:rsid w:val="009749C9"/>
    <w:rsid w:val="00975027"/>
    <w:rsid w:val="009750AF"/>
    <w:rsid w:val="00975310"/>
    <w:rsid w:val="009757F1"/>
    <w:rsid w:val="00975856"/>
    <w:rsid w:val="00975B95"/>
    <w:rsid w:val="009761D9"/>
    <w:rsid w:val="0097628D"/>
    <w:rsid w:val="0097644E"/>
    <w:rsid w:val="009767BB"/>
    <w:rsid w:val="00976EDE"/>
    <w:rsid w:val="00976FE0"/>
    <w:rsid w:val="00977391"/>
    <w:rsid w:val="0097754A"/>
    <w:rsid w:val="009803B9"/>
    <w:rsid w:val="00980916"/>
    <w:rsid w:val="009809EA"/>
    <w:rsid w:val="00980A41"/>
    <w:rsid w:val="00980D3A"/>
    <w:rsid w:val="009810A4"/>
    <w:rsid w:val="00981248"/>
    <w:rsid w:val="009815E3"/>
    <w:rsid w:val="009816DE"/>
    <w:rsid w:val="00981C3C"/>
    <w:rsid w:val="00981F03"/>
    <w:rsid w:val="00982384"/>
    <w:rsid w:val="009823F0"/>
    <w:rsid w:val="00982FC0"/>
    <w:rsid w:val="0098357C"/>
    <w:rsid w:val="00983638"/>
    <w:rsid w:val="009839C8"/>
    <w:rsid w:val="0098440B"/>
    <w:rsid w:val="00984683"/>
    <w:rsid w:val="0098471C"/>
    <w:rsid w:val="00984985"/>
    <w:rsid w:val="009853DF"/>
    <w:rsid w:val="00985481"/>
    <w:rsid w:val="009858B1"/>
    <w:rsid w:val="00985A29"/>
    <w:rsid w:val="0098687A"/>
    <w:rsid w:val="00986D28"/>
    <w:rsid w:val="00986D68"/>
    <w:rsid w:val="00986DB6"/>
    <w:rsid w:val="0098715C"/>
    <w:rsid w:val="009874CA"/>
    <w:rsid w:val="0098777D"/>
    <w:rsid w:val="00987E50"/>
    <w:rsid w:val="009901D0"/>
    <w:rsid w:val="009901FF"/>
    <w:rsid w:val="00990428"/>
    <w:rsid w:val="00990530"/>
    <w:rsid w:val="009905BA"/>
    <w:rsid w:val="00990685"/>
    <w:rsid w:val="00990D97"/>
    <w:rsid w:val="00990EE3"/>
    <w:rsid w:val="0099125E"/>
    <w:rsid w:val="00991B71"/>
    <w:rsid w:val="00991BC7"/>
    <w:rsid w:val="00991BC9"/>
    <w:rsid w:val="00991EC9"/>
    <w:rsid w:val="009921F6"/>
    <w:rsid w:val="00992BD2"/>
    <w:rsid w:val="00992C85"/>
    <w:rsid w:val="00992E98"/>
    <w:rsid w:val="00992FA1"/>
    <w:rsid w:val="009931AF"/>
    <w:rsid w:val="009937EB"/>
    <w:rsid w:val="0099381C"/>
    <w:rsid w:val="0099396B"/>
    <w:rsid w:val="00993A54"/>
    <w:rsid w:val="00993A6B"/>
    <w:rsid w:val="00994448"/>
    <w:rsid w:val="00994730"/>
    <w:rsid w:val="009949CD"/>
    <w:rsid w:val="009952BC"/>
    <w:rsid w:val="0099572B"/>
    <w:rsid w:val="0099573F"/>
    <w:rsid w:val="00995B52"/>
    <w:rsid w:val="00995BB4"/>
    <w:rsid w:val="00995BDE"/>
    <w:rsid w:val="00995D21"/>
    <w:rsid w:val="00995F46"/>
    <w:rsid w:val="00996250"/>
    <w:rsid w:val="00996D06"/>
    <w:rsid w:val="00996FB2"/>
    <w:rsid w:val="009973FC"/>
    <w:rsid w:val="009975B2"/>
    <w:rsid w:val="00997789"/>
    <w:rsid w:val="0099782F"/>
    <w:rsid w:val="0099790B"/>
    <w:rsid w:val="009A0074"/>
    <w:rsid w:val="009A0597"/>
    <w:rsid w:val="009A0F12"/>
    <w:rsid w:val="009A1216"/>
    <w:rsid w:val="009A24F5"/>
    <w:rsid w:val="009A2571"/>
    <w:rsid w:val="009A2FFD"/>
    <w:rsid w:val="009A358D"/>
    <w:rsid w:val="009A398A"/>
    <w:rsid w:val="009A41BD"/>
    <w:rsid w:val="009A488F"/>
    <w:rsid w:val="009A4A64"/>
    <w:rsid w:val="009A5118"/>
    <w:rsid w:val="009A5B8A"/>
    <w:rsid w:val="009A61A1"/>
    <w:rsid w:val="009A6247"/>
    <w:rsid w:val="009A684A"/>
    <w:rsid w:val="009A6C15"/>
    <w:rsid w:val="009A7024"/>
    <w:rsid w:val="009A7289"/>
    <w:rsid w:val="009A79D3"/>
    <w:rsid w:val="009A7CB7"/>
    <w:rsid w:val="009B00C4"/>
    <w:rsid w:val="009B0975"/>
    <w:rsid w:val="009B0BDE"/>
    <w:rsid w:val="009B0D83"/>
    <w:rsid w:val="009B147C"/>
    <w:rsid w:val="009B1E42"/>
    <w:rsid w:val="009B2F00"/>
    <w:rsid w:val="009B3179"/>
    <w:rsid w:val="009B37FC"/>
    <w:rsid w:val="009B3A19"/>
    <w:rsid w:val="009B429D"/>
    <w:rsid w:val="009B46D6"/>
    <w:rsid w:val="009B4D1E"/>
    <w:rsid w:val="009B4F7B"/>
    <w:rsid w:val="009B530D"/>
    <w:rsid w:val="009B5590"/>
    <w:rsid w:val="009B5CBC"/>
    <w:rsid w:val="009B5D2E"/>
    <w:rsid w:val="009B5FA6"/>
    <w:rsid w:val="009B65E8"/>
    <w:rsid w:val="009B6688"/>
    <w:rsid w:val="009B6870"/>
    <w:rsid w:val="009B6882"/>
    <w:rsid w:val="009B701F"/>
    <w:rsid w:val="009B7C0D"/>
    <w:rsid w:val="009B7E77"/>
    <w:rsid w:val="009C04AE"/>
    <w:rsid w:val="009C056A"/>
    <w:rsid w:val="009C0663"/>
    <w:rsid w:val="009C06C5"/>
    <w:rsid w:val="009C0C8C"/>
    <w:rsid w:val="009C0D7A"/>
    <w:rsid w:val="009C0FD3"/>
    <w:rsid w:val="009C18DD"/>
    <w:rsid w:val="009C1C7E"/>
    <w:rsid w:val="009C2004"/>
    <w:rsid w:val="009C2017"/>
    <w:rsid w:val="009C20A3"/>
    <w:rsid w:val="009C24FF"/>
    <w:rsid w:val="009C2626"/>
    <w:rsid w:val="009C2C71"/>
    <w:rsid w:val="009C3462"/>
    <w:rsid w:val="009C38D1"/>
    <w:rsid w:val="009C3960"/>
    <w:rsid w:val="009C3E34"/>
    <w:rsid w:val="009C53EC"/>
    <w:rsid w:val="009C5D2C"/>
    <w:rsid w:val="009C63D4"/>
    <w:rsid w:val="009C698A"/>
    <w:rsid w:val="009C6AED"/>
    <w:rsid w:val="009C776C"/>
    <w:rsid w:val="009C7832"/>
    <w:rsid w:val="009C78F6"/>
    <w:rsid w:val="009C7CF9"/>
    <w:rsid w:val="009C7DFF"/>
    <w:rsid w:val="009D00CE"/>
    <w:rsid w:val="009D0112"/>
    <w:rsid w:val="009D03B3"/>
    <w:rsid w:val="009D075E"/>
    <w:rsid w:val="009D08EA"/>
    <w:rsid w:val="009D0BE5"/>
    <w:rsid w:val="009D1449"/>
    <w:rsid w:val="009D14E7"/>
    <w:rsid w:val="009D2545"/>
    <w:rsid w:val="009D265E"/>
    <w:rsid w:val="009D2E86"/>
    <w:rsid w:val="009D315B"/>
    <w:rsid w:val="009D31B1"/>
    <w:rsid w:val="009D3205"/>
    <w:rsid w:val="009D338E"/>
    <w:rsid w:val="009D3651"/>
    <w:rsid w:val="009D36AF"/>
    <w:rsid w:val="009D37B6"/>
    <w:rsid w:val="009D3E19"/>
    <w:rsid w:val="009D3F8C"/>
    <w:rsid w:val="009D42EA"/>
    <w:rsid w:val="009D46AE"/>
    <w:rsid w:val="009D4A31"/>
    <w:rsid w:val="009D52E3"/>
    <w:rsid w:val="009D5ED3"/>
    <w:rsid w:val="009D684E"/>
    <w:rsid w:val="009D6AFD"/>
    <w:rsid w:val="009D6C50"/>
    <w:rsid w:val="009D72F5"/>
    <w:rsid w:val="009D73F5"/>
    <w:rsid w:val="009D7D5E"/>
    <w:rsid w:val="009E049B"/>
    <w:rsid w:val="009E0547"/>
    <w:rsid w:val="009E09E7"/>
    <w:rsid w:val="009E0A87"/>
    <w:rsid w:val="009E0B32"/>
    <w:rsid w:val="009E0CD0"/>
    <w:rsid w:val="009E0F5A"/>
    <w:rsid w:val="009E12AB"/>
    <w:rsid w:val="009E1A3F"/>
    <w:rsid w:val="009E1EFC"/>
    <w:rsid w:val="009E230A"/>
    <w:rsid w:val="009E2824"/>
    <w:rsid w:val="009E29D9"/>
    <w:rsid w:val="009E3047"/>
    <w:rsid w:val="009E3069"/>
    <w:rsid w:val="009E32E9"/>
    <w:rsid w:val="009E423D"/>
    <w:rsid w:val="009E4807"/>
    <w:rsid w:val="009E49D8"/>
    <w:rsid w:val="009E4A80"/>
    <w:rsid w:val="009E4C64"/>
    <w:rsid w:val="009E50FB"/>
    <w:rsid w:val="009E6082"/>
    <w:rsid w:val="009E634F"/>
    <w:rsid w:val="009E6444"/>
    <w:rsid w:val="009E6578"/>
    <w:rsid w:val="009E717B"/>
    <w:rsid w:val="009E71B4"/>
    <w:rsid w:val="009E7409"/>
    <w:rsid w:val="009E747A"/>
    <w:rsid w:val="009E7642"/>
    <w:rsid w:val="009E774F"/>
    <w:rsid w:val="009E7A81"/>
    <w:rsid w:val="009E7C6C"/>
    <w:rsid w:val="009E7F01"/>
    <w:rsid w:val="009F0157"/>
    <w:rsid w:val="009F0AD7"/>
    <w:rsid w:val="009F0BD3"/>
    <w:rsid w:val="009F0BE2"/>
    <w:rsid w:val="009F0C0C"/>
    <w:rsid w:val="009F0E6D"/>
    <w:rsid w:val="009F0E9C"/>
    <w:rsid w:val="009F157E"/>
    <w:rsid w:val="009F23F0"/>
    <w:rsid w:val="009F25B2"/>
    <w:rsid w:val="009F2637"/>
    <w:rsid w:val="009F2703"/>
    <w:rsid w:val="009F28AA"/>
    <w:rsid w:val="009F28D5"/>
    <w:rsid w:val="009F2D4A"/>
    <w:rsid w:val="009F328A"/>
    <w:rsid w:val="009F3694"/>
    <w:rsid w:val="009F388B"/>
    <w:rsid w:val="009F3BCD"/>
    <w:rsid w:val="009F3C80"/>
    <w:rsid w:val="009F3EA3"/>
    <w:rsid w:val="009F410B"/>
    <w:rsid w:val="009F4126"/>
    <w:rsid w:val="009F44ED"/>
    <w:rsid w:val="009F54DF"/>
    <w:rsid w:val="009F5B61"/>
    <w:rsid w:val="009F5B6F"/>
    <w:rsid w:val="009F5CEE"/>
    <w:rsid w:val="009F60F4"/>
    <w:rsid w:val="009F6150"/>
    <w:rsid w:val="009F6170"/>
    <w:rsid w:val="009F64A1"/>
    <w:rsid w:val="009F6A9D"/>
    <w:rsid w:val="009F6C6D"/>
    <w:rsid w:val="009F6C9C"/>
    <w:rsid w:val="009F76D2"/>
    <w:rsid w:val="009F76E5"/>
    <w:rsid w:val="009F7962"/>
    <w:rsid w:val="009F7CB2"/>
    <w:rsid w:val="00A00477"/>
    <w:rsid w:val="00A005F3"/>
    <w:rsid w:val="00A00B07"/>
    <w:rsid w:val="00A00D1F"/>
    <w:rsid w:val="00A01279"/>
    <w:rsid w:val="00A014DC"/>
    <w:rsid w:val="00A016D9"/>
    <w:rsid w:val="00A018CC"/>
    <w:rsid w:val="00A01A24"/>
    <w:rsid w:val="00A01E98"/>
    <w:rsid w:val="00A0248B"/>
    <w:rsid w:val="00A02997"/>
    <w:rsid w:val="00A032C8"/>
    <w:rsid w:val="00A037DE"/>
    <w:rsid w:val="00A03A95"/>
    <w:rsid w:val="00A03DDE"/>
    <w:rsid w:val="00A04108"/>
    <w:rsid w:val="00A0458C"/>
    <w:rsid w:val="00A046DC"/>
    <w:rsid w:val="00A04B08"/>
    <w:rsid w:val="00A04B6E"/>
    <w:rsid w:val="00A04D2B"/>
    <w:rsid w:val="00A04E12"/>
    <w:rsid w:val="00A05228"/>
    <w:rsid w:val="00A055BB"/>
    <w:rsid w:val="00A0596D"/>
    <w:rsid w:val="00A068B6"/>
    <w:rsid w:val="00A069AB"/>
    <w:rsid w:val="00A0701B"/>
    <w:rsid w:val="00A0733B"/>
    <w:rsid w:val="00A07E0F"/>
    <w:rsid w:val="00A10124"/>
    <w:rsid w:val="00A10982"/>
    <w:rsid w:val="00A10EDB"/>
    <w:rsid w:val="00A10F13"/>
    <w:rsid w:val="00A112B8"/>
    <w:rsid w:val="00A11411"/>
    <w:rsid w:val="00A116AC"/>
    <w:rsid w:val="00A11911"/>
    <w:rsid w:val="00A11A6A"/>
    <w:rsid w:val="00A120B3"/>
    <w:rsid w:val="00A123DD"/>
    <w:rsid w:val="00A12425"/>
    <w:rsid w:val="00A1428D"/>
    <w:rsid w:val="00A1454A"/>
    <w:rsid w:val="00A15494"/>
    <w:rsid w:val="00A1563C"/>
    <w:rsid w:val="00A15685"/>
    <w:rsid w:val="00A160CB"/>
    <w:rsid w:val="00A1652B"/>
    <w:rsid w:val="00A176AB"/>
    <w:rsid w:val="00A1799A"/>
    <w:rsid w:val="00A2051C"/>
    <w:rsid w:val="00A207CA"/>
    <w:rsid w:val="00A20894"/>
    <w:rsid w:val="00A20A76"/>
    <w:rsid w:val="00A20FD9"/>
    <w:rsid w:val="00A21AE3"/>
    <w:rsid w:val="00A21B0F"/>
    <w:rsid w:val="00A21B43"/>
    <w:rsid w:val="00A220BF"/>
    <w:rsid w:val="00A22509"/>
    <w:rsid w:val="00A226E1"/>
    <w:rsid w:val="00A22D58"/>
    <w:rsid w:val="00A22DE5"/>
    <w:rsid w:val="00A22E74"/>
    <w:rsid w:val="00A23E95"/>
    <w:rsid w:val="00A24260"/>
    <w:rsid w:val="00A242A5"/>
    <w:rsid w:val="00A244BB"/>
    <w:rsid w:val="00A24DD6"/>
    <w:rsid w:val="00A2519C"/>
    <w:rsid w:val="00A251D5"/>
    <w:rsid w:val="00A253AA"/>
    <w:rsid w:val="00A26040"/>
    <w:rsid w:val="00A260EF"/>
    <w:rsid w:val="00A2629D"/>
    <w:rsid w:val="00A265BC"/>
    <w:rsid w:val="00A265ED"/>
    <w:rsid w:val="00A270F8"/>
    <w:rsid w:val="00A27282"/>
    <w:rsid w:val="00A27387"/>
    <w:rsid w:val="00A274A5"/>
    <w:rsid w:val="00A2759B"/>
    <w:rsid w:val="00A276D2"/>
    <w:rsid w:val="00A278C3"/>
    <w:rsid w:val="00A27B85"/>
    <w:rsid w:val="00A27BF9"/>
    <w:rsid w:val="00A27C38"/>
    <w:rsid w:val="00A27D84"/>
    <w:rsid w:val="00A308F3"/>
    <w:rsid w:val="00A31018"/>
    <w:rsid w:val="00A319A1"/>
    <w:rsid w:val="00A31D3D"/>
    <w:rsid w:val="00A31E24"/>
    <w:rsid w:val="00A322E7"/>
    <w:rsid w:val="00A3251D"/>
    <w:rsid w:val="00A328D1"/>
    <w:rsid w:val="00A330BD"/>
    <w:rsid w:val="00A33AB0"/>
    <w:rsid w:val="00A33E0E"/>
    <w:rsid w:val="00A340D9"/>
    <w:rsid w:val="00A34146"/>
    <w:rsid w:val="00A341B3"/>
    <w:rsid w:val="00A344F2"/>
    <w:rsid w:val="00A3470B"/>
    <w:rsid w:val="00A34D4E"/>
    <w:rsid w:val="00A35823"/>
    <w:rsid w:val="00A35ABA"/>
    <w:rsid w:val="00A3604F"/>
    <w:rsid w:val="00A360E4"/>
    <w:rsid w:val="00A36123"/>
    <w:rsid w:val="00A366B3"/>
    <w:rsid w:val="00A36B30"/>
    <w:rsid w:val="00A36BD7"/>
    <w:rsid w:val="00A36C3A"/>
    <w:rsid w:val="00A36E1E"/>
    <w:rsid w:val="00A37012"/>
    <w:rsid w:val="00A374CB"/>
    <w:rsid w:val="00A374E0"/>
    <w:rsid w:val="00A37B5A"/>
    <w:rsid w:val="00A37BA5"/>
    <w:rsid w:val="00A37BEF"/>
    <w:rsid w:val="00A40005"/>
    <w:rsid w:val="00A401F3"/>
    <w:rsid w:val="00A403AE"/>
    <w:rsid w:val="00A4043E"/>
    <w:rsid w:val="00A41030"/>
    <w:rsid w:val="00A411D0"/>
    <w:rsid w:val="00A4135F"/>
    <w:rsid w:val="00A41592"/>
    <w:rsid w:val="00A415C2"/>
    <w:rsid w:val="00A421E6"/>
    <w:rsid w:val="00A42653"/>
    <w:rsid w:val="00A42B9D"/>
    <w:rsid w:val="00A42DDF"/>
    <w:rsid w:val="00A430DA"/>
    <w:rsid w:val="00A43152"/>
    <w:rsid w:val="00A434FB"/>
    <w:rsid w:val="00A43849"/>
    <w:rsid w:val="00A43F0B"/>
    <w:rsid w:val="00A44217"/>
    <w:rsid w:val="00A444A1"/>
    <w:rsid w:val="00A44739"/>
    <w:rsid w:val="00A44C17"/>
    <w:rsid w:val="00A44FD4"/>
    <w:rsid w:val="00A4503F"/>
    <w:rsid w:val="00A4542E"/>
    <w:rsid w:val="00A4589D"/>
    <w:rsid w:val="00A4640C"/>
    <w:rsid w:val="00A4757B"/>
    <w:rsid w:val="00A478D3"/>
    <w:rsid w:val="00A47943"/>
    <w:rsid w:val="00A5053E"/>
    <w:rsid w:val="00A50AA0"/>
    <w:rsid w:val="00A50E91"/>
    <w:rsid w:val="00A512AA"/>
    <w:rsid w:val="00A514FB"/>
    <w:rsid w:val="00A51B7A"/>
    <w:rsid w:val="00A5249F"/>
    <w:rsid w:val="00A52BF1"/>
    <w:rsid w:val="00A52EFA"/>
    <w:rsid w:val="00A5353E"/>
    <w:rsid w:val="00A535F0"/>
    <w:rsid w:val="00A53B81"/>
    <w:rsid w:val="00A54609"/>
    <w:rsid w:val="00A54695"/>
    <w:rsid w:val="00A54B00"/>
    <w:rsid w:val="00A54BCE"/>
    <w:rsid w:val="00A54CC3"/>
    <w:rsid w:val="00A55205"/>
    <w:rsid w:val="00A553A9"/>
    <w:rsid w:val="00A55602"/>
    <w:rsid w:val="00A55612"/>
    <w:rsid w:val="00A55FE7"/>
    <w:rsid w:val="00A56249"/>
    <w:rsid w:val="00A56308"/>
    <w:rsid w:val="00A5643F"/>
    <w:rsid w:val="00A56589"/>
    <w:rsid w:val="00A5706C"/>
    <w:rsid w:val="00A5765C"/>
    <w:rsid w:val="00A57819"/>
    <w:rsid w:val="00A57FB7"/>
    <w:rsid w:val="00A600C0"/>
    <w:rsid w:val="00A6016A"/>
    <w:rsid w:val="00A60261"/>
    <w:rsid w:val="00A60951"/>
    <w:rsid w:val="00A60B38"/>
    <w:rsid w:val="00A60E6C"/>
    <w:rsid w:val="00A61008"/>
    <w:rsid w:val="00A61040"/>
    <w:rsid w:val="00A61621"/>
    <w:rsid w:val="00A6177F"/>
    <w:rsid w:val="00A618DC"/>
    <w:rsid w:val="00A61AD5"/>
    <w:rsid w:val="00A61BA1"/>
    <w:rsid w:val="00A6213E"/>
    <w:rsid w:val="00A62219"/>
    <w:rsid w:val="00A6246E"/>
    <w:rsid w:val="00A62701"/>
    <w:rsid w:val="00A62BA7"/>
    <w:rsid w:val="00A62F56"/>
    <w:rsid w:val="00A62FB0"/>
    <w:rsid w:val="00A63686"/>
    <w:rsid w:val="00A63A99"/>
    <w:rsid w:val="00A63CCE"/>
    <w:rsid w:val="00A63DE1"/>
    <w:rsid w:val="00A645E2"/>
    <w:rsid w:val="00A6468E"/>
    <w:rsid w:val="00A64DEE"/>
    <w:rsid w:val="00A650FE"/>
    <w:rsid w:val="00A657CA"/>
    <w:rsid w:val="00A657FD"/>
    <w:rsid w:val="00A66239"/>
    <w:rsid w:val="00A662B2"/>
    <w:rsid w:val="00A66A4B"/>
    <w:rsid w:val="00A66CFB"/>
    <w:rsid w:val="00A66FA8"/>
    <w:rsid w:val="00A67C09"/>
    <w:rsid w:val="00A67E6F"/>
    <w:rsid w:val="00A70482"/>
    <w:rsid w:val="00A708E9"/>
    <w:rsid w:val="00A71102"/>
    <w:rsid w:val="00A7137B"/>
    <w:rsid w:val="00A7161F"/>
    <w:rsid w:val="00A71C8E"/>
    <w:rsid w:val="00A71DD4"/>
    <w:rsid w:val="00A71EB7"/>
    <w:rsid w:val="00A71F66"/>
    <w:rsid w:val="00A72322"/>
    <w:rsid w:val="00A72382"/>
    <w:rsid w:val="00A72522"/>
    <w:rsid w:val="00A728B0"/>
    <w:rsid w:val="00A72A56"/>
    <w:rsid w:val="00A73038"/>
    <w:rsid w:val="00A73272"/>
    <w:rsid w:val="00A73298"/>
    <w:rsid w:val="00A732C9"/>
    <w:rsid w:val="00A737F5"/>
    <w:rsid w:val="00A73997"/>
    <w:rsid w:val="00A73BC5"/>
    <w:rsid w:val="00A73F04"/>
    <w:rsid w:val="00A73F0D"/>
    <w:rsid w:val="00A7481C"/>
    <w:rsid w:val="00A749BA"/>
    <w:rsid w:val="00A75D2A"/>
    <w:rsid w:val="00A75DB9"/>
    <w:rsid w:val="00A75E81"/>
    <w:rsid w:val="00A75F7E"/>
    <w:rsid w:val="00A75FF2"/>
    <w:rsid w:val="00A76BDD"/>
    <w:rsid w:val="00A76C99"/>
    <w:rsid w:val="00A77084"/>
    <w:rsid w:val="00A77746"/>
    <w:rsid w:val="00A77A3E"/>
    <w:rsid w:val="00A80040"/>
    <w:rsid w:val="00A807D2"/>
    <w:rsid w:val="00A808B6"/>
    <w:rsid w:val="00A80ACA"/>
    <w:rsid w:val="00A80D32"/>
    <w:rsid w:val="00A81333"/>
    <w:rsid w:val="00A81C07"/>
    <w:rsid w:val="00A81CF9"/>
    <w:rsid w:val="00A81EBE"/>
    <w:rsid w:val="00A8205E"/>
    <w:rsid w:val="00A8268F"/>
    <w:rsid w:val="00A82FF1"/>
    <w:rsid w:val="00A83A3E"/>
    <w:rsid w:val="00A840E3"/>
    <w:rsid w:val="00A84302"/>
    <w:rsid w:val="00A84963"/>
    <w:rsid w:val="00A850F2"/>
    <w:rsid w:val="00A8569F"/>
    <w:rsid w:val="00A858C3"/>
    <w:rsid w:val="00A85942"/>
    <w:rsid w:val="00A859AE"/>
    <w:rsid w:val="00A85B58"/>
    <w:rsid w:val="00A85CF3"/>
    <w:rsid w:val="00A85DA0"/>
    <w:rsid w:val="00A8620D"/>
    <w:rsid w:val="00A86343"/>
    <w:rsid w:val="00A864F7"/>
    <w:rsid w:val="00A865F0"/>
    <w:rsid w:val="00A86AE9"/>
    <w:rsid w:val="00A87726"/>
    <w:rsid w:val="00A878DE"/>
    <w:rsid w:val="00A8793B"/>
    <w:rsid w:val="00A902AF"/>
    <w:rsid w:val="00A9031A"/>
    <w:rsid w:val="00A9039E"/>
    <w:rsid w:val="00A90447"/>
    <w:rsid w:val="00A9078F"/>
    <w:rsid w:val="00A9101B"/>
    <w:rsid w:val="00A910B0"/>
    <w:rsid w:val="00A91648"/>
    <w:rsid w:val="00A917B7"/>
    <w:rsid w:val="00A918DC"/>
    <w:rsid w:val="00A92156"/>
    <w:rsid w:val="00A922B0"/>
    <w:rsid w:val="00A92BC2"/>
    <w:rsid w:val="00A9326D"/>
    <w:rsid w:val="00A932B0"/>
    <w:rsid w:val="00A93781"/>
    <w:rsid w:val="00A93C37"/>
    <w:rsid w:val="00A93E60"/>
    <w:rsid w:val="00A94579"/>
    <w:rsid w:val="00A95213"/>
    <w:rsid w:val="00A95292"/>
    <w:rsid w:val="00A953CB"/>
    <w:rsid w:val="00A95851"/>
    <w:rsid w:val="00A95A0A"/>
    <w:rsid w:val="00A95DBA"/>
    <w:rsid w:val="00A960D4"/>
    <w:rsid w:val="00A96960"/>
    <w:rsid w:val="00A9700B"/>
    <w:rsid w:val="00A97181"/>
    <w:rsid w:val="00A9769F"/>
    <w:rsid w:val="00A979CD"/>
    <w:rsid w:val="00AA0214"/>
    <w:rsid w:val="00AA043E"/>
    <w:rsid w:val="00AA0639"/>
    <w:rsid w:val="00AA0E41"/>
    <w:rsid w:val="00AA0E8B"/>
    <w:rsid w:val="00AA0F22"/>
    <w:rsid w:val="00AA1115"/>
    <w:rsid w:val="00AA124D"/>
    <w:rsid w:val="00AA1578"/>
    <w:rsid w:val="00AA19FA"/>
    <w:rsid w:val="00AA2411"/>
    <w:rsid w:val="00AA2E75"/>
    <w:rsid w:val="00AA43F5"/>
    <w:rsid w:val="00AA4575"/>
    <w:rsid w:val="00AA489B"/>
    <w:rsid w:val="00AA4FB2"/>
    <w:rsid w:val="00AA5433"/>
    <w:rsid w:val="00AA54C5"/>
    <w:rsid w:val="00AA5803"/>
    <w:rsid w:val="00AA5C45"/>
    <w:rsid w:val="00AA605E"/>
    <w:rsid w:val="00AA6592"/>
    <w:rsid w:val="00AA6941"/>
    <w:rsid w:val="00AA6B0C"/>
    <w:rsid w:val="00AA6E53"/>
    <w:rsid w:val="00AA75D1"/>
    <w:rsid w:val="00AA766B"/>
    <w:rsid w:val="00AA795A"/>
    <w:rsid w:val="00AB00FE"/>
    <w:rsid w:val="00AB0A2F"/>
    <w:rsid w:val="00AB0AB5"/>
    <w:rsid w:val="00AB1CD6"/>
    <w:rsid w:val="00AB28AD"/>
    <w:rsid w:val="00AB2D4E"/>
    <w:rsid w:val="00AB2FEE"/>
    <w:rsid w:val="00AB326B"/>
    <w:rsid w:val="00AB3607"/>
    <w:rsid w:val="00AB3CBC"/>
    <w:rsid w:val="00AB3E7F"/>
    <w:rsid w:val="00AB426C"/>
    <w:rsid w:val="00AB4ED9"/>
    <w:rsid w:val="00AB4EF8"/>
    <w:rsid w:val="00AB4F00"/>
    <w:rsid w:val="00AB561B"/>
    <w:rsid w:val="00AB56E1"/>
    <w:rsid w:val="00AB59B8"/>
    <w:rsid w:val="00AB5ECE"/>
    <w:rsid w:val="00AB682C"/>
    <w:rsid w:val="00AB698E"/>
    <w:rsid w:val="00AB7F02"/>
    <w:rsid w:val="00AC0102"/>
    <w:rsid w:val="00AC0657"/>
    <w:rsid w:val="00AC1107"/>
    <w:rsid w:val="00AC1802"/>
    <w:rsid w:val="00AC1E19"/>
    <w:rsid w:val="00AC239F"/>
    <w:rsid w:val="00AC2438"/>
    <w:rsid w:val="00AC27FA"/>
    <w:rsid w:val="00AC2963"/>
    <w:rsid w:val="00AC29A9"/>
    <w:rsid w:val="00AC29B2"/>
    <w:rsid w:val="00AC2B54"/>
    <w:rsid w:val="00AC2BA3"/>
    <w:rsid w:val="00AC2F43"/>
    <w:rsid w:val="00AC2F7C"/>
    <w:rsid w:val="00AC37B6"/>
    <w:rsid w:val="00AC3A58"/>
    <w:rsid w:val="00AC4673"/>
    <w:rsid w:val="00AC4CE5"/>
    <w:rsid w:val="00AC544D"/>
    <w:rsid w:val="00AC57EE"/>
    <w:rsid w:val="00AC599E"/>
    <w:rsid w:val="00AC5A75"/>
    <w:rsid w:val="00AC5FAF"/>
    <w:rsid w:val="00AC6B95"/>
    <w:rsid w:val="00AC6DCB"/>
    <w:rsid w:val="00AC6F65"/>
    <w:rsid w:val="00AC705F"/>
    <w:rsid w:val="00AC70A7"/>
    <w:rsid w:val="00AC7617"/>
    <w:rsid w:val="00AC7814"/>
    <w:rsid w:val="00AD0E23"/>
    <w:rsid w:val="00AD15EC"/>
    <w:rsid w:val="00AD164E"/>
    <w:rsid w:val="00AD2810"/>
    <w:rsid w:val="00AD2A3A"/>
    <w:rsid w:val="00AD3224"/>
    <w:rsid w:val="00AD3936"/>
    <w:rsid w:val="00AD3DAC"/>
    <w:rsid w:val="00AD4145"/>
    <w:rsid w:val="00AD45C0"/>
    <w:rsid w:val="00AD4BB1"/>
    <w:rsid w:val="00AD4F4F"/>
    <w:rsid w:val="00AD4FF3"/>
    <w:rsid w:val="00AD519A"/>
    <w:rsid w:val="00AD51F7"/>
    <w:rsid w:val="00AD5302"/>
    <w:rsid w:val="00AD5857"/>
    <w:rsid w:val="00AD6372"/>
    <w:rsid w:val="00AD6635"/>
    <w:rsid w:val="00AD67B3"/>
    <w:rsid w:val="00AD7543"/>
    <w:rsid w:val="00AD764A"/>
    <w:rsid w:val="00AD7742"/>
    <w:rsid w:val="00AD7A85"/>
    <w:rsid w:val="00AD7CF1"/>
    <w:rsid w:val="00AE074F"/>
    <w:rsid w:val="00AE0B8A"/>
    <w:rsid w:val="00AE0D77"/>
    <w:rsid w:val="00AE0D8C"/>
    <w:rsid w:val="00AE0E07"/>
    <w:rsid w:val="00AE0E81"/>
    <w:rsid w:val="00AE1347"/>
    <w:rsid w:val="00AE155A"/>
    <w:rsid w:val="00AE1F0E"/>
    <w:rsid w:val="00AE1F52"/>
    <w:rsid w:val="00AE2416"/>
    <w:rsid w:val="00AE246C"/>
    <w:rsid w:val="00AE2FA3"/>
    <w:rsid w:val="00AE3A25"/>
    <w:rsid w:val="00AE3D05"/>
    <w:rsid w:val="00AE3F1C"/>
    <w:rsid w:val="00AE4365"/>
    <w:rsid w:val="00AE46AF"/>
    <w:rsid w:val="00AE4B87"/>
    <w:rsid w:val="00AE4BE5"/>
    <w:rsid w:val="00AE4D24"/>
    <w:rsid w:val="00AE4E90"/>
    <w:rsid w:val="00AE509C"/>
    <w:rsid w:val="00AE50B8"/>
    <w:rsid w:val="00AE5506"/>
    <w:rsid w:val="00AE550B"/>
    <w:rsid w:val="00AE56DA"/>
    <w:rsid w:val="00AE57B8"/>
    <w:rsid w:val="00AE596A"/>
    <w:rsid w:val="00AE5DB8"/>
    <w:rsid w:val="00AE5F7E"/>
    <w:rsid w:val="00AE5FCC"/>
    <w:rsid w:val="00AE612B"/>
    <w:rsid w:val="00AE63D1"/>
    <w:rsid w:val="00AE63D3"/>
    <w:rsid w:val="00AE642D"/>
    <w:rsid w:val="00AE69DE"/>
    <w:rsid w:val="00AE6D12"/>
    <w:rsid w:val="00AE731E"/>
    <w:rsid w:val="00AE7B54"/>
    <w:rsid w:val="00AE7C67"/>
    <w:rsid w:val="00AF0529"/>
    <w:rsid w:val="00AF0B2F"/>
    <w:rsid w:val="00AF0CFA"/>
    <w:rsid w:val="00AF14C1"/>
    <w:rsid w:val="00AF1894"/>
    <w:rsid w:val="00AF1B98"/>
    <w:rsid w:val="00AF1BA2"/>
    <w:rsid w:val="00AF1EFB"/>
    <w:rsid w:val="00AF25B8"/>
    <w:rsid w:val="00AF2663"/>
    <w:rsid w:val="00AF29F7"/>
    <w:rsid w:val="00AF30AD"/>
    <w:rsid w:val="00AF35D1"/>
    <w:rsid w:val="00AF371C"/>
    <w:rsid w:val="00AF3A42"/>
    <w:rsid w:val="00AF4092"/>
    <w:rsid w:val="00AF43B1"/>
    <w:rsid w:val="00AF4EFA"/>
    <w:rsid w:val="00AF598C"/>
    <w:rsid w:val="00AF610D"/>
    <w:rsid w:val="00AF6614"/>
    <w:rsid w:val="00AF6674"/>
    <w:rsid w:val="00AF68E2"/>
    <w:rsid w:val="00AF6A0F"/>
    <w:rsid w:val="00AF6CE9"/>
    <w:rsid w:val="00AF70F4"/>
    <w:rsid w:val="00AF71A1"/>
    <w:rsid w:val="00AF7239"/>
    <w:rsid w:val="00AF79BA"/>
    <w:rsid w:val="00AF7CCF"/>
    <w:rsid w:val="00AF7E09"/>
    <w:rsid w:val="00AF7F14"/>
    <w:rsid w:val="00B0004C"/>
    <w:rsid w:val="00B00214"/>
    <w:rsid w:val="00B00250"/>
    <w:rsid w:val="00B008A1"/>
    <w:rsid w:val="00B00ACC"/>
    <w:rsid w:val="00B00CC2"/>
    <w:rsid w:val="00B00E5C"/>
    <w:rsid w:val="00B00F95"/>
    <w:rsid w:val="00B01217"/>
    <w:rsid w:val="00B012C4"/>
    <w:rsid w:val="00B01757"/>
    <w:rsid w:val="00B01987"/>
    <w:rsid w:val="00B03434"/>
    <w:rsid w:val="00B03F7C"/>
    <w:rsid w:val="00B04165"/>
    <w:rsid w:val="00B041AD"/>
    <w:rsid w:val="00B04EEC"/>
    <w:rsid w:val="00B051F6"/>
    <w:rsid w:val="00B05E5A"/>
    <w:rsid w:val="00B06A34"/>
    <w:rsid w:val="00B07097"/>
    <w:rsid w:val="00B073AD"/>
    <w:rsid w:val="00B07431"/>
    <w:rsid w:val="00B074DF"/>
    <w:rsid w:val="00B07869"/>
    <w:rsid w:val="00B07944"/>
    <w:rsid w:val="00B07D2D"/>
    <w:rsid w:val="00B07EC9"/>
    <w:rsid w:val="00B10021"/>
    <w:rsid w:val="00B10346"/>
    <w:rsid w:val="00B10395"/>
    <w:rsid w:val="00B108FA"/>
    <w:rsid w:val="00B10BBB"/>
    <w:rsid w:val="00B10EB4"/>
    <w:rsid w:val="00B11480"/>
    <w:rsid w:val="00B11846"/>
    <w:rsid w:val="00B11B5D"/>
    <w:rsid w:val="00B12531"/>
    <w:rsid w:val="00B12666"/>
    <w:rsid w:val="00B12A9D"/>
    <w:rsid w:val="00B12D75"/>
    <w:rsid w:val="00B12DF3"/>
    <w:rsid w:val="00B132B2"/>
    <w:rsid w:val="00B13946"/>
    <w:rsid w:val="00B13C64"/>
    <w:rsid w:val="00B13C8D"/>
    <w:rsid w:val="00B13C9A"/>
    <w:rsid w:val="00B14C6C"/>
    <w:rsid w:val="00B15094"/>
    <w:rsid w:val="00B154C8"/>
    <w:rsid w:val="00B155FE"/>
    <w:rsid w:val="00B1578C"/>
    <w:rsid w:val="00B15AD6"/>
    <w:rsid w:val="00B15B8D"/>
    <w:rsid w:val="00B15FB2"/>
    <w:rsid w:val="00B1643F"/>
    <w:rsid w:val="00B165BE"/>
    <w:rsid w:val="00B168D7"/>
    <w:rsid w:val="00B16973"/>
    <w:rsid w:val="00B16BCD"/>
    <w:rsid w:val="00B174FF"/>
    <w:rsid w:val="00B17800"/>
    <w:rsid w:val="00B17B74"/>
    <w:rsid w:val="00B17D36"/>
    <w:rsid w:val="00B17F3F"/>
    <w:rsid w:val="00B2001B"/>
    <w:rsid w:val="00B2002E"/>
    <w:rsid w:val="00B20048"/>
    <w:rsid w:val="00B209B3"/>
    <w:rsid w:val="00B20F11"/>
    <w:rsid w:val="00B21246"/>
    <w:rsid w:val="00B21330"/>
    <w:rsid w:val="00B22142"/>
    <w:rsid w:val="00B222F8"/>
    <w:rsid w:val="00B22393"/>
    <w:rsid w:val="00B2242D"/>
    <w:rsid w:val="00B22466"/>
    <w:rsid w:val="00B229CF"/>
    <w:rsid w:val="00B229F5"/>
    <w:rsid w:val="00B22F4A"/>
    <w:rsid w:val="00B23151"/>
    <w:rsid w:val="00B2335E"/>
    <w:rsid w:val="00B234D8"/>
    <w:rsid w:val="00B237A8"/>
    <w:rsid w:val="00B23DB5"/>
    <w:rsid w:val="00B244F5"/>
    <w:rsid w:val="00B24AB1"/>
    <w:rsid w:val="00B24CC3"/>
    <w:rsid w:val="00B2500D"/>
    <w:rsid w:val="00B25805"/>
    <w:rsid w:val="00B25F60"/>
    <w:rsid w:val="00B2608D"/>
    <w:rsid w:val="00B2614B"/>
    <w:rsid w:val="00B2689C"/>
    <w:rsid w:val="00B2733E"/>
    <w:rsid w:val="00B2745E"/>
    <w:rsid w:val="00B2787E"/>
    <w:rsid w:val="00B301D5"/>
    <w:rsid w:val="00B311D1"/>
    <w:rsid w:val="00B3130B"/>
    <w:rsid w:val="00B31376"/>
    <w:rsid w:val="00B31768"/>
    <w:rsid w:val="00B319EF"/>
    <w:rsid w:val="00B31E62"/>
    <w:rsid w:val="00B3220E"/>
    <w:rsid w:val="00B328D2"/>
    <w:rsid w:val="00B329CE"/>
    <w:rsid w:val="00B332B5"/>
    <w:rsid w:val="00B333C2"/>
    <w:rsid w:val="00B335FB"/>
    <w:rsid w:val="00B337E6"/>
    <w:rsid w:val="00B339A4"/>
    <w:rsid w:val="00B33A2E"/>
    <w:rsid w:val="00B33BE9"/>
    <w:rsid w:val="00B33E59"/>
    <w:rsid w:val="00B34050"/>
    <w:rsid w:val="00B34623"/>
    <w:rsid w:val="00B3471C"/>
    <w:rsid w:val="00B347D8"/>
    <w:rsid w:val="00B34E35"/>
    <w:rsid w:val="00B34F3A"/>
    <w:rsid w:val="00B3546A"/>
    <w:rsid w:val="00B35A12"/>
    <w:rsid w:val="00B36107"/>
    <w:rsid w:val="00B366D6"/>
    <w:rsid w:val="00B37015"/>
    <w:rsid w:val="00B374C3"/>
    <w:rsid w:val="00B37966"/>
    <w:rsid w:val="00B37AEA"/>
    <w:rsid w:val="00B37B4F"/>
    <w:rsid w:val="00B37DED"/>
    <w:rsid w:val="00B4023F"/>
    <w:rsid w:val="00B40373"/>
    <w:rsid w:val="00B40FFC"/>
    <w:rsid w:val="00B4118C"/>
    <w:rsid w:val="00B41647"/>
    <w:rsid w:val="00B41649"/>
    <w:rsid w:val="00B416AE"/>
    <w:rsid w:val="00B41918"/>
    <w:rsid w:val="00B41B91"/>
    <w:rsid w:val="00B422AF"/>
    <w:rsid w:val="00B425C3"/>
    <w:rsid w:val="00B42AA2"/>
    <w:rsid w:val="00B42B25"/>
    <w:rsid w:val="00B4352C"/>
    <w:rsid w:val="00B43F33"/>
    <w:rsid w:val="00B44746"/>
    <w:rsid w:val="00B447C6"/>
    <w:rsid w:val="00B448FF"/>
    <w:rsid w:val="00B449F3"/>
    <w:rsid w:val="00B44C28"/>
    <w:rsid w:val="00B454F8"/>
    <w:rsid w:val="00B458F9"/>
    <w:rsid w:val="00B45910"/>
    <w:rsid w:val="00B45D77"/>
    <w:rsid w:val="00B462C9"/>
    <w:rsid w:val="00B4676E"/>
    <w:rsid w:val="00B47095"/>
    <w:rsid w:val="00B47336"/>
    <w:rsid w:val="00B476C6"/>
    <w:rsid w:val="00B47E58"/>
    <w:rsid w:val="00B500F2"/>
    <w:rsid w:val="00B50246"/>
    <w:rsid w:val="00B507C0"/>
    <w:rsid w:val="00B509BD"/>
    <w:rsid w:val="00B509F7"/>
    <w:rsid w:val="00B50CB3"/>
    <w:rsid w:val="00B50FFC"/>
    <w:rsid w:val="00B51273"/>
    <w:rsid w:val="00B515DF"/>
    <w:rsid w:val="00B51B8B"/>
    <w:rsid w:val="00B51D7B"/>
    <w:rsid w:val="00B51D89"/>
    <w:rsid w:val="00B52183"/>
    <w:rsid w:val="00B52532"/>
    <w:rsid w:val="00B52575"/>
    <w:rsid w:val="00B527AE"/>
    <w:rsid w:val="00B52A41"/>
    <w:rsid w:val="00B53049"/>
    <w:rsid w:val="00B533EA"/>
    <w:rsid w:val="00B5340D"/>
    <w:rsid w:val="00B53494"/>
    <w:rsid w:val="00B53FC4"/>
    <w:rsid w:val="00B53FEA"/>
    <w:rsid w:val="00B5461E"/>
    <w:rsid w:val="00B54646"/>
    <w:rsid w:val="00B5549F"/>
    <w:rsid w:val="00B556C3"/>
    <w:rsid w:val="00B56144"/>
    <w:rsid w:val="00B5622A"/>
    <w:rsid w:val="00B5673C"/>
    <w:rsid w:val="00B56ECE"/>
    <w:rsid w:val="00B574AC"/>
    <w:rsid w:val="00B57532"/>
    <w:rsid w:val="00B57ED5"/>
    <w:rsid w:val="00B601A1"/>
    <w:rsid w:val="00B601BE"/>
    <w:rsid w:val="00B6094C"/>
    <w:rsid w:val="00B60BE5"/>
    <w:rsid w:val="00B60F6E"/>
    <w:rsid w:val="00B61022"/>
    <w:rsid w:val="00B6118E"/>
    <w:rsid w:val="00B61480"/>
    <w:rsid w:val="00B619D4"/>
    <w:rsid w:val="00B6268D"/>
    <w:rsid w:val="00B62725"/>
    <w:rsid w:val="00B62D3F"/>
    <w:rsid w:val="00B630FB"/>
    <w:rsid w:val="00B63470"/>
    <w:rsid w:val="00B63956"/>
    <w:rsid w:val="00B63D46"/>
    <w:rsid w:val="00B641FB"/>
    <w:rsid w:val="00B6436E"/>
    <w:rsid w:val="00B64ED3"/>
    <w:rsid w:val="00B652AE"/>
    <w:rsid w:val="00B65637"/>
    <w:rsid w:val="00B659B4"/>
    <w:rsid w:val="00B65E78"/>
    <w:rsid w:val="00B662CF"/>
    <w:rsid w:val="00B666B9"/>
    <w:rsid w:val="00B66DD1"/>
    <w:rsid w:val="00B67DF3"/>
    <w:rsid w:val="00B70BCC"/>
    <w:rsid w:val="00B70C7E"/>
    <w:rsid w:val="00B71253"/>
    <w:rsid w:val="00B71375"/>
    <w:rsid w:val="00B71A8D"/>
    <w:rsid w:val="00B71CD9"/>
    <w:rsid w:val="00B727E3"/>
    <w:rsid w:val="00B73153"/>
    <w:rsid w:val="00B731D2"/>
    <w:rsid w:val="00B7395C"/>
    <w:rsid w:val="00B73C97"/>
    <w:rsid w:val="00B73DAA"/>
    <w:rsid w:val="00B73E7B"/>
    <w:rsid w:val="00B73F25"/>
    <w:rsid w:val="00B74957"/>
    <w:rsid w:val="00B74F52"/>
    <w:rsid w:val="00B7534A"/>
    <w:rsid w:val="00B75A87"/>
    <w:rsid w:val="00B75A8F"/>
    <w:rsid w:val="00B75EB5"/>
    <w:rsid w:val="00B765CF"/>
    <w:rsid w:val="00B7672A"/>
    <w:rsid w:val="00B76766"/>
    <w:rsid w:val="00B76DC1"/>
    <w:rsid w:val="00B76F6D"/>
    <w:rsid w:val="00B77348"/>
    <w:rsid w:val="00B77508"/>
    <w:rsid w:val="00B777E4"/>
    <w:rsid w:val="00B77A78"/>
    <w:rsid w:val="00B77C21"/>
    <w:rsid w:val="00B77C9B"/>
    <w:rsid w:val="00B77EC5"/>
    <w:rsid w:val="00B802A0"/>
    <w:rsid w:val="00B80327"/>
    <w:rsid w:val="00B80B2D"/>
    <w:rsid w:val="00B80CB7"/>
    <w:rsid w:val="00B81025"/>
    <w:rsid w:val="00B810B1"/>
    <w:rsid w:val="00B812B3"/>
    <w:rsid w:val="00B81B91"/>
    <w:rsid w:val="00B81DBF"/>
    <w:rsid w:val="00B81F47"/>
    <w:rsid w:val="00B8234D"/>
    <w:rsid w:val="00B82A2F"/>
    <w:rsid w:val="00B82DD6"/>
    <w:rsid w:val="00B82FEC"/>
    <w:rsid w:val="00B8312B"/>
    <w:rsid w:val="00B83935"/>
    <w:rsid w:val="00B839DD"/>
    <w:rsid w:val="00B842EE"/>
    <w:rsid w:val="00B84309"/>
    <w:rsid w:val="00B8495E"/>
    <w:rsid w:val="00B8498D"/>
    <w:rsid w:val="00B849BE"/>
    <w:rsid w:val="00B84EA5"/>
    <w:rsid w:val="00B84F19"/>
    <w:rsid w:val="00B84F37"/>
    <w:rsid w:val="00B8520A"/>
    <w:rsid w:val="00B85472"/>
    <w:rsid w:val="00B85A38"/>
    <w:rsid w:val="00B85A60"/>
    <w:rsid w:val="00B85C8C"/>
    <w:rsid w:val="00B86176"/>
    <w:rsid w:val="00B862C0"/>
    <w:rsid w:val="00B86D6F"/>
    <w:rsid w:val="00B86F29"/>
    <w:rsid w:val="00B86F70"/>
    <w:rsid w:val="00B86F9D"/>
    <w:rsid w:val="00B87046"/>
    <w:rsid w:val="00B87167"/>
    <w:rsid w:val="00B87A73"/>
    <w:rsid w:val="00B87C53"/>
    <w:rsid w:val="00B9065F"/>
    <w:rsid w:val="00B90ADC"/>
    <w:rsid w:val="00B915B9"/>
    <w:rsid w:val="00B919F1"/>
    <w:rsid w:val="00B91E7E"/>
    <w:rsid w:val="00B920B6"/>
    <w:rsid w:val="00B923AB"/>
    <w:rsid w:val="00B9269A"/>
    <w:rsid w:val="00B92902"/>
    <w:rsid w:val="00B930E8"/>
    <w:rsid w:val="00B935E7"/>
    <w:rsid w:val="00B9362B"/>
    <w:rsid w:val="00B93F04"/>
    <w:rsid w:val="00B940C4"/>
    <w:rsid w:val="00B946A2"/>
    <w:rsid w:val="00B947B6"/>
    <w:rsid w:val="00B94953"/>
    <w:rsid w:val="00B94AFA"/>
    <w:rsid w:val="00B94BA4"/>
    <w:rsid w:val="00B95332"/>
    <w:rsid w:val="00B95CA6"/>
    <w:rsid w:val="00B95E21"/>
    <w:rsid w:val="00B963DD"/>
    <w:rsid w:val="00B96482"/>
    <w:rsid w:val="00B9663E"/>
    <w:rsid w:val="00B967C4"/>
    <w:rsid w:val="00B96B3D"/>
    <w:rsid w:val="00B96F9A"/>
    <w:rsid w:val="00B96FB5"/>
    <w:rsid w:val="00B970F4"/>
    <w:rsid w:val="00B97C5F"/>
    <w:rsid w:val="00B97D45"/>
    <w:rsid w:val="00B97F4B"/>
    <w:rsid w:val="00BA0143"/>
    <w:rsid w:val="00BA0597"/>
    <w:rsid w:val="00BA0D5C"/>
    <w:rsid w:val="00BA112B"/>
    <w:rsid w:val="00BA14B0"/>
    <w:rsid w:val="00BA16D4"/>
    <w:rsid w:val="00BA1A48"/>
    <w:rsid w:val="00BA1CD0"/>
    <w:rsid w:val="00BA2B64"/>
    <w:rsid w:val="00BA3036"/>
    <w:rsid w:val="00BA3ABB"/>
    <w:rsid w:val="00BA3D89"/>
    <w:rsid w:val="00BA3F6A"/>
    <w:rsid w:val="00BA3FBA"/>
    <w:rsid w:val="00BA41C4"/>
    <w:rsid w:val="00BA44A3"/>
    <w:rsid w:val="00BA4878"/>
    <w:rsid w:val="00BA48CF"/>
    <w:rsid w:val="00BA4C9A"/>
    <w:rsid w:val="00BA4DA5"/>
    <w:rsid w:val="00BA4E9D"/>
    <w:rsid w:val="00BA5462"/>
    <w:rsid w:val="00BA5619"/>
    <w:rsid w:val="00BA5AA2"/>
    <w:rsid w:val="00BA615B"/>
    <w:rsid w:val="00BA683F"/>
    <w:rsid w:val="00BA6C52"/>
    <w:rsid w:val="00BA6DE4"/>
    <w:rsid w:val="00BA7354"/>
    <w:rsid w:val="00BA74BE"/>
    <w:rsid w:val="00BA7FAA"/>
    <w:rsid w:val="00BB0093"/>
    <w:rsid w:val="00BB00AA"/>
    <w:rsid w:val="00BB01CF"/>
    <w:rsid w:val="00BB02FC"/>
    <w:rsid w:val="00BB075D"/>
    <w:rsid w:val="00BB0A2A"/>
    <w:rsid w:val="00BB164B"/>
    <w:rsid w:val="00BB1BE9"/>
    <w:rsid w:val="00BB1BEB"/>
    <w:rsid w:val="00BB1C84"/>
    <w:rsid w:val="00BB1DDB"/>
    <w:rsid w:val="00BB263D"/>
    <w:rsid w:val="00BB26AB"/>
    <w:rsid w:val="00BB26E0"/>
    <w:rsid w:val="00BB295D"/>
    <w:rsid w:val="00BB2B3F"/>
    <w:rsid w:val="00BB2DFE"/>
    <w:rsid w:val="00BB3389"/>
    <w:rsid w:val="00BB36B6"/>
    <w:rsid w:val="00BB36E3"/>
    <w:rsid w:val="00BB4218"/>
    <w:rsid w:val="00BB442C"/>
    <w:rsid w:val="00BB47C3"/>
    <w:rsid w:val="00BB4BF8"/>
    <w:rsid w:val="00BB4E96"/>
    <w:rsid w:val="00BB4EDF"/>
    <w:rsid w:val="00BB56F3"/>
    <w:rsid w:val="00BB65A6"/>
    <w:rsid w:val="00BB6A93"/>
    <w:rsid w:val="00BB6C67"/>
    <w:rsid w:val="00BB6F63"/>
    <w:rsid w:val="00BB7630"/>
    <w:rsid w:val="00BB7765"/>
    <w:rsid w:val="00BC00FF"/>
    <w:rsid w:val="00BC018F"/>
    <w:rsid w:val="00BC0533"/>
    <w:rsid w:val="00BC1083"/>
    <w:rsid w:val="00BC12F4"/>
    <w:rsid w:val="00BC1E61"/>
    <w:rsid w:val="00BC1FA3"/>
    <w:rsid w:val="00BC231E"/>
    <w:rsid w:val="00BC26DC"/>
    <w:rsid w:val="00BC2C2A"/>
    <w:rsid w:val="00BC3A35"/>
    <w:rsid w:val="00BC3AF4"/>
    <w:rsid w:val="00BC445F"/>
    <w:rsid w:val="00BC4A12"/>
    <w:rsid w:val="00BC4B44"/>
    <w:rsid w:val="00BC4EA5"/>
    <w:rsid w:val="00BC4F46"/>
    <w:rsid w:val="00BC5691"/>
    <w:rsid w:val="00BC5BB8"/>
    <w:rsid w:val="00BC6539"/>
    <w:rsid w:val="00BC6DB8"/>
    <w:rsid w:val="00BC7AF0"/>
    <w:rsid w:val="00BC7C52"/>
    <w:rsid w:val="00BD006A"/>
    <w:rsid w:val="00BD0963"/>
    <w:rsid w:val="00BD0B3C"/>
    <w:rsid w:val="00BD1060"/>
    <w:rsid w:val="00BD162D"/>
    <w:rsid w:val="00BD16F4"/>
    <w:rsid w:val="00BD18AD"/>
    <w:rsid w:val="00BD231A"/>
    <w:rsid w:val="00BD242A"/>
    <w:rsid w:val="00BD24DA"/>
    <w:rsid w:val="00BD2645"/>
    <w:rsid w:val="00BD29F7"/>
    <w:rsid w:val="00BD2BFA"/>
    <w:rsid w:val="00BD3ACB"/>
    <w:rsid w:val="00BD3B8D"/>
    <w:rsid w:val="00BD4096"/>
    <w:rsid w:val="00BD4707"/>
    <w:rsid w:val="00BD4C05"/>
    <w:rsid w:val="00BD4C44"/>
    <w:rsid w:val="00BD4D32"/>
    <w:rsid w:val="00BD4F53"/>
    <w:rsid w:val="00BD5444"/>
    <w:rsid w:val="00BD5BB3"/>
    <w:rsid w:val="00BD62DF"/>
    <w:rsid w:val="00BD6CC8"/>
    <w:rsid w:val="00BD6CD7"/>
    <w:rsid w:val="00BD6D69"/>
    <w:rsid w:val="00BD6E93"/>
    <w:rsid w:val="00BD702B"/>
    <w:rsid w:val="00BD7058"/>
    <w:rsid w:val="00BD7085"/>
    <w:rsid w:val="00BD7670"/>
    <w:rsid w:val="00BD7731"/>
    <w:rsid w:val="00BD7ECF"/>
    <w:rsid w:val="00BE0131"/>
    <w:rsid w:val="00BE0216"/>
    <w:rsid w:val="00BE0577"/>
    <w:rsid w:val="00BE100A"/>
    <w:rsid w:val="00BE10C0"/>
    <w:rsid w:val="00BE1110"/>
    <w:rsid w:val="00BE159C"/>
    <w:rsid w:val="00BE15CC"/>
    <w:rsid w:val="00BE1629"/>
    <w:rsid w:val="00BE185E"/>
    <w:rsid w:val="00BE1927"/>
    <w:rsid w:val="00BE1CFE"/>
    <w:rsid w:val="00BE1F08"/>
    <w:rsid w:val="00BE1F42"/>
    <w:rsid w:val="00BE26F4"/>
    <w:rsid w:val="00BE2DD8"/>
    <w:rsid w:val="00BE2E33"/>
    <w:rsid w:val="00BE2F05"/>
    <w:rsid w:val="00BE3285"/>
    <w:rsid w:val="00BE345F"/>
    <w:rsid w:val="00BE35CC"/>
    <w:rsid w:val="00BE3927"/>
    <w:rsid w:val="00BE3A06"/>
    <w:rsid w:val="00BE4364"/>
    <w:rsid w:val="00BE4430"/>
    <w:rsid w:val="00BE5ECE"/>
    <w:rsid w:val="00BE601B"/>
    <w:rsid w:val="00BE66EB"/>
    <w:rsid w:val="00BE6755"/>
    <w:rsid w:val="00BE6F18"/>
    <w:rsid w:val="00BE70AB"/>
    <w:rsid w:val="00BE7107"/>
    <w:rsid w:val="00BE73D5"/>
    <w:rsid w:val="00BE7983"/>
    <w:rsid w:val="00BE7AC3"/>
    <w:rsid w:val="00BE7BBD"/>
    <w:rsid w:val="00BF0154"/>
    <w:rsid w:val="00BF045E"/>
    <w:rsid w:val="00BF06EF"/>
    <w:rsid w:val="00BF0747"/>
    <w:rsid w:val="00BF0A1B"/>
    <w:rsid w:val="00BF0CD2"/>
    <w:rsid w:val="00BF0E0D"/>
    <w:rsid w:val="00BF1805"/>
    <w:rsid w:val="00BF1D2B"/>
    <w:rsid w:val="00BF1EF7"/>
    <w:rsid w:val="00BF2704"/>
    <w:rsid w:val="00BF287B"/>
    <w:rsid w:val="00BF2BD6"/>
    <w:rsid w:val="00BF30B8"/>
    <w:rsid w:val="00BF34A8"/>
    <w:rsid w:val="00BF392B"/>
    <w:rsid w:val="00BF3E4B"/>
    <w:rsid w:val="00BF4404"/>
    <w:rsid w:val="00BF4950"/>
    <w:rsid w:val="00BF4CFC"/>
    <w:rsid w:val="00BF5334"/>
    <w:rsid w:val="00BF5AAB"/>
    <w:rsid w:val="00BF61AE"/>
    <w:rsid w:val="00BF639F"/>
    <w:rsid w:val="00BF66F1"/>
    <w:rsid w:val="00BF681C"/>
    <w:rsid w:val="00BF704D"/>
    <w:rsid w:val="00C00332"/>
    <w:rsid w:val="00C003A3"/>
    <w:rsid w:val="00C00996"/>
    <w:rsid w:val="00C00A4F"/>
    <w:rsid w:val="00C018A0"/>
    <w:rsid w:val="00C019FC"/>
    <w:rsid w:val="00C01C59"/>
    <w:rsid w:val="00C01FA3"/>
    <w:rsid w:val="00C02231"/>
    <w:rsid w:val="00C023C3"/>
    <w:rsid w:val="00C02897"/>
    <w:rsid w:val="00C02DF9"/>
    <w:rsid w:val="00C03356"/>
    <w:rsid w:val="00C033FB"/>
    <w:rsid w:val="00C03D41"/>
    <w:rsid w:val="00C04206"/>
    <w:rsid w:val="00C05AB5"/>
    <w:rsid w:val="00C06121"/>
    <w:rsid w:val="00C0650F"/>
    <w:rsid w:val="00C06742"/>
    <w:rsid w:val="00C06ACC"/>
    <w:rsid w:val="00C07326"/>
    <w:rsid w:val="00C07A59"/>
    <w:rsid w:val="00C07D46"/>
    <w:rsid w:val="00C1014F"/>
    <w:rsid w:val="00C102D4"/>
    <w:rsid w:val="00C10499"/>
    <w:rsid w:val="00C10712"/>
    <w:rsid w:val="00C10926"/>
    <w:rsid w:val="00C10D16"/>
    <w:rsid w:val="00C10E6D"/>
    <w:rsid w:val="00C115BD"/>
    <w:rsid w:val="00C1255F"/>
    <w:rsid w:val="00C1261B"/>
    <w:rsid w:val="00C129ED"/>
    <w:rsid w:val="00C12AC1"/>
    <w:rsid w:val="00C12DC8"/>
    <w:rsid w:val="00C12F2E"/>
    <w:rsid w:val="00C13643"/>
    <w:rsid w:val="00C1386F"/>
    <w:rsid w:val="00C13A23"/>
    <w:rsid w:val="00C13A5D"/>
    <w:rsid w:val="00C13BE3"/>
    <w:rsid w:val="00C145B5"/>
    <w:rsid w:val="00C1495D"/>
    <w:rsid w:val="00C15224"/>
    <w:rsid w:val="00C1531C"/>
    <w:rsid w:val="00C15556"/>
    <w:rsid w:val="00C15EDA"/>
    <w:rsid w:val="00C16411"/>
    <w:rsid w:val="00C164FE"/>
    <w:rsid w:val="00C16CEC"/>
    <w:rsid w:val="00C16DC5"/>
    <w:rsid w:val="00C16EB2"/>
    <w:rsid w:val="00C17974"/>
    <w:rsid w:val="00C17F05"/>
    <w:rsid w:val="00C203CD"/>
    <w:rsid w:val="00C20B10"/>
    <w:rsid w:val="00C20C66"/>
    <w:rsid w:val="00C21AD3"/>
    <w:rsid w:val="00C223BF"/>
    <w:rsid w:val="00C224F3"/>
    <w:rsid w:val="00C225E2"/>
    <w:rsid w:val="00C226E9"/>
    <w:rsid w:val="00C22CFB"/>
    <w:rsid w:val="00C2305A"/>
    <w:rsid w:val="00C23868"/>
    <w:rsid w:val="00C2393D"/>
    <w:rsid w:val="00C23B70"/>
    <w:rsid w:val="00C23CC9"/>
    <w:rsid w:val="00C24257"/>
    <w:rsid w:val="00C24434"/>
    <w:rsid w:val="00C2480D"/>
    <w:rsid w:val="00C24895"/>
    <w:rsid w:val="00C24D79"/>
    <w:rsid w:val="00C25C8D"/>
    <w:rsid w:val="00C25CD6"/>
    <w:rsid w:val="00C25D15"/>
    <w:rsid w:val="00C26F4B"/>
    <w:rsid w:val="00C2737E"/>
    <w:rsid w:val="00C27CC0"/>
    <w:rsid w:val="00C27DF2"/>
    <w:rsid w:val="00C3014B"/>
    <w:rsid w:val="00C302CB"/>
    <w:rsid w:val="00C30B3D"/>
    <w:rsid w:val="00C30BDB"/>
    <w:rsid w:val="00C30F44"/>
    <w:rsid w:val="00C31433"/>
    <w:rsid w:val="00C3157A"/>
    <w:rsid w:val="00C31C0D"/>
    <w:rsid w:val="00C31D60"/>
    <w:rsid w:val="00C31F7C"/>
    <w:rsid w:val="00C3266F"/>
    <w:rsid w:val="00C3281A"/>
    <w:rsid w:val="00C32FC8"/>
    <w:rsid w:val="00C33040"/>
    <w:rsid w:val="00C33677"/>
    <w:rsid w:val="00C3393E"/>
    <w:rsid w:val="00C33AE2"/>
    <w:rsid w:val="00C33B63"/>
    <w:rsid w:val="00C3412A"/>
    <w:rsid w:val="00C3496D"/>
    <w:rsid w:val="00C34CA0"/>
    <w:rsid w:val="00C35017"/>
    <w:rsid w:val="00C350E9"/>
    <w:rsid w:val="00C35DE4"/>
    <w:rsid w:val="00C35F2D"/>
    <w:rsid w:val="00C36AB1"/>
    <w:rsid w:val="00C36F94"/>
    <w:rsid w:val="00C37437"/>
    <w:rsid w:val="00C375DB"/>
    <w:rsid w:val="00C37A36"/>
    <w:rsid w:val="00C37ACF"/>
    <w:rsid w:val="00C37FE5"/>
    <w:rsid w:val="00C40C92"/>
    <w:rsid w:val="00C41729"/>
    <w:rsid w:val="00C418F5"/>
    <w:rsid w:val="00C41AB8"/>
    <w:rsid w:val="00C423ED"/>
    <w:rsid w:val="00C42BCA"/>
    <w:rsid w:val="00C42BFC"/>
    <w:rsid w:val="00C43220"/>
    <w:rsid w:val="00C4338B"/>
    <w:rsid w:val="00C4356E"/>
    <w:rsid w:val="00C435E4"/>
    <w:rsid w:val="00C4376D"/>
    <w:rsid w:val="00C439A9"/>
    <w:rsid w:val="00C43A45"/>
    <w:rsid w:val="00C43DDE"/>
    <w:rsid w:val="00C43F15"/>
    <w:rsid w:val="00C43FA1"/>
    <w:rsid w:val="00C4489C"/>
    <w:rsid w:val="00C46291"/>
    <w:rsid w:val="00C46554"/>
    <w:rsid w:val="00C46C8F"/>
    <w:rsid w:val="00C47391"/>
    <w:rsid w:val="00C476C9"/>
    <w:rsid w:val="00C47779"/>
    <w:rsid w:val="00C47943"/>
    <w:rsid w:val="00C50358"/>
    <w:rsid w:val="00C50C0C"/>
    <w:rsid w:val="00C51149"/>
    <w:rsid w:val="00C51613"/>
    <w:rsid w:val="00C51A09"/>
    <w:rsid w:val="00C51DE8"/>
    <w:rsid w:val="00C522BB"/>
    <w:rsid w:val="00C52E3F"/>
    <w:rsid w:val="00C53C34"/>
    <w:rsid w:val="00C53F93"/>
    <w:rsid w:val="00C54739"/>
    <w:rsid w:val="00C54772"/>
    <w:rsid w:val="00C54773"/>
    <w:rsid w:val="00C54938"/>
    <w:rsid w:val="00C54C68"/>
    <w:rsid w:val="00C560D8"/>
    <w:rsid w:val="00C56127"/>
    <w:rsid w:val="00C56962"/>
    <w:rsid w:val="00C56A5B"/>
    <w:rsid w:val="00C56C87"/>
    <w:rsid w:val="00C57A5B"/>
    <w:rsid w:val="00C57F52"/>
    <w:rsid w:val="00C604C0"/>
    <w:rsid w:val="00C60F21"/>
    <w:rsid w:val="00C6132F"/>
    <w:rsid w:val="00C6140D"/>
    <w:rsid w:val="00C61EC0"/>
    <w:rsid w:val="00C62046"/>
    <w:rsid w:val="00C622A5"/>
    <w:rsid w:val="00C623C5"/>
    <w:rsid w:val="00C62512"/>
    <w:rsid w:val="00C6263E"/>
    <w:rsid w:val="00C62A2F"/>
    <w:rsid w:val="00C63084"/>
    <w:rsid w:val="00C6333A"/>
    <w:rsid w:val="00C634EF"/>
    <w:rsid w:val="00C6399E"/>
    <w:rsid w:val="00C63F2B"/>
    <w:rsid w:val="00C64049"/>
    <w:rsid w:val="00C64575"/>
    <w:rsid w:val="00C64AD6"/>
    <w:rsid w:val="00C64DA5"/>
    <w:rsid w:val="00C64DFD"/>
    <w:rsid w:val="00C658A3"/>
    <w:rsid w:val="00C659E0"/>
    <w:rsid w:val="00C65B05"/>
    <w:rsid w:val="00C65B0A"/>
    <w:rsid w:val="00C65B68"/>
    <w:rsid w:val="00C668D7"/>
    <w:rsid w:val="00C66C89"/>
    <w:rsid w:val="00C67521"/>
    <w:rsid w:val="00C676CC"/>
    <w:rsid w:val="00C67815"/>
    <w:rsid w:val="00C67CE8"/>
    <w:rsid w:val="00C7009A"/>
    <w:rsid w:val="00C70376"/>
    <w:rsid w:val="00C70B2F"/>
    <w:rsid w:val="00C70F9E"/>
    <w:rsid w:val="00C71103"/>
    <w:rsid w:val="00C71C5F"/>
    <w:rsid w:val="00C72E95"/>
    <w:rsid w:val="00C73A37"/>
    <w:rsid w:val="00C74365"/>
    <w:rsid w:val="00C7445C"/>
    <w:rsid w:val="00C7475F"/>
    <w:rsid w:val="00C74A22"/>
    <w:rsid w:val="00C74DD7"/>
    <w:rsid w:val="00C75546"/>
    <w:rsid w:val="00C75567"/>
    <w:rsid w:val="00C75A28"/>
    <w:rsid w:val="00C75BBB"/>
    <w:rsid w:val="00C75DC0"/>
    <w:rsid w:val="00C76800"/>
    <w:rsid w:val="00C773EE"/>
    <w:rsid w:val="00C778C3"/>
    <w:rsid w:val="00C778E3"/>
    <w:rsid w:val="00C779BA"/>
    <w:rsid w:val="00C77C98"/>
    <w:rsid w:val="00C77E23"/>
    <w:rsid w:val="00C8058E"/>
    <w:rsid w:val="00C807BC"/>
    <w:rsid w:val="00C8096C"/>
    <w:rsid w:val="00C80B77"/>
    <w:rsid w:val="00C80F34"/>
    <w:rsid w:val="00C8100B"/>
    <w:rsid w:val="00C81260"/>
    <w:rsid w:val="00C812F0"/>
    <w:rsid w:val="00C813D7"/>
    <w:rsid w:val="00C81607"/>
    <w:rsid w:val="00C81777"/>
    <w:rsid w:val="00C81840"/>
    <w:rsid w:val="00C81C5B"/>
    <w:rsid w:val="00C81D9C"/>
    <w:rsid w:val="00C82A23"/>
    <w:rsid w:val="00C82A87"/>
    <w:rsid w:val="00C83176"/>
    <w:rsid w:val="00C83262"/>
    <w:rsid w:val="00C839F3"/>
    <w:rsid w:val="00C84B70"/>
    <w:rsid w:val="00C84DCE"/>
    <w:rsid w:val="00C857A3"/>
    <w:rsid w:val="00C86159"/>
    <w:rsid w:val="00C86567"/>
    <w:rsid w:val="00C8668A"/>
    <w:rsid w:val="00C871CE"/>
    <w:rsid w:val="00C877D2"/>
    <w:rsid w:val="00C87935"/>
    <w:rsid w:val="00C879F0"/>
    <w:rsid w:val="00C87F2A"/>
    <w:rsid w:val="00C90367"/>
    <w:rsid w:val="00C90FA1"/>
    <w:rsid w:val="00C91306"/>
    <w:rsid w:val="00C9152F"/>
    <w:rsid w:val="00C9164D"/>
    <w:rsid w:val="00C92BC5"/>
    <w:rsid w:val="00C92C20"/>
    <w:rsid w:val="00C92EE2"/>
    <w:rsid w:val="00C93403"/>
    <w:rsid w:val="00C93E9A"/>
    <w:rsid w:val="00C93ED0"/>
    <w:rsid w:val="00C9417D"/>
    <w:rsid w:val="00C94268"/>
    <w:rsid w:val="00C94372"/>
    <w:rsid w:val="00C944F4"/>
    <w:rsid w:val="00C94DB9"/>
    <w:rsid w:val="00C9506E"/>
    <w:rsid w:val="00C9569A"/>
    <w:rsid w:val="00C95E4A"/>
    <w:rsid w:val="00C95FEE"/>
    <w:rsid w:val="00C963F2"/>
    <w:rsid w:val="00C965D4"/>
    <w:rsid w:val="00C96CCF"/>
    <w:rsid w:val="00C96F64"/>
    <w:rsid w:val="00C97258"/>
    <w:rsid w:val="00C972EA"/>
    <w:rsid w:val="00C97DBA"/>
    <w:rsid w:val="00CA0562"/>
    <w:rsid w:val="00CA0C31"/>
    <w:rsid w:val="00CA0E0C"/>
    <w:rsid w:val="00CA1B5C"/>
    <w:rsid w:val="00CA221E"/>
    <w:rsid w:val="00CA2237"/>
    <w:rsid w:val="00CA2735"/>
    <w:rsid w:val="00CA2F6A"/>
    <w:rsid w:val="00CA39E6"/>
    <w:rsid w:val="00CA3E04"/>
    <w:rsid w:val="00CA41D2"/>
    <w:rsid w:val="00CA435E"/>
    <w:rsid w:val="00CA45D2"/>
    <w:rsid w:val="00CA4684"/>
    <w:rsid w:val="00CA485A"/>
    <w:rsid w:val="00CA4CE4"/>
    <w:rsid w:val="00CA4F20"/>
    <w:rsid w:val="00CA51A5"/>
    <w:rsid w:val="00CA531E"/>
    <w:rsid w:val="00CA573C"/>
    <w:rsid w:val="00CA5DF6"/>
    <w:rsid w:val="00CA5ED5"/>
    <w:rsid w:val="00CA6592"/>
    <w:rsid w:val="00CA65F0"/>
    <w:rsid w:val="00CA696D"/>
    <w:rsid w:val="00CA6A25"/>
    <w:rsid w:val="00CA6DD0"/>
    <w:rsid w:val="00CA6EAF"/>
    <w:rsid w:val="00CA76A2"/>
    <w:rsid w:val="00CA76F6"/>
    <w:rsid w:val="00CA7859"/>
    <w:rsid w:val="00CA7866"/>
    <w:rsid w:val="00CB07CD"/>
    <w:rsid w:val="00CB0857"/>
    <w:rsid w:val="00CB14A6"/>
    <w:rsid w:val="00CB1D3E"/>
    <w:rsid w:val="00CB1E4C"/>
    <w:rsid w:val="00CB2202"/>
    <w:rsid w:val="00CB2364"/>
    <w:rsid w:val="00CB2A93"/>
    <w:rsid w:val="00CB2B32"/>
    <w:rsid w:val="00CB3C82"/>
    <w:rsid w:val="00CB461C"/>
    <w:rsid w:val="00CB4853"/>
    <w:rsid w:val="00CB4CCD"/>
    <w:rsid w:val="00CB5D55"/>
    <w:rsid w:val="00CB5DA2"/>
    <w:rsid w:val="00CB5EB8"/>
    <w:rsid w:val="00CB6A4C"/>
    <w:rsid w:val="00CB739F"/>
    <w:rsid w:val="00CB767D"/>
    <w:rsid w:val="00CB79B8"/>
    <w:rsid w:val="00CB7CB5"/>
    <w:rsid w:val="00CC0093"/>
    <w:rsid w:val="00CC012D"/>
    <w:rsid w:val="00CC062C"/>
    <w:rsid w:val="00CC096F"/>
    <w:rsid w:val="00CC0EC7"/>
    <w:rsid w:val="00CC10CE"/>
    <w:rsid w:val="00CC12E7"/>
    <w:rsid w:val="00CC1512"/>
    <w:rsid w:val="00CC15E5"/>
    <w:rsid w:val="00CC16F9"/>
    <w:rsid w:val="00CC1849"/>
    <w:rsid w:val="00CC1873"/>
    <w:rsid w:val="00CC1A1A"/>
    <w:rsid w:val="00CC1CEF"/>
    <w:rsid w:val="00CC2252"/>
    <w:rsid w:val="00CC257A"/>
    <w:rsid w:val="00CC2AC1"/>
    <w:rsid w:val="00CC2EEB"/>
    <w:rsid w:val="00CC2FEF"/>
    <w:rsid w:val="00CC36FD"/>
    <w:rsid w:val="00CC48C5"/>
    <w:rsid w:val="00CC4C50"/>
    <w:rsid w:val="00CC4CEC"/>
    <w:rsid w:val="00CC51C2"/>
    <w:rsid w:val="00CC51E3"/>
    <w:rsid w:val="00CC55D0"/>
    <w:rsid w:val="00CC5F4F"/>
    <w:rsid w:val="00CC60B0"/>
    <w:rsid w:val="00CC6133"/>
    <w:rsid w:val="00CC648F"/>
    <w:rsid w:val="00CC6930"/>
    <w:rsid w:val="00CC6999"/>
    <w:rsid w:val="00CC69ED"/>
    <w:rsid w:val="00CC6BB1"/>
    <w:rsid w:val="00CC6C98"/>
    <w:rsid w:val="00CC7039"/>
    <w:rsid w:val="00CC7936"/>
    <w:rsid w:val="00CC7E0A"/>
    <w:rsid w:val="00CD06E7"/>
    <w:rsid w:val="00CD0832"/>
    <w:rsid w:val="00CD109E"/>
    <w:rsid w:val="00CD1156"/>
    <w:rsid w:val="00CD1395"/>
    <w:rsid w:val="00CD1B69"/>
    <w:rsid w:val="00CD2227"/>
    <w:rsid w:val="00CD254F"/>
    <w:rsid w:val="00CD38F5"/>
    <w:rsid w:val="00CD3B7E"/>
    <w:rsid w:val="00CD3D48"/>
    <w:rsid w:val="00CD43C4"/>
    <w:rsid w:val="00CD487B"/>
    <w:rsid w:val="00CD4C24"/>
    <w:rsid w:val="00CD4DB0"/>
    <w:rsid w:val="00CD50E4"/>
    <w:rsid w:val="00CD523C"/>
    <w:rsid w:val="00CD57B9"/>
    <w:rsid w:val="00CD6096"/>
    <w:rsid w:val="00CD63BF"/>
    <w:rsid w:val="00CD6865"/>
    <w:rsid w:val="00CD6E85"/>
    <w:rsid w:val="00CD70D9"/>
    <w:rsid w:val="00CD7DE8"/>
    <w:rsid w:val="00CE04A6"/>
    <w:rsid w:val="00CE07D1"/>
    <w:rsid w:val="00CE10E7"/>
    <w:rsid w:val="00CE1221"/>
    <w:rsid w:val="00CE1AEB"/>
    <w:rsid w:val="00CE27AB"/>
    <w:rsid w:val="00CE2A56"/>
    <w:rsid w:val="00CE2C1F"/>
    <w:rsid w:val="00CE312A"/>
    <w:rsid w:val="00CE31DE"/>
    <w:rsid w:val="00CE3295"/>
    <w:rsid w:val="00CE3388"/>
    <w:rsid w:val="00CE353C"/>
    <w:rsid w:val="00CE3865"/>
    <w:rsid w:val="00CE3E28"/>
    <w:rsid w:val="00CE43FC"/>
    <w:rsid w:val="00CE44F3"/>
    <w:rsid w:val="00CE4781"/>
    <w:rsid w:val="00CE4A2A"/>
    <w:rsid w:val="00CE4A4D"/>
    <w:rsid w:val="00CE4ABD"/>
    <w:rsid w:val="00CE5030"/>
    <w:rsid w:val="00CE540E"/>
    <w:rsid w:val="00CE541B"/>
    <w:rsid w:val="00CE6269"/>
    <w:rsid w:val="00CE63CE"/>
    <w:rsid w:val="00CE6F05"/>
    <w:rsid w:val="00CE773D"/>
    <w:rsid w:val="00CE77FC"/>
    <w:rsid w:val="00CF0050"/>
    <w:rsid w:val="00CF013D"/>
    <w:rsid w:val="00CF0395"/>
    <w:rsid w:val="00CF08B1"/>
    <w:rsid w:val="00CF0A41"/>
    <w:rsid w:val="00CF0FE8"/>
    <w:rsid w:val="00CF2051"/>
    <w:rsid w:val="00CF24DE"/>
    <w:rsid w:val="00CF28F5"/>
    <w:rsid w:val="00CF2F9A"/>
    <w:rsid w:val="00CF380F"/>
    <w:rsid w:val="00CF3898"/>
    <w:rsid w:val="00CF3BAE"/>
    <w:rsid w:val="00CF4040"/>
    <w:rsid w:val="00CF43E2"/>
    <w:rsid w:val="00CF454A"/>
    <w:rsid w:val="00CF45CD"/>
    <w:rsid w:val="00CF4D83"/>
    <w:rsid w:val="00CF4E8D"/>
    <w:rsid w:val="00CF50A2"/>
    <w:rsid w:val="00CF539B"/>
    <w:rsid w:val="00CF56A1"/>
    <w:rsid w:val="00CF57C5"/>
    <w:rsid w:val="00CF5852"/>
    <w:rsid w:val="00CF5E11"/>
    <w:rsid w:val="00CF5F7A"/>
    <w:rsid w:val="00CF63BC"/>
    <w:rsid w:val="00CF674B"/>
    <w:rsid w:val="00CF6AC3"/>
    <w:rsid w:val="00CF7224"/>
    <w:rsid w:val="00CF7C21"/>
    <w:rsid w:val="00D00059"/>
    <w:rsid w:val="00D0036B"/>
    <w:rsid w:val="00D0042F"/>
    <w:rsid w:val="00D00DDA"/>
    <w:rsid w:val="00D014E7"/>
    <w:rsid w:val="00D0182D"/>
    <w:rsid w:val="00D01E0F"/>
    <w:rsid w:val="00D02864"/>
    <w:rsid w:val="00D02CAE"/>
    <w:rsid w:val="00D02DF1"/>
    <w:rsid w:val="00D03A48"/>
    <w:rsid w:val="00D03B7B"/>
    <w:rsid w:val="00D03BBC"/>
    <w:rsid w:val="00D04035"/>
    <w:rsid w:val="00D04440"/>
    <w:rsid w:val="00D0488D"/>
    <w:rsid w:val="00D04E64"/>
    <w:rsid w:val="00D04E79"/>
    <w:rsid w:val="00D0506A"/>
    <w:rsid w:val="00D06B0A"/>
    <w:rsid w:val="00D07584"/>
    <w:rsid w:val="00D07AEC"/>
    <w:rsid w:val="00D1006A"/>
    <w:rsid w:val="00D10347"/>
    <w:rsid w:val="00D10515"/>
    <w:rsid w:val="00D11062"/>
    <w:rsid w:val="00D1192C"/>
    <w:rsid w:val="00D11CF6"/>
    <w:rsid w:val="00D11DE4"/>
    <w:rsid w:val="00D120F5"/>
    <w:rsid w:val="00D12393"/>
    <w:rsid w:val="00D125FE"/>
    <w:rsid w:val="00D12B38"/>
    <w:rsid w:val="00D12E79"/>
    <w:rsid w:val="00D13297"/>
    <w:rsid w:val="00D1409C"/>
    <w:rsid w:val="00D1469B"/>
    <w:rsid w:val="00D14729"/>
    <w:rsid w:val="00D1472A"/>
    <w:rsid w:val="00D147F9"/>
    <w:rsid w:val="00D14A6E"/>
    <w:rsid w:val="00D14D05"/>
    <w:rsid w:val="00D14DC7"/>
    <w:rsid w:val="00D15103"/>
    <w:rsid w:val="00D1545D"/>
    <w:rsid w:val="00D154AE"/>
    <w:rsid w:val="00D16014"/>
    <w:rsid w:val="00D16046"/>
    <w:rsid w:val="00D16125"/>
    <w:rsid w:val="00D16AB5"/>
    <w:rsid w:val="00D16BFD"/>
    <w:rsid w:val="00D16F04"/>
    <w:rsid w:val="00D172D8"/>
    <w:rsid w:val="00D1730F"/>
    <w:rsid w:val="00D173B9"/>
    <w:rsid w:val="00D17835"/>
    <w:rsid w:val="00D17A31"/>
    <w:rsid w:val="00D17BC9"/>
    <w:rsid w:val="00D2052F"/>
    <w:rsid w:val="00D20ECA"/>
    <w:rsid w:val="00D2121B"/>
    <w:rsid w:val="00D21327"/>
    <w:rsid w:val="00D213DD"/>
    <w:rsid w:val="00D22012"/>
    <w:rsid w:val="00D22589"/>
    <w:rsid w:val="00D2262F"/>
    <w:rsid w:val="00D22748"/>
    <w:rsid w:val="00D22C8A"/>
    <w:rsid w:val="00D22CE0"/>
    <w:rsid w:val="00D22D34"/>
    <w:rsid w:val="00D23365"/>
    <w:rsid w:val="00D237A3"/>
    <w:rsid w:val="00D23A25"/>
    <w:rsid w:val="00D23DF8"/>
    <w:rsid w:val="00D24757"/>
    <w:rsid w:val="00D2525A"/>
    <w:rsid w:val="00D254C6"/>
    <w:rsid w:val="00D2553D"/>
    <w:rsid w:val="00D25CE2"/>
    <w:rsid w:val="00D26918"/>
    <w:rsid w:val="00D26B7C"/>
    <w:rsid w:val="00D27064"/>
    <w:rsid w:val="00D27664"/>
    <w:rsid w:val="00D27A4A"/>
    <w:rsid w:val="00D27D1F"/>
    <w:rsid w:val="00D27DBF"/>
    <w:rsid w:val="00D27DD5"/>
    <w:rsid w:val="00D300DA"/>
    <w:rsid w:val="00D306CC"/>
    <w:rsid w:val="00D306D6"/>
    <w:rsid w:val="00D30914"/>
    <w:rsid w:val="00D309CA"/>
    <w:rsid w:val="00D30F3D"/>
    <w:rsid w:val="00D31022"/>
    <w:rsid w:val="00D313DA"/>
    <w:rsid w:val="00D31559"/>
    <w:rsid w:val="00D31FAA"/>
    <w:rsid w:val="00D32E67"/>
    <w:rsid w:val="00D32F1F"/>
    <w:rsid w:val="00D3350A"/>
    <w:rsid w:val="00D336FF"/>
    <w:rsid w:val="00D340C1"/>
    <w:rsid w:val="00D3411F"/>
    <w:rsid w:val="00D3445C"/>
    <w:rsid w:val="00D34622"/>
    <w:rsid w:val="00D3498A"/>
    <w:rsid w:val="00D34D70"/>
    <w:rsid w:val="00D351C8"/>
    <w:rsid w:val="00D35BE7"/>
    <w:rsid w:val="00D362E2"/>
    <w:rsid w:val="00D3631C"/>
    <w:rsid w:val="00D36B22"/>
    <w:rsid w:val="00D36B5F"/>
    <w:rsid w:val="00D37121"/>
    <w:rsid w:val="00D37129"/>
    <w:rsid w:val="00D373B3"/>
    <w:rsid w:val="00D3750A"/>
    <w:rsid w:val="00D377CC"/>
    <w:rsid w:val="00D37BC1"/>
    <w:rsid w:val="00D37F2B"/>
    <w:rsid w:val="00D4017E"/>
    <w:rsid w:val="00D40997"/>
    <w:rsid w:val="00D40B9B"/>
    <w:rsid w:val="00D40BA5"/>
    <w:rsid w:val="00D40BE7"/>
    <w:rsid w:val="00D40F58"/>
    <w:rsid w:val="00D40F82"/>
    <w:rsid w:val="00D41135"/>
    <w:rsid w:val="00D41C5E"/>
    <w:rsid w:val="00D41CF2"/>
    <w:rsid w:val="00D4201B"/>
    <w:rsid w:val="00D4239E"/>
    <w:rsid w:val="00D425E2"/>
    <w:rsid w:val="00D4261C"/>
    <w:rsid w:val="00D4280E"/>
    <w:rsid w:val="00D42932"/>
    <w:rsid w:val="00D42A76"/>
    <w:rsid w:val="00D42B4E"/>
    <w:rsid w:val="00D43178"/>
    <w:rsid w:val="00D4337E"/>
    <w:rsid w:val="00D442DB"/>
    <w:rsid w:val="00D44536"/>
    <w:rsid w:val="00D446DB"/>
    <w:rsid w:val="00D44AC7"/>
    <w:rsid w:val="00D44B78"/>
    <w:rsid w:val="00D44BE9"/>
    <w:rsid w:val="00D44E3C"/>
    <w:rsid w:val="00D45998"/>
    <w:rsid w:val="00D459A8"/>
    <w:rsid w:val="00D45FDB"/>
    <w:rsid w:val="00D46451"/>
    <w:rsid w:val="00D46CE7"/>
    <w:rsid w:val="00D470B3"/>
    <w:rsid w:val="00D472AB"/>
    <w:rsid w:val="00D476D9"/>
    <w:rsid w:val="00D47C32"/>
    <w:rsid w:val="00D47E58"/>
    <w:rsid w:val="00D50368"/>
    <w:rsid w:val="00D50602"/>
    <w:rsid w:val="00D51047"/>
    <w:rsid w:val="00D5126F"/>
    <w:rsid w:val="00D513CA"/>
    <w:rsid w:val="00D51665"/>
    <w:rsid w:val="00D51BEF"/>
    <w:rsid w:val="00D5217F"/>
    <w:rsid w:val="00D521CD"/>
    <w:rsid w:val="00D52488"/>
    <w:rsid w:val="00D5296B"/>
    <w:rsid w:val="00D52A6D"/>
    <w:rsid w:val="00D5377E"/>
    <w:rsid w:val="00D53DE5"/>
    <w:rsid w:val="00D5460E"/>
    <w:rsid w:val="00D54BED"/>
    <w:rsid w:val="00D54D83"/>
    <w:rsid w:val="00D55028"/>
    <w:rsid w:val="00D56611"/>
    <w:rsid w:val="00D56B7F"/>
    <w:rsid w:val="00D57473"/>
    <w:rsid w:val="00D57CA4"/>
    <w:rsid w:val="00D57E02"/>
    <w:rsid w:val="00D6096A"/>
    <w:rsid w:val="00D60AD4"/>
    <w:rsid w:val="00D60CDB"/>
    <w:rsid w:val="00D61A9F"/>
    <w:rsid w:val="00D61CDD"/>
    <w:rsid w:val="00D62374"/>
    <w:rsid w:val="00D6240F"/>
    <w:rsid w:val="00D63326"/>
    <w:rsid w:val="00D6357F"/>
    <w:rsid w:val="00D63F5A"/>
    <w:rsid w:val="00D64125"/>
    <w:rsid w:val="00D6431B"/>
    <w:rsid w:val="00D6451F"/>
    <w:rsid w:val="00D645AF"/>
    <w:rsid w:val="00D64857"/>
    <w:rsid w:val="00D64A63"/>
    <w:rsid w:val="00D64DDF"/>
    <w:rsid w:val="00D656D8"/>
    <w:rsid w:val="00D657ED"/>
    <w:rsid w:val="00D659AC"/>
    <w:rsid w:val="00D662C2"/>
    <w:rsid w:val="00D66480"/>
    <w:rsid w:val="00D66918"/>
    <w:rsid w:val="00D66B2E"/>
    <w:rsid w:val="00D671C5"/>
    <w:rsid w:val="00D672C3"/>
    <w:rsid w:val="00D67616"/>
    <w:rsid w:val="00D676E4"/>
    <w:rsid w:val="00D67911"/>
    <w:rsid w:val="00D67FA1"/>
    <w:rsid w:val="00D70240"/>
    <w:rsid w:val="00D70323"/>
    <w:rsid w:val="00D7050C"/>
    <w:rsid w:val="00D71098"/>
    <w:rsid w:val="00D711A7"/>
    <w:rsid w:val="00D7145A"/>
    <w:rsid w:val="00D71868"/>
    <w:rsid w:val="00D71BA4"/>
    <w:rsid w:val="00D71D4A"/>
    <w:rsid w:val="00D71F7F"/>
    <w:rsid w:val="00D72605"/>
    <w:rsid w:val="00D736A7"/>
    <w:rsid w:val="00D73FFD"/>
    <w:rsid w:val="00D7411E"/>
    <w:rsid w:val="00D74232"/>
    <w:rsid w:val="00D7506E"/>
    <w:rsid w:val="00D753C3"/>
    <w:rsid w:val="00D759EB"/>
    <w:rsid w:val="00D75B81"/>
    <w:rsid w:val="00D75BF5"/>
    <w:rsid w:val="00D75C20"/>
    <w:rsid w:val="00D75DA6"/>
    <w:rsid w:val="00D75ED9"/>
    <w:rsid w:val="00D76922"/>
    <w:rsid w:val="00D76A2D"/>
    <w:rsid w:val="00D76B19"/>
    <w:rsid w:val="00D76FF4"/>
    <w:rsid w:val="00D77413"/>
    <w:rsid w:val="00D774B5"/>
    <w:rsid w:val="00D779F7"/>
    <w:rsid w:val="00D77EB2"/>
    <w:rsid w:val="00D802A9"/>
    <w:rsid w:val="00D8095D"/>
    <w:rsid w:val="00D809BC"/>
    <w:rsid w:val="00D81171"/>
    <w:rsid w:val="00D82400"/>
    <w:rsid w:val="00D8295E"/>
    <w:rsid w:val="00D82CCE"/>
    <w:rsid w:val="00D82E45"/>
    <w:rsid w:val="00D82F00"/>
    <w:rsid w:val="00D83A06"/>
    <w:rsid w:val="00D83ECA"/>
    <w:rsid w:val="00D846EC"/>
    <w:rsid w:val="00D84799"/>
    <w:rsid w:val="00D8489B"/>
    <w:rsid w:val="00D84923"/>
    <w:rsid w:val="00D849E0"/>
    <w:rsid w:val="00D84D7B"/>
    <w:rsid w:val="00D852B8"/>
    <w:rsid w:val="00D85FF2"/>
    <w:rsid w:val="00D87542"/>
    <w:rsid w:val="00D876C9"/>
    <w:rsid w:val="00D877D1"/>
    <w:rsid w:val="00D87D62"/>
    <w:rsid w:val="00D87E2A"/>
    <w:rsid w:val="00D9093A"/>
    <w:rsid w:val="00D911D3"/>
    <w:rsid w:val="00D926F8"/>
    <w:rsid w:val="00D9325C"/>
    <w:rsid w:val="00D93AA5"/>
    <w:rsid w:val="00D94A21"/>
    <w:rsid w:val="00D95113"/>
    <w:rsid w:val="00D95C20"/>
    <w:rsid w:val="00D95F3D"/>
    <w:rsid w:val="00D96670"/>
    <w:rsid w:val="00D967EB"/>
    <w:rsid w:val="00D96A85"/>
    <w:rsid w:val="00D96DC5"/>
    <w:rsid w:val="00D97114"/>
    <w:rsid w:val="00D97A5E"/>
    <w:rsid w:val="00D97BC0"/>
    <w:rsid w:val="00D97C16"/>
    <w:rsid w:val="00D97C7D"/>
    <w:rsid w:val="00D97CBD"/>
    <w:rsid w:val="00DA0144"/>
    <w:rsid w:val="00DA038E"/>
    <w:rsid w:val="00DA13E7"/>
    <w:rsid w:val="00DA1959"/>
    <w:rsid w:val="00DA19E0"/>
    <w:rsid w:val="00DA1A13"/>
    <w:rsid w:val="00DA2166"/>
    <w:rsid w:val="00DA2216"/>
    <w:rsid w:val="00DA23E9"/>
    <w:rsid w:val="00DA2544"/>
    <w:rsid w:val="00DA277B"/>
    <w:rsid w:val="00DA298E"/>
    <w:rsid w:val="00DA29C9"/>
    <w:rsid w:val="00DA31A7"/>
    <w:rsid w:val="00DA35AD"/>
    <w:rsid w:val="00DA3B82"/>
    <w:rsid w:val="00DA3C51"/>
    <w:rsid w:val="00DA3D99"/>
    <w:rsid w:val="00DA4202"/>
    <w:rsid w:val="00DA44DB"/>
    <w:rsid w:val="00DA47BD"/>
    <w:rsid w:val="00DA4D75"/>
    <w:rsid w:val="00DA50FF"/>
    <w:rsid w:val="00DA5358"/>
    <w:rsid w:val="00DA53CA"/>
    <w:rsid w:val="00DA55B1"/>
    <w:rsid w:val="00DA594F"/>
    <w:rsid w:val="00DA5A16"/>
    <w:rsid w:val="00DA5B59"/>
    <w:rsid w:val="00DA5E9C"/>
    <w:rsid w:val="00DA5EF7"/>
    <w:rsid w:val="00DA6841"/>
    <w:rsid w:val="00DA713F"/>
    <w:rsid w:val="00DA74B4"/>
    <w:rsid w:val="00DA79A0"/>
    <w:rsid w:val="00DA7C8E"/>
    <w:rsid w:val="00DA7E8D"/>
    <w:rsid w:val="00DA7ECC"/>
    <w:rsid w:val="00DA7FC4"/>
    <w:rsid w:val="00DB042E"/>
    <w:rsid w:val="00DB05CA"/>
    <w:rsid w:val="00DB0A47"/>
    <w:rsid w:val="00DB0AC6"/>
    <w:rsid w:val="00DB0F84"/>
    <w:rsid w:val="00DB1234"/>
    <w:rsid w:val="00DB1A9A"/>
    <w:rsid w:val="00DB1FA6"/>
    <w:rsid w:val="00DB265C"/>
    <w:rsid w:val="00DB309B"/>
    <w:rsid w:val="00DB30CC"/>
    <w:rsid w:val="00DB33E8"/>
    <w:rsid w:val="00DB3561"/>
    <w:rsid w:val="00DB3929"/>
    <w:rsid w:val="00DB39E4"/>
    <w:rsid w:val="00DB3B5D"/>
    <w:rsid w:val="00DB4270"/>
    <w:rsid w:val="00DB44F7"/>
    <w:rsid w:val="00DB4584"/>
    <w:rsid w:val="00DB4B30"/>
    <w:rsid w:val="00DB5474"/>
    <w:rsid w:val="00DB5479"/>
    <w:rsid w:val="00DB5835"/>
    <w:rsid w:val="00DB58AB"/>
    <w:rsid w:val="00DB5B0B"/>
    <w:rsid w:val="00DB5EBB"/>
    <w:rsid w:val="00DB71B6"/>
    <w:rsid w:val="00DB71ED"/>
    <w:rsid w:val="00DB7298"/>
    <w:rsid w:val="00DB748B"/>
    <w:rsid w:val="00DB774D"/>
    <w:rsid w:val="00DB78E3"/>
    <w:rsid w:val="00DC00CF"/>
    <w:rsid w:val="00DC020D"/>
    <w:rsid w:val="00DC12B6"/>
    <w:rsid w:val="00DC1A5C"/>
    <w:rsid w:val="00DC21C2"/>
    <w:rsid w:val="00DC2350"/>
    <w:rsid w:val="00DC24E2"/>
    <w:rsid w:val="00DC2CF6"/>
    <w:rsid w:val="00DC2EC0"/>
    <w:rsid w:val="00DC3D7C"/>
    <w:rsid w:val="00DC3E16"/>
    <w:rsid w:val="00DC4155"/>
    <w:rsid w:val="00DC45E1"/>
    <w:rsid w:val="00DC499F"/>
    <w:rsid w:val="00DC4A45"/>
    <w:rsid w:val="00DC4B0B"/>
    <w:rsid w:val="00DC4C45"/>
    <w:rsid w:val="00DC4CB0"/>
    <w:rsid w:val="00DC4E01"/>
    <w:rsid w:val="00DC5DB1"/>
    <w:rsid w:val="00DC5E93"/>
    <w:rsid w:val="00DC60C3"/>
    <w:rsid w:val="00DC6F54"/>
    <w:rsid w:val="00DC71A5"/>
    <w:rsid w:val="00DC724C"/>
    <w:rsid w:val="00DC727C"/>
    <w:rsid w:val="00DC741A"/>
    <w:rsid w:val="00DC758A"/>
    <w:rsid w:val="00DC7E1B"/>
    <w:rsid w:val="00DD06AB"/>
    <w:rsid w:val="00DD0A43"/>
    <w:rsid w:val="00DD0CD1"/>
    <w:rsid w:val="00DD0D64"/>
    <w:rsid w:val="00DD1003"/>
    <w:rsid w:val="00DD1485"/>
    <w:rsid w:val="00DD1929"/>
    <w:rsid w:val="00DD1BEC"/>
    <w:rsid w:val="00DD1E03"/>
    <w:rsid w:val="00DD24A2"/>
    <w:rsid w:val="00DD257E"/>
    <w:rsid w:val="00DD3542"/>
    <w:rsid w:val="00DD3644"/>
    <w:rsid w:val="00DD42A0"/>
    <w:rsid w:val="00DD4352"/>
    <w:rsid w:val="00DD5546"/>
    <w:rsid w:val="00DD5727"/>
    <w:rsid w:val="00DD5C7C"/>
    <w:rsid w:val="00DD5DFC"/>
    <w:rsid w:val="00DD5F54"/>
    <w:rsid w:val="00DD5F60"/>
    <w:rsid w:val="00DD7097"/>
    <w:rsid w:val="00DD76D9"/>
    <w:rsid w:val="00DD77E1"/>
    <w:rsid w:val="00DE0128"/>
    <w:rsid w:val="00DE05FD"/>
    <w:rsid w:val="00DE0A9C"/>
    <w:rsid w:val="00DE18B4"/>
    <w:rsid w:val="00DE1F26"/>
    <w:rsid w:val="00DE20A2"/>
    <w:rsid w:val="00DE2118"/>
    <w:rsid w:val="00DE29F4"/>
    <w:rsid w:val="00DE2BA7"/>
    <w:rsid w:val="00DE2F91"/>
    <w:rsid w:val="00DE353F"/>
    <w:rsid w:val="00DE36D0"/>
    <w:rsid w:val="00DE3B9C"/>
    <w:rsid w:val="00DE4397"/>
    <w:rsid w:val="00DE4504"/>
    <w:rsid w:val="00DE4521"/>
    <w:rsid w:val="00DE479F"/>
    <w:rsid w:val="00DE4D6F"/>
    <w:rsid w:val="00DE516D"/>
    <w:rsid w:val="00DE520D"/>
    <w:rsid w:val="00DE58A0"/>
    <w:rsid w:val="00DE5904"/>
    <w:rsid w:val="00DE5D38"/>
    <w:rsid w:val="00DE6350"/>
    <w:rsid w:val="00DE6A6D"/>
    <w:rsid w:val="00DE6B37"/>
    <w:rsid w:val="00DE6F6C"/>
    <w:rsid w:val="00DE778C"/>
    <w:rsid w:val="00DE7889"/>
    <w:rsid w:val="00DF0439"/>
    <w:rsid w:val="00DF0B89"/>
    <w:rsid w:val="00DF0E26"/>
    <w:rsid w:val="00DF0F9D"/>
    <w:rsid w:val="00DF2710"/>
    <w:rsid w:val="00DF30EF"/>
    <w:rsid w:val="00DF4599"/>
    <w:rsid w:val="00DF4779"/>
    <w:rsid w:val="00DF487D"/>
    <w:rsid w:val="00DF493F"/>
    <w:rsid w:val="00DF4BDD"/>
    <w:rsid w:val="00DF5194"/>
    <w:rsid w:val="00DF6206"/>
    <w:rsid w:val="00DF6317"/>
    <w:rsid w:val="00DF6482"/>
    <w:rsid w:val="00DF675D"/>
    <w:rsid w:val="00DF6881"/>
    <w:rsid w:val="00DF6E90"/>
    <w:rsid w:val="00DF70F0"/>
    <w:rsid w:val="00DF7638"/>
    <w:rsid w:val="00DF7663"/>
    <w:rsid w:val="00DF78B5"/>
    <w:rsid w:val="00DF7ABF"/>
    <w:rsid w:val="00DF7F4B"/>
    <w:rsid w:val="00E0014D"/>
    <w:rsid w:val="00E007EB"/>
    <w:rsid w:val="00E00AF9"/>
    <w:rsid w:val="00E01ACA"/>
    <w:rsid w:val="00E01B3E"/>
    <w:rsid w:val="00E01CC7"/>
    <w:rsid w:val="00E02478"/>
    <w:rsid w:val="00E0252F"/>
    <w:rsid w:val="00E02864"/>
    <w:rsid w:val="00E02C2B"/>
    <w:rsid w:val="00E02FA1"/>
    <w:rsid w:val="00E03761"/>
    <w:rsid w:val="00E037D3"/>
    <w:rsid w:val="00E03983"/>
    <w:rsid w:val="00E0399A"/>
    <w:rsid w:val="00E03D20"/>
    <w:rsid w:val="00E03F05"/>
    <w:rsid w:val="00E04195"/>
    <w:rsid w:val="00E04365"/>
    <w:rsid w:val="00E0452D"/>
    <w:rsid w:val="00E0456A"/>
    <w:rsid w:val="00E048A2"/>
    <w:rsid w:val="00E049C3"/>
    <w:rsid w:val="00E04A90"/>
    <w:rsid w:val="00E05257"/>
    <w:rsid w:val="00E05E33"/>
    <w:rsid w:val="00E060F8"/>
    <w:rsid w:val="00E06F0A"/>
    <w:rsid w:val="00E07619"/>
    <w:rsid w:val="00E07D1D"/>
    <w:rsid w:val="00E1038E"/>
    <w:rsid w:val="00E10F16"/>
    <w:rsid w:val="00E1116F"/>
    <w:rsid w:val="00E1157E"/>
    <w:rsid w:val="00E116FB"/>
    <w:rsid w:val="00E11CBD"/>
    <w:rsid w:val="00E11D6F"/>
    <w:rsid w:val="00E12017"/>
    <w:rsid w:val="00E1254B"/>
    <w:rsid w:val="00E12672"/>
    <w:rsid w:val="00E13794"/>
    <w:rsid w:val="00E13808"/>
    <w:rsid w:val="00E1403D"/>
    <w:rsid w:val="00E141BC"/>
    <w:rsid w:val="00E145B1"/>
    <w:rsid w:val="00E1489F"/>
    <w:rsid w:val="00E14EE2"/>
    <w:rsid w:val="00E151C5"/>
    <w:rsid w:val="00E152AD"/>
    <w:rsid w:val="00E15615"/>
    <w:rsid w:val="00E159BE"/>
    <w:rsid w:val="00E15B02"/>
    <w:rsid w:val="00E15B52"/>
    <w:rsid w:val="00E15D75"/>
    <w:rsid w:val="00E15F7E"/>
    <w:rsid w:val="00E16570"/>
    <w:rsid w:val="00E16670"/>
    <w:rsid w:val="00E16D86"/>
    <w:rsid w:val="00E16E16"/>
    <w:rsid w:val="00E17084"/>
    <w:rsid w:val="00E17BB0"/>
    <w:rsid w:val="00E17C53"/>
    <w:rsid w:val="00E17CA7"/>
    <w:rsid w:val="00E201CE"/>
    <w:rsid w:val="00E20BC5"/>
    <w:rsid w:val="00E20CF5"/>
    <w:rsid w:val="00E20D77"/>
    <w:rsid w:val="00E20E23"/>
    <w:rsid w:val="00E21454"/>
    <w:rsid w:val="00E21889"/>
    <w:rsid w:val="00E21B69"/>
    <w:rsid w:val="00E2213B"/>
    <w:rsid w:val="00E221FE"/>
    <w:rsid w:val="00E22684"/>
    <w:rsid w:val="00E22E2E"/>
    <w:rsid w:val="00E2380D"/>
    <w:rsid w:val="00E23E80"/>
    <w:rsid w:val="00E23F0C"/>
    <w:rsid w:val="00E24453"/>
    <w:rsid w:val="00E246FF"/>
    <w:rsid w:val="00E2495A"/>
    <w:rsid w:val="00E24E51"/>
    <w:rsid w:val="00E25022"/>
    <w:rsid w:val="00E25681"/>
    <w:rsid w:val="00E25787"/>
    <w:rsid w:val="00E2584F"/>
    <w:rsid w:val="00E26170"/>
    <w:rsid w:val="00E2622E"/>
    <w:rsid w:val="00E264D8"/>
    <w:rsid w:val="00E265E6"/>
    <w:rsid w:val="00E26725"/>
    <w:rsid w:val="00E2678C"/>
    <w:rsid w:val="00E267D7"/>
    <w:rsid w:val="00E26CEB"/>
    <w:rsid w:val="00E26DDD"/>
    <w:rsid w:val="00E26EE5"/>
    <w:rsid w:val="00E274EE"/>
    <w:rsid w:val="00E27A57"/>
    <w:rsid w:val="00E27B9C"/>
    <w:rsid w:val="00E27DD8"/>
    <w:rsid w:val="00E27E3A"/>
    <w:rsid w:val="00E27E44"/>
    <w:rsid w:val="00E307D8"/>
    <w:rsid w:val="00E30AF4"/>
    <w:rsid w:val="00E314AE"/>
    <w:rsid w:val="00E31670"/>
    <w:rsid w:val="00E31EE4"/>
    <w:rsid w:val="00E320C1"/>
    <w:rsid w:val="00E32481"/>
    <w:rsid w:val="00E3253B"/>
    <w:rsid w:val="00E32555"/>
    <w:rsid w:val="00E3269E"/>
    <w:rsid w:val="00E326FB"/>
    <w:rsid w:val="00E32764"/>
    <w:rsid w:val="00E32A7F"/>
    <w:rsid w:val="00E32E34"/>
    <w:rsid w:val="00E332BC"/>
    <w:rsid w:val="00E33461"/>
    <w:rsid w:val="00E339E0"/>
    <w:rsid w:val="00E33BBB"/>
    <w:rsid w:val="00E34019"/>
    <w:rsid w:val="00E3439D"/>
    <w:rsid w:val="00E34402"/>
    <w:rsid w:val="00E34C64"/>
    <w:rsid w:val="00E34FC8"/>
    <w:rsid w:val="00E35682"/>
    <w:rsid w:val="00E3575E"/>
    <w:rsid w:val="00E367FA"/>
    <w:rsid w:val="00E36862"/>
    <w:rsid w:val="00E36B27"/>
    <w:rsid w:val="00E36FB4"/>
    <w:rsid w:val="00E37335"/>
    <w:rsid w:val="00E373D5"/>
    <w:rsid w:val="00E379EF"/>
    <w:rsid w:val="00E40013"/>
    <w:rsid w:val="00E4107A"/>
    <w:rsid w:val="00E4119C"/>
    <w:rsid w:val="00E414F9"/>
    <w:rsid w:val="00E41705"/>
    <w:rsid w:val="00E41917"/>
    <w:rsid w:val="00E41954"/>
    <w:rsid w:val="00E41D29"/>
    <w:rsid w:val="00E41E77"/>
    <w:rsid w:val="00E423B3"/>
    <w:rsid w:val="00E427A0"/>
    <w:rsid w:val="00E4282B"/>
    <w:rsid w:val="00E42BB2"/>
    <w:rsid w:val="00E42E83"/>
    <w:rsid w:val="00E430D8"/>
    <w:rsid w:val="00E431AD"/>
    <w:rsid w:val="00E43A04"/>
    <w:rsid w:val="00E43A6D"/>
    <w:rsid w:val="00E43DE6"/>
    <w:rsid w:val="00E43E33"/>
    <w:rsid w:val="00E43EBD"/>
    <w:rsid w:val="00E4477A"/>
    <w:rsid w:val="00E44830"/>
    <w:rsid w:val="00E44CB3"/>
    <w:rsid w:val="00E44F20"/>
    <w:rsid w:val="00E45010"/>
    <w:rsid w:val="00E457C6"/>
    <w:rsid w:val="00E45D29"/>
    <w:rsid w:val="00E45E11"/>
    <w:rsid w:val="00E45EE9"/>
    <w:rsid w:val="00E463E7"/>
    <w:rsid w:val="00E46818"/>
    <w:rsid w:val="00E46A45"/>
    <w:rsid w:val="00E46EA3"/>
    <w:rsid w:val="00E46F18"/>
    <w:rsid w:val="00E47693"/>
    <w:rsid w:val="00E47FE6"/>
    <w:rsid w:val="00E50249"/>
    <w:rsid w:val="00E5051D"/>
    <w:rsid w:val="00E50580"/>
    <w:rsid w:val="00E50711"/>
    <w:rsid w:val="00E50716"/>
    <w:rsid w:val="00E5095C"/>
    <w:rsid w:val="00E50A30"/>
    <w:rsid w:val="00E50BCC"/>
    <w:rsid w:val="00E50D9C"/>
    <w:rsid w:val="00E516CF"/>
    <w:rsid w:val="00E51AF9"/>
    <w:rsid w:val="00E51BB4"/>
    <w:rsid w:val="00E51FD9"/>
    <w:rsid w:val="00E51FEC"/>
    <w:rsid w:val="00E52385"/>
    <w:rsid w:val="00E52F19"/>
    <w:rsid w:val="00E52FB5"/>
    <w:rsid w:val="00E5316B"/>
    <w:rsid w:val="00E534D9"/>
    <w:rsid w:val="00E53611"/>
    <w:rsid w:val="00E536BE"/>
    <w:rsid w:val="00E5396B"/>
    <w:rsid w:val="00E53AA3"/>
    <w:rsid w:val="00E53DA7"/>
    <w:rsid w:val="00E53DAD"/>
    <w:rsid w:val="00E53E3D"/>
    <w:rsid w:val="00E53F28"/>
    <w:rsid w:val="00E547B6"/>
    <w:rsid w:val="00E54DA3"/>
    <w:rsid w:val="00E55100"/>
    <w:rsid w:val="00E55220"/>
    <w:rsid w:val="00E55250"/>
    <w:rsid w:val="00E552D6"/>
    <w:rsid w:val="00E5579E"/>
    <w:rsid w:val="00E55C6A"/>
    <w:rsid w:val="00E55D8D"/>
    <w:rsid w:val="00E55E71"/>
    <w:rsid w:val="00E56206"/>
    <w:rsid w:val="00E562A7"/>
    <w:rsid w:val="00E5635C"/>
    <w:rsid w:val="00E565DA"/>
    <w:rsid w:val="00E56A90"/>
    <w:rsid w:val="00E56F1A"/>
    <w:rsid w:val="00E57956"/>
    <w:rsid w:val="00E57F16"/>
    <w:rsid w:val="00E6019D"/>
    <w:rsid w:val="00E604C2"/>
    <w:rsid w:val="00E60CCB"/>
    <w:rsid w:val="00E60CDB"/>
    <w:rsid w:val="00E610E0"/>
    <w:rsid w:val="00E613FD"/>
    <w:rsid w:val="00E61480"/>
    <w:rsid w:val="00E61AD8"/>
    <w:rsid w:val="00E61D68"/>
    <w:rsid w:val="00E6205E"/>
    <w:rsid w:val="00E6239E"/>
    <w:rsid w:val="00E62720"/>
    <w:rsid w:val="00E6358C"/>
    <w:rsid w:val="00E637EE"/>
    <w:rsid w:val="00E63E13"/>
    <w:rsid w:val="00E641F8"/>
    <w:rsid w:val="00E6466A"/>
    <w:rsid w:val="00E64A05"/>
    <w:rsid w:val="00E64F55"/>
    <w:rsid w:val="00E65482"/>
    <w:rsid w:val="00E6548D"/>
    <w:rsid w:val="00E65604"/>
    <w:rsid w:val="00E657AC"/>
    <w:rsid w:val="00E65AC3"/>
    <w:rsid w:val="00E663C5"/>
    <w:rsid w:val="00E66534"/>
    <w:rsid w:val="00E66785"/>
    <w:rsid w:val="00E6689C"/>
    <w:rsid w:val="00E668EC"/>
    <w:rsid w:val="00E669E3"/>
    <w:rsid w:val="00E66BDE"/>
    <w:rsid w:val="00E66D6C"/>
    <w:rsid w:val="00E66DA1"/>
    <w:rsid w:val="00E66FED"/>
    <w:rsid w:val="00E6725A"/>
    <w:rsid w:val="00E676F5"/>
    <w:rsid w:val="00E67AF5"/>
    <w:rsid w:val="00E67CD7"/>
    <w:rsid w:val="00E67DAE"/>
    <w:rsid w:val="00E67DEF"/>
    <w:rsid w:val="00E705BE"/>
    <w:rsid w:val="00E70868"/>
    <w:rsid w:val="00E70D53"/>
    <w:rsid w:val="00E71015"/>
    <w:rsid w:val="00E71024"/>
    <w:rsid w:val="00E7107D"/>
    <w:rsid w:val="00E71146"/>
    <w:rsid w:val="00E714E6"/>
    <w:rsid w:val="00E71DF2"/>
    <w:rsid w:val="00E72718"/>
    <w:rsid w:val="00E732BF"/>
    <w:rsid w:val="00E739AC"/>
    <w:rsid w:val="00E73A85"/>
    <w:rsid w:val="00E73D11"/>
    <w:rsid w:val="00E73D71"/>
    <w:rsid w:val="00E73E90"/>
    <w:rsid w:val="00E73F59"/>
    <w:rsid w:val="00E74253"/>
    <w:rsid w:val="00E745A5"/>
    <w:rsid w:val="00E74881"/>
    <w:rsid w:val="00E7496D"/>
    <w:rsid w:val="00E74CC5"/>
    <w:rsid w:val="00E754AF"/>
    <w:rsid w:val="00E755F3"/>
    <w:rsid w:val="00E757ED"/>
    <w:rsid w:val="00E75988"/>
    <w:rsid w:val="00E75C27"/>
    <w:rsid w:val="00E75EB7"/>
    <w:rsid w:val="00E75FFB"/>
    <w:rsid w:val="00E76362"/>
    <w:rsid w:val="00E76E5A"/>
    <w:rsid w:val="00E770F8"/>
    <w:rsid w:val="00E77549"/>
    <w:rsid w:val="00E77718"/>
    <w:rsid w:val="00E77BFA"/>
    <w:rsid w:val="00E77D2F"/>
    <w:rsid w:val="00E804F0"/>
    <w:rsid w:val="00E80527"/>
    <w:rsid w:val="00E81306"/>
    <w:rsid w:val="00E8187A"/>
    <w:rsid w:val="00E81898"/>
    <w:rsid w:val="00E818C5"/>
    <w:rsid w:val="00E81993"/>
    <w:rsid w:val="00E81E92"/>
    <w:rsid w:val="00E823A7"/>
    <w:rsid w:val="00E82554"/>
    <w:rsid w:val="00E82CDE"/>
    <w:rsid w:val="00E82D03"/>
    <w:rsid w:val="00E82F9A"/>
    <w:rsid w:val="00E83116"/>
    <w:rsid w:val="00E831CD"/>
    <w:rsid w:val="00E833BB"/>
    <w:rsid w:val="00E8370A"/>
    <w:rsid w:val="00E83EAB"/>
    <w:rsid w:val="00E83FB0"/>
    <w:rsid w:val="00E84773"/>
    <w:rsid w:val="00E84A29"/>
    <w:rsid w:val="00E85251"/>
    <w:rsid w:val="00E8589A"/>
    <w:rsid w:val="00E858FF"/>
    <w:rsid w:val="00E86110"/>
    <w:rsid w:val="00E862F6"/>
    <w:rsid w:val="00E86560"/>
    <w:rsid w:val="00E8657F"/>
    <w:rsid w:val="00E868E0"/>
    <w:rsid w:val="00E86CD2"/>
    <w:rsid w:val="00E86E79"/>
    <w:rsid w:val="00E87208"/>
    <w:rsid w:val="00E8756C"/>
    <w:rsid w:val="00E8768C"/>
    <w:rsid w:val="00E87DD2"/>
    <w:rsid w:val="00E9027F"/>
    <w:rsid w:val="00E90512"/>
    <w:rsid w:val="00E90AB2"/>
    <w:rsid w:val="00E91101"/>
    <w:rsid w:val="00E9276E"/>
    <w:rsid w:val="00E92920"/>
    <w:rsid w:val="00E92D6B"/>
    <w:rsid w:val="00E938DA"/>
    <w:rsid w:val="00E939FE"/>
    <w:rsid w:val="00E9432B"/>
    <w:rsid w:val="00E94375"/>
    <w:rsid w:val="00E94A9F"/>
    <w:rsid w:val="00E94D0C"/>
    <w:rsid w:val="00E94F25"/>
    <w:rsid w:val="00E95077"/>
    <w:rsid w:val="00E954CA"/>
    <w:rsid w:val="00E954F3"/>
    <w:rsid w:val="00E95723"/>
    <w:rsid w:val="00E958C0"/>
    <w:rsid w:val="00E960C5"/>
    <w:rsid w:val="00E962EF"/>
    <w:rsid w:val="00E96471"/>
    <w:rsid w:val="00E965A0"/>
    <w:rsid w:val="00E96B22"/>
    <w:rsid w:val="00E96BFF"/>
    <w:rsid w:val="00E96E15"/>
    <w:rsid w:val="00E9757C"/>
    <w:rsid w:val="00E97D4B"/>
    <w:rsid w:val="00E97D92"/>
    <w:rsid w:val="00E97F40"/>
    <w:rsid w:val="00EA0517"/>
    <w:rsid w:val="00EA0970"/>
    <w:rsid w:val="00EA0B67"/>
    <w:rsid w:val="00EA0F22"/>
    <w:rsid w:val="00EA161E"/>
    <w:rsid w:val="00EA18D0"/>
    <w:rsid w:val="00EA2B01"/>
    <w:rsid w:val="00EA2FCD"/>
    <w:rsid w:val="00EA3366"/>
    <w:rsid w:val="00EA39AB"/>
    <w:rsid w:val="00EA3C20"/>
    <w:rsid w:val="00EA3C41"/>
    <w:rsid w:val="00EA42F2"/>
    <w:rsid w:val="00EA47E1"/>
    <w:rsid w:val="00EA4C20"/>
    <w:rsid w:val="00EA55DD"/>
    <w:rsid w:val="00EA5966"/>
    <w:rsid w:val="00EA5B87"/>
    <w:rsid w:val="00EA5EF8"/>
    <w:rsid w:val="00EA5FC1"/>
    <w:rsid w:val="00EA631D"/>
    <w:rsid w:val="00EA67EB"/>
    <w:rsid w:val="00EA6947"/>
    <w:rsid w:val="00EA74D2"/>
    <w:rsid w:val="00EA754E"/>
    <w:rsid w:val="00EA772D"/>
    <w:rsid w:val="00EA7B0F"/>
    <w:rsid w:val="00EA7C44"/>
    <w:rsid w:val="00EA7D4B"/>
    <w:rsid w:val="00EB029D"/>
    <w:rsid w:val="00EB0773"/>
    <w:rsid w:val="00EB093B"/>
    <w:rsid w:val="00EB0EA5"/>
    <w:rsid w:val="00EB0FF9"/>
    <w:rsid w:val="00EB13A1"/>
    <w:rsid w:val="00EB1451"/>
    <w:rsid w:val="00EB154B"/>
    <w:rsid w:val="00EB163C"/>
    <w:rsid w:val="00EB187A"/>
    <w:rsid w:val="00EB1953"/>
    <w:rsid w:val="00EB1A3D"/>
    <w:rsid w:val="00EB28C6"/>
    <w:rsid w:val="00EB299C"/>
    <w:rsid w:val="00EB2BFB"/>
    <w:rsid w:val="00EB39AE"/>
    <w:rsid w:val="00EB3AC2"/>
    <w:rsid w:val="00EB3D3F"/>
    <w:rsid w:val="00EB3E10"/>
    <w:rsid w:val="00EB4313"/>
    <w:rsid w:val="00EB43C6"/>
    <w:rsid w:val="00EB4E9C"/>
    <w:rsid w:val="00EB4F48"/>
    <w:rsid w:val="00EB4FC9"/>
    <w:rsid w:val="00EB552F"/>
    <w:rsid w:val="00EB563A"/>
    <w:rsid w:val="00EB5872"/>
    <w:rsid w:val="00EB5979"/>
    <w:rsid w:val="00EB5A36"/>
    <w:rsid w:val="00EB626C"/>
    <w:rsid w:val="00EB6375"/>
    <w:rsid w:val="00EB64DF"/>
    <w:rsid w:val="00EB64E3"/>
    <w:rsid w:val="00EB6B26"/>
    <w:rsid w:val="00EB6C0E"/>
    <w:rsid w:val="00EB72AB"/>
    <w:rsid w:val="00EB7474"/>
    <w:rsid w:val="00EB7718"/>
    <w:rsid w:val="00EB7B3F"/>
    <w:rsid w:val="00EB7D87"/>
    <w:rsid w:val="00EC0689"/>
    <w:rsid w:val="00EC0861"/>
    <w:rsid w:val="00EC0CC5"/>
    <w:rsid w:val="00EC12B3"/>
    <w:rsid w:val="00EC1E17"/>
    <w:rsid w:val="00EC1E28"/>
    <w:rsid w:val="00EC2361"/>
    <w:rsid w:val="00EC2826"/>
    <w:rsid w:val="00EC2A05"/>
    <w:rsid w:val="00EC3891"/>
    <w:rsid w:val="00EC396A"/>
    <w:rsid w:val="00EC3C81"/>
    <w:rsid w:val="00EC3F88"/>
    <w:rsid w:val="00EC415A"/>
    <w:rsid w:val="00EC429E"/>
    <w:rsid w:val="00EC4A90"/>
    <w:rsid w:val="00EC4A96"/>
    <w:rsid w:val="00EC4F94"/>
    <w:rsid w:val="00EC50E0"/>
    <w:rsid w:val="00EC5330"/>
    <w:rsid w:val="00EC53B5"/>
    <w:rsid w:val="00EC5E7C"/>
    <w:rsid w:val="00EC6263"/>
    <w:rsid w:val="00EC6B44"/>
    <w:rsid w:val="00EC6D8C"/>
    <w:rsid w:val="00EC6ED0"/>
    <w:rsid w:val="00EC7274"/>
    <w:rsid w:val="00EC7293"/>
    <w:rsid w:val="00EC77D4"/>
    <w:rsid w:val="00EC7AB8"/>
    <w:rsid w:val="00EC7BF8"/>
    <w:rsid w:val="00ED073B"/>
    <w:rsid w:val="00ED07F4"/>
    <w:rsid w:val="00ED083C"/>
    <w:rsid w:val="00ED09F7"/>
    <w:rsid w:val="00ED0B38"/>
    <w:rsid w:val="00ED133F"/>
    <w:rsid w:val="00ED16F5"/>
    <w:rsid w:val="00ED2134"/>
    <w:rsid w:val="00ED2286"/>
    <w:rsid w:val="00ED2D50"/>
    <w:rsid w:val="00ED2F4A"/>
    <w:rsid w:val="00ED2F51"/>
    <w:rsid w:val="00ED30FA"/>
    <w:rsid w:val="00ED36C3"/>
    <w:rsid w:val="00ED3A7D"/>
    <w:rsid w:val="00ED3B2D"/>
    <w:rsid w:val="00ED3FE2"/>
    <w:rsid w:val="00ED433F"/>
    <w:rsid w:val="00ED48BE"/>
    <w:rsid w:val="00ED4C54"/>
    <w:rsid w:val="00ED5384"/>
    <w:rsid w:val="00ED626E"/>
    <w:rsid w:val="00ED686D"/>
    <w:rsid w:val="00ED693E"/>
    <w:rsid w:val="00ED6C28"/>
    <w:rsid w:val="00ED711F"/>
    <w:rsid w:val="00ED71F0"/>
    <w:rsid w:val="00ED74C6"/>
    <w:rsid w:val="00EE012D"/>
    <w:rsid w:val="00EE1367"/>
    <w:rsid w:val="00EE1368"/>
    <w:rsid w:val="00EE1493"/>
    <w:rsid w:val="00EE1A0D"/>
    <w:rsid w:val="00EE1C0D"/>
    <w:rsid w:val="00EE1E4A"/>
    <w:rsid w:val="00EE217D"/>
    <w:rsid w:val="00EE21C2"/>
    <w:rsid w:val="00EE2743"/>
    <w:rsid w:val="00EE2A4F"/>
    <w:rsid w:val="00EE2A52"/>
    <w:rsid w:val="00EE37A3"/>
    <w:rsid w:val="00EE388F"/>
    <w:rsid w:val="00EE3C94"/>
    <w:rsid w:val="00EE48E0"/>
    <w:rsid w:val="00EE4BA3"/>
    <w:rsid w:val="00EE4D59"/>
    <w:rsid w:val="00EE4E22"/>
    <w:rsid w:val="00EE50FB"/>
    <w:rsid w:val="00EE544E"/>
    <w:rsid w:val="00EE54AD"/>
    <w:rsid w:val="00EE54AF"/>
    <w:rsid w:val="00EE54DE"/>
    <w:rsid w:val="00EE54E2"/>
    <w:rsid w:val="00EE5B72"/>
    <w:rsid w:val="00EE5E9B"/>
    <w:rsid w:val="00EE63D8"/>
    <w:rsid w:val="00EE66F1"/>
    <w:rsid w:val="00EE6BB2"/>
    <w:rsid w:val="00EE6C69"/>
    <w:rsid w:val="00EE6E14"/>
    <w:rsid w:val="00EE7704"/>
    <w:rsid w:val="00EE7AED"/>
    <w:rsid w:val="00EE7F94"/>
    <w:rsid w:val="00EF010E"/>
    <w:rsid w:val="00EF04FE"/>
    <w:rsid w:val="00EF0961"/>
    <w:rsid w:val="00EF0E6A"/>
    <w:rsid w:val="00EF17BA"/>
    <w:rsid w:val="00EF1C90"/>
    <w:rsid w:val="00EF1D87"/>
    <w:rsid w:val="00EF2253"/>
    <w:rsid w:val="00EF243B"/>
    <w:rsid w:val="00EF28BE"/>
    <w:rsid w:val="00EF28D5"/>
    <w:rsid w:val="00EF2911"/>
    <w:rsid w:val="00EF2CCB"/>
    <w:rsid w:val="00EF2FF0"/>
    <w:rsid w:val="00EF30FC"/>
    <w:rsid w:val="00EF33D8"/>
    <w:rsid w:val="00EF3420"/>
    <w:rsid w:val="00EF3A0F"/>
    <w:rsid w:val="00EF3A71"/>
    <w:rsid w:val="00EF3E96"/>
    <w:rsid w:val="00EF42B0"/>
    <w:rsid w:val="00EF44C8"/>
    <w:rsid w:val="00EF4CED"/>
    <w:rsid w:val="00EF4DB0"/>
    <w:rsid w:val="00EF4DCF"/>
    <w:rsid w:val="00EF4EA4"/>
    <w:rsid w:val="00EF55B8"/>
    <w:rsid w:val="00EF587E"/>
    <w:rsid w:val="00EF5A47"/>
    <w:rsid w:val="00EF5C2E"/>
    <w:rsid w:val="00EF6079"/>
    <w:rsid w:val="00EF62F4"/>
    <w:rsid w:val="00EF68E6"/>
    <w:rsid w:val="00EF6E33"/>
    <w:rsid w:val="00EF6F4F"/>
    <w:rsid w:val="00EF7087"/>
    <w:rsid w:val="00EF775C"/>
    <w:rsid w:val="00EF7867"/>
    <w:rsid w:val="00EF7940"/>
    <w:rsid w:val="00F00048"/>
    <w:rsid w:val="00F002EF"/>
    <w:rsid w:val="00F00B54"/>
    <w:rsid w:val="00F013E1"/>
    <w:rsid w:val="00F01AA5"/>
    <w:rsid w:val="00F020BA"/>
    <w:rsid w:val="00F02160"/>
    <w:rsid w:val="00F0235C"/>
    <w:rsid w:val="00F028F9"/>
    <w:rsid w:val="00F02976"/>
    <w:rsid w:val="00F02C08"/>
    <w:rsid w:val="00F02D9A"/>
    <w:rsid w:val="00F02F19"/>
    <w:rsid w:val="00F03467"/>
    <w:rsid w:val="00F0389A"/>
    <w:rsid w:val="00F0398D"/>
    <w:rsid w:val="00F03D02"/>
    <w:rsid w:val="00F041B4"/>
    <w:rsid w:val="00F044C0"/>
    <w:rsid w:val="00F048B3"/>
    <w:rsid w:val="00F04B6E"/>
    <w:rsid w:val="00F04F1B"/>
    <w:rsid w:val="00F04F32"/>
    <w:rsid w:val="00F052CA"/>
    <w:rsid w:val="00F05373"/>
    <w:rsid w:val="00F05721"/>
    <w:rsid w:val="00F05896"/>
    <w:rsid w:val="00F05B3E"/>
    <w:rsid w:val="00F05DBD"/>
    <w:rsid w:val="00F062A8"/>
    <w:rsid w:val="00F06355"/>
    <w:rsid w:val="00F0649F"/>
    <w:rsid w:val="00F066FD"/>
    <w:rsid w:val="00F06D37"/>
    <w:rsid w:val="00F06E98"/>
    <w:rsid w:val="00F07214"/>
    <w:rsid w:val="00F078A3"/>
    <w:rsid w:val="00F07D00"/>
    <w:rsid w:val="00F07F3E"/>
    <w:rsid w:val="00F07FC1"/>
    <w:rsid w:val="00F10086"/>
    <w:rsid w:val="00F10A3E"/>
    <w:rsid w:val="00F10D83"/>
    <w:rsid w:val="00F10E74"/>
    <w:rsid w:val="00F110E8"/>
    <w:rsid w:val="00F119FE"/>
    <w:rsid w:val="00F11A3E"/>
    <w:rsid w:val="00F11B86"/>
    <w:rsid w:val="00F11C2C"/>
    <w:rsid w:val="00F11D04"/>
    <w:rsid w:val="00F11D79"/>
    <w:rsid w:val="00F120BD"/>
    <w:rsid w:val="00F1210E"/>
    <w:rsid w:val="00F12255"/>
    <w:rsid w:val="00F13183"/>
    <w:rsid w:val="00F131A2"/>
    <w:rsid w:val="00F13ADC"/>
    <w:rsid w:val="00F13FB7"/>
    <w:rsid w:val="00F1409D"/>
    <w:rsid w:val="00F1454A"/>
    <w:rsid w:val="00F1459C"/>
    <w:rsid w:val="00F14ADE"/>
    <w:rsid w:val="00F15129"/>
    <w:rsid w:val="00F15347"/>
    <w:rsid w:val="00F153FD"/>
    <w:rsid w:val="00F157FF"/>
    <w:rsid w:val="00F165B6"/>
    <w:rsid w:val="00F166CA"/>
    <w:rsid w:val="00F16A5A"/>
    <w:rsid w:val="00F16B9C"/>
    <w:rsid w:val="00F16DEC"/>
    <w:rsid w:val="00F16EDE"/>
    <w:rsid w:val="00F16F08"/>
    <w:rsid w:val="00F170EB"/>
    <w:rsid w:val="00F1790B"/>
    <w:rsid w:val="00F17C87"/>
    <w:rsid w:val="00F17D70"/>
    <w:rsid w:val="00F17FD9"/>
    <w:rsid w:val="00F2019A"/>
    <w:rsid w:val="00F20232"/>
    <w:rsid w:val="00F202B8"/>
    <w:rsid w:val="00F20510"/>
    <w:rsid w:val="00F20BC1"/>
    <w:rsid w:val="00F20BEF"/>
    <w:rsid w:val="00F20CA0"/>
    <w:rsid w:val="00F20F37"/>
    <w:rsid w:val="00F22115"/>
    <w:rsid w:val="00F22306"/>
    <w:rsid w:val="00F225BA"/>
    <w:rsid w:val="00F22704"/>
    <w:rsid w:val="00F22A56"/>
    <w:rsid w:val="00F2321B"/>
    <w:rsid w:val="00F23BB3"/>
    <w:rsid w:val="00F23BD3"/>
    <w:rsid w:val="00F23CA2"/>
    <w:rsid w:val="00F23E5E"/>
    <w:rsid w:val="00F24AD4"/>
    <w:rsid w:val="00F24D2E"/>
    <w:rsid w:val="00F254A2"/>
    <w:rsid w:val="00F25864"/>
    <w:rsid w:val="00F25D18"/>
    <w:rsid w:val="00F25E7B"/>
    <w:rsid w:val="00F25E94"/>
    <w:rsid w:val="00F2643F"/>
    <w:rsid w:val="00F26485"/>
    <w:rsid w:val="00F26810"/>
    <w:rsid w:val="00F2685A"/>
    <w:rsid w:val="00F269FE"/>
    <w:rsid w:val="00F26CA0"/>
    <w:rsid w:val="00F273EE"/>
    <w:rsid w:val="00F27420"/>
    <w:rsid w:val="00F27603"/>
    <w:rsid w:val="00F276B5"/>
    <w:rsid w:val="00F27DED"/>
    <w:rsid w:val="00F27EA9"/>
    <w:rsid w:val="00F3023F"/>
    <w:rsid w:val="00F30351"/>
    <w:rsid w:val="00F30605"/>
    <w:rsid w:val="00F31026"/>
    <w:rsid w:val="00F311A8"/>
    <w:rsid w:val="00F3137C"/>
    <w:rsid w:val="00F31595"/>
    <w:rsid w:val="00F315F1"/>
    <w:rsid w:val="00F31705"/>
    <w:rsid w:val="00F31D30"/>
    <w:rsid w:val="00F31E19"/>
    <w:rsid w:val="00F3200D"/>
    <w:rsid w:val="00F32126"/>
    <w:rsid w:val="00F32585"/>
    <w:rsid w:val="00F3278A"/>
    <w:rsid w:val="00F32DA4"/>
    <w:rsid w:val="00F32FC0"/>
    <w:rsid w:val="00F33373"/>
    <w:rsid w:val="00F33657"/>
    <w:rsid w:val="00F3381A"/>
    <w:rsid w:val="00F33CF7"/>
    <w:rsid w:val="00F33EC7"/>
    <w:rsid w:val="00F33FED"/>
    <w:rsid w:val="00F342C2"/>
    <w:rsid w:val="00F3445A"/>
    <w:rsid w:val="00F34B03"/>
    <w:rsid w:val="00F34B51"/>
    <w:rsid w:val="00F3516A"/>
    <w:rsid w:val="00F355F2"/>
    <w:rsid w:val="00F3713D"/>
    <w:rsid w:val="00F372D7"/>
    <w:rsid w:val="00F37562"/>
    <w:rsid w:val="00F37D99"/>
    <w:rsid w:val="00F40153"/>
    <w:rsid w:val="00F40379"/>
    <w:rsid w:val="00F40614"/>
    <w:rsid w:val="00F40708"/>
    <w:rsid w:val="00F40F44"/>
    <w:rsid w:val="00F41855"/>
    <w:rsid w:val="00F41857"/>
    <w:rsid w:val="00F41DB2"/>
    <w:rsid w:val="00F41FFF"/>
    <w:rsid w:val="00F42289"/>
    <w:rsid w:val="00F42830"/>
    <w:rsid w:val="00F42AA8"/>
    <w:rsid w:val="00F42CFA"/>
    <w:rsid w:val="00F42DD8"/>
    <w:rsid w:val="00F42E9D"/>
    <w:rsid w:val="00F4304F"/>
    <w:rsid w:val="00F4324E"/>
    <w:rsid w:val="00F437EA"/>
    <w:rsid w:val="00F4385E"/>
    <w:rsid w:val="00F43C64"/>
    <w:rsid w:val="00F43ECF"/>
    <w:rsid w:val="00F43F76"/>
    <w:rsid w:val="00F4401E"/>
    <w:rsid w:val="00F4428B"/>
    <w:rsid w:val="00F445A8"/>
    <w:rsid w:val="00F448E8"/>
    <w:rsid w:val="00F44A58"/>
    <w:rsid w:val="00F44FEB"/>
    <w:rsid w:val="00F454FB"/>
    <w:rsid w:val="00F456EE"/>
    <w:rsid w:val="00F45901"/>
    <w:rsid w:val="00F459DC"/>
    <w:rsid w:val="00F45A21"/>
    <w:rsid w:val="00F46375"/>
    <w:rsid w:val="00F466BA"/>
    <w:rsid w:val="00F46792"/>
    <w:rsid w:val="00F467D5"/>
    <w:rsid w:val="00F46946"/>
    <w:rsid w:val="00F47A60"/>
    <w:rsid w:val="00F47AC0"/>
    <w:rsid w:val="00F50188"/>
    <w:rsid w:val="00F508D7"/>
    <w:rsid w:val="00F50B06"/>
    <w:rsid w:val="00F50D49"/>
    <w:rsid w:val="00F511A0"/>
    <w:rsid w:val="00F51465"/>
    <w:rsid w:val="00F51BDE"/>
    <w:rsid w:val="00F526C6"/>
    <w:rsid w:val="00F53395"/>
    <w:rsid w:val="00F535BA"/>
    <w:rsid w:val="00F537FB"/>
    <w:rsid w:val="00F53DE7"/>
    <w:rsid w:val="00F54020"/>
    <w:rsid w:val="00F540B9"/>
    <w:rsid w:val="00F542F2"/>
    <w:rsid w:val="00F54410"/>
    <w:rsid w:val="00F54B96"/>
    <w:rsid w:val="00F553D5"/>
    <w:rsid w:val="00F558E1"/>
    <w:rsid w:val="00F55EDF"/>
    <w:rsid w:val="00F562C1"/>
    <w:rsid w:val="00F563D7"/>
    <w:rsid w:val="00F5646A"/>
    <w:rsid w:val="00F56796"/>
    <w:rsid w:val="00F57872"/>
    <w:rsid w:val="00F5792A"/>
    <w:rsid w:val="00F57C80"/>
    <w:rsid w:val="00F57C8F"/>
    <w:rsid w:val="00F57DA2"/>
    <w:rsid w:val="00F602AC"/>
    <w:rsid w:val="00F6055E"/>
    <w:rsid w:val="00F606A9"/>
    <w:rsid w:val="00F60A2D"/>
    <w:rsid w:val="00F618B7"/>
    <w:rsid w:val="00F6229B"/>
    <w:rsid w:val="00F623A7"/>
    <w:rsid w:val="00F62581"/>
    <w:rsid w:val="00F627EB"/>
    <w:rsid w:val="00F6297A"/>
    <w:rsid w:val="00F6338D"/>
    <w:rsid w:val="00F63517"/>
    <w:rsid w:val="00F63BA6"/>
    <w:rsid w:val="00F642B7"/>
    <w:rsid w:val="00F64452"/>
    <w:rsid w:val="00F6462C"/>
    <w:rsid w:val="00F654F4"/>
    <w:rsid w:val="00F65E66"/>
    <w:rsid w:val="00F66023"/>
    <w:rsid w:val="00F66C21"/>
    <w:rsid w:val="00F66DE5"/>
    <w:rsid w:val="00F66E40"/>
    <w:rsid w:val="00F67138"/>
    <w:rsid w:val="00F67745"/>
    <w:rsid w:val="00F677E3"/>
    <w:rsid w:val="00F67B37"/>
    <w:rsid w:val="00F705BA"/>
    <w:rsid w:val="00F70CA2"/>
    <w:rsid w:val="00F70E3C"/>
    <w:rsid w:val="00F71393"/>
    <w:rsid w:val="00F716D4"/>
    <w:rsid w:val="00F71976"/>
    <w:rsid w:val="00F71DAF"/>
    <w:rsid w:val="00F72199"/>
    <w:rsid w:val="00F7241C"/>
    <w:rsid w:val="00F7249B"/>
    <w:rsid w:val="00F728BD"/>
    <w:rsid w:val="00F728EB"/>
    <w:rsid w:val="00F7382D"/>
    <w:rsid w:val="00F73CC2"/>
    <w:rsid w:val="00F742EA"/>
    <w:rsid w:val="00F751A2"/>
    <w:rsid w:val="00F75676"/>
    <w:rsid w:val="00F75A10"/>
    <w:rsid w:val="00F75AAB"/>
    <w:rsid w:val="00F75B00"/>
    <w:rsid w:val="00F76201"/>
    <w:rsid w:val="00F76B32"/>
    <w:rsid w:val="00F77108"/>
    <w:rsid w:val="00F771EC"/>
    <w:rsid w:val="00F77273"/>
    <w:rsid w:val="00F77276"/>
    <w:rsid w:val="00F775F7"/>
    <w:rsid w:val="00F77D65"/>
    <w:rsid w:val="00F77F11"/>
    <w:rsid w:val="00F800C9"/>
    <w:rsid w:val="00F80383"/>
    <w:rsid w:val="00F80576"/>
    <w:rsid w:val="00F805AC"/>
    <w:rsid w:val="00F805D7"/>
    <w:rsid w:val="00F80628"/>
    <w:rsid w:val="00F808B2"/>
    <w:rsid w:val="00F809C0"/>
    <w:rsid w:val="00F80AD6"/>
    <w:rsid w:val="00F80D69"/>
    <w:rsid w:val="00F8104C"/>
    <w:rsid w:val="00F8134E"/>
    <w:rsid w:val="00F8160F"/>
    <w:rsid w:val="00F81AD6"/>
    <w:rsid w:val="00F81B11"/>
    <w:rsid w:val="00F81C51"/>
    <w:rsid w:val="00F821F3"/>
    <w:rsid w:val="00F82222"/>
    <w:rsid w:val="00F825E8"/>
    <w:rsid w:val="00F82711"/>
    <w:rsid w:val="00F828C1"/>
    <w:rsid w:val="00F83102"/>
    <w:rsid w:val="00F8315A"/>
    <w:rsid w:val="00F834AB"/>
    <w:rsid w:val="00F8357C"/>
    <w:rsid w:val="00F83CD5"/>
    <w:rsid w:val="00F83EA0"/>
    <w:rsid w:val="00F83EBE"/>
    <w:rsid w:val="00F84008"/>
    <w:rsid w:val="00F841D8"/>
    <w:rsid w:val="00F8420E"/>
    <w:rsid w:val="00F84FF1"/>
    <w:rsid w:val="00F852C8"/>
    <w:rsid w:val="00F85716"/>
    <w:rsid w:val="00F858AB"/>
    <w:rsid w:val="00F85BCA"/>
    <w:rsid w:val="00F85FE8"/>
    <w:rsid w:val="00F86149"/>
    <w:rsid w:val="00F8633C"/>
    <w:rsid w:val="00F866C9"/>
    <w:rsid w:val="00F8740C"/>
    <w:rsid w:val="00F87673"/>
    <w:rsid w:val="00F87754"/>
    <w:rsid w:val="00F87889"/>
    <w:rsid w:val="00F879D1"/>
    <w:rsid w:val="00F87E4C"/>
    <w:rsid w:val="00F90435"/>
    <w:rsid w:val="00F90489"/>
    <w:rsid w:val="00F915EE"/>
    <w:rsid w:val="00F91832"/>
    <w:rsid w:val="00F9265F"/>
    <w:rsid w:val="00F92D7F"/>
    <w:rsid w:val="00F92EE5"/>
    <w:rsid w:val="00F9320F"/>
    <w:rsid w:val="00F93C9A"/>
    <w:rsid w:val="00F93F89"/>
    <w:rsid w:val="00F93FBD"/>
    <w:rsid w:val="00F94C99"/>
    <w:rsid w:val="00F9508F"/>
    <w:rsid w:val="00F95E9D"/>
    <w:rsid w:val="00F961DA"/>
    <w:rsid w:val="00F96226"/>
    <w:rsid w:val="00F9628F"/>
    <w:rsid w:val="00F96364"/>
    <w:rsid w:val="00F967C7"/>
    <w:rsid w:val="00F96C17"/>
    <w:rsid w:val="00F96E84"/>
    <w:rsid w:val="00F9753F"/>
    <w:rsid w:val="00F9795B"/>
    <w:rsid w:val="00F97999"/>
    <w:rsid w:val="00F97A36"/>
    <w:rsid w:val="00F97BCB"/>
    <w:rsid w:val="00FA0046"/>
    <w:rsid w:val="00FA00E2"/>
    <w:rsid w:val="00FA0608"/>
    <w:rsid w:val="00FA0652"/>
    <w:rsid w:val="00FA083D"/>
    <w:rsid w:val="00FA0BB3"/>
    <w:rsid w:val="00FA0C68"/>
    <w:rsid w:val="00FA0C8F"/>
    <w:rsid w:val="00FA1882"/>
    <w:rsid w:val="00FA18D6"/>
    <w:rsid w:val="00FA19D6"/>
    <w:rsid w:val="00FA1B72"/>
    <w:rsid w:val="00FA1E15"/>
    <w:rsid w:val="00FA1E1A"/>
    <w:rsid w:val="00FA2391"/>
    <w:rsid w:val="00FA23C2"/>
    <w:rsid w:val="00FA24FA"/>
    <w:rsid w:val="00FA2AA1"/>
    <w:rsid w:val="00FA2CE9"/>
    <w:rsid w:val="00FA2CFF"/>
    <w:rsid w:val="00FA31FC"/>
    <w:rsid w:val="00FA3621"/>
    <w:rsid w:val="00FA3D70"/>
    <w:rsid w:val="00FA3EE3"/>
    <w:rsid w:val="00FA3F44"/>
    <w:rsid w:val="00FA4930"/>
    <w:rsid w:val="00FA4CDF"/>
    <w:rsid w:val="00FA500B"/>
    <w:rsid w:val="00FA5081"/>
    <w:rsid w:val="00FA589A"/>
    <w:rsid w:val="00FA5ED3"/>
    <w:rsid w:val="00FA6271"/>
    <w:rsid w:val="00FA65CA"/>
    <w:rsid w:val="00FA686C"/>
    <w:rsid w:val="00FA69C0"/>
    <w:rsid w:val="00FA6AE4"/>
    <w:rsid w:val="00FA76FD"/>
    <w:rsid w:val="00FA7938"/>
    <w:rsid w:val="00FA7D1A"/>
    <w:rsid w:val="00FA7E35"/>
    <w:rsid w:val="00FB053B"/>
    <w:rsid w:val="00FB0C63"/>
    <w:rsid w:val="00FB0FA7"/>
    <w:rsid w:val="00FB0FFC"/>
    <w:rsid w:val="00FB1082"/>
    <w:rsid w:val="00FB2536"/>
    <w:rsid w:val="00FB2A3E"/>
    <w:rsid w:val="00FB2C1F"/>
    <w:rsid w:val="00FB341D"/>
    <w:rsid w:val="00FB37AE"/>
    <w:rsid w:val="00FB390B"/>
    <w:rsid w:val="00FB39DA"/>
    <w:rsid w:val="00FB3F26"/>
    <w:rsid w:val="00FB4741"/>
    <w:rsid w:val="00FB4744"/>
    <w:rsid w:val="00FB48CC"/>
    <w:rsid w:val="00FB53BD"/>
    <w:rsid w:val="00FB554A"/>
    <w:rsid w:val="00FB57CF"/>
    <w:rsid w:val="00FB5BE9"/>
    <w:rsid w:val="00FB5C14"/>
    <w:rsid w:val="00FB6468"/>
    <w:rsid w:val="00FB6883"/>
    <w:rsid w:val="00FB6969"/>
    <w:rsid w:val="00FB6D85"/>
    <w:rsid w:val="00FB754F"/>
    <w:rsid w:val="00FB79B3"/>
    <w:rsid w:val="00FC0343"/>
    <w:rsid w:val="00FC03BF"/>
    <w:rsid w:val="00FC0810"/>
    <w:rsid w:val="00FC0872"/>
    <w:rsid w:val="00FC0C0E"/>
    <w:rsid w:val="00FC1100"/>
    <w:rsid w:val="00FC1193"/>
    <w:rsid w:val="00FC171A"/>
    <w:rsid w:val="00FC17A9"/>
    <w:rsid w:val="00FC183B"/>
    <w:rsid w:val="00FC1997"/>
    <w:rsid w:val="00FC1BE9"/>
    <w:rsid w:val="00FC1C27"/>
    <w:rsid w:val="00FC214E"/>
    <w:rsid w:val="00FC2313"/>
    <w:rsid w:val="00FC293B"/>
    <w:rsid w:val="00FC2DD3"/>
    <w:rsid w:val="00FC317B"/>
    <w:rsid w:val="00FC3213"/>
    <w:rsid w:val="00FC32F0"/>
    <w:rsid w:val="00FC330D"/>
    <w:rsid w:val="00FC3704"/>
    <w:rsid w:val="00FC3AB7"/>
    <w:rsid w:val="00FC3E94"/>
    <w:rsid w:val="00FC48C6"/>
    <w:rsid w:val="00FC4C15"/>
    <w:rsid w:val="00FC4E37"/>
    <w:rsid w:val="00FC4F76"/>
    <w:rsid w:val="00FC5CD5"/>
    <w:rsid w:val="00FC612F"/>
    <w:rsid w:val="00FC6874"/>
    <w:rsid w:val="00FC6886"/>
    <w:rsid w:val="00FC71D5"/>
    <w:rsid w:val="00FD0BD8"/>
    <w:rsid w:val="00FD0C94"/>
    <w:rsid w:val="00FD0E99"/>
    <w:rsid w:val="00FD0F6E"/>
    <w:rsid w:val="00FD129A"/>
    <w:rsid w:val="00FD211A"/>
    <w:rsid w:val="00FD214C"/>
    <w:rsid w:val="00FD28AB"/>
    <w:rsid w:val="00FD3120"/>
    <w:rsid w:val="00FD3155"/>
    <w:rsid w:val="00FD37A7"/>
    <w:rsid w:val="00FD390E"/>
    <w:rsid w:val="00FD3A1A"/>
    <w:rsid w:val="00FD4184"/>
    <w:rsid w:val="00FD41FE"/>
    <w:rsid w:val="00FD4463"/>
    <w:rsid w:val="00FD4896"/>
    <w:rsid w:val="00FD48A8"/>
    <w:rsid w:val="00FD5019"/>
    <w:rsid w:val="00FD511C"/>
    <w:rsid w:val="00FD5185"/>
    <w:rsid w:val="00FD53FE"/>
    <w:rsid w:val="00FD5BC8"/>
    <w:rsid w:val="00FD618C"/>
    <w:rsid w:val="00FD65FC"/>
    <w:rsid w:val="00FD69D5"/>
    <w:rsid w:val="00FD6C7D"/>
    <w:rsid w:val="00FD7045"/>
    <w:rsid w:val="00FD7B12"/>
    <w:rsid w:val="00FD7B6F"/>
    <w:rsid w:val="00FD7BAC"/>
    <w:rsid w:val="00FD7EB7"/>
    <w:rsid w:val="00FE028E"/>
    <w:rsid w:val="00FE0388"/>
    <w:rsid w:val="00FE0608"/>
    <w:rsid w:val="00FE0809"/>
    <w:rsid w:val="00FE17DD"/>
    <w:rsid w:val="00FE1CE5"/>
    <w:rsid w:val="00FE1E91"/>
    <w:rsid w:val="00FE2350"/>
    <w:rsid w:val="00FE2936"/>
    <w:rsid w:val="00FE317D"/>
    <w:rsid w:val="00FE3FAD"/>
    <w:rsid w:val="00FE4A61"/>
    <w:rsid w:val="00FE5206"/>
    <w:rsid w:val="00FE5329"/>
    <w:rsid w:val="00FE5635"/>
    <w:rsid w:val="00FE5C8C"/>
    <w:rsid w:val="00FE6360"/>
    <w:rsid w:val="00FE69CA"/>
    <w:rsid w:val="00FE70D2"/>
    <w:rsid w:val="00FE7291"/>
    <w:rsid w:val="00FE7C3D"/>
    <w:rsid w:val="00FE7CAA"/>
    <w:rsid w:val="00FE7D8C"/>
    <w:rsid w:val="00FF0637"/>
    <w:rsid w:val="00FF0977"/>
    <w:rsid w:val="00FF0A6F"/>
    <w:rsid w:val="00FF0C45"/>
    <w:rsid w:val="00FF1788"/>
    <w:rsid w:val="00FF1795"/>
    <w:rsid w:val="00FF17C4"/>
    <w:rsid w:val="00FF1A13"/>
    <w:rsid w:val="00FF1AF1"/>
    <w:rsid w:val="00FF1CA7"/>
    <w:rsid w:val="00FF2565"/>
    <w:rsid w:val="00FF3016"/>
    <w:rsid w:val="00FF31BB"/>
    <w:rsid w:val="00FF4323"/>
    <w:rsid w:val="00FF44B8"/>
    <w:rsid w:val="00FF487E"/>
    <w:rsid w:val="00FF4AA5"/>
    <w:rsid w:val="00FF4CE4"/>
    <w:rsid w:val="00FF5057"/>
    <w:rsid w:val="00FF56F9"/>
    <w:rsid w:val="00FF5795"/>
    <w:rsid w:val="00FF5953"/>
    <w:rsid w:val="00FF62BC"/>
    <w:rsid w:val="00FF633C"/>
    <w:rsid w:val="00FF6342"/>
    <w:rsid w:val="00FF6D53"/>
    <w:rsid w:val="00FF7107"/>
    <w:rsid w:val="00FF7DC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5A3B84"/>
  <w15:docId w15:val="{E95A36CA-6D98-4B61-BD04-6D0F4C34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26556A"/>
    <w:pPr>
      <w:bidi/>
      <w:spacing w:after="0" w:line="312" w:lineRule="auto"/>
    </w:pPr>
  </w:style>
  <w:style w:type="paragraph" w:styleId="10">
    <w:name w:val="heading 1"/>
    <w:basedOn w:val="a1"/>
    <w:next w:val="a1"/>
    <w:link w:val="11"/>
    <w:uiPriority w:val="9"/>
    <w:qFormat/>
    <w:rsid w:val="00724E92"/>
    <w:pPr>
      <w:keepNext/>
      <w:keepLines/>
      <w:jc w:val="center"/>
      <w:outlineLvl w:val="0"/>
    </w:pPr>
    <w:rPr>
      <w:rFonts w:eastAsiaTheme="majorEastAsia"/>
      <w:bCs/>
      <w:szCs w:val="36"/>
      <w:u w:val="single"/>
    </w:rPr>
  </w:style>
  <w:style w:type="paragraph" w:styleId="2">
    <w:name w:val="heading 2"/>
    <w:basedOn w:val="a1"/>
    <w:next w:val="a1"/>
    <w:link w:val="20"/>
    <w:uiPriority w:val="1"/>
    <w:qFormat/>
    <w:rsid w:val="00724E92"/>
    <w:pPr>
      <w:keepNext/>
      <w:keepLines/>
      <w:spacing w:before="480"/>
      <w:jc w:val="center"/>
      <w:outlineLvl w:val="1"/>
    </w:pPr>
    <w:rPr>
      <w:rFonts w:eastAsiaTheme="majorEastAsia"/>
      <w:bCs/>
      <w:szCs w:val="32"/>
    </w:rPr>
  </w:style>
  <w:style w:type="paragraph" w:styleId="3">
    <w:name w:val="heading 3"/>
    <w:basedOn w:val="a1"/>
    <w:next w:val="a1"/>
    <w:link w:val="30"/>
    <w:uiPriority w:val="1"/>
    <w:qFormat/>
    <w:rsid w:val="00724E92"/>
    <w:pPr>
      <w:keepNext/>
      <w:keepLines/>
      <w:spacing w:before="240"/>
      <w:outlineLvl w:val="2"/>
    </w:pPr>
    <w:rPr>
      <w:rFonts w:eastAsiaTheme="majorEastAsia"/>
      <w:bCs/>
      <w:szCs w:val="28"/>
      <w:u w:val="single"/>
    </w:rPr>
  </w:style>
  <w:style w:type="paragraph" w:styleId="4">
    <w:name w:val="heading 4"/>
    <w:basedOn w:val="a1"/>
    <w:next w:val="a1"/>
    <w:link w:val="40"/>
    <w:uiPriority w:val="1"/>
    <w:qFormat/>
    <w:rsid w:val="00724E92"/>
    <w:pPr>
      <w:keepNext/>
      <w:keepLines/>
      <w:spacing w:before="240"/>
      <w:outlineLvl w:val="3"/>
    </w:pPr>
    <w:rPr>
      <w:rFonts w:eastAsiaTheme="majorEastAsia"/>
      <w:bCs/>
      <w:szCs w:val="26"/>
    </w:rPr>
  </w:style>
  <w:style w:type="paragraph" w:styleId="5">
    <w:name w:val="heading 5"/>
    <w:basedOn w:val="a1"/>
    <w:next w:val="a1"/>
    <w:link w:val="50"/>
    <w:uiPriority w:val="1"/>
    <w:qFormat/>
    <w:rsid w:val="00724E92"/>
    <w:pPr>
      <w:keepNext/>
      <w:keepLines/>
      <w:outlineLvl w:val="4"/>
    </w:pPr>
    <w:rPr>
      <w:rFonts w:eastAsiaTheme="majorEastAsia"/>
      <w:bCs/>
      <w:spacing w:val="40"/>
    </w:rPr>
  </w:style>
  <w:style w:type="paragraph" w:styleId="6">
    <w:name w:val="heading 6"/>
    <w:basedOn w:val="a1"/>
    <w:next w:val="a1"/>
    <w:link w:val="60"/>
    <w:uiPriority w:val="1"/>
    <w:qFormat/>
    <w:rsid w:val="00724E92"/>
    <w:pPr>
      <w:keepNext/>
      <w:keepLines/>
      <w:outlineLvl w:val="5"/>
    </w:pPr>
    <w:rPr>
      <w:rFonts w:eastAsiaTheme="majorEastAsia"/>
      <w:spacing w:val="40"/>
    </w:rPr>
  </w:style>
  <w:style w:type="paragraph" w:styleId="7">
    <w:name w:val="heading 7"/>
    <w:basedOn w:val="a1"/>
    <w:next w:val="a1"/>
    <w:link w:val="70"/>
    <w:uiPriority w:val="1"/>
    <w:qFormat/>
    <w:rsid w:val="00724E92"/>
    <w:pPr>
      <w:keepNext/>
      <w:keepLines/>
      <w:outlineLvl w:val="6"/>
    </w:pPr>
    <w:rPr>
      <w:rFonts w:eastAsiaTheme="majorEastAsia"/>
      <w:bCs/>
      <w:spacing w:val="40"/>
    </w:rPr>
  </w:style>
  <w:style w:type="paragraph" w:styleId="8">
    <w:name w:val="heading 8"/>
    <w:basedOn w:val="a1"/>
    <w:next w:val="a1"/>
    <w:link w:val="80"/>
    <w:uiPriority w:val="1"/>
    <w:qFormat/>
    <w:rsid w:val="00724E92"/>
    <w:pPr>
      <w:keepNext/>
      <w:keepLines/>
      <w:outlineLvl w:val="7"/>
    </w:pPr>
    <w:rPr>
      <w:rFonts w:eastAsiaTheme="majorEastAsia"/>
      <w:spacing w:val="4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basedOn w:val="a2"/>
    <w:link w:val="10"/>
    <w:uiPriority w:val="9"/>
    <w:rsid w:val="00724E92"/>
    <w:rPr>
      <w:rFonts w:eastAsiaTheme="majorEastAsia"/>
      <w:bCs/>
      <w:szCs w:val="36"/>
      <w:u w:val="single"/>
    </w:rPr>
  </w:style>
  <w:style w:type="character" w:customStyle="1" w:styleId="20">
    <w:name w:val="כותרת 2 תו"/>
    <w:basedOn w:val="a2"/>
    <w:link w:val="2"/>
    <w:uiPriority w:val="1"/>
    <w:rsid w:val="00724E92"/>
    <w:rPr>
      <w:rFonts w:eastAsiaTheme="majorEastAsia"/>
      <w:bCs/>
      <w:szCs w:val="32"/>
    </w:rPr>
  </w:style>
  <w:style w:type="character" w:customStyle="1" w:styleId="30">
    <w:name w:val="כותרת 3 תו"/>
    <w:basedOn w:val="a2"/>
    <w:link w:val="3"/>
    <w:uiPriority w:val="1"/>
    <w:rsid w:val="00724E92"/>
    <w:rPr>
      <w:rFonts w:eastAsiaTheme="majorEastAsia"/>
      <w:bCs/>
      <w:szCs w:val="28"/>
      <w:u w:val="single"/>
    </w:rPr>
  </w:style>
  <w:style w:type="character" w:customStyle="1" w:styleId="40">
    <w:name w:val="כותרת 4 תו"/>
    <w:basedOn w:val="a2"/>
    <w:link w:val="4"/>
    <w:uiPriority w:val="9"/>
    <w:rsid w:val="00724E92"/>
    <w:rPr>
      <w:rFonts w:eastAsiaTheme="majorEastAsia"/>
      <w:bCs/>
      <w:szCs w:val="26"/>
    </w:rPr>
  </w:style>
  <w:style w:type="character" w:customStyle="1" w:styleId="50">
    <w:name w:val="כותרת 5 תו"/>
    <w:basedOn w:val="a2"/>
    <w:link w:val="5"/>
    <w:uiPriority w:val="1"/>
    <w:rsid w:val="00724E92"/>
    <w:rPr>
      <w:rFonts w:eastAsiaTheme="majorEastAsia"/>
      <w:bCs/>
      <w:spacing w:val="40"/>
    </w:rPr>
  </w:style>
  <w:style w:type="character" w:customStyle="1" w:styleId="60">
    <w:name w:val="כותרת 6 תו"/>
    <w:basedOn w:val="a2"/>
    <w:link w:val="6"/>
    <w:uiPriority w:val="1"/>
    <w:rsid w:val="00724E92"/>
    <w:rPr>
      <w:rFonts w:eastAsiaTheme="majorEastAsia"/>
      <w:spacing w:val="40"/>
    </w:rPr>
  </w:style>
  <w:style w:type="character" w:customStyle="1" w:styleId="70">
    <w:name w:val="כותרת 7 תו"/>
    <w:basedOn w:val="a2"/>
    <w:link w:val="7"/>
    <w:uiPriority w:val="1"/>
    <w:rsid w:val="00724E92"/>
    <w:rPr>
      <w:rFonts w:eastAsiaTheme="majorEastAsia"/>
      <w:bCs/>
      <w:spacing w:val="40"/>
    </w:rPr>
  </w:style>
  <w:style w:type="character" w:customStyle="1" w:styleId="80">
    <w:name w:val="כותרת 8 תו"/>
    <w:basedOn w:val="a2"/>
    <w:link w:val="8"/>
    <w:uiPriority w:val="1"/>
    <w:rsid w:val="00724E92"/>
    <w:rPr>
      <w:rFonts w:eastAsiaTheme="majorEastAsia"/>
      <w:spacing w:val="40"/>
    </w:rPr>
  </w:style>
  <w:style w:type="paragraph" w:customStyle="1" w:styleId="a5">
    <w:name w:val="נבנצאל"/>
    <w:basedOn w:val="a1"/>
    <w:next w:val="a1"/>
    <w:link w:val="a6"/>
    <w:uiPriority w:val="99"/>
    <w:rsid w:val="000501A4"/>
    <w:pPr>
      <w:ind w:left="-567"/>
    </w:pPr>
    <w:rPr>
      <w:szCs w:val="20"/>
    </w:rPr>
  </w:style>
  <w:style w:type="character" w:customStyle="1" w:styleId="a6">
    <w:name w:val="נבנצאל תו"/>
    <w:basedOn w:val="a2"/>
    <w:link w:val="a5"/>
    <w:uiPriority w:val="99"/>
    <w:rsid w:val="000501A4"/>
    <w:rPr>
      <w:szCs w:val="20"/>
    </w:rPr>
  </w:style>
  <w:style w:type="paragraph" w:styleId="a7">
    <w:name w:val="header"/>
    <w:basedOn w:val="a1"/>
    <w:link w:val="a8"/>
    <w:uiPriority w:val="99"/>
    <w:unhideWhenUsed/>
    <w:rsid w:val="000501A4"/>
    <w:pPr>
      <w:tabs>
        <w:tab w:val="center" w:pos="4153"/>
        <w:tab w:val="right" w:pos="8306"/>
      </w:tabs>
      <w:spacing w:line="240" w:lineRule="auto"/>
    </w:pPr>
  </w:style>
  <w:style w:type="character" w:customStyle="1" w:styleId="a8">
    <w:name w:val="כותרת עליונה תו"/>
    <w:basedOn w:val="a2"/>
    <w:link w:val="a7"/>
    <w:uiPriority w:val="99"/>
    <w:rsid w:val="000501A4"/>
  </w:style>
  <w:style w:type="paragraph" w:styleId="a9">
    <w:name w:val="footer"/>
    <w:basedOn w:val="a1"/>
    <w:link w:val="aa"/>
    <w:uiPriority w:val="99"/>
    <w:unhideWhenUsed/>
    <w:rsid w:val="000501A4"/>
    <w:pPr>
      <w:tabs>
        <w:tab w:val="center" w:pos="4153"/>
        <w:tab w:val="right" w:pos="8306"/>
      </w:tabs>
      <w:spacing w:line="240" w:lineRule="auto"/>
    </w:pPr>
  </w:style>
  <w:style w:type="character" w:customStyle="1" w:styleId="aa">
    <w:name w:val="כותרת תחתונה תו"/>
    <w:basedOn w:val="a2"/>
    <w:link w:val="a9"/>
    <w:uiPriority w:val="99"/>
    <w:rsid w:val="000501A4"/>
  </w:style>
  <w:style w:type="paragraph" w:styleId="ab">
    <w:name w:val="Date"/>
    <w:basedOn w:val="a1"/>
    <w:next w:val="a1"/>
    <w:link w:val="ac"/>
    <w:uiPriority w:val="99"/>
    <w:unhideWhenUsed/>
    <w:rsid w:val="000501A4"/>
    <w:pPr>
      <w:spacing w:before="120" w:line="240" w:lineRule="auto"/>
    </w:pPr>
  </w:style>
  <w:style w:type="character" w:customStyle="1" w:styleId="ac">
    <w:name w:val="תאריך תו"/>
    <w:basedOn w:val="a2"/>
    <w:link w:val="ab"/>
    <w:uiPriority w:val="99"/>
    <w:rsid w:val="000501A4"/>
  </w:style>
  <w:style w:type="paragraph" w:styleId="ad">
    <w:name w:val="footnote text"/>
    <w:basedOn w:val="a1"/>
    <w:link w:val="ae"/>
    <w:uiPriority w:val="99"/>
    <w:rsid w:val="00574579"/>
    <w:pPr>
      <w:spacing w:line="240" w:lineRule="auto"/>
      <w:ind w:left="720" w:hanging="720"/>
    </w:pPr>
    <w:rPr>
      <w:szCs w:val="20"/>
    </w:rPr>
  </w:style>
  <w:style w:type="character" w:customStyle="1" w:styleId="ae">
    <w:name w:val="טקסט הערת שוליים תו"/>
    <w:basedOn w:val="a2"/>
    <w:link w:val="ad"/>
    <w:uiPriority w:val="99"/>
    <w:rsid w:val="00574579"/>
    <w:rPr>
      <w:szCs w:val="20"/>
    </w:rPr>
  </w:style>
  <w:style w:type="character" w:styleId="af">
    <w:name w:val="footnote reference"/>
    <w:basedOn w:val="a2"/>
    <w:uiPriority w:val="99"/>
    <w:unhideWhenUsed/>
    <w:rsid w:val="000501A4"/>
    <w:rPr>
      <w:vertAlign w:val="superscript"/>
    </w:rPr>
  </w:style>
  <w:style w:type="paragraph" w:styleId="af0">
    <w:name w:val="annotation text"/>
    <w:basedOn w:val="a1"/>
    <w:link w:val="af1"/>
    <w:uiPriority w:val="99"/>
    <w:unhideWhenUsed/>
    <w:rsid w:val="0026556A"/>
    <w:pPr>
      <w:spacing w:line="240" w:lineRule="auto"/>
    </w:pPr>
    <w:rPr>
      <w:szCs w:val="20"/>
    </w:rPr>
  </w:style>
  <w:style w:type="character" w:customStyle="1" w:styleId="af1">
    <w:name w:val="טקסט הערה תו"/>
    <w:basedOn w:val="a2"/>
    <w:link w:val="af0"/>
    <w:uiPriority w:val="99"/>
    <w:rsid w:val="0026556A"/>
    <w:rPr>
      <w:szCs w:val="20"/>
    </w:rPr>
  </w:style>
  <w:style w:type="paragraph" w:styleId="af2">
    <w:name w:val="List Paragraph"/>
    <w:basedOn w:val="a1"/>
    <w:link w:val="af3"/>
    <w:uiPriority w:val="34"/>
    <w:qFormat/>
    <w:rsid w:val="0026556A"/>
    <w:pPr>
      <w:ind w:left="720"/>
      <w:contextualSpacing/>
    </w:pPr>
  </w:style>
  <w:style w:type="character" w:customStyle="1" w:styleId="af3">
    <w:name w:val="פיסקת רשימה תו"/>
    <w:basedOn w:val="a2"/>
    <w:link w:val="af2"/>
    <w:uiPriority w:val="34"/>
    <w:rsid w:val="0026556A"/>
  </w:style>
  <w:style w:type="character" w:styleId="af4">
    <w:name w:val="annotation reference"/>
    <w:basedOn w:val="a2"/>
    <w:uiPriority w:val="99"/>
    <w:unhideWhenUsed/>
    <w:rsid w:val="0026556A"/>
    <w:rPr>
      <w:sz w:val="16"/>
      <w:szCs w:val="16"/>
    </w:rPr>
  </w:style>
  <w:style w:type="paragraph" w:styleId="af5">
    <w:name w:val="Balloon Text"/>
    <w:basedOn w:val="a1"/>
    <w:link w:val="af6"/>
    <w:uiPriority w:val="99"/>
    <w:semiHidden/>
    <w:unhideWhenUsed/>
    <w:rsid w:val="0026556A"/>
    <w:pPr>
      <w:spacing w:line="240" w:lineRule="auto"/>
    </w:pPr>
    <w:rPr>
      <w:rFonts w:ascii="Tahoma" w:hAnsi="Tahoma" w:cs="Tahoma"/>
      <w:sz w:val="18"/>
      <w:szCs w:val="18"/>
    </w:rPr>
  </w:style>
  <w:style w:type="character" w:customStyle="1" w:styleId="af6">
    <w:name w:val="טקסט בלונים תו"/>
    <w:basedOn w:val="a2"/>
    <w:link w:val="af5"/>
    <w:uiPriority w:val="99"/>
    <w:semiHidden/>
    <w:rsid w:val="0026556A"/>
    <w:rPr>
      <w:rFonts w:ascii="Tahoma" w:hAnsi="Tahoma" w:cs="Tahoma"/>
      <w:sz w:val="18"/>
      <w:szCs w:val="18"/>
    </w:rPr>
  </w:style>
  <w:style w:type="paragraph" w:styleId="af7">
    <w:name w:val="annotation subject"/>
    <w:basedOn w:val="af0"/>
    <w:next w:val="af0"/>
    <w:link w:val="af8"/>
    <w:unhideWhenUsed/>
    <w:rsid w:val="0026556A"/>
    <w:rPr>
      <w:b/>
      <w:bCs/>
    </w:rPr>
  </w:style>
  <w:style w:type="character" w:customStyle="1" w:styleId="af8">
    <w:name w:val="נושא הערה תו"/>
    <w:basedOn w:val="af1"/>
    <w:link w:val="af7"/>
    <w:rsid w:val="0026556A"/>
    <w:rPr>
      <w:b/>
      <w:bCs/>
      <w:szCs w:val="20"/>
    </w:rPr>
  </w:style>
  <w:style w:type="paragraph" w:styleId="af9">
    <w:name w:val="endnote text"/>
    <w:basedOn w:val="a1"/>
    <w:link w:val="afa"/>
    <w:uiPriority w:val="99"/>
    <w:unhideWhenUsed/>
    <w:rsid w:val="0026556A"/>
    <w:pPr>
      <w:spacing w:line="240" w:lineRule="auto"/>
    </w:pPr>
    <w:rPr>
      <w:szCs w:val="20"/>
    </w:rPr>
  </w:style>
  <w:style w:type="character" w:customStyle="1" w:styleId="afa">
    <w:name w:val="טקסט הערת סיום תו"/>
    <w:basedOn w:val="a2"/>
    <w:link w:val="af9"/>
    <w:uiPriority w:val="99"/>
    <w:rsid w:val="0026556A"/>
    <w:rPr>
      <w:szCs w:val="20"/>
    </w:rPr>
  </w:style>
  <w:style w:type="character" w:styleId="afb">
    <w:name w:val="endnote reference"/>
    <w:basedOn w:val="a2"/>
    <w:uiPriority w:val="99"/>
    <w:semiHidden/>
    <w:unhideWhenUsed/>
    <w:rsid w:val="0026556A"/>
    <w:rPr>
      <w:vertAlign w:val="superscript"/>
    </w:rPr>
  </w:style>
  <w:style w:type="table" w:styleId="afc">
    <w:name w:val="Table Grid"/>
    <w:basedOn w:val="a3"/>
    <w:uiPriority w:val="59"/>
    <w:rsid w:val="00265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2"/>
    <w:uiPriority w:val="99"/>
    <w:unhideWhenUsed/>
    <w:rsid w:val="0026556A"/>
    <w:rPr>
      <w:color w:val="0000FF" w:themeColor="hyperlink"/>
      <w:u w:val="single"/>
    </w:rPr>
  </w:style>
  <w:style w:type="paragraph" w:customStyle="1" w:styleId="a">
    <w:name w:val="מדורג מספר"/>
    <w:basedOn w:val="a1"/>
    <w:rsid w:val="0026556A"/>
    <w:pPr>
      <w:numPr>
        <w:numId w:val="1"/>
      </w:numPr>
      <w:spacing w:before="120" w:line="360" w:lineRule="auto"/>
      <w:ind w:right="0"/>
    </w:pPr>
    <w:rPr>
      <w:rFonts w:eastAsia="Times New Roman"/>
      <w:snapToGrid w:val="0"/>
      <w:kern w:val="28"/>
      <w:sz w:val="24"/>
      <w:lang w:eastAsia="he-IL"/>
    </w:rPr>
  </w:style>
  <w:style w:type="paragraph" w:styleId="afd">
    <w:name w:val="TOC Heading"/>
    <w:basedOn w:val="10"/>
    <w:next w:val="a1"/>
    <w:uiPriority w:val="39"/>
    <w:unhideWhenUsed/>
    <w:qFormat/>
    <w:rsid w:val="0026556A"/>
    <w:pPr>
      <w:spacing w:before="240" w:line="259" w:lineRule="auto"/>
      <w:jc w:val="left"/>
      <w:outlineLvl w:val="9"/>
    </w:pPr>
    <w:rPr>
      <w:rFonts w:asciiTheme="majorHAnsi" w:hAnsiTheme="majorHAnsi" w:cstheme="majorBidi"/>
      <w:bCs w:val="0"/>
      <w:color w:val="8E1E31" w:themeColor="accent1" w:themeShade="BF"/>
      <w:sz w:val="32"/>
      <w:szCs w:val="32"/>
      <w:u w:val="none"/>
      <w:rtl/>
      <w:cs/>
    </w:rPr>
  </w:style>
  <w:style w:type="paragraph" w:styleId="TOC2">
    <w:name w:val="toc 2"/>
    <w:basedOn w:val="a1"/>
    <w:next w:val="a1"/>
    <w:autoRedefine/>
    <w:uiPriority w:val="39"/>
    <w:unhideWhenUsed/>
    <w:qFormat/>
    <w:rsid w:val="00594626"/>
    <w:pPr>
      <w:tabs>
        <w:tab w:val="right" w:leader="dot" w:pos="8210"/>
      </w:tabs>
      <w:ind w:left="200"/>
      <w:jc w:val="left"/>
    </w:pPr>
    <w:rPr>
      <w:rFonts w:asciiTheme="minorHAnsi" w:hAnsiTheme="minorHAnsi" w:cstheme="minorHAnsi"/>
      <w:smallCaps/>
      <w:szCs w:val="20"/>
    </w:rPr>
  </w:style>
  <w:style w:type="paragraph" w:styleId="TOC1">
    <w:name w:val="toc 1"/>
    <w:basedOn w:val="a1"/>
    <w:next w:val="a1"/>
    <w:autoRedefine/>
    <w:uiPriority w:val="39"/>
    <w:unhideWhenUsed/>
    <w:qFormat/>
    <w:rsid w:val="00E07D1D"/>
    <w:pPr>
      <w:spacing w:before="120" w:after="120"/>
      <w:jc w:val="left"/>
    </w:pPr>
    <w:rPr>
      <w:rFonts w:asciiTheme="minorHAnsi" w:hAnsiTheme="minorHAnsi" w:cstheme="minorHAnsi"/>
      <w:b/>
      <w:bCs/>
      <w:caps/>
      <w:szCs w:val="20"/>
    </w:rPr>
  </w:style>
  <w:style w:type="paragraph" w:styleId="TOC3">
    <w:name w:val="toc 3"/>
    <w:basedOn w:val="a1"/>
    <w:next w:val="a1"/>
    <w:autoRedefine/>
    <w:uiPriority w:val="39"/>
    <w:unhideWhenUsed/>
    <w:qFormat/>
    <w:rsid w:val="004A57A3"/>
    <w:pPr>
      <w:tabs>
        <w:tab w:val="right" w:leader="dot" w:pos="8210"/>
      </w:tabs>
      <w:ind w:left="400"/>
      <w:jc w:val="left"/>
    </w:pPr>
    <w:rPr>
      <w:rFonts w:asciiTheme="minorHAnsi" w:eastAsia="Times New Roman" w:hAnsiTheme="minorHAnsi" w:cstheme="minorHAnsi"/>
      <w:noProof/>
      <w:szCs w:val="20"/>
    </w:rPr>
  </w:style>
  <w:style w:type="paragraph" w:styleId="TOC4">
    <w:name w:val="toc 4"/>
    <w:basedOn w:val="a1"/>
    <w:next w:val="a1"/>
    <w:autoRedefine/>
    <w:uiPriority w:val="39"/>
    <w:unhideWhenUsed/>
    <w:rsid w:val="00594626"/>
    <w:pPr>
      <w:tabs>
        <w:tab w:val="left" w:pos="1600"/>
        <w:tab w:val="right" w:leader="dot" w:pos="8210"/>
      </w:tabs>
      <w:ind w:left="600"/>
      <w:jc w:val="left"/>
    </w:pPr>
    <w:rPr>
      <w:rFonts w:asciiTheme="minorHAnsi" w:hAnsiTheme="minorHAnsi" w:cstheme="minorHAnsi"/>
      <w:sz w:val="18"/>
      <w:szCs w:val="18"/>
    </w:rPr>
  </w:style>
  <w:style w:type="paragraph" w:styleId="TOC5">
    <w:name w:val="toc 5"/>
    <w:basedOn w:val="a1"/>
    <w:next w:val="a1"/>
    <w:autoRedefine/>
    <w:uiPriority w:val="39"/>
    <w:unhideWhenUsed/>
    <w:rsid w:val="0026556A"/>
    <w:pPr>
      <w:ind w:left="800"/>
      <w:jc w:val="left"/>
    </w:pPr>
    <w:rPr>
      <w:rFonts w:asciiTheme="minorHAnsi" w:hAnsiTheme="minorHAnsi" w:cstheme="minorHAnsi"/>
      <w:sz w:val="18"/>
      <w:szCs w:val="18"/>
    </w:rPr>
  </w:style>
  <w:style w:type="paragraph" w:styleId="TOC6">
    <w:name w:val="toc 6"/>
    <w:basedOn w:val="a1"/>
    <w:next w:val="a1"/>
    <w:autoRedefine/>
    <w:uiPriority w:val="39"/>
    <w:unhideWhenUsed/>
    <w:rsid w:val="0026556A"/>
    <w:pPr>
      <w:ind w:left="1000"/>
      <w:jc w:val="left"/>
    </w:pPr>
    <w:rPr>
      <w:rFonts w:asciiTheme="minorHAnsi" w:hAnsiTheme="minorHAnsi" w:cstheme="minorHAnsi"/>
      <w:sz w:val="18"/>
      <w:szCs w:val="18"/>
    </w:rPr>
  </w:style>
  <w:style w:type="paragraph" w:styleId="TOC7">
    <w:name w:val="toc 7"/>
    <w:basedOn w:val="a1"/>
    <w:next w:val="a1"/>
    <w:autoRedefine/>
    <w:uiPriority w:val="39"/>
    <w:unhideWhenUsed/>
    <w:rsid w:val="0026556A"/>
    <w:pPr>
      <w:ind w:left="1200"/>
      <w:jc w:val="left"/>
    </w:pPr>
    <w:rPr>
      <w:rFonts w:asciiTheme="minorHAnsi" w:hAnsiTheme="minorHAnsi" w:cstheme="minorHAnsi"/>
      <w:sz w:val="18"/>
      <w:szCs w:val="18"/>
    </w:rPr>
  </w:style>
  <w:style w:type="paragraph" w:styleId="TOC8">
    <w:name w:val="toc 8"/>
    <w:basedOn w:val="a1"/>
    <w:next w:val="a1"/>
    <w:autoRedefine/>
    <w:uiPriority w:val="39"/>
    <w:unhideWhenUsed/>
    <w:rsid w:val="0026556A"/>
    <w:pPr>
      <w:ind w:left="1400"/>
      <w:jc w:val="left"/>
    </w:pPr>
    <w:rPr>
      <w:rFonts w:asciiTheme="minorHAnsi" w:hAnsiTheme="minorHAnsi" w:cstheme="minorHAnsi"/>
      <w:sz w:val="18"/>
      <w:szCs w:val="18"/>
    </w:rPr>
  </w:style>
  <w:style w:type="paragraph" w:styleId="TOC9">
    <w:name w:val="toc 9"/>
    <w:basedOn w:val="a1"/>
    <w:next w:val="a1"/>
    <w:autoRedefine/>
    <w:uiPriority w:val="39"/>
    <w:unhideWhenUsed/>
    <w:rsid w:val="0026556A"/>
    <w:pPr>
      <w:ind w:left="1600"/>
      <w:jc w:val="left"/>
    </w:pPr>
    <w:rPr>
      <w:rFonts w:asciiTheme="minorHAnsi" w:hAnsiTheme="minorHAnsi" w:cstheme="minorHAnsi"/>
      <w:sz w:val="18"/>
      <w:szCs w:val="18"/>
    </w:rPr>
  </w:style>
  <w:style w:type="paragraph" w:customStyle="1" w:styleId="afe">
    <w:name w:val="חסוי"/>
    <w:basedOn w:val="a1"/>
    <w:link w:val="aff"/>
    <w:qFormat/>
    <w:rsid w:val="0026556A"/>
    <w:rPr>
      <w:i/>
      <w:iCs/>
    </w:rPr>
  </w:style>
  <w:style w:type="character" w:customStyle="1" w:styleId="aff">
    <w:name w:val="חסוי תו"/>
    <w:basedOn w:val="a2"/>
    <w:link w:val="afe"/>
    <w:rsid w:val="0026556A"/>
    <w:rPr>
      <w:i/>
      <w:iCs/>
    </w:rPr>
  </w:style>
  <w:style w:type="paragraph" w:customStyle="1" w:styleId="aff0">
    <w:name w:val="חסוי מודגש"/>
    <w:basedOn w:val="a1"/>
    <w:link w:val="aff1"/>
    <w:qFormat/>
    <w:rsid w:val="0026556A"/>
    <w:rPr>
      <w:b/>
      <w:bCs/>
      <w:i/>
      <w:iCs/>
    </w:rPr>
  </w:style>
  <w:style w:type="character" w:customStyle="1" w:styleId="aff1">
    <w:name w:val="חסוי מודגש תו"/>
    <w:basedOn w:val="a2"/>
    <w:link w:val="aff0"/>
    <w:rsid w:val="0026556A"/>
    <w:rPr>
      <w:b/>
      <w:bCs/>
      <w:i/>
      <w:iCs/>
    </w:rPr>
  </w:style>
  <w:style w:type="paragraph" w:customStyle="1" w:styleId="aff2">
    <w:name w:val="רגיל מודגש"/>
    <w:basedOn w:val="a1"/>
    <w:link w:val="aff3"/>
    <w:qFormat/>
    <w:rsid w:val="0026556A"/>
    <w:rPr>
      <w:b/>
      <w:bCs/>
    </w:rPr>
  </w:style>
  <w:style w:type="character" w:customStyle="1" w:styleId="aff3">
    <w:name w:val="רגיל מודגש תו"/>
    <w:basedOn w:val="a2"/>
    <w:link w:val="aff2"/>
    <w:rsid w:val="0026556A"/>
    <w:rPr>
      <w:b/>
      <w:bCs/>
    </w:rPr>
  </w:style>
  <w:style w:type="paragraph" w:customStyle="1" w:styleId="CharChar">
    <w:name w:val="גופן ברירת המחדל של קטע פסקה תו Char תו Char תו"/>
    <w:basedOn w:val="a1"/>
    <w:rsid w:val="000B0027"/>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styleId="aff4">
    <w:name w:val="caption"/>
    <w:basedOn w:val="a1"/>
    <w:next w:val="a1"/>
    <w:uiPriority w:val="35"/>
    <w:unhideWhenUsed/>
    <w:qFormat/>
    <w:rsid w:val="000B0027"/>
    <w:pPr>
      <w:spacing w:after="200" w:line="240" w:lineRule="auto"/>
      <w:jc w:val="left"/>
    </w:pPr>
    <w:rPr>
      <w:rFonts w:ascii="Calibri" w:hAnsi="Calibri" w:cs="Calibri"/>
      <w:i/>
      <w:iCs/>
      <w:color w:val="1F497D" w:themeColor="text2"/>
      <w:sz w:val="18"/>
      <w:szCs w:val="18"/>
    </w:rPr>
  </w:style>
  <w:style w:type="character" w:styleId="aff5">
    <w:name w:val="Unresolved Mention"/>
    <w:basedOn w:val="a2"/>
    <w:uiPriority w:val="99"/>
    <w:semiHidden/>
    <w:unhideWhenUsed/>
    <w:rsid w:val="003C0DF1"/>
    <w:rPr>
      <w:color w:val="605E5C"/>
      <w:shd w:val="clear" w:color="auto" w:fill="E1DFDD"/>
    </w:rPr>
  </w:style>
  <w:style w:type="table" w:styleId="41">
    <w:name w:val="Grid Table 4"/>
    <w:basedOn w:val="a3"/>
    <w:uiPriority w:val="49"/>
    <w:rsid w:val="008868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w:basedOn w:val="a3"/>
    <w:uiPriority w:val="47"/>
    <w:rsid w:val="008868B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ff6">
    <w:name w:val="Grid Table Light"/>
    <w:basedOn w:val="a3"/>
    <w:uiPriority w:val="40"/>
    <w:rsid w:val="008868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a1"/>
    <w:uiPriority w:val="99"/>
    <w:unhideWhenUsed/>
    <w:rsid w:val="008868B6"/>
    <w:pPr>
      <w:bidi w:val="0"/>
      <w:spacing w:before="100" w:beforeAutospacing="1" w:after="100" w:afterAutospacing="1" w:line="240" w:lineRule="auto"/>
      <w:jc w:val="left"/>
    </w:pPr>
    <w:rPr>
      <w:rFonts w:eastAsia="Times New Roman" w:cs="Times New Roman"/>
      <w:sz w:val="24"/>
    </w:rPr>
  </w:style>
  <w:style w:type="table" w:styleId="1-1">
    <w:name w:val="Grid Table 1 Light Accent 1"/>
    <w:basedOn w:val="a3"/>
    <w:uiPriority w:val="46"/>
    <w:rsid w:val="008868B6"/>
    <w:pPr>
      <w:spacing w:after="0" w:line="240" w:lineRule="auto"/>
    </w:pPr>
    <w:tblPr>
      <w:tblStyleRowBandSize w:val="1"/>
      <w:tblStyleColBandSize w:val="1"/>
      <w:tblBorders>
        <w:top w:val="single" w:sz="4" w:space="0" w:color="EBA2AF" w:themeColor="accent1" w:themeTint="66"/>
        <w:left w:val="single" w:sz="4" w:space="0" w:color="EBA2AF" w:themeColor="accent1" w:themeTint="66"/>
        <w:bottom w:val="single" w:sz="4" w:space="0" w:color="EBA2AF" w:themeColor="accent1" w:themeTint="66"/>
        <w:right w:val="single" w:sz="4" w:space="0" w:color="EBA2AF" w:themeColor="accent1" w:themeTint="66"/>
        <w:insideH w:val="single" w:sz="4" w:space="0" w:color="EBA2AF" w:themeColor="accent1" w:themeTint="66"/>
        <w:insideV w:val="single" w:sz="4" w:space="0" w:color="EBA2AF" w:themeColor="accent1" w:themeTint="66"/>
      </w:tblBorders>
    </w:tblPr>
    <w:tblStylePr w:type="firstRow">
      <w:rPr>
        <w:b/>
        <w:bCs/>
      </w:rPr>
      <w:tblPr/>
      <w:tcPr>
        <w:tcBorders>
          <w:bottom w:val="single" w:sz="12" w:space="0" w:color="E17487" w:themeColor="accent1" w:themeTint="99"/>
        </w:tcBorders>
      </w:tcPr>
    </w:tblStylePr>
    <w:tblStylePr w:type="lastRow">
      <w:rPr>
        <w:b/>
        <w:bCs/>
      </w:rPr>
      <w:tblPr/>
      <w:tcPr>
        <w:tcBorders>
          <w:top w:val="double" w:sz="2" w:space="0" w:color="E17487" w:themeColor="accent1" w:themeTint="99"/>
        </w:tcBorders>
      </w:tcPr>
    </w:tblStylePr>
    <w:tblStylePr w:type="firstCol">
      <w:rPr>
        <w:b/>
        <w:bCs/>
      </w:rPr>
    </w:tblStylePr>
    <w:tblStylePr w:type="lastCol">
      <w:rPr>
        <w:b/>
        <w:bCs/>
      </w:rPr>
    </w:tblStylePr>
  </w:style>
  <w:style w:type="paragraph" w:styleId="aff7">
    <w:name w:val="Revision"/>
    <w:hidden/>
    <w:uiPriority w:val="99"/>
    <w:semiHidden/>
    <w:rsid w:val="008868B6"/>
    <w:pPr>
      <w:spacing w:after="0" w:line="240" w:lineRule="auto"/>
      <w:jc w:val="left"/>
    </w:pPr>
  </w:style>
  <w:style w:type="character" w:customStyle="1" w:styleId="Hyperlink1">
    <w:name w:val="Hyperlink1"/>
    <w:basedOn w:val="a2"/>
    <w:uiPriority w:val="99"/>
    <w:unhideWhenUsed/>
    <w:rsid w:val="008868B6"/>
    <w:rPr>
      <w:color w:val="58C1BA"/>
      <w:u w:val="single"/>
    </w:rPr>
  </w:style>
  <w:style w:type="paragraph" w:customStyle="1" w:styleId="12">
    <w:name w:val="כותרת תוכן עניינים1"/>
    <w:basedOn w:val="10"/>
    <w:next w:val="a1"/>
    <w:uiPriority w:val="39"/>
    <w:unhideWhenUsed/>
    <w:qFormat/>
    <w:rsid w:val="008868B6"/>
    <w:pPr>
      <w:spacing w:before="240" w:line="259" w:lineRule="auto"/>
      <w:jc w:val="left"/>
      <w:outlineLvl w:val="9"/>
    </w:pPr>
    <w:rPr>
      <w:rFonts w:ascii="Century Gothic" w:hAnsi="Century Gothic" w:cs="Times New Roman"/>
      <w:bCs w:val="0"/>
      <w:color w:val="830F0E"/>
      <w:sz w:val="32"/>
      <w:szCs w:val="32"/>
      <w:u w:val="none"/>
      <w:rtl/>
      <w:cs/>
    </w:rPr>
  </w:style>
  <w:style w:type="paragraph" w:customStyle="1" w:styleId="TOC21">
    <w:name w:val="TOC 21"/>
    <w:basedOn w:val="a1"/>
    <w:next w:val="a1"/>
    <w:autoRedefine/>
    <w:uiPriority w:val="39"/>
    <w:unhideWhenUsed/>
    <w:rsid w:val="008868B6"/>
    <w:pPr>
      <w:spacing w:after="100" w:line="259" w:lineRule="auto"/>
      <w:ind w:left="220"/>
      <w:jc w:val="left"/>
    </w:pPr>
    <w:rPr>
      <w:rFonts w:ascii="Century Gothic" w:eastAsia="Times New Roman" w:hAnsi="Century Gothic" w:cs="Times New Roman"/>
      <w:sz w:val="22"/>
      <w:szCs w:val="22"/>
      <w:rtl/>
      <w:cs/>
    </w:rPr>
  </w:style>
  <w:style w:type="paragraph" w:customStyle="1" w:styleId="TOC11">
    <w:name w:val="TOC 11"/>
    <w:basedOn w:val="a1"/>
    <w:next w:val="a1"/>
    <w:autoRedefine/>
    <w:uiPriority w:val="39"/>
    <w:unhideWhenUsed/>
    <w:rsid w:val="008868B6"/>
    <w:pPr>
      <w:spacing w:after="100" w:line="259" w:lineRule="auto"/>
      <w:jc w:val="left"/>
    </w:pPr>
    <w:rPr>
      <w:rFonts w:ascii="Century Gothic" w:eastAsia="Times New Roman" w:hAnsi="Century Gothic" w:cs="Times New Roman"/>
      <w:sz w:val="22"/>
      <w:szCs w:val="22"/>
      <w:rtl/>
      <w:cs/>
    </w:rPr>
  </w:style>
  <w:style w:type="paragraph" w:customStyle="1" w:styleId="TOC31">
    <w:name w:val="TOC 31"/>
    <w:basedOn w:val="a1"/>
    <w:next w:val="a1"/>
    <w:autoRedefine/>
    <w:uiPriority w:val="39"/>
    <w:unhideWhenUsed/>
    <w:rsid w:val="008868B6"/>
    <w:pPr>
      <w:spacing w:after="100" w:line="259" w:lineRule="auto"/>
      <w:ind w:left="440"/>
      <w:jc w:val="left"/>
    </w:pPr>
    <w:rPr>
      <w:rFonts w:ascii="Century Gothic" w:eastAsia="Times New Roman" w:hAnsi="Century Gothic" w:cs="Times New Roman"/>
      <w:sz w:val="22"/>
      <w:szCs w:val="22"/>
      <w:rtl/>
      <w:cs/>
    </w:rPr>
  </w:style>
  <w:style w:type="paragraph" w:customStyle="1" w:styleId="TOC51">
    <w:name w:val="TOC 51"/>
    <w:basedOn w:val="a1"/>
    <w:next w:val="a1"/>
    <w:autoRedefine/>
    <w:uiPriority w:val="39"/>
    <w:unhideWhenUsed/>
    <w:rsid w:val="008868B6"/>
    <w:pPr>
      <w:spacing w:after="100" w:line="259" w:lineRule="auto"/>
      <w:ind w:left="880"/>
      <w:jc w:val="left"/>
    </w:pPr>
    <w:rPr>
      <w:rFonts w:ascii="Century Gothic" w:eastAsia="Times New Roman" w:hAnsi="Century Gothic" w:cs="Arial"/>
      <w:sz w:val="22"/>
      <w:szCs w:val="22"/>
    </w:rPr>
  </w:style>
  <w:style w:type="paragraph" w:customStyle="1" w:styleId="TOC61">
    <w:name w:val="TOC 61"/>
    <w:basedOn w:val="a1"/>
    <w:next w:val="a1"/>
    <w:autoRedefine/>
    <w:uiPriority w:val="39"/>
    <w:unhideWhenUsed/>
    <w:rsid w:val="008868B6"/>
    <w:pPr>
      <w:spacing w:after="100" w:line="259" w:lineRule="auto"/>
      <w:ind w:left="1100"/>
      <w:jc w:val="left"/>
    </w:pPr>
    <w:rPr>
      <w:rFonts w:ascii="Century Gothic" w:eastAsia="Times New Roman" w:hAnsi="Century Gothic" w:cs="Arial"/>
      <w:sz w:val="22"/>
      <w:szCs w:val="22"/>
    </w:rPr>
  </w:style>
  <w:style w:type="paragraph" w:customStyle="1" w:styleId="TOC71">
    <w:name w:val="TOC 71"/>
    <w:basedOn w:val="a1"/>
    <w:next w:val="a1"/>
    <w:autoRedefine/>
    <w:uiPriority w:val="39"/>
    <w:unhideWhenUsed/>
    <w:rsid w:val="008868B6"/>
    <w:pPr>
      <w:spacing w:after="100" w:line="259" w:lineRule="auto"/>
      <w:ind w:left="1320"/>
      <w:jc w:val="left"/>
    </w:pPr>
    <w:rPr>
      <w:rFonts w:ascii="Century Gothic" w:eastAsia="Times New Roman" w:hAnsi="Century Gothic" w:cs="Arial"/>
      <w:sz w:val="22"/>
      <w:szCs w:val="22"/>
    </w:rPr>
  </w:style>
  <w:style w:type="paragraph" w:customStyle="1" w:styleId="TOC81">
    <w:name w:val="TOC 81"/>
    <w:basedOn w:val="a1"/>
    <w:next w:val="a1"/>
    <w:autoRedefine/>
    <w:uiPriority w:val="39"/>
    <w:unhideWhenUsed/>
    <w:rsid w:val="008868B6"/>
    <w:pPr>
      <w:spacing w:after="100" w:line="259" w:lineRule="auto"/>
      <w:ind w:left="1540"/>
      <w:jc w:val="left"/>
    </w:pPr>
    <w:rPr>
      <w:rFonts w:ascii="Century Gothic" w:eastAsia="Times New Roman" w:hAnsi="Century Gothic" w:cs="Arial"/>
      <w:sz w:val="22"/>
      <w:szCs w:val="22"/>
    </w:rPr>
  </w:style>
  <w:style w:type="paragraph" w:customStyle="1" w:styleId="TOC91">
    <w:name w:val="TOC 91"/>
    <w:basedOn w:val="a1"/>
    <w:next w:val="a1"/>
    <w:autoRedefine/>
    <w:uiPriority w:val="39"/>
    <w:unhideWhenUsed/>
    <w:rsid w:val="008868B6"/>
    <w:pPr>
      <w:spacing w:after="100" w:line="259" w:lineRule="auto"/>
      <w:ind w:left="1760"/>
      <w:jc w:val="left"/>
    </w:pPr>
    <w:rPr>
      <w:rFonts w:ascii="Century Gothic" w:eastAsia="Times New Roman" w:hAnsi="Century Gothic" w:cs="Arial"/>
      <w:sz w:val="22"/>
      <w:szCs w:val="22"/>
    </w:rPr>
  </w:style>
  <w:style w:type="character" w:styleId="FollowedHyperlink">
    <w:name w:val="FollowedHyperlink"/>
    <w:basedOn w:val="a2"/>
    <w:uiPriority w:val="99"/>
    <w:unhideWhenUsed/>
    <w:rsid w:val="00C51149"/>
    <w:rPr>
      <w:color w:val="800080" w:themeColor="followedHyperlink"/>
      <w:u w:val="single"/>
    </w:rPr>
  </w:style>
  <w:style w:type="numbering" w:customStyle="1" w:styleId="13">
    <w:name w:val="ללא רשימה1"/>
    <w:next w:val="a4"/>
    <w:uiPriority w:val="99"/>
    <w:semiHidden/>
    <w:unhideWhenUsed/>
    <w:rsid w:val="00B374C3"/>
  </w:style>
  <w:style w:type="table" w:customStyle="1" w:styleId="14">
    <w:name w:val="רשת טבלה1"/>
    <w:basedOn w:val="a3"/>
    <w:next w:val="afc"/>
    <w:uiPriority w:val="59"/>
    <w:rsid w:val="00B37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Subtitle"/>
    <w:basedOn w:val="a1"/>
    <w:next w:val="a1"/>
    <w:link w:val="aff9"/>
    <w:qFormat/>
    <w:rsid w:val="00B374C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9">
    <w:name w:val="כותרת משנה תו"/>
    <w:basedOn w:val="a2"/>
    <w:link w:val="aff8"/>
    <w:rsid w:val="00B374C3"/>
    <w:rPr>
      <w:rFonts w:asciiTheme="minorHAnsi" w:eastAsiaTheme="minorEastAsia" w:hAnsiTheme="minorHAnsi" w:cstheme="minorBidi"/>
      <w:color w:val="5A5A5A" w:themeColor="text1" w:themeTint="A5"/>
      <w:spacing w:val="15"/>
      <w:sz w:val="22"/>
      <w:szCs w:val="22"/>
    </w:rPr>
  </w:style>
  <w:style w:type="table" w:styleId="15">
    <w:name w:val="Grid Table 1 Light"/>
    <w:basedOn w:val="a3"/>
    <w:uiPriority w:val="46"/>
    <w:rsid w:val="006E7D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71">
    <w:name w:val="List Table 7 Colorful"/>
    <w:basedOn w:val="a3"/>
    <w:uiPriority w:val="52"/>
    <w:rsid w:val="00AA75D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Grid Table 3"/>
    <w:basedOn w:val="a3"/>
    <w:uiPriority w:val="48"/>
    <w:rsid w:val="00AA75D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2">
    <w:name w:val="Plain Table 3"/>
    <w:basedOn w:val="a3"/>
    <w:uiPriority w:val="43"/>
    <w:rsid w:val="00AA75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1">
    <w:name w:val="Plain Table 5"/>
    <w:basedOn w:val="a3"/>
    <w:uiPriority w:val="45"/>
    <w:rsid w:val="00AA75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
    <w:name w:val="Light List Accent 3"/>
    <w:basedOn w:val="a3"/>
    <w:uiPriority w:val="61"/>
    <w:rsid w:val="00AA75D1"/>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C6C438" w:themeColor="accent3"/>
        <w:left w:val="single" w:sz="8" w:space="0" w:color="C6C438" w:themeColor="accent3"/>
        <w:bottom w:val="single" w:sz="8" w:space="0" w:color="C6C438" w:themeColor="accent3"/>
        <w:right w:val="single" w:sz="8" w:space="0" w:color="C6C438" w:themeColor="accent3"/>
      </w:tblBorders>
    </w:tblPr>
    <w:tblStylePr w:type="firstRow">
      <w:pPr>
        <w:spacing w:before="0" w:after="0" w:line="240" w:lineRule="auto"/>
      </w:pPr>
      <w:rPr>
        <w:b/>
        <w:bCs/>
        <w:color w:val="FFFFFF" w:themeColor="background1"/>
      </w:rPr>
      <w:tblPr/>
      <w:tcPr>
        <w:shd w:val="clear" w:color="auto" w:fill="C6C438" w:themeFill="accent3"/>
      </w:tcPr>
    </w:tblStylePr>
    <w:tblStylePr w:type="lastRow">
      <w:pPr>
        <w:spacing w:before="0" w:after="0" w:line="240" w:lineRule="auto"/>
      </w:pPr>
      <w:rPr>
        <w:b/>
        <w:bCs/>
      </w:rPr>
      <w:tblPr/>
      <w:tcPr>
        <w:tcBorders>
          <w:top w:val="double" w:sz="6" w:space="0" w:color="C6C438" w:themeColor="accent3"/>
          <w:left w:val="single" w:sz="8" w:space="0" w:color="C6C438" w:themeColor="accent3"/>
          <w:bottom w:val="single" w:sz="8" w:space="0" w:color="C6C438" w:themeColor="accent3"/>
          <w:right w:val="single" w:sz="8" w:space="0" w:color="C6C438" w:themeColor="accent3"/>
        </w:tcBorders>
      </w:tcPr>
    </w:tblStylePr>
    <w:tblStylePr w:type="firstCol">
      <w:rPr>
        <w:b/>
        <w:bCs/>
      </w:rPr>
    </w:tblStylePr>
    <w:tblStylePr w:type="lastCol">
      <w:rPr>
        <w:b/>
        <w:bCs/>
      </w:rPr>
    </w:tblStylePr>
    <w:tblStylePr w:type="band1Vert">
      <w:tblPr/>
      <w:tcPr>
        <w:tcBorders>
          <w:top w:val="single" w:sz="8" w:space="0" w:color="C6C438" w:themeColor="accent3"/>
          <w:left w:val="single" w:sz="8" w:space="0" w:color="C6C438" w:themeColor="accent3"/>
          <w:bottom w:val="single" w:sz="8" w:space="0" w:color="C6C438" w:themeColor="accent3"/>
          <w:right w:val="single" w:sz="8" w:space="0" w:color="C6C438" w:themeColor="accent3"/>
        </w:tcBorders>
      </w:tcPr>
    </w:tblStylePr>
    <w:tblStylePr w:type="band1Horz">
      <w:tblPr/>
      <w:tcPr>
        <w:tcBorders>
          <w:top w:val="single" w:sz="8" w:space="0" w:color="C6C438" w:themeColor="accent3"/>
          <w:left w:val="single" w:sz="8" w:space="0" w:color="C6C438" w:themeColor="accent3"/>
          <w:bottom w:val="single" w:sz="8" w:space="0" w:color="C6C438" w:themeColor="accent3"/>
          <w:right w:val="single" w:sz="8" w:space="0" w:color="C6C438" w:themeColor="accent3"/>
        </w:tcBorders>
      </w:tcPr>
    </w:tblStylePr>
  </w:style>
  <w:style w:type="paragraph" w:customStyle="1" w:styleId="RESHET">
    <w:name w:val="RESHET"/>
    <w:basedOn w:val="a1"/>
    <w:rsid w:val="00AA75D1"/>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KOT5">
    <w:name w:val="KOT5"/>
    <w:basedOn w:val="a1"/>
    <w:rsid w:val="00AA75D1"/>
    <w:pPr>
      <w:keepNext/>
      <w:spacing w:after="120" w:line="260" w:lineRule="exact"/>
      <w:jc w:val="left"/>
    </w:pPr>
    <w:rPr>
      <w:rFonts w:eastAsia="Times New Roman"/>
      <w:b/>
      <w:bCs/>
      <w:sz w:val="22"/>
      <w:szCs w:val="22"/>
    </w:rPr>
  </w:style>
  <w:style w:type="table" w:customStyle="1" w:styleId="affa">
    <w:name w:val="טבלת רשת"/>
    <w:basedOn w:val="a3"/>
    <w:uiPriority w:val="59"/>
    <w:rsid w:val="00D5377E"/>
    <w:pPr>
      <w:bidi/>
      <w:spacing w:after="0" w:line="240" w:lineRule="auto"/>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page number"/>
    <w:basedOn w:val="a2"/>
    <w:uiPriority w:val="99"/>
    <w:rsid w:val="00D5377E"/>
  </w:style>
  <w:style w:type="paragraph" w:customStyle="1" w:styleId="16">
    <w:name w:val="1"/>
    <w:rsid w:val="00D5377E"/>
    <w:pPr>
      <w:bidi/>
      <w:spacing w:after="0" w:line="240" w:lineRule="auto"/>
      <w:jc w:val="left"/>
    </w:pPr>
    <w:rPr>
      <w:rFonts w:eastAsia="Times New Roman" w:cs="Times New Roman"/>
      <w:szCs w:val="20"/>
    </w:rPr>
  </w:style>
  <w:style w:type="paragraph" w:styleId="affc">
    <w:name w:val="No Spacing"/>
    <w:link w:val="affd"/>
    <w:uiPriority w:val="1"/>
    <w:qFormat/>
    <w:rsid w:val="00D5377E"/>
    <w:pPr>
      <w:bidi/>
      <w:spacing w:after="0" w:line="240" w:lineRule="auto"/>
      <w:jc w:val="left"/>
    </w:pPr>
    <w:rPr>
      <w:rFonts w:ascii="Calibri" w:eastAsia="Times New Roman" w:hAnsi="Calibri" w:cs="Arial"/>
      <w:sz w:val="22"/>
      <w:szCs w:val="22"/>
    </w:rPr>
  </w:style>
  <w:style w:type="character" w:customStyle="1" w:styleId="affd">
    <w:name w:val="ללא מרווח תו"/>
    <w:link w:val="affc"/>
    <w:uiPriority w:val="1"/>
    <w:rsid w:val="00D5377E"/>
    <w:rPr>
      <w:rFonts w:ascii="Calibri" w:eastAsia="Times New Roman" w:hAnsi="Calibri" w:cs="Arial"/>
      <w:sz w:val="22"/>
      <w:szCs w:val="22"/>
    </w:rPr>
  </w:style>
  <w:style w:type="paragraph" w:customStyle="1" w:styleId="affe">
    <w:name w:val="סגנון"/>
    <w:basedOn w:val="a1"/>
    <w:next w:val="NormalWeb"/>
    <w:uiPriority w:val="99"/>
    <w:unhideWhenUsed/>
    <w:rsid w:val="00D5377E"/>
    <w:pPr>
      <w:bidi w:val="0"/>
      <w:spacing w:before="100" w:beforeAutospacing="1" w:after="100" w:afterAutospacing="1" w:line="240" w:lineRule="auto"/>
      <w:jc w:val="left"/>
    </w:pPr>
    <w:rPr>
      <w:rFonts w:eastAsia="Times New Roman" w:cs="Times New Roman"/>
      <w:sz w:val="24"/>
    </w:rPr>
  </w:style>
  <w:style w:type="table" w:customStyle="1" w:styleId="22">
    <w:name w:val="רשת טבלה2"/>
    <w:basedOn w:val="a3"/>
    <w:next w:val="affa"/>
    <w:rsid w:val="00D5377E"/>
    <w:pPr>
      <w:bidi/>
      <w:spacing w:after="0" w:line="240" w:lineRule="auto"/>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0">
    <w:name w:val="לואיזה 16"/>
    <w:basedOn w:val="a1"/>
    <w:link w:val="16Char"/>
    <w:qFormat/>
    <w:rsid w:val="00D5377E"/>
    <w:pPr>
      <w:spacing w:line="360" w:lineRule="exact"/>
      <w:jc w:val="left"/>
    </w:pPr>
    <w:rPr>
      <w:rFonts w:ascii="Arial" w:eastAsia="Times New Roman" w:hAnsi="Arial" w:cs="Times New Roman"/>
      <w:b/>
      <w:bCs/>
      <w:sz w:val="32"/>
      <w:szCs w:val="32"/>
      <w:lang w:eastAsia="he-IL"/>
    </w:rPr>
  </w:style>
  <w:style w:type="paragraph" w:customStyle="1" w:styleId="afff">
    <w:name w:val="טקסט רץ"/>
    <w:basedOn w:val="a1"/>
    <w:link w:val="Char"/>
    <w:qFormat/>
    <w:rsid w:val="00D5377E"/>
    <w:pPr>
      <w:spacing w:line="360" w:lineRule="exact"/>
      <w:jc w:val="left"/>
    </w:pPr>
    <w:rPr>
      <w:rFonts w:ascii="Arial" w:eastAsia="Times New Roman" w:hAnsi="Arial" w:cs="Times New Roman"/>
      <w:sz w:val="28"/>
      <w:szCs w:val="28"/>
      <w:lang w:eastAsia="he-IL"/>
    </w:rPr>
  </w:style>
  <w:style w:type="character" w:customStyle="1" w:styleId="16Char">
    <w:name w:val="לואיזה 16 Char"/>
    <w:link w:val="160"/>
    <w:locked/>
    <w:rsid w:val="00D5377E"/>
    <w:rPr>
      <w:rFonts w:ascii="Arial" w:eastAsia="Times New Roman" w:hAnsi="Arial" w:cs="Times New Roman"/>
      <w:b/>
      <w:bCs/>
      <w:sz w:val="32"/>
      <w:szCs w:val="32"/>
      <w:lang w:eastAsia="he-IL"/>
    </w:rPr>
  </w:style>
  <w:style w:type="character" w:customStyle="1" w:styleId="Char">
    <w:name w:val="טקסט רץ Char"/>
    <w:link w:val="afff"/>
    <w:locked/>
    <w:rsid w:val="00D5377E"/>
    <w:rPr>
      <w:rFonts w:ascii="Arial" w:eastAsia="Times New Roman" w:hAnsi="Arial" w:cs="Times New Roman"/>
      <w:sz w:val="28"/>
      <w:szCs w:val="28"/>
      <w:lang w:eastAsia="he-IL"/>
    </w:rPr>
  </w:style>
  <w:style w:type="character" w:styleId="afff0">
    <w:name w:val="Strong"/>
    <w:uiPriority w:val="99"/>
    <w:qFormat/>
    <w:rsid w:val="00D5377E"/>
    <w:rPr>
      <w:b/>
      <w:u w:val="single"/>
    </w:rPr>
  </w:style>
  <w:style w:type="paragraph" w:customStyle="1" w:styleId="a0">
    <w:name w:val="טקסט רץ + בולט"/>
    <w:basedOn w:val="a1"/>
    <w:link w:val="Char0"/>
    <w:qFormat/>
    <w:rsid w:val="00D5377E"/>
    <w:pPr>
      <w:numPr>
        <w:numId w:val="34"/>
      </w:numPr>
      <w:spacing w:line="360" w:lineRule="exact"/>
      <w:jc w:val="left"/>
    </w:pPr>
    <w:rPr>
      <w:rFonts w:ascii="Arial" w:eastAsia="Times New Roman" w:hAnsi="Arial" w:cs="Times New Roman"/>
      <w:sz w:val="28"/>
      <w:szCs w:val="28"/>
      <w:lang w:eastAsia="he-IL"/>
    </w:rPr>
  </w:style>
  <w:style w:type="character" w:customStyle="1" w:styleId="Char0">
    <w:name w:val="טקסט רץ + בולט Char"/>
    <w:link w:val="a0"/>
    <w:locked/>
    <w:rsid w:val="00D5377E"/>
    <w:rPr>
      <w:rFonts w:ascii="Arial" w:eastAsia="Times New Roman" w:hAnsi="Arial" w:cs="Times New Roman"/>
      <w:sz w:val="28"/>
      <w:szCs w:val="28"/>
      <w:lang w:eastAsia="he-IL"/>
    </w:rPr>
  </w:style>
  <w:style w:type="paragraph" w:styleId="afff1">
    <w:name w:val="Block Text"/>
    <w:basedOn w:val="a1"/>
    <w:link w:val="afff2"/>
    <w:uiPriority w:val="99"/>
    <w:rsid w:val="00D5377E"/>
    <w:pPr>
      <w:spacing w:line="240" w:lineRule="auto"/>
      <w:ind w:left="5760"/>
      <w:jc w:val="left"/>
    </w:pPr>
    <w:rPr>
      <w:rFonts w:eastAsia="Times New Roman"/>
      <w:b/>
      <w:bCs/>
      <w:szCs w:val="28"/>
      <w:lang w:eastAsia="he-IL"/>
    </w:rPr>
  </w:style>
  <w:style w:type="character" w:customStyle="1" w:styleId="afff2">
    <w:name w:val="טקסט בלוק תו"/>
    <w:link w:val="afff1"/>
    <w:uiPriority w:val="99"/>
    <w:locked/>
    <w:rsid w:val="00D5377E"/>
    <w:rPr>
      <w:rFonts w:eastAsia="Times New Roman"/>
      <w:b/>
      <w:bCs/>
      <w:szCs w:val="28"/>
      <w:lang w:eastAsia="he-IL"/>
    </w:rPr>
  </w:style>
  <w:style w:type="paragraph" w:customStyle="1" w:styleId="CharChar1">
    <w:name w:val="גופן ברירת המחדל של קטע פסקה תו Char תו Char תו1"/>
    <w:basedOn w:val="a1"/>
    <w:rsid w:val="00D5377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customStyle="1" w:styleId="DefinitionTerm">
    <w:name w:val="Definition Term"/>
    <w:basedOn w:val="a1"/>
    <w:next w:val="DefinitionList"/>
    <w:uiPriority w:val="99"/>
    <w:rsid w:val="00D5377E"/>
    <w:pPr>
      <w:autoSpaceDE w:val="0"/>
      <w:autoSpaceDN w:val="0"/>
      <w:bidi w:val="0"/>
      <w:adjustRightInd w:val="0"/>
      <w:spacing w:line="240" w:lineRule="auto"/>
      <w:jc w:val="left"/>
    </w:pPr>
    <w:rPr>
      <w:rFonts w:eastAsia="Times New Roman" w:cs="Times New Roman"/>
      <w:sz w:val="24"/>
    </w:rPr>
  </w:style>
  <w:style w:type="paragraph" w:customStyle="1" w:styleId="DefinitionList">
    <w:name w:val="Definition List"/>
    <w:basedOn w:val="a1"/>
    <w:next w:val="DefinitionTerm"/>
    <w:uiPriority w:val="99"/>
    <w:rsid w:val="00D5377E"/>
    <w:pPr>
      <w:autoSpaceDE w:val="0"/>
      <w:autoSpaceDN w:val="0"/>
      <w:bidi w:val="0"/>
      <w:adjustRightInd w:val="0"/>
      <w:spacing w:line="240" w:lineRule="auto"/>
      <w:ind w:left="360"/>
      <w:jc w:val="left"/>
    </w:pPr>
    <w:rPr>
      <w:rFonts w:eastAsia="Times New Roman" w:cs="Times New Roman"/>
      <w:sz w:val="24"/>
    </w:rPr>
  </w:style>
  <w:style w:type="character" w:customStyle="1" w:styleId="Definition">
    <w:name w:val="Definition"/>
    <w:uiPriority w:val="99"/>
    <w:rsid w:val="00D5377E"/>
    <w:rPr>
      <w:i/>
    </w:rPr>
  </w:style>
  <w:style w:type="paragraph" w:customStyle="1" w:styleId="H1">
    <w:name w:val="H1"/>
    <w:basedOn w:val="a1"/>
    <w:next w:val="a1"/>
    <w:uiPriority w:val="99"/>
    <w:rsid w:val="00D5377E"/>
    <w:pPr>
      <w:keepNext/>
      <w:autoSpaceDE w:val="0"/>
      <w:autoSpaceDN w:val="0"/>
      <w:bidi w:val="0"/>
      <w:adjustRightInd w:val="0"/>
      <w:spacing w:before="100" w:after="100" w:line="240" w:lineRule="auto"/>
      <w:jc w:val="left"/>
      <w:outlineLvl w:val="1"/>
    </w:pPr>
    <w:rPr>
      <w:rFonts w:eastAsia="Times New Roman" w:cs="Times New Roman"/>
      <w:b/>
      <w:bCs/>
      <w:kern w:val="36"/>
      <w:sz w:val="48"/>
      <w:szCs w:val="48"/>
    </w:rPr>
  </w:style>
  <w:style w:type="paragraph" w:customStyle="1" w:styleId="H2">
    <w:name w:val="H2"/>
    <w:basedOn w:val="a1"/>
    <w:next w:val="a1"/>
    <w:uiPriority w:val="99"/>
    <w:rsid w:val="00D5377E"/>
    <w:pPr>
      <w:keepNext/>
      <w:autoSpaceDE w:val="0"/>
      <w:autoSpaceDN w:val="0"/>
      <w:bidi w:val="0"/>
      <w:adjustRightInd w:val="0"/>
      <w:spacing w:before="100" w:after="100" w:line="240" w:lineRule="auto"/>
      <w:jc w:val="left"/>
      <w:outlineLvl w:val="2"/>
    </w:pPr>
    <w:rPr>
      <w:rFonts w:eastAsia="Times New Roman" w:cs="Times New Roman"/>
      <w:b/>
      <w:bCs/>
      <w:sz w:val="36"/>
      <w:szCs w:val="36"/>
    </w:rPr>
  </w:style>
  <w:style w:type="paragraph" w:customStyle="1" w:styleId="H3">
    <w:name w:val="H3"/>
    <w:basedOn w:val="a1"/>
    <w:next w:val="a1"/>
    <w:uiPriority w:val="99"/>
    <w:rsid w:val="00D5377E"/>
    <w:pPr>
      <w:keepNext/>
      <w:autoSpaceDE w:val="0"/>
      <w:autoSpaceDN w:val="0"/>
      <w:bidi w:val="0"/>
      <w:adjustRightInd w:val="0"/>
      <w:spacing w:before="100" w:after="100" w:line="240" w:lineRule="auto"/>
      <w:jc w:val="left"/>
      <w:outlineLvl w:val="3"/>
    </w:pPr>
    <w:rPr>
      <w:rFonts w:eastAsia="Times New Roman" w:cs="Times New Roman"/>
      <w:b/>
      <w:bCs/>
      <w:sz w:val="28"/>
      <w:szCs w:val="28"/>
    </w:rPr>
  </w:style>
  <w:style w:type="paragraph" w:customStyle="1" w:styleId="H4">
    <w:name w:val="H4"/>
    <w:basedOn w:val="a1"/>
    <w:next w:val="a1"/>
    <w:uiPriority w:val="99"/>
    <w:rsid w:val="00D5377E"/>
    <w:pPr>
      <w:keepNext/>
      <w:autoSpaceDE w:val="0"/>
      <w:autoSpaceDN w:val="0"/>
      <w:bidi w:val="0"/>
      <w:adjustRightInd w:val="0"/>
      <w:spacing w:before="100" w:after="100" w:line="240" w:lineRule="auto"/>
      <w:jc w:val="left"/>
      <w:outlineLvl w:val="4"/>
    </w:pPr>
    <w:rPr>
      <w:rFonts w:eastAsia="Times New Roman" w:cs="Times New Roman"/>
      <w:b/>
      <w:bCs/>
      <w:sz w:val="24"/>
    </w:rPr>
  </w:style>
  <w:style w:type="paragraph" w:customStyle="1" w:styleId="H5">
    <w:name w:val="H5"/>
    <w:basedOn w:val="a1"/>
    <w:next w:val="a1"/>
    <w:uiPriority w:val="99"/>
    <w:rsid w:val="00D5377E"/>
    <w:pPr>
      <w:keepNext/>
      <w:autoSpaceDE w:val="0"/>
      <w:autoSpaceDN w:val="0"/>
      <w:bidi w:val="0"/>
      <w:adjustRightInd w:val="0"/>
      <w:spacing w:before="100" w:after="100" w:line="240" w:lineRule="auto"/>
      <w:jc w:val="left"/>
      <w:outlineLvl w:val="5"/>
    </w:pPr>
    <w:rPr>
      <w:rFonts w:eastAsia="Times New Roman" w:cs="Times New Roman"/>
      <w:b/>
      <w:bCs/>
      <w:szCs w:val="20"/>
    </w:rPr>
  </w:style>
  <w:style w:type="paragraph" w:customStyle="1" w:styleId="H6">
    <w:name w:val="H6"/>
    <w:basedOn w:val="a1"/>
    <w:next w:val="a1"/>
    <w:uiPriority w:val="99"/>
    <w:rsid w:val="00D5377E"/>
    <w:pPr>
      <w:keepNext/>
      <w:autoSpaceDE w:val="0"/>
      <w:autoSpaceDN w:val="0"/>
      <w:bidi w:val="0"/>
      <w:adjustRightInd w:val="0"/>
      <w:spacing w:before="100" w:after="100" w:line="240" w:lineRule="auto"/>
      <w:jc w:val="left"/>
      <w:outlineLvl w:val="6"/>
    </w:pPr>
    <w:rPr>
      <w:rFonts w:eastAsia="Times New Roman" w:cs="Times New Roman"/>
      <w:b/>
      <w:bCs/>
      <w:sz w:val="16"/>
      <w:szCs w:val="16"/>
    </w:rPr>
  </w:style>
  <w:style w:type="paragraph" w:customStyle="1" w:styleId="Address">
    <w:name w:val="Address"/>
    <w:basedOn w:val="a1"/>
    <w:next w:val="a1"/>
    <w:uiPriority w:val="99"/>
    <w:rsid w:val="00D5377E"/>
    <w:pPr>
      <w:autoSpaceDE w:val="0"/>
      <w:autoSpaceDN w:val="0"/>
      <w:bidi w:val="0"/>
      <w:adjustRightInd w:val="0"/>
      <w:spacing w:line="240" w:lineRule="auto"/>
      <w:jc w:val="left"/>
    </w:pPr>
    <w:rPr>
      <w:rFonts w:eastAsia="Times New Roman" w:cs="Times New Roman"/>
      <w:i/>
      <w:iCs/>
      <w:sz w:val="24"/>
    </w:rPr>
  </w:style>
  <w:style w:type="paragraph" w:customStyle="1" w:styleId="Blockquote">
    <w:name w:val="Blockquote"/>
    <w:basedOn w:val="a1"/>
    <w:uiPriority w:val="99"/>
    <w:rsid w:val="00D5377E"/>
    <w:pPr>
      <w:autoSpaceDE w:val="0"/>
      <w:autoSpaceDN w:val="0"/>
      <w:bidi w:val="0"/>
      <w:adjustRightInd w:val="0"/>
      <w:spacing w:before="100" w:after="100" w:line="240" w:lineRule="auto"/>
      <w:ind w:left="360" w:right="360"/>
      <w:jc w:val="left"/>
    </w:pPr>
    <w:rPr>
      <w:rFonts w:eastAsia="Times New Roman" w:cs="Times New Roman"/>
      <w:sz w:val="24"/>
    </w:rPr>
  </w:style>
  <w:style w:type="character" w:customStyle="1" w:styleId="CITE">
    <w:name w:val="CITE"/>
    <w:uiPriority w:val="99"/>
    <w:rsid w:val="00D5377E"/>
    <w:rPr>
      <w:i/>
    </w:rPr>
  </w:style>
  <w:style w:type="character" w:customStyle="1" w:styleId="CODE">
    <w:name w:val="CODE"/>
    <w:uiPriority w:val="99"/>
    <w:rsid w:val="00D5377E"/>
    <w:rPr>
      <w:rFonts w:ascii="Courier New" w:hAnsi="Courier New"/>
      <w:sz w:val="20"/>
    </w:rPr>
  </w:style>
  <w:style w:type="character" w:styleId="afff3">
    <w:name w:val="Emphasis"/>
    <w:uiPriority w:val="99"/>
    <w:qFormat/>
    <w:rsid w:val="00D5377E"/>
    <w:rPr>
      <w:rFonts w:cs="Times New Roman"/>
      <w:i/>
      <w:iCs/>
    </w:rPr>
  </w:style>
  <w:style w:type="character" w:customStyle="1" w:styleId="Keyboard">
    <w:name w:val="Keyboard"/>
    <w:uiPriority w:val="99"/>
    <w:rsid w:val="00D5377E"/>
    <w:rPr>
      <w:rFonts w:ascii="Courier New" w:hAnsi="Courier New"/>
      <w:b/>
      <w:sz w:val="20"/>
    </w:rPr>
  </w:style>
  <w:style w:type="paragraph" w:customStyle="1" w:styleId="Preformatted">
    <w:name w:val="Preformatted"/>
    <w:basedOn w:val="a1"/>
    <w:uiPriority w:val="99"/>
    <w:rsid w:val="00D5377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adjustRightInd w:val="0"/>
      <w:spacing w:line="240" w:lineRule="auto"/>
      <w:jc w:val="left"/>
    </w:pPr>
    <w:rPr>
      <w:rFonts w:ascii="Courier New" w:eastAsia="Times New Roman" w:hAnsi="Courier New" w:cs="Courier New"/>
      <w:szCs w:val="20"/>
    </w:rPr>
  </w:style>
  <w:style w:type="paragraph" w:customStyle="1" w:styleId="z-BottomofForm">
    <w:name w:val="z-Bottom of Form"/>
    <w:next w:val="a1"/>
    <w:hidden/>
    <w:uiPriority w:val="99"/>
    <w:rsid w:val="00D5377E"/>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rPr>
  </w:style>
  <w:style w:type="paragraph" w:customStyle="1" w:styleId="z-TopofForm">
    <w:name w:val="z-Top of Form"/>
    <w:next w:val="a1"/>
    <w:hidden/>
    <w:uiPriority w:val="99"/>
    <w:rsid w:val="00D5377E"/>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rPr>
  </w:style>
  <w:style w:type="character" w:customStyle="1" w:styleId="Sample">
    <w:name w:val="Sample"/>
    <w:uiPriority w:val="99"/>
    <w:rsid w:val="00D5377E"/>
    <w:rPr>
      <w:rFonts w:ascii="Courier New" w:hAnsi="Courier New"/>
    </w:rPr>
  </w:style>
  <w:style w:type="character" w:customStyle="1" w:styleId="Typewriter">
    <w:name w:val="Typewriter"/>
    <w:uiPriority w:val="99"/>
    <w:rsid w:val="00D5377E"/>
    <w:rPr>
      <w:rFonts w:ascii="Courier New" w:hAnsi="Courier New"/>
      <w:sz w:val="20"/>
    </w:rPr>
  </w:style>
  <w:style w:type="character" w:customStyle="1" w:styleId="Variable">
    <w:name w:val="Variable"/>
    <w:uiPriority w:val="99"/>
    <w:rsid w:val="00D5377E"/>
    <w:rPr>
      <w:i/>
    </w:rPr>
  </w:style>
  <w:style w:type="character" w:customStyle="1" w:styleId="HTMLMarkup">
    <w:name w:val="HTML Markup"/>
    <w:uiPriority w:val="99"/>
    <w:rsid w:val="00D5377E"/>
    <w:rPr>
      <w:vanish/>
      <w:color w:val="FF0000"/>
    </w:rPr>
  </w:style>
  <w:style w:type="character" w:customStyle="1" w:styleId="Comment">
    <w:name w:val="Comment"/>
    <w:uiPriority w:val="99"/>
    <w:rsid w:val="00D5377E"/>
    <w:rPr>
      <w:vanish/>
    </w:rPr>
  </w:style>
  <w:style w:type="numbering" w:customStyle="1" w:styleId="1">
    <w:name w:val="סגנון1"/>
    <w:rsid w:val="00D5377E"/>
    <w:pPr>
      <w:numPr>
        <w:numId w:val="33"/>
      </w:numPr>
    </w:pPr>
  </w:style>
  <w:style w:type="table" w:customStyle="1" w:styleId="510">
    <w:name w:val="טבלת רשת 5 כהה1"/>
    <w:basedOn w:val="a3"/>
    <w:next w:val="52"/>
    <w:uiPriority w:val="50"/>
    <w:rsid w:val="00082C7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61">
    <w:name w:val="טבלת רשת 5 כהה - הדגשה 61"/>
    <w:basedOn w:val="a3"/>
    <w:next w:val="5-6"/>
    <w:uiPriority w:val="50"/>
    <w:rsid w:val="00082C7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CB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2295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2295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2295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2295B"/>
      </w:tcPr>
    </w:tblStylePr>
    <w:tblStylePr w:type="band1Vert">
      <w:tblPr/>
      <w:tcPr>
        <w:shd w:val="clear" w:color="auto" w:fill="8E97D5"/>
      </w:tcPr>
    </w:tblStylePr>
    <w:tblStylePr w:type="band1Horz">
      <w:tblPr/>
      <w:tcPr>
        <w:shd w:val="clear" w:color="auto" w:fill="8E97D5"/>
      </w:tcPr>
    </w:tblStylePr>
  </w:style>
  <w:style w:type="table" w:styleId="52">
    <w:name w:val="Grid Table 5 Dark"/>
    <w:basedOn w:val="a3"/>
    <w:uiPriority w:val="50"/>
    <w:rsid w:val="00082C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6">
    <w:name w:val="Grid Table 5 Dark Accent 6"/>
    <w:basedOn w:val="a3"/>
    <w:uiPriority w:val="50"/>
    <w:rsid w:val="00082C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CB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295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295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295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295B" w:themeFill="accent6"/>
      </w:tcPr>
    </w:tblStylePr>
    <w:tblStylePr w:type="band1Vert">
      <w:tblPr/>
      <w:tcPr>
        <w:shd w:val="clear" w:color="auto" w:fill="8E97D5" w:themeFill="accent6" w:themeFillTint="66"/>
      </w:tcPr>
    </w:tblStylePr>
    <w:tblStylePr w:type="band1Horz">
      <w:tblPr/>
      <w:tcPr>
        <w:shd w:val="clear" w:color="auto" w:fill="8E97D5" w:themeFill="accent6" w:themeFillTint="66"/>
      </w:tcPr>
    </w:tblStylePr>
  </w:style>
  <w:style w:type="numbering" w:customStyle="1" w:styleId="110">
    <w:name w:val="סגנון11"/>
    <w:rsid w:val="00BE1CFE"/>
  </w:style>
  <w:style w:type="numbering" w:customStyle="1" w:styleId="111">
    <w:name w:val="סגנון111"/>
    <w:rsid w:val="00BE1CFE"/>
    <w:pPr>
      <w:numPr>
        <w:numId w:val="30"/>
      </w:numPr>
    </w:pPr>
  </w:style>
  <w:style w:type="table" w:customStyle="1" w:styleId="511">
    <w:name w:val="טבלת רשת 5 כהה11"/>
    <w:basedOn w:val="a3"/>
    <w:next w:val="52"/>
    <w:uiPriority w:val="50"/>
    <w:rsid w:val="00BE1CF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611">
    <w:name w:val="טבלת רשת 5 כהה - הדגשה 611"/>
    <w:basedOn w:val="a3"/>
    <w:next w:val="5-6"/>
    <w:uiPriority w:val="50"/>
    <w:rsid w:val="00BE1CF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CB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2295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2295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2295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2295B"/>
      </w:tcPr>
    </w:tblStylePr>
    <w:tblStylePr w:type="band1Vert">
      <w:tblPr/>
      <w:tcPr>
        <w:shd w:val="clear" w:color="auto" w:fill="8E97D5"/>
      </w:tcPr>
    </w:tblStylePr>
    <w:tblStylePr w:type="band1Horz">
      <w:tblPr/>
      <w:tcPr>
        <w:shd w:val="clear" w:color="auto" w:fill="8E97D5"/>
      </w:tcPr>
    </w:tblStylePr>
  </w:style>
  <w:style w:type="table" w:customStyle="1" w:styleId="520">
    <w:name w:val="טבלת רשת 5 כהה2"/>
    <w:basedOn w:val="a3"/>
    <w:next w:val="52"/>
    <w:uiPriority w:val="50"/>
    <w:rsid w:val="00BE1C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62">
    <w:name w:val="טבלת רשת 5 כהה - הדגשה 62"/>
    <w:basedOn w:val="a3"/>
    <w:next w:val="5-6"/>
    <w:uiPriority w:val="50"/>
    <w:rsid w:val="00BE1C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CB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295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295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295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295B" w:themeFill="accent6"/>
      </w:tcPr>
    </w:tblStylePr>
    <w:tblStylePr w:type="band1Vert">
      <w:tblPr/>
      <w:tcPr>
        <w:shd w:val="clear" w:color="auto" w:fill="8E97D5" w:themeFill="accent6" w:themeFillTint="66"/>
      </w:tcPr>
    </w:tblStylePr>
    <w:tblStylePr w:type="band1Horz">
      <w:tblPr/>
      <w:tcPr>
        <w:shd w:val="clear" w:color="auto" w:fill="8E97D5" w:themeFill="accent6" w:themeFillTint="66"/>
      </w:tcPr>
    </w:tblStylePr>
  </w:style>
  <w:style w:type="table" w:customStyle="1" w:styleId="53">
    <w:name w:val="טבלת רשת 5 כהה3"/>
    <w:basedOn w:val="a3"/>
    <w:next w:val="52"/>
    <w:uiPriority w:val="50"/>
    <w:rsid w:val="006946D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63">
    <w:name w:val="טבלת רשת 5 כהה - הדגשה 63"/>
    <w:basedOn w:val="a3"/>
    <w:next w:val="5-6"/>
    <w:uiPriority w:val="50"/>
    <w:rsid w:val="006946D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CB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2295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2295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2295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2295B"/>
      </w:tcPr>
    </w:tblStylePr>
    <w:tblStylePr w:type="band1Vert">
      <w:tblPr/>
      <w:tcPr>
        <w:shd w:val="clear" w:color="auto" w:fill="8E97D5"/>
      </w:tcPr>
    </w:tblStylePr>
    <w:tblStylePr w:type="band1Horz">
      <w:tblPr/>
      <w:tcPr>
        <w:shd w:val="clear" w:color="auto" w:fill="8E97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32215">
      <w:bodyDiv w:val="1"/>
      <w:marLeft w:val="0"/>
      <w:marRight w:val="0"/>
      <w:marTop w:val="0"/>
      <w:marBottom w:val="0"/>
      <w:divBdr>
        <w:top w:val="none" w:sz="0" w:space="0" w:color="auto"/>
        <w:left w:val="none" w:sz="0" w:space="0" w:color="auto"/>
        <w:bottom w:val="none" w:sz="0" w:space="0" w:color="auto"/>
        <w:right w:val="none" w:sz="0" w:space="0" w:color="auto"/>
      </w:divBdr>
    </w:div>
    <w:div w:id="116030213">
      <w:bodyDiv w:val="1"/>
      <w:marLeft w:val="0"/>
      <w:marRight w:val="0"/>
      <w:marTop w:val="0"/>
      <w:marBottom w:val="0"/>
      <w:divBdr>
        <w:top w:val="none" w:sz="0" w:space="0" w:color="auto"/>
        <w:left w:val="none" w:sz="0" w:space="0" w:color="auto"/>
        <w:bottom w:val="none" w:sz="0" w:space="0" w:color="auto"/>
        <w:right w:val="none" w:sz="0" w:space="0" w:color="auto"/>
      </w:divBdr>
    </w:div>
    <w:div w:id="221870579">
      <w:bodyDiv w:val="1"/>
      <w:marLeft w:val="0"/>
      <w:marRight w:val="0"/>
      <w:marTop w:val="0"/>
      <w:marBottom w:val="0"/>
      <w:divBdr>
        <w:top w:val="none" w:sz="0" w:space="0" w:color="auto"/>
        <w:left w:val="none" w:sz="0" w:space="0" w:color="auto"/>
        <w:bottom w:val="none" w:sz="0" w:space="0" w:color="auto"/>
        <w:right w:val="none" w:sz="0" w:space="0" w:color="auto"/>
      </w:divBdr>
    </w:div>
    <w:div w:id="240876431">
      <w:bodyDiv w:val="1"/>
      <w:marLeft w:val="0"/>
      <w:marRight w:val="0"/>
      <w:marTop w:val="0"/>
      <w:marBottom w:val="0"/>
      <w:divBdr>
        <w:top w:val="none" w:sz="0" w:space="0" w:color="auto"/>
        <w:left w:val="none" w:sz="0" w:space="0" w:color="auto"/>
        <w:bottom w:val="none" w:sz="0" w:space="0" w:color="auto"/>
        <w:right w:val="none" w:sz="0" w:space="0" w:color="auto"/>
      </w:divBdr>
    </w:div>
    <w:div w:id="293953638">
      <w:bodyDiv w:val="1"/>
      <w:marLeft w:val="0"/>
      <w:marRight w:val="0"/>
      <w:marTop w:val="0"/>
      <w:marBottom w:val="0"/>
      <w:divBdr>
        <w:top w:val="none" w:sz="0" w:space="0" w:color="auto"/>
        <w:left w:val="none" w:sz="0" w:space="0" w:color="auto"/>
        <w:bottom w:val="none" w:sz="0" w:space="0" w:color="auto"/>
        <w:right w:val="none" w:sz="0" w:space="0" w:color="auto"/>
      </w:divBdr>
    </w:div>
    <w:div w:id="312031895">
      <w:bodyDiv w:val="1"/>
      <w:marLeft w:val="0"/>
      <w:marRight w:val="0"/>
      <w:marTop w:val="0"/>
      <w:marBottom w:val="0"/>
      <w:divBdr>
        <w:top w:val="none" w:sz="0" w:space="0" w:color="auto"/>
        <w:left w:val="none" w:sz="0" w:space="0" w:color="auto"/>
        <w:bottom w:val="none" w:sz="0" w:space="0" w:color="auto"/>
        <w:right w:val="none" w:sz="0" w:space="0" w:color="auto"/>
      </w:divBdr>
    </w:div>
    <w:div w:id="387848711">
      <w:bodyDiv w:val="1"/>
      <w:marLeft w:val="0"/>
      <w:marRight w:val="0"/>
      <w:marTop w:val="0"/>
      <w:marBottom w:val="0"/>
      <w:divBdr>
        <w:top w:val="none" w:sz="0" w:space="0" w:color="auto"/>
        <w:left w:val="none" w:sz="0" w:space="0" w:color="auto"/>
        <w:bottom w:val="none" w:sz="0" w:space="0" w:color="auto"/>
        <w:right w:val="none" w:sz="0" w:space="0" w:color="auto"/>
      </w:divBdr>
    </w:div>
    <w:div w:id="415178517">
      <w:bodyDiv w:val="1"/>
      <w:marLeft w:val="0"/>
      <w:marRight w:val="0"/>
      <w:marTop w:val="0"/>
      <w:marBottom w:val="0"/>
      <w:divBdr>
        <w:top w:val="none" w:sz="0" w:space="0" w:color="auto"/>
        <w:left w:val="none" w:sz="0" w:space="0" w:color="auto"/>
        <w:bottom w:val="none" w:sz="0" w:space="0" w:color="auto"/>
        <w:right w:val="none" w:sz="0" w:space="0" w:color="auto"/>
      </w:divBdr>
    </w:div>
    <w:div w:id="541552318">
      <w:bodyDiv w:val="1"/>
      <w:marLeft w:val="0"/>
      <w:marRight w:val="0"/>
      <w:marTop w:val="0"/>
      <w:marBottom w:val="0"/>
      <w:divBdr>
        <w:top w:val="none" w:sz="0" w:space="0" w:color="auto"/>
        <w:left w:val="none" w:sz="0" w:space="0" w:color="auto"/>
        <w:bottom w:val="none" w:sz="0" w:space="0" w:color="auto"/>
        <w:right w:val="none" w:sz="0" w:space="0" w:color="auto"/>
      </w:divBdr>
    </w:div>
    <w:div w:id="750004517">
      <w:bodyDiv w:val="1"/>
      <w:marLeft w:val="0"/>
      <w:marRight w:val="0"/>
      <w:marTop w:val="0"/>
      <w:marBottom w:val="0"/>
      <w:divBdr>
        <w:top w:val="none" w:sz="0" w:space="0" w:color="auto"/>
        <w:left w:val="none" w:sz="0" w:space="0" w:color="auto"/>
        <w:bottom w:val="none" w:sz="0" w:space="0" w:color="auto"/>
        <w:right w:val="none" w:sz="0" w:space="0" w:color="auto"/>
      </w:divBdr>
    </w:div>
    <w:div w:id="760612379">
      <w:bodyDiv w:val="1"/>
      <w:marLeft w:val="0"/>
      <w:marRight w:val="0"/>
      <w:marTop w:val="0"/>
      <w:marBottom w:val="0"/>
      <w:divBdr>
        <w:top w:val="none" w:sz="0" w:space="0" w:color="auto"/>
        <w:left w:val="none" w:sz="0" w:space="0" w:color="auto"/>
        <w:bottom w:val="none" w:sz="0" w:space="0" w:color="auto"/>
        <w:right w:val="none" w:sz="0" w:space="0" w:color="auto"/>
      </w:divBdr>
    </w:div>
    <w:div w:id="906496801">
      <w:bodyDiv w:val="1"/>
      <w:marLeft w:val="0"/>
      <w:marRight w:val="0"/>
      <w:marTop w:val="0"/>
      <w:marBottom w:val="0"/>
      <w:divBdr>
        <w:top w:val="none" w:sz="0" w:space="0" w:color="auto"/>
        <w:left w:val="none" w:sz="0" w:space="0" w:color="auto"/>
        <w:bottom w:val="none" w:sz="0" w:space="0" w:color="auto"/>
        <w:right w:val="none" w:sz="0" w:space="0" w:color="auto"/>
      </w:divBdr>
    </w:div>
    <w:div w:id="935483020">
      <w:bodyDiv w:val="1"/>
      <w:marLeft w:val="0"/>
      <w:marRight w:val="0"/>
      <w:marTop w:val="0"/>
      <w:marBottom w:val="0"/>
      <w:divBdr>
        <w:top w:val="none" w:sz="0" w:space="0" w:color="auto"/>
        <w:left w:val="none" w:sz="0" w:space="0" w:color="auto"/>
        <w:bottom w:val="none" w:sz="0" w:space="0" w:color="auto"/>
        <w:right w:val="none" w:sz="0" w:space="0" w:color="auto"/>
      </w:divBdr>
    </w:div>
    <w:div w:id="961227773">
      <w:bodyDiv w:val="1"/>
      <w:marLeft w:val="0"/>
      <w:marRight w:val="0"/>
      <w:marTop w:val="0"/>
      <w:marBottom w:val="0"/>
      <w:divBdr>
        <w:top w:val="none" w:sz="0" w:space="0" w:color="auto"/>
        <w:left w:val="none" w:sz="0" w:space="0" w:color="auto"/>
        <w:bottom w:val="none" w:sz="0" w:space="0" w:color="auto"/>
        <w:right w:val="none" w:sz="0" w:space="0" w:color="auto"/>
      </w:divBdr>
    </w:div>
    <w:div w:id="1006592927">
      <w:bodyDiv w:val="1"/>
      <w:marLeft w:val="0"/>
      <w:marRight w:val="0"/>
      <w:marTop w:val="0"/>
      <w:marBottom w:val="0"/>
      <w:divBdr>
        <w:top w:val="none" w:sz="0" w:space="0" w:color="auto"/>
        <w:left w:val="none" w:sz="0" w:space="0" w:color="auto"/>
        <w:bottom w:val="none" w:sz="0" w:space="0" w:color="auto"/>
        <w:right w:val="none" w:sz="0" w:space="0" w:color="auto"/>
      </w:divBdr>
    </w:div>
    <w:div w:id="1082676999">
      <w:bodyDiv w:val="1"/>
      <w:marLeft w:val="0"/>
      <w:marRight w:val="0"/>
      <w:marTop w:val="0"/>
      <w:marBottom w:val="0"/>
      <w:divBdr>
        <w:top w:val="none" w:sz="0" w:space="0" w:color="auto"/>
        <w:left w:val="none" w:sz="0" w:space="0" w:color="auto"/>
        <w:bottom w:val="none" w:sz="0" w:space="0" w:color="auto"/>
        <w:right w:val="none" w:sz="0" w:space="0" w:color="auto"/>
      </w:divBdr>
    </w:div>
    <w:div w:id="1093210006">
      <w:bodyDiv w:val="1"/>
      <w:marLeft w:val="0"/>
      <w:marRight w:val="0"/>
      <w:marTop w:val="0"/>
      <w:marBottom w:val="0"/>
      <w:divBdr>
        <w:top w:val="none" w:sz="0" w:space="0" w:color="auto"/>
        <w:left w:val="none" w:sz="0" w:space="0" w:color="auto"/>
        <w:bottom w:val="none" w:sz="0" w:space="0" w:color="auto"/>
        <w:right w:val="none" w:sz="0" w:space="0" w:color="auto"/>
      </w:divBdr>
    </w:div>
    <w:div w:id="1123502099">
      <w:bodyDiv w:val="1"/>
      <w:marLeft w:val="0"/>
      <w:marRight w:val="0"/>
      <w:marTop w:val="0"/>
      <w:marBottom w:val="0"/>
      <w:divBdr>
        <w:top w:val="none" w:sz="0" w:space="0" w:color="auto"/>
        <w:left w:val="none" w:sz="0" w:space="0" w:color="auto"/>
        <w:bottom w:val="none" w:sz="0" w:space="0" w:color="auto"/>
        <w:right w:val="none" w:sz="0" w:space="0" w:color="auto"/>
      </w:divBdr>
    </w:div>
    <w:div w:id="1151753605">
      <w:bodyDiv w:val="1"/>
      <w:marLeft w:val="0"/>
      <w:marRight w:val="0"/>
      <w:marTop w:val="0"/>
      <w:marBottom w:val="0"/>
      <w:divBdr>
        <w:top w:val="none" w:sz="0" w:space="0" w:color="auto"/>
        <w:left w:val="none" w:sz="0" w:space="0" w:color="auto"/>
        <w:bottom w:val="none" w:sz="0" w:space="0" w:color="auto"/>
        <w:right w:val="none" w:sz="0" w:space="0" w:color="auto"/>
      </w:divBdr>
      <w:divsChild>
        <w:div w:id="1200318546">
          <w:marLeft w:val="0"/>
          <w:marRight w:val="0"/>
          <w:marTop w:val="0"/>
          <w:marBottom w:val="0"/>
          <w:divBdr>
            <w:top w:val="none" w:sz="0" w:space="0" w:color="auto"/>
            <w:left w:val="none" w:sz="0" w:space="0" w:color="auto"/>
            <w:bottom w:val="none" w:sz="0" w:space="0" w:color="auto"/>
            <w:right w:val="none" w:sz="0" w:space="0" w:color="auto"/>
          </w:divBdr>
          <w:divsChild>
            <w:div w:id="8886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69887">
      <w:bodyDiv w:val="1"/>
      <w:marLeft w:val="0"/>
      <w:marRight w:val="0"/>
      <w:marTop w:val="0"/>
      <w:marBottom w:val="0"/>
      <w:divBdr>
        <w:top w:val="none" w:sz="0" w:space="0" w:color="auto"/>
        <w:left w:val="none" w:sz="0" w:space="0" w:color="auto"/>
        <w:bottom w:val="none" w:sz="0" w:space="0" w:color="auto"/>
        <w:right w:val="none" w:sz="0" w:space="0" w:color="auto"/>
      </w:divBdr>
    </w:div>
    <w:div w:id="1244726515">
      <w:bodyDiv w:val="1"/>
      <w:marLeft w:val="0"/>
      <w:marRight w:val="0"/>
      <w:marTop w:val="0"/>
      <w:marBottom w:val="0"/>
      <w:divBdr>
        <w:top w:val="none" w:sz="0" w:space="0" w:color="auto"/>
        <w:left w:val="none" w:sz="0" w:space="0" w:color="auto"/>
        <w:bottom w:val="none" w:sz="0" w:space="0" w:color="auto"/>
        <w:right w:val="none" w:sz="0" w:space="0" w:color="auto"/>
      </w:divBdr>
    </w:div>
    <w:div w:id="1245142261">
      <w:bodyDiv w:val="1"/>
      <w:marLeft w:val="0"/>
      <w:marRight w:val="0"/>
      <w:marTop w:val="0"/>
      <w:marBottom w:val="0"/>
      <w:divBdr>
        <w:top w:val="none" w:sz="0" w:space="0" w:color="auto"/>
        <w:left w:val="none" w:sz="0" w:space="0" w:color="auto"/>
        <w:bottom w:val="none" w:sz="0" w:space="0" w:color="auto"/>
        <w:right w:val="none" w:sz="0" w:space="0" w:color="auto"/>
      </w:divBdr>
    </w:div>
    <w:div w:id="1585844999">
      <w:bodyDiv w:val="1"/>
      <w:marLeft w:val="0"/>
      <w:marRight w:val="0"/>
      <w:marTop w:val="0"/>
      <w:marBottom w:val="0"/>
      <w:divBdr>
        <w:top w:val="none" w:sz="0" w:space="0" w:color="auto"/>
        <w:left w:val="none" w:sz="0" w:space="0" w:color="auto"/>
        <w:bottom w:val="none" w:sz="0" w:space="0" w:color="auto"/>
        <w:right w:val="none" w:sz="0" w:space="0" w:color="auto"/>
      </w:divBdr>
    </w:div>
    <w:div w:id="1652170057">
      <w:bodyDiv w:val="1"/>
      <w:marLeft w:val="0"/>
      <w:marRight w:val="0"/>
      <w:marTop w:val="0"/>
      <w:marBottom w:val="0"/>
      <w:divBdr>
        <w:top w:val="none" w:sz="0" w:space="0" w:color="auto"/>
        <w:left w:val="none" w:sz="0" w:space="0" w:color="auto"/>
        <w:bottom w:val="none" w:sz="0" w:space="0" w:color="auto"/>
        <w:right w:val="none" w:sz="0" w:space="0" w:color="auto"/>
      </w:divBdr>
      <w:divsChild>
        <w:div w:id="60904960">
          <w:marLeft w:val="0"/>
          <w:marRight w:val="0"/>
          <w:marTop w:val="0"/>
          <w:marBottom w:val="0"/>
          <w:divBdr>
            <w:top w:val="none" w:sz="0" w:space="0" w:color="auto"/>
            <w:left w:val="none" w:sz="0" w:space="0" w:color="auto"/>
            <w:bottom w:val="none" w:sz="0" w:space="0" w:color="auto"/>
            <w:right w:val="none" w:sz="0" w:space="0" w:color="auto"/>
          </w:divBdr>
          <w:divsChild>
            <w:div w:id="7957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7592">
      <w:bodyDiv w:val="1"/>
      <w:marLeft w:val="0"/>
      <w:marRight w:val="0"/>
      <w:marTop w:val="0"/>
      <w:marBottom w:val="0"/>
      <w:divBdr>
        <w:top w:val="none" w:sz="0" w:space="0" w:color="auto"/>
        <w:left w:val="none" w:sz="0" w:space="0" w:color="auto"/>
        <w:bottom w:val="none" w:sz="0" w:space="0" w:color="auto"/>
        <w:right w:val="none" w:sz="0" w:space="0" w:color="auto"/>
      </w:divBdr>
    </w:div>
    <w:div w:id="1691881349">
      <w:bodyDiv w:val="1"/>
      <w:marLeft w:val="0"/>
      <w:marRight w:val="0"/>
      <w:marTop w:val="0"/>
      <w:marBottom w:val="0"/>
      <w:divBdr>
        <w:top w:val="none" w:sz="0" w:space="0" w:color="auto"/>
        <w:left w:val="none" w:sz="0" w:space="0" w:color="auto"/>
        <w:bottom w:val="none" w:sz="0" w:space="0" w:color="auto"/>
        <w:right w:val="none" w:sz="0" w:space="0" w:color="auto"/>
      </w:divBdr>
    </w:div>
    <w:div w:id="1732650691">
      <w:bodyDiv w:val="1"/>
      <w:marLeft w:val="0"/>
      <w:marRight w:val="0"/>
      <w:marTop w:val="0"/>
      <w:marBottom w:val="0"/>
      <w:divBdr>
        <w:top w:val="none" w:sz="0" w:space="0" w:color="auto"/>
        <w:left w:val="none" w:sz="0" w:space="0" w:color="auto"/>
        <w:bottom w:val="none" w:sz="0" w:space="0" w:color="auto"/>
        <w:right w:val="none" w:sz="0" w:space="0" w:color="auto"/>
      </w:divBdr>
    </w:div>
    <w:div w:id="1736704616">
      <w:bodyDiv w:val="1"/>
      <w:marLeft w:val="0"/>
      <w:marRight w:val="0"/>
      <w:marTop w:val="0"/>
      <w:marBottom w:val="0"/>
      <w:divBdr>
        <w:top w:val="none" w:sz="0" w:space="0" w:color="auto"/>
        <w:left w:val="none" w:sz="0" w:space="0" w:color="auto"/>
        <w:bottom w:val="none" w:sz="0" w:space="0" w:color="auto"/>
        <w:right w:val="none" w:sz="0" w:space="0" w:color="auto"/>
      </w:divBdr>
    </w:div>
    <w:div w:id="1939754737">
      <w:bodyDiv w:val="1"/>
      <w:marLeft w:val="0"/>
      <w:marRight w:val="0"/>
      <w:marTop w:val="0"/>
      <w:marBottom w:val="0"/>
      <w:divBdr>
        <w:top w:val="none" w:sz="0" w:space="0" w:color="auto"/>
        <w:left w:val="none" w:sz="0" w:space="0" w:color="auto"/>
        <w:bottom w:val="none" w:sz="0" w:space="0" w:color="auto"/>
        <w:right w:val="none" w:sz="0" w:space="0" w:color="auto"/>
      </w:divBdr>
    </w:div>
    <w:div w:id="1964581669">
      <w:bodyDiv w:val="1"/>
      <w:marLeft w:val="0"/>
      <w:marRight w:val="0"/>
      <w:marTop w:val="0"/>
      <w:marBottom w:val="0"/>
      <w:divBdr>
        <w:top w:val="none" w:sz="0" w:space="0" w:color="auto"/>
        <w:left w:val="none" w:sz="0" w:space="0" w:color="auto"/>
        <w:bottom w:val="none" w:sz="0" w:space="0" w:color="auto"/>
        <w:right w:val="none" w:sz="0" w:space="0" w:color="auto"/>
      </w:divBdr>
    </w:div>
    <w:div w:id="1995714403">
      <w:bodyDiv w:val="1"/>
      <w:marLeft w:val="0"/>
      <w:marRight w:val="0"/>
      <w:marTop w:val="0"/>
      <w:marBottom w:val="0"/>
      <w:divBdr>
        <w:top w:val="none" w:sz="0" w:space="0" w:color="auto"/>
        <w:left w:val="none" w:sz="0" w:space="0" w:color="auto"/>
        <w:bottom w:val="none" w:sz="0" w:space="0" w:color="auto"/>
        <w:right w:val="none" w:sz="0" w:space="0" w:color="auto"/>
      </w:divBdr>
    </w:div>
    <w:div w:id="2060006195">
      <w:bodyDiv w:val="1"/>
      <w:marLeft w:val="0"/>
      <w:marRight w:val="0"/>
      <w:marTop w:val="0"/>
      <w:marBottom w:val="0"/>
      <w:divBdr>
        <w:top w:val="none" w:sz="0" w:space="0" w:color="auto"/>
        <w:left w:val="none" w:sz="0" w:space="0" w:color="auto"/>
        <w:bottom w:val="none" w:sz="0" w:space="0" w:color="auto"/>
        <w:right w:val="none" w:sz="0" w:space="0" w:color="auto"/>
      </w:divBdr>
    </w:div>
    <w:div w:id="2094428793">
      <w:bodyDiv w:val="1"/>
      <w:marLeft w:val="0"/>
      <w:marRight w:val="0"/>
      <w:marTop w:val="0"/>
      <w:marBottom w:val="0"/>
      <w:divBdr>
        <w:top w:val="none" w:sz="0" w:space="0" w:color="auto"/>
        <w:left w:val="none" w:sz="0" w:space="0" w:color="auto"/>
        <w:bottom w:val="none" w:sz="0" w:space="0" w:color="auto"/>
        <w:right w:val="none" w:sz="0" w:space="0" w:color="auto"/>
      </w:divBdr>
    </w:div>
    <w:div w:id="211963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tmp"/><Relationship Id="rId34" Type="http://schemas.openxmlformats.org/officeDocument/2006/relationships/image" Target="media/image26.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mp"/><Relationship Id="rId29" Type="http://schemas.openxmlformats.org/officeDocument/2006/relationships/image" Target="media/image21.jp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tmp"/><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chart" Target="charts/chart1.xm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data.gov.il" TargetMode="External"/><Relationship Id="rId1" Type="http://schemas.openxmlformats.org/officeDocument/2006/relationships/hyperlink" Target="http://www.gov.i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evaker-sec.gov.il\CitrixProfiles$\UsersHomeDir\mikor.MEVAKER-SEC\Documentum\CheckOut\&#1505;&#1497;&#1499;&#1493;&#1501;%20&#1513;&#1500;&#1504;&#1493;%20&#1500;&#1491;&#1493;%60&#1495;&#1493;&#1514;%20&#1512;&#1489;&#1506;&#1493;&#1504;&#1497;&#1497;&#1501;%20&#1500;&#1512;&#1495;%60&#1496;%20&#1493;&#1504;&#1497;&#1514;&#1493;&#1495;%20&#1497;&#1506;&#1497;&#1500;&#1493;&#1514;%20&#1492;&#1497;&#1514;&#1512;&#1497;&#1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3.6458880139982511E-2"/>
          <c:w val="0.93888888888888888"/>
          <c:h val="0.74700532225138527"/>
        </c:manualLayout>
      </c:layout>
      <c:barChart>
        <c:barDir val="col"/>
        <c:grouping val="stacked"/>
        <c:varyColors val="0"/>
        <c:ser>
          <c:idx val="0"/>
          <c:order val="0"/>
          <c:tx>
            <c:strRef>
              <c:f>'צווים שיפוטיים והיתרים מינהליים'!$B$4</c:f>
              <c:strCache>
                <c:ptCount val="1"/>
                <c:pt idx="0">
                  <c:v>צווים שיפוטיים </c:v>
                </c:pt>
              </c:strCache>
            </c:strRef>
          </c:tx>
          <c:spPr>
            <a:solidFill>
              <a:srgbClr val="28A29B"/>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lt1"/>
                    </a:solidFill>
                    <a:latin typeface="Almoni Tzar ML v5 AAA" panose="00000506000000000000" pitchFamily="50" charset="-79"/>
                    <a:ea typeface="+mn-ea"/>
                    <a:cs typeface="Almoni Tzar ML v5 AAA" panose="00000506000000000000" pitchFamily="50" charset="-79"/>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'צווים שיפוטיים והיתרים מינהליים'!$C$3:$G$3</c:f>
              <c:numCache>
                <c:formatCode>General</c:formatCode>
                <c:ptCount val="5"/>
                <c:pt idx="0">
                  <c:v>2017</c:v>
                </c:pt>
                <c:pt idx="1">
                  <c:v>2018</c:v>
                </c:pt>
                <c:pt idx="2">
                  <c:v>2019</c:v>
                </c:pt>
                <c:pt idx="3">
                  <c:v>2020</c:v>
                </c:pt>
                <c:pt idx="4">
                  <c:v>2021</c:v>
                </c:pt>
              </c:numCache>
            </c:numRef>
          </c:cat>
          <c:val>
            <c:numRef>
              <c:f>'צווים שיפוטיים והיתרים מינהליים'!$C$4:$G$4</c:f>
              <c:numCache>
                <c:formatCode>#,##0</c:formatCode>
                <c:ptCount val="5"/>
                <c:pt idx="0">
                  <c:v>27033</c:v>
                </c:pt>
                <c:pt idx="1">
                  <c:v>31714</c:v>
                </c:pt>
                <c:pt idx="2">
                  <c:v>36443</c:v>
                </c:pt>
                <c:pt idx="3">
                  <c:v>40502</c:v>
                </c:pt>
                <c:pt idx="4">
                  <c:v>41207</c:v>
                </c:pt>
              </c:numCache>
            </c:numRef>
          </c:val>
          <c:extLst>
            <c:ext xmlns:c16="http://schemas.microsoft.com/office/drawing/2014/chart" uri="{C3380CC4-5D6E-409C-BE32-E72D297353CC}">
              <c16:uniqueId val="{00000000-B7AD-4F3C-914B-AE759A18273B}"/>
            </c:ext>
          </c:extLst>
        </c:ser>
        <c:ser>
          <c:idx val="1"/>
          <c:order val="1"/>
          <c:tx>
            <c:strRef>
              <c:f>'צווים שיפוטיים והיתרים מינהליים'!$B$5</c:f>
              <c:strCache>
                <c:ptCount val="1"/>
                <c:pt idx="0">
                  <c:v>היתרים מינהליים</c:v>
                </c:pt>
              </c:strCache>
            </c:strRef>
          </c:tx>
          <c:spPr>
            <a:solidFill>
              <a:srgbClr val="5A59A7"/>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lt1"/>
                    </a:solidFill>
                    <a:latin typeface="Almoni Tzar ML v5 AAA" panose="00000506000000000000" pitchFamily="50" charset="-79"/>
                    <a:ea typeface="+mn-ea"/>
                    <a:cs typeface="Almoni Tzar ML v5 AAA" panose="00000506000000000000" pitchFamily="50" charset="-79"/>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'צווים שיפוטיים והיתרים מינהליים'!$C$3:$G$3</c:f>
              <c:numCache>
                <c:formatCode>General</c:formatCode>
                <c:ptCount val="5"/>
                <c:pt idx="0">
                  <c:v>2017</c:v>
                </c:pt>
                <c:pt idx="1">
                  <c:v>2018</c:v>
                </c:pt>
                <c:pt idx="2">
                  <c:v>2019</c:v>
                </c:pt>
                <c:pt idx="3">
                  <c:v>2020</c:v>
                </c:pt>
                <c:pt idx="4">
                  <c:v>2021</c:v>
                </c:pt>
              </c:numCache>
            </c:numRef>
          </c:cat>
          <c:val>
            <c:numRef>
              <c:f>'צווים שיפוטיים והיתרים מינהליים'!$C$5:$G$5</c:f>
              <c:numCache>
                <c:formatCode>#,##0</c:formatCode>
                <c:ptCount val="5"/>
                <c:pt idx="0">
                  <c:v>13750</c:v>
                </c:pt>
                <c:pt idx="1">
                  <c:v>15623</c:v>
                </c:pt>
                <c:pt idx="2">
                  <c:v>15906</c:v>
                </c:pt>
                <c:pt idx="3">
                  <c:v>16350</c:v>
                </c:pt>
                <c:pt idx="4">
                  <c:v>16076</c:v>
                </c:pt>
              </c:numCache>
            </c:numRef>
          </c:val>
          <c:extLst>
            <c:ext xmlns:c16="http://schemas.microsoft.com/office/drawing/2014/chart" uri="{C3380CC4-5D6E-409C-BE32-E72D297353CC}">
              <c16:uniqueId val="{00000001-B7AD-4F3C-914B-AE759A18273B}"/>
            </c:ext>
          </c:extLst>
        </c:ser>
        <c:dLbls>
          <c:showLegendKey val="0"/>
          <c:showVal val="0"/>
          <c:showCatName val="0"/>
          <c:showSerName val="0"/>
          <c:showPercent val="0"/>
          <c:showBubbleSize val="0"/>
        </c:dLbls>
        <c:gapWidth val="79"/>
        <c:overlap val="100"/>
        <c:axId val="1949981695"/>
        <c:axId val="1950075215"/>
      </c:barChart>
      <c:lineChart>
        <c:grouping val="standard"/>
        <c:varyColors val="0"/>
        <c:ser>
          <c:idx val="3"/>
          <c:order val="2"/>
          <c:tx>
            <c:strRef>
              <c:f>'צווים שיפוטיים והיתרים מינהליים'!$B$7</c:f>
              <c:strCache>
                <c:ptCount val="1"/>
                <c:pt idx="0">
                  <c:v>סך הכול</c:v>
                </c:pt>
              </c:strCache>
            </c:strRef>
          </c:tx>
          <c:spPr>
            <a:ln w="22225" cap="rnd">
              <a:solidFill>
                <a:srgbClr val="F15B5D"/>
              </a:solidFill>
              <a:round/>
            </a:ln>
            <a:effectLst/>
          </c:spPr>
          <c:marker>
            <c:symbol val="none"/>
          </c:marker>
          <c:dLbls>
            <c:dLbl>
              <c:idx val="0"/>
              <c:tx>
                <c:rich>
                  <a:bodyPr/>
                  <a:lstStyle/>
                  <a:p>
                    <a:fld id="{EE5F2B6C-BBC4-4239-9BDA-63271C940E84}" type="VALUE">
                      <a:rPr lang="en-US" sz="1400">
                        <a:latin typeface="Almoni Tzar ML v5 AAA" panose="00000506000000000000" pitchFamily="50" charset="-79"/>
                        <a:cs typeface="Almoni Tzar ML v5 AAA" panose="00000506000000000000" pitchFamily="50" charset="-79"/>
                      </a:rPr>
                      <a:pPr/>
                      <a:t>[ערך]</a:t>
                    </a:fld>
                    <a:endParaRPr lang="he-IL"/>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7AD-4F3C-914B-AE759A18273B}"/>
                </c:ext>
              </c:extLst>
            </c:dLbl>
            <c:dLbl>
              <c:idx val="1"/>
              <c:tx>
                <c:rich>
                  <a:bodyPr/>
                  <a:lstStyle/>
                  <a:p>
                    <a:fld id="{EE5F2B6C-BBC4-4239-9BDA-63271C940E84}" type="VALUE">
                      <a:rPr lang="en-US" sz="1400">
                        <a:latin typeface="Almoni Tzar ML v5 AAA" panose="00000506000000000000" pitchFamily="50" charset="-79"/>
                        <a:cs typeface="Almoni Tzar ML v5 AAA" panose="00000506000000000000" pitchFamily="50" charset="-79"/>
                      </a:rPr>
                      <a:pPr/>
                      <a:t>[ערך]</a:t>
                    </a:fld>
                    <a:endParaRPr lang="he-IL"/>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7AD-4F3C-914B-AE759A18273B}"/>
                </c:ext>
              </c:extLst>
            </c:dLbl>
            <c:dLbl>
              <c:idx val="2"/>
              <c:tx>
                <c:rich>
                  <a:bodyPr/>
                  <a:lstStyle/>
                  <a:p>
                    <a:fld id="{EE5F2B6C-BBC4-4239-9BDA-63271C940E84}" type="VALUE">
                      <a:rPr lang="en-US" sz="1400">
                        <a:latin typeface="Almoni Tzar ML v5 AAA" panose="00000506000000000000" pitchFamily="50" charset="-79"/>
                        <a:cs typeface="Almoni Tzar ML v5 AAA" panose="00000506000000000000" pitchFamily="50" charset="-79"/>
                      </a:rPr>
                      <a:pPr/>
                      <a:t>[ערך]</a:t>
                    </a:fld>
                    <a:endParaRPr lang="he-IL"/>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7AD-4F3C-914B-AE759A18273B}"/>
                </c:ext>
              </c:extLst>
            </c:dLbl>
            <c:dLbl>
              <c:idx val="3"/>
              <c:tx>
                <c:rich>
                  <a:bodyPr/>
                  <a:lstStyle/>
                  <a:p>
                    <a:fld id="{EE5F2B6C-BBC4-4239-9BDA-63271C940E84}" type="VALUE">
                      <a:rPr lang="en-US" sz="1400">
                        <a:latin typeface="Almoni Tzar ML v5 AAA" panose="00000506000000000000" pitchFamily="50" charset="-79"/>
                        <a:cs typeface="Almoni Tzar ML v5 AAA" panose="00000506000000000000" pitchFamily="50" charset="-79"/>
                      </a:rPr>
                      <a:pPr/>
                      <a:t>[ערך]</a:t>
                    </a:fld>
                    <a:endParaRPr lang="he-IL"/>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7AD-4F3C-914B-AE759A18273B}"/>
                </c:ext>
              </c:extLst>
            </c:dLbl>
            <c:dLbl>
              <c:idx val="4"/>
              <c:tx>
                <c:rich>
                  <a:bodyPr/>
                  <a:lstStyle/>
                  <a:p>
                    <a:fld id="{EE5F2B6C-BBC4-4239-9BDA-63271C940E84}" type="VALUE">
                      <a:rPr lang="en-US" sz="1400">
                        <a:latin typeface="Almoni Tzar ML v5 AAA" panose="00000506000000000000" pitchFamily="50" charset="-79"/>
                        <a:cs typeface="Almoni Tzar ML v5 AAA" panose="00000506000000000000" pitchFamily="50" charset="-79"/>
                      </a:rPr>
                      <a:pPr/>
                      <a:t>[ערך]</a:t>
                    </a:fld>
                    <a:endParaRPr lang="he-IL"/>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7AD-4F3C-914B-AE759A18273B}"/>
                </c:ext>
              </c:extLst>
            </c:dLbl>
            <c:spPr>
              <a:noFill/>
              <a:ln>
                <a:noFill/>
              </a:ln>
              <a:effectLst/>
            </c:spPr>
            <c:txPr>
              <a:bodyPr rot="0" spcFirstLastPara="1" vertOverflow="clip" horzOverflow="clip" vert="horz" wrap="square" lIns="36576" tIns="18288" rIns="36576" bIns="18288" anchor="ctr" anchorCtr="1">
                <a:spAutoFit/>
              </a:bodyPr>
              <a:lstStyle/>
              <a:p>
                <a:pPr>
                  <a:defRPr sz="1400" b="0" i="0" u="none" strike="noStrike" kern="1200" baseline="0">
                    <a:solidFill>
                      <a:schemeClr val="dk1">
                        <a:lumMod val="65000"/>
                        <a:lumOff val="35000"/>
                      </a:schemeClr>
                    </a:solidFill>
                    <a:latin typeface="Almoni Tzar ML v5 AAA" panose="00000506000000000000" pitchFamily="50" charset="-79"/>
                    <a:ea typeface="+mn-ea"/>
                    <a:cs typeface="Almoni Tzar ML v5 AAA" panose="00000506000000000000" pitchFamily="50" charset="-79"/>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'צווים שיפוטיים והיתרים מינהליים'!$C$3:$G$3</c:f>
              <c:numCache>
                <c:formatCode>General</c:formatCode>
                <c:ptCount val="5"/>
                <c:pt idx="0">
                  <c:v>2017</c:v>
                </c:pt>
                <c:pt idx="1">
                  <c:v>2018</c:v>
                </c:pt>
                <c:pt idx="2">
                  <c:v>2019</c:v>
                </c:pt>
                <c:pt idx="3">
                  <c:v>2020</c:v>
                </c:pt>
                <c:pt idx="4">
                  <c:v>2021</c:v>
                </c:pt>
              </c:numCache>
            </c:numRef>
          </c:cat>
          <c:val>
            <c:numRef>
              <c:f>'צווים שיפוטיים והיתרים מינהליים'!$C$7:$G$7</c:f>
              <c:numCache>
                <c:formatCode>#,##0</c:formatCode>
                <c:ptCount val="5"/>
                <c:pt idx="0">
                  <c:v>40783</c:v>
                </c:pt>
                <c:pt idx="1">
                  <c:v>47337</c:v>
                </c:pt>
                <c:pt idx="2">
                  <c:v>52349</c:v>
                </c:pt>
                <c:pt idx="3">
                  <c:v>56852</c:v>
                </c:pt>
                <c:pt idx="4">
                  <c:v>57283</c:v>
                </c:pt>
              </c:numCache>
            </c:numRef>
          </c:val>
          <c:smooth val="0"/>
          <c:extLst>
            <c:ext xmlns:c16="http://schemas.microsoft.com/office/drawing/2014/chart" uri="{C3380CC4-5D6E-409C-BE32-E72D297353CC}">
              <c16:uniqueId val="{00000007-B7AD-4F3C-914B-AE759A18273B}"/>
            </c:ext>
          </c:extLst>
        </c:ser>
        <c:dLbls>
          <c:showLegendKey val="0"/>
          <c:showVal val="0"/>
          <c:showCatName val="0"/>
          <c:showSerName val="0"/>
          <c:showPercent val="0"/>
          <c:showBubbleSize val="0"/>
        </c:dLbls>
        <c:marker val="1"/>
        <c:smooth val="0"/>
        <c:axId val="1949981695"/>
        <c:axId val="1950075215"/>
      </c:lineChart>
      <c:catAx>
        <c:axId val="194998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Almoni ML v5 AAA" panose="00000500000000000000" pitchFamily="50" charset="-79"/>
                <a:ea typeface="+mn-ea"/>
                <a:cs typeface="Almoni ML v5 AAA" panose="00000500000000000000" pitchFamily="50" charset="-79"/>
              </a:defRPr>
            </a:pPr>
            <a:endParaRPr lang="he-IL"/>
          </a:p>
        </c:txPr>
        <c:crossAx val="1950075215"/>
        <c:crosses val="autoZero"/>
        <c:auto val="1"/>
        <c:lblAlgn val="ctr"/>
        <c:lblOffset val="100"/>
        <c:noMultiLvlLbl val="0"/>
      </c:catAx>
      <c:valAx>
        <c:axId val="1950075215"/>
        <c:scaling>
          <c:orientation val="minMax"/>
        </c:scaling>
        <c:delete val="1"/>
        <c:axPos val="l"/>
        <c:numFmt formatCode="#,##0" sourceLinked="1"/>
        <c:majorTickMark val="none"/>
        <c:minorTickMark val="none"/>
        <c:tickLblPos val="nextTo"/>
        <c:crossAx val="194998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lmoni ML v5 AAA" panose="00000500000000000000" pitchFamily="50" charset="-79"/>
              <a:ea typeface="+mn-ea"/>
              <a:cs typeface="Almoni ML v5 AAA" panose="00000500000000000000" pitchFamily="50" charset="-79"/>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100">
          <a:latin typeface="Almoni ML v5 AAA" panose="00000500000000000000" pitchFamily="50" charset="-79"/>
          <a:cs typeface="Almoni ML v5 AAA" panose="00000500000000000000" pitchFamily="50" charset="-79"/>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ערכת נושא Office">
  <a:themeElements>
    <a:clrScheme name="נעה דוחות מבקר">
      <a:dk1>
        <a:sysClr val="windowText" lastClr="000000"/>
      </a:dk1>
      <a:lt1>
        <a:sysClr val="window" lastClr="FFFFFF"/>
      </a:lt1>
      <a:dk2>
        <a:srgbClr val="1F497D"/>
      </a:dk2>
      <a:lt2>
        <a:srgbClr val="EEECE1"/>
      </a:lt2>
      <a:accent1>
        <a:srgbClr val="BE2843"/>
      </a:accent1>
      <a:accent2>
        <a:srgbClr val="DE9628"/>
      </a:accent2>
      <a:accent3>
        <a:srgbClr val="C6C438"/>
      </a:accent3>
      <a:accent4>
        <a:srgbClr val="23A09B"/>
      </a:accent4>
      <a:accent5>
        <a:srgbClr val="0FA0C8"/>
      </a:accent5>
      <a:accent6>
        <a:srgbClr val="22295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התאמה אישית 2">
    <a:dk1>
      <a:sysClr val="windowText" lastClr="000000"/>
    </a:dk1>
    <a:lt1>
      <a:sysClr val="window" lastClr="FFFFFF"/>
    </a:lt1>
    <a:dk2>
      <a:srgbClr val="1F497D"/>
    </a:dk2>
    <a:lt2>
      <a:srgbClr val="EEECE1"/>
    </a:lt2>
    <a:accent1>
      <a:srgbClr val="BE2843"/>
    </a:accent1>
    <a:accent2>
      <a:srgbClr val="DE9628"/>
    </a:accent2>
    <a:accent3>
      <a:srgbClr val="C6C438"/>
    </a:accent3>
    <a:accent4>
      <a:srgbClr val="23A09B"/>
    </a:accent4>
    <a:accent5>
      <a:srgbClr val="0FA0C8"/>
    </a:accent5>
    <a:accent6>
      <a:srgbClr val="22295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27D2D6-3520-412A-AB8E-4BA508400986}">
  <ds:schemaRefs>
    <ds:schemaRef ds:uri="http://schemas.openxmlformats.org/officeDocument/2006/bibliography"/>
  </ds:schemaRefs>
</ds:datastoreItem>
</file>

<file path=customXml/itemProps2.xml><?xml version="1.0" encoding="utf-8"?>
<ds:datastoreItem xmlns:ds="http://schemas.openxmlformats.org/officeDocument/2006/customXml" ds:itemID="{E861BF13-711F-4297-B678-102907AC31CC}"/>
</file>

<file path=customXml/itemProps3.xml><?xml version="1.0" encoding="utf-8"?>
<ds:datastoreItem xmlns:ds="http://schemas.openxmlformats.org/officeDocument/2006/customXml" ds:itemID="{555AA81C-5722-45C5-B57A-7E216DDCDED3}"/>
</file>

<file path=customXml/itemProps4.xml><?xml version="1.0" encoding="utf-8"?>
<ds:datastoreItem xmlns:ds="http://schemas.openxmlformats.org/officeDocument/2006/customXml" ds:itemID="{BC6F90A8-FC64-4F62-8613-7BB58B5E49CF}"/>
</file>

<file path=docProps/app.xml><?xml version="1.0" encoding="utf-8"?>
<Properties xmlns="http://schemas.openxmlformats.org/officeDocument/2006/extended-properties" xmlns:vt="http://schemas.openxmlformats.org/officeDocument/2006/docPropsVTypes">
  <Template>Normal</Template>
  <TotalTime>1</TotalTime>
  <Pages>1</Pages>
  <Words>75588</Words>
  <Characters>377943</Characters>
  <Application>Microsoft Office Word</Application>
  <DocSecurity>0</DocSecurity>
  <Lines>3149</Lines>
  <Paragraphs>905</Paragraphs>
  <ScaleCrop>false</ScaleCrop>
  <HeadingPairs>
    <vt:vector size="2" baseType="variant">
      <vt:variant>
        <vt:lpstr>שם</vt:lpstr>
      </vt:variant>
      <vt:variant>
        <vt:i4>1</vt:i4>
      </vt:variant>
    </vt:vector>
  </HeadingPairs>
  <TitlesOfParts>
    <vt:vector size="1" baseType="lpstr">
      <vt:lpstr/>
    </vt:vector>
  </TitlesOfParts>
  <Company>משרד מבקר המדינה</Company>
  <LinksUpToDate>false</LinksUpToDate>
  <CharactersWithSpaces>452626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אלכסנדר אלברט</dc:creator>
  <cp:keywords/>
  <dc:description/>
  <cp:lastModifiedBy>פנינה גונן</cp:lastModifiedBy>
  <cp:revision>3</cp:revision>
  <cp:lastPrinted>2026-01-14T10:53:00Z</cp:lastPrinted>
  <dcterms:created xsi:type="dcterms:W3CDTF">2026-01-14T10:53:00Z</dcterms:created>
  <dcterms:modified xsi:type="dcterms:W3CDTF">2026-01-14T10:54:00Z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d">
    <vt:lpwstr>090bc09b84b2e67e</vt:lpwstr>
  </property>
  <property fmtid="{D5CDD505-2E9C-101B-9397-08002B2CF9AE}" pid="3" name="product_name">
    <vt:lpwstr>d2</vt:lpwstr>
  </property>
  <property fmtid="{D5CDD505-2E9C-101B-9397-08002B2CF9AE}" pid="4" name="ContentTypeId">
    <vt:lpwstr>0x01010064D459DCDBE1C04FBE70D8D923394CD3</vt:lpwstr>
  </property>
</Properties>
</file>