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tabs>
          <w:tab w:val="left" w:pos="340"/>
        </w:tabs>
        <w:spacing w:line="264" w:lineRule="exact"/>
        <w:ind w:left="4196"/>
        <w:rPr>
          <w:rFonts w:ascii="FrankRuehl" w:hAnsi="FrankRuehl" w:cs="David" w:hint="cs"/>
          <w:sz w:val="32"/>
          <w:szCs w:val="32"/>
          <w:rtl/>
        </w:rPr>
      </w:pPr>
      <w:bookmarkStart w:id="0" w:name="_GoBack"/>
      <w:bookmarkEnd w:id="0"/>
      <w:r>
        <w:rPr>
          <w:rFonts w:ascii="FrankRuehl" w:hAnsi="FrankRuehl" w:cs="David" w:hint="cs"/>
          <w:b/>
          <w:bCs/>
          <w:sz w:val="32"/>
          <w:szCs w:val="32"/>
          <w:rtl/>
        </w:rPr>
        <w:t>מבקר המדינה</w:t>
      </w:r>
    </w:p>
    <w:p w:rsidR="00000000">
      <w:pPr>
        <w:tabs>
          <w:tab w:val="left" w:pos="340"/>
        </w:tabs>
        <w:spacing w:line="264" w:lineRule="exact"/>
        <w:ind w:left="4196"/>
        <w:rPr>
          <w:rFonts w:ascii="FrankRuehl" w:hAnsi="FrankRuehl" w:cs="David" w:hint="cs"/>
          <w:sz w:val="32"/>
          <w:szCs w:val="32"/>
          <w:rtl/>
        </w:rPr>
      </w:pPr>
      <w:r>
        <w:rPr>
          <w:rFonts w:ascii="FrankRuehl" w:hAnsi="FrankRuehl" w:cs="David"/>
          <w:sz w:val="32"/>
          <w:szCs w:val="32"/>
          <w:rtl/>
        </w:rPr>
        <w:t xml:space="preserve">דוח שנתי </w:t>
      </w:r>
      <w:r>
        <w:rPr>
          <w:rFonts w:ascii="FrankRuehl" w:hAnsi="FrankRuehl" w:cs="David" w:hint="cs"/>
          <w:sz w:val="28"/>
          <w:szCs w:val="28"/>
          <w:rtl/>
        </w:rPr>
        <w:t>59</w:t>
      </w:r>
      <w:r>
        <w:rPr>
          <w:rFonts w:ascii="FrankRuehl" w:hAnsi="FrankRuehl" w:cs="David" w:hint="cs"/>
          <w:sz w:val="32"/>
          <w:szCs w:val="32"/>
          <w:rtl/>
        </w:rPr>
        <w:t>א</w:t>
      </w:r>
    </w:p>
    <w:p w:rsidR="00000000">
      <w:pPr>
        <w:spacing w:after="0" w:line="240" w:lineRule="auto"/>
        <w:jc w:val="center"/>
        <w:rPr>
          <w:rFonts w:cs="David" w:hint="cs"/>
          <w:szCs w:val="24"/>
          <w:rtl/>
        </w:rPr>
      </w:pPr>
      <w:r>
        <w:rPr>
          <w:rFonts w:ascii="FrankRuehl" w:hAnsi="FrankRuehl"/>
          <w:b/>
          <w:bCs/>
          <w:sz w:val="32"/>
          <w:szCs w:val="32"/>
          <w:rtl/>
        </w:rPr>
        <w:br w:type="page"/>
      </w:r>
    </w:p>
    <w:p w:rsidR="00000000">
      <w:pPr>
        <w:spacing w:line="240" w:lineRule="atLeast"/>
        <w:jc w:val="center"/>
      </w:pPr>
      <w:r>
        <w:rPr>
          <w:rtl/>
        </w:rPr>
        <w:br w:type="page"/>
      </w:r>
      <w:r>
        <w:rPr>
          <w:noProof/>
          <w:rtl/>
        </w:rPr>
        <w:drawing>
          <wp:inline distT="0" distB="0" distL="0" distR="0">
            <wp:extent cx="641350" cy="800100"/>
            <wp:effectExtent l="0" t="0" r="6350"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7730" name="Picture 1" descr="isra"/>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41350" cy="800100"/>
                    </a:xfrm>
                    <a:prstGeom prst="rect">
                      <a:avLst/>
                    </a:prstGeom>
                    <a:noFill/>
                    <a:ln>
                      <a:noFill/>
                    </a:ln>
                  </pic:spPr>
                </pic:pic>
              </a:graphicData>
            </a:graphic>
          </wp:inline>
        </w:drawing>
      </w:r>
    </w:p>
    <w:p w:rsidR="00000000">
      <w:pPr>
        <w:spacing w:before="120" w:after="0" w:line="312" w:lineRule="auto"/>
        <w:jc w:val="center"/>
        <w:rPr>
          <w:rFonts w:cs="David" w:hint="cs"/>
          <w:b/>
          <w:bCs/>
          <w:sz w:val="72"/>
          <w:szCs w:val="72"/>
          <w:rtl/>
        </w:rPr>
      </w:pPr>
      <w:r>
        <w:rPr>
          <w:rFonts w:cs="David" w:hint="cs"/>
          <w:b/>
          <w:bCs/>
          <w:sz w:val="72"/>
          <w:szCs w:val="72"/>
          <w:rtl/>
        </w:rPr>
        <w:t>מבקר המדינה</w:t>
      </w:r>
    </w:p>
    <w:p w:rsidR="00000000">
      <w:pPr>
        <w:spacing w:after="0" w:line="240" w:lineRule="auto"/>
        <w:jc w:val="center"/>
        <w:rPr>
          <w:rFonts w:cs="David"/>
          <w:sz w:val="60"/>
          <w:szCs w:val="60"/>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100"/>
          <w:szCs w:val="100"/>
          <w:rtl/>
        </w:rPr>
      </w:pPr>
      <w:r>
        <w:rPr>
          <w:rFonts w:cs="David" w:hint="cs"/>
          <w:sz w:val="100"/>
          <w:szCs w:val="100"/>
          <w:rtl/>
        </w:rPr>
        <w:t>דוח שנתי 59א</w:t>
      </w: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56"/>
          <w:szCs w:val="56"/>
          <w:rtl/>
        </w:rPr>
      </w:pPr>
      <w:r>
        <w:rPr>
          <w:rFonts w:cs="David"/>
          <w:sz w:val="56"/>
          <w:szCs w:val="56"/>
        </w:rPr>
        <w:br/>
      </w:r>
    </w:p>
    <w:p w:rsidR="00000000">
      <w:pPr>
        <w:spacing w:after="0" w:line="240" w:lineRule="auto"/>
        <w:jc w:val="center"/>
        <w:rPr>
          <w:rFonts w:cs="David" w:hint="cs"/>
          <w:sz w:val="32"/>
          <w:szCs w:val="32"/>
          <w:rtl/>
        </w:rPr>
      </w:pPr>
    </w:p>
    <w:p w:rsidR="00000000">
      <w:pPr>
        <w:spacing w:after="0" w:line="240" w:lineRule="auto"/>
        <w:jc w:val="center"/>
        <w:rPr>
          <w:rFonts w:cs="David" w:hint="cs"/>
          <w:sz w:val="32"/>
          <w:szCs w:val="32"/>
          <w:rtl/>
        </w:rPr>
      </w:pPr>
    </w:p>
    <w:p w:rsidR="00000000">
      <w:pPr>
        <w:spacing w:after="0" w:line="240" w:lineRule="auto"/>
        <w:jc w:val="center"/>
        <w:rPr>
          <w:rFonts w:cs="David" w:hint="cs"/>
          <w:sz w:val="32"/>
          <w:szCs w:val="32"/>
          <w:rtl/>
        </w:rPr>
      </w:pPr>
    </w:p>
    <w:p w:rsidR="00000000">
      <w:pPr>
        <w:spacing w:after="0" w:line="240" w:lineRule="auto"/>
        <w:jc w:val="center"/>
        <w:rPr>
          <w:rFonts w:cs="David"/>
          <w:sz w:val="32"/>
          <w:szCs w:val="32"/>
        </w:rPr>
      </w:pPr>
    </w:p>
    <w:p w:rsidR="00000000">
      <w:pPr>
        <w:spacing w:line="240" w:lineRule="auto"/>
        <w:jc w:val="center"/>
        <w:rPr>
          <w:rFonts w:cs="David"/>
          <w:sz w:val="32"/>
          <w:szCs w:val="32"/>
        </w:rPr>
      </w:pPr>
    </w:p>
    <w:p w:rsidR="00000000">
      <w:pPr>
        <w:spacing w:line="240" w:lineRule="atLeast"/>
        <w:jc w:val="center"/>
        <w:rPr>
          <w:rFonts w:hint="cs"/>
          <w:sz w:val="32"/>
          <w:szCs w:val="32"/>
          <w:rtl/>
        </w:rPr>
      </w:pPr>
      <w:r>
        <w:rPr>
          <w:noProof/>
          <w:sz w:val="32"/>
          <w:szCs w:val="32"/>
          <w:rtl/>
        </w:rPr>
        <w:drawing>
          <wp:inline distT="0" distB="0" distL="0" distR="0">
            <wp:extent cx="844550" cy="482600"/>
            <wp:effectExtent l="0" t="0" r="0" b="0"/>
            <wp:docPr id="2" name="תמונה 2"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27951" name="Picture 2" descr="logo-b-w"/>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550" cy="482600"/>
                    </a:xfrm>
                    <a:prstGeom prst="rect">
                      <a:avLst/>
                    </a:prstGeom>
                    <a:noFill/>
                    <a:ln>
                      <a:noFill/>
                    </a:ln>
                  </pic:spPr>
                </pic:pic>
              </a:graphicData>
            </a:graphic>
          </wp:inline>
        </w:drawing>
      </w:r>
    </w:p>
    <w:p w:rsidR="00000000">
      <w:pPr>
        <w:spacing w:after="0" w:line="240" w:lineRule="auto"/>
        <w:jc w:val="center"/>
        <w:rPr>
          <w:rFonts w:cs="David" w:hint="cs"/>
          <w:sz w:val="32"/>
          <w:szCs w:val="32"/>
          <w:rtl/>
        </w:rPr>
      </w:pPr>
      <w:r>
        <w:rPr>
          <w:rFonts w:cs="David" w:hint="cs"/>
          <w:sz w:val="32"/>
          <w:szCs w:val="32"/>
          <w:rtl/>
        </w:rPr>
        <w:t>ירושלים, כסלו התשס"ט, דצמבר 2008</w:t>
      </w:r>
    </w:p>
    <w:p w:rsidR="00000000">
      <w:pPr>
        <w:spacing w:after="0" w:line="240" w:lineRule="auto"/>
        <w:jc w:val="center"/>
        <w:rPr>
          <w:rFonts w:cs="David"/>
          <w:szCs w:val="24"/>
        </w:rPr>
      </w:pPr>
      <w:r>
        <w:rPr>
          <w:sz w:val="32"/>
          <w:szCs w:val="32"/>
          <w:rtl/>
        </w:rPr>
        <w:br w:type="page"/>
      </w: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Pr>
      </w:pPr>
    </w:p>
    <w:p w:rsidR="00000000">
      <w:pPr>
        <w:spacing w:after="0" w:line="240" w:lineRule="auto"/>
        <w:jc w:val="center"/>
        <w:rPr>
          <w:rFonts w:hint="cs"/>
          <w:szCs w:val="24"/>
          <w:rtl/>
        </w:rPr>
      </w:pPr>
      <w:r>
        <w:rPr>
          <w:rFonts w:hint="cs"/>
          <w:szCs w:val="24"/>
          <w:rtl/>
        </w:rPr>
        <w:t>מס' קטלוגי 959-2008</w:t>
      </w:r>
    </w:p>
    <w:p w:rsidR="00000000">
      <w:pPr>
        <w:spacing w:after="0" w:line="240" w:lineRule="auto"/>
        <w:jc w:val="center"/>
        <w:rPr>
          <w:rFonts w:ascii="FrankRuehl" w:hAnsi="FrankRuehl"/>
          <w:sz w:val="20"/>
        </w:rPr>
      </w:pPr>
      <w:r>
        <w:rPr>
          <w:sz w:val="20"/>
          <w:szCs w:val="20"/>
        </w:rPr>
        <w:t>ISSN</w:t>
      </w:r>
      <w:r>
        <w:rPr>
          <w:sz w:val="20"/>
        </w:rPr>
        <w:t xml:space="preserve"> </w:t>
      </w:r>
      <w:r>
        <w:rPr>
          <w:sz w:val="20"/>
          <w:szCs w:val="20"/>
        </w:rPr>
        <w:t>0334-9713</w:t>
      </w:r>
    </w:p>
    <w:p w:rsidR="00000000">
      <w:pPr>
        <w:spacing w:after="0" w:line="240" w:lineRule="auto"/>
        <w:jc w:val="center"/>
        <w:rPr>
          <w:szCs w:val="24"/>
        </w:rPr>
      </w:pPr>
    </w:p>
    <w:p w:rsidR="00000000">
      <w:pPr>
        <w:spacing w:after="0" w:line="240" w:lineRule="auto"/>
        <w:jc w:val="center"/>
        <w:rPr>
          <w:rFonts w:hint="cs"/>
          <w:sz w:val="22"/>
          <w:rtl/>
        </w:rPr>
      </w:pPr>
      <w:r>
        <w:rPr>
          <w:rFonts w:hint="cs"/>
          <w:sz w:val="22"/>
          <w:rtl/>
        </w:rPr>
        <w:t xml:space="preserve">ניתן להוריד גרסה אלקטרונית של דוח זה מאתר האינטרנט של </w:t>
      </w:r>
      <w:r>
        <w:rPr>
          <w:sz w:val="22"/>
        </w:rPr>
        <w:br/>
      </w:r>
      <w:r>
        <w:rPr>
          <w:rFonts w:hint="cs"/>
          <w:sz w:val="22"/>
          <w:rtl/>
        </w:rPr>
        <w:t>משרד מבקר המדינה בכתובת:</w:t>
      </w:r>
    </w:p>
    <w:p w:rsidR="00000000">
      <w:pPr>
        <w:spacing w:after="0" w:line="240" w:lineRule="auto"/>
        <w:jc w:val="center"/>
        <w:rPr>
          <w:rFonts w:hint="cs"/>
          <w:szCs w:val="24"/>
          <w:rtl/>
        </w:rPr>
      </w:pPr>
      <w:r>
        <w:rPr>
          <w:szCs w:val="24"/>
        </w:rPr>
        <w:t>www.m</w:t>
      </w:r>
      <w:r>
        <w:rPr>
          <w:szCs w:val="24"/>
        </w:rPr>
        <w:t>evaker.gov.il</w:t>
      </w:r>
    </w:p>
    <w:p w:rsidR="00000000">
      <w:pPr>
        <w:spacing w:after="0" w:line="240" w:lineRule="auto"/>
        <w:jc w:val="center"/>
        <w:rPr>
          <w:rFonts w:hint="cs"/>
          <w:szCs w:val="24"/>
          <w:rtl/>
        </w:rPr>
      </w:pPr>
    </w:p>
    <w:p w:rsidR="00000000">
      <w:pPr>
        <w:spacing w:after="0" w:line="240" w:lineRule="auto"/>
        <w:jc w:val="center"/>
        <w:rPr>
          <w:rFonts w:hint="cs"/>
          <w:sz w:val="22"/>
          <w:rtl/>
        </w:rPr>
      </w:pPr>
      <w:r>
        <w:rPr>
          <w:rFonts w:hint="cs"/>
          <w:sz w:val="22"/>
          <w:rtl/>
        </w:rPr>
        <w:t>סדר: אונית שירותי מחשב בע"מ</w:t>
      </w:r>
    </w:p>
    <w:p w:rsidR="00000000">
      <w:pPr>
        <w:spacing w:after="0" w:line="240" w:lineRule="auto"/>
        <w:jc w:val="center"/>
        <w:rPr>
          <w:rFonts w:hint="cs"/>
          <w:sz w:val="22"/>
          <w:rtl/>
        </w:rPr>
      </w:pPr>
      <w:r>
        <w:rPr>
          <w:rFonts w:hint="cs"/>
          <w:sz w:val="22"/>
          <w:rtl/>
        </w:rPr>
        <w:t>דפוס: כתר בע"מ</w:t>
      </w:r>
    </w:p>
    <w:p w:rsidR="00000000">
      <w:pPr>
        <w:spacing w:line="300" w:lineRule="exact"/>
        <w:rPr>
          <w:rFonts w:cs="David" w:hint="cs"/>
          <w:szCs w:val="24"/>
          <w:rtl/>
        </w:rPr>
      </w:pPr>
      <w:r>
        <w:rPr>
          <w:rFonts w:cs="David"/>
          <w:szCs w:val="24"/>
          <w:rtl/>
        </w:rPr>
        <w:br w:type="page"/>
      </w:r>
    </w:p>
    <w:p w:rsidR="00000000">
      <w:pPr>
        <w:spacing w:line="300" w:lineRule="exact"/>
        <w:rPr>
          <w:rFonts w:cs="David" w:hint="cs"/>
          <w:szCs w:val="24"/>
          <w:rtl/>
        </w:rPr>
      </w:pPr>
    </w:p>
    <w:p w:rsidR="00000000">
      <w:pPr>
        <w:spacing w:line="300" w:lineRule="exact"/>
        <w:rPr>
          <w:rFonts w:cs="David" w:hint="cs"/>
          <w:szCs w:val="24"/>
          <w:rtl/>
        </w:rPr>
      </w:pPr>
    </w:p>
    <w:p w:rsidR="00000000">
      <w:pPr>
        <w:spacing w:line="300" w:lineRule="exact"/>
        <w:rPr>
          <w:rFonts w:cs="David" w:hint="cs"/>
          <w:szCs w:val="24"/>
          <w:rtl/>
        </w:rPr>
      </w:pPr>
    </w:p>
    <w:p w:rsidR="00000000">
      <w:pPr>
        <w:spacing w:line="300" w:lineRule="exact"/>
        <w:rPr>
          <w:rFonts w:cs="David" w:hint="cs"/>
          <w:szCs w:val="24"/>
          <w:rtl/>
        </w:rPr>
      </w:pPr>
    </w:p>
    <w:p w:rsidR="00000000">
      <w:pPr>
        <w:spacing w:line="300" w:lineRule="exact"/>
        <w:rPr>
          <w:rFonts w:cs="David" w:hint="cs"/>
          <w:szCs w:val="24"/>
          <w:rtl/>
        </w:rPr>
      </w:pPr>
    </w:p>
    <w:p w:rsidR="00000000">
      <w:pPr>
        <w:spacing w:line="300" w:lineRule="exact"/>
        <w:rPr>
          <w:rFonts w:cs="David" w:hint="cs"/>
          <w:szCs w:val="24"/>
          <w:rtl/>
        </w:rPr>
      </w:pPr>
      <w:r>
        <w:rPr>
          <w:rFonts w:cs="David" w:hint="cs"/>
          <w:b/>
          <w:bCs/>
          <w:sz w:val="28"/>
          <w:szCs w:val="28"/>
          <w:rtl/>
        </w:rPr>
        <w:t>דוח שנתי 59א</w:t>
      </w:r>
      <w:r>
        <w:rPr>
          <w:rFonts w:cs="David" w:hint="cs"/>
          <w:szCs w:val="24"/>
          <w:rtl/>
        </w:rPr>
        <w:t xml:space="preserve"> עוסק רובו ככולו בביקורת על מערכת הביטחון. הדוח מטפל במספר היבטים, וביניהם שלושה נושאים הקשורים למוכנות לזמן חירום ושני נושאים העוסקים בפעילות שוטפת. כמו כן נבדקו שני פרויקטים של </w:t>
      </w:r>
      <w:r>
        <w:rPr>
          <w:rFonts w:cs="David" w:hint="cs"/>
          <w:szCs w:val="24"/>
          <w:rtl/>
        </w:rPr>
        <w:t>פיתוח בתעשיות הביטחוניות. השנה ניתן דגש על ביקורות מעקב, ונערכו חמש ביקורות כאלה.</w:t>
      </w:r>
    </w:p>
    <w:p w:rsidR="00000000">
      <w:pPr>
        <w:spacing w:line="300" w:lineRule="exact"/>
        <w:rPr>
          <w:rFonts w:cs="David" w:hint="cs"/>
          <w:szCs w:val="24"/>
          <w:rtl/>
        </w:rPr>
      </w:pPr>
      <w:r>
        <w:rPr>
          <w:rFonts w:cs="David" w:hint="cs"/>
          <w:szCs w:val="24"/>
          <w:rtl/>
        </w:rPr>
        <w:t>עוד אציין, כי על פי סעיף 17א' לחוק מבקר המדינה, התשי"ח-1958 [נוסח משולב], הטילה הכנסת חיסיון מלא או חלקי על מספר דוחות. כל הדוחות החסויים במלואם והפרקים החסויים מתוך הדוחות ה</w:t>
      </w:r>
      <w:r>
        <w:rPr>
          <w:rFonts w:cs="David" w:hint="cs"/>
          <w:szCs w:val="24"/>
          <w:rtl/>
        </w:rPr>
        <w:t>חסויים בחלקם הונחו על שולחן ועדת המשנה של הוועדה לענייני ביקורת המדינה, והומצאו לעיונו של יו"ר ועדת חוץ וביטחון.</w:t>
      </w:r>
    </w:p>
    <w:p w:rsidR="00000000">
      <w:pPr>
        <w:spacing w:line="300" w:lineRule="exact"/>
        <w:rPr>
          <w:rFonts w:cs="David" w:hint="cs"/>
          <w:szCs w:val="24"/>
          <w:rtl/>
        </w:rPr>
      </w:pPr>
      <w:r>
        <w:rPr>
          <w:rFonts w:cs="David" w:hint="cs"/>
          <w:szCs w:val="24"/>
          <w:rtl/>
        </w:rPr>
        <w:t>בתחום המוכנות לזמן חירום נבדקו שני נושאים חשובים ביותר שהשפעתם היא גם על העורף וגם על החזית. נושא אחד הוא אקטואלי ועומד במרכז הדיון הציבורי - "</w:t>
      </w:r>
      <w:r>
        <w:rPr>
          <w:rFonts w:cs="David" w:hint="cs"/>
          <w:szCs w:val="24"/>
          <w:rtl/>
        </w:rPr>
        <w:t>תהליך קבלת ההחלטות לפיתוח מערכות להגנה אקטיבית כנגד רקטות קרקע-קרקע", ונבדקה בו, בין היתר, התנהלות גורמי צה"ל ומשרד הביטחון (להלן - משהב"ט) בשלבי קדם-הפיתוח והמעבר לפיתוח מלא של שתי מערכות מרכזיות המפותחות בתחום זה.</w:t>
      </w:r>
    </w:p>
    <w:p w:rsidR="00000000">
      <w:pPr>
        <w:spacing w:line="300" w:lineRule="exact"/>
        <w:rPr>
          <w:rFonts w:cs="David" w:hint="cs"/>
          <w:szCs w:val="24"/>
          <w:rtl/>
        </w:rPr>
      </w:pPr>
      <w:r>
        <w:rPr>
          <w:rFonts w:cs="David" w:hint="cs"/>
          <w:szCs w:val="24"/>
          <w:rtl/>
        </w:rPr>
        <w:t>נושא נוסף בעל חשיבות רבה הוא ההתמודדות ע</w:t>
      </w:r>
      <w:r>
        <w:rPr>
          <w:rFonts w:cs="David" w:hint="cs"/>
          <w:szCs w:val="24"/>
          <w:rtl/>
        </w:rPr>
        <w:t>ם איום החל"ך (חומרי לחימה כימיים). בנושא זה נערכו שתי ביקורות שנמצאו בהן ליקויים מהותיים, האחת על משק ערכות המגן עבור אוכלוסיית המדינה, ובכלל זה תקציב משק הערכות, כשירותן, תהליך איסופן מהתושבים משנת 2006 ופיתוח והצטיידות במערכת מגן "אבן ספיר".</w:t>
      </w:r>
    </w:p>
    <w:p w:rsidR="00000000">
      <w:pPr>
        <w:spacing w:line="300" w:lineRule="exact"/>
        <w:rPr>
          <w:rFonts w:cs="David" w:hint="cs"/>
          <w:szCs w:val="24"/>
          <w:rtl/>
        </w:rPr>
      </w:pPr>
      <w:r>
        <w:rPr>
          <w:rFonts w:cs="David" w:hint="cs"/>
          <w:szCs w:val="24"/>
          <w:rtl/>
        </w:rPr>
        <w:t>הביקורת השני</w:t>
      </w:r>
      <w:r>
        <w:rPr>
          <w:rFonts w:cs="David" w:hint="cs"/>
          <w:szCs w:val="24"/>
          <w:rtl/>
        </w:rPr>
        <w:t>יה נערכה בצה"ל ועסקה בכשירות ובמוכנות של הדרג הנפרס בצה"ל, של העורף הצבאי ושל הכוחות הייעודיים ביבשה להתגוננות בפני איום של תקיפה בחל"ך בעת חירום.</w:t>
      </w:r>
    </w:p>
    <w:p w:rsidR="00000000">
      <w:pPr>
        <w:spacing w:line="300" w:lineRule="exact"/>
        <w:rPr>
          <w:rFonts w:cs="David" w:hint="cs"/>
          <w:szCs w:val="24"/>
          <w:rtl/>
        </w:rPr>
      </w:pPr>
      <w:r>
        <w:rPr>
          <w:rFonts w:cs="David" w:hint="cs"/>
          <w:szCs w:val="24"/>
          <w:rtl/>
        </w:rPr>
        <w:t>בתחום הפעילות השוטפת נבדק נושא המכשול והמעברים ב"עוטף ירושלים" בהמשך לשורת ביקורות שבוצעו בעבר על הקמת המכשול</w:t>
      </w:r>
      <w:r>
        <w:rPr>
          <w:rFonts w:cs="David" w:hint="cs"/>
          <w:szCs w:val="24"/>
          <w:rtl/>
        </w:rPr>
        <w:t xml:space="preserve"> ב"מרחב התפר". הבדיקה נערכה בעקבות החלטת הממשלה מדצמבר 2001 על ביצוע "עוטף ירושלים" כחלק מתכנית "מרחב התפר". נבדקו, בין היתר, ניהול התכנית, תפעול המכשול והמעברים, וסוגיות הקשורות ל"מרקם החיים" הנוגעות בעיקר לתושבים של השכונות במזרח ירושלים שנותרו מחוץ למכש</w:t>
      </w:r>
      <w:r>
        <w:rPr>
          <w:rFonts w:cs="David" w:hint="cs"/>
          <w:szCs w:val="24"/>
          <w:rtl/>
        </w:rPr>
        <w:t>ול.</w:t>
      </w:r>
    </w:p>
    <w:p w:rsidR="00000000">
      <w:pPr>
        <w:spacing w:line="300" w:lineRule="exact"/>
        <w:rPr>
          <w:rFonts w:cs="David" w:hint="cs"/>
          <w:szCs w:val="24"/>
          <w:rtl/>
        </w:rPr>
      </w:pPr>
      <w:r>
        <w:rPr>
          <w:rFonts w:cs="David" w:hint="cs"/>
          <w:szCs w:val="24"/>
          <w:rtl/>
        </w:rPr>
        <w:t>נושא אחר שנבדק הוא העסקת קצינים שפרשו מצה"ל על ידי התעשיות הביטחוניות, צה"ל ומשהב"ט, בדרך שאינה מתיישבת עם הנחיות החשב הכללי שבמשרד האוצר בעניין הפחתת הגמלאות שהם מקבלים בשל הכנסה נוספת מקופה ציבורית, וכן בדרך שאינה מתיישבת עם מגבלות חוק הצינון והאיסור</w:t>
      </w:r>
      <w:r>
        <w:rPr>
          <w:rFonts w:cs="David" w:hint="cs"/>
          <w:szCs w:val="24"/>
          <w:rtl/>
        </w:rPr>
        <w:t xml:space="preserve"> על ניגוד עניינים.</w:t>
      </w:r>
    </w:p>
    <w:p w:rsidR="00000000">
      <w:pPr>
        <w:spacing w:line="300" w:lineRule="exact"/>
        <w:rPr>
          <w:rFonts w:cs="David" w:hint="cs"/>
          <w:szCs w:val="24"/>
          <w:rtl/>
        </w:rPr>
      </w:pPr>
      <w:r>
        <w:rPr>
          <w:rFonts w:cs="David" w:hint="cs"/>
          <w:szCs w:val="24"/>
          <w:rtl/>
        </w:rPr>
        <w:t>בתחום הפרויקטים של פיתוח נעשו שתי ביקורות. האחת עוסקת בעיקר בסדרי ההתקשרות שבין משהב"ט לבין אלתא מערכות בע"מ בפיתוח מערכות ייחודיות. השנייה עוסקת בהליך הנמשך כעשור למציאת פתרון בנושא מערכות התראה על התנגשות במסוקים, בעיה ששבה ועלתה בעשור</w:t>
      </w:r>
      <w:r>
        <w:rPr>
          <w:rFonts w:cs="David" w:hint="cs"/>
          <w:szCs w:val="24"/>
          <w:rtl/>
        </w:rPr>
        <w:t xml:space="preserve"> האחרון בעקבות תאונות חמורות, שאף עלו בחיי אדם, וכמעט תאונות.</w:t>
      </w:r>
    </w:p>
    <w:p w:rsidR="00000000">
      <w:pPr>
        <w:spacing w:line="300" w:lineRule="exact"/>
        <w:rPr>
          <w:rFonts w:cs="David" w:hint="cs"/>
          <w:szCs w:val="24"/>
          <w:rtl/>
        </w:rPr>
      </w:pPr>
      <w:r>
        <w:rPr>
          <w:rFonts w:cs="David" w:hint="cs"/>
          <w:szCs w:val="24"/>
          <w:rtl/>
        </w:rPr>
        <w:t>הפעם נערכו חמש ביקורות מעקב בנושאים מגוונים:</w:t>
      </w:r>
    </w:p>
    <w:p w:rsidR="00000000">
      <w:pPr>
        <w:spacing w:line="300" w:lineRule="exact"/>
        <w:rPr>
          <w:rFonts w:cs="David" w:hint="cs"/>
          <w:szCs w:val="24"/>
          <w:rtl/>
        </w:rPr>
      </w:pPr>
      <w:r>
        <w:rPr>
          <w:rFonts w:cs="David" w:hint="cs"/>
          <w:szCs w:val="24"/>
          <w:rtl/>
        </w:rPr>
        <w:t>הראשונה עוסקת בהספקת שירותי רפואה לחיילים על ידי צה"ל ומשהב"ט. הביקורת הורחבה למספר תחומים נוספים, וביניהם: תהליך קבלת ההחלטות המתקיים בצה"ל, במשהב"ט</w:t>
      </w:r>
      <w:r>
        <w:rPr>
          <w:rFonts w:cs="David" w:hint="cs"/>
          <w:szCs w:val="24"/>
          <w:rtl/>
        </w:rPr>
        <w:t xml:space="preserve">, במשרד האוצר ובמשרד הבריאות בנושא כיווני ההתפתחות של הספקת שירותים רפואיים לחיילי צה"ל בעתיד ויכולתו של חיל הרפואה לממש את אחריותו לבריאות החיילים נוכח צמצום בסמכותו לתקינת כוח אדם רפואי בגופי צה"ל. עוד מתייחס הדוח לפעילותו של צה"ל לפתרון הבעיה החמורה של </w:t>
      </w:r>
      <w:r>
        <w:rPr>
          <w:rFonts w:cs="David" w:hint="cs"/>
          <w:szCs w:val="24"/>
          <w:rtl/>
        </w:rPr>
        <w:t xml:space="preserve">מחסור ברופאים צבאיים. </w:t>
      </w:r>
    </w:p>
    <w:p w:rsidR="00000000">
      <w:pPr>
        <w:spacing w:line="300" w:lineRule="exact"/>
        <w:rPr>
          <w:rFonts w:cs="David" w:hint="cs"/>
          <w:szCs w:val="24"/>
          <w:rtl/>
        </w:rPr>
      </w:pPr>
      <w:r>
        <w:rPr>
          <w:rFonts w:cs="David" w:hint="cs"/>
          <w:szCs w:val="24"/>
          <w:rtl/>
        </w:rPr>
        <w:t xml:space="preserve">גם ביקורת המעקב השנייה היא מורחבת, ונערכה באגף שיקום נכים ובאגף משפחות והנצחה שבמשהב"ט. בביקורת נמצאו תקלות בתיקון הליקויים שהועלו בדוח שנתי 55א, ובמימוש התחייבויות משהב"ט בדיוני הוועדה לענייני ביקורת המדינה של הכנסת בנושאים הקשורים </w:t>
      </w:r>
      <w:r>
        <w:rPr>
          <w:rFonts w:cs="David" w:hint="cs"/>
          <w:szCs w:val="24"/>
          <w:rtl/>
        </w:rPr>
        <w:t xml:space="preserve">לאגף שיקום נכים ולאגף משפחות והנצחה. </w:t>
      </w:r>
    </w:p>
    <w:p w:rsidR="00000000">
      <w:pPr>
        <w:spacing w:line="300" w:lineRule="exact"/>
        <w:rPr>
          <w:rFonts w:cs="David" w:hint="cs"/>
          <w:szCs w:val="24"/>
          <w:rtl/>
        </w:rPr>
      </w:pPr>
      <w:r>
        <w:rPr>
          <w:rFonts w:cs="David" w:hint="cs"/>
          <w:szCs w:val="24"/>
          <w:rtl/>
        </w:rPr>
        <w:t xml:space="preserve">נערכה ביקורת מעקב ביחידה להתיישבות ותשתית לאומית שבמשהב"ט, אשר עוסקת בעיקר במימון רכישת מרכיבי ביטחון ובפרויקטים בתחום התשתית הביטחונית לרשויות המקומיות. בביקורת המעקב נבדקו תיקון הליקויים </w:t>
      </w:r>
      <w:r>
        <w:rPr>
          <w:rFonts w:cs="David" w:hint="cs"/>
          <w:szCs w:val="24"/>
          <w:rtl/>
        </w:rPr>
        <w:t xml:space="preserve">שנמצאו בביקורת הקודמת ביחידת </w:t>
      </w:r>
      <w:r>
        <w:rPr>
          <w:rFonts w:cs="David" w:hint="cs"/>
          <w:szCs w:val="24"/>
          <w:rtl/>
        </w:rPr>
        <w:t>עוזר שר הביטחון להתיישבות, תשתית ואזורי פיתוח (דוח שנתי 54א).</w:t>
      </w:r>
    </w:p>
    <w:p w:rsidR="00000000">
      <w:pPr>
        <w:spacing w:line="300" w:lineRule="exact"/>
        <w:rPr>
          <w:rFonts w:cs="David" w:hint="cs"/>
          <w:szCs w:val="24"/>
          <w:rtl/>
        </w:rPr>
      </w:pPr>
      <w:r>
        <w:rPr>
          <w:rFonts w:cs="David" w:hint="cs"/>
          <w:szCs w:val="24"/>
          <w:rtl/>
        </w:rPr>
        <w:t xml:space="preserve">כמו כן, נערכה ביקורת מעקב בנושא הכשרת הקצונה הבכירה בצה"ל, ובמסגרתה נבדק אם תוקנו ליקויים שהועלו בביקורת הקודמת (דוח שנתי 57א). </w:t>
      </w:r>
    </w:p>
    <w:p w:rsidR="00000000">
      <w:pPr>
        <w:spacing w:line="300" w:lineRule="exact"/>
        <w:rPr>
          <w:rFonts w:cs="David" w:hint="cs"/>
          <w:szCs w:val="24"/>
          <w:rtl/>
        </w:rPr>
      </w:pPr>
      <w:r>
        <w:rPr>
          <w:rFonts w:cs="David" w:hint="cs"/>
          <w:szCs w:val="24"/>
          <w:rtl/>
        </w:rPr>
        <w:t>בעניין הדוחות הכספיים של תעש, נערכה ביקורת מעקב חוזרת כדי לבחון א</w:t>
      </w:r>
      <w:r>
        <w:rPr>
          <w:rFonts w:cs="David" w:hint="cs"/>
          <w:szCs w:val="24"/>
          <w:rtl/>
        </w:rPr>
        <w:t xml:space="preserve">ם הנהלת תעש והדירקטוריון שלה עמדו בדרישות חוק החברות, התשנ"ט-1999, וחוק החברות הממשלתיות, התשל"ה-1975, לגבי תהליך אישור הדוחות </w:t>
      </w:r>
      <w:r>
        <w:rPr>
          <w:rFonts w:cs="David" w:hint="cs"/>
          <w:spacing w:val="-2"/>
          <w:szCs w:val="24"/>
          <w:rtl/>
        </w:rPr>
        <w:t>הכספיים לשנים 2003-2006. ממצאי הביקורת המקורית פורסמו בדוח שנתי 53א (2002),</w:t>
      </w:r>
      <w:r>
        <w:rPr>
          <w:rFonts w:cs="David" w:hint="cs"/>
          <w:szCs w:val="24"/>
          <w:rtl/>
        </w:rPr>
        <w:t xml:space="preserve"> וממצאי ביקורת המעקב הראשונה בדוח שנתי 57א (2006).</w:t>
      </w:r>
    </w:p>
    <w:p w:rsidR="00000000">
      <w:pPr>
        <w:spacing w:line="300" w:lineRule="exact"/>
        <w:rPr>
          <w:rFonts w:cs="David" w:hint="cs"/>
          <w:szCs w:val="24"/>
          <w:rtl/>
        </w:rPr>
      </w:pPr>
      <w:r>
        <w:rPr>
          <w:rFonts w:cs="David" w:hint="cs"/>
          <w:szCs w:val="24"/>
          <w:rtl/>
        </w:rPr>
        <w:t>לדו</w:t>
      </w:r>
      <w:r>
        <w:rPr>
          <w:rFonts w:cs="David" w:hint="cs"/>
          <w:szCs w:val="24"/>
          <w:rtl/>
        </w:rPr>
        <w:t>ח שנתי זה צורף גם דוח הביקורת על התקשרות חברת החשמל לישראל בע"מ עם חברה חיצונית, לצורך ניהול עבודות ההשלמה של הקמת בניין המשרדים הראשי של החברה בחיפה, והפיקוח על החברה החיצונית.</w:t>
      </w:r>
    </w:p>
    <w:p w:rsidR="00000000">
      <w:pPr>
        <w:spacing w:line="300" w:lineRule="exact"/>
        <w:rPr>
          <w:rFonts w:cs="David" w:hint="cs"/>
          <w:szCs w:val="24"/>
          <w:rtl/>
        </w:rPr>
      </w:pPr>
      <w:r>
        <w:rPr>
          <w:rFonts w:cs="David" w:hint="cs"/>
          <w:szCs w:val="24"/>
          <w:rtl/>
        </w:rPr>
        <w:t>מלאכת הביקורת נעשית בצורה מקצועית, ללא משוא פנים, בשוויוניות גמורה ובשקיפות. ע</w:t>
      </w:r>
      <w:r>
        <w:rPr>
          <w:rFonts w:cs="David" w:hint="cs"/>
          <w:szCs w:val="24"/>
          <w:rtl/>
        </w:rPr>
        <w:t xml:space="preserve">ובדי חטיבת הביטחון, כל אחד בפני עצמו וכולם יחד, תרמו בדוח שנתי מפורט זה תרומה נכבדה להגברת החוקיות, המינהל התקין, היעילות והחיסכון בגופים המבוקרים. </w:t>
      </w:r>
    </w:p>
    <w:p w:rsidR="00000000">
      <w:pPr>
        <w:tabs>
          <w:tab w:val="center" w:pos="5218"/>
        </w:tabs>
        <w:spacing w:after="0" w:line="240" w:lineRule="atLeast"/>
        <w:rPr>
          <w:rFonts w:cs="David" w:hint="cs"/>
          <w:szCs w:val="24"/>
          <w:rtl/>
        </w:rPr>
      </w:pPr>
      <w:r>
        <w:rPr>
          <w:rFonts w:hint="cs"/>
          <w:rtl/>
        </w:rPr>
        <w:tab/>
      </w:r>
      <w:r>
        <w:rPr>
          <w:noProof/>
        </w:rPr>
        <w:drawing>
          <wp:inline distT="0" distB="0" distL="0" distR="0">
            <wp:extent cx="1600200" cy="996950"/>
            <wp:effectExtent l="0" t="0" r="0" b="0"/>
            <wp:docPr id="3" name="תמונה 3"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49779" name="Picture 3" descr="חתימה_TIF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996950"/>
                    </a:xfrm>
                    <a:prstGeom prst="rect">
                      <a:avLst/>
                    </a:prstGeom>
                    <a:noFill/>
                    <a:ln>
                      <a:noFill/>
                    </a:ln>
                  </pic:spPr>
                </pic:pic>
              </a:graphicData>
            </a:graphic>
          </wp:inline>
        </w:drawing>
      </w:r>
    </w:p>
    <w:p w:rsidR="00000000">
      <w:pPr>
        <w:tabs>
          <w:tab w:val="center" w:pos="5218"/>
        </w:tabs>
        <w:spacing w:after="0" w:line="280" w:lineRule="exact"/>
        <w:rPr>
          <w:rFonts w:cs="David" w:hint="cs"/>
          <w:szCs w:val="24"/>
          <w:rtl/>
        </w:rPr>
      </w:pPr>
      <w:r>
        <w:rPr>
          <w:rFonts w:cs="David" w:hint="cs"/>
          <w:b/>
          <w:bCs/>
          <w:szCs w:val="24"/>
          <w:rtl/>
        </w:rPr>
        <w:tab/>
        <w:t>מיכה לינדנשטראוס, שופט (בדימ')</w:t>
      </w:r>
    </w:p>
    <w:p w:rsidR="00000000">
      <w:pPr>
        <w:tabs>
          <w:tab w:val="center" w:pos="5218"/>
        </w:tabs>
        <w:spacing w:after="0" w:line="280" w:lineRule="exact"/>
        <w:rPr>
          <w:rFonts w:cs="David" w:hint="cs"/>
          <w:szCs w:val="24"/>
          <w:rtl/>
        </w:rPr>
      </w:pPr>
      <w:r>
        <w:rPr>
          <w:rFonts w:cs="David" w:hint="cs"/>
          <w:szCs w:val="24"/>
          <w:rtl/>
        </w:rPr>
        <w:tab/>
        <w:t xml:space="preserve">מבקר המדינה </w:t>
      </w:r>
    </w:p>
    <w:p w:rsidR="00000000">
      <w:pPr>
        <w:tabs>
          <w:tab w:val="center" w:pos="5218"/>
        </w:tabs>
        <w:spacing w:after="0" w:line="280" w:lineRule="exact"/>
        <w:rPr>
          <w:rFonts w:cs="David" w:hint="cs"/>
          <w:szCs w:val="24"/>
          <w:rtl/>
        </w:rPr>
      </w:pPr>
      <w:r>
        <w:rPr>
          <w:rFonts w:cs="David" w:hint="cs"/>
          <w:szCs w:val="24"/>
          <w:rtl/>
        </w:rPr>
        <w:tab/>
        <w:t>ונציב תלונות הציבור</w:t>
      </w:r>
    </w:p>
    <w:p w:rsidR="00000000">
      <w:pPr>
        <w:tabs>
          <w:tab w:val="center" w:pos="5218"/>
        </w:tabs>
        <w:spacing w:after="0" w:line="280" w:lineRule="exact"/>
        <w:rPr>
          <w:rFonts w:cs="David" w:hint="cs"/>
          <w:szCs w:val="24"/>
          <w:rtl/>
        </w:rPr>
      </w:pPr>
    </w:p>
    <w:p w:rsidR="00000000">
      <w:pPr>
        <w:tabs>
          <w:tab w:val="left" w:pos="898"/>
        </w:tabs>
        <w:spacing w:after="0" w:line="280" w:lineRule="exact"/>
        <w:rPr>
          <w:rFonts w:cs="David" w:hint="cs"/>
          <w:sz w:val="22"/>
          <w:rtl/>
        </w:rPr>
      </w:pPr>
      <w:r>
        <w:rPr>
          <w:rFonts w:cs="David" w:hint="cs"/>
          <w:sz w:val="22"/>
          <w:rtl/>
        </w:rPr>
        <w:t xml:space="preserve">ירושלים, </w:t>
      </w:r>
      <w:r>
        <w:rPr>
          <w:rFonts w:cs="David" w:hint="cs"/>
          <w:sz w:val="22"/>
          <w:rtl/>
        </w:rPr>
        <w:tab/>
        <w:t>כסלו התשס"ט</w:t>
      </w:r>
    </w:p>
    <w:p w:rsidR="00000000">
      <w:pPr>
        <w:tabs>
          <w:tab w:val="left" w:pos="898"/>
        </w:tabs>
        <w:spacing w:after="0" w:line="280" w:lineRule="exact"/>
        <w:rPr>
          <w:rFonts w:cs="David" w:hint="cs"/>
          <w:sz w:val="22"/>
          <w:rtl/>
        </w:rPr>
      </w:pPr>
      <w:r>
        <w:rPr>
          <w:rFonts w:cs="David" w:hint="cs"/>
          <w:sz w:val="22"/>
          <w:rtl/>
        </w:rPr>
        <w:tab/>
        <w:t>דצמבר 2008</w:t>
      </w:r>
    </w:p>
    <w:p w:rsidR="00000000">
      <w:pPr>
        <w:tabs>
          <w:tab w:val="left" w:pos="898"/>
        </w:tabs>
        <w:spacing w:after="0" w:line="280" w:lineRule="exact"/>
        <w:rPr>
          <w:rFonts w:cs="David" w:hint="cs"/>
          <w:sz w:val="22"/>
          <w:rtl/>
        </w:rPr>
      </w:pPr>
    </w:p>
    <w:p w:rsidR="00000000">
      <w:pPr>
        <w:tabs>
          <w:tab w:val="left" w:pos="898"/>
        </w:tabs>
        <w:spacing w:after="0" w:line="280" w:lineRule="exact"/>
        <w:rPr>
          <w:rFonts w:cs="David" w:hint="cs"/>
          <w:sz w:val="22"/>
          <w:rtl/>
        </w:rPr>
      </w:pPr>
      <w:r>
        <w:rPr>
          <w:rFonts w:cs="David"/>
          <w:sz w:val="22"/>
          <w:rtl/>
        </w:rPr>
        <w:br w:type="page"/>
      </w:r>
    </w:p>
    <w:p w:rsidR="00000000">
      <w:pPr>
        <w:pStyle w:val="KOT1"/>
        <w:tabs>
          <w:tab w:val="right" w:leader="dot" w:pos="6237"/>
          <w:tab w:val="left" w:pos="6350"/>
        </w:tabs>
        <w:spacing w:after="400"/>
        <w:ind w:right="851"/>
        <w:rPr>
          <w:rFonts w:hint="cs"/>
          <w:sz w:val="40"/>
          <w:szCs w:val="40"/>
          <w:rtl/>
        </w:rPr>
      </w:pPr>
      <w:r>
        <w:rPr>
          <w:rFonts w:cs="FrankRuehl"/>
          <w:sz w:val="22"/>
          <w:rtl/>
        </w:rPr>
        <w:br w:type="page"/>
      </w:r>
      <w:r>
        <w:rPr>
          <w:rFonts w:hint="cs"/>
          <w:sz w:val="40"/>
          <w:szCs w:val="40"/>
          <w:rtl/>
        </w:rPr>
        <w:t>תוכן העניינים</w:t>
      </w:r>
    </w:p>
    <w:p w:rsidR="00000000">
      <w:pPr>
        <w:pStyle w:val="KOT2"/>
        <w:tabs>
          <w:tab w:val="right" w:leader="dot" w:pos="6237"/>
          <w:tab w:val="left" w:pos="6350"/>
        </w:tabs>
        <w:spacing w:after="240"/>
        <w:ind w:right="851"/>
        <w:rPr>
          <w:rFonts w:hint="cs"/>
          <w:rtl/>
        </w:rPr>
      </w:pPr>
      <w:r>
        <w:rPr>
          <w:rFonts w:hint="cs"/>
          <w:rtl/>
        </w:rPr>
        <w:t>פרק ראשון - מוכנות לזמן חירום</w:t>
      </w:r>
    </w:p>
    <w:p w:rsidR="00000000">
      <w:pPr>
        <w:tabs>
          <w:tab w:val="right" w:leader="dot" w:pos="6237"/>
          <w:tab w:val="left" w:pos="6350"/>
        </w:tabs>
        <w:ind w:right="851"/>
        <w:jc w:val="left"/>
        <w:rPr>
          <w:rFonts w:cs="David" w:hint="cs"/>
          <w:szCs w:val="24"/>
          <w:rtl/>
        </w:rPr>
      </w:pPr>
      <w:r>
        <w:rPr>
          <w:rFonts w:cs="David" w:hint="cs"/>
          <w:szCs w:val="24"/>
          <w:rtl/>
        </w:rPr>
        <w:t>פעולות הב</w:t>
      </w:r>
      <w:bookmarkStart w:id="1" w:name="_Hlt104864911"/>
      <w:bookmarkStart w:id="2" w:name="_Hlt104864912"/>
      <w:r>
        <w:rPr>
          <w:rFonts w:cs="David" w:hint="cs"/>
          <w:szCs w:val="24"/>
          <w:rtl/>
        </w:rPr>
        <w:t>י</w:t>
      </w:r>
      <w:bookmarkEnd w:id="1"/>
      <w:bookmarkEnd w:id="2"/>
      <w:r>
        <w:rPr>
          <w:rFonts w:cs="David" w:hint="cs"/>
          <w:szCs w:val="24"/>
          <w:rtl/>
        </w:rPr>
        <w:t>קורת</w:t>
      </w:r>
      <w:r>
        <w:rPr>
          <w:rFonts w:cs="David" w:hint="cs"/>
          <w:szCs w:val="24"/>
          <w:rtl/>
        </w:rPr>
        <w:tab/>
      </w:r>
      <w:r>
        <w:rPr>
          <w:rFonts w:cs="David" w:hint="cs"/>
          <w:szCs w:val="24"/>
          <w:rtl/>
        </w:rPr>
        <w:tab/>
        <w:t>3</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 xml:space="preserve">תהליך קבלת ההחלטות לפיתוח ולהצטיידות במערכות </w:t>
      </w:r>
      <w:r>
        <w:rPr>
          <w:rFonts w:cs="David"/>
          <w:b/>
          <w:bCs/>
          <w:szCs w:val="24"/>
          <w:lang w:eastAsia="he-IL"/>
        </w:rPr>
        <w:br/>
      </w:r>
      <w:r>
        <w:rPr>
          <w:rFonts w:cs="David" w:hint="cs"/>
          <w:b/>
          <w:bCs/>
          <w:szCs w:val="24"/>
          <w:rtl/>
          <w:lang w:eastAsia="he-IL"/>
        </w:rPr>
        <w:t>להגנה אקטיבית כנגד רקטות קרקע-קרקע (רק"ק)</w:t>
      </w:r>
      <w:r>
        <w:rPr>
          <w:rFonts w:cs="David" w:hint="cs"/>
          <w:szCs w:val="24"/>
          <w:rtl/>
        </w:rPr>
        <w:tab/>
      </w:r>
      <w:r>
        <w:rPr>
          <w:rFonts w:cs="David" w:hint="cs"/>
          <w:szCs w:val="24"/>
          <w:rtl/>
        </w:rPr>
        <w:tab/>
        <w:t>5</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הטיפול במשק ערכות המגן כנגד חומרי לחימה כימיים</w:t>
      </w:r>
      <w:r>
        <w:rPr>
          <w:rFonts w:cs="David" w:hint="cs"/>
          <w:szCs w:val="24"/>
          <w:rtl/>
        </w:rPr>
        <w:tab/>
      </w:r>
      <w:r>
        <w:rPr>
          <w:rFonts w:cs="David" w:hint="cs"/>
          <w:szCs w:val="24"/>
          <w:rtl/>
        </w:rPr>
        <w:tab/>
        <w:t>39</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מוכנות כוחות היבשה ללחימה בעת תקיפה בחומרי לחימה כ</w:t>
      </w:r>
      <w:r>
        <w:rPr>
          <w:rFonts w:cs="David" w:hint="cs"/>
          <w:b/>
          <w:bCs/>
          <w:szCs w:val="24"/>
          <w:rtl/>
          <w:lang w:eastAsia="he-IL"/>
        </w:rPr>
        <w:t>ימיים</w:t>
      </w:r>
      <w:r>
        <w:rPr>
          <w:rFonts w:cs="David" w:hint="cs"/>
          <w:szCs w:val="24"/>
          <w:rtl/>
        </w:rPr>
        <w:tab/>
      </w:r>
      <w:r>
        <w:rPr>
          <w:rFonts w:cs="David" w:hint="cs"/>
          <w:szCs w:val="24"/>
          <w:rtl/>
        </w:rPr>
        <w:tab/>
        <w:t>61</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after="240"/>
        <w:ind w:right="851"/>
        <w:rPr>
          <w:rFonts w:hint="cs"/>
          <w:rtl/>
        </w:rPr>
      </w:pPr>
      <w:r>
        <w:rPr>
          <w:rFonts w:hint="cs"/>
          <w:rtl/>
        </w:rPr>
        <w:t>פרק שני - פעילות שוטפת</w:t>
      </w:r>
    </w:p>
    <w:p w:rsidR="00000000">
      <w:pPr>
        <w:tabs>
          <w:tab w:val="right" w:leader="dot" w:pos="6237"/>
          <w:tab w:val="left" w:pos="6350"/>
        </w:tabs>
        <w:ind w:right="851"/>
        <w:jc w:val="left"/>
        <w:rPr>
          <w:rFonts w:cs="David" w:hint="cs"/>
          <w:szCs w:val="24"/>
          <w:rtl/>
        </w:rPr>
      </w:pPr>
      <w:r>
        <w:rPr>
          <w:rFonts w:cs="David" w:hint="cs"/>
          <w:szCs w:val="24"/>
          <w:rtl/>
        </w:rPr>
        <w:t>פעולות הביקורת</w:t>
      </w:r>
      <w:r>
        <w:rPr>
          <w:rFonts w:cs="David" w:hint="cs"/>
          <w:szCs w:val="24"/>
          <w:rtl/>
        </w:rPr>
        <w:tab/>
      </w:r>
      <w:r>
        <w:rPr>
          <w:rFonts w:cs="David" w:hint="cs"/>
          <w:szCs w:val="24"/>
          <w:rtl/>
        </w:rPr>
        <w:tab/>
        <w:t>65</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המכשול והמעברים ב"עוטף ירושלים"</w:t>
      </w:r>
      <w:r>
        <w:rPr>
          <w:rFonts w:cs="David" w:hint="cs"/>
          <w:szCs w:val="24"/>
          <w:rtl/>
        </w:rPr>
        <w:tab/>
      </w:r>
      <w:r>
        <w:rPr>
          <w:rFonts w:cs="David" w:hint="cs"/>
          <w:szCs w:val="24"/>
          <w:rtl/>
        </w:rPr>
        <w:tab/>
        <w:t>67</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 xml:space="preserve">היבטים בהעסקת קצינים פורשי צה"ל בתעשיות הביטחוניות </w:t>
      </w:r>
      <w:r>
        <w:rPr>
          <w:rFonts w:cs="David"/>
          <w:b/>
          <w:bCs/>
          <w:szCs w:val="24"/>
          <w:lang w:eastAsia="he-IL"/>
        </w:rPr>
        <w:br/>
      </w:r>
      <w:r>
        <w:rPr>
          <w:rFonts w:cs="David" w:hint="cs"/>
          <w:b/>
          <w:bCs/>
          <w:szCs w:val="24"/>
          <w:rtl/>
          <w:lang w:eastAsia="he-IL"/>
        </w:rPr>
        <w:t>ובמשרד הביטחון</w:t>
      </w:r>
      <w:r>
        <w:rPr>
          <w:rFonts w:cs="David" w:hint="cs"/>
          <w:szCs w:val="24"/>
          <w:rtl/>
        </w:rPr>
        <w:tab/>
      </w:r>
      <w:r>
        <w:rPr>
          <w:rFonts w:cs="David" w:hint="cs"/>
          <w:szCs w:val="24"/>
          <w:rtl/>
        </w:rPr>
        <w:tab/>
        <w:t>93</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after="240"/>
        <w:ind w:right="851"/>
        <w:rPr>
          <w:rFonts w:hint="cs"/>
          <w:rtl/>
        </w:rPr>
      </w:pPr>
      <w:r>
        <w:rPr>
          <w:rFonts w:hint="cs"/>
          <w:rtl/>
        </w:rPr>
        <w:t>פרק שלישי - פרויקטים של פיתוח</w:t>
      </w:r>
    </w:p>
    <w:p w:rsidR="00000000">
      <w:pPr>
        <w:tabs>
          <w:tab w:val="right" w:leader="dot" w:pos="6237"/>
          <w:tab w:val="left" w:pos="6350"/>
        </w:tabs>
        <w:ind w:right="851"/>
        <w:jc w:val="left"/>
        <w:rPr>
          <w:rFonts w:cs="David" w:hint="cs"/>
          <w:szCs w:val="24"/>
          <w:rtl/>
        </w:rPr>
      </w:pPr>
      <w:r>
        <w:rPr>
          <w:rFonts w:cs="David" w:hint="cs"/>
          <w:szCs w:val="24"/>
          <w:rtl/>
        </w:rPr>
        <w:t>פעולות הביקורת</w:t>
      </w:r>
      <w:r>
        <w:rPr>
          <w:rFonts w:cs="David" w:hint="cs"/>
          <w:szCs w:val="24"/>
          <w:rtl/>
        </w:rPr>
        <w:tab/>
      </w:r>
      <w:r>
        <w:rPr>
          <w:rFonts w:cs="David" w:hint="cs"/>
          <w:szCs w:val="24"/>
          <w:rtl/>
        </w:rPr>
        <w:tab/>
        <w:t xml:space="preserve">123 </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מערכות להתרעה על התנגשות במסוקים</w:t>
      </w:r>
      <w:r>
        <w:rPr>
          <w:rFonts w:cs="David" w:hint="cs"/>
          <w:szCs w:val="24"/>
          <w:rtl/>
        </w:rPr>
        <w:tab/>
      </w:r>
      <w:r>
        <w:rPr>
          <w:rFonts w:cs="David" w:hint="cs"/>
          <w:szCs w:val="24"/>
          <w:rtl/>
        </w:rPr>
        <w:tab/>
        <w:t>125</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after="240"/>
        <w:ind w:right="851"/>
        <w:rPr>
          <w:rFonts w:hint="cs"/>
          <w:rtl/>
        </w:rPr>
      </w:pPr>
      <w:r>
        <w:rPr>
          <w:rFonts w:hint="cs"/>
          <w:rtl/>
        </w:rPr>
        <w:t>פרק ר</w:t>
      </w:r>
      <w:r>
        <w:rPr>
          <w:rFonts w:hint="cs"/>
          <w:rtl/>
        </w:rPr>
        <w:t>ביעי - ממצאי ביקורות מעקב</w:t>
      </w:r>
    </w:p>
    <w:p w:rsidR="00000000">
      <w:pPr>
        <w:tabs>
          <w:tab w:val="right" w:leader="dot" w:pos="6237"/>
          <w:tab w:val="left" w:pos="6350"/>
        </w:tabs>
        <w:ind w:right="851"/>
        <w:jc w:val="left"/>
        <w:rPr>
          <w:rFonts w:cs="David" w:hint="cs"/>
          <w:szCs w:val="24"/>
          <w:rtl/>
        </w:rPr>
      </w:pPr>
      <w:r>
        <w:rPr>
          <w:rFonts w:cs="David" w:hint="cs"/>
          <w:szCs w:val="24"/>
          <w:rtl/>
        </w:rPr>
        <w:t>פעולות הביקורת</w:t>
      </w:r>
      <w:r>
        <w:rPr>
          <w:rFonts w:cs="David" w:hint="cs"/>
          <w:szCs w:val="24"/>
          <w:rtl/>
        </w:rPr>
        <w:tab/>
      </w:r>
      <w:r>
        <w:rPr>
          <w:rFonts w:cs="David" w:hint="cs"/>
          <w:szCs w:val="24"/>
          <w:rtl/>
        </w:rPr>
        <w:tab/>
        <w:t>139</w:t>
      </w:r>
    </w:p>
    <w:p w:rsidR="00000000">
      <w:pPr>
        <w:tabs>
          <w:tab w:val="right" w:leader="dot" w:pos="6237"/>
          <w:tab w:val="left" w:pos="6350"/>
        </w:tabs>
        <w:spacing w:before="120" w:after="0"/>
        <w:ind w:right="851"/>
        <w:jc w:val="left"/>
        <w:rPr>
          <w:rFonts w:cs="David" w:hint="cs"/>
          <w:szCs w:val="24"/>
          <w:rtl/>
        </w:rPr>
      </w:pPr>
      <w:r>
        <w:rPr>
          <w:rFonts w:cs="David" w:hint="cs"/>
          <w:szCs w:val="24"/>
          <w:rtl/>
        </w:rPr>
        <w:t>ממצאי מעקב מורחב</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הספקת שירותי רפואה לחיילים על ידי צה"ל ומשרד הביטחון</w:t>
      </w:r>
      <w:r>
        <w:rPr>
          <w:rFonts w:cs="David" w:hint="cs"/>
          <w:szCs w:val="24"/>
          <w:rtl/>
        </w:rPr>
        <w:tab/>
      </w:r>
      <w:r>
        <w:rPr>
          <w:rFonts w:cs="David" w:hint="cs"/>
          <w:szCs w:val="24"/>
          <w:rtl/>
        </w:rPr>
        <w:tab/>
        <w:t>141</w:t>
      </w:r>
    </w:p>
    <w:p w:rsidR="00000000">
      <w:pPr>
        <w:keepNext/>
        <w:tabs>
          <w:tab w:val="right" w:leader="dot" w:pos="6237"/>
          <w:tab w:val="left" w:pos="6350"/>
        </w:tabs>
        <w:spacing w:before="120" w:after="0"/>
        <w:ind w:right="851"/>
        <w:jc w:val="left"/>
        <w:rPr>
          <w:rFonts w:cs="David" w:hint="cs"/>
          <w:szCs w:val="24"/>
          <w:rtl/>
        </w:rPr>
      </w:pPr>
      <w:r>
        <w:rPr>
          <w:rFonts w:cs="David" w:hint="cs"/>
          <w:szCs w:val="24"/>
          <w:rtl/>
        </w:rPr>
        <w:t>ממצאי מעקב מורחב</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 xml:space="preserve">התחייבויות משרד הביטחון בנושאים הקשורים </w:t>
      </w:r>
      <w:r>
        <w:rPr>
          <w:rFonts w:cs="David"/>
          <w:b/>
          <w:bCs/>
          <w:szCs w:val="24"/>
          <w:rtl/>
          <w:lang w:eastAsia="he-IL"/>
        </w:rPr>
        <w:br/>
      </w:r>
      <w:r>
        <w:rPr>
          <w:rFonts w:cs="David" w:hint="cs"/>
          <w:b/>
          <w:bCs/>
          <w:szCs w:val="24"/>
          <w:rtl/>
          <w:lang w:eastAsia="he-IL"/>
        </w:rPr>
        <w:t>לשיקום נכים ולמשפחות שכולות</w:t>
      </w:r>
      <w:r>
        <w:rPr>
          <w:rFonts w:cs="David" w:hint="cs"/>
          <w:szCs w:val="24"/>
          <w:rtl/>
        </w:rPr>
        <w:tab/>
      </w:r>
      <w:r>
        <w:rPr>
          <w:rFonts w:cs="David" w:hint="cs"/>
          <w:szCs w:val="24"/>
          <w:rtl/>
        </w:rPr>
        <w:tab/>
        <w:t>171</w:t>
      </w:r>
    </w:p>
    <w:p w:rsidR="00000000">
      <w:pPr>
        <w:tabs>
          <w:tab w:val="right" w:leader="dot" w:pos="6237"/>
          <w:tab w:val="left" w:pos="6350"/>
        </w:tabs>
        <w:spacing w:before="120" w:after="0"/>
        <w:ind w:right="851"/>
        <w:jc w:val="left"/>
        <w:rPr>
          <w:rFonts w:cs="David" w:hint="cs"/>
          <w:szCs w:val="24"/>
          <w:rtl/>
        </w:rPr>
      </w:pPr>
      <w:r>
        <w:rPr>
          <w:rFonts w:cs="David" w:hint="cs"/>
          <w:szCs w:val="24"/>
          <w:rtl/>
        </w:rPr>
        <w:t>ממצאי מעקב</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היבטים בפעולות היחידה להתיישבות ו</w:t>
      </w:r>
      <w:r>
        <w:rPr>
          <w:rFonts w:cs="David" w:hint="cs"/>
          <w:b/>
          <w:bCs/>
          <w:szCs w:val="24"/>
          <w:rtl/>
          <w:lang w:eastAsia="he-IL"/>
        </w:rPr>
        <w:t xml:space="preserve">תשתית לאומית </w:t>
      </w:r>
      <w:r>
        <w:rPr>
          <w:rFonts w:cs="David"/>
          <w:b/>
          <w:bCs/>
          <w:szCs w:val="24"/>
          <w:lang w:eastAsia="he-IL"/>
        </w:rPr>
        <w:br/>
      </w:r>
      <w:r>
        <w:rPr>
          <w:rFonts w:cs="David" w:hint="cs"/>
          <w:b/>
          <w:bCs/>
          <w:szCs w:val="24"/>
          <w:rtl/>
          <w:lang w:eastAsia="he-IL"/>
        </w:rPr>
        <w:t>שבמשרד הביטחון</w:t>
      </w:r>
      <w:r>
        <w:rPr>
          <w:rFonts w:cs="David" w:hint="cs"/>
          <w:szCs w:val="24"/>
          <w:rtl/>
        </w:rPr>
        <w:tab/>
      </w:r>
      <w:r>
        <w:rPr>
          <w:rFonts w:cs="David" w:hint="cs"/>
          <w:szCs w:val="24"/>
          <w:rtl/>
        </w:rPr>
        <w:tab/>
        <w:t>187</w:t>
      </w:r>
    </w:p>
    <w:p w:rsidR="00000000">
      <w:pPr>
        <w:tabs>
          <w:tab w:val="right" w:leader="dot" w:pos="6237"/>
          <w:tab w:val="left" w:pos="6350"/>
        </w:tabs>
        <w:spacing w:before="120" w:after="0"/>
        <w:ind w:right="851"/>
        <w:jc w:val="left"/>
        <w:rPr>
          <w:rFonts w:cs="David" w:hint="cs"/>
          <w:szCs w:val="24"/>
          <w:rtl/>
        </w:rPr>
      </w:pPr>
      <w:r>
        <w:rPr>
          <w:rFonts w:cs="David" w:hint="cs"/>
          <w:szCs w:val="24"/>
          <w:rtl/>
        </w:rPr>
        <w:t>ממצאי מעקב</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הכשרת הקצונה הבכירה בצה"ל</w:t>
      </w:r>
      <w:r>
        <w:rPr>
          <w:rFonts w:cs="David" w:hint="cs"/>
          <w:szCs w:val="24"/>
          <w:rtl/>
        </w:rPr>
        <w:tab/>
      </w:r>
      <w:r>
        <w:rPr>
          <w:rFonts w:cs="David" w:hint="cs"/>
          <w:szCs w:val="24"/>
          <w:rtl/>
        </w:rPr>
        <w:tab/>
        <w:t>201</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after="240"/>
        <w:ind w:right="851"/>
        <w:rPr>
          <w:rFonts w:hint="cs"/>
          <w:rtl/>
        </w:rPr>
      </w:pPr>
      <w:r>
        <w:rPr>
          <w:rFonts w:hint="cs"/>
          <w:rtl/>
        </w:rPr>
        <w:t>פרק חמישי - חברת החשמל לישראל בע"מ</w:t>
      </w:r>
    </w:p>
    <w:p w:rsidR="00000000">
      <w:pPr>
        <w:tabs>
          <w:tab w:val="right" w:leader="dot" w:pos="6237"/>
          <w:tab w:val="left" w:pos="6350"/>
        </w:tabs>
        <w:ind w:right="851"/>
        <w:jc w:val="left"/>
        <w:rPr>
          <w:rFonts w:cs="David" w:hint="cs"/>
          <w:szCs w:val="24"/>
          <w:rtl/>
        </w:rPr>
      </w:pPr>
      <w:r>
        <w:rPr>
          <w:rFonts w:cs="David" w:hint="cs"/>
          <w:szCs w:val="24"/>
          <w:rtl/>
        </w:rPr>
        <w:t xml:space="preserve">פעולות </w:t>
      </w:r>
      <w:bookmarkStart w:id="3" w:name="_Hlt488378356"/>
      <w:bookmarkStart w:id="4" w:name="_Hlt488378357"/>
      <w:bookmarkStart w:id="5" w:name="_Hlt488379762"/>
      <w:bookmarkStart w:id="6" w:name="_Hlt488379763"/>
      <w:bookmarkStart w:id="7" w:name="_Hlt104864955"/>
      <w:r>
        <w:rPr>
          <w:rFonts w:cs="David" w:hint="cs"/>
          <w:szCs w:val="24"/>
          <w:rtl/>
        </w:rPr>
        <w:t>ה</w:t>
      </w:r>
      <w:bookmarkEnd w:id="3"/>
      <w:bookmarkEnd w:id="4"/>
      <w:bookmarkEnd w:id="5"/>
      <w:bookmarkEnd w:id="6"/>
      <w:bookmarkEnd w:id="7"/>
      <w:r>
        <w:rPr>
          <w:rFonts w:cs="David" w:hint="cs"/>
          <w:szCs w:val="24"/>
          <w:rtl/>
        </w:rPr>
        <w:t>ביקורת</w:t>
      </w:r>
      <w:r>
        <w:rPr>
          <w:rFonts w:cs="David" w:hint="cs"/>
          <w:szCs w:val="24"/>
          <w:rtl/>
        </w:rPr>
        <w:tab/>
      </w:r>
      <w:r>
        <w:rPr>
          <w:rFonts w:cs="David" w:hint="cs"/>
          <w:szCs w:val="24"/>
          <w:rtl/>
        </w:rPr>
        <w:tab/>
        <w:t>219</w:t>
      </w:r>
    </w:p>
    <w:p w:rsidR="00000000">
      <w:pPr>
        <w:tabs>
          <w:tab w:val="right" w:leader="dot" w:pos="6237"/>
          <w:tab w:val="left" w:pos="6350"/>
        </w:tabs>
        <w:spacing w:line="360" w:lineRule="exact"/>
        <w:ind w:right="851"/>
        <w:jc w:val="left"/>
        <w:rPr>
          <w:rFonts w:cs="David" w:hint="cs"/>
          <w:b/>
          <w:bCs/>
          <w:szCs w:val="24"/>
          <w:rtl/>
          <w:lang w:eastAsia="he-IL"/>
        </w:rPr>
      </w:pPr>
      <w:r>
        <w:rPr>
          <w:rFonts w:cs="David" w:hint="cs"/>
          <w:b/>
          <w:bCs/>
          <w:szCs w:val="24"/>
          <w:rtl/>
          <w:lang w:eastAsia="he-IL"/>
        </w:rPr>
        <w:t>התקשרות חברת החשמל לישראל בע"מ עם חברה לניהול בנייה</w:t>
      </w:r>
      <w:r>
        <w:rPr>
          <w:rFonts w:cs="David" w:hint="cs"/>
          <w:szCs w:val="24"/>
          <w:rtl/>
        </w:rPr>
        <w:tab/>
      </w:r>
      <w:r>
        <w:rPr>
          <w:rFonts w:cs="David" w:hint="cs"/>
          <w:szCs w:val="24"/>
          <w:rtl/>
        </w:rPr>
        <w:tab/>
        <w:t>219</w:t>
      </w:r>
    </w:p>
    <w:p w:rsidR="00000000">
      <w:pPr>
        <w:jc w:val="center"/>
        <w:rPr>
          <w:rFonts w:hint="cs"/>
          <w:sz w:val="16"/>
          <w:szCs w:val="16"/>
          <w:rtl/>
        </w:rPr>
      </w:pPr>
    </w:p>
    <w:p w:rsidR="00000000">
      <w:pPr>
        <w:spacing w:after="0"/>
        <w:jc w:val="center"/>
        <w:rPr>
          <w:rFonts w:hint="cs"/>
          <w:sz w:val="28"/>
          <w:szCs w:val="28"/>
          <w:rtl/>
        </w:rPr>
      </w:pPr>
      <w:r>
        <w:rPr>
          <w:rFonts w:ascii="Monotype Sorts" w:hAnsi="Monotype Sorts"/>
          <w:sz w:val="28"/>
          <w:szCs w:val="28"/>
        </w:rPr>
        <w:sym w:font="Monotype Sorts" w:char="F04F"/>
      </w:r>
    </w:p>
    <w:p w:rsidR="00000000">
      <w:pPr>
        <w:jc w:val="center"/>
        <w:rPr>
          <w:rFonts w:hint="cs"/>
          <w:sz w:val="16"/>
          <w:szCs w:val="16"/>
          <w:rtl/>
        </w:rPr>
      </w:pPr>
    </w:p>
    <w:p w:rsidR="00000000">
      <w:pPr>
        <w:pStyle w:val="KOT2"/>
        <w:keepNext w:val="0"/>
        <w:tabs>
          <w:tab w:val="right" w:leader="dot" w:pos="6237"/>
          <w:tab w:val="left" w:pos="6350"/>
        </w:tabs>
        <w:spacing w:before="240" w:after="120" w:line="280" w:lineRule="exact"/>
        <w:ind w:right="851"/>
        <w:jc w:val="left"/>
        <w:rPr>
          <w:rFonts w:hint="cs"/>
          <w:sz w:val="24"/>
          <w:szCs w:val="24"/>
          <w:rtl/>
        </w:rPr>
      </w:pPr>
      <w:r>
        <w:rPr>
          <w:rFonts w:hint="cs"/>
          <w:sz w:val="24"/>
          <w:szCs w:val="24"/>
          <w:rtl/>
        </w:rPr>
        <w:t>חוק יסוד: מבקר המדינה</w:t>
      </w:r>
      <w:r>
        <w:rPr>
          <w:rFonts w:hint="cs"/>
          <w:b w:val="0"/>
          <w:bCs w:val="0"/>
          <w:sz w:val="24"/>
          <w:szCs w:val="24"/>
          <w:rtl/>
        </w:rPr>
        <w:tab/>
      </w:r>
      <w:r>
        <w:rPr>
          <w:rFonts w:hint="cs"/>
          <w:b w:val="0"/>
          <w:bCs w:val="0"/>
          <w:sz w:val="24"/>
          <w:szCs w:val="24"/>
          <w:rtl/>
        </w:rPr>
        <w:tab/>
        <w:t>235</w:t>
      </w:r>
    </w:p>
    <w:p w:rsidR="00000000">
      <w:pPr>
        <w:pStyle w:val="KOT2"/>
        <w:keepNext w:val="0"/>
        <w:tabs>
          <w:tab w:val="right" w:leader="dot" w:pos="6237"/>
          <w:tab w:val="left" w:pos="6350"/>
        </w:tabs>
        <w:spacing w:before="240" w:after="240" w:line="200" w:lineRule="exact"/>
        <w:ind w:right="851"/>
        <w:jc w:val="left"/>
        <w:rPr>
          <w:rFonts w:hint="cs"/>
          <w:b w:val="0"/>
          <w:bCs w:val="0"/>
          <w:sz w:val="24"/>
          <w:szCs w:val="24"/>
          <w:rtl/>
        </w:rPr>
      </w:pPr>
      <w:r>
        <w:rPr>
          <w:rFonts w:hint="cs"/>
          <w:sz w:val="24"/>
          <w:szCs w:val="24"/>
          <w:rtl/>
        </w:rPr>
        <w:t>חוק מבקר המדינה, התשי"ח-1958 [נוסח מ</w:t>
      </w:r>
      <w:r>
        <w:rPr>
          <w:rFonts w:hint="cs"/>
          <w:sz w:val="24"/>
          <w:szCs w:val="24"/>
          <w:rtl/>
        </w:rPr>
        <w:t>שולב]</w:t>
      </w:r>
      <w:r>
        <w:rPr>
          <w:rFonts w:hint="cs"/>
          <w:b w:val="0"/>
          <w:bCs w:val="0"/>
          <w:sz w:val="24"/>
          <w:szCs w:val="24"/>
          <w:rtl/>
        </w:rPr>
        <w:tab/>
      </w:r>
      <w:r>
        <w:rPr>
          <w:rFonts w:hint="cs"/>
          <w:b w:val="0"/>
          <w:bCs w:val="0"/>
          <w:sz w:val="24"/>
          <w:szCs w:val="24"/>
          <w:rtl/>
        </w:rPr>
        <w:tab/>
        <w:t>237</w:t>
      </w:r>
    </w:p>
    <w:p w:rsidR="00000000">
      <w:pPr>
        <w:pStyle w:val="KOT2"/>
        <w:keepNext w:val="0"/>
        <w:tabs>
          <w:tab w:val="right" w:leader="dot" w:pos="6237"/>
          <w:tab w:val="left" w:pos="6350"/>
        </w:tabs>
        <w:spacing w:before="240" w:after="240" w:line="200" w:lineRule="exact"/>
        <w:ind w:right="851"/>
        <w:jc w:val="left"/>
        <w:rPr>
          <w:rFonts w:hint="cs"/>
          <w:b w:val="0"/>
          <w:bCs w:val="0"/>
          <w:sz w:val="24"/>
          <w:szCs w:val="24"/>
          <w:rtl/>
        </w:rPr>
      </w:pPr>
    </w:p>
    <w:sectPr>
      <w:pgSz w:w="11906" w:h="16838" w:code="9"/>
      <w:pgMar w:top="1758" w:right="2552" w:bottom="4253" w:left="2552" w:header="1247" w:footer="709" w:gutter="0"/>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A5765DA"/>
    <w:multiLevelType w:val="hybridMultilevel"/>
    <w:tmpl w:val="460EE1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3">
    <w:nsid w:val="1DEF21D2"/>
    <w:multiLevelType w:val="hybridMultilevel"/>
    <w:tmpl w:val="60F882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A37A4E"/>
    <w:multiLevelType w:val="hybridMultilevel"/>
    <w:tmpl w:val="9B00E9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FE39C3"/>
    <w:multiLevelType w:val="hybridMultilevel"/>
    <w:tmpl w:val="584A6D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8D2135"/>
    <w:multiLevelType w:val="hybridMultilevel"/>
    <w:tmpl w:val="4210A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163746"/>
    <w:multiLevelType w:val="hybridMultilevel"/>
    <w:tmpl w:val="59F20B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0600013"/>
    <w:multiLevelType w:val="hybridMultilevel"/>
    <w:tmpl w:val="0B54E5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0">
    <w:nsid w:val="3443390D"/>
    <w:multiLevelType w:val="singleLevel"/>
    <w:tmpl w:val="A07AD338"/>
    <w:lvl w:ilvl="0">
      <w:start w:val="1"/>
      <w:numFmt w:val="upperRoman"/>
      <w:lvlText w:val="%1."/>
      <w:lvlJc w:val="center"/>
      <w:pPr>
        <w:tabs>
          <w:tab w:val="num" w:pos="648"/>
        </w:tabs>
        <w:ind w:right="648" w:hanging="360"/>
      </w:pPr>
    </w:lvl>
  </w:abstractNum>
  <w:abstractNum w:abstractNumId="11">
    <w:nsid w:val="3D2A2DDC"/>
    <w:multiLevelType w:val="hybridMultilevel"/>
    <w:tmpl w:val="2602883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3">
    <w:nsid w:val="4F093FCF"/>
    <w:multiLevelType w:val="hybridMultilevel"/>
    <w:tmpl w:val="523E8F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FBB6D27"/>
    <w:multiLevelType w:val="hybridMultilevel"/>
    <w:tmpl w:val="77264A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06462A6"/>
    <w:multiLevelType w:val="hybridMultilevel"/>
    <w:tmpl w:val="79D08A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1253C99"/>
    <w:multiLevelType w:val="singleLevel"/>
    <w:tmpl w:val="CB924DAA"/>
    <w:lvl w:ilvl="0">
      <w:start w:val="1"/>
      <w:numFmt w:val="hebrew1"/>
      <w:lvlText w:val="(%1)"/>
      <w:lvlJc w:val="center"/>
      <w:pPr>
        <w:tabs>
          <w:tab w:val="num" w:pos="473"/>
        </w:tabs>
        <w:ind w:left="0" w:firstLine="113"/>
      </w:pPr>
    </w:lvl>
  </w:abstractNum>
  <w:abstractNum w:abstractNumId="17">
    <w:nsid w:val="53801E6B"/>
    <w:multiLevelType w:val="singleLevel"/>
    <w:tmpl w:val="411409B6"/>
    <w:lvl w:ilvl="0">
      <w:start w:val="1"/>
      <w:numFmt w:val="decimal"/>
      <w:lvlText w:val="%1."/>
      <w:lvlJc w:val="center"/>
      <w:pPr>
        <w:tabs>
          <w:tab w:val="num" w:pos="648"/>
        </w:tabs>
        <w:ind w:left="360" w:hanging="72"/>
      </w:pPr>
    </w:lvl>
  </w:abstractNum>
  <w:abstractNum w:abstractNumId="18">
    <w:nsid w:val="54B44578"/>
    <w:multiLevelType w:val="hybridMultilevel"/>
    <w:tmpl w:val="AC3861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61A6934"/>
    <w:multiLevelType w:val="singleLevel"/>
    <w:tmpl w:val="6AA22732"/>
    <w:lvl w:ilvl="0">
      <w:start w:val="20"/>
      <w:numFmt w:val="bullet"/>
      <w:lvlText w:val="-"/>
      <w:lvlJc w:val="left"/>
      <w:pPr>
        <w:tabs>
          <w:tab w:val="num" w:pos="720"/>
        </w:tabs>
        <w:ind w:left="720" w:hanging="720"/>
      </w:pPr>
      <w:rPr>
        <w:rFonts w:cs="Times New Roman" w:hint="default"/>
        <w:sz w:val="24"/>
      </w:rPr>
    </w:lvl>
  </w:abstractNum>
  <w:abstractNum w:abstractNumId="21">
    <w:nsid w:val="56FD6849"/>
    <w:multiLevelType w:val="hybridMultilevel"/>
    <w:tmpl w:val="FD149E6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DEC69B7"/>
    <w:multiLevelType w:val="singleLevel"/>
    <w:tmpl w:val="CB924DAA"/>
    <w:lvl w:ilvl="0">
      <w:start w:val="1"/>
      <w:numFmt w:val="hebrew1"/>
      <w:lvlText w:val="(%1)"/>
      <w:lvlJc w:val="center"/>
      <w:pPr>
        <w:tabs>
          <w:tab w:val="num" w:pos="473"/>
        </w:tabs>
        <w:ind w:left="0" w:firstLine="113"/>
      </w:pPr>
    </w:lvl>
  </w:abstractNum>
  <w:abstractNum w:abstractNumId="23">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4">
    <w:nsid w:val="6A1C7FB5"/>
    <w:multiLevelType w:val="singleLevel"/>
    <w:tmpl w:val="CB646ABA"/>
    <w:lvl w:ilvl="0">
      <w:start w:val="1"/>
      <w:numFmt w:val="hebrew1"/>
      <w:lvlText w:val="%1."/>
      <w:lvlJc w:val="center"/>
      <w:pPr>
        <w:tabs>
          <w:tab w:val="num" w:pos="797"/>
        </w:tabs>
        <w:ind w:left="797" w:hanging="360"/>
      </w:pPr>
    </w:lvl>
  </w:abstractNum>
  <w:abstractNum w:abstractNumId="25">
    <w:nsid w:val="6B6422C9"/>
    <w:multiLevelType w:val="hybridMultilevel"/>
    <w:tmpl w:val="44B2EB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292186E"/>
    <w:multiLevelType w:val="hybridMultilevel"/>
    <w:tmpl w:val="C1E636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5E63E87"/>
    <w:multiLevelType w:val="hybridMultilevel"/>
    <w:tmpl w:val="EBB29F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91D2F56"/>
    <w:multiLevelType w:val="multilevel"/>
    <w:tmpl w:val="21BA219A"/>
    <w:lvl w:ilvl="0">
      <w:start w:val="1"/>
      <w:numFmt w:val="decimal"/>
      <w:lvlText w:val="%1."/>
      <w:lvlJc w:val="left"/>
      <w:pPr>
        <w:tabs>
          <w:tab w:val="num" w:pos="567"/>
        </w:tabs>
        <w:ind w:left="567" w:hanging="567"/>
      </w:pPr>
      <w:rPr>
        <w:rFonts w:cs="David"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9">
    <w:nsid w:val="7C826799"/>
    <w:multiLevelType w:val="singleLevel"/>
    <w:tmpl w:val="CB924DAA"/>
    <w:lvl w:ilvl="0">
      <w:start w:val="1"/>
      <w:numFmt w:val="hebrew1"/>
      <w:lvlText w:val="(%1)"/>
      <w:lvlJc w:val="center"/>
      <w:pPr>
        <w:tabs>
          <w:tab w:val="num" w:pos="473"/>
        </w:tabs>
        <w:ind w:left="0" w:firstLine="113"/>
      </w:pPr>
    </w:lvl>
  </w:abstractNum>
  <w:num w:numId="1">
    <w:abstractNumId w:val="12"/>
  </w:num>
  <w:num w:numId="2">
    <w:abstractNumId w:val="12"/>
  </w:num>
  <w:num w:numId="3">
    <w:abstractNumId w:val="12"/>
  </w:num>
  <w:num w:numId="4">
    <w:abstractNumId w:val="10"/>
  </w:num>
  <w:num w:numId="5">
    <w:abstractNumId w:val="24"/>
  </w:num>
  <w:num w:numId="6">
    <w:abstractNumId w:val="24"/>
  </w:num>
  <w:num w:numId="7">
    <w:abstractNumId w:val="12"/>
  </w:num>
  <w:num w:numId="8">
    <w:abstractNumId w:val="12"/>
  </w:num>
  <w:num w:numId="9">
    <w:abstractNumId w:val="24"/>
  </w:num>
  <w:num w:numId="10">
    <w:abstractNumId w:val="12"/>
  </w:num>
  <w:num w:numId="11">
    <w:abstractNumId w:val="24"/>
  </w:num>
  <w:num w:numId="12">
    <w:abstractNumId w:val="19"/>
  </w:num>
  <w:num w:numId="13">
    <w:abstractNumId w:val="0"/>
  </w:num>
  <w:num w:numId="14">
    <w:abstractNumId w:val="28"/>
  </w:num>
  <w:num w:numId="15">
    <w:abstractNumId w:val="20"/>
  </w:num>
  <w:num w:numId="16">
    <w:abstractNumId w:val="17"/>
  </w:num>
  <w:num w:numId="17">
    <w:abstractNumId w:val="2"/>
  </w:num>
  <w:num w:numId="18">
    <w:abstractNumId w:val="22"/>
  </w:num>
  <w:num w:numId="19">
    <w:abstractNumId w:val="29"/>
  </w:num>
  <w:num w:numId="20">
    <w:abstractNumId w:val="16"/>
  </w:num>
  <w:num w:numId="21">
    <w:abstractNumId w:val="18"/>
  </w:num>
  <w:num w:numId="22">
    <w:abstractNumId w:val="26"/>
  </w:num>
  <w:num w:numId="23">
    <w:abstractNumId w:val="4"/>
  </w:num>
  <w:num w:numId="24">
    <w:abstractNumId w:val="15"/>
  </w:num>
  <w:num w:numId="25">
    <w:abstractNumId w:val="21"/>
  </w:num>
  <w:num w:numId="26">
    <w:abstractNumId w:val="7"/>
  </w:num>
  <w:num w:numId="27">
    <w:abstractNumId w:val="1"/>
  </w:num>
  <w:num w:numId="28">
    <w:abstractNumId w:val="27"/>
  </w:num>
  <w:num w:numId="29">
    <w:abstractNumId w:val="14"/>
  </w:num>
  <w:num w:numId="30">
    <w:abstractNumId w:val="3"/>
  </w:num>
  <w:num w:numId="31">
    <w:abstractNumId w:val="8"/>
  </w:num>
  <w:num w:numId="32">
    <w:abstractNumId w:val="13"/>
  </w:num>
  <w:num w:numId="33">
    <w:abstractNumId w:val="6"/>
  </w:num>
  <w:num w:numId="34">
    <w:abstractNumId w:val="25"/>
  </w:num>
  <w:num w:numId="35">
    <w:abstractNumId w:val="5"/>
  </w:num>
  <w:num w:numId="36">
    <w:abstractNumId w:val="11"/>
  </w:num>
  <w:num w:numId="37">
    <w:abstractNumId w:val="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linkStyles/>
  <w:defaultTabStop w:val="397"/>
  <w:evenAndOddHeaders/>
  <w:drawingGridHorizontalSpacing w:val="72"/>
  <w:drawingGridVerticalSpacing w:val="98"/>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65"/>
    <w:rsid w:val="007F3E65"/>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jc w:val="center"/>
      <w:outlineLvl w:val="2"/>
    </w:pPr>
    <w:rPr>
      <w:b/>
      <w:bCs/>
      <w:sz w:val="42"/>
      <w:szCs w:val="40"/>
    </w:rPr>
  </w:style>
  <w:style w:type="paragraph" w:styleId="Heading4">
    <w:name w:val="heading 4"/>
    <w:basedOn w:val="Normal"/>
    <w:next w:val="Normal"/>
    <w:uiPriority w:val="9"/>
    <w:qFormat/>
    <w:pPr>
      <w:keepNext/>
      <w:outlineLvl w:val="3"/>
    </w:pPr>
    <w:rPr>
      <w:b/>
      <w:bCs/>
      <w:sz w:val="30"/>
      <w:szCs w:val="28"/>
    </w:rPr>
  </w:style>
  <w:style w:type="paragraph" w:styleId="Heading5">
    <w:name w:val="heading 5"/>
    <w:basedOn w:val="Normal"/>
    <w:next w:val="Normal"/>
    <w:uiPriority w:val="9"/>
    <w:qFormat/>
    <w:pPr>
      <w:keepNext/>
      <w:outlineLvl w:val="4"/>
    </w:pPr>
    <w:rPr>
      <w:b/>
      <w:bCs/>
      <w:sz w:val="30"/>
      <w:szCs w:val="28"/>
    </w:rPr>
  </w:style>
  <w:style w:type="paragraph" w:styleId="Heading6">
    <w:name w:val="heading 6"/>
    <w:basedOn w:val="Normal"/>
    <w:next w:val="Normal"/>
    <w:uiPriority w:val="9"/>
    <w:qFormat/>
    <w:pPr>
      <w:keepNext/>
      <w:jc w:val="center"/>
      <w:outlineLvl w:val="5"/>
    </w:pPr>
    <w:rPr>
      <w:b/>
      <w:bCs/>
      <w:sz w:val="34"/>
      <w:szCs w:val="32"/>
    </w:rPr>
  </w:style>
  <w:style w:type="paragraph" w:styleId="Heading7">
    <w:name w:val="heading 7"/>
    <w:basedOn w:val="Normal"/>
    <w:next w:val="Normal"/>
    <w:uiPriority w:val="9"/>
    <w:qFormat/>
    <w:pPr>
      <w:keepNext/>
      <w:outlineLvl w:val="6"/>
    </w:pPr>
    <w:rPr>
      <w:b/>
      <w:bCs/>
      <w:sz w:val="28"/>
      <w:szCs w:val="26"/>
    </w:rPr>
  </w:style>
  <w:style w:type="paragraph" w:styleId="Heading8">
    <w:name w:val="heading 8"/>
    <w:basedOn w:val="Normal"/>
    <w:next w:val="Normal"/>
    <w:uiPriority w:val="9"/>
    <w:qFormat/>
    <w:pPr>
      <w:keepNext/>
      <w:outlineLvl w:val="7"/>
    </w:pPr>
    <w:rPr>
      <w:b/>
      <w:bCs/>
      <w:sz w:val="28"/>
      <w:szCs w:val="26"/>
    </w:rPr>
  </w:style>
  <w:style w:type="paragraph" w:styleId="Heading9">
    <w:name w:val="heading 9"/>
    <w:basedOn w:val="Normal"/>
    <w:next w:val="Normal"/>
    <w:uiPriority w:val="9"/>
    <w:qFormat/>
    <w:pPr>
      <w:keepNext/>
      <w:outlineLvl w:val="8"/>
    </w:pPr>
    <w:rPr>
      <w:b/>
      <w:bCs/>
      <w:sz w:val="28"/>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Heading10">
    <w:name w:val="Heading 1_0"/>
    <w:basedOn w:val="Normal"/>
    <w:next w:val="Normal"/>
    <w:pPr>
      <w:spacing w:before="240" w:after="480" w:line="288" w:lineRule="auto"/>
      <w:jc w:val="center"/>
    </w:pPr>
    <w:rPr>
      <w:b/>
      <w:bCs/>
      <w:sz w:val="32"/>
      <w:szCs w:val="36"/>
      <w:u w:val="single"/>
    </w:rPr>
  </w:style>
  <w:style w:type="paragraph" w:customStyle="1" w:styleId="Heading20">
    <w:name w:val="Heading 2_0"/>
    <w:basedOn w:val="Normal"/>
    <w:next w:val="Normal"/>
    <w:pPr>
      <w:spacing w:before="100" w:beforeAutospacing="1" w:after="240" w:line="264" w:lineRule="auto"/>
      <w:jc w:val="center"/>
    </w:pPr>
    <w:rPr>
      <w:b/>
      <w:bCs/>
      <w:sz w:val="28"/>
      <w:szCs w:val="32"/>
    </w:rPr>
  </w:style>
  <w:style w:type="paragraph" w:customStyle="1" w:styleId="Heading30">
    <w:name w:val="Heading 3_0"/>
    <w:basedOn w:val="Normal"/>
    <w:next w:val="Normal"/>
    <w:pPr>
      <w:spacing w:before="100" w:beforeAutospacing="1" w:line="288" w:lineRule="auto"/>
      <w:jc w:val="left"/>
    </w:pPr>
    <w:rPr>
      <w:b/>
      <w:bCs/>
      <w:szCs w:val="28"/>
      <w:u w:val="single"/>
    </w:rPr>
  </w:style>
  <w:style w:type="paragraph" w:customStyle="1" w:styleId="Heading40">
    <w:name w:val="Heading 4_0"/>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spacing w:after="0" w:line="200" w:lineRule="exact"/>
    </w:pPr>
    <w:rPr>
      <w:sz w:val="20"/>
      <w:szCs w:val="20"/>
    </w:rPr>
  </w:style>
  <w:style w:type="character" w:styleId="FootnoteReference">
    <w:name w:val="footnote reference"/>
    <w:basedOn w:val="DefaultParagraphFont"/>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pPr>
      <w:spacing w:after="0" w:line="360" w:lineRule="auto"/>
    </w:pPr>
    <w:rPr>
      <w:rFonts w:cs="Times New Roman"/>
      <w:noProof/>
      <w:sz w:val="25"/>
      <w:szCs w:val="25"/>
      <w:lang w:eastAsia="he-IL"/>
    </w:rPr>
  </w:style>
  <w:style w:type="paragraph" w:styleId="PlainText">
    <w:name w:val="Plain Text"/>
    <w:basedOn w:val="Normal"/>
    <w:pPr>
      <w:widowControl w:val="0"/>
      <w:spacing w:after="0" w:line="312" w:lineRule="auto"/>
    </w:pPr>
    <w:rPr>
      <w:rFonts w:ascii="Courier New" w:hAnsi="Courier New" w:cs="Courier New"/>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wmf"/><Relationship Id="rId10" Type="http://schemas.openxmlformats.org/officeDocument/2006/relationships/customXml" Target="../customXml/item1.xml"/><Relationship Id="rId4" Type="http://schemas.openxmlformats.org/officeDocument/2006/relationships/image" Target="media/image1.wmf"/><Relationship Id="rId9" Type="http://schemas.openxmlformats.org/officeDocument/2006/relationships/styles" Target="styles.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92D278-A635-48AC-BE8D-A3C8C7A27ECC}"/>
</file>

<file path=customXml/itemProps2.xml><?xml version="1.0" encoding="utf-8"?>
<ds:datastoreItem xmlns:ds="http://schemas.openxmlformats.org/officeDocument/2006/customXml" ds:itemID="{17546E12-8F2A-4666-93D5-D65D6CB6974B}"/>
</file>

<file path=customXml/itemProps3.xml><?xml version="1.0" encoding="utf-8"?>
<ds:datastoreItem xmlns:ds="http://schemas.openxmlformats.org/officeDocument/2006/customXml" ds:itemID="{DB15D08C-3B2C-403C-BF58-FD708BCF4F3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227400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