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tabs>
          <w:tab w:val="left" w:pos="340"/>
        </w:tabs>
        <w:spacing w:line="264" w:lineRule="exact"/>
        <w:ind w:left="4196"/>
        <w:rPr>
          <w:rFonts w:ascii="FrankRuehl" w:hAnsi="FrankRuehl" w:cs="David" w:hint="cs"/>
          <w:sz w:val="32"/>
          <w:szCs w:val="32"/>
          <w:rtl/>
        </w:rPr>
      </w:pPr>
      <w:r>
        <w:rPr>
          <w:rFonts w:ascii="FrankRuehl" w:hAnsi="FrankRuehl" w:cs="David" w:hint="cs"/>
          <w:b/>
          <w:bCs/>
          <w:sz w:val="32"/>
          <w:szCs w:val="32"/>
          <w:rtl/>
        </w:rPr>
        <w:t>מבקר המדינה</w:t>
      </w:r>
    </w:p>
    <w:p w:rsidR="00000000">
      <w:pPr>
        <w:tabs>
          <w:tab w:val="left" w:pos="340"/>
        </w:tabs>
        <w:spacing w:line="264" w:lineRule="exact"/>
        <w:ind w:left="4196"/>
        <w:rPr>
          <w:rFonts w:ascii="FrankRuehl" w:hAnsi="FrankRuehl" w:cs="David" w:hint="cs"/>
          <w:sz w:val="32"/>
          <w:szCs w:val="32"/>
          <w:rtl/>
        </w:rPr>
      </w:pPr>
      <w:r>
        <w:rPr>
          <w:rFonts w:ascii="FrankRuehl" w:hAnsi="FrankRuehl" w:cs="David"/>
          <w:sz w:val="32"/>
          <w:szCs w:val="32"/>
          <w:rtl/>
        </w:rPr>
        <w:t xml:space="preserve">דוח שנתי </w:t>
      </w:r>
      <w:r>
        <w:rPr>
          <w:rFonts w:ascii="FrankRuehl" w:hAnsi="FrankRuehl" w:cs="David" w:hint="cs"/>
          <w:sz w:val="28"/>
          <w:szCs w:val="28"/>
          <w:rtl/>
        </w:rPr>
        <w:t>64</w:t>
      </w:r>
      <w:r>
        <w:rPr>
          <w:rFonts w:ascii="FrankRuehl" w:hAnsi="FrankRuehl" w:cs="David" w:hint="cs"/>
          <w:sz w:val="32"/>
          <w:szCs w:val="32"/>
          <w:rtl/>
        </w:rPr>
        <w:t>א</w:t>
      </w: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tabs>
          <w:tab w:val="left" w:pos="340"/>
        </w:tabs>
        <w:spacing w:line="264" w:lineRule="exact"/>
        <w:ind w:left="4196"/>
        <w:rPr>
          <w:rFonts w:ascii="FrankRuehl" w:hAnsi="FrankRuehl" w:cs="David" w:hint="cs"/>
          <w:b/>
          <w:bCs/>
          <w:color w:val="00FF00"/>
          <w:sz w:val="28"/>
          <w:szCs w:val="28"/>
          <w:rtl/>
        </w:rPr>
      </w:pPr>
    </w:p>
    <w:p w:rsidR="00000000">
      <w:pPr>
        <w:pStyle w:val="RESHET"/>
        <w:keepLines/>
        <w:spacing w:line="288" w:lineRule="auto"/>
        <w:jc w:val="center"/>
        <w:rPr>
          <w:rFonts w:cs="David"/>
          <w:sz w:val="36"/>
          <w:szCs w:val="36"/>
        </w:rPr>
      </w:pPr>
      <w:r>
        <w:rPr>
          <w:rFonts w:cs="David" w:hint="cs"/>
          <w:sz w:val="36"/>
          <w:szCs w:val="36"/>
          <w:rtl/>
        </w:rPr>
        <w:t>הפרקים המלאים של דוח זה מובאים</w:t>
      </w:r>
      <w:r>
        <w:rPr>
          <w:rFonts w:cs="David"/>
          <w:sz w:val="36"/>
          <w:szCs w:val="36"/>
          <w:rtl/>
        </w:rPr>
        <w:br/>
      </w:r>
      <w:r>
        <w:rPr>
          <w:rFonts w:cs="David" w:hint="cs"/>
          <w:sz w:val="36"/>
          <w:szCs w:val="36"/>
          <w:rtl/>
        </w:rPr>
        <w:t xml:space="preserve">באתר האינטרנט של משרד מבקר המדינה </w:t>
      </w:r>
      <w:r>
        <w:rPr>
          <w:rFonts w:cs="David"/>
          <w:sz w:val="36"/>
          <w:szCs w:val="36"/>
        </w:rPr>
        <w:t>www.mevaker.gov.il</w:t>
      </w:r>
    </w:p>
    <w:p w:rsidR="00000000">
      <w:pPr>
        <w:spacing w:line="240" w:lineRule="atLeast"/>
        <w:jc w:val="center"/>
      </w:pPr>
      <w:r>
        <w:rPr>
          <w:rtl/>
        </w:rPr>
        <w:br w:type="page"/>
      </w:r>
    </w:p>
    <w:p w:rsidR="00000000">
      <w:pPr>
        <w:spacing w:line="240" w:lineRule="atLeast"/>
        <w:jc w:val="center"/>
      </w:pPr>
      <w:r>
        <w:rPr>
          <w:rtl/>
        </w:rPr>
        <w:br w:type="page"/>
      </w:r>
      <w:r>
        <w:rPr>
          <w:noProof/>
          <w:rtl/>
        </w:rPr>
        <w:drawing>
          <wp:inline distT="0" distB="0" distL="0" distR="0">
            <wp:extent cx="641350" cy="800100"/>
            <wp:effectExtent l="0" t="0" r="6350"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09235" name="Picture 1" descr="isra"/>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41350" cy="800100"/>
                    </a:xfrm>
                    <a:prstGeom prst="rect">
                      <a:avLst/>
                    </a:prstGeom>
                    <a:noFill/>
                    <a:ln>
                      <a:noFill/>
                    </a:ln>
                  </pic:spPr>
                </pic:pic>
              </a:graphicData>
            </a:graphic>
          </wp:inline>
        </w:drawing>
      </w:r>
    </w:p>
    <w:p w:rsidR="00000000">
      <w:pPr>
        <w:spacing w:before="120" w:after="0" w:line="312" w:lineRule="auto"/>
        <w:jc w:val="center"/>
        <w:rPr>
          <w:rFonts w:cs="David" w:hint="cs"/>
          <w:b/>
          <w:bCs/>
          <w:sz w:val="72"/>
          <w:szCs w:val="72"/>
          <w:rtl/>
        </w:rPr>
      </w:pPr>
      <w:r>
        <w:rPr>
          <w:rFonts w:cs="David" w:hint="cs"/>
          <w:b/>
          <w:bCs/>
          <w:sz w:val="72"/>
          <w:szCs w:val="72"/>
          <w:rtl/>
        </w:rPr>
        <w:t>מבקר המדינה</w:t>
      </w:r>
    </w:p>
    <w:p w:rsidR="00000000">
      <w:pPr>
        <w:spacing w:after="0" w:line="240" w:lineRule="auto"/>
        <w:jc w:val="center"/>
        <w:rPr>
          <w:rFonts w:cs="David"/>
          <w:sz w:val="60"/>
          <w:szCs w:val="60"/>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100"/>
          <w:szCs w:val="100"/>
          <w:rtl/>
        </w:rPr>
      </w:pPr>
      <w:r>
        <w:rPr>
          <w:rFonts w:cs="David" w:hint="cs"/>
          <w:sz w:val="100"/>
          <w:szCs w:val="100"/>
          <w:rtl/>
        </w:rPr>
        <w:t>דוח שנתי 64א</w:t>
      </w: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hint="cs"/>
          <w:sz w:val="32"/>
          <w:szCs w:val="32"/>
          <w:rtl/>
        </w:rPr>
      </w:pPr>
    </w:p>
    <w:p w:rsidR="00000000">
      <w:pPr>
        <w:spacing w:after="0" w:line="240" w:lineRule="auto"/>
        <w:jc w:val="center"/>
        <w:rPr>
          <w:rFonts w:cs="David"/>
          <w:sz w:val="32"/>
          <w:szCs w:val="32"/>
        </w:rPr>
      </w:pPr>
    </w:p>
    <w:p w:rsidR="00000000">
      <w:pPr>
        <w:spacing w:after="0" w:line="240" w:lineRule="auto"/>
        <w:jc w:val="center"/>
        <w:rPr>
          <w:rFonts w:cs="David"/>
          <w:sz w:val="32"/>
          <w:szCs w:val="32"/>
        </w:rPr>
      </w:pPr>
    </w:p>
    <w:p w:rsidR="00000000">
      <w:pPr>
        <w:spacing w:after="0" w:line="240" w:lineRule="auto"/>
        <w:jc w:val="center"/>
        <w:rPr>
          <w:rFonts w:cs="David"/>
          <w:sz w:val="32"/>
          <w:szCs w:val="32"/>
        </w:rPr>
      </w:pPr>
    </w:p>
    <w:p w:rsidR="00000000">
      <w:pPr>
        <w:spacing w:line="240" w:lineRule="auto"/>
        <w:jc w:val="center"/>
        <w:rPr>
          <w:rFonts w:cs="David"/>
          <w:sz w:val="32"/>
          <w:szCs w:val="32"/>
        </w:rPr>
      </w:pPr>
    </w:p>
    <w:p w:rsidR="00000000">
      <w:pPr>
        <w:spacing w:line="240" w:lineRule="atLeast"/>
        <w:jc w:val="center"/>
        <w:rPr>
          <w:rFonts w:hint="cs"/>
          <w:sz w:val="32"/>
          <w:szCs w:val="32"/>
          <w:rtl/>
        </w:rPr>
      </w:pPr>
      <w:r>
        <w:rPr>
          <w:noProof/>
          <w:sz w:val="32"/>
          <w:szCs w:val="32"/>
          <w:rtl/>
        </w:rPr>
        <w:drawing>
          <wp:inline distT="0" distB="0" distL="0" distR="0">
            <wp:extent cx="844550" cy="482600"/>
            <wp:effectExtent l="0" t="0" r="0" b="0"/>
            <wp:docPr id="2" name="תמונה 2"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09316" name="Picture 2" descr="logo-b-w"/>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550" cy="482600"/>
                    </a:xfrm>
                    <a:prstGeom prst="rect">
                      <a:avLst/>
                    </a:prstGeom>
                    <a:noFill/>
                    <a:ln>
                      <a:noFill/>
                    </a:ln>
                  </pic:spPr>
                </pic:pic>
              </a:graphicData>
            </a:graphic>
          </wp:inline>
        </w:drawing>
      </w:r>
    </w:p>
    <w:p w:rsidR="00000000">
      <w:pPr>
        <w:spacing w:after="0" w:line="240" w:lineRule="auto"/>
        <w:jc w:val="center"/>
        <w:rPr>
          <w:rFonts w:cs="David" w:hint="cs"/>
          <w:sz w:val="32"/>
          <w:szCs w:val="32"/>
          <w:rtl/>
        </w:rPr>
      </w:pPr>
      <w:r>
        <w:rPr>
          <w:rFonts w:cs="David" w:hint="cs"/>
          <w:sz w:val="32"/>
          <w:szCs w:val="32"/>
          <w:rtl/>
        </w:rPr>
        <w:t>ירושלים, אלול התשע"ג, אוגוסט 2013</w:t>
      </w:r>
    </w:p>
    <w:p w:rsidR="00000000">
      <w:pPr>
        <w:spacing w:after="0" w:line="240" w:lineRule="auto"/>
        <w:jc w:val="center"/>
        <w:rPr>
          <w:rFonts w:cs="David"/>
          <w:szCs w:val="24"/>
        </w:rPr>
      </w:pPr>
      <w:r>
        <w:rPr>
          <w:sz w:val="32"/>
          <w:szCs w:val="32"/>
          <w:rtl/>
        </w:rPr>
        <w:br w:type="page"/>
      </w: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Pr>
      </w:pPr>
    </w:p>
    <w:p w:rsidR="00000000">
      <w:pPr>
        <w:spacing w:after="0" w:line="240" w:lineRule="auto"/>
        <w:jc w:val="center"/>
        <w:rPr>
          <w:rFonts w:hint="cs"/>
          <w:sz w:val="20"/>
          <w:szCs w:val="24"/>
          <w:rtl/>
        </w:rPr>
      </w:pPr>
      <w:r>
        <w:rPr>
          <w:rFonts w:hint="cs"/>
          <w:sz w:val="20"/>
          <w:szCs w:val="24"/>
          <w:rtl/>
        </w:rPr>
        <w:t xml:space="preserve">מס' קטלוגי </w:t>
      </w:r>
      <w:r>
        <w:rPr>
          <w:sz w:val="20"/>
          <w:szCs w:val="24"/>
        </w:rPr>
        <w:t>2013</w:t>
      </w:r>
      <w:r>
        <w:rPr>
          <w:sz w:val="20"/>
          <w:szCs w:val="24"/>
        </w:rPr>
        <w:t>/964/A</w:t>
      </w:r>
    </w:p>
    <w:p w:rsidR="00000000">
      <w:pPr>
        <w:spacing w:after="0" w:line="240" w:lineRule="auto"/>
        <w:jc w:val="center"/>
        <w:rPr>
          <w:rFonts w:ascii="FrankRuehl" w:hAnsi="FrankRuehl" w:hint="cs"/>
          <w:sz w:val="20"/>
          <w:rtl/>
        </w:rPr>
      </w:pPr>
      <w:r>
        <w:rPr>
          <w:sz w:val="20"/>
          <w:szCs w:val="20"/>
        </w:rPr>
        <w:t>ISSN</w:t>
      </w:r>
      <w:r>
        <w:rPr>
          <w:sz w:val="20"/>
        </w:rPr>
        <w:t xml:space="preserve"> </w:t>
      </w:r>
      <w:r>
        <w:rPr>
          <w:sz w:val="20"/>
          <w:szCs w:val="20"/>
        </w:rPr>
        <w:t>0334-9713</w:t>
      </w:r>
    </w:p>
    <w:p w:rsidR="00000000">
      <w:pPr>
        <w:spacing w:after="0" w:line="240" w:lineRule="auto"/>
        <w:jc w:val="center"/>
        <w:rPr>
          <w:szCs w:val="24"/>
        </w:rPr>
      </w:pPr>
    </w:p>
    <w:p w:rsidR="00000000">
      <w:pPr>
        <w:spacing w:after="0" w:line="240" w:lineRule="auto"/>
        <w:jc w:val="center"/>
        <w:rPr>
          <w:rFonts w:hint="cs"/>
          <w:sz w:val="22"/>
          <w:rtl/>
        </w:rPr>
      </w:pPr>
      <w:r>
        <w:rPr>
          <w:rFonts w:hint="cs"/>
          <w:sz w:val="22"/>
          <w:rtl/>
        </w:rPr>
        <w:t xml:space="preserve">דוח זה מובא גם באתר האינטרנט של </w:t>
      </w:r>
      <w:r>
        <w:rPr>
          <w:sz w:val="22"/>
        </w:rPr>
        <w:br/>
      </w:r>
      <w:r>
        <w:rPr>
          <w:rFonts w:hint="cs"/>
          <w:sz w:val="22"/>
          <w:rtl/>
        </w:rPr>
        <w:t>משרד מבקר המדינה בכתובת</w:t>
      </w:r>
    </w:p>
    <w:p w:rsidR="00000000">
      <w:pPr>
        <w:spacing w:after="0" w:line="240" w:lineRule="auto"/>
        <w:jc w:val="center"/>
        <w:rPr>
          <w:rFonts w:hint="cs"/>
          <w:szCs w:val="24"/>
          <w:rtl/>
        </w:rPr>
      </w:pPr>
      <w:r>
        <w:rPr>
          <w:szCs w:val="24"/>
        </w:rPr>
        <w:t>www.mevaker.gov.il</w:t>
      </w:r>
    </w:p>
    <w:p w:rsidR="00000000">
      <w:pPr>
        <w:spacing w:after="0" w:line="240" w:lineRule="auto"/>
        <w:jc w:val="center"/>
        <w:rPr>
          <w:rFonts w:hint="cs"/>
          <w:szCs w:val="24"/>
          <w:rtl/>
        </w:rPr>
      </w:pPr>
    </w:p>
    <w:p w:rsidR="00000000">
      <w:pPr>
        <w:spacing w:after="0" w:line="240" w:lineRule="auto"/>
        <w:jc w:val="center"/>
        <w:rPr>
          <w:rFonts w:hint="cs"/>
          <w:sz w:val="22"/>
          <w:rtl/>
        </w:rPr>
      </w:pPr>
      <w:r>
        <w:rPr>
          <w:rFonts w:hint="cs"/>
          <w:sz w:val="22"/>
          <w:rtl/>
        </w:rPr>
        <w:t>סדר: אונית שירותי מחשב בע"מ</w:t>
      </w:r>
    </w:p>
    <w:p w:rsidR="00000000">
      <w:pPr>
        <w:spacing w:after="0" w:line="240" w:lineRule="auto"/>
        <w:jc w:val="center"/>
        <w:rPr>
          <w:rFonts w:hint="cs"/>
          <w:sz w:val="22"/>
          <w:rtl/>
        </w:rPr>
      </w:pPr>
      <w:r>
        <w:rPr>
          <w:rFonts w:hint="cs"/>
          <w:sz w:val="22"/>
          <w:rtl/>
        </w:rPr>
        <w:t>דפוס: כתר בע"מ</w:t>
      </w:r>
    </w:p>
    <w:p w:rsidR="00000000">
      <w:pPr>
        <w:spacing w:line="260" w:lineRule="exact"/>
        <w:rPr>
          <w:rFonts w:cs="David" w:hint="cs"/>
          <w:szCs w:val="24"/>
          <w:rtl/>
        </w:rPr>
      </w:pPr>
      <w:bookmarkStart w:id="0" w:name="_GoBack"/>
      <w:bookmarkEnd w:id="0"/>
      <w:r>
        <w:rPr>
          <w:rFonts w:cs="David"/>
          <w:szCs w:val="24"/>
          <w:rtl/>
        </w:rPr>
        <w:br w:type="page"/>
      </w:r>
    </w:p>
    <w:p w:rsidR="00000000">
      <w:pPr>
        <w:spacing w:line="260" w:lineRule="exact"/>
        <w:rPr>
          <w:rFonts w:cs="David" w:hint="cs"/>
          <w:szCs w:val="24"/>
          <w:rtl/>
        </w:rPr>
      </w:pPr>
    </w:p>
    <w:p w:rsidR="00000000">
      <w:pPr>
        <w:spacing w:line="260" w:lineRule="exact"/>
        <w:rPr>
          <w:rFonts w:cs="David" w:hint="cs"/>
          <w:szCs w:val="24"/>
          <w:rtl/>
        </w:rPr>
      </w:pPr>
    </w:p>
    <w:p w:rsidR="00000000">
      <w:pPr>
        <w:spacing w:line="260" w:lineRule="exact"/>
        <w:rPr>
          <w:rFonts w:cs="David" w:hint="cs"/>
          <w:szCs w:val="24"/>
          <w:rtl/>
        </w:rPr>
      </w:pPr>
    </w:p>
    <w:p w:rsidR="00000000">
      <w:pPr>
        <w:spacing w:line="340" w:lineRule="exact"/>
        <w:rPr>
          <w:rFonts w:cs="David" w:hint="cs"/>
          <w:szCs w:val="24"/>
          <w:rtl/>
        </w:rPr>
      </w:pPr>
      <w:r>
        <w:rPr>
          <w:rFonts w:cs="David" w:hint="cs"/>
          <w:b/>
          <w:bCs/>
          <w:sz w:val="28"/>
          <w:szCs w:val="28"/>
          <w:rtl/>
        </w:rPr>
        <w:t>דוח הביקורת השנתי 64א,</w:t>
      </w:r>
      <w:r>
        <w:rPr>
          <w:rFonts w:cs="David" w:hint="cs"/>
          <w:szCs w:val="24"/>
          <w:rtl/>
        </w:rPr>
        <w:t xml:space="preserve"> המונח על שולחן הכנסת, הוא החלק הראשון בדין וחשבון השנתי של מבקר המדינה על תוצאות הביק</w:t>
      </w:r>
      <w:r>
        <w:rPr>
          <w:rFonts w:cs="David" w:hint="cs"/>
          <w:szCs w:val="24"/>
          <w:rtl/>
        </w:rPr>
        <w:t>ורת של הגופים המבוקרים לשנת 2013, והוא מוקדש בעיקרו לענייני כלכלה. נוכח החשיבות הגוברת של נושאים כלכליים והשפעתם על הציבור והחברה בישראל מצא לנכון משרד מבקר המדינה לייחד כרך נפרד של הדוח השנתי לביקורת בנושאים כלכליים חשובים ובעלי משמעויות כספיות ניכרות.</w:t>
      </w:r>
    </w:p>
    <w:p w:rsidR="00000000">
      <w:pPr>
        <w:spacing w:line="340" w:lineRule="exact"/>
        <w:rPr>
          <w:rFonts w:cs="David" w:hint="cs"/>
          <w:szCs w:val="24"/>
          <w:rtl/>
        </w:rPr>
      </w:pPr>
      <w:r>
        <w:rPr>
          <w:rFonts w:cs="David" w:hint="cs"/>
          <w:szCs w:val="24"/>
          <w:rtl/>
        </w:rPr>
        <w:t>דו</w:t>
      </w:r>
      <w:r>
        <w:rPr>
          <w:rFonts w:cs="David" w:hint="cs"/>
          <w:szCs w:val="24"/>
          <w:rtl/>
        </w:rPr>
        <w:t xml:space="preserve">ח זה מבקש להתריע על הסיכונים למשק המדינה נוכח ריכוזיות האשראי הבנקאי והחוץ-בנקאי, החשיפה ללווים מערכתיים והיעדר ביטחונות והגנות חוזיות מספיקים למשקיעים באיגרות חוב לא ממשלתיות. ריכוזיות האשראי התפתחה לאורך השנים והיא קיימת בעיקר בכמה קבוצות עסקיות גדולות. </w:t>
      </w:r>
      <w:r>
        <w:rPr>
          <w:rFonts w:cs="David" w:hint="cs"/>
          <w:szCs w:val="24"/>
          <w:rtl/>
        </w:rPr>
        <w:t>כשל של לווה או של קבוצת לווים גדולה עלול לפגוע פגיעה של ממש בשוק האשראי ולגרום נזק מערכתי לכלל המשק. על כן אני מצפה שבנק ישראל ואגף שוק ההון במשרד האוצר, כמאסדרים של תחום האשראי, יבחנו אם יש צורך בצעדי אסדרה ופיקוח נוספים על אלה שכבר נקטו, כדי להפחית את הס</w:t>
      </w:r>
      <w:r>
        <w:rPr>
          <w:rFonts w:cs="David" w:hint="cs"/>
          <w:szCs w:val="24"/>
          <w:rtl/>
        </w:rPr>
        <w:t>יכונים ואת החשיפה אליהם. מן הראוי לגלות רגישות גבוהה לצורך להגן על ציבור המשקיעים והחוסכים, שכן חלק מנותני האשראי הם גופים מוסדיים אשר מנהלים את כספי החיסכון של רוב הציבור במדינה המיועדים להבטיח את עתידם כאשר הם יפרשו לגמלאות.</w:t>
      </w:r>
    </w:p>
    <w:p w:rsidR="00000000">
      <w:pPr>
        <w:spacing w:line="340" w:lineRule="exact"/>
        <w:rPr>
          <w:rFonts w:cs="David" w:hint="cs"/>
          <w:szCs w:val="24"/>
          <w:rtl/>
        </w:rPr>
      </w:pPr>
      <w:r>
        <w:rPr>
          <w:rFonts w:cs="David" w:hint="cs"/>
          <w:szCs w:val="24"/>
          <w:rtl/>
        </w:rPr>
        <w:t>הביקורת העלתה שהמדינה לא טיפל</w:t>
      </w:r>
      <w:r>
        <w:rPr>
          <w:rFonts w:cs="David" w:hint="cs"/>
          <w:szCs w:val="24"/>
          <w:rtl/>
        </w:rPr>
        <w:t>ה כנדרש בגביית תמלוגים מלאים ונאותים בגין מתן זיכיונות לנצל משאבי טבע. על המדינה לוודא שכלל אזרחי המדינה ולא רק קומץ קטן ייהנו מפירות הניצול של משאבי הטבע שלה.</w:t>
      </w:r>
    </w:p>
    <w:p w:rsidR="00000000">
      <w:pPr>
        <w:spacing w:line="340" w:lineRule="exact"/>
        <w:rPr>
          <w:rFonts w:cs="David" w:hint="cs"/>
          <w:szCs w:val="24"/>
          <w:rtl/>
        </w:rPr>
      </w:pPr>
      <w:r>
        <w:rPr>
          <w:rFonts w:cs="David" w:hint="cs"/>
          <w:szCs w:val="24"/>
          <w:rtl/>
        </w:rPr>
        <w:t>עוד נמצא כי רשות המסים אינה ממצה את הדרכים לגביית מלוא המסים המתחייבים ואינה אוכפת במידה מספקת א</w:t>
      </w:r>
      <w:r>
        <w:rPr>
          <w:rFonts w:cs="David" w:hint="cs"/>
          <w:szCs w:val="24"/>
          <w:rtl/>
        </w:rPr>
        <w:t>ת החוק כלפי מעלימי מסים, אם בדרך של שימוש בחשבוניות פיקטיביות ואם בדרכי השתמטות אחרות. אף לא סביר שבעוד חלק משכבות האוכלוסייה נאנקות תחת נטל המס ויוקר המחיה, הרי שחברות ענק נהנות מהטבות מס מפליגות דוגמת תופעת "הרווחים הכלואים". על כן, בעידן של קיצוצים בתקצ</w:t>
      </w:r>
      <w:r>
        <w:rPr>
          <w:rFonts w:cs="David" w:hint="cs"/>
          <w:szCs w:val="24"/>
          <w:rtl/>
        </w:rPr>
        <w:t>יב המדינה וצמצום השירותים החיוניים שמסופקים לאזרחי המדינה בכלל ולשכבות החלשות בפרט, מצופה שרשות המסים תעשה את כל הנדרש כדי למצות את מלוא פוטנציאל הגבייה של מסים מהנישומים.</w:t>
      </w:r>
    </w:p>
    <w:p w:rsidR="00000000">
      <w:pPr>
        <w:spacing w:line="340" w:lineRule="exact"/>
        <w:rPr>
          <w:rFonts w:cs="David" w:hint="cs"/>
          <w:szCs w:val="24"/>
          <w:rtl/>
        </w:rPr>
      </w:pPr>
      <w:r>
        <w:rPr>
          <w:rFonts w:cs="David" w:hint="cs"/>
          <w:szCs w:val="24"/>
          <w:rtl/>
        </w:rPr>
        <w:t xml:space="preserve">גם סוגית הבטחת הספקת גז טבעי למשק נבדקה. הגז הטבעי הוא מקור אנרגיה עיקרי וזול יחסית </w:t>
      </w:r>
      <w:r>
        <w:rPr>
          <w:rFonts w:cs="David" w:hint="cs"/>
          <w:szCs w:val="24"/>
          <w:rtl/>
        </w:rPr>
        <w:t xml:space="preserve">של המשק הישראלי. החל משנת 2004 התגלו במים הכלכליים </w:t>
      </w:r>
      <w:r>
        <w:rPr>
          <w:rFonts w:cs="David" w:hint="cs"/>
          <w:szCs w:val="24"/>
          <w:rtl/>
        </w:rPr>
        <w:t>של מדינת ישראל מאגרים גדולים של גז, ומשרד האנרגיה עשה צעדים לקידום פתרונות להולכה ואספקה של הגז. אך נראה שבצעדים אלה לא היה די, והם נעשו בקצב אטי שאינו מאפשר לסגור את הפער בין הביקוש לגז הטבעי ובין ההיצע ש</w:t>
      </w:r>
      <w:r>
        <w:rPr>
          <w:rFonts w:cs="David" w:hint="cs"/>
          <w:szCs w:val="24"/>
          <w:rtl/>
        </w:rPr>
        <w:t>לו. כך לדוגמה, הקיבולת של מערכת ההולכה הקיימת היא קטנה ואינה מאפשרת להזרים את מלוא הכמות הנדרשת. כמו כן המדינה נותרה עם ספק יחיד מונופוליסטי בתחום ההולכה ללא תחרות. כדי ליצור עצמאות אנרגטית ויתרונות כלכליים וסביבתיים למדינה, נדרשים המשרדים הנוגעים בדבר לגב</w:t>
      </w:r>
      <w:r>
        <w:rPr>
          <w:rFonts w:cs="David" w:hint="cs"/>
          <w:szCs w:val="24"/>
          <w:rtl/>
        </w:rPr>
        <w:t>ש מדיניות מתואמת וארוכת טווח לשם הקצאה הוגנת של המשאב לטובת כלל האוכלוסייה ולשם המשך פיתוח משק הגז והבטחת הספקתו גם לדורות הבאים.</w:t>
      </w:r>
    </w:p>
    <w:p w:rsidR="00000000">
      <w:pPr>
        <w:spacing w:line="340" w:lineRule="exact"/>
        <w:rPr>
          <w:rFonts w:cs="David" w:hint="cs"/>
          <w:szCs w:val="24"/>
          <w:rtl/>
        </w:rPr>
      </w:pPr>
      <w:r>
        <w:rPr>
          <w:rFonts w:cs="David" w:hint="cs"/>
          <w:szCs w:val="24"/>
          <w:rtl/>
        </w:rPr>
        <w:t>נבדקה גם המוכנות להשפעות סביבתיות של קידוחי גז ונפט בים. אמנם משרדי האנרגיה והגנת הסביבה עשו פעולות לקידום האסדרה והפיקוח על ה</w:t>
      </w:r>
      <w:r>
        <w:rPr>
          <w:rFonts w:cs="David" w:hint="cs"/>
          <w:szCs w:val="24"/>
          <w:rtl/>
        </w:rPr>
        <w:t>חברות הפועלות בתחום זה במטרה להפחית את הנזקים הסביבתיים הנגרמים מעצם החיפוש וההפקה של גז ונפט בים, ופעולות מניעה להקטנת ההסתברות לדליפת גז או נפט. אולם על שני המשרדים להאיץ את גיבושה של מתכונת עבודה מפורטת ומתואמת למניעת פגיעה שמקורה בפעילות הנרחבת שמקיימו</w:t>
      </w:r>
      <w:r>
        <w:rPr>
          <w:rFonts w:cs="David" w:hint="cs"/>
          <w:szCs w:val="24"/>
          <w:rtl/>
        </w:rPr>
        <w:t>ת החברות בים, ואשר עלולות להיות לה השפעות סביבתיות, בריאותיות וכלכליות ניכרות על המדינה ועל תושביה.</w:t>
      </w:r>
    </w:p>
    <w:p w:rsidR="00000000">
      <w:pPr>
        <w:spacing w:line="340" w:lineRule="exact"/>
        <w:rPr>
          <w:rFonts w:cs="David" w:hint="cs"/>
          <w:szCs w:val="24"/>
          <w:rtl/>
        </w:rPr>
      </w:pPr>
      <w:r>
        <w:rPr>
          <w:rFonts w:cs="David" w:hint="cs"/>
          <w:szCs w:val="24"/>
          <w:rtl/>
        </w:rPr>
        <w:t xml:space="preserve">בתחום המכרזים נדרש להקפיד על גיבושם מראש כנדרש ועל קיום תנאי המכרז כפי שפורסמו. לדוגמה, בבדיקת מכרז לרכש קרונות דו-קומתיים לרכבת ישראל בעלות כוללת של כ-370 </w:t>
      </w:r>
      <w:r>
        <w:rPr>
          <w:rFonts w:cs="David" w:hint="cs"/>
          <w:szCs w:val="24"/>
          <w:rtl/>
        </w:rPr>
        <w:t>מיליון אירו נמצא כי לאחר שנבחר הזוכה נעשו שינויים וניתנו הקלות בתנאים ובדרישות הטכניות. הדבר מצביע על היערכות לא מספקת מראש, ומתן לגיטימציה לשינויים בניגוד למכרז שפורסם טומן בחובו סכנות ופוגע בתקינות המינהל. נוסף על כך נדרש להשלים את הסדרת הרישוי של רכבת י</w:t>
      </w:r>
      <w:r>
        <w:rPr>
          <w:rFonts w:cs="David" w:hint="cs"/>
          <w:szCs w:val="24"/>
          <w:rtl/>
        </w:rPr>
        <w:t>שראל והפיקוח עליה. משרד מבקר המדינה כבר העיר על כך כמה פעמים, אך הליקוי טרם תוקן.</w:t>
      </w:r>
    </w:p>
    <w:p w:rsidR="00000000">
      <w:pPr>
        <w:spacing w:line="340" w:lineRule="exact"/>
        <w:rPr>
          <w:rFonts w:cs="David" w:hint="cs"/>
          <w:szCs w:val="24"/>
          <w:rtl/>
        </w:rPr>
      </w:pPr>
      <w:r>
        <w:rPr>
          <w:rFonts w:cs="David" w:hint="cs"/>
          <w:szCs w:val="24"/>
          <w:rtl/>
        </w:rPr>
        <w:t xml:space="preserve">פרקיו של דוח זה עוסקים בנושאים רבים נוספים שיש להם השפעה ניכרת על תחומים שונים של חיינו. מלאכת הביקורת, שמרביתה בוצעה על ידי החטיבה לביקורת נושאים כלכליים במשרד מבקר המדינה, </w:t>
      </w:r>
      <w:r>
        <w:rPr>
          <w:rFonts w:cs="David" w:hint="cs"/>
          <w:szCs w:val="24"/>
          <w:rtl/>
        </w:rPr>
        <w:t xml:space="preserve">נעשתה באופן מקצועי וענייני וללא משוא פנים, והיא מעלה תרומה נכבדה להגברת היעילות, החיסכון וטוהר המידות בגופים המבוקרים ולשמירה על כללי המינהל התקין. חובתם של הגופים המבוקרים היא לפעול בדרך מהירה ויעילה לתיקון הליקויים שטרם תוקנו. על פי מדיניות מבקר המדינה, </w:t>
      </w:r>
      <w:r>
        <w:rPr>
          <w:rFonts w:cs="David" w:hint="cs"/>
          <w:szCs w:val="24"/>
          <w:rtl/>
        </w:rPr>
        <w:t>יש לעקוב אחר תיקון הליקויים ולוודא את ביצוע התיקונים הנדרשים, ומשרדנו ימשיך לנהוג כך גם בעתיד.</w:t>
      </w:r>
    </w:p>
    <w:p w:rsidR="00000000">
      <w:pPr>
        <w:spacing w:line="340" w:lineRule="exact"/>
        <w:rPr>
          <w:rFonts w:cs="David" w:hint="cs"/>
          <w:szCs w:val="24"/>
          <w:rtl/>
        </w:rPr>
      </w:pPr>
      <w:r>
        <w:rPr>
          <w:rFonts w:cs="David" w:hint="cs"/>
          <w:szCs w:val="24"/>
          <w:rtl/>
        </w:rPr>
        <w:t>דמוקרטיה נמדדת במוסדות שלטון יציבים, שוויוניים וטהורי מידות הפועלים על פי החוק. הביקורת היא בלבה של הדמוקרטיה וערובה לקיום שלטון הפועל על פי אמות מידה של חוק, מי</w:t>
      </w:r>
      <w:r>
        <w:rPr>
          <w:rFonts w:cs="David" w:hint="cs"/>
          <w:szCs w:val="24"/>
          <w:rtl/>
        </w:rPr>
        <w:t xml:space="preserve">נהל תקין וסדר ציבורי. משימה זו הטיל המחוקק </w:t>
      </w:r>
      <w:r>
        <w:rPr>
          <w:rFonts w:cs="David" w:hint="cs"/>
          <w:szCs w:val="24"/>
          <w:rtl/>
        </w:rPr>
        <w:t>על משרד מבקר המדינה, והוא ימשיך במילוי חובתו, ביתר שאת, גם בשנים הקרובות.</w:t>
      </w:r>
    </w:p>
    <w:p w:rsidR="00000000">
      <w:pPr>
        <w:spacing w:line="340" w:lineRule="exact"/>
        <w:rPr>
          <w:rFonts w:cs="David"/>
          <w:szCs w:val="24"/>
          <w:rtl/>
        </w:rPr>
      </w:pPr>
    </w:p>
    <w:p w:rsidR="00000000">
      <w:pPr>
        <w:tabs>
          <w:tab w:val="center" w:pos="4746"/>
        </w:tabs>
        <w:spacing w:line="240" w:lineRule="atLeast"/>
        <w:rPr>
          <w:rFonts w:hint="cs"/>
          <w:rtl/>
        </w:rPr>
      </w:pPr>
      <w:r>
        <w:rPr>
          <w:rFonts w:hint="cs"/>
          <w:rtl/>
        </w:rPr>
        <w:tab/>
      </w:r>
      <w:r>
        <w:rPr>
          <w:rFonts w:hint="cs"/>
          <w:noProof/>
          <w:color w:val="FF0000"/>
          <w:sz w:val="60"/>
          <w:szCs w:val="60"/>
        </w:rPr>
        <w:drawing>
          <wp:inline distT="0" distB="0" distL="0" distR="0">
            <wp:extent cx="1371600" cy="527050"/>
            <wp:effectExtent l="0" t="0" r="0" b="6350"/>
            <wp:docPr id="3" name="תמונה 3"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11207" name="Picture 3" descr="shapira"/>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527050"/>
                    </a:xfrm>
                    <a:prstGeom prst="rect">
                      <a:avLst/>
                    </a:prstGeom>
                    <a:noFill/>
                    <a:ln>
                      <a:noFill/>
                    </a:ln>
                  </pic:spPr>
                </pic:pic>
              </a:graphicData>
            </a:graphic>
          </wp:inline>
        </w:drawing>
      </w:r>
    </w:p>
    <w:p w:rsidR="00000000">
      <w:pPr>
        <w:widowControl w:val="0"/>
        <w:tabs>
          <w:tab w:val="center" w:pos="4746"/>
        </w:tabs>
        <w:spacing w:after="0" w:line="280" w:lineRule="exact"/>
        <w:rPr>
          <w:rFonts w:cs="David" w:hint="cs"/>
          <w:b/>
          <w:bCs/>
          <w:szCs w:val="24"/>
          <w:rtl/>
          <w:lang w:eastAsia="he-IL"/>
        </w:rPr>
      </w:pPr>
      <w:r>
        <w:rPr>
          <w:rFonts w:cs="David" w:hint="cs"/>
          <w:b/>
          <w:bCs/>
          <w:szCs w:val="24"/>
          <w:rtl/>
          <w:lang w:eastAsia="he-IL"/>
        </w:rPr>
        <w:tab/>
        <w:t>יוסף חיים שפירא, שופט (בדימ')</w:t>
      </w:r>
    </w:p>
    <w:p w:rsidR="00000000">
      <w:pPr>
        <w:widowControl w:val="0"/>
        <w:tabs>
          <w:tab w:val="center" w:pos="4746"/>
        </w:tabs>
        <w:spacing w:after="0" w:line="280" w:lineRule="exact"/>
        <w:rPr>
          <w:rFonts w:cs="David" w:hint="cs"/>
          <w:szCs w:val="24"/>
          <w:rtl/>
          <w:lang w:eastAsia="he-IL"/>
        </w:rPr>
      </w:pPr>
      <w:r>
        <w:rPr>
          <w:rFonts w:cs="David" w:hint="cs"/>
          <w:szCs w:val="24"/>
          <w:rtl/>
          <w:lang w:eastAsia="he-IL"/>
        </w:rPr>
        <w:tab/>
        <w:t>מבקר המדינה</w:t>
      </w:r>
    </w:p>
    <w:p w:rsidR="00000000">
      <w:pPr>
        <w:widowControl w:val="0"/>
        <w:tabs>
          <w:tab w:val="center" w:pos="4746"/>
        </w:tabs>
        <w:spacing w:after="0" w:line="280" w:lineRule="exact"/>
        <w:rPr>
          <w:rFonts w:cs="David" w:hint="cs"/>
          <w:szCs w:val="24"/>
          <w:rtl/>
          <w:lang w:eastAsia="he-IL"/>
        </w:rPr>
      </w:pPr>
      <w:r>
        <w:rPr>
          <w:rFonts w:cs="David" w:hint="cs"/>
          <w:szCs w:val="24"/>
          <w:rtl/>
          <w:lang w:eastAsia="he-IL"/>
        </w:rPr>
        <w:tab/>
        <w:t>ונציב תלונות הציבור</w:t>
      </w:r>
    </w:p>
    <w:p w:rsidR="00000000">
      <w:pPr>
        <w:tabs>
          <w:tab w:val="left" w:pos="898"/>
        </w:tabs>
        <w:spacing w:after="0" w:line="280" w:lineRule="exact"/>
        <w:rPr>
          <w:rFonts w:cs="David" w:hint="cs"/>
          <w:sz w:val="22"/>
          <w:rtl/>
        </w:rPr>
      </w:pPr>
      <w:r>
        <w:rPr>
          <w:rFonts w:cs="David" w:hint="cs"/>
          <w:sz w:val="22"/>
          <w:rtl/>
        </w:rPr>
        <w:t xml:space="preserve">ירושלים, </w:t>
      </w:r>
      <w:r>
        <w:rPr>
          <w:rFonts w:cs="David" w:hint="cs"/>
          <w:sz w:val="22"/>
          <w:rtl/>
        </w:rPr>
        <w:tab/>
        <w:t>אלול התשע"ג</w:t>
      </w:r>
    </w:p>
    <w:p w:rsidR="00000000">
      <w:pPr>
        <w:tabs>
          <w:tab w:val="left" w:pos="898"/>
        </w:tabs>
        <w:spacing w:after="0" w:line="280" w:lineRule="exact"/>
        <w:rPr>
          <w:rFonts w:cs="David" w:hint="cs"/>
          <w:sz w:val="22"/>
          <w:rtl/>
        </w:rPr>
      </w:pPr>
      <w:r>
        <w:rPr>
          <w:rFonts w:cs="David" w:hint="cs"/>
          <w:sz w:val="22"/>
          <w:rtl/>
        </w:rPr>
        <w:tab/>
        <w:t>אוגוסט 2013</w:t>
      </w:r>
    </w:p>
    <w:p w:rsidR="00000000">
      <w:pPr>
        <w:spacing w:line="380" w:lineRule="exact"/>
        <w:rPr>
          <w:rFonts w:hint="cs"/>
          <w:rtl/>
        </w:rPr>
      </w:pPr>
      <w:r>
        <w:rPr>
          <w:rtl/>
        </w:rPr>
        <w:br w:type="page"/>
      </w:r>
    </w:p>
    <w:p w:rsidR="00000000">
      <w:pPr>
        <w:spacing w:line="380" w:lineRule="exact"/>
        <w:rPr>
          <w:rFonts w:cs="Arial" w:hint="cs"/>
          <w:szCs w:val="24"/>
          <w:rtl/>
          <w:lang w:bidi="ar-SA"/>
        </w:rPr>
      </w:pPr>
      <w:r>
        <w:rPr>
          <w:rtl/>
        </w:rPr>
        <w:br w:type="page"/>
      </w:r>
      <w:r>
        <w:rPr>
          <w:rFonts w:cs="Arial" w:hint="cs"/>
          <w:b/>
          <w:bCs/>
          <w:sz w:val="28"/>
          <w:szCs w:val="28"/>
          <w:rtl/>
          <w:lang w:bidi="ar-SA"/>
        </w:rPr>
        <w:t>تقرير الرقابة السنوي 64أ</w:t>
      </w:r>
      <w:r>
        <w:rPr>
          <w:rFonts w:cs="Arial" w:hint="cs"/>
          <w:b/>
          <w:bCs/>
          <w:szCs w:val="24"/>
          <w:rtl/>
          <w:lang w:bidi="ar-SA"/>
        </w:rPr>
        <w:t>،</w:t>
      </w:r>
      <w:r>
        <w:rPr>
          <w:rFonts w:cs="Arial" w:hint="cs"/>
          <w:szCs w:val="24"/>
          <w:rtl/>
          <w:lang w:bidi="ar-SA"/>
        </w:rPr>
        <w:t xml:space="preserve"> المطرو</w:t>
      </w:r>
      <w:r>
        <w:rPr>
          <w:rFonts w:cs="Arial" w:hint="cs"/>
          <w:szCs w:val="24"/>
          <w:rtl/>
          <w:lang w:bidi="ar-SA"/>
        </w:rPr>
        <w:t>ح على طاولة الكنيست، هو الجزء الأول من التقرير السنويّ لمراقب الدولة بشأن نتائج الرقابة على الهيئات ال</w:t>
      </w:r>
      <w:r>
        <w:rPr>
          <w:rFonts w:cs="Arial" w:hint="cs"/>
          <w:szCs w:val="24"/>
          <w:rtl/>
          <w:lang w:bidi="ar-EG"/>
        </w:rPr>
        <w:t xml:space="preserve">تي </w:t>
      </w:r>
      <w:r>
        <w:rPr>
          <w:rFonts w:cs="Arial" w:hint="cs"/>
          <w:szCs w:val="24"/>
          <w:rtl/>
          <w:lang w:bidi="ar-SA"/>
        </w:rPr>
        <w:t>خضعت للرقابة خلال سنة 2013. يكرّس هذا التقرير للشؤون الاقتصادية. على ضوء الأهم</w:t>
      </w:r>
      <w:r>
        <w:rPr>
          <w:rFonts w:cs="Arial" w:hint="cs"/>
          <w:szCs w:val="24"/>
          <w:rtl/>
          <w:lang w:bidi="ar-EG"/>
        </w:rPr>
        <w:t>ّ</w:t>
      </w:r>
      <w:r>
        <w:rPr>
          <w:rFonts w:cs="Arial" w:hint="cs"/>
          <w:szCs w:val="24"/>
          <w:rtl/>
          <w:lang w:bidi="ar-SA"/>
        </w:rPr>
        <w:t>يّة المتزايدة للقضايا الاقتصادية وتأثيرها على الجمهور والمجتمع في إسرائي</w:t>
      </w:r>
      <w:r>
        <w:rPr>
          <w:rFonts w:cs="Arial" w:hint="cs"/>
          <w:szCs w:val="24"/>
          <w:rtl/>
          <w:lang w:bidi="ar-SA"/>
        </w:rPr>
        <w:t xml:space="preserve">ل، ارتأى مكتب مراقب الدولة تخصيص مجلّد خاصّ من التقرير السنويّ للرقابة على مواضيع اقتصادية هامّة، وذات تأثيرات ماليّة واضحة. </w:t>
      </w:r>
    </w:p>
    <w:p w:rsidR="00000000">
      <w:pPr>
        <w:spacing w:after="180" w:line="380" w:lineRule="exact"/>
        <w:rPr>
          <w:rFonts w:cs="Arial" w:hint="cs"/>
          <w:szCs w:val="24"/>
          <w:rtl/>
          <w:lang w:bidi="ar-EG"/>
        </w:rPr>
      </w:pPr>
      <w:r>
        <w:rPr>
          <w:rFonts w:cs="Arial" w:hint="cs"/>
          <w:szCs w:val="24"/>
          <w:rtl/>
          <w:lang w:bidi="ar-SA"/>
        </w:rPr>
        <w:t>يأتي هذا التقرير للتحذير من المخاطر التي تهدّد المرافق الاقتصادية، على ضوء المركزيّة في الاعتمادات البنكية وغير البنكية، التعامل م</w:t>
      </w:r>
      <w:r>
        <w:rPr>
          <w:rFonts w:cs="Arial" w:hint="cs"/>
          <w:szCs w:val="24"/>
          <w:rtl/>
          <w:lang w:bidi="ar-SA"/>
        </w:rPr>
        <w:t xml:space="preserve">ع </w:t>
      </w:r>
      <w:r>
        <w:rPr>
          <w:rFonts w:cs="Arial" w:hint="cs"/>
          <w:szCs w:val="24"/>
          <w:rtl/>
          <w:lang w:bidi="ar-EG"/>
        </w:rPr>
        <w:t>هيئات مؤسّساتية مقترضة</w:t>
      </w:r>
      <w:r>
        <w:rPr>
          <w:rFonts w:cs="Arial" w:hint="cs"/>
          <w:szCs w:val="24"/>
          <w:rtl/>
          <w:lang w:bidi="ar-SA"/>
        </w:rPr>
        <w:t xml:space="preserve">، وانعدام الضمانات </w:t>
      </w:r>
      <w:r>
        <w:rPr>
          <w:rFonts w:cs="Arial" w:hint="cs"/>
          <w:szCs w:val="24"/>
          <w:rtl/>
          <w:lang w:bidi="ar-EG"/>
        </w:rPr>
        <w:t>وسبل الحماية الكافية الموثّقة في عقود، للمستثمرين في سندات الدين الحكوميّة. تطورت المركزيّة الاقتصادية في الاعتماد على مدار السنوات وهي موجودة في الأساس في عدة مجموعات اقتصادية كبيرة. إخفاق مقترض أو مجموعة مقترضين</w:t>
      </w:r>
      <w:r>
        <w:rPr>
          <w:rFonts w:cs="Arial" w:hint="cs"/>
          <w:szCs w:val="24"/>
          <w:rtl/>
          <w:lang w:bidi="ar-EG"/>
        </w:rPr>
        <w:t xml:space="preserve"> كبيرة، من شأنه أن يمسّ بشكل فعليّ وكبير بسوق الاعتمادات، ويلحق ضررًا شاملاً بجميع المرافق الاقتصادية. وعليه أتوقّّع أن يقوم بنك إسرائيل وقسم سوق الأموال في وزارة المالية بصفتهما مسؤولين عن التنظيم في مجال الاعتمادات، بفحص هل هنالك حاجة إلى المزيد من الإجر</w:t>
      </w:r>
      <w:r>
        <w:rPr>
          <w:rFonts w:cs="Arial" w:hint="cs"/>
          <w:szCs w:val="24"/>
          <w:rtl/>
          <w:lang w:bidi="ar-EG"/>
        </w:rPr>
        <w:t>اءات التنظيمية والرقابية، إضافة إلى الإجراءات التي تمّ اتّخاذها، بهدف التقليل من التعرض للمخاطر. من اللائق إبداء الحساسية العالية بهدف حماية المستثمرين والمدّخرين، إذ إنّ قسمًا من مانحي الاعتمادات هم هيئات مؤسساتيّة تدير مدّخرات معظم الجمهور في الدولة. هذه</w:t>
      </w:r>
      <w:r>
        <w:rPr>
          <w:rFonts w:cs="Arial" w:hint="cs"/>
          <w:szCs w:val="24"/>
          <w:rtl/>
          <w:lang w:bidi="ar-EG"/>
        </w:rPr>
        <w:t xml:space="preserve"> المدّخرات التي تمّ تخصيصها لضمان مستقبلهم بعد خروجهم إلى التقاعد.  </w:t>
      </w:r>
    </w:p>
    <w:p w:rsidR="00000000">
      <w:pPr>
        <w:spacing w:after="180" w:line="380" w:lineRule="exact"/>
        <w:rPr>
          <w:rFonts w:cs="Arial" w:hint="cs"/>
          <w:szCs w:val="24"/>
          <w:rtl/>
          <w:lang w:bidi="ar-EG"/>
        </w:rPr>
      </w:pPr>
      <w:r>
        <w:rPr>
          <w:rFonts w:cs="Arial" w:hint="cs"/>
          <w:szCs w:val="24"/>
          <w:rtl/>
          <w:lang w:bidi="ar-EG"/>
        </w:rPr>
        <w:t xml:space="preserve">كشفت الرقابة عن أن الدولة لم تعالج كما ينبغي جباية العوائد الكاملة واللائقة لقاء منح حقوق استغلال الموارد الطبيعية. يتعيّن على الدولة العمل من أجل الحرص على أن يستفيد جميع مواطني الدولة، </w:t>
      </w:r>
      <w:r>
        <w:rPr>
          <w:rFonts w:cs="Arial" w:hint="cs"/>
          <w:szCs w:val="24"/>
          <w:rtl/>
          <w:lang w:bidi="ar-EG"/>
        </w:rPr>
        <w:t>لا فئة قليلة فقط، من ثمار استغلال مواردها الطبيعية.</w:t>
      </w:r>
    </w:p>
    <w:p w:rsidR="00000000">
      <w:pPr>
        <w:spacing w:after="180" w:line="380" w:lineRule="exact"/>
        <w:rPr>
          <w:rFonts w:cs="Arial" w:hint="cs"/>
          <w:szCs w:val="24"/>
          <w:rtl/>
          <w:lang w:bidi="ar-EG"/>
        </w:rPr>
      </w:pPr>
      <w:r>
        <w:rPr>
          <w:rFonts w:cs="Arial" w:hint="cs"/>
          <w:szCs w:val="24"/>
          <w:rtl/>
          <w:lang w:bidi="ar-EG"/>
        </w:rPr>
        <w:t>كذلك بيّنت الرقابة أن سلطة الضرائب لا تستنفد كافة السبل لجباية الضرائب المفروضة كاملة، ولا تطبّق بقدر كافٍ القانون بحق المتهرّبين من دفع الضرائب، سواء من خلال فواتير وهميّة أو بأي وسيلة تهرّب أخرى. كما أن</w:t>
      </w:r>
      <w:r>
        <w:rPr>
          <w:rFonts w:cs="Arial" w:hint="cs"/>
          <w:szCs w:val="24"/>
          <w:rtl/>
          <w:lang w:bidi="ar-EG"/>
        </w:rPr>
        <w:t>ّه من غير المعقول في حين أن مجموعة من السكان تترنّح تحت وطأة العبء الضريبيّ وغلاء المعيشة، يتمتّعون في الشركات الكبرى بامتيازات ضريبية مبالّغ فيها مثل ظاهرة "الأرباح المحتجزة". وعليه، في فترة من التقليصات في ميزانية الدولة وتقليص الخدمات الضرورية لمواطني ا</w:t>
      </w:r>
      <w:r>
        <w:rPr>
          <w:rFonts w:cs="Arial" w:hint="cs"/>
          <w:szCs w:val="24"/>
          <w:rtl/>
          <w:lang w:bidi="ar-EG"/>
        </w:rPr>
        <w:t xml:space="preserve">لدولة عامةً، والطبقات الفقيرة خاصّةً، يُتوقّع من سلطة الضرائب أن تقوم بكلّ ما ينبغي لاستنفاد كلّ الإمكانيّات والوسائل لجباية الضرائب من المكلّفين بدفعها. </w:t>
      </w:r>
    </w:p>
    <w:p w:rsidR="00000000">
      <w:pPr>
        <w:spacing w:after="180" w:line="380" w:lineRule="exact"/>
        <w:rPr>
          <w:rFonts w:cs="Arial" w:hint="cs"/>
          <w:szCs w:val="24"/>
          <w:rtl/>
          <w:lang w:bidi="ar-EG"/>
        </w:rPr>
      </w:pPr>
      <w:r>
        <w:rPr>
          <w:rFonts w:cs="Arial" w:hint="cs"/>
          <w:szCs w:val="24"/>
          <w:rtl/>
          <w:lang w:bidi="ar-EG"/>
        </w:rPr>
        <w:t>كما تمّ فحص قضيّة تزويد المرافق الاقتصادية في إسرائيل بالغاز الطبيعيّ الذي يعتبر هو مصدر طاقة رئيسي و</w:t>
      </w:r>
      <w:r>
        <w:rPr>
          <w:rFonts w:cs="Arial" w:hint="cs"/>
          <w:szCs w:val="24"/>
          <w:rtl/>
          <w:lang w:bidi="ar-EG"/>
        </w:rPr>
        <w:t xml:space="preserve">رخيص نسبيًّا. بدءًا من سنة 2004 اكتشفت في المياه الاقتصادية </w:t>
      </w:r>
      <w:r>
        <w:rPr>
          <w:rFonts w:cs="Arial" w:hint="cs"/>
          <w:szCs w:val="24"/>
          <w:rtl/>
          <w:lang w:bidi="ar-EG"/>
        </w:rPr>
        <w:t>لإسرائيل مجمّعات غاز كبيرة. اتّخذت وزارة الطاقة خطوات للنهوض بإيجاد الحلول لنقل وتزويد الغاز. لكن على ما يبدو فإن هذه الخطوات لم تكن كافية، كما أنها اتّخذت بوتيرة بطيئة لا تسمح بسد الفجوة بين الطل</w:t>
      </w:r>
      <w:r>
        <w:rPr>
          <w:rFonts w:cs="Arial" w:hint="cs"/>
          <w:szCs w:val="24"/>
          <w:rtl/>
          <w:lang w:bidi="ar-EG"/>
        </w:rPr>
        <w:t xml:space="preserve">ب على الغاز وعرضه. فعلى سبيل المثال، سعة شبكة نقل الغاز قليلة ولا تتيح نقل كلّ الكميّة المطلوبة. بالإضافة إلى ذلك، بقيت الدولة مع مزوّد واحد احتكاريّ وبلا منافس في مجال نقل الغاز. في سبيل خلق استقلالية في مجال الطاقة وأفضليّات اقتصادية وبيئيّة للدولة، على </w:t>
      </w:r>
      <w:r>
        <w:rPr>
          <w:rFonts w:cs="Arial" w:hint="cs"/>
          <w:szCs w:val="24"/>
          <w:rtl/>
          <w:lang w:bidi="ar-EG"/>
        </w:rPr>
        <w:t xml:space="preserve">الوزارات ذات الصلة أن تبلور سياسة طويلة المدى تنطوي على التنسيق فيما، بهدف تخصيص نزيه لهذا المورد لصالح جميع السكّان، ومن أجل استمرار تطوير قطاع الغاز وضمان تزويد الغاز للأجيال القادمة. </w:t>
      </w:r>
    </w:p>
    <w:p w:rsidR="00000000">
      <w:pPr>
        <w:spacing w:after="180" w:line="380" w:lineRule="exact"/>
        <w:rPr>
          <w:rFonts w:cs="Arial" w:hint="cs"/>
          <w:szCs w:val="24"/>
          <w:rtl/>
          <w:lang w:bidi="ar-EG"/>
        </w:rPr>
      </w:pPr>
      <w:r>
        <w:rPr>
          <w:rFonts w:cs="Arial" w:hint="cs"/>
          <w:szCs w:val="24"/>
          <w:rtl/>
          <w:lang w:bidi="ar-EG"/>
        </w:rPr>
        <w:t>جرى أيضًا فحص الاستعداد والجهوزيّة للتأثيرات البيئية الناجمة عن التنق</w:t>
      </w:r>
      <w:r>
        <w:rPr>
          <w:rFonts w:cs="Arial" w:hint="cs"/>
          <w:szCs w:val="24"/>
          <w:rtl/>
          <w:lang w:bidi="ar-EG"/>
        </w:rPr>
        <w:t>يبات عن الغاز والنفط في البحر. صحيح أنّ وزارتي الطاقة وحماية البيئة اتّخذتا خطوات لدعم التنظيم والرقابة في هذا المجال، بهدف الحد من الأضرار الناجمة عن التنقيب عن الغاز والنفط في البحر واستخراجهما من قبل الشركات الحاصلة على الامتيازات، كما اتّخذتا خطوات وقا</w:t>
      </w:r>
      <w:r>
        <w:rPr>
          <w:rFonts w:cs="Arial" w:hint="cs"/>
          <w:szCs w:val="24"/>
          <w:rtl/>
          <w:lang w:bidi="ar-EG"/>
        </w:rPr>
        <w:t xml:space="preserve">ئيّة للحدّ من احتمال تسرّب الغاز أو النفط، لكن على الوزارتين الإسراع في بلورة برنامج عمل مفصّل ومنسّق فيما بينهما تفاديًّا للضرر الذي قد ينجم عن النشاط الواسع الذي تقوم به هذه الشركات في البحر. هذا النشاط قد تكون له تأثيرات بيئيّة، صحّيّة واقتصاديّة كبيرة </w:t>
      </w:r>
      <w:r>
        <w:rPr>
          <w:rFonts w:cs="Arial" w:hint="cs"/>
          <w:szCs w:val="24"/>
          <w:rtl/>
          <w:lang w:bidi="ar-EG"/>
        </w:rPr>
        <w:t xml:space="preserve">على الدولة وسكّانها. </w:t>
      </w:r>
    </w:p>
    <w:p w:rsidR="00000000">
      <w:pPr>
        <w:spacing w:after="180" w:line="380" w:lineRule="exact"/>
        <w:rPr>
          <w:rFonts w:cs="Arial" w:hint="cs"/>
          <w:szCs w:val="24"/>
          <w:rtl/>
          <w:lang w:bidi="ar-EG"/>
        </w:rPr>
      </w:pPr>
      <w:r>
        <w:rPr>
          <w:rFonts w:cs="Arial" w:hint="cs"/>
          <w:szCs w:val="24"/>
          <w:rtl/>
          <w:lang w:bidi="ar-EG"/>
        </w:rPr>
        <w:t>في مجال العطاءات يجب الحرص على بلورة العطاءات مسبقًا وبشكل لائق وعلى تنفيذ شروط العطاء وتطبيقها وفق الصيغة التي نُشرت بها. على سبيل المثال، في فحص أجري لمناقصة لشراء عربات قطار من طابقين بتكلفة إجمالية تقدر بـ 370 مليون يورو، تبيّن أن</w:t>
      </w:r>
      <w:r>
        <w:rPr>
          <w:rFonts w:cs="Arial" w:hint="cs"/>
          <w:szCs w:val="24"/>
          <w:rtl/>
          <w:lang w:bidi="ar-EG"/>
        </w:rPr>
        <w:t>ّه بعد اختيار الفائز في العطاء، أجريت تعديلات، ومنحت تسهيلات في الشروط والمتطلبات الفنيّة. يشير هذا الأمر إلى عدم وجود استعداد مسبق وجهوزيّة كافية، كما أنّ منح شرعية لإجراء التعديلات خلافًا للمناقصة التي تمّ الإعلان عنها، ينطوي على مخاطر، كما أنّه يمسّ بال</w:t>
      </w:r>
      <w:r>
        <w:rPr>
          <w:rFonts w:cs="Arial" w:hint="cs"/>
          <w:szCs w:val="24"/>
          <w:rtl/>
          <w:lang w:bidi="ar-EG"/>
        </w:rPr>
        <w:t xml:space="preserve">إدارة السليمة. بالإضافة إلى ذلك، يجب تسوية قضيّة ترخيص شركة قطارات إسرائيل والرقابة عليها. سبق وأن أبدى مكتب مراقب الدولة عدة مرّات ملاحظات بشأن ذلك، لكنّ هذا النقص لم يتمّ تصحيحه. </w:t>
      </w:r>
    </w:p>
    <w:p w:rsidR="00000000">
      <w:pPr>
        <w:spacing w:after="180" w:line="380" w:lineRule="exact"/>
        <w:rPr>
          <w:rFonts w:cs="Arial" w:hint="cs"/>
          <w:szCs w:val="24"/>
          <w:rtl/>
          <w:lang w:bidi="ar-EG"/>
        </w:rPr>
      </w:pPr>
      <w:r>
        <w:rPr>
          <w:rFonts w:cs="Arial" w:hint="cs"/>
          <w:szCs w:val="24"/>
          <w:rtl/>
          <w:lang w:bidi="ar-EG"/>
        </w:rPr>
        <w:t xml:space="preserve">تتناول فصول هذا التقرير الكثير من المواضيع الأخرى ذات التأثير الملحوظ على </w:t>
      </w:r>
      <w:r>
        <w:rPr>
          <w:rFonts w:cs="Arial" w:hint="cs"/>
          <w:szCs w:val="24"/>
          <w:rtl/>
          <w:lang w:bidi="ar-EG"/>
        </w:rPr>
        <w:t>مجالات مختلفة في حياتنا. يُشار إلى أنّ الرقابة التي تمّ معظمها من خلال وحدة الرقابة على القضايا الاقتصادية في مكتب مراقب الدولة، بُنيت على أسس مهنيّة وموضوعية وبدون انحياز. تقدّم هذه الرقابة مساهمة كبيرة لزيادة النجاعة، التوفير، نزاهة المقاييس في الهيئات ا</w:t>
      </w:r>
      <w:r>
        <w:rPr>
          <w:rFonts w:cs="Arial" w:hint="cs"/>
          <w:szCs w:val="24"/>
          <w:rtl/>
          <w:lang w:bidi="ar-EG"/>
        </w:rPr>
        <w:t xml:space="preserve">لخاضعة للرقابة وللمحافظة على قواعد الإدارة السليمة. </w:t>
      </w:r>
    </w:p>
    <w:p w:rsidR="00000000">
      <w:pPr>
        <w:spacing w:after="180" w:line="380" w:lineRule="exact"/>
        <w:rPr>
          <w:rFonts w:cs="Arial" w:hint="cs"/>
          <w:szCs w:val="24"/>
          <w:rtl/>
          <w:lang w:bidi="ar-EG"/>
        </w:rPr>
      </w:pPr>
      <w:r>
        <w:rPr>
          <w:rFonts w:cs="Arial" w:hint="cs"/>
          <w:szCs w:val="24"/>
          <w:rtl/>
          <w:lang w:bidi="ar-EG"/>
        </w:rPr>
        <w:t>من واجب الهيئات الخاضعة للرقابة أن تعمل بأسرع وأنجع الطرق لتصحيح النواقص التي لم يتمّ تصحيحها بعد. بناءً على سياسة مراقب الدولة يتعيّن متابعة تصحيح النواقص والتأكّد من إجراء التعديلات المطلوبة، وسيواصل م</w:t>
      </w:r>
      <w:r>
        <w:rPr>
          <w:rFonts w:cs="Arial" w:hint="cs"/>
          <w:szCs w:val="24"/>
          <w:rtl/>
          <w:lang w:bidi="ar-EG"/>
        </w:rPr>
        <w:t xml:space="preserve">كتبنا نهجه هذا في المستقبل أيضًا. </w:t>
      </w:r>
    </w:p>
    <w:p w:rsidR="00000000">
      <w:pPr>
        <w:spacing w:after="180" w:line="380" w:lineRule="exact"/>
        <w:rPr>
          <w:rFonts w:cs="Arial" w:hint="cs"/>
          <w:szCs w:val="24"/>
          <w:rtl/>
          <w:lang w:bidi="ar-EG"/>
        </w:rPr>
      </w:pPr>
      <w:r>
        <w:rPr>
          <w:rFonts w:cs="Arial" w:hint="cs"/>
          <w:szCs w:val="24"/>
          <w:rtl/>
          <w:lang w:bidi="ar-EG"/>
        </w:rPr>
        <w:t>تُقاس الديمقراطيّة بمؤسسات السلطة الثابتة التي تنتهج المساواة، ونزاهة المقاييس والتي تعمل وفق القانون. تُعتبر الرقابة صميم الديمقراطية، وهي ضمان لوجود نظام حكم يعمل وفق معايير يحكمها القانون، الإدارة السليمة والنظام العام</w:t>
      </w:r>
      <w:r>
        <w:rPr>
          <w:rFonts w:cs="Arial" w:hint="cs"/>
          <w:szCs w:val="24"/>
          <w:rtl/>
          <w:lang w:bidi="ar-EG"/>
        </w:rPr>
        <w:t xml:space="preserve">ّ. ألقى المشرّع هذه المهمّة على عاتق مكتب مراقب الدولة الذي سيواصل تأدية واجبه في هذا المجال في السنوات القادمة أيضًا، بقوّة أكبر من ذي قبل. </w:t>
      </w:r>
    </w:p>
    <w:p w:rsidR="00000000">
      <w:pPr>
        <w:spacing w:after="180" w:line="380" w:lineRule="exact"/>
        <w:rPr>
          <w:rFonts w:cs="Arabic 11 BT"/>
          <w:szCs w:val="28"/>
          <w:rtl/>
          <w:lang w:bidi="ar-EG"/>
        </w:rPr>
      </w:pPr>
    </w:p>
    <w:p w:rsidR="00000000">
      <w:pPr>
        <w:tabs>
          <w:tab w:val="center" w:pos="4714"/>
        </w:tabs>
        <w:spacing w:line="240" w:lineRule="atLeast"/>
        <w:rPr>
          <w:rFonts w:hint="cs"/>
          <w:rtl/>
        </w:rPr>
      </w:pPr>
      <w:r>
        <w:rPr>
          <w:rFonts w:hint="cs"/>
          <w:rtl/>
          <w:lang w:bidi="ar-EG"/>
        </w:rPr>
        <w:tab/>
      </w:r>
      <w:r>
        <w:rPr>
          <w:rFonts w:hint="cs"/>
          <w:noProof/>
          <w:color w:val="FF0000"/>
          <w:sz w:val="60"/>
          <w:szCs w:val="60"/>
        </w:rPr>
        <w:drawing>
          <wp:inline distT="0" distB="0" distL="0" distR="0">
            <wp:extent cx="1295400" cy="514350"/>
            <wp:effectExtent l="0" t="0" r="0" b="0"/>
            <wp:docPr id="4" name="תמונה 4"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11726" name="Picture 4" descr="shapira"/>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514350"/>
                    </a:xfrm>
                    <a:prstGeom prst="rect">
                      <a:avLst/>
                    </a:prstGeom>
                    <a:noFill/>
                    <a:ln>
                      <a:noFill/>
                    </a:ln>
                  </pic:spPr>
                </pic:pic>
              </a:graphicData>
            </a:graphic>
          </wp:inline>
        </w:drawing>
      </w:r>
    </w:p>
    <w:p w:rsidR="00000000">
      <w:pPr>
        <w:widowControl w:val="0"/>
        <w:tabs>
          <w:tab w:val="center" w:pos="4746"/>
        </w:tabs>
        <w:spacing w:after="0" w:line="280" w:lineRule="exact"/>
        <w:rPr>
          <w:rFonts w:ascii="Arial" w:hAnsi="Arial" w:cs="Arial" w:hint="cs"/>
          <w:b/>
          <w:bCs/>
          <w:szCs w:val="24"/>
          <w:rtl/>
          <w:lang w:bidi="ar-AE"/>
        </w:rPr>
      </w:pPr>
      <w:r>
        <w:rPr>
          <w:rFonts w:ascii="Arial" w:hAnsi="Arial" w:cs="Arial"/>
          <w:b/>
          <w:bCs/>
          <w:szCs w:val="24"/>
          <w:lang w:bidi="ar-SA"/>
        </w:rPr>
        <w:tab/>
      </w:r>
      <w:r>
        <w:rPr>
          <w:rFonts w:ascii="Arial" w:hAnsi="Arial" w:cs="Arial" w:hint="cs"/>
          <w:b/>
          <w:bCs/>
          <w:szCs w:val="24"/>
          <w:rtl/>
          <w:lang w:bidi="ar-SA"/>
        </w:rPr>
        <w:t xml:space="preserve">يوسف حاييم شفيرا, قاض </w:t>
      </w:r>
      <w:r>
        <w:rPr>
          <w:rFonts w:ascii="Arial" w:hAnsi="Arial" w:cs="Arial" w:hint="cs"/>
          <w:b/>
          <w:bCs/>
          <w:szCs w:val="24"/>
          <w:rtl/>
          <w:lang w:bidi="ar-AE"/>
        </w:rPr>
        <w:t>(متقاعد)</w:t>
      </w:r>
    </w:p>
    <w:p w:rsidR="00000000">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szCs w:val="24"/>
          <w:rtl/>
          <w:lang w:bidi="ar-SA"/>
        </w:rPr>
        <w:t>مراقب الدولة</w:t>
      </w:r>
    </w:p>
    <w:p w:rsidR="00000000">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hint="cs"/>
          <w:szCs w:val="24"/>
          <w:rtl/>
          <w:lang w:bidi="ar-SA"/>
        </w:rPr>
        <w:t>ومندوب شكاوى الجمهور</w:t>
      </w:r>
    </w:p>
    <w:p w:rsidR="00000000">
      <w:pPr>
        <w:widowControl w:val="0"/>
        <w:tabs>
          <w:tab w:val="center" w:pos="4746"/>
        </w:tabs>
        <w:spacing w:after="0" w:line="280" w:lineRule="exact"/>
        <w:rPr>
          <w:rFonts w:ascii="Arial" w:hAnsi="Arial" w:cs="Arial" w:hint="cs"/>
          <w:szCs w:val="24"/>
          <w:rtl/>
          <w:lang w:bidi="ar-SA"/>
        </w:rPr>
      </w:pPr>
      <w:r>
        <w:rPr>
          <w:rFonts w:ascii="Arial" w:hAnsi="Arial" w:cs="Arial" w:hint="cs"/>
          <w:szCs w:val="24"/>
          <w:rtl/>
          <w:lang w:bidi="ar-SA"/>
        </w:rPr>
        <w:t>أورشليم القدس - آب 2013</w:t>
      </w:r>
    </w:p>
    <w:p w:rsidR="00000000">
      <w:pPr>
        <w:widowControl w:val="0"/>
        <w:tabs>
          <w:tab w:val="center" w:pos="4746"/>
        </w:tabs>
        <w:spacing w:after="0" w:line="280" w:lineRule="exact"/>
        <w:rPr>
          <w:rFonts w:cs="Arabic 11 BT" w:hint="cs"/>
          <w:szCs w:val="24"/>
          <w:rtl/>
        </w:rPr>
      </w:pPr>
      <w:r>
        <w:rPr>
          <w:rFonts w:cs="Arabic 11 BT"/>
          <w:szCs w:val="24"/>
          <w:rtl/>
        </w:rPr>
        <w:br w:type="page"/>
      </w:r>
    </w:p>
    <w:p w:rsidR="00000000">
      <w:pPr>
        <w:pStyle w:val="KOT1"/>
        <w:tabs>
          <w:tab w:val="right" w:leader="dot" w:pos="6237"/>
          <w:tab w:val="left" w:pos="6350"/>
        </w:tabs>
        <w:spacing w:after="120"/>
        <w:ind w:right="851"/>
        <w:rPr>
          <w:rFonts w:hint="cs"/>
          <w:sz w:val="40"/>
          <w:szCs w:val="40"/>
          <w:rtl/>
        </w:rPr>
      </w:pPr>
      <w:r>
        <w:rPr>
          <w:rFonts w:cs="Arabic 11 BT"/>
          <w:szCs w:val="24"/>
        </w:rPr>
        <w:br w:type="page"/>
      </w:r>
      <w:r>
        <w:rPr>
          <w:rFonts w:hint="cs"/>
          <w:sz w:val="40"/>
          <w:szCs w:val="40"/>
          <w:rtl/>
        </w:rPr>
        <w:t>תוכן העניינים</w:t>
      </w:r>
    </w:p>
    <w:p w:rsidR="00000000">
      <w:pPr>
        <w:pStyle w:val="KOT2"/>
        <w:tabs>
          <w:tab w:val="right" w:leader="dot" w:pos="6237"/>
          <w:tab w:val="left" w:pos="6350"/>
        </w:tabs>
        <w:spacing w:before="240" w:after="120"/>
        <w:rPr>
          <w:rFonts w:hint="cs"/>
          <w:rtl/>
        </w:rPr>
      </w:pPr>
      <w:r>
        <w:rPr>
          <w:rFonts w:hint="cs"/>
          <w:rtl/>
        </w:rPr>
        <w:t>פ</w:t>
      </w:r>
      <w:r>
        <w:rPr>
          <w:rFonts w:hint="cs"/>
          <w:rtl/>
        </w:rPr>
        <w:t>רק ראשון - מטלות בין-משרדיות</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הפיקוח על ריכוזיות אשראי והשקעות בקבוצות עסקיות</w:t>
      </w:r>
      <w:r>
        <w:rPr>
          <w:rFonts w:cs="David" w:hint="cs"/>
          <w:szCs w:val="24"/>
          <w:rtl/>
        </w:rPr>
        <w:tab/>
      </w:r>
      <w:r>
        <w:rPr>
          <w:rFonts w:cs="David" w:hint="cs"/>
          <w:szCs w:val="24"/>
          <w:rtl/>
        </w:rPr>
        <w:tab/>
        <w:t>3</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הפיקוח על כספי המשקיעים באיגרות חוב לא ממשלתיות</w:t>
      </w:r>
      <w:r>
        <w:rPr>
          <w:rFonts w:cs="David" w:hint="cs"/>
          <w:szCs w:val="24"/>
          <w:rtl/>
        </w:rPr>
        <w:tab/>
      </w:r>
      <w:r>
        <w:rPr>
          <w:rFonts w:cs="David" w:hint="cs"/>
          <w:szCs w:val="24"/>
          <w:rtl/>
        </w:rPr>
        <w:tab/>
        <w:t>31</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בניית תכניות להמשכיות עסקית של המערכת הפיננסית באירועי חירום</w:t>
      </w:r>
      <w:r>
        <w:rPr>
          <w:rFonts w:cs="David" w:hint="cs"/>
          <w:szCs w:val="24"/>
          <w:rtl/>
        </w:rPr>
        <w:tab/>
      </w:r>
      <w:r>
        <w:rPr>
          <w:rFonts w:cs="David" w:hint="cs"/>
          <w:szCs w:val="24"/>
          <w:rtl/>
        </w:rPr>
        <w:tab/>
        <w:t>51</w:t>
      </w:r>
    </w:p>
    <w:p w:rsidR="00000000">
      <w:pPr>
        <w:pStyle w:val="KOT2"/>
        <w:tabs>
          <w:tab w:val="right" w:leader="dot" w:pos="6237"/>
          <w:tab w:val="left" w:pos="6350"/>
        </w:tabs>
        <w:spacing w:before="360" w:after="120"/>
        <w:rPr>
          <w:rtl/>
        </w:rPr>
      </w:pPr>
      <w:r>
        <w:rPr>
          <w:rFonts w:hint="cs"/>
          <w:rtl/>
        </w:rPr>
        <w:t>פרק שני - משרדי ממשלה</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משרד ראש הממשלה</w:t>
      </w:r>
    </w:p>
    <w:p w:rsidR="00000000">
      <w:pPr>
        <w:tabs>
          <w:tab w:val="right" w:leader="dot" w:pos="6237"/>
          <w:tab w:val="left" w:pos="6350"/>
        </w:tabs>
        <w:ind w:left="397" w:right="851"/>
        <w:jc w:val="left"/>
        <w:rPr>
          <w:rFonts w:cs="David" w:hint="cs"/>
          <w:szCs w:val="24"/>
        </w:rPr>
      </w:pPr>
      <w:r>
        <w:rPr>
          <w:rFonts w:cs="David" w:hint="cs"/>
          <w:szCs w:val="24"/>
          <w:rtl/>
        </w:rPr>
        <w:t>יישום החלטת הממשלה בנ</w:t>
      </w:r>
      <w:r>
        <w:rPr>
          <w:rFonts w:cs="David" w:hint="cs"/>
          <w:szCs w:val="24"/>
          <w:rtl/>
        </w:rPr>
        <w:t>ושא מעבר היחידות הארציות של הממשלה לבירה</w:t>
      </w:r>
      <w:r>
        <w:rPr>
          <w:rFonts w:cs="David" w:hint="cs"/>
          <w:szCs w:val="24"/>
          <w:rtl/>
        </w:rPr>
        <w:tab/>
      </w:r>
      <w:r>
        <w:rPr>
          <w:rFonts w:cs="David" w:hint="cs"/>
          <w:szCs w:val="24"/>
          <w:rtl/>
        </w:rPr>
        <w:tab/>
        <w:t>95</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משרד האוצר</w:t>
      </w:r>
      <w:r>
        <w:rPr>
          <w:rFonts w:cs="David" w:hint="cs"/>
          <w:szCs w:val="24"/>
          <w:rtl/>
        </w:rPr>
        <w:tab/>
      </w:r>
      <w:r>
        <w:rPr>
          <w:rFonts w:cs="David" w:hint="cs"/>
          <w:szCs w:val="24"/>
          <w:rtl/>
        </w:rPr>
        <w:tab/>
        <w:t>121</w:t>
      </w:r>
    </w:p>
    <w:p w:rsidR="00000000">
      <w:pPr>
        <w:tabs>
          <w:tab w:val="right" w:leader="dot" w:pos="6237"/>
          <w:tab w:val="left" w:pos="6350"/>
        </w:tabs>
        <w:ind w:left="397" w:right="851"/>
        <w:jc w:val="left"/>
        <w:rPr>
          <w:rFonts w:cs="David" w:hint="cs"/>
          <w:szCs w:val="24"/>
        </w:rPr>
      </w:pPr>
      <w:r>
        <w:rPr>
          <w:rFonts w:cs="David" w:hint="cs"/>
          <w:szCs w:val="24"/>
          <w:rtl/>
        </w:rPr>
        <w:t>גביית תמלוגים ושימוש במשאבי טבע</w:t>
      </w:r>
      <w:r>
        <w:rPr>
          <w:rFonts w:cs="David" w:hint="cs"/>
          <w:szCs w:val="24"/>
          <w:rtl/>
        </w:rPr>
        <w:tab/>
      </w:r>
      <w:r>
        <w:rPr>
          <w:rFonts w:cs="David" w:hint="cs"/>
          <w:szCs w:val="24"/>
          <w:rtl/>
        </w:rPr>
        <w:tab/>
        <w:t>123</w:t>
      </w:r>
    </w:p>
    <w:p w:rsidR="00000000">
      <w:pPr>
        <w:tabs>
          <w:tab w:val="right" w:leader="dot" w:pos="6237"/>
          <w:tab w:val="left" w:pos="6350"/>
        </w:tabs>
        <w:ind w:left="397" w:right="851"/>
        <w:jc w:val="left"/>
        <w:rPr>
          <w:rFonts w:cs="David" w:hint="cs"/>
          <w:szCs w:val="24"/>
        </w:rPr>
      </w:pPr>
      <w:r>
        <w:rPr>
          <w:rFonts w:cs="David" w:hint="cs"/>
          <w:szCs w:val="24"/>
          <w:rtl/>
        </w:rPr>
        <w:t>החלטות בתחום המיסים - תהליך קבלתן והתאמתן ליעדי הממשלה</w:t>
      </w:r>
      <w:r>
        <w:rPr>
          <w:rFonts w:cs="David" w:hint="cs"/>
          <w:szCs w:val="24"/>
          <w:rtl/>
        </w:rPr>
        <w:tab/>
      </w:r>
      <w:r>
        <w:rPr>
          <w:rFonts w:cs="David" w:hint="cs"/>
          <w:szCs w:val="24"/>
          <w:rtl/>
        </w:rPr>
        <w:tab/>
        <w:t>145</w:t>
      </w:r>
    </w:p>
    <w:p w:rsidR="00000000">
      <w:pPr>
        <w:tabs>
          <w:tab w:val="right" w:leader="dot" w:pos="6237"/>
          <w:tab w:val="left" w:pos="6350"/>
        </w:tabs>
        <w:ind w:left="397" w:right="851"/>
        <w:jc w:val="left"/>
        <w:rPr>
          <w:rFonts w:cs="David" w:hint="cs"/>
          <w:b/>
          <w:bCs/>
          <w:szCs w:val="24"/>
          <w:rtl/>
        </w:rPr>
      </w:pPr>
      <w:r>
        <w:rPr>
          <w:rFonts w:cs="David" w:hint="cs"/>
          <w:b/>
          <w:bCs/>
          <w:szCs w:val="24"/>
          <w:rtl/>
        </w:rPr>
        <w:t>רשות המיסים בישראל</w:t>
      </w:r>
    </w:p>
    <w:p w:rsidR="00000000">
      <w:pPr>
        <w:tabs>
          <w:tab w:val="right" w:leader="dot" w:pos="6237"/>
          <w:tab w:val="left" w:pos="6350"/>
        </w:tabs>
        <w:ind w:left="397" w:right="851"/>
        <w:jc w:val="left"/>
        <w:rPr>
          <w:rFonts w:cs="David" w:hint="cs"/>
          <w:szCs w:val="24"/>
        </w:rPr>
      </w:pPr>
      <w:r>
        <w:rPr>
          <w:rFonts w:cs="David" w:hint="cs"/>
          <w:szCs w:val="24"/>
          <w:rtl/>
        </w:rPr>
        <w:t xml:space="preserve">הטבות המס הניתנות מכוח החוק לעידוד השקעות הון, </w:t>
      </w:r>
      <w:r>
        <w:rPr>
          <w:rFonts w:cs="David"/>
          <w:szCs w:val="24"/>
          <w:rtl/>
        </w:rPr>
        <w:br/>
      </w:r>
      <w:r>
        <w:rPr>
          <w:rFonts w:cs="David" w:hint="cs"/>
          <w:szCs w:val="24"/>
          <w:rtl/>
        </w:rPr>
        <w:t>התשי"ט-1959</w:t>
      </w:r>
      <w:r>
        <w:rPr>
          <w:rFonts w:cs="David" w:hint="cs"/>
          <w:szCs w:val="24"/>
          <w:rtl/>
        </w:rPr>
        <w:tab/>
      </w:r>
      <w:r>
        <w:rPr>
          <w:rFonts w:cs="David" w:hint="cs"/>
          <w:szCs w:val="24"/>
          <w:rtl/>
        </w:rPr>
        <w:tab/>
        <w:t>171</w:t>
      </w:r>
    </w:p>
    <w:p w:rsidR="00000000">
      <w:pPr>
        <w:tabs>
          <w:tab w:val="right" w:leader="dot" w:pos="6237"/>
          <w:tab w:val="left" w:pos="6350"/>
        </w:tabs>
        <w:ind w:left="397" w:right="851"/>
        <w:jc w:val="left"/>
        <w:rPr>
          <w:rFonts w:cs="David" w:hint="cs"/>
          <w:szCs w:val="24"/>
        </w:rPr>
      </w:pPr>
      <w:r>
        <w:rPr>
          <w:rFonts w:cs="David" w:hint="cs"/>
          <w:szCs w:val="24"/>
          <w:rtl/>
        </w:rPr>
        <w:t xml:space="preserve">פעילות המערכת </w:t>
      </w:r>
      <w:r>
        <w:rPr>
          <w:rFonts w:cs="David" w:hint="cs"/>
          <w:szCs w:val="24"/>
          <w:rtl/>
        </w:rPr>
        <w:t>החדשה לאיתור חשבוניות פיקטיביות</w:t>
      </w:r>
      <w:r>
        <w:rPr>
          <w:rFonts w:cs="David" w:hint="cs"/>
          <w:szCs w:val="24"/>
          <w:rtl/>
        </w:rPr>
        <w:tab/>
      </w:r>
      <w:r>
        <w:rPr>
          <w:rFonts w:cs="David" w:hint="cs"/>
          <w:szCs w:val="24"/>
          <w:rtl/>
        </w:rPr>
        <w:tab/>
        <w:t>191</w:t>
      </w:r>
    </w:p>
    <w:p w:rsidR="00000000">
      <w:pPr>
        <w:tabs>
          <w:tab w:val="right" w:leader="dot" w:pos="6237"/>
          <w:tab w:val="left" w:pos="6350"/>
        </w:tabs>
        <w:ind w:left="397" w:right="851"/>
        <w:jc w:val="left"/>
        <w:rPr>
          <w:rFonts w:cs="David" w:hint="cs"/>
          <w:szCs w:val="24"/>
        </w:rPr>
      </w:pPr>
      <w:r>
        <w:rPr>
          <w:rFonts w:cs="David" w:hint="cs"/>
          <w:szCs w:val="24"/>
          <w:rtl/>
        </w:rPr>
        <w:t>פעילות בית המכס בנמל התעופה בן גוריון למניעת הברחות</w:t>
      </w:r>
      <w:r>
        <w:rPr>
          <w:rFonts w:cs="David" w:hint="cs"/>
          <w:szCs w:val="24"/>
          <w:rtl/>
        </w:rPr>
        <w:tab/>
      </w:r>
      <w:r>
        <w:rPr>
          <w:rFonts w:cs="David" w:hint="cs"/>
          <w:szCs w:val="24"/>
          <w:rtl/>
        </w:rPr>
        <w:tab/>
        <w:t>207</w:t>
      </w:r>
    </w:p>
    <w:p w:rsidR="00000000">
      <w:pPr>
        <w:tabs>
          <w:tab w:val="right" w:leader="dot" w:pos="6237"/>
          <w:tab w:val="left" w:pos="6350"/>
        </w:tabs>
        <w:ind w:left="397" w:right="851"/>
        <w:jc w:val="left"/>
        <w:rPr>
          <w:rFonts w:cs="David" w:hint="cs"/>
          <w:szCs w:val="24"/>
        </w:rPr>
      </w:pPr>
      <w:r>
        <w:rPr>
          <w:rFonts w:cs="David" w:hint="cs"/>
          <w:szCs w:val="24"/>
          <w:rtl/>
        </w:rPr>
        <w:t>ביקורת על ניהול פנקסים</w:t>
      </w:r>
      <w:r>
        <w:rPr>
          <w:rFonts w:cs="David" w:hint="cs"/>
          <w:szCs w:val="24"/>
          <w:rtl/>
        </w:rPr>
        <w:tab/>
      </w:r>
      <w:r>
        <w:rPr>
          <w:rFonts w:cs="David" w:hint="cs"/>
          <w:szCs w:val="24"/>
          <w:rtl/>
        </w:rPr>
        <w:tab/>
        <w:t>217</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משרד האנרגיה והמים</w:t>
      </w:r>
      <w:r>
        <w:rPr>
          <w:rFonts w:cs="David" w:hint="cs"/>
          <w:szCs w:val="24"/>
          <w:rtl/>
        </w:rPr>
        <w:tab/>
      </w:r>
      <w:r>
        <w:rPr>
          <w:rFonts w:cs="David" w:hint="cs"/>
          <w:szCs w:val="24"/>
          <w:rtl/>
        </w:rPr>
        <w:tab/>
        <w:t>229</w:t>
      </w:r>
    </w:p>
    <w:p w:rsidR="00000000">
      <w:pPr>
        <w:tabs>
          <w:tab w:val="right" w:leader="dot" w:pos="6237"/>
          <w:tab w:val="left" w:pos="6350"/>
        </w:tabs>
        <w:ind w:left="397" w:right="851"/>
        <w:jc w:val="left"/>
        <w:rPr>
          <w:rFonts w:cs="David" w:hint="cs"/>
          <w:szCs w:val="24"/>
        </w:rPr>
      </w:pPr>
      <w:r>
        <w:rPr>
          <w:rFonts w:cs="David" w:hint="cs"/>
          <w:szCs w:val="24"/>
          <w:rtl/>
        </w:rPr>
        <w:t>בטיחות מערך הגז הפחמימני המעובה</w:t>
      </w:r>
      <w:r>
        <w:rPr>
          <w:rFonts w:cs="David" w:hint="cs"/>
          <w:szCs w:val="24"/>
          <w:rtl/>
        </w:rPr>
        <w:tab/>
      </w:r>
      <w:r>
        <w:rPr>
          <w:rFonts w:cs="David" w:hint="cs"/>
          <w:szCs w:val="24"/>
          <w:rtl/>
        </w:rPr>
        <w:tab/>
        <w:t>231</w:t>
      </w:r>
    </w:p>
    <w:p w:rsidR="00000000">
      <w:pPr>
        <w:tabs>
          <w:tab w:val="right" w:leader="dot" w:pos="6237"/>
          <w:tab w:val="left" w:pos="6350"/>
        </w:tabs>
        <w:ind w:left="397" w:right="851"/>
        <w:jc w:val="left"/>
        <w:rPr>
          <w:rFonts w:cs="David" w:hint="cs"/>
          <w:szCs w:val="24"/>
        </w:rPr>
      </w:pPr>
      <w:r>
        <w:rPr>
          <w:rFonts w:cs="David" w:hint="cs"/>
          <w:szCs w:val="24"/>
          <w:rtl/>
        </w:rPr>
        <w:t>הבטחת אספקת גז טבעי</w:t>
      </w:r>
      <w:r>
        <w:rPr>
          <w:rFonts w:cs="David" w:hint="cs"/>
          <w:szCs w:val="24"/>
          <w:rtl/>
        </w:rPr>
        <w:tab/>
      </w:r>
      <w:r>
        <w:rPr>
          <w:rFonts w:cs="David" w:hint="cs"/>
          <w:szCs w:val="24"/>
          <w:rtl/>
        </w:rPr>
        <w:tab/>
        <w:t>251</w:t>
      </w:r>
    </w:p>
    <w:p w:rsidR="00000000">
      <w:pPr>
        <w:tabs>
          <w:tab w:val="right" w:leader="dot" w:pos="6237"/>
          <w:tab w:val="left" w:pos="6350"/>
        </w:tabs>
        <w:ind w:left="397" w:right="851"/>
        <w:jc w:val="left"/>
        <w:rPr>
          <w:rFonts w:cs="David" w:hint="cs"/>
          <w:szCs w:val="24"/>
        </w:rPr>
      </w:pPr>
      <w:r>
        <w:rPr>
          <w:rFonts w:cs="David" w:hint="cs"/>
          <w:szCs w:val="24"/>
          <w:rtl/>
        </w:rPr>
        <w:t>הטיפול בתחנות דלק פירטיות ובתחנות דלק פנימיות</w:t>
      </w:r>
      <w:r>
        <w:rPr>
          <w:rFonts w:cs="David" w:hint="cs"/>
          <w:szCs w:val="24"/>
          <w:rtl/>
        </w:rPr>
        <w:tab/>
      </w:r>
      <w:r>
        <w:rPr>
          <w:rFonts w:cs="David" w:hint="cs"/>
          <w:szCs w:val="24"/>
          <w:rtl/>
        </w:rPr>
        <w:tab/>
        <w:t>2</w:t>
      </w:r>
      <w:r>
        <w:rPr>
          <w:rFonts w:cs="David" w:hint="cs"/>
          <w:szCs w:val="24"/>
          <w:rtl/>
        </w:rPr>
        <w:t>83</w:t>
      </w:r>
    </w:p>
    <w:p w:rsidR="00000000">
      <w:pPr>
        <w:keepNext/>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משרד הבינוי והשיכון</w:t>
      </w:r>
      <w:r>
        <w:rPr>
          <w:rFonts w:cs="David" w:hint="cs"/>
          <w:szCs w:val="24"/>
          <w:rtl/>
        </w:rPr>
        <w:tab/>
      </w:r>
      <w:r>
        <w:rPr>
          <w:rFonts w:cs="David" w:hint="cs"/>
          <w:szCs w:val="24"/>
          <w:rtl/>
        </w:rPr>
        <w:tab/>
        <w:t>301</w:t>
      </w:r>
    </w:p>
    <w:p w:rsidR="00000000">
      <w:pPr>
        <w:tabs>
          <w:tab w:val="right" w:leader="dot" w:pos="6237"/>
          <w:tab w:val="left" w:pos="6350"/>
        </w:tabs>
        <w:ind w:left="397" w:right="851"/>
        <w:jc w:val="left"/>
        <w:rPr>
          <w:rFonts w:cs="David" w:hint="cs"/>
          <w:szCs w:val="24"/>
        </w:rPr>
      </w:pPr>
      <w:r>
        <w:rPr>
          <w:rFonts w:cs="David" w:hint="cs"/>
          <w:szCs w:val="24"/>
          <w:rtl/>
        </w:rPr>
        <w:t>דירות דיור ציבורי שהושכרו שלא לזכאי דיור ציבורי</w:t>
      </w:r>
      <w:r>
        <w:rPr>
          <w:rFonts w:cs="David" w:hint="cs"/>
          <w:szCs w:val="24"/>
          <w:rtl/>
        </w:rPr>
        <w:tab/>
      </w:r>
      <w:r>
        <w:rPr>
          <w:rFonts w:cs="David" w:hint="cs"/>
          <w:szCs w:val="24"/>
          <w:rtl/>
        </w:rPr>
        <w:tab/>
        <w:t>303</w:t>
      </w:r>
    </w:p>
    <w:p w:rsidR="00000000">
      <w:pPr>
        <w:tabs>
          <w:tab w:val="right" w:leader="dot" w:pos="6237"/>
          <w:tab w:val="left" w:pos="6350"/>
        </w:tabs>
        <w:ind w:left="397" w:right="851"/>
        <w:jc w:val="left"/>
        <w:rPr>
          <w:rFonts w:cs="David" w:hint="cs"/>
          <w:b/>
          <w:bCs/>
          <w:szCs w:val="24"/>
        </w:rPr>
      </w:pPr>
      <w:r>
        <w:rPr>
          <w:rFonts w:cs="David" w:hint="cs"/>
          <w:b/>
          <w:bCs/>
          <w:szCs w:val="24"/>
          <w:rtl/>
        </w:rPr>
        <w:t>רשות מקרקעי ישראל</w:t>
      </w:r>
    </w:p>
    <w:p w:rsidR="00000000">
      <w:pPr>
        <w:tabs>
          <w:tab w:val="right" w:leader="dot" w:pos="6237"/>
          <w:tab w:val="left" w:pos="6350"/>
        </w:tabs>
        <w:ind w:left="397" w:right="851"/>
        <w:jc w:val="left"/>
        <w:rPr>
          <w:rFonts w:cs="David" w:hint="cs"/>
          <w:szCs w:val="24"/>
        </w:rPr>
      </w:pPr>
      <w:r>
        <w:rPr>
          <w:rFonts w:cs="David" w:hint="cs"/>
          <w:szCs w:val="24"/>
          <w:rtl/>
        </w:rPr>
        <w:t>סדרי העבודה של שר הבינוי והשיכון ורשות מקרקעי ישראל</w:t>
      </w:r>
      <w:r>
        <w:rPr>
          <w:rFonts w:cs="David" w:hint="cs"/>
          <w:szCs w:val="24"/>
          <w:rtl/>
        </w:rPr>
        <w:tab/>
      </w:r>
      <w:r>
        <w:rPr>
          <w:rFonts w:cs="David" w:hint="cs"/>
          <w:szCs w:val="24"/>
          <w:rtl/>
        </w:rPr>
        <w:tab/>
        <w:t>357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הכלכלה</w:t>
      </w:r>
      <w:r>
        <w:rPr>
          <w:rFonts w:cs="David" w:hint="cs"/>
          <w:szCs w:val="24"/>
          <w:rtl/>
        </w:rPr>
        <w:tab/>
      </w:r>
      <w:r>
        <w:rPr>
          <w:rFonts w:cs="David" w:hint="cs"/>
          <w:szCs w:val="24"/>
          <w:rtl/>
        </w:rPr>
        <w:tab/>
        <w:t>381</w:t>
      </w:r>
    </w:p>
    <w:p w:rsidR="00000000">
      <w:pPr>
        <w:tabs>
          <w:tab w:val="right" w:leader="dot" w:pos="6237"/>
          <w:tab w:val="left" w:pos="6350"/>
        </w:tabs>
        <w:ind w:left="397" w:right="851"/>
        <w:jc w:val="left"/>
        <w:rPr>
          <w:rFonts w:cs="David" w:hint="cs"/>
          <w:szCs w:val="24"/>
        </w:rPr>
      </w:pPr>
      <w:r>
        <w:rPr>
          <w:rFonts w:cs="David" w:hint="cs"/>
          <w:szCs w:val="24"/>
          <w:rtl/>
        </w:rPr>
        <w:t>תכנון, הקמה ופיתוח של פארקי תעשייה בפריפריה</w:t>
      </w:r>
      <w:r>
        <w:rPr>
          <w:rFonts w:cs="David" w:hint="cs"/>
          <w:szCs w:val="24"/>
          <w:rtl/>
        </w:rPr>
        <w:tab/>
      </w:r>
      <w:r>
        <w:rPr>
          <w:rFonts w:cs="David" w:hint="cs"/>
          <w:szCs w:val="24"/>
          <w:rtl/>
        </w:rPr>
        <w:tab/>
        <w:t>383</w:t>
      </w:r>
    </w:p>
    <w:p w:rsidR="00000000">
      <w:pPr>
        <w:pStyle w:val="Header"/>
        <w:tabs>
          <w:tab w:val="clear" w:pos="4153"/>
          <w:tab w:val="clear" w:pos="8306"/>
        </w:tabs>
        <w:ind w:left="794"/>
        <w:jc w:val="left"/>
        <w:rPr>
          <w:rFonts w:cs="David"/>
          <w:b/>
          <w:bCs/>
          <w:szCs w:val="24"/>
        </w:rPr>
      </w:pPr>
      <w:r>
        <w:rPr>
          <w:rFonts w:cs="David" w:hint="cs"/>
          <w:b/>
          <w:bCs/>
          <w:szCs w:val="24"/>
          <w:rtl/>
        </w:rPr>
        <w:t>ממצאי מעקב</w:t>
      </w:r>
    </w:p>
    <w:p w:rsidR="00000000">
      <w:pPr>
        <w:tabs>
          <w:tab w:val="right" w:leader="dot" w:pos="6237"/>
          <w:tab w:val="left" w:pos="6350"/>
        </w:tabs>
        <w:ind w:left="1191" w:right="851"/>
        <w:jc w:val="left"/>
        <w:rPr>
          <w:rFonts w:cs="David" w:hint="cs"/>
          <w:szCs w:val="24"/>
        </w:rPr>
      </w:pPr>
      <w:r>
        <w:rPr>
          <w:rFonts w:cs="David" w:hint="cs"/>
          <w:szCs w:val="24"/>
          <w:rtl/>
        </w:rPr>
        <w:t>הפיקוח על משקלות ומידות</w:t>
      </w:r>
      <w:r>
        <w:rPr>
          <w:rFonts w:cs="David" w:hint="cs"/>
          <w:szCs w:val="24"/>
          <w:rtl/>
        </w:rPr>
        <w:tab/>
      </w:r>
      <w:r>
        <w:rPr>
          <w:rFonts w:cs="David" w:hint="cs"/>
          <w:szCs w:val="24"/>
          <w:rtl/>
        </w:rPr>
        <w:tab/>
        <w:t>411</w:t>
      </w:r>
    </w:p>
    <w:p w:rsidR="00000000">
      <w:pPr>
        <w:tabs>
          <w:tab w:val="right" w:leader="dot" w:pos="6237"/>
          <w:tab w:val="left" w:pos="6350"/>
        </w:tabs>
        <w:ind w:left="397" w:right="851"/>
        <w:jc w:val="left"/>
        <w:rPr>
          <w:rFonts w:cs="David" w:hint="cs"/>
          <w:szCs w:val="24"/>
        </w:rPr>
      </w:pPr>
      <w:r>
        <w:rPr>
          <w:rFonts w:cs="David" w:hint="cs"/>
          <w:szCs w:val="24"/>
          <w:rtl/>
        </w:rPr>
        <w:t>הגנת הצרכן וסחר הוגן</w:t>
      </w:r>
      <w:r>
        <w:rPr>
          <w:rFonts w:cs="David" w:hint="cs"/>
          <w:szCs w:val="24"/>
          <w:rtl/>
        </w:rPr>
        <w:tab/>
      </w:r>
      <w:r>
        <w:rPr>
          <w:rFonts w:cs="David" w:hint="cs"/>
          <w:szCs w:val="24"/>
          <w:rtl/>
        </w:rPr>
        <w:tab/>
        <w:t>433</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המשרד להגנת הסביבה</w:t>
      </w:r>
      <w:r>
        <w:rPr>
          <w:rStyle w:val="FootnoteReference"/>
          <w:b/>
          <w:bCs/>
          <w:sz w:val="28"/>
          <w:szCs w:val="28"/>
          <w:lang w:eastAsia="he-IL"/>
        </w:rPr>
        <w:footnoteReference w:id="2"/>
      </w:r>
    </w:p>
    <w:p w:rsidR="00000000">
      <w:pPr>
        <w:tabs>
          <w:tab w:val="right" w:leader="dot" w:pos="6237"/>
          <w:tab w:val="left" w:pos="6350"/>
        </w:tabs>
        <w:ind w:left="397" w:right="851"/>
        <w:jc w:val="left"/>
        <w:rPr>
          <w:rFonts w:cs="David" w:hint="cs"/>
          <w:szCs w:val="24"/>
        </w:rPr>
      </w:pPr>
      <w:r>
        <w:rPr>
          <w:rFonts w:cs="David" w:hint="cs"/>
          <w:szCs w:val="24"/>
          <w:rtl/>
        </w:rPr>
        <w:t>מוכנות והיערכות להשפעות סביבתיות של קידוחי גז ונפט בים</w:t>
      </w:r>
      <w:r>
        <w:rPr>
          <w:rFonts w:cs="David" w:hint="cs"/>
          <w:szCs w:val="24"/>
          <w:rtl/>
        </w:rPr>
        <w:tab/>
      </w:r>
      <w:r>
        <w:rPr>
          <w:rFonts w:cs="David" w:hint="cs"/>
          <w:szCs w:val="24"/>
          <w:rtl/>
        </w:rPr>
        <w:tab/>
        <w:t>463</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משרד התחבורה, התשתיות הלאומיות והבטיחות בדרכים</w:t>
      </w:r>
    </w:p>
    <w:p w:rsidR="00000000">
      <w:pPr>
        <w:tabs>
          <w:tab w:val="right" w:leader="dot" w:pos="6237"/>
          <w:tab w:val="left" w:pos="6350"/>
        </w:tabs>
        <w:ind w:left="397" w:right="851"/>
        <w:jc w:val="left"/>
        <w:rPr>
          <w:rFonts w:cs="David"/>
          <w:szCs w:val="24"/>
        </w:rPr>
      </w:pPr>
      <w:r>
        <w:rPr>
          <w:rFonts w:cs="David" w:hint="cs"/>
          <w:szCs w:val="24"/>
          <w:rtl/>
        </w:rPr>
        <w:t>ארגון מחדש בתחבורה הציבורית במטרופולין תל אביב</w:t>
      </w:r>
      <w:r>
        <w:rPr>
          <w:rFonts w:cs="David" w:hint="cs"/>
          <w:szCs w:val="24"/>
          <w:rtl/>
        </w:rPr>
        <w:tab/>
      </w:r>
      <w:r>
        <w:rPr>
          <w:rFonts w:cs="David" w:hint="cs"/>
          <w:szCs w:val="24"/>
          <w:rtl/>
        </w:rPr>
        <w:tab/>
        <w:t>499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התיירות</w:t>
      </w:r>
    </w:p>
    <w:p w:rsidR="00000000">
      <w:pPr>
        <w:tabs>
          <w:tab w:val="right" w:leader="dot" w:pos="6237"/>
          <w:tab w:val="left" w:pos="6350"/>
        </w:tabs>
        <w:ind w:left="397" w:right="851"/>
        <w:jc w:val="left"/>
        <w:rPr>
          <w:rFonts w:cs="David"/>
          <w:szCs w:val="24"/>
        </w:rPr>
      </w:pPr>
      <w:r>
        <w:rPr>
          <w:rFonts w:cs="David" w:hint="cs"/>
          <w:szCs w:val="24"/>
          <w:rtl/>
        </w:rPr>
        <w:t>השתתפות המשרד במימון אירועים</w:t>
      </w:r>
      <w:r>
        <w:rPr>
          <w:rFonts w:cs="David" w:hint="cs"/>
          <w:szCs w:val="24"/>
          <w:rtl/>
        </w:rPr>
        <w:tab/>
      </w:r>
      <w:r>
        <w:rPr>
          <w:rFonts w:cs="David" w:hint="cs"/>
          <w:szCs w:val="24"/>
          <w:rtl/>
        </w:rPr>
        <w:tab/>
        <w:t>52</w:t>
      </w:r>
      <w:r>
        <w:rPr>
          <w:rFonts w:cs="David" w:hint="cs"/>
          <w:szCs w:val="24"/>
          <w:rtl/>
        </w:rPr>
        <w:t>5</w:t>
      </w:r>
    </w:p>
    <w:p w:rsidR="00000000">
      <w:pPr>
        <w:pStyle w:val="KOT2"/>
        <w:tabs>
          <w:tab w:val="right" w:leader="dot" w:pos="6237"/>
          <w:tab w:val="left" w:pos="6350"/>
        </w:tabs>
        <w:spacing w:before="360" w:after="120"/>
        <w:rPr>
          <w:rFonts w:hint="cs"/>
          <w:rtl/>
        </w:rPr>
      </w:pPr>
      <w:r>
        <w:rPr>
          <w:rFonts w:hint="cs"/>
          <w:rtl/>
        </w:rPr>
        <w:t>פרק שלישי - מוסדות המדינה,</w:t>
      </w:r>
      <w:r>
        <w:br/>
      </w:r>
      <w:r>
        <w:rPr>
          <w:rFonts w:hint="cs"/>
          <w:rtl/>
        </w:rPr>
        <w:t>חברות ממשלתיות ותאגידים</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אגד - אגודה שיתופית לתחבורה בישראל בע"מ</w:t>
      </w:r>
    </w:p>
    <w:p w:rsidR="00000000">
      <w:pPr>
        <w:tabs>
          <w:tab w:val="right" w:leader="dot" w:pos="6237"/>
          <w:tab w:val="left" w:pos="6350"/>
        </w:tabs>
        <w:ind w:left="397" w:right="851"/>
        <w:jc w:val="left"/>
        <w:rPr>
          <w:rFonts w:cs="David"/>
          <w:szCs w:val="24"/>
        </w:rPr>
      </w:pPr>
      <w:r>
        <w:rPr>
          <w:rFonts w:cs="David" w:hint="cs"/>
          <w:szCs w:val="24"/>
          <w:rtl/>
        </w:rPr>
        <w:t>הסכמי סובסידיה בין המדינה לאגד</w:t>
      </w:r>
      <w:r>
        <w:rPr>
          <w:rFonts w:cs="David" w:hint="cs"/>
          <w:szCs w:val="24"/>
          <w:rtl/>
        </w:rPr>
        <w:tab/>
      </w:r>
      <w:r>
        <w:rPr>
          <w:rFonts w:cs="David" w:hint="cs"/>
          <w:szCs w:val="24"/>
          <w:rtl/>
        </w:rPr>
        <w:tab/>
        <w:t>585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דן - חברה לתחבורה ציבורית בע"מ</w:t>
      </w:r>
    </w:p>
    <w:p w:rsidR="00000000">
      <w:pPr>
        <w:tabs>
          <w:tab w:val="right" w:leader="dot" w:pos="6237"/>
          <w:tab w:val="left" w:pos="6350"/>
        </w:tabs>
        <w:ind w:left="397" w:right="851"/>
        <w:jc w:val="left"/>
        <w:rPr>
          <w:rFonts w:cs="David" w:hint="cs"/>
          <w:szCs w:val="24"/>
          <w:rtl/>
        </w:rPr>
      </w:pPr>
      <w:r>
        <w:rPr>
          <w:rFonts w:cs="David" w:hint="cs"/>
          <w:szCs w:val="24"/>
          <w:rtl/>
        </w:rPr>
        <w:t>סדרי רכישת אוטובוסים</w:t>
      </w:r>
      <w:r>
        <w:rPr>
          <w:rFonts w:cs="David" w:hint="cs"/>
          <w:szCs w:val="24"/>
          <w:rtl/>
        </w:rPr>
        <w:tab/>
      </w:r>
      <w:r>
        <w:rPr>
          <w:rFonts w:cs="David" w:hint="cs"/>
          <w:szCs w:val="24"/>
          <w:rtl/>
        </w:rPr>
        <w:tab/>
        <w:t>601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חברת דואר ישראל בע"מ</w:t>
      </w:r>
    </w:p>
    <w:p w:rsidR="00000000">
      <w:pPr>
        <w:tabs>
          <w:tab w:val="right" w:leader="dot" w:pos="6237"/>
          <w:tab w:val="left" w:pos="6350"/>
        </w:tabs>
        <w:ind w:left="397" w:right="851"/>
        <w:jc w:val="left"/>
        <w:rPr>
          <w:rFonts w:cs="David" w:hint="cs"/>
          <w:szCs w:val="24"/>
        </w:rPr>
      </w:pPr>
      <w:r>
        <w:rPr>
          <w:rFonts w:cs="David" w:hint="cs"/>
          <w:szCs w:val="24"/>
          <w:rtl/>
        </w:rPr>
        <w:t>עניינים כספיים בחברה</w:t>
      </w:r>
      <w:r>
        <w:rPr>
          <w:rFonts w:cs="David" w:hint="cs"/>
          <w:szCs w:val="24"/>
          <w:rtl/>
        </w:rPr>
        <w:tab/>
      </w:r>
      <w:r>
        <w:rPr>
          <w:rFonts w:cs="David" w:hint="cs"/>
          <w:szCs w:val="24"/>
          <w:rtl/>
        </w:rPr>
        <w:tab/>
        <w:t>615</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חברת נמל חיפה בע"מ</w:t>
      </w:r>
    </w:p>
    <w:p w:rsidR="00000000">
      <w:pPr>
        <w:tabs>
          <w:tab w:val="right" w:leader="dot" w:pos="6237"/>
          <w:tab w:val="left" w:pos="6350"/>
        </w:tabs>
        <w:ind w:left="397" w:right="851"/>
        <w:jc w:val="left"/>
        <w:rPr>
          <w:rFonts w:cs="David" w:hint="cs"/>
          <w:szCs w:val="24"/>
        </w:rPr>
      </w:pPr>
      <w:r>
        <w:rPr>
          <w:rFonts w:cs="David" w:hint="cs"/>
          <w:szCs w:val="24"/>
          <w:rtl/>
        </w:rPr>
        <w:t>היבט</w:t>
      </w:r>
      <w:r>
        <w:rPr>
          <w:rFonts w:cs="David" w:hint="cs"/>
          <w:szCs w:val="24"/>
          <w:rtl/>
        </w:rPr>
        <w:t>ים בבטיחות בתפעול</w:t>
      </w:r>
      <w:r>
        <w:rPr>
          <w:rFonts w:cs="David" w:hint="cs"/>
          <w:szCs w:val="24"/>
          <w:rtl/>
        </w:rPr>
        <w:tab/>
      </w:r>
      <w:r>
        <w:rPr>
          <w:rFonts w:cs="David" w:hint="cs"/>
          <w:szCs w:val="24"/>
          <w:rtl/>
        </w:rPr>
        <w:tab/>
        <w:t>645</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 xml:space="preserve">נת"ע - </w:t>
      </w:r>
      <w:r>
        <w:rPr>
          <w:rFonts w:cs="David"/>
          <w:b/>
          <w:bCs/>
          <w:sz w:val="28"/>
          <w:szCs w:val="28"/>
          <w:rtl/>
          <w:lang w:eastAsia="he-IL"/>
        </w:rPr>
        <w:br/>
      </w:r>
      <w:r>
        <w:rPr>
          <w:rFonts w:cs="David" w:hint="cs"/>
          <w:b/>
          <w:bCs/>
          <w:sz w:val="28"/>
          <w:szCs w:val="28"/>
          <w:rtl/>
          <w:lang w:eastAsia="he-IL"/>
        </w:rPr>
        <w:t>חברת נתיבי תחבורה עירוניים להסעת המונים בע"מ</w:t>
      </w:r>
    </w:p>
    <w:p w:rsidR="00000000">
      <w:pPr>
        <w:tabs>
          <w:tab w:val="right" w:leader="dot" w:pos="6237"/>
          <w:tab w:val="left" w:pos="6350"/>
        </w:tabs>
        <w:ind w:left="397" w:right="851"/>
        <w:jc w:val="left"/>
        <w:rPr>
          <w:rFonts w:cs="David" w:hint="cs"/>
          <w:szCs w:val="24"/>
        </w:rPr>
      </w:pPr>
      <w:r>
        <w:rPr>
          <w:rFonts w:cs="David" w:hint="cs"/>
          <w:szCs w:val="24"/>
          <w:rtl/>
        </w:rPr>
        <w:t>היערכות להקמת הרכבת הקלה במטרופולין תל-אביב</w:t>
      </w:r>
      <w:r>
        <w:rPr>
          <w:rFonts w:cs="David" w:hint="cs"/>
          <w:szCs w:val="24"/>
          <w:rtl/>
        </w:rPr>
        <w:tab/>
      </w:r>
      <w:r>
        <w:rPr>
          <w:rFonts w:cs="David" w:hint="cs"/>
          <w:szCs w:val="24"/>
          <w:rtl/>
        </w:rPr>
        <w:tab/>
        <w:t>667</w:t>
      </w:r>
    </w:p>
    <w:p w:rsidR="00000000">
      <w:pPr>
        <w:keepNext/>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רכבת ישראל בע"מ</w:t>
      </w:r>
    </w:p>
    <w:p w:rsidR="00000000">
      <w:pPr>
        <w:tabs>
          <w:tab w:val="right" w:leader="dot" w:pos="6237"/>
          <w:tab w:val="left" w:pos="6350"/>
        </w:tabs>
        <w:ind w:left="397" w:right="851"/>
        <w:jc w:val="left"/>
        <w:rPr>
          <w:rFonts w:cs="David" w:hint="cs"/>
          <w:szCs w:val="24"/>
        </w:rPr>
      </w:pPr>
      <w:r>
        <w:rPr>
          <w:rFonts w:cs="David" w:hint="cs"/>
          <w:szCs w:val="24"/>
          <w:rtl/>
        </w:rPr>
        <w:t>רכישת קרונות</w:t>
      </w:r>
      <w:r>
        <w:rPr>
          <w:rFonts w:cs="David" w:hint="cs"/>
          <w:szCs w:val="24"/>
          <w:rtl/>
        </w:rPr>
        <w:tab/>
      </w:r>
      <w:r>
        <w:rPr>
          <w:rFonts w:cs="David" w:hint="cs"/>
          <w:szCs w:val="24"/>
          <w:rtl/>
        </w:rPr>
        <w:tab/>
        <w:t>689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העמותה לתכנון, פיתוח ושימור אורבני - ירושלים</w:t>
      </w:r>
    </w:p>
    <w:p w:rsidR="00000000">
      <w:pPr>
        <w:tabs>
          <w:tab w:val="right" w:leader="dot" w:pos="6237"/>
          <w:tab w:val="left" w:pos="6350"/>
        </w:tabs>
        <w:ind w:left="397" w:right="851"/>
        <w:jc w:val="left"/>
        <w:rPr>
          <w:rFonts w:cs="David" w:hint="cs"/>
          <w:szCs w:val="24"/>
        </w:rPr>
      </w:pPr>
      <w:r>
        <w:rPr>
          <w:rFonts w:cs="David" w:hint="cs"/>
          <w:szCs w:val="24"/>
          <w:rtl/>
        </w:rPr>
        <w:t>סדרי ניהול בעמותה</w:t>
      </w:r>
      <w:r>
        <w:rPr>
          <w:rFonts w:cs="David" w:hint="cs"/>
          <w:szCs w:val="24"/>
          <w:rtl/>
        </w:rPr>
        <w:tab/>
      </w:r>
      <w:r>
        <w:rPr>
          <w:rFonts w:cs="David" w:hint="cs"/>
          <w:szCs w:val="24"/>
          <w:rtl/>
        </w:rPr>
        <w:tab/>
        <w:t>715</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הרשות הממשלתית למים ולביוב</w:t>
      </w:r>
      <w:r>
        <w:rPr>
          <w:rFonts w:cs="David" w:hint="cs"/>
          <w:szCs w:val="24"/>
          <w:rtl/>
        </w:rPr>
        <w:tab/>
      </w:r>
      <w:r>
        <w:rPr>
          <w:rFonts w:cs="David" w:hint="cs"/>
          <w:szCs w:val="24"/>
          <w:rtl/>
        </w:rPr>
        <w:tab/>
        <w:t>7</w:t>
      </w:r>
      <w:r>
        <w:rPr>
          <w:rFonts w:cs="David" w:hint="cs"/>
          <w:szCs w:val="24"/>
          <w:rtl/>
        </w:rPr>
        <w:t>37</w:t>
      </w:r>
    </w:p>
    <w:p w:rsidR="00000000">
      <w:pPr>
        <w:tabs>
          <w:tab w:val="right" w:leader="dot" w:pos="6237"/>
          <w:tab w:val="left" w:pos="6350"/>
        </w:tabs>
        <w:ind w:left="397" w:right="851"/>
        <w:jc w:val="left"/>
        <w:rPr>
          <w:rFonts w:cs="David" w:hint="cs"/>
          <w:szCs w:val="24"/>
        </w:rPr>
      </w:pPr>
      <w:r>
        <w:rPr>
          <w:rFonts w:cs="David" w:hint="cs"/>
          <w:szCs w:val="24"/>
          <w:rtl/>
        </w:rPr>
        <w:t>היבטים בהקמה ובתפעול של מפעלים להשבת קולחים</w:t>
      </w:r>
      <w:r>
        <w:rPr>
          <w:rFonts w:cs="David" w:hint="cs"/>
          <w:szCs w:val="24"/>
          <w:rtl/>
        </w:rPr>
        <w:tab/>
      </w:r>
      <w:r>
        <w:rPr>
          <w:rFonts w:cs="David" w:hint="cs"/>
          <w:szCs w:val="24"/>
          <w:rtl/>
        </w:rPr>
        <w:tab/>
        <w:t>739</w:t>
      </w:r>
    </w:p>
    <w:p w:rsidR="00000000">
      <w:pPr>
        <w:tabs>
          <w:tab w:val="right" w:leader="dot" w:pos="6237"/>
          <w:tab w:val="left" w:pos="6350"/>
        </w:tabs>
        <w:ind w:left="397" w:right="851"/>
        <w:jc w:val="left"/>
        <w:rPr>
          <w:rFonts w:cs="David" w:hint="cs"/>
          <w:szCs w:val="24"/>
        </w:rPr>
      </w:pPr>
      <w:r>
        <w:rPr>
          <w:rFonts w:cs="David" w:hint="cs"/>
          <w:szCs w:val="24"/>
          <w:rtl/>
        </w:rPr>
        <w:t>יחסי גומלין בין תאגידי המים והביוב לרשויות המקומיות</w:t>
      </w:r>
      <w:r>
        <w:rPr>
          <w:rFonts w:cs="David" w:hint="cs"/>
          <w:szCs w:val="24"/>
          <w:rtl/>
        </w:rPr>
        <w:tab/>
      </w:r>
      <w:r>
        <w:rPr>
          <w:rFonts w:cs="David" w:hint="cs"/>
          <w:szCs w:val="24"/>
          <w:rtl/>
        </w:rPr>
        <w:tab/>
        <w:t>763</w:t>
      </w:r>
    </w:p>
    <w:p w:rsidR="00000000">
      <w:pPr>
        <w:tabs>
          <w:tab w:val="right" w:leader="dot" w:pos="6237"/>
          <w:tab w:val="left" w:pos="6350"/>
        </w:tabs>
        <w:ind w:left="397" w:right="851"/>
        <w:jc w:val="left"/>
        <w:rPr>
          <w:rFonts w:cs="David" w:hint="cs"/>
          <w:szCs w:val="24"/>
        </w:rPr>
      </w:pPr>
      <w:r>
        <w:rPr>
          <w:rFonts w:cs="David" w:hint="cs"/>
          <w:szCs w:val="24"/>
          <w:rtl/>
        </w:rPr>
        <w:t>היערכות משק המים לשעת חירום</w:t>
      </w:r>
      <w:r>
        <w:rPr>
          <w:rFonts w:cs="David" w:hint="cs"/>
          <w:szCs w:val="24"/>
          <w:rtl/>
        </w:rPr>
        <w:tab/>
      </w:r>
      <w:r>
        <w:rPr>
          <w:rFonts w:cs="David" w:hint="cs"/>
          <w:szCs w:val="24"/>
          <w:rtl/>
        </w:rPr>
        <w:tab/>
        <w:t>793</w:t>
      </w:r>
    </w:p>
    <w:p w:rsidR="00000000">
      <w:pPr>
        <w:tabs>
          <w:tab w:val="right" w:leader="dot" w:pos="6237"/>
          <w:tab w:val="left" w:pos="6350"/>
        </w:tabs>
        <w:spacing w:line="360" w:lineRule="exact"/>
        <w:ind w:right="851"/>
        <w:jc w:val="left"/>
        <w:rPr>
          <w:rFonts w:cs="David" w:hint="cs"/>
          <w:b/>
          <w:bCs/>
          <w:sz w:val="28"/>
          <w:szCs w:val="28"/>
          <w:lang w:eastAsia="he-IL"/>
        </w:rPr>
      </w:pPr>
      <w:r>
        <w:rPr>
          <w:rFonts w:cs="David" w:hint="cs"/>
          <w:b/>
          <w:bCs/>
          <w:sz w:val="28"/>
          <w:szCs w:val="28"/>
          <w:rtl/>
          <w:lang w:eastAsia="he-IL"/>
        </w:rPr>
        <w:t>רשות שדות התעופה</w:t>
      </w:r>
    </w:p>
    <w:p w:rsidR="00000000">
      <w:pPr>
        <w:tabs>
          <w:tab w:val="right" w:leader="dot" w:pos="6237"/>
          <w:tab w:val="left" w:pos="6350"/>
        </w:tabs>
        <w:ind w:left="397" w:right="851"/>
        <w:jc w:val="left"/>
        <w:rPr>
          <w:rFonts w:cs="David" w:hint="cs"/>
          <w:szCs w:val="24"/>
        </w:rPr>
      </w:pPr>
      <w:r>
        <w:rPr>
          <w:rFonts w:cs="David" w:hint="cs"/>
          <w:szCs w:val="24"/>
          <w:rtl/>
        </w:rPr>
        <w:t>ביצוע פרויקטים ברשות</w:t>
      </w:r>
      <w:r>
        <w:rPr>
          <w:rFonts w:cs="David" w:hint="cs"/>
          <w:szCs w:val="24"/>
          <w:rtl/>
        </w:rPr>
        <w:tab/>
      </w:r>
      <w:r>
        <w:rPr>
          <w:rFonts w:cs="David" w:hint="cs"/>
          <w:szCs w:val="24"/>
          <w:rtl/>
        </w:rPr>
        <w:tab/>
        <w:t>807</w:t>
      </w:r>
    </w:p>
    <w:p w:rsidR="00000000">
      <w:pPr>
        <w:pStyle w:val="KOT2"/>
        <w:tabs>
          <w:tab w:val="right" w:leader="dot" w:pos="6237"/>
          <w:tab w:val="left" w:pos="6350"/>
        </w:tabs>
        <w:spacing w:before="360" w:after="120"/>
        <w:rPr>
          <w:rFonts w:hint="cs"/>
          <w:rtl/>
        </w:rPr>
      </w:pPr>
      <w:r>
        <w:rPr>
          <w:rFonts w:hint="cs"/>
          <w:rtl/>
        </w:rPr>
        <w:t>פרק רביעי - הרשות לשירותים ציבוריים - חשמל</w:t>
      </w:r>
    </w:p>
    <w:p w:rsidR="00000000">
      <w:pPr>
        <w:tabs>
          <w:tab w:val="right" w:leader="dot" w:pos="6237"/>
          <w:tab w:val="left" w:pos="6350"/>
        </w:tabs>
        <w:ind w:left="397" w:right="851"/>
        <w:jc w:val="left"/>
        <w:rPr>
          <w:rFonts w:cs="David" w:hint="cs"/>
          <w:szCs w:val="24"/>
        </w:rPr>
      </w:pPr>
      <w:r>
        <w:rPr>
          <w:rFonts w:cs="David" w:hint="cs"/>
          <w:szCs w:val="24"/>
          <w:rtl/>
        </w:rPr>
        <w:t>הטיפול במיזם פרטי</w:t>
      </w:r>
      <w:r>
        <w:rPr>
          <w:rFonts w:cs="David" w:hint="cs"/>
          <w:szCs w:val="24"/>
          <w:rtl/>
        </w:rPr>
        <w:tab/>
      </w:r>
      <w:r>
        <w:rPr>
          <w:rFonts w:cs="David" w:hint="cs"/>
          <w:szCs w:val="24"/>
          <w:rtl/>
        </w:rPr>
        <w:tab/>
        <w:t>829</w:t>
      </w:r>
    </w:p>
    <w:p w:rsidR="00000000">
      <w:pPr>
        <w:pStyle w:val="KOT2"/>
        <w:tabs>
          <w:tab w:val="right" w:leader="dot" w:pos="6237"/>
          <w:tab w:val="left" w:pos="6350"/>
        </w:tabs>
        <w:spacing w:before="360" w:after="120"/>
        <w:rPr>
          <w:rFonts w:hint="cs"/>
          <w:rtl/>
        </w:rPr>
      </w:pPr>
      <w:r>
        <w:rPr>
          <w:rFonts w:hint="cs"/>
          <w:rtl/>
        </w:rPr>
        <w:t>פרק ח</w:t>
      </w:r>
      <w:r>
        <w:rPr>
          <w:rFonts w:hint="cs"/>
          <w:rtl/>
        </w:rPr>
        <w:t>מישי - המשרד להגנת הסביבה</w:t>
      </w:r>
    </w:p>
    <w:p w:rsidR="00000000">
      <w:pPr>
        <w:pStyle w:val="Header"/>
        <w:tabs>
          <w:tab w:val="clear" w:pos="4153"/>
          <w:tab w:val="clear" w:pos="8306"/>
        </w:tabs>
        <w:ind w:left="794"/>
        <w:jc w:val="left"/>
        <w:rPr>
          <w:rFonts w:cs="David" w:hint="cs"/>
          <w:b/>
          <w:bCs/>
          <w:szCs w:val="24"/>
        </w:rPr>
      </w:pPr>
      <w:r>
        <w:rPr>
          <w:rFonts w:cs="David" w:hint="cs"/>
          <w:b/>
          <w:bCs/>
          <w:szCs w:val="24"/>
          <w:rtl/>
        </w:rPr>
        <w:t>ממצאי מעקב</w:t>
      </w:r>
    </w:p>
    <w:p w:rsidR="00000000">
      <w:pPr>
        <w:tabs>
          <w:tab w:val="right" w:leader="dot" w:pos="6237"/>
          <w:tab w:val="left" w:pos="6350"/>
        </w:tabs>
        <w:ind w:left="1191" w:right="851"/>
        <w:jc w:val="left"/>
        <w:rPr>
          <w:rFonts w:cs="David" w:hint="cs"/>
          <w:szCs w:val="24"/>
        </w:rPr>
      </w:pPr>
      <w:r>
        <w:rPr>
          <w:rFonts w:cs="David" w:hint="cs"/>
          <w:szCs w:val="24"/>
          <w:rtl/>
        </w:rPr>
        <w:t>הטיפול בחומרים מסוכנים</w:t>
      </w:r>
      <w:r>
        <w:rPr>
          <w:rFonts w:cs="David" w:hint="cs"/>
          <w:szCs w:val="24"/>
          <w:rtl/>
        </w:rPr>
        <w:tab/>
      </w:r>
      <w:r>
        <w:rPr>
          <w:rFonts w:cs="David" w:hint="cs"/>
          <w:szCs w:val="24"/>
          <w:rtl/>
        </w:rPr>
        <w:tab/>
        <w:t>847</w:t>
      </w:r>
    </w:p>
    <w:p w:rsidR="00000000">
      <w:pPr>
        <w:pStyle w:val="KOT2"/>
        <w:tabs>
          <w:tab w:val="right" w:leader="dot" w:pos="6237"/>
          <w:tab w:val="left" w:pos="6350"/>
        </w:tabs>
        <w:spacing w:before="360" w:after="120"/>
        <w:rPr>
          <w:rFonts w:hint="cs"/>
          <w:rtl/>
        </w:rPr>
      </w:pPr>
      <w:r>
        <w:rPr>
          <w:rFonts w:hint="cs"/>
          <w:rtl/>
        </w:rPr>
        <w:t>פרק שישי - מערכת הביטחון</w:t>
      </w:r>
    </w:p>
    <w:p w:rsidR="00000000">
      <w:pPr>
        <w:tabs>
          <w:tab w:val="right" w:leader="dot" w:pos="6237"/>
          <w:tab w:val="left" w:pos="6350"/>
        </w:tabs>
        <w:ind w:left="397" w:right="851"/>
        <w:jc w:val="left"/>
        <w:rPr>
          <w:rFonts w:cs="David"/>
          <w:szCs w:val="24"/>
        </w:rPr>
      </w:pPr>
      <w:r>
        <w:rPr>
          <w:rFonts w:cs="David" w:hint="cs"/>
          <w:szCs w:val="24"/>
          <w:rtl/>
        </w:rPr>
        <w:t>פרויקט לפיתוח מערכת</w:t>
      </w:r>
      <w:r>
        <w:rPr>
          <w:rFonts w:cs="David" w:hint="cs"/>
          <w:szCs w:val="24"/>
          <w:rtl/>
        </w:rPr>
        <w:tab/>
      </w:r>
      <w:r>
        <w:rPr>
          <w:rFonts w:cs="David" w:hint="cs"/>
          <w:szCs w:val="24"/>
          <w:rtl/>
        </w:rPr>
        <w:tab/>
        <w:t>869</w:t>
      </w:r>
    </w:p>
    <w:p w:rsidR="00000000">
      <w:pPr>
        <w:tabs>
          <w:tab w:val="right" w:leader="dot" w:pos="6237"/>
          <w:tab w:val="left" w:pos="6350"/>
        </w:tabs>
        <w:ind w:left="397" w:right="851"/>
        <w:jc w:val="left"/>
        <w:rPr>
          <w:rFonts w:cs="David" w:hint="cs"/>
          <w:szCs w:val="24"/>
        </w:rPr>
      </w:pPr>
      <w:r>
        <w:rPr>
          <w:rFonts w:cs="David"/>
          <w:szCs w:val="24"/>
        </w:rPr>
        <w:br w:type="page"/>
      </w:r>
    </w:p>
    <w:p w:rsidR="00000000">
      <w:pPr>
        <w:jc w:val="center"/>
        <w:rPr>
          <w:rFonts w:hint="cs"/>
          <w:sz w:val="16"/>
          <w:szCs w:val="16"/>
          <w:rtl/>
        </w:rPr>
      </w:pPr>
    </w:p>
    <w:p w:rsidR="00000000">
      <w:pPr>
        <w:spacing w:after="0"/>
        <w:jc w:val="center"/>
        <w:rPr>
          <w:rFonts w:hint="cs"/>
          <w:sz w:val="28"/>
          <w:szCs w:val="28"/>
          <w:rtl/>
        </w:rPr>
      </w:pPr>
      <w:r>
        <w:rPr>
          <w:rFonts w:ascii="Monotype Sorts" w:hAnsi="Monotype Sorts"/>
          <w:sz w:val="28"/>
          <w:szCs w:val="28"/>
        </w:rPr>
        <w:sym w:font="Monotype Sorts" w:char="F04F"/>
      </w:r>
    </w:p>
    <w:p w:rsidR="00000000">
      <w:pPr>
        <w:jc w:val="center"/>
        <w:rPr>
          <w:rFonts w:hint="cs"/>
          <w:sz w:val="16"/>
          <w:szCs w:val="16"/>
          <w:rtl/>
        </w:rPr>
      </w:pPr>
    </w:p>
    <w:p w:rsidR="00000000">
      <w:pPr>
        <w:pStyle w:val="KOT2"/>
        <w:keepNext w:val="0"/>
        <w:tabs>
          <w:tab w:val="right" w:leader="dot" w:pos="6237"/>
          <w:tab w:val="left" w:pos="6350"/>
        </w:tabs>
        <w:spacing w:before="240" w:after="120" w:line="280" w:lineRule="exact"/>
        <w:ind w:right="851"/>
        <w:jc w:val="left"/>
        <w:rPr>
          <w:rFonts w:hint="cs"/>
          <w:sz w:val="28"/>
          <w:szCs w:val="28"/>
          <w:rtl/>
        </w:rPr>
      </w:pPr>
      <w:r>
        <w:rPr>
          <w:rFonts w:hint="cs"/>
          <w:sz w:val="28"/>
          <w:szCs w:val="28"/>
          <w:rtl/>
        </w:rPr>
        <w:t>חוק יסוד: מבקר המדינה</w:t>
      </w:r>
      <w:r>
        <w:rPr>
          <w:rFonts w:hint="cs"/>
          <w:b w:val="0"/>
          <w:bCs w:val="0"/>
          <w:sz w:val="24"/>
          <w:szCs w:val="24"/>
          <w:rtl/>
        </w:rPr>
        <w:tab/>
      </w:r>
      <w:r>
        <w:rPr>
          <w:rFonts w:hint="cs"/>
          <w:b w:val="0"/>
          <w:bCs w:val="0"/>
          <w:sz w:val="24"/>
          <w:szCs w:val="24"/>
          <w:rtl/>
        </w:rPr>
        <w:tab/>
        <w:t>887</w:t>
      </w:r>
    </w:p>
    <w:p w:rsidR="00000000">
      <w:pPr>
        <w:pStyle w:val="KOT2"/>
        <w:keepNext w:val="0"/>
        <w:tabs>
          <w:tab w:val="right" w:leader="dot" w:pos="6237"/>
          <w:tab w:val="left" w:pos="6350"/>
        </w:tabs>
        <w:spacing w:before="240" w:after="240" w:line="200" w:lineRule="exact"/>
        <w:ind w:right="851"/>
        <w:jc w:val="left"/>
        <w:rPr>
          <w:rFonts w:hint="cs"/>
          <w:b w:val="0"/>
          <w:bCs w:val="0"/>
          <w:sz w:val="24"/>
          <w:szCs w:val="24"/>
          <w:rtl/>
        </w:rPr>
      </w:pPr>
      <w:r>
        <w:rPr>
          <w:rFonts w:hint="cs"/>
          <w:sz w:val="28"/>
          <w:szCs w:val="28"/>
          <w:rtl/>
        </w:rPr>
        <w:t>חוק מבקר המדינה, התשי"ח-1958 [נוסח משולב]</w:t>
      </w:r>
      <w:r>
        <w:rPr>
          <w:rFonts w:hint="cs"/>
          <w:b w:val="0"/>
          <w:bCs w:val="0"/>
          <w:sz w:val="24"/>
          <w:szCs w:val="24"/>
          <w:rtl/>
        </w:rPr>
        <w:tab/>
      </w:r>
      <w:r>
        <w:rPr>
          <w:rFonts w:hint="cs"/>
          <w:b w:val="0"/>
          <w:bCs w:val="0"/>
          <w:sz w:val="24"/>
          <w:szCs w:val="24"/>
          <w:rtl/>
        </w:rPr>
        <w:tab/>
        <w:t>889</w:t>
      </w:r>
    </w:p>
    <w:p w:rsidR="00000000">
      <w:pPr>
        <w:pStyle w:val="KOT2"/>
        <w:keepNext w:val="0"/>
        <w:tabs>
          <w:tab w:val="right" w:leader="dot" w:pos="6237"/>
          <w:tab w:val="left" w:pos="6350"/>
        </w:tabs>
        <w:spacing w:before="240" w:after="240" w:line="200" w:lineRule="exact"/>
        <w:ind w:right="851"/>
        <w:jc w:val="left"/>
        <w:rPr>
          <w:b w:val="0"/>
          <w:bCs w:val="0"/>
          <w:sz w:val="24"/>
          <w:szCs w:val="24"/>
          <w:rtl/>
        </w:rPr>
      </w:pPr>
    </w:p>
    <w:sectPr w:rsidSect="00CD635D">
      <w:footerReference w:type="even" r:id="rId8"/>
      <w:footerReference w:type="default" r:id="rId9"/>
      <w:pgSz w:w="11906" w:h="16838" w:code="9"/>
      <w:pgMar w:top="1758" w:right="2552" w:bottom="1985" w:left="2552" w:header="1247" w:footer="709"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abic 11 BT">
    <w:altName w:val="Times New Roman"/>
    <w:charset w:val="B2"/>
    <w:family w:val="auto"/>
    <w:pitch w:val="variable"/>
    <w:sig w:usb0="00002000"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35D" w:rsidP="00CD635D">
    <w:pPr>
      <w:pStyle w:val="Footer"/>
      <w:spacing w:after="0" w:line="240" w:lineRule="auto"/>
      <w:rPr>
        <w:rFonts w:hint="cs"/>
        <w:sz w:val="16"/>
        <w:szCs w:val="16"/>
        <w:rtl/>
      </w:rPr>
    </w:pPr>
    <w:r w:rsidRPr="00346473">
      <w:rPr>
        <w:sz w:val="16"/>
        <w:szCs w:val="16"/>
        <w:rtl/>
      </w:rPr>
      <w:t>שם הדוח:</w:t>
    </w:r>
    <w:r w:rsidRPr="00346473">
      <w:rPr>
        <w:rFonts w:hint="cs"/>
        <w:sz w:val="16"/>
        <w:szCs w:val="16"/>
        <w:rtl/>
      </w:rPr>
      <w:t xml:space="preserve"> </w:t>
    </w:r>
    <w:r>
      <w:rPr>
        <w:rFonts w:hint="cs"/>
        <w:sz w:val="16"/>
        <w:szCs w:val="16"/>
        <w:rtl/>
      </w:rPr>
      <w:t>שער ותוכן עניינים</w:t>
    </w:r>
  </w:p>
  <w:p w:rsidR="00CD635D" w:rsidRPr="00346473" w:rsidP="00CD635D">
    <w:pPr>
      <w:pStyle w:val="Footer"/>
      <w:spacing w:after="0" w:line="240" w:lineRule="auto"/>
      <w:rPr>
        <w:sz w:val="16"/>
        <w:szCs w:val="16"/>
        <w:rtl/>
      </w:rPr>
    </w:pPr>
    <w:r w:rsidRPr="00346473">
      <w:rPr>
        <w:sz w:val="16"/>
        <w:szCs w:val="16"/>
        <w:rtl/>
      </w:rPr>
      <w:t>מסגרת הפרסום:</w:t>
    </w:r>
    <w:r w:rsidRPr="00346473">
      <w:rPr>
        <w:rFonts w:hint="cs"/>
        <w:sz w:val="16"/>
        <w:szCs w:val="16"/>
        <w:rtl/>
      </w:rPr>
      <w:t xml:space="preserve"> דוח שנתי 64א</w:t>
    </w:r>
  </w:p>
  <w:p w:rsidR="00CD635D" w:rsidRPr="00346473" w:rsidP="00CD635D">
    <w:pPr>
      <w:pStyle w:val="Footer"/>
      <w:spacing w:after="0" w:line="240" w:lineRule="auto"/>
      <w:rPr>
        <w:sz w:val="16"/>
        <w:szCs w:val="16"/>
      </w:rPr>
    </w:pPr>
    <w:r w:rsidRPr="00346473">
      <w:rPr>
        <w:sz w:val="16"/>
        <w:szCs w:val="16"/>
        <w:rtl/>
      </w:rPr>
      <w:t>שנת פרסום:</w:t>
    </w:r>
    <w:r w:rsidRPr="00346473">
      <w:rPr>
        <w:rFonts w:hint="cs"/>
        <w:sz w:val="16"/>
        <w:szCs w:val="16"/>
        <w:rtl/>
      </w:rPr>
      <w:t xml:space="preserve"> </w:t>
    </w:r>
    <w:r w:rsidRPr="00346473">
      <w:rPr>
        <w:sz w:val="16"/>
        <w:szCs w:val="16"/>
        <w:rtl/>
      </w:rPr>
      <w:t>התשע"</w:t>
    </w:r>
    <w:r w:rsidRPr="00346473">
      <w:rPr>
        <w:rFonts w:hint="cs"/>
        <w:sz w:val="16"/>
        <w:szCs w:val="16"/>
        <w:rtl/>
      </w:rPr>
      <w:t>ג</w:t>
    </w:r>
    <w:r w:rsidRPr="00346473">
      <w:rPr>
        <w:sz w:val="16"/>
        <w:szCs w:val="16"/>
        <w:rtl/>
      </w:rPr>
      <w:t>-201</w:t>
    </w:r>
    <w:r w:rsidRPr="00346473">
      <w:rPr>
        <w:rFonts w:hint="cs"/>
        <w:sz w:val="16"/>
        <w:szCs w:val="16"/>
        <w:rtl/>
      </w:rPr>
      <w:t>3</w:t>
    </w:r>
  </w:p>
  <w:p w:rsidR="00CD635D" w:rsidRPr="00CD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35D" w:rsidP="00CD635D">
    <w:pPr>
      <w:pStyle w:val="Footer"/>
      <w:spacing w:after="0" w:line="240" w:lineRule="auto"/>
      <w:rPr>
        <w:rFonts w:hint="cs"/>
        <w:sz w:val="16"/>
        <w:szCs w:val="16"/>
        <w:rtl/>
      </w:rPr>
    </w:pPr>
    <w:r w:rsidRPr="00346473">
      <w:rPr>
        <w:sz w:val="16"/>
        <w:szCs w:val="16"/>
        <w:rtl/>
      </w:rPr>
      <w:t>שם הדוח:</w:t>
    </w:r>
    <w:r w:rsidRPr="00346473">
      <w:rPr>
        <w:rFonts w:hint="cs"/>
        <w:sz w:val="16"/>
        <w:szCs w:val="16"/>
        <w:rtl/>
      </w:rPr>
      <w:t xml:space="preserve"> </w:t>
    </w:r>
    <w:r>
      <w:rPr>
        <w:rFonts w:hint="cs"/>
        <w:sz w:val="16"/>
        <w:szCs w:val="16"/>
        <w:rtl/>
      </w:rPr>
      <w:t>שער ותוכן עניינים</w:t>
    </w:r>
  </w:p>
  <w:p w:rsidR="00CD635D" w:rsidRPr="00346473" w:rsidP="00CD635D">
    <w:pPr>
      <w:pStyle w:val="Footer"/>
      <w:spacing w:after="0" w:line="240" w:lineRule="auto"/>
      <w:rPr>
        <w:sz w:val="16"/>
        <w:szCs w:val="16"/>
        <w:rtl/>
      </w:rPr>
    </w:pPr>
    <w:r w:rsidRPr="00346473">
      <w:rPr>
        <w:sz w:val="16"/>
        <w:szCs w:val="16"/>
        <w:rtl/>
      </w:rPr>
      <w:t>מסגרת הפרסום:</w:t>
    </w:r>
    <w:r w:rsidRPr="00346473">
      <w:rPr>
        <w:rFonts w:hint="cs"/>
        <w:sz w:val="16"/>
        <w:szCs w:val="16"/>
        <w:rtl/>
      </w:rPr>
      <w:t xml:space="preserve"> דוח שנתי 64א</w:t>
    </w:r>
  </w:p>
  <w:p w:rsidR="00CD635D" w:rsidRPr="00346473" w:rsidP="00CD635D">
    <w:pPr>
      <w:pStyle w:val="Footer"/>
      <w:spacing w:after="0" w:line="240" w:lineRule="auto"/>
      <w:rPr>
        <w:sz w:val="16"/>
        <w:szCs w:val="16"/>
      </w:rPr>
    </w:pPr>
    <w:r w:rsidRPr="00346473">
      <w:rPr>
        <w:sz w:val="16"/>
        <w:szCs w:val="16"/>
        <w:rtl/>
      </w:rPr>
      <w:t>שנת פרסום:</w:t>
    </w:r>
    <w:r w:rsidRPr="00346473">
      <w:rPr>
        <w:rFonts w:hint="cs"/>
        <w:sz w:val="16"/>
        <w:szCs w:val="16"/>
        <w:rtl/>
      </w:rPr>
      <w:t xml:space="preserve"> </w:t>
    </w:r>
    <w:r w:rsidRPr="00346473">
      <w:rPr>
        <w:sz w:val="16"/>
        <w:szCs w:val="16"/>
        <w:rtl/>
      </w:rPr>
      <w:t>התשע"</w:t>
    </w:r>
    <w:r w:rsidRPr="00346473">
      <w:rPr>
        <w:rFonts w:hint="cs"/>
        <w:sz w:val="16"/>
        <w:szCs w:val="16"/>
        <w:rtl/>
      </w:rPr>
      <w:t>ג</w:t>
    </w:r>
    <w:r w:rsidRPr="00346473">
      <w:rPr>
        <w:sz w:val="16"/>
        <w:szCs w:val="16"/>
        <w:rtl/>
      </w:rPr>
      <w:t>-201</w:t>
    </w:r>
    <w:r w:rsidRPr="00346473">
      <w:rPr>
        <w:rFonts w:hint="cs"/>
        <w:sz w:val="16"/>
        <w:szCs w:val="16"/>
        <w:rtl/>
      </w:rPr>
      <w:t>3</w:t>
    </w:r>
  </w:p>
  <w:p w:rsidR="00CD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line="240" w:lineRule="auto"/>
        <w:rPr>
          <w:rFonts w:hint="cs"/>
          <w:sz w:val="16"/>
          <w:szCs w:val="16"/>
          <w:rtl/>
        </w:rPr>
      </w:pPr>
      <w:r>
        <w:rPr>
          <w:rFonts w:hint="cs"/>
          <w:sz w:val="16"/>
          <w:szCs w:val="16"/>
          <w:rtl/>
        </w:rPr>
        <w:t>__________________</w:t>
      </w:r>
    </w:p>
  </w:footnote>
  <w:footnote w:type="continuationSeparator" w:id="1">
    <w:p w:rsidR="00000000">
      <w:r>
        <w:t>_____</w:t>
      </w:r>
      <w:r>
        <w:t>__________</w:t>
      </w:r>
    </w:p>
  </w:footnote>
  <w:footnote w:id="2">
    <w:p w:rsidR="00000000">
      <w:pPr>
        <w:pStyle w:val="FootnoteText"/>
        <w:ind w:left="397" w:hanging="397"/>
        <w:rPr>
          <w:rStyle w:val="FootnoteReference"/>
          <w:rFonts w:hint="cs"/>
          <w:vertAlign w:val="baseline"/>
          <w:rtl/>
          <w:lang w:eastAsia="he-IL"/>
        </w:rPr>
      </w:pPr>
      <w:r>
        <w:rPr>
          <w:rStyle w:val="FootnoteReference"/>
          <w:vertAlign w:val="baseline"/>
          <w:lang w:eastAsia="he-IL"/>
        </w:rPr>
        <w:footnoteRef/>
      </w:r>
      <w:r>
        <w:rPr>
          <w:rStyle w:val="FootnoteReference"/>
          <w:vertAlign w:val="baseline"/>
          <w:rtl/>
          <w:lang w:eastAsia="he-IL"/>
        </w:rPr>
        <w:t xml:space="preserve"> </w:t>
      </w:r>
      <w:r>
        <w:rPr>
          <w:rFonts w:hint="cs"/>
          <w:rtl/>
          <w:lang w:eastAsia="he-IL"/>
        </w:rPr>
        <w:tab/>
      </w:r>
      <w:r>
        <w:rPr>
          <w:rStyle w:val="FootnoteReference"/>
          <w:rFonts w:hint="cs"/>
          <w:vertAlign w:val="baseline"/>
          <w:rtl/>
          <w:lang w:eastAsia="he-IL"/>
        </w:rPr>
        <w:t>ממצאי מעקב ראו בעמ' 847 בהמשך.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5D"/>
    <w:rsid w:val="00346473"/>
    <w:rsid w:val="00CD635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jc w:val="center"/>
      <w:outlineLvl w:val="2"/>
    </w:pPr>
    <w:rPr>
      <w:b/>
      <w:bCs/>
      <w:sz w:val="42"/>
      <w:szCs w:val="40"/>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uiPriority w:val="9"/>
    <w:qFormat/>
    <w:pPr>
      <w:keepNext/>
      <w:outlineLvl w:val="4"/>
    </w:pPr>
    <w:rPr>
      <w:b/>
      <w:bCs/>
      <w:sz w:val="30"/>
      <w:szCs w:val="28"/>
    </w:rPr>
  </w:style>
  <w:style w:type="paragraph" w:styleId="Heading6">
    <w:name w:val="heading 6"/>
    <w:basedOn w:val="Normal"/>
    <w:next w:val="Normal"/>
    <w:uiPriority w:val="9"/>
    <w:qFormat/>
    <w:pPr>
      <w:keepNext/>
      <w:jc w:val="center"/>
      <w:outlineLvl w:val="5"/>
    </w:pPr>
    <w:rPr>
      <w:b/>
      <w:bCs/>
      <w:sz w:val="34"/>
      <w:szCs w:val="32"/>
    </w:rPr>
  </w:style>
  <w:style w:type="paragraph" w:styleId="Heading7">
    <w:name w:val="heading 7"/>
    <w:basedOn w:val="Normal"/>
    <w:next w:val="Normal"/>
    <w:uiPriority w:val="9"/>
    <w:qFormat/>
    <w:pPr>
      <w:keepNext/>
      <w:outlineLvl w:val="6"/>
    </w:pPr>
    <w:rPr>
      <w:b/>
      <w:bCs/>
      <w:sz w:val="28"/>
      <w:szCs w:val="26"/>
    </w:rPr>
  </w:style>
  <w:style w:type="paragraph" w:styleId="Heading8">
    <w:name w:val="heading 8"/>
    <w:basedOn w:val="Normal"/>
    <w:next w:val="Normal"/>
    <w:uiPriority w:val="9"/>
    <w:qFormat/>
    <w:pPr>
      <w:keepNext/>
      <w:outlineLvl w:val="7"/>
    </w:pPr>
    <w:rPr>
      <w:b/>
      <w:bCs/>
      <w:sz w:val="28"/>
      <w:szCs w:val="26"/>
    </w:rPr>
  </w:style>
  <w:style w:type="paragraph" w:styleId="Heading9">
    <w:name w:val="heading 9"/>
    <w:basedOn w:val="Normal"/>
    <w:next w:val="Normal"/>
    <w:uiPriority w:val="9"/>
    <w:qFormat/>
    <w:pPr>
      <w:keepNext/>
      <w:outlineLvl w:val="8"/>
    </w:pPr>
    <w:rPr>
      <w:b/>
      <w:bCs/>
      <w:sz w:val="28"/>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Heading10">
    <w:name w:val="Heading 1_0"/>
    <w:basedOn w:val="Normal"/>
    <w:next w:val="Normal"/>
    <w:pPr>
      <w:spacing w:before="240" w:after="480" w:line="288" w:lineRule="auto"/>
      <w:jc w:val="center"/>
    </w:pPr>
    <w:rPr>
      <w:b/>
      <w:bCs/>
      <w:sz w:val="32"/>
      <w:szCs w:val="36"/>
      <w:u w:val="single"/>
    </w:rPr>
  </w:style>
  <w:style w:type="paragraph" w:customStyle="1" w:styleId="Heading20">
    <w:name w:val="Heading 2_0"/>
    <w:basedOn w:val="Normal"/>
    <w:next w:val="Normal"/>
    <w:pPr>
      <w:spacing w:before="100" w:beforeAutospacing="1" w:after="240" w:line="264" w:lineRule="auto"/>
      <w:jc w:val="center"/>
    </w:pPr>
    <w:rPr>
      <w:b/>
      <w:bCs/>
      <w:sz w:val="28"/>
      <w:szCs w:val="32"/>
    </w:rPr>
  </w:style>
  <w:style w:type="paragraph" w:customStyle="1" w:styleId="Heading30">
    <w:name w:val="Heading 3_0"/>
    <w:basedOn w:val="Normal"/>
    <w:next w:val="Normal"/>
    <w:pPr>
      <w:spacing w:before="100" w:beforeAutospacing="1" w:line="288" w:lineRule="auto"/>
      <w:jc w:val="left"/>
    </w:pPr>
    <w:rPr>
      <w:b/>
      <w:bCs/>
      <w:szCs w:val="28"/>
      <w:u w:val="single"/>
    </w:rPr>
  </w:style>
  <w:style w:type="paragraph" w:customStyle="1" w:styleId="Heading40">
    <w:name w:val="Heading 4_0"/>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pPr>
      <w:spacing w:after="0" w:line="360" w:lineRule="auto"/>
    </w:pPr>
    <w:rPr>
      <w:rFonts w:cs="Times New Roman"/>
      <w:noProof/>
      <w:sz w:val="25"/>
      <w:szCs w:val="25"/>
      <w:lang w:eastAsia="he-IL"/>
    </w:rPr>
  </w:style>
  <w:style w:type="paragraph" w:styleId="PlainText">
    <w:name w:val="Plain Text"/>
    <w:basedOn w:val="Normal"/>
    <w:pPr>
      <w:widowControl w:val="0"/>
      <w:spacing w:after="0" w:line="312" w:lineRule="auto"/>
    </w:pPr>
    <w:rPr>
      <w:rFonts w:ascii="Courier New" w:hAnsi="Courier New" w:cs="Courier New"/>
      <w:sz w:val="20"/>
      <w:szCs w:val="20"/>
      <w:lang w:eastAsia="he-IL"/>
    </w:rPr>
  </w:style>
  <w:style w:type="paragraph" w:styleId="BlockText">
    <w:name w:val="Block Text"/>
    <w:basedOn w:val="Normal"/>
    <w:pPr>
      <w:tabs>
        <w:tab w:val="right" w:leader="dot" w:pos="6237"/>
        <w:tab w:val="left" w:pos="6350"/>
      </w:tabs>
      <w:ind w:left="397" w:right="851"/>
      <w:jc w:val="left"/>
    </w:pPr>
    <w:rPr>
      <w:rFonts w:cs="David"/>
      <w:szCs w:val="24"/>
    </w:rPr>
  </w:style>
  <w:style w:type="paragraph" w:customStyle="1" w:styleId="a0">
    <w:name w:val=" תו תו תו תו"/>
    <w:basedOn w:val="Normal"/>
    <w:pPr>
      <w:bidi w:val="0"/>
      <w:spacing w:after="160" w:line="240" w:lineRule="exact"/>
      <w:jc w:val="left"/>
    </w:pPr>
    <w:rPr>
      <w:rFonts w:ascii="Tahoma" w:eastAsia="Batang" w:hAnsi="Tahoma" w:cs="Tahoma"/>
      <w:sz w:val="20"/>
      <w:szCs w:val="20"/>
      <w:lang w:bidi="ar-SA"/>
    </w:rPr>
  </w:style>
  <w:style w:type="paragraph" w:customStyle="1" w:styleId="1">
    <w:name w:val="טקסט בלונים1"/>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10">
    <w:name w:val="נושא הערה1"/>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2.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4A733B-9819-448E-A366-7B0D52832E3F}"/>
</file>

<file path=customXml/itemProps2.xml><?xml version="1.0" encoding="utf-8"?>
<ds:datastoreItem xmlns:ds="http://schemas.openxmlformats.org/officeDocument/2006/customXml" ds:itemID="{9DF27485-FD01-4F28-9880-AC7DF3363E74}"/>
</file>

<file path=customXml/itemProps3.xml><?xml version="1.0" encoding="utf-8"?>
<ds:datastoreItem xmlns:ds="http://schemas.openxmlformats.org/officeDocument/2006/customXml" ds:itemID="{33D6CFFE-0E39-48B1-BE9D-70A38A84A1B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