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1275A6" w:rsidP="008A6D26">
      <w:pPr>
        <w:pStyle w:val="NAME"/>
        <w:rPr>
          <w:rtl/>
        </w:rPr>
      </w:pPr>
      <w:bookmarkStart w:id="0" w:name="_Toc349122061"/>
      <w:bookmarkStart w:id="1" w:name="_Toc349136480"/>
      <w:bookmarkStart w:id="2" w:name="_Toc352831083"/>
      <w:bookmarkStart w:id="3" w:name="_Toc354324568"/>
      <w:bookmarkStart w:id="4" w:name="_Toc354661923"/>
      <w:r w:rsidRPr="00800D9F">
        <w:rPr>
          <w:rtl/>
        </w:rPr>
        <w:t>המשרד לביטחון הפנים</w:t>
      </w:r>
      <w:r>
        <w:rPr>
          <w:rFonts w:hint="cs"/>
          <w:rtl/>
        </w:rPr>
        <w:t xml:space="preserve"> </w:t>
      </w:r>
    </w:p>
    <w:p w:rsidR="00800D9F" w:rsidP="008A6D26">
      <w:pPr>
        <w:pStyle w:val="KOT1"/>
        <w:jc w:val="right"/>
      </w:pPr>
      <w:r w:rsidRPr="00800D9F">
        <w:rPr>
          <w:rtl/>
        </w:rPr>
        <w:t>משטרת ישראל</w:t>
      </w:r>
    </w:p>
    <w:p w:rsidR="001275A6" w:rsidP="008A6D26">
      <w:pPr>
        <w:pStyle w:val="Footer"/>
        <w:tabs>
          <w:tab w:val="clear" w:pos="4153"/>
          <w:tab w:val="clear" w:pos="8306"/>
        </w:tabs>
        <w:spacing w:after="120" w:line="230" w:lineRule="exact"/>
        <w:jc w:val="both"/>
        <w:rPr>
          <w:rFonts w:cs="FrankRuehl"/>
          <w:szCs w:val="22"/>
          <w:rtl/>
        </w:rPr>
      </w:pPr>
    </w:p>
    <w:p w:rsidR="00800D9F" w:rsidRPr="006A210F" w:rsidP="008A6D26">
      <w:pPr>
        <w:pStyle w:val="KOT1"/>
        <w:rPr>
          <w:rtl/>
        </w:rPr>
      </w:pPr>
      <w:r w:rsidRPr="006A210F">
        <w:rPr>
          <w:rFonts w:hint="eastAsia"/>
          <w:rtl/>
        </w:rPr>
        <w:t>העברת</w:t>
      </w:r>
      <w:r w:rsidRPr="006A210F">
        <w:rPr>
          <w:rFonts w:hint="cs"/>
          <w:rtl/>
        </w:rPr>
        <w:t xml:space="preserve"> הטיפול בבתי המעצר ממשטרת ישראל לשירות בתי הסוהר </w:t>
      </w:r>
    </w:p>
    <w:p w:rsidR="001275A6" w:rsidP="008A6D26">
      <w:pPr>
        <w:pStyle w:val="KOT4"/>
        <w:jc w:val="center"/>
        <w:rPr>
          <w:sz w:val="30"/>
          <w:szCs w:val="30"/>
          <w:rtl/>
        </w:rPr>
      </w:pPr>
      <w:r>
        <w:rPr>
          <w:sz w:val="30"/>
          <w:szCs w:val="30"/>
          <w:rtl/>
        </w:rPr>
        <w:t>תקציר</w:t>
      </w: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6B67C2">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691" w:type="dxa"/>
            <w:shd w:val="pct25" w:color="00FF00" w:fill="auto"/>
          </w:tcPr>
          <w:p w:rsidR="001275A6" w:rsidP="008A6D26">
            <w:pPr>
              <w:pStyle w:val="KOT4"/>
              <w:spacing w:before="120"/>
              <w:jc w:val="center"/>
              <w:rPr>
                <w:rtl/>
              </w:rPr>
            </w:pPr>
            <w:r>
              <w:rPr>
                <w:rFonts w:hint="cs"/>
                <w:rtl/>
              </w:rPr>
              <w:t>רקע כללי</w:t>
            </w:r>
          </w:p>
        </w:tc>
      </w:tr>
      <w:tr w:rsidTr="006B67C2">
        <w:tblPrEx>
          <w:tblW w:w="6691" w:type="dxa"/>
          <w:jc w:val="center"/>
          <w:tblLook w:val="04A0"/>
        </w:tblPrEx>
        <w:trPr>
          <w:jc w:val="center"/>
        </w:trPr>
        <w:tc>
          <w:tcPr>
            <w:tcW w:w="6691" w:type="dxa"/>
          </w:tcPr>
          <w:p w:rsidR="00800D9F" w:rsidRPr="00800D9F" w:rsidP="008A6D26">
            <w:pPr>
              <w:pStyle w:val="PATIAH"/>
              <w:spacing w:before="60" w:line="240" w:lineRule="exact"/>
              <w:rPr>
                <w:sz w:val="22"/>
                <w:szCs w:val="22"/>
                <w:rtl/>
              </w:rPr>
            </w:pPr>
            <w:r w:rsidRPr="00800D9F">
              <w:rPr>
                <w:rFonts w:hint="cs"/>
                <w:sz w:val="22"/>
                <w:szCs w:val="22"/>
                <w:rtl/>
              </w:rPr>
              <w:t xml:space="preserve">הזכות לחירות נקבעה כזכות יסוד חוקתית בחוק יסוד: כבוד האדם וחירותו, והוגדרה על ידי בית המשפט העליון כזכות בסיסית במדינה דמוקרטית. מעצרו של אדם פוגע פגיעה קשה בזכות זו ובחזקת החפות העומדת לו, על אחת כמה וכמה שלילת חירותו טרם הגשת כתב אישום. חוק סדר דין הפלילי (סמכויות אכיפה - מעצרים), התשנ"ו-1996 (להלן - חוק המעצרים), מסדיר את הסמכויות הנדרשות לרשויות החקירה לצורך חקירת עצור, תוך איזון בין עקרון הגבלת חירות הפרט לבין עקרון השמירה על החוק ועל אכיפתו. </w:t>
            </w:r>
            <w:r w:rsidRPr="00800D9F">
              <w:rPr>
                <w:rFonts w:hint="eastAsia"/>
                <w:sz w:val="22"/>
                <w:szCs w:val="22"/>
                <w:rtl/>
              </w:rPr>
              <w:t>הגופים</w:t>
            </w:r>
            <w:r w:rsidRPr="00800D9F">
              <w:rPr>
                <w:sz w:val="22"/>
                <w:szCs w:val="22"/>
                <w:rtl/>
              </w:rPr>
              <w:t xml:space="preserve"> </w:t>
            </w:r>
            <w:r w:rsidRPr="00800D9F">
              <w:rPr>
                <w:rFonts w:hint="cs"/>
                <w:sz w:val="22"/>
                <w:szCs w:val="22"/>
                <w:rtl/>
              </w:rPr>
              <w:t xml:space="preserve">העוסקים כיום </w:t>
            </w:r>
            <w:r w:rsidRPr="00800D9F">
              <w:rPr>
                <w:rFonts w:hint="eastAsia"/>
                <w:sz w:val="22"/>
                <w:szCs w:val="22"/>
                <w:rtl/>
              </w:rPr>
              <w:t>בטיפול</w:t>
            </w:r>
            <w:r w:rsidRPr="00800D9F">
              <w:rPr>
                <w:sz w:val="22"/>
                <w:szCs w:val="22"/>
                <w:rtl/>
              </w:rPr>
              <w:t xml:space="preserve"> </w:t>
            </w:r>
            <w:r w:rsidRPr="00800D9F">
              <w:rPr>
                <w:rFonts w:hint="eastAsia"/>
                <w:sz w:val="22"/>
                <w:szCs w:val="22"/>
                <w:rtl/>
              </w:rPr>
              <w:t>בעצורים</w:t>
            </w:r>
            <w:r w:rsidRPr="00800D9F">
              <w:rPr>
                <w:rFonts w:hint="cs"/>
                <w:sz w:val="22"/>
                <w:szCs w:val="22"/>
                <w:rtl/>
              </w:rPr>
              <w:t xml:space="preserve"> הם משטרת ישראל (להלן - המשטרה), ושירות בתי הסוהר (להלן - שב"ס). </w:t>
            </w:r>
            <w:r w:rsidRPr="00800D9F">
              <w:rPr>
                <w:sz w:val="22"/>
                <w:szCs w:val="22"/>
                <w:rtl/>
              </w:rPr>
              <w:t>יחידת נחשון</w:t>
            </w:r>
            <w:r w:rsidRPr="00800D9F">
              <w:rPr>
                <w:rFonts w:hint="cs"/>
                <w:sz w:val="22"/>
                <w:szCs w:val="22"/>
                <w:rtl/>
              </w:rPr>
              <w:t>,</w:t>
            </w:r>
            <w:r w:rsidRPr="00800D9F">
              <w:rPr>
                <w:sz w:val="22"/>
                <w:szCs w:val="22"/>
                <w:rtl/>
              </w:rPr>
              <w:t xml:space="preserve"> </w:t>
            </w:r>
            <w:r w:rsidRPr="00800D9F">
              <w:rPr>
                <w:rFonts w:hint="cs"/>
                <w:sz w:val="22"/>
                <w:szCs w:val="22"/>
                <w:rtl/>
              </w:rPr>
              <w:t>ש</w:t>
            </w:r>
            <w:r w:rsidRPr="00800D9F">
              <w:rPr>
                <w:sz w:val="22"/>
                <w:szCs w:val="22"/>
                <w:rtl/>
              </w:rPr>
              <w:t>ה</w:t>
            </w:r>
            <w:r w:rsidRPr="00800D9F">
              <w:rPr>
                <w:rFonts w:hint="cs"/>
                <w:sz w:val="22"/>
                <w:szCs w:val="22"/>
                <w:rtl/>
              </w:rPr>
              <w:t>ו</w:t>
            </w:r>
            <w:r w:rsidRPr="00800D9F">
              <w:rPr>
                <w:sz w:val="22"/>
                <w:szCs w:val="22"/>
                <w:rtl/>
              </w:rPr>
              <w:t xml:space="preserve">קמה בשנת 1973, </w:t>
            </w:r>
            <w:r w:rsidRPr="00800D9F">
              <w:rPr>
                <w:rFonts w:hint="cs"/>
                <w:sz w:val="22"/>
                <w:szCs w:val="22"/>
                <w:rtl/>
              </w:rPr>
              <w:t>היא</w:t>
            </w:r>
            <w:r w:rsidRPr="00800D9F">
              <w:rPr>
                <w:sz w:val="22"/>
                <w:szCs w:val="22"/>
                <w:rtl/>
              </w:rPr>
              <w:t xml:space="preserve"> היחידה המרכזית </w:t>
            </w:r>
            <w:r w:rsidRPr="00800D9F">
              <w:rPr>
                <w:rFonts w:hint="cs"/>
                <w:sz w:val="22"/>
                <w:szCs w:val="22"/>
                <w:rtl/>
              </w:rPr>
              <w:t xml:space="preserve">של שב"ס </w:t>
            </w:r>
            <w:r w:rsidRPr="00800D9F">
              <w:rPr>
                <w:sz w:val="22"/>
                <w:szCs w:val="22"/>
                <w:rtl/>
              </w:rPr>
              <w:t xml:space="preserve">לליווי אסירים, </w:t>
            </w:r>
            <w:r w:rsidRPr="00800D9F">
              <w:rPr>
                <w:rFonts w:hint="cs"/>
                <w:sz w:val="22"/>
                <w:szCs w:val="22"/>
                <w:rtl/>
              </w:rPr>
              <w:t>המשמשת בעיקר</w:t>
            </w:r>
            <w:r w:rsidRPr="00800D9F">
              <w:rPr>
                <w:sz w:val="22"/>
                <w:szCs w:val="22"/>
                <w:rtl/>
              </w:rPr>
              <w:t xml:space="preserve"> </w:t>
            </w:r>
            <w:r w:rsidRPr="00800D9F">
              <w:rPr>
                <w:rFonts w:hint="cs"/>
                <w:sz w:val="22"/>
                <w:szCs w:val="22"/>
                <w:rtl/>
              </w:rPr>
              <w:t>לא</w:t>
            </w:r>
            <w:r w:rsidRPr="00800D9F">
              <w:rPr>
                <w:sz w:val="22"/>
                <w:szCs w:val="22"/>
                <w:rtl/>
              </w:rPr>
              <w:t xml:space="preserve">בטחה </w:t>
            </w:r>
            <w:r w:rsidRPr="00800D9F">
              <w:rPr>
                <w:rFonts w:hint="cs"/>
                <w:sz w:val="22"/>
                <w:szCs w:val="22"/>
                <w:rtl/>
              </w:rPr>
              <w:t>ול</w:t>
            </w:r>
            <w:r w:rsidRPr="00800D9F">
              <w:rPr>
                <w:sz w:val="22"/>
                <w:szCs w:val="22"/>
                <w:rtl/>
              </w:rPr>
              <w:t>הפעל</w:t>
            </w:r>
            <w:r w:rsidRPr="00800D9F">
              <w:rPr>
                <w:rFonts w:hint="cs"/>
                <w:sz w:val="22"/>
                <w:szCs w:val="22"/>
                <w:rtl/>
              </w:rPr>
              <w:t xml:space="preserve">ה של </w:t>
            </w:r>
            <w:r w:rsidRPr="00800D9F">
              <w:rPr>
                <w:sz w:val="22"/>
                <w:szCs w:val="22"/>
                <w:rtl/>
              </w:rPr>
              <w:t>אגפי הכליאה בבתי המשפט</w:t>
            </w:r>
            <w:r w:rsidRPr="00800D9F">
              <w:rPr>
                <w:rFonts w:hint="cs"/>
                <w:sz w:val="22"/>
                <w:szCs w:val="22"/>
                <w:rtl/>
              </w:rPr>
              <w:t>.</w:t>
            </w:r>
            <w:r w:rsidRPr="00800D9F">
              <w:rPr>
                <w:sz w:val="22"/>
                <w:szCs w:val="22"/>
                <w:rtl/>
              </w:rPr>
              <w:t xml:space="preserve"> </w:t>
            </w:r>
            <w:r w:rsidRPr="00800D9F">
              <w:rPr>
                <w:rFonts w:hint="cs"/>
                <w:sz w:val="22"/>
                <w:szCs w:val="22"/>
                <w:rtl/>
              </w:rPr>
              <w:t xml:space="preserve">עוד מעורבים בטיפול בעצורים הנהלת בתי המשפט והמשרד לביטחון פנים (להלן - המשרד לבט"פ), שהוא הגוף המופקד על אכיפת החוק ושמירת הסדר ועל הפעילות לשמירה על ביטחון הפנים במדינה. </w:t>
            </w:r>
          </w:p>
          <w:p w:rsidR="001275A6" w:rsidP="008A6D26">
            <w:pPr>
              <w:pStyle w:val="PATIAH"/>
              <w:spacing w:line="240" w:lineRule="exact"/>
              <w:rPr>
                <w:sz w:val="22"/>
                <w:szCs w:val="22"/>
                <w:rtl/>
              </w:rPr>
            </w:pPr>
            <w:r w:rsidRPr="00800D9F">
              <w:rPr>
                <w:rFonts w:hint="cs"/>
                <w:sz w:val="22"/>
                <w:szCs w:val="22"/>
                <w:rtl/>
              </w:rPr>
              <w:t>עד שנת 2007 הייתה נהוגה חלוקת תפקידים, ולפיה ככלל טיפלה המשטרה במעצרים ובעצורים, ושב</w:t>
            </w:r>
            <w:r w:rsidRPr="00800D9F">
              <w:rPr>
                <w:sz w:val="22"/>
                <w:szCs w:val="22"/>
                <w:rtl/>
              </w:rPr>
              <w:t>"</w:t>
            </w:r>
            <w:r w:rsidRPr="00800D9F">
              <w:rPr>
                <w:rFonts w:hint="cs"/>
                <w:sz w:val="22"/>
                <w:szCs w:val="22"/>
                <w:rtl/>
              </w:rPr>
              <w:t>ס - באסירים (לאחר שנגזר דינם). בשנת 2007 החליט השר לבט"פ שמערך הטיפול בעצורים והמשמורת עליהם יעברו במלואם מן המשטרה לאחריות שב</w:t>
            </w:r>
            <w:r w:rsidRPr="00800D9F">
              <w:rPr>
                <w:sz w:val="22"/>
                <w:szCs w:val="22"/>
                <w:rtl/>
              </w:rPr>
              <w:t>"</w:t>
            </w:r>
            <w:r w:rsidRPr="00800D9F">
              <w:rPr>
                <w:rFonts w:hint="cs"/>
                <w:sz w:val="22"/>
                <w:szCs w:val="22"/>
                <w:rtl/>
              </w:rPr>
              <w:t>ס. בבסיס ההחלטה עמדה התפיסה ששב</w:t>
            </w:r>
            <w:r w:rsidRPr="00800D9F">
              <w:rPr>
                <w:sz w:val="22"/>
                <w:szCs w:val="22"/>
                <w:rtl/>
              </w:rPr>
              <w:t>"</w:t>
            </w:r>
            <w:r w:rsidRPr="00800D9F">
              <w:rPr>
                <w:rFonts w:hint="cs"/>
                <w:sz w:val="22"/>
                <w:szCs w:val="22"/>
                <w:rtl/>
              </w:rPr>
              <w:t>ס הוא הגוף בעל המקצועיות בכל הקשור לתחום הטיפול באסירים ובעצורים ושעל המשטרה להתמקד בלחימה בפשיעה ובאכיפת החוק. ההחלטה נבעה גם מן הקשיים שעלו בביצוע תיאומים בין המשטרה לשב"ס, קשיים שהצביעו על הצורך לרכז את נושא ליווי העצורים והאסירים בידי גוף אחד. בהתאם להחלטה זו נחתמו הסכמים בין מחוזות המשטרה ושב</w:t>
            </w:r>
            <w:r w:rsidRPr="00800D9F">
              <w:rPr>
                <w:sz w:val="22"/>
                <w:szCs w:val="22"/>
                <w:rtl/>
              </w:rPr>
              <w:t>"</w:t>
            </w:r>
            <w:r w:rsidRPr="00800D9F">
              <w:rPr>
                <w:rFonts w:hint="cs"/>
                <w:sz w:val="22"/>
                <w:szCs w:val="22"/>
                <w:rtl/>
              </w:rPr>
              <w:t>ס. במרץ 2014 חתמו המשרד לבט"פ, שב"ס והמשטרה על הסכם חדש (להלן - הסכם 2014). הסכם זה עסק במחלוקות העיקריות שנתגלעו בין המשטרה ובין שב"ס, והוא כלל הסכמות המתייחסות לתחומי האחריות, לחלוקת המשימות ולחלוקת המשאבים הנדרשים בין הארגונים.</w:t>
            </w:r>
          </w:p>
        </w:tc>
      </w:tr>
      <w:tr w:rsidTr="006B67C2">
        <w:tblPrEx>
          <w:tblW w:w="6691" w:type="dxa"/>
          <w:jc w:val="center"/>
          <w:tblLook w:val="04A0"/>
        </w:tblPrEx>
        <w:trPr>
          <w:jc w:val="center"/>
        </w:trPr>
        <w:tc>
          <w:tcPr>
            <w:tcW w:w="6691" w:type="dxa"/>
            <w:shd w:val="pct25" w:color="00FF00" w:fill="auto"/>
          </w:tcPr>
          <w:p w:rsidR="001275A6" w:rsidP="008A6D26">
            <w:pPr>
              <w:pStyle w:val="KOT4"/>
              <w:spacing w:before="120"/>
              <w:jc w:val="center"/>
              <w:rPr>
                <w:rtl/>
              </w:rPr>
            </w:pPr>
            <w:r>
              <w:rPr>
                <w:rtl/>
              </w:rPr>
              <w:t>פעולות הביקורת</w:t>
            </w:r>
          </w:p>
        </w:tc>
      </w:tr>
      <w:tr w:rsidTr="006B67C2">
        <w:tblPrEx>
          <w:tblW w:w="6691" w:type="dxa"/>
          <w:jc w:val="center"/>
          <w:tblLook w:val="04A0"/>
        </w:tblPrEx>
        <w:trPr>
          <w:jc w:val="center"/>
        </w:trPr>
        <w:tc>
          <w:tcPr>
            <w:tcW w:w="6691" w:type="dxa"/>
          </w:tcPr>
          <w:p w:rsidR="001275A6" w:rsidP="008A6D26">
            <w:pPr>
              <w:pStyle w:val="takzir"/>
              <w:spacing w:before="60"/>
              <w:rPr>
                <w:b w:val="0"/>
                <w:bCs w:val="0"/>
                <w:noProof w:val="0"/>
                <w:rtl/>
              </w:rPr>
            </w:pPr>
            <w:r w:rsidRPr="00800D9F">
              <w:rPr>
                <w:rFonts w:hint="cs"/>
                <w:b w:val="0"/>
                <w:bCs w:val="0"/>
                <w:noProof w:val="0"/>
                <w:rtl/>
              </w:rPr>
              <w:t>בחודשים מרץ - אוקטובר 2014 בדק משרד מבקר המדינה היבטים שונים הכרוכים בהעברת הטיפול בבתי המעצר ממשטרת ישראל לשירות בתי הסוהר. הבדיקה נעשתה במשרד לבט"פ, במשטרה ובשב"ס. בדיקות השלמה נעשו בהנהלת בתי המשפט, בסניגוריה הציבורית ובמשרד האוצר. דוח קודם בנושא "מעצרים"</w:t>
            </w:r>
            <w:r w:rsidRPr="00800D9F">
              <w:rPr>
                <w:rFonts w:hint="cs"/>
                <w:b w:val="0"/>
                <w:bCs w:val="0"/>
                <w:noProof w:val="0"/>
                <w:rtl/>
              </w:rPr>
              <w:t xml:space="preserve"> </w:t>
            </w:r>
            <w:r w:rsidRPr="00800D9F">
              <w:rPr>
                <w:rFonts w:hint="cs"/>
                <w:b w:val="0"/>
                <w:bCs w:val="0"/>
                <w:noProof w:val="0"/>
                <w:rtl/>
              </w:rPr>
              <w:t>פרסם מבקר המדינה</w:t>
            </w:r>
            <w:r w:rsidRPr="00800D9F">
              <w:rPr>
                <w:rFonts w:hint="cs"/>
                <w:b w:val="0"/>
                <w:bCs w:val="0"/>
                <w:noProof w:val="0"/>
                <w:rtl/>
              </w:rPr>
              <w:t xml:space="preserve"> </w:t>
            </w:r>
            <w:r w:rsidRPr="00800D9F">
              <w:rPr>
                <w:rFonts w:hint="cs"/>
                <w:b w:val="0"/>
                <w:bCs w:val="0"/>
                <w:noProof w:val="0"/>
                <w:rtl/>
              </w:rPr>
              <w:t>בשנת 1995</w:t>
            </w:r>
            <w:r>
              <w:rPr>
                <w:b w:val="0"/>
                <w:bCs w:val="0"/>
                <w:noProof w:val="0"/>
                <w:vertAlign w:val="superscript"/>
                <w:rtl/>
              </w:rPr>
              <w:footnoteReference w:id="2"/>
            </w:r>
            <w:r w:rsidRPr="00800D9F">
              <w:rPr>
                <w:rFonts w:hint="cs"/>
                <w:b w:val="0"/>
                <w:bCs w:val="0"/>
                <w:noProof w:val="0"/>
                <w:rtl/>
              </w:rPr>
              <w:t>.</w:t>
            </w:r>
          </w:p>
        </w:tc>
      </w:tr>
    </w:tbl>
    <w:p w:rsidR="001275A6" w:rsidP="008A6D26">
      <w:pPr>
        <w:pStyle w:val="takzir"/>
        <w:rPr>
          <w:noProof w:val="0"/>
          <w:sz w:val="28"/>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00FF00" w:fill="auto"/>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00FF00" w:fill="auto"/>
          <w:tblLook w:val="04A0"/>
        </w:tblPrEx>
        <w:trPr>
          <w:cantSplit/>
          <w:jc w:val="center"/>
        </w:trPr>
        <w:tc>
          <w:tcPr>
            <w:tcW w:w="7018" w:type="dxa"/>
            <w:shd w:val="pct25" w:color="00FF00" w:fill="auto"/>
          </w:tcPr>
          <w:p w:rsidR="001275A6" w:rsidP="008A6D26">
            <w:pPr>
              <w:pStyle w:val="KOT4"/>
              <w:spacing w:before="120"/>
              <w:jc w:val="center"/>
              <w:rPr>
                <w:rtl/>
              </w:rPr>
            </w:pPr>
            <w:r>
              <w:rPr>
                <w:rFonts w:hint="cs"/>
                <w:rtl/>
              </w:rPr>
              <w:t>הליקויים העיקריים</w:t>
            </w:r>
          </w:p>
        </w:tc>
      </w:tr>
    </w:tbl>
    <w:p w:rsidR="001275A6" w:rsidP="008A6D26">
      <w:pPr>
        <w:keepNext/>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1275A6" w:rsidP="008A6D26">
            <w:pPr>
              <w:pStyle w:val="KOT5"/>
              <w:spacing w:before="120"/>
              <w:jc w:val="center"/>
              <w:rPr>
                <w:sz w:val="24"/>
                <w:szCs w:val="24"/>
                <w:rtl/>
              </w:rPr>
            </w:pPr>
            <w:r w:rsidRPr="00800D9F">
              <w:rPr>
                <w:rFonts w:hint="eastAsia"/>
                <w:sz w:val="24"/>
                <w:szCs w:val="24"/>
                <w:rtl/>
              </w:rPr>
              <w:t>העברת</w:t>
            </w:r>
            <w:r w:rsidRPr="00800D9F">
              <w:rPr>
                <w:sz w:val="24"/>
                <w:szCs w:val="24"/>
                <w:rtl/>
              </w:rPr>
              <w:t xml:space="preserve"> </w:t>
            </w:r>
            <w:r w:rsidRPr="00800D9F">
              <w:rPr>
                <w:rFonts w:hint="eastAsia"/>
                <w:sz w:val="24"/>
                <w:szCs w:val="24"/>
                <w:rtl/>
              </w:rPr>
              <w:t>מערך</w:t>
            </w:r>
            <w:r w:rsidRPr="00800D9F">
              <w:rPr>
                <w:sz w:val="24"/>
                <w:szCs w:val="24"/>
                <w:rtl/>
              </w:rPr>
              <w:t xml:space="preserve"> </w:t>
            </w:r>
            <w:r w:rsidRPr="00800D9F">
              <w:rPr>
                <w:rFonts w:hint="eastAsia"/>
                <w:sz w:val="24"/>
                <w:szCs w:val="24"/>
                <w:rtl/>
              </w:rPr>
              <w:t>הכליאה</w:t>
            </w:r>
            <w:r w:rsidRPr="00800D9F">
              <w:rPr>
                <w:sz w:val="24"/>
                <w:szCs w:val="24"/>
                <w:rtl/>
              </w:rPr>
              <w:t xml:space="preserve"> </w:t>
            </w:r>
            <w:r w:rsidRPr="00800D9F">
              <w:rPr>
                <w:rFonts w:hint="eastAsia"/>
                <w:sz w:val="24"/>
                <w:szCs w:val="24"/>
                <w:rtl/>
              </w:rPr>
              <w:t>וליווי</w:t>
            </w:r>
            <w:r w:rsidRPr="00800D9F">
              <w:rPr>
                <w:sz w:val="24"/>
                <w:szCs w:val="24"/>
                <w:rtl/>
              </w:rPr>
              <w:t xml:space="preserve"> </w:t>
            </w:r>
            <w:r w:rsidRPr="00800D9F">
              <w:rPr>
                <w:rFonts w:hint="eastAsia"/>
                <w:sz w:val="24"/>
                <w:szCs w:val="24"/>
                <w:rtl/>
              </w:rPr>
              <w:t>העצורים</w:t>
            </w:r>
            <w:r w:rsidRPr="00800D9F">
              <w:rPr>
                <w:sz w:val="24"/>
                <w:szCs w:val="24"/>
                <w:rtl/>
              </w:rPr>
              <w:t xml:space="preserve"> </w:t>
            </w:r>
            <w:r w:rsidRPr="00800D9F">
              <w:rPr>
                <w:rFonts w:hint="eastAsia"/>
                <w:sz w:val="24"/>
                <w:szCs w:val="24"/>
                <w:rtl/>
              </w:rPr>
              <w:t>מהמשטרה</w:t>
            </w:r>
            <w:r w:rsidRPr="00800D9F">
              <w:rPr>
                <w:sz w:val="24"/>
                <w:szCs w:val="24"/>
                <w:rtl/>
              </w:rPr>
              <w:t xml:space="preserve"> לידי </w:t>
            </w:r>
            <w:r w:rsidRPr="00800D9F">
              <w:rPr>
                <w:rFonts w:hint="eastAsia"/>
                <w:sz w:val="24"/>
                <w:szCs w:val="24"/>
                <w:rtl/>
              </w:rPr>
              <w:t>שב</w:t>
            </w:r>
            <w:r w:rsidRPr="00800D9F">
              <w:rPr>
                <w:sz w:val="24"/>
                <w:szCs w:val="24"/>
                <w:rtl/>
              </w:rPr>
              <w:t>"ס</w:t>
            </w:r>
          </w:p>
        </w:tc>
      </w:tr>
      <w:tr w:rsidTr="00E44678">
        <w:tblPrEx>
          <w:tblW w:w="6691" w:type="dxa"/>
          <w:jc w:val="center"/>
          <w:tblLook w:val="04A0"/>
        </w:tblPrEx>
        <w:trPr>
          <w:cantSplit/>
          <w:jc w:val="center"/>
        </w:trPr>
        <w:tc>
          <w:tcPr>
            <w:tcW w:w="6691" w:type="dxa"/>
          </w:tcPr>
          <w:p w:rsidR="00800D9F" w:rsidRPr="00800D9F" w:rsidP="008A6D26">
            <w:pPr>
              <w:pStyle w:val="takzir"/>
              <w:spacing w:before="60"/>
              <w:rPr>
                <w:b w:val="0"/>
                <w:bCs w:val="0"/>
                <w:noProof w:val="0"/>
                <w:rtl/>
              </w:rPr>
            </w:pPr>
            <w:r w:rsidRPr="00800D9F">
              <w:rPr>
                <w:rFonts w:hint="cs"/>
                <w:b w:val="0"/>
                <w:bCs w:val="0"/>
                <w:noProof w:val="0"/>
                <w:rtl/>
              </w:rPr>
              <w:t xml:space="preserve">בגין החלטת השר להעביר מהמשטרה לשב"ס את מערך הטיפול בכליאת העצורים ובליווי העצורים היה על שני גופים אלה להגיע לרמת תיאום גבוהה, להיערך מחדש לטיפול בעצורים ולקבוע לשם כך הסדרים מפורטים. לטיפול בעצורים היבטים מינהליים, היבטים רפואיים והיבטים מודיעיניים; ריבוי ההיבטים ומורכבותם חייב הסדרים הולמים והכנת הסכם מתכלל, שיהווה בסיס מוסכם להסדרת קשרי הגומלין וסדרי העבודה בין שני הגופים, ואשר ממנו ניתן יהיה לגזור נהלים מפורטים. בפועל לא נחתם הסכם כזה בין שני הגופים, ותחת זאת חתם כל מחוז במשטרה עם גורמי שב"ס הפועלים בתחומו על הסכם שהסדיר את העברת המערך ברמה המחוזית בלבד. </w:t>
            </w:r>
          </w:p>
          <w:p w:rsidR="001275A6" w:rsidP="008A6D26">
            <w:pPr>
              <w:pStyle w:val="takzir"/>
              <w:rPr>
                <w:b w:val="0"/>
                <w:bCs w:val="0"/>
                <w:noProof w:val="0"/>
                <w:rtl/>
              </w:rPr>
            </w:pPr>
            <w:r w:rsidRPr="00800D9F">
              <w:rPr>
                <w:rFonts w:hint="cs"/>
                <w:b w:val="0"/>
                <w:bCs w:val="0"/>
                <w:noProof w:val="0"/>
                <w:rtl/>
              </w:rPr>
              <w:t xml:space="preserve">עד מועד סיום הביקורת, אוקטובר 2014, לא הצליחו המשטרה ושב"ס לגבש </w:t>
            </w:r>
            <w:r w:rsidRPr="00800D9F">
              <w:rPr>
                <w:b w:val="0"/>
                <w:bCs w:val="0"/>
                <w:noProof w:val="0"/>
                <w:rtl/>
              </w:rPr>
              <w:t xml:space="preserve">הסכם </w:t>
            </w:r>
            <w:r w:rsidRPr="00800D9F">
              <w:rPr>
                <w:rFonts w:hint="cs"/>
                <w:b w:val="0"/>
                <w:bCs w:val="0"/>
                <w:noProof w:val="0"/>
                <w:rtl/>
              </w:rPr>
              <w:t>מתכלל, שייחתם בידי שני הצדדים ויסדיר את כלל הבעיות שהתעוררו במשך השנים.</w:t>
            </w:r>
          </w:p>
        </w:tc>
      </w:tr>
    </w:tbl>
    <w:p w:rsidR="00800D9F" w:rsidP="008A6D26">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6B67C2">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691" w:type="dxa"/>
            <w:shd w:val="pct10" w:color="auto" w:fill="auto"/>
          </w:tcPr>
          <w:p w:rsidR="00800D9F" w:rsidP="008A6D26">
            <w:pPr>
              <w:pStyle w:val="KOT5"/>
              <w:spacing w:before="120"/>
              <w:jc w:val="center"/>
              <w:rPr>
                <w:sz w:val="24"/>
                <w:szCs w:val="24"/>
                <w:rtl/>
              </w:rPr>
            </w:pPr>
            <w:r>
              <w:rPr>
                <w:rFonts w:hint="cs"/>
                <w:sz w:val="24"/>
                <w:szCs w:val="24"/>
                <w:rtl/>
              </w:rPr>
              <w:t>מחלוקות</w:t>
            </w:r>
            <w:r w:rsidRPr="00800D9F">
              <w:rPr>
                <w:sz w:val="24"/>
                <w:szCs w:val="24"/>
                <w:rtl/>
              </w:rPr>
              <w:t xml:space="preserve"> </w:t>
            </w:r>
            <w:r w:rsidRPr="00800D9F">
              <w:rPr>
                <w:rFonts w:hint="eastAsia"/>
                <w:sz w:val="24"/>
                <w:szCs w:val="24"/>
                <w:rtl/>
              </w:rPr>
              <w:t>בין</w:t>
            </w:r>
            <w:r w:rsidRPr="00800D9F">
              <w:rPr>
                <w:sz w:val="24"/>
                <w:szCs w:val="24"/>
                <w:rtl/>
              </w:rPr>
              <w:t xml:space="preserve"> </w:t>
            </w:r>
            <w:r w:rsidRPr="00800D9F">
              <w:rPr>
                <w:rFonts w:hint="eastAsia"/>
                <w:sz w:val="24"/>
                <w:szCs w:val="24"/>
                <w:rtl/>
              </w:rPr>
              <w:t>המשטרה</w:t>
            </w:r>
            <w:r w:rsidRPr="00800D9F">
              <w:rPr>
                <w:sz w:val="24"/>
                <w:szCs w:val="24"/>
                <w:rtl/>
              </w:rPr>
              <w:t xml:space="preserve"> </w:t>
            </w:r>
            <w:r w:rsidRPr="00800D9F">
              <w:rPr>
                <w:rFonts w:hint="eastAsia"/>
                <w:sz w:val="24"/>
                <w:szCs w:val="24"/>
                <w:rtl/>
              </w:rPr>
              <w:t>ושב</w:t>
            </w:r>
            <w:r w:rsidRPr="00800D9F">
              <w:rPr>
                <w:sz w:val="24"/>
                <w:szCs w:val="24"/>
                <w:rtl/>
              </w:rPr>
              <w:t>"</w:t>
            </w:r>
            <w:r w:rsidRPr="00800D9F">
              <w:rPr>
                <w:rFonts w:hint="eastAsia"/>
                <w:sz w:val="24"/>
                <w:szCs w:val="24"/>
                <w:rtl/>
              </w:rPr>
              <w:t>ס</w:t>
            </w:r>
          </w:p>
        </w:tc>
      </w:tr>
      <w:tr w:rsidTr="006B67C2">
        <w:tblPrEx>
          <w:tblW w:w="6691" w:type="dxa"/>
          <w:jc w:val="center"/>
          <w:tblLook w:val="04A0"/>
        </w:tblPrEx>
        <w:trPr>
          <w:trHeight w:val="1150"/>
          <w:jc w:val="center"/>
        </w:trPr>
        <w:tc>
          <w:tcPr>
            <w:tcW w:w="6691" w:type="dxa"/>
          </w:tcPr>
          <w:p w:rsidR="00800D9F" w:rsidP="008A6D26">
            <w:pPr>
              <w:pStyle w:val="takzir"/>
              <w:spacing w:before="60"/>
              <w:rPr>
                <w:b w:val="0"/>
                <w:bCs w:val="0"/>
                <w:noProof w:val="0"/>
                <w:rtl/>
              </w:rPr>
            </w:pPr>
            <w:r w:rsidRPr="00800D9F">
              <w:rPr>
                <w:rFonts w:hint="cs"/>
                <w:b w:val="0"/>
                <w:bCs w:val="0"/>
                <w:noProof w:val="0"/>
                <w:rtl/>
              </w:rPr>
              <w:t xml:space="preserve">עם העברת האחריות לטיפול בעצורים מן המשטרה לשב"ס </w:t>
            </w:r>
            <w:r w:rsidRPr="00800D9F">
              <w:rPr>
                <w:b w:val="0"/>
                <w:bCs w:val="0"/>
                <w:noProof w:val="0"/>
                <w:rtl/>
              </w:rPr>
              <w:t>נתגל</w:t>
            </w:r>
            <w:r w:rsidRPr="00800D9F">
              <w:rPr>
                <w:rFonts w:hint="cs"/>
                <w:b w:val="0"/>
                <w:bCs w:val="0"/>
                <w:noProof w:val="0"/>
                <w:rtl/>
              </w:rPr>
              <w:t>ע</w:t>
            </w:r>
            <w:r w:rsidRPr="00800D9F">
              <w:rPr>
                <w:b w:val="0"/>
                <w:bCs w:val="0"/>
                <w:noProof w:val="0"/>
                <w:rtl/>
              </w:rPr>
              <w:t xml:space="preserve">ו </w:t>
            </w:r>
            <w:r w:rsidRPr="00800D9F">
              <w:rPr>
                <w:rFonts w:hint="cs"/>
                <w:b w:val="0"/>
                <w:bCs w:val="0"/>
                <w:noProof w:val="0"/>
                <w:rtl/>
              </w:rPr>
              <w:t>מחלוקות</w:t>
            </w:r>
            <w:r w:rsidRPr="00800D9F">
              <w:rPr>
                <w:b w:val="0"/>
                <w:bCs w:val="0"/>
                <w:noProof w:val="0"/>
                <w:rtl/>
              </w:rPr>
              <w:t xml:space="preserve"> </w:t>
            </w:r>
            <w:r w:rsidRPr="00800D9F">
              <w:rPr>
                <w:rFonts w:hint="cs"/>
                <w:b w:val="0"/>
                <w:bCs w:val="0"/>
                <w:noProof w:val="0"/>
                <w:rtl/>
              </w:rPr>
              <w:t>רבות</w:t>
            </w:r>
            <w:r w:rsidRPr="00800D9F">
              <w:rPr>
                <w:b w:val="0"/>
                <w:bCs w:val="0"/>
                <w:noProof w:val="0"/>
                <w:rtl/>
              </w:rPr>
              <w:t xml:space="preserve"> </w:t>
            </w:r>
            <w:r w:rsidRPr="00800D9F">
              <w:rPr>
                <w:rFonts w:hint="eastAsia"/>
                <w:b w:val="0"/>
                <w:bCs w:val="0"/>
                <w:noProof w:val="0"/>
                <w:rtl/>
              </w:rPr>
              <w:t>בפרשנות</w:t>
            </w:r>
            <w:r w:rsidRPr="00800D9F">
              <w:rPr>
                <w:b w:val="0"/>
                <w:bCs w:val="0"/>
                <w:noProof w:val="0"/>
                <w:rtl/>
              </w:rPr>
              <w:t xml:space="preserve"> </w:t>
            </w:r>
            <w:r w:rsidRPr="00800D9F">
              <w:rPr>
                <w:rFonts w:hint="eastAsia"/>
                <w:b w:val="0"/>
                <w:bCs w:val="0"/>
                <w:noProof w:val="0"/>
                <w:rtl/>
              </w:rPr>
              <w:t>וביישום</w:t>
            </w:r>
            <w:r w:rsidRPr="00800D9F">
              <w:rPr>
                <w:b w:val="0"/>
                <w:bCs w:val="0"/>
                <w:noProof w:val="0"/>
                <w:rtl/>
              </w:rPr>
              <w:t xml:space="preserve"> </w:t>
            </w:r>
            <w:r w:rsidRPr="00800D9F">
              <w:rPr>
                <w:rFonts w:hint="cs"/>
                <w:b w:val="0"/>
                <w:bCs w:val="0"/>
                <w:noProof w:val="0"/>
                <w:rtl/>
              </w:rPr>
              <w:t>של ההסכמים שנחתמו בידי הגורמים המקצועיים בכל מחוז. המחלוקות נגעו בעיקר להליך קליטת העצורים בבתי המעצר, לשינוע העצורים ולליוויים שלהם לחקירות במשטרה ולבתי המשפט (להלן - ליוויים).</w:t>
            </w:r>
          </w:p>
        </w:tc>
      </w:tr>
      <w:tr w:rsidTr="006B67C2">
        <w:tblPrEx>
          <w:tblW w:w="6691" w:type="dxa"/>
          <w:jc w:val="center"/>
          <w:tblLook w:val="04A0"/>
        </w:tblPrEx>
        <w:trPr>
          <w:cantSplit/>
          <w:trHeight w:val="950"/>
          <w:jc w:val="center"/>
        </w:trPr>
        <w:tc>
          <w:tcPr>
            <w:tcW w:w="6691" w:type="dxa"/>
          </w:tcPr>
          <w:p w:rsidR="006B67C2" w:rsidRPr="00800D9F" w:rsidP="008A6D26">
            <w:pPr>
              <w:pStyle w:val="takzir"/>
              <w:spacing w:before="120" w:line="230" w:lineRule="exact"/>
              <w:rPr>
                <w:b w:val="0"/>
                <w:bCs w:val="0"/>
                <w:noProof w:val="0"/>
                <w:rtl/>
              </w:rPr>
            </w:pPr>
            <w:r w:rsidRPr="00800D9F">
              <w:rPr>
                <w:rFonts w:hint="eastAsia"/>
                <w:b w:val="0"/>
                <w:bCs w:val="0"/>
                <w:noProof w:val="0"/>
                <w:rtl/>
              </w:rPr>
              <w:t>בבסיס</w:t>
            </w:r>
            <w:r w:rsidRPr="00800D9F">
              <w:rPr>
                <w:b w:val="0"/>
                <w:bCs w:val="0"/>
                <w:noProof w:val="0"/>
                <w:rtl/>
              </w:rPr>
              <w:t xml:space="preserve"> </w:t>
            </w:r>
            <w:r w:rsidRPr="00800D9F">
              <w:rPr>
                <w:rFonts w:hint="cs"/>
                <w:b w:val="0"/>
                <w:bCs w:val="0"/>
                <w:noProof w:val="0"/>
                <w:rtl/>
              </w:rPr>
              <w:t>ההחלטה להעביר את בתי המעצר לאחריות השב"ס עמדה התפיסה שלפיה</w:t>
            </w:r>
            <w:r w:rsidRPr="00800D9F">
              <w:rPr>
                <w:b w:val="0"/>
                <w:bCs w:val="0"/>
                <w:noProof w:val="0"/>
                <w:rtl/>
              </w:rPr>
              <w:t xml:space="preserve"> </w:t>
            </w:r>
            <w:r w:rsidRPr="00800D9F">
              <w:rPr>
                <w:rFonts w:hint="cs"/>
                <w:b w:val="0"/>
                <w:bCs w:val="0"/>
                <w:noProof w:val="0"/>
                <w:rtl/>
              </w:rPr>
              <w:t>על המשטרה להתמקד בלחימה בפשיעה ובאכיפת החוק, ועל כן עליה להקטין באופן משמעותי את ליווי העצורים ולחדול מלהחזיק במשמורתה עצורים ולהלינם בתחנות המשטרה.</w:t>
            </w:r>
            <w:r w:rsidRPr="00800D9F">
              <w:rPr>
                <w:b w:val="0"/>
                <w:bCs w:val="0"/>
                <w:noProof w:val="0"/>
                <w:rtl/>
              </w:rPr>
              <w:t xml:space="preserve"> </w:t>
            </w:r>
            <w:r w:rsidRPr="00800D9F">
              <w:rPr>
                <w:rFonts w:hint="cs"/>
                <w:b w:val="0"/>
                <w:bCs w:val="0"/>
                <w:noProof w:val="0"/>
                <w:rtl/>
              </w:rPr>
              <w:t xml:space="preserve">אולם מנתוני המשטרה עולה כי מטרה זו לא הושגה במלואה: המשטרה המשיכה לבצע באמצעות ניידות סיור </w:t>
            </w:r>
            <w:r w:rsidRPr="00800D9F">
              <w:rPr>
                <w:rFonts w:hint="eastAsia"/>
                <w:b w:val="0"/>
                <w:bCs w:val="0"/>
                <w:noProof w:val="0"/>
                <w:rtl/>
              </w:rPr>
              <w:t>כ</w:t>
            </w:r>
            <w:r w:rsidRPr="00800D9F">
              <w:rPr>
                <w:b w:val="0"/>
                <w:bCs w:val="0"/>
                <w:noProof w:val="0"/>
                <w:rtl/>
              </w:rPr>
              <w:t>-</w:t>
            </w:r>
            <w:r w:rsidRPr="00800D9F">
              <w:rPr>
                <w:rFonts w:hint="cs"/>
                <w:b w:val="0"/>
                <w:bCs w:val="0"/>
                <w:noProof w:val="0"/>
                <w:rtl/>
              </w:rPr>
              <w:t>20,000</w:t>
            </w:r>
            <w:r w:rsidRPr="00800D9F">
              <w:rPr>
                <w:b w:val="0"/>
                <w:bCs w:val="0"/>
                <w:noProof w:val="0"/>
                <w:rtl/>
              </w:rPr>
              <w:t xml:space="preserve"> </w:t>
            </w:r>
            <w:r w:rsidRPr="00800D9F">
              <w:rPr>
                <w:rFonts w:hint="eastAsia"/>
                <w:b w:val="0"/>
                <w:bCs w:val="0"/>
                <w:noProof w:val="0"/>
                <w:rtl/>
              </w:rPr>
              <w:t>ליוויים</w:t>
            </w:r>
            <w:r w:rsidRPr="00800D9F">
              <w:rPr>
                <w:b w:val="0"/>
                <w:bCs w:val="0"/>
                <w:noProof w:val="0"/>
                <w:rtl/>
              </w:rPr>
              <w:t xml:space="preserve"> </w:t>
            </w:r>
            <w:r w:rsidRPr="00800D9F">
              <w:rPr>
                <w:rFonts w:hint="eastAsia"/>
                <w:b w:val="0"/>
                <w:bCs w:val="0"/>
                <w:noProof w:val="0"/>
                <w:rtl/>
              </w:rPr>
              <w:t>בשנה</w:t>
            </w:r>
            <w:r w:rsidRPr="00800D9F">
              <w:rPr>
                <w:b w:val="0"/>
                <w:bCs w:val="0"/>
                <w:noProof w:val="0"/>
                <w:rtl/>
              </w:rPr>
              <w:t xml:space="preserve">. </w:t>
            </w:r>
            <w:r w:rsidRPr="00800D9F">
              <w:rPr>
                <w:rFonts w:hint="eastAsia"/>
                <w:b w:val="0"/>
                <w:bCs w:val="0"/>
                <w:noProof w:val="0"/>
                <w:rtl/>
              </w:rPr>
              <w:t>כמו</w:t>
            </w:r>
            <w:r w:rsidRPr="00800D9F">
              <w:rPr>
                <w:b w:val="0"/>
                <w:bCs w:val="0"/>
                <w:noProof w:val="0"/>
                <w:rtl/>
              </w:rPr>
              <w:t xml:space="preserve"> </w:t>
            </w:r>
            <w:r w:rsidRPr="00800D9F">
              <w:rPr>
                <w:rFonts w:hint="eastAsia"/>
                <w:b w:val="0"/>
                <w:bCs w:val="0"/>
                <w:noProof w:val="0"/>
                <w:rtl/>
              </w:rPr>
              <w:t>כן</w:t>
            </w:r>
            <w:r w:rsidRPr="00800D9F">
              <w:rPr>
                <w:b w:val="0"/>
                <w:bCs w:val="0"/>
                <w:noProof w:val="0"/>
                <w:rtl/>
              </w:rPr>
              <w:t xml:space="preserve"> </w:t>
            </w:r>
            <w:r w:rsidRPr="00800D9F">
              <w:rPr>
                <w:rFonts w:hint="eastAsia"/>
                <w:b w:val="0"/>
                <w:bCs w:val="0"/>
                <w:noProof w:val="0"/>
                <w:rtl/>
              </w:rPr>
              <w:t>המשיכה</w:t>
            </w:r>
            <w:r w:rsidRPr="00800D9F">
              <w:rPr>
                <w:b w:val="0"/>
                <w:bCs w:val="0"/>
                <w:noProof w:val="0"/>
                <w:rtl/>
              </w:rPr>
              <w:t xml:space="preserve"> </w:t>
            </w:r>
            <w:r w:rsidRPr="00800D9F">
              <w:rPr>
                <w:rFonts w:hint="eastAsia"/>
                <w:b w:val="0"/>
                <w:bCs w:val="0"/>
                <w:noProof w:val="0"/>
                <w:rtl/>
              </w:rPr>
              <w:t>המשטרה</w:t>
            </w:r>
            <w:r w:rsidRPr="00800D9F">
              <w:rPr>
                <w:b w:val="0"/>
                <w:bCs w:val="0"/>
                <w:noProof w:val="0"/>
                <w:rtl/>
              </w:rPr>
              <w:t xml:space="preserve"> להלין </w:t>
            </w:r>
            <w:r w:rsidRPr="00800D9F">
              <w:rPr>
                <w:rFonts w:hint="eastAsia"/>
                <w:b w:val="0"/>
                <w:bCs w:val="0"/>
                <w:noProof w:val="0"/>
                <w:rtl/>
              </w:rPr>
              <w:t>כ</w:t>
            </w:r>
            <w:r w:rsidRPr="00800D9F">
              <w:rPr>
                <w:b w:val="0"/>
                <w:bCs w:val="0"/>
                <w:noProof w:val="0"/>
                <w:rtl/>
              </w:rPr>
              <w:t>-2</w:t>
            </w:r>
            <w:r w:rsidRPr="00800D9F">
              <w:rPr>
                <w:rFonts w:hint="cs"/>
                <w:b w:val="0"/>
                <w:bCs w:val="0"/>
                <w:noProof w:val="0"/>
                <w:rtl/>
              </w:rPr>
              <w:t>3</w:t>
            </w:r>
            <w:r w:rsidRPr="00800D9F">
              <w:rPr>
                <w:b w:val="0"/>
                <w:bCs w:val="0"/>
                <w:noProof w:val="0"/>
                <w:rtl/>
              </w:rPr>
              <w:t xml:space="preserve">,000 </w:t>
            </w:r>
            <w:r w:rsidRPr="00800D9F">
              <w:rPr>
                <w:rFonts w:hint="eastAsia"/>
                <w:b w:val="0"/>
                <w:bCs w:val="0"/>
                <w:noProof w:val="0"/>
                <w:rtl/>
              </w:rPr>
              <w:t>עצורים</w:t>
            </w:r>
            <w:r w:rsidRPr="00800D9F">
              <w:rPr>
                <w:b w:val="0"/>
                <w:bCs w:val="0"/>
                <w:noProof w:val="0"/>
                <w:rtl/>
              </w:rPr>
              <w:t xml:space="preserve"> </w:t>
            </w:r>
            <w:r w:rsidRPr="00800D9F">
              <w:rPr>
                <w:rFonts w:hint="eastAsia"/>
                <w:b w:val="0"/>
                <w:bCs w:val="0"/>
                <w:noProof w:val="0"/>
                <w:rtl/>
              </w:rPr>
              <w:t>בשנה</w:t>
            </w:r>
            <w:r w:rsidRPr="00800D9F">
              <w:rPr>
                <w:rFonts w:hint="cs"/>
                <w:b w:val="0"/>
                <w:bCs w:val="0"/>
                <w:noProof w:val="0"/>
                <w:rtl/>
              </w:rPr>
              <w:t>.</w:t>
            </w:r>
          </w:p>
          <w:p w:rsidR="006B67C2" w:rsidRPr="00800D9F" w:rsidP="008A6D26">
            <w:pPr>
              <w:pStyle w:val="takzir"/>
              <w:spacing w:line="230" w:lineRule="exact"/>
              <w:rPr>
                <w:b w:val="0"/>
                <w:bCs w:val="0"/>
                <w:noProof w:val="0"/>
                <w:rtl/>
              </w:rPr>
            </w:pPr>
            <w:r w:rsidRPr="00800D9F">
              <w:rPr>
                <w:rFonts w:hint="cs"/>
                <w:b w:val="0"/>
                <w:bCs w:val="0"/>
                <w:noProof w:val="0"/>
                <w:rtl/>
              </w:rPr>
              <w:t>חוקרי המשטרה עושים שימוש מצומצם בחדרי החקירות שהוקצו להם על ידי שירות בתי הסוהר בבתי המעצר, אף ש</w:t>
            </w:r>
            <w:r w:rsidRPr="00800D9F">
              <w:rPr>
                <w:rFonts w:hint="eastAsia"/>
                <w:b w:val="0"/>
                <w:bCs w:val="0"/>
                <w:noProof w:val="0"/>
                <w:rtl/>
              </w:rPr>
              <w:t>שימוש</w:t>
            </w:r>
            <w:r w:rsidRPr="00800D9F">
              <w:rPr>
                <w:b w:val="0"/>
                <w:bCs w:val="0"/>
                <w:noProof w:val="0"/>
                <w:rtl/>
              </w:rPr>
              <w:t xml:space="preserve"> </w:t>
            </w:r>
            <w:r w:rsidRPr="00800D9F">
              <w:rPr>
                <w:rFonts w:hint="eastAsia"/>
                <w:b w:val="0"/>
                <w:bCs w:val="0"/>
                <w:noProof w:val="0"/>
                <w:rtl/>
              </w:rPr>
              <w:t>בחדרי</w:t>
            </w:r>
            <w:r w:rsidRPr="00800D9F">
              <w:rPr>
                <w:b w:val="0"/>
                <w:bCs w:val="0"/>
                <w:noProof w:val="0"/>
                <w:rtl/>
              </w:rPr>
              <w:t xml:space="preserve"> </w:t>
            </w:r>
            <w:r w:rsidRPr="00800D9F">
              <w:rPr>
                <w:rFonts w:hint="eastAsia"/>
                <w:b w:val="0"/>
                <w:bCs w:val="0"/>
                <w:noProof w:val="0"/>
                <w:rtl/>
              </w:rPr>
              <w:t>החקירה</w:t>
            </w:r>
            <w:r w:rsidRPr="00800D9F">
              <w:rPr>
                <w:b w:val="0"/>
                <w:bCs w:val="0"/>
                <w:noProof w:val="0"/>
                <w:rtl/>
              </w:rPr>
              <w:t xml:space="preserve"> </w:t>
            </w:r>
            <w:r w:rsidRPr="00800D9F">
              <w:rPr>
                <w:rFonts w:hint="eastAsia"/>
                <w:b w:val="0"/>
                <w:bCs w:val="0"/>
                <w:noProof w:val="0"/>
                <w:rtl/>
              </w:rPr>
              <w:t>במקרים</w:t>
            </w:r>
            <w:r w:rsidRPr="00800D9F">
              <w:rPr>
                <w:b w:val="0"/>
                <w:bCs w:val="0"/>
                <w:noProof w:val="0"/>
                <w:rtl/>
              </w:rPr>
              <w:t xml:space="preserve"> </w:t>
            </w:r>
            <w:r w:rsidRPr="00800D9F">
              <w:rPr>
                <w:rFonts w:hint="eastAsia"/>
                <w:b w:val="0"/>
                <w:bCs w:val="0"/>
                <w:noProof w:val="0"/>
                <w:rtl/>
              </w:rPr>
              <w:t>המתאימים</w:t>
            </w:r>
            <w:r w:rsidRPr="00800D9F">
              <w:rPr>
                <w:b w:val="0"/>
                <w:bCs w:val="0"/>
                <w:noProof w:val="0"/>
                <w:rtl/>
              </w:rPr>
              <w:t xml:space="preserve"> </w:t>
            </w:r>
            <w:r w:rsidRPr="00800D9F">
              <w:rPr>
                <w:rFonts w:hint="eastAsia"/>
                <w:b w:val="0"/>
                <w:bCs w:val="0"/>
                <w:noProof w:val="0"/>
                <w:rtl/>
              </w:rPr>
              <w:t>יכול</w:t>
            </w:r>
            <w:r w:rsidRPr="00800D9F">
              <w:rPr>
                <w:b w:val="0"/>
                <w:bCs w:val="0"/>
                <w:noProof w:val="0"/>
                <w:rtl/>
              </w:rPr>
              <w:t xml:space="preserve"> </w:t>
            </w:r>
            <w:r w:rsidRPr="00800D9F">
              <w:rPr>
                <w:rFonts w:hint="eastAsia"/>
                <w:b w:val="0"/>
                <w:bCs w:val="0"/>
                <w:noProof w:val="0"/>
                <w:rtl/>
              </w:rPr>
              <w:t>להקטין</w:t>
            </w:r>
            <w:r w:rsidRPr="00800D9F">
              <w:rPr>
                <w:b w:val="0"/>
                <w:bCs w:val="0"/>
                <w:noProof w:val="0"/>
                <w:rtl/>
              </w:rPr>
              <w:t xml:space="preserve"> </w:t>
            </w:r>
            <w:r w:rsidRPr="00800D9F">
              <w:rPr>
                <w:rFonts w:hint="eastAsia"/>
                <w:b w:val="0"/>
                <w:bCs w:val="0"/>
                <w:noProof w:val="0"/>
                <w:rtl/>
              </w:rPr>
              <w:t>את</w:t>
            </w:r>
            <w:r w:rsidRPr="00800D9F">
              <w:rPr>
                <w:b w:val="0"/>
                <w:bCs w:val="0"/>
                <w:noProof w:val="0"/>
                <w:rtl/>
              </w:rPr>
              <w:t xml:space="preserve"> </w:t>
            </w:r>
            <w:r w:rsidRPr="00800D9F">
              <w:rPr>
                <w:rFonts w:hint="cs"/>
                <w:b w:val="0"/>
                <w:bCs w:val="0"/>
                <w:noProof w:val="0"/>
                <w:rtl/>
              </w:rPr>
              <w:t>מספר</w:t>
            </w:r>
            <w:r w:rsidRPr="00800D9F">
              <w:rPr>
                <w:b w:val="0"/>
                <w:bCs w:val="0"/>
                <w:noProof w:val="0"/>
                <w:rtl/>
              </w:rPr>
              <w:t xml:space="preserve"> </w:t>
            </w:r>
            <w:r w:rsidRPr="00800D9F">
              <w:rPr>
                <w:rFonts w:hint="eastAsia"/>
                <w:b w:val="0"/>
                <w:bCs w:val="0"/>
                <w:noProof w:val="0"/>
                <w:rtl/>
              </w:rPr>
              <w:t>הליוויים</w:t>
            </w:r>
            <w:r w:rsidRPr="00800D9F">
              <w:rPr>
                <w:rFonts w:hint="cs"/>
                <w:b w:val="0"/>
                <w:bCs w:val="0"/>
                <w:noProof w:val="0"/>
                <w:rtl/>
              </w:rPr>
              <w:t>.</w:t>
            </w:r>
          </w:p>
          <w:p w:rsidR="006B67C2" w:rsidRPr="00800D9F" w:rsidP="008A6D26">
            <w:pPr>
              <w:pStyle w:val="takzir"/>
              <w:spacing w:line="230" w:lineRule="exact"/>
              <w:rPr>
                <w:b w:val="0"/>
                <w:bCs w:val="0"/>
                <w:noProof w:val="0"/>
                <w:rtl/>
              </w:rPr>
            </w:pPr>
            <w:r w:rsidRPr="00800D9F">
              <w:rPr>
                <w:rFonts w:hint="cs"/>
                <w:b w:val="0"/>
                <w:bCs w:val="0"/>
                <w:noProof w:val="0"/>
                <w:rtl/>
              </w:rPr>
              <w:t>המחלוקות שנתגלעו בין המשטרה ושב</w:t>
            </w:r>
            <w:r w:rsidRPr="00800D9F">
              <w:rPr>
                <w:b w:val="0"/>
                <w:bCs w:val="0"/>
                <w:noProof w:val="0"/>
                <w:rtl/>
              </w:rPr>
              <w:t>"</w:t>
            </w:r>
            <w:r w:rsidRPr="00800D9F">
              <w:rPr>
                <w:rFonts w:hint="cs"/>
                <w:b w:val="0"/>
                <w:bCs w:val="0"/>
                <w:noProof w:val="0"/>
                <w:rtl/>
              </w:rPr>
              <w:t xml:space="preserve">ס בנושא הטיפול בעצורים פוגעות בפעילות המבצעית של המשטרה. חברה שבדקה מטעם המשרד לבט"פ את נושא ליווי העצורים והשמירה עליהם בתחנות המשטרה, העלתה אף היא ששוטרי הסיור עסוקים שעות רבות במשימות ליווי ושמירה של עצורים על חשבון שעות סיור וזמן נוכחות בשטח. החברה העריכה כי 15%-10% מזמן הסייר במשמרת מוקדש לשמירה ולליווי, וכי העלות היומית של הטיפול בעצורים ברמה הארצית היא שוות ערך לאומדן עלויות ההעסקה של כ-300 שוטרי סיור ביממה. </w:t>
            </w:r>
          </w:p>
          <w:p w:rsidR="006B67C2" w:rsidRPr="00800D9F" w:rsidP="008A6D26">
            <w:pPr>
              <w:pStyle w:val="takzir"/>
              <w:spacing w:line="230" w:lineRule="exact"/>
              <w:rPr>
                <w:b w:val="0"/>
                <w:bCs w:val="0"/>
                <w:noProof w:val="0"/>
                <w:rtl/>
              </w:rPr>
            </w:pPr>
            <w:r w:rsidRPr="00800D9F">
              <w:rPr>
                <w:rFonts w:hint="cs"/>
                <w:b w:val="0"/>
                <w:bCs w:val="0"/>
                <w:noProof w:val="0"/>
                <w:rtl/>
              </w:rPr>
              <w:t xml:space="preserve">הניסיון שנצבר בנושא זה ודוח החברה מדגישים </w:t>
            </w:r>
            <w:r w:rsidRPr="00800D9F">
              <w:rPr>
                <w:b w:val="0"/>
                <w:bCs w:val="0"/>
                <w:noProof w:val="0"/>
                <w:rtl/>
              </w:rPr>
              <w:t xml:space="preserve">שלא ניתן להימנע לחלוטין מביצוע </w:t>
            </w:r>
            <w:r w:rsidRPr="00800D9F">
              <w:rPr>
                <w:rFonts w:hint="cs"/>
                <w:b w:val="0"/>
                <w:bCs w:val="0"/>
                <w:noProof w:val="0"/>
                <w:rtl/>
              </w:rPr>
              <w:t>מקצת</w:t>
            </w:r>
            <w:r w:rsidRPr="00800D9F">
              <w:rPr>
                <w:b w:val="0"/>
                <w:bCs w:val="0"/>
                <w:noProof w:val="0"/>
                <w:rtl/>
              </w:rPr>
              <w:t xml:space="preserve"> ממשימות הליווי והכליאה </w:t>
            </w:r>
            <w:r w:rsidRPr="00800D9F">
              <w:rPr>
                <w:rFonts w:hint="cs"/>
                <w:b w:val="0"/>
                <w:bCs w:val="0"/>
                <w:noProof w:val="0"/>
                <w:rtl/>
              </w:rPr>
              <w:t>ב</w:t>
            </w:r>
            <w:r w:rsidRPr="00800D9F">
              <w:rPr>
                <w:b w:val="0"/>
                <w:bCs w:val="0"/>
                <w:noProof w:val="0"/>
                <w:rtl/>
              </w:rPr>
              <w:t xml:space="preserve">ידי </w:t>
            </w:r>
            <w:r w:rsidRPr="00800D9F">
              <w:rPr>
                <w:rFonts w:hint="cs"/>
                <w:b w:val="0"/>
                <w:bCs w:val="0"/>
                <w:noProof w:val="0"/>
                <w:rtl/>
              </w:rPr>
              <w:t>ה</w:t>
            </w:r>
            <w:r w:rsidRPr="00800D9F">
              <w:rPr>
                <w:b w:val="0"/>
                <w:bCs w:val="0"/>
                <w:noProof w:val="0"/>
                <w:rtl/>
              </w:rPr>
              <w:t>משטר</w:t>
            </w:r>
            <w:r w:rsidRPr="00800D9F">
              <w:rPr>
                <w:rFonts w:hint="cs"/>
                <w:b w:val="0"/>
                <w:bCs w:val="0"/>
                <w:noProof w:val="0"/>
                <w:rtl/>
              </w:rPr>
              <w:t>ה</w:t>
            </w:r>
            <w:r w:rsidRPr="00800D9F">
              <w:rPr>
                <w:b w:val="0"/>
                <w:bCs w:val="0"/>
                <w:noProof w:val="0"/>
                <w:rtl/>
              </w:rPr>
              <w:t xml:space="preserve">. </w:t>
            </w:r>
            <w:r w:rsidRPr="00800D9F">
              <w:rPr>
                <w:rFonts w:hint="cs"/>
                <w:b w:val="0"/>
                <w:bCs w:val="0"/>
                <w:noProof w:val="0"/>
                <w:rtl/>
              </w:rPr>
              <w:t>אולם המשטרה לא ניתחה באופן שוטף את הנתונים על מספר הליוויים שהיא מבצעת כדי להגדיר מה כמות הליוויים שהיא יכולה לעמוד בה, בלי שמשימותיה המבצעיות ייפגעו.</w:t>
            </w:r>
          </w:p>
        </w:tc>
      </w:tr>
    </w:tbl>
    <w:p w:rsidR="00800D9F" w:rsidP="008A6D26">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686854">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691" w:type="dxa"/>
            <w:shd w:val="pct10" w:color="auto" w:fill="auto"/>
          </w:tcPr>
          <w:p w:rsidR="00800D9F" w:rsidP="008A6D26">
            <w:pPr>
              <w:pStyle w:val="KOT5"/>
              <w:spacing w:before="120"/>
              <w:jc w:val="center"/>
              <w:rPr>
                <w:sz w:val="24"/>
                <w:szCs w:val="24"/>
                <w:rtl/>
              </w:rPr>
            </w:pPr>
            <w:r w:rsidRPr="00800D9F">
              <w:rPr>
                <w:rFonts w:hint="eastAsia"/>
                <w:sz w:val="24"/>
                <w:szCs w:val="24"/>
                <w:rtl/>
              </w:rPr>
              <w:t>הסכם</w:t>
            </w:r>
            <w:r w:rsidRPr="00800D9F">
              <w:rPr>
                <w:sz w:val="24"/>
                <w:szCs w:val="24"/>
                <w:rtl/>
              </w:rPr>
              <w:t xml:space="preserve"> 2014</w:t>
            </w:r>
          </w:p>
        </w:tc>
      </w:tr>
      <w:tr w:rsidTr="00686854">
        <w:tblPrEx>
          <w:tblW w:w="6691" w:type="dxa"/>
          <w:jc w:val="center"/>
          <w:tblLook w:val="04A0"/>
        </w:tblPrEx>
        <w:trPr>
          <w:jc w:val="center"/>
        </w:trPr>
        <w:tc>
          <w:tcPr>
            <w:tcW w:w="6691" w:type="dxa"/>
          </w:tcPr>
          <w:p w:rsidR="00800D9F" w:rsidRPr="00800D9F" w:rsidP="008A6D26">
            <w:pPr>
              <w:pStyle w:val="takzir"/>
              <w:spacing w:before="60"/>
              <w:rPr>
                <w:b w:val="0"/>
                <w:bCs w:val="0"/>
                <w:noProof w:val="0"/>
                <w:rtl/>
              </w:rPr>
            </w:pPr>
            <w:r w:rsidRPr="00800D9F">
              <w:rPr>
                <w:rFonts w:hint="eastAsia"/>
                <w:b w:val="0"/>
                <w:bCs w:val="0"/>
                <w:noProof w:val="0"/>
                <w:rtl/>
              </w:rPr>
              <w:t>הסכם</w:t>
            </w:r>
            <w:r w:rsidRPr="00800D9F">
              <w:rPr>
                <w:b w:val="0"/>
                <w:bCs w:val="0"/>
                <w:noProof w:val="0"/>
                <w:rtl/>
              </w:rPr>
              <w:t xml:space="preserve"> 2014 </w:t>
            </w:r>
            <w:r w:rsidRPr="00800D9F">
              <w:rPr>
                <w:rFonts w:hint="eastAsia"/>
                <w:b w:val="0"/>
                <w:bCs w:val="0"/>
                <w:noProof w:val="0"/>
                <w:rtl/>
              </w:rPr>
              <w:t>נועד</w:t>
            </w:r>
            <w:r w:rsidRPr="00800D9F">
              <w:rPr>
                <w:b w:val="0"/>
                <w:bCs w:val="0"/>
                <w:noProof w:val="0"/>
                <w:rtl/>
              </w:rPr>
              <w:t xml:space="preserve"> </w:t>
            </w:r>
            <w:r w:rsidRPr="00800D9F">
              <w:rPr>
                <w:rFonts w:hint="cs"/>
                <w:b w:val="0"/>
                <w:bCs w:val="0"/>
                <w:noProof w:val="0"/>
                <w:rtl/>
              </w:rPr>
              <w:t>ליישב את עיקר המחלוקות בין הגופים. בסיום הסכם 2014</w:t>
            </w:r>
            <w:r w:rsidRPr="00800D9F">
              <w:rPr>
                <w:b w:val="0"/>
                <w:bCs w:val="0"/>
                <w:noProof w:val="0"/>
                <w:rtl/>
              </w:rPr>
              <w:t xml:space="preserve"> </w:t>
            </w:r>
            <w:r w:rsidRPr="00800D9F">
              <w:rPr>
                <w:rFonts w:hint="eastAsia"/>
                <w:b w:val="0"/>
                <w:bCs w:val="0"/>
                <w:noProof w:val="0"/>
                <w:rtl/>
              </w:rPr>
              <w:t>נכתב</w:t>
            </w:r>
            <w:r w:rsidRPr="00800D9F">
              <w:rPr>
                <w:b w:val="0"/>
                <w:bCs w:val="0"/>
                <w:noProof w:val="0"/>
                <w:rtl/>
              </w:rPr>
              <w:t xml:space="preserve"> </w:t>
            </w:r>
            <w:r w:rsidRPr="00800D9F">
              <w:rPr>
                <w:rFonts w:hint="cs"/>
                <w:b w:val="0"/>
                <w:bCs w:val="0"/>
                <w:noProof w:val="0"/>
                <w:rtl/>
              </w:rPr>
              <w:t>ש</w:t>
            </w:r>
            <w:r w:rsidRPr="00800D9F">
              <w:rPr>
                <w:rFonts w:hint="eastAsia"/>
                <w:b w:val="0"/>
                <w:bCs w:val="0"/>
                <w:noProof w:val="0"/>
                <w:rtl/>
              </w:rPr>
              <w:t>עד</w:t>
            </w:r>
            <w:r w:rsidRPr="00800D9F">
              <w:rPr>
                <w:b w:val="0"/>
                <w:bCs w:val="0"/>
                <w:noProof w:val="0"/>
                <w:rtl/>
              </w:rPr>
              <w:t xml:space="preserve"> </w:t>
            </w:r>
            <w:r w:rsidRPr="00800D9F">
              <w:rPr>
                <w:rFonts w:hint="eastAsia"/>
                <w:b w:val="0"/>
                <w:bCs w:val="0"/>
                <w:noProof w:val="0"/>
                <w:rtl/>
              </w:rPr>
              <w:t>חודש</w:t>
            </w:r>
            <w:r w:rsidRPr="00800D9F">
              <w:rPr>
                <w:b w:val="0"/>
                <w:bCs w:val="0"/>
                <w:noProof w:val="0"/>
                <w:rtl/>
              </w:rPr>
              <w:t xml:space="preserve"> </w:t>
            </w:r>
            <w:r w:rsidRPr="00800D9F">
              <w:rPr>
                <w:rFonts w:hint="eastAsia"/>
                <w:b w:val="0"/>
                <w:bCs w:val="0"/>
                <w:noProof w:val="0"/>
                <w:rtl/>
              </w:rPr>
              <w:t>ספטמבר</w:t>
            </w:r>
            <w:r w:rsidRPr="00800D9F">
              <w:rPr>
                <w:b w:val="0"/>
                <w:bCs w:val="0"/>
                <w:noProof w:val="0"/>
                <w:rtl/>
              </w:rPr>
              <w:t xml:space="preserve"> 2014</w:t>
            </w:r>
            <w:r w:rsidRPr="00800D9F">
              <w:rPr>
                <w:rFonts w:hint="cs"/>
                <w:b w:val="0"/>
                <w:bCs w:val="0"/>
                <w:noProof w:val="0"/>
                <w:rtl/>
              </w:rPr>
              <w:t xml:space="preserve"> י</w:t>
            </w:r>
            <w:r w:rsidRPr="00800D9F">
              <w:rPr>
                <w:b w:val="0"/>
                <w:bCs w:val="0"/>
                <w:noProof w:val="0"/>
                <w:rtl/>
              </w:rPr>
              <w:t xml:space="preserve">נוסח </w:t>
            </w:r>
            <w:r w:rsidRPr="00800D9F">
              <w:rPr>
                <w:rFonts w:hint="cs"/>
                <w:b w:val="0"/>
                <w:bCs w:val="0"/>
                <w:noProof w:val="0"/>
                <w:rtl/>
              </w:rPr>
              <w:t>הסכם</w:t>
            </w:r>
            <w:r w:rsidRPr="00800D9F">
              <w:rPr>
                <w:b w:val="0"/>
                <w:bCs w:val="0"/>
                <w:noProof w:val="0"/>
                <w:rtl/>
              </w:rPr>
              <w:t xml:space="preserve"> </w:t>
            </w:r>
            <w:r w:rsidRPr="00800D9F">
              <w:rPr>
                <w:rFonts w:hint="cs"/>
                <w:b w:val="0"/>
                <w:bCs w:val="0"/>
                <w:noProof w:val="0"/>
                <w:rtl/>
              </w:rPr>
              <w:t>מתכלל</w:t>
            </w:r>
            <w:r w:rsidRPr="00800D9F">
              <w:rPr>
                <w:b w:val="0"/>
                <w:bCs w:val="0"/>
                <w:noProof w:val="0"/>
                <w:rtl/>
              </w:rPr>
              <w:t xml:space="preserve"> להסדר</w:t>
            </w:r>
            <w:r w:rsidRPr="00800D9F">
              <w:rPr>
                <w:rFonts w:hint="cs"/>
                <w:b w:val="0"/>
                <w:bCs w:val="0"/>
                <w:noProof w:val="0"/>
                <w:rtl/>
              </w:rPr>
              <w:t>ה</w:t>
            </w:r>
            <w:r w:rsidRPr="00800D9F">
              <w:rPr>
                <w:b w:val="0"/>
                <w:bCs w:val="0"/>
                <w:noProof w:val="0"/>
                <w:rtl/>
              </w:rPr>
              <w:t xml:space="preserve"> </w:t>
            </w:r>
            <w:r w:rsidRPr="00800D9F">
              <w:rPr>
                <w:rFonts w:hint="cs"/>
                <w:b w:val="0"/>
                <w:bCs w:val="0"/>
                <w:noProof w:val="0"/>
                <w:rtl/>
              </w:rPr>
              <w:t>מלאה של האחריות ל</w:t>
            </w:r>
            <w:r w:rsidRPr="00800D9F">
              <w:rPr>
                <w:b w:val="0"/>
                <w:bCs w:val="0"/>
                <w:noProof w:val="0"/>
                <w:rtl/>
              </w:rPr>
              <w:t>ליווי האסירים ו</w:t>
            </w:r>
            <w:r w:rsidRPr="00800D9F">
              <w:rPr>
                <w:rFonts w:hint="cs"/>
                <w:b w:val="0"/>
                <w:bCs w:val="0"/>
                <w:noProof w:val="0"/>
                <w:rtl/>
              </w:rPr>
              <w:t>ה</w:t>
            </w:r>
            <w:r w:rsidRPr="00800D9F">
              <w:rPr>
                <w:b w:val="0"/>
                <w:bCs w:val="0"/>
                <w:noProof w:val="0"/>
                <w:rtl/>
              </w:rPr>
              <w:t xml:space="preserve">עצורים </w:t>
            </w:r>
            <w:r w:rsidRPr="00800D9F">
              <w:rPr>
                <w:rFonts w:hint="eastAsia"/>
                <w:b w:val="0"/>
                <w:bCs w:val="0"/>
                <w:noProof w:val="0"/>
                <w:rtl/>
              </w:rPr>
              <w:t>בין</w:t>
            </w:r>
            <w:r w:rsidRPr="00800D9F">
              <w:rPr>
                <w:b w:val="0"/>
                <w:bCs w:val="0"/>
                <w:noProof w:val="0"/>
                <w:rtl/>
              </w:rPr>
              <w:t xml:space="preserve"> </w:t>
            </w:r>
            <w:r w:rsidRPr="00800D9F">
              <w:rPr>
                <w:rFonts w:hint="cs"/>
                <w:b w:val="0"/>
                <w:bCs w:val="0"/>
                <w:noProof w:val="0"/>
                <w:rtl/>
              </w:rPr>
              <w:t>ה</w:t>
            </w:r>
            <w:r w:rsidRPr="00800D9F">
              <w:rPr>
                <w:b w:val="0"/>
                <w:bCs w:val="0"/>
                <w:noProof w:val="0"/>
                <w:rtl/>
              </w:rPr>
              <w:t>משטר</w:t>
            </w:r>
            <w:r w:rsidRPr="00800D9F">
              <w:rPr>
                <w:rFonts w:hint="cs"/>
                <w:b w:val="0"/>
                <w:bCs w:val="0"/>
                <w:noProof w:val="0"/>
                <w:rtl/>
              </w:rPr>
              <w:t xml:space="preserve">ה </w:t>
            </w:r>
            <w:r w:rsidRPr="00800D9F">
              <w:rPr>
                <w:b w:val="0"/>
                <w:bCs w:val="0"/>
                <w:noProof w:val="0"/>
                <w:rtl/>
              </w:rPr>
              <w:t>ושב"ס</w:t>
            </w:r>
            <w:r w:rsidRPr="00800D9F">
              <w:rPr>
                <w:rFonts w:hint="cs"/>
                <w:b w:val="0"/>
                <w:bCs w:val="0"/>
                <w:noProof w:val="0"/>
                <w:rtl/>
              </w:rPr>
              <w:t>.</w:t>
            </w:r>
            <w:r w:rsidRPr="00800D9F">
              <w:rPr>
                <w:b w:val="0"/>
                <w:bCs w:val="0"/>
                <w:noProof w:val="0"/>
                <w:rtl/>
              </w:rPr>
              <w:t xml:space="preserve"> </w:t>
            </w:r>
            <w:r w:rsidRPr="00800D9F">
              <w:rPr>
                <w:rFonts w:hint="cs"/>
                <w:b w:val="0"/>
                <w:bCs w:val="0"/>
                <w:noProof w:val="0"/>
                <w:rtl/>
              </w:rPr>
              <w:t>במרץ</w:t>
            </w:r>
            <w:r w:rsidRPr="00800D9F">
              <w:rPr>
                <w:b w:val="0"/>
                <w:bCs w:val="0"/>
                <w:noProof w:val="0"/>
                <w:rtl/>
              </w:rPr>
              <w:t xml:space="preserve"> </w:t>
            </w:r>
            <w:r w:rsidRPr="00800D9F">
              <w:rPr>
                <w:rFonts w:hint="cs"/>
                <w:b w:val="0"/>
                <w:bCs w:val="0"/>
                <w:noProof w:val="0"/>
                <w:rtl/>
              </w:rPr>
              <w:t>2014 חתמו המשטרה ושב</w:t>
            </w:r>
            <w:r w:rsidRPr="00800D9F">
              <w:rPr>
                <w:b w:val="0"/>
                <w:bCs w:val="0"/>
                <w:noProof w:val="0"/>
                <w:rtl/>
              </w:rPr>
              <w:t>"</w:t>
            </w:r>
            <w:r w:rsidRPr="00800D9F">
              <w:rPr>
                <w:rFonts w:hint="cs"/>
                <w:b w:val="0"/>
                <w:bCs w:val="0"/>
                <w:noProof w:val="0"/>
                <w:rtl/>
              </w:rPr>
              <w:t xml:space="preserve">ס על ההסכם, אולם עד ינואר 2015 לא נחתם הסכם מתכלל. </w:t>
            </w:r>
          </w:p>
          <w:p w:rsidR="00800D9F" w:rsidRPr="00800D9F" w:rsidP="008A6D26">
            <w:pPr>
              <w:pStyle w:val="takzir"/>
              <w:spacing w:before="60"/>
              <w:rPr>
                <w:b w:val="0"/>
                <w:bCs w:val="0"/>
                <w:noProof w:val="0"/>
                <w:rtl/>
              </w:rPr>
            </w:pPr>
            <w:r w:rsidRPr="00800D9F">
              <w:rPr>
                <w:rFonts w:hint="cs"/>
                <w:b w:val="0"/>
                <w:bCs w:val="0"/>
                <w:noProof w:val="0"/>
                <w:rtl/>
              </w:rPr>
              <w:t>גם לאחר החתימה על הסכם 2014 שנועד ליישר את ההדורים בין המשטרה ושב</w:t>
            </w:r>
            <w:r w:rsidRPr="00800D9F">
              <w:rPr>
                <w:b w:val="0"/>
                <w:bCs w:val="0"/>
                <w:noProof w:val="0"/>
                <w:rtl/>
              </w:rPr>
              <w:t>"</w:t>
            </w:r>
            <w:r w:rsidRPr="00800D9F">
              <w:rPr>
                <w:rFonts w:hint="cs"/>
                <w:b w:val="0"/>
                <w:bCs w:val="0"/>
                <w:noProof w:val="0"/>
                <w:rtl/>
              </w:rPr>
              <w:t>ס, לא נפתרו המחלוקות ביניהם. בפועל, מיד לאחר החתימה אי-ההסכמות בין המשטרה לשב"ס המשיכו להתקיים, בעיקר בכל הקשור לקליטת עצורים ללא תלות במצבם הבריאותי ולקליטת עצורים בבית המעצר הטריטוריאלי של היחידה העוצרת.</w:t>
            </w:r>
          </w:p>
          <w:p w:rsidR="00800D9F" w:rsidRPr="00800D9F" w:rsidP="008A6D26">
            <w:pPr>
              <w:pStyle w:val="takzir"/>
              <w:spacing w:before="60"/>
              <w:rPr>
                <w:b w:val="0"/>
                <w:bCs w:val="0"/>
                <w:noProof w:val="0"/>
                <w:rtl/>
              </w:rPr>
            </w:pPr>
            <w:r w:rsidRPr="00800D9F">
              <w:rPr>
                <w:rFonts w:hint="cs"/>
                <w:b w:val="0"/>
                <w:bCs w:val="0"/>
                <w:noProof w:val="0"/>
                <w:rtl/>
              </w:rPr>
              <w:t>מחלוקות רבות התעוררו סביב ההיבטים הרפואיים הקשורים בקליטת העצורים. במיוחד הדברים אמורים לגבי קליטת עצורים חולים ובעלי מגבלות רפואיות. בהסכם 2014 נוספו אמנם הבהרות לנושא זה, אולם לא הוכנו נהלים מפורטים המסדירים את הטיפול בהיבטים אלה, תוך חלוקה ברורה של האחריות הרלוונטית בין המשטרה לשב"ס.</w:t>
            </w:r>
          </w:p>
          <w:p w:rsidR="00800D9F" w:rsidRPr="00800D9F" w:rsidP="008A6D26">
            <w:pPr>
              <w:pStyle w:val="takzir"/>
              <w:spacing w:before="60"/>
              <w:rPr>
                <w:b w:val="0"/>
                <w:bCs w:val="0"/>
                <w:noProof w:val="0"/>
                <w:rtl/>
              </w:rPr>
            </w:pPr>
            <w:r w:rsidRPr="00800D9F">
              <w:rPr>
                <w:rFonts w:hint="eastAsia"/>
                <w:b w:val="0"/>
                <w:bCs w:val="0"/>
                <w:noProof w:val="0"/>
                <w:rtl/>
              </w:rPr>
              <w:t>הציפייה</w:t>
            </w:r>
            <w:r w:rsidRPr="00800D9F">
              <w:rPr>
                <w:b w:val="0"/>
                <w:bCs w:val="0"/>
                <w:noProof w:val="0"/>
                <w:rtl/>
              </w:rPr>
              <w:t xml:space="preserve"> </w:t>
            </w:r>
            <w:r w:rsidRPr="00800D9F">
              <w:rPr>
                <w:rFonts w:hint="eastAsia"/>
                <w:b w:val="0"/>
                <w:bCs w:val="0"/>
                <w:noProof w:val="0"/>
                <w:rtl/>
              </w:rPr>
              <w:t>של</w:t>
            </w:r>
            <w:r w:rsidRPr="00800D9F">
              <w:rPr>
                <w:b w:val="0"/>
                <w:bCs w:val="0"/>
                <w:noProof w:val="0"/>
                <w:rtl/>
              </w:rPr>
              <w:t xml:space="preserve"> </w:t>
            </w:r>
            <w:r w:rsidRPr="00800D9F">
              <w:rPr>
                <w:rFonts w:hint="eastAsia"/>
                <w:b w:val="0"/>
                <w:bCs w:val="0"/>
                <w:noProof w:val="0"/>
                <w:rtl/>
              </w:rPr>
              <w:t>גורמי</w:t>
            </w:r>
            <w:r w:rsidRPr="00800D9F">
              <w:rPr>
                <w:b w:val="0"/>
                <w:bCs w:val="0"/>
                <w:noProof w:val="0"/>
                <w:rtl/>
              </w:rPr>
              <w:t xml:space="preserve"> </w:t>
            </w:r>
            <w:r w:rsidRPr="00800D9F">
              <w:rPr>
                <w:rFonts w:hint="eastAsia"/>
                <w:b w:val="0"/>
                <w:bCs w:val="0"/>
                <w:noProof w:val="0"/>
                <w:rtl/>
              </w:rPr>
              <w:t>המשטרה</w:t>
            </w:r>
            <w:r w:rsidRPr="00800D9F">
              <w:rPr>
                <w:b w:val="0"/>
                <w:bCs w:val="0"/>
                <w:noProof w:val="0"/>
                <w:rtl/>
              </w:rPr>
              <w:t xml:space="preserve"> </w:t>
            </w:r>
            <w:r w:rsidRPr="00800D9F">
              <w:rPr>
                <w:rFonts w:hint="cs"/>
                <w:b w:val="0"/>
                <w:bCs w:val="0"/>
                <w:noProof w:val="0"/>
                <w:rtl/>
              </w:rPr>
              <w:t xml:space="preserve">לכך </w:t>
            </w:r>
            <w:r w:rsidRPr="00800D9F">
              <w:rPr>
                <w:rFonts w:hint="eastAsia"/>
                <w:b w:val="0"/>
                <w:bCs w:val="0"/>
                <w:noProof w:val="0"/>
                <w:rtl/>
              </w:rPr>
              <w:t>שבעקבות</w:t>
            </w:r>
            <w:r w:rsidRPr="00800D9F">
              <w:rPr>
                <w:b w:val="0"/>
                <w:bCs w:val="0"/>
                <w:noProof w:val="0"/>
                <w:rtl/>
              </w:rPr>
              <w:t xml:space="preserve"> </w:t>
            </w:r>
            <w:r w:rsidRPr="00800D9F">
              <w:rPr>
                <w:rFonts w:hint="eastAsia"/>
                <w:b w:val="0"/>
                <w:bCs w:val="0"/>
                <w:noProof w:val="0"/>
                <w:rtl/>
              </w:rPr>
              <w:t>ההסכם</w:t>
            </w:r>
            <w:r w:rsidRPr="00800D9F">
              <w:rPr>
                <w:b w:val="0"/>
                <w:bCs w:val="0"/>
                <w:noProof w:val="0"/>
                <w:rtl/>
              </w:rPr>
              <w:t xml:space="preserve"> </w:t>
            </w:r>
            <w:r w:rsidRPr="00800D9F">
              <w:rPr>
                <w:rFonts w:hint="eastAsia"/>
                <w:b w:val="0"/>
                <w:bCs w:val="0"/>
                <w:noProof w:val="0"/>
                <w:rtl/>
              </w:rPr>
              <w:t>יופנו</w:t>
            </w:r>
            <w:r w:rsidRPr="00800D9F">
              <w:rPr>
                <w:b w:val="0"/>
                <w:bCs w:val="0"/>
                <w:noProof w:val="0"/>
                <w:rtl/>
              </w:rPr>
              <w:t xml:space="preserve"> </w:t>
            </w:r>
            <w:r w:rsidRPr="00800D9F">
              <w:rPr>
                <w:rFonts w:hint="eastAsia"/>
                <w:b w:val="0"/>
                <w:bCs w:val="0"/>
                <w:noProof w:val="0"/>
                <w:rtl/>
              </w:rPr>
              <w:t>שוטרים</w:t>
            </w:r>
            <w:r w:rsidRPr="00800D9F">
              <w:rPr>
                <w:b w:val="0"/>
                <w:bCs w:val="0"/>
                <w:noProof w:val="0"/>
                <w:rtl/>
              </w:rPr>
              <w:t xml:space="preserve"> </w:t>
            </w:r>
            <w:r w:rsidRPr="00800D9F">
              <w:rPr>
                <w:rFonts w:hint="eastAsia"/>
                <w:b w:val="0"/>
                <w:bCs w:val="0"/>
                <w:noProof w:val="0"/>
                <w:rtl/>
              </w:rPr>
              <w:t>רבים</w:t>
            </w:r>
            <w:r w:rsidRPr="00800D9F">
              <w:rPr>
                <w:b w:val="0"/>
                <w:bCs w:val="0"/>
                <w:noProof w:val="0"/>
                <w:rtl/>
              </w:rPr>
              <w:t xml:space="preserve"> </w:t>
            </w:r>
            <w:r w:rsidRPr="00800D9F">
              <w:rPr>
                <w:rFonts w:hint="eastAsia"/>
                <w:b w:val="0"/>
                <w:bCs w:val="0"/>
                <w:noProof w:val="0"/>
                <w:rtl/>
              </w:rPr>
              <w:t>ממשימות</w:t>
            </w:r>
            <w:r w:rsidRPr="00800D9F">
              <w:rPr>
                <w:b w:val="0"/>
                <w:bCs w:val="0"/>
                <w:noProof w:val="0"/>
                <w:rtl/>
              </w:rPr>
              <w:t xml:space="preserve"> </w:t>
            </w:r>
            <w:r w:rsidRPr="00800D9F">
              <w:rPr>
                <w:rFonts w:hint="eastAsia"/>
                <w:b w:val="0"/>
                <w:bCs w:val="0"/>
                <w:noProof w:val="0"/>
                <w:rtl/>
              </w:rPr>
              <w:t>ליווי</w:t>
            </w:r>
            <w:r w:rsidRPr="00800D9F">
              <w:rPr>
                <w:b w:val="0"/>
                <w:bCs w:val="0"/>
                <w:noProof w:val="0"/>
                <w:rtl/>
              </w:rPr>
              <w:t xml:space="preserve"> </w:t>
            </w:r>
            <w:r w:rsidRPr="00800D9F">
              <w:rPr>
                <w:rFonts w:hint="eastAsia"/>
                <w:b w:val="0"/>
                <w:bCs w:val="0"/>
                <w:noProof w:val="0"/>
                <w:rtl/>
              </w:rPr>
              <w:t>ושמירה</w:t>
            </w:r>
            <w:r w:rsidRPr="00800D9F">
              <w:rPr>
                <w:b w:val="0"/>
                <w:bCs w:val="0"/>
                <w:noProof w:val="0"/>
                <w:rtl/>
              </w:rPr>
              <w:t xml:space="preserve"> </w:t>
            </w:r>
            <w:r w:rsidRPr="00800D9F">
              <w:rPr>
                <w:rFonts w:hint="eastAsia"/>
                <w:b w:val="0"/>
                <w:bCs w:val="0"/>
                <w:noProof w:val="0"/>
                <w:rtl/>
              </w:rPr>
              <w:t>על</w:t>
            </w:r>
            <w:r w:rsidRPr="00800D9F">
              <w:rPr>
                <w:b w:val="0"/>
                <w:bCs w:val="0"/>
                <w:noProof w:val="0"/>
                <w:rtl/>
              </w:rPr>
              <w:t xml:space="preserve"> </w:t>
            </w:r>
            <w:r w:rsidRPr="00800D9F">
              <w:rPr>
                <w:rFonts w:hint="eastAsia"/>
                <w:b w:val="0"/>
                <w:bCs w:val="0"/>
                <w:noProof w:val="0"/>
                <w:rtl/>
              </w:rPr>
              <w:t>עצורים</w:t>
            </w:r>
            <w:r w:rsidRPr="00800D9F">
              <w:rPr>
                <w:b w:val="0"/>
                <w:bCs w:val="0"/>
                <w:noProof w:val="0"/>
                <w:rtl/>
              </w:rPr>
              <w:t xml:space="preserve"> </w:t>
            </w:r>
            <w:r w:rsidRPr="00800D9F">
              <w:rPr>
                <w:rFonts w:hint="eastAsia"/>
                <w:b w:val="0"/>
                <w:bCs w:val="0"/>
                <w:noProof w:val="0"/>
                <w:rtl/>
              </w:rPr>
              <w:t>למשימותיהם</w:t>
            </w:r>
            <w:r w:rsidRPr="00800D9F">
              <w:rPr>
                <w:b w:val="0"/>
                <w:bCs w:val="0"/>
                <w:noProof w:val="0"/>
                <w:rtl/>
              </w:rPr>
              <w:t xml:space="preserve"> </w:t>
            </w:r>
            <w:r w:rsidRPr="00800D9F">
              <w:rPr>
                <w:rFonts w:hint="eastAsia"/>
                <w:b w:val="0"/>
                <w:bCs w:val="0"/>
                <w:noProof w:val="0"/>
                <w:rtl/>
              </w:rPr>
              <w:t>הייעודיות</w:t>
            </w:r>
            <w:r w:rsidRPr="00800D9F">
              <w:rPr>
                <w:b w:val="0"/>
                <w:bCs w:val="0"/>
                <w:noProof w:val="0"/>
                <w:rtl/>
              </w:rPr>
              <w:t xml:space="preserve"> </w:t>
            </w:r>
            <w:r w:rsidRPr="00800D9F">
              <w:rPr>
                <w:rFonts w:hint="eastAsia"/>
                <w:b w:val="0"/>
                <w:bCs w:val="0"/>
                <w:noProof w:val="0"/>
                <w:rtl/>
              </w:rPr>
              <w:t>בתחום</w:t>
            </w:r>
            <w:r w:rsidRPr="00800D9F">
              <w:rPr>
                <w:b w:val="0"/>
                <w:bCs w:val="0"/>
                <w:noProof w:val="0"/>
                <w:rtl/>
              </w:rPr>
              <w:t xml:space="preserve"> </w:t>
            </w:r>
            <w:r w:rsidRPr="00800D9F">
              <w:rPr>
                <w:rFonts w:hint="eastAsia"/>
                <w:b w:val="0"/>
                <w:bCs w:val="0"/>
                <w:noProof w:val="0"/>
                <w:rtl/>
              </w:rPr>
              <w:t>השיטור</w:t>
            </w:r>
            <w:r w:rsidRPr="00800D9F">
              <w:rPr>
                <w:b w:val="0"/>
                <w:bCs w:val="0"/>
                <w:noProof w:val="0"/>
                <w:rtl/>
              </w:rPr>
              <w:t xml:space="preserve"> </w:t>
            </w:r>
            <w:r w:rsidRPr="00800D9F">
              <w:rPr>
                <w:rFonts w:hint="eastAsia"/>
                <w:b w:val="0"/>
                <w:bCs w:val="0"/>
                <w:noProof w:val="0"/>
                <w:rtl/>
              </w:rPr>
              <w:t>והאכיפה</w:t>
            </w:r>
            <w:r w:rsidRPr="00800D9F">
              <w:rPr>
                <w:rFonts w:hint="cs"/>
                <w:b w:val="0"/>
                <w:bCs w:val="0"/>
                <w:noProof w:val="0"/>
                <w:rtl/>
              </w:rPr>
              <w:t xml:space="preserve"> לא התממשה</w:t>
            </w:r>
            <w:r w:rsidRPr="00800D9F">
              <w:rPr>
                <w:b w:val="0"/>
                <w:bCs w:val="0"/>
                <w:noProof w:val="0"/>
                <w:rtl/>
              </w:rPr>
              <w:t>.</w:t>
            </w:r>
            <w:r w:rsidRPr="00800D9F">
              <w:rPr>
                <w:rFonts w:hint="cs"/>
                <w:b w:val="0"/>
                <w:bCs w:val="0"/>
                <w:noProof w:val="0"/>
                <w:rtl/>
              </w:rPr>
              <w:t xml:space="preserve"> </w:t>
            </w:r>
          </w:p>
          <w:p w:rsidR="00800D9F" w:rsidRPr="00800D9F" w:rsidP="008A6D26">
            <w:pPr>
              <w:pStyle w:val="takzir"/>
              <w:spacing w:before="240"/>
              <w:rPr>
                <w:b w:val="0"/>
                <w:bCs w:val="0"/>
                <w:noProof w:val="0"/>
                <w:rtl/>
              </w:rPr>
            </w:pPr>
            <w:r w:rsidRPr="00800D9F">
              <w:rPr>
                <w:rFonts w:hint="eastAsia"/>
                <w:b w:val="0"/>
                <w:bCs w:val="0"/>
                <w:noProof w:val="0"/>
                <w:rtl/>
              </w:rPr>
              <w:t>בהסכם</w:t>
            </w:r>
            <w:r w:rsidRPr="00800D9F">
              <w:rPr>
                <w:b w:val="0"/>
                <w:bCs w:val="0"/>
                <w:noProof w:val="0"/>
                <w:rtl/>
              </w:rPr>
              <w:t xml:space="preserve"> 2014 </w:t>
            </w:r>
            <w:r w:rsidRPr="00800D9F">
              <w:rPr>
                <w:rFonts w:hint="cs"/>
                <w:b w:val="0"/>
                <w:bCs w:val="0"/>
                <w:noProof w:val="0"/>
                <w:rtl/>
              </w:rPr>
              <w:t>הוחלט שיחידת נחשון תקיים סבב נוסף לליווי עצורים, תוספת</w:t>
            </w:r>
            <w:r w:rsidRPr="00800D9F">
              <w:rPr>
                <w:b w:val="0"/>
                <w:bCs w:val="0"/>
                <w:noProof w:val="0"/>
                <w:rtl/>
              </w:rPr>
              <w:t xml:space="preserve"> </w:t>
            </w:r>
            <w:r w:rsidRPr="00800D9F">
              <w:rPr>
                <w:rFonts w:hint="eastAsia"/>
                <w:b w:val="0"/>
                <w:bCs w:val="0"/>
                <w:noProof w:val="0"/>
                <w:rtl/>
              </w:rPr>
              <w:t>לשני</w:t>
            </w:r>
            <w:r w:rsidRPr="00800D9F">
              <w:rPr>
                <w:b w:val="0"/>
                <w:bCs w:val="0"/>
                <w:noProof w:val="0"/>
                <w:rtl/>
              </w:rPr>
              <w:t xml:space="preserve"> </w:t>
            </w:r>
            <w:r w:rsidRPr="00800D9F">
              <w:rPr>
                <w:rFonts w:hint="eastAsia"/>
                <w:b w:val="0"/>
                <w:bCs w:val="0"/>
                <w:noProof w:val="0"/>
                <w:rtl/>
              </w:rPr>
              <w:t>סבבי</w:t>
            </w:r>
            <w:r w:rsidRPr="00800D9F">
              <w:rPr>
                <w:b w:val="0"/>
                <w:bCs w:val="0"/>
                <w:noProof w:val="0"/>
                <w:rtl/>
              </w:rPr>
              <w:t xml:space="preserve"> הליווי </w:t>
            </w:r>
            <w:r w:rsidRPr="00800D9F">
              <w:rPr>
                <w:rFonts w:hint="eastAsia"/>
                <w:b w:val="0"/>
                <w:bCs w:val="0"/>
                <w:noProof w:val="0"/>
                <w:rtl/>
              </w:rPr>
              <w:t>הקיימים</w:t>
            </w:r>
            <w:r w:rsidRPr="00800D9F">
              <w:rPr>
                <w:rFonts w:hint="cs"/>
                <w:b w:val="0"/>
                <w:bCs w:val="0"/>
                <w:noProof w:val="0"/>
                <w:rtl/>
              </w:rPr>
              <w:t xml:space="preserve"> (להלן </w:t>
            </w:r>
            <w:r>
              <w:rPr>
                <w:b w:val="0"/>
                <w:bCs w:val="0"/>
                <w:noProof w:val="0"/>
                <w:rtl/>
              </w:rPr>
              <w:t>-</w:t>
            </w:r>
            <w:r w:rsidRPr="00800D9F">
              <w:rPr>
                <w:rFonts w:hint="cs"/>
                <w:b w:val="0"/>
                <w:bCs w:val="0"/>
                <w:noProof w:val="0"/>
                <w:rtl/>
              </w:rPr>
              <w:t xml:space="preserve"> סבב ג'). המחלוקות בין המשטרה ושב"ס העמידו בסימן שאלה את מימושו של סבב ג'. המשטרה חששה שחוסר האמון שנוצר בין שני הגופים והקשיים של שב"ס בוויסות העצורים יחזרו גם בסבב זה. בסופו של דבר הוסכם על דחיית מועד היישום של סבב ג', אשר יחל באופן הדרגתי ב-2.11.14 כפיילוט בלבד בכמה תחנות שיש בהן תאי מעצר. </w:t>
            </w:r>
          </w:p>
          <w:p w:rsidR="00800D9F" w:rsidP="008A6D26">
            <w:pPr>
              <w:pStyle w:val="takzir"/>
              <w:spacing w:before="60"/>
              <w:rPr>
                <w:b w:val="0"/>
                <w:bCs w:val="0"/>
                <w:noProof w:val="0"/>
                <w:rtl/>
              </w:rPr>
            </w:pPr>
            <w:r w:rsidRPr="00800D9F">
              <w:rPr>
                <w:rFonts w:hint="cs"/>
                <w:b w:val="0"/>
                <w:bCs w:val="0"/>
                <w:noProof w:val="0"/>
                <w:rtl/>
              </w:rPr>
              <w:t>למרות שהסכם 2014 לא הסדיר את כל הפערים בין שב"ס ובין המשטרה ואף יצר פערים חדשים, לא פעלו שני הגופים להכנת נהלים מפורטים שיוטמעו אצל הגורמים המטפלים בעצורים בשטח כדי להקטין את הפערים ביניהם, כדי לשמור על זכויות העצורים וכדי לא לפגוע במבצעיות של כל אחד מהם.</w:t>
            </w:r>
          </w:p>
        </w:tc>
      </w:tr>
    </w:tbl>
    <w:p w:rsidR="00800D9F" w:rsidP="008A6D26">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0907C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800D9F" w:rsidP="008A6D26">
            <w:pPr>
              <w:pStyle w:val="KOT5"/>
              <w:spacing w:before="120"/>
              <w:jc w:val="center"/>
              <w:rPr>
                <w:sz w:val="24"/>
                <w:szCs w:val="24"/>
                <w:rtl/>
              </w:rPr>
            </w:pPr>
            <w:r w:rsidRPr="00800D9F">
              <w:rPr>
                <w:rFonts w:hint="eastAsia"/>
                <w:sz w:val="24"/>
                <w:szCs w:val="24"/>
                <w:rtl/>
              </w:rPr>
              <w:t>נתונים</w:t>
            </w:r>
            <w:r w:rsidRPr="00800D9F">
              <w:rPr>
                <w:sz w:val="24"/>
                <w:szCs w:val="24"/>
                <w:rtl/>
              </w:rPr>
              <w:t xml:space="preserve"> </w:t>
            </w:r>
            <w:r w:rsidRPr="00800D9F">
              <w:rPr>
                <w:rFonts w:hint="eastAsia"/>
                <w:sz w:val="24"/>
                <w:szCs w:val="24"/>
                <w:rtl/>
              </w:rPr>
              <w:t>על</w:t>
            </w:r>
            <w:r w:rsidRPr="00800D9F">
              <w:rPr>
                <w:sz w:val="24"/>
                <w:szCs w:val="24"/>
                <w:rtl/>
              </w:rPr>
              <w:t xml:space="preserve"> </w:t>
            </w:r>
            <w:r w:rsidRPr="00800D9F">
              <w:rPr>
                <w:rFonts w:hint="eastAsia"/>
                <w:sz w:val="24"/>
                <w:szCs w:val="24"/>
                <w:rtl/>
              </w:rPr>
              <w:t>מספר</w:t>
            </w:r>
            <w:r w:rsidRPr="00800D9F">
              <w:rPr>
                <w:sz w:val="24"/>
                <w:szCs w:val="24"/>
                <w:rtl/>
              </w:rPr>
              <w:t xml:space="preserve"> </w:t>
            </w:r>
            <w:r w:rsidRPr="00800D9F">
              <w:rPr>
                <w:rFonts w:hint="eastAsia"/>
                <w:sz w:val="24"/>
                <w:szCs w:val="24"/>
                <w:rtl/>
              </w:rPr>
              <w:t>המעצרים</w:t>
            </w:r>
          </w:p>
        </w:tc>
      </w:tr>
      <w:tr w:rsidTr="000907C8">
        <w:tblPrEx>
          <w:tblW w:w="6691" w:type="dxa"/>
          <w:jc w:val="center"/>
          <w:tblLook w:val="04A0"/>
        </w:tblPrEx>
        <w:trPr>
          <w:cantSplit/>
          <w:jc w:val="center"/>
        </w:trPr>
        <w:tc>
          <w:tcPr>
            <w:tcW w:w="6691" w:type="dxa"/>
          </w:tcPr>
          <w:p w:rsidR="00800D9F" w:rsidRPr="00800D9F" w:rsidP="008A6D26">
            <w:pPr>
              <w:pStyle w:val="takzir"/>
              <w:spacing w:before="60"/>
              <w:rPr>
                <w:b w:val="0"/>
                <w:bCs w:val="0"/>
                <w:noProof w:val="0"/>
                <w:rtl/>
              </w:rPr>
            </w:pPr>
            <w:r w:rsidRPr="00800D9F">
              <w:rPr>
                <w:rFonts w:hint="eastAsia"/>
                <w:b w:val="0"/>
                <w:bCs w:val="0"/>
                <w:noProof w:val="0"/>
                <w:rtl/>
              </w:rPr>
              <w:t>בין</w:t>
            </w:r>
            <w:r w:rsidRPr="00800D9F">
              <w:rPr>
                <w:b w:val="0"/>
                <w:bCs w:val="0"/>
                <w:noProof w:val="0"/>
                <w:rtl/>
              </w:rPr>
              <w:t xml:space="preserve"> השנים </w:t>
            </w:r>
            <w:r w:rsidRPr="00800D9F">
              <w:rPr>
                <w:rFonts w:hint="cs"/>
                <w:b w:val="0"/>
                <w:bCs w:val="0"/>
                <w:noProof w:val="0"/>
                <w:rtl/>
              </w:rPr>
              <w:t>2013</w:t>
            </w:r>
            <w:r w:rsidRPr="00800D9F">
              <w:rPr>
                <w:b w:val="0"/>
                <w:bCs w:val="0"/>
                <w:noProof w:val="0"/>
                <w:rtl/>
              </w:rPr>
              <w:t xml:space="preserve">-2003 היה גידול </w:t>
            </w:r>
            <w:r w:rsidRPr="00800D9F">
              <w:rPr>
                <w:rFonts w:hint="eastAsia"/>
                <w:b w:val="0"/>
                <w:bCs w:val="0"/>
                <w:noProof w:val="0"/>
                <w:rtl/>
              </w:rPr>
              <w:t>של</w:t>
            </w:r>
            <w:r w:rsidRPr="00800D9F">
              <w:rPr>
                <w:b w:val="0"/>
                <w:bCs w:val="0"/>
                <w:noProof w:val="0"/>
                <w:rtl/>
              </w:rPr>
              <w:t xml:space="preserve"> </w:t>
            </w:r>
            <w:r w:rsidRPr="00800D9F">
              <w:rPr>
                <w:rFonts w:hint="eastAsia"/>
                <w:b w:val="0"/>
                <w:bCs w:val="0"/>
                <w:noProof w:val="0"/>
                <w:rtl/>
              </w:rPr>
              <w:t>כ</w:t>
            </w:r>
            <w:r w:rsidRPr="00800D9F">
              <w:rPr>
                <w:b w:val="0"/>
                <w:bCs w:val="0"/>
                <w:noProof w:val="0"/>
                <w:rtl/>
              </w:rPr>
              <w:t>-3</w:t>
            </w:r>
            <w:r w:rsidRPr="00800D9F">
              <w:rPr>
                <w:rFonts w:hint="cs"/>
                <w:b w:val="0"/>
                <w:bCs w:val="0"/>
                <w:noProof w:val="0"/>
                <w:rtl/>
              </w:rPr>
              <w:t>2</w:t>
            </w:r>
            <w:r w:rsidRPr="00800D9F">
              <w:rPr>
                <w:b w:val="0"/>
                <w:bCs w:val="0"/>
                <w:noProof w:val="0"/>
                <w:rtl/>
              </w:rPr>
              <w:t xml:space="preserve">% </w:t>
            </w:r>
            <w:r w:rsidRPr="00800D9F">
              <w:rPr>
                <w:rFonts w:hint="eastAsia"/>
                <w:b w:val="0"/>
                <w:bCs w:val="0"/>
                <w:noProof w:val="0"/>
                <w:rtl/>
              </w:rPr>
              <w:t>במספר</w:t>
            </w:r>
            <w:r w:rsidRPr="00800D9F">
              <w:rPr>
                <w:b w:val="0"/>
                <w:bCs w:val="0"/>
                <w:noProof w:val="0"/>
                <w:rtl/>
              </w:rPr>
              <w:t xml:space="preserve"> </w:t>
            </w:r>
            <w:r w:rsidRPr="00800D9F">
              <w:rPr>
                <w:rFonts w:hint="eastAsia"/>
                <w:b w:val="0"/>
                <w:bCs w:val="0"/>
                <w:noProof w:val="0"/>
                <w:rtl/>
              </w:rPr>
              <w:t>המעצרים</w:t>
            </w:r>
            <w:r w:rsidRPr="00800D9F">
              <w:rPr>
                <w:rFonts w:hint="cs"/>
                <w:b w:val="0"/>
                <w:bCs w:val="0"/>
                <w:noProof w:val="0"/>
                <w:rtl/>
              </w:rPr>
              <w:t>:</w:t>
            </w:r>
            <w:r w:rsidRPr="00800D9F">
              <w:rPr>
                <w:b w:val="0"/>
                <w:bCs w:val="0"/>
                <w:noProof w:val="0"/>
                <w:rtl/>
              </w:rPr>
              <w:t xml:space="preserve"> </w:t>
            </w:r>
            <w:r w:rsidRPr="00800D9F">
              <w:rPr>
                <w:rFonts w:hint="eastAsia"/>
                <w:b w:val="0"/>
                <w:bCs w:val="0"/>
                <w:noProof w:val="0"/>
                <w:rtl/>
              </w:rPr>
              <w:t>בשנת</w:t>
            </w:r>
            <w:r w:rsidRPr="00800D9F">
              <w:rPr>
                <w:b w:val="0"/>
                <w:bCs w:val="0"/>
                <w:noProof w:val="0"/>
                <w:rtl/>
              </w:rPr>
              <w:t xml:space="preserve"> 2003 היו בישראל 46,120 </w:t>
            </w:r>
            <w:r w:rsidRPr="00800D9F">
              <w:rPr>
                <w:rFonts w:hint="cs"/>
                <w:b w:val="0"/>
                <w:bCs w:val="0"/>
                <w:noProof w:val="0"/>
                <w:rtl/>
              </w:rPr>
              <w:t xml:space="preserve">מעצרים, ובשנת 2013 עלה מספרם והגיע </w:t>
            </w:r>
            <w:r w:rsidRPr="00800D9F">
              <w:rPr>
                <w:rFonts w:hint="eastAsia"/>
                <w:b w:val="0"/>
                <w:bCs w:val="0"/>
                <w:noProof w:val="0"/>
                <w:rtl/>
              </w:rPr>
              <w:t>ל</w:t>
            </w:r>
            <w:r w:rsidRPr="00800D9F">
              <w:rPr>
                <w:b w:val="0"/>
                <w:bCs w:val="0"/>
                <w:noProof w:val="0"/>
                <w:rtl/>
              </w:rPr>
              <w:t>-</w:t>
            </w:r>
            <w:r w:rsidRPr="00800D9F">
              <w:rPr>
                <w:rFonts w:hint="cs"/>
                <w:b w:val="0"/>
                <w:bCs w:val="0"/>
                <w:noProof w:val="0"/>
                <w:rtl/>
              </w:rPr>
              <w:t>61,049. לפי נתוני שב</w:t>
            </w:r>
            <w:r w:rsidRPr="00800D9F">
              <w:rPr>
                <w:b w:val="0"/>
                <w:bCs w:val="0"/>
                <w:noProof w:val="0"/>
                <w:rtl/>
              </w:rPr>
              <w:t>"</w:t>
            </w:r>
            <w:r w:rsidRPr="00800D9F">
              <w:rPr>
                <w:rFonts w:hint="cs"/>
                <w:b w:val="0"/>
                <w:bCs w:val="0"/>
                <w:noProof w:val="0"/>
                <w:rtl/>
              </w:rPr>
              <w:t>ס כ-54% מהעצורים שוחררו לאחר פחות משלושה ימי מעצר, וכ-12% נוספים השתחררו לאחר שבעה ימי מעצר. הנתונים על מספר העצורים המשתחררים לאחר מעצר קצר, פעמים רבות לאחר 24 שעות, בלי שמוגש נגדם כתב אישום, מחייבים בדיקה לגבי נחיצותם של חלק מן המעצרים ואפשרות שימוש בחלופות קלות יותר.</w:t>
            </w:r>
          </w:p>
          <w:p w:rsidR="00800D9F" w:rsidRPr="00800D9F" w:rsidP="008A6D26">
            <w:pPr>
              <w:pStyle w:val="takzir"/>
              <w:rPr>
                <w:b w:val="0"/>
                <w:bCs w:val="0"/>
                <w:noProof w:val="0"/>
                <w:rtl/>
              </w:rPr>
            </w:pPr>
            <w:r w:rsidRPr="00800D9F">
              <w:rPr>
                <w:rFonts w:hint="cs"/>
                <w:b w:val="0"/>
                <w:bCs w:val="0"/>
                <w:noProof w:val="0"/>
                <w:rtl/>
              </w:rPr>
              <w:t>למשטרת ישראל ולשב"ס אין מסד נתונים אחוד לגבי מספר העצורים, וקיימים ביניהם חילוקי דעות מהותיים ביחס לנתונים על היקף המעצרים ומספרם.</w:t>
            </w:r>
          </w:p>
          <w:p w:rsidR="00800D9F" w:rsidRPr="00800D9F" w:rsidP="008A6D26">
            <w:pPr>
              <w:pStyle w:val="takzir"/>
              <w:rPr>
                <w:b w:val="0"/>
                <w:bCs w:val="0"/>
                <w:noProof w:val="0"/>
                <w:rtl/>
              </w:rPr>
            </w:pPr>
            <w:r w:rsidRPr="00800D9F">
              <w:rPr>
                <w:rFonts w:hint="cs"/>
                <w:b w:val="0"/>
                <w:bCs w:val="0"/>
                <w:noProof w:val="0"/>
                <w:rtl/>
              </w:rPr>
              <w:t xml:space="preserve">כבר לפני שנים עלה הצורך בפיתוח וביצירת אמצעים שישמשו את גורמי אכיפת החוק כחלופה למעצרים, ואף על פי כן במרוצת השנים הוחל ביישום חלקי בלבד של חלופות כאלו. </w:t>
            </w:r>
          </w:p>
          <w:p w:rsidR="00800D9F" w:rsidP="008A6D26">
            <w:pPr>
              <w:pStyle w:val="takzir"/>
              <w:rPr>
                <w:b w:val="0"/>
                <w:bCs w:val="0"/>
                <w:noProof w:val="0"/>
                <w:rtl/>
              </w:rPr>
            </w:pPr>
            <w:r w:rsidRPr="00800D9F">
              <w:rPr>
                <w:rFonts w:hint="cs"/>
                <w:b w:val="0"/>
                <w:bCs w:val="0"/>
                <w:noProof w:val="0"/>
                <w:rtl/>
              </w:rPr>
              <w:t>למשטרה יש סמכות לשחרר עצור בתחנת המשטרה על ידי קצין משטרה. המשטרה לא אספה נתונים על מספר הפעמים שבהם נעשה שימוש בסמכות זו, ולא בחנה אם היא עשתה שימוש מיטבי בהליך. כמו כן לא נבחן שיעור השחרורים האלה מכלל המעצרים שבהם אפשר היה לשחרר את העצורים בתחנות המשטרה.</w:t>
            </w:r>
          </w:p>
        </w:tc>
      </w:tr>
    </w:tbl>
    <w:p w:rsidR="001275A6" w:rsidP="008A6D26">
      <w:pPr>
        <w:pStyle w:val="takzi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5750D3">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804" w:type="dxa"/>
            <w:shd w:val="pct25" w:color="00FF00" w:fill="auto"/>
          </w:tcPr>
          <w:p w:rsidR="001275A6" w:rsidP="008A6D26">
            <w:pPr>
              <w:pStyle w:val="KOT4"/>
              <w:spacing w:before="120"/>
              <w:jc w:val="center"/>
              <w:rPr>
                <w:rtl/>
              </w:rPr>
            </w:pPr>
            <w:r>
              <w:rPr>
                <w:rFonts w:hint="cs"/>
                <w:rtl/>
              </w:rPr>
              <w:t>ה</w:t>
            </w:r>
            <w:r>
              <w:rPr>
                <w:rtl/>
              </w:rPr>
              <w:t xml:space="preserve">המלצות </w:t>
            </w:r>
            <w:r>
              <w:rPr>
                <w:rFonts w:hint="cs"/>
                <w:rtl/>
              </w:rPr>
              <w:t>העיקריות</w:t>
            </w:r>
          </w:p>
        </w:tc>
      </w:tr>
      <w:tr w:rsidTr="005750D3">
        <w:tblPrEx>
          <w:tblW w:w="6691" w:type="dxa"/>
          <w:jc w:val="center"/>
          <w:tblLook w:val="04A0"/>
        </w:tblPrEx>
        <w:trPr>
          <w:jc w:val="center"/>
        </w:trPr>
        <w:tc>
          <w:tcPr>
            <w:tcW w:w="6804" w:type="dxa"/>
          </w:tcPr>
          <w:p w:rsidR="006C30A0" w:rsidRPr="00800D9F" w:rsidP="008A6D26">
            <w:pPr>
              <w:pStyle w:val="takzir"/>
              <w:spacing w:before="60"/>
              <w:rPr>
                <w:b w:val="0"/>
                <w:bCs w:val="0"/>
                <w:noProof w:val="0"/>
                <w:rtl/>
              </w:rPr>
            </w:pPr>
            <w:r w:rsidRPr="00800D9F">
              <w:rPr>
                <w:rFonts w:hint="cs"/>
                <w:b w:val="0"/>
                <w:bCs w:val="0"/>
                <w:noProof w:val="0"/>
                <w:rtl/>
              </w:rPr>
              <w:t>המשרד לבט"פ נדרש לפעול כדי שייחתם הסכם מתכלל ומערכתי, שיסדיר את מכלול ההיבטים של קשרי העבודה בין המשטרה לשב"ס וישקף את האחריות והמחויבות של דרגי פיקוד בכירים בשני הגופים לנושא זה.</w:t>
            </w:r>
          </w:p>
          <w:p w:rsidR="006C30A0" w:rsidRPr="00800D9F" w:rsidP="008A6D26">
            <w:pPr>
              <w:pStyle w:val="takzir"/>
              <w:rPr>
                <w:b w:val="0"/>
                <w:bCs w:val="0"/>
                <w:noProof w:val="0"/>
                <w:rtl/>
              </w:rPr>
            </w:pPr>
            <w:r w:rsidRPr="00800D9F">
              <w:rPr>
                <w:rFonts w:hint="cs"/>
                <w:b w:val="0"/>
                <w:bCs w:val="0"/>
                <w:noProof w:val="0"/>
                <w:rtl/>
              </w:rPr>
              <w:t>על המשרד לבט"פ לפעול בנחישות ליישומו של סבב ג' בתוך פרק זמן קצר, עליו לעקוב אחר הפיילוט שהחל בכמה תחנות שיש בהן תאי מעצר, להפיק ממנו לקחים ולפעול ליישומו בכל רחבי הארץ</w:t>
            </w:r>
          </w:p>
          <w:p w:rsidR="006C30A0" w:rsidRPr="00800D9F" w:rsidP="008A6D26">
            <w:pPr>
              <w:pStyle w:val="takzir"/>
              <w:spacing w:before="240"/>
              <w:rPr>
                <w:b w:val="0"/>
                <w:bCs w:val="0"/>
                <w:noProof w:val="0"/>
                <w:rtl/>
              </w:rPr>
            </w:pPr>
            <w:r w:rsidRPr="00800D9F">
              <w:rPr>
                <w:b w:val="0"/>
                <w:bCs w:val="0"/>
                <w:noProof w:val="0"/>
              </w:rPr>
              <w:br w:type="page"/>
            </w:r>
            <w:r w:rsidRPr="00800D9F">
              <w:rPr>
                <w:rFonts w:hint="cs"/>
                <w:b w:val="0"/>
                <w:bCs w:val="0"/>
                <w:noProof w:val="0"/>
                <w:rtl/>
              </w:rPr>
              <w:t>על המשרד לבט"פ להחיש את סיום עבודת המטה המשותפת של המשטרה ושב"ס לבנייתו של מסד נתונים אחוד שמשקף את כמות העצורים.</w:t>
            </w:r>
          </w:p>
          <w:p w:rsidR="006C30A0" w:rsidRPr="00800D9F" w:rsidP="008A6D26">
            <w:pPr>
              <w:pStyle w:val="takzir"/>
              <w:rPr>
                <w:b w:val="0"/>
                <w:bCs w:val="0"/>
                <w:noProof w:val="0"/>
                <w:rtl/>
              </w:rPr>
            </w:pPr>
            <w:r w:rsidRPr="00800D9F">
              <w:rPr>
                <w:rFonts w:hint="cs"/>
                <w:b w:val="0"/>
                <w:bCs w:val="0"/>
                <w:noProof w:val="0"/>
                <w:rtl/>
              </w:rPr>
              <w:t>על המשרד לבט"פ לבחון את העלייה בכמות המעצרים נוכח העובדה שאחוז לא מבוטל מהעצורים משוחרר לאחר פרק זמן קצר, מבלי שהוגש נגדם כתב אישום.</w:t>
            </w:r>
          </w:p>
          <w:p w:rsidR="006C30A0" w:rsidRPr="00800D9F" w:rsidP="008A6D26">
            <w:pPr>
              <w:pStyle w:val="takzir"/>
              <w:rPr>
                <w:b w:val="0"/>
                <w:bCs w:val="0"/>
                <w:noProof w:val="0"/>
                <w:rtl/>
              </w:rPr>
            </w:pPr>
            <w:r w:rsidRPr="00800D9F">
              <w:rPr>
                <w:rFonts w:hint="cs"/>
                <w:b w:val="0"/>
                <w:bCs w:val="0"/>
                <w:noProof w:val="0"/>
                <w:rtl/>
              </w:rPr>
              <w:t>על המשרד לבט"פ, בשיתוף יתר הגורמים השותפים בשרשרת אכיפת החוק, לבחון את המקרים שבהם נדרש להרחיב את השימוש באמצעים חלופיים למעצר. שימוש מושכל באמצעים אלה יסייע להתמודד עם עומס הכליאה ולצמצם את השימוש במעצר ככלי לצורכי חקירה, במקרים שבהם הוא אינו נדרש.</w:t>
            </w:r>
          </w:p>
          <w:p w:rsidR="006C30A0" w:rsidRPr="00800D9F" w:rsidP="008A6D26">
            <w:pPr>
              <w:pStyle w:val="takzir"/>
              <w:rPr>
                <w:b w:val="0"/>
                <w:bCs w:val="0"/>
                <w:noProof w:val="0"/>
                <w:rtl/>
              </w:rPr>
            </w:pPr>
            <w:r w:rsidRPr="00800D9F">
              <w:rPr>
                <w:rFonts w:hint="cs"/>
                <w:b w:val="0"/>
                <w:bCs w:val="0"/>
                <w:noProof w:val="0"/>
                <w:rtl/>
              </w:rPr>
              <w:t xml:space="preserve">המשרד לבט"פ בשיתוף </w:t>
            </w:r>
            <w:r w:rsidRPr="00800D9F">
              <w:rPr>
                <w:b w:val="0"/>
                <w:bCs w:val="0"/>
                <w:noProof w:val="0"/>
                <w:rtl/>
              </w:rPr>
              <w:t xml:space="preserve">המשטרה </w:t>
            </w:r>
            <w:r w:rsidRPr="00800D9F">
              <w:rPr>
                <w:rFonts w:hint="cs"/>
                <w:b w:val="0"/>
                <w:bCs w:val="0"/>
                <w:noProof w:val="0"/>
                <w:rtl/>
              </w:rPr>
              <w:t xml:space="preserve">ושב"ס נדרשים </w:t>
            </w:r>
            <w:r w:rsidRPr="00800D9F">
              <w:rPr>
                <w:b w:val="0"/>
                <w:bCs w:val="0"/>
                <w:noProof w:val="0"/>
                <w:rtl/>
              </w:rPr>
              <w:t>ל</w:t>
            </w:r>
            <w:r w:rsidRPr="00800D9F">
              <w:rPr>
                <w:rFonts w:hint="cs"/>
                <w:b w:val="0"/>
                <w:bCs w:val="0"/>
                <w:noProof w:val="0"/>
                <w:rtl/>
              </w:rPr>
              <w:t>פעול</w:t>
            </w:r>
            <w:r w:rsidRPr="00800D9F">
              <w:rPr>
                <w:b w:val="0"/>
                <w:bCs w:val="0"/>
                <w:noProof w:val="0"/>
                <w:rtl/>
              </w:rPr>
              <w:t xml:space="preserve"> שהמעצרים </w:t>
            </w:r>
            <w:r w:rsidRPr="00800D9F">
              <w:rPr>
                <w:rFonts w:hint="eastAsia"/>
                <w:b w:val="0"/>
                <w:bCs w:val="0"/>
                <w:noProof w:val="0"/>
                <w:rtl/>
              </w:rPr>
              <w:t>ייעשו</w:t>
            </w:r>
            <w:r w:rsidRPr="00800D9F">
              <w:rPr>
                <w:b w:val="0"/>
                <w:bCs w:val="0"/>
                <w:noProof w:val="0"/>
                <w:rtl/>
              </w:rPr>
              <w:t xml:space="preserve"> רק במקרים </w:t>
            </w:r>
            <w:r w:rsidRPr="00800D9F">
              <w:rPr>
                <w:rFonts w:hint="cs"/>
                <w:b w:val="0"/>
                <w:bCs w:val="0"/>
                <w:noProof w:val="0"/>
                <w:rtl/>
              </w:rPr>
              <w:t>ש</w:t>
            </w:r>
            <w:r w:rsidRPr="00800D9F">
              <w:rPr>
                <w:b w:val="0"/>
                <w:bCs w:val="0"/>
                <w:noProof w:val="0"/>
                <w:rtl/>
              </w:rPr>
              <w:t>בהם הדבר הכרחי</w:t>
            </w:r>
            <w:r w:rsidRPr="00800D9F">
              <w:rPr>
                <w:rFonts w:hint="cs"/>
                <w:b w:val="0"/>
                <w:bCs w:val="0"/>
                <w:noProof w:val="0"/>
                <w:rtl/>
              </w:rPr>
              <w:t>, תוך איזון ראוי בין האינטרס הציבורי בקיומה של מערכת משטרתית המאפשרת חקירה יעילה של חשודים והרחקת נאשמים שנשקפת מהם מסוכנות תוך כדי ניהול משפטם, לבין האינטרס של שמירה על חירותם האישית של החשודים והנאשמים.</w:t>
            </w:r>
          </w:p>
          <w:p w:rsidR="006C30A0" w:rsidRPr="00800D9F" w:rsidP="008A6D26">
            <w:pPr>
              <w:pStyle w:val="takzir"/>
              <w:rPr>
                <w:b w:val="0"/>
                <w:bCs w:val="0"/>
                <w:noProof w:val="0"/>
                <w:rtl/>
              </w:rPr>
            </w:pPr>
            <w:r w:rsidRPr="00800D9F">
              <w:rPr>
                <w:rFonts w:hint="cs"/>
                <w:b w:val="0"/>
                <w:bCs w:val="0"/>
                <w:noProof w:val="0"/>
                <w:rtl/>
              </w:rPr>
              <w:t>על המשרד לבט"פ לחזור ולבחון את המחלוקות בין המשטרה לבין שב"ס ולגבש פתרונות ראויים להסדרת הנושאים השנויים במחלוקת, תוך קביעת תחומי האחריות של כל גוף, קביעת נהלים מפורטים וקביעת מנגנונים ליישוב מחלוקות. במסגרת פתרונות אלה יש להתייחס בכובד ראש להיבטים הקשורים לזכויות העצורים ולמניעת פגיעה העולה על הנדרש בחירותם ובכבודם.</w:t>
            </w:r>
          </w:p>
          <w:p w:rsidR="006C30A0" w:rsidRPr="00800D9F" w:rsidP="008A6D26">
            <w:pPr>
              <w:pStyle w:val="takzir"/>
              <w:rPr>
                <w:b w:val="0"/>
                <w:bCs w:val="0"/>
                <w:noProof w:val="0"/>
                <w:rtl/>
              </w:rPr>
            </w:pPr>
            <w:r w:rsidRPr="00800D9F">
              <w:rPr>
                <w:rFonts w:hint="cs"/>
                <w:b w:val="0"/>
                <w:bCs w:val="0"/>
                <w:noProof w:val="0"/>
                <w:rtl/>
              </w:rPr>
              <w:t>המשטרה ושב"ס נדרשים להגדיר בצורה ברורה את חלוקת העבודה ביניהם. כמו כן על המשטרה למדוד באופן שוטף את מספר הליוויים שהיא מבצעת ואת "המחיר" המבצעי שהיא משלמת בעבורם, ולהגדיר בהתאם לכך מהי כמות הליוויים שהיא יכולה לעמוד בהם מבלי שמשימותיה המבצעיות ייפגעו.</w:t>
            </w:r>
          </w:p>
          <w:p w:rsidR="006C30A0" w:rsidRPr="00800D9F" w:rsidP="008A6D26">
            <w:pPr>
              <w:pStyle w:val="takzir"/>
              <w:rPr>
                <w:b w:val="0"/>
                <w:bCs w:val="0"/>
                <w:noProof w:val="0"/>
                <w:rtl/>
              </w:rPr>
            </w:pPr>
            <w:r w:rsidRPr="00800D9F">
              <w:rPr>
                <w:rFonts w:hint="cs"/>
                <w:b w:val="0"/>
                <w:bCs w:val="0"/>
                <w:noProof w:val="0"/>
                <w:rtl/>
              </w:rPr>
              <w:t xml:space="preserve">על המשטרה לעשות שימוש יעיל יותר בחדרי החקירות הייעודיים במתקני שב"ס במקרים שבהם לא נדרשות פעולות חקירה מיוחדות ולפעול בהתאם לממצאים. </w:t>
            </w:r>
          </w:p>
          <w:p w:rsidR="006C30A0" w:rsidRPr="00800D9F" w:rsidP="008A6D26">
            <w:pPr>
              <w:pStyle w:val="takzir"/>
              <w:rPr>
                <w:b w:val="0"/>
                <w:bCs w:val="0"/>
                <w:noProof w:val="0"/>
                <w:rtl/>
              </w:rPr>
            </w:pPr>
            <w:r w:rsidRPr="00800D9F">
              <w:rPr>
                <w:rFonts w:hint="cs"/>
                <w:b w:val="0"/>
                <w:bCs w:val="0"/>
                <w:noProof w:val="0"/>
                <w:rtl/>
              </w:rPr>
              <w:t>לאחר שייקבע הסכם מתכלל ומערכתי בין המשטרה ושב</w:t>
            </w:r>
            <w:r w:rsidRPr="00800D9F">
              <w:rPr>
                <w:b w:val="0"/>
                <w:bCs w:val="0"/>
                <w:noProof w:val="0"/>
                <w:rtl/>
              </w:rPr>
              <w:t>"</w:t>
            </w:r>
            <w:r w:rsidRPr="00800D9F">
              <w:rPr>
                <w:rFonts w:hint="cs"/>
                <w:b w:val="0"/>
                <w:bCs w:val="0"/>
                <w:noProof w:val="0"/>
                <w:rtl/>
              </w:rPr>
              <w:t xml:space="preserve">ס עליהם להכין נהלים מפורטים הנגזרים ממנו, ובעיקר נהלים בנושאים השנויים במחלוקת הקשורים לקליטת עצורים בריאים, לקליטת עצורים חולים ולליווי עצורים. </w:t>
            </w:r>
          </w:p>
          <w:p w:rsidR="001275A6" w:rsidP="008A6D26">
            <w:pPr>
              <w:pStyle w:val="takzir"/>
              <w:rPr>
                <w:b w:val="0"/>
                <w:bCs w:val="0"/>
                <w:rtl/>
              </w:rPr>
            </w:pPr>
            <w:r w:rsidRPr="00800D9F">
              <w:rPr>
                <w:rFonts w:hint="cs"/>
                <w:b w:val="0"/>
                <w:bCs w:val="0"/>
                <w:noProof w:val="0"/>
                <w:rtl/>
              </w:rPr>
              <w:t>על המשטרה לבחון את הגורמים לעלייה במספר המעצרים, לנתחם ולהסיק מהם מסקנות כדי להבטיח שהמעצרים לעתיד לבוא יהיו הכרחיים ונחוצים.</w:t>
            </w:r>
          </w:p>
        </w:tc>
      </w:tr>
    </w:tbl>
    <w:p w:rsidR="001275A6" w:rsidP="008A6D26">
      <w:pPr>
        <w:pStyle w:val="takzi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7018" w:type="dxa"/>
            <w:shd w:val="pct25" w:color="00FF00" w:fill="auto"/>
          </w:tcPr>
          <w:p w:rsidR="001275A6" w:rsidP="008A6D26">
            <w:pPr>
              <w:pStyle w:val="KOT4"/>
              <w:spacing w:before="120"/>
              <w:jc w:val="center"/>
              <w:rPr>
                <w:rtl/>
              </w:rPr>
            </w:pPr>
            <w:r>
              <w:rPr>
                <w:rtl/>
              </w:rPr>
              <w:t>סיכום</w:t>
            </w:r>
          </w:p>
        </w:tc>
      </w:tr>
      <w:tr w:rsidTr="00E44678">
        <w:tblPrEx>
          <w:tblW w:w="6691" w:type="dxa"/>
          <w:jc w:val="center"/>
          <w:tblLook w:val="04A0"/>
        </w:tblPrEx>
        <w:trPr>
          <w:cantSplit/>
          <w:jc w:val="center"/>
        </w:trPr>
        <w:tc>
          <w:tcPr>
            <w:tcW w:w="7018" w:type="dxa"/>
          </w:tcPr>
          <w:p w:rsidR="006C30A0" w:rsidRPr="006C30A0" w:rsidP="008A6D26">
            <w:pPr>
              <w:spacing w:before="60" w:after="120"/>
              <w:jc w:val="both"/>
              <w:rPr>
                <w:b/>
                <w:bCs/>
                <w:sz w:val="22"/>
                <w:szCs w:val="22"/>
                <w:lang w:eastAsia="he-IL"/>
              </w:rPr>
            </w:pPr>
            <w:r w:rsidRPr="006C30A0">
              <w:rPr>
                <w:rFonts w:hint="cs"/>
                <w:b/>
                <w:bCs/>
                <w:sz w:val="22"/>
                <w:szCs w:val="22"/>
                <w:rtl/>
                <w:lang w:eastAsia="he-IL"/>
              </w:rPr>
              <w:t>בחלוף שש שנים מאז נחתמו הסכמי ההבנות בין מחוזות המשטרה ושב"ס, עדיין אין תחימת גבולות ברורה והסדרה מלאה של התנהלות שני הארגונים בטיפולם בעצורים. בשנים שחלפו נתגלעו מחלוקות רבות הנוגעות לעניינים מהותיים, ובהם תהליכים של ליווי עצורים, של קליטת עצורים ושל ויסותם בין מקומות הכליאה. בפועל, התפיסה שהנחתה את הכנת ההסכמים שנעשו במחוזות, לפיה על המשטרה לחדול לבצע ליוויים ולהחזיק עצורים בבתי המעצר בתחנות, לא עמדה במבחן המציאות. בין השנים 2013-2008 המשיכה המשטרה לבצע ליוויים ולהלין עצורים בתחנות המשטרה, ולעתים אף פעילותה המבצעית נפגעה בשל כך.</w:t>
            </w:r>
            <w:r w:rsidRPr="006C30A0">
              <w:rPr>
                <w:b/>
                <w:bCs/>
                <w:sz w:val="22"/>
                <w:szCs w:val="22"/>
                <w:lang w:eastAsia="he-IL"/>
              </w:rPr>
              <w:t xml:space="preserve"> </w:t>
            </w:r>
          </w:p>
          <w:p w:rsidR="001275A6" w:rsidP="008A6D26">
            <w:pPr>
              <w:spacing w:after="120"/>
              <w:jc w:val="both"/>
              <w:rPr>
                <w:b/>
                <w:bCs/>
                <w:sz w:val="22"/>
                <w:szCs w:val="22"/>
                <w:rtl/>
                <w:lang w:eastAsia="he-IL"/>
              </w:rPr>
            </w:pPr>
            <w:r w:rsidRPr="006C30A0">
              <w:rPr>
                <w:rFonts w:hint="cs"/>
                <w:b/>
                <w:bCs/>
                <w:sz w:val="22"/>
                <w:szCs w:val="22"/>
                <w:rtl/>
                <w:lang w:eastAsia="he-IL"/>
              </w:rPr>
              <w:t xml:space="preserve">במשך השנים ניסו המשטרה ושב"ס להסדיר את המחלוקות ביניהן שעדיין נותרו בעינן, אך ניסיונות אלה לא צלחו. רק בשנת 2014 נחתם ביניהם הסכם שאמור היה להסדיר כמה פערים שהתגלו באותן השנים. חתימת ההסכם בשנת 2014 לא הביאה לסגירת המחלוקות ביניהם, ובנושאים מסוימים היא אף הגדילה אותן. על המשרד לבט"פ לחזור ולבחון את המחלוקות בין המשטרה לבין שב"ס ולגבש פתרונות ראויים להסדרת הנושאים השנויים במחלוקת, תוך קביעת תחומי האחריות של כל גוף, קביעת נהלים מפורטים וקביעת מנגנונים ליישוב מחלוקות. במסגרת פתרונות אלה יש להתייחס בכובד ראש להיבטים הקשורים לזכויות העצורים ולמניעת פגיעה העולה על הנדרש בחירותם ובכבודם, כפי שנקבע בחוק יסוד: כבוד האדם וחירותו. </w:t>
            </w:r>
          </w:p>
        </w:tc>
      </w:tr>
    </w:tbl>
    <w:p w:rsidR="001275A6" w:rsidP="008A6D26">
      <w:pPr>
        <w:spacing w:after="120" w:line="230" w:lineRule="exact"/>
        <w:jc w:val="both"/>
        <w:rPr>
          <w:rFonts w:cs="FrankRuehl"/>
          <w:sz w:val="20"/>
          <w:szCs w:val="22"/>
          <w:rtl/>
        </w:rPr>
      </w:pPr>
    </w:p>
    <w:p w:rsidR="001275A6" w:rsidP="008A6D26">
      <w:pPr>
        <w:pStyle w:val="KOT1"/>
        <w:keepNext w:val="0"/>
        <w:spacing w:after="0" w:line="240" w:lineRule="atLeast"/>
        <w:rPr>
          <w:rFonts w:ascii="Arial" w:hAnsi="Arial" w:cs="Arial"/>
          <w:lang w:eastAsia="en-US"/>
        </w:rPr>
      </w:pPr>
      <w:r>
        <w:rPr>
          <w:rFonts w:ascii="Arial" w:hAnsi="Arial" w:cs="Arial"/>
          <w:lang w:eastAsia="en-US"/>
        </w:rPr>
        <w:t>♦</w:t>
      </w:r>
    </w:p>
    <w:p w:rsidR="001275A6" w:rsidP="008A6D26">
      <w:pPr>
        <w:spacing w:after="120" w:line="230" w:lineRule="exact"/>
        <w:jc w:val="both"/>
        <w:rPr>
          <w:rFonts w:cs="FrankRuehl"/>
          <w:sz w:val="20"/>
          <w:szCs w:val="22"/>
          <w:rtl/>
        </w:rPr>
      </w:pPr>
    </w:p>
    <w:p w:rsidR="001275A6" w:rsidP="008A6D26">
      <w:pPr>
        <w:pStyle w:val="KOT4"/>
        <w:rPr>
          <w:rtl/>
        </w:rPr>
      </w:pPr>
      <w:bookmarkEnd w:id="0"/>
      <w:bookmarkEnd w:id="1"/>
      <w:bookmarkEnd w:id="2"/>
      <w:bookmarkEnd w:id="3"/>
      <w:bookmarkEnd w:id="4"/>
      <w:r>
        <w:rPr>
          <w:rtl/>
        </w:rPr>
        <w:br w:type="page"/>
      </w:r>
      <w:r>
        <w:rPr>
          <w:rFonts w:hint="eastAsia"/>
          <w:rtl/>
        </w:rPr>
        <w:t>מבוא</w:t>
      </w:r>
    </w:p>
    <w:p w:rsidR="006259B3" w:rsidRPr="004547CD" w:rsidP="008A6D26">
      <w:pPr>
        <w:spacing w:after="120" w:line="230" w:lineRule="exact"/>
        <w:jc w:val="both"/>
        <w:rPr>
          <w:rFonts w:cs="FrankRuehl"/>
          <w:sz w:val="20"/>
          <w:szCs w:val="22"/>
          <w:rtl/>
        </w:rPr>
      </w:pPr>
      <w:r w:rsidRPr="004547CD">
        <w:rPr>
          <w:rFonts w:cs="FrankRuehl" w:hint="cs"/>
          <w:sz w:val="20"/>
          <w:szCs w:val="22"/>
          <w:rtl/>
        </w:rPr>
        <w:t xml:space="preserve">הזכות לחירות נקבעה כזכות יסוד חוקתית בחוק יסוד: כבוד האדם וחירותו והוגדרה על ידי בית המשפט העליון כזכות בסיסית במדינה דמוקרטית. מעצרו של אדם פוגע פגיעה קשה בזכות זו ובחזקת החפות העומדת לו, על אחת כמה וכמה שלילת חירותו טרם הגשת כתב אישום. חוק המעצרים מסדיר את הסמכויות הנדרשות לרשויות החקירה לצורך חקירת עצור, תוך איזון בין עקרון הגבלת חירות הפרט לבין עקרון השמירה על החוק ועל אכיפתו. </w:t>
      </w:r>
    </w:p>
    <w:p w:rsidR="006259B3" w:rsidRPr="004547CD" w:rsidP="008A6D26">
      <w:pPr>
        <w:spacing w:after="120" w:line="230" w:lineRule="exact"/>
        <w:jc w:val="both"/>
        <w:rPr>
          <w:rFonts w:cs="FrankRuehl"/>
          <w:sz w:val="20"/>
          <w:szCs w:val="22"/>
          <w:rtl/>
        </w:rPr>
      </w:pPr>
      <w:r w:rsidRPr="004547CD">
        <w:rPr>
          <w:rFonts w:cs="FrankRuehl" w:hint="cs"/>
          <w:sz w:val="20"/>
          <w:szCs w:val="22"/>
          <w:rtl/>
        </w:rPr>
        <w:t>דיני המעצר הפלילי</w:t>
      </w:r>
      <w:r>
        <w:rPr>
          <w:rStyle w:val="FootnoteReference"/>
          <w:rFonts w:cs="FrankRuehl"/>
          <w:sz w:val="20"/>
          <w:szCs w:val="22"/>
          <w:rtl/>
        </w:rPr>
        <w:footnoteReference w:id="3"/>
      </w:r>
      <w:r w:rsidRPr="004547CD">
        <w:rPr>
          <w:rFonts w:cs="FrankRuehl" w:hint="cs"/>
          <w:sz w:val="20"/>
          <w:szCs w:val="22"/>
          <w:rtl/>
        </w:rPr>
        <w:t xml:space="preserve"> מבחינים בין שני סוגים של מעצרים: מעצר לצורכי החקירה, המכונה "מעצר ימים" (להלן - מעצרי ימים), ו"מעצר עד תום ההליכים", הנמשך ממועד הגשת כתב האישום ועד תום ההליך המשפטי. נוסף על ההבדל במעמד העצור (חשוד לעומת נאשם), נבדלים שני סוגי המעצרים במטרת המעצר ובסדרי הדין במהלך הדיון.</w:t>
      </w:r>
    </w:p>
    <w:p w:rsidR="006259B3" w:rsidRPr="004547CD" w:rsidP="008A6D26">
      <w:pPr>
        <w:spacing w:after="120" w:line="230" w:lineRule="exact"/>
        <w:jc w:val="both"/>
        <w:rPr>
          <w:rFonts w:cs="FrankRuehl"/>
          <w:sz w:val="20"/>
          <w:szCs w:val="22"/>
          <w:rtl/>
        </w:rPr>
      </w:pPr>
      <w:r w:rsidRPr="004547CD">
        <w:rPr>
          <w:rFonts w:cs="FrankRuehl" w:hint="cs"/>
          <w:sz w:val="20"/>
          <w:szCs w:val="22"/>
          <w:rtl/>
        </w:rPr>
        <w:t>עד שנת 2007 הייתה חלוקה, ולפיה ככלל טיפלה המשטרה במעצרים ובעצורים, ושב</w:t>
      </w:r>
      <w:r w:rsidRPr="004547CD">
        <w:rPr>
          <w:rFonts w:cs="FrankRuehl"/>
          <w:sz w:val="20"/>
          <w:szCs w:val="22"/>
          <w:rtl/>
        </w:rPr>
        <w:t>"</w:t>
      </w:r>
      <w:r w:rsidRPr="004547CD">
        <w:rPr>
          <w:rFonts w:cs="FrankRuehl" w:hint="cs"/>
          <w:sz w:val="20"/>
          <w:szCs w:val="22"/>
          <w:rtl/>
        </w:rPr>
        <w:t xml:space="preserve">ס טיפל באסירים (לאחר שנגזר דינם). בשנת 2007 החליט השר לבט"פ שמערך הטיפול בעצורים והמשמורת עליהם יעברו במלואם מן המשטרה לאחריות שב"ס. בבסיס ההחלטה עמדה התפיסה ששב"ס הוא הגוף בעל המקצועיות בכל הקשור לתחום ההיערכות והטיפול באסירים ובעצורים ושעל המשטרה להתמקד בלחימה בפשיעה ובאכיפת החוק. הסיבות לקבלת החלטה זו היו נעוצות בין היתר בתנאי הכליאה הבלתי נאותים בתאי המעצר המשטרתיים, בפעילות הרבה הכרוכה בטיפול בעצורים על חשבון הפעילות השוטפת של המשטרה ובקשיים </w:t>
      </w:r>
      <w:r w:rsidRPr="004547CD">
        <w:rPr>
          <w:rFonts w:cs="FrankRuehl" w:hint="eastAsia"/>
          <w:sz w:val="20"/>
          <w:szCs w:val="22"/>
          <w:rtl/>
        </w:rPr>
        <w:t>בתיאום</w:t>
      </w:r>
      <w:r w:rsidRPr="004547CD">
        <w:rPr>
          <w:rFonts w:cs="FrankRuehl"/>
          <w:sz w:val="20"/>
          <w:szCs w:val="22"/>
          <w:rtl/>
        </w:rPr>
        <w:t xml:space="preserve"> </w:t>
      </w:r>
      <w:r w:rsidRPr="004547CD">
        <w:rPr>
          <w:rFonts w:cs="FrankRuehl" w:hint="eastAsia"/>
          <w:sz w:val="20"/>
          <w:szCs w:val="22"/>
          <w:rtl/>
        </w:rPr>
        <w:t>בין</w:t>
      </w:r>
      <w:r w:rsidRPr="004547CD">
        <w:rPr>
          <w:rFonts w:cs="FrankRuehl"/>
          <w:sz w:val="20"/>
          <w:szCs w:val="22"/>
          <w:rtl/>
        </w:rPr>
        <w:t xml:space="preserve"> </w:t>
      </w:r>
      <w:r w:rsidRPr="004547CD">
        <w:rPr>
          <w:rFonts w:cs="FrankRuehl" w:hint="cs"/>
          <w:sz w:val="20"/>
          <w:szCs w:val="22"/>
          <w:rtl/>
        </w:rPr>
        <w:t>ה</w:t>
      </w:r>
      <w:r w:rsidRPr="004547CD">
        <w:rPr>
          <w:rFonts w:cs="FrankRuehl" w:hint="eastAsia"/>
          <w:sz w:val="20"/>
          <w:szCs w:val="22"/>
          <w:rtl/>
        </w:rPr>
        <w:t>משטר</w:t>
      </w:r>
      <w:r w:rsidRPr="004547CD">
        <w:rPr>
          <w:rFonts w:cs="FrankRuehl" w:hint="cs"/>
          <w:sz w:val="20"/>
          <w:szCs w:val="22"/>
          <w:rtl/>
        </w:rPr>
        <w:t>ה</w:t>
      </w:r>
      <w:r w:rsidRPr="004547CD">
        <w:rPr>
          <w:rFonts w:cs="FrankRuehl"/>
          <w:sz w:val="20"/>
          <w:szCs w:val="22"/>
          <w:rtl/>
        </w:rPr>
        <w:t xml:space="preserve"> </w:t>
      </w:r>
      <w:r w:rsidRPr="004547CD">
        <w:rPr>
          <w:rFonts w:cs="FrankRuehl" w:hint="eastAsia"/>
          <w:sz w:val="20"/>
          <w:szCs w:val="22"/>
          <w:rtl/>
        </w:rPr>
        <w:t>לש</w:t>
      </w:r>
      <w:r w:rsidRPr="004547CD">
        <w:rPr>
          <w:rFonts w:cs="FrankRuehl" w:hint="cs"/>
          <w:sz w:val="20"/>
          <w:szCs w:val="22"/>
          <w:rtl/>
        </w:rPr>
        <w:t>ב"ס בכל הקשור לליווי העצורים</w:t>
      </w:r>
      <w:r w:rsidRPr="004547CD">
        <w:rPr>
          <w:rFonts w:cs="FrankRuehl"/>
          <w:sz w:val="20"/>
          <w:szCs w:val="22"/>
          <w:rtl/>
        </w:rPr>
        <w:t xml:space="preserve">. </w:t>
      </w:r>
      <w:r w:rsidRPr="004547CD">
        <w:rPr>
          <w:rFonts w:cs="FrankRuehl" w:hint="cs"/>
          <w:sz w:val="20"/>
          <w:szCs w:val="22"/>
          <w:rtl/>
        </w:rPr>
        <w:t>בהתאם להחלטה נחתמו הסכמי הבנות בין מחוזות המשטרה ושב"ס. במרץ 2014 חתמו המשרד לבט"פ, שב"ס והמשטרה על הסכם 2014. ההסכם עוסק במחלוקות העיקריות שנתגלעו בין המשטרה לבין שב"ס, והוא כולל הסכמות המתייחסות לתחומי האחריות, חלוקת המשימות וחלוקת המשאבים הנדרשים בין הארגונים (ראו להלן).</w:t>
      </w:r>
    </w:p>
    <w:p w:rsidR="006259B3" w:rsidRPr="004547CD" w:rsidP="00A37821">
      <w:pPr>
        <w:spacing w:after="120" w:line="230" w:lineRule="exact"/>
        <w:jc w:val="both"/>
        <w:rPr>
          <w:rFonts w:cs="FrankRuehl"/>
          <w:sz w:val="20"/>
          <w:szCs w:val="22"/>
          <w:rtl/>
        </w:rPr>
      </w:pPr>
      <w:r w:rsidRPr="004547CD">
        <w:rPr>
          <w:rFonts w:cs="FrankRuehl" w:hint="cs"/>
          <w:sz w:val="20"/>
          <w:szCs w:val="22"/>
          <w:rtl/>
        </w:rPr>
        <w:t xml:space="preserve">המשטרה היא הגורם הראשון שבא במגע עם החשוד, ובשלבים הראשונים היא זו המחליטה על מעצרו. שב"ס הוא ארגון הכליאה הלאומי, ובאחריותו </w:t>
      </w:r>
      <w:r w:rsidRPr="004547CD">
        <w:rPr>
          <w:rFonts w:cs="FrankRuehl"/>
          <w:sz w:val="20"/>
          <w:szCs w:val="22"/>
          <w:rtl/>
        </w:rPr>
        <w:t>3</w:t>
      </w:r>
      <w:r w:rsidR="00A37821">
        <w:rPr>
          <w:rFonts w:cs="FrankRuehl" w:hint="cs"/>
          <w:sz w:val="20"/>
          <w:szCs w:val="22"/>
          <w:rtl/>
        </w:rPr>
        <w:t>0</w:t>
      </w:r>
      <w:r w:rsidRPr="004547CD">
        <w:rPr>
          <w:rFonts w:cs="FrankRuehl" w:hint="cs"/>
          <w:sz w:val="20"/>
          <w:szCs w:val="22"/>
          <w:rtl/>
        </w:rPr>
        <w:t xml:space="preserve"> מתקני כליאה</w:t>
      </w:r>
      <w:r>
        <w:rPr>
          <w:rStyle w:val="FootnoteReference"/>
          <w:sz w:val="20"/>
          <w:szCs w:val="22"/>
          <w:rtl/>
        </w:rPr>
        <w:footnoteReference w:id="4"/>
      </w:r>
      <w:r w:rsidRPr="004547CD">
        <w:rPr>
          <w:rFonts w:cs="FrankRuehl" w:hint="cs"/>
          <w:sz w:val="20"/>
          <w:szCs w:val="22"/>
          <w:rtl/>
        </w:rPr>
        <w:t>, שבהם הוא מחזיק</w:t>
      </w:r>
      <w:r w:rsidRPr="004547CD">
        <w:rPr>
          <w:rFonts w:cs="FrankRuehl"/>
          <w:sz w:val="20"/>
          <w:szCs w:val="22"/>
          <w:rtl/>
        </w:rPr>
        <w:t xml:space="preserve"> </w:t>
      </w:r>
      <w:r w:rsidRPr="004547CD">
        <w:rPr>
          <w:rFonts w:cs="FrankRuehl" w:hint="eastAsia"/>
          <w:sz w:val="20"/>
          <w:szCs w:val="22"/>
          <w:rtl/>
        </w:rPr>
        <w:t>באסירים</w:t>
      </w:r>
      <w:r w:rsidRPr="004547CD">
        <w:rPr>
          <w:rFonts w:cs="FrankRuehl"/>
          <w:sz w:val="20"/>
          <w:szCs w:val="22"/>
          <w:rtl/>
        </w:rPr>
        <w:t xml:space="preserve"> </w:t>
      </w:r>
      <w:r w:rsidRPr="004547CD">
        <w:rPr>
          <w:rFonts w:cs="FrankRuehl" w:hint="eastAsia"/>
          <w:sz w:val="20"/>
          <w:szCs w:val="22"/>
          <w:rtl/>
        </w:rPr>
        <w:t>ו</w:t>
      </w:r>
      <w:r w:rsidRPr="004547CD">
        <w:rPr>
          <w:rFonts w:cs="FrankRuehl" w:hint="cs"/>
          <w:sz w:val="20"/>
          <w:szCs w:val="22"/>
          <w:rtl/>
        </w:rPr>
        <w:t>ב</w:t>
      </w:r>
      <w:r w:rsidRPr="004547CD">
        <w:rPr>
          <w:rFonts w:cs="FrankRuehl" w:hint="eastAsia"/>
          <w:sz w:val="20"/>
          <w:szCs w:val="22"/>
          <w:rtl/>
        </w:rPr>
        <w:t>עצורים</w:t>
      </w:r>
      <w:r w:rsidRPr="004547CD">
        <w:rPr>
          <w:rFonts w:cs="FrankRuehl" w:hint="cs"/>
          <w:sz w:val="20"/>
          <w:szCs w:val="22"/>
          <w:rtl/>
        </w:rPr>
        <w:t xml:space="preserve"> ומטפל בהם.</w:t>
      </w:r>
      <w:r w:rsidRPr="004547CD">
        <w:rPr>
          <w:rFonts w:cs="FrankRuehl"/>
          <w:sz w:val="20"/>
          <w:szCs w:val="22"/>
          <w:rtl/>
        </w:rPr>
        <w:t xml:space="preserve"> יחידת נחשון </w:t>
      </w:r>
      <w:r w:rsidRPr="004547CD">
        <w:rPr>
          <w:rFonts w:cs="FrankRuehl" w:hint="cs"/>
          <w:sz w:val="20"/>
          <w:szCs w:val="22"/>
          <w:rtl/>
        </w:rPr>
        <w:t>ש</w:t>
      </w:r>
      <w:r w:rsidRPr="004547CD">
        <w:rPr>
          <w:rFonts w:cs="FrankRuehl"/>
          <w:sz w:val="20"/>
          <w:szCs w:val="22"/>
          <w:rtl/>
        </w:rPr>
        <w:t>ה</w:t>
      </w:r>
      <w:r w:rsidRPr="004547CD">
        <w:rPr>
          <w:rFonts w:cs="FrankRuehl" w:hint="cs"/>
          <w:sz w:val="20"/>
          <w:szCs w:val="22"/>
          <w:rtl/>
        </w:rPr>
        <w:t>ו</w:t>
      </w:r>
      <w:r w:rsidRPr="004547CD">
        <w:rPr>
          <w:rFonts w:cs="FrankRuehl"/>
          <w:sz w:val="20"/>
          <w:szCs w:val="22"/>
          <w:rtl/>
        </w:rPr>
        <w:t xml:space="preserve">קמה בשנת 1973, </w:t>
      </w:r>
      <w:r w:rsidRPr="004547CD">
        <w:rPr>
          <w:rFonts w:cs="FrankRuehl" w:hint="cs"/>
          <w:sz w:val="20"/>
          <w:szCs w:val="22"/>
          <w:rtl/>
        </w:rPr>
        <w:t>היא</w:t>
      </w:r>
      <w:r w:rsidRPr="004547CD">
        <w:rPr>
          <w:rFonts w:cs="FrankRuehl"/>
          <w:sz w:val="20"/>
          <w:szCs w:val="22"/>
          <w:rtl/>
        </w:rPr>
        <w:t xml:space="preserve"> היחידה המרכזית </w:t>
      </w:r>
      <w:r w:rsidRPr="004547CD">
        <w:rPr>
          <w:rFonts w:cs="FrankRuehl" w:hint="cs"/>
          <w:sz w:val="20"/>
          <w:szCs w:val="22"/>
          <w:rtl/>
        </w:rPr>
        <w:t xml:space="preserve">של שב"ס </w:t>
      </w:r>
      <w:r w:rsidRPr="004547CD">
        <w:rPr>
          <w:rFonts w:cs="FrankRuehl"/>
          <w:sz w:val="20"/>
          <w:szCs w:val="22"/>
          <w:rtl/>
        </w:rPr>
        <w:t xml:space="preserve">לליווי אסירים, </w:t>
      </w:r>
      <w:r w:rsidRPr="004547CD">
        <w:rPr>
          <w:rFonts w:cs="FrankRuehl" w:hint="cs"/>
          <w:sz w:val="20"/>
          <w:szCs w:val="22"/>
          <w:rtl/>
        </w:rPr>
        <w:t>היא מופקדת על ה</w:t>
      </w:r>
      <w:r w:rsidRPr="004547CD">
        <w:rPr>
          <w:rFonts w:cs="FrankRuehl"/>
          <w:sz w:val="20"/>
          <w:szCs w:val="22"/>
          <w:rtl/>
        </w:rPr>
        <w:t xml:space="preserve">אבטחה </w:t>
      </w:r>
      <w:r w:rsidRPr="004547CD">
        <w:rPr>
          <w:rFonts w:cs="FrankRuehl" w:hint="cs"/>
          <w:sz w:val="20"/>
          <w:szCs w:val="22"/>
          <w:rtl/>
        </w:rPr>
        <w:t>וה</w:t>
      </w:r>
      <w:r w:rsidRPr="004547CD">
        <w:rPr>
          <w:rFonts w:cs="FrankRuehl"/>
          <w:sz w:val="20"/>
          <w:szCs w:val="22"/>
          <w:rtl/>
        </w:rPr>
        <w:t>הפעל</w:t>
      </w:r>
      <w:r w:rsidRPr="004547CD">
        <w:rPr>
          <w:rFonts w:cs="FrankRuehl" w:hint="cs"/>
          <w:sz w:val="20"/>
          <w:szCs w:val="22"/>
          <w:rtl/>
        </w:rPr>
        <w:t>ה</w:t>
      </w:r>
      <w:r w:rsidRPr="004547CD">
        <w:rPr>
          <w:rFonts w:cs="FrankRuehl"/>
          <w:sz w:val="20"/>
          <w:szCs w:val="22"/>
          <w:rtl/>
        </w:rPr>
        <w:t xml:space="preserve"> </w:t>
      </w:r>
      <w:r w:rsidRPr="004547CD">
        <w:rPr>
          <w:rFonts w:cs="FrankRuehl" w:hint="cs"/>
          <w:sz w:val="20"/>
          <w:szCs w:val="22"/>
          <w:rtl/>
        </w:rPr>
        <w:t xml:space="preserve">של </w:t>
      </w:r>
      <w:r w:rsidRPr="004547CD">
        <w:rPr>
          <w:rFonts w:cs="FrankRuehl"/>
          <w:sz w:val="20"/>
          <w:szCs w:val="22"/>
          <w:rtl/>
        </w:rPr>
        <w:t>אגפי הכליאה בבתי המשפט ומבצעת משימות ביטחוניות מיוחדות</w:t>
      </w:r>
      <w:r w:rsidRPr="004547CD">
        <w:rPr>
          <w:rFonts w:cs="FrankRuehl" w:hint="cs"/>
          <w:sz w:val="20"/>
          <w:szCs w:val="22"/>
          <w:rtl/>
        </w:rPr>
        <w:t xml:space="preserve"> הנגזרות</w:t>
      </w:r>
      <w:r w:rsidRPr="004547CD">
        <w:rPr>
          <w:rFonts w:cs="FrankRuehl"/>
          <w:sz w:val="20"/>
          <w:szCs w:val="22"/>
          <w:rtl/>
        </w:rPr>
        <w:t xml:space="preserve"> מתפקידי שב"ס. בין תפקידיה של היחידה ליווי אסירים ועצורים לבתי </w:t>
      </w:r>
      <w:r w:rsidRPr="004547CD">
        <w:rPr>
          <w:rFonts w:cs="FrankRuehl" w:hint="cs"/>
          <w:sz w:val="20"/>
          <w:szCs w:val="22"/>
          <w:rtl/>
        </w:rPr>
        <w:t>ה</w:t>
      </w:r>
      <w:r w:rsidRPr="004547CD">
        <w:rPr>
          <w:rFonts w:cs="FrankRuehl"/>
          <w:sz w:val="20"/>
          <w:szCs w:val="22"/>
          <w:rtl/>
        </w:rPr>
        <w:t xml:space="preserve">משפט ולתחנות </w:t>
      </w:r>
      <w:r w:rsidRPr="004547CD">
        <w:rPr>
          <w:rFonts w:cs="FrankRuehl" w:hint="cs"/>
          <w:sz w:val="20"/>
          <w:szCs w:val="22"/>
          <w:rtl/>
        </w:rPr>
        <w:t>ה</w:t>
      </w:r>
      <w:r w:rsidRPr="004547CD">
        <w:rPr>
          <w:rFonts w:cs="FrankRuehl"/>
          <w:sz w:val="20"/>
          <w:szCs w:val="22"/>
          <w:rtl/>
        </w:rPr>
        <w:t xml:space="preserve">משטרה ואבטחתם באולמות הדיונים וכן ליווי מיוחד של אסירים מסוכנים לביקורי </w:t>
      </w:r>
      <w:r w:rsidRPr="004547CD">
        <w:rPr>
          <w:rFonts w:cs="FrankRuehl" w:hint="eastAsia"/>
          <w:sz w:val="20"/>
          <w:szCs w:val="22"/>
          <w:rtl/>
        </w:rPr>
        <w:t>בית</w:t>
      </w:r>
      <w:r w:rsidRPr="004547CD">
        <w:rPr>
          <w:rFonts w:cs="FrankRuehl"/>
          <w:sz w:val="20"/>
          <w:szCs w:val="22"/>
          <w:rtl/>
        </w:rPr>
        <w:t xml:space="preserve"> ולטיפולים רפואיים. </w:t>
      </w:r>
    </w:p>
    <w:p w:rsidR="006259B3" w:rsidRPr="004547CD" w:rsidP="008A6D26">
      <w:pPr>
        <w:spacing w:after="120" w:line="230" w:lineRule="exact"/>
        <w:jc w:val="both"/>
        <w:rPr>
          <w:rFonts w:cs="FrankRuehl"/>
          <w:sz w:val="20"/>
          <w:szCs w:val="22"/>
          <w:rtl/>
        </w:rPr>
      </w:pPr>
      <w:r w:rsidRPr="004547CD">
        <w:rPr>
          <w:rFonts w:cs="FrankRuehl" w:hint="cs"/>
          <w:sz w:val="20"/>
          <w:szCs w:val="22"/>
          <w:rtl/>
        </w:rPr>
        <w:t>עוד מעורבים בטיפול בעצורים הנהלת בתי המשפט, המופקדת על הניהול והארגון המנהלי של עבודת בתי המשפט בישראל, והמשרד לבט"פ, שהוא הגוף המופקד על אכיפת החוק ושמירת הסדר ועל הפעילות לשמירה על ביטחון הפנים במדינה. השר לבטחון הפנים (להלן השר לבט"פ) נושא באחריות מיניסטריאלית על תפקוד המשטרה ושב</w:t>
      </w:r>
      <w:r w:rsidRPr="004547CD">
        <w:rPr>
          <w:rFonts w:cs="FrankRuehl"/>
          <w:sz w:val="20"/>
          <w:szCs w:val="22"/>
          <w:rtl/>
        </w:rPr>
        <w:t>"</w:t>
      </w:r>
      <w:r w:rsidRPr="004547CD">
        <w:rPr>
          <w:rFonts w:cs="FrankRuehl" w:hint="cs"/>
          <w:sz w:val="20"/>
          <w:szCs w:val="22"/>
          <w:rtl/>
        </w:rPr>
        <w:t xml:space="preserve">ס. </w:t>
      </w:r>
    </w:p>
    <w:p w:rsidR="006259B3" w:rsidRPr="004547CD" w:rsidP="008A6D26">
      <w:pPr>
        <w:spacing w:after="120" w:line="230" w:lineRule="exact"/>
        <w:jc w:val="both"/>
        <w:rPr>
          <w:rFonts w:cs="FrankRuehl"/>
          <w:sz w:val="20"/>
          <w:szCs w:val="22"/>
          <w:rtl/>
        </w:rPr>
      </w:pPr>
      <w:r w:rsidRPr="004547CD">
        <w:rPr>
          <w:rFonts w:cs="FrankRuehl" w:hint="cs"/>
          <w:sz w:val="20"/>
          <w:szCs w:val="22"/>
          <w:rtl/>
        </w:rPr>
        <w:t>לפי נתוני המשטרה</w:t>
      </w:r>
      <w:r>
        <w:rPr>
          <w:rStyle w:val="FootnoteReference"/>
          <w:rFonts w:cs="FrankRuehl"/>
          <w:sz w:val="20"/>
          <w:szCs w:val="22"/>
          <w:rtl/>
        </w:rPr>
        <w:footnoteReference w:id="5"/>
      </w:r>
      <w:r w:rsidRPr="004547CD">
        <w:rPr>
          <w:rFonts w:cs="FrankRuehl" w:hint="cs"/>
          <w:sz w:val="20"/>
          <w:szCs w:val="22"/>
          <w:rtl/>
        </w:rPr>
        <w:t xml:space="preserve">, בשנת 2003 היו 46,120 מעצרים, מתוכם 35,646 מעצרים (כ-77%) היו מעצרי ימים, ואילו בשנת 2013 היו 61,040 מעצרים, מתוכם 40,967 מעצרי ימים (כ-67%). </w:t>
      </w:r>
    </w:p>
    <w:p w:rsidR="006259B3" w:rsidRPr="004547CD" w:rsidP="008A6D26">
      <w:pPr>
        <w:spacing w:after="120" w:line="230" w:lineRule="exact"/>
        <w:jc w:val="both"/>
        <w:rPr>
          <w:rFonts w:cs="FrankRuehl"/>
          <w:sz w:val="20"/>
          <w:szCs w:val="22"/>
          <w:rtl/>
        </w:rPr>
      </w:pPr>
      <w:r w:rsidRPr="004547CD">
        <w:rPr>
          <w:rFonts w:cs="FrankRuehl" w:hint="cs"/>
          <w:sz w:val="20"/>
          <w:szCs w:val="22"/>
          <w:rtl/>
        </w:rPr>
        <w:t xml:space="preserve">בחודשים מרץ - אוקטובר 2014 בדק משרד מבקר המדינה היבטים שונים הכרוכים בהעברת הטיפול בבתי המעצר ממשטרת ישראל לשירות בתי הסוהר. הבדיקה נעשתה במשרד לבט"פ, </w:t>
      </w:r>
      <w:r w:rsidRPr="004547CD">
        <w:rPr>
          <w:rFonts w:cs="FrankRuehl" w:hint="cs"/>
          <w:sz w:val="20"/>
          <w:szCs w:val="22"/>
          <w:rtl/>
        </w:rPr>
        <w:t>במשטרה ובשב"ס. בדיקות השלמה נעשו בהנהלת בתי המשפט, בסניגוריה הציבורית ובמשרד האוצר. דוח קודם בנושא "מעצרים" פרסם מבקר המדינה בשנת 1995</w:t>
      </w:r>
      <w:r>
        <w:rPr>
          <w:rStyle w:val="FootnoteReference"/>
          <w:rFonts w:cs="FrankRuehl"/>
          <w:sz w:val="20"/>
          <w:szCs w:val="22"/>
          <w:rtl/>
        </w:rPr>
        <w:footnoteReference w:id="6"/>
      </w:r>
      <w:r w:rsidRPr="004547CD">
        <w:rPr>
          <w:rFonts w:cs="FrankRuehl" w:hint="cs"/>
          <w:sz w:val="20"/>
          <w:szCs w:val="22"/>
          <w:rtl/>
        </w:rPr>
        <w:t>.</w:t>
      </w:r>
    </w:p>
    <w:p w:rsidR="006259B3" w:rsidRPr="004547CD" w:rsidP="008A6D26">
      <w:pPr>
        <w:spacing w:after="120" w:line="230" w:lineRule="exact"/>
        <w:jc w:val="both"/>
        <w:rPr>
          <w:rFonts w:cs="FrankRuehl"/>
          <w:sz w:val="20"/>
          <w:szCs w:val="22"/>
          <w:rtl/>
        </w:rPr>
      </w:pPr>
    </w:p>
    <w:p w:rsidR="006259B3" w:rsidRPr="004547CD" w:rsidP="008A6D26">
      <w:pPr>
        <w:spacing w:after="120" w:line="230" w:lineRule="exact"/>
        <w:jc w:val="both"/>
        <w:rPr>
          <w:rFonts w:cs="FrankRuehl"/>
          <w:sz w:val="20"/>
          <w:szCs w:val="22"/>
          <w:rtl/>
        </w:rPr>
      </w:pPr>
    </w:p>
    <w:p w:rsidR="006259B3" w:rsidRPr="006A210F" w:rsidP="008A6D26">
      <w:pPr>
        <w:pStyle w:val="KOT4"/>
        <w:rPr>
          <w:rtl/>
        </w:rPr>
      </w:pPr>
      <w:r w:rsidRPr="006A210F">
        <w:rPr>
          <w:rFonts w:hint="cs"/>
          <w:rtl/>
        </w:rPr>
        <w:t>המסד הנורמטיבי</w:t>
      </w:r>
    </w:p>
    <w:p w:rsidR="006259B3" w:rsidRPr="004547CD" w:rsidP="008A6D26">
      <w:pPr>
        <w:spacing w:after="120" w:line="230" w:lineRule="exact"/>
        <w:jc w:val="both"/>
        <w:rPr>
          <w:rFonts w:cs="FrankRuehl"/>
          <w:sz w:val="20"/>
          <w:szCs w:val="22"/>
        </w:rPr>
      </w:pPr>
      <w:r w:rsidRPr="004547CD">
        <w:rPr>
          <w:rFonts w:cs="FrankRuehl" w:hint="eastAsia"/>
          <w:sz w:val="20"/>
          <w:szCs w:val="22"/>
          <w:rtl/>
        </w:rPr>
        <w:t>חוק</w:t>
      </w:r>
      <w:r w:rsidRPr="004547CD">
        <w:rPr>
          <w:rFonts w:cs="FrankRuehl"/>
          <w:sz w:val="20"/>
          <w:szCs w:val="22"/>
          <w:rtl/>
        </w:rPr>
        <w:t xml:space="preserve"> </w:t>
      </w:r>
      <w:r w:rsidRPr="004547CD">
        <w:rPr>
          <w:rFonts w:cs="FrankRuehl" w:hint="eastAsia"/>
          <w:sz w:val="20"/>
          <w:szCs w:val="22"/>
          <w:rtl/>
        </w:rPr>
        <w:t>יסוד</w:t>
      </w:r>
      <w:r w:rsidRPr="004547CD">
        <w:rPr>
          <w:rFonts w:cs="FrankRuehl" w:hint="cs"/>
          <w:sz w:val="20"/>
          <w:szCs w:val="22"/>
          <w:rtl/>
        </w:rPr>
        <w:t>:</w:t>
      </w:r>
      <w:r w:rsidRPr="004547CD">
        <w:rPr>
          <w:rFonts w:cs="FrankRuehl"/>
          <w:sz w:val="20"/>
          <w:szCs w:val="22"/>
          <w:rtl/>
        </w:rPr>
        <w:t xml:space="preserve"> </w:t>
      </w:r>
      <w:r w:rsidRPr="004547CD">
        <w:rPr>
          <w:rFonts w:cs="FrankRuehl" w:hint="eastAsia"/>
          <w:sz w:val="20"/>
          <w:szCs w:val="22"/>
          <w:rtl/>
        </w:rPr>
        <w:t>כבוד</w:t>
      </w:r>
      <w:r w:rsidRPr="004547CD">
        <w:rPr>
          <w:rFonts w:cs="FrankRuehl"/>
          <w:sz w:val="20"/>
          <w:szCs w:val="22"/>
          <w:rtl/>
        </w:rPr>
        <w:t xml:space="preserve"> </w:t>
      </w:r>
      <w:r w:rsidRPr="004547CD">
        <w:rPr>
          <w:rFonts w:cs="FrankRuehl" w:hint="eastAsia"/>
          <w:sz w:val="20"/>
          <w:szCs w:val="22"/>
          <w:rtl/>
        </w:rPr>
        <w:t>האדם</w:t>
      </w:r>
      <w:r w:rsidRPr="004547CD">
        <w:rPr>
          <w:rFonts w:cs="FrankRuehl"/>
          <w:sz w:val="20"/>
          <w:szCs w:val="22"/>
          <w:rtl/>
        </w:rPr>
        <w:t xml:space="preserve"> </w:t>
      </w:r>
      <w:r w:rsidRPr="004547CD">
        <w:rPr>
          <w:rFonts w:cs="FrankRuehl" w:hint="eastAsia"/>
          <w:sz w:val="20"/>
          <w:szCs w:val="22"/>
          <w:rtl/>
        </w:rPr>
        <w:t>וחירותו</w:t>
      </w:r>
      <w:r w:rsidRPr="004547CD">
        <w:rPr>
          <w:rFonts w:cs="FrankRuehl"/>
          <w:sz w:val="20"/>
          <w:szCs w:val="22"/>
          <w:rtl/>
        </w:rPr>
        <w:t xml:space="preserve"> </w:t>
      </w:r>
      <w:r w:rsidRPr="004547CD">
        <w:rPr>
          <w:rFonts w:cs="FrankRuehl" w:hint="eastAsia"/>
          <w:sz w:val="20"/>
          <w:szCs w:val="22"/>
          <w:rtl/>
        </w:rPr>
        <w:t>מעגן</w:t>
      </w:r>
      <w:r w:rsidRPr="004547CD">
        <w:rPr>
          <w:rFonts w:cs="FrankRuehl"/>
          <w:sz w:val="20"/>
          <w:szCs w:val="22"/>
          <w:rtl/>
        </w:rPr>
        <w:t xml:space="preserve"> </w:t>
      </w:r>
      <w:r w:rsidRPr="004547CD">
        <w:rPr>
          <w:rFonts w:cs="FrankRuehl" w:hint="eastAsia"/>
          <w:sz w:val="20"/>
          <w:szCs w:val="22"/>
          <w:rtl/>
        </w:rPr>
        <w:t>את</w:t>
      </w:r>
      <w:r w:rsidRPr="004547CD">
        <w:rPr>
          <w:rFonts w:cs="FrankRuehl"/>
          <w:sz w:val="20"/>
          <w:szCs w:val="22"/>
          <w:rtl/>
        </w:rPr>
        <w:t xml:space="preserve"> </w:t>
      </w:r>
      <w:r w:rsidRPr="004547CD">
        <w:rPr>
          <w:rFonts w:cs="FrankRuehl" w:hint="eastAsia"/>
          <w:sz w:val="20"/>
          <w:szCs w:val="22"/>
          <w:rtl/>
        </w:rPr>
        <w:t>חובת</w:t>
      </w:r>
      <w:r w:rsidRPr="004547CD">
        <w:rPr>
          <w:rFonts w:cs="FrankRuehl"/>
          <w:sz w:val="20"/>
          <w:szCs w:val="22"/>
          <w:rtl/>
        </w:rPr>
        <w:t xml:space="preserve"> </w:t>
      </w:r>
      <w:r w:rsidRPr="004547CD">
        <w:rPr>
          <w:rFonts w:cs="FrankRuehl" w:hint="eastAsia"/>
          <w:sz w:val="20"/>
          <w:szCs w:val="22"/>
          <w:rtl/>
        </w:rPr>
        <w:t>המדינה</w:t>
      </w:r>
      <w:r w:rsidRPr="004547CD">
        <w:rPr>
          <w:rFonts w:cs="FrankRuehl"/>
          <w:sz w:val="20"/>
          <w:szCs w:val="22"/>
          <w:rtl/>
        </w:rPr>
        <w:t xml:space="preserve"> </w:t>
      </w:r>
      <w:r w:rsidRPr="004547CD">
        <w:rPr>
          <w:rFonts w:cs="FrankRuehl" w:hint="eastAsia"/>
          <w:sz w:val="20"/>
          <w:szCs w:val="22"/>
          <w:rtl/>
        </w:rPr>
        <w:t>להגן</w:t>
      </w:r>
      <w:r w:rsidRPr="004547CD">
        <w:rPr>
          <w:rFonts w:cs="FrankRuehl"/>
          <w:sz w:val="20"/>
          <w:szCs w:val="22"/>
          <w:rtl/>
        </w:rPr>
        <w:t xml:space="preserve"> </w:t>
      </w:r>
      <w:r w:rsidRPr="004547CD">
        <w:rPr>
          <w:rFonts w:cs="FrankRuehl" w:hint="eastAsia"/>
          <w:sz w:val="20"/>
          <w:szCs w:val="22"/>
          <w:rtl/>
        </w:rPr>
        <w:t>על</w:t>
      </w:r>
      <w:r w:rsidRPr="004547CD">
        <w:rPr>
          <w:rFonts w:cs="FrankRuehl"/>
          <w:sz w:val="20"/>
          <w:szCs w:val="22"/>
          <w:rtl/>
        </w:rPr>
        <w:t xml:space="preserve"> </w:t>
      </w:r>
      <w:r w:rsidRPr="004547CD">
        <w:rPr>
          <w:rFonts w:cs="FrankRuehl" w:hint="eastAsia"/>
          <w:sz w:val="20"/>
          <w:szCs w:val="22"/>
          <w:rtl/>
        </w:rPr>
        <w:t>זכותו</w:t>
      </w:r>
      <w:r w:rsidRPr="004547CD">
        <w:rPr>
          <w:rFonts w:cs="FrankRuehl"/>
          <w:sz w:val="20"/>
          <w:szCs w:val="22"/>
          <w:rtl/>
        </w:rPr>
        <w:t xml:space="preserve"> </w:t>
      </w:r>
      <w:r w:rsidRPr="004547CD">
        <w:rPr>
          <w:rFonts w:cs="FrankRuehl" w:hint="eastAsia"/>
          <w:sz w:val="20"/>
          <w:szCs w:val="22"/>
          <w:rtl/>
        </w:rPr>
        <w:t>של</w:t>
      </w:r>
      <w:r w:rsidRPr="004547CD">
        <w:rPr>
          <w:rFonts w:cs="FrankRuehl"/>
          <w:sz w:val="20"/>
          <w:szCs w:val="22"/>
          <w:rtl/>
        </w:rPr>
        <w:t xml:space="preserve"> </w:t>
      </w:r>
      <w:r w:rsidRPr="004547CD">
        <w:rPr>
          <w:rFonts w:cs="FrankRuehl" w:hint="eastAsia"/>
          <w:sz w:val="20"/>
          <w:szCs w:val="22"/>
          <w:rtl/>
        </w:rPr>
        <w:t>כל</w:t>
      </w:r>
      <w:r w:rsidRPr="004547CD">
        <w:rPr>
          <w:rFonts w:cs="FrankRuehl"/>
          <w:sz w:val="20"/>
          <w:szCs w:val="22"/>
          <w:rtl/>
        </w:rPr>
        <w:t xml:space="preserve"> </w:t>
      </w:r>
      <w:r w:rsidRPr="004547CD">
        <w:rPr>
          <w:rFonts w:cs="FrankRuehl" w:hint="eastAsia"/>
          <w:sz w:val="20"/>
          <w:szCs w:val="22"/>
          <w:rtl/>
        </w:rPr>
        <w:t>אדם</w:t>
      </w:r>
      <w:r w:rsidRPr="004547CD">
        <w:rPr>
          <w:rFonts w:cs="FrankRuehl"/>
          <w:sz w:val="20"/>
          <w:szCs w:val="22"/>
          <w:rtl/>
        </w:rPr>
        <w:t xml:space="preserve">, </w:t>
      </w:r>
      <w:r w:rsidRPr="004547CD">
        <w:rPr>
          <w:rFonts w:cs="FrankRuehl" w:hint="eastAsia"/>
          <w:sz w:val="20"/>
          <w:szCs w:val="22"/>
          <w:rtl/>
        </w:rPr>
        <w:t>באשר</w:t>
      </w:r>
      <w:r w:rsidRPr="004547CD">
        <w:rPr>
          <w:rFonts w:cs="FrankRuehl"/>
          <w:sz w:val="20"/>
          <w:szCs w:val="22"/>
          <w:rtl/>
        </w:rPr>
        <w:t xml:space="preserve"> </w:t>
      </w:r>
      <w:r w:rsidRPr="004547CD">
        <w:rPr>
          <w:rFonts w:cs="FrankRuehl" w:hint="eastAsia"/>
          <w:sz w:val="20"/>
          <w:szCs w:val="22"/>
          <w:rtl/>
        </w:rPr>
        <w:t>הוא</w:t>
      </w:r>
      <w:r w:rsidRPr="004547CD">
        <w:rPr>
          <w:rFonts w:cs="FrankRuehl"/>
          <w:sz w:val="20"/>
          <w:szCs w:val="22"/>
          <w:rtl/>
        </w:rPr>
        <w:t xml:space="preserve"> </w:t>
      </w:r>
      <w:r w:rsidRPr="004547CD">
        <w:rPr>
          <w:rFonts w:cs="FrankRuehl" w:hint="eastAsia"/>
          <w:sz w:val="20"/>
          <w:szCs w:val="22"/>
          <w:rtl/>
        </w:rPr>
        <w:t>אדם</w:t>
      </w:r>
      <w:r w:rsidRPr="004547CD">
        <w:rPr>
          <w:rFonts w:cs="FrankRuehl"/>
          <w:sz w:val="20"/>
          <w:szCs w:val="22"/>
          <w:rtl/>
        </w:rPr>
        <w:t xml:space="preserve">, </w:t>
      </w:r>
      <w:r w:rsidRPr="004547CD">
        <w:rPr>
          <w:rFonts w:cs="FrankRuehl" w:hint="eastAsia"/>
          <w:sz w:val="20"/>
          <w:szCs w:val="22"/>
          <w:rtl/>
        </w:rPr>
        <w:t>לחיים</w:t>
      </w:r>
      <w:r w:rsidRPr="004547CD">
        <w:rPr>
          <w:rFonts w:cs="FrankRuehl"/>
          <w:sz w:val="20"/>
          <w:szCs w:val="22"/>
          <w:rtl/>
        </w:rPr>
        <w:t xml:space="preserve">, </w:t>
      </w:r>
      <w:r w:rsidRPr="004547CD">
        <w:rPr>
          <w:rFonts w:cs="FrankRuehl" w:hint="eastAsia"/>
          <w:sz w:val="20"/>
          <w:szCs w:val="22"/>
          <w:rtl/>
        </w:rPr>
        <w:t>לשלמות</w:t>
      </w:r>
      <w:r w:rsidRPr="004547CD">
        <w:rPr>
          <w:rFonts w:cs="FrankRuehl"/>
          <w:sz w:val="20"/>
          <w:szCs w:val="22"/>
          <w:rtl/>
        </w:rPr>
        <w:t xml:space="preserve"> </w:t>
      </w:r>
      <w:r w:rsidRPr="004547CD">
        <w:rPr>
          <w:rFonts w:cs="FrankRuehl" w:hint="eastAsia"/>
          <w:sz w:val="20"/>
          <w:szCs w:val="22"/>
          <w:rtl/>
        </w:rPr>
        <w:t>גופנית</w:t>
      </w:r>
      <w:r w:rsidRPr="004547CD">
        <w:rPr>
          <w:rFonts w:cs="FrankRuehl"/>
          <w:sz w:val="20"/>
          <w:szCs w:val="22"/>
          <w:rtl/>
        </w:rPr>
        <w:t xml:space="preserve"> </w:t>
      </w:r>
      <w:r w:rsidRPr="004547CD">
        <w:rPr>
          <w:rFonts w:cs="FrankRuehl" w:hint="eastAsia"/>
          <w:sz w:val="20"/>
          <w:szCs w:val="22"/>
          <w:rtl/>
        </w:rPr>
        <w:t>ולכבוד</w:t>
      </w:r>
      <w:r w:rsidRPr="004547CD">
        <w:rPr>
          <w:rFonts w:cs="FrankRuehl" w:hint="cs"/>
          <w:sz w:val="20"/>
          <w:szCs w:val="22"/>
          <w:rtl/>
        </w:rPr>
        <w:t xml:space="preserve">. הוא קובע כי אין לפגוע בחירותו של אדם, אלא במסגרת המצומצמת שקבע לכך הדין, ולעולם יש להקפיד שמידת הפגיעה, טיבה ואופייה לא יחרגו מן הדרוש וההכרחי. חוק היסוד קובע כי "אין פוגעים בזכויות שלפי חוק-יסוד זה אלא בחוק ההולם את ערכיה של מדינת ישראל, שנועד לתכלית ראויה, ובמידה שאינה עולה על הנדרש או לפי חוק כאמור מכוח הסמכה מפורשת בו". העיקרון </w:t>
      </w:r>
      <w:r w:rsidRPr="004547CD">
        <w:rPr>
          <w:rFonts w:cs="FrankRuehl" w:hint="eastAsia"/>
          <w:sz w:val="20"/>
          <w:szCs w:val="22"/>
          <w:rtl/>
        </w:rPr>
        <w:t>הוא</w:t>
      </w:r>
      <w:r w:rsidRPr="004547CD">
        <w:rPr>
          <w:rFonts w:cs="FrankRuehl"/>
          <w:sz w:val="20"/>
          <w:szCs w:val="22"/>
          <w:rtl/>
        </w:rPr>
        <w:t xml:space="preserve"> </w:t>
      </w:r>
      <w:r w:rsidRPr="004547CD">
        <w:rPr>
          <w:rFonts w:cs="FrankRuehl" w:hint="eastAsia"/>
          <w:sz w:val="20"/>
          <w:szCs w:val="22"/>
          <w:rtl/>
        </w:rPr>
        <w:t>שזכויות</w:t>
      </w:r>
      <w:r w:rsidRPr="004547CD">
        <w:rPr>
          <w:rFonts w:cs="FrankRuehl"/>
          <w:sz w:val="20"/>
          <w:szCs w:val="22"/>
          <w:rtl/>
        </w:rPr>
        <w:t xml:space="preserve"> </w:t>
      </w:r>
      <w:r w:rsidRPr="004547CD">
        <w:rPr>
          <w:rFonts w:cs="FrankRuehl" w:hint="eastAsia"/>
          <w:sz w:val="20"/>
          <w:szCs w:val="22"/>
          <w:rtl/>
        </w:rPr>
        <w:t>האדם</w:t>
      </w:r>
      <w:r w:rsidRPr="004547CD">
        <w:rPr>
          <w:rFonts w:cs="FrankRuehl"/>
          <w:sz w:val="20"/>
          <w:szCs w:val="22"/>
          <w:rtl/>
        </w:rPr>
        <w:t xml:space="preserve"> </w:t>
      </w:r>
      <w:r w:rsidRPr="004547CD">
        <w:rPr>
          <w:rFonts w:cs="FrankRuehl" w:hint="eastAsia"/>
          <w:sz w:val="20"/>
          <w:szCs w:val="22"/>
          <w:rtl/>
        </w:rPr>
        <w:t>אינן</w:t>
      </w:r>
      <w:r w:rsidRPr="004547CD">
        <w:rPr>
          <w:rFonts w:cs="FrankRuehl"/>
          <w:sz w:val="20"/>
          <w:szCs w:val="22"/>
          <w:rtl/>
        </w:rPr>
        <w:t xml:space="preserve"> </w:t>
      </w:r>
      <w:r w:rsidRPr="004547CD">
        <w:rPr>
          <w:rFonts w:cs="FrankRuehl" w:hint="eastAsia"/>
          <w:sz w:val="20"/>
          <w:szCs w:val="22"/>
          <w:rtl/>
        </w:rPr>
        <w:t>נעצרות</w:t>
      </w:r>
      <w:r w:rsidRPr="004547CD">
        <w:rPr>
          <w:rFonts w:cs="FrankRuehl"/>
          <w:sz w:val="20"/>
          <w:szCs w:val="22"/>
          <w:rtl/>
        </w:rPr>
        <w:t xml:space="preserve"> </w:t>
      </w:r>
      <w:r w:rsidRPr="004547CD">
        <w:rPr>
          <w:rFonts w:cs="FrankRuehl" w:hint="eastAsia"/>
          <w:sz w:val="20"/>
          <w:szCs w:val="22"/>
          <w:rtl/>
        </w:rPr>
        <w:t>בשערי</w:t>
      </w:r>
      <w:r w:rsidRPr="004547CD">
        <w:rPr>
          <w:rFonts w:cs="FrankRuehl"/>
          <w:sz w:val="20"/>
          <w:szCs w:val="22"/>
          <w:rtl/>
        </w:rPr>
        <w:t xml:space="preserve"> </w:t>
      </w:r>
      <w:r w:rsidRPr="004547CD">
        <w:rPr>
          <w:rFonts w:cs="FrankRuehl" w:hint="eastAsia"/>
          <w:sz w:val="20"/>
          <w:szCs w:val="22"/>
          <w:rtl/>
        </w:rPr>
        <w:t>בית</w:t>
      </w:r>
      <w:r w:rsidRPr="004547CD">
        <w:rPr>
          <w:rFonts w:cs="FrankRuehl"/>
          <w:sz w:val="20"/>
          <w:szCs w:val="22"/>
          <w:rtl/>
        </w:rPr>
        <w:t xml:space="preserve"> </w:t>
      </w:r>
      <w:r w:rsidRPr="004547CD">
        <w:rPr>
          <w:rFonts w:cs="FrankRuehl" w:hint="eastAsia"/>
          <w:sz w:val="20"/>
          <w:szCs w:val="22"/>
          <w:rtl/>
        </w:rPr>
        <w:t>הסוהר</w:t>
      </w:r>
      <w:r w:rsidRPr="004547CD">
        <w:rPr>
          <w:rFonts w:cs="FrankRuehl"/>
          <w:sz w:val="20"/>
          <w:szCs w:val="22"/>
          <w:rtl/>
        </w:rPr>
        <w:t xml:space="preserve">. </w:t>
      </w:r>
      <w:r w:rsidRPr="004547CD">
        <w:rPr>
          <w:rFonts w:cs="FrankRuehl" w:hint="eastAsia"/>
          <w:sz w:val="20"/>
          <w:szCs w:val="22"/>
          <w:rtl/>
        </w:rPr>
        <w:t>על</w:t>
      </w:r>
      <w:r w:rsidRPr="004547CD">
        <w:rPr>
          <w:rFonts w:cs="FrankRuehl"/>
          <w:sz w:val="20"/>
          <w:szCs w:val="22"/>
          <w:rtl/>
        </w:rPr>
        <w:t xml:space="preserve"> </w:t>
      </w:r>
      <w:r w:rsidRPr="004547CD">
        <w:rPr>
          <w:rFonts w:cs="FrankRuehl" w:hint="eastAsia"/>
          <w:sz w:val="20"/>
          <w:szCs w:val="22"/>
          <w:rtl/>
        </w:rPr>
        <w:t>המדינה</w:t>
      </w:r>
      <w:r w:rsidRPr="004547CD">
        <w:rPr>
          <w:rFonts w:cs="FrankRuehl"/>
          <w:sz w:val="20"/>
          <w:szCs w:val="22"/>
          <w:rtl/>
        </w:rPr>
        <w:t xml:space="preserve"> </w:t>
      </w:r>
      <w:r w:rsidRPr="004547CD">
        <w:rPr>
          <w:rFonts w:cs="FrankRuehl" w:hint="eastAsia"/>
          <w:sz w:val="20"/>
          <w:szCs w:val="22"/>
          <w:rtl/>
        </w:rPr>
        <w:t>מוטלת</w:t>
      </w:r>
      <w:r w:rsidRPr="004547CD">
        <w:rPr>
          <w:rFonts w:cs="FrankRuehl"/>
          <w:sz w:val="20"/>
          <w:szCs w:val="22"/>
          <w:rtl/>
        </w:rPr>
        <w:t xml:space="preserve"> </w:t>
      </w:r>
      <w:r w:rsidRPr="004547CD">
        <w:rPr>
          <w:rFonts w:cs="FrankRuehl" w:hint="eastAsia"/>
          <w:sz w:val="20"/>
          <w:szCs w:val="22"/>
          <w:rtl/>
        </w:rPr>
        <w:t>חובה</w:t>
      </w:r>
      <w:r w:rsidRPr="004547CD">
        <w:rPr>
          <w:rFonts w:cs="FrankRuehl"/>
          <w:sz w:val="20"/>
          <w:szCs w:val="22"/>
          <w:rtl/>
        </w:rPr>
        <w:t xml:space="preserve"> </w:t>
      </w:r>
      <w:r w:rsidRPr="004547CD">
        <w:rPr>
          <w:rFonts w:cs="FrankRuehl" w:hint="eastAsia"/>
          <w:sz w:val="20"/>
          <w:szCs w:val="22"/>
          <w:rtl/>
        </w:rPr>
        <w:t>פוזיטיבית</w:t>
      </w:r>
      <w:r w:rsidRPr="004547CD">
        <w:rPr>
          <w:rFonts w:cs="FrankRuehl"/>
          <w:sz w:val="20"/>
          <w:szCs w:val="22"/>
          <w:rtl/>
        </w:rPr>
        <w:t xml:space="preserve"> </w:t>
      </w:r>
      <w:r w:rsidRPr="004547CD">
        <w:rPr>
          <w:rFonts w:cs="FrankRuehl" w:hint="eastAsia"/>
          <w:sz w:val="20"/>
          <w:szCs w:val="22"/>
          <w:rtl/>
        </w:rPr>
        <w:t>להבטיח</w:t>
      </w:r>
      <w:r w:rsidRPr="004547CD">
        <w:rPr>
          <w:rFonts w:cs="FrankRuehl"/>
          <w:sz w:val="20"/>
          <w:szCs w:val="22"/>
          <w:rtl/>
        </w:rPr>
        <w:t xml:space="preserve"> </w:t>
      </w:r>
      <w:r w:rsidRPr="004547CD">
        <w:rPr>
          <w:rFonts w:cs="FrankRuehl" w:hint="cs"/>
          <w:sz w:val="20"/>
          <w:szCs w:val="22"/>
          <w:rtl/>
        </w:rPr>
        <w:t xml:space="preserve">גם </w:t>
      </w:r>
      <w:r w:rsidRPr="004547CD">
        <w:rPr>
          <w:rFonts w:cs="FrankRuehl" w:hint="eastAsia"/>
          <w:sz w:val="20"/>
          <w:szCs w:val="22"/>
          <w:rtl/>
        </w:rPr>
        <w:t>שמירה</w:t>
      </w:r>
      <w:r w:rsidRPr="004547CD">
        <w:rPr>
          <w:rFonts w:cs="FrankRuehl"/>
          <w:sz w:val="20"/>
          <w:szCs w:val="22"/>
          <w:rtl/>
        </w:rPr>
        <w:t xml:space="preserve"> </w:t>
      </w:r>
      <w:r w:rsidRPr="004547CD">
        <w:rPr>
          <w:rFonts w:cs="FrankRuehl" w:hint="eastAsia"/>
          <w:sz w:val="20"/>
          <w:szCs w:val="22"/>
          <w:rtl/>
        </w:rPr>
        <w:t>על</w:t>
      </w:r>
      <w:r w:rsidRPr="004547CD">
        <w:rPr>
          <w:rFonts w:cs="FrankRuehl"/>
          <w:sz w:val="20"/>
          <w:szCs w:val="22"/>
          <w:rtl/>
        </w:rPr>
        <w:t xml:space="preserve"> </w:t>
      </w:r>
      <w:r w:rsidRPr="004547CD">
        <w:rPr>
          <w:rFonts w:cs="FrankRuehl" w:hint="eastAsia"/>
          <w:sz w:val="20"/>
          <w:szCs w:val="22"/>
          <w:rtl/>
        </w:rPr>
        <w:t>זכויות</w:t>
      </w:r>
      <w:r w:rsidRPr="004547CD">
        <w:rPr>
          <w:rFonts w:cs="FrankRuehl"/>
          <w:sz w:val="20"/>
          <w:szCs w:val="22"/>
          <w:rtl/>
        </w:rPr>
        <w:t xml:space="preserve"> </w:t>
      </w:r>
      <w:r w:rsidRPr="004547CD">
        <w:rPr>
          <w:rFonts w:cs="FrankRuehl" w:hint="eastAsia"/>
          <w:sz w:val="20"/>
          <w:szCs w:val="22"/>
          <w:rtl/>
        </w:rPr>
        <w:t>הכלוא</w:t>
      </w:r>
      <w:r w:rsidRPr="004547CD">
        <w:rPr>
          <w:rFonts w:cs="FrankRuehl"/>
          <w:sz w:val="20"/>
          <w:szCs w:val="22"/>
          <w:rtl/>
        </w:rPr>
        <w:t xml:space="preserve"> </w:t>
      </w:r>
      <w:r w:rsidRPr="004547CD">
        <w:rPr>
          <w:rFonts w:cs="FrankRuehl" w:hint="eastAsia"/>
          <w:sz w:val="20"/>
          <w:szCs w:val="22"/>
          <w:rtl/>
        </w:rPr>
        <w:t>ולפעול</w:t>
      </w:r>
      <w:r w:rsidRPr="004547CD">
        <w:rPr>
          <w:rFonts w:cs="FrankRuehl"/>
          <w:sz w:val="20"/>
          <w:szCs w:val="22"/>
          <w:rtl/>
        </w:rPr>
        <w:t xml:space="preserve"> </w:t>
      </w:r>
      <w:r w:rsidRPr="004547CD">
        <w:rPr>
          <w:rFonts w:cs="FrankRuehl" w:hint="eastAsia"/>
          <w:sz w:val="20"/>
          <w:szCs w:val="22"/>
          <w:rtl/>
        </w:rPr>
        <w:t>למימושן</w:t>
      </w:r>
      <w:r>
        <w:rPr>
          <w:rStyle w:val="FootnoteReference"/>
          <w:rFonts w:cs="FrankRuehl"/>
          <w:sz w:val="20"/>
          <w:szCs w:val="22"/>
          <w:rtl/>
        </w:rPr>
        <w:footnoteReference w:id="7"/>
      </w:r>
      <w:r w:rsidRPr="004547CD">
        <w:rPr>
          <w:rFonts w:cs="FrankRuehl" w:hint="cs"/>
          <w:sz w:val="20"/>
          <w:szCs w:val="22"/>
          <w:rtl/>
        </w:rPr>
        <w:t>. בג"ץ</w:t>
      </w:r>
      <w:r>
        <w:rPr>
          <w:rStyle w:val="FootnoteReference"/>
          <w:rFonts w:cs="FrankRuehl"/>
          <w:sz w:val="20"/>
          <w:szCs w:val="22"/>
          <w:rtl/>
        </w:rPr>
        <w:footnoteReference w:id="8"/>
      </w:r>
      <w:r w:rsidRPr="004547CD">
        <w:rPr>
          <w:rFonts w:cs="FrankRuehl" w:hint="cs"/>
          <w:sz w:val="20"/>
          <w:szCs w:val="22"/>
          <w:rtl/>
        </w:rPr>
        <w:t xml:space="preserve"> קבע עוד כי </w:t>
      </w:r>
      <w:r w:rsidRPr="004547CD">
        <w:rPr>
          <w:rFonts w:cs="FrankRuehl"/>
          <w:sz w:val="20"/>
          <w:szCs w:val="22"/>
          <w:rtl/>
        </w:rPr>
        <w:t>"</w:t>
      </w:r>
      <w:r w:rsidRPr="004547CD">
        <w:rPr>
          <w:rFonts w:cs="FrankRuehl" w:hint="cs"/>
          <w:sz w:val="20"/>
          <w:szCs w:val="22"/>
          <w:rtl/>
        </w:rPr>
        <w:t xml:space="preserve">החירות האישית </w:t>
      </w:r>
      <w:r w:rsidRPr="004547CD">
        <w:rPr>
          <w:rFonts w:cs="FrankRuehl"/>
          <w:sz w:val="20"/>
          <w:szCs w:val="22"/>
          <w:rtl/>
        </w:rPr>
        <w:t>היא זכות חוקתית מן המדרגה הראשונה, ו</w:t>
      </w:r>
      <w:r w:rsidRPr="004547CD">
        <w:rPr>
          <w:rFonts w:cs="FrankRuehl" w:hint="cs"/>
          <w:sz w:val="20"/>
          <w:szCs w:val="22"/>
          <w:rtl/>
        </w:rPr>
        <w:t xml:space="preserve">היא גם, </w:t>
      </w:r>
      <w:r w:rsidRPr="004547CD">
        <w:rPr>
          <w:rFonts w:cs="FrankRuehl"/>
          <w:sz w:val="20"/>
          <w:szCs w:val="22"/>
          <w:rtl/>
        </w:rPr>
        <w:t>מבחינה מעשית, תנאי למימוש זכויות יסוד אחרות... החירות האישית, יותר מכל זכות אחרת, היא העושה את האדם בן-חורין. משום כך שלילת החירות האישית היא פגיעה קשה במיוחד"</w:t>
      </w:r>
      <w:r w:rsidRPr="004547CD">
        <w:rPr>
          <w:rFonts w:cs="FrankRuehl" w:hint="cs"/>
          <w:sz w:val="20"/>
          <w:szCs w:val="22"/>
          <w:rtl/>
        </w:rPr>
        <w:t>.</w:t>
      </w:r>
      <w:r w:rsidRPr="004547CD">
        <w:rPr>
          <w:rFonts w:cs="FrankRuehl"/>
          <w:sz w:val="20"/>
          <w:szCs w:val="22"/>
          <w:rtl/>
        </w:rPr>
        <w:t xml:space="preserve"> </w:t>
      </w:r>
    </w:p>
    <w:p w:rsidR="006259B3" w:rsidRPr="004547CD" w:rsidP="008A6D26">
      <w:pPr>
        <w:spacing w:after="120" w:line="230" w:lineRule="exact"/>
        <w:jc w:val="both"/>
        <w:rPr>
          <w:rFonts w:cs="FrankRuehl"/>
          <w:sz w:val="20"/>
          <w:szCs w:val="22"/>
          <w:rtl/>
        </w:rPr>
      </w:pPr>
      <w:r w:rsidRPr="004547CD">
        <w:rPr>
          <w:rFonts w:cs="FrankRuehl" w:hint="cs"/>
          <w:sz w:val="20"/>
          <w:szCs w:val="22"/>
          <w:rtl/>
        </w:rPr>
        <w:t>מקורן של סמכויות המעצר בישראל הוא בדין המנדטורי; הסמכויות שהוקנו לצורך חקירה בהקשר למעצר היו דומות להסדרים מנדטוריים שונים, בין היתר בכך שהיו רחבות מאוד יחסית לסמכויות המשפטיות המקבילות בארצות מערביות אחרות. פקודת הפרוצדורה הפלילית המנדטורית הסמיכה שופט להורות על מעצרו של אדם לתקופה שלא תעלה על 15 ימים בכל פעם, מבלי שנקבעו סדרי דין לקיום הדיון לגביו, ומבלי שנקבעו קריטריונים להפעלת שיקול הדעת השיפוטי. ההסדר המנדטורי הוטמע בחוק סדר הדין הפלילי, התשמ"ב-1982. במהלך השנים גובשו סדרי דין ועילות מעצר ביחס לסמכות המעצר עד תום ההליכים, אך סמכות המעצר בשלב החקירה נשארה רחבה ולא הוסדרה בחקיקה ישראלית מקורית עד לחקיקת חוק המעצרים בשנת 1996.</w:t>
      </w:r>
    </w:p>
    <w:p w:rsidR="006259B3" w:rsidRPr="004547CD" w:rsidP="008A6D26">
      <w:pPr>
        <w:spacing w:after="120" w:line="230" w:lineRule="exact"/>
        <w:jc w:val="both"/>
        <w:rPr>
          <w:rFonts w:cs="FrankRuehl"/>
          <w:sz w:val="20"/>
          <w:szCs w:val="22"/>
          <w:rtl/>
        </w:rPr>
      </w:pPr>
      <w:r w:rsidRPr="004547CD">
        <w:rPr>
          <w:rFonts w:cs="FrankRuehl" w:hint="cs"/>
          <w:sz w:val="20"/>
          <w:szCs w:val="22"/>
          <w:rtl/>
        </w:rPr>
        <w:t>הקשר בין חוק המעצרים לבין חוק יסוד: כבוד האדם וחירותו מקבל ביטוי פורמאלי כבר בסעיף הראשון לחוק המעצרים, אשר קבע ברוח חוק יסוד: כבוד האדם וחירותו כי "אין מעצר ועיכוב אלא בחוק או לפי חוק מכח הסמכה מפורשת בו", וכי "מעצרו ועיכובו של אדם יהיו בדרך שתבטיח שמירה מרבית על כבוד האדם ועל זכויותיו".</w:t>
      </w:r>
    </w:p>
    <w:p w:rsidR="006259B3" w:rsidRPr="004547CD" w:rsidP="008A6D26">
      <w:pPr>
        <w:spacing w:after="120" w:line="230" w:lineRule="exact"/>
        <w:jc w:val="both"/>
        <w:rPr>
          <w:rFonts w:cs="FrankRuehl"/>
          <w:sz w:val="20"/>
          <w:szCs w:val="22"/>
          <w:rtl/>
        </w:rPr>
      </w:pPr>
      <w:r w:rsidRPr="004547CD">
        <w:rPr>
          <w:rFonts w:cs="FrankRuehl" w:hint="cs"/>
          <w:sz w:val="20"/>
          <w:szCs w:val="22"/>
          <w:rtl/>
        </w:rPr>
        <w:t>חוק המעצרים קובע שלוש עילות מעצר עיקריות למעצר ימים. הראשונה היא "</w:t>
      </w:r>
      <w:r w:rsidRPr="004547CD">
        <w:rPr>
          <w:rFonts w:cs="FrankRuehl" w:hint="eastAsia"/>
          <w:sz w:val="20"/>
          <w:szCs w:val="22"/>
          <w:rtl/>
        </w:rPr>
        <w:t>עילת</w:t>
      </w:r>
      <w:r w:rsidRPr="004547CD">
        <w:rPr>
          <w:rFonts w:cs="FrankRuehl"/>
          <w:sz w:val="20"/>
          <w:szCs w:val="22"/>
          <w:rtl/>
        </w:rPr>
        <w:t xml:space="preserve"> </w:t>
      </w:r>
      <w:r w:rsidRPr="004547CD">
        <w:rPr>
          <w:rFonts w:cs="FrankRuehl" w:hint="eastAsia"/>
          <w:sz w:val="20"/>
          <w:szCs w:val="22"/>
          <w:rtl/>
        </w:rPr>
        <w:t>שיבוש</w:t>
      </w:r>
      <w:r w:rsidRPr="004547CD">
        <w:rPr>
          <w:rFonts w:cs="FrankRuehl" w:hint="cs"/>
          <w:sz w:val="20"/>
          <w:szCs w:val="22"/>
          <w:rtl/>
        </w:rPr>
        <w:t>", המתקיימת כאשר קיים יסוד סביר לחשש שהחשוד יימלט או יפעל לשיבושה של החקירה בדרך של העלמת ראיות, השפעה על עדים או בכל דרך אחרת. העילה השנייה היא "</w:t>
      </w:r>
      <w:r w:rsidRPr="004547CD">
        <w:rPr>
          <w:rFonts w:cs="FrankRuehl" w:hint="eastAsia"/>
          <w:sz w:val="20"/>
          <w:szCs w:val="22"/>
          <w:rtl/>
        </w:rPr>
        <w:t>עילת</w:t>
      </w:r>
      <w:r w:rsidRPr="004547CD">
        <w:rPr>
          <w:rFonts w:cs="FrankRuehl"/>
          <w:sz w:val="20"/>
          <w:szCs w:val="22"/>
          <w:rtl/>
        </w:rPr>
        <w:t xml:space="preserve"> </w:t>
      </w:r>
      <w:r w:rsidRPr="004547CD">
        <w:rPr>
          <w:rFonts w:cs="FrankRuehl" w:hint="eastAsia"/>
          <w:sz w:val="20"/>
          <w:szCs w:val="22"/>
          <w:rtl/>
        </w:rPr>
        <w:t>מסוכנות</w:t>
      </w:r>
      <w:r w:rsidRPr="004547CD">
        <w:rPr>
          <w:rFonts w:cs="FrankRuehl" w:hint="cs"/>
          <w:sz w:val="20"/>
          <w:szCs w:val="22"/>
          <w:rtl/>
        </w:rPr>
        <w:t>", המתקיימת רק במקרים שבהם קיים יסוד סביר לחשוש שאם החשוד ישוחרר הוא יהווה סיכון לביטחונו של אדם, לבטחון הציבור או לבטחון המדינה. השלישית היא "</w:t>
      </w:r>
      <w:r w:rsidRPr="004547CD">
        <w:rPr>
          <w:rFonts w:cs="FrankRuehl" w:hint="eastAsia"/>
          <w:sz w:val="20"/>
          <w:szCs w:val="22"/>
          <w:rtl/>
        </w:rPr>
        <w:t>עילת</w:t>
      </w:r>
      <w:r w:rsidRPr="004547CD">
        <w:rPr>
          <w:rFonts w:cs="FrankRuehl"/>
          <w:sz w:val="20"/>
          <w:szCs w:val="22"/>
          <w:rtl/>
        </w:rPr>
        <w:t xml:space="preserve"> צורכי </w:t>
      </w:r>
      <w:r w:rsidRPr="004547CD">
        <w:rPr>
          <w:rFonts w:cs="FrankRuehl" w:hint="eastAsia"/>
          <w:sz w:val="20"/>
          <w:szCs w:val="22"/>
          <w:rtl/>
        </w:rPr>
        <w:t>החקירה</w:t>
      </w:r>
      <w:r w:rsidRPr="004547CD">
        <w:rPr>
          <w:rFonts w:cs="FrankRuehl" w:hint="cs"/>
          <w:sz w:val="20"/>
          <w:szCs w:val="22"/>
          <w:rtl/>
        </w:rPr>
        <w:t>", המתקיימת במקרים שבהם המשטרה מבקשת לבצע פעולות חקירה שלא ניתן לבצען כאשר החשוד משוחרר.</w:t>
      </w:r>
    </w:p>
    <w:p w:rsidR="006259B3" w:rsidRPr="004547CD" w:rsidP="008A6D26">
      <w:pPr>
        <w:spacing w:after="120" w:line="230" w:lineRule="exact"/>
        <w:jc w:val="both"/>
        <w:rPr>
          <w:rFonts w:cs="FrankRuehl"/>
          <w:sz w:val="20"/>
          <w:szCs w:val="22"/>
          <w:rtl/>
        </w:rPr>
      </w:pPr>
      <w:r w:rsidRPr="004547CD">
        <w:rPr>
          <w:rFonts w:cs="FrankRuehl" w:hint="cs"/>
          <w:sz w:val="20"/>
          <w:szCs w:val="22"/>
          <w:rtl/>
        </w:rPr>
        <w:t xml:space="preserve">חקירה משטרתית יכולה להיעשות בתנאי מעצר או ללא מעצר החשוד. ככלל, חוק המעצרים מקנה למשטרה סמכות לעצור אדם בשלב החקירה לתקופה שלא תעלה על 24 שעות. לאחר מכן יש להביאו לפני שופט בית משפט שלום, שבסמכותו להורות על המשך מעצר לתקופה שלא תעלה על </w:t>
      </w:r>
      <w:r w:rsidRPr="004547CD">
        <w:rPr>
          <w:rFonts w:cs="FrankRuehl" w:hint="cs"/>
          <w:sz w:val="20"/>
          <w:szCs w:val="22"/>
          <w:rtl/>
        </w:rPr>
        <w:t>15 יום בכל פעם. החוק אינו קובע תקופה מרבית למעצר בשלב החקירה, אך ככל שמתארך מעצרו של החשוד, הדרישות של בתי המשפט בנוגע למשקל הראיות וחומרת העברה להארכת המעצר הופכות קשיחות יותר. בתום 30 ימי מעצר הבקשה להמשך המעצר צריכה להיות מוגשת באישור היועץ המשפטי לממשלה; לאחר 75 ימי מעצר רק בית המשפט העליון מוסמך להורות על המשך המעצר.</w:t>
      </w:r>
    </w:p>
    <w:p w:rsidR="006259B3" w:rsidRPr="004547CD" w:rsidP="008A6D26">
      <w:pPr>
        <w:spacing w:after="120" w:line="230" w:lineRule="exact"/>
        <w:jc w:val="both"/>
        <w:rPr>
          <w:rFonts w:cs="FrankRuehl"/>
          <w:sz w:val="20"/>
          <w:szCs w:val="22"/>
          <w:rtl/>
        </w:rPr>
      </w:pPr>
      <w:r w:rsidRPr="004547CD">
        <w:rPr>
          <w:rFonts w:cs="FrankRuehl" w:hint="cs"/>
          <w:sz w:val="20"/>
          <w:szCs w:val="22"/>
          <w:rtl/>
        </w:rPr>
        <w:t>חוק המעצרים מסדיר גם את סמכויות המשטרה במהלך החקירה כאשר החשוד נמצא במעצר. החוק מסדיר כללים שהיו נהוגים עד חקיקתו ללא עיגון פורמאלי, וביניהם אופן ביצוע המעצר, החובה להביא חשודים ללא דיחוי לתחנת המשטרה (למעט חריגים הקבועים בחוק), ובקרה על החלטת השוטר לעצור את החשוד המתבצעת בתחנת המשטרה על ידי קצין ממונה שבסמכותו להחליט אם אכן מתקיימת עילה למעצר. נוסף על כך, קבע החוק הוראות אשר נועדו להבטיח שהחשוד יקבל מידע על זכויותיו המשפטיות ויוכל להיפגש עם עורך דין לקבלת ייעוץ משפטי בסמוך ככל האפשר למעצרו. קצין משטרה שהחליט לעצור חשוד חייב להסביר לו את זכויותיו, לרבות הזכות שתימסר הודעה על מעצרו לאדם קרוב לו ו/או לעורך דין</w:t>
      </w:r>
      <w:r>
        <w:rPr>
          <w:rStyle w:val="FootnoteReference"/>
          <w:rFonts w:cs="FrankRuehl"/>
          <w:sz w:val="20"/>
          <w:szCs w:val="22"/>
          <w:rtl/>
        </w:rPr>
        <w:footnoteReference w:id="9"/>
      </w:r>
      <w:r w:rsidRPr="004547CD">
        <w:rPr>
          <w:rFonts w:cs="FrankRuehl" w:hint="cs"/>
          <w:sz w:val="20"/>
          <w:szCs w:val="22"/>
          <w:rtl/>
        </w:rPr>
        <w:t>.</w:t>
      </w:r>
    </w:p>
    <w:p w:rsidR="006259B3" w:rsidRPr="004547CD" w:rsidP="008A6D26">
      <w:pPr>
        <w:spacing w:after="120" w:line="230" w:lineRule="exact"/>
        <w:jc w:val="both"/>
        <w:rPr>
          <w:rFonts w:cs="FrankRuehl"/>
          <w:sz w:val="20"/>
          <w:szCs w:val="22"/>
          <w:rtl/>
        </w:rPr>
      </w:pPr>
      <w:r w:rsidRPr="004547CD">
        <w:rPr>
          <w:rFonts w:cs="FrankRuehl" w:hint="eastAsia"/>
          <w:sz w:val="20"/>
          <w:szCs w:val="22"/>
          <w:rtl/>
        </w:rPr>
        <w:t>על</w:t>
      </w:r>
      <w:r w:rsidRPr="004547CD">
        <w:rPr>
          <w:rFonts w:cs="FrankRuehl"/>
          <w:sz w:val="20"/>
          <w:szCs w:val="22"/>
          <w:rtl/>
        </w:rPr>
        <w:t xml:space="preserve"> פי פקודת בתי הסוהר [נוסח חדש]</w:t>
      </w:r>
      <w:r w:rsidRPr="004547CD">
        <w:rPr>
          <w:rFonts w:cs="FrankRuehl" w:hint="cs"/>
          <w:sz w:val="20"/>
          <w:szCs w:val="22"/>
          <w:rtl/>
        </w:rPr>
        <w:t>,</w:t>
      </w:r>
      <w:r w:rsidRPr="004547CD">
        <w:rPr>
          <w:rFonts w:cs="FrankRuehl"/>
          <w:sz w:val="20"/>
          <w:szCs w:val="22"/>
          <w:rtl/>
        </w:rPr>
        <w:t xml:space="preserve"> </w:t>
      </w:r>
      <w:r w:rsidRPr="004547CD">
        <w:rPr>
          <w:rFonts w:cs="FrankRuehl" w:hint="eastAsia"/>
          <w:sz w:val="20"/>
          <w:szCs w:val="22"/>
          <w:rtl/>
        </w:rPr>
        <w:t>התשל</w:t>
      </w:r>
      <w:r w:rsidRPr="004547CD">
        <w:rPr>
          <w:rFonts w:cs="FrankRuehl"/>
          <w:sz w:val="20"/>
          <w:szCs w:val="22"/>
          <w:rtl/>
        </w:rPr>
        <w:t xml:space="preserve">"ב- 1971, שב"ס הוא </w:t>
      </w:r>
      <w:r w:rsidRPr="004547CD">
        <w:rPr>
          <w:rFonts w:cs="FrankRuehl" w:hint="eastAsia"/>
          <w:sz w:val="20"/>
          <w:szCs w:val="22"/>
          <w:rtl/>
        </w:rPr>
        <w:t>הגוף</w:t>
      </w:r>
      <w:r w:rsidRPr="004547CD">
        <w:rPr>
          <w:rFonts w:cs="FrankRuehl"/>
          <w:sz w:val="20"/>
          <w:szCs w:val="22"/>
          <w:rtl/>
        </w:rPr>
        <w:t xml:space="preserve"> </w:t>
      </w:r>
      <w:r w:rsidRPr="004547CD">
        <w:rPr>
          <w:rFonts w:cs="FrankRuehl" w:hint="eastAsia"/>
          <w:sz w:val="20"/>
          <w:szCs w:val="22"/>
          <w:rtl/>
        </w:rPr>
        <w:t>המקצועי</w:t>
      </w:r>
      <w:r w:rsidRPr="004547CD">
        <w:rPr>
          <w:rFonts w:cs="FrankRuehl"/>
          <w:sz w:val="20"/>
          <w:szCs w:val="22"/>
          <w:rtl/>
        </w:rPr>
        <w:t xml:space="preserve"> </w:t>
      </w:r>
      <w:r w:rsidRPr="004547CD">
        <w:rPr>
          <w:rFonts w:cs="FrankRuehl" w:hint="eastAsia"/>
          <w:sz w:val="20"/>
          <w:szCs w:val="22"/>
          <w:rtl/>
        </w:rPr>
        <w:t>בכל</w:t>
      </w:r>
      <w:r w:rsidRPr="004547CD">
        <w:rPr>
          <w:rFonts w:cs="FrankRuehl"/>
          <w:sz w:val="20"/>
          <w:szCs w:val="22"/>
          <w:rtl/>
        </w:rPr>
        <w:t xml:space="preserve"> </w:t>
      </w:r>
      <w:r w:rsidRPr="004547CD">
        <w:rPr>
          <w:rFonts w:cs="FrankRuehl" w:hint="eastAsia"/>
          <w:sz w:val="20"/>
          <w:szCs w:val="22"/>
          <w:rtl/>
        </w:rPr>
        <w:t>הקשור</w:t>
      </w:r>
      <w:r w:rsidRPr="004547CD">
        <w:rPr>
          <w:rFonts w:cs="FrankRuehl"/>
          <w:sz w:val="20"/>
          <w:szCs w:val="22"/>
          <w:rtl/>
        </w:rPr>
        <w:t xml:space="preserve"> </w:t>
      </w:r>
      <w:r w:rsidRPr="004547CD">
        <w:rPr>
          <w:rFonts w:cs="FrankRuehl" w:hint="eastAsia"/>
          <w:sz w:val="20"/>
          <w:szCs w:val="22"/>
          <w:rtl/>
        </w:rPr>
        <w:t>לתחום</w:t>
      </w:r>
      <w:r w:rsidRPr="004547CD">
        <w:rPr>
          <w:rFonts w:cs="FrankRuehl"/>
          <w:sz w:val="20"/>
          <w:szCs w:val="22"/>
          <w:rtl/>
        </w:rPr>
        <w:t xml:space="preserve"> </w:t>
      </w:r>
      <w:r w:rsidRPr="004547CD">
        <w:rPr>
          <w:rFonts w:cs="FrankRuehl" w:hint="eastAsia"/>
          <w:sz w:val="20"/>
          <w:szCs w:val="22"/>
          <w:rtl/>
        </w:rPr>
        <w:t>ההיערכות</w:t>
      </w:r>
      <w:r w:rsidRPr="004547CD">
        <w:rPr>
          <w:rFonts w:cs="FrankRuehl"/>
          <w:sz w:val="20"/>
          <w:szCs w:val="22"/>
          <w:rtl/>
        </w:rPr>
        <w:t xml:space="preserve"> </w:t>
      </w:r>
      <w:r w:rsidRPr="004547CD">
        <w:rPr>
          <w:rFonts w:cs="FrankRuehl" w:hint="eastAsia"/>
          <w:sz w:val="20"/>
          <w:szCs w:val="22"/>
          <w:rtl/>
        </w:rPr>
        <w:t>והטיפול</w:t>
      </w:r>
      <w:r w:rsidRPr="004547CD">
        <w:rPr>
          <w:rFonts w:cs="FrankRuehl"/>
          <w:sz w:val="20"/>
          <w:szCs w:val="22"/>
          <w:rtl/>
        </w:rPr>
        <w:t xml:space="preserve"> </w:t>
      </w:r>
      <w:r w:rsidRPr="004547CD">
        <w:rPr>
          <w:rFonts w:cs="FrankRuehl" w:hint="eastAsia"/>
          <w:sz w:val="20"/>
          <w:szCs w:val="22"/>
          <w:rtl/>
        </w:rPr>
        <w:t>באסירים</w:t>
      </w:r>
      <w:r w:rsidRPr="004547CD">
        <w:rPr>
          <w:rFonts w:cs="FrankRuehl"/>
          <w:sz w:val="20"/>
          <w:szCs w:val="22"/>
          <w:rtl/>
        </w:rPr>
        <w:t xml:space="preserve"> </w:t>
      </w:r>
      <w:r w:rsidRPr="004547CD">
        <w:rPr>
          <w:rFonts w:cs="FrankRuehl" w:hint="eastAsia"/>
          <w:sz w:val="20"/>
          <w:szCs w:val="22"/>
          <w:rtl/>
        </w:rPr>
        <w:t>ובעצורים</w:t>
      </w:r>
      <w:r w:rsidRPr="004547CD">
        <w:rPr>
          <w:rFonts w:cs="FrankRuehl"/>
          <w:sz w:val="20"/>
          <w:szCs w:val="22"/>
          <w:rtl/>
        </w:rPr>
        <w:t xml:space="preserve">, והוא </w:t>
      </w:r>
      <w:r w:rsidRPr="004547CD">
        <w:rPr>
          <w:rFonts w:cs="FrankRuehl" w:hint="eastAsia"/>
          <w:sz w:val="20"/>
          <w:szCs w:val="22"/>
          <w:rtl/>
        </w:rPr>
        <w:t>אמון</w:t>
      </w:r>
      <w:r w:rsidRPr="004547CD">
        <w:rPr>
          <w:rFonts w:cs="FrankRuehl"/>
          <w:sz w:val="20"/>
          <w:szCs w:val="22"/>
          <w:rtl/>
        </w:rPr>
        <w:t xml:space="preserve"> על ניהול בתי הסוהר </w:t>
      </w:r>
      <w:r w:rsidRPr="004547CD">
        <w:rPr>
          <w:rFonts w:cs="FrankRuehl" w:hint="cs"/>
          <w:sz w:val="20"/>
          <w:szCs w:val="22"/>
          <w:rtl/>
        </w:rPr>
        <w:t>ועל א</w:t>
      </w:r>
      <w:r w:rsidRPr="004547CD">
        <w:rPr>
          <w:rFonts w:cs="FrankRuehl" w:hint="eastAsia"/>
          <w:sz w:val="20"/>
          <w:szCs w:val="22"/>
          <w:rtl/>
        </w:rPr>
        <w:t>בטחת</w:t>
      </w:r>
      <w:r w:rsidRPr="004547CD">
        <w:rPr>
          <w:rFonts w:cs="FrankRuehl"/>
          <w:sz w:val="20"/>
          <w:szCs w:val="22"/>
          <w:rtl/>
        </w:rPr>
        <w:t xml:space="preserve"> </w:t>
      </w:r>
      <w:r w:rsidRPr="004547CD">
        <w:rPr>
          <w:rFonts w:cs="FrankRuehl" w:hint="cs"/>
          <w:sz w:val="20"/>
          <w:szCs w:val="22"/>
          <w:rtl/>
        </w:rPr>
        <w:t>ה</w:t>
      </w:r>
      <w:r w:rsidRPr="004547CD">
        <w:rPr>
          <w:rFonts w:cs="FrankRuehl" w:hint="eastAsia"/>
          <w:sz w:val="20"/>
          <w:szCs w:val="22"/>
          <w:rtl/>
        </w:rPr>
        <w:t>אסירים</w:t>
      </w:r>
      <w:r w:rsidRPr="004547CD">
        <w:rPr>
          <w:rFonts w:cs="FrankRuehl"/>
          <w:sz w:val="20"/>
          <w:szCs w:val="22"/>
          <w:rtl/>
        </w:rPr>
        <w:t xml:space="preserve"> ו</w:t>
      </w:r>
      <w:r w:rsidRPr="004547CD">
        <w:rPr>
          <w:rFonts w:cs="FrankRuehl" w:hint="cs"/>
          <w:sz w:val="20"/>
          <w:szCs w:val="22"/>
          <w:rtl/>
        </w:rPr>
        <w:t>ה</w:t>
      </w:r>
      <w:r w:rsidRPr="004547CD">
        <w:rPr>
          <w:rFonts w:cs="FrankRuehl"/>
          <w:sz w:val="20"/>
          <w:szCs w:val="22"/>
          <w:rtl/>
        </w:rPr>
        <w:t xml:space="preserve">עצורים. במסגרת אחריותו נדרש </w:t>
      </w:r>
      <w:r w:rsidRPr="004547CD">
        <w:rPr>
          <w:rFonts w:cs="FrankRuehl" w:hint="cs"/>
          <w:sz w:val="20"/>
          <w:szCs w:val="22"/>
          <w:rtl/>
        </w:rPr>
        <w:t>ה</w:t>
      </w:r>
      <w:r w:rsidRPr="004547CD">
        <w:rPr>
          <w:rFonts w:cs="FrankRuehl"/>
          <w:sz w:val="20"/>
          <w:szCs w:val="22"/>
          <w:rtl/>
        </w:rPr>
        <w:t>שב"ס</w:t>
      </w:r>
      <w:r w:rsidRPr="004547CD">
        <w:rPr>
          <w:rFonts w:cs="FrankRuehl" w:hint="cs"/>
          <w:sz w:val="20"/>
          <w:szCs w:val="22"/>
          <w:rtl/>
        </w:rPr>
        <w:t>,</w:t>
      </w:r>
      <w:r w:rsidRPr="004547CD">
        <w:rPr>
          <w:rFonts w:cs="FrankRuehl"/>
          <w:sz w:val="20"/>
          <w:szCs w:val="22"/>
          <w:rtl/>
        </w:rPr>
        <w:t xml:space="preserve"> בין היתר, לאפשר הסע</w:t>
      </w:r>
      <w:r w:rsidRPr="004547CD">
        <w:rPr>
          <w:rFonts w:cs="FrankRuehl" w:hint="cs"/>
          <w:sz w:val="20"/>
          <w:szCs w:val="22"/>
          <w:rtl/>
        </w:rPr>
        <w:t xml:space="preserve">ה בתנאים נאותים </w:t>
      </w:r>
      <w:r w:rsidRPr="004547CD">
        <w:rPr>
          <w:rFonts w:cs="FrankRuehl"/>
          <w:sz w:val="20"/>
          <w:szCs w:val="22"/>
          <w:rtl/>
        </w:rPr>
        <w:t xml:space="preserve">של אסירים </w:t>
      </w:r>
      <w:r w:rsidRPr="004547CD">
        <w:rPr>
          <w:rFonts w:cs="FrankRuehl" w:hint="cs"/>
          <w:sz w:val="20"/>
          <w:szCs w:val="22"/>
          <w:rtl/>
        </w:rPr>
        <w:t>המוחזקים ב</w:t>
      </w:r>
      <w:r w:rsidRPr="004547CD">
        <w:rPr>
          <w:rFonts w:cs="FrankRuehl"/>
          <w:sz w:val="20"/>
          <w:szCs w:val="22"/>
          <w:rtl/>
        </w:rPr>
        <w:t>מתקני הכליאה</w:t>
      </w:r>
      <w:r w:rsidRPr="004547CD">
        <w:rPr>
          <w:rFonts w:cs="FrankRuehl" w:hint="cs"/>
          <w:sz w:val="20"/>
          <w:szCs w:val="22"/>
          <w:rtl/>
        </w:rPr>
        <w:t xml:space="preserve"> </w:t>
      </w:r>
      <w:r w:rsidRPr="004547CD">
        <w:rPr>
          <w:rFonts w:cs="FrankRuehl"/>
          <w:sz w:val="20"/>
          <w:szCs w:val="22"/>
          <w:rtl/>
        </w:rPr>
        <w:t>בכל רחבי הארץ</w:t>
      </w:r>
      <w:r w:rsidRPr="004547CD">
        <w:rPr>
          <w:rFonts w:cs="FrankRuehl" w:hint="cs"/>
          <w:sz w:val="20"/>
          <w:szCs w:val="22"/>
          <w:rtl/>
        </w:rPr>
        <w:t xml:space="preserve">. הסעת האסירים ליעדים שונים נעשית לצורך מטרות שונות: </w:t>
      </w:r>
      <w:r w:rsidRPr="004547CD">
        <w:rPr>
          <w:rFonts w:cs="FrankRuehl"/>
          <w:sz w:val="20"/>
          <w:szCs w:val="22"/>
          <w:rtl/>
        </w:rPr>
        <w:t>העברה בין מתקני כליאה, הבאת אסירים לדיונים בערכאות שיפוטיות</w:t>
      </w:r>
      <w:r w:rsidRPr="004547CD">
        <w:rPr>
          <w:rFonts w:cs="FrankRuehl" w:hint="cs"/>
          <w:sz w:val="20"/>
          <w:szCs w:val="22"/>
          <w:rtl/>
        </w:rPr>
        <w:t>,</w:t>
      </w:r>
      <w:r w:rsidRPr="004547CD">
        <w:rPr>
          <w:rFonts w:cs="FrankRuehl"/>
          <w:sz w:val="20"/>
          <w:szCs w:val="22"/>
          <w:rtl/>
        </w:rPr>
        <w:t xml:space="preserve"> </w:t>
      </w:r>
      <w:r w:rsidRPr="004547CD">
        <w:rPr>
          <w:rFonts w:cs="FrankRuehl" w:hint="eastAsia"/>
          <w:sz w:val="20"/>
          <w:szCs w:val="22"/>
          <w:rtl/>
        </w:rPr>
        <w:t>ניוד</w:t>
      </w:r>
      <w:r w:rsidRPr="004547CD">
        <w:rPr>
          <w:rFonts w:cs="FrankRuehl" w:hint="cs"/>
          <w:sz w:val="20"/>
          <w:szCs w:val="22"/>
          <w:rtl/>
        </w:rPr>
        <w:t>ם</w:t>
      </w:r>
      <w:r w:rsidRPr="004547CD">
        <w:rPr>
          <w:rFonts w:cs="FrankRuehl"/>
          <w:sz w:val="20"/>
          <w:szCs w:val="22"/>
          <w:rtl/>
        </w:rPr>
        <w:t xml:space="preserve"> </w:t>
      </w:r>
      <w:r w:rsidRPr="004547CD">
        <w:rPr>
          <w:rFonts w:cs="FrankRuehl" w:hint="eastAsia"/>
          <w:sz w:val="20"/>
          <w:szCs w:val="22"/>
          <w:rtl/>
        </w:rPr>
        <w:t>לצורך</w:t>
      </w:r>
      <w:r w:rsidRPr="004547CD">
        <w:rPr>
          <w:rFonts w:cs="FrankRuehl"/>
          <w:sz w:val="20"/>
          <w:szCs w:val="22"/>
          <w:rtl/>
        </w:rPr>
        <w:t xml:space="preserve"> </w:t>
      </w:r>
      <w:r w:rsidRPr="004547CD">
        <w:rPr>
          <w:rFonts w:cs="FrankRuehl" w:hint="eastAsia"/>
          <w:sz w:val="20"/>
          <w:szCs w:val="22"/>
          <w:rtl/>
        </w:rPr>
        <w:t>מתן</w:t>
      </w:r>
      <w:r w:rsidRPr="004547CD">
        <w:rPr>
          <w:rFonts w:cs="FrankRuehl"/>
          <w:sz w:val="20"/>
          <w:szCs w:val="22"/>
          <w:rtl/>
        </w:rPr>
        <w:t xml:space="preserve"> </w:t>
      </w:r>
      <w:r w:rsidRPr="004547CD">
        <w:rPr>
          <w:rFonts w:cs="FrankRuehl" w:hint="eastAsia"/>
          <w:sz w:val="20"/>
          <w:szCs w:val="22"/>
          <w:rtl/>
        </w:rPr>
        <w:t>טיפולים</w:t>
      </w:r>
      <w:r w:rsidRPr="004547CD">
        <w:rPr>
          <w:rFonts w:cs="FrankRuehl"/>
          <w:sz w:val="20"/>
          <w:szCs w:val="22"/>
          <w:rtl/>
        </w:rPr>
        <w:t xml:space="preserve"> </w:t>
      </w:r>
      <w:r w:rsidRPr="004547CD">
        <w:rPr>
          <w:rFonts w:cs="FrankRuehl" w:hint="eastAsia"/>
          <w:sz w:val="20"/>
          <w:szCs w:val="22"/>
          <w:rtl/>
        </w:rPr>
        <w:t>רפואיים</w:t>
      </w:r>
      <w:r w:rsidRPr="004547CD">
        <w:rPr>
          <w:rFonts w:cs="FrankRuehl" w:hint="cs"/>
          <w:sz w:val="20"/>
          <w:szCs w:val="22"/>
          <w:rtl/>
        </w:rPr>
        <w:t xml:space="preserve"> ועוד</w:t>
      </w:r>
      <w:r w:rsidRPr="004547CD">
        <w:rPr>
          <w:rFonts w:cs="FrankRuehl"/>
          <w:sz w:val="20"/>
          <w:szCs w:val="22"/>
          <w:rtl/>
        </w:rPr>
        <w:t>.</w:t>
      </w:r>
    </w:p>
    <w:p w:rsidR="006259B3" w:rsidRPr="004547CD" w:rsidP="008A6D26">
      <w:pPr>
        <w:spacing w:after="240" w:line="230" w:lineRule="exact"/>
        <w:jc w:val="both"/>
        <w:rPr>
          <w:rFonts w:cs="FrankRuehl"/>
          <w:sz w:val="20"/>
          <w:szCs w:val="22"/>
          <w:rtl/>
        </w:rPr>
      </w:pPr>
      <w:r w:rsidRPr="004547CD">
        <w:rPr>
          <w:rFonts w:cs="FrankRuehl" w:hint="cs"/>
          <w:sz w:val="20"/>
          <w:szCs w:val="22"/>
          <w:rtl/>
        </w:rPr>
        <w:t xml:space="preserve">פרופ' רינת קיטאי סנגרו, מתארת את מהות </w:t>
      </w:r>
      <w:r w:rsidRPr="004547CD">
        <w:rPr>
          <w:rFonts w:cs="FrankRuehl" w:hint="eastAsia"/>
          <w:sz w:val="20"/>
          <w:szCs w:val="22"/>
          <w:rtl/>
        </w:rPr>
        <w:t>המעצר</w:t>
      </w:r>
      <w:r w:rsidRPr="004547CD">
        <w:rPr>
          <w:rFonts w:cs="FrankRuehl" w:hint="cs"/>
          <w:sz w:val="20"/>
          <w:szCs w:val="22"/>
          <w:rtl/>
        </w:rPr>
        <w:t xml:space="preserve"> כדלהלן</w:t>
      </w:r>
      <w:r>
        <w:rPr>
          <w:rFonts w:cs="FrankRuehl"/>
          <w:sz w:val="20"/>
          <w:szCs w:val="22"/>
          <w:vertAlign w:val="superscript"/>
          <w:rtl/>
        </w:rPr>
        <w:footnoteReference w:id="10"/>
      </w:r>
      <w:r w:rsidRPr="004547CD">
        <w:rPr>
          <w:rFonts w:cs="FrankRuehl" w:hint="cs"/>
          <w:sz w:val="20"/>
          <w:szCs w:val="22"/>
          <w:rtl/>
        </w:rPr>
        <w:t xml:space="preserve">: "דומה כי קשה לחלוק על חומרת הפגיעה הנגרמת לפרט בעקבות מעצר. חיי המעצר חושפים את האדם לנזקים פיזיים ונפשיים. מעצר פוגע בשמו הטוב של העצור ומכתימו בכתם של עבריין... השפעת המעצר על אדם עצור דומה בעיקרה להשפעת המאסר: חופש תנועתו נפגע כתוצאה משלילת חירותו; תכניותיו האישיות נגדעות; הוא מורחק ממשפחתו, מחבריו, מעבודתו ומהחברה בכללותה... הזכות לפרטיות מרוקנת כמעט מכל תוכן; האוטונומיה האישית נפגעת, כאשר העצור נתון למשמעת קפדנית ולסדר יום מוכתב ומוגבל, ותלוי בסיפוק צרכיו בצוות הכַּלָאים בבית המעצר. העצור חשוף בבית המעצר למפגש עם עבריינים ולסכנת התחברות עמם וכן לסכנה של הפעלת אלימות פיזית ומינית כלפיו". </w:t>
      </w:r>
    </w:p>
    <w:p w:rsidR="006259B3" w:rsidRPr="004547CD" w:rsidP="008A6D26">
      <w:pPr>
        <w:pStyle w:val="RESHET"/>
        <w:rPr>
          <w:rtl/>
        </w:rPr>
      </w:pPr>
      <w:r w:rsidRPr="004547CD">
        <w:rPr>
          <w:rtl/>
        </w:rPr>
        <w:t xml:space="preserve">עצורים הם אחת הקבוצות החשופות ביותר לפגיעה בזכויותיה. בית המשפט </w:t>
      </w:r>
      <w:r w:rsidRPr="004547CD">
        <w:rPr>
          <w:rFonts w:hint="cs"/>
          <w:rtl/>
        </w:rPr>
        <w:t>העליון התבטא לא אחת בנושא זה ו</w:t>
      </w:r>
      <w:r w:rsidRPr="004547CD">
        <w:rPr>
          <w:rFonts w:hint="eastAsia"/>
          <w:rtl/>
        </w:rPr>
        <w:t>קבע</w:t>
      </w:r>
      <w:r w:rsidRPr="004547CD">
        <w:rPr>
          <w:rtl/>
        </w:rPr>
        <w:t xml:space="preserve"> </w:t>
      </w:r>
      <w:r w:rsidRPr="004547CD">
        <w:rPr>
          <w:rFonts w:hint="cs"/>
          <w:rtl/>
        </w:rPr>
        <w:t>בין היתר כי ה</w:t>
      </w:r>
      <w:r w:rsidRPr="004547CD">
        <w:rPr>
          <w:rFonts w:hint="eastAsia"/>
          <w:rtl/>
        </w:rPr>
        <w:t>סמכות</w:t>
      </w:r>
      <w:r w:rsidRPr="004547CD">
        <w:rPr>
          <w:rtl/>
        </w:rPr>
        <w:t xml:space="preserve"> </w:t>
      </w:r>
      <w:r w:rsidRPr="004547CD">
        <w:rPr>
          <w:rFonts w:hint="eastAsia"/>
          <w:rtl/>
        </w:rPr>
        <w:t>שהופקדה</w:t>
      </w:r>
      <w:r w:rsidRPr="004547CD">
        <w:rPr>
          <w:rtl/>
        </w:rPr>
        <w:t xml:space="preserve"> </w:t>
      </w:r>
      <w:r w:rsidRPr="004547CD">
        <w:rPr>
          <w:rFonts w:hint="eastAsia"/>
          <w:rtl/>
        </w:rPr>
        <w:t>בידי</w:t>
      </w:r>
      <w:r w:rsidRPr="004547CD">
        <w:rPr>
          <w:rtl/>
        </w:rPr>
        <w:t xml:space="preserve"> </w:t>
      </w:r>
      <w:r w:rsidRPr="004547CD">
        <w:rPr>
          <w:rFonts w:hint="eastAsia"/>
          <w:rtl/>
        </w:rPr>
        <w:t>שב</w:t>
      </w:r>
      <w:r w:rsidRPr="004547CD">
        <w:rPr>
          <w:rtl/>
        </w:rPr>
        <w:t>"ס ו</w:t>
      </w:r>
      <w:r w:rsidRPr="004547CD">
        <w:rPr>
          <w:rFonts w:hint="eastAsia"/>
          <w:rtl/>
        </w:rPr>
        <w:t>המשטרה</w:t>
      </w:r>
      <w:r w:rsidRPr="004547CD">
        <w:rPr>
          <w:rtl/>
        </w:rPr>
        <w:t xml:space="preserve"> לכלוא אסירים ולהחזיקם במשמורת </w:t>
      </w:r>
      <w:r w:rsidRPr="004547CD">
        <w:rPr>
          <w:rFonts w:hint="eastAsia"/>
          <w:rtl/>
        </w:rPr>
        <w:t>היא</w:t>
      </w:r>
      <w:r w:rsidRPr="004547CD">
        <w:rPr>
          <w:rtl/>
        </w:rPr>
        <w:t xml:space="preserve"> "אחת </w:t>
      </w:r>
      <w:r w:rsidRPr="004547CD">
        <w:rPr>
          <w:rFonts w:hint="eastAsia"/>
          <w:rtl/>
        </w:rPr>
        <w:t>מהסמכויות</w:t>
      </w:r>
      <w:r w:rsidRPr="004547CD">
        <w:rPr>
          <w:rtl/>
        </w:rPr>
        <w:t xml:space="preserve"> </w:t>
      </w:r>
      <w:r w:rsidRPr="004547CD">
        <w:rPr>
          <w:rFonts w:hint="eastAsia"/>
          <w:rtl/>
        </w:rPr>
        <w:t>הפוגעניות</w:t>
      </w:r>
      <w:r w:rsidRPr="004547CD">
        <w:rPr>
          <w:rtl/>
        </w:rPr>
        <w:t xml:space="preserve"> </w:t>
      </w:r>
      <w:r w:rsidRPr="004547CD">
        <w:rPr>
          <w:rFonts w:hint="eastAsia"/>
          <w:rtl/>
        </w:rPr>
        <w:t>ביותר</w:t>
      </w:r>
      <w:r w:rsidRPr="004547CD">
        <w:rPr>
          <w:rtl/>
        </w:rPr>
        <w:t xml:space="preserve"> </w:t>
      </w:r>
      <w:r w:rsidRPr="004547CD">
        <w:rPr>
          <w:rFonts w:hint="eastAsia"/>
          <w:rtl/>
        </w:rPr>
        <w:t>המוקנות</w:t>
      </w:r>
      <w:r w:rsidRPr="004547CD">
        <w:rPr>
          <w:rtl/>
        </w:rPr>
        <w:t xml:space="preserve"> </w:t>
      </w:r>
      <w:r w:rsidRPr="004547CD">
        <w:rPr>
          <w:rFonts w:hint="eastAsia"/>
          <w:rtl/>
        </w:rPr>
        <w:t>למדינה</w:t>
      </w:r>
      <w:r w:rsidRPr="004547CD">
        <w:rPr>
          <w:rtl/>
        </w:rPr>
        <w:t xml:space="preserve"> </w:t>
      </w:r>
      <w:r w:rsidRPr="004547CD">
        <w:rPr>
          <w:rFonts w:hint="eastAsia"/>
          <w:rtl/>
        </w:rPr>
        <w:t>דמוקרטית</w:t>
      </w:r>
      <w:r w:rsidRPr="004547CD">
        <w:rPr>
          <w:rtl/>
        </w:rPr>
        <w:t xml:space="preserve"> </w:t>
      </w:r>
      <w:r w:rsidRPr="004547CD">
        <w:rPr>
          <w:rFonts w:hint="eastAsia"/>
          <w:rtl/>
        </w:rPr>
        <w:t>מודרנית</w:t>
      </w:r>
      <w:r w:rsidRPr="004547CD">
        <w:rPr>
          <w:rtl/>
        </w:rPr>
        <w:t xml:space="preserve"> </w:t>
      </w:r>
      <w:r w:rsidRPr="004547CD">
        <w:rPr>
          <w:rFonts w:hint="eastAsia"/>
          <w:rtl/>
        </w:rPr>
        <w:t>כלפי</w:t>
      </w:r>
      <w:r w:rsidRPr="004547CD">
        <w:rPr>
          <w:rtl/>
        </w:rPr>
        <w:t xml:space="preserve"> </w:t>
      </w:r>
      <w:r w:rsidRPr="004547CD">
        <w:rPr>
          <w:rFonts w:hint="eastAsia"/>
          <w:rtl/>
        </w:rPr>
        <w:t>הנתונים</w:t>
      </w:r>
      <w:r w:rsidRPr="004547CD">
        <w:rPr>
          <w:rtl/>
        </w:rPr>
        <w:t xml:space="preserve"> </w:t>
      </w:r>
      <w:r w:rsidRPr="004547CD">
        <w:rPr>
          <w:rFonts w:hint="eastAsia"/>
          <w:rtl/>
        </w:rPr>
        <w:t>למרותה</w:t>
      </w:r>
      <w:r w:rsidRPr="004547CD">
        <w:rPr>
          <w:rtl/>
        </w:rPr>
        <w:t>"</w:t>
      </w:r>
      <w:r>
        <w:rPr>
          <w:rStyle w:val="FootnoteReference"/>
          <w:rFonts w:cs="FrankRuehl"/>
          <w:rtl/>
        </w:rPr>
        <w:footnoteReference w:id="11"/>
      </w:r>
      <w:r w:rsidRPr="004547CD">
        <w:rPr>
          <w:rFonts w:hint="cs"/>
          <w:rtl/>
        </w:rPr>
        <w:t>,</w:t>
      </w:r>
      <w:r w:rsidRPr="004547CD">
        <w:rPr>
          <w:rtl/>
        </w:rPr>
        <w:t xml:space="preserve"> </w:t>
      </w:r>
      <w:r w:rsidRPr="004547CD">
        <w:rPr>
          <w:rFonts w:hint="cs"/>
          <w:rtl/>
        </w:rPr>
        <w:t>קל וחומר כאשר מדובר במעצרו של אדם שחזקת החפות עומדת לו. ואכן בית המשפט העליון עמד על כך בציינו כי "</w:t>
      </w:r>
      <w:r w:rsidRPr="004547CD">
        <w:rPr>
          <w:rtl/>
        </w:rPr>
        <w:t>המעצר פוגע קשות בזכויות היסוד של העצ</w:t>
      </w:r>
      <w:r w:rsidRPr="004547CD">
        <w:rPr>
          <w:rFonts w:hint="cs"/>
          <w:rtl/>
        </w:rPr>
        <w:t>י</w:t>
      </w:r>
      <w:r w:rsidRPr="004547CD">
        <w:rPr>
          <w:rtl/>
        </w:rPr>
        <w:t>רים ובאינטרסים בסיסיים אחרים שלהם</w:t>
      </w:r>
      <w:r w:rsidRPr="004547CD">
        <w:rPr>
          <w:rFonts w:hint="cs"/>
          <w:rtl/>
        </w:rPr>
        <w:t>..</w:t>
      </w:r>
      <w:r w:rsidRPr="004547CD">
        <w:rPr>
          <w:rtl/>
        </w:rPr>
        <w:t>. למרבית הצער, ההליכים הפליליים נמשכים לעתים קרובות חודשים רבים. כל אותו זמן העצירים מוחזקים כלואים בתנאים קשים יותר מאלה שבהם מוחזקים אסירים</w:t>
      </w:r>
      <w:r w:rsidRPr="004547CD">
        <w:rPr>
          <w:rFonts w:hint="cs"/>
          <w:rtl/>
        </w:rPr>
        <w:t>"</w:t>
      </w:r>
      <w:r>
        <w:rPr>
          <w:rStyle w:val="FootnoteReference"/>
          <w:rFonts w:cs="FrankRuehl"/>
          <w:rtl/>
        </w:rPr>
        <w:footnoteReference w:id="12"/>
      </w:r>
      <w:r w:rsidRPr="004547CD">
        <w:rPr>
          <w:rFonts w:hint="cs"/>
          <w:rtl/>
        </w:rPr>
        <w:t xml:space="preserve">. </w:t>
      </w:r>
    </w:p>
    <w:p w:rsidR="006259B3" w:rsidRPr="004547CD" w:rsidP="008A6D26">
      <w:pPr>
        <w:pStyle w:val="RESHET"/>
        <w:rPr>
          <w:rtl/>
        </w:rPr>
      </w:pPr>
      <w:r w:rsidRPr="004547CD">
        <w:rPr>
          <w:rFonts w:hint="cs"/>
          <w:rtl/>
        </w:rPr>
        <w:t>עוד לפני חקיקת חוק יסוד: כבוד האדם וחירותו נפסק על ידי בית המשפט העליון כי "</w:t>
      </w:r>
      <w:r w:rsidRPr="004547CD">
        <w:rPr>
          <w:rtl/>
        </w:rPr>
        <w:t xml:space="preserve">חומות הכלא </w:t>
      </w:r>
      <w:r w:rsidRPr="004547CD">
        <w:rPr>
          <w:rFonts w:hint="cs"/>
          <w:rtl/>
        </w:rPr>
        <w:t xml:space="preserve">אינן </w:t>
      </w:r>
      <w:r w:rsidRPr="004547CD">
        <w:rPr>
          <w:rtl/>
        </w:rPr>
        <w:t>מפרידות בין העצור לבין כבוד האדם</w:t>
      </w:r>
      <w:r w:rsidRPr="004547CD">
        <w:rPr>
          <w:rFonts w:hint="cs"/>
          <w:rtl/>
        </w:rPr>
        <w:t>"</w:t>
      </w:r>
      <w:r>
        <w:rPr>
          <w:rStyle w:val="FootnoteReference"/>
          <w:rFonts w:cs="FrankRuehl"/>
          <w:rtl/>
        </w:rPr>
        <w:footnoteReference w:id="13"/>
      </w:r>
      <w:r w:rsidRPr="004547CD">
        <w:rPr>
          <w:rtl/>
        </w:rPr>
        <w:t xml:space="preserve">. </w:t>
      </w:r>
      <w:r w:rsidRPr="004547CD">
        <w:rPr>
          <w:rFonts w:hint="cs"/>
          <w:rtl/>
        </w:rPr>
        <w:t>עוד נקבע בהקשר זה כי "</w:t>
      </w:r>
      <w:r w:rsidRPr="004547CD">
        <w:rPr>
          <w:rtl/>
        </w:rPr>
        <w:t>פגיעה בכבוד האדם של אסיר</w:t>
      </w:r>
      <w:r w:rsidRPr="004547CD">
        <w:rPr>
          <w:rFonts w:hint="cs"/>
          <w:rtl/>
        </w:rPr>
        <w:t xml:space="preserve"> </w:t>
      </w:r>
      <w:r w:rsidRPr="004547CD">
        <w:rPr>
          <w:rtl/>
        </w:rPr>
        <w:t>פוגעת לא רק באסיר, אלא גם בדמותה של הח</w:t>
      </w:r>
      <w:r w:rsidRPr="004547CD">
        <w:rPr>
          <w:rFonts w:hint="cs"/>
          <w:rtl/>
        </w:rPr>
        <w:t>ב</w:t>
      </w:r>
      <w:r w:rsidRPr="004547CD">
        <w:rPr>
          <w:rtl/>
        </w:rPr>
        <w:t>רה. יחס אנושי לאסירים מהווה חלק מנורמה מוסרית-אנושית שמדינה דמוקרטית מצווה לקיימה</w:t>
      </w:r>
      <w:r w:rsidRPr="004547CD">
        <w:rPr>
          <w:rFonts w:hint="cs"/>
          <w:rtl/>
        </w:rPr>
        <w:t>,</w:t>
      </w:r>
      <w:r w:rsidRPr="004547CD">
        <w:rPr>
          <w:rtl/>
        </w:rPr>
        <w:t xml:space="preserve"> ומדינה הפוגעת בכבוד אסיריה, מפרה את חובתה, המוטלת עליה כלפי כלל אזרחיה ותושביה, לכבד את זכויות היסוד של האדם</w:t>
      </w:r>
      <w:r w:rsidRPr="004547CD">
        <w:rPr>
          <w:rFonts w:hint="cs"/>
          <w:rtl/>
        </w:rPr>
        <w:t>"</w:t>
      </w:r>
      <w:r>
        <w:rPr>
          <w:rStyle w:val="FootnoteReference"/>
          <w:rFonts w:cs="FrankRuehl"/>
          <w:rtl/>
        </w:rPr>
        <w:footnoteReference w:id="14"/>
      </w:r>
      <w:r w:rsidRPr="004547CD">
        <w:rPr>
          <w:rFonts w:hint="cs"/>
          <w:rtl/>
        </w:rPr>
        <w:t xml:space="preserve">. </w:t>
      </w:r>
      <w:r w:rsidRPr="004547CD">
        <w:rPr>
          <w:rtl/>
        </w:rPr>
        <w:t xml:space="preserve">חוק יסוד: כבוד האדם וחירותו עיגן </w:t>
      </w:r>
      <w:r w:rsidRPr="004547CD">
        <w:rPr>
          <w:rFonts w:hint="cs"/>
          <w:rtl/>
        </w:rPr>
        <w:t xml:space="preserve">בחקיקה </w:t>
      </w:r>
      <w:r w:rsidRPr="004547CD">
        <w:rPr>
          <w:rtl/>
        </w:rPr>
        <w:t>את זכותו של אדם, באשר הוא אדם, לכבוד</w:t>
      </w:r>
      <w:r w:rsidRPr="004547CD">
        <w:rPr>
          <w:rFonts w:hint="cs"/>
          <w:rtl/>
        </w:rPr>
        <w:t>.</w:t>
      </w:r>
    </w:p>
    <w:p w:rsidR="006259B3" w:rsidRPr="004547CD" w:rsidP="008A6D26">
      <w:pPr>
        <w:spacing w:after="120" w:line="230" w:lineRule="exact"/>
        <w:jc w:val="both"/>
        <w:rPr>
          <w:rFonts w:cs="FrankRuehl"/>
          <w:sz w:val="20"/>
          <w:szCs w:val="22"/>
          <w:rtl/>
        </w:rPr>
      </w:pPr>
    </w:p>
    <w:p w:rsidR="006259B3" w:rsidRPr="004547CD" w:rsidP="008A6D26">
      <w:pPr>
        <w:spacing w:after="120" w:line="230" w:lineRule="exact"/>
        <w:jc w:val="both"/>
        <w:rPr>
          <w:rFonts w:cs="FrankRuehl"/>
          <w:sz w:val="20"/>
          <w:szCs w:val="22"/>
          <w:rtl/>
        </w:rPr>
      </w:pPr>
    </w:p>
    <w:p w:rsidR="006259B3" w:rsidRPr="006A210F" w:rsidP="008A6D26">
      <w:pPr>
        <w:pStyle w:val="KOT2"/>
        <w:rPr>
          <w:rtl/>
        </w:rPr>
      </w:pPr>
      <w:r w:rsidRPr="006A210F">
        <w:rPr>
          <w:rFonts w:hint="cs"/>
          <w:rtl/>
        </w:rPr>
        <w:t>מישקי העבודה בין המשטרה לשב"ס</w:t>
      </w:r>
    </w:p>
    <w:p w:rsidR="006259B3" w:rsidRPr="006A210F" w:rsidP="008A6D26">
      <w:pPr>
        <w:pStyle w:val="KOT4"/>
        <w:rPr>
          <w:rtl/>
        </w:rPr>
      </w:pPr>
      <w:r w:rsidRPr="006A210F">
        <w:rPr>
          <w:rFonts w:hint="cs"/>
          <w:rtl/>
        </w:rPr>
        <w:t>העברת מערך הכליאה והליווי מהמשטרה לידי שב"ס</w:t>
      </w:r>
    </w:p>
    <w:p w:rsidR="006259B3" w:rsidRPr="004547CD" w:rsidP="008A6D26">
      <w:pPr>
        <w:spacing w:after="120" w:line="230" w:lineRule="exact"/>
        <w:jc w:val="both"/>
        <w:rPr>
          <w:rFonts w:cs="FrankRuehl"/>
          <w:sz w:val="20"/>
          <w:szCs w:val="22"/>
          <w:rtl/>
        </w:rPr>
      </w:pPr>
      <w:r w:rsidRPr="004547CD">
        <w:rPr>
          <w:rFonts w:cs="FrankRuehl" w:hint="cs"/>
          <w:sz w:val="20"/>
          <w:szCs w:val="22"/>
          <w:rtl/>
        </w:rPr>
        <w:t>משימות הכליאה, הליווי וההסעה של האסירים והעצורים נחלקו בעבר בין משטרת ישראל לבין יחידת הליווי של שב"ס - יחידת נחשון. על פי ההסדר שהיה נהוג בעבר, משטרת ישראל הייתה האחראית על כליאת העצורים בתאי המעצר שבתחנות המשטרה, על ליוויים והסעתם לדיונים בבתי המשפט, ויחידת נחשון</w:t>
      </w:r>
      <w:r>
        <w:rPr>
          <w:rStyle w:val="FootnoteReference"/>
          <w:rFonts w:cs="FrankRuehl"/>
          <w:sz w:val="20"/>
          <w:szCs w:val="22"/>
          <w:rtl/>
        </w:rPr>
        <w:footnoteReference w:id="15"/>
      </w:r>
      <w:r w:rsidRPr="004547CD">
        <w:rPr>
          <w:rFonts w:cs="FrankRuehl" w:hint="cs"/>
          <w:sz w:val="20"/>
          <w:szCs w:val="22"/>
          <w:rtl/>
        </w:rPr>
        <w:t xml:space="preserve"> הייתה אחראית על ליווי האסירים במעבר בין מתקני הכליאה וכן על ליוויים לדיונים בבתי המשפט. </w:t>
      </w:r>
    </w:p>
    <w:p w:rsidR="006259B3" w:rsidRPr="004547CD" w:rsidP="008A6D26">
      <w:pPr>
        <w:spacing w:after="120" w:line="230" w:lineRule="exact"/>
        <w:jc w:val="both"/>
        <w:rPr>
          <w:rFonts w:cs="FrankRuehl"/>
          <w:sz w:val="20"/>
          <w:szCs w:val="22"/>
          <w:rtl/>
        </w:rPr>
      </w:pPr>
      <w:r w:rsidRPr="004547CD">
        <w:rPr>
          <w:rFonts w:cs="FrankRuehl" w:hint="cs"/>
          <w:sz w:val="20"/>
          <w:szCs w:val="22"/>
          <w:rtl/>
        </w:rPr>
        <w:t xml:space="preserve">כאמור, </w:t>
      </w:r>
      <w:r w:rsidRPr="004547CD">
        <w:rPr>
          <w:rFonts w:cs="FrankRuehl" w:hint="eastAsia"/>
          <w:sz w:val="20"/>
          <w:szCs w:val="22"/>
          <w:rtl/>
        </w:rPr>
        <w:t>בשנת</w:t>
      </w:r>
      <w:r w:rsidRPr="004547CD">
        <w:rPr>
          <w:rFonts w:cs="FrankRuehl"/>
          <w:sz w:val="20"/>
          <w:szCs w:val="22"/>
          <w:rtl/>
        </w:rPr>
        <w:t xml:space="preserve"> 2007 </w:t>
      </w:r>
      <w:r w:rsidRPr="004547CD">
        <w:rPr>
          <w:rFonts w:cs="FrankRuehl" w:hint="eastAsia"/>
          <w:sz w:val="20"/>
          <w:szCs w:val="22"/>
          <w:rtl/>
        </w:rPr>
        <w:t>החליט</w:t>
      </w:r>
      <w:r w:rsidRPr="004547CD">
        <w:rPr>
          <w:rFonts w:cs="FrankRuehl"/>
          <w:sz w:val="20"/>
          <w:szCs w:val="22"/>
          <w:rtl/>
        </w:rPr>
        <w:t xml:space="preserve"> </w:t>
      </w:r>
      <w:r w:rsidRPr="004547CD">
        <w:rPr>
          <w:rFonts w:cs="FrankRuehl" w:hint="eastAsia"/>
          <w:sz w:val="20"/>
          <w:szCs w:val="22"/>
          <w:rtl/>
        </w:rPr>
        <w:t>השר</w:t>
      </w:r>
      <w:r w:rsidRPr="004547CD">
        <w:rPr>
          <w:rFonts w:cs="FrankRuehl"/>
          <w:sz w:val="20"/>
          <w:szCs w:val="22"/>
          <w:rtl/>
        </w:rPr>
        <w:t xml:space="preserve"> </w:t>
      </w:r>
      <w:r w:rsidRPr="004547CD">
        <w:rPr>
          <w:rFonts w:cs="FrankRuehl" w:hint="eastAsia"/>
          <w:sz w:val="20"/>
          <w:szCs w:val="22"/>
          <w:rtl/>
        </w:rPr>
        <w:t>לב</w:t>
      </w:r>
      <w:r w:rsidRPr="004547CD">
        <w:rPr>
          <w:rFonts w:cs="FrankRuehl" w:hint="cs"/>
          <w:sz w:val="20"/>
          <w:szCs w:val="22"/>
          <w:rtl/>
        </w:rPr>
        <w:t>ט"פ</w:t>
      </w:r>
      <w:r w:rsidRPr="004547CD">
        <w:rPr>
          <w:rFonts w:cs="FrankRuehl"/>
          <w:sz w:val="20"/>
          <w:szCs w:val="22"/>
          <w:rtl/>
        </w:rPr>
        <w:t xml:space="preserve"> </w:t>
      </w:r>
      <w:r w:rsidRPr="004547CD">
        <w:rPr>
          <w:rFonts w:cs="FrankRuehl" w:hint="cs"/>
          <w:sz w:val="20"/>
          <w:szCs w:val="22"/>
          <w:rtl/>
        </w:rPr>
        <w:t>ש</w:t>
      </w:r>
      <w:r w:rsidRPr="004547CD">
        <w:rPr>
          <w:rFonts w:cs="FrankRuehl" w:hint="eastAsia"/>
          <w:sz w:val="20"/>
          <w:szCs w:val="22"/>
          <w:rtl/>
        </w:rPr>
        <w:t>מערך</w:t>
      </w:r>
      <w:r w:rsidRPr="004547CD">
        <w:rPr>
          <w:rFonts w:cs="FrankRuehl"/>
          <w:sz w:val="20"/>
          <w:szCs w:val="22"/>
          <w:rtl/>
        </w:rPr>
        <w:t xml:space="preserve"> </w:t>
      </w:r>
      <w:r w:rsidRPr="004547CD">
        <w:rPr>
          <w:rFonts w:cs="FrankRuehl" w:hint="cs"/>
          <w:sz w:val="20"/>
          <w:szCs w:val="22"/>
          <w:rtl/>
        </w:rPr>
        <w:t>הכליאה וה</w:t>
      </w:r>
      <w:r w:rsidRPr="004547CD">
        <w:rPr>
          <w:rFonts w:cs="FrankRuehl" w:hint="eastAsia"/>
          <w:sz w:val="20"/>
          <w:szCs w:val="22"/>
          <w:rtl/>
        </w:rPr>
        <w:t>ליווי</w:t>
      </w:r>
      <w:r w:rsidRPr="004547CD">
        <w:rPr>
          <w:rFonts w:cs="FrankRuehl"/>
          <w:sz w:val="20"/>
          <w:szCs w:val="22"/>
          <w:rtl/>
        </w:rPr>
        <w:t xml:space="preserve"> </w:t>
      </w:r>
      <w:r w:rsidRPr="004547CD">
        <w:rPr>
          <w:rFonts w:cs="FrankRuehl" w:hint="cs"/>
          <w:sz w:val="20"/>
          <w:szCs w:val="22"/>
          <w:rtl/>
        </w:rPr>
        <w:t>של</w:t>
      </w:r>
      <w:r w:rsidRPr="004547CD">
        <w:rPr>
          <w:rFonts w:cs="FrankRuehl"/>
          <w:sz w:val="20"/>
          <w:szCs w:val="22"/>
          <w:rtl/>
        </w:rPr>
        <w:t xml:space="preserve"> </w:t>
      </w:r>
      <w:r w:rsidRPr="004547CD">
        <w:rPr>
          <w:rFonts w:cs="FrankRuehl" w:hint="eastAsia"/>
          <w:sz w:val="20"/>
          <w:szCs w:val="22"/>
          <w:rtl/>
        </w:rPr>
        <w:t>העצורים</w:t>
      </w:r>
      <w:r w:rsidRPr="004547CD">
        <w:rPr>
          <w:rFonts w:cs="FrankRuehl"/>
          <w:sz w:val="20"/>
          <w:szCs w:val="22"/>
          <w:rtl/>
        </w:rPr>
        <w:t xml:space="preserve"> </w:t>
      </w:r>
      <w:r w:rsidRPr="004547CD">
        <w:rPr>
          <w:rFonts w:cs="FrankRuehl" w:hint="eastAsia"/>
          <w:sz w:val="20"/>
          <w:szCs w:val="22"/>
          <w:rtl/>
        </w:rPr>
        <w:t>בישראל</w:t>
      </w:r>
      <w:r w:rsidRPr="004547CD">
        <w:rPr>
          <w:rFonts w:cs="FrankRuehl"/>
          <w:sz w:val="20"/>
          <w:szCs w:val="22"/>
          <w:rtl/>
        </w:rPr>
        <w:t xml:space="preserve"> </w:t>
      </w:r>
      <w:r w:rsidRPr="004547CD">
        <w:rPr>
          <w:rFonts w:cs="FrankRuehl" w:hint="eastAsia"/>
          <w:sz w:val="20"/>
          <w:szCs w:val="22"/>
          <w:rtl/>
        </w:rPr>
        <w:t>יעבור</w:t>
      </w:r>
      <w:r w:rsidRPr="004547CD">
        <w:rPr>
          <w:rFonts w:cs="FrankRuehl"/>
          <w:sz w:val="20"/>
          <w:szCs w:val="22"/>
          <w:rtl/>
        </w:rPr>
        <w:t xml:space="preserve"> </w:t>
      </w:r>
      <w:r w:rsidRPr="004547CD">
        <w:rPr>
          <w:rFonts w:cs="FrankRuehl" w:hint="eastAsia"/>
          <w:sz w:val="20"/>
          <w:szCs w:val="22"/>
          <w:rtl/>
        </w:rPr>
        <w:t>כולו</w:t>
      </w:r>
      <w:r w:rsidRPr="004547CD">
        <w:rPr>
          <w:rFonts w:cs="FrankRuehl"/>
          <w:sz w:val="20"/>
          <w:szCs w:val="22"/>
          <w:rtl/>
        </w:rPr>
        <w:t xml:space="preserve"> </w:t>
      </w:r>
      <w:r w:rsidRPr="004547CD">
        <w:rPr>
          <w:rFonts w:cs="FrankRuehl" w:hint="eastAsia"/>
          <w:sz w:val="20"/>
          <w:szCs w:val="22"/>
          <w:rtl/>
        </w:rPr>
        <w:t>לאחריות</w:t>
      </w:r>
      <w:r w:rsidRPr="004547CD">
        <w:rPr>
          <w:rFonts w:cs="FrankRuehl"/>
          <w:sz w:val="20"/>
          <w:szCs w:val="22"/>
          <w:rtl/>
        </w:rPr>
        <w:t xml:space="preserve"> </w:t>
      </w:r>
      <w:r w:rsidRPr="004547CD">
        <w:rPr>
          <w:rFonts w:cs="FrankRuehl" w:hint="eastAsia"/>
          <w:sz w:val="20"/>
          <w:szCs w:val="22"/>
          <w:rtl/>
        </w:rPr>
        <w:t>ש</w:t>
      </w:r>
      <w:r w:rsidRPr="004547CD">
        <w:rPr>
          <w:rFonts w:cs="FrankRuehl" w:hint="cs"/>
          <w:sz w:val="20"/>
          <w:szCs w:val="22"/>
          <w:rtl/>
        </w:rPr>
        <w:t>ב"ס</w:t>
      </w:r>
      <w:r w:rsidRPr="004547CD">
        <w:rPr>
          <w:rFonts w:cs="FrankRuehl"/>
          <w:sz w:val="20"/>
          <w:szCs w:val="22"/>
          <w:rtl/>
        </w:rPr>
        <w:t xml:space="preserve">, </w:t>
      </w:r>
      <w:r w:rsidRPr="004547CD">
        <w:rPr>
          <w:rFonts w:cs="FrankRuehl" w:hint="eastAsia"/>
          <w:sz w:val="20"/>
          <w:szCs w:val="22"/>
          <w:rtl/>
        </w:rPr>
        <w:t>אשר</w:t>
      </w:r>
      <w:r w:rsidRPr="004547CD">
        <w:rPr>
          <w:rFonts w:cs="FrankRuehl"/>
          <w:sz w:val="20"/>
          <w:szCs w:val="22"/>
          <w:rtl/>
        </w:rPr>
        <w:t xml:space="preserve"> </w:t>
      </w:r>
      <w:r w:rsidRPr="004547CD">
        <w:rPr>
          <w:rFonts w:cs="FrankRuehl" w:hint="eastAsia"/>
          <w:sz w:val="20"/>
          <w:szCs w:val="22"/>
          <w:rtl/>
        </w:rPr>
        <w:t>יהיה</w:t>
      </w:r>
      <w:r w:rsidRPr="004547CD">
        <w:rPr>
          <w:rFonts w:cs="FrankRuehl"/>
          <w:sz w:val="20"/>
          <w:szCs w:val="22"/>
          <w:rtl/>
        </w:rPr>
        <w:t xml:space="preserve"> </w:t>
      </w:r>
      <w:r w:rsidRPr="004547CD">
        <w:rPr>
          <w:rFonts w:cs="FrankRuehl" w:hint="eastAsia"/>
          <w:sz w:val="20"/>
          <w:szCs w:val="22"/>
          <w:rtl/>
        </w:rPr>
        <w:t>הגורם</w:t>
      </w:r>
      <w:r w:rsidRPr="004547CD">
        <w:rPr>
          <w:rFonts w:cs="FrankRuehl"/>
          <w:sz w:val="20"/>
          <w:szCs w:val="22"/>
          <w:rtl/>
        </w:rPr>
        <w:t xml:space="preserve"> </w:t>
      </w:r>
      <w:r w:rsidRPr="004547CD">
        <w:rPr>
          <w:rFonts w:cs="FrankRuehl" w:hint="eastAsia"/>
          <w:sz w:val="20"/>
          <w:szCs w:val="22"/>
          <w:rtl/>
        </w:rPr>
        <w:t>המקצועי</w:t>
      </w:r>
      <w:r w:rsidRPr="004547CD">
        <w:rPr>
          <w:rFonts w:cs="FrankRuehl"/>
          <w:sz w:val="20"/>
          <w:szCs w:val="22"/>
          <w:rtl/>
        </w:rPr>
        <w:t xml:space="preserve"> </w:t>
      </w:r>
      <w:r w:rsidRPr="004547CD">
        <w:rPr>
          <w:rFonts w:cs="FrankRuehl" w:hint="eastAsia"/>
          <w:sz w:val="20"/>
          <w:szCs w:val="22"/>
          <w:rtl/>
        </w:rPr>
        <w:t>שירכז</w:t>
      </w:r>
      <w:r w:rsidRPr="004547CD">
        <w:rPr>
          <w:rFonts w:cs="FrankRuehl"/>
          <w:sz w:val="20"/>
          <w:szCs w:val="22"/>
          <w:rtl/>
        </w:rPr>
        <w:t xml:space="preserve"> </w:t>
      </w:r>
      <w:r w:rsidRPr="004547CD">
        <w:rPr>
          <w:rFonts w:cs="FrankRuehl" w:hint="eastAsia"/>
          <w:sz w:val="20"/>
          <w:szCs w:val="22"/>
          <w:rtl/>
        </w:rPr>
        <w:t>את</w:t>
      </w:r>
      <w:r w:rsidRPr="004547CD">
        <w:rPr>
          <w:rFonts w:cs="FrankRuehl"/>
          <w:sz w:val="20"/>
          <w:szCs w:val="22"/>
          <w:rtl/>
        </w:rPr>
        <w:t xml:space="preserve"> </w:t>
      </w:r>
      <w:r w:rsidRPr="004547CD">
        <w:rPr>
          <w:rFonts w:cs="FrankRuehl" w:hint="eastAsia"/>
          <w:sz w:val="20"/>
          <w:szCs w:val="22"/>
          <w:rtl/>
        </w:rPr>
        <w:t>הטיפול</w:t>
      </w:r>
      <w:r w:rsidRPr="004547CD">
        <w:rPr>
          <w:rFonts w:cs="FrankRuehl"/>
          <w:sz w:val="20"/>
          <w:szCs w:val="22"/>
          <w:rtl/>
        </w:rPr>
        <w:t xml:space="preserve"> </w:t>
      </w:r>
      <w:r w:rsidRPr="004547CD">
        <w:rPr>
          <w:rFonts w:cs="FrankRuehl" w:hint="eastAsia"/>
          <w:sz w:val="20"/>
          <w:szCs w:val="22"/>
          <w:rtl/>
        </w:rPr>
        <w:t>בעצורים</w:t>
      </w:r>
      <w:r w:rsidRPr="004547CD">
        <w:rPr>
          <w:rFonts w:cs="FrankRuehl"/>
          <w:sz w:val="20"/>
          <w:szCs w:val="22"/>
          <w:rtl/>
        </w:rPr>
        <w:t xml:space="preserve">. </w:t>
      </w:r>
      <w:r w:rsidRPr="004547CD">
        <w:rPr>
          <w:rFonts w:cs="FrankRuehl" w:hint="cs"/>
          <w:sz w:val="20"/>
          <w:szCs w:val="22"/>
          <w:rtl/>
        </w:rPr>
        <w:t>העברת האחריות למערך הכליאה ו</w:t>
      </w:r>
      <w:r w:rsidRPr="004547CD">
        <w:rPr>
          <w:rFonts w:cs="FrankRuehl" w:hint="eastAsia"/>
          <w:sz w:val="20"/>
          <w:szCs w:val="22"/>
          <w:rtl/>
        </w:rPr>
        <w:t>הליווי</w:t>
      </w:r>
      <w:r w:rsidRPr="004547CD">
        <w:rPr>
          <w:rFonts w:cs="FrankRuehl" w:hint="cs"/>
          <w:sz w:val="20"/>
          <w:szCs w:val="22"/>
          <w:rtl/>
        </w:rPr>
        <w:t xml:space="preserve"> של העצורים לידי שב"ס נעשתה באופן הדרגתי, ובין אפריל 2007 לאפריל 2008 הועברה לשב"ס האחריות על מערך הכליאה ו</w:t>
      </w:r>
      <w:r w:rsidRPr="004547CD">
        <w:rPr>
          <w:rFonts w:cs="FrankRuehl" w:hint="eastAsia"/>
          <w:sz w:val="20"/>
          <w:szCs w:val="22"/>
          <w:rtl/>
        </w:rPr>
        <w:t>הליווי</w:t>
      </w:r>
      <w:r w:rsidRPr="004547CD">
        <w:rPr>
          <w:rFonts w:cs="FrankRuehl" w:hint="cs"/>
          <w:sz w:val="20"/>
          <w:szCs w:val="22"/>
          <w:rtl/>
        </w:rPr>
        <w:t xml:space="preserve"> של כל מחוזות המשטרה. במסגרת זו העבירה המשטרה לשב"ס </w:t>
      </w:r>
      <w:r w:rsidRPr="004547CD">
        <w:rPr>
          <w:rFonts w:cs="FrankRuehl"/>
          <w:sz w:val="20"/>
          <w:szCs w:val="22"/>
          <w:rtl/>
        </w:rPr>
        <w:t xml:space="preserve">762 </w:t>
      </w:r>
      <w:r w:rsidRPr="004547CD">
        <w:rPr>
          <w:rFonts w:cs="FrankRuehl" w:hint="eastAsia"/>
          <w:sz w:val="20"/>
          <w:szCs w:val="22"/>
          <w:rtl/>
        </w:rPr>
        <w:t>תקני</w:t>
      </w:r>
      <w:r w:rsidRPr="004547CD">
        <w:rPr>
          <w:rFonts w:cs="FrankRuehl"/>
          <w:sz w:val="20"/>
          <w:szCs w:val="22"/>
          <w:rtl/>
        </w:rPr>
        <w:t xml:space="preserve"> </w:t>
      </w:r>
      <w:r w:rsidRPr="004547CD">
        <w:rPr>
          <w:rFonts w:cs="FrankRuehl" w:hint="eastAsia"/>
          <w:sz w:val="20"/>
          <w:szCs w:val="22"/>
          <w:rtl/>
        </w:rPr>
        <w:t>כוח</w:t>
      </w:r>
      <w:r w:rsidRPr="004547CD">
        <w:rPr>
          <w:rFonts w:cs="FrankRuehl"/>
          <w:sz w:val="20"/>
          <w:szCs w:val="22"/>
          <w:rtl/>
        </w:rPr>
        <w:t xml:space="preserve"> </w:t>
      </w:r>
      <w:r w:rsidRPr="004547CD">
        <w:rPr>
          <w:rFonts w:cs="FrankRuehl" w:hint="eastAsia"/>
          <w:sz w:val="20"/>
          <w:szCs w:val="22"/>
          <w:rtl/>
        </w:rPr>
        <w:t>אדם</w:t>
      </w:r>
      <w:r w:rsidRPr="004547CD">
        <w:rPr>
          <w:rFonts w:cs="FrankRuehl"/>
          <w:sz w:val="20"/>
          <w:szCs w:val="22"/>
          <w:rtl/>
        </w:rPr>
        <w:t xml:space="preserve"> (</w:t>
      </w:r>
      <w:r w:rsidRPr="004547CD">
        <w:rPr>
          <w:rFonts w:cs="FrankRuehl" w:hint="cs"/>
          <w:sz w:val="20"/>
          <w:szCs w:val="22"/>
          <w:rtl/>
        </w:rPr>
        <w:t xml:space="preserve">של שוטרי </w:t>
      </w:r>
      <w:r w:rsidRPr="004547CD">
        <w:rPr>
          <w:rFonts w:cs="FrankRuehl"/>
          <w:sz w:val="20"/>
          <w:szCs w:val="22"/>
          <w:rtl/>
        </w:rPr>
        <w:t xml:space="preserve">קבע), </w:t>
      </w:r>
      <w:r w:rsidRPr="004547CD">
        <w:rPr>
          <w:rFonts w:cs="FrankRuehl" w:hint="eastAsia"/>
          <w:sz w:val="20"/>
          <w:szCs w:val="22"/>
          <w:rtl/>
        </w:rPr>
        <w:t>חמישה</w:t>
      </w:r>
      <w:r w:rsidRPr="004547CD">
        <w:rPr>
          <w:rFonts w:cs="FrankRuehl"/>
          <w:sz w:val="20"/>
          <w:szCs w:val="22"/>
          <w:rtl/>
        </w:rPr>
        <w:t xml:space="preserve"> </w:t>
      </w:r>
      <w:r w:rsidRPr="004547CD">
        <w:rPr>
          <w:rFonts w:cs="FrankRuehl" w:hint="eastAsia"/>
          <w:sz w:val="20"/>
          <w:szCs w:val="22"/>
          <w:rtl/>
        </w:rPr>
        <w:t>תקני</w:t>
      </w:r>
      <w:r w:rsidRPr="004547CD">
        <w:rPr>
          <w:rFonts w:cs="FrankRuehl"/>
          <w:sz w:val="20"/>
          <w:szCs w:val="22"/>
          <w:rtl/>
        </w:rPr>
        <w:t xml:space="preserve"> </w:t>
      </w:r>
      <w:r w:rsidRPr="004547CD">
        <w:rPr>
          <w:rFonts w:cs="FrankRuehl" w:hint="cs"/>
          <w:sz w:val="20"/>
          <w:szCs w:val="22"/>
          <w:rtl/>
        </w:rPr>
        <w:t>חיילים בשירות חובה במשטרה (</w:t>
      </w:r>
      <w:r w:rsidRPr="004547CD">
        <w:rPr>
          <w:rFonts w:cs="FrankRuehl" w:hint="eastAsia"/>
          <w:sz w:val="20"/>
          <w:szCs w:val="22"/>
          <w:rtl/>
        </w:rPr>
        <w:t>שח</w:t>
      </w:r>
      <w:r w:rsidRPr="004547CD">
        <w:rPr>
          <w:rFonts w:cs="FrankRuehl"/>
          <w:sz w:val="20"/>
          <w:szCs w:val="22"/>
          <w:rtl/>
        </w:rPr>
        <w:t>"מ</w:t>
      </w:r>
      <w:r w:rsidRPr="004547CD">
        <w:rPr>
          <w:rFonts w:cs="FrankRuehl" w:hint="cs"/>
          <w:sz w:val="20"/>
          <w:szCs w:val="22"/>
          <w:rtl/>
        </w:rPr>
        <w:t>)</w:t>
      </w:r>
      <w:r w:rsidRPr="004547CD">
        <w:rPr>
          <w:rFonts w:cs="FrankRuehl"/>
          <w:sz w:val="20"/>
          <w:szCs w:val="22"/>
          <w:rtl/>
        </w:rPr>
        <w:t xml:space="preserve">, 57 </w:t>
      </w:r>
      <w:r w:rsidRPr="004547CD">
        <w:rPr>
          <w:rFonts w:cs="FrankRuehl" w:hint="eastAsia"/>
          <w:sz w:val="20"/>
          <w:szCs w:val="22"/>
          <w:rtl/>
        </w:rPr>
        <w:t>תקני</w:t>
      </w:r>
      <w:r w:rsidRPr="004547CD">
        <w:rPr>
          <w:rFonts w:cs="FrankRuehl"/>
          <w:sz w:val="20"/>
          <w:szCs w:val="22"/>
          <w:rtl/>
        </w:rPr>
        <w:t xml:space="preserve"> </w:t>
      </w:r>
      <w:r w:rsidRPr="004547CD">
        <w:rPr>
          <w:rFonts w:cs="FrankRuehl" w:hint="eastAsia"/>
          <w:sz w:val="20"/>
          <w:szCs w:val="22"/>
          <w:rtl/>
        </w:rPr>
        <w:t>רכבים</w:t>
      </w:r>
      <w:r w:rsidRPr="004547CD">
        <w:rPr>
          <w:rFonts w:cs="FrankRuehl" w:hint="cs"/>
          <w:sz w:val="20"/>
          <w:szCs w:val="22"/>
          <w:rtl/>
        </w:rPr>
        <w:t xml:space="preserve"> ועשרה בתי מעצר. </w:t>
      </w:r>
    </w:p>
    <w:p w:rsidR="006259B3" w:rsidRPr="004547CD" w:rsidP="008A6D26">
      <w:pPr>
        <w:spacing w:after="240" w:line="230" w:lineRule="exact"/>
        <w:jc w:val="both"/>
        <w:rPr>
          <w:rFonts w:cs="FrankRuehl"/>
          <w:sz w:val="20"/>
          <w:szCs w:val="22"/>
          <w:rtl/>
        </w:rPr>
      </w:pPr>
      <w:r w:rsidRPr="004547CD">
        <w:rPr>
          <w:rFonts w:cs="FrankRuehl" w:hint="cs"/>
          <w:sz w:val="20"/>
          <w:szCs w:val="22"/>
          <w:rtl/>
        </w:rPr>
        <w:t xml:space="preserve">המשטרה ושב"ס, נערכו לקראת ביצוע המשימה תוך מתן דגש למורכבות שבהעברת העצורים מתחנות המשטרה לבתי המשפט, לחקירות בתחנות המשטרה ובחזרה למתקני הכליאה. לצורך טיפול מרוכז ויעיל בזימונים של עצורי ימים לבתי משפט ולחקירה המשטרה ושב"ס הקימו במשותף ביוני 2007 מרכזי שליטה (להלן - משל"ט), הפועלים לתיאום בין הגופים בנוגע לליווי העצורים והאסירים ממתקני שב"ס לחקירה בתחנות המשטרה ובטיפול בהליך הקליטה של עצורים הדורשים פתרון חוצה מחוזות בכל שעה משעות היממה. </w:t>
      </w:r>
    </w:p>
    <w:p w:rsidR="006259B3" w:rsidRPr="004547CD" w:rsidP="008A6D26">
      <w:pPr>
        <w:pStyle w:val="RESHET"/>
        <w:keepLines/>
        <w:rPr>
          <w:rtl/>
        </w:rPr>
      </w:pPr>
      <w:r w:rsidRPr="004547CD">
        <w:rPr>
          <w:rFonts w:hint="cs"/>
          <w:rtl/>
        </w:rPr>
        <w:t>החלטת השר חייבה את המשטרה ושב"ס להיערכות מחודשת בנושא ולתיאום ביניהם. הטיפול בעצורים כולל היבטים רבים: היבטים מינהליים, שעיקרם הליכי קליטת עצורים המובאים לשב"ס בידי המשטרה; היבטים רפואיים כגון קליטת עצורים חולים או קליטת עצורים פגועי נפש; והיבטים מודיעיניים, ובהם העברת עצורים בין מתקני כליאה בגין סכסוכי עצורים. היבטים אלו חייבו הכנת הסכם מתכלל, שיסדיר את הנושאים הבעייתיים, ושממנו אפשר יהיה לגזור נוהלי עבודה מפורטים.</w:t>
      </w:r>
    </w:p>
    <w:p w:rsidR="006259B3" w:rsidRPr="004547CD" w:rsidP="008A6D26">
      <w:pPr>
        <w:pStyle w:val="RESHET"/>
        <w:rPr>
          <w:rtl/>
        </w:rPr>
      </w:pPr>
      <w:r w:rsidRPr="004547CD">
        <w:rPr>
          <w:rFonts w:hint="cs"/>
          <w:rtl/>
        </w:rPr>
        <w:t xml:space="preserve">משרד מבקר המדינה העלה כי במשך שש שנים, מאז החלטת השר להעביר את מערך הכליאה והליווי של משטרת ישראל לידי השב"ס והתחלת יישומה של ההחלטה, </w:t>
      </w:r>
      <w:r w:rsidRPr="004547CD">
        <w:rPr>
          <w:rFonts w:hint="eastAsia"/>
          <w:rtl/>
        </w:rPr>
        <w:t>לא</w:t>
      </w:r>
      <w:r w:rsidRPr="004547CD">
        <w:rPr>
          <w:rtl/>
        </w:rPr>
        <w:t xml:space="preserve"> </w:t>
      </w:r>
      <w:r w:rsidRPr="004547CD">
        <w:rPr>
          <w:rFonts w:hint="eastAsia"/>
          <w:rtl/>
        </w:rPr>
        <w:t>חתמו</w:t>
      </w:r>
      <w:r w:rsidRPr="004547CD">
        <w:rPr>
          <w:rtl/>
        </w:rPr>
        <w:t xml:space="preserve"> </w:t>
      </w:r>
      <w:r w:rsidRPr="004547CD">
        <w:rPr>
          <w:rFonts w:hint="eastAsia"/>
          <w:rtl/>
        </w:rPr>
        <w:t>המשטרה</w:t>
      </w:r>
      <w:r w:rsidRPr="004547CD">
        <w:rPr>
          <w:rtl/>
        </w:rPr>
        <w:t xml:space="preserve"> </w:t>
      </w:r>
      <w:r w:rsidRPr="004547CD">
        <w:rPr>
          <w:rFonts w:hint="cs"/>
          <w:rtl/>
        </w:rPr>
        <w:t>ו</w:t>
      </w:r>
      <w:r w:rsidRPr="004547CD">
        <w:rPr>
          <w:rFonts w:hint="eastAsia"/>
          <w:rtl/>
        </w:rPr>
        <w:t>שב</w:t>
      </w:r>
      <w:r w:rsidRPr="004547CD">
        <w:rPr>
          <w:rtl/>
        </w:rPr>
        <w:t xml:space="preserve">"ס </w:t>
      </w:r>
      <w:r w:rsidRPr="004547CD">
        <w:rPr>
          <w:rFonts w:hint="eastAsia"/>
          <w:rtl/>
        </w:rPr>
        <w:t>על</w:t>
      </w:r>
      <w:r w:rsidRPr="004547CD">
        <w:rPr>
          <w:rtl/>
        </w:rPr>
        <w:t xml:space="preserve"> </w:t>
      </w:r>
      <w:r w:rsidRPr="004547CD">
        <w:rPr>
          <w:rFonts w:hint="cs"/>
          <w:rtl/>
        </w:rPr>
        <w:t>הסכם מתכלל,</w:t>
      </w:r>
      <w:r w:rsidRPr="004547CD">
        <w:rPr>
          <w:rtl/>
        </w:rPr>
        <w:t xml:space="preserve"> המסדיר </w:t>
      </w:r>
      <w:r w:rsidRPr="004547CD">
        <w:rPr>
          <w:rFonts w:hint="cs"/>
          <w:rtl/>
        </w:rPr>
        <w:t>ז</w:t>
      </w:r>
      <w:r w:rsidRPr="004547CD">
        <w:rPr>
          <w:rtl/>
        </w:rPr>
        <w:t>את</w:t>
      </w:r>
      <w:r w:rsidRPr="004547CD">
        <w:rPr>
          <w:rFonts w:hint="cs"/>
          <w:rtl/>
        </w:rPr>
        <w:t>.</w:t>
      </w:r>
      <w:r w:rsidRPr="004547CD">
        <w:rPr>
          <w:rtl/>
        </w:rPr>
        <w:t xml:space="preserve"> </w:t>
      </w:r>
      <w:r w:rsidRPr="004547CD">
        <w:rPr>
          <w:rFonts w:hint="eastAsia"/>
          <w:rtl/>
        </w:rPr>
        <w:t>בפועל</w:t>
      </w:r>
      <w:r w:rsidRPr="004547CD">
        <w:rPr>
          <w:rtl/>
        </w:rPr>
        <w:t xml:space="preserve"> </w:t>
      </w:r>
      <w:r w:rsidRPr="004547CD">
        <w:rPr>
          <w:rFonts w:hint="cs"/>
          <w:rtl/>
        </w:rPr>
        <w:t xml:space="preserve">לא נחתם הסכם כזה בין שני הגופים, ותחת זאת כל מחוז במשטרה חתם עם גורמי שב"ס הפועלים בתחומו על הסכם שהסדיר את העברת המערך ברמה המחוזית בלבד. במהלך השנים הללו נעשו ניסיונות לגבש </w:t>
      </w:r>
      <w:r w:rsidRPr="004547CD">
        <w:rPr>
          <w:rtl/>
        </w:rPr>
        <w:t xml:space="preserve">הסכם </w:t>
      </w:r>
      <w:r w:rsidRPr="004547CD">
        <w:rPr>
          <w:rFonts w:hint="eastAsia"/>
          <w:rtl/>
        </w:rPr>
        <w:t>מתכלל</w:t>
      </w:r>
      <w:r w:rsidRPr="004547CD">
        <w:rPr>
          <w:rFonts w:hint="cs"/>
          <w:rtl/>
        </w:rPr>
        <w:t>,</w:t>
      </w:r>
      <w:r w:rsidRPr="004547CD">
        <w:rPr>
          <w:rtl/>
        </w:rPr>
        <w:t xml:space="preserve"> </w:t>
      </w:r>
      <w:r w:rsidRPr="004547CD">
        <w:rPr>
          <w:rFonts w:hint="cs"/>
          <w:rtl/>
        </w:rPr>
        <w:t xml:space="preserve">אולם הם לא צלחו, הוכנו כמה טיוטות בידי </w:t>
      </w:r>
      <w:r w:rsidRPr="004547CD">
        <w:rPr>
          <w:rFonts w:hint="eastAsia"/>
          <w:rtl/>
        </w:rPr>
        <w:t>המשרד</w:t>
      </w:r>
      <w:r w:rsidRPr="004547CD">
        <w:rPr>
          <w:rtl/>
        </w:rPr>
        <w:t xml:space="preserve"> </w:t>
      </w:r>
      <w:r w:rsidRPr="004547CD">
        <w:rPr>
          <w:rFonts w:hint="eastAsia"/>
          <w:rtl/>
        </w:rPr>
        <w:t>לבט</w:t>
      </w:r>
      <w:r w:rsidRPr="004547CD">
        <w:rPr>
          <w:rtl/>
        </w:rPr>
        <w:t xml:space="preserve">"פ, </w:t>
      </w:r>
      <w:r w:rsidRPr="004547CD">
        <w:rPr>
          <w:rFonts w:hint="eastAsia"/>
          <w:rtl/>
        </w:rPr>
        <w:t>המשטרה</w:t>
      </w:r>
      <w:r w:rsidRPr="004547CD">
        <w:rPr>
          <w:rtl/>
        </w:rPr>
        <w:t xml:space="preserve"> </w:t>
      </w:r>
      <w:r w:rsidRPr="004547CD">
        <w:rPr>
          <w:rFonts w:hint="eastAsia"/>
          <w:rtl/>
        </w:rPr>
        <w:t>ושב</w:t>
      </w:r>
      <w:r w:rsidRPr="004547CD">
        <w:rPr>
          <w:rtl/>
        </w:rPr>
        <w:t>"ס</w:t>
      </w:r>
      <w:r w:rsidRPr="004547CD">
        <w:rPr>
          <w:rFonts w:hint="cs"/>
          <w:rtl/>
        </w:rPr>
        <w:t>,</w:t>
      </w:r>
      <w:r w:rsidRPr="004547CD">
        <w:rPr>
          <w:rtl/>
        </w:rPr>
        <w:t xml:space="preserve"> א</w:t>
      </w:r>
      <w:r w:rsidRPr="004547CD">
        <w:rPr>
          <w:rFonts w:hint="cs"/>
          <w:rtl/>
        </w:rPr>
        <w:t>ולם</w:t>
      </w:r>
      <w:r w:rsidRPr="004547CD">
        <w:rPr>
          <w:rtl/>
        </w:rPr>
        <w:t xml:space="preserve"> אף אחת מהן לא הבשילה לכדי הסכם חתום ומחייב. </w:t>
      </w:r>
    </w:p>
    <w:p w:rsidR="006259B3" w:rsidRPr="004547CD" w:rsidP="008A6D26">
      <w:pPr>
        <w:spacing w:before="180" w:after="120" w:line="230" w:lineRule="exact"/>
        <w:jc w:val="both"/>
        <w:rPr>
          <w:rFonts w:cs="FrankRuehl"/>
          <w:sz w:val="20"/>
          <w:szCs w:val="22"/>
          <w:rtl/>
        </w:rPr>
      </w:pPr>
      <w:r w:rsidRPr="004547CD">
        <w:rPr>
          <w:rFonts w:cs="FrankRuehl" w:hint="cs"/>
          <w:sz w:val="20"/>
          <w:szCs w:val="22"/>
          <w:rtl/>
        </w:rPr>
        <w:t>המשטרה כתבה בתשובתה למשרד מבקר המדינה מדצמבר 2014 כי "העברת האחריות לשב"ס בוצעה באופן הדרגתי לפי מחוזות. מטבעו, תהליך זה הינו מורכב ומצריך שיפור והפקת לקחים תוך כדי גיבושו וישומו. נעשו ניסיונות ליצור הסכם מתכלל, אך כיוון שהתברר עם הזמן שסוגיות שונות נותרו ללא מענה... סברו הצדדים שאין מקום לכתיבתו של הסכם שאפשרויות יישומו מוגבלות".</w:t>
      </w:r>
    </w:p>
    <w:p w:rsidR="006259B3" w:rsidRPr="004547CD" w:rsidP="008A6D26">
      <w:pPr>
        <w:spacing w:after="120" w:line="230" w:lineRule="exact"/>
        <w:jc w:val="both"/>
        <w:rPr>
          <w:rFonts w:cs="FrankRuehl"/>
          <w:sz w:val="20"/>
          <w:szCs w:val="22"/>
          <w:rtl/>
        </w:rPr>
      </w:pPr>
      <w:r w:rsidRPr="004547CD">
        <w:rPr>
          <w:rFonts w:cs="FrankRuehl" w:hint="cs"/>
          <w:sz w:val="20"/>
          <w:szCs w:val="22"/>
          <w:rtl/>
        </w:rPr>
        <w:t>שב"ס מסר בתשובתו למשרד מבקר המדינה מדצמבר 2014 כי "ההחלטה כי יחתמו הסכמי הבנות אזוריים נתקבלה ע"י פיקוד שב"ס, מתוך הנחה כי הגורמים הטריטוריאליים [המחוזות] צריכים בתחילת הדרך לקבוע את ההסדרים המדויקים ולייצר שיתוף פעולה שמתאים לצורכי המחוז המשטרתי ולצרכי וליכולת המחוז השבס"י. בכל אמנה [הסכם במחוז] ניתנה הדעת גם לסמכותו וליכולתו של מטה שב"ס לפתרון בעיות שאינן נקודתיות מקומיות. רק בתום קבלת כל מערך הכליאה [בשנת 2008] ניתנה החלטה בדבר הצורך בגיבוש אמנה [הסכם] מתכללת". השב"ס הוסיף כי בכוונת ראש חטיבת תכנון וארגון במשרד לבט"פ להתניע, בשנת 2015, מהלך של כתיבת הסכם מתכלל בין המשטרה לשב"ס.</w:t>
      </w:r>
    </w:p>
    <w:p w:rsidR="006259B3" w:rsidRPr="004547CD" w:rsidP="008A6D26">
      <w:pPr>
        <w:spacing w:after="240" w:line="230" w:lineRule="exact"/>
        <w:jc w:val="both"/>
        <w:rPr>
          <w:rFonts w:cs="FrankRuehl"/>
          <w:sz w:val="20"/>
          <w:szCs w:val="22"/>
          <w:rtl/>
        </w:rPr>
      </w:pPr>
      <w:r w:rsidRPr="004547CD">
        <w:rPr>
          <w:rFonts w:cs="FrankRuehl" w:hint="cs"/>
          <w:sz w:val="20"/>
          <w:szCs w:val="22"/>
          <w:rtl/>
        </w:rPr>
        <w:t>המשרד לבט"פ מסר בתשובתו למשרד מבקר המדינה מדצמבר 2014 כי מאז שנת 2007, עת הועברה האחריות הכוללת לטיפול בעצורים מהמשטרה לשב"ס, לא הוסדרו סוגיות רבות השנויות במחלוקת בין שני הגופים. במהלך השנים נעשו כמה נסיונות שלא צלחו להכין הסכם מתכלל אך הוא לא נחתם מעולם באופן רשמי. בתשובתו הנוספת מינואר 2015 כתב המשרד לבט"פ: "היעדרו של הסכם מתכלל בין שב"ס ומ"י [המשטרה] זוהה על ידינו כסיבה מרכזית לאי הסכמות בין הארגונים... אנו מתכננים לגבש אמנה כזו בשנת 2015."</w:t>
      </w:r>
    </w:p>
    <w:p w:rsidR="006259B3" w:rsidRPr="008A6D26" w:rsidP="00A37821">
      <w:pPr>
        <w:spacing w:after="120" w:line="230" w:lineRule="exact"/>
        <w:jc w:val="both"/>
        <w:rPr>
          <w:rFonts w:cs="FrankRuehl"/>
          <w:sz w:val="20"/>
          <w:szCs w:val="22"/>
          <w:rtl/>
        </w:rPr>
      </w:pPr>
      <w:r w:rsidRPr="008A6D26">
        <w:rPr>
          <w:rFonts w:cs="FrankRuehl" w:hint="cs"/>
          <w:sz w:val="20"/>
          <w:szCs w:val="22"/>
          <w:rtl/>
        </w:rPr>
        <w:t xml:space="preserve">משרד מבקר המדינה מעיר כי גם אם כוונת המשטרה ושב"ס הייתה להעביר את האחריות באופן הדרגתי וכך ליצור שיתוף פעולה מלא בין שני הגופים, הרי שבפועל היא לא הגיעה לכלל מימוש. נמצא שעד </w:t>
      </w:r>
      <w:r w:rsidR="00A37821">
        <w:rPr>
          <w:rFonts w:cs="FrankRuehl" w:hint="cs"/>
          <w:sz w:val="20"/>
          <w:szCs w:val="22"/>
          <w:rtl/>
        </w:rPr>
        <w:t>אוקטובר</w:t>
      </w:r>
      <w:r w:rsidRPr="008A6D26">
        <w:rPr>
          <w:rFonts w:cs="FrankRuehl" w:hint="cs"/>
          <w:sz w:val="20"/>
          <w:szCs w:val="22"/>
          <w:rtl/>
        </w:rPr>
        <w:t xml:space="preserve"> 2014, מועד סיום הביקורת, כשש שנים מן המועד שבו נחתם הסכם ההבנות המחוזי האחרון עם מחוז ש"י, לא נחתם הסכם מתכלל בין המשטרה לשב"ס. </w:t>
      </w:r>
      <w:r w:rsidRPr="008A6D26">
        <w:rPr>
          <w:rFonts w:cs="FrankRuehl" w:hint="eastAsia"/>
          <w:sz w:val="20"/>
          <w:szCs w:val="22"/>
          <w:rtl/>
        </w:rPr>
        <w:t>ההחלטה</w:t>
      </w:r>
      <w:r w:rsidRPr="008A6D26">
        <w:rPr>
          <w:rFonts w:cs="FrankRuehl"/>
          <w:sz w:val="20"/>
          <w:szCs w:val="22"/>
          <w:rtl/>
        </w:rPr>
        <w:t xml:space="preserve"> </w:t>
      </w:r>
      <w:r w:rsidRPr="008A6D26">
        <w:rPr>
          <w:rFonts w:cs="FrankRuehl" w:hint="eastAsia"/>
          <w:sz w:val="20"/>
          <w:szCs w:val="22"/>
          <w:rtl/>
        </w:rPr>
        <w:t>על</w:t>
      </w:r>
      <w:r w:rsidRPr="008A6D26">
        <w:rPr>
          <w:rFonts w:cs="FrankRuehl"/>
          <w:sz w:val="20"/>
          <w:szCs w:val="22"/>
          <w:rtl/>
        </w:rPr>
        <w:t xml:space="preserve"> </w:t>
      </w:r>
      <w:r w:rsidRPr="008A6D26">
        <w:rPr>
          <w:rFonts w:cs="FrankRuehl" w:hint="cs"/>
          <w:sz w:val="20"/>
          <w:szCs w:val="22"/>
          <w:rtl/>
        </w:rPr>
        <w:t>העברת מתקני הכליאה והליווי</w:t>
      </w:r>
      <w:r w:rsidRPr="008A6D26">
        <w:rPr>
          <w:rFonts w:cs="FrankRuehl"/>
          <w:sz w:val="20"/>
          <w:szCs w:val="22"/>
          <w:rtl/>
        </w:rPr>
        <w:t xml:space="preserve"> </w:t>
      </w:r>
      <w:r w:rsidRPr="008A6D26">
        <w:rPr>
          <w:rFonts w:cs="FrankRuehl" w:hint="eastAsia"/>
          <w:sz w:val="20"/>
          <w:szCs w:val="22"/>
          <w:rtl/>
        </w:rPr>
        <w:t>נועד</w:t>
      </w:r>
      <w:r w:rsidRPr="008A6D26">
        <w:rPr>
          <w:rFonts w:cs="FrankRuehl" w:hint="cs"/>
          <w:sz w:val="20"/>
          <w:szCs w:val="22"/>
          <w:rtl/>
        </w:rPr>
        <w:t>ה</w:t>
      </w:r>
      <w:r w:rsidRPr="008A6D26">
        <w:rPr>
          <w:rFonts w:cs="FrankRuehl"/>
          <w:sz w:val="20"/>
          <w:szCs w:val="22"/>
          <w:rtl/>
        </w:rPr>
        <w:t xml:space="preserve"> </w:t>
      </w:r>
      <w:r w:rsidRPr="008A6D26">
        <w:rPr>
          <w:rFonts w:cs="FrankRuehl" w:hint="eastAsia"/>
          <w:sz w:val="20"/>
          <w:szCs w:val="22"/>
          <w:rtl/>
        </w:rPr>
        <w:t>להביא</w:t>
      </w:r>
      <w:r w:rsidRPr="008A6D26">
        <w:rPr>
          <w:rFonts w:cs="FrankRuehl"/>
          <w:sz w:val="20"/>
          <w:szCs w:val="22"/>
          <w:rtl/>
        </w:rPr>
        <w:t xml:space="preserve"> </w:t>
      </w:r>
      <w:r w:rsidRPr="008A6D26">
        <w:rPr>
          <w:rFonts w:cs="FrankRuehl" w:hint="eastAsia"/>
          <w:sz w:val="20"/>
          <w:szCs w:val="22"/>
          <w:rtl/>
        </w:rPr>
        <w:t>לשיפור</w:t>
      </w:r>
      <w:r w:rsidRPr="008A6D26">
        <w:rPr>
          <w:rFonts w:cs="FrankRuehl"/>
          <w:sz w:val="20"/>
          <w:szCs w:val="22"/>
          <w:rtl/>
        </w:rPr>
        <w:t xml:space="preserve"> </w:t>
      </w:r>
      <w:r w:rsidRPr="008A6D26">
        <w:rPr>
          <w:rFonts w:cs="FrankRuehl" w:hint="eastAsia"/>
          <w:sz w:val="20"/>
          <w:szCs w:val="22"/>
          <w:rtl/>
        </w:rPr>
        <w:t>ולהתייעלות</w:t>
      </w:r>
      <w:r w:rsidRPr="008A6D26">
        <w:rPr>
          <w:rFonts w:cs="FrankRuehl"/>
          <w:sz w:val="20"/>
          <w:szCs w:val="22"/>
          <w:rtl/>
        </w:rPr>
        <w:t xml:space="preserve"> </w:t>
      </w:r>
      <w:r w:rsidRPr="008A6D26">
        <w:rPr>
          <w:rFonts w:cs="FrankRuehl" w:hint="eastAsia"/>
          <w:sz w:val="20"/>
          <w:szCs w:val="22"/>
          <w:rtl/>
        </w:rPr>
        <w:t>ברמת</w:t>
      </w:r>
      <w:r w:rsidRPr="008A6D26">
        <w:rPr>
          <w:rFonts w:cs="FrankRuehl"/>
          <w:sz w:val="20"/>
          <w:szCs w:val="22"/>
          <w:rtl/>
        </w:rPr>
        <w:t xml:space="preserve"> </w:t>
      </w:r>
      <w:r w:rsidRPr="008A6D26">
        <w:rPr>
          <w:rFonts w:cs="FrankRuehl" w:hint="eastAsia"/>
          <w:sz w:val="20"/>
          <w:szCs w:val="22"/>
          <w:rtl/>
        </w:rPr>
        <w:t>השירות</w:t>
      </w:r>
      <w:r w:rsidRPr="008A6D26">
        <w:rPr>
          <w:rFonts w:cs="FrankRuehl"/>
          <w:sz w:val="20"/>
          <w:szCs w:val="22"/>
          <w:rtl/>
        </w:rPr>
        <w:t xml:space="preserve"> </w:t>
      </w:r>
      <w:r w:rsidRPr="008A6D26">
        <w:rPr>
          <w:rFonts w:cs="FrankRuehl" w:hint="eastAsia"/>
          <w:sz w:val="20"/>
          <w:szCs w:val="22"/>
          <w:rtl/>
        </w:rPr>
        <w:t>שניתן</w:t>
      </w:r>
      <w:r w:rsidRPr="008A6D26">
        <w:rPr>
          <w:rFonts w:cs="FrankRuehl"/>
          <w:sz w:val="20"/>
          <w:szCs w:val="22"/>
          <w:rtl/>
        </w:rPr>
        <w:t xml:space="preserve"> </w:t>
      </w:r>
      <w:r w:rsidRPr="008A6D26">
        <w:rPr>
          <w:rFonts w:cs="FrankRuehl" w:hint="eastAsia"/>
          <w:sz w:val="20"/>
          <w:szCs w:val="22"/>
          <w:rtl/>
        </w:rPr>
        <w:t>לעצורים</w:t>
      </w:r>
      <w:r w:rsidRPr="008A6D26">
        <w:rPr>
          <w:rFonts w:cs="FrankRuehl"/>
          <w:sz w:val="20"/>
          <w:szCs w:val="22"/>
          <w:rtl/>
        </w:rPr>
        <w:t xml:space="preserve">, </w:t>
      </w:r>
      <w:r w:rsidRPr="008A6D26">
        <w:rPr>
          <w:rFonts w:cs="FrankRuehl" w:hint="cs"/>
          <w:sz w:val="20"/>
          <w:szCs w:val="22"/>
          <w:rtl/>
        </w:rPr>
        <w:t>ל</w:t>
      </w:r>
      <w:r w:rsidRPr="008A6D26">
        <w:rPr>
          <w:rFonts w:cs="FrankRuehl" w:hint="eastAsia"/>
          <w:sz w:val="20"/>
          <w:szCs w:val="22"/>
          <w:rtl/>
        </w:rPr>
        <w:t>חוקרים</w:t>
      </w:r>
      <w:r w:rsidRPr="008A6D26">
        <w:rPr>
          <w:rFonts w:cs="FrankRuehl"/>
          <w:sz w:val="20"/>
          <w:szCs w:val="22"/>
          <w:rtl/>
        </w:rPr>
        <w:t xml:space="preserve"> ו</w:t>
      </w:r>
      <w:r w:rsidRPr="008A6D26">
        <w:rPr>
          <w:rFonts w:cs="FrankRuehl" w:hint="cs"/>
          <w:sz w:val="20"/>
          <w:szCs w:val="22"/>
          <w:rtl/>
        </w:rPr>
        <w:t>ל</w:t>
      </w:r>
      <w:r w:rsidRPr="008A6D26">
        <w:rPr>
          <w:rFonts w:cs="FrankRuehl"/>
          <w:sz w:val="20"/>
          <w:szCs w:val="22"/>
          <w:rtl/>
        </w:rPr>
        <w:t>בתי המשפט</w:t>
      </w:r>
      <w:r w:rsidRPr="008A6D26">
        <w:rPr>
          <w:rFonts w:cs="FrankRuehl" w:hint="cs"/>
          <w:sz w:val="20"/>
          <w:szCs w:val="22"/>
          <w:rtl/>
        </w:rPr>
        <w:t>, וכוונת המשטרה ושב</w:t>
      </w:r>
      <w:r w:rsidRPr="008A6D26">
        <w:rPr>
          <w:rFonts w:cs="FrankRuehl"/>
          <w:sz w:val="20"/>
          <w:szCs w:val="22"/>
          <w:rtl/>
        </w:rPr>
        <w:t>"</w:t>
      </w:r>
      <w:r w:rsidRPr="008A6D26">
        <w:rPr>
          <w:rFonts w:cs="FrankRuehl" w:hint="cs"/>
          <w:sz w:val="20"/>
          <w:szCs w:val="22"/>
          <w:rtl/>
        </w:rPr>
        <w:t xml:space="preserve">ס הייתה להגיע להסכם מתכלל בין שני הגופים, ולא להסתפק בהסכמים שנחתמו במחוזות, אולם הפערים בינהם מנעו הכנת הסכם כזה וחתימה עליו. </w:t>
      </w:r>
    </w:p>
    <w:p w:rsidR="006259B3" w:rsidRPr="00A37821" w:rsidP="00A37821">
      <w:pPr>
        <w:pStyle w:val="BodyText"/>
        <w:spacing w:before="0"/>
        <w:rPr>
          <w:sz w:val="20"/>
          <w:rtl/>
        </w:rPr>
      </w:pPr>
      <w:r w:rsidRPr="00A37821">
        <w:rPr>
          <w:rFonts w:hint="cs"/>
          <w:sz w:val="20"/>
          <w:rtl/>
        </w:rPr>
        <w:t xml:space="preserve">לדעת משרד מבקר המדינה, ההסכם המתכלל היה נחוץ לצורך הנחת הבסיס לקשרי העבודה בין המשטרה לבין שב"ס ולהידוקם של קשרים אלה וכן להגדרת קשרי הגומלין ולקביעת הסדרי העבודה בין שני הגופים. את ההסכם המתכלל היה צריך לגבש סמוך למועד העברת האחריות מן המשטרה לשב"ס. הסכם כזה נחוץ בראש ובראשונה למשרד לבט"פ, האמור לפקח על הסדרת </w:t>
      </w:r>
      <w:r w:rsidRPr="00A37821">
        <w:rPr>
          <w:rFonts w:hint="cs"/>
          <w:sz w:val="20"/>
          <w:rtl/>
        </w:rPr>
        <w:t xml:space="preserve">חלוקת העבודה וליישב את המחלוקות בין המשטרה לבין שב"ס. הסכם ההבנות אמור גם לשקף את האחריות והמחויבות של דרגי הפיקוד הבכירים במשטרה ובשב"ס לנושא. </w:t>
      </w:r>
    </w:p>
    <w:p w:rsidR="006259B3" w:rsidRPr="008A6D26" w:rsidP="008A6D26">
      <w:pPr>
        <w:pStyle w:val="BodyText"/>
        <w:rPr>
          <w:sz w:val="20"/>
        </w:rPr>
      </w:pPr>
      <w:r w:rsidRPr="008A6D26">
        <w:rPr>
          <w:rFonts w:hint="cs"/>
          <w:sz w:val="20"/>
          <w:rtl/>
        </w:rPr>
        <w:t>המשרד לבט"פ מסר בתשובתו למשרד מבקר המדינה מדצמבר 2014 כי הנושא מטופל וכי הטיפול בו יסתיים עד סוף 2015.</w:t>
      </w:r>
    </w:p>
    <w:p w:rsidR="006259B3" w:rsidRPr="004547CD" w:rsidP="008A6D26">
      <w:pPr>
        <w:spacing w:after="120" w:line="230" w:lineRule="exact"/>
        <w:jc w:val="both"/>
        <w:rPr>
          <w:rFonts w:cs="FrankRuehl"/>
          <w:sz w:val="20"/>
          <w:szCs w:val="22"/>
        </w:rPr>
      </w:pPr>
    </w:p>
    <w:p w:rsidR="006259B3" w:rsidRPr="004547CD" w:rsidP="008A6D26">
      <w:pPr>
        <w:spacing w:after="120" w:line="230" w:lineRule="exact"/>
        <w:jc w:val="both"/>
        <w:rPr>
          <w:rFonts w:cs="FrankRuehl"/>
          <w:sz w:val="20"/>
          <w:szCs w:val="22"/>
          <w:rtl/>
        </w:rPr>
      </w:pPr>
    </w:p>
    <w:p w:rsidR="006259B3" w:rsidRPr="006A210F" w:rsidP="00A37821">
      <w:pPr>
        <w:pStyle w:val="KOT4"/>
        <w:rPr>
          <w:rtl/>
        </w:rPr>
      </w:pPr>
      <w:r>
        <w:rPr>
          <w:rFonts w:hint="cs"/>
          <w:rtl/>
        </w:rPr>
        <w:t>חילוקי הדעות</w:t>
      </w:r>
      <w:r w:rsidRPr="006A210F">
        <w:rPr>
          <w:rFonts w:hint="cs"/>
          <w:rtl/>
        </w:rPr>
        <w:t xml:space="preserve"> בין המשטרה ושב"ס</w:t>
      </w:r>
    </w:p>
    <w:p w:rsidR="006259B3" w:rsidRPr="004547CD" w:rsidP="008A6D26">
      <w:pPr>
        <w:spacing w:after="120" w:line="230" w:lineRule="exact"/>
        <w:jc w:val="both"/>
        <w:rPr>
          <w:rFonts w:cs="FrankRuehl"/>
          <w:sz w:val="20"/>
          <w:szCs w:val="22"/>
          <w:rtl/>
        </w:rPr>
      </w:pPr>
      <w:r w:rsidRPr="004547CD">
        <w:rPr>
          <w:rFonts w:cs="FrankRuehl" w:hint="cs"/>
          <w:sz w:val="20"/>
          <w:szCs w:val="22"/>
          <w:rtl/>
        </w:rPr>
        <w:t>חשוד המעוכב בידי סיירי המשטרה מובא ללא דיחוי לתחנת המשטרה כדי שקצין המשטרה בתחנה יחליט אם לעצרו. אם הוחלט לעצרו, עליו להמתין שיתפנה חוקר שיחליט לאחר חקירה ראשונית, אם נדרש המשך מעצרו של החשוד אם לאו. היה והוחלט שהמשך המעצר נחוץ, פונה התחנה למשל"ט לתיאום מקום הכליאה, והעצור מועבר אליו בידי יחידת נחשון. במקרים שבהם מוחלט שלא להמתין לליווי של יחידת נחשון - מעבירים אותו שוטרי התחנה בעצמם למתקן הכליאה, או שלעתים הוא מולן בתחנה.</w:t>
      </w:r>
    </w:p>
    <w:p w:rsidR="006259B3" w:rsidRPr="004547CD" w:rsidP="008A6D26">
      <w:pPr>
        <w:spacing w:after="120" w:line="230" w:lineRule="exact"/>
        <w:jc w:val="both"/>
        <w:rPr>
          <w:rFonts w:cs="FrankRuehl"/>
          <w:sz w:val="20"/>
          <w:szCs w:val="22"/>
          <w:rtl/>
        </w:rPr>
      </w:pPr>
      <w:r w:rsidRPr="004547CD">
        <w:rPr>
          <w:rFonts w:cs="FrankRuehl" w:hint="cs"/>
          <w:sz w:val="20"/>
          <w:szCs w:val="22"/>
          <w:rtl/>
        </w:rPr>
        <w:t>קליטת עצורים ורישומם בשב"ס נעשים לאחר פינוי העצור למתקן הכליאה. הדבר מחייב קבלת טופס מידע חתום בידי הממונה על החקירה במשטרה, ובו פרטים על החקירה או צו מעצר מבית המשפט וסקירה מודיעינית של המשטרה על אודות העצור. עם קליטת העצור בידי הממונה על רישום העצורים, מראיין אותו קצין מודיעין של שב"ס כדי לברר שאין בעיות מודיעיניות או ביטחוניות הרלוונטיות לקליטתו. סמוך לקליטתו באחד ממתקני שב"ס עליו לעבור גם בדיקות רפואיות ולפגוש בעובד סוציאלי.</w:t>
      </w:r>
    </w:p>
    <w:p w:rsidR="006259B3" w:rsidRPr="004547CD" w:rsidP="008A6D26">
      <w:pPr>
        <w:spacing w:after="120" w:line="230" w:lineRule="exact"/>
        <w:jc w:val="both"/>
        <w:rPr>
          <w:rFonts w:cs="FrankRuehl"/>
          <w:sz w:val="20"/>
          <w:szCs w:val="22"/>
        </w:rPr>
      </w:pPr>
      <w:r w:rsidRPr="004547CD">
        <w:rPr>
          <w:rFonts w:cs="FrankRuehl" w:hint="cs"/>
          <w:sz w:val="20"/>
          <w:szCs w:val="22"/>
          <w:rtl/>
        </w:rPr>
        <w:t xml:space="preserve">בשעות הערב והלילה נעשית הסעת העצורים למתקני הכליאה פעמים רבות בידי שוטרי הסיור, מאחר שאין בשעות אלה איסוף עצורים על ידי יחידת נחשון. שוטרי הסיור מתפנים מהמשימה המבצעית כדי להעביר את העצורים למתקן הכליאה, שלעתים ממוקם במרחק רב מהתחנה. כמו כן הם צריכים להמתין זמן ממושך עד סיום קליטת העצור בשב"ס, ובכך נפגעת הפעילות המבצעית שלהם. יצוין כי מתצפיות של חברה חיצונית, שבדקה בשנת 2011 את נושא ליווי העצורים והשמירה עליהם בתחנות המשטרה, עלה כי תהליך מסירת העצור לידי השב"ס בסוף הליווי הוא מסורבל וגוזל כשעה מזמנו של הסייר. </w:t>
      </w:r>
    </w:p>
    <w:p w:rsidR="006259B3" w:rsidRPr="004547CD" w:rsidP="008A6D26">
      <w:pPr>
        <w:pStyle w:val="ListParagraph"/>
        <w:numPr>
          <w:ilvl w:val="0"/>
          <w:numId w:val="6"/>
        </w:numPr>
        <w:spacing w:after="120" w:line="230" w:lineRule="exact"/>
        <w:contextualSpacing w:val="0"/>
        <w:jc w:val="both"/>
        <w:rPr>
          <w:rFonts w:ascii="Times New Roman" w:hAnsi="Times New Roman" w:cs="FrankRuehl"/>
          <w:sz w:val="20"/>
          <w:rtl/>
        </w:rPr>
      </w:pPr>
      <w:r w:rsidRPr="004547CD">
        <w:rPr>
          <w:rFonts w:ascii="Times New Roman" w:hAnsi="Times New Roman" w:cs="FrankRuehl" w:hint="eastAsia"/>
          <w:sz w:val="20"/>
          <w:rtl/>
        </w:rPr>
        <w:t>מחומרים</w:t>
      </w:r>
      <w:r w:rsidRPr="004547CD">
        <w:rPr>
          <w:rFonts w:ascii="Times New Roman" w:hAnsi="Times New Roman" w:cs="FrankRuehl"/>
          <w:sz w:val="20"/>
          <w:rtl/>
        </w:rPr>
        <w:t xml:space="preserve"> שנצברו </w:t>
      </w:r>
      <w:r w:rsidRPr="004547CD">
        <w:rPr>
          <w:rFonts w:ascii="Times New Roman" w:hAnsi="Times New Roman" w:cs="FrankRuehl" w:hint="eastAsia"/>
          <w:sz w:val="20"/>
          <w:rtl/>
        </w:rPr>
        <w:t>במשל</w:t>
      </w:r>
      <w:r w:rsidRPr="004547CD">
        <w:rPr>
          <w:rFonts w:ascii="Times New Roman" w:hAnsi="Times New Roman" w:cs="FrankRuehl"/>
          <w:sz w:val="20"/>
          <w:rtl/>
        </w:rPr>
        <w:t>"ט ו</w:t>
      </w:r>
      <w:r w:rsidRPr="004547CD">
        <w:rPr>
          <w:rFonts w:ascii="Times New Roman" w:hAnsi="Times New Roman" w:cs="FrankRuehl" w:hint="eastAsia"/>
          <w:sz w:val="20"/>
          <w:rtl/>
        </w:rPr>
        <w:t>מתכתובות</w:t>
      </w:r>
      <w:r w:rsidRPr="004547CD">
        <w:rPr>
          <w:rFonts w:ascii="Times New Roman" w:hAnsi="Times New Roman" w:cs="FrankRuehl"/>
          <w:sz w:val="20"/>
          <w:rtl/>
        </w:rPr>
        <w:t xml:space="preserve"> שנוהלו </w:t>
      </w:r>
      <w:r w:rsidRPr="004547CD">
        <w:rPr>
          <w:rFonts w:ascii="Times New Roman" w:hAnsi="Times New Roman" w:cs="FrankRuehl" w:hint="eastAsia"/>
          <w:sz w:val="20"/>
          <w:rtl/>
        </w:rPr>
        <w:t>במהלך</w:t>
      </w:r>
      <w:r w:rsidRPr="004547CD">
        <w:rPr>
          <w:rFonts w:ascii="Times New Roman" w:hAnsi="Times New Roman" w:cs="FrankRuehl"/>
          <w:sz w:val="20"/>
          <w:rtl/>
        </w:rPr>
        <w:t xml:space="preserve"> </w:t>
      </w:r>
      <w:r w:rsidRPr="004547CD">
        <w:rPr>
          <w:rFonts w:ascii="Times New Roman" w:hAnsi="Times New Roman" w:cs="FrankRuehl" w:hint="eastAsia"/>
          <w:sz w:val="20"/>
          <w:rtl/>
        </w:rPr>
        <w:t>השנים</w:t>
      </w:r>
      <w:r w:rsidRPr="004547CD">
        <w:rPr>
          <w:rFonts w:ascii="Times New Roman" w:hAnsi="Times New Roman" w:cs="FrankRuehl"/>
          <w:sz w:val="20"/>
          <w:rtl/>
        </w:rPr>
        <w:t xml:space="preserve"> </w:t>
      </w:r>
      <w:r w:rsidRPr="004547CD">
        <w:rPr>
          <w:rFonts w:ascii="Times New Roman" w:hAnsi="Times New Roman" w:cs="FrankRuehl" w:hint="cs"/>
          <w:sz w:val="20"/>
          <w:rtl/>
        </w:rPr>
        <w:t xml:space="preserve">שחלפו מאז הועברה האחריות לטיפול בעצורים מן המשטרה לשב"ס, </w:t>
      </w:r>
      <w:r w:rsidRPr="004547CD">
        <w:rPr>
          <w:rFonts w:ascii="Times New Roman" w:hAnsi="Times New Roman" w:cs="FrankRuehl"/>
          <w:sz w:val="20"/>
          <w:rtl/>
        </w:rPr>
        <w:t>עולה כי נתגל</w:t>
      </w:r>
      <w:r w:rsidRPr="004547CD">
        <w:rPr>
          <w:rFonts w:ascii="Times New Roman" w:hAnsi="Times New Roman" w:cs="FrankRuehl" w:hint="cs"/>
          <w:sz w:val="20"/>
          <w:rtl/>
        </w:rPr>
        <w:t>ע</w:t>
      </w:r>
      <w:r w:rsidRPr="004547CD">
        <w:rPr>
          <w:rFonts w:ascii="Times New Roman" w:hAnsi="Times New Roman" w:cs="FrankRuehl"/>
          <w:sz w:val="20"/>
          <w:rtl/>
        </w:rPr>
        <w:t xml:space="preserve">ו </w:t>
      </w:r>
      <w:r w:rsidRPr="004547CD">
        <w:rPr>
          <w:rFonts w:ascii="Times New Roman" w:hAnsi="Times New Roman" w:cs="FrankRuehl" w:hint="cs"/>
          <w:sz w:val="20"/>
          <w:rtl/>
        </w:rPr>
        <w:t>מחלוקות</w:t>
      </w:r>
      <w:r w:rsidRPr="004547CD">
        <w:rPr>
          <w:rFonts w:ascii="Times New Roman" w:hAnsi="Times New Roman" w:cs="FrankRuehl"/>
          <w:sz w:val="20"/>
          <w:rtl/>
        </w:rPr>
        <w:t xml:space="preserve"> </w:t>
      </w:r>
      <w:r w:rsidRPr="004547CD">
        <w:rPr>
          <w:rFonts w:ascii="Times New Roman" w:hAnsi="Times New Roman" w:cs="FrankRuehl" w:hint="cs"/>
          <w:sz w:val="20"/>
          <w:rtl/>
        </w:rPr>
        <w:t>רבות</w:t>
      </w:r>
      <w:r w:rsidRPr="004547CD">
        <w:rPr>
          <w:rFonts w:ascii="Times New Roman" w:hAnsi="Times New Roman" w:cs="FrankRuehl"/>
          <w:sz w:val="20"/>
          <w:rtl/>
        </w:rPr>
        <w:t xml:space="preserve"> </w:t>
      </w:r>
      <w:r w:rsidRPr="004547CD">
        <w:rPr>
          <w:rFonts w:ascii="Times New Roman" w:hAnsi="Times New Roman" w:cs="FrankRuehl" w:hint="eastAsia"/>
          <w:sz w:val="20"/>
          <w:rtl/>
        </w:rPr>
        <w:t>בפרשנות</w:t>
      </w:r>
      <w:r w:rsidRPr="004547CD">
        <w:rPr>
          <w:rFonts w:ascii="Times New Roman" w:hAnsi="Times New Roman" w:cs="FrankRuehl"/>
          <w:sz w:val="20"/>
          <w:rtl/>
        </w:rPr>
        <w:t xml:space="preserve"> </w:t>
      </w:r>
      <w:r w:rsidRPr="004547CD">
        <w:rPr>
          <w:rFonts w:ascii="Times New Roman" w:hAnsi="Times New Roman" w:cs="FrankRuehl" w:hint="eastAsia"/>
          <w:sz w:val="20"/>
          <w:rtl/>
        </w:rPr>
        <w:t>וביישום</w:t>
      </w:r>
      <w:r w:rsidRPr="004547CD">
        <w:rPr>
          <w:rFonts w:ascii="Times New Roman" w:hAnsi="Times New Roman" w:cs="FrankRuehl"/>
          <w:sz w:val="20"/>
          <w:rtl/>
        </w:rPr>
        <w:t xml:space="preserve"> </w:t>
      </w:r>
      <w:r w:rsidRPr="004547CD">
        <w:rPr>
          <w:rFonts w:ascii="Times New Roman" w:hAnsi="Times New Roman" w:cs="FrankRuehl" w:hint="cs"/>
          <w:sz w:val="20"/>
          <w:rtl/>
        </w:rPr>
        <w:t>של הסכמי ההבנות המחוזיים. המחלוקות נגעו בעיקר לנושאים הבאים:</w:t>
      </w:r>
    </w:p>
    <w:p w:rsidR="006259B3" w:rsidRPr="004547CD" w:rsidP="008A6D26">
      <w:pPr>
        <w:pStyle w:val="ListParagraph"/>
        <w:numPr>
          <w:ilvl w:val="1"/>
          <w:numId w:val="6"/>
        </w:numPr>
        <w:spacing w:after="240" w:line="230" w:lineRule="exact"/>
        <w:contextualSpacing w:val="0"/>
        <w:jc w:val="both"/>
        <w:rPr>
          <w:rFonts w:ascii="Times New Roman" w:hAnsi="Times New Roman" w:cs="FrankRuehl"/>
          <w:sz w:val="20"/>
          <w:rtl/>
        </w:rPr>
      </w:pPr>
      <w:r w:rsidRPr="004547CD">
        <w:rPr>
          <w:rStyle w:val="Heading7Char"/>
          <w:rFonts w:ascii="Times New Roman" w:hAnsi="Times New Roman" w:cs="FrankRuehl"/>
          <w:sz w:val="20"/>
          <w:szCs w:val="22"/>
          <w:rtl/>
        </w:rPr>
        <w:t>קליט</w:t>
      </w:r>
      <w:r w:rsidRPr="004547CD">
        <w:rPr>
          <w:rStyle w:val="Heading7Char"/>
          <w:rFonts w:ascii="Times New Roman" w:hAnsi="Times New Roman" w:cs="FrankRuehl" w:hint="eastAsia"/>
          <w:sz w:val="20"/>
          <w:szCs w:val="22"/>
          <w:rtl/>
        </w:rPr>
        <w:t>ת</w:t>
      </w:r>
      <w:r w:rsidRPr="004547CD">
        <w:rPr>
          <w:rStyle w:val="Heading7Char"/>
          <w:rFonts w:ascii="Times New Roman" w:hAnsi="Times New Roman" w:cs="FrankRuehl"/>
          <w:sz w:val="20"/>
          <w:szCs w:val="22"/>
          <w:rtl/>
        </w:rPr>
        <w:t xml:space="preserve"> </w:t>
      </w:r>
      <w:r w:rsidRPr="004547CD">
        <w:rPr>
          <w:rStyle w:val="Heading7Char"/>
          <w:rFonts w:ascii="Times New Roman" w:hAnsi="Times New Roman" w:cs="FrankRuehl" w:hint="eastAsia"/>
          <w:sz w:val="20"/>
          <w:szCs w:val="22"/>
          <w:rtl/>
        </w:rPr>
        <w:t>עצורים</w:t>
      </w:r>
      <w:r w:rsidRPr="004547CD">
        <w:rPr>
          <w:rFonts w:ascii="Times New Roman" w:hAnsi="Times New Roman" w:cs="FrankRuehl" w:hint="cs"/>
          <w:sz w:val="20"/>
          <w:rtl/>
        </w:rPr>
        <w:t xml:space="preserve">: בהסכמי ההבנות המחוזיים נקבע כי "הליך הקליטה בשב"ס ייעשה במהירות האפשרית". </w:t>
      </w:r>
      <w:r w:rsidRPr="004547CD">
        <w:rPr>
          <w:rFonts w:ascii="Times New Roman" w:hAnsi="Times New Roman" w:cs="FrankRuehl"/>
          <w:sz w:val="20"/>
          <w:rtl/>
        </w:rPr>
        <w:t xml:space="preserve">המשטרה </w:t>
      </w:r>
      <w:r w:rsidRPr="004547CD">
        <w:rPr>
          <w:rFonts w:ascii="Times New Roman" w:hAnsi="Times New Roman" w:cs="FrankRuehl" w:hint="cs"/>
          <w:sz w:val="20"/>
          <w:rtl/>
        </w:rPr>
        <w:t xml:space="preserve">טענה לא אחת כי אף </w:t>
      </w:r>
      <w:r w:rsidRPr="004547CD">
        <w:rPr>
          <w:rFonts w:ascii="Times New Roman" w:hAnsi="Times New Roman" w:cs="FrankRuehl"/>
          <w:sz w:val="20"/>
          <w:rtl/>
        </w:rPr>
        <w:t xml:space="preserve">שהעצורים מובאים </w:t>
      </w:r>
      <w:r w:rsidRPr="004547CD">
        <w:rPr>
          <w:rFonts w:ascii="Times New Roman" w:hAnsi="Times New Roman" w:cs="FrankRuehl" w:hint="cs"/>
          <w:sz w:val="20"/>
          <w:rtl/>
        </w:rPr>
        <w:t xml:space="preserve">למתקן הכליאה </w:t>
      </w:r>
      <w:r w:rsidRPr="004547CD">
        <w:rPr>
          <w:rFonts w:ascii="Times New Roman" w:hAnsi="Times New Roman" w:cs="FrankRuehl"/>
          <w:sz w:val="20"/>
          <w:rtl/>
        </w:rPr>
        <w:t xml:space="preserve">לאחר תיאום מוקדם ובהתאם לדרישות </w:t>
      </w:r>
      <w:r w:rsidRPr="004547CD">
        <w:rPr>
          <w:rFonts w:ascii="Times New Roman" w:hAnsi="Times New Roman" w:cs="FrankRuehl" w:hint="cs"/>
          <w:sz w:val="20"/>
          <w:rtl/>
        </w:rPr>
        <w:t>ה</w:t>
      </w:r>
      <w:r w:rsidRPr="004547CD">
        <w:rPr>
          <w:rFonts w:ascii="Times New Roman" w:hAnsi="Times New Roman" w:cs="FrankRuehl"/>
          <w:sz w:val="20"/>
          <w:rtl/>
        </w:rPr>
        <w:t xml:space="preserve">שב"ס, השוטרים מעוכבים זמן </w:t>
      </w:r>
      <w:r w:rsidRPr="004547CD">
        <w:rPr>
          <w:rFonts w:ascii="Times New Roman" w:hAnsi="Times New Roman" w:cs="FrankRuehl" w:hint="cs"/>
          <w:sz w:val="20"/>
          <w:rtl/>
        </w:rPr>
        <w:t>רב</w:t>
      </w:r>
      <w:r w:rsidRPr="004547CD">
        <w:rPr>
          <w:rFonts w:ascii="Times New Roman" w:hAnsi="Times New Roman" w:cs="FrankRuehl"/>
          <w:sz w:val="20"/>
          <w:rtl/>
        </w:rPr>
        <w:t xml:space="preserve"> בכניסה</w:t>
      </w:r>
      <w:r w:rsidRPr="004547CD">
        <w:rPr>
          <w:rFonts w:ascii="Times New Roman" w:hAnsi="Times New Roman" w:cs="FrankRuehl" w:hint="cs"/>
          <w:sz w:val="20"/>
          <w:rtl/>
        </w:rPr>
        <w:t xml:space="preserve"> למתקן, ו</w:t>
      </w:r>
      <w:r w:rsidRPr="004547CD">
        <w:rPr>
          <w:rFonts w:ascii="Times New Roman" w:hAnsi="Times New Roman" w:cs="FrankRuehl"/>
          <w:sz w:val="20"/>
          <w:rtl/>
        </w:rPr>
        <w:t xml:space="preserve">תהליך הקליטה </w:t>
      </w:r>
      <w:r w:rsidRPr="004547CD">
        <w:rPr>
          <w:rFonts w:ascii="Times New Roman" w:hAnsi="Times New Roman" w:cs="FrankRuehl" w:hint="cs"/>
          <w:sz w:val="20"/>
          <w:rtl/>
        </w:rPr>
        <w:t xml:space="preserve">הוא </w:t>
      </w:r>
      <w:r w:rsidRPr="004547CD">
        <w:rPr>
          <w:rFonts w:ascii="Times New Roman" w:hAnsi="Times New Roman" w:cs="FrankRuehl"/>
          <w:sz w:val="20"/>
          <w:rtl/>
        </w:rPr>
        <w:t>ארוך ומסורבל מאוד</w:t>
      </w:r>
      <w:r w:rsidRPr="004547CD">
        <w:rPr>
          <w:rFonts w:ascii="Times New Roman" w:hAnsi="Times New Roman" w:cs="FrankRuehl" w:hint="cs"/>
          <w:sz w:val="20"/>
          <w:rtl/>
        </w:rPr>
        <w:t xml:space="preserve">. יצוין כי העצור עובר לרשות שב"ס רק בתום הליך הקליטה, ועד לקליטתו הוא באחריות של המשטרה. לפי שב"ס, תהליך הקליטה חייב להיעשות בהתאם לנוהלי העבודה המחייבים, גם אם לדעת המשטרה הם נמשכים זמן ממושך. </w:t>
      </w:r>
    </w:p>
    <w:p w:rsidR="006259B3" w:rsidRPr="004547CD" w:rsidP="00511955">
      <w:pPr>
        <w:pStyle w:val="RESHET"/>
        <w:keepLines/>
        <w:ind w:left="907"/>
      </w:pPr>
      <w:r w:rsidRPr="004547CD">
        <w:rPr>
          <w:rFonts w:hint="cs"/>
          <w:rtl/>
        </w:rPr>
        <w:t xml:space="preserve">המחלוקות בעניין זה נמשכות מאז החלה העברת האחריות אל שב"ס בשלהי שנת 2007, אולם המשטרה ושב"ס לא יישבו אותן. </w:t>
      </w:r>
    </w:p>
    <w:p w:rsidR="006259B3" w:rsidRPr="004547CD" w:rsidP="008A6D26">
      <w:pPr>
        <w:pStyle w:val="ListParagraph"/>
        <w:numPr>
          <w:ilvl w:val="1"/>
          <w:numId w:val="6"/>
        </w:numPr>
        <w:spacing w:after="120" w:line="230" w:lineRule="exact"/>
        <w:contextualSpacing w:val="0"/>
        <w:jc w:val="both"/>
        <w:rPr>
          <w:rFonts w:ascii="Times New Roman" w:hAnsi="Times New Roman" w:cs="FrankRuehl"/>
          <w:sz w:val="20"/>
          <w:rtl/>
        </w:rPr>
      </w:pPr>
      <w:r w:rsidRPr="004547CD">
        <w:rPr>
          <w:rStyle w:val="Heading7Char"/>
          <w:rFonts w:ascii="Times New Roman" w:hAnsi="Times New Roman" w:cs="FrankRuehl" w:hint="eastAsia"/>
          <w:sz w:val="20"/>
          <w:szCs w:val="22"/>
          <w:rtl/>
        </w:rPr>
        <w:t>ליווי</w:t>
      </w:r>
      <w:r w:rsidRPr="004547CD">
        <w:rPr>
          <w:rStyle w:val="Heading7Char"/>
          <w:rFonts w:ascii="Times New Roman" w:hAnsi="Times New Roman" w:cs="FrankRuehl"/>
          <w:sz w:val="20"/>
          <w:szCs w:val="22"/>
          <w:rtl/>
        </w:rPr>
        <w:t xml:space="preserve"> </w:t>
      </w:r>
      <w:r w:rsidRPr="004547CD">
        <w:rPr>
          <w:rStyle w:val="Heading7Char"/>
          <w:rFonts w:ascii="Times New Roman" w:hAnsi="Times New Roman" w:cs="FrankRuehl" w:hint="eastAsia"/>
          <w:sz w:val="20"/>
          <w:szCs w:val="22"/>
          <w:rtl/>
        </w:rPr>
        <w:t>עצורים</w:t>
      </w:r>
      <w:r w:rsidRPr="004547CD">
        <w:rPr>
          <w:rStyle w:val="Heading7Char"/>
          <w:rFonts w:ascii="Times New Roman" w:hAnsi="Times New Roman" w:cs="FrankRuehl" w:hint="cs"/>
          <w:sz w:val="20"/>
          <w:szCs w:val="22"/>
          <w:rtl/>
        </w:rPr>
        <w:t>:</w:t>
      </w:r>
      <w:r w:rsidRPr="004547CD">
        <w:rPr>
          <w:rFonts w:ascii="Times New Roman" w:hAnsi="Times New Roman" w:cs="FrankRuehl" w:hint="cs"/>
          <w:sz w:val="20"/>
          <w:rtl/>
        </w:rPr>
        <w:t xml:space="preserve"> בהסכמי ההבנות נקבע ששב</w:t>
      </w:r>
      <w:r w:rsidRPr="004547CD">
        <w:rPr>
          <w:rFonts w:ascii="Times New Roman" w:hAnsi="Times New Roman" w:cs="FrankRuehl"/>
          <w:sz w:val="20"/>
          <w:rtl/>
        </w:rPr>
        <w:t>"</w:t>
      </w:r>
      <w:r w:rsidRPr="004547CD">
        <w:rPr>
          <w:rFonts w:ascii="Times New Roman" w:hAnsi="Times New Roman" w:cs="FrankRuehl" w:hint="cs"/>
          <w:sz w:val="20"/>
          <w:rtl/>
        </w:rPr>
        <w:t>ס</w:t>
      </w:r>
      <w:r w:rsidRPr="004547CD">
        <w:rPr>
          <w:rFonts w:ascii="Times New Roman" w:hAnsi="Times New Roman" w:cs="FrankRuehl"/>
          <w:sz w:val="20"/>
          <w:rtl/>
        </w:rPr>
        <w:t xml:space="preserve"> </w:t>
      </w:r>
      <w:r w:rsidRPr="004547CD">
        <w:rPr>
          <w:rFonts w:ascii="Times New Roman" w:hAnsi="Times New Roman" w:cs="FrankRuehl" w:hint="cs"/>
          <w:sz w:val="20"/>
          <w:rtl/>
        </w:rPr>
        <w:t xml:space="preserve">מתחייב לכך </w:t>
      </w:r>
      <w:r w:rsidRPr="004547CD">
        <w:rPr>
          <w:rFonts w:ascii="Times New Roman" w:hAnsi="Times New Roman" w:cs="FrankRuehl"/>
          <w:sz w:val="20"/>
          <w:rtl/>
        </w:rPr>
        <w:t xml:space="preserve">שקליטת העצורים תתבצע בכל ימות השנה </w:t>
      </w:r>
      <w:r w:rsidRPr="004547CD">
        <w:rPr>
          <w:rFonts w:ascii="Times New Roman" w:hAnsi="Times New Roman" w:cs="FrankRuehl" w:hint="cs"/>
          <w:sz w:val="20"/>
          <w:rtl/>
        </w:rPr>
        <w:t>וב</w:t>
      </w:r>
      <w:r w:rsidRPr="004547CD">
        <w:rPr>
          <w:rFonts w:ascii="Times New Roman" w:hAnsi="Times New Roman" w:cs="FrankRuehl"/>
          <w:sz w:val="20"/>
          <w:rtl/>
        </w:rPr>
        <w:t>משך כל שעות היממה</w:t>
      </w:r>
      <w:r w:rsidRPr="004547CD">
        <w:rPr>
          <w:rFonts w:ascii="Times New Roman" w:hAnsi="Times New Roman" w:cs="FrankRuehl" w:hint="cs"/>
          <w:sz w:val="20"/>
          <w:rtl/>
        </w:rPr>
        <w:t xml:space="preserve">. עוד נקבע בהם ש"שב"ס יהיה אחראי לשינוע הסעה וליווי של העצורים"; שהליוויים יתבצעו על פי מסלול מוסכם בתדירות של שני סבבים ביום, אחד בבוקר ואחד בערב, וכי הם יעברו בכל המקומות שאליהם או מהם נדרש לקחת או למסור עצור. </w:t>
      </w:r>
    </w:p>
    <w:p w:rsidR="006259B3" w:rsidRPr="004547CD" w:rsidP="00511955">
      <w:pPr>
        <w:spacing w:after="240" w:line="230" w:lineRule="exact"/>
        <w:ind w:left="680"/>
        <w:jc w:val="both"/>
        <w:rPr>
          <w:rFonts w:cs="FrankRuehl"/>
          <w:sz w:val="20"/>
          <w:szCs w:val="22"/>
          <w:rtl/>
        </w:rPr>
      </w:pPr>
      <w:r w:rsidRPr="004547CD">
        <w:rPr>
          <w:rFonts w:cs="FrankRuehl" w:hint="eastAsia"/>
          <w:sz w:val="20"/>
          <w:szCs w:val="22"/>
          <w:rtl/>
        </w:rPr>
        <w:t>בהסכמי</w:t>
      </w:r>
      <w:r w:rsidRPr="004547CD">
        <w:rPr>
          <w:rFonts w:cs="FrankRuehl" w:hint="cs"/>
          <w:sz w:val="20"/>
          <w:szCs w:val="22"/>
          <w:rtl/>
        </w:rPr>
        <w:t xml:space="preserve"> ההבנות</w:t>
      </w:r>
      <w:r w:rsidRPr="004547CD">
        <w:rPr>
          <w:rFonts w:cs="FrankRuehl"/>
          <w:sz w:val="20"/>
          <w:szCs w:val="22"/>
          <w:rtl/>
        </w:rPr>
        <w:t xml:space="preserve"> </w:t>
      </w:r>
      <w:r w:rsidRPr="004547CD">
        <w:rPr>
          <w:rFonts w:cs="FrankRuehl" w:hint="eastAsia"/>
          <w:sz w:val="20"/>
          <w:szCs w:val="22"/>
          <w:rtl/>
        </w:rPr>
        <w:t>נקבע</w:t>
      </w:r>
      <w:r w:rsidRPr="004547CD">
        <w:rPr>
          <w:rFonts w:cs="FrankRuehl"/>
          <w:sz w:val="20"/>
          <w:szCs w:val="22"/>
          <w:rtl/>
        </w:rPr>
        <w:t xml:space="preserve"> </w:t>
      </w:r>
      <w:r w:rsidRPr="004547CD">
        <w:rPr>
          <w:rFonts w:cs="FrankRuehl" w:hint="cs"/>
          <w:sz w:val="20"/>
          <w:szCs w:val="22"/>
          <w:rtl/>
        </w:rPr>
        <w:t>עוד</w:t>
      </w:r>
      <w:r w:rsidRPr="004547CD">
        <w:rPr>
          <w:rFonts w:cs="FrankRuehl"/>
          <w:sz w:val="20"/>
          <w:szCs w:val="22"/>
          <w:rtl/>
        </w:rPr>
        <w:t xml:space="preserve"> </w:t>
      </w:r>
      <w:r w:rsidRPr="004547CD">
        <w:rPr>
          <w:rFonts w:cs="FrankRuehl" w:hint="eastAsia"/>
          <w:sz w:val="20"/>
          <w:szCs w:val="22"/>
          <w:rtl/>
        </w:rPr>
        <w:t>שמתקני</w:t>
      </w:r>
      <w:r w:rsidRPr="004547CD">
        <w:rPr>
          <w:rFonts w:cs="FrankRuehl"/>
          <w:sz w:val="20"/>
          <w:szCs w:val="22"/>
          <w:rtl/>
        </w:rPr>
        <w:t xml:space="preserve"> </w:t>
      </w:r>
      <w:r w:rsidRPr="004547CD">
        <w:rPr>
          <w:rFonts w:cs="FrankRuehl" w:hint="eastAsia"/>
          <w:sz w:val="20"/>
          <w:szCs w:val="22"/>
          <w:rtl/>
        </w:rPr>
        <w:t>המעצר</w:t>
      </w:r>
      <w:r w:rsidRPr="004547CD">
        <w:rPr>
          <w:rFonts w:cs="FrankRuehl"/>
          <w:sz w:val="20"/>
          <w:szCs w:val="22"/>
          <w:rtl/>
        </w:rPr>
        <w:t xml:space="preserve"> </w:t>
      </w:r>
      <w:r w:rsidRPr="004547CD">
        <w:rPr>
          <w:rFonts w:cs="FrankRuehl" w:hint="eastAsia"/>
          <w:sz w:val="20"/>
          <w:szCs w:val="22"/>
          <w:rtl/>
        </w:rPr>
        <w:t>שבתוך</w:t>
      </w:r>
      <w:r w:rsidRPr="004547CD">
        <w:rPr>
          <w:rFonts w:cs="FrankRuehl"/>
          <w:sz w:val="20"/>
          <w:szCs w:val="22"/>
          <w:rtl/>
        </w:rPr>
        <w:t xml:space="preserve"> </w:t>
      </w:r>
      <w:r w:rsidRPr="004547CD">
        <w:rPr>
          <w:rFonts w:cs="FrankRuehl" w:hint="eastAsia"/>
          <w:sz w:val="20"/>
          <w:szCs w:val="22"/>
          <w:rtl/>
        </w:rPr>
        <w:t>התחנות</w:t>
      </w:r>
      <w:r w:rsidRPr="004547CD">
        <w:rPr>
          <w:rFonts w:cs="FrankRuehl"/>
          <w:sz w:val="20"/>
          <w:szCs w:val="22"/>
          <w:rtl/>
        </w:rPr>
        <w:t xml:space="preserve"> </w:t>
      </w:r>
      <w:r w:rsidRPr="004547CD">
        <w:rPr>
          <w:rFonts w:cs="FrankRuehl" w:hint="eastAsia"/>
          <w:sz w:val="20"/>
          <w:szCs w:val="22"/>
          <w:rtl/>
        </w:rPr>
        <w:t>לא</w:t>
      </w:r>
      <w:r w:rsidRPr="004547CD">
        <w:rPr>
          <w:rFonts w:cs="FrankRuehl"/>
          <w:sz w:val="20"/>
          <w:szCs w:val="22"/>
          <w:rtl/>
        </w:rPr>
        <w:t xml:space="preserve"> </w:t>
      </w:r>
      <w:r w:rsidRPr="004547CD">
        <w:rPr>
          <w:rFonts w:cs="FrankRuehl" w:hint="eastAsia"/>
          <w:sz w:val="20"/>
          <w:szCs w:val="22"/>
          <w:rtl/>
        </w:rPr>
        <w:t>יועברו</w:t>
      </w:r>
      <w:r w:rsidRPr="004547CD">
        <w:rPr>
          <w:rFonts w:cs="FrankRuehl"/>
          <w:sz w:val="20"/>
          <w:szCs w:val="22"/>
          <w:rtl/>
        </w:rPr>
        <w:t xml:space="preserve"> </w:t>
      </w:r>
      <w:r w:rsidRPr="004547CD">
        <w:rPr>
          <w:rFonts w:cs="FrankRuehl" w:hint="eastAsia"/>
          <w:sz w:val="20"/>
          <w:szCs w:val="22"/>
          <w:rtl/>
        </w:rPr>
        <w:t>לאחריות</w:t>
      </w:r>
      <w:r w:rsidRPr="004547CD">
        <w:rPr>
          <w:rFonts w:cs="FrankRuehl"/>
          <w:sz w:val="20"/>
          <w:szCs w:val="22"/>
          <w:rtl/>
        </w:rPr>
        <w:t xml:space="preserve"> </w:t>
      </w:r>
      <w:r w:rsidRPr="004547CD">
        <w:rPr>
          <w:rFonts w:cs="FrankRuehl" w:hint="cs"/>
          <w:sz w:val="20"/>
          <w:szCs w:val="22"/>
          <w:rtl/>
        </w:rPr>
        <w:t>שב</w:t>
      </w:r>
      <w:r w:rsidRPr="004547CD">
        <w:rPr>
          <w:rFonts w:cs="FrankRuehl"/>
          <w:sz w:val="20"/>
          <w:szCs w:val="22"/>
          <w:rtl/>
        </w:rPr>
        <w:t>"</w:t>
      </w:r>
      <w:r w:rsidRPr="004547CD">
        <w:rPr>
          <w:rFonts w:cs="FrankRuehl" w:hint="cs"/>
          <w:sz w:val="20"/>
          <w:szCs w:val="22"/>
          <w:rtl/>
        </w:rPr>
        <w:t>ס</w:t>
      </w:r>
      <w:r w:rsidRPr="004547CD">
        <w:rPr>
          <w:rFonts w:cs="FrankRuehl"/>
          <w:sz w:val="20"/>
          <w:szCs w:val="22"/>
          <w:rtl/>
        </w:rPr>
        <w:t xml:space="preserve"> </w:t>
      </w:r>
      <w:r w:rsidRPr="004547CD">
        <w:rPr>
          <w:rFonts w:cs="FrankRuehl" w:hint="eastAsia"/>
          <w:sz w:val="20"/>
          <w:szCs w:val="22"/>
          <w:rtl/>
        </w:rPr>
        <w:t>ויישארו</w:t>
      </w:r>
      <w:r w:rsidRPr="004547CD">
        <w:rPr>
          <w:rFonts w:cs="FrankRuehl"/>
          <w:sz w:val="20"/>
          <w:szCs w:val="22"/>
          <w:rtl/>
        </w:rPr>
        <w:t xml:space="preserve"> </w:t>
      </w:r>
      <w:r w:rsidRPr="004547CD">
        <w:rPr>
          <w:rFonts w:cs="FrankRuehl" w:hint="eastAsia"/>
          <w:sz w:val="20"/>
          <w:szCs w:val="22"/>
          <w:rtl/>
        </w:rPr>
        <w:t>בידי</w:t>
      </w:r>
      <w:r w:rsidRPr="004547CD">
        <w:rPr>
          <w:rFonts w:cs="FrankRuehl"/>
          <w:sz w:val="20"/>
          <w:szCs w:val="22"/>
          <w:rtl/>
        </w:rPr>
        <w:t xml:space="preserve"> </w:t>
      </w:r>
      <w:r w:rsidRPr="004547CD">
        <w:rPr>
          <w:rFonts w:cs="FrankRuehl" w:hint="eastAsia"/>
          <w:sz w:val="20"/>
          <w:szCs w:val="22"/>
          <w:rtl/>
        </w:rPr>
        <w:t>המשטרה</w:t>
      </w:r>
      <w:r w:rsidRPr="004547CD">
        <w:rPr>
          <w:rFonts w:cs="FrankRuehl" w:hint="cs"/>
          <w:sz w:val="20"/>
          <w:szCs w:val="22"/>
          <w:rtl/>
        </w:rPr>
        <w:t>, אולם</w:t>
      </w:r>
      <w:r w:rsidRPr="004547CD">
        <w:rPr>
          <w:rFonts w:cs="FrankRuehl"/>
          <w:sz w:val="20"/>
          <w:szCs w:val="22"/>
          <w:rtl/>
        </w:rPr>
        <w:t xml:space="preserve"> </w:t>
      </w:r>
      <w:r w:rsidRPr="004547CD">
        <w:rPr>
          <w:rFonts w:cs="FrankRuehl" w:hint="cs"/>
          <w:sz w:val="20"/>
          <w:szCs w:val="22"/>
          <w:rtl/>
        </w:rPr>
        <w:t>ה</w:t>
      </w:r>
      <w:r w:rsidRPr="004547CD">
        <w:rPr>
          <w:rFonts w:cs="FrankRuehl" w:hint="eastAsia"/>
          <w:sz w:val="20"/>
          <w:szCs w:val="22"/>
          <w:rtl/>
        </w:rPr>
        <w:t>וסכם</w:t>
      </w:r>
      <w:r w:rsidRPr="004547CD">
        <w:rPr>
          <w:rFonts w:cs="FrankRuehl"/>
          <w:sz w:val="20"/>
          <w:szCs w:val="22"/>
          <w:rtl/>
        </w:rPr>
        <w:t xml:space="preserve"> </w:t>
      </w:r>
      <w:r w:rsidRPr="004547CD">
        <w:rPr>
          <w:rFonts w:cs="FrankRuehl" w:hint="cs"/>
          <w:sz w:val="20"/>
          <w:szCs w:val="22"/>
          <w:rtl/>
        </w:rPr>
        <w:t>גם ש</w:t>
      </w:r>
      <w:r w:rsidRPr="004547CD">
        <w:rPr>
          <w:rFonts w:cs="FrankRuehl" w:hint="eastAsia"/>
          <w:sz w:val="20"/>
          <w:szCs w:val="22"/>
          <w:rtl/>
        </w:rPr>
        <w:t>עם</w:t>
      </w:r>
      <w:r w:rsidRPr="004547CD">
        <w:rPr>
          <w:rFonts w:cs="FrankRuehl"/>
          <w:sz w:val="20"/>
          <w:szCs w:val="22"/>
          <w:rtl/>
        </w:rPr>
        <w:t xml:space="preserve"> </w:t>
      </w:r>
      <w:r w:rsidRPr="004547CD">
        <w:rPr>
          <w:rFonts w:cs="FrankRuehl" w:hint="eastAsia"/>
          <w:sz w:val="20"/>
          <w:szCs w:val="22"/>
          <w:rtl/>
        </w:rPr>
        <w:t>העברת</w:t>
      </w:r>
      <w:r w:rsidRPr="004547CD">
        <w:rPr>
          <w:rFonts w:cs="FrankRuehl"/>
          <w:sz w:val="20"/>
          <w:szCs w:val="22"/>
          <w:rtl/>
        </w:rPr>
        <w:t xml:space="preserve"> </w:t>
      </w:r>
      <w:r w:rsidRPr="004547CD">
        <w:rPr>
          <w:rFonts w:cs="FrankRuehl" w:hint="eastAsia"/>
          <w:sz w:val="20"/>
          <w:szCs w:val="22"/>
          <w:rtl/>
        </w:rPr>
        <w:t>בתי</w:t>
      </w:r>
      <w:r w:rsidRPr="004547CD">
        <w:rPr>
          <w:rFonts w:cs="FrankRuehl"/>
          <w:sz w:val="20"/>
          <w:szCs w:val="22"/>
          <w:rtl/>
        </w:rPr>
        <w:t xml:space="preserve"> </w:t>
      </w:r>
      <w:r w:rsidRPr="004547CD">
        <w:rPr>
          <w:rFonts w:cs="FrankRuehl" w:hint="eastAsia"/>
          <w:sz w:val="20"/>
          <w:szCs w:val="22"/>
          <w:rtl/>
        </w:rPr>
        <w:t>המעצר</w:t>
      </w:r>
      <w:r w:rsidRPr="004547CD">
        <w:rPr>
          <w:rFonts w:cs="FrankRuehl"/>
          <w:sz w:val="20"/>
          <w:szCs w:val="22"/>
          <w:rtl/>
        </w:rPr>
        <w:t xml:space="preserve"> </w:t>
      </w:r>
      <w:r w:rsidRPr="004547CD">
        <w:rPr>
          <w:rFonts w:cs="FrankRuehl" w:hint="eastAsia"/>
          <w:sz w:val="20"/>
          <w:szCs w:val="22"/>
          <w:rtl/>
        </w:rPr>
        <w:t>לא</w:t>
      </w:r>
      <w:r w:rsidRPr="004547CD">
        <w:rPr>
          <w:rFonts w:cs="FrankRuehl"/>
          <w:sz w:val="20"/>
          <w:szCs w:val="22"/>
          <w:rtl/>
        </w:rPr>
        <w:t xml:space="preserve"> </w:t>
      </w:r>
      <w:r w:rsidRPr="004547CD">
        <w:rPr>
          <w:rFonts w:cs="FrankRuehl" w:hint="eastAsia"/>
          <w:sz w:val="20"/>
          <w:szCs w:val="22"/>
          <w:rtl/>
        </w:rPr>
        <w:t>יוחזקו</w:t>
      </w:r>
      <w:r w:rsidRPr="004547CD">
        <w:rPr>
          <w:rFonts w:cs="FrankRuehl"/>
          <w:sz w:val="20"/>
          <w:szCs w:val="22"/>
          <w:rtl/>
        </w:rPr>
        <w:t xml:space="preserve"> </w:t>
      </w:r>
      <w:r w:rsidRPr="004547CD">
        <w:rPr>
          <w:rFonts w:cs="FrankRuehl" w:hint="eastAsia"/>
          <w:sz w:val="20"/>
          <w:szCs w:val="22"/>
          <w:rtl/>
        </w:rPr>
        <w:t>יותר</w:t>
      </w:r>
      <w:r w:rsidRPr="004547CD">
        <w:rPr>
          <w:rFonts w:cs="FrankRuehl"/>
          <w:sz w:val="20"/>
          <w:szCs w:val="22"/>
          <w:rtl/>
        </w:rPr>
        <w:t xml:space="preserve"> </w:t>
      </w:r>
      <w:r w:rsidRPr="004547CD">
        <w:rPr>
          <w:rFonts w:cs="FrankRuehl" w:hint="eastAsia"/>
          <w:sz w:val="20"/>
          <w:szCs w:val="22"/>
          <w:rtl/>
        </w:rPr>
        <w:t>עצורים</w:t>
      </w:r>
      <w:r w:rsidRPr="004547CD">
        <w:rPr>
          <w:rFonts w:cs="FrankRuehl"/>
          <w:sz w:val="20"/>
          <w:szCs w:val="22"/>
          <w:rtl/>
        </w:rPr>
        <w:t xml:space="preserve"> </w:t>
      </w:r>
      <w:r w:rsidRPr="004547CD">
        <w:rPr>
          <w:rFonts w:cs="FrankRuehl" w:hint="cs"/>
          <w:sz w:val="20"/>
          <w:szCs w:val="22"/>
          <w:rtl/>
        </w:rPr>
        <w:t>ב</w:t>
      </w:r>
      <w:r w:rsidRPr="004547CD">
        <w:rPr>
          <w:rFonts w:cs="FrankRuehl" w:hint="eastAsia"/>
          <w:sz w:val="20"/>
          <w:szCs w:val="22"/>
          <w:rtl/>
        </w:rPr>
        <w:t>ידי</w:t>
      </w:r>
      <w:r w:rsidRPr="004547CD">
        <w:rPr>
          <w:rFonts w:cs="FrankRuehl"/>
          <w:sz w:val="20"/>
          <w:szCs w:val="22"/>
          <w:rtl/>
        </w:rPr>
        <w:t xml:space="preserve"> </w:t>
      </w:r>
      <w:r w:rsidRPr="004547CD">
        <w:rPr>
          <w:rFonts w:cs="FrankRuehl" w:hint="eastAsia"/>
          <w:sz w:val="20"/>
          <w:szCs w:val="22"/>
          <w:rtl/>
        </w:rPr>
        <w:t>המשטרה</w:t>
      </w:r>
      <w:r w:rsidRPr="004547CD">
        <w:rPr>
          <w:rFonts w:cs="FrankRuehl" w:hint="cs"/>
          <w:sz w:val="20"/>
          <w:szCs w:val="22"/>
          <w:rtl/>
        </w:rPr>
        <w:t xml:space="preserve">, והיא </w:t>
      </w:r>
      <w:r w:rsidRPr="004547CD">
        <w:rPr>
          <w:rFonts w:cs="FrankRuehl" w:hint="eastAsia"/>
          <w:sz w:val="20"/>
          <w:szCs w:val="22"/>
          <w:rtl/>
        </w:rPr>
        <w:t>תוכל</w:t>
      </w:r>
      <w:r w:rsidRPr="004547CD">
        <w:rPr>
          <w:rFonts w:cs="FrankRuehl"/>
          <w:sz w:val="20"/>
          <w:szCs w:val="22"/>
          <w:rtl/>
        </w:rPr>
        <w:t xml:space="preserve"> </w:t>
      </w:r>
      <w:r w:rsidRPr="004547CD">
        <w:rPr>
          <w:rFonts w:cs="FrankRuehl" w:hint="eastAsia"/>
          <w:sz w:val="20"/>
          <w:szCs w:val="22"/>
          <w:rtl/>
        </w:rPr>
        <w:t>להחזיק</w:t>
      </w:r>
      <w:r w:rsidRPr="004547CD">
        <w:rPr>
          <w:rFonts w:cs="FrankRuehl"/>
          <w:sz w:val="20"/>
          <w:szCs w:val="22"/>
          <w:rtl/>
        </w:rPr>
        <w:t xml:space="preserve"> </w:t>
      </w:r>
      <w:r w:rsidRPr="004547CD">
        <w:rPr>
          <w:rFonts w:cs="FrankRuehl" w:hint="eastAsia"/>
          <w:sz w:val="20"/>
          <w:szCs w:val="22"/>
          <w:rtl/>
        </w:rPr>
        <w:t>עצורים</w:t>
      </w:r>
      <w:r w:rsidRPr="004547CD">
        <w:rPr>
          <w:rFonts w:cs="FrankRuehl"/>
          <w:sz w:val="20"/>
          <w:szCs w:val="22"/>
          <w:rtl/>
        </w:rPr>
        <w:t xml:space="preserve"> </w:t>
      </w:r>
      <w:r w:rsidRPr="004547CD">
        <w:rPr>
          <w:rFonts w:cs="FrankRuehl" w:hint="eastAsia"/>
          <w:sz w:val="20"/>
          <w:szCs w:val="22"/>
          <w:rtl/>
        </w:rPr>
        <w:t>בתחנה</w:t>
      </w:r>
      <w:r w:rsidRPr="004547CD">
        <w:rPr>
          <w:rFonts w:cs="FrankRuehl"/>
          <w:sz w:val="20"/>
          <w:szCs w:val="22"/>
          <w:rtl/>
        </w:rPr>
        <w:t xml:space="preserve"> </w:t>
      </w:r>
      <w:r w:rsidRPr="004547CD">
        <w:rPr>
          <w:rFonts w:cs="FrankRuehl" w:hint="eastAsia"/>
          <w:sz w:val="20"/>
          <w:szCs w:val="22"/>
          <w:rtl/>
        </w:rPr>
        <w:t>למשך</w:t>
      </w:r>
      <w:r w:rsidRPr="004547CD">
        <w:rPr>
          <w:rFonts w:cs="FrankRuehl"/>
          <w:sz w:val="20"/>
          <w:szCs w:val="22"/>
          <w:rtl/>
        </w:rPr>
        <w:t xml:space="preserve"> </w:t>
      </w:r>
      <w:r w:rsidRPr="004547CD">
        <w:rPr>
          <w:rFonts w:cs="FrankRuehl" w:hint="eastAsia"/>
          <w:sz w:val="20"/>
          <w:szCs w:val="22"/>
          <w:rtl/>
        </w:rPr>
        <w:t>שעות</w:t>
      </w:r>
      <w:r w:rsidRPr="004547CD">
        <w:rPr>
          <w:rFonts w:cs="FrankRuehl"/>
          <w:sz w:val="20"/>
          <w:szCs w:val="22"/>
          <w:rtl/>
        </w:rPr>
        <w:t xml:space="preserve"> </w:t>
      </w:r>
      <w:r w:rsidRPr="004547CD">
        <w:rPr>
          <w:rFonts w:cs="FrankRuehl" w:hint="eastAsia"/>
          <w:sz w:val="20"/>
          <w:szCs w:val="22"/>
          <w:rtl/>
        </w:rPr>
        <w:t>ספורות</w:t>
      </w:r>
      <w:r w:rsidRPr="004547CD">
        <w:rPr>
          <w:rFonts w:cs="FrankRuehl" w:hint="cs"/>
          <w:sz w:val="20"/>
          <w:szCs w:val="22"/>
          <w:rtl/>
        </w:rPr>
        <w:t xml:space="preserve"> בלבד</w:t>
      </w:r>
      <w:r w:rsidRPr="004547CD">
        <w:rPr>
          <w:rFonts w:cs="FrankRuehl"/>
          <w:sz w:val="20"/>
          <w:szCs w:val="22"/>
          <w:rtl/>
        </w:rPr>
        <w:t>.</w:t>
      </w:r>
    </w:p>
    <w:p w:rsidR="006259B3" w:rsidRPr="004547CD" w:rsidP="00511955">
      <w:pPr>
        <w:pStyle w:val="RESHET"/>
        <w:keepLines/>
        <w:ind w:left="907"/>
        <w:rPr>
          <w:rtl/>
        </w:rPr>
      </w:pPr>
      <w:r w:rsidRPr="004547CD">
        <w:rPr>
          <w:rFonts w:hint="cs"/>
          <w:rtl/>
        </w:rPr>
        <w:t>נמצא כי המשטרה ושב</w:t>
      </w:r>
      <w:r w:rsidRPr="004547CD">
        <w:rPr>
          <w:rtl/>
        </w:rPr>
        <w:t>"</w:t>
      </w:r>
      <w:r w:rsidRPr="004547CD">
        <w:rPr>
          <w:rFonts w:hint="cs"/>
          <w:rtl/>
        </w:rPr>
        <w:t>ס חלוקים כבר כמה שנים בנוגע לפרשנות של יישום שני הסבבים. לפי גרסת השב"ס, סבב הבוקר מפזר עצורים בין בתי המשפט ותחנות המשטרה, וסבב הערב אוסף את העצורים ומחזירם למתקני הכליאה. לפי גרסת המשטרה כל סבב צריך לכלול גם פיזור וגם איסוף עצורים. חילוקי דעות נוספים התעוררו עקב סירוב שב</w:t>
      </w:r>
      <w:r w:rsidRPr="004547CD">
        <w:rPr>
          <w:rtl/>
        </w:rPr>
        <w:t>"</w:t>
      </w:r>
      <w:r w:rsidRPr="004547CD">
        <w:rPr>
          <w:rFonts w:hint="cs"/>
          <w:rtl/>
        </w:rPr>
        <w:t>ס להביא או להחזיר עצורים ליחידות שאין בהן תאי שהייה</w:t>
      </w:r>
      <w:r>
        <w:rPr>
          <w:vertAlign w:val="superscript"/>
          <w:rtl/>
        </w:rPr>
        <w:footnoteReference w:id="16"/>
      </w:r>
      <w:r w:rsidRPr="004547CD">
        <w:rPr>
          <w:rFonts w:hint="cs"/>
          <w:rtl/>
        </w:rPr>
        <w:t xml:space="preserve">, דבר שבעטיו שוטרים נאלצו לבצע ליוויים אלו. </w:t>
      </w:r>
    </w:p>
    <w:p w:rsidR="006259B3" w:rsidRPr="004547CD" w:rsidP="00511955">
      <w:pPr>
        <w:spacing w:before="180" w:after="120" w:line="230" w:lineRule="exact"/>
        <w:ind w:left="680"/>
        <w:jc w:val="both"/>
        <w:rPr>
          <w:rFonts w:cs="FrankRuehl"/>
          <w:sz w:val="20"/>
          <w:szCs w:val="22"/>
          <w:rtl/>
        </w:rPr>
      </w:pPr>
      <w:r w:rsidRPr="004547CD">
        <w:rPr>
          <w:rFonts w:cs="FrankRuehl" w:hint="cs"/>
          <w:sz w:val="20"/>
          <w:szCs w:val="22"/>
          <w:rtl/>
        </w:rPr>
        <w:t>מחלוקת אחרת בין שב</w:t>
      </w:r>
      <w:r w:rsidRPr="004547CD">
        <w:rPr>
          <w:rFonts w:cs="FrankRuehl"/>
          <w:sz w:val="20"/>
          <w:szCs w:val="22"/>
          <w:rtl/>
        </w:rPr>
        <w:t>"</w:t>
      </w:r>
      <w:r w:rsidRPr="004547CD">
        <w:rPr>
          <w:rFonts w:cs="FrankRuehl" w:hint="cs"/>
          <w:sz w:val="20"/>
          <w:szCs w:val="22"/>
          <w:rtl/>
        </w:rPr>
        <w:t xml:space="preserve">ס ומשטרת ישראל נוצרה סביב השאלה מי מהגופים אחראי לליווי עצור להקראת כתב אישום נגדו בבית המשפט. היו מקרים שבהם שוטרי היחידה המרכזית של המשטרה שחקרה את העצור נאלצו ללוותו לדיון בבית המשפט כדי שלא ישוחרר. באחד מן המקרים האלו, שהתרחש באפריל 2012, כתב קצין התשאול במחוז מרכז במשטרה כי </w:t>
      </w:r>
      <w:r w:rsidRPr="004547CD">
        <w:rPr>
          <w:rFonts w:cs="FrankRuehl" w:hint="eastAsia"/>
          <w:sz w:val="20"/>
          <w:szCs w:val="22"/>
          <w:rtl/>
        </w:rPr>
        <w:t>אין</w:t>
      </w:r>
      <w:r w:rsidRPr="004547CD">
        <w:rPr>
          <w:rFonts w:cs="FrankRuehl" w:hint="cs"/>
          <w:sz w:val="20"/>
          <w:szCs w:val="22"/>
          <w:rtl/>
        </w:rPr>
        <w:t xml:space="preserve"> מדובר כאן במקרה חריג כלל, והוא רק בבחינת טיפה בים, המעידה על התנהלות יום יומית לקויה וחסרת כל היגיון מערכתי. הוא הוסיף כי "בסופה של כל תקלה עומדת משטרת ישראל ומתקנת את מצב, אולם, איתנה ככל שתהיה המשטרה, אין היא מבצעת את תפקידה כלל בעשותה כן, שכן ליווי אינו משימתה בימי שגרה וישנו גוף מיוחד שהוקם אך ורק לשם כך". לדבריו, כח המשטרה שעורך את הליווי נגרע באותו הזמן ממשימתו האמתית; משהו לקוי בתהליך העבודה של מערך הליווי הארצי, מצב שאינו סביר ואשר חייב להיפתר במהירות האפשרית. הוא הוסיף כי תקלות חוזרות ונשנות מסוג זה קורות באופן יומיומי ובתדירות גבוהה, וכי הסכמי ההבנות לא הורידו את נטל הליווי מהמשטרה. בסיום כתב ש"המטרה הייתה ייעול העבודה אך בפועל שני הארגונים מתבזים בפני בית המשפט כאשר עצור אינו מובא לדיונו".</w:t>
      </w:r>
      <w:r w:rsidRPr="004547CD">
        <w:rPr>
          <w:rFonts w:cs="FrankRuehl" w:hint="cs"/>
          <w:sz w:val="20"/>
          <w:szCs w:val="22"/>
          <w:rtl/>
        </w:rPr>
        <w:t xml:space="preserve"> </w:t>
      </w:r>
      <w:r w:rsidRPr="004547CD">
        <w:rPr>
          <w:rFonts w:cs="FrankRuehl" w:hint="cs"/>
          <w:sz w:val="20"/>
          <w:szCs w:val="22"/>
          <w:rtl/>
        </w:rPr>
        <w:t xml:space="preserve">בפועל גם זכויותיו של העצור נרמסות. </w:t>
      </w:r>
    </w:p>
    <w:p w:rsidR="006259B3" w:rsidRPr="004547CD" w:rsidP="00511955">
      <w:pPr>
        <w:spacing w:after="240" w:line="230" w:lineRule="exact"/>
        <w:ind w:left="680"/>
        <w:jc w:val="both"/>
        <w:rPr>
          <w:rFonts w:cs="FrankRuehl"/>
          <w:sz w:val="20"/>
          <w:szCs w:val="22"/>
          <w:rtl/>
        </w:rPr>
      </w:pPr>
      <w:r w:rsidRPr="004547CD">
        <w:rPr>
          <w:rFonts w:cs="FrankRuehl" w:hint="cs"/>
          <w:sz w:val="20"/>
          <w:szCs w:val="22"/>
          <w:rtl/>
        </w:rPr>
        <w:t xml:space="preserve">זאת ועוד, מהמסמכים עולה שישנם מקרים שבהם </w:t>
      </w:r>
      <w:r w:rsidRPr="004547CD">
        <w:rPr>
          <w:rFonts w:cs="FrankRuehl" w:hint="eastAsia"/>
          <w:sz w:val="20"/>
          <w:szCs w:val="22"/>
          <w:rtl/>
        </w:rPr>
        <w:t>שב</w:t>
      </w:r>
      <w:r w:rsidRPr="004547CD">
        <w:rPr>
          <w:rFonts w:cs="FrankRuehl"/>
          <w:sz w:val="20"/>
          <w:szCs w:val="22"/>
          <w:rtl/>
        </w:rPr>
        <w:t xml:space="preserve">"ס </w:t>
      </w:r>
      <w:r w:rsidRPr="004547CD">
        <w:rPr>
          <w:rFonts w:cs="FrankRuehl" w:hint="eastAsia"/>
          <w:sz w:val="20"/>
          <w:szCs w:val="22"/>
          <w:rtl/>
        </w:rPr>
        <w:t>לא</w:t>
      </w:r>
      <w:r w:rsidRPr="004547CD">
        <w:rPr>
          <w:rFonts w:cs="FrankRuehl"/>
          <w:sz w:val="20"/>
          <w:szCs w:val="22"/>
          <w:rtl/>
        </w:rPr>
        <w:t xml:space="preserve"> </w:t>
      </w:r>
      <w:r w:rsidRPr="004547CD">
        <w:rPr>
          <w:rFonts w:cs="FrankRuehl" w:hint="eastAsia"/>
          <w:sz w:val="20"/>
          <w:szCs w:val="22"/>
          <w:rtl/>
        </w:rPr>
        <w:t>קלט</w:t>
      </w:r>
      <w:r w:rsidRPr="004547CD">
        <w:rPr>
          <w:rFonts w:cs="FrankRuehl"/>
          <w:sz w:val="20"/>
          <w:szCs w:val="22"/>
          <w:rtl/>
        </w:rPr>
        <w:t xml:space="preserve"> </w:t>
      </w:r>
      <w:r w:rsidRPr="004547CD">
        <w:rPr>
          <w:rFonts w:cs="FrankRuehl" w:hint="eastAsia"/>
          <w:sz w:val="20"/>
          <w:szCs w:val="22"/>
          <w:rtl/>
        </w:rPr>
        <w:t>עצורים</w:t>
      </w:r>
      <w:r w:rsidRPr="004547CD">
        <w:rPr>
          <w:rFonts w:cs="FrankRuehl"/>
          <w:sz w:val="20"/>
          <w:szCs w:val="22"/>
          <w:rtl/>
        </w:rPr>
        <w:t xml:space="preserve"> </w:t>
      </w:r>
      <w:r w:rsidRPr="004547CD">
        <w:rPr>
          <w:rFonts w:cs="FrankRuehl" w:hint="cs"/>
          <w:sz w:val="20"/>
          <w:szCs w:val="22"/>
          <w:rtl/>
        </w:rPr>
        <w:t>ב</w:t>
      </w:r>
      <w:r w:rsidRPr="004547CD">
        <w:rPr>
          <w:rFonts w:cs="FrankRuehl" w:hint="eastAsia"/>
          <w:sz w:val="20"/>
          <w:szCs w:val="22"/>
          <w:rtl/>
        </w:rPr>
        <w:t>בתי</w:t>
      </w:r>
      <w:r w:rsidRPr="004547CD">
        <w:rPr>
          <w:rFonts w:cs="FrankRuehl"/>
          <w:sz w:val="20"/>
          <w:szCs w:val="22"/>
          <w:rtl/>
        </w:rPr>
        <w:t xml:space="preserve"> </w:t>
      </w:r>
      <w:r w:rsidRPr="004547CD">
        <w:rPr>
          <w:rFonts w:cs="FrankRuehl" w:hint="eastAsia"/>
          <w:sz w:val="20"/>
          <w:szCs w:val="22"/>
          <w:rtl/>
        </w:rPr>
        <w:t>המעצר</w:t>
      </w:r>
      <w:r w:rsidRPr="004547CD">
        <w:rPr>
          <w:rFonts w:cs="FrankRuehl"/>
          <w:sz w:val="20"/>
          <w:szCs w:val="22"/>
          <w:rtl/>
        </w:rPr>
        <w:t xml:space="preserve"> </w:t>
      </w:r>
      <w:r w:rsidRPr="004547CD">
        <w:rPr>
          <w:rFonts w:cs="FrankRuehl" w:hint="eastAsia"/>
          <w:sz w:val="20"/>
          <w:szCs w:val="22"/>
          <w:rtl/>
        </w:rPr>
        <w:t>הטריטוריאליים</w:t>
      </w:r>
      <w:r w:rsidRPr="004547CD">
        <w:rPr>
          <w:rFonts w:cs="FrankRuehl" w:hint="cs"/>
          <w:sz w:val="20"/>
          <w:szCs w:val="22"/>
          <w:rtl/>
        </w:rPr>
        <w:t>, וזאת</w:t>
      </w:r>
      <w:r w:rsidRPr="004547CD">
        <w:rPr>
          <w:rFonts w:cs="FrankRuehl"/>
          <w:sz w:val="20"/>
          <w:szCs w:val="22"/>
          <w:rtl/>
        </w:rPr>
        <w:t xml:space="preserve"> </w:t>
      </w:r>
      <w:r w:rsidRPr="004547CD">
        <w:rPr>
          <w:rFonts w:cs="FrankRuehl" w:hint="cs"/>
          <w:sz w:val="20"/>
          <w:szCs w:val="22"/>
          <w:rtl/>
        </w:rPr>
        <w:t xml:space="preserve">מסיבות שונות שהעיקריות בהן היו </w:t>
      </w:r>
      <w:r w:rsidRPr="004547CD">
        <w:rPr>
          <w:rFonts w:cs="FrankRuehl" w:hint="eastAsia"/>
          <w:sz w:val="20"/>
          <w:szCs w:val="22"/>
          <w:rtl/>
        </w:rPr>
        <w:t>מגבל</w:t>
      </w:r>
      <w:r w:rsidRPr="004547CD">
        <w:rPr>
          <w:rFonts w:cs="FrankRuehl" w:hint="cs"/>
          <w:sz w:val="20"/>
          <w:szCs w:val="22"/>
          <w:rtl/>
        </w:rPr>
        <w:t>ה</w:t>
      </w:r>
      <w:r w:rsidRPr="004547CD">
        <w:rPr>
          <w:rFonts w:cs="FrankRuehl"/>
          <w:sz w:val="20"/>
          <w:szCs w:val="22"/>
          <w:rtl/>
        </w:rPr>
        <w:t xml:space="preserve"> </w:t>
      </w:r>
      <w:r w:rsidRPr="004547CD">
        <w:rPr>
          <w:rFonts w:cs="FrankRuehl" w:hint="cs"/>
          <w:sz w:val="20"/>
          <w:szCs w:val="22"/>
          <w:rtl/>
        </w:rPr>
        <w:t>ב</w:t>
      </w:r>
      <w:r w:rsidRPr="004547CD">
        <w:rPr>
          <w:rFonts w:cs="FrankRuehl" w:hint="eastAsia"/>
          <w:sz w:val="20"/>
          <w:szCs w:val="22"/>
          <w:rtl/>
        </w:rPr>
        <w:t>מקומות</w:t>
      </w:r>
      <w:r w:rsidRPr="004547CD">
        <w:rPr>
          <w:rFonts w:cs="FrankRuehl" w:hint="cs"/>
          <w:sz w:val="20"/>
          <w:szCs w:val="22"/>
          <w:rtl/>
        </w:rPr>
        <w:t xml:space="preserve"> כליאה או</w:t>
      </w:r>
      <w:r w:rsidRPr="004547CD">
        <w:rPr>
          <w:rFonts w:cs="FrankRuehl"/>
          <w:sz w:val="20"/>
          <w:szCs w:val="22"/>
          <w:rtl/>
        </w:rPr>
        <w:t xml:space="preserve"> </w:t>
      </w:r>
      <w:r w:rsidRPr="004547CD">
        <w:rPr>
          <w:rFonts w:cs="FrankRuehl" w:hint="eastAsia"/>
          <w:sz w:val="20"/>
          <w:szCs w:val="22"/>
          <w:rtl/>
        </w:rPr>
        <w:t>סכסוכים</w:t>
      </w:r>
      <w:r w:rsidRPr="004547CD">
        <w:rPr>
          <w:rFonts w:cs="FrankRuehl"/>
          <w:sz w:val="20"/>
          <w:szCs w:val="22"/>
          <w:rtl/>
        </w:rPr>
        <w:t xml:space="preserve"> </w:t>
      </w:r>
      <w:r w:rsidRPr="004547CD">
        <w:rPr>
          <w:rFonts w:cs="FrankRuehl" w:hint="cs"/>
          <w:sz w:val="20"/>
          <w:szCs w:val="22"/>
          <w:rtl/>
        </w:rPr>
        <w:t>בין עצורים</w:t>
      </w:r>
      <w:r w:rsidRPr="004547CD">
        <w:rPr>
          <w:rFonts w:cs="FrankRuehl"/>
          <w:sz w:val="20"/>
          <w:szCs w:val="22"/>
          <w:rtl/>
        </w:rPr>
        <w:t xml:space="preserve">. </w:t>
      </w:r>
      <w:r w:rsidRPr="004547CD">
        <w:rPr>
          <w:rFonts w:cs="FrankRuehl" w:hint="cs"/>
          <w:sz w:val="20"/>
          <w:szCs w:val="22"/>
          <w:rtl/>
        </w:rPr>
        <w:t xml:space="preserve">עקב כך נאלצו יחידות הסיור המשטרתיות להסיע את העצורים לבתי כליאה המרוחקים מהגזרה שבה הם פועלים </w:t>
      </w:r>
      <w:r w:rsidRPr="004547CD" w:rsidR="00800D9F">
        <w:rPr>
          <w:rFonts w:cs="FrankRuehl"/>
          <w:sz w:val="20"/>
          <w:szCs w:val="22"/>
          <w:rtl/>
        </w:rPr>
        <w:t>-</w:t>
      </w:r>
      <w:r w:rsidRPr="004547CD">
        <w:rPr>
          <w:rFonts w:cs="FrankRuehl" w:hint="cs"/>
          <w:sz w:val="20"/>
          <w:szCs w:val="22"/>
          <w:rtl/>
        </w:rPr>
        <w:t xml:space="preserve"> מצב שהוביל לבזבוז שעות עבודה רבות של המשטרה. </w:t>
      </w:r>
    </w:p>
    <w:p w:rsidR="006259B3" w:rsidRPr="004547CD" w:rsidP="00511955">
      <w:pPr>
        <w:pStyle w:val="RESHET"/>
        <w:keepLines/>
        <w:ind w:left="907"/>
        <w:rPr>
          <w:rtl/>
        </w:rPr>
      </w:pPr>
      <w:r w:rsidRPr="004547CD">
        <w:rPr>
          <w:rFonts w:hint="cs"/>
          <w:rtl/>
        </w:rPr>
        <w:t xml:space="preserve">משרד מבקר המדינה מעיר שמנתוני המשטרה עולה כי המטרה שעמדה ביסוד החלטתו של השר לבט"פ, העברה של העיסוק במשמורת עצורים מהמשטרה, לא הושגה במלואה: המשטרה המשיכה לבצע - באמצעות שוטרים בניידות סיור - </w:t>
      </w:r>
      <w:r w:rsidR="00500281">
        <w:br/>
      </w:r>
      <w:r w:rsidRPr="004547CD">
        <w:rPr>
          <w:rFonts w:hint="cs"/>
          <w:rtl/>
        </w:rPr>
        <w:t>כ-20,000 ליוויים בשנה. כמו כן המשיכה המשטרה להלין במתקניה כ-23,000 עצורים בשנה.</w:t>
      </w:r>
    </w:p>
    <w:p w:rsidR="006259B3" w:rsidRPr="004547CD" w:rsidP="00511955">
      <w:pPr>
        <w:spacing w:before="180" w:after="240" w:line="230" w:lineRule="exact"/>
        <w:ind w:left="680"/>
        <w:jc w:val="both"/>
        <w:rPr>
          <w:rFonts w:cs="FrankRuehl"/>
          <w:sz w:val="20"/>
          <w:szCs w:val="22"/>
          <w:rtl/>
        </w:rPr>
      </w:pPr>
      <w:r w:rsidRPr="004547CD">
        <w:rPr>
          <w:rFonts w:cs="FrankRuehl" w:hint="cs"/>
          <w:sz w:val="20"/>
          <w:szCs w:val="22"/>
          <w:rtl/>
        </w:rPr>
        <w:t>שב"ס מסר בתשובתו למשרד מבקר המדינה מדצמבר 2014, כי "העברת בתי המעצר באה בעקבות בריחת האסיר בני סלע ומתוך הכרה כי שב"ס הינו הגוף מקצועי המתאים לטפל בנושא הכליאה והליווי". שב"ס ציין כי העברה מלאה ומוחלטת של הטיפול בעצורים אל שב"ס, שתפטור את המשטרה לחלוטין מליווי והלנת עצורים אינה אפשרית ואינה סבירה, היות שהמשטרה היא הגוף האמון על חקירת העצורים. עוד ציינו בשב"ס כי השלמת המהלך תלויה באישור התקציב.</w:t>
      </w:r>
    </w:p>
    <w:p w:rsidR="006259B3" w:rsidRPr="004547CD" w:rsidP="00511955">
      <w:pPr>
        <w:pStyle w:val="RESHET"/>
        <w:keepLines/>
        <w:ind w:left="907"/>
        <w:rPr>
          <w:rtl/>
        </w:rPr>
      </w:pPr>
      <w:r w:rsidRPr="004547CD">
        <w:rPr>
          <w:rFonts w:hint="cs"/>
          <w:rtl/>
        </w:rPr>
        <w:t>יוצא אפוא, ש</w:t>
      </w:r>
      <w:r w:rsidRPr="004547CD">
        <w:rPr>
          <w:rFonts w:hint="eastAsia"/>
          <w:rtl/>
        </w:rPr>
        <w:t>התפיסה</w:t>
      </w:r>
      <w:r w:rsidRPr="004547CD">
        <w:rPr>
          <w:rtl/>
        </w:rPr>
        <w:t xml:space="preserve"> </w:t>
      </w:r>
      <w:r w:rsidRPr="004547CD">
        <w:rPr>
          <w:rFonts w:hint="eastAsia"/>
          <w:rtl/>
        </w:rPr>
        <w:t>שעמדה</w:t>
      </w:r>
      <w:r w:rsidRPr="004547CD">
        <w:rPr>
          <w:rtl/>
        </w:rPr>
        <w:t xml:space="preserve"> </w:t>
      </w:r>
      <w:r w:rsidRPr="004547CD">
        <w:rPr>
          <w:rFonts w:hint="eastAsia"/>
          <w:rtl/>
        </w:rPr>
        <w:t>בבסיס</w:t>
      </w:r>
      <w:r w:rsidRPr="004547CD">
        <w:rPr>
          <w:rtl/>
        </w:rPr>
        <w:t xml:space="preserve"> </w:t>
      </w:r>
      <w:r w:rsidRPr="004547CD">
        <w:rPr>
          <w:rFonts w:hint="cs"/>
          <w:rtl/>
        </w:rPr>
        <w:t>ההחלטה להעביר את האחריות למשמורת עצורים, ל</w:t>
      </w:r>
      <w:r w:rsidRPr="004547CD">
        <w:rPr>
          <w:rtl/>
        </w:rPr>
        <w:t>ליווי עצורים</w:t>
      </w:r>
      <w:r w:rsidRPr="004547CD">
        <w:rPr>
          <w:rFonts w:hint="cs"/>
          <w:rtl/>
        </w:rPr>
        <w:t>, להלנתם ולטיפול בהם מן המשטרה לשב"ס ש</w:t>
      </w:r>
      <w:r w:rsidRPr="004547CD">
        <w:rPr>
          <w:rtl/>
        </w:rPr>
        <w:t>יעסוק במשימ</w:t>
      </w:r>
      <w:r w:rsidRPr="004547CD">
        <w:rPr>
          <w:rFonts w:hint="cs"/>
          <w:rtl/>
        </w:rPr>
        <w:t>ות אלה</w:t>
      </w:r>
      <w:r w:rsidRPr="004547CD">
        <w:rPr>
          <w:rtl/>
        </w:rPr>
        <w:t xml:space="preserve"> באופן בלעדי</w:t>
      </w:r>
      <w:r w:rsidRPr="004547CD">
        <w:rPr>
          <w:rFonts w:hint="cs"/>
          <w:rtl/>
        </w:rPr>
        <w:t>, אינה יכולה להתקיים במלואה</w:t>
      </w:r>
      <w:r w:rsidRPr="004547CD">
        <w:rPr>
          <w:rtl/>
        </w:rPr>
        <w:t>.</w:t>
      </w:r>
      <w:r w:rsidRPr="004547CD">
        <w:rPr>
          <w:rFonts w:hint="cs"/>
          <w:rtl/>
        </w:rPr>
        <w:t xml:space="preserve"> </w:t>
      </w:r>
    </w:p>
    <w:p w:rsidR="006259B3" w:rsidRPr="004547CD" w:rsidP="00511955">
      <w:pPr>
        <w:spacing w:before="180" w:after="240" w:line="230" w:lineRule="exact"/>
        <w:ind w:left="680"/>
        <w:jc w:val="both"/>
        <w:rPr>
          <w:rFonts w:cs="FrankRuehl"/>
          <w:sz w:val="20"/>
          <w:szCs w:val="22"/>
          <w:rtl/>
        </w:rPr>
      </w:pPr>
      <w:r w:rsidRPr="004547CD">
        <w:rPr>
          <w:rFonts w:cs="FrankRuehl" w:hint="cs"/>
          <w:sz w:val="20"/>
          <w:szCs w:val="22"/>
          <w:rtl/>
        </w:rPr>
        <w:t>המשרד לבט"פ כתב בתשובתו מינואר 2015: "ברור לנו כי לא ניתן יהיה לבטל לחלוטין את פעולת הליווי במשטרה וכי היעד צריך להיות לצמצמה ככל הניתן".</w:t>
      </w:r>
    </w:p>
    <w:p w:rsidR="006259B3" w:rsidRPr="004547CD" w:rsidP="00511955">
      <w:pPr>
        <w:pStyle w:val="RESHET"/>
        <w:keepLines/>
        <w:ind w:left="907"/>
        <w:rPr>
          <w:rtl/>
        </w:rPr>
      </w:pPr>
      <w:r w:rsidRPr="004547CD">
        <w:rPr>
          <w:rFonts w:hint="cs"/>
          <w:rtl/>
        </w:rPr>
        <w:t>משרד מבקר המדינה מעיר למשרד לבט"פ שעליו לבחון מצב זה ולהיערך למתן מענה הולם בעת החתימה על ההסכם המתכלל, לקראת סוף שנת 2015.</w:t>
      </w:r>
    </w:p>
    <w:p w:rsidR="006259B3" w:rsidRPr="004547CD" w:rsidP="009235AD">
      <w:pPr>
        <w:pStyle w:val="ListParagraph"/>
        <w:numPr>
          <w:ilvl w:val="1"/>
          <w:numId w:val="6"/>
        </w:numPr>
        <w:spacing w:before="180" w:after="240" w:line="230" w:lineRule="exact"/>
        <w:contextualSpacing w:val="0"/>
        <w:jc w:val="both"/>
        <w:rPr>
          <w:rFonts w:ascii="Times New Roman" w:hAnsi="Times New Roman" w:cs="FrankRuehl"/>
          <w:sz w:val="20"/>
          <w:rtl/>
        </w:rPr>
      </w:pPr>
      <w:r w:rsidRPr="004547CD">
        <w:rPr>
          <w:rStyle w:val="Heading4Char"/>
          <w:rFonts w:ascii="Times New Roman" w:hAnsi="Times New Roman" w:cs="FrankRuehl" w:hint="eastAsia"/>
          <w:sz w:val="20"/>
          <w:szCs w:val="22"/>
          <w:rtl/>
        </w:rPr>
        <w:t>חקי</w:t>
      </w:r>
      <w:r w:rsidRPr="00500281">
        <w:rPr>
          <w:rStyle w:val="Heading4Char"/>
          <w:rFonts w:cs="FrankRuehl" w:hint="eastAsia"/>
          <w:sz w:val="20"/>
          <w:szCs w:val="22"/>
          <w:rtl/>
        </w:rPr>
        <w:t>רת</w:t>
      </w:r>
      <w:r w:rsidRPr="00500281">
        <w:rPr>
          <w:rStyle w:val="Heading4Char"/>
          <w:rFonts w:cs="FrankRuehl"/>
          <w:sz w:val="20"/>
          <w:szCs w:val="22"/>
          <w:rtl/>
        </w:rPr>
        <w:t xml:space="preserve"> </w:t>
      </w:r>
      <w:r w:rsidRPr="00500281">
        <w:rPr>
          <w:rStyle w:val="Heading4Char"/>
          <w:rFonts w:cs="FrankRuehl" w:hint="eastAsia"/>
          <w:sz w:val="20"/>
          <w:szCs w:val="22"/>
          <w:rtl/>
        </w:rPr>
        <w:t>עצורים</w:t>
      </w:r>
      <w:r w:rsidRPr="00500281">
        <w:rPr>
          <w:rStyle w:val="Heading4Char"/>
          <w:rFonts w:cs="FrankRuehl" w:hint="cs"/>
          <w:sz w:val="20"/>
          <w:szCs w:val="22"/>
          <w:rtl/>
        </w:rPr>
        <w:t>:</w:t>
      </w:r>
      <w:r w:rsidRPr="004547CD">
        <w:rPr>
          <w:rFonts w:ascii="Times New Roman" w:hAnsi="Times New Roman" w:cs="FrankRuehl" w:hint="cs"/>
          <w:sz w:val="20"/>
          <w:rtl/>
        </w:rPr>
        <w:t xml:space="preserve"> בתרשים שלהלן נתונים של שב"ס על הגידול במספר היציאות של כלואים לחקירה במשטרה בשנים 2013-2008.</w:t>
      </w:r>
      <w:r w:rsidRPr="004547CD">
        <w:rPr>
          <w:rFonts w:ascii="Times New Roman" w:hAnsi="Times New Roman" w:cs="FrankRuehl"/>
          <w:sz w:val="20"/>
          <w:rtl/>
        </w:rPr>
        <w:t xml:space="preserve"> </w:t>
      </w:r>
    </w:p>
    <w:p w:rsidR="006259B3" w:rsidRPr="004547CD" w:rsidP="009235AD">
      <w:pPr>
        <w:pStyle w:val="ListParagraph"/>
        <w:spacing w:after="120" w:line="240" w:lineRule="atLeast"/>
        <w:ind w:left="0"/>
        <w:contextualSpacing w:val="0"/>
        <w:jc w:val="center"/>
        <w:rPr>
          <w:rFonts w:ascii="Times New Roman" w:hAnsi="Times New Roman" w:cs="FrankRuehl"/>
          <w:sz w:val="20"/>
          <w:rtl/>
        </w:rPr>
      </w:pPr>
      <w:r>
        <w:rPr>
          <w:rFonts w:ascii="Times New Roman" w:hAnsi="Times New Roman" w:cs="FrankRuehl"/>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0pt;height:204.5pt">
            <v:imagedata r:id="rId6" o:title="204-g-1"/>
          </v:shape>
        </w:pict>
      </w:r>
    </w:p>
    <w:p w:rsidR="006259B3" w:rsidRPr="004547CD" w:rsidP="00511955">
      <w:pPr>
        <w:pStyle w:val="RESHET"/>
        <w:keepLines/>
        <w:ind w:left="907"/>
        <w:rPr>
          <w:rtl/>
        </w:rPr>
      </w:pPr>
      <w:r w:rsidRPr="004547CD">
        <w:rPr>
          <w:rFonts w:hint="cs"/>
          <w:rtl/>
        </w:rPr>
        <w:t>מהתרשים עולה כי בין השנים 2013-2008 היה גידול של כ-67% במספר היציאות לחקירה במשטרה. בין השנים 2013-2012 התמתנה העלייה.</w:t>
      </w:r>
    </w:p>
    <w:p w:rsidR="006259B3" w:rsidRPr="004547CD" w:rsidP="00511955">
      <w:pPr>
        <w:spacing w:before="180" w:after="240" w:line="230" w:lineRule="exact"/>
        <w:ind w:left="680"/>
        <w:jc w:val="both"/>
        <w:rPr>
          <w:rFonts w:cs="FrankRuehl"/>
          <w:sz w:val="20"/>
          <w:szCs w:val="22"/>
        </w:rPr>
      </w:pPr>
      <w:r w:rsidRPr="004547CD">
        <w:rPr>
          <w:rFonts w:cs="FrankRuehl" w:hint="cs"/>
          <w:sz w:val="20"/>
          <w:szCs w:val="22"/>
          <w:rtl/>
        </w:rPr>
        <w:t>בהסכמים שנחתמו במחוזות התחייב שב"ס להקצות חדרים בבתי המעצר לטובת חקירות ומודיעין, לאפשר לבצע השלמות חקירה, לרבות מסדר זיהוי חי בתוך מתקני המעצר ולאפשר למשטרה לקיים חקירות במתקנים שהועברו לשב"ס מהמשטרה. עוד נקבע שחדרי החקירות יהיו בהחזקתה הבלעדית של המשטרה, ושהיא תוכל להתקין בהם, בתיאום עם מחלקת הבינוי של שב</w:t>
      </w:r>
      <w:r w:rsidRPr="004547CD">
        <w:rPr>
          <w:rFonts w:cs="FrankRuehl"/>
          <w:sz w:val="20"/>
          <w:szCs w:val="22"/>
          <w:rtl/>
        </w:rPr>
        <w:t>"</w:t>
      </w:r>
      <w:r w:rsidRPr="004547CD">
        <w:rPr>
          <w:rFonts w:cs="FrankRuehl" w:hint="cs"/>
          <w:sz w:val="20"/>
          <w:szCs w:val="22"/>
          <w:rtl/>
        </w:rPr>
        <w:t>ס, מכשור וציוד, לרבות מערכות מחשוב משטרתיות. הקצאת חדרי החקירות נעשתה מטעמי חיסכון ויעילות ונועדה להביא להפחתה במספר של הליוויים ושל ניוד העצורים.</w:t>
      </w:r>
    </w:p>
    <w:p w:rsidR="006259B3" w:rsidRPr="00511955" w:rsidP="00511955">
      <w:pPr>
        <w:pStyle w:val="RESHET"/>
        <w:keepLines/>
        <w:ind w:left="907"/>
        <w:rPr>
          <w:rtl/>
        </w:rPr>
      </w:pPr>
      <w:r w:rsidRPr="004547CD">
        <w:rPr>
          <w:rFonts w:hint="cs"/>
          <w:rtl/>
        </w:rPr>
        <w:t>נמצא כי בפועל חוקרי משטרת ישראל עושים שימוש מצומצם בחדרי החקירות שהוקצו להם על ידי שירות בתי הסוהר בבתי המעצר. לטענת המשטרה, חדרי החקירות במתקני שב</w:t>
      </w:r>
      <w:r w:rsidRPr="004547CD">
        <w:rPr>
          <w:rtl/>
        </w:rPr>
        <w:t>"</w:t>
      </w:r>
      <w:r w:rsidRPr="004547CD">
        <w:rPr>
          <w:rFonts w:hint="cs"/>
          <w:rtl/>
        </w:rPr>
        <w:t xml:space="preserve">ס נועדו לאפשר לה לבצע חקירות פשוטות או השלמות חקירה בלבד. חדרי חקירות אלה אינם מהווים תחליף לניהול החקירה ביחידות עצמן מאחר שלא ניתן לעשות בהם חקירות מסוימות. </w:t>
      </w:r>
    </w:p>
    <w:p w:rsidR="006259B3" w:rsidRPr="004547CD" w:rsidP="00511955">
      <w:pPr>
        <w:spacing w:before="180" w:after="120" w:line="230" w:lineRule="exact"/>
        <w:ind w:left="680"/>
        <w:jc w:val="both"/>
        <w:rPr>
          <w:rFonts w:cs="FrankRuehl"/>
          <w:sz w:val="20"/>
          <w:szCs w:val="22"/>
          <w:rtl/>
        </w:rPr>
      </w:pPr>
      <w:r w:rsidRPr="004547CD">
        <w:rPr>
          <w:rFonts w:cs="FrankRuehl" w:hint="cs"/>
          <w:sz w:val="20"/>
          <w:szCs w:val="22"/>
          <w:rtl/>
        </w:rPr>
        <w:t xml:space="preserve">המשטרה כתבה בתשובתה כי "חוקרי משטרת ישראל משתמשים בחדרים המוקצים להם, חרף היעדר תשתית מחשובית מתאימה לביצוע החקירות", עוד ציינה המשטרה כי "שימוש בכלי חקירה באשר הם (בין אם מדובר בחדרי חקירה או באמצעים אחרים) הנם עפ"י שיקול דעתם הבלעדי של הממונים על החקירה". </w:t>
      </w:r>
    </w:p>
    <w:p w:rsidR="006259B3" w:rsidRPr="004547CD" w:rsidP="008A6D26">
      <w:pPr>
        <w:spacing w:after="120" w:line="230" w:lineRule="exact"/>
        <w:ind w:left="680"/>
        <w:jc w:val="both"/>
        <w:rPr>
          <w:rFonts w:cs="FrankRuehl"/>
          <w:sz w:val="20"/>
          <w:szCs w:val="22"/>
          <w:rtl/>
        </w:rPr>
      </w:pPr>
      <w:r w:rsidRPr="004547CD">
        <w:rPr>
          <w:rFonts w:cs="FrankRuehl" w:hint="cs"/>
          <w:sz w:val="20"/>
          <w:szCs w:val="22"/>
          <w:rtl/>
        </w:rPr>
        <w:t xml:space="preserve">מנגד מסר </w:t>
      </w:r>
      <w:r w:rsidRPr="004547CD">
        <w:rPr>
          <w:rFonts w:cs="FrankRuehl" w:hint="eastAsia"/>
          <w:sz w:val="20"/>
          <w:szCs w:val="22"/>
          <w:rtl/>
        </w:rPr>
        <w:t>שב</w:t>
      </w:r>
      <w:r w:rsidRPr="004547CD">
        <w:rPr>
          <w:rFonts w:cs="FrankRuehl"/>
          <w:sz w:val="20"/>
          <w:szCs w:val="22"/>
          <w:rtl/>
        </w:rPr>
        <w:t xml:space="preserve">"ס </w:t>
      </w:r>
      <w:r w:rsidRPr="004547CD">
        <w:rPr>
          <w:rFonts w:cs="FrankRuehl" w:hint="eastAsia"/>
          <w:sz w:val="20"/>
          <w:szCs w:val="22"/>
          <w:rtl/>
        </w:rPr>
        <w:t>בתשובתו</w:t>
      </w:r>
      <w:r w:rsidRPr="004547CD">
        <w:rPr>
          <w:rFonts w:cs="FrankRuehl"/>
          <w:sz w:val="20"/>
          <w:szCs w:val="22"/>
          <w:rtl/>
        </w:rPr>
        <w:t xml:space="preserve"> </w:t>
      </w:r>
      <w:r w:rsidRPr="004547CD">
        <w:rPr>
          <w:rFonts w:cs="FrankRuehl" w:hint="eastAsia"/>
          <w:sz w:val="20"/>
          <w:szCs w:val="22"/>
          <w:rtl/>
        </w:rPr>
        <w:t>למשרד</w:t>
      </w:r>
      <w:r w:rsidRPr="004547CD">
        <w:rPr>
          <w:rFonts w:cs="FrankRuehl"/>
          <w:sz w:val="20"/>
          <w:szCs w:val="22"/>
          <w:rtl/>
        </w:rPr>
        <w:t xml:space="preserve"> </w:t>
      </w:r>
      <w:r w:rsidRPr="004547CD">
        <w:rPr>
          <w:rFonts w:cs="FrankRuehl" w:hint="eastAsia"/>
          <w:sz w:val="20"/>
          <w:szCs w:val="22"/>
          <w:rtl/>
        </w:rPr>
        <w:t>מבקר</w:t>
      </w:r>
      <w:r w:rsidRPr="004547CD">
        <w:rPr>
          <w:rFonts w:cs="FrankRuehl"/>
          <w:sz w:val="20"/>
          <w:szCs w:val="22"/>
          <w:rtl/>
        </w:rPr>
        <w:t xml:space="preserve"> </w:t>
      </w:r>
      <w:r w:rsidRPr="004547CD">
        <w:rPr>
          <w:rFonts w:cs="FrankRuehl" w:hint="eastAsia"/>
          <w:sz w:val="20"/>
          <w:szCs w:val="22"/>
          <w:rtl/>
        </w:rPr>
        <w:t>המדינה</w:t>
      </w:r>
      <w:r w:rsidRPr="004547CD">
        <w:rPr>
          <w:rFonts w:cs="FrankRuehl"/>
          <w:sz w:val="20"/>
          <w:szCs w:val="22"/>
          <w:rtl/>
        </w:rPr>
        <w:t xml:space="preserve"> </w:t>
      </w:r>
      <w:r w:rsidRPr="004547CD">
        <w:rPr>
          <w:rFonts w:cs="FrankRuehl" w:hint="eastAsia"/>
          <w:sz w:val="20"/>
          <w:szCs w:val="22"/>
          <w:rtl/>
        </w:rPr>
        <w:t>מדצמבר</w:t>
      </w:r>
      <w:r w:rsidRPr="004547CD">
        <w:rPr>
          <w:rFonts w:cs="FrankRuehl"/>
          <w:sz w:val="20"/>
          <w:szCs w:val="22"/>
          <w:rtl/>
        </w:rPr>
        <w:t xml:space="preserve"> 2014 </w:t>
      </w:r>
      <w:r w:rsidRPr="004547CD">
        <w:rPr>
          <w:rFonts w:cs="FrankRuehl" w:hint="eastAsia"/>
          <w:sz w:val="20"/>
          <w:szCs w:val="22"/>
          <w:rtl/>
        </w:rPr>
        <w:t>כי</w:t>
      </w:r>
      <w:r w:rsidRPr="004547CD">
        <w:rPr>
          <w:rFonts w:cs="FrankRuehl" w:hint="cs"/>
          <w:sz w:val="20"/>
          <w:szCs w:val="22"/>
          <w:rtl/>
        </w:rPr>
        <w:t xml:space="preserve"> "שב"ס הכשיר חדרי חקירות במתקני שב"ס, שהיו אמורים לחסוך חלק מהליווים, אולם המשטרה אינה משתמשת בחדרים אלה. חשוב להבהיר כי הדבר הביא לכך שישנו עומס אדיר על יחידות נחשון מדי יום, בכך שהיא נאלצת בכל בוקר לקחת עשרות עצורים לחקירה בתחנות המשטרה ובשל כך, לא פעם, מתעכבים הצוותים בהגעה לבית המשפט וגורמים לשיבוש בהתנהלות המשפטים. להדגיש כי משימה זו לא נקבעה באמנה [הסכם] מול המחוזות המשטרתיים, מכיוון שמעולם יחידות הליווי של משטרת ישראל לא שינעו עצורים מהימ"רים [היחידות המרכזיות במשטרה] לחקירות בתחנות. המשימה נוצרה אך ורק מאז שהיא הועברה לשב"ס וכמויות העצורים המובאים לחקירה בתחנות גדל במאות אחוזים מאז שנת 2008". </w:t>
      </w:r>
    </w:p>
    <w:p w:rsidR="006259B3" w:rsidRPr="004547CD" w:rsidP="00511955">
      <w:pPr>
        <w:spacing w:after="240" w:line="230" w:lineRule="exact"/>
        <w:ind w:left="680"/>
        <w:jc w:val="both"/>
        <w:rPr>
          <w:rFonts w:cs="FrankRuehl"/>
          <w:sz w:val="20"/>
          <w:szCs w:val="22"/>
          <w:rtl/>
        </w:rPr>
      </w:pPr>
      <w:r w:rsidRPr="004547CD">
        <w:rPr>
          <w:rFonts w:cs="FrankRuehl" w:hint="cs"/>
          <w:sz w:val="20"/>
          <w:szCs w:val="22"/>
          <w:rtl/>
        </w:rPr>
        <w:t>המשרד לבט"פ מסר בתשובתו למשרד מבקר המדינה מדצמבר 2014 כי "חוקרי משטרת ישראל עושים שימוש מצומצם בחדרי החקירות שהוקצו להם ע"י שב"ס. הדבר נובע מאילוצים חקירתיים-מבצעיים". הבט"פ מסר עוד כי משטרת ישראל הצהירה בפניו כי תעשה מאמץ להרחיב את השימוש שהיא עושה בחדרי חקירות אלו.</w:t>
      </w:r>
    </w:p>
    <w:p w:rsidR="006259B3" w:rsidRPr="004547CD" w:rsidP="00511955">
      <w:pPr>
        <w:pStyle w:val="RESHET"/>
        <w:keepLines/>
        <w:ind w:left="907"/>
        <w:rPr>
          <w:b w:val="0"/>
          <w:bCs w:val="0"/>
          <w:rtl/>
        </w:rPr>
      </w:pPr>
      <w:r w:rsidRPr="004547CD">
        <w:rPr>
          <w:rFonts w:hint="cs"/>
          <w:rtl/>
        </w:rPr>
        <w:t xml:space="preserve">הסעת עצור לחקירה בתחנות המשטרה כרוכה בהשכמתו בשעת בוקר מוקדמת כדי להגיע להסעה של יחידת נחשון, המתחילה את משמרתה בשעות הבוקר המוקדמות, וזאת כדי להספיק להוביל עצורים ואסירים גם לבתי המשפט וגם לתחנות המשטרה. בתום החקירה עליו להמתין בתחנת האיסוף של נחשון, ובזמן זה יש להקצות שוטרים לשמור עליו. העצור נמצא פרקי זמן ממושכים בהסעות ובהמתנה לליווי. לדעת משרד מבקר המדינה, על המשטרה לעשות שימוש יעיל יותר בחדרי החקירות הייעודיים במתקני שב"ס במקרים שבהם לא נדרשות פעולות חקירה מיוחדות, ולפעול בהתאם למסקנותיה של בחינה זו. </w:t>
      </w:r>
      <w:r w:rsidRPr="004547CD">
        <w:rPr>
          <w:rFonts w:hint="eastAsia"/>
          <w:rtl/>
        </w:rPr>
        <w:t>שימוש</w:t>
      </w:r>
      <w:r w:rsidRPr="004547CD">
        <w:rPr>
          <w:rtl/>
        </w:rPr>
        <w:t xml:space="preserve"> </w:t>
      </w:r>
      <w:r w:rsidRPr="004547CD">
        <w:rPr>
          <w:rFonts w:hint="eastAsia"/>
          <w:rtl/>
        </w:rPr>
        <w:t>בחדרי</w:t>
      </w:r>
      <w:r w:rsidRPr="004547CD">
        <w:rPr>
          <w:rtl/>
        </w:rPr>
        <w:t xml:space="preserve"> </w:t>
      </w:r>
      <w:r w:rsidRPr="004547CD">
        <w:rPr>
          <w:rFonts w:hint="eastAsia"/>
          <w:rtl/>
        </w:rPr>
        <w:t>החקירה</w:t>
      </w:r>
      <w:r w:rsidRPr="004547CD">
        <w:rPr>
          <w:rtl/>
        </w:rPr>
        <w:t xml:space="preserve"> </w:t>
      </w:r>
      <w:r w:rsidRPr="004547CD">
        <w:rPr>
          <w:rFonts w:hint="eastAsia"/>
          <w:rtl/>
        </w:rPr>
        <w:t>במקרים</w:t>
      </w:r>
      <w:r w:rsidRPr="004547CD">
        <w:rPr>
          <w:rtl/>
        </w:rPr>
        <w:t xml:space="preserve"> </w:t>
      </w:r>
      <w:r w:rsidRPr="004547CD">
        <w:rPr>
          <w:rFonts w:hint="eastAsia"/>
          <w:rtl/>
        </w:rPr>
        <w:t>המתאימים</w:t>
      </w:r>
      <w:r w:rsidRPr="004547CD">
        <w:rPr>
          <w:rtl/>
        </w:rPr>
        <w:t xml:space="preserve"> </w:t>
      </w:r>
      <w:r w:rsidRPr="004547CD">
        <w:rPr>
          <w:rFonts w:hint="eastAsia"/>
          <w:rtl/>
        </w:rPr>
        <w:t>יכול</w:t>
      </w:r>
      <w:r w:rsidRPr="004547CD">
        <w:rPr>
          <w:rtl/>
        </w:rPr>
        <w:t xml:space="preserve"> </w:t>
      </w:r>
      <w:r w:rsidRPr="004547CD">
        <w:rPr>
          <w:rFonts w:hint="eastAsia"/>
          <w:rtl/>
        </w:rPr>
        <w:t>להקטין</w:t>
      </w:r>
      <w:r w:rsidRPr="004547CD">
        <w:rPr>
          <w:rtl/>
        </w:rPr>
        <w:t xml:space="preserve"> </w:t>
      </w:r>
      <w:r w:rsidRPr="004547CD">
        <w:rPr>
          <w:rFonts w:hint="eastAsia"/>
          <w:rtl/>
        </w:rPr>
        <w:t>את</w:t>
      </w:r>
      <w:r w:rsidRPr="004547CD">
        <w:rPr>
          <w:rtl/>
        </w:rPr>
        <w:t xml:space="preserve"> </w:t>
      </w:r>
      <w:r w:rsidRPr="004547CD">
        <w:rPr>
          <w:rFonts w:hint="cs"/>
          <w:rtl/>
        </w:rPr>
        <w:t>מספר</w:t>
      </w:r>
      <w:r w:rsidRPr="004547CD">
        <w:rPr>
          <w:rtl/>
        </w:rPr>
        <w:t xml:space="preserve"> </w:t>
      </w:r>
      <w:r w:rsidRPr="004547CD">
        <w:rPr>
          <w:rFonts w:hint="eastAsia"/>
          <w:rtl/>
        </w:rPr>
        <w:t>הליוויים</w:t>
      </w:r>
      <w:r w:rsidRPr="004547CD">
        <w:rPr>
          <w:rtl/>
        </w:rPr>
        <w:t>.</w:t>
      </w:r>
    </w:p>
    <w:p w:rsidR="006259B3" w:rsidRPr="004547CD" w:rsidP="00511955">
      <w:pPr>
        <w:pStyle w:val="ListParagraph"/>
        <w:numPr>
          <w:ilvl w:val="0"/>
          <w:numId w:val="6"/>
        </w:numPr>
        <w:spacing w:before="180" w:after="120" w:line="230" w:lineRule="exact"/>
        <w:contextualSpacing w:val="0"/>
        <w:jc w:val="both"/>
        <w:rPr>
          <w:rFonts w:ascii="Times New Roman" w:hAnsi="Times New Roman" w:cs="FrankRuehl"/>
          <w:sz w:val="20"/>
        </w:rPr>
      </w:pPr>
      <w:r w:rsidRPr="004547CD">
        <w:rPr>
          <w:rFonts w:ascii="Times New Roman" w:hAnsi="Times New Roman" w:cs="FrankRuehl" w:hint="cs"/>
          <w:sz w:val="20"/>
          <w:rtl/>
        </w:rPr>
        <w:t xml:space="preserve">בשנת 2011 החל המשרד לבט"פ בתהליך שמטרתו ייעול השימוש במשאבי המשרד והגברת האפקטיביות של פעולות המשרד על גופיו. לצורך כך יזם המשרד עבודת מטה על-ארגונית, שיועדה לבצע בחינה מעמיקה של תהליכי העבודה, הארגון והתקצוב של המשרד והגופים שבאחריותו. </w:t>
      </w:r>
    </w:p>
    <w:p w:rsidR="006259B3" w:rsidRPr="004547CD" w:rsidP="008A6D26">
      <w:pPr>
        <w:spacing w:after="120" w:line="230" w:lineRule="exact"/>
        <w:ind w:left="340"/>
        <w:jc w:val="both"/>
        <w:rPr>
          <w:rFonts w:cs="FrankRuehl"/>
          <w:sz w:val="20"/>
          <w:szCs w:val="22"/>
          <w:rtl/>
        </w:rPr>
      </w:pPr>
      <w:r w:rsidRPr="004547CD">
        <w:rPr>
          <w:rFonts w:cs="FrankRuehl" w:hint="cs"/>
          <w:sz w:val="20"/>
          <w:szCs w:val="22"/>
          <w:rtl/>
        </w:rPr>
        <w:t xml:space="preserve">במכרז שפרסם המשרד לבט"פ זכתה בשנת 2011 חברה שבדקה בין היתר את נושא הליווי והשמירה על העצורים בתחנות המשטרה. ממצאי הבדיקה הצביעו על כך ששב"ס מתמודד עם עומס משימות רב, לרבות מספר גדול של ליוויים המתבצעים במשך שעות ארוכות בתנאים מאתגרים. אשר למשטרה, עלו נקודות רבות הדורשות שיפור בנושא הליווי והשמירה בתחנות, ליקויים שיש בהם כדי להקשות על תפקוד התחנות והדורשים מהמשטרה משאבים רבים. </w:t>
      </w:r>
    </w:p>
    <w:p w:rsidR="006259B3" w:rsidRPr="004547CD" w:rsidP="008A6D26">
      <w:pPr>
        <w:spacing w:after="120" w:line="230" w:lineRule="exact"/>
        <w:ind w:left="340"/>
        <w:jc w:val="both"/>
        <w:rPr>
          <w:rFonts w:cs="FrankRuehl"/>
          <w:sz w:val="20"/>
          <w:szCs w:val="22"/>
          <w:rtl/>
        </w:rPr>
      </w:pPr>
      <w:r w:rsidRPr="004547CD">
        <w:rPr>
          <w:rFonts w:cs="FrankRuehl" w:hint="cs"/>
          <w:sz w:val="20"/>
          <w:szCs w:val="22"/>
          <w:rtl/>
        </w:rPr>
        <w:t>הבדיקה העלתה ששוטרי הסיור עסוקים שעות רבות במשימות של ליווי ושמירה על עצורים על חשבון שעות סיור וזמן נוכחות בשטח. החברה העריכה כי 15%-10% מזמן הסייר במשמרת מוקדש לשמירה וליווי, וכי עלות הטיפול היומית בעצורים ברמה הארצית היא שוות ערך לעלות העסקתם של כ-300 שוטרי סיור ביממה. מהדוח עולה שההתעסקות של הסיירים בכל הנוגע לטיפול בעצורים משמעותה גם פגיעה ממשית באפקטיביות המשטרה (זמן הסיירים בשטח, היכולת להגיב לאירועים בזמן אמת, לפעול בצורה יזומה וכו'). עוד עלה כי חלק גדול מהליוויים נעשה בשעות העומס, שבהן נדרשת נוכחות הסיירים ברחובות.</w:t>
      </w:r>
    </w:p>
    <w:p w:rsidR="006259B3" w:rsidRPr="004547CD" w:rsidP="008A6D26">
      <w:pPr>
        <w:spacing w:after="120" w:line="230" w:lineRule="exact"/>
        <w:ind w:left="340"/>
        <w:jc w:val="both"/>
        <w:rPr>
          <w:rFonts w:cs="FrankRuehl"/>
          <w:sz w:val="20"/>
          <w:szCs w:val="22"/>
        </w:rPr>
      </w:pPr>
      <w:r w:rsidRPr="004547CD">
        <w:rPr>
          <w:rFonts w:cs="FrankRuehl" w:hint="cs"/>
          <w:sz w:val="20"/>
          <w:szCs w:val="22"/>
          <w:rtl/>
        </w:rPr>
        <w:t>מניתוח הממצאים</w:t>
      </w:r>
      <w:r w:rsidRPr="004547CD">
        <w:rPr>
          <w:rFonts w:cs="FrankRuehl"/>
          <w:sz w:val="20"/>
          <w:szCs w:val="22"/>
          <w:rtl/>
        </w:rPr>
        <w:t xml:space="preserve"> </w:t>
      </w:r>
      <w:r w:rsidRPr="004547CD">
        <w:rPr>
          <w:rFonts w:cs="FrankRuehl" w:hint="cs"/>
          <w:sz w:val="20"/>
          <w:szCs w:val="22"/>
          <w:rtl/>
        </w:rPr>
        <w:t>עולה כי בשל סגירת תאי המעצר בתחנות, נדרשו שוטרי הסיור לשמור על עצורים בתחנה עד אשר חוקר התפנה לקבלם. על פי הנהלים נדרש יחס של 1:1 בין כמות העצורים לכמות השוטרים הנדרשים לשמור עליהם. בפועל, בשל העובדה שרוב צוותי הסיור מורכבים משוטר ומתנדב או חייל שח"ם, אשר אינם מוסמכים לשמור על עצורים, כל עצור משמעו גריעת ניידת סיור אחת.</w:t>
      </w:r>
    </w:p>
    <w:p w:rsidR="006259B3" w:rsidRPr="004547CD" w:rsidP="00511955">
      <w:pPr>
        <w:spacing w:after="240" w:line="230" w:lineRule="exact"/>
        <w:ind w:left="340"/>
        <w:jc w:val="both"/>
        <w:rPr>
          <w:rFonts w:cs="FrankRuehl"/>
          <w:sz w:val="20"/>
          <w:szCs w:val="22"/>
          <w:rtl/>
        </w:rPr>
      </w:pPr>
      <w:r w:rsidRPr="004547CD">
        <w:rPr>
          <w:rFonts w:cs="FrankRuehl" w:hint="cs"/>
          <w:sz w:val="20"/>
          <w:szCs w:val="22"/>
          <w:rtl/>
        </w:rPr>
        <w:t>החברה המליצה בין היתר לשפר את מישקי (</w:t>
      </w:r>
      <w:r w:rsidRPr="004547CD">
        <w:rPr>
          <w:rFonts w:cs="FrankRuehl"/>
          <w:sz w:val="20"/>
          <w:szCs w:val="22"/>
        </w:rPr>
        <w:t>interface</w:t>
      </w:r>
      <w:r w:rsidRPr="004547CD">
        <w:rPr>
          <w:rFonts w:cs="FrankRuehl" w:hint="cs"/>
          <w:sz w:val="20"/>
          <w:szCs w:val="22"/>
          <w:rtl/>
        </w:rPr>
        <w:t>) העבודה ולקצר את זמן ההמתנה במתקני הכליאה של שב"ס, להפעיל תאי שהייה במשטרה, להגביר את תכיפות סבבי יחידת נחשון ולהקצות כַּלָאים קבועים לתחנות המשטרה.</w:t>
      </w:r>
    </w:p>
    <w:p w:rsidR="006259B3" w:rsidRPr="004547CD" w:rsidP="00511955">
      <w:pPr>
        <w:pStyle w:val="RESHET"/>
        <w:ind w:left="567"/>
        <w:rPr>
          <w:rtl/>
        </w:rPr>
      </w:pPr>
      <w:r w:rsidRPr="004547CD">
        <w:rPr>
          <w:rFonts w:hint="cs"/>
          <w:rtl/>
        </w:rPr>
        <w:t xml:space="preserve">תוצאות בדיקת החברה מצביעות על כך שהפעילות המבצעית של המשטרה נפגעת בשל משימות הטיפול בעצורים שמוטלות עליה. ההחלטה להעביר את הטיפול בעצורים לידי השב"ס נועדה לייעל הליכים, אולם בפועל המהלך לא צלח במלואו, והוא הסיט משאבים שנועדו למלחמה בפשיעה ולאכיפת החוק. למרות הפערים בין המשטרה לשב"ס, שהתגלו כבר בשנים הראשונות ליישום המהלך, לא נמצא להם פתרון ולא הוכנו נהלים מפורטים המסדירים את חלוקת העבודה המלאה בין הגופים. </w:t>
      </w:r>
    </w:p>
    <w:p w:rsidR="006259B3" w:rsidRPr="004547CD" w:rsidP="00511955">
      <w:pPr>
        <w:spacing w:before="180" w:after="120" w:line="230" w:lineRule="exact"/>
        <w:jc w:val="both"/>
        <w:rPr>
          <w:rFonts w:cs="FrankRuehl"/>
          <w:sz w:val="20"/>
          <w:szCs w:val="22"/>
          <w:rtl/>
        </w:rPr>
      </w:pPr>
      <w:r w:rsidRPr="004547CD">
        <w:rPr>
          <w:rFonts w:cs="FrankRuehl" w:hint="cs"/>
          <w:sz w:val="20"/>
          <w:szCs w:val="22"/>
          <w:rtl/>
        </w:rPr>
        <w:t xml:space="preserve">המשטרה כתבה בתשובתה כי השאיפה של המשטרה היא לצמצם למינימום הכרחי את משימות ליווי העצורים ועבודת המטה מול שב"ס והמשרד לבט"פ וכי המשטרה הייתה ממוקדת במטרה זו. עם זאת, ברור כי אחוז מסוים מן הליוויים יישאר באחריות המשטרה בשל אילוצים שונים. ככלל הליוויים שמבוצעים על ידי יחידות הסיור מדווחים למערכת מיחשובית הקרויה "שירת הסירנה". </w:t>
      </w:r>
    </w:p>
    <w:p w:rsidR="006259B3" w:rsidRPr="004547CD" w:rsidP="00511955">
      <w:pPr>
        <w:spacing w:after="240" w:line="230" w:lineRule="exact"/>
        <w:jc w:val="both"/>
        <w:rPr>
          <w:rFonts w:cs="FrankRuehl"/>
          <w:sz w:val="20"/>
          <w:szCs w:val="22"/>
          <w:rtl/>
        </w:rPr>
      </w:pPr>
      <w:r w:rsidRPr="004547CD">
        <w:rPr>
          <w:rFonts w:cs="FrankRuehl" w:hint="cs"/>
          <w:sz w:val="20"/>
          <w:szCs w:val="22"/>
          <w:rtl/>
        </w:rPr>
        <w:t>המשרד לבט"פ מסר בתשובתו למשרד מבקר המדינה כי סוגיית המדידה של מספר הליוויים נותחה לעומקה בעבודתה של החברה, ועל סמך ניתוחים אלה גובש הסכם 2014. בתשובה נוספת מינואר 2015 כתב המשרד כי "סוגיית הליוויים טומנת בחובה משאבים רבים ויש בה כר נרחב להתייעלות ושיפור אפקטיביות. לכן, כשגובשו בעבר נושאי העיסוק של החברה החיצונית שבדקה נושאים שונים בפעולת גופי המשרד, הכוונו את החברה לנתח גם את סוגיית הליוויים".</w:t>
      </w:r>
    </w:p>
    <w:p w:rsidR="006259B3" w:rsidRPr="004547CD" w:rsidP="00511955">
      <w:pPr>
        <w:pStyle w:val="RESHET"/>
        <w:rPr>
          <w:rtl/>
        </w:rPr>
      </w:pPr>
      <w:r w:rsidRPr="004547CD">
        <w:rPr>
          <w:rFonts w:hint="cs"/>
          <w:rtl/>
        </w:rPr>
        <w:t xml:space="preserve">יוער כי הניסיון שנצבר בנושא זה וממצאי דוח החברה מדגישים </w:t>
      </w:r>
      <w:r w:rsidRPr="004547CD">
        <w:rPr>
          <w:rtl/>
        </w:rPr>
        <w:t xml:space="preserve">שלא ניתן להימנע לחלוטין מביצוע </w:t>
      </w:r>
      <w:r w:rsidRPr="004547CD">
        <w:rPr>
          <w:rFonts w:hint="cs"/>
          <w:rtl/>
        </w:rPr>
        <w:t>מקצת</w:t>
      </w:r>
      <w:r w:rsidRPr="004547CD">
        <w:rPr>
          <w:rtl/>
        </w:rPr>
        <w:t xml:space="preserve"> ממשימות הליווי והכליאה </w:t>
      </w:r>
      <w:r w:rsidRPr="004547CD">
        <w:rPr>
          <w:rFonts w:hint="cs"/>
          <w:rtl/>
        </w:rPr>
        <w:t>ב</w:t>
      </w:r>
      <w:r w:rsidRPr="004547CD">
        <w:rPr>
          <w:rtl/>
        </w:rPr>
        <w:t xml:space="preserve">ידי </w:t>
      </w:r>
      <w:r w:rsidRPr="004547CD">
        <w:rPr>
          <w:rFonts w:hint="cs"/>
          <w:rtl/>
        </w:rPr>
        <w:t>ה</w:t>
      </w:r>
      <w:r w:rsidRPr="004547CD">
        <w:rPr>
          <w:rtl/>
        </w:rPr>
        <w:t>משטר</w:t>
      </w:r>
      <w:r w:rsidRPr="004547CD">
        <w:rPr>
          <w:rFonts w:hint="cs"/>
          <w:rtl/>
        </w:rPr>
        <w:t>ה</w:t>
      </w:r>
      <w:r w:rsidRPr="004547CD">
        <w:rPr>
          <w:rtl/>
        </w:rPr>
        <w:t>. בכל תהליך של הסדר</w:t>
      </w:r>
      <w:r w:rsidRPr="004547CD">
        <w:rPr>
          <w:rFonts w:hint="cs"/>
          <w:rtl/>
        </w:rPr>
        <w:t>ה</w:t>
      </w:r>
      <w:r w:rsidRPr="004547CD">
        <w:rPr>
          <w:rtl/>
        </w:rPr>
        <w:t xml:space="preserve"> </w:t>
      </w:r>
      <w:r w:rsidRPr="004547CD">
        <w:rPr>
          <w:rFonts w:hint="cs"/>
          <w:rtl/>
        </w:rPr>
        <w:t>ב</w:t>
      </w:r>
      <w:r w:rsidRPr="004547CD">
        <w:rPr>
          <w:rtl/>
        </w:rPr>
        <w:t>נושא</w:t>
      </w:r>
      <w:r w:rsidRPr="004547CD">
        <w:rPr>
          <w:rFonts w:hint="cs"/>
          <w:rtl/>
        </w:rPr>
        <w:t xml:space="preserve"> זה</w:t>
      </w:r>
      <w:r w:rsidRPr="004547CD">
        <w:rPr>
          <w:rtl/>
        </w:rPr>
        <w:t xml:space="preserve"> עדיין יהיו מצבים שבהם שוטרים יבצעו את משימ</w:t>
      </w:r>
      <w:r w:rsidRPr="004547CD">
        <w:rPr>
          <w:rFonts w:hint="cs"/>
          <w:rtl/>
        </w:rPr>
        <w:t>ת הליווי, ועצורים ישהו בתחנות המשטרה</w:t>
      </w:r>
      <w:r w:rsidRPr="004547CD">
        <w:rPr>
          <w:rtl/>
        </w:rPr>
        <w:t xml:space="preserve">. </w:t>
      </w:r>
      <w:r w:rsidRPr="004547CD">
        <w:rPr>
          <w:rFonts w:hint="cs"/>
          <w:rtl/>
        </w:rPr>
        <w:t>משרד מבקר המדינה מעיר שמצב זה מחייב את שני הגופים להגדיר בצורה ברורה את חלוקת העבודה ביניהם. כמו כן על המשטרה לנתח באופן שוטף את הנתונים במערכת "שירת הסירנה" כדי לאמוד את "המחיר" המבצעי של הליוויים שהיא מבצעת, ובהתאם לכך להגדיר מהו שיעור הליוויים שהיא יכולה לעמוד בו, בלי שמשימותיה המבצעיות ייפגעו, ולפעול בהתאם לממצאים.</w:t>
      </w:r>
    </w:p>
    <w:p w:rsidR="006259B3" w:rsidRPr="004547CD" w:rsidP="00511955">
      <w:pPr>
        <w:pStyle w:val="RESHET"/>
        <w:rPr>
          <w:rtl/>
        </w:rPr>
      </w:pPr>
      <w:r w:rsidRPr="004547CD">
        <w:rPr>
          <w:rFonts w:hint="cs"/>
          <w:rtl/>
        </w:rPr>
        <w:t xml:space="preserve">האמור לעיל מלמד כי חילוקי דעות, אי-הסכמות והאשמות הדדיות בין המשטרה לשב"ס מדגישים את הצורך בהסדרת מערכת היחסים בין שני הגופים בנושא זה, אולם הסכם מעודכן אחד, שמטפל בפערים שבין המשטרה לשב"ס, לא נחתם. בפועל, הלקחים שהופקו לא מצאו ביטוי בהסכם מתכלל, והמשטרה ושב"ס המשיכו לעבוד בהתאם להסכמי הבנות לא מעודכנים ועמומים בחלקם. </w:t>
      </w:r>
    </w:p>
    <w:p w:rsidR="006259B3" w:rsidRPr="004547CD" w:rsidP="008A6D26">
      <w:pPr>
        <w:spacing w:after="120" w:line="230" w:lineRule="exact"/>
        <w:jc w:val="both"/>
        <w:rPr>
          <w:rFonts w:cs="FrankRuehl"/>
          <w:sz w:val="20"/>
          <w:szCs w:val="22"/>
          <w:rtl/>
        </w:rPr>
      </w:pPr>
    </w:p>
    <w:p w:rsidR="006259B3" w:rsidRPr="004547CD" w:rsidP="008A6D26">
      <w:pPr>
        <w:spacing w:after="120" w:line="230" w:lineRule="exact"/>
        <w:jc w:val="both"/>
        <w:rPr>
          <w:rFonts w:cs="FrankRuehl"/>
          <w:sz w:val="20"/>
          <w:szCs w:val="22"/>
          <w:u w:val="single"/>
          <w:rtl/>
        </w:rPr>
      </w:pPr>
    </w:p>
    <w:p w:rsidR="006259B3" w:rsidRPr="00596B42" w:rsidP="008A6D26">
      <w:pPr>
        <w:pStyle w:val="KOT4"/>
        <w:rPr>
          <w:rtl/>
        </w:rPr>
      </w:pPr>
      <w:r w:rsidRPr="00596B42">
        <w:rPr>
          <w:rFonts w:hint="eastAsia"/>
          <w:rtl/>
        </w:rPr>
        <w:t>הסכם</w:t>
      </w:r>
      <w:r w:rsidRPr="00596B42">
        <w:rPr>
          <w:rtl/>
        </w:rPr>
        <w:t xml:space="preserve"> 2014</w:t>
      </w:r>
    </w:p>
    <w:p w:rsidR="006259B3" w:rsidRPr="004547CD" w:rsidP="008A6D26">
      <w:pPr>
        <w:pStyle w:val="ListParagraph"/>
        <w:numPr>
          <w:ilvl w:val="0"/>
          <w:numId w:val="21"/>
        </w:numPr>
        <w:spacing w:after="120" w:line="230" w:lineRule="exact"/>
        <w:contextualSpacing w:val="0"/>
        <w:jc w:val="both"/>
        <w:rPr>
          <w:rFonts w:ascii="Times New Roman" w:hAnsi="Times New Roman" w:cs="FrankRuehl"/>
          <w:sz w:val="20"/>
          <w:rtl/>
        </w:rPr>
      </w:pPr>
      <w:r w:rsidRPr="004547CD">
        <w:rPr>
          <w:rFonts w:ascii="Times New Roman" w:hAnsi="Times New Roman" w:cs="FrankRuehl" w:hint="cs"/>
          <w:sz w:val="20"/>
          <w:rtl/>
        </w:rPr>
        <w:t xml:space="preserve">במרץ 2014 חתמו המשרד לבט"פ, השב"ס והמשטרה על הסכם 2014. בהסכם נכתב כי "לאורך השנים מאז 2006 ועד היום, נתגלעו פערים בין הארגונים ביחס לאופן מימוש ההבנות. לאחרונה נערכה עבודת מטה בהובלת המשרד לביטחון פנים ובהשתתפות הארגונים לשם הסדרה סופית, מוסכמת ומוחלטת של סוגיית ליווי עצורים ואסירים". </w:t>
      </w:r>
    </w:p>
    <w:p w:rsidR="006259B3" w:rsidRPr="004547CD" w:rsidP="008A6D26">
      <w:pPr>
        <w:spacing w:after="120" w:line="230" w:lineRule="exact"/>
        <w:ind w:left="340"/>
        <w:jc w:val="both"/>
        <w:rPr>
          <w:rFonts w:cs="FrankRuehl"/>
          <w:sz w:val="20"/>
          <w:szCs w:val="22"/>
          <w:rtl/>
        </w:rPr>
      </w:pPr>
      <w:r w:rsidRPr="004547CD">
        <w:rPr>
          <w:rFonts w:cs="FrankRuehl" w:hint="cs"/>
          <w:sz w:val="20"/>
          <w:szCs w:val="22"/>
          <w:rtl/>
        </w:rPr>
        <w:t xml:space="preserve">הסכם 2014 עוסק בבעיות העיקריות שהועלו לעיל. הוא נועד ליישב את המחלוקות בין המשטרה לשב"ס, והוא כולל הסכמות המתייחסות לתחומי האחריות, למשימות הנדרשות מכל אחד מהארגונים ולחלוקת המשאבים ביניהם. </w:t>
      </w:r>
    </w:p>
    <w:p w:rsidR="006259B3" w:rsidRPr="004547CD" w:rsidP="008A6D26">
      <w:pPr>
        <w:spacing w:after="120" w:line="230" w:lineRule="exact"/>
        <w:ind w:left="340"/>
        <w:jc w:val="both"/>
        <w:rPr>
          <w:rFonts w:cs="FrankRuehl"/>
          <w:sz w:val="20"/>
          <w:szCs w:val="22"/>
          <w:rtl/>
        </w:rPr>
      </w:pPr>
      <w:r w:rsidRPr="004547CD">
        <w:rPr>
          <w:rFonts w:cs="FrankRuehl" w:hint="cs"/>
          <w:sz w:val="20"/>
          <w:szCs w:val="22"/>
          <w:rtl/>
        </w:rPr>
        <w:t xml:space="preserve">באותו החודש כתב רח"ט שיטור וקהילה במשטרה לראש אג"מ: "מאז חתימת המסמך [הסכם 2014] ועד לרגע זה, גורמי הפיקוד, המטה והשטח בשב"ס, לא מכירים בו, לא מיישמים אותו ולא הוציאו כל הנחיה כתובה בהתייחס אליו". הוא הוסיף שהמשטרה נתקלת בחוסר שיתוף פעולה מצד גורמים בשב"ס הטוענים לקשיים ולחוסר יכולת לעמוד בהסכם שנחתם. הוא טען כי המצב שנוצר הוא בלתי נסבל וגורם למתיחות ולתסכול. </w:t>
      </w:r>
    </w:p>
    <w:p w:rsidR="006259B3" w:rsidRPr="004547CD" w:rsidP="008A6D26">
      <w:pPr>
        <w:spacing w:after="120" w:line="230" w:lineRule="exact"/>
        <w:ind w:left="340"/>
        <w:jc w:val="both"/>
        <w:rPr>
          <w:rFonts w:cs="FrankRuehl"/>
          <w:sz w:val="20"/>
          <w:szCs w:val="22"/>
          <w:rtl/>
        </w:rPr>
      </w:pPr>
      <w:r w:rsidRPr="004547CD">
        <w:rPr>
          <w:rFonts w:cs="FrankRuehl" w:hint="eastAsia"/>
          <w:sz w:val="20"/>
          <w:szCs w:val="22"/>
          <w:rtl/>
        </w:rPr>
        <w:t>יצוין</w:t>
      </w:r>
      <w:r w:rsidRPr="004547CD">
        <w:rPr>
          <w:rFonts w:cs="FrankRuehl"/>
          <w:sz w:val="20"/>
          <w:szCs w:val="22"/>
          <w:rtl/>
        </w:rPr>
        <w:t xml:space="preserve"> </w:t>
      </w:r>
      <w:r w:rsidRPr="004547CD">
        <w:rPr>
          <w:rFonts w:cs="FrankRuehl" w:hint="eastAsia"/>
          <w:sz w:val="20"/>
          <w:szCs w:val="22"/>
          <w:rtl/>
        </w:rPr>
        <w:t>כי</w:t>
      </w:r>
      <w:r w:rsidRPr="004547CD">
        <w:rPr>
          <w:rFonts w:cs="FrankRuehl"/>
          <w:sz w:val="20"/>
          <w:szCs w:val="22"/>
          <w:rtl/>
        </w:rPr>
        <w:t xml:space="preserve"> </w:t>
      </w:r>
      <w:r w:rsidRPr="004547CD">
        <w:rPr>
          <w:rFonts w:cs="FrankRuehl" w:hint="eastAsia"/>
          <w:sz w:val="20"/>
          <w:szCs w:val="22"/>
          <w:rtl/>
        </w:rPr>
        <w:t>סמוך</w:t>
      </w:r>
      <w:r w:rsidRPr="004547CD">
        <w:rPr>
          <w:rFonts w:cs="FrankRuehl" w:hint="cs"/>
          <w:sz w:val="20"/>
          <w:szCs w:val="22"/>
          <w:rtl/>
        </w:rPr>
        <w:t xml:space="preserve"> ל</w:t>
      </w:r>
      <w:r w:rsidRPr="004547CD">
        <w:rPr>
          <w:rFonts w:cs="FrankRuehl" w:hint="eastAsia"/>
          <w:sz w:val="20"/>
          <w:szCs w:val="22"/>
          <w:rtl/>
        </w:rPr>
        <w:t>חתימ</w:t>
      </w:r>
      <w:r w:rsidRPr="004547CD">
        <w:rPr>
          <w:rFonts w:cs="FrankRuehl" w:hint="cs"/>
          <w:sz w:val="20"/>
          <w:szCs w:val="22"/>
          <w:rtl/>
        </w:rPr>
        <w:t>ה על</w:t>
      </w:r>
      <w:r w:rsidRPr="004547CD">
        <w:rPr>
          <w:rFonts w:cs="FrankRuehl"/>
          <w:sz w:val="20"/>
          <w:szCs w:val="22"/>
          <w:rtl/>
        </w:rPr>
        <w:t xml:space="preserve"> הסכם </w:t>
      </w:r>
      <w:r w:rsidRPr="004547CD">
        <w:rPr>
          <w:rFonts w:cs="FrankRuehl" w:hint="cs"/>
          <w:sz w:val="20"/>
          <w:szCs w:val="22"/>
          <w:rtl/>
        </w:rPr>
        <w:t>2014</w:t>
      </w:r>
      <w:r w:rsidRPr="004547CD">
        <w:rPr>
          <w:rFonts w:cs="FrankRuehl"/>
          <w:sz w:val="20"/>
          <w:szCs w:val="22"/>
          <w:rtl/>
        </w:rPr>
        <w:t xml:space="preserve"> </w:t>
      </w:r>
      <w:r w:rsidRPr="004547CD">
        <w:rPr>
          <w:rFonts w:cs="FrankRuehl" w:hint="cs"/>
          <w:sz w:val="20"/>
          <w:szCs w:val="22"/>
          <w:rtl/>
        </w:rPr>
        <w:t xml:space="preserve">הפיצה </w:t>
      </w:r>
      <w:r w:rsidRPr="004547CD">
        <w:rPr>
          <w:rFonts w:cs="FrankRuehl"/>
          <w:sz w:val="20"/>
          <w:szCs w:val="22"/>
          <w:rtl/>
        </w:rPr>
        <w:t>ה</w:t>
      </w:r>
      <w:r w:rsidRPr="004547CD">
        <w:rPr>
          <w:rFonts w:cs="FrankRuehl" w:hint="cs"/>
          <w:sz w:val="20"/>
          <w:szCs w:val="22"/>
          <w:rtl/>
        </w:rPr>
        <w:t xml:space="preserve">משטרה </w:t>
      </w:r>
      <w:r w:rsidRPr="004547CD">
        <w:rPr>
          <w:rFonts w:cs="FrankRuehl" w:hint="eastAsia"/>
          <w:sz w:val="20"/>
          <w:szCs w:val="22"/>
          <w:rtl/>
        </w:rPr>
        <w:t>הנחיות</w:t>
      </w:r>
      <w:r w:rsidRPr="004547CD">
        <w:rPr>
          <w:rFonts w:cs="FrankRuehl"/>
          <w:sz w:val="20"/>
          <w:szCs w:val="22"/>
          <w:rtl/>
        </w:rPr>
        <w:t xml:space="preserve"> </w:t>
      </w:r>
      <w:r w:rsidRPr="004547CD">
        <w:rPr>
          <w:rFonts w:cs="FrankRuehl" w:hint="eastAsia"/>
          <w:sz w:val="20"/>
          <w:szCs w:val="22"/>
          <w:rtl/>
        </w:rPr>
        <w:t>והחל</w:t>
      </w:r>
      <w:r w:rsidRPr="004547CD">
        <w:rPr>
          <w:rFonts w:cs="FrankRuehl" w:hint="cs"/>
          <w:sz w:val="20"/>
          <w:szCs w:val="22"/>
          <w:rtl/>
        </w:rPr>
        <w:t>ה</w:t>
      </w:r>
      <w:r w:rsidRPr="004547CD">
        <w:rPr>
          <w:rFonts w:cs="FrankRuehl"/>
          <w:sz w:val="20"/>
          <w:szCs w:val="22"/>
          <w:rtl/>
        </w:rPr>
        <w:t xml:space="preserve"> בהטמעת השינויים</w:t>
      </w:r>
      <w:r w:rsidRPr="004547CD">
        <w:rPr>
          <w:rFonts w:cs="FrankRuehl" w:hint="cs"/>
          <w:sz w:val="20"/>
          <w:szCs w:val="22"/>
          <w:rtl/>
        </w:rPr>
        <w:t>.</w:t>
      </w:r>
      <w:r w:rsidRPr="004547CD">
        <w:rPr>
          <w:rFonts w:cs="FrankRuehl"/>
          <w:sz w:val="20"/>
          <w:szCs w:val="22"/>
          <w:rtl/>
        </w:rPr>
        <w:t xml:space="preserve"> </w:t>
      </w:r>
      <w:r w:rsidRPr="004547CD">
        <w:rPr>
          <w:rFonts w:cs="FrankRuehl" w:hint="cs"/>
          <w:sz w:val="20"/>
          <w:szCs w:val="22"/>
          <w:rtl/>
        </w:rPr>
        <w:t xml:space="preserve">נוסף על כך, הונחו תחנות המשטרה לדווח למטה על אודות כל מחלוקת או תקלה ביחס </w:t>
      </w:r>
      <w:r w:rsidRPr="004547CD">
        <w:rPr>
          <w:rFonts w:cs="FrankRuehl" w:hint="cs"/>
          <w:sz w:val="20"/>
          <w:szCs w:val="22"/>
          <w:rtl/>
        </w:rPr>
        <w:t>להסכם ההבנות. התחנות גם הונחו להימנע הימנעות מוחלטת מהסכמים מקומיים שיש בהם ויתור, ולו הקל ביותר, לגורמי שב"ס על מחויבויות מצדם שנקבעו בהסכמי ההבנות.</w:t>
      </w:r>
    </w:p>
    <w:p w:rsidR="006259B3" w:rsidRPr="004547CD" w:rsidP="00511955">
      <w:pPr>
        <w:spacing w:after="240" w:line="230" w:lineRule="exact"/>
        <w:ind w:left="340"/>
        <w:jc w:val="both"/>
        <w:rPr>
          <w:rFonts w:cs="FrankRuehl"/>
          <w:sz w:val="20"/>
          <w:szCs w:val="22"/>
          <w:rtl/>
        </w:rPr>
      </w:pPr>
      <w:r w:rsidRPr="004547CD">
        <w:rPr>
          <w:rFonts w:cs="FrankRuehl" w:hint="cs"/>
          <w:sz w:val="20"/>
          <w:szCs w:val="22"/>
          <w:rtl/>
        </w:rPr>
        <w:t>מנגד רק ביולי 2014 הוציאה ראש מחלקת האסיר בשב"ס (להלן - רמ"ח האסיר) מסמך ובו פירוט ההסכמות בין המשטרה לשב"ס. במסמך היא ציינה כי "מימוש הסכם ההבנות מצוי עדיין בדיונים מול משטרת ישראל, המשרד לבט"פ ושב"ס, כאשר ברקע ישנה דרישה של משטרת ישראל לביצוע הליווי לבתי מעצר שאינם בתחום הטריטוריאלי ע"י שב"ס, כאשר יש התנגדות נמרצת לכך מצד שב"ס". בסיום המסמך כתבה רמ"ח האסיר: "עלינו לפעול לקליטה מיטבית, ללא תקלות בבתי מעצר טריטוריאליים ככל שהדבר אפשרי וניתן, כן יש לצמצם העברות מחוץ לבית המעצר הרלבנטי ולפעול לקליטת העצורים".</w:t>
      </w:r>
    </w:p>
    <w:p w:rsidR="006259B3" w:rsidP="00511955">
      <w:pPr>
        <w:pStyle w:val="RESHET"/>
        <w:ind w:left="567"/>
      </w:pPr>
      <w:r w:rsidRPr="004547CD">
        <w:rPr>
          <w:rFonts w:hint="cs"/>
          <w:rtl/>
        </w:rPr>
        <w:t xml:space="preserve">לטענת המשטרה קציניה הועמדו במצב לא נעים מול פקודיהם, לאחר שאלו הטמיעו את ההסכם החדש, אולם נאלצו להמשיך להתמודד עם הבעיות הישנות. גם </w:t>
      </w:r>
      <w:r w:rsidRPr="004547CD">
        <w:rPr>
          <w:rFonts w:hint="eastAsia"/>
          <w:rtl/>
        </w:rPr>
        <w:t>הציפייה</w:t>
      </w:r>
      <w:r w:rsidRPr="004547CD">
        <w:rPr>
          <w:rtl/>
        </w:rPr>
        <w:t xml:space="preserve"> </w:t>
      </w:r>
      <w:r w:rsidRPr="004547CD">
        <w:rPr>
          <w:rFonts w:hint="eastAsia"/>
          <w:rtl/>
        </w:rPr>
        <w:t>של</w:t>
      </w:r>
      <w:r w:rsidRPr="004547CD">
        <w:rPr>
          <w:rtl/>
        </w:rPr>
        <w:t xml:space="preserve"> </w:t>
      </w:r>
      <w:r w:rsidRPr="004547CD">
        <w:rPr>
          <w:rFonts w:hint="eastAsia"/>
          <w:rtl/>
        </w:rPr>
        <w:t>גורמי</w:t>
      </w:r>
      <w:r w:rsidRPr="004547CD">
        <w:rPr>
          <w:rtl/>
        </w:rPr>
        <w:t xml:space="preserve"> </w:t>
      </w:r>
      <w:r w:rsidRPr="004547CD">
        <w:rPr>
          <w:rFonts w:hint="eastAsia"/>
          <w:rtl/>
        </w:rPr>
        <w:t>המשטרה</w:t>
      </w:r>
      <w:r w:rsidRPr="004547CD">
        <w:rPr>
          <w:rFonts w:hint="cs"/>
          <w:rtl/>
        </w:rPr>
        <w:t>,</w:t>
      </w:r>
      <w:r w:rsidRPr="004547CD">
        <w:rPr>
          <w:rtl/>
        </w:rPr>
        <w:t xml:space="preserve"> </w:t>
      </w:r>
      <w:r w:rsidRPr="004547CD">
        <w:rPr>
          <w:rFonts w:hint="eastAsia"/>
          <w:rtl/>
        </w:rPr>
        <w:t>שבעקבות</w:t>
      </w:r>
      <w:r w:rsidRPr="004547CD">
        <w:rPr>
          <w:rtl/>
        </w:rPr>
        <w:t xml:space="preserve"> </w:t>
      </w:r>
      <w:r w:rsidRPr="004547CD">
        <w:rPr>
          <w:rFonts w:hint="eastAsia"/>
          <w:rtl/>
        </w:rPr>
        <w:t>ההסכם</w:t>
      </w:r>
      <w:r w:rsidRPr="004547CD">
        <w:rPr>
          <w:rtl/>
        </w:rPr>
        <w:t xml:space="preserve"> </w:t>
      </w:r>
      <w:r w:rsidRPr="004547CD">
        <w:rPr>
          <w:rFonts w:hint="eastAsia"/>
          <w:rtl/>
        </w:rPr>
        <w:t>יופנו</w:t>
      </w:r>
      <w:r w:rsidRPr="004547CD">
        <w:rPr>
          <w:rtl/>
        </w:rPr>
        <w:t xml:space="preserve"> </w:t>
      </w:r>
      <w:r w:rsidRPr="004547CD">
        <w:rPr>
          <w:rFonts w:hint="eastAsia"/>
          <w:rtl/>
        </w:rPr>
        <w:t>שוטרים</w:t>
      </w:r>
      <w:r w:rsidRPr="004547CD">
        <w:rPr>
          <w:rtl/>
        </w:rPr>
        <w:t xml:space="preserve"> </w:t>
      </w:r>
      <w:r w:rsidRPr="004547CD">
        <w:rPr>
          <w:rFonts w:hint="eastAsia"/>
          <w:rtl/>
        </w:rPr>
        <w:t>רבים</w:t>
      </w:r>
      <w:r w:rsidRPr="004547CD">
        <w:rPr>
          <w:rtl/>
        </w:rPr>
        <w:t xml:space="preserve"> </w:t>
      </w:r>
      <w:r w:rsidRPr="004547CD">
        <w:rPr>
          <w:rFonts w:hint="eastAsia"/>
          <w:rtl/>
        </w:rPr>
        <w:t>ממשימות</w:t>
      </w:r>
      <w:r w:rsidRPr="004547CD">
        <w:rPr>
          <w:rtl/>
        </w:rPr>
        <w:t xml:space="preserve"> </w:t>
      </w:r>
      <w:r w:rsidRPr="004547CD">
        <w:rPr>
          <w:rFonts w:hint="eastAsia"/>
          <w:rtl/>
        </w:rPr>
        <w:t>ליווי</w:t>
      </w:r>
      <w:r w:rsidRPr="004547CD">
        <w:rPr>
          <w:rtl/>
        </w:rPr>
        <w:t xml:space="preserve"> </w:t>
      </w:r>
      <w:r w:rsidRPr="004547CD">
        <w:rPr>
          <w:rFonts w:hint="eastAsia"/>
          <w:rtl/>
        </w:rPr>
        <w:t>ושמירה</w:t>
      </w:r>
      <w:r w:rsidRPr="004547CD">
        <w:rPr>
          <w:rtl/>
        </w:rPr>
        <w:t xml:space="preserve"> </w:t>
      </w:r>
      <w:r w:rsidRPr="004547CD">
        <w:rPr>
          <w:rFonts w:hint="eastAsia"/>
          <w:rtl/>
        </w:rPr>
        <w:t>על</w:t>
      </w:r>
      <w:r w:rsidRPr="004547CD">
        <w:rPr>
          <w:rtl/>
        </w:rPr>
        <w:t xml:space="preserve"> </w:t>
      </w:r>
      <w:r w:rsidRPr="004547CD">
        <w:rPr>
          <w:rFonts w:hint="eastAsia"/>
          <w:rtl/>
        </w:rPr>
        <w:t>עצורים</w:t>
      </w:r>
      <w:r w:rsidRPr="004547CD">
        <w:rPr>
          <w:rtl/>
        </w:rPr>
        <w:t xml:space="preserve"> </w:t>
      </w:r>
      <w:r w:rsidRPr="004547CD">
        <w:rPr>
          <w:rFonts w:hint="eastAsia"/>
          <w:rtl/>
        </w:rPr>
        <w:t>למשימותיהם</w:t>
      </w:r>
      <w:r w:rsidRPr="004547CD">
        <w:rPr>
          <w:rtl/>
        </w:rPr>
        <w:t xml:space="preserve"> </w:t>
      </w:r>
      <w:r w:rsidRPr="004547CD">
        <w:rPr>
          <w:rFonts w:hint="eastAsia"/>
          <w:rtl/>
        </w:rPr>
        <w:t>הייעודיות</w:t>
      </w:r>
      <w:r w:rsidRPr="004547CD">
        <w:rPr>
          <w:rtl/>
        </w:rPr>
        <w:t xml:space="preserve"> </w:t>
      </w:r>
      <w:r w:rsidRPr="004547CD">
        <w:rPr>
          <w:rFonts w:hint="eastAsia"/>
          <w:rtl/>
        </w:rPr>
        <w:t>בתחום</w:t>
      </w:r>
      <w:r w:rsidRPr="004547CD">
        <w:rPr>
          <w:rtl/>
        </w:rPr>
        <w:t xml:space="preserve"> </w:t>
      </w:r>
      <w:r w:rsidRPr="004547CD">
        <w:rPr>
          <w:rFonts w:hint="eastAsia"/>
          <w:rtl/>
        </w:rPr>
        <w:t>השיטור</w:t>
      </w:r>
      <w:r w:rsidRPr="004547CD">
        <w:rPr>
          <w:rtl/>
        </w:rPr>
        <w:t xml:space="preserve"> </w:t>
      </w:r>
      <w:r w:rsidRPr="004547CD">
        <w:rPr>
          <w:rFonts w:hint="eastAsia"/>
          <w:rtl/>
        </w:rPr>
        <w:t>והאכיפה</w:t>
      </w:r>
      <w:r w:rsidRPr="004547CD">
        <w:rPr>
          <w:rFonts w:hint="cs"/>
          <w:rtl/>
        </w:rPr>
        <w:t>, לא התממשה. כך לדוגמה, סמוך לחתימה על הסכם 2014 ראש ענף שיטור קהילה (רעש"ק) במחוז מרכז במשטרה ציין מקרה שבו שב"ס לא קלטו עצורים בשל חוסר מקומות. לטענתו, "מיותר לציין כי אנו נראים גרוע מאוד מול הפקודים שלנו ובמיוחד לאור הצגת הנושא רק השבוע ואמירה כי יצאנו לדרך חדשה... מעבר לכך הנושא יצר בלילה עומס על התחנות, ביטל שוטרים שהיו אמורים לפעול בחוץ והופנו לשמירה על העצורים". תלונות דומות התקבלו במשל"ט המשטרה, וגם הן הצביעו על הפערים בין שני הגופים.</w:t>
      </w:r>
    </w:p>
    <w:tbl>
      <w:tblPr>
        <w:bidiVisual/>
        <w:tblW w:w="7031" w:type="dxa"/>
        <w:jc w:val="center"/>
        <w:tblLook w:val="04A0"/>
      </w:tblPr>
      <w:tblGrid>
        <w:gridCol w:w="356"/>
        <w:gridCol w:w="6675"/>
      </w:tblGrid>
      <w:tr w:rsidTr="000907C8">
        <w:tblPrEx>
          <w:tblW w:w="7031" w:type="dxa"/>
          <w:jc w:val="center"/>
          <w:tblLook w:val="04A0"/>
        </w:tblPrEx>
        <w:trPr>
          <w:jc w:val="center"/>
        </w:trPr>
        <w:tc>
          <w:tcPr>
            <w:tcW w:w="356" w:type="dxa"/>
            <w:shd w:val="clear" w:color="auto" w:fill="auto"/>
          </w:tcPr>
          <w:p w:rsidR="00C70295" w:rsidRPr="0001521E" w:rsidP="000907C8">
            <w:pPr>
              <w:keepNext/>
              <w:keepLines/>
              <w:spacing w:before="100" w:after="240" w:line="230" w:lineRule="exact"/>
              <w:rPr>
                <w:rFonts w:cs="FrankRuehl"/>
                <w:sz w:val="20"/>
                <w:szCs w:val="22"/>
                <w:rtl/>
              </w:rPr>
            </w:pPr>
            <w:r>
              <w:rPr>
                <w:rFonts w:cs="FrankRuehl" w:hint="cs"/>
                <w:sz w:val="20"/>
                <w:szCs w:val="22"/>
                <w:rtl/>
              </w:rPr>
              <w:t>2</w:t>
            </w:r>
            <w:r w:rsidRPr="0001521E">
              <w:rPr>
                <w:rFonts w:cs="FrankRuehl" w:hint="cs"/>
                <w:sz w:val="20"/>
                <w:szCs w:val="22"/>
                <w:rtl/>
              </w:rPr>
              <w:t>.</w:t>
            </w:r>
          </w:p>
        </w:tc>
        <w:tc>
          <w:tcPr>
            <w:tcW w:w="0" w:type="auto"/>
            <w:shd w:val="clear" w:color="auto" w:fill="auto"/>
          </w:tcPr>
          <w:p w:rsidR="00C70295" w:rsidP="000907C8">
            <w:pPr>
              <w:pStyle w:val="RESHET"/>
              <w:keepNext/>
              <w:keepLines/>
              <w:rPr>
                <w:rtl/>
              </w:rPr>
            </w:pPr>
            <w:r w:rsidRPr="004547CD">
              <w:rPr>
                <w:rFonts w:hint="cs"/>
                <w:rtl/>
              </w:rPr>
              <w:t>מההערכה שהכין אגף תכנון וארגון במשטרה לאחר החתימה על ההסכם במרץ 2014 עלה שרמת היישום של הסכם 2014 נמוכה מאוד; שמגורמי השב"ס הגיעו הצהרות אשר לפיהן הוא חוזר בו מן החתימה על הסכם ההבנות (כולו או חלקו); כי קיימת פגיעה באמון ההדדי בין הארגונים; כי המשטרה נאלצת לספוג "צעדי ענישה" מצד שב"ס, ושתלונות של המשטרה אינן מטופלות באופן המניח את הדעת ובמקרים רבים הן אינן נענות כלל.</w:t>
            </w:r>
          </w:p>
        </w:tc>
      </w:tr>
    </w:tbl>
    <w:p w:rsidR="006259B3" w:rsidRPr="004547CD" w:rsidP="00C70295">
      <w:pPr>
        <w:spacing w:after="240" w:line="230" w:lineRule="exact"/>
        <w:ind w:left="340"/>
        <w:jc w:val="both"/>
        <w:rPr>
          <w:rFonts w:cs="FrankRuehl"/>
          <w:b/>
          <w:bCs/>
          <w:sz w:val="20"/>
          <w:szCs w:val="22"/>
          <w:rtl/>
        </w:rPr>
      </w:pPr>
      <w:r w:rsidRPr="004547CD">
        <w:rPr>
          <w:rFonts w:cs="FrankRuehl" w:hint="cs"/>
          <w:sz w:val="20"/>
          <w:szCs w:val="22"/>
          <w:rtl/>
        </w:rPr>
        <w:t xml:space="preserve">גם ראש יחידת התייעלות במשטרה כתב בעניין זה לסגן נציב שב"ס כי במשטרה מתקבלים "דיווחים רבים מיחידות השטח הגורסות כי </w:t>
      </w:r>
      <w:r w:rsidRPr="004547CD">
        <w:rPr>
          <w:rFonts w:cs="FrankRuehl" w:hint="cs"/>
          <w:sz w:val="20"/>
          <w:szCs w:val="22"/>
          <w:u w:val="single"/>
          <w:rtl/>
        </w:rPr>
        <w:t>יחידות שב"ס אינן מודעות להסכם כלל</w:t>
      </w:r>
      <w:r w:rsidRPr="004547CD">
        <w:rPr>
          <w:rFonts w:cs="FrankRuehl" w:hint="cs"/>
          <w:sz w:val="20"/>
          <w:szCs w:val="22"/>
          <w:rtl/>
        </w:rPr>
        <w:t xml:space="preserve"> וטרם קיבלו כל הנחייה להתחיל לפעול בהתאם לאמור בו" (ההדגשה במקור). הוא כתב ש"עולות מן השטח טענות קשות בדבר פערים במימוש ההסכמים ובמקרים רבים אפילו חלה ירידה ברמת השירות שניתנת לתחנות ביחס למצב הקודם". לדבריו "פרסום ההבנות והסיכומים התקבל בציפייה דרוכה להתייעלות ולשיפור תהליכי העבודה, ובמקום זאת </w:t>
      </w:r>
      <w:r w:rsidRPr="004547CD">
        <w:rPr>
          <w:rFonts w:cs="FrankRuehl" w:hint="cs"/>
          <w:b/>
          <w:bCs/>
          <w:sz w:val="20"/>
          <w:szCs w:val="22"/>
          <w:u w:val="single"/>
          <w:rtl/>
        </w:rPr>
        <w:t>אנו עדים לנסיגה בכל אחד מן הסעיפים עליהם הוסכם</w:t>
      </w:r>
      <w:r w:rsidRPr="004547CD">
        <w:rPr>
          <w:rFonts w:cs="FrankRuehl" w:hint="cs"/>
          <w:sz w:val="20"/>
          <w:szCs w:val="22"/>
          <w:rtl/>
        </w:rPr>
        <w:t>" (ההדגשה במקור).</w:t>
      </w:r>
      <w:r w:rsidRPr="004547CD">
        <w:rPr>
          <w:rFonts w:cs="FrankRuehl" w:hint="cs"/>
          <w:b/>
          <w:bCs/>
          <w:sz w:val="20"/>
          <w:szCs w:val="22"/>
          <w:rtl/>
        </w:rPr>
        <w:t xml:space="preserve"> </w:t>
      </w:r>
    </w:p>
    <w:p w:rsidR="006259B3" w:rsidRPr="004547CD" w:rsidP="00C70295">
      <w:pPr>
        <w:pStyle w:val="RESHET"/>
        <w:ind w:left="567"/>
        <w:rPr>
          <w:rtl/>
        </w:rPr>
      </w:pPr>
      <w:r w:rsidRPr="004547CD">
        <w:rPr>
          <w:rFonts w:hint="cs"/>
          <w:rtl/>
        </w:rPr>
        <w:t>יוצא אפוא שגם לאחר החתימה על הסכם 2014, שנועד ליישר את ההדורים בין המשטרה ושב"ס, המחלוקות ביניהם לא צומצמו. בפועל, מיד לאחר החתימה התקלות והפערים בין משטרת ישראל לשב"ס המשיכו להתקיים, ובחלק מהמקומות הם אף הועצמו. להלן הפרטים:</w:t>
      </w:r>
    </w:p>
    <w:p w:rsidR="006259B3" w:rsidRPr="004547CD" w:rsidP="008A6D26">
      <w:pPr>
        <w:spacing w:after="120" w:line="230" w:lineRule="exact"/>
        <w:jc w:val="both"/>
        <w:rPr>
          <w:rFonts w:cs="FrankRuehl"/>
          <w:sz w:val="20"/>
          <w:szCs w:val="22"/>
          <w:rtl/>
        </w:rPr>
      </w:pPr>
    </w:p>
    <w:p w:rsidR="006259B3" w:rsidRPr="00596B42" w:rsidP="008A6D26">
      <w:pPr>
        <w:pStyle w:val="KOT6"/>
        <w:rPr>
          <w:rtl/>
        </w:rPr>
      </w:pPr>
      <w:r w:rsidRPr="00596B42">
        <w:rPr>
          <w:rFonts w:hint="eastAsia"/>
          <w:rtl/>
        </w:rPr>
        <w:t>קליטת</w:t>
      </w:r>
      <w:r w:rsidRPr="00596B42">
        <w:rPr>
          <w:rtl/>
        </w:rPr>
        <w:t xml:space="preserve"> </w:t>
      </w:r>
      <w:r w:rsidRPr="00596B42">
        <w:rPr>
          <w:rFonts w:hint="eastAsia"/>
          <w:rtl/>
        </w:rPr>
        <w:t>עצורים</w:t>
      </w:r>
      <w:r w:rsidRPr="00596B42">
        <w:rPr>
          <w:rtl/>
        </w:rPr>
        <w:t xml:space="preserve"> </w:t>
      </w:r>
      <w:r w:rsidRPr="00596B42">
        <w:rPr>
          <w:rFonts w:hint="cs"/>
          <w:rtl/>
        </w:rPr>
        <w:t>חולים ובעלי מגבלות רפואיות</w:t>
      </w:r>
    </w:p>
    <w:p w:rsidR="006259B3" w:rsidRPr="004547CD" w:rsidP="00A37821">
      <w:pPr>
        <w:spacing w:after="120" w:line="230" w:lineRule="exact"/>
        <w:jc w:val="both"/>
        <w:rPr>
          <w:rFonts w:cs="FrankRuehl"/>
          <w:sz w:val="20"/>
          <w:szCs w:val="22"/>
          <w:rtl/>
        </w:rPr>
      </w:pPr>
      <w:r w:rsidRPr="004547CD">
        <w:rPr>
          <w:rFonts w:cs="FrankRuehl" w:hint="eastAsia"/>
          <w:sz w:val="20"/>
          <w:szCs w:val="22"/>
          <w:rtl/>
        </w:rPr>
        <w:t>בהסכמי</w:t>
      </w:r>
      <w:r w:rsidRPr="004547CD">
        <w:rPr>
          <w:rFonts w:cs="FrankRuehl" w:hint="cs"/>
          <w:sz w:val="20"/>
          <w:szCs w:val="22"/>
          <w:rtl/>
        </w:rPr>
        <w:t>ם שנחתמו במחוזות</w:t>
      </w:r>
      <w:r w:rsidRPr="004547CD">
        <w:rPr>
          <w:rFonts w:cs="FrankRuehl"/>
          <w:sz w:val="20"/>
          <w:szCs w:val="22"/>
          <w:rtl/>
        </w:rPr>
        <w:t xml:space="preserve"> נכלל סעיף הקובע כי "שב"ס לא יוכל לסרב לקבל עצור למשמורת </w:t>
      </w:r>
      <w:r w:rsidRPr="004547CD">
        <w:rPr>
          <w:rFonts w:cs="FrankRuehl" w:hint="eastAsia"/>
          <w:sz w:val="20"/>
          <w:szCs w:val="22"/>
          <w:rtl/>
        </w:rPr>
        <w:t>מטעמים</w:t>
      </w:r>
      <w:r w:rsidRPr="004547CD">
        <w:rPr>
          <w:rFonts w:cs="FrankRuehl"/>
          <w:sz w:val="20"/>
          <w:szCs w:val="22"/>
          <w:rtl/>
        </w:rPr>
        <w:t xml:space="preserve"> של גיל, מין, מצב בריאותי, סיכון מיוחד או כל טעם דומה. אולם לא יתקבל עצור חבול או שמתלונן על חבלות גופניות ללא אסמכתה על בדיקה רפואית". </w:t>
      </w:r>
      <w:r w:rsidRPr="004547CD">
        <w:rPr>
          <w:rFonts w:cs="FrankRuehl" w:hint="eastAsia"/>
          <w:sz w:val="20"/>
          <w:szCs w:val="22"/>
          <w:rtl/>
        </w:rPr>
        <w:t>לטענת</w:t>
      </w:r>
      <w:r w:rsidRPr="004547CD">
        <w:rPr>
          <w:rFonts w:cs="FrankRuehl"/>
          <w:sz w:val="20"/>
          <w:szCs w:val="22"/>
          <w:rtl/>
        </w:rPr>
        <w:t xml:space="preserve"> </w:t>
      </w:r>
      <w:r w:rsidRPr="004547CD">
        <w:rPr>
          <w:rFonts w:cs="FrankRuehl" w:hint="eastAsia"/>
          <w:sz w:val="20"/>
          <w:szCs w:val="22"/>
          <w:rtl/>
        </w:rPr>
        <w:t>המשטרה</w:t>
      </w:r>
      <w:r w:rsidRPr="004547CD">
        <w:rPr>
          <w:rFonts w:cs="FrankRuehl"/>
          <w:sz w:val="20"/>
          <w:szCs w:val="22"/>
          <w:rtl/>
        </w:rPr>
        <w:t xml:space="preserve"> </w:t>
      </w:r>
      <w:r w:rsidRPr="004547CD">
        <w:rPr>
          <w:rFonts w:cs="FrankRuehl" w:hint="eastAsia"/>
          <w:sz w:val="20"/>
          <w:szCs w:val="22"/>
          <w:rtl/>
        </w:rPr>
        <w:t>עצורים</w:t>
      </w:r>
      <w:r w:rsidRPr="004547CD">
        <w:rPr>
          <w:rFonts w:cs="FrankRuehl"/>
          <w:sz w:val="20"/>
          <w:szCs w:val="22"/>
          <w:rtl/>
        </w:rPr>
        <w:t xml:space="preserve"> </w:t>
      </w:r>
      <w:r w:rsidRPr="004547CD">
        <w:rPr>
          <w:rFonts w:cs="FrankRuehl" w:hint="eastAsia"/>
          <w:sz w:val="20"/>
          <w:szCs w:val="22"/>
          <w:rtl/>
        </w:rPr>
        <w:t>רבים</w:t>
      </w:r>
      <w:r w:rsidRPr="004547CD">
        <w:rPr>
          <w:rFonts w:cs="FrankRuehl"/>
          <w:sz w:val="20"/>
          <w:szCs w:val="22"/>
          <w:rtl/>
        </w:rPr>
        <w:t xml:space="preserve"> </w:t>
      </w:r>
      <w:r w:rsidRPr="004547CD">
        <w:rPr>
          <w:rFonts w:cs="FrankRuehl" w:hint="eastAsia"/>
          <w:sz w:val="20"/>
          <w:szCs w:val="22"/>
          <w:rtl/>
        </w:rPr>
        <w:t>נשלחו</w:t>
      </w:r>
      <w:r w:rsidRPr="004547CD">
        <w:rPr>
          <w:rFonts w:cs="FrankRuehl"/>
          <w:sz w:val="20"/>
          <w:szCs w:val="22"/>
          <w:rtl/>
        </w:rPr>
        <w:t xml:space="preserve"> לבדיקות בתי חולים בליווי שוטרים מבלי שהיה </w:t>
      </w:r>
      <w:r w:rsidRPr="004547CD">
        <w:rPr>
          <w:rFonts w:cs="FrankRuehl" w:hint="eastAsia"/>
          <w:sz w:val="20"/>
          <w:szCs w:val="22"/>
          <w:rtl/>
        </w:rPr>
        <w:t>בכך</w:t>
      </w:r>
      <w:r w:rsidRPr="004547CD">
        <w:rPr>
          <w:rFonts w:cs="FrankRuehl"/>
          <w:sz w:val="20"/>
          <w:szCs w:val="22"/>
          <w:rtl/>
        </w:rPr>
        <w:t xml:space="preserve"> </w:t>
      </w:r>
      <w:r w:rsidRPr="004547CD">
        <w:rPr>
          <w:rFonts w:cs="FrankRuehl" w:hint="eastAsia"/>
          <w:sz w:val="20"/>
          <w:szCs w:val="22"/>
          <w:rtl/>
        </w:rPr>
        <w:t>כל</w:t>
      </w:r>
      <w:r w:rsidRPr="004547CD">
        <w:rPr>
          <w:rFonts w:cs="FrankRuehl"/>
          <w:sz w:val="20"/>
          <w:szCs w:val="22"/>
          <w:rtl/>
        </w:rPr>
        <w:t xml:space="preserve"> </w:t>
      </w:r>
      <w:r w:rsidRPr="004547CD">
        <w:rPr>
          <w:rFonts w:cs="FrankRuehl" w:hint="eastAsia"/>
          <w:sz w:val="20"/>
          <w:szCs w:val="22"/>
          <w:rtl/>
        </w:rPr>
        <w:t>צורך</w:t>
      </w:r>
      <w:r w:rsidRPr="004547CD">
        <w:rPr>
          <w:rFonts w:cs="FrankRuehl"/>
          <w:sz w:val="20"/>
          <w:szCs w:val="22"/>
          <w:rtl/>
        </w:rPr>
        <w:t xml:space="preserve"> (בעניין </w:t>
      </w:r>
      <w:r w:rsidRPr="004547CD">
        <w:rPr>
          <w:rFonts w:cs="FrankRuehl" w:hint="eastAsia"/>
          <w:sz w:val="20"/>
          <w:szCs w:val="22"/>
          <w:rtl/>
        </w:rPr>
        <w:t>זה</w:t>
      </w:r>
      <w:r w:rsidRPr="004547CD">
        <w:rPr>
          <w:rFonts w:cs="FrankRuehl"/>
          <w:sz w:val="20"/>
          <w:szCs w:val="22"/>
          <w:rtl/>
        </w:rPr>
        <w:t xml:space="preserve"> </w:t>
      </w:r>
      <w:r w:rsidRPr="004547CD">
        <w:rPr>
          <w:rFonts w:cs="FrankRuehl" w:hint="eastAsia"/>
          <w:sz w:val="20"/>
          <w:szCs w:val="22"/>
          <w:rtl/>
        </w:rPr>
        <w:t>ראו</w:t>
      </w:r>
      <w:r w:rsidRPr="004547CD">
        <w:rPr>
          <w:rFonts w:cs="FrankRuehl"/>
          <w:sz w:val="20"/>
          <w:szCs w:val="22"/>
          <w:rtl/>
        </w:rPr>
        <w:t xml:space="preserve"> </w:t>
      </w:r>
      <w:r w:rsidRPr="004547CD">
        <w:rPr>
          <w:rFonts w:cs="FrankRuehl" w:hint="eastAsia"/>
          <w:sz w:val="20"/>
          <w:szCs w:val="22"/>
          <w:rtl/>
        </w:rPr>
        <w:t>להלן</w:t>
      </w:r>
      <w:r w:rsidRPr="004547CD">
        <w:rPr>
          <w:rFonts w:cs="FrankRuehl"/>
          <w:sz w:val="20"/>
          <w:szCs w:val="22"/>
          <w:rtl/>
        </w:rPr>
        <w:t xml:space="preserve">). </w:t>
      </w:r>
    </w:p>
    <w:p w:rsidR="006259B3" w:rsidRPr="004547CD" w:rsidP="008A6D26">
      <w:pPr>
        <w:spacing w:after="120" w:line="230" w:lineRule="exact"/>
        <w:jc w:val="both"/>
        <w:rPr>
          <w:rFonts w:cs="FrankRuehl"/>
          <w:sz w:val="20"/>
          <w:szCs w:val="22"/>
          <w:rtl/>
        </w:rPr>
      </w:pPr>
      <w:r w:rsidRPr="004547CD">
        <w:rPr>
          <w:rFonts w:cs="FrankRuehl" w:hint="eastAsia"/>
          <w:sz w:val="20"/>
          <w:szCs w:val="22"/>
          <w:rtl/>
        </w:rPr>
        <w:t>בהסכם</w:t>
      </w:r>
      <w:r w:rsidRPr="004547CD">
        <w:rPr>
          <w:rFonts w:cs="FrankRuehl"/>
          <w:sz w:val="20"/>
          <w:szCs w:val="22"/>
          <w:rtl/>
        </w:rPr>
        <w:t xml:space="preserve"> 2014 </w:t>
      </w:r>
      <w:r w:rsidRPr="004547CD">
        <w:rPr>
          <w:rFonts w:cs="FrankRuehl" w:hint="eastAsia"/>
          <w:sz w:val="20"/>
          <w:szCs w:val="22"/>
          <w:rtl/>
        </w:rPr>
        <w:t>נ</w:t>
      </w:r>
      <w:r w:rsidRPr="004547CD">
        <w:rPr>
          <w:rFonts w:cs="FrankRuehl" w:hint="cs"/>
          <w:sz w:val="20"/>
          <w:szCs w:val="22"/>
          <w:rtl/>
        </w:rPr>
        <w:t xml:space="preserve">וספו הבהרות לסעיפים בהסכמי ההבנות המחוזיים משנת 2008 בנוגע לדרישה לקליטת עצורים ללא תלות במצבם הבריאותי, ובנוגע לכך ששב"ס מחויב לקלוט כל עצור פרט לעצור חבול או לעצור שמתלונן על חבלות גופניות. אחת ההבהרות התייחסה להגדרה של "חבלה", ולפיה "עצור חבול הנו עציר שנפגע בזמן המעצר או בסמוך לו, הנושא על גופו חבלות או שטוען כי נחבל". </w:t>
      </w:r>
    </w:p>
    <w:p w:rsidR="006259B3" w:rsidRPr="004547CD" w:rsidP="00C70295">
      <w:pPr>
        <w:spacing w:after="240" w:line="230" w:lineRule="exact"/>
        <w:jc w:val="both"/>
        <w:rPr>
          <w:rFonts w:cs="FrankRuehl"/>
          <w:sz w:val="20"/>
          <w:szCs w:val="22"/>
          <w:rtl/>
        </w:rPr>
      </w:pPr>
      <w:r w:rsidRPr="004547CD">
        <w:rPr>
          <w:rFonts w:cs="FrankRuehl" w:hint="eastAsia"/>
          <w:sz w:val="20"/>
          <w:szCs w:val="22"/>
          <w:rtl/>
        </w:rPr>
        <w:t>לפי</w:t>
      </w:r>
      <w:r w:rsidRPr="004547CD">
        <w:rPr>
          <w:rFonts w:cs="FrankRuehl"/>
          <w:sz w:val="20"/>
          <w:szCs w:val="22"/>
          <w:rtl/>
        </w:rPr>
        <w:t xml:space="preserve"> הסכם 2014</w:t>
      </w:r>
      <w:r w:rsidRPr="004547CD">
        <w:rPr>
          <w:rFonts w:cs="FrankRuehl" w:hint="cs"/>
          <w:sz w:val="20"/>
          <w:szCs w:val="22"/>
          <w:rtl/>
        </w:rPr>
        <w:t xml:space="preserve">, </w:t>
      </w:r>
      <w:r w:rsidRPr="004547CD">
        <w:rPr>
          <w:rFonts w:cs="FrankRuehl" w:hint="eastAsia"/>
          <w:sz w:val="20"/>
          <w:szCs w:val="22"/>
          <w:rtl/>
        </w:rPr>
        <w:t>שב</w:t>
      </w:r>
      <w:r w:rsidRPr="004547CD">
        <w:rPr>
          <w:rFonts w:cs="FrankRuehl"/>
          <w:sz w:val="20"/>
          <w:szCs w:val="22"/>
          <w:rtl/>
        </w:rPr>
        <w:t xml:space="preserve">"ס </w:t>
      </w:r>
      <w:r w:rsidRPr="004547CD">
        <w:rPr>
          <w:rFonts w:cs="FrankRuehl" w:hint="eastAsia"/>
          <w:sz w:val="20"/>
          <w:szCs w:val="22"/>
          <w:rtl/>
        </w:rPr>
        <w:t>יקלוט</w:t>
      </w:r>
      <w:r w:rsidRPr="004547CD">
        <w:rPr>
          <w:rFonts w:cs="FrankRuehl"/>
          <w:sz w:val="20"/>
          <w:szCs w:val="22"/>
          <w:rtl/>
        </w:rPr>
        <w:t xml:space="preserve"> </w:t>
      </w:r>
      <w:r w:rsidRPr="004547CD">
        <w:rPr>
          <w:rFonts w:cs="FrankRuehl" w:hint="eastAsia"/>
          <w:sz w:val="20"/>
          <w:szCs w:val="22"/>
          <w:rtl/>
        </w:rPr>
        <w:t>כל</w:t>
      </w:r>
      <w:r w:rsidRPr="004547CD">
        <w:rPr>
          <w:rFonts w:cs="FrankRuehl"/>
          <w:sz w:val="20"/>
          <w:szCs w:val="22"/>
          <w:rtl/>
        </w:rPr>
        <w:t xml:space="preserve"> עצור ללא תלות במצבו הבריאותי, </w:t>
      </w:r>
      <w:r w:rsidRPr="004547CD">
        <w:rPr>
          <w:rFonts w:cs="FrankRuehl" w:hint="cs"/>
          <w:sz w:val="20"/>
          <w:szCs w:val="22"/>
          <w:rtl/>
        </w:rPr>
        <w:t>כולל חולה במחלה כרונית, נכה או מוגבל אחר. קליטת עצור ששוחרר מאשפוז בבית חולים תהיה על בסיס מכתב השחרור, ללא צורך בעיכוב נוסף. עצור הזכאי לטיפול רפואי תרופתי יקבל את הטיפול באמצעות שב</w:t>
      </w:r>
      <w:r w:rsidRPr="004547CD">
        <w:rPr>
          <w:rFonts w:cs="FrankRuehl"/>
          <w:sz w:val="20"/>
          <w:szCs w:val="22"/>
          <w:rtl/>
        </w:rPr>
        <w:t>"</w:t>
      </w:r>
      <w:r w:rsidRPr="004547CD">
        <w:rPr>
          <w:rFonts w:cs="FrankRuehl" w:hint="cs"/>
          <w:sz w:val="20"/>
          <w:szCs w:val="22"/>
          <w:rtl/>
        </w:rPr>
        <w:t>ס</w:t>
      </w:r>
      <w:r>
        <w:rPr>
          <w:rStyle w:val="FootnoteReference"/>
          <w:rFonts w:cs="FrankRuehl"/>
          <w:sz w:val="20"/>
          <w:szCs w:val="22"/>
          <w:rtl/>
        </w:rPr>
        <w:footnoteReference w:id="17"/>
      </w:r>
      <w:r w:rsidRPr="004547CD">
        <w:rPr>
          <w:rFonts w:cs="FrankRuehl" w:hint="cs"/>
          <w:sz w:val="20"/>
          <w:szCs w:val="22"/>
          <w:rtl/>
        </w:rPr>
        <w:t>. באחריות שב</w:t>
      </w:r>
      <w:r w:rsidRPr="004547CD">
        <w:rPr>
          <w:rFonts w:cs="FrankRuehl"/>
          <w:sz w:val="20"/>
          <w:szCs w:val="22"/>
          <w:rtl/>
        </w:rPr>
        <w:t>"</w:t>
      </w:r>
      <w:r w:rsidRPr="004547CD">
        <w:rPr>
          <w:rFonts w:cs="FrankRuehl" w:hint="cs"/>
          <w:sz w:val="20"/>
          <w:szCs w:val="22"/>
          <w:rtl/>
        </w:rPr>
        <w:t>ס להביא עצור הכלוא במתקן שב</w:t>
      </w:r>
      <w:r w:rsidRPr="004547CD">
        <w:rPr>
          <w:rFonts w:cs="FrankRuehl"/>
          <w:sz w:val="20"/>
          <w:szCs w:val="22"/>
          <w:rtl/>
        </w:rPr>
        <w:t>"</w:t>
      </w:r>
      <w:r w:rsidRPr="004547CD">
        <w:rPr>
          <w:rFonts w:cs="FrankRuehl" w:hint="cs"/>
          <w:sz w:val="20"/>
          <w:szCs w:val="22"/>
          <w:rtl/>
        </w:rPr>
        <w:t>ס לבדיקה רפואית, לרבות בדיקה פסיכיאטרית, או לטיפול בבית חולים או במרפאה. עצור שקיים חשש שהוא סובל מבעיה פסיכיאטרית ייקלט בידי שב"ס, למעט במקרה שהוא אובחן על-ידי רופא בית המעצר כמי שנמצא במצב פסיכוטי. במקרה כזה הוא יופנה לבדיקה פסיכיאטרית בליווי משטרתי.</w:t>
      </w:r>
    </w:p>
    <w:p w:rsidR="006259B3" w:rsidRPr="004547CD" w:rsidP="00C70295">
      <w:pPr>
        <w:pStyle w:val="RESHET"/>
        <w:rPr>
          <w:rtl/>
        </w:rPr>
      </w:pPr>
      <w:r w:rsidRPr="004547CD">
        <w:rPr>
          <w:rFonts w:hint="cs"/>
          <w:rtl/>
        </w:rPr>
        <w:t xml:space="preserve">נמצא כי חרף החתימה על הסכם 2014, היו פערים רבים בנושא ההיבט הרפואי של קליטת העצורים. במשל"ט המשטרה התקבלו בין היתר תלונות על כך שעצורים המשיכו להישלח לבדיקות בבתי חולים בליווי שוטרים. בעיקר הדברים אמורים לגבי ליוויים לבדיקות פסיכיאטריות, אף שלא היה חשש כי העצורים מצויים במצב פסיכוטי. </w:t>
      </w:r>
    </w:p>
    <w:p w:rsidR="006259B3" w:rsidRPr="004547CD" w:rsidP="00C70295">
      <w:pPr>
        <w:spacing w:before="180" w:after="120" w:line="230" w:lineRule="exact"/>
        <w:jc w:val="both"/>
        <w:rPr>
          <w:rFonts w:cs="FrankRuehl"/>
          <w:sz w:val="20"/>
          <w:szCs w:val="22"/>
          <w:rtl/>
        </w:rPr>
      </w:pPr>
      <w:r w:rsidRPr="004547CD">
        <w:rPr>
          <w:rFonts w:cs="FrankRuehl" w:hint="cs"/>
          <w:sz w:val="20"/>
          <w:szCs w:val="22"/>
          <w:rtl/>
        </w:rPr>
        <w:t>כך לדוגמה, במחלוקת שהתעוררה בנוגע לעצור שהובא על ידי יחידת נחשון לבית המשפט לשם הארכת מעצר, הורה השופט על ביצוע בדיקה פסיכיאטרית בבית החולים "אברבנאל". בשב"ס טענו שהעצור נמצא עדיין ברשות המשטרה וטרם נקלט בשב"ס, ולכן חובת הליווי לבדיקה חלה על המשטרה. מנגד טענה המשטרה כי בהסכמים - גם בישן וגם בחדש - נקבע שעצור הסובל מבעיה פסיכיאטרית שאינו במצב פסיכוטי, יטופל על ידי השב"ס, וכי סוגיה זו אף חודדה והובהרה בהסכם החדש. לטענת המשטרה יחידת נחשון אמנם לקחה את העצור לבדיקה הפסיכיאטרית, אך בתגובה לכך, בימים שלאחר מכן היחידה לא הגיעה כדי להעביר מהתחנה עצורים לבית המשפט ולבית המעצר, והניידות נאלצו לעשות את עבודת הליווי במקומה.</w:t>
      </w:r>
    </w:p>
    <w:p w:rsidR="006259B3" w:rsidRPr="004547CD" w:rsidP="008A6D26">
      <w:pPr>
        <w:spacing w:after="120" w:line="230" w:lineRule="exact"/>
        <w:jc w:val="both"/>
        <w:rPr>
          <w:rFonts w:cs="FrankRuehl"/>
          <w:sz w:val="20"/>
          <w:szCs w:val="22"/>
          <w:rtl/>
        </w:rPr>
      </w:pPr>
      <w:r w:rsidRPr="004547CD">
        <w:rPr>
          <w:rFonts w:cs="FrankRuehl" w:hint="cs"/>
          <w:sz w:val="20"/>
          <w:szCs w:val="22"/>
          <w:rtl/>
        </w:rPr>
        <w:t>יצוין שהבעיות ביישום הסכם 2014 אינן מתבטאות רק במחלוקות ביחס לפרשנות ההסכם בין דרגי השטח אלא גם בין הבכירים בשני הגופים. באוגוסט 2014 התקיים דיון של שב"ס והמשטרה בנושא קליטת עצורים בשב"ס. טענות המשטרה היו כדלקמן: לגורמי הרפואה בשב"ס "יד קלה על ההדק" בהפניית עצורים למיון לצורך קבלת אישור כשירות למעצר; קיים פער בקליטת עצורים החולים במחלות מדבקות - ובעיקר אמור הדבר בחולי שחפת; עדיין ישנם קשיים בקליטת עצורים שלהם רקע של מחלה פסיכיאטרית; שב"ס מערים קשיים בקליטת עצורים סיעודיים; שב"ס מרבה לטעון שאין מקומות במרכז רפואי שב"ס (מר"ש); המשטרה נדרשת עדיין לדאוג לציוד עזר רפואי ולתרופות, ובפועל עצורים אינם נקלטים עקב מחסור בהם.</w:t>
      </w:r>
    </w:p>
    <w:p w:rsidR="006259B3" w:rsidRPr="004547CD" w:rsidP="00C70295">
      <w:pPr>
        <w:spacing w:after="240" w:line="230" w:lineRule="exact"/>
        <w:jc w:val="both"/>
        <w:rPr>
          <w:rFonts w:cs="FrankRuehl"/>
          <w:sz w:val="20"/>
          <w:szCs w:val="22"/>
          <w:rtl/>
        </w:rPr>
      </w:pPr>
      <w:r w:rsidRPr="004547CD">
        <w:rPr>
          <w:rFonts w:cs="FrankRuehl" w:hint="cs"/>
          <w:sz w:val="20"/>
          <w:szCs w:val="22"/>
          <w:rtl/>
        </w:rPr>
        <w:t xml:space="preserve">רמ"ח האסיר בשב"ס אמרה בדיון כי "קיימת תקשורת לקויה בהיבט הרפואי, מאחר שבעבר היה רופא מתאם בין שב"ס למשטרה, מה שאינו קיים היום". היא הוסיפה כי לגבי עצורים סיעודיים </w:t>
      </w:r>
      <w:r w:rsidRPr="004547CD">
        <w:rPr>
          <w:rFonts w:cs="FrankRuehl" w:hint="cs"/>
          <w:sz w:val="20"/>
          <w:szCs w:val="22"/>
          <w:rtl/>
        </w:rPr>
        <w:t xml:space="preserve">נדרש מתן פתרון ברמה מחוזית בשב"ס. ראש ענף רפואת האסיר אמר כי "ככלל קיימת בעיה בהנחת היסוד של האמנה לקלוט כל עצור חולה", לדעתו, הבעייה העיקרית נעוצה בתהליך ההעברה של מידע מוקדם על עצור חולה. הוא הציע להקים מנגנון להעברת מידע בין גורמי הרפואה בשב"ס ובמשטרה, וציין שבשב"ס אין את התנאים לקלוט עצורים סיעודיים. </w:t>
      </w:r>
    </w:p>
    <w:p w:rsidR="006259B3" w:rsidRPr="004547CD" w:rsidP="00C70295">
      <w:pPr>
        <w:pStyle w:val="RESHET"/>
        <w:rPr>
          <w:rtl/>
        </w:rPr>
      </w:pPr>
      <w:r w:rsidRPr="004547CD">
        <w:rPr>
          <w:rFonts w:hint="cs"/>
          <w:rtl/>
        </w:rPr>
        <w:t xml:space="preserve">בהסכמי ההבנות מ-2008 נושא קליטת עצורים חולים היה עמום מאוד. רק כעבור למעלה משש שנים, בהסכם 2014, הוכנסו סעיפים העוסקים בתחום הרפואי ונוספו הבהרות, פרטים ועדכונים שנועדו לגשר על הפערים בין המשטרה ושב"ס. </w:t>
      </w:r>
    </w:p>
    <w:p w:rsidR="006259B3" w:rsidRPr="004547CD" w:rsidP="00C70295">
      <w:pPr>
        <w:spacing w:before="180" w:after="120" w:line="230" w:lineRule="exact"/>
        <w:jc w:val="both"/>
        <w:rPr>
          <w:rFonts w:cs="FrankRuehl"/>
          <w:sz w:val="20"/>
          <w:szCs w:val="22"/>
          <w:rtl/>
        </w:rPr>
      </w:pPr>
      <w:r w:rsidRPr="004547CD">
        <w:rPr>
          <w:rFonts w:cs="FrankRuehl" w:hint="cs"/>
          <w:sz w:val="20"/>
          <w:szCs w:val="22"/>
          <w:rtl/>
        </w:rPr>
        <w:t xml:space="preserve">המשטרה כתבה בתשובתה כי "במסמך ההבנות החדש [הסכם 2014] ניתן דגש מפורט יותר וברור יותר בנושא ההיבטים הרפואיים וחלוקת האחריות בין שני הגופים. בהתייחסות לנושאי הרפואה, התקיימה ישיבת עבודה בנדון מול גורמי הרפואה ורמ"ח האסיר, והוכן מסמך המהווה את מתווה ההבנות בין שני הגופים בנושא סוגיית המענה הרפואי לעצורים". </w:t>
      </w:r>
    </w:p>
    <w:p w:rsidR="006259B3" w:rsidRPr="004547CD" w:rsidP="008A6D26">
      <w:pPr>
        <w:spacing w:after="120" w:line="230" w:lineRule="exact"/>
        <w:jc w:val="both"/>
        <w:rPr>
          <w:rFonts w:cs="FrankRuehl"/>
          <w:sz w:val="20"/>
          <w:szCs w:val="22"/>
          <w:rtl/>
        </w:rPr>
      </w:pPr>
      <w:r w:rsidRPr="004547CD">
        <w:rPr>
          <w:rFonts w:cs="FrankRuehl" w:hint="cs"/>
          <w:sz w:val="20"/>
          <w:szCs w:val="22"/>
          <w:rtl/>
        </w:rPr>
        <w:t>שב"ס מסר בתשובתו למשרד מבקר המדינה מדצמבר 2014 כי בנובמבר 2014 התקיים דיון בלשכת ראש אגף האסיר, שבמסגרתו עלו הקשיים בקליטת עצורים והושם דגש על נושא עצורים חולים, וכי העניינים לובנו והובהרו.</w:t>
      </w:r>
    </w:p>
    <w:p w:rsidR="006259B3" w:rsidRPr="004547CD" w:rsidP="00C70295">
      <w:pPr>
        <w:spacing w:after="240" w:line="230" w:lineRule="exact"/>
        <w:jc w:val="both"/>
        <w:rPr>
          <w:rFonts w:cs="FrankRuehl"/>
          <w:sz w:val="20"/>
          <w:szCs w:val="22"/>
          <w:rtl/>
        </w:rPr>
      </w:pPr>
      <w:r w:rsidRPr="004547CD">
        <w:rPr>
          <w:rFonts w:cs="FrankRuehl" w:hint="cs"/>
          <w:sz w:val="20"/>
          <w:szCs w:val="22"/>
          <w:rtl/>
        </w:rPr>
        <w:t xml:space="preserve">המשרד לבט"פ מסר בתשובתו למשרד מבקר המדינה כי יישומו של הסכם 2014 החל מיד עם חתימתו, בדגש על נושאי הקליטה בהיבטים הרפואיים והסדרת משכו של תהליך הקליטה. </w:t>
      </w:r>
    </w:p>
    <w:p w:rsidR="006259B3" w:rsidRPr="004547CD" w:rsidP="00C70295">
      <w:pPr>
        <w:pStyle w:val="RESHET"/>
        <w:rPr>
          <w:rtl/>
        </w:rPr>
      </w:pPr>
      <w:r w:rsidRPr="004547CD">
        <w:rPr>
          <w:rFonts w:hint="cs"/>
          <w:rtl/>
        </w:rPr>
        <w:t xml:space="preserve">למרות ההבהרות שהוכנסו להסכם 2014 בנושא ההיבטים הרפואיים בקליטת עצורים עדיין נותרו קשיים בחלוקת האחריות בין השב"ס למשטרה בנושא זה. המחלוקות הרבות בנושא חייבו הכנת נהלים מפורטים המסדירים את כל ההיבטים הרפואיים - בהתייחסות לסוגי החבלות, המחלות והתרופות - תוך חלוקה ברורה של האחריות לנושאים אלה בין המשטרה לשב"ס, אולם נהלים כאלה לא הוכנו. המשטרה ושב"ס נדרשים להכין את הנהלים האמורים כדי למנוע את הבעיות שעלו כתוצאה מאי-הבהירות בתחום זה. </w:t>
      </w:r>
    </w:p>
    <w:p w:rsidR="006259B3" w:rsidRPr="004547CD" w:rsidP="008A6D26">
      <w:pPr>
        <w:spacing w:after="120" w:line="230" w:lineRule="exact"/>
        <w:jc w:val="both"/>
        <w:rPr>
          <w:rFonts w:cs="FrankRuehl"/>
          <w:sz w:val="20"/>
          <w:szCs w:val="22"/>
          <w:rtl/>
        </w:rPr>
      </w:pPr>
    </w:p>
    <w:p w:rsidR="006259B3" w:rsidRPr="00596B42" w:rsidP="008A6D26">
      <w:pPr>
        <w:pStyle w:val="KOT6"/>
        <w:rPr>
          <w:rtl/>
        </w:rPr>
      </w:pPr>
      <w:r w:rsidRPr="00596B42">
        <w:rPr>
          <w:rFonts w:hint="eastAsia"/>
          <w:rtl/>
        </w:rPr>
        <w:t>קליטת</w:t>
      </w:r>
      <w:r w:rsidRPr="00596B42">
        <w:rPr>
          <w:rtl/>
        </w:rPr>
        <w:t xml:space="preserve"> </w:t>
      </w:r>
      <w:r w:rsidRPr="00596B42">
        <w:rPr>
          <w:rFonts w:hint="eastAsia"/>
          <w:rtl/>
        </w:rPr>
        <w:t>עצורים</w:t>
      </w:r>
      <w:r w:rsidRPr="00596B42">
        <w:rPr>
          <w:rtl/>
        </w:rPr>
        <w:t xml:space="preserve"> </w:t>
      </w:r>
      <w:r w:rsidRPr="00596B42">
        <w:rPr>
          <w:rFonts w:hint="eastAsia"/>
          <w:rtl/>
        </w:rPr>
        <w:t>בבית</w:t>
      </w:r>
      <w:r w:rsidRPr="00596B42">
        <w:rPr>
          <w:rtl/>
        </w:rPr>
        <w:t xml:space="preserve"> </w:t>
      </w:r>
      <w:r w:rsidRPr="00596B42">
        <w:rPr>
          <w:rFonts w:hint="eastAsia"/>
          <w:rtl/>
        </w:rPr>
        <w:t>המעצר</w:t>
      </w:r>
      <w:r w:rsidRPr="00596B42">
        <w:rPr>
          <w:rtl/>
        </w:rPr>
        <w:t xml:space="preserve"> </w:t>
      </w:r>
      <w:r w:rsidRPr="00596B42">
        <w:rPr>
          <w:rFonts w:hint="eastAsia"/>
          <w:rtl/>
        </w:rPr>
        <w:t>הטריטוריאלי</w:t>
      </w:r>
      <w:r w:rsidRPr="00596B42">
        <w:rPr>
          <w:rtl/>
        </w:rPr>
        <w:t xml:space="preserve"> </w:t>
      </w:r>
      <w:r w:rsidRPr="00596B42">
        <w:rPr>
          <w:rFonts w:hint="eastAsia"/>
          <w:rtl/>
        </w:rPr>
        <w:t>של</w:t>
      </w:r>
      <w:r w:rsidRPr="00596B42">
        <w:rPr>
          <w:rtl/>
        </w:rPr>
        <w:t xml:space="preserve"> </w:t>
      </w:r>
      <w:r w:rsidRPr="00596B42">
        <w:rPr>
          <w:rFonts w:hint="eastAsia"/>
          <w:rtl/>
        </w:rPr>
        <w:t>היחידה</w:t>
      </w:r>
      <w:r w:rsidRPr="00596B42">
        <w:rPr>
          <w:rtl/>
        </w:rPr>
        <w:t xml:space="preserve"> </w:t>
      </w:r>
      <w:r w:rsidRPr="00596B42">
        <w:rPr>
          <w:rFonts w:hint="eastAsia"/>
          <w:rtl/>
        </w:rPr>
        <w:t>העוצרת</w:t>
      </w:r>
    </w:p>
    <w:p w:rsidR="006259B3" w:rsidRPr="004547CD" w:rsidP="008A6D26">
      <w:pPr>
        <w:spacing w:after="120" w:line="230" w:lineRule="exact"/>
        <w:jc w:val="both"/>
        <w:rPr>
          <w:rFonts w:cs="FrankRuehl"/>
          <w:sz w:val="20"/>
          <w:szCs w:val="22"/>
          <w:rtl/>
        </w:rPr>
      </w:pPr>
      <w:r w:rsidRPr="004547CD">
        <w:rPr>
          <w:rFonts w:cs="FrankRuehl" w:hint="eastAsia"/>
          <w:sz w:val="20"/>
          <w:szCs w:val="22"/>
          <w:rtl/>
        </w:rPr>
        <w:t>לפי</w:t>
      </w:r>
      <w:r w:rsidRPr="004547CD">
        <w:rPr>
          <w:rFonts w:cs="FrankRuehl"/>
          <w:sz w:val="20"/>
          <w:szCs w:val="22"/>
          <w:rtl/>
        </w:rPr>
        <w:t xml:space="preserve"> הסכם 2014</w:t>
      </w:r>
      <w:r w:rsidRPr="004547CD">
        <w:rPr>
          <w:rFonts w:cs="FrankRuehl" w:hint="cs"/>
          <w:sz w:val="20"/>
          <w:szCs w:val="22"/>
          <w:rtl/>
        </w:rPr>
        <w:t>,</w:t>
      </w:r>
      <w:r w:rsidRPr="004547CD">
        <w:rPr>
          <w:rFonts w:cs="FrankRuehl"/>
          <w:sz w:val="20"/>
          <w:szCs w:val="22"/>
          <w:rtl/>
        </w:rPr>
        <w:t xml:space="preserve"> </w:t>
      </w:r>
      <w:r w:rsidRPr="004547CD">
        <w:rPr>
          <w:rFonts w:cs="FrankRuehl" w:hint="eastAsia"/>
          <w:sz w:val="20"/>
          <w:szCs w:val="22"/>
          <w:rtl/>
        </w:rPr>
        <w:t>קליטת</w:t>
      </w:r>
      <w:r w:rsidRPr="004547CD">
        <w:rPr>
          <w:rFonts w:cs="FrankRuehl"/>
          <w:sz w:val="20"/>
          <w:szCs w:val="22"/>
          <w:rtl/>
        </w:rPr>
        <w:t xml:space="preserve"> עצור </w:t>
      </w:r>
      <w:r w:rsidRPr="004547CD">
        <w:rPr>
          <w:rFonts w:cs="FrankRuehl" w:hint="eastAsia"/>
          <w:sz w:val="20"/>
          <w:szCs w:val="22"/>
          <w:rtl/>
        </w:rPr>
        <w:t>תהיה</w:t>
      </w:r>
      <w:r w:rsidRPr="004547CD">
        <w:rPr>
          <w:rFonts w:cs="FrankRuehl"/>
          <w:sz w:val="20"/>
          <w:szCs w:val="22"/>
          <w:rtl/>
        </w:rPr>
        <w:t xml:space="preserve"> </w:t>
      </w:r>
      <w:r w:rsidRPr="004547CD">
        <w:rPr>
          <w:rFonts w:cs="FrankRuehl" w:hint="eastAsia"/>
          <w:sz w:val="20"/>
          <w:szCs w:val="22"/>
          <w:rtl/>
        </w:rPr>
        <w:t>בבית</w:t>
      </w:r>
      <w:r w:rsidRPr="004547CD">
        <w:rPr>
          <w:rFonts w:cs="FrankRuehl"/>
          <w:sz w:val="20"/>
          <w:szCs w:val="22"/>
          <w:rtl/>
        </w:rPr>
        <w:t xml:space="preserve"> </w:t>
      </w:r>
      <w:r w:rsidRPr="004547CD">
        <w:rPr>
          <w:rFonts w:cs="FrankRuehl" w:hint="eastAsia"/>
          <w:sz w:val="20"/>
          <w:szCs w:val="22"/>
          <w:rtl/>
        </w:rPr>
        <w:t>המעצר</w:t>
      </w:r>
      <w:r w:rsidRPr="004547CD">
        <w:rPr>
          <w:rFonts w:cs="FrankRuehl"/>
          <w:sz w:val="20"/>
          <w:szCs w:val="22"/>
          <w:rtl/>
        </w:rPr>
        <w:t xml:space="preserve"> </w:t>
      </w:r>
      <w:r w:rsidRPr="004547CD">
        <w:rPr>
          <w:rFonts w:cs="FrankRuehl" w:hint="eastAsia"/>
          <w:sz w:val="20"/>
          <w:szCs w:val="22"/>
          <w:rtl/>
        </w:rPr>
        <w:t>הטריטוריאלי</w:t>
      </w:r>
      <w:r w:rsidRPr="004547CD">
        <w:rPr>
          <w:rFonts w:cs="FrankRuehl"/>
          <w:sz w:val="20"/>
          <w:szCs w:val="22"/>
          <w:rtl/>
        </w:rPr>
        <w:t xml:space="preserve"> </w:t>
      </w:r>
      <w:r w:rsidRPr="004547CD">
        <w:rPr>
          <w:rFonts w:cs="FrankRuehl" w:hint="eastAsia"/>
          <w:sz w:val="20"/>
          <w:szCs w:val="22"/>
          <w:rtl/>
        </w:rPr>
        <w:t>של</w:t>
      </w:r>
      <w:r w:rsidRPr="004547CD">
        <w:rPr>
          <w:rFonts w:cs="FrankRuehl"/>
          <w:sz w:val="20"/>
          <w:szCs w:val="22"/>
          <w:rtl/>
        </w:rPr>
        <w:t xml:space="preserve"> </w:t>
      </w:r>
      <w:r w:rsidRPr="004547CD">
        <w:rPr>
          <w:rFonts w:cs="FrankRuehl" w:hint="eastAsia"/>
          <w:sz w:val="20"/>
          <w:szCs w:val="22"/>
          <w:rtl/>
        </w:rPr>
        <w:t>המרחב</w:t>
      </w:r>
      <w:r w:rsidRPr="004547CD">
        <w:rPr>
          <w:rFonts w:cs="FrankRuehl"/>
          <w:sz w:val="20"/>
          <w:szCs w:val="22"/>
          <w:rtl/>
        </w:rPr>
        <w:t xml:space="preserve"> </w:t>
      </w:r>
      <w:r w:rsidRPr="004547CD">
        <w:rPr>
          <w:rFonts w:cs="FrankRuehl" w:hint="cs"/>
          <w:sz w:val="20"/>
          <w:szCs w:val="22"/>
          <w:rtl/>
        </w:rPr>
        <w:t>ש</w:t>
      </w:r>
      <w:r w:rsidRPr="004547CD">
        <w:rPr>
          <w:rFonts w:cs="FrankRuehl" w:hint="eastAsia"/>
          <w:sz w:val="20"/>
          <w:szCs w:val="22"/>
          <w:rtl/>
        </w:rPr>
        <w:t>בו</w:t>
      </w:r>
      <w:r w:rsidRPr="004547CD">
        <w:rPr>
          <w:rFonts w:cs="FrankRuehl"/>
          <w:sz w:val="20"/>
          <w:szCs w:val="22"/>
          <w:rtl/>
        </w:rPr>
        <w:t xml:space="preserve"> </w:t>
      </w:r>
      <w:r w:rsidRPr="004547CD">
        <w:rPr>
          <w:rFonts w:cs="FrankRuehl" w:hint="cs"/>
          <w:sz w:val="20"/>
          <w:szCs w:val="22"/>
          <w:rtl/>
        </w:rPr>
        <w:t>תיערך</w:t>
      </w:r>
      <w:r w:rsidRPr="004547CD">
        <w:rPr>
          <w:rFonts w:cs="FrankRuehl"/>
          <w:sz w:val="20"/>
          <w:szCs w:val="22"/>
          <w:rtl/>
        </w:rPr>
        <w:t xml:space="preserve"> </w:t>
      </w:r>
      <w:r w:rsidRPr="004547CD">
        <w:rPr>
          <w:rFonts w:cs="FrankRuehl" w:hint="eastAsia"/>
          <w:sz w:val="20"/>
          <w:szCs w:val="22"/>
          <w:rtl/>
        </w:rPr>
        <w:t>חקירתו</w:t>
      </w:r>
      <w:r w:rsidRPr="004547CD">
        <w:rPr>
          <w:rFonts w:cs="FrankRuehl" w:hint="cs"/>
          <w:sz w:val="20"/>
          <w:szCs w:val="22"/>
          <w:rtl/>
        </w:rPr>
        <w:t>.</w:t>
      </w:r>
      <w:r w:rsidRPr="004547CD">
        <w:rPr>
          <w:rFonts w:cs="FrankRuehl"/>
          <w:sz w:val="20"/>
          <w:szCs w:val="22"/>
          <w:rtl/>
        </w:rPr>
        <w:t xml:space="preserve"> </w:t>
      </w:r>
      <w:r w:rsidRPr="004547CD">
        <w:rPr>
          <w:rFonts w:cs="FrankRuehl" w:hint="eastAsia"/>
          <w:sz w:val="20"/>
          <w:szCs w:val="22"/>
          <w:rtl/>
        </w:rPr>
        <w:t>במקרים</w:t>
      </w:r>
      <w:r w:rsidRPr="004547CD">
        <w:rPr>
          <w:rFonts w:cs="FrankRuehl"/>
          <w:sz w:val="20"/>
          <w:szCs w:val="22"/>
          <w:rtl/>
        </w:rPr>
        <w:t xml:space="preserve"> </w:t>
      </w:r>
      <w:r w:rsidRPr="004547CD">
        <w:rPr>
          <w:rFonts w:cs="FrankRuehl" w:hint="cs"/>
          <w:sz w:val="20"/>
          <w:szCs w:val="22"/>
          <w:rtl/>
        </w:rPr>
        <w:t>ש</w:t>
      </w:r>
      <w:r w:rsidRPr="004547CD">
        <w:rPr>
          <w:rFonts w:cs="FrankRuehl" w:hint="eastAsia"/>
          <w:sz w:val="20"/>
          <w:szCs w:val="22"/>
          <w:rtl/>
        </w:rPr>
        <w:t>בהם</w:t>
      </w:r>
      <w:r w:rsidRPr="004547CD">
        <w:rPr>
          <w:rFonts w:cs="FrankRuehl"/>
          <w:sz w:val="20"/>
          <w:szCs w:val="22"/>
          <w:rtl/>
        </w:rPr>
        <w:t xml:space="preserve"> </w:t>
      </w:r>
      <w:r w:rsidRPr="004547CD">
        <w:rPr>
          <w:rFonts w:cs="FrankRuehl" w:hint="cs"/>
          <w:sz w:val="20"/>
          <w:szCs w:val="22"/>
          <w:rtl/>
        </w:rPr>
        <w:t>יידרש</w:t>
      </w:r>
      <w:r w:rsidRPr="004547CD">
        <w:rPr>
          <w:rFonts w:cs="FrankRuehl"/>
          <w:sz w:val="20"/>
          <w:szCs w:val="22"/>
          <w:rtl/>
        </w:rPr>
        <w:t xml:space="preserve"> </w:t>
      </w:r>
      <w:r w:rsidRPr="004547CD">
        <w:rPr>
          <w:rFonts w:cs="FrankRuehl" w:hint="cs"/>
          <w:sz w:val="20"/>
          <w:szCs w:val="22"/>
          <w:rtl/>
        </w:rPr>
        <w:t xml:space="preserve">להפנות את </w:t>
      </w:r>
      <w:r w:rsidRPr="004547CD">
        <w:rPr>
          <w:rFonts w:cs="FrankRuehl" w:hint="eastAsia"/>
          <w:sz w:val="20"/>
          <w:szCs w:val="22"/>
          <w:rtl/>
        </w:rPr>
        <w:t>העצור</w:t>
      </w:r>
      <w:r w:rsidRPr="004547CD">
        <w:rPr>
          <w:rFonts w:cs="FrankRuehl"/>
          <w:sz w:val="20"/>
          <w:szCs w:val="22"/>
          <w:rtl/>
        </w:rPr>
        <w:t xml:space="preserve"> </w:t>
      </w:r>
      <w:r w:rsidRPr="004547CD">
        <w:rPr>
          <w:rFonts w:cs="FrankRuehl" w:hint="eastAsia"/>
          <w:sz w:val="20"/>
          <w:szCs w:val="22"/>
          <w:rtl/>
        </w:rPr>
        <w:t>לבית</w:t>
      </w:r>
      <w:r w:rsidRPr="004547CD">
        <w:rPr>
          <w:rFonts w:cs="FrankRuehl"/>
          <w:sz w:val="20"/>
          <w:szCs w:val="22"/>
          <w:rtl/>
        </w:rPr>
        <w:t xml:space="preserve"> </w:t>
      </w:r>
      <w:r w:rsidRPr="004547CD">
        <w:rPr>
          <w:rFonts w:cs="FrankRuehl" w:hint="eastAsia"/>
          <w:sz w:val="20"/>
          <w:szCs w:val="22"/>
          <w:rtl/>
        </w:rPr>
        <w:t>מעצר</w:t>
      </w:r>
      <w:r w:rsidRPr="004547CD">
        <w:rPr>
          <w:rFonts w:cs="FrankRuehl"/>
          <w:sz w:val="20"/>
          <w:szCs w:val="22"/>
          <w:rtl/>
        </w:rPr>
        <w:t xml:space="preserve"> </w:t>
      </w:r>
      <w:r w:rsidRPr="004547CD">
        <w:rPr>
          <w:rFonts w:cs="FrankRuehl" w:hint="eastAsia"/>
          <w:sz w:val="20"/>
          <w:szCs w:val="22"/>
          <w:rtl/>
        </w:rPr>
        <w:t>מחוץ</w:t>
      </w:r>
      <w:r w:rsidRPr="004547CD">
        <w:rPr>
          <w:rFonts w:cs="FrankRuehl"/>
          <w:sz w:val="20"/>
          <w:szCs w:val="22"/>
          <w:rtl/>
        </w:rPr>
        <w:t xml:space="preserve"> </w:t>
      </w:r>
      <w:r w:rsidRPr="004547CD">
        <w:rPr>
          <w:rFonts w:cs="FrankRuehl" w:hint="eastAsia"/>
          <w:sz w:val="20"/>
          <w:szCs w:val="22"/>
          <w:rtl/>
        </w:rPr>
        <w:t>למרחב</w:t>
      </w:r>
      <w:r w:rsidRPr="004547CD">
        <w:rPr>
          <w:rFonts w:cs="FrankRuehl"/>
          <w:sz w:val="20"/>
          <w:szCs w:val="22"/>
          <w:rtl/>
        </w:rPr>
        <w:t xml:space="preserve"> </w:t>
      </w:r>
      <w:r w:rsidRPr="004547CD">
        <w:rPr>
          <w:rFonts w:cs="FrankRuehl" w:hint="eastAsia"/>
          <w:sz w:val="20"/>
          <w:szCs w:val="22"/>
          <w:rtl/>
        </w:rPr>
        <w:t>הטריטוריאלי</w:t>
      </w:r>
      <w:r w:rsidRPr="004547CD">
        <w:rPr>
          <w:rFonts w:cs="FrankRuehl" w:hint="cs"/>
          <w:sz w:val="20"/>
          <w:szCs w:val="22"/>
          <w:rtl/>
        </w:rPr>
        <w:t>,</w:t>
      </w:r>
      <w:r w:rsidRPr="004547CD">
        <w:rPr>
          <w:rFonts w:cs="FrankRuehl"/>
          <w:sz w:val="20"/>
          <w:szCs w:val="22"/>
          <w:rtl/>
        </w:rPr>
        <w:t xml:space="preserve"> </w:t>
      </w:r>
      <w:r w:rsidRPr="004547CD">
        <w:rPr>
          <w:rFonts w:cs="FrankRuehl" w:hint="cs"/>
          <w:sz w:val="20"/>
          <w:szCs w:val="22"/>
          <w:rtl/>
        </w:rPr>
        <w:t xml:space="preserve">יהיה </w:t>
      </w:r>
      <w:r w:rsidRPr="004547CD">
        <w:rPr>
          <w:rFonts w:cs="FrankRuehl"/>
          <w:sz w:val="20"/>
          <w:szCs w:val="22"/>
          <w:rtl/>
        </w:rPr>
        <w:t>הליווי באחריות שב"ס</w:t>
      </w:r>
      <w:r w:rsidRPr="004547CD">
        <w:rPr>
          <w:rFonts w:cs="FrankRuehl" w:hint="cs"/>
          <w:sz w:val="20"/>
          <w:szCs w:val="22"/>
          <w:rtl/>
        </w:rPr>
        <w:t>.</w:t>
      </w:r>
      <w:r w:rsidRPr="004547CD">
        <w:rPr>
          <w:rFonts w:cs="FrankRuehl"/>
          <w:sz w:val="20"/>
          <w:szCs w:val="22"/>
          <w:rtl/>
        </w:rPr>
        <w:t xml:space="preserve"> </w:t>
      </w:r>
    </w:p>
    <w:p w:rsidR="006259B3" w:rsidRPr="004547CD" w:rsidP="00C70295">
      <w:pPr>
        <w:spacing w:after="240" w:line="230" w:lineRule="exact"/>
        <w:jc w:val="both"/>
        <w:rPr>
          <w:rFonts w:cs="FrankRuehl"/>
          <w:sz w:val="20"/>
          <w:szCs w:val="22"/>
          <w:rtl/>
        </w:rPr>
      </w:pPr>
      <w:r w:rsidRPr="004547CD">
        <w:rPr>
          <w:rFonts w:cs="FrankRuehl" w:hint="cs"/>
          <w:sz w:val="20"/>
          <w:szCs w:val="22"/>
          <w:rtl/>
        </w:rPr>
        <w:t>בהסכם 2014 נכתב שבסיכום עבודת המטה הומלץ "שבכל מחוז תיקבענה נקודות מפגש להעברה של עצורים (שנדרש עבורם ויסות למחוז אחר). בנקודות אלה יועבר העצור ממשטרת ישראל לשב"ס, ומכאן ואילך תעבור האחריות לביצוע הליווי לשב"ס".</w:t>
      </w:r>
    </w:p>
    <w:p w:rsidR="006259B3" w:rsidRPr="004547CD" w:rsidP="009235AD">
      <w:pPr>
        <w:pStyle w:val="RESHET"/>
        <w:keepLines/>
        <w:rPr>
          <w:rtl/>
        </w:rPr>
      </w:pPr>
      <w:r w:rsidRPr="004547CD">
        <w:rPr>
          <w:rFonts w:hint="cs"/>
          <w:rtl/>
        </w:rPr>
        <w:t>נמצא כי תלונות רבות הגיעו למשל"ט בנושא ויסות</w:t>
      </w:r>
      <w:r>
        <w:rPr>
          <w:rStyle w:val="FootnoteReference"/>
          <w:rFonts w:cs="FrankRuehl"/>
          <w:rtl/>
        </w:rPr>
        <w:footnoteReference w:id="18"/>
      </w:r>
      <w:r w:rsidRPr="004547CD">
        <w:rPr>
          <w:rFonts w:hint="cs"/>
          <w:rtl/>
        </w:rPr>
        <w:t xml:space="preserve"> העצורים, לרבות לגבי בתי מעצר שלא קלטו עצורים מהטריטוריה שלהם עקב מגבלת מקום או בגלל סכסוכים בין כנופיות ובין עצורים. הסכם 2014 נועד למנוע הישנות מצבים שבהם נאלצו היחידות המשטרתיות לבצע ליוויים בין בתי מעצר בשב"ס, וגם מקרים שבהם נאלצו השוטרים לחזור בבוקר כדי לקחת את העצורים לבית המשפט. מצבים אלה החמירו אפילו יותר נוכח הסירוב של יחידת נחשון לקלוט עצורים כבר בבתי המשפט, וזאת בשל החשש שבית המעצר לא יסכים לקלוט עצורים אלה. </w:t>
      </w:r>
    </w:p>
    <w:p w:rsidR="006259B3" w:rsidRPr="004547CD" w:rsidP="00C70295">
      <w:pPr>
        <w:spacing w:before="180" w:after="120" w:line="230" w:lineRule="exact"/>
        <w:jc w:val="both"/>
        <w:rPr>
          <w:rFonts w:cs="FrankRuehl"/>
          <w:sz w:val="20"/>
          <w:szCs w:val="22"/>
          <w:rtl/>
        </w:rPr>
      </w:pPr>
      <w:r w:rsidRPr="004547CD">
        <w:rPr>
          <w:rFonts w:cs="FrankRuehl" w:hint="cs"/>
          <w:sz w:val="20"/>
          <w:szCs w:val="22"/>
          <w:rtl/>
        </w:rPr>
        <w:t xml:space="preserve">מיד בסמוך לחתימה על הסכם 2014 כתבה רמ"ח האסיר בשב"ס לראש אגף האסיר ולרח"ט כליאה כי "האמנה הנדונה [הסכם 2014] הינה </w:t>
      </w:r>
      <w:r w:rsidRPr="004547CD">
        <w:rPr>
          <w:rFonts w:cs="FrankRuehl" w:hint="cs"/>
          <w:b/>
          <w:bCs/>
          <w:sz w:val="20"/>
          <w:szCs w:val="22"/>
          <w:rtl/>
        </w:rPr>
        <w:t xml:space="preserve">בלתי אפשרית כמעט, ליישום באופן המוצע ובנסיבות הקיימות" </w:t>
      </w:r>
      <w:r w:rsidRPr="004547CD">
        <w:rPr>
          <w:rFonts w:cs="FrankRuehl" w:hint="cs"/>
          <w:sz w:val="20"/>
          <w:szCs w:val="22"/>
          <w:rtl/>
        </w:rPr>
        <w:t>(ההדגשה במקור).</w:t>
      </w:r>
      <w:r w:rsidRPr="004547CD">
        <w:rPr>
          <w:rFonts w:cs="FrankRuehl" w:hint="cs"/>
          <w:b/>
          <w:bCs/>
          <w:sz w:val="20"/>
          <w:szCs w:val="22"/>
          <w:rtl/>
        </w:rPr>
        <w:t xml:space="preserve"> </w:t>
      </w:r>
      <w:r w:rsidRPr="004547CD">
        <w:rPr>
          <w:rFonts w:cs="FrankRuehl" w:hint="cs"/>
          <w:sz w:val="20"/>
          <w:szCs w:val="22"/>
          <w:rtl/>
        </w:rPr>
        <w:t xml:space="preserve">לטענת גורמי שב"ס אמנם לא ניתן למנוע ויסות בתהליך קליטת העצורים, אולם אין ביכולתם לשנע עצורים בין בתי כלא בשעות הלילה, שבמהלכן יחידת נחשון אינה מבצעת העברות. עם זאת הם התחייבו כי הליווי יבוצע למחרת היום על ידי נחשון. </w:t>
      </w:r>
    </w:p>
    <w:p w:rsidR="006259B3" w:rsidRPr="004547CD" w:rsidP="008A6D26">
      <w:pPr>
        <w:spacing w:after="120" w:line="230" w:lineRule="exact"/>
        <w:jc w:val="both"/>
        <w:rPr>
          <w:rFonts w:cs="FrankRuehl"/>
          <w:sz w:val="20"/>
          <w:szCs w:val="22"/>
          <w:rtl/>
        </w:rPr>
      </w:pPr>
      <w:r w:rsidRPr="004547CD">
        <w:rPr>
          <w:rFonts w:cs="FrankRuehl" w:hint="cs"/>
          <w:sz w:val="20"/>
          <w:szCs w:val="22"/>
          <w:rtl/>
        </w:rPr>
        <w:t>שב"ס מסר בתשובתו למשרד מבקר המדינה מדצמבר 2014</w:t>
      </w:r>
      <w:r w:rsidRPr="004547CD">
        <w:rPr>
          <w:rFonts w:cs="FrankRuehl" w:hint="cs"/>
          <w:b/>
          <w:bCs/>
          <w:sz w:val="20"/>
          <w:szCs w:val="22"/>
          <w:rtl/>
        </w:rPr>
        <w:t xml:space="preserve"> </w:t>
      </w:r>
      <w:r w:rsidRPr="004547CD">
        <w:rPr>
          <w:rFonts w:cs="FrankRuehl" w:hint="cs"/>
          <w:sz w:val="20"/>
          <w:szCs w:val="22"/>
          <w:rtl/>
        </w:rPr>
        <w:t>כי עם קבלת הסכם ההבנות התקיימו ישיבות ודיונים רבים עם המשטרה, חלקם במעורבות המשרד לבט"פ וחלקם ללא מעורבותו, אולם בשל אי-ההסכמה על הסעיף המהותי של בית המעצר הטריטוריאלי</w:t>
      </w:r>
      <w:r w:rsidRPr="004547CD">
        <w:rPr>
          <w:rStyle w:val="Heading5Char"/>
          <w:rFonts w:cs="FrankRuehl" w:hint="cs"/>
          <w:bCs w:val="0"/>
          <w:sz w:val="20"/>
          <w:szCs w:val="22"/>
          <w:rtl/>
        </w:rPr>
        <w:t xml:space="preserve"> </w:t>
      </w:r>
      <w:r w:rsidRPr="004547CD">
        <w:rPr>
          <w:rFonts w:cs="FrankRuehl" w:hint="cs"/>
          <w:sz w:val="20"/>
          <w:szCs w:val="22"/>
          <w:rtl/>
        </w:rPr>
        <w:t xml:space="preserve">לא ניתן היה להגיע להבנות ולקדם את יישומן. </w:t>
      </w:r>
    </w:p>
    <w:p w:rsidR="006259B3" w:rsidRPr="004547CD" w:rsidP="00C70295">
      <w:pPr>
        <w:spacing w:after="240" w:line="230" w:lineRule="exact"/>
        <w:jc w:val="both"/>
        <w:rPr>
          <w:rFonts w:cs="FrankRuehl"/>
          <w:sz w:val="20"/>
          <w:szCs w:val="22"/>
          <w:rtl/>
        </w:rPr>
      </w:pPr>
      <w:r w:rsidRPr="004547CD">
        <w:rPr>
          <w:rFonts w:cs="FrankRuehl" w:hint="cs"/>
          <w:sz w:val="20"/>
          <w:szCs w:val="22"/>
          <w:rtl/>
        </w:rPr>
        <w:t xml:space="preserve">המשרד לבט"פ מסר בתשובתו למשרד מבקר המדינה כי לבעיית קליטת עצורים במתקני שב"ס הסמוכים לתחנות משטרת ישראל, יש פתרון שימומש בשני שלבים. בשלב הראשון ההעברה והוויסות ייעשו בשעות הערב והלילה בידי המשטרה ובבוקר בידי שב"ס. בשלב השני שיושלם עד פברואר 2015, העצורים יועברו לבתי מעצר בידי המשטרה. הוויסות בין בתי המעצר והליוויים בבוקר שלמחרת ייעשו בידי שב"ס. </w:t>
      </w:r>
    </w:p>
    <w:p w:rsidR="006259B3" w:rsidRPr="004547CD" w:rsidP="00C70295">
      <w:pPr>
        <w:pStyle w:val="RESHET"/>
        <w:rPr>
          <w:rtl/>
        </w:rPr>
      </w:pPr>
      <w:r w:rsidRPr="004547CD">
        <w:rPr>
          <w:rFonts w:hint="cs"/>
          <w:rtl/>
        </w:rPr>
        <w:t xml:space="preserve">ויסות העצורים הוא נושא המחלוקת העיקרי בין שני הגופים וללא פתרון מוסכם לבעיה זו יימשכו חילוקי הדעות בין הגופים, הפערים ביניהם יעמיקו, יחסיהם יחמירו, עבודתם תיפגע ותביא לפגיעה בעצורים. המשרד לבט"פ נדרש לעגן בכתב, בחתימת שני הצדדים הסדר מפורט המסדיר את מכלול ההיבטים של סוגיה זו, כדי שהמשרד יוכל לעקוב אחרי תהליכי גיבוש ההסכם, לוודא שבסופו של יום אכן יושג פתרון ישים ומוסכם בין הגופים ולעקוב אחרי יישומו. </w:t>
      </w:r>
    </w:p>
    <w:p w:rsidR="006259B3" w:rsidRPr="004547CD" w:rsidP="008A6D26">
      <w:pPr>
        <w:spacing w:after="120" w:line="230" w:lineRule="exact"/>
        <w:jc w:val="both"/>
        <w:rPr>
          <w:rFonts w:cs="FrankRuehl"/>
          <w:sz w:val="20"/>
          <w:szCs w:val="22"/>
          <w:rtl/>
        </w:rPr>
      </w:pPr>
    </w:p>
    <w:p w:rsidR="006259B3" w:rsidRPr="004547CD" w:rsidP="00C70295">
      <w:pPr>
        <w:pStyle w:val="KOT6"/>
        <w:rPr>
          <w:rtl/>
        </w:rPr>
      </w:pPr>
      <w:r w:rsidRPr="004547CD">
        <w:rPr>
          <w:rStyle w:val="Heading5Char"/>
          <w:rFonts w:cs="FrankRuehl" w:hint="cs"/>
          <w:sz w:val="20"/>
          <w:szCs w:val="22"/>
          <w:rtl/>
        </w:rPr>
        <w:t>סבב ג'</w:t>
      </w:r>
    </w:p>
    <w:p w:rsidR="006259B3" w:rsidRPr="004547CD" w:rsidP="008A6D26">
      <w:pPr>
        <w:spacing w:after="120" w:line="230" w:lineRule="exact"/>
        <w:jc w:val="both"/>
        <w:rPr>
          <w:rFonts w:cs="FrankRuehl"/>
          <w:sz w:val="20"/>
          <w:szCs w:val="22"/>
          <w:rtl/>
        </w:rPr>
      </w:pPr>
      <w:r w:rsidRPr="004547CD">
        <w:rPr>
          <w:rFonts w:cs="FrankRuehl" w:hint="eastAsia"/>
          <w:sz w:val="20"/>
          <w:szCs w:val="22"/>
          <w:rtl/>
        </w:rPr>
        <w:t>בהסכם</w:t>
      </w:r>
      <w:r w:rsidRPr="004547CD">
        <w:rPr>
          <w:rFonts w:cs="FrankRuehl"/>
          <w:sz w:val="20"/>
          <w:szCs w:val="22"/>
          <w:rtl/>
        </w:rPr>
        <w:t xml:space="preserve"> 2014 </w:t>
      </w:r>
      <w:r w:rsidRPr="004547CD">
        <w:rPr>
          <w:rFonts w:cs="FrankRuehl" w:hint="cs"/>
          <w:sz w:val="20"/>
          <w:szCs w:val="22"/>
          <w:rtl/>
        </w:rPr>
        <w:t xml:space="preserve">הוחלט על קיום </w:t>
      </w:r>
      <w:r w:rsidRPr="004547CD">
        <w:rPr>
          <w:rFonts w:cs="FrankRuehl" w:hint="eastAsia"/>
          <w:sz w:val="20"/>
          <w:szCs w:val="22"/>
          <w:rtl/>
        </w:rPr>
        <w:t>סבב</w:t>
      </w:r>
      <w:r w:rsidRPr="004547CD">
        <w:rPr>
          <w:rFonts w:cs="FrankRuehl" w:hint="cs"/>
          <w:sz w:val="20"/>
          <w:szCs w:val="22"/>
          <w:rtl/>
        </w:rPr>
        <w:t xml:space="preserve"> נוסף </w:t>
      </w:r>
      <w:r w:rsidRPr="004547CD">
        <w:rPr>
          <w:rFonts w:cs="FrankRuehl" w:hint="eastAsia"/>
          <w:sz w:val="20"/>
          <w:szCs w:val="22"/>
          <w:rtl/>
        </w:rPr>
        <w:t>של</w:t>
      </w:r>
      <w:r w:rsidRPr="004547CD">
        <w:rPr>
          <w:rFonts w:cs="FrankRuehl"/>
          <w:sz w:val="20"/>
          <w:szCs w:val="22"/>
          <w:rtl/>
        </w:rPr>
        <w:t xml:space="preserve"> </w:t>
      </w:r>
      <w:r w:rsidRPr="004547CD">
        <w:rPr>
          <w:rFonts w:cs="FrankRuehl" w:hint="eastAsia"/>
          <w:sz w:val="20"/>
          <w:szCs w:val="22"/>
          <w:rtl/>
        </w:rPr>
        <w:t>יח</w:t>
      </w:r>
      <w:r w:rsidRPr="004547CD">
        <w:rPr>
          <w:rFonts w:cs="FrankRuehl" w:hint="cs"/>
          <w:sz w:val="20"/>
          <w:szCs w:val="22"/>
          <w:rtl/>
        </w:rPr>
        <w:t>י</w:t>
      </w:r>
      <w:r w:rsidRPr="004547CD">
        <w:rPr>
          <w:rFonts w:cs="FrankRuehl" w:hint="eastAsia"/>
          <w:sz w:val="20"/>
          <w:szCs w:val="22"/>
          <w:rtl/>
        </w:rPr>
        <w:t>דת</w:t>
      </w:r>
      <w:r w:rsidRPr="004547CD">
        <w:rPr>
          <w:rFonts w:cs="FrankRuehl"/>
          <w:sz w:val="20"/>
          <w:szCs w:val="22"/>
          <w:rtl/>
        </w:rPr>
        <w:t xml:space="preserve"> נחשון </w:t>
      </w:r>
      <w:r w:rsidRPr="004547CD">
        <w:rPr>
          <w:rFonts w:cs="FrankRuehl" w:hint="eastAsia"/>
          <w:sz w:val="20"/>
          <w:szCs w:val="22"/>
          <w:rtl/>
        </w:rPr>
        <w:t>כתוספת</w:t>
      </w:r>
      <w:r w:rsidRPr="004547CD">
        <w:rPr>
          <w:rFonts w:cs="FrankRuehl"/>
          <w:sz w:val="20"/>
          <w:szCs w:val="22"/>
          <w:rtl/>
        </w:rPr>
        <w:t xml:space="preserve"> </w:t>
      </w:r>
      <w:r w:rsidRPr="004547CD">
        <w:rPr>
          <w:rFonts w:cs="FrankRuehl" w:hint="eastAsia"/>
          <w:sz w:val="20"/>
          <w:szCs w:val="22"/>
          <w:rtl/>
        </w:rPr>
        <w:t>לשני</w:t>
      </w:r>
      <w:r w:rsidRPr="004547CD">
        <w:rPr>
          <w:rFonts w:cs="FrankRuehl"/>
          <w:sz w:val="20"/>
          <w:szCs w:val="22"/>
          <w:rtl/>
        </w:rPr>
        <w:t xml:space="preserve"> </w:t>
      </w:r>
      <w:r w:rsidRPr="004547CD">
        <w:rPr>
          <w:rFonts w:cs="FrankRuehl" w:hint="eastAsia"/>
          <w:sz w:val="20"/>
          <w:szCs w:val="22"/>
          <w:rtl/>
        </w:rPr>
        <w:t>סבבי</w:t>
      </w:r>
      <w:r w:rsidRPr="004547CD">
        <w:rPr>
          <w:rFonts w:cs="FrankRuehl"/>
          <w:sz w:val="20"/>
          <w:szCs w:val="22"/>
          <w:rtl/>
        </w:rPr>
        <w:t xml:space="preserve"> הליווי </w:t>
      </w:r>
      <w:r w:rsidRPr="004547CD">
        <w:rPr>
          <w:rFonts w:cs="FrankRuehl" w:hint="eastAsia"/>
          <w:sz w:val="20"/>
          <w:szCs w:val="22"/>
          <w:rtl/>
        </w:rPr>
        <w:t>הקיימים</w:t>
      </w:r>
      <w:r w:rsidRPr="004547CD">
        <w:rPr>
          <w:rFonts w:cs="FrankRuehl" w:hint="cs"/>
          <w:sz w:val="20"/>
          <w:szCs w:val="22"/>
          <w:rtl/>
        </w:rPr>
        <w:t xml:space="preserve"> (להלן - סבב</w:t>
      </w:r>
      <w:r w:rsidRPr="004547CD">
        <w:rPr>
          <w:rFonts w:cs="FrankRuehl"/>
          <w:sz w:val="20"/>
          <w:szCs w:val="22"/>
          <w:rtl/>
        </w:rPr>
        <w:t xml:space="preserve"> ג'</w:t>
      </w:r>
      <w:r w:rsidRPr="004547CD">
        <w:rPr>
          <w:rFonts w:cs="FrankRuehl" w:hint="cs"/>
          <w:sz w:val="20"/>
          <w:szCs w:val="22"/>
          <w:rtl/>
        </w:rPr>
        <w:t>)</w:t>
      </w:r>
      <w:r w:rsidRPr="004547CD">
        <w:rPr>
          <w:rFonts w:cs="FrankRuehl"/>
          <w:sz w:val="20"/>
          <w:szCs w:val="22"/>
          <w:rtl/>
        </w:rPr>
        <w:t>.</w:t>
      </w:r>
      <w:r w:rsidRPr="004547CD">
        <w:rPr>
          <w:rFonts w:cs="FrankRuehl" w:hint="cs"/>
          <w:sz w:val="20"/>
          <w:szCs w:val="22"/>
          <w:rtl/>
        </w:rPr>
        <w:t xml:space="preserve"> לפי ההסכם, "מטרת הסבב המתווסף הינה איסוף עצורים מן התחנות והעברתם לבתי המעצר על מנת לצמצם את כמות הליוויים המתבצעים ע"י משטרת ישראל בשעות הערב על חשבון פעילות המשטרה הייעודית". סבב ג' יכלול את כל תחנות המשטרה, והוא יתקיים בימים </w:t>
      </w:r>
      <w:r w:rsidR="009235AD">
        <w:rPr>
          <w:rFonts w:cs="FrankRuehl"/>
          <w:sz w:val="20"/>
          <w:szCs w:val="22"/>
        </w:rPr>
        <w:br/>
      </w:r>
      <w:r w:rsidRPr="004547CD">
        <w:rPr>
          <w:rFonts w:cs="FrankRuehl" w:hint="cs"/>
          <w:sz w:val="20"/>
          <w:szCs w:val="22"/>
          <w:rtl/>
        </w:rPr>
        <w:t xml:space="preserve">א'-ה'. בהמשך תיבחן שאלת הרחבתו גם למשמרת הלילה בימי שישי ובערבי חג. </w:t>
      </w:r>
    </w:p>
    <w:p w:rsidR="006259B3" w:rsidRPr="004547CD" w:rsidP="00C70295">
      <w:pPr>
        <w:spacing w:after="240" w:line="230" w:lineRule="exact"/>
        <w:jc w:val="both"/>
        <w:rPr>
          <w:rFonts w:cs="FrankRuehl"/>
          <w:sz w:val="20"/>
          <w:szCs w:val="22"/>
          <w:rtl/>
        </w:rPr>
      </w:pPr>
      <w:r w:rsidRPr="004547CD">
        <w:rPr>
          <w:rFonts w:cs="FrankRuehl" w:hint="cs"/>
          <w:sz w:val="20"/>
          <w:szCs w:val="22"/>
          <w:rtl/>
        </w:rPr>
        <w:t xml:space="preserve">לפי הסכם 2014, הנושאים שעליהם הוסכם יחולו באופן מלא מתחילת מרץ 2014. לגבי סבב ג', נקבע בהסכם כי הוא ימומש באופן מלא מתחילת ספטמבר 2014. למימון סבב ג' יוקצה תקציב של </w:t>
      </w:r>
      <w:r w:rsidRPr="004547CD">
        <w:rPr>
          <w:rFonts w:cs="FrankRuehl" w:hint="cs"/>
          <w:sz w:val="20"/>
          <w:szCs w:val="22"/>
          <w:rtl/>
        </w:rPr>
        <w:t>כ-22 מיליון ש"ח. הנטל יתחלק שווה בשווה בין המשרד לבט"פ, המשטרה ושב</w:t>
      </w:r>
      <w:r w:rsidRPr="004547CD">
        <w:rPr>
          <w:rFonts w:cs="FrankRuehl"/>
          <w:sz w:val="20"/>
          <w:szCs w:val="22"/>
          <w:rtl/>
        </w:rPr>
        <w:t>"</w:t>
      </w:r>
      <w:r w:rsidRPr="004547CD">
        <w:rPr>
          <w:rFonts w:cs="FrankRuehl" w:hint="cs"/>
          <w:sz w:val="20"/>
          <w:szCs w:val="22"/>
          <w:rtl/>
        </w:rPr>
        <w:t>ס. תקציב זה יופנה בעיקר למימון תוספת תקן של 60 משרות ללוחמי יחידת נחשון ולכלי הרכב שיידרשו להם.</w:t>
      </w:r>
    </w:p>
    <w:p w:rsidR="006259B3" w:rsidRPr="004547CD" w:rsidP="00C70295">
      <w:pPr>
        <w:pStyle w:val="RESHET"/>
      </w:pPr>
      <w:r w:rsidRPr="004547CD">
        <w:rPr>
          <w:rFonts w:hint="cs"/>
          <w:rtl/>
        </w:rPr>
        <w:t xml:space="preserve">המחלוקות סביב נושא הוויסותים העמידו בסימן שאלה את מימושו של סבב ג'. המשטרה חששה שחוסר האמון שנוצר בין שני הגופים והקשיים של שב"ס בוויסות העצורים ימשיכו להתקיים גם בסבב זה. בסופו של דבר הוסכם על דחיית מועד היישום של סבב ג' בכמה חודשים. עוד הוסכם כי בניגוד להסכם המקורי, סבב ג' יחל באופן הדרגתי ב-2.11.14, בתחילה כפיילוט בלבד בכמה תחנות שיש בהן תאי מעצר. </w:t>
      </w:r>
    </w:p>
    <w:p w:rsidR="006259B3" w:rsidRPr="004547CD" w:rsidP="00C70295">
      <w:pPr>
        <w:spacing w:before="180" w:after="120" w:line="230" w:lineRule="exact"/>
        <w:jc w:val="both"/>
        <w:rPr>
          <w:rFonts w:cs="FrankRuehl"/>
          <w:sz w:val="20"/>
          <w:szCs w:val="22"/>
          <w:rtl/>
        </w:rPr>
      </w:pPr>
      <w:r w:rsidRPr="004547CD">
        <w:rPr>
          <w:rFonts w:cs="FrankRuehl" w:hint="cs"/>
          <w:sz w:val="20"/>
          <w:szCs w:val="22"/>
          <w:rtl/>
        </w:rPr>
        <w:t xml:space="preserve">המשטרה כתבה בתשובתה למשרד מבקר המדינה מדצמבר 2014, כי בנובמבר 2014 הוחל בהפעלת סבב ג' במחוז תל אביב ובמחוז חוף בלבד, והכוונה היא שעד פברואר 2015 יפעלו כל הצוותים בכל המחוזות, כמפורט בהסכם ההבנות. </w:t>
      </w:r>
    </w:p>
    <w:p w:rsidR="006259B3" w:rsidRPr="004547CD" w:rsidP="008A6D26">
      <w:pPr>
        <w:spacing w:after="120" w:line="230" w:lineRule="exact"/>
        <w:jc w:val="both"/>
        <w:rPr>
          <w:rFonts w:cs="FrankRuehl"/>
          <w:sz w:val="20"/>
          <w:szCs w:val="22"/>
          <w:rtl/>
        </w:rPr>
      </w:pPr>
      <w:r w:rsidRPr="004547CD">
        <w:rPr>
          <w:rFonts w:cs="FrankRuehl"/>
          <w:sz w:val="20"/>
          <w:szCs w:val="22"/>
          <w:rtl/>
        </w:rPr>
        <w:t xml:space="preserve">המשטרה </w:t>
      </w:r>
      <w:r w:rsidRPr="004547CD">
        <w:rPr>
          <w:rFonts w:cs="FrankRuehl" w:hint="cs"/>
          <w:sz w:val="20"/>
          <w:szCs w:val="22"/>
          <w:rtl/>
        </w:rPr>
        <w:t>הוסיפה</w:t>
      </w:r>
      <w:r w:rsidRPr="004547CD">
        <w:rPr>
          <w:rFonts w:cs="FrankRuehl"/>
          <w:sz w:val="20"/>
          <w:szCs w:val="22"/>
          <w:rtl/>
        </w:rPr>
        <w:t xml:space="preserve"> כי </w:t>
      </w:r>
      <w:r w:rsidRPr="004547CD">
        <w:rPr>
          <w:rFonts w:cs="FrankRuehl" w:hint="cs"/>
          <w:sz w:val="20"/>
          <w:szCs w:val="22"/>
          <w:rtl/>
        </w:rPr>
        <w:t>אין</w:t>
      </w:r>
      <w:r w:rsidRPr="004547CD">
        <w:rPr>
          <w:rFonts w:cs="FrankRuehl"/>
          <w:sz w:val="20"/>
          <w:szCs w:val="22"/>
          <w:rtl/>
        </w:rPr>
        <w:t xml:space="preserve"> זה נכון לבחון את הצלחתו ו</w:t>
      </w:r>
      <w:r w:rsidRPr="004547CD">
        <w:rPr>
          <w:rFonts w:cs="FrankRuehl" w:hint="cs"/>
          <w:sz w:val="20"/>
          <w:szCs w:val="22"/>
          <w:rtl/>
        </w:rPr>
        <w:t xml:space="preserve">את </w:t>
      </w:r>
      <w:r w:rsidRPr="004547CD">
        <w:rPr>
          <w:rFonts w:cs="FrankRuehl"/>
          <w:sz w:val="20"/>
          <w:szCs w:val="22"/>
          <w:rtl/>
        </w:rPr>
        <w:t xml:space="preserve">השלכותיו </w:t>
      </w:r>
      <w:r w:rsidRPr="004547CD">
        <w:rPr>
          <w:rFonts w:cs="FrankRuehl" w:hint="cs"/>
          <w:sz w:val="20"/>
          <w:szCs w:val="22"/>
          <w:rtl/>
        </w:rPr>
        <w:t>של ההסכם זמן קצר כל כך לאחר</w:t>
      </w:r>
      <w:r w:rsidRPr="004547CD">
        <w:rPr>
          <w:rFonts w:cs="FrankRuehl"/>
          <w:sz w:val="20"/>
          <w:szCs w:val="22"/>
          <w:rtl/>
        </w:rPr>
        <w:t xml:space="preserve"> החתימה. </w:t>
      </w:r>
      <w:r w:rsidRPr="004547CD">
        <w:rPr>
          <w:rFonts w:cs="FrankRuehl" w:hint="eastAsia"/>
          <w:sz w:val="20"/>
          <w:szCs w:val="22"/>
          <w:rtl/>
        </w:rPr>
        <w:t>יישום</w:t>
      </w:r>
      <w:r w:rsidRPr="004547CD">
        <w:rPr>
          <w:rFonts w:cs="FrankRuehl"/>
          <w:sz w:val="20"/>
          <w:szCs w:val="22"/>
          <w:rtl/>
        </w:rPr>
        <w:t xml:space="preserve"> </w:t>
      </w:r>
      <w:r w:rsidRPr="004547CD">
        <w:rPr>
          <w:rFonts w:cs="FrankRuehl" w:hint="eastAsia"/>
          <w:sz w:val="20"/>
          <w:szCs w:val="22"/>
          <w:rtl/>
        </w:rPr>
        <w:t>ההסכם</w:t>
      </w:r>
      <w:r w:rsidRPr="004547CD">
        <w:rPr>
          <w:rFonts w:cs="FrankRuehl"/>
          <w:sz w:val="20"/>
          <w:szCs w:val="22"/>
          <w:rtl/>
        </w:rPr>
        <w:t xml:space="preserve"> </w:t>
      </w:r>
      <w:r w:rsidRPr="004547CD">
        <w:rPr>
          <w:rFonts w:cs="FrankRuehl" w:hint="eastAsia"/>
          <w:sz w:val="20"/>
          <w:szCs w:val="22"/>
          <w:rtl/>
        </w:rPr>
        <w:t>כלל</w:t>
      </w:r>
      <w:r w:rsidRPr="004547CD">
        <w:rPr>
          <w:rFonts w:cs="FrankRuehl"/>
          <w:sz w:val="20"/>
          <w:szCs w:val="22"/>
          <w:rtl/>
        </w:rPr>
        <w:t xml:space="preserve"> </w:t>
      </w:r>
      <w:r w:rsidRPr="004547CD">
        <w:rPr>
          <w:rFonts w:cs="FrankRuehl" w:hint="eastAsia"/>
          <w:sz w:val="20"/>
          <w:szCs w:val="22"/>
          <w:rtl/>
        </w:rPr>
        <w:t>התארגנות</w:t>
      </w:r>
      <w:r w:rsidRPr="004547CD">
        <w:rPr>
          <w:rFonts w:cs="FrankRuehl"/>
          <w:sz w:val="20"/>
          <w:szCs w:val="22"/>
          <w:rtl/>
        </w:rPr>
        <w:t xml:space="preserve"> </w:t>
      </w:r>
      <w:r w:rsidRPr="004547CD">
        <w:rPr>
          <w:rFonts w:cs="FrankRuehl" w:hint="eastAsia"/>
          <w:sz w:val="20"/>
          <w:szCs w:val="22"/>
          <w:rtl/>
        </w:rPr>
        <w:t>מ</w:t>
      </w:r>
      <w:r w:rsidRPr="004547CD">
        <w:rPr>
          <w:rFonts w:cs="FrankRuehl" w:hint="cs"/>
          <w:sz w:val="20"/>
          <w:szCs w:val="22"/>
          <w:rtl/>
        </w:rPr>
        <w:t>י</w:t>
      </w:r>
      <w:r w:rsidRPr="004547CD">
        <w:rPr>
          <w:rFonts w:cs="FrankRuehl" w:hint="eastAsia"/>
          <w:sz w:val="20"/>
          <w:szCs w:val="22"/>
          <w:rtl/>
        </w:rPr>
        <w:t>נהלתית</w:t>
      </w:r>
      <w:r w:rsidRPr="004547CD">
        <w:rPr>
          <w:rFonts w:cs="FrankRuehl"/>
          <w:sz w:val="20"/>
          <w:szCs w:val="22"/>
          <w:rtl/>
        </w:rPr>
        <w:t xml:space="preserve"> </w:t>
      </w:r>
      <w:r w:rsidRPr="004547CD">
        <w:rPr>
          <w:rFonts w:cs="FrankRuehl" w:hint="eastAsia"/>
          <w:sz w:val="20"/>
          <w:szCs w:val="22"/>
          <w:rtl/>
        </w:rPr>
        <w:t>בין</w:t>
      </w:r>
      <w:r w:rsidRPr="004547CD">
        <w:rPr>
          <w:rFonts w:cs="FrankRuehl"/>
          <w:sz w:val="20"/>
          <w:szCs w:val="22"/>
          <w:rtl/>
        </w:rPr>
        <w:t xml:space="preserve"> </w:t>
      </w:r>
      <w:r w:rsidRPr="004547CD">
        <w:rPr>
          <w:rFonts w:cs="FrankRuehl" w:hint="eastAsia"/>
          <w:sz w:val="20"/>
          <w:szCs w:val="22"/>
          <w:rtl/>
        </w:rPr>
        <w:t>הגופים</w:t>
      </w:r>
      <w:r w:rsidRPr="004547CD">
        <w:rPr>
          <w:rFonts w:cs="FrankRuehl"/>
          <w:sz w:val="20"/>
          <w:szCs w:val="22"/>
          <w:rtl/>
        </w:rPr>
        <w:t xml:space="preserve">, </w:t>
      </w:r>
      <w:r w:rsidRPr="004547CD">
        <w:rPr>
          <w:rFonts w:cs="FrankRuehl" w:hint="eastAsia"/>
          <w:sz w:val="20"/>
          <w:szCs w:val="22"/>
          <w:rtl/>
        </w:rPr>
        <w:t>בקשה</w:t>
      </w:r>
      <w:r w:rsidRPr="004547CD">
        <w:rPr>
          <w:rFonts w:cs="FrankRuehl"/>
          <w:sz w:val="20"/>
          <w:szCs w:val="22"/>
          <w:rtl/>
        </w:rPr>
        <w:t xml:space="preserve"> להעברה תקציבית מוועדת הכספים בכנסת, גיוס 60 לוחמים חדשים ליחידת נחשון </w:t>
      </w:r>
      <w:r w:rsidRPr="004547CD">
        <w:rPr>
          <w:rFonts w:cs="FrankRuehl" w:hint="cs"/>
          <w:sz w:val="20"/>
          <w:szCs w:val="22"/>
          <w:rtl/>
        </w:rPr>
        <w:t>ו</w:t>
      </w:r>
      <w:r w:rsidRPr="004547CD">
        <w:rPr>
          <w:rFonts w:cs="FrankRuehl"/>
          <w:sz w:val="20"/>
          <w:szCs w:val="22"/>
          <w:rtl/>
        </w:rPr>
        <w:t xml:space="preserve">הכשרתם, הצטיידות בכלי רכב ייעודיים ועוד. </w:t>
      </w:r>
      <w:r w:rsidRPr="004547CD">
        <w:rPr>
          <w:rFonts w:cs="FrankRuehl" w:hint="cs"/>
          <w:sz w:val="20"/>
          <w:szCs w:val="22"/>
          <w:rtl/>
        </w:rPr>
        <w:t xml:space="preserve">לדעת </w:t>
      </w:r>
      <w:r w:rsidRPr="004547CD">
        <w:rPr>
          <w:rFonts w:cs="FrankRuehl" w:hint="eastAsia"/>
          <w:sz w:val="20"/>
          <w:szCs w:val="22"/>
          <w:rtl/>
        </w:rPr>
        <w:t>המשטרה</w:t>
      </w:r>
      <w:r w:rsidRPr="004547CD">
        <w:rPr>
          <w:rFonts w:cs="FrankRuehl" w:hint="cs"/>
          <w:sz w:val="20"/>
          <w:szCs w:val="22"/>
          <w:rtl/>
        </w:rPr>
        <w:t>,</w:t>
      </w:r>
      <w:r w:rsidRPr="004547CD">
        <w:rPr>
          <w:rFonts w:cs="FrankRuehl"/>
          <w:sz w:val="20"/>
          <w:szCs w:val="22"/>
          <w:rtl/>
        </w:rPr>
        <w:t xml:space="preserve"> </w:t>
      </w:r>
      <w:r w:rsidRPr="004547CD">
        <w:rPr>
          <w:rFonts w:cs="FrankRuehl" w:hint="eastAsia"/>
          <w:sz w:val="20"/>
          <w:szCs w:val="22"/>
          <w:rtl/>
        </w:rPr>
        <w:t>מאז</w:t>
      </w:r>
      <w:r w:rsidRPr="004547CD">
        <w:rPr>
          <w:rFonts w:cs="FrankRuehl"/>
          <w:sz w:val="20"/>
          <w:szCs w:val="22"/>
          <w:rtl/>
        </w:rPr>
        <w:t xml:space="preserve"> </w:t>
      </w:r>
      <w:r w:rsidRPr="004547CD">
        <w:rPr>
          <w:rFonts w:cs="FrankRuehl" w:hint="cs"/>
          <w:sz w:val="20"/>
          <w:szCs w:val="22"/>
          <w:rtl/>
        </w:rPr>
        <w:t xml:space="preserve">עריכת הביקורת של משרד מבקר המדינה </w:t>
      </w:r>
      <w:r w:rsidRPr="004547CD">
        <w:rPr>
          <w:rFonts w:cs="FrankRuehl" w:hint="eastAsia"/>
          <w:sz w:val="20"/>
          <w:szCs w:val="22"/>
          <w:rtl/>
        </w:rPr>
        <w:t>התהליך</w:t>
      </w:r>
      <w:r w:rsidRPr="004547CD">
        <w:rPr>
          <w:rFonts w:cs="FrankRuehl"/>
          <w:sz w:val="20"/>
          <w:szCs w:val="22"/>
          <w:rtl/>
        </w:rPr>
        <w:t xml:space="preserve"> </w:t>
      </w:r>
      <w:r w:rsidRPr="004547CD">
        <w:rPr>
          <w:rFonts w:cs="FrankRuehl" w:hint="eastAsia"/>
          <w:sz w:val="20"/>
          <w:szCs w:val="22"/>
          <w:rtl/>
        </w:rPr>
        <w:t>התקדם</w:t>
      </w:r>
      <w:r w:rsidRPr="004547CD">
        <w:rPr>
          <w:rFonts w:cs="FrankRuehl"/>
          <w:sz w:val="20"/>
          <w:szCs w:val="22"/>
          <w:rtl/>
        </w:rPr>
        <w:t xml:space="preserve"> </w:t>
      </w:r>
      <w:r w:rsidRPr="004547CD">
        <w:rPr>
          <w:rFonts w:cs="FrankRuehl" w:hint="eastAsia"/>
          <w:sz w:val="20"/>
          <w:szCs w:val="22"/>
          <w:rtl/>
        </w:rPr>
        <w:t>מאוד</w:t>
      </w:r>
      <w:r w:rsidRPr="004547CD">
        <w:rPr>
          <w:rFonts w:cs="FrankRuehl"/>
          <w:sz w:val="20"/>
          <w:szCs w:val="22"/>
          <w:rtl/>
        </w:rPr>
        <w:t xml:space="preserve"> </w:t>
      </w:r>
      <w:r w:rsidRPr="004547CD">
        <w:rPr>
          <w:rFonts w:cs="FrankRuehl" w:hint="eastAsia"/>
          <w:sz w:val="20"/>
          <w:szCs w:val="22"/>
          <w:rtl/>
        </w:rPr>
        <w:t>והמצב</w:t>
      </w:r>
      <w:r w:rsidRPr="004547CD">
        <w:rPr>
          <w:rFonts w:cs="FrankRuehl"/>
          <w:sz w:val="20"/>
          <w:szCs w:val="22"/>
          <w:rtl/>
        </w:rPr>
        <w:t xml:space="preserve"> </w:t>
      </w:r>
      <w:r w:rsidRPr="004547CD">
        <w:rPr>
          <w:rFonts w:cs="FrankRuehl" w:hint="eastAsia"/>
          <w:sz w:val="20"/>
          <w:szCs w:val="22"/>
          <w:rtl/>
        </w:rPr>
        <w:t>אכן</w:t>
      </w:r>
      <w:r w:rsidRPr="004547CD">
        <w:rPr>
          <w:rFonts w:cs="FrankRuehl"/>
          <w:sz w:val="20"/>
          <w:szCs w:val="22"/>
          <w:rtl/>
        </w:rPr>
        <w:t xml:space="preserve"> </w:t>
      </w:r>
      <w:r w:rsidRPr="004547CD">
        <w:rPr>
          <w:rFonts w:cs="FrankRuehl" w:hint="eastAsia"/>
          <w:sz w:val="20"/>
          <w:szCs w:val="22"/>
          <w:rtl/>
        </w:rPr>
        <w:t>משתפר</w:t>
      </w:r>
      <w:r w:rsidRPr="004547CD">
        <w:rPr>
          <w:rFonts w:cs="FrankRuehl" w:hint="cs"/>
          <w:sz w:val="20"/>
          <w:szCs w:val="22"/>
          <w:rtl/>
        </w:rPr>
        <w:t>, ועל כן</w:t>
      </w:r>
      <w:r w:rsidRPr="004547CD">
        <w:rPr>
          <w:rFonts w:cs="FrankRuehl"/>
          <w:sz w:val="20"/>
          <w:szCs w:val="22"/>
          <w:rtl/>
        </w:rPr>
        <w:t xml:space="preserve"> </w:t>
      </w:r>
      <w:r w:rsidRPr="004547CD">
        <w:rPr>
          <w:rFonts w:cs="FrankRuehl" w:hint="eastAsia"/>
          <w:sz w:val="20"/>
          <w:szCs w:val="22"/>
          <w:rtl/>
        </w:rPr>
        <w:t>יש</w:t>
      </w:r>
      <w:r w:rsidRPr="004547CD">
        <w:rPr>
          <w:rFonts w:cs="FrankRuehl"/>
          <w:sz w:val="20"/>
          <w:szCs w:val="22"/>
          <w:rtl/>
        </w:rPr>
        <w:t xml:space="preserve"> </w:t>
      </w:r>
      <w:r w:rsidRPr="004547CD">
        <w:rPr>
          <w:rFonts w:cs="FrankRuehl" w:hint="eastAsia"/>
          <w:sz w:val="20"/>
          <w:szCs w:val="22"/>
          <w:rtl/>
        </w:rPr>
        <w:t>לבחון</w:t>
      </w:r>
      <w:r w:rsidRPr="004547CD">
        <w:rPr>
          <w:rFonts w:cs="FrankRuehl"/>
          <w:sz w:val="20"/>
          <w:szCs w:val="22"/>
          <w:rtl/>
        </w:rPr>
        <w:t xml:space="preserve"> </w:t>
      </w:r>
      <w:r w:rsidRPr="004547CD">
        <w:rPr>
          <w:rFonts w:cs="FrankRuehl" w:hint="eastAsia"/>
          <w:sz w:val="20"/>
          <w:szCs w:val="22"/>
          <w:rtl/>
        </w:rPr>
        <w:t>את</w:t>
      </w:r>
      <w:r w:rsidRPr="004547CD">
        <w:rPr>
          <w:rFonts w:cs="FrankRuehl"/>
          <w:sz w:val="20"/>
          <w:szCs w:val="22"/>
          <w:rtl/>
        </w:rPr>
        <w:t xml:space="preserve"> </w:t>
      </w:r>
      <w:r w:rsidRPr="004547CD">
        <w:rPr>
          <w:rFonts w:cs="FrankRuehl" w:hint="eastAsia"/>
          <w:sz w:val="20"/>
          <w:szCs w:val="22"/>
          <w:rtl/>
        </w:rPr>
        <w:t>השיפור</w:t>
      </w:r>
      <w:r w:rsidRPr="004547CD">
        <w:rPr>
          <w:rFonts w:cs="FrankRuehl"/>
          <w:sz w:val="20"/>
          <w:szCs w:val="22"/>
          <w:rtl/>
        </w:rPr>
        <w:t xml:space="preserve"> </w:t>
      </w:r>
      <w:r w:rsidRPr="004547CD">
        <w:rPr>
          <w:rFonts w:cs="FrankRuehl" w:hint="eastAsia"/>
          <w:sz w:val="20"/>
          <w:szCs w:val="22"/>
          <w:rtl/>
        </w:rPr>
        <w:t>ולכמת</w:t>
      </w:r>
      <w:r w:rsidRPr="004547CD">
        <w:rPr>
          <w:rFonts w:cs="FrankRuehl"/>
          <w:sz w:val="20"/>
          <w:szCs w:val="22"/>
          <w:rtl/>
        </w:rPr>
        <w:t xml:space="preserve"> </w:t>
      </w:r>
      <w:r w:rsidRPr="004547CD">
        <w:rPr>
          <w:rFonts w:cs="FrankRuehl" w:hint="eastAsia"/>
          <w:sz w:val="20"/>
          <w:szCs w:val="22"/>
          <w:rtl/>
        </w:rPr>
        <w:t>את</w:t>
      </w:r>
      <w:r w:rsidRPr="004547CD">
        <w:rPr>
          <w:rFonts w:cs="FrankRuehl"/>
          <w:sz w:val="20"/>
          <w:szCs w:val="22"/>
          <w:rtl/>
        </w:rPr>
        <w:t xml:space="preserve"> </w:t>
      </w:r>
      <w:r w:rsidRPr="004547CD">
        <w:rPr>
          <w:rFonts w:cs="FrankRuehl" w:hint="eastAsia"/>
          <w:sz w:val="20"/>
          <w:szCs w:val="22"/>
          <w:rtl/>
        </w:rPr>
        <w:t>השינויים</w:t>
      </w:r>
      <w:r w:rsidRPr="004547CD">
        <w:rPr>
          <w:rFonts w:cs="FrankRuehl"/>
          <w:sz w:val="20"/>
          <w:szCs w:val="22"/>
          <w:rtl/>
        </w:rPr>
        <w:t xml:space="preserve"> </w:t>
      </w:r>
      <w:r w:rsidRPr="004547CD">
        <w:rPr>
          <w:rFonts w:cs="FrankRuehl" w:hint="cs"/>
          <w:sz w:val="20"/>
          <w:szCs w:val="22"/>
          <w:rtl/>
        </w:rPr>
        <w:t xml:space="preserve">בחלוף פרק זמן ממושך יותר מאז חתימת ההסכם. </w:t>
      </w:r>
    </w:p>
    <w:p w:rsidR="006259B3" w:rsidRPr="004547CD" w:rsidP="008A6D26">
      <w:pPr>
        <w:spacing w:after="120" w:line="230" w:lineRule="exact"/>
        <w:jc w:val="both"/>
        <w:rPr>
          <w:rFonts w:cs="FrankRuehl"/>
          <w:sz w:val="20"/>
          <w:szCs w:val="22"/>
          <w:rtl/>
        </w:rPr>
      </w:pPr>
      <w:r w:rsidRPr="004547CD">
        <w:rPr>
          <w:rFonts w:cs="FrankRuehl" w:hint="eastAsia"/>
          <w:sz w:val="20"/>
          <w:szCs w:val="22"/>
          <w:rtl/>
        </w:rPr>
        <w:t>שב</w:t>
      </w:r>
      <w:r w:rsidRPr="004547CD">
        <w:rPr>
          <w:rFonts w:cs="FrankRuehl"/>
          <w:sz w:val="20"/>
          <w:szCs w:val="22"/>
          <w:rtl/>
        </w:rPr>
        <w:t xml:space="preserve">"ס </w:t>
      </w:r>
      <w:r w:rsidRPr="004547CD">
        <w:rPr>
          <w:rFonts w:cs="FrankRuehl" w:hint="eastAsia"/>
          <w:sz w:val="20"/>
          <w:szCs w:val="22"/>
          <w:rtl/>
        </w:rPr>
        <w:t>מסר</w:t>
      </w:r>
      <w:r w:rsidRPr="004547CD">
        <w:rPr>
          <w:rFonts w:cs="FrankRuehl"/>
          <w:sz w:val="20"/>
          <w:szCs w:val="22"/>
          <w:rtl/>
        </w:rPr>
        <w:t xml:space="preserve"> </w:t>
      </w:r>
      <w:r w:rsidRPr="004547CD">
        <w:rPr>
          <w:rFonts w:cs="FrankRuehl" w:hint="eastAsia"/>
          <w:sz w:val="20"/>
          <w:szCs w:val="22"/>
          <w:rtl/>
        </w:rPr>
        <w:t>בתשובתו</w:t>
      </w:r>
      <w:r w:rsidRPr="004547CD">
        <w:rPr>
          <w:rFonts w:cs="FrankRuehl"/>
          <w:sz w:val="20"/>
          <w:szCs w:val="22"/>
          <w:rtl/>
        </w:rPr>
        <w:t xml:space="preserve"> </w:t>
      </w:r>
      <w:r w:rsidRPr="004547CD">
        <w:rPr>
          <w:rFonts w:cs="FrankRuehl" w:hint="eastAsia"/>
          <w:sz w:val="20"/>
          <w:szCs w:val="22"/>
          <w:rtl/>
        </w:rPr>
        <w:t>למשרד</w:t>
      </w:r>
      <w:r w:rsidRPr="004547CD">
        <w:rPr>
          <w:rFonts w:cs="FrankRuehl"/>
          <w:sz w:val="20"/>
          <w:szCs w:val="22"/>
          <w:rtl/>
        </w:rPr>
        <w:t xml:space="preserve"> </w:t>
      </w:r>
      <w:r w:rsidRPr="004547CD">
        <w:rPr>
          <w:rFonts w:cs="FrankRuehl" w:hint="eastAsia"/>
          <w:sz w:val="20"/>
          <w:szCs w:val="22"/>
          <w:rtl/>
        </w:rPr>
        <w:t>מבקר</w:t>
      </w:r>
      <w:r w:rsidRPr="004547CD">
        <w:rPr>
          <w:rFonts w:cs="FrankRuehl"/>
          <w:sz w:val="20"/>
          <w:szCs w:val="22"/>
          <w:rtl/>
        </w:rPr>
        <w:t xml:space="preserve"> </w:t>
      </w:r>
      <w:r w:rsidRPr="004547CD">
        <w:rPr>
          <w:rFonts w:cs="FrankRuehl" w:hint="eastAsia"/>
          <w:sz w:val="20"/>
          <w:szCs w:val="22"/>
          <w:rtl/>
        </w:rPr>
        <w:t>המדינה</w:t>
      </w:r>
      <w:r w:rsidRPr="004547CD">
        <w:rPr>
          <w:rFonts w:cs="FrankRuehl"/>
          <w:sz w:val="20"/>
          <w:szCs w:val="22"/>
          <w:rtl/>
        </w:rPr>
        <w:t xml:space="preserve"> </w:t>
      </w:r>
      <w:r w:rsidRPr="004547CD">
        <w:rPr>
          <w:rFonts w:cs="FrankRuehl" w:hint="eastAsia"/>
          <w:sz w:val="20"/>
          <w:szCs w:val="22"/>
          <w:rtl/>
        </w:rPr>
        <w:t>מדצמבר</w:t>
      </w:r>
      <w:r w:rsidRPr="004547CD">
        <w:rPr>
          <w:rFonts w:cs="FrankRuehl"/>
          <w:sz w:val="20"/>
          <w:szCs w:val="22"/>
          <w:rtl/>
        </w:rPr>
        <w:t xml:space="preserve"> 2014</w:t>
      </w:r>
      <w:r w:rsidRPr="004547CD">
        <w:rPr>
          <w:rFonts w:cs="FrankRuehl" w:hint="cs"/>
          <w:sz w:val="20"/>
          <w:szCs w:val="22"/>
          <w:rtl/>
        </w:rPr>
        <w:t>:</w:t>
      </w:r>
      <w:r w:rsidRPr="004547CD">
        <w:rPr>
          <w:rFonts w:cs="FrankRuehl"/>
          <w:sz w:val="20"/>
          <w:szCs w:val="22"/>
          <w:rtl/>
        </w:rPr>
        <w:t xml:space="preserve"> "</w:t>
      </w:r>
      <w:r w:rsidRPr="004547CD">
        <w:rPr>
          <w:rFonts w:cs="FrankRuehl" w:hint="eastAsia"/>
          <w:sz w:val="20"/>
          <w:szCs w:val="22"/>
          <w:rtl/>
        </w:rPr>
        <w:t>היום</w:t>
      </w:r>
      <w:r w:rsidRPr="004547CD">
        <w:rPr>
          <w:rFonts w:cs="FrankRuehl"/>
          <w:sz w:val="20"/>
          <w:szCs w:val="22"/>
          <w:rtl/>
        </w:rPr>
        <w:t xml:space="preserve"> </w:t>
      </w:r>
      <w:r w:rsidRPr="004547CD">
        <w:rPr>
          <w:rFonts w:cs="FrankRuehl" w:hint="eastAsia"/>
          <w:sz w:val="20"/>
          <w:szCs w:val="22"/>
          <w:rtl/>
        </w:rPr>
        <w:t>פועלים</w:t>
      </w:r>
      <w:r w:rsidRPr="004547CD">
        <w:rPr>
          <w:rFonts w:cs="FrankRuehl"/>
          <w:sz w:val="20"/>
          <w:szCs w:val="22"/>
          <w:rtl/>
        </w:rPr>
        <w:t xml:space="preserve"> </w:t>
      </w:r>
      <w:r w:rsidRPr="004547CD">
        <w:rPr>
          <w:rFonts w:cs="FrankRuehl" w:hint="eastAsia"/>
          <w:sz w:val="20"/>
          <w:szCs w:val="22"/>
          <w:rtl/>
        </w:rPr>
        <w:t>שני</w:t>
      </w:r>
      <w:r w:rsidRPr="004547CD">
        <w:rPr>
          <w:rFonts w:cs="FrankRuehl"/>
          <w:sz w:val="20"/>
          <w:szCs w:val="22"/>
          <w:rtl/>
        </w:rPr>
        <w:t xml:space="preserve"> </w:t>
      </w:r>
      <w:r w:rsidRPr="004547CD">
        <w:rPr>
          <w:rFonts w:cs="FrankRuehl" w:hint="eastAsia"/>
          <w:sz w:val="20"/>
          <w:szCs w:val="22"/>
          <w:rtl/>
        </w:rPr>
        <w:t>צוותים</w:t>
      </w:r>
      <w:r w:rsidRPr="004547CD">
        <w:rPr>
          <w:rFonts w:cs="FrankRuehl"/>
          <w:sz w:val="20"/>
          <w:szCs w:val="22"/>
          <w:rtl/>
        </w:rPr>
        <w:t xml:space="preserve"> </w:t>
      </w:r>
      <w:r w:rsidRPr="004547CD">
        <w:rPr>
          <w:rFonts w:cs="FrankRuehl" w:hint="eastAsia"/>
          <w:sz w:val="20"/>
          <w:szCs w:val="22"/>
          <w:rtl/>
        </w:rPr>
        <w:t>מתוך</w:t>
      </w:r>
      <w:r w:rsidRPr="004547CD">
        <w:rPr>
          <w:rFonts w:cs="FrankRuehl" w:hint="cs"/>
          <w:sz w:val="20"/>
          <w:szCs w:val="22"/>
          <w:rtl/>
        </w:rPr>
        <w:t xml:space="preserve"> </w:t>
      </w:r>
      <w:r w:rsidRPr="004547CD">
        <w:rPr>
          <w:rFonts w:cs="FrankRuehl" w:hint="eastAsia"/>
          <w:sz w:val="20"/>
          <w:szCs w:val="22"/>
          <w:rtl/>
        </w:rPr>
        <w:t>שניים</w:t>
      </w:r>
      <w:r w:rsidRPr="004547CD">
        <w:rPr>
          <w:rFonts w:cs="FrankRuehl"/>
          <w:sz w:val="20"/>
          <w:szCs w:val="22"/>
          <w:rtl/>
        </w:rPr>
        <w:t xml:space="preserve"> </w:t>
      </w:r>
      <w:r w:rsidRPr="004547CD">
        <w:rPr>
          <w:rFonts w:cs="FrankRuehl" w:hint="eastAsia"/>
          <w:sz w:val="20"/>
          <w:szCs w:val="22"/>
          <w:rtl/>
        </w:rPr>
        <w:t>עשר</w:t>
      </w:r>
      <w:r w:rsidRPr="004547CD">
        <w:rPr>
          <w:rFonts w:cs="FrankRuehl"/>
          <w:sz w:val="20"/>
          <w:szCs w:val="22"/>
          <w:rtl/>
        </w:rPr>
        <w:t xml:space="preserve"> </w:t>
      </w:r>
      <w:r w:rsidRPr="004547CD">
        <w:rPr>
          <w:rFonts w:cs="FrankRuehl" w:hint="eastAsia"/>
          <w:sz w:val="20"/>
          <w:szCs w:val="22"/>
          <w:rtl/>
        </w:rPr>
        <w:t>צוותים</w:t>
      </w:r>
      <w:r w:rsidRPr="004547CD">
        <w:rPr>
          <w:rFonts w:cs="FrankRuehl"/>
          <w:sz w:val="20"/>
          <w:szCs w:val="22"/>
          <w:rtl/>
        </w:rPr>
        <w:t xml:space="preserve"> </w:t>
      </w:r>
      <w:r w:rsidRPr="004547CD">
        <w:rPr>
          <w:rFonts w:cs="FrankRuehl" w:hint="eastAsia"/>
          <w:sz w:val="20"/>
          <w:szCs w:val="22"/>
          <w:rtl/>
        </w:rPr>
        <w:t>של</w:t>
      </w:r>
      <w:r w:rsidRPr="004547CD">
        <w:rPr>
          <w:rFonts w:cs="FrankRuehl"/>
          <w:sz w:val="20"/>
          <w:szCs w:val="22"/>
          <w:rtl/>
        </w:rPr>
        <w:t xml:space="preserve"> </w:t>
      </w:r>
      <w:r w:rsidRPr="004547CD">
        <w:rPr>
          <w:rFonts w:cs="FrankRuehl" w:hint="eastAsia"/>
          <w:sz w:val="20"/>
          <w:szCs w:val="22"/>
          <w:rtl/>
        </w:rPr>
        <w:t>סבב</w:t>
      </w:r>
      <w:r w:rsidRPr="004547CD">
        <w:rPr>
          <w:rFonts w:cs="FrankRuehl"/>
          <w:sz w:val="20"/>
          <w:szCs w:val="22"/>
          <w:rtl/>
        </w:rPr>
        <w:t xml:space="preserve"> </w:t>
      </w:r>
      <w:r w:rsidRPr="004547CD">
        <w:rPr>
          <w:rFonts w:cs="FrankRuehl" w:hint="eastAsia"/>
          <w:sz w:val="20"/>
          <w:szCs w:val="22"/>
          <w:rtl/>
        </w:rPr>
        <w:t>ג</w:t>
      </w:r>
      <w:r w:rsidRPr="004547CD">
        <w:rPr>
          <w:rFonts w:cs="FrankRuehl"/>
          <w:sz w:val="20"/>
          <w:szCs w:val="22"/>
          <w:rtl/>
        </w:rPr>
        <w:t xml:space="preserve">' </w:t>
      </w:r>
      <w:r w:rsidRPr="004547CD">
        <w:rPr>
          <w:rFonts w:cs="FrankRuehl" w:hint="eastAsia"/>
          <w:sz w:val="20"/>
          <w:szCs w:val="22"/>
          <w:rtl/>
        </w:rPr>
        <w:t>ובאמצע</w:t>
      </w:r>
      <w:r w:rsidRPr="004547CD">
        <w:rPr>
          <w:rFonts w:cs="FrankRuehl"/>
          <w:sz w:val="20"/>
          <w:szCs w:val="22"/>
          <w:rtl/>
        </w:rPr>
        <w:t xml:space="preserve"> </w:t>
      </w:r>
      <w:r w:rsidRPr="004547CD">
        <w:rPr>
          <w:rFonts w:cs="FrankRuehl" w:hint="eastAsia"/>
          <w:sz w:val="20"/>
          <w:szCs w:val="22"/>
          <w:rtl/>
        </w:rPr>
        <w:t>חודש</w:t>
      </w:r>
      <w:r w:rsidRPr="004547CD">
        <w:rPr>
          <w:rFonts w:cs="FrankRuehl"/>
          <w:sz w:val="20"/>
          <w:szCs w:val="22"/>
          <w:rtl/>
        </w:rPr>
        <w:t xml:space="preserve"> </w:t>
      </w:r>
      <w:r w:rsidRPr="004547CD">
        <w:rPr>
          <w:rFonts w:cs="FrankRuehl" w:hint="eastAsia"/>
          <w:sz w:val="20"/>
          <w:szCs w:val="22"/>
          <w:rtl/>
        </w:rPr>
        <w:t>דצמבר</w:t>
      </w:r>
      <w:r w:rsidRPr="004547CD">
        <w:rPr>
          <w:rFonts w:cs="FrankRuehl"/>
          <w:sz w:val="20"/>
          <w:szCs w:val="22"/>
          <w:rtl/>
        </w:rPr>
        <w:t xml:space="preserve"> </w:t>
      </w:r>
      <w:r w:rsidRPr="004547CD">
        <w:rPr>
          <w:rFonts w:cs="FrankRuehl" w:hint="eastAsia"/>
          <w:sz w:val="20"/>
          <w:szCs w:val="22"/>
          <w:rtl/>
        </w:rPr>
        <w:t>אמור</w:t>
      </w:r>
      <w:r w:rsidRPr="004547CD">
        <w:rPr>
          <w:rFonts w:cs="FrankRuehl"/>
          <w:sz w:val="20"/>
          <w:szCs w:val="22"/>
          <w:rtl/>
        </w:rPr>
        <w:t xml:space="preserve"> להיכנס </w:t>
      </w:r>
      <w:r w:rsidRPr="004547CD">
        <w:rPr>
          <w:rFonts w:cs="FrankRuehl" w:hint="eastAsia"/>
          <w:sz w:val="20"/>
          <w:szCs w:val="22"/>
          <w:rtl/>
        </w:rPr>
        <w:t>צוות</w:t>
      </w:r>
      <w:r w:rsidRPr="004547CD">
        <w:rPr>
          <w:rFonts w:cs="FrankRuehl"/>
          <w:sz w:val="20"/>
          <w:szCs w:val="22"/>
          <w:rtl/>
        </w:rPr>
        <w:t xml:space="preserve"> נוסף, כך שבפועל, עד לסוף השנה, יופעלו 3 צוותים מתוך השניים עשר. בחודש פברואר 2015 אמורים לפעול כל שנים עשר הצוותים, בכפוף להשלמת </w:t>
      </w:r>
      <w:r w:rsidRPr="004547CD">
        <w:rPr>
          <w:rFonts w:cs="FrankRuehl" w:hint="eastAsia"/>
          <w:sz w:val="20"/>
          <w:szCs w:val="22"/>
          <w:rtl/>
        </w:rPr>
        <w:t>התיקנון</w:t>
      </w:r>
      <w:r w:rsidRPr="004547CD">
        <w:rPr>
          <w:rFonts w:cs="FrankRuehl"/>
          <w:sz w:val="20"/>
          <w:szCs w:val="22"/>
          <w:rtl/>
        </w:rPr>
        <w:t xml:space="preserve"> עליו סוכם.</w:t>
      </w:r>
      <w:r w:rsidRPr="004547CD">
        <w:rPr>
          <w:rFonts w:cs="FrankRuehl" w:hint="cs"/>
          <w:sz w:val="20"/>
          <w:szCs w:val="22"/>
          <w:rtl/>
        </w:rPr>
        <w:t>..</w:t>
      </w:r>
      <w:r w:rsidRPr="004547CD">
        <w:rPr>
          <w:rFonts w:cs="FrankRuehl"/>
          <w:sz w:val="20"/>
          <w:szCs w:val="22"/>
          <w:rtl/>
        </w:rPr>
        <w:t xml:space="preserve"> </w:t>
      </w:r>
      <w:r w:rsidRPr="004547CD">
        <w:rPr>
          <w:rFonts w:cs="FrankRuehl" w:hint="eastAsia"/>
          <w:sz w:val="20"/>
          <w:szCs w:val="22"/>
          <w:rtl/>
        </w:rPr>
        <w:t>על</w:t>
      </w:r>
      <w:r w:rsidRPr="004547CD">
        <w:rPr>
          <w:rFonts w:cs="FrankRuehl"/>
          <w:sz w:val="20"/>
          <w:szCs w:val="22"/>
          <w:rtl/>
        </w:rPr>
        <w:t xml:space="preserve"> </w:t>
      </w:r>
      <w:r w:rsidRPr="004547CD">
        <w:rPr>
          <w:rFonts w:cs="FrankRuehl" w:hint="eastAsia"/>
          <w:sz w:val="20"/>
          <w:szCs w:val="22"/>
          <w:rtl/>
        </w:rPr>
        <w:t>פי</w:t>
      </w:r>
      <w:r w:rsidRPr="004547CD">
        <w:rPr>
          <w:rFonts w:cs="FrankRuehl"/>
          <w:sz w:val="20"/>
          <w:szCs w:val="22"/>
          <w:rtl/>
        </w:rPr>
        <w:t xml:space="preserve"> </w:t>
      </w:r>
      <w:r w:rsidRPr="004547CD">
        <w:rPr>
          <w:rFonts w:cs="FrankRuehl" w:hint="eastAsia"/>
          <w:sz w:val="20"/>
          <w:szCs w:val="22"/>
          <w:rtl/>
        </w:rPr>
        <w:t>הסיכום</w:t>
      </w:r>
      <w:r w:rsidRPr="004547CD">
        <w:rPr>
          <w:rFonts w:cs="FrankRuehl"/>
          <w:sz w:val="20"/>
          <w:szCs w:val="22"/>
          <w:rtl/>
        </w:rPr>
        <w:t xml:space="preserve"> </w:t>
      </w:r>
      <w:r w:rsidRPr="004547CD">
        <w:rPr>
          <w:rFonts w:cs="FrankRuehl" w:hint="eastAsia"/>
          <w:sz w:val="20"/>
          <w:szCs w:val="22"/>
          <w:rtl/>
        </w:rPr>
        <w:t>עם</w:t>
      </w:r>
      <w:r w:rsidRPr="004547CD">
        <w:rPr>
          <w:rFonts w:cs="FrankRuehl"/>
          <w:sz w:val="20"/>
          <w:szCs w:val="22"/>
          <w:rtl/>
        </w:rPr>
        <w:t xml:space="preserve"> </w:t>
      </w:r>
      <w:r w:rsidRPr="004547CD">
        <w:rPr>
          <w:rFonts w:cs="FrankRuehl" w:hint="eastAsia"/>
          <w:sz w:val="20"/>
          <w:szCs w:val="22"/>
          <w:rtl/>
        </w:rPr>
        <w:t>משטרת</w:t>
      </w:r>
      <w:r w:rsidRPr="004547CD">
        <w:rPr>
          <w:rFonts w:cs="FrankRuehl"/>
          <w:sz w:val="20"/>
          <w:szCs w:val="22"/>
          <w:rtl/>
        </w:rPr>
        <w:t xml:space="preserve"> </w:t>
      </w:r>
      <w:r w:rsidRPr="004547CD">
        <w:rPr>
          <w:rFonts w:cs="FrankRuehl" w:hint="eastAsia"/>
          <w:sz w:val="20"/>
          <w:szCs w:val="22"/>
          <w:rtl/>
        </w:rPr>
        <w:t>ישראל</w:t>
      </w:r>
      <w:r w:rsidRPr="004547CD">
        <w:rPr>
          <w:rFonts w:cs="FrankRuehl"/>
          <w:sz w:val="20"/>
          <w:szCs w:val="22"/>
          <w:rtl/>
        </w:rPr>
        <w:t xml:space="preserve">, </w:t>
      </w:r>
      <w:r w:rsidRPr="004547CD">
        <w:rPr>
          <w:rFonts w:cs="FrankRuehl" w:hint="eastAsia"/>
          <w:sz w:val="20"/>
          <w:szCs w:val="22"/>
          <w:rtl/>
        </w:rPr>
        <w:t>במקומות</w:t>
      </w:r>
      <w:r w:rsidRPr="004547CD">
        <w:rPr>
          <w:rFonts w:cs="FrankRuehl"/>
          <w:sz w:val="20"/>
          <w:szCs w:val="22"/>
          <w:rtl/>
        </w:rPr>
        <w:t xml:space="preserve"> </w:t>
      </w:r>
      <w:r w:rsidRPr="004547CD">
        <w:rPr>
          <w:rFonts w:cs="FrankRuehl" w:hint="eastAsia"/>
          <w:sz w:val="20"/>
          <w:szCs w:val="22"/>
          <w:rtl/>
        </w:rPr>
        <w:t>שעדיין</w:t>
      </w:r>
      <w:r w:rsidRPr="004547CD">
        <w:rPr>
          <w:rFonts w:cs="FrankRuehl"/>
          <w:sz w:val="20"/>
          <w:szCs w:val="22"/>
          <w:rtl/>
        </w:rPr>
        <w:t xml:space="preserve"> </w:t>
      </w:r>
      <w:r w:rsidRPr="004547CD">
        <w:rPr>
          <w:rFonts w:cs="FrankRuehl" w:hint="eastAsia"/>
          <w:sz w:val="20"/>
          <w:szCs w:val="22"/>
          <w:rtl/>
        </w:rPr>
        <w:t>לא</w:t>
      </w:r>
      <w:r w:rsidRPr="004547CD">
        <w:rPr>
          <w:rFonts w:cs="FrankRuehl"/>
          <w:sz w:val="20"/>
          <w:szCs w:val="22"/>
          <w:rtl/>
        </w:rPr>
        <w:t xml:space="preserve"> </w:t>
      </w:r>
      <w:r w:rsidRPr="004547CD">
        <w:rPr>
          <w:rFonts w:cs="FrankRuehl" w:hint="eastAsia"/>
          <w:sz w:val="20"/>
          <w:szCs w:val="22"/>
          <w:rtl/>
        </w:rPr>
        <w:t>פועל</w:t>
      </w:r>
      <w:r w:rsidRPr="004547CD">
        <w:rPr>
          <w:rFonts w:cs="FrankRuehl"/>
          <w:sz w:val="20"/>
          <w:szCs w:val="22"/>
          <w:rtl/>
        </w:rPr>
        <w:t xml:space="preserve"> </w:t>
      </w:r>
      <w:r w:rsidRPr="004547CD">
        <w:rPr>
          <w:rFonts w:cs="FrankRuehl" w:hint="eastAsia"/>
          <w:sz w:val="20"/>
          <w:szCs w:val="22"/>
          <w:rtl/>
        </w:rPr>
        <w:t>סבב</w:t>
      </w:r>
      <w:r w:rsidRPr="004547CD">
        <w:rPr>
          <w:rFonts w:cs="FrankRuehl"/>
          <w:sz w:val="20"/>
          <w:szCs w:val="22"/>
          <w:rtl/>
        </w:rPr>
        <w:t xml:space="preserve"> </w:t>
      </w:r>
      <w:r w:rsidRPr="004547CD">
        <w:rPr>
          <w:rFonts w:cs="FrankRuehl" w:hint="eastAsia"/>
          <w:sz w:val="20"/>
          <w:szCs w:val="22"/>
          <w:rtl/>
        </w:rPr>
        <w:t>ג</w:t>
      </w:r>
      <w:r w:rsidRPr="004547CD">
        <w:rPr>
          <w:rFonts w:cs="FrankRuehl"/>
          <w:sz w:val="20"/>
          <w:szCs w:val="22"/>
          <w:rtl/>
        </w:rPr>
        <w:t xml:space="preserve">' </w:t>
      </w:r>
      <w:r w:rsidRPr="004547CD">
        <w:rPr>
          <w:rFonts w:cs="FrankRuehl" w:hint="eastAsia"/>
          <w:sz w:val="20"/>
          <w:szCs w:val="22"/>
          <w:rtl/>
        </w:rPr>
        <w:t>ועד</w:t>
      </w:r>
      <w:r w:rsidRPr="004547CD">
        <w:rPr>
          <w:rFonts w:cs="FrankRuehl"/>
          <w:sz w:val="20"/>
          <w:szCs w:val="22"/>
          <w:rtl/>
        </w:rPr>
        <w:t xml:space="preserve"> </w:t>
      </w:r>
      <w:r w:rsidRPr="004547CD">
        <w:rPr>
          <w:rFonts w:cs="FrankRuehl" w:hint="eastAsia"/>
          <w:sz w:val="20"/>
          <w:szCs w:val="22"/>
          <w:rtl/>
        </w:rPr>
        <w:t>להשלמת</w:t>
      </w:r>
      <w:r w:rsidRPr="004547CD">
        <w:rPr>
          <w:rFonts w:cs="FrankRuehl"/>
          <w:sz w:val="20"/>
          <w:szCs w:val="22"/>
          <w:rtl/>
        </w:rPr>
        <w:t xml:space="preserve"> </w:t>
      </w:r>
      <w:r w:rsidRPr="004547CD">
        <w:rPr>
          <w:rFonts w:cs="FrankRuehl" w:hint="eastAsia"/>
          <w:sz w:val="20"/>
          <w:szCs w:val="22"/>
          <w:rtl/>
        </w:rPr>
        <w:t>המהלך</w:t>
      </w:r>
      <w:r w:rsidRPr="004547CD">
        <w:rPr>
          <w:rFonts w:cs="FrankRuehl"/>
          <w:sz w:val="20"/>
          <w:szCs w:val="22"/>
          <w:rtl/>
        </w:rPr>
        <w:t xml:space="preserve">, </w:t>
      </w:r>
      <w:r w:rsidRPr="004547CD">
        <w:rPr>
          <w:rFonts w:cs="FrankRuehl" w:hint="eastAsia"/>
          <w:sz w:val="20"/>
          <w:szCs w:val="22"/>
          <w:rtl/>
        </w:rPr>
        <w:t>המשטרה</w:t>
      </w:r>
      <w:r w:rsidRPr="004547CD">
        <w:rPr>
          <w:rFonts w:cs="FrankRuehl"/>
          <w:sz w:val="20"/>
          <w:szCs w:val="22"/>
          <w:rtl/>
        </w:rPr>
        <w:t xml:space="preserve"> </w:t>
      </w:r>
      <w:r w:rsidRPr="004547CD">
        <w:rPr>
          <w:rFonts w:cs="FrankRuehl" w:hint="eastAsia"/>
          <w:sz w:val="20"/>
          <w:szCs w:val="22"/>
          <w:rtl/>
        </w:rPr>
        <w:t>מביאה</w:t>
      </w:r>
      <w:r w:rsidRPr="004547CD">
        <w:rPr>
          <w:rFonts w:cs="FrankRuehl"/>
          <w:sz w:val="20"/>
          <w:szCs w:val="22"/>
          <w:rtl/>
        </w:rPr>
        <w:t xml:space="preserve"> </w:t>
      </w:r>
      <w:r w:rsidRPr="004547CD">
        <w:rPr>
          <w:rFonts w:cs="FrankRuehl" w:hint="eastAsia"/>
          <w:sz w:val="20"/>
          <w:szCs w:val="22"/>
          <w:rtl/>
        </w:rPr>
        <w:t>את</w:t>
      </w:r>
      <w:r w:rsidRPr="004547CD">
        <w:rPr>
          <w:rFonts w:cs="FrankRuehl"/>
          <w:sz w:val="20"/>
          <w:szCs w:val="22"/>
          <w:rtl/>
        </w:rPr>
        <w:t xml:space="preserve"> </w:t>
      </w:r>
      <w:r w:rsidRPr="004547CD">
        <w:rPr>
          <w:rFonts w:cs="FrankRuehl" w:hint="eastAsia"/>
          <w:sz w:val="20"/>
          <w:szCs w:val="22"/>
          <w:rtl/>
        </w:rPr>
        <w:t>העצורים</w:t>
      </w:r>
      <w:r w:rsidRPr="004547CD">
        <w:rPr>
          <w:rFonts w:cs="FrankRuehl"/>
          <w:sz w:val="20"/>
          <w:szCs w:val="22"/>
          <w:rtl/>
        </w:rPr>
        <w:t xml:space="preserve"> </w:t>
      </w:r>
      <w:r w:rsidRPr="004547CD">
        <w:rPr>
          <w:rFonts w:cs="FrankRuehl" w:hint="eastAsia"/>
          <w:sz w:val="20"/>
          <w:szCs w:val="22"/>
          <w:rtl/>
        </w:rPr>
        <w:t>לבתי</w:t>
      </w:r>
      <w:r w:rsidRPr="004547CD">
        <w:rPr>
          <w:rFonts w:cs="FrankRuehl"/>
          <w:sz w:val="20"/>
          <w:szCs w:val="22"/>
          <w:rtl/>
        </w:rPr>
        <w:t xml:space="preserve"> </w:t>
      </w:r>
      <w:r w:rsidRPr="004547CD">
        <w:rPr>
          <w:rFonts w:cs="FrankRuehl" w:hint="eastAsia"/>
          <w:sz w:val="20"/>
          <w:szCs w:val="22"/>
          <w:rtl/>
        </w:rPr>
        <w:t>המעצר</w:t>
      </w:r>
      <w:r w:rsidRPr="004547CD">
        <w:rPr>
          <w:rFonts w:cs="FrankRuehl"/>
          <w:sz w:val="20"/>
          <w:szCs w:val="22"/>
          <w:rtl/>
        </w:rPr>
        <w:t xml:space="preserve">, </w:t>
      </w:r>
      <w:r w:rsidRPr="004547CD">
        <w:rPr>
          <w:rFonts w:cs="FrankRuehl" w:hint="eastAsia"/>
          <w:sz w:val="20"/>
          <w:szCs w:val="22"/>
          <w:rtl/>
        </w:rPr>
        <w:t>עפ</w:t>
      </w:r>
      <w:r w:rsidRPr="004547CD">
        <w:rPr>
          <w:rFonts w:cs="FrankRuehl"/>
          <w:sz w:val="20"/>
          <w:szCs w:val="22"/>
          <w:rtl/>
        </w:rPr>
        <w:t xml:space="preserve">"י </w:t>
      </w:r>
      <w:r w:rsidRPr="004547CD">
        <w:rPr>
          <w:rFonts w:cs="FrankRuehl" w:hint="eastAsia"/>
          <w:sz w:val="20"/>
          <w:szCs w:val="22"/>
          <w:rtl/>
        </w:rPr>
        <w:t>השיבוץ</w:t>
      </w:r>
      <w:r w:rsidRPr="004547CD">
        <w:rPr>
          <w:rFonts w:cs="FrankRuehl"/>
          <w:sz w:val="20"/>
          <w:szCs w:val="22"/>
          <w:rtl/>
        </w:rPr>
        <w:t xml:space="preserve"> </w:t>
      </w:r>
      <w:r w:rsidRPr="004547CD">
        <w:rPr>
          <w:rFonts w:cs="FrankRuehl" w:hint="eastAsia"/>
          <w:sz w:val="20"/>
          <w:szCs w:val="22"/>
          <w:rtl/>
        </w:rPr>
        <w:t>של</w:t>
      </w:r>
      <w:r w:rsidRPr="004547CD">
        <w:rPr>
          <w:rFonts w:cs="FrankRuehl"/>
          <w:sz w:val="20"/>
          <w:szCs w:val="22"/>
          <w:rtl/>
        </w:rPr>
        <w:t xml:space="preserve"> </w:t>
      </w:r>
      <w:r w:rsidRPr="004547CD">
        <w:rPr>
          <w:rFonts w:cs="FrankRuehl" w:hint="eastAsia"/>
          <w:sz w:val="20"/>
          <w:szCs w:val="22"/>
          <w:rtl/>
        </w:rPr>
        <w:t>חטיבת</w:t>
      </w:r>
      <w:r w:rsidRPr="004547CD">
        <w:rPr>
          <w:rFonts w:cs="FrankRuehl"/>
          <w:sz w:val="20"/>
          <w:szCs w:val="22"/>
          <w:rtl/>
        </w:rPr>
        <w:t xml:space="preserve"> הכליאה. למחרת בבוקר יחידת נחשון היא אשר מלווה את העצור לבית המשפט </w:t>
      </w:r>
      <w:r w:rsidRPr="004547CD">
        <w:rPr>
          <w:rFonts w:cs="FrankRuehl" w:hint="eastAsia"/>
          <w:sz w:val="20"/>
          <w:szCs w:val="22"/>
          <w:rtl/>
        </w:rPr>
        <w:t>וממשיכה</w:t>
      </w:r>
      <w:r w:rsidRPr="004547CD">
        <w:rPr>
          <w:rFonts w:cs="FrankRuehl"/>
          <w:sz w:val="20"/>
          <w:szCs w:val="22"/>
          <w:rtl/>
        </w:rPr>
        <w:t xml:space="preserve"> </w:t>
      </w:r>
      <w:r w:rsidRPr="004547CD">
        <w:rPr>
          <w:rFonts w:cs="FrankRuehl" w:hint="eastAsia"/>
          <w:sz w:val="20"/>
          <w:szCs w:val="22"/>
          <w:rtl/>
        </w:rPr>
        <w:t>לקדם</w:t>
      </w:r>
      <w:r w:rsidRPr="004547CD">
        <w:rPr>
          <w:rFonts w:cs="FrankRuehl"/>
          <w:sz w:val="20"/>
          <w:szCs w:val="22"/>
          <w:rtl/>
        </w:rPr>
        <w:t xml:space="preserve"> </w:t>
      </w:r>
      <w:r w:rsidRPr="004547CD">
        <w:rPr>
          <w:rFonts w:cs="FrankRuehl" w:hint="eastAsia"/>
          <w:sz w:val="20"/>
          <w:szCs w:val="22"/>
          <w:rtl/>
        </w:rPr>
        <w:t>את</w:t>
      </w:r>
      <w:r w:rsidRPr="004547CD">
        <w:rPr>
          <w:rFonts w:cs="FrankRuehl"/>
          <w:sz w:val="20"/>
          <w:szCs w:val="22"/>
          <w:rtl/>
        </w:rPr>
        <w:t xml:space="preserve"> </w:t>
      </w:r>
      <w:r w:rsidRPr="004547CD">
        <w:rPr>
          <w:rFonts w:cs="FrankRuehl" w:hint="eastAsia"/>
          <w:sz w:val="20"/>
          <w:szCs w:val="22"/>
          <w:rtl/>
        </w:rPr>
        <w:t>התהליך</w:t>
      </w:r>
      <w:r w:rsidRPr="004547CD">
        <w:rPr>
          <w:rFonts w:cs="FrankRuehl"/>
          <w:sz w:val="20"/>
          <w:szCs w:val="22"/>
          <w:rtl/>
        </w:rPr>
        <w:t>".</w:t>
      </w:r>
    </w:p>
    <w:p w:rsidR="006259B3" w:rsidRPr="004547CD" w:rsidP="008A6D26">
      <w:pPr>
        <w:spacing w:after="120" w:line="230" w:lineRule="exact"/>
        <w:jc w:val="both"/>
        <w:rPr>
          <w:rFonts w:cs="FrankRuehl"/>
          <w:sz w:val="20"/>
          <w:szCs w:val="22"/>
          <w:rtl/>
        </w:rPr>
      </w:pPr>
      <w:r w:rsidRPr="004547CD">
        <w:rPr>
          <w:rFonts w:cs="FrankRuehl" w:hint="cs"/>
          <w:sz w:val="20"/>
          <w:szCs w:val="22"/>
          <w:rtl/>
        </w:rPr>
        <w:t>המשטרה ושב"ס ציינו בתשובותיהם כי החלת סבב ג' תקטין את הפערים ביניהם ותשפר את שיתוף הפעולה ביניהם. המשטרה כתבה למשרד מבקר המדינה כי חלק מהפערים טופלו כבר במסגרת הסכם ההבנות מ-2014 והמצב משתפר. כמו כן החל מחודש נובמבר 2014, עם התחלת היישום של סבב ליוויים ג', יחול שיפור משמעותי אף יותר. תשובת שב"ס הייתה מסויגת יותר; נכתב בה כי סבב ג' יספק אמנם מענה לחלק ניכר מצורכי המשטרה בנושא הלוויים, אבל עדיין לא יהיה בו כדי לגשר על כל הפערים בין הגופים ולענות על מלוא הדרישות המוטלות על המשטרה בתחום זה.</w:t>
      </w:r>
    </w:p>
    <w:p w:rsidR="006259B3" w:rsidRPr="004547CD" w:rsidP="00C70295">
      <w:pPr>
        <w:spacing w:after="240" w:line="230" w:lineRule="exact"/>
        <w:jc w:val="both"/>
        <w:rPr>
          <w:rFonts w:cs="FrankRuehl"/>
          <w:sz w:val="20"/>
          <w:szCs w:val="22"/>
          <w:rtl/>
        </w:rPr>
      </w:pPr>
      <w:r w:rsidRPr="004547CD">
        <w:rPr>
          <w:rFonts w:cs="FrankRuehl" w:hint="cs"/>
          <w:sz w:val="20"/>
          <w:szCs w:val="22"/>
          <w:rtl/>
        </w:rPr>
        <w:t>המשרד לבט"פ מסר בתשובתו למשרד מבקר המדינה כי התפיסה שעמדה בבסיס המהלך, היא שיש צורך להקטין במידת האפשר את כמות הליוויים שמבצעת המשטרה, כדי שעם יישומו של סבב ג' הזמן שמשקיעה המשטרה בליווי עצורים יפחת למינימום.</w:t>
      </w:r>
    </w:p>
    <w:p w:rsidR="006259B3" w:rsidRPr="004547CD" w:rsidP="00C70295">
      <w:pPr>
        <w:pStyle w:val="RESHET"/>
      </w:pPr>
      <w:r w:rsidRPr="004547CD">
        <w:rPr>
          <w:rFonts w:hint="cs"/>
          <w:rtl/>
        </w:rPr>
        <w:t xml:space="preserve">סבב ג' הוא הציר המרכזי בהסכם 2014, והוא נועד לצמצם משמעותית את הפערים הקיימים בין שני הגופים ולשפר את יחסי העבודה ביניהם. לפיכך על המשרד לבט"פ לפעול בנחישות ליישומו של סבב ג' בתוך פרק זמן קצר; עליו לעקוב אחר הפיילוט שהחל בכמה תחנות שיש בהן תאי מעצר, להפיק ממנו לקחים ולפעול ליישומו בכל רחבי הארץ. </w:t>
      </w:r>
    </w:p>
    <w:p w:rsidR="00C70295" w:rsidP="00C70295">
      <w:pPr>
        <w:spacing w:after="120" w:line="230" w:lineRule="exact"/>
        <w:jc w:val="both"/>
        <w:rPr>
          <w:rFonts w:cs="FrankRuehl"/>
          <w:sz w:val="22"/>
          <w:szCs w:val="22"/>
          <w:rtl/>
        </w:rPr>
      </w:pPr>
    </w:p>
    <w:p w:rsidR="00C70295" w:rsidP="00C70295">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C70295" w:rsidP="00C70295">
      <w:pPr>
        <w:spacing w:after="120" w:line="230" w:lineRule="exact"/>
        <w:jc w:val="both"/>
        <w:rPr>
          <w:rFonts w:cs="FrankRuehl"/>
          <w:sz w:val="22"/>
          <w:szCs w:val="22"/>
          <w:rtl/>
        </w:rPr>
      </w:pPr>
    </w:p>
    <w:p w:rsidR="006259B3" w:rsidRPr="004547CD" w:rsidP="00C70295">
      <w:pPr>
        <w:pStyle w:val="RESHET"/>
        <w:rPr>
          <w:rtl/>
        </w:rPr>
      </w:pPr>
      <w:r w:rsidRPr="004547CD">
        <w:rPr>
          <w:rFonts w:hint="cs"/>
          <w:rtl/>
        </w:rPr>
        <w:t>ה</w:t>
      </w:r>
      <w:r w:rsidRPr="004547CD">
        <w:rPr>
          <w:rtl/>
        </w:rPr>
        <w:t>הסכמי</w:t>
      </w:r>
      <w:r w:rsidRPr="004547CD">
        <w:rPr>
          <w:rFonts w:hint="cs"/>
          <w:rtl/>
        </w:rPr>
        <w:t>ם</w:t>
      </w:r>
      <w:r w:rsidRPr="004547CD">
        <w:rPr>
          <w:rtl/>
        </w:rPr>
        <w:t xml:space="preserve"> שנחתמו </w:t>
      </w:r>
      <w:r w:rsidRPr="004547CD">
        <w:rPr>
          <w:rFonts w:hint="cs"/>
          <w:rtl/>
        </w:rPr>
        <w:t xml:space="preserve">במחוזות </w:t>
      </w:r>
      <w:r w:rsidRPr="004547CD">
        <w:rPr>
          <w:rtl/>
        </w:rPr>
        <w:t xml:space="preserve">בשנת 2008 </w:t>
      </w:r>
      <w:r w:rsidRPr="004547CD">
        <w:rPr>
          <w:rFonts w:hint="cs"/>
          <w:rtl/>
        </w:rPr>
        <w:t xml:space="preserve">לא הסדירו את מכלול הנושאים השנויים במחלוקת בין המשטרה לשב"ס. כתוצאה מכך </w:t>
      </w:r>
      <w:r w:rsidRPr="004547CD">
        <w:rPr>
          <w:rtl/>
        </w:rPr>
        <w:t>נתגל</w:t>
      </w:r>
      <w:r w:rsidRPr="004547CD">
        <w:rPr>
          <w:rFonts w:hint="cs"/>
          <w:rtl/>
        </w:rPr>
        <w:t>ע</w:t>
      </w:r>
      <w:r w:rsidRPr="004547CD">
        <w:rPr>
          <w:rtl/>
        </w:rPr>
        <w:t xml:space="preserve">ו </w:t>
      </w:r>
      <w:r w:rsidRPr="004547CD">
        <w:rPr>
          <w:rFonts w:hint="cs"/>
          <w:rtl/>
        </w:rPr>
        <w:t>מחלוקות</w:t>
      </w:r>
      <w:r w:rsidRPr="004547CD">
        <w:rPr>
          <w:rtl/>
        </w:rPr>
        <w:t xml:space="preserve"> </w:t>
      </w:r>
      <w:r w:rsidRPr="004547CD">
        <w:rPr>
          <w:rFonts w:hint="cs"/>
          <w:rtl/>
        </w:rPr>
        <w:t>רבות</w:t>
      </w:r>
      <w:r w:rsidRPr="004547CD">
        <w:rPr>
          <w:rtl/>
        </w:rPr>
        <w:t xml:space="preserve"> </w:t>
      </w:r>
      <w:r w:rsidRPr="004547CD">
        <w:rPr>
          <w:rFonts w:hint="eastAsia"/>
          <w:rtl/>
        </w:rPr>
        <w:t>בפרשנות</w:t>
      </w:r>
      <w:r w:rsidRPr="004547CD">
        <w:rPr>
          <w:rtl/>
        </w:rPr>
        <w:t xml:space="preserve"> </w:t>
      </w:r>
      <w:r w:rsidRPr="004547CD">
        <w:rPr>
          <w:rFonts w:hint="eastAsia"/>
          <w:rtl/>
        </w:rPr>
        <w:t>וביישום</w:t>
      </w:r>
      <w:r w:rsidRPr="004547CD">
        <w:rPr>
          <w:rtl/>
        </w:rPr>
        <w:t xml:space="preserve"> </w:t>
      </w:r>
      <w:r w:rsidRPr="004547CD">
        <w:rPr>
          <w:rFonts w:hint="cs"/>
          <w:rtl/>
        </w:rPr>
        <w:t xml:space="preserve">של הסכמים אלה. גם </w:t>
      </w:r>
      <w:r w:rsidRPr="004547CD">
        <w:rPr>
          <w:rFonts w:hint="eastAsia"/>
          <w:rtl/>
        </w:rPr>
        <w:t>הסכם</w:t>
      </w:r>
      <w:r w:rsidRPr="004547CD">
        <w:rPr>
          <w:rtl/>
        </w:rPr>
        <w:t xml:space="preserve"> 2014</w:t>
      </w:r>
      <w:r w:rsidRPr="004547CD">
        <w:rPr>
          <w:rFonts w:hint="cs"/>
          <w:rtl/>
        </w:rPr>
        <w:t>,</w:t>
      </w:r>
      <w:r w:rsidRPr="004547CD">
        <w:rPr>
          <w:rtl/>
        </w:rPr>
        <w:t xml:space="preserve"> </w:t>
      </w:r>
      <w:r w:rsidRPr="004547CD">
        <w:rPr>
          <w:rFonts w:hint="cs"/>
          <w:rtl/>
        </w:rPr>
        <w:t>ש</w:t>
      </w:r>
      <w:r w:rsidRPr="004547CD">
        <w:rPr>
          <w:rFonts w:hint="eastAsia"/>
          <w:rtl/>
        </w:rPr>
        <w:t>נועד</w:t>
      </w:r>
      <w:r w:rsidRPr="004547CD">
        <w:rPr>
          <w:rtl/>
        </w:rPr>
        <w:t xml:space="preserve"> להיות הסכם </w:t>
      </w:r>
      <w:r w:rsidRPr="004547CD">
        <w:rPr>
          <w:rFonts w:hint="cs"/>
          <w:rtl/>
        </w:rPr>
        <w:t>שיישב את עיקר המחלוקות בין הגופים,</w:t>
      </w:r>
      <w:r w:rsidRPr="004547CD">
        <w:rPr>
          <w:rtl/>
        </w:rPr>
        <w:t xml:space="preserve"> ו</w:t>
      </w:r>
      <w:r w:rsidRPr="004547CD">
        <w:rPr>
          <w:rFonts w:hint="cs"/>
          <w:rtl/>
        </w:rPr>
        <w:t>ש</w:t>
      </w:r>
      <w:r w:rsidRPr="004547CD">
        <w:rPr>
          <w:rtl/>
        </w:rPr>
        <w:t xml:space="preserve">עליו </w:t>
      </w:r>
      <w:r w:rsidRPr="004547CD">
        <w:rPr>
          <w:rFonts w:hint="eastAsia"/>
          <w:rtl/>
        </w:rPr>
        <w:t>חתמו</w:t>
      </w:r>
      <w:r w:rsidRPr="004547CD">
        <w:rPr>
          <w:rtl/>
        </w:rPr>
        <w:t xml:space="preserve"> מנכ"ל המשרד </w:t>
      </w:r>
      <w:r w:rsidRPr="004547CD">
        <w:rPr>
          <w:rFonts w:hint="eastAsia"/>
          <w:rtl/>
        </w:rPr>
        <w:t>לבט</w:t>
      </w:r>
      <w:r w:rsidRPr="004547CD">
        <w:rPr>
          <w:rFonts w:hint="cs"/>
          <w:rtl/>
        </w:rPr>
        <w:t>"פ,</w:t>
      </w:r>
      <w:r w:rsidRPr="004547CD">
        <w:rPr>
          <w:rtl/>
        </w:rPr>
        <w:t xml:space="preserve"> </w:t>
      </w:r>
      <w:r w:rsidRPr="004547CD">
        <w:rPr>
          <w:rFonts w:hint="eastAsia"/>
          <w:rtl/>
        </w:rPr>
        <w:t>סגן</w:t>
      </w:r>
      <w:r w:rsidRPr="004547CD">
        <w:rPr>
          <w:rtl/>
        </w:rPr>
        <w:t xml:space="preserve"> </w:t>
      </w:r>
      <w:r w:rsidRPr="004547CD">
        <w:rPr>
          <w:rFonts w:hint="eastAsia"/>
          <w:rtl/>
        </w:rPr>
        <w:t>נציב</w:t>
      </w:r>
      <w:r w:rsidRPr="004547CD">
        <w:rPr>
          <w:rtl/>
        </w:rPr>
        <w:t xml:space="preserve"> </w:t>
      </w:r>
      <w:r w:rsidRPr="004547CD">
        <w:rPr>
          <w:rFonts w:hint="cs"/>
          <w:rtl/>
        </w:rPr>
        <w:t>שב</w:t>
      </w:r>
      <w:r w:rsidRPr="004547CD">
        <w:rPr>
          <w:rtl/>
        </w:rPr>
        <w:t>"</w:t>
      </w:r>
      <w:r w:rsidRPr="004547CD">
        <w:rPr>
          <w:rFonts w:hint="cs"/>
          <w:rtl/>
        </w:rPr>
        <w:t>ס</w:t>
      </w:r>
      <w:r w:rsidRPr="004547CD">
        <w:rPr>
          <w:rtl/>
        </w:rPr>
        <w:t xml:space="preserve"> </w:t>
      </w:r>
      <w:r w:rsidRPr="004547CD">
        <w:rPr>
          <w:rFonts w:hint="eastAsia"/>
          <w:rtl/>
        </w:rPr>
        <w:t>וראש</w:t>
      </w:r>
      <w:r w:rsidRPr="004547CD">
        <w:rPr>
          <w:rtl/>
        </w:rPr>
        <w:t xml:space="preserve"> </w:t>
      </w:r>
      <w:r w:rsidRPr="004547CD">
        <w:rPr>
          <w:rFonts w:hint="eastAsia"/>
          <w:rtl/>
        </w:rPr>
        <w:t>אגף</w:t>
      </w:r>
      <w:r w:rsidRPr="004547CD">
        <w:rPr>
          <w:rtl/>
        </w:rPr>
        <w:t xml:space="preserve"> </w:t>
      </w:r>
      <w:r w:rsidRPr="004547CD">
        <w:rPr>
          <w:rFonts w:hint="eastAsia"/>
          <w:rtl/>
        </w:rPr>
        <w:t>תכנון</w:t>
      </w:r>
      <w:r w:rsidRPr="004547CD">
        <w:rPr>
          <w:rtl/>
        </w:rPr>
        <w:t xml:space="preserve"> (</w:t>
      </w:r>
      <w:r w:rsidRPr="004547CD">
        <w:rPr>
          <w:rFonts w:hint="eastAsia"/>
          <w:rtl/>
        </w:rPr>
        <w:t>אג</w:t>
      </w:r>
      <w:r w:rsidRPr="004547CD">
        <w:rPr>
          <w:rtl/>
        </w:rPr>
        <w:t xml:space="preserve">"ת) </w:t>
      </w:r>
      <w:r w:rsidRPr="004547CD">
        <w:rPr>
          <w:rFonts w:hint="eastAsia"/>
          <w:rtl/>
        </w:rPr>
        <w:t>במשטרה</w:t>
      </w:r>
      <w:r w:rsidRPr="004547CD">
        <w:rPr>
          <w:rFonts w:hint="cs"/>
          <w:rtl/>
        </w:rPr>
        <w:t>, לא הצליח לגשר על הפערים שבין המשטרה לשב"ס</w:t>
      </w:r>
      <w:r w:rsidRPr="004547CD">
        <w:rPr>
          <w:rtl/>
        </w:rPr>
        <w:t xml:space="preserve">. </w:t>
      </w:r>
    </w:p>
    <w:p w:rsidR="006259B3" w:rsidRPr="004547CD" w:rsidP="00C70295">
      <w:pPr>
        <w:pStyle w:val="RESHET"/>
        <w:rPr>
          <w:rtl/>
        </w:rPr>
      </w:pPr>
      <w:r w:rsidRPr="004547CD">
        <w:rPr>
          <w:rFonts w:hint="cs"/>
          <w:rtl/>
        </w:rPr>
        <w:t xml:space="preserve">העברת האחריות על מערך הכליאה והליווי של העצורים מהמשטרה לשב"ס בשנת 2007 חייבה מלכתחילה הסדרי טיפול מפורטים ורמת תיאום גבוהה בעבודת שני הגופים. נכון לעת הזו, כשבע שנים לאחר שהוחלט על ההערכות החדשה, עדיין קיימות מחלוקות בין הגופים בקשר להסדרי הטיפול ולמישקי העבודה הנוגעים לכליאת העצורים ולליווים. </w:t>
      </w:r>
    </w:p>
    <w:p w:rsidR="006259B3" w:rsidRPr="004547CD" w:rsidP="00C70295">
      <w:pPr>
        <w:pStyle w:val="RESHET"/>
        <w:rPr>
          <w:rtl/>
        </w:rPr>
      </w:pPr>
      <w:r w:rsidRPr="004547CD">
        <w:rPr>
          <w:rFonts w:hint="cs"/>
          <w:rtl/>
        </w:rPr>
        <w:t xml:space="preserve">יוער כי </w:t>
      </w:r>
      <w:r w:rsidRPr="004547CD">
        <w:rPr>
          <w:rFonts w:hint="eastAsia"/>
          <w:rtl/>
        </w:rPr>
        <w:t>בסיום</w:t>
      </w:r>
      <w:r w:rsidRPr="004547CD">
        <w:rPr>
          <w:rtl/>
        </w:rPr>
        <w:t xml:space="preserve"> הסכם 2014 </w:t>
      </w:r>
      <w:r w:rsidRPr="004547CD">
        <w:rPr>
          <w:rFonts w:hint="eastAsia"/>
          <w:rtl/>
        </w:rPr>
        <w:t>נכתב</w:t>
      </w:r>
      <w:r w:rsidRPr="004547CD">
        <w:rPr>
          <w:rFonts w:hint="cs"/>
          <w:rtl/>
        </w:rPr>
        <w:t>,</w:t>
      </w:r>
      <w:r w:rsidRPr="004547CD">
        <w:rPr>
          <w:rtl/>
        </w:rPr>
        <w:t xml:space="preserve"> </w:t>
      </w:r>
      <w:r w:rsidRPr="004547CD">
        <w:rPr>
          <w:rFonts w:hint="eastAsia"/>
          <w:rtl/>
        </w:rPr>
        <w:t>ש</w:t>
      </w:r>
      <w:r w:rsidRPr="004547CD">
        <w:rPr>
          <w:rtl/>
        </w:rPr>
        <w:t>במקביל ליישו</w:t>
      </w:r>
      <w:r w:rsidRPr="004547CD">
        <w:rPr>
          <w:rFonts w:hint="cs"/>
          <w:rtl/>
        </w:rPr>
        <w:t>מו</w:t>
      </w:r>
      <w:r w:rsidRPr="004547CD">
        <w:rPr>
          <w:rtl/>
        </w:rPr>
        <w:t xml:space="preserve"> </w:t>
      </w:r>
      <w:r w:rsidRPr="004547CD">
        <w:rPr>
          <w:rFonts w:hint="cs"/>
          <w:rtl/>
        </w:rPr>
        <w:t>ינוסח הסכם מתכלל</w:t>
      </w:r>
      <w:r w:rsidRPr="004547CD">
        <w:rPr>
          <w:rtl/>
        </w:rPr>
        <w:t xml:space="preserve"> </w:t>
      </w:r>
      <w:r w:rsidRPr="004547CD">
        <w:rPr>
          <w:rFonts w:hint="eastAsia"/>
          <w:rtl/>
        </w:rPr>
        <w:t>בין</w:t>
      </w:r>
      <w:r w:rsidRPr="004547CD">
        <w:rPr>
          <w:rtl/>
        </w:rPr>
        <w:t xml:space="preserve"> </w:t>
      </w:r>
      <w:r w:rsidRPr="004547CD">
        <w:rPr>
          <w:rFonts w:hint="cs"/>
          <w:rtl/>
        </w:rPr>
        <w:t>ה</w:t>
      </w:r>
      <w:r w:rsidRPr="004547CD">
        <w:rPr>
          <w:rtl/>
        </w:rPr>
        <w:t>משטר</w:t>
      </w:r>
      <w:r w:rsidRPr="004547CD">
        <w:rPr>
          <w:rFonts w:hint="cs"/>
          <w:rtl/>
        </w:rPr>
        <w:t xml:space="preserve">ה </w:t>
      </w:r>
      <w:r w:rsidRPr="004547CD">
        <w:rPr>
          <w:rtl/>
        </w:rPr>
        <w:t xml:space="preserve">ושב"ס </w:t>
      </w:r>
      <w:r w:rsidRPr="004547CD">
        <w:rPr>
          <w:rFonts w:hint="cs"/>
          <w:rtl/>
        </w:rPr>
        <w:t>שי</w:t>
      </w:r>
      <w:r w:rsidRPr="004547CD">
        <w:rPr>
          <w:rFonts w:hint="eastAsia"/>
          <w:rtl/>
        </w:rPr>
        <w:t>ושלם</w:t>
      </w:r>
      <w:r w:rsidRPr="004547CD">
        <w:rPr>
          <w:rtl/>
        </w:rPr>
        <w:t xml:space="preserve"> </w:t>
      </w:r>
      <w:r w:rsidRPr="004547CD">
        <w:rPr>
          <w:rFonts w:hint="eastAsia"/>
          <w:rtl/>
        </w:rPr>
        <w:t>עד</w:t>
      </w:r>
      <w:r w:rsidRPr="004547CD">
        <w:rPr>
          <w:rtl/>
        </w:rPr>
        <w:t xml:space="preserve"> </w:t>
      </w:r>
      <w:r w:rsidRPr="004547CD">
        <w:rPr>
          <w:rFonts w:hint="eastAsia"/>
          <w:rtl/>
        </w:rPr>
        <w:t>חודש</w:t>
      </w:r>
      <w:r w:rsidRPr="004547CD">
        <w:rPr>
          <w:rtl/>
        </w:rPr>
        <w:t xml:space="preserve"> </w:t>
      </w:r>
      <w:r w:rsidRPr="004547CD">
        <w:rPr>
          <w:rFonts w:hint="eastAsia"/>
          <w:rtl/>
        </w:rPr>
        <w:t>ספטמבר</w:t>
      </w:r>
      <w:r w:rsidRPr="004547CD">
        <w:rPr>
          <w:rtl/>
        </w:rPr>
        <w:t xml:space="preserve"> 2014</w:t>
      </w:r>
      <w:r w:rsidRPr="004547CD">
        <w:rPr>
          <w:rFonts w:hint="cs"/>
          <w:rtl/>
        </w:rPr>
        <w:t>.</w:t>
      </w:r>
      <w:r w:rsidRPr="004547CD">
        <w:rPr>
          <w:rtl/>
        </w:rPr>
        <w:t xml:space="preserve"> </w:t>
      </w:r>
      <w:r w:rsidRPr="004547CD">
        <w:rPr>
          <w:rFonts w:hint="cs"/>
          <w:rtl/>
        </w:rPr>
        <w:t>אולם עד ינואר 2015 לא</w:t>
      </w:r>
      <w:r w:rsidRPr="004547CD">
        <w:rPr>
          <w:rtl/>
        </w:rPr>
        <w:t xml:space="preserve"> הוכ</w:t>
      </w:r>
      <w:r w:rsidRPr="004547CD">
        <w:rPr>
          <w:rFonts w:hint="cs"/>
          <w:rtl/>
        </w:rPr>
        <w:t xml:space="preserve">ן הסכם </w:t>
      </w:r>
      <w:r w:rsidRPr="004547CD">
        <w:rPr>
          <w:rtl/>
        </w:rPr>
        <w:t>להסדר</w:t>
      </w:r>
      <w:r w:rsidRPr="004547CD">
        <w:rPr>
          <w:rFonts w:hint="cs"/>
          <w:rtl/>
        </w:rPr>
        <w:t xml:space="preserve">ה מלאה של חלוקת האחריות בנושא </w:t>
      </w:r>
      <w:r w:rsidRPr="004547CD">
        <w:rPr>
          <w:rtl/>
        </w:rPr>
        <w:t>ליווי האסירים ו</w:t>
      </w:r>
      <w:r w:rsidRPr="004547CD">
        <w:rPr>
          <w:rFonts w:hint="cs"/>
          <w:rtl/>
        </w:rPr>
        <w:t>ה</w:t>
      </w:r>
      <w:r w:rsidRPr="004547CD">
        <w:rPr>
          <w:rtl/>
        </w:rPr>
        <w:t xml:space="preserve">עצורים בין </w:t>
      </w:r>
      <w:r w:rsidRPr="004547CD">
        <w:rPr>
          <w:rFonts w:hint="cs"/>
          <w:rtl/>
        </w:rPr>
        <w:t xml:space="preserve">שני הגופים. </w:t>
      </w:r>
    </w:p>
    <w:p w:rsidR="006259B3" w:rsidRPr="004547CD" w:rsidP="00C70295">
      <w:pPr>
        <w:pStyle w:val="RESHET"/>
        <w:rPr>
          <w:rtl/>
        </w:rPr>
      </w:pPr>
      <w:r w:rsidRPr="004547CD">
        <w:rPr>
          <w:rFonts w:hint="cs"/>
          <w:rtl/>
        </w:rPr>
        <w:t>ההתנהלות של המשטרה ושב"ס מצביעה על כך שנדרשות פעולות יסודיות יותר ליישוב המחלוקות ביניהם וביניהן חתימה על הסכם מתכלל שיסדיר את חלוקת העבודה בין הגופים; לאחר מכן יהיה על כל גוף להכין נהלים מפורטים, לקבוע הסדרים יעילים לליבון מחלוקות שמתעוררות בשטח ולהטמיע הסדרים אלה בהתנהלותו היומיומית; וכל זאת מתוך היכרות הדדית והתחשבות הדדית באילוצים ובמגבלות של כל צד. המשרד לבט"פ בשיתוף המשטרה ושב"ס נדרשים לפעול בנחישות לביצוע פעולות אלה כדי שהמבצעיות של כל אחד מהגופים לא תיפגע וכדי שזכויות העצורים יישמרו.</w:t>
      </w:r>
    </w:p>
    <w:p w:rsidR="006259B3" w:rsidRPr="004547CD" w:rsidP="008A6D26">
      <w:pPr>
        <w:spacing w:after="120" w:line="230" w:lineRule="exact"/>
        <w:jc w:val="both"/>
        <w:rPr>
          <w:rFonts w:cs="FrankRuehl"/>
          <w:sz w:val="20"/>
          <w:szCs w:val="22"/>
          <w:rtl/>
        </w:rPr>
      </w:pPr>
    </w:p>
    <w:p w:rsidR="006259B3" w:rsidRPr="004547CD" w:rsidP="008A6D26">
      <w:pPr>
        <w:spacing w:after="120" w:line="230" w:lineRule="exact"/>
        <w:jc w:val="both"/>
        <w:rPr>
          <w:rFonts w:cs="FrankRuehl"/>
          <w:sz w:val="20"/>
          <w:szCs w:val="22"/>
          <w:rtl/>
        </w:rPr>
      </w:pPr>
    </w:p>
    <w:p w:rsidR="006259B3" w:rsidRPr="00596B42" w:rsidP="008A6D26">
      <w:pPr>
        <w:pStyle w:val="KOT2"/>
        <w:rPr>
          <w:rtl/>
        </w:rPr>
      </w:pPr>
      <w:r w:rsidRPr="00596B42">
        <w:rPr>
          <w:rFonts w:hint="cs"/>
          <w:rtl/>
        </w:rPr>
        <w:t>נתונים על מספר המעצרים</w:t>
      </w:r>
    </w:p>
    <w:p w:rsidR="006259B3" w:rsidRPr="00596B42" w:rsidP="008A6D26">
      <w:pPr>
        <w:pStyle w:val="KOT4"/>
        <w:rPr>
          <w:rtl/>
        </w:rPr>
      </w:pPr>
      <w:r w:rsidRPr="00596B42">
        <w:rPr>
          <w:rFonts w:hint="cs"/>
          <w:rtl/>
        </w:rPr>
        <w:t>נתונים של המשטרה ושב"ס</w:t>
      </w:r>
    </w:p>
    <w:p w:rsidR="006259B3" w:rsidRPr="004547CD" w:rsidP="00C70295">
      <w:pPr>
        <w:pStyle w:val="ListParagraph"/>
        <w:numPr>
          <w:ilvl w:val="0"/>
          <w:numId w:val="8"/>
        </w:numPr>
        <w:spacing w:after="240" w:line="230" w:lineRule="exact"/>
        <w:contextualSpacing w:val="0"/>
        <w:jc w:val="both"/>
        <w:rPr>
          <w:rFonts w:ascii="Times New Roman" w:eastAsia="Calibri" w:hAnsi="Times New Roman" w:cs="FrankRuehl"/>
          <w:sz w:val="20"/>
        </w:rPr>
      </w:pPr>
      <w:r w:rsidRPr="004547CD">
        <w:rPr>
          <w:rFonts w:ascii="Times New Roman" w:eastAsia="Calibri" w:hAnsi="Times New Roman" w:cs="FrankRuehl" w:hint="cs"/>
          <w:sz w:val="20"/>
          <w:rtl/>
        </w:rPr>
        <w:t>בתרשים להלן נתונים של המשטרה</w:t>
      </w:r>
      <w:r>
        <w:rPr>
          <w:rFonts w:ascii="Times New Roman" w:eastAsia="Calibri" w:hAnsi="Times New Roman" w:cs="FrankRuehl"/>
          <w:sz w:val="20"/>
          <w:vertAlign w:val="superscript"/>
          <w:rtl/>
        </w:rPr>
        <w:footnoteReference w:id="19"/>
      </w:r>
      <w:r w:rsidRPr="004547CD">
        <w:rPr>
          <w:rFonts w:ascii="Times New Roman" w:eastAsia="Calibri" w:hAnsi="Times New Roman" w:cs="FrankRuehl" w:hint="cs"/>
          <w:sz w:val="20"/>
          <w:rtl/>
        </w:rPr>
        <w:t xml:space="preserve"> על מספר כלל המעצרים ועל מספר המעצרים עד תום ההליכים בשנים 2013-2003.</w:t>
      </w:r>
    </w:p>
    <w:p w:rsidR="006259B3" w:rsidRPr="004547CD" w:rsidP="009235AD">
      <w:pPr>
        <w:spacing w:after="240" w:line="240" w:lineRule="atLeast"/>
        <w:jc w:val="center"/>
        <w:rPr>
          <w:rFonts w:eastAsia="Calibri" w:cs="FrankRuehl"/>
          <w:sz w:val="20"/>
          <w:szCs w:val="22"/>
          <w:rtl/>
        </w:rPr>
      </w:pPr>
      <w:r>
        <w:rPr>
          <w:rFonts w:cs="FrankRuehl"/>
          <w:noProof/>
          <w:sz w:val="20"/>
          <w:szCs w:val="22"/>
        </w:rPr>
        <w:pict>
          <v:shape id="_x0000_i1026" type="#_x0000_t75" style="width:340pt;height:204.5pt">
            <v:imagedata r:id="rId7" o:title="204-g-2"/>
          </v:shape>
        </w:pict>
      </w:r>
    </w:p>
    <w:p w:rsidR="006259B3" w:rsidRPr="004547CD" w:rsidP="00C70295">
      <w:pPr>
        <w:pStyle w:val="RESHET"/>
        <w:ind w:left="567"/>
        <w:rPr>
          <w:rFonts w:eastAsia="Calibri"/>
          <w:rtl/>
        </w:rPr>
      </w:pPr>
      <w:r w:rsidRPr="004547CD">
        <w:rPr>
          <w:rFonts w:eastAsia="Calibri" w:hint="eastAsia"/>
          <w:rtl/>
        </w:rPr>
        <w:t>מהתרשים</w:t>
      </w:r>
      <w:r w:rsidRPr="004547CD">
        <w:rPr>
          <w:rFonts w:eastAsia="Calibri"/>
          <w:rtl/>
        </w:rPr>
        <w:t xml:space="preserve"> עולה ש</w:t>
      </w:r>
      <w:r w:rsidRPr="004547CD">
        <w:rPr>
          <w:rFonts w:eastAsia="Calibri" w:hint="eastAsia"/>
          <w:rtl/>
        </w:rPr>
        <w:t>בין</w:t>
      </w:r>
      <w:r w:rsidRPr="004547CD">
        <w:rPr>
          <w:rFonts w:eastAsia="Calibri"/>
          <w:rtl/>
        </w:rPr>
        <w:t xml:space="preserve"> השנים </w:t>
      </w:r>
      <w:r w:rsidRPr="004547CD">
        <w:rPr>
          <w:rFonts w:eastAsia="Calibri" w:hint="cs"/>
          <w:rtl/>
        </w:rPr>
        <w:t>2013</w:t>
      </w:r>
      <w:r w:rsidRPr="004547CD">
        <w:rPr>
          <w:rFonts w:eastAsia="Calibri"/>
          <w:rtl/>
        </w:rPr>
        <w:t xml:space="preserve">-2003 היה גידול </w:t>
      </w:r>
      <w:r w:rsidRPr="004547CD">
        <w:rPr>
          <w:rFonts w:eastAsia="Calibri" w:hint="eastAsia"/>
          <w:rtl/>
        </w:rPr>
        <w:t>של</w:t>
      </w:r>
      <w:r w:rsidRPr="004547CD">
        <w:rPr>
          <w:rFonts w:eastAsia="Calibri"/>
          <w:rtl/>
        </w:rPr>
        <w:t xml:space="preserve"> </w:t>
      </w:r>
      <w:r w:rsidRPr="004547CD">
        <w:rPr>
          <w:rFonts w:eastAsia="Calibri" w:hint="eastAsia"/>
          <w:rtl/>
        </w:rPr>
        <w:t>כ</w:t>
      </w:r>
      <w:r w:rsidRPr="004547CD">
        <w:rPr>
          <w:rFonts w:eastAsia="Calibri"/>
          <w:rtl/>
        </w:rPr>
        <w:t>-3</w:t>
      </w:r>
      <w:r w:rsidRPr="004547CD">
        <w:rPr>
          <w:rFonts w:eastAsia="Calibri" w:hint="cs"/>
          <w:rtl/>
        </w:rPr>
        <w:t>2</w:t>
      </w:r>
      <w:r w:rsidRPr="004547CD">
        <w:rPr>
          <w:rFonts w:eastAsia="Calibri"/>
          <w:rtl/>
        </w:rPr>
        <w:t xml:space="preserve">% </w:t>
      </w:r>
      <w:r w:rsidRPr="004547CD">
        <w:rPr>
          <w:rFonts w:eastAsia="Calibri" w:hint="eastAsia"/>
          <w:rtl/>
        </w:rPr>
        <w:t>במספר</w:t>
      </w:r>
      <w:r w:rsidRPr="004547CD">
        <w:rPr>
          <w:rFonts w:eastAsia="Calibri"/>
          <w:rtl/>
        </w:rPr>
        <w:t xml:space="preserve"> </w:t>
      </w:r>
      <w:r w:rsidRPr="004547CD">
        <w:rPr>
          <w:rFonts w:eastAsia="Calibri" w:hint="eastAsia"/>
          <w:rtl/>
        </w:rPr>
        <w:t>המעצרים</w:t>
      </w:r>
      <w:r w:rsidRPr="004547CD">
        <w:rPr>
          <w:rFonts w:eastAsia="Calibri" w:hint="cs"/>
          <w:rtl/>
        </w:rPr>
        <w:t>.</w:t>
      </w:r>
      <w:r w:rsidRPr="004547CD">
        <w:rPr>
          <w:rFonts w:eastAsia="Calibri"/>
          <w:rtl/>
        </w:rPr>
        <w:t xml:space="preserve"> </w:t>
      </w:r>
      <w:r w:rsidRPr="004547CD">
        <w:rPr>
          <w:rFonts w:eastAsia="Calibri" w:hint="eastAsia"/>
          <w:rtl/>
        </w:rPr>
        <w:t>עוד</w:t>
      </w:r>
      <w:r w:rsidRPr="004547CD">
        <w:rPr>
          <w:rFonts w:eastAsia="Calibri"/>
          <w:rtl/>
        </w:rPr>
        <w:t xml:space="preserve"> עולה </w:t>
      </w:r>
      <w:r w:rsidRPr="004547CD">
        <w:rPr>
          <w:rFonts w:eastAsia="Calibri" w:hint="eastAsia"/>
          <w:rtl/>
        </w:rPr>
        <w:t>שמספרם</w:t>
      </w:r>
      <w:r w:rsidRPr="004547CD">
        <w:rPr>
          <w:rFonts w:eastAsia="Calibri"/>
          <w:rtl/>
        </w:rPr>
        <w:t xml:space="preserve"> של המעצרים עד תום ההליכים גדל </w:t>
      </w:r>
      <w:r w:rsidRPr="004547CD">
        <w:rPr>
          <w:rFonts w:eastAsia="Calibri" w:hint="eastAsia"/>
          <w:rtl/>
        </w:rPr>
        <w:t>בכ</w:t>
      </w:r>
      <w:r w:rsidRPr="004547CD">
        <w:rPr>
          <w:rFonts w:eastAsia="Calibri"/>
          <w:rtl/>
        </w:rPr>
        <w:t>-9</w:t>
      </w:r>
      <w:r w:rsidRPr="004547CD">
        <w:rPr>
          <w:rFonts w:eastAsia="Calibri" w:hint="cs"/>
          <w:rtl/>
        </w:rPr>
        <w:t>2</w:t>
      </w:r>
      <w:r w:rsidRPr="004547CD">
        <w:rPr>
          <w:rFonts w:eastAsia="Calibri"/>
          <w:rtl/>
        </w:rPr>
        <w:t xml:space="preserve">% </w:t>
      </w:r>
      <w:r w:rsidRPr="004547CD">
        <w:rPr>
          <w:rFonts w:eastAsia="Calibri" w:hint="eastAsia"/>
          <w:rtl/>
        </w:rPr>
        <w:t>וחלקם</w:t>
      </w:r>
      <w:r w:rsidRPr="004547CD">
        <w:rPr>
          <w:rFonts w:eastAsia="Calibri"/>
          <w:rtl/>
        </w:rPr>
        <w:t xml:space="preserve"> </w:t>
      </w:r>
      <w:r w:rsidRPr="004547CD">
        <w:rPr>
          <w:rFonts w:eastAsia="Calibri" w:hint="eastAsia"/>
          <w:rtl/>
        </w:rPr>
        <w:t>היחסי</w:t>
      </w:r>
      <w:r w:rsidRPr="004547CD">
        <w:rPr>
          <w:rFonts w:eastAsia="Calibri"/>
          <w:rtl/>
        </w:rPr>
        <w:t xml:space="preserve"> </w:t>
      </w:r>
      <w:r w:rsidRPr="004547CD">
        <w:rPr>
          <w:rFonts w:eastAsia="Calibri" w:hint="eastAsia"/>
          <w:rtl/>
        </w:rPr>
        <w:t>גדל</w:t>
      </w:r>
      <w:r w:rsidRPr="004547CD">
        <w:rPr>
          <w:rFonts w:eastAsia="Calibri" w:hint="cs"/>
          <w:rtl/>
        </w:rPr>
        <w:t xml:space="preserve"> אף הוא:</w:t>
      </w:r>
      <w:r w:rsidRPr="004547CD">
        <w:rPr>
          <w:rFonts w:eastAsia="Calibri"/>
          <w:rtl/>
        </w:rPr>
        <w:t xml:space="preserve"> בשנת 2003 </w:t>
      </w:r>
      <w:r w:rsidRPr="004547CD">
        <w:rPr>
          <w:rFonts w:eastAsia="Calibri" w:hint="eastAsia"/>
          <w:rtl/>
        </w:rPr>
        <w:t>הי</w:t>
      </w:r>
      <w:r w:rsidRPr="004547CD">
        <w:rPr>
          <w:rFonts w:eastAsia="Calibri" w:hint="cs"/>
          <w:rtl/>
        </w:rPr>
        <w:t xml:space="preserve">ה </w:t>
      </w:r>
      <w:r w:rsidRPr="004547CD">
        <w:rPr>
          <w:rFonts w:eastAsia="Calibri"/>
          <w:rtl/>
        </w:rPr>
        <w:t>שיעורם כ-23% מכלל המעצרים, ואילו בשנת 201</w:t>
      </w:r>
      <w:r w:rsidRPr="004547CD">
        <w:rPr>
          <w:rFonts w:eastAsia="Calibri" w:hint="cs"/>
          <w:rtl/>
        </w:rPr>
        <w:t>3</w:t>
      </w:r>
      <w:r w:rsidRPr="004547CD">
        <w:rPr>
          <w:rFonts w:eastAsia="Calibri"/>
          <w:rtl/>
        </w:rPr>
        <w:t xml:space="preserve"> </w:t>
      </w:r>
      <w:r w:rsidRPr="004547CD">
        <w:rPr>
          <w:rFonts w:eastAsia="Calibri" w:hint="cs"/>
          <w:rtl/>
        </w:rPr>
        <w:t xml:space="preserve">שיעורם היה </w:t>
      </w:r>
      <w:r w:rsidRPr="004547CD">
        <w:rPr>
          <w:rFonts w:eastAsia="Calibri" w:hint="eastAsia"/>
          <w:rtl/>
        </w:rPr>
        <w:t>כ</w:t>
      </w:r>
      <w:r w:rsidRPr="004547CD">
        <w:rPr>
          <w:rFonts w:eastAsia="Calibri"/>
          <w:rtl/>
        </w:rPr>
        <w:t>-</w:t>
      </w:r>
      <w:r w:rsidRPr="004547CD">
        <w:rPr>
          <w:rFonts w:eastAsia="Calibri" w:hint="cs"/>
          <w:rtl/>
        </w:rPr>
        <w:t>33</w:t>
      </w:r>
      <w:r w:rsidRPr="004547CD">
        <w:rPr>
          <w:rFonts w:eastAsia="Calibri"/>
          <w:rtl/>
        </w:rPr>
        <w:t xml:space="preserve">% </w:t>
      </w:r>
      <w:r w:rsidRPr="004547CD">
        <w:rPr>
          <w:rFonts w:eastAsia="Calibri" w:hint="eastAsia"/>
          <w:rtl/>
        </w:rPr>
        <w:t>מכלל</w:t>
      </w:r>
      <w:r w:rsidRPr="004547CD">
        <w:rPr>
          <w:rFonts w:eastAsia="Calibri"/>
          <w:rtl/>
        </w:rPr>
        <w:t xml:space="preserve"> </w:t>
      </w:r>
      <w:r w:rsidRPr="004547CD">
        <w:rPr>
          <w:rFonts w:eastAsia="Calibri" w:hint="eastAsia"/>
          <w:rtl/>
        </w:rPr>
        <w:t>המעצרים</w:t>
      </w:r>
      <w:r w:rsidRPr="004547CD">
        <w:rPr>
          <w:rFonts w:eastAsia="Calibri"/>
          <w:rtl/>
        </w:rPr>
        <w:t>.</w:t>
      </w:r>
    </w:p>
    <w:p w:rsidR="006259B3" w:rsidRPr="004547CD" w:rsidP="00C70295">
      <w:pPr>
        <w:spacing w:before="180" w:after="120" w:line="230" w:lineRule="exact"/>
        <w:ind w:left="340"/>
        <w:jc w:val="both"/>
        <w:rPr>
          <w:rFonts w:eastAsia="Calibri" w:cs="FrankRuehl"/>
          <w:sz w:val="20"/>
          <w:szCs w:val="22"/>
          <w:rtl/>
        </w:rPr>
      </w:pPr>
      <w:r w:rsidRPr="004547CD">
        <w:rPr>
          <w:rFonts w:eastAsia="Calibri" w:cs="FrankRuehl" w:hint="cs"/>
          <w:sz w:val="20"/>
          <w:szCs w:val="22"/>
          <w:rtl/>
        </w:rPr>
        <w:t>יצוין כי בין השנים 2013-2007 שיעור הגידול במספר העצורים התמתן ועמד על כ-8%. באותן השנים חל גידול של כ-47% במעצרים עד תום הליכים.</w:t>
      </w:r>
    </w:p>
    <w:p w:rsidR="006259B3" w:rsidRPr="004547CD" w:rsidP="008A6D26">
      <w:pPr>
        <w:spacing w:after="120" w:line="230" w:lineRule="exact"/>
        <w:ind w:left="340"/>
        <w:jc w:val="both"/>
        <w:rPr>
          <w:rFonts w:cs="FrankRuehl"/>
          <w:sz w:val="20"/>
          <w:szCs w:val="22"/>
          <w:rtl/>
        </w:rPr>
      </w:pPr>
      <w:r w:rsidRPr="004547CD">
        <w:rPr>
          <w:rFonts w:cs="FrankRuehl" w:hint="eastAsia"/>
          <w:sz w:val="20"/>
          <w:szCs w:val="22"/>
          <w:rtl/>
        </w:rPr>
        <w:t>מעצר</w:t>
      </w:r>
      <w:r w:rsidRPr="004547CD">
        <w:rPr>
          <w:rFonts w:cs="FrankRuehl"/>
          <w:sz w:val="20"/>
          <w:szCs w:val="22"/>
          <w:rtl/>
        </w:rPr>
        <w:t xml:space="preserve"> </w:t>
      </w:r>
      <w:r w:rsidRPr="004547CD">
        <w:rPr>
          <w:rFonts w:cs="FrankRuehl" w:hint="cs"/>
          <w:sz w:val="20"/>
          <w:szCs w:val="22"/>
          <w:rtl/>
        </w:rPr>
        <w:t xml:space="preserve">עד </w:t>
      </w:r>
      <w:r w:rsidRPr="004547CD">
        <w:rPr>
          <w:rFonts w:cs="FrankRuehl"/>
          <w:sz w:val="20"/>
          <w:szCs w:val="22"/>
          <w:rtl/>
        </w:rPr>
        <w:t xml:space="preserve">תום </w:t>
      </w:r>
      <w:r w:rsidRPr="004547CD">
        <w:rPr>
          <w:rFonts w:cs="FrankRuehl" w:hint="cs"/>
          <w:sz w:val="20"/>
          <w:szCs w:val="22"/>
          <w:rtl/>
        </w:rPr>
        <w:t>ה</w:t>
      </w:r>
      <w:r w:rsidRPr="004547CD">
        <w:rPr>
          <w:rFonts w:cs="FrankRuehl"/>
          <w:sz w:val="20"/>
          <w:szCs w:val="22"/>
          <w:rtl/>
        </w:rPr>
        <w:t>הליכים ה</w:t>
      </w:r>
      <w:r w:rsidRPr="004547CD">
        <w:rPr>
          <w:rFonts w:cs="FrankRuehl" w:hint="cs"/>
          <w:sz w:val="20"/>
          <w:szCs w:val="22"/>
          <w:rtl/>
        </w:rPr>
        <w:t xml:space="preserve">וא </w:t>
      </w:r>
      <w:r w:rsidRPr="004547CD">
        <w:rPr>
          <w:rFonts w:cs="FrankRuehl"/>
          <w:sz w:val="20"/>
          <w:szCs w:val="22"/>
          <w:rtl/>
        </w:rPr>
        <w:t>מעצר של חשוד שכנגדו הוגש כתב אישום. בית המשפט בוחן אם ה</w:t>
      </w:r>
      <w:r w:rsidRPr="004547CD">
        <w:rPr>
          <w:rFonts w:cs="FrankRuehl" w:hint="cs"/>
          <w:sz w:val="20"/>
          <w:szCs w:val="22"/>
          <w:rtl/>
        </w:rPr>
        <w:t>נאשם</w:t>
      </w:r>
      <w:r w:rsidRPr="004547CD">
        <w:rPr>
          <w:rFonts w:cs="FrankRuehl"/>
          <w:sz w:val="20"/>
          <w:szCs w:val="22"/>
          <w:rtl/>
        </w:rPr>
        <w:t xml:space="preserve"> מסוכן לציבור, </w:t>
      </w:r>
      <w:r w:rsidRPr="004547CD">
        <w:rPr>
          <w:rFonts w:cs="FrankRuehl" w:hint="cs"/>
          <w:sz w:val="20"/>
          <w:szCs w:val="22"/>
          <w:rtl/>
        </w:rPr>
        <w:t xml:space="preserve">אם הוא </w:t>
      </w:r>
      <w:r w:rsidRPr="004547CD">
        <w:rPr>
          <w:rFonts w:cs="FrankRuehl"/>
          <w:sz w:val="20"/>
          <w:szCs w:val="22"/>
          <w:rtl/>
        </w:rPr>
        <w:t xml:space="preserve">עלול לשבש הליכי משפט או </w:t>
      </w:r>
      <w:r w:rsidRPr="004547CD">
        <w:rPr>
          <w:rFonts w:cs="FrankRuehl" w:hint="cs"/>
          <w:sz w:val="20"/>
          <w:szCs w:val="22"/>
          <w:rtl/>
        </w:rPr>
        <w:t xml:space="preserve">אם הוא </w:t>
      </w:r>
      <w:r w:rsidRPr="004547CD">
        <w:rPr>
          <w:rFonts w:cs="FrankRuehl"/>
          <w:sz w:val="20"/>
          <w:szCs w:val="22"/>
          <w:rtl/>
        </w:rPr>
        <w:t xml:space="preserve">עלול להימלט. כמו כן </w:t>
      </w:r>
      <w:r w:rsidRPr="004547CD">
        <w:rPr>
          <w:rFonts w:cs="FrankRuehl" w:hint="cs"/>
          <w:sz w:val="20"/>
          <w:szCs w:val="22"/>
          <w:rtl/>
        </w:rPr>
        <w:t xml:space="preserve">בוחן </w:t>
      </w:r>
      <w:r w:rsidRPr="004547CD">
        <w:rPr>
          <w:rFonts w:cs="FrankRuehl"/>
          <w:sz w:val="20"/>
          <w:szCs w:val="22"/>
          <w:rtl/>
        </w:rPr>
        <w:t xml:space="preserve">בית המשפט </w:t>
      </w:r>
      <w:r w:rsidRPr="004547CD">
        <w:rPr>
          <w:rFonts w:cs="FrankRuehl" w:hint="cs"/>
          <w:sz w:val="20"/>
          <w:szCs w:val="22"/>
          <w:rtl/>
        </w:rPr>
        <w:t>אם ה</w:t>
      </w:r>
      <w:r w:rsidRPr="004547CD">
        <w:rPr>
          <w:rFonts w:cs="FrankRuehl"/>
          <w:sz w:val="20"/>
          <w:szCs w:val="22"/>
          <w:rtl/>
        </w:rPr>
        <w:t xml:space="preserve">ראיות בתיק החקירה עשויות להוביל להרשעה. המשטרה רואה בהחלטה של מעצר </w:t>
      </w:r>
      <w:r w:rsidRPr="004547CD">
        <w:rPr>
          <w:rFonts w:cs="FrankRuehl" w:hint="cs"/>
          <w:sz w:val="20"/>
          <w:szCs w:val="22"/>
          <w:rtl/>
        </w:rPr>
        <w:t xml:space="preserve">עד </w:t>
      </w:r>
      <w:r w:rsidRPr="004547CD">
        <w:rPr>
          <w:rFonts w:cs="FrankRuehl"/>
          <w:sz w:val="20"/>
          <w:szCs w:val="22"/>
          <w:rtl/>
        </w:rPr>
        <w:t xml:space="preserve">תום </w:t>
      </w:r>
      <w:r w:rsidRPr="004547CD">
        <w:rPr>
          <w:rFonts w:cs="FrankRuehl" w:hint="cs"/>
          <w:sz w:val="20"/>
          <w:szCs w:val="22"/>
          <w:rtl/>
        </w:rPr>
        <w:t>ה</w:t>
      </w:r>
      <w:r w:rsidRPr="004547CD">
        <w:rPr>
          <w:rFonts w:cs="FrankRuehl"/>
          <w:sz w:val="20"/>
          <w:szCs w:val="22"/>
          <w:rtl/>
        </w:rPr>
        <w:t xml:space="preserve">הליכים מדד לאיכות עבודתה. </w:t>
      </w:r>
    </w:p>
    <w:p w:rsidR="006259B3" w:rsidRPr="004547CD" w:rsidP="00C70295">
      <w:pPr>
        <w:spacing w:after="240" w:line="230" w:lineRule="exact"/>
        <w:ind w:left="340"/>
        <w:jc w:val="both"/>
        <w:rPr>
          <w:rFonts w:cs="FrankRuehl"/>
          <w:sz w:val="20"/>
          <w:szCs w:val="22"/>
          <w:rtl/>
        </w:rPr>
      </w:pPr>
      <w:r w:rsidRPr="004547CD">
        <w:rPr>
          <w:rFonts w:cs="FrankRuehl" w:hint="cs"/>
          <w:sz w:val="20"/>
          <w:szCs w:val="22"/>
          <w:rtl/>
        </w:rPr>
        <w:t xml:space="preserve">"תכנית מפנה" היא תכנית אסטרטגית תלת-שנתית, שעליה הכריז מפכ"ל המשטרה ב-2011. לפי המשטרה, "בבסיס התכנית עומדת ההבנה כי לאמון של הציבור הישראלי במערכת אכיפת החוק ובפרט במשטרה, יש תפקיד חיוני בשמירת חוסנה הדמוקרטי של מדינת ישראל". התכנית מציבה כמה יעדים מרכזיים שמטרתם להגביר את הביטחון האישי של האזרח, וכנגזרת מכך - את אמונו במשטרה ובמערכת אכיפת החוק. התכנית מלווה במערכת מדידה הנקראת "מערכת המפנה", אשר נועדה לבחון את ביצועיהן של תחנות המשטרה ולדרגן לפי מידת עמידתן ביעדים שהוצבו. אחד היעדים המרכזיים בתכנית הוא "חיזוק ההרתעה", יעד שעמידה בו נמדדת על פי סיכויי העבריין להיתפס והמהווה 40% מהציון הכללי שניתן ליחידה. בין המדדים הנשקלים במסגרת "מתחם ההרתעה" קיים "מדד מעצר עד תום ההליכים". לפי המשטרה, ה"החלטה על הטלת מעצר תום הליכים מהווה במידה רבה אינדיקציה לאיכות עבודתה... מכיוון שמעצרי תום הליכים מאפיינים בדרך כלל תיקים העוסקים בעבירות חמורות, </w:t>
      </w:r>
      <w:r w:rsidRPr="004547CD">
        <w:rPr>
          <w:rFonts w:cs="FrankRuehl" w:hint="cs"/>
          <w:sz w:val="20"/>
          <w:szCs w:val="22"/>
          <w:rtl/>
        </w:rPr>
        <w:t>עלייה בכמות מעצרי תום הליכים מעידה על שיפור ביכולתה של המשטרה להתמודד באופן אפקטיבי עם פשיעה מסוג זה"</w:t>
      </w:r>
      <w:r>
        <w:rPr>
          <w:rStyle w:val="FootnoteReference"/>
          <w:rFonts w:cs="FrankRuehl"/>
          <w:sz w:val="20"/>
          <w:szCs w:val="22"/>
          <w:rtl/>
        </w:rPr>
        <w:footnoteReference w:id="20"/>
      </w:r>
      <w:r w:rsidRPr="004547CD">
        <w:rPr>
          <w:rFonts w:cs="FrankRuehl" w:hint="cs"/>
          <w:sz w:val="20"/>
          <w:szCs w:val="22"/>
          <w:rtl/>
        </w:rPr>
        <w:t>.</w:t>
      </w:r>
    </w:p>
    <w:p w:rsidR="006259B3" w:rsidRPr="004547CD" w:rsidP="00E62E82">
      <w:pPr>
        <w:pStyle w:val="RESHET"/>
        <w:ind w:left="567"/>
        <w:rPr>
          <w:rFonts w:eastAsia="Calibri"/>
          <w:rtl/>
        </w:rPr>
      </w:pPr>
      <w:r w:rsidRPr="004547CD">
        <w:rPr>
          <w:rFonts w:eastAsia="Calibri" w:hint="eastAsia"/>
          <w:rtl/>
        </w:rPr>
        <w:t>יוער</w:t>
      </w:r>
      <w:r w:rsidRPr="004547CD">
        <w:rPr>
          <w:rFonts w:eastAsia="Calibri"/>
          <w:rtl/>
        </w:rPr>
        <w:t xml:space="preserve"> </w:t>
      </w:r>
      <w:r w:rsidRPr="004547CD">
        <w:rPr>
          <w:rFonts w:eastAsia="Calibri" w:hint="eastAsia"/>
          <w:rtl/>
        </w:rPr>
        <w:t>כי</w:t>
      </w:r>
      <w:r w:rsidRPr="004547CD">
        <w:rPr>
          <w:rFonts w:eastAsia="Calibri"/>
          <w:rtl/>
        </w:rPr>
        <w:t xml:space="preserve"> </w:t>
      </w:r>
      <w:r w:rsidRPr="004547CD">
        <w:rPr>
          <w:rFonts w:eastAsia="Calibri" w:hint="cs"/>
          <w:rtl/>
        </w:rPr>
        <w:t xml:space="preserve">אף על פי </w:t>
      </w:r>
      <w:r w:rsidRPr="004547CD">
        <w:rPr>
          <w:rFonts w:eastAsia="Calibri" w:hint="eastAsia"/>
          <w:rtl/>
        </w:rPr>
        <w:t>שמספרם</w:t>
      </w:r>
      <w:r w:rsidRPr="004547CD">
        <w:rPr>
          <w:rFonts w:eastAsia="Calibri"/>
          <w:rtl/>
        </w:rPr>
        <w:t xml:space="preserve"> של המעצרים עד תום ההליכים גדל </w:t>
      </w:r>
      <w:r w:rsidRPr="004547CD">
        <w:rPr>
          <w:rFonts w:eastAsia="Calibri" w:hint="cs"/>
          <w:rtl/>
        </w:rPr>
        <w:t xml:space="preserve">בשנים 2013-2003 </w:t>
      </w:r>
      <w:r w:rsidR="009235AD">
        <w:rPr>
          <w:rFonts w:eastAsia="Calibri"/>
        </w:rPr>
        <w:br/>
      </w:r>
      <w:r w:rsidRPr="004547CD">
        <w:rPr>
          <w:rFonts w:eastAsia="Calibri" w:hint="eastAsia"/>
          <w:rtl/>
        </w:rPr>
        <w:t>בכ</w:t>
      </w:r>
      <w:r w:rsidRPr="004547CD">
        <w:rPr>
          <w:rFonts w:eastAsia="Calibri"/>
          <w:rtl/>
        </w:rPr>
        <w:t>-9</w:t>
      </w:r>
      <w:r w:rsidRPr="004547CD">
        <w:rPr>
          <w:rFonts w:eastAsia="Calibri" w:hint="cs"/>
          <w:rtl/>
        </w:rPr>
        <w:t>2</w:t>
      </w:r>
      <w:r w:rsidRPr="004547CD">
        <w:rPr>
          <w:rFonts w:eastAsia="Calibri"/>
          <w:rtl/>
        </w:rPr>
        <w:t>%</w:t>
      </w:r>
      <w:r w:rsidRPr="004547CD">
        <w:rPr>
          <w:rFonts w:eastAsia="Calibri" w:hint="cs"/>
          <w:rtl/>
        </w:rPr>
        <w:t xml:space="preserve">, </w:t>
      </w:r>
      <w:r w:rsidRPr="004547CD">
        <w:rPr>
          <w:rFonts w:eastAsia="Calibri" w:hint="eastAsia"/>
          <w:rtl/>
        </w:rPr>
        <w:t>חלקם</w:t>
      </w:r>
      <w:r w:rsidRPr="004547CD">
        <w:rPr>
          <w:rFonts w:eastAsia="Calibri"/>
          <w:rtl/>
        </w:rPr>
        <w:t xml:space="preserve"> היחסי מכלל המעצרים</w:t>
      </w:r>
      <w:r w:rsidRPr="004547CD">
        <w:rPr>
          <w:rFonts w:eastAsia="Calibri" w:hint="cs"/>
          <w:rtl/>
        </w:rPr>
        <w:t xml:space="preserve"> גדל באותן שנים רק בכ-43%. יוצא אפוא שעדיין מרבית העצורים הם עצורי ימים שמשתחררים לאחר תקופה קצרה.</w:t>
      </w:r>
    </w:p>
    <w:p w:rsidR="006259B3" w:rsidRPr="004547CD" w:rsidP="00E62E82">
      <w:pPr>
        <w:pStyle w:val="ListParagraph"/>
        <w:numPr>
          <w:ilvl w:val="0"/>
          <w:numId w:val="8"/>
        </w:numPr>
        <w:spacing w:before="180" w:after="120" w:line="230" w:lineRule="exact"/>
        <w:contextualSpacing w:val="0"/>
        <w:jc w:val="both"/>
        <w:rPr>
          <w:rFonts w:ascii="Times New Roman" w:hAnsi="Times New Roman" w:cs="FrankRuehl"/>
          <w:sz w:val="20"/>
        </w:rPr>
      </w:pPr>
      <w:r w:rsidRPr="004547CD">
        <w:rPr>
          <w:rFonts w:ascii="Times New Roman" w:hAnsi="Times New Roman" w:cs="FrankRuehl" w:hint="cs"/>
          <w:sz w:val="20"/>
          <w:rtl/>
        </w:rPr>
        <w:t>בתרשים להלן נתונים של שב"ס על קליטת עצורים בשנת 2013, בחלוקה בין אלו ששוחררו לאחר כמה ימים לבין אלו שעוכבו עד לקבלת החלטה אחרת (כעה"א) או שנעצרו עד תום ההליכים (עת"ה).</w:t>
      </w:r>
    </w:p>
    <w:p w:rsidR="006259B3" w:rsidRPr="004547CD" w:rsidP="00E62E82">
      <w:pPr>
        <w:pStyle w:val="tab-name"/>
        <w:rPr>
          <w:rtl/>
        </w:rPr>
      </w:pPr>
      <w:r w:rsidRPr="00E62E82">
        <w:rPr>
          <w:rFonts w:hint="cs"/>
          <w:b w:val="0"/>
          <w:bCs w:val="0"/>
          <w:sz w:val="20"/>
          <w:szCs w:val="20"/>
          <w:rtl/>
        </w:rPr>
        <w:t>תרשים 3</w:t>
      </w:r>
      <w:r w:rsidRPr="00E62E82">
        <w:rPr>
          <w:b w:val="0"/>
          <w:bCs w:val="0"/>
          <w:sz w:val="20"/>
          <w:szCs w:val="20"/>
        </w:rPr>
        <w:br/>
      </w:r>
      <w:r w:rsidRPr="004547CD">
        <w:rPr>
          <w:rFonts w:hint="cs"/>
          <w:rtl/>
        </w:rPr>
        <w:t>קליטת עצורים פליליים לשב"ס בשנת 2013</w:t>
      </w:r>
    </w:p>
    <w:p w:rsidR="006259B3" w:rsidRPr="009235AD" w:rsidP="009235AD">
      <w:pPr>
        <w:pStyle w:val="tab-name"/>
        <w:keepNext w:val="0"/>
        <w:spacing w:line="240" w:lineRule="atLeast"/>
        <w:rPr>
          <w:rFonts w:cs="FrankRuehl"/>
          <w:sz w:val="20"/>
          <w:rtl/>
        </w:rPr>
      </w:pPr>
      <w:r>
        <w:rPr>
          <w:rFonts w:cs="FrankRuehl"/>
          <w:sz w:val="20"/>
        </w:rPr>
        <w:pict>
          <v:shape id="_x0000_i1027" type="#_x0000_t75" style="width:319pt;height:344.5pt">
            <v:imagedata r:id="rId8" o:title="משה סמו"/>
          </v:shape>
        </w:pict>
      </w:r>
    </w:p>
    <w:p w:rsidR="006259B3" w:rsidRPr="004547CD" w:rsidP="00E62E82">
      <w:pPr>
        <w:pStyle w:val="RESHET"/>
        <w:keepLines/>
        <w:rPr>
          <w:rtl/>
        </w:rPr>
      </w:pPr>
      <w:r w:rsidRPr="004547CD">
        <w:rPr>
          <w:rFonts w:hint="cs"/>
          <w:rtl/>
        </w:rPr>
        <w:t>מן התרשים עולה שבשנת 2013 כ-85% מן העצורים שעצרה המשטרה נקלטו בשב"ס, ומתוכם כ-62% שוחררו כעצורי ימים. על פי שב"ס,</w:t>
      </w:r>
      <w:r w:rsidRPr="004547CD">
        <w:rPr>
          <w:rtl/>
        </w:rPr>
        <w:t xml:space="preserve"> </w:t>
      </w:r>
      <w:r w:rsidRPr="004547CD">
        <w:rPr>
          <w:rFonts w:hint="cs"/>
          <w:rtl/>
        </w:rPr>
        <w:t xml:space="preserve">בסוף התהליך, בשנת 2013, </w:t>
      </w:r>
      <w:r w:rsidRPr="004547CD">
        <w:rPr>
          <w:rtl/>
        </w:rPr>
        <w:t xml:space="preserve">רק </w:t>
      </w:r>
      <w:r w:rsidRPr="004547CD">
        <w:rPr>
          <w:rFonts w:hint="eastAsia"/>
          <w:rtl/>
        </w:rPr>
        <w:t>כ</w:t>
      </w:r>
      <w:r w:rsidRPr="004547CD">
        <w:rPr>
          <w:rtl/>
        </w:rPr>
        <w:t xml:space="preserve">-25% מכלל העצורים שהגיעו לשב"ס או </w:t>
      </w:r>
      <w:r w:rsidRPr="004547CD">
        <w:rPr>
          <w:rFonts w:hint="eastAsia"/>
          <w:rtl/>
        </w:rPr>
        <w:t>כ</w:t>
      </w:r>
      <w:r w:rsidRPr="004547CD">
        <w:rPr>
          <w:rtl/>
        </w:rPr>
        <w:t xml:space="preserve">-21% </w:t>
      </w:r>
      <w:r w:rsidRPr="004547CD">
        <w:rPr>
          <w:rFonts w:hint="cs"/>
          <w:rtl/>
        </w:rPr>
        <w:t>מעצורי המשטרה היו</w:t>
      </w:r>
      <w:r w:rsidRPr="004547CD">
        <w:rPr>
          <w:rtl/>
        </w:rPr>
        <w:t xml:space="preserve"> </w:t>
      </w:r>
      <w:r w:rsidRPr="004547CD">
        <w:rPr>
          <w:rFonts w:hint="cs"/>
          <w:rtl/>
        </w:rPr>
        <w:t xml:space="preserve">עצורים שנשפטו למאסר. עוד יצוין, כי לפי שב"ס, </w:t>
      </w:r>
      <w:r w:rsidRPr="004547CD">
        <w:rPr>
          <w:rFonts w:hint="eastAsia"/>
          <w:rtl/>
        </w:rPr>
        <w:t>כ</w:t>
      </w:r>
      <w:r w:rsidRPr="004547CD">
        <w:rPr>
          <w:rtl/>
        </w:rPr>
        <w:t xml:space="preserve">-54% </w:t>
      </w:r>
      <w:r w:rsidRPr="004547CD">
        <w:rPr>
          <w:rFonts w:hint="eastAsia"/>
          <w:rtl/>
        </w:rPr>
        <w:t>מהעצורים</w:t>
      </w:r>
      <w:r w:rsidRPr="004547CD">
        <w:rPr>
          <w:rtl/>
        </w:rPr>
        <w:t xml:space="preserve"> </w:t>
      </w:r>
      <w:r w:rsidRPr="004547CD">
        <w:rPr>
          <w:rFonts w:hint="eastAsia"/>
          <w:rtl/>
        </w:rPr>
        <w:t>משתחררים</w:t>
      </w:r>
      <w:r w:rsidRPr="004547CD">
        <w:rPr>
          <w:rtl/>
        </w:rPr>
        <w:t xml:space="preserve"> </w:t>
      </w:r>
      <w:r w:rsidRPr="004547CD">
        <w:rPr>
          <w:rFonts w:hint="eastAsia"/>
          <w:rtl/>
        </w:rPr>
        <w:t>לאחר</w:t>
      </w:r>
      <w:r w:rsidRPr="004547CD">
        <w:rPr>
          <w:rtl/>
        </w:rPr>
        <w:t xml:space="preserve"> </w:t>
      </w:r>
      <w:r w:rsidRPr="004547CD">
        <w:rPr>
          <w:rFonts w:hint="eastAsia"/>
          <w:rtl/>
        </w:rPr>
        <w:t>פחות</w:t>
      </w:r>
      <w:r w:rsidRPr="004547CD">
        <w:rPr>
          <w:rtl/>
        </w:rPr>
        <w:t xml:space="preserve"> </w:t>
      </w:r>
      <w:r w:rsidRPr="004547CD">
        <w:rPr>
          <w:rFonts w:hint="eastAsia"/>
          <w:rtl/>
        </w:rPr>
        <w:t>משלושה</w:t>
      </w:r>
      <w:r w:rsidRPr="004547CD">
        <w:rPr>
          <w:rtl/>
        </w:rPr>
        <w:t xml:space="preserve"> </w:t>
      </w:r>
      <w:r w:rsidRPr="004547CD">
        <w:rPr>
          <w:rFonts w:hint="eastAsia"/>
          <w:rtl/>
        </w:rPr>
        <w:t>ימים</w:t>
      </w:r>
      <w:r w:rsidRPr="004547CD">
        <w:rPr>
          <w:rtl/>
        </w:rPr>
        <w:t xml:space="preserve"> </w:t>
      </w:r>
      <w:r w:rsidRPr="004547CD">
        <w:rPr>
          <w:rFonts w:hint="eastAsia"/>
          <w:rtl/>
        </w:rPr>
        <w:t>וכ</w:t>
      </w:r>
      <w:r w:rsidRPr="004547CD">
        <w:rPr>
          <w:rtl/>
        </w:rPr>
        <w:t xml:space="preserve">-12% </w:t>
      </w:r>
      <w:r w:rsidRPr="004547CD">
        <w:rPr>
          <w:rFonts w:hint="eastAsia"/>
          <w:rtl/>
        </w:rPr>
        <w:t>נוספים</w:t>
      </w:r>
      <w:r w:rsidRPr="004547CD">
        <w:rPr>
          <w:rtl/>
        </w:rPr>
        <w:t xml:space="preserve"> </w:t>
      </w:r>
      <w:r w:rsidRPr="004547CD">
        <w:rPr>
          <w:rFonts w:hint="eastAsia"/>
          <w:rtl/>
        </w:rPr>
        <w:t>משתחררים</w:t>
      </w:r>
      <w:r w:rsidRPr="004547CD">
        <w:rPr>
          <w:rtl/>
        </w:rPr>
        <w:t xml:space="preserve"> </w:t>
      </w:r>
      <w:r w:rsidRPr="004547CD">
        <w:rPr>
          <w:rFonts w:hint="eastAsia"/>
          <w:rtl/>
        </w:rPr>
        <w:t>לאחר</w:t>
      </w:r>
      <w:r w:rsidRPr="004547CD">
        <w:rPr>
          <w:rtl/>
        </w:rPr>
        <w:t xml:space="preserve"> </w:t>
      </w:r>
      <w:r w:rsidRPr="004547CD">
        <w:rPr>
          <w:rFonts w:hint="eastAsia"/>
          <w:rtl/>
        </w:rPr>
        <w:t>שבע</w:t>
      </w:r>
      <w:r w:rsidRPr="004547CD">
        <w:rPr>
          <w:rFonts w:hint="cs"/>
          <w:rtl/>
        </w:rPr>
        <w:t>ה</w:t>
      </w:r>
      <w:r w:rsidRPr="004547CD">
        <w:rPr>
          <w:rtl/>
        </w:rPr>
        <w:t xml:space="preserve"> </w:t>
      </w:r>
      <w:r w:rsidRPr="004547CD">
        <w:rPr>
          <w:rFonts w:hint="eastAsia"/>
          <w:rtl/>
        </w:rPr>
        <w:t>ימי</w:t>
      </w:r>
      <w:r w:rsidRPr="004547CD">
        <w:rPr>
          <w:rtl/>
        </w:rPr>
        <w:t xml:space="preserve"> </w:t>
      </w:r>
      <w:r w:rsidRPr="004547CD">
        <w:rPr>
          <w:rFonts w:hint="eastAsia"/>
          <w:rtl/>
        </w:rPr>
        <w:t>מעצר</w:t>
      </w:r>
      <w:r w:rsidRPr="004547CD">
        <w:rPr>
          <w:rtl/>
        </w:rPr>
        <w:t>.</w:t>
      </w:r>
    </w:p>
    <w:p w:rsidR="006259B3" w:rsidRPr="004547CD" w:rsidP="00E62E82">
      <w:pPr>
        <w:spacing w:before="180" w:after="120" w:line="230" w:lineRule="exact"/>
        <w:jc w:val="both"/>
        <w:rPr>
          <w:rFonts w:cs="FrankRuehl"/>
          <w:sz w:val="20"/>
          <w:szCs w:val="22"/>
          <w:rtl/>
        </w:rPr>
      </w:pPr>
      <w:r w:rsidRPr="004547CD">
        <w:rPr>
          <w:rFonts w:cs="FrankRuehl" w:hint="cs"/>
          <w:sz w:val="20"/>
          <w:szCs w:val="22"/>
          <w:rtl/>
        </w:rPr>
        <w:t>לגידול במספר המעצרים השלכות מערכתיות נרחבות המשפיעות על הליכי העבודה של המשטרה ושב"ס, על מישקי העבודה ביניהם, על המחסור במקומות מעצר ועל תנאי הכליאה והשינוע של העצורים. להלן הפרטים:</w:t>
      </w:r>
    </w:p>
    <w:p w:rsidR="006259B3" w:rsidRPr="004547CD" w:rsidP="008A6D26">
      <w:pPr>
        <w:spacing w:after="120" w:line="230" w:lineRule="exact"/>
        <w:jc w:val="both"/>
        <w:rPr>
          <w:rFonts w:cs="FrankRuehl"/>
          <w:sz w:val="20"/>
          <w:szCs w:val="22"/>
          <w:rtl/>
        </w:rPr>
      </w:pPr>
    </w:p>
    <w:p w:rsidR="006259B3" w:rsidRPr="004547CD" w:rsidP="008A6D26">
      <w:pPr>
        <w:spacing w:after="120" w:line="230" w:lineRule="exact"/>
        <w:jc w:val="both"/>
        <w:rPr>
          <w:rFonts w:cs="FrankRuehl"/>
          <w:sz w:val="20"/>
          <w:szCs w:val="22"/>
          <w:rtl/>
        </w:rPr>
      </w:pPr>
    </w:p>
    <w:p w:rsidR="006259B3" w:rsidRPr="00596B42" w:rsidP="008A6D26">
      <w:pPr>
        <w:pStyle w:val="KOT4"/>
        <w:rPr>
          <w:rtl/>
        </w:rPr>
      </w:pPr>
      <w:r w:rsidRPr="00596B42">
        <w:rPr>
          <w:rFonts w:hint="cs"/>
          <w:rtl/>
        </w:rPr>
        <w:t>נתונים במערכות הממוחשבות</w:t>
      </w:r>
    </w:p>
    <w:p w:rsidR="006259B3" w:rsidRPr="004547CD" w:rsidP="00E62E82">
      <w:pPr>
        <w:pStyle w:val="RESHET"/>
        <w:rPr>
          <w:rtl/>
        </w:rPr>
      </w:pPr>
      <w:r w:rsidRPr="004547CD">
        <w:rPr>
          <w:rFonts w:hint="cs"/>
          <w:rtl/>
        </w:rPr>
        <w:t>נמצא כי קיימים הבדלים בין נתוני משטרת ישראל לבין נתוני שב"ס ביחס להיקף המעצרים. אי-התאמות אלו נובעות בעיקר מהבדלים בהגדרות המערכת וכן משימוש במערכות מידע שונות. במועד סיום הביקורת, אוקטובר 2014, קיימו שני הארגונים ישיבות במטרה ליצור מסד נתונים אחוד בנושא זה. יצוין כי מהצלבות ראשונות של נתוני המשטרה ושב</w:t>
      </w:r>
      <w:r w:rsidRPr="004547CD">
        <w:rPr>
          <w:rtl/>
        </w:rPr>
        <w:t>"</w:t>
      </w:r>
      <w:r w:rsidRPr="004547CD">
        <w:rPr>
          <w:rFonts w:hint="cs"/>
          <w:rtl/>
        </w:rPr>
        <w:t>ס עולה שבמשטרה רשומים כ-4,000 עצורים שלא מופיעים ברשימות השב"ס, ומנגד רשומים בשב"ס כ-2,000 עצורים שלא מופיעים ברשימות המשטרה.</w:t>
      </w:r>
    </w:p>
    <w:p w:rsidR="006259B3" w:rsidRPr="004547CD" w:rsidP="00E62E82">
      <w:pPr>
        <w:spacing w:before="180" w:after="120" w:line="230" w:lineRule="exact"/>
        <w:jc w:val="both"/>
        <w:rPr>
          <w:rFonts w:cs="FrankRuehl"/>
          <w:sz w:val="20"/>
          <w:szCs w:val="22"/>
          <w:rtl/>
        </w:rPr>
      </w:pPr>
      <w:r w:rsidRPr="004547CD">
        <w:rPr>
          <w:rFonts w:cs="FrankRuehl" w:hint="cs"/>
          <w:sz w:val="20"/>
          <w:szCs w:val="22"/>
          <w:rtl/>
        </w:rPr>
        <w:t>יצוין כי בדיון בוועדה לפניות הציבור של הכנסת מיום 25.2.14, שעסק בנושא תנאי המעצר בישראל, אמר נציג משרד האוצר כי החל משנת 2008 יש עלייה במספר המעצרים. לדבריו, לפי נתוני שב"ס, יש עלייה של 40% כמעט במספר העצורים, ואילו לפי נתוני המשטרה מדובר בעלייה של כ-20%.</w:t>
      </w:r>
    </w:p>
    <w:p w:rsidR="006259B3" w:rsidRPr="004547CD" w:rsidP="008A6D26">
      <w:pPr>
        <w:spacing w:after="120" w:line="230" w:lineRule="exact"/>
        <w:jc w:val="both"/>
        <w:rPr>
          <w:rFonts w:cs="FrankRuehl"/>
          <w:sz w:val="20"/>
          <w:szCs w:val="22"/>
          <w:rtl/>
        </w:rPr>
      </w:pPr>
      <w:r w:rsidRPr="004547CD">
        <w:rPr>
          <w:rFonts w:cs="FrankRuehl" w:hint="eastAsia"/>
          <w:sz w:val="20"/>
          <w:szCs w:val="22"/>
          <w:rtl/>
        </w:rPr>
        <w:t>המשטרה</w:t>
      </w:r>
      <w:r w:rsidRPr="004547CD">
        <w:rPr>
          <w:rFonts w:cs="FrankRuehl"/>
          <w:sz w:val="20"/>
          <w:szCs w:val="22"/>
          <w:rtl/>
        </w:rPr>
        <w:t xml:space="preserve"> </w:t>
      </w:r>
      <w:r w:rsidRPr="004547CD">
        <w:rPr>
          <w:rFonts w:cs="FrankRuehl" w:hint="eastAsia"/>
          <w:sz w:val="20"/>
          <w:szCs w:val="22"/>
          <w:rtl/>
        </w:rPr>
        <w:t>כתבה</w:t>
      </w:r>
      <w:r w:rsidRPr="004547CD">
        <w:rPr>
          <w:rFonts w:cs="FrankRuehl"/>
          <w:sz w:val="20"/>
          <w:szCs w:val="22"/>
          <w:rtl/>
        </w:rPr>
        <w:t xml:space="preserve"> </w:t>
      </w:r>
      <w:r w:rsidRPr="004547CD">
        <w:rPr>
          <w:rFonts w:cs="FrankRuehl" w:hint="eastAsia"/>
          <w:sz w:val="20"/>
          <w:szCs w:val="22"/>
          <w:rtl/>
        </w:rPr>
        <w:t>בתשובתה</w:t>
      </w:r>
      <w:r w:rsidRPr="004547CD">
        <w:rPr>
          <w:rFonts w:cs="FrankRuehl"/>
          <w:sz w:val="20"/>
          <w:szCs w:val="22"/>
          <w:rtl/>
        </w:rPr>
        <w:t xml:space="preserve"> </w:t>
      </w:r>
      <w:r w:rsidRPr="004547CD">
        <w:rPr>
          <w:rFonts w:cs="FrankRuehl" w:hint="eastAsia"/>
          <w:sz w:val="20"/>
          <w:szCs w:val="22"/>
          <w:rtl/>
        </w:rPr>
        <w:t>למשרד</w:t>
      </w:r>
      <w:r w:rsidRPr="004547CD">
        <w:rPr>
          <w:rFonts w:cs="FrankRuehl"/>
          <w:sz w:val="20"/>
          <w:szCs w:val="22"/>
          <w:rtl/>
        </w:rPr>
        <w:t xml:space="preserve"> </w:t>
      </w:r>
      <w:r w:rsidRPr="004547CD">
        <w:rPr>
          <w:rFonts w:cs="FrankRuehl" w:hint="eastAsia"/>
          <w:sz w:val="20"/>
          <w:szCs w:val="22"/>
          <w:rtl/>
        </w:rPr>
        <w:t>מבקר</w:t>
      </w:r>
      <w:r w:rsidRPr="004547CD">
        <w:rPr>
          <w:rFonts w:cs="FrankRuehl"/>
          <w:sz w:val="20"/>
          <w:szCs w:val="22"/>
          <w:rtl/>
        </w:rPr>
        <w:t xml:space="preserve"> </w:t>
      </w:r>
      <w:r w:rsidRPr="004547CD">
        <w:rPr>
          <w:rFonts w:cs="FrankRuehl" w:hint="eastAsia"/>
          <w:sz w:val="20"/>
          <w:szCs w:val="22"/>
          <w:rtl/>
        </w:rPr>
        <w:t>המדינה</w:t>
      </w:r>
      <w:r w:rsidRPr="004547CD">
        <w:rPr>
          <w:rFonts w:cs="FrankRuehl"/>
          <w:sz w:val="20"/>
          <w:szCs w:val="22"/>
          <w:rtl/>
        </w:rPr>
        <w:t xml:space="preserve"> </w:t>
      </w:r>
      <w:r w:rsidRPr="004547CD">
        <w:rPr>
          <w:rFonts w:cs="FrankRuehl" w:hint="eastAsia"/>
          <w:sz w:val="20"/>
          <w:szCs w:val="22"/>
          <w:rtl/>
        </w:rPr>
        <w:t>מדצמבר</w:t>
      </w:r>
      <w:r w:rsidRPr="004547CD">
        <w:rPr>
          <w:rFonts w:cs="FrankRuehl"/>
          <w:sz w:val="20"/>
          <w:szCs w:val="22"/>
          <w:rtl/>
        </w:rPr>
        <w:t xml:space="preserve"> 2014 </w:t>
      </w:r>
      <w:r w:rsidRPr="004547CD">
        <w:rPr>
          <w:rFonts w:cs="FrankRuehl" w:hint="eastAsia"/>
          <w:sz w:val="20"/>
          <w:szCs w:val="22"/>
          <w:rtl/>
        </w:rPr>
        <w:t>כי</w:t>
      </w:r>
      <w:r w:rsidRPr="004547CD">
        <w:rPr>
          <w:rFonts w:cs="FrankRuehl"/>
          <w:sz w:val="20"/>
          <w:szCs w:val="22"/>
          <w:rtl/>
        </w:rPr>
        <w:t xml:space="preserve"> </w:t>
      </w:r>
      <w:r w:rsidRPr="004547CD">
        <w:rPr>
          <w:rFonts w:cs="FrankRuehl" w:hint="eastAsia"/>
          <w:sz w:val="20"/>
          <w:szCs w:val="22"/>
          <w:rtl/>
        </w:rPr>
        <w:t>קיימים</w:t>
      </w:r>
      <w:r w:rsidRPr="004547CD">
        <w:rPr>
          <w:rFonts w:cs="FrankRuehl"/>
          <w:sz w:val="20"/>
          <w:szCs w:val="22"/>
          <w:rtl/>
        </w:rPr>
        <w:t xml:space="preserve"> פערים גדולים בין </w:t>
      </w:r>
      <w:r w:rsidRPr="004547CD">
        <w:rPr>
          <w:rFonts w:cs="FrankRuehl" w:hint="eastAsia"/>
          <w:sz w:val="20"/>
          <w:szCs w:val="22"/>
          <w:rtl/>
        </w:rPr>
        <w:t>הארגונים</w:t>
      </w:r>
      <w:r w:rsidRPr="004547CD">
        <w:rPr>
          <w:rFonts w:cs="FrankRuehl"/>
          <w:sz w:val="20"/>
          <w:szCs w:val="22"/>
          <w:rtl/>
        </w:rPr>
        <w:t xml:space="preserve"> ביחס לשיטות המדידה של כמות העצורים</w:t>
      </w:r>
      <w:r w:rsidRPr="004547CD">
        <w:rPr>
          <w:rFonts w:cs="FrankRuehl" w:hint="cs"/>
          <w:sz w:val="20"/>
          <w:szCs w:val="22"/>
          <w:rtl/>
        </w:rPr>
        <w:t>,</w:t>
      </w:r>
      <w:r w:rsidRPr="004547CD">
        <w:rPr>
          <w:rFonts w:cs="FrankRuehl"/>
          <w:sz w:val="20"/>
          <w:szCs w:val="22"/>
          <w:rtl/>
        </w:rPr>
        <w:t xml:space="preserve"> ועל כן חשוב לדעת מה מקור הנתונים ולהבין את משמעותם</w:t>
      </w:r>
      <w:r w:rsidRPr="004547CD">
        <w:rPr>
          <w:rFonts w:cs="FrankRuehl" w:hint="cs"/>
          <w:sz w:val="20"/>
          <w:szCs w:val="22"/>
          <w:rtl/>
        </w:rPr>
        <w:t>. כמו כן נטען כי</w:t>
      </w:r>
      <w:r w:rsidRPr="004547CD">
        <w:rPr>
          <w:rFonts w:cs="FrankRuehl"/>
          <w:sz w:val="20"/>
          <w:szCs w:val="22"/>
          <w:rtl/>
        </w:rPr>
        <w:t xml:space="preserve"> </w:t>
      </w:r>
      <w:r w:rsidRPr="004547CD">
        <w:rPr>
          <w:rFonts w:cs="FrankRuehl" w:hint="eastAsia"/>
          <w:sz w:val="20"/>
          <w:szCs w:val="22"/>
          <w:rtl/>
        </w:rPr>
        <w:t>נתוני</w:t>
      </w:r>
      <w:r w:rsidRPr="004547CD">
        <w:rPr>
          <w:rFonts w:cs="FrankRuehl"/>
          <w:sz w:val="20"/>
          <w:szCs w:val="22"/>
          <w:rtl/>
        </w:rPr>
        <w:t xml:space="preserve"> </w:t>
      </w:r>
      <w:r w:rsidRPr="004547CD">
        <w:rPr>
          <w:rFonts w:cs="FrankRuehl" w:hint="eastAsia"/>
          <w:sz w:val="20"/>
          <w:szCs w:val="22"/>
          <w:rtl/>
        </w:rPr>
        <w:t>שב</w:t>
      </w:r>
      <w:r w:rsidRPr="004547CD">
        <w:rPr>
          <w:rFonts w:cs="FrankRuehl"/>
          <w:sz w:val="20"/>
          <w:szCs w:val="22"/>
          <w:rtl/>
        </w:rPr>
        <w:t xml:space="preserve">"ס </w:t>
      </w:r>
      <w:r w:rsidRPr="004547CD">
        <w:rPr>
          <w:rFonts w:cs="FrankRuehl" w:hint="eastAsia"/>
          <w:sz w:val="20"/>
          <w:szCs w:val="22"/>
          <w:rtl/>
        </w:rPr>
        <w:t>אינם</w:t>
      </w:r>
      <w:r w:rsidRPr="004547CD">
        <w:rPr>
          <w:rFonts w:cs="FrankRuehl"/>
          <w:sz w:val="20"/>
          <w:szCs w:val="22"/>
          <w:rtl/>
        </w:rPr>
        <w:t xml:space="preserve"> </w:t>
      </w:r>
      <w:r w:rsidRPr="004547CD">
        <w:rPr>
          <w:rFonts w:cs="FrankRuehl" w:hint="eastAsia"/>
          <w:sz w:val="20"/>
          <w:szCs w:val="22"/>
          <w:rtl/>
        </w:rPr>
        <w:t>מהווים</w:t>
      </w:r>
      <w:r w:rsidRPr="004547CD">
        <w:rPr>
          <w:rFonts w:cs="FrankRuehl"/>
          <w:sz w:val="20"/>
          <w:szCs w:val="22"/>
          <w:rtl/>
        </w:rPr>
        <w:t xml:space="preserve"> </w:t>
      </w:r>
      <w:r w:rsidRPr="004547CD">
        <w:rPr>
          <w:rFonts w:cs="FrankRuehl" w:hint="eastAsia"/>
          <w:sz w:val="20"/>
          <w:szCs w:val="22"/>
          <w:rtl/>
        </w:rPr>
        <w:t>מדד</w:t>
      </w:r>
      <w:r w:rsidRPr="004547CD">
        <w:rPr>
          <w:rFonts w:cs="FrankRuehl"/>
          <w:sz w:val="20"/>
          <w:szCs w:val="22"/>
          <w:rtl/>
        </w:rPr>
        <w:t xml:space="preserve"> </w:t>
      </w:r>
      <w:r w:rsidRPr="004547CD">
        <w:rPr>
          <w:rFonts w:cs="FrankRuehl" w:hint="eastAsia"/>
          <w:sz w:val="20"/>
          <w:szCs w:val="22"/>
          <w:rtl/>
        </w:rPr>
        <w:t>ואינדיקציה</w:t>
      </w:r>
      <w:r w:rsidRPr="004547CD">
        <w:rPr>
          <w:rFonts w:cs="FrankRuehl"/>
          <w:sz w:val="20"/>
          <w:szCs w:val="22"/>
          <w:rtl/>
        </w:rPr>
        <w:t xml:space="preserve"> </w:t>
      </w:r>
      <w:r w:rsidRPr="004547CD">
        <w:rPr>
          <w:rFonts w:cs="FrankRuehl" w:hint="eastAsia"/>
          <w:sz w:val="20"/>
          <w:szCs w:val="22"/>
          <w:rtl/>
        </w:rPr>
        <w:t>לפעילות</w:t>
      </w:r>
      <w:r w:rsidRPr="004547CD">
        <w:rPr>
          <w:rFonts w:cs="FrankRuehl" w:hint="cs"/>
          <w:sz w:val="20"/>
          <w:szCs w:val="22"/>
          <w:rtl/>
        </w:rPr>
        <w:t xml:space="preserve"> המשטרה</w:t>
      </w:r>
      <w:r w:rsidRPr="004547CD">
        <w:rPr>
          <w:rFonts w:cs="FrankRuehl"/>
          <w:sz w:val="20"/>
          <w:szCs w:val="22"/>
          <w:rtl/>
        </w:rPr>
        <w:t xml:space="preserve">. </w:t>
      </w:r>
      <w:r w:rsidRPr="004547CD">
        <w:rPr>
          <w:rFonts w:cs="FrankRuehl" w:hint="cs"/>
          <w:sz w:val="20"/>
          <w:szCs w:val="22"/>
          <w:rtl/>
        </w:rPr>
        <w:t>לדברי המשטרה היא</w:t>
      </w:r>
      <w:r w:rsidRPr="004547CD">
        <w:rPr>
          <w:rFonts w:cs="FrankRuehl"/>
          <w:sz w:val="20"/>
          <w:szCs w:val="22"/>
          <w:rtl/>
        </w:rPr>
        <w:t xml:space="preserve"> יזמה מול שב"ס תהליך לשם יצירת מסד נתונים אחיד</w:t>
      </w:r>
      <w:r w:rsidRPr="004547CD">
        <w:rPr>
          <w:rFonts w:cs="FrankRuehl" w:hint="cs"/>
          <w:sz w:val="20"/>
          <w:szCs w:val="22"/>
          <w:rtl/>
        </w:rPr>
        <w:t>,</w:t>
      </w:r>
      <w:r w:rsidRPr="004547CD">
        <w:rPr>
          <w:rFonts w:cs="FrankRuehl"/>
          <w:sz w:val="20"/>
          <w:szCs w:val="22"/>
          <w:rtl/>
        </w:rPr>
        <w:t xml:space="preserve"> </w:t>
      </w:r>
      <w:r w:rsidRPr="004547CD">
        <w:rPr>
          <w:rFonts w:cs="FrankRuehl" w:hint="cs"/>
          <w:sz w:val="20"/>
          <w:szCs w:val="22"/>
          <w:rtl/>
        </w:rPr>
        <w:t>ש</w:t>
      </w:r>
      <w:r w:rsidRPr="004547CD">
        <w:rPr>
          <w:rFonts w:cs="FrankRuehl"/>
          <w:sz w:val="20"/>
          <w:szCs w:val="22"/>
          <w:rtl/>
        </w:rPr>
        <w:t xml:space="preserve">יאפשר התייחסות לאותם נתונים ולאותה </w:t>
      </w:r>
      <w:r w:rsidRPr="004547CD">
        <w:rPr>
          <w:rFonts w:cs="FrankRuehl" w:hint="eastAsia"/>
          <w:sz w:val="20"/>
          <w:szCs w:val="22"/>
          <w:rtl/>
        </w:rPr>
        <w:t>שיטת</w:t>
      </w:r>
      <w:r w:rsidRPr="004547CD">
        <w:rPr>
          <w:rFonts w:cs="FrankRuehl"/>
          <w:sz w:val="20"/>
          <w:szCs w:val="22"/>
          <w:rtl/>
        </w:rPr>
        <w:t xml:space="preserve"> ספירה. </w:t>
      </w:r>
      <w:r w:rsidRPr="004547CD">
        <w:rPr>
          <w:rFonts w:cs="FrankRuehl" w:hint="eastAsia"/>
          <w:sz w:val="20"/>
          <w:szCs w:val="22"/>
          <w:rtl/>
        </w:rPr>
        <w:t>עם</w:t>
      </w:r>
      <w:r w:rsidRPr="004547CD">
        <w:rPr>
          <w:rFonts w:cs="FrankRuehl"/>
          <w:sz w:val="20"/>
          <w:szCs w:val="22"/>
          <w:rtl/>
        </w:rPr>
        <w:t xml:space="preserve"> </w:t>
      </w:r>
      <w:r w:rsidRPr="004547CD">
        <w:rPr>
          <w:rFonts w:cs="FrankRuehl" w:hint="eastAsia"/>
          <w:sz w:val="20"/>
          <w:szCs w:val="22"/>
          <w:rtl/>
        </w:rPr>
        <w:t>קבלת</w:t>
      </w:r>
      <w:r w:rsidRPr="004547CD">
        <w:rPr>
          <w:rFonts w:cs="FrankRuehl"/>
          <w:sz w:val="20"/>
          <w:szCs w:val="22"/>
          <w:rtl/>
        </w:rPr>
        <w:t xml:space="preserve"> </w:t>
      </w:r>
      <w:r w:rsidRPr="004547CD">
        <w:rPr>
          <w:rFonts w:cs="FrankRuehl" w:hint="eastAsia"/>
          <w:sz w:val="20"/>
          <w:szCs w:val="22"/>
          <w:rtl/>
        </w:rPr>
        <w:t>ההחלטה</w:t>
      </w:r>
      <w:r w:rsidRPr="004547CD">
        <w:rPr>
          <w:rFonts w:cs="FrankRuehl"/>
          <w:sz w:val="20"/>
          <w:szCs w:val="22"/>
          <w:rtl/>
        </w:rPr>
        <w:t xml:space="preserve"> </w:t>
      </w:r>
      <w:r w:rsidRPr="004547CD">
        <w:rPr>
          <w:rFonts w:cs="FrankRuehl" w:hint="eastAsia"/>
          <w:sz w:val="20"/>
          <w:szCs w:val="22"/>
          <w:rtl/>
        </w:rPr>
        <w:t>על</w:t>
      </w:r>
      <w:r w:rsidRPr="004547CD">
        <w:rPr>
          <w:rFonts w:cs="FrankRuehl"/>
          <w:sz w:val="20"/>
          <w:szCs w:val="22"/>
          <w:rtl/>
        </w:rPr>
        <w:t xml:space="preserve"> </w:t>
      </w:r>
      <w:r w:rsidRPr="004547CD">
        <w:rPr>
          <w:rFonts w:cs="FrankRuehl" w:hint="eastAsia"/>
          <w:sz w:val="20"/>
          <w:szCs w:val="22"/>
          <w:rtl/>
        </w:rPr>
        <w:t>העברת</w:t>
      </w:r>
      <w:r w:rsidRPr="004547CD">
        <w:rPr>
          <w:rFonts w:cs="FrankRuehl"/>
          <w:sz w:val="20"/>
          <w:szCs w:val="22"/>
          <w:rtl/>
        </w:rPr>
        <w:t xml:space="preserve"> </w:t>
      </w:r>
      <w:r w:rsidRPr="004547CD">
        <w:rPr>
          <w:rFonts w:cs="FrankRuehl" w:hint="eastAsia"/>
          <w:sz w:val="20"/>
          <w:szCs w:val="22"/>
          <w:rtl/>
        </w:rPr>
        <w:t>מערך</w:t>
      </w:r>
      <w:r w:rsidRPr="004547CD">
        <w:rPr>
          <w:rFonts w:cs="FrankRuehl"/>
          <w:sz w:val="20"/>
          <w:szCs w:val="22"/>
          <w:rtl/>
        </w:rPr>
        <w:t xml:space="preserve"> </w:t>
      </w:r>
      <w:r w:rsidRPr="004547CD">
        <w:rPr>
          <w:rFonts w:cs="FrankRuehl" w:hint="eastAsia"/>
          <w:sz w:val="20"/>
          <w:szCs w:val="22"/>
          <w:rtl/>
        </w:rPr>
        <w:t>הכליאה</w:t>
      </w:r>
      <w:r w:rsidRPr="004547CD">
        <w:rPr>
          <w:rFonts w:cs="FrankRuehl"/>
          <w:sz w:val="20"/>
          <w:szCs w:val="22"/>
          <w:rtl/>
        </w:rPr>
        <w:t xml:space="preserve"> </w:t>
      </w:r>
      <w:r w:rsidRPr="004547CD">
        <w:rPr>
          <w:rFonts w:cs="FrankRuehl" w:hint="eastAsia"/>
          <w:sz w:val="20"/>
          <w:szCs w:val="22"/>
          <w:rtl/>
        </w:rPr>
        <w:t>מהמשטרה</w:t>
      </w:r>
      <w:r w:rsidRPr="004547CD">
        <w:rPr>
          <w:rFonts w:cs="FrankRuehl"/>
          <w:sz w:val="20"/>
          <w:szCs w:val="22"/>
          <w:rtl/>
        </w:rPr>
        <w:t xml:space="preserve"> </w:t>
      </w:r>
      <w:r w:rsidRPr="004547CD">
        <w:rPr>
          <w:rFonts w:cs="FrankRuehl" w:hint="eastAsia"/>
          <w:sz w:val="20"/>
          <w:szCs w:val="22"/>
          <w:rtl/>
        </w:rPr>
        <w:t>לשב</w:t>
      </w:r>
      <w:r w:rsidRPr="004547CD">
        <w:rPr>
          <w:rFonts w:cs="FrankRuehl"/>
          <w:sz w:val="20"/>
          <w:szCs w:val="22"/>
          <w:rtl/>
        </w:rPr>
        <w:t xml:space="preserve">"ס הוחלט על דעת שני </w:t>
      </w:r>
      <w:r w:rsidRPr="004547CD">
        <w:rPr>
          <w:rFonts w:cs="FrankRuehl" w:hint="eastAsia"/>
          <w:sz w:val="20"/>
          <w:szCs w:val="22"/>
          <w:rtl/>
        </w:rPr>
        <w:t>הארגונים</w:t>
      </w:r>
      <w:r w:rsidRPr="004547CD">
        <w:rPr>
          <w:rFonts w:cs="FrankRuehl"/>
          <w:sz w:val="20"/>
          <w:szCs w:val="22"/>
          <w:rtl/>
        </w:rPr>
        <w:t xml:space="preserve"> להקים מערכת </w:t>
      </w:r>
      <w:r w:rsidRPr="004547CD">
        <w:rPr>
          <w:rFonts w:cs="FrankRuehl" w:hint="cs"/>
          <w:sz w:val="20"/>
          <w:szCs w:val="22"/>
          <w:rtl/>
        </w:rPr>
        <w:t xml:space="preserve">ממוחשבת </w:t>
      </w:r>
      <w:r w:rsidRPr="004547CD">
        <w:rPr>
          <w:rFonts w:cs="FrankRuehl"/>
          <w:sz w:val="20"/>
          <w:szCs w:val="22"/>
          <w:rtl/>
        </w:rPr>
        <w:t xml:space="preserve">משותפת לניהול הכלואים והליוויים. </w:t>
      </w:r>
      <w:r w:rsidRPr="004547CD">
        <w:rPr>
          <w:rFonts w:cs="FrankRuehl" w:hint="cs"/>
          <w:sz w:val="20"/>
          <w:szCs w:val="22"/>
          <w:rtl/>
        </w:rPr>
        <w:t xml:space="preserve">המשטרה ציינה </w:t>
      </w:r>
      <w:r w:rsidRPr="004547CD">
        <w:rPr>
          <w:rFonts w:cs="FrankRuehl" w:hint="eastAsia"/>
          <w:sz w:val="20"/>
          <w:szCs w:val="22"/>
          <w:rtl/>
        </w:rPr>
        <w:t>כי</w:t>
      </w:r>
      <w:r w:rsidRPr="004547CD">
        <w:rPr>
          <w:rFonts w:cs="FrankRuehl"/>
          <w:sz w:val="20"/>
          <w:szCs w:val="22"/>
          <w:rtl/>
        </w:rPr>
        <w:t xml:space="preserve"> </w:t>
      </w:r>
      <w:r w:rsidRPr="004547CD">
        <w:rPr>
          <w:rFonts w:cs="FrankRuehl" w:hint="eastAsia"/>
          <w:sz w:val="20"/>
          <w:szCs w:val="22"/>
          <w:rtl/>
        </w:rPr>
        <w:t>לשב</w:t>
      </w:r>
      <w:r w:rsidRPr="004547CD">
        <w:rPr>
          <w:rFonts w:cs="FrankRuehl"/>
          <w:sz w:val="20"/>
          <w:szCs w:val="22"/>
          <w:rtl/>
        </w:rPr>
        <w:t xml:space="preserve">"ס </w:t>
      </w:r>
      <w:r w:rsidRPr="004547CD">
        <w:rPr>
          <w:rFonts w:cs="FrankRuehl" w:hint="cs"/>
          <w:sz w:val="20"/>
          <w:szCs w:val="22"/>
          <w:rtl/>
        </w:rPr>
        <w:t xml:space="preserve">אין </w:t>
      </w:r>
      <w:r w:rsidRPr="004547CD">
        <w:rPr>
          <w:rFonts w:cs="FrankRuehl"/>
          <w:sz w:val="20"/>
          <w:szCs w:val="22"/>
          <w:rtl/>
        </w:rPr>
        <w:t>יכולת טכנולוגית להקמת מערכת משותפת</w:t>
      </w:r>
      <w:r w:rsidRPr="004547CD">
        <w:rPr>
          <w:rFonts w:cs="FrankRuehl" w:hint="cs"/>
          <w:sz w:val="20"/>
          <w:szCs w:val="22"/>
          <w:rtl/>
        </w:rPr>
        <w:t xml:space="preserve"> כזו</w:t>
      </w:r>
      <w:r w:rsidRPr="004547CD">
        <w:rPr>
          <w:rFonts w:cs="FrankRuehl"/>
          <w:sz w:val="20"/>
          <w:szCs w:val="22"/>
          <w:rtl/>
        </w:rPr>
        <w:t xml:space="preserve">. יחד עם זאת הוקמה במשטרה מערכת "רימון" לניהול כל המידע </w:t>
      </w:r>
      <w:r w:rsidRPr="004547CD">
        <w:rPr>
          <w:rFonts w:cs="FrankRuehl" w:hint="cs"/>
          <w:sz w:val="20"/>
          <w:szCs w:val="22"/>
          <w:rtl/>
        </w:rPr>
        <w:t xml:space="preserve">על </w:t>
      </w:r>
      <w:r w:rsidRPr="004547CD">
        <w:rPr>
          <w:rFonts w:cs="FrankRuehl"/>
          <w:sz w:val="20"/>
          <w:szCs w:val="22"/>
          <w:rtl/>
        </w:rPr>
        <w:t xml:space="preserve">אודות </w:t>
      </w:r>
      <w:r w:rsidRPr="004547CD">
        <w:rPr>
          <w:rFonts w:cs="FrankRuehl" w:hint="cs"/>
          <w:sz w:val="20"/>
          <w:szCs w:val="22"/>
          <w:rtl/>
        </w:rPr>
        <w:t>ה</w:t>
      </w:r>
      <w:r w:rsidRPr="004547CD">
        <w:rPr>
          <w:rFonts w:cs="FrankRuehl"/>
          <w:sz w:val="20"/>
          <w:szCs w:val="22"/>
          <w:rtl/>
        </w:rPr>
        <w:t xml:space="preserve">כלואים. </w:t>
      </w:r>
      <w:r w:rsidRPr="004547CD">
        <w:rPr>
          <w:rFonts w:cs="FrankRuehl" w:hint="cs"/>
          <w:sz w:val="20"/>
          <w:szCs w:val="22"/>
          <w:rtl/>
        </w:rPr>
        <w:t>ב</w:t>
      </w:r>
      <w:r w:rsidRPr="004547CD">
        <w:rPr>
          <w:rFonts w:cs="FrankRuehl"/>
          <w:sz w:val="20"/>
          <w:szCs w:val="22"/>
          <w:rtl/>
        </w:rPr>
        <w:t>מערכת זו הוקמו מ</w:t>
      </w:r>
      <w:r w:rsidRPr="004547CD">
        <w:rPr>
          <w:rFonts w:cs="FrankRuehl" w:hint="cs"/>
          <w:sz w:val="20"/>
          <w:szCs w:val="22"/>
          <w:rtl/>
        </w:rPr>
        <w:t>י</w:t>
      </w:r>
      <w:r w:rsidRPr="004547CD">
        <w:rPr>
          <w:rFonts w:cs="FrankRuehl"/>
          <w:sz w:val="20"/>
          <w:szCs w:val="22"/>
          <w:rtl/>
        </w:rPr>
        <w:t xml:space="preserve">שקי מידע לשמירה על סנכרון בין נתוני שני הגופים. עוד כתבה המשטרה כי </w:t>
      </w:r>
      <w:r w:rsidRPr="004547CD">
        <w:rPr>
          <w:rFonts w:cs="FrankRuehl" w:hint="eastAsia"/>
          <w:sz w:val="20"/>
          <w:szCs w:val="22"/>
          <w:rtl/>
        </w:rPr>
        <w:t>מערכת</w:t>
      </w:r>
      <w:r w:rsidRPr="004547CD">
        <w:rPr>
          <w:rFonts w:cs="FrankRuehl"/>
          <w:sz w:val="20"/>
          <w:szCs w:val="22"/>
          <w:rtl/>
        </w:rPr>
        <w:t xml:space="preserve"> </w:t>
      </w:r>
      <w:r w:rsidRPr="004547CD">
        <w:rPr>
          <w:rFonts w:cs="FrankRuehl" w:hint="cs"/>
          <w:sz w:val="20"/>
          <w:szCs w:val="22"/>
          <w:rtl/>
        </w:rPr>
        <w:t xml:space="preserve">"רימון" </w:t>
      </w:r>
      <w:r w:rsidRPr="004547CD">
        <w:rPr>
          <w:rFonts w:cs="FrankRuehl" w:hint="eastAsia"/>
          <w:sz w:val="20"/>
          <w:szCs w:val="22"/>
          <w:rtl/>
        </w:rPr>
        <w:t>מקושרת</w:t>
      </w:r>
      <w:r w:rsidRPr="004547CD">
        <w:rPr>
          <w:rFonts w:cs="FrankRuehl"/>
          <w:sz w:val="20"/>
          <w:szCs w:val="22"/>
          <w:rtl/>
        </w:rPr>
        <w:t xml:space="preserve"> </w:t>
      </w:r>
      <w:r w:rsidRPr="004547CD">
        <w:rPr>
          <w:rFonts w:cs="FrankRuehl" w:hint="eastAsia"/>
          <w:sz w:val="20"/>
          <w:szCs w:val="22"/>
          <w:rtl/>
        </w:rPr>
        <w:t>למערכת</w:t>
      </w:r>
      <w:r w:rsidRPr="004547CD">
        <w:rPr>
          <w:rFonts w:cs="FrankRuehl"/>
          <w:sz w:val="20"/>
          <w:szCs w:val="22"/>
          <w:rtl/>
        </w:rPr>
        <w:t xml:space="preserve"> </w:t>
      </w:r>
      <w:r w:rsidRPr="004547CD">
        <w:rPr>
          <w:rFonts w:cs="FrankRuehl" w:hint="eastAsia"/>
          <w:sz w:val="20"/>
          <w:szCs w:val="22"/>
          <w:rtl/>
        </w:rPr>
        <w:t>המשטרתית</w:t>
      </w:r>
      <w:r w:rsidRPr="004547CD">
        <w:rPr>
          <w:rFonts w:cs="FrankRuehl"/>
          <w:sz w:val="20"/>
          <w:szCs w:val="22"/>
          <w:rtl/>
        </w:rPr>
        <w:t xml:space="preserve"> </w:t>
      </w:r>
      <w:r w:rsidRPr="004547CD">
        <w:rPr>
          <w:rFonts w:cs="FrankRuehl" w:hint="eastAsia"/>
          <w:sz w:val="20"/>
          <w:szCs w:val="22"/>
          <w:rtl/>
        </w:rPr>
        <w:t>של</w:t>
      </w:r>
      <w:r w:rsidRPr="004547CD">
        <w:rPr>
          <w:rFonts w:cs="FrankRuehl"/>
          <w:sz w:val="20"/>
          <w:szCs w:val="22"/>
          <w:rtl/>
        </w:rPr>
        <w:t xml:space="preserve"> </w:t>
      </w:r>
      <w:r w:rsidRPr="004547CD">
        <w:rPr>
          <w:rFonts w:cs="FrankRuehl" w:hint="eastAsia"/>
          <w:sz w:val="20"/>
          <w:szCs w:val="22"/>
          <w:rtl/>
        </w:rPr>
        <w:t>מערך</w:t>
      </w:r>
      <w:r w:rsidRPr="004547CD">
        <w:rPr>
          <w:rFonts w:cs="FrankRuehl"/>
          <w:sz w:val="20"/>
          <w:szCs w:val="22"/>
          <w:rtl/>
        </w:rPr>
        <w:t xml:space="preserve"> </w:t>
      </w:r>
      <w:r w:rsidRPr="004547CD">
        <w:rPr>
          <w:rFonts w:cs="FrankRuehl" w:hint="eastAsia"/>
          <w:sz w:val="20"/>
          <w:szCs w:val="22"/>
          <w:rtl/>
        </w:rPr>
        <w:t>החקירות</w:t>
      </w:r>
      <w:r w:rsidRPr="004547CD">
        <w:rPr>
          <w:rFonts w:cs="FrankRuehl"/>
          <w:sz w:val="20"/>
          <w:szCs w:val="22"/>
          <w:rtl/>
        </w:rPr>
        <w:t xml:space="preserve"> (</w:t>
      </w:r>
      <w:r w:rsidRPr="004547CD">
        <w:rPr>
          <w:rFonts w:cs="FrankRuehl" w:hint="eastAsia"/>
          <w:sz w:val="20"/>
          <w:szCs w:val="22"/>
          <w:rtl/>
        </w:rPr>
        <w:t>פל</w:t>
      </w:r>
      <w:r w:rsidRPr="004547CD">
        <w:rPr>
          <w:rFonts w:cs="FrankRuehl"/>
          <w:sz w:val="20"/>
          <w:szCs w:val="22"/>
          <w:rtl/>
        </w:rPr>
        <w:t xml:space="preserve">"א), </w:t>
      </w:r>
      <w:r w:rsidRPr="004547CD">
        <w:rPr>
          <w:rFonts w:cs="FrankRuehl" w:hint="eastAsia"/>
          <w:sz w:val="20"/>
          <w:szCs w:val="22"/>
          <w:rtl/>
        </w:rPr>
        <w:t>ו</w:t>
      </w:r>
      <w:r w:rsidRPr="004547CD">
        <w:rPr>
          <w:rFonts w:cs="FrankRuehl" w:hint="cs"/>
          <w:sz w:val="20"/>
          <w:szCs w:val="22"/>
          <w:rtl/>
        </w:rPr>
        <w:t xml:space="preserve">על כן </w:t>
      </w:r>
      <w:r w:rsidRPr="004547CD">
        <w:rPr>
          <w:rFonts w:cs="FrankRuehl" w:hint="eastAsia"/>
          <w:sz w:val="20"/>
          <w:szCs w:val="22"/>
          <w:rtl/>
        </w:rPr>
        <w:t>צפוי</w:t>
      </w:r>
      <w:r w:rsidRPr="004547CD">
        <w:rPr>
          <w:rFonts w:cs="FrankRuehl"/>
          <w:sz w:val="20"/>
          <w:szCs w:val="22"/>
          <w:rtl/>
        </w:rPr>
        <w:t xml:space="preserve"> </w:t>
      </w:r>
      <w:r w:rsidRPr="004547CD">
        <w:rPr>
          <w:rFonts w:cs="FrankRuehl" w:hint="eastAsia"/>
          <w:sz w:val="20"/>
          <w:szCs w:val="22"/>
          <w:rtl/>
        </w:rPr>
        <w:t>שהנתונים</w:t>
      </w:r>
      <w:r w:rsidRPr="004547CD">
        <w:rPr>
          <w:rFonts w:cs="FrankRuehl"/>
          <w:sz w:val="20"/>
          <w:szCs w:val="22"/>
          <w:rtl/>
        </w:rPr>
        <w:t xml:space="preserve"> </w:t>
      </w:r>
      <w:r w:rsidRPr="004547CD">
        <w:rPr>
          <w:rFonts w:cs="FrankRuehl" w:hint="eastAsia"/>
          <w:sz w:val="20"/>
          <w:szCs w:val="22"/>
          <w:rtl/>
        </w:rPr>
        <w:t>בה</w:t>
      </w:r>
      <w:r w:rsidRPr="004547CD">
        <w:rPr>
          <w:rFonts w:cs="FrankRuehl"/>
          <w:sz w:val="20"/>
          <w:szCs w:val="22"/>
          <w:rtl/>
        </w:rPr>
        <w:t xml:space="preserve"> </w:t>
      </w:r>
      <w:r w:rsidRPr="004547CD">
        <w:rPr>
          <w:rFonts w:cs="FrankRuehl" w:hint="eastAsia"/>
          <w:sz w:val="20"/>
          <w:szCs w:val="22"/>
          <w:rtl/>
        </w:rPr>
        <w:t>יהיו</w:t>
      </w:r>
      <w:r w:rsidRPr="004547CD">
        <w:rPr>
          <w:rFonts w:cs="FrankRuehl"/>
          <w:sz w:val="20"/>
          <w:szCs w:val="22"/>
          <w:rtl/>
        </w:rPr>
        <w:t xml:space="preserve"> </w:t>
      </w:r>
      <w:r w:rsidRPr="004547CD">
        <w:rPr>
          <w:rFonts w:cs="FrankRuehl" w:hint="cs"/>
          <w:sz w:val="20"/>
          <w:szCs w:val="22"/>
          <w:rtl/>
        </w:rPr>
        <w:t>אמינים</w:t>
      </w:r>
      <w:r w:rsidRPr="004547CD">
        <w:rPr>
          <w:rFonts w:cs="FrankRuehl"/>
          <w:sz w:val="20"/>
          <w:szCs w:val="22"/>
          <w:rtl/>
        </w:rPr>
        <w:t xml:space="preserve"> </w:t>
      </w:r>
      <w:r w:rsidRPr="004547CD">
        <w:rPr>
          <w:rFonts w:cs="FrankRuehl" w:hint="eastAsia"/>
          <w:sz w:val="20"/>
          <w:szCs w:val="22"/>
          <w:rtl/>
        </w:rPr>
        <w:t>יותר</w:t>
      </w:r>
      <w:r w:rsidRPr="004547CD">
        <w:rPr>
          <w:rFonts w:cs="FrankRuehl"/>
          <w:sz w:val="20"/>
          <w:szCs w:val="22"/>
          <w:rtl/>
        </w:rPr>
        <w:t xml:space="preserve"> </w:t>
      </w:r>
      <w:r w:rsidRPr="004547CD">
        <w:rPr>
          <w:rFonts w:cs="FrankRuehl" w:hint="eastAsia"/>
          <w:sz w:val="20"/>
          <w:szCs w:val="22"/>
          <w:rtl/>
        </w:rPr>
        <w:t>מא</w:t>
      </w:r>
      <w:r w:rsidRPr="004547CD">
        <w:rPr>
          <w:rFonts w:cs="FrankRuehl" w:hint="cs"/>
          <w:sz w:val="20"/>
          <w:szCs w:val="22"/>
          <w:rtl/>
        </w:rPr>
        <w:t>לה</w:t>
      </w:r>
      <w:r w:rsidRPr="004547CD">
        <w:rPr>
          <w:rFonts w:cs="FrankRuehl"/>
          <w:sz w:val="20"/>
          <w:szCs w:val="22"/>
          <w:rtl/>
        </w:rPr>
        <w:t xml:space="preserve"> </w:t>
      </w:r>
      <w:r w:rsidRPr="004547CD">
        <w:rPr>
          <w:rFonts w:cs="FrankRuehl" w:hint="cs"/>
          <w:sz w:val="20"/>
          <w:szCs w:val="22"/>
          <w:rtl/>
        </w:rPr>
        <w:t>ש</w:t>
      </w:r>
      <w:r w:rsidRPr="004547CD">
        <w:rPr>
          <w:rFonts w:cs="FrankRuehl" w:hint="eastAsia"/>
          <w:sz w:val="20"/>
          <w:szCs w:val="22"/>
          <w:rtl/>
        </w:rPr>
        <w:t>במערכת</w:t>
      </w:r>
      <w:r w:rsidRPr="004547CD">
        <w:rPr>
          <w:rFonts w:cs="FrankRuehl"/>
          <w:sz w:val="20"/>
          <w:szCs w:val="22"/>
          <w:rtl/>
        </w:rPr>
        <w:t xml:space="preserve"> </w:t>
      </w:r>
      <w:r w:rsidRPr="004547CD">
        <w:rPr>
          <w:rFonts w:cs="FrankRuehl" w:hint="eastAsia"/>
          <w:sz w:val="20"/>
          <w:szCs w:val="22"/>
          <w:rtl/>
        </w:rPr>
        <w:t>המעצרים</w:t>
      </w:r>
      <w:r w:rsidRPr="004547CD">
        <w:rPr>
          <w:rFonts w:cs="FrankRuehl"/>
          <w:sz w:val="20"/>
          <w:szCs w:val="22"/>
          <w:rtl/>
        </w:rPr>
        <w:t xml:space="preserve"> </w:t>
      </w:r>
      <w:r w:rsidRPr="004547CD">
        <w:rPr>
          <w:rFonts w:cs="FrankRuehl" w:hint="eastAsia"/>
          <w:sz w:val="20"/>
          <w:szCs w:val="22"/>
          <w:rtl/>
        </w:rPr>
        <w:t>הישנה</w:t>
      </w:r>
      <w:r w:rsidRPr="004547CD">
        <w:rPr>
          <w:rFonts w:cs="FrankRuehl"/>
          <w:sz w:val="20"/>
          <w:szCs w:val="22"/>
          <w:rtl/>
        </w:rPr>
        <w:t>.</w:t>
      </w:r>
    </w:p>
    <w:p w:rsidR="006259B3" w:rsidRPr="004547CD" w:rsidP="008A6D26">
      <w:pPr>
        <w:spacing w:after="120" w:line="230" w:lineRule="exact"/>
        <w:jc w:val="both"/>
        <w:rPr>
          <w:rFonts w:cs="FrankRuehl"/>
          <w:sz w:val="20"/>
          <w:szCs w:val="22"/>
          <w:rtl/>
        </w:rPr>
      </w:pPr>
      <w:r w:rsidRPr="004547CD">
        <w:rPr>
          <w:rFonts w:cs="FrankRuehl" w:hint="cs"/>
          <w:sz w:val="20"/>
          <w:szCs w:val="22"/>
          <w:rtl/>
        </w:rPr>
        <w:t xml:space="preserve">מנגד כתב שב"ס בתשובתו למשרד מבקר המדינה בדצמבר 2014: "מדיונים שונים שהתקיימו במשרד לבט"פ עלה באופן ברור כי הנתונים שהוצגו ע"י שני הגופים הינם שונים לחלוטין. מבדיקה מעמיקה יותר עולה כי המקור לכך הוא מערך הנתונים של מ"י שאסף נתונים באופן אחר וכלל בתוכו נתונים שאינם נכונים". בשב"ס ציינו עוד כי בשנת 2014 הוקצה עובד של המשטרה לעבודה מול שב"ס לשם השוואת הנתונים בין הארגונים, ועקב כך העביר שב"ס למשטרה חומר רב לצורך השוואה. לפי שב"ס "רמת המתאם בין הנתונים שבידי שני הארגונים עדיין נמוכה, גם לאחר הקמת </w:t>
      </w:r>
      <w:r w:rsidRPr="004547CD">
        <w:rPr>
          <w:rFonts w:cs="FrankRuehl" w:hint="cs"/>
          <w:sz w:val="20"/>
          <w:szCs w:val="22"/>
          <w:rtl/>
        </w:rPr>
        <w:t xml:space="preserve">מערכת רימון המשטרתית". שב"ס הוסיף כי כדי להתקדם בנושא זה נדרש להקים מחדש את הקשר בין שני הארגונים, גם בהיבט הטכנולוגי. </w:t>
      </w:r>
    </w:p>
    <w:p w:rsidR="006259B3" w:rsidRPr="004547CD" w:rsidP="00E62E82">
      <w:pPr>
        <w:spacing w:after="240" w:line="230" w:lineRule="exact"/>
        <w:jc w:val="both"/>
        <w:rPr>
          <w:rFonts w:cs="FrankRuehl"/>
          <w:sz w:val="20"/>
          <w:szCs w:val="22"/>
          <w:rtl/>
        </w:rPr>
      </w:pPr>
      <w:r w:rsidRPr="004547CD">
        <w:rPr>
          <w:rFonts w:cs="FrankRuehl" w:hint="cs"/>
          <w:sz w:val="20"/>
          <w:szCs w:val="22"/>
          <w:rtl/>
        </w:rPr>
        <w:t>המשרד לבט"פ מסר בתשובתו למשרד מבקר המדינה מדצמבר 2014, כי המצב המתואר בדוח בנוגע לנתונים היה נכון, אולם "במועד זה" מתקיימת עבודת מטה משותפת של המשרד לבט"פ, המשטרה, שב"ס ומשרד האוצר, במטרה ליצור בסיס נתונים אחוד לכל הגופים ולגבש מנגנון לבקרה על מספר המעצרים. להערכתו עבודת המטה תסתיים ברבעון הראשון של שנת 2015, והגופים יעבדו על בסיס נתונים מוסכם.</w:t>
      </w:r>
    </w:p>
    <w:p w:rsidR="006259B3" w:rsidRPr="004547CD" w:rsidP="00E62E82">
      <w:pPr>
        <w:pStyle w:val="RESHET"/>
        <w:rPr>
          <w:rtl/>
        </w:rPr>
      </w:pPr>
      <w:r w:rsidRPr="004547CD">
        <w:rPr>
          <w:rFonts w:hint="cs"/>
          <w:rtl/>
        </w:rPr>
        <w:t xml:space="preserve">משרד מבקר המדינה מעיר כי על המשרד לבט"פ להחיש את סיום עבודת המטה המשותפת ולפעול בנחישות לבנייתו של מסד נתונים אחוד של כמות העצורים. מסד נתונים אחוד יסייע להקטין את המחלוקות שבין המשטרה לשב"ס; הוא יסייע לבנות מדד פנים משטרתי לבחינת איכות המעצרים; מדד זה אף ישמש את מקבלי ההחלטות ככלי להפקת נתונים בנוגע למידת האפקטיביות של השימוש במעצרים בעבודתה של המשטרה. </w:t>
      </w:r>
    </w:p>
    <w:p w:rsidR="006259B3" w:rsidRPr="004547CD" w:rsidP="008A6D26">
      <w:pPr>
        <w:spacing w:after="120" w:line="230" w:lineRule="exact"/>
        <w:jc w:val="both"/>
        <w:rPr>
          <w:rFonts w:cs="FrankRuehl"/>
          <w:sz w:val="20"/>
          <w:szCs w:val="22"/>
          <w:rtl/>
        </w:rPr>
      </w:pPr>
    </w:p>
    <w:p w:rsidR="006259B3" w:rsidRPr="004547CD" w:rsidP="008A6D26">
      <w:pPr>
        <w:spacing w:after="120" w:line="230" w:lineRule="exact"/>
        <w:jc w:val="both"/>
        <w:rPr>
          <w:rFonts w:cs="FrankRuehl"/>
          <w:sz w:val="20"/>
          <w:szCs w:val="22"/>
          <w:rtl/>
        </w:rPr>
      </w:pPr>
    </w:p>
    <w:p w:rsidR="006259B3" w:rsidRPr="00596B42" w:rsidP="008A6D26">
      <w:pPr>
        <w:pStyle w:val="KOT4"/>
        <w:rPr>
          <w:rtl/>
        </w:rPr>
      </w:pPr>
      <w:r w:rsidRPr="00596B42">
        <w:rPr>
          <w:rFonts w:hint="cs"/>
          <w:rtl/>
        </w:rPr>
        <w:t>הסברים לגידול במעצרים</w:t>
      </w:r>
    </w:p>
    <w:p w:rsidR="006259B3" w:rsidRPr="004547CD" w:rsidP="008A6D26">
      <w:pPr>
        <w:spacing w:after="120" w:line="230" w:lineRule="exact"/>
        <w:jc w:val="both"/>
        <w:rPr>
          <w:rFonts w:cs="FrankRuehl"/>
          <w:sz w:val="20"/>
          <w:szCs w:val="22"/>
        </w:rPr>
      </w:pPr>
      <w:r w:rsidRPr="004547CD">
        <w:rPr>
          <w:rFonts w:cs="FrankRuehl" w:hint="eastAsia"/>
          <w:sz w:val="20"/>
          <w:szCs w:val="22"/>
          <w:rtl/>
        </w:rPr>
        <w:t>בהערכת</w:t>
      </w:r>
      <w:r w:rsidRPr="004547CD">
        <w:rPr>
          <w:rFonts w:cs="FrankRuehl"/>
          <w:sz w:val="20"/>
          <w:szCs w:val="22"/>
          <w:rtl/>
        </w:rPr>
        <w:t xml:space="preserve"> </w:t>
      </w:r>
      <w:r w:rsidRPr="004547CD">
        <w:rPr>
          <w:rFonts w:cs="FrankRuehl" w:hint="cs"/>
          <w:sz w:val="20"/>
          <w:szCs w:val="22"/>
          <w:rtl/>
        </w:rPr>
        <w:t>ה</w:t>
      </w:r>
      <w:r w:rsidRPr="004547CD">
        <w:rPr>
          <w:rFonts w:cs="FrankRuehl" w:hint="eastAsia"/>
          <w:sz w:val="20"/>
          <w:szCs w:val="22"/>
          <w:rtl/>
        </w:rPr>
        <w:t>מצב</w:t>
      </w:r>
      <w:r w:rsidRPr="004547CD">
        <w:rPr>
          <w:rFonts w:cs="FrankRuehl"/>
          <w:sz w:val="20"/>
          <w:szCs w:val="22"/>
          <w:rtl/>
        </w:rPr>
        <w:t xml:space="preserve"> </w:t>
      </w:r>
      <w:r w:rsidRPr="004547CD">
        <w:rPr>
          <w:rFonts w:cs="FrankRuehl" w:hint="cs"/>
          <w:sz w:val="20"/>
          <w:szCs w:val="22"/>
          <w:rtl/>
        </w:rPr>
        <w:t xml:space="preserve">בנושא </w:t>
      </w:r>
      <w:r w:rsidRPr="004547CD">
        <w:rPr>
          <w:rFonts w:cs="FrankRuehl" w:hint="eastAsia"/>
          <w:sz w:val="20"/>
          <w:szCs w:val="22"/>
          <w:rtl/>
        </w:rPr>
        <w:t>ביטחון</w:t>
      </w:r>
      <w:r w:rsidRPr="004547CD">
        <w:rPr>
          <w:rFonts w:cs="FrankRuehl"/>
          <w:sz w:val="20"/>
          <w:szCs w:val="22"/>
          <w:rtl/>
        </w:rPr>
        <w:t xml:space="preserve"> </w:t>
      </w:r>
      <w:r w:rsidRPr="004547CD">
        <w:rPr>
          <w:rFonts w:cs="FrankRuehl" w:hint="eastAsia"/>
          <w:sz w:val="20"/>
          <w:szCs w:val="22"/>
          <w:rtl/>
        </w:rPr>
        <w:t>הפנים</w:t>
      </w:r>
      <w:r w:rsidRPr="004547CD">
        <w:rPr>
          <w:rFonts w:cs="FrankRuehl"/>
          <w:sz w:val="20"/>
          <w:szCs w:val="22"/>
          <w:rtl/>
        </w:rPr>
        <w:t xml:space="preserve"> </w:t>
      </w:r>
      <w:r w:rsidRPr="004547CD">
        <w:rPr>
          <w:rFonts w:cs="FrankRuehl" w:hint="cs"/>
          <w:sz w:val="20"/>
          <w:szCs w:val="22"/>
          <w:rtl/>
        </w:rPr>
        <w:t xml:space="preserve">לשנים </w:t>
      </w:r>
      <w:r w:rsidRPr="004547CD">
        <w:rPr>
          <w:rFonts w:cs="FrankRuehl"/>
          <w:sz w:val="20"/>
          <w:szCs w:val="22"/>
          <w:rtl/>
        </w:rPr>
        <w:t>2015-2013</w:t>
      </w:r>
      <w:r w:rsidRPr="004547CD">
        <w:rPr>
          <w:rFonts w:cs="FrankRuehl" w:hint="cs"/>
          <w:sz w:val="20"/>
          <w:szCs w:val="22"/>
          <w:rtl/>
        </w:rPr>
        <w:t>,</w:t>
      </w:r>
      <w:r w:rsidRPr="004547CD">
        <w:rPr>
          <w:rFonts w:cs="FrankRuehl"/>
          <w:sz w:val="20"/>
          <w:szCs w:val="22"/>
          <w:rtl/>
        </w:rPr>
        <w:t xml:space="preserve"> </w:t>
      </w:r>
      <w:r w:rsidRPr="004547CD">
        <w:rPr>
          <w:rFonts w:cs="FrankRuehl" w:hint="cs"/>
          <w:sz w:val="20"/>
          <w:szCs w:val="22"/>
          <w:rtl/>
        </w:rPr>
        <w:t>שנעשתה בידי</w:t>
      </w:r>
      <w:r w:rsidRPr="004547CD">
        <w:rPr>
          <w:rFonts w:cs="FrankRuehl"/>
          <w:sz w:val="20"/>
          <w:szCs w:val="22"/>
          <w:rtl/>
        </w:rPr>
        <w:t xml:space="preserve"> </w:t>
      </w:r>
      <w:r w:rsidRPr="004547CD">
        <w:rPr>
          <w:rFonts w:cs="FrankRuehl" w:hint="cs"/>
          <w:sz w:val="20"/>
          <w:szCs w:val="22"/>
          <w:rtl/>
        </w:rPr>
        <w:t>ה</w:t>
      </w:r>
      <w:r w:rsidRPr="004547CD">
        <w:rPr>
          <w:rFonts w:cs="FrankRuehl" w:hint="eastAsia"/>
          <w:sz w:val="20"/>
          <w:szCs w:val="22"/>
          <w:rtl/>
        </w:rPr>
        <w:t>אגף</w:t>
      </w:r>
      <w:r w:rsidRPr="004547CD">
        <w:rPr>
          <w:rFonts w:cs="FrankRuehl"/>
          <w:sz w:val="20"/>
          <w:szCs w:val="22"/>
          <w:rtl/>
        </w:rPr>
        <w:t xml:space="preserve"> </w:t>
      </w:r>
      <w:r w:rsidRPr="004547CD">
        <w:rPr>
          <w:rFonts w:cs="FrankRuehl" w:hint="eastAsia"/>
          <w:sz w:val="20"/>
          <w:szCs w:val="22"/>
          <w:rtl/>
        </w:rPr>
        <w:t>למדיניות</w:t>
      </w:r>
      <w:r w:rsidRPr="004547CD">
        <w:rPr>
          <w:rFonts w:cs="FrankRuehl"/>
          <w:sz w:val="20"/>
          <w:szCs w:val="22"/>
          <w:rtl/>
        </w:rPr>
        <w:t xml:space="preserve"> </w:t>
      </w:r>
      <w:r w:rsidRPr="004547CD">
        <w:rPr>
          <w:rFonts w:cs="FrankRuehl" w:hint="eastAsia"/>
          <w:sz w:val="20"/>
          <w:szCs w:val="22"/>
          <w:rtl/>
        </w:rPr>
        <w:t>ותכנון</w:t>
      </w:r>
      <w:r w:rsidRPr="004547CD">
        <w:rPr>
          <w:rFonts w:cs="FrankRuehl"/>
          <w:sz w:val="20"/>
          <w:szCs w:val="22"/>
          <w:rtl/>
        </w:rPr>
        <w:t xml:space="preserve"> </w:t>
      </w:r>
      <w:r w:rsidRPr="004547CD">
        <w:rPr>
          <w:rFonts w:cs="FrankRuehl" w:hint="eastAsia"/>
          <w:sz w:val="20"/>
          <w:szCs w:val="22"/>
          <w:rtl/>
        </w:rPr>
        <w:t>אסטרטגי</w:t>
      </w:r>
      <w:r w:rsidRPr="004547CD">
        <w:rPr>
          <w:rFonts w:cs="FrankRuehl"/>
          <w:sz w:val="20"/>
          <w:szCs w:val="22"/>
          <w:rtl/>
        </w:rPr>
        <w:t xml:space="preserve"> </w:t>
      </w:r>
      <w:r w:rsidRPr="004547CD">
        <w:rPr>
          <w:rFonts w:cs="FrankRuehl" w:hint="eastAsia"/>
          <w:sz w:val="20"/>
          <w:szCs w:val="22"/>
          <w:rtl/>
        </w:rPr>
        <w:t>של</w:t>
      </w:r>
      <w:r w:rsidRPr="004547CD">
        <w:rPr>
          <w:rFonts w:cs="FrankRuehl"/>
          <w:sz w:val="20"/>
          <w:szCs w:val="22"/>
          <w:rtl/>
        </w:rPr>
        <w:t xml:space="preserve"> </w:t>
      </w:r>
      <w:r w:rsidRPr="004547CD">
        <w:rPr>
          <w:rFonts w:cs="FrankRuehl" w:hint="eastAsia"/>
          <w:sz w:val="20"/>
          <w:szCs w:val="22"/>
          <w:rtl/>
        </w:rPr>
        <w:t>המשרד</w:t>
      </w:r>
      <w:r w:rsidRPr="004547CD">
        <w:rPr>
          <w:rFonts w:cs="FrankRuehl"/>
          <w:sz w:val="20"/>
          <w:szCs w:val="22"/>
          <w:rtl/>
        </w:rPr>
        <w:t xml:space="preserve"> </w:t>
      </w:r>
      <w:r w:rsidRPr="004547CD">
        <w:rPr>
          <w:rFonts w:cs="FrankRuehl" w:hint="eastAsia"/>
          <w:sz w:val="20"/>
          <w:szCs w:val="22"/>
          <w:rtl/>
        </w:rPr>
        <w:t>לבט</w:t>
      </w:r>
      <w:r w:rsidRPr="004547CD">
        <w:rPr>
          <w:rFonts w:cs="FrankRuehl" w:hint="cs"/>
          <w:sz w:val="20"/>
          <w:szCs w:val="22"/>
          <w:rtl/>
        </w:rPr>
        <w:t>"פ,</w:t>
      </w:r>
      <w:r w:rsidRPr="004547CD">
        <w:rPr>
          <w:rFonts w:cs="FrankRuehl"/>
          <w:sz w:val="20"/>
          <w:szCs w:val="22"/>
          <w:rtl/>
        </w:rPr>
        <w:t xml:space="preserve"> </w:t>
      </w:r>
      <w:r w:rsidRPr="004547CD">
        <w:rPr>
          <w:rFonts w:cs="FrankRuehl" w:hint="eastAsia"/>
          <w:sz w:val="20"/>
          <w:szCs w:val="22"/>
          <w:rtl/>
        </w:rPr>
        <w:t>נכתב</w:t>
      </w:r>
      <w:r w:rsidRPr="004547CD">
        <w:rPr>
          <w:rFonts w:cs="FrankRuehl"/>
          <w:sz w:val="20"/>
          <w:szCs w:val="22"/>
          <w:rtl/>
        </w:rPr>
        <w:t xml:space="preserve"> </w:t>
      </w:r>
      <w:r w:rsidRPr="004547CD">
        <w:rPr>
          <w:rFonts w:cs="FrankRuehl" w:hint="cs"/>
          <w:sz w:val="20"/>
          <w:szCs w:val="22"/>
          <w:rtl/>
        </w:rPr>
        <w:t xml:space="preserve">כי </w:t>
      </w:r>
      <w:r w:rsidRPr="004547CD">
        <w:rPr>
          <w:rFonts w:cs="FrankRuehl" w:hint="eastAsia"/>
          <w:sz w:val="20"/>
          <w:szCs w:val="22"/>
          <w:rtl/>
        </w:rPr>
        <w:t>על</w:t>
      </w:r>
      <w:r w:rsidRPr="004547CD">
        <w:rPr>
          <w:rFonts w:cs="FrankRuehl"/>
          <w:sz w:val="20"/>
          <w:szCs w:val="22"/>
          <w:rtl/>
        </w:rPr>
        <w:t xml:space="preserve"> </w:t>
      </w:r>
      <w:r w:rsidRPr="004547CD">
        <w:rPr>
          <w:rFonts w:cs="FrankRuehl" w:hint="eastAsia"/>
          <w:sz w:val="20"/>
          <w:szCs w:val="22"/>
          <w:rtl/>
        </w:rPr>
        <w:t>פניו</w:t>
      </w:r>
      <w:r w:rsidRPr="004547CD">
        <w:rPr>
          <w:rFonts w:cs="FrankRuehl"/>
          <w:sz w:val="20"/>
          <w:szCs w:val="22"/>
          <w:rtl/>
        </w:rPr>
        <w:t xml:space="preserve"> </w:t>
      </w:r>
      <w:r w:rsidRPr="004547CD">
        <w:rPr>
          <w:rFonts w:cs="FrankRuehl" w:hint="eastAsia"/>
          <w:sz w:val="20"/>
          <w:szCs w:val="22"/>
          <w:rtl/>
        </w:rPr>
        <w:t>נראה</w:t>
      </w:r>
      <w:r w:rsidRPr="004547CD">
        <w:rPr>
          <w:rFonts w:cs="FrankRuehl"/>
          <w:sz w:val="20"/>
          <w:szCs w:val="22"/>
          <w:rtl/>
        </w:rPr>
        <w:t xml:space="preserve"> </w:t>
      </w:r>
      <w:r w:rsidRPr="004547CD">
        <w:rPr>
          <w:rFonts w:cs="FrankRuehl" w:hint="cs"/>
          <w:sz w:val="20"/>
          <w:szCs w:val="22"/>
          <w:rtl/>
        </w:rPr>
        <w:t>ש</w:t>
      </w:r>
      <w:r w:rsidRPr="004547CD">
        <w:rPr>
          <w:rFonts w:cs="FrankRuehl" w:hint="eastAsia"/>
          <w:sz w:val="20"/>
          <w:szCs w:val="22"/>
          <w:rtl/>
        </w:rPr>
        <w:t>הגורם</w:t>
      </w:r>
      <w:r w:rsidRPr="004547CD">
        <w:rPr>
          <w:rFonts w:cs="FrankRuehl"/>
          <w:sz w:val="20"/>
          <w:szCs w:val="22"/>
          <w:rtl/>
        </w:rPr>
        <w:t xml:space="preserve"> </w:t>
      </w:r>
      <w:r w:rsidRPr="004547CD">
        <w:rPr>
          <w:rFonts w:cs="FrankRuehl" w:hint="eastAsia"/>
          <w:sz w:val="20"/>
          <w:szCs w:val="22"/>
          <w:rtl/>
        </w:rPr>
        <w:t>העיקרי</w:t>
      </w:r>
      <w:r w:rsidRPr="004547CD">
        <w:rPr>
          <w:rFonts w:cs="FrankRuehl"/>
          <w:sz w:val="20"/>
          <w:szCs w:val="22"/>
          <w:rtl/>
        </w:rPr>
        <w:t xml:space="preserve"> </w:t>
      </w:r>
      <w:r w:rsidRPr="004547CD">
        <w:rPr>
          <w:rFonts w:cs="FrankRuehl" w:hint="eastAsia"/>
          <w:sz w:val="20"/>
          <w:szCs w:val="22"/>
          <w:rtl/>
        </w:rPr>
        <w:t>לגידול</w:t>
      </w:r>
      <w:r w:rsidRPr="004547CD">
        <w:rPr>
          <w:rFonts w:cs="FrankRuehl"/>
          <w:sz w:val="20"/>
          <w:szCs w:val="22"/>
          <w:rtl/>
        </w:rPr>
        <w:t xml:space="preserve"> </w:t>
      </w:r>
      <w:r w:rsidRPr="004547CD">
        <w:rPr>
          <w:rFonts w:cs="FrankRuehl" w:hint="eastAsia"/>
          <w:sz w:val="20"/>
          <w:szCs w:val="22"/>
          <w:rtl/>
        </w:rPr>
        <w:t>הדרמטי</w:t>
      </w:r>
      <w:r w:rsidRPr="004547CD">
        <w:rPr>
          <w:rFonts w:cs="FrankRuehl"/>
          <w:sz w:val="20"/>
          <w:szCs w:val="22"/>
          <w:rtl/>
        </w:rPr>
        <w:t xml:space="preserve"> </w:t>
      </w:r>
      <w:r w:rsidRPr="004547CD">
        <w:rPr>
          <w:rFonts w:cs="FrankRuehl" w:hint="eastAsia"/>
          <w:sz w:val="20"/>
          <w:szCs w:val="22"/>
          <w:rtl/>
        </w:rPr>
        <w:t>במצבת</w:t>
      </w:r>
      <w:r w:rsidRPr="004547CD">
        <w:rPr>
          <w:rFonts w:cs="FrankRuehl"/>
          <w:sz w:val="20"/>
          <w:szCs w:val="22"/>
          <w:rtl/>
        </w:rPr>
        <w:t xml:space="preserve"> </w:t>
      </w:r>
      <w:r w:rsidRPr="004547CD">
        <w:rPr>
          <w:rFonts w:cs="FrankRuehl" w:hint="eastAsia"/>
          <w:sz w:val="20"/>
          <w:szCs w:val="22"/>
          <w:rtl/>
        </w:rPr>
        <w:t>העצורים</w:t>
      </w:r>
      <w:r w:rsidRPr="004547CD">
        <w:rPr>
          <w:rFonts w:cs="FrankRuehl"/>
          <w:sz w:val="20"/>
          <w:szCs w:val="22"/>
          <w:rtl/>
        </w:rPr>
        <w:t xml:space="preserve"> </w:t>
      </w:r>
      <w:r w:rsidRPr="004547CD">
        <w:rPr>
          <w:rFonts w:cs="FrankRuehl" w:hint="eastAsia"/>
          <w:sz w:val="20"/>
          <w:szCs w:val="22"/>
          <w:rtl/>
        </w:rPr>
        <w:t>הפליליים</w:t>
      </w:r>
      <w:r w:rsidRPr="004547CD">
        <w:rPr>
          <w:rFonts w:cs="FrankRuehl"/>
          <w:sz w:val="20"/>
          <w:szCs w:val="22"/>
          <w:rtl/>
        </w:rPr>
        <w:t xml:space="preserve"> </w:t>
      </w:r>
      <w:r w:rsidRPr="004547CD">
        <w:rPr>
          <w:rFonts w:cs="FrankRuehl" w:hint="eastAsia"/>
          <w:sz w:val="20"/>
          <w:szCs w:val="22"/>
          <w:rtl/>
        </w:rPr>
        <w:t>קשור</w:t>
      </w:r>
      <w:r w:rsidRPr="004547CD">
        <w:rPr>
          <w:rFonts w:cs="FrankRuehl"/>
          <w:sz w:val="20"/>
          <w:szCs w:val="22"/>
          <w:rtl/>
        </w:rPr>
        <w:t xml:space="preserve"> </w:t>
      </w:r>
      <w:r w:rsidRPr="004547CD">
        <w:rPr>
          <w:rFonts w:cs="FrankRuehl" w:hint="eastAsia"/>
          <w:sz w:val="20"/>
          <w:szCs w:val="22"/>
          <w:rtl/>
        </w:rPr>
        <w:t>בתהליך</w:t>
      </w:r>
      <w:r w:rsidRPr="004547CD">
        <w:rPr>
          <w:rFonts w:cs="FrankRuehl"/>
          <w:sz w:val="20"/>
          <w:szCs w:val="22"/>
          <w:rtl/>
        </w:rPr>
        <w:t xml:space="preserve"> </w:t>
      </w:r>
      <w:r w:rsidRPr="004547CD">
        <w:rPr>
          <w:rFonts w:cs="FrankRuehl" w:hint="eastAsia"/>
          <w:sz w:val="20"/>
          <w:szCs w:val="22"/>
          <w:rtl/>
        </w:rPr>
        <w:t>העברת</w:t>
      </w:r>
      <w:r w:rsidRPr="004547CD">
        <w:rPr>
          <w:rFonts w:cs="FrankRuehl"/>
          <w:sz w:val="20"/>
          <w:szCs w:val="22"/>
          <w:rtl/>
        </w:rPr>
        <w:t xml:space="preserve"> </w:t>
      </w:r>
      <w:r w:rsidRPr="004547CD">
        <w:rPr>
          <w:rFonts w:cs="FrankRuehl" w:hint="eastAsia"/>
          <w:sz w:val="20"/>
          <w:szCs w:val="22"/>
          <w:rtl/>
        </w:rPr>
        <w:t>האחריות</w:t>
      </w:r>
      <w:r w:rsidRPr="004547CD">
        <w:rPr>
          <w:rFonts w:cs="FrankRuehl"/>
          <w:sz w:val="20"/>
          <w:szCs w:val="22"/>
          <w:rtl/>
        </w:rPr>
        <w:t xml:space="preserve"> </w:t>
      </w:r>
      <w:r w:rsidRPr="004547CD">
        <w:rPr>
          <w:rFonts w:cs="FrankRuehl" w:hint="eastAsia"/>
          <w:sz w:val="20"/>
          <w:szCs w:val="22"/>
          <w:rtl/>
        </w:rPr>
        <w:t>לאחזקת</w:t>
      </w:r>
      <w:r w:rsidRPr="004547CD">
        <w:rPr>
          <w:rFonts w:cs="FrankRuehl"/>
          <w:sz w:val="20"/>
          <w:szCs w:val="22"/>
          <w:rtl/>
        </w:rPr>
        <w:t xml:space="preserve"> </w:t>
      </w:r>
      <w:r w:rsidRPr="004547CD">
        <w:rPr>
          <w:rFonts w:cs="FrankRuehl" w:hint="eastAsia"/>
          <w:sz w:val="20"/>
          <w:szCs w:val="22"/>
          <w:rtl/>
        </w:rPr>
        <w:t>העצורים</w:t>
      </w:r>
      <w:r w:rsidRPr="004547CD">
        <w:rPr>
          <w:rFonts w:cs="FrankRuehl"/>
          <w:sz w:val="20"/>
          <w:szCs w:val="22"/>
          <w:rtl/>
        </w:rPr>
        <w:t xml:space="preserve"> </w:t>
      </w:r>
      <w:r w:rsidRPr="004547CD">
        <w:rPr>
          <w:rFonts w:cs="FrankRuehl" w:hint="eastAsia"/>
          <w:sz w:val="20"/>
          <w:szCs w:val="22"/>
          <w:rtl/>
        </w:rPr>
        <w:t>מהמשטרה</w:t>
      </w:r>
      <w:r w:rsidRPr="004547CD">
        <w:rPr>
          <w:rFonts w:cs="FrankRuehl"/>
          <w:sz w:val="20"/>
          <w:szCs w:val="22"/>
          <w:rtl/>
        </w:rPr>
        <w:t xml:space="preserve"> </w:t>
      </w:r>
      <w:r w:rsidRPr="004547CD">
        <w:rPr>
          <w:rFonts w:cs="FrankRuehl" w:hint="eastAsia"/>
          <w:sz w:val="20"/>
          <w:szCs w:val="22"/>
          <w:rtl/>
        </w:rPr>
        <w:t>לשב</w:t>
      </w:r>
      <w:r w:rsidRPr="004547CD">
        <w:rPr>
          <w:rFonts w:cs="FrankRuehl"/>
          <w:sz w:val="20"/>
          <w:szCs w:val="22"/>
          <w:rtl/>
        </w:rPr>
        <w:t>"ס.</w:t>
      </w:r>
      <w:r w:rsidRPr="004547CD">
        <w:rPr>
          <w:rFonts w:cs="FrankRuehl" w:hint="cs"/>
          <w:sz w:val="20"/>
          <w:szCs w:val="22"/>
          <w:rtl/>
        </w:rPr>
        <w:t xml:space="preserve"> יצוין כי בדיון במשרד לבט"פ באפריל 2014 אמר נציג המשטרה: "הגידול במספר המעצרים מראה דווקא על ביצוע ועמידה ביעדים המוטלים על משטרת ישראל".</w:t>
      </w:r>
    </w:p>
    <w:p w:rsidR="006259B3" w:rsidRPr="004547CD" w:rsidP="008A6D26">
      <w:pPr>
        <w:spacing w:after="120" w:line="230" w:lineRule="exact"/>
        <w:jc w:val="both"/>
        <w:rPr>
          <w:rFonts w:cs="FrankRuehl"/>
          <w:b/>
          <w:bCs/>
          <w:sz w:val="20"/>
          <w:szCs w:val="22"/>
          <w:rtl/>
        </w:rPr>
      </w:pPr>
      <w:r w:rsidRPr="004547CD">
        <w:rPr>
          <w:rFonts w:cs="FrankRuehl" w:hint="cs"/>
          <w:sz w:val="20"/>
          <w:szCs w:val="22"/>
          <w:rtl/>
        </w:rPr>
        <w:t xml:space="preserve">בדוח הסניגוריה הציבורית מאוגוסט 2013 נכתב כי "מזה שנים הסניגוריה שבה ומתריעה מפני </w:t>
      </w:r>
      <w:r w:rsidRPr="004547CD">
        <w:rPr>
          <w:rFonts w:cs="FrankRuehl" w:hint="eastAsia"/>
          <w:b/>
          <w:bCs/>
          <w:sz w:val="20"/>
          <w:szCs w:val="22"/>
          <w:rtl/>
        </w:rPr>
        <w:t>המגמה</w:t>
      </w:r>
      <w:r w:rsidRPr="004547CD">
        <w:rPr>
          <w:rFonts w:cs="FrankRuehl"/>
          <w:b/>
          <w:bCs/>
          <w:sz w:val="20"/>
          <w:szCs w:val="22"/>
          <w:rtl/>
        </w:rPr>
        <w:t xml:space="preserve"> </w:t>
      </w:r>
      <w:r w:rsidRPr="004547CD">
        <w:rPr>
          <w:rFonts w:cs="FrankRuehl" w:hint="eastAsia"/>
          <w:b/>
          <w:bCs/>
          <w:sz w:val="20"/>
          <w:szCs w:val="22"/>
          <w:rtl/>
        </w:rPr>
        <w:t>המטרידה</w:t>
      </w:r>
      <w:r w:rsidRPr="004547CD">
        <w:rPr>
          <w:rFonts w:cs="FrankRuehl"/>
          <w:b/>
          <w:bCs/>
          <w:sz w:val="20"/>
          <w:szCs w:val="22"/>
          <w:rtl/>
        </w:rPr>
        <w:t xml:space="preserve"> </w:t>
      </w:r>
      <w:r w:rsidRPr="004547CD">
        <w:rPr>
          <w:rFonts w:cs="FrankRuehl" w:hint="eastAsia"/>
          <w:b/>
          <w:bCs/>
          <w:sz w:val="20"/>
          <w:szCs w:val="22"/>
          <w:rtl/>
        </w:rPr>
        <w:t>של</w:t>
      </w:r>
      <w:r w:rsidRPr="004547CD">
        <w:rPr>
          <w:rFonts w:cs="FrankRuehl"/>
          <w:b/>
          <w:bCs/>
          <w:sz w:val="20"/>
          <w:szCs w:val="22"/>
          <w:rtl/>
        </w:rPr>
        <w:t xml:space="preserve"> </w:t>
      </w:r>
      <w:r w:rsidRPr="004547CD">
        <w:rPr>
          <w:rFonts w:cs="FrankRuehl" w:hint="eastAsia"/>
          <w:b/>
          <w:bCs/>
          <w:sz w:val="20"/>
          <w:szCs w:val="22"/>
          <w:rtl/>
        </w:rPr>
        <w:t>הגידול</w:t>
      </w:r>
      <w:r w:rsidRPr="004547CD">
        <w:rPr>
          <w:rFonts w:cs="FrankRuehl"/>
          <w:b/>
          <w:bCs/>
          <w:sz w:val="20"/>
          <w:szCs w:val="22"/>
          <w:rtl/>
        </w:rPr>
        <w:t xml:space="preserve"> </w:t>
      </w:r>
      <w:r w:rsidRPr="004547CD">
        <w:rPr>
          <w:rFonts w:cs="FrankRuehl" w:hint="eastAsia"/>
          <w:b/>
          <w:bCs/>
          <w:sz w:val="20"/>
          <w:szCs w:val="22"/>
          <w:rtl/>
        </w:rPr>
        <w:t>העקבי</w:t>
      </w:r>
      <w:r w:rsidRPr="004547CD">
        <w:rPr>
          <w:rFonts w:cs="FrankRuehl"/>
          <w:b/>
          <w:bCs/>
          <w:sz w:val="20"/>
          <w:szCs w:val="22"/>
          <w:rtl/>
        </w:rPr>
        <w:t xml:space="preserve"> </w:t>
      </w:r>
      <w:r w:rsidRPr="004547CD">
        <w:rPr>
          <w:rFonts w:cs="FrankRuehl" w:hint="eastAsia"/>
          <w:b/>
          <w:bCs/>
          <w:sz w:val="20"/>
          <w:szCs w:val="22"/>
          <w:rtl/>
        </w:rPr>
        <w:t>במספר</w:t>
      </w:r>
      <w:r w:rsidRPr="004547CD">
        <w:rPr>
          <w:rFonts w:cs="FrankRuehl"/>
          <w:b/>
          <w:bCs/>
          <w:sz w:val="20"/>
          <w:szCs w:val="22"/>
          <w:rtl/>
        </w:rPr>
        <w:t xml:space="preserve"> </w:t>
      </w:r>
      <w:r w:rsidRPr="004547CD">
        <w:rPr>
          <w:rFonts w:cs="FrankRuehl" w:hint="eastAsia"/>
          <w:b/>
          <w:bCs/>
          <w:sz w:val="20"/>
          <w:szCs w:val="22"/>
          <w:rtl/>
        </w:rPr>
        <w:t>המעצרים</w:t>
      </w:r>
      <w:r w:rsidRPr="004547CD">
        <w:rPr>
          <w:rFonts w:cs="FrankRuehl" w:hint="cs"/>
          <w:sz w:val="20"/>
          <w:szCs w:val="22"/>
          <w:rtl/>
        </w:rPr>
        <w:t xml:space="preserve">" (ההדגשה במקור). גם בדוח של הסניגוריה הציבורית מאוגוסט 2014 נכתב כי מספר המעצרים לצורכי חקירה ("מעצרי ימים") גדל בצורה משמעותית בעשור האחרון. עוד צוין בדוח כי בשני שלישים לערך ממעצרי הימים כלל לא מוגש כתב אישום כנגד העצור, ותיק החקירה שנפתח בעניינו נסגר מאוחר יותר. לדעת הסניגוריה הציבורית, הגידול בכמות המעצרים בשנים האחרונות מקורו ביעדים המוצהרים של משטרת ישראל, שמצאו את ביטויים ב"תכנית המפנה". לדעתה התכנית במתכונתה הנוכחית סותרת את העיקרון הבסיסי שהותווה בחוק המעצרים ובפסיקה, שלפיו המעצר לא צריך להיות כלי להרתעה ואינו יכול לשמש "מקדמה" על חשבון העונש. </w:t>
      </w:r>
      <w:r w:rsidRPr="004547CD">
        <w:rPr>
          <w:rFonts w:cs="FrankRuehl" w:hint="eastAsia"/>
          <w:sz w:val="20"/>
          <w:szCs w:val="22"/>
          <w:rtl/>
        </w:rPr>
        <w:t>לפי</w:t>
      </w:r>
      <w:r w:rsidRPr="004547CD">
        <w:rPr>
          <w:rFonts w:cs="FrankRuehl"/>
          <w:sz w:val="20"/>
          <w:szCs w:val="22"/>
          <w:rtl/>
        </w:rPr>
        <w:t xml:space="preserve"> </w:t>
      </w:r>
      <w:r w:rsidRPr="004547CD">
        <w:rPr>
          <w:rFonts w:cs="FrankRuehl" w:hint="eastAsia"/>
          <w:sz w:val="20"/>
          <w:szCs w:val="22"/>
          <w:rtl/>
        </w:rPr>
        <w:t>הסנ</w:t>
      </w:r>
      <w:r w:rsidRPr="004547CD">
        <w:rPr>
          <w:rFonts w:cs="FrankRuehl" w:hint="cs"/>
          <w:sz w:val="20"/>
          <w:szCs w:val="22"/>
          <w:rtl/>
        </w:rPr>
        <w:t>י</w:t>
      </w:r>
      <w:r w:rsidRPr="004547CD">
        <w:rPr>
          <w:rFonts w:cs="FrankRuehl" w:hint="eastAsia"/>
          <w:sz w:val="20"/>
          <w:szCs w:val="22"/>
          <w:rtl/>
        </w:rPr>
        <w:t>גוריה</w:t>
      </w:r>
      <w:r w:rsidRPr="004547CD">
        <w:rPr>
          <w:rFonts w:cs="FrankRuehl"/>
          <w:sz w:val="20"/>
          <w:szCs w:val="22"/>
          <w:rtl/>
        </w:rPr>
        <w:t xml:space="preserve"> </w:t>
      </w:r>
      <w:r w:rsidRPr="004547CD">
        <w:rPr>
          <w:rFonts w:cs="FrankRuehl" w:hint="cs"/>
          <w:sz w:val="20"/>
          <w:szCs w:val="22"/>
          <w:rtl/>
        </w:rPr>
        <w:t>"עולה</w:t>
      </w:r>
      <w:r w:rsidRPr="004547CD">
        <w:rPr>
          <w:rFonts w:cs="FrankRuehl"/>
          <w:sz w:val="20"/>
          <w:szCs w:val="22"/>
          <w:rtl/>
        </w:rPr>
        <w:t xml:space="preserve"> </w:t>
      </w:r>
      <w:r w:rsidRPr="004547CD">
        <w:rPr>
          <w:rFonts w:cs="FrankRuehl" w:hint="eastAsia"/>
          <w:sz w:val="20"/>
          <w:szCs w:val="22"/>
          <w:rtl/>
        </w:rPr>
        <w:t>חשש</w:t>
      </w:r>
      <w:r w:rsidRPr="004547CD">
        <w:rPr>
          <w:rFonts w:cs="FrankRuehl"/>
          <w:sz w:val="20"/>
          <w:szCs w:val="22"/>
          <w:rtl/>
        </w:rPr>
        <w:t xml:space="preserve"> </w:t>
      </w:r>
      <w:r w:rsidRPr="004547CD">
        <w:rPr>
          <w:rFonts w:cs="FrankRuehl" w:hint="eastAsia"/>
          <w:sz w:val="20"/>
          <w:szCs w:val="22"/>
          <w:rtl/>
        </w:rPr>
        <w:t>כי</w:t>
      </w:r>
      <w:r w:rsidRPr="004547CD">
        <w:rPr>
          <w:rFonts w:cs="FrankRuehl"/>
          <w:sz w:val="20"/>
          <w:szCs w:val="22"/>
          <w:rtl/>
        </w:rPr>
        <w:t xml:space="preserve"> </w:t>
      </w:r>
      <w:r w:rsidRPr="004547CD">
        <w:rPr>
          <w:rFonts w:cs="FrankRuehl" w:hint="eastAsia"/>
          <w:sz w:val="20"/>
          <w:szCs w:val="22"/>
          <w:rtl/>
        </w:rPr>
        <w:t>העמדת</w:t>
      </w:r>
      <w:r w:rsidRPr="004547CD">
        <w:rPr>
          <w:rFonts w:cs="FrankRuehl"/>
          <w:sz w:val="20"/>
          <w:szCs w:val="22"/>
          <w:rtl/>
        </w:rPr>
        <w:t xml:space="preserve"> </w:t>
      </w:r>
      <w:r w:rsidRPr="004547CD">
        <w:rPr>
          <w:rFonts w:cs="FrankRuehl" w:hint="eastAsia"/>
          <w:sz w:val="20"/>
          <w:szCs w:val="22"/>
          <w:rtl/>
        </w:rPr>
        <w:t>יעדים</w:t>
      </w:r>
      <w:r w:rsidRPr="004547CD">
        <w:rPr>
          <w:rFonts w:cs="FrankRuehl"/>
          <w:sz w:val="20"/>
          <w:szCs w:val="22"/>
          <w:rtl/>
        </w:rPr>
        <w:t xml:space="preserve"> </w:t>
      </w:r>
      <w:r w:rsidRPr="004547CD">
        <w:rPr>
          <w:rFonts w:cs="FrankRuehl" w:hint="eastAsia"/>
          <w:sz w:val="20"/>
          <w:szCs w:val="22"/>
          <w:rtl/>
        </w:rPr>
        <w:t>מספריים</w:t>
      </w:r>
      <w:r w:rsidRPr="004547CD">
        <w:rPr>
          <w:rFonts w:cs="FrankRuehl"/>
          <w:sz w:val="20"/>
          <w:szCs w:val="22"/>
          <w:rtl/>
        </w:rPr>
        <w:t xml:space="preserve"> </w:t>
      </w:r>
      <w:r w:rsidRPr="004547CD">
        <w:rPr>
          <w:rFonts w:cs="FrankRuehl" w:hint="eastAsia"/>
          <w:sz w:val="20"/>
          <w:szCs w:val="22"/>
          <w:rtl/>
        </w:rPr>
        <w:t>של</w:t>
      </w:r>
      <w:r w:rsidRPr="004547CD">
        <w:rPr>
          <w:rFonts w:cs="FrankRuehl"/>
          <w:sz w:val="20"/>
          <w:szCs w:val="22"/>
          <w:rtl/>
        </w:rPr>
        <w:t xml:space="preserve"> </w:t>
      </w:r>
      <w:r w:rsidRPr="004547CD">
        <w:rPr>
          <w:rFonts w:cs="FrankRuehl" w:hint="eastAsia"/>
          <w:sz w:val="20"/>
          <w:szCs w:val="22"/>
          <w:rtl/>
        </w:rPr>
        <w:t>מעצרים</w:t>
      </w:r>
      <w:r w:rsidRPr="004547CD">
        <w:rPr>
          <w:rFonts w:cs="FrankRuehl"/>
          <w:sz w:val="20"/>
          <w:szCs w:val="22"/>
          <w:rtl/>
        </w:rPr>
        <w:t xml:space="preserve"> </w:t>
      </w:r>
      <w:r w:rsidRPr="004547CD">
        <w:rPr>
          <w:rFonts w:cs="FrankRuehl" w:hint="eastAsia"/>
          <w:sz w:val="20"/>
          <w:szCs w:val="22"/>
          <w:rtl/>
        </w:rPr>
        <w:t>עד</w:t>
      </w:r>
      <w:r w:rsidRPr="004547CD">
        <w:rPr>
          <w:rFonts w:cs="FrankRuehl"/>
          <w:sz w:val="20"/>
          <w:szCs w:val="22"/>
          <w:rtl/>
        </w:rPr>
        <w:t xml:space="preserve"> </w:t>
      </w:r>
      <w:r w:rsidRPr="004547CD">
        <w:rPr>
          <w:rFonts w:cs="FrankRuehl" w:hint="eastAsia"/>
          <w:sz w:val="20"/>
          <w:szCs w:val="22"/>
          <w:rtl/>
        </w:rPr>
        <w:t>תום</w:t>
      </w:r>
      <w:r w:rsidRPr="004547CD">
        <w:rPr>
          <w:rFonts w:cs="FrankRuehl"/>
          <w:sz w:val="20"/>
          <w:szCs w:val="22"/>
          <w:rtl/>
        </w:rPr>
        <w:t xml:space="preserve"> </w:t>
      </w:r>
      <w:r w:rsidRPr="004547CD">
        <w:rPr>
          <w:rFonts w:cs="FrankRuehl" w:hint="eastAsia"/>
          <w:sz w:val="20"/>
          <w:szCs w:val="22"/>
          <w:rtl/>
        </w:rPr>
        <w:t>ההליכים</w:t>
      </w:r>
      <w:r w:rsidRPr="004547CD">
        <w:rPr>
          <w:rFonts w:cs="FrankRuehl"/>
          <w:sz w:val="20"/>
          <w:szCs w:val="22"/>
          <w:rtl/>
        </w:rPr>
        <w:t xml:space="preserve"> </w:t>
      </w:r>
      <w:r w:rsidRPr="004547CD">
        <w:rPr>
          <w:rFonts w:cs="FrankRuehl" w:hint="eastAsia"/>
          <w:sz w:val="20"/>
          <w:szCs w:val="22"/>
          <w:rtl/>
        </w:rPr>
        <w:t>יוצרת</w:t>
      </w:r>
      <w:r w:rsidRPr="004547CD">
        <w:rPr>
          <w:rFonts w:cs="FrankRuehl"/>
          <w:sz w:val="20"/>
          <w:szCs w:val="22"/>
          <w:rtl/>
        </w:rPr>
        <w:t xml:space="preserve"> </w:t>
      </w:r>
      <w:r w:rsidRPr="004547CD">
        <w:rPr>
          <w:rFonts w:cs="FrankRuehl" w:hint="eastAsia"/>
          <w:sz w:val="20"/>
          <w:szCs w:val="22"/>
          <w:rtl/>
        </w:rPr>
        <w:t>בקרב</w:t>
      </w:r>
      <w:r w:rsidRPr="004547CD">
        <w:rPr>
          <w:rFonts w:cs="FrankRuehl"/>
          <w:sz w:val="20"/>
          <w:szCs w:val="22"/>
          <w:rtl/>
        </w:rPr>
        <w:t xml:space="preserve"> </w:t>
      </w:r>
      <w:r w:rsidRPr="004547CD">
        <w:rPr>
          <w:rFonts w:cs="FrankRuehl" w:hint="eastAsia"/>
          <w:sz w:val="20"/>
          <w:szCs w:val="22"/>
          <w:rtl/>
        </w:rPr>
        <w:t>דרגי</w:t>
      </w:r>
      <w:r w:rsidRPr="004547CD">
        <w:rPr>
          <w:rFonts w:cs="FrankRuehl"/>
          <w:sz w:val="20"/>
          <w:szCs w:val="22"/>
          <w:rtl/>
        </w:rPr>
        <w:t xml:space="preserve"> </w:t>
      </w:r>
      <w:r w:rsidRPr="004547CD">
        <w:rPr>
          <w:rFonts w:cs="FrankRuehl" w:hint="eastAsia"/>
          <w:sz w:val="20"/>
          <w:szCs w:val="22"/>
          <w:rtl/>
        </w:rPr>
        <w:t>השטח</w:t>
      </w:r>
      <w:r w:rsidRPr="004547CD">
        <w:rPr>
          <w:rFonts w:cs="FrankRuehl"/>
          <w:sz w:val="20"/>
          <w:szCs w:val="22"/>
          <w:rtl/>
        </w:rPr>
        <w:t xml:space="preserve"> </w:t>
      </w:r>
      <w:r w:rsidRPr="004547CD">
        <w:rPr>
          <w:rFonts w:cs="FrankRuehl" w:hint="eastAsia"/>
          <w:sz w:val="20"/>
          <w:szCs w:val="22"/>
          <w:rtl/>
        </w:rPr>
        <w:t>את</w:t>
      </w:r>
      <w:r w:rsidRPr="004547CD">
        <w:rPr>
          <w:rFonts w:cs="FrankRuehl"/>
          <w:sz w:val="20"/>
          <w:szCs w:val="22"/>
          <w:rtl/>
        </w:rPr>
        <w:t xml:space="preserve"> </w:t>
      </w:r>
      <w:r w:rsidRPr="004547CD">
        <w:rPr>
          <w:rFonts w:cs="FrankRuehl" w:hint="eastAsia"/>
          <w:sz w:val="20"/>
          <w:szCs w:val="22"/>
          <w:rtl/>
        </w:rPr>
        <w:t>המוטיבציה</w:t>
      </w:r>
      <w:r w:rsidRPr="004547CD">
        <w:rPr>
          <w:rFonts w:cs="FrankRuehl"/>
          <w:sz w:val="20"/>
          <w:szCs w:val="22"/>
          <w:rtl/>
        </w:rPr>
        <w:t xml:space="preserve"> </w:t>
      </w:r>
      <w:r w:rsidRPr="004547CD">
        <w:rPr>
          <w:rFonts w:cs="FrankRuehl" w:hint="eastAsia"/>
          <w:sz w:val="20"/>
          <w:szCs w:val="22"/>
          <w:rtl/>
        </w:rPr>
        <w:t>לביצוע</w:t>
      </w:r>
      <w:r w:rsidRPr="004547CD">
        <w:rPr>
          <w:rFonts w:cs="FrankRuehl"/>
          <w:sz w:val="20"/>
          <w:szCs w:val="22"/>
          <w:rtl/>
        </w:rPr>
        <w:t xml:space="preserve"> </w:t>
      </w:r>
      <w:r w:rsidRPr="004547CD">
        <w:rPr>
          <w:rFonts w:cs="FrankRuehl" w:hint="eastAsia"/>
          <w:sz w:val="20"/>
          <w:szCs w:val="22"/>
          <w:rtl/>
        </w:rPr>
        <w:t>מעצרים</w:t>
      </w:r>
      <w:r w:rsidRPr="004547CD">
        <w:rPr>
          <w:rFonts w:cs="FrankRuehl"/>
          <w:sz w:val="20"/>
          <w:szCs w:val="22"/>
          <w:rtl/>
        </w:rPr>
        <w:t xml:space="preserve"> </w:t>
      </w:r>
      <w:r w:rsidRPr="004547CD">
        <w:rPr>
          <w:rFonts w:cs="FrankRuehl" w:hint="eastAsia"/>
          <w:sz w:val="20"/>
          <w:szCs w:val="22"/>
          <w:rtl/>
        </w:rPr>
        <w:t>מיותרים</w:t>
      </w:r>
      <w:r w:rsidRPr="004547CD">
        <w:rPr>
          <w:rFonts w:cs="FrankRuehl" w:hint="cs"/>
          <w:sz w:val="20"/>
          <w:szCs w:val="22"/>
          <w:rtl/>
        </w:rPr>
        <w:t>".</w:t>
      </w:r>
      <w:r w:rsidRPr="004547CD">
        <w:rPr>
          <w:rFonts w:cs="FrankRuehl"/>
          <w:sz w:val="20"/>
          <w:szCs w:val="22"/>
          <w:rtl/>
        </w:rPr>
        <w:t xml:space="preserve"> </w:t>
      </w:r>
    </w:p>
    <w:p w:rsidR="006259B3" w:rsidRPr="004547CD" w:rsidP="008A6D26">
      <w:pPr>
        <w:spacing w:after="120" w:line="230" w:lineRule="exact"/>
        <w:jc w:val="both"/>
        <w:rPr>
          <w:rFonts w:cs="FrankRuehl"/>
          <w:sz w:val="20"/>
          <w:szCs w:val="22"/>
          <w:rtl/>
        </w:rPr>
      </w:pPr>
      <w:r w:rsidRPr="004547CD">
        <w:rPr>
          <w:rFonts w:cs="FrankRuehl" w:hint="eastAsia"/>
          <w:sz w:val="20"/>
          <w:szCs w:val="22"/>
          <w:rtl/>
        </w:rPr>
        <w:t>המשטרה</w:t>
      </w:r>
      <w:r w:rsidRPr="004547CD">
        <w:rPr>
          <w:rFonts w:cs="FrankRuehl"/>
          <w:sz w:val="20"/>
          <w:szCs w:val="22"/>
          <w:rtl/>
        </w:rPr>
        <w:t xml:space="preserve"> </w:t>
      </w:r>
      <w:r w:rsidRPr="004547CD">
        <w:rPr>
          <w:rFonts w:cs="FrankRuehl" w:hint="cs"/>
          <w:sz w:val="20"/>
          <w:szCs w:val="22"/>
          <w:rtl/>
        </w:rPr>
        <w:t xml:space="preserve">כתבה </w:t>
      </w:r>
      <w:r w:rsidRPr="004547CD">
        <w:rPr>
          <w:rFonts w:cs="FrankRuehl" w:hint="eastAsia"/>
          <w:sz w:val="20"/>
          <w:szCs w:val="22"/>
          <w:rtl/>
        </w:rPr>
        <w:t>בתשובתה</w:t>
      </w:r>
      <w:r w:rsidRPr="004547CD">
        <w:rPr>
          <w:rFonts w:cs="FrankRuehl"/>
          <w:sz w:val="20"/>
          <w:szCs w:val="22"/>
          <w:rtl/>
        </w:rPr>
        <w:t xml:space="preserve"> </w:t>
      </w:r>
      <w:r w:rsidRPr="004547CD">
        <w:rPr>
          <w:rFonts w:cs="FrankRuehl" w:hint="eastAsia"/>
          <w:sz w:val="20"/>
          <w:szCs w:val="22"/>
          <w:rtl/>
        </w:rPr>
        <w:t>למשרד</w:t>
      </w:r>
      <w:r w:rsidRPr="004547CD">
        <w:rPr>
          <w:rFonts w:cs="FrankRuehl"/>
          <w:sz w:val="20"/>
          <w:szCs w:val="22"/>
          <w:rtl/>
        </w:rPr>
        <w:t xml:space="preserve"> </w:t>
      </w:r>
      <w:r w:rsidRPr="004547CD">
        <w:rPr>
          <w:rFonts w:cs="FrankRuehl" w:hint="eastAsia"/>
          <w:sz w:val="20"/>
          <w:szCs w:val="22"/>
          <w:rtl/>
        </w:rPr>
        <w:t>מבקר</w:t>
      </w:r>
      <w:r w:rsidRPr="004547CD">
        <w:rPr>
          <w:rFonts w:cs="FrankRuehl"/>
          <w:sz w:val="20"/>
          <w:szCs w:val="22"/>
          <w:rtl/>
        </w:rPr>
        <w:t xml:space="preserve"> </w:t>
      </w:r>
      <w:r w:rsidRPr="004547CD">
        <w:rPr>
          <w:rFonts w:cs="FrankRuehl" w:hint="eastAsia"/>
          <w:sz w:val="20"/>
          <w:szCs w:val="22"/>
          <w:rtl/>
        </w:rPr>
        <w:t>המדינה</w:t>
      </w:r>
      <w:r w:rsidRPr="004547CD">
        <w:rPr>
          <w:rFonts w:cs="FrankRuehl"/>
          <w:sz w:val="20"/>
          <w:szCs w:val="22"/>
          <w:rtl/>
        </w:rPr>
        <w:t xml:space="preserve"> </w:t>
      </w:r>
      <w:r w:rsidRPr="004547CD">
        <w:rPr>
          <w:rFonts w:cs="FrankRuehl" w:hint="eastAsia"/>
          <w:sz w:val="20"/>
          <w:szCs w:val="22"/>
          <w:rtl/>
        </w:rPr>
        <w:t>מדצמבר</w:t>
      </w:r>
      <w:r w:rsidRPr="004547CD">
        <w:rPr>
          <w:rFonts w:cs="FrankRuehl"/>
          <w:sz w:val="20"/>
          <w:szCs w:val="22"/>
          <w:rtl/>
        </w:rPr>
        <w:t xml:space="preserve"> 2014</w:t>
      </w:r>
      <w:r w:rsidRPr="004547CD">
        <w:rPr>
          <w:rFonts w:cs="FrankRuehl" w:hint="cs"/>
          <w:sz w:val="20"/>
          <w:szCs w:val="22"/>
          <w:rtl/>
        </w:rPr>
        <w:t>,</w:t>
      </w:r>
      <w:r w:rsidRPr="004547CD">
        <w:rPr>
          <w:rFonts w:cs="FrankRuehl"/>
          <w:sz w:val="20"/>
          <w:szCs w:val="22"/>
          <w:rtl/>
        </w:rPr>
        <w:t xml:space="preserve"> </w:t>
      </w:r>
      <w:r w:rsidRPr="004547CD">
        <w:rPr>
          <w:rFonts w:cs="FrankRuehl" w:hint="eastAsia"/>
          <w:sz w:val="20"/>
          <w:szCs w:val="22"/>
          <w:rtl/>
        </w:rPr>
        <w:t>כי</w:t>
      </w:r>
      <w:r w:rsidRPr="004547CD">
        <w:rPr>
          <w:rFonts w:cs="FrankRuehl"/>
          <w:sz w:val="20"/>
          <w:szCs w:val="22"/>
          <w:rtl/>
        </w:rPr>
        <w:t xml:space="preserve"> העלייה בכמות המעצרים מעידה על עלייה באכיפה וכך גם העלייה הכוללת ב</w:t>
      </w:r>
      <w:r w:rsidRPr="004547CD">
        <w:rPr>
          <w:rFonts w:cs="FrankRuehl" w:hint="cs"/>
          <w:sz w:val="20"/>
          <w:szCs w:val="22"/>
          <w:rtl/>
        </w:rPr>
        <w:t>מספר</w:t>
      </w:r>
      <w:r w:rsidRPr="004547CD">
        <w:rPr>
          <w:rFonts w:cs="FrankRuehl"/>
          <w:sz w:val="20"/>
          <w:szCs w:val="22"/>
          <w:rtl/>
        </w:rPr>
        <w:t xml:space="preserve"> כתבי האישום</w:t>
      </w:r>
      <w:r w:rsidRPr="004547CD">
        <w:rPr>
          <w:rFonts w:cs="FrankRuehl" w:hint="cs"/>
          <w:sz w:val="20"/>
          <w:szCs w:val="22"/>
          <w:rtl/>
        </w:rPr>
        <w:t xml:space="preserve"> ובחלקם היחסי מתוך כלל המעצרים. היא הוסיפה כי </w:t>
      </w:r>
      <w:r w:rsidRPr="004547CD">
        <w:rPr>
          <w:rFonts w:cs="FrankRuehl" w:hint="eastAsia"/>
          <w:sz w:val="20"/>
          <w:szCs w:val="22"/>
          <w:rtl/>
        </w:rPr>
        <w:t>נתוני</w:t>
      </w:r>
      <w:r w:rsidRPr="004547CD">
        <w:rPr>
          <w:rFonts w:cs="FrankRuehl"/>
          <w:sz w:val="20"/>
          <w:szCs w:val="22"/>
          <w:rtl/>
        </w:rPr>
        <w:t xml:space="preserve"> שב"ס אינם רלוונטיים ביחס לאפיון איכות החקירה של </w:t>
      </w:r>
      <w:r w:rsidRPr="004547CD">
        <w:rPr>
          <w:rFonts w:cs="FrankRuehl" w:hint="cs"/>
          <w:sz w:val="20"/>
          <w:szCs w:val="22"/>
          <w:rtl/>
        </w:rPr>
        <w:t>המשטרה, וכן שהיא</w:t>
      </w:r>
      <w:r w:rsidRPr="004547CD">
        <w:rPr>
          <w:rFonts w:cs="FrankRuehl"/>
          <w:sz w:val="20"/>
          <w:szCs w:val="22"/>
          <w:rtl/>
        </w:rPr>
        <w:t xml:space="preserve"> </w:t>
      </w:r>
      <w:r w:rsidRPr="004547CD">
        <w:rPr>
          <w:rFonts w:cs="FrankRuehl" w:hint="eastAsia"/>
          <w:sz w:val="20"/>
          <w:szCs w:val="22"/>
          <w:rtl/>
        </w:rPr>
        <w:t>בוחנת</w:t>
      </w:r>
      <w:r w:rsidRPr="004547CD">
        <w:rPr>
          <w:rFonts w:cs="FrankRuehl"/>
          <w:sz w:val="20"/>
          <w:szCs w:val="22"/>
          <w:rtl/>
        </w:rPr>
        <w:t xml:space="preserve"> </w:t>
      </w:r>
      <w:r w:rsidRPr="004547CD">
        <w:rPr>
          <w:rFonts w:cs="FrankRuehl" w:hint="eastAsia"/>
          <w:sz w:val="20"/>
          <w:szCs w:val="22"/>
          <w:rtl/>
        </w:rPr>
        <w:t>באופן</w:t>
      </w:r>
      <w:r w:rsidRPr="004547CD">
        <w:rPr>
          <w:rFonts w:cs="FrankRuehl"/>
          <w:sz w:val="20"/>
          <w:szCs w:val="22"/>
          <w:rtl/>
        </w:rPr>
        <w:t xml:space="preserve"> </w:t>
      </w:r>
      <w:r w:rsidRPr="004547CD">
        <w:rPr>
          <w:rFonts w:cs="FrankRuehl" w:hint="eastAsia"/>
          <w:sz w:val="20"/>
          <w:szCs w:val="22"/>
          <w:rtl/>
        </w:rPr>
        <w:t>שוטף</w:t>
      </w:r>
      <w:r w:rsidRPr="004547CD">
        <w:rPr>
          <w:rFonts w:cs="FrankRuehl"/>
          <w:sz w:val="20"/>
          <w:szCs w:val="22"/>
          <w:rtl/>
        </w:rPr>
        <w:t xml:space="preserve"> </w:t>
      </w:r>
      <w:r w:rsidRPr="004547CD">
        <w:rPr>
          <w:rFonts w:cs="FrankRuehl" w:hint="eastAsia"/>
          <w:sz w:val="20"/>
          <w:szCs w:val="22"/>
          <w:rtl/>
        </w:rPr>
        <w:t>את</w:t>
      </w:r>
      <w:r w:rsidRPr="004547CD">
        <w:rPr>
          <w:rFonts w:cs="FrankRuehl"/>
          <w:sz w:val="20"/>
          <w:szCs w:val="22"/>
          <w:rtl/>
        </w:rPr>
        <w:t xml:space="preserve"> </w:t>
      </w:r>
      <w:r w:rsidRPr="004547CD">
        <w:rPr>
          <w:rFonts w:cs="FrankRuehl" w:hint="eastAsia"/>
          <w:sz w:val="20"/>
          <w:szCs w:val="22"/>
          <w:rtl/>
        </w:rPr>
        <w:t>מכלול</w:t>
      </w:r>
      <w:r w:rsidRPr="004547CD">
        <w:rPr>
          <w:rFonts w:cs="FrankRuehl"/>
          <w:sz w:val="20"/>
          <w:szCs w:val="22"/>
          <w:rtl/>
        </w:rPr>
        <w:t xml:space="preserve"> </w:t>
      </w:r>
      <w:r w:rsidRPr="004547CD">
        <w:rPr>
          <w:rFonts w:cs="FrankRuehl" w:hint="eastAsia"/>
          <w:sz w:val="20"/>
          <w:szCs w:val="22"/>
          <w:rtl/>
        </w:rPr>
        <w:t>פעולותיה</w:t>
      </w:r>
      <w:r w:rsidRPr="004547CD">
        <w:rPr>
          <w:rFonts w:cs="FrankRuehl"/>
          <w:sz w:val="20"/>
          <w:szCs w:val="22"/>
          <w:rtl/>
        </w:rPr>
        <w:t xml:space="preserve">, </w:t>
      </w:r>
      <w:r w:rsidRPr="004547CD">
        <w:rPr>
          <w:rFonts w:cs="FrankRuehl" w:hint="eastAsia"/>
          <w:sz w:val="20"/>
          <w:szCs w:val="22"/>
          <w:rtl/>
        </w:rPr>
        <w:t>לרבות</w:t>
      </w:r>
      <w:r w:rsidRPr="004547CD">
        <w:rPr>
          <w:rFonts w:cs="FrankRuehl"/>
          <w:sz w:val="20"/>
          <w:szCs w:val="22"/>
          <w:rtl/>
        </w:rPr>
        <w:t xml:space="preserve"> </w:t>
      </w:r>
      <w:r w:rsidRPr="004547CD">
        <w:rPr>
          <w:rFonts w:cs="FrankRuehl" w:hint="cs"/>
          <w:sz w:val="20"/>
          <w:szCs w:val="22"/>
          <w:rtl/>
        </w:rPr>
        <w:t xml:space="preserve">את </w:t>
      </w:r>
      <w:r w:rsidRPr="004547CD">
        <w:rPr>
          <w:rFonts w:cs="FrankRuehl" w:hint="eastAsia"/>
          <w:sz w:val="20"/>
          <w:szCs w:val="22"/>
          <w:rtl/>
        </w:rPr>
        <w:t>איכות</w:t>
      </w:r>
      <w:r w:rsidRPr="004547CD">
        <w:rPr>
          <w:rFonts w:cs="FrankRuehl"/>
          <w:sz w:val="20"/>
          <w:szCs w:val="22"/>
          <w:rtl/>
        </w:rPr>
        <w:t xml:space="preserve"> </w:t>
      </w:r>
      <w:r w:rsidRPr="004547CD">
        <w:rPr>
          <w:rFonts w:cs="FrankRuehl" w:hint="eastAsia"/>
          <w:sz w:val="20"/>
          <w:szCs w:val="22"/>
          <w:rtl/>
        </w:rPr>
        <w:t>המעצרים</w:t>
      </w:r>
      <w:r w:rsidRPr="004547CD">
        <w:rPr>
          <w:rFonts w:cs="FrankRuehl"/>
          <w:sz w:val="20"/>
          <w:szCs w:val="22"/>
          <w:rtl/>
        </w:rPr>
        <w:t>. לדעת</w:t>
      </w:r>
      <w:r w:rsidRPr="004547CD">
        <w:rPr>
          <w:rFonts w:cs="FrankRuehl" w:hint="cs"/>
          <w:sz w:val="20"/>
          <w:szCs w:val="22"/>
          <w:rtl/>
        </w:rPr>
        <w:t>ה,</w:t>
      </w:r>
      <w:r w:rsidRPr="004547CD">
        <w:rPr>
          <w:rFonts w:cs="FrankRuehl"/>
          <w:sz w:val="20"/>
          <w:szCs w:val="22"/>
          <w:rtl/>
        </w:rPr>
        <w:t xml:space="preserve"> </w:t>
      </w:r>
      <w:r w:rsidRPr="004547CD">
        <w:rPr>
          <w:rFonts w:cs="FrankRuehl" w:hint="cs"/>
          <w:sz w:val="20"/>
          <w:szCs w:val="22"/>
          <w:rtl/>
        </w:rPr>
        <w:t xml:space="preserve">אין די בטענה </w:t>
      </w:r>
      <w:r w:rsidRPr="004547CD">
        <w:rPr>
          <w:rFonts w:cs="FrankRuehl"/>
          <w:sz w:val="20"/>
          <w:szCs w:val="22"/>
          <w:rtl/>
        </w:rPr>
        <w:t>הכללית</w:t>
      </w:r>
      <w:r w:rsidRPr="004547CD">
        <w:rPr>
          <w:rFonts w:cs="FrankRuehl" w:hint="cs"/>
          <w:sz w:val="20"/>
          <w:szCs w:val="22"/>
          <w:rtl/>
        </w:rPr>
        <w:t xml:space="preserve"> כי </w:t>
      </w:r>
      <w:r w:rsidRPr="004547CD">
        <w:rPr>
          <w:rFonts w:cs="FrankRuehl"/>
          <w:sz w:val="20"/>
          <w:szCs w:val="22"/>
          <w:rtl/>
        </w:rPr>
        <w:t>יש עלייה בכמות המעצרים</w:t>
      </w:r>
      <w:r w:rsidRPr="004547CD">
        <w:rPr>
          <w:rFonts w:cs="FrankRuehl" w:hint="cs"/>
          <w:sz w:val="20"/>
          <w:szCs w:val="22"/>
          <w:rtl/>
        </w:rPr>
        <w:t>,</w:t>
      </w:r>
      <w:r w:rsidRPr="004547CD">
        <w:rPr>
          <w:rFonts w:cs="FrankRuehl"/>
          <w:sz w:val="20"/>
          <w:szCs w:val="22"/>
          <w:rtl/>
        </w:rPr>
        <w:t xml:space="preserve"> והבחינה </w:t>
      </w:r>
      <w:r w:rsidRPr="004547CD">
        <w:rPr>
          <w:rFonts w:cs="FrankRuehl" w:hint="eastAsia"/>
          <w:sz w:val="20"/>
          <w:szCs w:val="22"/>
          <w:rtl/>
        </w:rPr>
        <w:t>הנד</w:t>
      </w:r>
      <w:r w:rsidRPr="004547CD">
        <w:rPr>
          <w:rFonts w:cs="FrankRuehl" w:hint="cs"/>
          <w:sz w:val="20"/>
          <w:szCs w:val="22"/>
          <w:rtl/>
        </w:rPr>
        <w:t>ר</w:t>
      </w:r>
      <w:r w:rsidRPr="004547CD">
        <w:rPr>
          <w:rFonts w:cs="FrankRuehl" w:hint="eastAsia"/>
          <w:sz w:val="20"/>
          <w:szCs w:val="22"/>
          <w:rtl/>
        </w:rPr>
        <w:t>שת</w:t>
      </w:r>
      <w:r w:rsidRPr="004547CD">
        <w:rPr>
          <w:rFonts w:cs="FrankRuehl"/>
          <w:sz w:val="20"/>
          <w:szCs w:val="22"/>
          <w:rtl/>
        </w:rPr>
        <w:t xml:space="preserve"> היא של איכות המעצרים.</w:t>
      </w:r>
      <w:r w:rsidRPr="004547CD">
        <w:rPr>
          <w:rFonts w:cs="FrankRuehl" w:hint="cs"/>
          <w:sz w:val="20"/>
          <w:szCs w:val="22"/>
          <w:rtl/>
        </w:rPr>
        <w:t xml:space="preserve"> המשרד לבט"פ</w:t>
      </w:r>
      <w:r w:rsidRPr="004547CD">
        <w:rPr>
          <w:rFonts w:cs="FrankRuehl"/>
          <w:sz w:val="20"/>
          <w:szCs w:val="22"/>
          <w:rtl/>
        </w:rPr>
        <w:t xml:space="preserve"> </w:t>
      </w:r>
      <w:r w:rsidRPr="004547CD">
        <w:rPr>
          <w:rFonts w:cs="FrankRuehl" w:hint="cs"/>
          <w:sz w:val="20"/>
          <w:szCs w:val="22"/>
          <w:rtl/>
        </w:rPr>
        <w:t>ו</w:t>
      </w:r>
      <w:r w:rsidRPr="004547CD">
        <w:rPr>
          <w:rFonts w:cs="FrankRuehl"/>
          <w:sz w:val="20"/>
          <w:szCs w:val="22"/>
          <w:rtl/>
        </w:rPr>
        <w:t xml:space="preserve">המשטרה </w:t>
      </w:r>
      <w:r w:rsidRPr="004547CD">
        <w:rPr>
          <w:rFonts w:cs="FrankRuehl" w:hint="cs"/>
          <w:sz w:val="20"/>
          <w:szCs w:val="22"/>
          <w:rtl/>
        </w:rPr>
        <w:t xml:space="preserve">כתבו </w:t>
      </w:r>
      <w:r w:rsidRPr="004547CD">
        <w:rPr>
          <w:rFonts w:cs="FrankRuehl"/>
          <w:sz w:val="20"/>
          <w:szCs w:val="22"/>
          <w:rtl/>
        </w:rPr>
        <w:t>בתשוב</w:t>
      </w:r>
      <w:r w:rsidRPr="004547CD">
        <w:rPr>
          <w:rFonts w:cs="FrankRuehl" w:hint="cs"/>
          <w:sz w:val="20"/>
          <w:szCs w:val="22"/>
          <w:rtl/>
        </w:rPr>
        <w:t>ו</w:t>
      </w:r>
      <w:r w:rsidRPr="004547CD">
        <w:rPr>
          <w:rFonts w:cs="FrankRuehl"/>
          <w:sz w:val="20"/>
          <w:szCs w:val="22"/>
          <w:rtl/>
        </w:rPr>
        <w:t>ת</w:t>
      </w:r>
      <w:r w:rsidRPr="004547CD">
        <w:rPr>
          <w:rFonts w:cs="FrankRuehl" w:hint="cs"/>
          <w:sz w:val="20"/>
          <w:szCs w:val="22"/>
          <w:rtl/>
        </w:rPr>
        <w:t>י</w:t>
      </w:r>
      <w:r w:rsidRPr="004547CD">
        <w:rPr>
          <w:rFonts w:cs="FrankRuehl"/>
          <w:sz w:val="20"/>
          <w:szCs w:val="22"/>
          <w:rtl/>
        </w:rPr>
        <w:t>ה</w:t>
      </w:r>
      <w:r w:rsidRPr="004547CD">
        <w:rPr>
          <w:rFonts w:cs="FrankRuehl" w:hint="cs"/>
          <w:sz w:val="20"/>
          <w:szCs w:val="22"/>
          <w:rtl/>
        </w:rPr>
        <w:t>ם</w:t>
      </w:r>
      <w:r w:rsidRPr="004547CD">
        <w:rPr>
          <w:rFonts w:cs="FrankRuehl"/>
          <w:sz w:val="20"/>
          <w:szCs w:val="22"/>
          <w:rtl/>
        </w:rPr>
        <w:t xml:space="preserve"> </w:t>
      </w:r>
      <w:r w:rsidRPr="004547CD">
        <w:rPr>
          <w:rFonts w:cs="FrankRuehl" w:hint="eastAsia"/>
          <w:sz w:val="20"/>
          <w:szCs w:val="22"/>
          <w:rtl/>
        </w:rPr>
        <w:t>כי</w:t>
      </w:r>
      <w:r w:rsidRPr="004547CD">
        <w:rPr>
          <w:rFonts w:cs="FrankRuehl" w:hint="cs"/>
          <w:sz w:val="20"/>
          <w:szCs w:val="22"/>
          <w:rtl/>
        </w:rPr>
        <w:t xml:space="preserve"> </w:t>
      </w:r>
      <w:r w:rsidRPr="004547CD">
        <w:rPr>
          <w:rFonts w:cs="FrankRuehl"/>
          <w:sz w:val="20"/>
          <w:szCs w:val="22"/>
          <w:rtl/>
        </w:rPr>
        <w:t>מתבצעת עבודת מטה לשם גיבוש מדד אשר ישקף את איכות המעצרים המבוצעים ע"י היחידות. מדובר בנושא מורכב מאוד מאחר ושיקו</w:t>
      </w:r>
      <w:r w:rsidRPr="004547CD">
        <w:rPr>
          <w:rFonts w:cs="FrankRuehl" w:hint="cs"/>
          <w:sz w:val="20"/>
          <w:szCs w:val="22"/>
          <w:rtl/>
        </w:rPr>
        <w:t>ל</w:t>
      </w:r>
      <w:r w:rsidRPr="004547CD">
        <w:rPr>
          <w:rFonts w:cs="FrankRuehl" w:hint="eastAsia"/>
          <w:sz w:val="20"/>
          <w:szCs w:val="22"/>
          <w:rtl/>
        </w:rPr>
        <w:t>י</w:t>
      </w:r>
      <w:r w:rsidRPr="004547CD">
        <w:rPr>
          <w:rFonts w:cs="FrankRuehl"/>
          <w:sz w:val="20"/>
          <w:szCs w:val="22"/>
          <w:rtl/>
        </w:rPr>
        <w:t xml:space="preserve"> </w:t>
      </w:r>
      <w:r w:rsidRPr="004547CD">
        <w:rPr>
          <w:rFonts w:cs="FrankRuehl" w:hint="eastAsia"/>
          <w:sz w:val="20"/>
          <w:szCs w:val="22"/>
          <w:rtl/>
        </w:rPr>
        <w:t>המעצר</w:t>
      </w:r>
      <w:r w:rsidRPr="004547CD">
        <w:rPr>
          <w:rFonts w:cs="FrankRuehl"/>
          <w:sz w:val="20"/>
          <w:szCs w:val="22"/>
          <w:rtl/>
        </w:rPr>
        <w:t xml:space="preserve"> </w:t>
      </w:r>
      <w:r w:rsidRPr="004547CD">
        <w:rPr>
          <w:rFonts w:cs="FrankRuehl" w:hint="eastAsia"/>
          <w:sz w:val="20"/>
          <w:szCs w:val="22"/>
          <w:rtl/>
        </w:rPr>
        <w:t>הנם</w:t>
      </w:r>
      <w:r w:rsidRPr="004547CD">
        <w:rPr>
          <w:rFonts w:cs="FrankRuehl"/>
          <w:sz w:val="20"/>
          <w:szCs w:val="22"/>
          <w:rtl/>
        </w:rPr>
        <w:t xml:space="preserve"> </w:t>
      </w:r>
      <w:r w:rsidRPr="004547CD">
        <w:rPr>
          <w:rFonts w:cs="FrankRuehl" w:hint="eastAsia"/>
          <w:sz w:val="20"/>
          <w:szCs w:val="22"/>
          <w:rtl/>
        </w:rPr>
        <w:t>רבים</w:t>
      </w:r>
      <w:r w:rsidRPr="004547CD">
        <w:rPr>
          <w:rFonts w:cs="FrankRuehl"/>
          <w:sz w:val="20"/>
          <w:szCs w:val="22"/>
          <w:rtl/>
        </w:rPr>
        <w:t xml:space="preserve"> </w:t>
      </w:r>
      <w:r w:rsidRPr="004547CD">
        <w:rPr>
          <w:rFonts w:cs="FrankRuehl" w:hint="eastAsia"/>
          <w:sz w:val="20"/>
          <w:szCs w:val="22"/>
          <w:rtl/>
        </w:rPr>
        <w:t>ומורכבים</w:t>
      </w:r>
      <w:r w:rsidRPr="004547CD">
        <w:rPr>
          <w:rFonts w:cs="FrankRuehl"/>
          <w:sz w:val="20"/>
          <w:szCs w:val="22"/>
          <w:rtl/>
        </w:rPr>
        <w:t>.</w:t>
      </w:r>
      <w:r w:rsidRPr="004547CD">
        <w:rPr>
          <w:rFonts w:cs="FrankRuehl" w:hint="cs"/>
          <w:sz w:val="20"/>
          <w:szCs w:val="22"/>
          <w:rtl/>
        </w:rPr>
        <w:t xml:space="preserve"> המדד הוצג על ידי המשטרה למשרד ולשב"ס והוא אמור להיכנס לשימוש בשנת 2015.</w:t>
      </w:r>
    </w:p>
    <w:p w:rsidR="006259B3" w:rsidRPr="004547CD" w:rsidP="00E62E82">
      <w:pPr>
        <w:spacing w:after="240" w:line="230" w:lineRule="exact"/>
        <w:jc w:val="both"/>
        <w:rPr>
          <w:rFonts w:cs="FrankRuehl"/>
          <w:sz w:val="20"/>
          <w:szCs w:val="22"/>
          <w:rtl/>
        </w:rPr>
      </w:pPr>
      <w:r w:rsidRPr="004547CD">
        <w:rPr>
          <w:rFonts w:cs="FrankRuehl" w:hint="cs"/>
          <w:sz w:val="20"/>
          <w:szCs w:val="22"/>
          <w:rtl/>
        </w:rPr>
        <w:t>המשרד לבט"פ הוסיף עוד כי היקף המעצרים המבוצע על ידי משטרת ישראל הוא פועל יוצא של הפעילות המבצעית של המשטרה.</w:t>
      </w:r>
    </w:p>
    <w:p w:rsidR="006259B3" w:rsidRPr="004547CD" w:rsidP="00E62E82">
      <w:pPr>
        <w:pStyle w:val="RESHET"/>
        <w:rPr>
          <w:rtl/>
        </w:rPr>
      </w:pPr>
      <w:r w:rsidRPr="004547CD">
        <w:rPr>
          <w:rFonts w:hint="cs"/>
          <w:rtl/>
        </w:rPr>
        <w:t>משרד מבקר המדינה מעיר כי סוגיית הגידול במספר המעצרים עומדת על סדר היום מזה שנים מספר ובייחוד מאז הועבר הטיפול בעצורים לידי השב"ס. אמנם השימוש בכלי המעצר הוא פעולה הכרחית במסגרת מערכת אכיפת החוק, והוא מבוצע בהתאם לשיקול דעתו של השוטר בשטח ובהתקיים יסוד סביר להניח כי החשוד ביצע עברה. יחד עם זאת, הגבלת חירותו של אדם באמצעות מעצר צריכה להיות לתכלית ראויה ויש לעשות כן במידתית תוך בחינת חלופות קלות יותר. הנתונים המצביעים על המספר הגדול של העצורים המשתחררים לאחר מעצר קצר, מבלי שמוגש נגדם כתב אישום, מחייבים בדיקה לגבי נחיצותם של חלק מהמעצרים ולגבי אפשרות שימוש בחלופות קלות יותר.</w:t>
      </w:r>
    </w:p>
    <w:p w:rsidR="006259B3" w:rsidRPr="004547CD" w:rsidP="00E62E82">
      <w:pPr>
        <w:pStyle w:val="RESHET"/>
        <w:rPr>
          <w:rtl/>
        </w:rPr>
      </w:pPr>
      <w:r w:rsidRPr="004547CD">
        <w:rPr>
          <w:rFonts w:hint="cs"/>
          <w:rtl/>
        </w:rPr>
        <w:t>לדעת משרד מבקר המדינה, על המשרד לבט"פ לבחון את העלייה בכמות המעצרים נוכח העובדה שאחוז לא מבוטל מהעצורים משוחרר לאחר פרק זמן קצר מבלי שהוגש נגדם כתב אישום. המשטרה נדרשת לבחון את הגורמים לעלייה במספר המעצרים, לנתחם ולהסיק מהם מסקנות כדי להבטיח שהמעצרים בעתיד יהיו הכרחיים ונחוצים, על פי הוראות חוק המעצרים ובהתאם לעקרונות חוק יסוד: כבוד האדם וחירותו.</w:t>
      </w:r>
    </w:p>
    <w:p w:rsidR="006259B3" w:rsidRPr="004547CD" w:rsidP="008A6D26">
      <w:pPr>
        <w:spacing w:after="120" w:line="230" w:lineRule="exact"/>
        <w:jc w:val="both"/>
        <w:rPr>
          <w:rFonts w:cs="FrankRuehl"/>
          <w:sz w:val="20"/>
          <w:szCs w:val="22"/>
          <w:rtl/>
        </w:rPr>
      </w:pPr>
    </w:p>
    <w:p w:rsidR="006259B3" w:rsidRPr="004547CD" w:rsidP="008A6D26">
      <w:pPr>
        <w:spacing w:after="120" w:line="230" w:lineRule="exact"/>
        <w:jc w:val="both"/>
        <w:rPr>
          <w:rFonts w:cs="FrankRuehl"/>
          <w:sz w:val="20"/>
          <w:szCs w:val="22"/>
          <w:rtl/>
        </w:rPr>
      </w:pPr>
    </w:p>
    <w:p w:rsidR="006259B3" w:rsidRPr="00596B42" w:rsidP="008A6D26">
      <w:pPr>
        <w:pStyle w:val="KOT4"/>
        <w:rPr>
          <w:rtl/>
        </w:rPr>
      </w:pPr>
      <w:r w:rsidRPr="00596B42">
        <w:rPr>
          <w:rFonts w:hint="cs"/>
          <w:rtl/>
        </w:rPr>
        <w:t>פיתוח מקומות כליאה</w:t>
      </w:r>
    </w:p>
    <w:p w:rsidR="006259B3" w:rsidRPr="004547CD" w:rsidP="008A6D26">
      <w:pPr>
        <w:spacing w:after="120" w:line="230" w:lineRule="exact"/>
        <w:jc w:val="both"/>
        <w:rPr>
          <w:rFonts w:cs="FrankRuehl"/>
          <w:sz w:val="20"/>
          <w:szCs w:val="22"/>
          <w:rtl/>
        </w:rPr>
      </w:pPr>
      <w:r w:rsidRPr="004547CD">
        <w:rPr>
          <w:rFonts w:cs="FrankRuehl" w:hint="cs"/>
          <w:sz w:val="20"/>
          <w:szCs w:val="22"/>
          <w:rtl/>
        </w:rPr>
        <w:t xml:space="preserve">המאבק בפשיעה הוא מאמץ מתמשך שמטרתו יצירת תשתית חברתית נורמטיבית. לצורך כך נדרשת גישה מערכתית-תכנונית שתביא לאיזון בין הגידול במספר העצורים לבין מספר מקומות הכליאה במתקני שב"ס. עם הפיכת שב"ס לגוף הכליאה הבלעדי במדינה, ועם השינוי במעמדו ובמשקלו "בשרשרת אכיפת החוק" הכין אגף תכנון, תקצוב ובקרה במשרד לבט"פ באפריל 2009 מודל ל"פיתוח מקומות כליאה". </w:t>
      </w:r>
    </w:p>
    <w:p w:rsidR="006259B3" w:rsidRPr="004547CD" w:rsidP="008A6D26">
      <w:pPr>
        <w:spacing w:after="120" w:line="230" w:lineRule="exact"/>
        <w:jc w:val="both"/>
        <w:rPr>
          <w:rFonts w:cs="FrankRuehl"/>
          <w:sz w:val="20"/>
          <w:szCs w:val="22"/>
          <w:rtl/>
        </w:rPr>
      </w:pPr>
      <w:r w:rsidRPr="004547CD">
        <w:rPr>
          <w:rFonts w:cs="FrankRuehl" w:hint="cs"/>
          <w:sz w:val="20"/>
          <w:szCs w:val="22"/>
          <w:rtl/>
        </w:rPr>
        <w:t xml:space="preserve">מודל זה מאפשר חיזוי של "מקומות הכליאה הנדרשים כמענה להיקף אוכלסיית העצורים והאסירים הפליליים". מהמודל עולה כי בשנים 2012-2009 היה צפוי גידול משמעותי של יותר מ-600 עצורים ואסירים מדי שנה; בשנים 2020-2013 צפוי גידול של יותר מ-500 עצורים ואסירים מדי שנה; ובשנים 2025-2021 צפוי גידול של יותר מ-400 עצורים ואסירים מדי שנה. על פי המודל, צפוי שבעשור הקרוב יתעורר צורך בכ-550 מקומות כליאה נוספים מדי שנה. </w:t>
      </w:r>
    </w:p>
    <w:p w:rsidR="006259B3" w:rsidRPr="004547CD" w:rsidP="008A6D26">
      <w:pPr>
        <w:spacing w:after="120" w:line="230" w:lineRule="exact"/>
        <w:jc w:val="both"/>
        <w:rPr>
          <w:rFonts w:cs="FrankRuehl"/>
          <w:sz w:val="20"/>
          <w:szCs w:val="22"/>
          <w:rtl/>
        </w:rPr>
      </w:pPr>
      <w:r w:rsidRPr="004547CD">
        <w:rPr>
          <w:rFonts w:cs="FrankRuehl" w:hint="cs"/>
          <w:sz w:val="20"/>
          <w:szCs w:val="22"/>
          <w:rtl/>
        </w:rPr>
        <w:t xml:space="preserve">עוד עולה מן המודל, כי לצורך מתן מענה נאות לצורכי שב"ס והמשטרה בנוגע לבתי המעצר נדרשת גישה מערכתית-תכנונית שתתבסס על מגוון פתרונות. גישה כזו היא מחויבת המציאות הן נוכח ההיקף והמורכבות של דרישות המערכת וכפועל יוצא של הפתרונות והמענים הנדרשים בגינם, הן נוכח הצורך בפיזור סיכונים בפעולות הגופים בהקשר זה והן בשל הצורך להתמודד עם מגבלות ואילוצים כגון </w:t>
      </w:r>
      <w:r w:rsidRPr="004547CD">
        <w:rPr>
          <w:rFonts w:cs="FrankRuehl" w:hint="eastAsia"/>
          <w:sz w:val="20"/>
          <w:szCs w:val="22"/>
          <w:rtl/>
        </w:rPr>
        <w:t>מחסור</w:t>
      </w:r>
      <w:r w:rsidRPr="004547CD">
        <w:rPr>
          <w:rFonts w:cs="FrankRuehl"/>
          <w:sz w:val="20"/>
          <w:szCs w:val="22"/>
          <w:rtl/>
        </w:rPr>
        <w:t xml:space="preserve"> </w:t>
      </w:r>
      <w:r w:rsidRPr="004547CD">
        <w:rPr>
          <w:rFonts w:cs="FrankRuehl" w:hint="eastAsia"/>
          <w:sz w:val="20"/>
          <w:szCs w:val="22"/>
          <w:rtl/>
        </w:rPr>
        <w:t>בשטחים</w:t>
      </w:r>
      <w:r w:rsidRPr="004547CD">
        <w:rPr>
          <w:rFonts w:cs="FrankRuehl"/>
          <w:sz w:val="20"/>
          <w:szCs w:val="22"/>
          <w:rtl/>
        </w:rPr>
        <w:t xml:space="preserve"> </w:t>
      </w:r>
      <w:r w:rsidRPr="004547CD">
        <w:rPr>
          <w:rFonts w:cs="FrankRuehl" w:hint="eastAsia"/>
          <w:sz w:val="20"/>
          <w:szCs w:val="22"/>
          <w:rtl/>
        </w:rPr>
        <w:t>פנויים</w:t>
      </w:r>
      <w:r w:rsidRPr="004547CD">
        <w:rPr>
          <w:rFonts w:cs="FrankRuehl"/>
          <w:sz w:val="20"/>
          <w:szCs w:val="22"/>
          <w:rtl/>
        </w:rPr>
        <w:t xml:space="preserve"> </w:t>
      </w:r>
      <w:r w:rsidRPr="004547CD">
        <w:rPr>
          <w:rFonts w:cs="FrankRuehl" w:hint="cs"/>
          <w:sz w:val="20"/>
          <w:szCs w:val="22"/>
          <w:rtl/>
        </w:rPr>
        <w:t>לצורכי מעצר וכליאה ומחסור בתקציבים.</w:t>
      </w:r>
    </w:p>
    <w:p w:rsidR="006259B3" w:rsidRPr="004547CD" w:rsidP="008A6D26">
      <w:pPr>
        <w:spacing w:after="120" w:line="230" w:lineRule="exact"/>
        <w:jc w:val="both"/>
        <w:rPr>
          <w:rFonts w:cs="FrankRuehl"/>
          <w:sz w:val="20"/>
          <w:szCs w:val="22"/>
          <w:rtl/>
        </w:rPr>
      </w:pPr>
      <w:r w:rsidRPr="004547CD">
        <w:rPr>
          <w:rFonts w:cs="FrankRuehl" w:hint="cs"/>
          <w:sz w:val="20"/>
          <w:szCs w:val="22"/>
          <w:rtl/>
        </w:rPr>
        <w:t xml:space="preserve">לפי המודל, המענה צריך להתבסס בראש ובראשונה על יצירת מתקני כליאה חדשים. על פי המודל, הקמה והפעלה של מתקנים חדשים במתכונת מסורתית יחייב הקצאת תקציב של כשבעה מיליארד ש"ח עד שנת 2025. </w:t>
      </w:r>
    </w:p>
    <w:p w:rsidR="006259B3" w:rsidRPr="004547CD" w:rsidP="008A6D26">
      <w:pPr>
        <w:spacing w:after="120" w:line="230" w:lineRule="exact"/>
        <w:jc w:val="both"/>
        <w:rPr>
          <w:rFonts w:cs="FrankRuehl"/>
          <w:sz w:val="20"/>
          <w:szCs w:val="22"/>
          <w:rtl/>
        </w:rPr>
      </w:pPr>
      <w:r w:rsidRPr="004547CD">
        <w:rPr>
          <w:rFonts w:cs="FrankRuehl" w:hint="cs"/>
          <w:sz w:val="20"/>
          <w:szCs w:val="22"/>
          <w:rtl/>
        </w:rPr>
        <w:t>במודל מצוין כי עקב התקציב הגבוה הנדרש לבניית המתקנים החדשים, פתרון זה הוא "יעד שאפתני ביותר". לפיכך מצוין גם שיש לבחון פתרונות נוספים, ובהם חלופות כליאה כגון פיקוח אלקטרוני, עבודות שירות ושימוש מוגבר באמצעים לשחרור עצורים בתחנות המשטרה.</w:t>
      </w:r>
    </w:p>
    <w:p w:rsidR="006259B3" w:rsidRPr="004547CD" w:rsidP="00E62E82">
      <w:pPr>
        <w:spacing w:after="240" w:line="230" w:lineRule="exact"/>
        <w:jc w:val="both"/>
        <w:rPr>
          <w:rFonts w:cs="FrankRuehl"/>
          <w:sz w:val="20"/>
          <w:szCs w:val="22"/>
          <w:rtl/>
        </w:rPr>
      </w:pPr>
      <w:r w:rsidRPr="004547CD">
        <w:rPr>
          <w:rFonts w:cs="FrankRuehl" w:hint="cs"/>
          <w:sz w:val="20"/>
          <w:szCs w:val="22"/>
          <w:rtl/>
        </w:rPr>
        <w:t>המשרד לבט"פ מסר בתשובתו למשרד מבקר המדינה, כי במסגרת דיוני התקציב לשנת 2015 סיכם המשרד עם משרד האוצר על העתקת כלא הנשים נווה תרצה לדרום הארץ ועל תוספת של 480 מקומות כליאה לאסירים ביטחוניים, שתביא, בסופו של התהליך, לפינוי מקומות כליאה גם לעצורים. הוא הוסיף כי בשל פיזור הכנסת וניהול תקציב המשכי תיתכן דחייה במימושו של הפרוייקט בשנת 2015. עם זאת הוא ציין כי המהלכים הנ"ל אינם מהווים פתרון שלם לא למצוקת מקומות הכליאה ולא לסוגיית תנאי הכליאה והמעצר בשב"ס. בתשובתו הנוספת מינואר 2015 כתב המשרד לבט"פ כי סוגיית חלופות מעצר מטופלת על ידו באמצעות מימוש חוק פיקוח אלקטרוני על עצור ועל אסיר משוחרר על תנאי (תיקוני חקיקה), התשע"ה-2014, שיישומו יחל ביוני 2015.</w:t>
      </w:r>
    </w:p>
    <w:p w:rsidR="006259B3" w:rsidRPr="004547CD" w:rsidP="00E62E82">
      <w:pPr>
        <w:pStyle w:val="RESHET"/>
        <w:rPr>
          <w:rtl/>
        </w:rPr>
      </w:pPr>
      <w:r w:rsidRPr="004547CD">
        <w:rPr>
          <w:rFonts w:hint="cs"/>
          <w:rtl/>
        </w:rPr>
        <w:t>יצוין כי מדי שנה בשנה עוסקת הסנגוריה הציבורית בנושא זה, ובמהלך השנים אף משרד מבקר המדינה בדק את הנושא</w:t>
      </w:r>
      <w:r>
        <w:rPr>
          <w:rStyle w:val="FootnoteReference"/>
          <w:rFonts w:cs="FrankRuehl"/>
          <w:rtl/>
        </w:rPr>
        <w:footnoteReference w:id="21"/>
      </w:r>
      <w:r w:rsidRPr="004547CD">
        <w:rPr>
          <w:rFonts w:hint="cs"/>
          <w:rtl/>
        </w:rPr>
        <w:t>, ופורסמו דוחות נוספים</w:t>
      </w:r>
      <w:r>
        <w:rPr>
          <w:rStyle w:val="FootnoteReference"/>
          <w:rFonts w:cs="FrankRuehl"/>
          <w:rtl/>
        </w:rPr>
        <w:footnoteReference w:id="22"/>
      </w:r>
      <w:r w:rsidRPr="004547CD">
        <w:rPr>
          <w:rFonts w:hint="cs"/>
          <w:rtl/>
        </w:rPr>
        <w:t xml:space="preserve"> שבהם תוארו תנאי הצפיפות הקשים הנובעים ממחסור במקומות כליאה. המציאות מלמדת כי לבעיה זו לא ניתן עדיין פתרון מערכתי שיביא לשיפור משמעותי ברמת הצפיפות במתקני הכליאה.</w:t>
      </w:r>
    </w:p>
    <w:p w:rsidR="006259B3" w:rsidRPr="004547CD" w:rsidP="008A6D26">
      <w:pPr>
        <w:spacing w:after="120" w:line="230" w:lineRule="exact"/>
        <w:jc w:val="both"/>
        <w:rPr>
          <w:rFonts w:cs="FrankRuehl"/>
          <w:sz w:val="20"/>
          <w:szCs w:val="22"/>
          <w:rtl/>
        </w:rPr>
      </w:pPr>
    </w:p>
    <w:p w:rsidR="006259B3" w:rsidRPr="004547CD" w:rsidP="008A6D26">
      <w:pPr>
        <w:spacing w:after="120" w:line="230" w:lineRule="exact"/>
        <w:jc w:val="both"/>
        <w:rPr>
          <w:rFonts w:cs="FrankRuehl"/>
          <w:sz w:val="20"/>
          <w:szCs w:val="22"/>
          <w:rtl/>
        </w:rPr>
      </w:pPr>
    </w:p>
    <w:p w:rsidR="006259B3" w:rsidRPr="00596B42" w:rsidP="008A6D26">
      <w:pPr>
        <w:pStyle w:val="KOT4"/>
        <w:rPr>
          <w:rtl/>
        </w:rPr>
      </w:pPr>
      <w:r w:rsidRPr="00596B42">
        <w:rPr>
          <w:rFonts w:hint="cs"/>
          <w:rtl/>
        </w:rPr>
        <w:t>חלופות למעצר</w:t>
      </w:r>
    </w:p>
    <w:p w:rsidR="006259B3" w:rsidRPr="004547CD" w:rsidP="00E62E82">
      <w:pPr>
        <w:pStyle w:val="ListParagraph"/>
        <w:numPr>
          <w:ilvl w:val="0"/>
          <w:numId w:val="11"/>
        </w:numPr>
        <w:spacing w:after="240" w:line="230" w:lineRule="exact"/>
        <w:contextualSpacing w:val="0"/>
        <w:jc w:val="both"/>
        <w:rPr>
          <w:rFonts w:ascii="Times New Roman" w:hAnsi="Times New Roman" w:cs="FrankRuehl"/>
          <w:sz w:val="20"/>
        </w:rPr>
      </w:pPr>
      <w:r w:rsidRPr="004547CD">
        <w:rPr>
          <w:rFonts w:ascii="Times New Roman" w:hAnsi="Times New Roman" w:cs="FrankRuehl" w:hint="cs"/>
          <w:sz w:val="20"/>
          <w:rtl/>
        </w:rPr>
        <w:t>הגברת הביקורת השיפוטית על הליכי מעצר, ובכלל זה על תקופות המעצר, העלו את הצורך ביצירת חלופות למעצרים אשר יביאו להפחתה משמעותית במספר העצורים ובתקופות השהייה במעצר. התפתחויות טכנולוגיות ושינויים בתפיסות חברתיות הצביעו גם הם על החשיבות שבפיתוחן ובקידומן של חלופות המעצר. כפועל יוצא הוחל השימוש באיזוק האלקטרוני; פותחו והורחבו חלופות המעצר הטיפוליות והשיקומיות בקהילה; פותח והורחב</w:t>
      </w:r>
      <w:r w:rsidRPr="004547CD">
        <w:rPr>
          <w:rFonts w:ascii="Times New Roman" w:hAnsi="Times New Roman" w:cs="FrankRuehl" w:hint="cs"/>
          <w:sz w:val="20"/>
          <w:rtl/>
        </w:rPr>
        <w:t xml:space="preserve"> </w:t>
      </w:r>
      <w:r w:rsidRPr="004547CD">
        <w:rPr>
          <w:rFonts w:ascii="Times New Roman" w:hAnsi="Times New Roman" w:cs="FrankRuehl" w:hint="cs"/>
          <w:sz w:val="20"/>
          <w:rtl/>
        </w:rPr>
        <w:t xml:space="preserve">השימוש במנגנונים של ערובה וערבון כספיים. </w:t>
      </w:r>
    </w:p>
    <w:p w:rsidR="006259B3" w:rsidRPr="004547CD" w:rsidP="00E62E82">
      <w:pPr>
        <w:pStyle w:val="RESHET"/>
        <w:ind w:left="567"/>
        <w:rPr>
          <w:rtl/>
        </w:rPr>
      </w:pPr>
      <w:r w:rsidRPr="004547CD">
        <w:rPr>
          <w:rFonts w:hint="cs"/>
          <w:rtl/>
        </w:rPr>
        <w:t>במשך השנים החלו רק ביישום חלקי של השימוש באמצעים חלופיים שישמשו את גורמי אכיפת החוק כחלופה למעצרים. לדעת משרד מבקר המדינה, על המשרד לבט"פ, בשיתוף יתר הגורמים השותפים בשרשרת אכיפת החוק, לבחון את המקרים שבהם נדרש להרחיב את השימוש באמצעים האמורים. שימוש מושכל באמצעים אלה יסייע להתמודד עם עומס הכליאה ולצמצם את השימוש במעצר ככלי לצורכי חקירה במקרים שבהם הוא אינו נדרש.</w:t>
      </w:r>
    </w:p>
    <w:p w:rsidR="006259B3" w:rsidRPr="004547CD" w:rsidP="00E62E82">
      <w:pPr>
        <w:pStyle w:val="ListParagraph"/>
        <w:numPr>
          <w:ilvl w:val="0"/>
          <w:numId w:val="11"/>
        </w:numPr>
        <w:spacing w:before="180" w:after="120" w:line="230" w:lineRule="exact"/>
        <w:contextualSpacing w:val="0"/>
        <w:jc w:val="both"/>
        <w:rPr>
          <w:rFonts w:ascii="Times New Roman" w:hAnsi="Times New Roman" w:cs="FrankRuehl"/>
          <w:sz w:val="20"/>
        </w:rPr>
      </w:pPr>
      <w:r w:rsidRPr="004547CD">
        <w:rPr>
          <w:rFonts w:ascii="Times New Roman" w:hAnsi="Times New Roman" w:cs="FrankRuehl" w:hint="cs"/>
          <w:sz w:val="20"/>
          <w:rtl/>
        </w:rPr>
        <w:t>הליך השחרור בערבות על ידי קצין משטרה בין בהפקדה כספית ובין בתנאי ערובה אחרים הוא אחד מן החלופות. להליך זה השלכות לגבי עצורים, שניתן לחסוך מהם את הניוד ואת השהייה במתקן הכליאה, וכן לגבי הוצאות המשטרה, שב"ס ובתי המשפט.</w:t>
      </w:r>
    </w:p>
    <w:p w:rsidR="006259B3" w:rsidRPr="004547CD" w:rsidP="008A6D26">
      <w:pPr>
        <w:spacing w:after="120" w:line="230" w:lineRule="exact"/>
        <w:ind w:left="340"/>
        <w:jc w:val="both"/>
        <w:rPr>
          <w:rFonts w:cs="FrankRuehl"/>
          <w:sz w:val="20"/>
          <w:szCs w:val="22"/>
          <w:rtl/>
        </w:rPr>
      </w:pPr>
      <w:r w:rsidRPr="004547CD">
        <w:rPr>
          <w:rFonts w:cs="FrankRuehl" w:hint="cs"/>
          <w:sz w:val="20"/>
          <w:szCs w:val="22"/>
          <w:rtl/>
        </w:rPr>
        <w:t xml:space="preserve">כבר בשנת 2010 תוקן חוק המעצרים ונקבע מנגנון שבאמצעותו יכול קצין משטרה לשחרר עצורים תוך הטלת ערבויות כספיות. בשנת 2012 נבנה המנגנון של הפקדה כספית (בנק הדואר, או העברה בנקאית). ההליך נועד, בין היתר, להבטיח את קיום תנאי הערובה על ידי המשוחרר, </w:t>
      </w:r>
      <w:r w:rsidRPr="004547CD">
        <w:rPr>
          <w:rFonts w:cs="FrankRuehl" w:hint="cs"/>
          <w:sz w:val="20"/>
          <w:szCs w:val="22"/>
          <w:rtl/>
        </w:rPr>
        <w:t>לרבות התייצבותו לחקירה או למשפט בכל מועד שיידרש. שימוש מושכל בהליך זה יכול להפחית את כמות העצורים המובאים בפני שופט לצורך שחרור, כמו גם את כמות התיקים החוזרים ליחידות לצורך איתור נאשמים. ההליך חוסך בזמן ובכוח האדם הנדרשים לשם הבאת עצורים בפני בית המשפט, והוא מאפשר לשחרר עצורים גם בשעה שאין שופט תורן בבית המשפט.</w:t>
      </w:r>
    </w:p>
    <w:p w:rsidR="006259B3" w:rsidRPr="004547CD" w:rsidP="008A6D26">
      <w:pPr>
        <w:spacing w:after="120" w:line="230" w:lineRule="exact"/>
        <w:ind w:left="340"/>
        <w:jc w:val="both"/>
        <w:rPr>
          <w:rFonts w:cs="FrankRuehl"/>
          <w:sz w:val="20"/>
          <w:szCs w:val="22"/>
          <w:rtl/>
        </w:rPr>
      </w:pPr>
      <w:r w:rsidRPr="004547CD">
        <w:rPr>
          <w:rFonts w:cs="FrankRuehl" w:hint="cs"/>
          <w:sz w:val="20"/>
          <w:szCs w:val="22"/>
          <w:rtl/>
        </w:rPr>
        <w:t>בתי המשפט בהחלטותיהם ביקרו לא אחת את המשטרה על אי-שימוש בסמכות הנתונה בידי קצין משטרה לשחרר עצורים בתחנות המשטרה, כאשר אין מניעה לשחרורם. באחת מהן מתח בית המשפט</w:t>
      </w:r>
      <w:r>
        <w:rPr>
          <w:rStyle w:val="FootnoteReference"/>
          <w:rFonts w:cs="FrankRuehl"/>
          <w:sz w:val="20"/>
          <w:szCs w:val="22"/>
          <w:rtl/>
        </w:rPr>
        <w:footnoteReference w:id="23"/>
      </w:r>
      <w:r w:rsidRPr="004547CD">
        <w:rPr>
          <w:rFonts w:cs="FrankRuehl" w:hint="cs"/>
          <w:sz w:val="20"/>
          <w:szCs w:val="22"/>
          <w:rtl/>
        </w:rPr>
        <w:t xml:space="preserve"> ביקורת חריפה על המשטרה שנמנעה מלשחרר עצור בתחנת המשטרה, ותחת זאת הביאה אותו למחרת אל בית המשפט כדי שיורה על שחרורו בהסכמה. בית המשפט הדגיש כי התנהלות זו של המשטרה </w:t>
      </w:r>
      <w:r w:rsidRPr="004547CD">
        <w:rPr>
          <w:rFonts w:cs="FrankRuehl"/>
          <w:sz w:val="20"/>
          <w:szCs w:val="22"/>
          <w:rtl/>
        </w:rPr>
        <w:t xml:space="preserve">פוגעת בחירותם של אותם עצורים, </w:t>
      </w:r>
      <w:r w:rsidRPr="004547CD">
        <w:rPr>
          <w:rFonts w:cs="FrankRuehl" w:hint="cs"/>
          <w:sz w:val="20"/>
          <w:szCs w:val="22"/>
          <w:rtl/>
        </w:rPr>
        <w:t xml:space="preserve">שלרוב נאלצים לשהות לילה במעצר רק כדי להיות מובאים למחרת אל בית המשפט לשם שחרורם בהסכמה. </w:t>
      </w:r>
    </w:p>
    <w:p w:rsidR="006259B3" w:rsidRPr="004547CD" w:rsidP="00E62E82">
      <w:pPr>
        <w:spacing w:after="240" w:line="230" w:lineRule="exact"/>
        <w:ind w:left="340"/>
        <w:jc w:val="both"/>
        <w:rPr>
          <w:rFonts w:cs="FrankRuehl"/>
          <w:sz w:val="20"/>
          <w:szCs w:val="22"/>
          <w:rtl/>
        </w:rPr>
      </w:pPr>
      <w:r w:rsidRPr="004547CD">
        <w:rPr>
          <w:rFonts w:cs="FrankRuehl" w:hint="cs"/>
          <w:sz w:val="20"/>
          <w:szCs w:val="22"/>
          <w:rtl/>
        </w:rPr>
        <w:t>בית המשפט הוסיף וקבע כי הימנעות המשטרה משחרור עצורים בערבות מובילה גם לבזבוז</w:t>
      </w:r>
      <w:r w:rsidRPr="004547CD">
        <w:rPr>
          <w:rFonts w:cs="FrankRuehl"/>
          <w:sz w:val="20"/>
          <w:szCs w:val="22"/>
          <w:rtl/>
        </w:rPr>
        <w:t xml:space="preserve"> משאבי ציבור רבים</w:t>
      </w:r>
      <w:r w:rsidRPr="004547CD">
        <w:rPr>
          <w:rFonts w:cs="FrankRuehl" w:hint="cs"/>
          <w:sz w:val="20"/>
          <w:szCs w:val="22"/>
          <w:rtl/>
        </w:rPr>
        <w:t xml:space="preserve"> </w:t>
      </w:r>
      <w:r w:rsidRPr="004547CD">
        <w:rPr>
          <w:rFonts w:cs="FrankRuehl"/>
          <w:sz w:val="20"/>
          <w:szCs w:val="22"/>
          <w:rtl/>
        </w:rPr>
        <w:t>ומעמיסה שלא לצורך על בתי המשפט</w:t>
      </w:r>
      <w:r w:rsidRPr="004547CD">
        <w:rPr>
          <w:rFonts w:cs="FrankRuehl" w:hint="cs"/>
          <w:sz w:val="20"/>
          <w:szCs w:val="22"/>
          <w:rtl/>
        </w:rPr>
        <w:t>; היא מבזבזת את זמנו של בית המשפט וגורמת להטרדתו באינספור פעולות טכניות, לרבות פתיחת התיק, כניסה לפרוטוקול ועריכתו, הכנסת פרטי הנוכחים, הקלדה של הודעות הצדדים על הסכמתם, חתימת הפרוטוקול, עריכת צו המעצר הדרוש לשחרור, הדפסות ועוד. הזמן והמשאבים שמאבד בית המשפט בשל כך היו צריכים להיות מנותבים לעיסוק בבקשות מעצר אחרות, שבהן נדרש בית המשפט לשקול בכובד ראש אם לשלול חירותו של אדם שהוא בחזקת חף מפשע אם לאו.</w:t>
      </w:r>
    </w:p>
    <w:p w:rsidR="006259B3" w:rsidRPr="004547CD" w:rsidP="00E62E82">
      <w:pPr>
        <w:pStyle w:val="RESHET"/>
        <w:ind w:left="567"/>
        <w:rPr>
          <w:rtl/>
        </w:rPr>
      </w:pPr>
      <w:r w:rsidRPr="004547CD">
        <w:rPr>
          <w:rFonts w:hint="cs"/>
          <w:rtl/>
        </w:rPr>
        <w:t>המשטרה לא אספה במהלך השנים נתונים על מספר הפעמים שבהם נעשה שימוש בסמכותו של קצין משטרה כדי לשחרר עצור בתחנה. בידי המשטרה אין נתונים המלמדים אם היא עשתה שימוש מיטבי בהליך זה, והיא אף לא בחנה מה השיעור של שחרורים אלה מתוך כלל המעצרים שבהם אפשר היה לשחרר את העצורים בתחנות המשטרה, ובכך להימנע מפגיעה מיותרת בחירותם וכן להקל על עבודתם של בתי המשפט ושב"ס.</w:t>
      </w:r>
    </w:p>
    <w:p w:rsidR="006259B3" w:rsidRPr="004547CD" w:rsidP="00E62E82">
      <w:pPr>
        <w:spacing w:before="180" w:after="120" w:line="230" w:lineRule="exact"/>
        <w:ind w:left="340"/>
        <w:jc w:val="both"/>
        <w:rPr>
          <w:rFonts w:cs="FrankRuehl"/>
          <w:sz w:val="20"/>
          <w:szCs w:val="22"/>
          <w:rtl/>
        </w:rPr>
      </w:pPr>
      <w:r w:rsidRPr="004547CD">
        <w:rPr>
          <w:rFonts w:cs="FrankRuehl" w:hint="cs"/>
          <w:sz w:val="20"/>
          <w:szCs w:val="22"/>
          <w:rtl/>
        </w:rPr>
        <w:t xml:space="preserve">יצוין כי רק בשנת 2013 החלה המשטרה לאסוף את הנתונים האמורים. איסוף הנתונים החל לאחר שביולי באותה השנה ועדת הפנים והגנת הסביבה של הכנסת מתחה ביקורת על התנהלות המשטרה, וזו נדרשה להציג נתונים על אודות השימוש שהיא עושה החל מהמחצית השנייה של 2013 באמצעי זה של שחרור בערובה. ואכן במחצית הראשונה של שנת 2013 שוחררו 910 עצורים, ובעקבות הדיון בוועדה גדל מספרם במחצית השנייה ביותר מפי ארבע והגיע לכ-3,800. </w:t>
      </w:r>
    </w:p>
    <w:p w:rsidR="006259B3" w:rsidRPr="004547CD" w:rsidP="008A6D26">
      <w:pPr>
        <w:spacing w:after="120" w:line="230" w:lineRule="exact"/>
        <w:ind w:left="340"/>
        <w:jc w:val="both"/>
        <w:rPr>
          <w:rFonts w:cs="FrankRuehl"/>
          <w:sz w:val="20"/>
          <w:szCs w:val="22"/>
          <w:rtl/>
        </w:rPr>
      </w:pPr>
      <w:r w:rsidRPr="004547CD">
        <w:rPr>
          <w:rFonts w:cs="FrankRuehl" w:hint="eastAsia"/>
          <w:sz w:val="20"/>
          <w:szCs w:val="22"/>
          <w:rtl/>
        </w:rPr>
        <w:t>המשטרה</w:t>
      </w:r>
      <w:r w:rsidRPr="004547CD">
        <w:rPr>
          <w:rFonts w:cs="FrankRuehl"/>
          <w:sz w:val="20"/>
          <w:szCs w:val="22"/>
          <w:rtl/>
        </w:rPr>
        <w:t xml:space="preserve"> כתבה בתשובתה כי "בחודש יוני 2014 הותקנו בכל תחנות המשטרה מערכות מידע שבה</w:t>
      </w:r>
      <w:r w:rsidRPr="004547CD">
        <w:rPr>
          <w:rFonts w:cs="FrankRuehl" w:hint="cs"/>
          <w:sz w:val="20"/>
          <w:szCs w:val="22"/>
          <w:rtl/>
        </w:rPr>
        <w:t>ן</w:t>
      </w:r>
      <w:r w:rsidRPr="004547CD">
        <w:rPr>
          <w:rFonts w:cs="FrankRuehl"/>
          <w:sz w:val="20"/>
          <w:szCs w:val="22"/>
          <w:rtl/>
        </w:rPr>
        <w:t xml:space="preserve"> ניתן </w:t>
      </w:r>
      <w:r w:rsidRPr="004547CD">
        <w:rPr>
          <w:rFonts w:cs="FrankRuehl" w:hint="eastAsia"/>
          <w:sz w:val="20"/>
          <w:szCs w:val="22"/>
          <w:rtl/>
        </w:rPr>
        <w:t>לשלם</w:t>
      </w:r>
      <w:r w:rsidRPr="004547CD">
        <w:rPr>
          <w:rFonts w:cs="FrankRuehl"/>
          <w:sz w:val="20"/>
          <w:szCs w:val="22"/>
          <w:rtl/>
        </w:rPr>
        <w:t xml:space="preserve"> הפקדה כספית לשחרור בערובה, בכל חודש מועברים נתונים </w:t>
      </w:r>
      <w:r w:rsidRPr="004547CD">
        <w:rPr>
          <w:rFonts w:cs="FrankRuehl" w:hint="eastAsia"/>
          <w:sz w:val="20"/>
          <w:szCs w:val="22"/>
          <w:rtl/>
        </w:rPr>
        <w:t>למפקדי</w:t>
      </w:r>
      <w:r w:rsidRPr="004547CD">
        <w:rPr>
          <w:rFonts w:cs="FrankRuehl"/>
          <w:sz w:val="20"/>
          <w:szCs w:val="22"/>
          <w:rtl/>
        </w:rPr>
        <w:t xml:space="preserve"> </w:t>
      </w:r>
      <w:r w:rsidRPr="004547CD">
        <w:rPr>
          <w:rFonts w:cs="FrankRuehl" w:hint="eastAsia"/>
          <w:sz w:val="20"/>
          <w:szCs w:val="22"/>
          <w:rtl/>
        </w:rPr>
        <w:t>המחוזות</w:t>
      </w:r>
      <w:r w:rsidRPr="004547CD">
        <w:rPr>
          <w:rFonts w:cs="FrankRuehl"/>
          <w:sz w:val="20"/>
          <w:szCs w:val="22"/>
          <w:rtl/>
        </w:rPr>
        <w:t xml:space="preserve"> </w:t>
      </w:r>
      <w:r w:rsidRPr="004547CD">
        <w:rPr>
          <w:rFonts w:cs="FrankRuehl" w:hint="eastAsia"/>
          <w:sz w:val="20"/>
          <w:szCs w:val="22"/>
          <w:rtl/>
        </w:rPr>
        <w:t>בדבר</w:t>
      </w:r>
      <w:r w:rsidRPr="004547CD">
        <w:rPr>
          <w:rFonts w:cs="FrankRuehl"/>
          <w:sz w:val="20"/>
          <w:szCs w:val="22"/>
          <w:rtl/>
        </w:rPr>
        <w:t xml:space="preserve"> </w:t>
      </w:r>
      <w:r w:rsidRPr="004547CD">
        <w:rPr>
          <w:rFonts w:cs="FrankRuehl" w:hint="eastAsia"/>
          <w:sz w:val="20"/>
          <w:szCs w:val="22"/>
          <w:rtl/>
        </w:rPr>
        <w:t>השימוש</w:t>
      </w:r>
      <w:r w:rsidRPr="004547CD">
        <w:rPr>
          <w:rFonts w:cs="FrankRuehl"/>
          <w:sz w:val="20"/>
          <w:szCs w:val="22"/>
          <w:rtl/>
        </w:rPr>
        <w:t xml:space="preserve"> </w:t>
      </w:r>
      <w:r w:rsidRPr="004547CD">
        <w:rPr>
          <w:rFonts w:cs="FrankRuehl" w:hint="eastAsia"/>
          <w:sz w:val="20"/>
          <w:szCs w:val="22"/>
          <w:rtl/>
        </w:rPr>
        <w:t>בכלי</w:t>
      </w:r>
      <w:r w:rsidRPr="004547CD">
        <w:rPr>
          <w:rFonts w:cs="FrankRuehl"/>
          <w:sz w:val="20"/>
          <w:szCs w:val="22"/>
          <w:rtl/>
        </w:rPr>
        <w:t xml:space="preserve"> </w:t>
      </w:r>
      <w:r w:rsidRPr="004547CD">
        <w:rPr>
          <w:rFonts w:cs="FrankRuehl" w:hint="eastAsia"/>
          <w:sz w:val="20"/>
          <w:szCs w:val="22"/>
          <w:rtl/>
        </w:rPr>
        <w:t>זה</w:t>
      </w:r>
      <w:r w:rsidRPr="004547CD">
        <w:rPr>
          <w:rFonts w:cs="FrankRuehl"/>
          <w:sz w:val="20"/>
          <w:szCs w:val="22"/>
          <w:rtl/>
        </w:rPr>
        <w:t xml:space="preserve"> </w:t>
      </w:r>
      <w:r w:rsidRPr="004547CD">
        <w:rPr>
          <w:rFonts w:cs="FrankRuehl" w:hint="eastAsia"/>
          <w:sz w:val="20"/>
          <w:szCs w:val="22"/>
          <w:rtl/>
        </w:rPr>
        <w:t>ומגמות</w:t>
      </w:r>
      <w:r w:rsidRPr="004547CD">
        <w:rPr>
          <w:rFonts w:cs="FrankRuehl"/>
          <w:sz w:val="20"/>
          <w:szCs w:val="22"/>
          <w:rtl/>
        </w:rPr>
        <w:t xml:space="preserve"> </w:t>
      </w:r>
      <w:r w:rsidRPr="004547CD">
        <w:rPr>
          <w:rFonts w:cs="FrankRuehl" w:hint="eastAsia"/>
          <w:sz w:val="20"/>
          <w:szCs w:val="22"/>
          <w:rtl/>
        </w:rPr>
        <w:t>השימוש</w:t>
      </w:r>
      <w:r w:rsidRPr="004547CD">
        <w:rPr>
          <w:rFonts w:cs="FrankRuehl"/>
          <w:sz w:val="20"/>
          <w:szCs w:val="22"/>
          <w:rtl/>
        </w:rPr>
        <w:t xml:space="preserve"> </w:t>
      </w:r>
      <w:r w:rsidRPr="004547CD">
        <w:rPr>
          <w:rFonts w:cs="FrankRuehl" w:hint="eastAsia"/>
          <w:sz w:val="20"/>
          <w:szCs w:val="22"/>
          <w:rtl/>
        </w:rPr>
        <w:t>בכלל</w:t>
      </w:r>
      <w:r w:rsidRPr="004547CD">
        <w:rPr>
          <w:rFonts w:cs="FrankRuehl"/>
          <w:sz w:val="20"/>
          <w:szCs w:val="22"/>
          <w:rtl/>
        </w:rPr>
        <w:t xml:space="preserve"> </w:t>
      </w:r>
      <w:r w:rsidRPr="004547CD">
        <w:rPr>
          <w:rFonts w:cs="FrankRuehl" w:hint="eastAsia"/>
          <w:sz w:val="20"/>
          <w:szCs w:val="22"/>
          <w:rtl/>
        </w:rPr>
        <w:t>והוא</w:t>
      </w:r>
      <w:r w:rsidRPr="004547CD">
        <w:rPr>
          <w:rFonts w:cs="FrankRuehl"/>
          <w:sz w:val="20"/>
          <w:szCs w:val="22"/>
          <w:rtl/>
        </w:rPr>
        <w:t xml:space="preserve"> </w:t>
      </w:r>
      <w:r w:rsidRPr="004547CD">
        <w:rPr>
          <w:rFonts w:cs="FrankRuehl" w:hint="eastAsia"/>
          <w:sz w:val="20"/>
          <w:szCs w:val="22"/>
          <w:rtl/>
        </w:rPr>
        <w:t>נמצא</w:t>
      </w:r>
      <w:r w:rsidRPr="004547CD">
        <w:rPr>
          <w:rFonts w:cs="FrankRuehl"/>
          <w:sz w:val="20"/>
          <w:szCs w:val="22"/>
          <w:rtl/>
        </w:rPr>
        <w:t xml:space="preserve"> </w:t>
      </w:r>
      <w:r w:rsidRPr="004547CD">
        <w:rPr>
          <w:rFonts w:cs="FrankRuehl" w:hint="eastAsia"/>
          <w:sz w:val="20"/>
          <w:szCs w:val="22"/>
          <w:rtl/>
        </w:rPr>
        <w:t>בעלייה</w:t>
      </w:r>
      <w:r w:rsidRPr="004547CD">
        <w:rPr>
          <w:rFonts w:cs="FrankRuehl"/>
          <w:sz w:val="20"/>
          <w:szCs w:val="22"/>
          <w:rtl/>
        </w:rPr>
        <w:t xml:space="preserve"> </w:t>
      </w:r>
      <w:r w:rsidRPr="004547CD">
        <w:rPr>
          <w:rFonts w:cs="FrankRuehl" w:hint="eastAsia"/>
          <w:sz w:val="20"/>
          <w:szCs w:val="22"/>
          <w:rtl/>
        </w:rPr>
        <w:t>מתמדת</w:t>
      </w:r>
      <w:r w:rsidRPr="004547CD">
        <w:rPr>
          <w:rFonts w:cs="FrankRuehl"/>
          <w:sz w:val="20"/>
          <w:szCs w:val="22"/>
          <w:rtl/>
        </w:rPr>
        <w:t>"</w:t>
      </w:r>
      <w:r w:rsidRPr="004547CD">
        <w:rPr>
          <w:rFonts w:cs="FrankRuehl" w:hint="cs"/>
          <w:sz w:val="20"/>
          <w:szCs w:val="22"/>
          <w:rtl/>
        </w:rPr>
        <w:t>.</w:t>
      </w:r>
      <w:r w:rsidRPr="004547CD">
        <w:rPr>
          <w:rFonts w:cs="FrankRuehl"/>
          <w:sz w:val="20"/>
          <w:szCs w:val="22"/>
          <w:rtl/>
        </w:rPr>
        <w:t xml:space="preserve"> </w:t>
      </w:r>
    </w:p>
    <w:p w:rsidR="006259B3" w:rsidRPr="004547CD" w:rsidP="008A6D26">
      <w:pPr>
        <w:spacing w:after="120" w:line="230" w:lineRule="exact"/>
        <w:ind w:left="340"/>
        <w:jc w:val="both"/>
        <w:rPr>
          <w:rFonts w:cs="FrankRuehl"/>
          <w:sz w:val="20"/>
          <w:szCs w:val="22"/>
          <w:rtl/>
        </w:rPr>
      </w:pPr>
      <w:r w:rsidRPr="004547CD">
        <w:rPr>
          <w:rFonts w:cs="FrankRuehl" w:hint="cs"/>
          <w:sz w:val="20"/>
          <w:szCs w:val="22"/>
          <w:rtl/>
        </w:rPr>
        <w:t>המשרד לבט"פ מסר בתשובתו למשרד מבקר המדינה כי במשטרה נעשתה עבודה רחבת היקף לטיוב המעקב אחר מעצרים והשחרורים ממעצר. בתוך כך שופר גם הדיווח לגבי היקף השחרורים על ידי קצין משטרה. בתשובתו הנוספת מינואר 2015 כתב המשרד לבט"פ כי הוא "פעל להרחבת יכולתם של קציני המשטרה לשחרר עצורים בתחנות המשטרה בדרך של ערובה כספית ותוך שימוש במכשירי ה'בנקט', שהוצבו לצורך כך בתחנות".</w:t>
      </w:r>
    </w:p>
    <w:p w:rsidR="006259B3" w:rsidRPr="004547CD" w:rsidP="008A6D26">
      <w:pPr>
        <w:spacing w:after="120" w:line="230" w:lineRule="exact"/>
        <w:jc w:val="both"/>
        <w:rPr>
          <w:rFonts w:cs="FrankRuehl"/>
          <w:sz w:val="20"/>
          <w:szCs w:val="22"/>
          <w:rtl/>
        </w:rPr>
      </w:pPr>
    </w:p>
    <w:p w:rsidR="006259B3" w:rsidRPr="00596B42" w:rsidP="008A6D26">
      <w:pPr>
        <w:pStyle w:val="KOT4"/>
        <w:rPr>
          <w:rtl/>
        </w:rPr>
      </w:pPr>
      <w:r w:rsidRPr="00596B42">
        <w:rPr>
          <w:rFonts w:hint="cs"/>
          <w:rtl/>
        </w:rPr>
        <w:t>תנאי כליאה והסעה של עצורים</w:t>
      </w:r>
    </w:p>
    <w:p w:rsidR="006259B3" w:rsidRPr="004547CD" w:rsidP="008A6D26">
      <w:pPr>
        <w:spacing w:after="120" w:line="230" w:lineRule="exact"/>
        <w:jc w:val="both"/>
        <w:rPr>
          <w:rFonts w:cs="FrankRuehl"/>
          <w:sz w:val="20"/>
          <w:szCs w:val="22"/>
          <w:rtl/>
        </w:rPr>
      </w:pPr>
      <w:r w:rsidRPr="004547CD">
        <w:rPr>
          <w:rFonts w:cs="FrankRuehl" w:hint="cs"/>
          <w:sz w:val="20"/>
          <w:szCs w:val="22"/>
          <w:rtl/>
        </w:rPr>
        <w:t xml:space="preserve">לריבוי המעצרים ולוויסות העצורים בין מתקני הכליאה השונים יש השפעה על התארכות משך זמן הנסיעה של העצורים בין המתקנים ולכבילה ממושכת שלהם. </w:t>
      </w:r>
    </w:p>
    <w:p w:rsidR="006259B3" w:rsidRPr="004547CD" w:rsidP="008A6D26">
      <w:pPr>
        <w:pStyle w:val="ListParagraph"/>
        <w:numPr>
          <w:ilvl w:val="0"/>
          <w:numId w:val="12"/>
        </w:numPr>
        <w:spacing w:after="120" w:line="230" w:lineRule="exact"/>
        <w:contextualSpacing w:val="0"/>
        <w:jc w:val="both"/>
        <w:rPr>
          <w:rFonts w:ascii="Times New Roman" w:hAnsi="Times New Roman" w:cs="FrankRuehl"/>
          <w:sz w:val="20"/>
          <w:rtl/>
        </w:rPr>
      </w:pPr>
      <w:r w:rsidRPr="004547CD">
        <w:rPr>
          <w:rFonts w:ascii="Times New Roman" w:hAnsi="Times New Roman" w:cs="FrankRuehl" w:hint="cs"/>
          <w:sz w:val="20"/>
          <w:rtl/>
        </w:rPr>
        <w:t>ניוד העצורים בידי סוהרי יחידת נחשון מבוצע</w:t>
      </w:r>
      <w:r w:rsidRPr="004547CD">
        <w:rPr>
          <w:rFonts w:ascii="Times New Roman" w:hAnsi="Times New Roman" w:cs="FrankRuehl"/>
          <w:sz w:val="20"/>
          <w:rtl/>
        </w:rPr>
        <w:t xml:space="preserve"> </w:t>
      </w:r>
      <w:r w:rsidRPr="004547CD">
        <w:rPr>
          <w:rFonts w:ascii="Times New Roman" w:hAnsi="Times New Roman" w:cs="FrankRuehl" w:hint="eastAsia"/>
          <w:sz w:val="20"/>
          <w:rtl/>
        </w:rPr>
        <w:t>מדי</w:t>
      </w:r>
      <w:r w:rsidRPr="004547CD">
        <w:rPr>
          <w:rFonts w:ascii="Times New Roman" w:hAnsi="Times New Roman" w:cs="FrankRuehl"/>
          <w:sz w:val="20"/>
          <w:rtl/>
        </w:rPr>
        <w:t xml:space="preserve"> </w:t>
      </w:r>
      <w:r w:rsidRPr="004547CD">
        <w:rPr>
          <w:rFonts w:ascii="Times New Roman" w:hAnsi="Times New Roman" w:cs="FrankRuehl" w:hint="eastAsia"/>
          <w:sz w:val="20"/>
          <w:rtl/>
        </w:rPr>
        <w:t>יום</w:t>
      </w:r>
      <w:r w:rsidRPr="004547CD">
        <w:rPr>
          <w:rFonts w:ascii="Times New Roman" w:hAnsi="Times New Roman" w:cs="FrankRuehl"/>
          <w:sz w:val="20"/>
          <w:rtl/>
        </w:rPr>
        <w:t xml:space="preserve"> </w:t>
      </w:r>
      <w:r w:rsidRPr="004547CD">
        <w:rPr>
          <w:rFonts w:ascii="Times New Roman" w:hAnsi="Times New Roman" w:cs="FrankRuehl" w:hint="cs"/>
          <w:sz w:val="20"/>
          <w:rtl/>
        </w:rPr>
        <w:t xml:space="preserve">ביומו </w:t>
      </w:r>
      <w:r w:rsidRPr="004547CD">
        <w:rPr>
          <w:rFonts w:ascii="Times New Roman" w:hAnsi="Times New Roman" w:cs="FrankRuehl" w:hint="eastAsia"/>
          <w:sz w:val="20"/>
          <w:rtl/>
        </w:rPr>
        <w:t>ב</w:t>
      </w:r>
      <w:r w:rsidRPr="004547CD">
        <w:rPr>
          <w:rFonts w:ascii="Times New Roman" w:hAnsi="Times New Roman" w:cs="FrankRuehl" w:hint="cs"/>
          <w:sz w:val="20"/>
          <w:rtl/>
        </w:rPr>
        <w:t xml:space="preserve">כלי </w:t>
      </w:r>
      <w:r w:rsidRPr="004547CD">
        <w:rPr>
          <w:rFonts w:ascii="Times New Roman" w:hAnsi="Times New Roman" w:cs="FrankRuehl" w:hint="eastAsia"/>
          <w:sz w:val="20"/>
          <w:rtl/>
        </w:rPr>
        <w:t>רכב</w:t>
      </w:r>
      <w:r w:rsidRPr="004547CD">
        <w:rPr>
          <w:rFonts w:ascii="Times New Roman" w:hAnsi="Times New Roman" w:cs="FrankRuehl"/>
          <w:sz w:val="20"/>
          <w:rtl/>
        </w:rPr>
        <w:t xml:space="preserve"> </w:t>
      </w:r>
      <w:r w:rsidRPr="004547CD">
        <w:rPr>
          <w:rFonts w:ascii="Times New Roman" w:hAnsi="Times New Roman" w:cs="FrankRuehl" w:hint="cs"/>
          <w:sz w:val="20"/>
          <w:rtl/>
        </w:rPr>
        <w:t>מיוחדים למשימה זו. כלי רכב אלו</w:t>
      </w:r>
      <w:r w:rsidRPr="004547CD">
        <w:rPr>
          <w:rFonts w:ascii="Times New Roman" w:hAnsi="Times New Roman" w:cs="FrankRuehl"/>
          <w:sz w:val="20"/>
          <w:rtl/>
        </w:rPr>
        <w:t xml:space="preserve"> מחולק</w:t>
      </w:r>
      <w:r w:rsidRPr="004547CD">
        <w:rPr>
          <w:rFonts w:ascii="Times New Roman" w:hAnsi="Times New Roman" w:cs="FrankRuehl" w:hint="cs"/>
          <w:sz w:val="20"/>
          <w:rtl/>
        </w:rPr>
        <w:t>ים</w:t>
      </w:r>
      <w:r w:rsidRPr="004547CD">
        <w:rPr>
          <w:rFonts w:ascii="Times New Roman" w:hAnsi="Times New Roman" w:cs="FrankRuehl"/>
          <w:sz w:val="20"/>
          <w:rtl/>
        </w:rPr>
        <w:t xml:space="preserve"> </w:t>
      </w:r>
      <w:r w:rsidRPr="004547CD">
        <w:rPr>
          <w:rFonts w:ascii="Times New Roman" w:hAnsi="Times New Roman" w:cs="FrankRuehl" w:hint="eastAsia"/>
          <w:sz w:val="20"/>
          <w:rtl/>
        </w:rPr>
        <w:t>ל</w:t>
      </w:r>
      <w:r w:rsidRPr="004547CD">
        <w:rPr>
          <w:rFonts w:ascii="Times New Roman" w:hAnsi="Times New Roman" w:cs="FrankRuehl" w:hint="cs"/>
          <w:sz w:val="20"/>
          <w:rtl/>
        </w:rPr>
        <w:t>כמה</w:t>
      </w:r>
      <w:r w:rsidRPr="004547CD">
        <w:rPr>
          <w:rFonts w:ascii="Times New Roman" w:hAnsi="Times New Roman" w:cs="FrankRuehl"/>
          <w:sz w:val="20"/>
          <w:rtl/>
        </w:rPr>
        <w:t xml:space="preserve"> </w:t>
      </w:r>
      <w:r w:rsidRPr="004547CD">
        <w:rPr>
          <w:rFonts w:ascii="Times New Roman" w:hAnsi="Times New Roman" w:cs="FrankRuehl" w:hint="eastAsia"/>
          <w:sz w:val="20"/>
          <w:rtl/>
        </w:rPr>
        <w:t>תאים</w:t>
      </w:r>
      <w:r w:rsidRPr="004547CD">
        <w:rPr>
          <w:rFonts w:ascii="Times New Roman" w:hAnsi="Times New Roman" w:cs="FrankRuehl"/>
          <w:sz w:val="20"/>
          <w:rtl/>
        </w:rPr>
        <w:t xml:space="preserve">, </w:t>
      </w:r>
      <w:r w:rsidRPr="004547CD">
        <w:rPr>
          <w:rFonts w:ascii="Times New Roman" w:hAnsi="Times New Roman" w:cs="FrankRuehl" w:hint="eastAsia"/>
          <w:sz w:val="20"/>
          <w:rtl/>
        </w:rPr>
        <w:t>המתאימים</w:t>
      </w:r>
      <w:r w:rsidRPr="004547CD">
        <w:rPr>
          <w:rFonts w:ascii="Times New Roman" w:hAnsi="Times New Roman" w:cs="FrankRuehl"/>
          <w:sz w:val="20"/>
          <w:rtl/>
        </w:rPr>
        <w:t xml:space="preserve"> </w:t>
      </w:r>
      <w:r w:rsidRPr="004547CD">
        <w:rPr>
          <w:rFonts w:ascii="Times New Roman" w:hAnsi="Times New Roman" w:cs="FrankRuehl" w:hint="eastAsia"/>
          <w:sz w:val="20"/>
          <w:rtl/>
        </w:rPr>
        <w:t>לתפוסה</w:t>
      </w:r>
      <w:r w:rsidRPr="004547CD">
        <w:rPr>
          <w:rFonts w:ascii="Times New Roman" w:hAnsi="Times New Roman" w:cs="FrankRuehl"/>
          <w:sz w:val="20"/>
          <w:rtl/>
        </w:rPr>
        <w:t xml:space="preserve"> </w:t>
      </w:r>
      <w:r w:rsidRPr="004547CD">
        <w:rPr>
          <w:rFonts w:ascii="Times New Roman" w:hAnsi="Times New Roman" w:cs="FrankRuehl" w:hint="eastAsia"/>
          <w:sz w:val="20"/>
          <w:rtl/>
        </w:rPr>
        <w:t>של</w:t>
      </w:r>
      <w:r w:rsidRPr="004547CD">
        <w:rPr>
          <w:rFonts w:ascii="Times New Roman" w:hAnsi="Times New Roman" w:cs="FrankRuehl"/>
          <w:sz w:val="20"/>
          <w:rtl/>
        </w:rPr>
        <w:t xml:space="preserve"> </w:t>
      </w:r>
      <w:r w:rsidRPr="004547CD">
        <w:rPr>
          <w:rFonts w:ascii="Times New Roman" w:hAnsi="Times New Roman" w:cs="FrankRuehl" w:hint="eastAsia"/>
          <w:sz w:val="20"/>
          <w:rtl/>
        </w:rPr>
        <w:t>עד</w:t>
      </w:r>
      <w:r w:rsidRPr="004547CD">
        <w:rPr>
          <w:rFonts w:ascii="Times New Roman" w:hAnsi="Times New Roman" w:cs="FrankRuehl"/>
          <w:sz w:val="20"/>
          <w:rtl/>
        </w:rPr>
        <w:t xml:space="preserve"> </w:t>
      </w:r>
      <w:r w:rsidRPr="004547CD">
        <w:rPr>
          <w:rFonts w:ascii="Times New Roman" w:hAnsi="Times New Roman" w:cs="FrankRuehl" w:hint="eastAsia"/>
          <w:sz w:val="20"/>
          <w:rtl/>
        </w:rPr>
        <w:t>עשרה</w:t>
      </w:r>
      <w:r w:rsidRPr="004547CD">
        <w:rPr>
          <w:rFonts w:ascii="Times New Roman" w:hAnsi="Times New Roman" w:cs="FrankRuehl"/>
          <w:sz w:val="20"/>
          <w:rtl/>
        </w:rPr>
        <w:t xml:space="preserve"> </w:t>
      </w:r>
      <w:r w:rsidRPr="004547CD">
        <w:rPr>
          <w:rFonts w:ascii="Times New Roman" w:hAnsi="Times New Roman" w:cs="FrankRuehl" w:hint="eastAsia"/>
          <w:sz w:val="20"/>
          <w:rtl/>
        </w:rPr>
        <w:t>אנשים</w:t>
      </w:r>
      <w:r w:rsidRPr="004547CD">
        <w:rPr>
          <w:rFonts w:ascii="Times New Roman" w:hAnsi="Times New Roman" w:cs="FrankRuehl"/>
          <w:sz w:val="20"/>
          <w:rtl/>
        </w:rPr>
        <w:t>. הנסיעות אורכות לעתים שעות ארוכות, ובמהלכן ה</w:t>
      </w:r>
      <w:r w:rsidRPr="004547CD">
        <w:rPr>
          <w:rFonts w:ascii="Times New Roman" w:hAnsi="Times New Roman" w:cs="FrankRuehl" w:hint="cs"/>
          <w:sz w:val="20"/>
          <w:rtl/>
        </w:rPr>
        <w:t>עצורים</w:t>
      </w:r>
      <w:r w:rsidRPr="004547CD">
        <w:rPr>
          <w:rFonts w:ascii="Times New Roman" w:hAnsi="Times New Roman" w:cs="FrankRuehl"/>
          <w:sz w:val="20"/>
          <w:rtl/>
        </w:rPr>
        <w:t xml:space="preserve"> יושבים </w:t>
      </w:r>
      <w:r w:rsidRPr="004547CD">
        <w:rPr>
          <w:rFonts w:ascii="Times New Roman" w:hAnsi="Times New Roman" w:cs="FrankRuehl" w:hint="cs"/>
          <w:sz w:val="20"/>
          <w:rtl/>
        </w:rPr>
        <w:t>כ</w:t>
      </w:r>
      <w:r w:rsidRPr="004547CD">
        <w:rPr>
          <w:rFonts w:ascii="Times New Roman" w:hAnsi="Times New Roman" w:cs="FrankRuehl"/>
          <w:sz w:val="20"/>
          <w:rtl/>
        </w:rPr>
        <w:t>שידיהם ורגליהם כבול</w:t>
      </w:r>
      <w:r w:rsidRPr="004547CD">
        <w:rPr>
          <w:rFonts w:ascii="Times New Roman" w:hAnsi="Times New Roman" w:cs="FrankRuehl" w:hint="cs"/>
          <w:sz w:val="20"/>
          <w:rtl/>
        </w:rPr>
        <w:t>ות</w:t>
      </w:r>
      <w:r w:rsidRPr="004547CD">
        <w:rPr>
          <w:rFonts w:ascii="Times New Roman" w:hAnsi="Times New Roman" w:cs="FrankRuehl"/>
          <w:sz w:val="20"/>
          <w:rtl/>
        </w:rPr>
        <w:t xml:space="preserve">. </w:t>
      </w:r>
    </w:p>
    <w:p w:rsidR="006259B3" w:rsidRPr="004547CD" w:rsidP="008A6D26">
      <w:pPr>
        <w:pStyle w:val="ListParagraph"/>
        <w:spacing w:after="120" w:line="230" w:lineRule="exact"/>
        <w:ind w:left="340"/>
        <w:contextualSpacing w:val="0"/>
        <w:jc w:val="both"/>
        <w:rPr>
          <w:rFonts w:ascii="Times New Roman" w:hAnsi="Times New Roman" w:cs="FrankRuehl"/>
          <w:sz w:val="20"/>
          <w:rtl/>
        </w:rPr>
      </w:pPr>
      <w:r w:rsidRPr="004547CD">
        <w:rPr>
          <w:rFonts w:ascii="Times New Roman" w:hAnsi="Times New Roman" w:cs="FrankRuehl" w:hint="cs"/>
          <w:sz w:val="20"/>
          <w:rtl/>
        </w:rPr>
        <w:t>בעתירה לבג"ץ</w:t>
      </w:r>
      <w:r>
        <w:rPr>
          <w:rStyle w:val="FootnoteReference"/>
          <w:rFonts w:ascii="Times New Roman" w:hAnsi="Times New Roman" w:cs="FrankRuehl"/>
          <w:sz w:val="20"/>
          <w:rtl/>
        </w:rPr>
        <w:footnoteReference w:id="24"/>
      </w:r>
      <w:r w:rsidRPr="004547CD">
        <w:rPr>
          <w:rFonts w:ascii="Times New Roman" w:hAnsi="Times New Roman" w:cs="FrankRuehl" w:hint="cs"/>
          <w:sz w:val="20"/>
          <w:rtl/>
        </w:rPr>
        <w:t xml:space="preserve"> משנת 2008 דרשו העותרים שיפור תנאי העברת האסירים. בעתירה נכתב כי המינוח 'אסירים' מתייחס לעצורים ולשפוטים כאחד. בעתירה טענו העותרים בין היתר על תנאי הסעה וניוד ירודים, על הזמן הממושך של ההסעות, על המתנה ממושכת בניידות ההסעה בתנאים קשים ועל כבילת האסירים בעת הנסיעה. בהוראת בית המשפט הוגשו לעתירה שתי תגובות מטעם המדינה האחת </w:t>
      </w:r>
      <w:r w:rsidRPr="004547CD">
        <w:rPr>
          <w:rFonts w:ascii="Times New Roman" w:hAnsi="Times New Roman" w:cs="FrankRuehl" w:hint="eastAsia"/>
          <w:sz w:val="20"/>
          <w:rtl/>
        </w:rPr>
        <w:t>בנובמבר</w:t>
      </w:r>
      <w:r w:rsidRPr="004547CD">
        <w:rPr>
          <w:rFonts w:ascii="Times New Roman" w:hAnsi="Times New Roman" w:cs="FrankRuehl"/>
          <w:sz w:val="20"/>
          <w:rtl/>
        </w:rPr>
        <w:t xml:space="preserve"> 2008 </w:t>
      </w:r>
      <w:r w:rsidRPr="004547CD">
        <w:rPr>
          <w:rFonts w:ascii="Times New Roman" w:hAnsi="Times New Roman" w:cs="FrankRuehl" w:hint="eastAsia"/>
          <w:sz w:val="20"/>
          <w:rtl/>
        </w:rPr>
        <w:t>ו</w:t>
      </w:r>
      <w:r w:rsidRPr="004547CD">
        <w:rPr>
          <w:rFonts w:ascii="Times New Roman" w:hAnsi="Times New Roman" w:cs="FrankRuehl" w:hint="cs"/>
          <w:sz w:val="20"/>
          <w:rtl/>
        </w:rPr>
        <w:t xml:space="preserve">השנייה </w:t>
      </w:r>
      <w:r w:rsidRPr="004547CD">
        <w:rPr>
          <w:rFonts w:ascii="Times New Roman" w:hAnsi="Times New Roman" w:cs="FrankRuehl" w:hint="eastAsia"/>
          <w:sz w:val="20"/>
          <w:rtl/>
        </w:rPr>
        <w:t>ביולי</w:t>
      </w:r>
      <w:r w:rsidRPr="004547CD">
        <w:rPr>
          <w:rFonts w:ascii="Times New Roman" w:hAnsi="Times New Roman" w:cs="FrankRuehl"/>
          <w:sz w:val="20"/>
          <w:rtl/>
        </w:rPr>
        <w:t xml:space="preserve"> 2010.</w:t>
      </w:r>
    </w:p>
    <w:p w:rsidR="006259B3" w:rsidRPr="004547CD" w:rsidP="008A6D26">
      <w:pPr>
        <w:spacing w:after="120" w:line="230" w:lineRule="exact"/>
        <w:ind w:left="340"/>
        <w:jc w:val="both"/>
        <w:rPr>
          <w:rFonts w:cs="FrankRuehl"/>
          <w:sz w:val="20"/>
          <w:szCs w:val="22"/>
          <w:rtl/>
        </w:rPr>
      </w:pPr>
      <w:r w:rsidRPr="004547CD">
        <w:rPr>
          <w:rFonts w:cs="FrankRuehl" w:hint="cs"/>
          <w:sz w:val="20"/>
          <w:szCs w:val="22"/>
          <w:rtl/>
        </w:rPr>
        <w:t>בתגובה מנובמבר 2008 נכתב, בין השאר, כי "נושא זה נמצא בטיפול בימים אלה, ולשם כך אף נשכרת חברת ייעוץ חיצונית, אשר עתידה לתת את מסקנותיה בקרוב, והמשיבים סבורים, כי יש לאפשר את השלמת המהלך, אשר ודאי יוביל לשיפור נוסף בתנאי האסירים". בתגובה מיולי 2010 נכתב עוד כי הטענות המועלות בעתירה זכו וזוכות לטיפול, וכי התמונה הכללית מצביעה על שיפור וייעול שחל במערך ההסעות של האסירים והעצורים. בסופו של יום, בהמלצת בית המשפט נמחקה העתירה תוך שמירה על זכותם של העותרים לשוב ולהעלות סוגיה פרטנית שעלתה בעתירה ולא באה על פתרונה.</w:t>
      </w:r>
    </w:p>
    <w:p w:rsidR="006259B3" w:rsidRPr="004547CD" w:rsidP="008A6D26">
      <w:pPr>
        <w:spacing w:after="120" w:line="230" w:lineRule="exact"/>
        <w:ind w:left="340"/>
        <w:jc w:val="both"/>
        <w:rPr>
          <w:rFonts w:cs="FrankRuehl"/>
          <w:sz w:val="20"/>
          <w:szCs w:val="22"/>
          <w:rtl/>
        </w:rPr>
      </w:pPr>
      <w:r w:rsidRPr="004547CD">
        <w:rPr>
          <w:rFonts w:cs="FrankRuehl" w:hint="cs"/>
          <w:sz w:val="20"/>
          <w:szCs w:val="22"/>
          <w:rtl/>
        </w:rPr>
        <w:t>ביוני 2013 פנה עורך דינם של העותרים לנציב שב"ס וכתב כי "למרבה הצער מעדויות רבות שנאספו בארגונים לזכויות אדם</w:t>
      </w:r>
      <w:r>
        <w:rPr>
          <w:rStyle w:val="FootnoteReference"/>
          <w:rFonts w:cs="FrankRuehl"/>
          <w:sz w:val="20"/>
          <w:szCs w:val="22"/>
          <w:rtl/>
        </w:rPr>
        <w:footnoteReference w:id="25"/>
      </w:r>
      <w:r w:rsidRPr="004547CD">
        <w:rPr>
          <w:rFonts w:cs="FrankRuehl" w:hint="cs"/>
          <w:sz w:val="20"/>
          <w:szCs w:val="22"/>
          <w:rtl/>
        </w:rPr>
        <w:t xml:space="preserve"> בשנתיים האחרונות עולה תמונה עגומה לפיה תנאי ניוד האסירים עדיין ירודים ופוגעים בצורה קשה בזכויות היסוד החוקתיות של האסירים. האסירים עדיין מלינים על סבל רב במהלך הניוד ובמיוחד האסירים החולים". במכתבו הוא מציג תלונות על מקרים של נסיעות ממושכות בתנאים קשים. בסוף מכתבו הוא מעלה רשימה של בקשות שהיענות להן תקל, לדעתו, על סבלם של המוסעים ברכבים של יחידת נחשון.</w:t>
      </w:r>
    </w:p>
    <w:p w:rsidR="006259B3" w:rsidRPr="004547CD" w:rsidP="00E62E82">
      <w:pPr>
        <w:pStyle w:val="ListParagraph"/>
        <w:numPr>
          <w:ilvl w:val="0"/>
          <w:numId w:val="12"/>
        </w:numPr>
        <w:spacing w:after="240" w:line="230" w:lineRule="exact"/>
        <w:contextualSpacing w:val="0"/>
        <w:jc w:val="both"/>
        <w:rPr>
          <w:rFonts w:ascii="Times New Roman" w:hAnsi="Times New Roman" w:cs="FrankRuehl"/>
          <w:sz w:val="20"/>
          <w:rtl/>
        </w:rPr>
      </w:pPr>
      <w:r w:rsidRPr="004547CD">
        <w:rPr>
          <w:rFonts w:ascii="Times New Roman" w:hAnsi="Times New Roman" w:cs="FrankRuehl" w:hint="cs"/>
          <w:sz w:val="20"/>
          <w:rtl/>
        </w:rPr>
        <w:t>מדוח הסניגוריה הציבורית מאוגוסט 2014</w:t>
      </w:r>
      <w:r>
        <w:rPr>
          <w:rStyle w:val="FootnoteReference"/>
          <w:rFonts w:ascii="Times New Roman" w:hAnsi="Times New Roman" w:cs="FrankRuehl"/>
          <w:sz w:val="20"/>
          <w:rtl/>
        </w:rPr>
        <w:footnoteReference w:id="26"/>
      </w:r>
      <w:r w:rsidRPr="004547CD">
        <w:rPr>
          <w:rFonts w:ascii="Times New Roman" w:hAnsi="Times New Roman" w:cs="FrankRuehl" w:hint="cs"/>
          <w:sz w:val="20"/>
          <w:rtl/>
        </w:rPr>
        <w:t xml:space="preserve"> עולה ש"שימוש יתר במעצרים פוגע בצורה אנושה לא רק בזכויותיהם של העצורים לחירות ולכבוד, אלא גם בהגינות ההליך המשפטי ובסיכוי להביא לתוצאה צודקת". הסניגוריה הציבורית סבורה שהבעייתיות בתנאי הסעת עצורים והחזקתם בבתי המשפט דורשת שיפור של מערך ההובלות הקיים בין באמצעות הגדלת משאבי יחידת נחשון ובין באמצעות יצירת מסלולי הסעה קצרים יותר, כמו גם בהפחתת מספר המעצרים.</w:t>
      </w:r>
    </w:p>
    <w:p w:rsidR="006259B3" w:rsidRPr="004547CD" w:rsidP="00E62E82">
      <w:pPr>
        <w:pStyle w:val="RESHET"/>
        <w:keepLines/>
        <w:ind w:left="567"/>
        <w:rPr>
          <w:rtl/>
        </w:rPr>
      </w:pPr>
      <w:r w:rsidRPr="004547CD">
        <w:rPr>
          <w:rFonts w:hint="cs"/>
          <w:rtl/>
        </w:rPr>
        <w:t xml:space="preserve">לעתים </w:t>
      </w:r>
      <w:r w:rsidRPr="004547CD">
        <w:rPr>
          <w:rtl/>
        </w:rPr>
        <w:t>הפעולות ש</w:t>
      </w:r>
      <w:r w:rsidRPr="004547CD">
        <w:rPr>
          <w:rFonts w:hint="cs"/>
          <w:rtl/>
        </w:rPr>
        <w:t xml:space="preserve">נוקט </w:t>
      </w:r>
      <w:r w:rsidRPr="004547CD">
        <w:rPr>
          <w:rtl/>
        </w:rPr>
        <w:t>שב"ס ל</w:t>
      </w:r>
      <w:r w:rsidRPr="004547CD">
        <w:rPr>
          <w:rFonts w:hint="cs"/>
          <w:rtl/>
        </w:rPr>
        <w:t>שיפור</w:t>
      </w:r>
      <w:r w:rsidRPr="004547CD">
        <w:rPr>
          <w:rtl/>
        </w:rPr>
        <w:t xml:space="preserve"> תנאי החזקת העצורים אינ</w:t>
      </w:r>
      <w:r w:rsidRPr="004547CD">
        <w:rPr>
          <w:rFonts w:hint="cs"/>
          <w:rtl/>
        </w:rPr>
        <w:t>ן</w:t>
      </w:r>
      <w:r w:rsidRPr="004547CD">
        <w:rPr>
          <w:rtl/>
        </w:rPr>
        <w:t xml:space="preserve"> מיטיב</w:t>
      </w:r>
      <w:r w:rsidRPr="004547CD">
        <w:rPr>
          <w:rFonts w:hint="cs"/>
          <w:rtl/>
        </w:rPr>
        <w:t>ות</w:t>
      </w:r>
      <w:r w:rsidRPr="004547CD">
        <w:rPr>
          <w:rtl/>
        </w:rPr>
        <w:t xml:space="preserve"> </w:t>
      </w:r>
      <w:r w:rsidRPr="004547CD">
        <w:rPr>
          <w:rFonts w:hint="cs"/>
          <w:rtl/>
        </w:rPr>
        <w:t>עמם</w:t>
      </w:r>
      <w:r w:rsidRPr="004547CD">
        <w:rPr>
          <w:rtl/>
        </w:rPr>
        <w:t>. לדוגמה</w:t>
      </w:r>
      <w:r w:rsidRPr="004547CD">
        <w:rPr>
          <w:rFonts w:hint="cs"/>
          <w:rtl/>
        </w:rPr>
        <w:t>,</w:t>
      </w:r>
      <w:r w:rsidRPr="004547CD">
        <w:rPr>
          <w:rtl/>
        </w:rPr>
        <w:t xml:space="preserve"> </w:t>
      </w:r>
      <w:r w:rsidRPr="004547CD">
        <w:rPr>
          <w:rFonts w:hint="eastAsia"/>
          <w:rtl/>
        </w:rPr>
        <w:t>שב</w:t>
      </w:r>
      <w:r w:rsidRPr="004547CD">
        <w:rPr>
          <w:rtl/>
        </w:rPr>
        <w:t xml:space="preserve">"ס </w:t>
      </w:r>
      <w:r w:rsidRPr="004547CD">
        <w:rPr>
          <w:rFonts w:hint="eastAsia"/>
          <w:rtl/>
        </w:rPr>
        <w:t>מנסה</w:t>
      </w:r>
      <w:r w:rsidRPr="004547CD">
        <w:rPr>
          <w:rtl/>
        </w:rPr>
        <w:t xml:space="preserve"> </w:t>
      </w:r>
      <w:r w:rsidRPr="004547CD">
        <w:rPr>
          <w:rFonts w:hint="eastAsia"/>
          <w:rtl/>
        </w:rPr>
        <w:t>לעמוד</w:t>
      </w:r>
      <w:r w:rsidRPr="004547CD">
        <w:rPr>
          <w:rtl/>
        </w:rPr>
        <w:t xml:space="preserve"> </w:t>
      </w:r>
      <w:r w:rsidRPr="004547CD">
        <w:rPr>
          <w:rFonts w:hint="eastAsia"/>
          <w:rtl/>
        </w:rPr>
        <w:t>בתקנים</w:t>
      </w:r>
      <w:r w:rsidRPr="004547CD">
        <w:rPr>
          <w:rtl/>
        </w:rPr>
        <w:t xml:space="preserve"> </w:t>
      </w:r>
      <w:r w:rsidRPr="004547CD">
        <w:rPr>
          <w:rFonts w:hint="eastAsia"/>
          <w:rtl/>
        </w:rPr>
        <w:t>מינימליים</w:t>
      </w:r>
      <w:r w:rsidRPr="004547CD">
        <w:rPr>
          <w:rtl/>
        </w:rPr>
        <w:t xml:space="preserve"> </w:t>
      </w:r>
      <w:r w:rsidRPr="004547CD">
        <w:rPr>
          <w:rFonts w:hint="eastAsia"/>
          <w:rtl/>
        </w:rPr>
        <w:t>של</w:t>
      </w:r>
      <w:r w:rsidRPr="004547CD">
        <w:rPr>
          <w:rtl/>
        </w:rPr>
        <w:t xml:space="preserve"> </w:t>
      </w:r>
      <w:r w:rsidRPr="004547CD">
        <w:rPr>
          <w:rFonts w:hint="eastAsia"/>
          <w:rtl/>
        </w:rPr>
        <w:t>החזקת</w:t>
      </w:r>
      <w:r w:rsidRPr="004547CD">
        <w:rPr>
          <w:rtl/>
        </w:rPr>
        <w:t xml:space="preserve"> </w:t>
      </w:r>
      <w:r w:rsidRPr="004547CD">
        <w:rPr>
          <w:rFonts w:hint="eastAsia"/>
          <w:rtl/>
        </w:rPr>
        <w:t>עצורים</w:t>
      </w:r>
      <w:r w:rsidRPr="004547CD">
        <w:rPr>
          <w:rFonts w:hint="cs"/>
          <w:rtl/>
        </w:rPr>
        <w:t>,</w:t>
      </w:r>
      <w:r w:rsidRPr="004547CD">
        <w:rPr>
          <w:rtl/>
        </w:rPr>
        <w:t xml:space="preserve"> </w:t>
      </w:r>
      <w:r w:rsidRPr="004547CD">
        <w:rPr>
          <w:rFonts w:hint="eastAsia"/>
          <w:rtl/>
        </w:rPr>
        <w:t>ולשם</w:t>
      </w:r>
      <w:r w:rsidRPr="004547CD">
        <w:rPr>
          <w:rtl/>
        </w:rPr>
        <w:t xml:space="preserve"> </w:t>
      </w:r>
      <w:r w:rsidRPr="004547CD">
        <w:rPr>
          <w:rFonts w:hint="eastAsia"/>
          <w:rtl/>
        </w:rPr>
        <w:t>כך</w:t>
      </w:r>
      <w:r w:rsidRPr="004547CD">
        <w:rPr>
          <w:rtl/>
        </w:rPr>
        <w:t xml:space="preserve"> </w:t>
      </w:r>
      <w:r w:rsidRPr="004547CD">
        <w:rPr>
          <w:rFonts w:hint="eastAsia"/>
          <w:rtl/>
        </w:rPr>
        <w:t>הוא</w:t>
      </w:r>
      <w:r w:rsidRPr="004547CD">
        <w:rPr>
          <w:rtl/>
        </w:rPr>
        <w:t xml:space="preserve"> </w:t>
      </w:r>
      <w:r w:rsidRPr="004547CD">
        <w:rPr>
          <w:rFonts w:hint="eastAsia"/>
          <w:rtl/>
        </w:rPr>
        <w:t>משפץ</w:t>
      </w:r>
      <w:r w:rsidRPr="004547CD">
        <w:rPr>
          <w:rtl/>
        </w:rPr>
        <w:t xml:space="preserve"> </w:t>
      </w:r>
      <w:r w:rsidRPr="004547CD">
        <w:rPr>
          <w:rFonts w:hint="cs"/>
          <w:rtl/>
        </w:rPr>
        <w:t xml:space="preserve">את </w:t>
      </w:r>
      <w:r w:rsidRPr="004547CD">
        <w:rPr>
          <w:rFonts w:hint="eastAsia"/>
          <w:rtl/>
        </w:rPr>
        <w:t>מתקני</w:t>
      </w:r>
      <w:r w:rsidRPr="004547CD">
        <w:rPr>
          <w:rFonts w:hint="cs"/>
          <w:rtl/>
        </w:rPr>
        <w:t>ו,</w:t>
      </w:r>
      <w:r w:rsidRPr="004547CD">
        <w:rPr>
          <w:rtl/>
        </w:rPr>
        <w:t xml:space="preserve"> </w:t>
      </w:r>
      <w:r w:rsidRPr="004547CD">
        <w:rPr>
          <w:rFonts w:hint="eastAsia"/>
          <w:rtl/>
        </w:rPr>
        <w:t>דבר</w:t>
      </w:r>
      <w:r w:rsidRPr="004547CD">
        <w:rPr>
          <w:rtl/>
        </w:rPr>
        <w:t xml:space="preserve"> </w:t>
      </w:r>
      <w:r w:rsidRPr="004547CD">
        <w:rPr>
          <w:rFonts w:hint="eastAsia"/>
          <w:rtl/>
        </w:rPr>
        <w:t>ה</w:t>
      </w:r>
      <w:r w:rsidRPr="004547CD">
        <w:rPr>
          <w:rFonts w:hint="cs"/>
          <w:rtl/>
        </w:rPr>
        <w:t>גורם</w:t>
      </w:r>
      <w:r w:rsidRPr="004547CD">
        <w:rPr>
          <w:rtl/>
        </w:rPr>
        <w:t xml:space="preserve"> </w:t>
      </w:r>
      <w:r w:rsidRPr="004547CD">
        <w:rPr>
          <w:rFonts w:hint="cs"/>
          <w:rtl/>
        </w:rPr>
        <w:t>ל</w:t>
      </w:r>
      <w:r w:rsidRPr="004547CD">
        <w:rPr>
          <w:rFonts w:hint="eastAsia"/>
          <w:rtl/>
        </w:rPr>
        <w:t>צמצום</w:t>
      </w:r>
      <w:r w:rsidRPr="004547CD">
        <w:rPr>
          <w:rtl/>
        </w:rPr>
        <w:t xml:space="preserve"> </w:t>
      </w:r>
      <w:r w:rsidRPr="004547CD">
        <w:rPr>
          <w:rFonts w:hint="eastAsia"/>
          <w:rtl/>
        </w:rPr>
        <w:t>יכולת</w:t>
      </w:r>
      <w:r w:rsidRPr="004547CD">
        <w:rPr>
          <w:rFonts w:hint="cs"/>
          <w:rtl/>
        </w:rPr>
        <w:t>ו</w:t>
      </w:r>
      <w:r w:rsidRPr="004547CD">
        <w:rPr>
          <w:rtl/>
        </w:rPr>
        <w:t xml:space="preserve"> </w:t>
      </w:r>
      <w:r w:rsidRPr="004547CD">
        <w:rPr>
          <w:rFonts w:hint="eastAsia"/>
          <w:rtl/>
        </w:rPr>
        <w:t>לקלוט</w:t>
      </w:r>
      <w:r w:rsidRPr="004547CD">
        <w:rPr>
          <w:rtl/>
        </w:rPr>
        <w:t xml:space="preserve"> </w:t>
      </w:r>
      <w:r w:rsidRPr="004547CD">
        <w:rPr>
          <w:rFonts w:hint="eastAsia"/>
          <w:rtl/>
        </w:rPr>
        <w:t>עצורים</w:t>
      </w:r>
      <w:r w:rsidRPr="004547CD">
        <w:rPr>
          <w:rFonts w:hint="cs"/>
          <w:rtl/>
        </w:rPr>
        <w:t>.</w:t>
      </w:r>
      <w:r w:rsidRPr="004547CD">
        <w:rPr>
          <w:rtl/>
        </w:rPr>
        <w:t xml:space="preserve"> </w:t>
      </w:r>
      <w:r w:rsidRPr="004547CD">
        <w:rPr>
          <w:rFonts w:hint="cs"/>
          <w:rtl/>
        </w:rPr>
        <w:t xml:space="preserve">במצב זה קטֵן מספר מקומות הכליאה, </w:t>
      </w:r>
      <w:r w:rsidRPr="004547CD">
        <w:rPr>
          <w:rFonts w:hint="eastAsia"/>
          <w:rtl/>
        </w:rPr>
        <w:t>ומשטרת</w:t>
      </w:r>
      <w:r w:rsidRPr="004547CD">
        <w:rPr>
          <w:rtl/>
        </w:rPr>
        <w:t xml:space="preserve"> </w:t>
      </w:r>
      <w:r w:rsidRPr="004547CD">
        <w:rPr>
          <w:rFonts w:hint="eastAsia"/>
          <w:rtl/>
        </w:rPr>
        <w:t>ישראל</w:t>
      </w:r>
      <w:r w:rsidRPr="004547CD">
        <w:rPr>
          <w:rtl/>
        </w:rPr>
        <w:t xml:space="preserve"> </w:t>
      </w:r>
      <w:r w:rsidRPr="004547CD">
        <w:rPr>
          <w:rFonts w:hint="eastAsia"/>
          <w:rtl/>
        </w:rPr>
        <w:t>נדרשת</w:t>
      </w:r>
      <w:r w:rsidRPr="004547CD">
        <w:rPr>
          <w:rtl/>
        </w:rPr>
        <w:t xml:space="preserve"> </w:t>
      </w:r>
      <w:r w:rsidRPr="004547CD">
        <w:rPr>
          <w:rFonts w:hint="eastAsia"/>
          <w:rtl/>
        </w:rPr>
        <w:t>להעביר</w:t>
      </w:r>
      <w:r w:rsidRPr="004547CD">
        <w:rPr>
          <w:rtl/>
        </w:rPr>
        <w:t xml:space="preserve"> </w:t>
      </w:r>
      <w:r w:rsidRPr="004547CD">
        <w:rPr>
          <w:rFonts w:hint="eastAsia"/>
          <w:rtl/>
        </w:rPr>
        <w:t>עצורים</w:t>
      </w:r>
      <w:r w:rsidRPr="004547CD">
        <w:rPr>
          <w:rtl/>
        </w:rPr>
        <w:t xml:space="preserve"> </w:t>
      </w:r>
      <w:r w:rsidRPr="004547CD">
        <w:rPr>
          <w:rFonts w:hint="eastAsia"/>
          <w:rtl/>
        </w:rPr>
        <w:t>למתקני</w:t>
      </w:r>
      <w:r w:rsidRPr="004547CD">
        <w:rPr>
          <w:rtl/>
        </w:rPr>
        <w:t xml:space="preserve"> </w:t>
      </w:r>
      <w:r w:rsidRPr="004547CD">
        <w:rPr>
          <w:rFonts w:hint="eastAsia"/>
          <w:rtl/>
        </w:rPr>
        <w:t>כליאה</w:t>
      </w:r>
      <w:r w:rsidRPr="004547CD">
        <w:rPr>
          <w:rtl/>
        </w:rPr>
        <w:t xml:space="preserve"> </w:t>
      </w:r>
      <w:r w:rsidRPr="004547CD">
        <w:rPr>
          <w:rFonts w:hint="eastAsia"/>
          <w:rtl/>
        </w:rPr>
        <w:t>מחוץ</w:t>
      </w:r>
      <w:r w:rsidRPr="004547CD">
        <w:rPr>
          <w:rtl/>
        </w:rPr>
        <w:t xml:space="preserve"> </w:t>
      </w:r>
      <w:r w:rsidRPr="004547CD">
        <w:rPr>
          <w:rFonts w:hint="eastAsia"/>
          <w:rtl/>
        </w:rPr>
        <w:t>למחוזות</w:t>
      </w:r>
      <w:r w:rsidRPr="004547CD">
        <w:rPr>
          <w:rFonts w:hint="cs"/>
          <w:rtl/>
        </w:rPr>
        <w:t>.</w:t>
      </w:r>
      <w:r w:rsidRPr="004547CD">
        <w:rPr>
          <w:rtl/>
        </w:rPr>
        <w:t xml:space="preserve"> </w:t>
      </w:r>
      <w:r w:rsidRPr="004547CD">
        <w:rPr>
          <w:rFonts w:hint="cs"/>
          <w:rtl/>
        </w:rPr>
        <w:t xml:space="preserve">פתרון זה, </w:t>
      </w:r>
      <w:r w:rsidRPr="004547CD">
        <w:rPr>
          <w:rFonts w:hint="eastAsia"/>
          <w:rtl/>
        </w:rPr>
        <w:t>הגורם</w:t>
      </w:r>
      <w:r w:rsidRPr="004547CD">
        <w:rPr>
          <w:rtl/>
        </w:rPr>
        <w:t xml:space="preserve"> </w:t>
      </w:r>
      <w:r w:rsidRPr="004547CD">
        <w:rPr>
          <w:rFonts w:hint="eastAsia"/>
          <w:rtl/>
        </w:rPr>
        <w:t>לבזבוז</w:t>
      </w:r>
      <w:r w:rsidRPr="004547CD">
        <w:rPr>
          <w:rtl/>
        </w:rPr>
        <w:t xml:space="preserve"> </w:t>
      </w:r>
      <w:r w:rsidRPr="004547CD">
        <w:rPr>
          <w:rFonts w:hint="eastAsia"/>
          <w:rtl/>
        </w:rPr>
        <w:t>משאבים</w:t>
      </w:r>
      <w:r w:rsidRPr="004547CD">
        <w:rPr>
          <w:rtl/>
        </w:rPr>
        <w:t xml:space="preserve"> </w:t>
      </w:r>
      <w:r w:rsidRPr="004547CD">
        <w:rPr>
          <w:rFonts w:hint="cs"/>
          <w:rtl/>
        </w:rPr>
        <w:t>ול</w:t>
      </w:r>
      <w:r w:rsidRPr="004547CD">
        <w:rPr>
          <w:rFonts w:hint="eastAsia"/>
          <w:rtl/>
        </w:rPr>
        <w:t>ריבוי</w:t>
      </w:r>
      <w:r w:rsidRPr="004547CD">
        <w:rPr>
          <w:rtl/>
        </w:rPr>
        <w:t xml:space="preserve"> </w:t>
      </w:r>
      <w:r w:rsidRPr="004547CD">
        <w:rPr>
          <w:rFonts w:hint="eastAsia"/>
          <w:rtl/>
        </w:rPr>
        <w:t>ליוויים</w:t>
      </w:r>
      <w:r w:rsidRPr="004547CD">
        <w:rPr>
          <w:rFonts w:hint="cs"/>
          <w:rtl/>
        </w:rPr>
        <w:t>, מוביל</w:t>
      </w:r>
      <w:r w:rsidRPr="004547CD">
        <w:rPr>
          <w:rtl/>
        </w:rPr>
        <w:t xml:space="preserve"> </w:t>
      </w:r>
      <w:r w:rsidRPr="004547CD">
        <w:rPr>
          <w:rFonts w:hint="eastAsia"/>
          <w:rtl/>
        </w:rPr>
        <w:t>לכך</w:t>
      </w:r>
      <w:r w:rsidRPr="004547CD">
        <w:rPr>
          <w:rtl/>
        </w:rPr>
        <w:t xml:space="preserve"> </w:t>
      </w:r>
      <w:r w:rsidRPr="004547CD">
        <w:rPr>
          <w:rFonts w:hint="eastAsia"/>
          <w:rtl/>
        </w:rPr>
        <w:t>שחלק</w:t>
      </w:r>
      <w:r w:rsidRPr="004547CD">
        <w:rPr>
          <w:rtl/>
        </w:rPr>
        <w:t xml:space="preserve"> </w:t>
      </w:r>
      <w:r w:rsidRPr="004547CD">
        <w:rPr>
          <w:rFonts w:hint="eastAsia"/>
          <w:rtl/>
        </w:rPr>
        <w:t>מן</w:t>
      </w:r>
      <w:r w:rsidRPr="004547CD">
        <w:rPr>
          <w:rtl/>
        </w:rPr>
        <w:t xml:space="preserve"> </w:t>
      </w:r>
      <w:r w:rsidRPr="004547CD">
        <w:rPr>
          <w:rFonts w:hint="eastAsia"/>
          <w:rtl/>
        </w:rPr>
        <w:t>היחידות</w:t>
      </w:r>
      <w:r w:rsidRPr="004547CD">
        <w:rPr>
          <w:rtl/>
        </w:rPr>
        <w:t xml:space="preserve"> </w:t>
      </w:r>
      <w:r w:rsidRPr="004547CD">
        <w:rPr>
          <w:rFonts w:hint="cs"/>
          <w:rtl/>
        </w:rPr>
        <w:t>במשטרה מבכרות ל</w:t>
      </w:r>
      <w:r w:rsidRPr="004547CD">
        <w:rPr>
          <w:rFonts w:hint="eastAsia"/>
          <w:rtl/>
        </w:rPr>
        <w:t>וותר</w:t>
      </w:r>
      <w:r w:rsidRPr="004547CD">
        <w:rPr>
          <w:rFonts w:hint="cs"/>
          <w:rtl/>
        </w:rPr>
        <w:t xml:space="preserve"> על ניוד העצורים אל מחוץ למחוזותיהם </w:t>
      </w:r>
      <w:r w:rsidRPr="004547CD">
        <w:rPr>
          <w:rFonts w:hint="eastAsia"/>
          <w:rtl/>
        </w:rPr>
        <w:t>ומחליטות</w:t>
      </w:r>
      <w:r w:rsidRPr="004547CD">
        <w:rPr>
          <w:rtl/>
        </w:rPr>
        <w:t xml:space="preserve"> </w:t>
      </w:r>
      <w:r w:rsidRPr="004547CD">
        <w:rPr>
          <w:rFonts w:hint="eastAsia"/>
          <w:rtl/>
        </w:rPr>
        <w:t>על</w:t>
      </w:r>
      <w:r w:rsidRPr="004547CD">
        <w:rPr>
          <w:rtl/>
        </w:rPr>
        <w:t xml:space="preserve"> </w:t>
      </w:r>
      <w:r w:rsidRPr="004547CD">
        <w:rPr>
          <w:rFonts w:hint="eastAsia"/>
          <w:rtl/>
        </w:rPr>
        <w:t>שחרור</w:t>
      </w:r>
      <w:r w:rsidRPr="004547CD">
        <w:rPr>
          <w:rtl/>
        </w:rPr>
        <w:t xml:space="preserve"> </w:t>
      </w:r>
      <w:r w:rsidRPr="004547CD">
        <w:rPr>
          <w:rFonts w:hint="eastAsia"/>
          <w:rtl/>
        </w:rPr>
        <w:t>העצור</w:t>
      </w:r>
      <w:r w:rsidRPr="004547CD">
        <w:rPr>
          <w:rtl/>
        </w:rPr>
        <w:t xml:space="preserve"> </w:t>
      </w:r>
      <w:r w:rsidRPr="004547CD">
        <w:rPr>
          <w:rFonts w:hint="eastAsia"/>
          <w:rtl/>
        </w:rPr>
        <w:t>או</w:t>
      </w:r>
      <w:r w:rsidRPr="004547CD">
        <w:rPr>
          <w:rFonts w:hint="cs"/>
          <w:rtl/>
        </w:rPr>
        <w:t xml:space="preserve"> על </w:t>
      </w:r>
      <w:r w:rsidRPr="004547CD">
        <w:rPr>
          <w:rFonts w:hint="eastAsia"/>
          <w:rtl/>
        </w:rPr>
        <w:t>כליאתו</w:t>
      </w:r>
      <w:r w:rsidRPr="004547CD">
        <w:rPr>
          <w:rtl/>
        </w:rPr>
        <w:t xml:space="preserve"> </w:t>
      </w:r>
      <w:r w:rsidRPr="004547CD">
        <w:rPr>
          <w:rFonts w:hint="eastAsia"/>
          <w:rtl/>
        </w:rPr>
        <w:t>במתקני</w:t>
      </w:r>
      <w:r w:rsidRPr="004547CD">
        <w:rPr>
          <w:rtl/>
        </w:rPr>
        <w:t xml:space="preserve"> </w:t>
      </w:r>
      <w:r w:rsidRPr="004547CD">
        <w:rPr>
          <w:rFonts w:hint="eastAsia"/>
          <w:rtl/>
        </w:rPr>
        <w:t>משטרת</w:t>
      </w:r>
      <w:r w:rsidRPr="004547CD">
        <w:rPr>
          <w:rtl/>
        </w:rPr>
        <w:t xml:space="preserve"> </w:t>
      </w:r>
      <w:r w:rsidRPr="004547CD">
        <w:rPr>
          <w:rFonts w:hint="eastAsia"/>
          <w:rtl/>
        </w:rPr>
        <w:t>ישראל</w:t>
      </w:r>
      <w:r w:rsidRPr="004547CD">
        <w:rPr>
          <w:rtl/>
        </w:rPr>
        <w:t xml:space="preserve">. </w:t>
      </w:r>
    </w:p>
    <w:p w:rsidR="006259B3" w:rsidRPr="004547CD" w:rsidP="00E62E82">
      <w:pPr>
        <w:spacing w:before="180" w:after="240" w:line="230" w:lineRule="exact"/>
        <w:ind w:left="340"/>
        <w:jc w:val="both"/>
        <w:rPr>
          <w:rFonts w:cs="FrankRuehl"/>
          <w:sz w:val="20"/>
          <w:szCs w:val="22"/>
          <w:rtl/>
        </w:rPr>
      </w:pPr>
      <w:r w:rsidRPr="004547CD">
        <w:rPr>
          <w:rFonts w:cs="FrankRuehl" w:hint="cs"/>
          <w:sz w:val="20"/>
          <w:szCs w:val="22"/>
          <w:rtl/>
        </w:rPr>
        <w:t>שב"ס מסר בתשובתו כי "אכן, במהלך השנים האחרונות נעשו פעולות רבות לרווח תאים, במסגרת המאמצים לשיפור תנאי המחיה של האסירים. במסגרת זו מתבצע שיפוץ והפחתת מיטות בתאים בהם מצויות מעל 10 מיטות, לפי תכנית רב שנתית. שב"ס עושה את המירב לקליטת עצורים מכלל הגורמים, אולם מזה זמן רב שב"ס התריע ומתריע על מחסור במקומות כליאה, שהולך ומחריף עם העלייה העקבית במספר העצורים. המצוקה תמשיך ותחריף בהיעדר פתרון".</w:t>
      </w:r>
    </w:p>
    <w:p w:rsidR="006259B3" w:rsidRPr="004547CD" w:rsidP="00E62E82">
      <w:pPr>
        <w:pStyle w:val="RESHET"/>
        <w:keepLines/>
        <w:ind w:left="567"/>
        <w:rPr>
          <w:rtl/>
        </w:rPr>
      </w:pPr>
      <w:r w:rsidRPr="004547CD">
        <w:rPr>
          <w:rFonts w:hint="cs"/>
          <w:rtl/>
        </w:rPr>
        <w:t>הביקורת העלתה כי השילוב בין מגמת ה</w:t>
      </w:r>
      <w:r w:rsidRPr="004547CD">
        <w:rPr>
          <w:rtl/>
        </w:rPr>
        <w:t xml:space="preserve">גידול </w:t>
      </w:r>
      <w:r w:rsidRPr="004547CD">
        <w:rPr>
          <w:rFonts w:hint="cs"/>
          <w:rtl/>
        </w:rPr>
        <w:t>במעצרים בשנים האחרונות וה</w:t>
      </w:r>
      <w:r w:rsidRPr="004547CD">
        <w:rPr>
          <w:rtl/>
        </w:rPr>
        <w:t>מחסור במקומות כליאה גר</w:t>
      </w:r>
      <w:r w:rsidRPr="004547CD">
        <w:rPr>
          <w:rFonts w:hint="cs"/>
          <w:rtl/>
        </w:rPr>
        <w:t>ם</w:t>
      </w:r>
      <w:r w:rsidRPr="004547CD">
        <w:rPr>
          <w:rtl/>
        </w:rPr>
        <w:t xml:space="preserve"> </w:t>
      </w:r>
      <w:r w:rsidRPr="004547CD">
        <w:rPr>
          <w:rFonts w:hint="cs"/>
          <w:rtl/>
        </w:rPr>
        <w:t>לנזקים בקשרי הגומלין שבין המשטרה לשב"ס ובתנאי כליאתם והחזקתם של עצורים.</w:t>
      </w:r>
      <w:r w:rsidRPr="004547CD">
        <w:rPr>
          <w:rtl/>
        </w:rPr>
        <w:t xml:space="preserve"> </w:t>
      </w:r>
      <w:r w:rsidRPr="004547CD">
        <w:rPr>
          <w:rFonts w:hint="cs"/>
          <w:rtl/>
        </w:rPr>
        <w:t>מעצרו</w:t>
      </w:r>
      <w:r w:rsidRPr="004547CD">
        <w:rPr>
          <w:rtl/>
        </w:rPr>
        <w:t xml:space="preserve"> </w:t>
      </w:r>
      <w:r w:rsidRPr="004547CD">
        <w:rPr>
          <w:rFonts w:hint="eastAsia"/>
          <w:rtl/>
        </w:rPr>
        <w:t>של</w:t>
      </w:r>
      <w:r w:rsidRPr="004547CD">
        <w:rPr>
          <w:rtl/>
        </w:rPr>
        <w:t xml:space="preserve"> </w:t>
      </w:r>
      <w:r w:rsidRPr="004547CD">
        <w:rPr>
          <w:rFonts w:hint="eastAsia"/>
          <w:rtl/>
        </w:rPr>
        <w:t>אדם</w:t>
      </w:r>
      <w:r w:rsidRPr="004547CD">
        <w:rPr>
          <w:rFonts w:hint="cs"/>
          <w:rtl/>
        </w:rPr>
        <w:t xml:space="preserve"> שעומדת לו חזקת החפות</w:t>
      </w:r>
      <w:r w:rsidRPr="004547CD">
        <w:rPr>
          <w:rtl/>
        </w:rPr>
        <w:t xml:space="preserve"> </w:t>
      </w:r>
      <w:r w:rsidRPr="004547CD">
        <w:rPr>
          <w:rFonts w:hint="eastAsia"/>
          <w:rtl/>
        </w:rPr>
        <w:t>פוגע</w:t>
      </w:r>
      <w:r w:rsidRPr="004547CD">
        <w:rPr>
          <w:rtl/>
        </w:rPr>
        <w:t xml:space="preserve"> </w:t>
      </w:r>
      <w:r w:rsidRPr="004547CD">
        <w:rPr>
          <w:rFonts w:hint="eastAsia"/>
          <w:rtl/>
        </w:rPr>
        <w:t>בזכות</w:t>
      </w:r>
      <w:r w:rsidRPr="004547CD">
        <w:rPr>
          <w:rtl/>
        </w:rPr>
        <w:t xml:space="preserve"> </w:t>
      </w:r>
      <w:r w:rsidRPr="004547CD">
        <w:rPr>
          <w:rFonts w:hint="eastAsia"/>
          <w:rtl/>
        </w:rPr>
        <w:t>היסוד</w:t>
      </w:r>
      <w:r w:rsidRPr="004547CD">
        <w:rPr>
          <w:rtl/>
        </w:rPr>
        <w:t xml:space="preserve"> </w:t>
      </w:r>
      <w:r w:rsidRPr="004547CD">
        <w:rPr>
          <w:rFonts w:hint="eastAsia"/>
          <w:rtl/>
        </w:rPr>
        <w:t>שלו</w:t>
      </w:r>
      <w:r w:rsidRPr="004547CD">
        <w:rPr>
          <w:rFonts w:hint="cs"/>
          <w:rtl/>
        </w:rPr>
        <w:t>.</w:t>
      </w:r>
      <w:r w:rsidRPr="004547CD">
        <w:rPr>
          <w:rtl/>
        </w:rPr>
        <w:t xml:space="preserve"> לפיכך על </w:t>
      </w:r>
      <w:r w:rsidRPr="004547CD">
        <w:rPr>
          <w:rFonts w:hint="cs"/>
          <w:rtl/>
        </w:rPr>
        <w:t xml:space="preserve">המשרד לבט"פ בשיתוף </w:t>
      </w:r>
      <w:r w:rsidRPr="004547CD">
        <w:rPr>
          <w:rtl/>
        </w:rPr>
        <w:t xml:space="preserve">המשטרה </w:t>
      </w:r>
      <w:r w:rsidRPr="004547CD">
        <w:rPr>
          <w:rFonts w:hint="cs"/>
          <w:rtl/>
        </w:rPr>
        <w:t xml:space="preserve">ושב"ס לבחון את כל ההיבטים שהוזכרו לעיל ולפעול בהתאם לכך. באופן זה ניתן יהיה </w:t>
      </w:r>
      <w:r w:rsidRPr="004547CD">
        <w:rPr>
          <w:rtl/>
        </w:rPr>
        <w:t xml:space="preserve">לוודא שהמעצרים </w:t>
      </w:r>
      <w:r w:rsidRPr="004547CD">
        <w:rPr>
          <w:rFonts w:hint="eastAsia"/>
          <w:rtl/>
        </w:rPr>
        <w:t>ייעשו</w:t>
      </w:r>
      <w:r w:rsidRPr="004547CD">
        <w:rPr>
          <w:rtl/>
        </w:rPr>
        <w:t xml:space="preserve"> רק במקרים </w:t>
      </w:r>
      <w:r w:rsidRPr="004547CD">
        <w:rPr>
          <w:rFonts w:hint="cs"/>
          <w:rtl/>
        </w:rPr>
        <w:t>ש</w:t>
      </w:r>
      <w:r w:rsidRPr="004547CD">
        <w:rPr>
          <w:rtl/>
        </w:rPr>
        <w:t>בהם הדבר הכרחי</w:t>
      </w:r>
      <w:r w:rsidRPr="004547CD">
        <w:rPr>
          <w:rFonts w:hint="cs"/>
          <w:rtl/>
        </w:rPr>
        <w:t>, תוך איזון ראוי בין האינטרס הציבורי בקיומה של מערכת משטרתית המאפשרת חקירה יעילה של חשודים והרחקת נאשמים שנשקפת מהם מסוכנות תוך כדי ניהול משפטם, לבין האינטרס של שמירה על חירותם האישית של החשודים והנאשמים.</w:t>
      </w:r>
    </w:p>
    <w:p w:rsidR="006259B3" w:rsidRPr="004547CD" w:rsidP="008A6D26">
      <w:pPr>
        <w:spacing w:after="120" w:line="230" w:lineRule="exact"/>
        <w:jc w:val="both"/>
        <w:rPr>
          <w:rFonts w:cs="FrankRuehl"/>
          <w:sz w:val="20"/>
          <w:szCs w:val="22"/>
        </w:rPr>
      </w:pPr>
    </w:p>
    <w:p w:rsidR="006259B3" w:rsidRPr="004547CD" w:rsidP="008A6D26">
      <w:pPr>
        <w:spacing w:after="120" w:line="230" w:lineRule="exact"/>
        <w:jc w:val="both"/>
        <w:rPr>
          <w:rFonts w:cs="FrankRuehl"/>
          <w:sz w:val="20"/>
          <w:szCs w:val="22"/>
          <w:rtl/>
        </w:rPr>
      </w:pPr>
    </w:p>
    <w:p w:rsidR="006259B3" w:rsidRPr="00596B42" w:rsidP="008A6D26">
      <w:pPr>
        <w:pStyle w:val="KOT4"/>
        <w:rPr>
          <w:rtl/>
        </w:rPr>
      </w:pPr>
      <w:r w:rsidRPr="00596B42">
        <w:rPr>
          <w:rFonts w:hint="cs"/>
          <w:rtl/>
        </w:rPr>
        <w:t>סיכום</w:t>
      </w:r>
    </w:p>
    <w:p w:rsidR="006259B3" w:rsidRPr="004547CD" w:rsidP="00E62E82">
      <w:pPr>
        <w:pStyle w:val="RESHET"/>
        <w:keepLines/>
        <w:rPr>
          <w:rtl/>
        </w:rPr>
      </w:pPr>
      <w:r w:rsidRPr="004547CD">
        <w:rPr>
          <w:rFonts w:hint="eastAsia"/>
          <w:rtl/>
        </w:rPr>
        <w:t>בשנת</w:t>
      </w:r>
      <w:r w:rsidRPr="004547CD">
        <w:rPr>
          <w:rtl/>
        </w:rPr>
        <w:t xml:space="preserve"> 2007 </w:t>
      </w:r>
      <w:r w:rsidRPr="004547CD">
        <w:rPr>
          <w:rFonts w:hint="eastAsia"/>
          <w:rtl/>
        </w:rPr>
        <w:t>החליט</w:t>
      </w:r>
      <w:r w:rsidRPr="004547CD">
        <w:rPr>
          <w:rtl/>
        </w:rPr>
        <w:t xml:space="preserve"> </w:t>
      </w:r>
      <w:r w:rsidRPr="004547CD">
        <w:rPr>
          <w:rFonts w:hint="eastAsia"/>
          <w:rtl/>
        </w:rPr>
        <w:t>השר</w:t>
      </w:r>
      <w:r w:rsidRPr="004547CD">
        <w:rPr>
          <w:rtl/>
        </w:rPr>
        <w:t xml:space="preserve"> </w:t>
      </w:r>
      <w:r w:rsidRPr="004547CD">
        <w:rPr>
          <w:rFonts w:hint="eastAsia"/>
          <w:rtl/>
        </w:rPr>
        <w:t>לב</w:t>
      </w:r>
      <w:r w:rsidRPr="004547CD">
        <w:rPr>
          <w:rFonts w:hint="cs"/>
          <w:rtl/>
        </w:rPr>
        <w:t>ט"פ</w:t>
      </w:r>
      <w:r w:rsidRPr="004547CD">
        <w:rPr>
          <w:rtl/>
        </w:rPr>
        <w:t xml:space="preserve"> </w:t>
      </w:r>
      <w:r w:rsidRPr="004547CD">
        <w:rPr>
          <w:rFonts w:hint="cs"/>
          <w:rtl/>
        </w:rPr>
        <w:t>ש</w:t>
      </w:r>
      <w:r w:rsidRPr="004547CD">
        <w:rPr>
          <w:rFonts w:hint="eastAsia"/>
          <w:rtl/>
        </w:rPr>
        <w:t>מערך</w:t>
      </w:r>
      <w:r w:rsidRPr="004547CD">
        <w:rPr>
          <w:rtl/>
        </w:rPr>
        <w:t xml:space="preserve"> </w:t>
      </w:r>
      <w:r w:rsidRPr="004547CD">
        <w:rPr>
          <w:rFonts w:hint="cs"/>
          <w:rtl/>
        </w:rPr>
        <w:t>הכליאה וה</w:t>
      </w:r>
      <w:r w:rsidRPr="004547CD">
        <w:rPr>
          <w:rFonts w:hint="eastAsia"/>
          <w:rtl/>
        </w:rPr>
        <w:t>ליווי</w:t>
      </w:r>
      <w:r w:rsidRPr="004547CD">
        <w:rPr>
          <w:rtl/>
        </w:rPr>
        <w:t xml:space="preserve"> </w:t>
      </w:r>
      <w:r w:rsidRPr="004547CD">
        <w:rPr>
          <w:rFonts w:hint="cs"/>
          <w:rtl/>
        </w:rPr>
        <w:t>של</w:t>
      </w:r>
      <w:r w:rsidRPr="004547CD">
        <w:rPr>
          <w:rtl/>
        </w:rPr>
        <w:t xml:space="preserve"> </w:t>
      </w:r>
      <w:r w:rsidRPr="004547CD">
        <w:rPr>
          <w:rFonts w:hint="eastAsia"/>
          <w:rtl/>
        </w:rPr>
        <w:t>העצורים</w:t>
      </w:r>
      <w:r w:rsidRPr="004547CD">
        <w:rPr>
          <w:rtl/>
        </w:rPr>
        <w:t xml:space="preserve"> </w:t>
      </w:r>
      <w:r w:rsidRPr="004547CD">
        <w:rPr>
          <w:rFonts w:hint="eastAsia"/>
          <w:rtl/>
        </w:rPr>
        <w:t>בישראל</w:t>
      </w:r>
      <w:r w:rsidRPr="004547CD">
        <w:rPr>
          <w:rtl/>
        </w:rPr>
        <w:t xml:space="preserve"> </w:t>
      </w:r>
      <w:r w:rsidRPr="004547CD">
        <w:rPr>
          <w:rFonts w:hint="eastAsia"/>
          <w:rtl/>
        </w:rPr>
        <w:t>יעבור</w:t>
      </w:r>
      <w:r w:rsidRPr="004547CD">
        <w:rPr>
          <w:rtl/>
        </w:rPr>
        <w:t xml:space="preserve"> </w:t>
      </w:r>
      <w:r w:rsidRPr="004547CD">
        <w:rPr>
          <w:rFonts w:hint="eastAsia"/>
          <w:rtl/>
        </w:rPr>
        <w:t>כולו</w:t>
      </w:r>
      <w:r w:rsidRPr="004547CD">
        <w:rPr>
          <w:rtl/>
        </w:rPr>
        <w:t xml:space="preserve"> </w:t>
      </w:r>
      <w:r w:rsidRPr="004547CD">
        <w:rPr>
          <w:rFonts w:hint="eastAsia"/>
          <w:rtl/>
        </w:rPr>
        <w:t>לאחריות</w:t>
      </w:r>
      <w:r w:rsidRPr="004547CD">
        <w:rPr>
          <w:rtl/>
        </w:rPr>
        <w:t xml:space="preserve"> </w:t>
      </w:r>
      <w:r w:rsidRPr="004547CD">
        <w:rPr>
          <w:rFonts w:hint="eastAsia"/>
          <w:rtl/>
        </w:rPr>
        <w:t>שירות</w:t>
      </w:r>
      <w:r w:rsidRPr="004547CD">
        <w:rPr>
          <w:rtl/>
        </w:rPr>
        <w:t xml:space="preserve"> </w:t>
      </w:r>
      <w:r w:rsidRPr="004547CD">
        <w:rPr>
          <w:rFonts w:hint="eastAsia"/>
          <w:rtl/>
        </w:rPr>
        <w:t>בתי</w:t>
      </w:r>
      <w:r w:rsidRPr="004547CD">
        <w:rPr>
          <w:rtl/>
        </w:rPr>
        <w:t xml:space="preserve"> </w:t>
      </w:r>
      <w:r w:rsidRPr="004547CD">
        <w:rPr>
          <w:rFonts w:hint="eastAsia"/>
          <w:rtl/>
        </w:rPr>
        <w:t>הסוהר</w:t>
      </w:r>
      <w:r w:rsidRPr="004547CD">
        <w:rPr>
          <w:rtl/>
        </w:rPr>
        <w:t xml:space="preserve">, </w:t>
      </w:r>
      <w:r w:rsidRPr="004547CD">
        <w:rPr>
          <w:rFonts w:hint="cs"/>
          <w:rtl/>
        </w:rPr>
        <w:t>ובשנת 2008 הוחל ביישום ההחלטה. החלטה זו משקפת את התפיסה שלפיה</w:t>
      </w:r>
      <w:r w:rsidRPr="004547CD">
        <w:rPr>
          <w:rtl/>
        </w:rPr>
        <w:t xml:space="preserve"> </w:t>
      </w:r>
      <w:r w:rsidRPr="004547CD">
        <w:rPr>
          <w:rFonts w:hint="cs"/>
          <w:rtl/>
        </w:rPr>
        <w:t>ה</w:t>
      </w:r>
      <w:r w:rsidRPr="004547CD">
        <w:rPr>
          <w:rtl/>
        </w:rPr>
        <w:t xml:space="preserve">שב"ס </w:t>
      </w:r>
      <w:r w:rsidRPr="004547CD">
        <w:rPr>
          <w:rFonts w:hint="cs"/>
          <w:rtl/>
        </w:rPr>
        <w:t xml:space="preserve">הוא </w:t>
      </w:r>
      <w:r w:rsidRPr="004547CD">
        <w:rPr>
          <w:rtl/>
        </w:rPr>
        <w:t>ארגון כליאה ארצי, ש</w:t>
      </w:r>
      <w:r w:rsidRPr="004547CD">
        <w:rPr>
          <w:rFonts w:hint="cs"/>
          <w:rtl/>
        </w:rPr>
        <w:t>אמור לה</w:t>
      </w:r>
      <w:r w:rsidRPr="004547CD">
        <w:rPr>
          <w:rtl/>
        </w:rPr>
        <w:t>חזיק תחת חסותו אסירים שפוטים ועצורים</w:t>
      </w:r>
      <w:r w:rsidRPr="004547CD">
        <w:rPr>
          <w:rFonts w:hint="cs"/>
          <w:rtl/>
        </w:rPr>
        <w:t>,</w:t>
      </w:r>
      <w:r w:rsidRPr="004547CD">
        <w:rPr>
          <w:rtl/>
        </w:rPr>
        <w:t xml:space="preserve"> ו</w:t>
      </w:r>
      <w:r w:rsidRPr="004547CD">
        <w:rPr>
          <w:rFonts w:hint="cs"/>
          <w:rtl/>
        </w:rPr>
        <w:t xml:space="preserve">להיות אמון על </w:t>
      </w:r>
      <w:r w:rsidRPr="004547CD">
        <w:rPr>
          <w:rtl/>
        </w:rPr>
        <w:t>שמיר</w:t>
      </w:r>
      <w:r w:rsidRPr="004547CD">
        <w:rPr>
          <w:rFonts w:hint="cs"/>
          <w:rtl/>
        </w:rPr>
        <w:t>ת</w:t>
      </w:r>
      <w:r w:rsidRPr="004547CD">
        <w:rPr>
          <w:rtl/>
        </w:rPr>
        <w:t xml:space="preserve"> זכויות</w:t>
      </w:r>
      <w:r w:rsidRPr="004547CD">
        <w:rPr>
          <w:rFonts w:hint="cs"/>
          <w:rtl/>
        </w:rPr>
        <w:t>יהם</w:t>
      </w:r>
      <w:r w:rsidRPr="004547CD">
        <w:rPr>
          <w:rtl/>
        </w:rPr>
        <w:t xml:space="preserve"> וביטחונם</w:t>
      </w:r>
      <w:r w:rsidRPr="004547CD">
        <w:rPr>
          <w:rFonts w:hint="cs"/>
          <w:rtl/>
        </w:rPr>
        <w:t>, ומנגד</w:t>
      </w:r>
      <w:r w:rsidRPr="004547CD">
        <w:rPr>
          <w:rtl/>
        </w:rPr>
        <w:t xml:space="preserve"> </w:t>
      </w:r>
      <w:r w:rsidRPr="004547CD">
        <w:rPr>
          <w:rFonts w:hint="cs"/>
          <w:rtl/>
        </w:rPr>
        <w:t>שעל ה</w:t>
      </w:r>
      <w:r w:rsidRPr="004547CD">
        <w:rPr>
          <w:rtl/>
        </w:rPr>
        <w:t>משטרה להתמקד בלחימה בפשיעה ובאכיפת החוק</w:t>
      </w:r>
      <w:r w:rsidRPr="004547CD">
        <w:rPr>
          <w:rFonts w:hint="cs"/>
          <w:rtl/>
        </w:rPr>
        <w:t xml:space="preserve"> ולא לעסוק בשינוע, בליווי ובהחזקה של עצורים. דוח זה בוחן היבטים שונים בתהליך העברת האחריות על מערך ליווי העצורים ובתי המעצר מהמשטרה לשב"ס כנגזר מהחלטת השר.</w:t>
      </w:r>
    </w:p>
    <w:p w:rsidR="006259B3" w:rsidRPr="004547CD" w:rsidP="00A0299F">
      <w:pPr>
        <w:pStyle w:val="RESHET"/>
        <w:keepLines/>
        <w:rPr>
          <w:rtl/>
        </w:rPr>
      </w:pPr>
      <w:r w:rsidRPr="004547CD">
        <w:rPr>
          <w:rFonts w:hint="cs"/>
          <w:rtl/>
        </w:rPr>
        <w:t>בחלוף שש שנים מאז נחתמו ההסכמים הראשונים בין המשטרה ושב"ס עדיין אין תחימת גבולות ברורה והסדרה מלאה של התנהלות שני הארגונים בטיפול בנושא. במשך השנים שחלפו נתגלעו מחלוקות רבות הנוגעות לשאלת אחריותם של שני הגופים בעניינים מהותיים, ובהם ליווי עצורים, תהליך קליטת עצורים וויסותם בין מקומות הכליאה. בפועל התפיסה שהנחתה את מנסחי ההסכמים שנעשו במחוזות, שלפיה תוסר מהמשטרה האחריות לביצוע ליוויים ולהחזקת עצורים בבתי מעצר בתחנות, לא עמדה במבחן המציאות. בין השנים 2013-2008 המשיכה המשטרה לבצע ליוויים ולהלין עצורים בתחנות המשטרה, ולעתים פעילותה המבצעית נפגעה בשל כך.</w:t>
      </w:r>
      <w:r w:rsidRPr="004547CD">
        <w:rPr>
          <w:rtl/>
        </w:rPr>
        <w:t xml:space="preserve"> </w:t>
      </w:r>
    </w:p>
    <w:p w:rsidR="006259B3" w:rsidRPr="004547CD" w:rsidP="00E62E82">
      <w:pPr>
        <w:pStyle w:val="RESHET"/>
        <w:keepLines/>
        <w:rPr>
          <w:rtl/>
        </w:rPr>
      </w:pPr>
      <w:r w:rsidRPr="004547CD">
        <w:rPr>
          <w:rFonts w:hint="cs"/>
          <w:rtl/>
        </w:rPr>
        <w:t xml:space="preserve">במשך השנים ניסו המשטרה ושב"ס להסדיר את המחלוקות ביניהם שעדיין נותרו בעינן, אך ניסיונות אלה לא צלחו. רק בשנת 2014 נחתם הסכם שאמור היה להסדיר כמה פערים שהתגלו באותן השנים. חתימת ההסכם בשנת 2014 לא הביאה לסגירת פערים אלה, ובנושאים מסוימים היא אף הגדילה אותם. על המשרד לבט"פ לחזור ולבחון את המחלוקות בין המשטרה לבין שב"ס ולגבש יחד איתם פתרונות ראויים להסדרת הנושאים השנויים במחלוקת, תוך קביעת תחומי האחריות של כל גוף, קביעת נהלים מפורטים וקביעת מנגנונים ליישוב המחלוקות. במסגרת פתרונות אלה יש להתייחס בכובד ראש להיבטים הקשורים לזכויות העצורים ולמניעת פגיעה העולה על הנדרש בחירותם ובכבודם, כפי שנקבע בחוק יסוד: כבוד האדם וחירותו. </w:t>
      </w:r>
    </w:p>
    <w:p w:rsidR="006259B3" w:rsidRPr="004547CD" w:rsidP="008A6D26">
      <w:pPr>
        <w:spacing w:after="120" w:line="230" w:lineRule="exact"/>
        <w:jc w:val="both"/>
        <w:rPr>
          <w:rFonts w:cs="FrankRuehl"/>
          <w:sz w:val="20"/>
          <w:szCs w:val="22"/>
        </w:rPr>
      </w:pPr>
    </w:p>
    <w:p w:rsidR="00511614" w:rsidP="008A6D26">
      <w:pPr>
        <w:spacing w:after="120" w:line="230" w:lineRule="exact"/>
        <w:jc w:val="both"/>
        <w:rPr>
          <w:rFonts w:cs="FrankRuehl"/>
          <w:sz w:val="20"/>
          <w:szCs w:val="22"/>
          <w:rtl/>
        </w:rPr>
        <w:sectPr w:rsidSect="00511614">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758" w:right="2552" w:bottom="4253" w:left="2552" w:header="1247" w:footer="1134" w:gutter="0"/>
          <w:pgNumType w:start="351"/>
          <w:cols w:space="720"/>
          <w:titlePg/>
          <w:rtlGutter/>
        </w:sectPr>
      </w:pPr>
    </w:p>
    <w:p w:rsidR="00C8241F" w:rsidRPr="004547CD" w:rsidP="008A6D26">
      <w:pPr>
        <w:spacing w:after="120" w:line="230" w:lineRule="exact"/>
        <w:jc w:val="both"/>
        <w:rPr>
          <w:rFonts w:cs="FrankRuehl"/>
          <w:sz w:val="20"/>
          <w:szCs w:val="22"/>
          <w:rtl/>
        </w:rPr>
      </w:pPr>
    </w:p>
    <w:sectPr>
      <w:headerReference w:type="first" r:id="rId15"/>
      <w:footerReference w:type="first" r:id="rId16"/>
      <w:footnotePr>
        <w:numRestart w:val="eachSect"/>
      </w:footnotePr>
      <w:pgSz w:w="11906" w:h="16838" w:code="9"/>
      <w:pgMar w:top="1758" w:right="2552" w:bottom="4253" w:left="2552" w:header="1247" w:footer="1134" w:gutter="0"/>
      <w:cols w:space="720"/>
      <w:titlePg/>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auto"/>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0D9F" w:rsidP="00800D9F">
    <w:pPr>
      <w:pStyle w:val="Footer"/>
      <w:tabs>
        <w:tab w:val="left" w:pos="1222"/>
      </w:tabs>
      <w:spacing w:line="160" w:lineRule="exact"/>
      <w:ind w:left="1225" w:hanging="1225"/>
      <w:rPr>
        <w:sz w:val="16"/>
        <w:szCs w:val="16"/>
        <w:rtl/>
      </w:rPr>
    </w:pPr>
    <w:r>
      <w:rPr>
        <w:sz w:val="16"/>
        <w:szCs w:val="16"/>
        <w:rtl/>
      </w:rPr>
      <w:t>שם הדוח:</w:t>
    </w:r>
    <w:r>
      <w:rPr>
        <w:sz w:val="16"/>
        <w:szCs w:val="16"/>
        <w:rtl/>
      </w:rPr>
      <w:tab/>
    </w:r>
    <w:r w:rsidRPr="00800D9F">
      <w:rPr>
        <w:sz w:val="16"/>
        <w:szCs w:val="16"/>
        <w:rtl/>
      </w:rPr>
      <w:t>המשרד לביטחון הפנים</w:t>
    </w:r>
    <w:r w:rsidRPr="00800D9F">
      <w:rPr>
        <w:rFonts w:hint="cs"/>
        <w:sz w:val="16"/>
        <w:szCs w:val="16"/>
        <w:rtl/>
      </w:rPr>
      <w:t xml:space="preserve"> - </w:t>
    </w:r>
    <w:r w:rsidRPr="00800D9F">
      <w:rPr>
        <w:sz w:val="16"/>
        <w:szCs w:val="16"/>
        <w:rtl/>
      </w:rPr>
      <w:t>משטרת ישראל</w:t>
    </w:r>
    <w:r w:rsidRPr="00800D9F">
      <w:rPr>
        <w:rFonts w:hint="cs"/>
        <w:sz w:val="16"/>
        <w:szCs w:val="16"/>
        <w:rtl/>
      </w:rPr>
      <w:t xml:space="preserve"> - </w:t>
    </w:r>
    <w:r w:rsidRPr="00800D9F">
      <w:rPr>
        <w:rFonts w:hint="eastAsia"/>
        <w:sz w:val="16"/>
        <w:szCs w:val="16"/>
        <w:rtl/>
      </w:rPr>
      <w:t>העברת</w:t>
    </w:r>
    <w:r w:rsidRPr="00800D9F">
      <w:rPr>
        <w:rFonts w:hint="cs"/>
        <w:sz w:val="16"/>
        <w:szCs w:val="16"/>
        <w:rtl/>
      </w:rPr>
      <w:t xml:space="preserve"> הטיפול בבתי המעצר ממשטרת ישראל לשירות בתי הסוהר</w:t>
    </w:r>
  </w:p>
  <w:p w:rsidR="005750D3" w:rsidP="005750D3">
    <w:pPr>
      <w:pStyle w:val="Footer"/>
      <w:tabs>
        <w:tab w:val="left" w:pos="1222"/>
      </w:tabs>
      <w:spacing w:line="160" w:lineRule="exact"/>
      <w:rPr>
        <w:sz w:val="16"/>
        <w:szCs w:val="16"/>
        <w:rtl/>
      </w:rPr>
    </w:pPr>
    <w:r>
      <w:rPr>
        <w:sz w:val="16"/>
        <w:szCs w:val="16"/>
        <w:rtl/>
      </w:rPr>
      <w:t>מסגרת הפרסום:</w:t>
    </w:r>
    <w:r>
      <w:rPr>
        <w:sz w:val="16"/>
        <w:szCs w:val="16"/>
        <w:rtl/>
      </w:rPr>
      <w:tab/>
    </w:r>
    <w:r>
      <w:rPr>
        <w:rFonts w:hint="cs"/>
        <w:sz w:val="16"/>
        <w:szCs w:val="16"/>
        <w:rtl/>
      </w:rPr>
      <w:t>דוח שנתי 65ג</w:t>
    </w:r>
  </w:p>
  <w:p w:rsidR="009718F9" w:rsidP="009718F9">
    <w:pPr>
      <w:pStyle w:val="Footer"/>
      <w:tabs>
        <w:tab w:val="left" w:pos="1222"/>
      </w:tabs>
      <w:spacing w:line="160" w:lineRule="exact"/>
      <w:rPr>
        <w:sz w:val="16"/>
        <w:szCs w:val="16"/>
        <w:rtl/>
      </w:rPr>
    </w:pPr>
    <w:r>
      <w:rPr>
        <w:sz w:val="16"/>
        <w:szCs w:val="16"/>
        <w:rtl/>
      </w:rPr>
      <w:t>שנת פרסום:</w:t>
    </w:r>
    <w:r>
      <w:rPr>
        <w:sz w:val="16"/>
        <w:szCs w:val="16"/>
        <w:rtl/>
      </w:rPr>
      <w:tab/>
      <w:t>התשע"</w:t>
    </w:r>
    <w:r>
      <w:rPr>
        <w:rFonts w:hint="cs"/>
        <w:sz w:val="16"/>
        <w:szCs w:val="16"/>
        <w:rtl/>
      </w:rPr>
      <w:t>ה</w:t>
    </w:r>
    <w:r>
      <w:rPr>
        <w:sz w:val="16"/>
        <w:szCs w:val="16"/>
        <w:rtl/>
      </w:rPr>
      <w:t>-201</w:t>
    </w:r>
    <w:r>
      <w:rPr>
        <w:rFonts w:hint="cs"/>
        <w:sz w:val="16"/>
        <w:szCs w:val="16"/>
        <w:rtl/>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0D9F" w:rsidP="00800D9F">
    <w:pPr>
      <w:pStyle w:val="Footer"/>
      <w:tabs>
        <w:tab w:val="left" w:pos="1222"/>
      </w:tabs>
      <w:spacing w:line="160" w:lineRule="exact"/>
      <w:ind w:left="1225" w:hanging="1225"/>
      <w:rPr>
        <w:sz w:val="16"/>
        <w:szCs w:val="16"/>
        <w:rtl/>
      </w:rPr>
    </w:pPr>
    <w:r>
      <w:rPr>
        <w:sz w:val="16"/>
        <w:szCs w:val="16"/>
        <w:rtl/>
      </w:rPr>
      <w:t>שם הדוח:</w:t>
    </w:r>
    <w:r>
      <w:rPr>
        <w:sz w:val="16"/>
        <w:szCs w:val="16"/>
        <w:rtl/>
      </w:rPr>
      <w:tab/>
    </w:r>
    <w:r w:rsidRPr="00800D9F">
      <w:rPr>
        <w:sz w:val="16"/>
        <w:szCs w:val="16"/>
        <w:rtl/>
      </w:rPr>
      <w:t>המשרד לביטחון הפנים</w:t>
    </w:r>
    <w:r w:rsidRPr="00800D9F">
      <w:rPr>
        <w:rFonts w:hint="cs"/>
        <w:sz w:val="16"/>
        <w:szCs w:val="16"/>
        <w:rtl/>
      </w:rPr>
      <w:t xml:space="preserve"> - </w:t>
    </w:r>
    <w:r w:rsidRPr="00800D9F">
      <w:rPr>
        <w:sz w:val="16"/>
        <w:szCs w:val="16"/>
        <w:rtl/>
      </w:rPr>
      <w:t>משטרת ישראל</w:t>
    </w:r>
    <w:r w:rsidRPr="00800D9F">
      <w:rPr>
        <w:rFonts w:hint="cs"/>
        <w:sz w:val="16"/>
        <w:szCs w:val="16"/>
        <w:rtl/>
      </w:rPr>
      <w:t xml:space="preserve"> - </w:t>
    </w:r>
    <w:r w:rsidRPr="00800D9F">
      <w:rPr>
        <w:rFonts w:hint="eastAsia"/>
        <w:sz w:val="16"/>
        <w:szCs w:val="16"/>
        <w:rtl/>
      </w:rPr>
      <w:t>העברת</w:t>
    </w:r>
    <w:r w:rsidRPr="00800D9F">
      <w:rPr>
        <w:rFonts w:hint="cs"/>
        <w:sz w:val="16"/>
        <w:szCs w:val="16"/>
        <w:rtl/>
      </w:rPr>
      <w:t xml:space="preserve"> הטיפול בבתי המעצר ממשטרת ישראל לשירות בתי הסוהר</w:t>
    </w:r>
  </w:p>
  <w:p w:rsidR="005750D3" w:rsidP="005750D3">
    <w:pPr>
      <w:pStyle w:val="Footer"/>
      <w:tabs>
        <w:tab w:val="left" w:pos="1222"/>
      </w:tabs>
      <w:spacing w:line="160" w:lineRule="exact"/>
      <w:rPr>
        <w:sz w:val="16"/>
        <w:szCs w:val="16"/>
        <w:rtl/>
      </w:rPr>
    </w:pPr>
    <w:r>
      <w:rPr>
        <w:sz w:val="16"/>
        <w:szCs w:val="16"/>
        <w:rtl/>
      </w:rPr>
      <w:t>מסגרת הפרסום:</w:t>
    </w:r>
    <w:r>
      <w:rPr>
        <w:sz w:val="16"/>
        <w:szCs w:val="16"/>
        <w:rtl/>
      </w:rPr>
      <w:tab/>
    </w:r>
    <w:r>
      <w:rPr>
        <w:rFonts w:hint="cs"/>
        <w:sz w:val="16"/>
        <w:szCs w:val="16"/>
        <w:rtl/>
      </w:rPr>
      <w:t>דוח שנתי 65ג</w:t>
    </w:r>
  </w:p>
  <w:p w:rsidR="009718F9" w:rsidP="009718F9">
    <w:pPr>
      <w:pStyle w:val="Footer"/>
      <w:tabs>
        <w:tab w:val="left" w:pos="1222"/>
      </w:tabs>
      <w:spacing w:line="160" w:lineRule="exact"/>
      <w:rPr>
        <w:sz w:val="16"/>
        <w:szCs w:val="16"/>
        <w:rtl/>
      </w:rPr>
    </w:pPr>
    <w:r>
      <w:rPr>
        <w:sz w:val="16"/>
        <w:szCs w:val="16"/>
        <w:rtl/>
      </w:rPr>
      <w:t>שנת פרסום:</w:t>
    </w:r>
    <w:r>
      <w:rPr>
        <w:sz w:val="16"/>
        <w:szCs w:val="16"/>
        <w:rtl/>
      </w:rPr>
      <w:tab/>
      <w:t>התשע"</w:t>
    </w:r>
    <w:r>
      <w:rPr>
        <w:rFonts w:hint="cs"/>
        <w:sz w:val="16"/>
        <w:szCs w:val="16"/>
        <w:rtl/>
      </w:rPr>
      <w:t>ה</w:t>
    </w:r>
    <w:r>
      <w:rPr>
        <w:sz w:val="16"/>
        <w:szCs w:val="16"/>
        <w:rtl/>
      </w:rPr>
      <w:t>-201</w:t>
    </w:r>
    <w:r>
      <w:rPr>
        <w:rFonts w:hint="cs"/>
        <w:sz w:val="16"/>
        <w:szCs w:val="16"/>
        <w:rtl/>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75A6" w:rsidP="00800D9F">
    <w:pPr>
      <w:pStyle w:val="Footer"/>
      <w:tabs>
        <w:tab w:val="left" w:pos="1222"/>
      </w:tabs>
      <w:spacing w:line="160" w:lineRule="exact"/>
      <w:ind w:left="1225" w:hanging="1225"/>
      <w:rPr>
        <w:sz w:val="16"/>
        <w:szCs w:val="16"/>
        <w:rtl/>
      </w:rPr>
    </w:pPr>
    <w:r>
      <w:rPr>
        <w:sz w:val="16"/>
        <w:szCs w:val="16"/>
        <w:rtl/>
      </w:rPr>
      <w:t>שם הדוח:</w:t>
    </w:r>
    <w:r>
      <w:rPr>
        <w:sz w:val="16"/>
        <w:szCs w:val="16"/>
        <w:rtl/>
      </w:rPr>
      <w:tab/>
    </w:r>
    <w:r w:rsidRPr="00800D9F" w:rsidR="00800D9F">
      <w:rPr>
        <w:sz w:val="16"/>
        <w:szCs w:val="16"/>
        <w:rtl/>
      </w:rPr>
      <w:t>המשרד לביטחון הפנים</w:t>
    </w:r>
    <w:r w:rsidRPr="00800D9F" w:rsidR="00800D9F">
      <w:rPr>
        <w:rFonts w:hint="cs"/>
        <w:sz w:val="16"/>
        <w:szCs w:val="16"/>
        <w:rtl/>
      </w:rPr>
      <w:t xml:space="preserve"> - </w:t>
    </w:r>
    <w:r w:rsidRPr="00800D9F" w:rsidR="00800D9F">
      <w:rPr>
        <w:sz w:val="16"/>
        <w:szCs w:val="16"/>
        <w:rtl/>
      </w:rPr>
      <w:t>משטרת ישראל</w:t>
    </w:r>
    <w:r w:rsidRPr="00800D9F" w:rsidR="00800D9F">
      <w:rPr>
        <w:rFonts w:hint="cs"/>
        <w:sz w:val="16"/>
        <w:szCs w:val="16"/>
        <w:rtl/>
      </w:rPr>
      <w:t xml:space="preserve"> - </w:t>
    </w:r>
    <w:r w:rsidRPr="00800D9F" w:rsidR="00800D9F">
      <w:rPr>
        <w:rFonts w:hint="eastAsia"/>
        <w:sz w:val="16"/>
        <w:szCs w:val="16"/>
        <w:rtl/>
      </w:rPr>
      <w:t>העברת</w:t>
    </w:r>
    <w:r w:rsidRPr="00800D9F" w:rsidR="00800D9F">
      <w:rPr>
        <w:rFonts w:hint="cs"/>
        <w:sz w:val="16"/>
        <w:szCs w:val="16"/>
        <w:rtl/>
      </w:rPr>
      <w:t xml:space="preserve"> הטיפול בבתי המעצר ממשטרת ישראל לשירות בתי הסוהר</w:t>
    </w:r>
  </w:p>
  <w:p w:rsidR="005750D3" w:rsidP="005750D3">
    <w:pPr>
      <w:pStyle w:val="Footer"/>
      <w:tabs>
        <w:tab w:val="left" w:pos="1222"/>
      </w:tabs>
      <w:spacing w:line="160" w:lineRule="exact"/>
      <w:rPr>
        <w:sz w:val="16"/>
        <w:szCs w:val="16"/>
        <w:rtl/>
      </w:rPr>
    </w:pPr>
    <w:r>
      <w:rPr>
        <w:sz w:val="16"/>
        <w:szCs w:val="16"/>
        <w:rtl/>
      </w:rPr>
      <w:t>מסגרת הפרסום:</w:t>
    </w:r>
    <w:r>
      <w:rPr>
        <w:sz w:val="16"/>
        <w:szCs w:val="16"/>
        <w:rtl/>
      </w:rPr>
      <w:tab/>
    </w:r>
    <w:r>
      <w:rPr>
        <w:rFonts w:hint="cs"/>
        <w:sz w:val="16"/>
        <w:szCs w:val="16"/>
        <w:rtl/>
      </w:rPr>
      <w:t>דוח שנתי 65ג</w:t>
    </w:r>
  </w:p>
  <w:p w:rsidR="001275A6" w:rsidP="009718F9">
    <w:pPr>
      <w:pStyle w:val="Footer"/>
      <w:tabs>
        <w:tab w:val="left" w:pos="1222"/>
      </w:tabs>
      <w:spacing w:line="160" w:lineRule="exact"/>
      <w:rPr>
        <w:sz w:val="16"/>
        <w:szCs w:val="16"/>
        <w:rtl/>
      </w:rPr>
    </w:pPr>
    <w:r>
      <w:rPr>
        <w:sz w:val="16"/>
        <w:szCs w:val="16"/>
        <w:rtl/>
      </w:rPr>
      <w:t>שנת פרסום:</w:t>
    </w:r>
    <w:r>
      <w:rPr>
        <w:sz w:val="16"/>
        <w:szCs w:val="16"/>
        <w:rtl/>
      </w:rPr>
      <w:tab/>
      <w:t>התשע"</w:t>
    </w:r>
    <w:r>
      <w:rPr>
        <w:rFonts w:hint="cs"/>
        <w:sz w:val="16"/>
        <w:szCs w:val="16"/>
        <w:rtl/>
      </w:rPr>
      <w:t>ה</w:t>
    </w:r>
    <w:r>
      <w:rPr>
        <w:sz w:val="16"/>
        <w:szCs w:val="16"/>
        <w:rtl/>
      </w:rPr>
      <w:t>-201</w:t>
    </w:r>
    <w:r>
      <w:rPr>
        <w:rFonts w:hint="cs"/>
        <w:sz w:val="16"/>
        <w:szCs w:val="16"/>
        <w:rtl/>
      </w:rPr>
      <w:t>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1614" w:rsidRPr="00511614" w:rsidP="00511614">
    <w:pPr>
      <w:pStyle w:val="Foo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F38A9">
      <w:pPr>
        <w:spacing w:after="120"/>
        <w:rPr>
          <w:sz w:val="16"/>
          <w:szCs w:val="16"/>
        </w:rPr>
      </w:pPr>
      <w:r>
        <w:rPr>
          <w:sz w:val="16"/>
          <w:szCs w:val="16"/>
          <w:rtl/>
        </w:rPr>
        <w:t>__________________</w:t>
      </w:r>
    </w:p>
  </w:footnote>
  <w:footnote w:type="continuationSeparator" w:id="1">
    <w:p w:rsidR="003F38A9">
      <w:r>
        <w:t>_______________</w:t>
      </w:r>
    </w:p>
  </w:footnote>
  <w:footnote w:id="2">
    <w:p w:rsidR="00800D9F" w:rsidRPr="000E02CE" w:rsidP="00800D9F">
      <w:pPr>
        <w:pStyle w:val="FootnoteText"/>
        <w:keepLines/>
        <w:spacing w:line="200" w:lineRule="exact"/>
        <w:ind w:left="397" w:hanging="397"/>
        <w:jc w:val="both"/>
        <w:rPr>
          <w:rFonts w:cs="FrankRuehl"/>
          <w:sz w:val="18"/>
          <w:rtl/>
        </w:rPr>
      </w:pPr>
      <w:r w:rsidRPr="000E02CE">
        <w:rPr>
          <w:rStyle w:val="FootnoteReference"/>
          <w:rFonts w:ascii="FrankRuehl" w:hAnsi="FrankRuehl" w:cs="FrankRuehl"/>
          <w:vertAlign w:val="baseline"/>
        </w:rPr>
        <w:footnoteRef/>
      </w:r>
      <w:r w:rsidRPr="000E02CE">
        <w:rPr>
          <w:rFonts w:cs="FrankRuehl"/>
          <w:sz w:val="18"/>
          <w:rtl/>
        </w:rPr>
        <w:t xml:space="preserve"> </w:t>
      </w:r>
      <w:r w:rsidRPr="000E02CE">
        <w:rPr>
          <w:rFonts w:cs="FrankRuehl" w:hint="cs"/>
          <w:sz w:val="18"/>
          <w:rtl/>
        </w:rPr>
        <w:tab/>
        <w:t xml:space="preserve">ראה מבקר המדינה, </w:t>
      </w:r>
      <w:r w:rsidRPr="000E02CE">
        <w:rPr>
          <w:rFonts w:cs="FrankRuehl" w:hint="eastAsia"/>
          <w:b/>
          <w:bCs/>
          <w:sz w:val="18"/>
          <w:rtl/>
        </w:rPr>
        <w:t>דוח</w:t>
      </w:r>
      <w:r w:rsidRPr="000E02CE">
        <w:rPr>
          <w:rFonts w:cs="FrankRuehl"/>
          <w:b/>
          <w:bCs/>
          <w:sz w:val="18"/>
          <w:rtl/>
        </w:rPr>
        <w:t xml:space="preserve"> 45</w:t>
      </w:r>
      <w:r w:rsidRPr="000E02CE">
        <w:rPr>
          <w:rFonts w:cs="FrankRuehl" w:hint="cs"/>
          <w:sz w:val="18"/>
          <w:rtl/>
        </w:rPr>
        <w:t xml:space="preserve"> (1995), עמ' 393-377.</w:t>
      </w:r>
    </w:p>
  </w:footnote>
  <w:footnote w:id="3">
    <w:p w:rsidR="006259B3" w:rsidRPr="000E02CE" w:rsidP="000E02CE">
      <w:pPr>
        <w:pStyle w:val="FootnoteText"/>
        <w:keepLines/>
        <w:spacing w:line="200" w:lineRule="exact"/>
        <w:ind w:left="397" w:hanging="397"/>
        <w:jc w:val="both"/>
        <w:rPr>
          <w:rFonts w:cs="FrankRuehl"/>
          <w:sz w:val="18"/>
        </w:rPr>
      </w:pPr>
      <w:r w:rsidRPr="000E02CE">
        <w:rPr>
          <w:rStyle w:val="FootnoteReference"/>
          <w:rFonts w:ascii="FrankRuehl" w:hAnsi="FrankRuehl" w:cs="FrankRuehl"/>
          <w:vertAlign w:val="baseline"/>
        </w:rPr>
        <w:footnoteRef/>
      </w:r>
      <w:r w:rsidRPr="000E02CE">
        <w:rPr>
          <w:rFonts w:cs="FrankRuehl"/>
          <w:sz w:val="18"/>
          <w:rtl/>
        </w:rPr>
        <w:t xml:space="preserve"> </w:t>
      </w:r>
      <w:r w:rsidRPr="000E02CE">
        <w:rPr>
          <w:rFonts w:cs="FrankRuehl"/>
          <w:sz w:val="18"/>
          <w:rtl/>
        </w:rPr>
        <w:tab/>
      </w:r>
      <w:r w:rsidRPr="000E02CE">
        <w:rPr>
          <w:rFonts w:cs="FrankRuehl" w:hint="cs"/>
          <w:sz w:val="18"/>
          <w:rtl/>
        </w:rPr>
        <w:t>דוח זה אינו עוסק במעצרים ביטחוניים ובעצורי רשות ניירות ערך ורשות האכיפה והגבייה (הוצאה לפועל).</w:t>
      </w:r>
    </w:p>
  </w:footnote>
  <w:footnote w:id="4">
    <w:p w:rsidR="00A37821" w:rsidRPr="00A37821" w:rsidP="00A37821">
      <w:pPr>
        <w:pStyle w:val="FootnoteText"/>
        <w:keepLines/>
        <w:spacing w:line="200" w:lineRule="exact"/>
        <w:ind w:left="397" w:hanging="397"/>
        <w:jc w:val="both"/>
        <w:rPr>
          <w:rStyle w:val="FootnoteReference"/>
          <w:rFonts w:ascii="FrankRuehl" w:hAnsi="FrankRuehl" w:cs="FrankRuehl"/>
          <w:vertAlign w:val="baseline"/>
        </w:rPr>
      </w:pPr>
      <w:r w:rsidRPr="00A37821">
        <w:rPr>
          <w:rStyle w:val="FootnoteReference"/>
          <w:rFonts w:ascii="FrankRuehl" w:hAnsi="FrankRuehl" w:cs="FrankRuehl"/>
          <w:vertAlign w:val="baseline"/>
        </w:rPr>
        <w:footnoteRef/>
      </w:r>
      <w:r w:rsidRPr="00A37821">
        <w:rPr>
          <w:rStyle w:val="FootnoteReference"/>
          <w:rFonts w:ascii="FrankRuehl" w:hAnsi="FrankRuehl" w:cs="FrankRuehl"/>
          <w:vertAlign w:val="baseline"/>
          <w:rtl/>
        </w:rPr>
        <w:t xml:space="preserve"> </w:t>
      </w:r>
      <w:r>
        <w:rPr>
          <w:rStyle w:val="FootnoteReference"/>
          <w:rFonts w:ascii="FrankRuehl" w:hAnsi="FrankRuehl" w:cs="FrankRuehl" w:hint="cs"/>
          <w:vertAlign w:val="baseline"/>
          <w:rtl/>
        </w:rPr>
        <w:tab/>
        <w:t>לא כולל את בית מעצר אילת - שלוחה של בית סוהר דקל; בית מעצר פתח תקווה - שלוחה של בית מעצר הדרים; בית מעצר עכו - שלוחה של בית מעצר קישון.</w:t>
      </w:r>
    </w:p>
  </w:footnote>
  <w:footnote w:id="5">
    <w:p w:rsidR="006259B3" w:rsidRPr="000E02CE" w:rsidP="000E02CE">
      <w:pPr>
        <w:pStyle w:val="FootnoteText"/>
        <w:keepLines/>
        <w:spacing w:line="200" w:lineRule="exact"/>
        <w:ind w:left="397" w:hanging="397"/>
        <w:jc w:val="both"/>
        <w:rPr>
          <w:rFonts w:cs="FrankRuehl"/>
          <w:sz w:val="18"/>
          <w:rtl/>
        </w:rPr>
      </w:pPr>
      <w:r w:rsidRPr="000E02CE">
        <w:rPr>
          <w:rStyle w:val="FootnoteReference"/>
          <w:rFonts w:ascii="FrankRuehl" w:hAnsi="FrankRuehl" w:cs="FrankRuehl"/>
          <w:vertAlign w:val="baseline"/>
        </w:rPr>
        <w:footnoteRef/>
      </w:r>
      <w:r w:rsidRPr="000E02CE">
        <w:rPr>
          <w:rFonts w:cs="FrankRuehl"/>
          <w:sz w:val="18"/>
          <w:rtl/>
        </w:rPr>
        <w:t xml:space="preserve"> </w:t>
      </w:r>
      <w:r w:rsidRPr="000E02CE">
        <w:rPr>
          <w:rFonts w:cs="FrankRuehl"/>
          <w:sz w:val="18"/>
          <w:rtl/>
        </w:rPr>
        <w:tab/>
      </w:r>
      <w:r w:rsidRPr="000E02CE">
        <w:rPr>
          <w:rFonts w:cs="FrankRuehl" w:hint="cs"/>
          <w:sz w:val="18"/>
          <w:rtl/>
        </w:rPr>
        <w:t>השנתון הסטטיסטי של משטרת ישראל, 2012.</w:t>
      </w:r>
    </w:p>
  </w:footnote>
  <w:footnote w:id="6">
    <w:p w:rsidR="006259B3" w:rsidRPr="000E02CE" w:rsidP="000E02CE">
      <w:pPr>
        <w:pStyle w:val="FootnoteText"/>
        <w:keepLines/>
        <w:spacing w:line="200" w:lineRule="exact"/>
        <w:ind w:left="397" w:hanging="397"/>
        <w:jc w:val="both"/>
        <w:rPr>
          <w:rFonts w:cs="FrankRuehl"/>
          <w:sz w:val="18"/>
        </w:rPr>
      </w:pPr>
      <w:r w:rsidRPr="000E02CE">
        <w:rPr>
          <w:rStyle w:val="FootnoteReference"/>
          <w:rFonts w:ascii="FrankRuehl" w:hAnsi="FrankRuehl" w:cs="FrankRuehl"/>
          <w:vertAlign w:val="baseline"/>
        </w:rPr>
        <w:footnoteRef/>
      </w:r>
      <w:r w:rsidRPr="000E02CE">
        <w:rPr>
          <w:rFonts w:cs="FrankRuehl"/>
          <w:sz w:val="18"/>
          <w:rtl/>
        </w:rPr>
        <w:t xml:space="preserve"> </w:t>
      </w:r>
      <w:r w:rsidRPr="000E02CE">
        <w:rPr>
          <w:rFonts w:cs="FrankRuehl"/>
          <w:sz w:val="18"/>
          <w:rtl/>
        </w:rPr>
        <w:tab/>
      </w:r>
      <w:r w:rsidRPr="000E02CE">
        <w:rPr>
          <w:rFonts w:cs="FrankRuehl" w:hint="cs"/>
          <w:sz w:val="18"/>
          <w:rtl/>
        </w:rPr>
        <w:t xml:space="preserve">ראה מבקר המדינה, </w:t>
      </w:r>
      <w:r w:rsidRPr="000E02CE">
        <w:rPr>
          <w:rFonts w:cs="FrankRuehl" w:hint="eastAsia"/>
          <w:b/>
          <w:bCs/>
          <w:sz w:val="18"/>
          <w:rtl/>
        </w:rPr>
        <w:t>דוח</w:t>
      </w:r>
      <w:r w:rsidRPr="000E02CE">
        <w:rPr>
          <w:rFonts w:cs="FrankRuehl"/>
          <w:b/>
          <w:bCs/>
          <w:sz w:val="18"/>
          <w:rtl/>
        </w:rPr>
        <w:t xml:space="preserve"> 45</w:t>
      </w:r>
      <w:r w:rsidRPr="000E02CE">
        <w:rPr>
          <w:rFonts w:cs="FrankRuehl" w:hint="cs"/>
          <w:sz w:val="18"/>
          <w:rtl/>
        </w:rPr>
        <w:t xml:space="preserve"> (1995), עמ' 393-377. </w:t>
      </w:r>
    </w:p>
  </w:footnote>
  <w:footnote w:id="7">
    <w:p w:rsidR="006259B3" w:rsidRPr="000E02CE" w:rsidP="000E02CE">
      <w:pPr>
        <w:pStyle w:val="FootnoteText"/>
        <w:keepLines/>
        <w:spacing w:line="200" w:lineRule="exact"/>
        <w:ind w:left="397" w:hanging="397"/>
        <w:jc w:val="both"/>
        <w:rPr>
          <w:rFonts w:cs="FrankRuehl"/>
          <w:sz w:val="18"/>
          <w:rtl/>
        </w:rPr>
      </w:pPr>
      <w:r w:rsidRPr="000E02CE">
        <w:rPr>
          <w:rStyle w:val="FootnoteReference"/>
          <w:rFonts w:ascii="FrankRuehl" w:hAnsi="FrankRuehl" w:cs="FrankRuehl"/>
          <w:vertAlign w:val="baseline"/>
        </w:rPr>
        <w:footnoteRef/>
      </w:r>
      <w:r w:rsidRPr="000E02CE">
        <w:rPr>
          <w:rFonts w:cs="FrankRuehl"/>
          <w:sz w:val="18"/>
          <w:rtl/>
        </w:rPr>
        <w:t xml:space="preserve"> </w:t>
      </w:r>
      <w:r w:rsidRPr="000E02CE">
        <w:rPr>
          <w:rFonts w:cs="FrankRuehl"/>
          <w:sz w:val="18"/>
          <w:rtl/>
        </w:rPr>
        <w:tab/>
      </w:r>
      <w:r w:rsidRPr="000E02CE">
        <w:rPr>
          <w:rFonts w:cs="FrankRuehl" w:hint="eastAsia"/>
          <w:sz w:val="18"/>
          <w:rtl/>
        </w:rPr>
        <w:t>ראו</w:t>
      </w:r>
      <w:r w:rsidRPr="000E02CE">
        <w:rPr>
          <w:rFonts w:cs="FrankRuehl"/>
          <w:sz w:val="18"/>
          <w:rtl/>
        </w:rPr>
        <w:t xml:space="preserve"> </w:t>
      </w:r>
      <w:r w:rsidRPr="000E02CE">
        <w:rPr>
          <w:rFonts w:cs="FrankRuehl" w:hint="eastAsia"/>
          <w:sz w:val="18"/>
          <w:rtl/>
        </w:rPr>
        <w:t>בג</w:t>
      </w:r>
      <w:r w:rsidRPr="000E02CE">
        <w:rPr>
          <w:rFonts w:cs="FrankRuehl"/>
          <w:sz w:val="18"/>
          <w:rtl/>
        </w:rPr>
        <w:t xml:space="preserve">"ץ 4634/04 </w:t>
      </w:r>
      <w:r w:rsidRPr="000E02CE">
        <w:rPr>
          <w:rFonts w:cs="FrankRuehl" w:hint="eastAsia"/>
          <w:b/>
          <w:bCs/>
          <w:sz w:val="18"/>
          <w:rtl/>
        </w:rPr>
        <w:t>רופאים</w:t>
      </w:r>
      <w:r w:rsidRPr="000E02CE">
        <w:rPr>
          <w:rFonts w:cs="FrankRuehl"/>
          <w:b/>
          <w:bCs/>
          <w:sz w:val="18"/>
          <w:rtl/>
        </w:rPr>
        <w:t xml:space="preserve"> </w:t>
      </w:r>
      <w:r w:rsidRPr="000E02CE">
        <w:rPr>
          <w:rFonts w:cs="FrankRuehl" w:hint="eastAsia"/>
          <w:b/>
          <w:bCs/>
          <w:sz w:val="18"/>
          <w:rtl/>
        </w:rPr>
        <w:t>לזכויות</w:t>
      </w:r>
      <w:r w:rsidRPr="000E02CE">
        <w:rPr>
          <w:rFonts w:cs="FrankRuehl"/>
          <w:b/>
          <w:bCs/>
          <w:sz w:val="18"/>
          <w:rtl/>
        </w:rPr>
        <w:t xml:space="preserve"> </w:t>
      </w:r>
      <w:r w:rsidRPr="000E02CE">
        <w:rPr>
          <w:rFonts w:cs="FrankRuehl" w:hint="eastAsia"/>
          <w:b/>
          <w:bCs/>
          <w:sz w:val="18"/>
          <w:rtl/>
        </w:rPr>
        <w:t>אדם</w:t>
      </w:r>
      <w:r w:rsidRPr="000E02CE">
        <w:rPr>
          <w:rFonts w:cs="FrankRuehl"/>
          <w:b/>
          <w:bCs/>
          <w:sz w:val="18"/>
          <w:rtl/>
        </w:rPr>
        <w:t xml:space="preserve"> </w:t>
      </w:r>
      <w:r w:rsidRPr="000E02CE">
        <w:rPr>
          <w:rFonts w:cs="FrankRuehl" w:hint="eastAsia"/>
          <w:b/>
          <w:bCs/>
          <w:sz w:val="18"/>
          <w:rtl/>
        </w:rPr>
        <w:t>נגד</w:t>
      </w:r>
      <w:r w:rsidRPr="000E02CE">
        <w:rPr>
          <w:rFonts w:cs="FrankRuehl"/>
          <w:b/>
          <w:bCs/>
          <w:sz w:val="18"/>
          <w:rtl/>
        </w:rPr>
        <w:t xml:space="preserve"> </w:t>
      </w:r>
      <w:r w:rsidRPr="000E02CE">
        <w:rPr>
          <w:rFonts w:cs="FrankRuehl" w:hint="eastAsia"/>
          <w:b/>
          <w:bCs/>
          <w:sz w:val="18"/>
          <w:rtl/>
        </w:rPr>
        <w:t>השר</w:t>
      </w:r>
      <w:r w:rsidRPr="000E02CE">
        <w:rPr>
          <w:rFonts w:cs="FrankRuehl"/>
          <w:b/>
          <w:bCs/>
          <w:sz w:val="18"/>
          <w:rtl/>
        </w:rPr>
        <w:t xml:space="preserve"> </w:t>
      </w:r>
      <w:r w:rsidRPr="000E02CE">
        <w:rPr>
          <w:rFonts w:cs="FrankRuehl" w:hint="eastAsia"/>
          <w:b/>
          <w:bCs/>
          <w:sz w:val="18"/>
          <w:rtl/>
        </w:rPr>
        <w:t>לביטחון</w:t>
      </w:r>
      <w:r w:rsidRPr="000E02CE">
        <w:rPr>
          <w:rFonts w:cs="FrankRuehl"/>
          <w:b/>
          <w:bCs/>
          <w:sz w:val="18"/>
          <w:rtl/>
        </w:rPr>
        <w:t xml:space="preserve"> </w:t>
      </w:r>
      <w:r w:rsidRPr="000E02CE">
        <w:rPr>
          <w:rFonts w:cs="FrankRuehl" w:hint="eastAsia"/>
          <w:b/>
          <w:bCs/>
          <w:sz w:val="18"/>
          <w:rtl/>
        </w:rPr>
        <w:t>פנים</w:t>
      </w:r>
      <w:r w:rsidRPr="000E02CE">
        <w:rPr>
          <w:rFonts w:cs="FrankRuehl"/>
          <w:sz w:val="18"/>
          <w:rtl/>
        </w:rPr>
        <w:t xml:space="preserve"> (</w:t>
      </w:r>
      <w:r w:rsidRPr="000E02CE">
        <w:rPr>
          <w:rFonts w:cs="FrankRuehl" w:hint="cs"/>
          <w:sz w:val="18"/>
          <w:rtl/>
        </w:rPr>
        <w:t xml:space="preserve">פורסם במאגר ממוחשב, </w:t>
      </w:r>
      <w:r w:rsidRPr="000E02CE">
        <w:rPr>
          <w:rFonts w:cs="FrankRuehl"/>
          <w:sz w:val="18"/>
          <w:rtl/>
        </w:rPr>
        <w:t>12.2.07).</w:t>
      </w:r>
    </w:p>
  </w:footnote>
  <w:footnote w:id="8">
    <w:p w:rsidR="006259B3" w:rsidRPr="000E02CE" w:rsidP="000E02CE">
      <w:pPr>
        <w:pStyle w:val="FootnoteText"/>
        <w:keepLines/>
        <w:spacing w:line="200" w:lineRule="exact"/>
        <w:ind w:left="397" w:hanging="397"/>
        <w:jc w:val="both"/>
        <w:rPr>
          <w:rFonts w:cs="FrankRuehl"/>
          <w:sz w:val="18"/>
          <w:rtl/>
        </w:rPr>
      </w:pPr>
      <w:r w:rsidRPr="000E02CE">
        <w:rPr>
          <w:rStyle w:val="FootnoteReference"/>
          <w:rFonts w:ascii="FrankRuehl" w:hAnsi="FrankRuehl" w:cs="FrankRuehl"/>
          <w:vertAlign w:val="baseline"/>
        </w:rPr>
        <w:footnoteRef/>
      </w:r>
      <w:r w:rsidRPr="000E02CE">
        <w:rPr>
          <w:rFonts w:cs="FrankRuehl"/>
          <w:sz w:val="18"/>
          <w:rtl/>
        </w:rPr>
        <w:t xml:space="preserve"> </w:t>
      </w:r>
      <w:r w:rsidRPr="000E02CE">
        <w:rPr>
          <w:rFonts w:cs="FrankRuehl"/>
          <w:sz w:val="18"/>
          <w:rtl/>
        </w:rPr>
        <w:tab/>
      </w:r>
      <w:r w:rsidRPr="000E02CE">
        <w:rPr>
          <w:rFonts w:cs="FrankRuehl" w:hint="cs"/>
          <w:sz w:val="18"/>
          <w:rtl/>
        </w:rPr>
        <w:t xml:space="preserve">ראו בג"ץ 6055/95 </w:t>
      </w:r>
      <w:r w:rsidRPr="000E02CE">
        <w:rPr>
          <w:rFonts w:cs="FrankRuehl" w:hint="cs"/>
          <w:b/>
          <w:bCs/>
          <w:sz w:val="18"/>
          <w:rtl/>
        </w:rPr>
        <w:t xml:space="preserve">צמח נגד שר הבטחון, </w:t>
      </w:r>
      <w:r w:rsidRPr="000E02CE">
        <w:rPr>
          <w:rFonts w:cs="FrankRuehl" w:hint="cs"/>
          <w:sz w:val="18"/>
          <w:rtl/>
        </w:rPr>
        <w:t>פ"ד נג(5), 241, 261 (1999).</w:t>
      </w:r>
    </w:p>
  </w:footnote>
  <w:footnote w:id="9">
    <w:p w:rsidR="006259B3" w:rsidRPr="000E02CE" w:rsidP="000E02CE">
      <w:pPr>
        <w:pStyle w:val="FootnoteText"/>
        <w:keepLines/>
        <w:spacing w:line="200" w:lineRule="exact"/>
        <w:ind w:left="397" w:hanging="397"/>
        <w:jc w:val="both"/>
        <w:rPr>
          <w:rFonts w:cs="FrankRuehl"/>
          <w:sz w:val="18"/>
          <w:rtl/>
        </w:rPr>
      </w:pPr>
      <w:r w:rsidRPr="000E02CE">
        <w:rPr>
          <w:rStyle w:val="FootnoteReference"/>
          <w:rFonts w:ascii="FrankRuehl" w:hAnsi="FrankRuehl" w:cs="FrankRuehl"/>
          <w:vertAlign w:val="baseline"/>
        </w:rPr>
        <w:footnoteRef/>
      </w:r>
      <w:r w:rsidRPr="000E02CE">
        <w:rPr>
          <w:rFonts w:cs="FrankRuehl"/>
          <w:sz w:val="18"/>
          <w:rtl/>
        </w:rPr>
        <w:t xml:space="preserve"> </w:t>
      </w:r>
      <w:r w:rsidRPr="000E02CE">
        <w:rPr>
          <w:rFonts w:cs="FrankRuehl"/>
          <w:sz w:val="18"/>
          <w:rtl/>
        </w:rPr>
        <w:tab/>
      </w:r>
      <w:r w:rsidRPr="000E02CE">
        <w:rPr>
          <w:rFonts w:cs="FrankRuehl" w:hint="cs"/>
          <w:sz w:val="18"/>
          <w:rtl/>
        </w:rPr>
        <w:t xml:space="preserve">חגית לרנאו, "יישום מבחין - תאוריה ומעשה בתחום סמכויות החקירה וזכויות חשודים, </w:t>
      </w:r>
      <w:r w:rsidRPr="000E02CE">
        <w:rPr>
          <w:rFonts w:cs="FrankRuehl" w:hint="cs"/>
          <w:b/>
          <w:bCs/>
          <w:sz w:val="18"/>
          <w:rtl/>
        </w:rPr>
        <w:t xml:space="preserve">עלי משפט </w:t>
      </w:r>
      <w:r w:rsidRPr="000E02CE">
        <w:rPr>
          <w:rFonts w:cs="FrankRuehl" w:hint="eastAsia"/>
          <w:sz w:val="18"/>
          <w:rtl/>
        </w:rPr>
        <w:t>ז</w:t>
      </w:r>
      <w:r w:rsidRPr="000E02CE">
        <w:rPr>
          <w:rFonts w:cs="FrankRuehl" w:hint="cs"/>
          <w:sz w:val="18"/>
          <w:rtl/>
        </w:rPr>
        <w:t>, (התשס"ז), עמ' 105.</w:t>
      </w:r>
    </w:p>
  </w:footnote>
  <w:footnote w:id="10">
    <w:p w:rsidR="006259B3" w:rsidRPr="000E02CE" w:rsidP="000E02CE">
      <w:pPr>
        <w:pStyle w:val="FootnoteText"/>
        <w:keepLines/>
        <w:spacing w:line="200" w:lineRule="exact"/>
        <w:ind w:left="397" w:hanging="397"/>
        <w:jc w:val="both"/>
        <w:rPr>
          <w:rFonts w:cs="FrankRuehl"/>
          <w:sz w:val="18"/>
        </w:rPr>
      </w:pPr>
      <w:r w:rsidRPr="000E02CE">
        <w:rPr>
          <w:rStyle w:val="FootnoteReference"/>
          <w:rFonts w:ascii="FrankRuehl" w:hAnsi="FrankRuehl" w:cs="FrankRuehl"/>
          <w:vertAlign w:val="baseline"/>
        </w:rPr>
        <w:footnoteRef/>
      </w:r>
      <w:r w:rsidRPr="000E02CE">
        <w:rPr>
          <w:rFonts w:cs="FrankRuehl"/>
          <w:sz w:val="18"/>
          <w:rtl/>
        </w:rPr>
        <w:t xml:space="preserve"> </w:t>
      </w:r>
      <w:r w:rsidRPr="000E02CE">
        <w:rPr>
          <w:rFonts w:cs="FrankRuehl"/>
          <w:sz w:val="18"/>
          <w:rtl/>
        </w:rPr>
        <w:tab/>
      </w:r>
      <w:r w:rsidRPr="000E02CE">
        <w:rPr>
          <w:rFonts w:cs="FrankRuehl" w:hint="eastAsia"/>
          <w:b/>
          <w:bCs/>
          <w:sz w:val="18"/>
          <w:rtl/>
        </w:rPr>
        <w:t>המעצר</w:t>
      </w:r>
      <w:r w:rsidRPr="000E02CE">
        <w:rPr>
          <w:rFonts w:cs="FrankRuehl"/>
          <w:b/>
          <w:bCs/>
          <w:sz w:val="18"/>
          <w:rtl/>
        </w:rPr>
        <w:t xml:space="preserve">: </w:t>
      </w:r>
      <w:r w:rsidRPr="000E02CE">
        <w:rPr>
          <w:rFonts w:cs="FrankRuehl" w:hint="eastAsia"/>
          <w:b/>
          <w:bCs/>
          <w:sz w:val="18"/>
          <w:rtl/>
        </w:rPr>
        <w:t>שלילת</w:t>
      </w:r>
      <w:r w:rsidRPr="000E02CE">
        <w:rPr>
          <w:rFonts w:cs="FrankRuehl"/>
          <w:b/>
          <w:bCs/>
          <w:sz w:val="18"/>
          <w:rtl/>
        </w:rPr>
        <w:t xml:space="preserve"> </w:t>
      </w:r>
      <w:r w:rsidRPr="000E02CE">
        <w:rPr>
          <w:rFonts w:cs="FrankRuehl" w:hint="eastAsia"/>
          <w:b/>
          <w:bCs/>
          <w:sz w:val="18"/>
          <w:rtl/>
        </w:rPr>
        <w:t>החירות</w:t>
      </w:r>
      <w:r w:rsidRPr="000E02CE">
        <w:rPr>
          <w:rFonts w:cs="FrankRuehl"/>
          <w:b/>
          <w:bCs/>
          <w:sz w:val="18"/>
          <w:rtl/>
        </w:rPr>
        <w:t xml:space="preserve"> </w:t>
      </w:r>
      <w:r w:rsidRPr="000E02CE">
        <w:rPr>
          <w:rFonts w:cs="FrankRuehl" w:hint="eastAsia"/>
          <w:b/>
          <w:bCs/>
          <w:sz w:val="18"/>
          <w:rtl/>
        </w:rPr>
        <w:t>בטרם</w:t>
      </w:r>
      <w:r w:rsidRPr="000E02CE">
        <w:rPr>
          <w:rFonts w:cs="FrankRuehl"/>
          <w:b/>
          <w:bCs/>
          <w:sz w:val="18"/>
          <w:rtl/>
        </w:rPr>
        <w:t xml:space="preserve"> </w:t>
      </w:r>
      <w:r w:rsidRPr="000E02CE">
        <w:rPr>
          <w:rFonts w:cs="FrankRuehl" w:hint="eastAsia"/>
          <w:b/>
          <w:bCs/>
          <w:sz w:val="18"/>
          <w:rtl/>
        </w:rPr>
        <w:t>הכרעת</w:t>
      </w:r>
      <w:r w:rsidRPr="000E02CE">
        <w:rPr>
          <w:rFonts w:cs="FrankRuehl"/>
          <w:b/>
          <w:bCs/>
          <w:sz w:val="18"/>
          <w:rtl/>
        </w:rPr>
        <w:t xml:space="preserve"> </w:t>
      </w:r>
      <w:r w:rsidRPr="000E02CE">
        <w:rPr>
          <w:rFonts w:cs="FrankRuehl" w:hint="eastAsia"/>
          <w:b/>
          <w:bCs/>
          <w:sz w:val="18"/>
          <w:rtl/>
        </w:rPr>
        <w:t>הדין</w:t>
      </w:r>
      <w:r w:rsidRPr="000E02CE">
        <w:rPr>
          <w:rFonts w:cs="FrankRuehl" w:hint="cs"/>
          <w:sz w:val="18"/>
          <w:rtl/>
        </w:rPr>
        <w:t>, (2011), עמ' 19-18.</w:t>
      </w:r>
    </w:p>
  </w:footnote>
  <w:footnote w:id="11">
    <w:p w:rsidR="006259B3" w:rsidRPr="000E02CE" w:rsidP="000E02CE">
      <w:pPr>
        <w:pStyle w:val="FootnoteText"/>
        <w:keepLines/>
        <w:spacing w:line="200" w:lineRule="exact"/>
        <w:ind w:left="397" w:hanging="397"/>
        <w:jc w:val="both"/>
        <w:rPr>
          <w:rFonts w:cs="FrankRuehl"/>
          <w:sz w:val="18"/>
          <w:rtl/>
        </w:rPr>
      </w:pPr>
      <w:r w:rsidRPr="000E02CE">
        <w:rPr>
          <w:rStyle w:val="FootnoteReference"/>
          <w:rFonts w:ascii="FrankRuehl" w:hAnsi="FrankRuehl" w:cs="FrankRuehl"/>
          <w:vertAlign w:val="baseline"/>
        </w:rPr>
        <w:footnoteRef/>
      </w:r>
      <w:r w:rsidRPr="000E02CE">
        <w:rPr>
          <w:rFonts w:cs="FrankRuehl"/>
          <w:sz w:val="18"/>
          <w:rtl/>
        </w:rPr>
        <w:t xml:space="preserve"> </w:t>
      </w:r>
      <w:r w:rsidRPr="000E02CE">
        <w:rPr>
          <w:rFonts w:cs="FrankRuehl"/>
          <w:sz w:val="18"/>
          <w:rtl/>
        </w:rPr>
        <w:tab/>
      </w:r>
      <w:r w:rsidRPr="000E02CE">
        <w:rPr>
          <w:rFonts w:cs="FrankRuehl" w:hint="cs"/>
          <w:sz w:val="18"/>
          <w:rtl/>
        </w:rPr>
        <w:t>ב</w:t>
      </w:r>
      <w:r w:rsidRPr="000E02CE">
        <w:rPr>
          <w:rFonts w:cs="FrankRuehl"/>
          <w:sz w:val="18"/>
          <w:rtl/>
        </w:rPr>
        <w:t>ג</w:t>
      </w:r>
      <w:r w:rsidRPr="000E02CE">
        <w:rPr>
          <w:rFonts w:cs="FrankRuehl" w:hint="cs"/>
          <w:sz w:val="18"/>
          <w:rtl/>
        </w:rPr>
        <w:t>"</w:t>
      </w:r>
      <w:r w:rsidRPr="000E02CE">
        <w:rPr>
          <w:rFonts w:cs="FrankRuehl"/>
          <w:sz w:val="18"/>
          <w:rtl/>
        </w:rPr>
        <w:t>ץ 2605/05 ‏‏</w:t>
      </w:r>
      <w:r w:rsidRPr="000E02CE">
        <w:rPr>
          <w:rFonts w:cs="FrankRuehl"/>
          <w:b/>
          <w:bCs/>
          <w:sz w:val="18"/>
          <w:rtl/>
        </w:rPr>
        <w:t>המרכז האקדמי למשפט ולעסקים, חטיבת זכויות האדם נ' שר האוצר</w:t>
      </w:r>
      <w:r w:rsidRPr="000E02CE">
        <w:rPr>
          <w:rFonts w:cs="FrankRuehl"/>
          <w:sz w:val="18"/>
          <w:rtl/>
        </w:rPr>
        <w:t>, פ''ד סג(2) 545</w:t>
      </w:r>
      <w:r w:rsidRPr="000E02CE">
        <w:rPr>
          <w:rFonts w:cs="FrankRuehl" w:hint="cs"/>
          <w:sz w:val="18"/>
          <w:rtl/>
        </w:rPr>
        <w:t xml:space="preserve"> (2009).</w:t>
      </w:r>
    </w:p>
  </w:footnote>
  <w:footnote w:id="12">
    <w:p w:rsidR="006259B3" w:rsidRPr="000E02CE" w:rsidP="000E02CE">
      <w:pPr>
        <w:pStyle w:val="FootnoteText"/>
        <w:keepLines/>
        <w:spacing w:line="200" w:lineRule="exact"/>
        <w:ind w:left="397" w:hanging="397"/>
        <w:jc w:val="both"/>
        <w:rPr>
          <w:rFonts w:cs="FrankRuehl"/>
          <w:sz w:val="18"/>
          <w:rtl/>
        </w:rPr>
      </w:pPr>
      <w:r w:rsidRPr="000E02CE">
        <w:rPr>
          <w:rStyle w:val="FootnoteReference"/>
          <w:rFonts w:ascii="FrankRuehl" w:hAnsi="FrankRuehl" w:cs="FrankRuehl"/>
          <w:vertAlign w:val="baseline"/>
        </w:rPr>
        <w:footnoteRef/>
      </w:r>
      <w:r w:rsidRPr="000E02CE">
        <w:rPr>
          <w:rFonts w:cs="FrankRuehl"/>
          <w:sz w:val="18"/>
          <w:rtl/>
        </w:rPr>
        <w:t xml:space="preserve"> </w:t>
      </w:r>
      <w:r w:rsidRPr="000E02CE">
        <w:rPr>
          <w:rFonts w:cs="FrankRuehl"/>
          <w:sz w:val="18"/>
          <w:rtl/>
        </w:rPr>
        <w:tab/>
      </w:r>
      <w:r w:rsidRPr="000E02CE">
        <w:rPr>
          <w:rFonts w:cs="FrankRuehl" w:hint="cs"/>
          <w:sz w:val="18"/>
          <w:rtl/>
        </w:rPr>
        <w:t xml:space="preserve">דנ"פ 2316/95 </w:t>
      </w:r>
      <w:r w:rsidRPr="000E02CE">
        <w:rPr>
          <w:rFonts w:cs="FrankRuehl" w:hint="cs"/>
          <w:b/>
          <w:bCs/>
          <w:sz w:val="18"/>
          <w:rtl/>
        </w:rPr>
        <w:t>גנימאת נ' מדינת ישראל</w:t>
      </w:r>
      <w:r w:rsidRPr="000E02CE">
        <w:rPr>
          <w:rFonts w:cs="FrankRuehl" w:hint="cs"/>
          <w:sz w:val="18"/>
          <w:rtl/>
        </w:rPr>
        <w:t>, פ"ד מט(4) 589 (1995).</w:t>
      </w:r>
    </w:p>
  </w:footnote>
  <w:footnote w:id="13">
    <w:p w:rsidR="006259B3" w:rsidRPr="000E02CE" w:rsidP="000E02CE">
      <w:pPr>
        <w:pStyle w:val="FootnoteText"/>
        <w:keepLines/>
        <w:spacing w:line="200" w:lineRule="exact"/>
        <w:ind w:left="397" w:hanging="397"/>
        <w:jc w:val="both"/>
        <w:rPr>
          <w:rFonts w:cs="FrankRuehl"/>
          <w:sz w:val="18"/>
        </w:rPr>
      </w:pPr>
      <w:r w:rsidRPr="000E02CE">
        <w:rPr>
          <w:rStyle w:val="FootnoteReference"/>
          <w:rFonts w:ascii="FrankRuehl" w:hAnsi="FrankRuehl" w:cs="FrankRuehl"/>
          <w:vertAlign w:val="baseline"/>
        </w:rPr>
        <w:footnoteRef/>
      </w:r>
      <w:r w:rsidRPr="000E02CE">
        <w:rPr>
          <w:rFonts w:cs="FrankRuehl"/>
          <w:sz w:val="18"/>
          <w:rtl/>
        </w:rPr>
        <w:t xml:space="preserve"> </w:t>
      </w:r>
      <w:r w:rsidRPr="000E02CE">
        <w:rPr>
          <w:rFonts w:cs="FrankRuehl" w:hint="cs"/>
          <w:sz w:val="18"/>
          <w:rtl/>
        </w:rPr>
        <w:tab/>
      </w:r>
      <w:r w:rsidRPr="000E02CE">
        <w:rPr>
          <w:rFonts w:cs="FrankRuehl"/>
          <w:sz w:val="18"/>
          <w:rtl/>
        </w:rPr>
        <w:t xml:space="preserve">בג"ץ 355/79 </w:t>
      </w:r>
      <w:r w:rsidRPr="000E02CE">
        <w:rPr>
          <w:rFonts w:cs="FrankRuehl"/>
          <w:b/>
          <w:bCs/>
          <w:sz w:val="18"/>
          <w:rtl/>
        </w:rPr>
        <w:t>קטלן נ' שירות בתי הסוהר</w:t>
      </w:r>
      <w:r w:rsidRPr="000E02CE">
        <w:rPr>
          <w:rFonts w:cs="FrankRuehl"/>
          <w:sz w:val="18"/>
          <w:rtl/>
        </w:rPr>
        <w:t>, פד"י לד(3) 294, 298</w:t>
      </w:r>
      <w:r w:rsidRPr="000E02CE">
        <w:rPr>
          <w:rFonts w:cs="FrankRuehl" w:hint="cs"/>
          <w:sz w:val="18"/>
          <w:rtl/>
        </w:rPr>
        <w:t xml:space="preserve"> (1980).</w:t>
      </w:r>
    </w:p>
  </w:footnote>
  <w:footnote w:id="14">
    <w:p w:rsidR="006259B3" w:rsidRPr="000E02CE" w:rsidP="000E02CE">
      <w:pPr>
        <w:pStyle w:val="FootnoteText"/>
        <w:keepLines/>
        <w:spacing w:line="200" w:lineRule="exact"/>
        <w:ind w:left="397" w:hanging="397"/>
        <w:jc w:val="both"/>
        <w:rPr>
          <w:rFonts w:cs="FrankRuehl"/>
          <w:sz w:val="18"/>
          <w:rtl/>
        </w:rPr>
      </w:pPr>
      <w:r w:rsidRPr="000E02CE">
        <w:rPr>
          <w:rStyle w:val="FootnoteReference"/>
          <w:rFonts w:ascii="FrankRuehl" w:hAnsi="FrankRuehl" w:cs="FrankRuehl"/>
          <w:vertAlign w:val="baseline"/>
        </w:rPr>
        <w:footnoteRef/>
      </w:r>
      <w:r w:rsidRPr="000E02CE">
        <w:rPr>
          <w:rFonts w:cs="FrankRuehl"/>
          <w:sz w:val="18"/>
          <w:rtl/>
        </w:rPr>
        <w:t xml:space="preserve"> </w:t>
      </w:r>
      <w:r w:rsidRPr="000E02CE">
        <w:rPr>
          <w:rFonts w:cs="FrankRuehl"/>
          <w:sz w:val="18"/>
          <w:rtl/>
        </w:rPr>
        <w:tab/>
      </w:r>
      <w:r w:rsidRPr="000E02CE">
        <w:rPr>
          <w:rFonts w:cs="FrankRuehl" w:hint="cs"/>
          <w:sz w:val="18"/>
          <w:rtl/>
        </w:rPr>
        <w:t xml:space="preserve">עע"א 4463/94 </w:t>
      </w:r>
      <w:r w:rsidRPr="000E02CE">
        <w:rPr>
          <w:rFonts w:cs="FrankRuehl" w:hint="cs"/>
          <w:b/>
          <w:bCs/>
          <w:sz w:val="18"/>
          <w:rtl/>
        </w:rPr>
        <w:t>גולן נ' שירות בתי הסוהר</w:t>
      </w:r>
      <w:r w:rsidRPr="000E02CE">
        <w:rPr>
          <w:rFonts w:cs="FrankRuehl" w:hint="cs"/>
          <w:sz w:val="18"/>
          <w:rtl/>
        </w:rPr>
        <w:t>, פד"י נ(4) 136, שם דובר באסירים, אך הדברים כוחם יפה גם לעצורים (1996).</w:t>
      </w:r>
    </w:p>
  </w:footnote>
  <w:footnote w:id="15">
    <w:p w:rsidR="006259B3" w:rsidRPr="000E02CE" w:rsidP="000E02CE">
      <w:pPr>
        <w:pStyle w:val="FootnoteText"/>
        <w:keepLines/>
        <w:spacing w:line="200" w:lineRule="exact"/>
        <w:ind w:left="397" w:hanging="397"/>
        <w:jc w:val="both"/>
        <w:rPr>
          <w:rFonts w:cs="FrankRuehl"/>
          <w:sz w:val="18"/>
          <w:rtl/>
        </w:rPr>
      </w:pPr>
      <w:r w:rsidRPr="000E02CE">
        <w:rPr>
          <w:rStyle w:val="FootnoteReference"/>
          <w:rFonts w:ascii="FrankRuehl" w:hAnsi="FrankRuehl" w:cs="FrankRuehl"/>
          <w:vertAlign w:val="baseline"/>
        </w:rPr>
        <w:footnoteRef/>
      </w:r>
      <w:r w:rsidRPr="000E02CE">
        <w:rPr>
          <w:rFonts w:cs="FrankRuehl"/>
          <w:sz w:val="18"/>
          <w:rtl/>
        </w:rPr>
        <w:t xml:space="preserve"> </w:t>
      </w:r>
      <w:r w:rsidRPr="000E02CE">
        <w:rPr>
          <w:rFonts w:cs="FrankRuehl"/>
          <w:sz w:val="18"/>
          <w:rtl/>
        </w:rPr>
        <w:tab/>
      </w:r>
      <w:r w:rsidRPr="000E02CE">
        <w:rPr>
          <w:rFonts w:cs="FrankRuehl" w:hint="cs"/>
          <w:sz w:val="18"/>
          <w:rtl/>
        </w:rPr>
        <w:t xml:space="preserve">על </w:t>
      </w:r>
      <w:r w:rsidRPr="000E02CE">
        <w:rPr>
          <w:rFonts w:cs="FrankRuehl" w:hint="eastAsia"/>
          <w:sz w:val="18"/>
          <w:rtl/>
        </w:rPr>
        <w:t>יחידת</w:t>
      </w:r>
      <w:r w:rsidRPr="000E02CE">
        <w:rPr>
          <w:rFonts w:cs="FrankRuehl"/>
          <w:sz w:val="18"/>
          <w:rtl/>
        </w:rPr>
        <w:t xml:space="preserve"> </w:t>
      </w:r>
      <w:r w:rsidRPr="000E02CE">
        <w:rPr>
          <w:rFonts w:cs="FrankRuehl" w:hint="eastAsia"/>
          <w:sz w:val="18"/>
          <w:rtl/>
        </w:rPr>
        <w:t>נחשון</w:t>
      </w:r>
      <w:r w:rsidRPr="000E02CE">
        <w:rPr>
          <w:rFonts w:cs="FrankRuehl"/>
          <w:sz w:val="18"/>
          <w:rtl/>
        </w:rPr>
        <w:t xml:space="preserve"> </w:t>
      </w:r>
      <w:r w:rsidRPr="000E02CE">
        <w:rPr>
          <w:rFonts w:cs="FrankRuehl" w:hint="eastAsia"/>
          <w:sz w:val="18"/>
          <w:rtl/>
        </w:rPr>
        <w:t>מוטלת</w:t>
      </w:r>
      <w:r w:rsidRPr="000E02CE">
        <w:rPr>
          <w:rFonts w:cs="FrankRuehl"/>
          <w:sz w:val="18"/>
          <w:rtl/>
        </w:rPr>
        <w:t xml:space="preserve"> </w:t>
      </w:r>
      <w:r w:rsidRPr="000E02CE">
        <w:rPr>
          <w:rFonts w:cs="FrankRuehl" w:hint="cs"/>
          <w:sz w:val="18"/>
          <w:rtl/>
        </w:rPr>
        <w:t>בעיקר ה</w:t>
      </w:r>
      <w:r w:rsidRPr="000E02CE">
        <w:rPr>
          <w:rFonts w:cs="FrankRuehl"/>
          <w:sz w:val="18"/>
          <w:rtl/>
        </w:rPr>
        <w:t xml:space="preserve">אחריות </w:t>
      </w:r>
      <w:r w:rsidRPr="000E02CE">
        <w:rPr>
          <w:rFonts w:cs="FrankRuehl" w:hint="eastAsia"/>
          <w:sz w:val="18"/>
          <w:rtl/>
        </w:rPr>
        <w:t>ל</w:t>
      </w:r>
      <w:r w:rsidRPr="000E02CE">
        <w:rPr>
          <w:rFonts w:cs="FrankRuehl"/>
          <w:sz w:val="18"/>
          <w:rtl/>
        </w:rPr>
        <w:t xml:space="preserve">ליוויים </w:t>
      </w:r>
      <w:r w:rsidRPr="000E02CE">
        <w:rPr>
          <w:rFonts w:cs="FrankRuehl" w:hint="eastAsia"/>
          <w:sz w:val="18"/>
          <w:rtl/>
        </w:rPr>
        <w:t>ל</w:t>
      </w:r>
      <w:r w:rsidRPr="000E02CE">
        <w:rPr>
          <w:rFonts w:cs="FrankRuehl" w:hint="cs"/>
          <w:sz w:val="18"/>
          <w:rtl/>
        </w:rPr>
        <w:t xml:space="preserve">-26 </w:t>
      </w:r>
      <w:r w:rsidRPr="000E02CE">
        <w:rPr>
          <w:rFonts w:cs="FrankRuehl"/>
          <w:sz w:val="18"/>
          <w:rtl/>
        </w:rPr>
        <w:t xml:space="preserve">בתי משפט, </w:t>
      </w:r>
      <w:r w:rsidRPr="000E02CE">
        <w:rPr>
          <w:rFonts w:cs="FrankRuehl" w:hint="eastAsia"/>
          <w:sz w:val="18"/>
          <w:rtl/>
        </w:rPr>
        <w:t>ל</w:t>
      </w:r>
      <w:r w:rsidRPr="000E02CE">
        <w:rPr>
          <w:rFonts w:cs="FrankRuehl"/>
          <w:sz w:val="18"/>
          <w:rtl/>
        </w:rPr>
        <w:t xml:space="preserve">בתי </w:t>
      </w:r>
      <w:r w:rsidRPr="000E02CE">
        <w:rPr>
          <w:rFonts w:cs="FrankRuehl" w:hint="eastAsia"/>
          <w:sz w:val="18"/>
          <w:rtl/>
        </w:rPr>
        <w:t>הסוהר</w:t>
      </w:r>
      <w:r w:rsidRPr="000E02CE">
        <w:rPr>
          <w:rFonts w:cs="FrankRuehl"/>
          <w:sz w:val="18"/>
          <w:rtl/>
        </w:rPr>
        <w:t xml:space="preserve"> ו</w:t>
      </w:r>
      <w:r w:rsidRPr="000E02CE">
        <w:rPr>
          <w:rFonts w:cs="FrankRuehl" w:hint="eastAsia"/>
          <w:sz w:val="18"/>
          <w:rtl/>
        </w:rPr>
        <w:t>ל</w:t>
      </w:r>
      <w:r w:rsidRPr="000E02CE">
        <w:rPr>
          <w:rFonts w:cs="FrankRuehl"/>
          <w:sz w:val="18"/>
          <w:rtl/>
        </w:rPr>
        <w:t xml:space="preserve">תחנות </w:t>
      </w:r>
      <w:r w:rsidRPr="000E02CE">
        <w:rPr>
          <w:rFonts w:cs="FrankRuehl" w:hint="eastAsia"/>
          <w:sz w:val="18"/>
          <w:rtl/>
        </w:rPr>
        <w:t>ה</w:t>
      </w:r>
      <w:r w:rsidRPr="000E02CE">
        <w:rPr>
          <w:rFonts w:cs="FrankRuehl"/>
          <w:sz w:val="18"/>
          <w:rtl/>
        </w:rPr>
        <w:t>משטרה</w:t>
      </w:r>
      <w:r w:rsidRPr="000E02CE">
        <w:rPr>
          <w:rFonts w:cs="FrankRuehl" w:hint="cs"/>
          <w:sz w:val="18"/>
          <w:rtl/>
        </w:rPr>
        <w:t>.</w:t>
      </w:r>
      <w:r w:rsidRPr="000E02CE">
        <w:rPr>
          <w:rFonts w:cs="FrankRuehl"/>
          <w:sz w:val="18"/>
          <w:rtl/>
        </w:rPr>
        <w:t xml:space="preserve"> יחידת נחשון מלוו</w:t>
      </w:r>
      <w:r w:rsidRPr="000E02CE">
        <w:rPr>
          <w:rFonts w:cs="FrankRuehl" w:hint="eastAsia"/>
          <w:sz w:val="18"/>
          <w:rtl/>
        </w:rPr>
        <w:t>ה</w:t>
      </w:r>
      <w:r w:rsidRPr="000E02CE">
        <w:rPr>
          <w:rFonts w:cs="FrankRuehl"/>
          <w:sz w:val="18"/>
          <w:rtl/>
        </w:rPr>
        <w:t xml:space="preserve"> מדי יום כ-1,500 אסירים ועצורים פליליים ברכבי הליווי של היחידה </w:t>
      </w:r>
      <w:r w:rsidRPr="000E02CE">
        <w:rPr>
          <w:rFonts w:cs="FrankRuehl" w:hint="eastAsia"/>
          <w:sz w:val="18"/>
          <w:rtl/>
        </w:rPr>
        <w:t>ו</w:t>
      </w:r>
      <w:r w:rsidRPr="000E02CE">
        <w:rPr>
          <w:rFonts w:cs="FrankRuehl"/>
          <w:sz w:val="18"/>
          <w:rtl/>
        </w:rPr>
        <w:t xml:space="preserve">כ-390,000 עצורים בכל שנה. </w:t>
      </w:r>
    </w:p>
  </w:footnote>
  <w:footnote w:id="16">
    <w:p w:rsidR="006259B3" w:rsidRPr="000E02CE" w:rsidP="000E02CE">
      <w:pPr>
        <w:pStyle w:val="FootnoteText"/>
        <w:keepLines/>
        <w:spacing w:line="200" w:lineRule="exact"/>
        <w:ind w:left="397" w:hanging="397"/>
        <w:jc w:val="both"/>
        <w:rPr>
          <w:rFonts w:cs="FrankRuehl"/>
          <w:sz w:val="18"/>
        </w:rPr>
      </w:pPr>
      <w:r w:rsidRPr="000E02CE">
        <w:rPr>
          <w:rStyle w:val="FootnoteReference"/>
          <w:rFonts w:ascii="FrankRuehl" w:hAnsi="FrankRuehl" w:cs="FrankRuehl"/>
          <w:vertAlign w:val="baseline"/>
        </w:rPr>
        <w:footnoteRef/>
      </w:r>
      <w:r w:rsidRPr="000E02CE">
        <w:rPr>
          <w:rFonts w:cs="FrankRuehl"/>
          <w:sz w:val="18"/>
          <w:rtl/>
        </w:rPr>
        <w:t xml:space="preserve"> </w:t>
      </w:r>
      <w:r w:rsidRPr="000E02CE">
        <w:rPr>
          <w:rFonts w:cs="FrankRuehl"/>
          <w:sz w:val="18"/>
          <w:rtl/>
        </w:rPr>
        <w:tab/>
      </w:r>
      <w:r w:rsidRPr="000E02CE">
        <w:rPr>
          <w:rFonts w:cs="FrankRuehl" w:hint="cs"/>
          <w:b/>
          <w:bCs/>
          <w:sz w:val="18"/>
          <w:rtl/>
        </w:rPr>
        <w:t xml:space="preserve">תא מעצר </w:t>
      </w:r>
      <w:r w:rsidRPr="000E02CE">
        <w:rPr>
          <w:rFonts w:cs="FrankRuehl"/>
          <w:sz w:val="18"/>
        </w:rPr>
        <w:t>-</w:t>
      </w:r>
      <w:r w:rsidRPr="000E02CE">
        <w:rPr>
          <w:rFonts w:cs="FrankRuehl"/>
          <w:sz w:val="18"/>
          <w:rtl/>
        </w:rPr>
        <w:t xml:space="preserve"> </w:t>
      </w:r>
      <w:r w:rsidRPr="000E02CE">
        <w:rPr>
          <w:rFonts w:cs="FrankRuehl" w:hint="cs"/>
          <w:sz w:val="18"/>
          <w:rtl/>
        </w:rPr>
        <w:t xml:space="preserve">בתחנה או במרחב שהשר לבט"פ הכריז עליו כמקום מעצר, על פי תקנות סדר הדין הפלילי, והוא מיועד להחזקת עצורים לצורכי חקירה ו/או עד להעברתם לאחריות השב"ס. </w:t>
      </w:r>
      <w:r w:rsidRPr="000E02CE">
        <w:rPr>
          <w:rFonts w:cs="FrankRuehl"/>
          <w:sz w:val="18"/>
          <w:rtl/>
        </w:rPr>
        <w:br/>
      </w:r>
      <w:r w:rsidRPr="000E02CE">
        <w:rPr>
          <w:rFonts w:cs="FrankRuehl" w:hint="cs"/>
          <w:b/>
          <w:bCs/>
          <w:sz w:val="18"/>
          <w:rtl/>
        </w:rPr>
        <w:t xml:space="preserve">תא שהייה </w:t>
      </w:r>
      <w:r w:rsidRPr="000E02CE">
        <w:rPr>
          <w:rFonts w:cs="FrankRuehl" w:hint="cs"/>
          <w:sz w:val="18"/>
          <w:rtl/>
        </w:rPr>
        <w:t>- תא המתנה, ללא אפשרות לינה, המיועד להשהיית עצורים למשך מספר שעות עד לחקירתם ו/או להעברתם למשמורת השב"ס.</w:t>
      </w:r>
    </w:p>
  </w:footnote>
  <w:footnote w:id="17">
    <w:p w:rsidR="00A37821" w:rsidRPr="000E02CE" w:rsidP="003C25CC">
      <w:pPr>
        <w:pStyle w:val="FootnoteText"/>
        <w:keepLines/>
        <w:spacing w:line="200" w:lineRule="exact"/>
        <w:ind w:left="397" w:hanging="397"/>
        <w:jc w:val="both"/>
        <w:rPr>
          <w:rFonts w:cs="FrankRuehl"/>
          <w:sz w:val="18"/>
          <w:rtl/>
        </w:rPr>
      </w:pPr>
      <w:r w:rsidRPr="003C25CC">
        <w:rPr>
          <w:rStyle w:val="FootnoteReference"/>
          <w:rFonts w:ascii="FrankRuehl" w:hAnsi="FrankRuehl" w:cs="FrankRuehl"/>
          <w:vertAlign w:val="baseline"/>
        </w:rPr>
        <w:footnoteRef/>
      </w:r>
      <w:r w:rsidRPr="003C25CC">
        <w:rPr>
          <w:rFonts w:cs="FrankRuehl"/>
          <w:sz w:val="18"/>
          <w:rtl/>
        </w:rPr>
        <w:t xml:space="preserve"> </w:t>
      </w:r>
      <w:r w:rsidRPr="003C25CC">
        <w:rPr>
          <w:rFonts w:cs="FrankRuehl"/>
          <w:sz w:val="18"/>
          <w:rtl/>
        </w:rPr>
        <w:tab/>
      </w:r>
      <w:r w:rsidRPr="003C25CC">
        <w:rPr>
          <w:rFonts w:cs="FrankRuehl" w:hint="cs"/>
          <w:sz w:val="18"/>
          <w:rtl/>
        </w:rPr>
        <w:t xml:space="preserve">ראו בקובץ דוחות זה את הפרק "מערך הרפואה לטיפול בכלואים בשרות בתי הסוהר", </w:t>
      </w:r>
      <w:bookmarkStart w:id="5" w:name="_GoBack"/>
      <w:bookmarkEnd w:id="5"/>
      <w:r w:rsidRPr="003C25CC">
        <w:rPr>
          <w:rFonts w:cs="FrankRuehl" w:hint="eastAsia"/>
          <w:sz w:val="18"/>
          <w:rtl/>
        </w:rPr>
        <w:t>עמ</w:t>
      </w:r>
      <w:r w:rsidRPr="003C25CC">
        <w:rPr>
          <w:rFonts w:cs="FrankRuehl"/>
          <w:sz w:val="18"/>
          <w:rtl/>
        </w:rPr>
        <w:t xml:space="preserve">' </w:t>
      </w:r>
      <w:r w:rsidRPr="003C25CC" w:rsidR="003C25CC">
        <w:rPr>
          <w:rFonts w:cs="FrankRuehl" w:hint="cs"/>
          <w:sz w:val="18"/>
          <w:rtl/>
        </w:rPr>
        <w:t>430-385</w:t>
      </w:r>
      <w:r w:rsidRPr="003C25CC">
        <w:rPr>
          <w:rFonts w:cs="FrankRuehl"/>
          <w:sz w:val="18"/>
          <w:rtl/>
        </w:rPr>
        <w:t>.</w:t>
      </w:r>
    </w:p>
  </w:footnote>
  <w:footnote w:id="18">
    <w:p w:rsidR="006259B3" w:rsidRPr="000E02CE" w:rsidP="000E02CE">
      <w:pPr>
        <w:pStyle w:val="FootnoteText"/>
        <w:keepLines/>
        <w:spacing w:line="200" w:lineRule="exact"/>
        <w:ind w:left="397" w:hanging="397"/>
        <w:jc w:val="both"/>
        <w:rPr>
          <w:rFonts w:cs="FrankRuehl"/>
          <w:sz w:val="18"/>
          <w:rtl/>
        </w:rPr>
      </w:pPr>
      <w:r w:rsidRPr="000E02CE">
        <w:rPr>
          <w:rStyle w:val="FootnoteReference"/>
          <w:rFonts w:ascii="FrankRuehl" w:hAnsi="FrankRuehl" w:cs="FrankRuehl"/>
          <w:vertAlign w:val="baseline"/>
        </w:rPr>
        <w:footnoteRef/>
      </w:r>
      <w:r w:rsidRPr="000E02CE">
        <w:rPr>
          <w:rFonts w:cs="FrankRuehl"/>
          <w:sz w:val="18"/>
          <w:rtl/>
        </w:rPr>
        <w:t xml:space="preserve"> </w:t>
      </w:r>
      <w:r w:rsidRPr="000E02CE">
        <w:rPr>
          <w:rFonts w:cs="FrankRuehl"/>
          <w:sz w:val="18"/>
          <w:rtl/>
        </w:rPr>
        <w:tab/>
      </w:r>
      <w:r w:rsidRPr="000E02CE">
        <w:rPr>
          <w:rFonts w:cs="FrankRuehl" w:hint="cs"/>
          <w:sz w:val="18"/>
          <w:rtl/>
        </w:rPr>
        <w:t>העברת עצורים בין בתי מעצר, בין היתר עקב חוסר במקומות או סכסוכים בין עצורים ואסירים.</w:t>
      </w:r>
    </w:p>
  </w:footnote>
  <w:footnote w:id="19">
    <w:p w:rsidR="006259B3" w:rsidRPr="000E02CE" w:rsidP="000E02CE">
      <w:pPr>
        <w:pStyle w:val="FootnoteText"/>
        <w:keepLines/>
        <w:spacing w:line="200" w:lineRule="exact"/>
        <w:ind w:left="397" w:hanging="397"/>
        <w:jc w:val="both"/>
        <w:rPr>
          <w:rFonts w:cs="FrankRuehl"/>
          <w:sz w:val="18"/>
        </w:rPr>
      </w:pPr>
      <w:r w:rsidRPr="000E02CE">
        <w:rPr>
          <w:rStyle w:val="FootnoteReference"/>
          <w:rFonts w:ascii="FrankRuehl" w:hAnsi="FrankRuehl" w:cs="FrankRuehl"/>
          <w:vertAlign w:val="baseline"/>
        </w:rPr>
        <w:footnoteRef/>
      </w:r>
      <w:r w:rsidRPr="000E02CE">
        <w:rPr>
          <w:rFonts w:cs="FrankRuehl"/>
          <w:sz w:val="18"/>
          <w:rtl/>
        </w:rPr>
        <w:t xml:space="preserve"> </w:t>
      </w:r>
      <w:r w:rsidRPr="000E02CE">
        <w:rPr>
          <w:rFonts w:cs="FrankRuehl"/>
          <w:sz w:val="18"/>
          <w:rtl/>
        </w:rPr>
        <w:tab/>
      </w:r>
      <w:r w:rsidRPr="000E02CE">
        <w:rPr>
          <w:rFonts w:cs="FrankRuehl" w:hint="cs"/>
          <w:sz w:val="18"/>
          <w:rtl/>
        </w:rPr>
        <w:t>מתוך "שנת המפנה 2013, השנתון הסטטיסטי משטרת ישראל", עמ' 77, מאי 2014.</w:t>
      </w:r>
    </w:p>
  </w:footnote>
  <w:footnote w:id="20">
    <w:p w:rsidR="006259B3" w:rsidRPr="000E02CE" w:rsidP="000E02CE">
      <w:pPr>
        <w:pStyle w:val="FootnoteText"/>
        <w:keepLines/>
        <w:spacing w:line="200" w:lineRule="exact"/>
        <w:ind w:left="397" w:hanging="397"/>
        <w:jc w:val="both"/>
        <w:rPr>
          <w:rFonts w:cs="FrankRuehl"/>
          <w:sz w:val="18"/>
          <w:rtl/>
        </w:rPr>
      </w:pPr>
      <w:r w:rsidRPr="000E02CE">
        <w:rPr>
          <w:rStyle w:val="FootnoteReference"/>
          <w:rFonts w:ascii="FrankRuehl" w:hAnsi="FrankRuehl" w:cs="FrankRuehl"/>
          <w:vertAlign w:val="baseline"/>
        </w:rPr>
        <w:footnoteRef/>
      </w:r>
      <w:r w:rsidRPr="000E02CE">
        <w:rPr>
          <w:rFonts w:cs="FrankRuehl"/>
          <w:sz w:val="18"/>
          <w:rtl/>
        </w:rPr>
        <w:t xml:space="preserve"> </w:t>
      </w:r>
      <w:r w:rsidRPr="000E02CE">
        <w:rPr>
          <w:rFonts w:cs="FrankRuehl"/>
          <w:sz w:val="18"/>
          <w:rtl/>
        </w:rPr>
        <w:tab/>
      </w:r>
      <w:r w:rsidRPr="000E02CE">
        <w:rPr>
          <w:rFonts w:cs="FrankRuehl" w:hint="cs"/>
          <w:sz w:val="18"/>
          <w:rtl/>
        </w:rPr>
        <w:t>"שנת המפנה 2013, השנתון הסטטיסטי משטרת ישראל", מאי 2014.</w:t>
      </w:r>
    </w:p>
  </w:footnote>
  <w:footnote w:id="21">
    <w:p w:rsidR="006259B3" w:rsidRPr="000E02CE" w:rsidP="000E02CE">
      <w:pPr>
        <w:pStyle w:val="FootnoteText"/>
        <w:keepLines/>
        <w:spacing w:line="200" w:lineRule="exact"/>
        <w:ind w:left="397" w:hanging="397"/>
        <w:jc w:val="both"/>
        <w:rPr>
          <w:rFonts w:cs="FrankRuehl"/>
          <w:sz w:val="18"/>
          <w:rtl/>
        </w:rPr>
      </w:pPr>
      <w:r w:rsidRPr="000E02CE">
        <w:rPr>
          <w:rStyle w:val="FootnoteReference"/>
          <w:rFonts w:ascii="FrankRuehl" w:hAnsi="FrankRuehl" w:cs="FrankRuehl"/>
          <w:vertAlign w:val="baseline"/>
        </w:rPr>
        <w:footnoteRef/>
      </w:r>
      <w:r w:rsidRPr="000E02CE">
        <w:rPr>
          <w:rFonts w:cs="FrankRuehl"/>
          <w:sz w:val="18"/>
          <w:rtl/>
        </w:rPr>
        <w:t xml:space="preserve"> </w:t>
      </w:r>
      <w:r w:rsidRPr="000E02CE">
        <w:rPr>
          <w:rFonts w:cs="FrankRuehl"/>
          <w:sz w:val="18"/>
          <w:rtl/>
        </w:rPr>
        <w:tab/>
      </w:r>
      <w:r w:rsidRPr="000E02CE">
        <w:rPr>
          <w:rFonts w:cs="FrankRuehl" w:hint="cs"/>
          <w:sz w:val="18"/>
          <w:rtl/>
        </w:rPr>
        <w:t xml:space="preserve">ראו מבקר המדינה, </w:t>
      </w:r>
      <w:r w:rsidRPr="000E02CE">
        <w:rPr>
          <w:rFonts w:cs="FrankRuehl" w:hint="cs"/>
          <w:b/>
          <w:bCs/>
          <w:sz w:val="18"/>
          <w:rtl/>
        </w:rPr>
        <w:t>דוח 43</w:t>
      </w:r>
      <w:r w:rsidRPr="000E02CE">
        <w:rPr>
          <w:rFonts w:cs="FrankRuehl" w:hint="cs"/>
          <w:sz w:val="18"/>
          <w:rtl/>
        </w:rPr>
        <w:t xml:space="preserve"> (1993), עמ' 354-344.</w:t>
      </w:r>
    </w:p>
  </w:footnote>
  <w:footnote w:id="22">
    <w:p w:rsidR="006259B3" w:rsidRPr="000E02CE" w:rsidP="000E02CE">
      <w:pPr>
        <w:pStyle w:val="FootnoteText"/>
        <w:keepLines/>
        <w:spacing w:line="200" w:lineRule="exact"/>
        <w:ind w:left="397" w:hanging="397"/>
        <w:jc w:val="both"/>
        <w:rPr>
          <w:rFonts w:cs="FrankRuehl"/>
          <w:sz w:val="18"/>
        </w:rPr>
      </w:pPr>
      <w:r w:rsidRPr="000E02CE">
        <w:rPr>
          <w:rStyle w:val="FootnoteReference"/>
          <w:rFonts w:ascii="FrankRuehl" w:hAnsi="FrankRuehl" w:cs="FrankRuehl"/>
          <w:vertAlign w:val="baseline"/>
        </w:rPr>
        <w:footnoteRef/>
      </w:r>
      <w:r w:rsidRPr="000E02CE">
        <w:rPr>
          <w:rFonts w:cs="FrankRuehl"/>
          <w:sz w:val="18"/>
          <w:rtl/>
        </w:rPr>
        <w:t xml:space="preserve"> </w:t>
      </w:r>
      <w:r w:rsidRPr="000E02CE">
        <w:rPr>
          <w:rFonts w:cs="FrankRuehl"/>
          <w:sz w:val="18"/>
          <w:rtl/>
        </w:rPr>
        <w:tab/>
      </w:r>
      <w:r w:rsidRPr="000E02CE">
        <w:rPr>
          <w:rFonts w:cs="FrankRuehl" w:hint="cs"/>
          <w:sz w:val="18"/>
          <w:rtl/>
        </w:rPr>
        <w:t>לדוגמה, ראו דוח הוועדה המשותפת למשרד המשפטים ולמשרד המשטרה לבחינת דרכים להקלת הצפיפות בבתי הסוהר, בראשות עו"ד יהודית קרפ (1987); דוח ועדת החקירה לבדיקת מצב בתי הסוהר, בראשות השופט מקס קנת (1981).</w:t>
      </w:r>
    </w:p>
  </w:footnote>
  <w:footnote w:id="23">
    <w:p w:rsidR="006259B3" w:rsidRPr="000E02CE" w:rsidP="000E02CE">
      <w:pPr>
        <w:pStyle w:val="FootnoteText"/>
        <w:keepLines/>
        <w:spacing w:line="200" w:lineRule="exact"/>
        <w:ind w:left="397" w:hanging="397"/>
        <w:jc w:val="both"/>
        <w:rPr>
          <w:rFonts w:cs="FrankRuehl"/>
          <w:sz w:val="18"/>
          <w:rtl/>
        </w:rPr>
      </w:pPr>
      <w:r w:rsidRPr="000E02CE">
        <w:rPr>
          <w:rStyle w:val="FootnoteReference"/>
          <w:rFonts w:ascii="FrankRuehl" w:hAnsi="FrankRuehl" w:cs="FrankRuehl"/>
          <w:vertAlign w:val="baseline"/>
        </w:rPr>
        <w:footnoteRef/>
      </w:r>
      <w:r w:rsidRPr="000E02CE">
        <w:rPr>
          <w:rFonts w:cs="FrankRuehl"/>
          <w:sz w:val="18"/>
          <w:rtl/>
        </w:rPr>
        <w:t xml:space="preserve"> </w:t>
      </w:r>
      <w:r w:rsidRPr="000E02CE">
        <w:rPr>
          <w:rFonts w:cs="FrankRuehl"/>
          <w:sz w:val="18"/>
          <w:rtl/>
        </w:rPr>
        <w:tab/>
      </w:r>
      <w:r w:rsidRPr="000E02CE">
        <w:rPr>
          <w:rFonts w:cs="FrankRuehl" w:hint="cs"/>
          <w:sz w:val="18"/>
          <w:rtl/>
        </w:rPr>
        <w:t xml:space="preserve">מ"י (י-ם) 36315-06-13 </w:t>
      </w:r>
      <w:r w:rsidRPr="000E02CE">
        <w:rPr>
          <w:rFonts w:cs="FrankRuehl" w:hint="cs"/>
          <w:b/>
          <w:bCs/>
          <w:sz w:val="18"/>
          <w:rtl/>
        </w:rPr>
        <w:t>מדינת ישראל נ' אבו תאיה,</w:t>
      </w:r>
      <w:r w:rsidRPr="000E02CE">
        <w:rPr>
          <w:rFonts w:cs="FrankRuehl" w:hint="cs"/>
          <w:sz w:val="18"/>
          <w:rtl/>
        </w:rPr>
        <w:t xml:space="preserve"> (פורסם במאגר ממוחשב, 18.6.13).</w:t>
      </w:r>
    </w:p>
  </w:footnote>
  <w:footnote w:id="24">
    <w:p w:rsidR="006259B3" w:rsidRPr="000E02CE" w:rsidP="000E02CE">
      <w:pPr>
        <w:pStyle w:val="FootnoteText"/>
        <w:keepLines/>
        <w:spacing w:line="200" w:lineRule="exact"/>
        <w:ind w:left="397" w:hanging="397"/>
        <w:jc w:val="both"/>
        <w:rPr>
          <w:rFonts w:cs="FrankRuehl"/>
          <w:sz w:val="18"/>
        </w:rPr>
      </w:pPr>
      <w:r w:rsidRPr="000E02CE">
        <w:rPr>
          <w:rStyle w:val="FootnoteReference"/>
          <w:rFonts w:ascii="FrankRuehl" w:hAnsi="FrankRuehl" w:cs="FrankRuehl"/>
          <w:vertAlign w:val="baseline"/>
        </w:rPr>
        <w:footnoteRef/>
      </w:r>
      <w:r w:rsidRPr="000E02CE">
        <w:rPr>
          <w:rFonts w:cs="FrankRuehl"/>
          <w:sz w:val="18"/>
          <w:rtl/>
        </w:rPr>
        <w:t xml:space="preserve"> </w:t>
      </w:r>
      <w:r w:rsidRPr="000E02CE">
        <w:rPr>
          <w:rFonts w:cs="FrankRuehl"/>
          <w:sz w:val="18"/>
          <w:rtl/>
        </w:rPr>
        <w:tab/>
      </w:r>
      <w:r w:rsidRPr="000E02CE">
        <w:rPr>
          <w:rFonts w:cs="FrankRuehl" w:hint="cs"/>
          <w:sz w:val="18"/>
          <w:rtl/>
        </w:rPr>
        <w:t xml:space="preserve">בג"ץ 1482/08 </w:t>
      </w:r>
      <w:r w:rsidRPr="000E02CE">
        <w:rPr>
          <w:rFonts w:cs="FrankRuehl" w:hint="eastAsia"/>
          <w:b/>
          <w:bCs/>
          <w:sz w:val="18"/>
          <w:rtl/>
        </w:rPr>
        <w:t>עדאלה</w:t>
      </w:r>
      <w:r w:rsidRPr="000E02CE">
        <w:rPr>
          <w:rFonts w:cs="FrankRuehl"/>
          <w:b/>
          <w:bCs/>
          <w:sz w:val="18"/>
          <w:rtl/>
        </w:rPr>
        <w:t xml:space="preserve"> ואח' נ' ש</w:t>
      </w:r>
      <w:r w:rsidRPr="000E02CE">
        <w:rPr>
          <w:rFonts w:cs="FrankRuehl" w:hint="eastAsia"/>
          <w:b/>
          <w:bCs/>
          <w:sz w:val="18"/>
          <w:rtl/>
        </w:rPr>
        <w:t>ירות</w:t>
      </w:r>
      <w:r w:rsidRPr="000E02CE">
        <w:rPr>
          <w:rFonts w:cs="FrankRuehl"/>
          <w:b/>
          <w:bCs/>
          <w:sz w:val="18"/>
          <w:rtl/>
        </w:rPr>
        <w:t xml:space="preserve"> </w:t>
      </w:r>
      <w:r w:rsidRPr="000E02CE">
        <w:rPr>
          <w:rFonts w:cs="FrankRuehl" w:hint="eastAsia"/>
          <w:b/>
          <w:bCs/>
          <w:sz w:val="18"/>
          <w:rtl/>
        </w:rPr>
        <w:t>בתי</w:t>
      </w:r>
      <w:r w:rsidRPr="000E02CE">
        <w:rPr>
          <w:rFonts w:cs="FrankRuehl"/>
          <w:b/>
          <w:bCs/>
          <w:sz w:val="18"/>
          <w:rtl/>
        </w:rPr>
        <w:t xml:space="preserve"> </w:t>
      </w:r>
      <w:r w:rsidRPr="000E02CE">
        <w:rPr>
          <w:rFonts w:cs="FrankRuehl" w:hint="eastAsia"/>
          <w:b/>
          <w:bCs/>
          <w:sz w:val="18"/>
          <w:rtl/>
        </w:rPr>
        <w:t>הסוהר</w:t>
      </w:r>
      <w:r w:rsidRPr="000E02CE">
        <w:rPr>
          <w:rFonts w:cs="FrankRuehl" w:hint="cs"/>
          <w:sz w:val="18"/>
          <w:rtl/>
        </w:rPr>
        <w:t>.</w:t>
      </w:r>
    </w:p>
  </w:footnote>
  <w:footnote w:id="25">
    <w:p w:rsidR="006259B3" w:rsidRPr="000E02CE" w:rsidP="000E02CE">
      <w:pPr>
        <w:pStyle w:val="FootnoteText"/>
        <w:keepLines/>
        <w:spacing w:line="200" w:lineRule="exact"/>
        <w:ind w:left="397" w:hanging="397"/>
        <w:jc w:val="both"/>
        <w:rPr>
          <w:rFonts w:cs="FrankRuehl"/>
          <w:sz w:val="18"/>
          <w:rtl/>
        </w:rPr>
      </w:pPr>
      <w:r w:rsidRPr="000E02CE">
        <w:rPr>
          <w:rStyle w:val="FootnoteReference"/>
          <w:rFonts w:ascii="FrankRuehl" w:hAnsi="FrankRuehl" w:cs="FrankRuehl"/>
          <w:vertAlign w:val="baseline"/>
        </w:rPr>
        <w:footnoteRef/>
      </w:r>
      <w:r w:rsidRPr="000E02CE">
        <w:rPr>
          <w:rFonts w:cs="FrankRuehl"/>
          <w:sz w:val="18"/>
          <w:rtl/>
        </w:rPr>
        <w:t xml:space="preserve"> </w:t>
      </w:r>
      <w:r w:rsidRPr="000E02CE">
        <w:rPr>
          <w:rFonts w:cs="FrankRuehl"/>
          <w:sz w:val="18"/>
          <w:rtl/>
        </w:rPr>
        <w:tab/>
      </w:r>
      <w:r w:rsidRPr="000E02CE">
        <w:rPr>
          <w:rFonts w:cs="FrankRuehl" w:hint="cs"/>
          <w:sz w:val="18"/>
          <w:rtl/>
        </w:rPr>
        <w:t>מרכז עדאלה; הקליניקה המשפטית לזכויות ושיקום אסירים; רופאים לזכויות אדם.</w:t>
      </w:r>
    </w:p>
  </w:footnote>
  <w:footnote w:id="26">
    <w:p w:rsidR="006259B3" w:rsidRPr="000E02CE" w:rsidP="000E02CE">
      <w:pPr>
        <w:pStyle w:val="FootnoteText"/>
        <w:keepLines/>
        <w:spacing w:line="200" w:lineRule="exact"/>
        <w:ind w:left="397" w:hanging="397"/>
        <w:jc w:val="both"/>
        <w:rPr>
          <w:rFonts w:cs="FrankRuehl"/>
          <w:sz w:val="18"/>
          <w:rtl/>
        </w:rPr>
      </w:pPr>
      <w:r w:rsidRPr="000E02CE">
        <w:rPr>
          <w:rStyle w:val="FootnoteReference"/>
          <w:rFonts w:ascii="FrankRuehl" w:hAnsi="FrankRuehl" w:cs="FrankRuehl"/>
          <w:vertAlign w:val="baseline"/>
        </w:rPr>
        <w:footnoteRef/>
      </w:r>
      <w:r w:rsidRPr="000E02CE">
        <w:rPr>
          <w:rFonts w:cs="FrankRuehl"/>
          <w:sz w:val="18"/>
          <w:rtl/>
        </w:rPr>
        <w:t xml:space="preserve"> </w:t>
      </w:r>
      <w:r w:rsidRPr="000E02CE">
        <w:rPr>
          <w:rFonts w:cs="FrankRuehl"/>
          <w:sz w:val="18"/>
          <w:rtl/>
        </w:rPr>
        <w:tab/>
      </w:r>
      <w:r w:rsidRPr="000E02CE">
        <w:rPr>
          <w:rFonts w:cs="FrankRuehl" w:hint="cs"/>
          <w:sz w:val="18"/>
          <w:rtl/>
        </w:rPr>
        <w:t>הסניגוריה הציבורית, דוח פעילות 2013 (אוגוסט 2014), עמ'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0D3" w:rsidP="005750D3">
    <w:pPr>
      <w:pStyle w:val="Header"/>
      <w:tabs>
        <w:tab w:val="clear" w:pos="4153"/>
        <w:tab w:val="right" w:pos="6804"/>
        <w:tab w:val="clear" w:pos="8306"/>
      </w:tabs>
      <w:rPr>
        <w:rFonts w:ascii="FrankRuehl" w:hAnsi="FrankRuehl" w:cs="FrankRuehl"/>
        <w:szCs w:val="20"/>
        <w:rtl/>
      </w:rPr>
    </w:pP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3C25CC">
      <w:rPr>
        <w:rFonts w:ascii="FrankRuehl" w:hAnsi="FrankRuehl" w:cs="FrankRuehl"/>
        <w:noProof/>
        <w:szCs w:val="20"/>
        <w:rtl/>
      </w:rPr>
      <w:t>368</w:t>
    </w:r>
    <w:r>
      <w:rPr>
        <w:rFonts w:ascii="FrankRuehl" w:hAnsi="FrankRuehl" w:cs="FrankRuehl"/>
        <w:szCs w:val="20"/>
      </w:rPr>
      <w:fldChar w:fldCharType="end"/>
    </w:r>
    <w:r>
      <w:rPr>
        <w:rFonts w:ascii="FrankRuehl" w:hAnsi="FrankRuehl" w:cs="FrankRuehl"/>
        <w:szCs w:val="20"/>
        <w:rtl/>
      </w:rPr>
      <w:tab/>
    </w:r>
    <w:r>
      <w:rPr>
        <w:rFonts w:ascii="FrankRuehl" w:hAnsi="FrankRuehl" w:cs="FrankRuehl" w:hint="cs"/>
        <w:szCs w:val="20"/>
        <w:rtl/>
      </w:rPr>
      <w:t>דוח שנתי 65ג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75A6">
    <w:pPr>
      <w:pStyle w:val="Header"/>
      <w:tabs>
        <w:tab w:val="clear" w:pos="4153"/>
        <w:tab w:val="right" w:pos="6804"/>
        <w:tab w:val="clear" w:pos="8306"/>
      </w:tabs>
      <w:rPr>
        <w:rFonts w:ascii="FrankRuehl" w:hAnsi="FrankRuehl" w:cs="FrankRuehl"/>
        <w:szCs w:val="20"/>
        <w:rtl/>
      </w:rPr>
    </w:pPr>
    <w:r w:rsidRPr="00800D9F">
      <w:rPr>
        <w:rFonts w:ascii="FrankRuehl" w:hAnsi="FrankRuehl" w:cs="FrankRuehl"/>
        <w:noProof/>
        <w:szCs w:val="20"/>
        <w:rtl/>
      </w:rPr>
      <w:t>המשרד לביטחון הפנים</w:t>
    </w: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3C25CC">
      <w:rPr>
        <w:rFonts w:ascii="FrankRuehl" w:hAnsi="FrankRuehl" w:cs="FrankRuehl"/>
        <w:noProof/>
        <w:szCs w:val="20"/>
        <w:rtl/>
      </w:rPr>
      <w:t>369</w:t>
    </w:r>
    <w:r>
      <w:rPr>
        <w:rFonts w:ascii="FrankRuehl" w:hAnsi="FrankRuehl" w:cs="FrankRuehl"/>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75A6">
    <w:pPr>
      <w:pStyle w:val="Header"/>
      <w:tabs>
        <w:tab w:val="clear" w:pos="4153"/>
        <w:tab w:val="right" w:pos="6804"/>
        <w:tab w:val="clear" w:pos="8306"/>
      </w:tabs>
      <w:rPr>
        <w:rFonts w:ascii="FrankRuehl" w:hAnsi="FrankRuehl" w:cs="FrankRuehl"/>
        <w:szCs w:val="20"/>
        <w:rtl/>
      </w:rPr>
    </w:pP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3C25CC">
      <w:rPr>
        <w:rFonts w:ascii="FrankRuehl" w:hAnsi="FrankRuehl" w:cs="FrankRuehl"/>
        <w:noProof/>
        <w:szCs w:val="20"/>
        <w:rtl/>
      </w:rPr>
      <w:t>351</w:t>
    </w:r>
    <w:r>
      <w:rPr>
        <w:rFonts w:ascii="FrankRuehl" w:hAnsi="FrankRuehl" w:cs="FrankRuehl"/>
        <w:szCs w:val="20"/>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1614" w:rsidRPr="00511614" w:rsidP="00511614">
    <w:pPr>
      <w:pStyle w:val="Heade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854B5A"/>
    <w:multiLevelType w:val="multilevel"/>
    <w:tmpl w:val="F7C49EDE"/>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
    <w:nsid w:val="0C7F0D24"/>
    <w:multiLevelType w:val="multilevel"/>
    <w:tmpl w:val="F7C49EDE"/>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
    <w:nsid w:val="0CA72745"/>
    <w:multiLevelType w:val="multilevel"/>
    <w:tmpl w:val="F7C49EDE"/>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
    <w:nsid w:val="2738391F"/>
    <w:multiLevelType w:val="multilevel"/>
    <w:tmpl w:val="F7C49EDE"/>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4">
    <w:nsid w:val="315F4E30"/>
    <w:multiLevelType w:val="hybridMultilevel"/>
    <w:tmpl w:val="7BE2327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8054ED3"/>
    <w:multiLevelType w:val="hybridMultilevel"/>
    <w:tmpl w:val="64AA25F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CB1158A"/>
    <w:multiLevelType w:val="hybridMultilevel"/>
    <w:tmpl w:val="6054E4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FD638CD"/>
    <w:multiLevelType w:val="hybridMultilevel"/>
    <w:tmpl w:val="7B38B6C8"/>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3FFC6428"/>
    <w:multiLevelType w:val="hybridMultilevel"/>
    <w:tmpl w:val="1CD22AEE"/>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nsid w:val="41232B2C"/>
    <w:multiLevelType w:val="hybridMultilevel"/>
    <w:tmpl w:val="0C6C0E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96A1327"/>
    <w:multiLevelType w:val="hybridMultilevel"/>
    <w:tmpl w:val="639AAB4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E35522B"/>
    <w:multiLevelType w:val="multilevel"/>
    <w:tmpl w:val="9E14E5DC"/>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2">
    <w:nsid w:val="67446E0B"/>
    <w:multiLevelType w:val="multilevel"/>
    <w:tmpl w:val="F7C49EDE"/>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3">
    <w:nsid w:val="67B71A00"/>
    <w:multiLevelType w:val="hybridMultilevel"/>
    <w:tmpl w:val="504A8D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7BF5139"/>
    <w:multiLevelType w:val="multilevel"/>
    <w:tmpl w:val="DC6C961C"/>
    <w:lvl w:ilvl="0">
      <w:start w:val="1"/>
      <w:numFmt w:val="decimal"/>
      <w:pStyle w:val="a6"/>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15">
    <w:nsid w:val="6B753792"/>
    <w:multiLevelType w:val="multilevel"/>
    <w:tmpl w:val="9E14E5DC"/>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6">
    <w:nsid w:val="6D1B7DBB"/>
    <w:multiLevelType w:val="hybridMultilevel"/>
    <w:tmpl w:val="DF240F68"/>
    <w:lvl w:ilvl="0">
      <w:start w:val="1"/>
      <w:numFmt w:val="hebrew1"/>
      <w:lvlText w:val="(%1)"/>
      <w:lvlJc w:val="left"/>
      <w:pPr>
        <w:ind w:left="870" w:hanging="360"/>
      </w:pPr>
      <w:rPr>
        <w:rFonts w:hint="default"/>
      </w:rPr>
    </w:lvl>
    <w:lvl w:ilvl="1" w:tentative="1">
      <w:start w:val="1"/>
      <w:numFmt w:val="lowerLetter"/>
      <w:lvlText w:val="%2."/>
      <w:lvlJc w:val="left"/>
      <w:pPr>
        <w:ind w:left="1590" w:hanging="360"/>
      </w:pPr>
    </w:lvl>
    <w:lvl w:ilvl="2" w:tentative="1">
      <w:start w:val="1"/>
      <w:numFmt w:val="lowerRoman"/>
      <w:lvlText w:val="%3."/>
      <w:lvlJc w:val="right"/>
      <w:pPr>
        <w:ind w:left="2310" w:hanging="180"/>
      </w:pPr>
    </w:lvl>
    <w:lvl w:ilvl="3" w:tentative="1">
      <w:start w:val="1"/>
      <w:numFmt w:val="decimal"/>
      <w:lvlText w:val="%4."/>
      <w:lvlJc w:val="left"/>
      <w:pPr>
        <w:ind w:left="3030" w:hanging="360"/>
      </w:pPr>
    </w:lvl>
    <w:lvl w:ilvl="4" w:tentative="1">
      <w:start w:val="1"/>
      <w:numFmt w:val="lowerLetter"/>
      <w:lvlText w:val="%5."/>
      <w:lvlJc w:val="left"/>
      <w:pPr>
        <w:ind w:left="3750" w:hanging="360"/>
      </w:pPr>
    </w:lvl>
    <w:lvl w:ilvl="5" w:tentative="1">
      <w:start w:val="1"/>
      <w:numFmt w:val="lowerRoman"/>
      <w:lvlText w:val="%6."/>
      <w:lvlJc w:val="right"/>
      <w:pPr>
        <w:ind w:left="4470" w:hanging="180"/>
      </w:pPr>
    </w:lvl>
    <w:lvl w:ilvl="6" w:tentative="1">
      <w:start w:val="1"/>
      <w:numFmt w:val="decimal"/>
      <w:lvlText w:val="%7."/>
      <w:lvlJc w:val="left"/>
      <w:pPr>
        <w:ind w:left="5190" w:hanging="360"/>
      </w:pPr>
    </w:lvl>
    <w:lvl w:ilvl="7" w:tentative="1">
      <w:start w:val="1"/>
      <w:numFmt w:val="lowerLetter"/>
      <w:lvlText w:val="%8."/>
      <w:lvlJc w:val="left"/>
      <w:pPr>
        <w:ind w:left="5910" w:hanging="360"/>
      </w:pPr>
    </w:lvl>
    <w:lvl w:ilvl="8" w:tentative="1">
      <w:start w:val="1"/>
      <w:numFmt w:val="lowerRoman"/>
      <w:lvlText w:val="%9."/>
      <w:lvlJc w:val="right"/>
      <w:pPr>
        <w:ind w:left="6630" w:hanging="180"/>
      </w:pPr>
    </w:lvl>
  </w:abstractNum>
  <w:abstractNum w:abstractNumId="17">
    <w:nsid w:val="6D966036"/>
    <w:multiLevelType w:val="hybridMultilevel"/>
    <w:tmpl w:val="FFBEE3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FE15434"/>
    <w:multiLevelType w:val="multilevel"/>
    <w:tmpl w:val="3086024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9">
    <w:nsid w:val="78AB118C"/>
    <w:multiLevelType w:val="multilevel"/>
    <w:tmpl w:val="DC347AFA"/>
    <w:lvl w:ilvl="0">
      <w:start w:val="1"/>
      <w:numFmt w:val="decimal"/>
      <w:lvlText w:val="%1."/>
      <w:lvlJc w:val="left"/>
      <w:pPr>
        <w:ind w:left="340" w:hanging="340"/>
      </w:pPr>
    </w:lvl>
    <w:lvl w:ilvl="1">
      <w:start w:val="1"/>
      <w:numFmt w:val="hebrew1"/>
      <w:lvlText w:val="%2."/>
      <w:lvlJc w:val="left"/>
      <w:pPr>
        <w:ind w:left="680" w:hanging="340"/>
      </w:pPr>
      <w:rPr>
        <w:b w:val="0"/>
        <w:bCs w:val="0"/>
      </w:r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0">
    <w:nsid w:val="7C757186"/>
    <w:multiLevelType w:val="hybridMultilevel"/>
    <w:tmpl w:val="E3781540"/>
    <w:lvl w:ilvl="0">
      <w:start w:val="1"/>
      <w:numFmt w:val="decimal"/>
      <w:lvlText w:val="%1."/>
      <w:lvlJc w:val="left"/>
      <w:pPr>
        <w:ind w:left="510" w:hanging="360"/>
      </w:pPr>
      <w:rPr>
        <w:rFonts w:hint="default"/>
      </w:rPr>
    </w:lvl>
    <w:lvl w:ilvl="1" w:tentative="1">
      <w:start w:val="1"/>
      <w:numFmt w:val="lowerLetter"/>
      <w:lvlText w:val="%2."/>
      <w:lvlJc w:val="left"/>
      <w:pPr>
        <w:ind w:left="1230" w:hanging="360"/>
      </w:pPr>
    </w:lvl>
    <w:lvl w:ilvl="2" w:tentative="1">
      <w:start w:val="1"/>
      <w:numFmt w:val="lowerRoman"/>
      <w:lvlText w:val="%3."/>
      <w:lvlJc w:val="right"/>
      <w:pPr>
        <w:ind w:left="1950" w:hanging="180"/>
      </w:pPr>
    </w:lvl>
    <w:lvl w:ilvl="3" w:tentative="1">
      <w:start w:val="1"/>
      <w:numFmt w:val="decimal"/>
      <w:lvlText w:val="%4."/>
      <w:lvlJc w:val="left"/>
      <w:pPr>
        <w:ind w:left="2670" w:hanging="360"/>
      </w:pPr>
    </w:lvl>
    <w:lvl w:ilvl="4" w:tentative="1">
      <w:start w:val="1"/>
      <w:numFmt w:val="lowerLetter"/>
      <w:lvlText w:val="%5."/>
      <w:lvlJc w:val="left"/>
      <w:pPr>
        <w:ind w:left="3390" w:hanging="360"/>
      </w:pPr>
    </w:lvl>
    <w:lvl w:ilvl="5" w:tentative="1">
      <w:start w:val="1"/>
      <w:numFmt w:val="lowerRoman"/>
      <w:lvlText w:val="%6."/>
      <w:lvlJc w:val="right"/>
      <w:pPr>
        <w:ind w:left="4110" w:hanging="180"/>
      </w:pPr>
    </w:lvl>
    <w:lvl w:ilvl="6" w:tentative="1">
      <w:start w:val="1"/>
      <w:numFmt w:val="decimal"/>
      <w:lvlText w:val="%7."/>
      <w:lvlJc w:val="left"/>
      <w:pPr>
        <w:ind w:left="4830" w:hanging="360"/>
      </w:pPr>
    </w:lvl>
    <w:lvl w:ilvl="7" w:tentative="1">
      <w:start w:val="1"/>
      <w:numFmt w:val="lowerLetter"/>
      <w:lvlText w:val="%8."/>
      <w:lvlJc w:val="left"/>
      <w:pPr>
        <w:ind w:left="5550" w:hanging="360"/>
      </w:pPr>
    </w:lvl>
    <w:lvl w:ilvl="8" w:tentative="1">
      <w:start w:val="1"/>
      <w:numFmt w:val="lowerRoman"/>
      <w:lvlText w:val="%9."/>
      <w:lvlJc w:val="right"/>
      <w:pPr>
        <w:ind w:left="6270" w:hanging="180"/>
      </w:pPr>
    </w:lvl>
  </w:abstractNum>
  <w:num w:numId="1">
    <w:abstractNumId w:val="14"/>
  </w:num>
  <w:num w:numId="2">
    <w:abstractNumId w:val="8"/>
  </w:num>
  <w:num w:numId="3">
    <w:abstractNumId w:val="7"/>
  </w:num>
  <w:num w:numId="4">
    <w:abstractNumId w:val="20"/>
  </w:num>
  <w:num w:numId="5">
    <w:abstractNumId w:val="16"/>
  </w:num>
  <w:num w:numId="6">
    <w:abstractNumId w:val="15"/>
  </w:num>
  <w:num w:numId="7">
    <w:abstractNumId w:val="11"/>
  </w:num>
  <w:num w:numId="8">
    <w:abstractNumId w:val="19"/>
  </w:num>
  <w:num w:numId="9">
    <w:abstractNumId w:val="1"/>
  </w:num>
  <w:num w:numId="10">
    <w:abstractNumId w:val="2"/>
  </w:num>
  <w:num w:numId="11">
    <w:abstractNumId w:val="3"/>
  </w:num>
  <w:num w:numId="12">
    <w:abstractNumId w:val="0"/>
  </w:num>
  <w:num w:numId="13">
    <w:abstractNumId w:val="12"/>
  </w:num>
  <w:num w:numId="14">
    <w:abstractNumId w:val="5"/>
  </w:num>
  <w:num w:numId="15">
    <w:abstractNumId w:val="6"/>
  </w:num>
  <w:num w:numId="16">
    <w:abstractNumId w:val="10"/>
  </w:num>
  <w:num w:numId="17">
    <w:abstractNumId w:val="4"/>
  </w:num>
  <w:num w:numId="18">
    <w:abstractNumId w:val="13"/>
  </w:num>
  <w:num w:numId="19">
    <w:abstractNumId w:val="9"/>
  </w:num>
  <w:num w:numId="20">
    <w:abstractNumId w:val="17"/>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TrackMoves/>
  <w:defaultTabStop w:val="340"/>
  <w:evenAndOddHeaders/>
  <w:drawingGridHorizontalSpacing w:val="72"/>
  <w:drawingGridVerticalSpacing w:val="98"/>
  <w:displayHorizontalDrawingGridEvery w:val="2"/>
  <w:displayVerticalDrawingGridEvery w:val="2"/>
  <w:noPunctuationKerning/>
  <w:characterSpacingControl w:val="doNotCompress"/>
  <w:footnotePr>
    <w:numRestart w:val="eachSect"/>
    <w:footnote w:id="0"/>
    <w:footnote w:id="1"/>
  </w:foot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678"/>
    <w:rsid w:val="0001521E"/>
    <w:rsid w:val="00047C24"/>
    <w:rsid w:val="000907C8"/>
    <w:rsid w:val="000E02CE"/>
    <w:rsid w:val="001275A6"/>
    <w:rsid w:val="00205E57"/>
    <w:rsid w:val="00396B9B"/>
    <w:rsid w:val="003C25CC"/>
    <w:rsid w:val="003F38A9"/>
    <w:rsid w:val="004547CD"/>
    <w:rsid w:val="004B13D5"/>
    <w:rsid w:val="00500281"/>
    <w:rsid w:val="00511614"/>
    <w:rsid w:val="00511955"/>
    <w:rsid w:val="00550646"/>
    <w:rsid w:val="005750D3"/>
    <w:rsid w:val="00596B42"/>
    <w:rsid w:val="005A0EA1"/>
    <w:rsid w:val="006259B3"/>
    <w:rsid w:val="00632DDB"/>
    <w:rsid w:val="00686854"/>
    <w:rsid w:val="006A210F"/>
    <w:rsid w:val="006A5B72"/>
    <w:rsid w:val="006B67C2"/>
    <w:rsid w:val="006C30A0"/>
    <w:rsid w:val="00723365"/>
    <w:rsid w:val="00800D9F"/>
    <w:rsid w:val="00853CD3"/>
    <w:rsid w:val="008A6D26"/>
    <w:rsid w:val="009235AD"/>
    <w:rsid w:val="009718F9"/>
    <w:rsid w:val="00A0299F"/>
    <w:rsid w:val="00A15B63"/>
    <w:rsid w:val="00A37821"/>
    <w:rsid w:val="00A37BD3"/>
    <w:rsid w:val="00BF4C3B"/>
    <w:rsid w:val="00C70295"/>
    <w:rsid w:val="00C8241F"/>
    <w:rsid w:val="00CA5D2E"/>
    <w:rsid w:val="00E44678"/>
    <w:rsid w:val="00E62E82"/>
    <w:rsid w:val="00F26DB9"/>
    <w:rsid w:val="00F84BB8"/>
  </w:rsids>
  <w:docVars>
    <w:docVar w:name="sivug" w:val="0"/>
    <w:docVar w:name="space" w:val="-1"/>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1" w:unhideWhenUsed="0" w:qFormat="1"/>
    <w:lsdException w:name="heading 3" w:semiHidden="0" w:uiPriority="0" w:unhideWhenUsed="0" w:qFormat="1"/>
    <w:lsdException w:name="heading 4" w:semiHidden="0" w:uiPriority="1" w:unhideWhenUsed="0" w:qFormat="1"/>
    <w:lsdException w:name="heading 5" w:semiHidden="0" w:uiPriority="1" w:unhideWhenUsed="0" w:qFormat="1"/>
    <w:lsdException w:name="heading 6" w:semiHidden="0" w:uiPriority="1" w:unhideWhenUsed="0" w:qFormat="1"/>
    <w:lsdException w:name="heading 7" w:semiHidden="0" w:uiPriority="1" w:unhideWhenUsed="0" w:qFormat="1"/>
    <w:lsdException w:name="heading 8" w:semiHidden="0" w:uiPriority="1"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line="240" w:lineRule="exact"/>
    </w:pPr>
    <w:rPr>
      <w:rFonts w:cs="David"/>
      <w:sz w:val="24"/>
      <w:szCs w:val="24"/>
    </w:rPr>
  </w:style>
  <w:style w:type="paragraph" w:styleId="Heading1">
    <w:name w:val="heading 1"/>
    <w:basedOn w:val="Normal"/>
    <w:next w:val="Normal"/>
    <w:link w:val="Heading1Char"/>
    <w:uiPriority w:val="1"/>
    <w:qFormat/>
    <w:locked/>
    <w:pPr>
      <w:keepNext/>
      <w:widowControl w:val="0"/>
      <w:spacing w:line="700" w:lineRule="atLeast"/>
      <w:jc w:val="center"/>
      <w:outlineLvl w:val="0"/>
    </w:pPr>
    <w:rPr>
      <w:b/>
      <w:bCs/>
      <w:sz w:val="56"/>
      <w:szCs w:val="56"/>
      <w:lang w:eastAsia="he-IL"/>
    </w:rPr>
  </w:style>
  <w:style w:type="paragraph" w:styleId="Heading2">
    <w:name w:val="heading 2"/>
    <w:basedOn w:val="Normal"/>
    <w:next w:val="Normal"/>
    <w:link w:val="Heading2Char"/>
    <w:uiPriority w:val="1"/>
    <w:qFormat/>
    <w:locked/>
    <w:pPr>
      <w:keepNext/>
      <w:spacing w:line="360" w:lineRule="exact"/>
      <w:ind w:left="1293"/>
      <w:outlineLvl w:val="1"/>
    </w:pPr>
    <w:rPr>
      <w:sz w:val="32"/>
      <w:szCs w:val="32"/>
    </w:rPr>
  </w:style>
  <w:style w:type="paragraph" w:styleId="Heading3">
    <w:name w:val="heading 3"/>
    <w:basedOn w:val="Normal"/>
    <w:next w:val="Normal"/>
    <w:link w:val="Heading3Char"/>
    <w:qFormat/>
    <w:locked/>
    <w:pPr>
      <w:keepNext/>
      <w:widowControl w:val="0"/>
      <w:spacing w:line="312" w:lineRule="auto"/>
      <w:jc w:val="both"/>
      <w:outlineLvl w:val="2"/>
    </w:pPr>
    <w:rPr>
      <w:b/>
      <w:bCs/>
      <w:sz w:val="38"/>
      <w:szCs w:val="36"/>
      <w:lang w:eastAsia="he-IL"/>
    </w:rPr>
  </w:style>
  <w:style w:type="paragraph" w:styleId="Heading4">
    <w:name w:val="heading 4"/>
    <w:basedOn w:val="Normal"/>
    <w:next w:val="Normal"/>
    <w:link w:val="Heading4Char"/>
    <w:uiPriority w:val="1"/>
    <w:qFormat/>
    <w:locked/>
    <w:pPr>
      <w:widowControl w:val="0"/>
      <w:spacing w:before="100" w:beforeAutospacing="1" w:line="264" w:lineRule="auto"/>
      <w:outlineLvl w:val="3"/>
    </w:pPr>
    <w:rPr>
      <w:b/>
      <w:bCs/>
      <w:sz w:val="22"/>
      <w:szCs w:val="26"/>
      <w:lang w:eastAsia="he-IL"/>
    </w:rPr>
  </w:style>
  <w:style w:type="paragraph" w:styleId="Heading5">
    <w:name w:val="heading 5"/>
    <w:basedOn w:val="Normal"/>
    <w:next w:val="Normal"/>
    <w:link w:val="Heading5Char"/>
    <w:uiPriority w:val="1"/>
    <w:qFormat/>
    <w:locked/>
    <w:pPr>
      <w:keepNext/>
      <w:spacing w:after="120" w:line="360" w:lineRule="exact"/>
      <w:ind w:left="3649"/>
      <w:outlineLvl w:val="4"/>
    </w:pPr>
    <w:rPr>
      <w:b/>
      <w:bCs/>
      <w:sz w:val="32"/>
      <w:szCs w:val="32"/>
      <w:lang w:eastAsia="he-IL"/>
    </w:rPr>
  </w:style>
  <w:style w:type="paragraph" w:styleId="Heading6">
    <w:name w:val="heading 6"/>
    <w:basedOn w:val="Normal"/>
    <w:next w:val="Normal"/>
    <w:link w:val="Heading6Char"/>
    <w:uiPriority w:val="1"/>
    <w:qFormat/>
    <w:locked/>
    <w:pPr>
      <w:keepNext/>
      <w:spacing w:before="60" w:after="60" w:line="220" w:lineRule="exact"/>
      <w:jc w:val="right"/>
      <w:outlineLvl w:val="5"/>
    </w:pPr>
    <w:rPr>
      <w:rFonts w:cs="FrankRuehl"/>
      <w:b/>
      <w:bCs/>
      <w:sz w:val="22"/>
      <w:szCs w:val="22"/>
    </w:rPr>
  </w:style>
  <w:style w:type="paragraph" w:styleId="Heading7">
    <w:name w:val="heading 7"/>
    <w:basedOn w:val="Normal"/>
    <w:next w:val="Normal"/>
    <w:link w:val="Heading7Char"/>
    <w:uiPriority w:val="1"/>
    <w:qFormat/>
    <w:locked/>
    <w:pPr>
      <w:keepNext/>
      <w:widowControl w:val="0"/>
      <w:spacing w:before="120" w:after="120" w:line="312" w:lineRule="auto"/>
      <w:jc w:val="center"/>
      <w:outlineLvl w:val="6"/>
    </w:pPr>
    <w:rPr>
      <w:sz w:val="36"/>
      <w:szCs w:val="36"/>
      <w:lang w:eastAsia="he-IL"/>
    </w:rPr>
  </w:style>
  <w:style w:type="paragraph" w:styleId="Heading8">
    <w:name w:val="heading 8"/>
    <w:basedOn w:val="Normal"/>
    <w:next w:val="Normal"/>
    <w:link w:val="Heading8Char"/>
    <w:uiPriority w:val="1"/>
    <w:qFormat/>
    <w:locked/>
    <w:pPr>
      <w:keepNext/>
      <w:snapToGrid w:val="0"/>
      <w:spacing w:after="120" w:line="240" w:lineRule="auto"/>
      <w:ind w:left="153" w:firstLine="567"/>
      <w:jc w:val="both"/>
      <w:outlineLvl w:val="7"/>
    </w:pPr>
    <w:rPr>
      <w:b/>
      <w:bCs/>
      <w:sz w:val="36"/>
      <w:szCs w:val="36"/>
      <w:lang w:eastAsia="he-IL"/>
    </w:rPr>
  </w:style>
  <w:style w:type="paragraph" w:styleId="Heading9">
    <w:name w:val="heading 9"/>
    <w:basedOn w:val="Normal"/>
    <w:next w:val="Normal"/>
    <w:qFormat/>
    <w:locked/>
    <w:pPr>
      <w:keepNext/>
      <w:spacing w:before="40" w:after="40" w:line="240" w:lineRule="auto"/>
      <w:jc w:val="center"/>
      <w:outlineLvl w:val="8"/>
    </w:pPr>
    <w:rPr>
      <w:noProof/>
      <w:sz w:val="48"/>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locked/>
    <w:rPr>
      <w:rFonts w:ascii="Cambria" w:hAnsi="Cambria" w:cs="Times New Roman"/>
      <w:b/>
      <w:bCs/>
      <w:kern w:val="32"/>
      <w:sz w:val="32"/>
      <w:szCs w:val="32"/>
    </w:rPr>
  </w:style>
  <w:style w:type="character" w:customStyle="1" w:styleId="2">
    <w:name w:val="כותרת 2 תו"/>
    <w:locked/>
    <w:rPr>
      <w:rFonts w:ascii="Cambria" w:hAnsi="Cambria" w:cs="Times New Roman"/>
      <w:b/>
      <w:bCs/>
      <w:i/>
      <w:iCs/>
      <w:sz w:val="28"/>
      <w:szCs w:val="28"/>
    </w:rPr>
  </w:style>
  <w:style w:type="character" w:customStyle="1" w:styleId="3">
    <w:name w:val="כותרת 3 תו"/>
    <w:locked/>
    <w:rPr>
      <w:rFonts w:ascii="Cambria" w:hAnsi="Cambria" w:cs="Times New Roman"/>
      <w:b/>
      <w:bCs/>
      <w:sz w:val="26"/>
      <w:szCs w:val="26"/>
    </w:rPr>
  </w:style>
  <w:style w:type="character" w:customStyle="1" w:styleId="4">
    <w:name w:val="כותרת 4 תו"/>
    <w:locked/>
    <w:rPr>
      <w:rFonts w:ascii="Calibri" w:hAnsi="Calibri" w:cs="Arial"/>
      <w:b/>
      <w:bCs/>
      <w:sz w:val="28"/>
      <w:szCs w:val="28"/>
    </w:rPr>
  </w:style>
  <w:style w:type="character" w:customStyle="1" w:styleId="5">
    <w:name w:val="כותרת 5 תו"/>
    <w:locked/>
    <w:rPr>
      <w:rFonts w:ascii="Calibri" w:hAnsi="Calibri" w:cs="Arial"/>
      <w:b/>
      <w:bCs/>
      <w:i/>
      <w:iCs/>
      <w:sz w:val="26"/>
      <w:szCs w:val="26"/>
    </w:rPr>
  </w:style>
  <w:style w:type="character" w:customStyle="1" w:styleId="6">
    <w:name w:val="כותרת 6 תו"/>
    <w:locked/>
    <w:rPr>
      <w:rFonts w:ascii="Calibri" w:hAnsi="Calibri" w:cs="Arial"/>
      <w:b/>
      <w:bCs/>
    </w:rPr>
  </w:style>
  <w:style w:type="character" w:customStyle="1" w:styleId="7">
    <w:name w:val="כותרת 7 תו"/>
    <w:locked/>
    <w:rPr>
      <w:rFonts w:ascii="Calibri" w:hAnsi="Calibri" w:cs="Arial"/>
      <w:sz w:val="24"/>
      <w:szCs w:val="24"/>
    </w:rPr>
  </w:style>
  <w:style w:type="character" w:customStyle="1" w:styleId="8">
    <w:name w:val="כותרת 8 תו"/>
    <w:locked/>
    <w:rPr>
      <w:rFonts w:ascii="Calibri" w:hAnsi="Calibri" w:cs="Arial"/>
      <w:i/>
      <w:iCs/>
      <w:sz w:val="24"/>
      <w:szCs w:val="24"/>
    </w:rPr>
  </w:style>
  <w:style w:type="character" w:customStyle="1" w:styleId="9">
    <w:name w:val="כותרת 9 תו"/>
    <w:locked/>
    <w:rPr>
      <w:rFonts w:ascii="Cambria" w:hAnsi="Cambria" w:cs="Times New Roman"/>
    </w:rPr>
  </w:style>
  <w:style w:type="paragraph" w:styleId="Title">
    <w:name w:val="Title"/>
    <w:basedOn w:val="Normal"/>
    <w:qFormat/>
    <w:locked/>
    <w:pPr>
      <w:jc w:val="center"/>
    </w:pPr>
    <w:rPr>
      <w:b/>
      <w:bCs/>
      <w:u w:val="single"/>
    </w:rPr>
  </w:style>
  <w:style w:type="character" w:customStyle="1" w:styleId="a">
    <w:name w:val="כותרת טקסט תו"/>
    <w:locked/>
    <w:rPr>
      <w:rFonts w:ascii="Cambria" w:hAnsi="Cambria" w:cs="Times New Roman"/>
      <w:b/>
      <w:bCs/>
      <w:kern w:val="28"/>
      <w:sz w:val="32"/>
      <w:szCs w:val="32"/>
    </w:rPr>
  </w:style>
  <w:style w:type="paragraph" w:customStyle="1" w:styleId="KOT1">
    <w:name w:val="KOT1"/>
    <w:basedOn w:val="Normal"/>
    <w:pPr>
      <w:keepNext/>
      <w:spacing w:after="360" w:line="400" w:lineRule="exact"/>
      <w:jc w:val="center"/>
    </w:pPr>
    <w:rPr>
      <w:b/>
      <w:bCs/>
      <w:sz w:val="36"/>
      <w:szCs w:val="36"/>
      <w:lang w:eastAsia="he-IL"/>
    </w:rPr>
  </w:style>
  <w:style w:type="paragraph" w:customStyle="1" w:styleId="KOT2">
    <w:name w:val="KOT2"/>
    <w:basedOn w:val="Normal"/>
    <w:pPr>
      <w:keepNext/>
      <w:spacing w:after="360" w:line="360" w:lineRule="exact"/>
      <w:jc w:val="center"/>
    </w:pPr>
    <w:rPr>
      <w:b/>
      <w:bCs/>
      <w:sz w:val="32"/>
      <w:szCs w:val="32"/>
      <w:lang w:eastAsia="he-IL"/>
    </w:rPr>
  </w:style>
  <w:style w:type="paragraph" w:customStyle="1" w:styleId="30">
    <w:name w:val="כותרת 3_0"/>
    <w:basedOn w:val="Normal"/>
    <w:next w:val="Normal"/>
    <w:pPr>
      <w:spacing w:before="100" w:beforeAutospacing="1" w:line="288" w:lineRule="auto"/>
      <w:outlineLvl w:val="2"/>
    </w:pPr>
    <w:rPr>
      <w:b/>
      <w:bCs/>
      <w:szCs w:val="28"/>
      <w:u w:val="single"/>
    </w:rPr>
  </w:style>
  <w:style w:type="paragraph" w:customStyle="1" w:styleId="40">
    <w:name w:val="כותרת 4_0"/>
    <w:basedOn w:val="Normal"/>
    <w:next w:val="Normal"/>
    <w:pPr>
      <w:spacing w:before="100" w:beforeAutospacing="1" w:line="264" w:lineRule="auto"/>
      <w:outlineLvl w:val="3"/>
    </w:pPr>
    <w:rPr>
      <w:b/>
      <w:bCs/>
      <w:sz w:val="22"/>
      <w:szCs w:val="26"/>
    </w:rPr>
  </w:style>
  <w:style w:type="paragraph" w:customStyle="1" w:styleId="a0">
    <w:name w:val="נבנצלים"/>
    <w:basedOn w:val="Normal"/>
    <w:next w:val="Normal"/>
    <w:pPr>
      <w:widowControl w:val="0"/>
      <w:spacing w:line="269" w:lineRule="auto"/>
      <w:ind w:left="-567"/>
      <w:jc w:val="both"/>
    </w:pPr>
    <w:rPr>
      <w:sz w:val="20"/>
      <w:szCs w:val="20"/>
      <w:lang w:eastAsia="he-IL"/>
    </w:rPr>
  </w:style>
  <w:style w:type="paragraph" w:styleId="BodyText">
    <w:name w:val="Body Text"/>
    <w:basedOn w:val="Normal"/>
    <w:semiHidden/>
    <w:pPr>
      <w:spacing w:before="180" w:after="120" w:line="230" w:lineRule="exact"/>
      <w:jc w:val="both"/>
    </w:pPr>
    <w:rPr>
      <w:rFonts w:cs="FrankRuehl"/>
      <w:sz w:val="22"/>
      <w:szCs w:val="22"/>
    </w:rPr>
  </w:style>
  <w:style w:type="character" w:customStyle="1" w:styleId="a1">
    <w:name w:val="גוף טקסט תו"/>
    <w:semiHidden/>
    <w:locked/>
    <w:rPr>
      <w:rFonts w:cs="David"/>
      <w:sz w:val="24"/>
      <w:szCs w:val="24"/>
      <w:lang w:bidi="he-IL"/>
    </w:rPr>
  </w:style>
  <w:style w:type="paragraph" w:styleId="BodyText2">
    <w:name w:val="Body Text 2"/>
    <w:basedOn w:val="Normal"/>
    <w:semiHidden/>
    <w:pPr>
      <w:widowControl w:val="0"/>
      <w:spacing w:line="312" w:lineRule="auto"/>
      <w:ind w:right="567"/>
      <w:jc w:val="both"/>
    </w:pPr>
    <w:rPr>
      <w:rFonts w:cs="FrankRuehl"/>
      <w:lang w:eastAsia="he-IL"/>
    </w:rPr>
  </w:style>
  <w:style w:type="character" w:customStyle="1" w:styleId="20">
    <w:name w:val="גוף טקסט 2 תו"/>
    <w:semiHidden/>
    <w:locked/>
    <w:rPr>
      <w:rFonts w:cs="David"/>
      <w:sz w:val="24"/>
      <w:szCs w:val="24"/>
      <w:lang w:bidi="he-IL"/>
    </w:rPr>
  </w:style>
  <w:style w:type="paragraph" w:styleId="Header">
    <w:name w:val="header"/>
    <w:basedOn w:val="Normal"/>
    <w:link w:val="HeaderChar"/>
    <w:uiPriority w:val="99"/>
    <w:pPr>
      <w:tabs>
        <w:tab w:val="center" w:pos="4153"/>
        <w:tab w:val="right" w:pos="8306"/>
      </w:tabs>
    </w:pPr>
  </w:style>
  <w:style w:type="character" w:customStyle="1" w:styleId="a2">
    <w:name w:val="כותרת עליונה תו"/>
    <w:locked/>
    <w:rPr>
      <w:rFonts w:cs="David"/>
      <w:sz w:val="24"/>
      <w:szCs w:val="24"/>
      <w:lang w:bidi="he-IL"/>
    </w:rPr>
  </w:style>
  <w:style w:type="paragraph" w:styleId="Footer">
    <w:name w:val="footer"/>
    <w:basedOn w:val="Normal"/>
    <w:link w:val="FooterChar"/>
    <w:uiPriority w:val="99"/>
    <w:pPr>
      <w:tabs>
        <w:tab w:val="center" w:pos="4153"/>
        <w:tab w:val="right" w:pos="8306"/>
      </w:tabs>
    </w:pPr>
  </w:style>
  <w:style w:type="character" w:customStyle="1" w:styleId="a3">
    <w:name w:val="כותרת תחתונה תו"/>
    <w:locked/>
    <w:rPr>
      <w:rFonts w:cs="David"/>
      <w:sz w:val="24"/>
      <w:szCs w:val="24"/>
      <w:lang w:bidi="he-IL"/>
    </w:rPr>
  </w:style>
  <w:style w:type="character" w:styleId="PageNumber">
    <w:name w:val="page number"/>
    <w:semiHidden/>
    <w:rPr>
      <w:rFonts w:cs="Times New Roman"/>
    </w:rPr>
  </w:style>
  <w:style w:type="paragraph" w:styleId="FootnoteText">
    <w:name w:val="footnote text"/>
    <w:basedOn w:val="Normal"/>
    <w:link w:val="FootnoteTextChar"/>
    <w:rPr>
      <w:sz w:val="20"/>
      <w:szCs w:val="20"/>
    </w:rPr>
  </w:style>
  <w:style w:type="character" w:customStyle="1" w:styleId="10">
    <w:name w:val="טקסט הערת שוליים תו1"/>
    <w:semiHidden/>
    <w:locked/>
    <w:rPr>
      <w:rFonts w:cs="David"/>
      <w:sz w:val="20"/>
      <w:szCs w:val="20"/>
      <w:lang w:bidi="he-IL"/>
    </w:rPr>
  </w:style>
  <w:style w:type="character" w:styleId="FootnoteReference">
    <w:name w:val="footnote reference"/>
    <w:semiHidden/>
    <w:rPr>
      <w:rFonts w:cs="Times New Roman"/>
      <w:vertAlign w:val="superscript"/>
    </w:rPr>
  </w:style>
  <w:style w:type="paragraph" w:styleId="EndnoteText">
    <w:name w:val="endnote text"/>
    <w:basedOn w:val="Normal"/>
    <w:semiHidden/>
    <w:pPr>
      <w:jc w:val="both"/>
    </w:pPr>
    <w:rPr>
      <w:szCs w:val="20"/>
    </w:rPr>
  </w:style>
  <w:style w:type="character" w:customStyle="1" w:styleId="a4">
    <w:name w:val="טקסט הערת סיום תו"/>
    <w:semiHidden/>
    <w:locked/>
    <w:rPr>
      <w:rFonts w:cs="David"/>
      <w:sz w:val="20"/>
      <w:szCs w:val="20"/>
      <w:lang w:bidi="he-IL"/>
    </w:rPr>
  </w:style>
  <w:style w:type="character" w:styleId="EndnoteReference">
    <w:name w:val="endnote reference"/>
    <w:semiHidden/>
    <w:rPr>
      <w:rFonts w:cs="Times New Roman"/>
      <w:vertAlign w:val="superscript"/>
    </w:rPr>
  </w:style>
  <w:style w:type="paragraph" w:styleId="BodyText3">
    <w:name w:val="Body Text 3"/>
    <w:basedOn w:val="Normal"/>
    <w:semiHidden/>
    <w:pPr>
      <w:widowControl w:val="0"/>
      <w:jc w:val="both"/>
    </w:pPr>
  </w:style>
  <w:style w:type="character" w:customStyle="1" w:styleId="31">
    <w:name w:val="גוף טקסט 3 תו"/>
    <w:semiHidden/>
    <w:locked/>
    <w:rPr>
      <w:rFonts w:cs="David"/>
      <w:sz w:val="16"/>
      <w:szCs w:val="16"/>
      <w:lang w:bidi="he-IL"/>
    </w:rPr>
  </w:style>
  <w:style w:type="paragraph" w:customStyle="1" w:styleId="KOT3A">
    <w:name w:val="KOT3A"/>
    <w:basedOn w:val="Normal"/>
    <w:pPr>
      <w:spacing w:after="120" w:line="360" w:lineRule="exact"/>
    </w:pPr>
    <w:rPr>
      <w:b/>
      <w:bCs/>
      <w:spacing w:val="40"/>
      <w:szCs w:val="30"/>
    </w:rPr>
  </w:style>
  <w:style w:type="paragraph" w:customStyle="1" w:styleId="KOT3">
    <w:name w:val="KOT3"/>
    <w:basedOn w:val="KOT3A"/>
    <w:pPr>
      <w:keepNext/>
      <w:spacing w:after="360"/>
      <w:jc w:val="center"/>
    </w:pPr>
    <w:rPr>
      <w:spacing w:val="0"/>
      <w:szCs w:val="28"/>
    </w:rPr>
  </w:style>
  <w:style w:type="paragraph" w:customStyle="1" w:styleId="KOT4">
    <w:name w:val="KOT4"/>
    <w:basedOn w:val="KOT3"/>
    <w:pPr>
      <w:spacing w:after="240" w:line="300" w:lineRule="exact"/>
      <w:jc w:val="left"/>
      <w:outlineLvl w:val="1"/>
    </w:pPr>
    <w:rPr>
      <w:sz w:val="26"/>
      <w:szCs w:val="26"/>
    </w:rPr>
  </w:style>
  <w:style w:type="paragraph" w:customStyle="1" w:styleId="KOT5">
    <w:name w:val="KOT5"/>
    <w:basedOn w:val="KOT4"/>
    <w:pPr>
      <w:spacing w:after="120" w:line="260" w:lineRule="exact"/>
      <w:outlineLvl w:val="2"/>
    </w:pPr>
    <w:rPr>
      <w:sz w:val="22"/>
      <w:szCs w:val="22"/>
    </w:rPr>
  </w:style>
  <w:style w:type="character" w:customStyle="1" w:styleId="100">
    <w:name w:val="סגנון (עברית ושפות אחרות) ‏10 נק'"/>
    <w:rPr>
      <w:rFonts w:ascii="Times New Roman" w:hAnsi="Times New Roman"/>
      <w:sz w:val="24"/>
      <w:vertAlign w:val="baseline"/>
    </w:rPr>
  </w:style>
  <w:style w:type="paragraph" w:customStyle="1" w:styleId="NAME">
    <w:name w:val="NAME"/>
    <w:basedOn w:val="Normal"/>
    <w:pPr>
      <w:pBdr>
        <w:bottom w:val="single" w:sz="4" w:space="6" w:color="auto"/>
      </w:pBdr>
      <w:spacing w:after="120" w:line="312" w:lineRule="auto"/>
      <w:jc w:val="right"/>
      <w:outlineLvl w:val="0"/>
    </w:pPr>
    <w:rPr>
      <w:sz w:val="42"/>
      <w:szCs w:val="42"/>
      <w:lang w:eastAsia="he-IL"/>
    </w:rPr>
  </w:style>
  <w:style w:type="paragraph" w:customStyle="1" w:styleId="PATIAH">
    <w:name w:val="PATIAH"/>
    <w:basedOn w:val="Normal"/>
    <w:pPr>
      <w:spacing w:after="120" w:line="260" w:lineRule="exact"/>
      <w:jc w:val="both"/>
    </w:pPr>
    <w:rPr>
      <w:sz w:val="20"/>
      <w:lang w:eastAsia="he-IL"/>
    </w:rPr>
  </w:style>
  <w:style w:type="paragraph" w:customStyle="1" w:styleId="RESHET">
    <w:name w:val="RESHET"/>
    <w:basedOn w:val="Normal"/>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 w:val="20"/>
      <w:szCs w:val="22"/>
      <w:lang w:eastAsia="he-IL"/>
    </w:rPr>
  </w:style>
  <w:style w:type="paragraph" w:customStyle="1" w:styleId="takzir">
    <w:name w:val="takzir"/>
    <w:basedOn w:val="Normal"/>
    <w:pPr>
      <w:spacing w:after="120"/>
      <w:jc w:val="both"/>
    </w:pPr>
    <w:rPr>
      <w:b/>
      <w:bCs/>
      <w:noProof/>
      <w:sz w:val="22"/>
      <w:szCs w:val="22"/>
      <w:lang w:eastAsia="he-IL"/>
    </w:rPr>
  </w:style>
  <w:style w:type="paragraph" w:styleId="PlainText">
    <w:name w:val="Plain Text"/>
    <w:basedOn w:val="Normal"/>
    <w:semiHidden/>
    <w:pPr>
      <w:widowControl w:val="0"/>
      <w:spacing w:line="312" w:lineRule="auto"/>
      <w:jc w:val="both"/>
    </w:pPr>
    <w:rPr>
      <w:rFonts w:ascii="Courier New" w:hAnsi="Courier New" w:cs="Courier New"/>
      <w:sz w:val="20"/>
      <w:szCs w:val="20"/>
      <w:lang w:eastAsia="he-IL"/>
    </w:rPr>
  </w:style>
  <w:style w:type="character" w:customStyle="1" w:styleId="a5">
    <w:name w:val="טקסט רגיל תו"/>
    <w:semiHidden/>
    <w:locked/>
    <w:rPr>
      <w:rFonts w:ascii="Courier New" w:hAnsi="Courier New" w:cs="Courier New"/>
      <w:sz w:val="20"/>
      <w:szCs w:val="20"/>
    </w:rPr>
  </w:style>
  <w:style w:type="paragraph" w:styleId="Caption">
    <w:name w:val="caption"/>
    <w:basedOn w:val="Normal"/>
    <w:next w:val="Normal"/>
    <w:qFormat/>
    <w:locked/>
    <w:pPr>
      <w:tabs>
        <w:tab w:val="left" w:pos="1021"/>
        <w:tab w:val="center" w:pos="5131"/>
      </w:tabs>
      <w:spacing w:line="280" w:lineRule="exact"/>
    </w:pPr>
    <w:rPr>
      <w:b/>
      <w:bCs/>
      <w:sz w:val="28"/>
      <w:szCs w:val="28"/>
    </w:rPr>
  </w:style>
  <w:style w:type="character" w:customStyle="1" w:styleId="51">
    <w:name w:val="כותרת 51"/>
    <w:rPr>
      <w:rFonts w:ascii="Times New Roman" w:hAnsi="Times New Roman"/>
      <w:b/>
      <w:color w:val="auto"/>
      <w:spacing w:val="40"/>
      <w:w w:val="100"/>
      <w:position w:val="0"/>
      <w:sz w:val="24"/>
      <w:u w:val="none"/>
      <w:vertAlign w:val="baseline"/>
    </w:rPr>
  </w:style>
  <w:style w:type="character" w:customStyle="1" w:styleId="61">
    <w:name w:val="כותרת 61"/>
    <w:rPr>
      <w:rFonts w:ascii="Times New Roman" w:hAnsi="Times New Roman"/>
      <w:color w:val="auto"/>
      <w:spacing w:val="40"/>
      <w:w w:val="100"/>
      <w:position w:val="0"/>
      <w:sz w:val="24"/>
      <w:u w:val="none"/>
    </w:rPr>
  </w:style>
  <w:style w:type="character" w:customStyle="1" w:styleId="PersonalComposeStyle">
    <w:name w:val="Personal Compose Style"/>
    <w:rPr>
      <w:rFonts w:ascii="Arial" w:hAnsi="Arial"/>
      <w:color w:val="auto"/>
      <w:sz w:val="20"/>
    </w:rPr>
  </w:style>
  <w:style w:type="character" w:customStyle="1" w:styleId="PersonalReplyStyle">
    <w:name w:val="Personal Reply Style"/>
    <w:rPr>
      <w:rFonts w:ascii="Arial" w:hAnsi="Arial"/>
      <w:color w:val="auto"/>
      <w:sz w:val="20"/>
    </w:rPr>
  </w:style>
  <w:style w:type="character" w:customStyle="1" w:styleId="52">
    <w:name w:val="כותרת 52"/>
    <w:rPr>
      <w:rFonts w:ascii="Times New Roman" w:hAnsi="Times New Roman"/>
      <w:b/>
      <w:color w:val="auto"/>
      <w:spacing w:val="40"/>
      <w:w w:val="100"/>
      <w:position w:val="0"/>
      <w:sz w:val="24"/>
      <w:u w:val="none"/>
      <w:vertAlign w:val="baseline"/>
    </w:rPr>
  </w:style>
  <w:style w:type="character" w:customStyle="1" w:styleId="520">
    <w:name w:val="כותרת 5 תו2"/>
    <w:rPr>
      <w:b/>
      <w:spacing w:val="40"/>
      <w:sz w:val="24"/>
      <w:lang w:val="en-US" w:eastAsia="he-IL" w:bidi="he-IL"/>
    </w:rPr>
  </w:style>
  <w:style w:type="character" w:customStyle="1" w:styleId="71">
    <w:name w:val="כותרת 7 תו1"/>
    <w:rPr>
      <w:b/>
      <w:spacing w:val="40"/>
      <w:sz w:val="24"/>
      <w:lang w:val="en-US" w:eastAsia="he-IL" w:bidi="he-IL"/>
    </w:rPr>
  </w:style>
  <w:style w:type="paragraph" w:customStyle="1" w:styleId="a6">
    <w:name w:val="ממוספר"/>
    <w:basedOn w:val="Normal"/>
    <w:pPr>
      <w:numPr>
        <w:numId w:val="1"/>
      </w:numPr>
      <w:spacing w:after="240" w:line="312" w:lineRule="auto"/>
      <w:ind w:right="397"/>
      <w:jc w:val="both"/>
    </w:pPr>
    <w:rPr>
      <w:rFonts w:cs="FrankRuehl"/>
      <w:lang w:eastAsia="he-IL"/>
    </w:rPr>
  </w:style>
  <w:style w:type="paragraph" w:customStyle="1" w:styleId="a7">
    <w:name w:val="טקסט מודגש"/>
    <w:basedOn w:val="Normal"/>
    <w:pPr>
      <w:spacing w:after="240" w:line="312" w:lineRule="auto"/>
      <w:jc w:val="both"/>
    </w:pPr>
    <w:rPr>
      <w:b/>
      <w:bCs/>
      <w:sz w:val="22"/>
      <w:szCs w:val="22"/>
      <w:lang w:eastAsia="he-IL"/>
    </w:rPr>
  </w:style>
  <w:style w:type="paragraph" w:customStyle="1" w:styleId="11">
    <w:name w:val="ציטוט1"/>
    <w:basedOn w:val="Normal"/>
    <w:pPr>
      <w:spacing w:after="240" w:line="240" w:lineRule="auto"/>
      <w:ind w:left="851" w:right="851"/>
      <w:jc w:val="both"/>
    </w:pPr>
    <w:rPr>
      <w:rFonts w:cs="FrankRuehl"/>
      <w:lang w:eastAsia="he-IL"/>
    </w:rPr>
  </w:style>
  <w:style w:type="paragraph" w:styleId="BodyTextIndent2">
    <w:name w:val="Body Text Indent 2"/>
    <w:basedOn w:val="Normal"/>
    <w:semiHidden/>
    <w:pPr>
      <w:spacing w:after="240" w:line="240" w:lineRule="auto"/>
      <w:ind w:left="540" w:hanging="540"/>
      <w:jc w:val="both"/>
    </w:pPr>
    <w:rPr>
      <w:rFonts w:cs="FrankRuehl"/>
      <w:lang w:eastAsia="he-IL"/>
    </w:rPr>
  </w:style>
  <w:style w:type="character" w:customStyle="1" w:styleId="21">
    <w:name w:val="כניסה בגוף טקסט 2 תו"/>
    <w:semiHidden/>
    <w:locked/>
    <w:rPr>
      <w:rFonts w:cs="David"/>
      <w:sz w:val="24"/>
      <w:szCs w:val="24"/>
      <w:lang w:bidi="he-IL"/>
    </w:rPr>
  </w:style>
  <w:style w:type="character" w:customStyle="1" w:styleId="notes">
    <w:name w:val="notes"/>
  </w:style>
  <w:style w:type="paragraph" w:styleId="BlockText">
    <w:name w:val="Block Text"/>
    <w:basedOn w:val="Normal"/>
    <w:semiHidden/>
    <w:pPr>
      <w:spacing w:line="240" w:lineRule="auto"/>
      <w:ind w:left="509"/>
    </w:pPr>
    <w:rPr>
      <w:sz w:val="20"/>
      <w:lang w:eastAsia="he-IL"/>
    </w:rPr>
  </w:style>
  <w:style w:type="character" w:customStyle="1" w:styleId="a8">
    <w:name w:val="טקסט הערות שוליים תו"/>
    <w:rPr>
      <w:lang w:val="en-US" w:eastAsia="en-US"/>
    </w:rPr>
  </w:style>
  <w:style w:type="character" w:customStyle="1" w:styleId="a9">
    <w:name w:val="טקסט הערת שוליים תו"/>
    <w:locked/>
    <w:rPr>
      <w:lang w:val="en-US" w:eastAsia="en-US"/>
    </w:rPr>
  </w:style>
  <w:style w:type="character" w:customStyle="1" w:styleId="a10">
    <w:name w:val="תו תו"/>
    <w:semiHidden/>
    <w:locked/>
    <w:rPr>
      <w:lang w:val="en-US" w:eastAsia="he-IL" w:bidi="he-IL"/>
    </w:rPr>
  </w:style>
  <w:style w:type="paragraph" w:styleId="BodyTextIndent3">
    <w:name w:val="Body Text Indent 3"/>
    <w:basedOn w:val="Normal"/>
    <w:semiHidden/>
    <w:pPr>
      <w:spacing w:after="120"/>
      <w:ind w:left="283"/>
    </w:pPr>
    <w:rPr>
      <w:sz w:val="16"/>
      <w:szCs w:val="16"/>
    </w:rPr>
  </w:style>
  <w:style w:type="character" w:customStyle="1" w:styleId="32">
    <w:name w:val="כניסה בגוף טקסט 3 תו"/>
    <w:semiHidden/>
    <w:locked/>
    <w:rPr>
      <w:rFonts w:cs="David"/>
      <w:sz w:val="16"/>
      <w:szCs w:val="16"/>
      <w:lang w:bidi="he-IL"/>
    </w:rPr>
  </w:style>
  <w:style w:type="paragraph" w:customStyle="1" w:styleId="12">
    <w:name w:val="פיסקת רשימה1"/>
    <w:basedOn w:val="Normal"/>
    <w:pPr>
      <w:ind w:left="7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a11">
    <w:name w:val="טקסט בלונים תו"/>
    <w:semiHidden/>
    <w:locked/>
    <w:rPr>
      <w:rFonts w:cs="Times New Roman"/>
      <w:sz w:val="2"/>
    </w:rPr>
  </w:style>
  <w:style w:type="paragraph" w:styleId="BodyTextIndent">
    <w:name w:val="Body Text Indent"/>
    <w:basedOn w:val="Normal"/>
    <w:semiHidden/>
    <w:pPr>
      <w:spacing w:after="120"/>
      <w:ind w:left="283"/>
    </w:pPr>
  </w:style>
  <w:style w:type="character" w:customStyle="1" w:styleId="a12">
    <w:name w:val="כניסה בגוף טקסט תו"/>
    <w:semiHidden/>
    <w:locked/>
    <w:rPr>
      <w:rFonts w:cs="David"/>
      <w:sz w:val="24"/>
      <w:szCs w:val="24"/>
      <w:lang w:bidi="he-IL"/>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rPr>
      <w:sz w:val="20"/>
      <w:szCs w:val="20"/>
    </w:rPr>
  </w:style>
  <w:style w:type="character" w:customStyle="1" w:styleId="a13">
    <w:name w:val="טקסט הערה תו"/>
    <w:semiHidden/>
    <w:locked/>
    <w:rPr>
      <w:rFonts w:cs="David"/>
      <w:sz w:val="20"/>
      <w:szCs w:val="20"/>
      <w:lang w:bidi="he-IL"/>
    </w:rPr>
  </w:style>
  <w:style w:type="paragraph" w:styleId="CommentSubject">
    <w:name w:val="annotation subject"/>
    <w:basedOn w:val="CommentText"/>
    <w:next w:val="CommentText"/>
    <w:link w:val="CommentSubjectChar"/>
    <w:uiPriority w:val="99"/>
    <w:semiHidden/>
    <w:rPr>
      <w:b/>
      <w:bCs/>
    </w:rPr>
  </w:style>
  <w:style w:type="character" w:customStyle="1" w:styleId="a14">
    <w:name w:val="נושא הערה תו"/>
    <w:semiHidden/>
    <w:locked/>
    <w:rPr>
      <w:rFonts w:cs="David"/>
      <w:b/>
      <w:bCs/>
      <w:sz w:val="20"/>
      <w:szCs w:val="20"/>
      <w:lang w:bidi="he-IL"/>
    </w:rPr>
  </w:style>
  <w:style w:type="paragraph" w:customStyle="1" w:styleId="310">
    <w:name w:val="כותרת 31"/>
    <w:basedOn w:val="Normal"/>
    <w:next w:val="Normal"/>
    <w:pPr>
      <w:spacing w:before="100" w:beforeAutospacing="1" w:line="288" w:lineRule="auto"/>
      <w:outlineLvl w:val="2"/>
    </w:pPr>
    <w:rPr>
      <w:b/>
      <w:bCs/>
      <w:szCs w:val="28"/>
      <w:u w:val="single"/>
    </w:rPr>
  </w:style>
  <w:style w:type="paragraph" w:customStyle="1" w:styleId="41">
    <w:name w:val="כותרת 41"/>
    <w:basedOn w:val="Normal"/>
    <w:next w:val="Normal"/>
    <w:pPr>
      <w:spacing w:before="100" w:beforeAutospacing="1" w:line="264" w:lineRule="auto"/>
      <w:outlineLvl w:val="3"/>
    </w:pPr>
    <w:rPr>
      <w:b/>
      <w:bCs/>
      <w:sz w:val="22"/>
      <w:szCs w:val="26"/>
    </w:rPr>
  </w:style>
  <w:style w:type="character" w:customStyle="1" w:styleId="default">
    <w:name w:val="default"/>
    <w:rPr>
      <w:rFonts w:ascii="Times New Roman" w:hAnsi="Times New Roman"/>
      <w:sz w:val="26"/>
    </w:rPr>
  </w:style>
  <w:style w:type="character" w:customStyle="1" w:styleId="510">
    <w:name w:val="כותרת 5 תו1"/>
    <w:locked/>
    <w:rPr>
      <w:rFonts w:cs="David"/>
      <w:b/>
      <w:bCs/>
      <w:sz w:val="32"/>
      <w:szCs w:val="32"/>
      <w:lang w:eastAsia="he-IL"/>
    </w:rPr>
  </w:style>
  <w:style w:type="character" w:customStyle="1" w:styleId="72">
    <w:name w:val="כותרת 7 תו2"/>
    <w:locked/>
    <w:rPr>
      <w:rFonts w:cs="David"/>
      <w:sz w:val="36"/>
      <w:szCs w:val="36"/>
      <w:lang w:eastAsia="he-IL"/>
    </w:rPr>
  </w:style>
  <w:style w:type="paragraph" w:customStyle="1" w:styleId="Arial10">
    <w:name w:val="סגנון (לטיני) Arial (עברית ושפות אחרות) ‏10 נק' שמאל מרווח בין ש..."/>
    <w:basedOn w:val="Normal"/>
    <w:pPr>
      <w:widowControl w:val="0"/>
      <w:spacing w:line="360" w:lineRule="auto"/>
      <w:jc w:val="right"/>
    </w:pPr>
    <w:rPr>
      <w:rFonts w:ascii="David" w:hAnsi="David"/>
      <w:sz w:val="20"/>
      <w:szCs w:val="20"/>
      <w:lang w:eastAsia="he-IL"/>
    </w:rPr>
  </w:style>
  <w:style w:type="character" w:customStyle="1" w:styleId="17">
    <w:name w:val="תו תו17"/>
    <w:semiHidden/>
    <w:locked/>
    <w:rPr>
      <w:b/>
      <w:spacing w:val="40"/>
      <w:sz w:val="24"/>
      <w:lang w:val="en-US" w:eastAsia="he-IL" w:bidi="he-IL"/>
    </w:rPr>
  </w:style>
  <w:style w:type="character" w:customStyle="1" w:styleId="22">
    <w:name w:val="תו תו2"/>
    <w:rPr>
      <w:b/>
      <w:spacing w:val="40"/>
      <w:sz w:val="24"/>
      <w:lang w:val="en-US" w:eastAsia="he-IL" w:bidi="he-IL"/>
    </w:rPr>
  </w:style>
  <w:style w:type="paragraph" w:customStyle="1" w:styleId="KOT6">
    <w:name w:val="KOT6"/>
    <w:basedOn w:val="KOT5"/>
    <w:locked/>
    <w:pPr>
      <w:outlineLvl w:val="3"/>
    </w:pPr>
    <w:rPr>
      <w:rFonts w:cs="FrankRuehl"/>
      <w:spacing w:val="40"/>
      <w:sz w:val="20"/>
    </w:rPr>
  </w:style>
  <w:style w:type="paragraph" w:customStyle="1" w:styleId="KOT7">
    <w:name w:val="KOT7"/>
    <w:basedOn w:val="KOT6"/>
    <w:locked/>
    <w:pPr>
      <w:outlineLvl w:val="4"/>
    </w:pPr>
    <w:rPr>
      <w:b w:val="0"/>
      <w:bCs w:val="0"/>
    </w:rPr>
  </w:style>
  <w:style w:type="character" w:customStyle="1" w:styleId="610">
    <w:name w:val="כותרת 6 תו1"/>
    <w:rPr>
      <w:rFonts w:cs="David"/>
      <w:spacing w:val="40"/>
      <w:szCs w:val="24"/>
      <w:lang w:val="en-US" w:eastAsia="he-IL" w:bidi="he-IL"/>
    </w:rPr>
  </w:style>
  <w:style w:type="paragraph" w:customStyle="1" w:styleId="320">
    <w:name w:val="כותרת 32"/>
    <w:basedOn w:val="Normal"/>
    <w:next w:val="Normal"/>
    <w:pPr>
      <w:widowControl w:val="0"/>
      <w:spacing w:before="100" w:beforeAutospacing="1" w:line="288" w:lineRule="auto"/>
      <w:outlineLvl w:val="2"/>
    </w:pPr>
    <w:rPr>
      <w:b/>
      <w:bCs/>
      <w:szCs w:val="28"/>
      <w:u w:val="single"/>
      <w:lang w:eastAsia="he-IL"/>
    </w:rPr>
  </w:style>
  <w:style w:type="paragraph" w:customStyle="1" w:styleId="42">
    <w:name w:val="כותרת 42"/>
    <w:basedOn w:val="Normal"/>
    <w:next w:val="Normal"/>
    <w:pPr>
      <w:widowControl w:val="0"/>
      <w:spacing w:before="100" w:beforeAutospacing="1" w:line="264" w:lineRule="auto"/>
      <w:outlineLvl w:val="3"/>
    </w:pPr>
    <w:rPr>
      <w:b/>
      <w:bCs/>
      <w:sz w:val="22"/>
      <w:szCs w:val="26"/>
      <w:lang w:eastAsia="he-IL"/>
    </w:rPr>
  </w:style>
  <w:style w:type="character" w:customStyle="1" w:styleId="410">
    <w:name w:val="כותרת 41 תו"/>
    <w:rPr>
      <w:rFonts w:cs="David"/>
      <w:b/>
      <w:bCs/>
      <w:sz w:val="22"/>
      <w:szCs w:val="26"/>
    </w:rPr>
  </w:style>
  <w:style w:type="character" w:styleId="Hyperlink">
    <w:name w:val="Hyperlink"/>
    <w:semiHidden/>
    <w:locked/>
    <w:rPr>
      <w:color w:val="0000FF"/>
      <w:u w:val="single"/>
    </w:rPr>
  </w:style>
  <w:style w:type="paragraph" w:styleId="DocumentMap">
    <w:name w:val="Document Map"/>
    <w:basedOn w:val="Normal"/>
    <w:semiHidden/>
    <w:locked/>
    <w:pPr>
      <w:widowControl w:val="0"/>
      <w:shd w:val="clear" w:color="auto" w:fill="000080"/>
      <w:spacing w:line="312" w:lineRule="auto"/>
      <w:jc w:val="both"/>
    </w:pPr>
    <w:rPr>
      <w:rFonts w:ascii="Tahoma" w:hAnsi="Tahoma" w:cs="Tahoma"/>
      <w:sz w:val="20"/>
      <w:szCs w:val="20"/>
      <w:lang w:eastAsia="he-IL"/>
    </w:rPr>
  </w:style>
  <w:style w:type="character" w:customStyle="1" w:styleId="a15">
    <w:name w:val="מפת מסמך תו"/>
    <w:semiHidden/>
    <w:rPr>
      <w:rFonts w:ascii="Tahoma" w:hAnsi="Tahoma" w:cs="Tahoma"/>
      <w:shd w:val="clear" w:color="auto" w:fill="000080"/>
      <w:lang w:eastAsia="he-IL"/>
    </w:rPr>
  </w:style>
  <w:style w:type="paragraph" w:styleId="ListParagraph">
    <w:name w:val="List Paragraph"/>
    <w:basedOn w:val="Normal"/>
    <w:uiPriority w:val="34"/>
    <w:qFormat/>
    <w:pPr>
      <w:spacing w:after="200" w:line="276" w:lineRule="auto"/>
      <w:ind w:left="720"/>
      <w:contextualSpacing/>
    </w:pPr>
    <w:rPr>
      <w:rFonts w:ascii="Rockwell" w:eastAsia="Rockwell" w:hAnsi="Rockwell"/>
      <w:sz w:val="22"/>
      <w:szCs w:val="22"/>
    </w:rPr>
  </w:style>
  <w:style w:type="paragraph" w:customStyle="1" w:styleId="a16">
    <w:name w:val="נבנצאל"/>
    <w:basedOn w:val="Normal"/>
    <w:next w:val="Normal"/>
    <w:uiPriority w:val="99"/>
    <w:pPr>
      <w:spacing w:after="200" w:line="276" w:lineRule="auto"/>
      <w:ind w:left="-567"/>
    </w:pPr>
    <w:rPr>
      <w:rFonts w:ascii="Rockwell" w:eastAsia="Rockwell" w:hAnsi="Rockwell"/>
      <w:sz w:val="22"/>
      <w:szCs w:val="20"/>
    </w:rPr>
  </w:style>
  <w:style w:type="character" w:customStyle="1" w:styleId="a17">
    <w:name w:val="נבנצאל תו"/>
    <w:uiPriority w:val="99"/>
    <w:locked/>
    <w:rPr>
      <w:rFonts w:ascii="Rockwell" w:eastAsia="Rockwell" w:hAnsi="Rockwell" w:cs="David"/>
      <w:sz w:val="22"/>
    </w:rPr>
  </w:style>
  <w:style w:type="paragraph" w:styleId="Date">
    <w:name w:val="Date"/>
    <w:basedOn w:val="Normal"/>
    <w:next w:val="Normal"/>
    <w:link w:val="DateChar"/>
    <w:uiPriority w:val="99"/>
    <w:locked/>
    <w:pPr>
      <w:spacing w:before="120" w:after="200" w:line="240" w:lineRule="auto"/>
    </w:pPr>
    <w:rPr>
      <w:rFonts w:ascii="Rockwell" w:eastAsia="Rockwell" w:hAnsi="Rockwell"/>
      <w:sz w:val="22"/>
      <w:szCs w:val="22"/>
    </w:rPr>
  </w:style>
  <w:style w:type="character" w:customStyle="1" w:styleId="a18">
    <w:name w:val="תאריך תו"/>
    <w:rPr>
      <w:rFonts w:ascii="Rockwell" w:eastAsia="Rockwell" w:hAnsi="Rockwell" w:cs="David"/>
      <w:sz w:val="22"/>
      <w:szCs w:val="22"/>
    </w:rPr>
  </w:style>
  <w:style w:type="paragraph" w:styleId="Revision">
    <w:name w:val="Revision"/>
    <w:hidden/>
    <w:uiPriority w:val="99"/>
    <w:semiHidden/>
    <w:rPr>
      <w:rFonts w:ascii="Rockwell" w:eastAsia="Rockwell" w:hAnsi="Rockwell" w:cs="David"/>
      <w:sz w:val="22"/>
      <w:szCs w:val="22"/>
    </w:rPr>
  </w:style>
  <w:style w:type="paragraph" w:customStyle="1" w:styleId="tab-name">
    <w:name w:val="tab-name"/>
    <w:basedOn w:val="KOT5"/>
    <w:qFormat/>
    <w:pPr>
      <w:jc w:val="center"/>
      <w:outlineLvl w:val="9"/>
    </w:pPr>
  </w:style>
  <w:style w:type="character" w:customStyle="1" w:styleId="Heading1Char">
    <w:name w:val="Heading 1 Char"/>
    <w:link w:val="Heading1"/>
    <w:uiPriority w:val="1"/>
    <w:rsid w:val="006259B3"/>
    <w:rPr>
      <w:rFonts w:cs="David"/>
      <w:b/>
      <w:bCs/>
      <w:sz w:val="56"/>
      <w:szCs w:val="56"/>
      <w:lang w:eastAsia="he-IL"/>
    </w:rPr>
  </w:style>
  <w:style w:type="character" w:customStyle="1" w:styleId="Heading2Char">
    <w:name w:val="Heading 2 Char"/>
    <w:link w:val="Heading2"/>
    <w:uiPriority w:val="1"/>
    <w:rsid w:val="006259B3"/>
    <w:rPr>
      <w:rFonts w:cs="David"/>
      <w:sz w:val="32"/>
      <w:szCs w:val="32"/>
    </w:rPr>
  </w:style>
  <w:style w:type="character" w:customStyle="1" w:styleId="Heading3Char">
    <w:name w:val="Heading 3 Char"/>
    <w:link w:val="Heading3"/>
    <w:rsid w:val="006259B3"/>
    <w:rPr>
      <w:rFonts w:cs="David"/>
      <w:b/>
      <w:bCs/>
      <w:sz w:val="38"/>
      <w:szCs w:val="36"/>
      <w:lang w:eastAsia="he-IL"/>
    </w:rPr>
  </w:style>
  <w:style w:type="character" w:customStyle="1" w:styleId="Heading4Char">
    <w:name w:val="Heading 4 Char"/>
    <w:link w:val="Heading4"/>
    <w:uiPriority w:val="1"/>
    <w:rsid w:val="006259B3"/>
    <w:rPr>
      <w:rFonts w:cs="David"/>
      <w:b/>
      <w:bCs/>
      <w:sz w:val="22"/>
      <w:szCs w:val="26"/>
      <w:lang w:eastAsia="he-IL"/>
    </w:rPr>
  </w:style>
  <w:style w:type="character" w:customStyle="1" w:styleId="Heading5Char">
    <w:name w:val="Heading 5 Char"/>
    <w:link w:val="Heading5"/>
    <w:uiPriority w:val="1"/>
    <w:rsid w:val="006259B3"/>
    <w:rPr>
      <w:rFonts w:cs="David"/>
      <w:b/>
      <w:bCs/>
      <w:sz w:val="32"/>
      <w:szCs w:val="32"/>
      <w:lang w:eastAsia="he-IL"/>
    </w:rPr>
  </w:style>
  <w:style w:type="character" w:customStyle="1" w:styleId="Heading6Char">
    <w:name w:val="Heading 6 Char"/>
    <w:link w:val="Heading6"/>
    <w:uiPriority w:val="1"/>
    <w:rsid w:val="006259B3"/>
    <w:rPr>
      <w:rFonts w:cs="FrankRuehl"/>
      <w:b/>
      <w:bCs/>
      <w:sz w:val="22"/>
      <w:szCs w:val="22"/>
    </w:rPr>
  </w:style>
  <w:style w:type="character" w:customStyle="1" w:styleId="Heading7Char">
    <w:name w:val="Heading 7 Char"/>
    <w:link w:val="Heading7"/>
    <w:uiPriority w:val="1"/>
    <w:rsid w:val="006259B3"/>
    <w:rPr>
      <w:rFonts w:cs="David"/>
      <w:sz w:val="36"/>
      <w:szCs w:val="36"/>
      <w:lang w:eastAsia="he-IL"/>
    </w:rPr>
  </w:style>
  <w:style w:type="character" w:customStyle="1" w:styleId="Heading8Char">
    <w:name w:val="Heading 8 Char"/>
    <w:link w:val="Heading8"/>
    <w:uiPriority w:val="1"/>
    <w:rsid w:val="006259B3"/>
    <w:rPr>
      <w:rFonts w:cs="David"/>
      <w:b/>
      <w:bCs/>
      <w:sz w:val="36"/>
      <w:szCs w:val="36"/>
      <w:lang w:eastAsia="he-IL"/>
    </w:rPr>
  </w:style>
  <w:style w:type="character" w:customStyle="1" w:styleId="HeaderChar">
    <w:name w:val="Header Char"/>
    <w:link w:val="Header"/>
    <w:uiPriority w:val="99"/>
    <w:rsid w:val="006259B3"/>
    <w:rPr>
      <w:rFonts w:cs="David"/>
      <w:sz w:val="24"/>
      <w:szCs w:val="24"/>
    </w:rPr>
  </w:style>
  <w:style w:type="character" w:customStyle="1" w:styleId="FooterChar">
    <w:name w:val="Footer Char"/>
    <w:link w:val="Footer"/>
    <w:uiPriority w:val="99"/>
    <w:rsid w:val="006259B3"/>
    <w:rPr>
      <w:rFonts w:cs="David"/>
      <w:sz w:val="24"/>
      <w:szCs w:val="24"/>
    </w:rPr>
  </w:style>
  <w:style w:type="character" w:customStyle="1" w:styleId="DateChar">
    <w:name w:val="Date Char"/>
    <w:link w:val="Date"/>
    <w:uiPriority w:val="99"/>
    <w:rsid w:val="006259B3"/>
    <w:rPr>
      <w:rFonts w:ascii="Rockwell" w:eastAsia="Rockwell" w:hAnsi="Rockwell" w:cs="David"/>
      <w:sz w:val="22"/>
      <w:szCs w:val="22"/>
    </w:rPr>
  </w:style>
  <w:style w:type="character" w:customStyle="1" w:styleId="FootnoteTextChar">
    <w:name w:val="Footnote Text Char"/>
    <w:link w:val="FootnoteText"/>
    <w:rsid w:val="006259B3"/>
    <w:rPr>
      <w:rFonts w:cs="David"/>
    </w:rPr>
  </w:style>
  <w:style w:type="character" w:customStyle="1" w:styleId="CommentTextChar">
    <w:name w:val="Comment Text Char"/>
    <w:link w:val="CommentText"/>
    <w:uiPriority w:val="99"/>
    <w:rsid w:val="006259B3"/>
    <w:rPr>
      <w:rFonts w:cs="David"/>
    </w:rPr>
  </w:style>
  <w:style w:type="character" w:customStyle="1" w:styleId="BalloonTextChar">
    <w:name w:val="Balloon Text Char"/>
    <w:link w:val="BalloonText"/>
    <w:uiPriority w:val="99"/>
    <w:semiHidden/>
    <w:rsid w:val="006259B3"/>
    <w:rPr>
      <w:rFonts w:ascii="Tahoma" w:hAnsi="Tahoma" w:cs="Tahoma"/>
      <w:sz w:val="16"/>
      <w:szCs w:val="16"/>
    </w:rPr>
  </w:style>
  <w:style w:type="character" w:customStyle="1" w:styleId="CommentSubjectChar">
    <w:name w:val="Comment Subject Char"/>
    <w:link w:val="CommentSubject"/>
    <w:uiPriority w:val="99"/>
    <w:semiHidden/>
    <w:rsid w:val="006259B3"/>
    <w:rPr>
      <w:rFonts w:cs="David"/>
      <w:b/>
      <w:bCs/>
    </w:rPr>
  </w:style>
  <w:style w:type="table" w:styleId="TableGrid">
    <w:name w:val="Table Grid"/>
    <w:basedOn w:val="TableNormal"/>
    <w:uiPriority w:val="59"/>
    <w:rsid w:val="006259B3"/>
    <w:pPr>
      <w:jc w:val="both"/>
    </w:pPr>
    <w:rPr>
      <w:rFonts w:eastAsia="Calibri" w:cs="David"/>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numbering" Target="numbering.xml"/><Relationship Id="rId8" Type="http://schemas.openxmlformats.org/officeDocument/2006/relationships/image" Target="media/image3.jpeg"/><Relationship Id="rId3" Type="http://schemas.openxmlformats.org/officeDocument/2006/relationships/webSettings" Target="webSettings.xml"/><Relationship Id="rId21"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theme" Target="theme/theme1.xml"/><Relationship Id="rId7" Type="http://schemas.openxmlformats.org/officeDocument/2006/relationships/image" Target="media/image2.wmf"/><Relationship Id="rId16" Type="http://schemas.openxmlformats.org/officeDocument/2006/relationships/footer" Target="footer4.xml"/><Relationship Id="rId2" Type="http://schemas.openxmlformats.org/officeDocument/2006/relationships/settings" Target="settings.xml"/><Relationship Id="rId20" Type="http://schemas.openxmlformats.org/officeDocument/2006/relationships/customXml" Target="../customXml/item2.xml"/><Relationship Id="rId1" Type="http://schemas.openxmlformats.org/officeDocument/2006/relationships/footnotes" Target="footnotes.xml"/><Relationship Id="rId11" Type="http://schemas.openxmlformats.org/officeDocument/2006/relationships/footer" Target="footer1.xml"/><Relationship Id="rId6" Type="http://schemas.openxmlformats.org/officeDocument/2006/relationships/image" Target="media/image1.wmf"/><Relationship Id="rId15" Type="http://schemas.openxmlformats.org/officeDocument/2006/relationships/header" Target="header4.xml"/><Relationship Id="rId5" Type="http://schemas.openxmlformats.org/officeDocument/2006/relationships/customXml" Target="../customXml/item1.xml"/><Relationship Id="rId10" Type="http://schemas.openxmlformats.org/officeDocument/2006/relationships/header" Target="header2.xml"/><Relationship Id="rId19" Type="http://schemas.openxmlformats.org/officeDocument/2006/relationships/styles" Target="styles.xml"/><Relationship Id="rId14" Type="http://schemas.openxmlformats.org/officeDocument/2006/relationships/footer" Target="footer3.xml"/><Relationship Id="rId4" Type="http://schemas.openxmlformats.org/officeDocument/2006/relationships/fontTable" Target="fontTable.xml"/><Relationship Id="rId9" Type="http://schemas.openxmlformats.org/officeDocument/2006/relationships/header" Target="header1.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975AB07-2925-4E57-9C69-AE2011237F9A}">
  <ds:schemaRefs>
    <ds:schemaRef ds:uri="http://schemas.openxmlformats.org/officeDocument/2006/bibliography"/>
  </ds:schemaRefs>
</ds:datastoreItem>
</file>

<file path=customXml/itemProps2.xml><?xml version="1.0" encoding="utf-8"?>
<ds:datastoreItem xmlns:ds="http://schemas.openxmlformats.org/officeDocument/2006/customXml" ds:itemID="{29A1CF76-1C7A-4387-BBFC-80DA5DC562CF}"/>
</file>

<file path=customXml/itemProps3.xml><?xml version="1.0" encoding="utf-8"?>
<ds:datastoreItem xmlns:ds="http://schemas.openxmlformats.org/officeDocument/2006/customXml" ds:itemID="{5650A30C-F1CD-4D25-B690-E44F6E09017C}"/>
</file>

<file path=customXml/itemProps4.xml><?xml version="1.0" encoding="utf-8"?>
<ds:datastoreItem xmlns:ds="http://schemas.openxmlformats.org/officeDocument/2006/customXml" ds:itemID="{AAEAE7C1-6159-496C-8E23-D67BAF7A77E3}"/>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y fmtid="{D5CDD505-2E9C-101B-9397-08002B2CF9AE}" pid="3" name="Order">
    <vt:r8>163500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