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FB46AA">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EC7BD8">
        <w:rPr>
          <w:rFonts w:hint="cs"/>
          <w:rtl/>
        </w:rPr>
        <w:t xml:space="preserve">הפיקוח על מתן אשראי למשקי בית </w:t>
      </w:r>
      <w:r>
        <w:rPr>
          <w:rtl/>
        </w:rPr>
        <w:br/>
      </w:r>
      <w:r w:rsidRPr="00EC7BD8">
        <w:rPr>
          <w:rFonts w:hint="cs"/>
          <w:rtl/>
        </w:rPr>
        <w:t>ועל נותני שירותי מטבע</w:t>
      </w:r>
      <w:r>
        <w:rPr>
          <w:rFonts w:hint="cs"/>
          <w:rtl/>
        </w:rPr>
        <w:t xml:space="preserve"> </w:t>
      </w:r>
    </w:p>
    <w:p w:rsidR="001275A6" w:rsidP="00FB46AA">
      <w:pPr>
        <w:pStyle w:val="Footer"/>
        <w:tabs>
          <w:tab w:val="clear" w:pos="4153"/>
          <w:tab w:val="clear" w:pos="8306"/>
        </w:tabs>
        <w:spacing w:after="120" w:line="230" w:lineRule="exact"/>
        <w:jc w:val="both"/>
        <w:rPr>
          <w:rFonts w:cs="FrankRuehl"/>
          <w:szCs w:val="22"/>
          <w:rtl/>
        </w:rPr>
      </w:pPr>
    </w:p>
    <w:p w:rsidR="001275A6" w:rsidRPr="001F3DFF" w:rsidP="00FB46AA">
      <w:pPr>
        <w:spacing w:after="120" w:line="230" w:lineRule="exact"/>
        <w:jc w:val="both"/>
        <w:rPr>
          <w:rFonts w:cs="FrankRuehl"/>
          <w:sz w:val="20"/>
          <w:szCs w:val="22"/>
          <w:rtl/>
        </w:rPr>
      </w:pPr>
    </w:p>
    <w:p w:rsidR="001275A6" w:rsidP="00FB46AA">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E54A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FB46AA">
            <w:pPr>
              <w:pStyle w:val="KOT4"/>
              <w:spacing w:before="120"/>
              <w:jc w:val="center"/>
              <w:rPr>
                <w:rtl/>
              </w:rPr>
            </w:pPr>
            <w:r>
              <w:rPr>
                <w:rFonts w:hint="cs"/>
                <w:rtl/>
              </w:rPr>
              <w:t>רקע כללי</w:t>
            </w:r>
          </w:p>
        </w:tc>
      </w:tr>
      <w:tr w:rsidTr="009E54AC">
        <w:tblPrEx>
          <w:tblW w:w="6691" w:type="dxa"/>
          <w:jc w:val="center"/>
          <w:tblLook w:val="04A0"/>
        </w:tblPrEx>
        <w:trPr>
          <w:jc w:val="center"/>
        </w:trPr>
        <w:tc>
          <w:tcPr>
            <w:tcW w:w="6691" w:type="dxa"/>
          </w:tcPr>
          <w:p w:rsidR="009E54AC" w:rsidRPr="009E54AC" w:rsidP="00FB46AA">
            <w:pPr>
              <w:pStyle w:val="PATIAH"/>
              <w:spacing w:before="60"/>
              <w:rPr>
                <w:sz w:val="22"/>
                <w:szCs w:val="22"/>
                <w:rtl/>
              </w:rPr>
            </w:pPr>
            <w:r w:rsidRPr="009E54AC">
              <w:rPr>
                <w:sz w:val="22"/>
                <w:szCs w:val="22"/>
                <w:rtl/>
              </w:rPr>
              <w:t xml:space="preserve">לצד שוק האשראי הבנקאי </w:t>
            </w:r>
            <w:r w:rsidRPr="009E54AC">
              <w:rPr>
                <w:rFonts w:hint="cs"/>
                <w:sz w:val="22"/>
                <w:szCs w:val="22"/>
                <w:rtl/>
              </w:rPr>
              <w:t xml:space="preserve">בישראל </w:t>
            </w:r>
            <w:r w:rsidRPr="009E54AC">
              <w:rPr>
                <w:sz w:val="22"/>
                <w:szCs w:val="22"/>
                <w:rtl/>
              </w:rPr>
              <w:t>קיים שוק אשראי חוץ-בנקאי אשר פעילים בו חברות כרטיסי האשראי</w:t>
            </w:r>
            <w:r>
              <w:rPr>
                <w:sz w:val="22"/>
                <w:vertAlign w:val="superscript"/>
                <w:rtl/>
              </w:rPr>
              <w:footnoteReference w:id="2"/>
            </w:r>
            <w:r w:rsidRPr="009E54AC">
              <w:rPr>
                <w:sz w:val="22"/>
                <w:szCs w:val="22"/>
                <w:rtl/>
              </w:rPr>
              <w:t>, הגופים המוסדיים - חברות ביטוח וחברות מנהלות של קופות גמל ושל קרנות פנסיה - וגורמים נוספים העוסקים במתן הלוואות, למשל חברות פרטיות, אנשים פרטיים ונותני שירותי מטבע (להלן</w:t>
            </w:r>
            <w:r w:rsidRPr="009E54AC">
              <w:rPr>
                <w:rFonts w:hint="cs"/>
                <w:sz w:val="22"/>
                <w:szCs w:val="22"/>
                <w:rtl/>
              </w:rPr>
              <w:t xml:space="preserve"> גם</w:t>
            </w:r>
            <w:r w:rsidRPr="009E54AC">
              <w:rPr>
                <w:sz w:val="22"/>
                <w:szCs w:val="22"/>
                <w:rtl/>
              </w:rPr>
              <w:t xml:space="preserve"> - </w:t>
            </w:r>
            <w:r w:rsidRPr="009E54AC">
              <w:rPr>
                <w:sz w:val="22"/>
                <w:szCs w:val="22"/>
                <w:rtl/>
              </w:rPr>
              <w:t>נש"ם</w:t>
            </w:r>
            <w:r w:rsidRPr="009E54AC">
              <w:rPr>
                <w:sz w:val="22"/>
                <w:szCs w:val="22"/>
                <w:rtl/>
              </w:rPr>
              <w:t xml:space="preserve">). </w:t>
            </w:r>
            <w:r w:rsidRPr="009E54AC">
              <w:rPr>
                <w:rFonts w:hint="cs"/>
                <w:sz w:val="22"/>
                <w:szCs w:val="22"/>
                <w:rtl/>
              </w:rPr>
              <w:t>ב</w:t>
            </w:r>
            <w:r w:rsidRPr="009E54AC">
              <w:rPr>
                <w:sz w:val="22"/>
                <w:szCs w:val="22"/>
                <w:rtl/>
              </w:rPr>
              <w:t xml:space="preserve">סוף שנת 2014 </w:t>
            </w:r>
            <w:r w:rsidRPr="009E54AC">
              <w:rPr>
                <w:rFonts w:hint="cs"/>
                <w:sz w:val="22"/>
                <w:szCs w:val="22"/>
                <w:rtl/>
              </w:rPr>
              <w:t xml:space="preserve">היה </w:t>
            </w:r>
            <w:r w:rsidRPr="009E54AC">
              <w:rPr>
                <w:sz w:val="22"/>
                <w:szCs w:val="22"/>
                <w:rtl/>
              </w:rPr>
              <w:t xml:space="preserve">היקף האשראי הבנקאי למשקי בית (ללא משכנתאות) כ-113 מיליארדי ש"ח; היקף האשראי החוץ-בנקאי למשקי בית </w:t>
            </w:r>
            <w:r w:rsidRPr="009E54AC">
              <w:rPr>
                <w:rFonts w:hint="cs"/>
                <w:sz w:val="22"/>
                <w:szCs w:val="22"/>
                <w:rtl/>
              </w:rPr>
              <w:t>היה</w:t>
            </w:r>
            <w:r w:rsidRPr="009E54AC">
              <w:rPr>
                <w:sz w:val="22"/>
                <w:szCs w:val="22"/>
                <w:rtl/>
              </w:rPr>
              <w:t xml:space="preserve"> כ-20 מיליארדי ש"ח.</w:t>
            </w:r>
          </w:p>
        </w:tc>
      </w:tr>
    </w:tbl>
    <w:p w:rsidR="004214D8" w:rsidP="00FB46AA">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214D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4214D8" w:rsidP="00FB46AA">
            <w:pPr>
              <w:pStyle w:val="KOT4"/>
              <w:spacing w:before="120"/>
              <w:jc w:val="center"/>
              <w:rPr>
                <w:rtl/>
              </w:rPr>
            </w:pPr>
            <w:r>
              <w:rPr>
                <w:rtl/>
              </w:rPr>
              <w:t>פעולות הביקורת</w:t>
            </w:r>
          </w:p>
        </w:tc>
      </w:tr>
      <w:tr w:rsidTr="004214D8">
        <w:tblPrEx>
          <w:tblW w:w="6691" w:type="dxa"/>
          <w:jc w:val="center"/>
          <w:tblLook w:val="04A0"/>
        </w:tblPrEx>
        <w:trPr>
          <w:jc w:val="center"/>
        </w:trPr>
        <w:tc>
          <w:tcPr>
            <w:tcW w:w="7018" w:type="dxa"/>
          </w:tcPr>
          <w:p w:rsidR="004214D8" w:rsidP="00FB46AA">
            <w:pPr>
              <w:pStyle w:val="takzir"/>
              <w:spacing w:before="60"/>
              <w:rPr>
                <w:b w:val="0"/>
                <w:bCs w:val="0"/>
                <w:noProof w:val="0"/>
                <w:rtl/>
              </w:rPr>
            </w:pPr>
            <w:r w:rsidRPr="009E54AC">
              <w:rPr>
                <w:b w:val="0"/>
                <w:bCs w:val="0"/>
                <w:noProof w:val="0"/>
                <w:rtl/>
              </w:rPr>
              <w:t>בחודשים אפריל 2014</w:t>
            </w:r>
            <w:r w:rsidRPr="009E54AC">
              <w:rPr>
                <w:rFonts w:hint="cs"/>
                <w:b w:val="0"/>
                <w:bCs w:val="0"/>
                <w:noProof w:val="0"/>
                <w:rtl/>
              </w:rPr>
              <w:t xml:space="preserve"> </w:t>
            </w:r>
            <w:r w:rsidRPr="009E54AC">
              <w:rPr>
                <w:b w:val="0"/>
                <w:bCs w:val="0"/>
                <w:noProof w:val="0"/>
                <w:rtl/>
              </w:rPr>
              <w:t xml:space="preserve">- </w:t>
            </w:r>
            <w:r w:rsidRPr="009E54AC">
              <w:rPr>
                <w:rFonts w:hint="cs"/>
                <w:b w:val="0"/>
                <w:bCs w:val="0"/>
                <w:noProof w:val="0"/>
                <w:rtl/>
              </w:rPr>
              <w:t>מאי</w:t>
            </w:r>
            <w:r w:rsidRPr="009E54AC">
              <w:rPr>
                <w:b w:val="0"/>
                <w:bCs w:val="0"/>
                <w:noProof w:val="0"/>
                <w:rtl/>
              </w:rPr>
              <w:t xml:space="preserve"> 2015 עשה משרד מבקר המדינה מעקב </w:t>
            </w:r>
            <w:r w:rsidRPr="009E54AC">
              <w:rPr>
                <w:rFonts w:hint="cs"/>
                <w:b w:val="0"/>
                <w:bCs w:val="0"/>
                <w:noProof w:val="0"/>
                <w:rtl/>
              </w:rPr>
              <w:t>אחר</w:t>
            </w:r>
            <w:r w:rsidRPr="009E54AC">
              <w:rPr>
                <w:b w:val="0"/>
                <w:bCs w:val="0"/>
                <w:noProof w:val="0"/>
                <w:rtl/>
              </w:rPr>
              <w:t xml:space="preserve"> תיקון הליקויים שהועלו בדוח</w:t>
            </w:r>
            <w:r w:rsidRPr="009E54AC">
              <w:rPr>
                <w:rFonts w:hint="cs"/>
                <w:b w:val="0"/>
                <w:bCs w:val="0"/>
                <w:noProof w:val="0"/>
                <w:rtl/>
              </w:rPr>
              <w:t xml:space="preserve"> שנתי</w:t>
            </w:r>
            <w:r w:rsidRPr="009E54AC">
              <w:rPr>
                <w:b w:val="0"/>
                <w:bCs w:val="0"/>
                <w:noProof w:val="0"/>
                <w:rtl/>
              </w:rPr>
              <w:t xml:space="preserve"> 60ב</w:t>
            </w:r>
            <w:r w:rsidRPr="009E54AC">
              <w:rPr>
                <w:rFonts w:hint="cs"/>
                <w:b w:val="0"/>
                <w:bCs w:val="0"/>
                <w:noProof w:val="0"/>
                <w:rtl/>
              </w:rPr>
              <w:t>,</w:t>
            </w:r>
            <w:r w:rsidRPr="009E54AC">
              <w:rPr>
                <w:b w:val="0"/>
                <w:bCs w:val="0"/>
                <w:noProof w:val="0"/>
                <w:rtl/>
              </w:rPr>
              <w:t xml:space="preserve"> "הפיקוח על נותני שירותי מטבע"</w:t>
            </w:r>
            <w:r>
              <w:rPr>
                <w:b w:val="0"/>
                <w:bCs w:val="0"/>
                <w:noProof w:val="0"/>
                <w:vertAlign w:val="superscript"/>
                <w:rtl/>
              </w:rPr>
              <w:footnoteReference w:id="3"/>
            </w:r>
            <w:r w:rsidRPr="009E54AC">
              <w:rPr>
                <w:rFonts w:hint="cs"/>
                <w:b w:val="0"/>
                <w:bCs w:val="0"/>
                <w:noProof w:val="0"/>
                <w:rtl/>
              </w:rPr>
              <w:t>,</w:t>
            </w:r>
            <w:r w:rsidRPr="009E54AC">
              <w:rPr>
                <w:b w:val="0"/>
                <w:bCs w:val="0"/>
                <w:noProof w:val="0"/>
                <w:rtl/>
              </w:rPr>
              <w:t xml:space="preserve"> וכן בדק את הפיקוח על שוק האשראי החוץ-בנקאי. הבדיקה נעשתה באגף שוק ההון, ביטוח וחיסכון שבמשרד האוצר (להלן - אגף שוק ההון), בבנק ישראל וברשות לאיסור הלבנת הון ומימון טרור במשרד המשפטים (להלן - הרשות לאיסור הלבנת הון). בדיקות השלמה נעשו במשרד המשפטים, ברשות המסים, במשטרת ישראל, ברשות האכיפה והגבייה, במועצה</w:t>
            </w:r>
            <w:r w:rsidRPr="009E54AC">
              <w:rPr>
                <w:rFonts w:hint="cs"/>
                <w:b w:val="0"/>
                <w:bCs w:val="0"/>
                <w:noProof w:val="0"/>
                <w:rtl/>
              </w:rPr>
              <w:t xml:space="preserve"> הישראלית</w:t>
            </w:r>
            <w:r w:rsidRPr="009E54AC">
              <w:rPr>
                <w:b w:val="0"/>
                <w:bCs w:val="0"/>
                <w:noProof w:val="0"/>
                <w:rtl/>
              </w:rPr>
              <w:t xml:space="preserve"> לצרכנות</w:t>
            </w:r>
            <w:r w:rsidRPr="009E54AC">
              <w:rPr>
                <w:rFonts w:hint="cs"/>
                <w:b w:val="0"/>
                <w:bCs w:val="0"/>
                <w:noProof w:val="0"/>
                <w:rtl/>
              </w:rPr>
              <w:t xml:space="preserve"> (להלן </w:t>
            </w:r>
            <w:r>
              <w:rPr>
                <w:b w:val="0"/>
                <w:bCs w:val="0"/>
                <w:noProof w:val="0"/>
                <w:rtl/>
              </w:rPr>
              <w:t>-</w:t>
            </w:r>
            <w:r w:rsidRPr="009E54AC">
              <w:rPr>
                <w:rFonts w:hint="cs"/>
                <w:b w:val="0"/>
                <w:bCs w:val="0"/>
                <w:noProof w:val="0"/>
                <w:rtl/>
              </w:rPr>
              <w:t xml:space="preserve"> המועצה לצרכנות)</w:t>
            </w:r>
            <w:r w:rsidRPr="009E54AC">
              <w:rPr>
                <w:b w:val="0"/>
                <w:bCs w:val="0"/>
                <w:noProof w:val="0"/>
                <w:rtl/>
              </w:rPr>
              <w:t>, במועצה הלאומית לכלכלה, ברשות להגנת הצרכן ו</w:t>
            </w:r>
            <w:r w:rsidRPr="009E54AC">
              <w:rPr>
                <w:rFonts w:hint="cs"/>
                <w:b w:val="0"/>
                <w:bCs w:val="0"/>
                <w:noProof w:val="0"/>
                <w:rtl/>
              </w:rPr>
              <w:t>ל</w:t>
            </w:r>
            <w:r w:rsidRPr="009E54AC">
              <w:rPr>
                <w:b w:val="0"/>
                <w:bCs w:val="0"/>
                <w:noProof w:val="0"/>
                <w:rtl/>
              </w:rPr>
              <w:t xml:space="preserve">סחר הוגן (להלן - הרשות להגנת הצרכן) ובלשכה המרכזית לסטטיסטיקה (להלן - </w:t>
            </w:r>
            <w:r w:rsidRPr="009E54AC">
              <w:rPr>
                <w:rFonts w:hint="cs"/>
                <w:b w:val="0"/>
                <w:bCs w:val="0"/>
                <w:noProof w:val="0"/>
                <w:rtl/>
              </w:rPr>
              <w:t>ה</w:t>
            </w:r>
            <w:r w:rsidRPr="009E54AC">
              <w:rPr>
                <w:b w:val="0"/>
                <w:bCs w:val="0"/>
                <w:noProof w:val="0"/>
                <w:rtl/>
              </w:rPr>
              <w:t>למ"ס</w:t>
            </w:r>
            <w:r w:rsidRPr="009E54AC">
              <w:rPr>
                <w:b w:val="0"/>
                <w:bCs w:val="0"/>
                <w:noProof w:val="0"/>
                <w:rtl/>
              </w:rPr>
              <w:t>).</w:t>
            </w:r>
          </w:p>
        </w:tc>
      </w:tr>
    </w:tbl>
    <w:p w:rsidR="001275A6" w:rsidP="00FB46AA">
      <w:pPr>
        <w:pStyle w:val="takzir"/>
        <w:spacing w:before="60"/>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FB46AA">
            <w:pPr>
              <w:pStyle w:val="KOT4"/>
              <w:spacing w:before="120"/>
              <w:jc w:val="center"/>
              <w:rPr>
                <w:rtl/>
              </w:rPr>
            </w:pPr>
            <w:r>
              <w:rPr>
                <w:rFonts w:hint="cs"/>
                <w:rtl/>
              </w:rPr>
              <w:t>הליקויים העיקריים</w:t>
            </w:r>
          </w:p>
        </w:tc>
      </w:tr>
    </w:tbl>
    <w:p w:rsidR="001275A6" w:rsidRPr="001F3DFF" w:rsidP="00FB46AA">
      <w:pPr>
        <w:keepNext/>
        <w:spacing w:after="120" w:line="230" w:lineRule="exact"/>
        <w:jc w:val="both"/>
        <w:rPr>
          <w:rFonts w:cs="FrankRuehl"/>
          <w:sz w:val="20"/>
          <w:szCs w:val="22"/>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FB46AA">
            <w:pPr>
              <w:pStyle w:val="KOT5"/>
              <w:spacing w:before="120"/>
              <w:jc w:val="center"/>
              <w:rPr>
                <w:sz w:val="24"/>
                <w:szCs w:val="24"/>
                <w:rtl/>
              </w:rPr>
            </w:pPr>
            <w:r w:rsidRPr="009E54AC">
              <w:rPr>
                <w:rFonts w:hint="cs"/>
                <w:sz w:val="24"/>
                <w:szCs w:val="24"/>
                <w:rtl/>
              </w:rPr>
              <w:t>אין הסדרה הולמת של שוק ההלוואות החוץ-בנקאיות ואין פיקוח עליו</w:t>
            </w:r>
          </w:p>
        </w:tc>
      </w:tr>
      <w:tr w:rsidTr="00E44678">
        <w:tblPrEx>
          <w:tblW w:w="6691" w:type="dxa"/>
          <w:jc w:val="center"/>
          <w:tblLook w:val="04A0"/>
        </w:tblPrEx>
        <w:trPr>
          <w:cantSplit/>
          <w:jc w:val="center"/>
        </w:trPr>
        <w:tc>
          <w:tcPr>
            <w:tcW w:w="6691" w:type="dxa"/>
          </w:tcPr>
          <w:p w:rsidR="001275A6" w:rsidP="00FB46AA">
            <w:pPr>
              <w:pStyle w:val="takzir"/>
              <w:spacing w:before="60"/>
              <w:rPr>
                <w:b w:val="0"/>
                <w:bCs w:val="0"/>
                <w:noProof w:val="0"/>
                <w:rtl/>
              </w:rPr>
            </w:pPr>
            <w:r w:rsidRPr="009E54AC">
              <w:rPr>
                <w:b w:val="0"/>
                <w:bCs w:val="0"/>
                <w:noProof w:val="0"/>
                <w:rtl/>
              </w:rPr>
              <w:t>חרף החיוניות שבהסדרת</w:t>
            </w:r>
            <w:r w:rsidRPr="009E54AC">
              <w:rPr>
                <w:rFonts w:hint="cs"/>
                <w:b w:val="0"/>
                <w:bCs w:val="0"/>
                <w:noProof w:val="0"/>
                <w:rtl/>
              </w:rPr>
              <w:t xml:space="preserve"> הפיקוח על</w:t>
            </w:r>
            <w:r w:rsidRPr="009E54AC">
              <w:rPr>
                <w:b w:val="0"/>
                <w:bCs w:val="0"/>
                <w:noProof w:val="0"/>
                <w:rtl/>
              </w:rPr>
              <w:t xml:space="preserve"> שוק ההלוואות החוץ</w:t>
            </w:r>
            <w:r w:rsidRPr="009E54AC">
              <w:rPr>
                <w:rFonts w:hint="cs"/>
                <w:b w:val="0"/>
                <w:bCs w:val="0"/>
                <w:noProof w:val="0"/>
                <w:rtl/>
              </w:rPr>
              <w:t>-</w:t>
            </w:r>
            <w:r w:rsidRPr="009E54AC">
              <w:rPr>
                <w:b w:val="0"/>
                <w:bCs w:val="0"/>
                <w:noProof w:val="0"/>
                <w:rtl/>
              </w:rPr>
              <w:t xml:space="preserve">בנקאיות והסכמת הרגולטורים כי יש להסדירו בהקדם, </w:t>
            </w:r>
            <w:r w:rsidRPr="009E54AC">
              <w:rPr>
                <w:rFonts w:hint="cs"/>
                <w:b w:val="0"/>
                <w:bCs w:val="0"/>
                <w:noProof w:val="0"/>
                <w:rtl/>
              </w:rPr>
              <w:t xml:space="preserve">לא קידמו </w:t>
            </w:r>
            <w:r w:rsidRPr="009E54AC">
              <w:rPr>
                <w:b w:val="0"/>
                <w:bCs w:val="0"/>
                <w:noProof w:val="0"/>
                <w:rtl/>
              </w:rPr>
              <w:t>בנק ישראל ומשרד האוצר את הטיפול בתחום זה.</w:t>
            </w:r>
            <w:r w:rsidRPr="009E54AC">
              <w:rPr>
                <w:rFonts w:hint="cs"/>
                <w:b w:val="0"/>
                <w:bCs w:val="0"/>
                <w:noProof w:val="0"/>
                <w:rtl/>
              </w:rPr>
              <w:t xml:space="preserve"> המצב הקיים מותיר פתח לפעילויות של הלבנת הון, פשיעה ופגיעה בצרכנים.</w:t>
            </w:r>
          </w:p>
        </w:tc>
      </w:tr>
    </w:tbl>
    <w:p w:rsidR="001275A6" w:rsidP="00FB46A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214D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E54AC" w:rsidP="00FB46AA">
            <w:pPr>
              <w:pStyle w:val="KOT5"/>
              <w:spacing w:before="120"/>
              <w:jc w:val="center"/>
              <w:rPr>
                <w:sz w:val="24"/>
                <w:szCs w:val="24"/>
                <w:rtl/>
              </w:rPr>
            </w:pPr>
            <w:r w:rsidRPr="009E54AC">
              <w:rPr>
                <w:rFonts w:hint="cs"/>
                <w:sz w:val="24"/>
                <w:szCs w:val="24"/>
                <w:rtl/>
              </w:rPr>
              <w:t>אין ריכוז של מידע</w:t>
            </w:r>
            <w:r w:rsidRPr="009E54AC">
              <w:rPr>
                <w:sz w:val="24"/>
                <w:szCs w:val="24"/>
                <w:rtl/>
              </w:rPr>
              <w:t xml:space="preserve"> </w:t>
            </w:r>
            <w:r w:rsidRPr="009E54AC">
              <w:rPr>
                <w:rFonts w:hint="cs"/>
                <w:sz w:val="24"/>
                <w:szCs w:val="24"/>
                <w:rtl/>
              </w:rPr>
              <w:t>על</w:t>
            </w:r>
            <w:r w:rsidRPr="009E54AC">
              <w:rPr>
                <w:sz w:val="24"/>
                <w:szCs w:val="24"/>
                <w:rtl/>
              </w:rPr>
              <w:t xml:space="preserve"> חובות משקי הבית</w:t>
            </w:r>
            <w:r w:rsidRPr="009E54AC">
              <w:rPr>
                <w:rFonts w:hint="cs"/>
                <w:sz w:val="24"/>
                <w:szCs w:val="24"/>
                <w:rtl/>
              </w:rPr>
              <w:t xml:space="preserve"> בישראל</w:t>
            </w:r>
          </w:p>
        </w:tc>
      </w:tr>
      <w:tr w:rsidTr="004214D8">
        <w:tblPrEx>
          <w:tblW w:w="6691" w:type="dxa"/>
          <w:jc w:val="center"/>
          <w:tblLook w:val="04A0"/>
        </w:tblPrEx>
        <w:trPr>
          <w:cantSplit/>
          <w:jc w:val="center"/>
        </w:trPr>
        <w:tc>
          <w:tcPr>
            <w:tcW w:w="6691" w:type="dxa"/>
          </w:tcPr>
          <w:p w:rsidR="009E54AC" w:rsidRPr="009E54AC" w:rsidP="00FB46AA">
            <w:pPr>
              <w:pStyle w:val="takzir"/>
              <w:spacing w:before="60"/>
              <w:ind w:left="340" w:hanging="340"/>
              <w:rPr>
                <w:b w:val="0"/>
                <w:bCs w:val="0"/>
                <w:noProof w:val="0"/>
                <w:rtl/>
              </w:rPr>
            </w:pPr>
            <w:r>
              <w:rPr>
                <w:rFonts w:hint="cs"/>
                <w:b w:val="0"/>
                <w:bCs w:val="0"/>
                <w:noProof w:val="0"/>
                <w:rtl/>
              </w:rPr>
              <w:t>1.</w:t>
            </w:r>
            <w:r>
              <w:rPr>
                <w:b w:val="0"/>
                <w:bCs w:val="0"/>
                <w:noProof w:val="0"/>
                <w:rtl/>
              </w:rPr>
              <w:tab/>
            </w:r>
            <w:r w:rsidRPr="009E54AC">
              <w:rPr>
                <w:b w:val="0"/>
                <w:bCs w:val="0"/>
                <w:noProof w:val="0"/>
                <w:rtl/>
              </w:rPr>
              <w:t>על אף ההשפעה המאקרו-כלכלית שיש לחובות משקי הבית</w:t>
            </w:r>
            <w:r w:rsidRPr="009E54AC">
              <w:rPr>
                <w:rFonts w:hint="cs"/>
                <w:b w:val="0"/>
                <w:bCs w:val="0"/>
                <w:noProof w:val="0"/>
                <w:rtl/>
              </w:rPr>
              <w:t>,</w:t>
            </w:r>
            <w:r w:rsidRPr="009E54AC">
              <w:rPr>
                <w:b w:val="0"/>
                <w:bCs w:val="0"/>
                <w:noProof w:val="0"/>
                <w:rtl/>
              </w:rPr>
              <w:t xml:space="preserve"> וחרף חשיבות ריכוז</w:t>
            </w:r>
            <w:r w:rsidRPr="009E54AC">
              <w:rPr>
                <w:rFonts w:hint="cs"/>
                <w:b w:val="0"/>
                <w:bCs w:val="0"/>
                <w:noProof w:val="0"/>
                <w:rtl/>
              </w:rPr>
              <w:t>ם של</w:t>
            </w:r>
            <w:r w:rsidRPr="009E54AC">
              <w:rPr>
                <w:b w:val="0"/>
                <w:bCs w:val="0"/>
                <w:noProof w:val="0"/>
                <w:rtl/>
              </w:rPr>
              <w:t xml:space="preserve"> מכלול הנתונים </w:t>
            </w:r>
            <w:r w:rsidRPr="009E54AC">
              <w:rPr>
                <w:rFonts w:hint="cs"/>
                <w:b w:val="0"/>
                <w:bCs w:val="0"/>
                <w:noProof w:val="0"/>
                <w:rtl/>
              </w:rPr>
              <w:t xml:space="preserve">על </w:t>
            </w:r>
            <w:r w:rsidRPr="009E54AC">
              <w:rPr>
                <w:b w:val="0"/>
                <w:bCs w:val="0"/>
                <w:noProof w:val="0"/>
                <w:rtl/>
              </w:rPr>
              <w:t xml:space="preserve">נושא זה וניתוחם בהתאם למאפייני משקי הבית, אף </w:t>
            </w:r>
            <w:r w:rsidRPr="009E54AC">
              <w:rPr>
                <w:rFonts w:hint="cs"/>
                <w:b w:val="0"/>
                <w:bCs w:val="0"/>
                <w:noProof w:val="0"/>
                <w:rtl/>
              </w:rPr>
              <w:t xml:space="preserve">לא </w:t>
            </w:r>
            <w:r w:rsidRPr="009E54AC">
              <w:rPr>
                <w:b w:val="0"/>
                <w:bCs w:val="0"/>
                <w:noProof w:val="0"/>
                <w:rtl/>
              </w:rPr>
              <w:t xml:space="preserve">אחד מהגורמים הרלוונטיים - בנק ישראל, משרד האוצר </w:t>
            </w:r>
            <w:r w:rsidRPr="009E54AC">
              <w:rPr>
                <w:b w:val="0"/>
                <w:bCs w:val="0"/>
                <w:noProof w:val="0"/>
                <w:rtl/>
              </w:rPr>
              <w:t>והלמ"ס</w:t>
            </w:r>
            <w:r w:rsidRPr="009E54AC">
              <w:rPr>
                <w:b w:val="0"/>
                <w:bCs w:val="0"/>
                <w:noProof w:val="0"/>
                <w:rtl/>
              </w:rPr>
              <w:t xml:space="preserve"> - מטפל ב</w:t>
            </w:r>
            <w:r w:rsidRPr="009E54AC">
              <w:rPr>
                <w:rFonts w:hint="cs"/>
                <w:b w:val="0"/>
                <w:bCs w:val="0"/>
                <w:noProof w:val="0"/>
                <w:rtl/>
              </w:rPr>
              <w:t>כך</w:t>
            </w:r>
            <w:r w:rsidRPr="009E54AC">
              <w:rPr>
                <w:b w:val="0"/>
                <w:bCs w:val="0"/>
                <w:noProof w:val="0"/>
                <w:rtl/>
              </w:rPr>
              <w:t xml:space="preserve">. </w:t>
            </w:r>
            <w:r w:rsidRPr="009E54AC">
              <w:rPr>
                <w:rFonts w:hint="cs"/>
                <w:b w:val="0"/>
                <w:bCs w:val="0"/>
                <w:noProof w:val="0"/>
                <w:rtl/>
              </w:rPr>
              <w:t>זו אחת הסיבות לכך</w:t>
            </w:r>
            <w:r w:rsidRPr="009E54AC">
              <w:rPr>
                <w:b w:val="0"/>
                <w:bCs w:val="0"/>
                <w:noProof w:val="0"/>
                <w:rtl/>
              </w:rPr>
              <w:t xml:space="preserve"> </w:t>
            </w:r>
            <w:r w:rsidRPr="009E54AC">
              <w:rPr>
                <w:rFonts w:hint="cs"/>
                <w:b w:val="0"/>
                <w:bCs w:val="0"/>
                <w:noProof w:val="0"/>
                <w:rtl/>
              </w:rPr>
              <w:t>ש</w:t>
            </w:r>
            <w:r w:rsidRPr="009E54AC">
              <w:rPr>
                <w:b w:val="0"/>
                <w:bCs w:val="0"/>
                <w:noProof w:val="0"/>
                <w:rtl/>
              </w:rPr>
              <w:t>המעקב ש</w:t>
            </w:r>
            <w:r w:rsidRPr="009E54AC">
              <w:rPr>
                <w:rFonts w:hint="cs"/>
                <w:b w:val="0"/>
                <w:bCs w:val="0"/>
                <w:noProof w:val="0"/>
                <w:rtl/>
              </w:rPr>
              <w:t>ל</w:t>
            </w:r>
            <w:r w:rsidRPr="009E54AC">
              <w:rPr>
                <w:b w:val="0"/>
                <w:bCs w:val="0"/>
                <w:noProof w:val="0"/>
                <w:rtl/>
              </w:rPr>
              <w:t xml:space="preserve"> בנק ישראל </w:t>
            </w:r>
            <w:r w:rsidRPr="009E54AC">
              <w:rPr>
                <w:rFonts w:hint="cs"/>
                <w:b w:val="0"/>
                <w:bCs w:val="0"/>
                <w:noProof w:val="0"/>
                <w:rtl/>
              </w:rPr>
              <w:t>אחר</w:t>
            </w:r>
            <w:r w:rsidRPr="009E54AC">
              <w:rPr>
                <w:b w:val="0"/>
                <w:bCs w:val="0"/>
                <w:noProof w:val="0"/>
                <w:rtl/>
              </w:rPr>
              <w:t xml:space="preserve"> התפתחות מגמות בחובות משקי הבית העלול</w:t>
            </w:r>
            <w:r w:rsidRPr="009E54AC">
              <w:rPr>
                <w:rFonts w:hint="cs"/>
                <w:b w:val="0"/>
                <w:bCs w:val="0"/>
                <w:noProof w:val="0"/>
                <w:rtl/>
              </w:rPr>
              <w:t>ות</w:t>
            </w:r>
            <w:r w:rsidRPr="009E54AC">
              <w:rPr>
                <w:b w:val="0"/>
                <w:bCs w:val="0"/>
                <w:noProof w:val="0"/>
                <w:rtl/>
              </w:rPr>
              <w:t xml:space="preserve"> לסכן את יציבות המשק אינו </w:t>
            </w:r>
            <w:r w:rsidRPr="009E54AC">
              <w:rPr>
                <w:rFonts w:hint="cs"/>
                <w:b w:val="0"/>
                <w:bCs w:val="0"/>
                <w:noProof w:val="0"/>
                <w:rtl/>
              </w:rPr>
              <w:t xml:space="preserve">מעקב </w:t>
            </w:r>
            <w:r w:rsidRPr="009E54AC">
              <w:rPr>
                <w:b w:val="0"/>
                <w:bCs w:val="0"/>
                <w:noProof w:val="0"/>
                <w:rtl/>
              </w:rPr>
              <w:t>מלא.</w:t>
            </w:r>
          </w:p>
          <w:p w:rsidR="009E54AC" w:rsidRPr="009E54AC" w:rsidP="00FB46AA">
            <w:pPr>
              <w:pStyle w:val="takzir"/>
              <w:ind w:left="340" w:hanging="340"/>
              <w:rPr>
                <w:b w:val="0"/>
                <w:bCs w:val="0"/>
                <w:noProof w:val="0"/>
                <w:rtl/>
              </w:rPr>
            </w:pPr>
            <w:r>
              <w:rPr>
                <w:rFonts w:hint="cs"/>
                <w:b w:val="0"/>
                <w:bCs w:val="0"/>
                <w:noProof w:val="0"/>
                <w:rtl/>
              </w:rPr>
              <w:t>2.</w:t>
            </w:r>
            <w:r>
              <w:rPr>
                <w:b w:val="0"/>
                <w:bCs w:val="0"/>
                <w:noProof w:val="0"/>
                <w:rtl/>
              </w:rPr>
              <w:tab/>
            </w:r>
            <w:r w:rsidRPr="009E54AC">
              <w:rPr>
                <w:b w:val="0"/>
                <w:bCs w:val="0"/>
                <w:noProof w:val="0"/>
                <w:rtl/>
              </w:rPr>
              <w:t xml:space="preserve">הסקירה והניתוח של מגזר משקי הבית שפרסם </w:t>
            </w:r>
            <w:r w:rsidRPr="009E54AC">
              <w:rPr>
                <w:rFonts w:hint="cs"/>
                <w:b w:val="0"/>
                <w:bCs w:val="0"/>
                <w:noProof w:val="0"/>
                <w:rtl/>
              </w:rPr>
              <w:t>בנק ישראל</w:t>
            </w:r>
            <w:r w:rsidRPr="009E54AC">
              <w:rPr>
                <w:b w:val="0"/>
                <w:bCs w:val="0"/>
                <w:noProof w:val="0"/>
                <w:rtl/>
              </w:rPr>
              <w:t xml:space="preserve"> בדוח היציבות הפיננסית </w:t>
            </w:r>
            <w:r w:rsidRPr="009E54AC">
              <w:rPr>
                <w:rFonts w:hint="cs"/>
                <w:b w:val="0"/>
                <w:bCs w:val="0"/>
                <w:noProof w:val="0"/>
                <w:rtl/>
              </w:rPr>
              <w:t>מיוני 2014</w:t>
            </w:r>
            <w:r w:rsidRPr="009E54AC">
              <w:rPr>
                <w:b w:val="0"/>
                <w:bCs w:val="0"/>
                <w:noProof w:val="0"/>
                <w:rtl/>
              </w:rPr>
              <w:t xml:space="preserve"> אינ</w:t>
            </w:r>
            <w:r w:rsidRPr="009E54AC">
              <w:rPr>
                <w:rFonts w:hint="cs"/>
                <w:b w:val="0"/>
                <w:bCs w:val="0"/>
                <w:noProof w:val="0"/>
                <w:rtl/>
              </w:rPr>
              <w:t>ם</w:t>
            </w:r>
            <w:r w:rsidRPr="009E54AC">
              <w:rPr>
                <w:b w:val="0"/>
                <w:bCs w:val="0"/>
                <w:noProof w:val="0"/>
                <w:rtl/>
              </w:rPr>
              <w:t xml:space="preserve"> </w:t>
            </w:r>
            <w:r w:rsidRPr="009E54AC">
              <w:rPr>
                <w:rFonts w:hint="cs"/>
                <w:b w:val="0"/>
                <w:bCs w:val="0"/>
                <w:noProof w:val="0"/>
                <w:rtl/>
              </w:rPr>
              <w:t>נותנים</w:t>
            </w:r>
            <w:r w:rsidRPr="009E54AC">
              <w:rPr>
                <w:b w:val="0"/>
                <w:bCs w:val="0"/>
                <w:noProof w:val="0"/>
                <w:rtl/>
              </w:rPr>
              <w:t xml:space="preserve"> </w:t>
            </w:r>
            <w:r w:rsidRPr="009E54AC">
              <w:rPr>
                <w:rFonts w:hint="cs"/>
                <w:b w:val="0"/>
                <w:bCs w:val="0"/>
                <w:noProof w:val="0"/>
                <w:rtl/>
              </w:rPr>
              <w:t>תמונה מפורטת דייה ש</w:t>
            </w:r>
            <w:r w:rsidRPr="009E54AC">
              <w:rPr>
                <w:b w:val="0"/>
                <w:bCs w:val="0"/>
                <w:noProof w:val="0"/>
                <w:rtl/>
              </w:rPr>
              <w:t>ל חובות משקי הבית</w:t>
            </w:r>
            <w:r w:rsidRPr="009E54AC">
              <w:rPr>
                <w:rFonts w:hint="cs"/>
                <w:b w:val="0"/>
                <w:bCs w:val="0"/>
                <w:noProof w:val="0"/>
                <w:rtl/>
              </w:rPr>
              <w:t xml:space="preserve"> שלא לדיור</w:t>
            </w:r>
            <w:r w:rsidRPr="009E54AC">
              <w:rPr>
                <w:b w:val="0"/>
                <w:bCs w:val="0"/>
                <w:noProof w:val="0"/>
                <w:rtl/>
              </w:rPr>
              <w:t>, התפתחות</w:t>
            </w:r>
            <w:r w:rsidRPr="009E54AC">
              <w:rPr>
                <w:rFonts w:hint="cs"/>
                <w:b w:val="0"/>
                <w:bCs w:val="0"/>
                <w:noProof w:val="0"/>
                <w:rtl/>
              </w:rPr>
              <w:t>ם</w:t>
            </w:r>
            <w:r w:rsidRPr="009E54AC">
              <w:rPr>
                <w:b w:val="0"/>
                <w:bCs w:val="0"/>
                <w:noProof w:val="0"/>
                <w:rtl/>
              </w:rPr>
              <w:t xml:space="preserve"> בשנים האחרונות ורמת הסיכון </w:t>
            </w:r>
            <w:r w:rsidRPr="009E54AC">
              <w:rPr>
                <w:rFonts w:hint="cs"/>
                <w:b w:val="0"/>
                <w:bCs w:val="0"/>
                <w:noProof w:val="0"/>
                <w:rtl/>
              </w:rPr>
              <w:t>הנגזרת מהם. מלבד</w:t>
            </w:r>
            <w:r w:rsidRPr="009E54AC">
              <w:rPr>
                <w:b w:val="0"/>
                <w:bCs w:val="0"/>
                <w:noProof w:val="0"/>
                <w:rtl/>
              </w:rPr>
              <w:t xml:space="preserve"> נתונים </w:t>
            </w:r>
            <w:r w:rsidRPr="009E54AC">
              <w:rPr>
                <w:rFonts w:hint="cs"/>
                <w:b w:val="0"/>
                <w:bCs w:val="0"/>
                <w:noProof w:val="0"/>
                <w:rtl/>
              </w:rPr>
              <w:t>על</w:t>
            </w:r>
            <w:r w:rsidRPr="009E54AC">
              <w:rPr>
                <w:b w:val="0"/>
                <w:bCs w:val="0"/>
                <w:noProof w:val="0"/>
                <w:rtl/>
              </w:rPr>
              <w:t xml:space="preserve"> היקף האשראי למשקי הבית מהמערכת הבנקאית, בחלוקה לפי תאגיד בנקאי ולפי ייעוד (דיור או שלא לדיור), אין </w:t>
            </w:r>
            <w:r w:rsidRPr="009E54AC">
              <w:rPr>
                <w:rFonts w:hint="cs"/>
                <w:b w:val="0"/>
                <w:bCs w:val="0"/>
                <w:noProof w:val="0"/>
                <w:rtl/>
              </w:rPr>
              <w:t>ל</w:t>
            </w:r>
            <w:r w:rsidRPr="009E54AC">
              <w:rPr>
                <w:b w:val="0"/>
                <w:bCs w:val="0"/>
                <w:noProof w:val="0"/>
                <w:rtl/>
              </w:rPr>
              <w:t xml:space="preserve">בנק </w:t>
            </w:r>
            <w:r w:rsidRPr="009E54AC">
              <w:rPr>
                <w:rFonts w:hint="cs"/>
                <w:b w:val="0"/>
                <w:bCs w:val="0"/>
                <w:noProof w:val="0"/>
                <w:rtl/>
              </w:rPr>
              <w:t xml:space="preserve">ישראל </w:t>
            </w:r>
            <w:r w:rsidRPr="009E54AC">
              <w:rPr>
                <w:b w:val="0"/>
                <w:bCs w:val="0"/>
                <w:noProof w:val="0"/>
                <w:rtl/>
              </w:rPr>
              <w:t xml:space="preserve">מידע </w:t>
            </w:r>
            <w:r w:rsidRPr="009E54AC">
              <w:rPr>
                <w:rFonts w:hint="cs"/>
                <w:b w:val="0"/>
                <w:bCs w:val="0"/>
                <w:noProof w:val="0"/>
                <w:rtl/>
              </w:rPr>
              <w:t>על</w:t>
            </w:r>
            <w:r w:rsidRPr="009E54AC">
              <w:rPr>
                <w:b w:val="0"/>
                <w:bCs w:val="0"/>
                <w:noProof w:val="0"/>
                <w:rtl/>
              </w:rPr>
              <w:t xml:space="preserve"> האשראי </w:t>
            </w:r>
            <w:r w:rsidRPr="009E54AC">
              <w:rPr>
                <w:rFonts w:hint="cs"/>
                <w:b w:val="0"/>
                <w:bCs w:val="0"/>
                <w:noProof w:val="0"/>
                <w:rtl/>
              </w:rPr>
              <w:t>למשקי בית שאיננו למטרות דיור.</w:t>
            </w:r>
          </w:p>
          <w:p w:rsidR="009E54AC" w:rsidRPr="009E54AC" w:rsidP="00FB46AA">
            <w:pPr>
              <w:pStyle w:val="takzir"/>
              <w:ind w:left="340" w:hanging="340"/>
              <w:rPr>
                <w:b w:val="0"/>
                <w:bCs w:val="0"/>
                <w:noProof w:val="0"/>
                <w:rtl/>
              </w:rPr>
            </w:pPr>
            <w:r>
              <w:rPr>
                <w:rFonts w:hint="cs"/>
                <w:b w:val="0"/>
                <w:bCs w:val="0"/>
                <w:noProof w:val="0"/>
                <w:rtl/>
              </w:rPr>
              <w:t>3.</w:t>
            </w:r>
            <w:r>
              <w:rPr>
                <w:b w:val="0"/>
                <w:bCs w:val="0"/>
                <w:noProof w:val="0"/>
                <w:rtl/>
              </w:rPr>
              <w:tab/>
            </w:r>
            <w:r w:rsidRPr="009E54AC">
              <w:rPr>
                <w:b w:val="0"/>
                <w:bCs w:val="0"/>
                <w:noProof w:val="0"/>
                <w:rtl/>
              </w:rPr>
              <w:t xml:space="preserve">לבד מנתונים </w:t>
            </w:r>
            <w:r w:rsidRPr="009E54AC">
              <w:rPr>
                <w:rFonts w:hint="cs"/>
                <w:b w:val="0"/>
                <w:bCs w:val="0"/>
                <w:noProof w:val="0"/>
                <w:rtl/>
              </w:rPr>
              <w:t>על</w:t>
            </w:r>
            <w:r w:rsidRPr="009E54AC">
              <w:rPr>
                <w:b w:val="0"/>
                <w:bCs w:val="0"/>
                <w:noProof w:val="0"/>
                <w:rtl/>
              </w:rPr>
              <w:t xml:space="preserve"> היקף ההלוואות לעמיתים מהגופים המוסדיים, בחלוקה לפי הגוף המוסדי, אין באגף </w:t>
            </w:r>
            <w:r w:rsidRPr="009E54AC">
              <w:rPr>
                <w:rFonts w:hint="cs"/>
                <w:b w:val="0"/>
                <w:bCs w:val="0"/>
                <w:noProof w:val="0"/>
                <w:rtl/>
              </w:rPr>
              <w:t xml:space="preserve">שוק ההון </w:t>
            </w:r>
            <w:r w:rsidRPr="009E54AC">
              <w:rPr>
                <w:b w:val="0"/>
                <w:bCs w:val="0"/>
                <w:noProof w:val="0"/>
                <w:rtl/>
              </w:rPr>
              <w:t xml:space="preserve">מידע </w:t>
            </w:r>
            <w:r w:rsidRPr="009E54AC">
              <w:rPr>
                <w:rFonts w:hint="cs"/>
                <w:b w:val="0"/>
                <w:bCs w:val="0"/>
                <w:noProof w:val="0"/>
                <w:rtl/>
              </w:rPr>
              <w:t>מעמיק</w:t>
            </w:r>
            <w:r w:rsidRPr="009E54AC">
              <w:rPr>
                <w:b w:val="0"/>
                <w:bCs w:val="0"/>
                <w:noProof w:val="0"/>
                <w:rtl/>
              </w:rPr>
              <w:t xml:space="preserve"> דיו </w:t>
            </w:r>
            <w:r w:rsidRPr="009E54AC">
              <w:rPr>
                <w:rFonts w:hint="cs"/>
                <w:b w:val="0"/>
                <w:bCs w:val="0"/>
                <w:noProof w:val="0"/>
                <w:rtl/>
              </w:rPr>
              <w:t>על הלוואות מטעם גופים אלו</w:t>
            </w:r>
            <w:r w:rsidRPr="009E54AC">
              <w:rPr>
                <w:b w:val="0"/>
                <w:bCs w:val="0"/>
                <w:noProof w:val="0"/>
                <w:rtl/>
              </w:rPr>
              <w:t>.</w:t>
            </w:r>
          </w:p>
          <w:p w:rsidR="009E54AC" w:rsidRPr="009E54AC" w:rsidP="00FB46AA">
            <w:pPr>
              <w:pStyle w:val="takzir"/>
              <w:ind w:left="340" w:hanging="340"/>
              <w:rPr>
                <w:b w:val="0"/>
                <w:bCs w:val="0"/>
                <w:noProof w:val="0"/>
                <w:rtl/>
              </w:rPr>
            </w:pPr>
            <w:r>
              <w:rPr>
                <w:rFonts w:hint="cs"/>
                <w:b w:val="0"/>
                <w:bCs w:val="0"/>
                <w:noProof w:val="0"/>
                <w:rtl/>
              </w:rPr>
              <w:t>4.</w:t>
            </w:r>
            <w:r>
              <w:rPr>
                <w:b w:val="0"/>
                <w:bCs w:val="0"/>
                <w:noProof w:val="0"/>
                <w:rtl/>
              </w:rPr>
              <w:tab/>
            </w:r>
            <w:r w:rsidRPr="009E54AC">
              <w:rPr>
                <w:rFonts w:hint="cs"/>
                <w:b w:val="0"/>
                <w:bCs w:val="0"/>
                <w:noProof w:val="0"/>
                <w:rtl/>
              </w:rPr>
              <w:t xml:space="preserve">אף </w:t>
            </w:r>
            <w:r w:rsidRPr="009E54AC">
              <w:rPr>
                <w:rFonts w:hint="cs"/>
                <w:b w:val="0"/>
                <w:bCs w:val="0"/>
                <w:noProof w:val="0"/>
                <w:rtl/>
              </w:rPr>
              <w:t>שהלמ"ס</w:t>
            </w:r>
            <w:r w:rsidRPr="009E54AC">
              <w:rPr>
                <w:rFonts w:hint="cs"/>
                <w:b w:val="0"/>
                <w:bCs w:val="0"/>
                <w:noProof w:val="0"/>
                <w:rtl/>
              </w:rPr>
              <w:t xml:space="preserve"> ביצעה מבחן מקדים לסקר ייעודי לאיסוף נתונים על חיסכון ועושר (וחובות) של משקי הבית, העניין לא קודם, וכיום </w:t>
            </w:r>
            <w:r w:rsidRPr="009E54AC">
              <w:rPr>
                <w:rFonts w:hint="cs"/>
                <w:b w:val="0"/>
                <w:bCs w:val="0"/>
                <w:noProof w:val="0"/>
                <w:rtl/>
              </w:rPr>
              <w:t>הלמ"ס</w:t>
            </w:r>
            <w:r w:rsidRPr="009E54AC">
              <w:rPr>
                <w:rFonts w:hint="cs"/>
                <w:b w:val="0"/>
                <w:bCs w:val="0"/>
                <w:noProof w:val="0"/>
                <w:rtl/>
              </w:rPr>
              <w:t xml:space="preserve"> אינה אוספת נתונים על חובות משקי הבית.</w:t>
            </w:r>
          </w:p>
        </w:tc>
      </w:tr>
    </w:tbl>
    <w:p w:rsidR="009E54AC" w:rsidP="00FB46A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214D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E54AC" w:rsidP="00FB46AA">
            <w:pPr>
              <w:pStyle w:val="KOT5"/>
              <w:spacing w:before="120"/>
              <w:jc w:val="center"/>
              <w:rPr>
                <w:sz w:val="24"/>
                <w:szCs w:val="24"/>
                <w:rtl/>
              </w:rPr>
            </w:pPr>
            <w:r w:rsidRPr="009E54AC">
              <w:rPr>
                <w:rFonts w:hint="cs"/>
                <w:sz w:val="24"/>
                <w:szCs w:val="24"/>
                <w:rtl/>
              </w:rPr>
              <w:t xml:space="preserve">טרם יושמו חלק מהמלצות הצוות לבחינת הגברת התחרותיות </w:t>
            </w:r>
            <w:r>
              <w:rPr>
                <w:sz w:val="24"/>
                <w:szCs w:val="24"/>
                <w:rtl/>
              </w:rPr>
              <w:br/>
            </w:r>
            <w:r w:rsidRPr="009E54AC">
              <w:rPr>
                <w:rFonts w:hint="cs"/>
                <w:sz w:val="24"/>
                <w:szCs w:val="24"/>
                <w:rtl/>
              </w:rPr>
              <w:t>בענף הבנקאות</w:t>
            </w:r>
          </w:p>
        </w:tc>
      </w:tr>
      <w:tr w:rsidTr="004214D8">
        <w:tblPrEx>
          <w:tblW w:w="6691" w:type="dxa"/>
          <w:jc w:val="center"/>
          <w:tblLook w:val="04A0"/>
        </w:tblPrEx>
        <w:trPr>
          <w:cantSplit/>
          <w:jc w:val="center"/>
        </w:trPr>
        <w:tc>
          <w:tcPr>
            <w:tcW w:w="6691" w:type="dxa"/>
          </w:tcPr>
          <w:p w:rsidR="009E54AC" w:rsidRPr="009E54AC" w:rsidP="00FB46AA">
            <w:pPr>
              <w:pStyle w:val="takzir"/>
              <w:spacing w:before="60"/>
              <w:rPr>
                <w:b w:val="0"/>
                <w:bCs w:val="0"/>
                <w:noProof w:val="0"/>
                <w:rtl/>
              </w:rPr>
            </w:pPr>
            <w:r w:rsidRPr="009E54AC">
              <w:rPr>
                <w:b w:val="0"/>
                <w:bCs w:val="0"/>
                <w:noProof w:val="0"/>
                <w:rtl/>
              </w:rPr>
              <w:t xml:space="preserve">טרם הושלם הליך תיקון החקיקה </w:t>
            </w:r>
            <w:r w:rsidRPr="009E54AC">
              <w:rPr>
                <w:rFonts w:hint="cs"/>
                <w:b w:val="0"/>
                <w:bCs w:val="0"/>
                <w:noProof w:val="0"/>
                <w:rtl/>
              </w:rPr>
              <w:t>שיאפשר ליישם את המלצת ועדת זקן</w:t>
            </w:r>
            <w:r w:rsidRPr="009E54AC">
              <w:rPr>
                <w:b w:val="0"/>
                <w:bCs w:val="0"/>
                <w:noProof w:val="0"/>
                <w:rtl/>
              </w:rPr>
              <w:t xml:space="preserve"> </w:t>
            </w:r>
            <w:r w:rsidRPr="009E54AC">
              <w:rPr>
                <w:rFonts w:hint="cs"/>
                <w:b w:val="0"/>
                <w:bCs w:val="0"/>
                <w:noProof w:val="0"/>
                <w:rtl/>
              </w:rPr>
              <w:t>בדבר</w:t>
            </w:r>
            <w:r w:rsidRPr="009E54AC">
              <w:rPr>
                <w:b w:val="0"/>
                <w:bCs w:val="0"/>
                <w:noProof w:val="0"/>
                <w:rtl/>
              </w:rPr>
              <w:t xml:space="preserve"> </w:t>
            </w:r>
            <w:r w:rsidRPr="009E54AC">
              <w:rPr>
                <w:rFonts w:hint="cs"/>
                <w:b w:val="0"/>
                <w:bCs w:val="0"/>
                <w:noProof w:val="0"/>
                <w:rtl/>
              </w:rPr>
              <w:t>חובת התאגידים הבנקאיים לפרסם את שיעורי הריבית בפועל על אשראי.</w:t>
            </w:r>
            <w:r w:rsidRPr="009E54AC">
              <w:rPr>
                <w:b w:val="0"/>
                <w:bCs w:val="0"/>
                <w:noProof w:val="0"/>
                <w:rtl/>
              </w:rPr>
              <w:t xml:space="preserve"> </w:t>
            </w:r>
            <w:r w:rsidRPr="009E54AC">
              <w:rPr>
                <w:rFonts w:hint="cs"/>
                <w:b w:val="0"/>
                <w:bCs w:val="0"/>
                <w:noProof w:val="0"/>
                <w:rtl/>
              </w:rPr>
              <w:t>המלצה זו נועדה להגביר את יכולתו של הלקוח להשוות בין הצעות האשראי של התאגידים הבנקאיים.</w:t>
            </w:r>
          </w:p>
          <w:p w:rsidR="009E54AC" w:rsidP="00FB46AA">
            <w:pPr>
              <w:pStyle w:val="takzir"/>
              <w:rPr>
                <w:b w:val="0"/>
                <w:bCs w:val="0"/>
                <w:noProof w:val="0"/>
                <w:rtl/>
              </w:rPr>
            </w:pPr>
            <w:r w:rsidRPr="009E54AC">
              <w:rPr>
                <w:rFonts w:hint="cs"/>
                <w:b w:val="0"/>
                <w:bCs w:val="0"/>
                <w:noProof w:val="0"/>
                <w:rtl/>
              </w:rPr>
              <w:t xml:space="preserve">בנק ישראל ומשרד המשפטים </w:t>
            </w:r>
            <w:r w:rsidRPr="009E54AC">
              <w:rPr>
                <w:b w:val="0"/>
                <w:bCs w:val="0"/>
                <w:noProof w:val="0"/>
                <w:rtl/>
              </w:rPr>
              <w:t xml:space="preserve">טרם </w:t>
            </w:r>
            <w:r w:rsidRPr="009E54AC">
              <w:rPr>
                <w:rFonts w:hint="cs"/>
                <w:b w:val="0"/>
                <w:bCs w:val="0"/>
                <w:noProof w:val="0"/>
                <w:rtl/>
              </w:rPr>
              <w:t xml:space="preserve">גיבשו את </w:t>
            </w:r>
            <w:r w:rsidRPr="009E54AC">
              <w:rPr>
                <w:b w:val="0"/>
                <w:bCs w:val="0"/>
                <w:noProof w:val="0"/>
                <w:rtl/>
              </w:rPr>
              <w:t xml:space="preserve">הצעדים המשלימים שיבטיחו הגנה על המידע של הלקוחות. טרם ניתנה הוראת המפקח </w:t>
            </w:r>
            <w:r w:rsidRPr="009E54AC">
              <w:rPr>
                <w:rFonts w:hint="cs"/>
                <w:b w:val="0"/>
                <w:bCs w:val="0"/>
                <w:noProof w:val="0"/>
                <w:rtl/>
              </w:rPr>
              <w:t xml:space="preserve">על הבנקים </w:t>
            </w:r>
            <w:r w:rsidRPr="009E54AC">
              <w:rPr>
                <w:b w:val="0"/>
                <w:bCs w:val="0"/>
                <w:noProof w:val="0"/>
                <w:rtl/>
              </w:rPr>
              <w:t>שתאפשר ללקוחות לקבל את דירוג האשראי הפנימי שלהם בתאגיד הבנקאי כחלק מתעודת הזהות הבנקאית.</w:t>
            </w:r>
            <w:r w:rsidRPr="009E54AC">
              <w:rPr>
                <w:rFonts w:hint="cs"/>
                <w:b w:val="0"/>
                <w:bCs w:val="0"/>
                <w:noProof w:val="0"/>
                <w:rtl/>
              </w:rPr>
              <w:t xml:space="preserve"> </w:t>
            </w:r>
            <w:r w:rsidRPr="009E54AC">
              <w:rPr>
                <w:b w:val="0"/>
                <w:bCs w:val="0"/>
                <w:noProof w:val="0"/>
                <w:rtl/>
              </w:rPr>
              <w:t xml:space="preserve">המלצות </w:t>
            </w:r>
            <w:r w:rsidRPr="009E54AC">
              <w:rPr>
                <w:rFonts w:hint="cs"/>
                <w:b w:val="0"/>
                <w:bCs w:val="0"/>
                <w:noProof w:val="0"/>
                <w:rtl/>
              </w:rPr>
              <w:t>ועדת זקן</w:t>
            </w:r>
            <w:r w:rsidRPr="009E54AC">
              <w:rPr>
                <w:b w:val="0"/>
                <w:bCs w:val="0"/>
                <w:noProof w:val="0"/>
                <w:rtl/>
              </w:rPr>
              <w:t xml:space="preserve"> </w:t>
            </w:r>
            <w:r w:rsidRPr="009E54AC">
              <w:rPr>
                <w:rFonts w:hint="cs"/>
                <w:b w:val="0"/>
                <w:bCs w:val="0"/>
                <w:noProof w:val="0"/>
                <w:rtl/>
              </w:rPr>
              <w:t>בנוגע</w:t>
            </w:r>
            <w:r w:rsidRPr="009E54AC">
              <w:rPr>
                <w:b w:val="0"/>
                <w:bCs w:val="0"/>
                <w:noProof w:val="0"/>
                <w:rtl/>
              </w:rPr>
              <w:t xml:space="preserve"> </w:t>
            </w:r>
            <w:r w:rsidRPr="009E54AC">
              <w:rPr>
                <w:rFonts w:hint="cs"/>
                <w:b w:val="0"/>
                <w:bCs w:val="0"/>
                <w:noProof w:val="0"/>
                <w:rtl/>
              </w:rPr>
              <w:t>ל</w:t>
            </w:r>
            <w:r w:rsidRPr="009E54AC">
              <w:rPr>
                <w:b w:val="0"/>
                <w:bCs w:val="0"/>
                <w:noProof w:val="0"/>
                <w:rtl/>
              </w:rPr>
              <w:t xml:space="preserve">הרחבת המידע </w:t>
            </w:r>
            <w:r w:rsidRPr="009E54AC">
              <w:rPr>
                <w:rFonts w:hint="cs"/>
                <w:b w:val="0"/>
                <w:bCs w:val="0"/>
                <w:noProof w:val="0"/>
                <w:rtl/>
              </w:rPr>
              <w:t>על לווים</w:t>
            </w:r>
            <w:r w:rsidRPr="009E54AC">
              <w:rPr>
                <w:b w:val="0"/>
                <w:bCs w:val="0"/>
                <w:noProof w:val="0"/>
                <w:rtl/>
              </w:rPr>
              <w:t xml:space="preserve"> בלשכות האשראי לא קודמו מאז פורסמו במרץ 2013</w:t>
            </w:r>
            <w:r w:rsidRPr="009E54AC">
              <w:rPr>
                <w:rFonts w:hint="cs"/>
                <w:b w:val="0"/>
                <w:bCs w:val="0"/>
                <w:noProof w:val="0"/>
                <w:rtl/>
              </w:rPr>
              <w:t>.</w:t>
            </w:r>
          </w:p>
        </w:tc>
      </w:tr>
    </w:tbl>
    <w:p w:rsidR="009E54AC" w:rsidP="00FB46A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214D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E54AC" w:rsidRPr="009E54AC" w:rsidP="00FB46AA">
            <w:pPr>
              <w:pStyle w:val="KOT5"/>
              <w:spacing w:before="120"/>
              <w:jc w:val="center"/>
              <w:rPr>
                <w:sz w:val="24"/>
                <w:szCs w:val="24"/>
                <w:rtl/>
              </w:rPr>
            </w:pPr>
            <w:r w:rsidRPr="009E54AC">
              <w:rPr>
                <w:rFonts w:hint="cs"/>
                <w:sz w:val="24"/>
                <w:szCs w:val="24"/>
                <w:rtl/>
              </w:rPr>
              <w:t>תחום הפרסום והשיווק של מוצרי אשראי למשקי בית אינו מוסדר</w:t>
            </w:r>
          </w:p>
        </w:tc>
      </w:tr>
      <w:tr w:rsidTr="004214D8">
        <w:tblPrEx>
          <w:tblW w:w="6691" w:type="dxa"/>
          <w:jc w:val="center"/>
          <w:tblLook w:val="04A0"/>
        </w:tblPrEx>
        <w:trPr>
          <w:cantSplit/>
          <w:jc w:val="center"/>
        </w:trPr>
        <w:tc>
          <w:tcPr>
            <w:tcW w:w="6691" w:type="dxa"/>
          </w:tcPr>
          <w:p w:rsidR="009E54AC" w:rsidRPr="009E54AC" w:rsidP="00FB46AA">
            <w:pPr>
              <w:pStyle w:val="takzir"/>
              <w:spacing w:before="60"/>
              <w:rPr>
                <w:b w:val="0"/>
                <w:bCs w:val="0"/>
                <w:noProof w:val="0"/>
                <w:rtl/>
              </w:rPr>
            </w:pPr>
            <w:r w:rsidRPr="009E54AC">
              <w:rPr>
                <w:b w:val="0"/>
                <w:bCs w:val="0"/>
                <w:noProof w:val="0"/>
                <w:rtl/>
              </w:rPr>
              <w:t>אין בבנק ישראל הנחיות</w:t>
            </w:r>
            <w:r w:rsidRPr="009E54AC">
              <w:rPr>
                <w:rFonts w:hint="cs"/>
                <w:b w:val="0"/>
                <w:bCs w:val="0"/>
                <w:noProof w:val="0"/>
                <w:rtl/>
              </w:rPr>
              <w:t xml:space="preserve"> </w:t>
            </w:r>
            <w:r w:rsidRPr="009E54AC">
              <w:rPr>
                <w:b w:val="0"/>
                <w:bCs w:val="0"/>
                <w:noProof w:val="0"/>
                <w:rtl/>
              </w:rPr>
              <w:t>לתאגידים הבנקאיים</w:t>
            </w:r>
            <w:r>
              <w:rPr>
                <w:b w:val="0"/>
                <w:bCs w:val="0"/>
                <w:noProof w:val="0"/>
                <w:vertAlign w:val="superscript"/>
                <w:rtl/>
              </w:rPr>
              <w:footnoteReference w:id="4"/>
            </w:r>
            <w:r w:rsidRPr="009E54AC">
              <w:rPr>
                <w:rFonts w:hint="cs"/>
                <w:b w:val="0"/>
                <w:bCs w:val="0"/>
                <w:noProof w:val="0"/>
                <w:rtl/>
              </w:rPr>
              <w:t xml:space="preserve"> </w:t>
            </w:r>
            <w:r w:rsidRPr="009E54AC">
              <w:rPr>
                <w:b w:val="0"/>
                <w:bCs w:val="0"/>
                <w:noProof w:val="0"/>
                <w:rtl/>
              </w:rPr>
              <w:t xml:space="preserve">בדבר פרסום אשראי </w:t>
            </w:r>
            <w:r w:rsidRPr="009E54AC">
              <w:rPr>
                <w:rFonts w:hint="cs"/>
                <w:b w:val="0"/>
                <w:bCs w:val="0"/>
                <w:noProof w:val="0"/>
                <w:rtl/>
              </w:rPr>
              <w:t>למשקי בית</w:t>
            </w:r>
            <w:r w:rsidRPr="009E54AC">
              <w:rPr>
                <w:b w:val="0"/>
                <w:bCs w:val="0"/>
                <w:noProof w:val="0"/>
                <w:rtl/>
              </w:rPr>
              <w:t xml:space="preserve"> - לא בנוגע לתוכן הפרסום של הלוואות ולא בנוגע לאופן </w:t>
            </w:r>
            <w:r w:rsidRPr="009E54AC">
              <w:rPr>
                <w:rFonts w:hint="cs"/>
                <w:b w:val="0"/>
                <w:bCs w:val="0"/>
                <w:noProof w:val="0"/>
                <w:rtl/>
              </w:rPr>
              <w:t>פרסומן</w:t>
            </w:r>
            <w:r w:rsidRPr="009E54AC">
              <w:rPr>
                <w:b w:val="0"/>
                <w:bCs w:val="0"/>
                <w:noProof w:val="0"/>
                <w:rtl/>
              </w:rPr>
              <w:t xml:space="preserve"> בערוצי התקשורת.</w:t>
            </w:r>
          </w:p>
          <w:p w:rsidR="009E54AC" w:rsidRPr="009E54AC" w:rsidP="00FB46AA">
            <w:pPr>
              <w:pStyle w:val="takzir"/>
              <w:rPr>
                <w:b w:val="0"/>
                <w:bCs w:val="0"/>
                <w:noProof w:val="0"/>
                <w:rtl/>
              </w:rPr>
            </w:pPr>
            <w:r w:rsidRPr="009E54AC">
              <w:rPr>
                <w:b w:val="0"/>
                <w:bCs w:val="0"/>
                <w:noProof w:val="0"/>
                <w:rtl/>
              </w:rPr>
              <w:t xml:space="preserve">אין </w:t>
            </w:r>
            <w:r w:rsidRPr="009E54AC">
              <w:rPr>
                <w:rFonts w:hint="cs"/>
                <w:b w:val="0"/>
                <w:bCs w:val="0"/>
                <w:noProof w:val="0"/>
                <w:rtl/>
              </w:rPr>
              <w:t xml:space="preserve">גם </w:t>
            </w:r>
            <w:r w:rsidRPr="009E54AC">
              <w:rPr>
                <w:b w:val="0"/>
                <w:bCs w:val="0"/>
                <w:noProof w:val="0"/>
                <w:rtl/>
              </w:rPr>
              <w:t>הנחיות בנוגע ל</w:t>
            </w:r>
            <w:r w:rsidRPr="009E54AC">
              <w:rPr>
                <w:rFonts w:hint="cs"/>
                <w:b w:val="0"/>
                <w:bCs w:val="0"/>
                <w:noProof w:val="0"/>
                <w:rtl/>
              </w:rPr>
              <w:t>מניעת הטעיה ב</w:t>
            </w:r>
            <w:r w:rsidRPr="009E54AC">
              <w:rPr>
                <w:b w:val="0"/>
                <w:bCs w:val="0"/>
                <w:noProof w:val="0"/>
                <w:rtl/>
              </w:rPr>
              <w:t>פרסום ושיווק של הלוואות</w:t>
            </w:r>
            <w:r w:rsidRPr="009E54AC">
              <w:rPr>
                <w:rFonts w:hint="cs"/>
                <w:b w:val="0"/>
                <w:bCs w:val="0"/>
                <w:noProof w:val="0"/>
                <w:rtl/>
              </w:rPr>
              <w:t xml:space="preserve"> חוץ-בנקאיות</w:t>
            </w:r>
            <w:r w:rsidRPr="009E54AC">
              <w:rPr>
                <w:b w:val="0"/>
                <w:bCs w:val="0"/>
                <w:noProof w:val="0"/>
                <w:rtl/>
              </w:rPr>
              <w:t xml:space="preserve"> </w:t>
            </w:r>
            <w:r w:rsidRPr="009E54AC">
              <w:rPr>
                <w:rFonts w:hint="cs"/>
                <w:b w:val="0"/>
                <w:bCs w:val="0"/>
                <w:noProof w:val="0"/>
                <w:rtl/>
              </w:rPr>
              <w:t>מטעם</w:t>
            </w:r>
            <w:r w:rsidRPr="009E54AC">
              <w:rPr>
                <w:b w:val="0"/>
                <w:bCs w:val="0"/>
                <w:noProof w:val="0"/>
                <w:rtl/>
              </w:rPr>
              <w:t xml:space="preserve"> חברות פרטיות, </w:t>
            </w:r>
            <w:r w:rsidRPr="009E54AC">
              <w:rPr>
                <w:rFonts w:hint="cs"/>
                <w:b w:val="0"/>
                <w:bCs w:val="0"/>
                <w:noProof w:val="0"/>
                <w:rtl/>
              </w:rPr>
              <w:t>ובכלל זה</w:t>
            </w:r>
            <w:r w:rsidRPr="009E54AC">
              <w:rPr>
                <w:b w:val="0"/>
                <w:bCs w:val="0"/>
                <w:noProof w:val="0"/>
                <w:rtl/>
              </w:rPr>
              <w:t xml:space="preserve"> הלוואות של </w:t>
            </w:r>
            <w:r w:rsidRPr="009E54AC">
              <w:rPr>
                <w:b w:val="0"/>
                <w:bCs w:val="0"/>
                <w:noProof w:val="0"/>
                <w:rtl/>
              </w:rPr>
              <w:t>נ</w:t>
            </w:r>
            <w:r w:rsidRPr="009E54AC">
              <w:rPr>
                <w:rFonts w:hint="cs"/>
                <w:b w:val="0"/>
                <w:bCs w:val="0"/>
                <w:noProof w:val="0"/>
                <w:rtl/>
              </w:rPr>
              <w:t>ש"ם</w:t>
            </w:r>
            <w:r w:rsidRPr="009E54AC">
              <w:rPr>
                <w:rFonts w:hint="cs"/>
                <w:b w:val="0"/>
                <w:bCs w:val="0"/>
                <w:noProof w:val="0"/>
                <w:rtl/>
              </w:rPr>
              <w:t>.</w:t>
            </w:r>
            <w:r w:rsidRPr="009E54AC">
              <w:rPr>
                <w:b w:val="0"/>
                <w:bCs w:val="0"/>
                <w:noProof w:val="0"/>
                <w:rtl/>
              </w:rPr>
              <w:t xml:space="preserve"> נמצא כי בפרסומים רבים מציינות החברות </w:t>
            </w:r>
            <w:r w:rsidRPr="009E54AC">
              <w:rPr>
                <w:rFonts w:hint="cs"/>
                <w:b w:val="0"/>
                <w:bCs w:val="0"/>
                <w:noProof w:val="0"/>
                <w:rtl/>
              </w:rPr>
              <w:t>לצד הצעת</w:t>
            </w:r>
            <w:r w:rsidRPr="009E54AC">
              <w:rPr>
                <w:b w:val="0"/>
                <w:bCs w:val="0"/>
                <w:noProof w:val="0"/>
                <w:rtl/>
              </w:rPr>
              <w:t xml:space="preserve"> ההלוואה את הביטויים "ברישיון משרד האוצר" או "באישור משרד האוצר"</w:t>
            </w:r>
            <w:r w:rsidRPr="009E54AC">
              <w:rPr>
                <w:rFonts w:hint="cs"/>
                <w:b w:val="0"/>
                <w:bCs w:val="0"/>
                <w:noProof w:val="0"/>
                <w:rtl/>
              </w:rPr>
              <w:t>,</w:t>
            </w:r>
            <w:r w:rsidRPr="009E54AC">
              <w:rPr>
                <w:b w:val="0"/>
                <w:bCs w:val="0"/>
                <w:noProof w:val="0"/>
                <w:rtl/>
              </w:rPr>
              <w:t xml:space="preserve"> בדרך שעלול להשתמע ממנה כי </w:t>
            </w:r>
            <w:r w:rsidRPr="009E54AC">
              <w:rPr>
                <w:rFonts w:hint="cs"/>
                <w:b w:val="0"/>
                <w:bCs w:val="0"/>
                <w:noProof w:val="0"/>
                <w:rtl/>
              </w:rPr>
              <w:t xml:space="preserve">המשרד מפקח על </w:t>
            </w:r>
            <w:r w:rsidRPr="009E54AC">
              <w:rPr>
                <w:b w:val="0"/>
                <w:bCs w:val="0"/>
                <w:noProof w:val="0"/>
                <w:rtl/>
              </w:rPr>
              <w:t>תהליך מתן ההלוואות.</w:t>
            </w:r>
          </w:p>
        </w:tc>
      </w:tr>
    </w:tbl>
    <w:p w:rsidR="009E54AC" w:rsidP="00FB46A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214D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E54AC" w:rsidP="00FB46AA">
            <w:pPr>
              <w:pStyle w:val="KOT5"/>
              <w:spacing w:before="120"/>
              <w:jc w:val="center"/>
              <w:rPr>
                <w:sz w:val="24"/>
                <w:szCs w:val="24"/>
                <w:rtl/>
              </w:rPr>
            </w:pPr>
            <w:r w:rsidRPr="009E54AC">
              <w:rPr>
                <w:sz w:val="24"/>
                <w:szCs w:val="24"/>
                <w:rtl/>
              </w:rPr>
              <w:t xml:space="preserve">חסרות הוראות </w:t>
            </w:r>
            <w:r w:rsidRPr="009E54AC">
              <w:rPr>
                <w:rFonts w:hint="cs"/>
                <w:sz w:val="24"/>
                <w:szCs w:val="24"/>
                <w:rtl/>
              </w:rPr>
              <w:t>הנוגעות לגילוי נאות ללקוח בעת לקיחת הלוואה מהבנק</w:t>
            </w:r>
          </w:p>
        </w:tc>
      </w:tr>
      <w:tr w:rsidTr="004214D8">
        <w:tblPrEx>
          <w:tblW w:w="6691" w:type="dxa"/>
          <w:jc w:val="center"/>
          <w:tblLook w:val="04A0"/>
        </w:tblPrEx>
        <w:trPr>
          <w:cantSplit/>
          <w:jc w:val="center"/>
        </w:trPr>
        <w:tc>
          <w:tcPr>
            <w:tcW w:w="6691" w:type="dxa"/>
          </w:tcPr>
          <w:p w:rsidR="009E54AC" w:rsidRPr="009E54AC" w:rsidP="00FB46AA">
            <w:pPr>
              <w:pStyle w:val="takzir"/>
              <w:spacing w:before="60"/>
              <w:rPr>
                <w:b w:val="0"/>
                <w:bCs w:val="0"/>
                <w:noProof w:val="0"/>
                <w:rtl/>
              </w:rPr>
            </w:pPr>
            <w:r w:rsidRPr="009E54AC">
              <w:rPr>
                <w:rFonts w:hint="cs"/>
                <w:b w:val="0"/>
                <w:bCs w:val="0"/>
                <w:noProof w:val="0"/>
                <w:rtl/>
              </w:rPr>
              <w:t xml:space="preserve">בחטיבת הפיקוח על הבנקים בבנק ישראל </w:t>
            </w:r>
            <w:r w:rsidRPr="009E54AC">
              <w:rPr>
                <w:b w:val="0"/>
                <w:bCs w:val="0"/>
                <w:noProof w:val="0"/>
                <w:rtl/>
              </w:rPr>
              <w:t xml:space="preserve">אין הוראה </w:t>
            </w:r>
            <w:r w:rsidRPr="009E54AC">
              <w:rPr>
                <w:rFonts w:hint="cs"/>
                <w:b w:val="0"/>
                <w:bCs w:val="0"/>
                <w:noProof w:val="0"/>
                <w:rtl/>
              </w:rPr>
              <w:t xml:space="preserve">המחייבת את התאגידים הבנקאיים לתת ללקוח, בעת מתן האשראי, </w:t>
            </w:r>
            <w:r w:rsidRPr="009E54AC">
              <w:rPr>
                <w:b w:val="0"/>
                <w:bCs w:val="0"/>
                <w:noProof w:val="0"/>
                <w:rtl/>
              </w:rPr>
              <w:t>תחזיות של הרמה שאליה עלול להגיע ההחזר החודשי בהלוואות בריבית משתנה במקרה של עלייה בריבית</w:t>
            </w:r>
            <w:r w:rsidRPr="009E54AC">
              <w:rPr>
                <w:rFonts w:hint="cs"/>
                <w:b w:val="0"/>
                <w:bCs w:val="0"/>
                <w:noProof w:val="0"/>
                <w:rtl/>
              </w:rPr>
              <w:t xml:space="preserve"> - בפרט לגבי הלוואות בסכומים גבוהים - וכן מידע בדבר ריבית פיגורים שיגבו. </w:t>
            </w:r>
          </w:p>
        </w:tc>
      </w:tr>
    </w:tbl>
    <w:p w:rsidR="009E54AC" w:rsidP="00FB46A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214D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E54AC" w:rsidP="00FB46AA">
            <w:pPr>
              <w:pStyle w:val="KOT5"/>
              <w:spacing w:before="120"/>
              <w:jc w:val="center"/>
              <w:rPr>
                <w:sz w:val="24"/>
                <w:szCs w:val="24"/>
                <w:rtl/>
              </w:rPr>
            </w:pPr>
            <w:r w:rsidRPr="009E54AC">
              <w:rPr>
                <w:rFonts w:hint="cs"/>
                <w:sz w:val="24"/>
                <w:szCs w:val="24"/>
                <w:rtl/>
              </w:rPr>
              <w:t xml:space="preserve">טרם </w:t>
            </w:r>
            <w:r w:rsidRPr="009E54AC">
              <w:rPr>
                <w:sz w:val="24"/>
                <w:szCs w:val="24"/>
                <w:rtl/>
              </w:rPr>
              <w:t>יושמו חלק מההמלצות</w:t>
            </w:r>
            <w:r w:rsidRPr="009E54AC">
              <w:rPr>
                <w:rFonts w:hint="cs"/>
                <w:sz w:val="24"/>
                <w:szCs w:val="24"/>
                <w:rtl/>
              </w:rPr>
              <w:t xml:space="preserve"> שהועלו בדוח 60ב</w:t>
            </w:r>
          </w:p>
        </w:tc>
      </w:tr>
      <w:tr w:rsidTr="004214D8">
        <w:tblPrEx>
          <w:tblW w:w="6691" w:type="dxa"/>
          <w:jc w:val="center"/>
          <w:tblLook w:val="04A0"/>
        </w:tblPrEx>
        <w:trPr>
          <w:cantSplit/>
          <w:jc w:val="center"/>
        </w:trPr>
        <w:tc>
          <w:tcPr>
            <w:tcW w:w="6691" w:type="dxa"/>
          </w:tcPr>
          <w:p w:rsidR="009E54AC" w:rsidP="00FB46AA">
            <w:pPr>
              <w:pStyle w:val="takzir"/>
              <w:spacing w:before="60"/>
              <w:rPr>
                <w:b w:val="0"/>
                <w:bCs w:val="0"/>
                <w:noProof w:val="0"/>
                <w:rtl/>
              </w:rPr>
            </w:pPr>
            <w:r w:rsidRPr="009E54AC">
              <w:rPr>
                <w:b w:val="0"/>
                <w:bCs w:val="0"/>
                <w:noProof w:val="0"/>
                <w:rtl/>
              </w:rPr>
              <w:t>בביקורת שע</w:t>
            </w:r>
            <w:r w:rsidRPr="009E54AC">
              <w:rPr>
                <w:rFonts w:hint="cs"/>
                <w:b w:val="0"/>
                <w:bCs w:val="0"/>
                <w:noProof w:val="0"/>
                <w:rtl/>
              </w:rPr>
              <w:t>שה</w:t>
            </w:r>
            <w:r w:rsidRPr="009E54AC">
              <w:rPr>
                <w:b w:val="0"/>
                <w:bCs w:val="0"/>
                <w:noProof w:val="0"/>
                <w:rtl/>
              </w:rPr>
              <w:t xml:space="preserve"> משרד מבקר המדינה בשנת 2009 נמצאו ליקויים רבים בפיקוח על </w:t>
            </w:r>
            <w:r w:rsidRPr="009E54AC">
              <w:rPr>
                <w:rFonts w:hint="cs"/>
                <w:b w:val="0"/>
                <w:bCs w:val="0"/>
                <w:noProof w:val="0"/>
                <w:rtl/>
              </w:rPr>
              <w:t>נש"ם</w:t>
            </w:r>
            <w:r w:rsidRPr="009E54AC">
              <w:rPr>
                <w:b w:val="0"/>
                <w:bCs w:val="0"/>
                <w:noProof w:val="0"/>
                <w:rtl/>
              </w:rPr>
              <w:t xml:space="preserve">. </w:t>
            </w:r>
            <w:r w:rsidRPr="009E54AC">
              <w:rPr>
                <w:rFonts w:hint="cs"/>
                <w:b w:val="0"/>
                <w:bCs w:val="0"/>
                <w:noProof w:val="0"/>
                <w:rtl/>
              </w:rPr>
              <w:t xml:space="preserve">נמצא שחלק ניכר מהליקויים </w:t>
            </w:r>
            <w:r w:rsidRPr="009E54AC">
              <w:rPr>
                <w:b w:val="0"/>
                <w:bCs w:val="0"/>
                <w:noProof w:val="0"/>
                <w:rtl/>
              </w:rPr>
              <w:t xml:space="preserve">שהועלו טרם </w:t>
            </w:r>
            <w:r w:rsidRPr="009E54AC">
              <w:rPr>
                <w:rFonts w:hint="cs"/>
                <w:b w:val="0"/>
                <w:bCs w:val="0"/>
                <w:noProof w:val="0"/>
                <w:rtl/>
              </w:rPr>
              <w:t>תוקנו.</w:t>
            </w:r>
          </w:p>
        </w:tc>
      </w:tr>
    </w:tbl>
    <w:p w:rsidR="009E54AC" w:rsidP="00FB46A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214D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E54AC" w:rsidP="00FB46AA">
            <w:pPr>
              <w:pStyle w:val="KOT5"/>
              <w:spacing w:before="120"/>
              <w:jc w:val="center"/>
              <w:rPr>
                <w:sz w:val="24"/>
                <w:szCs w:val="24"/>
                <w:rtl/>
              </w:rPr>
            </w:pPr>
            <w:r w:rsidRPr="009E54AC">
              <w:rPr>
                <w:rFonts w:hint="cs"/>
                <w:sz w:val="24"/>
                <w:szCs w:val="24"/>
                <w:rtl/>
              </w:rPr>
              <w:t>אין הנחיות המדגישות את ההבחנה בין הלוואות לפעולות ניכיון צ'קים</w:t>
            </w:r>
          </w:p>
        </w:tc>
      </w:tr>
      <w:tr w:rsidTr="004214D8">
        <w:tblPrEx>
          <w:tblW w:w="6691" w:type="dxa"/>
          <w:jc w:val="center"/>
          <w:tblLook w:val="04A0"/>
        </w:tblPrEx>
        <w:trPr>
          <w:cantSplit/>
          <w:jc w:val="center"/>
        </w:trPr>
        <w:tc>
          <w:tcPr>
            <w:tcW w:w="6691" w:type="dxa"/>
          </w:tcPr>
          <w:p w:rsidR="009E54AC" w:rsidRPr="009E54AC" w:rsidP="00FB46AA">
            <w:pPr>
              <w:pStyle w:val="takzir"/>
              <w:spacing w:before="60"/>
              <w:rPr>
                <w:b w:val="0"/>
                <w:bCs w:val="0"/>
                <w:noProof w:val="0"/>
                <w:rtl/>
              </w:rPr>
            </w:pPr>
            <w:r w:rsidRPr="009E54AC">
              <w:rPr>
                <w:b w:val="0"/>
                <w:bCs w:val="0"/>
                <w:noProof w:val="0"/>
                <w:rtl/>
              </w:rPr>
              <w:t xml:space="preserve">חרף המלצת </w:t>
            </w:r>
            <w:r w:rsidRPr="009E54AC">
              <w:rPr>
                <w:rFonts w:hint="cs"/>
                <w:b w:val="0"/>
                <w:bCs w:val="0"/>
                <w:noProof w:val="0"/>
                <w:rtl/>
              </w:rPr>
              <w:t>המשנה ל</w:t>
            </w:r>
            <w:r w:rsidRPr="009E54AC">
              <w:rPr>
                <w:b w:val="0"/>
                <w:bCs w:val="0"/>
                <w:noProof w:val="0"/>
                <w:rtl/>
              </w:rPr>
              <w:t xml:space="preserve">יועץ המשפטי לממשלה </w:t>
            </w:r>
            <w:r w:rsidRPr="009E54AC">
              <w:rPr>
                <w:rFonts w:hint="cs"/>
                <w:b w:val="0"/>
                <w:bCs w:val="0"/>
                <w:noProof w:val="0"/>
                <w:rtl/>
              </w:rPr>
              <w:t>מאפריל</w:t>
            </w:r>
            <w:r w:rsidRPr="009E54AC">
              <w:rPr>
                <w:b w:val="0"/>
                <w:bCs w:val="0"/>
                <w:noProof w:val="0"/>
                <w:rtl/>
              </w:rPr>
              <w:t xml:space="preserve"> 2013, טרם גיבשה יחידת </w:t>
            </w:r>
            <w:r w:rsidRPr="009E54AC">
              <w:rPr>
                <w:b w:val="0"/>
                <w:bCs w:val="0"/>
                <w:noProof w:val="0"/>
                <w:rtl/>
              </w:rPr>
              <w:t>נ</w:t>
            </w:r>
            <w:r w:rsidRPr="009E54AC">
              <w:rPr>
                <w:rFonts w:hint="cs"/>
                <w:b w:val="0"/>
                <w:bCs w:val="0"/>
                <w:noProof w:val="0"/>
                <w:rtl/>
              </w:rPr>
              <w:t>ש"ם</w:t>
            </w:r>
            <w:r w:rsidRPr="009E54AC">
              <w:rPr>
                <w:b w:val="0"/>
                <w:bCs w:val="0"/>
                <w:noProof w:val="0"/>
                <w:rtl/>
              </w:rPr>
              <w:t xml:space="preserve"> </w:t>
            </w:r>
            <w:r w:rsidRPr="009E54AC">
              <w:rPr>
                <w:rFonts w:hint="cs"/>
                <w:b w:val="0"/>
                <w:bCs w:val="0"/>
                <w:noProof w:val="0"/>
                <w:rtl/>
              </w:rPr>
              <w:t xml:space="preserve">באגף שוק ההון </w:t>
            </w:r>
            <w:r w:rsidRPr="009E54AC">
              <w:rPr>
                <w:b w:val="0"/>
                <w:bCs w:val="0"/>
                <w:noProof w:val="0"/>
                <w:rtl/>
              </w:rPr>
              <w:t>הנחיות ברורות המדגישות את ה</w:t>
            </w:r>
            <w:r w:rsidRPr="009E54AC">
              <w:rPr>
                <w:rFonts w:hint="cs"/>
                <w:b w:val="0"/>
                <w:bCs w:val="0"/>
                <w:noProof w:val="0"/>
                <w:rtl/>
              </w:rPr>
              <w:t>ה</w:t>
            </w:r>
            <w:r w:rsidRPr="009E54AC">
              <w:rPr>
                <w:b w:val="0"/>
                <w:bCs w:val="0"/>
                <w:noProof w:val="0"/>
                <w:rtl/>
              </w:rPr>
              <w:t xml:space="preserve">בחנה בין ניכיון </w:t>
            </w:r>
            <w:r w:rsidRPr="009E54AC">
              <w:rPr>
                <w:rFonts w:hint="cs"/>
                <w:b w:val="0"/>
                <w:bCs w:val="0"/>
                <w:noProof w:val="0"/>
                <w:rtl/>
              </w:rPr>
              <w:t>צ'ק, המחויב</w:t>
            </w:r>
            <w:r w:rsidRPr="009E54AC">
              <w:rPr>
                <w:b w:val="0"/>
                <w:bCs w:val="0"/>
                <w:noProof w:val="0"/>
                <w:rtl/>
              </w:rPr>
              <w:t xml:space="preserve"> </w:t>
            </w:r>
            <w:r w:rsidRPr="009E54AC">
              <w:rPr>
                <w:rFonts w:hint="cs"/>
                <w:b w:val="0"/>
                <w:bCs w:val="0"/>
                <w:noProof w:val="0"/>
                <w:rtl/>
              </w:rPr>
              <w:t>ב</w:t>
            </w:r>
            <w:r w:rsidRPr="009E54AC">
              <w:rPr>
                <w:b w:val="0"/>
                <w:bCs w:val="0"/>
                <w:noProof w:val="0"/>
                <w:rtl/>
              </w:rPr>
              <w:t>רישום ודיווח</w:t>
            </w:r>
            <w:r w:rsidRPr="009E54AC">
              <w:rPr>
                <w:rFonts w:hint="cs"/>
                <w:b w:val="0"/>
                <w:bCs w:val="0"/>
                <w:noProof w:val="0"/>
                <w:rtl/>
              </w:rPr>
              <w:t xml:space="preserve"> על פי חוק איסור הלבנת הון,</w:t>
            </w:r>
            <w:r w:rsidRPr="009E54AC">
              <w:rPr>
                <w:b w:val="0"/>
                <w:bCs w:val="0"/>
                <w:noProof w:val="0"/>
                <w:rtl/>
              </w:rPr>
              <w:t xml:space="preserve"> </w:t>
            </w:r>
            <w:r w:rsidRPr="009E54AC">
              <w:rPr>
                <w:rFonts w:hint="cs"/>
                <w:b w:val="0"/>
                <w:bCs w:val="0"/>
                <w:noProof w:val="0"/>
                <w:rtl/>
              </w:rPr>
              <w:t xml:space="preserve">התש"ס-2000, </w:t>
            </w:r>
            <w:r w:rsidRPr="009E54AC">
              <w:rPr>
                <w:b w:val="0"/>
                <w:bCs w:val="0"/>
                <w:noProof w:val="0"/>
                <w:rtl/>
              </w:rPr>
              <w:t>ובין הלוואה</w:t>
            </w:r>
            <w:r w:rsidRPr="009E54AC">
              <w:rPr>
                <w:rFonts w:hint="cs"/>
                <w:b w:val="0"/>
                <w:bCs w:val="0"/>
                <w:noProof w:val="0"/>
                <w:rtl/>
              </w:rPr>
              <w:t>,</w:t>
            </w:r>
            <w:r w:rsidRPr="009E54AC">
              <w:rPr>
                <w:b w:val="0"/>
                <w:bCs w:val="0"/>
                <w:noProof w:val="0"/>
                <w:rtl/>
              </w:rPr>
              <w:t xml:space="preserve"> הפטורה מכך. מצב זה יוצר פרצה המאפשרת לגורמים שאינם חפצים בפיקוח לחמוק מחובותיהם הרגולטוריות.</w:t>
            </w:r>
          </w:p>
        </w:tc>
      </w:tr>
    </w:tbl>
    <w:p w:rsidR="009E54AC" w:rsidP="00FB46A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FB46AA">
            <w:pPr>
              <w:pStyle w:val="KOT5"/>
              <w:spacing w:before="120"/>
              <w:jc w:val="center"/>
              <w:rPr>
                <w:sz w:val="24"/>
                <w:szCs w:val="24"/>
                <w:rtl/>
              </w:rPr>
            </w:pPr>
            <w:r w:rsidRPr="009E54AC">
              <w:rPr>
                <w:rFonts w:hint="cs"/>
                <w:sz w:val="24"/>
                <w:szCs w:val="24"/>
                <w:rtl/>
              </w:rPr>
              <w:t xml:space="preserve">טרם הושלם מעבר יחידת </w:t>
            </w:r>
            <w:r w:rsidRPr="009E54AC">
              <w:rPr>
                <w:rFonts w:hint="cs"/>
                <w:sz w:val="24"/>
                <w:szCs w:val="24"/>
                <w:rtl/>
              </w:rPr>
              <w:t>נש"ם</w:t>
            </w:r>
            <w:r w:rsidRPr="009E54AC">
              <w:rPr>
                <w:rFonts w:hint="cs"/>
                <w:sz w:val="24"/>
                <w:szCs w:val="24"/>
                <w:rtl/>
              </w:rPr>
              <w:t xml:space="preserve"> לרשות המסים</w:t>
            </w:r>
          </w:p>
        </w:tc>
      </w:tr>
      <w:tr w:rsidTr="00550646">
        <w:tblPrEx>
          <w:tblW w:w="6691" w:type="dxa"/>
          <w:jc w:val="center"/>
          <w:tblLook w:val="04A0"/>
        </w:tblPrEx>
        <w:trPr>
          <w:cantSplit/>
          <w:jc w:val="center"/>
        </w:trPr>
        <w:tc>
          <w:tcPr>
            <w:tcW w:w="6691" w:type="dxa"/>
          </w:tcPr>
          <w:p w:rsidR="009E54AC" w:rsidRPr="009E54AC" w:rsidP="00FB46AA">
            <w:pPr>
              <w:pStyle w:val="takzir"/>
              <w:spacing w:before="60"/>
              <w:rPr>
                <w:b w:val="0"/>
                <w:bCs w:val="0"/>
                <w:noProof w:val="0"/>
                <w:rtl/>
              </w:rPr>
            </w:pPr>
            <w:r w:rsidRPr="009E54AC">
              <w:rPr>
                <w:b w:val="0"/>
                <w:bCs w:val="0"/>
                <w:noProof w:val="0"/>
                <w:rtl/>
              </w:rPr>
              <w:t>משרד האוצר גיבש נוהל</w:t>
            </w:r>
            <w:r w:rsidRPr="009E54AC">
              <w:rPr>
                <w:rFonts w:hint="cs"/>
                <w:b w:val="0"/>
                <w:bCs w:val="0"/>
                <w:noProof w:val="0"/>
                <w:rtl/>
              </w:rPr>
              <w:t xml:space="preserve"> המאפשר הסמכה זמנית של מנהל רשות המסים כרשם נותני שירותי מטבע והעבירו</w:t>
            </w:r>
            <w:r w:rsidRPr="009E54AC">
              <w:rPr>
                <w:b w:val="0"/>
                <w:bCs w:val="0"/>
                <w:noProof w:val="0"/>
                <w:rtl/>
              </w:rPr>
              <w:t xml:space="preserve"> לאישור משרד המשפטים</w:t>
            </w:r>
            <w:r w:rsidRPr="009E54AC">
              <w:rPr>
                <w:rFonts w:hint="cs"/>
                <w:b w:val="0"/>
                <w:bCs w:val="0"/>
                <w:noProof w:val="0"/>
                <w:rtl/>
              </w:rPr>
              <w:t>.</w:t>
            </w:r>
            <w:r w:rsidRPr="009E54AC">
              <w:rPr>
                <w:b w:val="0"/>
                <w:bCs w:val="0"/>
                <w:noProof w:val="0"/>
                <w:rtl/>
              </w:rPr>
              <w:t xml:space="preserve"> אולם </w:t>
            </w:r>
            <w:r w:rsidRPr="009E54AC">
              <w:rPr>
                <w:rFonts w:hint="cs"/>
                <w:b w:val="0"/>
                <w:bCs w:val="0"/>
                <w:noProof w:val="0"/>
                <w:rtl/>
              </w:rPr>
              <w:t>עד מועד סיום הביקורת - מאי 2015 - טרם</w:t>
            </w:r>
            <w:r w:rsidRPr="009E54AC">
              <w:rPr>
                <w:b w:val="0"/>
                <w:bCs w:val="0"/>
                <w:noProof w:val="0"/>
                <w:rtl/>
              </w:rPr>
              <w:t xml:space="preserve"> התקבל אישור </w:t>
            </w:r>
            <w:r w:rsidRPr="009E54AC">
              <w:rPr>
                <w:rFonts w:hint="cs"/>
                <w:b w:val="0"/>
                <w:bCs w:val="0"/>
                <w:noProof w:val="0"/>
                <w:rtl/>
              </w:rPr>
              <w:t xml:space="preserve">זה. </w:t>
            </w:r>
          </w:p>
        </w:tc>
      </w:tr>
    </w:tbl>
    <w:p w:rsidR="001275A6" w:rsidP="00FB46A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E54A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FB46AA">
            <w:pPr>
              <w:pStyle w:val="KOT4"/>
              <w:spacing w:before="120"/>
              <w:jc w:val="center"/>
              <w:rPr>
                <w:rtl/>
              </w:rPr>
            </w:pPr>
            <w:r>
              <w:rPr>
                <w:rFonts w:hint="cs"/>
                <w:rtl/>
              </w:rPr>
              <w:t>ה</w:t>
            </w:r>
            <w:r>
              <w:rPr>
                <w:rtl/>
              </w:rPr>
              <w:t xml:space="preserve">המלצות </w:t>
            </w:r>
            <w:r>
              <w:rPr>
                <w:rFonts w:hint="cs"/>
                <w:rtl/>
              </w:rPr>
              <w:t>העיקריות</w:t>
            </w:r>
          </w:p>
        </w:tc>
      </w:tr>
      <w:tr w:rsidTr="004214D8">
        <w:tblPrEx>
          <w:tblW w:w="6691" w:type="dxa"/>
          <w:jc w:val="center"/>
          <w:tblLook w:val="04A0"/>
        </w:tblPrEx>
        <w:trPr>
          <w:cantSplit/>
          <w:jc w:val="center"/>
        </w:trPr>
        <w:tc>
          <w:tcPr>
            <w:tcW w:w="6691" w:type="dxa"/>
          </w:tcPr>
          <w:p w:rsidR="009E54AC" w:rsidRPr="009E54AC" w:rsidP="00FB46AA">
            <w:pPr>
              <w:pStyle w:val="takzir"/>
              <w:spacing w:before="60"/>
              <w:ind w:left="340" w:hanging="340"/>
              <w:rPr>
                <w:b w:val="0"/>
                <w:bCs w:val="0"/>
                <w:noProof w:val="0"/>
                <w:rtl/>
              </w:rPr>
            </w:pPr>
            <w:r>
              <w:rPr>
                <w:rFonts w:hint="cs"/>
                <w:b w:val="0"/>
                <w:bCs w:val="0"/>
                <w:noProof w:val="0"/>
                <w:rtl/>
              </w:rPr>
              <w:t>1.</w:t>
            </w:r>
            <w:r>
              <w:rPr>
                <w:b w:val="0"/>
                <w:bCs w:val="0"/>
                <w:noProof w:val="0"/>
                <w:rtl/>
              </w:rPr>
              <w:tab/>
            </w:r>
            <w:r w:rsidRPr="009E54AC">
              <w:rPr>
                <w:b w:val="0"/>
                <w:bCs w:val="0"/>
                <w:noProof w:val="0"/>
                <w:rtl/>
              </w:rPr>
              <w:t xml:space="preserve">נוכח </w:t>
            </w:r>
            <w:r w:rsidRPr="009E54AC">
              <w:rPr>
                <w:rFonts w:hint="cs"/>
                <w:b w:val="0"/>
                <w:bCs w:val="0"/>
                <w:noProof w:val="0"/>
                <w:rtl/>
              </w:rPr>
              <w:t>ה</w:t>
            </w:r>
            <w:r w:rsidRPr="009E54AC">
              <w:rPr>
                <w:b w:val="0"/>
                <w:bCs w:val="0"/>
                <w:noProof w:val="0"/>
                <w:rtl/>
              </w:rPr>
              <w:t>אינטרס הציבור</w:t>
            </w:r>
            <w:r w:rsidRPr="009E54AC">
              <w:rPr>
                <w:rFonts w:hint="cs"/>
                <w:b w:val="0"/>
                <w:bCs w:val="0"/>
                <w:noProof w:val="0"/>
                <w:rtl/>
              </w:rPr>
              <w:t>י</w:t>
            </w:r>
            <w:r w:rsidRPr="009E54AC">
              <w:rPr>
                <w:b w:val="0"/>
                <w:bCs w:val="0"/>
                <w:noProof w:val="0"/>
                <w:rtl/>
              </w:rPr>
              <w:t xml:space="preserve"> בהגנה על לווים ונוכח חשיבות המלחמה בהלבנת הון ובפשיעה המאורגנת, על </w:t>
            </w:r>
            <w:r w:rsidRPr="009E54AC">
              <w:rPr>
                <w:rFonts w:hint="cs"/>
                <w:b w:val="0"/>
                <w:bCs w:val="0"/>
                <w:noProof w:val="0"/>
                <w:rtl/>
              </w:rPr>
              <w:t xml:space="preserve">משרד המשפטים ומשרד האוצר </w:t>
            </w:r>
            <w:r w:rsidRPr="009E54AC">
              <w:rPr>
                <w:b w:val="0"/>
                <w:bCs w:val="0"/>
                <w:noProof w:val="0"/>
                <w:rtl/>
              </w:rPr>
              <w:t>להסדיר בהקדם את שוק ההלוואות החוץ-בנקאיות</w:t>
            </w:r>
            <w:r w:rsidRPr="009E54AC">
              <w:rPr>
                <w:rFonts w:hint="cs"/>
                <w:b w:val="0"/>
                <w:bCs w:val="0"/>
                <w:noProof w:val="0"/>
                <w:rtl/>
              </w:rPr>
              <w:t>. עליהם</w:t>
            </w:r>
            <w:r w:rsidRPr="009E54AC">
              <w:rPr>
                <w:b w:val="0"/>
                <w:bCs w:val="0"/>
                <w:noProof w:val="0"/>
                <w:rtl/>
              </w:rPr>
              <w:t xml:space="preserve"> ל</w:t>
            </w:r>
            <w:r w:rsidRPr="009E54AC">
              <w:rPr>
                <w:rFonts w:hint="cs"/>
                <w:b w:val="0"/>
                <w:bCs w:val="0"/>
                <w:noProof w:val="0"/>
                <w:rtl/>
              </w:rPr>
              <w:t>פעול לאימוץ וליישום המלצות הצוות בראשות המשנה ליועץ המשפטי לממשלה, ובתוך כך לקדם</w:t>
            </w:r>
            <w:r w:rsidRPr="009E54AC">
              <w:rPr>
                <w:b w:val="0"/>
                <w:bCs w:val="0"/>
                <w:noProof w:val="0"/>
                <w:rtl/>
              </w:rPr>
              <w:t xml:space="preserve"> חקיקה אשר לא תאפשר עיסוק במתן הלוואות חוץ-בנקאיות ללא קבלת רישיון</w:t>
            </w:r>
            <w:r w:rsidRPr="009E54AC">
              <w:rPr>
                <w:rFonts w:hint="cs"/>
                <w:b w:val="0"/>
                <w:bCs w:val="0"/>
                <w:noProof w:val="0"/>
                <w:rtl/>
              </w:rPr>
              <w:t xml:space="preserve"> לכך. עליהם לפעול</w:t>
            </w:r>
            <w:r w:rsidRPr="009E54AC">
              <w:rPr>
                <w:b w:val="0"/>
                <w:bCs w:val="0"/>
                <w:noProof w:val="0"/>
                <w:rtl/>
              </w:rPr>
              <w:t xml:space="preserve"> </w:t>
            </w:r>
            <w:r w:rsidRPr="009E54AC">
              <w:rPr>
                <w:rFonts w:hint="cs"/>
                <w:b w:val="0"/>
                <w:bCs w:val="0"/>
                <w:noProof w:val="0"/>
                <w:rtl/>
              </w:rPr>
              <w:t xml:space="preserve">גם </w:t>
            </w:r>
            <w:r w:rsidRPr="009E54AC">
              <w:rPr>
                <w:b w:val="0"/>
                <w:bCs w:val="0"/>
                <w:noProof w:val="0"/>
                <w:rtl/>
              </w:rPr>
              <w:t>להסדרת שוק נותני שירותי המטבע</w:t>
            </w:r>
            <w:r w:rsidRPr="009E54AC">
              <w:rPr>
                <w:rFonts w:hint="cs"/>
                <w:b w:val="0"/>
                <w:bCs w:val="0"/>
                <w:noProof w:val="0"/>
                <w:rtl/>
              </w:rPr>
              <w:t>, ולהשלים כשלב ביניים את מעבר יחידת נותני שירותי המטבע לרשות המסים.</w:t>
            </w:r>
          </w:p>
          <w:p w:rsidR="009E54AC" w:rsidRPr="009E54AC" w:rsidP="00FB46AA">
            <w:pPr>
              <w:pStyle w:val="takzir"/>
              <w:ind w:left="340" w:hanging="340"/>
              <w:rPr>
                <w:b w:val="0"/>
                <w:bCs w:val="0"/>
                <w:noProof w:val="0"/>
                <w:rtl/>
              </w:rPr>
            </w:pPr>
            <w:r>
              <w:rPr>
                <w:rFonts w:hint="cs"/>
                <w:b w:val="0"/>
                <w:bCs w:val="0"/>
                <w:noProof w:val="0"/>
                <w:rtl/>
              </w:rPr>
              <w:t>2.</w:t>
            </w:r>
            <w:r>
              <w:rPr>
                <w:b w:val="0"/>
                <w:bCs w:val="0"/>
                <w:noProof w:val="0"/>
                <w:rtl/>
              </w:rPr>
              <w:tab/>
            </w:r>
            <w:r w:rsidRPr="009E54AC">
              <w:rPr>
                <w:b w:val="0"/>
                <w:bCs w:val="0"/>
                <w:noProof w:val="0"/>
                <w:rtl/>
              </w:rPr>
              <w:t>הלמ"ס</w:t>
            </w:r>
            <w:r w:rsidRPr="009E54AC">
              <w:rPr>
                <w:b w:val="0"/>
                <w:bCs w:val="0"/>
                <w:noProof w:val="0"/>
                <w:rtl/>
              </w:rPr>
              <w:t xml:space="preserve">, משרד האוצר ובנק ישראל </w:t>
            </w:r>
            <w:r w:rsidRPr="009E54AC">
              <w:rPr>
                <w:rFonts w:hint="cs"/>
                <w:b w:val="0"/>
                <w:bCs w:val="0"/>
                <w:noProof w:val="0"/>
                <w:rtl/>
              </w:rPr>
              <w:t xml:space="preserve">צריכים לקדם </w:t>
            </w:r>
            <w:r w:rsidRPr="009E54AC">
              <w:rPr>
                <w:b w:val="0"/>
                <w:bCs w:val="0"/>
                <w:noProof w:val="0"/>
                <w:rtl/>
              </w:rPr>
              <w:t xml:space="preserve">איסוף נתונים מפורטים </w:t>
            </w:r>
            <w:r w:rsidRPr="009E54AC">
              <w:rPr>
                <w:rFonts w:hint="cs"/>
                <w:b w:val="0"/>
                <w:bCs w:val="0"/>
                <w:noProof w:val="0"/>
                <w:rtl/>
              </w:rPr>
              <w:t>על</w:t>
            </w:r>
            <w:r w:rsidRPr="009E54AC">
              <w:rPr>
                <w:b w:val="0"/>
                <w:bCs w:val="0"/>
                <w:noProof w:val="0"/>
                <w:rtl/>
              </w:rPr>
              <w:t xml:space="preserve"> חובות משקי הבית</w:t>
            </w:r>
            <w:r w:rsidRPr="009E54AC">
              <w:rPr>
                <w:rFonts w:hint="cs"/>
                <w:b w:val="0"/>
                <w:bCs w:val="0"/>
                <w:noProof w:val="0"/>
                <w:rtl/>
              </w:rPr>
              <w:t>,</w:t>
            </w:r>
            <w:r w:rsidRPr="009E54AC">
              <w:rPr>
                <w:b w:val="0"/>
                <w:bCs w:val="0"/>
                <w:noProof w:val="0"/>
                <w:rtl/>
              </w:rPr>
              <w:t xml:space="preserve"> </w:t>
            </w:r>
            <w:r w:rsidRPr="009E54AC">
              <w:rPr>
                <w:rFonts w:hint="cs"/>
                <w:b w:val="0"/>
                <w:bCs w:val="0"/>
                <w:noProof w:val="0"/>
                <w:rtl/>
              </w:rPr>
              <w:t>כדי לסייע</w:t>
            </w:r>
            <w:r w:rsidRPr="009E54AC">
              <w:rPr>
                <w:b w:val="0"/>
                <w:bCs w:val="0"/>
                <w:noProof w:val="0"/>
                <w:rtl/>
              </w:rPr>
              <w:t xml:space="preserve"> לממשלה לעצב מדיניות המביאה בחשבון את מלוא ההשפעות האפשריות של צעדים מ</w:t>
            </w:r>
            <w:r w:rsidRPr="009E54AC">
              <w:rPr>
                <w:rFonts w:hint="cs"/>
                <w:b w:val="0"/>
                <w:bCs w:val="0"/>
                <w:noProof w:val="0"/>
                <w:rtl/>
              </w:rPr>
              <w:t>א</w:t>
            </w:r>
            <w:r w:rsidRPr="009E54AC">
              <w:rPr>
                <w:b w:val="0"/>
                <w:bCs w:val="0"/>
                <w:noProof w:val="0"/>
                <w:rtl/>
              </w:rPr>
              <w:t>קרו</w:t>
            </w:r>
            <w:r w:rsidRPr="009E54AC">
              <w:rPr>
                <w:rFonts w:hint="cs"/>
                <w:b w:val="0"/>
                <w:bCs w:val="0"/>
                <w:noProof w:val="0"/>
                <w:rtl/>
              </w:rPr>
              <w:t>-</w:t>
            </w:r>
            <w:r w:rsidRPr="009E54AC">
              <w:rPr>
                <w:b w:val="0"/>
                <w:bCs w:val="0"/>
                <w:noProof w:val="0"/>
                <w:rtl/>
              </w:rPr>
              <w:t xml:space="preserve">כלכליים ואת יציבות המערכת הפיננסית. המשבר הפיננסי בשנת 2008 והלקחים שנלמדו </w:t>
            </w:r>
            <w:r w:rsidRPr="009E54AC">
              <w:rPr>
                <w:rFonts w:hint="cs"/>
                <w:b w:val="0"/>
                <w:bCs w:val="0"/>
                <w:noProof w:val="0"/>
                <w:rtl/>
              </w:rPr>
              <w:t>ממנו</w:t>
            </w:r>
            <w:r w:rsidRPr="009E54AC">
              <w:rPr>
                <w:b w:val="0"/>
                <w:bCs w:val="0"/>
                <w:noProof w:val="0"/>
                <w:rtl/>
              </w:rPr>
              <w:t>, תחזיות הצמיחה של המשק הישראלי לשנים הקרובות והגידול בחובות משקי הבית בשנים האחרונות</w:t>
            </w:r>
            <w:r w:rsidRPr="009E54AC">
              <w:rPr>
                <w:rFonts w:hint="cs"/>
                <w:b w:val="0"/>
                <w:bCs w:val="0"/>
                <w:noProof w:val="0"/>
                <w:rtl/>
              </w:rPr>
              <w:t xml:space="preserve"> -</w:t>
            </w:r>
            <w:r w:rsidRPr="009E54AC">
              <w:rPr>
                <w:b w:val="0"/>
                <w:bCs w:val="0"/>
                <w:noProof w:val="0"/>
                <w:rtl/>
              </w:rPr>
              <w:t xml:space="preserve"> </w:t>
            </w:r>
            <w:r w:rsidRPr="009E54AC">
              <w:rPr>
                <w:rFonts w:hint="cs"/>
                <w:b w:val="0"/>
                <w:bCs w:val="0"/>
                <w:noProof w:val="0"/>
                <w:rtl/>
              </w:rPr>
              <w:t xml:space="preserve">כל אלה </w:t>
            </w:r>
            <w:r w:rsidRPr="009E54AC">
              <w:rPr>
                <w:b w:val="0"/>
                <w:bCs w:val="0"/>
                <w:noProof w:val="0"/>
                <w:rtl/>
              </w:rPr>
              <w:t>מדגישים את הצורך במעקב אחר התפתחות חובות משקי הבית</w:t>
            </w:r>
            <w:r w:rsidRPr="009E54AC">
              <w:rPr>
                <w:rFonts w:hint="cs"/>
                <w:b w:val="0"/>
                <w:bCs w:val="0"/>
                <w:noProof w:val="0"/>
                <w:rtl/>
              </w:rPr>
              <w:t>, הן</w:t>
            </w:r>
            <w:r w:rsidRPr="009E54AC">
              <w:rPr>
                <w:b w:val="0"/>
                <w:bCs w:val="0"/>
                <w:noProof w:val="0"/>
                <w:rtl/>
              </w:rPr>
              <w:t xml:space="preserve"> ברמת </w:t>
            </w:r>
            <w:r w:rsidRPr="009E54AC">
              <w:rPr>
                <w:rFonts w:hint="cs"/>
                <w:b w:val="0"/>
                <w:bCs w:val="0"/>
                <w:noProof w:val="0"/>
                <w:rtl/>
              </w:rPr>
              <w:t>המשק</w:t>
            </w:r>
            <w:r w:rsidRPr="009E54AC">
              <w:rPr>
                <w:b w:val="0"/>
                <w:bCs w:val="0"/>
                <w:noProof w:val="0"/>
                <w:rtl/>
              </w:rPr>
              <w:t xml:space="preserve"> </w:t>
            </w:r>
            <w:r w:rsidRPr="009E54AC">
              <w:rPr>
                <w:rFonts w:hint="cs"/>
                <w:b w:val="0"/>
                <w:bCs w:val="0"/>
                <w:noProof w:val="0"/>
                <w:rtl/>
              </w:rPr>
              <w:t>והן</w:t>
            </w:r>
            <w:r w:rsidRPr="009E54AC">
              <w:rPr>
                <w:b w:val="0"/>
                <w:bCs w:val="0"/>
                <w:noProof w:val="0"/>
                <w:rtl/>
              </w:rPr>
              <w:t xml:space="preserve"> ברמת ה</w:t>
            </w:r>
            <w:r w:rsidRPr="009E54AC">
              <w:rPr>
                <w:rFonts w:hint="cs"/>
                <w:b w:val="0"/>
                <w:bCs w:val="0"/>
                <w:noProof w:val="0"/>
                <w:rtl/>
              </w:rPr>
              <w:t>פרט</w:t>
            </w:r>
            <w:r w:rsidRPr="009E54AC">
              <w:rPr>
                <w:b w:val="0"/>
                <w:bCs w:val="0"/>
                <w:noProof w:val="0"/>
                <w:rtl/>
              </w:rPr>
              <w:t xml:space="preserve">. </w:t>
            </w:r>
          </w:p>
          <w:p w:rsidR="009E54AC" w:rsidRPr="009E54AC" w:rsidP="00FB46AA">
            <w:pPr>
              <w:pStyle w:val="takzir"/>
              <w:ind w:left="340" w:hanging="340"/>
              <w:rPr>
                <w:b w:val="0"/>
                <w:bCs w:val="0"/>
                <w:noProof w:val="0"/>
                <w:rtl/>
              </w:rPr>
            </w:pPr>
            <w:r w:rsidRPr="004214D8">
              <w:rPr>
                <w:rFonts w:hint="cs"/>
                <w:b w:val="0"/>
                <w:bCs w:val="0"/>
                <w:noProof w:val="0"/>
                <w:sz w:val="20"/>
                <w:rtl/>
              </w:rPr>
              <w:t>3.</w:t>
            </w:r>
            <w:r w:rsidRPr="004214D8">
              <w:rPr>
                <w:b w:val="0"/>
                <w:bCs w:val="0"/>
                <w:noProof w:val="0"/>
                <w:sz w:val="20"/>
                <w:rtl/>
              </w:rPr>
              <w:tab/>
            </w:r>
            <w:r w:rsidRPr="004214D8">
              <w:rPr>
                <w:rFonts w:hint="cs"/>
                <w:b w:val="0"/>
                <w:bCs w:val="0"/>
                <w:noProof w:val="0"/>
                <w:sz w:val="20"/>
                <w:rtl/>
              </w:rPr>
              <w:t xml:space="preserve">על משרד המשפטים, בשיתוף בנק ישראל, להמשיך לפעול להשלמת הליכי החקיקה הנדרשים </w:t>
            </w:r>
            <w:r w:rsidRPr="004214D8">
              <w:rPr>
                <w:b w:val="0"/>
                <w:bCs w:val="0"/>
                <w:noProof w:val="0"/>
                <w:sz w:val="20"/>
                <w:rtl/>
              </w:rPr>
              <w:t>לייש</w:t>
            </w:r>
            <w:r w:rsidRPr="004214D8">
              <w:rPr>
                <w:rFonts w:hint="cs"/>
                <w:b w:val="0"/>
                <w:bCs w:val="0"/>
                <w:noProof w:val="0"/>
                <w:sz w:val="20"/>
                <w:rtl/>
              </w:rPr>
              <w:t>ו</w:t>
            </w:r>
            <w:r w:rsidRPr="004214D8">
              <w:rPr>
                <w:b w:val="0"/>
                <w:bCs w:val="0"/>
                <w:noProof w:val="0"/>
                <w:sz w:val="20"/>
                <w:rtl/>
              </w:rPr>
              <w:t>ם המלצות ועדת זקן,</w:t>
            </w:r>
            <w:r w:rsidRPr="004214D8">
              <w:rPr>
                <w:rFonts w:hint="cs"/>
                <w:b w:val="0"/>
                <w:bCs w:val="0"/>
                <w:noProof w:val="0"/>
                <w:sz w:val="20"/>
                <w:rtl/>
              </w:rPr>
              <w:t xml:space="preserve"> שמטרתם להגביר את </w:t>
            </w:r>
            <w:r w:rsidRPr="004214D8">
              <w:rPr>
                <w:b w:val="0"/>
                <w:bCs w:val="0"/>
                <w:noProof w:val="0"/>
                <w:sz w:val="20"/>
                <w:rtl/>
              </w:rPr>
              <w:t xml:space="preserve">התחרות בתחום האשראי </w:t>
            </w:r>
            <w:r w:rsidRPr="004214D8">
              <w:rPr>
                <w:rFonts w:hint="cs"/>
                <w:b w:val="0"/>
                <w:bCs w:val="0"/>
                <w:noProof w:val="0"/>
                <w:sz w:val="20"/>
                <w:rtl/>
              </w:rPr>
              <w:t xml:space="preserve">למשקי הבית. בין היתר, עליהם לפעול ליישום ההמלצות הבאות: </w:t>
            </w:r>
            <w:r w:rsidRPr="004214D8">
              <w:rPr>
                <w:b w:val="0"/>
                <w:bCs w:val="0"/>
                <w:noProof w:val="0"/>
                <w:sz w:val="20"/>
                <w:rtl/>
              </w:rPr>
              <w:t>פרסום שיעורי הריבית בפועל והגברת הנגישות לאתרי המידע לצורך השוואה</w:t>
            </w:r>
            <w:r w:rsidRPr="004214D8">
              <w:rPr>
                <w:rFonts w:hint="cs"/>
                <w:b w:val="0"/>
                <w:bCs w:val="0"/>
                <w:noProof w:val="0"/>
                <w:sz w:val="20"/>
                <w:rtl/>
              </w:rPr>
              <w:t xml:space="preserve">; </w:t>
            </w:r>
            <w:r w:rsidRPr="004214D8">
              <w:rPr>
                <w:b w:val="0"/>
                <w:bCs w:val="0"/>
                <w:noProof w:val="0"/>
                <w:sz w:val="20"/>
                <w:rtl/>
              </w:rPr>
              <w:t xml:space="preserve">מתן מידע </w:t>
            </w:r>
            <w:r w:rsidRPr="004214D8">
              <w:rPr>
                <w:rFonts w:hint="cs"/>
                <w:b w:val="0"/>
                <w:bCs w:val="0"/>
                <w:noProof w:val="0"/>
                <w:sz w:val="20"/>
                <w:rtl/>
              </w:rPr>
              <w:t>ל</w:t>
            </w:r>
            <w:r w:rsidRPr="004214D8">
              <w:rPr>
                <w:b w:val="0"/>
                <w:bCs w:val="0"/>
                <w:noProof w:val="0"/>
                <w:sz w:val="20"/>
                <w:rtl/>
              </w:rPr>
              <w:t>לקוח באמצעות יצירת תעודת זהות בנקאית</w:t>
            </w:r>
            <w:r w:rsidRPr="004214D8">
              <w:rPr>
                <w:rFonts w:hint="cs"/>
                <w:b w:val="0"/>
                <w:bCs w:val="0"/>
                <w:noProof w:val="0"/>
                <w:sz w:val="20"/>
                <w:rtl/>
              </w:rPr>
              <w:t xml:space="preserve">; </w:t>
            </w:r>
            <w:r w:rsidRPr="004214D8">
              <w:rPr>
                <w:b w:val="0"/>
                <w:bCs w:val="0"/>
                <w:noProof w:val="0"/>
                <w:sz w:val="20"/>
                <w:rtl/>
              </w:rPr>
              <w:t xml:space="preserve">שכלול המידע </w:t>
            </w:r>
            <w:r w:rsidRPr="004214D8">
              <w:rPr>
                <w:rFonts w:hint="cs"/>
                <w:b w:val="0"/>
                <w:bCs w:val="0"/>
                <w:noProof w:val="0"/>
                <w:sz w:val="20"/>
                <w:rtl/>
              </w:rPr>
              <w:t>על</w:t>
            </w:r>
            <w:r w:rsidRPr="004214D8">
              <w:rPr>
                <w:b w:val="0"/>
                <w:bCs w:val="0"/>
                <w:noProof w:val="0"/>
                <w:sz w:val="20"/>
                <w:rtl/>
              </w:rPr>
              <w:t xml:space="preserve"> לווים (</w:t>
            </w:r>
            <w:r w:rsidRPr="004214D8">
              <w:rPr>
                <w:b w:val="0"/>
                <w:bCs w:val="0"/>
                <w:noProof w:val="0"/>
                <w:sz w:val="20"/>
              </w:rPr>
              <w:t>Credit Bureau</w:t>
            </w:r>
            <w:r w:rsidRPr="004214D8">
              <w:rPr>
                <w:rFonts w:hint="cs"/>
                <w:b w:val="0"/>
                <w:bCs w:val="0"/>
                <w:noProof w:val="0"/>
                <w:sz w:val="20"/>
                <w:rtl/>
              </w:rPr>
              <w:t xml:space="preserve">); </w:t>
            </w:r>
            <w:r w:rsidRPr="004214D8">
              <w:rPr>
                <w:b w:val="0"/>
                <w:bCs w:val="0"/>
                <w:noProof w:val="0"/>
                <w:sz w:val="20"/>
                <w:rtl/>
              </w:rPr>
              <w:t>עדכון מנגנון תקרת הריבית והחלתו על המערכת הבנקאית</w:t>
            </w:r>
            <w:r w:rsidRPr="004214D8">
              <w:rPr>
                <w:rFonts w:hint="cs"/>
                <w:b w:val="0"/>
                <w:bCs w:val="0"/>
                <w:noProof w:val="0"/>
                <w:sz w:val="20"/>
                <w:rtl/>
              </w:rPr>
              <w:t>.</w:t>
            </w:r>
          </w:p>
        </w:tc>
      </w:tr>
      <w:tr w:rsidTr="004214D8">
        <w:tblPrEx>
          <w:tblW w:w="6691" w:type="dxa"/>
          <w:jc w:val="center"/>
          <w:tblLook w:val="04A0"/>
        </w:tblPrEx>
        <w:trPr>
          <w:cantSplit/>
          <w:jc w:val="center"/>
        </w:trPr>
        <w:tc>
          <w:tcPr>
            <w:tcW w:w="6691" w:type="dxa"/>
          </w:tcPr>
          <w:p w:rsidR="004214D8" w:rsidP="00FB46AA">
            <w:pPr>
              <w:pStyle w:val="takzir"/>
              <w:spacing w:before="60"/>
              <w:ind w:left="340" w:hanging="340"/>
              <w:rPr>
                <w:b w:val="0"/>
                <w:bCs w:val="0"/>
                <w:noProof w:val="0"/>
                <w:rtl/>
              </w:rPr>
            </w:pPr>
            <w:r>
              <w:rPr>
                <w:rFonts w:hint="cs"/>
                <w:b w:val="0"/>
                <w:bCs w:val="0"/>
                <w:noProof w:val="0"/>
                <w:rtl/>
              </w:rPr>
              <w:t>4.</w:t>
            </w:r>
            <w:r>
              <w:rPr>
                <w:b w:val="0"/>
                <w:bCs w:val="0"/>
                <w:noProof w:val="0"/>
                <w:rtl/>
              </w:rPr>
              <w:tab/>
            </w:r>
            <w:r w:rsidRPr="009E54AC">
              <w:rPr>
                <w:rFonts w:hint="cs"/>
                <w:b w:val="0"/>
                <w:bCs w:val="0"/>
                <w:noProof w:val="0"/>
                <w:rtl/>
              </w:rPr>
              <w:t>מן הראוי</w:t>
            </w:r>
            <w:r w:rsidRPr="009E54AC">
              <w:rPr>
                <w:b w:val="0"/>
                <w:bCs w:val="0"/>
                <w:noProof w:val="0"/>
                <w:rtl/>
              </w:rPr>
              <w:t xml:space="preserve"> </w:t>
            </w:r>
            <w:r w:rsidRPr="009E54AC">
              <w:rPr>
                <w:rFonts w:hint="cs"/>
                <w:b w:val="0"/>
                <w:bCs w:val="0"/>
                <w:noProof w:val="0"/>
                <w:rtl/>
              </w:rPr>
              <w:t>שמשרד האוצר יגבש, בשיתוף בנק ישראל,</w:t>
            </w:r>
            <w:r w:rsidRPr="009E54AC">
              <w:rPr>
                <w:b w:val="0"/>
                <w:bCs w:val="0"/>
                <w:noProof w:val="0"/>
                <w:rtl/>
              </w:rPr>
              <w:t xml:space="preserve"> תכנית עבודה </w:t>
            </w:r>
            <w:r w:rsidRPr="009E54AC">
              <w:rPr>
                <w:rFonts w:hint="cs"/>
                <w:b w:val="0"/>
                <w:bCs w:val="0"/>
                <w:noProof w:val="0"/>
                <w:rtl/>
              </w:rPr>
              <w:t>בתחום החינוך הפיננסי</w:t>
            </w:r>
            <w:r w:rsidRPr="009E54AC">
              <w:rPr>
                <w:b w:val="0"/>
                <w:bCs w:val="0"/>
                <w:noProof w:val="0"/>
                <w:rtl/>
              </w:rPr>
              <w:t xml:space="preserve"> שתכלול יעדים ומשימות ברורים ומדידים ולוחות זמנים ליישומ</w:t>
            </w:r>
            <w:r w:rsidRPr="009E54AC">
              <w:rPr>
                <w:rFonts w:hint="cs"/>
                <w:b w:val="0"/>
                <w:bCs w:val="0"/>
                <w:noProof w:val="0"/>
                <w:rtl/>
              </w:rPr>
              <w:t>ם</w:t>
            </w:r>
            <w:r w:rsidRPr="009E54AC">
              <w:rPr>
                <w:b w:val="0"/>
                <w:bCs w:val="0"/>
                <w:noProof w:val="0"/>
                <w:rtl/>
              </w:rPr>
              <w:t xml:space="preserve">. על רקע הגידול המתמשך באשראי למשקי בית, </w:t>
            </w:r>
            <w:r w:rsidRPr="009E54AC">
              <w:rPr>
                <w:rFonts w:hint="cs"/>
                <w:b w:val="0"/>
                <w:bCs w:val="0"/>
                <w:noProof w:val="0"/>
                <w:rtl/>
              </w:rPr>
              <w:t>החינוך הפיננסי</w:t>
            </w:r>
            <w:r w:rsidRPr="009E54AC">
              <w:rPr>
                <w:b w:val="0"/>
                <w:bCs w:val="0"/>
                <w:noProof w:val="0"/>
                <w:rtl/>
              </w:rPr>
              <w:t xml:space="preserve"> מצריך תשומת לב ייחודית ו</w:t>
            </w:r>
            <w:r w:rsidRPr="009E54AC">
              <w:rPr>
                <w:rFonts w:hint="cs"/>
                <w:b w:val="0"/>
                <w:bCs w:val="0"/>
                <w:noProof w:val="0"/>
                <w:rtl/>
              </w:rPr>
              <w:t>יש</w:t>
            </w:r>
            <w:r w:rsidRPr="009E54AC">
              <w:rPr>
                <w:b w:val="0"/>
                <w:bCs w:val="0"/>
                <w:noProof w:val="0"/>
                <w:rtl/>
              </w:rPr>
              <w:t xml:space="preserve"> לשקול </w:t>
            </w:r>
            <w:r w:rsidRPr="009E54AC">
              <w:rPr>
                <w:rFonts w:hint="cs"/>
                <w:b w:val="0"/>
                <w:bCs w:val="0"/>
                <w:noProof w:val="0"/>
                <w:rtl/>
              </w:rPr>
              <w:t>את העמקתו.</w:t>
            </w:r>
            <w:r w:rsidRPr="009E54AC">
              <w:rPr>
                <w:b w:val="0"/>
                <w:bCs w:val="0"/>
                <w:noProof w:val="0"/>
                <w:rtl/>
              </w:rPr>
              <w:t xml:space="preserve"> </w:t>
            </w:r>
            <w:r w:rsidRPr="009E54AC">
              <w:rPr>
                <w:rFonts w:hint="cs"/>
                <w:b w:val="0"/>
                <w:bCs w:val="0"/>
                <w:noProof w:val="0"/>
                <w:rtl/>
              </w:rPr>
              <w:t xml:space="preserve">זאת כדי לעודד את הצרכנים להפחית </w:t>
            </w:r>
            <w:r w:rsidRPr="009E54AC">
              <w:rPr>
                <w:b w:val="0"/>
                <w:bCs w:val="0"/>
                <w:noProof w:val="0"/>
                <w:rtl/>
              </w:rPr>
              <w:t>חובות</w:t>
            </w:r>
            <w:r w:rsidRPr="009E54AC">
              <w:rPr>
                <w:rFonts w:hint="cs"/>
                <w:b w:val="0"/>
                <w:bCs w:val="0"/>
                <w:noProof w:val="0"/>
                <w:rtl/>
              </w:rPr>
              <w:t>,</w:t>
            </w:r>
            <w:r w:rsidRPr="009E54AC">
              <w:rPr>
                <w:b w:val="0"/>
                <w:bCs w:val="0"/>
                <w:noProof w:val="0"/>
                <w:rtl/>
              </w:rPr>
              <w:t xml:space="preserve"> לקחת אשראי </w:t>
            </w:r>
            <w:r w:rsidRPr="009E54AC">
              <w:rPr>
                <w:rFonts w:hint="cs"/>
                <w:b w:val="0"/>
                <w:bCs w:val="0"/>
                <w:noProof w:val="0"/>
                <w:rtl/>
              </w:rPr>
              <w:t>בצורה מבוקרת יותר</w:t>
            </w:r>
            <w:r w:rsidRPr="009E54AC">
              <w:rPr>
                <w:b w:val="0"/>
                <w:bCs w:val="0"/>
                <w:noProof w:val="0"/>
                <w:rtl/>
              </w:rPr>
              <w:t xml:space="preserve"> </w:t>
            </w:r>
            <w:r w:rsidRPr="009E54AC">
              <w:rPr>
                <w:rFonts w:hint="cs"/>
                <w:b w:val="0"/>
                <w:bCs w:val="0"/>
                <w:noProof w:val="0"/>
                <w:rtl/>
              </w:rPr>
              <w:t>ולהימנע</w:t>
            </w:r>
            <w:r w:rsidRPr="009E54AC">
              <w:rPr>
                <w:b w:val="0"/>
                <w:bCs w:val="0"/>
                <w:noProof w:val="0"/>
                <w:rtl/>
              </w:rPr>
              <w:t xml:space="preserve"> מהלוואות שאינן תואמות את מצבם הכלכלי</w:t>
            </w:r>
            <w:r w:rsidRPr="009E54AC">
              <w:rPr>
                <w:rFonts w:hint="cs"/>
                <w:b w:val="0"/>
                <w:bCs w:val="0"/>
                <w:noProof w:val="0"/>
                <w:rtl/>
              </w:rPr>
              <w:t>.</w:t>
            </w:r>
          </w:p>
        </w:tc>
      </w:tr>
    </w:tbl>
    <w:p w:rsidR="001275A6" w:rsidP="00FB46A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FB46AA">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4214D8" w:rsidRPr="004214D8" w:rsidP="00FB46AA">
            <w:pPr>
              <w:spacing w:before="60" w:after="120"/>
              <w:jc w:val="both"/>
              <w:rPr>
                <w:b/>
                <w:bCs/>
                <w:sz w:val="22"/>
                <w:szCs w:val="22"/>
                <w:rtl/>
                <w:lang w:eastAsia="he-IL"/>
              </w:rPr>
            </w:pPr>
            <w:r w:rsidRPr="004214D8">
              <w:rPr>
                <w:b/>
                <w:bCs/>
                <w:sz w:val="22"/>
                <w:szCs w:val="22"/>
                <w:rtl/>
                <w:lang w:eastAsia="he-IL"/>
              </w:rPr>
              <w:t xml:space="preserve">נותני שירותי מטבע מנהלים פעילות פיננסית </w:t>
            </w:r>
            <w:r w:rsidRPr="004214D8">
              <w:rPr>
                <w:rFonts w:hint="cs"/>
                <w:b/>
                <w:bCs/>
                <w:sz w:val="22"/>
                <w:szCs w:val="22"/>
                <w:rtl/>
                <w:lang w:eastAsia="he-IL"/>
              </w:rPr>
              <w:t>ענפה, אשר</w:t>
            </w:r>
            <w:r w:rsidRPr="004214D8">
              <w:rPr>
                <w:b/>
                <w:bCs/>
                <w:sz w:val="22"/>
                <w:szCs w:val="22"/>
                <w:rtl/>
                <w:lang w:eastAsia="he-IL"/>
              </w:rPr>
              <w:t xml:space="preserve"> כרוכה בביצוע עסקאות רבות במזומנים. היקף פעיל</w:t>
            </w:r>
            <w:r w:rsidRPr="004214D8">
              <w:rPr>
                <w:rFonts w:hint="cs"/>
                <w:b/>
                <w:bCs/>
                <w:sz w:val="22"/>
                <w:szCs w:val="22"/>
                <w:rtl/>
                <w:lang w:eastAsia="he-IL"/>
              </w:rPr>
              <w:t>ו</w:t>
            </w:r>
            <w:r w:rsidRPr="004214D8">
              <w:rPr>
                <w:b/>
                <w:bCs/>
                <w:sz w:val="22"/>
                <w:szCs w:val="22"/>
                <w:rtl/>
                <w:lang w:eastAsia="he-IL"/>
              </w:rPr>
              <w:t xml:space="preserve">תם, </w:t>
            </w:r>
            <w:r w:rsidRPr="004214D8">
              <w:rPr>
                <w:rFonts w:hint="cs"/>
                <w:b/>
                <w:bCs/>
                <w:sz w:val="22"/>
                <w:szCs w:val="22"/>
                <w:rtl/>
                <w:lang w:eastAsia="he-IL"/>
              </w:rPr>
              <w:t>הכוללת גם מתן הלוואות חוץ-בנקאיות,</w:t>
            </w:r>
            <w:r w:rsidRPr="004214D8">
              <w:rPr>
                <w:b/>
                <w:bCs/>
                <w:sz w:val="22"/>
                <w:szCs w:val="22"/>
                <w:rtl/>
                <w:lang w:eastAsia="he-IL"/>
              </w:rPr>
              <w:t xml:space="preserve"> </w:t>
            </w:r>
            <w:r w:rsidRPr="004214D8">
              <w:rPr>
                <w:rFonts w:hint="cs"/>
                <w:b/>
                <w:bCs/>
                <w:sz w:val="22"/>
                <w:szCs w:val="22"/>
                <w:rtl/>
                <w:lang w:eastAsia="he-IL"/>
              </w:rPr>
              <w:t>וה</w:t>
            </w:r>
            <w:r w:rsidRPr="004214D8">
              <w:rPr>
                <w:b/>
                <w:bCs/>
                <w:sz w:val="22"/>
                <w:szCs w:val="22"/>
                <w:rtl/>
                <w:lang w:eastAsia="he-IL"/>
              </w:rPr>
              <w:t xml:space="preserve">רגולציה </w:t>
            </w:r>
            <w:r w:rsidRPr="004214D8">
              <w:rPr>
                <w:rFonts w:hint="cs"/>
                <w:b/>
                <w:bCs/>
                <w:sz w:val="22"/>
                <w:szCs w:val="22"/>
                <w:rtl/>
                <w:lang w:eastAsia="he-IL"/>
              </w:rPr>
              <w:t>ה</w:t>
            </w:r>
            <w:r w:rsidRPr="004214D8">
              <w:rPr>
                <w:b/>
                <w:bCs/>
                <w:sz w:val="22"/>
                <w:szCs w:val="22"/>
                <w:rtl/>
                <w:lang w:eastAsia="he-IL"/>
              </w:rPr>
              <w:t>נמוכה יחסית מעלים את הסיכון לשימוש בסקטור זה לצורך הלבנת הון ומימון טרור</w:t>
            </w:r>
            <w:r w:rsidRPr="004214D8">
              <w:rPr>
                <w:rFonts w:hint="cs"/>
                <w:b/>
                <w:bCs/>
                <w:sz w:val="22"/>
                <w:szCs w:val="22"/>
                <w:rtl/>
                <w:lang w:eastAsia="he-IL"/>
              </w:rPr>
              <w:t>. הממצאים שהועלו בדוח זה ממחישים את נחיצות הסדרתה של חקיקה ייעודית לנותני שירותי מטבע והסדרת הפיקוח על הלוואות חוץ-בנקאיות.</w:t>
            </w:r>
          </w:p>
          <w:p w:rsidR="004214D8" w:rsidRPr="004214D8" w:rsidP="00FB46AA">
            <w:pPr>
              <w:spacing w:after="120"/>
              <w:jc w:val="both"/>
              <w:rPr>
                <w:b/>
                <w:bCs/>
                <w:sz w:val="22"/>
                <w:szCs w:val="22"/>
                <w:rtl/>
                <w:lang w:eastAsia="he-IL"/>
              </w:rPr>
            </w:pPr>
            <w:r w:rsidRPr="004214D8">
              <w:rPr>
                <w:b/>
                <w:bCs/>
                <w:sz w:val="22"/>
                <w:szCs w:val="22"/>
                <w:rtl/>
                <w:lang w:eastAsia="he-IL"/>
              </w:rPr>
              <w:t>למרות התרעות משרד מבקר המדינה בדוח משנת 2009, משרד האוצר טרם תיקן את הליקויים, והמערכת הפיננסית עודנה פרוצה בכל הנוגע למתן שירותי מטבע ולמתן אשראי חוץ-בנקאי.</w:t>
            </w:r>
            <w:r w:rsidRPr="004214D8">
              <w:rPr>
                <w:rFonts w:hint="cs"/>
                <w:b/>
                <w:bCs/>
                <w:sz w:val="22"/>
                <w:szCs w:val="22"/>
                <w:rtl/>
                <w:lang w:eastAsia="he-IL"/>
              </w:rPr>
              <w:t xml:space="preserve"> נוכח </w:t>
            </w:r>
            <w:r w:rsidRPr="004214D8">
              <w:rPr>
                <w:b/>
                <w:bCs/>
                <w:sz w:val="22"/>
                <w:szCs w:val="22"/>
                <w:rtl/>
                <w:lang w:eastAsia="he-IL"/>
              </w:rPr>
              <w:t>הסיכונים המאפיינים תחום זה</w:t>
            </w:r>
            <w:r w:rsidRPr="004214D8">
              <w:rPr>
                <w:rFonts w:hint="cs"/>
                <w:b/>
                <w:bCs/>
                <w:sz w:val="22"/>
                <w:szCs w:val="22"/>
                <w:rtl/>
                <w:lang w:eastAsia="he-IL"/>
              </w:rPr>
              <w:t>,</w:t>
            </w:r>
            <w:r w:rsidRPr="004214D8">
              <w:rPr>
                <w:b/>
                <w:bCs/>
                <w:sz w:val="22"/>
                <w:szCs w:val="22"/>
                <w:rtl/>
                <w:lang w:eastAsia="he-IL"/>
              </w:rPr>
              <w:t xml:space="preserve"> </w:t>
            </w:r>
            <w:r w:rsidRPr="004214D8">
              <w:rPr>
                <w:rFonts w:hint="cs"/>
                <w:b/>
                <w:bCs/>
                <w:sz w:val="22"/>
                <w:szCs w:val="22"/>
                <w:rtl/>
                <w:lang w:eastAsia="he-IL"/>
              </w:rPr>
              <w:t>מוסכם כי יש</w:t>
            </w:r>
            <w:r w:rsidRPr="004214D8">
              <w:rPr>
                <w:b/>
                <w:bCs/>
                <w:sz w:val="22"/>
                <w:szCs w:val="22"/>
                <w:rtl/>
                <w:lang w:eastAsia="he-IL"/>
              </w:rPr>
              <w:t xml:space="preserve"> </w:t>
            </w:r>
            <w:r w:rsidRPr="004214D8">
              <w:rPr>
                <w:rFonts w:hint="cs"/>
                <w:b/>
                <w:bCs/>
                <w:sz w:val="22"/>
                <w:szCs w:val="22"/>
                <w:rtl/>
                <w:lang w:eastAsia="he-IL"/>
              </w:rPr>
              <w:t>ל</w:t>
            </w:r>
            <w:r w:rsidRPr="004214D8">
              <w:rPr>
                <w:b/>
                <w:bCs/>
                <w:sz w:val="22"/>
                <w:szCs w:val="22"/>
                <w:rtl/>
                <w:lang w:eastAsia="he-IL"/>
              </w:rPr>
              <w:t>הסד</w:t>
            </w:r>
            <w:r w:rsidRPr="004214D8">
              <w:rPr>
                <w:rFonts w:hint="cs"/>
                <w:b/>
                <w:bCs/>
                <w:sz w:val="22"/>
                <w:szCs w:val="22"/>
                <w:rtl/>
                <w:lang w:eastAsia="he-IL"/>
              </w:rPr>
              <w:t>י</w:t>
            </w:r>
            <w:r w:rsidRPr="004214D8">
              <w:rPr>
                <w:b/>
                <w:bCs/>
                <w:sz w:val="22"/>
                <w:szCs w:val="22"/>
                <w:rtl/>
                <w:lang w:eastAsia="he-IL"/>
              </w:rPr>
              <w:t xml:space="preserve">ר חקיקה ייעודית </w:t>
            </w:r>
            <w:r w:rsidRPr="004214D8">
              <w:rPr>
                <w:b/>
                <w:bCs/>
                <w:sz w:val="22"/>
                <w:szCs w:val="22"/>
                <w:rtl/>
                <w:lang w:eastAsia="he-IL"/>
              </w:rPr>
              <w:t>ל</w:t>
            </w:r>
            <w:r w:rsidRPr="004214D8">
              <w:rPr>
                <w:rFonts w:hint="cs"/>
                <w:b/>
                <w:bCs/>
                <w:sz w:val="22"/>
                <w:szCs w:val="22"/>
                <w:rtl/>
                <w:lang w:eastAsia="he-IL"/>
              </w:rPr>
              <w:t>נש"ם</w:t>
            </w:r>
            <w:r w:rsidRPr="004214D8">
              <w:rPr>
                <w:b/>
                <w:bCs/>
                <w:sz w:val="22"/>
                <w:szCs w:val="22"/>
                <w:rtl/>
                <w:lang w:eastAsia="he-IL"/>
              </w:rPr>
              <w:t xml:space="preserve"> ו</w:t>
            </w:r>
            <w:r w:rsidRPr="004214D8">
              <w:rPr>
                <w:rFonts w:hint="cs"/>
                <w:b/>
                <w:bCs/>
                <w:sz w:val="22"/>
                <w:szCs w:val="22"/>
                <w:rtl/>
                <w:lang w:eastAsia="he-IL"/>
              </w:rPr>
              <w:t>לה</w:t>
            </w:r>
            <w:r w:rsidRPr="004214D8">
              <w:rPr>
                <w:b/>
                <w:bCs/>
                <w:sz w:val="22"/>
                <w:szCs w:val="22"/>
                <w:rtl/>
                <w:lang w:eastAsia="he-IL"/>
              </w:rPr>
              <w:t>סד</w:t>
            </w:r>
            <w:r w:rsidRPr="004214D8">
              <w:rPr>
                <w:rFonts w:hint="cs"/>
                <w:b/>
                <w:bCs/>
                <w:sz w:val="22"/>
                <w:szCs w:val="22"/>
                <w:rtl/>
                <w:lang w:eastAsia="he-IL"/>
              </w:rPr>
              <w:t>י</w:t>
            </w:r>
            <w:r w:rsidRPr="004214D8">
              <w:rPr>
                <w:b/>
                <w:bCs/>
                <w:sz w:val="22"/>
                <w:szCs w:val="22"/>
                <w:rtl/>
                <w:lang w:eastAsia="he-IL"/>
              </w:rPr>
              <w:t xml:space="preserve">ר </w:t>
            </w:r>
            <w:r w:rsidRPr="004214D8">
              <w:rPr>
                <w:rFonts w:hint="cs"/>
                <w:b/>
                <w:bCs/>
                <w:sz w:val="22"/>
                <w:szCs w:val="22"/>
                <w:rtl/>
                <w:lang w:eastAsia="he-IL"/>
              </w:rPr>
              <w:t xml:space="preserve">את </w:t>
            </w:r>
            <w:r w:rsidRPr="004214D8">
              <w:rPr>
                <w:b/>
                <w:bCs/>
                <w:sz w:val="22"/>
                <w:szCs w:val="22"/>
                <w:rtl/>
                <w:lang w:eastAsia="he-IL"/>
              </w:rPr>
              <w:t xml:space="preserve">הפיקוח על הלוואות חוץ-בנקאיות. אולם אף </w:t>
            </w:r>
            <w:r w:rsidRPr="004214D8">
              <w:rPr>
                <w:rFonts w:hint="cs"/>
                <w:b/>
                <w:bCs/>
                <w:sz w:val="22"/>
                <w:szCs w:val="22"/>
                <w:rtl/>
                <w:lang w:eastAsia="he-IL"/>
              </w:rPr>
              <w:t xml:space="preserve">שנושא זה עלה על שולחנם של </w:t>
            </w:r>
            <w:r w:rsidRPr="004214D8">
              <w:rPr>
                <w:rFonts w:hint="eastAsia"/>
                <w:b/>
                <w:bCs/>
                <w:sz w:val="22"/>
                <w:szCs w:val="22"/>
                <w:rtl/>
                <w:lang w:eastAsia="he-IL"/>
              </w:rPr>
              <w:t>המאסדרים</w:t>
            </w:r>
            <w:r w:rsidRPr="004214D8">
              <w:rPr>
                <w:b/>
                <w:bCs/>
                <w:sz w:val="22"/>
                <w:szCs w:val="22"/>
                <w:rtl/>
                <w:lang w:eastAsia="he-IL"/>
              </w:rPr>
              <w:t xml:space="preserve"> - בנק ישראל ומשרד האוצר </w:t>
            </w:r>
            <w:r w:rsidRPr="004214D8">
              <w:rPr>
                <w:rFonts w:hint="cs"/>
                <w:b/>
                <w:bCs/>
                <w:sz w:val="22"/>
                <w:szCs w:val="22"/>
                <w:rtl/>
                <w:lang w:eastAsia="he-IL"/>
              </w:rPr>
              <w:t>-</w:t>
            </w:r>
            <w:r w:rsidRPr="004214D8">
              <w:rPr>
                <w:b/>
                <w:bCs/>
                <w:sz w:val="22"/>
                <w:szCs w:val="22"/>
                <w:rtl/>
                <w:lang w:eastAsia="he-IL"/>
              </w:rPr>
              <w:t xml:space="preserve"> </w:t>
            </w:r>
            <w:r w:rsidRPr="004214D8">
              <w:rPr>
                <w:rFonts w:hint="cs"/>
                <w:b/>
                <w:bCs/>
                <w:sz w:val="22"/>
                <w:szCs w:val="22"/>
                <w:rtl/>
                <w:lang w:eastAsia="he-IL"/>
              </w:rPr>
              <w:t xml:space="preserve">ואלה הסכימו שראוי </w:t>
            </w:r>
            <w:r w:rsidRPr="004214D8">
              <w:rPr>
                <w:b/>
                <w:bCs/>
                <w:sz w:val="22"/>
                <w:szCs w:val="22"/>
                <w:rtl/>
                <w:lang w:eastAsia="he-IL"/>
              </w:rPr>
              <w:t>להסדיר את שוק ההלוואות החוץ-בנקאיות, התחום נותר ללא פיקוח והסדרה נאותים.</w:t>
            </w:r>
          </w:p>
          <w:p w:rsidR="001275A6" w:rsidRPr="001F3DFF" w:rsidP="00FB46AA">
            <w:pPr>
              <w:spacing w:after="120" w:line="230" w:lineRule="exact"/>
              <w:jc w:val="both"/>
              <w:rPr>
                <w:rFonts w:cs="FrankRuehl"/>
                <w:b/>
                <w:bCs/>
                <w:sz w:val="20"/>
                <w:szCs w:val="22"/>
                <w:rtl/>
                <w:lang w:eastAsia="he-IL"/>
              </w:rPr>
            </w:pPr>
            <w:r w:rsidRPr="004214D8">
              <w:rPr>
                <w:b/>
                <w:bCs/>
                <w:sz w:val="22"/>
                <w:szCs w:val="22"/>
                <w:rtl/>
                <w:lang w:eastAsia="he-IL"/>
              </w:rPr>
              <w:t>לדעת משרד מבקר המדינה, נוכח האינטרס הציבורי להגן על לווים ונוכח חשיבות המלחמה בהלבנת הון ובפשיעה המאורגנת, על משרד המשפטים, בנק ישראל ומשרד האוצר להסדיר את שוק ההלוואות החוץ-בנקאיות בהקדם. על הלשכה המרכזית לסטטיסטיקה, משרד האוצר ובנק ישראל לדאוג לאיסוף נתונים מפורטים ואמינים יותר על היקף חובות משקי הבית. זאת כדי שתהיה לממשלה יכולת לאמוד את הסיכונים המשקיים והחברתיים הטמונים בחובות אלה, וכדי שתוכל לנקוט מדיניות מתאימה המביאה בחשבון את מלוא ההשפעות האפשריות של צעדים מאקרו-כלכליים.</w:t>
            </w:r>
          </w:p>
        </w:tc>
      </w:tr>
    </w:tbl>
    <w:p w:rsidR="001275A6" w:rsidRPr="001F3DFF" w:rsidP="00FB46AA">
      <w:pPr>
        <w:spacing w:after="120" w:line="230" w:lineRule="exact"/>
        <w:jc w:val="both"/>
        <w:rPr>
          <w:rFonts w:cs="FrankRuehl"/>
          <w:sz w:val="20"/>
          <w:szCs w:val="22"/>
          <w:rtl/>
        </w:rPr>
      </w:pPr>
    </w:p>
    <w:p w:rsidR="001275A6" w:rsidP="00FB46AA">
      <w:pPr>
        <w:pStyle w:val="KOT1"/>
        <w:keepNext w:val="0"/>
        <w:spacing w:after="0" w:line="240" w:lineRule="atLeast"/>
        <w:rPr>
          <w:rFonts w:ascii="Arial" w:hAnsi="Arial" w:cs="Arial"/>
          <w:lang w:eastAsia="en-US"/>
        </w:rPr>
      </w:pPr>
      <w:r>
        <w:rPr>
          <w:rFonts w:ascii="Arial" w:hAnsi="Arial" w:cs="Arial"/>
          <w:lang w:eastAsia="en-US"/>
        </w:rPr>
        <w:t>♦</w:t>
      </w:r>
    </w:p>
    <w:p w:rsidR="001275A6" w:rsidRPr="001F3DFF" w:rsidP="00FB46AA">
      <w:pPr>
        <w:spacing w:after="120" w:line="230" w:lineRule="exact"/>
        <w:jc w:val="both"/>
        <w:rPr>
          <w:rFonts w:cs="FrankRuehl"/>
          <w:sz w:val="20"/>
          <w:szCs w:val="22"/>
          <w:rtl/>
        </w:rPr>
      </w:pPr>
    </w:p>
    <w:p w:rsidR="001275A6" w:rsidP="00FB46AA">
      <w:pPr>
        <w:pStyle w:val="KOT4"/>
        <w:rPr>
          <w:rtl/>
        </w:rPr>
      </w:pPr>
      <w:bookmarkEnd w:id="0"/>
      <w:bookmarkEnd w:id="1"/>
      <w:bookmarkEnd w:id="2"/>
      <w:bookmarkEnd w:id="3"/>
      <w:bookmarkEnd w:id="4"/>
      <w:r>
        <w:rPr>
          <w:rtl/>
        </w:rPr>
        <w:br w:type="page"/>
      </w:r>
      <w:r>
        <w:rPr>
          <w:rFonts w:hint="eastAsia"/>
          <w:rtl/>
        </w:rPr>
        <w:t>מבוא</w:t>
      </w:r>
    </w:p>
    <w:p w:rsidR="005E5B2C" w:rsidRPr="004214D8" w:rsidP="00FB46AA">
      <w:pPr>
        <w:pStyle w:val="BodyText"/>
        <w:spacing w:before="0"/>
        <w:rPr>
          <w:sz w:val="20"/>
        </w:rPr>
      </w:pPr>
      <w:r w:rsidRPr="004214D8">
        <w:rPr>
          <w:rFonts w:hint="cs"/>
          <w:sz w:val="20"/>
          <w:rtl/>
        </w:rPr>
        <w:t xml:space="preserve">שוק האשראי למשקי בית בישראל מאופיין ברמת ריכוזיות גבוהה: כ-90% מהאשראי הניתן למשקי בית הוא אשראי בנקאי. לצד שוק האשראי הבנקאי קיים שוק אשראי חוץ-בנקאי, אשר פעילים בו חברות כרטיסי האשראי, הגופים המוסדיים - חברות ביטוח וחברות מנהלות של קופות גמל ושל קרנות פנסיה - וגורמים נוספים העוסקים במתן הלוואות, למשל חברות פרטיות, אנשים פרטיים ונותני שירותי מטבע (המכונים לעתים </w:t>
      </w:r>
      <w:r w:rsidRPr="004214D8">
        <w:rPr>
          <w:rFonts w:hint="cs"/>
          <w:sz w:val="20"/>
          <w:rtl/>
        </w:rPr>
        <w:t>צ'יינג'ים</w:t>
      </w:r>
      <w:r w:rsidRPr="004214D8">
        <w:rPr>
          <w:rFonts w:hint="cs"/>
          <w:sz w:val="20"/>
          <w:rtl/>
        </w:rPr>
        <w:t>).</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על פי חוק איסור הלבנת הון, התש"ס-2000 (להלן - חוק איסור הלבנת הון), נותן שירותי מטבע הוא מי שמספק אחד או יותר מן השירותים האלה: </w:t>
      </w:r>
      <w:r w:rsidRPr="001F3DFF">
        <w:rPr>
          <w:rFonts w:cs="FrankRuehl"/>
          <w:sz w:val="20"/>
          <w:szCs w:val="22"/>
          <w:rtl/>
        </w:rPr>
        <w:t>המרת מטבע</w:t>
      </w:r>
      <w:r w:rsidRPr="001F3DFF">
        <w:rPr>
          <w:rFonts w:cs="FrankRuehl" w:hint="cs"/>
          <w:sz w:val="20"/>
          <w:szCs w:val="22"/>
          <w:rtl/>
        </w:rPr>
        <w:t xml:space="preserve"> של מדינה אחת במטבע של מדינה אחרת</w:t>
      </w:r>
      <w:r w:rsidRPr="001F3DFF">
        <w:rPr>
          <w:rFonts w:cs="FrankRuehl"/>
          <w:sz w:val="20"/>
          <w:szCs w:val="22"/>
          <w:rtl/>
        </w:rPr>
        <w:t>; מכיר</w:t>
      </w:r>
      <w:r w:rsidRPr="001F3DFF">
        <w:rPr>
          <w:rFonts w:cs="FrankRuehl" w:hint="cs"/>
          <w:sz w:val="20"/>
          <w:szCs w:val="22"/>
          <w:rtl/>
        </w:rPr>
        <w:t>ה</w:t>
      </w:r>
      <w:r w:rsidRPr="001F3DFF">
        <w:rPr>
          <w:rFonts w:cs="FrankRuehl"/>
          <w:sz w:val="20"/>
          <w:szCs w:val="22"/>
          <w:rtl/>
        </w:rPr>
        <w:t xml:space="preserve"> או פדיון של המחאות נוסעים</w:t>
      </w:r>
      <w:r w:rsidRPr="001F3DFF">
        <w:rPr>
          <w:rFonts w:cs="FrankRuehl" w:hint="cs"/>
          <w:sz w:val="20"/>
          <w:szCs w:val="22"/>
          <w:rtl/>
        </w:rPr>
        <w:t xml:space="preserve"> בכל סוג של מטבע</w:t>
      </w:r>
      <w:r w:rsidRPr="001F3DFF">
        <w:rPr>
          <w:rFonts w:cs="FrankRuehl"/>
          <w:sz w:val="20"/>
          <w:szCs w:val="22"/>
          <w:rtl/>
        </w:rPr>
        <w:t>; קבלת נכסים פיננסי</w:t>
      </w:r>
      <w:r w:rsidRPr="001F3DFF">
        <w:rPr>
          <w:rFonts w:cs="FrankRuehl" w:hint="cs"/>
          <w:sz w:val="20"/>
          <w:szCs w:val="22"/>
          <w:rtl/>
        </w:rPr>
        <w:t>י</w:t>
      </w:r>
      <w:r w:rsidRPr="001F3DFF">
        <w:rPr>
          <w:rFonts w:cs="FrankRuehl"/>
          <w:sz w:val="20"/>
          <w:szCs w:val="22"/>
          <w:rtl/>
        </w:rPr>
        <w:t xml:space="preserve">ם במדינה אחת כנגד העמדת נכסים במדינה אחרת; החלפת </w:t>
      </w:r>
      <w:r w:rsidRPr="001F3DFF">
        <w:rPr>
          <w:rFonts w:cs="FrankRuehl" w:hint="cs"/>
          <w:sz w:val="20"/>
          <w:szCs w:val="22"/>
          <w:rtl/>
        </w:rPr>
        <w:t>מטבע</w:t>
      </w:r>
      <w:r w:rsidRPr="001F3DFF">
        <w:rPr>
          <w:rFonts w:cs="FrankRuehl"/>
          <w:sz w:val="20"/>
          <w:szCs w:val="22"/>
          <w:rtl/>
        </w:rPr>
        <w:t xml:space="preserve">; ניכיון </w:t>
      </w:r>
      <w:r w:rsidRPr="001F3DFF">
        <w:rPr>
          <w:rFonts w:cs="FrankRuehl" w:hint="cs"/>
          <w:sz w:val="20"/>
          <w:szCs w:val="22"/>
          <w:rtl/>
        </w:rPr>
        <w:t>צ'ק</w:t>
      </w:r>
      <w:r w:rsidRPr="001F3DFF">
        <w:rPr>
          <w:rFonts w:cs="FrankRuehl"/>
          <w:sz w:val="20"/>
          <w:szCs w:val="22"/>
          <w:rtl/>
        </w:rPr>
        <w:t>ים</w:t>
      </w:r>
      <w:r w:rsidRPr="001F3DFF">
        <w:rPr>
          <w:rFonts w:cs="FrankRuehl" w:hint="cs"/>
          <w:sz w:val="20"/>
          <w:szCs w:val="22"/>
          <w:rtl/>
        </w:rPr>
        <w:t xml:space="preserve">, </w:t>
      </w:r>
      <w:r w:rsidRPr="001F3DFF">
        <w:rPr>
          <w:rFonts w:cs="FrankRuehl"/>
          <w:sz w:val="20"/>
          <w:szCs w:val="22"/>
          <w:rtl/>
        </w:rPr>
        <w:t>שטרי חליפין</w:t>
      </w:r>
      <w:r w:rsidRPr="001F3DFF">
        <w:rPr>
          <w:rFonts w:cs="FrankRuehl" w:hint="cs"/>
          <w:sz w:val="20"/>
          <w:szCs w:val="22"/>
          <w:rtl/>
        </w:rPr>
        <w:t xml:space="preserve"> ושטרי חוב; שירותי ניכיון כהגדרתם בסעיף 7א לחוק הבנקאות (שירות ללקוח), התשמ"א-1981 (להלן - חוק הבנקאות (שירות ללקוח)); מסירת נכסים פיננסיים כנגד מטבע; מסירת נכסים פיננסיים לאדם כנגד המחאת זכותו של אותו אדם לקבל נכסים פיננסיים מאחר. תחומי פעילותם של </w:t>
      </w:r>
      <w:r w:rsidRPr="001F3DFF">
        <w:rPr>
          <w:rFonts w:cs="FrankRuehl" w:hint="cs"/>
          <w:sz w:val="20"/>
          <w:szCs w:val="22"/>
          <w:rtl/>
        </w:rPr>
        <w:t>נש"ם</w:t>
      </w:r>
      <w:r w:rsidRPr="001F3DFF">
        <w:rPr>
          <w:rFonts w:cs="FrankRuehl" w:hint="cs"/>
          <w:sz w:val="20"/>
          <w:szCs w:val="22"/>
          <w:rtl/>
        </w:rPr>
        <w:t xml:space="preserve"> משיקים לתחומי פעילותם של נותני הלוואות חוץ-בנקאיות ולעתים אף משלימים אותם. בביקורת שעשה משרד מבקר המדינה בשנת 2009 נמצאו ליקויים רבים בפיקוח על נותני שירותי המטבע. </w:t>
      </w:r>
    </w:p>
    <w:p w:rsidR="005E5B2C" w:rsidRPr="001F3DFF" w:rsidP="00FB46AA">
      <w:pPr>
        <w:spacing w:after="120" w:line="230" w:lineRule="exact"/>
        <w:jc w:val="both"/>
        <w:rPr>
          <w:rFonts w:cs="FrankRuehl"/>
          <w:sz w:val="20"/>
          <w:szCs w:val="22"/>
          <w:rtl/>
        </w:rPr>
      </w:pPr>
    </w:p>
    <w:p w:rsidR="005E5B2C" w:rsidRPr="001F3DFF" w:rsidP="00FB46AA">
      <w:pPr>
        <w:spacing w:after="120" w:line="230" w:lineRule="exact"/>
        <w:jc w:val="both"/>
        <w:rPr>
          <w:rFonts w:cs="FrankRuehl"/>
          <w:sz w:val="20"/>
          <w:szCs w:val="22"/>
          <w:rtl/>
        </w:rPr>
      </w:pPr>
    </w:p>
    <w:p w:rsidR="005E5B2C" w:rsidRPr="005E5B2C" w:rsidP="00FB46AA">
      <w:pPr>
        <w:pStyle w:val="KOT4"/>
        <w:rPr>
          <w:rtl/>
        </w:rPr>
      </w:pPr>
      <w:r w:rsidRPr="005E5B2C">
        <w:rPr>
          <w:rFonts w:hint="cs"/>
          <w:rtl/>
        </w:rPr>
        <w:t>פעולות הביקורת</w:t>
      </w:r>
    </w:p>
    <w:p w:rsidR="005E5B2C" w:rsidRPr="001F3DFF" w:rsidP="00FB46AA">
      <w:pPr>
        <w:spacing w:after="120" w:line="230" w:lineRule="exact"/>
        <w:jc w:val="both"/>
        <w:rPr>
          <w:rFonts w:cs="FrankRuehl"/>
          <w:sz w:val="20"/>
          <w:szCs w:val="22"/>
          <w:rtl/>
        </w:rPr>
      </w:pPr>
      <w:r w:rsidRPr="001F3DFF">
        <w:rPr>
          <w:rFonts w:cs="FrankRuehl"/>
          <w:sz w:val="20"/>
          <w:szCs w:val="22"/>
          <w:rtl/>
        </w:rPr>
        <w:t>בחודשים אפריל 2014</w:t>
      </w:r>
      <w:r w:rsidRPr="001F3DFF">
        <w:rPr>
          <w:rFonts w:cs="FrankRuehl" w:hint="cs"/>
          <w:sz w:val="20"/>
          <w:szCs w:val="22"/>
          <w:rtl/>
        </w:rPr>
        <w:t xml:space="preserve"> </w:t>
      </w:r>
      <w:r w:rsidRPr="001F3DFF">
        <w:rPr>
          <w:rFonts w:cs="FrankRuehl"/>
          <w:sz w:val="20"/>
          <w:szCs w:val="22"/>
          <w:rtl/>
        </w:rPr>
        <w:t xml:space="preserve">- </w:t>
      </w:r>
      <w:r w:rsidRPr="001F3DFF">
        <w:rPr>
          <w:rFonts w:cs="FrankRuehl" w:hint="cs"/>
          <w:sz w:val="20"/>
          <w:szCs w:val="22"/>
          <w:rtl/>
        </w:rPr>
        <w:t>מאי</w:t>
      </w:r>
      <w:r w:rsidRPr="001F3DFF">
        <w:rPr>
          <w:rFonts w:cs="FrankRuehl"/>
          <w:sz w:val="20"/>
          <w:szCs w:val="22"/>
          <w:rtl/>
        </w:rPr>
        <w:t xml:space="preserve"> 2015 עשה משרד מבקר המדינה מעקב </w:t>
      </w:r>
      <w:r w:rsidRPr="001F3DFF">
        <w:rPr>
          <w:rFonts w:cs="FrankRuehl" w:hint="cs"/>
          <w:sz w:val="20"/>
          <w:szCs w:val="22"/>
          <w:rtl/>
        </w:rPr>
        <w:t>אחר</w:t>
      </w:r>
      <w:r w:rsidRPr="001F3DFF">
        <w:rPr>
          <w:rFonts w:cs="FrankRuehl"/>
          <w:sz w:val="20"/>
          <w:szCs w:val="22"/>
          <w:rtl/>
        </w:rPr>
        <w:t xml:space="preserve"> תיקון הליקויים שהועלו בדוח 60ב וכן בדק את הפיקוח על שוק האשראי החוץ-בנקאי. הבדיקה נעשתה באגף שוק ההון, בבנק ישראל וברשות לאיסור הלבנת הון. בדיקות השלמה נעשו במשרד המשפטים, ברשות המסים, במשטרת ישראל, ברשות האכיפה והגבייה, במועצה לצרכנות, במועצה הלאומית לכלכלה, ברשות להגנת הצרכן </w:t>
      </w:r>
      <w:r w:rsidRPr="001F3DFF">
        <w:rPr>
          <w:rFonts w:cs="FrankRuehl" w:hint="cs"/>
          <w:sz w:val="20"/>
          <w:szCs w:val="22"/>
          <w:rtl/>
        </w:rPr>
        <w:t>וב</w:t>
      </w:r>
      <w:r w:rsidRPr="001F3DFF">
        <w:rPr>
          <w:rFonts w:cs="FrankRuehl"/>
          <w:sz w:val="20"/>
          <w:szCs w:val="22"/>
          <w:rtl/>
        </w:rPr>
        <w:t>למ"ס.</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במהלך הביקורת הגיש צוות בראשותו של המשנה ליועץ המשפטי לממשלה (כלכלי-פיסקאלי), עו"ד אבי </w:t>
      </w:r>
      <w:r w:rsidRPr="001F3DFF">
        <w:rPr>
          <w:rFonts w:cs="FrankRuehl" w:hint="cs"/>
          <w:sz w:val="20"/>
          <w:szCs w:val="22"/>
          <w:rtl/>
        </w:rPr>
        <w:t>ליכט</w:t>
      </w:r>
      <w:r w:rsidRPr="001F3DFF">
        <w:rPr>
          <w:rFonts w:cs="FrankRuehl" w:hint="cs"/>
          <w:sz w:val="20"/>
          <w:szCs w:val="22"/>
          <w:rtl/>
        </w:rPr>
        <w:t>, ליועץ המשפטי לממשלה,</w:t>
      </w:r>
      <w:r w:rsidRPr="001F3DFF">
        <w:rPr>
          <w:rFonts w:cs="FrankRuehl"/>
          <w:sz w:val="20"/>
          <w:szCs w:val="22"/>
          <w:rtl/>
        </w:rPr>
        <w:t xml:space="preserve"> עו"ד יהודה </w:t>
      </w:r>
      <w:r w:rsidRPr="001F3DFF">
        <w:rPr>
          <w:rFonts w:cs="FrankRuehl"/>
          <w:sz w:val="20"/>
          <w:szCs w:val="22"/>
          <w:rtl/>
        </w:rPr>
        <w:t>וינשטיין</w:t>
      </w:r>
      <w:r w:rsidRPr="001F3DFF">
        <w:rPr>
          <w:rFonts w:cs="FrankRuehl" w:hint="cs"/>
          <w:sz w:val="20"/>
          <w:szCs w:val="22"/>
          <w:rtl/>
        </w:rPr>
        <w:t xml:space="preserve">, את המלצותיו בנושא הסדרת הרגולציה בתחום נותני שירותי המטבע ושוק ההלוואות החוץ-בנקאיות. </w:t>
      </w:r>
      <w:r w:rsidRPr="001F3DFF">
        <w:rPr>
          <w:rFonts w:cs="FrankRuehl"/>
          <w:sz w:val="20"/>
          <w:szCs w:val="22"/>
          <w:rtl/>
        </w:rPr>
        <w:t>בפברואר 2015</w:t>
      </w:r>
      <w:r w:rsidRPr="001F3DFF">
        <w:rPr>
          <w:rFonts w:cs="FrankRuehl" w:hint="cs"/>
          <w:sz w:val="20"/>
          <w:szCs w:val="22"/>
          <w:rtl/>
        </w:rPr>
        <w:t xml:space="preserve"> </w:t>
      </w:r>
      <w:r w:rsidRPr="001F3DFF">
        <w:rPr>
          <w:rFonts w:cs="FrankRuehl"/>
          <w:sz w:val="20"/>
          <w:szCs w:val="22"/>
          <w:rtl/>
        </w:rPr>
        <w:t>קיבל היועץ המשפטי לממשלה את המלצות הצוות בהיבט העקרוני</w:t>
      </w:r>
      <w:r w:rsidRPr="001F3DFF">
        <w:rPr>
          <w:rFonts w:cs="FrankRuehl" w:hint="cs"/>
          <w:sz w:val="20"/>
          <w:szCs w:val="22"/>
          <w:rtl/>
        </w:rPr>
        <w:t xml:space="preserve">, </w:t>
      </w:r>
      <w:r w:rsidRPr="001F3DFF">
        <w:rPr>
          <w:rFonts w:cs="FrankRuehl"/>
          <w:sz w:val="20"/>
          <w:szCs w:val="22"/>
          <w:rtl/>
        </w:rPr>
        <w:t>אישר אות</w:t>
      </w:r>
      <w:r w:rsidRPr="001F3DFF">
        <w:rPr>
          <w:rFonts w:cs="FrankRuehl" w:hint="cs"/>
          <w:sz w:val="20"/>
          <w:szCs w:val="22"/>
          <w:rtl/>
        </w:rPr>
        <w:t>ן</w:t>
      </w:r>
      <w:r w:rsidRPr="001F3DFF">
        <w:rPr>
          <w:rFonts w:cs="FrankRuehl"/>
          <w:sz w:val="20"/>
          <w:szCs w:val="22"/>
          <w:rtl/>
        </w:rPr>
        <w:t xml:space="preserve"> ו</w:t>
      </w:r>
      <w:r w:rsidRPr="001F3DFF">
        <w:rPr>
          <w:rFonts w:cs="FrankRuehl" w:hint="cs"/>
          <w:sz w:val="20"/>
          <w:szCs w:val="22"/>
          <w:rtl/>
        </w:rPr>
        <w:t xml:space="preserve">הודיע כי </w:t>
      </w:r>
      <w:r w:rsidRPr="001F3DFF">
        <w:rPr>
          <w:rFonts w:cs="FrankRuehl"/>
          <w:sz w:val="20"/>
          <w:szCs w:val="22"/>
          <w:rtl/>
        </w:rPr>
        <w:t xml:space="preserve">בכוונתו לזמן ישיבה עם כלל הגורמים הרלוונטיים, כדי להתחיל </w:t>
      </w:r>
      <w:r w:rsidRPr="001F3DFF">
        <w:rPr>
          <w:rFonts w:cs="FrankRuehl" w:hint="cs"/>
          <w:sz w:val="20"/>
          <w:szCs w:val="22"/>
          <w:rtl/>
        </w:rPr>
        <w:t xml:space="preserve">מיד </w:t>
      </w:r>
      <w:r w:rsidRPr="001F3DFF">
        <w:rPr>
          <w:rFonts w:cs="FrankRuehl"/>
          <w:sz w:val="20"/>
          <w:szCs w:val="22"/>
          <w:rtl/>
        </w:rPr>
        <w:t>ביישום</w:t>
      </w:r>
      <w:r>
        <w:rPr>
          <w:rStyle w:val="FootnoteReference0"/>
          <w:rFonts w:cs="FrankRuehl"/>
          <w:sz w:val="20"/>
          <w:szCs w:val="22"/>
          <w:rtl/>
        </w:rPr>
        <w:footnoteReference w:id="5"/>
      </w:r>
      <w:r w:rsidRPr="001F3DFF">
        <w:rPr>
          <w:rFonts w:cs="FrankRuehl"/>
          <w:sz w:val="20"/>
          <w:szCs w:val="22"/>
          <w:rtl/>
        </w:rPr>
        <w:t>.</w:t>
      </w:r>
      <w:r w:rsidRPr="001F3DFF">
        <w:rPr>
          <w:rFonts w:cs="FrankRuehl" w:hint="cs"/>
          <w:sz w:val="20"/>
          <w:szCs w:val="22"/>
          <w:rtl/>
        </w:rPr>
        <w:t xml:space="preserve"> </w:t>
      </w:r>
    </w:p>
    <w:p w:rsidR="005E5B2C" w:rsidRPr="001F3DFF" w:rsidP="00FB46AA">
      <w:pPr>
        <w:spacing w:after="120" w:line="230" w:lineRule="exact"/>
        <w:jc w:val="both"/>
        <w:rPr>
          <w:rFonts w:cs="FrankRuehl"/>
          <w:sz w:val="20"/>
          <w:szCs w:val="22"/>
          <w:rtl/>
        </w:rPr>
      </w:pPr>
    </w:p>
    <w:p w:rsidR="006F6719" w:rsidRPr="001F3DFF" w:rsidP="00FB46AA">
      <w:pPr>
        <w:spacing w:after="120" w:line="230" w:lineRule="exact"/>
        <w:jc w:val="both"/>
        <w:rPr>
          <w:rFonts w:cs="FrankRuehl"/>
          <w:sz w:val="20"/>
          <w:szCs w:val="22"/>
          <w:rtl/>
        </w:rPr>
      </w:pPr>
    </w:p>
    <w:p w:rsidR="005E5B2C" w:rsidRPr="001E4618" w:rsidP="00FB46AA">
      <w:pPr>
        <w:pStyle w:val="KOT4"/>
        <w:rPr>
          <w:rtl/>
        </w:rPr>
      </w:pPr>
      <w:r w:rsidRPr="001E4618">
        <w:rPr>
          <w:rFonts w:hint="cs"/>
          <w:rtl/>
        </w:rPr>
        <w:t>ההשלכות המאקרו-כלכליות של הגידול בחובות משקי הבית</w:t>
      </w:r>
    </w:p>
    <w:p w:rsidR="005E5B2C" w:rsidRPr="001F3DFF" w:rsidP="00FB46AA">
      <w:pPr>
        <w:spacing w:after="240" w:line="230" w:lineRule="exact"/>
        <w:jc w:val="both"/>
        <w:rPr>
          <w:rFonts w:cs="FrankRuehl"/>
          <w:sz w:val="20"/>
          <w:szCs w:val="22"/>
          <w:rtl/>
        </w:rPr>
      </w:pPr>
      <w:r w:rsidRPr="001F3DFF">
        <w:rPr>
          <w:rFonts w:cs="FrankRuehl"/>
          <w:sz w:val="20"/>
          <w:szCs w:val="22"/>
          <w:rtl/>
        </w:rPr>
        <w:t xml:space="preserve">בשנים האחרונות הואץ קצב הגידול הנומינלי של </w:t>
      </w:r>
      <w:r w:rsidRPr="001F3DFF">
        <w:rPr>
          <w:rFonts w:cs="FrankRuehl" w:hint="cs"/>
          <w:sz w:val="20"/>
          <w:szCs w:val="22"/>
          <w:rtl/>
        </w:rPr>
        <w:t>חובות</w:t>
      </w:r>
      <w:r w:rsidRPr="001F3DFF">
        <w:rPr>
          <w:rFonts w:cs="FrankRuehl"/>
          <w:sz w:val="20"/>
          <w:szCs w:val="22"/>
          <w:rtl/>
        </w:rPr>
        <w:t xml:space="preserve"> משקי הבית</w:t>
      </w:r>
      <w:r w:rsidRPr="001F3DFF">
        <w:rPr>
          <w:rFonts w:cs="FrankRuehl" w:hint="cs"/>
          <w:sz w:val="20"/>
          <w:szCs w:val="22"/>
          <w:rtl/>
        </w:rPr>
        <w:t xml:space="preserve"> בישראל (ובכלל זה אשראי לדיור)</w:t>
      </w:r>
      <w:r>
        <w:rPr>
          <w:rStyle w:val="FootnoteReference0"/>
          <w:rFonts w:cs="FrankRuehl"/>
          <w:sz w:val="20"/>
          <w:szCs w:val="22"/>
          <w:rtl/>
        </w:rPr>
        <w:footnoteReference w:id="6"/>
      </w:r>
      <w:r w:rsidRPr="001F3DFF">
        <w:rPr>
          <w:rFonts w:cs="FrankRuehl" w:hint="cs"/>
          <w:sz w:val="20"/>
          <w:szCs w:val="22"/>
          <w:rtl/>
        </w:rPr>
        <w:t xml:space="preserve">. בשנים 2014-2008 גדלו חובות אלו בכ-60% והגיעו לכ-433 מיליארד ש"ח. </w:t>
      </w:r>
      <w:r w:rsidRPr="001F3DFF">
        <w:rPr>
          <w:rFonts w:cs="FrankRuehl"/>
          <w:sz w:val="20"/>
          <w:szCs w:val="22"/>
          <w:rtl/>
        </w:rPr>
        <w:t xml:space="preserve">קצב הגידול </w:t>
      </w:r>
      <w:r w:rsidRPr="001F3DFF">
        <w:rPr>
          <w:rFonts w:cs="FrankRuehl" w:hint="cs"/>
          <w:sz w:val="20"/>
          <w:szCs w:val="22"/>
          <w:rtl/>
        </w:rPr>
        <w:t>השנתי עלה</w:t>
      </w:r>
      <w:r w:rsidRPr="001F3DFF">
        <w:rPr>
          <w:rFonts w:cs="FrankRuehl"/>
          <w:sz w:val="20"/>
          <w:szCs w:val="22"/>
          <w:rtl/>
        </w:rPr>
        <w:t xml:space="preserve"> מ</w:t>
      </w:r>
      <w:r w:rsidRPr="001F3DFF">
        <w:rPr>
          <w:rFonts w:cs="FrankRuehl" w:hint="cs"/>
          <w:sz w:val="20"/>
          <w:szCs w:val="22"/>
          <w:rtl/>
        </w:rPr>
        <w:t>ממוצע של כ</w:t>
      </w:r>
      <w:r w:rsidRPr="001F3DFF">
        <w:rPr>
          <w:rFonts w:cs="FrankRuehl"/>
          <w:sz w:val="20"/>
          <w:szCs w:val="22"/>
          <w:rtl/>
        </w:rPr>
        <w:t>-</w:t>
      </w:r>
      <w:r w:rsidRPr="001F3DFF">
        <w:rPr>
          <w:rFonts w:cs="FrankRuehl" w:hint="cs"/>
          <w:sz w:val="20"/>
          <w:szCs w:val="22"/>
          <w:rtl/>
        </w:rPr>
        <w:t>4.4</w:t>
      </w:r>
      <w:r w:rsidRPr="001F3DFF">
        <w:rPr>
          <w:rFonts w:cs="FrankRuehl"/>
          <w:sz w:val="20"/>
          <w:szCs w:val="22"/>
          <w:rtl/>
        </w:rPr>
        <w:t>% בשנים 2006-2000 ל</w:t>
      </w:r>
      <w:r w:rsidRPr="001F3DFF">
        <w:rPr>
          <w:rFonts w:cs="FrankRuehl" w:hint="cs"/>
          <w:sz w:val="20"/>
          <w:szCs w:val="22"/>
          <w:rtl/>
        </w:rPr>
        <w:t xml:space="preserve">ממוצע של </w:t>
      </w:r>
      <w:r w:rsidRPr="001F3DFF">
        <w:rPr>
          <w:rFonts w:cs="FrankRuehl"/>
          <w:sz w:val="20"/>
          <w:szCs w:val="22"/>
          <w:rtl/>
        </w:rPr>
        <w:t>כ-</w:t>
      </w:r>
      <w:r w:rsidRPr="001F3DFF">
        <w:rPr>
          <w:rFonts w:cs="FrankRuehl" w:hint="cs"/>
          <w:sz w:val="20"/>
          <w:szCs w:val="22"/>
          <w:rtl/>
        </w:rPr>
        <w:t>7.2</w:t>
      </w:r>
      <w:r w:rsidRPr="001F3DFF">
        <w:rPr>
          <w:rFonts w:cs="FrankRuehl"/>
          <w:sz w:val="20"/>
          <w:szCs w:val="22"/>
          <w:rtl/>
        </w:rPr>
        <w:t xml:space="preserve">% </w:t>
      </w:r>
      <w:r w:rsidRPr="001F3DFF">
        <w:rPr>
          <w:rFonts w:cs="FrankRuehl" w:hint="cs"/>
          <w:sz w:val="20"/>
          <w:szCs w:val="22"/>
          <w:rtl/>
        </w:rPr>
        <w:t>בשנים 2013-2007. עם זאת יחס החוב של משקי הבית לתוצר</w:t>
      </w:r>
      <w:r>
        <w:rPr>
          <w:rStyle w:val="FootnoteReference0"/>
          <w:rFonts w:cs="FrankRuehl"/>
          <w:sz w:val="20"/>
          <w:szCs w:val="22"/>
          <w:rtl/>
        </w:rPr>
        <w:footnoteReference w:id="7"/>
      </w:r>
      <w:r w:rsidRPr="001F3DFF">
        <w:rPr>
          <w:rFonts w:cs="FrankRuehl" w:hint="cs"/>
          <w:sz w:val="20"/>
          <w:szCs w:val="22"/>
          <w:rtl/>
        </w:rPr>
        <w:t xml:space="preserve"> נותר נמוך בהשוואה לרוב המדינות המפותחות, וב-2013 ע</w:t>
      </w:r>
      <w:r w:rsidRPr="001F3DFF">
        <w:rPr>
          <w:rFonts w:cs="FrankRuehl"/>
          <w:sz w:val="20"/>
          <w:szCs w:val="22"/>
          <w:rtl/>
        </w:rPr>
        <w:t>מד</w:t>
      </w:r>
      <w:r w:rsidRPr="001F3DFF">
        <w:rPr>
          <w:rFonts w:cs="FrankRuehl" w:hint="cs"/>
          <w:sz w:val="20"/>
          <w:szCs w:val="22"/>
          <w:rtl/>
        </w:rPr>
        <w:t>, על פי נתוני בנק ישראל,</w:t>
      </w:r>
      <w:r w:rsidRPr="001F3DFF">
        <w:rPr>
          <w:rFonts w:cs="FrankRuehl"/>
          <w:sz w:val="20"/>
          <w:szCs w:val="22"/>
          <w:rtl/>
        </w:rPr>
        <w:t xml:space="preserve"> על כ-39% לעומת 71% בגוש ה</w:t>
      </w:r>
      <w:r w:rsidRPr="001F3DFF">
        <w:rPr>
          <w:rFonts w:cs="FrankRuehl" w:hint="cs"/>
          <w:sz w:val="20"/>
          <w:szCs w:val="22"/>
          <w:rtl/>
        </w:rPr>
        <w:t>אי</w:t>
      </w:r>
      <w:r w:rsidRPr="001F3DFF">
        <w:rPr>
          <w:rFonts w:cs="FrankRuehl"/>
          <w:sz w:val="20"/>
          <w:szCs w:val="22"/>
          <w:rtl/>
        </w:rPr>
        <w:t>רו ו-83% באר</w:t>
      </w:r>
      <w:r w:rsidRPr="001F3DFF">
        <w:rPr>
          <w:rFonts w:cs="FrankRuehl" w:hint="cs"/>
          <w:sz w:val="20"/>
          <w:szCs w:val="22"/>
          <w:rtl/>
        </w:rPr>
        <w:t>צות הברית</w:t>
      </w:r>
      <w:r w:rsidRPr="001F3DFF">
        <w:rPr>
          <w:rFonts w:cs="FrankRuehl"/>
          <w:sz w:val="20"/>
          <w:szCs w:val="22"/>
          <w:rtl/>
        </w:rPr>
        <w:t>.</w:t>
      </w:r>
      <w:r w:rsidRPr="001F3DFF">
        <w:rPr>
          <w:rFonts w:cs="FrankRuehl" w:hint="cs"/>
          <w:sz w:val="20"/>
          <w:szCs w:val="22"/>
          <w:rtl/>
        </w:rPr>
        <w:t xml:space="preserve"> מתרשים 1 להלן עולה כי יחס חובות משקי הבית בישראל לתמ"ג עלה בהדרגתיות משנת 2001 ועד 2011 ולאחר מכן ירד מעט.</w:t>
      </w:r>
    </w:p>
    <w:p w:rsidR="005E5B2C" w:rsidRPr="001F3DFF" w:rsidP="00FB46AA">
      <w:pPr>
        <w:spacing w:after="240" w:line="240" w:lineRule="atLeast"/>
        <w:jc w:val="center"/>
        <w:rPr>
          <w:rFonts w:cs="FrankRuehl"/>
          <w:sz w:val="20"/>
          <w:szCs w:val="22"/>
          <w:rtl/>
        </w:rPr>
      </w:pPr>
      <w:r>
        <w:rPr>
          <w:rFonts w:cs="FrankRuehl"/>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204.5pt">
            <v:imagedata r:id="rId6" o:title="02-g-1"/>
          </v:shape>
        </w:pict>
      </w:r>
    </w:p>
    <w:p w:rsidR="005E5B2C" w:rsidRPr="001F3DFF" w:rsidP="00FB46AA">
      <w:pPr>
        <w:spacing w:after="120" w:line="230" w:lineRule="exact"/>
        <w:jc w:val="both"/>
        <w:rPr>
          <w:rFonts w:cs="FrankRuehl"/>
          <w:sz w:val="20"/>
          <w:szCs w:val="22"/>
          <w:rtl/>
        </w:rPr>
      </w:pPr>
      <w:r w:rsidRPr="001F3DFF">
        <w:rPr>
          <w:rFonts w:cs="FrankRuehl" w:hint="cs"/>
          <w:sz w:val="20"/>
          <w:szCs w:val="22"/>
          <w:rtl/>
        </w:rPr>
        <w:t>עיקר הגידול בחובות משקי הבית נבע מהעלייה בהיקף האשראי לדיור, שהוא כ-70% מהאשראי הניתן למשקי בית. עם זאת בשנת 2013 חלה עלייה של כ-7% באשראי שאינו לדיור (להלן - האשראי הצרכני</w:t>
      </w:r>
      <w:r>
        <w:rPr>
          <w:rStyle w:val="FootnoteReference0"/>
          <w:rFonts w:cs="FrankRuehl"/>
          <w:sz w:val="20"/>
          <w:szCs w:val="22"/>
          <w:rtl/>
        </w:rPr>
        <w:footnoteReference w:id="8"/>
      </w:r>
      <w:r w:rsidRPr="001F3DFF">
        <w:rPr>
          <w:rFonts w:cs="FrankRuehl" w:hint="cs"/>
          <w:sz w:val="20"/>
          <w:szCs w:val="22"/>
          <w:rtl/>
        </w:rPr>
        <w:t>), בין היתר בשל סביבת הריבית הנמוכה</w:t>
      </w:r>
      <w:r>
        <w:rPr>
          <w:rStyle w:val="FootnoteReference0"/>
          <w:rFonts w:cs="FrankRuehl"/>
          <w:sz w:val="20"/>
          <w:szCs w:val="22"/>
          <w:rtl/>
        </w:rPr>
        <w:footnoteReference w:id="9"/>
      </w:r>
      <w:r w:rsidRPr="001F3DFF">
        <w:rPr>
          <w:rFonts w:cs="FrankRuehl" w:hint="cs"/>
          <w:sz w:val="20"/>
          <w:szCs w:val="22"/>
          <w:rtl/>
        </w:rPr>
        <w:t xml:space="preserve"> במשק בשנים האחרונות. תרשים 2 להלן מראה כי החוב הצרכני (החוב שלא לדיור) של משקי הבית גדל בעשור האחרון בקצב מהיר יותר מהחוב לדיור ומסך היקף החובות של משקי הבית בישראל.</w:t>
      </w:r>
    </w:p>
    <w:p w:rsidR="005E5B2C" w:rsidP="00E001C6">
      <w:pPr>
        <w:spacing w:after="180" w:line="240" w:lineRule="atLeast"/>
        <w:jc w:val="center"/>
        <w:rPr>
          <w:rFonts w:cs="FrankRuehl"/>
          <w:sz w:val="20"/>
          <w:szCs w:val="22"/>
        </w:rPr>
      </w:pPr>
      <w:r>
        <w:rPr>
          <w:rFonts w:cs="FrankRuehl"/>
          <w:sz w:val="20"/>
          <w:szCs w:val="22"/>
          <w:rtl/>
        </w:rPr>
        <w:br w:type="page"/>
      </w:r>
      <w:r>
        <w:rPr>
          <w:rFonts w:cs="FrankRuehl"/>
          <w:sz w:val="20"/>
          <w:szCs w:val="22"/>
        </w:rPr>
        <w:pict>
          <v:shape id="_x0000_i1026" type="#_x0000_t75" style="width:340pt;height:204.5pt">
            <v:imagedata r:id="rId7" o:title="02-g-2"/>
          </v:shape>
        </w:pict>
      </w:r>
    </w:p>
    <w:p w:rsidR="005E5B2C" w:rsidRPr="001F3DFF" w:rsidP="00FB46AA">
      <w:pPr>
        <w:spacing w:after="240" w:line="224" w:lineRule="exact"/>
        <w:jc w:val="both"/>
        <w:rPr>
          <w:rFonts w:cs="FrankRuehl"/>
          <w:sz w:val="20"/>
          <w:szCs w:val="22"/>
          <w:rtl/>
        </w:rPr>
      </w:pPr>
      <w:r w:rsidRPr="001F3DFF">
        <w:rPr>
          <w:rFonts w:cs="FrankRuehl" w:hint="cs"/>
          <w:sz w:val="20"/>
          <w:szCs w:val="22"/>
          <w:rtl/>
        </w:rPr>
        <w:t>מתרשים 3 להלן עולה כי יחס חובות משקי הבית להכנסה הפנויה</w:t>
      </w:r>
      <w:r>
        <w:rPr>
          <w:rStyle w:val="FootnoteReference0"/>
          <w:rFonts w:cs="FrankRuehl"/>
          <w:sz w:val="20"/>
          <w:szCs w:val="22"/>
          <w:rtl/>
        </w:rPr>
        <w:footnoteReference w:id="10"/>
      </w:r>
      <w:r w:rsidRPr="001F3DFF">
        <w:rPr>
          <w:rFonts w:cs="FrankRuehl" w:hint="cs"/>
          <w:sz w:val="20"/>
          <w:szCs w:val="22"/>
          <w:rtl/>
        </w:rPr>
        <w:t xml:space="preserve"> עמד בשנת 2012 על כ-44%, ומשנת 2001 עלה בכ-14% על פי נתוני ה-</w:t>
      </w:r>
      <w:r w:rsidRPr="001F3DFF">
        <w:rPr>
          <w:rFonts w:cs="FrankRuehl"/>
          <w:sz w:val="20"/>
          <w:szCs w:val="22"/>
        </w:rPr>
        <w:t>OECD</w:t>
      </w:r>
      <w:r w:rsidRPr="001F3DFF">
        <w:rPr>
          <w:rFonts w:cs="FrankRuehl" w:hint="cs"/>
          <w:sz w:val="20"/>
          <w:szCs w:val="22"/>
          <w:rtl/>
        </w:rPr>
        <w:t xml:space="preserve"> ובכ-3% על פי נתוני בנק ישראל. </w:t>
      </w:r>
    </w:p>
    <w:p w:rsidR="002112B6" w:rsidRPr="001F3DFF" w:rsidP="00FB46AA">
      <w:pPr>
        <w:spacing w:after="180" w:line="240" w:lineRule="atLeast"/>
        <w:jc w:val="center"/>
        <w:rPr>
          <w:rFonts w:cs="FrankRuehl"/>
          <w:sz w:val="20"/>
          <w:szCs w:val="22"/>
          <w:rtl/>
        </w:rPr>
      </w:pPr>
      <w:r>
        <w:rPr>
          <w:rFonts w:cs="FrankRuehl"/>
          <w:sz w:val="20"/>
          <w:szCs w:val="22"/>
        </w:rPr>
        <w:pict>
          <v:shape id="_x0000_i1027" type="#_x0000_t75" style="width:340pt;height:204.5pt">
            <v:imagedata r:id="rId8" o:title="02-g-3"/>
          </v:shape>
        </w:pict>
      </w:r>
    </w:p>
    <w:p w:rsidR="005E5B2C" w:rsidRPr="001F3DFF" w:rsidP="00FB46AA">
      <w:pPr>
        <w:spacing w:after="120" w:line="224" w:lineRule="exact"/>
        <w:jc w:val="both"/>
        <w:rPr>
          <w:rFonts w:cs="FrankRuehl"/>
          <w:b/>
          <w:bCs/>
          <w:sz w:val="20"/>
          <w:szCs w:val="22"/>
          <w:rtl/>
        </w:rPr>
      </w:pPr>
      <w:r w:rsidRPr="001F3DFF">
        <w:rPr>
          <w:rFonts w:cs="FrankRuehl" w:hint="cs"/>
          <w:sz w:val="20"/>
          <w:szCs w:val="22"/>
          <w:rtl/>
        </w:rPr>
        <w:t>מהתרשימים 1 ו-3 לעיל עולה כי יש פער בין נתוני בנק ישראל לנתוני ה-</w:t>
      </w:r>
      <w:r w:rsidRPr="001F3DFF">
        <w:rPr>
          <w:rFonts w:cs="FrankRuehl"/>
          <w:sz w:val="20"/>
          <w:szCs w:val="22"/>
        </w:rPr>
        <w:t>OECD</w:t>
      </w:r>
      <w:r w:rsidRPr="001F3DFF">
        <w:rPr>
          <w:rFonts w:cs="FrankRuehl" w:hint="cs"/>
          <w:sz w:val="20"/>
          <w:szCs w:val="22"/>
          <w:rtl/>
        </w:rPr>
        <w:t xml:space="preserve">. על פי נתוני </w:t>
      </w:r>
      <w:r w:rsidR="004214D8">
        <w:rPr>
          <w:rFonts w:cs="FrankRuehl"/>
          <w:sz w:val="20"/>
          <w:szCs w:val="22"/>
          <w:rtl/>
        </w:rPr>
        <w:br/>
      </w:r>
      <w:r w:rsidRPr="001F3DFF">
        <w:rPr>
          <w:rFonts w:cs="FrankRuehl" w:hint="cs"/>
          <w:sz w:val="20"/>
          <w:szCs w:val="22"/>
          <w:rtl/>
        </w:rPr>
        <w:t>ה-</w:t>
      </w:r>
      <w:r w:rsidRPr="001F3DFF">
        <w:rPr>
          <w:rFonts w:cs="FrankRuehl"/>
          <w:sz w:val="20"/>
          <w:szCs w:val="22"/>
        </w:rPr>
        <w:t>OECD</w:t>
      </w:r>
      <w:r w:rsidRPr="001F3DFF">
        <w:rPr>
          <w:rFonts w:cs="FrankRuehl" w:hint="cs"/>
          <w:sz w:val="20"/>
          <w:szCs w:val="22"/>
          <w:rtl/>
        </w:rPr>
        <w:t xml:space="preserve"> ב-2012 עמד יחס חובות משקי הבית לתמ"ג על כ-46%, ואילו על פי נתוני בנק ישראל עמד יחס זה על כ-38%. כמו כן, על פי נתוני ה-</w:t>
      </w:r>
      <w:r w:rsidRPr="001F3DFF">
        <w:rPr>
          <w:rFonts w:cs="FrankRuehl"/>
          <w:sz w:val="20"/>
          <w:szCs w:val="22"/>
        </w:rPr>
        <w:t>OECD</w:t>
      </w:r>
      <w:r w:rsidRPr="001F3DFF">
        <w:rPr>
          <w:rFonts w:cs="FrankRuehl" w:hint="cs"/>
          <w:sz w:val="20"/>
          <w:szCs w:val="22"/>
          <w:rtl/>
        </w:rPr>
        <w:t xml:space="preserve"> עמד יחס חובות משקי הבית להכנסה הפנויה על כ-53% בשנת 2012, ואילו על פי נתוני בנק ישראל עמד על כ-44%</w:t>
      </w:r>
      <w:r w:rsidRPr="001F3DFF">
        <w:rPr>
          <w:rFonts w:cs="FrankRuehl"/>
          <w:sz w:val="20"/>
          <w:szCs w:val="22"/>
          <w:rtl/>
        </w:rPr>
        <w:t>.</w:t>
      </w:r>
    </w:p>
    <w:p w:rsidR="005E5B2C" w:rsidRPr="001F3DFF" w:rsidP="00FB46AA">
      <w:pPr>
        <w:spacing w:after="120" w:line="224" w:lineRule="exact"/>
        <w:jc w:val="both"/>
        <w:rPr>
          <w:rFonts w:cs="FrankRuehl"/>
          <w:sz w:val="20"/>
          <w:szCs w:val="22"/>
          <w:rtl/>
        </w:rPr>
      </w:pPr>
      <w:r w:rsidRPr="001F3DFF">
        <w:rPr>
          <w:rFonts w:cs="FrankRuehl" w:hint="cs"/>
          <w:sz w:val="20"/>
          <w:szCs w:val="22"/>
          <w:rtl/>
        </w:rPr>
        <w:t>נמצא כי המקור לפער האמור הוא הבדלים בהגדרת הנתון "אשראי למשקי בית".</w:t>
      </w:r>
    </w:p>
    <w:p w:rsidR="005E5B2C" w:rsidRPr="001F3DFF" w:rsidP="00FB46AA">
      <w:pPr>
        <w:spacing w:after="240" w:line="224" w:lineRule="exact"/>
        <w:jc w:val="both"/>
        <w:rPr>
          <w:rFonts w:cs="FrankRuehl"/>
          <w:sz w:val="20"/>
          <w:szCs w:val="22"/>
          <w:rtl/>
        </w:rPr>
      </w:pPr>
      <w:r w:rsidRPr="001F3DFF">
        <w:rPr>
          <w:rFonts w:cs="FrankRuehl" w:hint="cs"/>
          <w:sz w:val="20"/>
          <w:szCs w:val="22"/>
          <w:rtl/>
        </w:rPr>
        <w:t>בנק ישראל מסר למשרד מבקר המדינה בדצמבר 2014 כי רוב הפער בין סדרת האשראי למשקי בית של בנק ישראל לנתוני ה-</w:t>
      </w:r>
      <w:r w:rsidRPr="001F3DFF">
        <w:rPr>
          <w:rFonts w:cs="FrankRuehl"/>
          <w:sz w:val="20"/>
          <w:szCs w:val="22"/>
        </w:rPr>
        <w:t>OECD</w:t>
      </w:r>
      <w:r w:rsidRPr="001F3DFF">
        <w:rPr>
          <w:rFonts w:cs="FrankRuehl" w:hint="cs"/>
          <w:sz w:val="20"/>
          <w:szCs w:val="22"/>
          <w:rtl/>
        </w:rPr>
        <w:t xml:space="preserve"> מוסבר באשראי ליחידים שאינם פרטיים. ממרץ</w:t>
      </w:r>
      <w:r w:rsidRPr="001F3DFF">
        <w:rPr>
          <w:rFonts w:cs="FrankRuehl"/>
          <w:sz w:val="20"/>
          <w:szCs w:val="22"/>
          <w:rtl/>
        </w:rPr>
        <w:t xml:space="preserve"> 2014 אין בדיווחים לבנק ישראל קטגוריה של יחידים שאינם </w:t>
      </w:r>
      <w:r w:rsidRPr="001F3DFF">
        <w:rPr>
          <w:rFonts w:cs="FrankRuehl" w:hint="cs"/>
          <w:sz w:val="20"/>
          <w:szCs w:val="22"/>
          <w:rtl/>
        </w:rPr>
        <w:t>פרטיים,</w:t>
      </w:r>
      <w:r w:rsidRPr="001F3DFF">
        <w:rPr>
          <w:rFonts w:cs="FrankRuehl"/>
          <w:sz w:val="20"/>
          <w:szCs w:val="22"/>
          <w:rtl/>
        </w:rPr>
        <w:t xml:space="preserve"> וכל האשראי שניתן להם מסווג כחלק מהאשראי המסחרי. </w:t>
      </w:r>
      <w:r w:rsidRPr="001F3DFF">
        <w:rPr>
          <w:rFonts w:cs="FrankRuehl" w:hint="cs"/>
          <w:sz w:val="20"/>
          <w:szCs w:val="22"/>
          <w:rtl/>
        </w:rPr>
        <w:t>משום כך,</w:t>
      </w:r>
      <w:r w:rsidRPr="001F3DFF">
        <w:rPr>
          <w:rFonts w:cs="FrankRuehl"/>
          <w:sz w:val="20"/>
          <w:szCs w:val="22"/>
          <w:rtl/>
        </w:rPr>
        <w:t xml:space="preserve"> וכדי שסדרת האשראי תהיה עקבית על פני שנים, </w:t>
      </w:r>
      <w:r w:rsidRPr="001F3DFF">
        <w:rPr>
          <w:rFonts w:cs="FrankRuehl" w:hint="cs"/>
          <w:sz w:val="20"/>
          <w:szCs w:val="22"/>
          <w:rtl/>
        </w:rPr>
        <w:t>החליט בנק ישראל</w:t>
      </w:r>
      <w:r w:rsidRPr="001F3DFF">
        <w:rPr>
          <w:rFonts w:cs="FrankRuehl"/>
          <w:sz w:val="20"/>
          <w:szCs w:val="22"/>
          <w:rtl/>
        </w:rPr>
        <w:t xml:space="preserve"> לכלול לאורך כל התקופה את האשראי ליחידים שאינם פרטיים באשראי העסקי</w:t>
      </w:r>
      <w:r w:rsidRPr="001F3DFF">
        <w:rPr>
          <w:rFonts w:cs="FrankRuehl" w:hint="cs"/>
          <w:sz w:val="20"/>
          <w:szCs w:val="22"/>
          <w:rtl/>
        </w:rPr>
        <w:t xml:space="preserve"> ולא באשראי למשקי בית. </w:t>
      </w:r>
    </w:p>
    <w:p w:rsidR="005E5B2C" w:rsidRPr="001F3DFF" w:rsidP="00FB46AA">
      <w:pPr>
        <w:pStyle w:val="RESHET"/>
        <w:spacing w:line="224" w:lineRule="exact"/>
        <w:rPr>
          <w:rtl/>
        </w:rPr>
      </w:pPr>
      <w:r w:rsidRPr="001F3DFF">
        <w:rPr>
          <w:rFonts w:hint="cs"/>
          <w:rtl/>
        </w:rPr>
        <w:t>על אף השוני בין שיטות החישוב של בנק ישראל ושל ה-</w:t>
      </w:r>
      <w:r w:rsidRPr="001F3DFF">
        <w:t>OECD</w:t>
      </w:r>
      <w:r w:rsidRPr="001F3DFF">
        <w:rPr>
          <w:rFonts w:hint="cs"/>
          <w:rtl/>
        </w:rPr>
        <w:t>, מציג בנק ישראל בדוח שפרסם ביוני 2014 על היציבות הפיננסית</w:t>
      </w:r>
      <w:r>
        <w:rPr>
          <w:rStyle w:val="FootnoteReference0"/>
          <w:rFonts w:cs="FrankRuehl"/>
          <w:rtl/>
        </w:rPr>
        <w:footnoteReference w:id="11"/>
      </w:r>
      <w:r w:rsidRPr="001F3DFF">
        <w:rPr>
          <w:rFonts w:hint="cs"/>
          <w:rtl/>
        </w:rPr>
        <w:t xml:space="preserve"> השוואה בין יחס חובות משקי הבית בישראל להכנסה הפנויה לבין יחס זה במדינות ה-</w:t>
      </w:r>
      <w:r w:rsidRPr="001F3DFF">
        <w:t>OECD</w:t>
      </w:r>
      <w:r w:rsidRPr="001F3DFF">
        <w:rPr>
          <w:rFonts w:hint="cs"/>
          <w:rtl/>
        </w:rPr>
        <w:t>, ללא ביאור או הערה בדבר השוני בין שיטות החישוב. יצוין כי נתוני בנק ישראל מציגים את מצבה של ישראל כחיובי יותר ממצבה לפי אותם נתונים המחושבים לפי שיטת ה-</w:t>
      </w:r>
      <w:r w:rsidRPr="001F3DFF">
        <w:t>OECD</w:t>
      </w:r>
      <w:r w:rsidRPr="001F3DFF">
        <w:rPr>
          <w:rFonts w:hint="cs"/>
          <w:rtl/>
        </w:rPr>
        <w:t>, כפי שעולה מתרשים 3 לעיל.</w:t>
      </w:r>
    </w:p>
    <w:p w:rsidR="005E5B2C" w:rsidRPr="001F3DFF" w:rsidP="00FB46AA">
      <w:pPr>
        <w:pStyle w:val="RESHET"/>
        <w:spacing w:line="224" w:lineRule="exact"/>
        <w:rPr>
          <w:rtl/>
        </w:rPr>
      </w:pPr>
      <w:r w:rsidRPr="001F3DFF">
        <w:rPr>
          <w:rFonts w:hint="cs"/>
          <w:rtl/>
        </w:rPr>
        <w:t xml:space="preserve">לדעת משרד מבקר המדינה, בגלל השוני בין שיטת החישוב של בנק ישראל לבין שיטת </w:t>
      </w:r>
      <w:r w:rsidR="004214D8">
        <w:rPr>
          <w:rtl/>
        </w:rPr>
        <w:br/>
      </w:r>
      <w:r w:rsidRPr="001F3DFF">
        <w:rPr>
          <w:rFonts w:hint="cs"/>
          <w:rtl/>
        </w:rPr>
        <w:t>ה-</w:t>
      </w:r>
      <w:r w:rsidRPr="001F3DFF">
        <w:t>OECD</w:t>
      </w:r>
      <w:r w:rsidRPr="001F3DFF">
        <w:rPr>
          <w:rtl/>
        </w:rPr>
        <w:t xml:space="preserve"> </w:t>
      </w:r>
      <w:r w:rsidRPr="001F3DFF">
        <w:rPr>
          <w:rFonts w:hint="cs"/>
          <w:rtl/>
        </w:rPr>
        <w:t>אין מקום להציג השוואה בין נתונים אלו - שהם נתונים שונים בהרכבם - בלי לציין את דבר השוני בשיטות החישוב.</w:t>
      </w:r>
    </w:p>
    <w:p w:rsidR="005E5B2C" w:rsidRPr="001F3DFF" w:rsidP="00FB46AA">
      <w:pPr>
        <w:spacing w:before="180" w:after="120" w:line="224" w:lineRule="exact"/>
        <w:jc w:val="both"/>
        <w:rPr>
          <w:rFonts w:cs="FrankRuehl"/>
          <w:sz w:val="20"/>
          <w:szCs w:val="22"/>
          <w:rtl/>
        </w:rPr>
      </w:pPr>
      <w:r w:rsidRPr="001F3DFF">
        <w:rPr>
          <w:rFonts w:cs="FrankRuehl" w:hint="cs"/>
          <w:sz w:val="20"/>
          <w:szCs w:val="22"/>
          <w:rtl/>
        </w:rPr>
        <w:t xml:space="preserve">מנהל חטיבת המחקר בבנק ישראל פרופ' נתן זוסמן והמפקח על הבנקים מר דוד זקן מסרו בתשובתם למשרד מבקר המדינה ממרץ 2015 (להלן - תשובת בנק ישראל) כי הבנק מסכים כי היה מקום לכלול בדוח היציבות הפיננסית הערה על הפער בין נתוניו לנתוני </w:t>
      </w:r>
      <w:r w:rsidRPr="001F3DFF">
        <w:rPr>
          <w:rFonts w:cs="FrankRuehl" w:hint="cs"/>
          <w:sz w:val="20"/>
          <w:szCs w:val="22"/>
          <w:rtl/>
        </w:rPr>
        <w:t>הלמ"ס</w:t>
      </w:r>
      <w:r w:rsidRPr="001F3DFF">
        <w:rPr>
          <w:rFonts w:cs="FrankRuehl" w:hint="cs"/>
          <w:sz w:val="20"/>
          <w:szCs w:val="22"/>
          <w:rtl/>
        </w:rPr>
        <w:t xml:space="preserve"> המדווחים </w:t>
      </w:r>
      <w:r w:rsidR="004214D8">
        <w:rPr>
          <w:rFonts w:cs="FrankRuehl"/>
          <w:sz w:val="20"/>
          <w:szCs w:val="22"/>
          <w:rtl/>
        </w:rPr>
        <w:br/>
      </w:r>
      <w:r w:rsidRPr="001F3DFF">
        <w:rPr>
          <w:rFonts w:cs="FrankRuehl" w:hint="cs"/>
          <w:sz w:val="20"/>
          <w:szCs w:val="22"/>
          <w:rtl/>
        </w:rPr>
        <w:t>ל-</w:t>
      </w:r>
      <w:r w:rsidRPr="001F3DFF">
        <w:rPr>
          <w:rFonts w:cs="FrankRuehl"/>
          <w:sz w:val="20"/>
          <w:szCs w:val="22"/>
        </w:rPr>
        <w:t>OECD</w:t>
      </w:r>
      <w:r w:rsidRPr="001F3DFF">
        <w:rPr>
          <w:rFonts w:cs="FrankRuehl" w:hint="cs"/>
          <w:sz w:val="20"/>
          <w:szCs w:val="22"/>
          <w:rtl/>
        </w:rPr>
        <w:t xml:space="preserve">, "אף שאין הדבר משנה כלל את התמונה הכוללת ביחס למצב בישראל שהינו, כאמור טוב בהרבה בהשוואה למדינות מפותחות בעולם". </w:t>
      </w:r>
    </w:p>
    <w:p w:rsidR="005E5B2C" w:rsidRPr="001F3DFF" w:rsidP="00FB46AA">
      <w:pPr>
        <w:spacing w:after="120" w:line="224" w:lineRule="exact"/>
        <w:jc w:val="both"/>
        <w:rPr>
          <w:rFonts w:cs="FrankRuehl"/>
          <w:sz w:val="20"/>
          <w:szCs w:val="22"/>
          <w:rtl/>
        </w:rPr>
      </w:pPr>
      <w:r w:rsidRPr="001F3DFF">
        <w:rPr>
          <w:rFonts w:cs="FrankRuehl" w:hint="cs"/>
          <w:sz w:val="20"/>
          <w:szCs w:val="22"/>
          <w:rtl/>
        </w:rPr>
        <w:t xml:space="preserve">אשראי, ובכללו אשראי צרכני, חיוני לכלכלה ומאפשר למשקי הבית לנהל את תזרים המזומנים שלהם לאורך זמן. למינוף גבוה של משקי בית עלולות להיות השפעות על הפעילות הכלכלית, שכן משקי בית ממונפים </w:t>
      </w:r>
      <w:r w:rsidRPr="001F3DFF">
        <w:rPr>
          <w:rFonts w:cs="FrankRuehl"/>
          <w:sz w:val="20"/>
          <w:szCs w:val="22"/>
          <w:rtl/>
        </w:rPr>
        <w:t>חשו</w:t>
      </w:r>
      <w:r w:rsidRPr="001F3DFF">
        <w:rPr>
          <w:rFonts w:cs="FrankRuehl" w:hint="cs"/>
          <w:sz w:val="20"/>
          <w:szCs w:val="22"/>
          <w:rtl/>
        </w:rPr>
        <w:t>פים</w:t>
      </w:r>
      <w:r w:rsidRPr="001F3DFF">
        <w:rPr>
          <w:rFonts w:cs="FrankRuehl"/>
          <w:sz w:val="20"/>
          <w:szCs w:val="22"/>
          <w:rtl/>
        </w:rPr>
        <w:t xml:space="preserve"> </w:t>
      </w:r>
      <w:r w:rsidRPr="001F3DFF">
        <w:rPr>
          <w:rFonts w:cs="FrankRuehl" w:hint="cs"/>
          <w:sz w:val="20"/>
          <w:szCs w:val="22"/>
          <w:rtl/>
        </w:rPr>
        <w:t xml:space="preserve">ורגישים </w:t>
      </w:r>
      <w:r w:rsidRPr="001F3DFF">
        <w:rPr>
          <w:rFonts w:cs="FrankRuehl"/>
          <w:sz w:val="20"/>
          <w:szCs w:val="22"/>
          <w:rtl/>
        </w:rPr>
        <w:t>יותר לזעזועים</w:t>
      </w:r>
      <w:r w:rsidRPr="001F3DFF">
        <w:rPr>
          <w:rFonts w:cs="FrankRuehl" w:hint="cs"/>
          <w:sz w:val="20"/>
          <w:szCs w:val="22"/>
          <w:rtl/>
        </w:rPr>
        <w:t xml:space="preserve"> במשק, </w:t>
      </w:r>
      <w:r w:rsidRPr="001F3DFF">
        <w:rPr>
          <w:rFonts w:cs="FrankRuehl"/>
          <w:sz w:val="20"/>
          <w:szCs w:val="22"/>
          <w:rtl/>
        </w:rPr>
        <w:t>ל</w:t>
      </w:r>
      <w:r w:rsidRPr="001F3DFF">
        <w:rPr>
          <w:rFonts w:cs="FrankRuehl" w:hint="cs"/>
          <w:sz w:val="20"/>
          <w:szCs w:val="22"/>
          <w:rtl/>
        </w:rPr>
        <w:t>תנודות ב</w:t>
      </w:r>
      <w:r w:rsidRPr="001F3DFF">
        <w:rPr>
          <w:rFonts w:cs="FrankRuehl"/>
          <w:sz w:val="20"/>
          <w:szCs w:val="22"/>
          <w:rtl/>
        </w:rPr>
        <w:t>שיעורי הריבית, ל</w:t>
      </w:r>
      <w:r w:rsidRPr="001F3DFF">
        <w:rPr>
          <w:rFonts w:cs="FrankRuehl" w:hint="cs"/>
          <w:sz w:val="20"/>
          <w:szCs w:val="22"/>
          <w:rtl/>
        </w:rPr>
        <w:t xml:space="preserve">תנודות במחירי הדיור ולשינויים </w:t>
      </w:r>
      <w:r w:rsidRPr="001F3DFF">
        <w:rPr>
          <w:rFonts w:cs="FrankRuehl"/>
          <w:sz w:val="20"/>
          <w:szCs w:val="22"/>
          <w:rtl/>
        </w:rPr>
        <w:t>בהכנסות</w:t>
      </w:r>
      <w:r w:rsidRPr="001F3DFF">
        <w:rPr>
          <w:rFonts w:cs="FrankRuehl" w:hint="cs"/>
          <w:sz w:val="20"/>
          <w:szCs w:val="22"/>
          <w:rtl/>
        </w:rPr>
        <w:t xml:space="preserve"> או לציפיות לשינויים בהן.</w:t>
      </w:r>
      <w:r w:rsidRPr="001F3DFF">
        <w:rPr>
          <w:rFonts w:cs="FrankRuehl"/>
          <w:sz w:val="20"/>
          <w:szCs w:val="22"/>
          <w:rtl/>
        </w:rPr>
        <w:t xml:space="preserve"> </w:t>
      </w:r>
      <w:r w:rsidRPr="001F3DFF">
        <w:rPr>
          <w:rFonts w:cs="FrankRuehl" w:hint="cs"/>
          <w:sz w:val="20"/>
          <w:szCs w:val="22"/>
          <w:rtl/>
        </w:rPr>
        <w:t>צבירת חובות על ידי משקי בית בתקופות של גאות כלכלית מגדילה את הסיכון לקשיים ביציאה ממיתון, בשל שינויים פתאומיים בצריכה הפרטית - למשל כתגובה לעלייה בריבית במשק, לירידה במחירי הדיור או למצב הגאופוליטי. לצריכה הפרטית יש השפעה ישירה על התוצר; שינוי בצריכה הפרטית בדרך כלל ישפיע באותו כיוון גם על התוצר.</w:t>
      </w:r>
    </w:p>
    <w:p w:rsidR="005E5B2C" w:rsidRPr="001F3DFF" w:rsidP="00FB46AA">
      <w:pPr>
        <w:spacing w:line="224" w:lineRule="exact"/>
        <w:jc w:val="both"/>
        <w:rPr>
          <w:rFonts w:cs="FrankRuehl"/>
          <w:sz w:val="20"/>
          <w:szCs w:val="22"/>
          <w:rtl/>
        </w:rPr>
      </w:pPr>
      <w:r w:rsidRPr="001F3DFF">
        <w:rPr>
          <w:rFonts w:cs="FrankRuehl" w:hint="cs"/>
          <w:sz w:val="20"/>
          <w:szCs w:val="22"/>
          <w:rtl/>
        </w:rPr>
        <w:t>בשנת 2012 פרסמה קרן המטבע הבין-לאומית (</w:t>
      </w:r>
      <w:r w:rsidRPr="001F3DFF">
        <w:rPr>
          <w:rFonts w:cs="FrankRuehl"/>
          <w:sz w:val="20"/>
          <w:szCs w:val="22"/>
        </w:rPr>
        <w:t>International Monetary Fund</w:t>
      </w:r>
      <w:r w:rsidRPr="001F3DFF">
        <w:rPr>
          <w:rFonts w:cs="FrankRuehl" w:hint="cs"/>
          <w:sz w:val="20"/>
          <w:szCs w:val="22"/>
          <w:rtl/>
        </w:rPr>
        <w:t>)</w:t>
      </w:r>
      <w:r>
        <w:rPr>
          <w:rStyle w:val="FootnoteReference0"/>
          <w:rFonts w:cs="FrankRuehl"/>
          <w:sz w:val="20"/>
          <w:szCs w:val="22"/>
          <w:rtl/>
        </w:rPr>
        <w:footnoteReference w:id="12"/>
      </w:r>
      <w:r w:rsidRPr="001F3DFF">
        <w:rPr>
          <w:rFonts w:cs="FrankRuehl" w:hint="cs"/>
          <w:sz w:val="20"/>
          <w:szCs w:val="22"/>
          <w:rtl/>
        </w:rPr>
        <w:t xml:space="preserve"> דוח המתאר את השלכות הגידול בחובות משקי הבית על הפעילות הכלכלית. לפי הדוח, </w:t>
      </w:r>
      <w:r w:rsidRPr="001F3DFF">
        <w:rPr>
          <w:rFonts w:cs="FrankRuehl"/>
          <w:sz w:val="20"/>
          <w:szCs w:val="22"/>
          <w:rtl/>
        </w:rPr>
        <w:t>מיתונים</w:t>
      </w:r>
      <w:r w:rsidRPr="001F3DFF">
        <w:rPr>
          <w:rFonts w:cs="FrankRuehl" w:hint="cs"/>
          <w:sz w:val="20"/>
          <w:szCs w:val="22"/>
          <w:rtl/>
        </w:rPr>
        <w:t xml:space="preserve"> במשק נוטים להיות</w:t>
      </w:r>
      <w:r w:rsidRPr="001F3DFF">
        <w:rPr>
          <w:rFonts w:cs="FrankRuehl"/>
          <w:sz w:val="20"/>
          <w:szCs w:val="22"/>
          <w:rtl/>
        </w:rPr>
        <w:t xml:space="preserve"> חמורים יותר כאשר </w:t>
      </w:r>
      <w:r w:rsidRPr="001F3DFF">
        <w:rPr>
          <w:rFonts w:cs="FrankRuehl" w:hint="cs"/>
          <w:sz w:val="20"/>
          <w:szCs w:val="22"/>
          <w:rtl/>
        </w:rPr>
        <w:t>קדמו להם</w:t>
      </w:r>
      <w:r w:rsidRPr="001F3DFF">
        <w:rPr>
          <w:rFonts w:cs="FrankRuehl"/>
          <w:sz w:val="20"/>
          <w:szCs w:val="22"/>
          <w:rtl/>
        </w:rPr>
        <w:t xml:space="preserve"> עליות גדולות יותר בחוב</w:t>
      </w:r>
      <w:r w:rsidRPr="001F3DFF">
        <w:rPr>
          <w:rFonts w:cs="FrankRuehl" w:hint="cs"/>
          <w:sz w:val="20"/>
          <w:szCs w:val="22"/>
          <w:rtl/>
        </w:rPr>
        <w:t>ות</w:t>
      </w:r>
      <w:r w:rsidRPr="001F3DFF">
        <w:rPr>
          <w:rFonts w:cs="FrankRuehl"/>
          <w:sz w:val="20"/>
          <w:szCs w:val="22"/>
          <w:rtl/>
        </w:rPr>
        <w:t xml:space="preserve"> משקי </w:t>
      </w:r>
      <w:r w:rsidRPr="001F3DFF">
        <w:rPr>
          <w:rFonts w:cs="FrankRuehl" w:hint="cs"/>
          <w:sz w:val="20"/>
          <w:szCs w:val="22"/>
          <w:rtl/>
        </w:rPr>
        <w:t>ה</w:t>
      </w:r>
      <w:r w:rsidRPr="001F3DFF">
        <w:rPr>
          <w:rFonts w:cs="FrankRuehl"/>
          <w:sz w:val="20"/>
          <w:szCs w:val="22"/>
          <w:rtl/>
        </w:rPr>
        <w:t>בית</w:t>
      </w:r>
      <w:r w:rsidRPr="001F3DFF">
        <w:rPr>
          <w:rFonts w:cs="FrankRuehl" w:hint="cs"/>
          <w:sz w:val="20"/>
          <w:szCs w:val="22"/>
          <w:rtl/>
        </w:rPr>
        <w:t>. למינוף גבוה של משקי הבית יש אפוא השפעה המחריפה זעזועים שליליים במשק. לפי מחקרים אחרים, יש חשיבות בניתוח אופן חלוקת החוב בין העשירונים שאליהם משתייכים משקי הבית</w:t>
      </w:r>
      <w:r>
        <w:rPr>
          <w:rStyle w:val="FootnoteReference0"/>
          <w:rFonts w:cs="FrankRuehl"/>
          <w:sz w:val="20"/>
          <w:szCs w:val="22"/>
          <w:rtl/>
        </w:rPr>
        <w:footnoteReference w:id="13"/>
      </w:r>
      <w:r w:rsidRPr="001F3DFF">
        <w:rPr>
          <w:rFonts w:cs="FrankRuehl" w:hint="cs"/>
          <w:sz w:val="20"/>
          <w:szCs w:val="22"/>
          <w:rtl/>
        </w:rPr>
        <w:t xml:space="preserve">. </w:t>
      </w:r>
    </w:p>
    <w:p w:rsidR="005E5B2C" w:rsidRPr="001F3DFF" w:rsidP="00FB46AA">
      <w:pPr>
        <w:spacing w:after="120" w:line="230" w:lineRule="exact"/>
        <w:jc w:val="both"/>
        <w:rPr>
          <w:rFonts w:cs="FrankRuehl"/>
          <w:sz w:val="20"/>
          <w:szCs w:val="22"/>
          <w:rtl/>
        </w:rPr>
      </w:pPr>
      <w:r w:rsidRPr="001F3DFF">
        <w:rPr>
          <w:rFonts w:cs="FrankRuehl" w:hint="cs"/>
          <w:sz w:val="20"/>
          <w:szCs w:val="22"/>
          <w:rtl/>
        </w:rPr>
        <w:t>מסקירה של הבנק המרכזי האירופי</w:t>
      </w:r>
      <w:r>
        <w:rPr>
          <w:rStyle w:val="FootnoteReference0"/>
          <w:rFonts w:cs="FrankRuehl"/>
          <w:sz w:val="20"/>
          <w:szCs w:val="22"/>
          <w:rtl/>
        </w:rPr>
        <w:footnoteReference w:id="14"/>
      </w:r>
      <w:r w:rsidRPr="001F3DFF">
        <w:rPr>
          <w:rFonts w:cs="FrankRuehl" w:hint="cs"/>
          <w:sz w:val="20"/>
          <w:szCs w:val="22"/>
          <w:rtl/>
        </w:rPr>
        <w:t xml:space="preserve"> עולה כי מדדים המעידים על מצבם של משקי הבית, כגון שיעור החזר החוב מההכנסה הפנויה, עשויים לסייע בבחינה שוטפת של התפתחות חובות משקי הבית, כדי לעקוב אחר השפעות</w:t>
      </w:r>
      <w:r w:rsidRPr="001F3DFF">
        <w:rPr>
          <w:rFonts w:cs="FrankRuehl"/>
          <w:sz w:val="20"/>
          <w:szCs w:val="22"/>
          <w:rtl/>
        </w:rPr>
        <w:t xml:space="preserve"> צעדי </w:t>
      </w:r>
      <w:r w:rsidRPr="001F3DFF">
        <w:rPr>
          <w:rFonts w:cs="FrankRuehl" w:hint="cs"/>
          <w:sz w:val="20"/>
          <w:szCs w:val="22"/>
          <w:rtl/>
        </w:rPr>
        <w:t>ה</w:t>
      </w:r>
      <w:r w:rsidRPr="001F3DFF">
        <w:rPr>
          <w:rFonts w:cs="FrankRuehl"/>
          <w:sz w:val="20"/>
          <w:szCs w:val="22"/>
          <w:rtl/>
        </w:rPr>
        <w:t xml:space="preserve">מדיניות </w:t>
      </w:r>
      <w:r w:rsidRPr="001F3DFF">
        <w:rPr>
          <w:rFonts w:cs="FrankRuehl" w:hint="cs"/>
          <w:sz w:val="20"/>
          <w:szCs w:val="22"/>
          <w:rtl/>
        </w:rPr>
        <w:t>ה</w:t>
      </w:r>
      <w:r w:rsidRPr="001F3DFF">
        <w:rPr>
          <w:rFonts w:cs="FrankRuehl"/>
          <w:sz w:val="20"/>
          <w:szCs w:val="22"/>
          <w:rtl/>
        </w:rPr>
        <w:t>מוניטרי</w:t>
      </w:r>
      <w:r w:rsidRPr="001F3DFF">
        <w:rPr>
          <w:rFonts w:cs="FrankRuehl" w:hint="cs"/>
          <w:sz w:val="20"/>
          <w:szCs w:val="22"/>
          <w:rtl/>
        </w:rPr>
        <w:t>ת</w:t>
      </w:r>
      <w:r w:rsidRPr="001F3DFF">
        <w:rPr>
          <w:rFonts w:cs="FrankRuehl"/>
          <w:sz w:val="20"/>
          <w:szCs w:val="22"/>
          <w:rtl/>
        </w:rPr>
        <w:t xml:space="preserve"> ו</w:t>
      </w:r>
      <w:r w:rsidRPr="001F3DFF">
        <w:rPr>
          <w:rFonts w:cs="FrankRuehl" w:hint="cs"/>
          <w:sz w:val="20"/>
          <w:szCs w:val="22"/>
          <w:rtl/>
        </w:rPr>
        <w:t xml:space="preserve">כדי לזהות </w:t>
      </w:r>
      <w:r w:rsidRPr="001F3DFF">
        <w:rPr>
          <w:rFonts w:cs="FrankRuehl"/>
          <w:sz w:val="20"/>
          <w:szCs w:val="22"/>
          <w:rtl/>
        </w:rPr>
        <w:t xml:space="preserve">סיכונים </w:t>
      </w:r>
      <w:r w:rsidRPr="001F3DFF">
        <w:rPr>
          <w:rFonts w:cs="FrankRuehl" w:hint="cs"/>
          <w:sz w:val="20"/>
          <w:szCs w:val="22"/>
          <w:rtl/>
        </w:rPr>
        <w:t>ליציבות</w:t>
      </w:r>
      <w:r w:rsidRPr="001F3DFF">
        <w:rPr>
          <w:rFonts w:cs="FrankRuehl"/>
          <w:sz w:val="20"/>
          <w:szCs w:val="22"/>
          <w:rtl/>
        </w:rPr>
        <w:t xml:space="preserve"> </w:t>
      </w:r>
      <w:r w:rsidRPr="001F3DFF">
        <w:rPr>
          <w:rFonts w:cs="FrankRuehl" w:hint="cs"/>
          <w:sz w:val="20"/>
          <w:szCs w:val="22"/>
          <w:rtl/>
        </w:rPr>
        <w:t>ה</w:t>
      </w:r>
      <w:r w:rsidRPr="001F3DFF">
        <w:rPr>
          <w:rFonts w:cs="FrankRuehl"/>
          <w:sz w:val="20"/>
          <w:szCs w:val="22"/>
          <w:rtl/>
        </w:rPr>
        <w:t>פיננסית.</w:t>
      </w:r>
      <w:r w:rsidRPr="001F3DFF">
        <w:rPr>
          <w:rFonts w:cs="FrankRuehl" w:hint="cs"/>
          <w:sz w:val="20"/>
          <w:szCs w:val="22"/>
          <w:rtl/>
        </w:rPr>
        <w:t xml:space="preserve"> לפי הסקירה, ניתוח השפעות המדיניות הכלכלית וניתוח רגישות משקי הבית צריכים להתבצע בהתאם לסוגים של משקי בית, כדי לעמוד על ההשפעות של צעדי מדיניות ספציפיים. </w:t>
      </w:r>
    </w:p>
    <w:p w:rsidR="005E5B2C" w:rsidRPr="001F3DFF" w:rsidP="00FB46AA">
      <w:pPr>
        <w:spacing w:after="240" w:line="230" w:lineRule="exact"/>
        <w:jc w:val="both"/>
        <w:rPr>
          <w:rFonts w:cs="FrankRuehl"/>
          <w:sz w:val="20"/>
          <w:szCs w:val="22"/>
          <w:rtl/>
        </w:rPr>
      </w:pPr>
      <w:r w:rsidRPr="001F3DFF">
        <w:rPr>
          <w:rFonts w:cs="FrankRuehl" w:hint="cs"/>
          <w:sz w:val="20"/>
          <w:szCs w:val="22"/>
          <w:rtl/>
        </w:rPr>
        <w:t xml:space="preserve">המשבר הפיננסי בשנת 2008 והלקחים שנלמדו ממנו, תחזיות הצמיחה של המשק הישראלי לשנים הקרובות והגידול בחובות משקי הבית בשנים האחרונות - כל אלה מדגישים את הצורך במעקב אחר התפתחות חובות משקי הבית ברמת המאקרו אך גם ברמת המיקרו. </w:t>
      </w:r>
    </w:p>
    <w:p w:rsidR="005E5B2C" w:rsidRPr="001F3DFF" w:rsidP="00FB46AA">
      <w:pPr>
        <w:pStyle w:val="RESHET"/>
        <w:rPr>
          <w:rtl/>
        </w:rPr>
      </w:pPr>
      <w:r w:rsidRPr="001F3DFF">
        <w:rPr>
          <w:rtl/>
        </w:rPr>
        <w:t>נמצא כי על אף ההשפעה המ</w:t>
      </w:r>
      <w:r w:rsidRPr="001F3DFF">
        <w:rPr>
          <w:rFonts w:hint="cs"/>
          <w:rtl/>
        </w:rPr>
        <w:t>א</w:t>
      </w:r>
      <w:r w:rsidRPr="001F3DFF">
        <w:rPr>
          <w:rtl/>
        </w:rPr>
        <w:t>קרו</w:t>
      </w:r>
      <w:r w:rsidRPr="001F3DFF">
        <w:rPr>
          <w:rFonts w:hint="cs"/>
          <w:rtl/>
        </w:rPr>
        <w:t>-</w:t>
      </w:r>
      <w:r w:rsidRPr="001F3DFF">
        <w:rPr>
          <w:rtl/>
        </w:rPr>
        <w:t>כלכלית שיש לחובות משקי הבית וחרף חשיבות ריכוז</w:t>
      </w:r>
      <w:r w:rsidRPr="001F3DFF">
        <w:rPr>
          <w:rFonts w:hint="cs"/>
          <w:rtl/>
        </w:rPr>
        <w:t>ם של</w:t>
      </w:r>
      <w:r w:rsidRPr="001F3DFF">
        <w:rPr>
          <w:rtl/>
        </w:rPr>
        <w:t xml:space="preserve"> מכלול הנתונים בנושא זה וניתוחם בהתאם למאפייני משקי הבית, אף אחד מהגורמים הרלוונטיים</w:t>
      </w:r>
      <w:r w:rsidRPr="001F3DFF">
        <w:rPr>
          <w:rFonts w:hint="cs"/>
          <w:rtl/>
        </w:rPr>
        <w:t xml:space="preserve"> -</w:t>
      </w:r>
      <w:r w:rsidRPr="001F3DFF">
        <w:rPr>
          <w:rtl/>
        </w:rPr>
        <w:t xml:space="preserve"> בנק ישראל, משרד האוצר </w:t>
      </w:r>
      <w:r w:rsidRPr="001F3DFF">
        <w:rPr>
          <w:rtl/>
        </w:rPr>
        <w:t>והלמ"ס</w:t>
      </w:r>
      <w:r w:rsidRPr="001F3DFF">
        <w:rPr>
          <w:rFonts w:hint="cs"/>
          <w:rtl/>
        </w:rPr>
        <w:t xml:space="preserve"> -</w:t>
      </w:r>
      <w:r w:rsidRPr="001F3DFF">
        <w:rPr>
          <w:rtl/>
        </w:rPr>
        <w:t xml:space="preserve"> אינו </w:t>
      </w:r>
      <w:r w:rsidRPr="001F3DFF">
        <w:rPr>
          <w:rFonts w:hint="cs"/>
          <w:rtl/>
        </w:rPr>
        <w:t>עושה כן</w:t>
      </w:r>
      <w:r w:rsidRPr="001F3DFF">
        <w:rPr>
          <w:rtl/>
        </w:rPr>
        <w:t xml:space="preserve">. </w:t>
      </w:r>
      <w:r w:rsidRPr="001F3DFF">
        <w:rPr>
          <w:rFonts w:hint="cs"/>
          <w:rtl/>
        </w:rPr>
        <w:t>זו אחת הסיבות לכך ש</w:t>
      </w:r>
      <w:r w:rsidRPr="001F3DFF">
        <w:rPr>
          <w:rtl/>
        </w:rPr>
        <w:t>המעקב ש</w:t>
      </w:r>
      <w:r w:rsidRPr="001F3DFF">
        <w:rPr>
          <w:rFonts w:hint="cs"/>
          <w:rtl/>
        </w:rPr>
        <w:t xml:space="preserve">ל </w:t>
      </w:r>
      <w:r w:rsidRPr="001F3DFF">
        <w:rPr>
          <w:rtl/>
        </w:rPr>
        <w:t xml:space="preserve">בנק ישראל </w:t>
      </w:r>
      <w:r w:rsidRPr="001F3DFF">
        <w:rPr>
          <w:rFonts w:hint="cs"/>
          <w:rtl/>
        </w:rPr>
        <w:t>אחר</w:t>
      </w:r>
      <w:r w:rsidRPr="001F3DFF">
        <w:rPr>
          <w:rtl/>
        </w:rPr>
        <w:t xml:space="preserve"> התפתחות מגמות בחובות משקי הבית העלול</w:t>
      </w:r>
      <w:r w:rsidRPr="001F3DFF">
        <w:rPr>
          <w:rFonts w:hint="cs"/>
          <w:rtl/>
        </w:rPr>
        <w:t>ות</w:t>
      </w:r>
      <w:r w:rsidRPr="001F3DFF">
        <w:rPr>
          <w:rtl/>
        </w:rPr>
        <w:t xml:space="preserve"> לסכן את יציבות המשק אינו </w:t>
      </w:r>
      <w:r w:rsidRPr="001F3DFF">
        <w:rPr>
          <w:rFonts w:hint="cs"/>
          <w:rtl/>
        </w:rPr>
        <w:t xml:space="preserve">מעקב </w:t>
      </w:r>
      <w:r w:rsidRPr="001F3DFF">
        <w:rPr>
          <w:rtl/>
        </w:rPr>
        <w:t>מלא.</w:t>
      </w:r>
    </w:p>
    <w:p w:rsidR="005E5B2C" w:rsidRPr="001F3DFF" w:rsidP="00FB46AA">
      <w:pPr>
        <w:spacing w:before="180" w:after="120" w:line="230" w:lineRule="exact"/>
        <w:jc w:val="both"/>
        <w:rPr>
          <w:rFonts w:cs="FrankRuehl"/>
          <w:sz w:val="20"/>
          <w:szCs w:val="22"/>
          <w:rtl/>
        </w:rPr>
      </w:pPr>
      <w:r w:rsidRPr="001F3DFF">
        <w:rPr>
          <w:rFonts w:cs="FrankRuehl" w:hint="cs"/>
          <w:sz w:val="20"/>
          <w:szCs w:val="22"/>
          <w:rtl/>
        </w:rPr>
        <w:t>הלמ"ס</w:t>
      </w:r>
      <w:r w:rsidRPr="001F3DFF">
        <w:rPr>
          <w:rFonts w:cs="FrankRuehl" w:hint="cs"/>
          <w:sz w:val="20"/>
          <w:szCs w:val="22"/>
          <w:rtl/>
        </w:rPr>
        <w:t xml:space="preserve"> מסרה בתשובתה למשרד מבקר המדינה בפברואר 2015 כי "בחשבונאות הלאומית בלמ"ס מרכזים את הנתונים ברמה שנתית רק ברמה כוללת... מהימנות הנתונים לגבי האשראי מהחברות במשק מוגבלת ומידע על אשראי שמקורו בכלכלה הלא מדווחת חסר". </w:t>
      </w:r>
      <w:r w:rsidRPr="001F3DFF">
        <w:rPr>
          <w:rFonts w:cs="FrankRuehl" w:hint="cs"/>
          <w:sz w:val="20"/>
          <w:szCs w:val="22"/>
          <w:rtl/>
        </w:rPr>
        <w:t>הלמ"ס</w:t>
      </w:r>
      <w:r w:rsidRPr="001F3DFF">
        <w:rPr>
          <w:rFonts w:cs="FrankRuehl" w:hint="cs"/>
          <w:sz w:val="20"/>
          <w:szCs w:val="22"/>
          <w:rtl/>
        </w:rPr>
        <w:t xml:space="preserve"> הוסיפה כי היא רואה חשיבות רבה בחקירת נושא החובות והאשראי של משקי הבית בישראל; כי אין ספק שאנשיה מומחים לכינון והנעה של סקר שכזה; וכי סטטיסטיקה על מצבת הנכסים והחסכונות (חובות) של משקי הבית ראויה להיות חלק מסטטיסטיקת הליבה של המשק. עם זאת, ציינה, "יציאה לנושא של סקר חיסכון כרוכה בעלות תקציבית הכוללת שעות סוקרים, פיתוח סקר ומערך טכנולוגי מתאים. לצורך כך, נדרשת </w:t>
      </w:r>
      <w:r w:rsidRPr="001F3DFF">
        <w:rPr>
          <w:rFonts w:cs="FrankRuehl" w:hint="cs"/>
          <w:sz w:val="20"/>
          <w:szCs w:val="22"/>
          <w:rtl/>
        </w:rPr>
        <w:t>ללמ"ס</w:t>
      </w:r>
      <w:r w:rsidRPr="001F3DFF">
        <w:rPr>
          <w:rFonts w:cs="FrankRuehl" w:hint="cs"/>
          <w:sz w:val="20"/>
          <w:szCs w:val="22"/>
          <w:rtl/>
        </w:rPr>
        <w:t xml:space="preserve"> תוספת תקציב ישיר לבסיס תקציבה... כרגע אין </w:t>
      </w:r>
      <w:r w:rsidRPr="001F3DFF">
        <w:rPr>
          <w:rFonts w:cs="FrankRuehl" w:hint="cs"/>
          <w:sz w:val="20"/>
          <w:szCs w:val="22"/>
          <w:rtl/>
        </w:rPr>
        <w:t>ללמ"ס</w:t>
      </w:r>
      <w:r w:rsidRPr="001F3DFF">
        <w:rPr>
          <w:rFonts w:cs="FrankRuehl" w:hint="cs"/>
          <w:sz w:val="20"/>
          <w:szCs w:val="22"/>
          <w:rtl/>
        </w:rPr>
        <w:t xml:space="preserve"> כל מימון לנושא". </w:t>
      </w:r>
    </w:p>
    <w:p w:rsidR="005E5B2C" w:rsidRPr="001F3DFF" w:rsidP="00FB46AA">
      <w:pPr>
        <w:spacing w:after="240" w:line="230" w:lineRule="exact"/>
        <w:jc w:val="both"/>
        <w:rPr>
          <w:rFonts w:cs="FrankRuehl"/>
          <w:sz w:val="20"/>
          <w:szCs w:val="22"/>
          <w:rtl/>
        </w:rPr>
      </w:pPr>
      <w:r w:rsidRPr="001F3DFF">
        <w:rPr>
          <w:rFonts w:cs="FrankRuehl" w:hint="cs"/>
          <w:sz w:val="20"/>
          <w:szCs w:val="22"/>
          <w:rtl/>
        </w:rPr>
        <w:t xml:space="preserve">בנק ישראל מסר בתשובתו כי הוא עוקב אחר התפתחויות בתחום האשראי למשקי הבית וכי ביצע "פעולות להידוק ושיפור המעקב והניתוח ביחס אליו, בכלל זה... הרחבת בסיס הנתונים המתייחס לאשראי משקי הבית, אשר בא לידי ביטוי, בין השאר, בהוראת דיווח חדשה בנושא זה שנמצאת בשלבי עבודה מתקדמים וגובשה על ידי הפיקוח על הבנקים... האגף הפיננסי מתכנן להסתייע במידע זה בניתוח הסיכונים למערכת הפיננסית". הבנק הוסיף כי יש צורך בשיפור בסיס הנתונים על האשראי למשקי בית - בנקאי וחוץ-בנקאי - וכי ימשיך לפעול לקידום הנושא. </w:t>
      </w:r>
    </w:p>
    <w:p w:rsidR="005E5B2C" w:rsidRPr="001F3DFF" w:rsidP="00FB46AA">
      <w:pPr>
        <w:pStyle w:val="RESHET"/>
        <w:rPr>
          <w:rtl/>
        </w:rPr>
      </w:pPr>
      <w:r w:rsidRPr="001F3DFF">
        <w:rPr>
          <w:rFonts w:hint="eastAsia"/>
          <w:rtl/>
        </w:rPr>
        <w:t>לדעת</w:t>
      </w:r>
      <w:r w:rsidRPr="001F3DFF">
        <w:rPr>
          <w:rtl/>
        </w:rPr>
        <w:t xml:space="preserve"> </w:t>
      </w:r>
      <w:r w:rsidRPr="001F3DFF">
        <w:rPr>
          <w:rFonts w:hint="eastAsia"/>
          <w:rtl/>
        </w:rPr>
        <w:t>משרד</w:t>
      </w:r>
      <w:r w:rsidRPr="001F3DFF">
        <w:rPr>
          <w:rtl/>
        </w:rPr>
        <w:t xml:space="preserve"> מבקר המדינה</w:t>
      </w:r>
      <w:r w:rsidRPr="001F3DFF">
        <w:rPr>
          <w:rFonts w:hint="cs"/>
          <w:rtl/>
        </w:rPr>
        <w:t>,</w:t>
      </w:r>
      <w:r w:rsidRPr="001F3DFF">
        <w:rPr>
          <w:rtl/>
        </w:rPr>
        <w:t xml:space="preserve"> על בנק ישראל, </w:t>
      </w:r>
      <w:r w:rsidRPr="001F3DFF">
        <w:rPr>
          <w:rFonts w:hint="eastAsia"/>
          <w:rtl/>
        </w:rPr>
        <w:t>הלמ</w:t>
      </w:r>
      <w:r w:rsidRPr="001F3DFF">
        <w:rPr>
          <w:rtl/>
        </w:rPr>
        <w:t>"ס</w:t>
      </w:r>
      <w:r w:rsidRPr="001F3DFF">
        <w:rPr>
          <w:rtl/>
        </w:rPr>
        <w:t xml:space="preserve"> ומשרד האוצר לשפר</w:t>
      </w:r>
      <w:r w:rsidRPr="001F3DFF">
        <w:rPr>
          <w:rFonts w:hint="cs"/>
          <w:rtl/>
        </w:rPr>
        <w:t xml:space="preserve"> ולהרחיב</w:t>
      </w:r>
      <w:r w:rsidRPr="001F3DFF">
        <w:rPr>
          <w:rtl/>
        </w:rPr>
        <w:t xml:space="preserve"> את בסיס הנתונים שלהם בנוגע לחובות משקי הבית</w:t>
      </w:r>
      <w:r w:rsidRPr="001F3DFF">
        <w:rPr>
          <w:rFonts w:hint="cs"/>
          <w:rtl/>
        </w:rPr>
        <w:t xml:space="preserve"> כדי לאפשר מעקב אחר נתונים אלו וניתוחם.</w:t>
      </w:r>
    </w:p>
    <w:p w:rsidR="005E5B2C" w:rsidRPr="001F3DFF" w:rsidP="00FB46AA">
      <w:pPr>
        <w:spacing w:after="120" w:line="230" w:lineRule="exact"/>
        <w:jc w:val="both"/>
        <w:rPr>
          <w:rFonts w:cs="FrankRuehl"/>
          <w:sz w:val="20"/>
          <w:szCs w:val="22"/>
          <w:rtl/>
        </w:rPr>
      </w:pPr>
    </w:p>
    <w:p w:rsidR="005E5B2C" w:rsidRPr="001E4618" w:rsidP="00FB46AA">
      <w:pPr>
        <w:pStyle w:val="KOT5"/>
        <w:rPr>
          <w:rtl/>
        </w:rPr>
      </w:pPr>
      <w:r w:rsidRPr="001E4618">
        <w:rPr>
          <w:rFonts w:hint="cs"/>
          <w:rtl/>
        </w:rPr>
        <w:t xml:space="preserve">יציבות פיננסית </w:t>
      </w:r>
    </w:p>
    <w:p w:rsidR="005E5B2C" w:rsidRPr="001F3DFF" w:rsidP="00FB46AA">
      <w:pPr>
        <w:spacing w:after="120" w:line="230" w:lineRule="exact"/>
        <w:jc w:val="both"/>
        <w:rPr>
          <w:rFonts w:cs="FrankRuehl"/>
          <w:sz w:val="20"/>
          <w:szCs w:val="22"/>
          <w:rtl/>
        </w:rPr>
      </w:pPr>
      <w:r w:rsidRPr="001F3DFF">
        <w:rPr>
          <w:rFonts w:cs="FrankRuehl"/>
          <w:sz w:val="20"/>
          <w:szCs w:val="22"/>
          <w:rtl/>
        </w:rPr>
        <w:t xml:space="preserve">המושג "יציבות פיננסית" </w:t>
      </w:r>
      <w:r w:rsidRPr="001F3DFF">
        <w:rPr>
          <w:rFonts w:cs="FrankRuehl" w:hint="cs"/>
          <w:sz w:val="20"/>
          <w:szCs w:val="22"/>
          <w:rtl/>
        </w:rPr>
        <w:t xml:space="preserve">מתאר מצב שבו המערכת הפיננסית מתפקדת באופן תקין ויעיל ללא משברים ושיבושים פיננסיים, דבר המאפשר למצות את פוטנציאל הצמיחה של המשק. רכיביה </w:t>
      </w:r>
      <w:r w:rsidRPr="001F3DFF">
        <w:rPr>
          <w:rFonts w:cs="FrankRuehl" w:hint="cs"/>
          <w:sz w:val="20"/>
          <w:szCs w:val="22"/>
          <w:rtl/>
        </w:rPr>
        <w:t>העיקריים של המערכת הפיננסית הם</w:t>
      </w:r>
      <w:r w:rsidRPr="001F3DFF">
        <w:rPr>
          <w:rFonts w:cs="FrankRuehl"/>
          <w:sz w:val="20"/>
          <w:szCs w:val="22"/>
          <w:rtl/>
        </w:rPr>
        <w:t xml:space="preserve"> המוסדות הפיננסיים</w:t>
      </w:r>
      <w:r>
        <w:rPr>
          <w:rStyle w:val="FootnoteReference0"/>
          <w:rFonts w:cs="FrankRuehl"/>
          <w:sz w:val="20"/>
          <w:szCs w:val="22"/>
          <w:rtl/>
        </w:rPr>
        <w:footnoteReference w:id="15"/>
      </w:r>
      <w:r w:rsidRPr="001F3DFF">
        <w:rPr>
          <w:rFonts w:cs="FrankRuehl"/>
          <w:sz w:val="20"/>
          <w:szCs w:val="22"/>
          <w:rtl/>
        </w:rPr>
        <w:t>, השווקים הפיננסיים</w:t>
      </w:r>
      <w:r>
        <w:rPr>
          <w:rStyle w:val="FootnoteReference0"/>
          <w:rFonts w:cs="FrankRuehl"/>
          <w:sz w:val="20"/>
          <w:szCs w:val="22"/>
          <w:rtl/>
        </w:rPr>
        <w:footnoteReference w:id="16"/>
      </w:r>
      <w:r w:rsidRPr="001F3DFF">
        <w:rPr>
          <w:rFonts w:cs="FrankRuehl"/>
          <w:sz w:val="20"/>
          <w:szCs w:val="22"/>
          <w:rtl/>
        </w:rPr>
        <w:t xml:space="preserve"> ומערך התשלומים והסליקה</w:t>
      </w:r>
      <w:r>
        <w:rPr>
          <w:rStyle w:val="FootnoteReference0"/>
          <w:rFonts w:cs="FrankRuehl"/>
          <w:sz w:val="20"/>
          <w:szCs w:val="22"/>
          <w:rtl/>
        </w:rPr>
        <w:footnoteReference w:id="17"/>
      </w:r>
      <w:r w:rsidRPr="001F3DFF">
        <w:rPr>
          <w:rFonts w:cs="FrankRuehl" w:hint="cs"/>
          <w:sz w:val="20"/>
          <w:szCs w:val="22"/>
          <w:rtl/>
        </w:rPr>
        <w:t>.</w:t>
      </w:r>
    </w:p>
    <w:p w:rsidR="005E5B2C" w:rsidRPr="001F3DFF" w:rsidP="00FB46AA">
      <w:pPr>
        <w:spacing w:after="120" w:line="230" w:lineRule="exact"/>
        <w:jc w:val="both"/>
        <w:rPr>
          <w:rFonts w:cs="FrankRuehl"/>
          <w:sz w:val="20"/>
          <w:szCs w:val="22"/>
          <w:rtl/>
        </w:rPr>
      </w:pPr>
      <w:r w:rsidRPr="001F3DFF">
        <w:rPr>
          <w:rFonts w:cs="FrankRuehl" w:hint="cs"/>
          <w:sz w:val="20"/>
          <w:szCs w:val="22"/>
          <w:rtl/>
        </w:rPr>
        <w:t>סעיף 3(א)(3) לחוק בנק ישראל, התש"ע-2010, קובע כי אחת ממטרות הבנק היא "</w:t>
      </w:r>
      <w:r w:rsidRPr="001F3DFF">
        <w:rPr>
          <w:rFonts w:cs="FrankRuehl"/>
          <w:sz w:val="20"/>
          <w:szCs w:val="22"/>
          <w:rtl/>
        </w:rPr>
        <w:t>לתמוך ביציבותה של המערכת הפיננסית ובפעילותה הסדירה</w:t>
      </w:r>
      <w:r w:rsidRPr="001F3DFF">
        <w:rPr>
          <w:rFonts w:cs="FrankRuehl" w:hint="cs"/>
          <w:sz w:val="20"/>
          <w:szCs w:val="22"/>
          <w:rtl/>
        </w:rPr>
        <w:t>". בשנת 2014 הקים בנק ישראל בחטיבת המחקר שלו אגף פיננסי (להלן - האגף). בהקדמה לדוח הראשון על יציבות המערכת הפיננסית בישראל שפרסם האגף ביוני 2014 נכתב: "אף על פי שהמערכת הפיננסית המקומית הפגינה עמידות מרשימה הן בתקופת המשבר הפיננסי העולמי של 2008 והן לאחריו, גם בישראל יש צורך לזהות את הסיכונים המערכתיים הנשקפים לה ולהתריע מפניהם, ודוח היציבות נועד לשרת מטרה זו"</w:t>
      </w:r>
      <w:r>
        <w:rPr>
          <w:rStyle w:val="FootnoteReference0"/>
          <w:rFonts w:cs="FrankRuehl"/>
          <w:sz w:val="20"/>
          <w:szCs w:val="22"/>
          <w:rtl/>
        </w:rPr>
        <w:footnoteReference w:id="18"/>
      </w:r>
      <w:r w:rsidRPr="001F3DFF">
        <w:rPr>
          <w:rFonts w:cs="FrankRuehl" w:hint="cs"/>
          <w:sz w:val="20"/>
          <w:szCs w:val="22"/>
          <w:rtl/>
        </w:rPr>
        <w:t xml:space="preserve">. </w:t>
      </w:r>
    </w:p>
    <w:p w:rsidR="005E5B2C" w:rsidRPr="001F3DFF" w:rsidP="00FB46AA">
      <w:pPr>
        <w:spacing w:after="240" w:line="230" w:lineRule="exact"/>
        <w:jc w:val="both"/>
        <w:rPr>
          <w:rFonts w:cs="FrankRuehl"/>
          <w:sz w:val="20"/>
          <w:szCs w:val="22"/>
          <w:rtl/>
        </w:rPr>
      </w:pPr>
      <w:r w:rsidRPr="001F3DFF">
        <w:rPr>
          <w:rFonts w:cs="FrankRuehl" w:hint="cs"/>
          <w:sz w:val="20"/>
          <w:szCs w:val="22"/>
          <w:rtl/>
        </w:rPr>
        <w:t xml:space="preserve">עוד נכתב בדוח היציבות: "מאחר שבישראל קיים אי-שוויון גדול בחלוקת ההכנסות, אין די בהסתכלות על משק הבית הממוצע כדי לבחון את יציבותו של מגזר משקי הבית. יש לבחון גם את </w:t>
      </w:r>
      <w:r w:rsidRPr="001F3DFF">
        <w:rPr>
          <w:rFonts w:cs="FrankRuehl" w:hint="cs"/>
          <w:sz w:val="20"/>
          <w:szCs w:val="22"/>
          <w:rtl/>
        </w:rPr>
        <w:t>עשירוני</w:t>
      </w:r>
      <w:r w:rsidRPr="001F3DFF">
        <w:rPr>
          <w:rFonts w:cs="FrankRuehl" w:hint="cs"/>
          <w:sz w:val="20"/>
          <w:szCs w:val="22"/>
          <w:rtl/>
        </w:rPr>
        <w:t xml:space="preserve"> ההכנסה השונים, ובפרט את אלו שחשופים במידה רבה יותר לסיכון של מיתון ואבטלה. אין ברשותנו כיום נתונים על משקי הבית ברמת הפרט, אולם סקר ההכנסות וההוצאות של משקי הבית, סקר </w:t>
      </w:r>
      <w:r w:rsidRPr="001F3DFF">
        <w:rPr>
          <w:rFonts w:cs="FrankRuehl" w:hint="cs"/>
          <w:sz w:val="20"/>
          <w:szCs w:val="22"/>
          <w:rtl/>
        </w:rPr>
        <w:t>שהלמ"ס</w:t>
      </w:r>
      <w:r w:rsidRPr="001F3DFF">
        <w:rPr>
          <w:rFonts w:cs="FrankRuehl" w:hint="cs"/>
          <w:sz w:val="20"/>
          <w:szCs w:val="22"/>
          <w:rtl/>
        </w:rPr>
        <w:t xml:space="preserve"> עורכת, מספק מידע על חוב </w:t>
      </w:r>
      <w:r w:rsidRPr="001F3DFF">
        <w:rPr>
          <w:rFonts w:cs="FrankRuehl" w:hint="cs"/>
          <w:sz w:val="20"/>
          <w:szCs w:val="22"/>
          <w:rtl/>
        </w:rPr>
        <w:t>המשכנתה</w:t>
      </w:r>
      <w:r w:rsidRPr="001F3DFF">
        <w:rPr>
          <w:rFonts w:cs="FrankRuehl" w:hint="cs"/>
          <w:sz w:val="20"/>
          <w:szCs w:val="22"/>
          <w:rtl/>
        </w:rPr>
        <w:t xml:space="preserve"> של משקי הבית בעשירונים השונים". </w:t>
      </w:r>
    </w:p>
    <w:p w:rsidR="005E5B2C" w:rsidRPr="001F3DFF" w:rsidP="00FB46AA">
      <w:pPr>
        <w:pStyle w:val="RESHET"/>
        <w:rPr>
          <w:rtl/>
        </w:rPr>
      </w:pPr>
      <w:r w:rsidRPr="001F3DFF">
        <w:rPr>
          <w:rFonts w:hint="cs"/>
          <w:rtl/>
        </w:rPr>
        <w:t xml:space="preserve">מבדיקת משרד מבקר המדינה עולה כי הדוח שפרסם האגף הפיננסי בבנק ישראל אמנם מציג ניתוח של חובות משקי הבית לפי </w:t>
      </w:r>
      <w:r w:rsidRPr="001F3DFF">
        <w:rPr>
          <w:rFonts w:hint="cs"/>
          <w:rtl/>
        </w:rPr>
        <w:t>עשירוני</w:t>
      </w:r>
      <w:r w:rsidRPr="001F3DFF">
        <w:rPr>
          <w:rFonts w:hint="cs"/>
          <w:rtl/>
        </w:rPr>
        <w:t xml:space="preserve"> הכנסה - לרבות חישוב יחס שיעור ההחזר מההכנסה הפנויה של משקי הבית בעשירונים השונים וניתוח סיכון הלווים בתרחישים שונים - אולם הניתוח מתבסס אך ורק על החוב לדיור של משקי הבית (כ-70% מן החוב), ולא על כל חובותיהם. כלומר, הדוח מציג ניתוח חלקי ואינו מציג ניתוח של כלל הסיכון של משקי הבית.</w:t>
      </w:r>
    </w:p>
    <w:p w:rsidR="005E5B2C" w:rsidRPr="001F3DFF" w:rsidP="00FB46AA">
      <w:pPr>
        <w:spacing w:before="180" w:after="120" w:line="230" w:lineRule="exact"/>
        <w:jc w:val="both"/>
        <w:rPr>
          <w:rFonts w:cs="FrankRuehl"/>
          <w:sz w:val="20"/>
          <w:szCs w:val="22"/>
          <w:rtl/>
        </w:rPr>
      </w:pPr>
      <w:r w:rsidRPr="001F3DFF">
        <w:rPr>
          <w:rFonts w:cs="FrankRuehl" w:hint="cs"/>
          <w:sz w:val="20"/>
          <w:szCs w:val="22"/>
          <w:rtl/>
        </w:rPr>
        <w:t xml:space="preserve">בנק ישראל מסר בתשובתו כי "בהעדר מידע זמין על כלל החוב של משקי הבית בחלוקה לפי עשירונים, לא ניתן היה לבצע את הניתוח האמור, וממילא לא ניתן היה להציגו בדוח היציבות הפיננסית שפורסם לראשונה בחודש יוני 2014... נוכח העובדה כי יתרת החוב של משקי הבית נמוכה מאוד בהשוואה למדינות המפותחות ושהחוב לדיור מהווה את החלק המשמעותי יותר בסך חובות משקי הבית, בשיעור של 70%, ושזהו החוב שגדל בשיעורים גבוהים יותר בשנים שלפני פרסום הדוח, הרי שהניתוח שבוצע בדוח היציבות הפיננסית ענה לצרכי מטרת הדוח - ניתוח היציבות הפיננסית". </w:t>
      </w:r>
    </w:p>
    <w:p w:rsidR="005E5B2C" w:rsidRPr="001F3DFF" w:rsidP="00FB46AA">
      <w:pPr>
        <w:spacing w:after="240" w:line="230" w:lineRule="exact"/>
        <w:jc w:val="both"/>
        <w:rPr>
          <w:rFonts w:cs="FrankRuehl"/>
          <w:sz w:val="20"/>
          <w:szCs w:val="22"/>
          <w:rtl/>
        </w:rPr>
      </w:pPr>
      <w:r w:rsidRPr="001F3DFF">
        <w:rPr>
          <w:rFonts w:cs="FrankRuehl" w:hint="cs"/>
          <w:sz w:val="20"/>
          <w:szCs w:val="22"/>
          <w:rtl/>
        </w:rPr>
        <w:t>עוד עולה כי הדוח מערבב בין מושגים שונים ועלול להטעות את הקורא. למשל, בהערת שוליים בדוח מוסבר כי יחס מינוף (</w:t>
      </w:r>
      <w:r w:rsidRPr="001F3DFF">
        <w:rPr>
          <w:rFonts w:cs="FrankRuehl"/>
          <w:sz w:val="20"/>
          <w:szCs w:val="22"/>
        </w:rPr>
        <w:t>Debt-Service Ratio, DSR</w:t>
      </w:r>
      <w:r w:rsidRPr="001F3DFF">
        <w:rPr>
          <w:rFonts w:cs="FrankRuehl" w:hint="cs"/>
          <w:sz w:val="20"/>
          <w:szCs w:val="22"/>
          <w:rtl/>
        </w:rPr>
        <w:t xml:space="preserve">) מסוכן של מגזר משקי הבית הוא יחס העולה על 40%. ההערה מובאת בהקשר לניתוחים שהדוח מציג על יחס ההחזר מההכנסה הפנויה של משקי הבית </w:t>
      </w:r>
      <w:r w:rsidR="004214D8">
        <w:rPr>
          <w:rFonts w:cs="FrankRuehl" w:hint="cs"/>
          <w:sz w:val="20"/>
          <w:szCs w:val="22"/>
          <w:rtl/>
        </w:rPr>
        <w:t>(</w:t>
      </w:r>
      <w:r w:rsidRPr="001F3DFF" w:rsidR="004214D8">
        <w:rPr>
          <w:rFonts w:cs="FrankRuehl"/>
          <w:sz w:val="20"/>
          <w:szCs w:val="22"/>
        </w:rPr>
        <w:t>Payment to Income, PTI</w:t>
      </w:r>
      <w:r w:rsidR="004214D8">
        <w:rPr>
          <w:rFonts w:cs="FrankRuehl" w:hint="cs"/>
          <w:sz w:val="20"/>
          <w:szCs w:val="22"/>
          <w:rtl/>
        </w:rPr>
        <w:t>)</w:t>
      </w:r>
      <w:r w:rsidRPr="001F3DFF">
        <w:rPr>
          <w:rFonts w:cs="FrankRuehl" w:hint="cs"/>
          <w:sz w:val="20"/>
          <w:szCs w:val="22"/>
          <w:rtl/>
        </w:rPr>
        <w:t>. אולם ה-</w:t>
      </w:r>
      <w:r w:rsidRPr="001F3DFF">
        <w:rPr>
          <w:rFonts w:cs="FrankRuehl"/>
          <w:sz w:val="20"/>
          <w:szCs w:val="22"/>
        </w:rPr>
        <w:t>PTI</w:t>
      </w:r>
      <w:r w:rsidRPr="001F3DFF">
        <w:rPr>
          <w:rFonts w:cs="FrankRuehl"/>
          <w:sz w:val="20"/>
          <w:szCs w:val="22"/>
          <w:rtl/>
        </w:rPr>
        <w:t xml:space="preserve"> </w:t>
      </w:r>
      <w:r w:rsidRPr="001F3DFF">
        <w:rPr>
          <w:rFonts w:cs="FrankRuehl" w:hint="cs"/>
          <w:sz w:val="20"/>
          <w:szCs w:val="22"/>
          <w:rtl/>
        </w:rPr>
        <w:t xml:space="preserve">שהדוח בוחן מתייחס רק ליחס החזר </w:t>
      </w:r>
      <w:r w:rsidRPr="001F3DFF">
        <w:rPr>
          <w:rFonts w:cs="FrankRuehl" w:hint="cs"/>
          <w:sz w:val="20"/>
          <w:szCs w:val="22"/>
          <w:rtl/>
        </w:rPr>
        <w:t xml:space="preserve">חובות </w:t>
      </w:r>
      <w:r w:rsidRPr="001F3DFF">
        <w:rPr>
          <w:rFonts w:cs="FrankRuehl" w:hint="cs"/>
          <w:sz w:val="20"/>
          <w:szCs w:val="22"/>
          <w:rtl/>
        </w:rPr>
        <w:t>המשכנתה</w:t>
      </w:r>
      <w:r w:rsidRPr="001F3DFF">
        <w:rPr>
          <w:rFonts w:cs="FrankRuehl" w:hint="cs"/>
          <w:sz w:val="20"/>
          <w:szCs w:val="22"/>
          <w:rtl/>
        </w:rPr>
        <w:t xml:space="preserve"> להכנסה, ואילו בספרות המקצועית יחס המינוף מוגדר כהחזר כל החובות (לדיור ושלא לדיור) של משקי הבית להכנסה. </w:t>
      </w:r>
    </w:p>
    <w:p w:rsidR="005E5B2C" w:rsidRPr="001F3DFF" w:rsidP="00FB46AA">
      <w:pPr>
        <w:pStyle w:val="RESHET"/>
        <w:rPr>
          <w:rtl/>
        </w:rPr>
      </w:pPr>
      <w:r w:rsidRPr="001F3DFF">
        <w:rPr>
          <w:rFonts w:hint="cs"/>
          <w:rtl/>
        </w:rPr>
        <w:t xml:space="preserve">מהאמור לעיל עולה כי הסקירה והניתוח של מגזר משקי הבית שפרסם בנק ישראל בדוח היציבות הפיננסית חלקיים בלבד, ואינם משקפים את התמונה הכוללת של חובות משקי הבית בישראל, את התפתחותם בשנים האחרונות ואת רמת הסיכון של מגזר זה. </w:t>
      </w:r>
    </w:p>
    <w:p w:rsidR="005E5B2C" w:rsidRPr="001F3DFF" w:rsidP="00FB46AA">
      <w:pPr>
        <w:spacing w:before="180" w:after="240" w:line="230" w:lineRule="exact"/>
        <w:jc w:val="both"/>
        <w:rPr>
          <w:rFonts w:cs="FrankRuehl"/>
          <w:sz w:val="20"/>
          <w:szCs w:val="22"/>
          <w:rtl/>
        </w:rPr>
      </w:pPr>
      <w:r w:rsidRPr="001F3DFF">
        <w:rPr>
          <w:rFonts w:cs="FrankRuehl" w:hint="cs"/>
          <w:sz w:val="20"/>
          <w:szCs w:val="22"/>
          <w:rtl/>
        </w:rPr>
        <w:t xml:space="preserve">ראש האגף מסר למשרד מבקר המדינה בפגישות שהתקיימו בחודשים אפריל ונובמבר 2014 כי תחום האשראי למשקי בית ויציבות מגזר זה הם נושאים שהאגף רואה בהם חשיבות. הוא ציין שהאגף מתכוון להגביר את עבודתו בתחום זה ולבצע בהמשך מעקב שוטף אחר הסיכון ליציבות הפיננסית העולה מסקטור משקי הבית. עם זאת, לעת עתה חסרים נתונים כדי לבחון נושא זה לעומק, ולכן האגף נמצא בתהליך בחינה של מיפוי הנתונים שעליו להתחיל לאסוף. </w:t>
      </w:r>
    </w:p>
    <w:p w:rsidR="005E5B2C" w:rsidRPr="001F3DFF" w:rsidP="00FB46AA">
      <w:pPr>
        <w:pStyle w:val="RESHET"/>
        <w:rPr>
          <w:rtl/>
        </w:rPr>
      </w:pPr>
      <w:r w:rsidRPr="001F3DFF">
        <w:rPr>
          <w:rFonts w:hint="cs"/>
          <w:rtl/>
        </w:rPr>
        <w:t xml:space="preserve">מתברר כי לבד מנתונים על היקף האשראי למשקי בית מהמערכת הבנקאית, בחלוקה לפי תאגיד בנקאי ולפי ייעוד (דיור או שלא לדיור), אין בבנק ישראל מידע מפורט דיו על האשראי במשק. למשל, אין בידיו נתונים על מטרת האשראי (כגון הלוואות לרכישת כלי רכב או כיסוי משיכת יתר) ונתונים על הריבית הממוצעת. מידע חיוני זה נמצא בידי הבנקים ולבנק ישראל הסמכות לדרוש אותו מהם, אולם אין הוא עושה זאת. </w:t>
      </w:r>
    </w:p>
    <w:p w:rsidR="005E5B2C" w:rsidRPr="001F3DFF" w:rsidP="00FB46AA">
      <w:pPr>
        <w:spacing w:before="180" w:after="120" w:line="230" w:lineRule="exact"/>
        <w:jc w:val="both"/>
        <w:rPr>
          <w:rFonts w:cs="FrankRuehl"/>
          <w:sz w:val="20"/>
          <w:szCs w:val="22"/>
          <w:rtl/>
        </w:rPr>
      </w:pPr>
      <w:r w:rsidRPr="001F3DFF">
        <w:rPr>
          <w:rFonts w:cs="FrankRuehl" w:hint="cs"/>
          <w:sz w:val="20"/>
          <w:szCs w:val="22"/>
          <w:rtl/>
        </w:rPr>
        <w:t xml:space="preserve">בנק ישראל מסר בתשובתו כי למיטב הבנתו יש בידיו המידע הנדרש לצורך הערכת הסיכונים של המערכת הפיננסית, וכי הוא פועל לשיפור בסיס הנתונים שבידיו כדי לאפשר ניתוח מעמיק יותר של המגמות באשראי למשקי בית. עוד צוין: "החל מינואר מדווחים לפיקוח על הבנקים יתרות עו"ש החובה של משקי הבית בנפרד מהמגזרים העסקיים. כמו כן, במסגרת הוראת דיווח חדשה לפיקוח על הבנקים, הנמצאת בשלבי עבודה, נוספה דרישה לקבל מידע על הלוואות שנועדו למטרת רכישת רכב". </w:t>
      </w:r>
    </w:p>
    <w:p w:rsidR="005E5B2C" w:rsidRPr="001F3DFF" w:rsidP="00FB46AA">
      <w:pPr>
        <w:spacing w:after="240" w:line="230" w:lineRule="exact"/>
        <w:jc w:val="both"/>
        <w:rPr>
          <w:rFonts w:cs="FrankRuehl"/>
          <w:sz w:val="20"/>
          <w:szCs w:val="22"/>
          <w:rtl/>
        </w:rPr>
      </w:pPr>
      <w:r w:rsidRPr="001F3DFF">
        <w:rPr>
          <w:rFonts w:cs="FrankRuehl" w:hint="cs"/>
          <w:sz w:val="20"/>
          <w:szCs w:val="22"/>
          <w:rtl/>
        </w:rPr>
        <w:t>בנוגע למידע המצוי בתאגידים הבנקאיים ציין בנק ישראל בתשובתו: "איסוף מידע לצורך ניתוח מערכתי, דורש הגדרות אחידות. כחלק מגיבוש הוראת הדיווח החדשה, נבחנו ההגדרות המשמשות [את] הבנקים לאפיון האשראי הצרכני, ונמצאה חוסר אחידות בתחום. לאור זאת, ועל רקע שיקולי עלות-תועלת ביצירת קטגוריות דיווח אחידות, הוחלט לקבל דיווח בפורמט אחיד ביחס ליתרות עו"ש והלוואות רכב. מעבר לנתונים המדווחים בפורמט אחיד כאמור לעיל, הפיקוח על הבנקים בוחן, במסגרת הליכי המעקב השוטפים ועל בסיס הערכות ממוקדות סיכון, מידע נוסף שקיים בכל תאגיד בנקאי ביחס לפעילות הנבחנת. ככל שהליכי המעקב הפיקוחיים מעלים חשש לסיכון משמעותי בעל השלכות מערכתיות, הנושא מוצג בפורומים המתאימים בבנק ישראל".</w:t>
      </w:r>
    </w:p>
    <w:p w:rsidR="005E5B2C" w:rsidRPr="001F3DFF" w:rsidP="00FB46AA">
      <w:pPr>
        <w:pStyle w:val="RESHET"/>
        <w:rPr>
          <w:rtl/>
        </w:rPr>
      </w:pPr>
      <w:r w:rsidRPr="001F3DFF">
        <w:rPr>
          <w:rFonts w:hint="cs"/>
          <w:rtl/>
        </w:rPr>
        <w:t>לדעת משרד מבקר המדינה, לצורך קבלת תמונה ברורה ומקיפה של חובות מגזר משקי הבית בישראל והסיכונים העלולים להתפתח בגינם ולהשפיע על יציבות המשק, מן הראוי כי בנק ישראל יבצע מיפוי של חובות משקי הבית לפי פילוחים ומאפיינים שונים, ניתוחי רגישויות ומעקב מדויק יותר אחר מגמות, ויבחן את היקף משקי בית הנמצאים במצב של מינוף מסוכן</w:t>
      </w:r>
      <w:r>
        <w:rPr>
          <w:rStyle w:val="FootnoteReference0"/>
          <w:rFonts w:cs="FrankRuehl"/>
          <w:rtl/>
        </w:rPr>
        <w:footnoteReference w:id="19"/>
      </w:r>
      <w:r w:rsidRPr="001F3DFF">
        <w:rPr>
          <w:rFonts w:hint="cs"/>
          <w:rtl/>
        </w:rPr>
        <w:t xml:space="preserve">. </w:t>
      </w:r>
    </w:p>
    <w:p w:rsidR="005E5B2C" w:rsidRPr="001F3DFF" w:rsidP="00FB46AA">
      <w:pPr>
        <w:spacing w:after="120" w:line="230" w:lineRule="exact"/>
        <w:jc w:val="both"/>
        <w:rPr>
          <w:rFonts w:cs="FrankRuehl"/>
          <w:sz w:val="20"/>
          <w:szCs w:val="22"/>
          <w:rtl/>
        </w:rPr>
      </w:pPr>
    </w:p>
    <w:p w:rsidR="005E5B2C" w:rsidRPr="001E4618" w:rsidP="00FB46AA">
      <w:pPr>
        <w:pStyle w:val="KOT5"/>
        <w:rPr>
          <w:rtl/>
        </w:rPr>
      </w:pPr>
      <w:r w:rsidRPr="001E4618">
        <w:rPr>
          <w:rFonts w:hint="cs"/>
          <w:rtl/>
        </w:rPr>
        <w:t>הפרשות להפסדי אשראי במערכת הבנקאית</w:t>
      </w:r>
    </w:p>
    <w:p w:rsidR="005E5B2C" w:rsidRPr="001F3DFF" w:rsidP="00FB46AA">
      <w:pPr>
        <w:spacing w:after="120" w:line="230" w:lineRule="exact"/>
        <w:jc w:val="both"/>
        <w:rPr>
          <w:rFonts w:cs="FrankRuehl"/>
          <w:sz w:val="20"/>
          <w:szCs w:val="22"/>
        </w:rPr>
      </w:pPr>
      <w:r w:rsidRPr="001F3DFF">
        <w:rPr>
          <w:rFonts w:cs="FrankRuehl"/>
          <w:sz w:val="20"/>
          <w:szCs w:val="22"/>
          <w:rtl/>
        </w:rPr>
        <w:t>ה</w:t>
      </w:r>
      <w:r w:rsidRPr="001F3DFF">
        <w:rPr>
          <w:rFonts w:cs="FrankRuehl" w:hint="cs"/>
          <w:sz w:val="20"/>
          <w:szCs w:val="22"/>
          <w:rtl/>
        </w:rPr>
        <w:t>פ</w:t>
      </w:r>
      <w:r w:rsidRPr="001F3DFF">
        <w:rPr>
          <w:rFonts w:cs="FrankRuehl"/>
          <w:sz w:val="20"/>
          <w:szCs w:val="22"/>
          <w:rtl/>
        </w:rPr>
        <w:t>רש</w:t>
      </w:r>
      <w:r w:rsidRPr="001F3DFF">
        <w:rPr>
          <w:rFonts w:cs="FrankRuehl" w:hint="cs"/>
          <w:sz w:val="20"/>
          <w:szCs w:val="22"/>
          <w:rtl/>
        </w:rPr>
        <w:t>ות</w:t>
      </w:r>
      <w:r w:rsidRPr="001F3DFF">
        <w:rPr>
          <w:rFonts w:cs="FrankRuehl"/>
          <w:sz w:val="20"/>
          <w:szCs w:val="22"/>
          <w:rtl/>
        </w:rPr>
        <w:t xml:space="preserve"> להפסדי אשראי </w:t>
      </w:r>
      <w:r w:rsidRPr="001F3DFF">
        <w:rPr>
          <w:rFonts w:cs="FrankRuehl" w:hint="cs"/>
          <w:sz w:val="20"/>
          <w:szCs w:val="22"/>
          <w:rtl/>
        </w:rPr>
        <w:t>נועדו לכסות</w:t>
      </w:r>
      <w:r w:rsidRPr="001F3DFF">
        <w:rPr>
          <w:rFonts w:cs="FrankRuehl"/>
          <w:sz w:val="20"/>
          <w:szCs w:val="22"/>
          <w:rtl/>
        </w:rPr>
        <w:t xml:space="preserve"> באופן נאות את כל הפסדי האשראי הצפויים</w:t>
      </w:r>
      <w:r w:rsidRPr="001F3DFF">
        <w:rPr>
          <w:rFonts w:cs="FrankRuehl" w:hint="cs"/>
          <w:sz w:val="20"/>
          <w:szCs w:val="22"/>
          <w:rtl/>
        </w:rPr>
        <w:t xml:space="preserve"> </w:t>
      </w:r>
      <w:r w:rsidRPr="001F3DFF">
        <w:rPr>
          <w:rFonts w:cs="FrankRuehl"/>
          <w:sz w:val="20"/>
          <w:szCs w:val="22"/>
          <w:rtl/>
        </w:rPr>
        <w:t>מתיק האשראי</w:t>
      </w:r>
      <w:r w:rsidRPr="001F3DFF">
        <w:rPr>
          <w:rFonts w:cs="FrankRuehl" w:hint="cs"/>
          <w:sz w:val="20"/>
          <w:szCs w:val="22"/>
          <w:rtl/>
        </w:rPr>
        <w:t xml:space="preserve"> של תאגיד בנקאי</w:t>
      </w:r>
      <w:r w:rsidRPr="001F3DFF">
        <w:rPr>
          <w:rFonts w:cs="FrankRuehl"/>
          <w:sz w:val="20"/>
          <w:szCs w:val="22"/>
          <w:rtl/>
        </w:rPr>
        <w:t>, גם אם אלו טרם זוהו</w:t>
      </w:r>
      <w:r w:rsidRPr="001F3DFF">
        <w:rPr>
          <w:rFonts w:cs="FrankRuehl" w:hint="cs"/>
          <w:sz w:val="20"/>
          <w:szCs w:val="22"/>
          <w:rtl/>
        </w:rPr>
        <w:t>;</w:t>
      </w:r>
      <w:r w:rsidRPr="001F3DFF">
        <w:rPr>
          <w:rFonts w:cs="FrankRuehl"/>
          <w:sz w:val="20"/>
          <w:szCs w:val="22"/>
          <w:rtl/>
        </w:rPr>
        <w:t xml:space="preserve"> זאת, בין היתר, באמצעות</w:t>
      </w:r>
      <w:r w:rsidRPr="001F3DFF">
        <w:rPr>
          <w:rFonts w:cs="FrankRuehl" w:hint="cs"/>
          <w:sz w:val="20"/>
          <w:szCs w:val="22"/>
          <w:rtl/>
        </w:rPr>
        <w:t xml:space="preserve"> </w:t>
      </w:r>
      <w:r w:rsidRPr="001F3DFF">
        <w:rPr>
          <w:rFonts w:cs="FrankRuehl"/>
          <w:sz w:val="20"/>
          <w:szCs w:val="22"/>
          <w:rtl/>
        </w:rPr>
        <w:t>הפרשה קבוצתית להפסדי אשראי בגין קבוצות גדולות של חובות קטנים</w:t>
      </w:r>
      <w:r w:rsidRPr="001F3DFF">
        <w:rPr>
          <w:rFonts w:cs="FrankRuehl" w:hint="cs"/>
          <w:sz w:val="20"/>
          <w:szCs w:val="22"/>
          <w:rtl/>
        </w:rPr>
        <w:t xml:space="preserve"> </w:t>
      </w:r>
      <w:r w:rsidRPr="001F3DFF">
        <w:rPr>
          <w:rFonts w:cs="FrankRuehl"/>
          <w:sz w:val="20"/>
          <w:szCs w:val="22"/>
          <w:rtl/>
        </w:rPr>
        <w:t>והומוגניים</w:t>
      </w:r>
      <w:r w:rsidRPr="001F3DFF">
        <w:rPr>
          <w:rFonts w:cs="FrankRuehl" w:hint="cs"/>
          <w:sz w:val="20"/>
          <w:szCs w:val="22"/>
          <w:rtl/>
        </w:rPr>
        <w:t>, והפרשה פרטנית (</w:t>
      </w:r>
      <w:r w:rsidRPr="001F3DFF">
        <w:rPr>
          <w:rFonts w:cs="FrankRuehl"/>
          <w:sz w:val="20"/>
          <w:szCs w:val="22"/>
          <w:rtl/>
        </w:rPr>
        <w:t>הפרשה הנדרשת לכיסוי הפסדי אשראי צפויים בגין חובות שנבדקו על בסיס פרטני וזוהו כפגומים</w:t>
      </w:r>
      <w:r w:rsidRPr="001F3DFF">
        <w:rPr>
          <w:rFonts w:cs="FrankRuehl" w:hint="cs"/>
          <w:sz w:val="20"/>
          <w:szCs w:val="22"/>
          <w:rtl/>
        </w:rPr>
        <w:t>). את ההפרשות להפסדי אשראי מחשבים הבנקים בהתאם להנחיות הפיקוח על הבנקים</w:t>
      </w:r>
      <w:r>
        <w:rPr>
          <w:rStyle w:val="FootnoteReference0"/>
          <w:rFonts w:cs="FrankRuehl"/>
          <w:sz w:val="20"/>
          <w:szCs w:val="22"/>
          <w:rtl/>
        </w:rPr>
        <w:footnoteReference w:id="20"/>
      </w:r>
      <w:r w:rsidRPr="001F3DFF">
        <w:rPr>
          <w:rFonts w:cs="FrankRuehl" w:hint="cs"/>
          <w:sz w:val="20"/>
          <w:szCs w:val="22"/>
          <w:rtl/>
        </w:rPr>
        <w:t xml:space="preserve">. </w:t>
      </w:r>
    </w:p>
    <w:p w:rsidR="005E5B2C" w:rsidRPr="001F3DFF" w:rsidP="00FB46AA">
      <w:pPr>
        <w:spacing w:after="240" w:line="230" w:lineRule="exact"/>
        <w:jc w:val="both"/>
        <w:rPr>
          <w:rFonts w:cs="FrankRuehl"/>
          <w:sz w:val="20"/>
          <w:szCs w:val="22"/>
          <w:rtl/>
        </w:rPr>
      </w:pPr>
      <w:r w:rsidRPr="001F3DFF">
        <w:rPr>
          <w:rFonts w:cs="FrankRuehl" w:hint="eastAsia"/>
          <w:sz w:val="20"/>
          <w:szCs w:val="22"/>
          <w:rtl/>
        </w:rPr>
        <w:t>תרשים</w:t>
      </w:r>
      <w:r w:rsidRPr="001F3DFF">
        <w:rPr>
          <w:rFonts w:cs="FrankRuehl"/>
          <w:sz w:val="20"/>
          <w:szCs w:val="22"/>
          <w:rtl/>
        </w:rPr>
        <w:t xml:space="preserve"> </w:t>
      </w:r>
      <w:r w:rsidRPr="001F3DFF">
        <w:rPr>
          <w:rFonts w:cs="FrankRuehl" w:hint="cs"/>
          <w:sz w:val="20"/>
          <w:szCs w:val="22"/>
          <w:rtl/>
        </w:rPr>
        <w:t>4</w:t>
      </w:r>
      <w:r w:rsidRPr="001F3DFF">
        <w:rPr>
          <w:rFonts w:cs="FrankRuehl"/>
          <w:sz w:val="20"/>
          <w:szCs w:val="22"/>
          <w:rtl/>
        </w:rPr>
        <w:t xml:space="preserve"> </w:t>
      </w:r>
      <w:r w:rsidRPr="001F3DFF">
        <w:rPr>
          <w:rFonts w:cs="FrankRuehl" w:hint="cs"/>
          <w:sz w:val="20"/>
          <w:szCs w:val="22"/>
          <w:rtl/>
        </w:rPr>
        <w:t>להלן מציג</w:t>
      </w:r>
      <w:r w:rsidRPr="001F3DFF">
        <w:rPr>
          <w:rFonts w:cs="FrankRuehl"/>
          <w:sz w:val="20"/>
          <w:szCs w:val="22"/>
          <w:rtl/>
        </w:rPr>
        <w:t xml:space="preserve"> </w:t>
      </w:r>
      <w:r w:rsidRPr="001F3DFF">
        <w:rPr>
          <w:rFonts w:cs="FrankRuehl" w:hint="cs"/>
          <w:sz w:val="20"/>
          <w:szCs w:val="22"/>
          <w:rtl/>
        </w:rPr>
        <w:t xml:space="preserve">את </w:t>
      </w:r>
      <w:r w:rsidRPr="001F3DFF">
        <w:rPr>
          <w:rFonts w:cs="FrankRuehl" w:hint="eastAsia"/>
          <w:sz w:val="20"/>
          <w:szCs w:val="22"/>
          <w:rtl/>
        </w:rPr>
        <w:t>סכומי</w:t>
      </w:r>
      <w:r w:rsidRPr="001F3DFF">
        <w:rPr>
          <w:rFonts w:cs="FrankRuehl"/>
          <w:sz w:val="20"/>
          <w:szCs w:val="22"/>
          <w:rtl/>
        </w:rPr>
        <w:t xml:space="preserve"> </w:t>
      </w:r>
      <w:r w:rsidRPr="001F3DFF">
        <w:rPr>
          <w:rFonts w:cs="FrankRuehl" w:hint="eastAsia"/>
          <w:sz w:val="20"/>
          <w:szCs w:val="22"/>
          <w:rtl/>
        </w:rPr>
        <w:t>ההלוואות</w:t>
      </w:r>
      <w:r w:rsidRPr="001F3DFF">
        <w:rPr>
          <w:rFonts w:cs="FrankRuehl"/>
          <w:sz w:val="20"/>
          <w:szCs w:val="22"/>
          <w:rtl/>
        </w:rPr>
        <w:t xml:space="preserve"> </w:t>
      </w:r>
      <w:r w:rsidRPr="001F3DFF">
        <w:rPr>
          <w:rFonts w:cs="FrankRuehl" w:hint="cs"/>
          <w:sz w:val="20"/>
          <w:szCs w:val="22"/>
          <w:rtl/>
        </w:rPr>
        <w:t xml:space="preserve">למשקי בית שלא </w:t>
      </w:r>
      <w:r w:rsidRPr="001F3DFF">
        <w:rPr>
          <w:rFonts w:cs="FrankRuehl" w:hint="eastAsia"/>
          <w:sz w:val="20"/>
          <w:szCs w:val="22"/>
          <w:rtl/>
        </w:rPr>
        <w:t>לדיור</w:t>
      </w:r>
      <w:r w:rsidRPr="001F3DFF">
        <w:rPr>
          <w:rFonts w:cs="FrankRuehl" w:hint="cs"/>
          <w:sz w:val="20"/>
          <w:szCs w:val="22"/>
          <w:rtl/>
        </w:rPr>
        <w:t>,</w:t>
      </w:r>
      <w:r w:rsidRPr="001F3DFF">
        <w:rPr>
          <w:rFonts w:cs="FrankRuehl"/>
          <w:sz w:val="20"/>
          <w:szCs w:val="22"/>
          <w:rtl/>
        </w:rPr>
        <w:t xml:space="preserve"> </w:t>
      </w:r>
      <w:r w:rsidRPr="001F3DFF">
        <w:rPr>
          <w:rFonts w:cs="FrankRuehl" w:hint="eastAsia"/>
          <w:sz w:val="20"/>
          <w:szCs w:val="22"/>
          <w:rtl/>
        </w:rPr>
        <w:t>ו</w:t>
      </w:r>
      <w:r w:rsidRPr="001F3DFF">
        <w:rPr>
          <w:rFonts w:cs="FrankRuehl" w:hint="cs"/>
          <w:sz w:val="20"/>
          <w:szCs w:val="22"/>
          <w:rtl/>
        </w:rPr>
        <w:t xml:space="preserve">את </w:t>
      </w:r>
      <w:r w:rsidRPr="001F3DFF">
        <w:rPr>
          <w:rFonts w:cs="FrankRuehl" w:hint="eastAsia"/>
          <w:sz w:val="20"/>
          <w:szCs w:val="22"/>
          <w:rtl/>
        </w:rPr>
        <w:t>יתרת</w:t>
      </w:r>
      <w:r w:rsidRPr="001F3DFF">
        <w:rPr>
          <w:rFonts w:cs="FrankRuehl"/>
          <w:sz w:val="20"/>
          <w:szCs w:val="22"/>
          <w:rtl/>
        </w:rPr>
        <w:t xml:space="preserve"> </w:t>
      </w:r>
      <w:r w:rsidRPr="001F3DFF">
        <w:rPr>
          <w:rFonts w:cs="FrankRuehl" w:hint="eastAsia"/>
          <w:sz w:val="20"/>
          <w:szCs w:val="22"/>
          <w:rtl/>
        </w:rPr>
        <w:t>ההפרשה</w:t>
      </w:r>
      <w:r w:rsidRPr="001F3DFF">
        <w:rPr>
          <w:rFonts w:cs="FrankRuehl"/>
          <w:sz w:val="20"/>
          <w:szCs w:val="22"/>
          <w:rtl/>
        </w:rPr>
        <w:t xml:space="preserve"> </w:t>
      </w:r>
      <w:r w:rsidRPr="001F3DFF">
        <w:rPr>
          <w:rFonts w:cs="FrankRuehl" w:hint="eastAsia"/>
          <w:sz w:val="20"/>
          <w:szCs w:val="22"/>
          <w:rtl/>
        </w:rPr>
        <w:t>להפסדי</w:t>
      </w:r>
      <w:r w:rsidRPr="001F3DFF">
        <w:rPr>
          <w:rFonts w:cs="FrankRuehl"/>
          <w:sz w:val="20"/>
          <w:szCs w:val="22"/>
          <w:rtl/>
        </w:rPr>
        <w:t xml:space="preserve"> </w:t>
      </w:r>
      <w:r w:rsidRPr="001F3DFF">
        <w:rPr>
          <w:rFonts w:cs="FrankRuehl" w:hint="eastAsia"/>
          <w:sz w:val="20"/>
          <w:szCs w:val="22"/>
          <w:rtl/>
        </w:rPr>
        <w:t>אשראי</w:t>
      </w:r>
      <w:r w:rsidRPr="001F3DFF">
        <w:rPr>
          <w:rFonts w:cs="FrankRuehl"/>
          <w:sz w:val="20"/>
          <w:szCs w:val="22"/>
          <w:rtl/>
        </w:rPr>
        <w:t xml:space="preserve"> </w:t>
      </w:r>
      <w:r w:rsidRPr="001F3DFF">
        <w:rPr>
          <w:rFonts w:cs="FrankRuehl" w:hint="eastAsia"/>
          <w:sz w:val="20"/>
          <w:szCs w:val="22"/>
          <w:rtl/>
        </w:rPr>
        <w:t>של</w:t>
      </w:r>
      <w:r w:rsidRPr="001F3DFF">
        <w:rPr>
          <w:rFonts w:cs="FrankRuehl"/>
          <w:sz w:val="20"/>
          <w:szCs w:val="22"/>
          <w:rtl/>
        </w:rPr>
        <w:t xml:space="preserve"> </w:t>
      </w:r>
      <w:r w:rsidRPr="001F3DFF">
        <w:rPr>
          <w:rFonts w:cs="FrankRuehl" w:hint="eastAsia"/>
          <w:sz w:val="20"/>
          <w:szCs w:val="22"/>
          <w:rtl/>
        </w:rPr>
        <w:t>המערכת</w:t>
      </w:r>
      <w:r w:rsidRPr="001F3DFF">
        <w:rPr>
          <w:rFonts w:cs="FrankRuehl"/>
          <w:sz w:val="20"/>
          <w:szCs w:val="22"/>
          <w:rtl/>
        </w:rPr>
        <w:t xml:space="preserve"> </w:t>
      </w:r>
      <w:r w:rsidRPr="001F3DFF">
        <w:rPr>
          <w:rFonts w:cs="FrankRuehl" w:hint="eastAsia"/>
          <w:sz w:val="20"/>
          <w:szCs w:val="22"/>
          <w:rtl/>
        </w:rPr>
        <w:t>הבנקאית</w:t>
      </w:r>
      <w:r w:rsidRPr="001F3DFF">
        <w:rPr>
          <w:rFonts w:cs="FrankRuehl"/>
          <w:sz w:val="20"/>
          <w:szCs w:val="22"/>
          <w:rtl/>
        </w:rPr>
        <w:t xml:space="preserve"> </w:t>
      </w:r>
      <w:r w:rsidRPr="001F3DFF">
        <w:rPr>
          <w:rFonts w:cs="FrankRuehl" w:hint="eastAsia"/>
          <w:sz w:val="20"/>
          <w:szCs w:val="22"/>
          <w:rtl/>
        </w:rPr>
        <w:t>בגין</w:t>
      </w:r>
      <w:r w:rsidRPr="001F3DFF">
        <w:rPr>
          <w:rFonts w:cs="FrankRuehl"/>
          <w:sz w:val="20"/>
          <w:szCs w:val="22"/>
          <w:rtl/>
        </w:rPr>
        <w:t xml:space="preserve"> </w:t>
      </w:r>
      <w:r w:rsidRPr="001F3DFF">
        <w:rPr>
          <w:rFonts w:cs="FrankRuehl" w:hint="eastAsia"/>
          <w:sz w:val="20"/>
          <w:szCs w:val="22"/>
          <w:rtl/>
        </w:rPr>
        <w:t>הלוואות</w:t>
      </w:r>
      <w:r w:rsidRPr="001F3DFF">
        <w:rPr>
          <w:rFonts w:cs="FrankRuehl"/>
          <w:sz w:val="20"/>
          <w:szCs w:val="22"/>
          <w:rtl/>
        </w:rPr>
        <w:t xml:space="preserve"> </w:t>
      </w:r>
      <w:r w:rsidRPr="001F3DFF">
        <w:rPr>
          <w:rFonts w:cs="FrankRuehl" w:hint="eastAsia"/>
          <w:sz w:val="20"/>
          <w:szCs w:val="22"/>
          <w:rtl/>
        </w:rPr>
        <w:t>אל</w:t>
      </w:r>
      <w:r w:rsidRPr="001F3DFF">
        <w:rPr>
          <w:rFonts w:cs="FrankRuehl" w:hint="cs"/>
          <w:sz w:val="20"/>
          <w:szCs w:val="22"/>
          <w:rtl/>
        </w:rPr>
        <w:t>ו</w:t>
      </w:r>
      <w:r w:rsidRPr="001F3DFF">
        <w:rPr>
          <w:rFonts w:cs="FrankRuehl"/>
          <w:sz w:val="20"/>
          <w:szCs w:val="22"/>
          <w:rtl/>
        </w:rPr>
        <w:t xml:space="preserve"> </w:t>
      </w:r>
      <w:r w:rsidRPr="001F3DFF">
        <w:rPr>
          <w:rFonts w:cs="FrankRuehl" w:hint="eastAsia"/>
          <w:sz w:val="20"/>
          <w:szCs w:val="22"/>
          <w:rtl/>
        </w:rPr>
        <w:t>בשנים</w:t>
      </w:r>
      <w:r w:rsidRPr="001F3DFF">
        <w:rPr>
          <w:rFonts w:cs="FrankRuehl"/>
          <w:sz w:val="20"/>
          <w:szCs w:val="22"/>
          <w:rtl/>
        </w:rPr>
        <w:t xml:space="preserve"> 201</w:t>
      </w:r>
      <w:r w:rsidRPr="001F3DFF">
        <w:rPr>
          <w:rFonts w:cs="FrankRuehl" w:hint="cs"/>
          <w:sz w:val="20"/>
          <w:szCs w:val="22"/>
          <w:rtl/>
        </w:rPr>
        <w:t>4</w:t>
      </w:r>
      <w:r w:rsidRPr="001F3DFF">
        <w:rPr>
          <w:rFonts w:cs="FrankRuehl"/>
          <w:sz w:val="20"/>
          <w:szCs w:val="22"/>
          <w:rtl/>
        </w:rPr>
        <w:t>-20</w:t>
      </w:r>
      <w:r w:rsidRPr="001F3DFF">
        <w:rPr>
          <w:rFonts w:cs="FrankRuehl" w:hint="cs"/>
          <w:sz w:val="20"/>
          <w:szCs w:val="22"/>
          <w:rtl/>
        </w:rPr>
        <w:t>11</w:t>
      </w:r>
      <w:r w:rsidRPr="001F3DFF">
        <w:rPr>
          <w:rFonts w:cs="FrankRuehl"/>
          <w:sz w:val="20"/>
          <w:szCs w:val="22"/>
          <w:rtl/>
        </w:rPr>
        <w:t xml:space="preserve"> (במיליארדי </w:t>
      </w:r>
      <w:r w:rsidRPr="001F3DFF">
        <w:rPr>
          <w:rFonts w:cs="FrankRuehl" w:hint="eastAsia"/>
          <w:sz w:val="20"/>
          <w:szCs w:val="22"/>
          <w:rtl/>
        </w:rPr>
        <w:t>ש</w:t>
      </w:r>
      <w:r w:rsidRPr="001F3DFF">
        <w:rPr>
          <w:rFonts w:cs="FrankRuehl"/>
          <w:sz w:val="20"/>
          <w:szCs w:val="22"/>
          <w:rtl/>
        </w:rPr>
        <w:t>"ח):</w:t>
      </w:r>
      <w:r w:rsidRPr="001F3DFF">
        <w:rPr>
          <w:rFonts w:cs="FrankRuehl" w:hint="cs"/>
          <w:sz w:val="20"/>
          <w:szCs w:val="22"/>
          <w:rtl/>
        </w:rPr>
        <w:t xml:space="preserve"> </w:t>
      </w:r>
    </w:p>
    <w:p w:rsidR="005E5B2C" w:rsidRPr="001F3DFF" w:rsidP="00FB46AA">
      <w:pPr>
        <w:spacing w:after="240" w:line="240" w:lineRule="atLeast"/>
        <w:jc w:val="center"/>
        <w:rPr>
          <w:rFonts w:cs="FrankRuehl"/>
          <w:sz w:val="20"/>
          <w:szCs w:val="22"/>
          <w:rtl/>
        </w:rPr>
      </w:pPr>
      <w:r>
        <w:rPr>
          <w:rFonts w:cs="FrankRuehl"/>
          <w:sz w:val="20"/>
          <w:szCs w:val="22"/>
        </w:rPr>
        <w:pict>
          <v:shape id="_x0000_i1028" type="#_x0000_t75" style="width:340pt;height:204.5pt">
            <v:imagedata r:id="rId9" o:title="02-g-4"/>
          </v:shape>
        </w:pict>
      </w:r>
    </w:p>
    <w:p w:rsidR="005E5B2C" w:rsidRPr="001F3DFF" w:rsidP="00FB46AA">
      <w:pPr>
        <w:pStyle w:val="RESHET"/>
        <w:rPr>
          <w:rtl/>
        </w:rPr>
      </w:pPr>
      <w:r w:rsidRPr="001F3DFF">
        <w:rPr>
          <w:rFonts w:hint="cs"/>
          <w:rtl/>
        </w:rPr>
        <w:t xml:space="preserve">מהתרשים עולה כי בשנים 2014-2011 קטנה יתרת ההפרשות להפסדי אשראי בגין הלוואות שלא לדיור של כלל המערכת הבנקאית; זאת אף שבשנים אלו חל גידול ניכר בהיקף ההלוואות הניתנות למשקי בית. </w:t>
      </w:r>
    </w:p>
    <w:p w:rsidR="005E5B2C" w:rsidRPr="001F3DFF" w:rsidP="00FB46AA">
      <w:pPr>
        <w:spacing w:before="180" w:after="120" w:line="230" w:lineRule="exact"/>
        <w:jc w:val="both"/>
        <w:rPr>
          <w:rFonts w:cs="FrankRuehl"/>
          <w:b/>
          <w:bCs/>
          <w:sz w:val="20"/>
          <w:szCs w:val="22"/>
          <w:rtl/>
        </w:rPr>
      </w:pPr>
      <w:r w:rsidRPr="001F3DFF">
        <w:rPr>
          <w:rFonts w:cs="FrankRuehl" w:hint="cs"/>
          <w:sz w:val="20"/>
          <w:szCs w:val="22"/>
          <w:rtl/>
        </w:rPr>
        <w:t>בינואר 2015, במהלך הביקורת הנוכחית, פרסם הפיקוח על הבנקים חוזר</w:t>
      </w:r>
      <w:r>
        <w:rPr>
          <w:rStyle w:val="FootnoteReference0"/>
          <w:rFonts w:cs="FrankRuehl"/>
          <w:sz w:val="20"/>
          <w:szCs w:val="22"/>
          <w:rtl/>
        </w:rPr>
        <w:footnoteReference w:id="21"/>
      </w:r>
      <w:r w:rsidRPr="001F3DFF">
        <w:rPr>
          <w:rFonts w:cs="FrankRuehl" w:hint="cs"/>
          <w:sz w:val="20"/>
          <w:szCs w:val="22"/>
          <w:rtl/>
        </w:rPr>
        <w:t xml:space="preserve"> לתאגידים הבנקאיים בנושא "הפרשה קבוצתית בגין אשראי לאנשים פרטיים", הדורש מהם להגדיל את ההפרשה הקבוצתית להפסדי אשראי בגין אשראי צרכני. כרקע להוראה נכתב בחוזר: "</w:t>
      </w:r>
      <w:r w:rsidRPr="001F3DFF">
        <w:rPr>
          <w:rFonts w:cs="FrankRuehl"/>
          <w:sz w:val="20"/>
          <w:szCs w:val="22"/>
          <w:rtl/>
        </w:rPr>
        <w:t>בשנים האחרונות נרשם גידול מהיר בהיקף האשראי לאנשים פרטיים בכלל ובאשראי לאנשים</w:t>
      </w:r>
      <w:r w:rsidRPr="001F3DFF">
        <w:rPr>
          <w:rFonts w:cs="FrankRuehl" w:hint="cs"/>
          <w:sz w:val="20"/>
          <w:szCs w:val="22"/>
          <w:rtl/>
        </w:rPr>
        <w:t xml:space="preserve"> </w:t>
      </w:r>
      <w:r w:rsidRPr="001F3DFF">
        <w:rPr>
          <w:rFonts w:cs="FrankRuehl"/>
          <w:sz w:val="20"/>
          <w:szCs w:val="22"/>
          <w:rtl/>
        </w:rPr>
        <w:t>פרטיים שאינו לדיור</w:t>
      </w:r>
      <w:r w:rsidRPr="001F3DFF">
        <w:rPr>
          <w:rFonts w:cs="FrankRuehl" w:hint="cs"/>
          <w:sz w:val="20"/>
          <w:szCs w:val="22"/>
          <w:rtl/>
        </w:rPr>
        <w:t>...</w:t>
      </w:r>
      <w:r w:rsidRPr="001F3DFF">
        <w:rPr>
          <w:rFonts w:cs="FrankRuehl"/>
          <w:sz w:val="20"/>
          <w:szCs w:val="22"/>
          <w:rtl/>
        </w:rPr>
        <w:t xml:space="preserve"> בפרט, וכן נרשמה ירידה ביחס שבין יתרת</w:t>
      </w:r>
      <w:r w:rsidRPr="001F3DFF">
        <w:rPr>
          <w:rFonts w:cs="FrankRuehl" w:hint="cs"/>
          <w:sz w:val="20"/>
          <w:szCs w:val="22"/>
          <w:rtl/>
        </w:rPr>
        <w:t xml:space="preserve"> </w:t>
      </w:r>
      <w:r w:rsidRPr="001F3DFF">
        <w:rPr>
          <w:rFonts w:cs="FrankRuehl"/>
          <w:sz w:val="20"/>
          <w:szCs w:val="22"/>
          <w:rtl/>
        </w:rPr>
        <w:t>ההפרשה להפסדי אשראי לבין יתרת האשראי לאנשים פרטיים. מנגד, הסיכון הגלום באשראי</w:t>
      </w:r>
      <w:r w:rsidRPr="001F3DFF">
        <w:rPr>
          <w:rFonts w:cs="FrankRuehl" w:hint="cs"/>
          <w:sz w:val="20"/>
          <w:szCs w:val="22"/>
          <w:rtl/>
        </w:rPr>
        <w:t xml:space="preserve"> </w:t>
      </w:r>
      <w:r w:rsidRPr="001F3DFF">
        <w:rPr>
          <w:rFonts w:cs="FrankRuehl"/>
          <w:sz w:val="20"/>
          <w:szCs w:val="22"/>
          <w:rtl/>
        </w:rPr>
        <w:t>לאנשים פרטיים גדל, בין היתר לנוכח המגמות בפעילות המשקית. לנוכח האמור לעיל, נוצר הצורך</w:t>
      </w:r>
      <w:r w:rsidRPr="001F3DFF">
        <w:rPr>
          <w:rFonts w:cs="FrankRuehl" w:hint="cs"/>
          <w:sz w:val="20"/>
          <w:szCs w:val="22"/>
          <w:rtl/>
        </w:rPr>
        <w:t xml:space="preserve"> </w:t>
      </w:r>
      <w:r w:rsidRPr="001F3DFF">
        <w:rPr>
          <w:rFonts w:cs="FrankRuehl"/>
          <w:sz w:val="20"/>
          <w:szCs w:val="22"/>
          <w:rtl/>
        </w:rPr>
        <w:t>לעדכן את הוראות הדיווח לציבור</w:t>
      </w:r>
      <w:r w:rsidRPr="001F3DFF">
        <w:rPr>
          <w:rFonts w:cs="FrankRuehl" w:hint="cs"/>
          <w:sz w:val="20"/>
          <w:szCs w:val="22"/>
          <w:rtl/>
        </w:rPr>
        <w:t>"</w:t>
      </w:r>
      <w:r w:rsidRPr="001F3DFF">
        <w:rPr>
          <w:rFonts w:cs="FrankRuehl"/>
          <w:sz w:val="20"/>
          <w:szCs w:val="22"/>
          <w:rtl/>
        </w:rPr>
        <w:t>.</w:t>
      </w:r>
    </w:p>
    <w:p w:rsidR="005E5B2C" w:rsidRPr="001F3DFF" w:rsidP="00FB46AA">
      <w:pPr>
        <w:spacing w:after="240" w:line="230" w:lineRule="exact"/>
        <w:jc w:val="both"/>
        <w:rPr>
          <w:rFonts w:cs="FrankRuehl"/>
          <w:sz w:val="20"/>
          <w:szCs w:val="22"/>
          <w:rtl/>
        </w:rPr>
      </w:pPr>
      <w:r w:rsidRPr="001F3DFF">
        <w:rPr>
          <w:rFonts w:cs="FrankRuehl" w:hint="eastAsia"/>
          <w:sz w:val="20"/>
          <w:szCs w:val="22"/>
          <w:rtl/>
        </w:rPr>
        <w:t>בנק</w:t>
      </w:r>
      <w:r w:rsidRPr="001F3DFF">
        <w:rPr>
          <w:rFonts w:cs="FrankRuehl"/>
          <w:sz w:val="20"/>
          <w:szCs w:val="22"/>
          <w:rtl/>
        </w:rPr>
        <w:t xml:space="preserve"> </w:t>
      </w:r>
      <w:r w:rsidRPr="001F3DFF">
        <w:rPr>
          <w:rFonts w:cs="FrankRuehl" w:hint="eastAsia"/>
          <w:sz w:val="20"/>
          <w:szCs w:val="22"/>
          <w:rtl/>
        </w:rPr>
        <w:t>ישראל</w:t>
      </w:r>
      <w:r w:rsidRPr="001F3DFF">
        <w:rPr>
          <w:rFonts w:cs="FrankRuehl"/>
          <w:sz w:val="20"/>
          <w:szCs w:val="22"/>
          <w:rtl/>
        </w:rPr>
        <w:t xml:space="preserve"> </w:t>
      </w:r>
      <w:r w:rsidRPr="001F3DFF">
        <w:rPr>
          <w:rFonts w:cs="FrankRuehl" w:hint="eastAsia"/>
          <w:sz w:val="20"/>
          <w:szCs w:val="22"/>
          <w:rtl/>
        </w:rPr>
        <w:t>מסר</w:t>
      </w:r>
      <w:r w:rsidRPr="001F3DFF">
        <w:rPr>
          <w:rFonts w:cs="FrankRuehl"/>
          <w:sz w:val="20"/>
          <w:szCs w:val="22"/>
          <w:rtl/>
        </w:rPr>
        <w:t xml:space="preserve"> </w:t>
      </w:r>
      <w:r w:rsidRPr="001F3DFF">
        <w:rPr>
          <w:rFonts w:cs="FrankRuehl" w:hint="eastAsia"/>
          <w:sz w:val="20"/>
          <w:szCs w:val="22"/>
          <w:rtl/>
        </w:rPr>
        <w:t>בתשובתו</w:t>
      </w:r>
      <w:r w:rsidRPr="001F3DFF">
        <w:rPr>
          <w:rFonts w:cs="FrankRuehl" w:hint="cs"/>
          <w:sz w:val="20"/>
          <w:szCs w:val="22"/>
          <w:rtl/>
        </w:rPr>
        <w:t>:</w:t>
      </w:r>
      <w:r w:rsidRPr="001F3DFF">
        <w:rPr>
          <w:rFonts w:cs="FrankRuehl"/>
          <w:sz w:val="20"/>
          <w:szCs w:val="22"/>
          <w:rtl/>
        </w:rPr>
        <w:t xml:space="preserve"> "</w:t>
      </w:r>
      <w:r w:rsidRPr="001F3DFF">
        <w:rPr>
          <w:rFonts w:cs="FrankRuehl" w:hint="eastAsia"/>
          <w:sz w:val="20"/>
          <w:szCs w:val="22"/>
          <w:rtl/>
        </w:rPr>
        <w:t>בחודש</w:t>
      </w:r>
      <w:r w:rsidRPr="001F3DFF">
        <w:rPr>
          <w:rFonts w:cs="FrankRuehl"/>
          <w:sz w:val="20"/>
          <w:szCs w:val="22"/>
          <w:rtl/>
        </w:rPr>
        <w:t xml:space="preserve"> </w:t>
      </w:r>
      <w:r w:rsidRPr="001F3DFF">
        <w:rPr>
          <w:rFonts w:cs="FrankRuehl" w:hint="eastAsia"/>
          <w:sz w:val="20"/>
          <w:szCs w:val="22"/>
          <w:rtl/>
        </w:rPr>
        <w:t>יולי</w:t>
      </w:r>
      <w:r w:rsidRPr="001F3DFF">
        <w:rPr>
          <w:rFonts w:cs="FrankRuehl"/>
          <w:sz w:val="20"/>
          <w:szCs w:val="22"/>
          <w:rtl/>
        </w:rPr>
        <w:t xml:space="preserve"> 2014 </w:t>
      </w:r>
      <w:r w:rsidRPr="001F3DFF">
        <w:rPr>
          <w:rFonts w:cs="FrankRuehl" w:hint="eastAsia"/>
          <w:sz w:val="20"/>
          <w:szCs w:val="22"/>
          <w:rtl/>
        </w:rPr>
        <w:t>נידונה</w:t>
      </w:r>
      <w:r w:rsidRPr="001F3DFF">
        <w:rPr>
          <w:rFonts w:cs="FrankRuehl"/>
          <w:sz w:val="20"/>
          <w:szCs w:val="22"/>
          <w:rtl/>
        </w:rPr>
        <w:t xml:space="preserve"> </w:t>
      </w:r>
      <w:r w:rsidRPr="001F3DFF">
        <w:rPr>
          <w:rFonts w:cs="FrankRuehl" w:hint="eastAsia"/>
          <w:sz w:val="20"/>
          <w:szCs w:val="22"/>
          <w:rtl/>
        </w:rPr>
        <w:t>הצעה</w:t>
      </w:r>
      <w:r w:rsidRPr="001F3DFF">
        <w:rPr>
          <w:rFonts w:cs="FrankRuehl"/>
          <w:sz w:val="20"/>
          <w:szCs w:val="22"/>
          <w:rtl/>
        </w:rPr>
        <w:t xml:space="preserve"> </w:t>
      </w:r>
      <w:r w:rsidRPr="001F3DFF">
        <w:rPr>
          <w:rFonts w:cs="FrankRuehl" w:hint="eastAsia"/>
          <w:sz w:val="20"/>
          <w:szCs w:val="22"/>
          <w:rtl/>
        </w:rPr>
        <w:t>לדרישה</w:t>
      </w:r>
      <w:r w:rsidRPr="001F3DFF">
        <w:rPr>
          <w:rFonts w:cs="FrankRuehl"/>
          <w:sz w:val="20"/>
          <w:szCs w:val="22"/>
          <w:rtl/>
        </w:rPr>
        <w:t xml:space="preserve"> </w:t>
      </w:r>
      <w:r w:rsidRPr="001F3DFF">
        <w:rPr>
          <w:rFonts w:cs="FrankRuehl" w:hint="eastAsia"/>
          <w:sz w:val="20"/>
          <w:szCs w:val="22"/>
          <w:rtl/>
        </w:rPr>
        <w:t>להגדלת</w:t>
      </w:r>
      <w:r w:rsidRPr="001F3DFF">
        <w:rPr>
          <w:rFonts w:cs="FrankRuehl"/>
          <w:sz w:val="20"/>
          <w:szCs w:val="22"/>
          <w:rtl/>
        </w:rPr>
        <w:t xml:space="preserve"> </w:t>
      </w:r>
      <w:r w:rsidRPr="001F3DFF">
        <w:rPr>
          <w:rFonts w:cs="FrankRuehl" w:hint="eastAsia"/>
          <w:sz w:val="20"/>
          <w:szCs w:val="22"/>
          <w:rtl/>
        </w:rPr>
        <w:t>ההפרשה</w:t>
      </w:r>
      <w:r w:rsidRPr="001F3DFF">
        <w:rPr>
          <w:rFonts w:cs="FrankRuehl"/>
          <w:sz w:val="20"/>
          <w:szCs w:val="22"/>
          <w:rtl/>
        </w:rPr>
        <w:t xml:space="preserve"> </w:t>
      </w:r>
      <w:r w:rsidRPr="001F3DFF">
        <w:rPr>
          <w:rFonts w:cs="FrankRuehl" w:hint="eastAsia"/>
          <w:sz w:val="20"/>
          <w:szCs w:val="22"/>
          <w:rtl/>
        </w:rPr>
        <w:t>בגין</w:t>
      </w:r>
      <w:r w:rsidRPr="001F3DFF">
        <w:rPr>
          <w:rFonts w:cs="FrankRuehl"/>
          <w:sz w:val="20"/>
          <w:szCs w:val="22"/>
          <w:rtl/>
        </w:rPr>
        <w:t xml:space="preserve"> </w:t>
      </w:r>
      <w:r w:rsidRPr="001F3DFF">
        <w:rPr>
          <w:rFonts w:cs="FrankRuehl" w:hint="eastAsia"/>
          <w:sz w:val="20"/>
          <w:szCs w:val="22"/>
          <w:rtl/>
        </w:rPr>
        <w:t>אשראי</w:t>
      </w:r>
      <w:r w:rsidRPr="001F3DFF">
        <w:rPr>
          <w:rFonts w:cs="FrankRuehl"/>
          <w:sz w:val="20"/>
          <w:szCs w:val="22"/>
          <w:rtl/>
        </w:rPr>
        <w:t xml:space="preserve"> </w:t>
      </w:r>
      <w:r w:rsidRPr="001F3DFF">
        <w:rPr>
          <w:rFonts w:cs="FrankRuehl" w:hint="eastAsia"/>
          <w:sz w:val="20"/>
          <w:szCs w:val="22"/>
          <w:rtl/>
        </w:rPr>
        <w:t>לאנשים</w:t>
      </w:r>
      <w:r w:rsidRPr="001F3DFF">
        <w:rPr>
          <w:rFonts w:cs="FrankRuehl"/>
          <w:sz w:val="20"/>
          <w:szCs w:val="22"/>
          <w:rtl/>
        </w:rPr>
        <w:t xml:space="preserve"> </w:t>
      </w:r>
      <w:r w:rsidRPr="001F3DFF">
        <w:rPr>
          <w:rFonts w:cs="FrankRuehl" w:hint="eastAsia"/>
          <w:sz w:val="20"/>
          <w:szCs w:val="22"/>
          <w:rtl/>
        </w:rPr>
        <w:t>פרטיים</w:t>
      </w:r>
      <w:r w:rsidRPr="001F3DFF">
        <w:rPr>
          <w:rFonts w:cs="FrankRuehl"/>
          <w:sz w:val="20"/>
          <w:szCs w:val="22"/>
          <w:rtl/>
        </w:rPr>
        <w:t xml:space="preserve">, </w:t>
      </w:r>
      <w:r w:rsidRPr="001F3DFF">
        <w:rPr>
          <w:rFonts w:cs="FrankRuehl" w:hint="eastAsia"/>
          <w:sz w:val="20"/>
          <w:szCs w:val="22"/>
          <w:rtl/>
        </w:rPr>
        <w:t>אשר</w:t>
      </w:r>
      <w:r w:rsidRPr="001F3DFF">
        <w:rPr>
          <w:rFonts w:cs="FrankRuehl"/>
          <w:sz w:val="20"/>
          <w:szCs w:val="22"/>
          <w:rtl/>
        </w:rPr>
        <w:t xml:space="preserve"> </w:t>
      </w:r>
      <w:r w:rsidRPr="001F3DFF">
        <w:rPr>
          <w:rFonts w:cs="FrankRuehl" w:hint="eastAsia"/>
          <w:sz w:val="20"/>
          <w:szCs w:val="22"/>
          <w:rtl/>
        </w:rPr>
        <w:t>נקבעה</w:t>
      </w:r>
      <w:r w:rsidRPr="001F3DFF">
        <w:rPr>
          <w:rFonts w:cs="FrankRuehl"/>
          <w:sz w:val="20"/>
          <w:szCs w:val="22"/>
          <w:rtl/>
        </w:rPr>
        <w:t xml:space="preserve"> </w:t>
      </w:r>
      <w:r w:rsidRPr="001F3DFF">
        <w:rPr>
          <w:rFonts w:cs="FrankRuehl" w:hint="eastAsia"/>
          <w:sz w:val="20"/>
          <w:szCs w:val="22"/>
          <w:rtl/>
        </w:rPr>
        <w:t>כהוראה</w:t>
      </w:r>
      <w:r w:rsidRPr="001F3DFF">
        <w:rPr>
          <w:rFonts w:cs="FrankRuehl"/>
          <w:sz w:val="20"/>
          <w:szCs w:val="22"/>
          <w:rtl/>
        </w:rPr>
        <w:t xml:space="preserve"> </w:t>
      </w:r>
      <w:r w:rsidRPr="001F3DFF">
        <w:rPr>
          <w:rFonts w:cs="FrankRuehl" w:hint="eastAsia"/>
          <w:sz w:val="20"/>
          <w:szCs w:val="22"/>
          <w:rtl/>
        </w:rPr>
        <w:t>סופית</w:t>
      </w:r>
      <w:r w:rsidRPr="001F3DFF">
        <w:rPr>
          <w:rFonts w:cs="FrankRuehl"/>
          <w:sz w:val="20"/>
          <w:szCs w:val="22"/>
          <w:rtl/>
        </w:rPr>
        <w:t xml:space="preserve"> </w:t>
      </w:r>
      <w:r w:rsidRPr="001F3DFF">
        <w:rPr>
          <w:rFonts w:cs="FrankRuehl" w:hint="eastAsia"/>
          <w:sz w:val="20"/>
          <w:szCs w:val="22"/>
          <w:rtl/>
        </w:rPr>
        <w:t>בינואר</w:t>
      </w:r>
      <w:r w:rsidRPr="001F3DFF">
        <w:rPr>
          <w:rFonts w:cs="FrankRuehl"/>
          <w:sz w:val="20"/>
          <w:szCs w:val="22"/>
          <w:rtl/>
        </w:rPr>
        <w:t xml:space="preserve"> 2015. </w:t>
      </w:r>
      <w:r w:rsidRPr="001F3DFF">
        <w:rPr>
          <w:rFonts w:cs="FrankRuehl" w:hint="eastAsia"/>
          <w:sz w:val="20"/>
          <w:szCs w:val="22"/>
          <w:rtl/>
        </w:rPr>
        <w:t>נציין</w:t>
      </w:r>
      <w:r w:rsidRPr="001F3DFF">
        <w:rPr>
          <w:rFonts w:cs="FrankRuehl"/>
          <w:sz w:val="20"/>
          <w:szCs w:val="22"/>
          <w:rtl/>
        </w:rPr>
        <w:t xml:space="preserve"> </w:t>
      </w:r>
      <w:r w:rsidRPr="001F3DFF">
        <w:rPr>
          <w:rFonts w:cs="FrankRuehl" w:hint="eastAsia"/>
          <w:sz w:val="20"/>
          <w:szCs w:val="22"/>
          <w:rtl/>
        </w:rPr>
        <w:t>בהקשר</w:t>
      </w:r>
      <w:r w:rsidRPr="001F3DFF">
        <w:rPr>
          <w:rFonts w:cs="FrankRuehl"/>
          <w:sz w:val="20"/>
          <w:szCs w:val="22"/>
          <w:rtl/>
        </w:rPr>
        <w:t xml:space="preserve"> </w:t>
      </w:r>
      <w:r w:rsidRPr="001F3DFF">
        <w:rPr>
          <w:rFonts w:cs="FrankRuehl" w:hint="eastAsia"/>
          <w:sz w:val="20"/>
          <w:szCs w:val="22"/>
          <w:rtl/>
        </w:rPr>
        <w:t>לכך</w:t>
      </w:r>
      <w:r w:rsidRPr="001F3DFF">
        <w:rPr>
          <w:rFonts w:cs="FrankRuehl"/>
          <w:sz w:val="20"/>
          <w:szCs w:val="22"/>
          <w:rtl/>
        </w:rPr>
        <w:t xml:space="preserve">, </w:t>
      </w:r>
      <w:r w:rsidRPr="001F3DFF">
        <w:rPr>
          <w:rFonts w:cs="FrankRuehl" w:hint="eastAsia"/>
          <w:sz w:val="20"/>
          <w:szCs w:val="22"/>
          <w:rtl/>
        </w:rPr>
        <w:t>שמעורבות</w:t>
      </w:r>
      <w:r w:rsidRPr="001F3DFF">
        <w:rPr>
          <w:rFonts w:cs="FrankRuehl"/>
          <w:sz w:val="20"/>
          <w:szCs w:val="22"/>
          <w:rtl/>
        </w:rPr>
        <w:t xml:space="preserve"> </w:t>
      </w:r>
      <w:r w:rsidRPr="001F3DFF">
        <w:rPr>
          <w:rFonts w:cs="FrankRuehl" w:hint="eastAsia"/>
          <w:sz w:val="20"/>
          <w:szCs w:val="22"/>
          <w:rtl/>
        </w:rPr>
        <w:t>רגולטורית</w:t>
      </w:r>
      <w:r w:rsidRPr="001F3DFF">
        <w:rPr>
          <w:rFonts w:cs="FrankRuehl"/>
          <w:sz w:val="20"/>
          <w:szCs w:val="22"/>
          <w:rtl/>
        </w:rPr>
        <w:t xml:space="preserve"> </w:t>
      </w:r>
      <w:r w:rsidRPr="001F3DFF">
        <w:rPr>
          <w:rFonts w:cs="FrankRuehl" w:hint="eastAsia"/>
          <w:sz w:val="20"/>
          <w:szCs w:val="22"/>
          <w:rtl/>
        </w:rPr>
        <w:t>בקביעת</w:t>
      </w:r>
      <w:r w:rsidRPr="001F3DFF">
        <w:rPr>
          <w:rFonts w:cs="FrankRuehl"/>
          <w:sz w:val="20"/>
          <w:szCs w:val="22"/>
          <w:rtl/>
        </w:rPr>
        <w:t xml:space="preserve"> </w:t>
      </w:r>
      <w:r w:rsidRPr="001F3DFF">
        <w:rPr>
          <w:rFonts w:cs="FrankRuehl" w:hint="eastAsia"/>
          <w:sz w:val="20"/>
          <w:szCs w:val="22"/>
          <w:rtl/>
        </w:rPr>
        <w:t>גובה</w:t>
      </w:r>
      <w:r w:rsidRPr="001F3DFF">
        <w:rPr>
          <w:rFonts w:cs="FrankRuehl"/>
          <w:sz w:val="20"/>
          <w:szCs w:val="22"/>
          <w:rtl/>
        </w:rPr>
        <w:t xml:space="preserve"> </w:t>
      </w:r>
      <w:r w:rsidRPr="001F3DFF">
        <w:rPr>
          <w:rFonts w:cs="FrankRuehl" w:hint="eastAsia"/>
          <w:sz w:val="20"/>
          <w:szCs w:val="22"/>
          <w:rtl/>
        </w:rPr>
        <w:t>ההפרשה</w:t>
      </w:r>
      <w:r w:rsidRPr="001F3DFF">
        <w:rPr>
          <w:rFonts w:cs="FrankRuehl"/>
          <w:sz w:val="20"/>
          <w:szCs w:val="22"/>
          <w:rtl/>
        </w:rPr>
        <w:t xml:space="preserve"> </w:t>
      </w:r>
      <w:r w:rsidRPr="001F3DFF">
        <w:rPr>
          <w:rFonts w:cs="FrankRuehl" w:hint="eastAsia"/>
          <w:sz w:val="20"/>
          <w:szCs w:val="22"/>
          <w:rtl/>
        </w:rPr>
        <w:t>הינה</w:t>
      </w:r>
      <w:r w:rsidRPr="001F3DFF">
        <w:rPr>
          <w:rFonts w:cs="FrankRuehl"/>
          <w:sz w:val="20"/>
          <w:szCs w:val="22"/>
          <w:rtl/>
        </w:rPr>
        <w:t xml:space="preserve"> </w:t>
      </w:r>
      <w:r w:rsidRPr="001F3DFF">
        <w:rPr>
          <w:rFonts w:cs="FrankRuehl" w:hint="eastAsia"/>
          <w:sz w:val="20"/>
          <w:szCs w:val="22"/>
          <w:rtl/>
        </w:rPr>
        <w:t>חריגה</w:t>
      </w:r>
      <w:r w:rsidRPr="001F3DFF">
        <w:rPr>
          <w:rFonts w:cs="FrankRuehl"/>
          <w:sz w:val="20"/>
          <w:szCs w:val="22"/>
          <w:rtl/>
        </w:rPr>
        <w:t xml:space="preserve"> </w:t>
      </w:r>
      <w:r w:rsidRPr="001F3DFF">
        <w:rPr>
          <w:rFonts w:cs="FrankRuehl" w:hint="eastAsia"/>
          <w:sz w:val="20"/>
          <w:szCs w:val="22"/>
          <w:rtl/>
        </w:rPr>
        <w:t>והשימוש</w:t>
      </w:r>
      <w:r w:rsidRPr="001F3DFF">
        <w:rPr>
          <w:rFonts w:cs="FrankRuehl"/>
          <w:sz w:val="20"/>
          <w:szCs w:val="22"/>
          <w:rtl/>
        </w:rPr>
        <w:t xml:space="preserve"> </w:t>
      </w:r>
      <w:r w:rsidRPr="001F3DFF">
        <w:rPr>
          <w:rFonts w:cs="FrankRuehl" w:hint="eastAsia"/>
          <w:sz w:val="20"/>
          <w:szCs w:val="22"/>
          <w:rtl/>
        </w:rPr>
        <w:t>בה</w:t>
      </w:r>
      <w:r w:rsidRPr="001F3DFF">
        <w:rPr>
          <w:rFonts w:cs="FrankRuehl"/>
          <w:sz w:val="20"/>
          <w:szCs w:val="22"/>
          <w:rtl/>
        </w:rPr>
        <w:t xml:space="preserve"> </w:t>
      </w:r>
      <w:r w:rsidRPr="001F3DFF">
        <w:rPr>
          <w:rFonts w:cs="FrankRuehl" w:hint="eastAsia"/>
          <w:sz w:val="20"/>
          <w:szCs w:val="22"/>
          <w:rtl/>
        </w:rPr>
        <w:t>נעשה</w:t>
      </w:r>
      <w:r w:rsidRPr="001F3DFF">
        <w:rPr>
          <w:rFonts w:cs="FrankRuehl"/>
          <w:sz w:val="20"/>
          <w:szCs w:val="22"/>
          <w:rtl/>
        </w:rPr>
        <w:t xml:space="preserve">, </w:t>
      </w:r>
      <w:r w:rsidRPr="001F3DFF">
        <w:rPr>
          <w:rFonts w:cs="FrankRuehl" w:hint="eastAsia"/>
          <w:sz w:val="20"/>
          <w:szCs w:val="22"/>
          <w:rtl/>
        </w:rPr>
        <w:t>בארץ</w:t>
      </w:r>
      <w:r w:rsidRPr="001F3DFF">
        <w:rPr>
          <w:rFonts w:cs="FrankRuehl"/>
          <w:sz w:val="20"/>
          <w:szCs w:val="22"/>
          <w:rtl/>
        </w:rPr>
        <w:t xml:space="preserve"> ובעולם, בזהירות ובמידתיות רבה... </w:t>
      </w:r>
      <w:r w:rsidRPr="001F3DFF">
        <w:rPr>
          <w:rFonts w:cs="FrankRuehl" w:hint="eastAsia"/>
          <w:sz w:val="20"/>
          <w:szCs w:val="22"/>
          <w:rtl/>
        </w:rPr>
        <w:t>מעבר</w:t>
      </w:r>
      <w:r w:rsidRPr="001F3DFF">
        <w:rPr>
          <w:rFonts w:cs="FrankRuehl"/>
          <w:sz w:val="20"/>
          <w:szCs w:val="22"/>
          <w:rtl/>
        </w:rPr>
        <w:t xml:space="preserve"> </w:t>
      </w:r>
      <w:r w:rsidRPr="001F3DFF">
        <w:rPr>
          <w:rFonts w:cs="FrankRuehl" w:hint="eastAsia"/>
          <w:sz w:val="20"/>
          <w:szCs w:val="22"/>
          <w:rtl/>
        </w:rPr>
        <w:t>לדרישות</w:t>
      </w:r>
      <w:r w:rsidRPr="001F3DFF">
        <w:rPr>
          <w:rFonts w:cs="FrankRuehl"/>
          <w:sz w:val="20"/>
          <w:szCs w:val="22"/>
          <w:rtl/>
        </w:rPr>
        <w:t xml:space="preserve"> </w:t>
      </w:r>
      <w:r w:rsidRPr="001F3DFF">
        <w:rPr>
          <w:rFonts w:cs="FrankRuehl" w:hint="eastAsia"/>
          <w:sz w:val="20"/>
          <w:szCs w:val="22"/>
          <w:rtl/>
        </w:rPr>
        <w:t>כאמור</w:t>
      </w:r>
      <w:r w:rsidRPr="001F3DFF">
        <w:rPr>
          <w:rFonts w:cs="FrankRuehl"/>
          <w:sz w:val="20"/>
          <w:szCs w:val="22"/>
          <w:rtl/>
        </w:rPr>
        <w:t xml:space="preserve">, </w:t>
      </w:r>
      <w:r w:rsidRPr="001F3DFF">
        <w:rPr>
          <w:rFonts w:cs="FrankRuehl" w:hint="eastAsia"/>
          <w:sz w:val="20"/>
          <w:szCs w:val="22"/>
          <w:rtl/>
        </w:rPr>
        <w:t>הפיקוח</w:t>
      </w:r>
      <w:r w:rsidRPr="001F3DFF">
        <w:rPr>
          <w:rFonts w:cs="FrankRuehl"/>
          <w:sz w:val="20"/>
          <w:szCs w:val="22"/>
          <w:rtl/>
        </w:rPr>
        <w:t xml:space="preserve"> </w:t>
      </w:r>
      <w:r w:rsidRPr="001F3DFF">
        <w:rPr>
          <w:rFonts w:cs="FrankRuehl" w:hint="eastAsia"/>
          <w:sz w:val="20"/>
          <w:szCs w:val="22"/>
          <w:rtl/>
        </w:rPr>
        <w:t>על</w:t>
      </w:r>
      <w:r w:rsidRPr="001F3DFF">
        <w:rPr>
          <w:rFonts w:cs="FrankRuehl"/>
          <w:sz w:val="20"/>
          <w:szCs w:val="22"/>
          <w:rtl/>
        </w:rPr>
        <w:t xml:space="preserve"> </w:t>
      </w:r>
      <w:r w:rsidRPr="001F3DFF">
        <w:rPr>
          <w:rFonts w:cs="FrankRuehl" w:hint="eastAsia"/>
          <w:sz w:val="20"/>
          <w:szCs w:val="22"/>
          <w:rtl/>
        </w:rPr>
        <w:t>הבנקים</w:t>
      </w:r>
      <w:r w:rsidRPr="001F3DFF">
        <w:rPr>
          <w:rFonts w:cs="FrankRuehl"/>
          <w:sz w:val="20"/>
          <w:szCs w:val="22"/>
          <w:rtl/>
        </w:rPr>
        <w:t xml:space="preserve"> </w:t>
      </w:r>
      <w:r w:rsidRPr="001F3DFF">
        <w:rPr>
          <w:rFonts w:cs="FrankRuehl" w:hint="eastAsia"/>
          <w:sz w:val="20"/>
          <w:szCs w:val="22"/>
          <w:rtl/>
        </w:rPr>
        <w:t>פעל</w:t>
      </w:r>
      <w:r w:rsidRPr="001F3DFF">
        <w:rPr>
          <w:rFonts w:cs="FrankRuehl"/>
          <w:sz w:val="20"/>
          <w:szCs w:val="22"/>
          <w:rtl/>
        </w:rPr>
        <w:t xml:space="preserve"> </w:t>
      </w:r>
      <w:r w:rsidRPr="001F3DFF">
        <w:rPr>
          <w:rFonts w:cs="FrankRuehl" w:hint="eastAsia"/>
          <w:sz w:val="20"/>
          <w:szCs w:val="22"/>
          <w:rtl/>
        </w:rPr>
        <w:t>בתקופה</w:t>
      </w:r>
      <w:r w:rsidRPr="001F3DFF">
        <w:rPr>
          <w:rFonts w:cs="FrankRuehl"/>
          <w:sz w:val="20"/>
          <w:szCs w:val="22"/>
          <w:rtl/>
        </w:rPr>
        <w:t xml:space="preserve"> </w:t>
      </w:r>
      <w:r w:rsidRPr="001F3DFF">
        <w:rPr>
          <w:rFonts w:cs="FrankRuehl" w:hint="eastAsia"/>
          <w:sz w:val="20"/>
          <w:szCs w:val="22"/>
          <w:rtl/>
        </w:rPr>
        <w:t>הנסקרת</w:t>
      </w:r>
      <w:r w:rsidRPr="001F3DFF">
        <w:rPr>
          <w:rFonts w:cs="FrankRuehl"/>
          <w:sz w:val="20"/>
          <w:szCs w:val="22"/>
          <w:rtl/>
        </w:rPr>
        <w:t xml:space="preserve"> </w:t>
      </w:r>
      <w:r w:rsidRPr="001F3DFF">
        <w:rPr>
          <w:rFonts w:cs="FrankRuehl" w:hint="eastAsia"/>
          <w:sz w:val="20"/>
          <w:szCs w:val="22"/>
          <w:rtl/>
        </w:rPr>
        <w:t>גם</w:t>
      </w:r>
      <w:r w:rsidRPr="001F3DFF">
        <w:rPr>
          <w:rFonts w:cs="FrankRuehl"/>
          <w:sz w:val="20"/>
          <w:szCs w:val="22"/>
          <w:rtl/>
        </w:rPr>
        <w:t xml:space="preserve"> </w:t>
      </w:r>
      <w:r w:rsidRPr="001F3DFF">
        <w:rPr>
          <w:rFonts w:cs="FrankRuehl" w:hint="eastAsia"/>
          <w:sz w:val="20"/>
          <w:szCs w:val="22"/>
          <w:rtl/>
        </w:rPr>
        <w:t>בכלים</w:t>
      </w:r>
      <w:r w:rsidRPr="001F3DFF">
        <w:rPr>
          <w:rFonts w:cs="FrankRuehl"/>
          <w:sz w:val="20"/>
          <w:szCs w:val="22"/>
          <w:rtl/>
        </w:rPr>
        <w:t xml:space="preserve"> </w:t>
      </w:r>
      <w:r w:rsidRPr="001F3DFF">
        <w:rPr>
          <w:rFonts w:cs="FrankRuehl" w:hint="eastAsia"/>
          <w:sz w:val="20"/>
          <w:szCs w:val="22"/>
          <w:rtl/>
        </w:rPr>
        <w:t>אחרים</w:t>
      </w:r>
      <w:r w:rsidRPr="001F3DFF">
        <w:rPr>
          <w:rFonts w:cs="FrankRuehl"/>
          <w:sz w:val="20"/>
          <w:szCs w:val="22"/>
          <w:rtl/>
        </w:rPr>
        <w:t xml:space="preserve"> </w:t>
      </w:r>
      <w:r w:rsidRPr="001F3DFF">
        <w:rPr>
          <w:rFonts w:cs="FrankRuehl" w:hint="eastAsia"/>
          <w:sz w:val="20"/>
          <w:szCs w:val="22"/>
          <w:rtl/>
        </w:rPr>
        <w:t>לצמצום</w:t>
      </w:r>
      <w:r w:rsidRPr="001F3DFF">
        <w:rPr>
          <w:rFonts w:cs="FrankRuehl"/>
          <w:sz w:val="20"/>
          <w:szCs w:val="22"/>
          <w:rtl/>
        </w:rPr>
        <w:t xml:space="preserve"> </w:t>
      </w:r>
      <w:r w:rsidRPr="001F3DFF">
        <w:rPr>
          <w:rFonts w:cs="FrankRuehl" w:hint="eastAsia"/>
          <w:sz w:val="20"/>
          <w:szCs w:val="22"/>
          <w:rtl/>
        </w:rPr>
        <w:t>הסיכון</w:t>
      </w:r>
      <w:r w:rsidRPr="001F3DFF">
        <w:rPr>
          <w:rFonts w:cs="FrankRuehl"/>
          <w:sz w:val="20"/>
          <w:szCs w:val="22"/>
          <w:rtl/>
        </w:rPr>
        <w:t xml:space="preserve"> </w:t>
      </w:r>
      <w:r w:rsidRPr="001F3DFF">
        <w:rPr>
          <w:rFonts w:cs="FrankRuehl" w:hint="eastAsia"/>
          <w:sz w:val="20"/>
          <w:szCs w:val="22"/>
          <w:rtl/>
        </w:rPr>
        <w:t>באשראי</w:t>
      </w:r>
      <w:r w:rsidRPr="001F3DFF">
        <w:rPr>
          <w:rFonts w:cs="FrankRuehl"/>
          <w:sz w:val="20"/>
          <w:szCs w:val="22"/>
          <w:rtl/>
        </w:rPr>
        <w:t xml:space="preserve"> </w:t>
      </w:r>
      <w:r w:rsidRPr="001F3DFF">
        <w:rPr>
          <w:rFonts w:cs="FrankRuehl" w:hint="eastAsia"/>
          <w:sz w:val="20"/>
          <w:szCs w:val="22"/>
          <w:rtl/>
        </w:rPr>
        <w:t>לאנשים</w:t>
      </w:r>
      <w:r w:rsidRPr="001F3DFF">
        <w:rPr>
          <w:rFonts w:cs="FrankRuehl"/>
          <w:sz w:val="20"/>
          <w:szCs w:val="22"/>
          <w:rtl/>
        </w:rPr>
        <w:t xml:space="preserve"> </w:t>
      </w:r>
      <w:r w:rsidRPr="001F3DFF">
        <w:rPr>
          <w:rFonts w:cs="FrankRuehl" w:hint="eastAsia"/>
          <w:sz w:val="20"/>
          <w:szCs w:val="22"/>
          <w:rtl/>
        </w:rPr>
        <w:t>פרטיים</w:t>
      </w:r>
      <w:r w:rsidRPr="001F3DFF">
        <w:rPr>
          <w:rFonts w:cs="FrankRuehl"/>
          <w:sz w:val="20"/>
          <w:szCs w:val="22"/>
          <w:rtl/>
        </w:rPr>
        <w:t>".</w:t>
      </w:r>
    </w:p>
    <w:p w:rsidR="005E5B2C" w:rsidRPr="001F3DFF" w:rsidP="00FB46AA">
      <w:pPr>
        <w:pStyle w:val="RESHET"/>
        <w:rPr>
          <w:rtl/>
        </w:rPr>
      </w:pPr>
      <w:r w:rsidRPr="001F3DFF">
        <w:rPr>
          <w:rFonts w:hint="cs"/>
          <w:rtl/>
        </w:rPr>
        <w:t>לדעת משרד מבקר המדינה, על בנק ישראל להמשיך ולעקוב אחר נתוני ההפרשות בגין אשראי לאנשים פרטיים שלא לדיור, כדי שההפרשה תהלום את הסיכון הגלום באשראי זה.</w:t>
      </w:r>
    </w:p>
    <w:p w:rsidR="005E5B2C" w:rsidRPr="001F3DFF" w:rsidP="00FB46AA">
      <w:pPr>
        <w:spacing w:after="120" w:line="230" w:lineRule="exact"/>
        <w:jc w:val="both"/>
        <w:rPr>
          <w:rFonts w:cs="FrankRuehl"/>
          <w:sz w:val="20"/>
          <w:szCs w:val="22"/>
          <w:rtl/>
        </w:rPr>
      </w:pPr>
    </w:p>
    <w:p w:rsidR="005E5B2C" w:rsidRPr="001E4618" w:rsidP="00FB46AA">
      <w:pPr>
        <w:pStyle w:val="KOT5"/>
        <w:rPr>
          <w:rtl/>
        </w:rPr>
      </w:pPr>
      <w:r w:rsidRPr="001E4618">
        <w:rPr>
          <w:rFonts w:hint="cs"/>
          <w:rtl/>
        </w:rPr>
        <w:t xml:space="preserve">איסוף נתונים על חובות משקי הבית </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איסוף נתונים הוא שלב מהותי ותשתית הכרחית בתהליך קבלת החלטה מושכלת ומבוססת. </w:t>
      </w:r>
      <w:r w:rsidRPr="001F3DFF">
        <w:rPr>
          <w:rFonts w:cs="FrankRuehl"/>
          <w:sz w:val="20"/>
          <w:szCs w:val="22"/>
          <w:rtl/>
        </w:rPr>
        <w:t xml:space="preserve">נתונים </w:t>
      </w:r>
      <w:r w:rsidRPr="001F3DFF">
        <w:rPr>
          <w:rFonts w:cs="FrankRuehl" w:hint="cs"/>
          <w:sz w:val="20"/>
          <w:szCs w:val="22"/>
          <w:rtl/>
        </w:rPr>
        <w:t xml:space="preserve">על חובות משקי הבית </w:t>
      </w:r>
      <w:r w:rsidRPr="001F3DFF">
        <w:rPr>
          <w:rFonts w:cs="FrankRuehl"/>
          <w:sz w:val="20"/>
          <w:szCs w:val="22"/>
          <w:rtl/>
        </w:rPr>
        <w:t xml:space="preserve">ברמת משק בית </w:t>
      </w:r>
      <w:r w:rsidRPr="001F3DFF">
        <w:rPr>
          <w:rFonts w:cs="FrankRuehl" w:hint="cs"/>
          <w:sz w:val="20"/>
          <w:szCs w:val="22"/>
          <w:rtl/>
        </w:rPr>
        <w:t xml:space="preserve">יחיד יכולים לספק </w:t>
      </w:r>
      <w:r w:rsidRPr="001F3DFF">
        <w:rPr>
          <w:rFonts w:cs="FrankRuehl"/>
          <w:sz w:val="20"/>
          <w:szCs w:val="22"/>
          <w:rtl/>
        </w:rPr>
        <w:t xml:space="preserve">מידע בעל ערך רב להבנת ההתנהגות הכלכלית של משקי בית בסביבה פיננסית </w:t>
      </w:r>
      <w:r w:rsidRPr="001F3DFF">
        <w:rPr>
          <w:rFonts w:cs="FrankRuehl" w:hint="cs"/>
          <w:sz w:val="20"/>
          <w:szCs w:val="22"/>
          <w:rtl/>
        </w:rPr>
        <w:t>מורכבת</w:t>
      </w:r>
      <w:r w:rsidRPr="001F3DFF">
        <w:rPr>
          <w:rFonts w:cs="FrankRuehl"/>
          <w:sz w:val="20"/>
          <w:szCs w:val="22"/>
          <w:rtl/>
        </w:rPr>
        <w:t xml:space="preserve">, </w:t>
      </w:r>
      <w:r w:rsidRPr="001F3DFF">
        <w:rPr>
          <w:rFonts w:cs="FrankRuehl" w:hint="cs"/>
          <w:sz w:val="20"/>
          <w:szCs w:val="22"/>
          <w:rtl/>
        </w:rPr>
        <w:t>ובכלל זה השפעת צעדי מדיניות ואירועים חיצוניים על התנהגות משקי הבית. המצב הגאופוליטי בישראל מוסיף נדבך של חוסר ודאות בעת קבלת ההחלטות ומחייב את קובעי המדיניות לנקוט מדיניות אחראית; זאת כדי לאפשר מרחב פעולה וגמישות במקרה של זעזוע שלילי</w:t>
      </w:r>
      <w:r>
        <w:rPr>
          <w:rStyle w:val="FootnoteReference0"/>
          <w:rFonts w:cs="FrankRuehl"/>
          <w:sz w:val="20"/>
          <w:szCs w:val="22"/>
          <w:rtl/>
        </w:rPr>
        <w:footnoteReference w:id="22"/>
      </w:r>
      <w:r w:rsidRPr="001F3DFF">
        <w:rPr>
          <w:rFonts w:cs="FrankRuehl" w:hint="cs"/>
          <w:sz w:val="20"/>
          <w:szCs w:val="22"/>
          <w:rtl/>
        </w:rPr>
        <w:t xml:space="preserve">, לזהות סיכונים למשק מבעוד מועד ולתכנן אסטרטגיית פעולה להתמודדות עם מצבים משתנים. </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כמה בנקים מרכזיים בגוש האירו הבינו את החשיבות שבאיסוף נתונים מסוג זה והחלו לבצע סקרים ברמת משק הבית היחיד. </w:t>
      </w:r>
      <w:r w:rsidRPr="001F3DFF">
        <w:rPr>
          <w:rFonts w:cs="FrankRuehl"/>
          <w:sz w:val="20"/>
          <w:szCs w:val="22"/>
          <w:rtl/>
        </w:rPr>
        <w:t xml:space="preserve">על רקע זה </w:t>
      </w:r>
      <w:r w:rsidRPr="001F3DFF">
        <w:rPr>
          <w:rFonts w:cs="FrankRuehl" w:hint="cs"/>
          <w:sz w:val="20"/>
          <w:szCs w:val="22"/>
          <w:rtl/>
        </w:rPr>
        <w:t>החליטה מועצת המנהלים של הבנק המרכזי של אירופה</w:t>
      </w:r>
      <w:r w:rsidRPr="001F3DFF">
        <w:rPr>
          <w:rFonts w:cs="FrankRuehl" w:hint="cs"/>
          <w:color w:val="FF0000"/>
          <w:sz w:val="20"/>
          <w:szCs w:val="22"/>
          <w:rtl/>
        </w:rPr>
        <w:t xml:space="preserve"> </w:t>
      </w:r>
      <w:r w:rsidR="004214D8">
        <w:rPr>
          <w:rFonts w:cs="FrankRuehl"/>
          <w:color w:val="FF0000"/>
          <w:sz w:val="20"/>
          <w:szCs w:val="22"/>
          <w:rtl/>
        </w:rPr>
        <w:br/>
      </w:r>
      <w:r w:rsidRPr="001F3DFF">
        <w:rPr>
          <w:rFonts w:cs="FrankRuehl" w:hint="cs"/>
          <w:sz w:val="20"/>
          <w:szCs w:val="22"/>
          <w:rtl/>
        </w:rPr>
        <w:t xml:space="preserve">ב-2008 לבצע </w:t>
      </w:r>
      <w:r w:rsidRPr="001F3DFF">
        <w:rPr>
          <w:rFonts w:cs="FrankRuehl"/>
          <w:sz w:val="20"/>
          <w:szCs w:val="22"/>
          <w:rtl/>
        </w:rPr>
        <w:t>סקר</w:t>
      </w:r>
      <w:r w:rsidRPr="001F3DFF">
        <w:rPr>
          <w:rFonts w:cs="FrankRuehl" w:hint="cs"/>
          <w:sz w:val="20"/>
          <w:szCs w:val="22"/>
          <w:rtl/>
        </w:rPr>
        <w:t xml:space="preserve"> משקי בית אחיד</w:t>
      </w:r>
      <w:r>
        <w:rPr>
          <w:rStyle w:val="FootnoteReference0"/>
          <w:rFonts w:cs="FrankRuehl"/>
          <w:sz w:val="20"/>
          <w:szCs w:val="22"/>
          <w:rtl/>
        </w:rPr>
        <w:footnoteReference w:id="23"/>
      </w:r>
      <w:r w:rsidRPr="001F3DFF">
        <w:rPr>
          <w:rFonts w:cs="FrankRuehl" w:hint="cs"/>
          <w:sz w:val="20"/>
          <w:szCs w:val="22"/>
          <w:rtl/>
        </w:rPr>
        <w:t xml:space="preserve"> בכל </w:t>
      </w:r>
      <w:r w:rsidRPr="001F3DFF">
        <w:rPr>
          <w:rFonts w:cs="FrankRuehl"/>
          <w:sz w:val="20"/>
          <w:szCs w:val="22"/>
          <w:rtl/>
        </w:rPr>
        <w:t>גוש ה</w:t>
      </w:r>
      <w:r w:rsidRPr="001F3DFF">
        <w:rPr>
          <w:rFonts w:cs="FrankRuehl" w:hint="cs"/>
          <w:sz w:val="20"/>
          <w:szCs w:val="22"/>
          <w:rtl/>
        </w:rPr>
        <w:t>אי</w:t>
      </w:r>
      <w:r w:rsidRPr="001F3DFF">
        <w:rPr>
          <w:rFonts w:cs="FrankRuehl"/>
          <w:sz w:val="20"/>
          <w:szCs w:val="22"/>
          <w:rtl/>
        </w:rPr>
        <w:t>רו</w:t>
      </w:r>
      <w:r w:rsidRPr="001F3DFF">
        <w:rPr>
          <w:rFonts w:cs="FrankRuehl" w:hint="cs"/>
          <w:sz w:val="20"/>
          <w:szCs w:val="22"/>
          <w:rtl/>
        </w:rPr>
        <w:t>,</w:t>
      </w:r>
      <w:r w:rsidRPr="001F3DFF">
        <w:rPr>
          <w:rFonts w:cs="FrankRuehl"/>
          <w:sz w:val="20"/>
          <w:szCs w:val="22"/>
          <w:rtl/>
        </w:rPr>
        <w:t xml:space="preserve"> </w:t>
      </w:r>
      <w:r w:rsidRPr="001F3DFF">
        <w:rPr>
          <w:rFonts w:cs="FrankRuehl" w:hint="cs"/>
          <w:sz w:val="20"/>
          <w:szCs w:val="22"/>
          <w:rtl/>
        </w:rPr>
        <w:t>אשר יקיף בין השאר את הנושאים הבאים: התחייבויות; הרגלי</w:t>
      </w:r>
      <w:r w:rsidRPr="001F3DFF">
        <w:rPr>
          <w:rFonts w:cs="FrankRuehl"/>
          <w:sz w:val="20"/>
          <w:szCs w:val="22"/>
          <w:rtl/>
        </w:rPr>
        <w:t xml:space="preserve"> צריכה </w:t>
      </w:r>
      <w:r w:rsidRPr="001F3DFF">
        <w:rPr>
          <w:rFonts w:cs="FrankRuehl" w:hint="cs"/>
          <w:sz w:val="20"/>
          <w:szCs w:val="22"/>
          <w:rtl/>
        </w:rPr>
        <w:t xml:space="preserve">וחיסכון; נכסים ראליים ופיננסיים; הכנסה ותעסוקה; וגישות לסיכון. </w:t>
      </w:r>
    </w:p>
    <w:p w:rsidR="005E5B2C" w:rsidRPr="001F3DFF" w:rsidP="00FB46AA">
      <w:pPr>
        <w:spacing w:after="120" w:line="230" w:lineRule="exact"/>
        <w:jc w:val="both"/>
        <w:rPr>
          <w:rFonts w:cs="FrankRuehl"/>
          <w:sz w:val="20"/>
          <w:szCs w:val="22"/>
          <w:rtl/>
        </w:rPr>
      </w:pPr>
      <w:r w:rsidRPr="001F3DFF">
        <w:rPr>
          <w:rFonts w:cs="FrankRuehl" w:hint="cs"/>
          <w:sz w:val="20"/>
          <w:szCs w:val="22"/>
          <w:rtl/>
        </w:rPr>
        <w:t>מסמך שפרסם ה-</w:t>
      </w:r>
      <w:r w:rsidRPr="001F3DFF">
        <w:rPr>
          <w:rFonts w:cs="FrankRuehl"/>
          <w:sz w:val="20"/>
          <w:szCs w:val="22"/>
        </w:rPr>
        <w:t>OECD</w:t>
      </w:r>
      <w:r w:rsidRPr="001F3DFF">
        <w:rPr>
          <w:rFonts w:cs="FrankRuehl" w:hint="cs"/>
          <w:sz w:val="20"/>
          <w:szCs w:val="22"/>
          <w:rtl/>
        </w:rPr>
        <w:t xml:space="preserve"> בינואר 2013</w:t>
      </w:r>
      <w:r>
        <w:rPr>
          <w:rStyle w:val="FootnoteReference0"/>
          <w:rFonts w:cs="FrankRuehl"/>
          <w:sz w:val="20"/>
          <w:szCs w:val="22"/>
          <w:rtl/>
        </w:rPr>
        <w:footnoteReference w:id="24"/>
      </w:r>
      <w:r w:rsidRPr="001F3DFF">
        <w:rPr>
          <w:rFonts w:cs="FrankRuehl" w:hint="cs"/>
          <w:sz w:val="20"/>
          <w:szCs w:val="22"/>
          <w:rtl/>
        </w:rPr>
        <w:t xml:space="preserve"> מציין שאינדיקטורים המורכבים מנתונים ברמת האגרגט על חובות משקי הבית מספקים מידע רק על מיקומו של מגזר משקי הבית בכללותו. </w:t>
      </w:r>
      <w:r w:rsidRPr="001F3DFF">
        <w:rPr>
          <w:rFonts w:cs="FrankRuehl"/>
          <w:sz w:val="20"/>
          <w:szCs w:val="22"/>
          <w:rtl/>
        </w:rPr>
        <w:t xml:space="preserve">אינדיקטורים אלה </w:t>
      </w:r>
      <w:r w:rsidRPr="001F3DFF">
        <w:rPr>
          <w:rFonts w:cs="FrankRuehl" w:hint="cs"/>
          <w:sz w:val="20"/>
          <w:szCs w:val="22"/>
          <w:rtl/>
        </w:rPr>
        <w:t>מסווים</w:t>
      </w:r>
      <w:r w:rsidRPr="001F3DFF">
        <w:rPr>
          <w:rFonts w:cs="FrankRuehl"/>
          <w:sz w:val="20"/>
          <w:szCs w:val="22"/>
          <w:rtl/>
        </w:rPr>
        <w:t xml:space="preserve"> פערים </w:t>
      </w:r>
      <w:r w:rsidRPr="001F3DFF">
        <w:rPr>
          <w:rFonts w:cs="FrankRuehl" w:hint="cs"/>
          <w:sz w:val="20"/>
          <w:szCs w:val="22"/>
          <w:rtl/>
        </w:rPr>
        <w:t>משמעותיים</w:t>
      </w:r>
      <w:r w:rsidRPr="001F3DFF">
        <w:rPr>
          <w:rFonts w:cs="FrankRuehl"/>
          <w:sz w:val="20"/>
          <w:szCs w:val="22"/>
          <w:rtl/>
        </w:rPr>
        <w:t xml:space="preserve"> ב</w:t>
      </w:r>
      <w:r w:rsidRPr="001F3DFF">
        <w:rPr>
          <w:rFonts w:cs="FrankRuehl" w:hint="cs"/>
          <w:sz w:val="20"/>
          <w:szCs w:val="22"/>
          <w:rtl/>
        </w:rPr>
        <w:t>מדדים</w:t>
      </w:r>
      <w:r w:rsidRPr="001F3DFF">
        <w:rPr>
          <w:rFonts w:cs="FrankRuehl"/>
          <w:sz w:val="20"/>
          <w:szCs w:val="22"/>
          <w:rtl/>
        </w:rPr>
        <w:t xml:space="preserve"> פיננסיים </w:t>
      </w:r>
      <w:r w:rsidRPr="001F3DFF">
        <w:rPr>
          <w:rFonts w:cs="FrankRuehl" w:hint="cs"/>
          <w:sz w:val="20"/>
          <w:szCs w:val="22"/>
          <w:rtl/>
        </w:rPr>
        <w:t>שונים בקרב ה</w:t>
      </w:r>
      <w:r w:rsidRPr="001F3DFF">
        <w:rPr>
          <w:rFonts w:cs="FrankRuehl"/>
          <w:sz w:val="20"/>
          <w:szCs w:val="22"/>
          <w:rtl/>
        </w:rPr>
        <w:t xml:space="preserve">אוכלוסייה בשל ההטרוגניות </w:t>
      </w:r>
      <w:r w:rsidRPr="001F3DFF">
        <w:rPr>
          <w:rFonts w:cs="FrankRuehl" w:hint="cs"/>
          <w:sz w:val="20"/>
          <w:szCs w:val="22"/>
          <w:rtl/>
        </w:rPr>
        <w:t>הרחבה</w:t>
      </w:r>
      <w:r w:rsidRPr="001F3DFF">
        <w:rPr>
          <w:rFonts w:cs="FrankRuehl"/>
          <w:sz w:val="20"/>
          <w:szCs w:val="22"/>
          <w:rtl/>
        </w:rPr>
        <w:t xml:space="preserve"> ב</w:t>
      </w:r>
      <w:r w:rsidRPr="001F3DFF">
        <w:rPr>
          <w:rFonts w:cs="FrankRuehl" w:hint="cs"/>
          <w:sz w:val="20"/>
          <w:szCs w:val="22"/>
          <w:rtl/>
        </w:rPr>
        <w:t>מגזר</w:t>
      </w:r>
      <w:r w:rsidRPr="001F3DFF">
        <w:rPr>
          <w:rFonts w:cs="FrankRuehl"/>
          <w:sz w:val="20"/>
          <w:szCs w:val="22"/>
          <w:rtl/>
        </w:rPr>
        <w:t xml:space="preserve"> משקי </w:t>
      </w:r>
      <w:r w:rsidRPr="001F3DFF">
        <w:rPr>
          <w:rFonts w:cs="FrankRuehl" w:hint="cs"/>
          <w:sz w:val="20"/>
          <w:szCs w:val="22"/>
          <w:rtl/>
        </w:rPr>
        <w:t>ה</w:t>
      </w:r>
      <w:r w:rsidRPr="001F3DFF">
        <w:rPr>
          <w:rFonts w:cs="FrankRuehl"/>
          <w:sz w:val="20"/>
          <w:szCs w:val="22"/>
          <w:rtl/>
        </w:rPr>
        <w:t>בית. מ</w:t>
      </w:r>
      <w:r w:rsidRPr="001F3DFF">
        <w:rPr>
          <w:rFonts w:cs="FrankRuehl" w:hint="cs"/>
          <w:sz w:val="20"/>
          <w:szCs w:val="22"/>
          <w:rtl/>
        </w:rPr>
        <w:t>ה</w:t>
      </w:r>
      <w:r w:rsidRPr="001F3DFF">
        <w:rPr>
          <w:rFonts w:cs="FrankRuehl"/>
          <w:sz w:val="20"/>
          <w:szCs w:val="22"/>
          <w:rtl/>
        </w:rPr>
        <w:t xml:space="preserve">בחינה </w:t>
      </w:r>
      <w:r w:rsidRPr="001F3DFF">
        <w:rPr>
          <w:rFonts w:cs="FrankRuehl" w:hint="cs"/>
          <w:sz w:val="20"/>
          <w:szCs w:val="22"/>
          <w:rtl/>
        </w:rPr>
        <w:t>ה</w:t>
      </w:r>
      <w:r w:rsidRPr="001F3DFF">
        <w:rPr>
          <w:rFonts w:cs="FrankRuehl"/>
          <w:sz w:val="20"/>
          <w:szCs w:val="22"/>
          <w:rtl/>
        </w:rPr>
        <w:t xml:space="preserve">זו ניתוח באמצעות אינדיקטורים </w:t>
      </w:r>
      <w:r w:rsidRPr="001F3DFF">
        <w:rPr>
          <w:rFonts w:cs="FrankRuehl" w:hint="cs"/>
          <w:sz w:val="20"/>
          <w:szCs w:val="22"/>
          <w:rtl/>
        </w:rPr>
        <w:t xml:space="preserve">הנשענים על </w:t>
      </w:r>
      <w:r w:rsidRPr="001F3DFF">
        <w:rPr>
          <w:rFonts w:cs="FrankRuehl"/>
          <w:sz w:val="20"/>
          <w:szCs w:val="22"/>
          <w:rtl/>
        </w:rPr>
        <w:t>נתוני</w:t>
      </w:r>
      <w:r w:rsidRPr="001F3DFF">
        <w:rPr>
          <w:rFonts w:cs="FrankRuehl" w:hint="cs"/>
          <w:sz w:val="20"/>
          <w:szCs w:val="22"/>
          <w:rtl/>
        </w:rPr>
        <w:t>ם</w:t>
      </w:r>
      <w:r w:rsidRPr="001F3DFF">
        <w:rPr>
          <w:rFonts w:cs="FrankRuehl"/>
          <w:sz w:val="20"/>
          <w:szCs w:val="22"/>
          <w:rtl/>
        </w:rPr>
        <w:t xml:space="preserve"> </w:t>
      </w:r>
      <w:r w:rsidRPr="001F3DFF">
        <w:rPr>
          <w:rFonts w:cs="FrankRuehl" w:hint="cs"/>
          <w:sz w:val="20"/>
          <w:szCs w:val="22"/>
          <w:rtl/>
        </w:rPr>
        <w:t>ברמת ה</w:t>
      </w:r>
      <w:r w:rsidRPr="001F3DFF">
        <w:rPr>
          <w:rFonts w:cs="FrankRuehl"/>
          <w:sz w:val="20"/>
          <w:szCs w:val="22"/>
          <w:rtl/>
        </w:rPr>
        <w:t xml:space="preserve">מיקרו </w:t>
      </w:r>
      <w:r w:rsidRPr="001F3DFF">
        <w:rPr>
          <w:rFonts w:cs="FrankRuehl" w:hint="cs"/>
          <w:sz w:val="20"/>
          <w:szCs w:val="22"/>
          <w:rtl/>
        </w:rPr>
        <w:t>י</w:t>
      </w:r>
      <w:r w:rsidRPr="001F3DFF">
        <w:rPr>
          <w:rFonts w:cs="FrankRuehl"/>
          <w:sz w:val="20"/>
          <w:szCs w:val="22"/>
          <w:rtl/>
        </w:rPr>
        <w:t xml:space="preserve">סייע בזיהוי </w:t>
      </w:r>
      <w:r w:rsidRPr="001F3DFF">
        <w:rPr>
          <w:rFonts w:cs="FrankRuehl" w:hint="cs"/>
          <w:sz w:val="20"/>
          <w:szCs w:val="22"/>
          <w:rtl/>
        </w:rPr>
        <w:t>רגישויות</w:t>
      </w:r>
      <w:r w:rsidRPr="001F3DFF">
        <w:rPr>
          <w:rFonts w:cs="FrankRuehl"/>
          <w:sz w:val="20"/>
          <w:szCs w:val="22"/>
          <w:rtl/>
        </w:rPr>
        <w:t xml:space="preserve"> בתוך המגזר</w:t>
      </w:r>
      <w:r>
        <w:rPr>
          <w:rStyle w:val="FootnoteReference0"/>
          <w:rFonts w:cs="FrankRuehl"/>
          <w:sz w:val="20"/>
          <w:szCs w:val="22"/>
          <w:rtl/>
        </w:rPr>
        <w:footnoteReference w:id="25"/>
      </w:r>
      <w:r w:rsidRPr="001F3DFF">
        <w:rPr>
          <w:rFonts w:cs="FrankRuehl"/>
          <w:sz w:val="20"/>
          <w:szCs w:val="22"/>
          <w:rtl/>
        </w:rPr>
        <w:t>.</w:t>
      </w:r>
      <w:r w:rsidRPr="001F3DFF">
        <w:rPr>
          <w:rFonts w:cs="FrankRuehl" w:hint="cs"/>
          <w:sz w:val="20"/>
          <w:szCs w:val="22"/>
          <w:rtl/>
        </w:rPr>
        <w:t xml:space="preserve"> </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מסקירת הנתונים והמידע על חובות משקי הבית והרגלי נטילת האשראי בישראל עולה, כי במאזן </w:t>
      </w:r>
      <w:r w:rsidRPr="001F3DFF">
        <w:rPr>
          <w:rFonts w:cs="FrankRuehl"/>
          <w:sz w:val="20"/>
          <w:szCs w:val="22"/>
          <w:rtl/>
        </w:rPr>
        <w:t>הלאומי</w:t>
      </w:r>
      <w:r>
        <w:rPr>
          <w:rStyle w:val="FootnoteReference0"/>
          <w:rFonts w:cs="FrankRuehl"/>
          <w:sz w:val="20"/>
          <w:szCs w:val="22"/>
          <w:rtl/>
        </w:rPr>
        <w:footnoteReference w:id="26"/>
      </w:r>
      <w:r w:rsidRPr="001F3DFF">
        <w:rPr>
          <w:rFonts w:cs="FrankRuehl" w:hint="cs"/>
          <w:sz w:val="20"/>
          <w:szCs w:val="22"/>
          <w:rtl/>
        </w:rPr>
        <w:t xml:space="preserve"> שמפרסמת </w:t>
      </w:r>
      <w:r w:rsidRPr="001F3DFF">
        <w:rPr>
          <w:rFonts w:cs="FrankRuehl" w:hint="cs"/>
          <w:sz w:val="20"/>
          <w:szCs w:val="22"/>
          <w:rtl/>
        </w:rPr>
        <w:t>הלמ"ס</w:t>
      </w:r>
      <w:r w:rsidRPr="001F3DFF">
        <w:rPr>
          <w:rFonts w:cs="FrankRuehl" w:hint="cs"/>
          <w:sz w:val="20"/>
          <w:szCs w:val="22"/>
          <w:rtl/>
        </w:rPr>
        <w:t xml:space="preserve"> מפורטים כל הנכסים וההתחייבויות של מגזרים שונים במשק, לרבות </w:t>
      </w:r>
      <w:r w:rsidRPr="001F3DFF">
        <w:rPr>
          <w:rFonts w:cs="FrankRuehl"/>
          <w:sz w:val="20"/>
          <w:szCs w:val="22"/>
          <w:rtl/>
        </w:rPr>
        <w:t>משקי בית</w:t>
      </w:r>
      <w:r w:rsidRPr="001F3DFF">
        <w:rPr>
          <w:rFonts w:cs="FrankRuehl" w:hint="cs"/>
          <w:sz w:val="20"/>
          <w:szCs w:val="22"/>
          <w:rtl/>
        </w:rPr>
        <w:t xml:space="preserve">. אולם הנתונים כלליים מאוד ואינם מאפשרים ניתוח ברמת משק הבית היחיד. פרסום </w:t>
      </w:r>
      <w:r w:rsidRPr="001F3DFF">
        <w:rPr>
          <w:rFonts w:cs="FrankRuehl" w:hint="cs"/>
          <w:sz w:val="20"/>
          <w:szCs w:val="22"/>
          <w:rtl/>
        </w:rPr>
        <w:t xml:space="preserve">שנתי נוסף של </w:t>
      </w:r>
      <w:r w:rsidRPr="001F3DFF">
        <w:rPr>
          <w:rFonts w:cs="FrankRuehl" w:hint="cs"/>
          <w:sz w:val="20"/>
          <w:szCs w:val="22"/>
          <w:rtl/>
        </w:rPr>
        <w:t>הלמ"ס</w:t>
      </w:r>
      <w:r w:rsidRPr="001F3DFF">
        <w:rPr>
          <w:rFonts w:cs="FrankRuehl" w:hint="cs"/>
          <w:sz w:val="20"/>
          <w:szCs w:val="22"/>
          <w:rtl/>
        </w:rPr>
        <w:t xml:space="preserve"> הוא סקר הוצאות משק בית, אך הנתונים הנאספים בו על אשראי וחובות משקי הבית חלקיים בלבד, ונאספים נתונים על ההלוואות לדיור בלבד.</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מפגישה של עובדי הביקורת עם נציגי </w:t>
      </w:r>
      <w:r w:rsidRPr="001F3DFF">
        <w:rPr>
          <w:rFonts w:cs="FrankRuehl" w:hint="cs"/>
          <w:sz w:val="20"/>
          <w:szCs w:val="22"/>
          <w:rtl/>
        </w:rPr>
        <w:t>הלמ"ס</w:t>
      </w:r>
      <w:r w:rsidRPr="001F3DFF">
        <w:rPr>
          <w:rFonts w:cs="FrankRuehl" w:hint="cs"/>
          <w:sz w:val="20"/>
          <w:szCs w:val="22"/>
          <w:rtl/>
        </w:rPr>
        <w:t xml:space="preserve"> ביולי 2014 עולה כי הוחלט שסקר הוצאות משק הבית אינו</w:t>
      </w:r>
      <w:r w:rsidRPr="001F3DFF">
        <w:rPr>
          <w:rFonts w:cs="FrankRuehl"/>
          <w:sz w:val="20"/>
          <w:szCs w:val="22"/>
          <w:rtl/>
        </w:rPr>
        <w:t xml:space="preserve"> המסגרת המתאימה לחקירת ח</w:t>
      </w:r>
      <w:r w:rsidRPr="001F3DFF">
        <w:rPr>
          <w:rFonts w:cs="FrankRuehl" w:hint="cs"/>
          <w:sz w:val="20"/>
          <w:szCs w:val="22"/>
          <w:rtl/>
        </w:rPr>
        <w:t>י</w:t>
      </w:r>
      <w:r w:rsidRPr="001F3DFF">
        <w:rPr>
          <w:rFonts w:cs="FrankRuehl"/>
          <w:sz w:val="20"/>
          <w:szCs w:val="22"/>
          <w:rtl/>
        </w:rPr>
        <w:t>סכון ועושר</w:t>
      </w:r>
      <w:r w:rsidRPr="001F3DFF">
        <w:rPr>
          <w:rFonts w:cs="FrankRuehl" w:hint="cs"/>
          <w:sz w:val="20"/>
          <w:szCs w:val="22"/>
          <w:rtl/>
        </w:rPr>
        <w:t xml:space="preserve"> של משקי בית; זאת, בין היתר, מפני ש</w:t>
      </w:r>
      <w:r w:rsidRPr="001F3DFF">
        <w:rPr>
          <w:rFonts w:cs="FrankRuehl"/>
          <w:sz w:val="20"/>
          <w:szCs w:val="22"/>
          <w:rtl/>
        </w:rPr>
        <w:t xml:space="preserve">סקר </w:t>
      </w:r>
      <w:r w:rsidRPr="001F3DFF">
        <w:rPr>
          <w:rFonts w:cs="FrankRuehl" w:hint="cs"/>
          <w:sz w:val="20"/>
          <w:szCs w:val="22"/>
          <w:rtl/>
        </w:rPr>
        <w:t xml:space="preserve">זה </w:t>
      </w:r>
      <w:r w:rsidRPr="001F3DFF">
        <w:rPr>
          <w:rFonts w:cs="FrankRuehl"/>
          <w:sz w:val="20"/>
          <w:szCs w:val="22"/>
          <w:rtl/>
        </w:rPr>
        <w:t>ארוך ומורכב</w:t>
      </w:r>
      <w:r w:rsidRPr="001F3DFF">
        <w:rPr>
          <w:rFonts w:cs="FrankRuehl" w:hint="cs"/>
          <w:sz w:val="20"/>
          <w:szCs w:val="22"/>
          <w:rtl/>
        </w:rPr>
        <w:t>, והוספת שאלות בנושא זה תכביד</w:t>
      </w:r>
      <w:r w:rsidRPr="001F3DFF">
        <w:rPr>
          <w:rFonts w:cs="FrankRuehl"/>
          <w:sz w:val="20"/>
          <w:szCs w:val="22"/>
          <w:rtl/>
        </w:rPr>
        <w:t xml:space="preserve"> על המשפחה </w:t>
      </w:r>
      <w:r w:rsidRPr="001F3DFF">
        <w:rPr>
          <w:rFonts w:cs="FrankRuehl" w:hint="cs"/>
          <w:sz w:val="20"/>
          <w:szCs w:val="22"/>
          <w:rtl/>
        </w:rPr>
        <w:t>הנסקרת, דבר העלול להוביל לחוסר שיתוף פעולה מצדה</w:t>
      </w:r>
      <w:r>
        <w:rPr>
          <w:rStyle w:val="FootnoteReference0"/>
          <w:rFonts w:cs="FrankRuehl"/>
          <w:sz w:val="20"/>
          <w:szCs w:val="22"/>
          <w:rtl/>
        </w:rPr>
        <w:footnoteReference w:id="27"/>
      </w:r>
      <w:r w:rsidRPr="001F3DFF">
        <w:rPr>
          <w:rFonts w:cs="FrankRuehl"/>
          <w:sz w:val="20"/>
          <w:szCs w:val="22"/>
          <w:rtl/>
        </w:rPr>
        <w:t>.</w:t>
      </w:r>
      <w:r w:rsidRPr="001F3DFF">
        <w:rPr>
          <w:rFonts w:cs="FrankRuehl" w:hint="cs"/>
          <w:sz w:val="20"/>
          <w:szCs w:val="22"/>
          <w:rtl/>
        </w:rPr>
        <w:t xml:space="preserve"> נוסף על כך, הוספת</w:t>
      </w:r>
      <w:r w:rsidRPr="001F3DFF">
        <w:rPr>
          <w:rFonts w:cs="FrankRuehl"/>
          <w:sz w:val="20"/>
          <w:szCs w:val="22"/>
          <w:rtl/>
        </w:rPr>
        <w:t xml:space="preserve"> נושא הח</w:t>
      </w:r>
      <w:r w:rsidRPr="001F3DFF">
        <w:rPr>
          <w:rFonts w:cs="FrankRuehl" w:hint="cs"/>
          <w:sz w:val="20"/>
          <w:szCs w:val="22"/>
          <w:rtl/>
        </w:rPr>
        <w:t>י</w:t>
      </w:r>
      <w:r w:rsidRPr="001F3DFF">
        <w:rPr>
          <w:rFonts w:cs="FrankRuehl"/>
          <w:sz w:val="20"/>
          <w:szCs w:val="22"/>
          <w:rtl/>
        </w:rPr>
        <w:t xml:space="preserve">סכון לסקר השוטף לא </w:t>
      </w:r>
      <w:r w:rsidRPr="001F3DFF">
        <w:rPr>
          <w:rFonts w:cs="FrankRuehl" w:hint="cs"/>
          <w:sz w:val="20"/>
          <w:szCs w:val="22"/>
          <w:rtl/>
        </w:rPr>
        <w:t>תאפשר ירידה</w:t>
      </w:r>
      <w:r w:rsidRPr="001F3DFF">
        <w:rPr>
          <w:rFonts w:cs="FrankRuehl"/>
          <w:sz w:val="20"/>
          <w:szCs w:val="22"/>
          <w:rtl/>
        </w:rPr>
        <w:t xml:space="preserve"> לפרטים </w:t>
      </w:r>
      <w:r w:rsidRPr="001F3DFF">
        <w:rPr>
          <w:rFonts w:cs="FrankRuehl" w:hint="cs"/>
          <w:sz w:val="20"/>
          <w:szCs w:val="22"/>
          <w:rtl/>
        </w:rPr>
        <w:t>ותאלץ</w:t>
      </w:r>
      <w:r w:rsidRPr="001F3DFF">
        <w:rPr>
          <w:rFonts w:cs="FrankRuehl"/>
          <w:sz w:val="20"/>
          <w:szCs w:val="22"/>
          <w:rtl/>
        </w:rPr>
        <w:t xml:space="preserve"> </w:t>
      </w:r>
      <w:r w:rsidRPr="001F3DFF">
        <w:rPr>
          <w:rFonts w:cs="FrankRuehl" w:hint="cs"/>
          <w:sz w:val="20"/>
          <w:szCs w:val="22"/>
          <w:rtl/>
        </w:rPr>
        <w:t>את הסוקרים לש</w:t>
      </w:r>
      <w:r w:rsidRPr="001F3DFF">
        <w:rPr>
          <w:rFonts w:cs="FrankRuehl"/>
          <w:sz w:val="20"/>
          <w:szCs w:val="22"/>
          <w:rtl/>
        </w:rPr>
        <w:t xml:space="preserve">אול שאלות </w:t>
      </w:r>
      <w:r w:rsidRPr="001F3DFF">
        <w:rPr>
          <w:rFonts w:cs="FrankRuehl" w:hint="cs"/>
          <w:sz w:val="20"/>
          <w:szCs w:val="22"/>
          <w:rtl/>
        </w:rPr>
        <w:t>גדולות ו</w:t>
      </w:r>
      <w:r w:rsidRPr="001F3DFF">
        <w:rPr>
          <w:rFonts w:cs="FrankRuehl"/>
          <w:sz w:val="20"/>
          <w:szCs w:val="22"/>
          <w:rtl/>
        </w:rPr>
        <w:t>מקיפות</w:t>
      </w:r>
      <w:r w:rsidRPr="001F3DFF">
        <w:rPr>
          <w:rFonts w:cs="FrankRuehl" w:hint="cs"/>
          <w:sz w:val="20"/>
          <w:szCs w:val="22"/>
          <w:rtl/>
        </w:rPr>
        <w:t xml:space="preserve">. </w:t>
      </w:r>
    </w:p>
    <w:p w:rsidR="005E5B2C" w:rsidRPr="001F3DFF" w:rsidP="00FB46AA">
      <w:pPr>
        <w:spacing w:after="120" w:line="230" w:lineRule="exact"/>
        <w:jc w:val="both"/>
        <w:rPr>
          <w:rFonts w:cs="FrankRuehl"/>
          <w:sz w:val="20"/>
          <w:szCs w:val="22"/>
          <w:rtl/>
        </w:rPr>
      </w:pPr>
      <w:r w:rsidRPr="001F3DFF">
        <w:rPr>
          <w:rFonts w:cs="FrankRuehl"/>
          <w:sz w:val="20"/>
          <w:szCs w:val="22"/>
          <w:rtl/>
        </w:rPr>
        <w:t>בשנת 2004</w:t>
      </w:r>
      <w:r w:rsidRPr="001F3DFF">
        <w:rPr>
          <w:rFonts w:cs="FrankRuehl" w:hint="cs"/>
          <w:sz w:val="20"/>
          <w:szCs w:val="22"/>
          <w:rtl/>
        </w:rPr>
        <w:t xml:space="preserve">, </w:t>
      </w:r>
      <w:r w:rsidRPr="001F3DFF">
        <w:rPr>
          <w:rFonts w:cs="FrankRuehl"/>
          <w:sz w:val="20"/>
          <w:szCs w:val="22"/>
          <w:rtl/>
        </w:rPr>
        <w:t xml:space="preserve">בעקבות בקשה של בנק ישראל לבחינת הכנסות והוצאות ריבית של משק הבית, </w:t>
      </w:r>
      <w:r w:rsidRPr="001F3DFF">
        <w:rPr>
          <w:rFonts w:cs="FrankRuehl" w:hint="cs"/>
          <w:sz w:val="20"/>
          <w:szCs w:val="22"/>
          <w:rtl/>
        </w:rPr>
        <w:t>נעשה</w:t>
      </w:r>
      <w:r w:rsidRPr="001F3DFF">
        <w:rPr>
          <w:rFonts w:cs="FrankRuehl"/>
          <w:sz w:val="20"/>
          <w:szCs w:val="22"/>
          <w:rtl/>
        </w:rPr>
        <w:t xml:space="preserve"> </w:t>
      </w:r>
      <w:r w:rsidRPr="001F3DFF">
        <w:rPr>
          <w:rFonts w:cs="FrankRuehl" w:hint="cs"/>
          <w:sz w:val="20"/>
          <w:szCs w:val="22"/>
          <w:rtl/>
        </w:rPr>
        <w:t xml:space="preserve">בלמ"ס </w:t>
      </w:r>
      <w:r w:rsidRPr="001F3DFF">
        <w:rPr>
          <w:rFonts w:cs="FrankRuehl"/>
          <w:sz w:val="20"/>
          <w:szCs w:val="22"/>
          <w:rtl/>
        </w:rPr>
        <w:t>מבחן מוקדם</w:t>
      </w:r>
      <w:r>
        <w:rPr>
          <w:rStyle w:val="FootnoteReference0"/>
          <w:rFonts w:cs="FrankRuehl"/>
          <w:sz w:val="20"/>
          <w:szCs w:val="22"/>
          <w:rtl/>
        </w:rPr>
        <w:footnoteReference w:id="28"/>
      </w:r>
      <w:r w:rsidRPr="001F3DFF">
        <w:rPr>
          <w:rFonts w:cs="FrankRuehl"/>
          <w:sz w:val="20"/>
          <w:szCs w:val="22"/>
          <w:rtl/>
        </w:rPr>
        <w:t xml:space="preserve"> </w:t>
      </w:r>
      <w:r w:rsidRPr="001F3DFF">
        <w:rPr>
          <w:rFonts w:cs="FrankRuehl" w:hint="cs"/>
          <w:sz w:val="20"/>
          <w:szCs w:val="22"/>
          <w:rtl/>
        </w:rPr>
        <w:t>בסקר הוצאות משק הבית, אשר ש</w:t>
      </w:r>
      <w:r w:rsidRPr="001F3DFF">
        <w:rPr>
          <w:rFonts w:cs="FrankRuehl"/>
          <w:sz w:val="20"/>
          <w:szCs w:val="22"/>
          <w:rtl/>
        </w:rPr>
        <w:t>ונתה</w:t>
      </w:r>
      <w:r w:rsidRPr="001F3DFF">
        <w:rPr>
          <w:rFonts w:cs="FrankRuehl" w:hint="cs"/>
          <w:sz w:val="20"/>
          <w:szCs w:val="22"/>
          <w:rtl/>
        </w:rPr>
        <w:t xml:space="preserve"> בו</w:t>
      </w:r>
      <w:r w:rsidRPr="001F3DFF">
        <w:rPr>
          <w:rFonts w:cs="FrankRuehl"/>
          <w:sz w:val="20"/>
          <w:szCs w:val="22"/>
          <w:rtl/>
        </w:rPr>
        <w:t xml:space="preserve"> שאלת ההלוואות ומשכנתאות לדיור, נוספו </w:t>
      </w:r>
      <w:r w:rsidRPr="001F3DFF">
        <w:rPr>
          <w:rFonts w:cs="FrankRuehl" w:hint="cs"/>
          <w:sz w:val="20"/>
          <w:szCs w:val="22"/>
          <w:rtl/>
        </w:rPr>
        <w:t xml:space="preserve">בו </w:t>
      </w:r>
      <w:r w:rsidRPr="001F3DFF">
        <w:rPr>
          <w:rFonts w:cs="FrankRuehl"/>
          <w:sz w:val="20"/>
          <w:szCs w:val="22"/>
          <w:rtl/>
        </w:rPr>
        <w:t xml:space="preserve">שאלות על הלוואות שאינן לדיור </w:t>
      </w:r>
      <w:r w:rsidRPr="001F3DFF">
        <w:rPr>
          <w:rFonts w:cs="FrankRuehl" w:hint="cs"/>
          <w:sz w:val="20"/>
          <w:szCs w:val="22"/>
          <w:rtl/>
        </w:rPr>
        <w:t>ו</w:t>
      </w:r>
      <w:r w:rsidRPr="001F3DFF">
        <w:rPr>
          <w:rFonts w:cs="FrankRuehl"/>
          <w:sz w:val="20"/>
          <w:szCs w:val="22"/>
          <w:rtl/>
        </w:rPr>
        <w:t>על משיכת יתר בחשבון העו</w:t>
      </w:r>
      <w:r w:rsidRPr="001F3DFF">
        <w:rPr>
          <w:rFonts w:cs="FrankRuehl" w:hint="cs"/>
          <w:sz w:val="20"/>
          <w:szCs w:val="22"/>
          <w:rtl/>
        </w:rPr>
        <w:t>בר ושב,</w:t>
      </w:r>
      <w:r w:rsidRPr="001F3DFF">
        <w:rPr>
          <w:rFonts w:cs="FrankRuehl"/>
          <w:sz w:val="20"/>
          <w:szCs w:val="22"/>
          <w:rtl/>
        </w:rPr>
        <w:t xml:space="preserve"> </w:t>
      </w:r>
      <w:r w:rsidRPr="001F3DFF">
        <w:rPr>
          <w:rFonts w:cs="FrankRuehl" w:hint="cs"/>
          <w:sz w:val="20"/>
          <w:szCs w:val="22"/>
          <w:rtl/>
        </w:rPr>
        <w:t xml:space="preserve">וכן </w:t>
      </w:r>
      <w:r w:rsidRPr="001F3DFF">
        <w:rPr>
          <w:rFonts w:cs="FrankRuehl"/>
          <w:sz w:val="20"/>
          <w:szCs w:val="22"/>
          <w:rtl/>
        </w:rPr>
        <w:t>נוסף פירוט בשאלה על הכנסות מריבית על פיקדונות.</w:t>
      </w:r>
      <w:r w:rsidRPr="001F3DFF">
        <w:rPr>
          <w:rFonts w:cs="FrankRuehl" w:hint="cs"/>
          <w:sz w:val="20"/>
          <w:szCs w:val="22"/>
          <w:rtl/>
        </w:rPr>
        <w:t xml:space="preserve"> תוצאות המבחן הצביעו על</w:t>
      </w:r>
      <w:r w:rsidRPr="001F3DFF">
        <w:rPr>
          <w:rFonts w:cs="FrankRuehl"/>
          <w:sz w:val="20"/>
          <w:szCs w:val="22"/>
          <w:rtl/>
        </w:rPr>
        <w:t xml:space="preserve"> נכונות הנשאלים לשתף פעולה בשאלות הקשורות לריבית ולחשבונות הבנק</w:t>
      </w:r>
      <w:r w:rsidRPr="001F3DFF">
        <w:rPr>
          <w:rFonts w:cs="FrankRuehl" w:hint="cs"/>
          <w:sz w:val="20"/>
          <w:szCs w:val="22"/>
          <w:rtl/>
        </w:rPr>
        <w:t>. אולם</w:t>
      </w:r>
      <w:r w:rsidRPr="001F3DFF">
        <w:rPr>
          <w:rFonts w:cs="FrankRuehl"/>
          <w:sz w:val="20"/>
          <w:szCs w:val="22"/>
          <w:rtl/>
        </w:rPr>
        <w:t xml:space="preserve"> הבעיה המרכזית </w:t>
      </w:r>
      <w:r w:rsidRPr="001F3DFF">
        <w:rPr>
          <w:rFonts w:cs="FrankRuehl" w:hint="cs"/>
          <w:sz w:val="20"/>
          <w:szCs w:val="22"/>
          <w:rtl/>
        </w:rPr>
        <w:t xml:space="preserve">שעלתה </w:t>
      </w:r>
      <w:r w:rsidRPr="001F3DFF">
        <w:rPr>
          <w:rFonts w:cs="FrankRuehl"/>
          <w:sz w:val="20"/>
          <w:szCs w:val="22"/>
          <w:rtl/>
        </w:rPr>
        <w:t xml:space="preserve">הייתה </w:t>
      </w:r>
      <w:r w:rsidRPr="001F3DFF">
        <w:rPr>
          <w:rFonts w:cs="FrankRuehl" w:hint="cs"/>
          <w:sz w:val="20"/>
          <w:szCs w:val="22"/>
          <w:rtl/>
        </w:rPr>
        <w:t xml:space="preserve">שהנדגמים הפגינו </w:t>
      </w:r>
      <w:r w:rsidRPr="001F3DFF">
        <w:rPr>
          <w:rFonts w:cs="FrankRuehl"/>
          <w:sz w:val="20"/>
          <w:szCs w:val="22"/>
          <w:rtl/>
        </w:rPr>
        <w:t xml:space="preserve">הבנה </w:t>
      </w:r>
      <w:r w:rsidRPr="001F3DFF">
        <w:rPr>
          <w:rFonts w:cs="FrankRuehl" w:hint="cs"/>
          <w:sz w:val="20"/>
          <w:szCs w:val="22"/>
          <w:rtl/>
        </w:rPr>
        <w:t>מועטה</w:t>
      </w:r>
      <w:r w:rsidRPr="001F3DFF">
        <w:rPr>
          <w:rFonts w:cs="FrankRuehl"/>
          <w:sz w:val="20"/>
          <w:szCs w:val="22"/>
          <w:rtl/>
        </w:rPr>
        <w:t>, בלבול, חוסר ידע ואי</w:t>
      </w:r>
      <w:r w:rsidRPr="001F3DFF">
        <w:rPr>
          <w:rFonts w:cs="FrankRuehl" w:hint="cs"/>
          <w:sz w:val="20"/>
          <w:szCs w:val="22"/>
          <w:rtl/>
        </w:rPr>
        <w:t>-</w:t>
      </w:r>
      <w:r w:rsidRPr="001F3DFF">
        <w:rPr>
          <w:rFonts w:cs="FrankRuehl"/>
          <w:sz w:val="20"/>
          <w:szCs w:val="22"/>
          <w:rtl/>
        </w:rPr>
        <w:t>הכרה של המונחים</w:t>
      </w:r>
      <w:r w:rsidRPr="001F3DFF">
        <w:rPr>
          <w:rFonts w:cs="FrankRuehl" w:hint="cs"/>
          <w:sz w:val="20"/>
          <w:szCs w:val="22"/>
          <w:rtl/>
        </w:rPr>
        <w:t>, ובגינם</w:t>
      </w:r>
      <w:r w:rsidRPr="001F3DFF">
        <w:rPr>
          <w:rFonts w:cs="FrankRuehl"/>
          <w:sz w:val="20"/>
          <w:szCs w:val="22"/>
          <w:rtl/>
        </w:rPr>
        <w:t xml:space="preserve"> </w:t>
      </w:r>
      <w:r w:rsidRPr="001F3DFF">
        <w:rPr>
          <w:rFonts w:cs="FrankRuehl" w:hint="cs"/>
          <w:sz w:val="20"/>
          <w:szCs w:val="22"/>
          <w:rtl/>
        </w:rPr>
        <w:t>התקשו</w:t>
      </w:r>
      <w:r w:rsidRPr="001F3DFF">
        <w:rPr>
          <w:rFonts w:cs="FrankRuehl"/>
          <w:sz w:val="20"/>
          <w:szCs w:val="22"/>
          <w:rtl/>
        </w:rPr>
        <w:t xml:space="preserve"> לענות על שאלות הריבית</w:t>
      </w:r>
      <w:r w:rsidRPr="001F3DFF">
        <w:rPr>
          <w:rFonts w:cs="FrankRuehl" w:hint="cs"/>
          <w:sz w:val="20"/>
          <w:szCs w:val="22"/>
          <w:rtl/>
        </w:rPr>
        <w:t>.</w:t>
      </w:r>
    </w:p>
    <w:p w:rsidR="005E5B2C" w:rsidRPr="001F3DFF" w:rsidP="00FB46AA">
      <w:pPr>
        <w:spacing w:after="240" w:line="230" w:lineRule="exact"/>
        <w:jc w:val="both"/>
        <w:rPr>
          <w:rFonts w:cs="FrankRuehl"/>
          <w:sz w:val="20"/>
          <w:szCs w:val="22"/>
          <w:rtl/>
        </w:rPr>
      </w:pPr>
      <w:r w:rsidRPr="001F3DFF">
        <w:rPr>
          <w:rFonts w:cs="FrankRuehl" w:hint="cs"/>
          <w:sz w:val="20"/>
          <w:szCs w:val="22"/>
          <w:rtl/>
        </w:rPr>
        <w:t>הלמ"ס</w:t>
      </w:r>
      <w:r w:rsidRPr="001F3DFF">
        <w:rPr>
          <w:rFonts w:cs="FrankRuehl" w:hint="cs"/>
          <w:sz w:val="20"/>
          <w:szCs w:val="22"/>
          <w:rtl/>
        </w:rPr>
        <w:t xml:space="preserve"> הכינה במרץ 2008 מסמך בנושא "סקירת החיסכון בלמ"ס והצעה לפיתוח הנושא בעתיד", והגישה אותו למשרד האוצר. המסמך הציג כמה אפשרויות העומדות בפני </w:t>
      </w:r>
      <w:r w:rsidRPr="001F3DFF">
        <w:rPr>
          <w:rFonts w:cs="FrankRuehl" w:hint="cs"/>
          <w:sz w:val="20"/>
          <w:szCs w:val="22"/>
          <w:rtl/>
        </w:rPr>
        <w:t>הלמ"ס</w:t>
      </w:r>
      <w:r w:rsidRPr="001F3DFF">
        <w:rPr>
          <w:rFonts w:cs="FrankRuehl" w:hint="cs"/>
          <w:sz w:val="20"/>
          <w:szCs w:val="22"/>
          <w:rtl/>
        </w:rPr>
        <w:t xml:space="preserve"> לחקירת נושא החיסכון: </w:t>
      </w:r>
      <w:r w:rsidR="004214D8">
        <w:rPr>
          <w:rFonts w:cs="FrankRuehl" w:hint="cs"/>
          <w:sz w:val="20"/>
          <w:szCs w:val="22"/>
          <w:rtl/>
        </w:rPr>
        <w:t xml:space="preserve">  </w:t>
      </w:r>
      <w:r w:rsidRPr="001F3DFF">
        <w:rPr>
          <w:rFonts w:cs="FrankRuehl" w:hint="cs"/>
          <w:sz w:val="20"/>
          <w:szCs w:val="22"/>
          <w:rtl/>
        </w:rPr>
        <w:t xml:space="preserve">1. </w:t>
      </w:r>
      <w:r w:rsidR="004214D8">
        <w:rPr>
          <w:rFonts w:cs="FrankRuehl" w:hint="cs"/>
          <w:sz w:val="20"/>
          <w:szCs w:val="22"/>
          <w:rtl/>
        </w:rPr>
        <w:t xml:space="preserve"> </w:t>
      </w:r>
      <w:r w:rsidRPr="001F3DFF">
        <w:rPr>
          <w:rFonts w:cs="FrankRuehl"/>
          <w:sz w:val="20"/>
          <w:szCs w:val="22"/>
          <w:rtl/>
        </w:rPr>
        <w:t xml:space="preserve">הוספת שאלות </w:t>
      </w:r>
      <w:r w:rsidRPr="001F3DFF">
        <w:rPr>
          <w:rFonts w:cs="FrankRuehl" w:hint="cs"/>
          <w:sz w:val="20"/>
          <w:szCs w:val="22"/>
          <w:rtl/>
        </w:rPr>
        <w:t xml:space="preserve">על </w:t>
      </w:r>
      <w:r w:rsidRPr="001F3DFF">
        <w:rPr>
          <w:rFonts w:cs="FrankRuehl"/>
          <w:sz w:val="20"/>
          <w:szCs w:val="22"/>
          <w:rtl/>
        </w:rPr>
        <w:t xml:space="preserve">חיסכון לסקר הוצאות משק </w:t>
      </w:r>
      <w:r w:rsidRPr="001F3DFF">
        <w:rPr>
          <w:rFonts w:cs="FrankRuehl" w:hint="cs"/>
          <w:sz w:val="20"/>
          <w:szCs w:val="22"/>
          <w:rtl/>
        </w:rPr>
        <w:t>ה</w:t>
      </w:r>
      <w:r w:rsidRPr="001F3DFF">
        <w:rPr>
          <w:rFonts w:cs="FrankRuehl"/>
          <w:sz w:val="20"/>
          <w:szCs w:val="22"/>
          <w:rtl/>
        </w:rPr>
        <w:t>בית לאחר שאלות ההכנסות</w:t>
      </w:r>
      <w:r w:rsidRPr="001F3DFF">
        <w:rPr>
          <w:rFonts w:cs="FrankRuehl" w:hint="cs"/>
          <w:sz w:val="20"/>
          <w:szCs w:val="22"/>
          <w:rtl/>
        </w:rPr>
        <w:t xml:space="preserve">; </w:t>
      </w:r>
      <w:r w:rsidR="004214D8">
        <w:rPr>
          <w:rFonts w:cs="FrankRuehl" w:hint="cs"/>
          <w:sz w:val="20"/>
          <w:szCs w:val="22"/>
          <w:rtl/>
        </w:rPr>
        <w:t xml:space="preserve">  </w:t>
      </w:r>
      <w:r w:rsidR="004214D8">
        <w:rPr>
          <w:rFonts w:cs="FrankRuehl"/>
          <w:sz w:val="20"/>
          <w:szCs w:val="22"/>
          <w:rtl/>
        </w:rPr>
        <w:br/>
      </w:r>
      <w:r w:rsidRPr="001F3DFF">
        <w:rPr>
          <w:rFonts w:cs="FrankRuehl" w:hint="cs"/>
          <w:sz w:val="20"/>
          <w:szCs w:val="22"/>
          <w:rtl/>
        </w:rPr>
        <w:t xml:space="preserve">2. </w:t>
      </w:r>
      <w:r w:rsidR="004214D8">
        <w:rPr>
          <w:rFonts w:cs="FrankRuehl" w:hint="cs"/>
          <w:sz w:val="20"/>
          <w:szCs w:val="22"/>
          <w:rtl/>
        </w:rPr>
        <w:t xml:space="preserve"> </w:t>
      </w:r>
      <w:r w:rsidRPr="001F3DFF">
        <w:rPr>
          <w:rFonts w:cs="FrankRuehl"/>
          <w:sz w:val="20"/>
          <w:szCs w:val="22"/>
          <w:rtl/>
        </w:rPr>
        <w:t>הוספת נושא החיסכון לפרק המתחלף בסקר החברתי</w:t>
      </w:r>
      <w:r w:rsidRPr="001F3DFF">
        <w:rPr>
          <w:rFonts w:cs="FrankRuehl" w:hint="cs"/>
          <w:sz w:val="20"/>
          <w:szCs w:val="22"/>
          <w:rtl/>
        </w:rPr>
        <w:t xml:space="preserve">; 3. </w:t>
      </w:r>
      <w:r w:rsidRPr="001F3DFF">
        <w:rPr>
          <w:rFonts w:cs="FrankRuehl"/>
          <w:sz w:val="20"/>
          <w:szCs w:val="22"/>
          <w:rtl/>
        </w:rPr>
        <w:t>סקר חיסכון/עושר נפרד</w:t>
      </w:r>
      <w:r w:rsidRPr="001F3DFF">
        <w:rPr>
          <w:rFonts w:cs="FrankRuehl" w:hint="cs"/>
          <w:sz w:val="20"/>
          <w:szCs w:val="22"/>
          <w:rtl/>
        </w:rPr>
        <w:t xml:space="preserve">. </w:t>
      </w:r>
      <w:r w:rsidRPr="001F3DFF">
        <w:rPr>
          <w:rFonts w:cs="FrankRuehl" w:hint="cs"/>
          <w:sz w:val="20"/>
          <w:szCs w:val="22"/>
          <w:rtl/>
        </w:rPr>
        <w:t>הלמ"ס</w:t>
      </w:r>
      <w:r w:rsidRPr="001F3DFF">
        <w:rPr>
          <w:rFonts w:cs="FrankRuehl" w:hint="cs"/>
          <w:sz w:val="20"/>
          <w:szCs w:val="22"/>
          <w:rtl/>
        </w:rPr>
        <w:t xml:space="preserve"> נימקה את היתרונות והחסרונות של כל אפשרות. </w:t>
      </w:r>
    </w:p>
    <w:p w:rsidR="005E5B2C" w:rsidRPr="001F3DFF" w:rsidP="00FB46AA">
      <w:pPr>
        <w:pStyle w:val="RESHET"/>
        <w:rPr>
          <w:rtl/>
        </w:rPr>
      </w:pPr>
      <w:r w:rsidRPr="001F3DFF">
        <w:rPr>
          <w:rFonts w:hint="cs"/>
          <w:rtl/>
        </w:rPr>
        <w:t xml:space="preserve">נמצא כי משנת 2008 לא קידמו משרד האוצר </w:t>
      </w:r>
      <w:r w:rsidRPr="001F3DFF">
        <w:rPr>
          <w:rFonts w:hint="cs"/>
          <w:rtl/>
        </w:rPr>
        <w:t>והלמ"ס</w:t>
      </w:r>
      <w:r w:rsidRPr="001F3DFF">
        <w:rPr>
          <w:rFonts w:hint="cs"/>
          <w:rtl/>
        </w:rPr>
        <w:t xml:space="preserve"> את נושא איסוף הנתונים בדבר החיסכון והחובות של משקי הבית, למרות החשיבות שבאיסופם.</w:t>
      </w:r>
    </w:p>
    <w:p w:rsidR="005E5B2C" w:rsidRPr="001F3DFF" w:rsidP="00FB46AA">
      <w:pPr>
        <w:pStyle w:val="RESHET"/>
        <w:rPr>
          <w:rtl/>
        </w:rPr>
      </w:pPr>
      <w:r w:rsidRPr="001F3DFF">
        <w:rPr>
          <w:rFonts w:hint="cs"/>
          <w:rtl/>
        </w:rPr>
        <w:t xml:space="preserve">משרד מבקר המדינה מעיר כי מאז בוצע המבחן המוקדם עברו </w:t>
      </w:r>
      <w:r w:rsidRPr="001F3DFF">
        <w:rPr>
          <w:rFonts w:hint="eastAsia"/>
          <w:rtl/>
        </w:rPr>
        <w:t>יותר</w:t>
      </w:r>
      <w:r w:rsidRPr="001F3DFF">
        <w:rPr>
          <w:rtl/>
        </w:rPr>
        <w:t xml:space="preserve"> </w:t>
      </w:r>
      <w:r w:rsidRPr="001F3DFF">
        <w:rPr>
          <w:rFonts w:hint="eastAsia"/>
          <w:rtl/>
        </w:rPr>
        <w:t>מעשר</w:t>
      </w:r>
      <w:r w:rsidRPr="001F3DFF">
        <w:rPr>
          <w:rtl/>
        </w:rPr>
        <w:t xml:space="preserve"> </w:t>
      </w:r>
      <w:r w:rsidRPr="001F3DFF">
        <w:rPr>
          <w:rFonts w:hint="eastAsia"/>
          <w:rtl/>
        </w:rPr>
        <w:t>שנים</w:t>
      </w:r>
      <w:r w:rsidRPr="001F3DFF">
        <w:rPr>
          <w:rFonts w:hint="cs"/>
          <w:rtl/>
        </w:rPr>
        <w:t xml:space="preserve">, שבהן חלו שינויים בסביבה הטכנולוגית ואולי אף באוריינות הפיננסית של הנסקרים. לכן מן הראוי </w:t>
      </w:r>
      <w:r w:rsidRPr="001F3DFF">
        <w:rPr>
          <w:rFonts w:hint="cs"/>
          <w:rtl/>
        </w:rPr>
        <w:t>שהלמ"ס</w:t>
      </w:r>
      <w:r w:rsidRPr="001F3DFF">
        <w:rPr>
          <w:rFonts w:hint="cs"/>
          <w:rtl/>
        </w:rPr>
        <w:t xml:space="preserve"> תקדם הכנת תשתית לבניית סקר ייעודי לאיסוף נתונים על חיסכון ועושר (וחובות) של משקי הבית. </w:t>
      </w:r>
    </w:p>
    <w:p w:rsidR="005E5B2C" w:rsidRPr="001F3DFF" w:rsidP="00FB46AA">
      <w:pPr>
        <w:spacing w:after="120" w:line="230" w:lineRule="exact"/>
        <w:jc w:val="both"/>
        <w:rPr>
          <w:rFonts w:cs="FrankRuehl"/>
          <w:sz w:val="20"/>
          <w:szCs w:val="22"/>
        </w:rPr>
      </w:pPr>
    </w:p>
    <w:p w:rsidR="00EC1DDA" w:rsidRPr="001F3DFF" w:rsidP="00FB46AA">
      <w:pPr>
        <w:spacing w:after="120" w:line="230" w:lineRule="exact"/>
        <w:jc w:val="both"/>
        <w:rPr>
          <w:rFonts w:cs="FrankRuehl"/>
          <w:sz w:val="20"/>
          <w:szCs w:val="22"/>
          <w:rtl/>
        </w:rPr>
      </w:pPr>
    </w:p>
    <w:p w:rsidR="005E5B2C" w:rsidRPr="001E4618" w:rsidP="00FB46AA">
      <w:pPr>
        <w:pStyle w:val="KOT4"/>
        <w:rPr>
          <w:rtl/>
        </w:rPr>
      </w:pPr>
      <w:r w:rsidRPr="001E4618">
        <w:rPr>
          <w:rFonts w:hint="eastAsia"/>
          <w:rtl/>
        </w:rPr>
        <w:t>היבטים</w:t>
      </w:r>
      <w:r w:rsidRPr="001E4618">
        <w:rPr>
          <w:rtl/>
        </w:rPr>
        <w:t xml:space="preserve"> צרכניים בתחום ההלוואות למשקי </w:t>
      </w:r>
      <w:r w:rsidRPr="001E4618">
        <w:rPr>
          <w:rFonts w:hint="eastAsia"/>
          <w:rtl/>
        </w:rPr>
        <w:t>בית</w:t>
      </w:r>
      <w:r w:rsidRPr="001E4618">
        <w:rPr>
          <w:rFonts w:hint="cs"/>
          <w:rtl/>
        </w:rPr>
        <w:t xml:space="preserve"> </w:t>
      </w:r>
    </w:p>
    <w:p w:rsidR="005E5B2C" w:rsidRPr="001F3DFF" w:rsidP="00FB46AA">
      <w:pPr>
        <w:spacing w:after="120" w:line="230" w:lineRule="exact"/>
        <w:jc w:val="both"/>
        <w:rPr>
          <w:rFonts w:cs="FrankRuehl"/>
          <w:sz w:val="20"/>
          <w:szCs w:val="22"/>
          <w:rtl/>
        </w:rPr>
      </w:pPr>
      <w:r w:rsidRPr="001F3DFF">
        <w:rPr>
          <w:rFonts w:cs="FrankRuehl" w:hint="cs"/>
          <w:sz w:val="20"/>
          <w:szCs w:val="22"/>
          <w:rtl/>
        </w:rPr>
        <w:t>קיימים הבדלים ניכרים בין מדינות העולם במערכי ה</w:t>
      </w:r>
      <w:r w:rsidRPr="001F3DFF">
        <w:rPr>
          <w:rFonts w:cs="FrankRuehl"/>
          <w:sz w:val="20"/>
          <w:szCs w:val="22"/>
          <w:rtl/>
        </w:rPr>
        <w:t xml:space="preserve">פיקוח </w:t>
      </w:r>
      <w:r w:rsidRPr="001F3DFF">
        <w:rPr>
          <w:rFonts w:cs="FrankRuehl" w:hint="cs"/>
          <w:sz w:val="20"/>
          <w:szCs w:val="22"/>
          <w:rtl/>
        </w:rPr>
        <w:t>וה</w:t>
      </w:r>
      <w:r w:rsidRPr="001F3DFF">
        <w:rPr>
          <w:rFonts w:cs="FrankRuehl"/>
          <w:sz w:val="20"/>
          <w:szCs w:val="22"/>
          <w:rtl/>
        </w:rPr>
        <w:t>רגולציה</w:t>
      </w:r>
      <w:r w:rsidRPr="001F3DFF">
        <w:rPr>
          <w:rFonts w:cs="FrankRuehl" w:hint="cs"/>
          <w:sz w:val="20"/>
          <w:szCs w:val="22"/>
          <w:rtl/>
        </w:rPr>
        <w:t xml:space="preserve"> שהקימו ל</w:t>
      </w:r>
      <w:r w:rsidRPr="001F3DFF">
        <w:rPr>
          <w:rFonts w:cs="FrankRuehl"/>
          <w:sz w:val="20"/>
          <w:szCs w:val="22"/>
          <w:rtl/>
        </w:rPr>
        <w:t xml:space="preserve">הגנת </w:t>
      </w:r>
      <w:r w:rsidRPr="001F3DFF">
        <w:rPr>
          <w:rFonts w:cs="FrankRuehl" w:hint="cs"/>
          <w:sz w:val="20"/>
          <w:szCs w:val="22"/>
          <w:rtl/>
        </w:rPr>
        <w:t>ה</w:t>
      </w:r>
      <w:r w:rsidRPr="001F3DFF">
        <w:rPr>
          <w:rFonts w:cs="FrankRuehl"/>
          <w:sz w:val="20"/>
          <w:szCs w:val="22"/>
          <w:rtl/>
        </w:rPr>
        <w:t>צרכן</w:t>
      </w:r>
      <w:r w:rsidRPr="001F3DFF">
        <w:rPr>
          <w:rFonts w:cs="FrankRuehl" w:hint="cs"/>
          <w:sz w:val="20"/>
          <w:szCs w:val="22"/>
          <w:rtl/>
        </w:rPr>
        <w:t xml:space="preserve"> בתחום הפיננסי. יש מדינות, כדוגמת אנגליה וארצות הברית, שבהן הגנה זו נמצאת באחריות רגולטור נפרד וייעודי, ובמדינות אחרות אין רגולטור ייעודי לתחום זה. בעקבות המשבר הכלכלי העולמי ולאחר תהליך הפקת לקחים שמסקנותיו הצביעו על היעדר הגנה מספקת לצרכן, חוקק בארצות הברית חוק</w:t>
      </w:r>
      <w:r>
        <w:rPr>
          <w:rStyle w:val="FootnoteReference0"/>
          <w:rFonts w:cs="FrankRuehl"/>
          <w:sz w:val="20"/>
          <w:szCs w:val="22"/>
          <w:rtl/>
        </w:rPr>
        <w:footnoteReference w:id="29"/>
      </w:r>
      <w:r w:rsidRPr="001F3DFF">
        <w:rPr>
          <w:rFonts w:cs="FrankRuehl" w:hint="cs"/>
          <w:sz w:val="20"/>
          <w:szCs w:val="22"/>
          <w:rtl/>
        </w:rPr>
        <w:t xml:space="preserve"> שמטרתו להעמיק את הפיקוח על הגופים הפיננסיים הפועלים בשוק הכספים וההון האמריקאי, ולהביא למצב שבו כל הגופים הפועלים בו יהיו מפוקחים. מכוח החוק הוקמה </w:t>
      </w:r>
      <w:r w:rsidRPr="001F3DFF">
        <w:rPr>
          <w:rFonts w:cs="FrankRuehl" w:hint="cs"/>
          <w:sz w:val="20"/>
          <w:szCs w:val="22"/>
          <w:rtl/>
        </w:rPr>
        <w:t>רשות חדשה להגנת הצרכן בתחום הפיננסי</w:t>
      </w:r>
      <w:r>
        <w:rPr>
          <w:rStyle w:val="FootnoteReference0"/>
          <w:rFonts w:cs="FrankRuehl"/>
          <w:sz w:val="20"/>
          <w:szCs w:val="22"/>
          <w:rtl/>
        </w:rPr>
        <w:footnoteReference w:id="30"/>
      </w:r>
      <w:r w:rsidRPr="001F3DFF">
        <w:rPr>
          <w:rFonts w:cs="FrankRuehl" w:hint="cs"/>
          <w:sz w:val="20"/>
          <w:szCs w:val="22"/>
          <w:rtl/>
        </w:rPr>
        <w:t xml:space="preserve"> שתפקידה לפקח על שוק המשכנתאות, כרטיסי האשראי ומכשירים פיננסיים אחרים. באנגליה הוקמה באפריל 2013 רשות להתנהלות פיננסית</w:t>
      </w:r>
      <w:r>
        <w:rPr>
          <w:rStyle w:val="FootnoteReference0"/>
          <w:rFonts w:cs="FrankRuehl"/>
          <w:sz w:val="20"/>
          <w:szCs w:val="22"/>
          <w:rtl/>
        </w:rPr>
        <w:footnoteReference w:id="31"/>
      </w:r>
      <w:r w:rsidRPr="001F3DFF">
        <w:rPr>
          <w:rFonts w:cs="FrankRuehl"/>
          <w:sz w:val="20"/>
          <w:szCs w:val="22"/>
          <w:rtl/>
        </w:rPr>
        <w:t xml:space="preserve"> </w:t>
      </w:r>
      <w:r w:rsidRPr="001F3DFF">
        <w:rPr>
          <w:rFonts w:cs="FrankRuehl" w:hint="cs"/>
          <w:sz w:val="20"/>
          <w:szCs w:val="22"/>
          <w:rtl/>
        </w:rPr>
        <w:t>שתפקידה לפקח</w:t>
      </w:r>
      <w:r w:rsidRPr="001F3DFF">
        <w:rPr>
          <w:rFonts w:cs="FrankRuehl"/>
          <w:sz w:val="20"/>
          <w:szCs w:val="22"/>
          <w:rtl/>
        </w:rPr>
        <w:t xml:space="preserve"> על פעילות חברות </w:t>
      </w:r>
      <w:r w:rsidRPr="001F3DFF">
        <w:rPr>
          <w:rFonts w:cs="FrankRuehl" w:hint="cs"/>
          <w:sz w:val="20"/>
          <w:szCs w:val="22"/>
          <w:rtl/>
        </w:rPr>
        <w:t xml:space="preserve">המספקות </w:t>
      </w:r>
      <w:r w:rsidRPr="001F3DFF">
        <w:rPr>
          <w:rFonts w:cs="FrankRuehl"/>
          <w:sz w:val="20"/>
          <w:szCs w:val="22"/>
          <w:rtl/>
        </w:rPr>
        <w:t>שירותים פיננסי</w:t>
      </w:r>
      <w:r w:rsidRPr="001F3DFF">
        <w:rPr>
          <w:rFonts w:cs="FrankRuehl" w:hint="cs"/>
          <w:sz w:val="20"/>
          <w:szCs w:val="22"/>
          <w:rtl/>
        </w:rPr>
        <w:t>י</w:t>
      </w:r>
      <w:r w:rsidRPr="001F3DFF">
        <w:rPr>
          <w:rFonts w:cs="FrankRuehl"/>
          <w:sz w:val="20"/>
          <w:szCs w:val="22"/>
          <w:rtl/>
        </w:rPr>
        <w:t>ם</w:t>
      </w:r>
      <w:r w:rsidRPr="001F3DFF">
        <w:rPr>
          <w:rFonts w:cs="FrankRuehl" w:hint="cs"/>
          <w:sz w:val="20"/>
          <w:szCs w:val="22"/>
          <w:rtl/>
        </w:rPr>
        <w:t>, ביניהם אשראי לצרכנים.</w:t>
      </w:r>
    </w:p>
    <w:p w:rsidR="005E5B2C" w:rsidRPr="001F3DFF" w:rsidP="00FB46AA">
      <w:pPr>
        <w:spacing w:after="120" w:line="230" w:lineRule="exact"/>
        <w:jc w:val="both"/>
        <w:rPr>
          <w:rFonts w:cs="FrankRuehl"/>
          <w:sz w:val="20"/>
          <w:szCs w:val="22"/>
          <w:rtl/>
        </w:rPr>
      </w:pPr>
      <w:r w:rsidRPr="001F3DFF">
        <w:rPr>
          <w:rFonts w:cs="FrankRuehl" w:hint="cs"/>
          <w:sz w:val="20"/>
          <w:szCs w:val="22"/>
          <w:rtl/>
        </w:rPr>
        <w:t>ה-</w:t>
      </w:r>
      <w:r w:rsidRPr="001F3DFF">
        <w:rPr>
          <w:rFonts w:cs="FrankRuehl"/>
          <w:sz w:val="20"/>
          <w:szCs w:val="22"/>
        </w:rPr>
        <w:t>OECD</w:t>
      </w:r>
      <w:r w:rsidRPr="001F3DFF">
        <w:rPr>
          <w:rFonts w:cs="FrankRuehl" w:hint="cs"/>
          <w:sz w:val="20"/>
          <w:szCs w:val="22"/>
          <w:rtl/>
        </w:rPr>
        <w:t xml:space="preserve"> בשיתוף עם ה-</w:t>
      </w:r>
      <w:r w:rsidRPr="001F3DFF">
        <w:rPr>
          <w:rFonts w:cs="FrankRuehl"/>
          <w:sz w:val="20"/>
          <w:szCs w:val="22"/>
        </w:rPr>
        <w:t>Financial Stability Board</w:t>
      </w:r>
      <w:r>
        <w:rPr>
          <w:rStyle w:val="FootnoteReference0"/>
          <w:rFonts w:cs="FrankRuehl"/>
          <w:sz w:val="20"/>
          <w:szCs w:val="22"/>
          <w:rtl/>
        </w:rPr>
        <w:footnoteReference w:id="32"/>
      </w:r>
      <w:r w:rsidRPr="001F3DFF">
        <w:rPr>
          <w:rFonts w:cs="FrankRuehl" w:hint="cs"/>
          <w:sz w:val="20"/>
          <w:szCs w:val="22"/>
          <w:rtl/>
        </w:rPr>
        <w:t xml:space="preserve">, </w:t>
      </w:r>
      <w:r w:rsidRPr="001F3DFF">
        <w:rPr>
          <w:rFonts w:cs="FrankRuehl"/>
          <w:sz w:val="20"/>
          <w:szCs w:val="22"/>
          <w:rtl/>
        </w:rPr>
        <w:t>פורום ה-</w:t>
      </w:r>
      <w:r>
        <w:rPr>
          <w:rStyle w:val="FootnoteReference0"/>
          <w:rFonts w:cs="FrankRuehl"/>
          <w:sz w:val="20"/>
          <w:szCs w:val="22"/>
        </w:rPr>
        <w:footnoteReference w:id="33"/>
      </w:r>
      <w:r w:rsidRPr="001F3DFF">
        <w:rPr>
          <w:rFonts w:cs="FrankRuehl"/>
          <w:sz w:val="20"/>
          <w:szCs w:val="22"/>
        </w:rPr>
        <w:t>G-20</w:t>
      </w:r>
      <w:r w:rsidRPr="001F3DFF">
        <w:rPr>
          <w:rFonts w:cs="FrankRuehl"/>
          <w:sz w:val="20"/>
          <w:szCs w:val="22"/>
          <w:rtl/>
        </w:rPr>
        <w:t xml:space="preserve"> </w:t>
      </w:r>
      <w:r w:rsidRPr="001F3DFF">
        <w:rPr>
          <w:rFonts w:cs="FrankRuehl" w:hint="cs"/>
          <w:sz w:val="20"/>
          <w:szCs w:val="22"/>
          <w:rtl/>
        </w:rPr>
        <w:t>וארגונים בין-לאומיים נוספים מקדמים בשנים האחרונות יוזמות</w:t>
      </w:r>
      <w:r w:rsidRPr="001F3DFF">
        <w:rPr>
          <w:rFonts w:cs="FrankRuehl"/>
          <w:sz w:val="20"/>
          <w:szCs w:val="22"/>
          <w:rtl/>
        </w:rPr>
        <w:t xml:space="preserve"> לש</w:t>
      </w:r>
      <w:r w:rsidRPr="001F3DFF">
        <w:rPr>
          <w:rFonts w:cs="FrankRuehl" w:hint="cs"/>
          <w:sz w:val="20"/>
          <w:szCs w:val="22"/>
          <w:rtl/>
        </w:rPr>
        <w:t>י</w:t>
      </w:r>
      <w:r w:rsidRPr="001F3DFF">
        <w:rPr>
          <w:rFonts w:cs="FrankRuehl"/>
          <w:sz w:val="20"/>
          <w:szCs w:val="22"/>
          <w:rtl/>
        </w:rPr>
        <w:t>פ</w:t>
      </w:r>
      <w:r w:rsidRPr="001F3DFF">
        <w:rPr>
          <w:rFonts w:cs="FrankRuehl" w:hint="cs"/>
          <w:sz w:val="20"/>
          <w:szCs w:val="22"/>
          <w:rtl/>
        </w:rPr>
        <w:t>ו</w:t>
      </w:r>
      <w:r w:rsidRPr="001F3DFF">
        <w:rPr>
          <w:rFonts w:cs="FrankRuehl"/>
          <w:sz w:val="20"/>
          <w:szCs w:val="22"/>
          <w:rtl/>
        </w:rPr>
        <w:t xml:space="preserve">ר ההגנה </w:t>
      </w:r>
      <w:r w:rsidRPr="001F3DFF">
        <w:rPr>
          <w:rFonts w:cs="FrankRuehl" w:hint="cs"/>
          <w:sz w:val="20"/>
          <w:szCs w:val="22"/>
          <w:rtl/>
        </w:rPr>
        <w:t>ה</w:t>
      </w:r>
      <w:r w:rsidRPr="001F3DFF">
        <w:rPr>
          <w:rFonts w:cs="FrankRuehl"/>
          <w:sz w:val="20"/>
          <w:szCs w:val="22"/>
          <w:rtl/>
        </w:rPr>
        <w:t>פיננסי</w:t>
      </w:r>
      <w:r w:rsidRPr="001F3DFF">
        <w:rPr>
          <w:rFonts w:cs="FrankRuehl" w:hint="cs"/>
          <w:sz w:val="20"/>
          <w:szCs w:val="22"/>
          <w:rtl/>
        </w:rPr>
        <w:t>ת</w:t>
      </w:r>
      <w:r w:rsidRPr="001F3DFF">
        <w:rPr>
          <w:rFonts w:cs="FrankRuehl"/>
          <w:sz w:val="20"/>
          <w:szCs w:val="22"/>
          <w:rtl/>
        </w:rPr>
        <w:t xml:space="preserve"> על צרכ</w:t>
      </w:r>
      <w:r w:rsidRPr="001F3DFF">
        <w:rPr>
          <w:rFonts w:cs="FrankRuehl" w:hint="cs"/>
          <w:sz w:val="20"/>
          <w:szCs w:val="22"/>
          <w:rtl/>
        </w:rPr>
        <w:t>נים; זאת מתוך הבנה שיצירת אמון</w:t>
      </w:r>
      <w:r w:rsidRPr="001F3DFF">
        <w:rPr>
          <w:rFonts w:cs="FrankRuehl"/>
          <w:sz w:val="20"/>
          <w:szCs w:val="22"/>
          <w:rtl/>
        </w:rPr>
        <w:t xml:space="preserve"> </w:t>
      </w:r>
      <w:r w:rsidRPr="001F3DFF">
        <w:rPr>
          <w:rFonts w:cs="FrankRuehl" w:hint="cs"/>
          <w:sz w:val="20"/>
          <w:szCs w:val="22"/>
          <w:rtl/>
        </w:rPr>
        <w:t>וחיזוק ביטחונם</w:t>
      </w:r>
      <w:r w:rsidRPr="001F3DFF">
        <w:rPr>
          <w:rFonts w:cs="FrankRuehl"/>
          <w:sz w:val="20"/>
          <w:szCs w:val="22"/>
          <w:rtl/>
        </w:rPr>
        <w:t xml:space="preserve"> </w:t>
      </w:r>
      <w:r w:rsidRPr="001F3DFF">
        <w:rPr>
          <w:rFonts w:cs="FrankRuehl" w:hint="cs"/>
          <w:sz w:val="20"/>
          <w:szCs w:val="22"/>
          <w:rtl/>
        </w:rPr>
        <w:t>של ה</w:t>
      </w:r>
      <w:r w:rsidRPr="001F3DFF">
        <w:rPr>
          <w:rFonts w:cs="FrankRuehl"/>
          <w:sz w:val="20"/>
          <w:szCs w:val="22"/>
          <w:rtl/>
        </w:rPr>
        <w:t xml:space="preserve">צרכנים בשווקים </w:t>
      </w:r>
      <w:r w:rsidRPr="001F3DFF">
        <w:rPr>
          <w:rFonts w:cs="FrankRuehl" w:hint="cs"/>
          <w:sz w:val="20"/>
          <w:szCs w:val="22"/>
          <w:rtl/>
        </w:rPr>
        <w:t>ה</w:t>
      </w:r>
      <w:r w:rsidRPr="001F3DFF">
        <w:rPr>
          <w:rFonts w:cs="FrankRuehl"/>
          <w:sz w:val="20"/>
          <w:szCs w:val="22"/>
          <w:rtl/>
        </w:rPr>
        <w:t xml:space="preserve">פיננסיים </w:t>
      </w:r>
      <w:r w:rsidRPr="001F3DFF">
        <w:rPr>
          <w:rFonts w:cs="FrankRuehl" w:hint="cs"/>
          <w:sz w:val="20"/>
          <w:szCs w:val="22"/>
          <w:rtl/>
        </w:rPr>
        <w:t>יקדמו</w:t>
      </w:r>
      <w:r w:rsidRPr="001F3DFF">
        <w:rPr>
          <w:rFonts w:cs="FrankRuehl"/>
          <w:sz w:val="20"/>
          <w:szCs w:val="22"/>
          <w:rtl/>
        </w:rPr>
        <w:t xml:space="preserve"> יעילות ויציבות</w:t>
      </w:r>
      <w:r w:rsidRPr="001F3DFF">
        <w:rPr>
          <w:rFonts w:cs="FrankRuehl" w:hint="cs"/>
          <w:sz w:val="20"/>
          <w:szCs w:val="22"/>
          <w:rtl/>
        </w:rPr>
        <w:t xml:space="preserve"> במשק. ה</w:t>
      </w:r>
      <w:r w:rsidRPr="001F3DFF">
        <w:rPr>
          <w:rFonts w:cs="FrankRuehl"/>
          <w:sz w:val="20"/>
          <w:szCs w:val="22"/>
          <w:rtl/>
        </w:rPr>
        <w:t xml:space="preserve">גידול </w:t>
      </w:r>
      <w:r w:rsidRPr="001F3DFF">
        <w:rPr>
          <w:rFonts w:cs="FrankRuehl" w:hint="cs"/>
          <w:sz w:val="20"/>
          <w:szCs w:val="22"/>
          <w:rtl/>
        </w:rPr>
        <w:t>ה</w:t>
      </w:r>
      <w:r w:rsidRPr="001F3DFF">
        <w:rPr>
          <w:rFonts w:cs="FrankRuehl"/>
          <w:sz w:val="20"/>
          <w:szCs w:val="22"/>
          <w:rtl/>
        </w:rPr>
        <w:t>מהיר</w:t>
      </w:r>
      <w:r w:rsidRPr="001F3DFF">
        <w:rPr>
          <w:rFonts w:cs="FrankRuehl" w:hint="cs"/>
          <w:sz w:val="20"/>
          <w:szCs w:val="22"/>
          <w:rtl/>
        </w:rPr>
        <w:t xml:space="preserve"> </w:t>
      </w:r>
      <w:r w:rsidRPr="001F3DFF">
        <w:rPr>
          <w:rFonts w:cs="FrankRuehl"/>
          <w:sz w:val="20"/>
          <w:szCs w:val="22"/>
          <w:rtl/>
        </w:rPr>
        <w:t xml:space="preserve">בשימוש </w:t>
      </w:r>
      <w:r w:rsidRPr="001F3DFF">
        <w:rPr>
          <w:rFonts w:cs="FrankRuehl" w:hint="cs"/>
          <w:sz w:val="20"/>
          <w:szCs w:val="22"/>
          <w:rtl/>
        </w:rPr>
        <w:t xml:space="preserve">של הציבור </w:t>
      </w:r>
      <w:r w:rsidRPr="001F3DFF">
        <w:rPr>
          <w:rFonts w:cs="FrankRuehl"/>
          <w:sz w:val="20"/>
          <w:szCs w:val="22"/>
          <w:rtl/>
        </w:rPr>
        <w:t xml:space="preserve">בשירותים פיננסיים </w:t>
      </w:r>
      <w:r w:rsidRPr="001F3DFF">
        <w:rPr>
          <w:rFonts w:cs="FrankRuehl" w:hint="cs"/>
          <w:sz w:val="20"/>
          <w:szCs w:val="22"/>
          <w:rtl/>
        </w:rPr>
        <w:t>בשנים האחרונות</w:t>
      </w:r>
      <w:r w:rsidRPr="001F3DFF">
        <w:rPr>
          <w:rFonts w:cs="FrankRuehl"/>
          <w:sz w:val="20"/>
          <w:szCs w:val="22"/>
          <w:rtl/>
        </w:rPr>
        <w:t xml:space="preserve"> הצביע על הצורך ב</w:t>
      </w:r>
      <w:r w:rsidRPr="001F3DFF">
        <w:rPr>
          <w:rFonts w:cs="FrankRuehl" w:hint="cs"/>
          <w:sz w:val="20"/>
          <w:szCs w:val="22"/>
          <w:rtl/>
        </w:rPr>
        <w:t>חיזוק ה</w:t>
      </w:r>
      <w:r w:rsidRPr="001F3DFF">
        <w:rPr>
          <w:rFonts w:cs="FrankRuehl"/>
          <w:sz w:val="20"/>
          <w:szCs w:val="22"/>
          <w:rtl/>
        </w:rPr>
        <w:t xml:space="preserve">רגולציה </w:t>
      </w:r>
      <w:r w:rsidRPr="001F3DFF">
        <w:rPr>
          <w:rFonts w:cs="FrankRuehl" w:hint="cs"/>
          <w:sz w:val="20"/>
          <w:szCs w:val="22"/>
          <w:rtl/>
        </w:rPr>
        <w:t>ה</w:t>
      </w:r>
      <w:r w:rsidRPr="001F3DFF">
        <w:rPr>
          <w:rFonts w:cs="FrankRuehl"/>
          <w:sz w:val="20"/>
          <w:szCs w:val="22"/>
          <w:rtl/>
        </w:rPr>
        <w:t xml:space="preserve">פיננסית </w:t>
      </w:r>
      <w:r w:rsidRPr="001F3DFF">
        <w:rPr>
          <w:rFonts w:cs="FrankRuehl" w:hint="cs"/>
          <w:sz w:val="20"/>
          <w:szCs w:val="22"/>
          <w:rtl/>
        </w:rPr>
        <w:t>ובקידום ה</w:t>
      </w:r>
      <w:r w:rsidRPr="001F3DFF">
        <w:rPr>
          <w:rFonts w:cs="FrankRuehl"/>
          <w:sz w:val="20"/>
          <w:szCs w:val="22"/>
          <w:rtl/>
        </w:rPr>
        <w:t xml:space="preserve">חינוך </w:t>
      </w:r>
      <w:r w:rsidRPr="001F3DFF">
        <w:rPr>
          <w:rFonts w:cs="FrankRuehl" w:hint="cs"/>
          <w:sz w:val="20"/>
          <w:szCs w:val="22"/>
          <w:rtl/>
        </w:rPr>
        <w:t>הפיננסי כדי</w:t>
      </w:r>
      <w:r w:rsidRPr="001F3DFF">
        <w:rPr>
          <w:rFonts w:cs="FrankRuehl"/>
          <w:sz w:val="20"/>
          <w:szCs w:val="22"/>
          <w:rtl/>
        </w:rPr>
        <w:t xml:space="preserve"> להג</w:t>
      </w:r>
      <w:r w:rsidRPr="001F3DFF">
        <w:rPr>
          <w:rFonts w:cs="FrankRuehl" w:hint="cs"/>
          <w:sz w:val="20"/>
          <w:szCs w:val="22"/>
          <w:rtl/>
        </w:rPr>
        <w:t>ן על ה</w:t>
      </w:r>
      <w:r w:rsidRPr="001F3DFF">
        <w:rPr>
          <w:rFonts w:cs="FrankRuehl"/>
          <w:sz w:val="20"/>
          <w:szCs w:val="22"/>
          <w:rtl/>
        </w:rPr>
        <w:t>צרכן</w:t>
      </w:r>
      <w:r>
        <w:rPr>
          <w:rStyle w:val="FootnoteReference0"/>
          <w:rFonts w:cs="FrankRuehl"/>
          <w:sz w:val="20"/>
          <w:szCs w:val="22"/>
          <w:rtl/>
        </w:rPr>
        <w:footnoteReference w:id="34"/>
      </w:r>
      <w:r w:rsidRPr="001F3DFF">
        <w:rPr>
          <w:rFonts w:cs="FrankRuehl"/>
          <w:sz w:val="20"/>
          <w:szCs w:val="22"/>
          <w:rtl/>
        </w:rPr>
        <w:t>.</w:t>
      </w:r>
      <w:r w:rsidRPr="001F3DFF">
        <w:rPr>
          <w:rFonts w:cs="FrankRuehl" w:hint="cs"/>
          <w:sz w:val="20"/>
          <w:szCs w:val="22"/>
          <w:rtl/>
        </w:rPr>
        <w:t xml:space="preserve"> </w:t>
      </w:r>
    </w:p>
    <w:p w:rsidR="005E5B2C" w:rsidRPr="001F3DFF" w:rsidP="00FB46AA">
      <w:pPr>
        <w:spacing w:after="120" w:line="230" w:lineRule="exact"/>
        <w:jc w:val="both"/>
        <w:rPr>
          <w:rFonts w:cs="FrankRuehl"/>
          <w:sz w:val="20"/>
          <w:szCs w:val="22"/>
          <w:rtl/>
        </w:rPr>
      </w:pPr>
      <w:r w:rsidRPr="001F3DFF">
        <w:rPr>
          <w:rFonts w:cs="FrankRuehl" w:hint="cs"/>
          <w:sz w:val="20"/>
          <w:szCs w:val="22"/>
          <w:rtl/>
        </w:rPr>
        <w:t>בשנת 2008 קבע האיחוד האירופי דירקטיבה</w:t>
      </w:r>
      <w:r>
        <w:rPr>
          <w:rStyle w:val="FootnoteReference0"/>
          <w:rFonts w:cs="FrankRuehl"/>
          <w:sz w:val="20"/>
          <w:szCs w:val="22"/>
          <w:rtl/>
        </w:rPr>
        <w:footnoteReference w:id="35"/>
      </w:r>
      <w:r w:rsidRPr="001F3DFF">
        <w:rPr>
          <w:rFonts w:cs="FrankRuehl" w:hint="cs"/>
          <w:sz w:val="20"/>
          <w:szCs w:val="22"/>
          <w:rtl/>
        </w:rPr>
        <w:t xml:space="preserve"> בנושא האשראי הצרכני שמטרתה להביא להרמוניזציה ברגולציה בנוגע למתן אשראי צרכני בין חברות האיחוד ולהגביר את התחרותיות והשקיפות. באוקטובר 2011 פרסם </w:t>
      </w:r>
      <w:r w:rsidRPr="001F3DFF">
        <w:rPr>
          <w:rFonts w:cs="FrankRuehl"/>
          <w:sz w:val="20"/>
          <w:szCs w:val="22"/>
          <w:rtl/>
        </w:rPr>
        <w:t>פורום ה-</w:t>
      </w:r>
      <w:r w:rsidRPr="001F3DFF">
        <w:rPr>
          <w:rFonts w:cs="FrankRuehl"/>
          <w:sz w:val="20"/>
          <w:szCs w:val="22"/>
        </w:rPr>
        <w:t>G-20</w:t>
      </w:r>
      <w:r w:rsidRPr="001F3DFF">
        <w:rPr>
          <w:rFonts w:cs="FrankRuehl" w:hint="cs"/>
          <w:sz w:val="20"/>
          <w:szCs w:val="22"/>
          <w:rtl/>
        </w:rPr>
        <w:t xml:space="preserve"> עשרה עקרונות</w:t>
      </w:r>
      <w:r>
        <w:rPr>
          <w:rStyle w:val="FootnoteReference0"/>
          <w:rFonts w:cs="FrankRuehl"/>
          <w:sz w:val="20"/>
          <w:szCs w:val="22"/>
          <w:rtl/>
        </w:rPr>
        <w:footnoteReference w:id="36"/>
      </w:r>
      <w:r w:rsidRPr="001F3DFF">
        <w:rPr>
          <w:rFonts w:cs="FrankRuehl" w:hint="cs"/>
          <w:sz w:val="20"/>
          <w:szCs w:val="22"/>
          <w:rtl/>
        </w:rPr>
        <w:t xml:space="preserve"> בנושא ההגנה הפיננסית על הצרכן. גם הבנק העולמי </w:t>
      </w:r>
      <w:r w:rsidRPr="001F3DFF">
        <w:rPr>
          <w:rFonts w:cs="FrankRuehl"/>
          <w:sz w:val="20"/>
          <w:szCs w:val="22"/>
          <w:rtl/>
        </w:rPr>
        <w:t xml:space="preserve">תומך </w:t>
      </w:r>
      <w:r w:rsidRPr="001F3DFF">
        <w:rPr>
          <w:rFonts w:cs="FrankRuehl" w:hint="cs"/>
          <w:sz w:val="20"/>
          <w:szCs w:val="22"/>
          <w:rtl/>
        </w:rPr>
        <w:t>במגמת ההגנה על</w:t>
      </w:r>
      <w:r w:rsidRPr="001F3DFF">
        <w:rPr>
          <w:rFonts w:cs="FrankRuehl"/>
          <w:sz w:val="20"/>
          <w:szCs w:val="22"/>
          <w:rtl/>
        </w:rPr>
        <w:t xml:space="preserve"> </w:t>
      </w:r>
      <w:r w:rsidRPr="001F3DFF">
        <w:rPr>
          <w:rFonts w:cs="FrankRuehl" w:hint="cs"/>
          <w:sz w:val="20"/>
          <w:szCs w:val="22"/>
          <w:rtl/>
        </w:rPr>
        <w:t>ה</w:t>
      </w:r>
      <w:r w:rsidRPr="001F3DFF">
        <w:rPr>
          <w:rFonts w:cs="FrankRuehl"/>
          <w:sz w:val="20"/>
          <w:szCs w:val="22"/>
          <w:rtl/>
        </w:rPr>
        <w:t>צרכ</w:t>
      </w:r>
      <w:r w:rsidRPr="001F3DFF">
        <w:rPr>
          <w:rFonts w:cs="FrankRuehl" w:hint="cs"/>
          <w:sz w:val="20"/>
          <w:szCs w:val="22"/>
          <w:rtl/>
        </w:rPr>
        <w:t>נים בתחום הפיננסי, ובשנת 2012 פרסם דוח המפרט שורה של שיטות עבודה האמורות לשמש את המדינות כ</w:t>
      </w:r>
      <w:r w:rsidRPr="001F3DFF">
        <w:rPr>
          <w:rFonts w:cs="FrankRuehl"/>
          <w:sz w:val="20"/>
          <w:szCs w:val="22"/>
          <w:rtl/>
        </w:rPr>
        <w:t xml:space="preserve">כלי אבחון מקיפים </w:t>
      </w:r>
      <w:r w:rsidRPr="001F3DFF">
        <w:rPr>
          <w:rFonts w:cs="FrankRuehl" w:hint="cs"/>
          <w:sz w:val="20"/>
          <w:szCs w:val="22"/>
          <w:rtl/>
        </w:rPr>
        <w:t>שיסייעו לבחון את הרגולציה שלהן ל</w:t>
      </w:r>
      <w:r w:rsidRPr="001F3DFF">
        <w:rPr>
          <w:rFonts w:cs="FrankRuehl"/>
          <w:sz w:val="20"/>
          <w:szCs w:val="22"/>
          <w:rtl/>
        </w:rPr>
        <w:t>ה</w:t>
      </w:r>
      <w:r w:rsidRPr="001F3DFF">
        <w:rPr>
          <w:rFonts w:cs="FrankRuehl" w:hint="cs"/>
          <w:sz w:val="20"/>
          <w:szCs w:val="22"/>
          <w:rtl/>
        </w:rPr>
        <w:t>גנת</w:t>
      </w:r>
      <w:r w:rsidRPr="001F3DFF">
        <w:rPr>
          <w:rFonts w:cs="FrankRuehl"/>
          <w:sz w:val="20"/>
          <w:szCs w:val="22"/>
          <w:rtl/>
        </w:rPr>
        <w:t xml:space="preserve"> </w:t>
      </w:r>
      <w:r w:rsidRPr="001F3DFF">
        <w:rPr>
          <w:rFonts w:cs="FrankRuehl" w:hint="cs"/>
          <w:sz w:val="20"/>
          <w:szCs w:val="22"/>
          <w:rtl/>
        </w:rPr>
        <w:t>ה</w:t>
      </w:r>
      <w:r w:rsidRPr="001F3DFF">
        <w:rPr>
          <w:rFonts w:cs="FrankRuehl"/>
          <w:sz w:val="20"/>
          <w:szCs w:val="22"/>
          <w:rtl/>
        </w:rPr>
        <w:t>צרכ</w:t>
      </w:r>
      <w:r w:rsidRPr="001F3DFF">
        <w:rPr>
          <w:rFonts w:cs="FrankRuehl" w:hint="cs"/>
          <w:sz w:val="20"/>
          <w:szCs w:val="22"/>
          <w:rtl/>
        </w:rPr>
        <w:t xml:space="preserve">נים בתחום הפיננסי, להשוות את תפקודה ביחס לשאר מדינות העולם ולאתר </w:t>
      </w:r>
      <w:r w:rsidRPr="001F3DFF">
        <w:rPr>
          <w:rFonts w:cs="FrankRuehl"/>
          <w:sz w:val="20"/>
          <w:szCs w:val="22"/>
          <w:rtl/>
        </w:rPr>
        <w:t>בעיות</w:t>
      </w:r>
      <w:r w:rsidRPr="001F3DFF">
        <w:rPr>
          <w:rFonts w:cs="FrankRuehl" w:hint="cs"/>
          <w:sz w:val="20"/>
          <w:szCs w:val="22"/>
          <w:rtl/>
        </w:rPr>
        <w:t xml:space="preserve"> בה.</w:t>
      </w:r>
      <w:r w:rsidRPr="001F3DFF">
        <w:rPr>
          <w:rFonts w:cs="FrankRuehl"/>
          <w:sz w:val="20"/>
          <w:szCs w:val="22"/>
          <w:rtl/>
        </w:rPr>
        <w:t xml:space="preserve"> </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בישראל חקיקה צרכנית הכוללת </w:t>
      </w:r>
      <w:r w:rsidRPr="001F3DFF">
        <w:rPr>
          <w:rFonts w:cs="FrankRuehl"/>
          <w:sz w:val="20"/>
          <w:szCs w:val="22"/>
          <w:rtl/>
        </w:rPr>
        <w:t>חוקים, תקנות וצווים</w:t>
      </w:r>
      <w:r w:rsidRPr="001F3DFF">
        <w:rPr>
          <w:rFonts w:cs="FrankRuehl" w:hint="cs"/>
          <w:sz w:val="20"/>
          <w:szCs w:val="22"/>
          <w:rtl/>
        </w:rPr>
        <w:t>.</w:t>
      </w:r>
      <w:r w:rsidRPr="001F3DFF">
        <w:rPr>
          <w:rFonts w:cs="FrankRuehl"/>
          <w:sz w:val="20"/>
          <w:szCs w:val="22"/>
          <w:rtl/>
        </w:rPr>
        <w:t xml:space="preserve"> </w:t>
      </w:r>
      <w:r w:rsidRPr="001F3DFF">
        <w:rPr>
          <w:rFonts w:cs="FrankRuehl" w:hint="cs"/>
          <w:sz w:val="20"/>
          <w:szCs w:val="22"/>
          <w:rtl/>
        </w:rPr>
        <w:t xml:space="preserve">החוק הצרכני העיקרי הוא חוק הגנת הצרכן, התשמ"א-1981 (להלן - חוק הגנת הצרכן), העוסק בין השאר באיסור על הטעיה וניצול מצוקה של צרכנים, ונקבעו בו מדרג עונשין וקנסות לפי חומרת העברה וכן אמצעים </w:t>
      </w:r>
      <w:r w:rsidRPr="001F3DFF">
        <w:rPr>
          <w:rFonts w:cs="FrankRuehl" w:hint="cs"/>
          <w:sz w:val="20"/>
          <w:szCs w:val="22"/>
          <w:rtl/>
        </w:rPr>
        <w:t>מינהליים</w:t>
      </w:r>
      <w:r w:rsidRPr="001F3DFF">
        <w:rPr>
          <w:rFonts w:cs="FrankRuehl" w:hint="cs"/>
          <w:sz w:val="20"/>
          <w:szCs w:val="22"/>
          <w:rtl/>
        </w:rPr>
        <w:t xml:space="preserve"> ועיצומים כספיים. </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במבנה הרגולציה הקיים בישראל אין רגולטור אחד שההגנה על הצרכנים בהיבט הפיננסי היא באחריותו הבלעדית. הגופים הממשלתיים האמונים על הגנת הצרכן הם הרשות להגנת הצרכן - רשות אסדרה ממשלתית בעלת סמכויות </w:t>
      </w:r>
      <w:r w:rsidRPr="001F3DFF">
        <w:rPr>
          <w:rFonts w:cs="FrankRuehl" w:hint="cs"/>
          <w:sz w:val="20"/>
          <w:szCs w:val="22"/>
          <w:rtl/>
        </w:rPr>
        <w:t>מינהליות</w:t>
      </w:r>
      <w:r w:rsidRPr="001F3DFF">
        <w:rPr>
          <w:rFonts w:cs="FrankRuehl" w:hint="cs"/>
          <w:sz w:val="20"/>
          <w:szCs w:val="22"/>
          <w:rtl/>
        </w:rPr>
        <w:t xml:space="preserve"> ופליליות, שתפקידה לאכוף את הוראות החקיקה הצרכנית; והמועצה לצרכנות - חברה ממשלתית שמטרתה הגנה על הצרכנים ושמירה על זכויותיהם. יוצא שגם הרשות להגנת הצרכן וגם המועצה לצרכנות אינן מטפלות בתחום הפיננסי, שבאחריות בנק ישראל ומשרד האוצר. בשנת 2014 הוחלט בישיבת דירקטוריון של המועצה לצרכנות כי לאור שיקולי תקציב </w:t>
      </w:r>
      <w:r w:rsidRPr="001F3DFF">
        <w:rPr>
          <w:rFonts w:cs="FrankRuehl" w:hint="cs"/>
          <w:sz w:val="20"/>
          <w:szCs w:val="22"/>
          <w:rtl/>
        </w:rPr>
        <w:t>ותעדוף</w:t>
      </w:r>
      <w:r w:rsidRPr="001F3DFF">
        <w:rPr>
          <w:rFonts w:cs="FrankRuehl" w:hint="cs"/>
          <w:sz w:val="20"/>
          <w:szCs w:val="22"/>
          <w:rtl/>
        </w:rPr>
        <w:t xml:space="preserve"> בטיפול בתלונות, המועצה לא תטפל בנושאים שיש להם רגולטור מובהק. יצוין כי חוק הגנת הצרכן אינו חל על תאגידים בנקאיים או חברות ביטוח</w:t>
      </w:r>
      <w:r>
        <w:rPr>
          <w:rStyle w:val="FootnoteReference0"/>
          <w:rFonts w:cs="FrankRuehl"/>
          <w:sz w:val="20"/>
          <w:szCs w:val="22"/>
          <w:rtl/>
        </w:rPr>
        <w:footnoteReference w:id="37"/>
      </w:r>
      <w:r w:rsidRPr="001F3DFF">
        <w:rPr>
          <w:rFonts w:cs="FrankRuehl" w:hint="cs"/>
          <w:sz w:val="20"/>
          <w:szCs w:val="22"/>
          <w:rtl/>
        </w:rPr>
        <w:t>, מאחר שבבנק ישראל ובאגף שוק ההון יש מחלקות לפניות הציבור שאמונות על הטיפול בפניות לקוחות של גופים אלו.</w:t>
      </w:r>
    </w:p>
    <w:p w:rsidR="005E5B2C" w:rsidRPr="001F3DFF" w:rsidP="00FB46AA">
      <w:pPr>
        <w:spacing w:after="120" w:line="230" w:lineRule="exact"/>
        <w:jc w:val="both"/>
        <w:rPr>
          <w:rFonts w:cs="FrankRuehl"/>
          <w:sz w:val="20"/>
          <w:szCs w:val="22"/>
          <w:rtl/>
        </w:rPr>
      </w:pPr>
    </w:p>
    <w:p w:rsidR="005E5B2C" w:rsidRPr="001E4618" w:rsidP="00FB46AA">
      <w:pPr>
        <w:pStyle w:val="KOT5"/>
        <w:rPr>
          <w:rtl/>
        </w:rPr>
      </w:pPr>
      <w:r w:rsidRPr="001E4618">
        <w:rPr>
          <w:rFonts w:hint="cs"/>
          <w:rtl/>
        </w:rPr>
        <w:t>תחרותיות שוק האשראי למשקי הבית</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אחד התנאים ההכרחיים לקיומה של תחרות משוכללת בכל שוק היא שקיפות מלאה. כאשר יש </w:t>
      </w:r>
      <w:r w:rsidRPr="001F3DFF">
        <w:rPr>
          <w:rFonts w:cs="FrankRuehl"/>
          <w:sz w:val="20"/>
          <w:szCs w:val="22"/>
          <w:rtl/>
        </w:rPr>
        <w:t>א-סימטריה של מידע</w:t>
      </w:r>
      <w:r w:rsidRPr="001F3DFF">
        <w:rPr>
          <w:rFonts w:cs="FrankRuehl" w:hint="cs"/>
          <w:sz w:val="20"/>
          <w:szCs w:val="22"/>
          <w:rtl/>
        </w:rPr>
        <w:t>,</w:t>
      </w:r>
      <w:r w:rsidRPr="001F3DFF">
        <w:rPr>
          <w:rFonts w:cs="FrankRuehl"/>
          <w:sz w:val="20"/>
          <w:szCs w:val="22"/>
          <w:rtl/>
        </w:rPr>
        <w:t xml:space="preserve"> לצד </w:t>
      </w:r>
      <w:r w:rsidRPr="001F3DFF">
        <w:rPr>
          <w:rFonts w:cs="FrankRuehl" w:hint="cs"/>
          <w:sz w:val="20"/>
          <w:szCs w:val="22"/>
          <w:rtl/>
        </w:rPr>
        <w:t>שבידיו</w:t>
      </w:r>
      <w:r w:rsidRPr="001F3DFF">
        <w:rPr>
          <w:rFonts w:cs="FrankRuehl"/>
          <w:sz w:val="20"/>
          <w:szCs w:val="22"/>
          <w:rtl/>
        </w:rPr>
        <w:t xml:space="preserve"> </w:t>
      </w:r>
      <w:r w:rsidRPr="001F3DFF">
        <w:rPr>
          <w:rFonts w:cs="FrankRuehl" w:hint="cs"/>
          <w:sz w:val="20"/>
          <w:szCs w:val="22"/>
          <w:rtl/>
        </w:rPr>
        <w:t>ה</w:t>
      </w:r>
      <w:r w:rsidRPr="001F3DFF">
        <w:rPr>
          <w:rFonts w:cs="FrankRuehl"/>
          <w:sz w:val="20"/>
          <w:szCs w:val="22"/>
          <w:rtl/>
        </w:rPr>
        <w:t xml:space="preserve">מידע </w:t>
      </w:r>
      <w:r w:rsidRPr="001F3DFF">
        <w:rPr>
          <w:rFonts w:cs="FrankRuehl" w:hint="cs"/>
          <w:sz w:val="20"/>
          <w:szCs w:val="22"/>
          <w:rtl/>
        </w:rPr>
        <w:t>ה</w:t>
      </w:r>
      <w:r w:rsidRPr="001F3DFF">
        <w:rPr>
          <w:rFonts w:cs="FrankRuehl"/>
          <w:sz w:val="20"/>
          <w:szCs w:val="22"/>
          <w:rtl/>
        </w:rPr>
        <w:t xml:space="preserve">רב יותר </w:t>
      </w:r>
      <w:r w:rsidRPr="001F3DFF">
        <w:rPr>
          <w:rFonts w:cs="FrankRuehl" w:hint="cs"/>
          <w:sz w:val="20"/>
          <w:szCs w:val="22"/>
          <w:rtl/>
        </w:rPr>
        <w:t>יש</w:t>
      </w:r>
      <w:r w:rsidRPr="001F3DFF">
        <w:rPr>
          <w:rFonts w:cs="FrankRuehl"/>
          <w:sz w:val="20"/>
          <w:szCs w:val="22"/>
          <w:rtl/>
        </w:rPr>
        <w:t xml:space="preserve"> </w:t>
      </w:r>
      <w:r w:rsidRPr="001F3DFF">
        <w:rPr>
          <w:rFonts w:cs="FrankRuehl" w:hint="cs"/>
          <w:sz w:val="20"/>
          <w:szCs w:val="22"/>
          <w:rtl/>
        </w:rPr>
        <w:t>יכולת ו</w:t>
      </w:r>
      <w:r w:rsidRPr="001F3DFF">
        <w:rPr>
          <w:rFonts w:cs="FrankRuehl"/>
          <w:sz w:val="20"/>
          <w:szCs w:val="22"/>
          <w:rtl/>
        </w:rPr>
        <w:t xml:space="preserve">תמריץ </w:t>
      </w:r>
      <w:r w:rsidRPr="001F3DFF">
        <w:rPr>
          <w:rFonts w:cs="FrankRuehl" w:hint="cs"/>
          <w:sz w:val="20"/>
          <w:szCs w:val="22"/>
          <w:rtl/>
        </w:rPr>
        <w:t>לגבות מחיר גבוה</w:t>
      </w:r>
      <w:r w:rsidRPr="001F3DFF">
        <w:rPr>
          <w:rFonts w:cs="FrankRuehl"/>
          <w:sz w:val="20"/>
          <w:szCs w:val="22"/>
          <w:rtl/>
        </w:rPr>
        <w:t xml:space="preserve"> </w:t>
      </w:r>
      <w:r w:rsidRPr="001F3DFF">
        <w:rPr>
          <w:rFonts w:cs="FrankRuehl" w:hint="cs"/>
          <w:sz w:val="20"/>
          <w:szCs w:val="22"/>
          <w:rtl/>
        </w:rPr>
        <w:t>בעסקאות ע</w:t>
      </w:r>
      <w:r w:rsidRPr="001F3DFF">
        <w:rPr>
          <w:rFonts w:cs="FrankRuehl" w:hint="eastAsia"/>
          <w:sz w:val="20"/>
          <w:szCs w:val="22"/>
          <w:rtl/>
        </w:rPr>
        <w:t>ם</w:t>
      </w:r>
      <w:r w:rsidRPr="001F3DFF">
        <w:rPr>
          <w:rFonts w:cs="FrankRuehl" w:hint="cs"/>
          <w:sz w:val="20"/>
          <w:szCs w:val="22"/>
          <w:rtl/>
        </w:rPr>
        <w:t xml:space="preserve"> </w:t>
      </w:r>
      <w:r w:rsidRPr="001F3DFF">
        <w:rPr>
          <w:rFonts w:cs="FrankRuehl"/>
          <w:sz w:val="20"/>
          <w:szCs w:val="22"/>
          <w:rtl/>
        </w:rPr>
        <w:t xml:space="preserve">הצד בעל המידע המועט יותר, </w:t>
      </w:r>
      <w:r w:rsidRPr="001F3DFF">
        <w:rPr>
          <w:rFonts w:cs="FrankRuehl"/>
          <w:sz w:val="20"/>
          <w:szCs w:val="22"/>
          <w:rtl/>
        </w:rPr>
        <w:t xml:space="preserve">דבר </w:t>
      </w:r>
      <w:r w:rsidRPr="001F3DFF">
        <w:rPr>
          <w:rFonts w:cs="FrankRuehl" w:hint="cs"/>
          <w:sz w:val="20"/>
          <w:szCs w:val="22"/>
          <w:rtl/>
        </w:rPr>
        <w:t>ה</w:t>
      </w:r>
      <w:r w:rsidRPr="001F3DFF">
        <w:rPr>
          <w:rFonts w:cs="FrankRuehl"/>
          <w:sz w:val="20"/>
          <w:szCs w:val="22"/>
          <w:rtl/>
        </w:rPr>
        <w:t xml:space="preserve">עלול לגרום </w:t>
      </w:r>
      <w:r w:rsidRPr="001F3DFF">
        <w:rPr>
          <w:rFonts w:cs="FrankRuehl" w:hint="cs"/>
          <w:sz w:val="20"/>
          <w:szCs w:val="22"/>
          <w:rtl/>
        </w:rPr>
        <w:t>ל</w:t>
      </w:r>
      <w:r w:rsidRPr="001F3DFF">
        <w:rPr>
          <w:rFonts w:cs="FrankRuehl"/>
          <w:sz w:val="20"/>
          <w:szCs w:val="22"/>
          <w:rtl/>
        </w:rPr>
        <w:t>מצב של כשל שוק</w:t>
      </w:r>
      <w:r>
        <w:rPr>
          <w:rStyle w:val="FootnoteReference0"/>
          <w:rFonts w:cs="FrankRuehl"/>
          <w:sz w:val="20"/>
          <w:szCs w:val="22"/>
          <w:rtl/>
        </w:rPr>
        <w:footnoteReference w:id="38"/>
      </w:r>
      <w:r w:rsidRPr="001F3DFF">
        <w:rPr>
          <w:rFonts w:cs="FrankRuehl" w:hint="cs"/>
          <w:sz w:val="20"/>
          <w:szCs w:val="22"/>
          <w:rtl/>
        </w:rPr>
        <w:t xml:space="preserve">. </w:t>
      </w:r>
      <w:r w:rsidRPr="001F3DFF">
        <w:rPr>
          <w:rFonts w:cs="FrankRuehl" w:hint="cs"/>
          <w:sz w:val="20"/>
          <w:szCs w:val="22"/>
          <w:rtl/>
        </w:rPr>
        <w:t>למשל, כדי</w:t>
      </w:r>
      <w:r w:rsidRPr="001F3DFF">
        <w:rPr>
          <w:rFonts w:cs="FrankRuehl"/>
          <w:sz w:val="20"/>
          <w:szCs w:val="22"/>
          <w:rtl/>
        </w:rPr>
        <w:t xml:space="preserve"> להעמיד אשראי צריך ספק האשראי להכיר את הלווה ולדעת </w:t>
      </w:r>
      <w:r w:rsidRPr="001F3DFF">
        <w:rPr>
          <w:rFonts w:cs="FrankRuehl" w:hint="cs"/>
          <w:sz w:val="20"/>
          <w:szCs w:val="22"/>
          <w:rtl/>
        </w:rPr>
        <w:t xml:space="preserve">מהי רמת הסיכון שבהעמדת ההלוואה. </w:t>
      </w:r>
      <w:r w:rsidRPr="001F3DFF">
        <w:rPr>
          <w:rFonts w:cs="FrankRuehl"/>
          <w:sz w:val="20"/>
          <w:szCs w:val="22"/>
          <w:rtl/>
        </w:rPr>
        <w:t>ה</w:t>
      </w:r>
      <w:r w:rsidRPr="001F3DFF">
        <w:rPr>
          <w:rFonts w:cs="FrankRuehl" w:hint="cs"/>
          <w:sz w:val="20"/>
          <w:szCs w:val="22"/>
          <w:rtl/>
        </w:rPr>
        <w:t xml:space="preserve">גופים המחזיקים במידע הרב ביותר על משקי הבית הלווים הם הבנקים המצויים בקשר רציף איתם. </w:t>
      </w:r>
      <w:r w:rsidRPr="001F3DFF">
        <w:rPr>
          <w:rFonts w:cs="FrankRuehl"/>
          <w:sz w:val="20"/>
          <w:szCs w:val="22"/>
          <w:rtl/>
        </w:rPr>
        <w:t>עבור כל בנק או ספק אשראי אחר, העמדת אשראי בהיעדר מידע על הלווה היא צעד מסוכן, ולפיכך המלווה ידרוש ריבית גבוהה יחסית על ההלוואה.</w:t>
      </w:r>
      <w:r w:rsidRPr="001F3DFF">
        <w:rPr>
          <w:rFonts w:cs="FrankRuehl" w:hint="cs"/>
          <w:sz w:val="20"/>
          <w:szCs w:val="22"/>
          <w:rtl/>
        </w:rPr>
        <w:t xml:space="preserve"> </w:t>
      </w:r>
    </w:p>
    <w:p w:rsidR="005E5B2C" w:rsidRPr="001F3DFF" w:rsidP="00FB46AA">
      <w:pPr>
        <w:spacing w:after="120" w:line="230" w:lineRule="exact"/>
        <w:jc w:val="both"/>
        <w:rPr>
          <w:rFonts w:cs="FrankRuehl"/>
          <w:sz w:val="20"/>
          <w:szCs w:val="22"/>
          <w:rtl/>
        </w:rPr>
      </w:pPr>
      <w:r w:rsidRPr="001F3DFF">
        <w:rPr>
          <w:rFonts w:cs="FrankRuehl" w:hint="cs"/>
          <w:sz w:val="20"/>
          <w:szCs w:val="22"/>
          <w:rtl/>
        </w:rPr>
        <w:t>הוועדה לשינוי כלכלי-חברתי (ועדת טרכטנברג), שהגישה את המלצותיה לממשלה באוקטובר 2011, ניתחה ענפים מרכזיים במשק שבהם סברה כי קיימים כשלים וחסמי תחרות, ביניהם ענף הבנקאות</w:t>
      </w:r>
      <w:r>
        <w:rPr>
          <w:rStyle w:val="FootnoteReference0"/>
          <w:rFonts w:cs="FrankRuehl"/>
          <w:sz w:val="20"/>
          <w:szCs w:val="22"/>
          <w:rtl/>
        </w:rPr>
        <w:footnoteReference w:id="39"/>
      </w:r>
      <w:r w:rsidRPr="001F3DFF">
        <w:rPr>
          <w:rFonts w:cs="FrankRuehl" w:hint="cs"/>
          <w:sz w:val="20"/>
          <w:szCs w:val="22"/>
          <w:rtl/>
        </w:rPr>
        <w:t>. הוועדה מצאה כי מערכת הבנקאות בישראל ריכוזית מאוד, וציינה כי "</w:t>
      </w:r>
      <w:r w:rsidRPr="001F3DFF">
        <w:rPr>
          <w:rFonts w:cs="FrankRuehl"/>
          <w:sz w:val="20"/>
          <w:szCs w:val="22"/>
          <w:rtl/>
        </w:rPr>
        <w:t>מורכבות המוצר הבנקאי, הקושי באיסוף</w:t>
      </w:r>
      <w:r w:rsidRPr="001F3DFF">
        <w:rPr>
          <w:rFonts w:cs="FrankRuehl" w:hint="cs"/>
          <w:sz w:val="20"/>
          <w:szCs w:val="22"/>
          <w:rtl/>
        </w:rPr>
        <w:t xml:space="preserve"> </w:t>
      </w:r>
      <w:r w:rsidRPr="001F3DFF">
        <w:rPr>
          <w:rFonts w:cs="FrankRuehl"/>
          <w:sz w:val="20"/>
          <w:szCs w:val="22"/>
          <w:rtl/>
        </w:rPr>
        <w:t>מידע עבור הלקוחות והאינפורמציה הא-סימטרית בין הבנקים באשר להיסטוריית האשראי של</w:t>
      </w:r>
      <w:r w:rsidRPr="001F3DFF">
        <w:rPr>
          <w:rFonts w:cs="FrankRuehl" w:hint="cs"/>
          <w:sz w:val="20"/>
          <w:szCs w:val="22"/>
          <w:rtl/>
        </w:rPr>
        <w:t xml:space="preserve"> </w:t>
      </w:r>
      <w:r w:rsidRPr="001F3DFF">
        <w:rPr>
          <w:rFonts w:cs="FrankRuehl"/>
          <w:sz w:val="20"/>
          <w:szCs w:val="22"/>
          <w:rtl/>
        </w:rPr>
        <w:t>הלקוח פועלים כולם להפחתת עוצמת התחרות בין הבנקים</w:t>
      </w:r>
      <w:r w:rsidRPr="001F3DFF">
        <w:rPr>
          <w:rFonts w:cs="FrankRuehl" w:hint="cs"/>
          <w:sz w:val="20"/>
          <w:szCs w:val="22"/>
          <w:rtl/>
        </w:rPr>
        <w:t>". לצורך קידום התחרות בין הבנקים המליצה הוועדה "</w:t>
      </w:r>
      <w:r w:rsidRPr="001F3DFF">
        <w:rPr>
          <w:rFonts w:cs="FrankRuehl"/>
          <w:sz w:val="20"/>
          <w:szCs w:val="22"/>
          <w:rtl/>
        </w:rPr>
        <w:t>להקים ועדה שתציע פתרונות לפישוט המוצר הבנקאי, להעצמת כוח המיקוח</w:t>
      </w:r>
      <w:r w:rsidRPr="001F3DFF">
        <w:rPr>
          <w:rFonts w:cs="FrankRuehl" w:hint="cs"/>
          <w:sz w:val="20"/>
          <w:szCs w:val="22"/>
          <w:rtl/>
        </w:rPr>
        <w:t xml:space="preserve"> של הלקוחות ולהקמת </w:t>
      </w:r>
      <w:r>
        <w:rPr>
          <w:rStyle w:val="FootnoteReference0"/>
          <w:rFonts w:cs="FrankRuehl"/>
          <w:sz w:val="20"/>
          <w:szCs w:val="22"/>
          <w:rtl/>
        </w:rPr>
        <w:footnoteReference w:id="40"/>
      </w:r>
      <w:r w:rsidRPr="001F3DFF">
        <w:rPr>
          <w:rFonts w:cs="FrankRuehl"/>
          <w:sz w:val="20"/>
          <w:szCs w:val="22"/>
        </w:rPr>
        <w:t>Credit Bureaus</w:t>
      </w:r>
      <w:r w:rsidRPr="001F3DFF">
        <w:rPr>
          <w:rFonts w:cs="FrankRuehl" w:hint="cs"/>
          <w:sz w:val="20"/>
          <w:szCs w:val="22"/>
          <w:rtl/>
        </w:rPr>
        <w:t>, במגזר משקי הבית והעסקים הקטנים".</w:t>
      </w:r>
    </w:p>
    <w:p w:rsidR="005E5B2C" w:rsidRPr="001F3DFF" w:rsidP="00FB46AA">
      <w:pPr>
        <w:spacing w:after="120" w:line="230" w:lineRule="exact"/>
        <w:jc w:val="both"/>
        <w:rPr>
          <w:rFonts w:cs="FrankRuehl"/>
          <w:sz w:val="20"/>
          <w:szCs w:val="22"/>
          <w:rtl/>
        </w:rPr>
      </w:pPr>
      <w:r w:rsidRPr="001F3DFF">
        <w:rPr>
          <w:rFonts w:cs="FrankRuehl" w:hint="cs"/>
          <w:sz w:val="20"/>
          <w:szCs w:val="22"/>
          <w:rtl/>
        </w:rPr>
        <w:t>בדצמבר 2011</w:t>
      </w:r>
      <w:r w:rsidRPr="001F3DFF">
        <w:rPr>
          <w:rFonts w:cs="FrankRuehl"/>
          <w:sz w:val="20"/>
          <w:szCs w:val="22"/>
          <w:rtl/>
        </w:rPr>
        <w:t xml:space="preserve"> </w:t>
      </w:r>
      <w:r w:rsidRPr="001F3DFF">
        <w:rPr>
          <w:rFonts w:cs="FrankRuehl" w:hint="cs"/>
          <w:sz w:val="20"/>
          <w:szCs w:val="22"/>
          <w:rtl/>
        </w:rPr>
        <w:t xml:space="preserve">מינו </w:t>
      </w:r>
      <w:r w:rsidRPr="001F3DFF">
        <w:rPr>
          <w:rFonts w:cs="FrankRuehl"/>
          <w:sz w:val="20"/>
          <w:szCs w:val="22"/>
          <w:rtl/>
        </w:rPr>
        <w:t>נגיד בנק ישראל</w:t>
      </w:r>
      <w:r w:rsidRPr="001F3DFF">
        <w:rPr>
          <w:rFonts w:cs="FrankRuehl" w:hint="cs"/>
          <w:sz w:val="20"/>
          <w:szCs w:val="22"/>
          <w:rtl/>
        </w:rPr>
        <w:t xml:space="preserve"> דאז </w:t>
      </w:r>
      <w:r w:rsidRPr="001F3DFF">
        <w:rPr>
          <w:rFonts w:cs="FrankRuehl"/>
          <w:sz w:val="20"/>
          <w:szCs w:val="22"/>
          <w:rtl/>
        </w:rPr>
        <w:t xml:space="preserve">ושר האוצר דאז צוות בין-משרדי </w:t>
      </w:r>
      <w:r w:rsidRPr="001F3DFF">
        <w:rPr>
          <w:rFonts w:cs="FrankRuehl" w:hint="cs"/>
          <w:sz w:val="20"/>
          <w:szCs w:val="22"/>
          <w:rtl/>
        </w:rPr>
        <w:t xml:space="preserve">בראשות המפקח על הבנקים, מר דוד זקן, </w:t>
      </w:r>
      <w:r w:rsidRPr="001F3DFF">
        <w:rPr>
          <w:rFonts w:cs="FrankRuehl"/>
          <w:sz w:val="20"/>
          <w:szCs w:val="22"/>
          <w:rtl/>
        </w:rPr>
        <w:t>לבחינת הגברת התחרותיות במערכת הבנקאית</w:t>
      </w:r>
      <w:r>
        <w:rPr>
          <w:rStyle w:val="FootnoteReference0"/>
          <w:rFonts w:cs="FrankRuehl"/>
          <w:sz w:val="20"/>
          <w:szCs w:val="22"/>
          <w:rtl/>
        </w:rPr>
        <w:footnoteReference w:id="41"/>
      </w:r>
      <w:r w:rsidRPr="001F3DFF">
        <w:rPr>
          <w:rFonts w:cs="FrankRuehl" w:hint="cs"/>
          <w:sz w:val="20"/>
          <w:szCs w:val="22"/>
          <w:rtl/>
        </w:rPr>
        <w:t xml:space="preserve"> (להלן - הצוות או ועדת זקן)</w:t>
      </w:r>
      <w:r w:rsidRPr="001F3DFF">
        <w:rPr>
          <w:rFonts w:cs="FrankRuehl"/>
          <w:sz w:val="20"/>
          <w:szCs w:val="22"/>
          <w:rtl/>
        </w:rPr>
        <w:t xml:space="preserve">. </w:t>
      </w:r>
      <w:r w:rsidRPr="001F3DFF">
        <w:rPr>
          <w:rFonts w:cs="FrankRuehl" w:hint="cs"/>
          <w:sz w:val="20"/>
          <w:szCs w:val="22"/>
          <w:rtl/>
        </w:rPr>
        <w:t>מטרת הצוות היית</w:t>
      </w:r>
      <w:r w:rsidRPr="001F3DFF">
        <w:rPr>
          <w:rFonts w:cs="FrankRuehl" w:hint="eastAsia"/>
          <w:sz w:val="20"/>
          <w:szCs w:val="22"/>
          <w:rtl/>
        </w:rPr>
        <w:t>ה</w:t>
      </w:r>
      <w:r w:rsidRPr="001F3DFF">
        <w:rPr>
          <w:rFonts w:cs="FrankRuehl" w:hint="cs"/>
          <w:sz w:val="20"/>
          <w:szCs w:val="22"/>
          <w:rtl/>
        </w:rPr>
        <w:t xml:space="preserve"> להמליץ על אמצעים ומהלכים להגברת התחרותיות בשוק הבנקאות הישראלי ב</w:t>
      </w:r>
      <w:r w:rsidRPr="001F3DFF">
        <w:rPr>
          <w:rFonts w:cs="FrankRuehl"/>
          <w:sz w:val="20"/>
          <w:szCs w:val="22"/>
          <w:rtl/>
        </w:rPr>
        <w:t>מגזר</w:t>
      </w:r>
      <w:r w:rsidRPr="001F3DFF">
        <w:rPr>
          <w:rFonts w:cs="FrankRuehl" w:hint="cs"/>
          <w:sz w:val="20"/>
          <w:szCs w:val="22"/>
          <w:rtl/>
        </w:rPr>
        <w:t>י</w:t>
      </w:r>
      <w:r w:rsidRPr="001F3DFF">
        <w:rPr>
          <w:rFonts w:cs="FrankRuehl"/>
          <w:sz w:val="20"/>
          <w:szCs w:val="22"/>
          <w:rtl/>
        </w:rPr>
        <w:t xml:space="preserve"> משקי הבית והעסקים הקטנים.</w:t>
      </w:r>
      <w:r w:rsidRPr="001F3DFF">
        <w:rPr>
          <w:rFonts w:cs="FrankRuehl" w:hint="cs"/>
          <w:sz w:val="20"/>
          <w:szCs w:val="22"/>
          <w:rtl/>
        </w:rPr>
        <w:t xml:space="preserve"> להלן מקצת הצעדים שהצוות המליץ עליהם בתחום האשראי למשקי הבית:</w:t>
      </w:r>
    </w:p>
    <w:p w:rsidR="005E5B2C" w:rsidRPr="001F3DFF" w:rsidP="00FB46AA">
      <w:pPr>
        <w:spacing w:after="120" w:line="230" w:lineRule="exact"/>
        <w:jc w:val="both"/>
        <w:rPr>
          <w:rFonts w:cs="FrankRuehl"/>
          <w:sz w:val="20"/>
          <w:szCs w:val="22"/>
          <w:rtl/>
        </w:rPr>
      </w:pPr>
      <w:r w:rsidRPr="001F3DFF">
        <w:rPr>
          <w:rStyle w:val="Heading7Char"/>
          <w:rFonts w:cs="FrankRuehl"/>
          <w:sz w:val="20"/>
          <w:szCs w:val="22"/>
          <w:rtl/>
        </w:rPr>
        <w:t xml:space="preserve">פרסום שיעורי הריבית בפועל והגברת הנגישות למידע לצורך השוואה: </w:t>
      </w:r>
      <w:r w:rsidRPr="001F3DFF">
        <w:rPr>
          <w:rFonts w:cs="FrankRuehl" w:hint="cs"/>
          <w:sz w:val="20"/>
          <w:szCs w:val="22"/>
          <w:rtl/>
        </w:rPr>
        <w:t xml:space="preserve">הצוות מצא כי התאגידים הבנקאיים אינם נוהגים לפרסם טבלאות המפרטות את שיעור הריבית </w:t>
      </w:r>
      <w:r w:rsidRPr="001F3DFF">
        <w:rPr>
          <w:rFonts w:cs="FrankRuehl" w:hint="cs"/>
          <w:sz w:val="20"/>
          <w:szCs w:val="22"/>
          <w:rtl/>
        </w:rPr>
        <w:t>התעריפית</w:t>
      </w:r>
      <w:r w:rsidRPr="001F3DFF">
        <w:rPr>
          <w:rFonts w:cs="FrankRuehl" w:hint="cs"/>
          <w:sz w:val="20"/>
          <w:szCs w:val="22"/>
          <w:rtl/>
        </w:rPr>
        <w:t xml:space="preserve"> למתן אשראי, כדוגמת אלו הקיימות עבור פיקדונות</w:t>
      </w:r>
      <w:r>
        <w:rPr>
          <w:rStyle w:val="FootnoteReference0"/>
          <w:rFonts w:cs="FrankRuehl"/>
          <w:sz w:val="20"/>
          <w:szCs w:val="22"/>
          <w:rtl/>
        </w:rPr>
        <w:footnoteReference w:id="42"/>
      </w:r>
      <w:r w:rsidRPr="001F3DFF">
        <w:rPr>
          <w:rFonts w:cs="FrankRuehl" w:hint="cs"/>
          <w:sz w:val="20"/>
          <w:szCs w:val="22"/>
          <w:rtl/>
        </w:rPr>
        <w:t>. הצעות התאגידים הבנקאיים למתן אשראי הן פרטניות ונגזרות ממאפייניו הייחודיים של הלקוח. כדי להגביר את יכולת ההשוואה של הלקוח המליץ הצוות לחייב את התאגידים הבנקאיים לפרסם מידע על שיעורי הריבית על אשראי ועל פיקדונות הנהוגים בפועל, בכל אחד מהתאגידים הבנקאיים, עבור מוצרים סטנדרטיים של אשראי ופיקדון. המידע יפורסם באופן שיאפשר ללקוח להשוות בין התאגידים. כדי ליישם המלצה זו התבקשו תיקון של הוראות חקיקה ראשית ומתן סמכות למפקח על הבנקים לפרסם מידע כאמור, ולכן נוסחה הצעה לתיקון חוק הבנקאות (שירות ללקוח) (</w:t>
      </w:r>
      <w:r w:rsidRPr="001F3DFF">
        <w:rPr>
          <w:rFonts w:cs="FrankRuehl"/>
          <w:sz w:val="20"/>
          <w:szCs w:val="22"/>
          <w:rtl/>
        </w:rPr>
        <w:t>תיקון מס' 19</w:t>
      </w:r>
      <w:r w:rsidRPr="001F3DFF">
        <w:rPr>
          <w:rFonts w:cs="FrankRuehl" w:hint="cs"/>
          <w:sz w:val="20"/>
          <w:szCs w:val="22"/>
          <w:rtl/>
        </w:rPr>
        <w:t>), התשע"ג-2013.</w:t>
      </w:r>
    </w:p>
    <w:p w:rsidR="005E5B2C" w:rsidRPr="001F3DFF" w:rsidP="00FB46AA">
      <w:pPr>
        <w:spacing w:after="240" w:line="230" w:lineRule="exact"/>
        <w:jc w:val="both"/>
        <w:rPr>
          <w:rFonts w:cs="FrankRuehl"/>
          <w:sz w:val="20"/>
          <w:szCs w:val="22"/>
          <w:rtl/>
        </w:rPr>
      </w:pPr>
      <w:r w:rsidRPr="001F3DFF">
        <w:rPr>
          <w:rFonts w:cs="FrankRuehl" w:hint="cs"/>
          <w:sz w:val="20"/>
          <w:szCs w:val="22"/>
          <w:rtl/>
        </w:rPr>
        <w:t xml:space="preserve">משרד המשפטים מסר למשרד מבקר המדינה בתשובתו ממרץ 2015 (להלן - תשובת משרד המשפטים) כי החקיקה היא בתחום אחריותו של משרד האוצר. </w:t>
      </w:r>
    </w:p>
    <w:p w:rsidR="005E5B2C" w:rsidRPr="001F3DFF" w:rsidP="00FB46AA">
      <w:pPr>
        <w:pStyle w:val="RESHET"/>
        <w:rPr>
          <w:rtl/>
        </w:rPr>
      </w:pPr>
      <w:r w:rsidRPr="001F3DFF">
        <w:rPr>
          <w:rFonts w:hint="cs"/>
          <w:rtl/>
        </w:rPr>
        <w:t>נמצא שעד מועד סיום הביקורת - מאי 2015 - טרם הושלם הליך תיקון החקיקה ולכן לא יושמה המלצת הצוות ממרץ 2013. לדעת משרד מבקר המדינה, על משרד האוצר, בשיתוף בנק ישראל ומשרד המשפטים, לפעול להשלמת החקיקה בהקדם, שכן היא ת</w:t>
      </w:r>
      <w:r w:rsidRPr="001F3DFF">
        <w:rPr>
          <w:rtl/>
        </w:rPr>
        <w:t>גביר את שקיפות התאגידים הבנקאיים כלפי לקוחותיהם</w:t>
      </w:r>
      <w:r w:rsidRPr="001F3DFF">
        <w:rPr>
          <w:rFonts w:hint="cs"/>
          <w:rtl/>
        </w:rPr>
        <w:t>, ת</w:t>
      </w:r>
      <w:r w:rsidRPr="001F3DFF">
        <w:rPr>
          <w:rtl/>
        </w:rPr>
        <w:t xml:space="preserve">תרום להגברת התחרות </w:t>
      </w:r>
      <w:r w:rsidRPr="001F3DFF">
        <w:rPr>
          <w:rFonts w:hint="cs"/>
          <w:rtl/>
        </w:rPr>
        <w:t xml:space="preserve">בתחום האשראי </w:t>
      </w:r>
      <w:r w:rsidRPr="001F3DFF">
        <w:rPr>
          <w:rtl/>
        </w:rPr>
        <w:t>ו</w:t>
      </w:r>
      <w:r w:rsidRPr="001F3DFF">
        <w:rPr>
          <w:rFonts w:hint="cs"/>
          <w:rtl/>
        </w:rPr>
        <w:t>ת</w:t>
      </w:r>
      <w:r w:rsidRPr="001F3DFF">
        <w:rPr>
          <w:rtl/>
        </w:rPr>
        <w:t xml:space="preserve">שפר את כוח המיקוח של הלקוחות </w:t>
      </w:r>
      <w:r w:rsidRPr="001F3DFF">
        <w:rPr>
          <w:rFonts w:hint="cs"/>
          <w:rtl/>
        </w:rPr>
        <w:t xml:space="preserve">מול הבנקים. </w:t>
      </w:r>
    </w:p>
    <w:p w:rsidR="005E5B2C" w:rsidRPr="001F3DFF" w:rsidP="00FB46AA">
      <w:pPr>
        <w:spacing w:before="180" w:after="120" w:line="230" w:lineRule="exact"/>
        <w:jc w:val="both"/>
        <w:rPr>
          <w:rFonts w:cs="FrankRuehl"/>
          <w:sz w:val="20"/>
          <w:szCs w:val="22"/>
          <w:rtl/>
        </w:rPr>
      </w:pPr>
      <w:r w:rsidRPr="001F3DFF">
        <w:rPr>
          <w:rFonts w:cs="FrankRuehl" w:hint="eastAsia"/>
          <w:sz w:val="20"/>
          <w:szCs w:val="22"/>
          <w:rtl/>
        </w:rPr>
        <w:t>בנק</w:t>
      </w:r>
      <w:r w:rsidRPr="001F3DFF">
        <w:rPr>
          <w:rFonts w:cs="FrankRuehl"/>
          <w:sz w:val="20"/>
          <w:szCs w:val="22"/>
          <w:rtl/>
        </w:rPr>
        <w:t xml:space="preserve"> ישראל מסר בתשובתו כי הוא </w:t>
      </w:r>
      <w:r w:rsidRPr="001F3DFF">
        <w:rPr>
          <w:rFonts w:cs="FrankRuehl" w:hint="cs"/>
          <w:sz w:val="20"/>
          <w:szCs w:val="22"/>
          <w:rtl/>
        </w:rPr>
        <w:t xml:space="preserve">מקבל את הערת הביקורת </w:t>
      </w:r>
      <w:r w:rsidRPr="001F3DFF">
        <w:rPr>
          <w:rFonts w:cs="FrankRuehl"/>
          <w:sz w:val="20"/>
          <w:szCs w:val="22"/>
          <w:rtl/>
        </w:rPr>
        <w:t xml:space="preserve">וציין כי "קידום הנושא יימשך והוא נכלל בתכניות העבודה של הפיקוח על הבנקים". </w:t>
      </w:r>
      <w:r w:rsidRPr="001F3DFF">
        <w:rPr>
          <w:rFonts w:cs="FrankRuehl" w:hint="cs"/>
          <w:sz w:val="20"/>
          <w:szCs w:val="22"/>
          <w:rtl/>
        </w:rPr>
        <w:t xml:space="preserve">עוד מסר כי טיוטת התיקון לחוק "עברה את הליכי ההתייעצות הנדרשים לפי פקודת הבנקאות. קידום הנושא מתעכב עקב פיזור הכנסת. במקביל לקבלת ההסמכה בחוק, הוראת דיווח מתאימה נמצאת בשלבי הכנה". </w:t>
      </w:r>
    </w:p>
    <w:p w:rsidR="005E5B2C" w:rsidRPr="001F3DFF" w:rsidP="00FB46AA">
      <w:pPr>
        <w:spacing w:after="120" w:line="230" w:lineRule="exact"/>
        <w:jc w:val="both"/>
        <w:rPr>
          <w:rFonts w:cs="FrankRuehl"/>
          <w:sz w:val="20"/>
          <w:szCs w:val="22"/>
          <w:rtl/>
        </w:rPr>
      </w:pPr>
      <w:r w:rsidRPr="001F3DFF">
        <w:rPr>
          <w:rStyle w:val="Heading7Char"/>
          <w:rFonts w:cs="FrankRuehl"/>
          <w:sz w:val="20"/>
          <w:szCs w:val="22"/>
          <w:rtl/>
        </w:rPr>
        <w:t xml:space="preserve">מתן מידע בידי הלקוח באמצעות יצירת "תעודת זהות בנקאית": </w:t>
      </w:r>
      <w:r w:rsidRPr="001F3DFF">
        <w:rPr>
          <w:rFonts w:cs="FrankRuehl" w:hint="cs"/>
          <w:sz w:val="20"/>
          <w:szCs w:val="22"/>
          <w:rtl/>
        </w:rPr>
        <w:t>תעודת הזהות הבנקאית היא דוח המפרט את כלל הנכסים וההתחייבויות של הלקוח, את סך ההכנסות וההוצאות שלו ואת דירוג האשראי שנתן לו הבנק. הצוות המליץ כי תאגידים בנקאיים ישלחו ללקוחות דיווח מרוכז תקופתי כאמור, באופן יזום</w:t>
      </w:r>
      <w:r>
        <w:rPr>
          <w:rStyle w:val="FootnoteReference0"/>
          <w:rFonts w:cs="FrankRuehl"/>
          <w:sz w:val="20"/>
          <w:szCs w:val="22"/>
          <w:rtl/>
        </w:rPr>
        <w:footnoteReference w:id="43"/>
      </w:r>
      <w:r w:rsidRPr="001F3DFF">
        <w:rPr>
          <w:rFonts w:cs="FrankRuehl" w:hint="cs"/>
          <w:sz w:val="20"/>
          <w:szCs w:val="22"/>
          <w:rtl/>
        </w:rPr>
        <w:t>.</w:t>
      </w:r>
    </w:p>
    <w:p w:rsidR="005E5B2C" w:rsidRPr="001F3DFF" w:rsidP="00FB46AA">
      <w:pPr>
        <w:spacing w:after="240" w:line="230" w:lineRule="exact"/>
        <w:jc w:val="both"/>
        <w:rPr>
          <w:rFonts w:cs="FrankRuehl"/>
          <w:sz w:val="20"/>
          <w:szCs w:val="22"/>
          <w:rtl/>
        </w:rPr>
      </w:pPr>
      <w:r w:rsidRPr="001F3DFF">
        <w:rPr>
          <w:rFonts w:cs="FrankRuehl" w:hint="cs"/>
          <w:sz w:val="20"/>
          <w:szCs w:val="22"/>
          <w:rtl/>
        </w:rPr>
        <w:t>בנובמבר 2014 פרסם המפקח על הבנקים חוזר</w:t>
      </w:r>
      <w:r>
        <w:rPr>
          <w:rStyle w:val="FootnoteReference0"/>
          <w:rFonts w:cs="FrankRuehl"/>
          <w:sz w:val="20"/>
          <w:szCs w:val="22"/>
          <w:rtl/>
        </w:rPr>
        <w:footnoteReference w:id="44"/>
      </w:r>
      <w:r w:rsidRPr="001F3DFF">
        <w:rPr>
          <w:rFonts w:cs="FrankRuehl" w:hint="cs"/>
          <w:sz w:val="20"/>
          <w:szCs w:val="22"/>
          <w:rtl/>
        </w:rPr>
        <w:t xml:space="preserve"> המחייב את התאגידים הבנקאיים להציג בחשבון המקוון של כל לקוח דוח על כלל נכסיו והתחייבויותיו בתאגיד. הדוח יפורסם בהתאם לנוסח ולמבנה שקובעת ההוראה, יוצג עד 28 בפברואר כל שנה ויפרט את נתוני השנה </w:t>
      </w:r>
      <w:r w:rsidRPr="001F3DFF">
        <w:rPr>
          <w:rFonts w:cs="FrankRuehl" w:hint="cs"/>
          <w:sz w:val="20"/>
          <w:szCs w:val="22"/>
          <w:rtl/>
        </w:rPr>
        <w:t>הקלנדרית</w:t>
      </w:r>
      <w:r w:rsidRPr="001F3DFF">
        <w:rPr>
          <w:rFonts w:cs="FrankRuehl" w:hint="cs"/>
          <w:sz w:val="20"/>
          <w:szCs w:val="22"/>
          <w:rtl/>
        </w:rPr>
        <w:t xml:space="preserve"> החולפת. בחוזר צוין כי לאחר גיבוש צעדים משלימים שיבטיחו את ההגנה על המידע של הלקוחות, בכוונת המפקח להורות לתאגידים הבנקאיים לשלוח ללקוחותיהם גם את דירוג האשראי הפנימי שנתנו להם.</w:t>
      </w:r>
    </w:p>
    <w:p w:rsidR="005E5B2C" w:rsidRPr="001F3DFF" w:rsidP="00FB46AA">
      <w:pPr>
        <w:pStyle w:val="RESHET"/>
        <w:rPr>
          <w:rtl/>
        </w:rPr>
      </w:pPr>
      <w:r w:rsidRPr="001F3DFF">
        <w:rPr>
          <w:rFonts w:hint="cs"/>
          <w:rtl/>
        </w:rPr>
        <w:t xml:space="preserve">נמצא כי עד מועד סיום הביקורת - מאי 2015 - טרם גיבשו הפיקוח על הבנקים ומשרד המשפטים את הצעדים המשלימים שיבטיחו הגנה על המידע של הלקוחות. לכן טרם ניתנה הוראת המפקח שתאפשר ללקוחות לקבל את דירוג האשראי הפנימי שלהם בתאגיד הבנקאי, כחלק מתעודת הזהות הבנקאית. </w:t>
      </w:r>
    </w:p>
    <w:p w:rsidR="005E5B2C" w:rsidRPr="001F3DFF" w:rsidP="00FB46AA">
      <w:pPr>
        <w:spacing w:before="180" w:after="120" w:line="230" w:lineRule="exact"/>
        <w:jc w:val="both"/>
        <w:rPr>
          <w:rFonts w:cs="FrankRuehl"/>
          <w:sz w:val="20"/>
          <w:szCs w:val="22"/>
          <w:rtl/>
        </w:rPr>
      </w:pPr>
      <w:r w:rsidRPr="001F3DFF">
        <w:rPr>
          <w:rFonts w:cs="FrankRuehl" w:hint="cs"/>
          <w:sz w:val="20"/>
          <w:szCs w:val="22"/>
          <w:rtl/>
        </w:rPr>
        <w:t xml:space="preserve">בנק ישראל מסר בתשובתו כי בחוזר לא נכללה דרישה לפירוט דירוג האשראי הפנימי, "נוכח ביקורת חריפה מצד ארגונים חברתיים ומצד ועדת הכלכלה של הכנסת. יחד עם זאת, הבנקים נדרשו להיערך </w:t>
      </w:r>
      <w:r w:rsidRPr="001F3DFF">
        <w:rPr>
          <w:rFonts w:cs="FrankRuehl" w:hint="cs"/>
          <w:sz w:val="20"/>
          <w:szCs w:val="22"/>
          <w:rtl/>
        </w:rPr>
        <w:t>מיכונית</w:t>
      </w:r>
      <w:r w:rsidRPr="001F3DFF">
        <w:rPr>
          <w:rFonts w:cs="FrankRuehl" w:hint="cs"/>
          <w:sz w:val="20"/>
          <w:szCs w:val="22"/>
          <w:rtl/>
        </w:rPr>
        <w:t xml:space="preserve"> להכללתו של הדירוג הפנימי בעתיד... עמדת הפיקוח על הבנקים היא שיש מקום לגלות ללקוח מהו דירוגו הפנימי בבנק, אולם כאמור, קיימת מחלוקת עקרונית על התועלת שבו לעומת החששות לפגיעה באוכלוסיות חלשות - מחלוקת שלא נפתרה עדיין". </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בתשובת משרד המשפטים נמסר כי בהמשך לדיון שהתקיים בוועדת הכלכלה ב-18.11.13 ובו הוצגה תעודת הזהות הבנקאית, פנה בנק ישראל למשרד בבקשה לאסור על מסירת ציון הדירוג שמופיע בתעודת הזהות הבנקאית לצדדים שלישיים שאינם גורמים פיננסיים רלוונטיים. עוד נמסר: "איסור על מסירה </w:t>
      </w:r>
      <w:r w:rsidRPr="001F3DFF">
        <w:rPr>
          <w:rFonts w:cs="FrankRuehl" w:hint="eastAsia"/>
          <w:sz w:val="20"/>
          <w:szCs w:val="22"/>
          <w:u w:val="single"/>
          <w:rtl/>
        </w:rPr>
        <w:t>בהסכמה</w:t>
      </w:r>
      <w:r w:rsidRPr="001F3DFF">
        <w:rPr>
          <w:rFonts w:cs="FrankRuehl" w:hint="cs"/>
          <w:sz w:val="20"/>
          <w:szCs w:val="22"/>
          <w:rtl/>
        </w:rPr>
        <w:t xml:space="preserve"> של מידע מלקוח לאדם שביקש את המידע מעלה סוגיות מורכבות [ההדגשה במקור]. חוק הגנת הפרטיות כולל איסור על פגיעה בפרטיותו של אדם שלא בהסכמתו, ובכלל זה איסור על מסירת מידע ושימוש בו שלא למטרה שלשמה נמסר... לאור הוראות רחבות </w:t>
      </w:r>
      <w:r w:rsidRPr="001F3DFF">
        <w:rPr>
          <w:rFonts w:cs="FrankRuehl" w:hint="cs"/>
          <w:sz w:val="20"/>
          <w:szCs w:val="22"/>
          <w:rtl/>
        </w:rPr>
        <w:t xml:space="preserve">אלה, נמצא כי אין מקום ליצור הוראה ספציפית בחוק הגנת הפרטיות שתחול דווקא על מידע מסוג זה, לעומת מידע פיננסי אחר או סוגי מידע אחרים שיש על הלקוח. בהתאם להוראות החוק, המידע האמור כלול בהגדרת 'מידע רגיש' המוגן על פי חוק". </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משרד המשפטים מסר כי הציע לבנק ישראל כמה אפשרויות: להגדיר באופן מפורש את תכליות השימוש בתעודת הזהות הבנקאית ומיהם המורשים להשתמש בה (על התעודה עצמה או בחקיקה חדשה של משרד האוצר); לקבוע באמצעות חקיקה חדשה (של משרד האוצר) כי אין להשתמש בתעודת הזהות הבנקאית אלא לצרכים שיוגדרו בחוק; לבחון שימוש בתשתית טכנולוגית שתצמצם את החשש מפני שימוש לרעה בתעודת הזהות הבנקאית. משרד המשפטים הוסיף: "מכל האמור לעיל עולה כי עוד ביולי 2014 משרד המשפטים מיצה מבחינתו את הטיפול בנושא מול בנק ישראל, והעביר לבחירתו מספר אפשרויות פעילות לצמצום השימוש לרעה בתעודת הזהות הבנקאית ולהבטחת ההגנה על המידע של הלקוחות. המשרד הבהיר כי יהיה מוכן לבחון אפשרויות נוספות לבקשת בנק ישראל, אלא שבנק ישראל לא ביקש לבחון אפשרויות נוספות עד למועד זה". </w:t>
      </w:r>
    </w:p>
    <w:p w:rsidR="005E5B2C" w:rsidRPr="001F3DFF" w:rsidP="00FB46AA">
      <w:pPr>
        <w:spacing w:after="240" w:line="230" w:lineRule="exact"/>
        <w:jc w:val="both"/>
        <w:rPr>
          <w:rFonts w:cs="FrankRuehl"/>
          <w:sz w:val="20"/>
          <w:szCs w:val="22"/>
          <w:rtl/>
        </w:rPr>
      </w:pPr>
      <w:r w:rsidRPr="001F3DFF">
        <w:rPr>
          <w:rFonts w:cs="FrankRuehl" w:hint="cs"/>
          <w:sz w:val="20"/>
          <w:szCs w:val="22"/>
          <w:rtl/>
        </w:rPr>
        <w:t>בנק ישראל מסר למשרד מבקר המדינה ביוני 2015 כי לנוכח החששות הנוגעים להגנת הפרטיות שהועלו בוועדת הכלכלה של הכנסת, החליט הפיקוח על הבנקים שעד שיינקטו צעדים משלימים לא יפורסם נתון דירוג האשראי הפנימי של הלווה בדוח השנתי. הבנק הוסיף כי "לאור חשיבות משלוח מידע מרוכז ללקוח, ובכלל זה מתן אפשרות ללקוח לשפר את תנאי האשראי שלו... שלא לעכב את פרסום הדוח השנתי (לא כולל נתון הדירוג), ולהמשיך בקידום הצעדים המשלימים במקביל... בין הצעדים המשלימים אשר נבחנו, היה ביצוע תיקוני חקיקה אשר יתנו מענה לחשש מפני שימוש לרעה במידע. כמו כן, פעל יו"ר ועדת הכלכלה לקידום יוזמה להקמת קרן סיוע לאוכלוסיות חלשות, אולם הטיפול בנושא זה התעכב בשל פיזור הכנסת... לנוכח הערת המבקר ותגובת משרד המשפטים נבחן מחדש את אופן יישום ההמלצה בדבר מסירת דירוג האשראי הפנימי ללקוח במסגרת הדו"ח השנתי המרוכז".</w:t>
      </w:r>
    </w:p>
    <w:p w:rsidR="005E5B2C" w:rsidRPr="001F3DFF" w:rsidP="00FB46AA">
      <w:pPr>
        <w:pStyle w:val="RESHET"/>
        <w:rPr>
          <w:rtl/>
        </w:rPr>
      </w:pPr>
      <w:r w:rsidRPr="001F3DFF">
        <w:rPr>
          <w:rFonts w:hint="cs"/>
          <w:rtl/>
        </w:rPr>
        <w:t>על משרד המשפטים ובנק ישראל לפעול ללא דיחוי לגיבוש הצעדים המשלימים שיבטיחו הגנה על המידע של הלקוחות ויאפשרו ללקוחות לקבל את דירוג האשראי הפנימי שלהם בתאגיד הבנקאי כחלק מתעודת הזהות הבנקאית.</w:t>
      </w:r>
    </w:p>
    <w:p w:rsidR="005E5B2C" w:rsidRPr="001F3DFF" w:rsidP="00FB46AA">
      <w:pPr>
        <w:spacing w:before="180" w:after="120" w:line="230" w:lineRule="exact"/>
        <w:jc w:val="both"/>
        <w:rPr>
          <w:rFonts w:cs="FrankRuehl"/>
          <w:sz w:val="20"/>
          <w:szCs w:val="22"/>
          <w:rtl/>
        </w:rPr>
      </w:pPr>
      <w:r w:rsidRPr="001F3DFF">
        <w:rPr>
          <w:rStyle w:val="Heading7Char"/>
          <w:rFonts w:cs="FrankRuehl"/>
          <w:sz w:val="20"/>
          <w:szCs w:val="22"/>
          <w:rtl/>
        </w:rPr>
        <w:t xml:space="preserve">שכלול המידע </w:t>
      </w:r>
      <w:r w:rsidRPr="001F3DFF">
        <w:rPr>
          <w:rStyle w:val="Heading7Char"/>
          <w:rFonts w:cs="FrankRuehl" w:hint="cs"/>
          <w:sz w:val="20"/>
          <w:szCs w:val="22"/>
          <w:rtl/>
        </w:rPr>
        <w:t>על</w:t>
      </w:r>
      <w:r w:rsidRPr="001F3DFF">
        <w:rPr>
          <w:rStyle w:val="Heading7Char"/>
          <w:rFonts w:cs="FrankRuehl"/>
          <w:sz w:val="20"/>
          <w:szCs w:val="22"/>
          <w:rtl/>
        </w:rPr>
        <w:t xml:space="preserve"> לווים (</w:t>
      </w:r>
      <w:r w:rsidRPr="001F3DFF">
        <w:rPr>
          <w:rStyle w:val="Heading7Char"/>
          <w:rFonts w:cs="FrankRuehl"/>
          <w:sz w:val="20"/>
          <w:szCs w:val="22"/>
        </w:rPr>
        <w:t>Credit Bureau</w:t>
      </w:r>
      <w:r w:rsidRPr="001F3DFF">
        <w:rPr>
          <w:rStyle w:val="Heading7Char"/>
          <w:rFonts w:cs="FrankRuehl"/>
          <w:sz w:val="20"/>
          <w:szCs w:val="22"/>
          <w:rtl/>
        </w:rPr>
        <w:t xml:space="preserve">): </w:t>
      </w:r>
      <w:r w:rsidRPr="001F3DFF">
        <w:rPr>
          <w:rFonts w:cs="FrankRuehl" w:hint="cs"/>
          <w:sz w:val="20"/>
          <w:szCs w:val="22"/>
          <w:rtl/>
        </w:rPr>
        <w:t xml:space="preserve">בשנת 2002 חוקק לראשונה </w:t>
      </w:r>
      <w:r w:rsidRPr="001F3DFF">
        <w:rPr>
          <w:rFonts w:cs="FrankRuehl" w:hint="eastAsia"/>
          <w:sz w:val="20"/>
          <w:szCs w:val="22"/>
          <w:rtl/>
        </w:rPr>
        <w:t>חוק</w:t>
      </w:r>
      <w:r w:rsidRPr="001F3DFF">
        <w:rPr>
          <w:rFonts w:cs="FrankRuehl"/>
          <w:sz w:val="20"/>
          <w:szCs w:val="22"/>
          <w:rtl/>
        </w:rPr>
        <w:t xml:space="preserve"> </w:t>
      </w:r>
      <w:r w:rsidRPr="001F3DFF">
        <w:rPr>
          <w:rFonts w:cs="FrankRuehl" w:hint="eastAsia"/>
          <w:sz w:val="20"/>
          <w:szCs w:val="22"/>
          <w:rtl/>
        </w:rPr>
        <w:t>שירות</w:t>
      </w:r>
      <w:r w:rsidRPr="001F3DFF">
        <w:rPr>
          <w:rFonts w:cs="FrankRuehl"/>
          <w:sz w:val="20"/>
          <w:szCs w:val="22"/>
          <w:rtl/>
        </w:rPr>
        <w:t xml:space="preserve"> </w:t>
      </w:r>
      <w:r w:rsidRPr="001F3DFF">
        <w:rPr>
          <w:rFonts w:cs="FrankRuehl" w:hint="eastAsia"/>
          <w:sz w:val="20"/>
          <w:szCs w:val="22"/>
          <w:rtl/>
        </w:rPr>
        <w:t>נתוני</w:t>
      </w:r>
      <w:r w:rsidRPr="001F3DFF">
        <w:rPr>
          <w:rFonts w:cs="FrankRuehl"/>
          <w:sz w:val="20"/>
          <w:szCs w:val="22"/>
          <w:rtl/>
        </w:rPr>
        <w:t xml:space="preserve"> </w:t>
      </w:r>
      <w:r w:rsidRPr="001F3DFF">
        <w:rPr>
          <w:rFonts w:cs="FrankRuehl" w:hint="eastAsia"/>
          <w:sz w:val="20"/>
          <w:szCs w:val="22"/>
          <w:rtl/>
        </w:rPr>
        <w:t>אשראי</w:t>
      </w:r>
      <w:r w:rsidRPr="001F3DFF">
        <w:rPr>
          <w:rFonts w:cs="FrankRuehl"/>
          <w:sz w:val="20"/>
          <w:szCs w:val="22"/>
          <w:rtl/>
        </w:rPr>
        <w:t xml:space="preserve">, </w:t>
      </w:r>
      <w:r w:rsidRPr="001F3DFF">
        <w:rPr>
          <w:rFonts w:cs="FrankRuehl" w:hint="eastAsia"/>
          <w:sz w:val="20"/>
          <w:szCs w:val="22"/>
          <w:rtl/>
        </w:rPr>
        <w:t>התשס</w:t>
      </w:r>
      <w:r w:rsidRPr="001F3DFF">
        <w:rPr>
          <w:rFonts w:cs="FrankRuehl"/>
          <w:sz w:val="20"/>
          <w:szCs w:val="22"/>
          <w:rtl/>
        </w:rPr>
        <w:t xml:space="preserve">"ב-2002 (להלן - </w:t>
      </w:r>
      <w:r w:rsidRPr="001F3DFF">
        <w:rPr>
          <w:rFonts w:cs="FrankRuehl" w:hint="eastAsia"/>
          <w:sz w:val="20"/>
          <w:szCs w:val="22"/>
          <w:rtl/>
        </w:rPr>
        <w:t>חוק</w:t>
      </w:r>
      <w:r w:rsidRPr="001F3DFF">
        <w:rPr>
          <w:rFonts w:cs="FrankRuehl"/>
          <w:sz w:val="20"/>
          <w:szCs w:val="22"/>
          <w:rtl/>
        </w:rPr>
        <w:t xml:space="preserve"> </w:t>
      </w:r>
      <w:r w:rsidRPr="001F3DFF">
        <w:rPr>
          <w:rFonts w:cs="FrankRuehl" w:hint="eastAsia"/>
          <w:sz w:val="20"/>
          <w:szCs w:val="22"/>
          <w:rtl/>
        </w:rPr>
        <w:t>נתוני</w:t>
      </w:r>
      <w:r w:rsidRPr="001F3DFF">
        <w:rPr>
          <w:rFonts w:cs="FrankRuehl"/>
          <w:sz w:val="20"/>
          <w:szCs w:val="22"/>
          <w:rtl/>
        </w:rPr>
        <w:t xml:space="preserve"> </w:t>
      </w:r>
      <w:r w:rsidRPr="001F3DFF">
        <w:rPr>
          <w:rFonts w:cs="FrankRuehl" w:hint="eastAsia"/>
          <w:sz w:val="20"/>
          <w:szCs w:val="22"/>
          <w:rtl/>
        </w:rPr>
        <w:t>אשראי</w:t>
      </w:r>
      <w:r w:rsidRPr="001F3DFF">
        <w:rPr>
          <w:rFonts w:cs="FrankRuehl"/>
          <w:sz w:val="20"/>
          <w:szCs w:val="22"/>
          <w:rtl/>
        </w:rPr>
        <w:t>), המאפשר שיתוף של נתוני</w:t>
      </w:r>
      <w:r w:rsidRPr="001F3DFF">
        <w:rPr>
          <w:rFonts w:cs="FrankRuehl" w:hint="cs"/>
          <w:sz w:val="20"/>
          <w:szCs w:val="22"/>
          <w:rtl/>
        </w:rPr>
        <w:t xml:space="preserve"> אשראי מסוימים בין גופים באמצעות יצירת מסגרת משפטית שלפיה חברות פרטיות ("לשכות האשראי") רשאיות לאסוף נתוני אשראי על יחידים ולמסור אותם. החוק נמצא בתחום אחריותו של שר המשפטים, ו</w:t>
      </w:r>
      <w:r w:rsidRPr="001F3DFF">
        <w:rPr>
          <w:rFonts w:cs="FrankRuehl"/>
          <w:sz w:val="20"/>
          <w:szCs w:val="22"/>
          <w:rtl/>
        </w:rPr>
        <w:t>מטרת</w:t>
      </w:r>
      <w:r w:rsidRPr="001F3DFF">
        <w:rPr>
          <w:rFonts w:cs="FrankRuehl" w:hint="cs"/>
          <w:sz w:val="20"/>
          <w:szCs w:val="22"/>
          <w:rtl/>
        </w:rPr>
        <w:t>ו</w:t>
      </w:r>
      <w:r w:rsidRPr="001F3DFF">
        <w:rPr>
          <w:rFonts w:cs="FrankRuehl"/>
          <w:sz w:val="20"/>
          <w:szCs w:val="22"/>
          <w:rtl/>
        </w:rPr>
        <w:t xml:space="preserve"> </w:t>
      </w:r>
      <w:r w:rsidRPr="001F3DFF">
        <w:rPr>
          <w:rFonts w:cs="FrankRuehl" w:hint="cs"/>
          <w:sz w:val="20"/>
          <w:szCs w:val="22"/>
          <w:rtl/>
        </w:rPr>
        <w:t>לאפשר למלווים לזהות טוב יותר את איכות הלווים הפוטנציאליים, לתמחר באופן מדויק יותר את האשראי הניתן ולשפר את ניהול סיכוני האשראי</w:t>
      </w:r>
      <w:r>
        <w:rPr>
          <w:rStyle w:val="FootnoteReference0"/>
          <w:rFonts w:cs="FrankRuehl"/>
          <w:sz w:val="20"/>
          <w:szCs w:val="22"/>
          <w:rtl/>
        </w:rPr>
        <w:footnoteReference w:id="45"/>
      </w:r>
      <w:r w:rsidRPr="001F3DFF">
        <w:rPr>
          <w:rFonts w:cs="FrankRuehl" w:hint="cs"/>
          <w:sz w:val="20"/>
          <w:szCs w:val="22"/>
          <w:rtl/>
        </w:rPr>
        <w:t xml:space="preserve">. </w:t>
      </w:r>
    </w:p>
    <w:p w:rsidR="005E5B2C" w:rsidRPr="001F3DFF" w:rsidP="00FB46AA">
      <w:pPr>
        <w:spacing w:after="120" w:line="230" w:lineRule="exact"/>
        <w:jc w:val="both"/>
        <w:rPr>
          <w:rFonts w:cs="FrankRuehl"/>
          <w:sz w:val="20"/>
          <w:szCs w:val="22"/>
          <w:rtl/>
        </w:rPr>
      </w:pPr>
      <w:r w:rsidRPr="001F3DFF">
        <w:rPr>
          <w:rFonts w:cs="FrankRuehl" w:hint="cs"/>
          <w:sz w:val="20"/>
          <w:szCs w:val="22"/>
          <w:rtl/>
        </w:rPr>
        <w:t>הצוות מצא כי קיים הסדר שיתוף בנתוני אשראי צרכני בישראל, אולם יעילותו מוגבלת, בפרט לעניין משקי הבית ומגזר העסקים הקטנים</w:t>
      </w:r>
      <w:r>
        <w:rPr>
          <w:rStyle w:val="FootnoteReference0"/>
          <w:rFonts w:cs="FrankRuehl"/>
          <w:sz w:val="20"/>
          <w:szCs w:val="22"/>
          <w:rtl/>
        </w:rPr>
        <w:footnoteReference w:id="46"/>
      </w:r>
      <w:r w:rsidRPr="001F3DFF">
        <w:rPr>
          <w:rFonts w:cs="FrankRuehl" w:hint="cs"/>
          <w:sz w:val="20"/>
          <w:szCs w:val="22"/>
          <w:rtl/>
        </w:rPr>
        <w:t xml:space="preserve">. המידע שנמסר על פי חוק נתוני אשראי מצומצם, כך שלא מתקבלת תמונה אמתית של מצב הלקוח. המידע גם אינו עדכני, בשל מגבלות בחוק לגבי התנאים או המועדים למסירתו. </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בדוח ועדת זקן צוין כי כדי לקדם שינויים הניתנים ליישום בוודאות ובפרק זמן קצר יחסית, הצוות ממליץ להתרכז בהרחבה ושיפור של המידע הנכלל בהסדר השיתוף בנתוני אשראי במתכונת הנוכחית. בין המלצות הצוות בדבר הרחבת המידע הקיים בלשכות האשראי: הפיכת המידע לעדכני יותר; הוספת נתונים שליליים - למשל </w:t>
      </w:r>
      <w:r w:rsidRPr="001F3DFF">
        <w:rPr>
          <w:rFonts w:cs="FrankRuehl"/>
          <w:sz w:val="20"/>
          <w:szCs w:val="22"/>
          <w:rtl/>
        </w:rPr>
        <w:t xml:space="preserve">מידע </w:t>
      </w:r>
      <w:r w:rsidRPr="001F3DFF">
        <w:rPr>
          <w:rFonts w:cs="FrankRuehl" w:hint="cs"/>
          <w:sz w:val="20"/>
          <w:szCs w:val="22"/>
          <w:rtl/>
        </w:rPr>
        <w:t>על</w:t>
      </w:r>
      <w:r w:rsidRPr="001F3DFF">
        <w:rPr>
          <w:rFonts w:cs="FrankRuehl"/>
          <w:sz w:val="20"/>
          <w:szCs w:val="22"/>
          <w:rtl/>
        </w:rPr>
        <w:t xml:space="preserve"> הרשאות לחיוב חשבון שלא כובדו בשל אי</w:t>
      </w:r>
      <w:r w:rsidRPr="001F3DFF">
        <w:rPr>
          <w:rFonts w:cs="FrankRuehl" w:hint="cs"/>
          <w:sz w:val="20"/>
          <w:szCs w:val="22"/>
          <w:rtl/>
        </w:rPr>
        <w:t>-</w:t>
      </w:r>
      <w:r w:rsidRPr="001F3DFF">
        <w:rPr>
          <w:rFonts w:cs="FrankRuehl"/>
          <w:sz w:val="20"/>
          <w:szCs w:val="22"/>
          <w:rtl/>
        </w:rPr>
        <w:t>כיסוי מספיק</w:t>
      </w:r>
      <w:r w:rsidRPr="001F3DFF">
        <w:rPr>
          <w:rFonts w:cs="FrankRuehl" w:hint="cs"/>
          <w:sz w:val="20"/>
          <w:szCs w:val="22"/>
          <w:rtl/>
        </w:rPr>
        <w:t xml:space="preserve">; והרחבת הנתונים החיוביים המותרים לאיסוף ומסירה - למשל מתן </w:t>
      </w:r>
      <w:r w:rsidRPr="001F3DFF">
        <w:rPr>
          <w:rFonts w:cs="FrankRuehl"/>
          <w:sz w:val="20"/>
          <w:szCs w:val="22"/>
          <w:rtl/>
        </w:rPr>
        <w:t xml:space="preserve">מידע </w:t>
      </w:r>
      <w:r w:rsidRPr="001F3DFF">
        <w:rPr>
          <w:rFonts w:cs="FrankRuehl" w:hint="cs"/>
          <w:sz w:val="20"/>
          <w:szCs w:val="22"/>
          <w:rtl/>
        </w:rPr>
        <w:t>על</w:t>
      </w:r>
      <w:r w:rsidRPr="001F3DFF">
        <w:rPr>
          <w:rFonts w:cs="FrankRuehl"/>
          <w:sz w:val="20"/>
          <w:szCs w:val="22"/>
          <w:rtl/>
        </w:rPr>
        <w:t xml:space="preserve"> </w:t>
      </w:r>
      <w:r w:rsidRPr="001F3DFF">
        <w:rPr>
          <w:rFonts w:cs="FrankRuehl" w:hint="cs"/>
          <w:sz w:val="20"/>
          <w:szCs w:val="22"/>
          <w:rtl/>
        </w:rPr>
        <w:t xml:space="preserve">סוגים נוספים של </w:t>
      </w:r>
      <w:r w:rsidRPr="001F3DFF">
        <w:rPr>
          <w:rFonts w:cs="FrankRuehl"/>
          <w:sz w:val="20"/>
          <w:szCs w:val="22"/>
          <w:rtl/>
        </w:rPr>
        <w:t>הלוואות</w:t>
      </w:r>
      <w:r w:rsidRPr="001F3DFF">
        <w:rPr>
          <w:rFonts w:cs="FrankRuehl" w:hint="cs"/>
          <w:sz w:val="20"/>
          <w:szCs w:val="22"/>
          <w:rtl/>
        </w:rPr>
        <w:t xml:space="preserve"> ועדכון ה</w:t>
      </w:r>
      <w:r w:rsidRPr="001F3DFF">
        <w:rPr>
          <w:rFonts w:cs="FrankRuehl"/>
          <w:sz w:val="20"/>
          <w:szCs w:val="22"/>
          <w:rtl/>
        </w:rPr>
        <w:t>מידע כאשר הלקוח תיקן את המעוות (שילם את חובו, נסגר תיק ההוצאה לפ</w:t>
      </w:r>
      <w:r w:rsidRPr="001F3DFF">
        <w:rPr>
          <w:rFonts w:cs="FrankRuehl" w:hint="cs"/>
          <w:sz w:val="20"/>
          <w:szCs w:val="22"/>
          <w:rtl/>
        </w:rPr>
        <w:t>ו</w:t>
      </w:r>
      <w:r w:rsidRPr="001F3DFF">
        <w:rPr>
          <w:rFonts w:cs="FrankRuehl"/>
          <w:sz w:val="20"/>
          <w:szCs w:val="22"/>
          <w:rtl/>
        </w:rPr>
        <w:t>על כנגדו וכ</w:t>
      </w:r>
      <w:r w:rsidRPr="001F3DFF">
        <w:rPr>
          <w:rFonts w:cs="FrankRuehl" w:hint="cs"/>
          <w:sz w:val="20"/>
          <w:szCs w:val="22"/>
          <w:rtl/>
        </w:rPr>
        <w:t>דומה</w:t>
      </w:r>
      <w:r w:rsidRPr="001F3DFF">
        <w:rPr>
          <w:rFonts w:cs="FrankRuehl"/>
          <w:sz w:val="20"/>
          <w:szCs w:val="22"/>
          <w:rtl/>
        </w:rPr>
        <w:t>)</w:t>
      </w:r>
      <w:r w:rsidRPr="001F3DFF">
        <w:rPr>
          <w:rFonts w:cs="FrankRuehl" w:hint="cs"/>
          <w:sz w:val="20"/>
          <w:szCs w:val="22"/>
          <w:rtl/>
        </w:rPr>
        <w:t>.</w:t>
      </w:r>
    </w:p>
    <w:p w:rsidR="005E5B2C" w:rsidRPr="001F3DFF" w:rsidP="00FB46AA">
      <w:pPr>
        <w:spacing w:after="120" w:line="230" w:lineRule="exact"/>
        <w:jc w:val="both"/>
        <w:rPr>
          <w:rFonts w:cs="FrankRuehl"/>
          <w:sz w:val="20"/>
          <w:szCs w:val="22"/>
          <w:rtl/>
        </w:rPr>
      </w:pPr>
      <w:r w:rsidRPr="001F3DFF">
        <w:rPr>
          <w:rFonts w:cs="FrankRuehl"/>
          <w:sz w:val="20"/>
          <w:szCs w:val="22"/>
          <w:rtl/>
        </w:rPr>
        <w:t xml:space="preserve">באוגוסט 2014 </w:t>
      </w:r>
      <w:r w:rsidRPr="001F3DFF">
        <w:rPr>
          <w:rFonts w:cs="FrankRuehl" w:hint="cs"/>
          <w:sz w:val="20"/>
          <w:szCs w:val="22"/>
          <w:rtl/>
        </w:rPr>
        <w:t>הוקמה</w:t>
      </w:r>
      <w:r w:rsidRPr="001F3DFF">
        <w:rPr>
          <w:rFonts w:cs="FrankRuehl"/>
          <w:sz w:val="20"/>
          <w:szCs w:val="22"/>
          <w:rtl/>
        </w:rPr>
        <w:t xml:space="preserve"> ועדה נוספת</w:t>
      </w:r>
      <w:r>
        <w:rPr>
          <w:rStyle w:val="FootnoteReference0"/>
          <w:rFonts w:cs="FrankRuehl"/>
          <w:sz w:val="20"/>
          <w:szCs w:val="22"/>
          <w:rtl/>
        </w:rPr>
        <w:footnoteReference w:id="47"/>
      </w:r>
      <w:r w:rsidRPr="001F3DFF">
        <w:rPr>
          <w:rFonts w:cs="FrankRuehl" w:hint="cs"/>
          <w:sz w:val="20"/>
          <w:szCs w:val="22"/>
          <w:rtl/>
        </w:rPr>
        <w:t xml:space="preserve"> </w:t>
      </w:r>
      <w:r w:rsidRPr="001F3DFF">
        <w:rPr>
          <w:rFonts w:cs="FrankRuehl"/>
          <w:sz w:val="20"/>
          <w:szCs w:val="22"/>
          <w:rtl/>
        </w:rPr>
        <w:t>לבדיקת נושא נתוני האשראי - "הוועדה לשיפור המערכת לשיתוף בנתוני אשראי".</w:t>
      </w:r>
      <w:r w:rsidRPr="001F3DFF">
        <w:rPr>
          <w:rFonts w:cs="FrankRuehl" w:hint="cs"/>
          <w:sz w:val="20"/>
          <w:szCs w:val="22"/>
          <w:rtl/>
        </w:rPr>
        <w:t xml:space="preserve"> </w:t>
      </w:r>
      <w:r w:rsidRPr="001F3DFF">
        <w:rPr>
          <w:rFonts w:cs="FrankRuehl"/>
          <w:sz w:val="20"/>
          <w:szCs w:val="22"/>
          <w:rtl/>
        </w:rPr>
        <w:t xml:space="preserve">מטרת הוועדה, על פי כתב המינוי, "לפעול לשיפור השיתוף בנתוני אשראי במשק במטרה להגביר את התחרות ולהגדיל את היצע האשראי הקמעונאי, לצמצם אפליה במתן אשראי ולהקטין עלויות אשראי, לקדם התנהלות פיננסית נכונה יותר של הציבור וכן להגביר את היציבות הפיננסית של המערכת הבנקאית". </w:t>
      </w:r>
      <w:r w:rsidRPr="001F3DFF">
        <w:rPr>
          <w:rFonts w:cs="FrankRuehl" w:hint="cs"/>
          <w:sz w:val="20"/>
          <w:szCs w:val="22"/>
          <w:rtl/>
        </w:rPr>
        <w:t>במאי 2015 פרסמה הוועדה דוח ביניים להערות הציבור.</w:t>
      </w:r>
    </w:p>
    <w:p w:rsidR="005E5B2C" w:rsidRPr="001F3DFF" w:rsidP="00FB46AA">
      <w:pPr>
        <w:spacing w:after="120" w:line="230" w:lineRule="exact"/>
        <w:jc w:val="both"/>
        <w:rPr>
          <w:rFonts w:cs="FrankRuehl"/>
          <w:sz w:val="20"/>
          <w:szCs w:val="22"/>
          <w:rtl/>
        </w:rPr>
      </w:pPr>
      <w:r w:rsidRPr="001F3DFF">
        <w:rPr>
          <w:rFonts w:cs="FrankRuehl" w:hint="cs"/>
          <w:sz w:val="20"/>
          <w:szCs w:val="22"/>
          <w:rtl/>
        </w:rPr>
        <w:t>הרחבת בסיס המידע בלבד אין די בה לאפשר ללשכות האשראי לפתח מודל דירוג אשראי ללקוח, ונדרש בסיס נתונים רחב (תוך שמירה על פרטיות הלקוח). לכן המליץ הצוות על:</w:t>
      </w:r>
      <w:r w:rsidR="00164129">
        <w:rPr>
          <w:rFonts w:cs="FrankRuehl" w:hint="cs"/>
          <w:sz w:val="20"/>
          <w:szCs w:val="22"/>
          <w:rtl/>
        </w:rPr>
        <w:t xml:space="preserve">  </w:t>
      </w:r>
      <w:r w:rsidRPr="001F3DFF">
        <w:rPr>
          <w:rFonts w:cs="FrankRuehl" w:hint="cs"/>
          <w:sz w:val="20"/>
          <w:szCs w:val="22"/>
          <w:rtl/>
        </w:rPr>
        <w:t xml:space="preserve"> 1. </w:t>
      </w:r>
      <w:r w:rsidR="00164129">
        <w:rPr>
          <w:rFonts w:cs="FrankRuehl" w:hint="cs"/>
          <w:sz w:val="20"/>
          <w:szCs w:val="22"/>
          <w:rtl/>
        </w:rPr>
        <w:t xml:space="preserve"> </w:t>
      </w:r>
      <w:r w:rsidRPr="001F3DFF">
        <w:rPr>
          <w:rFonts w:cs="FrankRuehl"/>
          <w:sz w:val="20"/>
          <w:szCs w:val="22"/>
          <w:rtl/>
        </w:rPr>
        <w:t xml:space="preserve">חיוב התאגידים הבנקאיים להעביר ללשכות האשראי מידע </w:t>
      </w:r>
      <w:r w:rsidRPr="001F3DFF">
        <w:rPr>
          <w:rFonts w:cs="FrankRuehl" w:hint="cs"/>
          <w:sz w:val="20"/>
          <w:szCs w:val="22"/>
          <w:rtl/>
        </w:rPr>
        <w:t>על</w:t>
      </w:r>
      <w:r w:rsidRPr="001F3DFF">
        <w:rPr>
          <w:rFonts w:cs="FrankRuehl"/>
          <w:sz w:val="20"/>
          <w:szCs w:val="22"/>
          <w:rtl/>
        </w:rPr>
        <w:t xml:space="preserve"> פעילות לקוחותיה</w:t>
      </w:r>
      <w:r w:rsidRPr="001F3DFF">
        <w:rPr>
          <w:rFonts w:cs="FrankRuehl" w:hint="cs"/>
          <w:sz w:val="20"/>
          <w:szCs w:val="22"/>
          <w:rtl/>
        </w:rPr>
        <w:t>ן</w:t>
      </w:r>
      <w:r w:rsidRPr="001F3DFF">
        <w:rPr>
          <w:rFonts w:cs="FrankRuehl"/>
          <w:sz w:val="20"/>
          <w:szCs w:val="22"/>
          <w:rtl/>
        </w:rPr>
        <w:t xml:space="preserve"> במבנה נתונים אחיד</w:t>
      </w:r>
      <w:r w:rsidRPr="001F3DFF">
        <w:rPr>
          <w:rFonts w:cs="FrankRuehl" w:hint="cs"/>
          <w:sz w:val="20"/>
          <w:szCs w:val="22"/>
          <w:rtl/>
        </w:rPr>
        <w:t>,</w:t>
      </w:r>
      <w:r w:rsidRPr="001F3DFF">
        <w:rPr>
          <w:rFonts w:cs="FrankRuehl"/>
          <w:sz w:val="20"/>
          <w:szCs w:val="22"/>
          <w:rtl/>
        </w:rPr>
        <w:t xml:space="preserve"> </w:t>
      </w:r>
      <w:r w:rsidRPr="001F3DFF">
        <w:rPr>
          <w:rFonts w:cs="FrankRuehl" w:hint="cs"/>
          <w:sz w:val="20"/>
          <w:szCs w:val="22"/>
          <w:rtl/>
        </w:rPr>
        <w:t>ללא</w:t>
      </w:r>
      <w:r w:rsidRPr="001F3DFF">
        <w:rPr>
          <w:rFonts w:cs="FrankRuehl"/>
          <w:sz w:val="20"/>
          <w:szCs w:val="22"/>
          <w:rtl/>
        </w:rPr>
        <w:t xml:space="preserve"> פרטי הלקוחות ובאופן שלא </w:t>
      </w:r>
      <w:r w:rsidRPr="001F3DFF">
        <w:rPr>
          <w:rFonts w:cs="FrankRuehl" w:hint="cs"/>
          <w:sz w:val="20"/>
          <w:szCs w:val="22"/>
          <w:rtl/>
        </w:rPr>
        <w:t>יאפשר</w:t>
      </w:r>
      <w:r w:rsidRPr="001F3DFF">
        <w:rPr>
          <w:rFonts w:cs="FrankRuehl"/>
          <w:sz w:val="20"/>
          <w:szCs w:val="22"/>
          <w:rtl/>
        </w:rPr>
        <w:t xml:space="preserve"> לזהות אותם</w:t>
      </w:r>
      <w:r w:rsidRPr="001F3DFF">
        <w:rPr>
          <w:rFonts w:cs="FrankRuehl" w:hint="cs"/>
          <w:sz w:val="20"/>
          <w:szCs w:val="22"/>
          <w:rtl/>
        </w:rPr>
        <w:t xml:space="preserve">. </w:t>
      </w:r>
      <w:r w:rsidR="00164129">
        <w:rPr>
          <w:rFonts w:cs="FrankRuehl" w:hint="cs"/>
          <w:sz w:val="20"/>
          <w:szCs w:val="22"/>
          <w:rtl/>
        </w:rPr>
        <w:t xml:space="preserve">  </w:t>
      </w:r>
      <w:r w:rsidRPr="001F3DFF">
        <w:rPr>
          <w:rFonts w:cs="FrankRuehl" w:hint="cs"/>
          <w:sz w:val="20"/>
          <w:szCs w:val="22"/>
          <w:rtl/>
        </w:rPr>
        <w:t xml:space="preserve">2. </w:t>
      </w:r>
      <w:r w:rsidR="00164129">
        <w:rPr>
          <w:rFonts w:cs="FrankRuehl" w:hint="cs"/>
          <w:sz w:val="20"/>
          <w:szCs w:val="22"/>
          <w:rtl/>
        </w:rPr>
        <w:t xml:space="preserve"> </w:t>
      </w:r>
      <w:r w:rsidRPr="001F3DFF">
        <w:rPr>
          <w:rFonts w:cs="FrankRuehl" w:hint="cs"/>
          <w:sz w:val="20"/>
          <w:szCs w:val="22"/>
          <w:rtl/>
        </w:rPr>
        <w:t xml:space="preserve">העברת מידע על לקוחות לפי דרישתם באמצעי טכנולוגי. </w:t>
      </w:r>
      <w:r w:rsidR="00164129">
        <w:rPr>
          <w:rFonts w:cs="FrankRuehl" w:hint="cs"/>
          <w:sz w:val="20"/>
          <w:szCs w:val="22"/>
          <w:rtl/>
        </w:rPr>
        <w:t xml:space="preserve">  </w:t>
      </w:r>
      <w:r w:rsidRPr="001F3DFF">
        <w:rPr>
          <w:rFonts w:cs="FrankRuehl" w:hint="cs"/>
          <w:sz w:val="20"/>
          <w:szCs w:val="22"/>
          <w:rtl/>
        </w:rPr>
        <w:t xml:space="preserve">3. </w:t>
      </w:r>
      <w:r w:rsidR="00164129">
        <w:rPr>
          <w:rFonts w:cs="FrankRuehl" w:hint="cs"/>
          <w:sz w:val="20"/>
          <w:szCs w:val="22"/>
          <w:rtl/>
        </w:rPr>
        <w:t xml:space="preserve"> </w:t>
      </w:r>
      <w:r w:rsidRPr="001F3DFF">
        <w:rPr>
          <w:rFonts w:cs="FrankRuehl" w:hint="cs"/>
          <w:sz w:val="20"/>
          <w:szCs w:val="22"/>
          <w:rtl/>
        </w:rPr>
        <w:t xml:space="preserve">העברת מידע על דירוג (פנימי) של לווים למלווים פוטנציאליים. </w:t>
      </w:r>
    </w:p>
    <w:p w:rsidR="005E5B2C" w:rsidRPr="001F3DFF" w:rsidP="00FB46AA">
      <w:pPr>
        <w:spacing w:after="240" w:line="230" w:lineRule="exact"/>
        <w:jc w:val="both"/>
        <w:rPr>
          <w:rFonts w:cs="FrankRuehl"/>
          <w:sz w:val="20"/>
          <w:szCs w:val="22"/>
          <w:rtl/>
        </w:rPr>
      </w:pPr>
      <w:r w:rsidRPr="001F3DFF">
        <w:rPr>
          <w:rFonts w:cs="FrankRuehl" w:hint="cs"/>
          <w:sz w:val="20"/>
          <w:szCs w:val="22"/>
          <w:rtl/>
        </w:rPr>
        <w:t>ועדת זקן ציינה כי לצורך יישום ההמלצות בנושא שכלול המידע על לווים החל לפעול צוות בין-משרד</w:t>
      </w:r>
      <w:r w:rsidRPr="001F3DFF">
        <w:rPr>
          <w:rFonts w:cs="FrankRuehl" w:hint="eastAsia"/>
          <w:sz w:val="20"/>
          <w:szCs w:val="22"/>
          <w:rtl/>
        </w:rPr>
        <w:t>י</w:t>
      </w:r>
      <w:r w:rsidRPr="001F3DFF">
        <w:rPr>
          <w:rFonts w:cs="FrankRuehl" w:hint="cs"/>
          <w:sz w:val="20"/>
          <w:szCs w:val="22"/>
          <w:rtl/>
        </w:rPr>
        <w:t xml:space="preserve"> בראשות משרד המשפטים, שבמסגרת פעילותו "ייבחנו פרטי ההמלצות ויישומן ובין השאר, ייקבע הצורך ביישום כל אחת מהן וזאת תוך תיקון חוק שירות נתוני אשראי... משרד המשפטים יגבש את המתווה ליישום התיקון הנדרש עד לסוף שנת 2013".</w:t>
      </w:r>
    </w:p>
    <w:p w:rsidR="005E5B2C" w:rsidRPr="001F3DFF" w:rsidP="00FB46AA">
      <w:pPr>
        <w:pStyle w:val="RESHET"/>
        <w:rPr>
          <w:rtl/>
        </w:rPr>
      </w:pPr>
      <w:r w:rsidRPr="001F3DFF">
        <w:rPr>
          <w:rFonts w:hint="cs"/>
          <w:rtl/>
        </w:rPr>
        <w:t>מבדיקת משרד מבקר המדינה עולה כי</w:t>
      </w:r>
      <w:r w:rsidRPr="001F3DFF">
        <w:rPr>
          <w:rtl/>
        </w:rPr>
        <w:t xml:space="preserve"> </w:t>
      </w:r>
      <w:r w:rsidRPr="001F3DFF">
        <w:rPr>
          <w:rFonts w:hint="cs"/>
          <w:rtl/>
        </w:rPr>
        <w:t>טרם יושמו ה</w:t>
      </w:r>
      <w:r w:rsidRPr="001F3DFF">
        <w:rPr>
          <w:rtl/>
        </w:rPr>
        <w:t xml:space="preserve">המלצות </w:t>
      </w:r>
      <w:r w:rsidRPr="001F3DFF">
        <w:rPr>
          <w:rFonts w:hint="cs"/>
          <w:rtl/>
        </w:rPr>
        <w:t>המתוארות לעיל.</w:t>
      </w:r>
      <w:r w:rsidRPr="001F3DFF">
        <w:rPr>
          <w:rtl/>
        </w:rPr>
        <w:t xml:space="preserve"> המידע הנמסר ל</w:t>
      </w:r>
      <w:r w:rsidRPr="001F3DFF">
        <w:rPr>
          <w:rFonts w:hint="cs"/>
          <w:rtl/>
        </w:rPr>
        <w:t>לשכות האשראי נותר</w:t>
      </w:r>
      <w:r w:rsidRPr="001F3DFF">
        <w:rPr>
          <w:rtl/>
        </w:rPr>
        <w:t xml:space="preserve"> מצומצם</w:t>
      </w:r>
      <w:r w:rsidRPr="001F3DFF">
        <w:rPr>
          <w:rFonts w:hint="cs"/>
          <w:rtl/>
        </w:rPr>
        <w:t>, אינו מאפשר להן לפתח</w:t>
      </w:r>
      <w:r w:rsidRPr="001F3DFF">
        <w:rPr>
          <w:rtl/>
        </w:rPr>
        <w:t xml:space="preserve"> </w:t>
      </w:r>
      <w:r w:rsidRPr="001F3DFF">
        <w:rPr>
          <w:rFonts w:hint="cs"/>
          <w:rtl/>
        </w:rPr>
        <w:t xml:space="preserve">מודל סטטיסטי לדירוג אשראי ללקוח ולכן גם </w:t>
      </w:r>
      <w:r w:rsidRPr="001F3DFF">
        <w:rPr>
          <w:rtl/>
        </w:rPr>
        <w:t>אינו מאפשר למלווים פוטנציאליים לקבל תמונ</w:t>
      </w:r>
      <w:r w:rsidRPr="001F3DFF">
        <w:rPr>
          <w:rFonts w:hint="cs"/>
          <w:rtl/>
        </w:rPr>
        <w:t>ה</w:t>
      </w:r>
      <w:r w:rsidRPr="001F3DFF">
        <w:rPr>
          <w:rtl/>
        </w:rPr>
        <w:t xml:space="preserve"> מהימנה על מצבו של הל</w:t>
      </w:r>
      <w:r w:rsidRPr="001F3DFF">
        <w:rPr>
          <w:rFonts w:hint="cs"/>
          <w:rtl/>
        </w:rPr>
        <w:t>ווה</w:t>
      </w:r>
      <w:r w:rsidRPr="001F3DFF">
        <w:rPr>
          <w:rtl/>
        </w:rPr>
        <w:t xml:space="preserve">. </w:t>
      </w:r>
    </w:p>
    <w:p w:rsidR="005E5B2C" w:rsidRPr="001F3DFF" w:rsidP="00FB46AA">
      <w:pPr>
        <w:spacing w:before="180" w:after="120" w:line="230" w:lineRule="exact"/>
        <w:jc w:val="both"/>
        <w:rPr>
          <w:rFonts w:cs="FrankRuehl"/>
          <w:sz w:val="20"/>
          <w:szCs w:val="22"/>
          <w:rtl/>
        </w:rPr>
      </w:pPr>
      <w:r w:rsidRPr="001F3DFF">
        <w:rPr>
          <w:rFonts w:cs="FrankRuehl" w:hint="cs"/>
          <w:sz w:val="20"/>
          <w:szCs w:val="22"/>
          <w:rtl/>
        </w:rPr>
        <w:t xml:space="preserve">המועצה הלאומית לכלכלה מסרה למשרד מבקר המדינה בתשובתה ממרץ 2015 כי לאחר עבודת מטה שביצעו משרד המשפטים והמועצה הלאומית לכלכלה החליטו ראש הממשלה ושרת המשפטים דאז לאמץ את המלצת ועדת זקן והקימו צוות בין-משרדי שיבחן את מכלול הסוגיות. מאחר שסוגיות כלכליות רבות עומדות להכרעת הצוות, הוחלט כי בראשו תעמוד המועצה הלאומית לכלכלה. </w:t>
      </w:r>
    </w:p>
    <w:p w:rsidR="005E5B2C" w:rsidRPr="001F3DFF" w:rsidP="00FB46AA">
      <w:pPr>
        <w:spacing w:after="240" w:line="230" w:lineRule="exact"/>
        <w:jc w:val="both"/>
        <w:rPr>
          <w:rFonts w:cs="FrankRuehl"/>
          <w:sz w:val="20"/>
          <w:szCs w:val="22"/>
          <w:rtl/>
        </w:rPr>
      </w:pPr>
      <w:r w:rsidRPr="001F3DFF">
        <w:rPr>
          <w:rFonts w:cs="FrankRuehl" w:hint="cs"/>
          <w:sz w:val="20"/>
          <w:szCs w:val="22"/>
          <w:rtl/>
        </w:rPr>
        <w:t>משרד המשפטים מסר בתשובתו כי "מטרת הצוות היא לבחון בצורה רוחבית ומעמיקה את האופן המיטבי בו יש לפעול לשיפור השיתוף בנתוני אשראי, באופן החורג מההמלצות הנקודתיות שהועלו בצוות התחרותיות". המשרד הוסיף כי לא היה נכון לפעול ליישום המלצות ועדת זקן כלשונן, שכן הצוות שהוקם בשיתוף המועצה הלאומית לכלכלה ומשרד המשפטים מבקש לבחון במבט רחב יותר את השינויים הנדרשים בתחום זה.</w:t>
      </w:r>
    </w:p>
    <w:p w:rsidR="005E5B2C" w:rsidRPr="001F3DFF" w:rsidP="00FB46AA">
      <w:pPr>
        <w:pStyle w:val="RESHET"/>
        <w:rPr>
          <w:rtl/>
        </w:rPr>
      </w:pPr>
      <w:r w:rsidRPr="001F3DFF">
        <w:rPr>
          <w:rFonts w:hint="cs"/>
          <w:rtl/>
        </w:rPr>
        <w:t xml:space="preserve">לדעת משרד מבקר המדינה, על משרד המשפטים ובנק ישראל לפעול ללא דיחוי לשיפור השיתוף בנתוני אשראי. </w:t>
      </w:r>
    </w:p>
    <w:p w:rsidR="005E5B2C" w:rsidRPr="001F3DFF" w:rsidP="00FB46AA">
      <w:pPr>
        <w:spacing w:before="180" w:after="120" w:line="230" w:lineRule="exact"/>
        <w:jc w:val="both"/>
        <w:rPr>
          <w:rFonts w:cs="FrankRuehl"/>
          <w:sz w:val="20"/>
          <w:szCs w:val="22"/>
          <w:rtl/>
        </w:rPr>
      </w:pPr>
      <w:r w:rsidRPr="001F3DFF">
        <w:rPr>
          <w:rStyle w:val="Heading7Char"/>
          <w:rFonts w:cs="FrankRuehl"/>
          <w:sz w:val="20"/>
          <w:szCs w:val="22"/>
          <w:rtl/>
        </w:rPr>
        <w:t>עדכון מנגנון תקרת הריבית והחלתו על המערכת הבנקאית:</w:t>
      </w:r>
      <w:r w:rsidRPr="001F3DFF">
        <w:rPr>
          <w:rFonts w:cs="FrankRuehl" w:hint="cs"/>
          <w:sz w:val="20"/>
          <w:szCs w:val="22"/>
          <w:rtl/>
        </w:rPr>
        <w:t xml:space="preserve"> כיום, חוק הסדרת הלוואות חוץ-בנקאיות, התשנ"ג-1993 (להלן - חוק הסדרת הלוואות חוץ-בנקאיות), חל רק על מלווים שאינם בנקים או תאגידי עזר בנקאיים כמשמעם בחוק הבנקאות (רישוי), התשמ"א-1981. אחת מהמלצות ועדת זקן היא תיקון מנגנון קביעת תקרת הריבית בחוק הסדרת הלוואות חוץ-בנקאיות, והחלתו גם על התאגידים הבנקאיים</w:t>
      </w:r>
      <w:r>
        <w:rPr>
          <w:rStyle w:val="FootnoteReference0"/>
          <w:rFonts w:cs="FrankRuehl"/>
          <w:sz w:val="20"/>
          <w:szCs w:val="22"/>
          <w:rtl/>
        </w:rPr>
        <w:footnoteReference w:id="48"/>
      </w:r>
      <w:r w:rsidRPr="001F3DFF">
        <w:rPr>
          <w:rFonts w:cs="FrankRuehl" w:hint="cs"/>
          <w:sz w:val="20"/>
          <w:szCs w:val="22"/>
          <w:rtl/>
        </w:rPr>
        <w:t>.</w:t>
      </w:r>
    </w:p>
    <w:p w:rsidR="005E5B2C" w:rsidRPr="001F3DFF" w:rsidP="00FB46AA">
      <w:pPr>
        <w:spacing w:after="120" w:line="230" w:lineRule="exact"/>
        <w:jc w:val="both"/>
        <w:rPr>
          <w:rFonts w:cs="FrankRuehl"/>
          <w:sz w:val="20"/>
          <w:szCs w:val="22"/>
          <w:rtl/>
        </w:rPr>
      </w:pPr>
      <w:r w:rsidRPr="001F3DFF">
        <w:rPr>
          <w:rFonts w:cs="FrankRuehl" w:hint="cs"/>
          <w:sz w:val="20"/>
          <w:szCs w:val="22"/>
          <w:rtl/>
        </w:rPr>
        <w:t>סעיף 5 לחוק הסדרת הלוואות חוץ-בנקאיות קובע את תקרת הריבית שניתן לגבות מלווים, אשר נגזרת מהריבית הממוצעת על האשראי הלא צמוד שנותנים הבנקים. אולם מאז חקיקת החוק בשנת 1993, צומצם מאוד חלקו של האשראי הניתן באמצעות יתרת חובה בחשבון עובר ושב מסך כל האשראי הלא צמוד. בתזכיר התיקון לחוק, שהופץ בפברואר 2014</w:t>
      </w:r>
      <w:r>
        <w:rPr>
          <w:rStyle w:val="FootnoteReference0"/>
          <w:rFonts w:cs="FrankRuehl"/>
          <w:sz w:val="20"/>
          <w:szCs w:val="22"/>
          <w:rtl/>
        </w:rPr>
        <w:footnoteReference w:id="49"/>
      </w:r>
      <w:r w:rsidRPr="001F3DFF">
        <w:rPr>
          <w:rFonts w:cs="FrankRuehl" w:hint="cs"/>
          <w:sz w:val="20"/>
          <w:szCs w:val="22"/>
          <w:rtl/>
        </w:rPr>
        <w:t>, נכתב כי "צמצום זה יחד עם ירידת ריבית בנק ישראל בשנים האחרונות, הביא לכך שריבית הבסיס לפיה מחושבת התקרה ירדה עם השנים... כך, ביולי 1993, שנת חקיקת החוק, עמדה התקרה על 39.6% ואילו בדצמבר 2012, עמדה התקרה על 11.76% בלבד... יתר על כן, כיוון שחוק זה חל רק על מלווים בשוק החוץ-בנקאי, נוצר מצב שבו המלווים במערכת הבנקאית וחברות האשראי אינם מוגבלים בריבית מרבית לפי החוק; כלומר נוצרת אנומליה משהריבית ללווים במערכת הבנקאית ובחברות כרטיסי האשראי הינה לעתים גבוהה יותר מהריבית המרבית המותרת בשוק החוץ-בנקאי ללווים מסוכנים יותר, וזאת כאשר עלויות גיוס ההון של המלווים החוץ-בנקאיים הינן גבוהות יותר והמידע המצוי בידם באשר למאפייני הלווים קטן יותר".</w:t>
      </w:r>
    </w:p>
    <w:p w:rsidR="005E5B2C" w:rsidRPr="001F3DFF" w:rsidP="00FB46AA">
      <w:pPr>
        <w:spacing w:after="240" w:line="230" w:lineRule="exact"/>
        <w:jc w:val="both"/>
        <w:rPr>
          <w:rFonts w:cs="FrankRuehl"/>
          <w:b/>
          <w:bCs/>
          <w:sz w:val="20"/>
          <w:szCs w:val="22"/>
          <w:rtl/>
        </w:rPr>
      </w:pPr>
      <w:r w:rsidRPr="001F3DFF">
        <w:rPr>
          <w:rFonts w:cs="FrankRuehl" w:hint="cs"/>
          <w:sz w:val="20"/>
          <w:szCs w:val="22"/>
          <w:rtl/>
        </w:rPr>
        <w:t>משרד המשפטים מסר בתשובתו כי קיבל הערות רבות בנוגע לתזכיר החוק שפרסם בפברואר 2014 וכי הגיע לשלבים סופיים ביותר של הכנת טיוטת החוק, אלא שבסמוך לסיום העבודה פוטרה שרת המשפטים דאז ופוזרה הכנסת נוכח ההחלטה על הקדמת הבחירות. הוא הוסיף כי בכוונת הדרג המקצועי במשרד להעלות את הנושא בפני שרת המשפטים הנכנסת כדי להעלות את טיוטת החוק לאישור ועדת שרים לענייני חקיקה לאחר שתכונן הממשלה ה-34, ומיד אחר כך, אם תאושר, להניחה על שולחן הכנסת.</w:t>
      </w:r>
    </w:p>
    <w:p w:rsidR="005E5B2C" w:rsidRPr="001F3DFF" w:rsidP="00FB46AA">
      <w:pPr>
        <w:pStyle w:val="RESHET"/>
        <w:rPr>
          <w:rtl/>
        </w:rPr>
      </w:pPr>
      <w:r w:rsidRPr="001F3DFF">
        <w:rPr>
          <w:rFonts w:hint="cs"/>
          <w:rtl/>
        </w:rPr>
        <w:t xml:space="preserve">לדעת משרד מבקר המדינה, על משרד המשפטים ובנק ישראל לפעול לקידום תיקון תקרת הריבית בחוק הסדרת הלוואות חוץ-בנקאיות ולהחלתה גם על התאגידים הבנקאיים. </w:t>
      </w:r>
    </w:p>
    <w:p w:rsidR="005E5B2C" w:rsidRPr="001F3DFF" w:rsidP="00FB46AA">
      <w:pPr>
        <w:spacing w:after="120" w:line="230" w:lineRule="exact"/>
        <w:jc w:val="both"/>
        <w:rPr>
          <w:rFonts w:cs="FrankRuehl"/>
          <w:sz w:val="20"/>
          <w:szCs w:val="22"/>
          <w:rtl/>
        </w:rPr>
      </w:pPr>
    </w:p>
    <w:p w:rsidR="005E5B2C" w:rsidRPr="006D467B" w:rsidP="00FB46AA">
      <w:pPr>
        <w:pStyle w:val="KOT5"/>
        <w:rPr>
          <w:rtl/>
        </w:rPr>
      </w:pPr>
      <w:r w:rsidRPr="006D467B">
        <w:rPr>
          <w:rFonts w:hint="eastAsia"/>
          <w:rtl/>
        </w:rPr>
        <w:t>חינוך</w:t>
      </w:r>
      <w:r w:rsidRPr="006D467B">
        <w:rPr>
          <w:rtl/>
        </w:rPr>
        <w:t xml:space="preserve"> </w:t>
      </w:r>
      <w:r w:rsidRPr="006D467B">
        <w:rPr>
          <w:rFonts w:hint="eastAsia"/>
          <w:rtl/>
        </w:rPr>
        <w:t>פיננסי</w:t>
      </w:r>
    </w:p>
    <w:p w:rsidR="005E5B2C" w:rsidRPr="001F3DFF" w:rsidP="00FB46AA">
      <w:pPr>
        <w:spacing w:after="120" w:line="230" w:lineRule="exact"/>
        <w:jc w:val="both"/>
        <w:rPr>
          <w:rFonts w:cs="FrankRuehl"/>
          <w:sz w:val="20"/>
          <w:szCs w:val="22"/>
          <w:rtl/>
        </w:rPr>
      </w:pPr>
      <w:r w:rsidRPr="001F3DFF">
        <w:rPr>
          <w:rFonts w:cs="FrankRuehl"/>
          <w:sz w:val="20"/>
          <w:szCs w:val="22"/>
          <w:rtl/>
        </w:rPr>
        <w:t>חינוך פיננסי הוא מרכיב מרכזי ביכולתו של משק בית לקבל</w:t>
      </w:r>
      <w:r w:rsidRPr="001F3DFF">
        <w:rPr>
          <w:rFonts w:cs="FrankRuehl" w:hint="cs"/>
          <w:sz w:val="20"/>
          <w:szCs w:val="22"/>
          <w:rtl/>
        </w:rPr>
        <w:t xml:space="preserve"> החלטות פיננסיות שמותאמות לצרכיו וליכולתו</w:t>
      </w:r>
      <w:r w:rsidRPr="001F3DFF">
        <w:rPr>
          <w:rFonts w:cs="FrankRuehl" w:hint="cs"/>
          <w:b/>
          <w:bCs/>
          <w:sz w:val="20"/>
          <w:szCs w:val="22"/>
          <w:rtl/>
        </w:rPr>
        <w:t>,</w:t>
      </w:r>
      <w:r w:rsidRPr="001F3DFF">
        <w:rPr>
          <w:rFonts w:cs="FrankRuehl"/>
          <w:b/>
          <w:bCs/>
          <w:sz w:val="20"/>
          <w:szCs w:val="22"/>
          <w:rtl/>
        </w:rPr>
        <w:t xml:space="preserve"> </w:t>
      </w:r>
      <w:r w:rsidRPr="001F3DFF">
        <w:rPr>
          <w:rFonts w:cs="FrankRuehl" w:hint="cs"/>
          <w:sz w:val="20"/>
          <w:szCs w:val="22"/>
          <w:rtl/>
        </w:rPr>
        <w:t xml:space="preserve">והוא </w:t>
      </w:r>
      <w:r w:rsidRPr="001F3DFF">
        <w:rPr>
          <w:rFonts w:cs="FrankRuehl"/>
          <w:sz w:val="20"/>
          <w:szCs w:val="22"/>
          <w:rtl/>
        </w:rPr>
        <w:t>כלי משלים לרגולציה להגנת הצרכן</w:t>
      </w:r>
      <w:r w:rsidRPr="001F3DFF">
        <w:rPr>
          <w:rFonts w:cs="FrankRuehl" w:hint="cs"/>
          <w:sz w:val="20"/>
          <w:szCs w:val="22"/>
          <w:rtl/>
        </w:rPr>
        <w:t>.</w:t>
      </w:r>
      <w:r w:rsidRPr="001F3DFF">
        <w:rPr>
          <w:rFonts w:cs="FrankRuehl" w:hint="cs"/>
          <w:b/>
          <w:bCs/>
          <w:sz w:val="20"/>
          <w:szCs w:val="22"/>
          <w:rtl/>
        </w:rPr>
        <w:t xml:space="preserve"> </w:t>
      </w:r>
      <w:r w:rsidRPr="001F3DFF">
        <w:rPr>
          <w:rFonts w:cs="FrankRuehl"/>
          <w:sz w:val="20"/>
          <w:szCs w:val="22"/>
          <w:rtl/>
        </w:rPr>
        <w:t>ה-</w:t>
      </w:r>
      <w:r w:rsidRPr="001F3DFF">
        <w:rPr>
          <w:rFonts w:cs="FrankRuehl"/>
          <w:sz w:val="20"/>
          <w:szCs w:val="22"/>
        </w:rPr>
        <w:t>OECD</w:t>
      </w:r>
      <w:r w:rsidRPr="001F3DFF">
        <w:rPr>
          <w:rFonts w:cs="FrankRuehl"/>
          <w:sz w:val="20"/>
          <w:szCs w:val="22"/>
          <w:rtl/>
        </w:rPr>
        <w:t xml:space="preserve"> מגדיר חינוך פיננס</w:t>
      </w:r>
      <w:r w:rsidRPr="001F3DFF">
        <w:rPr>
          <w:rFonts w:cs="FrankRuehl" w:hint="cs"/>
          <w:sz w:val="20"/>
          <w:szCs w:val="22"/>
          <w:rtl/>
        </w:rPr>
        <w:t xml:space="preserve">י </w:t>
      </w:r>
      <w:r w:rsidRPr="001F3DFF">
        <w:rPr>
          <w:rFonts w:cs="FrankRuehl" w:hint="eastAsia"/>
          <w:sz w:val="20"/>
          <w:szCs w:val="22"/>
          <w:rtl/>
        </w:rPr>
        <w:t>כ</w:t>
      </w:r>
      <w:r w:rsidRPr="001F3DFF">
        <w:rPr>
          <w:rFonts w:cs="FrankRuehl"/>
          <w:sz w:val="20"/>
          <w:szCs w:val="22"/>
          <w:rtl/>
        </w:rPr>
        <w:t xml:space="preserve">תהליך </w:t>
      </w:r>
      <w:r w:rsidRPr="001F3DFF">
        <w:rPr>
          <w:rFonts w:cs="FrankRuehl" w:hint="cs"/>
          <w:sz w:val="20"/>
          <w:szCs w:val="22"/>
          <w:rtl/>
        </w:rPr>
        <w:t>ש</w:t>
      </w:r>
      <w:r w:rsidRPr="001F3DFF">
        <w:rPr>
          <w:rFonts w:cs="FrankRuehl"/>
          <w:sz w:val="20"/>
          <w:szCs w:val="22"/>
          <w:rtl/>
        </w:rPr>
        <w:t xml:space="preserve">בו צרכנים משפרים את הבנתם לגבי מוצרים פיננסיים ולגבי עקרונות </w:t>
      </w:r>
      <w:r w:rsidRPr="001F3DFF">
        <w:rPr>
          <w:rFonts w:cs="FrankRuehl" w:hint="cs"/>
          <w:sz w:val="20"/>
          <w:szCs w:val="22"/>
          <w:rtl/>
        </w:rPr>
        <w:t>ש</w:t>
      </w:r>
      <w:r w:rsidRPr="001F3DFF">
        <w:rPr>
          <w:rFonts w:cs="FrankRuehl"/>
          <w:sz w:val="20"/>
          <w:szCs w:val="22"/>
          <w:rtl/>
        </w:rPr>
        <w:t>לפיהם מתנהלים שווקים פיננסיים, באמצעות מידע, הדרכה או</w:t>
      </w:r>
      <w:r w:rsidRPr="001F3DFF">
        <w:rPr>
          <w:rFonts w:cs="FrankRuehl" w:hint="cs"/>
          <w:sz w:val="20"/>
          <w:szCs w:val="22"/>
          <w:rtl/>
        </w:rPr>
        <w:t xml:space="preserve"> </w:t>
      </w:r>
      <w:r w:rsidRPr="001F3DFF">
        <w:rPr>
          <w:rFonts w:cs="FrankRuehl"/>
          <w:sz w:val="20"/>
          <w:szCs w:val="22"/>
          <w:rtl/>
        </w:rPr>
        <w:t xml:space="preserve">ייעוץ אובייקטיבי, ומפתחים מודעות להזדמנויות </w:t>
      </w:r>
      <w:r w:rsidRPr="001F3DFF">
        <w:rPr>
          <w:rFonts w:cs="FrankRuehl" w:hint="cs"/>
          <w:sz w:val="20"/>
          <w:szCs w:val="22"/>
          <w:rtl/>
        </w:rPr>
        <w:t>ו</w:t>
      </w:r>
      <w:r w:rsidRPr="001F3DFF">
        <w:rPr>
          <w:rFonts w:cs="FrankRuehl"/>
          <w:sz w:val="20"/>
          <w:szCs w:val="22"/>
          <w:rtl/>
        </w:rPr>
        <w:t>לסיכונים פיננסיים</w:t>
      </w:r>
      <w:r w:rsidRPr="001F3DFF">
        <w:rPr>
          <w:rFonts w:cs="FrankRuehl" w:hint="cs"/>
          <w:sz w:val="20"/>
          <w:szCs w:val="22"/>
          <w:rtl/>
        </w:rPr>
        <w:t>;</w:t>
      </w:r>
      <w:r w:rsidRPr="001F3DFF">
        <w:rPr>
          <w:rFonts w:cs="FrankRuehl"/>
          <w:sz w:val="20"/>
          <w:szCs w:val="22"/>
          <w:rtl/>
        </w:rPr>
        <w:t xml:space="preserve"> כל</w:t>
      </w:r>
      <w:r w:rsidRPr="001F3DFF">
        <w:rPr>
          <w:rFonts w:cs="FrankRuehl" w:hint="cs"/>
          <w:sz w:val="20"/>
          <w:szCs w:val="22"/>
          <w:rtl/>
        </w:rPr>
        <w:t xml:space="preserve"> </w:t>
      </w:r>
      <w:r w:rsidRPr="001F3DFF">
        <w:rPr>
          <w:rFonts w:cs="FrankRuehl"/>
          <w:sz w:val="20"/>
          <w:szCs w:val="22"/>
          <w:rtl/>
        </w:rPr>
        <w:t>זאת כדי לפתח מיומנות וביטחון עצמי לקבל החלטות מושכלות, להכיר</w:t>
      </w:r>
      <w:r w:rsidRPr="001F3DFF">
        <w:rPr>
          <w:rFonts w:cs="FrankRuehl" w:hint="cs"/>
          <w:sz w:val="20"/>
          <w:szCs w:val="22"/>
          <w:rtl/>
        </w:rPr>
        <w:t xml:space="preserve"> </w:t>
      </w:r>
      <w:r w:rsidRPr="001F3DFF">
        <w:rPr>
          <w:rFonts w:cs="FrankRuehl"/>
          <w:sz w:val="20"/>
          <w:szCs w:val="22"/>
          <w:rtl/>
        </w:rPr>
        <w:t xml:space="preserve">בצורך בסיוע </w:t>
      </w:r>
      <w:r w:rsidRPr="001F3DFF">
        <w:rPr>
          <w:rFonts w:cs="FrankRuehl"/>
          <w:sz w:val="20"/>
          <w:szCs w:val="22"/>
          <w:rtl/>
        </w:rPr>
        <w:t>מקצועי ולדעת לאן לפנות לשם כך, ולנקוט פעולות</w:t>
      </w:r>
      <w:r w:rsidRPr="001F3DFF">
        <w:rPr>
          <w:rFonts w:cs="FrankRuehl" w:hint="cs"/>
          <w:sz w:val="20"/>
          <w:szCs w:val="22"/>
          <w:rtl/>
        </w:rPr>
        <w:t xml:space="preserve"> </w:t>
      </w:r>
      <w:r w:rsidRPr="001F3DFF">
        <w:rPr>
          <w:rFonts w:cs="FrankRuehl"/>
          <w:sz w:val="20"/>
          <w:szCs w:val="22"/>
          <w:rtl/>
        </w:rPr>
        <w:t>אפקטיביות לשיפור הרווחה הפיננסית האישית של כל צרכן.</w:t>
      </w:r>
      <w:r w:rsidRPr="001F3DFF">
        <w:rPr>
          <w:rFonts w:cs="FrankRuehl" w:hint="cs"/>
          <w:sz w:val="20"/>
          <w:szCs w:val="22"/>
          <w:rtl/>
        </w:rPr>
        <w:t xml:space="preserve"> </w:t>
      </w:r>
      <w:r w:rsidRPr="001F3DFF">
        <w:rPr>
          <w:rFonts w:cs="FrankRuehl"/>
          <w:sz w:val="20"/>
          <w:szCs w:val="22"/>
          <w:rtl/>
        </w:rPr>
        <w:t>התפיסה כי אוריינות</w:t>
      </w:r>
      <w:r w:rsidRPr="001F3DFF">
        <w:rPr>
          <w:rFonts w:cs="FrankRuehl" w:hint="cs"/>
          <w:sz w:val="20"/>
          <w:szCs w:val="22"/>
          <w:rtl/>
        </w:rPr>
        <w:t xml:space="preserve"> </w:t>
      </w:r>
      <w:r w:rsidRPr="001F3DFF">
        <w:rPr>
          <w:rFonts w:cs="FrankRuehl"/>
          <w:sz w:val="20"/>
          <w:szCs w:val="22"/>
          <w:rtl/>
        </w:rPr>
        <w:t>פיננסית</w:t>
      </w:r>
      <w:r w:rsidRPr="001F3DFF">
        <w:rPr>
          <w:rFonts w:cs="FrankRuehl" w:hint="cs"/>
          <w:sz w:val="20"/>
          <w:szCs w:val="22"/>
          <w:rtl/>
        </w:rPr>
        <w:t xml:space="preserve"> </w:t>
      </w:r>
      <w:r w:rsidRPr="001F3DFF">
        <w:rPr>
          <w:rFonts w:cs="FrankRuehl"/>
          <w:sz w:val="20"/>
          <w:szCs w:val="22"/>
          <w:rtl/>
        </w:rPr>
        <w:t xml:space="preserve">עשויה להביא להגברת הרווחה החברתית הובילה </w:t>
      </w:r>
      <w:r w:rsidRPr="001F3DFF">
        <w:rPr>
          <w:rFonts w:cs="FrankRuehl" w:hint="cs"/>
          <w:sz w:val="20"/>
          <w:szCs w:val="22"/>
          <w:rtl/>
        </w:rPr>
        <w:t>מדינות</w:t>
      </w:r>
      <w:r w:rsidRPr="001F3DFF">
        <w:rPr>
          <w:rFonts w:cs="FrankRuehl"/>
          <w:sz w:val="20"/>
          <w:szCs w:val="22"/>
          <w:rtl/>
        </w:rPr>
        <w:t xml:space="preserve"> </w:t>
      </w:r>
      <w:r w:rsidRPr="001F3DFF">
        <w:rPr>
          <w:rFonts w:cs="FrankRuehl" w:hint="cs"/>
          <w:sz w:val="20"/>
          <w:szCs w:val="22"/>
          <w:rtl/>
        </w:rPr>
        <w:t>רבות</w:t>
      </w:r>
      <w:r w:rsidRPr="001F3DFF">
        <w:rPr>
          <w:rFonts w:cs="FrankRuehl"/>
          <w:sz w:val="20"/>
          <w:szCs w:val="22"/>
          <w:rtl/>
        </w:rPr>
        <w:t xml:space="preserve"> לקדם פעילות של חינוך פיננסי</w:t>
      </w:r>
      <w:r w:rsidRPr="001F3DFF">
        <w:rPr>
          <w:rFonts w:cs="FrankRuehl" w:hint="cs"/>
          <w:sz w:val="20"/>
          <w:szCs w:val="22"/>
          <w:rtl/>
        </w:rPr>
        <w:t>, ואת ה-</w:t>
      </w:r>
      <w:r w:rsidRPr="001F3DFF">
        <w:rPr>
          <w:rFonts w:cs="FrankRuehl"/>
          <w:sz w:val="20"/>
          <w:szCs w:val="22"/>
        </w:rPr>
        <w:t>OECD</w:t>
      </w:r>
      <w:r w:rsidRPr="001F3DFF">
        <w:rPr>
          <w:rFonts w:cs="FrankRuehl" w:hint="cs"/>
          <w:sz w:val="20"/>
          <w:szCs w:val="22"/>
          <w:rtl/>
        </w:rPr>
        <w:t xml:space="preserve"> לפרסם הוראות והנחיות שמטרתן קידום הנושא. </w:t>
      </w:r>
    </w:p>
    <w:p w:rsidR="005E5B2C" w:rsidRPr="001F3DFF" w:rsidP="00FB46AA">
      <w:pPr>
        <w:spacing w:after="120" w:line="230" w:lineRule="exact"/>
        <w:jc w:val="both"/>
        <w:rPr>
          <w:rFonts w:cs="FrankRuehl"/>
          <w:sz w:val="20"/>
          <w:szCs w:val="22"/>
          <w:rtl/>
        </w:rPr>
      </w:pPr>
      <w:r w:rsidRPr="001F3DFF">
        <w:rPr>
          <w:rFonts w:cs="FrankRuehl" w:hint="cs"/>
          <w:sz w:val="20"/>
          <w:szCs w:val="22"/>
          <w:rtl/>
        </w:rPr>
        <w:t>בדצמבר 2011 החליטה הממשלה</w:t>
      </w:r>
      <w:r>
        <w:rPr>
          <w:rStyle w:val="FootnoteReference0"/>
          <w:rFonts w:cs="FrankRuehl"/>
          <w:sz w:val="20"/>
          <w:szCs w:val="22"/>
          <w:rtl/>
        </w:rPr>
        <w:footnoteReference w:id="50"/>
      </w:r>
      <w:r w:rsidRPr="001F3DFF">
        <w:rPr>
          <w:rFonts w:cs="FrankRuehl" w:hint="cs"/>
          <w:sz w:val="20"/>
          <w:szCs w:val="22"/>
          <w:rtl/>
        </w:rPr>
        <w:t xml:space="preserve"> להקים מחלקה לחינוך פיננסי באגף שוק ההון במשרד האוצר, שתפקידה לרכז את נושא החינוך הפיננסי בישראל ולהכין תכנית מדיניות לאומית מקיפה לקידום החינוך הפיננסי ולהגברת האוריינות הפיננסית. האגף פרסם באוקטובר 2012 מסמך לדיון בנושא "אסטרטגיה לאומית לקידום חינוך פיננסי בישראל" (להלן - המסמך), ובו תיאור מיומנויות ליבה</w:t>
      </w:r>
      <w:r>
        <w:rPr>
          <w:rStyle w:val="FootnoteReference0"/>
          <w:rFonts w:cs="FrankRuehl"/>
          <w:sz w:val="20"/>
          <w:szCs w:val="22"/>
          <w:rtl/>
        </w:rPr>
        <w:footnoteReference w:id="51"/>
      </w:r>
      <w:r w:rsidRPr="001F3DFF">
        <w:rPr>
          <w:rFonts w:cs="FrankRuehl" w:hint="cs"/>
          <w:sz w:val="20"/>
          <w:szCs w:val="22"/>
          <w:rtl/>
        </w:rPr>
        <w:t xml:space="preserve"> לחינוך פיננסי, ובהן "</w:t>
      </w:r>
      <w:r w:rsidRPr="001F3DFF">
        <w:rPr>
          <w:rFonts w:cs="FrankRuehl"/>
          <w:sz w:val="20"/>
          <w:szCs w:val="22"/>
          <w:rtl/>
        </w:rPr>
        <w:t>הפחתת חובות ושימוש מבוקר באשראי</w:t>
      </w:r>
      <w:r w:rsidRPr="001F3DFF">
        <w:rPr>
          <w:rFonts w:cs="FrankRuehl" w:hint="cs"/>
          <w:sz w:val="20"/>
          <w:szCs w:val="22"/>
          <w:rtl/>
        </w:rPr>
        <w:t>". בהקשר זה נאמר במסמך כי</w:t>
      </w:r>
      <w:r w:rsidRPr="001F3DFF">
        <w:rPr>
          <w:rFonts w:cs="FrankRuehl"/>
          <w:sz w:val="20"/>
          <w:szCs w:val="22"/>
          <w:rtl/>
        </w:rPr>
        <w:t xml:space="preserve"> </w:t>
      </w:r>
      <w:r w:rsidRPr="001F3DFF">
        <w:rPr>
          <w:rFonts w:cs="FrankRuehl" w:hint="cs"/>
          <w:sz w:val="20"/>
          <w:szCs w:val="22"/>
          <w:rtl/>
        </w:rPr>
        <w:t>"</w:t>
      </w:r>
      <w:r w:rsidRPr="001F3DFF">
        <w:rPr>
          <w:rFonts w:cs="FrankRuehl"/>
          <w:sz w:val="20"/>
          <w:szCs w:val="22"/>
          <w:rtl/>
        </w:rPr>
        <w:t>בהמשך ישיר להכרת כלי חיסכון</w:t>
      </w:r>
      <w:r w:rsidRPr="001F3DFF">
        <w:rPr>
          <w:rFonts w:cs="FrankRuehl" w:hint="cs"/>
          <w:sz w:val="20"/>
          <w:szCs w:val="22"/>
          <w:rtl/>
        </w:rPr>
        <w:t xml:space="preserve"> </w:t>
      </w:r>
      <w:r w:rsidRPr="001F3DFF">
        <w:rPr>
          <w:rFonts w:cs="FrankRuehl"/>
          <w:sz w:val="20"/>
          <w:szCs w:val="22"/>
          <w:rtl/>
        </w:rPr>
        <w:t>והשקעה ומאפייניהם, צמצום חובות ואשראי הם צעדים משלימים</w:t>
      </w:r>
      <w:r w:rsidRPr="001F3DFF">
        <w:rPr>
          <w:rFonts w:cs="FrankRuehl" w:hint="cs"/>
          <w:sz w:val="20"/>
          <w:szCs w:val="22"/>
          <w:rtl/>
        </w:rPr>
        <w:t xml:space="preserve"> </w:t>
      </w:r>
      <w:r w:rsidRPr="001F3DFF">
        <w:rPr>
          <w:rFonts w:cs="FrankRuehl"/>
          <w:sz w:val="20"/>
          <w:szCs w:val="22"/>
          <w:rtl/>
        </w:rPr>
        <w:t>להתנהלות פיננסית מושכלת</w:t>
      </w:r>
      <w:r w:rsidRPr="001F3DFF">
        <w:rPr>
          <w:rFonts w:cs="FrankRuehl" w:hint="cs"/>
          <w:sz w:val="20"/>
          <w:szCs w:val="22"/>
          <w:rtl/>
        </w:rPr>
        <w:t>..</w:t>
      </w:r>
      <w:r w:rsidRPr="001F3DFF">
        <w:rPr>
          <w:rFonts w:cs="FrankRuehl"/>
          <w:sz w:val="20"/>
          <w:szCs w:val="22"/>
          <w:rtl/>
        </w:rPr>
        <w:t>. 30.6% מהלווים שלקחו הלוואה בשלוש השנים</w:t>
      </w:r>
      <w:r w:rsidRPr="001F3DFF">
        <w:rPr>
          <w:rFonts w:cs="FrankRuehl" w:hint="cs"/>
          <w:sz w:val="20"/>
          <w:szCs w:val="22"/>
          <w:rtl/>
        </w:rPr>
        <w:t xml:space="preserve"> </w:t>
      </w:r>
      <w:r w:rsidRPr="001F3DFF">
        <w:rPr>
          <w:rFonts w:cs="FrankRuehl"/>
          <w:sz w:val="20"/>
          <w:szCs w:val="22"/>
          <w:rtl/>
        </w:rPr>
        <w:t>האחרונות העידו כי מטרת ההלוואה הייתה כיסוי חריגה ממסגרת אשראי</w:t>
      </w:r>
      <w:r w:rsidRPr="001F3DFF">
        <w:rPr>
          <w:rFonts w:cs="FrankRuehl" w:hint="cs"/>
          <w:sz w:val="20"/>
          <w:szCs w:val="22"/>
          <w:rtl/>
        </w:rPr>
        <w:t xml:space="preserve"> </w:t>
      </w:r>
      <w:r w:rsidRPr="001F3DFF">
        <w:rPr>
          <w:rFonts w:cs="FrankRuehl"/>
          <w:sz w:val="20"/>
          <w:szCs w:val="22"/>
          <w:rtl/>
        </w:rPr>
        <w:t>בחשבונם. ממצא זה מדאיג במיוחד מאחר שרבים אינם מבינים שחריגה</w:t>
      </w:r>
      <w:r w:rsidRPr="001F3DFF">
        <w:rPr>
          <w:rFonts w:cs="FrankRuehl" w:hint="cs"/>
          <w:sz w:val="20"/>
          <w:szCs w:val="22"/>
          <w:rtl/>
        </w:rPr>
        <w:t xml:space="preserve"> </w:t>
      </w:r>
      <w:r w:rsidRPr="001F3DFF">
        <w:rPr>
          <w:rFonts w:cs="FrankRuehl"/>
          <w:sz w:val="20"/>
          <w:szCs w:val="22"/>
          <w:rtl/>
        </w:rPr>
        <w:t>ממסגרת האשראי הינה הלוואה לכל דבר, ולכן אינם עומדים על תנאיה</w:t>
      </w:r>
      <w:r w:rsidRPr="001F3DFF">
        <w:rPr>
          <w:rFonts w:cs="FrankRuehl" w:hint="cs"/>
          <w:sz w:val="20"/>
          <w:szCs w:val="22"/>
          <w:rtl/>
        </w:rPr>
        <w:t>"</w:t>
      </w:r>
      <w:r w:rsidRPr="001F3DFF">
        <w:rPr>
          <w:rFonts w:cs="FrankRuehl"/>
          <w:sz w:val="20"/>
          <w:szCs w:val="22"/>
          <w:rtl/>
        </w:rPr>
        <w:t>.</w:t>
      </w:r>
      <w:r w:rsidRPr="001F3DFF">
        <w:rPr>
          <w:rFonts w:cs="FrankRuehl" w:hint="cs"/>
          <w:sz w:val="20"/>
          <w:szCs w:val="22"/>
          <w:rtl/>
        </w:rPr>
        <w:t xml:space="preserve"> </w:t>
      </w:r>
    </w:p>
    <w:p w:rsidR="005E5B2C" w:rsidRPr="001F3DFF" w:rsidP="00FB46AA">
      <w:pPr>
        <w:spacing w:after="240" w:line="230" w:lineRule="exact"/>
        <w:jc w:val="both"/>
        <w:rPr>
          <w:rFonts w:cs="FrankRuehl"/>
          <w:sz w:val="20"/>
          <w:szCs w:val="22"/>
          <w:rtl/>
        </w:rPr>
      </w:pPr>
      <w:r w:rsidRPr="001F3DFF">
        <w:rPr>
          <w:rFonts w:cs="FrankRuehl" w:hint="cs"/>
          <w:sz w:val="20"/>
          <w:szCs w:val="22"/>
          <w:rtl/>
        </w:rPr>
        <w:t xml:space="preserve">על פי המסמך, </w:t>
      </w:r>
      <w:r w:rsidRPr="001F3DFF">
        <w:rPr>
          <w:rFonts w:cs="FrankRuehl"/>
          <w:sz w:val="20"/>
          <w:szCs w:val="22"/>
          <w:rtl/>
        </w:rPr>
        <w:t xml:space="preserve">האסטרטגיה </w:t>
      </w:r>
      <w:r w:rsidRPr="001F3DFF">
        <w:rPr>
          <w:rFonts w:cs="FrankRuehl" w:hint="cs"/>
          <w:sz w:val="20"/>
          <w:szCs w:val="22"/>
          <w:rtl/>
        </w:rPr>
        <w:t xml:space="preserve">הלאומית שהכין האגף </w:t>
      </w:r>
      <w:r w:rsidRPr="001F3DFF">
        <w:rPr>
          <w:rFonts w:cs="FrankRuehl"/>
          <w:sz w:val="20"/>
          <w:szCs w:val="22"/>
          <w:rtl/>
        </w:rPr>
        <w:t>גובשה לאחר עבודת מטה מקיפה, על בסיס ניסיון בי</w:t>
      </w:r>
      <w:r w:rsidRPr="001F3DFF">
        <w:rPr>
          <w:rFonts w:cs="FrankRuehl" w:hint="cs"/>
          <w:sz w:val="20"/>
          <w:szCs w:val="22"/>
          <w:rtl/>
        </w:rPr>
        <w:t>ן-</w:t>
      </w:r>
      <w:r w:rsidRPr="001F3DFF">
        <w:rPr>
          <w:rFonts w:cs="FrankRuehl"/>
          <w:sz w:val="20"/>
          <w:szCs w:val="22"/>
          <w:rtl/>
        </w:rPr>
        <w:t>לאומי ומיפוי המצב</w:t>
      </w:r>
      <w:r w:rsidRPr="001F3DFF">
        <w:rPr>
          <w:rFonts w:cs="FrankRuehl" w:hint="cs"/>
          <w:sz w:val="20"/>
          <w:szCs w:val="22"/>
          <w:rtl/>
        </w:rPr>
        <w:t xml:space="preserve"> </w:t>
      </w:r>
      <w:r w:rsidRPr="001F3DFF">
        <w:rPr>
          <w:rFonts w:cs="FrankRuehl"/>
          <w:sz w:val="20"/>
          <w:szCs w:val="22"/>
          <w:rtl/>
        </w:rPr>
        <w:t>הקיים בישראל</w:t>
      </w:r>
      <w:r w:rsidRPr="001F3DFF">
        <w:rPr>
          <w:rFonts w:cs="FrankRuehl" w:hint="cs"/>
          <w:sz w:val="20"/>
          <w:szCs w:val="22"/>
          <w:rtl/>
        </w:rPr>
        <w:t xml:space="preserve">. נכתב כי </w:t>
      </w:r>
      <w:r w:rsidRPr="001F3DFF">
        <w:rPr>
          <w:rFonts w:cs="FrankRuehl"/>
          <w:sz w:val="20"/>
          <w:szCs w:val="22"/>
          <w:rtl/>
        </w:rPr>
        <w:t xml:space="preserve">אסטרטגיה </w:t>
      </w:r>
      <w:r w:rsidRPr="001F3DFF">
        <w:rPr>
          <w:rFonts w:cs="FrankRuehl" w:hint="cs"/>
          <w:sz w:val="20"/>
          <w:szCs w:val="22"/>
          <w:rtl/>
        </w:rPr>
        <w:t>זו תהיה</w:t>
      </w:r>
      <w:r w:rsidRPr="001F3DFF">
        <w:rPr>
          <w:rFonts w:cs="FrankRuehl"/>
          <w:sz w:val="20"/>
          <w:szCs w:val="22"/>
          <w:rtl/>
        </w:rPr>
        <w:t xml:space="preserve"> </w:t>
      </w:r>
      <w:r w:rsidRPr="001F3DFF">
        <w:rPr>
          <w:rFonts w:cs="FrankRuehl" w:hint="cs"/>
          <w:sz w:val="20"/>
          <w:szCs w:val="22"/>
          <w:rtl/>
        </w:rPr>
        <w:t>"</w:t>
      </w:r>
      <w:r w:rsidRPr="001F3DFF">
        <w:rPr>
          <w:rFonts w:cs="FrankRuehl"/>
          <w:sz w:val="20"/>
          <w:szCs w:val="22"/>
          <w:rtl/>
        </w:rPr>
        <w:t>בסיס לתכניות עבודה מפורטות ומפת</w:t>
      </w:r>
      <w:r w:rsidRPr="001F3DFF">
        <w:rPr>
          <w:rFonts w:cs="FrankRuehl" w:hint="cs"/>
          <w:sz w:val="20"/>
          <w:szCs w:val="22"/>
          <w:rtl/>
        </w:rPr>
        <w:t xml:space="preserve"> </w:t>
      </w:r>
      <w:r w:rsidRPr="001F3DFF">
        <w:rPr>
          <w:rFonts w:cs="FrankRuehl"/>
          <w:sz w:val="20"/>
          <w:szCs w:val="22"/>
          <w:rtl/>
        </w:rPr>
        <w:t>דרכים לקידום חינוך פיננסי בחמש שנים הבאות, הן של גורמי ממשלה שונים והן של</w:t>
      </w:r>
      <w:r w:rsidRPr="001F3DFF">
        <w:rPr>
          <w:rFonts w:cs="FrankRuehl" w:hint="cs"/>
          <w:sz w:val="20"/>
          <w:szCs w:val="22"/>
          <w:rtl/>
        </w:rPr>
        <w:t xml:space="preserve"> </w:t>
      </w:r>
      <w:r w:rsidRPr="001F3DFF">
        <w:rPr>
          <w:rFonts w:cs="FrankRuehl"/>
          <w:sz w:val="20"/>
          <w:szCs w:val="22"/>
          <w:rtl/>
        </w:rPr>
        <w:t>גורמים פעילים בחינוך פיננסי במגזרים הפרטי והשלישי</w:t>
      </w:r>
      <w:r w:rsidRPr="001F3DFF">
        <w:rPr>
          <w:rFonts w:cs="FrankRuehl" w:hint="cs"/>
          <w:sz w:val="20"/>
          <w:szCs w:val="22"/>
          <w:rtl/>
        </w:rPr>
        <w:t xml:space="preserve">". עוד נכתב כי מסמך האסטרטגיה יועבר </w:t>
      </w:r>
      <w:r w:rsidRPr="001F3DFF">
        <w:rPr>
          <w:rFonts w:cs="FrankRuehl"/>
          <w:sz w:val="20"/>
          <w:szCs w:val="22"/>
          <w:rtl/>
        </w:rPr>
        <w:t>לאימוץ על</w:t>
      </w:r>
      <w:r w:rsidRPr="001F3DFF">
        <w:rPr>
          <w:rFonts w:cs="FrankRuehl" w:hint="cs"/>
          <w:sz w:val="20"/>
          <w:szCs w:val="22"/>
          <w:rtl/>
        </w:rPr>
        <w:t xml:space="preserve"> </w:t>
      </w:r>
      <w:r w:rsidRPr="001F3DFF">
        <w:rPr>
          <w:rFonts w:cs="FrankRuehl"/>
          <w:sz w:val="20"/>
          <w:szCs w:val="22"/>
          <w:rtl/>
        </w:rPr>
        <w:t>ידי הממשלה</w:t>
      </w:r>
      <w:r w:rsidRPr="001F3DFF">
        <w:rPr>
          <w:rFonts w:cs="FrankRuehl" w:hint="cs"/>
          <w:sz w:val="20"/>
          <w:szCs w:val="22"/>
          <w:rtl/>
        </w:rPr>
        <w:t xml:space="preserve">. </w:t>
      </w:r>
    </w:p>
    <w:p w:rsidR="005E5B2C" w:rsidRPr="001F3DFF" w:rsidP="00FB46AA">
      <w:pPr>
        <w:pStyle w:val="RESHET"/>
        <w:rPr>
          <w:rtl/>
        </w:rPr>
      </w:pPr>
      <w:r w:rsidRPr="001F3DFF">
        <w:rPr>
          <w:rFonts w:hint="cs"/>
          <w:rtl/>
        </w:rPr>
        <w:t xml:space="preserve">נמצא כי מסמך האסטרטגיה הלאומית לקידום החינוך הפיננסי בישראל טרם נידון וטרם אומץ על ידי הממשלה, וכי חלק ניכר מהיעדים שתוארו בו לא מומשו. </w:t>
      </w:r>
    </w:p>
    <w:p w:rsidR="005E5B2C" w:rsidRPr="001F3DFF" w:rsidP="00FB46AA">
      <w:pPr>
        <w:pStyle w:val="RESHET"/>
        <w:rPr>
          <w:rtl/>
        </w:rPr>
      </w:pPr>
      <w:r w:rsidRPr="001F3DFF">
        <w:rPr>
          <w:rFonts w:hint="cs"/>
          <w:rtl/>
        </w:rPr>
        <w:t xml:space="preserve">משרד מבקר המדינה רואה חשיבות רבה בקידום החינוך הפיננסי בישראל. </w:t>
      </w:r>
      <w:r w:rsidRPr="001F3DFF">
        <w:rPr>
          <w:rtl/>
        </w:rPr>
        <w:t xml:space="preserve">על משרד האוצר </w:t>
      </w:r>
      <w:r w:rsidRPr="001F3DFF">
        <w:rPr>
          <w:rFonts w:hint="cs"/>
          <w:rtl/>
        </w:rPr>
        <w:t>לפעול לכך</w:t>
      </w:r>
      <w:r w:rsidRPr="001F3DFF">
        <w:rPr>
          <w:rtl/>
        </w:rPr>
        <w:t xml:space="preserve"> </w:t>
      </w:r>
      <w:r w:rsidRPr="001F3DFF">
        <w:rPr>
          <w:rFonts w:hint="cs"/>
          <w:rtl/>
        </w:rPr>
        <w:t>ש</w:t>
      </w:r>
      <w:r w:rsidRPr="001F3DFF">
        <w:rPr>
          <w:rtl/>
        </w:rPr>
        <w:t xml:space="preserve">המלצות המחלקה לחינוך פיננסי באגף שוק ההון </w:t>
      </w:r>
      <w:r w:rsidRPr="001F3DFF">
        <w:rPr>
          <w:rFonts w:hint="cs"/>
          <w:rtl/>
        </w:rPr>
        <w:t xml:space="preserve">יהפכו </w:t>
      </w:r>
      <w:r w:rsidRPr="001F3DFF">
        <w:rPr>
          <w:rtl/>
        </w:rPr>
        <w:t>להחלטת ממשלה</w:t>
      </w:r>
      <w:r w:rsidRPr="001F3DFF">
        <w:rPr>
          <w:rFonts w:hint="cs"/>
          <w:rtl/>
        </w:rPr>
        <w:t>,</w:t>
      </w:r>
      <w:r w:rsidRPr="001F3DFF">
        <w:rPr>
          <w:rtl/>
        </w:rPr>
        <w:t xml:space="preserve"> שתקבע בין השאר</w:t>
      </w:r>
      <w:r w:rsidRPr="001F3DFF">
        <w:rPr>
          <w:rFonts w:hint="cs"/>
          <w:rtl/>
        </w:rPr>
        <w:t xml:space="preserve"> תכנית עבודה מפורטת, לרבות יעדים ומשימות ברורים ומדידים ולוחות זמנים ליישומה. </w:t>
      </w:r>
    </w:p>
    <w:p w:rsidR="005E5B2C" w:rsidRPr="001F3DFF" w:rsidP="00FB46AA">
      <w:pPr>
        <w:pStyle w:val="RESHET"/>
        <w:rPr>
          <w:rtl/>
        </w:rPr>
      </w:pPr>
      <w:r w:rsidRPr="001F3DFF">
        <w:rPr>
          <w:rFonts w:hint="cs"/>
          <w:rtl/>
        </w:rPr>
        <w:t xml:space="preserve">זאת ועוד, על רקע הגידול המתמשך באשראי למשקי הבית, החינוך הפיננסי </w:t>
      </w:r>
      <w:r w:rsidRPr="001F3DFF">
        <w:rPr>
          <w:rtl/>
        </w:rPr>
        <w:t>מצריך תשומת לב ייחודית</w:t>
      </w:r>
      <w:r w:rsidRPr="001F3DFF">
        <w:rPr>
          <w:rFonts w:hint="cs"/>
          <w:rtl/>
        </w:rPr>
        <w:t xml:space="preserve">. על הממשלה לשקול להעמיק את החינוך הפיננסי לצרכנים בנושאי </w:t>
      </w:r>
      <w:r w:rsidRPr="001F3DFF">
        <w:rPr>
          <w:rtl/>
        </w:rPr>
        <w:t>הפחתת חובות</w:t>
      </w:r>
      <w:r w:rsidRPr="001F3DFF">
        <w:rPr>
          <w:rFonts w:hint="cs"/>
          <w:rtl/>
        </w:rPr>
        <w:t>,</w:t>
      </w:r>
      <w:r w:rsidRPr="001F3DFF">
        <w:rPr>
          <w:rtl/>
        </w:rPr>
        <w:t xml:space="preserve"> לקיחת אשראי מבוקר</w:t>
      </w:r>
      <w:r w:rsidRPr="001F3DFF">
        <w:rPr>
          <w:rFonts w:hint="cs"/>
          <w:rtl/>
        </w:rPr>
        <w:t xml:space="preserve"> והימנעות מ</w:t>
      </w:r>
      <w:r w:rsidRPr="001F3DFF">
        <w:rPr>
          <w:rtl/>
        </w:rPr>
        <w:t xml:space="preserve">הלוואות </w:t>
      </w:r>
      <w:r w:rsidRPr="001F3DFF">
        <w:rPr>
          <w:rFonts w:hint="cs"/>
          <w:rtl/>
        </w:rPr>
        <w:t>שלא יוכלו לפרוע נוכח</w:t>
      </w:r>
      <w:r w:rsidRPr="001F3DFF">
        <w:rPr>
          <w:rtl/>
        </w:rPr>
        <w:t xml:space="preserve"> מצב</w:t>
      </w:r>
      <w:r w:rsidRPr="001F3DFF">
        <w:rPr>
          <w:rFonts w:hint="cs"/>
          <w:rtl/>
        </w:rPr>
        <w:t>ם</w:t>
      </w:r>
      <w:r w:rsidRPr="001F3DFF">
        <w:rPr>
          <w:rtl/>
        </w:rPr>
        <w:t xml:space="preserve"> הכלכלי</w:t>
      </w:r>
      <w:r w:rsidRPr="001F3DFF">
        <w:rPr>
          <w:rFonts w:hint="cs"/>
          <w:rtl/>
        </w:rPr>
        <w:t>.</w:t>
      </w:r>
    </w:p>
    <w:p w:rsidR="005E5B2C" w:rsidRPr="001F3DFF" w:rsidP="00FB46AA">
      <w:pPr>
        <w:spacing w:before="180" w:after="120" w:line="230" w:lineRule="exact"/>
        <w:jc w:val="both"/>
        <w:rPr>
          <w:rFonts w:cs="FrankRuehl"/>
          <w:sz w:val="20"/>
          <w:szCs w:val="22"/>
          <w:rtl/>
        </w:rPr>
      </w:pPr>
      <w:r w:rsidRPr="001F3DFF">
        <w:rPr>
          <w:rFonts w:cs="FrankRuehl" w:hint="cs"/>
          <w:sz w:val="20"/>
          <w:szCs w:val="22"/>
          <w:rtl/>
        </w:rPr>
        <w:t>משרד האוצר מסר בתשובתו ממרץ 2015 למשרד מבקר המדינה (להלן - תשובת משרד האוצר): "מחלקת חינוך פיננסי עוסקת בקשת רחבה של נושאים כגון: ניהול תקציב, ניהול חיסכון פנסיוני, שימוש באמצעי תשלום וכיו"ב. יש להדגיש כי יישום מדיניות לקידום חינוך פיננסי דורש הירתמות של כלל הגורמים העוסקים בנושאים הקשורים להתנהלות הפיננסית של הציבור והקצאת משאבים על-ידם למטרה זו. המחלקה טרם טיפלה בנושא אשראי וחובות באופן מעמיק ובכוונתה לבחון יחד עם בנק ישראל שיתוף פעולה בנושא".</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עוד מסר המשרד כי מאז פורסם מסמך האסטרטגיה פעלה המחלקה לחינוך פיננסי במגוון אפיקים לקידום נושא זה, ומאז הקמתה הקימה אתר לחינוך פיננסי לציבור הרחב, פרסמה קמפיין שנתי להעלאת מודעות הציבור לערכי החינוך הפיננסי, עודדה מחקרי כלכלה התנהגותית ופרסמה רשימה של מיומנויות ליבה בחינוך פיננסי לילדים ונוער. המשרד הוסיף: "יחד עם זאת, האסטרטגיה לא </w:t>
      </w:r>
      <w:r w:rsidRPr="001F3DFF">
        <w:rPr>
          <w:rFonts w:cs="FrankRuehl" w:hint="cs"/>
          <w:sz w:val="20"/>
          <w:szCs w:val="22"/>
          <w:rtl/>
        </w:rPr>
        <w:t xml:space="preserve">הוטמעה מספיק בעבודת הממשלה ולא קיבלה עדיפות בעבודת המשרדים בנושא וכן בתקצוב מתאים על-ידם". </w:t>
      </w:r>
    </w:p>
    <w:p w:rsidR="005E5B2C" w:rsidRPr="001F3DFF" w:rsidP="00FB46AA">
      <w:pPr>
        <w:spacing w:after="240" w:line="230" w:lineRule="exact"/>
        <w:jc w:val="both"/>
        <w:rPr>
          <w:rFonts w:cs="FrankRuehl"/>
          <w:sz w:val="20"/>
          <w:szCs w:val="22"/>
          <w:rtl/>
        </w:rPr>
      </w:pPr>
      <w:r w:rsidRPr="001F3DFF">
        <w:rPr>
          <w:rFonts w:cs="FrankRuehl" w:hint="cs"/>
          <w:sz w:val="20"/>
          <w:szCs w:val="22"/>
          <w:rtl/>
        </w:rPr>
        <w:t xml:space="preserve">בנק ישראל מסר בתשובתו כי לאור חשיבות קידום החינוך הפיננסי בישראל, יקדם בברכה שיתוף פעולה בתחום זה, תוך הגדרת נושאים לקידום וסדרי עדיפות לגביהם. </w:t>
      </w:r>
    </w:p>
    <w:p w:rsidR="005E5B2C" w:rsidRPr="001F3DFF" w:rsidP="00FB46AA">
      <w:pPr>
        <w:pStyle w:val="RESHET"/>
        <w:rPr>
          <w:rtl/>
        </w:rPr>
      </w:pPr>
      <w:r w:rsidRPr="001F3DFF">
        <w:rPr>
          <w:rFonts w:hint="cs"/>
          <w:rtl/>
        </w:rPr>
        <w:t xml:space="preserve">משרד מבקר המדינה מעיר כי נוכח העובדה שהממשלה החליטה כי </w:t>
      </w:r>
      <w:r w:rsidRPr="001F3DFF">
        <w:rPr>
          <w:rtl/>
        </w:rPr>
        <w:t>תפקיד</w:t>
      </w:r>
      <w:r w:rsidRPr="001F3DFF">
        <w:rPr>
          <w:rFonts w:hint="cs"/>
          <w:rtl/>
        </w:rPr>
        <w:t xml:space="preserve"> המחלקה לחינוך פיננסי </w:t>
      </w:r>
      <w:r w:rsidRPr="001F3DFF">
        <w:rPr>
          <w:rtl/>
        </w:rPr>
        <w:t>לרכז את נושא החינוך הפיננסי בישראל</w:t>
      </w:r>
      <w:r w:rsidRPr="001F3DFF">
        <w:rPr>
          <w:rFonts w:hint="cs"/>
          <w:rtl/>
        </w:rPr>
        <w:t>,</w:t>
      </w:r>
      <w:r w:rsidRPr="001F3DFF">
        <w:rPr>
          <w:rtl/>
        </w:rPr>
        <w:t xml:space="preserve"> ו</w:t>
      </w:r>
      <w:r w:rsidRPr="001F3DFF">
        <w:rPr>
          <w:rFonts w:hint="cs"/>
          <w:rtl/>
        </w:rPr>
        <w:t xml:space="preserve">כי עליה </w:t>
      </w:r>
      <w:r w:rsidRPr="001F3DFF">
        <w:rPr>
          <w:rtl/>
        </w:rPr>
        <w:t>להכין תכנית מדיניות לאומית מקיפה לקידום החינוך הפיננסי ולהגברת האוריינות הפיננסית</w:t>
      </w:r>
      <w:r w:rsidRPr="001F3DFF">
        <w:rPr>
          <w:rFonts w:hint="cs"/>
          <w:rtl/>
        </w:rPr>
        <w:t xml:space="preserve"> - מן הראוי שמשרד האוצר יפעל לכך שהאסטרטגיה תובא לדיון בממשלה. </w:t>
      </w:r>
    </w:p>
    <w:p w:rsidR="005E5B2C" w:rsidRPr="001F3DFF" w:rsidP="00FB46AA">
      <w:pPr>
        <w:spacing w:after="120" w:line="230" w:lineRule="exact"/>
        <w:jc w:val="both"/>
        <w:rPr>
          <w:rFonts w:cs="FrankRuehl"/>
          <w:b/>
          <w:bCs/>
          <w:sz w:val="20"/>
          <w:szCs w:val="22"/>
          <w:rtl/>
        </w:rPr>
      </w:pPr>
    </w:p>
    <w:p w:rsidR="005E5B2C" w:rsidRPr="001E4618" w:rsidP="00FB46AA">
      <w:pPr>
        <w:pStyle w:val="KOT5"/>
        <w:rPr>
          <w:rtl/>
        </w:rPr>
      </w:pPr>
      <w:r w:rsidRPr="001E4618">
        <w:rPr>
          <w:rFonts w:hint="cs"/>
          <w:rtl/>
        </w:rPr>
        <w:t>פרסום ושיווק של הלוואות קמעונ</w:t>
      </w:r>
      <w:r>
        <w:rPr>
          <w:rFonts w:hint="cs"/>
          <w:rtl/>
        </w:rPr>
        <w:t>א</w:t>
      </w:r>
      <w:r w:rsidRPr="001E4618">
        <w:rPr>
          <w:rFonts w:hint="cs"/>
          <w:rtl/>
        </w:rPr>
        <w:t>יות והגילוי הנאות ללקוחות</w:t>
      </w:r>
    </w:p>
    <w:p w:rsidR="005E5B2C" w:rsidRPr="001F3DFF" w:rsidP="00FB46AA">
      <w:pPr>
        <w:spacing w:after="120" w:line="230" w:lineRule="exact"/>
        <w:jc w:val="both"/>
        <w:rPr>
          <w:rFonts w:cs="FrankRuehl"/>
          <w:sz w:val="20"/>
          <w:szCs w:val="22"/>
          <w:rtl/>
        </w:rPr>
      </w:pPr>
      <w:r w:rsidRPr="001F3DFF">
        <w:rPr>
          <w:rFonts w:cs="FrankRuehl" w:hint="cs"/>
          <w:sz w:val="20"/>
          <w:szCs w:val="22"/>
          <w:rtl/>
        </w:rPr>
        <w:t>בשנים האחרונות משקי הבית חשופים יותר ויותר לפרסומות להלוואות בערוצי התקשורת השונים - רדיו, טלוויזיה, מסרונים לטלפון הנייד, דואר אלקטרוני ועוד. בעקבות זאת צרכנים רבים מתפתים לקחת הלוואות שאינן מותאמות ליכולתם הכלכלית.</w:t>
      </w:r>
    </w:p>
    <w:p w:rsidR="005E5B2C" w:rsidRPr="001F3DFF" w:rsidP="00FB46AA">
      <w:pPr>
        <w:spacing w:after="120" w:line="230" w:lineRule="exact"/>
        <w:jc w:val="both"/>
        <w:rPr>
          <w:rFonts w:cs="FrankRuehl"/>
          <w:sz w:val="20"/>
          <w:szCs w:val="22"/>
          <w:rtl/>
        </w:rPr>
      </w:pPr>
      <w:r w:rsidRPr="001F3DFF">
        <w:rPr>
          <w:rFonts w:cs="FrankRuehl" w:hint="cs"/>
          <w:sz w:val="20"/>
          <w:szCs w:val="22"/>
          <w:rtl/>
        </w:rPr>
        <w:t>ה</w:t>
      </w:r>
      <w:r w:rsidRPr="001F3DFF">
        <w:rPr>
          <w:rFonts w:cs="FrankRuehl"/>
          <w:sz w:val="20"/>
          <w:szCs w:val="22"/>
          <w:rtl/>
        </w:rPr>
        <w:t>איחוד האירופי</w:t>
      </w:r>
      <w:r w:rsidRPr="001F3DFF">
        <w:rPr>
          <w:rFonts w:cs="FrankRuehl" w:hint="cs"/>
          <w:sz w:val="20"/>
          <w:szCs w:val="22"/>
          <w:rtl/>
        </w:rPr>
        <w:t xml:space="preserve"> פרסם</w:t>
      </w:r>
      <w:r w:rsidRPr="001F3DFF">
        <w:rPr>
          <w:rFonts w:cs="FrankRuehl"/>
          <w:sz w:val="20"/>
          <w:szCs w:val="22"/>
          <w:rtl/>
        </w:rPr>
        <w:t xml:space="preserve"> </w:t>
      </w:r>
      <w:r w:rsidRPr="001F3DFF">
        <w:rPr>
          <w:rFonts w:cs="FrankRuehl" w:hint="cs"/>
          <w:sz w:val="20"/>
          <w:szCs w:val="22"/>
          <w:rtl/>
        </w:rPr>
        <w:t>כמה</w:t>
      </w:r>
      <w:r w:rsidRPr="001F3DFF">
        <w:rPr>
          <w:rFonts w:cs="FrankRuehl"/>
          <w:sz w:val="20"/>
          <w:szCs w:val="22"/>
          <w:rtl/>
        </w:rPr>
        <w:t xml:space="preserve"> הוראות </w:t>
      </w:r>
      <w:r w:rsidRPr="001F3DFF">
        <w:rPr>
          <w:rFonts w:cs="FrankRuehl" w:hint="cs"/>
          <w:sz w:val="20"/>
          <w:szCs w:val="22"/>
          <w:rtl/>
        </w:rPr>
        <w:t>המסדירות את</w:t>
      </w:r>
      <w:r w:rsidRPr="001F3DFF">
        <w:rPr>
          <w:rFonts w:cs="FrankRuehl"/>
          <w:sz w:val="20"/>
          <w:szCs w:val="22"/>
          <w:rtl/>
        </w:rPr>
        <w:t xml:space="preserve"> אחריותם של מוסדות פיננסיים לתוכ</w:t>
      </w:r>
      <w:r w:rsidRPr="001F3DFF">
        <w:rPr>
          <w:rFonts w:cs="FrankRuehl" w:hint="cs"/>
          <w:sz w:val="20"/>
          <w:szCs w:val="22"/>
          <w:rtl/>
        </w:rPr>
        <w:t>ן</w:t>
      </w:r>
      <w:r w:rsidRPr="001F3DFF">
        <w:rPr>
          <w:rFonts w:cs="FrankRuehl"/>
          <w:sz w:val="20"/>
          <w:szCs w:val="22"/>
          <w:rtl/>
        </w:rPr>
        <w:t xml:space="preserve"> הפרסומים שלהם</w:t>
      </w:r>
      <w:r>
        <w:rPr>
          <w:rStyle w:val="FootnoteReference0"/>
          <w:rFonts w:cs="FrankRuehl"/>
          <w:sz w:val="20"/>
          <w:szCs w:val="22"/>
          <w:rtl/>
        </w:rPr>
        <w:footnoteReference w:id="52"/>
      </w:r>
      <w:r w:rsidRPr="001F3DFF">
        <w:rPr>
          <w:rFonts w:cs="FrankRuehl"/>
          <w:sz w:val="20"/>
          <w:szCs w:val="22"/>
          <w:rtl/>
        </w:rPr>
        <w:t>.</w:t>
      </w:r>
      <w:r w:rsidRPr="001F3DFF">
        <w:rPr>
          <w:rFonts w:cs="FrankRuehl" w:hint="cs"/>
          <w:sz w:val="20"/>
          <w:szCs w:val="22"/>
          <w:rtl/>
        </w:rPr>
        <w:t xml:space="preserve"> יש מדינות, כדוגמת אנגליה, שקבעו הוראות מפורטות ומחייבות לעניין פרסום אשראי צרכני</w:t>
      </w:r>
      <w:r>
        <w:rPr>
          <w:rStyle w:val="FootnoteReference0"/>
          <w:rFonts w:cs="FrankRuehl"/>
          <w:sz w:val="20"/>
          <w:szCs w:val="22"/>
          <w:rtl/>
        </w:rPr>
        <w:footnoteReference w:id="53"/>
      </w:r>
      <w:r w:rsidRPr="001F3DFF">
        <w:rPr>
          <w:rFonts w:cs="FrankRuehl" w:hint="cs"/>
          <w:sz w:val="20"/>
          <w:szCs w:val="22"/>
          <w:rtl/>
        </w:rPr>
        <w:t xml:space="preserve">, לרבות הנחיות בנוגע לביטויים שאין לכלול בפרסומי אשראי. </w:t>
      </w:r>
    </w:p>
    <w:p w:rsidR="005E5B2C" w:rsidRPr="001F3DFF" w:rsidP="00FB46AA">
      <w:pPr>
        <w:spacing w:after="120" w:line="230" w:lineRule="exact"/>
        <w:ind w:left="340" w:hanging="340"/>
        <w:jc w:val="both"/>
        <w:rPr>
          <w:rFonts w:cs="FrankRuehl"/>
          <w:sz w:val="20"/>
          <w:szCs w:val="22"/>
          <w:rtl/>
        </w:rPr>
      </w:pPr>
      <w:r w:rsidRPr="001F3DFF">
        <w:rPr>
          <w:rFonts w:cs="FrankRuehl" w:hint="cs"/>
          <w:sz w:val="20"/>
          <w:szCs w:val="22"/>
          <w:rtl/>
        </w:rPr>
        <w:t>1.</w:t>
      </w:r>
      <w:r w:rsidRPr="001F3DFF">
        <w:rPr>
          <w:rFonts w:cs="FrankRuehl" w:hint="cs"/>
          <w:sz w:val="20"/>
          <w:szCs w:val="22"/>
          <w:rtl/>
        </w:rPr>
        <w:tab/>
        <w:t>סעיף 3 לחוק הבנקאות (שירות ללקוח) קובע: "</w:t>
      </w:r>
      <w:r w:rsidRPr="001F3DFF">
        <w:rPr>
          <w:rFonts w:cs="FrankRuehl"/>
          <w:sz w:val="20"/>
          <w:szCs w:val="22"/>
          <w:rtl/>
        </w:rPr>
        <w:t>לא יעשה תאגיד בנקאי - במעשה או במחדל, בכתב או בעל-פה או בכל דרך אחרת - דבר העלול להטעות לקוח בכל ענין מהותי למתן שירות ללקוח (להלן - הטעיה)</w:t>
      </w:r>
      <w:r w:rsidRPr="001F3DFF">
        <w:rPr>
          <w:rFonts w:cs="FrankRuehl" w:hint="cs"/>
          <w:sz w:val="20"/>
          <w:szCs w:val="22"/>
          <w:rtl/>
        </w:rPr>
        <w:t>"</w:t>
      </w:r>
      <w:r>
        <w:rPr>
          <w:rStyle w:val="FootnoteReference0"/>
          <w:rFonts w:cs="FrankRuehl"/>
          <w:sz w:val="20"/>
          <w:szCs w:val="22"/>
          <w:rtl/>
        </w:rPr>
        <w:footnoteReference w:id="54"/>
      </w:r>
      <w:r w:rsidRPr="001F3DFF">
        <w:rPr>
          <w:rFonts w:cs="FrankRuehl" w:hint="cs"/>
          <w:sz w:val="20"/>
          <w:szCs w:val="22"/>
          <w:rtl/>
        </w:rPr>
        <w:t xml:space="preserve">. סעיף 2 לחוק הגנת הצרכן גם הוא קובע איסור על הטעיית הצרכן, וסעיף 2(ג) קובע כי האיסור יחול גם על פרסומת; אולם, כאמור, חוק זה אינו חל על תאגידים בנקאיים וגופים מוסדיים. בחוק הבנקאות (שירות ללקוח) סוגיית הפרסום אינה מוזכרת. </w:t>
      </w:r>
    </w:p>
    <w:p w:rsidR="005E5B2C" w:rsidRPr="001F3DFF" w:rsidP="00FB46AA">
      <w:pPr>
        <w:spacing w:after="240" w:line="230" w:lineRule="exact"/>
        <w:ind w:left="340"/>
        <w:jc w:val="both"/>
        <w:rPr>
          <w:rFonts w:cs="FrankRuehl"/>
          <w:sz w:val="20"/>
          <w:szCs w:val="22"/>
          <w:rtl/>
        </w:rPr>
      </w:pPr>
      <w:r w:rsidRPr="001F3DFF">
        <w:rPr>
          <w:rFonts w:cs="FrankRuehl" w:hint="cs"/>
          <w:sz w:val="20"/>
          <w:szCs w:val="22"/>
          <w:rtl/>
        </w:rPr>
        <w:t>סעיף 33ב ל</w:t>
      </w:r>
      <w:r w:rsidRPr="001F3DFF">
        <w:rPr>
          <w:rFonts w:cs="FrankRuehl"/>
          <w:sz w:val="20"/>
          <w:szCs w:val="22"/>
          <w:rtl/>
        </w:rPr>
        <w:t>כללי הבנקאות (שירות ללקוח) (גילוי נאות ומסירת מסמכים),</w:t>
      </w:r>
      <w:r w:rsidRPr="001F3DFF">
        <w:rPr>
          <w:rFonts w:cs="FrankRuehl" w:hint="cs"/>
          <w:sz w:val="20"/>
          <w:szCs w:val="22"/>
          <w:rtl/>
        </w:rPr>
        <w:t xml:space="preserve"> </w:t>
      </w:r>
      <w:r w:rsidRPr="001F3DFF">
        <w:rPr>
          <w:rFonts w:cs="FrankRuehl"/>
          <w:sz w:val="20"/>
          <w:szCs w:val="22"/>
          <w:rtl/>
        </w:rPr>
        <w:t>התשנ"ב</w:t>
      </w:r>
      <w:r w:rsidRPr="001F3DFF">
        <w:rPr>
          <w:rFonts w:cs="FrankRuehl" w:hint="cs"/>
          <w:sz w:val="20"/>
          <w:szCs w:val="22"/>
          <w:rtl/>
        </w:rPr>
        <w:t>-1992, קובע כי "</w:t>
      </w:r>
      <w:r w:rsidRPr="001F3DFF">
        <w:rPr>
          <w:rFonts w:cs="FrankRuehl"/>
          <w:sz w:val="20"/>
          <w:szCs w:val="22"/>
          <w:rtl/>
        </w:rPr>
        <w:t>תאגיד בנקאי המפרסם הצעה לקבלת פיקדונות או למתן אשראי, יכלול בפרסום את תנאי</w:t>
      </w:r>
      <w:r w:rsidRPr="001F3DFF">
        <w:rPr>
          <w:rFonts w:cs="FrankRuehl" w:hint="cs"/>
          <w:sz w:val="20"/>
          <w:szCs w:val="22"/>
          <w:rtl/>
        </w:rPr>
        <w:t xml:space="preserve"> </w:t>
      </w:r>
      <w:r w:rsidRPr="001F3DFF">
        <w:rPr>
          <w:rFonts w:cs="FrankRuehl"/>
          <w:sz w:val="20"/>
          <w:szCs w:val="22"/>
          <w:rtl/>
        </w:rPr>
        <w:t>הפיקדון או האשראי, לרבות שיעור הריבית השנתית המתואמת הממוצעת, סוג ההצמדה ובסיסה,</w:t>
      </w:r>
      <w:r w:rsidRPr="001F3DFF">
        <w:rPr>
          <w:rFonts w:cs="FrankRuehl" w:hint="cs"/>
          <w:sz w:val="20"/>
          <w:szCs w:val="22"/>
          <w:rtl/>
        </w:rPr>
        <w:t xml:space="preserve"> </w:t>
      </w:r>
      <w:r w:rsidRPr="001F3DFF">
        <w:rPr>
          <w:rFonts w:cs="FrankRuehl"/>
          <w:sz w:val="20"/>
          <w:szCs w:val="22"/>
          <w:rtl/>
        </w:rPr>
        <w:t>ותקופת הפיקדון או האשראי</w:t>
      </w:r>
      <w:r w:rsidRPr="001F3DFF">
        <w:rPr>
          <w:rFonts w:cs="FrankRuehl" w:hint="cs"/>
          <w:sz w:val="20"/>
          <w:szCs w:val="22"/>
          <w:rtl/>
        </w:rPr>
        <w:t>"</w:t>
      </w:r>
      <w:r w:rsidRPr="001F3DFF">
        <w:rPr>
          <w:rFonts w:cs="FrankRuehl"/>
          <w:sz w:val="20"/>
          <w:szCs w:val="22"/>
          <w:rtl/>
        </w:rPr>
        <w:t>.</w:t>
      </w:r>
    </w:p>
    <w:p w:rsidR="005E5B2C" w:rsidRPr="001F3DFF" w:rsidP="00FB46AA">
      <w:pPr>
        <w:pStyle w:val="RESHET"/>
        <w:keepLines/>
        <w:ind w:left="567"/>
        <w:rPr>
          <w:rtl/>
        </w:rPr>
      </w:pPr>
      <w:r w:rsidRPr="001F3DFF">
        <w:rPr>
          <w:rFonts w:hint="cs"/>
          <w:rtl/>
        </w:rPr>
        <w:t xml:space="preserve">פרט לסעיפים המתוארים לעיל אין בבנק ישראל הנחיות לתאגידים הבנקאיים (הבנקים וחברות כרטיסי האשראי) בדבר פרסום אשראי </w:t>
      </w:r>
      <w:r w:rsidRPr="001F3DFF">
        <w:rPr>
          <w:rFonts w:hint="eastAsia"/>
          <w:rtl/>
        </w:rPr>
        <w:t>קמעונאי</w:t>
      </w:r>
      <w:r w:rsidRPr="001F3DFF">
        <w:rPr>
          <w:rFonts w:hint="cs"/>
          <w:rtl/>
        </w:rPr>
        <w:t xml:space="preserve"> - לא בנוגע לתוכן הפרסום של הלוואות ולא בנוגע לאופן פרסומן </w:t>
      </w:r>
      <w:r w:rsidRPr="001F3DFF">
        <w:rPr>
          <w:rtl/>
        </w:rPr>
        <w:t xml:space="preserve">בערוצי </w:t>
      </w:r>
      <w:r w:rsidRPr="001F3DFF">
        <w:rPr>
          <w:rFonts w:hint="cs"/>
          <w:rtl/>
        </w:rPr>
        <w:t>ה</w:t>
      </w:r>
      <w:r w:rsidRPr="001F3DFF">
        <w:rPr>
          <w:rtl/>
        </w:rPr>
        <w:t>תקשורת</w:t>
      </w:r>
      <w:r w:rsidRPr="001F3DFF">
        <w:rPr>
          <w:rFonts w:hint="cs"/>
          <w:rtl/>
        </w:rPr>
        <w:t xml:space="preserve">. משרד מבקר המדינה מעיר כי על בנק ישראל להסדיר את נושא הפרסום והשיווק של מוצרי אשראי למשקי בית על ידי התאגידים הבנקאיים. </w:t>
      </w:r>
    </w:p>
    <w:p w:rsidR="005E5B2C" w:rsidP="00FB46AA">
      <w:pPr>
        <w:spacing w:before="180" w:after="120" w:line="230" w:lineRule="exact"/>
        <w:ind w:left="340"/>
        <w:jc w:val="both"/>
        <w:rPr>
          <w:rFonts w:cs="FrankRuehl"/>
          <w:sz w:val="20"/>
          <w:szCs w:val="22"/>
          <w:rtl/>
        </w:rPr>
      </w:pPr>
      <w:r w:rsidRPr="001F3DFF">
        <w:rPr>
          <w:rFonts w:cs="FrankRuehl" w:hint="cs"/>
          <w:sz w:val="20"/>
          <w:szCs w:val="22"/>
          <w:rtl/>
        </w:rPr>
        <w:t>סגן המפקח על הבנקים מסר למשרד מבקר המדינה בדצמבר 2014 כי בתחום ש</w:t>
      </w:r>
      <w:r w:rsidRPr="001F3DFF">
        <w:rPr>
          <w:rFonts w:cs="FrankRuehl"/>
          <w:sz w:val="20"/>
          <w:szCs w:val="22"/>
          <w:rtl/>
        </w:rPr>
        <w:t xml:space="preserve">יווק </w:t>
      </w:r>
      <w:r w:rsidRPr="001F3DFF">
        <w:rPr>
          <w:rFonts w:cs="FrankRuehl" w:hint="cs"/>
          <w:sz w:val="20"/>
          <w:szCs w:val="22"/>
          <w:rtl/>
        </w:rPr>
        <w:t>ה</w:t>
      </w:r>
      <w:r w:rsidRPr="001F3DFF">
        <w:rPr>
          <w:rFonts w:cs="FrankRuehl"/>
          <w:sz w:val="20"/>
          <w:szCs w:val="22"/>
          <w:rtl/>
        </w:rPr>
        <w:t xml:space="preserve">אשראי </w:t>
      </w:r>
      <w:r w:rsidRPr="001F3DFF">
        <w:rPr>
          <w:rFonts w:cs="FrankRuehl" w:hint="cs"/>
          <w:sz w:val="20"/>
          <w:szCs w:val="22"/>
          <w:rtl/>
        </w:rPr>
        <w:t>ה</w:t>
      </w:r>
      <w:r w:rsidRPr="001F3DFF">
        <w:rPr>
          <w:rFonts w:cs="FrankRuehl"/>
          <w:sz w:val="20"/>
          <w:szCs w:val="22"/>
          <w:rtl/>
        </w:rPr>
        <w:t>קמעונאי</w:t>
      </w:r>
      <w:r w:rsidRPr="001F3DFF">
        <w:rPr>
          <w:rFonts w:cs="FrankRuehl" w:hint="cs"/>
          <w:sz w:val="20"/>
          <w:szCs w:val="22"/>
          <w:rtl/>
        </w:rPr>
        <w:t>,</w:t>
      </w:r>
      <w:r w:rsidRPr="001F3DFF">
        <w:rPr>
          <w:rFonts w:cs="FrankRuehl"/>
          <w:sz w:val="20"/>
          <w:szCs w:val="22"/>
          <w:rtl/>
        </w:rPr>
        <w:t xml:space="preserve"> </w:t>
      </w:r>
      <w:r w:rsidRPr="001F3DFF">
        <w:rPr>
          <w:rFonts w:cs="FrankRuehl" w:hint="cs"/>
          <w:sz w:val="20"/>
          <w:szCs w:val="22"/>
          <w:rtl/>
        </w:rPr>
        <w:t xml:space="preserve">בתכנית העבודה לשנת 2015 תיבחן </w:t>
      </w:r>
      <w:r w:rsidRPr="001F3DFF">
        <w:rPr>
          <w:rFonts w:cs="FrankRuehl"/>
          <w:sz w:val="20"/>
          <w:szCs w:val="22"/>
          <w:rtl/>
        </w:rPr>
        <w:t xml:space="preserve">הסדרת הליך העמדת </w:t>
      </w:r>
      <w:r w:rsidRPr="001F3DFF">
        <w:rPr>
          <w:rFonts w:cs="FrankRuehl" w:hint="cs"/>
          <w:sz w:val="20"/>
          <w:szCs w:val="22"/>
          <w:rtl/>
        </w:rPr>
        <w:t>ה</w:t>
      </w:r>
      <w:r w:rsidRPr="001F3DFF">
        <w:rPr>
          <w:rFonts w:cs="FrankRuehl"/>
          <w:sz w:val="20"/>
          <w:szCs w:val="22"/>
          <w:rtl/>
        </w:rPr>
        <w:t xml:space="preserve">אשראי ללקוחות הבנקים, </w:t>
      </w:r>
      <w:r w:rsidRPr="001F3DFF">
        <w:rPr>
          <w:rFonts w:cs="FrankRuehl" w:hint="cs"/>
          <w:sz w:val="20"/>
          <w:szCs w:val="22"/>
          <w:rtl/>
        </w:rPr>
        <w:t>"</w:t>
      </w:r>
      <w:r w:rsidRPr="001F3DFF">
        <w:rPr>
          <w:rFonts w:cs="FrankRuehl"/>
          <w:sz w:val="20"/>
          <w:szCs w:val="22"/>
          <w:rtl/>
        </w:rPr>
        <w:t>תוך בחינת ההוגנות והשקיפות בתהליך, ובדגש על השיווק האגרסיבי במתן אשראי בערוצי התקשורת השונים</w:t>
      </w:r>
      <w:r w:rsidRPr="001F3DFF">
        <w:rPr>
          <w:rFonts w:cs="FrankRuehl" w:hint="cs"/>
          <w:sz w:val="20"/>
          <w:szCs w:val="22"/>
          <w:rtl/>
        </w:rPr>
        <w:t>...</w:t>
      </w:r>
      <w:r w:rsidRPr="001F3DFF">
        <w:rPr>
          <w:rFonts w:cs="FrankRuehl"/>
          <w:sz w:val="20"/>
          <w:szCs w:val="22"/>
          <w:rtl/>
        </w:rPr>
        <w:t xml:space="preserve"> במסגרת הטיפול בנושא ייעשה שימוש במידע שיתקבל בתהליכי ביקורת הצפויים להתבצע במהלך שנת 2015</w:t>
      </w:r>
      <w:r w:rsidRPr="001F3DFF">
        <w:rPr>
          <w:rFonts w:cs="FrankRuehl" w:hint="cs"/>
          <w:sz w:val="20"/>
          <w:szCs w:val="22"/>
          <w:rtl/>
        </w:rPr>
        <w:t xml:space="preserve">". </w:t>
      </w:r>
    </w:p>
    <w:tbl>
      <w:tblPr>
        <w:bidiVisual/>
        <w:tblW w:w="7031" w:type="dxa"/>
        <w:jc w:val="center"/>
        <w:tblLook w:val="04A0"/>
      </w:tblPr>
      <w:tblGrid>
        <w:gridCol w:w="356"/>
        <w:gridCol w:w="6675"/>
      </w:tblGrid>
      <w:tr w:rsidTr="00BE1E8D">
        <w:tblPrEx>
          <w:tblW w:w="7031" w:type="dxa"/>
          <w:jc w:val="center"/>
          <w:tblLook w:val="04A0"/>
        </w:tblPrEx>
        <w:trPr>
          <w:jc w:val="center"/>
        </w:trPr>
        <w:tc>
          <w:tcPr>
            <w:tcW w:w="356" w:type="dxa"/>
            <w:shd w:val="clear" w:color="auto" w:fill="auto"/>
          </w:tcPr>
          <w:p w:rsidR="00164129" w:rsidRPr="0001521E" w:rsidP="00FB46AA">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164129" w:rsidP="00FB46AA">
            <w:pPr>
              <w:pStyle w:val="RESHET"/>
              <w:keepNext/>
              <w:keepLines/>
              <w:rPr>
                <w:rtl/>
              </w:rPr>
            </w:pPr>
            <w:r w:rsidRPr="00164129">
              <w:rPr>
                <w:rFonts w:hint="cs"/>
                <w:rtl/>
              </w:rPr>
              <w:t>מבדיקת משרד מבקר המדינה עולה כי אין הנחיות בנוגע להטעיה בפרסום ושיווק של הלוואות חוץ-בנקאיות שנותנות חברות פרטיות, לרבות הלוואות של נותני שירותי מטבע. נמצא כי אף שמשרד האוצר איננו מפקח על תהליך מתן ההלוואות, בפרסומים רבים מציינות החברות לצד הצעת ההלוואה את הביטויים "ברישיון משרד האוצר" או "באישור משרד האוצר", בדרך שעלול לה</w:t>
            </w:r>
            <w:r w:rsidRPr="00164129">
              <w:rPr>
                <w:rtl/>
              </w:rPr>
              <w:t xml:space="preserve">שתמע </w:t>
            </w:r>
            <w:r w:rsidRPr="00164129">
              <w:rPr>
                <w:rFonts w:hint="cs"/>
                <w:rtl/>
              </w:rPr>
              <w:t xml:space="preserve">ממנה </w:t>
            </w:r>
            <w:r w:rsidRPr="00164129">
              <w:rPr>
                <w:rtl/>
              </w:rPr>
              <w:t>כי</w:t>
            </w:r>
            <w:r w:rsidRPr="00164129">
              <w:rPr>
                <w:rFonts w:hint="cs"/>
                <w:rtl/>
              </w:rPr>
              <w:t xml:space="preserve"> המשרד מפקח על התהליך.</w:t>
            </w:r>
          </w:p>
        </w:tc>
      </w:tr>
    </w:tbl>
    <w:p w:rsidR="005E5B2C" w:rsidRPr="001F3DFF" w:rsidP="00FB46AA">
      <w:pPr>
        <w:spacing w:after="240" w:line="230" w:lineRule="exact"/>
        <w:ind w:left="340"/>
        <w:jc w:val="both"/>
        <w:rPr>
          <w:rFonts w:cs="FrankRuehl"/>
          <w:sz w:val="20"/>
          <w:szCs w:val="22"/>
          <w:rtl/>
        </w:rPr>
      </w:pPr>
      <w:r w:rsidRPr="001F3DFF">
        <w:rPr>
          <w:rFonts w:cs="FrankRuehl" w:hint="cs"/>
          <w:sz w:val="20"/>
          <w:szCs w:val="22"/>
          <w:rtl/>
        </w:rPr>
        <w:t xml:space="preserve">משרד האוצר מסר בתשובתו כי האישור שניתן </w:t>
      </w:r>
      <w:r w:rsidRPr="001F3DFF">
        <w:rPr>
          <w:rFonts w:cs="FrankRuehl" w:hint="cs"/>
          <w:sz w:val="20"/>
          <w:szCs w:val="22"/>
          <w:rtl/>
        </w:rPr>
        <w:t>לנש"ם</w:t>
      </w:r>
      <w:r w:rsidRPr="001F3DFF">
        <w:rPr>
          <w:rFonts w:cs="FrankRuehl" w:hint="cs"/>
          <w:sz w:val="20"/>
          <w:szCs w:val="22"/>
          <w:rtl/>
        </w:rPr>
        <w:t xml:space="preserve"> על גבי תעודת הרישום נוגע לתחומי העיסוק המפורטים בחוק איסור הלבנת הון, אשר לגביהם קיימת חובה להירשם במרשם נותני שירותי המטבע. הלוואות חוץ-בנקאיות אינן נכללות במסגרת תחומי עיסוק אלו, ועל כן לא ניתן אישור למי שנרשם </w:t>
      </w:r>
      <w:r w:rsidRPr="001F3DFF">
        <w:rPr>
          <w:rFonts w:cs="FrankRuehl" w:hint="cs"/>
          <w:sz w:val="20"/>
          <w:szCs w:val="22"/>
          <w:rtl/>
        </w:rPr>
        <w:t>כנש"ם</w:t>
      </w:r>
      <w:r w:rsidRPr="001F3DFF">
        <w:rPr>
          <w:rFonts w:cs="FrankRuehl" w:hint="cs"/>
          <w:sz w:val="20"/>
          <w:szCs w:val="22"/>
          <w:rtl/>
        </w:rPr>
        <w:t xml:space="preserve"> לפעול בעניין זה. המשרד הוסיף כי היחידה לנותני שירותי מטבע פועלת להסרת שילוט מטעה אצל </w:t>
      </w:r>
      <w:r w:rsidRPr="001F3DFF">
        <w:rPr>
          <w:rFonts w:cs="FrankRuehl" w:hint="cs"/>
          <w:sz w:val="20"/>
          <w:szCs w:val="22"/>
          <w:rtl/>
        </w:rPr>
        <w:t>נש"ם</w:t>
      </w:r>
      <w:r w:rsidRPr="001F3DFF">
        <w:rPr>
          <w:rFonts w:cs="FrankRuehl" w:hint="cs"/>
          <w:sz w:val="20"/>
          <w:szCs w:val="22"/>
          <w:rtl/>
        </w:rPr>
        <w:t xml:space="preserve">, פעילות הבאה לידי ביטוי הן במשלוח מכתבים והן בהדרכות המועברות </w:t>
      </w:r>
      <w:r w:rsidRPr="001F3DFF">
        <w:rPr>
          <w:rFonts w:cs="FrankRuehl" w:hint="cs"/>
          <w:sz w:val="20"/>
          <w:szCs w:val="22"/>
          <w:rtl/>
        </w:rPr>
        <w:t>לנש"ם</w:t>
      </w:r>
      <w:r w:rsidRPr="001F3DFF">
        <w:rPr>
          <w:rFonts w:cs="FrankRuehl" w:hint="cs"/>
          <w:sz w:val="20"/>
          <w:szCs w:val="22"/>
          <w:rtl/>
        </w:rPr>
        <w:t>.</w:t>
      </w:r>
    </w:p>
    <w:p w:rsidR="005E5B2C" w:rsidRPr="00164129" w:rsidP="00FB46AA">
      <w:pPr>
        <w:pStyle w:val="RESHET"/>
        <w:keepLines/>
        <w:ind w:left="567"/>
        <w:rPr>
          <w:rtl/>
        </w:rPr>
      </w:pPr>
      <w:r w:rsidRPr="00164129">
        <w:rPr>
          <w:rFonts w:hint="eastAsia"/>
          <w:rtl/>
        </w:rPr>
        <w:t>לדעת</w:t>
      </w:r>
      <w:r w:rsidRPr="00164129">
        <w:rPr>
          <w:rtl/>
        </w:rPr>
        <w:t xml:space="preserve"> </w:t>
      </w:r>
      <w:r w:rsidRPr="00164129">
        <w:rPr>
          <w:rFonts w:hint="eastAsia"/>
          <w:rtl/>
        </w:rPr>
        <w:t>משרד</w:t>
      </w:r>
      <w:r w:rsidRPr="00164129">
        <w:rPr>
          <w:rtl/>
        </w:rPr>
        <w:t xml:space="preserve"> </w:t>
      </w:r>
      <w:r w:rsidRPr="00164129">
        <w:rPr>
          <w:rFonts w:hint="eastAsia"/>
          <w:rtl/>
        </w:rPr>
        <w:t>מבקר</w:t>
      </w:r>
      <w:r w:rsidRPr="00164129">
        <w:rPr>
          <w:rtl/>
        </w:rPr>
        <w:t xml:space="preserve"> </w:t>
      </w:r>
      <w:r w:rsidRPr="00164129">
        <w:rPr>
          <w:rFonts w:hint="eastAsia"/>
          <w:rtl/>
        </w:rPr>
        <w:t>המדינה</w:t>
      </w:r>
      <w:r w:rsidRPr="00164129">
        <w:rPr>
          <w:rtl/>
        </w:rPr>
        <w:t xml:space="preserve">, </w:t>
      </w:r>
      <w:r w:rsidRPr="00164129">
        <w:rPr>
          <w:rFonts w:hint="eastAsia"/>
          <w:rtl/>
        </w:rPr>
        <w:t>נוכח</w:t>
      </w:r>
      <w:r w:rsidRPr="00164129">
        <w:rPr>
          <w:rtl/>
        </w:rPr>
        <w:t xml:space="preserve"> </w:t>
      </w:r>
      <w:r w:rsidRPr="00164129">
        <w:rPr>
          <w:rFonts w:hint="eastAsia"/>
          <w:rtl/>
        </w:rPr>
        <w:t>הגידול</w:t>
      </w:r>
      <w:r w:rsidRPr="00164129">
        <w:rPr>
          <w:rtl/>
        </w:rPr>
        <w:t xml:space="preserve"> </w:t>
      </w:r>
      <w:r w:rsidRPr="00164129">
        <w:rPr>
          <w:rFonts w:hint="eastAsia"/>
          <w:rtl/>
        </w:rPr>
        <w:t>המתמשך</w:t>
      </w:r>
      <w:r w:rsidRPr="00164129">
        <w:rPr>
          <w:rtl/>
        </w:rPr>
        <w:t xml:space="preserve"> </w:t>
      </w:r>
      <w:r w:rsidRPr="00164129">
        <w:rPr>
          <w:rFonts w:hint="eastAsia"/>
          <w:rtl/>
        </w:rPr>
        <w:t>בהלוואות</w:t>
      </w:r>
      <w:r w:rsidRPr="00164129">
        <w:rPr>
          <w:rtl/>
        </w:rPr>
        <w:t xml:space="preserve"> </w:t>
      </w:r>
      <w:r w:rsidRPr="00164129">
        <w:rPr>
          <w:rFonts w:hint="eastAsia"/>
          <w:rtl/>
        </w:rPr>
        <w:t>למשקי</w:t>
      </w:r>
      <w:r w:rsidRPr="00164129">
        <w:rPr>
          <w:rtl/>
        </w:rPr>
        <w:t xml:space="preserve"> </w:t>
      </w:r>
      <w:r w:rsidRPr="00164129">
        <w:rPr>
          <w:rFonts w:hint="eastAsia"/>
          <w:rtl/>
        </w:rPr>
        <w:t>בית</w:t>
      </w:r>
      <w:r w:rsidRPr="00164129">
        <w:rPr>
          <w:rtl/>
        </w:rPr>
        <w:t xml:space="preserve"> </w:t>
      </w:r>
      <w:r w:rsidRPr="00164129">
        <w:rPr>
          <w:rFonts w:hint="eastAsia"/>
          <w:rtl/>
        </w:rPr>
        <w:t>בשנים</w:t>
      </w:r>
      <w:r w:rsidRPr="00164129">
        <w:rPr>
          <w:rtl/>
        </w:rPr>
        <w:t xml:space="preserve"> </w:t>
      </w:r>
      <w:r w:rsidRPr="00164129">
        <w:rPr>
          <w:rFonts w:hint="eastAsia"/>
          <w:rtl/>
        </w:rPr>
        <w:t>האחרונות</w:t>
      </w:r>
      <w:r w:rsidRPr="00164129">
        <w:rPr>
          <w:rtl/>
        </w:rPr>
        <w:t xml:space="preserve">, </w:t>
      </w:r>
      <w:r w:rsidRPr="00164129">
        <w:rPr>
          <w:rFonts w:hint="eastAsia"/>
          <w:rtl/>
        </w:rPr>
        <w:t>על</w:t>
      </w:r>
      <w:r w:rsidRPr="00164129">
        <w:rPr>
          <w:rtl/>
        </w:rPr>
        <w:t xml:space="preserve"> </w:t>
      </w:r>
      <w:r w:rsidRPr="00164129">
        <w:rPr>
          <w:rFonts w:hint="eastAsia"/>
          <w:rtl/>
        </w:rPr>
        <w:t>משרד</w:t>
      </w:r>
      <w:r w:rsidRPr="00164129">
        <w:rPr>
          <w:rtl/>
        </w:rPr>
        <w:t xml:space="preserve"> </w:t>
      </w:r>
      <w:r w:rsidRPr="00164129">
        <w:rPr>
          <w:rFonts w:hint="eastAsia"/>
          <w:rtl/>
        </w:rPr>
        <w:t>המשפטים</w:t>
      </w:r>
      <w:r w:rsidRPr="00164129">
        <w:rPr>
          <w:rtl/>
        </w:rPr>
        <w:t xml:space="preserve"> </w:t>
      </w:r>
      <w:r w:rsidRPr="00164129">
        <w:rPr>
          <w:rFonts w:hint="eastAsia"/>
          <w:rtl/>
        </w:rPr>
        <w:t>ומשרד</w:t>
      </w:r>
      <w:r w:rsidRPr="00164129">
        <w:rPr>
          <w:rtl/>
        </w:rPr>
        <w:t xml:space="preserve"> </w:t>
      </w:r>
      <w:r w:rsidRPr="00164129">
        <w:rPr>
          <w:rFonts w:hint="eastAsia"/>
          <w:rtl/>
        </w:rPr>
        <w:t>האוצר</w:t>
      </w:r>
      <w:r w:rsidRPr="00164129">
        <w:rPr>
          <w:rtl/>
        </w:rPr>
        <w:t xml:space="preserve"> </w:t>
      </w:r>
      <w:r w:rsidRPr="00164129">
        <w:rPr>
          <w:rFonts w:hint="eastAsia"/>
          <w:rtl/>
        </w:rPr>
        <w:t>לפעול</w:t>
      </w:r>
      <w:r w:rsidRPr="00164129">
        <w:rPr>
          <w:rtl/>
        </w:rPr>
        <w:t xml:space="preserve"> </w:t>
      </w:r>
      <w:r w:rsidRPr="00164129">
        <w:rPr>
          <w:rFonts w:hint="eastAsia"/>
          <w:rtl/>
        </w:rPr>
        <w:t>בהקדם</w:t>
      </w:r>
      <w:r w:rsidRPr="00164129">
        <w:rPr>
          <w:rtl/>
        </w:rPr>
        <w:t xml:space="preserve"> </w:t>
      </w:r>
      <w:r w:rsidRPr="00164129">
        <w:rPr>
          <w:rFonts w:hint="eastAsia"/>
          <w:rtl/>
        </w:rPr>
        <w:t>להסדרת</w:t>
      </w:r>
      <w:r w:rsidRPr="00164129">
        <w:rPr>
          <w:rtl/>
        </w:rPr>
        <w:t xml:space="preserve"> </w:t>
      </w:r>
      <w:r w:rsidRPr="00164129">
        <w:rPr>
          <w:rFonts w:hint="eastAsia"/>
          <w:rtl/>
        </w:rPr>
        <w:t>הפיקוח</w:t>
      </w:r>
      <w:r w:rsidRPr="00164129">
        <w:rPr>
          <w:rtl/>
        </w:rPr>
        <w:t xml:space="preserve"> </w:t>
      </w:r>
      <w:r w:rsidRPr="00164129">
        <w:rPr>
          <w:rFonts w:hint="eastAsia"/>
          <w:rtl/>
        </w:rPr>
        <w:t>על</w:t>
      </w:r>
      <w:r w:rsidRPr="00164129">
        <w:rPr>
          <w:rtl/>
        </w:rPr>
        <w:t xml:space="preserve"> </w:t>
      </w:r>
      <w:r w:rsidRPr="00164129">
        <w:rPr>
          <w:rFonts w:hint="eastAsia"/>
          <w:rtl/>
        </w:rPr>
        <w:t>תחום</w:t>
      </w:r>
      <w:r w:rsidRPr="00164129">
        <w:rPr>
          <w:rtl/>
        </w:rPr>
        <w:t xml:space="preserve"> </w:t>
      </w:r>
      <w:r w:rsidRPr="00164129">
        <w:rPr>
          <w:rFonts w:hint="eastAsia"/>
          <w:rtl/>
        </w:rPr>
        <w:t>ההלוואות</w:t>
      </w:r>
      <w:r w:rsidRPr="00164129">
        <w:rPr>
          <w:rtl/>
        </w:rPr>
        <w:t xml:space="preserve"> </w:t>
      </w:r>
      <w:r w:rsidRPr="00164129">
        <w:rPr>
          <w:rFonts w:hint="eastAsia"/>
          <w:rtl/>
        </w:rPr>
        <w:t>החוץ</w:t>
      </w:r>
      <w:r w:rsidRPr="00164129">
        <w:rPr>
          <w:rtl/>
        </w:rPr>
        <w:t xml:space="preserve">-בנקאיות </w:t>
      </w:r>
      <w:r w:rsidRPr="00164129">
        <w:rPr>
          <w:rFonts w:hint="eastAsia"/>
          <w:rtl/>
        </w:rPr>
        <w:t>הפרטיות</w:t>
      </w:r>
      <w:r w:rsidRPr="00164129">
        <w:rPr>
          <w:rtl/>
        </w:rPr>
        <w:t xml:space="preserve">, </w:t>
      </w:r>
      <w:r w:rsidRPr="00164129">
        <w:rPr>
          <w:rFonts w:hint="eastAsia"/>
          <w:rtl/>
        </w:rPr>
        <w:t>ובתוך</w:t>
      </w:r>
      <w:r w:rsidRPr="00164129">
        <w:rPr>
          <w:rtl/>
        </w:rPr>
        <w:t xml:space="preserve"> </w:t>
      </w:r>
      <w:r w:rsidRPr="00164129">
        <w:rPr>
          <w:rFonts w:hint="eastAsia"/>
          <w:rtl/>
        </w:rPr>
        <w:t>כך</w:t>
      </w:r>
      <w:r w:rsidRPr="00164129">
        <w:rPr>
          <w:rtl/>
        </w:rPr>
        <w:t xml:space="preserve"> </w:t>
      </w:r>
      <w:r w:rsidRPr="00164129">
        <w:rPr>
          <w:rFonts w:hint="eastAsia"/>
          <w:rtl/>
        </w:rPr>
        <w:t>להסדיר</w:t>
      </w:r>
      <w:r w:rsidRPr="00164129">
        <w:rPr>
          <w:rtl/>
        </w:rPr>
        <w:t xml:space="preserve"> </w:t>
      </w:r>
      <w:r w:rsidRPr="00164129">
        <w:rPr>
          <w:rFonts w:hint="eastAsia"/>
          <w:rtl/>
        </w:rPr>
        <w:t>את</w:t>
      </w:r>
      <w:r w:rsidRPr="00164129">
        <w:rPr>
          <w:rtl/>
        </w:rPr>
        <w:t xml:space="preserve"> </w:t>
      </w:r>
      <w:r w:rsidRPr="00164129">
        <w:rPr>
          <w:rFonts w:hint="eastAsia"/>
          <w:rtl/>
        </w:rPr>
        <w:t>נושא</w:t>
      </w:r>
      <w:r w:rsidRPr="00164129">
        <w:rPr>
          <w:rtl/>
        </w:rPr>
        <w:t xml:space="preserve"> </w:t>
      </w:r>
      <w:r w:rsidRPr="00164129">
        <w:rPr>
          <w:rFonts w:hint="eastAsia"/>
          <w:rtl/>
        </w:rPr>
        <w:t>הפרסום</w:t>
      </w:r>
      <w:r w:rsidRPr="00164129">
        <w:rPr>
          <w:rtl/>
        </w:rPr>
        <w:t xml:space="preserve"> </w:t>
      </w:r>
      <w:r w:rsidRPr="00164129">
        <w:rPr>
          <w:rFonts w:hint="eastAsia"/>
          <w:rtl/>
        </w:rPr>
        <w:t>והשיווק</w:t>
      </w:r>
      <w:r w:rsidRPr="00164129">
        <w:rPr>
          <w:rtl/>
        </w:rPr>
        <w:t xml:space="preserve"> </w:t>
      </w:r>
      <w:r w:rsidRPr="00164129">
        <w:rPr>
          <w:rFonts w:hint="eastAsia"/>
          <w:rtl/>
        </w:rPr>
        <w:t>של</w:t>
      </w:r>
      <w:r w:rsidRPr="00164129">
        <w:rPr>
          <w:rtl/>
        </w:rPr>
        <w:t xml:space="preserve"> </w:t>
      </w:r>
      <w:r w:rsidRPr="00164129">
        <w:rPr>
          <w:rFonts w:hint="eastAsia"/>
          <w:rtl/>
        </w:rPr>
        <w:t>הלוואות</w:t>
      </w:r>
      <w:r w:rsidRPr="00164129">
        <w:rPr>
          <w:rtl/>
        </w:rPr>
        <w:t xml:space="preserve"> </w:t>
      </w:r>
      <w:r w:rsidRPr="00164129">
        <w:rPr>
          <w:rFonts w:hint="eastAsia"/>
          <w:rtl/>
        </w:rPr>
        <w:t>לצרכנים</w:t>
      </w:r>
      <w:r w:rsidRPr="00164129">
        <w:rPr>
          <w:rtl/>
        </w:rPr>
        <w:t>.</w:t>
      </w:r>
    </w:p>
    <w:p w:rsidR="005E5B2C" w:rsidRPr="001F3DFF" w:rsidP="00FB46AA">
      <w:pPr>
        <w:spacing w:before="180" w:after="240" w:line="230" w:lineRule="exact"/>
        <w:ind w:left="340" w:hanging="340"/>
        <w:jc w:val="both"/>
        <w:rPr>
          <w:rFonts w:cs="FrankRuehl"/>
          <w:sz w:val="20"/>
          <w:szCs w:val="22"/>
          <w:rtl/>
        </w:rPr>
      </w:pPr>
      <w:r w:rsidRPr="001F3DFF">
        <w:rPr>
          <w:rFonts w:cs="FrankRuehl" w:hint="cs"/>
          <w:sz w:val="20"/>
          <w:szCs w:val="22"/>
          <w:rtl/>
        </w:rPr>
        <w:t xml:space="preserve">3. </w:t>
      </w:r>
      <w:r w:rsidRPr="001F3DFF">
        <w:rPr>
          <w:rFonts w:cs="FrankRuehl" w:hint="cs"/>
          <w:sz w:val="20"/>
          <w:szCs w:val="22"/>
          <w:rtl/>
        </w:rPr>
        <w:tab/>
        <w:t>בהוראה 4(א)(3)</w:t>
      </w:r>
      <w:r>
        <w:rPr>
          <w:rStyle w:val="FootnoteReference0"/>
          <w:rFonts w:cs="FrankRuehl"/>
          <w:sz w:val="20"/>
          <w:szCs w:val="22"/>
          <w:rtl/>
        </w:rPr>
        <w:footnoteReference w:id="55"/>
      </w:r>
      <w:r w:rsidRPr="001F3DFF">
        <w:rPr>
          <w:rFonts w:cs="FrankRuehl" w:hint="cs"/>
          <w:sz w:val="20"/>
          <w:szCs w:val="22"/>
          <w:rtl/>
        </w:rPr>
        <w:t xml:space="preserve"> לנוהל בנקאי תקין - "נהלים למתן הלוואות דיור", מחייב המפקח על הבנקים את התאגידים הבנקאיים לתת לכל אדם המבקש לברר בסניף תנאים לקבלת הלוואה דפי הסבר, שבהם יפורטו "אופן חישוב הריבית ודוגמאות של לוחות תשלומים לכל 10,000 ש"ח בשיעורי ריבית שכיחים, עבור טווחי זמן שונים".</w:t>
      </w:r>
    </w:p>
    <w:p w:rsidR="005E5B2C" w:rsidRPr="00164129" w:rsidP="00FB46AA">
      <w:pPr>
        <w:pStyle w:val="RESHET"/>
        <w:keepLines/>
        <w:ind w:left="567"/>
        <w:rPr>
          <w:rtl/>
        </w:rPr>
      </w:pPr>
      <w:r w:rsidRPr="00164129">
        <w:rPr>
          <w:rFonts w:hint="cs"/>
          <w:rtl/>
        </w:rPr>
        <w:t xml:space="preserve">נמצא כי אין כל הוראה דומה בנוגע להלוואות שאינן לדיור. </w:t>
      </w:r>
    </w:p>
    <w:p w:rsidR="005E5B2C" w:rsidRPr="001F3DFF" w:rsidP="00FB46AA">
      <w:pPr>
        <w:spacing w:before="180" w:after="240" w:line="230" w:lineRule="exact"/>
        <w:ind w:left="340"/>
        <w:jc w:val="both"/>
        <w:rPr>
          <w:rFonts w:cs="FrankRuehl"/>
          <w:sz w:val="20"/>
          <w:szCs w:val="22"/>
          <w:rtl/>
        </w:rPr>
      </w:pPr>
      <w:r w:rsidRPr="001F3DFF">
        <w:rPr>
          <w:rFonts w:cs="FrankRuehl" w:hint="eastAsia"/>
          <w:sz w:val="20"/>
          <w:szCs w:val="22"/>
          <w:rtl/>
        </w:rPr>
        <w:t>בנק</w:t>
      </w:r>
      <w:r w:rsidRPr="001F3DFF">
        <w:rPr>
          <w:rFonts w:cs="FrankRuehl"/>
          <w:sz w:val="20"/>
          <w:szCs w:val="22"/>
          <w:rtl/>
        </w:rPr>
        <w:t xml:space="preserve"> ישראל מסר בתשובתו כי אינו בטוח </w:t>
      </w:r>
      <w:r w:rsidRPr="001F3DFF">
        <w:rPr>
          <w:rFonts w:cs="FrankRuehl" w:hint="eastAsia"/>
          <w:sz w:val="20"/>
          <w:szCs w:val="22"/>
          <w:rtl/>
        </w:rPr>
        <w:t>בחיוניותו</w:t>
      </w:r>
      <w:r w:rsidRPr="001F3DFF">
        <w:rPr>
          <w:rFonts w:cs="FrankRuehl"/>
          <w:sz w:val="20"/>
          <w:szCs w:val="22"/>
          <w:rtl/>
        </w:rPr>
        <w:t xml:space="preserve"> של מידע זה על </w:t>
      </w:r>
      <w:r w:rsidRPr="001F3DFF">
        <w:rPr>
          <w:rFonts w:cs="FrankRuehl" w:hint="eastAsia"/>
          <w:sz w:val="20"/>
          <w:szCs w:val="22"/>
          <w:rtl/>
        </w:rPr>
        <w:t>רקע</w:t>
      </w:r>
      <w:r w:rsidRPr="001F3DFF">
        <w:rPr>
          <w:rFonts w:cs="FrankRuehl"/>
          <w:sz w:val="20"/>
          <w:szCs w:val="22"/>
          <w:rtl/>
        </w:rPr>
        <w:t xml:space="preserve"> </w:t>
      </w:r>
      <w:r w:rsidRPr="001F3DFF">
        <w:rPr>
          <w:rFonts w:cs="FrankRuehl" w:hint="eastAsia"/>
          <w:sz w:val="20"/>
          <w:szCs w:val="22"/>
          <w:rtl/>
        </w:rPr>
        <w:t>כלל</w:t>
      </w:r>
      <w:r w:rsidRPr="001F3DFF">
        <w:rPr>
          <w:rFonts w:cs="FrankRuehl"/>
          <w:sz w:val="20"/>
          <w:szCs w:val="22"/>
          <w:rtl/>
        </w:rPr>
        <w:t xml:space="preserve"> </w:t>
      </w:r>
      <w:r w:rsidRPr="001F3DFF">
        <w:rPr>
          <w:rFonts w:cs="FrankRuehl" w:hint="eastAsia"/>
          <w:sz w:val="20"/>
          <w:szCs w:val="22"/>
          <w:rtl/>
        </w:rPr>
        <w:t>המידע</w:t>
      </w:r>
      <w:r w:rsidRPr="001F3DFF">
        <w:rPr>
          <w:rFonts w:cs="FrankRuehl"/>
          <w:sz w:val="20"/>
          <w:szCs w:val="22"/>
          <w:rtl/>
        </w:rPr>
        <w:t xml:space="preserve"> </w:t>
      </w:r>
      <w:r w:rsidRPr="001F3DFF">
        <w:rPr>
          <w:rFonts w:cs="FrankRuehl" w:hint="eastAsia"/>
          <w:sz w:val="20"/>
          <w:szCs w:val="22"/>
          <w:rtl/>
        </w:rPr>
        <w:t>שבנק</w:t>
      </w:r>
      <w:r w:rsidRPr="001F3DFF">
        <w:rPr>
          <w:rFonts w:cs="FrankRuehl"/>
          <w:sz w:val="20"/>
          <w:szCs w:val="22"/>
          <w:rtl/>
        </w:rPr>
        <w:t xml:space="preserve"> </w:t>
      </w:r>
      <w:r w:rsidRPr="001F3DFF">
        <w:rPr>
          <w:rFonts w:cs="FrankRuehl" w:hint="eastAsia"/>
          <w:sz w:val="20"/>
          <w:szCs w:val="22"/>
          <w:rtl/>
        </w:rPr>
        <w:t>נדרש</w:t>
      </w:r>
      <w:r w:rsidRPr="001F3DFF">
        <w:rPr>
          <w:rFonts w:cs="FrankRuehl"/>
          <w:sz w:val="20"/>
          <w:szCs w:val="22"/>
          <w:rtl/>
        </w:rPr>
        <w:t xml:space="preserve"> </w:t>
      </w:r>
      <w:r w:rsidRPr="001F3DFF">
        <w:rPr>
          <w:rFonts w:cs="FrankRuehl" w:hint="eastAsia"/>
          <w:sz w:val="20"/>
          <w:szCs w:val="22"/>
          <w:rtl/>
        </w:rPr>
        <w:t>לספק</w:t>
      </w:r>
      <w:r w:rsidRPr="001F3DFF">
        <w:rPr>
          <w:rFonts w:cs="FrankRuehl"/>
          <w:sz w:val="20"/>
          <w:szCs w:val="22"/>
          <w:rtl/>
        </w:rPr>
        <w:t xml:space="preserve"> </w:t>
      </w:r>
      <w:r w:rsidRPr="001F3DFF">
        <w:rPr>
          <w:rFonts w:cs="FrankRuehl" w:hint="eastAsia"/>
          <w:sz w:val="20"/>
          <w:szCs w:val="22"/>
          <w:rtl/>
        </w:rPr>
        <w:t>ללווה</w:t>
      </w:r>
      <w:r w:rsidRPr="001F3DFF">
        <w:rPr>
          <w:rFonts w:cs="FrankRuehl"/>
          <w:sz w:val="20"/>
          <w:szCs w:val="22"/>
          <w:rtl/>
        </w:rPr>
        <w:t xml:space="preserve"> </w:t>
      </w:r>
      <w:r w:rsidRPr="001F3DFF">
        <w:rPr>
          <w:rFonts w:cs="FrankRuehl" w:hint="eastAsia"/>
          <w:sz w:val="20"/>
          <w:szCs w:val="22"/>
          <w:rtl/>
        </w:rPr>
        <w:t>בעת</w:t>
      </w:r>
      <w:r w:rsidRPr="001F3DFF">
        <w:rPr>
          <w:rFonts w:cs="FrankRuehl"/>
          <w:sz w:val="20"/>
          <w:szCs w:val="22"/>
          <w:rtl/>
        </w:rPr>
        <w:t xml:space="preserve"> </w:t>
      </w:r>
      <w:r w:rsidRPr="001F3DFF">
        <w:rPr>
          <w:rFonts w:cs="FrankRuehl" w:hint="eastAsia"/>
          <w:sz w:val="20"/>
          <w:szCs w:val="22"/>
          <w:rtl/>
        </w:rPr>
        <w:t>מתן</w:t>
      </w:r>
      <w:r w:rsidRPr="001F3DFF">
        <w:rPr>
          <w:rFonts w:cs="FrankRuehl"/>
          <w:sz w:val="20"/>
          <w:szCs w:val="22"/>
          <w:rtl/>
        </w:rPr>
        <w:t xml:space="preserve"> </w:t>
      </w:r>
      <w:r w:rsidRPr="001F3DFF">
        <w:rPr>
          <w:rFonts w:cs="FrankRuehl" w:hint="eastAsia"/>
          <w:sz w:val="20"/>
          <w:szCs w:val="22"/>
          <w:rtl/>
        </w:rPr>
        <w:t>אשראי</w:t>
      </w:r>
      <w:r w:rsidRPr="001F3DFF">
        <w:rPr>
          <w:rFonts w:cs="FrankRuehl"/>
          <w:sz w:val="20"/>
          <w:szCs w:val="22"/>
          <w:rtl/>
        </w:rPr>
        <w:t xml:space="preserve">, </w:t>
      </w:r>
      <w:r w:rsidRPr="001F3DFF">
        <w:rPr>
          <w:rFonts w:cs="FrankRuehl" w:hint="eastAsia"/>
          <w:sz w:val="20"/>
          <w:szCs w:val="22"/>
          <w:rtl/>
        </w:rPr>
        <w:t>בפרט</w:t>
      </w:r>
      <w:r w:rsidRPr="001F3DFF">
        <w:rPr>
          <w:rFonts w:cs="FrankRuehl"/>
          <w:sz w:val="20"/>
          <w:szCs w:val="22"/>
          <w:rtl/>
        </w:rPr>
        <w:t xml:space="preserve"> </w:t>
      </w:r>
      <w:r w:rsidRPr="001F3DFF">
        <w:rPr>
          <w:rFonts w:cs="FrankRuehl" w:hint="eastAsia"/>
          <w:sz w:val="20"/>
          <w:szCs w:val="22"/>
          <w:rtl/>
        </w:rPr>
        <w:t>אם</w:t>
      </w:r>
      <w:r w:rsidRPr="001F3DFF">
        <w:rPr>
          <w:rFonts w:cs="FrankRuehl"/>
          <w:sz w:val="20"/>
          <w:szCs w:val="22"/>
          <w:rtl/>
        </w:rPr>
        <w:t xml:space="preserve"> </w:t>
      </w:r>
      <w:r w:rsidRPr="001F3DFF">
        <w:rPr>
          <w:rFonts w:cs="FrankRuehl" w:hint="eastAsia"/>
          <w:sz w:val="20"/>
          <w:szCs w:val="22"/>
          <w:rtl/>
        </w:rPr>
        <w:t>מדובר</w:t>
      </w:r>
      <w:r w:rsidRPr="001F3DFF">
        <w:rPr>
          <w:rFonts w:cs="FrankRuehl"/>
          <w:sz w:val="20"/>
          <w:szCs w:val="22"/>
          <w:rtl/>
        </w:rPr>
        <w:t xml:space="preserve"> </w:t>
      </w:r>
      <w:r w:rsidRPr="001F3DFF">
        <w:rPr>
          <w:rFonts w:cs="FrankRuehl" w:hint="eastAsia"/>
          <w:sz w:val="20"/>
          <w:szCs w:val="22"/>
          <w:rtl/>
        </w:rPr>
        <w:t>בהלוואות</w:t>
      </w:r>
      <w:r w:rsidRPr="001F3DFF">
        <w:rPr>
          <w:rFonts w:cs="FrankRuehl"/>
          <w:sz w:val="20"/>
          <w:szCs w:val="22"/>
          <w:rtl/>
        </w:rPr>
        <w:t xml:space="preserve"> </w:t>
      </w:r>
      <w:r w:rsidRPr="001F3DFF">
        <w:rPr>
          <w:rFonts w:cs="FrankRuehl" w:hint="eastAsia"/>
          <w:sz w:val="20"/>
          <w:szCs w:val="22"/>
          <w:rtl/>
        </w:rPr>
        <w:t>קצרות</w:t>
      </w:r>
      <w:r w:rsidRPr="001F3DFF">
        <w:rPr>
          <w:rFonts w:cs="FrankRuehl"/>
          <w:sz w:val="20"/>
          <w:szCs w:val="22"/>
          <w:rtl/>
        </w:rPr>
        <w:t xml:space="preserve"> </w:t>
      </w:r>
      <w:r w:rsidRPr="001F3DFF">
        <w:rPr>
          <w:rFonts w:cs="FrankRuehl" w:hint="eastAsia"/>
          <w:sz w:val="20"/>
          <w:szCs w:val="22"/>
          <w:rtl/>
        </w:rPr>
        <w:t>ובסכומים</w:t>
      </w:r>
      <w:r w:rsidRPr="001F3DFF">
        <w:rPr>
          <w:rFonts w:cs="FrankRuehl"/>
          <w:sz w:val="20"/>
          <w:szCs w:val="22"/>
          <w:rtl/>
        </w:rPr>
        <w:t xml:space="preserve"> </w:t>
      </w:r>
      <w:r w:rsidRPr="001F3DFF">
        <w:rPr>
          <w:rFonts w:cs="FrankRuehl" w:hint="eastAsia"/>
          <w:sz w:val="20"/>
          <w:szCs w:val="22"/>
          <w:rtl/>
        </w:rPr>
        <w:t>נמוכים</w:t>
      </w:r>
      <w:r w:rsidRPr="001F3DFF">
        <w:rPr>
          <w:rFonts w:cs="FrankRuehl"/>
          <w:sz w:val="20"/>
          <w:szCs w:val="22"/>
          <w:rtl/>
        </w:rPr>
        <w:t>.</w:t>
      </w:r>
    </w:p>
    <w:p w:rsidR="005E5B2C" w:rsidRPr="005D24E1" w:rsidP="00FB46AA">
      <w:pPr>
        <w:pStyle w:val="RESHET"/>
        <w:keepLines/>
        <w:ind w:left="567"/>
        <w:rPr>
          <w:spacing w:val="-2"/>
          <w:rtl/>
        </w:rPr>
      </w:pPr>
      <w:r w:rsidRPr="005D24E1">
        <w:rPr>
          <w:rFonts w:hint="cs"/>
          <w:spacing w:val="-2"/>
          <w:rtl/>
        </w:rPr>
        <w:t xml:space="preserve">לדעת משרד מבקר המדינה, נוכח הגידול בהיקף ההלוואות למשקי הבית, מן הראוי שבנק ישראל ישקול להוציא הוראה שתחייב את התאגידים הבנקאיים ליידע את הלקוח, בעת מתן האשראי, על הסיכונים שהוא עלול להיחשף להם במהלך חיי ההלוואה. </w:t>
      </w:r>
    </w:p>
    <w:p w:rsidR="005E5B2C" w:rsidRPr="001F3DFF" w:rsidP="00FB46AA">
      <w:pPr>
        <w:spacing w:before="180" w:after="240" w:line="230" w:lineRule="exact"/>
        <w:ind w:left="340" w:hanging="340"/>
        <w:jc w:val="both"/>
        <w:rPr>
          <w:rFonts w:cs="FrankRuehl"/>
          <w:sz w:val="20"/>
          <w:szCs w:val="22"/>
          <w:rtl/>
        </w:rPr>
      </w:pPr>
      <w:r w:rsidRPr="001F3DFF">
        <w:rPr>
          <w:rFonts w:cs="FrankRuehl" w:hint="cs"/>
          <w:sz w:val="20"/>
          <w:szCs w:val="22"/>
          <w:rtl/>
        </w:rPr>
        <w:t xml:space="preserve">4. </w:t>
      </w:r>
      <w:r w:rsidRPr="001F3DFF">
        <w:rPr>
          <w:rFonts w:cs="FrankRuehl" w:hint="cs"/>
          <w:sz w:val="20"/>
          <w:szCs w:val="22"/>
          <w:rtl/>
        </w:rPr>
        <w:tab/>
        <w:t xml:space="preserve">סעיף 3(ב)(11) לחוק הסדרת הלוואות חוץ-בנקאיות קובע כי </w:t>
      </w:r>
      <w:r w:rsidRPr="001F3DFF">
        <w:rPr>
          <w:rFonts w:cs="FrankRuehl"/>
          <w:sz w:val="20"/>
          <w:szCs w:val="22"/>
          <w:rtl/>
        </w:rPr>
        <w:t xml:space="preserve">חוזה הלוואה יכלול </w:t>
      </w:r>
      <w:r w:rsidRPr="001F3DFF">
        <w:rPr>
          <w:rFonts w:cs="FrankRuehl" w:hint="cs"/>
          <w:sz w:val="20"/>
          <w:szCs w:val="22"/>
          <w:rtl/>
        </w:rPr>
        <w:t>את "</w:t>
      </w:r>
      <w:r w:rsidRPr="001F3DFF">
        <w:rPr>
          <w:rFonts w:cs="FrankRuehl"/>
          <w:sz w:val="20"/>
          <w:szCs w:val="22"/>
          <w:rtl/>
        </w:rPr>
        <w:t>שיעור ריבית הפיגורים בחישוב שנתי המביא בחשבון גם ריבית דריבית, לפי הידוע בעת חתימת חוזה ההלוואה</w:t>
      </w:r>
      <w:r w:rsidRPr="001F3DFF">
        <w:rPr>
          <w:rFonts w:cs="FrankRuehl" w:hint="cs"/>
          <w:sz w:val="20"/>
          <w:szCs w:val="22"/>
          <w:rtl/>
        </w:rPr>
        <w:t xml:space="preserve">". </w:t>
      </w:r>
    </w:p>
    <w:p w:rsidR="005E5B2C" w:rsidRPr="00164129" w:rsidP="00FB46AA">
      <w:pPr>
        <w:pStyle w:val="RESHET"/>
        <w:keepLines/>
        <w:ind w:left="567"/>
        <w:rPr>
          <w:rtl/>
        </w:rPr>
      </w:pPr>
      <w:r w:rsidRPr="00164129">
        <w:rPr>
          <w:rFonts w:hint="cs"/>
          <w:rtl/>
        </w:rPr>
        <w:t xml:space="preserve">נמצא כי אין הנחיה דומה המחייבת תאגידים בנקאיים ליידע את הלקוח, בעת מתן הלוואה, בדבר שיעור ריבית הפיגורים שהוא צפוי לשלם במקרה של אי-עמידה בהחזר ההלוואה. </w:t>
      </w:r>
    </w:p>
    <w:p w:rsidR="005E5B2C" w:rsidRPr="001F3DFF" w:rsidP="00FB46AA">
      <w:pPr>
        <w:spacing w:before="180" w:after="120" w:line="230" w:lineRule="exact"/>
        <w:ind w:left="340"/>
        <w:jc w:val="both"/>
        <w:rPr>
          <w:rFonts w:cs="FrankRuehl"/>
          <w:sz w:val="20"/>
          <w:szCs w:val="22"/>
          <w:rtl/>
        </w:rPr>
      </w:pPr>
      <w:r w:rsidRPr="001F3DFF">
        <w:rPr>
          <w:rFonts w:cs="FrankRuehl" w:hint="eastAsia"/>
          <w:sz w:val="20"/>
          <w:szCs w:val="22"/>
          <w:rtl/>
        </w:rPr>
        <w:t>בנק</w:t>
      </w:r>
      <w:r w:rsidRPr="001F3DFF">
        <w:rPr>
          <w:rFonts w:cs="FrankRuehl"/>
          <w:sz w:val="20"/>
          <w:szCs w:val="22"/>
          <w:rtl/>
        </w:rPr>
        <w:t xml:space="preserve"> </w:t>
      </w:r>
      <w:r w:rsidRPr="001F3DFF">
        <w:rPr>
          <w:rFonts w:cs="FrankRuehl" w:hint="eastAsia"/>
          <w:sz w:val="20"/>
          <w:szCs w:val="22"/>
          <w:rtl/>
        </w:rPr>
        <w:t>ישראל</w:t>
      </w:r>
      <w:r w:rsidRPr="001F3DFF">
        <w:rPr>
          <w:rFonts w:cs="FrankRuehl"/>
          <w:sz w:val="20"/>
          <w:szCs w:val="22"/>
          <w:rtl/>
        </w:rPr>
        <w:t xml:space="preserve"> </w:t>
      </w:r>
      <w:r w:rsidRPr="001F3DFF">
        <w:rPr>
          <w:rFonts w:cs="FrankRuehl" w:hint="eastAsia"/>
          <w:sz w:val="20"/>
          <w:szCs w:val="22"/>
          <w:rtl/>
        </w:rPr>
        <w:t>מסר</w:t>
      </w:r>
      <w:r w:rsidRPr="001F3DFF">
        <w:rPr>
          <w:rFonts w:cs="FrankRuehl"/>
          <w:sz w:val="20"/>
          <w:szCs w:val="22"/>
          <w:rtl/>
        </w:rPr>
        <w:t xml:space="preserve"> </w:t>
      </w:r>
      <w:r w:rsidRPr="001F3DFF">
        <w:rPr>
          <w:rFonts w:cs="FrankRuehl" w:hint="eastAsia"/>
          <w:sz w:val="20"/>
          <w:szCs w:val="22"/>
          <w:rtl/>
        </w:rPr>
        <w:t>בתשובתו</w:t>
      </w:r>
      <w:r w:rsidRPr="001F3DFF">
        <w:rPr>
          <w:rFonts w:cs="FrankRuehl"/>
          <w:sz w:val="20"/>
          <w:szCs w:val="22"/>
          <w:rtl/>
        </w:rPr>
        <w:t xml:space="preserve"> </w:t>
      </w:r>
      <w:r w:rsidRPr="001F3DFF">
        <w:rPr>
          <w:rFonts w:cs="FrankRuehl" w:hint="eastAsia"/>
          <w:sz w:val="20"/>
          <w:szCs w:val="22"/>
          <w:rtl/>
        </w:rPr>
        <w:t>כי</w:t>
      </w:r>
      <w:r w:rsidRPr="001F3DFF">
        <w:rPr>
          <w:rFonts w:cs="FrankRuehl"/>
          <w:sz w:val="20"/>
          <w:szCs w:val="22"/>
          <w:rtl/>
        </w:rPr>
        <w:t xml:space="preserve"> סעיף 17ב לכללי הבנקאות מחייב את התאגיד הבנקאי למסור ללקוח מידע </w:t>
      </w:r>
      <w:r w:rsidRPr="001F3DFF">
        <w:rPr>
          <w:rFonts w:cs="FrankRuehl" w:hint="cs"/>
          <w:sz w:val="20"/>
          <w:szCs w:val="22"/>
          <w:rtl/>
        </w:rPr>
        <w:t>על</w:t>
      </w:r>
      <w:r w:rsidRPr="001F3DFF">
        <w:rPr>
          <w:rFonts w:cs="FrankRuehl"/>
          <w:sz w:val="20"/>
          <w:szCs w:val="22"/>
          <w:rtl/>
        </w:rPr>
        <w:t xml:space="preserve"> ריבית הפיגורים בשלב </w:t>
      </w:r>
      <w:r w:rsidRPr="001F3DFF">
        <w:rPr>
          <w:rFonts w:cs="FrankRuehl" w:hint="cs"/>
          <w:sz w:val="20"/>
          <w:szCs w:val="22"/>
          <w:rtl/>
        </w:rPr>
        <w:t>ש</w:t>
      </w:r>
      <w:r w:rsidRPr="001F3DFF">
        <w:rPr>
          <w:rFonts w:cs="FrankRuehl"/>
          <w:sz w:val="20"/>
          <w:szCs w:val="22"/>
          <w:rtl/>
        </w:rPr>
        <w:t>בו הלקוח נכנס לפיגור בהלוואה</w:t>
      </w:r>
      <w:r w:rsidRPr="001F3DFF">
        <w:rPr>
          <w:rFonts w:cs="FrankRuehl" w:hint="cs"/>
          <w:sz w:val="20"/>
          <w:szCs w:val="22"/>
          <w:rtl/>
        </w:rPr>
        <w:t>,</w:t>
      </w:r>
      <w:r w:rsidRPr="001F3DFF">
        <w:rPr>
          <w:rFonts w:cs="FrankRuehl"/>
          <w:sz w:val="20"/>
          <w:szCs w:val="22"/>
          <w:rtl/>
        </w:rPr>
        <w:t xml:space="preserve"> </w:t>
      </w:r>
      <w:r w:rsidRPr="001F3DFF">
        <w:rPr>
          <w:rFonts w:cs="FrankRuehl" w:hint="cs"/>
          <w:sz w:val="20"/>
          <w:szCs w:val="22"/>
          <w:rtl/>
        </w:rPr>
        <w:t>ו</w:t>
      </w:r>
      <w:r w:rsidRPr="001F3DFF">
        <w:rPr>
          <w:rFonts w:cs="FrankRuehl"/>
          <w:sz w:val="20"/>
          <w:szCs w:val="22"/>
          <w:rtl/>
        </w:rPr>
        <w:t xml:space="preserve">כי לאור ממצאי הביקורת יבחן </w:t>
      </w:r>
      <w:r w:rsidRPr="001F3DFF">
        <w:rPr>
          <w:rFonts w:cs="FrankRuehl" w:hint="eastAsia"/>
          <w:sz w:val="20"/>
          <w:szCs w:val="22"/>
          <w:rtl/>
        </w:rPr>
        <w:t>אם</w:t>
      </w:r>
      <w:r w:rsidRPr="001F3DFF">
        <w:rPr>
          <w:rFonts w:cs="FrankRuehl"/>
          <w:sz w:val="20"/>
          <w:szCs w:val="22"/>
          <w:rtl/>
        </w:rPr>
        <w:t xml:space="preserve"> </w:t>
      </w:r>
      <w:r w:rsidRPr="001F3DFF">
        <w:rPr>
          <w:rFonts w:cs="FrankRuehl" w:hint="eastAsia"/>
          <w:sz w:val="20"/>
          <w:szCs w:val="22"/>
          <w:rtl/>
        </w:rPr>
        <w:t>יש</w:t>
      </w:r>
      <w:r w:rsidRPr="001F3DFF">
        <w:rPr>
          <w:rFonts w:cs="FrankRuehl"/>
          <w:sz w:val="20"/>
          <w:szCs w:val="22"/>
          <w:rtl/>
        </w:rPr>
        <w:t xml:space="preserve"> </w:t>
      </w:r>
      <w:r w:rsidRPr="001F3DFF">
        <w:rPr>
          <w:rFonts w:cs="FrankRuehl" w:hint="eastAsia"/>
          <w:sz w:val="20"/>
          <w:szCs w:val="22"/>
          <w:rtl/>
        </w:rPr>
        <w:t>מקום</w:t>
      </w:r>
      <w:r w:rsidRPr="001F3DFF">
        <w:rPr>
          <w:rFonts w:cs="FrankRuehl"/>
          <w:sz w:val="20"/>
          <w:szCs w:val="22"/>
          <w:rtl/>
        </w:rPr>
        <w:t xml:space="preserve"> </w:t>
      </w:r>
      <w:r w:rsidRPr="001F3DFF">
        <w:rPr>
          <w:rFonts w:cs="FrankRuehl" w:hint="eastAsia"/>
          <w:sz w:val="20"/>
          <w:szCs w:val="22"/>
          <w:rtl/>
        </w:rPr>
        <w:t>לחייב</w:t>
      </w:r>
      <w:r w:rsidRPr="001F3DFF">
        <w:rPr>
          <w:rFonts w:cs="FrankRuehl"/>
          <w:sz w:val="20"/>
          <w:szCs w:val="22"/>
          <w:rtl/>
        </w:rPr>
        <w:t xml:space="preserve"> </w:t>
      </w:r>
      <w:r w:rsidRPr="001F3DFF">
        <w:rPr>
          <w:rFonts w:cs="FrankRuehl" w:hint="eastAsia"/>
          <w:sz w:val="20"/>
          <w:szCs w:val="22"/>
          <w:rtl/>
        </w:rPr>
        <w:t>את</w:t>
      </w:r>
      <w:r w:rsidRPr="001F3DFF">
        <w:rPr>
          <w:rFonts w:cs="FrankRuehl"/>
          <w:sz w:val="20"/>
          <w:szCs w:val="22"/>
          <w:rtl/>
        </w:rPr>
        <w:t xml:space="preserve"> </w:t>
      </w:r>
      <w:r w:rsidRPr="001F3DFF">
        <w:rPr>
          <w:rFonts w:cs="FrankRuehl" w:hint="eastAsia"/>
          <w:sz w:val="20"/>
          <w:szCs w:val="22"/>
          <w:rtl/>
        </w:rPr>
        <w:t>הבנקים</w:t>
      </w:r>
      <w:r w:rsidRPr="001F3DFF">
        <w:rPr>
          <w:rFonts w:cs="FrankRuehl"/>
          <w:sz w:val="20"/>
          <w:szCs w:val="22"/>
          <w:rtl/>
        </w:rPr>
        <w:t xml:space="preserve"> </w:t>
      </w:r>
      <w:r w:rsidRPr="001F3DFF">
        <w:rPr>
          <w:rFonts w:cs="FrankRuehl" w:hint="eastAsia"/>
          <w:sz w:val="20"/>
          <w:szCs w:val="22"/>
          <w:rtl/>
        </w:rPr>
        <w:t>למסור</w:t>
      </w:r>
      <w:r w:rsidRPr="001F3DFF">
        <w:rPr>
          <w:rFonts w:cs="FrankRuehl"/>
          <w:sz w:val="20"/>
          <w:szCs w:val="22"/>
          <w:rtl/>
        </w:rPr>
        <w:t xml:space="preserve"> </w:t>
      </w:r>
      <w:r w:rsidRPr="001F3DFF">
        <w:rPr>
          <w:rFonts w:cs="FrankRuehl" w:hint="eastAsia"/>
          <w:sz w:val="20"/>
          <w:szCs w:val="22"/>
          <w:rtl/>
        </w:rPr>
        <w:t>מידע</w:t>
      </w:r>
      <w:r w:rsidRPr="001F3DFF">
        <w:rPr>
          <w:rFonts w:cs="FrankRuehl"/>
          <w:sz w:val="20"/>
          <w:szCs w:val="22"/>
          <w:rtl/>
        </w:rPr>
        <w:t xml:space="preserve"> </w:t>
      </w:r>
      <w:r w:rsidRPr="001F3DFF">
        <w:rPr>
          <w:rFonts w:cs="FrankRuehl" w:hint="eastAsia"/>
          <w:sz w:val="20"/>
          <w:szCs w:val="22"/>
          <w:rtl/>
        </w:rPr>
        <w:t>זה</w:t>
      </w:r>
      <w:r w:rsidRPr="001F3DFF">
        <w:rPr>
          <w:rFonts w:cs="FrankRuehl"/>
          <w:sz w:val="20"/>
          <w:szCs w:val="22"/>
          <w:rtl/>
        </w:rPr>
        <w:t xml:space="preserve"> </w:t>
      </w:r>
      <w:r w:rsidRPr="001F3DFF">
        <w:rPr>
          <w:rFonts w:cs="FrankRuehl" w:hint="eastAsia"/>
          <w:sz w:val="20"/>
          <w:szCs w:val="22"/>
          <w:rtl/>
        </w:rPr>
        <w:t>כבר</w:t>
      </w:r>
      <w:r w:rsidRPr="001F3DFF">
        <w:rPr>
          <w:rFonts w:cs="FrankRuehl"/>
          <w:sz w:val="20"/>
          <w:szCs w:val="22"/>
          <w:rtl/>
        </w:rPr>
        <w:t xml:space="preserve"> </w:t>
      </w:r>
      <w:r w:rsidRPr="001F3DFF">
        <w:rPr>
          <w:rFonts w:cs="FrankRuehl" w:hint="eastAsia"/>
          <w:sz w:val="20"/>
          <w:szCs w:val="22"/>
          <w:rtl/>
        </w:rPr>
        <w:t>בעת</w:t>
      </w:r>
      <w:r w:rsidRPr="001F3DFF">
        <w:rPr>
          <w:rFonts w:cs="FrankRuehl"/>
          <w:sz w:val="20"/>
          <w:szCs w:val="22"/>
          <w:rtl/>
        </w:rPr>
        <w:t xml:space="preserve"> </w:t>
      </w:r>
      <w:r w:rsidRPr="001F3DFF">
        <w:rPr>
          <w:rFonts w:cs="FrankRuehl" w:hint="eastAsia"/>
          <w:sz w:val="20"/>
          <w:szCs w:val="22"/>
          <w:rtl/>
        </w:rPr>
        <w:t>מתן</w:t>
      </w:r>
      <w:r w:rsidRPr="001F3DFF">
        <w:rPr>
          <w:rFonts w:cs="FrankRuehl"/>
          <w:sz w:val="20"/>
          <w:szCs w:val="22"/>
          <w:rtl/>
        </w:rPr>
        <w:t xml:space="preserve"> </w:t>
      </w:r>
      <w:r w:rsidRPr="001F3DFF">
        <w:rPr>
          <w:rFonts w:cs="FrankRuehl" w:hint="eastAsia"/>
          <w:sz w:val="20"/>
          <w:szCs w:val="22"/>
          <w:rtl/>
        </w:rPr>
        <w:t>האשראי</w:t>
      </w:r>
      <w:r w:rsidRPr="001F3DFF">
        <w:rPr>
          <w:rFonts w:cs="FrankRuehl"/>
          <w:sz w:val="20"/>
          <w:szCs w:val="22"/>
          <w:rtl/>
        </w:rPr>
        <w:t>.</w:t>
      </w:r>
    </w:p>
    <w:p w:rsidR="005E5B2C" w:rsidRPr="001F3DFF" w:rsidP="00FB46AA">
      <w:pPr>
        <w:spacing w:after="240" w:line="230" w:lineRule="exact"/>
        <w:ind w:left="340"/>
        <w:jc w:val="both"/>
        <w:rPr>
          <w:rFonts w:cs="FrankRuehl"/>
          <w:sz w:val="20"/>
          <w:szCs w:val="22"/>
          <w:rtl/>
        </w:rPr>
      </w:pPr>
      <w:r w:rsidRPr="001F3DFF">
        <w:rPr>
          <w:rFonts w:cs="FrankRuehl" w:hint="cs"/>
          <w:sz w:val="20"/>
          <w:szCs w:val="22"/>
          <w:rtl/>
        </w:rPr>
        <w:t>הפיקוח על הבנקים גיבש טיוטת חוזר מיום 18.5.15 בנושא "הליכי גביית חובות" שמטרתו להבטיח הוגנות ושקיפות בהליכי גביית חובות שנוקט בנקאי כלפי משקי בית ועסקים קטנים שאינם פורעים את הלוואותיהם כסדרן. בין השאר קובע החוזר כי על התאגיד הבנקאי לציין בהסכם ההלוואה את הנוסחה לחישוב שיעור ריבית הפיגורים.</w:t>
      </w:r>
    </w:p>
    <w:p w:rsidR="005E5B2C" w:rsidRPr="001F3DFF" w:rsidP="00FB46AA">
      <w:pPr>
        <w:pStyle w:val="RESHET"/>
        <w:keepLines/>
        <w:ind w:left="567"/>
        <w:rPr>
          <w:rtl/>
        </w:rPr>
      </w:pPr>
      <w:r w:rsidRPr="00164129">
        <w:rPr>
          <w:rFonts w:hint="cs"/>
          <w:rtl/>
        </w:rPr>
        <w:t>לדעת משרד מבקר המדינה, נוסף על קידום הטיפול בעניין ריבית הפיגורים, על בנק ישראל לשקול לחייב את התאגידים הבנקאיים להציג בפני לקוחותיהם - לא רק בהלוואות לדיור - תחזיות של הרמה שאליה עלול להגיע ההחזר החודשי בהלוואות בריבית משתנה, במקרה של עלייה בריבית. כך יוכלו הלקוחות לנהל את סיכוניהם בצורה טובה יותר, ואולי אף להימנע מלקיחת הלוואות שלא יעמדו בהחזריהן לאורך זמן ובסביבה כלכלית משתנה.</w:t>
      </w:r>
    </w:p>
    <w:p w:rsidR="005E5B2C" w:rsidRPr="001F3DFF" w:rsidP="005D24E1">
      <w:pPr>
        <w:spacing w:after="60" w:line="230" w:lineRule="exact"/>
        <w:jc w:val="both"/>
        <w:rPr>
          <w:rFonts w:cs="FrankRuehl"/>
          <w:sz w:val="20"/>
          <w:szCs w:val="22"/>
        </w:rPr>
      </w:pPr>
    </w:p>
    <w:p w:rsidR="003C40C0" w:rsidRPr="001F3DFF" w:rsidP="00FB46AA">
      <w:pPr>
        <w:spacing w:after="120" w:line="230" w:lineRule="exact"/>
        <w:jc w:val="both"/>
        <w:rPr>
          <w:rFonts w:cs="FrankRuehl"/>
          <w:sz w:val="20"/>
          <w:szCs w:val="22"/>
          <w:rtl/>
        </w:rPr>
      </w:pPr>
    </w:p>
    <w:p w:rsidR="005E5B2C" w:rsidRPr="001E4618" w:rsidP="00FB46AA">
      <w:pPr>
        <w:pStyle w:val="KOT4"/>
        <w:rPr>
          <w:rtl/>
        </w:rPr>
      </w:pPr>
      <w:r w:rsidRPr="001E4618">
        <w:rPr>
          <w:rFonts w:hint="cs"/>
          <w:rtl/>
        </w:rPr>
        <w:t>שוק האשראי החוץ-בנקאי</w:t>
      </w:r>
    </w:p>
    <w:p w:rsidR="005E5B2C" w:rsidRPr="001E4618" w:rsidP="00FB46AA">
      <w:pPr>
        <w:pStyle w:val="KOT5"/>
        <w:rPr>
          <w:rtl/>
        </w:rPr>
      </w:pPr>
      <w:r w:rsidRPr="001E4618">
        <w:rPr>
          <w:rFonts w:hint="cs"/>
          <w:rtl/>
        </w:rPr>
        <w:t>הפיקוח על הלוואות שנותנים גופים מוסדיים למשקי בית</w:t>
      </w:r>
    </w:p>
    <w:p w:rsidR="005E5B2C" w:rsidRPr="001F3DFF" w:rsidP="00FB46AA">
      <w:pPr>
        <w:spacing w:after="120" w:line="230" w:lineRule="exact"/>
        <w:jc w:val="both"/>
        <w:rPr>
          <w:rFonts w:cs="FrankRuehl"/>
          <w:sz w:val="20"/>
          <w:szCs w:val="22"/>
          <w:rtl/>
        </w:rPr>
      </w:pPr>
      <w:r w:rsidRPr="001F3DFF">
        <w:rPr>
          <w:rFonts w:cs="FrankRuehl" w:hint="cs"/>
          <w:sz w:val="20"/>
          <w:szCs w:val="22"/>
          <w:rtl/>
        </w:rPr>
        <w:t>קרנות הפנסיה, חברות הביטוח וקופות הגמל</w:t>
      </w:r>
      <w:r w:rsidRPr="001F3DFF">
        <w:rPr>
          <w:rFonts w:cs="FrankRuehl"/>
          <w:sz w:val="20"/>
          <w:szCs w:val="22"/>
          <w:rtl/>
        </w:rPr>
        <w:t xml:space="preserve"> הם גופים פיננסיים מרכזיים בשוק ההון הישראלי, הן בשל פעילותם והן בשל משקלם בתיק נכסי הציבור</w:t>
      </w:r>
      <w:r w:rsidRPr="001F3DFF">
        <w:rPr>
          <w:rFonts w:cs="FrankRuehl" w:hint="cs"/>
          <w:sz w:val="20"/>
          <w:szCs w:val="22"/>
          <w:rtl/>
        </w:rPr>
        <w:t xml:space="preserve"> (להלן - גופים מוסדיים). בשנים האחרונות מתחילים הגופים המוסדיים להיות פעילים מאוד בתחום ההלוואות לעמיתים, הניתנות כנגד שעבוד כספי הפנסיה, הגמל או קרן השתלמות. האשראי שמקצים גופים אלה למשקי בית</w:t>
      </w:r>
      <w:r>
        <w:rPr>
          <w:rStyle w:val="FootnoteReference0"/>
          <w:rFonts w:cs="FrankRuehl"/>
          <w:sz w:val="20"/>
          <w:szCs w:val="22"/>
          <w:rtl/>
        </w:rPr>
        <w:footnoteReference w:id="56"/>
      </w:r>
      <w:r w:rsidRPr="001F3DFF">
        <w:rPr>
          <w:rFonts w:cs="FrankRuehl" w:hint="cs"/>
          <w:sz w:val="20"/>
          <w:szCs w:val="22"/>
          <w:rtl/>
        </w:rPr>
        <w:t xml:space="preserve"> הוא אפיק אשראי חלופי להלוואות שמציעים התאגידים הבנקאיים, והיקפו נמצא בעשור האחרון בעליה מתמדת. כך, ב-2014 עמד היקף האשראי על כ-8 מיליארד ש"ח. ראו תרשים 5 להלן.</w:t>
      </w:r>
    </w:p>
    <w:p w:rsidR="005E5B2C" w:rsidRPr="001F3DFF" w:rsidP="00E001C6">
      <w:pPr>
        <w:spacing w:after="240" w:line="240" w:lineRule="atLeast"/>
        <w:jc w:val="center"/>
        <w:rPr>
          <w:rFonts w:cs="FrankRuehl"/>
          <w:sz w:val="20"/>
          <w:szCs w:val="22"/>
          <w:rtl/>
        </w:rPr>
      </w:pPr>
      <w:r>
        <w:rPr>
          <w:rFonts w:cs="FrankRuehl"/>
          <w:b/>
          <w:bCs/>
          <w:sz w:val="20"/>
          <w:szCs w:val="22"/>
          <w:rtl/>
        </w:rPr>
        <w:br w:type="page"/>
      </w:r>
      <w:r>
        <w:rPr>
          <w:rFonts w:cs="FrankRuehl"/>
          <w:b/>
          <w:bCs/>
          <w:sz w:val="20"/>
          <w:szCs w:val="22"/>
        </w:rPr>
        <w:pict>
          <v:shape id="_x0000_i1029" type="#_x0000_t75" style="width:340pt;height:204.5pt">
            <v:imagedata r:id="rId10" o:title="02-g-5"/>
          </v:shape>
        </w:pic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להקצאת אשראי למשקי בית ממקורות החיסכון הפנסיוני יתרונות מהותיים ללווים: אלה נהנים ממקורות אשראי חלופיים לבנקים, המתחרים בהם בהיקף האשראי, בתנאיו ובשיעור הריבית הנדרשת עליו. גיוון מקורות האשראי והעלייה בהיצע האשראי צפויים להביא להגברת התחרות על משקי הבית, ולהוביל להקצאה נכונה יותר מהבחינה הכלכלית של האשראי במשק. עם זאת, המורכבות שבהקצאת האשראי מהגופים המוסדיים לעמיתים ובניהול אשראי זה מחייבת היערכות של אגף שוק ההון, בהיותו הגוף המאסדר שלהם. </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נכון לסוף שנת 2013 הושקעו באפיק ההלוואות לעמיתים כ-0.6% מהכספים המנוהלים בגמל </w:t>
      </w:r>
      <w:r w:rsidR="003A3869">
        <w:rPr>
          <w:rFonts w:cs="FrankRuehl"/>
          <w:sz w:val="20"/>
          <w:szCs w:val="22"/>
        </w:rPr>
        <w:br/>
      </w:r>
      <w:r w:rsidRPr="001F3DFF">
        <w:rPr>
          <w:rFonts w:cs="FrankRuehl" w:hint="cs"/>
          <w:sz w:val="20"/>
          <w:szCs w:val="22"/>
          <w:rtl/>
        </w:rPr>
        <w:t xml:space="preserve">וכ-0.2% מהכספים המנוהלים בפנסיה. על פי נתוני אגף שוק ההון, בגופי הפנסיה והביטוח קטן היקף ההלוואות שניתנו לעמיתים משנת 2011 (פנסיה - ירידה של כ-1%, ביטוח - ירידה של </w:t>
      </w:r>
      <w:r w:rsidR="003A3869">
        <w:rPr>
          <w:rFonts w:cs="FrankRuehl"/>
          <w:sz w:val="20"/>
          <w:szCs w:val="22"/>
        </w:rPr>
        <w:br/>
      </w:r>
      <w:r w:rsidRPr="001F3DFF">
        <w:rPr>
          <w:rFonts w:cs="FrankRuehl" w:hint="cs"/>
          <w:sz w:val="20"/>
          <w:szCs w:val="22"/>
          <w:rtl/>
        </w:rPr>
        <w:t xml:space="preserve">כ-26%), ואילו ההלוואות שנתנו קופות הגמל לעמיתים זינקו בשנים 2014-2011 בכ-124%. ראו לוח 1 להלן: </w:t>
      </w:r>
    </w:p>
    <w:p w:rsidR="001841D0" w:rsidRPr="001841D0" w:rsidP="00FB46AA">
      <w:pPr>
        <w:pStyle w:val="tab-name"/>
        <w:spacing w:before="120"/>
        <w:rPr>
          <w:b w:val="0"/>
          <w:bCs w:val="0"/>
          <w:sz w:val="20"/>
          <w:szCs w:val="20"/>
        </w:rPr>
      </w:pPr>
      <w:r w:rsidRPr="001841D0">
        <w:rPr>
          <w:b w:val="0"/>
          <w:bCs w:val="0"/>
          <w:sz w:val="20"/>
          <w:szCs w:val="20"/>
          <w:rtl/>
        </w:rPr>
        <w:t>לוח 1</w:t>
      </w:r>
      <w:r w:rsidRPr="001841D0">
        <w:rPr>
          <w:rFonts w:hint="cs"/>
          <w:b w:val="0"/>
          <w:bCs w:val="0"/>
          <w:sz w:val="20"/>
          <w:szCs w:val="20"/>
          <w:rtl/>
        </w:rPr>
        <w:br/>
      </w:r>
      <w:r w:rsidRPr="001841D0">
        <w:rPr>
          <w:rtl/>
        </w:rPr>
        <w:t>הלוואות לעמיתים מגופים מוסדיים</w:t>
      </w:r>
      <w:r w:rsidRPr="001841D0">
        <w:rPr>
          <w:rFonts w:hint="cs"/>
          <w:rtl/>
        </w:rPr>
        <w:t>,</w:t>
      </w:r>
      <w:r w:rsidRPr="001841D0">
        <w:rPr>
          <w:rtl/>
        </w:rPr>
        <w:t xml:space="preserve"> אלפי ש"ח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734"/>
        <w:gridCol w:w="1229"/>
        <w:gridCol w:w="1182"/>
        <w:gridCol w:w="1182"/>
        <w:gridCol w:w="1182"/>
        <w:gridCol w:w="1182"/>
      </w:tblGrid>
      <w:tr w:rsidTr="001841D0">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trHeight w:val="783"/>
          <w:jc w:val="center"/>
        </w:trPr>
        <w:tc>
          <w:tcPr>
            <w:tcW w:w="0" w:type="auto"/>
            <w:tcBorders>
              <w:top w:val="single" w:sz="12" w:space="0" w:color="auto"/>
              <w:bottom w:val="single" w:sz="12" w:space="0" w:color="auto"/>
            </w:tcBorders>
            <w:shd w:val="pct10" w:color="auto" w:fill="auto"/>
            <w:noWrap/>
            <w:vAlign w:val="bottom"/>
            <w:hideMark/>
          </w:tcPr>
          <w:p w:rsidR="005E5B2C" w:rsidRPr="001841D0" w:rsidP="00FB46AA">
            <w:pPr>
              <w:spacing w:before="40" w:after="40" w:line="220" w:lineRule="exact"/>
              <w:jc w:val="center"/>
              <w:rPr>
                <w:rFonts w:cs="FrankRuehl"/>
                <w:b/>
                <w:bCs/>
                <w:sz w:val="18"/>
                <w:szCs w:val="20"/>
              </w:rPr>
            </w:pPr>
            <w:r w:rsidRPr="001841D0">
              <w:rPr>
                <w:rFonts w:cs="FrankRuehl"/>
                <w:b/>
                <w:bCs/>
                <w:sz w:val="18"/>
                <w:szCs w:val="20"/>
                <w:rtl/>
              </w:rPr>
              <w:t> </w:t>
            </w:r>
          </w:p>
        </w:tc>
        <w:tc>
          <w:tcPr>
            <w:tcW w:w="0" w:type="auto"/>
            <w:tcBorders>
              <w:top w:val="single" w:sz="12" w:space="0" w:color="auto"/>
              <w:bottom w:val="single" w:sz="12" w:space="0" w:color="auto"/>
            </w:tcBorders>
            <w:shd w:val="pct10" w:color="auto" w:fill="auto"/>
            <w:vAlign w:val="bottom"/>
            <w:hideMark/>
          </w:tcPr>
          <w:p w:rsidR="005E5B2C" w:rsidRPr="001841D0" w:rsidP="00FB46AA">
            <w:pPr>
              <w:spacing w:before="40" w:after="40" w:line="220" w:lineRule="exact"/>
              <w:jc w:val="center"/>
              <w:rPr>
                <w:rFonts w:cs="FrankRuehl"/>
                <w:b/>
                <w:bCs/>
                <w:sz w:val="18"/>
                <w:szCs w:val="20"/>
              </w:rPr>
            </w:pPr>
            <w:r w:rsidRPr="001841D0">
              <w:rPr>
                <w:rFonts w:cs="FrankRuehl"/>
                <w:b/>
                <w:bCs/>
                <w:sz w:val="18"/>
                <w:szCs w:val="20"/>
                <w:rtl/>
              </w:rPr>
              <w:t xml:space="preserve">שינוי </w:t>
            </w:r>
            <w:r w:rsidRPr="001841D0">
              <w:rPr>
                <w:rFonts w:cs="FrankRuehl" w:hint="cs"/>
                <w:b/>
                <w:bCs/>
                <w:sz w:val="18"/>
                <w:szCs w:val="20"/>
                <w:rtl/>
              </w:rPr>
              <w:t xml:space="preserve">2014 </w:t>
            </w:r>
            <w:r>
              <w:rPr>
                <w:rFonts w:cs="FrankRuehl"/>
                <w:b/>
                <w:bCs/>
                <w:sz w:val="18"/>
                <w:szCs w:val="20"/>
                <w:rtl/>
              </w:rPr>
              <w:br/>
            </w:r>
            <w:r w:rsidRPr="001841D0">
              <w:rPr>
                <w:rFonts w:cs="FrankRuehl"/>
                <w:b/>
                <w:bCs/>
                <w:sz w:val="18"/>
                <w:szCs w:val="20"/>
                <w:rtl/>
              </w:rPr>
              <w:t xml:space="preserve">לעומת </w:t>
            </w:r>
            <w:r w:rsidRPr="001841D0">
              <w:rPr>
                <w:rFonts w:cs="FrankRuehl"/>
                <w:b/>
                <w:bCs/>
                <w:sz w:val="18"/>
                <w:szCs w:val="20"/>
                <w:rtl/>
              </w:rPr>
              <w:t>2011</w:t>
            </w:r>
          </w:p>
        </w:tc>
        <w:tc>
          <w:tcPr>
            <w:tcW w:w="0" w:type="auto"/>
            <w:tcBorders>
              <w:top w:val="single" w:sz="12" w:space="0" w:color="auto"/>
              <w:bottom w:val="single" w:sz="12" w:space="0" w:color="auto"/>
            </w:tcBorders>
            <w:shd w:val="pct10" w:color="auto" w:fill="auto"/>
            <w:vAlign w:val="bottom"/>
            <w:hideMark/>
          </w:tcPr>
          <w:p w:rsidR="005E5B2C" w:rsidRPr="001841D0" w:rsidP="00FB46AA">
            <w:pPr>
              <w:spacing w:before="40" w:after="40" w:line="220" w:lineRule="exact"/>
              <w:jc w:val="center"/>
              <w:rPr>
                <w:rFonts w:cs="FrankRuehl"/>
                <w:b/>
                <w:bCs/>
                <w:sz w:val="18"/>
                <w:szCs w:val="20"/>
              </w:rPr>
            </w:pPr>
            <w:r w:rsidRPr="001841D0">
              <w:rPr>
                <w:rFonts w:cs="FrankRuehl"/>
                <w:b/>
                <w:bCs/>
                <w:sz w:val="18"/>
                <w:szCs w:val="20"/>
                <w:rtl/>
              </w:rPr>
              <w:t>31</w:t>
            </w:r>
            <w:r w:rsidRPr="001841D0">
              <w:rPr>
                <w:rFonts w:cs="FrankRuehl" w:hint="cs"/>
                <w:b/>
                <w:bCs/>
                <w:sz w:val="18"/>
                <w:szCs w:val="20"/>
                <w:rtl/>
              </w:rPr>
              <w:t>.</w:t>
            </w:r>
            <w:r w:rsidRPr="001841D0">
              <w:rPr>
                <w:rFonts w:cs="FrankRuehl"/>
                <w:b/>
                <w:bCs/>
                <w:sz w:val="18"/>
                <w:szCs w:val="20"/>
                <w:rtl/>
              </w:rPr>
              <w:t>12</w:t>
            </w:r>
            <w:r w:rsidRPr="001841D0">
              <w:rPr>
                <w:rFonts w:cs="FrankRuehl" w:hint="cs"/>
                <w:b/>
                <w:bCs/>
                <w:sz w:val="18"/>
                <w:szCs w:val="20"/>
                <w:rtl/>
              </w:rPr>
              <w:t>.</w:t>
            </w:r>
            <w:r w:rsidRPr="001841D0">
              <w:rPr>
                <w:rFonts w:cs="FrankRuehl"/>
                <w:b/>
                <w:bCs/>
                <w:sz w:val="18"/>
                <w:szCs w:val="20"/>
                <w:rtl/>
              </w:rPr>
              <w:t>2011</w:t>
            </w:r>
          </w:p>
        </w:tc>
        <w:tc>
          <w:tcPr>
            <w:tcW w:w="0" w:type="auto"/>
            <w:tcBorders>
              <w:top w:val="single" w:sz="12" w:space="0" w:color="auto"/>
              <w:bottom w:val="single" w:sz="12" w:space="0" w:color="auto"/>
            </w:tcBorders>
            <w:shd w:val="pct10" w:color="auto" w:fill="auto"/>
            <w:vAlign w:val="bottom"/>
            <w:hideMark/>
          </w:tcPr>
          <w:p w:rsidR="005E5B2C" w:rsidRPr="001841D0" w:rsidP="00FB46AA">
            <w:pPr>
              <w:spacing w:before="40" w:after="40" w:line="220" w:lineRule="exact"/>
              <w:jc w:val="center"/>
              <w:rPr>
                <w:rFonts w:cs="FrankRuehl"/>
                <w:b/>
                <w:bCs/>
                <w:sz w:val="18"/>
                <w:szCs w:val="20"/>
              </w:rPr>
            </w:pPr>
            <w:r w:rsidRPr="001841D0">
              <w:rPr>
                <w:rFonts w:cs="FrankRuehl"/>
                <w:b/>
                <w:bCs/>
                <w:sz w:val="18"/>
                <w:szCs w:val="20"/>
                <w:rtl/>
              </w:rPr>
              <w:t>31</w:t>
            </w:r>
            <w:r w:rsidRPr="001841D0">
              <w:rPr>
                <w:rFonts w:cs="FrankRuehl" w:hint="cs"/>
                <w:b/>
                <w:bCs/>
                <w:sz w:val="18"/>
                <w:szCs w:val="20"/>
                <w:rtl/>
              </w:rPr>
              <w:t>.</w:t>
            </w:r>
            <w:r w:rsidRPr="001841D0">
              <w:rPr>
                <w:rFonts w:cs="FrankRuehl"/>
                <w:b/>
                <w:bCs/>
                <w:sz w:val="18"/>
                <w:szCs w:val="20"/>
                <w:rtl/>
              </w:rPr>
              <w:t>12</w:t>
            </w:r>
            <w:r w:rsidRPr="001841D0">
              <w:rPr>
                <w:rFonts w:cs="FrankRuehl" w:hint="cs"/>
                <w:b/>
                <w:bCs/>
                <w:sz w:val="18"/>
                <w:szCs w:val="20"/>
                <w:rtl/>
              </w:rPr>
              <w:t>.</w:t>
            </w:r>
            <w:r w:rsidRPr="001841D0">
              <w:rPr>
                <w:rFonts w:cs="FrankRuehl"/>
                <w:b/>
                <w:bCs/>
                <w:sz w:val="18"/>
                <w:szCs w:val="20"/>
                <w:rtl/>
              </w:rPr>
              <w:t>2012</w:t>
            </w:r>
          </w:p>
        </w:tc>
        <w:tc>
          <w:tcPr>
            <w:tcW w:w="0" w:type="auto"/>
            <w:tcBorders>
              <w:top w:val="single" w:sz="12" w:space="0" w:color="auto"/>
              <w:bottom w:val="single" w:sz="12" w:space="0" w:color="auto"/>
            </w:tcBorders>
            <w:shd w:val="pct10" w:color="auto" w:fill="auto"/>
            <w:vAlign w:val="bottom"/>
            <w:hideMark/>
          </w:tcPr>
          <w:p w:rsidR="005E5B2C" w:rsidRPr="001841D0" w:rsidP="00FB46AA">
            <w:pPr>
              <w:spacing w:before="40" w:after="40" w:line="220" w:lineRule="exact"/>
              <w:jc w:val="center"/>
              <w:rPr>
                <w:rFonts w:cs="FrankRuehl"/>
                <w:b/>
                <w:bCs/>
                <w:sz w:val="18"/>
                <w:szCs w:val="20"/>
                <w:rtl/>
              </w:rPr>
            </w:pPr>
            <w:r w:rsidRPr="001841D0">
              <w:rPr>
                <w:rFonts w:cs="FrankRuehl"/>
                <w:b/>
                <w:bCs/>
                <w:sz w:val="18"/>
                <w:szCs w:val="20"/>
                <w:rtl/>
              </w:rPr>
              <w:t>31</w:t>
            </w:r>
            <w:r w:rsidRPr="001841D0">
              <w:rPr>
                <w:rFonts w:cs="FrankRuehl" w:hint="cs"/>
                <w:b/>
                <w:bCs/>
                <w:sz w:val="18"/>
                <w:szCs w:val="20"/>
                <w:rtl/>
              </w:rPr>
              <w:t>.</w:t>
            </w:r>
            <w:r w:rsidRPr="001841D0">
              <w:rPr>
                <w:rFonts w:cs="FrankRuehl"/>
                <w:b/>
                <w:bCs/>
                <w:sz w:val="18"/>
                <w:szCs w:val="20"/>
                <w:rtl/>
              </w:rPr>
              <w:t>12</w:t>
            </w:r>
            <w:r w:rsidRPr="001841D0">
              <w:rPr>
                <w:rFonts w:cs="FrankRuehl" w:hint="cs"/>
                <w:b/>
                <w:bCs/>
                <w:sz w:val="18"/>
                <w:szCs w:val="20"/>
                <w:rtl/>
              </w:rPr>
              <w:t>.</w:t>
            </w:r>
            <w:r w:rsidRPr="001841D0">
              <w:rPr>
                <w:rFonts w:cs="FrankRuehl"/>
                <w:b/>
                <w:bCs/>
                <w:sz w:val="18"/>
                <w:szCs w:val="20"/>
                <w:rtl/>
              </w:rPr>
              <w:t>2013</w:t>
            </w:r>
          </w:p>
        </w:tc>
        <w:tc>
          <w:tcPr>
            <w:tcW w:w="0" w:type="auto"/>
            <w:tcBorders>
              <w:top w:val="single" w:sz="12" w:space="0" w:color="auto"/>
              <w:bottom w:val="single" w:sz="12" w:space="0" w:color="auto"/>
            </w:tcBorders>
            <w:shd w:val="pct10" w:color="auto" w:fill="auto"/>
            <w:vAlign w:val="bottom"/>
            <w:hideMark/>
          </w:tcPr>
          <w:p w:rsidR="005E5B2C" w:rsidRPr="001841D0" w:rsidP="00FB46AA">
            <w:pPr>
              <w:spacing w:before="40" w:after="40" w:line="220" w:lineRule="exact"/>
              <w:jc w:val="center"/>
              <w:rPr>
                <w:rFonts w:cs="FrankRuehl"/>
                <w:b/>
                <w:bCs/>
                <w:sz w:val="18"/>
                <w:szCs w:val="20"/>
              </w:rPr>
            </w:pPr>
            <w:r w:rsidRPr="001841D0">
              <w:rPr>
                <w:rFonts w:cs="FrankRuehl"/>
                <w:b/>
                <w:bCs/>
                <w:sz w:val="18"/>
                <w:szCs w:val="20"/>
                <w:rtl/>
              </w:rPr>
              <w:t>30</w:t>
            </w:r>
            <w:r w:rsidRPr="001841D0">
              <w:rPr>
                <w:rFonts w:cs="FrankRuehl" w:hint="cs"/>
                <w:b/>
                <w:bCs/>
                <w:sz w:val="18"/>
                <w:szCs w:val="20"/>
                <w:rtl/>
              </w:rPr>
              <w:t>.</w:t>
            </w:r>
            <w:r w:rsidRPr="001841D0">
              <w:rPr>
                <w:rFonts w:cs="FrankRuehl"/>
                <w:b/>
                <w:bCs/>
                <w:sz w:val="18"/>
                <w:szCs w:val="20"/>
                <w:rtl/>
              </w:rPr>
              <w:t>06</w:t>
            </w:r>
            <w:r w:rsidRPr="001841D0">
              <w:rPr>
                <w:rFonts w:cs="FrankRuehl" w:hint="cs"/>
                <w:b/>
                <w:bCs/>
                <w:sz w:val="18"/>
                <w:szCs w:val="20"/>
                <w:rtl/>
              </w:rPr>
              <w:t>.</w:t>
            </w:r>
            <w:r w:rsidRPr="001841D0">
              <w:rPr>
                <w:rFonts w:cs="FrankRuehl"/>
                <w:b/>
                <w:bCs/>
                <w:sz w:val="18"/>
                <w:szCs w:val="20"/>
                <w:rtl/>
              </w:rPr>
              <w:t>2014</w:t>
            </w:r>
          </w:p>
        </w:tc>
      </w:tr>
      <w:tr w:rsidTr="001841D0">
        <w:tblPrEx>
          <w:tblW w:w="6691" w:type="dxa"/>
          <w:jc w:val="center"/>
          <w:tblLook w:val="04A0"/>
        </w:tblPrEx>
        <w:trPr>
          <w:trHeight w:val="261"/>
          <w:jc w:val="center"/>
        </w:trPr>
        <w:tc>
          <w:tcPr>
            <w:tcW w:w="0" w:type="auto"/>
            <w:tcBorders>
              <w:top w:val="single" w:sz="12" w:space="0" w:color="auto"/>
            </w:tcBorders>
            <w:shd w:val="clear" w:color="auto" w:fill="auto"/>
            <w:noWrap/>
            <w:vAlign w:val="bottom"/>
            <w:hideMark/>
          </w:tcPr>
          <w:p w:rsidR="005E5B2C" w:rsidRPr="001841D0" w:rsidP="00FB46AA">
            <w:pPr>
              <w:spacing w:before="40" w:after="40" w:line="220" w:lineRule="exact"/>
              <w:rPr>
                <w:rFonts w:cs="FrankRuehl"/>
                <w:sz w:val="18"/>
                <w:szCs w:val="20"/>
                <w:rtl/>
              </w:rPr>
            </w:pPr>
            <w:r w:rsidRPr="001841D0">
              <w:rPr>
                <w:rFonts w:cs="FrankRuehl"/>
                <w:sz w:val="18"/>
                <w:szCs w:val="20"/>
                <w:rtl/>
              </w:rPr>
              <w:t>ביטוח</w:t>
            </w:r>
          </w:p>
        </w:tc>
        <w:tc>
          <w:tcPr>
            <w:tcW w:w="0" w:type="auto"/>
            <w:tcBorders>
              <w:top w:val="single" w:sz="12" w:space="0" w:color="auto"/>
            </w:tcBorders>
            <w:shd w:val="clear" w:color="auto" w:fill="auto"/>
            <w:noWrap/>
            <w:vAlign w:val="bottom"/>
            <w:hideMark/>
          </w:tcPr>
          <w:p w:rsidR="005E5B2C" w:rsidRPr="001841D0" w:rsidP="00FB46AA">
            <w:pPr>
              <w:spacing w:before="40" w:after="40" w:line="220" w:lineRule="exact"/>
              <w:ind w:left="227"/>
              <w:rPr>
                <w:rFonts w:cs="FrankRuehl"/>
                <w:sz w:val="18"/>
                <w:szCs w:val="20"/>
              </w:rPr>
            </w:pPr>
            <w:r w:rsidRPr="001841D0">
              <w:rPr>
                <w:rFonts w:cs="FrankRuehl"/>
                <w:sz w:val="18"/>
                <w:szCs w:val="20"/>
                <w:rtl/>
              </w:rPr>
              <w:t>26%</w:t>
            </w:r>
            <w:r w:rsidR="001841D0">
              <w:rPr>
                <w:rFonts w:cs="FrankRuehl" w:hint="cs"/>
                <w:sz w:val="18"/>
                <w:szCs w:val="20"/>
                <w:rtl/>
              </w:rPr>
              <w:t>-</w:t>
            </w:r>
          </w:p>
        </w:tc>
        <w:tc>
          <w:tcPr>
            <w:tcW w:w="0" w:type="auto"/>
            <w:tcBorders>
              <w:top w:val="single" w:sz="12" w:space="0" w:color="auto"/>
            </w:tcBorders>
            <w:shd w:val="clear" w:color="auto" w:fill="auto"/>
            <w:noWrap/>
            <w:vAlign w:val="bottom"/>
            <w:hideMark/>
          </w:tcPr>
          <w:p w:rsidR="005E5B2C" w:rsidRPr="001841D0" w:rsidP="00FB46AA">
            <w:pPr>
              <w:spacing w:before="40" w:after="40" w:line="220" w:lineRule="exact"/>
              <w:ind w:left="57"/>
              <w:rPr>
                <w:rFonts w:cs="FrankRuehl"/>
                <w:sz w:val="18"/>
                <w:szCs w:val="20"/>
              </w:rPr>
            </w:pPr>
            <w:r w:rsidRPr="001841D0">
              <w:rPr>
                <w:rFonts w:cs="FrankRuehl"/>
                <w:sz w:val="18"/>
                <w:szCs w:val="20"/>
                <w:rtl/>
              </w:rPr>
              <w:t>1,945,719</w:t>
            </w:r>
          </w:p>
        </w:tc>
        <w:tc>
          <w:tcPr>
            <w:tcW w:w="0" w:type="auto"/>
            <w:tcBorders>
              <w:top w:val="single" w:sz="12" w:space="0" w:color="auto"/>
            </w:tcBorders>
            <w:shd w:val="clear" w:color="auto" w:fill="auto"/>
            <w:noWrap/>
            <w:vAlign w:val="bottom"/>
            <w:hideMark/>
          </w:tcPr>
          <w:p w:rsidR="005E5B2C" w:rsidRPr="001841D0" w:rsidP="00FB46AA">
            <w:pPr>
              <w:spacing w:before="40" w:after="40" w:line="220" w:lineRule="exact"/>
              <w:ind w:left="57"/>
              <w:rPr>
                <w:rFonts w:cs="FrankRuehl"/>
                <w:sz w:val="18"/>
                <w:szCs w:val="20"/>
              </w:rPr>
            </w:pPr>
            <w:r w:rsidRPr="001841D0">
              <w:rPr>
                <w:rFonts w:cs="FrankRuehl"/>
                <w:sz w:val="18"/>
                <w:szCs w:val="20"/>
                <w:rtl/>
              </w:rPr>
              <w:t>1,903,360</w:t>
            </w:r>
          </w:p>
        </w:tc>
        <w:tc>
          <w:tcPr>
            <w:tcW w:w="0" w:type="auto"/>
            <w:tcBorders>
              <w:top w:val="single" w:sz="12" w:space="0" w:color="auto"/>
            </w:tcBorders>
            <w:shd w:val="clear" w:color="auto" w:fill="auto"/>
            <w:noWrap/>
            <w:vAlign w:val="bottom"/>
          </w:tcPr>
          <w:p w:rsidR="005E5B2C" w:rsidRPr="001841D0" w:rsidP="00FB46AA">
            <w:pPr>
              <w:spacing w:before="40" w:after="40" w:line="220" w:lineRule="exact"/>
              <w:ind w:left="57"/>
              <w:rPr>
                <w:rFonts w:cs="FrankRuehl"/>
                <w:sz w:val="18"/>
                <w:szCs w:val="20"/>
              </w:rPr>
            </w:pPr>
            <w:r w:rsidRPr="001841D0">
              <w:rPr>
                <w:rFonts w:cs="FrankRuehl"/>
                <w:sz w:val="18"/>
                <w:szCs w:val="20"/>
                <w:rtl/>
              </w:rPr>
              <w:t>1,580,828</w:t>
            </w:r>
          </w:p>
        </w:tc>
        <w:tc>
          <w:tcPr>
            <w:tcW w:w="0" w:type="auto"/>
            <w:tcBorders>
              <w:top w:val="single" w:sz="12" w:space="0" w:color="auto"/>
            </w:tcBorders>
            <w:shd w:val="clear" w:color="auto" w:fill="auto"/>
            <w:noWrap/>
            <w:vAlign w:val="bottom"/>
            <w:hideMark/>
          </w:tcPr>
          <w:p w:rsidR="005E5B2C" w:rsidRPr="001841D0" w:rsidP="00FB46AA">
            <w:pPr>
              <w:spacing w:before="40" w:after="40" w:line="220" w:lineRule="exact"/>
              <w:ind w:left="57"/>
              <w:rPr>
                <w:rFonts w:cs="FrankRuehl"/>
                <w:sz w:val="18"/>
                <w:szCs w:val="20"/>
              </w:rPr>
            </w:pPr>
            <w:r w:rsidRPr="001841D0">
              <w:rPr>
                <w:rFonts w:cs="FrankRuehl"/>
                <w:sz w:val="18"/>
                <w:szCs w:val="20"/>
                <w:rtl/>
              </w:rPr>
              <w:t>1,448,518</w:t>
            </w:r>
          </w:p>
        </w:tc>
      </w:tr>
      <w:tr w:rsidTr="001841D0">
        <w:tblPrEx>
          <w:tblW w:w="6691" w:type="dxa"/>
          <w:jc w:val="center"/>
          <w:tblLook w:val="04A0"/>
        </w:tblPrEx>
        <w:trPr>
          <w:trHeight w:val="261"/>
          <w:jc w:val="center"/>
        </w:trPr>
        <w:tc>
          <w:tcPr>
            <w:tcW w:w="0" w:type="auto"/>
            <w:shd w:val="clear" w:color="auto" w:fill="auto"/>
            <w:noWrap/>
            <w:vAlign w:val="bottom"/>
            <w:hideMark/>
          </w:tcPr>
          <w:p w:rsidR="005E5B2C" w:rsidRPr="001841D0" w:rsidP="00FB46AA">
            <w:pPr>
              <w:spacing w:before="40" w:after="40" w:line="220" w:lineRule="exact"/>
              <w:rPr>
                <w:rFonts w:cs="FrankRuehl"/>
                <w:sz w:val="18"/>
                <w:szCs w:val="20"/>
              </w:rPr>
            </w:pPr>
            <w:r w:rsidRPr="001841D0">
              <w:rPr>
                <w:rFonts w:cs="FrankRuehl"/>
                <w:sz w:val="18"/>
                <w:szCs w:val="20"/>
                <w:rtl/>
              </w:rPr>
              <w:t>גמל</w:t>
            </w:r>
          </w:p>
        </w:tc>
        <w:tc>
          <w:tcPr>
            <w:tcW w:w="0" w:type="auto"/>
            <w:shd w:val="clear" w:color="auto" w:fill="auto"/>
            <w:noWrap/>
            <w:vAlign w:val="bottom"/>
            <w:hideMark/>
          </w:tcPr>
          <w:p w:rsidR="005E5B2C" w:rsidRPr="001841D0" w:rsidP="00FB46AA">
            <w:pPr>
              <w:spacing w:before="40" w:after="40" w:line="220" w:lineRule="exact"/>
              <w:ind w:left="227"/>
              <w:rPr>
                <w:rFonts w:cs="FrankRuehl"/>
                <w:sz w:val="18"/>
                <w:szCs w:val="20"/>
              </w:rPr>
            </w:pPr>
            <w:r w:rsidRPr="001841D0">
              <w:rPr>
                <w:rFonts w:cs="FrankRuehl"/>
                <w:sz w:val="18"/>
                <w:szCs w:val="20"/>
                <w:rtl/>
              </w:rPr>
              <w:t>124%</w:t>
            </w:r>
          </w:p>
        </w:tc>
        <w:tc>
          <w:tcPr>
            <w:tcW w:w="0" w:type="auto"/>
            <w:shd w:val="clear" w:color="auto" w:fill="auto"/>
            <w:noWrap/>
            <w:vAlign w:val="bottom"/>
            <w:hideMark/>
          </w:tcPr>
          <w:p w:rsidR="005E5B2C" w:rsidRPr="001841D0" w:rsidP="00FB46AA">
            <w:pPr>
              <w:spacing w:before="40" w:after="40" w:line="220" w:lineRule="exact"/>
              <w:ind w:left="57"/>
              <w:rPr>
                <w:rFonts w:cs="FrankRuehl"/>
                <w:sz w:val="18"/>
                <w:szCs w:val="20"/>
              </w:rPr>
            </w:pPr>
            <w:r w:rsidRPr="001841D0">
              <w:rPr>
                <w:rFonts w:cs="FrankRuehl"/>
                <w:sz w:val="18"/>
                <w:szCs w:val="20"/>
                <w:rtl/>
              </w:rPr>
              <w:t>1,397,421</w:t>
            </w:r>
          </w:p>
        </w:tc>
        <w:tc>
          <w:tcPr>
            <w:tcW w:w="0" w:type="auto"/>
            <w:shd w:val="clear" w:color="auto" w:fill="auto"/>
            <w:noWrap/>
            <w:vAlign w:val="bottom"/>
            <w:hideMark/>
          </w:tcPr>
          <w:p w:rsidR="005E5B2C" w:rsidRPr="001841D0" w:rsidP="00FB46AA">
            <w:pPr>
              <w:spacing w:before="40" w:after="40" w:line="220" w:lineRule="exact"/>
              <w:ind w:left="57"/>
              <w:rPr>
                <w:rFonts w:cs="FrankRuehl"/>
                <w:sz w:val="18"/>
                <w:szCs w:val="20"/>
              </w:rPr>
            </w:pPr>
            <w:r w:rsidRPr="001841D0">
              <w:rPr>
                <w:rFonts w:cs="FrankRuehl"/>
                <w:sz w:val="18"/>
                <w:szCs w:val="20"/>
                <w:rtl/>
              </w:rPr>
              <w:t>1,631,199</w:t>
            </w:r>
          </w:p>
        </w:tc>
        <w:tc>
          <w:tcPr>
            <w:tcW w:w="0" w:type="auto"/>
            <w:shd w:val="clear" w:color="auto" w:fill="auto"/>
            <w:noWrap/>
            <w:vAlign w:val="bottom"/>
          </w:tcPr>
          <w:p w:rsidR="005E5B2C" w:rsidRPr="001841D0" w:rsidP="00FB46AA">
            <w:pPr>
              <w:spacing w:before="40" w:after="40" w:line="220" w:lineRule="exact"/>
              <w:ind w:left="57"/>
              <w:rPr>
                <w:rFonts w:cs="FrankRuehl"/>
                <w:sz w:val="18"/>
                <w:szCs w:val="20"/>
              </w:rPr>
            </w:pPr>
            <w:r w:rsidRPr="001841D0">
              <w:rPr>
                <w:rFonts w:cs="FrankRuehl"/>
                <w:sz w:val="18"/>
                <w:szCs w:val="20"/>
                <w:rtl/>
              </w:rPr>
              <w:t>2,446,700</w:t>
            </w:r>
          </w:p>
        </w:tc>
        <w:tc>
          <w:tcPr>
            <w:tcW w:w="0" w:type="auto"/>
            <w:shd w:val="clear" w:color="auto" w:fill="auto"/>
            <w:noWrap/>
            <w:vAlign w:val="bottom"/>
            <w:hideMark/>
          </w:tcPr>
          <w:p w:rsidR="005E5B2C" w:rsidRPr="001841D0" w:rsidP="00FB46AA">
            <w:pPr>
              <w:spacing w:before="40" w:after="40" w:line="220" w:lineRule="exact"/>
              <w:ind w:left="57"/>
              <w:rPr>
                <w:rFonts w:cs="FrankRuehl"/>
                <w:sz w:val="18"/>
                <w:szCs w:val="20"/>
              </w:rPr>
            </w:pPr>
            <w:r w:rsidRPr="001841D0">
              <w:rPr>
                <w:rFonts w:cs="FrankRuehl"/>
                <w:sz w:val="18"/>
                <w:szCs w:val="20"/>
                <w:rtl/>
              </w:rPr>
              <w:t>3,131,805</w:t>
            </w:r>
          </w:p>
        </w:tc>
      </w:tr>
      <w:tr w:rsidTr="001841D0">
        <w:tblPrEx>
          <w:tblW w:w="6691" w:type="dxa"/>
          <w:jc w:val="center"/>
          <w:tblLook w:val="04A0"/>
        </w:tblPrEx>
        <w:trPr>
          <w:trHeight w:val="261"/>
          <w:jc w:val="center"/>
        </w:trPr>
        <w:tc>
          <w:tcPr>
            <w:tcW w:w="0" w:type="auto"/>
            <w:shd w:val="clear" w:color="auto" w:fill="auto"/>
            <w:noWrap/>
            <w:vAlign w:val="bottom"/>
            <w:hideMark/>
          </w:tcPr>
          <w:p w:rsidR="005E5B2C" w:rsidRPr="001841D0" w:rsidP="00FB46AA">
            <w:pPr>
              <w:spacing w:before="40" w:after="40" w:line="220" w:lineRule="exact"/>
              <w:rPr>
                <w:rFonts w:cs="FrankRuehl"/>
                <w:sz w:val="18"/>
                <w:szCs w:val="20"/>
              </w:rPr>
            </w:pPr>
            <w:r w:rsidRPr="001841D0">
              <w:rPr>
                <w:rFonts w:cs="FrankRuehl"/>
                <w:sz w:val="18"/>
                <w:szCs w:val="20"/>
                <w:rtl/>
              </w:rPr>
              <w:t>פ</w:t>
            </w:r>
            <w:r w:rsidRPr="001841D0">
              <w:rPr>
                <w:rFonts w:cs="FrankRuehl" w:hint="eastAsia"/>
                <w:sz w:val="18"/>
                <w:szCs w:val="20"/>
                <w:rtl/>
              </w:rPr>
              <w:t>נ</w:t>
            </w:r>
            <w:r w:rsidRPr="001841D0">
              <w:rPr>
                <w:rFonts w:cs="FrankRuehl"/>
                <w:sz w:val="18"/>
                <w:szCs w:val="20"/>
                <w:rtl/>
              </w:rPr>
              <w:t>סיה</w:t>
            </w:r>
          </w:p>
        </w:tc>
        <w:tc>
          <w:tcPr>
            <w:tcW w:w="0" w:type="auto"/>
            <w:shd w:val="clear" w:color="auto" w:fill="auto"/>
            <w:noWrap/>
            <w:vAlign w:val="bottom"/>
            <w:hideMark/>
          </w:tcPr>
          <w:p w:rsidR="005E5B2C" w:rsidRPr="001841D0" w:rsidP="00FB46AA">
            <w:pPr>
              <w:spacing w:before="40" w:after="40" w:line="220" w:lineRule="exact"/>
              <w:ind w:left="227"/>
              <w:rPr>
                <w:rFonts w:cs="FrankRuehl"/>
                <w:sz w:val="18"/>
                <w:szCs w:val="20"/>
              </w:rPr>
            </w:pPr>
            <w:r w:rsidRPr="001841D0">
              <w:rPr>
                <w:rFonts w:cs="FrankRuehl"/>
                <w:sz w:val="18"/>
                <w:szCs w:val="20"/>
                <w:rtl/>
              </w:rPr>
              <w:t>1%</w:t>
            </w:r>
            <w:r w:rsidR="001841D0">
              <w:rPr>
                <w:rFonts w:cs="FrankRuehl" w:hint="cs"/>
                <w:sz w:val="18"/>
                <w:szCs w:val="20"/>
                <w:rtl/>
              </w:rPr>
              <w:t>-</w:t>
            </w:r>
          </w:p>
        </w:tc>
        <w:tc>
          <w:tcPr>
            <w:tcW w:w="0" w:type="auto"/>
            <w:shd w:val="clear" w:color="auto" w:fill="auto"/>
            <w:noWrap/>
            <w:vAlign w:val="bottom"/>
            <w:hideMark/>
          </w:tcPr>
          <w:p w:rsidR="005E5B2C" w:rsidRPr="001841D0" w:rsidP="00FB46AA">
            <w:pPr>
              <w:spacing w:before="40" w:after="40" w:line="220" w:lineRule="exact"/>
              <w:ind w:left="57"/>
              <w:rPr>
                <w:rFonts w:cs="FrankRuehl"/>
                <w:sz w:val="18"/>
                <w:szCs w:val="20"/>
              </w:rPr>
            </w:pPr>
            <w:r w:rsidRPr="001841D0">
              <w:rPr>
                <w:rFonts w:cs="FrankRuehl"/>
                <w:sz w:val="18"/>
                <w:szCs w:val="20"/>
                <w:rtl/>
              </w:rPr>
              <w:t>414,339</w:t>
            </w:r>
          </w:p>
        </w:tc>
        <w:tc>
          <w:tcPr>
            <w:tcW w:w="0" w:type="auto"/>
            <w:shd w:val="clear" w:color="auto" w:fill="auto"/>
            <w:noWrap/>
            <w:vAlign w:val="bottom"/>
            <w:hideMark/>
          </w:tcPr>
          <w:p w:rsidR="005E5B2C" w:rsidRPr="001841D0" w:rsidP="00FB46AA">
            <w:pPr>
              <w:spacing w:before="40" w:after="40" w:line="220" w:lineRule="exact"/>
              <w:ind w:left="57"/>
              <w:rPr>
                <w:rFonts w:cs="FrankRuehl"/>
                <w:sz w:val="18"/>
                <w:szCs w:val="20"/>
              </w:rPr>
            </w:pPr>
            <w:r w:rsidRPr="001841D0">
              <w:rPr>
                <w:rFonts w:cs="FrankRuehl"/>
                <w:sz w:val="18"/>
                <w:szCs w:val="20"/>
                <w:rtl/>
              </w:rPr>
              <w:t>414,118</w:t>
            </w:r>
          </w:p>
        </w:tc>
        <w:tc>
          <w:tcPr>
            <w:tcW w:w="0" w:type="auto"/>
            <w:shd w:val="clear" w:color="auto" w:fill="auto"/>
            <w:noWrap/>
            <w:vAlign w:val="bottom"/>
          </w:tcPr>
          <w:p w:rsidR="005E5B2C" w:rsidRPr="001841D0" w:rsidP="00FB46AA">
            <w:pPr>
              <w:spacing w:before="40" w:after="40" w:line="220" w:lineRule="exact"/>
              <w:ind w:left="57"/>
              <w:rPr>
                <w:rFonts w:cs="FrankRuehl"/>
                <w:sz w:val="18"/>
                <w:szCs w:val="20"/>
              </w:rPr>
            </w:pPr>
            <w:r w:rsidRPr="001841D0">
              <w:rPr>
                <w:rFonts w:cs="FrankRuehl"/>
                <w:sz w:val="18"/>
                <w:szCs w:val="20"/>
                <w:rtl/>
              </w:rPr>
              <w:t>414,317</w:t>
            </w:r>
          </w:p>
        </w:tc>
        <w:tc>
          <w:tcPr>
            <w:tcW w:w="0" w:type="auto"/>
            <w:shd w:val="clear" w:color="auto" w:fill="auto"/>
            <w:noWrap/>
            <w:vAlign w:val="bottom"/>
            <w:hideMark/>
          </w:tcPr>
          <w:p w:rsidR="005E5B2C" w:rsidRPr="001841D0" w:rsidP="00FB46AA">
            <w:pPr>
              <w:spacing w:before="40" w:after="40" w:line="220" w:lineRule="exact"/>
              <w:ind w:left="57"/>
              <w:rPr>
                <w:rFonts w:cs="FrankRuehl"/>
                <w:sz w:val="18"/>
                <w:szCs w:val="20"/>
              </w:rPr>
            </w:pPr>
            <w:r w:rsidRPr="001841D0">
              <w:rPr>
                <w:rFonts w:cs="FrankRuehl"/>
                <w:sz w:val="18"/>
                <w:szCs w:val="20"/>
                <w:rtl/>
              </w:rPr>
              <w:t>410,627</w:t>
            </w:r>
          </w:p>
        </w:tc>
      </w:tr>
    </w:tbl>
    <w:p w:rsidR="005E5B2C" w:rsidRPr="001841D0" w:rsidP="00FB46AA">
      <w:pPr>
        <w:spacing w:before="120" w:after="120" w:line="200" w:lineRule="exact"/>
        <w:ind w:left="397" w:hanging="397"/>
        <w:jc w:val="both"/>
        <w:rPr>
          <w:rFonts w:cs="FrankRuehl"/>
          <w:sz w:val="20"/>
          <w:szCs w:val="20"/>
          <w:rtl/>
        </w:rPr>
      </w:pPr>
      <w:r w:rsidRPr="001841D0">
        <w:rPr>
          <w:rFonts w:cs="FrankRuehl" w:hint="cs"/>
          <w:sz w:val="20"/>
          <w:szCs w:val="20"/>
          <w:rtl/>
        </w:rPr>
        <w:t>מקור: אגף שוק ההון</w:t>
      </w:r>
    </w:p>
    <w:p w:rsidR="005E5B2C" w:rsidRPr="001F3DFF" w:rsidP="00FB46AA">
      <w:pPr>
        <w:spacing w:after="120" w:line="230" w:lineRule="exact"/>
        <w:ind w:left="340" w:hanging="340"/>
        <w:jc w:val="both"/>
        <w:rPr>
          <w:rFonts w:cs="FrankRuehl"/>
          <w:sz w:val="20"/>
          <w:szCs w:val="22"/>
          <w:rtl/>
        </w:rPr>
      </w:pPr>
      <w:r w:rsidRPr="001F3DFF">
        <w:rPr>
          <w:rFonts w:cs="FrankRuehl" w:hint="cs"/>
          <w:sz w:val="20"/>
          <w:szCs w:val="22"/>
          <w:rtl/>
        </w:rPr>
        <w:t xml:space="preserve">1. </w:t>
      </w:r>
      <w:r w:rsidRPr="001F3DFF">
        <w:rPr>
          <w:rFonts w:cs="FrankRuehl" w:hint="cs"/>
          <w:sz w:val="20"/>
          <w:szCs w:val="22"/>
          <w:rtl/>
        </w:rPr>
        <w:tab/>
        <w:t>בדוח ועדת זקן נכתב כי "לאחר התייעצות עם הממונה על שוק ההון... הוחלט במשותף על הקמת צוות אשראי קמעונאי</w:t>
      </w:r>
      <w:r>
        <w:rPr>
          <w:rStyle w:val="FootnoteReference0"/>
          <w:rFonts w:cs="FrankRuehl"/>
          <w:sz w:val="20"/>
          <w:szCs w:val="22"/>
          <w:rtl/>
        </w:rPr>
        <w:footnoteReference w:id="57"/>
      </w:r>
      <w:r w:rsidRPr="001F3DFF">
        <w:rPr>
          <w:rFonts w:cs="FrankRuehl" w:hint="cs"/>
          <w:sz w:val="20"/>
          <w:szCs w:val="22"/>
          <w:rtl/>
        </w:rPr>
        <w:t xml:space="preserve"> בראשות אגף שוק ההון... צוות זה יבחן את הצעדים שיש לנקוט להסרת החסמים שעומדים בפני הגופים המוסדיים כדי להשקיע באפיק זה ובכלל זה את הסוגיות השונות הנוגעות להעמדת אשראי קמעונאי ממקורות החיסכון הפנסיוני. צוות האשראי הקמעונאי מוקם עם פרסום דוח זה; ובהתאם לסיכום עם הממונה על שוק ההון... בכוונת הצוות לסיים את עבודתו עד סוף השנה".</w:t>
      </w:r>
    </w:p>
    <w:p w:rsidR="005E5B2C" w:rsidRPr="001F3DFF" w:rsidP="00FB46AA">
      <w:pPr>
        <w:spacing w:after="120" w:line="230" w:lineRule="exact"/>
        <w:ind w:left="340"/>
        <w:jc w:val="both"/>
        <w:rPr>
          <w:rFonts w:cs="FrankRuehl"/>
          <w:sz w:val="20"/>
          <w:szCs w:val="22"/>
          <w:rtl/>
        </w:rPr>
      </w:pPr>
      <w:r w:rsidRPr="001F3DFF">
        <w:rPr>
          <w:rFonts w:cs="FrankRuehl"/>
          <w:sz w:val="20"/>
          <w:szCs w:val="22"/>
          <w:rtl/>
        </w:rPr>
        <w:t xml:space="preserve">באוקטובר 2013 הוקם </w:t>
      </w:r>
      <w:r w:rsidRPr="001F3DFF">
        <w:rPr>
          <w:rFonts w:cs="FrankRuehl" w:hint="cs"/>
          <w:sz w:val="20"/>
          <w:szCs w:val="22"/>
          <w:rtl/>
        </w:rPr>
        <w:t>ה</w:t>
      </w:r>
      <w:r w:rsidRPr="001F3DFF">
        <w:rPr>
          <w:rFonts w:cs="FrankRuehl"/>
          <w:sz w:val="20"/>
          <w:szCs w:val="22"/>
          <w:rtl/>
        </w:rPr>
        <w:t xml:space="preserve">צוות </w:t>
      </w:r>
      <w:r w:rsidRPr="001F3DFF">
        <w:rPr>
          <w:rFonts w:cs="FrankRuehl" w:hint="cs"/>
          <w:sz w:val="20"/>
          <w:szCs w:val="22"/>
          <w:rtl/>
        </w:rPr>
        <w:t>האמור, ובו</w:t>
      </w:r>
      <w:r w:rsidRPr="001F3DFF">
        <w:rPr>
          <w:rFonts w:cs="FrankRuehl"/>
          <w:sz w:val="20"/>
          <w:szCs w:val="22"/>
          <w:rtl/>
        </w:rPr>
        <w:t xml:space="preserve"> </w:t>
      </w:r>
      <w:r w:rsidRPr="001F3DFF">
        <w:rPr>
          <w:rFonts w:cs="FrankRuehl" w:hint="cs"/>
          <w:sz w:val="20"/>
          <w:szCs w:val="22"/>
          <w:rtl/>
        </w:rPr>
        <w:t xml:space="preserve">נציגי </w:t>
      </w:r>
      <w:r w:rsidRPr="001F3DFF">
        <w:rPr>
          <w:rFonts w:cs="FrankRuehl"/>
          <w:sz w:val="20"/>
          <w:szCs w:val="22"/>
          <w:rtl/>
        </w:rPr>
        <w:t>אגף שוק ההון, החשב הכללי ואגף התקציבים</w:t>
      </w:r>
      <w:r w:rsidRPr="001F3DFF">
        <w:rPr>
          <w:rFonts w:cs="FrankRuehl" w:hint="cs"/>
          <w:sz w:val="20"/>
          <w:szCs w:val="22"/>
          <w:rtl/>
        </w:rPr>
        <w:t xml:space="preserve"> במשרד האוצר</w:t>
      </w:r>
      <w:r w:rsidRPr="001F3DFF">
        <w:rPr>
          <w:rFonts w:cs="FrankRuehl"/>
          <w:sz w:val="20"/>
          <w:szCs w:val="22"/>
          <w:rtl/>
        </w:rPr>
        <w:t>. ביוני 2014</w:t>
      </w:r>
      <w:r w:rsidRPr="001F3DFF">
        <w:rPr>
          <w:rFonts w:cs="FrankRuehl" w:hint="cs"/>
          <w:sz w:val="20"/>
          <w:szCs w:val="22"/>
          <w:rtl/>
        </w:rPr>
        <w:t xml:space="preserve"> הגיש </w:t>
      </w:r>
      <w:r w:rsidRPr="001F3DFF">
        <w:rPr>
          <w:rFonts w:cs="FrankRuehl"/>
          <w:sz w:val="20"/>
          <w:szCs w:val="22"/>
          <w:rtl/>
        </w:rPr>
        <w:t xml:space="preserve">הצוות את המלצותיו </w:t>
      </w:r>
      <w:r w:rsidRPr="001F3DFF">
        <w:rPr>
          <w:rFonts w:cs="FrankRuehl" w:hint="cs"/>
          <w:sz w:val="20"/>
          <w:szCs w:val="22"/>
          <w:rtl/>
        </w:rPr>
        <w:t>לחשבת</w:t>
      </w:r>
      <w:r w:rsidRPr="001F3DFF">
        <w:rPr>
          <w:rFonts w:cs="FrankRuehl" w:hint="cs"/>
          <w:sz w:val="20"/>
          <w:szCs w:val="22"/>
          <w:rtl/>
        </w:rPr>
        <w:t xml:space="preserve"> הכללית ולממונה על שוק ההון. בין ההמלצות היו קידום חוק איגוח</w:t>
      </w:r>
      <w:r>
        <w:rPr>
          <w:rStyle w:val="FootnoteReference0"/>
          <w:rFonts w:cs="FrankRuehl"/>
          <w:sz w:val="20"/>
          <w:szCs w:val="22"/>
          <w:rtl/>
        </w:rPr>
        <w:footnoteReference w:id="58"/>
      </w:r>
      <w:r w:rsidRPr="001F3DFF">
        <w:rPr>
          <w:rFonts w:cs="FrankRuehl" w:hint="cs"/>
          <w:sz w:val="20"/>
          <w:szCs w:val="22"/>
          <w:rtl/>
        </w:rPr>
        <w:t xml:space="preserve"> ועידוד שיתוף הפעולה בין בנקים לגופים מוסדיים. בדוח המסכם של הצוות נכתב כי מאחר שהצוות הוא פנים-משרדי, הפתרונות שהציע הם כאלו שניתן לספק ברמת משרד האוצר; אך נדרשים כמה צעדים משלימים כדי שהפתרונות יהיו בני-קיימא וכדי לקדם את כניסת הגופים המוסדיים אל שוק האשראי הקמעונאי. </w:t>
      </w:r>
    </w:p>
    <w:p w:rsidR="005E5B2C" w:rsidRPr="001F3DFF" w:rsidP="00FB46AA">
      <w:pPr>
        <w:spacing w:after="240" w:line="230" w:lineRule="exact"/>
        <w:ind w:left="340" w:hanging="340"/>
        <w:jc w:val="both"/>
        <w:rPr>
          <w:rFonts w:cs="FrankRuehl"/>
          <w:sz w:val="20"/>
          <w:szCs w:val="22"/>
          <w:rtl/>
        </w:rPr>
      </w:pPr>
      <w:r w:rsidRPr="001F3DFF">
        <w:rPr>
          <w:rFonts w:cs="FrankRuehl" w:hint="cs"/>
          <w:sz w:val="20"/>
          <w:szCs w:val="22"/>
          <w:rtl/>
        </w:rPr>
        <w:t xml:space="preserve">2. </w:t>
      </w:r>
      <w:r w:rsidRPr="001F3DFF">
        <w:rPr>
          <w:rFonts w:cs="FrankRuehl" w:hint="cs"/>
          <w:sz w:val="20"/>
          <w:szCs w:val="22"/>
          <w:rtl/>
        </w:rPr>
        <w:tab/>
        <w:t>תקנות הפיקוח על שירותים פיננסיים (קופות גמל) (כללי השקעה החלים על גופים מוסדיים), התשע"ב-2012 וחוזר גופים מוסדיים 2013-9-13</w:t>
      </w:r>
      <w:r>
        <w:rPr>
          <w:rStyle w:val="FootnoteReference0"/>
          <w:rFonts w:cs="FrankRuehl"/>
          <w:sz w:val="20"/>
          <w:szCs w:val="22"/>
          <w:rtl/>
        </w:rPr>
        <w:footnoteReference w:id="59"/>
      </w:r>
      <w:r w:rsidRPr="001F3DFF">
        <w:rPr>
          <w:rFonts w:cs="FrankRuehl" w:hint="cs"/>
          <w:sz w:val="20"/>
          <w:szCs w:val="22"/>
          <w:rtl/>
        </w:rPr>
        <w:t xml:space="preserve"> </w:t>
      </w:r>
      <w:r w:rsidRPr="001F3DFF">
        <w:rPr>
          <w:rFonts w:cs="FrankRuehl"/>
          <w:sz w:val="20"/>
          <w:szCs w:val="22"/>
          <w:rtl/>
        </w:rPr>
        <w:t>עוסק</w:t>
      </w:r>
      <w:r w:rsidRPr="001F3DFF">
        <w:rPr>
          <w:rFonts w:cs="FrankRuehl" w:hint="cs"/>
          <w:sz w:val="20"/>
          <w:szCs w:val="22"/>
          <w:rtl/>
        </w:rPr>
        <w:t>ים</w:t>
      </w:r>
      <w:r w:rsidRPr="001F3DFF">
        <w:rPr>
          <w:rFonts w:cs="FrankRuehl"/>
          <w:sz w:val="20"/>
          <w:szCs w:val="22"/>
          <w:rtl/>
        </w:rPr>
        <w:t xml:space="preserve"> בהסדרת דרכי </w:t>
      </w:r>
      <w:r w:rsidRPr="001F3DFF">
        <w:rPr>
          <w:rFonts w:cs="FrankRuehl" w:hint="cs"/>
          <w:sz w:val="20"/>
          <w:szCs w:val="22"/>
          <w:rtl/>
        </w:rPr>
        <w:t>ה</w:t>
      </w:r>
      <w:r w:rsidRPr="001F3DFF">
        <w:rPr>
          <w:rFonts w:cs="FrankRuehl"/>
          <w:sz w:val="20"/>
          <w:szCs w:val="22"/>
          <w:rtl/>
        </w:rPr>
        <w:t xml:space="preserve">השקעה של נכסים </w:t>
      </w:r>
      <w:r w:rsidRPr="001F3DFF">
        <w:rPr>
          <w:rFonts w:cs="FrankRuehl" w:hint="cs"/>
          <w:sz w:val="20"/>
          <w:szCs w:val="22"/>
          <w:rtl/>
        </w:rPr>
        <w:t>ה</w:t>
      </w:r>
      <w:r w:rsidRPr="001F3DFF">
        <w:rPr>
          <w:rFonts w:cs="FrankRuehl"/>
          <w:sz w:val="20"/>
          <w:szCs w:val="22"/>
          <w:rtl/>
        </w:rPr>
        <w:t>מנוהלים על ידי גופים מוסדיים</w:t>
      </w:r>
      <w:r w:rsidRPr="001F3DFF">
        <w:rPr>
          <w:rFonts w:cs="FrankRuehl" w:hint="cs"/>
          <w:sz w:val="20"/>
          <w:szCs w:val="22"/>
          <w:rtl/>
        </w:rPr>
        <w:t xml:space="preserve">, וקובעים, בין היתר, הוראות בעניין מתן הלוואות לעמיתים מגופים אלו. יצוין כי הלוואות לעמיתים הן אפיק השקעה מבחינת הגופים המוסדיים. </w:t>
      </w:r>
    </w:p>
    <w:p w:rsidR="005E5B2C" w:rsidRPr="001F3DFF" w:rsidP="00FB46AA">
      <w:pPr>
        <w:pStyle w:val="RESHET"/>
        <w:keepLines/>
        <w:ind w:left="567"/>
        <w:rPr>
          <w:rtl/>
        </w:rPr>
      </w:pPr>
      <w:r w:rsidRPr="001F3DFF">
        <w:rPr>
          <w:rFonts w:hint="eastAsia"/>
          <w:rtl/>
        </w:rPr>
        <w:t>מבדיקת</w:t>
      </w:r>
      <w:r w:rsidRPr="001F3DFF">
        <w:rPr>
          <w:rtl/>
        </w:rPr>
        <w:t xml:space="preserve"> משרד מבקר המדינה עולה כי הוראות אגף שוק ההון האמורות בדבר הלוואות לעמיתים הן כלליות מאוד, וכי חסרות בהן, בין היתר, הנחיות לדרכי הפעולה של הגופים המוסדיים במצבים כגון אי-החזר ההלוואה על ידי העמית, והגבלות על מתן הלוואות לעמית הקרוב לגיל פרישה. </w:t>
      </w:r>
    </w:p>
    <w:p w:rsidR="005E5B2C" w:rsidRPr="001F3DFF" w:rsidP="00FB46AA">
      <w:pPr>
        <w:spacing w:before="180" w:after="240" w:line="230" w:lineRule="exact"/>
        <w:ind w:left="340"/>
        <w:jc w:val="both"/>
        <w:rPr>
          <w:rFonts w:cs="FrankRuehl"/>
          <w:sz w:val="20"/>
          <w:szCs w:val="22"/>
          <w:rtl/>
        </w:rPr>
      </w:pPr>
      <w:r w:rsidRPr="001F3DFF">
        <w:rPr>
          <w:rFonts w:cs="FrankRuehl" w:hint="cs"/>
          <w:sz w:val="20"/>
          <w:szCs w:val="22"/>
          <w:rtl/>
        </w:rPr>
        <w:t xml:space="preserve">אגף שוק ההון מסר למשרד מבקר המדינה בדצמבר 2014 כי </w:t>
      </w:r>
      <w:r w:rsidRPr="001F3DFF">
        <w:rPr>
          <w:rFonts w:cs="FrankRuehl"/>
          <w:sz w:val="20"/>
          <w:szCs w:val="22"/>
          <w:rtl/>
        </w:rPr>
        <w:t>האגף עובר לשיטה של פיקוח מ</w:t>
      </w:r>
      <w:r w:rsidRPr="001F3DFF">
        <w:rPr>
          <w:rFonts w:cs="FrankRuehl" w:hint="cs"/>
          <w:sz w:val="20"/>
          <w:szCs w:val="22"/>
          <w:rtl/>
        </w:rPr>
        <w:t>ו</w:t>
      </w:r>
      <w:r w:rsidRPr="001F3DFF">
        <w:rPr>
          <w:rFonts w:cs="FrankRuehl"/>
          <w:sz w:val="20"/>
          <w:szCs w:val="22"/>
          <w:rtl/>
        </w:rPr>
        <w:t>נחה עקרונות</w:t>
      </w:r>
      <w:r w:rsidRPr="001F3DFF">
        <w:rPr>
          <w:rFonts w:cs="FrankRuehl" w:hint="cs"/>
          <w:sz w:val="20"/>
          <w:szCs w:val="22"/>
          <w:rtl/>
        </w:rPr>
        <w:t>,</w:t>
      </w:r>
      <w:r w:rsidRPr="001F3DFF">
        <w:rPr>
          <w:rFonts w:cs="FrankRuehl"/>
          <w:sz w:val="20"/>
          <w:szCs w:val="22"/>
          <w:rtl/>
        </w:rPr>
        <w:t xml:space="preserve"> </w:t>
      </w:r>
      <w:r w:rsidRPr="001F3DFF">
        <w:rPr>
          <w:rFonts w:cs="FrankRuehl" w:hint="cs"/>
          <w:sz w:val="20"/>
          <w:szCs w:val="22"/>
          <w:rtl/>
        </w:rPr>
        <w:t>וכי</w:t>
      </w:r>
      <w:r w:rsidRPr="001F3DFF">
        <w:rPr>
          <w:rFonts w:cs="FrankRuehl"/>
          <w:sz w:val="20"/>
          <w:szCs w:val="22"/>
          <w:rtl/>
        </w:rPr>
        <w:t xml:space="preserve"> </w:t>
      </w:r>
      <w:r w:rsidRPr="001F3DFF">
        <w:rPr>
          <w:rFonts w:cs="FrankRuehl" w:hint="cs"/>
          <w:sz w:val="20"/>
          <w:szCs w:val="22"/>
          <w:rtl/>
        </w:rPr>
        <w:t>ריבוי</w:t>
      </w:r>
      <w:r w:rsidRPr="001F3DFF">
        <w:rPr>
          <w:rFonts w:cs="FrankRuehl"/>
          <w:sz w:val="20"/>
          <w:szCs w:val="22"/>
          <w:rtl/>
        </w:rPr>
        <w:t xml:space="preserve"> כללים</w:t>
      </w:r>
      <w:r w:rsidRPr="001F3DFF">
        <w:rPr>
          <w:rFonts w:cs="FrankRuehl" w:hint="cs"/>
          <w:sz w:val="20"/>
          <w:szCs w:val="22"/>
          <w:rtl/>
        </w:rPr>
        <w:t xml:space="preserve"> ותקנות עלול "להרוג</w:t>
      </w:r>
      <w:r w:rsidRPr="001F3DFF">
        <w:rPr>
          <w:rFonts w:cs="FrankRuehl"/>
          <w:sz w:val="20"/>
          <w:szCs w:val="22"/>
          <w:rtl/>
        </w:rPr>
        <w:t xml:space="preserve"> את המוצר</w:t>
      </w:r>
      <w:r w:rsidRPr="001F3DFF">
        <w:rPr>
          <w:rFonts w:cs="FrankRuehl" w:hint="cs"/>
          <w:sz w:val="20"/>
          <w:szCs w:val="22"/>
          <w:rtl/>
        </w:rPr>
        <w:t>", שהוא חלופה לאשראי שנותנים ה</w:t>
      </w:r>
      <w:r w:rsidRPr="001F3DFF">
        <w:rPr>
          <w:rFonts w:cs="FrankRuehl"/>
          <w:sz w:val="20"/>
          <w:szCs w:val="22"/>
          <w:rtl/>
        </w:rPr>
        <w:t>בנקים</w:t>
      </w:r>
      <w:r w:rsidRPr="001F3DFF">
        <w:rPr>
          <w:rFonts w:cs="FrankRuehl" w:hint="cs"/>
          <w:sz w:val="20"/>
          <w:szCs w:val="22"/>
          <w:rtl/>
        </w:rPr>
        <w:t xml:space="preserve"> למשקי הבית</w:t>
      </w:r>
      <w:r w:rsidRPr="001F3DFF">
        <w:rPr>
          <w:rFonts w:cs="FrankRuehl"/>
          <w:sz w:val="20"/>
          <w:szCs w:val="22"/>
          <w:rtl/>
        </w:rPr>
        <w:t>.</w:t>
      </w:r>
      <w:r w:rsidRPr="001F3DFF">
        <w:rPr>
          <w:rFonts w:cs="FrankRuehl" w:hint="cs"/>
          <w:sz w:val="20"/>
          <w:szCs w:val="22"/>
          <w:rtl/>
        </w:rPr>
        <w:t xml:space="preserve"> עוד מסר האגף</w:t>
      </w:r>
      <w:r>
        <w:rPr>
          <w:rStyle w:val="FootnoteReference0"/>
          <w:rFonts w:cs="FrankRuehl"/>
          <w:sz w:val="20"/>
          <w:szCs w:val="22"/>
          <w:rtl/>
        </w:rPr>
        <w:footnoteReference w:id="60"/>
      </w:r>
      <w:r w:rsidRPr="001F3DFF">
        <w:rPr>
          <w:rFonts w:cs="FrankRuehl" w:hint="cs"/>
          <w:sz w:val="20"/>
          <w:szCs w:val="22"/>
          <w:rtl/>
        </w:rPr>
        <w:t xml:space="preserve"> כי הגופים המוסדיים מחויבים לדווח לו על הלוואות, בדומה לאפיקי השקעה אחרים, וכי "הפיקוח על הנושא הינו חלק מהפיקוח הכולל על כלל מערכי ההשקעות בחבות וכולל ביקורות במידת הצורך וכן בדיקות נקודתיות". במהלך שנת 2014 ביצע האגף ביקורות בנושא הלוואות לעמיתים בגוף פנסיה ובגוף גמל. כמו כן, האגף מסר כי בתכנית העבודה הרב-שנתית שלו מתוכננות ביקורות בכל גופי הגמל הגדולים וגופי הפנסיה הגדולים במהלך 2015 ו-2016.</w:t>
      </w:r>
    </w:p>
    <w:p w:rsidR="005E5B2C" w:rsidRPr="001841D0" w:rsidP="00FB46AA">
      <w:pPr>
        <w:pStyle w:val="RESHET"/>
        <w:keepLines/>
        <w:ind w:left="567"/>
        <w:rPr>
          <w:rtl/>
        </w:rPr>
      </w:pPr>
      <w:r w:rsidRPr="001841D0">
        <w:rPr>
          <w:rFonts w:hint="eastAsia"/>
          <w:rtl/>
        </w:rPr>
        <w:t>בחינת</w:t>
      </w:r>
      <w:r w:rsidRPr="001841D0">
        <w:rPr>
          <w:rtl/>
        </w:rPr>
        <w:t xml:space="preserve"> המידע הקיים באגף שוק ההון מעלה כי לבד מנתונים על סך היקף ההלוואות לעמיתים מ</w:t>
      </w:r>
      <w:r w:rsidRPr="001841D0">
        <w:rPr>
          <w:rFonts w:hint="cs"/>
          <w:rtl/>
        </w:rPr>
        <w:t>כל אחד מ</w:t>
      </w:r>
      <w:r w:rsidRPr="001841D0">
        <w:rPr>
          <w:rtl/>
        </w:rPr>
        <w:t>הגופים המוסדיים, אין ב</w:t>
      </w:r>
      <w:r w:rsidRPr="001841D0">
        <w:rPr>
          <w:rFonts w:hint="cs"/>
          <w:rtl/>
        </w:rPr>
        <w:t>ידיו</w:t>
      </w:r>
      <w:r w:rsidRPr="001841D0">
        <w:rPr>
          <w:rtl/>
        </w:rPr>
        <w:t xml:space="preserve"> מידע מפורט דיו על אפיק השקעה זה: נתונים על הריבית הממוצעת על הלוואה לעמית, היקף ההלוואה הממוצעת לעמית, שיעור ההלוואות הלא מכובדות, מספר הלווים החדשים המצטרפים למעגל ההלוואות בתקופה מסוימת, הגיל הממוצע של הלווים, הביטחונות וכדומה. </w:t>
      </w:r>
    </w:p>
    <w:p w:rsidR="005E5B2C" w:rsidRPr="001F3DFF" w:rsidP="00FB46AA">
      <w:pPr>
        <w:spacing w:before="180" w:after="240" w:line="230" w:lineRule="exact"/>
        <w:ind w:left="340"/>
        <w:jc w:val="both"/>
        <w:rPr>
          <w:rFonts w:cs="FrankRuehl"/>
          <w:sz w:val="20"/>
          <w:szCs w:val="22"/>
          <w:rtl/>
        </w:rPr>
      </w:pPr>
      <w:r w:rsidRPr="001F3DFF">
        <w:rPr>
          <w:rFonts w:cs="FrankRuehl" w:hint="cs"/>
          <w:sz w:val="20"/>
          <w:szCs w:val="22"/>
          <w:rtl/>
        </w:rPr>
        <w:t xml:space="preserve">אגף שוק ההון מסר למשרד מבקר המדינה בדצמבר 2014 כי </w:t>
      </w:r>
      <w:r w:rsidRPr="001F3DFF">
        <w:rPr>
          <w:rFonts w:cs="FrankRuehl"/>
          <w:sz w:val="20"/>
          <w:szCs w:val="22"/>
          <w:rtl/>
        </w:rPr>
        <w:t xml:space="preserve">אין </w:t>
      </w:r>
      <w:r w:rsidRPr="001F3DFF">
        <w:rPr>
          <w:rFonts w:cs="FrankRuehl" w:hint="cs"/>
          <w:sz w:val="20"/>
          <w:szCs w:val="22"/>
          <w:rtl/>
        </w:rPr>
        <w:t>לו</w:t>
      </w:r>
      <w:r w:rsidRPr="001F3DFF">
        <w:rPr>
          <w:rFonts w:cs="FrankRuehl"/>
          <w:sz w:val="20"/>
          <w:szCs w:val="22"/>
          <w:rtl/>
        </w:rPr>
        <w:t xml:space="preserve"> היכולת (הטכנית) </w:t>
      </w:r>
      <w:r w:rsidRPr="001F3DFF">
        <w:rPr>
          <w:rFonts w:cs="FrankRuehl" w:hint="cs"/>
          <w:sz w:val="20"/>
          <w:szCs w:val="22"/>
          <w:rtl/>
        </w:rPr>
        <w:t>לאסוף</w:t>
      </w:r>
      <w:r w:rsidRPr="001F3DFF">
        <w:rPr>
          <w:rFonts w:cs="FrankRuehl"/>
          <w:sz w:val="20"/>
          <w:szCs w:val="22"/>
          <w:rtl/>
        </w:rPr>
        <w:t xml:space="preserve"> נתונים</w:t>
      </w:r>
      <w:r w:rsidRPr="001F3DFF">
        <w:rPr>
          <w:rFonts w:cs="FrankRuehl" w:hint="cs"/>
          <w:sz w:val="20"/>
          <w:szCs w:val="22"/>
          <w:rtl/>
        </w:rPr>
        <w:t xml:space="preserve"> מעמיקים יותר על ההלוואות לעמיתים</w:t>
      </w:r>
      <w:r w:rsidRPr="001F3DFF">
        <w:rPr>
          <w:rFonts w:cs="FrankRuehl"/>
          <w:sz w:val="20"/>
          <w:szCs w:val="22"/>
          <w:rtl/>
        </w:rPr>
        <w:t xml:space="preserve"> ו</w:t>
      </w:r>
      <w:r w:rsidRPr="001F3DFF">
        <w:rPr>
          <w:rFonts w:cs="FrankRuehl" w:hint="cs"/>
          <w:sz w:val="20"/>
          <w:szCs w:val="22"/>
          <w:rtl/>
        </w:rPr>
        <w:t>להשתמש בהם באופן</w:t>
      </w:r>
      <w:r w:rsidRPr="001F3DFF">
        <w:rPr>
          <w:rFonts w:cs="FrankRuehl"/>
          <w:sz w:val="20"/>
          <w:szCs w:val="22"/>
          <w:rtl/>
        </w:rPr>
        <w:t xml:space="preserve"> מושכל.</w:t>
      </w:r>
    </w:p>
    <w:p w:rsidR="005E5B2C" w:rsidRPr="001841D0" w:rsidP="00FB46AA">
      <w:pPr>
        <w:pStyle w:val="RESHET"/>
        <w:keepLines/>
        <w:ind w:left="567"/>
        <w:rPr>
          <w:rtl/>
        </w:rPr>
      </w:pPr>
      <w:r w:rsidRPr="001841D0">
        <w:rPr>
          <w:rFonts w:hint="cs"/>
          <w:rtl/>
        </w:rPr>
        <w:t xml:space="preserve">משרד מבקר המדינה מעיר כי היעדר נתונים מקשה לקיים פיקוח והגנה הולמים על העמיתים ועל יציבות הגופים המוסדיים. לאור הגידול בהיקף ההלוואות שנותנים גופים אלה לעמיתים בשנים האחרונות, על אגף שוק ההון לפעול לאיסוף מידע מפורט יותר על אפיק זה, לצורכי פיקוח ובקרה, ולהתנהל בתחום זה בדומה להתנהלות </w:t>
      </w:r>
      <w:r w:rsidRPr="001841D0">
        <w:rPr>
          <w:rFonts w:hint="cs"/>
          <w:rtl/>
        </w:rPr>
        <w:t>באסדרת</w:t>
      </w:r>
      <w:r w:rsidRPr="001841D0">
        <w:rPr>
          <w:rFonts w:hint="cs"/>
          <w:rtl/>
        </w:rPr>
        <w:t xml:space="preserve"> המערכת הבנקאית. </w:t>
      </w:r>
      <w:r w:rsidRPr="001841D0">
        <w:rPr>
          <w:rtl/>
        </w:rPr>
        <w:t xml:space="preserve">על </w:t>
      </w:r>
      <w:r w:rsidRPr="001841D0">
        <w:rPr>
          <w:rFonts w:hint="cs"/>
          <w:rtl/>
        </w:rPr>
        <w:t>ה</w:t>
      </w:r>
      <w:r w:rsidRPr="001841D0">
        <w:rPr>
          <w:rtl/>
        </w:rPr>
        <w:t>אגף לרכוש את היכולת הטכנית לא</w:t>
      </w:r>
      <w:r w:rsidRPr="001841D0">
        <w:rPr>
          <w:rFonts w:hint="cs"/>
          <w:rtl/>
        </w:rPr>
        <w:t>י</w:t>
      </w:r>
      <w:r w:rsidRPr="001841D0">
        <w:rPr>
          <w:rtl/>
        </w:rPr>
        <w:t>סוף הנתונים המפורטים על אפיק זה</w:t>
      </w:r>
      <w:r w:rsidRPr="001841D0">
        <w:rPr>
          <w:rFonts w:hint="cs"/>
          <w:rtl/>
        </w:rPr>
        <w:t>.</w:t>
      </w:r>
    </w:p>
    <w:p w:rsidR="005E5B2C" w:rsidRPr="001F3DFF" w:rsidP="00FB46AA">
      <w:pPr>
        <w:spacing w:after="120" w:line="230" w:lineRule="exact"/>
        <w:ind w:left="340"/>
        <w:jc w:val="both"/>
        <w:rPr>
          <w:rFonts w:cs="FrankRuehl"/>
          <w:b/>
          <w:bCs/>
          <w:sz w:val="20"/>
          <w:szCs w:val="22"/>
          <w:rtl/>
        </w:rPr>
      </w:pPr>
    </w:p>
    <w:p w:rsidR="005E5B2C" w:rsidRPr="001E4618" w:rsidP="00FB46AA">
      <w:pPr>
        <w:pStyle w:val="KOT5"/>
        <w:rPr>
          <w:rtl/>
        </w:rPr>
      </w:pPr>
      <w:r w:rsidRPr="001E4618">
        <w:rPr>
          <w:rFonts w:hint="cs"/>
          <w:rtl/>
        </w:rPr>
        <w:t xml:space="preserve">הסדרת הפיקוח על הלוואות שנותנים גורמים פרטיים </w:t>
      </w:r>
    </w:p>
    <w:p w:rsidR="005E5B2C" w:rsidRPr="001F3DFF" w:rsidP="00FB46AA">
      <w:pPr>
        <w:spacing w:after="240" w:line="230" w:lineRule="exact"/>
        <w:jc w:val="both"/>
        <w:rPr>
          <w:rFonts w:cs="FrankRuehl"/>
          <w:sz w:val="20"/>
          <w:szCs w:val="22"/>
          <w:rtl/>
        </w:rPr>
      </w:pPr>
      <w:r w:rsidRPr="001F3DFF">
        <w:rPr>
          <w:rFonts w:cs="FrankRuehl" w:hint="cs"/>
          <w:sz w:val="20"/>
          <w:szCs w:val="22"/>
          <w:rtl/>
        </w:rPr>
        <w:t>שוק האשראי החוץ-בנקאי שאיננו מוסדי מכונה "השוק האפור"</w:t>
      </w:r>
      <w:r>
        <w:rPr>
          <w:rStyle w:val="FootnoteReference0"/>
          <w:rFonts w:cs="FrankRuehl"/>
          <w:sz w:val="20"/>
          <w:szCs w:val="22"/>
          <w:rtl/>
        </w:rPr>
        <w:footnoteReference w:id="61"/>
      </w:r>
      <w:r w:rsidRPr="001F3DFF">
        <w:rPr>
          <w:rFonts w:cs="FrankRuehl" w:hint="cs"/>
          <w:sz w:val="20"/>
          <w:szCs w:val="22"/>
          <w:rtl/>
        </w:rPr>
        <w:t xml:space="preserve">, ולצד הגורמים הלגיטימיים פועלים בו גם גורמים עברייניים. בשנת 2012 פרסמה </w:t>
      </w:r>
      <w:r w:rsidRPr="001F3DFF">
        <w:rPr>
          <w:rFonts w:cs="FrankRuehl" w:hint="cs"/>
          <w:sz w:val="20"/>
          <w:szCs w:val="22"/>
          <w:rtl/>
        </w:rPr>
        <w:t>הלמ"ס</w:t>
      </w:r>
      <w:r w:rsidRPr="001F3DFF">
        <w:rPr>
          <w:rFonts w:cs="FrankRuehl" w:hint="cs"/>
          <w:sz w:val="20"/>
          <w:szCs w:val="22"/>
          <w:rtl/>
        </w:rPr>
        <w:t xml:space="preserve"> נתוני סקר אוריינות פיננסית</w:t>
      </w:r>
      <w:r>
        <w:rPr>
          <w:rStyle w:val="FootnoteReference0"/>
          <w:rFonts w:cs="FrankRuehl"/>
          <w:sz w:val="20"/>
          <w:szCs w:val="22"/>
          <w:rtl/>
        </w:rPr>
        <w:footnoteReference w:id="62"/>
      </w:r>
      <w:r w:rsidRPr="001F3DFF">
        <w:rPr>
          <w:rFonts w:cs="FrankRuehl" w:hint="cs"/>
          <w:sz w:val="20"/>
          <w:szCs w:val="22"/>
          <w:rtl/>
        </w:rPr>
        <w:t xml:space="preserve"> ולפיהם</w:t>
      </w:r>
      <w:r w:rsidRPr="001F3DFF">
        <w:rPr>
          <w:rFonts w:cs="FrankRuehl"/>
          <w:sz w:val="20"/>
          <w:szCs w:val="22"/>
          <w:rtl/>
        </w:rPr>
        <w:t xml:space="preserve"> מבין אלו שנטלו הלוואות 28% דיווחו על נטילת הלוואה מאדם פרטי</w:t>
      </w:r>
      <w:r w:rsidRPr="001F3DFF">
        <w:rPr>
          <w:rFonts w:cs="FrankRuehl" w:hint="cs"/>
          <w:sz w:val="20"/>
          <w:szCs w:val="22"/>
          <w:rtl/>
        </w:rPr>
        <w:t>,</w:t>
      </w:r>
      <w:r w:rsidRPr="001F3DFF">
        <w:rPr>
          <w:rFonts w:cs="FrankRuehl"/>
          <w:sz w:val="20"/>
          <w:szCs w:val="22"/>
          <w:rtl/>
        </w:rPr>
        <w:t xml:space="preserve"> </w:t>
      </w:r>
      <w:r w:rsidRPr="001F3DFF">
        <w:rPr>
          <w:rFonts w:cs="FrankRuehl" w:hint="cs"/>
          <w:sz w:val="20"/>
          <w:szCs w:val="22"/>
          <w:rtl/>
        </w:rPr>
        <w:t>ו</w:t>
      </w:r>
      <w:r w:rsidRPr="001F3DFF">
        <w:rPr>
          <w:rFonts w:cs="FrankRuehl"/>
          <w:sz w:val="20"/>
          <w:szCs w:val="22"/>
          <w:rtl/>
        </w:rPr>
        <w:t xml:space="preserve">מבין </w:t>
      </w:r>
      <w:r w:rsidRPr="001F3DFF">
        <w:rPr>
          <w:rFonts w:cs="FrankRuehl" w:hint="cs"/>
          <w:sz w:val="20"/>
          <w:szCs w:val="22"/>
          <w:rtl/>
        </w:rPr>
        <w:t>אלו</w:t>
      </w:r>
      <w:r w:rsidRPr="001F3DFF">
        <w:rPr>
          <w:rFonts w:cs="FrankRuehl"/>
          <w:sz w:val="20"/>
          <w:szCs w:val="22"/>
          <w:rtl/>
        </w:rPr>
        <w:t xml:space="preserve"> שיש להם חוב </w:t>
      </w:r>
      <w:r w:rsidR="001841D0">
        <w:rPr>
          <w:rFonts w:cs="FrankRuehl" w:hint="cs"/>
          <w:sz w:val="20"/>
          <w:szCs w:val="22"/>
          <w:rtl/>
        </w:rPr>
        <w:br/>
      </w:r>
      <w:r w:rsidRPr="001F3DFF">
        <w:rPr>
          <w:rFonts w:cs="FrankRuehl"/>
          <w:sz w:val="20"/>
          <w:szCs w:val="22"/>
          <w:rtl/>
        </w:rPr>
        <w:t>כ-31% דיווחו ש</w:t>
      </w:r>
      <w:r w:rsidRPr="001F3DFF">
        <w:rPr>
          <w:rFonts w:cs="FrankRuehl" w:hint="cs"/>
          <w:sz w:val="20"/>
          <w:szCs w:val="22"/>
          <w:rtl/>
        </w:rPr>
        <w:t xml:space="preserve">גורמים פרטיים </w:t>
      </w:r>
      <w:r w:rsidRPr="001F3DFF">
        <w:rPr>
          <w:rFonts w:cs="FrankRuehl"/>
          <w:sz w:val="20"/>
          <w:szCs w:val="22"/>
          <w:rtl/>
        </w:rPr>
        <w:t>הפע</w:t>
      </w:r>
      <w:r w:rsidRPr="001F3DFF">
        <w:rPr>
          <w:rFonts w:cs="FrankRuehl" w:hint="cs"/>
          <w:sz w:val="20"/>
          <w:szCs w:val="22"/>
          <w:rtl/>
        </w:rPr>
        <w:t>י</w:t>
      </w:r>
      <w:r w:rsidRPr="001F3DFF">
        <w:rPr>
          <w:rFonts w:cs="FrankRuehl"/>
          <w:sz w:val="20"/>
          <w:szCs w:val="22"/>
          <w:rtl/>
        </w:rPr>
        <w:t xml:space="preserve">לו עליהם לחצים להסדרת החוב. </w:t>
      </w:r>
      <w:r w:rsidRPr="001F3DFF">
        <w:rPr>
          <w:rFonts w:cs="FrankRuehl" w:hint="cs"/>
          <w:sz w:val="20"/>
          <w:szCs w:val="22"/>
          <w:rtl/>
        </w:rPr>
        <w:t>הנפגעים העיקריים מאי-הסדרתו של שוק האשראי החוץ-בנקאי הן אוכלוסיות שנגישותן לאשראי בנקאי נמוכה יותר, כגון בעלי ההכנסות הנמוכות.</w:t>
      </w:r>
    </w:p>
    <w:p w:rsidR="005E5B2C" w:rsidRPr="001F3DFF" w:rsidP="00FB46AA">
      <w:pPr>
        <w:pStyle w:val="RESHET"/>
        <w:rPr>
          <w:rtl/>
        </w:rPr>
      </w:pPr>
      <w:r w:rsidRPr="001F3DFF">
        <w:rPr>
          <w:rFonts w:hint="cs"/>
          <w:rtl/>
        </w:rPr>
        <w:t>מבדיקת משרד מבקר המדינה עולה כי אין כיום בישראל נתונים רשמיים על היקף הפעילות בשוק ההלוואות שנותנים גורמים פרטיים למשקי בית, לרבות מספר הגורמים הפעילים, המחזור הכספי השנתי שהשוק מגלגל והריביות שנגבות בגין הלוואות.</w:t>
      </w:r>
    </w:p>
    <w:p w:rsidR="005E5B2C" w:rsidRPr="001F3DFF" w:rsidP="00FB46AA">
      <w:pPr>
        <w:spacing w:before="180" w:after="120" w:line="230" w:lineRule="exact"/>
        <w:jc w:val="both"/>
        <w:rPr>
          <w:rFonts w:cs="FrankRuehl"/>
          <w:sz w:val="20"/>
          <w:szCs w:val="22"/>
          <w:rtl/>
        </w:rPr>
      </w:pPr>
      <w:r w:rsidRPr="001F3DFF">
        <w:rPr>
          <w:rFonts w:cs="FrankRuehl" w:hint="eastAsia"/>
          <w:sz w:val="20"/>
          <w:szCs w:val="22"/>
          <w:rtl/>
        </w:rPr>
        <w:t>לאי</w:t>
      </w:r>
      <w:r w:rsidRPr="001F3DFF">
        <w:rPr>
          <w:rFonts w:cs="FrankRuehl"/>
          <w:sz w:val="20"/>
          <w:szCs w:val="22"/>
          <w:rtl/>
        </w:rPr>
        <w:t xml:space="preserve">-הסדרת הפיקוח על שוק </w:t>
      </w:r>
      <w:r w:rsidRPr="001F3DFF">
        <w:rPr>
          <w:rFonts w:cs="FrankRuehl" w:hint="eastAsia"/>
          <w:sz w:val="20"/>
          <w:szCs w:val="22"/>
          <w:rtl/>
        </w:rPr>
        <w:t>זה</w:t>
      </w:r>
      <w:r w:rsidRPr="001F3DFF">
        <w:rPr>
          <w:rFonts w:cs="FrankRuehl" w:hint="cs"/>
          <w:sz w:val="20"/>
          <w:szCs w:val="22"/>
          <w:rtl/>
        </w:rPr>
        <w:t xml:space="preserve"> השלכות בשני מישורים: 1. הגנת הצרכן: יש צורך להגן על לווים חלשים ולעודד כניסה של גורמים לגיטימיים. 2. הלבנת הון: הלוואות חוץ-בנקאיות עלולות לשמש אמצעי נוח לפעילות של הלבנת הון. עיסוק במתן הלוואות חוץ-בנקאיות אינו נמנה עם השירותים המחייבים רישום </w:t>
      </w:r>
      <w:r w:rsidRPr="001F3DFF">
        <w:rPr>
          <w:rFonts w:cs="FrankRuehl" w:hint="cs"/>
          <w:sz w:val="20"/>
          <w:szCs w:val="22"/>
          <w:rtl/>
        </w:rPr>
        <w:t>כנש"ם</w:t>
      </w:r>
      <w:r w:rsidRPr="001F3DFF">
        <w:rPr>
          <w:rFonts w:cs="FrankRuehl" w:hint="cs"/>
          <w:sz w:val="20"/>
          <w:szCs w:val="22"/>
          <w:rtl/>
        </w:rPr>
        <w:t xml:space="preserve"> לפי חוק איסור הלבנת הון, ועל כן לא חל עליו משטר איסור הלבנת הון ומימון טרור. </w:t>
      </w:r>
    </w:p>
    <w:p w:rsidR="005E5B2C" w:rsidRPr="001F3DFF" w:rsidP="00FB46AA">
      <w:pPr>
        <w:spacing w:after="120" w:line="230" w:lineRule="exact"/>
        <w:jc w:val="both"/>
        <w:rPr>
          <w:rFonts w:cs="FrankRuehl"/>
          <w:sz w:val="20"/>
          <w:szCs w:val="22"/>
          <w:rtl/>
        </w:rPr>
      </w:pPr>
      <w:r w:rsidRPr="001F3DFF">
        <w:rPr>
          <w:rFonts w:cs="FrankRuehl" w:hint="cs"/>
          <w:sz w:val="20"/>
          <w:szCs w:val="22"/>
          <w:rtl/>
        </w:rPr>
        <w:t>הסדרת הפיקוח על שוק ההלוואות החוץ-בנקאיות מגורמים פרטיים עשויה לייצר הגנה על לווים ולסייע בהתמודדות עם הסיכונים הנובעים מהפעילות בשוק זה, בפרט סיכוני פשיעה, הלבנת הון וכלכלה שחורה</w:t>
      </w:r>
      <w:r>
        <w:rPr>
          <w:rStyle w:val="FootnoteReference0"/>
          <w:rFonts w:cs="FrankRuehl"/>
          <w:sz w:val="20"/>
          <w:szCs w:val="22"/>
          <w:rtl/>
        </w:rPr>
        <w:footnoteReference w:id="63"/>
      </w:r>
      <w:r w:rsidRPr="001F3DFF">
        <w:rPr>
          <w:rFonts w:cs="FrankRuehl" w:hint="cs"/>
          <w:sz w:val="20"/>
          <w:szCs w:val="22"/>
          <w:rtl/>
        </w:rPr>
        <w:t xml:space="preserve">; וכן עשויה לעודד כניסת גורמים לגיטימיים לשוק, ובכך לתרום לתחרותיות בשוק האשראי למשקי הבית. </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כיום </w:t>
      </w:r>
      <w:r w:rsidRPr="001F3DFF">
        <w:rPr>
          <w:rFonts w:cs="FrankRuehl" w:hint="eastAsia"/>
          <w:sz w:val="20"/>
          <w:szCs w:val="22"/>
          <w:rtl/>
        </w:rPr>
        <w:t>הפיקוח</w:t>
      </w:r>
      <w:r w:rsidRPr="001F3DFF">
        <w:rPr>
          <w:rFonts w:cs="FrankRuehl"/>
          <w:sz w:val="20"/>
          <w:szCs w:val="22"/>
          <w:rtl/>
        </w:rPr>
        <w:t xml:space="preserve"> </w:t>
      </w:r>
      <w:r w:rsidRPr="001F3DFF">
        <w:rPr>
          <w:rFonts w:cs="FrankRuehl" w:hint="eastAsia"/>
          <w:sz w:val="20"/>
          <w:szCs w:val="22"/>
          <w:rtl/>
        </w:rPr>
        <w:t>על</w:t>
      </w:r>
      <w:r w:rsidRPr="001F3DFF">
        <w:rPr>
          <w:rFonts w:cs="FrankRuehl"/>
          <w:sz w:val="20"/>
          <w:szCs w:val="22"/>
          <w:rtl/>
        </w:rPr>
        <w:t xml:space="preserve"> </w:t>
      </w:r>
      <w:r w:rsidRPr="001F3DFF">
        <w:rPr>
          <w:rFonts w:cs="FrankRuehl" w:hint="eastAsia"/>
          <w:sz w:val="20"/>
          <w:szCs w:val="22"/>
          <w:rtl/>
        </w:rPr>
        <w:t>שוק</w:t>
      </w:r>
      <w:r w:rsidRPr="001F3DFF">
        <w:rPr>
          <w:rFonts w:cs="FrankRuehl"/>
          <w:sz w:val="20"/>
          <w:szCs w:val="22"/>
          <w:rtl/>
        </w:rPr>
        <w:t xml:space="preserve"> </w:t>
      </w:r>
      <w:r w:rsidRPr="001F3DFF">
        <w:rPr>
          <w:rFonts w:cs="FrankRuehl" w:hint="eastAsia"/>
          <w:sz w:val="20"/>
          <w:szCs w:val="22"/>
          <w:rtl/>
        </w:rPr>
        <w:t>האשראי</w:t>
      </w:r>
      <w:r w:rsidRPr="001F3DFF">
        <w:rPr>
          <w:rFonts w:cs="FrankRuehl"/>
          <w:sz w:val="20"/>
          <w:szCs w:val="22"/>
          <w:rtl/>
        </w:rPr>
        <w:t xml:space="preserve"> </w:t>
      </w:r>
      <w:r w:rsidRPr="001F3DFF">
        <w:rPr>
          <w:rFonts w:cs="FrankRuehl" w:hint="eastAsia"/>
          <w:sz w:val="20"/>
          <w:szCs w:val="22"/>
          <w:rtl/>
        </w:rPr>
        <w:t>החוץ</w:t>
      </w:r>
      <w:r w:rsidRPr="001F3DFF">
        <w:rPr>
          <w:rFonts w:cs="FrankRuehl"/>
          <w:sz w:val="20"/>
          <w:szCs w:val="22"/>
          <w:rtl/>
        </w:rPr>
        <w:t>-</w:t>
      </w:r>
      <w:r w:rsidRPr="001F3DFF">
        <w:rPr>
          <w:rFonts w:cs="FrankRuehl" w:hint="eastAsia"/>
          <w:sz w:val="20"/>
          <w:szCs w:val="22"/>
          <w:rtl/>
        </w:rPr>
        <w:t>בנקאי</w:t>
      </w:r>
      <w:r w:rsidRPr="001F3DFF">
        <w:rPr>
          <w:rFonts w:cs="FrankRuehl"/>
          <w:sz w:val="20"/>
          <w:szCs w:val="22"/>
          <w:rtl/>
        </w:rPr>
        <w:t xml:space="preserve"> </w:t>
      </w:r>
      <w:r w:rsidRPr="001F3DFF">
        <w:rPr>
          <w:rFonts w:cs="FrankRuehl" w:hint="eastAsia"/>
          <w:sz w:val="20"/>
          <w:szCs w:val="22"/>
          <w:rtl/>
        </w:rPr>
        <w:t>שנותנים</w:t>
      </w:r>
      <w:r w:rsidRPr="001F3DFF">
        <w:rPr>
          <w:rFonts w:cs="FrankRuehl"/>
          <w:sz w:val="20"/>
          <w:szCs w:val="22"/>
          <w:rtl/>
        </w:rPr>
        <w:t xml:space="preserve"> </w:t>
      </w:r>
      <w:r w:rsidRPr="001F3DFF">
        <w:rPr>
          <w:rFonts w:cs="FrankRuehl" w:hint="eastAsia"/>
          <w:sz w:val="20"/>
          <w:szCs w:val="22"/>
          <w:rtl/>
        </w:rPr>
        <w:t>גורמים</w:t>
      </w:r>
      <w:r w:rsidRPr="001F3DFF">
        <w:rPr>
          <w:rFonts w:cs="FrankRuehl"/>
          <w:sz w:val="20"/>
          <w:szCs w:val="22"/>
          <w:rtl/>
        </w:rPr>
        <w:t xml:space="preserve"> </w:t>
      </w:r>
      <w:r w:rsidRPr="001F3DFF">
        <w:rPr>
          <w:rFonts w:cs="FrankRuehl" w:hint="eastAsia"/>
          <w:sz w:val="20"/>
          <w:szCs w:val="22"/>
          <w:rtl/>
        </w:rPr>
        <w:t>פרטיים</w:t>
      </w:r>
      <w:r w:rsidRPr="001F3DFF">
        <w:rPr>
          <w:rFonts w:cs="FrankRuehl"/>
          <w:sz w:val="20"/>
          <w:szCs w:val="22"/>
          <w:rtl/>
        </w:rPr>
        <w:t xml:space="preserve"> מצומצם ביותר ומוסדר באופן </w:t>
      </w:r>
      <w:r w:rsidRPr="001F3DFF">
        <w:rPr>
          <w:rFonts w:cs="FrankRuehl" w:hint="eastAsia"/>
          <w:sz w:val="20"/>
          <w:szCs w:val="22"/>
          <w:rtl/>
        </w:rPr>
        <w:t>חלקי</w:t>
      </w:r>
      <w:r w:rsidRPr="001F3DFF">
        <w:rPr>
          <w:rFonts w:cs="FrankRuehl" w:hint="cs"/>
          <w:sz w:val="20"/>
          <w:szCs w:val="22"/>
          <w:rtl/>
        </w:rPr>
        <w:t xml:space="preserve"> באמצעות חוק הסדרת הלוואות חוץ-בנקאיות</w:t>
      </w:r>
      <w:r>
        <w:rPr>
          <w:rStyle w:val="FootnoteReference0"/>
          <w:rFonts w:cs="FrankRuehl"/>
          <w:sz w:val="20"/>
          <w:szCs w:val="22"/>
          <w:rtl/>
        </w:rPr>
        <w:footnoteReference w:id="64"/>
      </w:r>
      <w:r w:rsidRPr="001F3DFF">
        <w:rPr>
          <w:rFonts w:cs="FrankRuehl" w:hint="cs"/>
          <w:sz w:val="20"/>
          <w:szCs w:val="22"/>
          <w:rtl/>
        </w:rPr>
        <w:t xml:space="preserve">. ההסדרה נועדה, בין היתר, למנוע ניצול לרעה של הבדלי כוח ופערים ביכולת המיקוח בין המלווה והלווה, ולפיכך יש בה דגש על הגנת </w:t>
      </w:r>
      <w:r w:rsidRPr="001F3DFF">
        <w:rPr>
          <w:rFonts w:cs="FrankRuehl" w:hint="cs"/>
          <w:sz w:val="20"/>
          <w:szCs w:val="22"/>
          <w:rtl/>
        </w:rPr>
        <w:t xml:space="preserve">הלווה. החוק מבוסס על אכיפה אזרחית ומקנה סמכויות מיוחדות לבתי משפט ולראש ההוצאה לפועל, שעניינן הגנה מפני תביעות של מלווים, אולם אינו מקנה לרגולטור כלשהו סמכות אכיפה ואפשרות לנקוט הליכים פליליים או </w:t>
      </w:r>
      <w:r w:rsidRPr="001F3DFF">
        <w:rPr>
          <w:rFonts w:cs="FrankRuehl" w:hint="cs"/>
          <w:sz w:val="20"/>
          <w:szCs w:val="22"/>
          <w:rtl/>
        </w:rPr>
        <w:t>מינהליים</w:t>
      </w:r>
      <w:r w:rsidRPr="001F3DFF">
        <w:rPr>
          <w:rFonts w:cs="FrankRuehl" w:hint="cs"/>
          <w:sz w:val="20"/>
          <w:szCs w:val="22"/>
          <w:rtl/>
        </w:rPr>
        <w:t xml:space="preserve">. החוק אף חסר הוראות בעניין הסדרת העיסוק במתן הלוואות חוץ-בנקאיות. בהיעדר חובת רישוי למתן הלוואות, קשה מאוד להבחין בין גופים לגיטימיים הפועלים בשוק האשראי החוץ-בנקאי לבין גופים הפועלים בשיטות השייכות לשוק האפור או השחור. </w:t>
      </w:r>
    </w:p>
    <w:p w:rsidR="005E5B2C" w:rsidRPr="001F3DFF" w:rsidP="00FB46AA">
      <w:pPr>
        <w:spacing w:after="120" w:line="230" w:lineRule="exact"/>
        <w:jc w:val="both"/>
        <w:rPr>
          <w:rFonts w:cs="FrankRuehl"/>
          <w:sz w:val="20"/>
          <w:szCs w:val="22"/>
          <w:rtl/>
        </w:rPr>
      </w:pPr>
      <w:r w:rsidRPr="001F3DFF">
        <w:rPr>
          <w:rFonts w:cs="FrankRuehl" w:hint="cs"/>
          <w:sz w:val="20"/>
          <w:szCs w:val="22"/>
          <w:rtl/>
        </w:rPr>
        <w:t>בשנת 2008 פרסם האיחוד האירופי דירקטיבה בדבר הסכמי אשראי צרכניים</w:t>
      </w:r>
      <w:r>
        <w:rPr>
          <w:rStyle w:val="FootnoteReference0"/>
          <w:rFonts w:cs="FrankRuehl"/>
          <w:sz w:val="20"/>
          <w:szCs w:val="22"/>
          <w:rtl/>
        </w:rPr>
        <w:footnoteReference w:id="65"/>
      </w:r>
      <w:r w:rsidRPr="001F3DFF">
        <w:rPr>
          <w:rFonts w:cs="FrankRuehl" w:hint="cs"/>
          <w:sz w:val="20"/>
          <w:szCs w:val="22"/>
          <w:rtl/>
        </w:rPr>
        <w:t xml:space="preserve"> אשר מטרתה להגדיל את סמכויות הפיקוח של רשויות הממשלה ואת חובות הגילוי המוטלות על המלווים בשוק. סעיף 20</w:t>
      </w:r>
      <w:r>
        <w:rPr>
          <w:rStyle w:val="FootnoteReference0"/>
          <w:rFonts w:cs="FrankRuehl"/>
          <w:sz w:val="20"/>
          <w:szCs w:val="22"/>
          <w:rtl/>
        </w:rPr>
        <w:footnoteReference w:id="66"/>
      </w:r>
      <w:r w:rsidRPr="001F3DFF">
        <w:rPr>
          <w:rFonts w:cs="FrankRuehl" w:hint="cs"/>
          <w:sz w:val="20"/>
          <w:szCs w:val="22"/>
          <w:rtl/>
        </w:rPr>
        <w:t xml:space="preserve"> לדירקטיבה קובע כי ה</w:t>
      </w:r>
      <w:r w:rsidRPr="001F3DFF">
        <w:rPr>
          <w:rFonts w:cs="FrankRuehl"/>
          <w:sz w:val="20"/>
          <w:szCs w:val="22"/>
          <w:rtl/>
        </w:rPr>
        <w:t xml:space="preserve">מדינות </w:t>
      </w:r>
      <w:r w:rsidRPr="001F3DFF">
        <w:rPr>
          <w:rFonts w:cs="FrankRuehl" w:hint="cs"/>
          <w:sz w:val="20"/>
          <w:szCs w:val="22"/>
          <w:rtl/>
        </w:rPr>
        <w:t>ה</w:t>
      </w:r>
      <w:r w:rsidRPr="001F3DFF">
        <w:rPr>
          <w:rFonts w:cs="FrankRuehl"/>
          <w:sz w:val="20"/>
          <w:szCs w:val="22"/>
          <w:rtl/>
        </w:rPr>
        <w:t>חברות</w:t>
      </w:r>
      <w:r w:rsidRPr="001F3DFF">
        <w:rPr>
          <w:rFonts w:cs="FrankRuehl" w:hint="cs"/>
          <w:sz w:val="20"/>
          <w:szCs w:val="22"/>
          <w:rtl/>
        </w:rPr>
        <w:t xml:space="preserve"> באיחוד יבטיחו</w:t>
      </w:r>
      <w:r w:rsidRPr="001F3DFF">
        <w:rPr>
          <w:rFonts w:cs="FrankRuehl"/>
          <w:sz w:val="20"/>
          <w:szCs w:val="22"/>
          <w:rtl/>
        </w:rPr>
        <w:t xml:space="preserve"> </w:t>
      </w:r>
      <w:r w:rsidRPr="001F3DFF">
        <w:rPr>
          <w:rFonts w:cs="FrankRuehl" w:hint="cs"/>
          <w:sz w:val="20"/>
          <w:szCs w:val="22"/>
          <w:rtl/>
        </w:rPr>
        <w:t xml:space="preserve">שגופים או אנשים פרטיים המעניקים או מבטיחים להעניק אשראי יהיו מוסדרים או </w:t>
      </w:r>
      <w:r w:rsidRPr="001F3DFF">
        <w:rPr>
          <w:rFonts w:cs="FrankRuehl"/>
          <w:sz w:val="20"/>
          <w:szCs w:val="22"/>
          <w:rtl/>
        </w:rPr>
        <w:t>מפוקחים על ידי גוף</w:t>
      </w:r>
      <w:r w:rsidRPr="001F3DFF">
        <w:rPr>
          <w:rFonts w:cs="FrankRuehl" w:hint="cs"/>
          <w:sz w:val="20"/>
          <w:szCs w:val="22"/>
          <w:rtl/>
        </w:rPr>
        <w:t xml:space="preserve"> שאינו תלוי</w:t>
      </w:r>
      <w:r w:rsidRPr="001F3DFF">
        <w:rPr>
          <w:rFonts w:cs="FrankRuehl"/>
          <w:sz w:val="20"/>
          <w:szCs w:val="22"/>
          <w:rtl/>
        </w:rPr>
        <w:t xml:space="preserve"> </w:t>
      </w:r>
      <w:r w:rsidRPr="001F3DFF">
        <w:rPr>
          <w:rFonts w:cs="FrankRuehl" w:hint="cs"/>
          <w:sz w:val="20"/>
          <w:szCs w:val="22"/>
          <w:rtl/>
        </w:rPr>
        <w:t>ב</w:t>
      </w:r>
      <w:r w:rsidRPr="001F3DFF">
        <w:rPr>
          <w:rFonts w:cs="FrankRuehl"/>
          <w:sz w:val="20"/>
          <w:szCs w:val="22"/>
          <w:rtl/>
        </w:rPr>
        <w:t xml:space="preserve">מוסדות </w:t>
      </w:r>
      <w:r w:rsidRPr="001F3DFF">
        <w:rPr>
          <w:rFonts w:cs="FrankRuehl" w:hint="cs"/>
          <w:sz w:val="20"/>
          <w:szCs w:val="22"/>
          <w:rtl/>
        </w:rPr>
        <w:t>ה</w:t>
      </w:r>
      <w:r w:rsidRPr="001F3DFF">
        <w:rPr>
          <w:rFonts w:cs="FrankRuehl"/>
          <w:sz w:val="20"/>
          <w:szCs w:val="22"/>
          <w:rtl/>
        </w:rPr>
        <w:t>פיננסיים</w:t>
      </w:r>
      <w:r w:rsidRPr="001F3DFF">
        <w:rPr>
          <w:rFonts w:cs="FrankRuehl" w:hint="cs"/>
          <w:sz w:val="20"/>
          <w:szCs w:val="22"/>
          <w:rtl/>
        </w:rPr>
        <w:t>. גם הבנק העולמי קבע כי על רשויות הממשלה להקים מנגנונים להבטחת זיהויה של כל חברה העוסקת במתן אשראי</w:t>
      </w:r>
      <w:r>
        <w:rPr>
          <w:rStyle w:val="FootnoteReference0"/>
          <w:rFonts w:cs="FrankRuehl"/>
          <w:sz w:val="20"/>
          <w:szCs w:val="22"/>
          <w:rtl/>
        </w:rPr>
        <w:footnoteReference w:id="67"/>
      </w:r>
      <w:r w:rsidRPr="001F3DFF">
        <w:rPr>
          <w:rFonts w:cs="FrankRuehl" w:hint="cs"/>
          <w:sz w:val="20"/>
          <w:szCs w:val="22"/>
          <w:rtl/>
        </w:rPr>
        <w:t>. חשיבות הסדרת שוק זה מהיבטי איסור הלבנת הון ומימון טרור באה לידי ביטוי בהמלצות</w:t>
      </w:r>
      <w:r>
        <w:rPr>
          <w:rStyle w:val="FootnoteReference0"/>
          <w:rFonts w:cs="FrankRuehl"/>
          <w:sz w:val="20"/>
          <w:szCs w:val="22"/>
          <w:rtl/>
        </w:rPr>
        <w:footnoteReference w:id="68"/>
      </w:r>
      <w:r w:rsidRPr="001F3DFF">
        <w:rPr>
          <w:rFonts w:cs="FrankRuehl" w:hint="cs"/>
          <w:sz w:val="20"/>
          <w:szCs w:val="22"/>
          <w:rtl/>
        </w:rPr>
        <w:t xml:space="preserve"> ארגוני </w:t>
      </w:r>
      <w:r w:rsidRPr="001F3DFF">
        <w:rPr>
          <w:rFonts w:cs="FrankRuehl" w:hint="cs"/>
          <w:sz w:val="20"/>
          <w:szCs w:val="22"/>
          <w:rtl/>
        </w:rPr>
        <w:t>המאניבל</w:t>
      </w:r>
      <w:r w:rsidRPr="001F3DFF">
        <w:rPr>
          <w:rFonts w:cs="FrankRuehl" w:hint="cs"/>
          <w:sz w:val="20"/>
          <w:szCs w:val="22"/>
          <w:rtl/>
        </w:rPr>
        <w:t xml:space="preserve"> (</w:t>
      </w:r>
      <w:r w:rsidRPr="001F3DFF">
        <w:rPr>
          <w:rFonts w:cs="FrankRuehl"/>
          <w:sz w:val="20"/>
          <w:szCs w:val="22"/>
        </w:rPr>
        <w:t>Moneyval</w:t>
      </w:r>
      <w:r w:rsidRPr="001F3DFF">
        <w:rPr>
          <w:rFonts w:cs="FrankRuehl" w:hint="cs"/>
          <w:sz w:val="20"/>
          <w:szCs w:val="22"/>
          <w:rtl/>
        </w:rPr>
        <w:t>)</w:t>
      </w:r>
      <w:r>
        <w:rPr>
          <w:rStyle w:val="FootnoteReference0"/>
          <w:rFonts w:cs="FrankRuehl"/>
          <w:sz w:val="20"/>
          <w:szCs w:val="22"/>
          <w:rtl/>
        </w:rPr>
        <w:footnoteReference w:id="69"/>
      </w:r>
      <w:r w:rsidRPr="001F3DFF">
        <w:rPr>
          <w:rFonts w:cs="FrankRuehl" w:hint="cs"/>
          <w:sz w:val="20"/>
          <w:szCs w:val="22"/>
          <w:rtl/>
        </w:rPr>
        <w:t xml:space="preserve"> וה-</w:t>
      </w:r>
      <w:r>
        <w:rPr>
          <w:rStyle w:val="FootnoteReference0"/>
          <w:rFonts w:cs="FrankRuehl"/>
          <w:sz w:val="20"/>
          <w:szCs w:val="22"/>
        </w:rPr>
        <w:footnoteReference w:id="70"/>
      </w:r>
      <w:r w:rsidRPr="001F3DFF">
        <w:rPr>
          <w:rFonts w:cs="FrankRuehl"/>
          <w:sz w:val="20"/>
          <w:szCs w:val="22"/>
        </w:rPr>
        <w:t>FATF</w:t>
      </w:r>
      <w:r w:rsidRPr="001F3DFF">
        <w:rPr>
          <w:rFonts w:cs="FrankRuehl" w:hint="cs"/>
          <w:sz w:val="20"/>
          <w:szCs w:val="22"/>
          <w:rtl/>
        </w:rPr>
        <w:t>.</w:t>
      </w:r>
    </w:p>
    <w:p w:rsidR="005E5B2C" w:rsidRPr="001F3DFF" w:rsidP="00FB46AA">
      <w:pPr>
        <w:spacing w:after="120" w:line="230" w:lineRule="exact"/>
        <w:ind w:left="340" w:hanging="340"/>
        <w:jc w:val="both"/>
        <w:rPr>
          <w:rFonts w:cs="FrankRuehl"/>
          <w:sz w:val="20"/>
          <w:szCs w:val="22"/>
          <w:rtl/>
        </w:rPr>
      </w:pPr>
      <w:r w:rsidRPr="001F3DFF">
        <w:rPr>
          <w:rFonts w:cs="FrankRuehl" w:hint="cs"/>
          <w:sz w:val="20"/>
          <w:szCs w:val="22"/>
          <w:rtl/>
        </w:rPr>
        <w:t xml:space="preserve">1. </w:t>
      </w:r>
      <w:r w:rsidRPr="001F3DFF">
        <w:rPr>
          <w:rFonts w:cs="FrankRuehl" w:hint="cs"/>
          <w:sz w:val="20"/>
          <w:szCs w:val="22"/>
          <w:rtl/>
        </w:rPr>
        <w:tab/>
        <w:t xml:space="preserve">בסוף 2010 ותחילת 2011 פנה שר המשפטים דאז לגורמים אשר ראה לנכון שישקלו לקבל אחריות לפיקוח על שוק האשראי החוץ-בנקאי. ראשית פנה לנגיד בנק ישראל דאז, לאחר מכן לשר האוצר דאז ולבסוף לשר </w:t>
      </w:r>
      <w:r w:rsidRPr="001F3DFF">
        <w:rPr>
          <w:rFonts w:cs="FrankRuehl" w:hint="cs"/>
          <w:sz w:val="20"/>
          <w:szCs w:val="22"/>
          <w:rtl/>
        </w:rPr>
        <w:t>התמ"ת</w:t>
      </w:r>
      <w:r>
        <w:rPr>
          <w:rStyle w:val="FootnoteReference0"/>
          <w:rFonts w:cs="FrankRuehl"/>
          <w:sz w:val="20"/>
          <w:szCs w:val="22"/>
          <w:rtl/>
        </w:rPr>
        <w:footnoteReference w:id="71"/>
      </w:r>
      <w:r w:rsidRPr="001F3DFF">
        <w:rPr>
          <w:rFonts w:cs="FrankRuehl" w:hint="cs"/>
          <w:sz w:val="20"/>
          <w:szCs w:val="22"/>
          <w:rtl/>
        </w:rPr>
        <w:t xml:space="preserve"> דאז ולממונה על הרשות להגנת הצרכן. </w:t>
      </w:r>
    </w:p>
    <w:p w:rsidR="005E5B2C" w:rsidRPr="001F3DFF" w:rsidP="00FB46AA">
      <w:pPr>
        <w:spacing w:after="120" w:line="224" w:lineRule="exact"/>
        <w:ind w:left="680" w:hanging="340"/>
        <w:jc w:val="both"/>
        <w:rPr>
          <w:rFonts w:cs="FrankRuehl"/>
          <w:sz w:val="20"/>
          <w:szCs w:val="22"/>
          <w:rtl/>
        </w:rPr>
      </w:pPr>
      <w:r w:rsidRPr="001F3DFF">
        <w:rPr>
          <w:rFonts w:cs="FrankRuehl" w:hint="cs"/>
          <w:sz w:val="20"/>
          <w:szCs w:val="22"/>
          <w:rtl/>
        </w:rPr>
        <w:t xml:space="preserve">א. </w:t>
      </w:r>
      <w:r w:rsidRPr="001F3DFF">
        <w:rPr>
          <w:rFonts w:cs="FrankRuehl" w:hint="cs"/>
          <w:sz w:val="20"/>
          <w:szCs w:val="22"/>
          <w:rtl/>
        </w:rPr>
        <w:tab/>
        <w:t xml:space="preserve">במכתבו לנגיד מדצמבר 2010 כתב שר המשפטים כי "המצב הקיים כיום, אשר מושפע מהעדרו של רגולטור בתחום, אינו ראוי", וביקש ממנו לשקול למנות את המפקח על הבנקים בבנק ישראל כאחראי לשוק ההלוואות החוץ-בנקאיות, בשל היותה של חטיבת הפיקוח על הבנקים בעלת הכלים המקצועיים </w:t>
      </w:r>
      <w:r w:rsidRPr="001F3DFF">
        <w:rPr>
          <w:rFonts w:cs="FrankRuehl" w:hint="cs"/>
          <w:sz w:val="20"/>
          <w:szCs w:val="22"/>
          <w:rtl/>
        </w:rPr>
        <w:t>והמינהליים</w:t>
      </w:r>
      <w:r w:rsidRPr="001F3DFF">
        <w:rPr>
          <w:rFonts w:cs="FrankRuehl" w:hint="cs"/>
          <w:sz w:val="20"/>
          <w:szCs w:val="22"/>
          <w:rtl/>
        </w:rPr>
        <w:t xml:space="preserve"> הנדרשים כדי לבצע פיקוח אפקטיבי על שוק זה. השר הוסיף: "עד כה, טרם נמצא הגוף אשר ייטול על עצמו את </w:t>
      </w:r>
      <w:r w:rsidRPr="001F3DFF">
        <w:rPr>
          <w:rFonts w:cs="FrankRuehl" w:hint="cs"/>
          <w:sz w:val="20"/>
          <w:szCs w:val="22"/>
          <w:rtl/>
        </w:rPr>
        <w:t>האחריות לכונן</w:t>
      </w:r>
      <w:r w:rsidRPr="001F3DFF">
        <w:rPr>
          <w:rFonts w:cs="FrankRuehl" w:hint="cs"/>
          <w:color w:val="0070C0"/>
          <w:sz w:val="20"/>
          <w:szCs w:val="22"/>
          <w:rtl/>
        </w:rPr>
        <w:t xml:space="preserve"> </w:t>
      </w:r>
      <w:r w:rsidRPr="001F3DFF">
        <w:rPr>
          <w:rFonts w:cs="FrankRuehl" w:hint="cs"/>
          <w:sz w:val="20"/>
          <w:szCs w:val="22"/>
          <w:rtl/>
        </w:rPr>
        <w:t>רגולציה בתחום. בשל כך גם לא קודמה עד כה החקיקה שחיונית כל כך להסדרתו של תחום פרוץ זה".</w:t>
      </w:r>
    </w:p>
    <w:p w:rsidR="005E5B2C" w:rsidRPr="001F3DFF" w:rsidP="00FB46AA">
      <w:pPr>
        <w:spacing w:after="120" w:line="224" w:lineRule="exact"/>
        <w:ind w:left="680"/>
        <w:jc w:val="both"/>
        <w:rPr>
          <w:rFonts w:cs="FrankRuehl"/>
          <w:sz w:val="20"/>
          <w:szCs w:val="22"/>
          <w:rtl/>
        </w:rPr>
      </w:pPr>
      <w:r w:rsidRPr="001F3DFF">
        <w:rPr>
          <w:rFonts w:cs="FrankRuehl" w:hint="cs"/>
          <w:sz w:val="20"/>
          <w:szCs w:val="22"/>
          <w:rtl/>
        </w:rPr>
        <w:t xml:space="preserve">הנגיד חלק על דעת השר שלפיה בנק ישראל הוא הגוף המתאים לפיקוח על שוק ההלוואות החוץ-בנקאיות ולהסדרתו. במכתבו לשר בפברואר 2011 נימק את התנגדותו, בין היתר, באופי פעילות חטיבת הפיקוח על הבנקים, המתרכזת ביציבות הפיננסית של המלווים, ובחוסר המיומנות והכלים לפיקוח על יחידים ולניהול תקשורת מתמדת עם רשויות אכיפת החוק הפלילי. </w:t>
      </w:r>
    </w:p>
    <w:p w:rsidR="005E5B2C" w:rsidRPr="001F3DFF" w:rsidP="00FB46AA">
      <w:pPr>
        <w:spacing w:after="120" w:line="224" w:lineRule="exact"/>
        <w:ind w:left="680"/>
        <w:jc w:val="both"/>
        <w:rPr>
          <w:rFonts w:cs="FrankRuehl"/>
          <w:sz w:val="20"/>
          <w:szCs w:val="22"/>
          <w:rtl/>
        </w:rPr>
      </w:pPr>
      <w:r w:rsidRPr="001F3DFF">
        <w:rPr>
          <w:rFonts w:cs="FrankRuehl" w:hint="cs"/>
          <w:sz w:val="20"/>
          <w:szCs w:val="22"/>
          <w:rtl/>
        </w:rPr>
        <w:t xml:space="preserve">בסיכום מכתבו לשר הציע הנגיד כי גורמים מתאימים יותר יסדירו את תחום ההלוואות החוץ-בנקאיות ויפקחו עליו, ונתן כדוגמה את משרד האוצר ואת הרשות להגנת הצרכן. לגבי משרד האוצר ציין הנגיד כי המשרד הוא "הגורם אשר מפקח כיום על נותני שירותי מטבע... אין ספק, כי תחומי פעילותם של נותני שירותי מטבע משיקים לתחומי פעילותם של נותני הלוואות חוץ-בנקאיות ולעתים אף משלימים אותם... הלוואות ושירותי אשראי הניתנים על ידי תאגידי ביטוח, אשר מפוקחים על ידי משרד האוצר, נחשבים אף הם, מבחינה משפטית, כהלוואות חוץ-בנקאיות. לפיכך... אין מקום או טעם בפיצול סמכות הפיקוח על שוק ההלוואות החוץ-בנקאיות, אלא יש מקום לאחדה תחת גוף אחד". לגבי הרשות להגנת הצרכן ציין הנגיד כי "תחום ההלוואות החוץ-בנקאיות הינו תחום המאופיין רובו ככולו בהיבט הצרכני. ככל שייקבע כי גם משרד האוצר אינו הגוף הראוי לטיפול בתחום זה, הרי שהרשות להגנת הצרכן ולסחר הוגן, הפועלת כרשות אכיפה, חוקרת, ותובעת בענייני הגנת הצרכן והסחר ההוגן במשק, עשויה להוות חלופה ראויה להסדרה ולפיקוח גם על תחום ההלוואות החוץ-בנקאיות בישראל". </w:t>
      </w:r>
    </w:p>
    <w:p w:rsidR="005E5B2C" w:rsidRPr="001F3DFF" w:rsidP="00FB46AA">
      <w:pPr>
        <w:spacing w:after="120" w:line="224" w:lineRule="exact"/>
        <w:ind w:left="680" w:hanging="340"/>
        <w:jc w:val="both"/>
        <w:rPr>
          <w:rFonts w:cs="FrankRuehl"/>
          <w:sz w:val="20"/>
          <w:szCs w:val="22"/>
          <w:rtl/>
        </w:rPr>
      </w:pPr>
      <w:r w:rsidRPr="001F3DFF">
        <w:rPr>
          <w:rFonts w:cs="FrankRuehl" w:hint="cs"/>
          <w:sz w:val="20"/>
          <w:szCs w:val="22"/>
          <w:rtl/>
        </w:rPr>
        <w:t xml:space="preserve">ב. </w:t>
      </w:r>
      <w:r w:rsidRPr="001F3DFF">
        <w:rPr>
          <w:rFonts w:cs="FrankRuehl" w:hint="cs"/>
          <w:sz w:val="20"/>
          <w:szCs w:val="22"/>
          <w:rtl/>
        </w:rPr>
        <w:tab/>
        <w:t>בעקבות תגובת הנגיד פנה שר המשפטים דאז לשר האוצר דאז במרץ 2011, בבקשה שישקול למנות את הממונה על שוק ההון כאחראי גם לשוק ההלוואות החוץ-בנקאיות. שר האוצר השיב לו ביולי 2011 כי איננו סבור שהממונה על שוק ההון מתאים לפיקוח על התחום. על פי שר האוצר, "הלוואות חוץ-בנקאיות, כשמן הן - הלוואות. לעומת זאת, אגף שוק ההון מפקח על ביטוח או חיסכון פנסיוני. בהתאם, האגף פיתח מיומנות בשמירה על יציבות גופים המנהלים ביטוחים או חסכונות פנסיונים... היות שהלוואות חוץ-בנקאיות אינן ביטוח או חסכונות פנסיונים, לאגף אין מומחיות בפיקוח על הלוואות אלו... פיקוח על הלוואות חוץ-בנקאיות חייב להיעשות על ידי מי שמומחיותו בפיקוח על הלוואות, שכן מדובר בתחום מורכב לפיקוח, שבו חשוב לבנות מומחיות ומיומנות". השר המשיך וציין כי הוא סבור שבנק ישראל הוא מפקח אפשרי וראוי על התחום, שכן אחד מתחומי מומחיותו המרכזיים הוא תחום ההלוואות הניתנות על ידי תאגיד בנקאי, וניתן לנצל ידע ומומחיות אלו כדי לפקח גם על הלוואות חוץ-בנקאיות, בהתאמות הנדרשות.</w:t>
      </w:r>
    </w:p>
    <w:p w:rsidR="005E5B2C" w:rsidRPr="001F3DFF" w:rsidP="00FB46AA">
      <w:pPr>
        <w:spacing w:after="120" w:line="224" w:lineRule="exact"/>
        <w:ind w:left="680" w:hanging="340"/>
        <w:jc w:val="both"/>
        <w:rPr>
          <w:rFonts w:cs="FrankRuehl"/>
          <w:sz w:val="20"/>
          <w:szCs w:val="22"/>
          <w:rtl/>
        </w:rPr>
      </w:pPr>
      <w:r w:rsidRPr="001F3DFF">
        <w:rPr>
          <w:rFonts w:cs="FrankRuehl" w:hint="cs"/>
          <w:sz w:val="20"/>
          <w:szCs w:val="22"/>
          <w:rtl/>
        </w:rPr>
        <w:t xml:space="preserve">ג. </w:t>
      </w:r>
      <w:r w:rsidRPr="001F3DFF">
        <w:rPr>
          <w:rFonts w:cs="FrankRuehl" w:hint="cs"/>
          <w:sz w:val="20"/>
          <w:szCs w:val="22"/>
          <w:rtl/>
        </w:rPr>
        <w:tab/>
        <w:t xml:space="preserve">ביולי 2011 פנה שר המשפטים דאז לשר </w:t>
      </w:r>
      <w:r w:rsidRPr="001F3DFF">
        <w:rPr>
          <w:rFonts w:cs="FrankRuehl" w:hint="cs"/>
          <w:sz w:val="20"/>
          <w:szCs w:val="22"/>
          <w:rtl/>
        </w:rPr>
        <w:t>התמ"ת</w:t>
      </w:r>
      <w:r w:rsidRPr="001F3DFF">
        <w:rPr>
          <w:rFonts w:cs="FrankRuehl" w:hint="cs"/>
          <w:sz w:val="20"/>
          <w:szCs w:val="22"/>
          <w:rtl/>
        </w:rPr>
        <w:t xml:space="preserve"> דאז ולממונה על הרשות להגנת הצרכן בבקשה לבחון את נושא הסדרת הפיקוח על תחום ההלוואות החוץ-בנקאיות, ובנובמבר 2011 מסרה הרשות את חוות דעתה. </w:t>
      </w:r>
    </w:p>
    <w:p w:rsidR="005E5B2C" w:rsidRPr="001F3DFF" w:rsidP="00FB46AA">
      <w:pPr>
        <w:spacing w:after="240" w:line="224" w:lineRule="exact"/>
        <w:ind w:left="680"/>
        <w:jc w:val="both"/>
        <w:rPr>
          <w:rFonts w:cs="FrankRuehl"/>
          <w:sz w:val="20"/>
          <w:szCs w:val="22"/>
          <w:rtl/>
        </w:rPr>
      </w:pPr>
      <w:r w:rsidRPr="001F3DFF">
        <w:rPr>
          <w:rFonts w:cs="FrankRuehl" w:hint="cs"/>
          <w:sz w:val="20"/>
          <w:szCs w:val="22"/>
          <w:rtl/>
        </w:rPr>
        <w:t xml:space="preserve">בחוות הדעת ציינה הרשות כי "לנוכח אינטרס הציבור בהגנה על לווים וכן לשם עידוד כניסה של גורמים לגיטימיים לשוק ההלוואות החוץ-בנקאיות יש צורך להסדיר את העיסוק ברישיון", וסיכמה כי יש מקום שהרשות להגנת הצרכן תפקח על תחום ההלוואות החוץ-בנקאיות. </w:t>
      </w:r>
    </w:p>
    <w:p w:rsidR="005E5B2C" w:rsidRPr="001F3DFF" w:rsidP="00FB46AA">
      <w:pPr>
        <w:pStyle w:val="RESHET"/>
        <w:spacing w:line="224" w:lineRule="exact"/>
        <w:ind w:left="907"/>
        <w:rPr>
          <w:rtl/>
        </w:rPr>
      </w:pPr>
      <w:r w:rsidRPr="001F3DFF">
        <w:rPr>
          <w:rFonts w:hint="eastAsia"/>
          <w:rtl/>
        </w:rPr>
        <w:t>נמצא</w:t>
      </w:r>
      <w:r w:rsidRPr="001F3DFF">
        <w:rPr>
          <w:rtl/>
        </w:rPr>
        <w:t xml:space="preserve"> כי אף שנושא הסדרת שוק ההלוואות החוץ-בנקאיות עלה על שולחנם של הרגולטורים, ואלה הסכימו כי הוא חיוני וחשוב, </w:t>
      </w:r>
      <w:r w:rsidRPr="001F3DFF">
        <w:rPr>
          <w:rFonts w:hint="eastAsia"/>
          <w:rtl/>
        </w:rPr>
        <w:t>בנק</w:t>
      </w:r>
      <w:r w:rsidRPr="001F3DFF">
        <w:rPr>
          <w:rtl/>
        </w:rPr>
        <w:t xml:space="preserve"> ישראל ומשרד האוצר </w:t>
      </w:r>
      <w:r w:rsidRPr="001F3DFF">
        <w:rPr>
          <w:rFonts w:hint="eastAsia"/>
          <w:rtl/>
        </w:rPr>
        <w:t>לא</w:t>
      </w:r>
      <w:r w:rsidRPr="001F3DFF">
        <w:rPr>
          <w:rtl/>
        </w:rPr>
        <w:t xml:space="preserve"> </w:t>
      </w:r>
      <w:r w:rsidRPr="001F3DFF">
        <w:rPr>
          <w:rFonts w:hint="eastAsia"/>
          <w:rtl/>
        </w:rPr>
        <w:t>קידמו</w:t>
      </w:r>
      <w:r w:rsidRPr="001F3DFF">
        <w:rPr>
          <w:rtl/>
        </w:rPr>
        <w:t xml:space="preserve"> את הטיפול </w:t>
      </w:r>
      <w:r w:rsidRPr="001F3DFF">
        <w:rPr>
          <w:rFonts w:hint="eastAsia"/>
          <w:rtl/>
        </w:rPr>
        <w:t>בתחום</w:t>
      </w:r>
      <w:r w:rsidRPr="001F3DFF">
        <w:rPr>
          <w:rtl/>
        </w:rPr>
        <w:t xml:space="preserve"> זה. </w:t>
      </w:r>
    </w:p>
    <w:p w:rsidR="005E5B2C" w:rsidRPr="001F3DFF" w:rsidP="00FB46AA">
      <w:pPr>
        <w:spacing w:before="180" w:after="120" w:line="230" w:lineRule="exact"/>
        <w:ind w:left="680"/>
        <w:jc w:val="both"/>
        <w:rPr>
          <w:rFonts w:cs="FrankRuehl"/>
          <w:sz w:val="20"/>
          <w:szCs w:val="22"/>
          <w:rtl/>
        </w:rPr>
      </w:pPr>
      <w:r w:rsidRPr="001F3DFF">
        <w:rPr>
          <w:rFonts w:cs="FrankRuehl" w:hint="eastAsia"/>
          <w:sz w:val="20"/>
          <w:szCs w:val="22"/>
          <w:rtl/>
        </w:rPr>
        <w:t>משרד</w:t>
      </w:r>
      <w:r w:rsidRPr="001F3DFF">
        <w:rPr>
          <w:rFonts w:cs="FrankRuehl"/>
          <w:sz w:val="20"/>
          <w:szCs w:val="22"/>
          <w:rtl/>
        </w:rPr>
        <w:t xml:space="preserve"> המשפטים מסר בתשובתו כי "המשרד היחיד שפעל לאורך השנים בניסיון להביא לאסדרה של תחום ההלוואות החוץ</w:t>
      </w:r>
      <w:r w:rsidRPr="001F3DFF">
        <w:rPr>
          <w:rFonts w:cs="FrankRuehl" w:hint="cs"/>
          <w:sz w:val="20"/>
          <w:szCs w:val="22"/>
          <w:rtl/>
        </w:rPr>
        <w:t>-</w:t>
      </w:r>
      <w:r w:rsidRPr="001F3DFF">
        <w:rPr>
          <w:rFonts w:cs="FrankRuehl"/>
          <w:sz w:val="20"/>
          <w:szCs w:val="22"/>
          <w:rtl/>
        </w:rPr>
        <w:t>בנקאיות הוא משרד המשפטים. בין אם בחקיקה של חוק הסדרת הלוואות חוץ</w:t>
      </w:r>
      <w:r w:rsidRPr="001F3DFF">
        <w:rPr>
          <w:rFonts w:cs="FrankRuehl" w:hint="cs"/>
          <w:sz w:val="20"/>
          <w:szCs w:val="22"/>
          <w:rtl/>
        </w:rPr>
        <w:t>-</w:t>
      </w:r>
      <w:r w:rsidRPr="001F3DFF">
        <w:rPr>
          <w:rFonts w:cs="FrankRuehl"/>
          <w:sz w:val="20"/>
          <w:szCs w:val="22"/>
          <w:rtl/>
        </w:rPr>
        <w:t xml:space="preserve">בנקאיות... ובין אם בפניה לגורמים הרלוונטיים שהמשרד סבר שיש באפשרותם </w:t>
      </w:r>
      <w:r w:rsidRPr="001F3DFF">
        <w:rPr>
          <w:rFonts w:cs="FrankRuehl"/>
          <w:sz w:val="20"/>
          <w:szCs w:val="22"/>
          <w:rtl/>
        </w:rPr>
        <w:t>לאסדר</w:t>
      </w:r>
      <w:r w:rsidRPr="001F3DFF">
        <w:rPr>
          <w:rFonts w:cs="FrankRuehl"/>
          <w:sz w:val="20"/>
          <w:szCs w:val="22"/>
          <w:rtl/>
        </w:rPr>
        <w:t xml:space="preserve"> תחום זה בבקשה שיעשו זאת... </w:t>
      </w:r>
      <w:r w:rsidRPr="001F3DFF">
        <w:rPr>
          <w:rFonts w:cs="FrankRuehl" w:hint="eastAsia"/>
          <w:sz w:val="20"/>
          <w:szCs w:val="22"/>
          <w:rtl/>
        </w:rPr>
        <w:t>ביום</w:t>
      </w:r>
      <w:r w:rsidRPr="001F3DFF">
        <w:rPr>
          <w:rFonts w:cs="FrankRuehl"/>
          <w:sz w:val="20"/>
          <w:szCs w:val="22"/>
          <w:rtl/>
        </w:rPr>
        <w:t xml:space="preserve"> 9.2.15 </w:t>
      </w:r>
      <w:r w:rsidRPr="001F3DFF">
        <w:rPr>
          <w:rFonts w:cs="FrankRuehl" w:hint="eastAsia"/>
          <w:sz w:val="20"/>
          <w:szCs w:val="22"/>
          <w:rtl/>
        </w:rPr>
        <w:t>פורסם</w:t>
      </w:r>
      <w:r w:rsidRPr="001F3DFF">
        <w:rPr>
          <w:rFonts w:cs="FrankRuehl"/>
          <w:sz w:val="20"/>
          <w:szCs w:val="22"/>
          <w:rtl/>
        </w:rPr>
        <w:t xml:space="preserve"> </w:t>
      </w:r>
      <w:r w:rsidRPr="001F3DFF">
        <w:rPr>
          <w:rFonts w:cs="FrankRuehl" w:hint="eastAsia"/>
          <w:sz w:val="20"/>
          <w:szCs w:val="22"/>
          <w:rtl/>
        </w:rPr>
        <w:t>דו</w:t>
      </w:r>
      <w:r w:rsidRPr="001F3DFF">
        <w:rPr>
          <w:rFonts w:cs="FrankRuehl"/>
          <w:sz w:val="20"/>
          <w:szCs w:val="22"/>
          <w:rtl/>
        </w:rPr>
        <w:t xml:space="preserve">"ח </w:t>
      </w:r>
      <w:r w:rsidRPr="001F3DFF">
        <w:rPr>
          <w:rFonts w:cs="FrankRuehl" w:hint="eastAsia"/>
          <w:sz w:val="20"/>
          <w:szCs w:val="22"/>
          <w:rtl/>
        </w:rPr>
        <w:t>הצוות</w:t>
      </w:r>
      <w:r w:rsidRPr="001F3DFF">
        <w:rPr>
          <w:rFonts w:cs="FrankRuehl"/>
          <w:sz w:val="20"/>
          <w:szCs w:val="22"/>
          <w:rtl/>
        </w:rPr>
        <w:t xml:space="preserve"> </w:t>
      </w:r>
      <w:r w:rsidRPr="001F3DFF">
        <w:rPr>
          <w:rFonts w:cs="FrankRuehl" w:hint="eastAsia"/>
          <w:sz w:val="20"/>
          <w:szCs w:val="22"/>
          <w:rtl/>
        </w:rPr>
        <w:t>לבחינת</w:t>
      </w:r>
      <w:r w:rsidRPr="001F3DFF">
        <w:rPr>
          <w:rFonts w:cs="FrankRuehl"/>
          <w:sz w:val="20"/>
          <w:szCs w:val="22"/>
          <w:rtl/>
        </w:rPr>
        <w:t xml:space="preserve"> </w:t>
      </w:r>
      <w:r w:rsidRPr="001F3DFF">
        <w:rPr>
          <w:rFonts w:cs="FrankRuehl" w:hint="eastAsia"/>
          <w:sz w:val="20"/>
          <w:szCs w:val="22"/>
          <w:rtl/>
        </w:rPr>
        <w:t>הרגולציה</w:t>
      </w:r>
      <w:r w:rsidRPr="001F3DFF">
        <w:rPr>
          <w:rFonts w:cs="FrankRuehl"/>
          <w:sz w:val="20"/>
          <w:szCs w:val="22"/>
          <w:rtl/>
        </w:rPr>
        <w:t xml:space="preserve"> </w:t>
      </w:r>
      <w:r w:rsidRPr="001F3DFF">
        <w:rPr>
          <w:rFonts w:cs="FrankRuehl" w:hint="eastAsia"/>
          <w:sz w:val="20"/>
          <w:szCs w:val="22"/>
          <w:rtl/>
        </w:rPr>
        <w:t>על</w:t>
      </w:r>
      <w:r w:rsidRPr="001F3DFF">
        <w:rPr>
          <w:rFonts w:cs="FrankRuehl"/>
          <w:sz w:val="20"/>
          <w:szCs w:val="22"/>
          <w:rtl/>
        </w:rPr>
        <w:t xml:space="preserve"> </w:t>
      </w:r>
      <w:r w:rsidRPr="001F3DFF">
        <w:rPr>
          <w:rFonts w:cs="FrankRuehl" w:hint="eastAsia"/>
          <w:sz w:val="20"/>
          <w:szCs w:val="22"/>
          <w:rtl/>
        </w:rPr>
        <w:t>נותני</w:t>
      </w:r>
      <w:r w:rsidRPr="001F3DFF">
        <w:rPr>
          <w:rFonts w:cs="FrankRuehl"/>
          <w:sz w:val="20"/>
          <w:szCs w:val="22"/>
          <w:rtl/>
        </w:rPr>
        <w:t xml:space="preserve"> </w:t>
      </w:r>
      <w:r w:rsidRPr="001F3DFF">
        <w:rPr>
          <w:rFonts w:cs="FrankRuehl" w:hint="eastAsia"/>
          <w:sz w:val="20"/>
          <w:szCs w:val="22"/>
          <w:rtl/>
        </w:rPr>
        <w:t>שירותי</w:t>
      </w:r>
      <w:r w:rsidRPr="001F3DFF">
        <w:rPr>
          <w:rFonts w:cs="FrankRuehl"/>
          <w:sz w:val="20"/>
          <w:szCs w:val="22"/>
          <w:rtl/>
        </w:rPr>
        <w:t xml:space="preserve"> </w:t>
      </w:r>
      <w:r w:rsidRPr="001F3DFF">
        <w:rPr>
          <w:rFonts w:cs="FrankRuehl" w:hint="eastAsia"/>
          <w:sz w:val="20"/>
          <w:szCs w:val="22"/>
          <w:rtl/>
        </w:rPr>
        <w:t>המטבע</w:t>
      </w:r>
      <w:r w:rsidRPr="001F3DFF">
        <w:rPr>
          <w:rFonts w:cs="FrankRuehl"/>
          <w:sz w:val="20"/>
          <w:szCs w:val="22"/>
          <w:rtl/>
        </w:rPr>
        <w:t xml:space="preserve"> </w:t>
      </w:r>
      <w:r w:rsidRPr="001F3DFF">
        <w:rPr>
          <w:rFonts w:cs="FrankRuehl" w:hint="eastAsia"/>
          <w:sz w:val="20"/>
          <w:szCs w:val="22"/>
          <w:rtl/>
        </w:rPr>
        <w:t>בו</w:t>
      </w:r>
      <w:r w:rsidRPr="001F3DFF">
        <w:rPr>
          <w:rFonts w:cs="FrankRuehl"/>
          <w:sz w:val="20"/>
          <w:szCs w:val="22"/>
          <w:rtl/>
        </w:rPr>
        <w:t xml:space="preserve"> </w:t>
      </w:r>
      <w:r w:rsidRPr="001F3DFF">
        <w:rPr>
          <w:rFonts w:cs="FrankRuehl" w:hint="eastAsia"/>
          <w:sz w:val="20"/>
          <w:szCs w:val="22"/>
          <w:rtl/>
        </w:rPr>
        <w:t>הומלץ</w:t>
      </w:r>
      <w:r w:rsidRPr="001F3DFF">
        <w:rPr>
          <w:rFonts w:cs="FrankRuehl"/>
          <w:sz w:val="20"/>
          <w:szCs w:val="22"/>
          <w:rtl/>
        </w:rPr>
        <w:t xml:space="preserve"> </w:t>
      </w:r>
      <w:r w:rsidRPr="001F3DFF">
        <w:rPr>
          <w:rFonts w:cs="FrankRuehl" w:hint="eastAsia"/>
          <w:sz w:val="20"/>
          <w:szCs w:val="22"/>
          <w:rtl/>
        </w:rPr>
        <w:t>על</w:t>
      </w:r>
      <w:r w:rsidRPr="001F3DFF">
        <w:rPr>
          <w:rFonts w:cs="FrankRuehl"/>
          <w:sz w:val="20"/>
          <w:szCs w:val="22"/>
          <w:rtl/>
        </w:rPr>
        <w:t xml:space="preserve"> </w:t>
      </w:r>
      <w:r w:rsidRPr="001F3DFF">
        <w:rPr>
          <w:rFonts w:cs="FrankRuehl" w:hint="eastAsia"/>
          <w:sz w:val="20"/>
          <w:szCs w:val="22"/>
          <w:rtl/>
        </w:rPr>
        <w:t>הקמתו</w:t>
      </w:r>
      <w:r w:rsidRPr="001F3DFF">
        <w:rPr>
          <w:rFonts w:cs="FrankRuehl"/>
          <w:sz w:val="20"/>
          <w:szCs w:val="22"/>
          <w:rtl/>
        </w:rPr>
        <w:t xml:space="preserve"> </w:t>
      </w:r>
      <w:r w:rsidRPr="001F3DFF">
        <w:rPr>
          <w:rFonts w:cs="FrankRuehl" w:hint="eastAsia"/>
          <w:sz w:val="20"/>
          <w:szCs w:val="22"/>
          <w:rtl/>
        </w:rPr>
        <w:t>של</w:t>
      </w:r>
      <w:r w:rsidRPr="001F3DFF">
        <w:rPr>
          <w:rFonts w:cs="FrankRuehl"/>
          <w:sz w:val="20"/>
          <w:szCs w:val="22"/>
          <w:rtl/>
        </w:rPr>
        <w:t xml:space="preserve"> </w:t>
      </w:r>
      <w:r w:rsidRPr="001F3DFF">
        <w:rPr>
          <w:rFonts w:cs="FrankRuehl" w:hint="eastAsia"/>
          <w:sz w:val="20"/>
          <w:szCs w:val="22"/>
          <w:rtl/>
        </w:rPr>
        <w:t>רגולטור</w:t>
      </w:r>
      <w:r w:rsidRPr="001F3DFF">
        <w:rPr>
          <w:rFonts w:cs="FrankRuehl"/>
          <w:sz w:val="20"/>
          <w:szCs w:val="22"/>
          <w:rtl/>
        </w:rPr>
        <w:t xml:space="preserve"> </w:t>
      </w:r>
      <w:r w:rsidRPr="001F3DFF">
        <w:rPr>
          <w:rFonts w:cs="FrankRuehl" w:hint="eastAsia"/>
          <w:sz w:val="20"/>
          <w:szCs w:val="22"/>
          <w:rtl/>
        </w:rPr>
        <w:t>ייעודי</w:t>
      </w:r>
      <w:r w:rsidRPr="001F3DFF">
        <w:rPr>
          <w:rFonts w:cs="FrankRuehl"/>
          <w:sz w:val="20"/>
          <w:szCs w:val="22"/>
          <w:rtl/>
        </w:rPr>
        <w:t xml:space="preserve"> </w:t>
      </w:r>
      <w:r w:rsidRPr="001F3DFF">
        <w:rPr>
          <w:rFonts w:cs="FrankRuehl" w:hint="eastAsia"/>
          <w:sz w:val="20"/>
          <w:szCs w:val="22"/>
          <w:rtl/>
        </w:rPr>
        <w:t>לתחום</w:t>
      </w:r>
      <w:r w:rsidRPr="001F3DFF">
        <w:rPr>
          <w:rFonts w:cs="FrankRuehl"/>
          <w:sz w:val="20"/>
          <w:szCs w:val="22"/>
          <w:rtl/>
        </w:rPr>
        <w:t xml:space="preserve"> </w:t>
      </w:r>
      <w:r w:rsidRPr="001F3DFF">
        <w:rPr>
          <w:rFonts w:cs="FrankRuehl" w:hint="eastAsia"/>
          <w:sz w:val="20"/>
          <w:szCs w:val="22"/>
          <w:rtl/>
        </w:rPr>
        <w:t>ההלוואות</w:t>
      </w:r>
      <w:r w:rsidRPr="001F3DFF">
        <w:rPr>
          <w:rFonts w:cs="FrankRuehl"/>
          <w:sz w:val="20"/>
          <w:szCs w:val="22"/>
          <w:rtl/>
        </w:rPr>
        <w:t xml:space="preserve"> </w:t>
      </w:r>
      <w:r w:rsidRPr="001F3DFF">
        <w:rPr>
          <w:rFonts w:cs="FrankRuehl" w:hint="eastAsia"/>
          <w:sz w:val="20"/>
          <w:szCs w:val="22"/>
          <w:rtl/>
        </w:rPr>
        <w:t>החוץ</w:t>
      </w:r>
      <w:r w:rsidRPr="001F3DFF">
        <w:rPr>
          <w:rFonts w:cs="FrankRuehl" w:hint="cs"/>
          <w:sz w:val="20"/>
          <w:szCs w:val="22"/>
          <w:rtl/>
        </w:rPr>
        <w:t>-</w:t>
      </w:r>
      <w:r w:rsidRPr="001F3DFF">
        <w:rPr>
          <w:rFonts w:cs="FrankRuehl" w:hint="eastAsia"/>
          <w:sz w:val="20"/>
          <w:szCs w:val="22"/>
          <w:rtl/>
        </w:rPr>
        <w:t>בנקאיות</w:t>
      </w:r>
      <w:r w:rsidRPr="001F3DFF">
        <w:rPr>
          <w:rFonts w:cs="FrankRuehl"/>
          <w:sz w:val="20"/>
          <w:szCs w:val="22"/>
          <w:rtl/>
        </w:rPr>
        <w:t xml:space="preserve"> </w:t>
      </w:r>
      <w:r w:rsidRPr="001F3DFF">
        <w:rPr>
          <w:rFonts w:cs="FrankRuehl" w:hint="eastAsia"/>
          <w:sz w:val="20"/>
          <w:szCs w:val="22"/>
          <w:rtl/>
        </w:rPr>
        <w:t>ונותני</w:t>
      </w:r>
      <w:r w:rsidRPr="001F3DFF">
        <w:rPr>
          <w:rFonts w:cs="FrankRuehl"/>
          <w:sz w:val="20"/>
          <w:szCs w:val="22"/>
          <w:rtl/>
        </w:rPr>
        <w:t xml:space="preserve"> </w:t>
      </w:r>
      <w:r w:rsidRPr="001F3DFF">
        <w:rPr>
          <w:rFonts w:cs="FrankRuehl" w:hint="eastAsia"/>
          <w:sz w:val="20"/>
          <w:szCs w:val="22"/>
          <w:rtl/>
        </w:rPr>
        <w:t>שירותי</w:t>
      </w:r>
      <w:r w:rsidRPr="001F3DFF">
        <w:rPr>
          <w:rFonts w:cs="FrankRuehl"/>
          <w:sz w:val="20"/>
          <w:szCs w:val="22"/>
          <w:rtl/>
        </w:rPr>
        <w:t xml:space="preserve"> </w:t>
      </w:r>
      <w:r w:rsidRPr="001F3DFF">
        <w:rPr>
          <w:rFonts w:cs="FrankRuehl" w:hint="eastAsia"/>
          <w:sz w:val="20"/>
          <w:szCs w:val="22"/>
          <w:rtl/>
        </w:rPr>
        <w:t>המטבע</w:t>
      </w:r>
      <w:r w:rsidRPr="001F3DFF">
        <w:rPr>
          <w:rFonts w:cs="FrankRuehl" w:hint="cs"/>
          <w:sz w:val="20"/>
          <w:szCs w:val="22"/>
          <w:rtl/>
        </w:rPr>
        <w:t>".</w:t>
      </w:r>
      <w:r w:rsidRPr="001F3DFF">
        <w:rPr>
          <w:rFonts w:cs="FrankRuehl"/>
          <w:sz w:val="20"/>
          <w:szCs w:val="22"/>
          <w:rtl/>
        </w:rPr>
        <w:t xml:space="preserve"> </w:t>
      </w:r>
      <w:r w:rsidRPr="001F3DFF">
        <w:rPr>
          <w:rFonts w:cs="FrankRuehl" w:hint="cs"/>
          <w:sz w:val="20"/>
          <w:szCs w:val="22"/>
          <w:rtl/>
        </w:rPr>
        <w:t>ה</w:t>
      </w:r>
      <w:r w:rsidRPr="001F3DFF">
        <w:rPr>
          <w:rFonts w:cs="FrankRuehl" w:hint="eastAsia"/>
          <w:sz w:val="20"/>
          <w:szCs w:val="22"/>
          <w:rtl/>
        </w:rPr>
        <w:t>משרד</w:t>
      </w:r>
      <w:r w:rsidRPr="001F3DFF">
        <w:rPr>
          <w:rFonts w:cs="FrankRuehl"/>
          <w:sz w:val="20"/>
          <w:szCs w:val="22"/>
          <w:rtl/>
        </w:rPr>
        <w:t xml:space="preserve"> </w:t>
      </w:r>
      <w:r w:rsidRPr="001F3DFF">
        <w:rPr>
          <w:rFonts w:cs="FrankRuehl" w:hint="cs"/>
          <w:sz w:val="20"/>
          <w:szCs w:val="22"/>
          <w:rtl/>
        </w:rPr>
        <w:t>הוסיף</w:t>
      </w:r>
      <w:r w:rsidRPr="001F3DFF">
        <w:rPr>
          <w:rFonts w:cs="FrankRuehl"/>
          <w:sz w:val="20"/>
          <w:szCs w:val="22"/>
          <w:rtl/>
        </w:rPr>
        <w:t xml:space="preserve"> כי האופן הנכון לאסדרה של תחום זה הוא </w:t>
      </w:r>
      <w:r w:rsidRPr="001F3DFF">
        <w:rPr>
          <w:rFonts w:cs="FrankRuehl" w:hint="cs"/>
          <w:sz w:val="20"/>
          <w:szCs w:val="22"/>
          <w:rtl/>
        </w:rPr>
        <w:t>מינוי</w:t>
      </w:r>
      <w:r w:rsidRPr="001F3DFF">
        <w:rPr>
          <w:rFonts w:cs="FrankRuehl"/>
          <w:sz w:val="20"/>
          <w:szCs w:val="22"/>
          <w:rtl/>
        </w:rPr>
        <w:t xml:space="preserve"> רגולטור ייעודי אשר יטפל בשלל ההיבטים הנוגעים לתחום. </w:t>
      </w:r>
    </w:p>
    <w:p w:rsidR="005E5B2C" w:rsidRPr="001F3DFF" w:rsidP="00FB46AA">
      <w:pPr>
        <w:spacing w:after="120" w:line="230" w:lineRule="exact"/>
        <w:ind w:left="340" w:hanging="340"/>
        <w:jc w:val="both"/>
        <w:rPr>
          <w:rFonts w:cs="FrankRuehl"/>
          <w:sz w:val="20"/>
          <w:szCs w:val="22"/>
          <w:rtl/>
        </w:rPr>
      </w:pPr>
      <w:r w:rsidRPr="001F3DFF">
        <w:rPr>
          <w:rFonts w:cs="FrankRuehl" w:hint="cs"/>
          <w:sz w:val="20"/>
          <w:szCs w:val="22"/>
          <w:rtl/>
        </w:rPr>
        <w:t xml:space="preserve">2. </w:t>
      </w:r>
      <w:r w:rsidRPr="001F3DFF">
        <w:rPr>
          <w:rFonts w:cs="FrankRuehl" w:hint="cs"/>
          <w:sz w:val="20"/>
          <w:szCs w:val="22"/>
          <w:rtl/>
        </w:rPr>
        <w:tab/>
        <w:t>בספטמבר 2013 החליטה הממשלה</w:t>
      </w:r>
      <w:r>
        <w:rPr>
          <w:rStyle w:val="FootnoteReference0"/>
          <w:rFonts w:cs="FrankRuehl"/>
          <w:sz w:val="20"/>
          <w:szCs w:val="22"/>
          <w:rtl/>
        </w:rPr>
        <w:footnoteReference w:id="72"/>
      </w:r>
      <w:r w:rsidRPr="001F3DFF">
        <w:rPr>
          <w:rFonts w:cs="FrankRuehl" w:hint="cs"/>
          <w:sz w:val="20"/>
          <w:szCs w:val="22"/>
          <w:rtl/>
        </w:rPr>
        <w:t xml:space="preserve"> להקים ועדה לבחינת צמצום ההון השחור והלבנת ההון באמצעות הגבלה וצמצום של השימוש במזומן ובאמצעי תשלום אחרים, כדי להרחיב את בסיס המס (להלן - ועדת לוקר)</w:t>
      </w:r>
      <w:r>
        <w:rPr>
          <w:rStyle w:val="FootnoteReference0"/>
          <w:rFonts w:cs="FrankRuehl"/>
          <w:sz w:val="20"/>
          <w:szCs w:val="22"/>
          <w:rtl/>
        </w:rPr>
        <w:footnoteReference w:id="73"/>
      </w:r>
      <w:r w:rsidRPr="001F3DFF">
        <w:rPr>
          <w:rFonts w:cs="FrankRuehl" w:hint="cs"/>
          <w:sz w:val="20"/>
          <w:szCs w:val="22"/>
          <w:rtl/>
        </w:rPr>
        <w:t xml:space="preserve">. הוועדה המליצה לבחון במסגרת ועדת הקבע את תחום ההלוואות החוץ-בנקאיות, ובכלל זה לבחון את ההסדרים החוקיים הקיימים ולהציע הסדר כולל ומפרט בתחום זה. </w:t>
      </w:r>
      <w:r w:rsidRPr="001F3DFF">
        <w:rPr>
          <w:rFonts w:cs="FrankRuehl"/>
          <w:sz w:val="20"/>
          <w:szCs w:val="22"/>
          <w:rtl/>
        </w:rPr>
        <w:t>ב</w:t>
      </w:r>
      <w:r w:rsidRPr="001F3DFF">
        <w:rPr>
          <w:rFonts w:cs="FrankRuehl" w:hint="cs"/>
          <w:sz w:val="20"/>
          <w:szCs w:val="22"/>
          <w:rtl/>
        </w:rPr>
        <w:t>אוקטובר 2014</w:t>
      </w:r>
      <w:r w:rsidRPr="001F3DFF">
        <w:rPr>
          <w:rFonts w:cs="FrankRuehl"/>
          <w:sz w:val="20"/>
          <w:szCs w:val="22"/>
          <w:rtl/>
        </w:rPr>
        <w:t xml:space="preserve"> החליטה הממשלה לאמץ את המלצות </w:t>
      </w:r>
      <w:r w:rsidRPr="001F3DFF">
        <w:rPr>
          <w:rFonts w:cs="FrankRuehl" w:hint="cs"/>
          <w:sz w:val="20"/>
          <w:szCs w:val="22"/>
          <w:rtl/>
        </w:rPr>
        <w:t>ועדת לוקר</w:t>
      </w:r>
      <w:r>
        <w:rPr>
          <w:rStyle w:val="FootnoteReference0"/>
          <w:rFonts w:cs="FrankRuehl"/>
          <w:sz w:val="20"/>
          <w:szCs w:val="22"/>
          <w:rtl/>
        </w:rPr>
        <w:footnoteReference w:id="74"/>
      </w:r>
      <w:r w:rsidRPr="001F3DFF">
        <w:rPr>
          <w:rFonts w:cs="FrankRuehl" w:hint="cs"/>
          <w:sz w:val="20"/>
          <w:szCs w:val="22"/>
          <w:rtl/>
        </w:rPr>
        <w:t>.</w:t>
      </w:r>
    </w:p>
    <w:p w:rsidR="005E5B2C" w:rsidRPr="001F3DFF" w:rsidP="00FB46AA">
      <w:pPr>
        <w:spacing w:after="240" w:line="230" w:lineRule="exact"/>
        <w:ind w:left="340" w:hanging="340"/>
        <w:jc w:val="both"/>
        <w:rPr>
          <w:rFonts w:cs="FrankRuehl"/>
          <w:sz w:val="20"/>
          <w:szCs w:val="22"/>
          <w:rtl/>
        </w:rPr>
      </w:pPr>
      <w:r w:rsidRPr="001F3DFF">
        <w:rPr>
          <w:rFonts w:cs="FrankRuehl" w:hint="cs"/>
          <w:sz w:val="20"/>
          <w:szCs w:val="22"/>
          <w:rtl/>
        </w:rPr>
        <w:t xml:space="preserve">3. </w:t>
      </w:r>
      <w:r w:rsidRPr="001F3DFF">
        <w:rPr>
          <w:rFonts w:cs="FrankRuehl" w:hint="cs"/>
          <w:sz w:val="20"/>
          <w:szCs w:val="22"/>
          <w:rtl/>
        </w:rPr>
        <w:tab/>
        <w:t>ביוני 2014 הוקם צוות בראשות המשנה ליועץ המשפטי לממשלה (כלכלי-פיסקאלי) שמטרתו להמליץ על המתווה הנכון להסדרת הרגולציה בתחום נותני שירותי המטבע</w:t>
      </w:r>
      <w:r>
        <w:rPr>
          <w:rStyle w:val="FootnoteReference0"/>
          <w:rFonts w:cs="FrankRuehl"/>
          <w:sz w:val="20"/>
          <w:szCs w:val="22"/>
          <w:rtl/>
        </w:rPr>
        <w:footnoteReference w:id="75"/>
      </w:r>
      <w:r w:rsidRPr="001F3DFF">
        <w:rPr>
          <w:rFonts w:cs="FrankRuehl" w:hint="cs"/>
          <w:sz w:val="20"/>
          <w:szCs w:val="22"/>
          <w:rtl/>
        </w:rPr>
        <w:t xml:space="preserve">. הצוות הוקם במקביל להעברת יחידת </w:t>
      </w:r>
      <w:r w:rsidRPr="001F3DFF">
        <w:rPr>
          <w:rFonts w:cs="FrankRuehl" w:hint="cs"/>
          <w:sz w:val="20"/>
          <w:szCs w:val="22"/>
          <w:rtl/>
        </w:rPr>
        <w:t>נש"ם</w:t>
      </w:r>
      <w:r w:rsidRPr="001F3DFF">
        <w:rPr>
          <w:rFonts w:cs="FrankRuehl" w:hint="cs"/>
          <w:sz w:val="20"/>
          <w:szCs w:val="22"/>
          <w:rtl/>
        </w:rPr>
        <w:t xml:space="preserve"> לרשות המסים, ועוסק גם בהסדרת שוק ההלוואות החוץ-בנקאיות (להרחבה בעניין זה ראו תת-פרק "מעבר היחידה לרשות המסים" להלן). </w:t>
      </w:r>
    </w:p>
    <w:p w:rsidR="005E5B2C" w:rsidRPr="001F3DFF" w:rsidP="00FB46AA">
      <w:pPr>
        <w:pStyle w:val="RESHET"/>
        <w:rPr>
          <w:rtl/>
        </w:rPr>
      </w:pPr>
      <w:r w:rsidRPr="001F3DFF">
        <w:rPr>
          <w:rFonts w:hint="cs"/>
          <w:rtl/>
        </w:rPr>
        <w:t>משרד מבקר המדינה רואה בחומרה את התנהלות משרד האוצר, משרד המשפטים ובנק ישראל, אשר כשלו במציאת פתרון הולם להסדרת שוק ההלוואות החוץ-בנקאיות, ואת התופעה הנפסדת של העברת הטיפול בנושא חשוב זה ממגרשו של מאסדר אחד למגרשו של מאסדר אחר. לדעת משרד מבקר המדינה, לנוכח אינטרס הציבור בהגנה על לווים וחשיבות המלחמה בהלבנת הון ובפשיעה המאורגנת, ולאור היבטי המאקרו הנלווים לתחום ההלוואות החוץ-בנקאיות, על הממשלה להסדיר שוק זה ללא דיחוי נוסף.</w:t>
      </w:r>
    </w:p>
    <w:p w:rsidR="005E5B2C" w:rsidRPr="001F3DFF" w:rsidP="00FB46AA">
      <w:pPr>
        <w:spacing w:before="180" w:after="120" w:line="230" w:lineRule="exact"/>
        <w:jc w:val="both"/>
        <w:rPr>
          <w:rFonts w:cs="FrankRuehl"/>
          <w:sz w:val="20"/>
          <w:szCs w:val="22"/>
          <w:rtl/>
        </w:rPr>
      </w:pPr>
      <w:r w:rsidRPr="001F3DFF">
        <w:rPr>
          <w:rFonts w:cs="FrankRuehl"/>
          <w:sz w:val="20"/>
          <w:szCs w:val="22"/>
          <w:rtl/>
        </w:rPr>
        <w:t>בפברואר 2015</w:t>
      </w:r>
      <w:r w:rsidRPr="001F3DFF">
        <w:rPr>
          <w:rFonts w:cs="FrankRuehl" w:hint="cs"/>
          <w:sz w:val="20"/>
          <w:szCs w:val="22"/>
          <w:rtl/>
        </w:rPr>
        <w:t xml:space="preserve">, </w:t>
      </w:r>
      <w:r w:rsidRPr="001F3DFF">
        <w:rPr>
          <w:rFonts w:cs="FrankRuehl"/>
          <w:sz w:val="20"/>
          <w:szCs w:val="22"/>
          <w:rtl/>
        </w:rPr>
        <w:t xml:space="preserve">קיבל היועץ המשפטי לממשלה, עו"ד יהודה </w:t>
      </w:r>
      <w:r w:rsidRPr="001F3DFF">
        <w:rPr>
          <w:rFonts w:cs="FrankRuehl"/>
          <w:sz w:val="20"/>
          <w:szCs w:val="22"/>
          <w:rtl/>
        </w:rPr>
        <w:t>וינשטיין</w:t>
      </w:r>
      <w:r w:rsidRPr="001F3DFF">
        <w:rPr>
          <w:rFonts w:cs="FrankRuehl"/>
          <w:sz w:val="20"/>
          <w:szCs w:val="22"/>
          <w:rtl/>
        </w:rPr>
        <w:t>, את המלצות הצוות בהיבט העקרוני</w:t>
      </w:r>
      <w:r w:rsidRPr="001F3DFF">
        <w:rPr>
          <w:rFonts w:cs="FrankRuehl" w:hint="cs"/>
          <w:sz w:val="20"/>
          <w:szCs w:val="22"/>
          <w:rtl/>
        </w:rPr>
        <w:t xml:space="preserve">, </w:t>
      </w:r>
      <w:r w:rsidRPr="001F3DFF">
        <w:rPr>
          <w:rFonts w:cs="FrankRuehl"/>
          <w:sz w:val="20"/>
          <w:szCs w:val="22"/>
          <w:rtl/>
        </w:rPr>
        <w:t>אישר אות</w:t>
      </w:r>
      <w:r w:rsidRPr="001F3DFF">
        <w:rPr>
          <w:rFonts w:cs="FrankRuehl" w:hint="cs"/>
          <w:sz w:val="20"/>
          <w:szCs w:val="22"/>
          <w:rtl/>
        </w:rPr>
        <w:t>ן</w:t>
      </w:r>
      <w:r w:rsidRPr="001F3DFF">
        <w:rPr>
          <w:rFonts w:cs="FrankRuehl"/>
          <w:sz w:val="20"/>
          <w:szCs w:val="22"/>
          <w:rtl/>
        </w:rPr>
        <w:t xml:space="preserve"> ו</w:t>
      </w:r>
      <w:r w:rsidRPr="001F3DFF">
        <w:rPr>
          <w:rFonts w:cs="FrankRuehl" w:hint="cs"/>
          <w:sz w:val="20"/>
          <w:szCs w:val="22"/>
          <w:rtl/>
        </w:rPr>
        <w:t xml:space="preserve">הודיע כי </w:t>
      </w:r>
      <w:r w:rsidRPr="001F3DFF">
        <w:rPr>
          <w:rFonts w:cs="FrankRuehl"/>
          <w:sz w:val="20"/>
          <w:szCs w:val="22"/>
          <w:rtl/>
        </w:rPr>
        <w:t xml:space="preserve">בכוונתו לזמן ישיבה עם כלל הגורמים הרלוונטיים, כדי להתחיל </w:t>
      </w:r>
      <w:r w:rsidRPr="001F3DFF">
        <w:rPr>
          <w:rFonts w:cs="FrankRuehl" w:hint="cs"/>
          <w:sz w:val="20"/>
          <w:szCs w:val="22"/>
          <w:rtl/>
        </w:rPr>
        <w:t xml:space="preserve">מיד </w:t>
      </w:r>
      <w:r w:rsidRPr="001F3DFF">
        <w:rPr>
          <w:rFonts w:cs="FrankRuehl"/>
          <w:sz w:val="20"/>
          <w:szCs w:val="22"/>
          <w:rtl/>
        </w:rPr>
        <w:t xml:space="preserve">ביישום. </w:t>
      </w:r>
      <w:r w:rsidRPr="001F3DFF">
        <w:rPr>
          <w:rFonts w:cs="FrankRuehl" w:hint="cs"/>
          <w:sz w:val="20"/>
          <w:szCs w:val="22"/>
          <w:rtl/>
        </w:rPr>
        <w:t>הצוות ממליץ על הקמת גוף מאסדר ייעודי לכלל השירותים המיקרו-פיננסיים, לרבות בתחום ההלוואות החוץ-בנקאיות. למאסדר יוענקו סמכויות פיקוח ואכיפה, תקציב ותקני כוח אדם מתאימים. חוק נפרד וייעודי יסדיר את סמכויות הממונה ותחומי אחריותו ואת עיקר החובות המוטלות על נותני השירותים המיקרו-פיננסיים.</w:t>
      </w:r>
    </w:p>
    <w:p w:rsidR="005E5B2C" w:rsidRPr="001F3DFF" w:rsidP="00FB46AA">
      <w:pPr>
        <w:spacing w:after="240" w:line="230" w:lineRule="exact"/>
        <w:jc w:val="both"/>
        <w:rPr>
          <w:rFonts w:cs="FrankRuehl"/>
          <w:b/>
          <w:bCs/>
          <w:sz w:val="20"/>
          <w:szCs w:val="22"/>
          <w:rtl/>
        </w:rPr>
      </w:pPr>
      <w:r w:rsidRPr="001F3DFF">
        <w:rPr>
          <w:rFonts w:cs="FrankRuehl" w:hint="cs"/>
          <w:sz w:val="20"/>
          <w:szCs w:val="22"/>
          <w:rtl/>
        </w:rPr>
        <w:t xml:space="preserve">השירותים המיקרו-פיננסיים, על פי הגדרת הצוות, מתחלקים לשלוש קטגוריות: </w:t>
      </w:r>
      <w:r w:rsidR="001841D0">
        <w:rPr>
          <w:rFonts w:cs="FrankRuehl" w:hint="cs"/>
          <w:sz w:val="20"/>
          <w:szCs w:val="22"/>
          <w:rtl/>
        </w:rPr>
        <w:t xml:space="preserve">  </w:t>
      </w:r>
      <w:r w:rsidRPr="001F3DFF">
        <w:rPr>
          <w:rFonts w:cs="FrankRuehl" w:hint="cs"/>
          <w:sz w:val="20"/>
          <w:szCs w:val="22"/>
          <w:rtl/>
        </w:rPr>
        <w:t xml:space="preserve">1. </w:t>
      </w:r>
      <w:r w:rsidR="001841D0">
        <w:rPr>
          <w:rFonts w:cs="FrankRuehl" w:hint="cs"/>
          <w:sz w:val="20"/>
          <w:szCs w:val="22"/>
          <w:rtl/>
        </w:rPr>
        <w:t xml:space="preserve"> </w:t>
      </w:r>
      <w:r w:rsidRPr="001F3DFF">
        <w:rPr>
          <w:rFonts w:cs="FrankRuehl" w:hint="cs"/>
          <w:sz w:val="20"/>
          <w:szCs w:val="22"/>
          <w:rtl/>
        </w:rPr>
        <w:t xml:space="preserve">נותני שירותי מטבע; </w:t>
      </w:r>
      <w:r w:rsidR="001841D0">
        <w:rPr>
          <w:rFonts w:cs="FrankRuehl" w:hint="cs"/>
          <w:sz w:val="20"/>
          <w:szCs w:val="22"/>
          <w:rtl/>
        </w:rPr>
        <w:t xml:space="preserve">  </w:t>
      </w:r>
      <w:r w:rsidRPr="001F3DFF">
        <w:rPr>
          <w:rFonts w:cs="FrankRuehl" w:hint="cs"/>
          <w:sz w:val="20"/>
          <w:szCs w:val="22"/>
          <w:rtl/>
        </w:rPr>
        <w:t xml:space="preserve">2. </w:t>
      </w:r>
      <w:r w:rsidR="001841D0">
        <w:rPr>
          <w:rFonts w:cs="FrankRuehl" w:hint="cs"/>
          <w:sz w:val="20"/>
          <w:szCs w:val="22"/>
          <w:rtl/>
        </w:rPr>
        <w:t xml:space="preserve"> </w:t>
      </w:r>
      <w:r w:rsidRPr="001F3DFF">
        <w:rPr>
          <w:rFonts w:cs="FrankRuehl" w:hint="cs"/>
          <w:sz w:val="20"/>
          <w:szCs w:val="22"/>
          <w:rtl/>
        </w:rPr>
        <w:t xml:space="preserve">נותני שירותי אשראי - כל הגורמים המספקים אשראי חוץ-בנקאי אשר אינם מפוקחים על ידי המפקח על הבנקים, רשות ניירות ערך או הממונה על שוק ההון; </w:t>
      </w:r>
      <w:r w:rsidR="001841D0">
        <w:rPr>
          <w:rFonts w:cs="FrankRuehl" w:hint="cs"/>
          <w:sz w:val="20"/>
          <w:szCs w:val="22"/>
          <w:rtl/>
        </w:rPr>
        <w:t xml:space="preserve">  </w:t>
      </w:r>
      <w:r w:rsidRPr="001F3DFF">
        <w:rPr>
          <w:rFonts w:cs="FrankRuehl" w:hint="cs"/>
          <w:sz w:val="20"/>
          <w:szCs w:val="22"/>
          <w:rtl/>
        </w:rPr>
        <w:t>3.</w:t>
      </w:r>
      <w:r w:rsidR="001841D0">
        <w:rPr>
          <w:rFonts w:cs="FrankRuehl" w:hint="cs"/>
          <w:sz w:val="20"/>
          <w:szCs w:val="22"/>
          <w:rtl/>
        </w:rPr>
        <w:t xml:space="preserve"> </w:t>
      </w:r>
      <w:r w:rsidRPr="001F3DFF">
        <w:rPr>
          <w:rFonts w:cs="FrankRuehl" w:hint="cs"/>
          <w:sz w:val="20"/>
          <w:szCs w:val="22"/>
          <w:rtl/>
        </w:rPr>
        <w:t xml:space="preserve"> נותני שירותי אשראי ללא ריבית - מי שעוסקים במתן אשראי ללא ריבית והצמדה, שלא למטרות רווח.</w:t>
      </w:r>
    </w:p>
    <w:p w:rsidR="005E5B2C" w:rsidRPr="001F3DFF" w:rsidP="00FB46AA">
      <w:pPr>
        <w:pStyle w:val="RESHET"/>
        <w:spacing w:line="240" w:lineRule="exact"/>
        <w:rPr>
          <w:rtl/>
        </w:rPr>
      </w:pPr>
      <w:r w:rsidRPr="001F3DFF">
        <w:rPr>
          <w:rFonts w:hint="cs"/>
          <w:rtl/>
        </w:rPr>
        <w:t xml:space="preserve">לדעת משרד מבקר המדינה, על היועץ המשפטי לממשלה להמשיך ולפעול לכך שתחום ההלוואות החוץ-בנקאיות יוסדר בהקדם. על משרד האוצר ומשרד המשפטים לפעול לכך שהמלצות הצוות לא יישארו בבחינת "אות מתה". </w:t>
      </w:r>
    </w:p>
    <w:p w:rsidR="005E5B2C" w:rsidRPr="001F3DFF" w:rsidP="00FB46AA">
      <w:pPr>
        <w:spacing w:after="120"/>
        <w:jc w:val="both"/>
        <w:rPr>
          <w:rFonts w:cs="FrankRuehl"/>
          <w:sz w:val="20"/>
          <w:szCs w:val="22"/>
          <w:rtl/>
        </w:rPr>
      </w:pPr>
    </w:p>
    <w:p w:rsidR="005E5B2C" w:rsidRPr="001E4618" w:rsidP="00FB46AA">
      <w:pPr>
        <w:pStyle w:val="KOT4"/>
        <w:rPr>
          <w:rtl/>
        </w:rPr>
      </w:pPr>
      <w:r w:rsidRPr="001E4618">
        <w:rPr>
          <w:rFonts w:hint="cs"/>
          <w:rtl/>
        </w:rPr>
        <w:t>פעילות נותני שירותי מטבע והפיקוח עליהם</w:t>
      </w:r>
    </w:p>
    <w:p w:rsidR="005E5B2C" w:rsidRPr="001F3DFF" w:rsidP="00FB46AA">
      <w:pPr>
        <w:spacing w:after="120"/>
        <w:jc w:val="both"/>
        <w:rPr>
          <w:rFonts w:cs="FrankRuehl"/>
          <w:sz w:val="20"/>
          <w:szCs w:val="22"/>
          <w:rtl/>
        </w:rPr>
      </w:pPr>
      <w:r w:rsidRPr="001F3DFF">
        <w:rPr>
          <w:rFonts w:cs="FrankRuehl" w:hint="cs"/>
          <w:sz w:val="20"/>
          <w:szCs w:val="22"/>
          <w:rtl/>
        </w:rPr>
        <w:t>לפי חוק איסור הלבנת הון, נותן שירותי מטבע הוא "מי שחלה עליו חובת רישום כאמור בסעיף 11ג"</w:t>
      </w:r>
      <w:r>
        <w:rPr>
          <w:rStyle w:val="FootnoteReference0"/>
          <w:rFonts w:cs="FrankRuehl"/>
          <w:sz w:val="20"/>
          <w:szCs w:val="22"/>
          <w:rtl/>
        </w:rPr>
        <w:footnoteReference w:id="76"/>
      </w:r>
      <w:r w:rsidRPr="001F3DFF">
        <w:rPr>
          <w:rFonts w:cs="FrankRuehl" w:hint="cs"/>
          <w:sz w:val="20"/>
          <w:szCs w:val="22"/>
          <w:rtl/>
        </w:rPr>
        <w:t xml:space="preserve">. הסעיף קובע כי העוסק במתן השירותים המנויים בו, גם אם אין זה עיסוקו היחיד, חייב ברישום. השירותים הם: </w:t>
      </w:r>
      <w:r w:rsidRPr="001F3DFF">
        <w:rPr>
          <w:rFonts w:cs="FrankRuehl"/>
          <w:sz w:val="20"/>
          <w:szCs w:val="22"/>
          <w:rtl/>
        </w:rPr>
        <w:t>המרת מטבע</w:t>
      </w:r>
      <w:r w:rsidRPr="001F3DFF">
        <w:rPr>
          <w:rFonts w:cs="FrankRuehl" w:hint="cs"/>
          <w:sz w:val="20"/>
          <w:szCs w:val="22"/>
          <w:rtl/>
        </w:rPr>
        <w:t xml:space="preserve"> של מדינה אחת במטבע של מדינה אחרת</w:t>
      </w:r>
      <w:r w:rsidRPr="001F3DFF">
        <w:rPr>
          <w:rFonts w:cs="FrankRuehl"/>
          <w:sz w:val="20"/>
          <w:szCs w:val="22"/>
          <w:rtl/>
        </w:rPr>
        <w:t>; מכיר</w:t>
      </w:r>
      <w:r w:rsidRPr="001F3DFF">
        <w:rPr>
          <w:rFonts w:cs="FrankRuehl" w:hint="cs"/>
          <w:sz w:val="20"/>
          <w:szCs w:val="22"/>
          <w:rtl/>
        </w:rPr>
        <w:t>ה</w:t>
      </w:r>
      <w:r w:rsidRPr="001F3DFF">
        <w:rPr>
          <w:rFonts w:cs="FrankRuehl"/>
          <w:sz w:val="20"/>
          <w:szCs w:val="22"/>
          <w:rtl/>
        </w:rPr>
        <w:t xml:space="preserve"> או פדיון של המחאות נוסעים</w:t>
      </w:r>
      <w:r w:rsidRPr="001F3DFF">
        <w:rPr>
          <w:rFonts w:cs="FrankRuehl" w:hint="cs"/>
          <w:sz w:val="20"/>
          <w:szCs w:val="22"/>
          <w:rtl/>
        </w:rPr>
        <w:t xml:space="preserve"> בכל סוג של מטבע</w:t>
      </w:r>
      <w:r w:rsidRPr="001F3DFF">
        <w:rPr>
          <w:rFonts w:cs="FrankRuehl"/>
          <w:sz w:val="20"/>
          <w:szCs w:val="22"/>
          <w:rtl/>
        </w:rPr>
        <w:t>; קבלת נכסים פיננס</w:t>
      </w:r>
      <w:r w:rsidRPr="001F3DFF">
        <w:rPr>
          <w:rFonts w:cs="FrankRuehl" w:hint="cs"/>
          <w:sz w:val="20"/>
          <w:szCs w:val="22"/>
          <w:rtl/>
        </w:rPr>
        <w:t>י</w:t>
      </w:r>
      <w:r w:rsidRPr="001F3DFF">
        <w:rPr>
          <w:rFonts w:cs="FrankRuehl"/>
          <w:sz w:val="20"/>
          <w:szCs w:val="22"/>
          <w:rtl/>
        </w:rPr>
        <w:t xml:space="preserve">ים במדינה אחת כנגד העמדת נכסים במדינה אחרת; החלפת </w:t>
      </w:r>
      <w:r w:rsidRPr="001F3DFF">
        <w:rPr>
          <w:rFonts w:cs="FrankRuehl" w:hint="cs"/>
          <w:sz w:val="20"/>
          <w:szCs w:val="22"/>
          <w:rtl/>
        </w:rPr>
        <w:t>מטבע</w:t>
      </w:r>
      <w:r w:rsidRPr="001F3DFF">
        <w:rPr>
          <w:rFonts w:cs="FrankRuehl"/>
          <w:sz w:val="20"/>
          <w:szCs w:val="22"/>
          <w:rtl/>
        </w:rPr>
        <w:t xml:space="preserve">; ניכיון </w:t>
      </w:r>
      <w:r w:rsidRPr="001F3DFF">
        <w:rPr>
          <w:rFonts w:cs="FrankRuehl" w:hint="cs"/>
          <w:sz w:val="20"/>
          <w:szCs w:val="22"/>
          <w:rtl/>
        </w:rPr>
        <w:t xml:space="preserve">צ'קים, </w:t>
      </w:r>
      <w:r w:rsidRPr="001F3DFF">
        <w:rPr>
          <w:rFonts w:cs="FrankRuehl"/>
          <w:sz w:val="20"/>
          <w:szCs w:val="22"/>
          <w:rtl/>
        </w:rPr>
        <w:t>שטרי חליפין</w:t>
      </w:r>
      <w:r w:rsidRPr="001F3DFF">
        <w:rPr>
          <w:rFonts w:cs="FrankRuehl" w:hint="cs"/>
          <w:sz w:val="20"/>
          <w:szCs w:val="22"/>
          <w:rtl/>
        </w:rPr>
        <w:t xml:space="preserve"> ושטרי חוב; שירותי ניכיון כהגדרתם בסעיף 7א לחוק הבנקאות (שירות ללקוח); מסירת נכסים פיננסיים כנגד מטבע; מסירת נכסים פיננסיים לאדם כנגד המחאת זכותו של אותו אדם לקבל נכסים פיננסיים מאחר.</w:t>
      </w:r>
    </w:p>
    <w:p w:rsidR="005E5B2C" w:rsidRPr="001F3DFF" w:rsidP="00FB46AA">
      <w:pPr>
        <w:spacing w:after="120"/>
        <w:jc w:val="both"/>
        <w:rPr>
          <w:rFonts w:cs="FrankRuehl"/>
          <w:sz w:val="20"/>
          <w:szCs w:val="22"/>
          <w:rtl/>
        </w:rPr>
      </w:pPr>
      <w:r w:rsidRPr="001F3DFF">
        <w:rPr>
          <w:rFonts w:cs="FrankRuehl" w:hint="cs"/>
          <w:sz w:val="20"/>
          <w:szCs w:val="22"/>
          <w:rtl/>
        </w:rPr>
        <w:t>בסוף שנת 2002 מינה שר האוצר את הממונה על אגף שוק ההון</w:t>
      </w:r>
      <w:r>
        <w:rPr>
          <w:rStyle w:val="FootnoteReference0"/>
          <w:rFonts w:cs="FrankRuehl"/>
          <w:sz w:val="20"/>
          <w:szCs w:val="22"/>
          <w:rtl/>
        </w:rPr>
        <w:footnoteReference w:id="77"/>
      </w:r>
      <w:r w:rsidRPr="001F3DFF">
        <w:rPr>
          <w:rFonts w:cs="FrankRuehl" w:hint="cs"/>
          <w:sz w:val="20"/>
          <w:szCs w:val="22"/>
          <w:rtl/>
        </w:rPr>
        <w:t xml:space="preserve"> לרשם של </w:t>
      </w:r>
      <w:r w:rsidRPr="001F3DFF">
        <w:rPr>
          <w:rFonts w:cs="FrankRuehl" w:hint="cs"/>
          <w:sz w:val="20"/>
          <w:szCs w:val="22"/>
          <w:rtl/>
        </w:rPr>
        <w:t>נש"ם</w:t>
      </w:r>
      <w:r w:rsidRPr="001F3DFF">
        <w:rPr>
          <w:rFonts w:cs="FrankRuehl" w:hint="cs"/>
          <w:sz w:val="20"/>
          <w:szCs w:val="22"/>
          <w:rtl/>
        </w:rPr>
        <w:t xml:space="preserve"> (להלן גם - הרשם), ובאגף הוקמה יחידה לנותני שירותי מטבע (להלן - היחידה), שתפקידה לפקח על עמידתם בחובות המוטלות עליהם על פי חוק איסור הלבנת הון. ביחידה שתי מחלקות - מחלקת הרישום ומחלקת הביקורת. מחלקת הרישום מנהלת את מרשם נותני שירותי המטבע ומטפלת בבקשות רישום, עדכוני פרטים, תשלומי אגרות, הנפקת תעודות רישום וכדומה. מחלקת הביקורת, בסיוע רואי חשבון חיצוניים</w:t>
      </w:r>
      <w:r>
        <w:rPr>
          <w:rStyle w:val="FootnoteReference0"/>
          <w:rFonts w:cs="FrankRuehl"/>
          <w:sz w:val="20"/>
          <w:szCs w:val="22"/>
          <w:rtl/>
        </w:rPr>
        <w:footnoteReference w:id="78"/>
      </w:r>
      <w:r w:rsidRPr="001F3DFF">
        <w:rPr>
          <w:rFonts w:cs="FrankRuehl" w:hint="cs"/>
          <w:sz w:val="20"/>
          <w:szCs w:val="22"/>
          <w:rtl/>
        </w:rPr>
        <w:t xml:space="preserve">, מבצעת ביקורות בקרב </w:t>
      </w:r>
      <w:r w:rsidRPr="001F3DFF">
        <w:rPr>
          <w:rFonts w:cs="FrankRuehl" w:hint="cs"/>
          <w:sz w:val="20"/>
          <w:szCs w:val="22"/>
          <w:rtl/>
        </w:rPr>
        <w:t>נש"ם</w:t>
      </w:r>
      <w:r w:rsidRPr="001F3DFF">
        <w:rPr>
          <w:rFonts w:cs="FrankRuehl" w:hint="cs"/>
          <w:sz w:val="20"/>
          <w:szCs w:val="22"/>
          <w:rtl/>
        </w:rPr>
        <w:t xml:space="preserve"> לבחינת עמידתם בהוראות החוק. </w:t>
      </w:r>
    </w:p>
    <w:p w:rsidR="005E5B2C" w:rsidRPr="001F3DFF" w:rsidP="00FB46AA">
      <w:pPr>
        <w:spacing w:after="240"/>
        <w:jc w:val="both"/>
        <w:rPr>
          <w:rFonts w:cs="FrankRuehl"/>
          <w:sz w:val="20"/>
          <w:szCs w:val="22"/>
          <w:rtl/>
        </w:rPr>
      </w:pPr>
      <w:r w:rsidRPr="001F3DFF">
        <w:rPr>
          <w:rFonts w:cs="FrankRuehl" w:hint="cs"/>
          <w:sz w:val="20"/>
          <w:szCs w:val="22"/>
          <w:rtl/>
        </w:rPr>
        <w:t xml:space="preserve">במועד הביקורת היו רשומים במרשם נותני שירותי המטבע כ-2,200 </w:t>
      </w:r>
      <w:r w:rsidRPr="001F3DFF">
        <w:rPr>
          <w:rFonts w:cs="FrankRuehl" w:hint="cs"/>
          <w:sz w:val="20"/>
          <w:szCs w:val="22"/>
          <w:rtl/>
        </w:rPr>
        <w:t>נש"ם</w:t>
      </w:r>
      <w:r w:rsidRPr="001F3DFF">
        <w:rPr>
          <w:rFonts w:cs="FrankRuehl" w:hint="cs"/>
          <w:sz w:val="20"/>
          <w:szCs w:val="22"/>
          <w:rtl/>
        </w:rPr>
        <w:t xml:space="preserve">. היחידה מעריכה את מחזור העסקאות בתחום זה בכ-150 מיליארד ש"ח בשנה, ואת היקף ההלוואות החוץ-בנקאיות </w:t>
      </w:r>
      <w:r w:rsidR="001841D0">
        <w:rPr>
          <w:rFonts w:cs="FrankRuehl"/>
          <w:sz w:val="20"/>
          <w:szCs w:val="22"/>
          <w:rtl/>
        </w:rPr>
        <w:br/>
      </w:r>
      <w:r w:rsidRPr="001F3DFF">
        <w:rPr>
          <w:rFonts w:cs="FrankRuehl" w:hint="cs"/>
          <w:sz w:val="20"/>
          <w:szCs w:val="22"/>
          <w:rtl/>
        </w:rPr>
        <w:t xml:space="preserve">בכ-20 מיליארד ש"ח נוספים. </w:t>
      </w:r>
    </w:p>
    <w:p w:rsidR="005E5B2C" w:rsidRPr="001F3DFF" w:rsidP="00FB46AA">
      <w:pPr>
        <w:pStyle w:val="RESHET"/>
        <w:spacing w:line="240" w:lineRule="exact"/>
        <w:rPr>
          <w:rtl/>
        </w:rPr>
      </w:pPr>
      <w:r w:rsidRPr="001F3DFF">
        <w:rPr>
          <w:rFonts w:hint="cs"/>
          <w:rtl/>
        </w:rPr>
        <w:t>כפי שיפורט להלן, טרם יושמו חלק מההמלצות שהעלה מבקר המדינה בדוח 60ב משנת 2009 בנושא הפי</w:t>
      </w:r>
      <w:r w:rsidRPr="001F3DFF">
        <w:rPr>
          <w:rFonts w:hint="eastAsia"/>
          <w:rtl/>
        </w:rPr>
        <w:t>ק</w:t>
      </w:r>
      <w:r w:rsidRPr="001F3DFF">
        <w:rPr>
          <w:rFonts w:hint="cs"/>
          <w:rtl/>
        </w:rPr>
        <w:t xml:space="preserve">וח על </w:t>
      </w:r>
      <w:r w:rsidRPr="001F3DFF">
        <w:rPr>
          <w:rFonts w:hint="cs"/>
          <w:rtl/>
        </w:rPr>
        <w:t>נש"ם</w:t>
      </w:r>
      <w:r w:rsidRPr="001F3DFF">
        <w:rPr>
          <w:rFonts w:hint="cs"/>
          <w:rtl/>
        </w:rPr>
        <w:t xml:space="preserve"> (להלן - הדוח הקודם), וחלק מהליקויים טרם תוקנו: </w:t>
      </w:r>
    </w:p>
    <w:p w:rsidR="005E5B2C" w:rsidRPr="001F3DFF" w:rsidP="00FB46AA">
      <w:pPr>
        <w:spacing w:before="180" w:after="120"/>
        <w:jc w:val="both"/>
        <w:rPr>
          <w:rFonts w:cs="FrankRuehl"/>
          <w:sz w:val="20"/>
          <w:szCs w:val="22"/>
          <w:rtl/>
        </w:rPr>
      </w:pPr>
      <w:r w:rsidRPr="001F3DFF">
        <w:rPr>
          <w:rFonts w:cs="FrankRuehl" w:hint="eastAsia"/>
          <w:b/>
          <w:bCs/>
          <w:spacing w:val="40"/>
          <w:sz w:val="20"/>
          <w:szCs w:val="22"/>
          <w:rtl/>
        </w:rPr>
        <w:t>אי</w:t>
      </w:r>
      <w:r w:rsidRPr="001F3DFF">
        <w:rPr>
          <w:rFonts w:cs="FrankRuehl"/>
          <w:b/>
          <w:bCs/>
          <w:spacing w:val="40"/>
          <w:sz w:val="20"/>
          <w:szCs w:val="22"/>
          <w:rtl/>
        </w:rPr>
        <w:t>-</w:t>
      </w:r>
      <w:r w:rsidRPr="001841D0">
        <w:rPr>
          <w:rFonts w:cs="FrankRuehl"/>
          <w:b/>
          <w:bCs/>
          <w:sz w:val="20"/>
          <w:szCs w:val="22"/>
          <w:rtl/>
        </w:rPr>
        <w:t>ה</w:t>
      </w:r>
      <w:r w:rsidRPr="001F3DFF">
        <w:rPr>
          <w:rFonts w:cs="FrankRuehl"/>
          <w:b/>
          <w:bCs/>
          <w:spacing w:val="40"/>
          <w:sz w:val="20"/>
          <w:szCs w:val="22"/>
          <w:rtl/>
        </w:rPr>
        <w:t xml:space="preserve">כרת </w:t>
      </w:r>
      <w:r w:rsidRPr="001F3DFF">
        <w:rPr>
          <w:rFonts w:cs="FrankRuehl" w:hint="eastAsia"/>
          <w:b/>
          <w:bCs/>
          <w:spacing w:val="40"/>
          <w:sz w:val="20"/>
          <w:szCs w:val="22"/>
          <w:rtl/>
        </w:rPr>
        <w:t>הוראות</w:t>
      </w:r>
      <w:r w:rsidRPr="001F3DFF">
        <w:rPr>
          <w:rFonts w:cs="FrankRuehl"/>
          <w:b/>
          <w:bCs/>
          <w:spacing w:val="40"/>
          <w:sz w:val="20"/>
          <w:szCs w:val="22"/>
          <w:rtl/>
        </w:rPr>
        <w:t xml:space="preserve"> </w:t>
      </w:r>
      <w:r w:rsidRPr="001F3DFF">
        <w:rPr>
          <w:rFonts w:cs="FrankRuehl" w:hint="eastAsia"/>
          <w:b/>
          <w:bCs/>
          <w:spacing w:val="40"/>
          <w:sz w:val="20"/>
          <w:szCs w:val="22"/>
          <w:rtl/>
        </w:rPr>
        <w:t>החוק</w:t>
      </w:r>
      <w:r w:rsidRPr="001F3DFF">
        <w:rPr>
          <w:rFonts w:cs="FrankRuehl"/>
          <w:b/>
          <w:bCs/>
          <w:spacing w:val="40"/>
          <w:sz w:val="20"/>
          <w:szCs w:val="22"/>
          <w:rtl/>
        </w:rPr>
        <w:t xml:space="preserve">: </w:t>
      </w:r>
      <w:r w:rsidRPr="001F3DFF">
        <w:rPr>
          <w:rFonts w:cs="FrankRuehl" w:hint="eastAsia"/>
          <w:sz w:val="20"/>
          <w:szCs w:val="22"/>
          <w:rtl/>
        </w:rPr>
        <w:t>בדוח</w:t>
      </w:r>
      <w:r w:rsidRPr="001F3DFF">
        <w:rPr>
          <w:rFonts w:cs="FrankRuehl"/>
          <w:sz w:val="20"/>
          <w:szCs w:val="22"/>
          <w:rtl/>
        </w:rPr>
        <w:t xml:space="preserve"> הקודם נמצא כי אין כל דרישת סף </w:t>
      </w:r>
      <w:r w:rsidRPr="001F3DFF">
        <w:rPr>
          <w:rFonts w:cs="FrankRuehl"/>
          <w:sz w:val="20"/>
          <w:szCs w:val="22"/>
          <w:rtl/>
        </w:rPr>
        <w:t>מנ</w:t>
      </w:r>
      <w:r w:rsidRPr="001F3DFF">
        <w:rPr>
          <w:rFonts w:cs="FrankRuehl" w:hint="eastAsia"/>
          <w:sz w:val="20"/>
          <w:szCs w:val="22"/>
          <w:rtl/>
        </w:rPr>
        <w:t>ש</w:t>
      </w:r>
      <w:r w:rsidRPr="001F3DFF">
        <w:rPr>
          <w:rFonts w:cs="FrankRuehl"/>
          <w:sz w:val="20"/>
          <w:szCs w:val="22"/>
          <w:rtl/>
        </w:rPr>
        <w:t>"ם</w:t>
      </w:r>
      <w:r w:rsidRPr="001F3DFF">
        <w:rPr>
          <w:rFonts w:cs="FrankRuehl"/>
          <w:sz w:val="20"/>
          <w:szCs w:val="22"/>
          <w:rtl/>
        </w:rPr>
        <w:t xml:space="preserve"> </w:t>
      </w:r>
      <w:r w:rsidRPr="001F3DFF">
        <w:rPr>
          <w:rFonts w:cs="FrankRuehl" w:hint="eastAsia"/>
          <w:sz w:val="20"/>
          <w:szCs w:val="22"/>
          <w:rtl/>
        </w:rPr>
        <w:t>אשר</w:t>
      </w:r>
      <w:r w:rsidRPr="001F3DFF">
        <w:rPr>
          <w:rFonts w:cs="FrankRuehl"/>
          <w:sz w:val="20"/>
          <w:szCs w:val="22"/>
          <w:rtl/>
        </w:rPr>
        <w:t xml:space="preserve"> </w:t>
      </w:r>
      <w:r w:rsidRPr="001F3DFF">
        <w:rPr>
          <w:rFonts w:cs="FrankRuehl" w:hint="eastAsia"/>
          <w:sz w:val="20"/>
          <w:szCs w:val="22"/>
          <w:rtl/>
        </w:rPr>
        <w:t>ל</w:t>
      </w:r>
      <w:r w:rsidRPr="001F3DFF">
        <w:rPr>
          <w:rFonts w:cs="FrankRuehl"/>
          <w:sz w:val="20"/>
          <w:szCs w:val="22"/>
          <w:rtl/>
        </w:rPr>
        <w:t>הכרת חובותי</w:t>
      </w:r>
      <w:r w:rsidRPr="001F3DFF">
        <w:rPr>
          <w:rFonts w:cs="FrankRuehl" w:hint="eastAsia"/>
          <w:sz w:val="20"/>
          <w:szCs w:val="22"/>
          <w:rtl/>
        </w:rPr>
        <w:t>הם</w:t>
      </w:r>
      <w:r w:rsidRPr="001F3DFF">
        <w:rPr>
          <w:rFonts w:cs="FrankRuehl"/>
          <w:sz w:val="20"/>
          <w:szCs w:val="22"/>
          <w:rtl/>
        </w:rPr>
        <w:t xml:space="preserve"> על פי החוק. אי-ידיעת החובות הביאה לעתים להפרת החוק מצד </w:t>
      </w:r>
      <w:r w:rsidRPr="001F3DFF">
        <w:rPr>
          <w:rFonts w:cs="FrankRuehl"/>
          <w:sz w:val="20"/>
          <w:szCs w:val="22"/>
          <w:rtl/>
        </w:rPr>
        <w:t>נ</w:t>
      </w:r>
      <w:r w:rsidRPr="001F3DFF">
        <w:rPr>
          <w:rFonts w:cs="FrankRuehl" w:hint="eastAsia"/>
          <w:sz w:val="20"/>
          <w:szCs w:val="22"/>
          <w:rtl/>
        </w:rPr>
        <w:t>ש</w:t>
      </w:r>
      <w:r w:rsidRPr="001F3DFF">
        <w:rPr>
          <w:rFonts w:cs="FrankRuehl"/>
          <w:sz w:val="20"/>
          <w:szCs w:val="22"/>
          <w:rtl/>
        </w:rPr>
        <w:t>"ם</w:t>
      </w:r>
      <w:r w:rsidRPr="001F3DFF">
        <w:rPr>
          <w:rFonts w:cs="FrankRuehl"/>
          <w:sz w:val="20"/>
          <w:szCs w:val="22"/>
          <w:rtl/>
        </w:rPr>
        <w:t xml:space="preserve">. </w:t>
      </w:r>
    </w:p>
    <w:p w:rsidR="005E5B2C" w:rsidRPr="001F3DFF" w:rsidP="00FB46AA">
      <w:pPr>
        <w:spacing w:after="120"/>
        <w:jc w:val="both"/>
        <w:rPr>
          <w:rFonts w:cs="FrankRuehl"/>
          <w:sz w:val="20"/>
          <w:szCs w:val="22"/>
          <w:rtl/>
        </w:rPr>
      </w:pPr>
      <w:r w:rsidRPr="001F3DFF">
        <w:rPr>
          <w:rFonts w:cs="FrankRuehl" w:hint="cs"/>
          <w:sz w:val="20"/>
          <w:szCs w:val="22"/>
          <w:rtl/>
        </w:rPr>
        <w:t xml:space="preserve">המלצת משרד מבקר המדינה הייתה </w:t>
      </w:r>
      <w:r w:rsidRPr="001F3DFF">
        <w:rPr>
          <w:rFonts w:cs="FrankRuehl"/>
          <w:sz w:val="20"/>
          <w:szCs w:val="22"/>
          <w:rtl/>
        </w:rPr>
        <w:t>שהרשם יפעל לכך שנותני שירותי המטבע יכירו באורח מספק את דרישות החוק כדי שיקפידו לפעול לפיו. לדוגמה</w:t>
      </w:r>
      <w:r w:rsidRPr="001F3DFF">
        <w:rPr>
          <w:rFonts w:cs="FrankRuehl" w:hint="cs"/>
          <w:sz w:val="20"/>
          <w:szCs w:val="22"/>
          <w:rtl/>
        </w:rPr>
        <w:t>,</w:t>
      </w:r>
      <w:r w:rsidRPr="001F3DFF">
        <w:rPr>
          <w:rFonts w:cs="FrankRuehl"/>
          <w:sz w:val="20"/>
          <w:szCs w:val="22"/>
          <w:rtl/>
        </w:rPr>
        <w:t xml:space="preserve"> </w:t>
      </w:r>
      <w:r w:rsidRPr="001F3DFF">
        <w:rPr>
          <w:rFonts w:cs="FrankRuehl" w:hint="cs"/>
          <w:sz w:val="20"/>
          <w:szCs w:val="22"/>
          <w:rtl/>
        </w:rPr>
        <w:t xml:space="preserve">היה על היחידה </w:t>
      </w:r>
      <w:r w:rsidRPr="001F3DFF">
        <w:rPr>
          <w:rFonts w:cs="FrankRuehl"/>
          <w:sz w:val="20"/>
          <w:szCs w:val="22"/>
          <w:rtl/>
        </w:rPr>
        <w:t>לבחון אם להציב תנאי סף נוספים שעל נותני השירות לעמוד בהם, לפחות בכל הנוגע לידיעת חובותיהם על פי החוק</w:t>
      </w:r>
      <w:r w:rsidRPr="001F3DFF">
        <w:rPr>
          <w:rFonts w:cs="FrankRuehl" w:hint="cs"/>
          <w:sz w:val="20"/>
          <w:szCs w:val="22"/>
          <w:rtl/>
        </w:rPr>
        <w:t>,</w:t>
      </w:r>
      <w:r w:rsidRPr="001F3DFF">
        <w:rPr>
          <w:rFonts w:cs="FrankRuehl"/>
          <w:sz w:val="20"/>
          <w:szCs w:val="22"/>
          <w:rtl/>
        </w:rPr>
        <w:t xml:space="preserve"> כדי </w:t>
      </w:r>
      <w:r w:rsidRPr="001F3DFF">
        <w:rPr>
          <w:rFonts w:cs="FrankRuehl" w:hint="cs"/>
          <w:sz w:val="20"/>
          <w:szCs w:val="22"/>
          <w:rtl/>
        </w:rPr>
        <w:t>לקדם</w:t>
      </w:r>
      <w:r w:rsidRPr="001F3DFF">
        <w:rPr>
          <w:rFonts w:cs="FrankRuehl"/>
          <w:sz w:val="20"/>
          <w:szCs w:val="22"/>
          <w:rtl/>
        </w:rPr>
        <w:t xml:space="preserve"> </w:t>
      </w:r>
      <w:r w:rsidRPr="001F3DFF">
        <w:rPr>
          <w:rFonts w:cs="FrankRuehl" w:hint="cs"/>
          <w:sz w:val="20"/>
          <w:szCs w:val="22"/>
          <w:rtl/>
        </w:rPr>
        <w:t xml:space="preserve">את </w:t>
      </w:r>
      <w:r w:rsidRPr="001F3DFF">
        <w:rPr>
          <w:rFonts w:cs="FrankRuehl"/>
          <w:sz w:val="20"/>
          <w:szCs w:val="22"/>
          <w:rtl/>
        </w:rPr>
        <w:t>מילוי הוראות החוק. כמו כן</w:t>
      </w:r>
      <w:r w:rsidRPr="001F3DFF">
        <w:rPr>
          <w:rFonts w:cs="FrankRuehl" w:hint="cs"/>
          <w:sz w:val="20"/>
          <w:szCs w:val="22"/>
          <w:rtl/>
        </w:rPr>
        <w:t>,</w:t>
      </w:r>
      <w:r w:rsidRPr="001F3DFF">
        <w:rPr>
          <w:rFonts w:cs="FrankRuehl"/>
          <w:sz w:val="20"/>
          <w:szCs w:val="22"/>
          <w:rtl/>
        </w:rPr>
        <w:t xml:space="preserve"> </w:t>
      </w:r>
      <w:r w:rsidRPr="001F3DFF">
        <w:rPr>
          <w:rFonts w:cs="FrankRuehl" w:hint="cs"/>
          <w:sz w:val="20"/>
          <w:szCs w:val="22"/>
          <w:rtl/>
        </w:rPr>
        <w:t>היה על היחידה</w:t>
      </w:r>
      <w:r w:rsidRPr="001F3DFF">
        <w:rPr>
          <w:rFonts w:cs="FrankRuehl"/>
          <w:sz w:val="20"/>
          <w:szCs w:val="22"/>
          <w:rtl/>
        </w:rPr>
        <w:t xml:space="preserve"> לשקול אם לחייב </w:t>
      </w:r>
      <w:r w:rsidRPr="001F3DFF">
        <w:rPr>
          <w:rFonts w:cs="FrankRuehl"/>
          <w:sz w:val="20"/>
          <w:szCs w:val="22"/>
          <w:rtl/>
        </w:rPr>
        <w:t>נ</w:t>
      </w:r>
      <w:r w:rsidRPr="001F3DFF">
        <w:rPr>
          <w:rFonts w:cs="FrankRuehl" w:hint="cs"/>
          <w:sz w:val="20"/>
          <w:szCs w:val="22"/>
          <w:rtl/>
        </w:rPr>
        <w:t>ש"ם</w:t>
      </w:r>
      <w:r w:rsidRPr="001F3DFF">
        <w:rPr>
          <w:rFonts w:cs="FrankRuehl"/>
          <w:sz w:val="20"/>
          <w:szCs w:val="22"/>
          <w:rtl/>
        </w:rPr>
        <w:t xml:space="preserve"> </w:t>
      </w:r>
      <w:r w:rsidRPr="001F3DFF">
        <w:rPr>
          <w:rFonts w:cs="FrankRuehl" w:hint="cs"/>
          <w:sz w:val="20"/>
          <w:szCs w:val="22"/>
          <w:rtl/>
        </w:rPr>
        <w:t xml:space="preserve">להשתתף </w:t>
      </w:r>
      <w:r w:rsidRPr="001F3DFF">
        <w:rPr>
          <w:rFonts w:cs="FrankRuehl"/>
          <w:sz w:val="20"/>
          <w:szCs w:val="22"/>
          <w:rtl/>
        </w:rPr>
        <w:t>בפעולות ההדרכה ש</w:t>
      </w:r>
      <w:r w:rsidRPr="001F3DFF">
        <w:rPr>
          <w:rFonts w:cs="FrankRuehl" w:hint="cs"/>
          <w:sz w:val="20"/>
          <w:szCs w:val="22"/>
          <w:rtl/>
        </w:rPr>
        <w:t xml:space="preserve">היא </w:t>
      </w:r>
      <w:r w:rsidRPr="001F3DFF">
        <w:rPr>
          <w:rFonts w:cs="FrankRuehl"/>
          <w:sz w:val="20"/>
          <w:szCs w:val="22"/>
          <w:rtl/>
        </w:rPr>
        <w:t>מקיימת מפעם לפעם</w:t>
      </w:r>
      <w:r w:rsidRPr="001F3DFF">
        <w:rPr>
          <w:rFonts w:cs="FrankRuehl" w:hint="cs"/>
          <w:sz w:val="20"/>
          <w:szCs w:val="22"/>
          <w:rtl/>
        </w:rPr>
        <w:t>.</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בבדיקה שעשה ארגון </w:t>
      </w:r>
      <w:r w:rsidRPr="001F3DFF">
        <w:rPr>
          <w:rFonts w:cs="FrankRuehl" w:hint="cs"/>
          <w:sz w:val="20"/>
          <w:szCs w:val="22"/>
          <w:rtl/>
        </w:rPr>
        <w:t>המאניבל</w:t>
      </w:r>
      <w:r w:rsidRPr="001F3DFF">
        <w:rPr>
          <w:rFonts w:cs="FrankRuehl" w:hint="cs"/>
          <w:sz w:val="20"/>
          <w:szCs w:val="22"/>
          <w:rtl/>
        </w:rPr>
        <w:t xml:space="preserve"> בישראל בשנת 2013 נמצא כי </w:t>
      </w:r>
      <w:r w:rsidRPr="001F3DFF">
        <w:rPr>
          <w:rFonts w:cs="FrankRuehl" w:hint="cs"/>
          <w:sz w:val="20"/>
          <w:szCs w:val="22"/>
          <w:rtl/>
        </w:rPr>
        <w:t>נש"ם</w:t>
      </w:r>
      <w:r w:rsidRPr="001F3DFF">
        <w:rPr>
          <w:rFonts w:cs="FrankRuehl" w:hint="cs"/>
          <w:sz w:val="20"/>
          <w:szCs w:val="22"/>
          <w:rtl/>
        </w:rPr>
        <w:t xml:space="preserve"> רבים הפגינו חוסר ידע בנוגע לדרישות החלות עליהם על פי חוק איסור הלבנת הון, לרבות המסמכים והמידע על לקוחות שעליהם לשמור. הארגון המליץ להגביר את ההדרכות בקרב </w:t>
      </w:r>
      <w:r w:rsidRPr="001F3DFF">
        <w:rPr>
          <w:rFonts w:cs="FrankRuehl" w:hint="cs"/>
          <w:sz w:val="20"/>
          <w:szCs w:val="22"/>
          <w:rtl/>
        </w:rPr>
        <w:t>נש"ם</w:t>
      </w:r>
      <w:r>
        <w:rPr>
          <w:rStyle w:val="FootnoteReference0"/>
          <w:rFonts w:cs="FrankRuehl"/>
          <w:sz w:val="20"/>
          <w:szCs w:val="22"/>
          <w:rtl/>
        </w:rPr>
        <w:footnoteReference w:id="79"/>
      </w:r>
      <w:r w:rsidRPr="001F3DFF">
        <w:rPr>
          <w:rFonts w:cs="FrankRuehl" w:hint="cs"/>
          <w:sz w:val="20"/>
          <w:szCs w:val="22"/>
          <w:rtl/>
        </w:rPr>
        <w:t xml:space="preserve">. </w:t>
      </w:r>
    </w:p>
    <w:p w:rsidR="005E5B2C" w:rsidRPr="001F3DFF" w:rsidP="00FB46AA">
      <w:pPr>
        <w:spacing w:after="120" w:line="230" w:lineRule="exact"/>
        <w:jc w:val="both"/>
        <w:rPr>
          <w:rFonts w:cs="FrankRuehl"/>
          <w:sz w:val="20"/>
          <w:szCs w:val="22"/>
          <w:rtl/>
        </w:rPr>
      </w:pPr>
      <w:r w:rsidRPr="001F3DFF">
        <w:rPr>
          <w:rFonts w:cs="FrankRuehl" w:hint="cs"/>
          <w:sz w:val="20"/>
          <w:szCs w:val="22"/>
          <w:rtl/>
        </w:rPr>
        <w:t>היחידה מסרה למשרד מבקר המדינה ביוני 2014 כי אחת לרבעון היא מקיימת</w:t>
      </w:r>
      <w:r w:rsidRPr="001F3DFF">
        <w:rPr>
          <w:rFonts w:cs="FrankRuehl"/>
          <w:sz w:val="20"/>
          <w:szCs w:val="22"/>
          <w:rtl/>
        </w:rPr>
        <w:t xml:space="preserve"> הדרכות </w:t>
      </w:r>
      <w:r w:rsidRPr="001F3DFF">
        <w:rPr>
          <w:rFonts w:cs="FrankRuehl"/>
          <w:sz w:val="20"/>
          <w:szCs w:val="22"/>
          <w:rtl/>
        </w:rPr>
        <w:t>ל</w:t>
      </w:r>
      <w:r w:rsidRPr="001F3DFF">
        <w:rPr>
          <w:rFonts w:cs="FrankRuehl" w:hint="cs"/>
          <w:sz w:val="20"/>
          <w:szCs w:val="22"/>
          <w:rtl/>
        </w:rPr>
        <w:t>נש"ם</w:t>
      </w:r>
      <w:r w:rsidRPr="001F3DFF">
        <w:rPr>
          <w:rFonts w:cs="FrankRuehl"/>
          <w:sz w:val="20"/>
          <w:szCs w:val="22"/>
          <w:rtl/>
        </w:rPr>
        <w:t xml:space="preserve"> בדבר הוראות הדין החלות עליהם, בשיתוף פעולה עם הרשות לאיסור הלבנת הון. </w:t>
      </w:r>
      <w:r w:rsidRPr="001F3DFF">
        <w:rPr>
          <w:rFonts w:cs="FrankRuehl" w:hint="cs"/>
          <w:sz w:val="20"/>
          <w:szCs w:val="22"/>
          <w:rtl/>
        </w:rPr>
        <w:t xml:space="preserve">עוד צוין כי </w:t>
      </w:r>
      <w:r w:rsidRPr="001F3DFF">
        <w:rPr>
          <w:rFonts w:cs="FrankRuehl"/>
          <w:sz w:val="20"/>
          <w:szCs w:val="22"/>
          <w:rtl/>
        </w:rPr>
        <w:t xml:space="preserve">בתחילת כל שנה היחידה שולחת </w:t>
      </w:r>
      <w:r w:rsidRPr="001F3DFF">
        <w:rPr>
          <w:rFonts w:cs="FrankRuehl"/>
          <w:sz w:val="20"/>
          <w:szCs w:val="22"/>
          <w:rtl/>
        </w:rPr>
        <w:t>לנ</w:t>
      </w:r>
      <w:r w:rsidRPr="001F3DFF">
        <w:rPr>
          <w:rFonts w:cs="FrankRuehl" w:hint="cs"/>
          <w:sz w:val="20"/>
          <w:szCs w:val="22"/>
          <w:rtl/>
        </w:rPr>
        <w:t>ש"ם</w:t>
      </w:r>
      <w:r w:rsidRPr="001F3DFF">
        <w:rPr>
          <w:rFonts w:cs="FrankRuehl"/>
          <w:sz w:val="20"/>
          <w:szCs w:val="22"/>
          <w:rtl/>
        </w:rPr>
        <w:t xml:space="preserve"> חוברת הסבר המפרטת את הוראות הדין לעניין חובותיהם וזכויותיהם</w:t>
      </w:r>
      <w:r w:rsidRPr="001F3DFF">
        <w:rPr>
          <w:rFonts w:cs="FrankRuehl" w:hint="cs"/>
          <w:sz w:val="20"/>
          <w:szCs w:val="22"/>
          <w:rtl/>
        </w:rPr>
        <w:t>,</w:t>
      </w:r>
      <w:r w:rsidRPr="001F3DFF">
        <w:rPr>
          <w:rFonts w:cs="FrankRuehl"/>
          <w:sz w:val="20"/>
          <w:szCs w:val="22"/>
          <w:rtl/>
        </w:rPr>
        <w:t xml:space="preserve"> חוברת </w:t>
      </w:r>
      <w:r w:rsidRPr="001F3DFF">
        <w:rPr>
          <w:rFonts w:cs="FrankRuehl" w:hint="cs"/>
          <w:sz w:val="20"/>
          <w:szCs w:val="22"/>
          <w:rtl/>
        </w:rPr>
        <w:t>ה</w:t>
      </w:r>
      <w:r w:rsidRPr="001F3DFF">
        <w:rPr>
          <w:rFonts w:cs="FrankRuehl"/>
          <w:sz w:val="20"/>
          <w:szCs w:val="22"/>
          <w:rtl/>
        </w:rPr>
        <w:t>מפורסמת גם באתר האינטרנט של אגף שוק ההון.</w:t>
      </w:r>
    </w:p>
    <w:p w:rsidR="005E5B2C" w:rsidRPr="001F3DFF" w:rsidP="00FB46AA">
      <w:pPr>
        <w:spacing w:after="240" w:line="230" w:lineRule="exact"/>
        <w:jc w:val="both"/>
        <w:rPr>
          <w:rFonts w:cs="FrankRuehl"/>
          <w:sz w:val="20"/>
          <w:szCs w:val="22"/>
          <w:rtl/>
        </w:rPr>
      </w:pPr>
      <w:r w:rsidRPr="001F3DFF">
        <w:rPr>
          <w:rFonts w:cs="FrankRuehl" w:hint="cs"/>
          <w:sz w:val="20"/>
          <w:szCs w:val="22"/>
          <w:rtl/>
        </w:rPr>
        <w:t>משרד האוצר מסר בתשובתו כי חוברת המפרטת את חובות וזכויות נותן שירותי המטבע</w:t>
      </w:r>
      <w:r w:rsidRPr="001F3DFF">
        <w:rPr>
          <w:rFonts w:cs="FrankRuehl" w:hint="cs"/>
          <w:sz w:val="20"/>
          <w:szCs w:val="22"/>
          <w:rtl/>
        </w:rPr>
        <w:t xml:space="preserve"> </w:t>
      </w:r>
      <w:r w:rsidRPr="001F3DFF">
        <w:rPr>
          <w:rFonts w:cs="FrankRuehl" w:hint="cs"/>
          <w:sz w:val="20"/>
          <w:szCs w:val="22"/>
          <w:rtl/>
        </w:rPr>
        <w:t xml:space="preserve">מופצת בכל שנה בעת חידוש האישור או התעודה ובכל רישום חדש. עוד נמסר כי היחידה הגדילה את מספר ההדרכות </w:t>
      </w:r>
      <w:r w:rsidRPr="001F3DFF">
        <w:rPr>
          <w:rFonts w:cs="FrankRuehl" w:hint="cs"/>
          <w:sz w:val="20"/>
          <w:szCs w:val="22"/>
          <w:rtl/>
        </w:rPr>
        <w:t>לנש"ם</w:t>
      </w:r>
      <w:r w:rsidRPr="001F3DFF">
        <w:rPr>
          <w:rFonts w:cs="FrankRuehl" w:hint="cs"/>
          <w:sz w:val="20"/>
          <w:szCs w:val="22"/>
          <w:rtl/>
        </w:rPr>
        <w:t>, ובשנת 2015 מתוכננות שתי הדרכות בחודש לכ-100 איש בכנס.</w:t>
      </w:r>
    </w:p>
    <w:p w:rsidR="005E5B2C" w:rsidRPr="001F3DFF" w:rsidP="00FB46AA">
      <w:pPr>
        <w:pStyle w:val="RESHET"/>
        <w:rPr>
          <w:rtl/>
        </w:rPr>
      </w:pPr>
      <w:r w:rsidRPr="001F3DFF">
        <w:rPr>
          <w:rFonts w:hint="cs"/>
          <w:rtl/>
        </w:rPr>
        <w:t xml:space="preserve">נמצא כי על אף ההדרכות שמקיימת היחידה, </w:t>
      </w:r>
      <w:r w:rsidRPr="001F3DFF">
        <w:rPr>
          <w:rFonts w:hint="cs"/>
          <w:rtl/>
        </w:rPr>
        <w:t>נש"ם</w:t>
      </w:r>
      <w:r w:rsidRPr="001F3DFF">
        <w:rPr>
          <w:rFonts w:hint="cs"/>
          <w:rtl/>
        </w:rPr>
        <w:t xml:space="preserve"> רבים עדיין אינם מכירים באורח מספק את דרישות החוק החלות עליהם. </w:t>
      </w:r>
    </w:p>
    <w:p w:rsidR="005E5B2C" w:rsidRPr="001F3DFF" w:rsidP="00FB46AA">
      <w:pPr>
        <w:spacing w:before="180" w:after="120" w:line="230" w:lineRule="exact"/>
        <w:jc w:val="both"/>
        <w:rPr>
          <w:rFonts w:cs="FrankRuehl"/>
          <w:sz w:val="20"/>
          <w:szCs w:val="22"/>
          <w:rtl/>
        </w:rPr>
      </w:pPr>
      <w:r w:rsidRPr="001F3DFF">
        <w:rPr>
          <w:rFonts w:cs="FrankRuehl" w:hint="eastAsia"/>
          <w:b/>
          <w:bCs/>
          <w:spacing w:val="40"/>
          <w:sz w:val="20"/>
          <w:szCs w:val="22"/>
          <w:rtl/>
        </w:rPr>
        <w:t>שימוש</w:t>
      </w:r>
      <w:r w:rsidRPr="001F3DFF">
        <w:rPr>
          <w:rFonts w:cs="FrankRuehl"/>
          <w:b/>
          <w:bCs/>
          <w:spacing w:val="40"/>
          <w:sz w:val="20"/>
          <w:szCs w:val="22"/>
          <w:rtl/>
        </w:rPr>
        <w:t xml:space="preserve"> </w:t>
      </w:r>
      <w:r w:rsidRPr="001F3DFF">
        <w:rPr>
          <w:rFonts w:cs="FrankRuehl" w:hint="eastAsia"/>
          <w:b/>
          <w:bCs/>
          <w:spacing w:val="40"/>
          <w:sz w:val="20"/>
          <w:szCs w:val="22"/>
          <w:rtl/>
        </w:rPr>
        <w:t>מטעה</w:t>
      </w:r>
      <w:r w:rsidRPr="001F3DFF">
        <w:rPr>
          <w:rFonts w:cs="FrankRuehl"/>
          <w:b/>
          <w:bCs/>
          <w:spacing w:val="40"/>
          <w:sz w:val="20"/>
          <w:szCs w:val="22"/>
          <w:rtl/>
        </w:rPr>
        <w:t xml:space="preserve"> </w:t>
      </w:r>
      <w:r w:rsidRPr="001F3DFF">
        <w:rPr>
          <w:rFonts w:cs="FrankRuehl" w:hint="eastAsia"/>
          <w:b/>
          <w:bCs/>
          <w:spacing w:val="40"/>
          <w:sz w:val="20"/>
          <w:szCs w:val="22"/>
          <w:rtl/>
        </w:rPr>
        <w:t>בתעודת</w:t>
      </w:r>
      <w:r w:rsidRPr="001F3DFF">
        <w:rPr>
          <w:rFonts w:cs="FrankRuehl"/>
          <w:b/>
          <w:bCs/>
          <w:spacing w:val="40"/>
          <w:sz w:val="20"/>
          <w:szCs w:val="22"/>
          <w:rtl/>
        </w:rPr>
        <w:t xml:space="preserve"> </w:t>
      </w:r>
      <w:r w:rsidRPr="001F3DFF">
        <w:rPr>
          <w:rFonts w:cs="FrankRuehl" w:hint="eastAsia"/>
          <w:b/>
          <w:bCs/>
          <w:spacing w:val="40"/>
          <w:sz w:val="20"/>
          <w:szCs w:val="22"/>
          <w:rtl/>
        </w:rPr>
        <w:t>הרישום</w:t>
      </w:r>
      <w:r w:rsidRPr="001F3DFF">
        <w:rPr>
          <w:rFonts w:cs="FrankRuehl" w:hint="cs"/>
          <w:b/>
          <w:bCs/>
          <w:spacing w:val="40"/>
          <w:sz w:val="20"/>
          <w:szCs w:val="22"/>
          <w:rtl/>
        </w:rPr>
        <w:t xml:space="preserve">: </w:t>
      </w:r>
      <w:r w:rsidRPr="001F3DFF">
        <w:rPr>
          <w:rFonts w:cs="FrankRuehl" w:hint="cs"/>
          <w:sz w:val="20"/>
          <w:szCs w:val="22"/>
          <w:rtl/>
        </w:rPr>
        <w:t xml:space="preserve">בדוח הקודם נמצא כי </w:t>
      </w:r>
      <w:r w:rsidRPr="001F3DFF">
        <w:rPr>
          <w:rFonts w:cs="FrankRuehl" w:hint="cs"/>
          <w:sz w:val="20"/>
          <w:szCs w:val="22"/>
          <w:rtl/>
        </w:rPr>
        <w:t>נש"ם</w:t>
      </w:r>
      <w:r w:rsidRPr="001F3DFF">
        <w:rPr>
          <w:rFonts w:cs="FrankRuehl" w:hint="cs"/>
          <w:sz w:val="20"/>
          <w:szCs w:val="22"/>
          <w:rtl/>
        </w:rPr>
        <w:t xml:space="preserve"> שנרשמו כחוק מקבלים ממשרד האוצר תעודה הנדמית בעיני המתבונן כ"תעודת כשרות". הם מרבים לפרסם כי הם פועלים "באישור משרד האוצר", אף שייתכן שהם מבצעים פעולות נוספות שאינן נתונות כלל לפיקוח ועשויות אף להגיע לכדי עבירה פלילית.</w:t>
      </w:r>
    </w:p>
    <w:p w:rsidR="005E5B2C" w:rsidRPr="001F3DFF" w:rsidP="00FB46AA">
      <w:pPr>
        <w:spacing w:after="240" w:line="230" w:lineRule="exact"/>
        <w:jc w:val="both"/>
        <w:rPr>
          <w:rFonts w:cs="FrankRuehl"/>
          <w:sz w:val="20"/>
          <w:szCs w:val="22"/>
        </w:rPr>
      </w:pPr>
      <w:r w:rsidRPr="001F3DFF">
        <w:rPr>
          <w:rFonts w:cs="FrankRuehl" w:hint="cs"/>
          <w:sz w:val="20"/>
          <w:szCs w:val="22"/>
          <w:rtl/>
        </w:rPr>
        <w:t xml:space="preserve">המלצת מבקר המדינה הייתה כי </w:t>
      </w:r>
      <w:r w:rsidRPr="001F3DFF">
        <w:rPr>
          <w:rFonts w:cs="FrankRuehl"/>
          <w:sz w:val="20"/>
          <w:szCs w:val="22"/>
          <w:rtl/>
        </w:rPr>
        <w:t xml:space="preserve">הרשם </w:t>
      </w:r>
      <w:r w:rsidRPr="001F3DFF">
        <w:rPr>
          <w:rFonts w:cs="FrankRuehl" w:hint="cs"/>
          <w:sz w:val="20"/>
          <w:szCs w:val="22"/>
          <w:rtl/>
        </w:rPr>
        <w:t>י</w:t>
      </w:r>
      <w:r w:rsidRPr="001F3DFF">
        <w:rPr>
          <w:rFonts w:cs="FrankRuehl"/>
          <w:sz w:val="20"/>
          <w:szCs w:val="22"/>
          <w:rtl/>
        </w:rPr>
        <w:t>שקול לפעול לא</w:t>
      </w:r>
      <w:r w:rsidRPr="001F3DFF">
        <w:rPr>
          <w:rFonts w:cs="FrankRuehl" w:hint="cs"/>
          <w:sz w:val="20"/>
          <w:szCs w:val="22"/>
          <w:rtl/>
        </w:rPr>
        <w:t>י</w:t>
      </w:r>
      <w:r w:rsidRPr="001F3DFF">
        <w:rPr>
          <w:rFonts w:cs="FrankRuehl"/>
          <w:sz w:val="20"/>
          <w:szCs w:val="22"/>
          <w:rtl/>
        </w:rPr>
        <w:t xml:space="preserve">סור השימוש בתעודה באופן העלול להטעות לקוחות פוטנציאליים, ובתוך כך </w:t>
      </w:r>
      <w:r w:rsidRPr="001F3DFF">
        <w:rPr>
          <w:rFonts w:cs="FrankRuehl" w:hint="cs"/>
          <w:sz w:val="20"/>
          <w:szCs w:val="22"/>
          <w:rtl/>
        </w:rPr>
        <w:t>י</w:t>
      </w:r>
      <w:r w:rsidRPr="001F3DFF">
        <w:rPr>
          <w:rFonts w:cs="FrankRuehl"/>
          <w:sz w:val="20"/>
          <w:szCs w:val="22"/>
          <w:rtl/>
        </w:rPr>
        <w:t xml:space="preserve">שקול </w:t>
      </w:r>
      <w:r w:rsidRPr="001F3DFF">
        <w:rPr>
          <w:rFonts w:cs="FrankRuehl" w:hint="cs"/>
          <w:sz w:val="20"/>
          <w:szCs w:val="22"/>
          <w:rtl/>
        </w:rPr>
        <w:t xml:space="preserve">אפשרות </w:t>
      </w:r>
      <w:r w:rsidRPr="001F3DFF">
        <w:rPr>
          <w:rFonts w:cs="FrankRuehl"/>
          <w:sz w:val="20"/>
          <w:szCs w:val="22"/>
          <w:rtl/>
        </w:rPr>
        <w:t>לציין בתעודה מפורש</w:t>
      </w:r>
      <w:r w:rsidRPr="001F3DFF">
        <w:rPr>
          <w:rFonts w:cs="FrankRuehl" w:hint="cs"/>
          <w:sz w:val="20"/>
          <w:szCs w:val="22"/>
          <w:rtl/>
        </w:rPr>
        <w:t>ו</w:t>
      </w:r>
      <w:r w:rsidRPr="001F3DFF">
        <w:rPr>
          <w:rFonts w:cs="FrankRuehl"/>
          <w:sz w:val="20"/>
          <w:szCs w:val="22"/>
          <w:rtl/>
        </w:rPr>
        <w:t>ת כי אינה מאשרת פעולות שאינן בגדר נתינת שירותי מטבע.</w:t>
      </w:r>
    </w:p>
    <w:p w:rsidR="005E5B2C" w:rsidRPr="001F3DFF" w:rsidP="00FB46AA">
      <w:pPr>
        <w:pStyle w:val="RESHET"/>
        <w:rPr>
          <w:rtl/>
        </w:rPr>
      </w:pPr>
      <w:r w:rsidRPr="001F3DFF">
        <w:rPr>
          <w:rFonts w:hint="cs"/>
          <w:rtl/>
        </w:rPr>
        <w:t xml:space="preserve">נמצא כי הליקוי לא תוקן. כאמור לעיל, </w:t>
      </w:r>
      <w:r w:rsidRPr="001F3DFF">
        <w:rPr>
          <w:rFonts w:hint="cs"/>
          <w:rtl/>
        </w:rPr>
        <w:t>נש"ם</w:t>
      </w:r>
      <w:r w:rsidRPr="001F3DFF">
        <w:rPr>
          <w:rFonts w:hint="cs"/>
          <w:rtl/>
        </w:rPr>
        <w:t xml:space="preserve"> רבים מפרסמים מתן הלוואות ולצד הצעת ההלוואה מוסיפים את הביטויים "ברישיון משרד האוצר" או "באישור משרד האוצר", בדרך שעלול לה</w:t>
      </w:r>
      <w:r w:rsidRPr="001F3DFF">
        <w:rPr>
          <w:rtl/>
        </w:rPr>
        <w:t xml:space="preserve">שתמע </w:t>
      </w:r>
      <w:r w:rsidRPr="001F3DFF">
        <w:rPr>
          <w:rFonts w:hint="cs"/>
          <w:rtl/>
        </w:rPr>
        <w:t xml:space="preserve">ממנה </w:t>
      </w:r>
      <w:r w:rsidRPr="001F3DFF">
        <w:rPr>
          <w:rtl/>
        </w:rPr>
        <w:t>כי</w:t>
      </w:r>
      <w:r w:rsidRPr="001F3DFF">
        <w:rPr>
          <w:rFonts w:hint="cs"/>
          <w:rtl/>
        </w:rPr>
        <w:t xml:space="preserve"> המשרד מפקח על תהליך</w:t>
      </w:r>
      <w:r w:rsidRPr="001F3DFF">
        <w:rPr>
          <w:rtl/>
        </w:rPr>
        <w:t xml:space="preserve"> מתן ההלוואות</w:t>
      </w:r>
      <w:r w:rsidRPr="001F3DFF">
        <w:rPr>
          <w:rFonts w:hint="cs"/>
          <w:rtl/>
        </w:rPr>
        <w:t>.</w:t>
      </w:r>
    </w:p>
    <w:p w:rsidR="005E5B2C" w:rsidRPr="001F3DFF" w:rsidP="00FB46AA">
      <w:pPr>
        <w:spacing w:before="180" w:after="120" w:line="230" w:lineRule="exact"/>
        <w:jc w:val="both"/>
        <w:rPr>
          <w:rFonts w:cs="FrankRuehl"/>
          <w:sz w:val="20"/>
          <w:szCs w:val="22"/>
          <w:rtl/>
        </w:rPr>
      </w:pPr>
      <w:r w:rsidRPr="001F3DFF">
        <w:rPr>
          <w:rFonts w:cs="FrankRuehl" w:hint="cs"/>
          <w:sz w:val="20"/>
          <w:szCs w:val="22"/>
          <w:rtl/>
        </w:rPr>
        <w:t>היחידה מסרה למשרד מבקר המדינה ביוני 2014 כי "</w:t>
      </w:r>
      <w:r w:rsidRPr="001F3DFF">
        <w:rPr>
          <w:rFonts w:cs="FrankRuehl"/>
          <w:sz w:val="20"/>
          <w:szCs w:val="22"/>
          <w:rtl/>
        </w:rPr>
        <w:t>בתעודת הרישום מפורטים תחומי העיסוק המותרים לנותני שירותי מטבע</w:t>
      </w:r>
      <w:r w:rsidRPr="001F3DFF">
        <w:rPr>
          <w:rFonts w:cs="FrankRuehl" w:hint="cs"/>
          <w:sz w:val="20"/>
          <w:szCs w:val="22"/>
          <w:rtl/>
        </w:rPr>
        <w:t>.</w:t>
      </w:r>
      <w:r w:rsidRPr="001F3DFF">
        <w:rPr>
          <w:rFonts w:cs="FrankRuehl"/>
          <w:sz w:val="20"/>
          <w:szCs w:val="22"/>
          <w:rtl/>
        </w:rPr>
        <w:t xml:space="preserve"> לפיכך, ללקוח מוצגת באופן ברור רשימת הפעולות שהינן בגדר נתינת שירותי מטבע. מובן מאליו, כי כל מה שאינו מופיע ברשימת פעולות אלו, לא נכלל בה. עוד ברור כי רשימת הפעולות שאינן נכללות בתעודה מהוו</w:t>
      </w:r>
      <w:r w:rsidRPr="001F3DFF">
        <w:rPr>
          <w:rFonts w:cs="FrankRuehl" w:hint="cs"/>
          <w:sz w:val="20"/>
          <w:szCs w:val="22"/>
          <w:rtl/>
        </w:rPr>
        <w:t>ה</w:t>
      </w:r>
      <w:r w:rsidRPr="001F3DFF">
        <w:rPr>
          <w:rFonts w:cs="FrankRuehl"/>
          <w:sz w:val="20"/>
          <w:szCs w:val="22"/>
          <w:rtl/>
        </w:rPr>
        <w:t xml:space="preserve"> רשימה אינסופית</w:t>
      </w:r>
      <w:r w:rsidRPr="001F3DFF">
        <w:rPr>
          <w:rFonts w:cs="FrankRuehl" w:hint="cs"/>
          <w:sz w:val="20"/>
          <w:szCs w:val="22"/>
          <w:rtl/>
        </w:rPr>
        <w:t>"</w:t>
      </w:r>
      <w:r w:rsidRPr="001F3DFF">
        <w:rPr>
          <w:rFonts w:cs="FrankRuehl"/>
          <w:sz w:val="20"/>
          <w:szCs w:val="22"/>
          <w:rtl/>
        </w:rPr>
        <w:t>.</w:t>
      </w:r>
    </w:p>
    <w:p w:rsidR="005E5B2C" w:rsidRPr="001F3DFF" w:rsidP="00FB46AA">
      <w:pPr>
        <w:spacing w:after="240" w:line="230" w:lineRule="exact"/>
        <w:jc w:val="both"/>
        <w:rPr>
          <w:rFonts w:cs="FrankRuehl"/>
          <w:sz w:val="20"/>
          <w:szCs w:val="22"/>
          <w:rtl/>
        </w:rPr>
      </w:pPr>
      <w:r w:rsidRPr="001F3DFF">
        <w:rPr>
          <w:rFonts w:cs="FrankRuehl" w:hint="cs"/>
          <w:sz w:val="20"/>
          <w:szCs w:val="22"/>
          <w:rtl/>
        </w:rPr>
        <w:t xml:space="preserve">משרד האוצר מסר בתשובתו: "היחידה פועלת ליישום המלצה זו באמצעות שליחת מכתבים ופניות אל </w:t>
      </w:r>
      <w:r w:rsidRPr="001F3DFF">
        <w:rPr>
          <w:rFonts w:cs="FrankRuehl" w:hint="cs"/>
          <w:sz w:val="20"/>
          <w:szCs w:val="22"/>
          <w:rtl/>
        </w:rPr>
        <w:t>נש"מים</w:t>
      </w:r>
      <w:r w:rsidRPr="001F3DFF">
        <w:rPr>
          <w:rFonts w:cs="FrankRuehl" w:hint="cs"/>
          <w:sz w:val="20"/>
          <w:szCs w:val="22"/>
          <w:rtl/>
        </w:rPr>
        <w:t xml:space="preserve"> העושים פרסום זה, אנו מתואמים בנושא עם בנק ישראל ומבצעים אכיפה משולבת הכוללת שליחת מכתב דרישה להסרת הליקוי. אין יכולות אכיפה וענישה מנהלית על ביצוע הפרה זו".</w:t>
      </w:r>
    </w:p>
    <w:p w:rsidR="005E5B2C" w:rsidRPr="001F3DFF" w:rsidP="00FB46AA">
      <w:pPr>
        <w:pStyle w:val="RESHET"/>
        <w:rPr>
          <w:rtl/>
        </w:rPr>
      </w:pPr>
      <w:r w:rsidRPr="001F3DFF">
        <w:rPr>
          <w:rFonts w:hint="cs"/>
          <w:rtl/>
        </w:rPr>
        <w:t>משרד מבקר המדינה מעיר</w:t>
      </w:r>
      <w:r>
        <w:rPr>
          <w:rStyle w:val="FootnoteReference0"/>
          <w:rFonts w:cs="FrankRuehl"/>
          <w:b w:val="0"/>
          <w:bCs w:val="0"/>
          <w:rtl/>
        </w:rPr>
        <w:footnoteReference w:id="80"/>
      </w:r>
      <w:r w:rsidRPr="001F3DFF">
        <w:rPr>
          <w:rFonts w:hint="cs"/>
          <w:rtl/>
        </w:rPr>
        <w:t xml:space="preserve"> כי פעילותם של </w:t>
      </w:r>
      <w:r w:rsidRPr="001F3DFF">
        <w:rPr>
          <w:rFonts w:hint="cs"/>
          <w:rtl/>
        </w:rPr>
        <w:t>נש"ם</w:t>
      </w:r>
      <w:r w:rsidRPr="001F3DFF">
        <w:rPr>
          <w:rFonts w:hint="cs"/>
          <w:rtl/>
        </w:rPr>
        <w:t xml:space="preserve"> משתרעת על טווח רחב של שירותים פיננסיים, שחלקם אינם מוגדרים בחוק איסור הלבנת הון ושהעיסוק בהם אינו נכלל ברשימת הפעולות הנכללות בתעודת הרישום - למשל מתן הלוואות. לפיכך על הרשם לאסור על </w:t>
      </w:r>
      <w:r w:rsidRPr="001F3DFF">
        <w:rPr>
          <w:rFonts w:hint="cs"/>
          <w:rtl/>
        </w:rPr>
        <w:t>נש"ם</w:t>
      </w:r>
      <w:r w:rsidRPr="001F3DFF">
        <w:rPr>
          <w:rFonts w:hint="cs"/>
          <w:rtl/>
        </w:rPr>
        <w:t xml:space="preserve"> את השימוש בתעודה שניתנת להם באופן העלול להטעות לקוחות.</w:t>
      </w:r>
    </w:p>
    <w:p w:rsidR="005E5B2C" w:rsidRPr="001F3DFF" w:rsidP="00FB46AA">
      <w:pPr>
        <w:spacing w:before="180" w:after="120" w:line="230" w:lineRule="exact"/>
        <w:jc w:val="both"/>
        <w:rPr>
          <w:rFonts w:cs="FrankRuehl"/>
          <w:sz w:val="20"/>
          <w:szCs w:val="22"/>
          <w:rtl/>
        </w:rPr>
      </w:pPr>
      <w:r w:rsidRPr="001F3DFF">
        <w:rPr>
          <w:rFonts w:cs="FrankRuehl" w:hint="eastAsia"/>
          <w:b/>
          <w:bCs/>
          <w:spacing w:val="40"/>
          <w:sz w:val="20"/>
          <w:szCs w:val="22"/>
          <w:rtl/>
        </w:rPr>
        <w:t>אי</w:t>
      </w:r>
      <w:r w:rsidRPr="001F3DFF">
        <w:rPr>
          <w:rFonts w:cs="FrankRuehl"/>
          <w:b/>
          <w:bCs/>
          <w:spacing w:val="40"/>
          <w:sz w:val="20"/>
          <w:szCs w:val="22"/>
          <w:rtl/>
        </w:rPr>
        <w:t>-</w:t>
      </w:r>
      <w:r w:rsidRPr="00610649">
        <w:rPr>
          <w:rFonts w:cs="FrankRuehl"/>
          <w:b/>
          <w:bCs/>
          <w:sz w:val="20"/>
          <w:szCs w:val="22"/>
          <w:rtl/>
        </w:rPr>
        <w:t>א</w:t>
      </w:r>
      <w:r w:rsidRPr="001F3DFF">
        <w:rPr>
          <w:rFonts w:cs="FrankRuehl"/>
          <w:b/>
          <w:bCs/>
          <w:spacing w:val="40"/>
          <w:sz w:val="20"/>
          <w:szCs w:val="22"/>
          <w:rtl/>
        </w:rPr>
        <w:t xml:space="preserve">כיפת </w:t>
      </w:r>
      <w:r w:rsidRPr="001F3DFF">
        <w:rPr>
          <w:rFonts w:cs="FrankRuehl" w:hint="eastAsia"/>
          <w:b/>
          <w:bCs/>
          <w:spacing w:val="40"/>
          <w:sz w:val="20"/>
          <w:szCs w:val="22"/>
          <w:rtl/>
        </w:rPr>
        <w:t>החוק</w:t>
      </w:r>
      <w:r w:rsidRPr="001F3DFF">
        <w:rPr>
          <w:rFonts w:cs="FrankRuehl"/>
          <w:b/>
          <w:bCs/>
          <w:spacing w:val="40"/>
          <w:sz w:val="20"/>
          <w:szCs w:val="22"/>
          <w:rtl/>
        </w:rPr>
        <w:t xml:space="preserve"> </w:t>
      </w:r>
      <w:r w:rsidRPr="001F3DFF">
        <w:rPr>
          <w:rFonts w:cs="FrankRuehl" w:hint="eastAsia"/>
          <w:b/>
          <w:bCs/>
          <w:spacing w:val="40"/>
          <w:sz w:val="20"/>
          <w:szCs w:val="22"/>
          <w:rtl/>
        </w:rPr>
        <w:t>על</w:t>
      </w:r>
      <w:r w:rsidRPr="001F3DFF">
        <w:rPr>
          <w:rFonts w:cs="FrankRuehl"/>
          <w:b/>
          <w:bCs/>
          <w:spacing w:val="40"/>
          <w:sz w:val="20"/>
          <w:szCs w:val="22"/>
          <w:rtl/>
        </w:rPr>
        <w:t xml:space="preserve"> </w:t>
      </w:r>
      <w:r w:rsidRPr="001F3DFF">
        <w:rPr>
          <w:rFonts w:cs="FrankRuehl" w:hint="eastAsia"/>
          <w:b/>
          <w:bCs/>
          <w:spacing w:val="40"/>
          <w:sz w:val="20"/>
          <w:szCs w:val="22"/>
          <w:rtl/>
        </w:rPr>
        <w:t>ידי</w:t>
      </w:r>
      <w:r w:rsidRPr="001F3DFF">
        <w:rPr>
          <w:rFonts w:cs="FrankRuehl"/>
          <w:b/>
          <w:bCs/>
          <w:spacing w:val="40"/>
          <w:sz w:val="20"/>
          <w:szCs w:val="22"/>
          <w:rtl/>
        </w:rPr>
        <w:t xml:space="preserve"> </w:t>
      </w:r>
      <w:r w:rsidRPr="001F3DFF">
        <w:rPr>
          <w:rFonts w:cs="FrankRuehl" w:hint="eastAsia"/>
          <w:b/>
          <w:bCs/>
          <w:spacing w:val="40"/>
          <w:sz w:val="20"/>
          <w:szCs w:val="22"/>
          <w:rtl/>
        </w:rPr>
        <w:t>המשטרה</w:t>
      </w:r>
      <w:r w:rsidRPr="001F3DFF">
        <w:rPr>
          <w:rFonts w:cs="FrankRuehl" w:hint="cs"/>
          <w:b/>
          <w:bCs/>
          <w:spacing w:val="40"/>
          <w:sz w:val="20"/>
          <w:szCs w:val="22"/>
          <w:rtl/>
        </w:rPr>
        <w:t xml:space="preserve">: </w:t>
      </w:r>
      <w:r w:rsidRPr="001F3DFF">
        <w:rPr>
          <w:rFonts w:cs="FrankRuehl" w:hint="cs"/>
          <w:sz w:val="20"/>
          <w:szCs w:val="22"/>
          <w:rtl/>
        </w:rPr>
        <w:t xml:space="preserve">בדוח הקודם נמצא כי שיעור לא מבוטל של </w:t>
      </w:r>
      <w:r w:rsidRPr="001F3DFF">
        <w:rPr>
          <w:rFonts w:cs="FrankRuehl" w:hint="cs"/>
          <w:sz w:val="20"/>
          <w:szCs w:val="22"/>
          <w:rtl/>
        </w:rPr>
        <w:t>נש"ם</w:t>
      </w:r>
      <w:r w:rsidRPr="001F3DFF">
        <w:rPr>
          <w:rFonts w:cs="FrankRuehl" w:hint="cs"/>
          <w:sz w:val="20"/>
          <w:szCs w:val="22"/>
          <w:rtl/>
        </w:rPr>
        <w:t xml:space="preserve"> פועלים בלא רישום. על פי הערכות היחידה, פועלים כ-300 </w:t>
      </w:r>
      <w:r w:rsidRPr="001F3DFF">
        <w:rPr>
          <w:rFonts w:cs="FrankRuehl" w:hint="cs"/>
          <w:sz w:val="20"/>
          <w:szCs w:val="22"/>
          <w:rtl/>
        </w:rPr>
        <w:t>נש"ם</w:t>
      </w:r>
      <w:r w:rsidRPr="001F3DFF">
        <w:rPr>
          <w:rFonts w:cs="FrankRuehl" w:hint="cs"/>
          <w:sz w:val="20"/>
          <w:szCs w:val="22"/>
          <w:rtl/>
        </w:rPr>
        <w:t xml:space="preserve"> לא רשומים.</w:t>
      </w:r>
    </w:p>
    <w:p w:rsidR="005E5B2C" w:rsidRPr="001F3DFF" w:rsidP="00FB46AA">
      <w:pPr>
        <w:spacing w:after="120" w:line="230" w:lineRule="exact"/>
        <w:jc w:val="both"/>
        <w:rPr>
          <w:rFonts w:cs="FrankRuehl"/>
          <w:sz w:val="20"/>
          <w:szCs w:val="22"/>
        </w:rPr>
      </w:pPr>
      <w:r w:rsidRPr="001F3DFF">
        <w:rPr>
          <w:rFonts w:cs="FrankRuehl" w:hint="cs"/>
          <w:sz w:val="20"/>
          <w:szCs w:val="22"/>
          <w:rtl/>
        </w:rPr>
        <w:t>המלצת משרד מבקר המדינה הייתה ש</w:t>
      </w:r>
      <w:r w:rsidRPr="001F3DFF">
        <w:rPr>
          <w:rFonts w:cs="FrankRuehl"/>
          <w:sz w:val="20"/>
          <w:szCs w:val="22"/>
          <w:rtl/>
        </w:rPr>
        <w:t xml:space="preserve">המשטרה </w:t>
      </w:r>
      <w:r w:rsidRPr="001F3DFF">
        <w:rPr>
          <w:rFonts w:cs="FrankRuehl" w:hint="cs"/>
          <w:sz w:val="20"/>
          <w:szCs w:val="22"/>
          <w:rtl/>
        </w:rPr>
        <w:t>ת</w:t>
      </w:r>
      <w:r w:rsidRPr="001F3DFF">
        <w:rPr>
          <w:rFonts w:cs="FrankRuehl"/>
          <w:sz w:val="20"/>
          <w:szCs w:val="22"/>
          <w:rtl/>
        </w:rPr>
        <w:t xml:space="preserve">פעל לאכיפת החוק ולמניעת פעילות של </w:t>
      </w:r>
      <w:r w:rsidRPr="001F3DFF">
        <w:rPr>
          <w:rFonts w:cs="FrankRuehl"/>
          <w:sz w:val="20"/>
          <w:szCs w:val="22"/>
          <w:rtl/>
        </w:rPr>
        <w:t>נ</w:t>
      </w:r>
      <w:r w:rsidRPr="001F3DFF">
        <w:rPr>
          <w:rFonts w:cs="FrankRuehl" w:hint="cs"/>
          <w:sz w:val="20"/>
          <w:szCs w:val="22"/>
          <w:rtl/>
        </w:rPr>
        <w:t>ש"ם</w:t>
      </w:r>
      <w:r w:rsidRPr="001F3DFF">
        <w:rPr>
          <w:rFonts w:cs="FrankRuehl"/>
          <w:sz w:val="20"/>
          <w:szCs w:val="22"/>
          <w:rtl/>
        </w:rPr>
        <w:t xml:space="preserve"> לא רשומים. נוסף על כך, כדי לייעל את האכיפה ו</w:t>
      </w:r>
      <w:r w:rsidRPr="001F3DFF">
        <w:rPr>
          <w:rFonts w:cs="FrankRuehl" w:hint="cs"/>
          <w:sz w:val="20"/>
          <w:szCs w:val="22"/>
          <w:rtl/>
        </w:rPr>
        <w:t>מאחר</w:t>
      </w:r>
      <w:r w:rsidRPr="001F3DFF">
        <w:rPr>
          <w:rFonts w:cs="FrankRuehl"/>
          <w:sz w:val="20"/>
          <w:szCs w:val="22"/>
          <w:rtl/>
        </w:rPr>
        <w:t xml:space="preserve"> שהרישום הוא טכני בעיקרו, </w:t>
      </w:r>
      <w:r w:rsidRPr="001F3DFF">
        <w:rPr>
          <w:rFonts w:cs="FrankRuehl" w:hint="cs"/>
          <w:sz w:val="20"/>
          <w:szCs w:val="22"/>
          <w:rtl/>
        </w:rPr>
        <w:t>הומלץ</w:t>
      </w:r>
      <w:r w:rsidRPr="001F3DFF">
        <w:rPr>
          <w:rFonts w:cs="FrankRuehl"/>
          <w:sz w:val="20"/>
          <w:szCs w:val="22"/>
          <w:rtl/>
        </w:rPr>
        <w:t xml:space="preserve"> לשקול לאפשר ליחיד</w:t>
      </w:r>
      <w:r w:rsidRPr="001F3DFF">
        <w:rPr>
          <w:rFonts w:cs="FrankRuehl" w:hint="cs"/>
          <w:sz w:val="20"/>
          <w:szCs w:val="22"/>
          <w:rtl/>
        </w:rPr>
        <w:t xml:space="preserve">ה </w:t>
      </w:r>
      <w:r w:rsidRPr="001F3DFF">
        <w:rPr>
          <w:rFonts w:cs="FrankRuehl"/>
          <w:sz w:val="20"/>
          <w:szCs w:val="22"/>
          <w:rtl/>
        </w:rPr>
        <w:t xml:space="preserve">להטיל קנסות </w:t>
      </w:r>
      <w:r w:rsidRPr="001F3DFF">
        <w:rPr>
          <w:rFonts w:cs="FrankRuehl"/>
          <w:sz w:val="20"/>
          <w:szCs w:val="22"/>
          <w:rtl/>
        </w:rPr>
        <w:t>מינהליים</w:t>
      </w:r>
      <w:r w:rsidRPr="001F3DFF">
        <w:rPr>
          <w:rFonts w:cs="FrankRuehl"/>
          <w:sz w:val="20"/>
          <w:szCs w:val="22"/>
          <w:rtl/>
        </w:rPr>
        <w:t xml:space="preserve"> על </w:t>
      </w:r>
      <w:r w:rsidRPr="001F3DFF">
        <w:rPr>
          <w:rFonts w:cs="FrankRuehl"/>
          <w:sz w:val="20"/>
          <w:szCs w:val="22"/>
          <w:rtl/>
        </w:rPr>
        <w:t>נ</w:t>
      </w:r>
      <w:r w:rsidRPr="001F3DFF">
        <w:rPr>
          <w:rFonts w:cs="FrankRuehl" w:hint="cs"/>
          <w:sz w:val="20"/>
          <w:szCs w:val="22"/>
          <w:rtl/>
        </w:rPr>
        <w:t>ש"ם</w:t>
      </w:r>
      <w:r w:rsidRPr="001F3DFF">
        <w:rPr>
          <w:rFonts w:cs="FrankRuehl"/>
          <w:sz w:val="20"/>
          <w:szCs w:val="22"/>
          <w:rtl/>
        </w:rPr>
        <w:t xml:space="preserve"> שאיננו רשום</w:t>
      </w:r>
      <w:r w:rsidRPr="001F3DFF">
        <w:rPr>
          <w:rFonts w:cs="FrankRuehl" w:hint="cs"/>
          <w:sz w:val="20"/>
          <w:szCs w:val="22"/>
          <w:rtl/>
        </w:rPr>
        <w:t xml:space="preserve">. </w:t>
      </w:r>
    </w:p>
    <w:p w:rsidR="005E5B2C" w:rsidRPr="001F3DFF" w:rsidP="00766D74">
      <w:pPr>
        <w:spacing w:after="120" w:line="230" w:lineRule="exact"/>
        <w:jc w:val="both"/>
        <w:rPr>
          <w:rFonts w:cs="FrankRuehl"/>
          <w:sz w:val="20"/>
          <w:szCs w:val="22"/>
          <w:rtl/>
        </w:rPr>
      </w:pPr>
      <w:r w:rsidRPr="001F3DFF">
        <w:rPr>
          <w:rFonts w:cs="FrankRuehl" w:hint="cs"/>
          <w:sz w:val="20"/>
          <w:szCs w:val="22"/>
          <w:rtl/>
        </w:rPr>
        <w:t>היחידה מסרה למשרד מבקר המדינה ביוני 2014 כי "</w:t>
      </w:r>
      <w:r w:rsidRPr="001F3DFF">
        <w:rPr>
          <w:rFonts w:cs="FrankRuehl"/>
          <w:sz w:val="20"/>
          <w:szCs w:val="22"/>
          <w:rtl/>
        </w:rPr>
        <w:t>עיסוק במתן שירותי מטבע ללא רישום במרשם הינה עבירה פלילית</w:t>
      </w:r>
      <w:r>
        <w:rPr>
          <w:rStyle w:val="FootnoteReference0"/>
          <w:rFonts w:cs="FrankRuehl"/>
          <w:sz w:val="20"/>
          <w:szCs w:val="22"/>
          <w:rtl/>
        </w:rPr>
        <w:footnoteReference w:id="81"/>
      </w:r>
      <w:r w:rsidRPr="001F3DFF">
        <w:rPr>
          <w:rFonts w:cs="FrankRuehl"/>
          <w:sz w:val="20"/>
          <w:szCs w:val="22"/>
          <w:rtl/>
        </w:rPr>
        <w:t>. סמכות האכיפה במקרה זה היא של משטרת ישראל, בדומה לתחומים אחרים בהם נדרש רישוי או רישום</w:t>
      </w:r>
      <w:r w:rsidRPr="001F3DFF">
        <w:rPr>
          <w:rFonts w:cs="FrankRuehl" w:hint="cs"/>
          <w:sz w:val="20"/>
          <w:szCs w:val="22"/>
          <w:rtl/>
        </w:rPr>
        <w:t>".</w:t>
      </w:r>
    </w:p>
    <w:p w:rsidR="005E5B2C" w:rsidRPr="001F3DFF" w:rsidP="00FB46AA">
      <w:pPr>
        <w:spacing w:after="240" w:line="230" w:lineRule="exact"/>
        <w:jc w:val="both"/>
        <w:rPr>
          <w:rFonts w:cs="FrankRuehl"/>
          <w:sz w:val="20"/>
          <w:szCs w:val="22"/>
          <w:rtl/>
        </w:rPr>
      </w:pPr>
      <w:r w:rsidRPr="001F3DFF">
        <w:rPr>
          <w:rFonts w:cs="FrankRuehl" w:hint="cs"/>
          <w:sz w:val="20"/>
          <w:szCs w:val="22"/>
          <w:rtl/>
        </w:rPr>
        <w:t xml:space="preserve">המשטרה מסרה למשרד מבקר המדינה בינואר 2015 כי אינה מתמקדת בטיפול </w:t>
      </w:r>
      <w:r w:rsidRPr="001F3DFF">
        <w:rPr>
          <w:rFonts w:cs="FrankRuehl" w:hint="cs"/>
          <w:sz w:val="20"/>
          <w:szCs w:val="22"/>
          <w:rtl/>
        </w:rPr>
        <w:t>בנש"ם</w:t>
      </w:r>
      <w:r w:rsidRPr="001F3DFF">
        <w:rPr>
          <w:rFonts w:cs="FrankRuehl" w:hint="cs"/>
          <w:sz w:val="20"/>
          <w:szCs w:val="22"/>
          <w:rtl/>
        </w:rPr>
        <w:t xml:space="preserve"> לא רשומים, אלא </w:t>
      </w:r>
      <w:r w:rsidRPr="001F3DFF">
        <w:rPr>
          <w:rFonts w:cs="FrankRuehl" w:hint="cs"/>
          <w:sz w:val="20"/>
          <w:szCs w:val="22"/>
          <w:rtl/>
        </w:rPr>
        <w:t>בנש"ם</w:t>
      </w:r>
      <w:r w:rsidRPr="001F3DFF">
        <w:rPr>
          <w:rFonts w:cs="FrankRuehl" w:hint="cs"/>
          <w:sz w:val="20"/>
          <w:szCs w:val="22"/>
          <w:rtl/>
        </w:rPr>
        <w:t xml:space="preserve"> הקשורים לעבירות משמעותיות יותר, ועם זאת היא פועלת בשנים האחרונות להגברת האכיפה בתחום זה. מנתונים שמסרה למשרד מבקר המדינה עולה כי בשנים האחרונות יש עלייה מתמדת במספר התיקים שנפתחו בגין מניעת דיווח לפי סעיף 3(ב) לחוק איסור הלבנת הון</w:t>
      </w:r>
      <w:r>
        <w:rPr>
          <w:rStyle w:val="FootnoteReference0"/>
          <w:rFonts w:cs="FrankRuehl"/>
          <w:sz w:val="20"/>
          <w:szCs w:val="22"/>
          <w:rtl/>
        </w:rPr>
        <w:footnoteReference w:id="82"/>
      </w:r>
      <w:r w:rsidRPr="001F3DFF">
        <w:rPr>
          <w:rFonts w:cs="FrankRuehl" w:hint="cs"/>
          <w:sz w:val="20"/>
          <w:szCs w:val="22"/>
          <w:rtl/>
        </w:rPr>
        <w:t>. עוד מסרה המשטרה כי במ</w:t>
      </w:r>
      <w:r w:rsidRPr="001F3DFF">
        <w:rPr>
          <w:rFonts w:cs="FrankRuehl"/>
          <w:sz w:val="20"/>
          <w:szCs w:val="22"/>
          <w:rtl/>
        </w:rPr>
        <w:t>סגרת יום אימון תחנות</w:t>
      </w:r>
      <w:r w:rsidRPr="001F3DFF">
        <w:rPr>
          <w:rFonts w:cs="FrankRuehl" w:hint="cs"/>
          <w:sz w:val="20"/>
          <w:szCs w:val="22"/>
          <w:rtl/>
        </w:rPr>
        <w:t>,</w:t>
      </w:r>
      <w:r w:rsidRPr="001F3DFF">
        <w:rPr>
          <w:rFonts w:cs="FrankRuehl"/>
          <w:sz w:val="20"/>
          <w:szCs w:val="22"/>
          <w:rtl/>
        </w:rPr>
        <w:t xml:space="preserve"> </w:t>
      </w:r>
      <w:r w:rsidRPr="001F3DFF">
        <w:rPr>
          <w:rFonts w:cs="FrankRuehl" w:hint="cs"/>
          <w:sz w:val="20"/>
          <w:szCs w:val="22"/>
          <w:rtl/>
        </w:rPr>
        <w:t>ש</w:t>
      </w:r>
      <w:r w:rsidRPr="001F3DFF">
        <w:rPr>
          <w:rFonts w:cs="FrankRuehl"/>
          <w:sz w:val="20"/>
          <w:szCs w:val="22"/>
          <w:rtl/>
        </w:rPr>
        <w:t xml:space="preserve">בו עוברים כל השוטרים ריענון </w:t>
      </w:r>
      <w:r w:rsidRPr="001F3DFF">
        <w:rPr>
          <w:rFonts w:cs="FrankRuehl" w:hint="cs"/>
          <w:sz w:val="20"/>
          <w:szCs w:val="22"/>
          <w:rtl/>
        </w:rPr>
        <w:t>ב</w:t>
      </w:r>
      <w:r w:rsidRPr="001F3DFF">
        <w:rPr>
          <w:rFonts w:cs="FrankRuehl"/>
          <w:sz w:val="20"/>
          <w:szCs w:val="22"/>
          <w:rtl/>
        </w:rPr>
        <w:t>נושאים</w:t>
      </w:r>
      <w:r w:rsidRPr="001F3DFF">
        <w:rPr>
          <w:rFonts w:cs="FrankRuehl" w:hint="cs"/>
          <w:sz w:val="20"/>
          <w:szCs w:val="22"/>
          <w:rtl/>
        </w:rPr>
        <w:t xml:space="preserve"> שונים, העביר האגף לחקירות ומודיעין הדרכה</w:t>
      </w:r>
      <w:r w:rsidRPr="001F3DFF">
        <w:rPr>
          <w:rFonts w:cs="FrankRuehl"/>
          <w:sz w:val="20"/>
          <w:szCs w:val="22"/>
          <w:rtl/>
        </w:rPr>
        <w:t xml:space="preserve"> </w:t>
      </w:r>
      <w:r w:rsidRPr="001F3DFF">
        <w:rPr>
          <w:rFonts w:cs="FrankRuehl" w:hint="cs"/>
          <w:sz w:val="20"/>
          <w:szCs w:val="22"/>
          <w:rtl/>
        </w:rPr>
        <w:t xml:space="preserve">בנושא </w:t>
      </w:r>
      <w:r w:rsidRPr="001F3DFF">
        <w:rPr>
          <w:rFonts w:cs="FrankRuehl" w:hint="cs"/>
          <w:sz w:val="20"/>
          <w:szCs w:val="22"/>
          <w:rtl/>
        </w:rPr>
        <w:t>נש"ם</w:t>
      </w:r>
      <w:r w:rsidRPr="001F3DFF">
        <w:rPr>
          <w:rFonts w:cs="FrankRuehl" w:hint="cs"/>
          <w:sz w:val="20"/>
          <w:szCs w:val="22"/>
          <w:rtl/>
        </w:rPr>
        <w:t xml:space="preserve">. בהדרכה הוסבר, בין היתר, כיצד לזהות </w:t>
      </w:r>
      <w:r w:rsidRPr="001F3DFF">
        <w:rPr>
          <w:rFonts w:cs="FrankRuehl" w:hint="cs"/>
          <w:sz w:val="20"/>
          <w:szCs w:val="22"/>
          <w:rtl/>
        </w:rPr>
        <w:t>נש"ם</w:t>
      </w:r>
      <w:r w:rsidRPr="001F3DFF">
        <w:rPr>
          <w:rFonts w:cs="FrankRuehl" w:hint="cs"/>
          <w:sz w:val="20"/>
          <w:szCs w:val="22"/>
          <w:rtl/>
        </w:rPr>
        <w:t>, מהי פעילותם ומהן החובות המוטלות עליהם על פי חוק איסור הלבנת הון.</w:t>
      </w:r>
    </w:p>
    <w:p w:rsidR="005E5B2C" w:rsidRPr="001F3DFF" w:rsidP="00FB46AA">
      <w:pPr>
        <w:pStyle w:val="RESHET"/>
        <w:rPr>
          <w:rtl/>
        </w:rPr>
      </w:pPr>
      <w:r w:rsidRPr="001F3DFF">
        <w:rPr>
          <w:rFonts w:hint="cs"/>
          <w:rtl/>
        </w:rPr>
        <w:t xml:space="preserve">לדעת משרד מבקר המדינה, על המשטרה להגביר את האכיפה כנגד </w:t>
      </w:r>
      <w:r w:rsidRPr="001F3DFF">
        <w:rPr>
          <w:rFonts w:hint="cs"/>
          <w:rtl/>
        </w:rPr>
        <w:t>נש"ם</w:t>
      </w:r>
      <w:r w:rsidRPr="001F3DFF">
        <w:rPr>
          <w:rFonts w:hint="cs"/>
          <w:rtl/>
        </w:rPr>
        <w:t xml:space="preserve"> שאינם רשומים כחוק.</w:t>
      </w:r>
    </w:p>
    <w:p w:rsidR="005E5B2C" w:rsidRPr="001F3DFF" w:rsidP="00FB46AA">
      <w:pPr>
        <w:spacing w:before="180" w:after="120" w:line="230" w:lineRule="exact"/>
        <w:jc w:val="both"/>
        <w:rPr>
          <w:rFonts w:cs="FrankRuehl"/>
          <w:sz w:val="20"/>
          <w:szCs w:val="22"/>
          <w:rtl/>
        </w:rPr>
      </w:pPr>
      <w:r w:rsidRPr="001F3DFF">
        <w:rPr>
          <w:rFonts w:cs="FrankRuehl" w:hint="cs"/>
          <w:sz w:val="20"/>
          <w:szCs w:val="22"/>
          <w:rtl/>
        </w:rPr>
        <w:t xml:space="preserve">משטרת ישראל מסרה בתשובתה למשרד מבקר המדינה ממרץ 2015 (להלן - תשובת המשטרה): "מעורבותם של נותני שירותי מטבע (בין כאלו שנרשמו במרשם ובין שאינם רשומים) בפעילות פלילית מעסיקה רבות את משטרת ישראל, וכיום במרבית החקירות כנגד גורמי פשיעה חמורה נכללים גם נותני שירותי מטבע... אנו שותפים לדעת משרד המבקר כי יש להגביר את האכיפה כנגד נותני שירותי מטבע לא רשומים, אולם לתפיסתנו, אכיפה כאמור צריכה להתבסס על המלצות הצוות לבחינת הרגולציה על נותני שירותי מטבע". </w:t>
      </w:r>
    </w:p>
    <w:p w:rsidR="005E5B2C" w:rsidRPr="001F3DFF" w:rsidP="00FB46AA">
      <w:pPr>
        <w:spacing w:after="120" w:line="230" w:lineRule="exact"/>
        <w:jc w:val="both"/>
        <w:rPr>
          <w:rFonts w:cs="FrankRuehl"/>
          <w:sz w:val="20"/>
          <w:szCs w:val="22"/>
        </w:rPr>
      </w:pPr>
      <w:r w:rsidRPr="001F3DFF">
        <w:rPr>
          <w:rFonts w:cs="FrankRuehl" w:hint="eastAsia"/>
          <w:b/>
          <w:bCs/>
          <w:spacing w:val="40"/>
          <w:sz w:val="20"/>
          <w:szCs w:val="22"/>
          <w:rtl/>
        </w:rPr>
        <w:t>ביקורות</w:t>
      </w:r>
      <w:r w:rsidRPr="001F3DFF">
        <w:rPr>
          <w:rFonts w:cs="FrankRuehl"/>
          <w:b/>
          <w:bCs/>
          <w:spacing w:val="40"/>
          <w:sz w:val="20"/>
          <w:szCs w:val="22"/>
          <w:rtl/>
        </w:rPr>
        <w:t xml:space="preserve"> </w:t>
      </w:r>
      <w:r w:rsidRPr="001F3DFF">
        <w:rPr>
          <w:rFonts w:cs="FrankRuehl" w:hint="eastAsia"/>
          <w:b/>
          <w:bCs/>
          <w:spacing w:val="40"/>
          <w:sz w:val="20"/>
          <w:szCs w:val="22"/>
          <w:rtl/>
        </w:rPr>
        <w:t>מעטות</w:t>
      </w:r>
      <w:r w:rsidRPr="001F3DFF">
        <w:rPr>
          <w:rFonts w:cs="FrankRuehl"/>
          <w:b/>
          <w:bCs/>
          <w:spacing w:val="40"/>
          <w:sz w:val="20"/>
          <w:szCs w:val="22"/>
          <w:rtl/>
        </w:rPr>
        <w:t xml:space="preserve"> </w:t>
      </w:r>
      <w:r w:rsidRPr="001F3DFF">
        <w:rPr>
          <w:rFonts w:cs="FrankRuehl" w:hint="eastAsia"/>
          <w:b/>
          <w:bCs/>
          <w:spacing w:val="40"/>
          <w:sz w:val="20"/>
          <w:szCs w:val="22"/>
          <w:rtl/>
        </w:rPr>
        <w:t>מאוד</w:t>
      </w:r>
      <w:r w:rsidRPr="001F3DFF">
        <w:rPr>
          <w:rFonts w:cs="FrankRuehl" w:hint="cs"/>
          <w:b/>
          <w:bCs/>
          <w:spacing w:val="40"/>
          <w:sz w:val="20"/>
          <w:szCs w:val="22"/>
          <w:rtl/>
        </w:rPr>
        <w:t xml:space="preserve">: </w:t>
      </w:r>
      <w:r w:rsidRPr="001F3DFF">
        <w:rPr>
          <w:rFonts w:cs="FrankRuehl" w:hint="cs"/>
          <w:sz w:val="20"/>
          <w:szCs w:val="22"/>
          <w:rtl/>
        </w:rPr>
        <w:t xml:space="preserve">בדוח הקודם נמצא כי </w:t>
      </w:r>
      <w:r w:rsidRPr="001F3DFF">
        <w:rPr>
          <w:rFonts w:cs="FrankRuehl"/>
          <w:sz w:val="20"/>
          <w:szCs w:val="22"/>
          <w:rtl/>
        </w:rPr>
        <w:t xml:space="preserve">מספר הביקורות שעושה היחידה בקרב </w:t>
      </w:r>
      <w:r w:rsidRPr="001F3DFF">
        <w:rPr>
          <w:rFonts w:cs="FrankRuehl"/>
          <w:sz w:val="20"/>
          <w:szCs w:val="22"/>
          <w:rtl/>
        </w:rPr>
        <w:t>נ</w:t>
      </w:r>
      <w:r w:rsidRPr="001F3DFF">
        <w:rPr>
          <w:rFonts w:cs="FrankRuehl" w:hint="cs"/>
          <w:sz w:val="20"/>
          <w:szCs w:val="22"/>
          <w:rtl/>
        </w:rPr>
        <w:t>ש"ם</w:t>
      </w:r>
      <w:r w:rsidRPr="001F3DFF">
        <w:rPr>
          <w:rFonts w:cs="FrankRuehl"/>
          <w:sz w:val="20"/>
          <w:szCs w:val="22"/>
          <w:rtl/>
        </w:rPr>
        <w:t xml:space="preserve"> זניח בהשוואה להיקף פעילותם, בייחוד נוכח היעדר הבקרה על נותני שירותים לא רשומים</w:t>
      </w:r>
      <w:r w:rsidRPr="001F3DFF">
        <w:rPr>
          <w:rFonts w:cs="FrankRuehl" w:hint="cs"/>
          <w:sz w:val="20"/>
          <w:szCs w:val="22"/>
          <w:rtl/>
        </w:rPr>
        <w:t>. נוסף על כך, יש</w:t>
      </w:r>
      <w:r w:rsidRPr="001F3DFF">
        <w:rPr>
          <w:rFonts w:cs="FrankRuehl"/>
          <w:sz w:val="20"/>
          <w:szCs w:val="22"/>
          <w:rtl/>
        </w:rPr>
        <w:t xml:space="preserve"> מגזרים </w:t>
      </w:r>
      <w:r w:rsidRPr="001F3DFF">
        <w:rPr>
          <w:rFonts w:cs="FrankRuehl" w:hint="cs"/>
          <w:sz w:val="20"/>
          <w:szCs w:val="22"/>
          <w:rtl/>
        </w:rPr>
        <w:t>ש</w:t>
      </w:r>
      <w:r w:rsidRPr="001F3DFF">
        <w:rPr>
          <w:rFonts w:cs="FrankRuehl"/>
          <w:sz w:val="20"/>
          <w:szCs w:val="22"/>
          <w:rtl/>
        </w:rPr>
        <w:t xml:space="preserve">בהם מתקיימת פעילות של המרת כספים באופן מובנה - המגזר החרדי ומגזר המיעוטים - </w:t>
      </w:r>
      <w:r w:rsidRPr="001F3DFF">
        <w:rPr>
          <w:rFonts w:cs="FrankRuehl" w:hint="cs"/>
          <w:sz w:val="20"/>
          <w:szCs w:val="22"/>
          <w:rtl/>
        </w:rPr>
        <w:t>ושם</w:t>
      </w:r>
      <w:r w:rsidRPr="001F3DFF">
        <w:rPr>
          <w:rFonts w:cs="FrankRuehl"/>
          <w:sz w:val="20"/>
          <w:szCs w:val="22"/>
          <w:rtl/>
        </w:rPr>
        <w:t xml:space="preserve"> </w:t>
      </w:r>
      <w:r w:rsidRPr="001F3DFF">
        <w:rPr>
          <w:rFonts w:cs="FrankRuehl" w:hint="cs"/>
          <w:sz w:val="20"/>
          <w:szCs w:val="22"/>
          <w:rtl/>
        </w:rPr>
        <w:t>מתקשה ה</w:t>
      </w:r>
      <w:r w:rsidRPr="001F3DFF">
        <w:rPr>
          <w:rFonts w:cs="FrankRuehl"/>
          <w:sz w:val="20"/>
          <w:szCs w:val="22"/>
          <w:rtl/>
        </w:rPr>
        <w:t>רשם לחדור ולחשוף פעילות שאינה מדווחת</w:t>
      </w:r>
      <w:r w:rsidRPr="001F3DFF">
        <w:rPr>
          <w:rFonts w:cs="FrankRuehl" w:hint="cs"/>
          <w:sz w:val="20"/>
          <w:szCs w:val="22"/>
          <w:rtl/>
        </w:rPr>
        <w:t xml:space="preserve">. הביקורת הקודמת העלתה גם כי אף שהיחידה יכולה לעשות מיקור חוץ, אין היא יכולה לעכל כמות גדולה יותר של ביקורות משרדי רואי החשבון. </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המלצת משרד מבקר המדינה הייתה </w:t>
      </w:r>
      <w:r w:rsidRPr="001F3DFF">
        <w:rPr>
          <w:rFonts w:cs="FrankRuehl"/>
          <w:sz w:val="20"/>
          <w:szCs w:val="22"/>
          <w:rtl/>
        </w:rPr>
        <w:t xml:space="preserve">להרחיב את פעולות היחידה במגזר </w:t>
      </w:r>
      <w:r w:rsidRPr="001F3DFF">
        <w:rPr>
          <w:rFonts w:cs="FrankRuehl" w:hint="cs"/>
          <w:sz w:val="20"/>
          <w:szCs w:val="22"/>
          <w:rtl/>
        </w:rPr>
        <w:t>המיעוטים</w:t>
      </w:r>
      <w:r w:rsidRPr="001F3DFF">
        <w:rPr>
          <w:rFonts w:cs="FrankRuehl"/>
          <w:sz w:val="20"/>
          <w:szCs w:val="22"/>
          <w:rtl/>
        </w:rPr>
        <w:t xml:space="preserve"> ו</w:t>
      </w:r>
      <w:r w:rsidRPr="001F3DFF">
        <w:rPr>
          <w:rFonts w:cs="FrankRuehl" w:hint="cs"/>
          <w:sz w:val="20"/>
          <w:szCs w:val="22"/>
          <w:rtl/>
        </w:rPr>
        <w:t xml:space="preserve">במגזר </w:t>
      </w:r>
      <w:r w:rsidRPr="001F3DFF">
        <w:rPr>
          <w:rFonts w:cs="FrankRuehl"/>
          <w:sz w:val="20"/>
          <w:szCs w:val="22"/>
          <w:rtl/>
        </w:rPr>
        <w:t xml:space="preserve">החרדי, לנוכח היקף </w:t>
      </w:r>
      <w:r w:rsidRPr="001F3DFF">
        <w:rPr>
          <w:rFonts w:cs="FrankRuehl" w:hint="cs"/>
          <w:sz w:val="20"/>
          <w:szCs w:val="22"/>
          <w:rtl/>
        </w:rPr>
        <w:t>ה</w:t>
      </w:r>
      <w:r w:rsidRPr="001F3DFF">
        <w:rPr>
          <w:rFonts w:cs="FrankRuehl"/>
          <w:sz w:val="20"/>
          <w:szCs w:val="22"/>
          <w:rtl/>
        </w:rPr>
        <w:t xml:space="preserve">פעילות </w:t>
      </w:r>
      <w:r w:rsidRPr="001F3DFF">
        <w:rPr>
          <w:rFonts w:cs="FrankRuehl" w:hint="cs"/>
          <w:sz w:val="20"/>
          <w:szCs w:val="22"/>
          <w:rtl/>
        </w:rPr>
        <w:t xml:space="preserve">בהם. יתרה מזאת, ארגון </w:t>
      </w:r>
      <w:r w:rsidRPr="001F3DFF">
        <w:rPr>
          <w:rFonts w:cs="FrankRuehl" w:hint="cs"/>
          <w:sz w:val="20"/>
          <w:szCs w:val="22"/>
          <w:rtl/>
        </w:rPr>
        <w:t>המאניבל</w:t>
      </w:r>
      <w:r w:rsidRPr="001F3DFF">
        <w:rPr>
          <w:rFonts w:cs="FrankRuehl" w:hint="cs"/>
          <w:sz w:val="20"/>
          <w:szCs w:val="22"/>
          <w:rtl/>
        </w:rPr>
        <w:t xml:space="preserve"> העיר לישראל בדצמבר 2013 כי לנוכח היקף נותני שירותי המטבע הפועלים והסיכון להלבנת הון ומימון טרור שקיים בפעילויותיהם, יש לבצע יותר ביקורות שנתיות על </w:t>
      </w:r>
      <w:r w:rsidRPr="001F3DFF">
        <w:rPr>
          <w:rFonts w:cs="FrankRuehl" w:hint="cs"/>
          <w:sz w:val="20"/>
          <w:szCs w:val="22"/>
          <w:rtl/>
        </w:rPr>
        <w:t>נש"ם</w:t>
      </w:r>
      <w:r>
        <w:rPr>
          <w:rStyle w:val="FootnoteReference0"/>
          <w:rFonts w:cs="FrankRuehl"/>
          <w:sz w:val="20"/>
          <w:szCs w:val="22"/>
          <w:rtl/>
        </w:rPr>
        <w:footnoteReference w:id="83"/>
      </w:r>
      <w:r w:rsidRPr="001F3DFF">
        <w:rPr>
          <w:rFonts w:cs="FrankRuehl" w:hint="cs"/>
          <w:sz w:val="20"/>
          <w:szCs w:val="22"/>
          <w:rtl/>
        </w:rPr>
        <w:t>.</w:t>
      </w:r>
    </w:p>
    <w:p w:rsidR="005E5B2C" w:rsidRPr="001F3DFF" w:rsidP="00FB46AA">
      <w:pPr>
        <w:spacing w:after="120" w:line="230" w:lineRule="exact"/>
        <w:jc w:val="both"/>
        <w:rPr>
          <w:rFonts w:cs="FrankRuehl"/>
          <w:sz w:val="20"/>
          <w:szCs w:val="22"/>
          <w:rtl/>
        </w:rPr>
      </w:pPr>
      <w:r w:rsidRPr="001F3DFF">
        <w:rPr>
          <w:rFonts w:cs="FrankRuehl"/>
          <w:sz w:val="20"/>
          <w:szCs w:val="22"/>
          <w:rtl/>
        </w:rPr>
        <w:t>סעיף 13 לחוק איסור הלבנת הון</w:t>
      </w:r>
      <w:r w:rsidRPr="001F3DFF">
        <w:rPr>
          <w:rFonts w:cs="FrankRuehl" w:hint="cs"/>
          <w:sz w:val="20"/>
          <w:szCs w:val="22"/>
          <w:rtl/>
        </w:rPr>
        <w:t xml:space="preserve"> </w:t>
      </w:r>
      <w:r w:rsidRPr="001F3DFF">
        <w:rPr>
          <w:rFonts w:cs="FrankRuehl"/>
          <w:sz w:val="20"/>
          <w:szCs w:val="22"/>
          <w:rtl/>
        </w:rPr>
        <w:t>והתוספת השלישית קובעים כי שר האוצר נדרש להקים ועדה שתהיה מוסמכת להטיל עיצום כספי (להלן - ועדת העיצומים). ה</w:t>
      </w:r>
      <w:r w:rsidRPr="001F3DFF">
        <w:rPr>
          <w:rFonts w:cs="FrankRuehl" w:hint="cs"/>
          <w:sz w:val="20"/>
          <w:szCs w:val="22"/>
          <w:rtl/>
        </w:rPr>
        <w:t>וו</w:t>
      </w:r>
      <w:r w:rsidRPr="001F3DFF">
        <w:rPr>
          <w:rFonts w:cs="FrankRuehl"/>
          <w:sz w:val="20"/>
          <w:szCs w:val="22"/>
          <w:rtl/>
        </w:rPr>
        <w:t>עדה</w:t>
      </w:r>
      <w:r>
        <w:rPr>
          <w:rStyle w:val="FootnoteReference0"/>
          <w:rFonts w:cs="FrankRuehl"/>
          <w:sz w:val="20"/>
          <w:szCs w:val="22"/>
          <w:rtl/>
        </w:rPr>
        <w:footnoteReference w:id="84"/>
      </w:r>
      <w:r w:rsidRPr="001F3DFF">
        <w:rPr>
          <w:rFonts w:cs="FrankRuehl"/>
          <w:sz w:val="20"/>
          <w:szCs w:val="22"/>
          <w:rtl/>
        </w:rPr>
        <w:t xml:space="preserve"> מתכנסת </w:t>
      </w:r>
      <w:r w:rsidRPr="001F3DFF">
        <w:rPr>
          <w:rFonts w:cs="FrankRuehl" w:hint="cs"/>
          <w:sz w:val="20"/>
          <w:szCs w:val="22"/>
          <w:rtl/>
        </w:rPr>
        <w:t>כמה</w:t>
      </w:r>
      <w:r w:rsidRPr="001F3DFF">
        <w:rPr>
          <w:rFonts w:cs="FrankRuehl"/>
          <w:sz w:val="20"/>
          <w:szCs w:val="22"/>
          <w:rtl/>
        </w:rPr>
        <w:t xml:space="preserve"> פעמים ב</w:t>
      </w:r>
      <w:r w:rsidRPr="001F3DFF">
        <w:rPr>
          <w:rFonts w:cs="FrankRuehl" w:hint="cs"/>
          <w:sz w:val="20"/>
          <w:szCs w:val="22"/>
          <w:rtl/>
        </w:rPr>
        <w:t>שנה</w:t>
      </w:r>
      <w:r w:rsidRPr="001F3DFF">
        <w:rPr>
          <w:rFonts w:cs="FrankRuehl"/>
          <w:sz w:val="20"/>
          <w:szCs w:val="22"/>
          <w:rtl/>
        </w:rPr>
        <w:t xml:space="preserve"> ודנה בדוחות הביקור</w:t>
      </w:r>
      <w:r w:rsidRPr="001F3DFF">
        <w:rPr>
          <w:rFonts w:cs="FrankRuehl" w:hint="cs"/>
          <w:sz w:val="20"/>
          <w:szCs w:val="22"/>
          <w:rtl/>
        </w:rPr>
        <w:t>ו</w:t>
      </w:r>
      <w:r w:rsidRPr="001F3DFF">
        <w:rPr>
          <w:rFonts w:cs="FrankRuehl"/>
          <w:sz w:val="20"/>
          <w:szCs w:val="22"/>
          <w:rtl/>
        </w:rPr>
        <w:t xml:space="preserve">ת </w:t>
      </w:r>
      <w:r w:rsidRPr="001F3DFF">
        <w:rPr>
          <w:rFonts w:cs="FrankRuehl" w:hint="cs"/>
          <w:sz w:val="20"/>
          <w:szCs w:val="22"/>
          <w:rtl/>
        </w:rPr>
        <w:t>שעושה</w:t>
      </w:r>
      <w:r w:rsidRPr="001F3DFF">
        <w:rPr>
          <w:rFonts w:cs="FrankRuehl"/>
          <w:sz w:val="20"/>
          <w:szCs w:val="22"/>
          <w:rtl/>
        </w:rPr>
        <w:t xml:space="preserve"> מחלקת האכיפה ביחיד</w:t>
      </w:r>
      <w:r w:rsidRPr="001F3DFF">
        <w:rPr>
          <w:rFonts w:cs="FrankRuehl" w:hint="cs"/>
          <w:sz w:val="20"/>
          <w:szCs w:val="22"/>
          <w:rtl/>
        </w:rPr>
        <w:t>ה,</w:t>
      </w:r>
      <w:r w:rsidRPr="001F3DFF">
        <w:rPr>
          <w:rFonts w:cs="FrankRuehl"/>
          <w:sz w:val="20"/>
          <w:szCs w:val="22"/>
          <w:rtl/>
        </w:rPr>
        <w:t xml:space="preserve"> הבוחנים את עמידתו</w:t>
      </w:r>
      <w:r w:rsidRPr="001F3DFF">
        <w:rPr>
          <w:rFonts w:cs="FrankRuehl" w:hint="cs"/>
          <w:sz w:val="20"/>
          <w:szCs w:val="22"/>
          <w:rtl/>
        </w:rPr>
        <w:t xml:space="preserve"> </w:t>
      </w:r>
      <w:r w:rsidRPr="001F3DFF">
        <w:rPr>
          <w:rFonts w:cs="FrankRuehl"/>
          <w:sz w:val="20"/>
          <w:szCs w:val="22"/>
          <w:rtl/>
        </w:rPr>
        <w:t xml:space="preserve">של </w:t>
      </w:r>
      <w:r w:rsidRPr="001F3DFF">
        <w:rPr>
          <w:rFonts w:cs="FrankRuehl"/>
          <w:sz w:val="20"/>
          <w:szCs w:val="22"/>
          <w:rtl/>
        </w:rPr>
        <w:t>נ</w:t>
      </w:r>
      <w:r w:rsidRPr="001F3DFF">
        <w:rPr>
          <w:rFonts w:cs="FrankRuehl" w:hint="cs"/>
          <w:sz w:val="20"/>
          <w:szCs w:val="22"/>
          <w:rtl/>
        </w:rPr>
        <w:t>ש"ם</w:t>
      </w:r>
      <w:r w:rsidRPr="001F3DFF">
        <w:rPr>
          <w:rFonts w:cs="FrankRuehl"/>
          <w:sz w:val="20"/>
          <w:szCs w:val="22"/>
          <w:rtl/>
        </w:rPr>
        <w:t xml:space="preserve"> בהוראות החוק והצו.</w:t>
      </w:r>
      <w:r w:rsidRPr="001F3DFF">
        <w:rPr>
          <w:rFonts w:cs="FrankRuehl" w:hint="cs"/>
          <w:sz w:val="20"/>
          <w:szCs w:val="22"/>
          <w:rtl/>
        </w:rPr>
        <w:t xml:space="preserve"> בסמכותה להטיל עיצומים כספיים על </w:t>
      </w:r>
      <w:r w:rsidRPr="001F3DFF">
        <w:rPr>
          <w:rFonts w:cs="FrankRuehl" w:hint="cs"/>
          <w:sz w:val="20"/>
          <w:szCs w:val="22"/>
          <w:rtl/>
        </w:rPr>
        <w:t>נש"ם</w:t>
      </w:r>
      <w:r w:rsidRPr="001F3DFF">
        <w:rPr>
          <w:rFonts w:cs="FrankRuehl" w:hint="cs"/>
          <w:sz w:val="20"/>
          <w:szCs w:val="22"/>
          <w:rtl/>
        </w:rPr>
        <w:t xml:space="preserve"> בגין הפרות של החוק והצווים והתקנות שהוצאו מכוחו.</w:t>
      </w:r>
      <w:r w:rsidRPr="001F3DFF">
        <w:rPr>
          <w:rFonts w:cs="FrankRuehl"/>
          <w:sz w:val="20"/>
          <w:szCs w:val="22"/>
          <w:rtl/>
        </w:rPr>
        <w:t xml:space="preserve"> גובה העיצום הכספי קבוע בחוק ובתקנות ומושפע</w:t>
      </w:r>
      <w:r w:rsidRPr="001F3DFF">
        <w:rPr>
          <w:rFonts w:cs="FrankRuehl" w:hint="cs"/>
          <w:sz w:val="20"/>
          <w:szCs w:val="22"/>
          <w:rtl/>
        </w:rPr>
        <w:t xml:space="preserve"> </w:t>
      </w:r>
      <w:r w:rsidRPr="001F3DFF">
        <w:rPr>
          <w:rFonts w:cs="FrankRuehl"/>
          <w:sz w:val="20"/>
          <w:szCs w:val="22"/>
          <w:rtl/>
        </w:rPr>
        <w:t>מ</w:t>
      </w:r>
      <w:r w:rsidRPr="001F3DFF">
        <w:rPr>
          <w:rFonts w:cs="FrankRuehl" w:hint="cs"/>
          <w:sz w:val="20"/>
          <w:szCs w:val="22"/>
          <w:rtl/>
        </w:rPr>
        <w:t>כמה</w:t>
      </w:r>
      <w:r w:rsidRPr="001F3DFF">
        <w:rPr>
          <w:rFonts w:cs="FrankRuehl"/>
          <w:sz w:val="20"/>
          <w:szCs w:val="22"/>
          <w:rtl/>
        </w:rPr>
        <w:t xml:space="preserve"> קריטריונים</w:t>
      </w:r>
      <w:r w:rsidRPr="001F3DFF">
        <w:rPr>
          <w:rFonts w:cs="FrankRuehl" w:hint="cs"/>
          <w:sz w:val="20"/>
          <w:szCs w:val="22"/>
          <w:rtl/>
        </w:rPr>
        <w:t>:</w:t>
      </w:r>
      <w:r w:rsidRPr="001F3DFF">
        <w:rPr>
          <w:rFonts w:cs="FrankRuehl"/>
          <w:sz w:val="20"/>
          <w:szCs w:val="22"/>
          <w:rtl/>
        </w:rPr>
        <w:t xml:space="preserve"> היות ההפרה הפרה</w:t>
      </w:r>
      <w:r w:rsidRPr="001F3DFF">
        <w:rPr>
          <w:rFonts w:cs="FrankRuehl" w:hint="cs"/>
          <w:sz w:val="20"/>
          <w:szCs w:val="22"/>
          <w:rtl/>
        </w:rPr>
        <w:t xml:space="preserve"> </w:t>
      </w:r>
      <w:r w:rsidRPr="001F3DFF">
        <w:rPr>
          <w:rFonts w:cs="FrankRuehl"/>
          <w:sz w:val="20"/>
          <w:szCs w:val="22"/>
          <w:rtl/>
        </w:rPr>
        <w:t>ראשונה</w:t>
      </w:r>
      <w:r w:rsidRPr="001F3DFF">
        <w:rPr>
          <w:rFonts w:cs="FrankRuehl" w:hint="cs"/>
          <w:sz w:val="20"/>
          <w:szCs w:val="22"/>
          <w:rtl/>
        </w:rPr>
        <w:t xml:space="preserve"> או</w:t>
      </w:r>
      <w:r w:rsidRPr="001F3DFF">
        <w:rPr>
          <w:rFonts w:cs="FrankRuehl"/>
          <w:sz w:val="20"/>
          <w:szCs w:val="22"/>
          <w:rtl/>
        </w:rPr>
        <w:t xml:space="preserve"> הפרה חוזרת</w:t>
      </w:r>
      <w:r w:rsidRPr="001F3DFF">
        <w:rPr>
          <w:rFonts w:cs="FrankRuehl" w:hint="cs"/>
          <w:sz w:val="20"/>
          <w:szCs w:val="22"/>
          <w:rtl/>
        </w:rPr>
        <w:t xml:space="preserve">, </w:t>
      </w:r>
      <w:r w:rsidRPr="001F3DFF">
        <w:rPr>
          <w:rFonts w:cs="FrankRuehl"/>
          <w:sz w:val="20"/>
          <w:szCs w:val="22"/>
          <w:rtl/>
        </w:rPr>
        <w:t>היקפה הכספי</w:t>
      </w:r>
      <w:r w:rsidRPr="001F3DFF">
        <w:rPr>
          <w:rFonts w:cs="FrankRuehl" w:hint="cs"/>
          <w:sz w:val="20"/>
          <w:szCs w:val="22"/>
          <w:rtl/>
        </w:rPr>
        <w:t xml:space="preserve"> של ההפרה</w:t>
      </w:r>
      <w:r w:rsidRPr="001F3DFF">
        <w:rPr>
          <w:rFonts w:cs="FrankRuehl"/>
          <w:sz w:val="20"/>
          <w:szCs w:val="22"/>
          <w:rtl/>
        </w:rPr>
        <w:t>, חומרת</w:t>
      </w:r>
      <w:r w:rsidRPr="001F3DFF">
        <w:rPr>
          <w:rFonts w:cs="FrankRuehl" w:hint="cs"/>
          <w:sz w:val="20"/>
          <w:szCs w:val="22"/>
          <w:rtl/>
        </w:rPr>
        <w:t>ה ותוצאותיה</w:t>
      </w:r>
      <w:r w:rsidRPr="001F3DFF">
        <w:rPr>
          <w:rFonts w:cs="FrankRuehl"/>
          <w:sz w:val="20"/>
          <w:szCs w:val="22"/>
          <w:rtl/>
        </w:rPr>
        <w:t xml:space="preserve">, שיתוף </w:t>
      </w:r>
      <w:r w:rsidRPr="001F3DFF">
        <w:rPr>
          <w:rFonts w:cs="FrankRuehl" w:hint="cs"/>
          <w:sz w:val="20"/>
          <w:szCs w:val="22"/>
          <w:rtl/>
        </w:rPr>
        <w:t>ה</w:t>
      </w:r>
      <w:r w:rsidRPr="001F3DFF">
        <w:rPr>
          <w:rFonts w:cs="FrankRuehl"/>
          <w:sz w:val="20"/>
          <w:szCs w:val="22"/>
          <w:rtl/>
        </w:rPr>
        <w:t>פעולה</w:t>
      </w:r>
      <w:r w:rsidRPr="001F3DFF">
        <w:rPr>
          <w:rFonts w:cs="FrankRuehl" w:hint="cs"/>
          <w:sz w:val="20"/>
          <w:szCs w:val="22"/>
          <w:rtl/>
        </w:rPr>
        <w:t xml:space="preserve"> </w:t>
      </w:r>
      <w:r w:rsidRPr="001F3DFF">
        <w:rPr>
          <w:rFonts w:cs="FrankRuehl"/>
          <w:sz w:val="20"/>
          <w:szCs w:val="22"/>
          <w:rtl/>
        </w:rPr>
        <w:t>בגילוי</w:t>
      </w:r>
      <w:r w:rsidRPr="001F3DFF">
        <w:rPr>
          <w:rFonts w:cs="FrankRuehl" w:hint="cs"/>
          <w:sz w:val="20"/>
          <w:szCs w:val="22"/>
          <w:rtl/>
        </w:rPr>
        <w:t>ה ועוד</w:t>
      </w:r>
      <w:r w:rsidRPr="001F3DFF">
        <w:rPr>
          <w:rFonts w:cs="FrankRuehl"/>
          <w:sz w:val="20"/>
          <w:szCs w:val="22"/>
          <w:rtl/>
        </w:rPr>
        <w:t>.</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לוח 2 להלן מציגה את היקף העיצומים הכספיים שהוטלו על </w:t>
      </w:r>
      <w:r w:rsidRPr="001F3DFF">
        <w:rPr>
          <w:rFonts w:cs="FrankRuehl" w:hint="cs"/>
          <w:sz w:val="20"/>
          <w:szCs w:val="22"/>
          <w:rtl/>
        </w:rPr>
        <w:t>נש"ם</w:t>
      </w:r>
      <w:r w:rsidRPr="001F3DFF">
        <w:rPr>
          <w:rFonts w:cs="FrankRuehl" w:hint="cs"/>
          <w:sz w:val="20"/>
          <w:szCs w:val="22"/>
          <w:rtl/>
        </w:rPr>
        <w:t xml:space="preserve"> בשנים 2014-2010 ואת מספר הביקורות שביצעה היחידה באותן שנים. </w:t>
      </w:r>
    </w:p>
    <w:p w:rsidR="005E5B2C" w:rsidRPr="00610649" w:rsidP="00FB46AA">
      <w:pPr>
        <w:pStyle w:val="tab-name"/>
        <w:spacing w:before="120"/>
        <w:rPr>
          <w:b w:val="0"/>
          <w:bCs w:val="0"/>
          <w:sz w:val="20"/>
          <w:szCs w:val="20"/>
          <w:rtl/>
        </w:rPr>
      </w:pPr>
      <w:r w:rsidRPr="00610649">
        <w:rPr>
          <w:rFonts w:hint="cs"/>
          <w:b w:val="0"/>
          <w:bCs w:val="0"/>
          <w:sz w:val="20"/>
          <w:szCs w:val="20"/>
          <w:rtl/>
        </w:rPr>
        <w:t>לוח</w:t>
      </w:r>
      <w:r w:rsidR="00610649">
        <w:rPr>
          <w:b w:val="0"/>
          <w:bCs w:val="0"/>
          <w:sz w:val="20"/>
          <w:szCs w:val="20"/>
          <w:rtl/>
        </w:rPr>
        <w:t xml:space="preserve"> 2</w:t>
      </w:r>
      <w:r w:rsidR="00610649">
        <w:rPr>
          <w:rFonts w:hint="cs"/>
          <w:b w:val="0"/>
          <w:bCs w:val="0"/>
          <w:sz w:val="20"/>
          <w:szCs w:val="20"/>
          <w:rtl/>
        </w:rPr>
        <w:br/>
      </w:r>
      <w:r w:rsidRPr="00610649">
        <w:rPr>
          <w:rFonts w:hint="cs"/>
          <w:rtl/>
        </w:rPr>
        <w:t xml:space="preserve">מספר הביקורות שביצעה היחידה </w:t>
      </w:r>
      <w:r w:rsidRPr="00610649">
        <w:rPr>
          <w:rFonts w:hint="cs"/>
          <w:rtl/>
        </w:rPr>
        <w:t>לנש"ם</w:t>
      </w:r>
      <w:r w:rsidRPr="00610649">
        <w:rPr>
          <w:rFonts w:hint="cs"/>
          <w:rtl/>
        </w:rPr>
        <w:t xml:space="preserve"> וסכומי העיצומים שהוטלו</w:t>
      </w:r>
      <w:r w:rsidR="00610649">
        <w:rPr>
          <w:rFonts w:hint="cs"/>
          <w:rtl/>
        </w:rPr>
        <w:t xml:space="preserve">, </w:t>
      </w:r>
      <w:r w:rsidRPr="00610649">
        <w:rPr>
          <w:rFonts w:hint="cs"/>
          <w:rtl/>
        </w:rPr>
        <w:t>2014-2010</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588"/>
        <w:gridCol w:w="2239"/>
        <w:gridCol w:w="2864"/>
      </w:tblGrid>
      <w:tr w:rsidTr="00610649">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trHeight w:val="315"/>
          <w:jc w:val="center"/>
        </w:trPr>
        <w:tc>
          <w:tcPr>
            <w:tcW w:w="1220" w:type="dxa"/>
            <w:tcBorders>
              <w:top w:val="single" w:sz="12" w:space="0" w:color="auto"/>
              <w:bottom w:val="single" w:sz="12" w:space="0" w:color="auto"/>
            </w:tcBorders>
            <w:shd w:val="pct10" w:color="auto" w:fill="auto"/>
            <w:noWrap/>
            <w:vAlign w:val="bottom"/>
          </w:tcPr>
          <w:p w:rsidR="005E5B2C" w:rsidRPr="00610649" w:rsidP="00FB46AA">
            <w:pPr>
              <w:spacing w:before="40" w:after="40" w:line="220" w:lineRule="exact"/>
              <w:jc w:val="center"/>
              <w:rPr>
                <w:rFonts w:cs="FrankRuehl"/>
                <w:b/>
                <w:bCs/>
                <w:sz w:val="18"/>
                <w:szCs w:val="20"/>
              </w:rPr>
            </w:pPr>
          </w:p>
        </w:tc>
        <w:tc>
          <w:tcPr>
            <w:tcW w:w="1720" w:type="dxa"/>
            <w:tcBorders>
              <w:top w:val="single" w:sz="12" w:space="0" w:color="auto"/>
              <w:bottom w:val="single" w:sz="12" w:space="0" w:color="auto"/>
            </w:tcBorders>
            <w:shd w:val="pct10" w:color="auto" w:fill="auto"/>
            <w:noWrap/>
            <w:vAlign w:val="bottom"/>
            <w:hideMark/>
          </w:tcPr>
          <w:p w:rsidR="005E5B2C" w:rsidRPr="00610649" w:rsidP="00FB46AA">
            <w:pPr>
              <w:spacing w:before="40" w:after="40" w:line="220" w:lineRule="exact"/>
              <w:jc w:val="center"/>
              <w:rPr>
                <w:rFonts w:cs="FrankRuehl"/>
                <w:b/>
                <w:bCs/>
                <w:sz w:val="18"/>
                <w:szCs w:val="20"/>
              </w:rPr>
            </w:pPr>
            <w:r w:rsidRPr="00610649">
              <w:rPr>
                <w:rFonts w:cs="FrankRuehl" w:hint="cs"/>
                <w:b/>
                <w:bCs/>
                <w:sz w:val="18"/>
                <w:szCs w:val="20"/>
                <w:rtl/>
              </w:rPr>
              <w:t>מספר ביקורות</w:t>
            </w:r>
          </w:p>
        </w:tc>
        <w:tc>
          <w:tcPr>
            <w:tcW w:w="2200" w:type="dxa"/>
            <w:tcBorders>
              <w:top w:val="single" w:sz="12" w:space="0" w:color="auto"/>
              <w:bottom w:val="single" w:sz="12" w:space="0" w:color="auto"/>
            </w:tcBorders>
            <w:shd w:val="pct10" w:color="auto" w:fill="auto"/>
            <w:noWrap/>
            <w:vAlign w:val="bottom"/>
            <w:hideMark/>
          </w:tcPr>
          <w:p w:rsidR="005E5B2C" w:rsidRPr="00610649" w:rsidP="00FB46AA">
            <w:pPr>
              <w:spacing w:before="40" w:after="40" w:line="220" w:lineRule="exact"/>
              <w:jc w:val="center"/>
              <w:rPr>
                <w:rFonts w:cs="FrankRuehl"/>
                <w:b/>
                <w:bCs/>
                <w:sz w:val="18"/>
                <w:szCs w:val="20"/>
              </w:rPr>
            </w:pPr>
            <w:r w:rsidRPr="00610649">
              <w:rPr>
                <w:rFonts w:cs="FrankRuehl" w:hint="cs"/>
                <w:b/>
                <w:bCs/>
                <w:sz w:val="18"/>
                <w:szCs w:val="20"/>
                <w:rtl/>
              </w:rPr>
              <w:t>עיצומים כספיים (בש"ח)</w:t>
            </w:r>
          </w:p>
        </w:tc>
      </w:tr>
      <w:tr w:rsidTr="00610649">
        <w:tblPrEx>
          <w:tblW w:w="6691" w:type="dxa"/>
          <w:jc w:val="center"/>
          <w:tblLook w:val="04A0"/>
        </w:tblPrEx>
        <w:trPr>
          <w:trHeight w:val="300"/>
          <w:jc w:val="center"/>
        </w:trPr>
        <w:tc>
          <w:tcPr>
            <w:tcW w:w="1220" w:type="dxa"/>
            <w:tcBorders>
              <w:top w:val="single" w:sz="12" w:space="0" w:color="auto"/>
            </w:tcBorders>
            <w:shd w:val="clear" w:color="auto" w:fill="auto"/>
            <w:noWrap/>
            <w:vAlign w:val="bottom"/>
            <w:hideMark/>
          </w:tcPr>
          <w:p w:rsidR="005E5B2C" w:rsidRPr="00610649" w:rsidP="00FB46AA">
            <w:pPr>
              <w:spacing w:before="40" w:after="40" w:line="220" w:lineRule="exact"/>
              <w:rPr>
                <w:rFonts w:cs="FrankRuehl"/>
                <w:sz w:val="18"/>
                <w:szCs w:val="20"/>
              </w:rPr>
            </w:pPr>
            <w:r w:rsidRPr="00610649">
              <w:rPr>
                <w:rFonts w:cs="FrankRuehl" w:hint="cs"/>
                <w:sz w:val="18"/>
                <w:szCs w:val="20"/>
                <w:rtl/>
              </w:rPr>
              <w:t>2010</w:t>
            </w:r>
          </w:p>
        </w:tc>
        <w:tc>
          <w:tcPr>
            <w:tcW w:w="1720" w:type="dxa"/>
            <w:tcBorders>
              <w:top w:val="single" w:sz="12" w:space="0" w:color="auto"/>
            </w:tcBorders>
            <w:shd w:val="clear" w:color="auto" w:fill="auto"/>
            <w:noWrap/>
            <w:vAlign w:val="bottom"/>
            <w:hideMark/>
          </w:tcPr>
          <w:p w:rsidR="005E5B2C" w:rsidRPr="00610649" w:rsidP="00FB46AA">
            <w:pPr>
              <w:spacing w:before="40" w:after="40" w:line="220" w:lineRule="exact"/>
              <w:ind w:left="737"/>
              <w:rPr>
                <w:rFonts w:cs="FrankRuehl"/>
                <w:sz w:val="18"/>
                <w:szCs w:val="20"/>
              </w:rPr>
            </w:pPr>
            <w:r w:rsidRPr="00610649">
              <w:rPr>
                <w:rFonts w:cs="FrankRuehl" w:hint="cs"/>
                <w:sz w:val="18"/>
                <w:szCs w:val="20"/>
                <w:rtl/>
              </w:rPr>
              <w:t>14</w:t>
            </w:r>
          </w:p>
        </w:tc>
        <w:tc>
          <w:tcPr>
            <w:tcW w:w="2200" w:type="dxa"/>
            <w:tcBorders>
              <w:top w:val="single" w:sz="12" w:space="0" w:color="auto"/>
            </w:tcBorders>
            <w:shd w:val="clear" w:color="auto" w:fill="auto"/>
            <w:noWrap/>
            <w:vAlign w:val="bottom"/>
            <w:hideMark/>
          </w:tcPr>
          <w:p w:rsidR="005E5B2C" w:rsidRPr="00610649" w:rsidP="00FB46AA">
            <w:pPr>
              <w:spacing w:before="40" w:after="40" w:line="220" w:lineRule="exact"/>
              <w:ind w:left="907"/>
              <w:rPr>
                <w:rFonts w:cs="FrankRuehl"/>
                <w:sz w:val="18"/>
                <w:szCs w:val="20"/>
              </w:rPr>
            </w:pPr>
            <w:r w:rsidRPr="00610649">
              <w:rPr>
                <w:rFonts w:cs="FrankRuehl" w:hint="cs"/>
                <w:sz w:val="18"/>
                <w:szCs w:val="20"/>
                <w:rtl/>
              </w:rPr>
              <w:t>368,000</w:t>
            </w:r>
          </w:p>
        </w:tc>
      </w:tr>
      <w:tr w:rsidTr="00610649">
        <w:tblPrEx>
          <w:tblW w:w="6691" w:type="dxa"/>
          <w:jc w:val="center"/>
          <w:tblLook w:val="04A0"/>
        </w:tblPrEx>
        <w:trPr>
          <w:trHeight w:val="300"/>
          <w:jc w:val="center"/>
        </w:trPr>
        <w:tc>
          <w:tcPr>
            <w:tcW w:w="1220" w:type="dxa"/>
            <w:shd w:val="clear" w:color="auto" w:fill="auto"/>
            <w:noWrap/>
            <w:vAlign w:val="bottom"/>
            <w:hideMark/>
          </w:tcPr>
          <w:p w:rsidR="005E5B2C" w:rsidRPr="00610649" w:rsidP="00FB46AA">
            <w:pPr>
              <w:spacing w:before="40" w:after="40" w:line="220" w:lineRule="exact"/>
              <w:rPr>
                <w:rFonts w:cs="FrankRuehl"/>
                <w:sz w:val="18"/>
                <w:szCs w:val="20"/>
              </w:rPr>
            </w:pPr>
            <w:r w:rsidRPr="00610649">
              <w:rPr>
                <w:rFonts w:cs="FrankRuehl" w:hint="cs"/>
                <w:sz w:val="18"/>
                <w:szCs w:val="20"/>
                <w:rtl/>
              </w:rPr>
              <w:t>2011</w:t>
            </w:r>
          </w:p>
        </w:tc>
        <w:tc>
          <w:tcPr>
            <w:tcW w:w="1720" w:type="dxa"/>
            <w:shd w:val="clear" w:color="auto" w:fill="auto"/>
            <w:noWrap/>
            <w:vAlign w:val="bottom"/>
            <w:hideMark/>
          </w:tcPr>
          <w:p w:rsidR="005E5B2C" w:rsidRPr="00610649" w:rsidP="00FB46AA">
            <w:pPr>
              <w:spacing w:before="40" w:after="40" w:line="220" w:lineRule="exact"/>
              <w:ind w:left="737"/>
              <w:rPr>
                <w:rFonts w:cs="FrankRuehl"/>
                <w:sz w:val="18"/>
                <w:szCs w:val="20"/>
              </w:rPr>
            </w:pPr>
            <w:r w:rsidRPr="00610649">
              <w:rPr>
                <w:rFonts w:cs="FrankRuehl" w:hint="cs"/>
                <w:sz w:val="18"/>
                <w:szCs w:val="20"/>
                <w:rtl/>
              </w:rPr>
              <w:t>43</w:t>
            </w:r>
          </w:p>
        </w:tc>
        <w:tc>
          <w:tcPr>
            <w:tcW w:w="2200" w:type="dxa"/>
            <w:shd w:val="clear" w:color="auto" w:fill="auto"/>
            <w:noWrap/>
            <w:vAlign w:val="bottom"/>
            <w:hideMark/>
          </w:tcPr>
          <w:p w:rsidR="005E5B2C" w:rsidRPr="00610649" w:rsidP="00FB46AA">
            <w:pPr>
              <w:spacing w:before="40" w:after="40" w:line="220" w:lineRule="exact"/>
              <w:ind w:left="907"/>
              <w:rPr>
                <w:rFonts w:cs="FrankRuehl"/>
                <w:sz w:val="18"/>
                <w:szCs w:val="20"/>
              </w:rPr>
            </w:pPr>
            <w:r w:rsidRPr="00610649">
              <w:rPr>
                <w:rFonts w:cs="FrankRuehl" w:hint="cs"/>
                <w:sz w:val="18"/>
                <w:szCs w:val="20"/>
                <w:rtl/>
              </w:rPr>
              <w:t>2,586,000</w:t>
            </w:r>
          </w:p>
        </w:tc>
      </w:tr>
      <w:tr w:rsidTr="00610649">
        <w:tblPrEx>
          <w:tblW w:w="6691" w:type="dxa"/>
          <w:jc w:val="center"/>
          <w:tblLook w:val="04A0"/>
        </w:tblPrEx>
        <w:trPr>
          <w:trHeight w:val="300"/>
          <w:jc w:val="center"/>
        </w:trPr>
        <w:tc>
          <w:tcPr>
            <w:tcW w:w="1220" w:type="dxa"/>
            <w:shd w:val="clear" w:color="auto" w:fill="auto"/>
            <w:noWrap/>
            <w:vAlign w:val="bottom"/>
            <w:hideMark/>
          </w:tcPr>
          <w:p w:rsidR="005E5B2C" w:rsidRPr="00610649" w:rsidP="00FB46AA">
            <w:pPr>
              <w:spacing w:before="40" w:after="40" w:line="220" w:lineRule="exact"/>
              <w:rPr>
                <w:rFonts w:cs="FrankRuehl"/>
                <w:sz w:val="18"/>
                <w:szCs w:val="20"/>
              </w:rPr>
            </w:pPr>
            <w:r w:rsidRPr="00610649">
              <w:rPr>
                <w:rFonts w:cs="FrankRuehl" w:hint="cs"/>
                <w:sz w:val="18"/>
                <w:szCs w:val="20"/>
                <w:rtl/>
              </w:rPr>
              <w:t>2012</w:t>
            </w:r>
          </w:p>
        </w:tc>
        <w:tc>
          <w:tcPr>
            <w:tcW w:w="1720" w:type="dxa"/>
            <w:shd w:val="clear" w:color="auto" w:fill="auto"/>
            <w:noWrap/>
            <w:vAlign w:val="bottom"/>
            <w:hideMark/>
          </w:tcPr>
          <w:p w:rsidR="005E5B2C" w:rsidRPr="00610649" w:rsidP="00FB46AA">
            <w:pPr>
              <w:spacing w:before="40" w:after="40" w:line="220" w:lineRule="exact"/>
              <w:ind w:left="737"/>
              <w:rPr>
                <w:rFonts w:cs="FrankRuehl"/>
                <w:sz w:val="18"/>
                <w:szCs w:val="20"/>
              </w:rPr>
            </w:pPr>
            <w:r w:rsidRPr="00610649">
              <w:rPr>
                <w:rFonts w:cs="FrankRuehl" w:hint="cs"/>
                <w:sz w:val="18"/>
                <w:szCs w:val="20"/>
                <w:rtl/>
              </w:rPr>
              <w:t>32</w:t>
            </w:r>
          </w:p>
        </w:tc>
        <w:tc>
          <w:tcPr>
            <w:tcW w:w="2200" w:type="dxa"/>
            <w:shd w:val="clear" w:color="auto" w:fill="auto"/>
            <w:noWrap/>
            <w:vAlign w:val="bottom"/>
            <w:hideMark/>
          </w:tcPr>
          <w:p w:rsidR="005E5B2C" w:rsidRPr="00610649" w:rsidP="00FB46AA">
            <w:pPr>
              <w:spacing w:before="40" w:after="40" w:line="220" w:lineRule="exact"/>
              <w:ind w:left="907"/>
              <w:rPr>
                <w:rFonts w:cs="FrankRuehl"/>
                <w:sz w:val="18"/>
                <w:szCs w:val="20"/>
              </w:rPr>
            </w:pPr>
            <w:r w:rsidRPr="00610649">
              <w:rPr>
                <w:rFonts w:cs="FrankRuehl" w:hint="cs"/>
                <w:sz w:val="18"/>
                <w:szCs w:val="20"/>
                <w:rtl/>
              </w:rPr>
              <w:t>1,299,000</w:t>
            </w:r>
          </w:p>
        </w:tc>
      </w:tr>
      <w:tr w:rsidTr="00610649">
        <w:tblPrEx>
          <w:tblW w:w="6691" w:type="dxa"/>
          <w:jc w:val="center"/>
          <w:tblLook w:val="04A0"/>
        </w:tblPrEx>
        <w:trPr>
          <w:trHeight w:val="300"/>
          <w:jc w:val="center"/>
        </w:trPr>
        <w:tc>
          <w:tcPr>
            <w:tcW w:w="1220" w:type="dxa"/>
            <w:shd w:val="clear" w:color="auto" w:fill="auto"/>
            <w:noWrap/>
            <w:vAlign w:val="bottom"/>
            <w:hideMark/>
          </w:tcPr>
          <w:p w:rsidR="005E5B2C" w:rsidRPr="00610649" w:rsidP="00FB46AA">
            <w:pPr>
              <w:spacing w:before="40" w:after="40" w:line="220" w:lineRule="exact"/>
              <w:rPr>
                <w:rFonts w:cs="FrankRuehl"/>
                <w:sz w:val="18"/>
                <w:szCs w:val="20"/>
              </w:rPr>
            </w:pPr>
            <w:r w:rsidRPr="00610649">
              <w:rPr>
                <w:rFonts w:cs="FrankRuehl" w:hint="cs"/>
                <w:sz w:val="18"/>
                <w:szCs w:val="20"/>
                <w:rtl/>
              </w:rPr>
              <w:t>2013</w:t>
            </w:r>
          </w:p>
        </w:tc>
        <w:tc>
          <w:tcPr>
            <w:tcW w:w="1720" w:type="dxa"/>
            <w:shd w:val="clear" w:color="auto" w:fill="auto"/>
            <w:noWrap/>
            <w:vAlign w:val="bottom"/>
            <w:hideMark/>
          </w:tcPr>
          <w:p w:rsidR="005E5B2C" w:rsidRPr="00610649" w:rsidP="00FB46AA">
            <w:pPr>
              <w:spacing w:before="40" w:after="40" w:line="220" w:lineRule="exact"/>
              <w:ind w:left="737"/>
              <w:rPr>
                <w:rFonts w:cs="FrankRuehl"/>
                <w:sz w:val="18"/>
                <w:szCs w:val="20"/>
              </w:rPr>
            </w:pPr>
            <w:r w:rsidRPr="00610649">
              <w:rPr>
                <w:rFonts w:cs="FrankRuehl" w:hint="cs"/>
                <w:sz w:val="18"/>
                <w:szCs w:val="20"/>
                <w:rtl/>
              </w:rPr>
              <w:t>26</w:t>
            </w:r>
          </w:p>
        </w:tc>
        <w:tc>
          <w:tcPr>
            <w:tcW w:w="2200" w:type="dxa"/>
            <w:shd w:val="clear" w:color="auto" w:fill="auto"/>
            <w:noWrap/>
            <w:vAlign w:val="bottom"/>
            <w:hideMark/>
          </w:tcPr>
          <w:p w:rsidR="005E5B2C" w:rsidRPr="00610649" w:rsidP="00FB46AA">
            <w:pPr>
              <w:spacing w:before="40" w:after="40" w:line="220" w:lineRule="exact"/>
              <w:ind w:left="907"/>
              <w:rPr>
                <w:rFonts w:cs="FrankRuehl"/>
                <w:sz w:val="18"/>
                <w:szCs w:val="20"/>
              </w:rPr>
            </w:pPr>
            <w:r w:rsidRPr="00610649">
              <w:rPr>
                <w:rFonts w:cs="FrankRuehl" w:hint="cs"/>
                <w:sz w:val="18"/>
                <w:szCs w:val="20"/>
                <w:rtl/>
              </w:rPr>
              <w:t>266,500</w:t>
            </w:r>
          </w:p>
        </w:tc>
      </w:tr>
      <w:tr w:rsidTr="00610649">
        <w:tblPrEx>
          <w:tblW w:w="6691" w:type="dxa"/>
          <w:jc w:val="center"/>
          <w:tblLook w:val="04A0"/>
        </w:tblPrEx>
        <w:trPr>
          <w:trHeight w:val="300"/>
          <w:jc w:val="center"/>
        </w:trPr>
        <w:tc>
          <w:tcPr>
            <w:tcW w:w="1220" w:type="dxa"/>
            <w:shd w:val="clear" w:color="auto" w:fill="auto"/>
            <w:noWrap/>
            <w:vAlign w:val="bottom"/>
            <w:hideMark/>
          </w:tcPr>
          <w:p w:rsidR="005E5B2C" w:rsidRPr="00610649" w:rsidP="00FB46AA">
            <w:pPr>
              <w:spacing w:before="40" w:after="40" w:line="220" w:lineRule="exact"/>
              <w:rPr>
                <w:rFonts w:cs="FrankRuehl"/>
                <w:sz w:val="18"/>
                <w:szCs w:val="20"/>
              </w:rPr>
            </w:pPr>
            <w:r w:rsidRPr="00610649">
              <w:rPr>
                <w:rFonts w:cs="FrankRuehl" w:hint="cs"/>
                <w:sz w:val="18"/>
                <w:szCs w:val="20"/>
                <w:rtl/>
              </w:rPr>
              <w:t>2014</w:t>
            </w:r>
            <w:r w:rsidRPr="00610649" w:rsidR="00610649">
              <w:rPr>
                <w:rFonts w:cs="FrankRuehl" w:hint="cs"/>
                <w:sz w:val="18"/>
                <w:szCs w:val="20"/>
                <w:rtl/>
              </w:rPr>
              <w:t>*</w:t>
            </w:r>
          </w:p>
        </w:tc>
        <w:tc>
          <w:tcPr>
            <w:tcW w:w="1720" w:type="dxa"/>
            <w:shd w:val="clear" w:color="auto" w:fill="auto"/>
            <w:noWrap/>
            <w:vAlign w:val="bottom"/>
            <w:hideMark/>
          </w:tcPr>
          <w:p w:rsidR="005E5B2C" w:rsidRPr="00610649" w:rsidP="00FB46AA">
            <w:pPr>
              <w:spacing w:before="40" w:after="40" w:line="220" w:lineRule="exact"/>
              <w:ind w:left="737"/>
              <w:rPr>
                <w:rFonts w:cs="FrankRuehl"/>
                <w:sz w:val="18"/>
                <w:szCs w:val="20"/>
              </w:rPr>
            </w:pPr>
            <w:r w:rsidRPr="00610649">
              <w:rPr>
                <w:rFonts w:cs="FrankRuehl" w:hint="cs"/>
                <w:sz w:val="18"/>
                <w:szCs w:val="20"/>
                <w:rtl/>
              </w:rPr>
              <w:t>25</w:t>
            </w:r>
          </w:p>
        </w:tc>
        <w:tc>
          <w:tcPr>
            <w:tcW w:w="2200" w:type="dxa"/>
            <w:shd w:val="clear" w:color="auto" w:fill="auto"/>
            <w:noWrap/>
            <w:vAlign w:val="bottom"/>
            <w:hideMark/>
          </w:tcPr>
          <w:p w:rsidR="005E5B2C" w:rsidRPr="00610649" w:rsidP="00FB46AA">
            <w:pPr>
              <w:spacing w:before="40" w:after="40" w:line="220" w:lineRule="exact"/>
              <w:ind w:left="907"/>
              <w:rPr>
                <w:rFonts w:cs="FrankRuehl"/>
                <w:sz w:val="18"/>
                <w:szCs w:val="20"/>
              </w:rPr>
            </w:pPr>
            <w:r w:rsidRPr="00610649">
              <w:rPr>
                <w:rFonts w:cs="FrankRuehl" w:hint="cs"/>
                <w:sz w:val="18"/>
                <w:szCs w:val="20"/>
                <w:rtl/>
              </w:rPr>
              <w:t>262,500</w:t>
            </w:r>
          </w:p>
        </w:tc>
      </w:tr>
    </w:tbl>
    <w:p w:rsidR="005E5B2C" w:rsidRPr="00610649" w:rsidP="00FB46AA">
      <w:pPr>
        <w:spacing w:before="120" w:after="120" w:line="200" w:lineRule="exact"/>
        <w:ind w:left="397" w:hanging="397"/>
        <w:jc w:val="both"/>
        <w:rPr>
          <w:rFonts w:cs="FrankRuehl"/>
          <w:sz w:val="20"/>
          <w:szCs w:val="20"/>
          <w:rtl/>
        </w:rPr>
      </w:pPr>
      <w:r w:rsidRPr="00610649">
        <w:rPr>
          <w:rFonts w:cs="FrankRuehl" w:hint="cs"/>
          <w:sz w:val="20"/>
          <w:szCs w:val="20"/>
          <w:rtl/>
        </w:rPr>
        <w:t xml:space="preserve">מקור: היחידה לנותני שירותי מטבע, משרד האוצר </w:t>
      </w:r>
    </w:p>
    <w:p w:rsidR="005E5B2C" w:rsidRPr="00610649" w:rsidP="00FB46AA">
      <w:pPr>
        <w:spacing w:after="240" w:line="200" w:lineRule="exact"/>
        <w:ind w:left="397" w:hanging="397"/>
        <w:jc w:val="both"/>
        <w:rPr>
          <w:rFonts w:cs="FrankRuehl"/>
          <w:sz w:val="20"/>
          <w:szCs w:val="20"/>
          <w:rtl/>
        </w:rPr>
      </w:pPr>
      <w:r w:rsidRPr="00610649">
        <w:rPr>
          <w:rFonts w:cs="FrankRuehl" w:hint="cs"/>
          <w:sz w:val="20"/>
          <w:szCs w:val="20"/>
          <w:rtl/>
        </w:rPr>
        <w:t>*</w:t>
      </w:r>
      <w:r w:rsidRPr="00610649" w:rsidR="006F6719">
        <w:rPr>
          <w:rFonts w:cs="FrankRuehl" w:hint="cs"/>
          <w:sz w:val="20"/>
          <w:szCs w:val="20"/>
          <w:rtl/>
        </w:rPr>
        <w:t xml:space="preserve"> </w:t>
      </w:r>
      <w:r w:rsidR="00610649">
        <w:rPr>
          <w:rFonts w:cs="FrankRuehl" w:hint="cs"/>
          <w:sz w:val="20"/>
          <w:szCs w:val="20"/>
          <w:rtl/>
        </w:rPr>
        <w:tab/>
      </w:r>
      <w:r w:rsidRPr="00610649">
        <w:rPr>
          <w:rFonts w:cs="FrankRuehl" w:hint="cs"/>
          <w:sz w:val="20"/>
          <w:szCs w:val="20"/>
          <w:rtl/>
        </w:rPr>
        <w:t>נכון לספטמבר 2014</w:t>
      </w:r>
    </w:p>
    <w:p w:rsidR="005E5B2C" w:rsidRPr="001F3DFF" w:rsidP="00FB46AA">
      <w:pPr>
        <w:pStyle w:val="RESHET"/>
        <w:rPr>
          <w:rtl/>
        </w:rPr>
      </w:pPr>
      <w:r w:rsidRPr="001F3DFF">
        <w:rPr>
          <w:rFonts w:hint="cs"/>
          <w:rtl/>
        </w:rPr>
        <w:t xml:space="preserve">מלוח 2 עולה כי בשנים 2014-2011 ביצעה היחידה מספר ביקורות זעום על </w:t>
      </w:r>
      <w:r w:rsidRPr="001F3DFF">
        <w:rPr>
          <w:rFonts w:hint="cs"/>
          <w:rtl/>
        </w:rPr>
        <w:t>נש"ם</w:t>
      </w:r>
      <w:r w:rsidRPr="001F3DFF">
        <w:rPr>
          <w:rFonts w:hint="cs"/>
          <w:rtl/>
        </w:rPr>
        <w:t xml:space="preserve">, והיקף העיצומים הכספיים שהוטלו עליהם צומצם באופן משמעותי. </w:t>
      </w:r>
    </w:p>
    <w:p w:rsidR="005E5B2C" w:rsidRPr="001F3DFF" w:rsidP="00FB46AA">
      <w:pPr>
        <w:spacing w:before="180" w:after="240" w:line="230" w:lineRule="exact"/>
        <w:jc w:val="both"/>
        <w:rPr>
          <w:rFonts w:cs="FrankRuehl"/>
          <w:sz w:val="20"/>
          <w:szCs w:val="22"/>
          <w:rtl/>
        </w:rPr>
      </w:pPr>
      <w:r w:rsidRPr="001F3DFF">
        <w:rPr>
          <w:rFonts w:cs="FrankRuehl" w:hint="cs"/>
          <w:sz w:val="20"/>
          <w:szCs w:val="22"/>
          <w:rtl/>
        </w:rPr>
        <w:t>היחידה מסרה למשרד מבקר המדינה ביוני 2014 כי היקף</w:t>
      </w:r>
      <w:r w:rsidRPr="001F3DFF">
        <w:rPr>
          <w:rFonts w:cs="FrankRuehl"/>
          <w:sz w:val="20"/>
          <w:szCs w:val="22"/>
          <w:rtl/>
        </w:rPr>
        <w:t xml:space="preserve"> ביקורות</w:t>
      </w:r>
      <w:r w:rsidRPr="001F3DFF">
        <w:rPr>
          <w:rFonts w:cs="FrankRuehl" w:hint="cs"/>
          <w:sz w:val="20"/>
          <w:szCs w:val="22"/>
          <w:rtl/>
        </w:rPr>
        <w:t>יה</w:t>
      </w:r>
      <w:r w:rsidRPr="001F3DFF">
        <w:rPr>
          <w:rFonts w:cs="FrankRuehl"/>
          <w:sz w:val="20"/>
          <w:szCs w:val="22"/>
          <w:rtl/>
        </w:rPr>
        <w:t xml:space="preserve"> מוגבל בשל כוח האדם והאמצעים העומדים לרשותה</w:t>
      </w:r>
      <w:r w:rsidRPr="001F3DFF">
        <w:rPr>
          <w:rFonts w:cs="FrankRuehl" w:hint="cs"/>
          <w:sz w:val="20"/>
          <w:szCs w:val="22"/>
          <w:rtl/>
        </w:rPr>
        <w:t>,</w:t>
      </w:r>
      <w:r w:rsidRPr="001F3DFF">
        <w:rPr>
          <w:rFonts w:cs="FrankRuehl"/>
          <w:sz w:val="20"/>
          <w:szCs w:val="22"/>
          <w:rtl/>
        </w:rPr>
        <w:t xml:space="preserve"> </w:t>
      </w:r>
      <w:r w:rsidRPr="001F3DFF">
        <w:rPr>
          <w:rFonts w:cs="FrankRuehl" w:hint="cs"/>
          <w:sz w:val="20"/>
          <w:szCs w:val="22"/>
          <w:rtl/>
        </w:rPr>
        <w:t>ו</w:t>
      </w:r>
      <w:r w:rsidRPr="001F3DFF">
        <w:rPr>
          <w:rFonts w:cs="FrankRuehl"/>
          <w:sz w:val="20"/>
          <w:szCs w:val="22"/>
          <w:rtl/>
        </w:rPr>
        <w:t xml:space="preserve">עם זאת בתקופה האחרונה </w:t>
      </w:r>
      <w:r w:rsidRPr="001F3DFF">
        <w:rPr>
          <w:rFonts w:cs="FrankRuehl" w:hint="cs"/>
          <w:sz w:val="20"/>
          <w:szCs w:val="22"/>
          <w:rtl/>
        </w:rPr>
        <w:t xml:space="preserve">היא שמה </w:t>
      </w:r>
      <w:r w:rsidRPr="001F3DFF">
        <w:rPr>
          <w:rFonts w:cs="FrankRuehl"/>
          <w:sz w:val="20"/>
          <w:szCs w:val="22"/>
          <w:rtl/>
        </w:rPr>
        <w:t xml:space="preserve">דגש </w:t>
      </w:r>
      <w:r w:rsidRPr="001F3DFF">
        <w:rPr>
          <w:rFonts w:cs="FrankRuehl" w:hint="cs"/>
          <w:sz w:val="20"/>
          <w:szCs w:val="22"/>
          <w:rtl/>
        </w:rPr>
        <w:t xml:space="preserve">על </w:t>
      </w:r>
      <w:r w:rsidRPr="001F3DFF">
        <w:rPr>
          <w:rFonts w:cs="FrankRuehl"/>
          <w:sz w:val="20"/>
          <w:szCs w:val="22"/>
          <w:rtl/>
        </w:rPr>
        <w:t xml:space="preserve">ביצוע ביקורות במגזרים </w:t>
      </w:r>
      <w:r w:rsidRPr="001F3DFF">
        <w:rPr>
          <w:rFonts w:cs="FrankRuehl" w:hint="cs"/>
          <w:sz w:val="20"/>
          <w:szCs w:val="22"/>
          <w:rtl/>
        </w:rPr>
        <w:t>האמורים. עוד ענתה כי משרד האוצר פועל</w:t>
      </w:r>
      <w:r w:rsidRPr="001F3DFF">
        <w:rPr>
          <w:rFonts w:cs="FrankRuehl"/>
          <w:sz w:val="20"/>
          <w:szCs w:val="22"/>
          <w:rtl/>
        </w:rPr>
        <w:t xml:space="preserve"> להעתיק את מיקומה של היחידה </w:t>
      </w:r>
      <w:r w:rsidRPr="001F3DFF">
        <w:rPr>
          <w:rFonts w:cs="FrankRuehl" w:hint="cs"/>
          <w:sz w:val="20"/>
          <w:szCs w:val="22"/>
          <w:rtl/>
        </w:rPr>
        <w:t xml:space="preserve">אל </w:t>
      </w:r>
      <w:r w:rsidRPr="001F3DFF">
        <w:rPr>
          <w:rFonts w:cs="FrankRuehl"/>
          <w:sz w:val="20"/>
          <w:szCs w:val="22"/>
          <w:rtl/>
        </w:rPr>
        <w:t>רשות המסים</w:t>
      </w:r>
      <w:r w:rsidRPr="001F3DFF">
        <w:rPr>
          <w:rFonts w:cs="FrankRuehl" w:hint="cs"/>
          <w:sz w:val="20"/>
          <w:szCs w:val="22"/>
          <w:rtl/>
        </w:rPr>
        <w:t>,</w:t>
      </w:r>
      <w:r w:rsidRPr="001F3DFF">
        <w:rPr>
          <w:rFonts w:cs="FrankRuehl"/>
          <w:sz w:val="20"/>
          <w:szCs w:val="22"/>
          <w:rtl/>
        </w:rPr>
        <w:t xml:space="preserve"> וזאת </w:t>
      </w:r>
      <w:r w:rsidRPr="001F3DFF">
        <w:rPr>
          <w:rFonts w:cs="FrankRuehl" w:hint="cs"/>
          <w:sz w:val="20"/>
          <w:szCs w:val="22"/>
          <w:rtl/>
        </w:rPr>
        <w:t>"</w:t>
      </w:r>
      <w:r w:rsidRPr="001F3DFF">
        <w:rPr>
          <w:rFonts w:cs="FrankRuehl"/>
          <w:sz w:val="20"/>
          <w:szCs w:val="22"/>
          <w:rtl/>
        </w:rPr>
        <w:t xml:space="preserve">במגמה לחזק את יכולות האכיפה באמצעים וכוח אדם ולהחיל אכיפה אפקטיבית </w:t>
      </w:r>
      <w:r w:rsidRPr="001F3DFF">
        <w:rPr>
          <w:rFonts w:cs="FrankRuehl"/>
          <w:sz w:val="20"/>
          <w:szCs w:val="22"/>
          <w:rtl/>
        </w:rPr>
        <w:t>וכוללנית יותר</w:t>
      </w:r>
      <w:r w:rsidRPr="001F3DFF">
        <w:rPr>
          <w:rFonts w:cs="FrankRuehl" w:hint="cs"/>
          <w:sz w:val="20"/>
          <w:szCs w:val="22"/>
          <w:rtl/>
        </w:rPr>
        <w:t>"</w:t>
      </w:r>
      <w:r>
        <w:rPr>
          <w:rStyle w:val="FootnoteReference0"/>
          <w:rFonts w:cs="FrankRuehl"/>
          <w:sz w:val="20"/>
          <w:szCs w:val="22"/>
          <w:rtl/>
        </w:rPr>
        <w:footnoteReference w:id="85"/>
      </w:r>
      <w:r w:rsidRPr="001F3DFF">
        <w:rPr>
          <w:rFonts w:cs="FrankRuehl" w:hint="cs"/>
          <w:sz w:val="20"/>
          <w:szCs w:val="22"/>
          <w:rtl/>
        </w:rPr>
        <w:t xml:space="preserve">. מנהל היחידה מסר למשרד מבקר המדינה באפריל 2014 כי במצבת כוח האדם הנוכחית, תוכל היחידה לבצע ביקורת אצל </w:t>
      </w:r>
      <w:r w:rsidRPr="001F3DFF">
        <w:rPr>
          <w:rFonts w:cs="FrankRuehl" w:hint="cs"/>
          <w:sz w:val="20"/>
          <w:szCs w:val="22"/>
          <w:rtl/>
        </w:rPr>
        <w:t>נש"ם</w:t>
      </w:r>
      <w:r w:rsidRPr="001F3DFF">
        <w:rPr>
          <w:rFonts w:cs="FrankRuehl" w:hint="cs"/>
          <w:sz w:val="20"/>
          <w:szCs w:val="22"/>
          <w:rtl/>
        </w:rPr>
        <w:t xml:space="preserve"> מסוים אחת ל-30 שנה לערך</w:t>
      </w:r>
      <w:r>
        <w:rPr>
          <w:rStyle w:val="FootnoteReference0"/>
          <w:rFonts w:cs="FrankRuehl"/>
          <w:sz w:val="20"/>
          <w:szCs w:val="22"/>
          <w:rtl/>
        </w:rPr>
        <w:footnoteReference w:id="86"/>
      </w:r>
      <w:r w:rsidRPr="001F3DFF">
        <w:rPr>
          <w:rFonts w:cs="FrankRuehl" w:hint="cs"/>
          <w:sz w:val="20"/>
          <w:szCs w:val="22"/>
          <w:rtl/>
        </w:rPr>
        <w:t>.</w:t>
      </w:r>
    </w:p>
    <w:p w:rsidR="005E5B2C" w:rsidRPr="001F3DFF" w:rsidP="00FB46AA">
      <w:pPr>
        <w:pStyle w:val="RESHET"/>
        <w:rPr>
          <w:rtl/>
        </w:rPr>
      </w:pPr>
      <w:r w:rsidRPr="001F3DFF">
        <w:rPr>
          <w:rFonts w:hint="cs"/>
          <w:rtl/>
        </w:rPr>
        <w:t xml:space="preserve">משרד מבקר המדינה מעיר כי על היחידה לפעול בהקדם לתיקון הליקויים שהועלו בדוחות הביקורת בעניין נותני שירותי מטבע. </w:t>
      </w:r>
    </w:p>
    <w:p w:rsidR="005E5B2C" w:rsidRPr="001F3DFF" w:rsidP="00FB46AA">
      <w:pPr>
        <w:spacing w:after="120" w:line="230" w:lineRule="exact"/>
        <w:jc w:val="both"/>
        <w:rPr>
          <w:rFonts w:cs="FrankRuehl"/>
          <w:sz w:val="20"/>
          <w:szCs w:val="22"/>
          <w:rtl/>
        </w:rPr>
      </w:pPr>
    </w:p>
    <w:p w:rsidR="005E5B2C" w:rsidRPr="001E4618" w:rsidP="00FB46AA">
      <w:pPr>
        <w:pStyle w:val="KOT5"/>
        <w:rPr>
          <w:rtl/>
        </w:rPr>
      </w:pPr>
      <w:r w:rsidRPr="001E4618">
        <w:rPr>
          <w:rFonts w:hint="cs"/>
          <w:rtl/>
        </w:rPr>
        <w:t>הלבנת הון ומימון טרור בקרב נותני שירותי מטבע</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הלבנת הון היא תהליך שבו רכוש שמקורו בפשיעה מוטמע בתוך המערכת הפיננסית הלגיטימית כדי שאפשר יהיה להשתמש בו בלא חשש מרשויות האכיפה. </w:t>
      </w:r>
      <w:r w:rsidRPr="001F3DFF">
        <w:rPr>
          <w:rFonts w:cs="FrankRuehl" w:hint="cs"/>
          <w:sz w:val="20"/>
          <w:szCs w:val="22"/>
          <w:rtl/>
        </w:rPr>
        <w:t>נש"ם</w:t>
      </w:r>
      <w:r w:rsidRPr="001F3DFF">
        <w:rPr>
          <w:rFonts w:cs="FrankRuehl" w:hint="cs"/>
          <w:sz w:val="20"/>
          <w:szCs w:val="22"/>
          <w:rtl/>
        </w:rPr>
        <w:t xml:space="preserve"> משתתפים במקרים רבים בהלבנת הון - בין אם כנותני שירות לצורך ביצוע פעולה פיננסית ובין אם כשותפים לדבר עברה. במקרים רבים משתמשים </w:t>
      </w:r>
      <w:r w:rsidRPr="001F3DFF">
        <w:rPr>
          <w:rFonts w:cs="FrankRuehl" w:hint="cs"/>
          <w:sz w:val="20"/>
          <w:szCs w:val="22"/>
          <w:rtl/>
        </w:rPr>
        <w:t>בנש"ם</w:t>
      </w:r>
      <w:r w:rsidRPr="001F3DFF">
        <w:rPr>
          <w:rFonts w:cs="FrankRuehl" w:hint="cs"/>
          <w:sz w:val="20"/>
          <w:szCs w:val="22"/>
          <w:rtl/>
        </w:rPr>
        <w:t xml:space="preserve"> בפעילות העברה של כספים - למשל המרות מטבע וניכיון צ'קים - אשר מיועדים בסופו של תהליך למימון פעילות טרור. במתווה יעד מפכ"ל משטרת ישראל משנת 2004 הוגדרו </w:t>
      </w:r>
      <w:r w:rsidRPr="001F3DFF">
        <w:rPr>
          <w:rFonts w:cs="FrankRuehl" w:hint="cs"/>
          <w:sz w:val="20"/>
          <w:szCs w:val="22"/>
          <w:rtl/>
        </w:rPr>
        <w:t>נש"ם</w:t>
      </w:r>
      <w:r w:rsidRPr="001F3DFF">
        <w:rPr>
          <w:rFonts w:cs="FrankRuehl" w:hint="cs"/>
          <w:sz w:val="20"/>
          <w:szCs w:val="22"/>
          <w:rtl/>
        </w:rPr>
        <w:t xml:space="preserve"> לא רשומים כ"מחוללי פשיעה"</w:t>
      </w:r>
      <w:r>
        <w:rPr>
          <w:rStyle w:val="FootnoteReference0"/>
          <w:rFonts w:cs="FrankRuehl"/>
          <w:sz w:val="20"/>
          <w:szCs w:val="22"/>
          <w:rtl/>
        </w:rPr>
        <w:footnoteReference w:id="87"/>
      </w:r>
      <w:r w:rsidRPr="001F3DFF">
        <w:rPr>
          <w:rFonts w:cs="FrankRuehl" w:hint="cs"/>
          <w:sz w:val="20"/>
          <w:szCs w:val="22"/>
          <w:rtl/>
        </w:rPr>
        <w:t>.</w:t>
      </w:r>
    </w:p>
    <w:p w:rsidR="005E5B2C" w:rsidRPr="001F3DFF" w:rsidP="0012183A">
      <w:pPr>
        <w:spacing w:after="120" w:line="230" w:lineRule="exact"/>
        <w:jc w:val="both"/>
        <w:rPr>
          <w:rFonts w:cs="FrankRuehl"/>
          <w:sz w:val="20"/>
          <w:szCs w:val="22"/>
          <w:rtl/>
        </w:rPr>
      </w:pPr>
      <w:r w:rsidRPr="001F3DFF">
        <w:rPr>
          <w:rFonts w:cs="FrankRuehl" w:hint="cs"/>
          <w:sz w:val="20"/>
          <w:szCs w:val="22"/>
          <w:rtl/>
        </w:rPr>
        <w:t>כחלק מהמאבק הבין-לאומי בפשיעה החמורה ובהלבנת הון, נחקק בישראל בשנת 2000 חוק איסור הלבנת הון. החקיקה קודמה על רקע הדרישות הבין-לאומיות שקבע ארגון ה-</w:t>
      </w:r>
      <w:r w:rsidRPr="001F3DFF">
        <w:rPr>
          <w:rFonts w:cs="FrankRuehl"/>
          <w:sz w:val="20"/>
          <w:szCs w:val="22"/>
        </w:rPr>
        <w:t>Financial Action Task Force</w:t>
      </w:r>
      <w:r w:rsidR="0012183A">
        <w:rPr>
          <w:rFonts w:cs="FrankRuehl"/>
          <w:sz w:val="20"/>
          <w:szCs w:val="22"/>
        </w:rPr>
        <w:t xml:space="preserve"> (</w:t>
      </w:r>
      <w:r w:rsidRPr="001F3DFF" w:rsidR="0012183A">
        <w:rPr>
          <w:rFonts w:cs="FrankRuehl"/>
          <w:sz w:val="20"/>
          <w:szCs w:val="22"/>
        </w:rPr>
        <w:t>FATF</w:t>
      </w:r>
      <w:r w:rsidR="0012183A">
        <w:rPr>
          <w:rFonts w:cs="FrankRuehl"/>
          <w:sz w:val="20"/>
          <w:szCs w:val="22"/>
        </w:rPr>
        <w:t>)</w:t>
      </w:r>
      <w:r w:rsidR="0012183A">
        <w:rPr>
          <w:rFonts w:cs="FrankRuehl" w:hint="cs"/>
          <w:sz w:val="20"/>
          <w:szCs w:val="22"/>
          <w:rtl/>
        </w:rPr>
        <w:t xml:space="preserve"> </w:t>
      </w:r>
      <w:r w:rsidRPr="001F3DFF">
        <w:rPr>
          <w:rFonts w:cs="FrankRuehl" w:hint="cs"/>
          <w:sz w:val="20"/>
          <w:szCs w:val="22"/>
          <w:rtl/>
        </w:rPr>
        <w:t>ולאור רצונה של מדינת ישראל לעמוד בהן ולהצטרף למאמץ הבין-לאומי במאבק בהלבנת הון. במאי 2012 הגישה ישראל בקשה רשמית להצטרף ל-</w:t>
      </w:r>
      <w:r w:rsidRPr="001F3DFF">
        <w:rPr>
          <w:rFonts w:cs="FrankRuehl"/>
          <w:sz w:val="20"/>
          <w:szCs w:val="22"/>
        </w:rPr>
        <w:t>FATF</w:t>
      </w:r>
      <w:r w:rsidRPr="001F3DFF">
        <w:rPr>
          <w:rFonts w:cs="FrankRuehl" w:hint="cs"/>
          <w:sz w:val="20"/>
          <w:szCs w:val="22"/>
          <w:rtl/>
        </w:rPr>
        <w:t xml:space="preserve">, ובאוגוסט 2014 </w:t>
      </w:r>
      <w:r w:rsidRPr="001F3DFF">
        <w:rPr>
          <w:rFonts w:cs="FrankRuehl"/>
          <w:sz w:val="20"/>
          <w:szCs w:val="22"/>
          <w:rtl/>
        </w:rPr>
        <w:t>החל</w:t>
      </w:r>
      <w:r w:rsidRPr="001F3DFF">
        <w:rPr>
          <w:rFonts w:cs="FrankRuehl" w:hint="cs"/>
          <w:sz w:val="20"/>
          <w:szCs w:val="22"/>
          <w:rtl/>
        </w:rPr>
        <w:t>י</w:t>
      </w:r>
      <w:r w:rsidRPr="001F3DFF">
        <w:rPr>
          <w:rFonts w:cs="FrankRuehl"/>
          <w:sz w:val="20"/>
          <w:szCs w:val="22"/>
          <w:rtl/>
        </w:rPr>
        <w:t xml:space="preserve">ט הארגון כי </w:t>
      </w:r>
      <w:r w:rsidRPr="001F3DFF">
        <w:rPr>
          <w:rFonts w:cs="FrankRuehl" w:hint="cs"/>
          <w:sz w:val="20"/>
          <w:szCs w:val="22"/>
          <w:rtl/>
        </w:rPr>
        <w:t>היא</w:t>
      </w:r>
      <w:r w:rsidRPr="001F3DFF">
        <w:rPr>
          <w:rFonts w:cs="FrankRuehl"/>
          <w:sz w:val="20"/>
          <w:szCs w:val="22"/>
          <w:rtl/>
        </w:rPr>
        <w:t xml:space="preserve"> תוכל להצטרף כחברה מן המניי</w:t>
      </w:r>
      <w:r w:rsidRPr="001F3DFF">
        <w:rPr>
          <w:rFonts w:cs="FrankRuehl" w:hint="cs"/>
          <w:sz w:val="20"/>
          <w:szCs w:val="22"/>
          <w:rtl/>
        </w:rPr>
        <w:t>ן</w:t>
      </w:r>
      <w:r w:rsidRPr="001F3DFF">
        <w:rPr>
          <w:rFonts w:cs="FrankRuehl"/>
          <w:sz w:val="20"/>
          <w:szCs w:val="22"/>
          <w:rtl/>
        </w:rPr>
        <w:t xml:space="preserve"> בכפוף לעמידתה בהצלחה בביקורת בי</w:t>
      </w:r>
      <w:r w:rsidRPr="001F3DFF">
        <w:rPr>
          <w:rFonts w:cs="FrankRuehl" w:hint="cs"/>
          <w:sz w:val="20"/>
          <w:szCs w:val="22"/>
          <w:rtl/>
        </w:rPr>
        <w:t>ן-</w:t>
      </w:r>
      <w:r w:rsidRPr="001F3DFF">
        <w:rPr>
          <w:rFonts w:cs="FrankRuehl"/>
          <w:sz w:val="20"/>
          <w:szCs w:val="22"/>
          <w:rtl/>
        </w:rPr>
        <w:t>לאומית של</w:t>
      </w:r>
      <w:r w:rsidRPr="001F3DFF">
        <w:rPr>
          <w:rFonts w:cs="FrankRuehl" w:hint="cs"/>
          <w:sz w:val="20"/>
          <w:szCs w:val="22"/>
          <w:rtl/>
        </w:rPr>
        <w:t xml:space="preserve">ו </w:t>
      </w:r>
      <w:r w:rsidRPr="001F3DFF">
        <w:rPr>
          <w:rFonts w:cs="FrankRuehl"/>
          <w:sz w:val="20"/>
          <w:szCs w:val="22"/>
          <w:rtl/>
        </w:rPr>
        <w:t>בישראל בתחום איסור הלבנת הון ומימון טרור</w:t>
      </w:r>
      <w:r w:rsidRPr="001F3DFF">
        <w:rPr>
          <w:rFonts w:cs="FrankRuehl" w:hint="cs"/>
          <w:sz w:val="20"/>
          <w:szCs w:val="22"/>
          <w:rtl/>
        </w:rPr>
        <w:t>.</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בפברואר 2012 פרסם </w:t>
      </w:r>
      <w:r w:rsidRPr="001F3DFF">
        <w:rPr>
          <w:rFonts w:cs="FrankRuehl"/>
          <w:sz w:val="20"/>
          <w:szCs w:val="22"/>
        </w:rPr>
        <w:t>FATF</w:t>
      </w:r>
      <w:r w:rsidRPr="001F3DFF">
        <w:rPr>
          <w:rFonts w:cs="FrankRuehl" w:hint="cs"/>
          <w:sz w:val="20"/>
          <w:szCs w:val="22"/>
        </w:rPr>
        <w:t xml:space="preserve"> 40</w:t>
      </w:r>
      <w:r w:rsidRPr="001F3DFF">
        <w:rPr>
          <w:rFonts w:cs="FrankRuehl" w:hint="cs"/>
          <w:sz w:val="20"/>
          <w:szCs w:val="22"/>
          <w:rtl/>
        </w:rPr>
        <w:t xml:space="preserve"> המלצות הנוגעות למלחמה בהון השחור, וכדי לוודא כי המדינות עומדות בהמלצותיו נעשות בהן ביקורות תקופתיות על ידי כמה ארגונים, בהם </w:t>
      </w:r>
      <w:r w:rsidRPr="001F3DFF">
        <w:rPr>
          <w:rFonts w:cs="FrankRuehl" w:hint="cs"/>
          <w:sz w:val="20"/>
          <w:szCs w:val="22"/>
          <w:rtl/>
        </w:rPr>
        <w:t>מאניבל</w:t>
      </w:r>
      <w:r w:rsidRPr="001F3DFF">
        <w:rPr>
          <w:rFonts w:cs="FrankRuehl" w:hint="cs"/>
          <w:sz w:val="20"/>
          <w:szCs w:val="22"/>
          <w:rtl/>
        </w:rPr>
        <w:t xml:space="preserve">. ישראל משמשת בארגון </w:t>
      </w:r>
      <w:r w:rsidRPr="001F3DFF">
        <w:rPr>
          <w:rFonts w:cs="FrankRuehl" w:hint="cs"/>
          <w:sz w:val="20"/>
          <w:szCs w:val="22"/>
          <w:rtl/>
        </w:rPr>
        <w:t>המאניבל</w:t>
      </w:r>
      <w:r w:rsidRPr="001F3DFF">
        <w:rPr>
          <w:rFonts w:cs="FrankRuehl" w:hint="cs"/>
          <w:sz w:val="20"/>
          <w:szCs w:val="22"/>
          <w:rtl/>
        </w:rPr>
        <w:t xml:space="preserve"> כמשקיפה פעילה מאז שנת 2006, ונתונה לביקורת הארגון. בשנת 2013 הוענקו לישראל זכויות הצבעה, ולמעשה מעמדה שווה למעמד המדינות החברות בארגון.</w:t>
      </w:r>
    </w:p>
    <w:p w:rsidR="005E5B2C" w:rsidRPr="001F3DFF" w:rsidP="00FB46AA">
      <w:pPr>
        <w:spacing w:after="120" w:line="230" w:lineRule="exact"/>
        <w:jc w:val="both"/>
        <w:rPr>
          <w:rFonts w:cs="FrankRuehl"/>
          <w:b/>
          <w:bCs/>
          <w:sz w:val="20"/>
          <w:szCs w:val="22"/>
          <w:rtl/>
        </w:rPr>
      </w:pPr>
      <w:r w:rsidRPr="001F3DFF">
        <w:rPr>
          <w:rFonts w:cs="FrankRuehl" w:hint="cs"/>
          <w:sz w:val="20"/>
          <w:szCs w:val="22"/>
          <w:rtl/>
        </w:rPr>
        <w:t xml:space="preserve">בשנת 2013 עשה </w:t>
      </w:r>
      <w:r w:rsidRPr="001F3DFF">
        <w:rPr>
          <w:rFonts w:cs="FrankRuehl" w:hint="cs"/>
          <w:sz w:val="20"/>
          <w:szCs w:val="22"/>
          <w:rtl/>
        </w:rPr>
        <w:t>מאניבל</w:t>
      </w:r>
      <w:r w:rsidRPr="001F3DFF">
        <w:rPr>
          <w:rFonts w:cs="FrankRuehl" w:hint="cs"/>
          <w:sz w:val="20"/>
          <w:szCs w:val="22"/>
          <w:rtl/>
        </w:rPr>
        <w:t xml:space="preserve"> ביקורת מקיפה בישראל, ובדצמבר של אותה שנה פרסם דוח הערכה</w:t>
      </w:r>
      <w:r>
        <w:rPr>
          <w:rStyle w:val="FootnoteReference0"/>
          <w:rFonts w:cs="FrankRuehl"/>
          <w:sz w:val="20"/>
          <w:szCs w:val="22"/>
          <w:rtl/>
        </w:rPr>
        <w:footnoteReference w:id="88"/>
      </w:r>
      <w:r w:rsidRPr="001F3DFF">
        <w:rPr>
          <w:rFonts w:cs="FrankRuehl" w:hint="cs"/>
          <w:sz w:val="20"/>
          <w:szCs w:val="22"/>
          <w:rtl/>
        </w:rPr>
        <w:t xml:space="preserve"> הבודק את עמידתה בסטנדרטים הבין-לאומיים בנושא המאבק בהלבנת הון ובמימון טרור. בדוח נמתחה על ישראל ביקורת חריפה, בין היתר על תחום נותני שירותי המטבע, ועל כך שאף שבסקטור זה סיכון גבוה ביותר להלבנת הון ומימון טרור, הדרישות הבין-לאומיות אינן מיושמות ואינן נאכפות. בייחוד נמתחה ביקורת על התארכות בלתי-סבירה של הליך תיקוני החקיקה בתחום. בשל כך הורה הארגון באופן חריג לישראל לשוב ולדווח לו על התקדמות החקיקה בתחום בתוך שנה ממועד סיום הביקורת (במקום בתוך שנתיים, כנהוג בארגון).</w:t>
      </w:r>
    </w:p>
    <w:p w:rsidR="005E5B2C" w:rsidRPr="001F3DFF" w:rsidP="00FB46AA">
      <w:pPr>
        <w:spacing w:after="240" w:line="230" w:lineRule="exact"/>
        <w:jc w:val="both"/>
        <w:rPr>
          <w:rFonts w:cs="FrankRuehl"/>
          <w:sz w:val="20"/>
          <w:szCs w:val="22"/>
          <w:rtl/>
        </w:rPr>
      </w:pPr>
      <w:r w:rsidRPr="001F3DFF">
        <w:rPr>
          <w:rFonts w:cs="FrankRuehl" w:hint="cs"/>
          <w:sz w:val="20"/>
          <w:szCs w:val="22"/>
          <w:rtl/>
        </w:rPr>
        <w:t>במאי 2014 אישרה ועדת החוקה, חוק ומשפט של הכנסת את נוסח התיקון לצו איסור הלבנת הון (חובת זיהוי, דיווח וניהול רישומים של נותני שירותי מטבע), התשס"ב-2002 (להלן - הצו)</w:t>
      </w:r>
      <w:r>
        <w:rPr>
          <w:rStyle w:val="FootnoteReference0"/>
          <w:rFonts w:cs="FrankRuehl"/>
          <w:sz w:val="20"/>
          <w:szCs w:val="22"/>
          <w:rtl/>
        </w:rPr>
        <w:footnoteReference w:id="89"/>
      </w:r>
      <w:r w:rsidRPr="001F3DFF">
        <w:rPr>
          <w:rFonts w:cs="FrankRuehl" w:hint="cs"/>
          <w:sz w:val="20"/>
          <w:szCs w:val="22"/>
          <w:rtl/>
        </w:rPr>
        <w:t xml:space="preserve">. בין </w:t>
      </w:r>
      <w:r w:rsidRPr="001F3DFF">
        <w:rPr>
          <w:rFonts w:cs="FrankRuehl" w:hint="cs"/>
          <w:sz w:val="20"/>
          <w:szCs w:val="22"/>
          <w:rtl/>
        </w:rPr>
        <w:t xml:space="preserve">היתר, תיקון הצו מטיל על </w:t>
      </w:r>
      <w:r w:rsidRPr="001F3DFF">
        <w:rPr>
          <w:rFonts w:cs="FrankRuehl" w:hint="cs"/>
          <w:sz w:val="20"/>
          <w:szCs w:val="22"/>
          <w:rtl/>
        </w:rPr>
        <w:t>נש"ם</w:t>
      </w:r>
      <w:r w:rsidRPr="001F3DFF">
        <w:rPr>
          <w:rFonts w:cs="FrankRuehl" w:hint="cs"/>
          <w:sz w:val="20"/>
          <w:szCs w:val="22"/>
          <w:rtl/>
        </w:rPr>
        <w:t xml:space="preserve"> חובה לבצע הליך של "הכרת הלקוח" ללקוחות קבועים ולאמת את פרטי הזיהוי של מקבלי השירות. </w:t>
      </w:r>
    </w:p>
    <w:p w:rsidR="005E5B2C" w:rsidRPr="001F3DFF" w:rsidP="00FB46AA">
      <w:pPr>
        <w:pStyle w:val="RESHET"/>
        <w:rPr>
          <w:rtl/>
        </w:rPr>
      </w:pPr>
      <w:r w:rsidRPr="001F3DFF">
        <w:rPr>
          <w:rFonts w:hint="cs"/>
          <w:rtl/>
        </w:rPr>
        <w:t xml:space="preserve">מבדיקת משרד מבקר המדינה עולה כי תיקון צו איסור הלבנת הון תיקן כמה מהליקויים שעליהם הצביע ארגון </w:t>
      </w:r>
      <w:r w:rsidRPr="001F3DFF">
        <w:rPr>
          <w:rFonts w:hint="cs"/>
          <w:rtl/>
        </w:rPr>
        <w:t>מאניבל</w:t>
      </w:r>
      <w:r w:rsidRPr="001F3DFF">
        <w:rPr>
          <w:rFonts w:hint="cs"/>
          <w:rtl/>
        </w:rPr>
        <w:t xml:space="preserve">, אולם חלק ניכר מהליקויים הנוגעים </w:t>
      </w:r>
      <w:r w:rsidRPr="001F3DFF">
        <w:rPr>
          <w:rFonts w:hint="cs"/>
          <w:rtl/>
        </w:rPr>
        <w:t>לנש"ם</w:t>
      </w:r>
      <w:r w:rsidRPr="001F3DFF">
        <w:rPr>
          <w:rFonts w:hint="cs"/>
          <w:rtl/>
        </w:rPr>
        <w:t xml:space="preserve"> טרם תוקנו. משרד מבקר המדינה מעיר כי על הממשלה והגופים הרלוונטיים - משרד המשפטים, היחידה והמשטרה - לפעול בהקדם לתיקון כל הליקויים שהועלו בדוח </w:t>
      </w:r>
      <w:r w:rsidRPr="001F3DFF">
        <w:rPr>
          <w:rFonts w:hint="cs"/>
          <w:rtl/>
        </w:rPr>
        <w:t>מאניבל</w:t>
      </w:r>
      <w:r w:rsidRPr="001F3DFF">
        <w:rPr>
          <w:rFonts w:hint="cs"/>
          <w:rtl/>
        </w:rPr>
        <w:t xml:space="preserve"> משנת 2013.</w:t>
      </w:r>
    </w:p>
    <w:p w:rsidR="005E5B2C" w:rsidRPr="001F3DFF" w:rsidP="00FB46AA">
      <w:pPr>
        <w:spacing w:before="180" w:after="120" w:line="230" w:lineRule="exact"/>
        <w:jc w:val="both"/>
        <w:rPr>
          <w:rFonts w:cs="FrankRuehl"/>
          <w:sz w:val="20"/>
          <w:szCs w:val="22"/>
          <w:rtl/>
        </w:rPr>
      </w:pPr>
      <w:r w:rsidRPr="001F3DFF">
        <w:rPr>
          <w:rFonts w:cs="FrankRuehl" w:hint="cs"/>
          <w:sz w:val="20"/>
          <w:szCs w:val="22"/>
          <w:rtl/>
        </w:rPr>
        <w:t xml:space="preserve">המשטרה מסרה בתשובתה: "משטרת ישראל, יחד עם מחלקת ייעוץ וחקיקה, פרקליטות המדינה, הרשות לאיסור הלבנת הון וגורמים נוספים, משתתפת בכל דיוני וועדת חוקה חוק ומשפט במטרה לקדם הליכי חקיקה בתחום המאבק בהלבנת הון. למרות שעמדת המשטרה מתקבלת ברובם המכריע של המקרים בדיונים המקדימים הנערכים בפרקליטות המדינה, הרי שבוועדת חוקה חוק ומשפט מתקבלות לעתים החלטות שאינן תואמות את עמדת גורמי האכיפה... המשטרה תמשיך ללוות ולתמוך במאמצים לתיקוני החקיקה הנדרשים". </w:t>
      </w:r>
    </w:p>
    <w:p w:rsidR="005E5B2C" w:rsidRPr="001F3DFF" w:rsidP="00FB46AA">
      <w:pPr>
        <w:spacing w:after="120" w:line="230" w:lineRule="exact"/>
        <w:jc w:val="both"/>
        <w:rPr>
          <w:rFonts w:cs="FrankRuehl"/>
          <w:sz w:val="20"/>
          <w:szCs w:val="22"/>
          <w:rtl/>
        </w:rPr>
      </w:pPr>
    </w:p>
    <w:p w:rsidR="005E5B2C" w:rsidRPr="001E4618" w:rsidP="00FB46AA">
      <w:pPr>
        <w:pStyle w:val="KOT5"/>
        <w:rPr>
          <w:rtl/>
        </w:rPr>
      </w:pPr>
      <w:r w:rsidRPr="001E4618">
        <w:rPr>
          <w:rFonts w:hint="cs"/>
          <w:rtl/>
        </w:rPr>
        <w:t>ניכיון צ'קים והלוואות חוץ-בנקאיות</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בדוח שנתי 60ב העלה מבקר המדינה את נושא העיסוק של </w:t>
      </w:r>
      <w:r w:rsidRPr="001F3DFF">
        <w:rPr>
          <w:rFonts w:cs="FrankRuehl" w:hint="cs"/>
          <w:sz w:val="20"/>
          <w:szCs w:val="22"/>
          <w:rtl/>
        </w:rPr>
        <w:t>נש"ם</w:t>
      </w:r>
      <w:r w:rsidRPr="001F3DFF">
        <w:rPr>
          <w:rFonts w:cs="FrankRuehl" w:hint="cs"/>
          <w:sz w:val="20"/>
          <w:szCs w:val="22"/>
          <w:rtl/>
        </w:rPr>
        <w:t xml:space="preserve"> בהלוואות חוץ-בנקאיות, בין היתר על ידי פעולת ניכיון צ'קים</w:t>
      </w:r>
      <w:r>
        <w:rPr>
          <w:rStyle w:val="FootnoteReference0"/>
          <w:rFonts w:cs="FrankRuehl"/>
          <w:sz w:val="20"/>
          <w:szCs w:val="22"/>
          <w:rtl/>
        </w:rPr>
        <w:footnoteReference w:id="90"/>
      </w:r>
      <w:r w:rsidRPr="001F3DFF">
        <w:rPr>
          <w:rFonts w:cs="FrankRuehl" w:hint="cs"/>
          <w:sz w:val="20"/>
          <w:szCs w:val="22"/>
          <w:rtl/>
        </w:rPr>
        <w:t>, הדגיש את הבעייתיות שבחוסר הסדרה ופיקוח בתחום זה</w:t>
      </w:r>
      <w:r>
        <w:rPr>
          <w:rStyle w:val="FootnoteReference0"/>
          <w:rFonts w:cs="FrankRuehl"/>
          <w:sz w:val="20"/>
          <w:szCs w:val="22"/>
          <w:rtl/>
        </w:rPr>
        <w:footnoteReference w:id="91"/>
      </w:r>
      <w:r w:rsidRPr="001F3DFF">
        <w:rPr>
          <w:rFonts w:cs="FrankRuehl" w:hint="cs"/>
          <w:sz w:val="20"/>
          <w:szCs w:val="22"/>
          <w:rtl/>
        </w:rPr>
        <w:t xml:space="preserve"> ואף המליץ למשרד האוצר ולרשות לאיסור הלבנת הון לבחון את הצורך ליזום שינויי חקיקה בו.</w:t>
      </w:r>
    </w:p>
    <w:p w:rsidR="005E5B2C" w:rsidRPr="001F3DFF" w:rsidP="00FB46AA">
      <w:pPr>
        <w:spacing w:after="120" w:line="230" w:lineRule="exact"/>
        <w:jc w:val="both"/>
        <w:rPr>
          <w:rFonts w:cs="FrankRuehl"/>
          <w:sz w:val="20"/>
          <w:szCs w:val="22"/>
          <w:rtl/>
        </w:rPr>
      </w:pPr>
      <w:r w:rsidRPr="001F3DFF">
        <w:rPr>
          <w:rFonts w:cs="FrankRuehl" w:hint="cs"/>
          <w:sz w:val="20"/>
          <w:szCs w:val="22"/>
          <w:rtl/>
        </w:rPr>
        <w:t>טיפולוגיות</w:t>
      </w:r>
      <w:r>
        <w:rPr>
          <w:rStyle w:val="FootnoteReference0"/>
          <w:rFonts w:cs="FrankRuehl"/>
          <w:sz w:val="20"/>
          <w:szCs w:val="22"/>
          <w:rtl/>
        </w:rPr>
        <w:footnoteReference w:id="92"/>
      </w:r>
      <w:r w:rsidRPr="001F3DFF">
        <w:rPr>
          <w:rFonts w:cs="FrankRuehl" w:hint="cs"/>
          <w:sz w:val="20"/>
          <w:szCs w:val="22"/>
          <w:rtl/>
        </w:rPr>
        <w:t xml:space="preserve"> הלבנת הון מוכרות מצביעות על שימוש תדיר בניכיון צ'קים כדי לטשטש ולהסתיר את עקבותיהם של כספים שמקורם בפשיעה. סעיף 11ג(א)(5) לחוק איסור הלבנת הון קובע כי "</w:t>
      </w:r>
      <w:r w:rsidRPr="001F3DFF">
        <w:rPr>
          <w:rFonts w:cs="FrankRuehl"/>
          <w:sz w:val="20"/>
          <w:szCs w:val="22"/>
          <w:rtl/>
        </w:rPr>
        <w:t>כל מי שעיסוקו במתן אחד מהשירותים המפורטים להלן, גם אם אין זה עיסוקו היחיד (בחוק זה - נותן שירותי מטבע), חייב ברישום במרשם</w:t>
      </w:r>
      <w:r w:rsidRPr="001F3DFF">
        <w:rPr>
          <w:rFonts w:cs="FrankRuehl" w:hint="cs"/>
          <w:sz w:val="20"/>
          <w:szCs w:val="22"/>
          <w:rtl/>
        </w:rPr>
        <w:t>:</w:t>
      </w:r>
      <w:r w:rsidRPr="001F3DFF">
        <w:rPr>
          <w:rFonts w:cs="FrankRuehl"/>
          <w:sz w:val="20"/>
          <w:szCs w:val="22"/>
          <w:rtl/>
        </w:rPr>
        <w:t xml:space="preserve"> ניכיון שקים, שטרי חליפין ושטרי חוב</w:t>
      </w:r>
      <w:r w:rsidRPr="001F3DFF">
        <w:rPr>
          <w:rFonts w:cs="FrankRuehl" w:hint="cs"/>
          <w:sz w:val="20"/>
          <w:szCs w:val="22"/>
          <w:rtl/>
        </w:rPr>
        <w:t>".</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באפריל 2013 התקיים דיון בנושא ניכיון צ'קים בלשכת המשנה ליועץ המשפטי לממשלה (פלילי), ביזמת הרשות לאיסור הלבנת הון, שביקשה לדון בסוגיה האם הלוואות שעתידות להיות מוחזרות באמצעות צ'קים אישיים נכללות בהגדרת ניכיון צ'קים, כפי שהיא מופיעה בחוק איסור הלבנת הון. בדיון הסבירה הרשות כי בדיוני ועדות העיצומים עולות לא פעם טענות של </w:t>
      </w:r>
      <w:r w:rsidRPr="001F3DFF">
        <w:rPr>
          <w:rFonts w:cs="FrankRuehl" w:hint="cs"/>
          <w:sz w:val="20"/>
          <w:szCs w:val="22"/>
          <w:rtl/>
        </w:rPr>
        <w:t>נש"ם</w:t>
      </w:r>
      <w:r w:rsidRPr="001F3DFF">
        <w:rPr>
          <w:rFonts w:cs="FrankRuehl" w:hint="cs"/>
          <w:sz w:val="20"/>
          <w:szCs w:val="22"/>
          <w:rtl/>
        </w:rPr>
        <w:t xml:space="preserve"> שלפיהן עסקאות מסוימות שהופיעו בדוחות הביקורת כעסקאות ניכיון, הן למעשה עסקאות הלוואה - שאינן דורשות רישום או דיווח - ובמסגרתן מסרו לקוחות צ'קים אישיים כפיקדון או כאמצעי להחזר חוב. כחיזוק לטענתם שמדובר בהלוואה ולא בניכיון צ'ק, מציגים </w:t>
      </w:r>
      <w:r w:rsidRPr="001F3DFF">
        <w:rPr>
          <w:rFonts w:cs="FrankRuehl" w:hint="cs"/>
          <w:sz w:val="20"/>
          <w:szCs w:val="22"/>
          <w:rtl/>
        </w:rPr>
        <w:t>נש"ם</w:t>
      </w:r>
      <w:r w:rsidRPr="001F3DFF">
        <w:rPr>
          <w:rFonts w:cs="FrankRuehl" w:hint="cs"/>
          <w:sz w:val="20"/>
          <w:szCs w:val="22"/>
          <w:rtl/>
        </w:rPr>
        <w:t xml:space="preserve"> ניירות וחוזי הלוואות פיקטיביים. על פי הרשות, יש לפרש את המונח ניכיון ככולל הלוואה שניתנת תמורת צ'ק עצמי.</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היחידה טענה בדיון כי הרחבת פרשנות המונח ניכיון צ'קים בחוק משמעה הרחבת חובת הפיקוח של משרד האוצר כך שתחול על כל שוק ההלוואות החוץ-בנקאיות, זאת משום שנותן שירותי מטבע מוגדר בחוק לפי הפעולות שהוא מבצע. </w:t>
      </w:r>
    </w:p>
    <w:p w:rsidR="005E5B2C" w:rsidRPr="001F3DFF" w:rsidP="00FB46AA">
      <w:pPr>
        <w:spacing w:after="240" w:line="230" w:lineRule="exact"/>
        <w:jc w:val="both"/>
        <w:rPr>
          <w:rFonts w:cs="FrankRuehl"/>
          <w:sz w:val="20"/>
          <w:szCs w:val="22"/>
          <w:rtl/>
        </w:rPr>
      </w:pPr>
      <w:r w:rsidRPr="001F3DFF">
        <w:rPr>
          <w:rFonts w:cs="FrankRuehl" w:hint="cs"/>
          <w:sz w:val="20"/>
          <w:szCs w:val="22"/>
          <w:rtl/>
        </w:rPr>
        <w:t xml:space="preserve">את הדיון סיכם המשנה ליועץ המשפטי לממשלה וקבע כי "בהיעדר הגדרה אחרת בחקיקה למונח 'ניכיון', ברי שיש קושי להחיל את המונח ניכיון על צ'ק עצמי... פרשנות מרחיבה למונח 'ניכיון' מעלה קושי מאחר שמשמעותה היא הרחבת התפרשותה של עבירה פלילית... בהתאם למושכלות היסוד של הדין הפלילי, יש לפרש עבירה פלילית באופן המצומצם ביותר, וממילא נטל ההוכחה הוא על המבקש להרחיבה. נטל זה לא הורם לעת עתה וככל שיוצגו טעמים טובים ומשכנעים לתיקון החוק בעתיד על מנת שיכלול גם ניכיון צ'ק עצמי, ניתן יהיה לדון בכך שוב... בנוגע לניכיון צ'ק עצמי - אגף שוק ההון יקדם הנחיות שיבהירו את האבחנה בין ניכיון המקים חובת רישום וחייב בדיווח ובין הלוואה הפטורה מכך". </w:t>
      </w:r>
    </w:p>
    <w:p w:rsidR="005E5B2C" w:rsidRPr="001F3DFF" w:rsidP="00FB46AA">
      <w:pPr>
        <w:pStyle w:val="RESHET"/>
        <w:rPr>
          <w:rtl/>
        </w:rPr>
      </w:pPr>
      <w:r w:rsidRPr="001F3DFF">
        <w:rPr>
          <w:rFonts w:hint="cs"/>
          <w:rtl/>
        </w:rPr>
        <w:t>נמצא כי חרף המלצת המשנה ליועץ המשפטי לממשלה מאפריל 2013, היחידה טרם גיבשה הנחיות ברורות המדגישות את ההבחנה בין ניכיון צ'ק, המצריך חובת רישום ודיווח, ובין הלוואה, הפטורה מכך. מצב זה יוצר פרצה המאפשרת לגורמים שאינם חפצים בפיקוח לחמוק מחובותיהם הרגולטוריות.</w:t>
      </w:r>
    </w:p>
    <w:p w:rsidR="005E5B2C" w:rsidRPr="001F3DFF" w:rsidP="00FB46AA">
      <w:pPr>
        <w:spacing w:before="180" w:after="120" w:line="230" w:lineRule="exact"/>
        <w:jc w:val="both"/>
        <w:rPr>
          <w:rFonts w:cs="FrankRuehl"/>
          <w:sz w:val="20"/>
          <w:szCs w:val="22"/>
          <w:rtl/>
        </w:rPr>
      </w:pPr>
      <w:r w:rsidRPr="001F3DFF">
        <w:rPr>
          <w:rFonts w:cs="FrankRuehl" w:hint="cs"/>
          <w:sz w:val="20"/>
          <w:szCs w:val="22"/>
          <w:rtl/>
        </w:rPr>
        <w:t xml:space="preserve">משרד האוצר מסר בתשובתו: "בחודש אפריל הכינה היחידה בתיאום עם הייעוץ המשפטי מסמך המגדיר את התסמינים המבדילים בין הלוואה לניכיון שיקים, ומבהיר את העקרונות המנחים להבחנה ביניהם". ביוני 2015 מסר מנהל היחידה למשרד מבקר המדינה כי המסמך המדובר זמני, עד גיבוש חקיקה בתחום נותני שירותי המטבע והאשראי החוץ-בנקאי, וכי היחידה גיבשה אותו על סמך הניסיון שצברה ובתיאום עם סגנית היועץ המשפטי של משרד האוצר. היחידה מסרה עוד כי המסמך משמש את ועדת העיצומים. </w:t>
      </w:r>
    </w:p>
    <w:p w:rsidR="005E5B2C" w:rsidRPr="001F3DFF" w:rsidP="00FB46AA">
      <w:pPr>
        <w:spacing w:after="120" w:line="230" w:lineRule="exact"/>
        <w:jc w:val="both"/>
        <w:rPr>
          <w:rFonts w:cs="FrankRuehl"/>
          <w:sz w:val="20"/>
          <w:szCs w:val="22"/>
          <w:rtl/>
        </w:rPr>
      </w:pPr>
    </w:p>
    <w:p w:rsidR="005E5B2C" w:rsidRPr="001E4618" w:rsidP="00FB46AA">
      <w:pPr>
        <w:pStyle w:val="KOT5"/>
        <w:rPr>
          <w:rtl/>
        </w:rPr>
      </w:pPr>
      <w:r w:rsidRPr="001E4618">
        <w:rPr>
          <w:rFonts w:hint="cs"/>
          <w:rtl/>
        </w:rPr>
        <w:t>קידום חקיקה ייעודית להסדרת פעילותם של נותני שירותי מטבע</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באוקטובר 2013 הגיש מנהל היחידה, מר יואב צבר, להנהלת משרד האוצר נייר עמדה המעלה הצעה לשינוי מבנה היחידה. הוא כתב: "המצב הנתון בו החקיקה היחידה המסדירה תחום נפרד בשוק הפיננסי הישראלי היא אך ורק אגב חוק איסור הלבנת הון, הינה ייחודית ויוצרת מספר בעיות אשר לטעמנו מחייבות התייחסות... רשם נותני שירותי מטבע הינו הרגולטור היחיד אשר לו נגיעה כלשהי לעיסוקם של נותני שירותי מטבע. יחד עם זאת, ועל אף בלעדיות זו, הרשם הוא רגולטור מוגבל ביותר". במסמך מסביר מנהל היחידה כי הרשם אינו יכול לתת הוראות מחייבות לגופים שבפיקוחו, אלא בהקשרים ספציפיים לחוק איסור הלבנת הון, וכי סמכות הענישה </w:t>
      </w:r>
      <w:r w:rsidRPr="001F3DFF">
        <w:rPr>
          <w:rFonts w:cs="FrankRuehl" w:hint="cs"/>
          <w:sz w:val="20"/>
          <w:szCs w:val="22"/>
          <w:rtl/>
        </w:rPr>
        <w:t>המינהלית</w:t>
      </w:r>
      <w:r w:rsidRPr="001F3DFF">
        <w:rPr>
          <w:rFonts w:cs="FrankRuehl" w:hint="cs"/>
          <w:sz w:val="20"/>
          <w:szCs w:val="22"/>
          <w:rtl/>
        </w:rPr>
        <w:t xml:space="preserve"> שלו מצומצמת מאוד ומוגבלת להיבטים של חובת הדיווח, זיהוי לקוחות וכדומה. נוסף על כך, אין כל היבט צרכני בסמכות הרשם בכל הנוגע להתנהלות של </w:t>
      </w:r>
      <w:r w:rsidRPr="001F3DFF">
        <w:rPr>
          <w:rFonts w:cs="FrankRuehl" w:hint="cs"/>
          <w:sz w:val="20"/>
          <w:szCs w:val="22"/>
          <w:rtl/>
        </w:rPr>
        <w:t>נש"ם</w:t>
      </w:r>
      <w:r w:rsidRPr="001F3DFF">
        <w:rPr>
          <w:rFonts w:cs="FrankRuehl" w:hint="cs"/>
          <w:sz w:val="20"/>
          <w:szCs w:val="22"/>
          <w:rtl/>
        </w:rPr>
        <w:t xml:space="preserve"> מול לקוחותיהם. </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עוד עולה מנייר העמדה כי מעבר לרשימה המפורטת בחוק איסור הלבנת הון, שעל פיה מוגדרים ונדרשים ברישום </w:t>
      </w:r>
      <w:r w:rsidRPr="001F3DFF">
        <w:rPr>
          <w:rFonts w:cs="FrankRuehl" w:hint="cs"/>
          <w:sz w:val="20"/>
          <w:szCs w:val="22"/>
          <w:rtl/>
        </w:rPr>
        <w:t>נש"ם</w:t>
      </w:r>
      <w:r w:rsidRPr="001F3DFF">
        <w:rPr>
          <w:rFonts w:cs="FrankRuehl" w:hint="cs"/>
          <w:sz w:val="20"/>
          <w:szCs w:val="22"/>
          <w:rtl/>
        </w:rPr>
        <w:t xml:space="preserve">, בשטח פרוסה פעילותם על טווח רחב של פעולות פיננסיות הכוללות תחומי עיסוק נוספים, כדוגמת מתן הלוואות, ניכיון צ'קים, </w:t>
      </w:r>
      <w:r w:rsidRPr="001F3DFF">
        <w:rPr>
          <w:rFonts w:cs="FrankRuehl" w:hint="cs"/>
          <w:sz w:val="20"/>
          <w:szCs w:val="22"/>
          <w:rtl/>
        </w:rPr>
        <w:t>פקטורינג</w:t>
      </w:r>
      <w:r>
        <w:rPr>
          <w:rStyle w:val="FootnoteReference0"/>
          <w:rFonts w:cs="FrankRuehl"/>
          <w:sz w:val="20"/>
          <w:szCs w:val="22"/>
          <w:rtl/>
        </w:rPr>
        <w:footnoteReference w:id="93"/>
      </w:r>
      <w:r w:rsidRPr="001F3DFF">
        <w:rPr>
          <w:rFonts w:cs="FrankRuehl" w:hint="cs"/>
          <w:sz w:val="20"/>
          <w:szCs w:val="22"/>
          <w:rtl/>
        </w:rPr>
        <w:t xml:space="preserve"> ופיקדונות. יש </w:t>
      </w:r>
      <w:r w:rsidRPr="001F3DFF">
        <w:rPr>
          <w:rFonts w:cs="FrankRuehl" w:hint="cs"/>
          <w:sz w:val="20"/>
          <w:szCs w:val="22"/>
          <w:rtl/>
        </w:rPr>
        <w:t>נש"ם</w:t>
      </w:r>
      <w:r w:rsidRPr="001F3DFF">
        <w:rPr>
          <w:rFonts w:cs="FrankRuehl" w:hint="cs"/>
          <w:sz w:val="20"/>
          <w:szCs w:val="22"/>
          <w:rtl/>
        </w:rPr>
        <w:t xml:space="preserve"> המנהלים עם לקוחותיהם מערכת יחסים הזהה לניהול חשבון בבנק, ומנהלים ללקוחות יתרות חובה, </w:t>
      </w:r>
      <w:r w:rsidRPr="001F3DFF">
        <w:rPr>
          <w:rFonts w:cs="FrankRuehl" w:hint="cs"/>
          <w:sz w:val="20"/>
          <w:szCs w:val="22"/>
          <w:rtl/>
        </w:rPr>
        <w:t>יתרות זכות והעברות לצד ג'. פעילות זו אינה עולה בקנה אחד עם חוק הבנקאות (רישוי), התשמ"א-1981, שלפיו חל איסור על מי שאינו בנק לפעול באמצעות מתן פיקדונות כספיים</w:t>
      </w:r>
      <w:r>
        <w:rPr>
          <w:rStyle w:val="FootnoteReference0"/>
          <w:rFonts w:cs="FrankRuehl"/>
          <w:sz w:val="20"/>
          <w:szCs w:val="22"/>
          <w:rtl/>
        </w:rPr>
        <w:footnoteReference w:id="94"/>
      </w:r>
      <w:r w:rsidRPr="001F3DFF">
        <w:rPr>
          <w:rFonts w:cs="FrankRuehl" w:hint="cs"/>
          <w:sz w:val="20"/>
          <w:szCs w:val="22"/>
          <w:rtl/>
        </w:rPr>
        <w:t xml:space="preserve">. </w:t>
      </w:r>
    </w:p>
    <w:p w:rsidR="005E5B2C" w:rsidRPr="001F3DFF" w:rsidP="00FB46AA">
      <w:pPr>
        <w:spacing w:after="240" w:line="230" w:lineRule="exact"/>
        <w:jc w:val="both"/>
        <w:rPr>
          <w:rFonts w:cs="FrankRuehl"/>
          <w:sz w:val="20"/>
          <w:szCs w:val="22"/>
          <w:rtl/>
        </w:rPr>
      </w:pPr>
      <w:r w:rsidRPr="001F3DFF">
        <w:rPr>
          <w:rFonts w:cs="FrankRuehl" w:hint="cs"/>
          <w:sz w:val="20"/>
          <w:szCs w:val="22"/>
          <w:rtl/>
        </w:rPr>
        <w:t xml:space="preserve">לאור האמור לעיל הציע מנהל היחידה לגבש חקיקה ייעודית אשר תסדיר באופן רחב יותר את פעילותם של </w:t>
      </w:r>
      <w:r w:rsidRPr="001F3DFF">
        <w:rPr>
          <w:rFonts w:cs="FrankRuehl" w:hint="cs"/>
          <w:sz w:val="20"/>
          <w:szCs w:val="22"/>
          <w:rtl/>
        </w:rPr>
        <w:t>נש"ם</w:t>
      </w:r>
      <w:r w:rsidRPr="001F3DFF">
        <w:rPr>
          <w:rFonts w:cs="FrankRuehl" w:hint="cs"/>
          <w:sz w:val="20"/>
          <w:szCs w:val="22"/>
          <w:rtl/>
        </w:rPr>
        <w:t>, את אופן הפיקוח עליהם ואת היקפו, בדומה לנעשה בסקטורים פיננסיים אחרים. הוא הציע שחקיקה זו תכלול גם את נושא ההלוואות החוץ-בנקאיות. נייר העמדה של מנהל היחידה שימש כאחת התשומות לצוות בראשות המשנה ליועץ המשפטי לממשלה, שכאמור, מסקנותיו אומצו בפברואר 2015 על ידי היועץ המשפטי לממשלה.</w:t>
      </w:r>
    </w:p>
    <w:p w:rsidR="005E5B2C" w:rsidRPr="001F3DFF" w:rsidP="00FB46AA">
      <w:pPr>
        <w:pStyle w:val="RESHET"/>
        <w:rPr>
          <w:rtl/>
        </w:rPr>
      </w:pPr>
      <w:r w:rsidRPr="001F3DFF">
        <w:rPr>
          <w:rFonts w:hint="cs"/>
          <w:rtl/>
        </w:rPr>
        <w:t xml:space="preserve">לדעת משרד מבקר המדינה, על משרד האוצר ומשרד המשפטים לפעול בהקדם ליישום מסקנות הצוות לעניין הסדרת פעילותם של נותני שירותי המטבע. </w:t>
      </w:r>
    </w:p>
    <w:p w:rsidR="005E5B2C" w:rsidRPr="001F3DFF" w:rsidP="00FB46AA">
      <w:pPr>
        <w:spacing w:after="120" w:line="230" w:lineRule="exact"/>
        <w:jc w:val="both"/>
        <w:rPr>
          <w:rFonts w:cs="FrankRuehl"/>
          <w:sz w:val="20"/>
          <w:szCs w:val="22"/>
          <w:rtl/>
        </w:rPr>
      </w:pPr>
    </w:p>
    <w:p w:rsidR="005E5B2C" w:rsidRPr="001E4618" w:rsidP="00FB46AA">
      <w:pPr>
        <w:pStyle w:val="KOT5"/>
        <w:rPr>
          <w:rtl/>
        </w:rPr>
      </w:pPr>
      <w:r w:rsidRPr="001E4618">
        <w:rPr>
          <w:rFonts w:hint="cs"/>
          <w:rtl/>
        </w:rPr>
        <w:t>מעבר היחידה לרשות המסים</w:t>
      </w:r>
    </w:p>
    <w:p w:rsidR="005E5B2C" w:rsidRPr="001F3DFF" w:rsidP="00FB46AA">
      <w:pPr>
        <w:spacing w:after="120" w:line="230" w:lineRule="exact"/>
        <w:jc w:val="both"/>
        <w:rPr>
          <w:rFonts w:cs="FrankRuehl"/>
          <w:sz w:val="20"/>
          <w:szCs w:val="22"/>
          <w:rtl/>
        </w:rPr>
      </w:pPr>
      <w:r w:rsidRPr="001F3DFF">
        <w:rPr>
          <w:rFonts w:cs="FrankRuehl" w:hint="cs"/>
          <w:sz w:val="20"/>
          <w:szCs w:val="22"/>
          <w:rtl/>
        </w:rPr>
        <w:t>באוגוסט 2013 פנה משרד האוצר אל משרד המשפטים בבקשה להעביר למנהל רשות המסים את סמכותו של הממונה על שוק ההון לשמש כרשם נותני שירותי המטבע. במרץ 2014 התקיימה בפני היועץ המשפטי לממשלה ישיבה</w:t>
      </w:r>
      <w:r>
        <w:rPr>
          <w:rStyle w:val="FootnoteReference0"/>
          <w:rFonts w:cs="FrankRuehl"/>
          <w:sz w:val="20"/>
          <w:szCs w:val="22"/>
          <w:rtl/>
        </w:rPr>
        <w:footnoteReference w:id="95"/>
      </w:r>
      <w:r w:rsidRPr="001F3DFF">
        <w:rPr>
          <w:rFonts w:cs="FrankRuehl" w:hint="cs"/>
          <w:sz w:val="20"/>
          <w:szCs w:val="22"/>
          <w:rtl/>
        </w:rPr>
        <w:t xml:space="preserve"> בעניין. להלן הרקע לישיבה</w:t>
      </w:r>
      <w:r>
        <w:rPr>
          <w:rStyle w:val="FootnoteReference0"/>
          <w:rFonts w:cs="FrankRuehl"/>
          <w:sz w:val="20"/>
          <w:szCs w:val="22"/>
          <w:rtl/>
        </w:rPr>
        <w:footnoteReference w:id="96"/>
      </w:r>
      <w:r w:rsidRPr="001F3DFF">
        <w:rPr>
          <w:rFonts w:cs="FrankRuehl" w:hint="cs"/>
          <w:sz w:val="20"/>
          <w:szCs w:val="22"/>
          <w:rtl/>
        </w:rPr>
        <w:t xml:space="preserve">: </w:t>
      </w:r>
    </w:p>
    <w:p w:rsidR="005E5B2C" w:rsidRPr="001F3DFF" w:rsidP="00FB46AA">
      <w:pPr>
        <w:pStyle w:val="ListParagraph"/>
        <w:numPr>
          <w:ilvl w:val="0"/>
          <w:numId w:val="28"/>
        </w:numPr>
        <w:spacing w:after="120" w:line="230" w:lineRule="exact"/>
        <w:ind w:left="357" w:hanging="357"/>
        <w:contextualSpacing w:val="0"/>
        <w:jc w:val="both"/>
        <w:rPr>
          <w:rFonts w:ascii="Times New Roman" w:hAnsi="Times New Roman" w:cs="FrankRuehl"/>
          <w:sz w:val="20"/>
        </w:rPr>
      </w:pPr>
      <w:r w:rsidRPr="001F3DFF">
        <w:rPr>
          <w:rFonts w:ascii="Times New Roman" w:hAnsi="Times New Roman" w:cs="FrankRuehl" w:hint="cs"/>
          <w:sz w:val="20"/>
          <w:rtl/>
        </w:rPr>
        <w:t xml:space="preserve">"בתאריך 9.1.14 הונחה בפני היועץ המשפטי לממשלה חוות דעתו של המשנה ליועץ המשפטי לממשלה (פלילי), לפיה בקשת שר האוצר מעוררת קשיים בכל הנוגע 'לתפיסת ההפרדה' העומדת בבסיס חוק איסור הלבנת הון. לפי תפיסה זו, קיים חיץ בין הגופים הפיננסיים עליהם מוטלות חובות מכוח איסור הלבנת הון - בהם נותני שירותי מטבע, ובין רשויות האכיפה במטרה למנוע העברה גורפת של מידע לידי רשויות האכיפה. בחוות הדעת הובהר כי ישנו צורך לשפר את תפעול רשם שירותי המטבע, אולם ראוי לעשות כן באמצעות רגולציה כללית למגזר נותני שירותי המטבע, אשר תיתן מענה גם להיבט הצרכני. ככל שיש רצון להעביר את סמכויות הרשם לנותני שירותי מטבע כפי שמבקש שר האוצר, נכון לעשות זאת בדרך של תיקון חקיקה ולא בדרך של פרשנות החוק הקיים". </w:t>
      </w:r>
    </w:p>
    <w:p w:rsidR="005E5B2C" w:rsidRPr="001F3DFF" w:rsidP="00FB46AA">
      <w:pPr>
        <w:pStyle w:val="ListParagraph"/>
        <w:numPr>
          <w:ilvl w:val="0"/>
          <w:numId w:val="28"/>
        </w:numPr>
        <w:spacing w:after="120" w:line="230" w:lineRule="exact"/>
        <w:ind w:left="357" w:hanging="357"/>
        <w:contextualSpacing w:val="0"/>
        <w:jc w:val="both"/>
        <w:rPr>
          <w:rFonts w:ascii="Times New Roman" w:hAnsi="Times New Roman" w:cs="FrankRuehl"/>
          <w:sz w:val="20"/>
        </w:rPr>
      </w:pPr>
      <w:r w:rsidRPr="001F3DFF">
        <w:rPr>
          <w:rFonts w:ascii="Times New Roman" w:hAnsi="Times New Roman" w:cs="FrankRuehl" w:hint="cs"/>
          <w:sz w:val="20"/>
          <w:rtl/>
        </w:rPr>
        <w:t>בסוף ינואר 2014 החליט היועץ המשפטי לממשלה כי נוכח הקשיים המפורטים בחוות הדעת האמורה אין מקום להעברת הסמכות, אך הוא יהיה מוכן לשקול את הדבר בשנית אם שר האוצר יעלה בפניו טיעונים המצדיקים זאת.</w:t>
      </w:r>
    </w:p>
    <w:p w:rsidR="005E5B2C" w:rsidRPr="001F3DFF" w:rsidP="00FB46AA">
      <w:pPr>
        <w:pStyle w:val="ListParagraph"/>
        <w:numPr>
          <w:ilvl w:val="0"/>
          <w:numId w:val="28"/>
        </w:numPr>
        <w:spacing w:after="120" w:line="230" w:lineRule="exact"/>
        <w:ind w:left="357" w:hanging="357"/>
        <w:contextualSpacing w:val="0"/>
        <w:jc w:val="both"/>
        <w:rPr>
          <w:rFonts w:ascii="Times New Roman" w:hAnsi="Times New Roman" w:cs="FrankRuehl"/>
          <w:sz w:val="20"/>
        </w:rPr>
      </w:pPr>
      <w:r w:rsidRPr="001F3DFF">
        <w:rPr>
          <w:rFonts w:ascii="Times New Roman" w:hAnsi="Times New Roman" w:cs="FrankRuehl" w:hint="cs"/>
          <w:sz w:val="20"/>
          <w:rtl/>
        </w:rPr>
        <w:t>בפברואר 2014 הגיש שר האוצר ליועץ המשפטי לממשלה בקשה חוזרת להסמיך את מנהל רשות המסים כאמור, וביקש להדגיש כי משרדו יהיה מחויב לפעול לנטרול כל חשש לניגוד עניינים מוסדי, וכי ידאג לקבוע נהלים להעברת מידע בין הגופים על פי הדין. בעקבות פנייה זו זימן היועץ המשפטי לממשלה את הישיבה במרץ 2014.</w:t>
      </w:r>
    </w:p>
    <w:p w:rsidR="005E5B2C" w:rsidRPr="00FB46AA" w:rsidP="00FB46AA">
      <w:pPr>
        <w:pStyle w:val="BodyText"/>
        <w:spacing w:before="0" w:after="240"/>
        <w:rPr>
          <w:sz w:val="20"/>
          <w:rtl/>
        </w:rPr>
      </w:pPr>
      <w:r w:rsidRPr="00FB46AA">
        <w:rPr>
          <w:rFonts w:hint="cs"/>
          <w:sz w:val="20"/>
          <w:rtl/>
        </w:rPr>
        <w:t xml:space="preserve">בישיבה קבע היועץ המשפטי לממשלה כי "עד לתאריך 1.5.14 תכין הלשכה המשפטית במשרד האוצר נוהל אשר יהיה בו לאפשר הסמכה זמנית של מנהל רשות המסים כרשם נותני שירותי המטבע. הנוהל יגובש בשים לב לניגוד העניינים המוסדי לשם הבטחת סודיות המידע המועבר לרשם נותני שירותי המטבע במסגרת הפיקוח על נותני שירותי מטבע, ושמירה על פרטיות </w:t>
      </w:r>
      <w:r w:rsidRPr="00FB46AA">
        <w:rPr>
          <w:rFonts w:hint="cs"/>
          <w:sz w:val="20"/>
          <w:rtl/>
        </w:rPr>
        <w:t xml:space="preserve">הלקוחות. נוהל זה יוכן בתיאום עם המשנה ליועץ המשפטי לממשלה (פלילי) והמשנה ליועץ המשפטי לממשלה (כלכלי-פיסקאלי), ויובא לאישורם". </w:t>
      </w:r>
    </w:p>
    <w:p w:rsidR="005E5B2C" w:rsidRPr="001F3DFF" w:rsidP="00FB46AA">
      <w:pPr>
        <w:pStyle w:val="RESHET"/>
        <w:rPr>
          <w:rtl/>
        </w:rPr>
      </w:pPr>
      <w:r w:rsidRPr="001F3DFF">
        <w:rPr>
          <w:rFonts w:hint="cs"/>
          <w:rtl/>
        </w:rPr>
        <w:t xml:space="preserve">נמצא כי משרד האוצר גיבש נוהל כאמור והעבירו לקבלת אישורו של משרד המשפטים, אולם נכון למועד סיום הביקורת - מאי 2015 - לא התקבל אישור זה. </w:t>
      </w:r>
    </w:p>
    <w:p w:rsidR="005E5B2C" w:rsidRPr="001F3DFF" w:rsidP="00FB46AA">
      <w:pPr>
        <w:spacing w:before="180" w:after="120" w:line="230" w:lineRule="exact"/>
        <w:jc w:val="both"/>
        <w:rPr>
          <w:rFonts w:cs="FrankRuehl"/>
          <w:sz w:val="20"/>
          <w:szCs w:val="22"/>
          <w:rtl/>
        </w:rPr>
      </w:pPr>
      <w:r w:rsidRPr="001F3DFF">
        <w:rPr>
          <w:rFonts w:cs="FrankRuehl" w:hint="cs"/>
          <w:sz w:val="20"/>
          <w:szCs w:val="22"/>
          <w:rtl/>
        </w:rPr>
        <w:t xml:space="preserve">משרד המשפטים מסר בתשובתו כי אי-השלמת מעבר היחידה לרשות המסים לא נבע מהיעדר קבלת אישור משרד המשפטים לנוהל, אלא ממחלוקות מקצועיות בין רשות המסים למשטרת ישראל וממחלוקות </w:t>
      </w:r>
      <w:r w:rsidRPr="001F3DFF">
        <w:rPr>
          <w:rFonts w:cs="FrankRuehl" w:hint="cs"/>
          <w:sz w:val="20"/>
          <w:szCs w:val="22"/>
          <w:rtl/>
        </w:rPr>
        <w:t>מינהליות</w:t>
      </w:r>
      <w:r w:rsidRPr="001F3DFF">
        <w:rPr>
          <w:rFonts w:cs="FrankRuehl" w:hint="cs"/>
          <w:sz w:val="20"/>
          <w:szCs w:val="22"/>
          <w:rtl/>
        </w:rPr>
        <w:t xml:space="preserve"> פנימיות במשרד האוצר</w:t>
      </w:r>
      <w:r w:rsidRPr="001F3DFF">
        <w:rPr>
          <w:rFonts w:cs="FrankRuehl" w:hint="cs"/>
          <w:color w:val="000000"/>
          <w:sz w:val="20"/>
          <w:szCs w:val="22"/>
          <w:rtl/>
        </w:rPr>
        <w:t>.</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משרד האוצר מסר בתשובתו: "בפברואר 2015 גובשו מסקנות צוות לבחינת הרגולציה על נותני שירותי מטבע, אשר אושרו גם על ידי היועץ המשפטי לממשלה. בהתאם להמלצות צוות זה יוקם צוות יישום לגיבוש חקיקה, בין היתר בכל הנוגע לפעילות של נותני שירותי מטבע. במקביל לעבודת הצוות, החל תהליך של עבודת מטה להעברת היחידה מאגף שוק ההון לרשות המסים. תהליך זה הופסק בעקבות המלצת הצוות שלא להעביר את היחידה לרשות המסים למשך תקופת הביניים עד להקמת רגולטור ייעודי. יש לציין כי ביום 29 ינואר 2015 שלחנו לעו"ד אבי </w:t>
      </w:r>
      <w:r w:rsidRPr="001F3DFF">
        <w:rPr>
          <w:rFonts w:cs="FrankRuehl" w:hint="cs"/>
          <w:sz w:val="20"/>
          <w:szCs w:val="22"/>
          <w:rtl/>
        </w:rPr>
        <w:t>ליכט</w:t>
      </w:r>
      <w:r w:rsidRPr="001F3DFF">
        <w:rPr>
          <w:rFonts w:cs="FrankRuehl" w:hint="cs"/>
          <w:sz w:val="20"/>
          <w:szCs w:val="22"/>
          <w:rtl/>
        </w:rPr>
        <w:t xml:space="preserve"> שעמד בראש הצוות ולשאר חברי הצוות את עמדתנו לפיה יש מקום לפעול להעברת היחידה לרשות המסים לתקופת הביניים האמורה... עמדה זו לא התקבלה כחלק ממסמך המלצות הצוות. נכון להיום לא חל שום שינוי במבנה וארגון יחידת נותני שירותי מטבע במשרד האוצר". </w:t>
      </w:r>
    </w:p>
    <w:p w:rsidR="005E5B2C" w:rsidRPr="001F3DFF" w:rsidP="00FB46AA">
      <w:pPr>
        <w:spacing w:after="120" w:line="230" w:lineRule="exact"/>
        <w:jc w:val="both"/>
        <w:rPr>
          <w:rFonts w:cs="FrankRuehl"/>
          <w:sz w:val="20"/>
          <w:szCs w:val="22"/>
          <w:rtl/>
        </w:rPr>
      </w:pPr>
      <w:r w:rsidRPr="001F3DFF">
        <w:rPr>
          <w:rFonts w:cs="FrankRuehl" w:hint="cs"/>
          <w:sz w:val="20"/>
          <w:szCs w:val="22"/>
          <w:rtl/>
        </w:rPr>
        <w:t xml:space="preserve">רשות המסים מסרה בתשובתה מאפריל 2015 למשרד מבקר המדינה כי "על פי המלצות הצוות, יחידת </w:t>
      </w:r>
      <w:r w:rsidRPr="001F3DFF">
        <w:rPr>
          <w:rFonts w:cs="FrankRuehl" w:hint="cs"/>
          <w:sz w:val="20"/>
          <w:szCs w:val="22"/>
          <w:rtl/>
        </w:rPr>
        <w:t>הנש"ם</w:t>
      </w:r>
      <w:r w:rsidRPr="001F3DFF">
        <w:rPr>
          <w:rFonts w:cs="FrankRuehl" w:hint="cs"/>
          <w:sz w:val="20"/>
          <w:szCs w:val="22"/>
          <w:rtl/>
        </w:rPr>
        <w:t xml:space="preserve"> לא תועבר אל רשות המסים, גם לא לתקופת הביניים עד להקמת הרגולטור הייעודי... בתקופת הביניים תוקנה לרשות המסים הסמכות לסגור </w:t>
      </w:r>
      <w:r w:rsidRPr="001F3DFF">
        <w:rPr>
          <w:rFonts w:cs="FrankRuehl" w:hint="cs"/>
          <w:sz w:val="20"/>
          <w:szCs w:val="22"/>
          <w:rtl/>
        </w:rPr>
        <w:t>נש"ם</w:t>
      </w:r>
      <w:r w:rsidRPr="001F3DFF">
        <w:rPr>
          <w:rFonts w:cs="FrankRuehl" w:hint="cs"/>
          <w:sz w:val="20"/>
          <w:szCs w:val="22"/>
          <w:rtl/>
        </w:rPr>
        <w:t xml:space="preserve"> הפועל ללא רישיון, או שהתבצעו בו עבירות מס חמורות ושיטתיות, וכן לתפוס ולחלט כספים שיימצאו בו. סמכויות אלו תקבענה כהוראת שעה למשך 3 שנים, עם אפשרות </w:t>
      </w:r>
      <w:r w:rsidRPr="001F3DFF">
        <w:rPr>
          <w:rFonts w:cs="FrankRuehl" w:hint="cs"/>
          <w:sz w:val="20"/>
          <w:szCs w:val="22"/>
          <w:rtl/>
        </w:rPr>
        <w:t>להאריכה</w:t>
      </w:r>
      <w:r w:rsidRPr="001F3DFF">
        <w:rPr>
          <w:rFonts w:cs="FrankRuehl" w:hint="cs"/>
          <w:sz w:val="20"/>
          <w:szCs w:val="22"/>
          <w:rtl/>
        </w:rPr>
        <w:t xml:space="preserve"> בשנתיים... עמדת רשות המסים, אשר הועברה לידי משרד המשפטים ולצוות בטרם פורסמה המלצתו, הייתה כי קיים אומנם צורך להסדרה פיננסית של תחום </w:t>
      </w:r>
      <w:r w:rsidRPr="001F3DFF">
        <w:rPr>
          <w:rFonts w:cs="FrankRuehl" w:hint="cs"/>
          <w:sz w:val="20"/>
          <w:szCs w:val="22"/>
          <w:rtl/>
        </w:rPr>
        <w:t>הנש"ם</w:t>
      </w:r>
      <w:r w:rsidRPr="001F3DFF">
        <w:rPr>
          <w:rFonts w:cs="FrankRuehl" w:hint="cs"/>
          <w:sz w:val="20"/>
          <w:szCs w:val="22"/>
          <w:rtl/>
        </w:rPr>
        <w:t xml:space="preserve">, אך יחד עם זאת הטיפול בגורמים העבריינים בתחום </w:t>
      </w:r>
      <w:r w:rsidRPr="001F3DFF">
        <w:rPr>
          <w:rFonts w:cs="FrankRuehl" w:hint="cs"/>
          <w:sz w:val="20"/>
          <w:szCs w:val="22"/>
          <w:rtl/>
        </w:rPr>
        <w:t>הנש"ם</w:t>
      </w:r>
      <w:r w:rsidRPr="001F3DFF">
        <w:rPr>
          <w:rFonts w:cs="FrankRuehl" w:hint="cs"/>
          <w:sz w:val="20"/>
          <w:szCs w:val="22"/>
          <w:rtl/>
        </w:rPr>
        <w:t xml:space="preserve"> לא יוכל להתבצע רק על ידי רגולטור שכובד משקלו במישור האזרחי צרכני בלבד. לכן, ביקשה רשות המסים לשמש כרגולטור שעיקר כובד משקלו בפן האכיפה הפלילי, ולקבל בהתאם סמכויות אכיפה. רשות המסים אף הדגישה כי ככל שהצוות לא יראה בה כמועמדת מתאימה לביצוע רגולציה בתחום, תבקש, לכל הפחות, להרחיב את סמכויות האכיפה בתיקים אשר בטיפולה".</w:t>
      </w:r>
    </w:p>
    <w:p w:rsidR="005E5B2C" w:rsidRPr="001F3DFF" w:rsidP="00FB46AA">
      <w:pPr>
        <w:spacing w:after="120" w:line="230" w:lineRule="exact"/>
        <w:jc w:val="both"/>
        <w:rPr>
          <w:rFonts w:cs="FrankRuehl"/>
          <w:sz w:val="20"/>
          <w:szCs w:val="22"/>
          <w:rtl/>
        </w:rPr>
      </w:pPr>
    </w:p>
    <w:p w:rsidR="006F6719" w:rsidRPr="001F3DFF" w:rsidP="00FB46AA">
      <w:pPr>
        <w:spacing w:after="120" w:line="230" w:lineRule="exact"/>
        <w:jc w:val="both"/>
        <w:rPr>
          <w:rFonts w:cs="FrankRuehl"/>
          <w:sz w:val="20"/>
          <w:szCs w:val="22"/>
          <w:rtl/>
        </w:rPr>
      </w:pPr>
    </w:p>
    <w:p w:rsidR="005E5B2C" w:rsidRPr="005E5B2C" w:rsidP="00FB46AA">
      <w:pPr>
        <w:pStyle w:val="KOT4"/>
        <w:rPr>
          <w:rtl/>
        </w:rPr>
      </w:pPr>
      <w:r w:rsidRPr="005E5B2C">
        <w:rPr>
          <w:rFonts w:hint="cs"/>
          <w:rtl/>
        </w:rPr>
        <w:t>סיכום</w:t>
      </w:r>
    </w:p>
    <w:p w:rsidR="005E5B2C" w:rsidRPr="001F3DFF" w:rsidP="00FB46AA">
      <w:pPr>
        <w:pStyle w:val="RESHET"/>
        <w:keepLines/>
        <w:rPr>
          <w:rtl/>
        </w:rPr>
      </w:pPr>
      <w:r w:rsidRPr="001F3DFF">
        <w:rPr>
          <w:rFonts w:hint="cs"/>
          <w:rtl/>
        </w:rPr>
        <w:t>נותני שירותי מטבע מנהלים פעילות פיננסית ענפה, אשר כרוכה בביצוע עסקאות רבות במזומנים. היקף פעילותם, הכוללת גם מתן הלוואות חוץ-בנקאיות, והרגולציה הנמוכה יחסית מעלים את הסיכון לשימוש בסקטור זה לצורך הלבנת הון ומימון פשיעה וטרור. הממצאים שהועלו בדוח זה ממחישים את נחיצות הסדרתה של חקיקה ייעודית לנותני שירותי מטבע והסדרת הפיקוח על הלוואות חוץ-בנקאיות.</w:t>
      </w:r>
      <w:r w:rsidRPr="001F3DFF">
        <w:rPr>
          <w:rtl/>
        </w:rPr>
        <w:t xml:space="preserve"> </w:t>
      </w:r>
    </w:p>
    <w:p w:rsidR="005E5B2C" w:rsidRPr="001F3DFF" w:rsidP="00FB46AA">
      <w:pPr>
        <w:pStyle w:val="RESHET"/>
        <w:keepLines/>
        <w:rPr>
          <w:rtl/>
        </w:rPr>
      </w:pPr>
      <w:r w:rsidRPr="001F3DFF">
        <w:rPr>
          <w:rFonts w:hint="cs"/>
          <w:rtl/>
        </w:rPr>
        <w:t xml:space="preserve">לדעת משרד מבקר המדינה, נוכח האינטרס הציבורי להגן על לווים ונוכח חשיבות המלחמה בהלבנת הון ובפשיעה המאורגנת, על משרד המשפטים, בנק ישראל ומשרד האוצר להסדיר את שוק ההלוואות החוץ-בנקאיות בהקדם. על הלשכה המרכזית לסטטיסטיקה, משרד האוצר ובנק ישראל לאסוף נתונים מפורטים ואמינים יותר על היקף חובות משקי הבית. זאת כדי שתהיה לממשלה יכולת לאמוד את הסיכונים המשקיים והחברתיים הטמונים בחובות אלה, וכדי שתוכל לנקוט מדיניות מתאימה המביאה בחשבון את מלוא ההשפעות האפשריות של צעדים מאקרו-כלכליים. </w:t>
      </w:r>
    </w:p>
    <w:p w:rsidR="00C8241F" w:rsidP="00FB46AA">
      <w:pPr>
        <w:pStyle w:val="Header"/>
        <w:tabs>
          <w:tab w:val="clear" w:pos="4153"/>
          <w:tab w:val="clear" w:pos="8306"/>
        </w:tabs>
        <w:rPr>
          <w:rFonts w:hint="cs"/>
          <w:rtl/>
        </w:rPr>
      </w:pPr>
    </w:p>
    <w:p w:rsidR="00D4420D" w:rsidP="00FB46AA">
      <w:pPr>
        <w:pStyle w:val="Header"/>
        <w:tabs>
          <w:tab w:val="clear" w:pos="4153"/>
          <w:tab w:val="clear" w:pos="8306"/>
        </w:tabs>
        <w:rPr>
          <w:rtl/>
        </w:rPr>
        <w:sectPr w:rsidSect="0071712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58" w:right="2552" w:bottom="4253" w:left="2552" w:header="1247" w:footer="1134" w:gutter="0"/>
          <w:pgNumType w:start="55"/>
          <w:cols w:space="720"/>
          <w:titlePg/>
          <w:rtlGutter/>
        </w:sectPr>
      </w:pPr>
    </w:p>
    <w:p w:rsidR="00D4420D" w:rsidP="00FB46AA">
      <w:pPr>
        <w:pStyle w:val="Header"/>
        <w:tabs>
          <w:tab w:val="clear" w:pos="4153"/>
          <w:tab w:val="clear" w:pos="8306"/>
        </w:tabs>
        <w:rPr>
          <w:rtl/>
        </w:rPr>
      </w:pPr>
    </w:p>
    <w:sectPr w:rsidSect="00D4420D">
      <w:headerReference w:type="first" r:id="rId17"/>
      <w:footerReference w:type="first" r:id="rId18"/>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2B6" w:rsidP="00EC7BD8">
    <w:pPr>
      <w:pStyle w:val="Footer"/>
      <w:tabs>
        <w:tab w:val="left" w:pos="1222"/>
      </w:tabs>
      <w:spacing w:line="160" w:lineRule="exact"/>
      <w:rPr>
        <w:sz w:val="16"/>
        <w:szCs w:val="16"/>
        <w:rtl/>
      </w:rPr>
    </w:pPr>
    <w:r>
      <w:rPr>
        <w:sz w:val="16"/>
        <w:szCs w:val="16"/>
        <w:rtl/>
      </w:rPr>
      <w:t>שם הדוח:</w:t>
    </w:r>
    <w:r>
      <w:rPr>
        <w:sz w:val="16"/>
        <w:szCs w:val="16"/>
        <w:rtl/>
      </w:rPr>
      <w:tab/>
    </w:r>
    <w:r w:rsidRPr="00EC7BD8">
      <w:rPr>
        <w:rFonts w:hint="cs"/>
        <w:sz w:val="16"/>
        <w:szCs w:val="16"/>
        <w:rtl/>
      </w:rPr>
      <w:t>הפיקוח על מתן אשראי למשקי בית ועל נותני שירותי מטבע</w:t>
    </w:r>
  </w:p>
  <w:p w:rsidR="002112B6"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2112B6"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2B6" w:rsidP="00EC7BD8">
    <w:pPr>
      <w:pStyle w:val="Footer"/>
      <w:tabs>
        <w:tab w:val="left" w:pos="1222"/>
      </w:tabs>
      <w:spacing w:line="160" w:lineRule="exact"/>
      <w:rPr>
        <w:sz w:val="16"/>
        <w:szCs w:val="16"/>
        <w:rtl/>
      </w:rPr>
    </w:pPr>
    <w:r>
      <w:rPr>
        <w:sz w:val="16"/>
        <w:szCs w:val="16"/>
        <w:rtl/>
      </w:rPr>
      <w:t>שם הדוח:</w:t>
    </w:r>
    <w:r>
      <w:rPr>
        <w:sz w:val="16"/>
        <w:szCs w:val="16"/>
        <w:rtl/>
      </w:rPr>
      <w:tab/>
    </w:r>
    <w:r w:rsidRPr="00EC7BD8">
      <w:rPr>
        <w:rFonts w:hint="cs"/>
        <w:sz w:val="16"/>
        <w:szCs w:val="16"/>
        <w:rtl/>
      </w:rPr>
      <w:t>הפיקוח על מתן אשראי למשקי בית ועל נותני שירותי מטבע</w:t>
    </w:r>
  </w:p>
  <w:p w:rsidR="002112B6"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2112B6"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2B6" w:rsidP="009718F9">
    <w:pPr>
      <w:pStyle w:val="Footer"/>
      <w:tabs>
        <w:tab w:val="left" w:pos="1222"/>
      </w:tabs>
      <w:spacing w:line="160" w:lineRule="exact"/>
      <w:rPr>
        <w:sz w:val="16"/>
        <w:szCs w:val="16"/>
        <w:rtl/>
      </w:rPr>
    </w:pPr>
    <w:r>
      <w:rPr>
        <w:sz w:val="16"/>
        <w:szCs w:val="16"/>
        <w:rtl/>
      </w:rPr>
      <w:t>שם הדוח:</w:t>
    </w:r>
    <w:r>
      <w:rPr>
        <w:sz w:val="16"/>
        <w:szCs w:val="16"/>
        <w:rtl/>
      </w:rPr>
      <w:tab/>
    </w:r>
    <w:r w:rsidRPr="00EC7BD8">
      <w:rPr>
        <w:rFonts w:hint="cs"/>
        <w:sz w:val="16"/>
        <w:szCs w:val="16"/>
        <w:rtl/>
      </w:rPr>
      <w:t>הפיקוח על מתן אשראי למשקי בית ועל נותני שירותי מטבע</w:t>
    </w:r>
  </w:p>
  <w:p w:rsidR="002112B6" w:rsidP="00D6104E">
    <w:pPr>
      <w:pStyle w:val="Footer"/>
      <w:tabs>
        <w:tab w:val="left" w:pos="1222"/>
      </w:tabs>
      <w:spacing w:line="160" w:lineRule="exact"/>
      <w:rPr>
        <w:sz w:val="16"/>
        <w:szCs w:val="16"/>
        <w:rtl/>
      </w:rPr>
    </w:pPr>
    <w:r>
      <w:rPr>
        <w:sz w:val="16"/>
        <w:szCs w:val="16"/>
        <w:rtl/>
      </w:rPr>
      <w:t>מסגרת הפרסום:</w:t>
    </w:r>
    <w:r>
      <w:rPr>
        <w:sz w:val="16"/>
        <w:szCs w:val="16"/>
        <w:rtl/>
      </w:rPr>
      <w:tab/>
    </w:r>
    <w:r w:rsidR="00D6104E">
      <w:rPr>
        <w:rFonts w:hint="cs"/>
        <w:sz w:val="16"/>
        <w:szCs w:val="16"/>
        <w:rtl/>
      </w:rPr>
      <w:t>דוח שנתי 66א</w:t>
    </w:r>
  </w:p>
  <w:p w:rsidR="002112B6"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420D" w:rsidRPr="00D4420D" w:rsidP="00D4420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A0DD1">
      <w:pPr>
        <w:spacing w:after="120"/>
        <w:rPr>
          <w:sz w:val="16"/>
          <w:szCs w:val="16"/>
        </w:rPr>
      </w:pPr>
      <w:r>
        <w:rPr>
          <w:sz w:val="16"/>
          <w:szCs w:val="16"/>
          <w:rtl/>
        </w:rPr>
        <w:t>__________________</w:t>
      </w:r>
    </w:p>
  </w:footnote>
  <w:footnote w:type="continuationSeparator" w:id="1">
    <w:p w:rsidR="00DA0DD1">
      <w:r>
        <w:t>_______________</w:t>
      </w:r>
    </w:p>
  </w:footnote>
  <w:footnote w:id="2">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על פי בנק ישראל, האשראי שנותנות חברות כרטיסי האשראי הוא אשראי בנקאי; אולם דוח זה מחשיב אותו כאשראי חוץ-בנקאי, מאחר שבדרך כלל אינו ניתן ישירות על ידי הבנקים.</w:t>
      </w:r>
    </w:p>
  </w:footnote>
  <w:footnote w:id="3">
    <w:p w:rsidR="002112B6" w:rsidRPr="00957371" w:rsidP="004214D8">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מבקר המדינה, </w:t>
      </w:r>
      <w:r w:rsidRPr="00957371">
        <w:rPr>
          <w:rFonts w:cs="FrankRuehl"/>
          <w:b/>
          <w:bCs/>
          <w:sz w:val="18"/>
          <w:rtl/>
        </w:rPr>
        <w:t>דוח שנתי 60ב</w:t>
      </w:r>
      <w:r w:rsidRPr="00957371">
        <w:rPr>
          <w:rFonts w:cs="FrankRuehl"/>
          <w:sz w:val="18"/>
          <w:rtl/>
        </w:rPr>
        <w:t xml:space="preserve"> (2009).</w:t>
      </w:r>
    </w:p>
  </w:footnote>
  <w:footnote w:id="4">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בנקים וחברות כרטיסי אשראי.</w:t>
      </w:r>
    </w:p>
  </w:footnote>
  <w:footnote w:id="5">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משרד מבקר המדינה מעיר כי אימוץ ההמלצות ויישומן - אם ייעשו במלואם - עשויים להביא לתיקון חלק ניכר מהליקויים המנויים בדוח זה. להרחבה בעניין זה ראו תת-פרק "מעבר היחידה לרשות המסים" להלן.</w:t>
      </w:r>
    </w:p>
  </w:footnote>
  <w:footnote w:id="6">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נתוני בנק ישראל, הכוללים חובות לבנקים, לחברות כרטיסי אשראי, לגופים מוסדיים, למגזר הפיננסי ותושבי חוץ ולמקורות ממשלה.</w:t>
      </w:r>
    </w:p>
  </w:footnote>
  <w:footnote w:id="7">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יחס זה מבטא את הרמה הכוללת של חובות משקי הבית ביחס לתוצר המקומי הגולמי (תמ"ג).</w:t>
      </w:r>
    </w:p>
  </w:footnote>
  <w:footnote w:id="8">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אשראי צרכני מוגדר כאשראי הניתן למשקי בית למגוון מטרות אך לא למטרות דיור. </w:t>
      </w:r>
    </w:p>
  </w:footnote>
  <w:footnote w:id="9">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זו נועדה בין השאר לעודד את הפעילות במשק על ידי עידוד הצריכה הפרטית.</w:t>
      </w:r>
    </w:p>
  </w:footnote>
  <w:footnote w:id="10">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יחס זה מבטא את נטל החוב על משקי הבית.</w:t>
      </w:r>
    </w:p>
  </w:footnote>
  <w:footnote w:id="11">
    <w:p w:rsidR="002112B6" w:rsidRPr="00957371" w:rsidP="004B5AF0">
      <w:pPr>
        <w:pStyle w:val="FootnoteText"/>
        <w:keepLines/>
        <w:spacing w:line="19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ראו תת-פרק "יציבות פיננסית" בדוח זה.</w:t>
      </w:r>
    </w:p>
  </w:footnote>
  <w:footnote w:id="12">
    <w:p w:rsidR="002112B6" w:rsidRPr="00957371" w:rsidP="004B5AF0">
      <w:pPr>
        <w:pStyle w:val="FootnoteText"/>
        <w:keepLines/>
        <w:spacing w:line="19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sidR="00AE3D99">
        <w:rPr>
          <w:rFonts w:cs="FrankRuehl" w:hint="cs"/>
          <w:sz w:val="18"/>
          <w:rtl/>
        </w:rPr>
        <w:t xml:space="preserve">ראו: </w:t>
      </w:r>
      <w:r w:rsidRPr="00957371">
        <w:rPr>
          <w:rFonts w:cs="FrankRuehl"/>
          <w:b/>
          <w:bCs/>
          <w:sz w:val="18"/>
        </w:rPr>
        <w:t>World Economic Outlook, Growth Resuming, Dangers Remain</w:t>
      </w:r>
      <w:r w:rsidRPr="00957371">
        <w:rPr>
          <w:rFonts w:cs="FrankRuehl"/>
          <w:sz w:val="18"/>
        </w:rPr>
        <w:t>, April 2012</w:t>
      </w:r>
      <w:r w:rsidRPr="00957371">
        <w:rPr>
          <w:rFonts w:cs="FrankRuehl"/>
          <w:sz w:val="18"/>
          <w:rtl/>
        </w:rPr>
        <w:t>.</w:t>
      </w:r>
    </w:p>
  </w:footnote>
  <w:footnote w:id="13">
    <w:p w:rsidR="002112B6" w:rsidRPr="00957371" w:rsidP="004B5AF0">
      <w:pPr>
        <w:pStyle w:val="FootnoteText"/>
        <w:keepLines/>
        <w:spacing w:line="19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משקי בית המשתייכים </w:t>
      </w:r>
      <w:r w:rsidRPr="00957371">
        <w:rPr>
          <w:rFonts w:cs="FrankRuehl"/>
          <w:sz w:val="18"/>
          <w:rtl/>
        </w:rPr>
        <w:t>לעשירוני</w:t>
      </w:r>
      <w:r w:rsidRPr="00957371">
        <w:rPr>
          <w:rFonts w:cs="FrankRuehl"/>
          <w:sz w:val="18"/>
          <w:rtl/>
        </w:rPr>
        <w:t xml:space="preserve"> הכנסה נמוכים ממונפים יותר, ונטייתם השולית לצרוך מתוך הכנסתם גדולה באופן יחסי. על כן שינויים בהכנסה של אותם משקי בית עלולים להגדיל את התנודתיות של הצריכה הפרטית במשק ובכך להשפיע על הפעילות הכלכלית המצרפית. </w:t>
      </w:r>
    </w:p>
    <w:p w:rsidR="002112B6" w:rsidRPr="00957371" w:rsidP="00AE3D99">
      <w:pPr>
        <w:pStyle w:val="FootnoteText"/>
        <w:bidi w:val="0"/>
        <w:spacing w:line="190" w:lineRule="exact"/>
        <w:ind w:right="397"/>
        <w:rPr>
          <w:rFonts w:cs="FrankRuehl"/>
          <w:sz w:val="18"/>
          <w:rtl/>
        </w:rPr>
      </w:pPr>
      <w:r w:rsidRPr="00957371">
        <w:rPr>
          <w:rFonts w:cs="FrankRuehl"/>
          <w:b/>
          <w:bCs/>
          <w:sz w:val="18"/>
        </w:rPr>
        <w:t>Has the Rise in Debt Made Households More Vulnerable?</w:t>
      </w:r>
      <w:r w:rsidRPr="00957371">
        <w:rPr>
          <w:rFonts w:cs="FrankRuehl"/>
          <w:sz w:val="18"/>
        </w:rPr>
        <w:t xml:space="preserve"> OECD 2006; Aldo Barba and Massimo </w:t>
      </w:r>
      <w:r w:rsidRPr="00957371">
        <w:rPr>
          <w:rFonts w:cs="FrankRuehl"/>
          <w:sz w:val="18"/>
        </w:rPr>
        <w:t>Pivetti</w:t>
      </w:r>
      <w:r w:rsidRPr="00957371">
        <w:rPr>
          <w:rFonts w:cs="FrankRuehl"/>
          <w:sz w:val="18"/>
        </w:rPr>
        <w:t xml:space="preserve">, "Rising Household Debt: Its Causes and Macroeconomic Implications, A Long-Period Analysis", </w:t>
      </w:r>
      <w:r w:rsidRPr="00957371">
        <w:rPr>
          <w:rFonts w:cs="FrankRuehl"/>
          <w:b/>
          <w:bCs/>
          <w:sz w:val="18"/>
        </w:rPr>
        <w:t>Cambridge Journal of Economics</w:t>
      </w:r>
      <w:r w:rsidRPr="00957371">
        <w:rPr>
          <w:rFonts w:cs="FrankRuehl"/>
          <w:sz w:val="18"/>
        </w:rPr>
        <w:t>, 2009, 33, 113-137</w:t>
      </w:r>
      <w:r w:rsidRPr="00957371">
        <w:rPr>
          <w:rFonts w:cs="FrankRuehl"/>
          <w:sz w:val="18"/>
          <w:rtl/>
        </w:rPr>
        <w:t>.</w:t>
      </w:r>
    </w:p>
  </w:footnote>
  <w:footnote w:id="14">
    <w:p w:rsidR="00AE3D99"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ראו:</w:t>
      </w:r>
    </w:p>
    <w:p w:rsidR="002112B6" w:rsidRPr="00957371" w:rsidP="00AE3D99">
      <w:pPr>
        <w:pStyle w:val="FootnoteText"/>
        <w:keepLines/>
        <w:bidi w:val="0"/>
        <w:spacing w:line="200" w:lineRule="exact"/>
        <w:ind w:right="397"/>
        <w:jc w:val="both"/>
        <w:rPr>
          <w:rFonts w:cs="FrankRuehl"/>
          <w:sz w:val="18"/>
          <w:rtl/>
        </w:rPr>
      </w:pPr>
      <w:r w:rsidRPr="00957371">
        <w:rPr>
          <w:rFonts w:cs="FrankRuehl"/>
          <w:sz w:val="18"/>
        </w:rPr>
        <w:t xml:space="preserve">European Central Bank, </w:t>
      </w:r>
      <w:r w:rsidRPr="00957371">
        <w:rPr>
          <w:rFonts w:cs="FrankRuehl"/>
          <w:b/>
          <w:bCs/>
          <w:sz w:val="18"/>
        </w:rPr>
        <w:t xml:space="preserve">Household Sector Borrowing in the Euro Area, </w:t>
      </w:r>
      <w:r w:rsidRPr="00957371">
        <w:rPr>
          <w:rFonts w:cs="FrankRuehl"/>
          <w:b/>
          <w:bCs/>
          <w:sz w:val="18"/>
        </w:rPr>
        <w:t>A</w:t>
      </w:r>
      <w:r w:rsidRPr="00957371">
        <w:rPr>
          <w:rFonts w:cs="FrankRuehl"/>
          <w:b/>
          <w:bCs/>
          <w:sz w:val="18"/>
        </w:rPr>
        <w:t xml:space="preserve"> Micro Data Perspective</w:t>
      </w:r>
      <w:r w:rsidRPr="00957371">
        <w:rPr>
          <w:rFonts w:cs="FrankRuehl"/>
          <w:sz w:val="18"/>
        </w:rPr>
        <w:t>,</w:t>
      </w:r>
      <w:r w:rsidRPr="00957371">
        <w:rPr>
          <w:rFonts w:cs="FrankRuehl"/>
          <w:i/>
          <w:iCs/>
          <w:sz w:val="18"/>
        </w:rPr>
        <w:t xml:space="preserve"> </w:t>
      </w:r>
      <w:r w:rsidRPr="00957371">
        <w:rPr>
          <w:rFonts w:cs="FrankRuehl"/>
          <w:sz w:val="18"/>
        </w:rPr>
        <w:t>April 2011</w:t>
      </w:r>
      <w:r w:rsidRPr="00957371">
        <w:rPr>
          <w:rFonts w:cs="FrankRuehl"/>
          <w:sz w:val="18"/>
          <w:rtl/>
        </w:rPr>
        <w:t>.</w:t>
      </w:r>
    </w:p>
  </w:footnote>
  <w:footnote w:id="15">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מערכת הבנקאות, המשקיעים המוסדיים (קרנות הפנסיה, חברות הביטוח וקופות הגמל) וגופים פיננסיים אחרים (חברות להשקעה, חברות אשראי, קרנות נאמנות, מנהלי תיקים, חתמים, יועצים וכו').</w:t>
      </w:r>
    </w:p>
  </w:footnote>
  <w:footnote w:id="16">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שוקי הכספים, מטבע החוץ וניירות הערך.</w:t>
      </w:r>
    </w:p>
  </w:footnote>
  <w:footnote w:id="17">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המערכות לשינוע מזומנים ולסליקה של צ'קים, הוראות תשלום, חיובים וזיכויים, שטרות וניירות ערך - בין בנקים ומוסדות פיננסיים אחרים לבין עצמם, ובינם לבין הבנק המרכזי.</w:t>
      </w:r>
    </w:p>
  </w:footnote>
  <w:footnote w:id="18">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בשנים האחרונות בולטת בעולם המגמה של הפקדת הטיפול ביציבות הפיננסית בידי הבנקים המרכזיים. על פי נייר הסוקר את מגמת הוצאתם של דוחות יציבות פיננסית בעולם, שפרסמה קרן המטבע הבין-לאומית, יותר ממחצית דוחות היציבות משתמשים במבחני קיצון, ובחלק מהמדינות הכנת דוחות היציבות אף מעוגנת בחוק.</w:t>
      </w:r>
      <w:r w:rsidRPr="00957371">
        <w:rPr>
          <w:rFonts w:cs="FrankRuehl"/>
          <w:sz w:val="18"/>
        </w:rPr>
        <w:t xml:space="preserve">Martin </w:t>
      </w:r>
      <w:r w:rsidRPr="00957371">
        <w:rPr>
          <w:rFonts w:cs="FrankRuehl"/>
          <w:sz w:val="18"/>
        </w:rPr>
        <w:t>Čihák</w:t>
      </w:r>
      <w:r w:rsidRPr="00957371">
        <w:rPr>
          <w:rFonts w:cs="FrankRuehl"/>
          <w:sz w:val="18"/>
        </w:rPr>
        <w:t xml:space="preserve">, </w:t>
      </w:r>
      <w:r w:rsidRPr="00957371">
        <w:rPr>
          <w:rFonts w:cs="FrankRuehl"/>
          <w:sz w:val="18"/>
        </w:rPr>
        <w:t>Sònia</w:t>
      </w:r>
      <w:r w:rsidRPr="00957371">
        <w:rPr>
          <w:rFonts w:cs="FrankRuehl"/>
          <w:sz w:val="18"/>
        </w:rPr>
        <w:t xml:space="preserve"> Muñoz, Shakira </w:t>
      </w:r>
      <w:r w:rsidRPr="00957371">
        <w:rPr>
          <w:rFonts w:cs="FrankRuehl"/>
          <w:sz w:val="18"/>
        </w:rPr>
        <w:t>Teh</w:t>
      </w:r>
      <w:r w:rsidRPr="00957371">
        <w:rPr>
          <w:rFonts w:cs="FrankRuehl"/>
          <w:sz w:val="18"/>
        </w:rPr>
        <w:t xml:space="preserve">, </w:t>
      </w:r>
      <w:r w:rsidRPr="00957371">
        <w:rPr>
          <w:rFonts w:cs="FrankRuehl"/>
          <w:sz w:val="18"/>
        </w:rPr>
        <w:t>Sharifuddin</w:t>
      </w:r>
      <w:r w:rsidRPr="00957371">
        <w:rPr>
          <w:rFonts w:cs="FrankRuehl"/>
          <w:sz w:val="18"/>
        </w:rPr>
        <w:t xml:space="preserve"> and </w:t>
      </w:r>
      <w:r w:rsidRPr="00957371">
        <w:rPr>
          <w:rFonts w:cs="FrankRuehl"/>
          <w:sz w:val="18"/>
        </w:rPr>
        <w:t>Kalin</w:t>
      </w:r>
      <w:r w:rsidRPr="00957371">
        <w:rPr>
          <w:rFonts w:cs="FrankRuehl"/>
          <w:sz w:val="18"/>
        </w:rPr>
        <w:t xml:space="preserve"> </w:t>
      </w:r>
      <w:r w:rsidRPr="00957371">
        <w:rPr>
          <w:rFonts w:cs="FrankRuehl"/>
          <w:sz w:val="18"/>
        </w:rPr>
        <w:t>Tintchev</w:t>
      </w:r>
      <w:r w:rsidRPr="00957371">
        <w:rPr>
          <w:rFonts w:cs="FrankRuehl"/>
          <w:sz w:val="18"/>
        </w:rPr>
        <w:t xml:space="preserve">, </w:t>
      </w:r>
      <w:r w:rsidRPr="00957371">
        <w:rPr>
          <w:rFonts w:cs="FrankRuehl"/>
          <w:b/>
          <w:bCs/>
          <w:sz w:val="18"/>
        </w:rPr>
        <w:t>Financial Stability Reports: What Are They Good For?</w:t>
      </w:r>
      <w:r w:rsidRPr="00957371">
        <w:rPr>
          <w:rFonts w:cs="FrankRuehl"/>
          <w:sz w:val="18"/>
        </w:rPr>
        <w:t xml:space="preserve"> January 2012</w:t>
      </w:r>
      <w:r w:rsidRPr="00957371">
        <w:rPr>
          <w:rFonts w:cs="FrankRuehl"/>
          <w:sz w:val="18"/>
          <w:rtl/>
        </w:rPr>
        <w:t>.</w:t>
      </w:r>
    </w:p>
  </w:footnote>
  <w:footnote w:id="19">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כאמור, יחס המינוף מוגדר כמסוכן כאשר הוא עולה על 40%. ראו: </w:t>
      </w:r>
      <w:r w:rsidRPr="00957371">
        <w:rPr>
          <w:rFonts w:cs="FrankRuehl"/>
          <w:sz w:val="18"/>
        </w:rPr>
        <w:t xml:space="preserve">European Central Bank, </w:t>
      </w:r>
      <w:r w:rsidRPr="00957371">
        <w:rPr>
          <w:rFonts w:cs="FrankRuehl"/>
          <w:b/>
          <w:bCs/>
          <w:sz w:val="18"/>
        </w:rPr>
        <w:t>Financial Stability Review</w:t>
      </w:r>
      <w:r w:rsidRPr="00957371">
        <w:rPr>
          <w:rFonts w:cs="FrankRuehl"/>
          <w:sz w:val="18"/>
        </w:rPr>
        <w:t>, November 2013</w:t>
      </w:r>
      <w:r w:rsidRPr="00957371">
        <w:rPr>
          <w:rFonts w:cs="FrankRuehl"/>
          <w:sz w:val="18"/>
          <w:rtl/>
        </w:rPr>
        <w:t>.</w:t>
      </w:r>
    </w:p>
  </w:footnote>
  <w:footnote w:id="20">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בדצמבר 2007 פרסם הפיקוח על הבנקים חוזר (חוזר מס' ח-06 - 2220) בדבר מדידה וגילוי של חובות פגומים, סיכון אשראי והפרשה להפסדי אשראי, שנכנס לתוקף ביום 1.1.2011.</w:t>
      </w:r>
    </w:p>
  </w:footnote>
  <w:footnote w:id="21">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חוזר ח-06 - 2453.</w:t>
      </w:r>
    </w:p>
  </w:footnote>
  <w:footnote w:id="22">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ספר תקציב 2014-2013.</w:t>
      </w:r>
    </w:p>
  </w:footnote>
  <w:footnote w:id="23">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sidRPr="00957371">
        <w:rPr>
          <w:rFonts w:cs="FrankRuehl"/>
          <w:sz w:val="18"/>
        </w:rPr>
        <w:t>Household Finance and Consumption Survey (HFCS)</w:t>
      </w:r>
      <w:r w:rsidRPr="00957371">
        <w:rPr>
          <w:rFonts w:cs="FrankRuehl"/>
          <w:sz w:val="18"/>
          <w:rtl/>
        </w:rPr>
        <w:t>.</w:t>
      </w:r>
    </w:p>
  </w:footnote>
  <w:footnote w:id="24">
    <w:p w:rsidR="00AE3D99"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ראו:</w:t>
      </w:r>
    </w:p>
    <w:p w:rsidR="002112B6" w:rsidRPr="00957371" w:rsidP="00AE3D99">
      <w:pPr>
        <w:pStyle w:val="FootnoteText"/>
        <w:keepLines/>
        <w:bidi w:val="0"/>
        <w:spacing w:line="200" w:lineRule="exact"/>
        <w:ind w:right="397"/>
        <w:jc w:val="both"/>
        <w:rPr>
          <w:rFonts w:cs="FrankRuehl"/>
          <w:sz w:val="18"/>
        </w:rPr>
      </w:pPr>
      <w:r w:rsidRPr="00957371">
        <w:rPr>
          <w:rFonts w:cs="FrankRuehl"/>
          <w:sz w:val="18"/>
        </w:rPr>
        <w:t xml:space="preserve">OECD (2012), "Debt and Macroeconomic Stability", </w:t>
      </w:r>
      <w:r w:rsidRPr="00957371">
        <w:rPr>
          <w:rFonts w:cs="FrankRuehl"/>
          <w:b/>
          <w:bCs/>
          <w:sz w:val="18"/>
        </w:rPr>
        <w:t>OECD Economics Department Policy Notes</w:t>
      </w:r>
      <w:r w:rsidRPr="00957371">
        <w:rPr>
          <w:rFonts w:cs="FrankRuehl"/>
          <w:sz w:val="18"/>
        </w:rPr>
        <w:t>, No. 16, January 2013</w:t>
      </w:r>
      <w:r w:rsidRPr="00957371">
        <w:rPr>
          <w:rFonts w:cs="FrankRuehl"/>
          <w:sz w:val="18"/>
          <w:rtl/>
        </w:rPr>
        <w:t>.</w:t>
      </w:r>
    </w:p>
  </w:footnote>
  <w:footnote w:id="25">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כדי להעריך את הסיכונים המאקרו-כלכליים הנובעים מנטל החזר החוב, יש לבצע ניתוחים לפי פילוחי הכנסה וגיל בעלי החוב. לדוגמה, עבור משקי בית בעלי הכנסה נמוכה, זעזועי ריבית וזעזועי הכנסה עשויים להתבטא בלחץ כספי גדול יותר, כיוון שמשקי בית אלו נוטים להתאפיין ביחסי חיסכון נמוכים יותר, והם ככל הנראה גם בעלי ביטחונות ורזרבות כספיות מצומצמים.</w:t>
      </w:r>
    </w:p>
  </w:footnote>
  <w:footnote w:id="26">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המאזן הלאומי מפרט את הנכסים וההתחייבויות של כל סקטור מוסדי במשק ושל המשק כולו בנקודת זמן נתונה.</w:t>
      </w:r>
    </w:p>
  </w:footnote>
  <w:footnote w:id="27">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במשך השנים הוצאו מסקר הוצאות משק הבית שאלות בנושאי חיסכון בשל תחושת ההכבדה על המשפחות ובשל מיעוט המשיבים.</w:t>
      </w:r>
    </w:p>
  </w:footnote>
  <w:footnote w:id="28">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מטרת המבחן המוקדם הייתה בדיקת נוסח השאלות החדשות שייכנסו לסקר הוצאות משק הבית. המבחן התקיים במשך חודש וכלל 106 שאלונים.</w:t>
      </w:r>
    </w:p>
  </w:footnote>
  <w:footnote w:id="29">
    <w:p w:rsidR="002112B6" w:rsidRPr="00957371" w:rsidP="00957371">
      <w:pPr>
        <w:pStyle w:val="FootnoteText"/>
        <w:keepLines/>
        <w:tabs>
          <w:tab w:val="left" w:pos="567"/>
          <w:tab w:val="left" w:pos="1134"/>
          <w:tab w:val="left" w:pos="1701"/>
          <w:tab w:val="left" w:pos="2268"/>
          <w:tab w:val="left" w:pos="2835"/>
          <w:tab w:val="left" w:pos="3402"/>
          <w:tab w:val="left" w:pos="3969"/>
          <w:tab w:val="left" w:pos="4536"/>
          <w:tab w:val="left" w:pos="5103"/>
          <w:tab w:val="left" w:pos="6674"/>
        </w:tab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sidRPr="00957371">
        <w:rPr>
          <w:rFonts w:cs="FrankRuehl"/>
          <w:sz w:val="18"/>
        </w:rPr>
        <w:t>Dodd Frank Act</w:t>
      </w:r>
      <w:r w:rsidRPr="00957371">
        <w:rPr>
          <w:rFonts w:cs="FrankRuehl"/>
          <w:sz w:val="18"/>
          <w:rtl/>
        </w:rPr>
        <w:t xml:space="preserve"> - החוק אושר על ידי הנשיא ביום 21.7.10.</w:t>
      </w:r>
    </w:p>
  </w:footnote>
  <w:footnote w:id="30">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sidRPr="00957371">
        <w:rPr>
          <w:rFonts w:cs="FrankRuehl"/>
          <w:sz w:val="18"/>
        </w:rPr>
        <w:t>Bureau of Consumer Financial Protection</w:t>
      </w:r>
      <w:r w:rsidRPr="00957371">
        <w:rPr>
          <w:rFonts w:cs="FrankRuehl"/>
          <w:sz w:val="18"/>
          <w:rtl/>
        </w:rPr>
        <w:t>.</w:t>
      </w:r>
    </w:p>
  </w:footnote>
  <w:footnote w:id="31">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sidRPr="00957371">
        <w:rPr>
          <w:rFonts w:cs="FrankRuehl"/>
          <w:sz w:val="18"/>
        </w:rPr>
        <w:t>Financial Conduct Authority</w:t>
      </w:r>
      <w:r w:rsidRPr="00957371">
        <w:rPr>
          <w:rFonts w:cs="FrankRuehl"/>
          <w:sz w:val="18"/>
          <w:rtl/>
        </w:rPr>
        <w:t>.</w:t>
      </w:r>
    </w:p>
  </w:footnote>
  <w:footnote w:id="32">
    <w:p w:rsidR="002112B6" w:rsidRPr="00957371" w:rsidP="004214D8">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Pr>
        <w:tab/>
      </w:r>
      <w:r w:rsidRPr="00957371">
        <w:rPr>
          <w:rFonts w:cs="FrankRuehl"/>
          <w:sz w:val="18"/>
          <w:rtl/>
        </w:rPr>
        <w:t>ארגון הכולל את ה-</w:t>
      </w:r>
      <w:r w:rsidRPr="00957371">
        <w:rPr>
          <w:rFonts w:cs="FrankRuehl"/>
          <w:sz w:val="18"/>
        </w:rPr>
        <w:t>G20</w:t>
      </w:r>
      <w:r w:rsidRPr="00957371">
        <w:rPr>
          <w:rFonts w:cs="FrankRuehl"/>
          <w:sz w:val="18"/>
          <w:rtl/>
        </w:rPr>
        <w:t xml:space="preserve"> כלכלות הגדולות, את חברי ארגון ה-</w:t>
      </w:r>
      <w:r w:rsidRPr="00957371">
        <w:rPr>
          <w:rFonts w:cs="FrankRuehl"/>
          <w:sz w:val="18"/>
        </w:rPr>
        <w:t>FSF</w:t>
      </w:r>
      <w:r w:rsidRPr="00957371">
        <w:rPr>
          <w:rFonts w:cs="FrankRuehl"/>
          <w:sz w:val="18"/>
          <w:rtl/>
        </w:rPr>
        <w:t xml:space="preserve"> ואת ה-</w:t>
      </w:r>
      <w:r w:rsidRPr="00957371">
        <w:rPr>
          <w:rFonts w:cs="FrankRuehl"/>
          <w:sz w:val="18"/>
        </w:rPr>
        <w:t>.European Commission</w:t>
      </w:r>
    </w:p>
  </w:footnote>
  <w:footnote w:id="33">
    <w:p w:rsidR="002112B6" w:rsidRPr="00957371" w:rsidP="004214D8">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פורום שחברים בו שרי האוצר ונגידי הבנקים המרכזיים של 20 כלכלות (19 מבין הכלכלות הגדולות בעולם, וכן האיחוד האירופי).</w:t>
      </w:r>
    </w:p>
  </w:footnote>
  <w:footnote w:id="34">
    <w:p w:rsidR="00AE3D99"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 xml:space="preserve">ראו: </w:t>
      </w:r>
    </w:p>
    <w:p w:rsidR="002112B6" w:rsidRPr="00957371" w:rsidP="00AE3D99">
      <w:pPr>
        <w:pStyle w:val="FootnoteText"/>
        <w:keepLines/>
        <w:bidi w:val="0"/>
        <w:spacing w:line="200" w:lineRule="exact"/>
        <w:ind w:right="397"/>
        <w:jc w:val="both"/>
        <w:rPr>
          <w:rFonts w:cs="FrankRuehl"/>
          <w:sz w:val="18"/>
          <w:rtl/>
        </w:rPr>
      </w:pPr>
      <w:r w:rsidRPr="00957371">
        <w:rPr>
          <w:rFonts w:cs="FrankRuehl"/>
          <w:sz w:val="18"/>
        </w:rPr>
        <w:t xml:space="preserve">The World Bank, </w:t>
      </w:r>
      <w:r w:rsidRPr="00957371">
        <w:rPr>
          <w:rFonts w:cs="FrankRuehl"/>
          <w:b/>
          <w:bCs/>
          <w:sz w:val="18"/>
        </w:rPr>
        <w:t>Good Practices for Financial Consumer Protection</w:t>
      </w:r>
      <w:r w:rsidRPr="00957371">
        <w:rPr>
          <w:rFonts w:cs="FrankRuehl"/>
          <w:sz w:val="18"/>
        </w:rPr>
        <w:t>, June 2012</w:t>
      </w:r>
      <w:r w:rsidRPr="00957371">
        <w:rPr>
          <w:rFonts w:cs="FrankRuehl"/>
          <w:sz w:val="18"/>
          <w:rtl/>
        </w:rPr>
        <w:t xml:space="preserve">. </w:t>
      </w:r>
    </w:p>
  </w:footnote>
  <w:footnote w:id="35">
    <w:p w:rsidR="00AE3D99"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ראו:</w:t>
      </w:r>
    </w:p>
    <w:p w:rsidR="002112B6" w:rsidRPr="00957371" w:rsidP="00AE3D99">
      <w:pPr>
        <w:pStyle w:val="FootnoteText"/>
        <w:keepLines/>
        <w:bidi w:val="0"/>
        <w:spacing w:line="200" w:lineRule="exact"/>
        <w:ind w:right="397"/>
        <w:jc w:val="both"/>
        <w:rPr>
          <w:rFonts w:cs="FrankRuehl"/>
          <w:sz w:val="18"/>
          <w:rtl/>
        </w:rPr>
      </w:pPr>
      <w:r w:rsidRPr="00957371">
        <w:rPr>
          <w:rFonts w:cs="FrankRuehl"/>
          <w:sz w:val="18"/>
        </w:rPr>
        <w:t>Directive 2008/48/</w:t>
      </w:r>
      <w:r w:rsidRPr="00957371">
        <w:rPr>
          <w:rFonts w:cs="FrankRuehl"/>
          <w:sz w:val="18"/>
        </w:rPr>
        <w:t>Ec</w:t>
      </w:r>
      <w:r w:rsidRPr="00957371">
        <w:rPr>
          <w:rFonts w:cs="FrankRuehl"/>
          <w:sz w:val="18"/>
        </w:rPr>
        <w:t xml:space="preserve"> of the European Parliament and of the Council of 23 April 2008 on Credit Agreements for Consumers and Repealing Council Directive 87/102/EEC</w:t>
      </w:r>
      <w:r w:rsidRPr="00957371">
        <w:rPr>
          <w:rFonts w:cs="FrankRuehl"/>
          <w:sz w:val="18"/>
          <w:rtl/>
        </w:rPr>
        <w:t>.</w:t>
      </w:r>
    </w:p>
  </w:footnote>
  <w:footnote w:id="36">
    <w:p w:rsidR="00AE3D99"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ראו:</w:t>
      </w:r>
    </w:p>
    <w:p w:rsidR="002112B6" w:rsidRPr="00957371" w:rsidP="00AE3D99">
      <w:pPr>
        <w:pStyle w:val="FootnoteText"/>
        <w:keepLines/>
        <w:bidi w:val="0"/>
        <w:spacing w:line="200" w:lineRule="exact"/>
        <w:ind w:right="397"/>
        <w:jc w:val="both"/>
        <w:rPr>
          <w:rFonts w:cs="FrankRuehl"/>
          <w:sz w:val="18"/>
        </w:rPr>
      </w:pPr>
      <w:r w:rsidRPr="00957371">
        <w:rPr>
          <w:rFonts w:cs="FrankRuehl"/>
          <w:b/>
          <w:bCs/>
          <w:sz w:val="18"/>
        </w:rPr>
        <w:t>G20 High-level Principles on Financial Consumer Protection</w:t>
      </w:r>
      <w:r w:rsidRPr="00957371">
        <w:rPr>
          <w:rFonts w:cs="FrankRuehl"/>
          <w:sz w:val="18"/>
        </w:rPr>
        <w:t>, October 2011</w:t>
      </w:r>
      <w:r w:rsidRPr="00957371">
        <w:rPr>
          <w:rFonts w:cs="FrankRuehl"/>
          <w:sz w:val="18"/>
          <w:rtl/>
        </w:rPr>
        <w:t>.</w:t>
      </w:r>
    </w:p>
  </w:footnote>
  <w:footnote w:id="37">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סעיף 39 לחוק קובע כי הוראותיו לא יחולו על שירות הניתן בידי אחד מאלה: "(1) תאגיד בנקאי כמשמעותו בחוק הבנקאות (שירות ללקוח), תשמ"א-1981; (2) מבטח או סוכן ביטוח כמשמעותם בחוק הפיקוח על עסקי ביטוח, תשמ"א-1981".</w:t>
      </w:r>
    </w:p>
  </w:footnote>
  <w:footnote w:id="38">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כשל שוק הוא מונח בכלכלה המתאר מצבים שבהם אין מתקיימת הנחת היסוד של כלכלת שוק, שלפיה כוחות השוק עצמם ומנגנוני ההיצע והביקוש יובילו בהכרח להקצאת המשאבים היעילה ביותר ולאספקה המיטבית של מוצרים ושירותים. פעמים רבות כשל השוק נובע מיתרון מסוים של פרטים בעלי אמצעים על שאר הפרטים בשוק.</w:t>
      </w:r>
    </w:p>
  </w:footnote>
  <w:footnote w:id="39">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ראו דוח הוועדה לשינוי כלכלי חברתי, עמ' 188. </w:t>
      </w:r>
    </w:p>
  </w:footnote>
  <w:footnote w:id="40">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Pr>
        <w:tab/>
      </w:r>
      <w:r w:rsidRPr="00957371">
        <w:rPr>
          <w:rFonts w:cs="FrankRuehl"/>
          <w:sz w:val="18"/>
          <w:rtl/>
        </w:rPr>
        <w:t xml:space="preserve">על </w:t>
      </w:r>
      <w:r w:rsidRPr="00957371">
        <w:rPr>
          <w:rFonts w:cs="FrankRuehl"/>
          <w:sz w:val="18"/>
        </w:rPr>
        <w:t>Credit Bureaus</w:t>
      </w:r>
      <w:r w:rsidRPr="00957371">
        <w:rPr>
          <w:rFonts w:cs="FrankRuehl"/>
          <w:sz w:val="18"/>
          <w:rtl/>
        </w:rPr>
        <w:t xml:space="preserve"> ראו להלן.</w:t>
      </w:r>
    </w:p>
  </w:footnote>
  <w:footnote w:id="41">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הצוות פרסם דוח ביניים ביום 16.7.12 ואת המלצותיו הסופיות הגיש לשר האוצר ולנגיד בנק ישראל ביום 19.3.13.</w:t>
      </w:r>
    </w:p>
  </w:footnote>
  <w:footnote w:id="42">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בהתאם להוראות הרגולציה הקיימת, נדרשים התאגידים לפרסם על גבי לוח בסניף מידע בנושא שיעורי הריבית המזעריים על פיקדונות שהתקופה לפירעונם אינה עולה על שנה. ביחס למסגרת אשראי בחשבונות עו"ש מחויבים התאגידים להודיע על כל שינוי במרכיבי עלות האשראי, כדוגמת שינוי הריבית הבסיסית והשיעור המרבי על תוספת סיכון. ראו סעיפים 14 ו-19 לכללי הבנקאות (שירות ללקוח) (גילוי נאות ומסירת מסמכים), התשנ"ב-1992.</w:t>
      </w:r>
    </w:p>
  </w:footnote>
  <w:footnote w:id="43">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דוח ועדת זקן, עמ' 94-93. </w:t>
      </w:r>
    </w:p>
  </w:footnote>
  <w:footnote w:id="44">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חוזר מס' ח-06 - 2440 מיום 19.11.14.</w:t>
      </w:r>
    </w:p>
  </w:footnote>
  <w:footnote w:id="45">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יצוין כי לצד התועלת החברתית והכלכלית שבשיפור תחום שיתוף נתוני האשראי, ישנן גם השלכות שליליות אפשריות, כמו פגיעה בפרטיות הלווים, שימוש במידע שלא למטרות שלשמן נמסר, בעיה באבטחת המידע והדרת אשראי מקבוצות אשראי מסוימות.</w:t>
      </w:r>
    </w:p>
  </w:footnote>
  <w:footnote w:id="46">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לפי ההסדר הקיים בחוק, נתונים שליליים על פרט נאספים (ונמסרים) ללא הסכמתו, ואילו נתונים חיוביים נאספים (ונמסרים) רק אם הסכים לכך או אם נאספו עליו נתונים שליליים אגב מסירתם. הסדר זה משפיע על היקף הפרטים וסוג הפרטים שלגביהם קיים שיתוף בנתוני אשראי - מספר הפרטים שלגביהם נאסף ונמסר מידע חיובי הוא מוגבל, וברובם הם מי שנאספו לגביהם נתונים שליליים.</w:t>
      </w:r>
    </w:p>
  </w:footnote>
  <w:footnote w:id="47">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את הוועדה מינו ראש הממשלה מר בנימין נתניהו ושרת המשפטים דאז גב' ציפי לבני.</w:t>
      </w:r>
    </w:p>
  </w:footnote>
  <w:footnote w:id="48">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חוק הסדרת הלוואות חוץ-בנקאיות (תיקון מס' 3) (מלווים מוסדיים, ריבית מרבית </w:t>
      </w:r>
      <w:r w:rsidRPr="00957371">
        <w:rPr>
          <w:rFonts w:cs="FrankRuehl"/>
          <w:sz w:val="18"/>
          <w:rtl/>
        </w:rPr>
        <w:t>ועונשין</w:t>
      </w:r>
      <w:r w:rsidRPr="00957371">
        <w:rPr>
          <w:rFonts w:cs="FrankRuehl"/>
          <w:sz w:val="18"/>
          <w:rtl/>
        </w:rPr>
        <w:t>), התשע"ד-2014.</w:t>
      </w:r>
    </w:p>
  </w:footnote>
  <w:footnote w:id="49">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בתזכיר הוצע כי בסעיף 7א לחוק תיקבע הריבית המרבית על פי שיעור ריבית הפיגורים שקובע החשב הכללי בתוספת 12%. נכון לדצמבר 2014 ריבית זו היא 8.25%, ובתוספת 12% שתזכיר החוק מציע, הריבית המרבית בחוק הסדרת הלוואות חוץ-בנקאיות עומדת על 20.25%.</w:t>
      </w:r>
    </w:p>
  </w:footnote>
  <w:footnote w:id="50">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החלטה 3926.</w:t>
      </w:r>
    </w:p>
  </w:footnote>
  <w:footnote w:id="51">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במסמך צוין כי "התנהלות פיננסית מושכלת מחייבת יכולות בסיסיות, המוגדרות כמיומנויות ליבה".</w:t>
      </w:r>
    </w:p>
  </w:footnote>
  <w:footnote w:id="52">
    <w:p w:rsidR="00D9061E"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ראו:</w:t>
      </w:r>
    </w:p>
    <w:p w:rsidR="002112B6" w:rsidRPr="00957371" w:rsidP="00D9061E">
      <w:pPr>
        <w:pStyle w:val="FootnoteText"/>
        <w:keepLines/>
        <w:bidi w:val="0"/>
        <w:spacing w:line="200" w:lineRule="exact"/>
        <w:ind w:right="397"/>
        <w:jc w:val="both"/>
        <w:rPr>
          <w:rFonts w:cs="FrankRuehl"/>
          <w:sz w:val="18"/>
          <w:rtl/>
        </w:rPr>
      </w:pPr>
      <w:r w:rsidRPr="00957371">
        <w:rPr>
          <w:rFonts w:cs="FrankRuehl"/>
          <w:sz w:val="18"/>
        </w:rPr>
        <w:t>EU Directive on the Distance Marketing of Financial Services 2002/65/EC; EU Directive on Misleading and Comparative Advertising 2006/114/EEC; Unfair Commercial Practices Directive 2005/29/EEC</w:t>
      </w:r>
      <w:r w:rsidRPr="00957371">
        <w:rPr>
          <w:rFonts w:cs="FrankRuehl"/>
          <w:sz w:val="18"/>
          <w:rtl/>
        </w:rPr>
        <w:t>.</w:t>
      </w:r>
    </w:p>
  </w:footnote>
  <w:footnote w:id="53">
    <w:p w:rsidR="00D9061E"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ראו:</w:t>
      </w:r>
    </w:p>
    <w:p w:rsidR="002112B6" w:rsidRPr="00957371" w:rsidP="00D9061E">
      <w:pPr>
        <w:pStyle w:val="FootnoteText"/>
        <w:keepLines/>
        <w:bidi w:val="0"/>
        <w:spacing w:line="200" w:lineRule="exact"/>
        <w:ind w:right="397"/>
        <w:jc w:val="both"/>
        <w:rPr>
          <w:rFonts w:cs="FrankRuehl"/>
          <w:sz w:val="18"/>
        </w:rPr>
      </w:pPr>
      <w:r w:rsidRPr="00957371">
        <w:rPr>
          <w:rFonts w:cs="FrankRuehl"/>
          <w:sz w:val="18"/>
        </w:rPr>
        <w:t>The Consumer Credit (Advertisements) Regulations 2010 No. 1970</w:t>
      </w:r>
      <w:r w:rsidRPr="00957371">
        <w:rPr>
          <w:rFonts w:cs="FrankRuehl"/>
          <w:sz w:val="18"/>
          <w:rtl/>
        </w:rPr>
        <w:t>.</w:t>
      </w:r>
    </w:p>
  </w:footnote>
  <w:footnote w:id="54">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הסעיף קובע כי "בלי לגרוע מכלליות האמור יראו עניינים אלה כמהותיים: (1) המהות והטיב של השירות; (2) מועד מתן השירות; (3) התשואה והתועלת שניתן להפיק מהשירות; (4) זהות נותן השירות; (5) החסות, העידוד או ההרשאה שניתנו למתן השירות; (6) המחיר הרגיל או המקובל או המחיר שנדרש בעבר בעד השירות; (7) חוות דעת מקצועית שניתנה לגבי טיב השירות או מהותו; (8) תנאי אחריות לשירות; (9) תקופת מתן השירות ודרכי חידושו.</w:t>
      </w:r>
    </w:p>
  </w:footnote>
  <w:footnote w:id="55">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נוהל בנקאי תקין [16](5/13), עמ' 451-1.</w:t>
      </w:r>
    </w:p>
  </w:footnote>
  <w:footnote w:id="56">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אגף שוק ההון מסר למשרד מבקר המדינה באוקטובר 2014 כי "על פי הכללים הקיימים אין מניעה שהגופים יתנו הלוואות לאנשים פרטיים אולם בפועל לא קיימת פעילות של הלוואות אישיות (לא לתאגידים) למי שאינו עמית".</w:t>
      </w:r>
    </w:p>
  </w:footnote>
  <w:footnote w:id="57">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אשראי קמעונאי: אשראי למשקי בית ולעסקים קטנים.</w:t>
      </w:r>
    </w:p>
  </w:footnote>
  <w:footnote w:id="58">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איגוח: אריזה של הלוואות רבות לנייר ערך המבטיח תשלום הקרן והריבית בגינו. ניירות ערך אלו נמכרים למשקיעים - באופן פרטי למוסדיים או בצורת אג"ח סחירות לציבור.</w:t>
      </w:r>
    </w:p>
  </w:footnote>
  <w:footnote w:id="59">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"כללי השקעה החלים על גופים מוסדיים", מיום 14.8.2013.</w:t>
      </w:r>
    </w:p>
  </w:footnote>
  <w:footnote w:id="60">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בספטמבר 2014.</w:t>
      </w:r>
    </w:p>
  </w:footnote>
  <w:footnote w:id="61">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השוק השחור: כינוי לפעילות כלכלית הכוללת עסקאות ופעולות שאינן חוקיות. השוק האפור: כינוי למערכת מימון הפועלת מחוץ למערכת הפיננסית הממוסדת. </w:t>
      </w:r>
    </w:p>
  </w:footnote>
  <w:footnote w:id="62">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sidRPr="00957371">
        <w:rPr>
          <w:rFonts w:cs="FrankRuehl"/>
          <w:sz w:val="18"/>
          <w:rtl/>
        </w:rPr>
        <w:t>הלמ"ס</w:t>
      </w:r>
      <w:r w:rsidRPr="00957371">
        <w:rPr>
          <w:rFonts w:cs="FrankRuehl"/>
          <w:sz w:val="18"/>
          <w:rtl/>
        </w:rPr>
        <w:t xml:space="preserve"> ביצעה את הסקר בהזמנת המועצה הלאומית לכלכלה ובשיתוף משרד האוצר ובנק ישראל, בחודשים ינואר 2012 - מאי 2012.</w:t>
      </w:r>
    </w:p>
  </w:footnote>
  <w:footnote w:id="63">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כלכלה שחורה - כלכלה שאינה מדווחת לרשויות, שבה עסקאות נעשות כולן או חלקן בהון שחור. </w:t>
      </w:r>
    </w:p>
  </w:footnote>
  <w:footnote w:id="64">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חוקים נוספים המסדירים היבטים מסוימים של תחום זה: חוק איסור הלבנת הון,</w:t>
      </w:r>
      <w:r w:rsidRPr="00957371">
        <w:rPr>
          <w:rFonts w:cs="FrankRuehl"/>
          <w:b/>
          <w:bCs/>
          <w:i/>
          <w:iCs/>
          <w:sz w:val="18"/>
          <w:rtl/>
        </w:rPr>
        <w:t xml:space="preserve"> </w:t>
      </w:r>
      <w:r w:rsidRPr="00957371">
        <w:rPr>
          <w:rFonts w:cs="FrankRuehl"/>
          <w:sz w:val="18"/>
          <w:rtl/>
        </w:rPr>
        <w:t>התש"ס-2000; חוק הגנת הצרכן, התשמ"א-1981; חוק החוזים האחידים, התשמ"ג-1982; חוק פסיקת ריבית והצמדה, התשכ"א-1961; חוק הריבית, התשי"ז-1957.</w:t>
      </w:r>
    </w:p>
  </w:footnote>
  <w:footnote w:id="65">
    <w:p w:rsidR="00D9061E"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ראו:</w:t>
      </w:r>
    </w:p>
    <w:p w:rsidR="002112B6" w:rsidRPr="00957371" w:rsidP="00D9061E">
      <w:pPr>
        <w:pStyle w:val="FootnoteText"/>
        <w:keepLines/>
        <w:bidi w:val="0"/>
        <w:spacing w:line="200" w:lineRule="exact"/>
        <w:ind w:right="397"/>
        <w:jc w:val="both"/>
        <w:rPr>
          <w:rFonts w:cs="FrankRuehl"/>
          <w:sz w:val="18"/>
        </w:rPr>
      </w:pPr>
      <w:r w:rsidRPr="00957371">
        <w:rPr>
          <w:rFonts w:cs="FrankRuehl"/>
          <w:sz w:val="18"/>
        </w:rPr>
        <w:t>Directive 2008/48/EC of the European Parliament and of the Council of 23 April 2008 on Credit Agreements for Consumers and Repealing Council Directive 87/102/</w:t>
      </w:r>
      <w:r w:rsidRPr="00957371">
        <w:rPr>
          <w:rFonts w:cs="FrankRuehl"/>
          <w:sz w:val="18"/>
        </w:rPr>
        <w:t xml:space="preserve">EEC </w:t>
      </w:r>
      <w:r w:rsidRPr="00957371">
        <w:rPr>
          <w:rFonts w:cs="FrankRuehl"/>
          <w:sz w:val="18"/>
          <w:rtl/>
        </w:rPr>
        <w:t>.</w:t>
      </w:r>
    </w:p>
  </w:footnote>
  <w:footnote w:id="66">
    <w:p w:rsidR="00D9061E"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ראו:</w:t>
      </w:r>
    </w:p>
    <w:p w:rsidR="002112B6" w:rsidRPr="00957371" w:rsidP="00D9061E">
      <w:pPr>
        <w:pStyle w:val="FootnoteText"/>
        <w:keepLines/>
        <w:bidi w:val="0"/>
        <w:spacing w:line="200" w:lineRule="exact"/>
        <w:ind w:right="397"/>
        <w:jc w:val="both"/>
        <w:rPr>
          <w:rFonts w:cs="FrankRuehl"/>
          <w:sz w:val="18"/>
          <w:rtl/>
        </w:rPr>
      </w:pPr>
      <w:r w:rsidRPr="00957371">
        <w:rPr>
          <w:rFonts w:cs="FrankRuehl"/>
          <w:sz w:val="18"/>
        </w:rPr>
        <w:t>Article 20: Member States shall ensure that creditors are supervised by a body or authority independent from financial institutions, or regulated</w:t>
      </w:r>
      <w:r w:rsidRPr="00957371">
        <w:rPr>
          <w:rFonts w:cs="FrankRuehl"/>
          <w:sz w:val="18"/>
          <w:rtl/>
        </w:rPr>
        <w:t>.</w:t>
      </w:r>
      <w:r w:rsidRPr="00957371">
        <w:rPr>
          <w:rFonts w:cs="FrankRuehl"/>
          <w:sz w:val="18"/>
          <w:rtl/>
        </w:rPr>
        <w:tab/>
      </w:r>
    </w:p>
  </w:footnote>
  <w:footnote w:id="67">
    <w:p w:rsidR="00D9061E"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ראו:</w:t>
      </w:r>
    </w:p>
    <w:p w:rsidR="002112B6" w:rsidRPr="00957371" w:rsidP="00D9061E">
      <w:pPr>
        <w:pStyle w:val="FootnoteText"/>
        <w:keepLines/>
        <w:bidi w:val="0"/>
        <w:spacing w:line="200" w:lineRule="exact"/>
        <w:ind w:right="397"/>
        <w:jc w:val="both"/>
        <w:rPr>
          <w:rFonts w:cs="FrankRuehl"/>
          <w:sz w:val="18"/>
          <w:rtl/>
        </w:rPr>
      </w:pPr>
      <w:r w:rsidRPr="00957371">
        <w:rPr>
          <w:rFonts w:cs="FrankRuehl"/>
          <w:sz w:val="18"/>
        </w:rPr>
        <w:t xml:space="preserve">The World Bank, </w:t>
      </w:r>
      <w:r w:rsidRPr="00957371">
        <w:rPr>
          <w:rFonts w:cs="FrankRuehl"/>
          <w:b/>
          <w:bCs/>
          <w:sz w:val="18"/>
        </w:rPr>
        <w:t>Good Practices for Financial Consumer Protection</w:t>
      </w:r>
      <w:r w:rsidRPr="00957371">
        <w:rPr>
          <w:rFonts w:cs="FrankRuehl"/>
          <w:sz w:val="18"/>
        </w:rPr>
        <w:t>, June 2012, p. 55</w:t>
      </w:r>
      <w:r w:rsidRPr="00957371">
        <w:rPr>
          <w:rFonts w:cs="FrankRuehl"/>
          <w:sz w:val="18"/>
          <w:rtl/>
        </w:rPr>
        <w:t>.</w:t>
      </w:r>
    </w:p>
  </w:footnote>
  <w:footnote w:id="68">
    <w:p w:rsidR="00D9061E"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ראו:</w:t>
      </w:r>
    </w:p>
    <w:p w:rsidR="002112B6" w:rsidRPr="00957371" w:rsidP="00D9061E">
      <w:pPr>
        <w:pStyle w:val="FootnoteText"/>
        <w:keepLines/>
        <w:bidi w:val="0"/>
        <w:spacing w:line="200" w:lineRule="exact"/>
        <w:ind w:right="397"/>
        <w:jc w:val="both"/>
        <w:rPr>
          <w:rFonts w:cs="FrankRuehl"/>
          <w:sz w:val="18"/>
          <w:rtl/>
        </w:rPr>
      </w:pPr>
      <w:r w:rsidRPr="00957371">
        <w:rPr>
          <w:rFonts w:cs="FrankRuehl"/>
          <w:sz w:val="18"/>
        </w:rPr>
        <w:t>International Standards on Combating Money Laundering and the Financing of Terrorism &amp; Proliferation, the FATF Recommendations, February 2012; Committee of Experts on the Evaluation of Anti-Money Laundering Measures and the Financing of Terrorism (MONEYVAL), Anti-Money Laundering and Combating the Financing of Terrorism, Report on Fourth Assessment of Israel, 12 December 2013,</w:t>
      </w:r>
      <w:r w:rsidRPr="00957371">
        <w:rPr>
          <w:rFonts w:cs="FrankRuehl"/>
          <w:b/>
          <w:bCs/>
          <w:sz w:val="18"/>
        </w:rPr>
        <w:t xml:space="preserve"> </w:t>
      </w:r>
      <w:r w:rsidRPr="00957371">
        <w:rPr>
          <w:rFonts w:cs="FrankRuehl"/>
          <w:sz w:val="18"/>
        </w:rPr>
        <w:t>p. 211</w:t>
      </w:r>
      <w:r w:rsidRPr="00957371">
        <w:rPr>
          <w:rFonts w:cs="FrankRuehl"/>
          <w:sz w:val="18"/>
          <w:rtl/>
        </w:rPr>
        <w:t>.</w:t>
      </w:r>
    </w:p>
  </w:footnote>
  <w:footnote w:id="69">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sidRPr="00957371">
        <w:rPr>
          <w:rFonts w:cs="FrankRuehl"/>
          <w:sz w:val="18"/>
          <w:rtl/>
        </w:rPr>
        <w:t>במאניבל</w:t>
      </w:r>
      <w:r w:rsidRPr="00957371">
        <w:rPr>
          <w:rFonts w:cs="FrankRuehl"/>
          <w:sz w:val="18"/>
          <w:rtl/>
        </w:rPr>
        <w:t xml:space="preserve"> חברות מדינות באירופה שאינן חברות ב-</w:t>
      </w:r>
      <w:r w:rsidRPr="00957371">
        <w:rPr>
          <w:rFonts w:cs="FrankRuehl"/>
          <w:sz w:val="18"/>
        </w:rPr>
        <w:t>FATF</w:t>
      </w:r>
      <w:r w:rsidRPr="00957371">
        <w:rPr>
          <w:rFonts w:cs="FrankRuehl"/>
          <w:sz w:val="18"/>
          <w:rtl/>
        </w:rPr>
        <w:t>. ארגון זה מקיים ביקורות הדדיות בין המדינות החברות בו בנוגע לעמידה בסטנדרטים בתחום הלבנת ההון, וכן מפגשים מקצועיים ללימוד טיפולוגיות של הלבנת הון ומימון טרור.</w:t>
      </w:r>
    </w:p>
  </w:footnote>
  <w:footnote w:id="70">
    <w:p w:rsidR="001841D0" w:rsidRPr="00957371" w:rsidP="001841D0">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ארגון בין-ממשלתי שמטרתו לפתח ולקדם מדיניות עולמית למאבק בהלבנת הון ובמימון טרור. המלצות הארגון משמשות כסטנדרט המינימלי המחייב את כלל המדינות השותפות למאבק, ומדינות אשר אינן מאמצות את הנחיות הארגון עלולות להיכלל ברשימותיו כ"מדינות שאינן משתפות פעולה במאבק הבין-לאומי". משמעות הדבר היא פגיעה במוניטין של המדינה ושל מוסדותיה הפיננסיים, פגיעה בהשקעות גורמים זרים בה וכן הגבלה ניכרת של יכולת פעילות מוסדותיה במישור הפיננסי הבין-לאומי.</w:t>
      </w:r>
    </w:p>
  </w:footnote>
  <w:footnote w:id="71">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באפריל 2013 החליטה הממשלה על שינוי שם משרד </w:t>
      </w:r>
      <w:r w:rsidRPr="00957371">
        <w:rPr>
          <w:rFonts w:cs="FrankRuehl"/>
          <w:sz w:val="18"/>
          <w:rtl/>
        </w:rPr>
        <w:t>התמ"ת</w:t>
      </w:r>
      <w:r w:rsidRPr="00957371">
        <w:rPr>
          <w:rFonts w:cs="FrankRuehl"/>
          <w:sz w:val="18"/>
          <w:rtl/>
        </w:rPr>
        <w:t xml:space="preserve"> למשרד הכלכלה (החלטת ממשלה 29).</w:t>
      </w:r>
    </w:p>
  </w:footnote>
  <w:footnote w:id="72">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החלטת ממשלה 749. </w:t>
      </w:r>
    </w:p>
  </w:footnote>
  <w:footnote w:id="73">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יו"ר הוועדה היה מנכ"ל משרד ראש הממשלה, מר הראל לוקר, ועם חבריה נמנו נציגים של כמה גופי רגולציה ואכיפה במשק, ובהם משרד ראש הממשלה, משרד האוצר, רשות המסים, פרקליטות המדינה, היועץ המשפטי לממשלה, הרשות לאיסור הלבנת הון, בנק ישראל ומשטרת ישראל. ביום 17.7.14 הגישה ועדת לוקר את המלצותיה הסופיות.</w:t>
      </w:r>
    </w:p>
  </w:footnote>
  <w:footnote w:id="74">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החלטת ממשלה 2115. </w:t>
      </w:r>
    </w:p>
  </w:footnote>
  <w:footnote w:id="75">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בצוות נציגים של רשות המסים, אגף שוק ההון, משטרת ישראל, המשרד לביטחון פנים, הרשות לאיסור הלבנת הון, פרקליטות המדינה ומחלקת ייעוץ וחקיקה במשרד המשפטים.</w:t>
      </w:r>
    </w:p>
  </w:footnote>
  <w:footnote w:id="76">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סעיף 1 לחוק.</w:t>
      </w:r>
    </w:p>
  </w:footnote>
  <w:footnote w:id="77">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על פי סעיף 11 לחוק איסור הלבנת הון.</w:t>
      </w:r>
    </w:p>
  </w:footnote>
  <w:footnote w:id="78">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היחידה מעסיקה משרדי רואי חשבון במיקור חוץ לביצוע ביקורות אצל </w:t>
      </w:r>
      <w:r w:rsidRPr="00957371">
        <w:rPr>
          <w:rFonts w:cs="FrankRuehl"/>
          <w:sz w:val="18"/>
          <w:rtl/>
        </w:rPr>
        <w:t>נש"ם</w:t>
      </w:r>
      <w:r w:rsidRPr="00957371">
        <w:rPr>
          <w:rFonts w:cs="FrankRuehl"/>
          <w:sz w:val="18"/>
          <w:rtl/>
        </w:rPr>
        <w:t>.</w:t>
      </w:r>
    </w:p>
  </w:footnote>
  <w:footnote w:id="79">
    <w:p w:rsidR="00D9061E"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ראו:</w:t>
      </w:r>
    </w:p>
    <w:p w:rsidR="002112B6" w:rsidRPr="00957371" w:rsidP="00D9061E">
      <w:pPr>
        <w:pStyle w:val="FootnoteText"/>
        <w:keepLines/>
        <w:bidi w:val="0"/>
        <w:spacing w:line="200" w:lineRule="exact"/>
        <w:ind w:right="397"/>
        <w:jc w:val="both"/>
        <w:rPr>
          <w:rFonts w:cs="FrankRuehl"/>
          <w:sz w:val="18"/>
          <w:rtl/>
        </w:rPr>
      </w:pPr>
      <w:r w:rsidRPr="00957371">
        <w:rPr>
          <w:rFonts w:cs="FrankRuehl"/>
          <w:sz w:val="18"/>
        </w:rPr>
        <w:t>Committee of Experts on the Evaluation of Anti-Money Laundering Measures and the Financing of Terrorism (MONEYVAL), Anti-Money Laundering and Combating the Financing of Terrorism, Report on Fourth Assessment of Israel, 12 December 2013,</w:t>
      </w:r>
      <w:r w:rsidRPr="00957371">
        <w:rPr>
          <w:rFonts w:cs="FrankRuehl"/>
          <w:b/>
          <w:bCs/>
          <w:sz w:val="18"/>
        </w:rPr>
        <w:t xml:space="preserve"> </w:t>
      </w:r>
      <w:r w:rsidRPr="00957371">
        <w:rPr>
          <w:rFonts w:cs="FrankRuehl"/>
          <w:sz w:val="18"/>
        </w:rPr>
        <w:t>pp. 88, 109, 150</w:t>
      </w:r>
      <w:r w:rsidRPr="00957371">
        <w:rPr>
          <w:rFonts w:cs="FrankRuehl"/>
          <w:sz w:val="18"/>
          <w:rtl/>
        </w:rPr>
        <w:t>.</w:t>
      </w:r>
    </w:p>
  </w:footnote>
  <w:footnote w:id="80">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ראו ביקורת בתת-פרק "פרסום ושיווק של הלוואות קמעונאיות והגילוי הנאות ללקוחות" בדוח זה.</w:t>
      </w:r>
    </w:p>
  </w:footnote>
  <w:footnote w:id="81">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סעיף 11יב לחוק איסור הלבנת הון.</w:t>
      </w:r>
    </w:p>
  </w:footnote>
  <w:footnote w:id="82">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סעיף 11 לחוק איסור הלבנת הון קובע כי היעדר רישום של </w:t>
      </w:r>
      <w:r w:rsidRPr="00957371">
        <w:rPr>
          <w:rFonts w:cs="FrankRuehl"/>
          <w:sz w:val="18"/>
          <w:rtl/>
        </w:rPr>
        <w:t>נש"ם</w:t>
      </w:r>
      <w:r w:rsidRPr="00957371">
        <w:rPr>
          <w:rFonts w:cs="FrankRuehl"/>
          <w:sz w:val="18"/>
          <w:rtl/>
        </w:rPr>
        <w:t xml:space="preserve"> הוא עברה פלילית. אך מאחר </w:t>
      </w:r>
      <w:r w:rsidRPr="00957371">
        <w:rPr>
          <w:rFonts w:cs="FrankRuehl"/>
          <w:sz w:val="18"/>
          <w:rtl/>
        </w:rPr>
        <w:t>שנש"ם</w:t>
      </w:r>
      <w:r w:rsidRPr="00957371">
        <w:rPr>
          <w:rFonts w:cs="FrankRuehl"/>
          <w:sz w:val="18"/>
          <w:rtl/>
        </w:rPr>
        <w:t xml:space="preserve"> לא רשום ממילא אינו מדווח, המשטרה מעדיפה להאשים בעברה חמורה יותר של היעדר דיווח (סעיף 3(ב)).</w:t>
      </w:r>
    </w:p>
  </w:footnote>
  <w:footnote w:id="83">
    <w:p w:rsidR="00D9061E"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ראו:</w:t>
      </w:r>
    </w:p>
    <w:p w:rsidR="002112B6" w:rsidRPr="00957371" w:rsidP="00D9061E">
      <w:pPr>
        <w:pStyle w:val="FootnoteText"/>
        <w:keepLines/>
        <w:bidi w:val="0"/>
        <w:spacing w:line="200" w:lineRule="exact"/>
        <w:ind w:right="397"/>
        <w:jc w:val="both"/>
        <w:rPr>
          <w:rFonts w:cs="FrankRuehl"/>
          <w:sz w:val="18"/>
          <w:rtl/>
        </w:rPr>
      </w:pPr>
      <w:r w:rsidRPr="00957371">
        <w:rPr>
          <w:rFonts w:cs="FrankRuehl"/>
          <w:sz w:val="18"/>
        </w:rPr>
        <w:t>Committee of Experts on the Evaluation of Anti-Money Laundering Measures and the Financing of Terrorism (MONEYVAL), Anti-Money Laundering and Combating the Financing of Terrorism, Report on Fourth Assessment of Israel, 12 December 2013,</w:t>
      </w:r>
      <w:r w:rsidRPr="00957371">
        <w:rPr>
          <w:rFonts w:cs="FrankRuehl"/>
          <w:b/>
          <w:bCs/>
          <w:sz w:val="18"/>
        </w:rPr>
        <w:t xml:space="preserve"> </w:t>
      </w:r>
      <w:r w:rsidRPr="00957371">
        <w:rPr>
          <w:rFonts w:cs="FrankRuehl"/>
          <w:sz w:val="18"/>
        </w:rPr>
        <w:t>p. 157</w:t>
      </w:r>
      <w:r w:rsidRPr="00957371">
        <w:rPr>
          <w:rFonts w:cs="FrankRuehl"/>
          <w:sz w:val="18"/>
          <w:rtl/>
        </w:rPr>
        <w:t>.</w:t>
      </w:r>
    </w:p>
  </w:footnote>
  <w:footnote w:id="84">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הוועדה מורכבת משני נציגים של הגוף המפקח וממשפטן שמינה שר המשפטים (מינוי שר המשפטים כולל נציג מהרשות לאיסור הלבנת הון).</w:t>
      </w:r>
    </w:p>
  </w:footnote>
  <w:footnote w:id="85">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על מעבר היחידה לרשות המסים ראו להלן בפרק זה.</w:t>
      </w:r>
    </w:p>
  </w:footnote>
  <w:footnote w:id="86">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היחידה מונה 6 עובדים (מנהל היחידה, 3 עובדים במחלקת אכיפה וביקורת ועוד 2 עובדים במחלקת הרישום), והיא מפקחת על כ-2,200 </w:t>
      </w:r>
      <w:r w:rsidRPr="00957371">
        <w:rPr>
          <w:rFonts w:cs="FrankRuehl"/>
          <w:sz w:val="18"/>
          <w:rtl/>
        </w:rPr>
        <w:t>נש"ם</w:t>
      </w:r>
      <w:r w:rsidRPr="00957371">
        <w:rPr>
          <w:rFonts w:cs="FrankRuehl"/>
          <w:sz w:val="18"/>
          <w:rtl/>
        </w:rPr>
        <w:t xml:space="preserve"> רשומים.</w:t>
      </w:r>
    </w:p>
  </w:footnote>
  <w:footnote w:id="87">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 xml:space="preserve">בעניין זה ראו מבקר המדינה, </w:t>
      </w:r>
      <w:r w:rsidRPr="00957371">
        <w:rPr>
          <w:rFonts w:cs="FrankRuehl"/>
          <w:b/>
          <w:bCs/>
          <w:sz w:val="18"/>
          <w:rtl/>
        </w:rPr>
        <w:t>דוח שנתי 59ב</w:t>
      </w:r>
      <w:r w:rsidRPr="00957371">
        <w:rPr>
          <w:rFonts w:cs="FrankRuehl"/>
          <w:sz w:val="18"/>
          <w:rtl/>
        </w:rPr>
        <w:t>, בפרק "המאבק בארגוני הפשיעה", עמ' 21.</w:t>
      </w:r>
    </w:p>
  </w:footnote>
  <w:footnote w:id="88">
    <w:p w:rsidR="00D9061E"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Pr>
          <w:rFonts w:cs="FrankRuehl" w:hint="cs"/>
          <w:sz w:val="18"/>
          <w:rtl/>
        </w:rPr>
        <w:t>ראו:</w:t>
      </w:r>
    </w:p>
    <w:p w:rsidR="002112B6" w:rsidRPr="00957371" w:rsidP="00D9061E">
      <w:pPr>
        <w:pStyle w:val="FootnoteText"/>
        <w:keepLines/>
        <w:bidi w:val="0"/>
        <w:spacing w:line="200" w:lineRule="exact"/>
        <w:ind w:right="397"/>
        <w:jc w:val="both"/>
        <w:rPr>
          <w:rFonts w:cs="FrankRuehl"/>
          <w:sz w:val="18"/>
          <w:rtl/>
        </w:rPr>
      </w:pPr>
      <w:r w:rsidRPr="00957371">
        <w:rPr>
          <w:rFonts w:cs="FrankRuehl"/>
          <w:sz w:val="18"/>
        </w:rPr>
        <w:t>Committee of Experts on the Evaluation of Anti-Money Laundering Measures and the Financing of Terrorism (MONEYVAL), Anti-Money Laundering and Combating the Financing of Terrorism, Report on Fourth Assessment of Israel, 12 December 2013</w:t>
      </w:r>
      <w:r w:rsidRPr="00957371">
        <w:rPr>
          <w:rFonts w:cs="FrankRuehl"/>
          <w:sz w:val="18"/>
          <w:rtl/>
        </w:rPr>
        <w:t>.</w:t>
      </w:r>
    </w:p>
  </w:footnote>
  <w:footnote w:id="89">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הצו ייכנס לתוקף במרץ 2015.</w:t>
      </w:r>
    </w:p>
  </w:footnote>
  <w:footnote w:id="90">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ניכיון צ'קים היא שיטה לקבלה מוקדמת של כספי צ'קים דחויים, בתמורה לעמלה. ניתן לראות בניכיון הצ'קים הלוואה, שבה מקבלים כסף ובתמורה משלמים ריבית על ההפרש בין הזמן שבו נלקחה ההלוואה ליום ההחזר (התאריך הכתוב על הצ'ק). הריבית מנוכה מראש מהסכום הנקוב בצ'ק.</w:t>
      </w:r>
    </w:p>
  </w:footnote>
  <w:footnote w:id="91">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sidRPr="00957371">
        <w:rPr>
          <w:rFonts w:cs="FrankRuehl"/>
          <w:b/>
          <w:bCs/>
          <w:sz w:val="18"/>
          <w:rtl/>
        </w:rPr>
        <w:t>דוח שנתי 60ב</w:t>
      </w:r>
      <w:r w:rsidRPr="00957371">
        <w:rPr>
          <w:rFonts w:cs="FrankRuehl"/>
          <w:sz w:val="18"/>
          <w:rtl/>
        </w:rPr>
        <w:t>, עמ' 149-147.</w:t>
      </w:r>
    </w:p>
  </w:footnote>
  <w:footnote w:id="92">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טיפולוגיה היא דפוס פעולה הנלמד מניתוח פעילות פיננסית, ואשר יש בו - על יסוד הניסיון המצטבר של רשויות חקירה ומודיעין בעולם - כדי ללמד על חשד להלבנת הון או מימון טרור.</w:t>
      </w:r>
    </w:p>
  </w:footnote>
  <w:footnote w:id="93">
    <w:p w:rsidR="002112B6" w:rsidRPr="00957371" w:rsidP="00957371">
      <w:pPr>
        <w:pStyle w:val="FootnoteText"/>
        <w:keepLines/>
        <w:spacing w:line="200" w:lineRule="exact"/>
        <w:ind w:left="397" w:hanging="397"/>
        <w:jc w:val="both"/>
        <w:rPr>
          <w:rFonts w:cs="FrankRuehl"/>
          <w:sz w:val="18"/>
          <w:rtl/>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r>
      <w:r w:rsidRPr="00957371">
        <w:rPr>
          <w:rFonts w:cs="FrankRuehl"/>
          <w:sz w:val="18"/>
          <w:rtl/>
        </w:rPr>
        <w:t>פקטורינג</w:t>
      </w:r>
      <w:r w:rsidRPr="00957371">
        <w:rPr>
          <w:rFonts w:cs="FrankRuehl"/>
          <w:sz w:val="18"/>
          <w:rtl/>
        </w:rPr>
        <w:t xml:space="preserve"> היא שיטת מימון חוץ-בנקאית אשר במסגרתה רוכשת חברת </w:t>
      </w:r>
      <w:r w:rsidRPr="00957371">
        <w:rPr>
          <w:rFonts w:cs="FrankRuehl"/>
          <w:sz w:val="18"/>
          <w:rtl/>
        </w:rPr>
        <w:t>פקטורינג</w:t>
      </w:r>
      <w:r w:rsidRPr="00957371">
        <w:rPr>
          <w:rFonts w:cs="FrankRuehl"/>
          <w:sz w:val="18"/>
          <w:rtl/>
        </w:rPr>
        <w:t xml:space="preserve"> יתרות חוב פתוחות של עסק כלשהו בתמורה לתשלום מזומן של כ-80% מיתרות החוב הנרכשות. יתרות החוב הנותרות מועברות אל העסק במועד פירעון החשבונית ו/או מועד התשלום בפועל של בעל החוב לחברת </w:t>
      </w:r>
      <w:r w:rsidRPr="00957371">
        <w:rPr>
          <w:rFonts w:cs="FrankRuehl"/>
          <w:sz w:val="18"/>
          <w:rtl/>
        </w:rPr>
        <w:t>הפקטורינג</w:t>
      </w:r>
      <w:r w:rsidRPr="00957371">
        <w:rPr>
          <w:rFonts w:cs="FrankRuehl"/>
          <w:sz w:val="18"/>
          <w:rtl/>
        </w:rPr>
        <w:t xml:space="preserve">, בניכוי מקדמה וריבית שגובה החברה בתמורה למימון עסקת האשראי. בכך למעשה מסב מנגנון </w:t>
      </w:r>
      <w:r w:rsidRPr="00957371">
        <w:rPr>
          <w:rFonts w:cs="FrankRuehl"/>
          <w:sz w:val="18"/>
          <w:rtl/>
        </w:rPr>
        <w:t>הפקטורינג</w:t>
      </w:r>
      <w:r w:rsidRPr="00957371">
        <w:rPr>
          <w:rFonts w:cs="FrankRuehl"/>
          <w:sz w:val="18"/>
          <w:rtl/>
        </w:rPr>
        <w:t xml:space="preserve"> עסקת אשראי לעסקת מזומן.</w:t>
      </w:r>
    </w:p>
  </w:footnote>
  <w:footnote w:id="94">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מאחר שמדובר בעברה פלילית, הוראה זו אינה נאכפת על ידי בנק ישראל.</w:t>
      </w:r>
    </w:p>
  </w:footnote>
  <w:footnote w:id="95">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בישיבה נכחו בין היתר שר האוצר דאז מר יאיר לפיד, משנים ליועץ המשפטי לממשלה, נציג רשות המסים והיועץ המשפטי למשרד האוצר.</w:t>
      </w:r>
    </w:p>
  </w:footnote>
  <w:footnote w:id="96">
    <w:p w:rsidR="002112B6" w:rsidRPr="00957371" w:rsidP="00957371">
      <w:pPr>
        <w:pStyle w:val="FootnoteText"/>
        <w:keepLines/>
        <w:spacing w:line="200" w:lineRule="exact"/>
        <w:ind w:left="397" w:hanging="397"/>
        <w:jc w:val="both"/>
        <w:rPr>
          <w:rFonts w:cs="FrankRuehl"/>
          <w:sz w:val="18"/>
        </w:rPr>
      </w:pPr>
      <w:r w:rsidRPr="00957371">
        <w:rPr>
          <w:rStyle w:val="FootnoteReference0"/>
          <w:rFonts w:ascii="FrankRuehl" w:hAnsi="FrankRuehl" w:cs="FrankRuehl"/>
          <w:vertAlign w:val="baseline"/>
        </w:rPr>
        <w:footnoteRef/>
      </w:r>
      <w:r w:rsidRPr="00957371">
        <w:rPr>
          <w:rFonts w:cs="FrankRuehl"/>
          <w:sz w:val="18"/>
          <w:rtl/>
        </w:rPr>
        <w:t xml:space="preserve"> </w:t>
      </w:r>
      <w:r w:rsidRPr="00957371">
        <w:rPr>
          <w:rFonts w:cs="FrankRuehl"/>
          <w:sz w:val="18"/>
          <w:rtl/>
        </w:rPr>
        <w:tab/>
        <w:t>סעיף 1 להלן מצוטט מסיכום הישיבה האמורה, שהפיץ משרד המשפטים.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2B6"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4420D">
      <w:rPr>
        <w:rFonts w:ascii="FrankRuehl" w:hAnsi="FrankRuehl" w:cs="FrankRuehl"/>
        <w:noProof/>
        <w:szCs w:val="20"/>
        <w:rtl/>
      </w:rPr>
      <w:t>94</w:t>
    </w:r>
    <w:r>
      <w:rPr>
        <w:rFonts w:ascii="FrankRuehl" w:hAnsi="FrankRuehl" w:cs="FrankRuehl"/>
        <w:szCs w:val="20"/>
      </w:rPr>
      <w:fldChar w:fldCharType="end"/>
    </w:r>
    <w:r>
      <w:rPr>
        <w:rFonts w:ascii="FrankRuehl" w:hAnsi="FrankRuehl" w:cs="FrankRuehl"/>
        <w:szCs w:val="20"/>
        <w:rtl/>
      </w:rPr>
      <w:tab/>
    </w:r>
    <w:r w:rsidR="00D6104E">
      <w:rPr>
        <w:rFonts w:ascii="FrankRuehl" w:hAnsi="FrankRuehl" w:cs="FrankRuehl" w:hint="cs"/>
        <w:szCs w:val="20"/>
        <w:rtl/>
      </w:rPr>
      <w:t>דוח שנתי 66א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2B6">
    <w:pPr>
      <w:pStyle w:val="Header"/>
      <w:tabs>
        <w:tab w:val="clear" w:pos="4153"/>
        <w:tab w:val="right" w:pos="6804"/>
        <w:tab w:val="clear" w:pos="8306"/>
      </w:tabs>
      <w:rPr>
        <w:rFonts w:ascii="FrankRuehl" w:hAnsi="FrankRuehl" w:cs="FrankRuehl"/>
        <w:szCs w:val="20"/>
        <w:rtl/>
      </w:rPr>
    </w:pPr>
    <w:r w:rsidRPr="00EC7BD8">
      <w:rPr>
        <w:rFonts w:ascii="FrankRuehl" w:hAnsi="FrankRuehl" w:cs="FrankRuehl" w:hint="cs"/>
        <w:noProof/>
        <w:szCs w:val="20"/>
        <w:rtl/>
      </w:rPr>
      <w:t>הפיקוח על מתן אשראי למשקי בית ועל נותני שירותי מטבע</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4420D">
      <w:rPr>
        <w:rFonts w:ascii="FrankRuehl" w:hAnsi="FrankRuehl" w:cs="FrankRuehl"/>
        <w:noProof/>
        <w:szCs w:val="20"/>
        <w:rtl/>
      </w:rPr>
      <w:t>95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2B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4420D">
      <w:rPr>
        <w:rFonts w:ascii="FrankRuehl" w:hAnsi="FrankRuehl" w:cs="FrankRuehl"/>
        <w:noProof/>
        <w:szCs w:val="20"/>
        <w:rtl/>
      </w:rPr>
      <w:t>55</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420D" w:rsidRPr="00D4420D" w:rsidP="00D4420D">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rPr>
        <w:rFonts w:cs="Times New Roman"/>
      </w:rPr>
    </w:lvl>
  </w:abstractNum>
  <w:abstractNum w:abstractNumId="1">
    <w:nsid w:val="0137389B"/>
    <w:multiLevelType w:val="hybridMultilevel"/>
    <w:tmpl w:val="BE565D9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65A68EB"/>
    <w:multiLevelType w:val="hybridMultilevel"/>
    <w:tmpl w:val="FA66CDD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D9C5208"/>
    <w:multiLevelType w:val="hybridMultilevel"/>
    <w:tmpl w:val="4A844268"/>
    <w:lvl w:ilvl="0">
      <w:start w:val="1"/>
      <w:numFmt w:val="bullet"/>
      <w:lvlText w:val=""/>
      <w:lvlJc w:val="left"/>
      <w:pPr>
        <w:ind w:left="1440" w:hanging="360"/>
      </w:pPr>
      <w:rPr>
        <w:rFonts w:ascii="Symbol" w:hAnsi="Symbol" w:hint="default"/>
        <w:lang w:bidi="he-IL"/>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DF63FBE"/>
    <w:multiLevelType w:val="hybridMultilevel"/>
    <w:tmpl w:val="3CE8E2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4753B3"/>
    <w:multiLevelType w:val="hybridMultilevel"/>
    <w:tmpl w:val="8A76377C"/>
    <w:lvl w:ilvl="0">
      <w:start w:val="1"/>
      <w:numFmt w:val="hebrew1"/>
      <w:lvlText w:val="(%1."/>
      <w:lvlJc w:val="left"/>
      <w:pPr>
        <w:ind w:left="720" w:hanging="360"/>
      </w:pPr>
      <w:rPr>
        <w:rFonts w:cs="Times New Roman" w:hint="default"/>
        <w:sz w:val="2"/>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12DD5B4C"/>
    <w:multiLevelType w:val="hybridMultilevel"/>
    <w:tmpl w:val="1FEC07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4FF3E43"/>
    <w:multiLevelType w:val="hybridMultilevel"/>
    <w:tmpl w:val="E66406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6D49ED"/>
    <w:multiLevelType w:val="hybridMultilevel"/>
    <w:tmpl w:val="C0201A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4616AD"/>
    <w:multiLevelType w:val="hybridMultilevel"/>
    <w:tmpl w:val="3B7441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1E4C78"/>
    <w:multiLevelType w:val="hybridMultilevel"/>
    <w:tmpl w:val="D5BAFE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120784"/>
    <w:multiLevelType w:val="hybridMultilevel"/>
    <w:tmpl w:val="0792B10C"/>
    <w:lvl w:ilvl="0">
      <w:start w:val="1"/>
      <w:numFmt w:val="decimal"/>
      <w:lvlText w:val="%1."/>
      <w:lvlJc w:val="left"/>
      <w:pPr>
        <w:ind w:left="1002" w:hanging="360"/>
      </w:pPr>
      <w:rPr>
        <w:rFonts w:hint="default"/>
      </w:rPr>
    </w:lvl>
    <w:lvl w:ilvl="1" w:tentative="1">
      <w:start w:val="1"/>
      <w:numFmt w:val="lowerLetter"/>
      <w:lvlText w:val="%2."/>
      <w:lvlJc w:val="left"/>
      <w:pPr>
        <w:ind w:left="1722" w:hanging="360"/>
      </w:pPr>
    </w:lvl>
    <w:lvl w:ilvl="2" w:tentative="1">
      <w:start w:val="1"/>
      <w:numFmt w:val="lowerRoman"/>
      <w:lvlText w:val="%3."/>
      <w:lvlJc w:val="right"/>
      <w:pPr>
        <w:ind w:left="2442" w:hanging="180"/>
      </w:pPr>
    </w:lvl>
    <w:lvl w:ilvl="3" w:tentative="1">
      <w:start w:val="1"/>
      <w:numFmt w:val="decimal"/>
      <w:lvlText w:val="%4."/>
      <w:lvlJc w:val="left"/>
      <w:pPr>
        <w:ind w:left="3162" w:hanging="360"/>
      </w:pPr>
    </w:lvl>
    <w:lvl w:ilvl="4" w:tentative="1">
      <w:start w:val="1"/>
      <w:numFmt w:val="lowerLetter"/>
      <w:lvlText w:val="%5."/>
      <w:lvlJc w:val="left"/>
      <w:pPr>
        <w:ind w:left="3882" w:hanging="360"/>
      </w:pPr>
    </w:lvl>
    <w:lvl w:ilvl="5" w:tentative="1">
      <w:start w:val="1"/>
      <w:numFmt w:val="lowerRoman"/>
      <w:lvlText w:val="%6."/>
      <w:lvlJc w:val="right"/>
      <w:pPr>
        <w:ind w:left="4602" w:hanging="180"/>
      </w:pPr>
    </w:lvl>
    <w:lvl w:ilvl="6" w:tentative="1">
      <w:start w:val="1"/>
      <w:numFmt w:val="decimal"/>
      <w:lvlText w:val="%7."/>
      <w:lvlJc w:val="left"/>
      <w:pPr>
        <w:ind w:left="5322" w:hanging="360"/>
      </w:pPr>
    </w:lvl>
    <w:lvl w:ilvl="7" w:tentative="1">
      <w:start w:val="1"/>
      <w:numFmt w:val="lowerLetter"/>
      <w:lvlText w:val="%8."/>
      <w:lvlJc w:val="left"/>
      <w:pPr>
        <w:ind w:left="6042" w:hanging="360"/>
      </w:pPr>
    </w:lvl>
    <w:lvl w:ilvl="8" w:tentative="1">
      <w:start w:val="1"/>
      <w:numFmt w:val="lowerRoman"/>
      <w:lvlText w:val="%9."/>
      <w:lvlJc w:val="right"/>
      <w:pPr>
        <w:ind w:left="6762" w:hanging="180"/>
      </w:pPr>
    </w:lvl>
  </w:abstractNum>
  <w:abstractNum w:abstractNumId="12">
    <w:nsid w:val="2D526196"/>
    <w:multiLevelType w:val="hybridMultilevel"/>
    <w:tmpl w:val="20B408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302C0E"/>
    <w:multiLevelType w:val="hybridMultilevel"/>
    <w:tmpl w:val="BD1C6D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3271B57"/>
    <w:multiLevelType w:val="hybridMultilevel"/>
    <w:tmpl w:val="2FAE9FFA"/>
    <w:lvl w:ilvl="0">
      <w:start w:val="1"/>
      <w:numFmt w:val="decimal"/>
      <w:lvlText w:val="%1."/>
      <w:lvlJc w:val="left"/>
      <w:pPr>
        <w:tabs>
          <w:tab w:val="num" w:pos="444"/>
        </w:tabs>
        <w:ind w:left="444" w:right="444" w:hanging="360"/>
      </w:pPr>
      <w:rPr>
        <w:rFonts w:hint="cs"/>
      </w:rPr>
    </w:lvl>
    <w:lvl w:ilvl="1">
      <w:start w:val="1"/>
      <w:numFmt w:val="lowerLetter"/>
      <w:lvlText w:val="%2."/>
      <w:lvlJc w:val="left"/>
      <w:pPr>
        <w:tabs>
          <w:tab w:val="num" w:pos="1164"/>
        </w:tabs>
        <w:ind w:left="1164" w:right="1164" w:hanging="360"/>
      </w:pPr>
    </w:lvl>
    <w:lvl w:ilvl="2" w:tentative="1">
      <w:start w:val="1"/>
      <w:numFmt w:val="lowerRoman"/>
      <w:lvlText w:val="%3."/>
      <w:lvlJc w:val="right"/>
      <w:pPr>
        <w:tabs>
          <w:tab w:val="num" w:pos="1884"/>
        </w:tabs>
        <w:ind w:left="1884" w:right="1884" w:hanging="180"/>
      </w:pPr>
    </w:lvl>
    <w:lvl w:ilvl="3" w:tentative="1">
      <w:start w:val="1"/>
      <w:numFmt w:val="decimal"/>
      <w:lvlText w:val="%4."/>
      <w:lvlJc w:val="left"/>
      <w:pPr>
        <w:tabs>
          <w:tab w:val="num" w:pos="2604"/>
        </w:tabs>
        <w:ind w:left="2604" w:right="2604" w:hanging="360"/>
      </w:pPr>
    </w:lvl>
    <w:lvl w:ilvl="4" w:tentative="1">
      <w:start w:val="1"/>
      <w:numFmt w:val="lowerLetter"/>
      <w:lvlText w:val="%5."/>
      <w:lvlJc w:val="left"/>
      <w:pPr>
        <w:tabs>
          <w:tab w:val="num" w:pos="3324"/>
        </w:tabs>
        <w:ind w:left="3324" w:right="3324" w:hanging="360"/>
      </w:pPr>
    </w:lvl>
    <w:lvl w:ilvl="5" w:tentative="1">
      <w:start w:val="1"/>
      <w:numFmt w:val="lowerRoman"/>
      <w:lvlText w:val="%6."/>
      <w:lvlJc w:val="right"/>
      <w:pPr>
        <w:tabs>
          <w:tab w:val="num" w:pos="4044"/>
        </w:tabs>
        <w:ind w:left="4044" w:right="4044" w:hanging="180"/>
      </w:pPr>
    </w:lvl>
    <w:lvl w:ilvl="6" w:tentative="1">
      <w:start w:val="1"/>
      <w:numFmt w:val="decimal"/>
      <w:lvlText w:val="%7."/>
      <w:lvlJc w:val="left"/>
      <w:pPr>
        <w:tabs>
          <w:tab w:val="num" w:pos="4764"/>
        </w:tabs>
        <w:ind w:left="4764" w:right="4764" w:hanging="360"/>
      </w:pPr>
    </w:lvl>
    <w:lvl w:ilvl="7" w:tentative="1">
      <w:start w:val="1"/>
      <w:numFmt w:val="lowerLetter"/>
      <w:lvlText w:val="%8."/>
      <w:lvlJc w:val="left"/>
      <w:pPr>
        <w:tabs>
          <w:tab w:val="num" w:pos="5484"/>
        </w:tabs>
        <w:ind w:left="5484" w:right="5484" w:hanging="360"/>
      </w:pPr>
    </w:lvl>
    <w:lvl w:ilvl="8" w:tentative="1">
      <w:start w:val="1"/>
      <w:numFmt w:val="lowerRoman"/>
      <w:lvlText w:val="%9."/>
      <w:lvlJc w:val="right"/>
      <w:pPr>
        <w:tabs>
          <w:tab w:val="num" w:pos="6204"/>
        </w:tabs>
        <w:ind w:left="6204" w:right="6204" w:hanging="180"/>
      </w:pPr>
    </w:lvl>
  </w:abstractNum>
  <w:abstractNum w:abstractNumId="15">
    <w:nsid w:val="3443390D"/>
    <w:multiLevelType w:val="singleLevel"/>
    <w:tmpl w:val="A07AD338"/>
    <w:lvl w:ilvl="0">
      <w:start w:val="1"/>
      <w:numFmt w:val="upperRoman"/>
      <w:lvlText w:val="%1."/>
      <w:lvlJc w:val="center"/>
      <w:pPr>
        <w:tabs>
          <w:tab w:val="num" w:pos="648"/>
        </w:tabs>
        <w:ind w:left="648" w:hanging="360"/>
      </w:pPr>
      <w:rPr>
        <w:rFonts w:cs="Times New Roman"/>
      </w:rPr>
    </w:lvl>
  </w:abstractNum>
  <w:abstractNum w:abstractNumId="16">
    <w:nsid w:val="367C5F42"/>
    <w:multiLevelType w:val="multilevel"/>
    <w:tmpl w:val="BFACDA8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3ADF29F8"/>
    <w:multiLevelType w:val="hybridMultilevel"/>
    <w:tmpl w:val="CCB266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FD3C22"/>
    <w:multiLevelType w:val="hybridMultilevel"/>
    <w:tmpl w:val="149E6B36"/>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13561E6"/>
    <w:multiLevelType w:val="singleLevel"/>
    <w:tmpl w:val="5678B488"/>
    <w:lvl w:ilvl="0">
      <w:start w:val="1"/>
      <w:numFmt w:val="decimal"/>
      <w:lvlText w:val="%1."/>
      <w:lvlJc w:val="left"/>
      <w:pPr>
        <w:tabs>
          <w:tab w:val="num" w:pos="360"/>
        </w:tabs>
        <w:ind w:left="360" w:hanging="360"/>
      </w:pPr>
      <w:rPr>
        <w:rFonts w:cs="Times New Roman" w:hint="default"/>
        <w:sz w:val="28"/>
      </w:rPr>
    </w:lvl>
  </w:abstractNum>
  <w:abstractNum w:abstractNumId="22">
    <w:nsid w:val="43BB2D52"/>
    <w:multiLevelType w:val="hybridMultilevel"/>
    <w:tmpl w:val="AA3C5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E739DC"/>
    <w:multiLevelType w:val="hybridMultilevel"/>
    <w:tmpl w:val="B4EAF48C"/>
    <w:lvl w:ilvl="0">
      <w:start w:val="1"/>
      <w:numFmt w:val="decimal"/>
      <w:lvlText w:val="%1."/>
      <w:lvlJc w:val="left"/>
      <w:pPr>
        <w:ind w:left="1002" w:hanging="360"/>
      </w:pPr>
      <w:rPr>
        <w:rFonts w:hint="default"/>
      </w:rPr>
    </w:lvl>
    <w:lvl w:ilvl="1" w:tentative="1">
      <w:start w:val="1"/>
      <w:numFmt w:val="lowerLetter"/>
      <w:lvlText w:val="%2."/>
      <w:lvlJc w:val="left"/>
      <w:pPr>
        <w:ind w:left="1722" w:hanging="360"/>
      </w:pPr>
    </w:lvl>
    <w:lvl w:ilvl="2" w:tentative="1">
      <w:start w:val="1"/>
      <w:numFmt w:val="lowerRoman"/>
      <w:lvlText w:val="%3."/>
      <w:lvlJc w:val="right"/>
      <w:pPr>
        <w:ind w:left="2442" w:hanging="180"/>
      </w:pPr>
    </w:lvl>
    <w:lvl w:ilvl="3" w:tentative="1">
      <w:start w:val="1"/>
      <w:numFmt w:val="decimal"/>
      <w:lvlText w:val="%4."/>
      <w:lvlJc w:val="left"/>
      <w:pPr>
        <w:ind w:left="3162" w:hanging="360"/>
      </w:pPr>
    </w:lvl>
    <w:lvl w:ilvl="4" w:tentative="1">
      <w:start w:val="1"/>
      <w:numFmt w:val="lowerLetter"/>
      <w:lvlText w:val="%5."/>
      <w:lvlJc w:val="left"/>
      <w:pPr>
        <w:ind w:left="3882" w:hanging="360"/>
      </w:pPr>
    </w:lvl>
    <w:lvl w:ilvl="5" w:tentative="1">
      <w:start w:val="1"/>
      <w:numFmt w:val="lowerRoman"/>
      <w:lvlText w:val="%6."/>
      <w:lvlJc w:val="right"/>
      <w:pPr>
        <w:ind w:left="4602" w:hanging="180"/>
      </w:pPr>
    </w:lvl>
    <w:lvl w:ilvl="6" w:tentative="1">
      <w:start w:val="1"/>
      <w:numFmt w:val="decimal"/>
      <w:lvlText w:val="%7."/>
      <w:lvlJc w:val="left"/>
      <w:pPr>
        <w:ind w:left="5322" w:hanging="360"/>
      </w:pPr>
    </w:lvl>
    <w:lvl w:ilvl="7" w:tentative="1">
      <w:start w:val="1"/>
      <w:numFmt w:val="lowerLetter"/>
      <w:lvlText w:val="%8."/>
      <w:lvlJc w:val="left"/>
      <w:pPr>
        <w:ind w:left="6042" w:hanging="360"/>
      </w:pPr>
    </w:lvl>
    <w:lvl w:ilvl="8" w:tentative="1">
      <w:start w:val="1"/>
      <w:numFmt w:val="lowerRoman"/>
      <w:lvlText w:val="%9."/>
      <w:lvlJc w:val="right"/>
      <w:pPr>
        <w:ind w:left="6762" w:hanging="180"/>
      </w:pPr>
    </w:lvl>
  </w:abstractNum>
  <w:abstractNum w:abstractNumId="24">
    <w:nsid w:val="44064DD4"/>
    <w:multiLevelType w:val="hybridMultilevel"/>
    <w:tmpl w:val="A45CE7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58283C"/>
    <w:multiLevelType w:val="hybridMultilevel"/>
    <w:tmpl w:val="33BE6A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9980C73"/>
    <w:multiLevelType w:val="hybridMultilevel"/>
    <w:tmpl w:val="F5F8B472"/>
    <w:lvl w:ilvl="0">
      <w:start w:val="1"/>
      <w:numFmt w:val="hebrew1"/>
      <w:lvlText w:val="(%1)"/>
      <w:lvlJc w:val="left"/>
      <w:pPr>
        <w:tabs>
          <w:tab w:val="num" w:pos="720"/>
        </w:tabs>
        <w:ind w:left="720" w:hanging="360"/>
      </w:pPr>
      <w:rPr>
        <w:rFonts w:cs="Times New Roman" w:hint="default"/>
        <w:sz w:val="2"/>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4B9C5246"/>
    <w:multiLevelType w:val="hybridMultilevel"/>
    <w:tmpl w:val="9434F8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D0635ED"/>
    <w:multiLevelType w:val="hybridMultilevel"/>
    <w:tmpl w:val="E2E618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D726682"/>
    <w:multiLevelType w:val="hybridMultilevel"/>
    <w:tmpl w:val="8D1CE986"/>
    <w:lvl w:ilvl="0">
      <w:start w:val="1"/>
      <w:numFmt w:val="decimal"/>
      <w:lvlText w:val="%1."/>
      <w:lvlJc w:val="left"/>
      <w:pPr>
        <w:ind w:left="100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FD412D"/>
    <w:multiLevelType w:val="hybridMultilevel"/>
    <w:tmpl w:val="06C0677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5403117"/>
    <w:multiLevelType w:val="hybridMultilevel"/>
    <w:tmpl w:val="D8A81D9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3">
    <w:nsid w:val="6A1C7FB5"/>
    <w:multiLevelType w:val="singleLevel"/>
    <w:tmpl w:val="CB646ABA"/>
    <w:lvl w:ilvl="0">
      <w:start w:val="1"/>
      <w:numFmt w:val="hebrew1"/>
      <w:lvlText w:val="%1."/>
      <w:lvlJc w:val="center"/>
      <w:pPr>
        <w:tabs>
          <w:tab w:val="num" w:pos="797"/>
        </w:tabs>
        <w:ind w:left="797" w:hanging="360"/>
      </w:pPr>
      <w:rPr>
        <w:rFonts w:cs="Times New Roman"/>
        <w:sz w:val="2"/>
        <w:szCs w:val="24"/>
      </w:rPr>
    </w:lvl>
  </w:abstractNum>
  <w:abstractNum w:abstractNumId="34">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5">
    <w:nsid w:val="794B736D"/>
    <w:multiLevelType w:val="hybridMultilevel"/>
    <w:tmpl w:val="A62EBA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32"/>
  </w:num>
  <w:num w:numId="2">
    <w:abstractNumId w:val="20"/>
  </w:num>
  <w:num w:numId="3">
    <w:abstractNumId w:val="19"/>
  </w:num>
  <w:num w:numId="4">
    <w:abstractNumId w:val="36"/>
  </w:num>
  <w:num w:numId="5">
    <w:abstractNumId w:val="34"/>
  </w:num>
  <w:num w:numId="6">
    <w:abstractNumId w:val="21"/>
  </w:num>
  <w:num w:numId="7">
    <w:abstractNumId w:val="15"/>
  </w:num>
  <w:num w:numId="8">
    <w:abstractNumId w:val="33"/>
  </w:num>
  <w:num w:numId="9">
    <w:abstractNumId w:val="31"/>
  </w:num>
  <w:num w:numId="10">
    <w:abstractNumId w:val="0"/>
  </w:num>
  <w:num w:numId="11">
    <w:abstractNumId w:val="1"/>
  </w:num>
  <w:num w:numId="12">
    <w:abstractNumId w:val="6"/>
  </w:num>
  <w:num w:numId="13">
    <w:abstractNumId w:val="26"/>
  </w:num>
  <w:num w:numId="14">
    <w:abstractNumId w:val="28"/>
  </w:num>
  <w:num w:numId="15">
    <w:abstractNumId w:val="13"/>
  </w:num>
  <w:num w:numId="16">
    <w:abstractNumId w:val="5"/>
  </w:num>
  <w:num w:numId="17">
    <w:abstractNumId w:val="2"/>
  </w:num>
  <w:num w:numId="18">
    <w:abstractNumId w:val="10"/>
  </w:num>
  <w:num w:numId="19">
    <w:abstractNumId w:val="4"/>
  </w:num>
  <w:num w:numId="20">
    <w:abstractNumId w:val="8"/>
  </w:num>
  <w:num w:numId="21">
    <w:abstractNumId w:val="22"/>
  </w:num>
  <w:num w:numId="22">
    <w:abstractNumId w:val="14"/>
  </w:num>
  <w:num w:numId="23">
    <w:abstractNumId w:val="12"/>
  </w:num>
  <w:num w:numId="24">
    <w:abstractNumId w:val="3"/>
  </w:num>
  <w:num w:numId="25">
    <w:abstractNumId w:val="25"/>
  </w:num>
  <w:num w:numId="26">
    <w:abstractNumId w:val="16"/>
  </w:num>
  <w:num w:numId="27">
    <w:abstractNumId w:val="9"/>
  </w:num>
  <w:num w:numId="28">
    <w:abstractNumId w:val="35"/>
  </w:num>
  <w:num w:numId="29">
    <w:abstractNumId w:val="24"/>
  </w:num>
  <w:num w:numId="30">
    <w:abstractNumId w:val="17"/>
  </w:num>
  <w:num w:numId="31">
    <w:abstractNumId w:val="27"/>
  </w:num>
  <w:num w:numId="32">
    <w:abstractNumId w:val="18"/>
  </w:num>
  <w:num w:numId="33">
    <w:abstractNumId w:val="23"/>
  </w:num>
  <w:num w:numId="34">
    <w:abstractNumId w:val="11"/>
  </w:num>
  <w:num w:numId="35">
    <w:abstractNumId w:val="29"/>
  </w:num>
  <w:num w:numId="36">
    <w:abstractNumId w:val="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47C24"/>
    <w:rsid w:val="00050B4C"/>
    <w:rsid w:val="00081C30"/>
    <w:rsid w:val="0012183A"/>
    <w:rsid w:val="001275A6"/>
    <w:rsid w:val="0014591B"/>
    <w:rsid w:val="00164129"/>
    <w:rsid w:val="00164DAE"/>
    <w:rsid w:val="001841D0"/>
    <w:rsid w:val="001B4D39"/>
    <w:rsid w:val="001E4618"/>
    <w:rsid w:val="001F3DFF"/>
    <w:rsid w:val="002112B6"/>
    <w:rsid w:val="00242453"/>
    <w:rsid w:val="00350E93"/>
    <w:rsid w:val="00396895"/>
    <w:rsid w:val="00396B9B"/>
    <w:rsid w:val="003A3869"/>
    <w:rsid w:val="003C40C0"/>
    <w:rsid w:val="003E340B"/>
    <w:rsid w:val="00411F28"/>
    <w:rsid w:val="004145F0"/>
    <w:rsid w:val="004214D8"/>
    <w:rsid w:val="004A0D83"/>
    <w:rsid w:val="004B13D5"/>
    <w:rsid w:val="004B5AF0"/>
    <w:rsid w:val="0051463B"/>
    <w:rsid w:val="00550646"/>
    <w:rsid w:val="005750D3"/>
    <w:rsid w:val="005A0EA1"/>
    <w:rsid w:val="005B0270"/>
    <w:rsid w:val="005D24E1"/>
    <w:rsid w:val="005E5B2C"/>
    <w:rsid w:val="00610649"/>
    <w:rsid w:val="006201A6"/>
    <w:rsid w:val="006D467B"/>
    <w:rsid w:val="006E7221"/>
    <w:rsid w:val="006F6719"/>
    <w:rsid w:val="0071712A"/>
    <w:rsid w:val="00766D74"/>
    <w:rsid w:val="007F7113"/>
    <w:rsid w:val="008108DC"/>
    <w:rsid w:val="00853CD3"/>
    <w:rsid w:val="00854DA5"/>
    <w:rsid w:val="00957371"/>
    <w:rsid w:val="009718F9"/>
    <w:rsid w:val="009E525C"/>
    <w:rsid w:val="009E54AC"/>
    <w:rsid w:val="009F46FF"/>
    <w:rsid w:val="00A15B63"/>
    <w:rsid w:val="00A37BD3"/>
    <w:rsid w:val="00AD673C"/>
    <w:rsid w:val="00AE2AE2"/>
    <w:rsid w:val="00AE3D99"/>
    <w:rsid w:val="00B27766"/>
    <w:rsid w:val="00BF4C3B"/>
    <w:rsid w:val="00C80B57"/>
    <w:rsid w:val="00C8241F"/>
    <w:rsid w:val="00CA5D2E"/>
    <w:rsid w:val="00D4420D"/>
    <w:rsid w:val="00D6104E"/>
    <w:rsid w:val="00D9061E"/>
    <w:rsid w:val="00DA0DD1"/>
    <w:rsid w:val="00E001C6"/>
    <w:rsid w:val="00E006C7"/>
    <w:rsid w:val="00E2060B"/>
    <w:rsid w:val="00E44678"/>
    <w:rsid w:val="00EC1DDA"/>
    <w:rsid w:val="00EC7BD8"/>
    <w:rsid w:val="00FB46AA"/>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9"/>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99"/>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99"/>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99"/>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99"/>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99"/>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99"/>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99"/>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link w:val="TitleChar"/>
    <w:uiPriority w:val="99"/>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uiPriority w:val="99"/>
    <w:pPr>
      <w:widowControl w:val="0"/>
      <w:spacing w:line="269" w:lineRule="auto"/>
      <w:ind w:left="-567"/>
      <w:jc w:val="both"/>
    </w:pPr>
    <w:rPr>
      <w:sz w:val="20"/>
      <w:szCs w:val="20"/>
      <w:lang w:eastAsia="he-IL"/>
    </w:rPr>
  </w:style>
  <w:style w:type="paragraph" w:styleId="BodyText">
    <w:name w:val="Body Text"/>
    <w:basedOn w:val="Normal"/>
    <w:link w:val="BodyTextChar"/>
    <w:uiPriority w:val="99"/>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uiPriority w:val="99"/>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uiPriority w:val="99"/>
    <w:rPr>
      <w:rFonts w:cs="Times New Roman"/>
    </w:r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0">
    <w:name w:val="footnote reference"/>
    <w:semiHidden/>
    <w:rPr>
      <w:rFonts w:cs="Times New Roman"/>
      <w:vertAlign w:val="superscript"/>
    </w:rPr>
  </w:style>
  <w:style w:type="paragraph" w:styleId="EndnoteText">
    <w:name w:val="endnote text"/>
    <w:basedOn w:val="Normal"/>
    <w:link w:val="EndnoteTextChar"/>
    <w:uiPriority w:val="99"/>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uiPriority w:val="99"/>
    <w:semiHidden/>
    <w:rPr>
      <w:rFonts w:cs="Times New Roman"/>
      <w:vertAlign w:val="superscript"/>
    </w:rPr>
  </w:style>
  <w:style w:type="paragraph" w:styleId="BodyText3">
    <w:name w:val="Body Text 3"/>
    <w:basedOn w:val="Normal"/>
    <w:link w:val="BodyText3Char"/>
    <w:uiPriority w:val="99"/>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uiPriority w:val="99"/>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uiPriority w:val="99"/>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uiPriority w:val="99"/>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uiPriority w:val="99"/>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link w:val="DocumentMapChar"/>
    <w:uiPriority w:val="99"/>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99"/>
    <w:locked/>
    <w:rsid w:val="005E5B2C"/>
    <w:rPr>
      <w:rFonts w:cs="David"/>
      <w:b/>
      <w:bCs/>
      <w:sz w:val="56"/>
      <w:szCs w:val="56"/>
      <w:lang w:eastAsia="he-IL"/>
    </w:rPr>
  </w:style>
  <w:style w:type="character" w:customStyle="1" w:styleId="Heading2Char">
    <w:name w:val="Heading 2 Char"/>
    <w:link w:val="Heading2"/>
    <w:uiPriority w:val="99"/>
    <w:locked/>
    <w:rsid w:val="005E5B2C"/>
    <w:rPr>
      <w:rFonts w:cs="David"/>
      <w:sz w:val="32"/>
      <w:szCs w:val="32"/>
    </w:rPr>
  </w:style>
  <w:style w:type="character" w:customStyle="1" w:styleId="Heading3Char">
    <w:name w:val="Heading 3 Char"/>
    <w:link w:val="Heading3"/>
    <w:uiPriority w:val="99"/>
    <w:locked/>
    <w:rsid w:val="005E5B2C"/>
    <w:rPr>
      <w:rFonts w:cs="David"/>
      <w:b/>
      <w:bCs/>
      <w:sz w:val="38"/>
      <w:szCs w:val="36"/>
      <w:lang w:eastAsia="he-IL"/>
    </w:rPr>
  </w:style>
  <w:style w:type="character" w:customStyle="1" w:styleId="Heading4Char">
    <w:name w:val="Heading 4 Char"/>
    <w:link w:val="Heading4"/>
    <w:uiPriority w:val="99"/>
    <w:locked/>
    <w:rsid w:val="005E5B2C"/>
    <w:rPr>
      <w:rFonts w:cs="David"/>
      <w:b/>
      <w:bCs/>
      <w:sz w:val="22"/>
      <w:szCs w:val="26"/>
      <w:lang w:eastAsia="he-IL"/>
    </w:rPr>
  </w:style>
  <w:style w:type="character" w:customStyle="1" w:styleId="Heading5Char">
    <w:name w:val="Heading 5 Char"/>
    <w:link w:val="Heading5"/>
    <w:uiPriority w:val="99"/>
    <w:locked/>
    <w:rsid w:val="005E5B2C"/>
    <w:rPr>
      <w:rFonts w:cs="David"/>
      <w:b/>
      <w:bCs/>
      <w:sz w:val="32"/>
      <w:szCs w:val="32"/>
      <w:lang w:eastAsia="he-IL"/>
    </w:rPr>
  </w:style>
  <w:style w:type="character" w:customStyle="1" w:styleId="Heading6Char">
    <w:name w:val="Heading 6 Char"/>
    <w:link w:val="Heading6"/>
    <w:uiPriority w:val="99"/>
    <w:locked/>
    <w:rsid w:val="005E5B2C"/>
    <w:rPr>
      <w:rFonts w:cs="FrankRuehl"/>
      <w:b/>
      <w:bCs/>
      <w:sz w:val="22"/>
      <w:szCs w:val="22"/>
    </w:rPr>
  </w:style>
  <w:style w:type="character" w:customStyle="1" w:styleId="Heading7Char">
    <w:name w:val="Heading 7 Char"/>
    <w:link w:val="Heading7"/>
    <w:uiPriority w:val="99"/>
    <w:locked/>
    <w:rsid w:val="005E5B2C"/>
    <w:rPr>
      <w:rFonts w:cs="David"/>
      <w:sz w:val="36"/>
      <w:szCs w:val="36"/>
      <w:lang w:eastAsia="he-IL"/>
    </w:rPr>
  </w:style>
  <w:style w:type="character" w:customStyle="1" w:styleId="Heading8Char">
    <w:name w:val="Heading 8 Char"/>
    <w:link w:val="Heading8"/>
    <w:uiPriority w:val="99"/>
    <w:locked/>
    <w:rsid w:val="005E5B2C"/>
    <w:rPr>
      <w:rFonts w:cs="David"/>
      <w:b/>
      <w:bCs/>
      <w:sz w:val="36"/>
      <w:szCs w:val="36"/>
      <w:lang w:eastAsia="he-IL"/>
    </w:rPr>
  </w:style>
  <w:style w:type="character" w:customStyle="1" w:styleId="TitleChar">
    <w:name w:val="Title Char"/>
    <w:link w:val="Title"/>
    <w:uiPriority w:val="99"/>
    <w:locked/>
    <w:rsid w:val="005E5B2C"/>
    <w:rPr>
      <w:rFonts w:cs="David"/>
      <w:b/>
      <w:bCs/>
      <w:sz w:val="24"/>
      <w:szCs w:val="24"/>
      <w:u w:val="single"/>
    </w:rPr>
  </w:style>
  <w:style w:type="character" w:customStyle="1" w:styleId="BodyTextChar">
    <w:name w:val="Body Text Char"/>
    <w:link w:val="BodyText"/>
    <w:uiPriority w:val="99"/>
    <w:locked/>
    <w:rsid w:val="005E5B2C"/>
    <w:rPr>
      <w:rFonts w:cs="FrankRuehl"/>
      <w:sz w:val="22"/>
      <w:szCs w:val="22"/>
    </w:rPr>
  </w:style>
  <w:style w:type="character" w:customStyle="1" w:styleId="BodyText2Char">
    <w:name w:val="Body Text 2 Char"/>
    <w:link w:val="BodyText2"/>
    <w:uiPriority w:val="99"/>
    <w:locked/>
    <w:rsid w:val="005E5B2C"/>
    <w:rPr>
      <w:rFonts w:cs="FrankRuehl"/>
      <w:sz w:val="24"/>
      <w:szCs w:val="24"/>
      <w:lang w:eastAsia="he-IL"/>
    </w:rPr>
  </w:style>
  <w:style w:type="character" w:customStyle="1" w:styleId="HeaderChar">
    <w:name w:val="Header Char"/>
    <w:link w:val="Header"/>
    <w:uiPriority w:val="99"/>
    <w:locked/>
    <w:rsid w:val="005E5B2C"/>
    <w:rPr>
      <w:rFonts w:cs="David"/>
      <w:sz w:val="24"/>
      <w:szCs w:val="24"/>
    </w:rPr>
  </w:style>
  <w:style w:type="character" w:customStyle="1" w:styleId="FooterChar">
    <w:name w:val="Footer Char"/>
    <w:link w:val="Footer"/>
    <w:uiPriority w:val="99"/>
    <w:locked/>
    <w:rsid w:val="005E5B2C"/>
    <w:rPr>
      <w:rFonts w:cs="David"/>
      <w:sz w:val="24"/>
      <w:szCs w:val="24"/>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link w:val="FootnoteText"/>
    <w:uiPriority w:val="99"/>
    <w:locked/>
    <w:rsid w:val="005E5B2C"/>
    <w:rPr>
      <w:rFonts w:cs="David"/>
    </w:rPr>
  </w:style>
  <w:style w:type="character" w:customStyle="1" w:styleId="EndnoteTextChar">
    <w:name w:val="Endnote Text Char"/>
    <w:link w:val="EndnoteText"/>
    <w:uiPriority w:val="99"/>
    <w:semiHidden/>
    <w:locked/>
    <w:rsid w:val="005E5B2C"/>
    <w:rPr>
      <w:rFonts w:cs="David"/>
      <w:sz w:val="24"/>
    </w:rPr>
  </w:style>
  <w:style w:type="character" w:customStyle="1" w:styleId="BodyText3Char">
    <w:name w:val="Body Text 3 Char"/>
    <w:link w:val="BodyText3"/>
    <w:uiPriority w:val="99"/>
    <w:locked/>
    <w:rsid w:val="005E5B2C"/>
    <w:rPr>
      <w:rFonts w:cs="David"/>
      <w:sz w:val="24"/>
      <w:szCs w:val="24"/>
    </w:rPr>
  </w:style>
  <w:style w:type="character" w:customStyle="1" w:styleId="CommentTextChar">
    <w:name w:val="Comment Text Char"/>
    <w:link w:val="CommentText"/>
    <w:uiPriority w:val="99"/>
    <w:semiHidden/>
    <w:locked/>
    <w:rsid w:val="005E5B2C"/>
    <w:rPr>
      <w:rFonts w:cs="David"/>
    </w:rPr>
  </w:style>
  <w:style w:type="character" w:customStyle="1" w:styleId="CommentSubjectChar">
    <w:name w:val="Comment Subject Char"/>
    <w:link w:val="CommentSubject"/>
    <w:uiPriority w:val="99"/>
    <w:semiHidden/>
    <w:locked/>
    <w:rsid w:val="005E5B2C"/>
    <w:rPr>
      <w:rFonts w:cs="David"/>
      <w:b/>
      <w:bCs/>
    </w:rPr>
  </w:style>
  <w:style w:type="character" w:customStyle="1" w:styleId="BalloonTextChar">
    <w:name w:val="Balloon Text Char"/>
    <w:link w:val="BalloonText"/>
    <w:uiPriority w:val="99"/>
    <w:semiHidden/>
    <w:locked/>
    <w:rsid w:val="005E5B2C"/>
    <w:rPr>
      <w:rFonts w:ascii="Tahoma" w:hAnsi="Tahoma" w:cs="Tahoma"/>
      <w:sz w:val="16"/>
      <w:szCs w:val="16"/>
    </w:rPr>
  </w:style>
  <w:style w:type="character" w:styleId="FollowedHyperlink">
    <w:name w:val="FollowedHyperlink"/>
    <w:uiPriority w:val="99"/>
    <w:rsid w:val="005E5B2C"/>
    <w:rPr>
      <w:rFonts w:cs="Times New Roman"/>
      <w:color w:val="606420"/>
      <w:u w:val="single"/>
    </w:rPr>
  </w:style>
  <w:style w:type="character" w:customStyle="1" w:styleId="DocumentMapChar">
    <w:name w:val="Document Map Char"/>
    <w:link w:val="DocumentMap"/>
    <w:uiPriority w:val="99"/>
    <w:semiHidden/>
    <w:locked/>
    <w:rsid w:val="005E5B2C"/>
    <w:rPr>
      <w:rFonts w:ascii="Tahoma" w:hAnsi="Tahoma" w:cs="Tahoma"/>
      <w:shd w:val="clear" w:color="auto" w:fill="000080"/>
      <w:lang w:eastAsia="he-IL"/>
    </w:rPr>
  </w:style>
  <w:style w:type="character" w:customStyle="1" w:styleId="DateChar">
    <w:name w:val="Date Char"/>
    <w:link w:val="Date"/>
    <w:uiPriority w:val="99"/>
    <w:locked/>
    <w:rsid w:val="005E5B2C"/>
    <w:rPr>
      <w:rFonts w:ascii="Rockwell" w:eastAsia="Rockwell" w:hAnsi="Rockwell" w:cs="David"/>
      <w:sz w:val="22"/>
      <w:szCs w:val="22"/>
    </w:rPr>
  </w:style>
  <w:style w:type="character" w:customStyle="1" w:styleId="st">
    <w:name w:val="st"/>
    <w:uiPriority w:val="99"/>
    <w:rsid w:val="005E5B2C"/>
    <w:rPr>
      <w:rFonts w:cs="Times New Roman"/>
    </w:rPr>
  </w:style>
  <w:style w:type="paragraph" w:customStyle="1" w:styleId="Style1">
    <w:name w:val="Style1"/>
    <w:basedOn w:val="Normal"/>
    <w:rsid w:val="005E5B2C"/>
    <w:pPr>
      <w:overflowPunct w:val="0"/>
      <w:autoSpaceDE w:val="0"/>
      <w:autoSpaceDN w:val="0"/>
      <w:bidi w:val="0"/>
      <w:adjustRightInd w:val="0"/>
      <w:spacing w:line="240" w:lineRule="auto"/>
      <w:jc w:val="right"/>
      <w:textAlignment w:val="baseline"/>
    </w:pPr>
    <w:rPr>
      <w:rFonts w:ascii="David" w:hAnsi="David"/>
      <w:sz w:val="28"/>
      <w:szCs w:val="28"/>
    </w:rPr>
  </w:style>
  <w:style w:type="table" w:styleId="TableGrid">
    <w:name w:val="Table Grid"/>
    <w:basedOn w:val="TableNormal"/>
    <w:uiPriority w:val="59"/>
    <w:rsid w:val="005E5B2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8" Type="http://schemas.openxmlformats.org/officeDocument/2006/relationships/image" Target="media/image3.jpeg"/><Relationship Id="rId21" Type="http://schemas.openxmlformats.org/officeDocument/2006/relationships/styles" Target="styles.xml"/><Relationship Id="rId3"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7" Type="http://schemas.openxmlformats.org/officeDocument/2006/relationships/image" Target="media/image2.jpeg"/><Relationship Id="rId16" Type="http://schemas.openxmlformats.org/officeDocument/2006/relationships/footer" Target="footer3.xml"/><Relationship Id="rId2" Type="http://schemas.openxmlformats.org/officeDocument/2006/relationships/settings" Target="settings.xml"/><Relationship Id="rId20"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header" Target="header1.xml"/><Relationship Id="rId6" Type="http://schemas.openxmlformats.org/officeDocument/2006/relationships/image" Target="media/image1.jpeg"/><Relationship Id="rId24" Type="http://schemas.openxmlformats.org/officeDocument/2006/relationships/customXml" Target="../customXml/item4.xml"/><Relationship Id="rId15" Type="http://schemas.openxmlformats.org/officeDocument/2006/relationships/header" Target="header3.xml"/><Relationship Id="rId5" Type="http://schemas.openxmlformats.org/officeDocument/2006/relationships/customXml" Target="../customXml/item1.xml"/><Relationship Id="rId23" Type="http://schemas.openxmlformats.org/officeDocument/2006/relationships/customXml" Target="../customXml/item3.xml"/><Relationship Id="rId10" Type="http://schemas.openxmlformats.org/officeDocument/2006/relationships/image" Target="media/image5.jpeg"/><Relationship Id="rId19" Type="http://schemas.openxmlformats.org/officeDocument/2006/relationships/theme" Target="theme/theme1.xml"/><Relationship Id="rId14" Type="http://schemas.openxmlformats.org/officeDocument/2006/relationships/footer" Target="footer2.xml"/><Relationship Id="rId4" Type="http://schemas.openxmlformats.org/officeDocument/2006/relationships/fontTable" Target="fontTable.xml"/><Relationship Id="rId9" Type="http://schemas.openxmlformats.org/officeDocument/2006/relationships/image" Target="media/image4.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394A44-850C-4EFB-BF17-735603D99B01}">
  <ds:schemaRefs>
    <ds:schemaRef ds:uri="http://schemas.openxmlformats.org/officeDocument/2006/bibliography"/>
  </ds:schemaRefs>
</ds:datastoreItem>
</file>

<file path=customXml/itemProps2.xml><?xml version="1.0" encoding="utf-8"?>
<ds:datastoreItem xmlns:ds="http://schemas.openxmlformats.org/officeDocument/2006/customXml" ds:itemID="{8D127725-F02B-45FE-B8DA-2FFDEDCF7DAB}"/>
</file>

<file path=customXml/itemProps3.xml><?xml version="1.0" encoding="utf-8"?>
<ds:datastoreItem xmlns:ds="http://schemas.openxmlformats.org/officeDocument/2006/customXml" ds:itemID="{F7DD1F57-4D7C-4FA6-A2CA-0C15C482A9C2}"/>
</file>

<file path=customXml/itemProps4.xml><?xml version="1.0" encoding="utf-8"?>
<ds:datastoreItem xmlns:ds="http://schemas.openxmlformats.org/officeDocument/2006/customXml" ds:itemID="{2B5456A1-EA76-4FE2-93CB-B956451B237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178300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